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wmf" ContentType="image/x-wmf"/>
  <Default Extension="jpeg" ContentType="image/jpeg"/>
  <Default Extension="emf" ContentType="image/x-emf"/>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D0F" w:rsidRPr="00D6324A" w:rsidRDefault="00102D0F" w:rsidP="00102D0F">
      <w:pPr>
        <w:snapToGrid w:val="0"/>
        <w:spacing w:line="520" w:lineRule="exact"/>
        <w:jc w:val="center"/>
        <w:rPr>
          <w:rFonts w:ascii="黑体" w:eastAsia="黑体"/>
          <w:sz w:val="24"/>
        </w:rPr>
      </w:pPr>
      <w:bookmarkStart w:id="0" w:name="_Toc148262205"/>
      <w:bookmarkStart w:id="1" w:name="_Toc143941622"/>
      <w:r w:rsidRPr="00D6324A">
        <w:rPr>
          <w:rFonts w:ascii="黑体" w:eastAsia="黑体" w:hint="eastAsia"/>
          <w:sz w:val="24"/>
        </w:rPr>
        <w:t>《</w:t>
      </w:r>
      <w:bookmarkStart w:id="2" w:name="_Hlk58503009"/>
      <w:r w:rsidRPr="00D6324A">
        <w:rPr>
          <w:rFonts w:ascii="黑体" w:eastAsia="黑体" w:hAnsi="宋体" w:hint="eastAsia"/>
          <w:bCs/>
          <w:sz w:val="24"/>
        </w:rPr>
        <w:t>禹州神火隆庆矿业有限公司30万吨/年升级改造</w:t>
      </w:r>
      <w:r w:rsidRPr="00D6324A">
        <w:rPr>
          <w:rFonts w:ascii="黑体" w:eastAsia="黑体" w:hAnsi="宋体"/>
          <w:bCs/>
          <w:sz w:val="24"/>
        </w:rPr>
        <w:t>环境影响报告</w:t>
      </w:r>
      <w:r w:rsidRPr="00D6324A">
        <w:rPr>
          <w:rFonts w:ascii="黑体" w:eastAsia="黑体" w:hAnsi="宋体" w:hint="eastAsia"/>
          <w:bCs/>
          <w:sz w:val="24"/>
        </w:rPr>
        <w:t>书</w:t>
      </w:r>
      <w:bookmarkEnd w:id="2"/>
      <w:r w:rsidRPr="00D6324A">
        <w:rPr>
          <w:rFonts w:ascii="黑体" w:eastAsia="黑体" w:hint="eastAsia"/>
          <w:sz w:val="24"/>
        </w:rPr>
        <w:t>》修改明细表</w:t>
      </w:r>
    </w:p>
    <w:tbl>
      <w:tblPr>
        <w:tblW w:w="5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bottom w:w="28" w:type="dxa"/>
          <w:right w:w="28" w:type="dxa"/>
        </w:tblCellMar>
        <w:tblLook w:val="01E0"/>
      </w:tblPr>
      <w:tblGrid>
        <w:gridCol w:w="515"/>
        <w:gridCol w:w="6383"/>
        <w:gridCol w:w="2401"/>
      </w:tblGrid>
      <w:tr w:rsidR="00ED6E04" w:rsidRPr="002A7E62" w:rsidTr="00AF55CF">
        <w:trPr>
          <w:jc w:val="center"/>
        </w:trPr>
        <w:tc>
          <w:tcPr>
            <w:tcW w:w="277" w:type="pct"/>
            <w:shd w:val="clear" w:color="auto" w:fill="auto"/>
            <w:vAlign w:val="center"/>
          </w:tcPr>
          <w:p w:rsidR="00ED6E04" w:rsidRPr="002A7E62" w:rsidRDefault="00B65DD0" w:rsidP="00E3737A">
            <w:pPr>
              <w:spacing w:line="340" w:lineRule="exact"/>
              <w:jc w:val="center"/>
              <w:rPr>
                <w:sz w:val="21"/>
                <w:szCs w:val="21"/>
              </w:rPr>
            </w:pPr>
            <w:r w:rsidRPr="002A7E62">
              <w:rPr>
                <w:rFonts w:hAnsi="宋体"/>
                <w:sz w:val="21"/>
                <w:szCs w:val="21"/>
              </w:rPr>
              <w:t>编号</w:t>
            </w:r>
          </w:p>
        </w:tc>
        <w:tc>
          <w:tcPr>
            <w:tcW w:w="3432" w:type="pct"/>
            <w:vAlign w:val="center"/>
          </w:tcPr>
          <w:p w:rsidR="00ED6E04" w:rsidRPr="002A7E62" w:rsidRDefault="00ED6E04" w:rsidP="00E3737A">
            <w:pPr>
              <w:spacing w:line="340" w:lineRule="exact"/>
              <w:jc w:val="center"/>
              <w:rPr>
                <w:sz w:val="21"/>
                <w:szCs w:val="21"/>
              </w:rPr>
            </w:pPr>
            <w:r w:rsidRPr="002A7E62">
              <w:rPr>
                <w:rFonts w:hAnsi="宋体"/>
                <w:sz w:val="21"/>
                <w:szCs w:val="21"/>
              </w:rPr>
              <w:t>评审意见</w:t>
            </w:r>
          </w:p>
        </w:tc>
        <w:tc>
          <w:tcPr>
            <w:tcW w:w="1291" w:type="pct"/>
            <w:shd w:val="clear" w:color="auto" w:fill="auto"/>
            <w:vAlign w:val="center"/>
          </w:tcPr>
          <w:p w:rsidR="00ED6E04" w:rsidRPr="002A7E62" w:rsidRDefault="00ED6E04" w:rsidP="00E3737A">
            <w:pPr>
              <w:spacing w:line="340" w:lineRule="exact"/>
              <w:jc w:val="center"/>
              <w:rPr>
                <w:sz w:val="21"/>
                <w:szCs w:val="21"/>
              </w:rPr>
            </w:pPr>
            <w:r w:rsidRPr="002A7E62">
              <w:rPr>
                <w:rFonts w:hAnsi="宋体"/>
                <w:sz w:val="21"/>
                <w:szCs w:val="21"/>
              </w:rPr>
              <w:t>修改说明</w:t>
            </w:r>
          </w:p>
        </w:tc>
      </w:tr>
      <w:tr w:rsidR="00ED6E04" w:rsidRPr="002A7E62" w:rsidTr="00AF55CF">
        <w:trPr>
          <w:jc w:val="center"/>
        </w:trPr>
        <w:tc>
          <w:tcPr>
            <w:tcW w:w="277" w:type="pct"/>
            <w:vMerge w:val="restart"/>
            <w:shd w:val="clear" w:color="auto" w:fill="auto"/>
            <w:vAlign w:val="center"/>
          </w:tcPr>
          <w:p w:rsidR="00ED6E04" w:rsidRPr="002A7E62" w:rsidRDefault="00ED6E04" w:rsidP="00E3737A">
            <w:pPr>
              <w:spacing w:line="340" w:lineRule="exact"/>
              <w:jc w:val="center"/>
              <w:rPr>
                <w:sz w:val="21"/>
                <w:szCs w:val="21"/>
              </w:rPr>
            </w:pPr>
            <w:r w:rsidRPr="002A7E62">
              <w:rPr>
                <w:sz w:val="21"/>
                <w:szCs w:val="21"/>
              </w:rPr>
              <w:t>1</w:t>
            </w: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完善政策相符性分析，进一步分析项目与《关于进一步加强</w:t>
            </w:r>
            <w:hyperlink r:id="rId9" w:tgtFrame="_blank" w:tooltip="煤炭资源开发新闻专题" w:history="1">
              <w:r w:rsidRPr="002A7E62">
                <w:rPr>
                  <w:rStyle w:val="aff2"/>
                  <w:rFonts w:hAnsi="宋体"/>
                  <w:color w:val="auto"/>
                  <w:sz w:val="21"/>
                  <w:szCs w:val="21"/>
                  <w:u w:val="none"/>
                </w:rPr>
                <w:t>煤炭资源开发</w:t>
              </w:r>
            </w:hyperlink>
            <w:hyperlink r:id="rId10" w:tgtFrame="_blank" w:tooltip="环境影响评价新闻专题" w:history="1">
              <w:r w:rsidRPr="002A7E62">
                <w:rPr>
                  <w:rStyle w:val="aff2"/>
                  <w:rFonts w:hAnsi="宋体"/>
                  <w:color w:val="auto"/>
                  <w:sz w:val="21"/>
                  <w:szCs w:val="21"/>
                  <w:u w:val="none"/>
                </w:rPr>
                <w:t>环境影响评价</w:t>
              </w:r>
            </w:hyperlink>
            <w:r w:rsidRPr="002A7E62">
              <w:rPr>
                <w:rFonts w:hAnsi="宋体"/>
                <w:sz w:val="21"/>
                <w:szCs w:val="21"/>
              </w:rPr>
              <w:t>管理的通知》（环环评</w:t>
            </w:r>
            <w:r w:rsidRPr="002A7E62">
              <w:rPr>
                <w:sz w:val="21"/>
                <w:szCs w:val="21"/>
              </w:rPr>
              <w:t>[2020]63</w:t>
            </w:r>
            <w:r w:rsidRPr="002A7E62">
              <w:rPr>
                <w:rFonts w:hAnsi="宋体"/>
                <w:sz w:val="21"/>
                <w:szCs w:val="21"/>
              </w:rPr>
              <w:t>号文）、《关于印发＜</w:t>
            </w:r>
            <w:r w:rsidRPr="002A7E62">
              <w:rPr>
                <w:sz w:val="21"/>
                <w:szCs w:val="21"/>
              </w:rPr>
              <w:t>30</w:t>
            </w:r>
            <w:r w:rsidRPr="002A7E62">
              <w:rPr>
                <w:rFonts w:hAnsi="宋体"/>
                <w:sz w:val="21"/>
                <w:szCs w:val="21"/>
              </w:rPr>
              <w:t>万吨</w:t>
            </w:r>
            <w:r w:rsidRPr="002A7E62">
              <w:rPr>
                <w:sz w:val="21"/>
                <w:szCs w:val="21"/>
              </w:rPr>
              <w:t>/</w:t>
            </w:r>
            <w:r w:rsidRPr="002A7E62">
              <w:rPr>
                <w:rFonts w:hAnsi="宋体"/>
                <w:sz w:val="21"/>
                <w:szCs w:val="21"/>
              </w:rPr>
              <w:t>年以下煤矿分类处置工作方案＞的通知》（发改能源</w:t>
            </w:r>
            <w:r w:rsidRPr="002A7E62">
              <w:rPr>
                <w:sz w:val="21"/>
                <w:szCs w:val="21"/>
              </w:rPr>
              <w:t>[2019]1377</w:t>
            </w:r>
            <w:r w:rsidRPr="002A7E62">
              <w:rPr>
                <w:rFonts w:hAnsi="宋体"/>
                <w:sz w:val="21"/>
                <w:szCs w:val="21"/>
              </w:rPr>
              <w:t>号文）、河南省矿产资源总体规划（</w:t>
            </w:r>
            <w:r w:rsidRPr="002A7E62">
              <w:rPr>
                <w:sz w:val="21"/>
                <w:szCs w:val="21"/>
              </w:rPr>
              <w:t>2016-2020</w:t>
            </w:r>
            <w:r w:rsidRPr="002A7E62">
              <w:rPr>
                <w:rFonts w:hAnsi="宋体"/>
                <w:sz w:val="21"/>
                <w:szCs w:val="21"/>
              </w:rPr>
              <w:t>年）等文件相符性</w:t>
            </w:r>
          </w:p>
        </w:tc>
        <w:tc>
          <w:tcPr>
            <w:tcW w:w="1291" w:type="pct"/>
            <w:shd w:val="clear" w:color="auto" w:fill="auto"/>
            <w:vAlign w:val="center"/>
          </w:tcPr>
          <w:p w:rsidR="00B65DD0" w:rsidRPr="002A7E62" w:rsidRDefault="00ED6E04" w:rsidP="00E3737A">
            <w:pPr>
              <w:spacing w:line="340" w:lineRule="exact"/>
              <w:rPr>
                <w:sz w:val="21"/>
                <w:szCs w:val="21"/>
              </w:rPr>
            </w:pPr>
            <w:r w:rsidRPr="002A7E62">
              <w:rPr>
                <w:rFonts w:hAnsi="宋体"/>
                <w:sz w:val="21"/>
                <w:szCs w:val="21"/>
              </w:rPr>
              <w:t>见</w:t>
            </w:r>
            <w:r w:rsidRPr="002A7E62">
              <w:rPr>
                <w:sz w:val="21"/>
                <w:szCs w:val="21"/>
              </w:rPr>
              <w:t>P2</w:t>
            </w:r>
            <w:r w:rsidR="00470224">
              <w:rPr>
                <w:rFonts w:hint="eastAsia"/>
                <w:sz w:val="21"/>
                <w:szCs w:val="21"/>
              </w:rPr>
              <w:t>4</w:t>
            </w:r>
            <w:r w:rsidR="00F3243D">
              <w:rPr>
                <w:rFonts w:hint="eastAsia"/>
                <w:sz w:val="21"/>
                <w:szCs w:val="21"/>
              </w:rPr>
              <w:t>6</w:t>
            </w:r>
            <w:r w:rsidR="00761DAD">
              <w:rPr>
                <w:sz w:val="21"/>
                <w:szCs w:val="21"/>
              </w:rPr>
              <w:t>-</w:t>
            </w:r>
            <w:r w:rsidRPr="002A7E62">
              <w:rPr>
                <w:sz w:val="21"/>
                <w:szCs w:val="21"/>
              </w:rPr>
              <w:t>24</w:t>
            </w:r>
            <w:r w:rsidR="00F3243D">
              <w:rPr>
                <w:rFonts w:hint="eastAsia"/>
                <w:sz w:val="21"/>
                <w:szCs w:val="21"/>
              </w:rPr>
              <w:t>7</w:t>
            </w:r>
          </w:p>
          <w:p w:rsidR="00ED6E04" w:rsidRPr="002A7E62" w:rsidRDefault="00ED6E04" w:rsidP="00F3243D">
            <w:pPr>
              <w:spacing w:line="340" w:lineRule="exact"/>
              <w:rPr>
                <w:sz w:val="21"/>
                <w:szCs w:val="21"/>
              </w:rPr>
            </w:pPr>
            <w:r w:rsidRPr="002A7E62">
              <w:rPr>
                <w:sz w:val="21"/>
                <w:szCs w:val="21"/>
              </w:rPr>
              <w:t>P2</w:t>
            </w:r>
            <w:r w:rsidR="00470224">
              <w:rPr>
                <w:rFonts w:hint="eastAsia"/>
                <w:sz w:val="21"/>
                <w:szCs w:val="21"/>
              </w:rPr>
              <w:t>5</w:t>
            </w:r>
            <w:r w:rsidR="00F3243D">
              <w:rPr>
                <w:rFonts w:hint="eastAsia"/>
                <w:sz w:val="21"/>
                <w:szCs w:val="21"/>
              </w:rPr>
              <w:t>4</w:t>
            </w:r>
            <w:r w:rsidR="00761DAD">
              <w:rPr>
                <w:sz w:val="21"/>
                <w:szCs w:val="21"/>
              </w:rPr>
              <w:t>-</w:t>
            </w:r>
            <w:r w:rsidRPr="002A7E62">
              <w:rPr>
                <w:sz w:val="21"/>
                <w:szCs w:val="21"/>
              </w:rPr>
              <w:t>2</w:t>
            </w:r>
            <w:r w:rsidR="00470224">
              <w:rPr>
                <w:rFonts w:hint="eastAsia"/>
                <w:sz w:val="21"/>
                <w:szCs w:val="21"/>
              </w:rPr>
              <w:t>5</w:t>
            </w:r>
            <w:r w:rsidR="00F3243D">
              <w:rPr>
                <w:rFonts w:hint="eastAsia"/>
                <w:sz w:val="21"/>
                <w:szCs w:val="21"/>
              </w:rPr>
              <w:t>5</w:t>
            </w:r>
            <w:r w:rsidRPr="002A7E62">
              <w:rPr>
                <w:rFonts w:hAnsi="宋体"/>
                <w:sz w:val="21"/>
                <w:szCs w:val="21"/>
              </w:rPr>
              <w:t>、</w:t>
            </w:r>
            <w:r w:rsidRPr="002A7E62">
              <w:rPr>
                <w:sz w:val="21"/>
                <w:szCs w:val="21"/>
              </w:rPr>
              <w:t>P2</w:t>
            </w:r>
            <w:r w:rsidR="00F3243D">
              <w:rPr>
                <w:rFonts w:hint="eastAsia"/>
                <w:sz w:val="21"/>
                <w:szCs w:val="21"/>
              </w:rPr>
              <w:t>82</w:t>
            </w:r>
          </w:p>
        </w:tc>
      </w:tr>
      <w:tr w:rsidR="00ED6E04" w:rsidRPr="002A7E62" w:rsidTr="00AF55CF">
        <w:trPr>
          <w:jc w:val="center"/>
        </w:trPr>
        <w:tc>
          <w:tcPr>
            <w:tcW w:w="277" w:type="pct"/>
            <w:vMerge/>
            <w:shd w:val="clear" w:color="auto" w:fill="auto"/>
            <w:vAlign w:val="center"/>
          </w:tcPr>
          <w:p w:rsidR="00ED6E04" w:rsidRPr="002A7E62" w:rsidRDefault="00ED6E04" w:rsidP="00E3737A">
            <w:pPr>
              <w:spacing w:line="340" w:lineRule="exact"/>
              <w:jc w:val="center"/>
              <w:rPr>
                <w:sz w:val="21"/>
                <w:szCs w:val="21"/>
              </w:rPr>
            </w:pP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细化项目建设与省、市、县</w:t>
            </w:r>
            <w:r w:rsidRPr="002A7E62">
              <w:rPr>
                <w:sz w:val="21"/>
                <w:szCs w:val="21"/>
              </w:rPr>
              <w:t>“</w:t>
            </w:r>
            <w:r w:rsidRPr="002A7E62">
              <w:rPr>
                <w:rFonts w:hAnsi="宋体"/>
                <w:sz w:val="21"/>
                <w:szCs w:val="21"/>
              </w:rPr>
              <w:t>三线一单</w:t>
            </w:r>
            <w:r w:rsidRPr="002A7E62">
              <w:rPr>
                <w:sz w:val="21"/>
                <w:szCs w:val="21"/>
              </w:rPr>
              <w:t>”</w:t>
            </w:r>
            <w:r w:rsidRPr="002A7E62">
              <w:rPr>
                <w:rFonts w:hAnsi="宋体"/>
                <w:sz w:val="21"/>
                <w:szCs w:val="21"/>
              </w:rPr>
              <w:t>相符性</w:t>
            </w:r>
          </w:p>
        </w:tc>
        <w:tc>
          <w:tcPr>
            <w:tcW w:w="1291" w:type="pct"/>
            <w:shd w:val="clear" w:color="auto" w:fill="auto"/>
            <w:vAlign w:val="center"/>
          </w:tcPr>
          <w:p w:rsidR="00ED6E04" w:rsidRPr="002A7E62" w:rsidRDefault="00ED6E04" w:rsidP="00523D53">
            <w:pPr>
              <w:pStyle w:val="a1"/>
              <w:spacing w:after="0" w:line="340" w:lineRule="exact"/>
              <w:rPr>
                <w:sz w:val="21"/>
                <w:szCs w:val="21"/>
              </w:rPr>
            </w:pPr>
            <w:r w:rsidRPr="002A7E62">
              <w:rPr>
                <w:sz w:val="21"/>
                <w:szCs w:val="21"/>
              </w:rPr>
              <w:t>见</w:t>
            </w:r>
            <w:r w:rsidRPr="002A7E62">
              <w:rPr>
                <w:sz w:val="21"/>
                <w:szCs w:val="21"/>
              </w:rPr>
              <w:t>P29</w:t>
            </w:r>
            <w:r w:rsidR="00F3243D">
              <w:rPr>
                <w:rFonts w:hint="eastAsia"/>
                <w:sz w:val="21"/>
                <w:szCs w:val="21"/>
              </w:rPr>
              <w:t>9</w:t>
            </w:r>
            <w:r w:rsidR="00761DAD">
              <w:rPr>
                <w:sz w:val="21"/>
                <w:szCs w:val="21"/>
              </w:rPr>
              <w:t>-</w:t>
            </w:r>
            <w:r w:rsidR="00470224">
              <w:rPr>
                <w:rFonts w:hint="eastAsia"/>
                <w:sz w:val="21"/>
                <w:szCs w:val="21"/>
              </w:rPr>
              <w:t>30</w:t>
            </w:r>
            <w:r w:rsidR="00523D53">
              <w:rPr>
                <w:rFonts w:hint="eastAsia"/>
                <w:sz w:val="21"/>
                <w:szCs w:val="21"/>
              </w:rPr>
              <w:t>5</w:t>
            </w:r>
          </w:p>
        </w:tc>
      </w:tr>
      <w:tr w:rsidR="00ED6E04" w:rsidRPr="002A7E62" w:rsidTr="00AF55CF">
        <w:trPr>
          <w:jc w:val="center"/>
        </w:trPr>
        <w:tc>
          <w:tcPr>
            <w:tcW w:w="277" w:type="pct"/>
            <w:vMerge/>
            <w:shd w:val="clear" w:color="auto" w:fill="auto"/>
            <w:vAlign w:val="center"/>
          </w:tcPr>
          <w:p w:rsidR="00ED6E04" w:rsidRPr="002A7E62" w:rsidRDefault="00ED6E04" w:rsidP="00E3737A">
            <w:pPr>
              <w:spacing w:line="340" w:lineRule="exact"/>
              <w:jc w:val="center"/>
              <w:rPr>
                <w:sz w:val="21"/>
                <w:szCs w:val="21"/>
              </w:rPr>
            </w:pP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进一步分析项目原煤洗选去向，并分析合理性、可靠性及保证性</w:t>
            </w:r>
          </w:p>
        </w:tc>
        <w:tc>
          <w:tcPr>
            <w:tcW w:w="1291" w:type="pct"/>
            <w:shd w:val="clear" w:color="auto" w:fill="auto"/>
            <w:vAlign w:val="center"/>
          </w:tcPr>
          <w:p w:rsidR="00ED6E04" w:rsidRPr="002A7E62" w:rsidRDefault="00ED6E04" w:rsidP="00E3737A">
            <w:pPr>
              <w:pStyle w:val="a1"/>
              <w:spacing w:after="0" w:line="340" w:lineRule="exact"/>
              <w:rPr>
                <w:sz w:val="21"/>
                <w:szCs w:val="21"/>
              </w:rPr>
            </w:pPr>
            <w:r w:rsidRPr="002A7E62">
              <w:rPr>
                <w:sz w:val="21"/>
                <w:szCs w:val="21"/>
              </w:rPr>
              <w:t>见</w:t>
            </w:r>
            <w:r w:rsidRPr="002A7E62">
              <w:rPr>
                <w:sz w:val="21"/>
                <w:szCs w:val="21"/>
              </w:rPr>
              <w:t>P4</w:t>
            </w:r>
            <w:r w:rsidR="001044CC">
              <w:rPr>
                <w:rFonts w:hint="eastAsia"/>
                <w:sz w:val="21"/>
                <w:szCs w:val="21"/>
              </w:rPr>
              <w:t>7</w:t>
            </w:r>
            <w:r w:rsidR="00761DAD">
              <w:rPr>
                <w:sz w:val="21"/>
                <w:szCs w:val="21"/>
              </w:rPr>
              <w:t>-</w:t>
            </w:r>
            <w:r w:rsidRPr="002A7E62">
              <w:rPr>
                <w:sz w:val="21"/>
                <w:szCs w:val="21"/>
              </w:rPr>
              <w:t>4</w:t>
            </w:r>
            <w:r w:rsidR="001044CC">
              <w:rPr>
                <w:rFonts w:hint="eastAsia"/>
                <w:sz w:val="21"/>
                <w:szCs w:val="21"/>
              </w:rPr>
              <w:t>8</w:t>
            </w:r>
          </w:p>
        </w:tc>
      </w:tr>
      <w:tr w:rsidR="00ED6E04" w:rsidRPr="002A7E62" w:rsidTr="00AF55CF">
        <w:trPr>
          <w:jc w:val="center"/>
        </w:trPr>
        <w:tc>
          <w:tcPr>
            <w:tcW w:w="277" w:type="pct"/>
            <w:vMerge w:val="restart"/>
            <w:shd w:val="clear" w:color="auto" w:fill="auto"/>
            <w:vAlign w:val="center"/>
          </w:tcPr>
          <w:p w:rsidR="00ED6E04" w:rsidRPr="002A7E62" w:rsidRDefault="00ED6E04" w:rsidP="00E3737A">
            <w:pPr>
              <w:spacing w:line="340" w:lineRule="exact"/>
              <w:jc w:val="center"/>
              <w:rPr>
                <w:sz w:val="21"/>
                <w:szCs w:val="21"/>
              </w:rPr>
            </w:pPr>
            <w:r w:rsidRPr="002A7E62">
              <w:rPr>
                <w:sz w:val="21"/>
                <w:szCs w:val="21"/>
              </w:rPr>
              <w:t>2</w:t>
            </w: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进一步调查项目建设现状，细化介绍项目改造的具体工程内容，核实主要设备一览表及依托关系。</w:t>
            </w:r>
          </w:p>
        </w:tc>
        <w:tc>
          <w:tcPr>
            <w:tcW w:w="1291" w:type="pct"/>
            <w:shd w:val="clear" w:color="auto" w:fill="auto"/>
            <w:vAlign w:val="center"/>
          </w:tcPr>
          <w:p w:rsidR="00ED6E04" w:rsidRPr="002A7E62" w:rsidRDefault="00ED6E04" w:rsidP="00E3737A">
            <w:pPr>
              <w:spacing w:line="340" w:lineRule="exact"/>
              <w:rPr>
                <w:sz w:val="21"/>
                <w:szCs w:val="21"/>
              </w:rPr>
            </w:pPr>
            <w:r w:rsidRPr="002A7E62">
              <w:rPr>
                <w:rFonts w:hAnsi="宋体"/>
                <w:sz w:val="21"/>
                <w:szCs w:val="21"/>
              </w:rPr>
              <w:t>见</w:t>
            </w:r>
            <w:r w:rsidRPr="002A7E62">
              <w:rPr>
                <w:sz w:val="21"/>
                <w:szCs w:val="21"/>
              </w:rPr>
              <w:t>P4</w:t>
            </w:r>
            <w:r w:rsidRPr="002A7E62">
              <w:rPr>
                <w:rFonts w:hAnsi="宋体"/>
                <w:sz w:val="21"/>
                <w:szCs w:val="21"/>
              </w:rPr>
              <w:t>、</w:t>
            </w:r>
            <w:r w:rsidRPr="002A7E62">
              <w:rPr>
                <w:sz w:val="21"/>
                <w:szCs w:val="21"/>
              </w:rPr>
              <w:t>P29</w:t>
            </w:r>
            <w:r w:rsidRPr="002A7E62">
              <w:rPr>
                <w:rFonts w:hAnsi="宋体"/>
                <w:sz w:val="21"/>
                <w:szCs w:val="21"/>
              </w:rPr>
              <w:t>、</w:t>
            </w:r>
            <w:r w:rsidRPr="002A7E62">
              <w:rPr>
                <w:sz w:val="21"/>
                <w:szCs w:val="21"/>
              </w:rPr>
              <w:t>P4</w:t>
            </w:r>
            <w:r w:rsidR="001044CC">
              <w:rPr>
                <w:rFonts w:hint="eastAsia"/>
                <w:sz w:val="21"/>
                <w:szCs w:val="21"/>
              </w:rPr>
              <w:t>5</w:t>
            </w:r>
            <w:r w:rsidRPr="002A7E62">
              <w:rPr>
                <w:rFonts w:hAnsi="宋体"/>
                <w:sz w:val="21"/>
                <w:szCs w:val="21"/>
              </w:rPr>
              <w:t>、</w:t>
            </w:r>
            <w:r w:rsidRPr="002A7E62">
              <w:rPr>
                <w:sz w:val="21"/>
                <w:szCs w:val="21"/>
              </w:rPr>
              <w:t>P6</w:t>
            </w:r>
            <w:r w:rsidR="001044CC">
              <w:rPr>
                <w:rFonts w:hint="eastAsia"/>
                <w:sz w:val="21"/>
                <w:szCs w:val="21"/>
              </w:rPr>
              <w:t>1</w:t>
            </w:r>
            <w:r w:rsidRPr="002A7E62">
              <w:rPr>
                <w:rFonts w:hAnsi="宋体"/>
                <w:sz w:val="21"/>
                <w:szCs w:val="21"/>
              </w:rPr>
              <w:t>，已细化完善了相关内容</w:t>
            </w:r>
          </w:p>
        </w:tc>
      </w:tr>
      <w:tr w:rsidR="00E3737A" w:rsidRPr="002A7E62" w:rsidTr="00AF55CF">
        <w:trPr>
          <w:jc w:val="center"/>
        </w:trPr>
        <w:tc>
          <w:tcPr>
            <w:tcW w:w="277" w:type="pct"/>
            <w:vMerge/>
            <w:shd w:val="clear" w:color="auto" w:fill="auto"/>
            <w:vAlign w:val="center"/>
          </w:tcPr>
          <w:p w:rsidR="00E3737A" w:rsidRPr="002A7E62" w:rsidRDefault="00E3737A" w:rsidP="00E3737A">
            <w:pPr>
              <w:spacing w:line="340" w:lineRule="exact"/>
              <w:jc w:val="center"/>
              <w:rPr>
                <w:sz w:val="21"/>
                <w:szCs w:val="21"/>
              </w:rPr>
            </w:pPr>
          </w:p>
        </w:tc>
        <w:tc>
          <w:tcPr>
            <w:tcW w:w="3432" w:type="pct"/>
            <w:vAlign w:val="center"/>
          </w:tcPr>
          <w:p w:rsidR="00E3737A" w:rsidRPr="002A7E62" w:rsidRDefault="00E3737A" w:rsidP="00E3737A">
            <w:pPr>
              <w:spacing w:line="340" w:lineRule="exact"/>
              <w:rPr>
                <w:rFonts w:hAnsi="宋体"/>
                <w:sz w:val="21"/>
                <w:szCs w:val="21"/>
              </w:rPr>
            </w:pPr>
            <w:r w:rsidRPr="002A7E62">
              <w:rPr>
                <w:rFonts w:hAnsi="宋体"/>
                <w:sz w:val="21"/>
                <w:szCs w:val="21"/>
              </w:rPr>
              <w:t>明确供热热源</w:t>
            </w:r>
          </w:p>
        </w:tc>
        <w:tc>
          <w:tcPr>
            <w:tcW w:w="1291" w:type="pct"/>
            <w:shd w:val="clear" w:color="auto" w:fill="auto"/>
            <w:vAlign w:val="center"/>
          </w:tcPr>
          <w:p w:rsidR="00E3737A" w:rsidRPr="002A7E62" w:rsidRDefault="00E3737A" w:rsidP="00E3737A">
            <w:pPr>
              <w:spacing w:line="340" w:lineRule="exact"/>
              <w:rPr>
                <w:rFonts w:hAnsi="宋体"/>
                <w:sz w:val="21"/>
                <w:szCs w:val="21"/>
              </w:rPr>
            </w:pPr>
            <w:r>
              <w:rPr>
                <w:rFonts w:hAnsi="宋体" w:hint="eastAsia"/>
                <w:sz w:val="21"/>
                <w:szCs w:val="21"/>
              </w:rPr>
              <w:t>见</w:t>
            </w:r>
            <w:r w:rsidR="00EB0AAE">
              <w:rPr>
                <w:rFonts w:hAnsi="宋体" w:hint="eastAsia"/>
                <w:sz w:val="21"/>
                <w:szCs w:val="21"/>
              </w:rPr>
              <w:t>P64-</w:t>
            </w:r>
            <w:r>
              <w:rPr>
                <w:rFonts w:hAnsi="宋体" w:hint="eastAsia"/>
                <w:sz w:val="21"/>
                <w:szCs w:val="21"/>
              </w:rPr>
              <w:t>65</w:t>
            </w:r>
          </w:p>
        </w:tc>
      </w:tr>
      <w:tr w:rsidR="00ED6E04" w:rsidRPr="002A7E62" w:rsidTr="00AF55CF">
        <w:trPr>
          <w:jc w:val="center"/>
        </w:trPr>
        <w:tc>
          <w:tcPr>
            <w:tcW w:w="277" w:type="pct"/>
            <w:vMerge/>
            <w:shd w:val="clear" w:color="auto" w:fill="auto"/>
            <w:vAlign w:val="center"/>
          </w:tcPr>
          <w:p w:rsidR="00ED6E04" w:rsidRPr="002A7E62" w:rsidRDefault="00ED6E04" w:rsidP="00E3737A">
            <w:pPr>
              <w:spacing w:line="340" w:lineRule="exact"/>
              <w:jc w:val="center"/>
              <w:rPr>
                <w:sz w:val="21"/>
                <w:szCs w:val="21"/>
              </w:rPr>
            </w:pPr>
          </w:p>
        </w:tc>
        <w:tc>
          <w:tcPr>
            <w:tcW w:w="3432" w:type="pct"/>
            <w:vAlign w:val="center"/>
          </w:tcPr>
          <w:p w:rsidR="00ED6E04" w:rsidRPr="002A7E62" w:rsidRDefault="00ED6E04" w:rsidP="00E3737A">
            <w:pPr>
              <w:spacing w:line="340" w:lineRule="exact"/>
              <w:rPr>
                <w:sz w:val="21"/>
                <w:szCs w:val="21"/>
              </w:rPr>
            </w:pPr>
            <w:r w:rsidRPr="001D482D">
              <w:rPr>
                <w:rFonts w:hAnsi="宋体"/>
                <w:sz w:val="21"/>
                <w:szCs w:val="21"/>
              </w:rPr>
              <w:t>进一步核实矿井涌水产生量及水质</w:t>
            </w:r>
            <w:r w:rsidRPr="002A7E62">
              <w:rPr>
                <w:rFonts w:hAnsi="宋体"/>
                <w:sz w:val="21"/>
                <w:szCs w:val="21"/>
              </w:rPr>
              <w:t>，结合生态环境管理部门对本项目的水污染物排放要求及标准，核实生活污水及矿井水处理措施，并分析处理措施的可行性，进一步论证废水综合利用途径的可行性、可靠性，核实水平衡图，补充非正常工况条件下废水排放防范措施及影响分析。</w:t>
            </w:r>
          </w:p>
        </w:tc>
        <w:tc>
          <w:tcPr>
            <w:tcW w:w="1291" w:type="pct"/>
            <w:shd w:val="clear" w:color="auto" w:fill="auto"/>
            <w:vAlign w:val="center"/>
          </w:tcPr>
          <w:p w:rsidR="00ED6E04" w:rsidRPr="002A7E62" w:rsidRDefault="00ED6E04" w:rsidP="00291C24">
            <w:pPr>
              <w:spacing w:line="340" w:lineRule="exact"/>
              <w:rPr>
                <w:sz w:val="21"/>
                <w:szCs w:val="21"/>
              </w:rPr>
            </w:pPr>
            <w:r w:rsidRPr="002A7E62">
              <w:rPr>
                <w:rFonts w:hAnsi="宋体"/>
                <w:sz w:val="21"/>
                <w:szCs w:val="21"/>
              </w:rPr>
              <w:t>见</w:t>
            </w:r>
            <w:r w:rsidRPr="002A7E62">
              <w:rPr>
                <w:sz w:val="21"/>
                <w:szCs w:val="21"/>
              </w:rPr>
              <w:t>P</w:t>
            </w:r>
            <w:r w:rsidR="00951704">
              <w:rPr>
                <w:rFonts w:hint="eastAsia"/>
                <w:sz w:val="21"/>
                <w:szCs w:val="21"/>
              </w:rPr>
              <w:t>58</w:t>
            </w:r>
            <w:r w:rsidRPr="002A7E62">
              <w:rPr>
                <w:rFonts w:hAnsi="宋体"/>
                <w:sz w:val="21"/>
                <w:szCs w:val="21"/>
              </w:rPr>
              <w:t>、</w:t>
            </w:r>
            <w:r w:rsidRPr="002A7E62">
              <w:rPr>
                <w:sz w:val="21"/>
                <w:szCs w:val="21"/>
              </w:rPr>
              <w:t>P6</w:t>
            </w:r>
            <w:r w:rsidR="00A2097A">
              <w:rPr>
                <w:rFonts w:hint="eastAsia"/>
                <w:sz w:val="21"/>
                <w:szCs w:val="21"/>
              </w:rPr>
              <w:t>3-P64</w:t>
            </w:r>
            <w:r w:rsidRPr="002A7E62">
              <w:rPr>
                <w:rFonts w:hAnsi="宋体"/>
                <w:sz w:val="21"/>
                <w:szCs w:val="21"/>
              </w:rPr>
              <w:t>、</w:t>
            </w:r>
            <w:r w:rsidRPr="002A7E62">
              <w:rPr>
                <w:sz w:val="21"/>
                <w:szCs w:val="21"/>
              </w:rPr>
              <w:t>P7</w:t>
            </w:r>
            <w:r w:rsidR="00357118">
              <w:rPr>
                <w:rFonts w:hint="eastAsia"/>
                <w:sz w:val="21"/>
                <w:szCs w:val="21"/>
              </w:rPr>
              <w:t>0</w:t>
            </w:r>
            <w:r w:rsidRPr="002A7E62">
              <w:rPr>
                <w:sz w:val="21"/>
                <w:szCs w:val="21"/>
              </w:rPr>
              <w:t>-P7</w:t>
            </w:r>
            <w:r w:rsidR="003B1886">
              <w:rPr>
                <w:rFonts w:hint="eastAsia"/>
                <w:sz w:val="21"/>
                <w:szCs w:val="21"/>
              </w:rPr>
              <w:t>2</w:t>
            </w:r>
            <w:r w:rsidRPr="002A7E62">
              <w:rPr>
                <w:rFonts w:hAnsi="宋体"/>
                <w:sz w:val="21"/>
                <w:szCs w:val="21"/>
              </w:rPr>
              <w:t>、</w:t>
            </w:r>
            <w:r w:rsidRPr="002A7E62">
              <w:rPr>
                <w:sz w:val="21"/>
                <w:szCs w:val="21"/>
              </w:rPr>
              <w:t>P20</w:t>
            </w:r>
            <w:r w:rsidR="00291C24">
              <w:rPr>
                <w:rFonts w:hint="eastAsia"/>
                <w:sz w:val="21"/>
                <w:szCs w:val="21"/>
              </w:rPr>
              <w:t>9</w:t>
            </w:r>
            <w:r w:rsidRPr="002A7E62">
              <w:rPr>
                <w:sz w:val="21"/>
                <w:szCs w:val="21"/>
              </w:rPr>
              <w:t>-P2</w:t>
            </w:r>
            <w:r w:rsidR="00291C24">
              <w:rPr>
                <w:rFonts w:hint="eastAsia"/>
                <w:sz w:val="21"/>
                <w:szCs w:val="21"/>
              </w:rPr>
              <w:t>13</w:t>
            </w:r>
            <w:r w:rsidRPr="002A7E62">
              <w:rPr>
                <w:rFonts w:hAnsi="宋体"/>
                <w:sz w:val="21"/>
                <w:szCs w:val="21"/>
              </w:rPr>
              <w:t>、</w:t>
            </w:r>
            <w:r w:rsidRPr="002A7E62">
              <w:rPr>
                <w:sz w:val="21"/>
                <w:szCs w:val="21"/>
              </w:rPr>
              <w:t>P21</w:t>
            </w:r>
            <w:r w:rsidR="00BE1EF9">
              <w:rPr>
                <w:rFonts w:hint="eastAsia"/>
                <w:sz w:val="21"/>
                <w:szCs w:val="21"/>
              </w:rPr>
              <w:t>7-218</w:t>
            </w:r>
            <w:r w:rsidRPr="002A7E62">
              <w:rPr>
                <w:rFonts w:hAnsi="宋体"/>
                <w:sz w:val="21"/>
                <w:szCs w:val="21"/>
              </w:rPr>
              <w:t>，已核实、补充完善了相关内容</w:t>
            </w:r>
          </w:p>
        </w:tc>
      </w:tr>
      <w:tr w:rsidR="00ED6E04" w:rsidRPr="002A7E62" w:rsidTr="00AF55CF">
        <w:trPr>
          <w:jc w:val="center"/>
        </w:trPr>
        <w:tc>
          <w:tcPr>
            <w:tcW w:w="277" w:type="pct"/>
            <w:vMerge w:val="restart"/>
            <w:shd w:val="clear" w:color="auto" w:fill="auto"/>
            <w:vAlign w:val="center"/>
          </w:tcPr>
          <w:p w:rsidR="00ED6E04" w:rsidRPr="002A7E62" w:rsidRDefault="00ED6E04" w:rsidP="00E3737A">
            <w:pPr>
              <w:spacing w:line="340" w:lineRule="exact"/>
              <w:jc w:val="center"/>
              <w:rPr>
                <w:sz w:val="21"/>
                <w:szCs w:val="21"/>
              </w:rPr>
            </w:pPr>
            <w:r w:rsidRPr="002A7E62">
              <w:rPr>
                <w:sz w:val="21"/>
                <w:szCs w:val="21"/>
              </w:rPr>
              <w:t>3</w:t>
            </w:r>
          </w:p>
        </w:tc>
        <w:tc>
          <w:tcPr>
            <w:tcW w:w="3432" w:type="pct"/>
            <w:vAlign w:val="center"/>
          </w:tcPr>
          <w:p w:rsidR="00ED6E04" w:rsidRPr="002A7E62" w:rsidRDefault="00ED6E04" w:rsidP="00797E70">
            <w:pPr>
              <w:spacing w:line="340" w:lineRule="exact"/>
              <w:rPr>
                <w:sz w:val="21"/>
                <w:szCs w:val="21"/>
              </w:rPr>
            </w:pPr>
            <w:r w:rsidRPr="002A7E62">
              <w:rPr>
                <w:rFonts w:hAnsi="宋体"/>
                <w:sz w:val="21"/>
                <w:szCs w:val="21"/>
              </w:rPr>
              <w:t>核实原有工程建设情况及存在的环保问题，明确本次技改工程变化内容及原有环保问题整改计划</w:t>
            </w:r>
            <w:r w:rsidR="00797E70">
              <w:rPr>
                <w:rFonts w:hAnsi="宋体" w:hint="eastAsia"/>
                <w:sz w:val="21"/>
                <w:szCs w:val="21"/>
              </w:rPr>
              <w:t>。</w:t>
            </w:r>
          </w:p>
        </w:tc>
        <w:tc>
          <w:tcPr>
            <w:tcW w:w="1291" w:type="pct"/>
            <w:shd w:val="clear" w:color="auto" w:fill="auto"/>
            <w:vAlign w:val="center"/>
          </w:tcPr>
          <w:p w:rsidR="00ED6E04" w:rsidRPr="002A7E62" w:rsidRDefault="00ED6E04" w:rsidP="0075672E">
            <w:pPr>
              <w:spacing w:line="340" w:lineRule="exact"/>
              <w:rPr>
                <w:sz w:val="21"/>
                <w:szCs w:val="21"/>
              </w:rPr>
            </w:pPr>
            <w:r w:rsidRPr="002A7E62">
              <w:rPr>
                <w:rFonts w:hAnsi="宋体"/>
                <w:sz w:val="21"/>
                <w:szCs w:val="21"/>
              </w:rPr>
              <w:t>见</w:t>
            </w:r>
            <w:r w:rsidRPr="002A7E62">
              <w:rPr>
                <w:sz w:val="21"/>
                <w:szCs w:val="21"/>
              </w:rPr>
              <w:t>P29</w:t>
            </w:r>
            <w:r w:rsidRPr="002A7E62">
              <w:rPr>
                <w:rFonts w:hAnsi="宋体"/>
                <w:sz w:val="21"/>
                <w:szCs w:val="21"/>
              </w:rPr>
              <w:t>、</w:t>
            </w:r>
            <w:r w:rsidRPr="002A7E62">
              <w:rPr>
                <w:sz w:val="21"/>
                <w:szCs w:val="21"/>
              </w:rPr>
              <w:t>P43-P44</w:t>
            </w:r>
            <w:r w:rsidRPr="002A7E62">
              <w:rPr>
                <w:rFonts w:hAnsi="宋体"/>
                <w:sz w:val="21"/>
                <w:szCs w:val="21"/>
              </w:rPr>
              <w:t>、</w:t>
            </w:r>
          </w:p>
        </w:tc>
      </w:tr>
      <w:tr w:rsidR="00797E70" w:rsidRPr="002A7E62" w:rsidTr="00AF55CF">
        <w:trPr>
          <w:jc w:val="center"/>
        </w:trPr>
        <w:tc>
          <w:tcPr>
            <w:tcW w:w="277" w:type="pct"/>
            <w:vMerge/>
            <w:shd w:val="clear" w:color="auto" w:fill="auto"/>
            <w:vAlign w:val="center"/>
          </w:tcPr>
          <w:p w:rsidR="00797E70" w:rsidRPr="002A7E62" w:rsidRDefault="00797E70" w:rsidP="00E3737A">
            <w:pPr>
              <w:spacing w:line="340" w:lineRule="exact"/>
              <w:jc w:val="center"/>
              <w:rPr>
                <w:sz w:val="21"/>
                <w:szCs w:val="21"/>
              </w:rPr>
            </w:pPr>
          </w:p>
        </w:tc>
        <w:tc>
          <w:tcPr>
            <w:tcW w:w="3432" w:type="pct"/>
            <w:vAlign w:val="center"/>
          </w:tcPr>
          <w:p w:rsidR="00797E70" w:rsidRPr="002A7E62" w:rsidRDefault="00797E70" w:rsidP="00E3737A">
            <w:pPr>
              <w:spacing w:line="340" w:lineRule="exact"/>
              <w:rPr>
                <w:rFonts w:hAnsi="宋体"/>
                <w:sz w:val="21"/>
                <w:szCs w:val="21"/>
              </w:rPr>
            </w:pPr>
            <w:r w:rsidRPr="002A7E62">
              <w:rPr>
                <w:rFonts w:hAnsi="宋体"/>
                <w:sz w:val="21"/>
                <w:szCs w:val="21"/>
              </w:rPr>
              <w:t>补充煤泥脱水措施，雨水管网建设要求。</w:t>
            </w:r>
          </w:p>
        </w:tc>
        <w:tc>
          <w:tcPr>
            <w:tcW w:w="1291" w:type="pct"/>
            <w:shd w:val="clear" w:color="auto" w:fill="auto"/>
            <w:vAlign w:val="center"/>
          </w:tcPr>
          <w:p w:rsidR="00797E70" w:rsidRPr="002A7E62" w:rsidRDefault="0075672E" w:rsidP="00291C24">
            <w:pPr>
              <w:spacing w:line="340" w:lineRule="exact"/>
              <w:rPr>
                <w:rFonts w:hAnsi="宋体"/>
                <w:sz w:val="21"/>
                <w:szCs w:val="21"/>
              </w:rPr>
            </w:pPr>
            <w:r w:rsidRPr="002A7E62">
              <w:rPr>
                <w:rFonts w:hAnsi="宋体"/>
                <w:sz w:val="21"/>
                <w:szCs w:val="21"/>
              </w:rPr>
              <w:t>见</w:t>
            </w:r>
            <w:r>
              <w:rPr>
                <w:rFonts w:hint="eastAsia"/>
                <w:sz w:val="21"/>
                <w:szCs w:val="21"/>
              </w:rPr>
              <w:t>P7</w:t>
            </w:r>
            <w:r w:rsidR="00291C24">
              <w:rPr>
                <w:rFonts w:hint="eastAsia"/>
                <w:sz w:val="21"/>
                <w:szCs w:val="21"/>
              </w:rPr>
              <w:t>4</w:t>
            </w:r>
            <w:r w:rsidR="00AC7A9B" w:rsidRPr="002A7E62">
              <w:rPr>
                <w:sz w:val="21"/>
                <w:szCs w:val="21"/>
              </w:rPr>
              <w:t xml:space="preserve"> </w:t>
            </w:r>
            <w:r w:rsidR="00AC7A9B">
              <w:rPr>
                <w:rFonts w:hint="eastAsia"/>
                <w:sz w:val="21"/>
                <w:szCs w:val="21"/>
              </w:rPr>
              <w:t>、</w:t>
            </w:r>
            <w:r w:rsidR="00AC7A9B" w:rsidRPr="002A7E62">
              <w:rPr>
                <w:sz w:val="21"/>
                <w:szCs w:val="21"/>
              </w:rPr>
              <w:t>P64</w:t>
            </w:r>
          </w:p>
        </w:tc>
      </w:tr>
      <w:tr w:rsidR="00ED6E04" w:rsidRPr="002A7E62" w:rsidTr="00AF55CF">
        <w:trPr>
          <w:jc w:val="center"/>
        </w:trPr>
        <w:tc>
          <w:tcPr>
            <w:tcW w:w="277" w:type="pct"/>
            <w:vMerge/>
            <w:shd w:val="clear" w:color="auto" w:fill="auto"/>
            <w:vAlign w:val="center"/>
          </w:tcPr>
          <w:p w:rsidR="00ED6E04" w:rsidRPr="002A7E62" w:rsidRDefault="00ED6E04" w:rsidP="00E3737A">
            <w:pPr>
              <w:spacing w:line="340" w:lineRule="exact"/>
              <w:jc w:val="center"/>
              <w:rPr>
                <w:sz w:val="21"/>
                <w:szCs w:val="21"/>
              </w:rPr>
            </w:pP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结合开采工艺，核实本项目工艺装备技术水平、清洁生产指标，完善清洁生产水平分析相关内容。</w:t>
            </w:r>
          </w:p>
        </w:tc>
        <w:tc>
          <w:tcPr>
            <w:tcW w:w="1291" w:type="pct"/>
            <w:shd w:val="clear" w:color="auto" w:fill="auto"/>
            <w:vAlign w:val="center"/>
          </w:tcPr>
          <w:p w:rsidR="00ED6E04" w:rsidRPr="002A7E62" w:rsidRDefault="00ED6E04" w:rsidP="00291C24">
            <w:pPr>
              <w:spacing w:line="340" w:lineRule="exact"/>
              <w:rPr>
                <w:sz w:val="21"/>
                <w:szCs w:val="21"/>
              </w:rPr>
            </w:pPr>
            <w:r w:rsidRPr="002A7E62">
              <w:rPr>
                <w:rFonts w:hAnsi="宋体"/>
                <w:sz w:val="21"/>
                <w:szCs w:val="21"/>
              </w:rPr>
              <w:t>见</w:t>
            </w:r>
            <w:r w:rsidRPr="002A7E62">
              <w:rPr>
                <w:sz w:val="21"/>
                <w:szCs w:val="21"/>
              </w:rPr>
              <w:t>P</w:t>
            </w:r>
            <w:r w:rsidR="00291C24">
              <w:rPr>
                <w:rFonts w:hint="eastAsia"/>
                <w:sz w:val="21"/>
                <w:szCs w:val="21"/>
              </w:rPr>
              <w:t>81</w:t>
            </w:r>
            <w:r w:rsidRPr="002A7E62">
              <w:rPr>
                <w:sz w:val="21"/>
                <w:szCs w:val="21"/>
              </w:rPr>
              <w:t>-P</w:t>
            </w:r>
            <w:r w:rsidR="00B171A8">
              <w:rPr>
                <w:rFonts w:hint="eastAsia"/>
                <w:sz w:val="21"/>
                <w:szCs w:val="21"/>
              </w:rPr>
              <w:t>8</w:t>
            </w:r>
            <w:r w:rsidR="00291C24">
              <w:rPr>
                <w:rFonts w:hint="eastAsia"/>
                <w:sz w:val="21"/>
                <w:szCs w:val="21"/>
              </w:rPr>
              <w:t>9</w:t>
            </w:r>
            <w:r w:rsidRPr="002A7E62">
              <w:rPr>
                <w:rFonts w:hAnsi="宋体"/>
                <w:sz w:val="21"/>
                <w:szCs w:val="21"/>
              </w:rPr>
              <w:t>，已完善了相关内容</w:t>
            </w:r>
          </w:p>
        </w:tc>
      </w:tr>
      <w:tr w:rsidR="00ED6E04" w:rsidRPr="002A7E62" w:rsidTr="00AF55CF">
        <w:trPr>
          <w:jc w:val="center"/>
        </w:trPr>
        <w:tc>
          <w:tcPr>
            <w:tcW w:w="277" w:type="pct"/>
            <w:vMerge w:val="restart"/>
            <w:shd w:val="clear" w:color="auto" w:fill="auto"/>
            <w:vAlign w:val="center"/>
          </w:tcPr>
          <w:p w:rsidR="00ED6E04" w:rsidRPr="002A7E62" w:rsidRDefault="00ED6E04" w:rsidP="00E3737A">
            <w:pPr>
              <w:spacing w:line="340" w:lineRule="exact"/>
              <w:jc w:val="center"/>
              <w:rPr>
                <w:sz w:val="21"/>
                <w:szCs w:val="21"/>
              </w:rPr>
            </w:pPr>
            <w:r w:rsidRPr="002A7E62">
              <w:rPr>
                <w:sz w:val="21"/>
                <w:szCs w:val="21"/>
              </w:rPr>
              <w:t>4</w:t>
            </w: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核实矿井水及生活污水排放量，细化地表水环境影响分析内容。</w:t>
            </w:r>
          </w:p>
        </w:tc>
        <w:tc>
          <w:tcPr>
            <w:tcW w:w="1291" w:type="pct"/>
            <w:shd w:val="clear" w:color="auto" w:fill="auto"/>
            <w:vAlign w:val="center"/>
          </w:tcPr>
          <w:p w:rsidR="00ED6E04" w:rsidRPr="002A7E62" w:rsidRDefault="00ED6E04" w:rsidP="00291C24">
            <w:pPr>
              <w:spacing w:line="340" w:lineRule="exact"/>
            </w:pPr>
            <w:r w:rsidRPr="002A7E62">
              <w:rPr>
                <w:rFonts w:hAnsi="宋体"/>
                <w:sz w:val="21"/>
                <w:szCs w:val="21"/>
              </w:rPr>
              <w:t>见</w:t>
            </w:r>
            <w:r w:rsidRPr="002A7E62">
              <w:rPr>
                <w:sz w:val="21"/>
                <w:szCs w:val="21"/>
              </w:rPr>
              <w:t>P70-P7</w:t>
            </w:r>
            <w:r w:rsidR="003B1886">
              <w:rPr>
                <w:rFonts w:hint="eastAsia"/>
                <w:sz w:val="21"/>
                <w:szCs w:val="21"/>
              </w:rPr>
              <w:t>2</w:t>
            </w:r>
            <w:r w:rsidRPr="002A7E62">
              <w:rPr>
                <w:rFonts w:hAnsi="宋体"/>
                <w:sz w:val="21"/>
                <w:szCs w:val="21"/>
              </w:rPr>
              <w:t>、</w:t>
            </w:r>
            <w:r w:rsidRPr="002A7E62">
              <w:rPr>
                <w:sz w:val="21"/>
                <w:szCs w:val="21"/>
              </w:rPr>
              <w:t>P1</w:t>
            </w:r>
            <w:r w:rsidR="00291C24">
              <w:rPr>
                <w:rFonts w:hint="eastAsia"/>
                <w:sz w:val="21"/>
                <w:szCs w:val="21"/>
              </w:rPr>
              <w:t>43</w:t>
            </w:r>
            <w:r w:rsidRPr="002A7E62">
              <w:rPr>
                <w:sz w:val="21"/>
                <w:szCs w:val="21"/>
              </w:rPr>
              <w:t>-P14</w:t>
            </w:r>
            <w:r w:rsidR="00291C24">
              <w:rPr>
                <w:rFonts w:hint="eastAsia"/>
                <w:sz w:val="21"/>
                <w:szCs w:val="21"/>
              </w:rPr>
              <w:t>8</w:t>
            </w:r>
            <w:r w:rsidRPr="002A7E62">
              <w:rPr>
                <w:rFonts w:hAnsi="宋体"/>
                <w:sz w:val="21"/>
                <w:szCs w:val="21"/>
              </w:rPr>
              <w:t>，已核实、细化了相关内容</w:t>
            </w:r>
          </w:p>
        </w:tc>
      </w:tr>
      <w:tr w:rsidR="00ED6E04" w:rsidRPr="002A7E62" w:rsidTr="00AF55CF">
        <w:trPr>
          <w:jc w:val="center"/>
        </w:trPr>
        <w:tc>
          <w:tcPr>
            <w:tcW w:w="277" w:type="pct"/>
            <w:vMerge/>
            <w:shd w:val="clear" w:color="auto" w:fill="auto"/>
            <w:vAlign w:val="center"/>
          </w:tcPr>
          <w:p w:rsidR="00ED6E04" w:rsidRPr="002A7E62" w:rsidRDefault="00ED6E04" w:rsidP="00E3737A">
            <w:pPr>
              <w:spacing w:line="340" w:lineRule="exact"/>
              <w:jc w:val="center"/>
              <w:rPr>
                <w:sz w:val="21"/>
                <w:szCs w:val="21"/>
              </w:rPr>
            </w:pP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查找南厂界现状超标的原因，在本次技改项目中提出合理、可行的降噪措施。</w:t>
            </w:r>
          </w:p>
        </w:tc>
        <w:tc>
          <w:tcPr>
            <w:tcW w:w="1291" w:type="pct"/>
            <w:shd w:val="clear" w:color="auto" w:fill="auto"/>
            <w:vAlign w:val="center"/>
          </w:tcPr>
          <w:p w:rsidR="00ED6E04" w:rsidRPr="002A7E62" w:rsidRDefault="00ED6E04" w:rsidP="00E3737A">
            <w:pPr>
              <w:spacing w:line="340" w:lineRule="exact"/>
              <w:rPr>
                <w:sz w:val="21"/>
                <w:szCs w:val="21"/>
              </w:rPr>
            </w:pPr>
            <w:r w:rsidRPr="002A7E62">
              <w:rPr>
                <w:sz w:val="21"/>
                <w:szCs w:val="21"/>
              </w:rPr>
              <w:t>见</w:t>
            </w:r>
            <w:r w:rsidRPr="002A7E62">
              <w:rPr>
                <w:sz w:val="21"/>
                <w:szCs w:val="21"/>
              </w:rPr>
              <w:t>P</w:t>
            </w:r>
            <w:r w:rsidR="001044CC">
              <w:rPr>
                <w:rFonts w:hint="eastAsia"/>
                <w:sz w:val="21"/>
                <w:szCs w:val="21"/>
              </w:rPr>
              <w:t>39</w:t>
            </w:r>
            <w:r w:rsidRPr="002A7E62">
              <w:rPr>
                <w:sz w:val="21"/>
                <w:szCs w:val="21"/>
              </w:rPr>
              <w:t>，完善了相关内容</w:t>
            </w:r>
          </w:p>
        </w:tc>
      </w:tr>
      <w:tr w:rsidR="00ED6E04" w:rsidRPr="002A7E62" w:rsidTr="00AF55CF">
        <w:trPr>
          <w:jc w:val="center"/>
        </w:trPr>
        <w:tc>
          <w:tcPr>
            <w:tcW w:w="277" w:type="pct"/>
            <w:vMerge/>
            <w:shd w:val="clear" w:color="auto" w:fill="auto"/>
            <w:vAlign w:val="center"/>
          </w:tcPr>
          <w:p w:rsidR="00ED6E04" w:rsidRPr="002A7E62" w:rsidRDefault="00ED6E04" w:rsidP="00E3737A">
            <w:pPr>
              <w:spacing w:line="340" w:lineRule="exact"/>
              <w:jc w:val="center"/>
              <w:rPr>
                <w:sz w:val="21"/>
                <w:szCs w:val="21"/>
              </w:rPr>
            </w:pP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核实危险废物产生种类、产生量及危废规范处置要求。</w:t>
            </w:r>
          </w:p>
        </w:tc>
        <w:tc>
          <w:tcPr>
            <w:tcW w:w="1291" w:type="pct"/>
            <w:shd w:val="clear" w:color="auto" w:fill="auto"/>
            <w:vAlign w:val="center"/>
          </w:tcPr>
          <w:p w:rsidR="00ED6E04" w:rsidRPr="002A7E62" w:rsidRDefault="00ED6E04" w:rsidP="00291C24">
            <w:pPr>
              <w:spacing w:line="340" w:lineRule="exact"/>
              <w:rPr>
                <w:sz w:val="21"/>
                <w:szCs w:val="21"/>
              </w:rPr>
            </w:pPr>
            <w:r w:rsidRPr="002A7E62">
              <w:rPr>
                <w:sz w:val="21"/>
                <w:szCs w:val="21"/>
              </w:rPr>
              <w:t>见</w:t>
            </w:r>
            <w:r w:rsidRPr="002A7E62">
              <w:rPr>
                <w:sz w:val="21"/>
                <w:szCs w:val="21"/>
              </w:rPr>
              <w:t>P7</w:t>
            </w:r>
            <w:r w:rsidR="004F49E8">
              <w:rPr>
                <w:rFonts w:hint="eastAsia"/>
                <w:sz w:val="21"/>
                <w:szCs w:val="21"/>
              </w:rPr>
              <w:t>4</w:t>
            </w:r>
            <w:r w:rsidR="004F49E8">
              <w:rPr>
                <w:rFonts w:hint="eastAsia"/>
                <w:sz w:val="21"/>
                <w:szCs w:val="21"/>
              </w:rPr>
              <w:t>、</w:t>
            </w:r>
            <w:r w:rsidR="002D1343">
              <w:rPr>
                <w:rFonts w:hint="eastAsia"/>
                <w:sz w:val="21"/>
                <w:szCs w:val="21"/>
              </w:rPr>
              <w:t>P2</w:t>
            </w:r>
            <w:r w:rsidR="00470224">
              <w:rPr>
                <w:rFonts w:hint="eastAsia"/>
                <w:sz w:val="21"/>
                <w:szCs w:val="21"/>
              </w:rPr>
              <w:t>1</w:t>
            </w:r>
            <w:r w:rsidR="00291C24">
              <w:rPr>
                <w:rFonts w:hint="eastAsia"/>
                <w:sz w:val="21"/>
                <w:szCs w:val="21"/>
              </w:rPr>
              <w:t>6</w:t>
            </w:r>
          </w:p>
        </w:tc>
      </w:tr>
      <w:tr w:rsidR="00ED6E04" w:rsidRPr="002A7E62" w:rsidTr="00AF55CF">
        <w:trPr>
          <w:jc w:val="center"/>
        </w:trPr>
        <w:tc>
          <w:tcPr>
            <w:tcW w:w="277" w:type="pct"/>
            <w:vMerge w:val="restart"/>
            <w:shd w:val="clear" w:color="auto" w:fill="auto"/>
            <w:vAlign w:val="center"/>
          </w:tcPr>
          <w:p w:rsidR="00ED6E04" w:rsidRPr="002A7E62" w:rsidRDefault="00ED6E04" w:rsidP="00E3737A">
            <w:pPr>
              <w:spacing w:line="340" w:lineRule="exact"/>
              <w:jc w:val="center"/>
              <w:rPr>
                <w:sz w:val="21"/>
                <w:szCs w:val="21"/>
              </w:rPr>
            </w:pPr>
            <w:r w:rsidRPr="002A7E62">
              <w:rPr>
                <w:sz w:val="21"/>
                <w:szCs w:val="21"/>
              </w:rPr>
              <w:t>5</w:t>
            </w:r>
          </w:p>
        </w:tc>
        <w:tc>
          <w:tcPr>
            <w:tcW w:w="3432" w:type="pct"/>
            <w:vAlign w:val="center"/>
          </w:tcPr>
          <w:p w:rsidR="00ED6E04" w:rsidRPr="002A7E62" w:rsidRDefault="00ED6E04" w:rsidP="001F5A35">
            <w:pPr>
              <w:spacing w:line="340" w:lineRule="exact"/>
              <w:rPr>
                <w:sz w:val="21"/>
                <w:szCs w:val="21"/>
              </w:rPr>
            </w:pPr>
            <w:r w:rsidRPr="002A7E62">
              <w:rPr>
                <w:rFonts w:hAnsi="宋体"/>
                <w:sz w:val="21"/>
                <w:szCs w:val="21"/>
              </w:rPr>
              <w:t>进一步调查项目区域沉陷现状</w:t>
            </w:r>
          </w:p>
        </w:tc>
        <w:tc>
          <w:tcPr>
            <w:tcW w:w="1291" w:type="pct"/>
            <w:shd w:val="clear" w:color="auto" w:fill="auto"/>
            <w:vAlign w:val="center"/>
          </w:tcPr>
          <w:p w:rsidR="00ED6E04" w:rsidRPr="002A7E62" w:rsidRDefault="00ED6E04" w:rsidP="001F5A35">
            <w:pPr>
              <w:spacing w:line="340" w:lineRule="exact"/>
              <w:rPr>
                <w:sz w:val="21"/>
                <w:szCs w:val="21"/>
              </w:rPr>
            </w:pPr>
            <w:r w:rsidRPr="002A7E62">
              <w:rPr>
                <w:rFonts w:hAnsi="宋体"/>
                <w:sz w:val="21"/>
                <w:szCs w:val="21"/>
              </w:rPr>
              <w:t>见</w:t>
            </w:r>
            <w:r w:rsidRPr="002A7E62">
              <w:rPr>
                <w:sz w:val="21"/>
                <w:szCs w:val="21"/>
              </w:rPr>
              <w:t>P29</w:t>
            </w:r>
            <w:r w:rsidRPr="002A7E62">
              <w:rPr>
                <w:rFonts w:hAnsi="宋体"/>
                <w:sz w:val="21"/>
                <w:szCs w:val="21"/>
              </w:rPr>
              <w:t>、</w:t>
            </w:r>
            <w:r w:rsidRPr="002A7E62">
              <w:rPr>
                <w:sz w:val="21"/>
                <w:szCs w:val="21"/>
              </w:rPr>
              <w:t>P41</w:t>
            </w:r>
            <w:r w:rsidRPr="002A7E62">
              <w:rPr>
                <w:rFonts w:hAnsi="宋体"/>
                <w:sz w:val="21"/>
                <w:szCs w:val="21"/>
              </w:rPr>
              <w:t>、</w:t>
            </w:r>
            <w:r w:rsidRPr="002A7E62">
              <w:rPr>
                <w:sz w:val="21"/>
                <w:szCs w:val="21"/>
              </w:rPr>
              <w:t>P4</w:t>
            </w:r>
            <w:r w:rsidR="001044CC">
              <w:rPr>
                <w:rFonts w:hint="eastAsia"/>
                <w:sz w:val="21"/>
                <w:szCs w:val="21"/>
              </w:rPr>
              <w:t>3</w:t>
            </w:r>
          </w:p>
        </w:tc>
      </w:tr>
      <w:tr w:rsidR="001F5A35" w:rsidRPr="002A7E62" w:rsidTr="00AF55CF">
        <w:trPr>
          <w:jc w:val="center"/>
        </w:trPr>
        <w:tc>
          <w:tcPr>
            <w:tcW w:w="277" w:type="pct"/>
            <w:vMerge/>
            <w:shd w:val="clear" w:color="auto" w:fill="auto"/>
            <w:vAlign w:val="center"/>
          </w:tcPr>
          <w:p w:rsidR="001F5A35" w:rsidRPr="002A7E62" w:rsidRDefault="001F5A35" w:rsidP="00E3737A">
            <w:pPr>
              <w:spacing w:line="340" w:lineRule="exact"/>
              <w:jc w:val="center"/>
              <w:rPr>
                <w:sz w:val="21"/>
                <w:szCs w:val="21"/>
              </w:rPr>
            </w:pPr>
          </w:p>
        </w:tc>
        <w:tc>
          <w:tcPr>
            <w:tcW w:w="3432" w:type="pct"/>
            <w:vAlign w:val="center"/>
          </w:tcPr>
          <w:p w:rsidR="001F5A35" w:rsidRPr="002A7E62" w:rsidRDefault="001F5A35" w:rsidP="00E3737A">
            <w:pPr>
              <w:spacing w:line="340" w:lineRule="exact"/>
              <w:rPr>
                <w:rFonts w:hAnsi="宋体"/>
                <w:sz w:val="21"/>
                <w:szCs w:val="21"/>
              </w:rPr>
            </w:pPr>
            <w:r w:rsidRPr="002A7E62">
              <w:rPr>
                <w:rFonts w:hAnsi="宋体"/>
                <w:sz w:val="21"/>
                <w:szCs w:val="21"/>
              </w:rPr>
              <w:t>结合项目初步设计文件，明确搬迁对象及搬迁性质。</w:t>
            </w:r>
          </w:p>
        </w:tc>
        <w:tc>
          <w:tcPr>
            <w:tcW w:w="1291" w:type="pct"/>
            <w:shd w:val="clear" w:color="auto" w:fill="auto"/>
            <w:vAlign w:val="center"/>
          </w:tcPr>
          <w:p w:rsidR="001F5A35" w:rsidRPr="002A7E62" w:rsidRDefault="001F5A35" w:rsidP="00291C24">
            <w:pPr>
              <w:spacing w:line="340" w:lineRule="exact"/>
              <w:rPr>
                <w:rFonts w:hAnsi="宋体"/>
                <w:sz w:val="21"/>
                <w:szCs w:val="21"/>
              </w:rPr>
            </w:pPr>
            <w:r w:rsidRPr="002A7E62">
              <w:rPr>
                <w:rFonts w:hAnsi="宋体"/>
                <w:sz w:val="21"/>
                <w:szCs w:val="21"/>
              </w:rPr>
              <w:t>见</w:t>
            </w:r>
            <w:r w:rsidRPr="002A7E62">
              <w:rPr>
                <w:sz w:val="21"/>
                <w:szCs w:val="21"/>
              </w:rPr>
              <w:t>P6</w:t>
            </w:r>
            <w:r>
              <w:rPr>
                <w:rFonts w:hint="eastAsia"/>
                <w:sz w:val="21"/>
                <w:szCs w:val="21"/>
              </w:rPr>
              <w:t>2</w:t>
            </w:r>
            <w:r>
              <w:rPr>
                <w:rFonts w:hint="eastAsia"/>
                <w:sz w:val="21"/>
                <w:szCs w:val="21"/>
              </w:rPr>
              <w:t>、</w:t>
            </w:r>
            <w:r w:rsidRPr="002A7E62">
              <w:rPr>
                <w:sz w:val="21"/>
                <w:szCs w:val="21"/>
              </w:rPr>
              <w:t>P</w:t>
            </w:r>
            <w:r>
              <w:rPr>
                <w:rFonts w:hint="eastAsia"/>
                <w:sz w:val="21"/>
                <w:szCs w:val="21"/>
              </w:rPr>
              <w:t>2</w:t>
            </w:r>
            <w:r w:rsidR="00291C24">
              <w:rPr>
                <w:rFonts w:hint="eastAsia"/>
                <w:sz w:val="21"/>
                <w:szCs w:val="21"/>
              </w:rPr>
              <w:t>20</w:t>
            </w:r>
            <w:r>
              <w:rPr>
                <w:rFonts w:hint="eastAsia"/>
                <w:sz w:val="21"/>
                <w:szCs w:val="21"/>
              </w:rPr>
              <w:t>-2</w:t>
            </w:r>
            <w:r w:rsidR="00291C24">
              <w:rPr>
                <w:rFonts w:hint="eastAsia"/>
                <w:sz w:val="21"/>
                <w:szCs w:val="21"/>
              </w:rPr>
              <w:t>21</w:t>
            </w:r>
          </w:p>
        </w:tc>
      </w:tr>
      <w:tr w:rsidR="00ED6E04" w:rsidRPr="002A7E62" w:rsidTr="00AF55CF">
        <w:trPr>
          <w:jc w:val="center"/>
        </w:trPr>
        <w:tc>
          <w:tcPr>
            <w:tcW w:w="277" w:type="pct"/>
            <w:vMerge/>
            <w:shd w:val="clear" w:color="auto" w:fill="auto"/>
            <w:vAlign w:val="center"/>
          </w:tcPr>
          <w:p w:rsidR="00ED6E04" w:rsidRPr="002A7E62" w:rsidRDefault="00ED6E04" w:rsidP="00E3737A">
            <w:pPr>
              <w:spacing w:line="340" w:lineRule="exact"/>
              <w:jc w:val="center"/>
              <w:rPr>
                <w:sz w:val="21"/>
                <w:szCs w:val="21"/>
              </w:rPr>
            </w:pP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细化原有工程整合前需落实的污染防治及生态恢复措施，列表给出调查结果，并查找存在问题。</w:t>
            </w:r>
          </w:p>
        </w:tc>
        <w:tc>
          <w:tcPr>
            <w:tcW w:w="1291" w:type="pct"/>
            <w:shd w:val="clear" w:color="auto" w:fill="auto"/>
            <w:vAlign w:val="center"/>
          </w:tcPr>
          <w:p w:rsidR="00ED6E04" w:rsidRPr="002A7E62" w:rsidRDefault="00ED6E04" w:rsidP="00E3737A">
            <w:pPr>
              <w:spacing w:line="340" w:lineRule="exact"/>
              <w:rPr>
                <w:sz w:val="21"/>
                <w:szCs w:val="21"/>
              </w:rPr>
            </w:pPr>
            <w:r w:rsidRPr="002A7E62">
              <w:rPr>
                <w:rFonts w:hAnsi="宋体"/>
                <w:sz w:val="21"/>
                <w:szCs w:val="21"/>
              </w:rPr>
              <w:t>见</w:t>
            </w:r>
            <w:r w:rsidRPr="002A7E62">
              <w:rPr>
                <w:sz w:val="21"/>
                <w:szCs w:val="21"/>
              </w:rPr>
              <w:t>P29</w:t>
            </w:r>
            <w:r w:rsidRPr="002A7E62">
              <w:rPr>
                <w:rFonts w:hAnsi="宋体"/>
                <w:sz w:val="21"/>
                <w:szCs w:val="21"/>
              </w:rPr>
              <w:t>、</w:t>
            </w:r>
            <w:r w:rsidRPr="002A7E62">
              <w:rPr>
                <w:sz w:val="21"/>
                <w:szCs w:val="21"/>
              </w:rPr>
              <w:t>P44</w:t>
            </w:r>
          </w:p>
        </w:tc>
      </w:tr>
      <w:tr w:rsidR="00ED6E04" w:rsidRPr="002A7E62" w:rsidTr="00AF55CF">
        <w:trPr>
          <w:jc w:val="center"/>
        </w:trPr>
        <w:tc>
          <w:tcPr>
            <w:tcW w:w="277" w:type="pct"/>
            <w:vMerge/>
            <w:shd w:val="clear" w:color="auto" w:fill="auto"/>
            <w:vAlign w:val="center"/>
          </w:tcPr>
          <w:p w:rsidR="00ED6E04" w:rsidRPr="002A7E62" w:rsidRDefault="00ED6E04" w:rsidP="00E3737A">
            <w:pPr>
              <w:spacing w:line="340" w:lineRule="exact"/>
              <w:jc w:val="center"/>
              <w:rPr>
                <w:sz w:val="21"/>
                <w:szCs w:val="21"/>
              </w:rPr>
            </w:pPr>
          </w:p>
        </w:tc>
        <w:tc>
          <w:tcPr>
            <w:tcW w:w="3432" w:type="pct"/>
            <w:vAlign w:val="center"/>
          </w:tcPr>
          <w:p w:rsidR="00ED6E04" w:rsidRPr="002A7E62" w:rsidRDefault="00ED6E04" w:rsidP="00E3737A">
            <w:pPr>
              <w:spacing w:line="340" w:lineRule="exact"/>
              <w:rPr>
                <w:sz w:val="21"/>
                <w:szCs w:val="21"/>
              </w:rPr>
            </w:pPr>
            <w:r w:rsidRPr="002A7E62">
              <w:rPr>
                <w:rFonts w:hAnsi="宋体"/>
                <w:sz w:val="21"/>
                <w:szCs w:val="21"/>
              </w:rPr>
              <w:t>细化施工期、运营期生态防护措施，完善闭矿期生态恢复措施，并明确生态恢复类型、时限要求及投资。</w:t>
            </w:r>
          </w:p>
        </w:tc>
        <w:tc>
          <w:tcPr>
            <w:tcW w:w="1291" w:type="pct"/>
            <w:shd w:val="clear" w:color="auto" w:fill="auto"/>
            <w:vAlign w:val="center"/>
          </w:tcPr>
          <w:p w:rsidR="00ED6E04" w:rsidRPr="002A7E62" w:rsidRDefault="00ED6E04" w:rsidP="00291C24">
            <w:pPr>
              <w:spacing w:line="340" w:lineRule="exact"/>
              <w:rPr>
                <w:sz w:val="21"/>
                <w:szCs w:val="21"/>
              </w:rPr>
            </w:pPr>
            <w:r w:rsidRPr="002A7E62">
              <w:rPr>
                <w:rFonts w:hAnsi="宋体"/>
                <w:sz w:val="21"/>
                <w:szCs w:val="21"/>
              </w:rPr>
              <w:t>见</w:t>
            </w:r>
            <w:r w:rsidRPr="002A7E62">
              <w:rPr>
                <w:sz w:val="21"/>
                <w:szCs w:val="21"/>
              </w:rPr>
              <w:t>P2</w:t>
            </w:r>
            <w:r w:rsidR="00291C24">
              <w:rPr>
                <w:rFonts w:hint="eastAsia"/>
                <w:sz w:val="21"/>
                <w:szCs w:val="21"/>
              </w:rPr>
              <w:t>19</w:t>
            </w:r>
            <w:r w:rsidR="00761DAD">
              <w:rPr>
                <w:sz w:val="21"/>
                <w:szCs w:val="21"/>
              </w:rPr>
              <w:t>-</w:t>
            </w:r>
            <w:r w:rsidRPr="002A7E62">
              <w:rPr>
                <w:sz w:val="21"/>
                <w:szCs w:val="21"/>
              </w:rPr>
              <w:t>2</w:t>
            </w:r>
            <w:r w:rsidR="00470224">
              <w:rPr>
                <w:rFonts w:hint="eastAsia"/>
                <w:sz w:val="21"/>
                <w:szCs w:val="21"/>
              </w:rPr>
              <w:t>2</w:t>
            </w:r>
            <w:r w:rsidR="00291C24">
              <w:rPr>
                <w:rFonts w:hint="eastAsia"/>
                <w:sz w:val="21"/>
                <w:szCs w:val="21"/>
              </w:rPr>
              <w:t>8</w:t>
            </w:r>
          </w:p>
        </w:tc>
      </w:tr>
      <w:tr w:rsidR="00761DAD" w:rsidRPr="002A7E62" w:rsidTr="00AF55CF">
        <w:trPr>
          <w:jc w:val="center"/>
        </w:trPr>
        <w:tc>
          <w:tcPr>
            <w:tcW w:w="277" w:type="pct"/>
            <w:vMerge w:val="restart"/>
            <w:shd w:val="clear" w:color="auto" w:fill="auto"/>
            <w:vAlign w:val="center"/>
          </w:tcPr>
          <w:p w:rsidR="00761DAD" w:rsidRPr="002A7E62" w:rsidRDefault="00761DAD" w:rsidP="00E3737A">
            <w:pPr>
              <w:spacing w:line="340" w:lineRule="exact"/>
              <w:jc w:val="center"/>
              <w:rPr>
                <w:sz w:val="21"/>
                <w:szCs w:val="21"/>
              </w:rPr>
            </w:pPr>
            <w:r w:rsidRPr="002A7E62">
              <w:rPr>
                <w:sz w:val="21"/>
                <w:szCs w:val="21"/>
              </w:rPr>
              <w:t>6</w:t>
            </w:r>
          </w:p>
        </w:tc>
        <w:tc>
          <w:tcPr>
            <w:tcW w:w="3432" w:type="pct"/>
            <w:vAlign w:val="center"/>
          </w:tcPr>
          <w:p w:rsidR="00761DAD" w:rsidRPr="002A7E62" w:rsidRDefault="00761DAD" w:rsidP="00E3737A">
            <w:pPr>
              <w:spacing w:line="340" w:lineRule="exact"/>
              <w:rPr>
                <w:sz w:val="21"/>
                <w:szCs w:val="21"/>
              </w:rPr>
            </w:pPr>
            <w:r w:rsidRPr="002A7E62">
              <w:rPr>
                <w:rFonts w:hAnsi="宋体"/>
                <w:sz w:val="21"/>
                <w:szCs w:val="21"/>
              </w:rPr>
              <w:t>完善项目区域各环境要素环境监测、监控计划。</w:t>
            </w:r>
          </w:p>
        </w:tc>
        <w:tc>
          <w:tcPr>
            <w:tcW w:w="1291" w:type="pct"/>
            <w:shd w:val="clear" w:color="auto" w:fill="auto"/>
            <w:vAlign w:val="center"/>
          </w:tcPr>
          <w:p w:rsidR="00761DAD" w:rsidRPr="002A7E62" w:rsidRDefault="00761DAD" w:rsidP="00291C24">
            <w:pPr>
              <w:spacing w:line="340" w:lineRule="exact"/>
              <w:rPr>
                <w:sz w:val="21"/>
                <w:szCs w:val="21"/>
              </w:rPr>
            </w:pPr>
            <w:r w:rsidRPr="002A7E62">
              <w:rPr>
                <w:rFonts w:hAnsi="宋体"/>
                <w:sz w:val="21"/>
                <w:szCs w:val="21"/>
              </w:rPr>
              <w:t>见</w:t>
            </w:r>
            <w:r w:rsidRPr="002A7E62">
              <w:rPr>
                <w:sz w:val="21"/>
                <w:szCs w:val="21"/>
              </w:rPr>
              <w:t>P2</w:t>
            </w:r>
            <w:r w:rsidR="00291C24">
              <w:rPr>
                <w:rFonts w:hint="eastAsia"/>
                <w:sz w:val="21"/>
                <w:szCs w:val="21"/>
              </w:rPr>
              <w:t>35</w:t>
            </w:r>
          </w:p>
        </w:tc>
      </w:tr>
      <w:tr w:rsidR="00761DAD" w:rsidRPr="002A7E62" w:rsidTr="00AF55CF">
        <w:trPr>
          <w:jc w:val="center"/>
        </w:trPr>
        <w:tc>
          <w:tcPr>
            <w:tcW w:w="277" w:type="pct"/>
            <w:vMerge/>
            <w:shd w:val="clear" w:color="auto" w:fill="auto"/>
            <w:vAlign w:val="center"/>
          </w:tcPr>
          <w:p w:rsidR="00761DAD" w:rsidRPr="002A7E62" w:rsidRDefault="00761DAD" w:rsidP="00E3737A">
            <w:pPr>
              <w:spacing w:line="340" w:lineRule="exact"/>
              <w:jc w:val="center"/>
              <w:rPr>
                <w:sz w:val="21"/>
                <w:szCs w:val="21"/>
              </w:rPr>
            </w:pPr>
          </w:p>
        </w:tc>
        <w:tc>
          <w:tcPr>
            <w:tcW w:w="3432" w:type="pct"/>
            <w:vAlign w:val="center"/>
          </w:tcPr>
          <w:p w:rsidR="00761DAD" w:rsidRPr="002A7E62" w:rsidRDefault="00761DAD" w:rsidP="00D67740">
            <w:pPr>
              <w:spacing w:line="340" w:lineRule="exact"/>
              <w:rPr>
                <w:sz w:val="21"/>
                <w:szCs w:val="21"/>
              </w:rPr>
            </w:pPr>
            <w:r w:rsidRPr="002A7E62">
              <w:rPr>
                <w:rFonts w:hAnsi="宋体"/>
                <w:sz w:val="21"/>
                <w:szCs w:val="21"/>
              </w:rPr>
              <w:t>结合河南省绿色矿山要求有针对性提出相应保护措施</w:t>
            </w:r>
          </w:p>
        </w:tc>
        <w:tc>
          <w:tcPr>
            <w:tcW w:w="1291" w:type="pct"/>
            <w:shd w:val="clear" w:color="auto" w:fill="auto"/>
            <w:vAlign w:val="center"/>
          </w:tcPr>
          <w:p w:rsidR="00761DAD" w:rsidRPr="002A7E62" w:rsidRDefault="00761DAD" w:rsidP="00291C24">
            <w:pPr>
              <w:spacing w:line="340" w:lineRule="exact"/>
              <w:rPr>
                <w:sz w:val="21"/>
                <w:szCs w:val="21"/>
              </w:rPr>
            </w:pPr>
            <w:r w:rsidRPr="002A7E62">
              <w:rPr>
                <w:rFonts w:hAnsi="宋体"/>
                <w:sz w:val="21"/>
                <w:szCs w:val="21"/>
              </w:rPr>
              <w:t>见</w:t>
            </w:r>
            <w:r>
              <w:rPr>
                <w:sz w:val="21"/>
                <w:szCs w:val="21"/>
              </w:rPr>
              <w:t>P20</w:t>
            </w:r>
            <w:r w:rsidR="00291C24">
              <w:rPr>
                <w:rFonts w:hint="eastAsia"/>
                <w:sz w:val="21"/>
                <w:szCs w:val="21"/>
              </w:rPr>
              <w:t>7</w:t>
            </w:r>
            <w:r>
              <w:rPr>
                <w:sz w:val="21"/>
                <w:szCs w:val="21"/>
              </w:rPr>
              <w:t>-</w:t>
            </w:r>
            <w:r w:rsidRPr="002A7E62">
              <w:rPr>
                <w:sz w:val="21"/>
                <w:szCs w:val="21"/>
              </w:rPr>
              <w:t>21</w:t>
            </w:r>
            <w:r w:rsidR="00291C24">
              <w:rPr>
                <w:rFonts w:hint="eastAsia"/>
                <w:sz w:val="21"/>
                <w:szCs w:val="21"/>
              </w:rPr>
              <w:t>8</w:t>
            </w:r>
          </w:p>
        </w:tc>
      </w:tr>
      <w:tr w:rsidR="00D67740" w:rsidRPr="002A7E62" w:rsidTr="00AF55CF">
        <w:trPr>
          <w:jc w:val="center"/>
        </w:trPr>
        <w:tc>
          <w:tcPr>
            <w:tcW w:w="277" w:type="pct"/>
            <w:vMerge/>
            <w:shd w:val="clear" w:color="auto" w:fill="auto"/>
            <w:vAlign w:val="center"/>
          </w:tcPr>
          <w:p w:rsidR="00D67740" w:rsidRPr="002A7E62" w:rsidRDefault="00D67740" w:rsidP="00E3737A">
            <w:pPr>
              <w:spacing w:line="340" w:lineRule="exact"/>
              <w:jc w:val="center"/>
              <w:rPr>
                <w:sz w:val="21"/>
                <w:szCs w:val="21"/>
              </w:rPr>
            </w:pPr>
          </w:p>
        </w:tc>
        <w:tc>
          <w:tcPr>
            <w:tcW w:w="3432" w:type="pct"/>
            <w:vAlign w:val="center"/>
          </w:tcPr>
          <w:p w:rsidR="00D67740" w:rsidRPr="002A7E62" w:rsidRDefault="00D67740" w:rsidP="00E3737A">
            <w:pPr>
              <w:spacing w:line="340" w:lineRule="exact"/>
              <w:rPr>
                <w:rFonts w:hAnsi="宋体"/>
                <w:sz w:val="21"/>
                <w:szCs w:val="21"/>
              </w:rPr>
            </w:pPr>
            <w:r w:rsidRPr="002A7E62">
              <w:rPr>
                <w:rFonts w:hAnsi="宋体"/>
                <w:sz w:val="21"/>
                <w:szCs w:val="21"/>
              </w:rPr>
              <w:t>核实环保投资，细化并完善竣工环境保护验收一览表</w:t>
            </w:r>
          </w:p>
        </w:tc>
        <w:tc>
          <w:tcPr>
            <w:tcW w:w="1291" w:type="pct"/>
            <w:shd w:val="clear" w:color="auto" w:fill="auto"/>
            <w:vAlign w:val="center"/>
          </w:tcPr>
          <w:p w:rsidR="00D67740" w:rsidRPr="002A7E62" w:rsidRDefault="00D67740" w:rsidP="00291C24">
            <w:pPr>
              <w:spacing w:line="340" w:lineRule="exact"/>
              <w:rPr>
                <w:rFonts w:hAnsi="宋体"/>
                <w:sz w:val="21"/>
                <w:szCs w:val="21"/>
              </w:rPr>
            </w:pPr>
            <w:r w:rsidRPr="002A7E62">
              <w:rPr>
                <w:rFonts w:hAnsi="宋体"/>
                <w:sz w:val="21"/>
                <w:szCs w:val="21"/>
              </w:rPr>
              <w:t>见</w:t>
            </w:r>
            <w:r w:rsidRPr="002A7E62">
              <w:rPr>
                <w:sz w:val="21"/>
                <w:szCs w:val="21"/>
              </w:rPr>
              <w:t>P2</w:t>
            </w:r>
            <w:r w:rsidR="00470224">
              <w:rPr>
                <w:rFonts w:hint="eastAsia"/>
                <w:sz w:val="21"/>
                <w:szCs w:val="21"/>
              </w:rPr>
              <w:t>2</w:t>
            </w:r>
            <w:r w:rsidR="00291C24">
              <w:rPr>
                <w:rFonts w:hint="eastAsia"/>
                <w:sz w:val="21"/>
                <w:szCs w:val="21"/>
              </w:rPr>
              <w:t>6</w:t>
            </w:r>
            <w:r>
              <w:rPr>
                <w:sz w:val="21"/>
                <w:szCs w:val="21"/>
              </w:rPr>
              <w:t>-</w:t>
            </w:r>
            <w:r w:rsidRPr="002A7E62">
              <w:rPr>
                <w:sz w:val="21"/>
                <w:szCs w:val="21"/>
              </w:rPr>
              <w:t>22</w:t>
            </w:r>
            <w:r w:rsidR="00291C24">
              <w:rPr>
                <w:rFonts w:hint="eastAsia"/>
                <w:sz w:val="21"/>
                <w:szCs w:val="21"/>
              </w:rPr>
              <w:t>8</w:t>
            </w:r>
          </w:p>
        </w:tc>
      </w:tr>
      <w:tr w:rsidR="00761DAD" w:rsidRPr="002A7E62" w:rsidTr="00AF55CF">
        <w:trPr>
          <w:jc w:val="center"/>
        </w:trPr>
        <w:tc>
          <w:tcPr>
            <w:tcW w:w="277" w:type="pct"/>
            <w:vMerge/>
            <w:shd w:val="clear" w:color="auto" w:fill="auto"/>
            <w:vAlign w:val="center"/>
          </w:tcPr>
          <w:p w:rsidR="00761DAD" w:rsidRPr="002A7E62" w:rsidRDefault="00761DAD" w:rsidP="00E3737A">
            <w:pPr>
              <w:spacing w:line="340" w:lineRule="exact"/>
              <w:jc w:val="center"/>
              <w:rPr>
                <w:sz w:val="21"/>
                <w:szCs w:val="21"/>
              </w:rPr>
            </w:pPr>
          </w:p>
        </w:tc>
        <w:tc>
          <w:tcPr>
            <w:tcW w:w="3432" w:type="pct"/>
            <w:vAlign w:val="center"/>
          </w:tcPr>
          <w:p w:rsidR="00761DAD" w:rsidRPr="002A7E62" w:rsidRDefault="00761DAD" w:rsidP="00E3737A">
            <w:pPr>
              <w:spacing w:line="340" w:lineRule="exact"/>
              <w:rPr>
                <w:rFonts w:hAnsi="宋体"/>
                <w:sz w:val="21"/>
                <w:szCs w:val="21"/>
              </w:rPr>
            </w:pPr>
            <w:r w:rsidRPr="002A7E62">
              <w:rPr>
                <w:rFonts w:hAnsi="宋体"/>
                <w:sz w:val="21"/>
                <w:szCs w:val="21"/>
              </w:rPr>
              <w:t>修改完善相关附图、附件</w:t>
            </w:r>
          </w:p>
        </w:tc>
        <w:tc>
          <w:tcPr>
            <w:tcW w:w="1291" w:type="pct"/>
            <w:shd w:val="clear" w:color="auto" w:fill="auto"/>
            <w:vAlign w:val="center"/>
          </w:tcPr>
          <w:p w:rsidR="00761DAD" w:rsidRPr="002A7E62" w:rsidRDefault="00761DAD" w:rsidP="00E3737A">
            <w:pPr>
              <w:spacing w:line="340" w:lineRule="exact"/>
              <w:rPr>
                <w:rFonts w:hAnsi="宋体"/>
                <w:sz w:val="21"/>
                <w:szCs w:val="21"/>
              </w:rPr>
            </w:pPr>
            <w:r w:rsidRPr="002A7E62">
              <w:rPr>
                <w:rFonts w:hAnsi="宋体"/>
                <w:sz w:val="21"/>
                <w:szCs w:val="21"/>
              </w:rPr>
              <w:t>见附图附件</w:t>
            </w:r>
          </w:p>
        </w:tc>
      </w:tr>
    </w:tbl>
    <w:p w:rsidR="00102D0F" w:rsidRDefault="00102D0F">
      <w:pPr>
        <w:widowControl/>
        <w:jc w:val="left"/>
        <w:rPr>
          <w:rFonts w:eastAsia="黑体"/>
          <w:spacing w:val="2"/>
          <w:sz w:val="32"/>
          <w:szCs w:val="32"/>
        </w:rPr>
        <w:sectPr w:rsidR="00102D0F">
          <w:footerReference w:type="even" r:id="rId11"/>
          <w:footerReference w:type="default" r:id="rId12"/>
          <w:pgSz w:w="11906" w:h="16838"/>
          <w:pgMar w:top="1440" w:right="1701" w:bottom="1558" w:left="1701" w:header="851" w:footer="992" w:gutter="0"/>
          <w:pgNumType w:start="1"/>
          <w:cols w:space="720"/>
          <w:docGrid w:linePitch="312"/>
        </w:sectPr>
      </w:pPr>
      <w:r>
        <w:rPr>
          <w:rFonts w:eastAsia="黑体"/>
          <w:spacing w:val="2"/>
          <w:sz w:val="32"/>
          <w:szCs w:val="32"/>
        </w:rPr>
        <w:br w:type="page"/>
      </w:r>
    </w:p>
    <w:p w:rsidR="00240BCE" w:rsidRDefault="00AC0334">
      <w:pPr>
        <w:spacing w:line="520" w:lineRule="exact"/>
        <w:jc w:val="center"/>
        <w:rPr>
          <w:rFonts w:eastAsia="黑体"/>
          <w:spacing w:val="2"/>
          <w:sz w:val="32"/>
          <w:szCs w:val="32"/>
        </w:rPr>
      </w:pPr>
      <w:r>
        <w:rPr>
          <w:rFonts w:eastAsia="黑体"/>
          <w:spacing w:val="2"/>
          <w:sz w:val="32"/>
          <w:szCs w:val="32"/>
        </w:rPr>
        <w:lastRenderedPageBreak/>
        <w:t>目</w:t>
      </w:r>
      <w:r>
        <w:rPr>
          <w:rFonts w:eastAsia="黑体"/>
          <w:spacing w:val="2"/>
          <w:sz w:val="32"/>
          <w:szCs w:val="32"/>
        </w:rPr>
        <w:t xml:space="preserve">  </w:t>
      </w:r>
      <w:r>
        <w:rPr>
          <w:rFonts w:eastAsia="黑体"/>
          <w:spacing w:val="2"/>
          <w:sz w:val="32"/>
          <w:szCs w:val="32"/>
        </w:rPr>
        <w:t>录</w:t>
      </w:r>
    </w:p>
    <w:p w:rsidR="00240BCE" w:rsidRDefault="00240BCE">
      <w:pPr>
        <w:spacing w:line="520" w:lineRule="exact"/>
        <w:jc w:val="center"/>
        <w:rPr>
          <w:rFonts w:eastAsia="黑体"/>
          <w:spacing w:val="2"/>
          <w:sz w:val="44"/>
        </w:rPr>
      </w:pPr>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r w:rsidRPr="00491CBC">
        <w:rPr>
          <w:rFonts w:eastAsia="黑体"/>
          <w:spacing w:val="2"/>
          <w:sz w:val="24"/>
        </w:rPr>
        <w:fldChar w:fldCharType="begin"/>
      </w:r>
      <w:r w:rsidR="00AC0334" w:rsidRPr="00491CBC">
        <w:rPr>
          <w:rFonts w:eastAsia="黑体"/>
          <w:spacing w:val="2"/>
          <w:sz w:val="24"/>
        </w:rPr>
        <w:instrText xml:space="preserve">TOC \o "1-2" \h \u </w:instrText>
      </w:r>
      <w:r w:rsidRPr="00491CBC">
        <w:rPr>
          <w:rFonts w:eastAsia="黑体"/>
          <w:spacing w:val="2"/>
          <w:sz w:val="24"/>
        </w:rPr>
        <w:fldChar w:fldCharType="separate"/>
      </w:r>
      <w:hyperlink w:anchor="_Toc81934352" w:history="1">
        <w:r w:rsidR="00491CBC" w:rsidRPr="00491CBC">
          <w:rPr>
            <w:rStyle w:val="aff2"/>
            <w:rFonts w:eastAsia="黑体"/>
            <w:noProof/>
            <w:sz w:val="24"/>
          </w:rPr>
          <w:t xml:space="preserve">1 </w:t>
        </w:r>
        <w:r w:rsidR="00491CBC" w:rsidRPr="00491CBC">
          <w:rPr>
            <w:rStyle w:val="aff2"/>
            <w:rFonts w:eastAsia="黑体" w:hint="eastAsia"/>
            <w:noProof/>
            <w:sz w:val="24"/>
          </w:rPr>
          <w:t>概述</w:t>
        </w:r>
        <w:r w:rsidR="00491CBC" w:rsidRPr="00491CBC">
          <w:rPr>
            <w:noProof/>
            <w:sz w:val="24"/>
          </w:rPr>
          <w:tab/>
        </w:r>
        <w:r w:rsidRPr="00491CBC">
          <w:rPr>
            <w:noProof/>
            <w:sz w:val="24"/>
          </w:rPr>
          <w:fldChar w:fldCharType="begin"/>
        </w:r>
        <w:r w:rsidR="00491CBC" w:rsidRPr="00491CBC">
          <w:rPr>
            <w:noProof/>
            <w:sz w:val="24"/>
          </w:rPr>
          <w:instrText xml:space="preserve"> PAGEREF _Toc81934352 \h </w:instrText>
        </w:r>
        <w:r w:rsidRPr="00491CBC">
          <w:rPr>
            <w:noProof/>
            <w:sz w:val="24"/>
          </w:rPr>
        </w:r>
        <w:r w:rsidRPr="00491CBC">
          <w:rPr>
            <w:noProof/>
            <w:sz w:val="24"/>
          </w:rPr>
          <w:fldChar w:fldCharType="separate"/>
        </w:r>
        <w:r w:rsidR="000331C7">
          <w:rPr>
            <w:noProof/>
            <w:sz w:val="24"/>
          </w:rPr>
          <w:t>1</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53" w:history="1">
        <w:r w:rsidR="00491CBC" w:rsidRPr="00491CBC">
          <w:rPr>
            <w:rStyle w:val="aff2"/>
            <w:bCs/>
            <w:noProof/>
            <w:sz w:val="24"/>
          </w:rPr>
          <w:t xml:space="preserve">1.1 </w:t>
        </w:r>
        <w:r w:rsidR="00491CBC" w:rsidRPr="00491CBC">
          <w:rPr>
            <w:rStyle w:val="aff2"/>
            <w:rFonts w:hint="eastAsia"/>
            <w:bCs/>
            <w:noProof/>
            <w:sz w:val="24"/>
          </w:rPr>
          <w:t>项目由来</w:t>
        </w:r>
        <w:r w:rsidR="00491CBC" w:rsidRPr="00491CBC">
          <w:rPr>
            <w:noProof/>
            <w:sz w:val="24"/>
          </w:rPr>
          <w:tab/>
        </w:r>
        <w:r w:rsidRPr="00491CBC">
          <w:rPr>
            <w:noProof/>
            <w:sz w:val="24"/>
          </w:rPr>
          <w:fldChar w:fldCharType="begin"/>
        </w:r>
        <w:r w:rsidR="00491CBC" w:rsidRPr="00491CBC">
          <w:rPr>
            <w:noProof/>
            <w:sz w:val="24"/>
          </w:rPr>
          <w:instrText xml:space="preserve"> PAGEREF _Toc81934353 \h </w:instrText>
        </w:r>
        <w:r w:rsidRPr="00491CBC">
          <w:rPr>
            <w:noProof/>
            <w:sz w:val="24"/>
          </w:rPr>
        </w:r>
        <w:r w:rsidRPr="00491CBC">
          <w:rPr>
            <w:noProof/>
            <w:sz w:val="24"/>
          </w:rPr>
          <w:fldChar w:fldCharType="separate"/>
        </w:r>
        <w:r w:rsidR="000331C7">
          <w:rPr>
            <w:noProof/>
            <w:sz w:val="24"/>
          </w:rPr>
          <w:t>1</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54" w:history="1">
        <w:r w:rsidR="00491CBC" w:rsidRPr="00491CBC">
          <w:rPr>
            <w:rStyle w:val="aff2"/>
            <w:bCs/>
            <w:noProof/>
            <w:sz w:val="24"/>
          </w:rPr>
          <w:t xml:space="preserve">1.2 </w:t>
        </w:r>
        <w:r w:rsidR="00491CBC" w:rsidRPr="00491CBC">
          <w:rPr>
            <w:rStyle w:val="aff2"/>
            <w:rFonts w:hint="eastAsia"/>
            <w:bCs/>
            <w:noProof/>
            <w:sz w:val="24"/>
          </w:rPr>
          <w:t>项目特点</w:t>
        </w:r>
        <w:r w:rsidR="00491CBC" w:rsidRPr="00491CBC">
          <w:rPr>
            <w:noProof/>
            <w:sz w:val="24"/>
          </w:rPr>
          <w:tab/>
        </w:r>
        <w:r w:rsidRPr="00491CBC">
          <w:rPr>
            <w:noProof/>
            <w:sz w:val="24"/>
          </w:rPr>
          <w:fldChar w:fldCharType="begin"/>
        </w:r>
        <w:r w:rsidR="00491CBC" w:rsidRPr="00491CBC">
          <w:rPr>
            <w:noProof/>
            <w:sz w:val="24"/>
          </w:rPr>
          <w:instrText xml:space="preserve"> PAGEREF _Toc81934354 \h </w:instrText>
        </w:r>
        <w:r w:rsidRPr="00491CBC">
          <w:rPr>
            <w:noProof/>
            <w:sz w:val="24"/>
          </w:rPr>
        </w:r>
        <w:r w:rsidRPr="00491CBC">
          <w:rPr>
            <w:noProof/>
            <w:sz w:val="24"/>
          </w:rPr>
          <w:fldChar w:fldCharType="separate"/>
        </w:r>
        <w:r w:rsidR="000331C7">
          <w:rPr>
            <w:noProof/>
            <w:sz w:val="24"/>
          </w:rPr>
          <w:t>3</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55" w:history="1">
        <w:r w:rsidR="00491CBC" w:rsidRPr="00491CBC">
          <w:rPr>
            <w:rStyle w:val="aff2"/>
            <w:bCs/>
            <w:noProof/>
            <w:sz w:val="24"/>
          </w:rPr>
          <w:t xml:space="preserve">1.3 </w:t>
        </w:r>
        <w:r w:rsidR="00491CBC" w:rsidRPr="00491CBC">
          <w:rPr>
            <w:rStyle w:val="aff2"/>
            <w:rFonts w:hint="eastAsia"/>
            <w:bCs/>
            <w:noProof/>
            <w:sz w:val="24"/>
          </w:rPr>
          <w:t>环境影响评价工作过程</w:t>
        </w:r>
        <w:r w:rsidR="00491CBC" w:rsidRPr="00491CBC">
          <w:rPr>
            <w:noProof/>
            <w:sz w:val="24"/>
          </w:rPr>
          <w:tab/>
        </w:r>
        <w:r w:rsidRPr="00491CBC">
          <w:rPr>
            <w:noProof/>
            <w:sz w:val="24"/>
          </w:rPr>
          <w:fldChar w:fldCharType="begin"/>
        </w:r>
        <w:r w:rsidR="00491CBC" w:rsidRPr="00491CBC">
          <w:rPr>
            <w:noProof/>
            <w:sz w:val="24"/>
          </w:rPr>
          <w:instrText xml:space="preserve"> PAGEREF _Toc81934355 \h </w:instrText>
        </w:r>
        <w:r w:rsidRPr="00491CBC">
          <w:rPr>
            <w:noProof/>
            <w:sz w:val="24"/>
          </w:rPr>
        </w:r>
        <w:r w:rsidRPr="00491CBC">
          <w:rPr>
            <w:noProof/>
            <w:sz w:val="24"/>
          </w:rPr>
          <w:fldChar w:fldCharType="separate"/>
        </w:r>
        <w:r w:rsidR="000331C7">
          <w:rPr>
            <w:noProof/>
            <w:sz w:val="24"/>
          </w:rPr>
          <w:t>4</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56" w:history="1">
        <w:r w:rsidR="00491CBC" w:rsidRPr="00491CBC">
          <w:rPr>
            <w:rStyle w:val="aff2"/>
            <w:bCs/>
            <w:noProof/>
            <w:sz w:val="24"/>
          </w:rPr>
          <w:t xml:space="preserve">1.4 </w:t>
        </w:r>
        <w:r w:rsidR="00491CBC" w:rsidRPr="00491CBC">
          <w:rPr>
            <w:rStyle w:val="aff2"/>
            <w:rFonts w:hint="eastAsia"/>
            <w:bCs/>
            <w:noProof/>
            <w:sz w:val="24"/>
          </w:rPr>
          <w:t>分析判定相关情况</w:t>
        </w:r>
        <w:r w:rsidR="00491CBC" w:rsidRPr="00491CBC">
          <w:rPr>
            <w:noProof/>
            <w:sz w:val="24"/>
          </w:rPr>
          <w:tab/>
        </w:r>
        <w:r w:rsidRPr="00491CBC">
          <w:rPr>
            <w:noProof/>
            <w:sz w:val="24"/>
          </w:rPr>
          <w:fldChar w:fldCharType="begin"/>
        </w:r>
        <w:r w:rsidR="00491CBC" w:rsidRPr="00491CBC">
          <w:rPr>
            <w:noProof/>
            <w:sz w:val="24"/>
          </w:rPr>
          <w:instrText xml:space="preserve"> PAGEREF _Toc81934356 \h </w:instrText>
        </w:r>
        <w:r w:rsidRPr="00491CBC">
          <w:rPr>
            <w:noProof/>
            <w:sz w:val="24"/>
          </w:rPr>
        </w:r>
        <w:r w:rsidRPr="00491CBC">
          <w:rPr>
            <w:noProof/>
            <w:sz w:val="24"/>
          </w:rPr>
          <w:fldChar w:fldCharType="separate"/>
        </w:r>
        <w:r w:rsidR="000331C7">
          <w:rPr>
            <w:noProof/>
            <w:sz w:val="24"/>
          </w:rPr>
          <w:t>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57" w:history="1">
        <w:r w:rsidR="00491CBC" w:rsidRPr="00491CBC">
          <w:rPr>
            <w:rStyle w:val="aff2"/>
            <w:bCs/>
            <w:noProof/>
            <w:sz w:val="24"/>
          </w:rPr>
          <w:t xml:space="preserve">1.5 </w:t>
        </w:r>
        <w:r w:rsidR="00491CBC" w:rsidRPr="00491CBC">
          <w:rPr>
            <w:rStyle w:val="aff2"/>
            <w:rFonts w:hint="eastAsia"/>
            <w:bCs/>
            <w:noProof/>
            <w:sz w:val="24"/>
          </w:rPr>
          <w:t>关注的主要环境问题及环境影响</w:t>
        </w:r>
        <w:r w:rsidR="00491CBC" w:rsidRPr="00491CBC">
          <w:rPr>
            <w:noProof/>
            <w:sz w:val="24"/>
          </w:rPr>
          <w:tab/>
        </w:r>
        <w:r w:rsidRPr="00491CBC">
          <w:rPr>
            <w:noProof/>
            <w:sz w:val="24"/>
          </w:rPr>
          <w:fldChar w:fldCharType="begin"/>
        </w:r>
        <w:r w:rsidR="00491CBC" w:rsidRPr="00491CBC">
          <w:rPr>
            <w:noProof/>
            <w:sz w:val="24"/>
          </w:rPr>
          <w:instrText xml:space="preserve"> PAGEREF _Toc81934357 \h </w:instrText>
        </w:r>
        <w:r w:rsidRPr="00491CBC">
          <w:rPr>
            <w:noProof/>
            <w:sz w:val="24"/>
          </w:rPr>
        </w:r>
        <w:r w:rsidRPr="00491CBC">
          <w:rPr>
            <w:noProof/>
            <w:sz w:val="24"/>
          </w:rPr>
          <w:fldChar w:fldCharType="separate"/>
        </w:r>
        <w:r w:rsidR="000331C7">
          <w:rPr>
            <w:noProof/>
            <w:sz w:val="24"/>
          </w:rPr>
          <w:t>6</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58" w:history="1">
        <w:r w:rsidR="00491CBC" w:rsidRPr="00491CBC">
          <w:rPr>
            <w:rStyle w:val="aff2"/>
            <w:bCs/>
            <w:noProof/>
            <w:sz w:val="24"/>
          </w:rPr>
          <w:t xml:space="preserve">1.6 </w:t>
        </w:r>
        <w:r w:rsidR="00491CBC" w:rsidRPr="00491CBC">
          <w:rPr>
            <w:rStyle w:val="aff2"/>
            <w:rFonts w:hint="eastAsia"/>
            <w:bCs/>
            <w:noProof/>
            <w:sz w:val="24"/>
          </w:rPr>
          <w:t>环境影响评价主要结论</w:t>
        </w:r>
        <w:r w:rsidR="00491CBC" w:rsidRPr="00491CBC">
          <w:rPr>
            <w:noProof/>
            <w:sz w:val="24"/>
          </w:rPr>
          <w:tab/>
        </w:r>
        <w:r w:rsidRPr="00491CBC">
          <w:rPr>
            <w:noProof/>
            <w:sz w:val="24"/>
          </w:rPr>
          <w:fldChar w:fldCharType="begin"/>
        </w:r>
        <w:r w:rsidR="00491CBC" w:rsidRPr="00491CBC">
          <w:rPr>
            <w:noProof/>
            <w:sz w:val="24"/>
          </w:rPr>
          <w:instrText xml:space="preserve"> PAGEREF _Toc81934358 \h </w:instrText>
        </w:r>
        <w:r w:rsidRPr="00491CBC">
          <w:rPr>
            <w:noProof/>
            <w:sz w:val="24"/>
          </w:rPr>
        </w:r>
        <w:r w:rsidRPr="00491CBC">
          <w:rPr>
            <w:noProof/>
            <w:sz w:val="24"/>
          </w:rPr>
          <w:fldChar w:fldCharType="separate"/>
        </w:r>
        <w:r w:rsidR="000331C7">
          <w:rPr>
            <w:noProof/>
            <w:sz w:val="24"/>
          </w:rPr>
          <w:t>6</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359" w:history="1">
        <w:r w:rsidR="00491CBC" w:rsidRPr="00491CBC">
          <w:rPr>
            <w:rStyle w:val="aff2"/>
            <w:rFonts w:eastAsia="黑体"/>
            <w:noProof/>
            <w:sz w:val="24"/>
          </w:rPr>
          <w:t xml:space="preserve">2 </w:t>
        </w:r>
        <w:r w:rsidR="00491CBC" w:rsidRPr="00491CBC">
          <w:rPr>
            <w:rStyle w:val="aff2"/>
            <w:rFonts w:eastAsia="黑体" w:hint="eastAsia"/>
            <w:noProof/>
            <w:sz w:val="24"/>
          </w:rPr>
          <w:t>总则</w:t>
        </w:r>
        <w:r w:rsidR="00491CBC" w:rsidRPr="00491CBC">
          <w:rPr>
            <w:noProof/>
            <w:sz w:val="24"/>
          </w:rPr>
          <w:tab/>
        </w:r>
        <w:r w:rsidRPr="00491CBC">
          <w:rPr>
            <w:noProof/>
            <w:sz w:val="24"/>
          </w:rPr>
          <w:fldChar w:fldCharType="begin"/>
        </w:r>
        <w:r w:rsidR="00491CBC" w:rsidRPr="00491CBC">
          <w:rPr>
            <w:noProof/>
            <w:sz w:val="24"/>
          </w:rPr>
          <w:instrText xml:space="preserve"> PAGEREF _Toc81934359 \h </w:instrText>
        </w:r>
        <w:r w:rsidRPr="00491CBC">
          <w:rPr>
            <w:noProof/>
            <w:sz w:val="24"/>
          </w:rPr>
        </w:r>
        <w:r w:rsidRPr="00491CBC">
          <w:rPr>
            <w:noProof/>
            <w:sz w:val="24"/>
          </w:rPr>
          <w:fldChar w:fldCharType="separate"/>
        </w:r>
        <w:r w:rsidR="000331C7">
          <w:rPr>
            <w:noProof/>
            <w:sz w:val="24"/>
          </w:rPr>
          <w:t>7</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60" w:history="1">
        <w:r w:rsidR="00491CBC" w:rsidRPr="00491CBC">
          <w:rPr>
            <w:rStyle w:val="aff2"/>
            <w:noProof/>
            <w:sz w:val="24"/>
          </w:rPr>
          <w:t xml:space="preserve">2.1 </w:t>
        </w:r>
        <w:r w:rsidR="00491CBC" w:rsidRPr="00491CBC">
          <w:rPr>
            <w:rStyle w:val="aff2"/>
            <w:rFonts w:hint="eastAsia"/>
            <w:noProof/>
            <w:sz w:val="24"/>
          </w:rPr>
          <w:t>编制依据</w:t>
        </w:r>
        <w:r w:rsidR="00491CBC" w:rsidRPr="00491CBC">
          <w:rPr>
            <w:noProof/>
            <w:sz w:val="24"/>
          </w:rPr>
          <w:tab/>
        </w:r>
        <w:r w:rsidRPr="00491CBC">
          <w:rPr>
            <w:noProof/>
            <w:sz w:val="24"/>
          </w:rPr>
          <w:fldChar w:fldCharType="begin"/>
        </w:r>
        <w:r w:rsidR="00491CBC" w:rsidRPr="00491CBC">
          <w:rPr>
            <w:noProof/>
            <w:sz w:val="24"/>
          </w:rPr>
          <w:instrText xml:space="preserve"> PAGEREF _Toc81934360 \h </w:instrText>
        </w:r>
        <w:r w:rsidRPr="00491CBC">
          <w:rPr>
            <w:noProof/>
            <w:sz w:val="24"/>
          </w:rPr>
        </w:r>
        <w:r w:rsidRPr="00491CBC">
          <w:rPr>
            <w:noProof/>
            <w:sz w:val="24"/>
          </w:rPr>
          <w:fldChar w:fldCharType="separate"/>
        </w:r>
        <w:r w:rsidR="000331C7">
          <w:rPr>
            <w:noProof/>
            <w:sz w:val="24"/>
          </w:rPr>
          <w:t>7</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61" w:history="1">
        <w:r w:rsidR="00491CBC" w:rsidRPr="00491CBC">
          <w:rPr>
            <w:rStyle w:val="aff2"/>
            <w:noProof/>
            <w:sz w:val="24"/>
          </w:rPr>
          <w:t xml:space="preserve">2.2 </w:t>
        </w:r>
        <w:r w:rsidR="00491CBC" w:rsidRPr="00491CBC">
          <w:rPr>
            <w:rStyle w:val="aff2"/>
            <w:rFonts w:hint="eastAsia"/>
            <w:noProof/>
            <w:sz w:val="24"/>
          </w:rPr>
          <w:t>评价对象</w:t>
        </w:r>
        <w:r w:rsidR="00491CBC" w:rsidRPr="00491CBC">
          <w:rPr>
            <w:noProof/>
            <w:sz w:val="24"/>
          </w:rPr>
          <w:tab/>
        </w:r>
        <w:r w:rsidRPr="00491CBC">
          <w:rPr>
            <w:noProof/>
            <w:sz w:val="24"/>
          </w:rPr>
          <w:fldChar w:fldCharType="begin"/>
        </w:r>
        <w:r w:rsidR="00491CBC" w:rsidRPr="00491CBC">
          <w:rPr>
            <w:noProof/>
            <w:sz w:val="24"/>
          </w:rPr>
          <w:instrText xml:space="preserve"> PAGEREF _Toc81934361 \h </w:instrText>
        </w:r>
        <w:r w:rsidRPr="00491CBC">
          <w:rPr>
            <w:noProof/>
            <w:sz w:val="24"/>
          </w:rPr>
        </w:r>
        <w:r w:rsidRPr="00491CBC">
          <w:rPr>
            <w:noProof/>
            <w:sz w:val="24"/>
          </w:rPr>
          <w:fldChar w:fldCharType="separate"/>
        </w:r>
        <w:r w:rsidR="000331C7">
          <w:rPr>
            <w:noProof/>
            <w:sz w:val="24"/>
          </w:rPr>
          <w:t>14</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62" w:history="1">
        <w:r w:rsidR="00491CBC" w:rsidRPr="00491CBC">
          <w:rPr>
            <w:rStyle w:val="aff2"/>
            <w:noProof/>
            <w:sz w:val="24"/>
          </w:rPr>
          <w:t xml:space="preserve">2.3 </w:t>
        </w:r>
        <w:r w:rsidR="00491CBC" w:rsidRPr="00491CBC">
          <w:rPr>
            <w:rStyle w:val="aff2"/>
            <w:rFonts w:hint="eastAsia"/>
            <w:noProof/>
            <w:sz w:val="24"/>
          </w:rPr>
          <w:t>评价目的及原则</w:t>
        </w:r>
        <w:r w:rsidR="00491CBC" w:rsidRPr="00491CBC">
          <w:rPr>
            <w:noProof/>
            <w:sz w:val="24"/>
          </w:rPr>
          <w:tab/>
        </w:r>
        <w:r w:rsidRPr="00491CBC">
          <w:rPr>
            <w:noProof/>
            <w:sz w:val="24"/>
          </w:rPr>
          <w:fldChar w:fldCharType="begin"/>
        </w:r>
        <w:r w:rsidR="00491CBC" w:rsidRPr="00491CBC">
          <w:rPr>
            <w:noProof/>
            <w:sz w:val="24"/>
          </w:rPr>
          <w:instrText xml:space="preserve"> PAGEREF _Toc81934362 \h </w:instrText>
        </w:r>
        <w:r w:rsidRPr="00491CBC">
          <w:rPr>
            <w:noProof/>
            <w:sz w:val="24"/>
          </w:rPr>
        </w:r>
        <w:r w:rsidRPr="00491CBC">
          <w:rPr>
            <w:noProof/>
            <w:sz w:val="24"/>
          </w:rPr>
          <w:fldChar w:fldCharType="separate"/>
        </w:r>
        <w:r w:rsidR="000331C7">
          <w:rPr>
            <w:noProof/>
            <w:sz w:val="24"/>
          </w:rPr>
          <w:t>14</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63" w:history="1">
        <w:r w:rsidR="00491CBC" w:rsidRPr="00491CBC">
          <w:rPr>
            <w:rStyle w:val="aff2"/>
            <w:noProof/>
            <w:sz w:val="24"/>
          </w:rPr>
          <w:t xml:space="preserve">2.4 </w:t>
        </w:r>
        <w:r w:rsidR="00491CBC" w:rsidRPr="00491CBC">
          <w:rPr>
            <w:rStyle w:val="aff2"/>
            <w:rFonts w:hint="eastAsia"/>
            <w:noProof/>
            <w:sz w:val="24"/>
          </w:rPr>
          <w:t>环境影响因素识别与评价因子筛选</w:t>
        </w:r>
        <w:r w:rsidR="00491CBC" w:rsidRPr="00491CBC">
          <w:rPr>
            <w:noProof/>
            <w:sz w:val="24"/>
          </w:rPr>
          <w:tab/>
        </w:r>
        <w:r w:rsidRPr="00491CBC">
          <w:rPr>
            <w:noProof/>
            <w:sz w:val="24"/>
          </w:rPr>
          <w:fldChar w:fldCharType="begin"/>
        </w:r>
        <w:r w:rsidR="00491CBC" w:rsidRPr="00491CBC">
          <w:rPr>
            <w:noProof/>
            <w:sz w:val="24"/>
          </w:rPr>
          <w:instrText xml:space="preserve"> PAGEREF _Toc81934363 \h </w:instrText>
        </w:r>
        <w:r w:rsidRPr="00491CBC">
          <w:rPr>
            <w:noProof/>
            <w:sz w:val="24"/>
          </w:rPr>
        </w:r>
        <w:r w:rsidRPr="00491CBC">
          <w:rPr>
            <w:noProof/>
            <w:sz w:val="24"/>
          </w:rPr>
          <w:fldChar w:fldCharType="separate"/>
        </w:r>
        <w:r w:rsidR="000331C7">
          <w:rPr>
            <w:noProof/>
            <w:sz w:val="24"/>
          </w:rPr>
          <w:t>15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64" w:history="1">
        <w:r w:rsidR="00491CBC" w:rsidRPr="00491CBC">
          <w:rPr>
            <w:rStyle w:val="aff2"/>
            <w:noProof/>
            <w:sz w:val="24"/>
          </w:rPr>
          <w:t xml:space="preserve">2.5 </w:t>
        </w:r>
        <w:r w:rsidR="00491CBC" w:rsidRPr="00491CBC">
          <w:rPr>
            <w:rStyle w:val="aff2"/>
            <w:rFonts w:hint="eastAsia"/>
            <w:noProof/>
            <w:sz w:val="24"/>
          </w:rPr>
          <w:t>评价标准</w:t>
        </w:r>
        <w:r w:rsidR="00491CBC" w:rsidRPr="00491CBC">
          <w:rPr>
            <w:noProof/>
            <w:sz w:val="24"/>
          </w:rPr>
          <w:tab/>
        </w:r>
        <w:r w:rsidRPr="00491CBC">
          <w:rPr>
            <w:noProof/>
            <w:sz w:val="24"/>
          </w:rPr>
          <w:fldChar w:fldCharType="begin"/>
        </w:r>
        <w:r w:rsidR="00491CBC" w:rsidRPr="00491CBC">
          <w:rPr>
            <w:noProof/>
            <w:sz w:val="24"/>
          </w:rPr>
          <w:instrText xml:space="preserve"> PAGEREF _Toc81934364 \h </w:instrText>
        </w:r>
        <w:r w:rsidRPr="00491CBC">
          <w:rPr>
            <w:noProof/>
            <w:sz w:val="24"/>
          </w:rPr>
        </w:r>
        <w:r w:rsidRPr="00491CBC">
          <w:rPr>
            <w:noProof/>
            <w:sz w:val="24"/>
          </w:rPr>
          <w:fldChar w:fldCharType="separate"/>
        </w:r>
        <w:r w:rsidR="000331C7">
          <w:rPr>
            <w:noProof/>
            <w:sz w:val="24"/>
          </w:rPr>
          <w:t>17</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65" w:history="1">
        <w:r w:rsidR="00491CBC" w:rsidRPr="00491CBC">
          <w:rPr>
            <w:rStyle w:val="aff2"/>
            <w:noProof/>
            <w:sz w:val="24"/>
          </w:rPr>
          <w:t xml:space="preserve">2.6 </w:t>
        </w:r>
        <w:r w:rsidR="00491CBC" w:rsidRPr="00491CBC">
          <w:rPr>
            <w:rStyle w:val="aff2"/>
            <w:rFonts w:hint="eastAsia"/>
            <w:noProof/>
            <w:sz w:val="24"/>
          </w:rPr>
          <w:t>评价工作等级</w:t>
        </w:r>
        <w:r w:rsidR="00491CBC" w:rsidRPr="00491CBC">
          <w:rPr>
            <w:noProof/>
            <w:sz w:val="24"/>
          </w:rPr>
          <w:tab/>
        </w:r>
        <w:r w:rsidRPr="00491CBC">
          <w:rPr>
            <w:noProof/>
            <w:sz w:val="24"/>
          </w:rPr>
          <w:fldChar w:fldCharType="begin"/>
        </w:r>
        <w:r w:rsidR="00491CBC" w:rsidRPr="00491CBC">
          <w:rPr>
            <w:noProof/>
            <w:sz w:val="24"/>
          </w:rPr>
          <w:instrText xml:space="preserve"> PAGEREF _Toc81934365 \h </w:instrText>
        </w:r>
        <w:r w:rsidRPr="00491CBC">
          <w:rPr>
            <w:noProof/>
            <w:sz w:val="24"/>
          </w:rPr>
        </w:r>
        <w:r w:rsidRPr="00491CBC">
          <w:rPr>
            <w:noProof/>
            <w:sz w:val="24"/>
          </w:rPr>
          <w:fldChar w:fldCharType="separate"/>
        </w:r>
        <w:r w:rsidR="000331C7">
          <w:rPr>
            <w:noProof/>
            <w:sz w:val="24"/>
          </w:rPr>
          <w:t>20</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66" w:history="1">
        <w:r w:rsidR="00491CBC" w:rsidRPr="00491CBC">
          <w:rPr>
            <w:rStyle w:val="aff2"/>
            <w:noProof/>
            <w:sz w:val="24"/>
          </w:rPr>
          <w:t xml:space="preserve">2.7 </w:t>
        </w:r>
        <w:r w:rsidR="00491CBC" w:rsidRPr="00491CBC">
          <w:rPr>
            <w:rStyle w:val="aff2"/>
            <w:rFonts w:hint="eastAsia"/>
            <w:noProof/>
            <w:sz w:val="24"/>
          </w:rPr>
          <w:t>评价范围</w:t>
        </w:r>
        <w:r w:rsidR="00491CBC" w:rsidRPr="00491CBC">
          <w:rPr>
            <w:noProof/>
            <w:sz w:val="24"/>
          </w:rPr>
          <w:tab/>
        </w:r>
        <w:r w:rsidRPr="00491CBC">
          <w:rPr>
            <w:noProof/>
            <w:sz w:val="24"/>
          </w:rPr>
          <w:fldChar w:fldCharType="begin"/>
        </w:r>
        <w:r w:rsidR="00491CBC" w:rsidRPr="00491CBC">
          <w:rPr>
            <w:noProof/>
            <w:sz w:val="24"/>
          </w:rPr>
          <w:instrText xml:space="preserve"> PAGEREF _Toc81934366 \h </w:instrText>
        </w:r>
        <w:r w:rsidRPr="00491CBC">
          <w:rPr>
            <w:noProof/>
            <w:sz w:val="24"/>
          </w:rPr>
        </w:r>
        <w:r w:rsidRPr="00491CBC">
          <w:rPr>
            <w:noProof/>
            <w:sz w:val="24"/>
          </w:rPr>
          <w:fldChar w:fldCharType="separate"/>
        </w:r>
        <w:r w:rsidR="000331C7">
          <w:rPr>
            <w:noProof/>
            <w:sz w:val="24"/>
          </w:rPr>
          <w:t>25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67" w:history="1">
        <w:r w:rsidR="00491CBC" w:rsidRPr="00491CBC">
          <w:rPr>
            <w:rStyle w:val="aff2"/>
            <w:bCs/>
            <w:noProof/>
            <w:sz w:val="24"/>
          </w:rPr>
          <w:t xml:space="preserve">2.8 </w:t>
        </w:r>
        <w:r w:rsidR="00491CBC" w:rsidRPr="00491CBC">
          <w:rPr>
            <w:rStyle w:val="aff2"/>
            <w:rFonts w:hint="eastAsia"/>
            <w:bCs/>
            <w:noProof/>
            <w:sz w:val="24"/>
          </w:rPr>
          <w:t>评价工作内容及重点</w:t>
        </w:r>
        <w:r w:rsidR="00491CBC" w:rsidRPr="00491CBC">
          <w:rPr>
            <w:noProof/>
            <w:sz w:val="24"/>
          </w:rPr>
          <w:tab/>
        </w:r>
        <w:r w:rsidRPr="00491CBC">
          <w:rPr>
            <w:noProof/>
            <w:sz w:val="24"/>
          </w:rPr>
          <w:fldChar w:fldCharType="begin"/>
        </w:r>
        <w:r w:rsidR="00491CBC" w:rsidRPr="00491CBC">
          <w:rPr>
            <w:noProof/>
            <w:sz w:val="24"/>
          </w:rPr>
          <w:instrText xml:space="preserve"> PAGEREF _Toc81934367 \h </w:instrText>
        </w:r>
        <w:r w:rsidRPr="00491CBC">
          <w:rPr>
            <w:noProof/>
            <w:sz w:val="24"/>
          </w:rPr>
        </w:r>
        <w:r w:rsidRPr="00491CBC">
          <w:rPr>
            <w:noProof/>
            <w:sz w:val="24"/>
          </w:rPr>
          <w:fldChar w:fldCharType="separate"/>
        </w:r>
        <w:r w:rsidR="000331C7">
          <w:rPr>
            <w:noProof/>
            <w:sz w:val="24"/>
          </w:rPr>
          <w:t>25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68" w:history="1">
        <w:r w:rsidR="00491CBC" w:rsidRPr="00491CBC">
          <w:rPr>
            <w:rStyle w:val="aff2"/>
            <w:noProof/>
            <w:sz w:val="24"/>
          </w:rPr>
          <w:t xml:space="preserve">2.9 </w:t>
        </w:r>
        <w:r w:rsidR="00491CBC" w:rsidRPr="00491CBC">
          <w:rPr>
            <w:rStyle w:val="aff2"/>
            <w:rFonts w:hint="eastAsia"/>
            <w:noProof/>
            <w:sz w:val="24"/>
          </w:rPr>
          <w:t>环境保护目标</w:t>
        </w:r>
        <w:r w:rsidR="00491CBC" w:rsidRPr="00491CBC">
          <w:rPr>
            <w:noProof/>
            <w:sz w:val="24"/>
          </w:rPr>
          <w:tab/>
        </w:r>
        <w:r w:rsidRPr="00491CBC">
          <w:rPr>
            <w:noProof/>
            <w:sz w:val="24"/>
          </w:rPr>
          <w:fldChar w:fldCharType="begin"/>
        </w:r>
        <w:r w:rsidR="00491CBC" w:rsidRPr="00491CBC">
          <w:rPr>
            <w:noProof/>
            <w:sz w:val="24"/>
          </w:rPr>
          <w:instrText xml:space="preserve"> PAGEREF _Toc81934368 \h </w:instrText>
        </w:r>
        <w:r w:rsidRPr="00491CBC">
          <w:rPr>
            <w:noProof/>
            <w:sz w:val="24"/>
          </w:rPr>
        </w:r>
        <w:r w:rsidRPr="00491CBC">
          <w:rPr>
            <w:noProof/>
            <w:sz w:val="24"/>
          </w:rPr>
          <w:fldChar w:fldCharType="separate"/>
        </w:r>
        <w:r w:rsidR="000331C7">
          <w:rPr>
            <w:noProof/>
            <w:sz w:val="24"/>
          </w:rPr>
          <w:t>26</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369" w:history="1">
        <w:r w:rsidR="00491CBC" w:rsidRPr="00491CBC">
          <w:rPr>
            <w:rStyle w:val="aff2"/>
            <w:rFonts w:eastAsia="黑体"/>
            <w:noProof/>
            <w:sz w:val="24"/>
          </w:rPr>
          <w:t xml:space="preserve">3 </w:t>
        </w:r>
        <w:r w:rsidR="00491CBC" w:rsidRPr="00491CBC">
          <w:rPr>
            <w:rStyle w:val="aff2"/>
            <w:rFonts w:eastAsia="黑体" w:hint="eastAsia"/>
            <w:noProof/>
            <w:sz w:val="24"/>
          </w:rPr>
          <w:t>工程概况与工程分析</w:t>
        </w:r>
        <w:r w:rsidR="00491CBC" w:rsidRPr="00491CBC">
          <w:rPr>
            <w:noProof/>
            <w:sz w:val="24"/>
          </w:rPr>
          <w:tab/>
        </w:r>
        <w:r w:rsidRPr="00491CBC">
          <w:rPr>
            <w:noProof/>
            <w:sz w:val="24"/>
          </w:rPr>
          <w:fldChar w:fldCharType="begin"/>
        </w:r>
        <w:r w:rsidR="00491CBC" w:rsidRPr="00491CBC">
          <w:rPr>
            <w:noProof/>
            <w:sz w:val="24"/>
          </w:rPr>
          <w:instrText xml:space="preserve"> PAGEREF _Toc81934369 \h </w:instrText>
        </w:r>
        <w:r w:rsidRPr="00491CBC">
          <w:rPr>
            <w:noProof/>
            <w:sz w:val="24"/>
          </w:rPr>
        </w:r>
        <w:r w:rsidRPr="00491CBC">
          <w:rPr>
            <w:noProof/>
            <w:sz w:val="24"/>
          </w:rPr>
          <w:fldChar w:fldCharType="separate"/>
        </w:r>
        <w:r w:rsidR="000331C7">
          <w:rPr>
            <w:noProof/>
            <w:sz w:val="24"/>
          </w:rPr>
          <w:t>28</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70" w:history="1">
        <w:r w:rsidR="00491CBC" w:rsidRPr="00491CBC">
          <w:rPr>
            <w:rStyle w:val="aff2"/>
            <w:bCs/>
            <w:noProof/>
            <w:spacing w:val="2"/>
            <w:sz w:val="24"/>
          </w:rPr>
          <w:t>3.1</w:t>
        </w:r>
        <w:r w:rsidR="00491CBC" w:rsidRPr="00491CBC">
          <w:rPr>
            <w:rStyle w:val="aff2"/>
            <w:rFonts w:hint="eastAsia"/>
            <w:bCs/>
            <w:noProof/>
            <w:spacing w:val="2"/>
            <w:sz w:val="24"/>
          </w:rPr>
          <w:t>升级改造前现有工程概况</w:t>
        </w:r>
        <w:r w:rsidR="00491CBC" w:rsidRPr="00491CBC">
          <w:rPr>
            <w:noProof/>
            <w:sz w:val="24"/>
          </w:rPr>
          <w:tab/>
        </w:r>
        <w:r w:rsidRPr="00491CBC">
          <w:rPr>
            <w:noProof/>
            <w:sz w:val="24"/>
          </w:rPr>
          <w:fldChar w:fldCharType="begin"/>
        </w:r>
        <w:r w:rsidR="00491CBC" w:rsidRPr="00491CBC">
          <w:rPr>
            <w:noProof/>
            <w:sz w:val="24"/>
          </w:rPr>
          <w:instrText xml:space="preserve"> PAGEREF _Toc81934370 \h </w:instrText>
        </w:r>
        <w:r w:rsidRPr="00491CBC">
          <w:rPr>
            <w:noProof/>
            <w:sz w:val="24"/>
          </w:rPr>
        </w:r>
        <w:r w:rsidRPr="00491CBC">
          <w:rPr>
            <w:noProof/>
            <w:sz w:val="24"/>
          </w:rPr>
          <w:fldChar w:fldCharType="separate"/>
        </w:r>
        <w:r w:rsidR="000331C7">
          <w:rPr>
            <w:noProof/>
            <w:sz w:val="24"/>
          </w:rPr>
          <w:t>28</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71" w:history="1">
        <w:r w:rsidR="00491CBC" w:rsidRPr="00491CBC">
          <w:rPr>
            <w:rStyle w:val="aff2"/>
            <w:bCs/>
            <w:noProof/>
            <w:spacing w:val="2"/>
            <w:sz w:val="24"/>
          </w:rPr>
          <w:t>3.2</w:t>
        </w:r>
        <w:r w:rsidR="00491CBC" w:rsidRPr="00491CBC">
          <w:rPr>
            <w:rStyle w:val="aff2"/>
            <w:rFonts w:hint="eastAsia"/>
            <w:bCs/>
            <w:noProof/>
            <w:spacing w:val="2"/>
            <w:sz w:val="24"/>
          </w:rPr>
          <w:t>升级改造工程概况</w:t>
        </w:r>
        <w:r w:rsidR="00491CBC" w:rsidRPr="00491CBC">
          <w:rPr>
            <w:noProof/>
            <w:sz w:val="24"/>
          </w:rPr>
          <w:tab/>
        </w:r>
        <w:r w:rsidRPr="00491CBC">
          <w:rPr>
            <w:noProof/>
            <w:sz w:val="24"/>
          </w:rPr>
          <w:fldChar w:fldCharType="begin"/>
        </w:r>
        <w:r w:rsidR="00491CBC" w:rsidRPr="00491CBC">
          <w:rPr>
            <w:noProof/>
            <w:sz w:val="24"/>
          </w:rPr>
          <w:instrText xml:space="preserve"> PAGEREF _Toc81934371 \h </w:instrText>
        </w:r>
        <w:r w:rsidRPr="00491CBC">
          <w:rPr>
            <w:noProof/>
            <w:sz w:val="24"/>
          </w:rPr>
        </w:r>
        <w:r w:rsidRPr="00491CBC">
          <w:rPr>
            <w:noProof/>
            <w:sz w:val="24"/>
          </w:rPr>
          <w:fldChar w:fldCharType="separate"/>
        </w:r>
        <w:r w:rsidR="000331C7">
          <w:rPr>
            <w:noProof/>
            <w:sz w:val="24"/>
          </w:rPr>
          <w:t>44</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72" w:history="1">
        <w:r w:rsidR="00491CBC" w:rsidRPr="00491CBC">
          <w:rPr>
            <w:rStyle w:val="aff2"/>
            <w:bCs/>
            <w:noProof/>
            <w:spacing w:val="2"/>
            <w:sz w:val="24"/>
          </w:rPr>
          <w:t>3.3</w:t>
        </w:r>
        <w:r w:rsidR="00491CBC" w:rsidRPr="00491CBC">
          <w:rPr>
            <w:rStyle w:val="aff2"/>
            <w:rFonts w:hint="eastAsia"/>
            <w:bCs/>
            <w:noProof/>
            <w:spacing w:val="2"/>
            <w:sz w:val="24"/>
          </w:rPr>
          <w:t>升级改造工程分析</w:t>
        </w:r>
        <w:r w:rsidR="00491CBC" w:rsidRPr="00491CBC">
          <w:rPr>
            <w:noProof/>
            <w:sz w:val="24"/>
          </w:rPr>
          <w:tab/>
        </w:r>
        <w:r w:rsidRPr="00491CBC">
          <w:rPr>
            <w:noProof/>
            <w:sz w:val="24"/>
          </w:rPr>
          <w:fldChar w:fldCharType="begin"/>
        </w:r>
        <w:r w:rsidR="00491CBC" w:rsidRPr="00491CBC">
          <w:rPr>
            <w:noProof/>
            <w:sz w:val="24"/>
          </w:rPr>
          <w:instrText xml:space="preserve"> PAGEREF _Toc81934372 \h </w:instrText>
        </w:r>
        <w:r w:rsidRPr="00491CBC">
          <w:rPr>
            <w:noProof/>
            <w:sz w:val="24"/>
          </w:rPr>
        </w:r>
        <w:r w:rsidRPr="00491CBC">
          <w:rPr>
            <w:noProof/>
            <w:sz w:val="24"/>
          </w:rPr>
          <w:fldChar w:fldCharType="separate"/>
        </w:r>
        <w:r w:rsidR="000331C7">
          <w:rPr>
            <w:noProof/>
            <w:sz w:val="24"/>
          </w:rPr>
          <w:t>56</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73" w:history="1">
        <w:r w:rsidR="00491CBC" w:rsidRPr="00491CBC">
          <w:rPr>
            <w:rStyle w:val="aff2"/>
            <w:bCs/>
            <w:noProof/>
            <w:spacing w:val="2"/>
            <w:sz w:val="24"/>
          </w:rPr>
          <w:t xml:space="preserve">3.4 </w:t>
        </w:r>
        <w:r w:rsidR="00491CBC" w:rsidRPr="00491CBC">
          <w:rPr>
            <w:rStyle w:val="aff2"/>
            <w:rFonts w:hint="eastAsia"/>
            <w:bCs/>
            <w:noProof/>
            <w:spacing w:val="2"/>
            <w:sz w:val="24"/>
          </w:rPr>
          <w:t>污染源及环境影响因素分析</w:t>
        </w:r>
        <w:r w:rsidR="00491CBC" w:rsidRPr="00491CBC">
          <w:rPr>
            <w:noProof/>
            <w:sz w:val="24"/>
          </w:rPr>
          <w:tab/>
        </w:r>
        <w:r w:rsidRPr="00491CBC">
          <w:rPr>
            <w:noProof/>
            <w:sz w:val="24"/>
          </w:rPr>
          <w:fldChar w:fldCharType="begin"/>
        </w:r>
        <w:r w:rsidR="00491CBC" w:rsidRPr="00491CBC">
          <w:rPr>
            <w:noProof/>
            <w:sz w:val="24"/>
          </w:rPr>
          <w:instrText xml:space="preserve"> PAGEREF _Toc81934373 \h </w:instrText>
        </w:r>
        <w:r w:rsidRPr="00491CBC">
          <w:rPr>
            <w:noProof/>
            <w:sz w:val="24"/>
          </w:rPr>
        </w:r>
        <w:r w:rsidRPr="00491CBC">
          <w:rPr>
            <w:noProof/>
            <w:sz w:val="24"/>
          </w:rPr>
          <w:fldChar w:fldCharType="separate"/>
        </w:r>
        <w:r w:rsidR="000331C7">
          <w:rPr>
            <w:noProof/>
            <w:sz w:val="24"/>
          </w:rPr>
          <w:t>65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74" w:history="1">
        <w:r w:rsidR="00491CBC" w:rsidRPr="00491CBC">
          <w:rPr>
            <w:rStyle w:val="aff2"/>
            <w:bCs/>
            <w:noProof/>
            <w:spacing w:val="2"/>
            <w:sz w:val="24"/>
          </w:rPr>
          <w:t>3.5</w:t>
        </w:r>
        <w:r w:rsidR="00491CBC" w:rsidRPr="00491CBC">
          <w:rPr>
            <w:rStyle w:val="aff2"/>
            <w:rFonts w:hint="eastAsia"/>
            <w:bCs/>
            <w:noProof/>
            <w:spacing w:val="2"/>
            <w:sz w:val="24"/>
          </w:rPr>
          <w:t>升级改造前后污染源排放情况及</w:t>
        </w:r>
        <w:r w:rsidR="00491CBC" w:rsidRPr="00491CBC">
          <w:rPr>
            <w:rStyle w:val="aff2"/>
            <w:bCs/>
            <w:noProof/>
            <w:spacing w:val="2"/>
            <w:sz w:val="24"/>
          </w:rPr>
          <w:t>“</w:t>
        </w:r>
        <w:r w:rsidR="00491CBC" w:rsidRPr="00491CBC">
          <w:rPr>
            <w:rStyle w:val="aff2"/>
            <w:rFonts w:hint="eastAsia"/>
            <w:bCs/>
            <w:noProof/>
            <w:spacing w:val="2"/>
            <w:sz w:val="24"/>
          </w:rPr>
          <w:t>三本账</w:t>
        </w:r>
        <w:r w:rsidR="00491CBC" w:rsidRPr="00491CBC">
          <w:rPr>
            <w:rStyle w:val="aff2"/>
            <w:bCs/>
            <w:noProof/>
            <w:spacing w:val="2"/>
            <w:sz w:val="24"/>
          </w:rPr>
          <w:t>”</w:t>
        </w:r>
        <w:r w:rsidR="00491CBC" w:rsidRPr="00491CBC">
          <w:rPr>
            <w:rStyle w:val="aff2"/>
            <w:rFonts w:hint="eastAsia"/>
            <w:bCs/>
            <w:noProof/>
            <w:spacing w:val="2"/>
            <w:sz w:val="24"/>
          </w:rPr>
          <w:t>分析</w:t>
        </w:r>
        <w:r w:rsidR="00491CBC" w:rsidRPr="00491CBC">
          <w:rPr>
            <w:noProof/>
            <w:sz w:val="24"/>
          </w:rPr>
          <w:tab/>
        </w:r>
        <w:r w:rsidRPr="00491CBC">
          <w:rPr>
            <w:noProof/>
            <w:sz w:val="24"/>
          </w:rPr>
          <w:fldChar w:fldCharType="begin"/>
        </w:r>
        <w:r w:rsidR="00491CBC" w:rsidRPr="00491CBC">
          <w:rPr>
            <w:noProof/>
            <w:sz w:val="24"/>
          </w:rPr>
          <w:instrText xml:space="preserve"> PAGEREF _Toc81934374 \h </w:instrText>
        </w:r>
        <w:r w:rsidRPr="00491CBC">
          <w:rPr>
            <w:noProof/>
            <w:sz w:val="24"/>
          </w:rPr>
        </w:r>
        <w:r w:rsidRPr="00491CBC">
          <w:rPr>
            <w:noProof/>
            <w:sz w:val="24"/>
          </w:rPr>
          <w:fldChar w:fldCharType="separate"/>
        </w:r>
        <w:r w:rsidR="000331C7">
          <w:rPr>
            <w:noProof/>
            <w:sz w:val="24"/>
          </w:rPr>
          <w:t>78</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75" w:history="1">
        <w:r w:rsidR="00491CBC" w:rsidRPr="00491CBC">
          <w:rPr>
            <w:rStyle w:val="aff2"/>
            <w:bCs/>
            <w:noProof/>
            <w:spacing w:val="2"/>
            <w:sz w:val="24"/>
          </w:rPr>
          <w:t>3.6</w:t>
        </w:r>
        <w:r w:rsidR="00491CBC" w:rsidRPr="00491CBC">
          <w:rPr>
            <w:rStyle w:val="aff2"/>
            <w:rFonts w:hint="eastAsia"/>
            <w:bCs/>
            <w:noProof/>
            <w:spacing w:val="2"/>
            <w:sz w:val="24"/>
          </w:rPr>
          <w:t>清洁生产</w:t>
        </w:r>
        <w:r w:rsidR="00491CBC" w:rsidRPr="00491CBC">
          <w:rPr>
            <w:noProof/>
            <w:sz w:val="24"/>
          </w:rPr>
          <w:tab/>
        </w:r>
        <w:r w:rsidRPr="00491CBC">
          <w:rPr>
            <w:noProof/>
            <w:sz w:val="24"/>
          </w:rPr>
          <w:fldChar w:fldCharType="begin"/>
        </w:r>
        <w:r w:rsidR="00491CBC" w:rsidRPr="00491CBC">
          <w:rPr>
            <w:noProof/>
            <w:sz w:val="24"/>
          </w:rPr>
          <w:instrText xml:space="preserve"> PAGEREF _Toc81934375 \h </w:instrText>
        </w:r>
        <w:r w:rsidRPr="00491CBC">
          <w:rPr>
            <w:noProof/>
            <w:sz w:val="24"/>
          </w:rPr>
        </w:r>
        <w:r w:rsidRPr="00491CBC">
          <w:rPr>
            <w:noProof/>
            <w:sz w:val="24"/>
          </w:rPr>
          <w:fldChar w:fldCharType="separate"/>
        </w:r>
        <w:r w:rsidR="000331C7">
          <w:rPr>
            <w:noProof/>
            <w:sz w:val="24"/>
          </w:rPr>
          <w:t>80</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376" w:history="1">
        <w:r w:rsidR="00491CBC" w:rsidRPr="00491CBC">
          <w:rPr>
            <w:rStyle w:val="aff2"/>
            <w:rFonts w:eastAsia="黑体"/>
            <w:noProof/>
            <w:sz w:val="24"/>
          </w:rPr>
          <w:t xml:space="preserve">4 </w:t>
        </w:r>
        <w:r w:rsidR="00491CBC" w:rsidRPr="00491CBC">
          <w:rPr>
            <w:rStyle w:val="aff2"/>
            <w:rFonts w:eastAsia="黑体" w:hint="eastAsia"/>
            <w:noProof/>
            <w:sz w:val="24"/>
          </w:rPr>
          <w:t>建设项目区域环境概况</w:t>
        </w:r>
        <w:r w:rsidR="00491CBC" w:rsidRPr="00491CBC">
          <w:rPr>
            <w:noProof/>
            <w:sz w:val="24"/>
          </w:rPr>
          <w:tab/>
        </w:r>
        <w:r w:rsidRPr="00491CBC">
          <w:rPr>
            <w:noProof/>
            <w:sz w:val="24"/>
          </w:rPr>
          <w:fldChar w:fldCharType="begin"/>
        </w:r>
        <w:r w:rsidR="00491CBC" w:rsidRPr="00491CBC">
          <w:rPr>
            <w:noProof/>
            <w:sz w:val="24"/>
          </w:rPr>
          <w:instrText xml:space="preserve"> PAGEREF _Toc81934376 \h </w:instrText>
        </w:r>
        <w:r w:rsidRPr="00491CBC">
          <w:rPr>
            <w:noProof/>
            <w:sz w:val="24"/>
          </w:rPr>
        </w:r>
        <w:r w:rsidRPr="00491CBC">
          <w:rPr>
            <w:noProof/>
            <w:sz w:val="24"/>
          </w:rPr>
          <w:fldChar w:fldCharType="separate"/>
        </w:r>
        <w:r w:rsidR="000331C7">
          <w:rPr>
            <w:noProof/>
            <w:sz w:val="24"/>
          </w:rPr>
          <w:t>89</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77" w:history="1">
        <w:r w:rsidR="00491CBC" w:rsidRPr="00491CBC">
          <w:rPr>
            <w:rStyle w:val="aff2"/>
            <w:noProof/>
            <w:sz w:val="24"/>
          </w:rPr>
          <w:t xml:space="preserve">4.1 </w:t>
        </w:r>
        <w:r w:rsidR="00491CBC" w:rsidRPr="00491CBC">
          <w:rPr>
            <w:rStyle w:val="aff2"/>
            <w:rFonts w:hint="eastAsia"/>
            <w:noProof/>
            <w:sz w:val="24"/>
          </w:rPr>
          <w:t>区域自然环境概况</w:t>
        </w:r>
        <w:r w:rsidR="00491CBC" w:rsidRPr="00491CBC">
          <w:rPr>
            <w:noProof/>
            <w:sz w:val="24"/>
          </w:rPr>
          <w:tab/>
        </w:r>
        <w:r w:rsidRPr="00491CBC">
          <w:rPr>
            <w:noProof/>
            <w:sz w:val="24"/>
          </w:rPr>
          <w:fldChar w:fldCharType="begin"/>
        </w:r>
        <w:r w:rsidR="00491CBC" w:rsidRPr="00491CBC">
          <w:rPr>
            <w:noProof/>
            <w:sz w:val="24"/>
          </w:rPr>
          <w:instrText xml:space="preserve"> PAGEREF _Toc81934377 \h </w:instrText>
        </w:r>
        <w:r w:rsidRPr="00491CBC">
          <w:rPr>
            <w:noProof/>
            <w:sz w:val="24"/>
          </w:rPr>
        </w:r>
        <w:r w:rsidRPr="00491CBC">
          <w:rPr>
            <w:noProof/>
            <w:sz w:val="24"/>
          </w:rPr>
          <w:fldChar w:fldCharType="separate"/>
        </w:r>
        <w:r w:rsidR="000331C7">
          <w:rPr>
            <w:noProof/>
            <w:sz w:val="24"/>
          </w:rPr>
          <w:t>89</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78" w:history="1">
        <w:r w:rsidR="00491CBC" w:rsidRPr="00491CBC">
          <w:rPr>
            <w:rStyle w:val="aff2"/>
            <w:bCs/>
            <w:noProof/>
            <w:sz w:val="24"/>
          </w:rPr>
          <w:t xml:space="preserve">4.2 </w:t>
        </w:r>
        <w:r w:rsidR="00491CBC" w:rsidRPr="00491CBC">
          <w:rPr>
            <w:rStyle w:val="aff2"/>
            <w:rFonts w:hint="eastAsia"/>
            <w:bCs/>
            <w:noProof/>
            <w:sz w:val="24"/>
          </w:rPr>
          <w:t>社会环境</w:t>
        </w:r>
        <w:r w:rsidR="00491CBC" w:rsidRPr="00491CBC">
          <w:rPr>
            <w:noProof/>
            <w:sz w:val="24"/>
          </w:rPr>
          <w:tab/>
        </w:r>
        <w:r w:rsidRPr="00491CBC">
          <w:rPr>
            <w:noProof/>
            <w:sz w:val="24"/>
          </w:rPr>
          <w:fldChar w:fldCharType="begin"/>
        </w:r>
        <w:r w:rsidR="00491CBC" w:rsidRPr="00491CBC">
          <w:rPr>
            <w:noProof/>
            <w:sz w:val="24"/>
          </w:rPr>
          <w:instrText xml:space="preserve"> PAGEREF _Toc81934378 \h </w:instrText>
        </w:r>
        <w:r w:rsidRPr="00491CBC">
          <w:rPr>
            <w:noProof/>
            <w:sz w:val="24"/>
          </w:rPr>
        </w:r>
        <w:r w:rsidRPr="00491CBC">
          <w:rPr>
            <w:noProof/>
            <w:sz w:val="24"/>
          </w:rPr>
          <w:fldChar w:fldCharType="separate"/>
        </w:r>
        <w:r w:rsidR="000331C7">
          <w:rPr>
            <w:noProof/>
            <w:sz w:val="24"/>
          </w:rPr>
          <w:t>91</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79" w:history="1">
        <w:r w:rsidR="00491CBC" w:rsidRPr="00491CBC">
          <w:rPr>
            <w:rStyle w:val="aff2"/>
            <w:noProof/>
            <w:sz w:val="24"/>
          </w:rPr>
          <w:t>4.3</w:t>
        </w:r>
        <w:r w:rsidR="00491CBC" w:rsidRPr="00491CBC">
          <w:rPr>
            <w:rStyle w:val="aff2"/>
            <w:rFonts w:hint="eastAsia"/>
            <w:noProof/>
            <w:sz w:val="24"/>
          </w:rPr>
          <w:t>环境质量现状调查与评价</w:t>
        </w:r>
        <w:r w:rsidR="00491CBC" w:rsidRPr="00491CBC">
          <w:rPr>
            <w:noProof/>
            <w:sz w:val="24"/>
          </w:rPr>
          <w:tab/>
        </w:r>
        <w:r w:rsidRPr="00491CBC">
          <w:rPr>
            <w:noProof/>
            <w:sz w:val="24"/>
          </w:rPr>
          <w:fldChar w:fldCharType="begin"/>
        </w:r>
        <w:r w:rsidR="00491CBC" w:rsidRPr="00491CBC">
          <w:rPr>
            <w:noProof/>
            <w:sz w:val="24"/>
          </w:rPr>
          <w:instrText xml:space="preserve"> PAGEREF _Toc81934379 \h </w:instrText>
        </w:r>
        <w:r w:rsidRPr="00491CBC">
          <w:rPr>
            <w:noProof/>
            <w:sz w:val="24"/>
          </w:rPr>
        </w:r>
        <w:r w:rsidRPr="00491CBC">
          <w:rPr>
            <w:noProof/>
            <w:sz w:val="24"/>
          </w:rPr>
          <w:fldChar w:fldCharType="separate"/>
        </w:r>
        <w:r w:rsidR="000331C7">
          <w:rPr>
            <w:noProof/>
            <w:sz w:val="24"/>
          </w:rPr>
          <w:t>92</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380" w:history="1">
        <w:r w:rsidR="00491CBC" w:rsidRPr="00491CBC">
          <w:rPr>
            <w:rStyle w:val="aff2"/>
            <w:rFonts w:eastAsia="黑体"/>
            <w:noProof/>
            <w:sz w:val="24"/>
          </w:rPr>
          <w:t xml:space="preserve">5 </w:t>
        </w:r>
        <w:r w:rsidR="00491CBC" w:rsidRPr="00491CBC">
          <w:rPr>
            <w:rStyle w:val="aff2"/>
            <w:rFonts w:eastAsia="黑体" w:hint="eastAsia"/>
            <w:noProof/>
            <w:sz w:val="24"/>
          </w:rPr>
          <w:t>地表沉陷预测及生态影响评价</w:t>
        </w:r>
        <w:r w:rsidR="00491CBC" w:rsidRPr="00491CBC">
          <w:rPr>
            <w:noProof/>
            <w:sz w:val="24"/>
          </w:rPr>
          <w:tab/>
        </w:r>
        <w:r w:rsidRPr="00491CBC">
          <w:rPr>
            <w:noProof/>
            <w:sz w:val="24"/>
          </w:rPr>
          <w:fldChar w:fldCharType="begin"/>
        </w:r>
        <w:r w:rsidR="00491CBC" w:rsidRPr="00491CBC">
          <w:rPr>
            <w:noProof/>
            <w:sz w:val="24"/>
          </w:rPr>
          <w:instrText xml:space="preserve"> PAGEREF _Toc81934380 \h </w:instrText>
        </w:r>
        <w:r w:rsidRPr="00491CBC">
          <w:rPr>
            <w:noProof/>
            <w:sz w:val="24"/>
          </w:rPr>
        </w:r>
        <w:r w:rsidRPr="00491CBC">
          <w:rPr>
            <w:noProof/>
            <w:sz w:val="24"/>
          </w:rPr>
          <w:fldChar w:fldCharType="separate"/>
        </w:r>
        <w:r w:rsidR="000331C7">
          <w:rPr>
            <w:noProof/>
            <w:sz w:val="24"/>
          </w:rPr>
          <w:t>112</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81" w:history="1">
        <w:r w:rsidR="00491CBC" w:rsidRPr="00491CBC">
          <w:rPr>
            <w:rStyle w:val="aff2"/>
            <w:noProof/>
            <w:sz w:val="24"/>
          </w:rPr>
          <w:t xml:space="preserve">5.1 </w:t>
        </w:r>
        <w:r w:rsidR="00491CBC" w:rsidRPr="00491CBC">
          <w:rPr>
            <w:rStyle w:val="aff2"/>
            <w:rFonts w:hint="eastAsia"/>
            <w:noProof/>
            <w:sz w:val="24"/>
          </w:rPr>
          <w:t>生态现状调查与评价</w:t>
        </w:r>
        <w:r w:rsidR="00491CBC" w:rsidRPr="00491CBC">
          <w:rPr>
            <w:noProof/>
            <w:sz w:val="24"/>
          </w:rPr>
          <w:tab/>
        </w:r>
        <w:r w:rsidRPr="00491CBC">
          <w:rPr>
            <w:noProof/>
            <w:sz w:val="24"/>
          </w:rPr>
          <w:fldChar w:fldCharType="begin"/>
        </w:r>
        <w:r w:rsidR="00491CBC" w:rsidRPr="00491CBC">
          <w:rPr>
            <w:noProof/>
            <w:sz w:val="24"/>
          </w:rPr>
          <w:instrText xml:space="preserve"> PAGEREF _Toc81934381 \h </w:instrText>
        </w:r>
        <w:r w:rsidRPr="00491CBC">
          <w:rPr>
            <w:noProof/>
            <w:sz w:val="24"/>
          </w:rPr>
        </w:r>
        <w:r w:rsidRPr="00491CBC">
          <w:rPr>
            <w:noProof/>
            <w:sz w:val="24"/>
          </w:rPr>
          <w:fldChar w:fldCharType="separate"/>
        </w:r>
        <w:r w:rsidR="000331C7">
          <w:rPr>
            <w:noProof/>
            <w:sz w:val="24"/>
          </w:rPr>
          <w:t>112</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82" w:history="1">
        <w:r w:rsidR="00491CBC" w:rsidRPr="00491CBC">
          <w:rPr>
            <w:rStyle w:val="aff2"/>
            <w:bCs/>
            <w:noProof/>
            <w:sz w:val="24"/>
          </w:rPr>
          <w:t>5.2</w:t>
        </w:r>
        <w:r w:rsidR="00491CBC" w:rsidRPr="00491CBC">
          <w:rPr>
            <w:rStyle w:val="aff2"/>
            <w:rFonts w:hint="eastAsia"/>
            <w:bCs/>
            <w:noProof/>
            <w:sz w:val="24"/>
          </w:rPr>
          <w:t>建设期生态生态影响分析与保护措施</w:t>
        </w:r>
        <w:r w:rsidR="00491CBC" w:rsidRPr="00491CBC">
          <w:rPr>
            <w:noProof/>
            <w:sz w:val="24"/>
          </w:rPr>
          <w:tab/>
        </w:r>
        <w:r w:rsidRPr="00491CBC">
          <w:rPr>
            <w:noProof/>
            <w:sz w:val="24"/>
          </w:rPr>
          <w:fldChar w:fldCharType="begin"/>
        </w:r>
        <w:r w:rsidR="00491CBC" w:rsidRPr="00491CBC">
          <w:rPr>
            <w:noProof/>
            <w:sz w:val="24"/>
          </w:rPr>
          <w:instrText xml:space="preserve"> PAGEREF _Toc81934382 \h </w:instrText>
        </w:r>
        <w:r w:rsidRPr="00491CBC">
          <w:rPr>
            <w:noProof/>
            <w:sz w:val="24"/>
          </w:rPr>
        </w:r>
        <w:r w:rsidRPr="00491CBC">
          <w:rPr>
            <w:noProof/>
            <w:sz w:val="24"/>
          </w:rPr>
          <w:fldChar w:fldCharType="separate"/>
        </w:r>
        <w:r w:rsidR="000331C7">
          <w:rPr>
            <w:noProof/>
            <w:sz w:val="24"/>
          </w:rPr>
          <w:t>118</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83" w:history="1">
        <w:r w:rsidR="00491CBC" w:rsidRPr="00491CBC">
          <w:rPr>
            <w:rStyle w:val="aff2"/>
            <w:bCs/>
            <w:noProof/>
            <w:spacing w:val="2"/>
            <w:sz w:val="24"/>
          </w:rPr>
          <w:t xml:space="preserve">5.3 </w:t>
        </w:r>
        <w:r w:rsidR="00491CBC" w:rsidRPr="00491CBC">
          <w:rPr>
            <w:rStyle w:val="aff2"/>
            <w:rFonts w:hint="eastAsia"/>
            <w:bCs/>
            <w:noProof/>
            <w:spacing w:val="2"/>
            <w:sz w:val="24"/>
          </w:rPr>
          <w:t>地表沉陷预测与评价</w:t>
        </w:r>
        <w:r w:rsidR="00491CBC" w:rsidRPr="00491CBC">
          <w:rPr>
            <w:noProof/>
            <w:sz w:val="24"/>
          </w:rPr>
          <w:tab/>
        </w:r>
        <w:r w:rsidRPr="00491CBC">
          <w:rPr>
            <w:noProof/>
            <w:sz w:val="24"/>
          </w:rPr>
          <w:fldChar w:fldCharType="begin"/>
        </w:r>
        <w:r w:rsidR="00491CBC" w:rsidRPr="00491CBC">
          <w:rPr>
            <w:noProof/>
            <w:sz w:val="24"/>
          </w:rPr>
          <w:instrText xml:space="preserve"> PAGEREF _Toc81934383 \h </w:instrText>
        </w:r>
        <w:r w:rsidRPr="00491CBC">
          <w:rPr>
            <w:noProof/>
            <w:sz w:val="24"/>
          </w:rPr>
        </w:r>
        <w:r w:rsidRPr="00491CBC">
          <w:rPr>
            <w:noProof/>
            <w:sz w:val="24"/>
          </w:rPr>
          <w:fldChar w:fldCharType="separate"/>
        </w:r>
        <w:r w:rsidR="000331C7">
          <w:rPr>
            <w:noProof/>
            <w:sz w:val="24"/>
          </w:rPr>
          <w:t>118</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84" w:history="1">
        <w:r w:rsidR="00491CBC" w:rsidRPr="00491CBC">
          <w:rPr>
            <w:rStyle w:val="aff2"/>
            <w:bCs/>
            <w:noProof/>
            <w:spacing w:val="2"/>
            <w:sz w:val="24"/>
          </w:rPr>
          <w:t xml:space="preserve">5.4 </w:t>
        </w:r>
        <w:r w:rsidR="00491CBC" w:rsidRPr="00491CBC">
          <w:rPr>
            <w:rStyle w:val="aff2"/>
            <w:rFonts w:hint="eastAsia"/>
            <w:bCs/>
            <w:noProof/>
            <w:spacing w:val="2"/>
            <w:sz w:val="24"/>
          </w:rPr>
          <w:t>生态环境影响评价</w:t>
        </w:r>
        <w:r w:rsidR="00491CBC" w:rsidRPr="00491CBC">
          <w:rPr>
            <w:noProof/>
            <w:sz w:val="24"/>
          </w:rPr>
          <w:tab/>
        </w:r>
        <w:r w:rsidRPr="00491CBC">
          <w:rPr>
            <w:noProof/>
            <w:sz w:val="24"/>
          </w:rPr>
          <w:fldChar w:fldCharType="begin"/>
        </w:r>
        <w:r w:rsidR="00491CBC" w:rsidRPr="00491CBC">
          <w:rPr>
            <w:noProof/>
            <w:sz w:val="24"/>
          </w:rPr>
          <w:instrText xml:space="preserve"> PAGEREF _Toc81934384 \h </w:instrText>
        </w:r>
        <w:r w:rsidRPr="00491CBC">
          <w:rPr>
            <w:noProof/>
            <w:sz w:val="24"/>
          </w:rPr>
        </w:r>
        <w:r w:rsidRPr="00491CBC">
          <w:rPr>
            <w:noProof/>
            <w:sz w:val="24"/>
          </w:rPr>
          <w:fldChar w:fldCharType="separate"/>
        </w:r>
        <w:r w:rsidR="000331C7">
          <w:rPr>
            <w:noProof/>
            <w:sz w:val="24"/>
          </w:rPr>
          <w:t>130</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385" w:history="1">
        <w:r w:rsidR="00491CBC" w:rsidRPr="00491CBC">
          <w:rPr>
            <w:rStyle w:val="aff2"/>
            <w:rFonts w:eastAsia="黑体"/>
            <w:noProof/>
            <w:sz w:val="24"/>
          </w:rPr>
          <w:t>6</w:t>
        </w:r>
        <w:r w:rsidR="00491CBC" w:rsidRPr="00491CBC">
          <w:rPr>
            <w:rStyle w:val="aff2"/>
            <w:rFonts w:eastAsia="黑体" w:hint="eastAsia"/>
            <w:noProof/>
            <w:sz w:val="24"/>
          </w:rPr>
          <w:t>环境影响预测与评价</w:t>
        </w:r>
        <w:r w:rsidR="00491CBC" w:rsidRPr="00491CBC">
          <w:rPr>
            <w:noProof/>
            <w:sz w:val="24"/>
          </w:rPr>
          <w:tab/>
        </w:r>
        <w:r w:rsidRPr="00491CBC">
          <w:rPr>
            <w:noProof/>
            <w:sz w:val="24"/>
          </w:rPr>
          <w:fldChar w:fldCharType="begin"/>
        </w:r>
        <w:r w:rsidR="00491CBC" w:rsidRPr="00491CBC">
          <w:rPr>
            <w:noProof/>
            <w:sz w:val="24"/>
          </w:rPr>
          <w:instrText xml:space="preserve"> PAGEREF _Toc81934385 \h </w:instrText>
        </w:r>
        <w:r w:rsidRPr="00491CBC">
          <w:rPr>
            <w:noProof/>
            <w:sz w:val="24"/>
          </w:rPr>
        </w:r>
        <w:r w:rsidRPr="00491CBC">
          <w:rPr>
            <w:noProof/>
            <w:sz w:val="24"/>
          </w:rPr>
          <w:fldChar w:fldCharType="separate"/>
        </w:r>
        <w:r w:rsidR="000331C7">
          <w:rPr>
            <w:noProof/>
            <w:sz w:val="24"/>
          </w:rPr>
          <w:t>133</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86" w:history="1">
        <w:r w:rsidR="00491CBC" w:rsidRPr="00491CBC">
          <w:rPr>
            <w:rStyle w:val="aff2"/>
            <w:bCs/>
            <w:noProof/>
            <w:sz w:val="24"/>
          </w:rPr>
          <w:t xml:space="preserve">6.1 </w:t>
        </w:r>
        <w:r w:rsidR="00491CBC" w:rsidRPr="00491CBC">
          <w:rPr>
            <w:rStyle w:val="aff2"/>
            <w:rFonts w:hint="eastAsia"/>
            <w:bCs/>
            <w:noProof/>
            <w:sz w:val="24"/>
          </w:rPr>
          <w:t>大气环境影响预测与评价</w:t>
        </w:r>
        <w:r w:rsidR="00491CBC" w:rsidRPr="00491CBC">
          <w:rPr>
            <w:noProof/>
            <w:sz w:val="24"/>
          </w:rPr>
          <w:tab/>
        </w:r>
        <w:r w:rsidRPr="00491CBC">
          <w:rPr>
            <w:noProof/>
            <w:sz w:val="24"/>
          </w:rPr>
          <w:fldChar w:fldCharType="begin"/>
        </w:r>
        <w:r w:rsidR="00491CBC" w:rsidRPr="00491CBC">
          <w:rPr>
            <w:noProof/>
            <w:sz w:val="24"/>
          </w:rPr>
          <w:instrText xml:space="preserve"> PAGEREF _Toc81934386 \h </w:instrText>
        </w:r>
        <w:r w:rsidRPr="00491CBC">
          <w:rPr>
            <w:noProof/>
            <w:sz w:val="24"/>
          </w:rPr>
        </w:r>
        <w:r w:rsidRPr="00491CBC">
          <w:rPr>
            <w:noProof/>
            <w:sz w:val="24"/>
          </w:rPr>
          <w:fldChar w:fldCharType="separate"/>
        </w:r>
        <w:r w:rsidR="000331C7">
          <w:rPr>
            <w:noProof/>
            <w:sz w:val="24"/>
          </w:rPr>
          <w:t>133</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87" w:history="1">
        <w:r w:rsidR="00491CBC" w:rsidRPr="00491CBC">
          <w:rPr>
            <w:rStyle w:val="aff2"/>
            <w:bCs/>
            <w:noProof/>
            <w:sz w:val="24"/>
          </w:rPr>
          <w:t>6.2</w:t>
        </w:r>
        <w:r w:rsidR="00491CBC" w:rsidRPr="00491CBC">
          <w:rPr>
            <w:rStyle w:val="aff2"/>
            <w:rFonts w:hint="eastAsia"/>
            <w:bCs/>
            <w:noProof/>
            <w:sz w:val="24"/>
          </w:rPr>
          <w:t>地表水环境影响预测与评价</w:t>
        </w:r>
        <w:r w:rsidR="00491CBC" w:rsidRPr="00491CBC">
          <w:rPr>
            <w:noProof/>
            <w:sz w:val="24"/>
          </w:rPr>
          <w:tab/>
        </w:r>
        <w:r w:rsidRPr="00491CBC">
          <w:rPr>
            <w:noProof/>
            <w:sz w:val="24"/>
          </w:rPr>
          <w:fldChar w:fldCharType="begin"/>
        </w:r>
        <w:r w:rsidR="00491CBC" w:rsidRPr="00491CBC">
          <w:rPr>
            <w:noProof/>
            <w:sz w:val="24"/>
          </w:rPr>
          <w:instrText xml:space="preserve"> PAGEREF _Toc81934387 \h </w:instrText>
        </w:r>
        <w:r w:rsidRPr="00491CBC">
          <w:rPr>
            <w:noProof/>
            <w:sz w:val="24"/>
          </w:rPr>
        </w:r>
        <w:r w:rsidRPr="00491CBC">
          <w:rPr>
            <w:noProof/>
            <w:sz w:val="24"/>
          </w:rPr>
          <w:fldChar w:fldCharType="separate"/>
        </w:r>
        <w:r w:rsidR="000331C7">
          <w:rPr>
            <w:noProof/>
            <w:sz w:val="24"/>
          </w:rPr>
          <w:t>143</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88" w:history="1">
        <w:r w:rsidR="00491CBC" w:rsidRPr="00491CBC">
          <w:rPr>
            <w:rStyle w:val="aff2"/>
            <w:bCs/>
            <w:noProof/>
            <w:sz w:val="24"/>
          </w:rPr>
          <w:t>6.3</w:t>
        </w:r>
        <w:r w:rsidR="00491CBC" w:rsidRPr="00491CBC">
          <w:rPr>
            <w:rStyle w:val="aff2"/>
            <w:rFonts w:hint="eastAsia"/>
            <w:bCs/>
            <w:noProof/>
            <w:sz w:val="24"/>
          </w:rPr>
          <w:t>地下水环境影响预测与评价</w:t>
        </w:r>
        <w:r w:rsidR="00491CBC" w:rsidRPr="00491CBC">
          <w:rPr>
            <w:noProof/>
            <w:sz w:val="24"/>
          </w:rPr>
          <w:tab/>
        </w:r>
        <w:r w:rsidRPr="00491CBC">
          <w:rPr>
            <w:noProof/>
            <w:sz w:val="24"/>
          </w:rPr>
          <w:fldChar w:fldCharType="begin"/>
        </w:r>
        <w:r w:rsidR="00491CBC" w:rsidRPr="00491CBC">
          <w:rPr>
            <w:noProof/>
            <w:sz w:val="24"/>
          </w:rPr>
          <w:instrText xml:space="preserve"> PAGEREF _Toc81934388 \h </w:instrText>
        </w:r>
        <w:r w:rsidRPr="00491CBC">
          <w:rPr>
            <w:noProof/>
            <w:sz w:val="24"/>
          </w:rPr>
        </w:r>
        <w:r w:rsidRPr="00491CBC">
          <w:rPr>
            <w:noProof/>
            <w:sz w:val="24"/>
          </w:rPr>
          <w:fldChar w:fldCharType="separate"/>
        </w:r>
        <w:r w:rsidR="000331C7">
          <w:rPr>
            <w:noProof/>
            <w:sz w:val="24"/>
          </w:rPr>
          <w:t>151</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89" w:history="1">
        <w:r w:rsidR="00491CBC" w:rsidRPr="00491CBC">
          <w:rPr>
            <w:rStyle w:val="aff2"/>
            <w:bCs/>
            <w:noProof/>
            <w:sz w:val="24"/>
          </w:rPr>
          <w:t>6.4</w:t>
        </w:r>
        <w:r w:rsidR="00491CBC" w:rsidRPr="00491CBC">
          <w:rPr>
            <w:rStyle w:val="aff2"/>
            <w:rFonts w:hint="eastAsia"/>
            <w:bCs/>
            <w:noProof/>
            <w:sz w:val="24"/>
          </w:rPr>
          <w:t>声环境影响预测与评价</w:t>
        </w:r>
        <w:r w:rsidR="00491CBC" w:rsidRPr="00491CBC">
          <w:rPr>
            <w:noProof/>
            <w:sz w:val="24"/>
          </w:rPr>
          <w:tab/>
        </w:r>
        <w:r w:rsidRPr="00491CBC">
          <w:rPr>
            <w:noProof/>
            <w:sz w:val="24"/>
          </w:rPr>
          <w:fldChar w:fldCharType="begin"/>
        </w:r>
        <w:r w:rsidR="00491CBC" w:rsidRPr="00491CBC">
          <w:rPr>
            <w:noProof/>
            <w:sz w:val="24"/>
          </w:rPr>
          <w:instrText xml:space="preserve"> PAGEREF _Toc81934389 \h </w:instrText>
        </w:r>
        <w:r w:rsidRPr="00491CBC">
          <w:rPr>
            <w:noProof/>
            <w:sz w:val="24"/>
          </w:rPr>
        </w:r>
        <w:r w:rsidRPr="00491CBC">
          <w:rPr>
            <w:noProof/>
            <w:sz w:val="24"/>
          </w:rPr>
          <w:fldChar w:fldCharType="separate"/>
        </w:r>
        <w:r w:rsidR="000331C7">
          <w:rPr>
            <w:noProof/>
            <w:sz w:val="24"/>
          </w:rPr>
          <w:t>185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90" w:history="1">
        <w:r w:rsidR="00491CBC" w:rsidRPr="00491CBC">
          <w:rPr>
            <w:rStyle w:val="aff2"/>
            <w:bCs/>
            <w:noProof/>
            <w:sz w:val="24"/>
          </w:rPr>
          <w:t>6.5</w:t>
        </w:r>
        <w:r w:rsidR="00491CBC" w:rsidRPr="00491CBC">
          <w:rPr>
            <w:rStyle w:val="aff2"/>
            <w:rFonts w:hint="eastAsia"/>
            <w:bCs/>
            <w:noProof/>
            <w:sz w:val="24"/>
          </w:rPr>
          <w:t>固体废物环境影响预测与评价</w:t>
        </w:r>
        <w:r w:rsidR="00491CBC" w:rsidRPr="00491CBC">
          <w:rPr>
            <w:noProof/>
            <w:sz w:val="24"/>
          </w:rPr>
          <w:tab/>
        </w:r>
        <w:r w:rsidRPr="00491CBC">
          <w:rPr>
            <w:noProof/>
            <w:sz w:val="24"/>
          </w:rPr>
          <w:fldChar w:fldCharType="begin"/>
        </w:r>
        <w:r w:rsidR="00491CBC" w:rsidRPr="00491CBC">
          <w:rPr>
            <w:noProof/>
            <w:sz w:val="24"/>
          </w:rPr>
          <w:instrText xml:space="preserve"> PAGEREF _Toc81934390 \h </w:instrText>
        </w:r>
        <w:r w:rsidRPr="00491CBC">
          <w:rPr>
            <w:noProof/>
            <w:sz w:val="24"/>
          </w:rPr>
        </w:r>
        <w:r w:rsidRPr="00491CBC">
          <w:rPr>
            <w:noProof/>
            <w:sz w:val="24"/>
          </w:rPr>
          <w:fldChar w:fldCharType="separate"/>
        </w:r>
        <w:r w:rsidR="000331C7">
          <w:rPr>
            <w:noProof/>
            <w:sz w:val="24"/>
          </w:rPr>
          <w:t>191</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91" w:history="1">
        <w:r w:rsidR="00491CBC" w:rsidRPr="00491CBC">
          <w:rPr>
            <w:rStyle w:val="aff2"/>
            <w:bCs/>
            <w:noProof/>
            <w:sz w:val="24"/>
          </w:rPr>
          <w:t>6.6</w:t>
        </w:r>
        <w:r w:rsidR="00491CBC" w:rsidRPr="00491CBC">
          <w:rPr>
            <w:rStyle w:val="aff2"/>
            <w:rFonts w:hint="eastAsia"/>
            <w:bCs/>
            <w:noProof/>
            <w:sz w:val="24"/>
          </w:rPr>
          <w:t>土壤环境影响预测与评价</w:t>
        </w:r>
        <w:r w:rsidR="00491CBC" w:rsidRPr="00491CBC">
          <w:rPr>
            <w:noProof/>
            <w:sz w:val="24"/>
          </w:rPr>
          <w:tab/>
        </w:r>
        <w:r w:rsidRPr="00491CBC">
          <w:rPr>
            <w:noProof/>
            <w:sz w:val="24"/>
          </w:rPr>
          <w:fldChar w:fldCharType="begin"/>
        </w:r>
        <w:r w:rsidR="00491CBC" w:rsidRPr="00491CBC">
          <w:rPr>
            <w:noProof/>
            <w:sz w:val="24"/>
          </w:rPr>
          <w:instrText xml:space="preserve"> PAGEREF _Toc81934391 \h </w:instrText>
        </w:r>
        <w:r w:rsidRPr="00491CBC">
          <w:rPr>
            <w:noProof/>
            <w:sz w:val="24"/>
          </w:rPr>
        </w:r>
        <w:r w:rsidRPr="00491CBC">
          <w:rPr>
            <w:noProof/>
            <w:sz w:val="24"/>
          </w:rPr>
          <w:fldChar w:fldCharType="separate"/>
        </w:r>
        <w:r w:rsidR="000331C7">
          <w:rPr>
            <w:noProof/>
            <w:sz w:val="24"/>
          </w:rPr>
          <w:t>194</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92" w:history="1">
        <w:r w:rsidR="00491CBC" w:rsidRPr="00491CBC">
          <w:rPr>
            <w:rStyle w:val="aff2"/>
            <w:bCs/>
            <w:noProof/>
            <w:sz w:val="24"/>
          </w:rPr>
          <w:t>6.7</w:t>
        </w:r>
        <w:r w:rsidR="00491CBC" w:rsidRPr="00491CBC">
          <w:rPr>
            <w:rStyle w:val="aff2"/>
            <w:rFonts w:hint="eastAsia"/>
            <w:bCs/>
            <w:noProof/>
            <w:sz w:val="24"/>
          </w:rPr>
          <w:t>环境风险评价</w:t>
        </w:r>
        <w:r w:rsidR="00491CBC" w:rsidRPr="00491CBC">
          <w:rPr>
            <w:noProof/>
            <w:sz w:val="24"/>
          </w:rPr>
          <w:tab/>
        </w:r>
        <w:r w:rsidRPr="00491CBC">
          <w:rPr>
            <w:noProof/>
            <w:sz w:val="24"/>
          </w:rPr>
          <w:fldChar w:fldCharType="begin"/>
        </w:r>
        <w:r w:rsidR="00491CBC" w:rsidRPr="00491CBC">
          <w:rPr>
            <w:noProof/>
            <w:sz w:val="24"/>
          </w:rPr>
          <w:instrText xml:space="preserve"> PAGEREF _Toc81934392 \h </w:instrText>
        </w:r>
        <w:r w:rsidRPr="00491CBC">
          <w:rPr>
            <w:noProof/>
            <w:sz w:val="24"/>
          </w:rPr>
        </w:r>
        <w:r w:rsidRPr="00491CBC">
          <w:rPr>
            <w:noProof/>
            <w:sz w:val="24"/>
          </w:rPr>
          <w:fldChar w:fldCharType="separate"/>
        </w:r>
        <w:r w:rsidR="000331C7">
          <w:rPr>
            <w:noProof/>
            <w:sz w:val="24"/>
          </w:rPr>
          <w:t>197</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393" w:history="1">
        <w:r w:rsidR="00491CBC" w:rsidRPr="00491CBC">
          <w:rPr>
            <w:rStyle w:val="aff2"/>
            <w:rFonts w:eastAsia="黑体"/>
            <w:noProof/>
            <w:sz w:val="24"/>
          </w:rPr>
          <w:t xml:space="preserve">7  </w:t>
        </w:r>
        <w:r w:rsidR="00491CBC" w:rsidRPr="00491CBC">
          <w:rPr>
            <w:rStyle w:val="aff2"/>
            <w:rFonts w:eastAsia="黑体" w:hint="eastAsia"/>
            <w:noProof/>
            <w:sz w:val="24"/>
          </w:rPr>
          <w:t>环境保护措施及生态防护措施及其可行性分析</w:t>
        </w:r>
        <w:r w:rsidR="00491CBC" w:rsidRPr="00491CBC">
          <w:rPr>
            <w:noProof/>
            <w:sz w:val="24"/>
          </w:rPr>
          <w:tab/>
        </w:r>
        <w:r w:rsidRPr="00491CBC">
          <w:rPr>
            <w:noProof/>
            <w:sz w:val="24"/>
          </w:rPr>
          <w:fldChar w:fldCharType="begin"/>
        </w:r>
        <w:r w:rsidR="00491CBC" w:rsidRPr="00491CBC">
          <w:rPr>
            <w:noProof/>
            <w:sz w:val="24"/>
          </w:rPr>
          <w:instrText xml:space="preserve"> PAGEREF _Toc81934393 \h </w:instrText>
        </w:r>
        <w:r w:rsidRPr="00491CBC">
          <w:rPr>
            <w:noProof/>
            <w:sz w:val="24"/>
          </w:rPr>
        </w:r>
        <w:r w:rsidRPr="00491CBC">
          <w:rPr>
            <w:noProof/>
            <w:sz w:val="24"/>
          </w:rPr>
          <w:fldChar w:fldCharType="separate"/>
        </w:r>
        <w:r w:rsidR="000331C7">
          <w:rPr>
            <w:noProof/>
            <w:sz w:val="24"/>
          </w:rPr>
          <w:t>204</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94" w:history="1">
        <w:r w:rsidR="00491CBC" w:rsidRPr="00491CBC">
          <w:rPr>
            <w:rStyle w:val="aff2"/>
            <w:bCs/>
            <w:noProof/>
            <w:sz w:val="24"/>
          </w:rPr>
          <w:t xml:space="preserve">7.1 </w:t>
        </w:r>
        <w:r w:rsidR="00491CBC" w:rsidRPr="00491CBC">
          <w:rPr>
            <w:rStyle w:val="aff2"/>
            <w:rFonts w:hint="eastAsia"/>
            <w:bCs/>
            <w:noProof/>
            <w:sz w:val="24"/>
          </w:rPr>
          <w:t>现有工程环境问题和整改措施</w:t>
        </w:r>
        <w:r w:rsidR="00491CBC" w:rsidRPr="00491CBC">
          <w:rPr>
            <w:noProof/>
            <w:sz w:val="24"/>
          </w:rPr>
          <w:tab/>
        </w:r>
        <w:r w:rsidRPr="00491CBC">
          <w:rPr>
            <w:noProof/>
            <w:sz w:val="24"/>
          </w:rPr>
          <w:fldChar w:fldCharType="begin"/>
        </w:r>
        <w:r w:rsidR="00491CBC" w:rsidRPr="00491CBC">
          <w:rPr>
            <w:noProof/>
            <w:sz w:val="24"/>
          </w:rPr>
          <w:instrText xml:space="preserve"> PAGEREF _Toc81934394 \h </w:instrText>
        </w:r>
        <w:r w:rsidRPr="00491CBC">
          <w:rPr>
            <w:noProof/>
            <w:sz w:val="24"/>
          </w:rPr>
        </w:r>
        <w:r w:rsidRPr="00491CBC">
          <w:rPr>
            <w:noProof/>
            <w:sz w:val="24"/>
          </w:rPr>
          <w:fldChar w:fldCharType="separate"/>
        </w:r>
        <w:r w:rsidR="000331C7">
          <w:rPr>
            <w:noProof/>
            <w:sz w:val="24"/>
          </w:rPr>
          <w:t>204</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95" w:history="1">
        <w:r w:rsidR="00491CBC" w:rsidRPr="00491CBC">
          <w:rPr>
            <w:rStyle w:val="aff2"/>
            <w:bCs/>
            <w:noProof/>
            <w:sz w:val="24"/>
          </w:rPr>
          <w:t xml:space="preserve">7.2 </w:t>
        </w:r>
        <w:r w:rsidR="00491CBC" w:rsidRPr="00491CBC">
          <w:rPr>
            <w:rStyle w:val="aff2"/>
            <w:rFonts w:hint="eastAsia"/>
            <w:bCs/>
            <w:noProof/>
            <w:sz w:val="24"/>
          </w:rPr>
          <w:t>建设期环境保护措施分析</w:t>
        </w:r>
        <w:r w:rsidR="00491CBC" w:rsidRPr="00491CBC">
          <w:rPr>
            <w:noProof/>
            <w:sz w:val="24"/>
          </w:rPr>
          <w:tab/>
        </w:r>
        <w:r w:rsidRPr="00491CBC">
          <w:rPr>
            <w:noProof/>
            <w:sz w:val="24"/>
          </w:rPr>
          <w:fldChar w:fldCharType="begin"/>
        </w:r>
        <w:r w:rsidR="00491CBC" w:rsidRPr="00491CBC">
          <w:rPr>
            <w:noProof/>
            <w:sz w:val="24"/>
          </w:rPr>
          <w:instrText xml:space="preserve"> PAGEREF _Toc81934395 \h </w:instrText>
        </w:r>
        <w:r w:rsidRPr="00491CBC">
          <w:rPr>
            <w:noProof/>
            <w:sz w:val="24"/>
          </w:rPr>
        </w:r>
        <w:r w:rsidRPr="00491CBC">
          <w:rPr>
            <w:noProof/>
            <w:sz w:val="24"/>
          </w:rPr>
          <w:fldChar w:fldCharType="separate"/>
        </w:r>
        <w:r w:rsidR="000331C7">
          <w:rPr>
            <w:noProof/>
            <w:sz w:val="24"/>
          </w:rPr>
          <w:t>205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96" w:history="1">
        <w:r w:rsidR="00491CBC" w:rsidRPr="00491CBC">
          <w:rPr>
            <w:rStyle w:val="aff2"/>
            <w:bCs/>
            <w:noProof/>
            <w:sz w:val="24"/>
          </w:rPr>
          <w:t xml:space="preserve">7.3 </w:t>
        </w:r>
        <w:r w:rsidR="00491CBC" w:rsidRPr="00491CBC">
          <w:rPr>
            <w:rStyle w:val="aff2"/>
            <w:rFonts w:hint="eastAsia"/>
            <w:bCs/>
            <w:noProof/>
            <w:sz w:val="24"/>
          </w:rPr>
          <w:t>运营期环境保护措施分析</w:t>
        </w:r>
        <w:r w:rsidR="00491CBC" w:rsidRPr="00491CBC">
          <w:rPr>
            <w:noProof/>
            <w:sz w:val="24"/>
          </w:rPr>
          <w:tab/>
        </w:r>
        <w:r w:rsidRPr="00491CBC">
          <w:rPr>
            <w:noProof/>
            <w:sz w:val="24"/>
          </w:rPr>
          <w:fldChar w:fldCharType="begin"/>
        </w:r>
        <w:r w:rsidR="00491CBC" w:rsidRPr="00491CBC">
          <w:rPr>
            <w:noProof/>
            <w:sz w:val="24"/>
          </w:rPr>
          <w:instrText xml:space="preserve"> PAGEREF _Toc81934396 \h </w:instrText>
        </w:r>
        <w:r w:rsidRPr="00491CBC">
          <w:rPr>
            <w:noProof/>
            <w:sz w:val="24"/>
          </w:rPr>
        </w:r>
        <w:r w:rsidRPr="00491CBC">
          <w:rPr>
            <w:noProof/>
            <w:sz w:val="24"/>
          </w:rPr>
          <w:fldChar w:fldCharType="separate"/>
        </w:r>
        <w:r w:rsidR="000331C7">
          <w:rPr>
            <w:noProof/>
            <w:sz w:val="24"/>
          </w:rPr>
          <w:t>207</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97" w:history="1">
        <w:r w:rsidR="00491CBC" w:rsidRPr="00491CBC">
          <w:rPr>
            <w:rStyle w:val="aff2"/>
            <w:bCs/>
            <w:noProof/>
            <w:sz w:val="24"/>
          </w:rPr>
          <w:t xml:space="preserve">7.4 </w:t>
        </w:r>
        <w:r w:rsidR="00491CBC" w:rsidRPr="00491CBC">
          <w:rPr>
            <w:rStyle w:val="aff2"/>
            <w:rFonts w:hint="eastAsia"/>
            <w:bCs/>
            <w:noProof/>
            <w:spacing w:val="2"/>
            <w:sz w:val="24"/>
          </w:rPr>
          <w:t>地表沉陷治理及</w:t>
        </w:r>
        <w:r w:rsidR="00491CBC" w:rsidRPr="00491CBC">
          <w:rPr>
            <w:rStyle w:val="aff2"/>
            <w:rFonts w:hint="eastAsia"/>
            <w:bCs/>
            <w:noProof/>
            <w:sz w:val="24"/>
          </w:rPr>
          <w:t>生态保护措施</w:t>
        </w:r>
        <w:r w:rsidR="00491CBC" w:rsidRPr="00491CBC">
          <w:rPr>
            <w:noProof/>
            <w:sz w:val="24"/>
          </w:rPr>
          <w:tab/>
        </w:r>
        <w:r w:rsidRPr="00491CBC">
          <w:rPr>
            <w:noProof/>
            <w:sz w:val="24"/>
          </w:rPr>
          <w:fldChar w:fldCharType="begin"/>
        </w:r>
        <w:r w:rsidR="00491CBC" w:rsidRPr="00491CBC">
          <w:rPr>
            <w:noProof/>
            <w:sz w:val="24"/>
          </w:rPr>
          <w:instrText xml:space="preserve"> PAGEREF _Toc81934397 \h </w:instrText>
        </w:r>
        <w:r w:rsidRPr="00491CBC">
          <w:rPr>
            <w:noProof/>
            <w:sz w:val="24"/>
          </w:rPr>
        </w:r>
        <w:r w:rsidRPr="00491CBC">
          <w:rPr>
            <w:noProof/>
            <w:sz w:val="24"/>
          </w:rPr>
          <w:fldChar w:fldCharType="separate"/>
        </w:r>
        <w:r w:rsidR="000331C7">
          <w:rPr>
            <w:noProof/>
            <w:sz w:val="24"/>
          </w:rPr>
          <w:t>218</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398" w:history="1">
        <w:r w:rsidR="00491CBC" w:rsidRPr="00491CBC">
          <w:rPr>
            <w:rStyle w:val="aff2"/>
            <w:bCs/>
            <w:noProof/>
            <w:sz w:val="24"/>
          </w:rPr>
          <w:t xml:space="preserve">7.5 </w:t>
        </w:r>
        <w:r w:rsidR="00491CBC" w:rsidRPr="00491CBC">
          <w:rPr>
            <w:rStyle w:val="aff2"/>
            <w:rFonts w:hint="eastAsia"/>
            <w:bCs/>
            <w:noProof/>
            <w:sz w:val="24"/>
          </w:rPr>
          <w:t>环保措施汇总</w:t>
        </w:r>
        <w:r w:rsidR="00491CBC" w:rsidRPr="00491CBC">
          <w:rPr>
            <w:noProof/>
            <w:sz w:val="24"/>
          </w:rPr>
          <w:tab/>
        </w:r>
        <w:r w:rsidRPr="00491CBC">
          <w:rPr>
            <w:noProof/>
            <w:sz w:val="24"/>
          </w:rPr>
          <w:fldChar w:fldCharType="begin"/>
        </w:r>
        <w:r w:rsidR="00491CBC" w:rsidRPr="00491CBC">
          <w:rPr>
            <w:noProof/>
            <w:sz w:val="24"/>
          </w:rPr>
          <w:instrText xml:space="preserve"> PAGEREF _Toc81934398 \h </w:instrText>
        </w:r>
        <w:r w:rsidRPr="00491CBC">
          <w:rPr>
            <w:noProof/>
            <w:sz w:val="24"/>
          </w:rPr>
        </w:r>
        <w:r w:rsidRPr="00491CBC">
          <w:rPr>
            <w:noProof/>
            <w:sz w:val="24"/>
          </w:rPr>
          <w:fldChar w:fldCharType="separate"/>
        </w:r>
        <w:r w:rsidR="000331C7">
          <w:rPr>
            <w:noProof/>
            <w:sz w:val="24"/>
          </w:rPr>
          <w:t>226</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399" w:history="1">
        <w:r w:rsidR="00491CBC" w:rsidRPr="00491CBC">
          <w:rPr>
            <w:rStyle w:val="aff2"/>
            <w:bCs/>
            <w:noProof/>
            <w:kern w:val="44"/>
            <w:sz w:val="24"/>
          </w:rPr>
          <w:t xml:space="preserve">8 </w:t>
        </w:r>
        <w:r w:rsidR="00491CBC" w:rsidRPr="00491CBC">
          <w:rPr>
            <w:rStyle w:val="aff2"/>
            <w:rFonts w:hint="eastAsia"/>
            <w:bCs/>
            <w:noProof/>
            <w:kern w:val="44"/>
            <w:sz w:val="24"/>
          </w:rPr>
          <w:t>环境经济损益分析</w:t>
        </w:r>
        <w:r w:rsidR="00491CBC" w:rsidRPr="00491CBC">
          <w:rPr>
            <w:noProof/>
            <w:sz w:val="24"/>
          </w:rPr>
          <w:tab/>
        </w:r>
        <w:r w:rsidRPr="00491CBC">
          <w:rPr>
            <w:noProof/>
            <w:sz w:val="24"/>
          </w:rPr>
          <w:fldChar w:fldCharType="begin"/>
        </w:r>
        <w:r w:rsidR="00491CBC" w:rsidRPr="00491CBC">
          <w:rPr>
            <w:noProof/>
            <w:sz w:val="24"/>
          </w:rPr>
          <w:instrText xml:space="preserve"> PAGEREF _Toc81934399 \h </w:instrText>
        </w:r>
        <w:r w:rsidRPr="00491CBC">
          <w:rPr>
            <w:noProof/>
            <w:sz w:val="24"/>
          </w:rPr>
        </w:r>
        <w:r w:rsidRPr="00491CBC">
          <w:rPr>
            <w:noProof/>
            <w:sz w:val="24"/>
          </w:rPr>
          <w:fldChar w:fldCharType="separate"/>
        </w:r>
        <w:r w:rsidR="000331C7">
          <w:rPr>
            <w:noProof/>
            <w:sz w:val="24"/>
          </w:rPr>
          <w:t>229</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00" w:history="1">
        <w:r w:rsidR="00491CBC" w:rsidRPr="00491CBC">
          <w:rPr>
            <w:rStyle w:val="aff2"/>
            <w:bCs/>
            <w:noProof/>
            <w:sz w:val="24"/>
          </w:rPr>
          <w:t xml:space="preserve">8.1 </w:t>
        </w:r>
        <w:r w:rsidR="00491CBC" w:rsidRPr="00491CBC">
          <w:rPr>
            <w:rStyle w:val="aff2"/>
            <w:rFonts w:hint="eastAsia"/>
            <w:bCs/>
            <w:noProof/>
            <w:sz w:val="24"/>
          </w:rPr>
          <w:t>环境保护工程投资分析</w:t>
        </w:r>
        <w:r w:rsidR="00491CBC" w:rsidRPr="00491CBC">
          <w:rPr>
            <w:noProof/>
            <w:sz w:val="24"/>
          </w:rPr>
          <w:tab/>
        </w:r>
        <w:r w:rsidRPr="00491CBC">
          <w:rPr>
            <w:noProof/>
            <w:sz w:val="24"/>
          </w:rPr>
          <w:fldChar w:fldCharType="begin"/>
        </w:r>
        <w:r w:rsidR="00491CBC" w:rsidRPr="00491CBC">
          <w:rPr>
            <w:noProof/>
            <w:sz w:val="24"/>
          </w:rPr>
          <w:instrText xml:space="preserve"> PAGEREF _Toc81934400 \h </w:instrText>
        </w:r>
        <w:r w:rsidRPr="00491CBC">
          <w:rPr>
            <w:noProof/>
            <w:sz w:val="24"/>
          </w:rPr>
        </w:r>
        <w:r w:rsidRPr="00491CBC">
          <w:rPr>
            <w:noProof/>
            <w:sz w:val="24"/>
          </w:rPr>
          <w:fldChar w:fldCharType="separate"/>
        </w:r>
        <w:r w:rsidR="000331C7">
          <w:rPr>
            <w:noProof/>
            <w:sz w:val="24"/>
          </w:rPr>
          <w:t>229</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01" w:history="1">
        <w:r w:rsidR="00491CBC" w:rsidRPr="00491CBC">
          <w:rPr>
            <w:rStyle w:val="aff2"/>
            <w:bCs/>
            <w:noProof/>
            <w:sz w:val="24"/>
          </w:rPr>
          <w:t xml:space="preserve">8.2 </w:t>
        </w:r>
        <w:r w:rsidR="00491CBC" w:rsidRPr="00491CBC">
          <w:rPr>
            <w:rStyle w:val="aff2"/>
            <w:rFonts w:hint="eastAsia"/>
            <w:bCs/>
            <w:noProof/>
            <w:sz w:val="24"/>
          </w:rPr>
          <w:t>环境经济损益分析及评价</w:t>
        </w:r>
        <w:r w:rsidR="00491CBC" w:rsidRPr="00491CBC">
          <w:rPr>
            <w:noProof/>
            <w:sz w:val="24"/>
          </w:rPr>
          <w:tab/>
        </w:r>
        <w:r w:rsidRPr="00491CBC">
          <w:rPr>
            <w:noProof/>
            <w:sz w:val="24"/>
          </w:rPr>
          <w:fldChar w:fldCharType="begin"/>
        </w:r>
        <w:r w:rsidR="00491CBC" w:rsidRPr="00491CBC">
          <w:rPr>
            <w:noProof/>
            <w:sz w:val="24"/>
          </w:rPr>
          <w:instrText xml:space="preserve"> PAGEREF _Toc81934401 \h </w:instrText>
        </w:r>
        <w:r w:rsidRPr="00491CBC">
          <w:rPr>
            <w:noProof/>
            <w:sz w:val="24"/>
          </w:rPr>
        </w:r>
        <w:r w:rsidRPr="00491CBC">
          <w:rPr>
            <w:noProof/>
            <w:sz w:val="24"/>
          </w:rPr>
          <w:fldChar w:fldCharType="separate"/>
        </w:r>
        <w:r w:rsidR="000331C7">
          <w:rPr>
            <w:noProof/>
            <w:sz w:val="24"/>
          </w:rPr>
          <w:t>229</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402" w:history="1">
        <w:r w:rsidR="00491CBC" w:rsidRPr="00491CBC">
          <w:rPr>
            <w:rStyle w:val="aff2"/>
            <w:bCs/>
            <w:noProof/>
            <w:kern w:val="44"/>
            <w:sz w:val="24"/>
          </w:rPr>
          <w:t xml:space="preserve">9 </w:t>
        </w:r>
        <w:r w:rsidR="00491CBC" w:rsidRPr="00491CBC">
          <w:rPr>
            <w:rStyle w:val="aff2"/>
            <w:rFonts w:hint="eastAsia"/>
            <w:bCs/>
            <w:noProof/>
            <w:kern w:val="44"/>
            <w:sz w:val="24"/>
          </w:rPr>
          <w:t>环境管理与监测计划</w:t>
        </w:r>
        <w:r w:rsidR="00491CBC" w:rsidRPr="00491CBC">
          <w:rPr>
            <w:noProof/>
            <w:sz w:val="24"/>
          </w:rPr>
          <w:tab/>
        </w:r>
        <w:r w:rsidRPr="00491CBC">
          <w:rPr>
            <w:noProof/>
            <w:sz w:val="24"/>
          </w:rPr>
          <w:fldChar w:fldCharType="begin"/>
        </w:r>
        <w:r w:rsidR="00491CBC" w:rsidRPr="00491CBC">
          <w:rPr>
            <w:noProof/>
            <w:sz w:val="24"/>
          </w:rPr>
          <w:instrText xml:space="preserve"> PAGEREF _Toc81934402 \h </w:instrText>
        </w:r>
        <w:r w:rsidRPr="00491CBC">
          <w:rPr>
            <w:noProof/>
            <w:sz w:val="24"/>
          </w:rPr>
        </w:r>
        <w:r w:rsidRPr="00491CBC">
          <w:rPr>
            <w:noProof/>
            <w:sz w:val="24"/>
          </w:rPr>
          <w:fldChar w:fldCharType="separate"/>
        </w:r>
        <w:r w:rsidR="000331C7">
          <w:rPr>
            <w:noProof/>
            <w:sz w:val="24"/>
          </w:rPr>
          <w:t>232</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03" w:history="1">
        <w:r w:rsidR="00491CBC" w:rsidRPr="00491CBC">
          <w:rPr>
            <w:rStyle w:val="aff2"/>
            <w:bCs/>
            <w:noProof/>
            <w:sz w:val="24"/>
          </w:rPr>
          <w:t xml:space="preserve">9.1 </w:t>
        </w:r>
        <w:r w:rsidR="00491CBC" w:rsidRPr="00491CBC">
          <w:rPr>
            <w:rStyle w:val="aff2"/>
            <w:rFonts w:hint="eastAsia"/>
            <w:bCs/>
            <w:noProof/>
            <w:sz w:val="24"/>
          </w:rPr>
          <w:t>环境管理</w:t>
        </w:r>
        <w:r w:rsidR="00491CBC" w:rsidRPr="00491CBC">
          <w:rPr>
            <w:noProof/>
            <w:sz w:val="24"/>
          </w:rPr>
          <w:tab/>
        </w:r>
        <w:r w:rsidRPr="00491CBC">
          <w:rPr>
            <w:noProof/>
            <w:sz w:val="24"/>
          </w:rPr>
          <w:fldChar w:fldCharType="begin"/>
        </w:r>
        <w:r w:rsidR="00491CBC" w:rsidRPr="00491CBC">
          <w:rPr>
            <w:noProof/>
            <w:sz w:val="24"/>
          </w:rPr>
          <w:instrText xml:space="preserve"> PAGEREF _Toc81934403 \h </w:instrText>
        </w:r>
        <w:r w:rsidRPr="00491CBC">
          <w:rPr>
            <w:noProof/>
            <w:sz w:val="24"/>
          </w:rPr>
        </w:r>
        <w:r w:rsidRPr="00491CBC">
          <w:rPr>
            <w:noProof/>
            <w:sz w:val="24"/>
          </w:rPr>
          <w:fldChar w:fldCharType="separate"/>
        </w:r>
        <w:r w:rsidR="000331C7">
          <w:rPr>
            <w:noProof/>
            <w:sz w:val="24"/>
          </w:rPr>
          <w:t>232</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04" w:history="1">
        <w:r w:rsidR="00491CBC" w:rsidRPr="00491CBC">
          <w:rPr>
            <w:rStyle w:val="aff2"/>
            <w:bCs/>
            <w:noProof/>
            <w:sz w:val="24"/>
          </w:rPr>
          <w:t xml:space="preserve">9.2 </w:t>
        </w:r>
        <w:r w:rsidR="00491CBC" w:rsidRPr="00491CBC">
          <w:rPr>
            <w:rStyle w:val="aff2"/>
            <w:rFonts w:hint="eastAsia"/>
            <w:bCs/>
            <w:noProof/>
            <w:sz w:val="24"/>
          </w:rPr>
          <w:t>环境监测监控计划</w:t>
        </w:r>
        <w:r w:rsidR="00491CBC" w:rsidRPr="00491CBC">
          <w:rPr>
            <w:noProof/>
            <w:sz w:val="24"/>
          </w:rPr>
          <w:tab/>
        </w:r>
        <w:r w:rsidRPr="00491CBC">
          <w:rPr>
            <w:noProof/>
            <w:sz w:val="24"/>
          </w:rPr>
          <w:fldChar w:fldCharType="begin"/>
        </w:r>
        <w:r w:rsidR="00491CBC" w:rsidRPr="00491CBC">
          <w:rPr>
            <w:noProof/>
            <w:sz w:val="24"/>
          </w:rPr>
          <w:instrText xml:space="preserve"> PAGEREF _Toc81934404 \h </w:instrText>
        </w:r>
        <w:r w:rsidRPr="00491CBC">
          <w:rPr>
            <w:noProof/>
            <w:sz w:val="24"/>
          </w:rPr>
        </w:r>
        <w:r w:rsidRPr="00491CBC">
          <w:rPr>
            <w:noProof/>
            <w:sz w:val="24"/>
          </w:rPr>
          <w:fldChar w:fldCharType="separate"/>
        </w:r>
        <w:r w:rsidR="000331C7">
          <w:rPr>
            <w:noProof/>
            <w:sz w:val="24"/>
          </w:rPr>
          <w:t>234</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05" w:history="1">
        <w:r w:rsidR="00491CBC" w:rsidRPr="00491CBC">
          <w:rPr>
            <w:rStyle w:val="aff2"/>
            <w:bCs/>
            <w:noProof/>
            <w:sz w:val="24"/>
          </w:rPr>
          <w:t xml:space="preserve">9.3 </w:t>
        </w:r>
        <w:r w:rsidR="00491CBC" w:rsidRPr="00491CBC">
          <w:rPr>
            <w:rStyle w:val="aff2"/>
            <w:rFonts w:hint="eastAsia"/>
            <w:bCs/>
            <w:noProof/>
            <w:sz w:val="24"/>
          </w:rPr>
          <w:t>排污口规范化管理</w:t>
        </w:r>
        <w:r w:rsidR="00491CBC" w:rsidRPr="00491CBC">
          <w:rPr>
            <w:noProof/>
            <w:sz w:val="24"/>
          </w:rPr>
          <w:tab/>
        </w:r>
        <w:r w:rsidRPr="00491CBC">
          <w:rPr>
            <w:noProof/>
            <w:sz w:val="24"/>
          </w:rPr>
          <w:fldChar w:fldCharType="begin"/>
        </w:r>
        <w:r w:rsidR="00491CBC" w:rsidRPr="00491CBC">
          <w:rPr>
            <w:noProof/>
            <w:sz w:val="24"/>
          </w:rPr>
          <w:instrText xml:space="preserve"> PAGEREF _Toc81934405 \h </w:instrText>
        </w:r>
        <w:r w:rsidRPr="00491CBC">
          <w:rPr>
            <w:noProof/>
            <w:sz w:val="24"/>
          </w:rPr>
        </w:r>
        <w:r w:rsidRPr="00491CBC">
          <w:rPr>
            <w:noProof/>
            <w:sz w:val="24"/>
          </w:rPr>
          <w:fldChar w:fldCharType="separate"/>
        </w:r>
        <w:r w:rsidR="000331C7">
          <w:rPr>
            <w:noProof/>
            <w:sz w:val="24"/>
          </w:rPr>
          <w:t>236</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06" w:history="1">
        <w:r w:rsidR="00491CBC" w:rsidRPr="00491CBC">
          <w:rPr>
            <w:rStyle w:val="aff2"/>
            <w:bCs/>
            <w:noProof/>
            <w:sz w:val="24"/>
          </w:rPr>
          <w:t xml:space="preserve">9.4 </w:t>
        </w:r>
        <w:r w:rsidR="00491CBC" w:rsidRPr="00491CBC">
          <w:rPr>
            <w:rStyle w:val="aff2"/>
            <w:rFonts w:hint="eastAsia"/>
            <w:bCs/>
            <w:noProof/>
            <w:sz w:val="24"/>
          </w:rPr>
          <w:t>污染物排放管理及总量控制要求</w:t>
        </w:r>
        <w:r w:rsidR="00491CBC" w:rsidRPr="00491CBC">
          <w:rPr>
            <w:noProof/>
            <w:sz w:val="24"/>
          </w:rPr>
          <w:tab/>
        </w:r>
        <w:r w:rsidRPr="00491CBC">
          <w:rPr>
            <w:noProof/>
            <w:sz w:val="24"/>
          </w:rPr>
          <w:fldChar w:fldCharType="begin"/>
        </w:r>
        <w:r w:rsidR="00491CBC" w:rsidRPr="00491CBC">
          <w:rPr>
            <w:noProof/>
            <w:sz w:val="24"/>
          </w:rPr>
          <w:instrText xml:space="preserve"> PAGEREF _Toc81934406 \h </w:instrText>
        </w:r>
        <w:r w:rsidRPr="00491CBC">
          <w:rPr>
            <w:noProof/>
            <w:sz w:val="24"/>
          </w:rPr>
        </w:r>
        <w:r w:rsidRPr="00491CBC">
          <w:rPr>
            <w:noProof/>
            <w:sz w:val="24"/>
          </w:rPr>
          <w:fldChar w:fldCharType="separate"/>
        </w:r>
        <w:r w:rsidR="000331C7">
          <w:rPr>
            <w:noProof/>
            <w:sz w:val="24"/>
          </w:rPr>
          <w:t>238</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407" w:history="1">
        <w:r w:rsidR="00491CBC" w:rsidRPr="00491CBC">
          <w:rPr>
            <w:rStyle w:val="aff2"/>
            <w:rFonts w:eastAsia="黑体"/>
            <w:noProof/>
            <w:sz w:val="24"/>
          </w:rPr>
          <w:t xml:space="preserve">10 </w:t>
        </w:r>
        <w:r w:rsidR="00491CBC" w:rsidRPr="00491CBC">
          <w:rPr>
            <w:rStyle w:val="aff2"/>
            <w:rFonts w:eastAsia="黑体" w:hint="eastAsia"/>
            <w:noProof/>
            <w:sz w:val="24"/>
          </w:rPr>
          <w:t>政策及规划符合性分析</w:t>
        </w:r>
        <w:r w:rsidR="00491CBC" w:rsidRPr="00491CBC">
          <w:rPr>
            <w:noProof/>
            <w:sz w:val="24"/>
          </w:rPr>
          <w:tab/>
        </w:r>
        <w:r w:rsidRPr="00491CBC">
          <w:rPr>
            <w:noProof/>
            <w:sz w:val="24"/>
          </w:rPr>
          <w:fldChar w:fldCharType="begin"/>
        </w:r>
        <w:r w:rsidR="00491CBC" w:rsidRPr="00491CBC">
          <w:rPr>
            <w:noProof/>
            <w:sz w:val="24"/>
          </w:rPr>
          <w:instrText xml:space="preserve"> PAGEREF _Toc81934407 \h </w:instrText>
        </w:r>
        <w:r w:rsidRPr="00491CBC">
          <w:rPr>
            <w:noProof/>
            <w:sz w:val="24"/>
          </w:rPr>
        </w:r>
        <w:r w:rsidRPr="00491CBC">
          <w:rPr>
            <w:noProof/>
            <w:sz w:val="24"/>
          </w:rPr>
          <w:fldChar w:fldCharType="separate"/>
        </w:r>
        <w:r w:rsidR="000331C7">
          <w:rPr>
            <w:noProof/>
            <w:sz w:val="24"/>
          </w:rPr>
          <w:t>240</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08" w:history="1">
        <w:r w:rsidR="00491CBC" w:rsidRPr="00491CBC">
          <w:rPr>
            <w:rStyle w:val="aff2"/>
            <w:bCs/>
            <w:noProof/>
            <w:sz w:val="24"/>
          </w:rPr>
          <w:t>10.1</w:t>
        </w:r>
        <w:r w:rsidR="00491CBC" w:rsidRPr="00491CBC">
          <w:rPr>
            <w:rStyle w:val="aff2"/>
            <w:rFonts w:hint="eastAsia"/>
            <w:bCs/>
            <w:noProof/>
            <w:sz w:val="24"/>
          </w:rPr>
          <w:t>与国家产业政策符合性分析</w:t>
        </w:r>
        <w:r w:rsidR="00491CBC" w:rsidRPr="00491CBC">
          <w:rPr>
            <w:noProof/>
            <w:sz w:val="24"/>
          </w:rPr>
          <w:tab/>
        </w:r>
        <w:r w:rsidRPr="00491CBC">
          <w:rPr>
            <w:noProof/>
            <w:sz w:val="24"/>
          </w:rPr>
          <w:fldChar w:fldCharType="begin"/>
        </w:r>
        <w:r w:rsidR="00491CBC" w:rsidRPr="00491CBC">
          <w:rPr>
            <w:noProof/>
            <w:sz w:val="24"/>
          </w:rPr>
          <w:instrText xml:space="preserve"> PAGEREF _Toc81934408 \h </w:instrText>
        </w:r>
        <w:r w:rsidRPr="00491CBC">
          <w:rPr>
            <w:noProof/>
            <w:sz w:val="24"/>
          </w:rPr>
        </w:r>
        <w:r w:rsidRPr="00491CBC">
          <w:rPr>
            <w:noProof/>
            <w:sz w:val="24"/>
          </w:rPr>
          <w:fldChar w:fldCharType="separate"/>
        </w:r>
        <w:r w:rsidR="000331C7">
          <w:rPr>
            <w:noProof/>
            <w:sz w:val="24"/>
          </w:rPr>
          <w:t>240</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09" w:history="1">
        <w:r w:rsidR="00491CBC" w:rsidRPr="00491CBC">
          <w:rPr>
            <w:rStyle w:val="aff2"/>
            <w:bCs/>
            <w:noProof/>
            <w:sz w:val="24"/>
          </w:rPr>
          <w:t>10.2</w:t>
        </w:r>
        <w:r w:rsidR="00491CBC" w:rsidRPr="00491CBC">
          <w:rPr>
            <w:rStyle w:val="aff2"/>
            <w:rFonts w:hint="eastAsia"/>
            <w:bCs/>
            <w:noProof/>
            <w:sz w:val="24"/>
          </w:rPr>
          <w:t>与《河南省平顶山矿区总体规划》及规划环评的协调性分析</w:t>
        </w:r>
        <w:r w:rsidR="00491CBC" w:rsidRPr="00491CBC">
          <w:rPr>
            <w:noProof/>
            <w:sz w:val="24"/>
          </w:rPr>
          <w:tab/>
        </w:r>
        <w:r w:rsidRPr="00491CBC">
          <w:rPr>
            <w:noProof/>
            <w:sz w:val="24"/>
          </w:rPr>
          <w:fldChar w:fldCharType="begin"/>
        </w:r>
        <w:r w:rsidR="00491CBC" w:rsidRPr="00491CBC">
          <w:rPr>
            <w:noProof/>
            <w:sz w:val="24"/>
          </w:rPr>
          <w:instrText xml:space="preserve"> PAGEREF _Toc81934409 \h </w:instrText>
        </w:r>
        <w:r w:rsidRPr="00491CBC">
          <w:rPr>
            <w:noProof/>
            <w:sz w:val="24"/>
          </w:rPr>
        </w:r>
        <w:r w:rsidRPr="00491CBC">
          <w:rPr>
            <w:noProof/>
            <w:sz w:val="24"/>
          </w:rPr>
          <w:fldChar w:fldCharType="separate"/>
        </w:r>
        <w:r w:rsidR="000331C7">
          <w:rPr>
            <w:noProof/>
            <w:sz w:val="24"/>
          </w:rPr>
          <w:t>242</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10" w:history="1">
        <w:r w:rsidR="00491CBC" w:rsidRPr="00491CBC">
          <w:rPr>
            <w:rStyle w:val="aff2"/>
            <w:bCs/>
            <w:noProof/>
            <w:sz w:val="24"/>
          </w:rPr>
          <w:t>10.3</w:t>
        </w:r>
        <w:r w:rsidR="00491CBC" w:rsidRPr="00491CBC">
          <w:rPr>
            <w:rStyle w:val="aff2"/>
            <w:rFonts w:hint="eastAsia"/>
            <w:bCs/>
            <w:noProof/>
            <w:sz w:val="24"/>
          </w:rPr>
          <w:t>与相关政策规定的相符性分析</w:t>
        </w:r>
        <w:r w:rsidR="00491CBC" w:rsidRPr="00491CBC">
          <w:rPr>
            <w:noProof/>
            <w:sz w:val="24"/>
          </w:rPr>
          <w:tab/>
        </w:r>
        <w:r w:rsidRPr="00491CBC">
          <w:rPr>
            <w:noProof/>
            <w:sz w:val="24"/>
          </w:rPr>
          <w:fldChar w:fldCharType="begin"/>
        </w:r>
        <w:r w:rsidR="00491CBC" w:rsidRPr="00491CBC">
          <w:rPr>
            <w:noProof/>
            <w:sz w:val="24"/>
          </w:rPr>
          <w:instrText xml:space="preserve"> PAGEREF _Toc81934410 \h </w:instrText>
        </w:r>
        <w:r w:rsidRPr="00491CBC">
          <w:rPr>
            <w:noProof/>
            <w:sz w:val="24"/>
          </w:rPr>
        </w:r>
        <w:r w:rsidRPr="00491CBC">
          <w:rPr>
            <w:noProof/>
            <w:sz w:val="24"/>
          </w:rPr>
          <w:fldChar w:fldCharType="separate"/>
        </w:r>
        <w:r w:rsidR="000331C7">
          <w:rPr>
            <w:noProof/>
            <w:sz w:val="24"/>
          </w:rPr>
          <w:t>246</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11" w:history="1">
        <w:r w:rsidR="00491CBC" w:rsidRPr="00491CBC">
          <w:rPr>
            <w:rStyle w:val="aff2"/>
            <w:bCs/>
            <w:noProof/>
            <w:sz w:val="24"/>
          </w:rPr>
          <w:t xml:space="preserve">10.4 </w:t>
        </w:r>
        <w:r w:rsidR="00491CBC" w:rsidRPr="00491CBC">
          <w:rPr>
            <w:rStyle w:val="aff2"/>
            <w:rFonts w:hint="eastAsia"/>
            <w:bCs/>
            <w:noProof/>
            <w:sz w:val="24"/>
          </w:rPr>
          <w:t>与矿产资源规划的相符性分析</w:t>
        </w:r>
        <w:r w:rsidR="00491CBC" w:rsidRPr="00491CBC">
          <w:rPr>
            <w:noProof/>
            <w:sz w:val="24"/>
          </w:rPr>
          <w:tab/>
        </w:r>
        <w:r w:rsidRPr="00491CBC">
          <w:rPr>
            <w:noProof/>
            <w:sz w:val="24"/>
          </w:rPr>
          <w:fldChar w:fldCharType="begin"/>
        </w:r>
        <w:r w:rsidR="00491CBC" w:rsidRPr="00491CBC">
          <w:rPr>
            <w:noProof/>
            <w:sz w:val="24"/>
          </w:rPr>
          <w:instrText xml:space="preserve"> PAGEREF _Toc81934411 \h </w:instrText>
        </w:r>
        <w:r w:rsidRPr="00491CBC">
          <w:rPr>
            <w:noProof/>
            <w:sz w:val="24"/>
          </w:rPr>
        </w:r>
        <w:r w:rsidRPr="00491CBC">
          <w:rPr>
            <w:noProof/>
            <w:sz w:val="24"/>
          </w:rPr>
          <w:fldChar w:fldCharType="separate"/>
        </w:r>
        <w:r w:rsidR="000331C7">
          <w:rPr>
            <w:noProof/>
            <w:sz w:val="24"/>
          </w:rPr>
          <w:t>277</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12" w:history="1">
        <w:r w:rsidR="00491CBC" w:rsidRPr="00491CBC">
          <w:rPr>
            <w:rStyle w:val="aff2"/>
            <w:bCs/>
            <w:noProof/>
            <w:sz w:val="24"/>
          </w:rPr>
          <w:t>10.5</w:t>
        </w:r>
        <w:r w:rsidR="00491CBC" w:rsidRPr="00491CBC">
          <w:rPr>
            <w:rStyle w:val="aff2"/>
            <w:rFonts w:hint="eastAsia"/>
            <w:bCs/>
            <w:noProof/>
            <w:sz w:val="24"/>
          </w:rPr>
          <w:t>与《禹州市城市总体规划（</w:t>
        </w:r>
        <w:r w:rsidR="00491CBC" w:rsidRPr="00491CBC">
          <w:rPr>
            <w:rStyle w:val="aff2"/>
            <w:bCs/>
            <w:noProof/>
            <w:sz w:val="24"/>
          </w:rPr>
          <w:t>2015—2030</w:t>
        </w:r>
        <w:r w:rsidR="00491CBC" w:rsidRPr="00491CBC">
          <w:rPr>
            <w:rStyle w:val="aff2"/>
            <w:rFonts w:hint="eastAsia"/>
            <w:bCs/>
            <w:noProof/>
            <w:sz w:val="24"/>
          </w:rPr>
          <w:t>年）》的相符性分析</w:t>
        </w:r>
        <w:r w:rsidR="00491CBC" w:rsidRPr="00491CBC">
          <w:rPr>
            <w:noProof/>
            <w:sz w:val="24"/>
          </w:rPr>
          <w:tab/>
        </w:r>
        <w:r w:rsidRPr="00491CBC">
          <w:rPr>
            <w:noProof/>
            <w:sz w:val="24"/>
          </w:rPr>
          <w:fldChar w:fldCharType="begin"/>
        </w:r>
        <w:r w:rsidR="00491CBC" w:rsidRPr="00491CBC">
          <w:rPr>
            <w:noProof/>
            <w:sz w:val="24"/>
          </w:rPr>
          <w:instrText xml:space="preserve"> PAGEREF _Toc81934412 \h </w:instrText>
        </w:r>
        <w:r w:rsidRPr="00491CBC">
          <w:rPr>
            <w:noProof/>
            <w:sz w:val="24"/>
          </w:rPr>
        </w:r>
        <w:r w:rsidRPr="00491CBC">
          <w:rPr>
            <w:noProof/>
            <w:sz w:val="24"/>
          </w:rPr>
          <w:fldChar w:fldCharType="separate"/>
        </w:r>
        <w:r w:rsidR="000331C7">
          <w:rPr>
            <w:noProof/>
            <w:sz w:val="24"/>
          </w:rPr>
          <w:t>291</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13" w:history="1">
        <w:r w:rsidR="00491CBC" w:rsidRPr="00491CBC">
          <w:rPr>
            <w:rStyle w:val="aff2"/>
            <w:bCs/>
            <w:noProof/>
            <w:sz w:val="24"/>
          </w:rPr>
          <w:t>10.6</w:t>
        </w:r>
        <w:r w:rsidR="00491CBC" w:rsidRPr="00491CBC">
          <w:rPr>
            <w:rStyle w:val="aff2"/>
            <w:rFonts w:hint="eastAsia"/>
            <w:bCs/>
            <w:noProof/>
            <w:sz w:val="24"/>
          </w:rPr>
          <w:t>与饮用水源地保护规划相符性分析</w:t>
        </w:r>
        <w:r w:rsidR="00491CBC" w:rsidRPr="00491CBC">
          <w:rPr>
            <w:noProof/>
            <w:sz w:val="24"/>
          </w:rPr>
          <w:tab/>
        </w:r>
        <w:r w:rsidRPr="00491CBC">
          <w:rPr>
            <w:noProof/>
            <w:sz w:val="24"/>
          </w:rPr>
          <w:fldChar w:fldCharType="begin"/>
        </w:r>
        <w:r w:rsidR="00491CBC" w:rsidRPr="00491CBC">
          <w:rPr>
            <w:noProof/>
            <w:sz w:val="24"/>
          </w:rPr>
          <w:instrText xml:space="preserve"> PAGEREF _Toc81934413 \h </w:instrText>
        </w:r>
        <w:r w:rsidRPr="00491CBC">
          <w:rPr>
            <w:noProof/>
            <w:sz w:val="24"/>
          </w:rPr>
        </w:r>
        <w:r w:rsidRPr="00491CBC">
          <w:rPr>
            <w:noProof/>
            <w:sz w:val="24"/>
          </w:rPr>
          <w:fldChar w:fldCharType="separate"/>
        </w:r>
        <w:r w:rsidR="000331C7">
          <w:rPr>
            <w:noProof/>
            <w:sz w:val="24"/>
          </w:rPr>
          <w:t>292</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14" w:history="1">
        <w:r w:rsidR="00491CBC" w:rsidRPr="00491CBC">
          <w:rPr>
            <w:rStyle w:val="aff2"/>
            <w:bCs/>
            <w:noProof/>
            <w:sz w:val="24"/>
          </w:rPr>
          <w:t xml:space="preserve">10.7 </w:t>
        </w:r>
        <w:r w:rsidR="00491CBC" w:rsidRPr="00491CBC">
          <w:rPr>
            <w:rStyle w:val="aff2"/>
            <w:rFonts w:hint="eastAsia"/>
            <w:bCs/>
            <w:noProof/>
            <w:sz w:val="24"/>
          </w:rPr>
          <w:t>与《河南省主体功能区划》的相符性</w:t>
        </w:r>
        <w:r w:rsidR="00491CBC" w:rsidRPr="00491CBC">
          <w:rPr>
            <w:noProof/>
            <w:sz w:val="24"/>
          </w:rPr>
          <w:tab/>
        </w:r>
        <w:r w:rsidRPr="00491CBC">
          <w:rPr>
            <w:noProof/>
            <w:sz w:val="24"/>
          </w:rPr>
          <w:fldChar w:fldCharType="begin"/>
        </w:r>
        <w:r w:rsidR="00491CBC" w:rsidRPr="00491CBC">
          <w:rPr>
            <w:noProof/>
            <w:sz w:val="24"/>
          </w:rPr>
          <w:instrText xml:space="preserve"> PAGEREF _Toc81934414 \h </w:instrText>
        </w:r>
        <w:r w:rsidRPr="00491CBC">
          <w:rPr>
            <w:noProof/>
            <w:sz w:val="24"/>
          </w:rPr>
        </w:r>
        <w:r w:rsidRPr="00491CBC">
          <w:rPr>
            <w:noProof/>
            <w:sz w:val="24"/>
          </w:rPr>
          <w:fldChar w:fldCharType="separate"/>
        </w:r>
        <w:r w:rsidR="000331C7">
          <w:rPr>
            <w:noProof/>
            <w:sz w:val="24"/>
          </w:rPr>
          <w:t>295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15" w:history="1">
        <w:r w:rsidR="00491CBC" w:rsidRPr="00491CBC">
          <w:rPr>
            <w:rStyle w:val="aff2"/>
            <w:bCs/>
            <w:noProof/>
            <w:sz w:val="24"/>
          </w:rPr>
          <w:t xml:space="preserve">10.8 </w:t>
        </w:r>
        <w:r w:rsidR="00491CBC" w:rsidRPr="00491CBC">
          <w:rPr>
            <w:rStyle w:val="aff2"/>
            <w:rFonts w:hint="eastAsia"/>
            <w:bCs/>
            <w:noProof/>
            <w:sz w:val="24"/>
          </w:rPr>
          <w:t>与禹州华夏植物群地质公园的相符性</w:t>
        </w:r>
        <w:r w:rsidR="00491CBC" w:rsidRPr="00491CBC">
          <w:rPr>
            <w:noProof/>
            <w:sz w:val="24"/>
          </w:rPr>
          <w:tab/>
        </w:r>
        <w:r w:rsidRPr="00491CBC">
          <w:rPr>
            <w:noProof/>
            <w:sz w:val="24"/>
          </w:rPr>
          <w:fldChar w:fldCharType="begin"/>
        </w:r>
        <w:r w:rsidR="00491CBC" w:rsidRPr="00491CBC">
          <w:rPr>
            <w:noProof/>
            <w:sz w:val="24"/>
          </w:rPr>
          <w:instrText xml:space="preserve"> PAGEREF _Toc81934415 \h </w:instrText>
        </w:r>
        <w:r w:rsidRPr="00491CBC">
          <w:rPr>
            <w:noProof/>
            <w:sz w:val="24"/>
          </w:rPr>
        </w:r>
        <w:r w:rsidRPr="00491CBC">
          <w:rPr>
            <w:noProof/>
            <w:sz w:val="24"/>
          </w:rPr>
          <w:fldChar w:fldCharType="separate"/>
        </w:r>
        <w:r w:rsidR="000331C7">
          <w:rPr>
            <w:noProof/>
            <w:sz w:val="24"/>
          </w:rPr>
          <w:t>298</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16" w:history="1">
        <w:r w:rsidR="00491CBC" w:rsidRPr="00491CBC">
          <w:rPr>
            <w:rStyle w:val="aff2"/>
            <w:bCs/>
            <w:noProof/>
            <w:sz w:val="24"/>
          </w:rPr>
          <w:t xml:space="preserve">10.9 </w:t>
        </w:r>
        <w:r w:rsidR="00491CBC" w:rsidRPr="00491CBC">
          <w:rPr>
            <w:rStyle w:val="aff2"/>
            <w:rFonts w:hint="eastAsia"/>
            <w:bCs/>
            <w:noProof/>
            <w:sz w:val="24"/>
          </w:rPr>
          <w:t>与神垕钧窑遗址文物保护单位的相符性</w:t>
        </w:r>
        <w:r w:rsidR="00491CBC" w:rsidRPr="00491CBC">
          <w:rPr>
            <w:noProof/>
            <w:sz w:val="24"/>
          </w:rPr>
          <w:tab/>
        </w:r>
        <w:r w:rsidRPr="00491CBC">
          <w:rPr>
            <w:noProof/>
            <w:sz w:val="24"/>
          </w:rPr>
          <w:fldChar w:fldCharType="begin"/>
        </w:r>
        <w:r w:rsidR="00491CBC" w:rsidRPr="00491CBC">
          <w:rPr>
            <w:noProof/>
            <w:sz w:val="24"/>
          </w:rPr>
          <w:instrText xml:space="preserve"> PAGEREF _Toc81934416 \h </w:instrText>
        </w:r>
        <w:r w:rsidRPr="00491CBC">
          <w:rPr>
            <w:noProof/>
            <w:sz w:val="24"/>
          </w:rPr>
        </w:r>
        <w:r w:rsidRPr="00491CBC">
          <w:rPr>
            <w:noProof/>
            <w:sz w:val="24"/>
          </w:rPr>
          <w:fldChar w:fldCharType="separate"/>
        </w:r>
        <w:r w:rsidR="000331C7">
          <w:rPr>
            <w:noProof/>
            <w:sz w:val="24"/>
          </w:rPr>
          <w:t>298</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17" w:history="1">
        <w:r w:rsidR="00491CBC" w:rsidRPr="00491CBC">
          <w:rPr>
            <w:rStyle w:val="aff2"/>
            <w:bCs/>
            <w:i/>
            <w:noProof/>
            <w:sz w:val="24"/>
          </w:rPr>
          <w:t xml:space="preserve">10.10 </w:t>
        </w:r>
        <w:r w:rsidR="00491CBC" w:rsidRPr="00491CBC">
          <w:rPr>
            <w:rStyle w:val="aff2"/>
            <w:rFonts w:hint="eastAsia"/>
            <w:bCs/>
            <w:i/>
            <w:noProof/>
            <w:sz w:val="24"/>
          </w:rPr>
          <w:t>与河南省</w:t>
        </w:r>
        <w:r w:rsidR="00491CBC" w:rsidRPr="00491CBC">
          <w:rPr>
            <w:rStyle w:val="aff2"/>
            <w:bCs/>
            <w:i/>
            <w:noProof/>
            <w:sz w:val="24"/>
          </w:rPr>
          <w:t>“</w:t>
        </w:r>
        <w:r w:rsidR="00491CBC" w:rsidRPr="00491CBC">
          <w:rPr>
            <w:rStyle w:val="aff2"/>
            <w:rFonts w:hint="eastAsia"/>
            <w:bCs/>
            <w:i/>
            <w:noProof/>
            <w:sz w:val="24"/>
          </w:rPr>
          <w:t>三线一单</w:t>
        </w:r>
        <w:r w:rsidR="00491CBC" w:rsidRPr="00491CBC">
          <w:rPr>
            <w:rStyle w:val="aff2"/>
            <w:bCs/>
            <w:i/>
            <w:noProof/>
            <w:sz w:val="24"/>
          </w:rPr>
          <w:t>”</w:t>
        </w:r>
        <w:r w:rsidR="00491CBC" w:rsidRPr="00491CBC">
          <w:rPr>
            <w:rStyle w:val="aff2"/>
            <w:rFonts w:hint="eastAsia"/>
            <w:bCs/>
            <w:i/>
            <w:noProof/>
            <w:sz w:val="24"/>
          </w:rPr>
          <w:t>相符性分析</w:t>
        </w:r>
        <w:r w:rsidR="00491CBC" w:rsidRPr="00491CBC">
          <w:rPr>
            <w:noProof/>
            <w:sz w:val="24"/>
          </w:rPr>
          <w:tab/>
        </w:r>
        <w:r w:rsidRPr="00491CBC">
          <w:rPr>
            <w:noProof/>
            <w:sz w:val="24"/>
          </w:rPr>
          <w:fldChar w:fldCharType="begin"/>
        </w:r>
        <w:r w:rsidR="00491CBC" w:rsidRPr="00491CBC">
          <w:rPr>
            <w:noProof/>
            <w:sz w:val="24"/>
          </w:rPr>
          <w:instrText xml:space="preserve"> PAGEREF _Toc81934417 \h </w:instrText>
        </w:r>
        <w:r w:rsidRPr="00491CBC">
          <w:rPr>
            <w:noProof/>
            <w:sz w:val="24"/>
          </w:rPr>
        </w:r>
        <w:r w:rsidRPr="00491CBC">
          <w:rPr>
            <w:noProof/>
            <w:sz w:val="24"/>
          </w:rPr>
          <w:fldChar w:fldCharType="separate"/>
        </w:r>
        <w:r w:rsidR="000331C7">
          <w:rPr>
            <w:noProof/>
            <w:sz w:val="24"/>
          </w:rPr>
          <w:t>299</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18" w:history="1">
        <w:r w:rsidR="00491CBC" w:rsidRPr="00491CBC">
          <w:rPr>
            <w:rStyle w:val="aff2"/>
            <w:bCs/>
            <w:i/>
            <w:noProof/>
            <w:sz w:val="24"/>
          </w:rPr>
          <w:t xml:space="preserve">10.11 </w:t>
        </w:r>
        <w:r w:rsidR="00491CBC" w:rsidRPr="00491CBC">
          <w:rPr>
            <w:rStyle w:val="aff2"/>
            <w:rFonts w:hint="eastAsia"/>
            <w:bCs/>
            <w:i/>
            <w:noProof/>
            <w:sz w:val="24"/>
          </w:rPr>
          <w:t>与许昌市</w:t>
        </w:r>
        <w:r w:rsidR="00491CBC" w:rsidRPr="00491CBC">
          <w:rPr>
            <w:rStyle w:val="aff2"/>
            <w:bCs/>
            <w:i/>
            <w:noProof/>
            <w:sz w:val="24"/>
          </w:rPr>
          <w:t>“</w:t>
        </w:r>
        <w:r w:rsidR="00491CBC" w:rsidRPr="00491CBC">
          <w:rPr>
            <w:rStyle w:val="aff2"/>
            <w:rFonts w:hint="eastAsia"/>
            <w:bCs/>
            <w:i/>
            <w:noProof/>
            <w:sz w:val="24"/>
          </w:rPr>
          <w:t>三线一单</w:t>
        </w:r>
        <w:r w:rsidR="00491CBC" w:rsidRPr="00491CBC">
          <w:rPr>
            <w:rStyle w:val="aff2"/>
            <w:bCs/>
            <w:i/>
            <w:noProof/>
            <w:sz w:val="24"/>
          </w:rPr>
          <w:t>”</w:t>
        </w:r>
        <w:r w:rsidR="00491CBC" w:rsidRPr="00491CBC">
          <w:rPr>
            <w:rStyle w:val="aff2"/>
            <w:rFonts w:hint="eastAsia"/>
            <w:bCs/>
            <w:i/>
            <w:noProof/>
            <w:sz w:val="24"/>
          </w:rPr>
          <w:t>相符性分析</w:t>
        </w:r>
        <w:r w:rsidR="00491CBC" w:rsidRPr="00491CBC">
          <w:rPr>
            <w:noProof/>
            <w:sz w:val="24"/>
          </w:rPr>
          <w:tab/>
        </w:r>
        <w:r w:rsidRPr="00491CBC">
          <w:rPr>
            <w:noProof/>
            <w:sz w:val="24"/>
          </w:rPr>
          <w:fldChar w:fldCharType="begin"/>
        </w:r>
        <w:r w:rsidR="00491CBC" w:rsidRPr="00491CBC">
          <w:rPr>
            <w:noProof/>
            <w:sz w:val="24"/>
          </w:rPr>
          <w:instrText xml:space="preserve"> PAGEREF _Toc81934418 \h </w:instrText>
        </w:r>
        <w:r w:rsidRPr="00491CBC">
          <w:rPr>
            <w:noProof/>
            <w:sz w:val="24"/>
          </w:rPr>
        </w:r>
        <w:r w:rsidRPr="00491CBC">
          <w:rPr>
            <w:noProof/>
            <w:sz w:val="24"/>
          </w:rPr>
          <w:fldChar w:fldCharType="separate"/>
        </w:r>
        <w:r w:rsidR="000331C7">
          <w:rPr>
            <w:noProof/>
            <w:sz w:val="24"/>
          </w:rPr>
          <w:t>303</w:t>
        </w:r>
        <w:r w:rsidRPr="00491CBC">
          <w:rPr>
            <w:noProof/>
            <w:sz w:val="24"/>
          </w:rPr>
          <w:fldChar w:fldCharType="end"/>
        </w:r>
      </w:hyperlink>
    </w:p>
    <w:p w:rsidR="00491CBC" w:rsidRPr="00491CBC" w:rsidRDefault="00B95226" w:rsidP="00491CBC">
      <w:pPr>
        <w:pStyle w:val="11"/>
        <w:tabs>
          <w:tab w:val="right" w:leader="dot" w:pos="8494"/>
        </w:tabs>
        <w:spacing w:line="500" w:lineRule="exact"/>
        <w:rPr>
          <w:rFonts w:asciiTheme="minorHAnsi" w:eastAsiaTheme="minorEastAsia" w:hAnsiTheme="minorHAnsi" w:cstheme="minorBidi"/>
          <w:noProof/>
          <w:sz w:val="24"/>
        </w:rPr>
      </w:pPr>
      <w:hyperlink w:anchor="_Toc81934419" w:history="1">
        <w:r w:rsidR="00491CBC" w:rsidRPr="00491CBC">
          <w:rPr>
            <w:rStyle w:val="aff2"/>
            <w:rFonts w:eastAsia="黑体"/>
            <w:noProof/>
            <w:sz w:val="24"/>
          </w:rPr>
          <w:t xml:space="preserve">11 </w:t>
        </w:r>
        <w:r w:rsidR="00491CBC" w:rsidRPr="00491CBC">
          <w:rPr>
            <w:rStyle w:val="aff2"/>
            <w:rFonts w:eastAsia="黑体" w:hint="eastAsia"/>
            <w:noProof/>
            <w:sz w:val="24"/>
          </w:rPr>
          <w:t>评价结论与建议</w:t>
        </w:r>
        <w:r w:rsidR="00491CBC" w:rsidRPr="00491CBC">
          <w:rPr>
            <w:noProof/>
            <w:sz w:val="24"/>
          </w:rPr>
          <w:tab/>
        </w:r>
        <w:r w:rsidRPr="00491CBC">
          <w:rPr>
            <w:noProof/>
            <w:sz w:val="24"/>
          </w:rPr>
          <w:fldChar w:fldCharType="begin"/>
        </w:r>
        <w:r w:rsidR="00491CBC" w:rsidRPr="00491CBC">
          <w:rPr>
            <w:noProof/>
            <w:sz w:val="24"/>
          </w:rPr>
          <w:instrText xml:space="preserve"> PAGEREF _Toc81934419 \h </w:instrText>
        </w:r>
        <w:r w:rsidRPr="00491CBC">
          <w:rPr>
            <w:noProof/>
            <w:sz w:val="24"/>
          </w:rPr>
        </w:r>
        <w:r w:rsidRPr="00491CBC">
          <w:rPr>
            <w:noProof/>
            <w:sz w:val="24"/>
          </w:rPr>
          <w:fldChar w:fldCharType="separate"/>
        </w:r>
        <w:r w:rsidR="000331C7">
          <w:rPr>
            <w:noProof/>
            <w:sz w:val="24"/>
          </w:rPr>
          <w:t>305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20" w:history="1">
        <w:r w:rsidR="00491CBC" w:rsidRPr="00491CBC">
          <w:rPr>
            <w:rStyle w:val="aff2"/>
            <w:bCs/>
            <w:noProof/>
            <w:sz w:val="24"/>
          </w:rPr>
          <w:t xml:space="preserve">11.1 </w:t>
        </w:r>
        <w:r w:rsidR="00491CBC" w:rsidRPr="00491CBC">
          <w:rPr>
            <w:rStyle w:val="aff2"/>
            <w:rFonts w:hint="eastAsia"/>
            <w:bCs/>
            <w:noProof/>
            <w:sz w:val="24"/>
          </w:rPr>
          <w:t>项目概况及主要建设内容结论</w:t>
        </w:r>
        <w:r w:rsidR="00491CBC" w:rsidRPr="00491CBC">
          <w:rPr>
            <w:noProof/>
            <w:sz w:val="24"/>
          </w:rPr>
          <w:tab/>
        </w:r>
        <w:r w:rsidRPr="00491CBC">
          <w:rPr>
            <w:noProof/>
            <w:sz w:val="24"/>
          </w:rPr>
          <w:fldChar w:fldCharType="begin"/>
        </w:r>
        <w:r w:rsidR="00491CBC" w:rsidRPr="00491CBC">
          <w:rPr>
            <w:noProof/>
            <w:sz w:val="24"/>
          </w:rPr>
          <w:instrText xml:space="preserve"> PAGEREF _Toc81934420 \h </w:instrText>
        </w:r>
        <w:r w:rsidRPr="00491CBC">
          <w:rPr>
            <w:noProof/>
            <w:sz w:val="24"/>
          </w:rPr>
        </w:r>
        <w:r w:rsidRPr="00491CBC">
          <w:rPr>
            <w:noProof/>
            <w:sz w:val="24"/>
          </w:rPr>
          <w:fldChar w:fldCharType="separate"/>
        </w:r>
        <w:r w:rsidR="000331C7">
          <w:rPr>
            <w:noProof/>
            <w:sz w:val="24"/>
          </w:rPr>
          <w:t>305</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21" w:history="1">
        <w:r w:rsidR="00491CBC" w:rsidRPr="00491CBC">
          <w:rPr>
            <w:rStyle w:val="aff2"/>
            <w:bCs/>
            <w:noProof/>
            <w:sz w:val="24"/>
          </w:rPr>
          <w:t xml:space="preserve">11.2 </w:t>
        </w:r>
        <w:r w:rsidR="00491CBC" w:rsidRPr="00491CBC">
          <w:rPr>
            <w:rStyle w:val="aff2"/>
            <w:rFonts w:hint="eastAsia"/>
            <w:bCs/>
            <w:noProof/>
            <w:sz w:val="24"/>
          </w:rPr>
          <w:t>项目环境影响结论</w:t>
        </w:r>
        <w:r w:rsidR="00491CBC" w:rsidRPr="00491CBC">
          <w:rPr>
            <w:noProof/>
            <w:sz w:val="24"/>
          </w:rPr>
          <w:tab/>
        </w:r>
        <w:r w:rsidRPr="00491CBC">
          <w:rPr>
            <w:noProof/>
            <w:sz w:val="24"/>
          </w:rPr>
          <w:fldChar w:fldCharType="begin"/>
        </w:r>
        <w:r w:rsidR="00491CBC" w:rsidRPr="00491CBC">
          <w:rPr>
            <w:noProof/>
            <w:sz w:val="24"/>
          </w:rPr>
          <w:instrText xml:space="preserve"> PAGEREF _Toc81934421 \h </w:instrText>
        </w:r>
        <w:r w:rsidRPr="00491CBC">
          <w:rPr>
            <w:noProof/>
            <w:sz w:val="24"/>
          </w:rPr>
        </w:r>
        <w:r w:rsidRPr="00491CBC">
          <w:rPr>
            <w:noProof/>
            <w:sz w:val="24"/>
          </w:rPr>
          <w:fldChar w:fldCharType="separate"/>
        </w:r>
        <w:r w:rsidR="000331C7">
          <w:rPr>
            <w:noProof/>
            <w:sz w:val="24"/>
          </w:rPr>
          <w:t>307</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22" w:history="1">
        <w:r w:rsidR="00491CBC" w:rsidRPr="00491CBC">
          <w:rPr>
            <w:rStyle w:val="aff2"/>
            <w:bCs/>
            <w:noProof/>
            <w:sz w:val="24"/>
          </w:rPr>
          <w:t>11.3</w:t>
        </w:r>
        <w:r w:rsidR="00491CBC" w:rsidRPr="00491CBC">
          <w:rPr>
            <w:rStyle w:val="aff2"/>
            <w:rFonts w:hint="eastAsia"/>
            <w:bCs/>
            <w:noProof/>
            <w:sz w:val="24"/>
          </w:rPr>
          <w:t>建设项目环境可行性</w:t>
        </w:r>
        <w:r w:rsidR="00491CBC" w:rsidRPr="00491CBC">
          <w:rPr>
            <w:noProof/>
            <w:sz w:val="24"/>
          </w:rPr>
          <w:tab/>
        </w:r>
        <w:r w:rsidRPr="00491CBC">
          <w:rPr>
            <w:noProof/>
            <w:sz w:val="24"/>
          </w:rPr>
          <w:fldChar w:fldCharType="begin"/>
        </w:r>
        <w:r w:rsidR="00491CBC" w:rsidRPr="00491CBC">
          <w:rPr>
            <w:noProof/>
            <w:sz w:val="24"/>
          </w:rPr>
          <w:instrText xml:space="preserve"> PAGEREF _Toc81934422 \h </w:instrText>
        </w:r>
        <w:r w:rsidRPr="00491CBC">
          <w:rPr>
            <w:noProof/>
            <w:sz w:val="24"/>
          </w:rPr>
        </w:r>
        <w:r w:rsidRPr="00491CBC">
          <w:rPr>
            <w:noProof/>
            <w:sz w:val="24"/>
          </w:rPr>
          <w:fldChar w:fldCharType="separate"/>
        </w:r>
        <w:r w:rsidR="000331C7">
          <w:rPr>
            <w:noProof/>
            <w:sz w:val="24"/>
          </w:rPr>
          <w:t>313</w:t>
        </w:r>
        <w:r w:rsidRPr="00491CBC">
          <w:rPr>
            <w:noProof/>
            <w:sz w:val="24"/>
          </w:rPr>
          <w:fldChar w:fldCharType="end"/>
        </w:r>
      </w:hyperlink>
    </w:p>
    <w:p w:rsidR="00491CBC" w:rsidRPr="00491CBC" w:rsidRDefault="00B95226" w:rsidP="00491CBC">
      <w:pPr>
        <w:pStyle w:val="24"/>
        <w:tabs>
          <w:tab w:val="right" w:leader="dot" w:pos="8494"/>
        </w:tabs>
        <w:spacing w:line="500" w:lineRule="exact"/>
        <w:ind w:left="560"/>
        <w:rPr>
          <w:rFonts w:asciiTheme="minorHAnsi" w:eastAsiaTheme="minorEastAsia" w:hAnsiTheme="minorHAnsi" w:cstheme="minorBidi"/>
          <w:noProof/>
          <w:sz w:val="24"/>
        </w:rPr>
      </w:pPr>
      <w:hyperlink w:anchor="_Toc81934423" w:history="1">
        <w:r w:rsidR="00491CBC" w:rsidRPr="00491CBC">
          <w:rPr>
            <w:rStyle w:val="aff2"/>
            <w:bCs/>
            <w:noProof/>
            <w:sz w:val="24"/>
          </w:rPr>
          <w:t xml:space="preserve">11.4 </w:t>
        </w:r>
        <w:r w:rsidR="00491CBC" w:rsidRPr="00491CBC">
          <w:rPr>
            <w:rStyle w:val="aff2"/>
            <w:rFonts w:hint="eastAsia"/>
            <w:bCs/>
            <w:noProof/>
            <w:sz w:val="24"/>
          </w:rPr>
          <w:t>结论及建议</w:t>
        </w:r>
        <w:r w:rsidR="00491CBC" w:rsidRPr="00491CBC">
          <w:rPr>
            <w:noProof/>
            <w:sz w:val="24"/>
          </w:rPr>
          <w:tab/>
        </w:r>
        <w:r w:rsidRPr="00491CBC">
          <w:rPr>
            <w:noProof/>
            <w:sz w:val="24"/>
          </w:rPr>
          <w:fldChar w:fldCharType="begin"/>
        </w:r>
        <w:r w:rsidR="00491CBC" w:rsidRPr="00491CBC">
          <w:rPr>
            <w:noProof/>
            <w:sz w:val="24"/>
          </w:rPr>
          <w:instrText xml:space="preserve"> PAGEREF _Toc81934423 \h </w:instrText>
        </w:r>
        <w:r w:rsidRPr="00491CBC">
          <w:rPr>
            <w:noProof/>
            <w:sz w:val="24"/>
          </w:rPr>
        </w:r>
        <w:r w:rsidRPr="00491CBC">
          <w:rPr>
            <w:noProof/>
            <w:sz w:val="24"/>
          </w:rPr>
          <w:fldChar w:fldCharType="separate"/>
        </w:r>
        <w:r w:rsidR="000331C7">
          <w:rPr>
            <w:noProof/>
            <w:sz w:val="24"/>
          </w:rPr>
          <w:t>314</w:t>
        </w:r>
        <w:r w:rsidRPr="00491CBC">
          <w:rPr>
            <w:noProof/>
            <w:sz w:val="24"/>
          </w:rPr>
          <w:fldChar w:fldCharType="end"/>
        </w:r>
      </w:hyperlink>
    </w:p>
    <w:p w:rsidR="00240BCE" w:rsidRDefault="00B95226" w:rsidP="00491CBC">
      <w:pPr>
        <w:spacing w:line="520" w:lineRule="exact"/>
        <w:ind w:firstLineChars="200" w:firstLine="480"/>
        <w:rPr>
          <w:rFonts w:eastAsia="黑体"/>
          <w:spacing w:val="2"/>
          <w:sz w:val="24"/>
        </w:rPr>
      </w:pPr>
      <w:r w:rsidRPr="00491CBC">
        <w:rPr>
          <w:rFonts w:eastAsia="黑体"/>
          <w:spacing w:val="2"/>
          <w:sz w:val="24"/>
        </w:rPr>
        <w:fldChar w:fldCharType="end"/>
      </w:r>
    </w:p>
    <w:p w:rsidR="00240BCE" w:rsidRDefault="00AC0334" w:rsidP="009C5F33">
      <w:pPr>
        <w:spacing w:beforeLines="50" w:afterLines="50" w:line="520" w:lineRule="exact"/>
        <w:rPr>
          <w:rFonts w:eastAsia="黑体"/>
          <w:spacing w:val="2"/>
          <w:szCs w:val="28"/>
        </w:rPr>
      </w:pPr>
      <w:r>
        <w:rPr>
          <w:rFonts w:eastAsia="黑体"/>
          <w:spacing w:val="2"/>
          <w:szCs w:val="28"/>
        </w:rPr>
        <w:br w:type="page"/>
      </w:r>
      <w:r>
        <w:rPr>
          <w:rFonts w:eastAsia="黑体"/>
          <w:spacing w:val="2"/>
          <w:szCs w:val="28"/>
        </w:rPr>
        <w:lastRenderedPageBreak/>
        <w:t>附图：</w:t>
      </w:r>
    </w:p>
    <w:p w:rsidR="00240BCE" w:rsidRDefault="00AC0334" w:rsidP="009C5F33">
      <w:pPr>
        <w:spacing w:afterLines="50" w:line="520" w:lineRule="exact"/>
        <w:ind w:firstLineChars="200" w:firstLine="480"/>
        <w:rPr>
          <w:sz w:val="24"/>
        </w:rPr>
      </w:pPr>
      <w:bookmarkStart w:id="3" w:name="_Toc17625_WPSOffice_Level1"/>
      <w:r>
        <w:rPr>
          <w:sz w:val="24"/>
        </w:rPr>
        <w:t>1</w:t>
      </w:r>
      <w:r>
        <w:rPr>
          <w:sz w:val="24"/>
        </w:rPr>
        <w:t>、地理位置及交通图</w:t>
      </w:r>
      <w:bookmarkEnd w:id="3"/>
    </w:p>
    <w:p w:rsidR="00240BCE" w:rsidRDefault="00AC0334" w:rsidP="009C5F33">
      <w:pPr>
        <w:spacing w:afterLines="50" w:line="520" w:lineRule="exact"/>
        <w:ind w:firstLineChars="200" w:firstLine="480"/>
        <w:rPr>
          <w:sz w:val="24"/>
        </w:rPr>
      </w:pPr>
      <w:bookmarkStart w:id="4" w:name="_Toc6559_WPSOffice_Level1"/>
      <w:r>
        <w:rPr>
          <w:sz w:val="24"/>
        </w:rPr>
        <w:t>2</w:t>
      </w:r>
      <w:r>
        <w:rPr>
          <w:sz w:val="24"/>
        </w:rPr>
        <w:t>、环境敏感点分布图</w:t>
      </w:r>
      <w:bookmarkEnd w:id="4"/>
    </w:p>
    <w:p w:rsidR="00240BCE" w:rsidRDefault="00AC0334" w:rsidP="009C5F33">
      <w:pPr>
        <w:spacing w:afterLines="50" w:line="520" w:lineRule="exact"/>
        <w:ind w:firstLineChars="200" w:firstLine="480"/>
        <w:rPr>
          <w:sz w:val="24"/>
        </w:rPr>
      </w:pPr>
      <w:bookmarkStart w:id="5" w:name="_Toc20060_WPSOffice_Level1"/>
      <w:r>
        <w:rPr>
          <w:sz w:val="24"/>
        </w:rPr>
        <w:t>3</w:t>
      </w:r>
      <w:r>
        <w:rPr>
          <w:sz w:val="24"/>
        </w:rPr>
        <w:t>、矿井总平面布置图</w:t>
      </w:r>
      <w:bookmarkEnd w:id="5"/>
    </w:p>
    <w:p w:rsidR="00240BCE" w:rsidRDefault="00AC0334" w:rsidP="009C5F33">
      <w:pPr>
        <w:spacing w:afterLines="50" w:line="520" w:lineRule="exact"/>
        <w:ind w:firstLineChars="200" w:firstLine="480"/>
        <w:rPr>
          <w:sz w:val="24"/>
        </w:rPr>
      </w:pPr>
      <w:bookmarkStart w:id="6" w:name="_Toc28263_WPSOffice_Level1"/>
      <w:r>
        <w:rPr>
          <w:sz w:val="24"/>
        </w:rPr>
        <w:t>4</w:t>
      </w:r>
      <w:r>
        <w:rPr>
          <w:sz w:val="24"/>
        </w:rPr>
        <w:t>、工业场地平面布置图</w:t>
      </w:r>
      <w:bookmarkEnd w:id="6"/>
    </w:p>
    <w:p w:rsidR="00240BCE" w:rsidRDefault="00AC0334" w:rsidP="009C5F33">
      <w:pPr>
        <w:spacing w:afterLines="50" w:line="520" w:lineRule="exact"/>
        <w:ind w:firstLineChars="200" w:firstLine="480"/>
        <w:rPr>
          <w:sz w:val="24"/>
        </w:rPr>
      </w:pPr>
      <w:bookmarkStart w:id="7" w:name="_Toc3376_WPSOffice_Level1"/>
      <w:r>
        <w:rPr>
          <w:sz w:val="24"/>
        </w:rPr>
        <w:t>5</w:t>
      </w:r>
      <w:r>
        <w:rPr>
          <w:sz w:val="24"/>
        </w:rPr>
        <w:t>、开拓方式图</w:t>
      </w:r>
      <w:bookmarkEnd w:id="7"/>
    </w:p>
    <w:p w:rsidR="00240BCE" w:rsidRDefault="00AC0334" w:rsidP="009C5F33">
      <w:pPr>
        <w:spacing w:afterLines="50" w:line="520" w:lineRule="exact"/>
        <w:ind w:firstLineChars="200" w:firstLine="480"/>
        <w:rPr>
          <w:sz w:val="24"/>
        </w:rPr>
      </w:pPr>
      <w:bookmarkStart w:id="8" w:name="_Toc18188_WPSOffice_Level1"/>
      <w:r>
        <w:rPr>
          <w:sz w:val="24"/>
        </w:rPr>
        <w:t>6</w:t>
      </w:r>
      <w:r>
        <w:rPr>
          <w:sz w:val="24"/>
        </w:rPr>
        <w:t>、地表水系及地表水监测布点图</w:t>
      </w:r>
      <w:bookmarkEnd w:id="8"/>
    </w:p>
    <w:p w:rsidR="00240BCE" w:rsidRDefault="00AC0334" w:rsidP="009C5F33">
      <w:pPr>
        <w:spacing w:afterLines="50" w:line="520" w:lineRule="exact"/>
        <w:ind w:firstLineChars="200" w:firstLine="480"/>
        <w:rPr>
          <w:sz w:val="24"/>
        </w:rPr>
      </w:pPr>
      <w:bookmarkStart w:id="9" w:name="_Toc24063_WPSOffice_Level1"/>
      <w:r>
        <w:rPr>
          <w:sz w:val="24"/>
        </w:rPr>
        <w:t>7</w:t>
      </w:r>
      <w:r>
        <w:rPr>
          <w:sz w:val="24"/>
        </w:rPr>
        <w:t>、土地利用现状及生态评价范围图</w:t>
      </w:r>
      <w:bookmarkEnd w:id="9"/>
    </w:p>
    <w:p w:rsidR="00240BCE" w:rsidRDefault="00AC0334" w:rsidP="009C5F33">
      <w:pPr>
        <w:spacing w:afterLines="50" w:line="520" w:lineRule="exact"/>
        <w:ind w:firstLineChars="200" w:firstLine="480"/>
        <w:rPr>
          <w:sz w:val="24"/>
        </w:rPr>
      </w:pPr>
      <w:bookmarkStart w:id="10" w:name="_Toc30207_WPSOffice_Level1"/>
      <w:r>
        <w:rPr>
          <w:sz w:val="24"/>
        </w:rPr>
        <w:t>8</w:t>
      </w:r>
      <w:r>
        <w:rPr>
          <w:sz w:val="24"/>
        </w:rPr>
        <w:t>、首采区地表沉陷等值线图</w:t>
      </w:r>
      <w:bookmarkEnd w:id="10"/>
    </w:p>
    <w:p w:rsidR="00240BCE" w:rsidRDefault="00AC0334" w:rsidP="009C5F33">
      <w:pPr>
        <w:spacing w:afterLines="50" w:line="520" w:lineRule="exact"/>
        <w:ind w:firstLineChars="200" w:firstLine="480"/>
        <w:rPr>
          <w:sz w:val="24"/>
        </w:rPr>
      </w:pPr>
      <w:bookmarkStart w:id="11" w:name="_Toc22565_WPSOffice_Level1"/>
      <w:r>
        <w:rPr>
          <w:sz w:val="24"/>
        </w:rPr>
        <w:t>9</w:t>
      </w:r>
      <w:r>
        <w:rPr>
          <w:sz w:val="24"/>
        </w:rPr>
        <w:t>、全井田地表沉陷等值线图</w:t>
      </w:r>
      <w:bookmarkEnd w:id="11"/>
    </w:p>
    <w:p w:rsidR="00240BCE" w:rsidRDefault="00AC0334" w:rsidP="009C5F33">
      <w:pPr>
        <w:spacing w:afterLines="50" w:line="520" w:lineRule="exact"/>
        <w:ind w:firstLineChars="200" w:firstLine="480"/>
        <w:rPr>
          <w:sz w:val="24"/>
        </w:rPr>
      </w:pPr>
      <w:bookmarkStart w:id="12" w:name="_Toc12593_WPSOffice_Level1"/>
      <w:r>
        <w:rPr>
          <w:sz w:val="24"/>
        </w:rPr>
        <w:t>10</w:t>
      </w:r>
      <w:r>
        <w:rPr>
          <w:sz w:val="24"/>
        </w:rPr>
        <w:t>、监测布点图</w:t>
      </w:r>
      <w:bookmarkEnd w:id="12"/>
    </w:p>
    <w:p w:rsidR="0006315D" w:rsidRDefault="0006315D" w:rsidP="009C5F33">
      <w:pPr>
        <w:spacing w:afterLines="50" w:line="520" w:lineRule="exact"/>
        <w:ind w:firstLineChars="200" w:firstLine="480"/>
        <w:rPr>
          <w:sz w:val="24"/>
        </w:rPr>
      </w:pPr>
      <w:bookmarkStart w:id="13" w:name="_Toc28105_WPSOffice_Level1"/>
      <w:r>
        <w:rPr>
          <w:sz w:val="24"/>
        </w:rPr>
        <w:t>11</w:t>
      </w:r>
      <w:r>
        <w:rPr>
          <w:sz w:val="24"/>
        </w:rPr>
        <w:t>、土壤环境监测布点图</w:t>
      </w:r>
      <w:bookmarkEnd w:id="13"/>
    </w:p>
    <w:p w:rsidR="0006315D" w:rsidRDefault="0006315D" w:rsidP="0006315D">
      <w:pPr>
        <w:pStyle w:val="a1"/>
        <w:spacing w:afterLines="50" w:line="520" w:lineRule="exact"/>
        <w:ind w:firstLineChars="200" w:firstLine="480"/>
        <w:rPr>
          <w:sz w:val="24"/>
        </w:rPr>
      </w:pPr>
      <w:bookmarkStart w:id="14" w:name="_Toc20027_WPSOffice_Level1"/>
      <w:r>
        <w:rPr>
          <w:sz w:val="24"/>
        </w:rPr>
        <w:t>12</w:t>
      </w:r>
      <w:r>
        <w:rPr>
          <w:sz w:val="24"/>
        </w:rPr>
        <w:t>、</w:t>
      </w:r>
      <w:r>
        <w:rPr>
          <w:rFonts w:hint="eastAsia"/>
          <w:sz w:val="24"/>
        </w:rPr>
        <w:t>水文地质</w:t>
      </w:r>
      <w:r>
        <w:rPr>
          <w:sz w:val="24"/>
        </w:rPr>
        <w:t>综合柱状图</w:t>
      </w:r>
      <w:bookmarkEnd w:id="14"/>
    </w:p>
    <w:p w:rsidR="0006315D" w:rsidRDefault="0006315D" w:rsidP="0006315D">
      <w:pPr>
        <w:pStyle w:val="a1"/>
        <w:spacing w:afterLines="50" w:line="520" w:lineRule="exact"/>
        <w:ind w:firstLineChars="200" w:firstLine="480"/>
        <w:rPr>
          <w:sz w:val="24"/>
        </w:rPr>
      </w:pPr>
      <w:bookmarkStart w:id="15" w:name="_Toc25062_WPSOffice_Level1"/>
      <w:r>
        <w:rPr>
          <w:sz w:val="24"/>
        </w:rPr>
        <w:t>13</w:t>
      </w:r>
      <w:r>
        <w:rPr>
          <w:sz w:val="24"/>
        </w:rPr>
        <w:t>、区域水文地质图</w:t>
      </w:r>
      <w:bookmarkEnd w:id="15"/>
    </w:p>
    <w:p w:rsidR="0006315D" w:rsidRDefault="0006315D" w:rsidP="0006315D">
      <w:pPr>
        <w:pStyle w:val="a1"/>
        <w:spacing w:afterLines="50" w:line="520" w:lineRule="exact"/>
        <w:ind w:firstLineChars="200" w:firstLine="480"/>
        <w:rPr>
          <w:sz w:val="24"/>
        </w:rPr>
      </w:pPr>
      <w:r>
        <w:rPr>
          <w:rFonts w:hint="eastAsia"/>
          <w:sz w:val="24"/>
        </w:rPr>
        <w:t>14</w:t>
      </w:r>
      <w:r>
        <w:rPr>
          <w:rFonts w:hint="eastAsia"/>
          <w:sz w:val="24"/>
        </w:rPr>
        <w:t>、矿区地质图</w:t>
      </w:r>
    </w:p>
    <w:p w:rsidR="0006315D" w:rsidRDefault="0006315D" w:rsidP="0006315D">
      <w:pPr>
        <w:pStyle w:val="a1"/>
        <w:spacing w:afterLines="50" w:line="520" w:lineRule="exact"/>
        <w:ind w:firstLineChars="200" w:firstLine="480"/>
        <w:rPr>
          <w:sz w:val="24"/>
        </w:rPr>
      </w:pPr>
      <w:r>
        <w:rPr>
          <w:rFonts w:hint="eastAsia"/>
          <w:sz w:val="24"/>
        </w:rPr>
        <w:t>15</w:t>
      </w:r>
      <w:r>
        <w:rPr>
          <w:rFonts w:hint="eastAsia"/>
          <w:sz w:val="24"/>
        </w:rPr>
        <w:t>、矿区水文地质剖面</w:t>
      </w:r>
      <w:r>
        <w:rPr>
          <w:sz w:val="24"/>
        </w:rPr>
        <w:t>图</w:t>
      </w:r>
    </w:p>
    <w:p w:rsidR="0006315D" w:rsidRDefault="0006315D" w:rsidP="0006315D">
      <w:pPr>
        <w:pStyle w:val="a1"/>
        <w:spacing w:afterLines="50" w:line="520" w:lineRule="exact"/>
        <w:ind w:firstLineChars="200" w:firstLine="480"/>
        <w:rPr>
          <w:sz w:val="24"/>
        </w:rPr>
      </w:pPr>
      <w:r>
        <w:rPr>
          <w:rFonts w:hint="eastAsia"/>
          <w:sz w:val="24"/>
        </w:rPr>
        <w:t>16</w:t>
      </w:r>
      <w:r>
        <w:rPr>
          <w:rFonts w:hint="eastAsia"/>
          <w:sz w:val="24"/>
        </w:rPr>
        <w:t>、许昌市生态环境管控单元分布图</w:t>
      </w:r>
    </w:p>
    <w:p w:rsidR="0006315D" w:rsidRDefault="0006315D" w:rsidP="0006315D">
      <w:pPr>
        <w:pStyle w:val="a1"/>
        <w:spacing w:afterLines="50" w:line="520" w:lineRule="exact"/>
        <w:ind w:firstLineChars="200" w:firstLine="480"/>
        <w:rPr>
          <w:sz w:val="24"/>
        </w:rPr>
      </w:pPr>
      <w:bookmarkStart w:id="16" w:name="_Toc24783_WPSOffice_Level1"/>
      <w:r>
        <w:rPr>
          <w:sz w:val="24"/>
        </w:rPr>
        <w:t>1</w:t>
      </w:r>
      <w:r>
        <w:rPr>
          <w:rFonts w:hint="eastAsia"/>
          <w:sz w:val="24"/>
        </w:rPr>
        <w:t>7</w:t>
      </w:r>
      <w:r>
        <w:rPr>
          <w:sz w:val="24"/>
        </w:rPr>
        <w:t>、现状照片</w:t>
      </w:r>
      <w:bookmarkEnd w:id="16"/>
    </w:p>
    <w:p w:rsidR="00240BCE" w:rsidRDefault="00AC0334" w:rsidP="009C5F33">
      <w:pPr>
        <w:spacing w:beforeLines="50" w:afterLines="50" w:line="520" w:lineRule="exact"/>
        <w:rPr>
          <w:rFonts w:eastAsia="黑体"/>
          <w:spacing w:val="2"/>
          <w:szCs w:val="28"/>
        </w:rPr>
      </w:pPr>
      <w:r>
        <w:rPr>
          <w:rFonts w:eastAsia="黑体"/>
          <w:spacing w:val="2"/>
          <w:szCs w:val="28"/>
        </w:rPr>
        <w:br w:type="page"/>
      </w:r>
      <w:r>
        <w:rPr>
          <w:rFonts w:eastAsia="黑体"/>
          <w:spacing w:val="2"/>
          <w:szCs w:val="28"/>
        </w:rPr>
        <w:lastRenderedPageBreak/>
        <w:t>附件：</w:t>
      </w:r>
    </w:p>
    <w:p w:rsidR="00240BCE" w:rsidRDefault="00AC0334">
      <w:pPr>
        <w:pStyle w:val="a1"/>
        <w:spacing w:after="0" w:line="520" w:lineRule="exact"/>
        <w:ind w:firstLineChars="200" w:firstLine="480"/>
        <w:rPr>
          <w:sz w:val="24"/>
        </w:rPr>
      </w:pPr>
      <w:r>
        <w:rPr>
          <w:sz w:val="24"/>
        </w:rPr>
        <w:t>附件</w:t>
      </w:r>
      <w:r>
        <w:rPr>
          <w:sz w:val="24"/>
        </w:rPr>
        <w:t xml:space="preserve">1  </w:t>
      </w:r>
      <w:r>
        <w:rPr>
          <w:sz w:val="24"/>
        </w:rPr>
        <w:t>委托书</w:t>
      </w:r>
    </w:p>
    <w:p w:rsidR="00240BCE" w:rsidRDefault="00AC0334">
      <w:pPr>
        <w:pStyle w:val="a1"/>
        <w:spacing w:after="0" w:line="520" w:lineRule="exact"/>
        <w:ind w:firstLineChars="200" w:firstLine="480"/>
        <w:rPr>
          <w:sz w:val="24"/>
        </w:rPr>
      </w:pPr>
      <w:r>
        <w:rPr>
          <w:sz w:val="24"/>
        </w:rPr>
        <w:t>附件</w:t>
      </w:r>
      <w:r>
        <w:rPr>
          <w:sz w:val="24"/>
        </w:rPr>
        <w:t xml:space="preserve">2  </w:t>
      </w:r>
      <w:r>
        <w:rPr>
          <w:sz w:val="24"/>
        </w:rPr>
        <w:t>环评执行标准</w:t>
      </w:r>
    </w:p>
    <w:p w:rsidR="00240BCE" w:rsidRDefault="00AC0334">
      <w:pPr>
        <w:pStyle w:val="a1"/>
        <w:spacing w:after="0" w:line="520" w:lineRule="exact"/>
        <w:ind w:firstLineChars="200" w:firstLine="480"/>
        <w:rPr>
          <w:sz w:val="24"/>
        </w:rPr>
      </w:pPr>
      <w:r>
        <w:rPr>
          <w:sz w:val="24"/>
        </w:rPr>
        <w:t>附件</w:t>
      </w:r>
      <w:r>
        <w:rPr>
          <w:sz w:val="24"/>
        </w:rPr>
        <w:t xml:space="preserve">3  </w:t>
      </w:r>
      <w:r>
        <w:rPr>
          <w:sz w:val="24"/>
        </w:rPr>
        <w:t>采矿许可证</w:t>
      </w:r>
    </w:p>
    <w:p w:rsidR="00240BCE" w:rsidRDefault="00AC0334">
      <w:pPr>
        <w:pStyle w:val="a1"/>
        <w:spacing w:after="0" w:line="520" w:lineRule="exact"/>
        <w:ind w:firstLineChars="200" w:firstLine="480"/>
        <w:rPr>
          <w:sz w:val="24"/>
        </w:rPr>
      </w:pPr>
      <w:r>
        <w:rPr>
          <w:sz w:val="24"/>
        </w:rPr>
        <w:t>附件</w:t>
      </w:r>
      <w:r>
        <w:rPr>
          <w:sz w:val="24"/>
        </w:rPr>
        <w:t xml:space="preserve">4  </w:t>
      </w:r>
      <w:r>
        <w:rPr>
          <w:sz w:val="24"/>
        </w:rPr>
        <w:t>储量报告备案</w:t>
      </w:r>
    </w:p>
    <w:p w:rsidR="00240BCE" w:rsidRDefault="00AC0334">
      <w:pPr>
        <w:pStyle w:val="a1"/>
        <w:spacing w:after="0" w:line="520" w:lineRule="exact"/>
        <w:ind w:firstLineChars="200" w:firstLine="480"/>
        <w:rPr>
          <w:sz w:val="24"/>
        </w:rPr>
      </w:pPr>
      <w:r>
        <w:rPr>
          <w:sz w:val="24"/>
        </w:rPr>
        <w:t>附件</w:t>
      </w:r>
      <w:r>
        <w:rPr>
          <w:sz w:val="24"/>
        </w:rPr>
        <w:t xml:space="preserve">5  </w:t>
      </w:r>
      <w:r>
        <w:rPr>
          <w:sz w:val="24"/>
        </w:rPr>
        <w:t>营业执照</w:t>
      </w:r>
    </w:p>
    <w:p w:rsidR="00240BCE" w:rsidRDefault="00AC0334">
      <w:pPr>
        <w:pStyle w:val="a1"/>
        <w:spacing w:after="0" w:line="520" w:lineRule="exact"/>
        <w:ind w:firstLineChars="200" w:firstLine="480"/>
        <w:rPr>
          <w:sz w:val="24"/>
        </w:rPr>
      </w:pPr>
      <w:r>
        <w:rPr>
          <w:sz w:val="24"/>
        </w:rPr>
        <w:t>附件</w:t>
      </w:r>
      <w:r>
        <w:rPr>
          <w:sz w:val="24"/>
        </w:rPr>
        <w:t xml:space="preserve">6  </w:t>
      </w:r>
      <w:r>
        <w:rPr>
          <w:sz w:val="24"/>
        </w:rPr>
        <w:t>现有工程（原禹州市大山煤业有限公司年产</w:t>
      </w:r>
      <w:r>
        <w:rPr>
          <w:sz w:val="24"/>
        </w:rPr>
        <w:t>15</w:t>
      </w:r>
      <w:r>
        <w:rPr>
          <w:sz w:val="24"/>
        </w:rPr>
        <w:t>万吨煤炭开采技改项目）环评批复</w:t>
      </w:r>
    </w:p>
    <w:p w:rsidR="00240BCE" w:rsidRDefault="00AC0334">
      <w:pPr>
        <w:pStyle w:val="a1"/>
        <w:spacing w:after="0" w:line="520" w:lineRule="exact"/>
        <w:ind w:firstLineChars="200" w:firstLine="480"/>
        <w:rPr>
          <w:sz w:val="24"/>
        </w:rPr>
      </w:pPr>
      <w:r>
        <w:rPr>
          <w:sz w:val="24"/>
        </w:rPr>
        <w:t>附件</w:t>
      </w:r>
      <w:r>
        <w:rPr>
          <w:sz w:val="24"/>
        </w:rPr>
        <w:t xml:space="preserve">7  </w:t>
      </w:r>
      <w:r>
        <w:rPr>
          <w:sz w:val="24"/>
        </w:rPr>
        <w:t>关于禹州市大山煤业有限公司升级改造前名称变更的说明</w:t>
      </w:r>
    </w:p>
    <w:p w:rsidR="00240BCE" w:rsidRDefault="00AC0334">
      <w:pPr>
        <w:pStyle w:val="a1"/>
        <w:spacing w:after="0" w:line="520" w:lineRule="exact"/>
        <w:ind w:firstLineChars="200" w:firstLine="480"/>
        <w:rPr>
          <w:sz w:val="24"/>
        </w:rPr>
      </w:pPr>
      <w:r>
        <w:rPr>
          <w:sz w:val="24"/>
        </w:rPr>
        <w:t>附件</w:t>
      </w:r>
      <w:r>
        <w:rPr>
          <w:sz w:val="24"/>
        </w:rPr>
        <w:t xml:space="preserve">8  </w:t>
      </w:r>
      <w:r>
        <w:rPr>
          <w:sz w:val="24"/>
        </w:rPr>
        <w:t>禹州市煤炭企业兼并重组领导小组办公室禹煤重组办</w:t>
      </w:r>
      <w:r>
        <w:rPr>
          <w:sz w:val="24"/>
        </w:rPr>
        <w:t>[2017]1</w:t>
      </w:r>
      <w:r>
        <w:rPr>
          <w:sz w:val="24"/>
        </w:rPr>
        <w:t>号文《关于批准禹州神火隆庆矿业有限公司进行井下隐患整改的通知》</w:t>
      </w:r>
    </w:p>
    <w:p w:rsidR="00240BCE" w:rsidRDefault="00AC0334">
      <w:pPr>
        <w:pStyle w:val="a1"/>
        <w:spacing w:after="0" w:line="520" w:lineRule="exact"/>
        <w:ind w:firstLineChars="200" w:firstLine="480"/>
        <w:rPr>
          <w:sz w:val="24"/>
        </w:rPr>
      </w:pPr>
      <w:r>
        <w:rPr>
          <w:sz w:val="24"/>
        </w:rPr>
        <w:t>附件</w:t>
      </w:r>
      <w:r>
        <w:rPr>
          <w:sz w:val="24"/>
        </w:rPr>
        <w:t xml:space="preserve">9 </w:t>
      </w:r>
      <w:r>
        <w:rPr>
          <w:sz w:val="24"/>
        </w:rPr>
        <w:t>《河南省工业和信息化厅关于切实做好全省</w:t>
      </w:r>
      <w:r>
        <w:rPr>
          <w:sz w:val="24"/>
        </w:rPr>
        <w:t>30</w:t>
      </w:r>
      <w:r>
        <w:rPr>
          <w:sz w:val="24"/>
        </w:rPr>
        <w:t>万吨</w:t>
      </w:r>
      <w:r>
        <w:rPr>
          <w:sz w:val="24"/>
        </w:rPr>
        <w:t>/</w:t>
      </w:r>
      <w:r>
        <w:rPr>
          <w:sz w:val="24"/>
        </w:rPr>
        <w:t>年以下煤矿分类处置工作的通知》（豫工信办煤行〔</w:t>
      </w:r>
      <w:r>
        <w:rPr>
          <w:sz w:val="24"/>
        </w:rPr>
        <w:t>2020</w:t>
      </w:r>
      <w:r>
        <w:rPr>
          <w:sz w:val="24"/>
        </w:rPr>
        <w:t>〕</w:t>
      </w:r>
      <w:r>
        <w:rPr>
          <w:sz w:val="24"/>
        </w:rPr>
        <w:t>54</w:t>
      </w:r>
      <w:r>
        <w:rPr>
          <w:sz w:val="24"/>
        </w:rPr>
        <w:t>号）</w:t>
      </w:r>
    </w:p>
    <w:p w:rsidR="00240BCE" w:rsidRDefault="00AC0334">
      <w:pPr>
        <w:pStyle w:val="a1"/>
        <w:spacing w:after="0" w:line="520" w:lineRule="exact"/>
        <w:ind w:firstLineChars="200" w:firstLine="480"/>
        <w:rPr>
          <w:sz w:val="24"/>
        </w:rPr>
      </w:pPr>
      <w:r>
        <w:rPr>
          <w:sz w:val="24"/>
        </w:rPr>
        <w:t>附件</w:t>
      </w:r>
      <w:r>
        <w:rPr>
          <w:sz w:val="24"/>
        </w:rPr>
        <w:t xml:space="preserve">10  </w:t>
      </w:r>
      <w:r>
        <w:rPr>
          <w:sz w:val="24"/>
        </w:rPr>
        <w:t>初步设计批复</w:t>
      </w:r>
    </w:p>
    <w:p w:rsidR="00240BCE" w:rsidRDefault="00AC0334">
      <w:pPr>
        <w:pStyle w:val="a1"/>
        <w:spacing w:after="0" w:line="520" w:lineRule="exact"/>
        <w:ind w:firstLineChars="200" w:firstLine="480"/>
        <w:rPr>
          <w:sz w:val="24"/>
        </w:rPr>
      </w:pPr>
      <w:r>
        <w:rPr>
          <w:sz w:val="24"/>
        </w:rPr>
        <w:t>附件</w:t>
      </w:r>
      <w:r>
        <w:rPr>
          <w:sz w:val="24"/>
        </w:rPr>
        <w:t xml:space="preserve">11  </w:t>
      </w:r>
      <w:r>
        <w:rPr>
          <w:sz w:val="24"/>
        </w:rPr>
        <w:t>产能置换批复</w:t>
      </w:r>
    </w:p>
    <w:p w:rsidR="00240BCE" w:rsidRDefault="00AC0334">
      <w:pPr>
        <w:pStyle w:val="a1"/>
        <w:spacing w:after="0" w:line="520" w:lineRule="exact"/>
        <w:ind w:firstLineChars="200" w:firstLine="480"/>
        <w:rPr>
          <w:sz w:val="24"/>
        </w:rPr>
      </w:pPr>
      <w:r>
        <w:rPr>
          <w:sz w:val="24"/>
        </w:rPr>
        <w:t>附件</w:t>
      </w:r>
      <w:r>
        <w:rPr>
          <w:sz w:val="24"/>
        </w:rPr>
        <w:t xml:space="preserve">12  </w:t>
      </w:r>
      <w:r>
        <w:rPr>
          <w:sz w:val="24"/>
        </w:rPr>
        <w:t>矸石供销合同及煤矸石砖厂环评批复</w:t>
      </w:r>
    </w:p>
    <w:p w:rsidR="00240BCE" w:rsidRDefault="00AC0334">
      <w:pPr>
        <w:pStyle w:val="a1"/>
        <w:spacing w:after="0" w:line="520" w:lineRule="exact"/>
        <w:ind w:firstLineChars="200" w:firstLine="480"/>
        <w:rPr>
          <w:sz w:val="24"/>
        </w:rPr>
      </w:pPr>
      <w:r>
        <w:rPr>
          <w:sz w:val="24"/>
        </w:rPr>
        <w:t>附件</w:t>
      </w:r>
      <w:r>
        <w:rPr>
          <w:sz w:val="24"/>
        </w:rPr>
        <w:t xml:space="preserve">13  </w:t>
      </w:r>
      <w:r>
        <w:rPr>
          <w:sz w:val="24"/>
        </w:rPr>
        <w:t>环境保护部关于《河南省平顶山矿区总体规划环境影响报告书》的审查意见</w:t>
      </w:r>
    </w:p>
    <w:p w:rsidR="00240BCE" w:rsidRDefault="00AC0334">
      <w:pPr>
        <w:pStyle w:val="a1"/>
        <w:spacing w:after="0" w:line="520" w:lineRule="exact"/>
        <w:ind w:firstLineChars="200" w:firstLine="480"/>
        <w:rPr>
          <w:sz w:val="24"/>
        </w:rPr>
      </w:pPr>
      <w:r>
        <w:rPr>
          <w:sz w:val="24"/>
        </w:rPr>
        <w:t>附件</w:t>
      </w:r>
      <w:r>
        <w:rPr>
          <w:sz w:val="24"/>
        </w:rPr>
        <w:t xml:space="preserve">14  </w:t>
      </w:r>
      <w:r>
        <w:rPr>
          <w:sz w:val="24"/>
        </w:rPr>
        <w:t>搬迁协议</w:t>
      </w:r>
    </w:p>
    <w:p w:rsidR="0006315D" w:rsidRDefault="0006315D" w:rsidP="0006315D">
      <w:pPr>
        <w:pStyle w:val="a1"/>
        <w:spacing w:after="0" w:line="520" w:lineRule="exact"/>
        <w:ind w:firstLineChars="200" w:firstLine="480"/>
        <w:rPr>
          <w:sz w:val="24"/>
        </w:rPr>
      </w:pPr>
      <w:bookmarkStart w:id="17" w:name="_Toc27522_WPSOffice_Level1"/>
      <w:bookmarkStart w:id="18" w:name="_Toc79668604"/>
      <w:r>
        <w:rPr>
          <w:sz w:val="24"/>
        </w:rPr>
        <w:t>附件</w:t>
      </w:r>
      <w:r>
        <w:rPr>
          <w:sz w:val="24"/>
        </w:rPr>
        <w:t xml:space="preserve">15  </w:t>
      </w:r>
      <w:r>
        <w:rPr>
          <w:sz w:val="24"/>
        </w:rPr>
        <w:t>搬迁安置方案</w:t>
      </w:r>
    </w:p>
    <w:p w:rsidR="0006315D" w:rsidRDefault="0006315D" w:rsidP="0006315D">
      <w:pPr>
        <w:pStyle w:val="a1"/>
        <w:spacing w:after="0" w:line="520" w:lineRule="exact"/>
        <w:ind w:firstLineChars="200" w:firstLine="480"/>
        <w:rPr>
          <w:sz w:val="24"/>
        </w:rPr>
      </w:pPr>
      <w:r>
        <w:rPr>
          <w:sz w:val="24"/>
        </w:rPr>
        <w:t>附件</w:t>
      </w:r>
      <w:r>
        <w:rPr>
          <w:sz w:val="24"/>
        </w:rPr>
        <w:t xml:space="preserve">16  </w:t>
      </w:r>
      <w:r>
        <w:rPr>
          <w:sz w:val="24"/>
        </w:rPr>
        <w:t>排污许可证</w:t>
      </w:r>
    </w:p>
    <w:p w:rsidR="0006315D" w:rsidRDefault="0006315D" w:rsidP="0006315D">
      <w:pPr>
        <w:pStyle w:val="a1"/>
        <w:spacing w:after="0" w:line="520" w:lineRule="exact"/>
        <w:ind w:firstLineChars="200" w:firstLine="480"/>
        <w:rPr>
          <w:sz w:val="24"/>
        </w:rPr>
      </w:pPr>
      <w:r>
        <w:rPr>
          <w:sz w:val="24"/>
        </w:rPr>
        <w:t>附件</w:t>
      </w:r>
      <w:r>
        <w:rPr>
          <w:sz w:val="24"/>
        </w:rPr>
        <w:t xml:space="preserve">17  </w:t>
      </w:r>
      <w:r w:rsidR="004D5CBC">
        <w:rPr>
          <w:rFonts w:hint="eastAsia"/>
          <w:sz w:val="24"/>
        </w:rPr>
        <w:t>原煤</w:t>
      </w:r>
      <w:r w:rsidR="004D5CBC" w:rsidRPr="004D5CBC">
        <w:rPr>
          <w:rFonts w:hint="eastAsia"/>
          <w:sz w:val="24"/>
        </w:rPr>
        <w:t>销售协议及</w:t>
      </w:r>
      <w:r w:rsidR="004D5CBC">
        <w:rPr>
          <w:rFonts w:hint="eastAsia"/>
          <w:sz w:val="24"/>
        </w:rPr>
        <w:t>选煤厂（</w:t>
      </w:r>
      <w:r w:rsidR="004D5CBC" w:rsidRPr="004D5CBC">
        <w:rPr>
          <w:rFonts w:hint="eastAsia"/>
          <w:sz w:val="24"/>
        </w:rPr>
        <w:t>接纳方</w:t>
      </w:r>
      <w:r w:rsidR="004D5CBC">
        <w:rPr>
          <w:rFonts w:hint="eastAsia"/>
          <w:sz w:val="24"/>
        </w:rPr>
        <w:t>）</w:t>
      </w:r>
      <w:r w:rsidR="004D5CBC" w:rsidRPr="004D5CBC">
        <w:rPr>
          <w:rFonts w:hint="eastAsia"/>
          <w:sz w:val="24"/>
        </w:rPr>
        <w:t>验收批复</w:t>
      </w:r>
      <w:r w:rsidR="00826435">
        <w:rPr>
          <w:rFonts w:hint="eastAsia"/>
          <w:sz w:val="24"/>
        </w:rPr>
        <w:t>、营业执照</w:t>
      </w:r>
    </w:p>
    <w:p w:rsidR="0006315D" w:rsidRDefault="0006315D" w:rsidP="0006315D">
      <w:pPr>
        <w:spacing w:line="520" w:lineRule="exact"/>
        <w:ind w:firstLineChars="200" w:firstLine="480"/>
        <w:rPr>
          <w:sz w:val="24"/>
        </w:rPr>
      </w:pPr>
      <w:r>
        <w:rPr>
          <w:sz w:val="24"/>
        </w:rPr>
        <w:t>附件</w:t>
      </w:r>
      <w:r>
        <w:rPr>
          <w:sz w:val="24"/>
        </w:rPr>
        <w:t>1</w:t>
      </w:r>
      <w:r w:rsidR="0051692B">
        <w:rPr>
          <w:rFonts w:hint="eastAsia"/>
          <w:sz w:val="24"/>
        </w:rPr>
        <w:t>8</w:t>
      </w:r>
      <w:r>
        <w:rPr>
          <w:sz w:val="24"/>
        </w:rPr>
        <w:t xml:space="preserve">  </w:t>
      </w:r>
      <w:r>
        <w:rPr>
          <w:sz w:val="24"/>
        </w:rPr>
        <w:t>监测报告</w:t>
      </w:r>
    </w:p>
    <w:p w:rsidR="00E9287C" w:rsidRDefault="0006315D" w:rsidP="0006315D">
      <w:pPr>
        <w:pStyle w:val="a1"/>
        <w:spacing w:after="0" w:line="520" w:lineRule="exact"/>
        <w:ind w:firstLineChars="200" w:firstLine="480"/>
        <w:rPr>
          <w:sz w:val="24"/>
        </w:rPr>
      </w:pPr>
      <w:r>
        <w:rPr>
          <w:sz w:val="24"/>
        </w:rPr>
        <w:t>附件</w:t>
      </w:r>
      <w:r w:rsidR="0051692B">
        <w:rPr>
          <w:rFonts w:hint="eastAsia"/>
          <w:sz w:val="24"/>
        </w:rPr>
        <w:t>19</w:t>
      </w:r>
      <w:r>
        <w:rPr>
          <w:sz w:val="24"/>
        </w:rPr>
        <w:t xml:space="preserve">  </w:t>
      </w:r>
      <w:r>
        <w:rPr>
          <w:sz w:val="24"/>
        </w:rPr>
        <w:t>放射性检测报告</w:t>
      </w:r>
    </w:p>
    <w:p w:rsidR="004D5CBC" w:rsidRDefault="004D5CBC" w:rsidP="0006315D">
      <w:pPr>
        <w:pStyle w:val="a1"/>
        <w:spacing w:after="0" w:line="520" w:lineRule="exact"/>
        <w:ind w:firstLineChars="200" w:firstLine="480"/>
        <w:rPr>
          <w:sz w:val="24"/>
        </w:rPr>
      </w:pPr>
      <w:r>
        <w:rPr>
          <w:rFonts w:hint="eastAsia"/>
          <w:sz w:val="24"/>
        </w:rPr>
        <w:t>附件</w:t>
      </w:r>
      <w:r>
        <w:rPr>
          <w:rFonts w:hint="eastAsia"/>
          <w:sz w:val="24"/>
        </w:rPr>
        <w:t>2</w:t>
      </w:r>
      <w:r w:rsidR="0051692B">
        <w:rPr>
          <w:rFonts w:hint="eastAsia"/>
          <w:sz w:val="24"/>
        </w:rPr>
        <w:t>0</w:t>
      </w:r>
      <w:r>
        <w:rPr>
          <w:rFonts w:hint="eastAsia"/>
          <w:sz w:val="24"/>
        </w:rPr>
        <w:t xml:space="preserve">  </w:t>
      </w:r>
      <w:r>
        <w:rPr>
          <w:rFonts w:hint="eastAsia"/>
          <w:sz w:val="24"/>
        </w:rPr>
        <w:t>专家评审意见及专家名单</w:t>
      </w:r>
    </w:p>
    <w:p w:rsidR="004D5CBC" w:rsidRDefault="004D5CBC" w:rsidP="0006315D">
      <w:pPr>
        <w:pStyle w:val="a1"/>
        <w:spacing w:after="0" w:line="520" w:lineRule="exact"/>
        <w:ind w:firstLineChars="200" w:firstLine="480"/>
        <w:rPr>
          <w:sz w:val="24"/>
        </w:rPr>
        <w:sectPr w:rsidR="004D5CBC" w:rsidSect="00102D0F">
          <w:pgSz w:w="11906" w:h="16838"/>
          <w:pgMar w:top="1440" w:right="1701" w:bottom="1558" w:left="1701" w:header="851" w:footer="992" w:gutter="0"/>
          <w:pgNumType w:fmt="upperRoman" w:start="1"/>
          <w:cols w:space="720"/>
          <w:docGrid w:linePitch="312"/>
        </w:sectPr>
      </w:pPr>
    </w:p>
    <w:p w:rsidR="00240BCE" w:rsidRDefault="00AC0334">
      <w:pPr>
        <w:pStyle w:val="1"/>
        <w:spacing w:before="120" w:after="120" w:line="360" w:lineRule="auto"/>
        <w:jc w:val="center"/>
        <w:rPr>
          <w:rFonts w:eastAsia="黑体"/>
          <w:b w:val="0"/>
          <w:bCs w:val="0"/>
          <w:sz w:val="36"/>
          <w:szCs w:val="36"/>
        </w:rPr>
      </w:pPr>
      <w:bookmarkStart w:id="19" w:name="_Toc81934352"/>
      <w:r>
        <w:rPr>
          <w:rFonts w:eastAsia="黑体"/>
          <w:b w:val="0"/>
          <w:bCs w:val="0"/>
          <w:sz w:val="36"/>
          <w:szCs w:val="36"/>
        </w:rPr>
        <w:lastRenderedPageBreak/>
        <w:t xml:space="preserve">1 </w:t>
      </w:r>
      <w:bookmarkEnd w:id="17"/>
      <w:bookmarkEnd w:id="18"/>
      <w:r w:rsidR="00AB3E66">
        <w:rPr>
          <w:rFonts w:eastAsia="黑体" w:hint="eastAsia"/>
          <w:b w:val="0"/>
          <w:bCs w:val="0"/>
          <w:sz w:val="36"/>
          <w:szCs w:val="36"/>
        </w:rPr>
        <w:t>概述</w:t>
      </w:r>
      <w:bookmarkEnd w:id="19"/>
    </w:p>
    <w:p w:rsidR="00240BCE" w:rsidRDefault="00AC0334" w:rsidP="009C5F33">
      <w:pPr>
        <w:adjustRightInd w:val="0"/>
        <w:snapToGrid w:val="0"/>
        <w:spacing w:beforeLines="100" w:afterLines="50"/>
        <w:jc w:val="left"/>
        <w:outlineLvl w:val="1"/>
        <w:rPr>
          <w:b/>
          <w:bCs/>
          <w:sz w:val="32"/>
          <w:szCs w:val="32"/>
        </w:rPr>
      </w:pPr>
      <w:bookmarkStart w:id="20" w:name="_Toc21906_WPSOffice_Level2"/>
      <w:bookmarkStart w:id="21" w:name="_Toc81934353"/>
      <w:r>
        <w:rPr>
          <w:b/>
          <w:bCs/>
          <w:sz w:val="32"/>
          <w:szCs w:val="32"/>
        </w:rPr>
        <w:t xml:space="preserve">1.1 </w:t>
      </w:r>
      <w:r>
        <w:rPr>
          <w:b/>
          <w:bCs/>
          <w:sz w:val="32"/>
          <w:szCs w:val="32"/>
        </w:rPr>
        <w:t>项目由来</w:t>
      </w:r>
      <w:bookmarkEnd w:id="20"/>
      <w:bookmarkEnd w:id="21"/>
    </w:p>
    <w:p w:rsidR="00240BCE" w:rsidRDefault="00AC0334">
      <w:pPr>
        <w:spacing w:line="520" w:lineRule="exact"/>
        <w:ind w:firstLineChars="200" w:firstLine="480"/>
        <w:rPr>
          <w:sz w:val="24"/>
        </w:rPr>
      </w:pPr>
      <w:r>
        <w:rPr>
          <w:sz w:val="24"/>
        </w:rPr>
        <w:t>禹州神火隆庆矿业有限公司</w:t>
      </w:r>
      <w:r>
        <w:rPr>
          <w:sz w:val="24"/>
        </w:rPr>
        <w:t>30</w:t>
      </w:r>
      <w:r>
        <w:rPr>
          <w:sz w:val="24"/>
        </w:rPr>
        <w:t>万吨</w:t>
      </w:r>
      <w:r>
        <w:rPr>
          <w:sz w:val="24"/>
        </w:rPr>
        <w:t>/</w:t>
      </w:r>
      <w:r>
        <w:rPr>
          <w:sz w:val="24"/>
        </w:rPr>
        <w:t>年升级改造项目位于河南省禹州煤田北部、蔡寺</w:t>
      </w:r>
      <w:r>
        <w:rPr>
          <w:sz w:val="24"/>
        </w:rPr>
        <w:t>~</w:t>
      </w:r>
      <w:r>
        <w:rPr>
          <w:sz w:val="24"/>
        </w:rPr>
        <w:t>白沙普查区之西南段浅部，行政区划属禹州市鸠山镇管辖，矿井地理坐标：东经</w:t>
      </w:r>
      <w:r>
        <w:rPr>
          <w:sz w:val="24"/>
        </w:rPr>
        <w:t>113°09′09″</w:t>
      </w:r>
      <w:r>
        <w:rPr>
          <w:sz w:val="24"/>
        </w:rPr>
        <w:t>～</w:t>
      </w:r>
      <w:r>
        <w:rPr>
          <w:sz w:val="24"/>
        </w:rPr>
        <w:t>113°10′44″</w:t>
      </w:r>
      <w:r>
        <w:rPr>
          <w:sz w:val="24"/>
        </w:rPr>
        <w:t>，北纬</w:t>
      </w:r>
      <w:r>
        <w:rPr>
          <w:sz w:val="24"/>
        </w:rPr>
        <w:t xml:space="preserve"> 34°11′52″</w:t>
      </w:r>
      <w:r>
        <w:rPr>
          <w:sz w:val="24"/>
        </w:rPr>
        <w:t>～</w:t>
      </w:r>
      <w:r>
        <w:rPr>
          <w:sz w:val="24"/>
        </w:rPr>
        <w:t>34°12′50″</w:t>
      </w:r>
      <w:r>
        <w:rPr>
          <w:sz w:val="24"/>
        </w:rPr>
        <w:t>。矿井东距许昌市</w:t>
      </w:r>
      <w:r>
        <w:rPr>
          <w:sz w:val="24"/>
        </w:rPr>
        <w:t>64km</w:t>
      </w:r>
      <w:r>
        <w:rPr>
          <w:sz w:val="24"/>
        </w:rPr>
        <w:t>、禹州市</w:t>
      </w:r>
      <w:r>
        <w:rPr>
          <w:sz w:val="24"/>
        </w:rPr>
        <w:t>28km</w:t>
      </w:r>
      <w:r>
        <w:rPr>
          <w:sz w:val="24"/>
        </w:rPr>
        <w:t>，西距汝州市</w:t>
      </w:r>
      <w:r>
        <w:rPr>
          <w:sz w:val="24"/>
        </w:rPr>
        <w:t>31km</w:t>
      </w:r>
      <w:r>
        <w:rPr>
          <w:sz w:val="24"/>
        </w:rPr>
        <w:t>，北距鸠山镇</w:t>
      </w:r>
      <w:r>
        <w:rPr>
          <w:sz w:val="24"/>
        </w:rPr>
        <w:t>0.7km</w:t>
      </w:r>
      <w:r>
        <w:rPr>
          <w:sz w:val="24"/>
        </w:rPr>
        <w:t>。北距</w:t>
      </w:r>
      <w:r>
        <w:rPr>
          <w:sz w:val="24"/>
        </w:rPr>
        <w:t>S325</w:t>
      </w:r>
      <w:r>
        <w:rPr>
          <w:sz w:val="24"/>
        </w:rPr>
        <w:t>省道</w:t>
      </w:r>
      <w:r>
        <w:rPr>
          <w:sz w:val="24"/>
        </w:rPr>
        <w:t>0.5km</w:t>
      </w:r>
      <w:r>
        <w:rPr>
          <w:sz w:val="24"/>
        </w:rPr>
        <w:t>，东距</w:t>
      </w:r>
      <w:r>
        <w:rPr>
          <w:sz w:val="24"/>
        </w:rPr>
        <w:t>S236</w:t>
      </w:r>
      <w:r>
        <w:rPr>
          <w:sz w:val="24"/>
        </w:rPr>
        <w:t>省道</w:t>
      </w:r>
      <w:r>
        <w:rPr>
          <w:sz w:val="24"/>
        </w:rPr>
        <w:t>8km</w:t>
      </w:r>
      <w:r>
        <w:rPr>
          <w:sz w:val="24"/>
        </w:rPr>
        <w:t>，南距</w:t>
      </w:r>
      <w:r>
        <w:rPr>
          <w:sz w:val="24"/>
        </w:rPr>
        <w:t>S238</w:t>
      </w:r>
      <w:r>
        <w:rPr>
          <w:sz w:val="24"/>
        </w:rPr>
        <w:t>省道</w:t>
      </w:r>
      <w:r>
        <w:rPr>
          <w:sz w:val="24"/>
        </w:rPr>
        <w:t>26km</w:t>
      </w:r>
      <w:r>
        <w:rPr>
          <w:sz w:val="24"/>
        </w:rPr>
        <w:t>，西距</w:t>
      </w:r>
      <w:r>
        <w:rPr>
          <w:sz w:val="24"/>
        </w:rPr>
        <w:t>S49</w:t>
      </w:r>
      <w:r>
        <w:rPr>
          <w:sz w:val="24"/>
        </w:rPr>
        <w:t>焦桐高速</w:t>
      </w:r>
      <w:r>
        <w:rPr>
          <w:sz w:val="24"/>
        </w:rPr>
        <w:t>14km</w:t>
      </w:r>
      <w:r>
        <w:rPr>
          <w:sz w:val="24"/>
        </w:rPr>
        <w:t>，东</w:t>
      </w:r>
      <w:r>
        <w:rPr>
          <w:sz w:val="24"/>
        </w:rPr>
        <w:t>55km</w:t>
      </w:r>
      <w:r>
        <w:rPr>
          <w:sz w:val="24"/>
        </w:rPr>
        <w:t>有京广铁路长葛火车站。工业场地北</w:t>
      </w:r>
      <w:r>
        <w:rPr>
          <w:sz w:val="24"/>
        </w:rPr>
        <w:t>500m</w:t>
      </w:r>
      <w:r>
        <w:rPr>
          <w:sz w:val="24"/>
        </w:rPr>
        <w:t>处为省道</w:t>
      </w:r>
      <w:r>
        <w:rPr>
          <w:sz w:val="24"/>
        </w:rPr>
        <w:t>S325</w:t>
      </w:r>
      <w:r>
        <w:rPr>
          <w:sz w:val="24"/>
        </w:rPr>
        <w:t>线，已有场外道路与之相连，交通条件便利。</w:t>
      </w:r>
    </w:p>
    <w:p w:rsidR="00240BCE" w:rsidRDefault="00AC0334">
      <w:pPr>
        <w:spacing w:line="520" w:lineRule="exact"/>
        <w:ind w:firstLineChars="200" w:firstLine="480"/>
        <w:rPr>
          <w:color w:val="000000"/>
          <w:sz w:val="24"/>
        </w:rPr>
      </w:pPr>
      <w:r>
        <w:rPr>
          <w:sz w:val="24"/>
        </w:rPr>
        <w:t>禹州神火隆庆矿业有限公司隶属于河南神火集团有限公司下辖的郑州裕中煤业有限公司，注册地位于禹州市鸠山镇，注册资本</w:t>
      </w:r>
      <w:r>
        <w:rPr>
          <w:sz w:val="24"/>
        </w:rPr>
        <w:t>7275.68</w:t>
      </w:r>
      <w:r>
        <w:rPr>
          <w:sz w:val="24"/>
        </w:rPr>
        <w:t>万元，主要从事对煤矿的投资、投资咨询及管理。</w:t>
      </w:r>
    </w:p>
    <w:p w:rsidR="00240BCE" w:rsidRDefault="00AC0334">
      <w:pPr>
        <w:spacing w:line="520" w:lineRule="exact"/>
        <w:ind w:firstLineChars="200" w:firstLine="480"/>
        <w:rPr>
          <w:sz w:val="24"/>
        </w:rPr>
      </w:pPr>
      <w:r>
        <w:rPr>
          <w:sz w:val="24"/>
        </w:rPr>
        <w:t>禹州神火隆庆矿业有限公司前身为禹州市大山煤业有限公司，是由原禹州市鸠山乡东明煤矿、禹州市黄庄一矿及赵沟联办煤矿整合而成，整合后规模为</w:t>
      </w:r>
      <w:r>
        <w:rPr>
          <w:sz w:val="24"/>
        </w:rPr>
        <w:t>15</w:t>
      </w:r>
      <w:r>
        <w:rPr>
          <w:sz w:val="24"/>
        </w:rPr>
        <w:t>万</w:t>
      </w:r>
      <w:r>
        <w:rPr>
          <w:sz w:val="24"/>
        </w:rPr>
        <w:t>t/a</w:t>
      </w:r>
      <w:r>
        <w:rPr>
          <w:sz w:val="24"/>
        </w:rPr>
        <w:t>。</w:t>
      </w:r>
      <w:r>
        <w:rPr>
          <w:sz w:val="24"/>
        </w:rPr>
        <w:t>2005</w:t>
      </w:r>
      <w:r>
        <w:rPr>
          <w:sz w:val="24"/>
        </w:rPr>
        <w:t>年，义马广宇工程设计咨询有限责任公司完成了《禹州市大山煤业有限公司技术改造初步设计》，原河南省煤炭工业局以豫煤行〔</w:t>
      </w:r>
      <w:r>
        <w:rPr>
          <w:sz w:val="24"/>
        </w:rPr>
        <w:t>2006</w:t>
      </w:r>
      <w:r>
        <w:rPr>
          <w:sz w:val="24"/>
        </w:rPr>
        <w:t>〕</w:t>
      </w:r>
      <w:r>
        <w:rPr>
          <w:sz w:val="24"/>
        </w:rPr>
        <w:t>389</w:t>
      </w:r>
      <w:r>
        <w:rPr>
          <w:sz w:val="24"/>
        </w:rPr>
        <w:t>号文批复了该初步设计。</w:t>
      </w:r>
      <w:r>
        <w:rPr>
          <w:sz w:val="24"/>
        </w:rPr>
        <w:t>2005</w:t>
      </w:r>
      <w:r>
        <w:rPr>
          <w:sz w:val="24"/>
        </w:rPr>
        <w:t>年</w:t>
      </w:r>
      <w:r>
        <w:rPr>
          <w:sz w:val="24"/>
        </w:rPr>
        <w:t>10</w:t>
      </w:r>
      <w:r>
        <w:rPr>
          <w:sz w:val="24"/>
        </w:rPr>
        <w:t>月许昌市环保研究所编写完成了《禹州市大山煤业有限公司年产</w:t>
      </w:r>
      <w:r>
        <w:rPr>
          <w:sz w:val="24"/>
        </w:rPr>
        <w:t>15</w:t>
      </w:r>
      <w:r>
        <w:rPr>
          <w:sz w:val="24"/>
        </w:rPr>
        <w:t>万吨煤炭开采技改项目环境影响报告表》，</w:t>
      </w:r>
      <w:r>
        <w:rPr>
          <w:sz w:val="24"/>
        </w:rPr>
        <w:t>2005</w:t>
      </w:r>
      <w:r>
        <w:rPr>
          <w:sz w:val="24"/>
        </w:rPr>
        <w:t>年</w:t>
      </w:r>
      <w:r>
        <w:rPr>
          <w:sz w:val="24"/>
        </w:rPr>
        <w:t>10</w:t>
      </w:r>
      <w:r>
        <w:rPr>
          <w:sz w:val="24"/>
        </w:rPr>
        <w:t>月</w:t>
      </w:r>
      <w:r>
        <w:rPr>
          <w:sz w:val="24"/>
        </w:rPr>
        <w:t>26</w:t>
      </w:r>
      <w:r>
        <w:rPr>
          <w:sz w:val="24"/>
        </w:rPr>
        <w:t>日许昌市环境保护局以许环建审【</w:t>
      </w:r>
      <w:r>
        <w:rPr>
          <w:sz w:val="24"/>
        </w:rPr>
        <w:t>2005</w:t>
      </w:r>
      <w:r>
        <w:rPr>
          <w:sz w:val="24"/>
        </w:rPr>
        <w:t>】</w:t>
      </w:r>
      <w:r>
        <w:rPr>
          <w:sz w:val="24"/>
        </w:rPr>
        <w:t>231</w:t>
      </w:r>
      <w:r>
        <w:rPr>
          <w:sz w:val="24"/>
        </w:rPr>
        <w:t>号批复了该报告表，见附件</w:t>
      </w:r>
      <w:r>
        <w:rPr>
          <w:sz w:val="24"/>
        </w:rPr>
        <w:t>3</w:t>
      </w:r>
      <w:r>
        <w:rPr>
          <w:sz w:val="24"/>
        </w:rPr>
        <w:t>。</w:t>
      </w:r>
    </w:p>
    <w:p w:rsidR="00240BCE" w:rsidRDefault="00AC0334">
      <w:pPr>
        <w:spacing w:line="520" w:lineRule="exact"/>
        <w:ind w:firstLineChars="200" w:firstLine="480"/>
        <w:rPr>
          <w:sz w:val="24"/>
        </w:rPr>
      </w:pPr>
      <w:r>
        <w:rPr>
          <w:sz w:val="24"/>
        </w:rPr>
        <w:t>2010</w:t>
      </w:r>
      <w:r>
        <w:rPr>
          <w:sz w:val="24"/>
        </w:rPr>
        <w:t>年</w:t>
      </w:r>
      <w:r>
        <w:rPr>
          <w:sz w:val="24"/>
        </w:rPr>
        <w:t>5</w:t>
      </w:r>
      <w:r>
        <w:rPr>
          <w:sz w:val="24"/>
        </w:rPr>
        <w:t>月按照河南省兼并重组有关政策的要求，由神火集团对该矿实施兼并重组，重组后于</w:t>
      </w:r>
      <w:r>
        <w:rPr>
          <w:sz w:val="24"/>
        </w:rPr>
        <w:t>2011</w:t>
      </w:r>
      <w:r>
        <w:rPr>
          <w:sz w:val="24"/>
        </w:rPr>
        <w:t>年</w:t>
      </w:r>
      <w:r>
        <w:rPr>
          <w:sz w:val="24"/>
        </w:rPr>
        <w:t>9</w:t>
      </w:r>
      <w:r>
        <w:rPr>
          <w:sz w:val="24"/>
        </w:rPr>
        <w:t>月，矿井更名为禹州神火隆庆矿业有限公司，矿权人变更为</w:t>
      </w:r>
      <w:r>
        <w:rPr>
          <w:sz w:val="24"/>
        </w:rPr>
        <w:t>“</w:t>
      </w:r>
      <w:r>
        <w:rPr>
          <w:sz w:val="24"/>
        </w:rPr>
        <w:t>禹州神火隆庆矿业有限公司</w:t>
      </w:r>
      <w:r>
        <w:rPr>
          <w:sz w:val="24"/>
        </w:rPr>
        <w:t>”</w:t>
      </w:r>
      <w:r>
        <w:rPr>
          <w:sz w:val="24"/>
        </w:rPr>
        <w:t>，证号：</w:t>
      </w:r>
      <w:r>
        <w:rPr>
          <w:sz w:val="24"/>
        </w:rPr>
        <w:t xml:space="preserve"> C4100002009051120020297</w:t>
      </w:r>
      <w:r>
        <w:rPr>
          <w:sz w:val="24"/>
        </w:rPr>
        <w:t>。</w:t>
      </w:r>
      <w:r>
        <w:rPr>
          <w:sz w:val="24"/>
        </w:rPr>
        <w:t xml:space="preserve">2013 </w:t>
      </w:r>
      <w:r>
        <w:rPr>
          <w:sz w:val="24"/>
        </w:rPr>
        <w:t>年</w:t>
      </w:r>
      <w:r>
        <w:rPr>
          <w:sz w:val="24"/>
        </w:rPr>
        <w:t xml:space="preserve"> 9 </w:t>
      </w:r>
      <w:r>
        <w:rPr>
          <w:sz w:val="24"/>
        </w:rPr>
        <w:t>月办理了采矿许可证延续，有效期限</w:t>
      </w:r>
      <w:r>
        <w:rPr>
          <w:sz w:val="24"/>
        </w:rPr>
        <w:t xml:space="preserve"> 2013 </w:t>
      </w:r>
      <w:r>
        <w:rPr>
          <w:sz w:val="24"/>
        </w:rPr>
        <w:t>年</w:t>
      </w:r>
      <w:r>
        <w:rPr>
          <w:sz w:val="24"/>
        </w:rPr>
        <w:t xml:space="preserve"> 9 </w:t>
      </w:r>
      <w:r>
        <w:rPr>
          <w:sz w:val="24"/>
        </w:rPr>
        <w:t>月～</w:t>
      </w:r>
      <w:r>
        <w:rPr>
          <w:sz w:val="24"/>
        </w:rPr>
        <w:t xml:space="preserve">2023 </w:t>
      </w:r>
      <w:r>
        <w:rPr>
          <w:sz w:val="24"/>
        </w:rPr>
        <w:t>年</w:t>
      </w:r>
      <w:r>
        <w:rPr>
          <w:sz w:val="24"/>
        </w:rPr>
        <w:t xml:space="preserve"> 9 </w:t>
      </w:r>
      <w:r>
        <w:rPr>
          <w:sz w:val="24"/>
        </w:rPr>
        <w:t>月。根据采矿许可证，矿区面积</w:t>
      </w:r>
      <w:r>
        <w:rPr>
          <w:sz w:val="24"/>
        </w:rPr>
        <w:t>2.2726km</w:t>
      </w:r>
      <w:r>
        <w:rPr>
          <w:sz w:val="24"/>
          <w:vertAlign w:val="superscript"/>
        </w:rPr>
        <w:t>2</w:t>
      </w:r>
      <w:r>
        <w:rPr>
          <w:sz w:val="24"/>
        </w:rPr>
        <w:t>，生产规模</w:t>
      </w:r>
      <w:r>
        <w:rPr>
          <w:sz w:val="24"/>
        </w:rPr>
        <w:t>15</w:t>
      </w:r>
      <w:r>
        <w:rPr>
          <w:sz w:val="24"/>
        </w:rPr>
        <w:t>万</w:t>
      </w:r>
      <w:r>
        <w:rPr>
          <w:sz w:val="24"/>
        </w:rPr>
        <w:t>t/a</w:t>
      </w:r>
      <w:r>
        <w:rPr>
          <w:sz w:val="24"/>
        </w:rPr>
        <w:t>，开采深度</w:t>
      </w:r>
      <w:r>
        <w:rPr>
          <w:sz w:val="24"/>
        </w:rPr>
        <w:t>+270</w:t>
      </w:r>
      <w:r>
        <w:rPr>
          <w:sz w:val="24"/>
        </w:rPr>
        <w:t>～</w:t>
      </w:r>
      <w:r>
        <w:rPr>
          <w:sz w:val="24"/>
        </w:rPr>
        <w:t>-465m</w:t>
      </w:r>
      <w:r>
        <w:rPr>
          <w:sz w:val="24"/>
        </w:rPr>
        <w:t>。</w:t>
      </w:r>
    </w:p>
    <w:p w:rsidR="00240BCE" w:rsidRDefault="00AC0334" w:rsidP="000C694B">
      <w:pPr>
        <w:spacing w:line="520" w:lineRule="exact"/>
        <w:ind w:firstLineChars="200" w:firstLine="480"/>
        <w:rPr>
          <w:sz w:val="24"/>
        </w:rPr>
      </w:pPr>
      <w:r>
        <w:rPr>
          <w:sz w:val="24"/>
        </w:rPr>
        <w:t>为能够真实反映矿井的建设状况，同时为矿井下一步的建设、生产管理提供</w:t>
      </w:r>
      <w:r>
        <w:rPr>
          <w:sz w:val="24"/>
        </w:rPr>
        <w:lastRenderedPageBreak/>
        <w:t>较为准确、详实的资料，</w:t>
      </w:r>
      <w:r>
        <w:rPr>
          <w:sz w:val="24"/>
        </w:rPr>
        <w:t>2018</w:t>
      </w:r>
      <w:r>
        <w:rPr>
          <w:sz w:val="24"/>
        </w:rPr>
        <w:t>年</w:t>
      </w:r>
      <w:r>
        <w:rPr>
          <w:sz w:val="24"/>
        </w:rPr>
        <w:t>3</w:t>
      </w:r>
      <w:r>
        <w:rPr>
          <w:sz w:val="24"/>
        </w:rPr>
        <w:t>月，隆庆煤矿委托中赟国际工程股份有限公司编制了《禹州神火隆庆矿业有限公司技术改造初步设计（修改）》，该报告获河南省煤炭工业管理办公室以</w:t>
      </w:r>
      <w:r>
        <w:rPr>
          <w:sz w:val="24"/>
        </w:rPr>
        <w:t>“</w:t>
      </w:r>
      <w:r>
        <w:rPr>
          <w:sz w:val="24"/>
        </w:rPr>
        <w:t>豫煤行〔</w:t>
      </w:r>
      <w:r>
        <w:rPr>
          <w:sz w:val="24"/>
        </w:rPr>
        <w:t>2018</w:t>
      </w:r>
      <w:r>
        <w:rPr>
          <w:sz w:val="24"/>
        </w:rPr>
        <w:t>〕</w:t>
      </w:r>
      <w:r>
        <w:rPr>
          <w:sz w:val="24"/>
        </w:rPr>
        <w:t>105</w:t>
      </w:r>
      <w:r>
        <w:rPr>
          <w:sz w:val="24"/>
        </w:rPr>
        <w:t>号</w:t>
      </w:r>
      <w:r>
        <w:rPr>
          <w:sz w:val="24"/>
        </w:rPr>
        <w:t>”</w:t>
      </w:r>
      <w:r>
        <w:rPr>
          <w:sz w:val="24"/>
        </w:rPr>
        <w:t>文批复同意，</w:t>
      </w:r>
      <w:bookmarkStart w:id="22" w:name="_Hlk43744366"/>
      <w:r>
        <w:rPr>
          <w:sz w:val="24"/>
        </w:rPr>
        <w:t>矿井设计生产能力</w:t>
      </w:r>
      <w:r>
        <w:rPr>
          <w:sz w:val="24"/>
        </w:rPr>
        <w:t>0.15Mt/a</w:t>
      </w:r>
      <w:r>
        <w:rPr>
          <w:sz w:val="24"/>
        </w:rPr>
        <w:t>，开采二</w:t>
      </w:r>
      <w:r>
        <w:rPr>
          <w:sz w:val="24"/>
          <w:vertAlign w:val="subscript"/>
        </w:rPr>
        <w:t>1</w:t>
      </w:r>
      <w:r>
        <w:rPr>
          <w:sz w:val="24"/>
        </w:rPr>
        <w:t>、四</w:t>
      </w:r>
      <w:r>
        <w:rPr>
          <w:sz w:val="24"/>
          <w:vertAlign w:val="subscript"/>
        </w:rPr>
        <w:t>2</w:t>
      </w:r>
      <w:r>
        <w:rPr>
          <w:sz w:val="24"/>
        </w:rPr>
        <w:t>煤层，设计前期开采二</w:t>
      </w:r>
      <w:r>
        <w:rPr>
          <w:sz w:val="24"/>
          <w:vertAlign w:val="subscript"/>
        </w:rPr>
        <w:t>1</w:t>
      </w:r>
      <w:r>
        <w:rPr>
          <w:sz w:val="24"/>
        </w:rPr>
        <w:t>煤层，后期开采四</w:t>
      </w:r>
      <w:r>
        <w:rPr>
          <w:sz w:val="24"/>
          <w:vertAlign w:val="subscript"/>
        </w:rPr>
        <w:t>2</w:t>
      </w:r>
      <w:r>
        <w:rPr>
          <w:sz w:val="24"/>
        </w:rPr>
        <w:t>煤层（单独设计），限采标高</w:t>
      </w:r>
      <w:r>
        <w:rPr>
          <w:sz w:val="24"/>
        </w:rPr>
        <w:t>+270</w:t>
      </w:r>
      <w:r>
        <w:rPr>
          <w:sz w:val="24"/>
        </w:rPr>
        <w:t>～</w:t>
      </w:r>
      <w:r>
        <w:rPr>
          <w:sz w:val="24"/>
        </w:rPr>
        <w:t>-465m</w:t>
      </w:r>
      <w:r>
        <w:rPr>
          <w:sz w:val="24"/>
        </w:rPr>
        <w:t>。</w:t>
      </w:r>
      <w:bookmarkEnd w:id="22"/>
      <w:r>
        <w:rPr>
          <w:sz w:val="24"/>
        </w:rPr>
        <w:t>矿井首采工作面采用悬移支架炮采放顶煤采煤工艺，接替工作面采用综合机械化放顶煤采煤工艺。</w:t>
      </w:r>
      <w:r>
        <w:rPr>
          <w:sz w:val="24"/>
        </w:rPr>
        <w:t>2018</w:t>
      </w:r>
      <w:r>
        <w:rPr>
          <w:sz w:val="24"/>
        </w:rPr>
        <w:t>年</w:t>
      </w:r>
      <w:r>
        <w:rPr>
          <w:sz w:val="24"/>
        </w:rPr>
        <w:t>6</w:t>
      </w:r>
      <w:r>
        <w:rPr>
          <w:sz w:val="24"/>
        </w:rPr>
        <w:t>月</w:t>
      </w:r>
      <w:r>
        <w:rPr>
          <w:sz w:val="24"/>
        </w:rPr>
        <w:t>16</w:t>
      </w:r>
      <w:r>
        <w:rPr>
          <w:sz w:val="24"/>
        </w:rPr>
        <w:t>日禹煤重组</w:t>
      </w:r>
      <w:r>
        <w:rPr>
          <w:sz w:val="24"/>
        </w:rPr>
        <w:t>[2018]2</w:t>
      </w:r>
      <w:r>
        <w:rPr>
          <w:sz w:val="24"/>
        </w:rPr>
        <w:t>号文批复同意隆庆矿复工，矿井根据初步设计（豫煤行</w:t>
      </w:r>
      <w:r>
        <w:rPr>
          <w:sz w:val="24"/>
        </w:rPr>
        <w:t>[2018]105</w:t>
      </w:r>
      <w:r>
        <w:rPr>
          <w:sz w:val="24"/>
        </w:rPr>
        <w:t>号）要求进行</w:t>
      </w:r>
      <w:r>
        <w:rPr>
          <w:sz w:val="24"/>
        </w:rPr>
        <w:t>15</w:t>
      </w:r>
      <w:r>
        <w:rPr>
          <w:sz w:val="24"/>
        </w:rPr>
        <w:t>万</w:t>
      </w:r>
      <w:r>
        <w:rPr>
          <w:sz w:val="24"/>
        </w:rPr>
        <w:t>t/a</w:t>
      </w:r>
      <w:r>
        <w:rPr>
          <w:sz w:val="24"/>
        </w:rPr>
        <w:t>技术改造工程。</w:t>
      </w:r>
    </w:p>
    <w:p w:rsidR="00240BCE" w:rsidRDefault="00AC0334">
      <w:pPr>
        <w:adjustRightInd w:val="0"/>
        <w:spacing w:line="520" w:lineRule="exact"/>
        <w:ind w:firstLineChars="200" w:firstLine="480"/>
        <w:rPr>
          <w:sz w:val="24"/>
        </w:rPr>
      </w:pPr>
      <w:r>
        <w:rPr>
          <w:sz w:val="24"/>
        </w:rPr>
        <w:t>根据国家发展改革委《关于印发</w:t>
      </w:r>
      <w:r>
        <w:rPr>
          <w:sz w:val="24"/>
        </w:rPr>
        <w:t>30</w:t>
      </w:r>
      <w:r>
        <w:rPr>
          <w:sz w:val="24"/>
        </w:rPr>
        <w:t>万吨</w:t>
      </w:r>
      <w:r>
        <w:rPr>
          <w:sz w:val="24"/>
        </w:rPr>
        <w:t>/</w:t>
      </w:r>
      <w:r>
        <w:rPr>
          <w:sz w:val="24"/>
        </w:rPr>
        <w:t>年以下煤矿分类处置工作方案的通知》（</w:t>
      </w:r>
      <w:r>
        <w:rPr>
          <w:sz w:val="24"/>
        </w:rPr>
        <w:t>“</w:t>
      </w:r>
      <w:r>
        <w:rPr>
          <w:sz w:val="24"/>
        </w:rPr>
        <w:t>发改能源〔</w:t>
      </w:r>
      <w:r>
        <w:rPr>
          <w:sz w:val="24"/>
        </w:rPr>
        <w:t>2019</w:t>
      </w:r>
      <w:r>
        <w:rPr>
          <w:sz w:val="24"/>
        </w:rPr>
        <w:t>〕</w:t>
      </w:r>
      <w:r>
        <w:rPr>
          <w:sz w:val="24"/>
        </w:rPr>
        <w:t>1377</w:t>
      </w:r>
      <w:r>
        <w:rPr>
          <w:sz w:val="24"/>
        </w:rPr>
        <w:t>号</w:t>
      </w:r>
      <w:r>
        <w:rPr>
          <w:sz w:val="24"/>
        </w:rPr>
        <w:t>”</w:t>
      </w:r>
      <w:r>
        <w:rPr>
          <w:sz w:val="24"/>
        </w:rPr>
        <w:t>）</w:t>
      </w:r>
      <w:r>
        <w:rPr>
          <w:sz w:val="24"/>
        </w:rPr>
        <w:t>“</w:t>
      </w:r>
      <w:r>
        <w:rPr>
          <w:sz w:val="24"/>
        </w:rPr>
        <w:t>支持剩余资源有保障，安全条件较好的煤矿改造提升至</w:t>
      </w:r>
      <w:r>
        <w:rPr>
          <w:sz w:val="24"/>
        </w:rPr>
        <w:t>30</w:t>
      </w:r>
      <w:r>
        <w:rPr>
          <w:sz w:val="24"/>
        </w:rPr>
        <w:t>万吨</w:t>
      </w:r>
      <w:r>
        <w:rPr>
          <w:sz w:val="24"/>
        </w:rPr>
        <w:t>/</w:t>
      </w:r>
      <w:r>
        <w:rPr>
          <w:sz w:val="24"/>
        </w:rPr>
        <w:t>年以上规模并实现机械化开采</w:t>
      </w:r>
      <w:r>
        <w:rPr>
          <w:sz w:val="24"/>
        </w:rPr>
        <w:t>”</w:t>
      </w:r>
      <w:r>
        <w:rPr>
          <w:sz w:val="24"/>
        </w:rPr>
        <w:t>的要求，以及河南省工业和信息化厅《关于切实做好全省</w:t>
      </w:r>
      <w:r>
        <w:rPr>
          <w:sz w:val="24"/>
        </w:rPr>
        <w:t>30</w:t>
      </w:r>
      <w:r>
        <w:rPr>
          <w:sz w:val="24"/>
        </w:rPr>
        <w:t>万吨</w:t>
      </w:r>
      <w:r>
        <w:rPr>
          <w:sz w:val="24"/>
        </w:rPr>
        <w:t>/</w:t>
      </w:r>
      <w:r>
        <w:rPr>
          <w:sz w:val="24"/>
        </w:rPr>
        <w:t>年以下煤矿分类处置工作的通知》（豫工信煤行〔</w:t>
      </w:r>
      <w:r>
        <w:rPr>
          <w:sz w:val="24"/>
        </w:rPr>
        <w:t>2020</w:t>
      </w:r>
      <w:r>
        <w:rPr>
          <w:sz w:val="24"/>
        </w:rPr>
        <w:t>〕</w:t>
      </w:r>
      <w:r>
        <w:rPr>
          <w:sz w:val="24"/>
        </w:rPr>
        <w:t>54</w:t>
      </w:r>
      <w:r>
        <w:rPr>
          <w:sz w:val="24"/>
        </w:rPr>
        <w:t>号）文：禹州神火隆庆矿业有限公司位于河南省</w:t>
      </w:r>
      <w:r>
        <w:rPr>
          <w:sz w:val="24"/>
        </w:rPr>
        <w:t>30</w:t>
      </w:r>
      <w:r>
        <w:rPr>
          <w:sz w:val="24"/>
        </w:rPr>
        <w:t>万吨</w:t>
      </w:r>
      <w:r>
        <w:rPr>
          <w:sz w:val="24"/>
        </w:rPr>
        <w:t>/</w:t>
      </w:r>
      <w:r>
        <w:rPr>
          <w:sz w:val="24"/>
        </w:rPr>
        <w:t>年以下煤矿分类处置中的</w:t>
      </w:r>
      <w:r>
        <w:rPr>
          <w:sz w:val="24"/>
        </w:rPr>
        <w:t>“</w:t>
      </w:r>
      <w:r>
        <w:rPr>
          <w:sz w:val="24"/>
        </w:rPr>
        <w:t>三、具备条件升级改造一批</w:t>
      </w:r>
      <w:r>
        <w:rPr>
          <w:sz w:val="24"/>
        </w:rPr>
        <w:t>”</w:t>
      </w:r>
      <w:r>
        <w:rPr>
          <w:sz w:val="24"/>
        </w:rPr>
        <w:t>名单中，应科学合理实施升级改造，升级改造方案由有资质的单位进行初步设计，按规定程序经批准后方可组织实施。鉴于以上原因，</w:t>
      </w:r>
      <w:r>
        <w:rPr>
          <w:sz w:val="24"/>
        </w:rPr>
        <w:t>2020</w:t>
      </w:r>
      <w:r>
        <w:rPr>
          <w:sz w:val="24"/>
        </w:rPr>
        <w:t>年</w:t>
      </w:r>
      <w:r>
        <w:rPr>
          <w:sz w:val="24"/>
        </w:rPr>
        <w:t>11</w:t>
      </w:r>
      <w:r>
        <w:rPr>
          <w:sz w:val="24"/>
        </w:rPr>
        <w:t>月，隆庆煤矿委托中赟国际工程有限公司编制完成了《禹州神火隆庆矿业有限公司</w:t>
      </w:r>
      <w:r>
        <w:rPr>
          <w:sz w:val="24"/>
        </w:rPr>
        <w:t>30</w:t>
      </w:r>
      <w:r>
        <w:rPr>
          <w:sz w:val="24"/>
        </w:rPr>
        <w:t>万吨</w:t>
      </w:r>
      <w:r>
        <w:rPr>
          <w:sz w:val="24"/>
        </w:rPr>
        <w:t>/</w:t>
      </w:r>
      <w:r>
        <w:rPr>
          <w:sz w:val="24"/>
        </w:rPr>
        <w:t>年升级改造初步设计》，该报告获河南省工业和信息化厅以</w:t>
      </w:r>
      <w:r>
        <w:rPr>
          <w:sz w:val="24"/>
        </w:rPr>
        <w:t>“</w:t>
      </w:r>
      <w:r>
        <w:rPr>
          <w:sz w:val="24"/>
        </w:rPr>
        <w:t>豫工信煤行函〔</w:t>
      </w:r>
      <w:r>
        <w:rPr>
          <w:sz w:val="24"/>
        </w:rPr>
        <w:t>2021</w:t>
      </w:r>
      <w:r>
        <w:rPr>
          <w:sz w:val="24"/>
        </w:rPr>
        <w:t>〕</w:t>
      </w:r>
      <w:r>
        <w:rPr>
          <w:sz w:val="24"/>
        </w:rPr>
        <w:t>4</w:t>
      </w:r>
      <w:r>
        <w:rPr>
          <w:sz w:val="24"/>
        </w:rPr>
        <w:t>号</w:t>
      </w:r>
      <w:r>
        <w:rPr>
          <w:sz w:val="24"/>
        </w:rPr>
        <w:t>”</w:t>
      </w:r>
      <w:r>
        <w:rPr>
          <w:sz w:val="24"/>
        </w:rPr>
        <w:t>文批复，本次升级改造主要将采煤工艺由悬移支架炮采放顶煤工艺变更为综合机械化放顶煤、安全监测监控系统由</w:t>
      </w:r>
      <w:r>
        <w:rPr>
          <w:sz w:val="24"/>
        </w:rPr>
        <w:t>KJ740X</w:t>
      </w:r>
      <w:r>
        <w:rPr>
          <w:sz w:val="24"/>
        </w:rPr>
        <w:t>型升级改造为</w:t>
      </w:r>
      <w:r>
        <w:rPr>
          <w:sz w:val="24"/>
        </w:rPr>
        <w:t>KJ101X</w:t>
      </w:r>
      <w:r>
        <w:rPr>
          <w:sz w:val="24"/>
        </w:rPr>
        <w:t>（</w:t>
      </w:r>
      <w:r>
        <w:rPr>
          <w:sz w:val="24"/>
        </w:rPr>
        <w:t>A</w:t>
      </w:r>
      <w:r>
        <w:rPr>
          <w:sz w:val="24"/>
        </w:rPr>
        <w:t>）型、对矿井现有</w:t>
      </w:r>
      <w:r>
        <w:rPr>
          <w:sz w:val="24"/>
        </w:rPr>
        <w:t>21010</w:t>
      </w:r>
      <w:r>
        <w:rPr>
          <w:sz w:val="24"/>
        </w:rPr>
        <w:t>工作面轨道运输顺槽和胶带运输顺槽进行扩刷以及对矿井现有各系统按照</w:t>
      </w:r>
      <w:r>
        <w:rPr>
          <w:sz w:val="24"/>
        </w:rPr>
        <w:t>0.30Mt/a</w:t>
      </w:r>
      <w:r>
        <w:rPr>
          <w:sz w:val="24"/>
        </w:rPr>
        <w:t>进行校核等，其余均利用现有工程。升级改造后设计生产能力</w:t>
      </w:r>
      <w:r>
        <w:rPr>
          <w:sz w:val="24"/>
        </w:rPr>
        <w:t>0.30Mt/a</w:t>
      </w:r>
      <w:r>
        <w:rPr>
          <w:sz w:val="24"/>
        </w:rPr>
        <w:t>，采用综采放顶煤采煤工艺。</w:t>
      </w:r>
    </w:p>
    <w:p w:rsidR="00240BCE" w:rsidRDefault="00AC0334">
      <w:pPr>
        <w:spacing w:line="520" w:lineRule="exact"/>
        <w:ind w:firstLineChars="200" w:firstLine="480"/>
        <w:rPr>
          <w:sz w:val="24"/>
        </w:rPr>
      </w:pPr>
      <w:r>
        <w:rPr>
          <w:bCs/>
          <w:sz w:val="24"/>
        </w:rPr>
        <w:t>依据《中华人共和国环境保护法》、《中华人民共和国环境影响评价法》和《建设项目环境保护管理条例》的有关规定，该项目应进行环境影响评价。根据《建设项目环境影响评价分类管理名录》（</w:t>
      </w:r>
      <w:r>
        <w:rPr>
          <w:bCs/>
          <w:sz w:val="24"/>
        </w:rPr>
        <w:t>2021</w:t>
      </w:r>
      <w:r>
        <w:rPr>
          <w:bCs/>
          <w:sz w:val="24"/>
        </w:rPr>
        <w:t>年版），本项目属于</w:t>
      </w:r>
      <w:r>
        <w:rPr>
          <w:bCs/>
          <w:sz w:val="24"/>
        </w:rPr>
        <w:t>“</w:t>
      </w:r>
      <w:r>
        <w:rPr>
          <w:bCs/>
          <w:sz w:val="24"/>
        </w:rPr>
        <w:t>四、煤炭开采和洗选业：煤炭开采</w:t>
      </w:r>
      <w:r>
        <w:rPr>
          <w:bCs/>
          <w:sz w:val="24"/>
        </w:rPr>
        <w:t>”</w:t>
      </w:r>
      <w:r>
        <w:rPr>
          <w:bCs/>
          <w:sz w:val="24"/>
        </w:rPr>
        <w:t>，需编制环境影响报告书。为此，</w:t>
      </w:r>
      <w:r>
        <w:rPr>
          <w:sz w:val="24"/>
        </w:rPr>
        <w:t>禹州神火隆庆矿业有限公司</w:t>
      </w:r>
      <w:r>
        <w:rPr>
          <w:bCs/>
          <w:sz w:val="24"/>
        </w:rPr>
        <w:t>委</w:t>
      </w:r>
      <w:r>
        <w:rPr>
          <w:bCs/>
          <w:sz w:val="24"/>
        </w:rPr>
        <w:lastRenderedPageBreak/>
        <w:t>托河南聚力联创环保科技有限公司承担该项目的环评工作。</w:t>
      </w:r>
    </w:p>
    <w:p w:rsidR="00240BCE" w:rsidRDefault="00AC0334" w:rsidP="009C5F33">
      <w:pPr>
        <w:adjustRightInd w:val="0"/>
        <w:snapToGrid w:val="0"/>
        <w:spacing w:beforeLines="100" w:afterLines="50"/>
        <w:jc w:val="left"/>
        <w:outlineLvl w:val="1"/>
        <w:rPr>
          <w:b/>
          <w:bCs/>
          <w:sz w:val="32"/>
          <w:szCs w:val="32"/>
        </w:rPr>
      </w:pPr>
      <w:bookmarkStart w:id="23" w:name="_Toc22427_WPSOffice_Level2"/>
      <w:bookmarkStart w:id="24" w:name="_Toc81934354"/>
      <w:r>
        <w:rPr>
          <w:b/>
          <w:bCs/>
          <w:sz w:val="32"/>
          <w:szCs w:val="32"/>
        </w:rPr>
        <w:t xml:space="preserve">1.2 </w:t>
      </w:r>
      <w:r>
        <w:rPr>
          <w:b/>
          <w:bCs/>
          <w:sz w:val="32"/>
          <w:szCs w:val="32"/>
        </w:rPr>
        <w:t>项目特点</w:t>
      </w:r>
      <w:bookmarkEnd w:id="23"/>
      <w:bookmarkEnd w:id="24"/>
    </w:p>
    <w:p w:rsidR="00240BCE" w:rsidRDefault="00AC0334">
      <w:pPr>
        <w:spacing w:line="520" w:lineRule="exact"/>
        <w:ind w:firstLineChars="200" w:firstLine="480"/>
        <w:rPr>
          <w:sz w:val="24"/>
        </w:rPr>
      </w:pPr>
      <w:r>
        <w:rPr>
          <w:sz w:val="24"/>
        </w:rPr>
        <w:t>本项目为煤炭开采项目，建设地点位于禹州市鸠山镇，矿区面积</w:t>
      </w:r>
      <w:r>
        <w:rPr>
          <w:sz w:val="24"/>
        </w:rPr>
        <w:t>2.2726km</w:t>
      </w:r>
      <w:r>
        <w:rPr>
          <w:sz w:val="24"/>
          <w:vertAlign w:val="superscript"/>
        </w:rPr>
        <w:t>2</w:t>
      </w:r>
      <w:r>
        <w:rPr>
          <w:sz w:val="24"/>
        </w:rPr>
        <w:t>，</w:t>
      </w:r>
      <w:r>
        <w:rPr>
          <w:bCs/>
          <w:sz w:val="24"/>
        </w:rPr>
        <w:t>矿区范围由</w:t>
      </w:r>
      <w:r>
        <w:rPr>
          <w:bCs/>
          <w:sz w:val="24"/>
        </w:rPr>
        <w:t>9</w:t>
      </w:r>
      <w:r>
        <w:rPr>
          <w:bCs/>
          <w:sz w:val="24"/>
        </w:rPr>
        <w:t>个拐点圈定，开采标高</w:t>
      </w:r>
      <w:r>
        <w:rPr>
          <w:bCs/>
          <w:sz w:val="24"/>
        </w:rPr>
        <w:t>+270</w:t>
      </w:r>
      <w:r>
        <w:rPr>
          <w:bCs/>
          <w:sz w:val="24"/>
        </w:rPr>
        <w:t>～</w:t>
      </w:r>
      <w:r>
        <w:rPr>
          <w:bCs/>
          <w:sz w:val="24"/>
        </w:rPr>
        <w:t>-465m</w:t>
      </w:r>
      <w:r>
        <w:rPr>
          <w:bCs/>
          <w:sz w:val="24"/>
        </w:rPr>
        <w:t>，</w:t>
      </w:r>
      <w:r>
        <w:rPr>
          <w:sz w:val="24"/>
        </w:rPr>
        <w:t>设计开采井田范围内的二</w:t>
      </w:r>
      <w:r>
        <w:rPr>
          <w:sz w:val="24"/>
          <w:vertAlign w:val="subscript"/>
        </w:rPr>
        <w:t>1</w:t>
      </w:r>
      <w:r>
        <w:rPr>
          <w:sz w:val="24"/>
        </w:rPr>
        <w:t>煤层（后期开采四</w:t>
      </w:r>
      <w:r>
        <w:rPr>
          <w:sz w:val="24"/>
          <w:vertAlign w:val="subscript"/>
        </w:rPr>
        <w:t>2</w:t>
      </w:r>
      <w:r>
        <w:rPr>
          <w:sz w:val="24"/>
        </w:rPr>
        <w:t>煤层，单独设计、单独环评），开采方式为井工（地下）开采，建设性质属于改扩建（升级改造）项目。</w:t>
      </w:r>
    </w:p>
    <w:p w:rsidR="00240BCE" w:rsidRDefault="00AC0334" w:rsidP="00426BED">
      <w:pPr>
        <w:spacing w:line="520" w:lineRule="exact"/>
        <w:ind w:firstLineChars="200" w:firstLine="482"/>
        <w:rPr>
          <w:sz w:val="24"/>
        </w:rPr>
      </w:pPr>
      <w:r>
        <w:rPr>
          <w:b/>
          <w:sz w:val="24"/>
        </w:rPr>
        <w:t>1.</w:t>
      </w:r>
      <w:r>
        <w:rPr>
          <w:b/>
          <w:sz w:val="24"/>
        </w:rPr>
        <w:t>升级改造前原有项目基本情况：</w:t>
      </w:r>
      <w:r w:rsidR="00426BED">
        <w:rPr>
          <w:sz w:val="24"/>
        </w:rPr>
        <w:t xml:space="preserve"> </w:t>
      </w:r>
      <w:r>
        <w:rPr>
          <w:sz w:val="24"/>
        </w:rPr>
        <w:t>2005</w:t>
      </w:r>
      <w:r>
        <w:rPr>
          <w:sz w:val="24"/>
        </w:rPr>
        <w:t>年</w:t>
      </w:r>
      <w:r>
        <w:rPr>
          <w:sz w:val="24"/>
        </w:rPr>
        <w:t>10</w:t>
      </w:r>
      <w:r>
        <w:rPr>
          <w:sz w:val="24"/>
        </w:rPr>
        <w:t>月编写完成了《禹州市大山煤业有限公司年产</w:t>
      </w:r>
      <w:r>
        <w:rPr>
          <w:sz w:val="24"/>
        </w:rPr>
        <w:t>15</w:t>
      </w:r>
      <w:r>
        <w:rPr>
          <w:sz w:val="24"/>
        </w:rPr>
        <w:t>万吨煤炭开采技改项目环境影响报告表》并取得许昌市环境保护局的环评批复（许环建审【</w:t>
      </w:r>
      <w:r>
        <w:rPr>
          <w:sz w:val="24"/>
        </w:rPr>
        <w:t>2005</w:t>
      </w:r>
      <w:r>
        <w:rPr>
          <w:sz w:val="24"/>
        </w:rPr>
        <w:t>】</w:t>
      </w:r>
      <w:r>
        <w:rPr>
          <w:sz w:val="24"/>
        </w:rPr>
        <w:t>231</w:t>
      </w:r>
      <w:r>
        <w:rPr>
          <w:sz w:val="24"/>
        </w:rPr>
        <w:t>号）。</w:t>
      </w:r>
      <w:r w:rsidR="00426BED">
        <w:rPr>
          <w:sz w:val="24"/>
        </w:rPr>
        <w:t>神火集团对该矿实施兼并重组后</w:t>
      </w:r>
      <w:r w:rsidR="00426BED">
        <w:rPr>
          <w:rFonts w:hint="eastAsia"/>
          <w:sz w:val="24"/>
        </w:rPr>
        <w:t>又于</w:t>
      </w:r>
      <w:r w:rsidR="00426BED">
        <w:rPr>
          <w:rFonts w:hint="eastAsia"/>
          <w:sz w:val="24"/>
        </w:rPr>
        <w:t>2018</w:t>
      </w:r>
      <w:r w:rsidR="00426BED">
        <w:rPr>
          <w:rFonts w:hint="eastAsia"/>
          <w:sz w:val="24"/>
        </w:rPr>
        <w:t>年</w:t>
      </w:r>
      <w:r w:rsidR="00426BED">
        <w:rPr>
          <w:rFonts w:hint="eastAsia"/>
          <w:sz w:val="24"/>
        </w:rPr>
        <w:t>3</w:t>
      </w:r>
      <w:r w:rsidR="00426BED">
        <w:rPr>
          <w:rFonts w:hint="eastAsia"/>
          <w:sz w:val="24"/>
        </w:rPr>
        <w:t>月编制了</w:t>
      </w:r>
      <w:r w:rsidR="00426BED">
        <w:rPr>
          <w:sz w:val="24"/>
        </w:rPr>
        <w:t>《禹州神火隆庆矿业有限公司技术改造初步设计（修改）》</w:t>
      </w:r>
      <w:r w:rsidR="00426BED">
        <w:rPr>
          <w:rFonts w:hint="eastAsia"/>
          <w:sz w:val="24"/>
        </w:rPr>
        <w:t>，该设计</w:t>
      </w:r>
      <w:r>
        <w:rPr>
          <w:sz w:val="24"/>
        </w:rPr>
        <w:t>开采规模为</w:t>
      </w:r>
      <w:r>
        <w:rPr>
          <w:sz w:val="24"/>
        </w:rPr>
        <w:t>15</w:t>
      </w:r>
      <w:r>
        <w:rPr>
          <w:sz w:val="24"/>
        </w:rPr>
        <w:t>万</w:t>
      </w:r>
      <w:r>
        <w:rPr>
          <w:sz w:val="24"/>
        </w:rPr>
        <w:t>t/a</w:t>
      </w:r>
      <w:r>
        <w:rPr>
          <w:sz w:val="24"/>
        </w:rPr>
        <w:t>，限采标高</w:t>
      </w:r>
      <w:r>
        <w:rPr>
          <w:sz w:val="24"/>
        </w:rPr>
        <w:t>+270</w:t>
      </w:r>
      <w:r>
        <w:rPr>
          <w:sz w:val="24"/>
        </w:rPr>
        <w:t>～</w:t>
      </w:r>
      <w:r>
        <w:rPr>
          <w:sz w:val="24"/>
        </w:rPr>
        <w:t>-465m</w:t>
      </w:r>
      <w:r>
        <w:rPr>
          <w:sz w:val="24"/>
        </w:rPr>
        <w:t>，设计开采二</w:t>
      </w:r>
      <w:r>
        <w:rPr>
          <w:sz w:val="24"/>
          <w:vertAlign w:val="subscript"/>
        </w:rPr>
        <w:t>1</w:t>
      </w:r>
      <w:r>
        <w:rPr>
          <w:sz w:val="24"/>
        </w:rPr>
        <w:t>煤层，采用三立井单水平下山开拓，以</w:t>
      </w:r>
      <w:r>
        <w:rPr>
          <w:sz w:val="24"/>
        </w:rPr>
        <w:t>-100m</w:t>
      </w:r>
      <w:r>
        <w:rPr>
          <w:sz w:val="24"/>
        </w:rPr>
        <w:t>水平为界将井田划分为两个采区，</w:t>
      </w:r>
      <w:r>
        <w:rPr>
          <w:sz w:val="24"/>
        </w:rPr>
        <w:t>-100m</w:t>
      </w:r>
      <w:r>
        <w:rPr>
          <w:sz w:val="24"/>
        </w:rPr>
        <w:t>水平以浅为</w:t>
      </w:r>
      <w:r>
        <w:rPr>
          <w:sz w:val="24"/>
        </w:rPr>
        <w:t>21</w:t>
      </w:r>
      <w:r>
        <w:rPr>
          <w:sz w:val="24"/>
        </w:rPr>
        <w:t>采区，</w:t>
      </w:r>
      <w:r>
        <w:rPr>
          <w:sz w:val="24"/>
        </w:rPr>
        <w:t>-100m</w:t>
      </w:r>
      <w:r>
        <w:rPr>
          <w:sz w:val="24"/>
        </w:rPr>
        <w:t>以深为</w:t>
      </w:r>
      <w:r>
        <w:rPr>
          <w:sz w:val="24"/>
        </w:rPr>
        <w:t>22</w:t>
      </w:r>
      <w:r>
        <w:rPr>
          <w:sz w:val="24"/>
        </w:rPr>
        <w:t>采区，均为下山采区；先采</w:t>
      </w:r>
      <w:r>
        <w:rPr>
          <w:sz w:val="24"/>
        </w:rPr>
        <w:t>21</w:t>
      </w:r>
      <w:r>
        <w:rPr>
          <w:sz w:val="24"/>
        </w:rPr>
        <w:t>采区后采</w:t>
      </w:r>
      <w:r>
        <w:rPr>
          <w:sz w:val="24"/>
        </w:rPr>
        <w:t>22</w:t>
      </w:r>
      <w:r>
        <w:rPr>
          <w:sz w:val="24"/>
        </w:rPr>
        <w:t>采区。采用走向长壁采煤法，炮采采煤工艺，悬移液压支架支护，全部跨落法管理顶板。</w:t>
      </w:r>
    </w:p>
    <w:p w:rsidR="00240BCE" w:rsidRDefault="00AC0334">
      <w:pPr>
        <w:spacing w:line="520" w:lineRule="exact"/>
        <w:ind w:firstLineChars="200" w:firstLine="480"/>
        <w:rPr>
          <w:sz w:val="24"/>
        </w:rPr>
      </w:pPr>
      <w:r>
        <w:rPr>
          <w:sz w:val="24"/>
        </w:rPr>
        <w:t>矿井属低瓦斯矿井，通风采用机械抽出式，由主立井、副立井进风，回风井回风。设置一个工业场地，占地面积</w:t>
      </w:r>
      <w:r>
        <w:rPr>
          <w:sz w:val="24"/>
        </w:rPr>
        <w:t>1.</w:t>
      </w:r>
      <w:r w:rsidR="00257B79">
        <w:rPr>
          <w:rFonts w:hint="eastAsia"/>
          <w:sz w:val="24"/>
        </w:rPr>
        <w:t>92</w:t>
      </w:r>
      <w:r>
        <w:rPr>
          <w:sz w:val="24"/>
        </w:rPr>
        <w:t>hm</w:t>
      </w:r>
      <w:r>
        <w:rPr>
          <w:sz w:val="24"/>
          <w:vertAlign w:val="superscript"/>
        </w:rPr>
        <w:t>2</w:t>
      </w:r>
      <w:r>
        <w:rPr>
          <w:sz w:val="24"/>
        </w:rPr>
        <w:t>，布设主立井、副立井、回风立井、</w:t>
      </w:r>
      <w:r w:rsidR="00802A62">
        <w:rPr>
          <w:sz w:val="24"/>
        </w:rPr>
        <w:t>储煤库</w:t>
      </w:r>
      <w:r>
        <w:rPr>
          <w:sz w:val="24"/>
        </w:rPr>
        <w:t>以及办公楼、职工宿舍、食堂、机修车间等。</w:t>
      </w:r>
    </w:p>
    <w:p w:rsidR="00240BCE" w:rsidRPr="00456B20" w:rsidRDefault="00426BED" w:rsidP="00456B20">
      <w:pPr>
        <w:spacing w:line="520" w:lineRule="exact"/>
        <w:ind w:firstLineChars="200" w:firstLine="482"/>
        <w:rPr>
          <w:b/>
          <w:i/>
          <w:sz w:val="24"/>
          <w:u w:val="single"/>
        </w:rPr>
      </w:pPr>
      <w:r w:rsidRPr="00456B20">
        <w:rPr>
          <w:b/>
          <w:i/>
          <w:sz w:val="24"/>
          <w:u w:val="single"/>
        </w:rPr>
        <w:t>2018</w:t>
      </w:r>
      <w:r w:rsidRPr="00456B20">
        <w:rPr>
          <w:b/>
          <w:i/>
          <w:sz w:val="24"/>
          <w:u w:val="single"/>
        </w:rPr>
        <w:t>年</w:t>
      </w:r>
      <w:r w:rsidRPr="00456B20">
        <w:rPr>
          <w:b/>
          <w:i/>
          <w:sz w:val="24"/>
          <w:u w:val="single"/>
        </w:rPr>
        <w:t>6</w:t>
      </w:r>
      <w:r w:rsidRPr="00456B20">
        <w:rPr>
          <w:b/>
          <w:i/>
          <w:sz w:val="24"/>
          <w:u w:val="single"/>
        </w:rPr>
        <w:t>月</w:t>
      </w:r>
      <w:r w:rsidRPr="00456B20">
        <w:rPr>
          <w:b/>
          <w:i/>
          <w:sz w:val="24"/>
          <w:u w:val="single"/>
        </w:rPr>
        <w:t>16</w:t>
      </w:r>
      <w:r w:rsidRPr="00456B20">
        <w:rPr>
          <w:b/>
          <w:i/>
          <w:sz w:val="24"/>
          <w:u w:val="single"/>
        </w:rPr>
        <w:t>日禹煤重组</w:t>
      </w:r>
      <w:r w:rsidRPr="00456B20">
        <w:rPr>
          <w:b/>
          <w:i/>
          <w:sz w:val="24"/>
          <w:u w:val="single"/>
        </w:rPr>
        <w:t>[2018]2</w:t>
      </w:r>
      <w:r w:rsidRPr="00456B20">
        <w:rPr>
          <w:b/>
          <w:i/>
          <w:sz w:val="24"/>
          <w:u w:val="single"/>
        </w:rPr>
        <w:t>号文批复同意隆庆矿复工</w:t>
      </w:r>
      <w:r w:rsidRPr="00456B20">
        <w:rPr>
          <w:rFonts w:hint="eastAsia"/>
          <w:b/>
          <w:i/>
          <w:sz w:val="24"/>
          <w:u w:val="single"/>
        </w:rPr>
        <w:t>后</w:t>
      </w:r>
      <w:r w:rsidRPr="00456B20">
        <w:rPr>
          <w:b/>
          <w:i/>
          <w:sz w:val="24"/>
          <w:u w:val="single"/>
        </w:rPr>
        <w:t>，</w:t>
      </w:r>
      <w:r w:rsidRPr="00456B20">
        <w:rPr>
          <w:rFonts w:hint="eastAsia"/>
          <w:b/>
          <w:i/>
          <w:sz w:val="24"/>
          <w:u w:val="single"/>
        </w:rPr>
        <w:t>即根据该初步设计（修改）进行改造</w:t>
      </w:r>
      <w:r w:rsidRPr="00456B20">
        <w:rPr>
          <w:b/>
          <w:i/>
          <w:sz w:val="24"/>
          <w:u w:val="single"/>
        </w:rPr>
        <w:t>。</w:t>
      </w:r>
      <w:r w:rsidRPr="00456B20">
        <w:rPr>
          <w:rFonts w:hint="eastAsia"/>
          <w:b/>
          <w:i/>
          <w:sz w:val="24"/>
          <w:u w:val="single"/>
        </w:rPr>
        <w:t>井下一直处于通风排水状态，地面部分环境保护措施和设施未落实到位。</w:t>
      </w:r>
    </w:p>
    <w:p w:rsidR="00240BCE" w:rsidRDefault="00AC0334">
      <w:pPr>
        <w:spacing w:line="520" w:lineRule="exact"/>
        <w:ind w:firstLineChars="200" w:firstLine="482"/>
        <w:rPr>
          <w:sz w:val="24"/>
        </w:rPr>
      </w:pPr>
      <w:r>
        <w:rPr>
          <w:b/>
          <w:sz w:val="24"/>
        </w:rPr>
        <w:t>2.</w:t>
      </w:r>
      <w:r>
        <w:rPr>
          <w:b/>
          <w:sz w:val="24"/>
        </w:rPr>
        <w:t>本次升级改造情况：</w:t>
      </w:r>
      <w:r>
        <w:rPr>
          <w:sz w:val="24"/>
        </w:rPr>
        <w:t>根据</w:t>
      </w:r>
      <w:r w:rsidR="00456B20">
        <w:rPr>
          <w:sz w:val="24"/>
        </w:rPr>
        <w:t>30</w:t>
      </w:r>
      <w:r w:rsidR="00456B20">
        <w:rPr>
          <w:sz w:val="24"/>
        </w:rPr>
        <w:t>万吨</w:t>
      </w:r>
      <w:r w:rsidR="00456B20">
        <w:rPr>
          <w:sz w:val="24"/>
        </w:rPr>
        <w:t>/</w:t>
      </w:r>
      <w:r w:rsidR="00456B20">
        <w:rPr>
          <w:sz w:val="24"/>
        </w:rPr>
        <w:t>年升级改造初步设计</w:t>
      </w:r>
      <w:r>
        <w:rPr>
          <w:sz w:val="24"/>
        </w:rPr>
        <w:t>，本次升级改造项目设计生产能力由</w:t>
      </w:r>
      <w:r>
        <w:rPr>
          <w:sz w:val="24"/>
        </w:rPr>
        <w:t>15</w:t>
      </w:r>
      <w:r>
        <w:rPr>
          <w:sz w:val="24"/>
        </w:rPr>
        <w:t>万</w:t>
      </w:r>
      <w:r>
        <w:rPr>
          <w:sz w:val="24"/>
        </w:rPr>
        <w:t>t/a</w:t>
      </w:r>
      <w:r>
        <w:rPr>
          <w:sz w:val="24"/>
        </w:rPr>
        <w:t>扩大为</w:t>
      </w:r>
      <w:r>
        <w:rPr>
          <w:sz w:val="24"/>
        </w:rPr>
        <w:t>30</w:t>
      </w:r>
      <w:r>
        <w:rPr>
          <w:sz w:val="24"/>
        </w:rPr>
        <w:t>万</w:t>
      </w:r>
      <w:r>
        <w:rPr>
          <w:sz w:val="24"/>
        </w:rPr>
        <w:t>t/a</w:t>
      </w:r>
      <w:r>
        <w:rPr>
          <w:sz w:val="24"/>
        </w:rPr>
        <w:t>，开采方式为井工（地下）开采，本次设计仅开采二</w:t>
      </w:r>
      <w:r>
        <w:rPr>
          <w:sz w:val="24"/>
          <w:vertAlign w:val="subscript"/>
        </w:rPr>
        <w:t>1</w:t>
      </w:r>
      <w:r>
        <w:rPr>
          <w:sz w:val="24"/>
        </w:rPr>
        <w:t>煤层，</w:t>
      </w:r>
      <w:r>
        <w:rPr>
          <w:bCs/>
          <w:sz w:val="24"/>
        </w:rPr>
        <w:t>保有资源储量</w:t>
      </w:r>
      <w:r>
        <w:rPr>
          <w:bCs/>
          <w:sz w:val="24"/>
        </w:rPr>
        <w:t>795.6</w:t>
      </w:r>
      <w:r>
        <w:rPr>
          <w:bCs/>
          <w:sz w:val="24"/>
        </w:rPr>
        <w:t>万</w:t>
      </w:r>
      <w:r>
        <w:rPr>
          <w:bCs/>
          <w:sz w:val="24"/>
        </w:rPr>
        <w:t>t</w:t>
      </w:r>
      <w:r>
        <w:rPr>
          <w:bCs/>
          <w:sz w:val="24"/>
        </w:rPr>
        <w:t>，设计资源储量为</w:t>
      </w:r>
      <w:r>
        <w:rPr>
          <w:bCs/>
          <w:sz w:val="24"/>
        </w:rPr>
        <w:t>650.3</w:t>
      </w:r>
      <w:r>
        <w:rPr>
          <w:bCs/>
          <w:sz w:val="24"/>
        </w:rPr>
        <w:t>万</w:t>
      </w:r>
      <w:r>
        <w:rPr>
          <w:bCs/>
          <w:sz w:val="24"/>
        </w:rPr>
        <w:t>t</w:t>
      </w:r>
      <w:r>
        <w:rPr>
          <w:bCs/>
          <w:sz w:val="24"/>
        </w:rPr>
        <w:t>，设计可采储量</w:t>
      </w:r>
      <w:r>
        <w:rPr>
          <w:bCs/>
          <w:sz w:val="24"/>
        </w:rPr>
        <w:t>486.98</w:t>
      </w:r>
      <w:r>
        <w:rPr>
          <w:bCs/>
          <w:sz w:val="24"/>
        </w:rPr>
        <w:t>万</w:t>
      </w:r>
      <w:r>
        <w:rPr>
          <w:bCs/>
          <w:sz w:val="24"/>
        </w:rPr>
        <w:t>t</w:t>
      </w:r>
      <w:r>
        <w:rPr>
          <w:bCs/>
          <w:sz w:val="24"/>
        </w:rPr>
        <w:t>，设计生产能力为</w:t>
      </w:r>
      <w:r>
        <w:rPr>
          <w:bCs/>
          <w:sz w:val="24"/>
        </w:rPr>
        <w:t>30</w:t>
      </w:r>
      <w:r>
        <w:rPr>
          <w:bCs/>
          <w:sz w:val="24"/>
        </w:rPr>
        <w:t>万</w:t>
      </w:r>
      <w:r>
        <w:rPr>
          <w:bCs/>
          <w:sz w:val="24"/>
        </w:rPr>
        <w:t>t/a</w:t>
      </w:r>
      <w:r>
        <w:rPr>
          <w:sz w:val="24"/>
        </w:rPr>
        <w:t>，</w:t>
      </w:r>
      <w:r>
        <w:rPr>
          <w:bCs/>
          <w:sz w:val="24"/>
        </w:rPr>
        <w:t>设计服务年限为</w:t>
      </w:r>
      <w:r>
        <w:rPr>
          <w:bCs/>
          <w:sz w:val="24"/>
        </w:rPr>
        <w:t>11.6a</w:t>
      </w:r>
      <w:r>
        <w:rPr>
          <w:bCs/>
          <w:sz w:val="24"/>
        </w:rPr>
        <w:t>。</w:t>
      </w:r>
      <w:r>
        <w:rPr>
          <w:sz w:val="24"/>
        </w:rPr>
        <w:t>设计仍采用三立井单水平下山开拓方式，综采放顶煤采煤工艺。全井田共布置</w:t>
      </w:r>
      <w:r>
        <w:rPr>
          <w:sz w:val="24"/>
        </w:rPr>
        <w:t>2</w:t>
      </w:r>
      <w:r>
        <w:rPr>
          <w:sz w:val="24"/>
        </w:rPr>
        <w:t>个采区，均为下山采区；</w:t>
      </w:r>
      <w:r>
        <w:rPr>
          <w:sz w:val="24"/>
        </w:rPr>
        <w:t>-100m</w:t>
      </w:r>
      <w:r>
        <w:rPr>
          <w:sz w:val="24"/>
        </w:rPr>
        <w:t>水平以浅为</w:t>
      </w:r>
      <w:r>
        <w:rPr>
          <w:sz w:val="24"/>
        </w:rPr>
        <w:t>21</w:t>
      </w:r>
      <w:r>
        <w:rPr>
          <w:sz w:val="24"/>
        </w:rPr>
        <w:t>采区，</w:t>
      </w:r>
      <w:r>
        <w:rPr>
          <w:sz w:val="24"/>
        </w:rPr>
        <w:t>-100m</w:t>
      </w:r>
      <w:r>
        <w:rPr>
          <w:sz w:val="24"/>
        </w:rPr>
        <w:t>水平以深为</w:t>
      </w:r>
      <w:r>
        <w:rPr>
          <w:sz w:val="24"/>
        </w:rPr>
        <w:t>22</w:t>
      </w:r>
      <w:r>
        <w:rPr>
          <w:sz w:val="24"/>
        </w:rPr>
        <w:t>采区。采区开采</w:t>
      </w:r>
      <w:r>
        <w:rPr>
          <w:sz w:val="24"/>
        </w:rPr>
        <w:lastRenderedPageBreak/>
        <w:t>顺序为先</w:t>
      </w:r>
      <w:r>
        <w:rPr>
          <w:sz w:val="24"/>
        </w:rPr>
        <w:t>21</w:t>
      </w:r>
      <w:r>
        <w:rPr>
          <w:sz w:val="24"/>
        </w:rPr>
        <w:t>采区，后</w:t>
      </w:r>
      <w:r>
        <w:rPr>
          <w:sz w:val="24"/>
        </w:rPr>
        <w:t>22</w:t>
      </w:r>
      <w:r>
        <w:rPr>
          <w:sz w:val="24"/>
        </w:rPr>
        <w:t>采区。采出的原煤直接外售。总投资</w:t>
      </w:r>
      <w:r>
        <w:rPr>
          <w:sz w:val="24"/>
        </w:rPr>
        <w:t>5099.61</w:t>
      </w:r>
      <w:r>
        <w:rPr>
          <w:sz w:val="24"/>
        </w:rPr>
        <w:t>万元。</w:t>
      </w:r>
    </w:p>
    <w:p w:rsidR="00240BCE" w:rsidRDefault="00AC0334">
      <w:pPr>
        <w:spacing w:line="520" w:lineRule="exact"/>
        <w:ind w:firstLineChars="200" w:firstLine="480"/>
        <w:rPr>
          <w:sz w:val="24"/>
        </w:rPr>
      </w:pPr>
      <w:r>
        <w:rPr>
          <w:sz w:val="24"/>
        </w:rPr>
        <w:t>本次技术改造项目依托现有工业场地，占地面积</w:t>
      </w:r>
      <w:r>
        <w:rPr>
          <w:sz w:val="24"/>
        </w:rPr>
        <w:t>1.</w:t>
      </w:r>
      <w:r w:rsidR="00257B79">
        <w:rPr>
          <w:rFonts w:hint="eastAsia"/>
          <w:sz w:val="24"/>
        </w:rPr>
        <w:t>92</w:t>
      </w:r>
      <w:r>
        <w:rPr>
          <w:sz w:val="24"/>
        </w:rPr>
        <w:t>hm</w:t>
      </w:r>
      <w:r>
        <w:rPr>
          <w:sz w:val="24"/>
          <w:vertAlign w:val="superscript"/>
        </w:rPr>
        <w:t>2</w:t>
      </w:r>
      <w:r>
        <w:rPr>
          <w:sz w:val="24"/>
        </w:rPr>
        <w:t>，不再新增占地，依托现有工程已建好的主立井、副立井和回风井以及地面配套设施等，</w:t>
      </w:r>
      <w:r w:rsidRPr="00AB3E66">
        <w:rPr>
          <w:b/>
          <w:i/>
          <w:sz w:val="24"/>
          <w:u w:val="single"/>
        </w:rPr>
        <w:t>本次升级改造主要将采煤工艺由悬移支架炮采放顶煤工艺变更为综合机械化放顶煤、安全监测监控系统由</w:t>
      </w:r>
      <w:r w:rsidRPr="00AB3E66">
        <w:rPr>
          <w:b/>
          <w:i/>
          <w:sz w:val="24"/>
          <w:u w:val="single"/>
        </w:rPr>
        <w:t>KJ740X</w:t>
      </w:r>
      <w:r w:rsidRPr="00AB3E66">
        <w:rPr>
          <w:b/>
          <w:i/>
          <w:sz w:val="24"/>
          <w:u w:val="single"/>
        </w:rPr>
        <w:t>型升级改造为</w:t>
      </w:r>
      <w:r w:rsidRPr="00AB3E66">
        <w:rPr>
          <w:b/>
          <w:i/>
          <w:sz w:val="24"/>
          <w:u w:val="single"/>
        </w:rPr>
        <w:t>KJ101X</w:t>
      </w:r>
      <w:r w:rsidRPr="00AB3E66">
        <w:rPr>
          <w:b/>
          <w:i/>
          <w:sz w:val="24"/>
          <w:u w:val="single"/>
        </w:rPr>
        <w:t>（</w:t>
      </w:r>
      <w:r w:rsidRPr="00AB3E66">
        <w:rPr>
          <w:b/>
          <w:i/>
          <w:sz w:val="24"/>
          <w:u w:val="single"/>
        </w:rPr>
        <w:t>A</w:t>
      </w:r>
      <w:r w:rsidRPr="00AB3E66">
        <w:rPr>
          <w:b/>
          <w:i/>
          <w:sz w:val="24"/>
          <w:u w:val="single"/>
        </w:rPr>
        <w:t>）型、对矿井现有</w:t>
      </w:r>
      <w:r w:rsidRPr="00AB3E66">
        <w:rPr>
          <w:b/>
          <w:i/>
          <w:sz w:val="24"/>
          <w:u w:val="single"/>
        </w:rPr>
        <w:t>21010</w:t>
      </w:r>
      <w:r w:rsidRPr="00AB3E66">
        <w:rPr>
          <w:b/>
          <w:i/>
          <w:sz w:val="24"/>
          <w:u w:val="single"/>
        </w:rPr>
        <w:t>工作面轨道运输顺槽和胶带运输顺槽进行扩刷、对矿井现有各系统按照</w:t>
      </w:r>
      <w:r w:rsidRPr="00AB3E66">
        <w:rPr>
          <w:b/>
          <w:i/>
          <w:sz w:val="24"/>
          <w:u w:val="single"/>
        </w:rPr>
        <w:t>0.30Mt/a</w:t>
      </w:r>
      <w:r w:rsidRPr="00AB3E66">
        <w:rPr>
          <w:b/>
          <w:i/>
          <w:sz w:val="24"/>
          <w:u w:val="single"/>
        </w:rPr>
        <w:t>进行校核，以及污水处理站改造等工程。</w:t>
      </w:r>
      <w:r>
        <w:rPr>
          <w:sz w:val="24"/>
        </w:rPr>
        <w:t>基建期</w:t>
      </w:r>
      <w:r>
        <w:rPr>
          <w:sz w:val="24"/>
        </w:rPr>
        <w:t>12</w:t>
      </w:r>
      <w:r>
        <w:rPr>
          <w:sz w:val="24"/>
        </w:rPr>
        <w:t>个月。</w:t>
      </w:r>
    </w:p>
    <w:p w:rsidR="00AB3E66" w:rsidRDefault="00AC0334">
      <w:pPr>
        <w:spacing w:line="520" w:lineRule="exact"/>
        <w:ind w:firstLineChars="200" w:firstLine="480"/>
        <w:rPr>
          <w:sz w:val="24"/>
        </w:rPr>
      </w:pPr>
      <w:r>
        <w:rPr>
          <w:sz w:val="24"/>
        </w:rPr>
        <w:t>升级改造后本项目生产、生活污废水处理达标后综合利用，不外排；矸石全部外运制砖；井筒保温采用电加热热风机组，办公室、值班室、宿舍、操作间等采用电供暖，不设置锅炉。</w:t>
      </w:r>
      <w:r w:rsidR="00802A62">
        <w:rPr>
          <w:sz w:val="24"/>
        </w:rPr>
        <w:t>储煤库</w:t>
      </w:r>
      <w:r>
        <w:rPr>
          <w:sz w:val="24"/>
        </w:rPr>
        <w:t>全封闭并采取洒水抑尘措施。</w:t>
      </w:r>
    </w:p>
    <w:p w:rsidR="00240BCE" w:rsidRDefault="00AC0334" w:rsidP="009C5F33">
      <w:pPr>
        <w:adjustRightInd w:val="0"/>
        <w:snapToGrid w:val="0"/>
        <w:spacing w:beforeLines="100" w:afterLines="50"/>
        <w:jc w:val="left"/>
        <w:outlineLvl w:val="1"/>
        <w:rPr>
          <w:b/>
          <w:bCs/>
          <w:sz w:val="32"/>
          <w:szCs w:val="32"/>
        </w:rPr>
      </w:pPr>
      <w:bookmarkStart w:id="25" w:name="_Toc13512_WPSOffice_Level2"/>
      <w:bookmarkStart w:id="26" w:name="_Toc81934355"/>
      <w:r>
        <w:rPr>
          <w:b/>
          <w:bCs/>
          <w:sz w:val="32"/>
          <w:szCs w:val="32"/>
        </w:rPr>
        <w:t xml:space="preserve">1.3 </w:t>
      </w:r>
      <w:r>
        <w:rPr>
          <w:b/>
          <w:bCs/>
          <w:sz w:val="32"/>
          <w:szCs w:val="32"/>
        </w:rPr>
        <w:t>环境影响评价工作过程</w:t>
      </w:r>
      <w:bookmarkEnd w:id="25"/>
      <w:bookmarkEnd w:id="26"/>
    </w:p>
    <w:p w:rsidR="00240BCE" w:rsidRDefault="00AC0334">
      <w:pPr>
        <w:spacing w:line="520" w:lineRule="exact"/>
        <w:ind w:firstLineChars="200" w:firstLine="480"/>
        <w:rPr>
          <w:sz w:val="24"/>
        </w:rPr>
      </w:pPr>
      <w:r>
        <w:rPr>
          <w:bCs/>
          <w:sz w:val="24"/>
        </w:rPr>
        <w:t>接受委托后，我公司立即组成项目组，通过对拟建项目场址及所在评价区进行现场踏勘，制定工作方案，在此基础上开展了全面的现场调查、环境质量现状监测、污染因素分析、污染防治措施论证、资料收集等工作，按照产业政策、相关规划和环境影响评价相关技术导则要求，编制完成了</w:t>
      </w:r>
      <w:r>
        <w:rPr>
          <w:sz w:val="24"/>
        </w:rPr>
        <w:t>《</w:t>
      </w:r>
      <w:r w:rsidR="00A22A40">
        <w:rPr>
          <w:sz w:val="24"/>
        </w:rPr>
        <w:t>禹州神火隆庆矿业有限公司</w:t>
      </w:r>
      <w:r w:rsidR="00A22A40">
        <w:rPr>
          <w:sz w:val="24"/>
        </w:rPr>
        <w:t>30</w:t>
      </w:r>
      <w:r w:rsidR="00A22A40">
        <w:rPr>
          <w:sz w:val="24"/>
        </w:rPr>
        <w:t>万吨</w:t>
      </w:r>
      <w:r w:rsidR="00A22A40">
        <w:rPr>
          <w:sz w:val="24"/>
        </w:rPr>
        <w:t>/</w:t>
      </w:r>
      <w:r w:rsidR="00A22A40">
        <w:rPr>
          <w:sz w:val="24"/>
        </w:rPr>
        <w:t>年升级改造</w:t>
      </w:r>
      <w:r>
        <w:rPr>
          <w:sz w:val="24"/>
        </w:rPr>
        <w:t>环境影响报告书》（送审版）。</w:t>
      </w:r>
      <w:r w:rsidR="00423FA4" w:rsidRPr="00B453FF">
        <w:rPr>
          <w:rFonts w:ascii="宋体" w:hAnsi="宋体" w:cs="宋体"/>
          <w:color w:val="000000"/>
          <w:sz w:val="24"/>
        </w:rPr>
        <w:t>20</w:t>
      </w:r>
      <w:r w:rsidR="00423FA4">
        <w:rPr>
          <w:rFonts w:ascii="宋体" w:hAnsi="宋体" w:cs="宋体" w:hint="eastAsia"/>
          <w:color w:val="000000"/>
          <w:sz w:val="24"/>
        </w:rPr>
        <w:t>21</w:t>
      </w:r>
      <w:r w:rsidR="00423FA4" w:rsidRPr="00B453FF">
        <w:rPr>
          <w:rFonts w:ascii="宋体" w:hAnsi="宋体" w:cs="宋体" w:hint="eastAsia"/>
          <w:color w:val="000000"/>
          <w:sz w:val="24"/>
        </w:rPr>
        <w:t>年</w:t>
      </w:r>
      <w:r w:rsidR="00423FA4">
        <w:rPr>
          <w:rFonts w:ascii="宋体" w:hAnsi="宋体" w:cs="宋体" w:hint="eastAsia"/>
          <w:color w:val="000000"/>
          <w:sz w:val="24"/>
        </w:rPr>
        <w:t>9</w:t>
      </w:r>
      <w:r w:rsidR="00423FA4" w:rsidRPr="00B453FF">
        <w:rPr>
          <w:rFonts w:ascii="宋体" w:hAnsi="宋体" w:cs="宋体" w:hint="eastAsia"/>
          <w:color w:val="000000"/>
          <w:sz w:val="24"/>
        </w:rPr>
        <w:t>月</w:t>
      </w:r>
      <w:r w:rsidR="00423FA4">
        <w:rPr>
          <w:rFonts w:ascii="宋体" w:hAnsi="宋体" w:cs="宋体" w:hint="eastAsia"/>
          <w:color w:val="000000"/>
          <w:sz w:val="24"/>
        </w:rPr>
        <w:t>2</w:t>
      </w:r>
      <w:r w:rsidR="00423FA4" w:rsidRPr="00B453FF">
        <w:rPr>
          <w:rFonts w:ascii="宋体" w:hAnsi="宋体" w:cs="宋体" w:hint="eastAsia"/>
          <w:color w:val="000000"/>
          <w:sz w:val="24"/>
        </w:rPr>
        <w:t>日，</w:t>
      </w:r>
      <w:r w:rsidR="00423FA4" w:rsidRPr="00423FA4">
        <w:rPr>
          <w:rFonts w:ascii="宋体" w:hAnsi="宋体" w:cs="宋体"/>
          <w:color w:val="000000"/>
          <w:sz w:val="24"/>
        </w:rPr>
        <w:t>河南力创环境评估技术有限公司</w:t>
      </w:r>
      <w:r w:rsidR="00423FA4" w:rsidRPr="00B453FF">
        <w:rPr>
          <w:rFonts w:ascii="宋体" w:hAnsi="宋体" w:cs="宋体" w:hint="eastAsia"/>
          <w:color w:val="000000"/>
          <w:sz w:val="24"/>
        </w:rPr>
        <w:t>受</w:t>
      </w:r>
      <w:r w:rsidR="00423FA4">
        <w:rPr>
          <w:rFonts w:ascii="宋体" w:hAnsi="宋体" w:cs="宋体" w:hint="eastAsia"/>
          <w:color w:val="000000"/>
          <w:sz w:val="24"/>
        </w:rPr>
        <w:t>许昌市生态环境</w:t>
      </w:r>
      <w:r w:rsidR="00423FA4" w:rsidRPr="00B453FF">
        <w:rPr>
          <w:rFonts w:ascii="宋体" w:hAnsi="宋体" w:cs="宋体" w:hint="eastAsia"/>
          <w:color w:val="000000"/>
          <w:sz w:val="24"/>
        </w:rPr>
        <w:t>局委托，在</w:t>
      </w:r>
      <w:r w:rsidR="00423FA4">
        <w:rPr>
          <w:rFonts w:ascii="宋体" w:hAnsi="宋体" w:cs="宋体" w:hint="eastAsia"/>
          <w:color w:val="000000"/>
          <w:sz w:val="24"/>
        </w:rPr>
        <w:t>许昌市</w:t>
      </w:r>
      <w:r w:rsidR="00423FA4" w:rsidRPr="00B453FF">
        <w:rPr>
          <w:rFonts w:ascii="宋体" w:hAnsi="宋体" w:cs="宋体" w:hint="eastAsia"/>
          <w:color w:val="000000"/>
          <w:sz w:val="24"/>
        </w:rPr>
        <w:t>主持召开了报告书技术评审会。根据专家技术评审意见，我</w:t>
      </w:r>
      <w:r w:rsidR="00423FA4">
        <w:rPr>
          <w:rFonts w:ascii="宋体" w:hAnsi="宋体" w:cs="宋体" w:hint="eastAsia"/>
          <w:color w:val="000000"/>
          <w:sz w:val="24"/>
        </w:rPr>
        <w:t>公司</w:t>
      </w:r>
      <w:r w:rsidR="00423FA4" w:rsidRPr="00B453FF">
        <w:rPr>
          <w:rFonts w:ascii="宋体" w:hAnsi="宋体" w:cs="宋体" w:hint="eastAsia"/>
          <w:color w:val="000000"/>
          <w:sz w:val="24"/>
        </w:rPr>
        <w:t>对报告书进行了认真细致的修改，编制完成了《</w:t>
      </w:r>
      <w:r w:rsidR="00423FA4">
        <w:rPr>
          <w:sz w:val="24"/>
        </w:rPr>
        <w:t>禹州神火隆庆矿业有限公司</w:t>
      </w:r>
      <w:r w:rsidR="00423FA4">
        <w:rPr>
          <w:sz w:val="24"/>
        </w:rPr>
        <w:t>30</w:t>
      </w:r>
      <w:r w:rsidR="00423FA4">
        <w:rPr>
          <w:sz w:val="24"/>
        </w:rPr>
        <w:t>万吨</w:t>
      </w:r>
      <w:r w:rsidR="00423FA4">
        <w:rPr>
          <w:sz w:val="24"/>
        </w:rPr>
        <w:t>/</w:t>
      </w:r>
      <w:r w:rsidR="00423FA4">
        <w:rPr>
          <w:sz w:val="24"/>
        </w:rPr>
        <w:t>年升级改造环境影响报告书</w:t>
      </w:r>
      <w:r w:rsidR="00423FA4" w:rsidRPr="00B453FF">
        <w:rPr>
          <w:rFonts w:ascii="宋体" w:hAnsi="宋体" w:cs="宋体" w:hint="eastAsia"/>
          <w:color w:val="000000"/>
          <w:sz w:val="24"/>
        </w:rPr>
        <w:t>》（报批版）。</w:t>
      </w:r>
    </w:p>
    <w:p w:rsidR="00240BCE" w:rsidRDefault="00AC0334" w:rsidP="009C5F33">
      <w:pPr>
        <w:adjustRightInd w:val="0"/>
        <w:snapToGrid w:val="0"/>
        <w:spacing w:beforeLines="100" w:afterLines="50"/>
        <w:jc w:val="left"/>
        <w:outlineLvl w:val="1"/>
        <w:rPr>
          <w:b/>
          <w:bCs/>
          <w:sz w:val="32"/>
          <w:szCs w:val="32"/>
        </w:rPr>
      </w:pPr>
      <w:bookmarkStart w:id="27" w:name="_Toc18330_WPSOffice_Level2"/>
      <w:bookmarkStart w:id="28" w:name="_Toc81934356"/>
      <w:r>
        <w:rPr>
          <w:b/>
          <w:bCs/>
          <w:sz w:val="32"/>
          <w:szCs w:val="32"/>
        </w:rPr>
        <w:t xml:space="preserve">1.4 </w:t>
      </w:r>
      <w:r>
        <w:rPr>
          <w:b/>
          <w:bCs/>
          <w:sz w:val="32"/>
          <w:szCs w:val="32"/>
        </w:rPr>
        <w:t>分析判定相关情况</w:t>
      </w:r>
      <w:bookmarkEnd w:id="27"/>
      <w:bookmarkEnd w:id="28"/>
    </w:p>
    <w:p w:rsidR="00240BCE" w:rsidRDefault="00AC0334">
      <w:pPr>
        <w:spacing w:line="520" w:lineRule="exact"/>
        <w:ind w:firstLineChars="200" w:firstLine="480"/>
        <w:rPr>
          <w:sz w:val="24"/>
        </w:rPr>
      </w:pPr>
      <w:r>
        <w:rPr>
          <w:sz w:val="24"/>
        </w:rPr>
        <w:t>（</w:t>
      </w:r>
      <w:r>
        <w:rPr>
          <w:sz w:val="24"/>
        </w:rPr>
        <w:t>1</w:t>
      </w:r>
      <w:r>
        <w:rPr>
          <w:sz w:val="24"/>
        </w:rPr>
        <w:t>）本项目为煤炭开采项目，现有开采规模为</w:t>
      </w:r>
      <w:r>
        <w:rPr>
          <w:sz w:val="24"/>
        </w:rPr>
        <w:t>15</w:t>
      </w:r>
      <w:r>
        <w:rPr>
          <w:sz w:val="24"/>
        </w:rPr>
        <w:t>万</w:t>
      </w:r>
      <w:r>
        <w:rPr>
          <w:sz w:val="24"/>
        </w:rPr>
        <w:t>t/a</w:t>
      </w:r>
      <w:r>
        <w:rPr>
          <w:sz w:val="24"/>
        </w:rPr>
        <w:t>，升级改造后开采规模为</w:t>
      </w:r>
      <w:r>
        <w:rPr>
          <w:sz w:val="24"/>
        </w:rPr>
        <w:t>30</w:t>
      </w:r>
      <w:r>
        <w:rPr>
          <w:sz w:val="24"/>
        </w:rPr>
        <w:t>万</w:t>
      </w:r>
      <w:r>
        <w:rPr>
          <w:sz w:val="24"/>
        </w:rPr>
        <w:t xml:space="preserve"> t/a</w:t>
      </w:r>
      <w:r>
        <w:rPr>
          <w:sz w:val="24"/>
        </w:rPr>
        <w:t>，采用综采放顶煤采煤工艺，回采率</w:t>
      </w:r>
      <w:r>
        <w:rPr>
          <w:sz w:val="24"/>
        </w:rPr>
        <w:t>8</w:t>
      </w:r>
      <w:r w:rsidR="00400C99">
        <w:rPr>
          <w:rFonts w:hint="eastAsia"/>
          <w:sz w:val="24"/>
        </w:rPr>
        <w:t>5</w:t>
      </w:r>
      <w:r>
        <w:rPr>
          <w:sz w:val="24"/>
        </w:rPr>
        <w:t>%</w:t>
      </w:r>
      <w:r>
        <w:rPr>
          <w:sz w:val="24"/>
        </w:rPr>
        <w:t>。本项目不属于《产业结构调整指导目录》（</w:t>
      </w:r>
      <w:r>
        <w:rPr>
          <w:sz w:val="24"/>
        </w:rPr>
        <w:t xml:space="preserve">2019 </w:t>
      </w:r>
      <w:r>
        <w:rPr>
          <w:sz w:val="24"/>
        </w:rPr>
        <w:t>年本）中煤炭鼓励、限制类、淘汰类之列，矿山开采设备、开采工艺不属于限制、淘汰类名录，根据《促进产业结构调整暂行规定》（国</w:t>
      </w:r>
      <w:r>
        <w:rPr>
          <w:sz w:val="24"/>
        </w:rPr>
        <w:lastRenderedPageBreak/>
        <w:t>发</w:t>
      </w:r>
      <w:r>
        <w:rPr>
          <w:sz w:val="24"/>
        </w:rPr>
        <w:t xml:space="preserve">[2005]40 </w:t>
      </w:r>
      <w:r>
        <w:rPr>
          <w:sz w:val="24"/>
        </w:rPr>
        <w:t>号文），属允许建设项目，符合国家产业政策。</w:t>
      </w:r>
    </w:p>
    <w:p w:rsidR="00240BCE" w:rsidRDefault="00AC0334">
      <w:pPr>
        <w:spacing w:line="520" w:lineRule="exact"/>
        <w:ind w:firstLineChars="200" w:firstLine="480"/>
        <w:rPr>
          <w:sz w:val="24"/>
        </w:rPr>
      </w:pPr>
      <w:r>
        <w:rPr>
          <w:sz w:val="24"/>
        </w:rPr>
        <w:t>（</w:t>
      </w:r>
      <w:r>
        <w:rPr>
          <w:sz w:val="24"/>
        </w:rPr>
        <w:t>2</w:t>
      </w:r>
      <w:r>
        <w:rPr>
          <w:sz w:val="24"/>
        </w:rPr>
        <w:t>）根据河南省工业和信息化厅文件《河南省工业和信息化厅关于切实做好全省</w:t>
      </w:r>
      <w:r>
        <w:rPr>
          <w:sz w:val="24"/>
        </w:rPr>
        <w:t>30</w:t>
      </w:r>
      <w:r>
        <w:rPr>
          <w:sz w:val="24"/>
        </w:rPr>
        <w:t>万吨</w:t>
      </w:r>
      <w:r>
        <w:rPr>
          <w:sz w:val="24"/>
        </w:rPr>
        <w:t>/</w:t>
      </w:r>
      <w:r>
        <w:rPr>
          <w:sz w:val="24"/>
        </w:rPr>
        <w:t>年以下煤矿分类处置工作的通知》（豫工信办煤行〔</w:t>
      </w:r>
      <w:r>
        <w:rPr>
          <w:sz w:val="24"/>
        </w:rPr>
        <w:t>2020</w:t>
      </w:r>
      <w:r>
        <w:rPr>
          <w:sz w:val="24"/>
        </w:rPr>
        <w:t>〕</w:t>
      </w:r>
      <w:r>
        <w:rPr>
          <w:sz w:val="24"/>
        </w:rPr>
        <w:t>54</w:t>
      </w:r>
      <w:r>
        <w:rPr>
          <w:sz w:val="24"/>
        </w:rPr>
        <w:t>号）的有关要求：分类处置包括（</w:t>
      </w:r>
      <w:r>
        <w:rPr>
          <w:sz w:val="24"/>
        </w:rPr>
        <w:t>1</w:t>
      </w:r>
      <w:r>
        <w:rPr>
          <w:sz w:val="24"/>
        </w:rPr>
        <w:t>）严格执法限期关闭一批；（</w:t>
      </w:r>
      <w:r>
        <w:rPr>
          <w:sz w:val="24"/>
        </w:rPr>
        <w:t>2</w:t>
      </w:r>
      <w:r>
        <w:rPr>
          <w:sz w:val="24"/>
        </w:rPr>
        <w:t>）政策引导主动退出一批；（</w:t>
      </w:r>
      <w:r>
        <w:rPr>
          <w:sz w:val="24"/>
        </w:rPr>
        <w:t>3</w:t>
      </w:r>
      <w:r>
        <w:rPr>
          <w:sz w:val="24"/>
        </w:rPr>
        <w:t>）具备条件升级改造一批；（</w:t>
      </w:r>
      <w:r>
        <w:rPr>
          <w:sz w:val="24"/>
        </w:rPr>
        <w:t>4</w:t>
      </w:r>
      <w:r>
        <w:rPr>
          <w:sz w:val="24"/>
        </w:rPr>
        <w:t>）少量保留一批。禹州神火隆庆矿业有限公司属于分类处置中的（</w:t>
      </w:r>
      <w:r>
        <w:rPr>
          <w:sz w:val="24"/>
        </w:rPr>
        <w:t>3</w:t>
      </w:r>
      <w:r>
        <w:rPr>
          <w:sz w:val="24"/>
        </w:rPr>
        <w:t>）具备条件升级改造的一批。项目建设符合《煤炭产业政策》和《煤炭工业发展</w:t>
      </w:r>
      <w:r>
        <w:rPr>
          <w:sz w:val="24"/>
        </w:rPr>
        <w:t>“</w:t>
      </w:r>
      <w:r>
        <w:rPr>
          <w:sz w:val="24"/>
        </w:rPr>
        <w:t>十三五</w:t>
      </w:r>
      <w:r>
        <w:rPr>
          <w:sz w:val="24"/>
        </w:rPr>
        <w:t>”</w:t>
      </w:r>
      <w:r>
        <w:rPr>
          <w:sz w:val="24"/>
        </w:rPr>
        <w:t>规划》等相关要求。</w:t>
      </w:r>
    </w:p>
    <w:p w:rsidR="00240BCE" w:rsidRDefault="00AC0334">
      <w:pPr>
        <w:spacing w:line="520" w:lineRule="exact"/>
        <w:ind w:firstLineChars="200" w:firstLine="480"/>
        <w:rPr>
          <w:sz w:val="24"/>
        </w:rPr>
      </w:pPr>
      <w:r>
        <w:rPr>
          <w:sz w:val="24"/>
        </w:rPr>
        <w:t>（</w:t>
      </w:r>
      <w:r>
        <w:rPr>
          <w:sz w:val="24"/>
        </w:rPr>
        <w:t>3</w:t>
      </w:r>
      <w:r>
        <w:rPr>
          <w:sz w:val="24"/>
        </w:rPr>
        <w:t>）本项目不在《河南省矿产资源规划》（</w:t>
      </w:r>
      <w:r>
        <w:rPr>
          <w:sz w:val="24"/>
        </w:rPr>
        <w:t>2016-2020</w:t>
      </w:r>
      <w:r>
        <w:rPr>
          <w:sz w:val="24"/>
        </w:rPr>
        <w:t>）、</w:t>
      </w:r>
      <w:r w:rsidR="00DB51A2">
        <w:rPr>
          <w:sz w:val="24"/>
        </w:rPr>
        <w:t>《</w:t>
      </w:r>
      <w:r w:rsidR="00DB51A2">
        <w:rPr>
          <w:rFonts w:hint="eastAsia"/>
          <w:sz w:val="24"/>
        </w:rPr>
        <w:t>许昌市</w:t>
      </w:r>
      <w:r w:rsidR="00DB51A2">
        <w:rPr>
          <w:sz w:val="24"/>
        </w:rPr>
        <w:t>矿产资源规划》（</w:t>
      </w:r>
      <w:r w:rsidR="00DB51A2">
        <w:rPr>
          <w:sz w:val="24"/>
        </w:rPr>
        <w:t>2016-2020</w:t>
      </w:r>
      <w:r w:rsidR="00DB51A2">
        <w:rPr>
          <w:sz w:val="24"/>
        </w:rPr>
        <w:t>）、</w:t>
      </w:r>
      <w:r>
        <w:rPr>
          <w:sz w:val="24"/>
        </w:rPr>
        <w:t>《禹州市矿产资源规划》（</w:t>
      </w:r>
      <w:r>
        <w:rPr>
          <w:sz w:val="24"/>
        </w:rPr>
        <w:t>2016-2020</w:t>
      </w:r>
      <w:r>
        <w:rPr>
          <w:sz w:val="24"/>
        </w:rPr>
        <w:t>）的禁止开采、限制开采范围，且项目的开采规模及年限符合相关要求，符合矿产资源规划要求。</w:t>
      </w:r>
    </w:p>
    <w:p w:rsidR="00240BCE" w:rsidRDefault="00AC0334">
      <w:pPr>
        <w:spacing w:line="520" w:lineRule="exact"/>
        <w:ind w:firstLineChars="200" w:firstLine="480"/>
        <w:rPr>
          <w:sz w:val="24"/>
        </w:rPr>
      </w:pPr>
      <w:r>
        <w:rPr>
          <w:sz w:val="24"/>
        </w:rPr>
        <w:t>（</w:t>
      </w:r>
      <w:r>
        <w:rPr>
          <w:sz w:val="24"/>
        </w:rPr>
        <w:t>4</w:t>
      </w:r>
      <w:r>
        <w:rPr>
          <w:sz w:val="24"/>
        </w:rPr>
        <w:t>）根据分析，</w:t>
      </w:r>
      <w:r>
        <w:rPr>
          <w:bCs/>
          <w:sz w:val="24"/>
        </w:rPr>
        <w:t>本项目位于禹州市鸠山镇，不属于重点生态功能区或禁止开发区域，符合《河南省主体功能区规划》的要求，符合</w:t>
      </w:r>
      <w:r>
        <w:rPr>
          <w:bCs/>
          <w:sz w:val="24"/>
        </w:rPr>
        <w:t>“</w:t>
      </w:r>
      <w:r>
        <w:rPr>
          <w:bCs/>
          <w:sz w:val="24"/>
        </w:rPr>
        <w:t>三线一单</w:t>
      </w:r>
      <w:r>
        <w:rPr>
          <w:bCs/>
          <w:sz w:val="24"/>
        </w:rPr>
        <w:t>”</w:t>
      </w:r>
      <w:r>
        <w:rPr>
          <w:bCs/>
          <w:sz w:val="24"/>
        </w:rPr>
        <w:t>要求。</w:t>
      </w:r>
    </w:p>
    <w:p w:rsidR="00240BCE" w:rsidRDefault="00AC0334">
      <w:pPr>
        <w:spacing w:line="520" w:lineRule="exact"/>
        <w:ind w:firstLineChars="200" w:firstLine="480"/>
        <w:rPr>
          <w:sz w:val="24"/>
        </w:rPr>
      </w:pPr>
      <w:r>
        <w:rPr>
          <w:sz w:val="24"/>
        </w:rPr>
        <w:t>（</w:t>
      </w:r>
      <w:r>
        <w:rPr>
          <w:sz w:val="24"/>
        </w:rPr>
        <w:t>5</w:t>
      </w:r>
      <w:r>
        <w:rPr>
          <w:sz w:val="24"/>
        </w:rPr>
        <w:t>）根据分析，本项目符合《河南省城市集中式饮用水源保护区划》、</w:t>
      </w:r>
      <w:r>
        <w:rPr>
          <w:bCs/>
          <w:sz w:val="24"/>
        </w:rPr>
        <w:t>《河南省乡镇集中式饮用水水源保护区划》</w:t>
      </w:r>
      <w:r>
        <w:rPr>
          <w:sz w:val="24"/>
        </w:rPr>
        <w:t>相关要求。</w:t>
      </w:r>
    </w:p>
    <w:p w:rsidR="00240BCE" w:rsidRDefault="00AC0334">
      <w:pPr>
        <w:spacing w:line="520" w:lineRule="exact"/>
        <w:ind w:firstLineChars="200" w:firstLine="480"/>
        <w:rPr>
          <w:sz w:val="24"/>
        </w:rPr>
      </w:pPr>
      <w:r>
        <w:rPr>
          <w:sz w:val="24"/>
        </w:rPr>
        <w:t>（</w:t>
      </w:r>
      <w:r>
        <w:rPr>
          <w:sz w:val="24"/>
        </w:rPr>
        <w:t>6</w:t>
      </w:r>
      <w:r>
        <w:rPr>
          <w:sz w:val="24"/>
        </w:rPr>
        <w:t>）根据分析，本项目符合《河南省污染防治攻坚战三年行动计划</w:t>
      </w:r>
      <w:r>
        <w:rPr>
          <w:sz w:val="24"/>
        </w:rPr>
        <w:t>(2018-2020</w:t>
      </w:r>
      <w:r>
        <w:rPr>
          <w:sz w:val="24"/>
        </w:rPr>
        <w:t>年</w:t>
      </w:r>
      <w:r>
        <w:rPr>
          <w:sz w:val="24"/>
        </w:rPr>
        <w:t>)</w:t>
      </w:r>
      <w:r>
        <w:rPr>
          <w:sz w:val="24"/>
        </w:rPr>
        <w:t>》（豫政</w:t>
      </w:r>
      <w:r>
        <w:rPr>
          <w:sz w:val="24"/>
        </w:rPr>
        <w:t>[2018]30</w:t>
      </w:r>
      <w:r>
        <w:rPr>
          <w:sz w:val="24"/>
        </w:rPr>
        <w:t>号）、</w:t>
      </w:r>
      <w:r>
        <w:rPr>
          <w:bCs/>
          <w:sz w:val="24"/>
        </w:rPr>
        <w:t>《河南省</w:t>
      </w:r>
      <w:r>
        <w:rPr>
          <w:bCs/>
          <w:sz w:val="24"/>
        </w:rPr>
        <w:t>202</w:t>
      </w:r>
      <w:r w:rsidR="00DB51A2">
        <w:rPr>
          <w:rFonts w:hint="eastAsia"/>
          <w:bCs/>
          <w:sz w:val="24"/>
        </w:rPr>
        <w:t>1</w:t>
      </w:r>
      <w:r>
        <w:rPr>
          <w:bCs/>
          <w:sz w:val="24"/>
        </w:rPr>
        <w:t>年大气、水、土壤污染防治攻坚战实施方案》（豫环攻坚办</w:t>
      </w:r>
      <w:r>
        <w:rPr>
          <w:bCs/>
          <w:sz w:val="24"/>
        </w:rPr>
        <w:t>[2020]7</w:t>
      </w:r>
      <w:r>
        <w:rPr>
          <w:bCs/>
          <w:sz w:val="24"/>
        </w:rPr>
        <w:t>号）、《</w:t>
      </w:r>
      <w:r>
        <w:rPr>
          <w:sz w:val="24"/>
        </w:rPr>
        <w:t>许昌市</w:t>
      </w:r>
      <w:r>
        <w:rPr>
          <w:sz w:val="24"/>
        </w:rPr>
        <w:t>202</w:t>
      </w:r>
      <w:r w:rsidR="00DB51A2">
        <w:rPr>
          <w:rFonts w:hint="eastAsia"/>
          <w:sz w:val="24"/>
        </w:rPr>
        <w:t>1</w:t>
      </w:r>
      <w:r>
        <w:rPr>
          <w:sz w:val="24"/>
        </w:rPr>
        <w:t>年大气、水、土壤污染防治攻坚战实施方案</w:t>
      </w:r>
      <w:r>
        <w:rPr>
          <w:bCs/>
          <w:sz w:val="24"/>
        </w:rPr>
        <w:t>》（许环攻坚办</w:t>
      </w:r>
      <w:r>
        <w:rPr>
          <w:bCs/>
          <w:sz w:val="24"/>
        </w:rPr>
        <w:t>[2020]38</w:t>
      </w:r>
      <w:r>
        <w:rPr>
          <w:bCs/>
          <w:sz w:val="24"/>
        </w:rPr>
        <w:t>号）</w:t>
      </w:r>
      <w:r w:rsidR="00DB51A2">
        <w:rPr>
          <w:bCs/>
          <w:sz w:val="24"/>
        </w:rPr>
        <w:t>、《</w:t>
      </w:r>
      <w:r w:rsidR="00DB51A2" w:rsidRPr="00C37952">
        <w:rPr>
          <w:rFonts w:hint="eastAsia"/>
          <w:sz w:val="24"/>
        </w:rPr>
        <w:t>禹州市</w:t>
      </w:r>
      <w:r w:rsidR="00DB51A2" w:rsidRPr="00C37952">
        <w:rPr>
          <w:sz w:val="24"/>
        </w:rPr>
        <w:t>202</w:t>
      </w:r>
      <w:r w:rsidR="00DB51A2" w:rsidRPr="00C37952">
        <w:rPr>
          <w:rFonts w:hint="eastAsia"/>
          <w:sz w:val="24"/>
        </w:rPr>
        <w:t>1</w:t>
      </w:r>
      <w:r w:rsidR="00DB51A2" w:rsidRPr="00C37952">
        <w:rPr>
          <w:sz w:val="24"/>
        </w:rPr>
        <w:t>年大气、水、土壤污染防治攻坚战实施方案</w:t>
      </w:r>
      <w:r w:rsidR="00DB51A2" w:rsidRPr="00C37952">
        <w:rPr>
          <w:bCs/>
          <w:sz w:val="24"/>
        </w:rPr>
        <w:t>》（</w:t>
      </w:r>
      <w:r w:rsidR="00C37952" w:rsidRPr="00C37952">
        <w:rPr>
          <w:rFonts w:hint="eastAsia"/>
          <w:bCs/>
          <w:sz w:val="24"/>
        </w:rPr>
        <w:t>禹</w:t>
      </w:r>
      <w:r w:rsidR="00DB51A2" w:rsidRPr="00C37952">
        <w:rPr>
          <w:bCs/>
          <w:sz w:val="24"/>
        </w:rPr>
        <w:t>环攻坚办</w:t>
      </w:r>
      <w:r w:rsidR="00DB51A2" w:rsidRPr="00C37952">
        <w:rPr>
          <w:bCs/>
          <w:sz w:val="24"/>
        </w:rPr>
        <w:t>[202</w:t>
      </w:r>
      <w:r w:rsidR="00C37952" w:rsidRPr="00C37952">
        <w:rPr>
          <w:rFonts w:hint="eastAsia"/>
          <w:bCs/>
          <w:sz w:val="24"/>
        </w:rPr>
        <w:t>1</w:t>
      </w:r>
      <w:r w:rsidR="00DB51A2" w:rsidRPr="00C37952">
        <w:rPr>
          <w:bCs/>
          <w:sz w:val="24"/>
        </w:rPr>
        <w:t>]</w:t>
      </w:r>
      <w:r w:rsidR="00C37952" w:rsidRPr="00C37952">
        <w:rPr>
          <w:rFonts w:hint="eastAsia"/>
          <w:bCs/>
          <w:sz w:val="24"/>
        </w:rPr>
        <w:t>1</w:t>
      </w:r>
      <w:r w:rsidR="00DB51A2" w:rsidRPr="00C37952">
        <w:rPr>
          <w:bCs/>
          <w:sz w:val="24"/>
        </w:rPr>
        <w:t>8</w:t>
      </w:r>
      <w:r w:rsidR="00DB51A2" w:rsidRPr="00C37952">
        <w:rPr>
          <w:bCs/>
          <w:sz w:val="24"/>
        </w:rPr>
        <w:t>号</w:t>
      </w:r>
      <w:r w:rsidR="00DB51A2">
        <w:rPr>
          <w:bCs/>
          <w:sz w:val="24"/>
        </w:rPr>
        <w:t>）</w:t>
      </w:r>
      <w:r>
        <w:rPr>
          <w:bCs/>
          <w:sz w:val="24"/>
        </w:rPr>
        <w:t>的</w:t>
      </w:r>
      <w:r>
        <w:rPr>
          <w:sz w:val="24"/>
        </w:rPr>
        <w:t>相关要求。</w:t>
      </w:r>
    </w:p>
    <w:p w:rsidR="00240BCE" w:rsidRDefault="00AC0334">
      <w:pPr>
        <w:spacing w:line="520" w:lineRule="exact"/>
        <w:ind w:firstLineChars="200" w:firstLine="480"/>
        <w:rPr>
          <w:sz w:val="24"/>
        </w:rPr>
      </w:pPr>
      <w:r>
        <w:rPr>
          <w:sz w:val="24"/>
        </w:rPr>
        <w:t>（</w:t>
      </w:r>
      <w:r>
        <w:rPr>
          <w:sz w:val="24"/>
        </w:rPr>
        <w:t>7</w:t>
      </w:r>
      <w:r>
        <w:rPr>
          <w:sz w:val="24"/>
        </w:rPr>
        <w:t>）根据分析，项目符合《煤炭采选建设项目环境影响评价文件审批原则（试行）》及《河南省煤炭采选建设项目环境影响评价文件审批原则（试行）》的相关要求。</w:t>
      </w:r>
    </w:p>
    <w:p w:rsidR="00240BCE" w:rsidRDefault="00AC0334" w:rsidP="009C5F33">
      <w:pPr>
        <w:adjustRightInd w:val="0"/>
        <w:snapToGrid w:val="0"/>
        <w:spacing w:beforeLines="100" w:afterLines="50"/>
        <w:jc w:val="left"/>
        <w:outlineLvl w:val="1"/>
        <w:rPr>
          <w:b/>
          <w:bCs/>
          <w:sz w:val="32"/>
          <w:szCs w:val="32"/>
        </w:rPr>
      </w:pPr>
      <w:bookmarkStart w:id="29" w:name="_Toc21380_WPSOffice_Level2"/>
      <w:bookmarkStart w:id="30" w:name="_Toc81934357"/>
      <w:r>
        <w:rPr>
          <w:b/>
          <w:bCs/>
          <w:sz w:val="32"/>
          <w:szCs w:val="32"/>
        </w:rPr>
        <w:t xml:space="preserve">1.5 </w:t>
      </w:r>
      <w:r>
        <w:rPr>
          <w:b/>
          <w:bCs/>
          <w:sz w:val="32"/>
          <w:szCs w:val="32"/>
        </w:rPr>
        <w:t>关注的主要环境问题及环境影响</w:t>
      </w:r>
      <w:bookmarkEnd w:id="29"/>
      <w:bookmarkEnd w:id="30"/>
    </w:p>
    <w:p w:rsidR="00240BCE" w:rsidRDefault="00AC0334">
      <w:pPr>
        <w:spacing w:line="520" w:lineRule="exact"/>
        <w:ind w:firstLineChars="200" w:firstLine="480"/>
        <w:rPr>
          <w:sz w:val="24"/>
        </w:rPr>
      </w:pPr>
      <w:r>
        <w:rPr>
          <w:sz w:val="24"/>
        </w:rPr>
        <w:t>本项目为煤炭地下开采项目，生产过程中产生的环境问题有：</w:t>
      </w:r>
    </w:p>
    <w:p w:rsidR="00240BCE" w:rsidRDefault="00AC0334">
      <w:pPr>
        <w:spacing w:line="520" w:lineRule="exact"/>
        <w:ind w:firstLineChars="200" w:firstLine="480"/>
        <w:rPr>
          <w:sz w:val="24"/>
        </w:rPr>
      </w:pPr>
      <w:r>
        <w:rPr>
          <w:sz w:val="24"/>
        </w:rPr>
        <w:t>①</w:t>
      </w:r>
      <w:r>
        <w:rPr>
          <w:sz w:val="24"/>
        </w:rPr>
        <w:t>大气污染：主要是</w:t>
      </w:r>
      <w:r w:rsidR="00802A62">
        <w:rPr>
          <w:sz w:val="24"/>
        </w:rPr>
        <w:t>储煤库</w:t>
      </w:r>
      <w:r>
        <w:rPr>
          <w:sz w:val="24"/>
        </w:rPr>
        <w:t>粉尘</w:t>
      </w:r>
      <w:r w:rsidR="00E603C6">
        <w:rPr>
          <w:rFonts w:hint="eastAsia"/>
          <w:sz w:val="24"/>
        </w:rPr>
        <w:t>、食堂油烟</w:t>
      </w:r>
      <w:r>
        <w:rPr>
          <w:sz w:val="24"/>
        </w:rPr>
        <w:t>和汽车运输扬尘等；</w:t>
      </w:r>
    </w:p>
    <w:p w:rsidR="00240BCE" w:rsidRDefault="00AC0334">
      <w:pPr>
        <w:spacing w:line="520" w:lineRule="exact"/>
        <w:ind w:firstLineChars="200" w:firstLine="480"/>
        <w:rPr>
          <w:sz w:val="24"/>
        </w:rPr>
      </w:pPr>
      <w:r>
        <w:rPr>
          <w:sz w:val="24"/>
        </w:rPr>
        <w:t>②</w:t>
      </w:r>
      <w:r>
        <w:rPr>
          <w:sz w:val="24"/>
        </w:rPr>
        <w:t>水污染：主要是矿井水以及生活污水；</w:t>
      </w:r>
    </w:p>
    <w:p w:rsidR="00240BCE" w:rsidRDefault="00AC0334">
      <w:pPr>
        <w:spacing w:line="520" w:lineRule="exact"/>
        <w:ind w:firstLineChars="200" w:firstLine="480"/>
        <w:rPr>
          <w:sz w:val="24"/>
        </w:rPr>
      </w:pPr>
      <w:r>
        <w:rPr>
          <w:sz w:val="24"/>
        </w:rPr>
        <w:lastRenderedPageBreak/>
        <w:t>③</w:t>
      </w:r>
      <w:r>
        <w:rPr>
          <w:sz w:val="24"/>
        </w:rPr>
        <w:t>噪声：地面噪声源主要有提升机、空压机、机修间、风机等。</w:t>
      </w:r>
    </w:p>
    <w:p w:rsidR="00240BCE" w:rsidRDefault="00AC0334">
      <w:pPr>
        <w:spacing w:line="520" w:lineRule="exact"/>
        <w:ind w:firstLineChars="200" w:firstLine="480"/>
        <w:rPr>
          <w:sz w:val="24"/>
        </w:rPr>
      </w:pPr>
      <w:r>
        <w:rPr>
          <w:sz w:val="24"/>
        </w:rPr>
        <w:t>④</w:t>
      </w:r>
      <w:r>
        <w:rPr>
          <w:sz w:val="24"/>
        </w:rPr>
        <w:t>固体废物：主要为煤矸石和生活垃圾。</w:t>
      </w:r>
    </w:p>
    <w:p w:rsidR="00240BCE" w:rsidRDefault="00AC0334">
      <w:pPr>
        <w:spacing w:line="520" w:lineRule="exact"/>
        <w:ind w:firstLineChars="200" w:firstLine="480"/>
        <w:rPr>
          <w:sz w:val="24"/>
        </w:rPr>
      </w:pPr>
      <w:r>
        <w:rPr>
          <w:sz w:val="24"/>
        </w:rPr>
        <w:t>⑤</w:t>
      </w:r>
      <w:r>
        <w:rPr>
          <w:sz w:val="24"/>
        </w:rPr>
        <w:t>生态环境：煤炭开采后沉陷对井田范围内植被、土壤等的影响。</w:t>
      </w:r>
    </w:p>
    <w:p w:rsidR="00240BCE" w:rsidRDefault="00AC0334">
      <w:pPr>
        <w:spacing w:line="520" w:lineRule="exact"/>
        <w:ind w:firstLineChars="200" w:firstLine="480"/>
        <w:rPr>
          <w:sz w:val="24"/>
        </w:rPr>
      </w:pPr>
      <w:r>
        <w:rPr>
          <w:sz w:val="24"/>
        </w:rPr>
        <w:t>根据项目特点及当地生态环境现状，评价重点关注项目建设对生态环境、环境空气的影响，兼顾其它环境影响，分析评价可能造成环境影响的范围和程度，有针对性地提出合理可行的污染防治措施和生态保护措施。</w:t>
      </w:r>
    </w:p>
    <w:p w:rsidR="00240BCE" w:rsidRDefault="00AC0334" w:rsidP="009C5F33">
      <w:pPr>
        <w:adjustRightInd w:val="0"/>
        <w:snapToGrid w:val="0"/>
        <w:spacing w:beforeLines="100" w:afterLines="50"/>
        <w:jc w:val="left"/>
        <w:outlineLvl w:val="1"/>
        <w:rPr>
          <w:b/>
          <w:bCs/>
          <w:sz w:val="32"/>
          <w:szCs w:val="32"/>
        </w:rPr>
      </w:pPr>
      <w:bookmarkStart w:id="31" w:name="_Toc22609_WPSOffice_Level2"/>
      <w:bookmarkStart w:id="32" w:name="_Toc81934358"/>
      <w:r>
        <w:rPr>
          <w:b/>
          <w:bCs/>
          <w:sz w:val="32"/>
          <w:szCs w:val="32"/>
        </w:rPr>
        <w:t xml:space="preserve">1.6 </w:t>
      </w:r>
      <w:r>
        <w:rPr>
          <w:b/>
          <w:bCs/>
          <w:sz w:val="32"/>
          <w:szCs w:val="32"/>
        </w:rPr>
        <w:t>环境影响评价主要结论</w:t>
      </w:r>
      <w:bookmarkEnd w:id="31"/>
      <w:bookmarkEnd w:id="32"/>
    </w:p>
    <w:p w:rsidR="00240BCE" w:rsidRDefault="00AC0334">
      <w:pPr>
        <w:pStyle w:val="afffffffe"/>
        <w:rPr>
          <w:color w:val="000000"/>
        </w:rPr>
      </w:pPr>
      <w:r>
        <w:t>本项目选用成熟可靠生产工艺、设备，符合清洁生产要求；项目建设符合相关产业政策、规划及环保政策要求。</w:t>
      </w:r>
      <w:r>
        <w:rPr>
          <w:color w:val="000000"/>
        </w:rPr>
        <w:t>项目具有较好的经济效益和社会效益；工程建设和运营过程中会产生一定的环境影响及生态影响，但经对工程采取相应的污染防治措施、生态保护</w:t>
      </w:r>
      <w:r>
        <w:t>与</w:t>
      </w:r>
      <w:r>
        <w:rPr>
          <w:color w:val="000000"/>
        </w:rPr>
        <w:t>恢复</w:t>
      </w:r>
      <w:r>
        <w:t>措施后</w:t>
      </w:r>
      <w:r>
        <w:rPr>
          <w:color w:val="000000"/>
        </w:rPr>
        <w:t>，工程建设和运营过程中所产生的各种污染物均可做到达标排放，生态破坏也可得到恢复与补偿，对周围环境的影响是可以接受的。因此，从环境保护的角度分析，在满足该环评报告所提出的各项污染防治措施及生态恢复措施，切实落实环保</w:t>
      </w:r>
      <w:r>
        <w:rPr>
          <w:color w:val="000000"/>
        </w:rPr>
        <w:t>“</w:t>
      </w:r>
      <w:r>
        <w:rPr>
          <w:color w:val="000000"/>
        </w:rPr>
        <w:t>三同时</w:t>
      </w:r>
      <w:r>
        <w:rPr>
          <w:color w:val="000000"/>
        </w:rPr>
        <w:t>”</w:t>
      </w:r>
      <w:r>
        <w:rPr>
          <w:color w:val="000000"/>
        </w:rPr>
        <w:t>制度的前提下，该项目的建设是可行的。</w:t>
      </w:r>
    </w:p>
    <w:p w:rsidR="00240BCE" w:rsidRDefault="00AC0334">
      <w:pPr>
        <w:pStyle w:val="1"/>
        <w:spacing w:before="120" w:after="120" w:line="360" w:lineRule="auto"/>
        <w:jc w:val="center"/>
        <w:rPr>
          <w:rFonts w:eastAsia="黑体"/>
          <w:b w:val="0"/>
          <w:bCs w:val="0"/>
          <w:sz w:val="36"/>
          <w:szCs w:val="36"/>
        </w:rPr>
      </w:pPr>
      <w:r>
        <w:rPr>
          <w:sz w:val="36"/>
          <w:szCs w:val="36"/>
        </w:rPr>
        <w:br w:type="page"/>
      </w:r>
      <w:bookmarkStart w:id="33" w:name="_Toc12091_WPSOffice_Level1"/>
      <w:bookmarkStart w:id="34" w:name="_Toc79668605"/>
      <w:bookmarkStart w:id="35" w:name="_Toc81934359"/>
      <w:bookmarkEnd w:id="0"/>
      <w:bookmarkEnd w:id="1"/>
      <w:r>
        <w:rPr>
          <w:rFonts w:eastAsia="黑体"/>
          <w:b w:val="0"/>
          <w:bCs w:val="0"/>
          <w:sz w:val="36"/>
          <w:szCs w:val="36"/>
        </w:rPr>
        <w:lastRenderedPageBreak/>
        <w:t xml:space="preserve">2 </w:t>
      </w:r>
      <w:r>
        <w:rPr>
          <w:rFonts w:eastAsia="黑体"/>
          <w:b w:val="0"/>
          <w:bCs w:val="0"/>
          <w:sz w:val="36"/>
          <w:szCs w:val="36"/>
        </w:rPr>
        <w:t>总则</w:t>
      </w:r>
      <w:bookmarkEnd w:id="33"/>
      <w:bookmarkEnd w:id="34"/>
      <w:bookmarkEnd w:id="35"/>
    </w:p>
    <w:p w:rsidR="00240BCE" w:rsidRDefault="00AC0334" w:rsidP="009C5F33">
      <w:pPr>
        <w:pStyle w:val="22CharTimesNewRoman12"/>
        <w:adjustRightInd w:val="0"/>
        <w:snapToGrid w:val="0"/>
        <w:spacing w:beforeLines="100" w:line="240" w:lineRule="auto"/>
        <w:rPr>
          <w:rFonts w:cs="Times New Roman"/>
          <w:sz w:val="32"/>
          <w:szCs w:val="32"/>
        </w:rPr>
      </w:pPr>
      <w:bookmarkStart w:id="36" w:name="_Toc7614_WPSOffice_Level2"/>
      <w:bookmarkStart w:id="37" w:name="_Toc79668606"/>
      <w:bookmarkStart w:id="38" w:name="_Toc512977477"/>
      <w:bookmarkStart w:id="39" w:name="_Toc405801782"/>
      <w:bookmarkStart w:id="40" w:name="_Toc402770869"/>
      <w:bookmarkStart w:id="41" w:name="_Toc400788645"/>
      <w:bookmarkStart w:id="42" w:name="_Toc398715451"/>
      <w:bookmarkStart w:id="43" w:name="_Toc398713936"/>
      <w:bookmarkStart w:id="44" w:name="_Toc398713653"/>
      <w:bookmarkStart w:id="45" w:name="_Toc81934360"/>
      <w:bookmarkStart w:id="46" w:name="_Toc143941624"/>
      <w:bookmarkStart w:id="47" w:name="_Toc148262207"/>
      <w:r>
        <w:rPr>
          <w:rFonts w:cs="Times New Roman"/>
          <w:sz w:val="32"/>
          <w:szCs w:val="32"/>
        </w:rPr>
        <w:t xml:space="preserve">2.1 </w:t>
      </w:r>
      <w:r>
        <w:rPr>
          <w:rFonts w:cs="Times New Roman"/>
          <w:sz w:val="32"/>
          <w:szCs w:val="32"/>
        </w:rPr>
        <w:t>编制依据</w:t>
      </w:r>
      <w:bookmarkEnd w:id="36"/>
      <w:bookmarkEnd w:id="37"/>
      <w:bookmarkEnd w:id="38"/>
      <w:bookmarkEnd w:id="39"/>
      <w:bookmarkEnd w:id="40"/>
      <w:bookmarkEnd w:id="41"/>
      <w:bookmarkEnd w:id="42"/>
      <w:bookmarkEnd w:id="43"/>
      <w:bookmarkEnd w:id="44"/>
      <w:bookmarkEnd w:id="45"/>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48" w:name="_Toc20190_WPSOffice_Level3"/>
      <w:r>
        <w:rPr>
          <w:rFonts w:eastAsia="楷体" w:cs="Times New Roman"/>
          <w:b/>
          <w:szCs w:val="28"/>
          <w:lang w:val="de-DE"/>
        </w:rPr>
        <w:t xml:space="preserve">2.1.1 </w:t>
      </w:r>
      <w:r>
        <w:rPr>
          <w:rFonts w:eastAsia="楷体" w:cs="Times New Roman"/>
          <w:b/>
          <w:szCs w:val="28"/>
          <w:lang w:val="de-DE"/>
        </w:rPr>
        <w:t>法律法规</w:t>
      </w:r>
      <w:bookmarkEnd w:id="48"/>
    </w:p>
    <w:p w:rsidR="00240BCE" w:rsidRDefault="00AC0334">
      <w:pPr>
        <w:spacing w:line="360" w:lineRule="auto"/>
        <w:rPr>
          <w:color w:val="000000"/>
          <w:sz w:val="24"/>
        </w:rPr>
      </w:pPr>
      <w:r>
        <w:rPr>
          <w:color w:val="000000"/>
          <w:sz w:val="24"/>
        </w:rPr>
        <w:t xml:space="preserve">2.1.1.1 </w:t>
      </w:r>
      <w:r>
        <w:rPr>
          <w:color w:val="000000"/>
          <w:sz w:val="24"/>
        </w:rPr>
        <w:t>国家有关环境保护的法律、法规</w:t>
      </w:r>
    </w:p>
    <w:p w:rsidR="00240BCE" w:rsidRDefault="00AC0334">
      <w:pPr>
        <w:spacing w:line="360" w:lineRule="auto"/>
        <w:ind w:firstLineChars="200" w:firstLine="480"/>
        <w:rPr>
          <w:color w:val="000000"/>
          <w:sz w:val="24"/>
        </w:rPr>
      </w:pPr>
      <w:r>
        <w:rPr>
          <w:color w:val="000000"/>
          <w:sz w:val="24"/>
        </w:rPr>
        <w:t>（</w:t>
      </w:r>
      <w:r>
        <w:rPr>
          <w:color w:val="000000"/>
          <w:sz w:val="24"/>
        </w:rPr>
        <w:t>1</w:t>
      </w:r>
      <w:r>
        <w:rPr>
          <w:color w:val="000000"/>
          <w:sz w:val="24"/>
        </w:rPr>
        <w:t>）《中华人民共和国环境保护法》</w:t>
      </w:r>
      <w:r>
        <w:rPr>
          <w:sz w:val="24"/>
          <w:szCs w:val="28"/>
        </w:rPr>
        <w:t>（</w:t>
      </w:r>
      <w:r>
        <w:rPr>
          <w:sz w:val="24"/>
          <w:szCs w:val="28"/>
        </w:rPr>
        <w:t>2014</w:t>
      </w:r>
      <w:r>
        <w:rPr>
          <w:sz w:val="24"/>
          <w:szCs w:val="28"/>
        </w:rPr>
        <w:t>年</w:t>
      </w:r>
      <w:r>
        <w:rPr>
          <w:sz w:val="24"/>
          <w:szCs w:val="28"/>
        </w:rPr>
        <w:t>4</w:t>
      </w:r>
      <w:r>
        <w:rPr>
          <w:sz w:val="24"/>
          <w:szCs w:val="28"/>
        </w:rPr>
        <w:t>月</w:t>
      </w:r>
      <w:r>
        <w:rPr>
          <w:sz w:val="24"/>
          <w:szCs w:val="28"/>
        </w:rPr>
        <w:t>24</w:t>
      </w:r>
      <w:r>
        <w:rPr>
          <w:sz w:val="24"/>
          <w:szCs w:val="28"/>
        </w:rPr>
        <w:t>日修订，</w:t>
      </w:r>
      <w:r>
        <w:rPr>
          <w:sz w:val="24"/>
          <w:szCs w:val="28"/>
        </w:rPr>
        <w:t>2015</w:t>
      </w:r>
      <w:r>
        <w:rPr>
          <w:sz w:val="24"/>
          <w:szCs w:val="28"/>
        </w:rPr>
        <w:t>年</w:t>
      </w:r>
      <w:r>
        <w:rPr>
          <w:sz w:val="24"/>
          <w:szCs w:val="28"/>
        </w:rPr>
        <w:t>1</w:t>
      </w:r>
      <w:r>
        <w:rPr>
          <w:sz w:val="24"/>
          <w:szCs w:val="28"/>
        </w:rPr>
        <w:t>月</w:t>
      </w:r>
      <w:r>
        <w:rPr>
          <w:sz w:val="24"/>
          <w:szCs w:val="28"/>
        </w:rPr>
        <w:t>1</w:t>
      </w:r>
      <w:r>
        <w:rPr>
          <w:sz w:val="24"/>
          <w:szCs w:val="28"/>
        </w:rPr>
        <w:t>日施行）</w:t>
      </w:r>
      <w:r>
        <w:rPr>
          <w:color w:val="000000"/>
          <w:sz w:val="24"/>
        </w:rPr>
        <w:t>；</w:t>
      </w:r>
      <w:r>
        <w:rPr>
          <w:color w:val="000000"/>
          <w:sz w:val="24"/>
        </w:rPr>
        <w:t xml:space="preserve"> </w:t>
      </w:r>
    </w:p>
    <w:p w:rsidR="00240BCE" w:rsidRDefault="00AC0334">
      <w:pPr>
        <w:spacing w:line="360" w:lineRule="auto"/>
        <w:ind w:firstLineChars="200" w:firstLine="480"/>
        <w:rPr>
          <w:color w:val="000000"/>
          <w:sz w:val="24"/>
        </w:rPr>
      </w:pPr>
      <w:r>
        <w:rPr>
          <w:color w:val="000000"/>
          <w:sz w:val="24"/>
        </w:rPr>
        <w:t>（</w:t>
      </w:r>
      <w:r>
        <w:rPr>
          <w:color w:val="000000"/>
          <w:sz w:val="24"/>
        </w:rPr>
        <w:t>2</w:t>
      </w:r>
      <w:r>
        <w:rPr>
          <w:color w:val="000000"/>
          <w:sz w:val="24"/>
        </w:rPr>
        <w:t>）《中华人民共和国环境影响评价法》，</w:t>
      </w:r>
      <w:r>
        <w:rPr>
          <w:color w:val="000000"/>
          <w:sz w:val="24"/>
        </w:rPr>
        <w:t>2</w:t>
      </w:r>
      <w:r>
        <w:rPr>
          <w:bCs/>
          <w:color w:val="000000"/>
          <w:sz w:val="24"/>
        </w:rPr>
        <w:t>018</w:t>
      </w:r>
      <w:r>
        <w:rPr>
          <w:bCs/>
          <w:color w:val="000000"/>
          <w:sz w:val="24"/>
        </w:rPr>
        <w:t>年</w:t>
      </w:r>
      <w:r>
        <w:rPr>
          <w:bCs/>
          <w:color w:val="000000"/>
          <w:sz w:val="24"/>
        </w:rPr>
        <w:t>12</w:t>
      </w:r>
      <w:r>
        <w:rPr>
          <w:bCs/>
          <w:color w:val="000000"/>
          <w:sz w:val="24"/>
        </w:rPr>
        <w:t>月</w:t>
      </w:r>
      <w:r>
        <w:rPr>
          <w:bCs/>
          <w:color w:val="000000"/>
          <w:sz w:val="24"/>
        </w:rPr>
        <w:t>29</w:t>
      </w:r>
      <w:r>
        <w:rPr>
          <w:bCs/>
          <w:color w:val="000000"/>
          <w:sz w:val="24"/>
        </w:rPr>
        <w:t>日修正</w:t>
      </w:r>
      <w:r>
        <w:rPr>
          <w:color w:val="000000"/>
          <w:sz w:val="24"/>
        </w:rPr>
        <w:t>；</w:t>
      </w:r>
    </w:p>
    <w:p w:rsidR="00240BCE" w:rsidRDefault="00AC0334">
      <w:pPr>
        <w:spacing w:line="360" w:lineRule="auto"/>
        <w:ind w:firstLineChars="200" w:firstLine="480"/>
        <w:rPr>
          <w:color w:val="000000"/>
          <w:sz w:val="24"/>
        </w:rPr>
      </w:pPr>
      <w:r>
        <w:rPr>
          <w:color w:val="000000"/>
          <w:sz w:val="24"/>
        </w:rPr>
        <w:t>（</w:t>
      </w:r>
      <w:r>
        <w:rPr>
          <w:color w:val="000000"/>
          <w:sz w:val="24"/>
        </w:rPr>
        <w:t>3</w:t>
      </w:r>
      <w:r>
        <w:rPr>
          <w:color w:val="000000"/>
          <w:sz w:val="24"/>
        </w:rPr>
        <w:t>）《中华人民共和国大气污染防治法》，</w:t>
      </w:r>
      <w:r>
        <w:rPr>
          <w:color w:val="000000"/>
          <w:sz w:val="24"/>
        </w:rPr>
        <w:t>2</w:t>
      </w:r>
      <w:r>
        <w:rPr>
          <w:bCs/>
          <w:color w:val="000000"/>
          <w:sz w:val="24"/>
        </w:rPr>
        <w:t>018</w:t>
      </w:r>
      <w:r>
        <w:rPr>
          <w:bCs/>
          <w:color w:val="000000"/>
          <w:sz w:val="24"/>
        </w:rPr>
        <w:t>年</w:t>
      </w:r>
      <w:r>
        <w:rPr>
          <w:bCs/>
          <w:color w:val="000000"/>
          <w:sz w:val="24"/>
        </w:rPr>
        <w:t>12</w:t>
      </w:r>
      <w:r>
        <w:rPr>
          <w:bCs/>
          <w:color w:val="000000"/>
          <w:sz w:val="24"/>
        </w:rPr>
        <w:t>月</w:t>
      </w:r>
      <w:r>
        <w:rPr>
          <w:bCs/>
          <w:color w:val="000000"/>
          <w:sz w:val="24"/>
        </w:rPr>
        <w:t>29</w:t>
      </w:r>
      <w:r>
        <w:rPr>
          <w:bCs/>
          <w:color w:val="000000"/>
          <w:sz w:val="24"/>
        </w:rPr>
        <w:t>日修正</w:t>
      </w:r>
      <w:r>
        <w:rPr>
          <w:color w:val="000000"/>
          <w:sz w:val="24"/>
        </w:rPr>
        <w:t>；</w:t>
      </w:r>
    </w:p>
    <w:p w:rsidR="00240BCE" w:rsidRDefault="00AC0334">
      <w:pPr>
        <w:spacing w:line="360" w:lineRule="auto"/>
        <w:ind w:firstLineChars="200" w:firstLine="480"/>
        <w:rPr>
          <w:color w:val="000000"/>
          <w:sz w:val="24"/>
        </w:rPr>
      </w:pPr>
      <w:r>
        <w:rPr>
          <w:color w:val="000000"/>
          <w:sz w:val="24"/>
        </w:rPr>
        <w:t>（</w:t>
      </w:r>
      <w:r>
        <w:rPr>
          <w:color w:val="000000"/>
          <w:sz w:val="24"/>
        </w:rPr>
        <w:t>4</w:t>
      </w:r>
      <w:r>
        <w:rPr>
          <w:color w:val="000000"/>
          <w:sz w:val="24"/>
        </w:rPr>
        <w:t>）《中华人民共和国水污染防治法》</w:t>
      </w:r>
      <w:r>
        <w:rPr>
          <w:sz w:val="24"/>
          <w:szCs w:val="28"/>
        </w:rPr>
        <w:t>（</w:t>
      </w:r>
      <w:r>
        <w:rPr>
          <w:sz w:val="24"/>
          <w:szCs w:val="28"/>
        </w:rPr>
        <w:t>2017</w:t>
      </w:r>
      <w:r>
        <w:rPr>
          <w:sz w:val="24"/>
          <w:szCs w:val="28"/>
        </w:rPr>
        <w:t>年</w:t>
      </w:r>
      <w:r>
        <w:rPr>
          <w:sz w:val="24"/>
          <w:szCs w:val="28"/>
        </w:rPr>
        <w:t>6</w:t>
      </w:r>
      <w:r>
        <w:rPr>
          <w:sz w:val="24"/>
          <w:szCs w:val="28"/>
        </w:rPr>
        <w:t>月</w:t>
      </w:r>
      <w:r>
        <w:rPr>
          <w:sz w:val="24"/>
          <w:szCs w:val="28"/>
        </w:rPr>
        <w:t>27</w:t>
      </w:r>
      <w:r>
        <w:rPr>
          <w:sz w:val="24"/>
          <w:szCs w:val="28"/>
        </w:rPr>
        <w:t>日第二次修订，</w:t>
      </w:r>
      <w:r>
        <w:rPr>
          <w:sz w:val="24"/>
          <w:szCs w:val="28"/>
        </w:rPr>
        <w:t>2018</w:t>
      </w:r>
      <w:r>
        <w:rPr>
          <w:sz w:val="24"/>
          <w:szCs w:val="28"/>
        </w:rPr>
        <w:t>年</w:t>
      </w:r>
      <w:r>
        <w:rPr>
          <w:sz w:val="24"/>
          <w:szCs w:val="28"/>
        </w:rPr>
        <w:t>1</w:t>
      </w:r>
      <w:r>
        <w:rPr>
          <w:sz w:val="24"/>
          <w:szCs w:val="28"/>
        </w:rPr>
        <w:t>月</w:t>
      </w:r>
      <w:r>
        <w:rPr>
          <w:sz w:val="24"/>
          <w:szCs w:val="28"/>
        </w:rPr>
        <w:t>1</w:t>
      </w:r>
      <w:r>
        <w:rPr>
          <w:sz w:val="24"/>
          <w:szCs w:val="28"/>
        </w:rPr>
        <w:t>日施行）</w:t>
      </w:r>
      <w:r>
        <w:rPr>
          <w:color w:val="000000"/>
          <w:sz w:val="24"/>
        </w:rPr>
        <w:t>；</w:t>
      </w:r>
    </w:p>
    <w:p w:rsidR="00240BCE" w:rsidRDefault="00AC0334">
      <w:pPr>
        <w:spacing w:line="360" w:lineRule="auto"/>
        <w:ind w:firstLineChars="200" w:firstLine="480"/>
        <w:rPr>
          <w:color w:val="000000"/>
          <w:sz w:val="24"/>
        </w:rPr>
      </w:pPr>
      <w:r>
        <w:rPr>
          <w:color w:val="000000"/>
          <w:sz w:val="24"/>
        </w:rPr>
        <w:t>（</w:t>
      </w:r>
      <w:r>
        <w:rPr>
          <w:color w:val="000000"/>
          <w:sz w:val="24"/>
        </w:rPr>
        <w:t>5</w:t>
      </w:r>
      <w:r>
        <w:rPr>
          <w:color w:val="000000"/>
          <w:sz w:val="24"/>
        </w:rPr>
        <w:t>）《中华人民共和国环境噪声污染防治法》，</w:t>
      </w:r>
      <w:r>
        <w:rPr>
          <w:color w:val="000000"/>
          <w:sz w:val="24"/>
        </w:rPr>
        <w:t>2018</w:t>
      </w:r>
      <w:r>
        <w:rPr>
          <w:color w:val="000000"/>
          <w:sz w:val="24"/>
        </w:rPr>
        <w:t>年</w:t>
      </w:r>
      <w:r>
        <w:rPr>
          <w:color w:val="000000"/>
          <w:sz w:val="24"/>
        </w:rPr>
        <w:t>12</w:t>
      </w:r>
      <w:r>
        <w:rPr>
          <w:color w:val="000000"/>
          <w:sz w:val="24"/>
        </w:rPr>
        <w:t>月</w:t>
      </w:r>
      <w:r>
        <w:rPr>
          <w:color w:val="000000"/>
          <w:sz w:val="24"/>
        </w:rPr>
        <w:t>29</w:t>
      </w:r>
      <w:r>
        <w:rPr>
          <w:color w:val="000000"/>
          <w:sz w:val="24"/>
        </w:rPr>
        <w:t>日修正；</w:t>
      </w:r>
    </w:p>
    <w:p w:rsidR="00240BCE" w:rsidRDefault="00AC0334">
      <w:pPr>
        <w:spacing w:line="360" w:lineRule="auto"/>
        <w:ind w:firstLineChars="200" w:firstLine="480"/>
        <w:rPr>
          <w:color w:val="000000"/>
          <w:sz w:val="24"/>
        </w:rPr>
      </w:pPr>
      <w:r>
        <w:rPr>
          <w:color w:val="000000"/>
          <w:sz w:val="24"/>
        </w:rPr>
        <w:t>（</w:t>
      </w:r>
      <w:r>
        <w:rPr>
          <w:color w:val="000000"/>
          <w:sz w:val="24"/>
        </w:rPr>
        <w:t>6</w:t>
      </w:r>
      <w:r>
        <w:rPr>
          <w:color w:val="000000"/>
          <w:sz w:val="24"/>
        </w:rPr>
        <w:t>）《中华人民共和国土壤污染防治法》，</w:t>
      </w:r>
      <w:r>
        <w:rPr>
          <w:color w:val="000000"/>
          <w:sz w:val="24"/>
        </w:rPr>
        <w:t xml:space="preserve">2019 </w:t>
      </w:r>
      <w:r>
        <w:rPr>
          <w:color w:val="000000"/>
          <w:sz w:val="24"/>
        </w:rPr>
        <w:t>年</w:t>
      </w:r>
      <w:r>
        <w:rPr>
          <w:color w:val="000000"/>
          <w:sz w:val="24"/>
        </w:rPr>
        <w:t xml:space="preserve">1 </w:t>
      </w:r>
      <w:r>
        <w:rPr>
          <w:color w:val="000000"/>
          <w:sz w:val="24"/>
        </w:rPr>
        <w:t>月</w:t>
      </w:r>
      <w:r>
        <w:rPr>
          <w:color w:val="000000"/>
          <w:sz w:val="24"/>
        </w:rPr>
        <w:t xml:space="preserve">1 </w:t>
      </w:r>
      <w:r>
        <w:rPr>
          <w:color w:val="000000"/>
          <w:sz w:val="24"/>
        </w:rPr>
        <w:t>日起施行。</w:t>
      </w:r>
    </w:p>
    <w:p w:rsidR="00240BCE" w:rsidRDefault="00AC0334">
      <w:pPr>
        <w:spacing w:line="360" w:lineRule="auto"/>
        <w:ind w:firstLineChars="200" w:firstLine="480"/>
        <w:rPr>
          <w:color w:val="000000"/>
          <w:sz w:val="24"/>
        </w:rPr>
      </w:pPr>
      <w:r>
        <w:rPr>
          <w:color w:val="000000"/>
          <w:sz w:val="24"/>
        </w:rPr>
        <w:t>（</w:t>
      </w:r>
      <w:r>
        <w:rPr>
          <w:color w:val="000000"/>
          <w:sz w:val="24"/>
        </w:rPr>
        <w:t>7</w:t>
      </w:r>
      <w:r>
        <w:rPr>
          <w:color w:val="000000"/>
          <w:sz w:val="24"/>
        </w:rPr>
        <w:t>）《中华人民共和国固体废物污染环境防治法》</w:t>
      </w:r>
      <w:r>
        <w:rPr>
          <w:color w:val="000000"/>
          <w:sz w:val="24"/>
        </w:rPr>
        <w:t>(</w:t>
      </w:r>
      <w:r>
        <w:rPr>
          <w:sz w:val="24"/>
          <w:szCs w:val="28"/>
        </w:rPr>
        <w:t>2020</w:t>
      </w:r>
      <w:r>
        <w:rPr>
          <w:sz w:val="24"/>
          <w:szCs w:val="28"/>
        </w:rPr>
        <w:t>年</w:t>
      </w:r>
      <w:r>
        <w:rPr>
          <w:sz w:val="24"/>
          <w:szCs w:val="28"/>
        </w:rPr>
        <w:t>4</w:t>
      </w:r>
      <w:r>
        <w:rPr>
          <w:sz w:val="24"/>
          <w:szCs w:val="28"/>
        </w:rPr>
        <w:t>月</w:t>
      </w:r>
      <w:r>
        <w:rPr>
          <w:sz w:val="24"/>
          <w:szCs w:val="28"/>
        </w:rPr>
        <w:t>29</w:t>
      </w:r>
      <w:r>
        <w:rPr>
          <w:sz w:val="24"/>
          <w:szCs w:val="28"/>
        </w:rPr>
        <w:t>日修订，</w:t>
      </w:r>
      <w:r>
        <w:rPr>
          <w:sz w:val="24"/>
          <w:szCs w:val="28"/>
        </w:rPr>
        <w:t>2020</w:t>
      </w:r>
      <w:r>
        <w:rPr>
          <w:sz w:val="24"/>
          <w:szCs w:val="28"/>
        </w:rPr>
        <w:t>年</w:t>
      </w:r>
      <w:r>
        <w:rPr>
          <w:sz w:val="24"/>
          <w:szCs w:val="28"/>
        </w:rPr>
        <w:t>9</w:t>
      </w:r>
      <w:r>
        <w:rPr>
          <w:sz w:val="24"/>
          <w:szCs w:val="28"/>
        </w:rPr>
        <w:t>月</w:t>
      </w:r>
      <w:r>
        <w:rPr>
          <w:sz w:val="24"/>
          <w:szCs w:val="28"/>
        </w:rPr>
        <w:t>1</w:t>
      </w:r>
      <w:r>
        <w:rPr>
          <w:sz w:val="24"/>
          <w:szCs w:val="28"/>
        </w:rPr>
        <w:t>日施行</w:t>
      </w:r>
      <w:r>
        <w:rPr>
          <w:color w:val="000000"/>
          <w:sz w:val="24"/>
        </w:rPr>
        <w:t>)</w:t>
      </w:r>
      <w:r>
        <w:rPr>
          <w:color w:val="000000"/>
          <w:sz w:val="24"/>
        </w:rPr>
        <w:t>；</w:t>
      </w:r>
    </w:p>
    <w:p w:rsidR="00240BCE" w:rsidRDefault="00AC0334">
      <w:pPr>
        <w:spacing w:line="360" w:lineRule="auto"/>
        <w:ind w:firstLineChars="200" w:firstLine="480"/>
        <w:rPr>
          <w:color w:val="000000"/>
          <w:sz w:val="24"/>
        </w:rPr>
      </w:pPr>
      <w:r>
        <w:rPr>
          <w:color w:val="000000"/>
          <w:sz w:val="24"/>
        </w:rPr>
        <w:t>（</w:t>
      </w:r>
      <w:r>
        <w:rPr>
          <w:color w:val="000000"/>
          <w:sz w:val="24"/>
        </w:rPr>
        <w:t>8</w:t>
      </w:r>
      <w:r>
        <w:rPr>
          <w:color w:val="000000"/>
          <w:sz w:val="24"/>
        </w:rPr>
        <w:t>）《中华人民共和国清洁生产促进法》，</w:t>
      </w:r>
      <w:r>
        <w:rPr>
          <w:color w:val="000000"/>
          <w:sz w:val="24"/>
        </w:rPr>
        <w:t>2012</w:t>
      </w:r>
      <w:r>
        <w:rPr>
          <w:color w:val="000000"/>
          <w:sz w:val="24"/>
        </w:rPr>
        <w:t>年</w:t>
      </w:r>
      <w:r>
        <w:rPr>
          <w:color w:val="000000"/>
          <w:sz w:val="24"/>
        </w:rPr>
        <w:t>7</w:t>
      </w:r>
      <w:r>
        <w:rPr>
          <w:color w:val="000000"/>
          <w:sz w:val="24"/>
        </w:rPr>
        <w:t>月</w:t>
      </w:r>
      <w:r>
        <w:rPr>
          <w:color w:val="000000"/>
          <w:sz w:val="24"/>
        </w:rPr>
        <w:t>1</w:t>
      </w:r>
      <w:r>
        <w:rPr>
          <w:color w:val="000000"/>
          <w:sz w:val="24"/>
        </w:rPr>
        <w:t>日；</w:t>
      </w:r>
    </w:p>
    <w:p w:rsidR="00240BCE" w:rsidRDefault="00AC0334">
      <w:pPr>
        <w:spacing w:line="360" w:lineRule="auto"/>
        <w:ind w:firstLineChars="200" w:firstLine="480"/>
        <w:rPr>
          <w:color w:val="000000"/>
          <w:sz w:val="24"/>
        </w:rPr>
      </w:pPr>
      <w:r>
        <w:rPr>
          <w:color w:val="000000"/>
          <w:sz w:val="24"/>
        </w:rPr>
        <w:t>（</w:t>
      </w:r>
      <w:r>
        <w:rPr>
          <w:color w:val="000000"/>
          <w:sz w:val="24"/>
        </w:rPr>
        <w:t>9</w:t>
      </w:r>
      <w:r>
        <w:rPr>
          <w:color w:val="000000"/>
          <w:sz w:val="24"/>
        </w:rPr>
        <w:t>）《中华人民共和国循环经济促进法》（</w:t>
      </w:r>
      <w:r>
        <w:rPr>
          <w:color w:val="000000"/>
          <w:sz w:val="24"/>
        </w:rPr>
        <w:t>2018</w:t>
      </w:r>
      <w:r>
        <w:rPr>
          <w:color w:val="000000"/>
          <w:sz w:val="24"/>
        </w:rPr>
        <w:t>年</w:t>
      </w:r>
      <w:r>
        <w:rPr>
          <w:color w:val="000000"/>
          <w:sz w:val="24"/>
        </w:rPr>
        <w:t>10</w:t>
      </w:r>
      <w:r>
        <w:rPr>
          <w:color w:val="000000"/>
          <w:sz w:val="24"/>
        </w:rPr>
        <w:t>月</w:t>
      </w:r>
      <w:r>
        <w:rPr>
          <w:color w:val="000000"/>
          <w:sz w:val="24"/>
        </w:rPr>
        <w:t>26</w:t>
      </w:r>
      <w:r>
        <w:rPr>
          <w:color w:val="000000"/>
          <w:sz w:val="24"/>
        </w:rPr>
        <w:t>日修正）；</w:t>
      </w:r>
    </w:p>
    <w:p w:rsidR="00240BCE" w:rsidRDefault="00AC0334">
      <w:pPr>
        <w:spacing w:line="360" w:lineRule="auto"/>
        <w:ind w:firstLineChars="200" w:firstLine="480"/>
        <w:rPr>
          <w:color w:val="000000"/>
          <w:sz w:val="24"/>
        </w:rPr>
      </w:pPr>
      <w:r>
        <w:rPr>
          <w:color w:val="000000"/>
          <w:sz w:val="24"/>
        </w:rPr>
        <w:t>（</w:t>
      </w:r>
      <w:r>
        <w:rPr>
          <w:color w:val="000000"/>
          <w:sz w:val="24"/>
        </w:rPr>
        <w:t>10</w:t>
      </w:r>
      <w:r>
        <w:rPr>
          <w:color w:val="000000"/>
          <w:sz w:val="24"/>
        </w:rPr>
        <w:t>）《中华人民共和国水土保持法》，</w:t>
      </w:r>
      <w:r>
        <w:rPr>
          <w:color w:val="000000"/>
          <w:sz w:val="24"/>
        </w:rPr>
        <w:t>2011</w:t>
      </w:r>
      <w:r>
        <w:rPr>
          <w:color w:val="000000"/>
          <w:sz w:val="24"/>
        </w:rPr>
        <w:t>年</w:t>
      </w:r>
      <w:r>
        <w:rPr>
          <w:color w:val="000000"/>
          <w:sz w:val="24"/>
        </w:rPr>
        <w:t>3</w:t>
      </w:r>
      <w:r>
        <w:rPr>
          <w:color w:val="000000"/>
          <w:sz w:val="24"/>
        </w:rPr>
        <w:t>月</w:t>
      </w:r>
      <w:r>
        <w:rPr>
          <w:color w:val="000000"/>
          <w:sz w:val="24"/>
        </w:rPr>
        <w:t>1</w:t>
      </w:r>
      <w:r>
        <w:rPr>
          <w:color w:val="000000"/>
          <w:sz w:val="24"/>
        </w:rPr>
        <w:t>日；</w:t>
      </w:r>
    </w:p>
    <w:p w:rsidR="00240BCE" w:rsidRDefault="00AC0334">
      <w:pPr>
        <w:spacing w:line="360" w:lineRule="auto"/>
        <w:ind w:firstLineChars="200" w:firstLine="480"/>
        <w:rPr>
          <w:color w:val="000000"/>
          <w:sz w:val="24"/>
        </w:rPr>
      </w:pPr>
      <w:r>
        <w:rPr>
          <w:color w:val="000000"/>
          <w:sz w:val="24"/>
        </w:rPr>
        <w:t>（</w:t>
      </w:r>
      <w:r>
        <w:rPr>
          <w:color w:val="000000"/>
          <w:sz w:val="24"/>
        </w:rPr>
        <w:t>11</w:t>
      </w:r>
      <w:r>
        <w:rPr>
          <w:color w:val="000000"/>
          <w:sz w:val="24"/>
        </w:rPr>
        <w:t>）《中华人民共和国矿产资源法》，</w:t>
      </w:r>
      <w:r>
        <w:rPr>
          <w:color w:val="000000"/>
          <w:sz w:val="24"/>
        </w:rPr>
        <w:t>2009</w:t>
      </w:r>
      <w:r>
        <w:rPr>
          <w:color w:val="000000"/>
          <w:sz w:val="24"/>
        </w:rPr>
        <w:t>年</w:t>
      </w:r>
      <w:r>
        <w:rPr>
          <w:color w:val="000000"/>
          <w:sz w:val="24"/>
        </w:rPr>
        <w:t>8</w:t>
      </w:r>
      <w:r>
        <w:rPr>
          <w:color w:val="000000"/>
          <w:sz w:val="24"/>
        </w:rPr>
        <w:t>月</w:t>
      </w:r>
      <w:r>
        <w:rPr>
          <w:color w:val="000000"/>
          <w:sz w:val="24"/>
        </w:rPr>
        <w:t>27</w:t>
      </w:r>
      <w:r>
        <w:rPr>
          <w:color w:val="000000"/>
          <w:sz w:val="24"/>
        </w:rPr>
        <w:t>日修正；</w:t>
      </w:r>
    </w:p>
    <w:p w:rsidR="00240BCE" w:rsidRDefault="00AC0334">
      <w:pPr>
        <w:spacing w:line="360" w:lineRule="auto"/>
        <w:ind w:firstLineChars="200" w:firstLine="480"/>
        <w:rPr>
          <w:bCs/>
          <w:color w:val="000000"/>
          <w:sz w:val="24"/>
        </w:rPr>
      </w:pPr>
      <w:r>
        <w:rPr>
          <w:bCs/>
          <w:color w:val="000000"/>
          <w:sz w:val="24"/>
        </w:rPr>
        <w:t>（</w:t>
      </w:r>
      <w:r>
        <w:rPr>
          <w:bCs/>
          <w:color w:val="000000"/>
          <w:sz w:val="24"/>
        </w:rPr>
        <w:t>12</w:t>
      </w:r>
      <w:r>
        <w:rPr>
          <w:bCs/>
          <w:color w:val="000000"/>
          <w:sz w:val="24"/>
        </w:rPr>
        <w:t>）《建设项目环境保护管理条例》（国务院令第</w:t>
      </w:r>
      <w:r>
        <w:rPr>
          <w:bCs/>
          <w:color w:val="000000"/>
          <w:sz w:val="24"/>
        </w:rPr>
        <w:t>682</w:t>
      </w:r>
      <w:r>
        <w:rPr>
          <w:bCs/>
          <w:color w:val="000000"/>
          <w:sz w:val="24"/>
        </w:rPr>
        <w:t>号）），</w:t>
      </w:r>
      <w:r>
        <w:rPr>
          <w:bCs/>
          <w:color w:val="000000"/>
          <w:sz w:val="24"/>
        </w:rPr>
        <w:t xml:space="preserve">2017 </w:t>
      </w:r>
      <w:r>
        <w:rPr>
          <w:bCs/>
          <w:color w:val="000000"/>
          <w:sz w:val="24"/>
        </w:rPr>
        <w:t>年</w:t>
      </w:r>
      <w:r>
        <w:rPr>
          <w:bCs/>
          <w:color w:val="000000"/>
          <w:sz w:val="24"/>
        </w:rPr>
        <w:t xml:space="preserve">10 </w:t>
      </w:r>
      <w:r>
        <w:rPr>
          <w:bCs/>
          <w:color w:val="000000"/>
          <w:sz w:val="24"/>
        </w:rPr>
        <w:t>月</w:t>
      </w:r>
      <w:r>
        <w:rPr>
          <w:bCs/>
          <w:color w:val="000000"/>
          <w:sz w:val="24"/>
        </w:rPr>
        <w:t xml:space="preserve">1 </w:t>
      </w:r>
      <w:r>
        <w:rPr>
          <w:bCs/>
          <w:color w:val="000000"/>
          <w:sz w:val="24"/>
        </w:rPr>
        <w:t>日；</w:t>
      </w:r>
    </w:p>
    <w:p w:rsidR="00240BCE" w:rsidRDefault="00AC0334" w:rsidP="00FB079C">
      <w:pPr>
        <w:spacing w:line="360" w:lineRule="auto"/>
        <w:rPr>
          <w:bCs/>
          <w:color w:val="000000"/>
          <w:sz w:val="24"/>
        </w:rPr>
      </w:pPr>
      <w:r>
        <w:rPr>
          <w:bCs/>
          <w:color w:val="000000"/>
          <w:sz w:val="24"/>
        </w:rPr>
        <w:t xml:space="preserve">2.1.1.2 </w:t>
      </w:r>
      <w:r>
        <w:rPr>
          <w:bCs/>
          <w:color w:val="000000"/>
          <w:sz w:val="24"/>
        </w:rPr>
        <w:t>地方有关环境保护的法规</w:t>
      </w:r>
    </w:p>
    <w:p w:rsidR="00240BCE" w:rsidRDefault="00AC0334">
      <w:pPr>
        <w:spacing w:line="360" w:lineRule="auto"/>
        <w:ind w:firstLineChars="200" w:firstLine="480"/>
        <w:rPr>
          <w:bCs/>
          <w:color w:val="000000"/>
          <w:sz w:val="24"/>
        </w:rPr>
      </w:pPr>
      <w:r>
        <w:rPr>
          <w:bCs/>
          <w:color w:val="000000"/>
          <w:sz w:val="24"/>
        </w:rPr>
        <w:t>（</w:t>
      </w:r>
      <w:r>
        <w:rPr>
          <w:bCs/>
          <w:color w:val="000000"/>
          <w:sz w:val="24"/>
        </w:rPr>
        <w:t>1</w:t>
      </w:r>
      <w:r>
        <w:rPr>
          <w:bCs/>
          <w:color w:val="000000"/>
          <w:sz w:val="24"/>
        </w:rPr>
        <w:t>）《河南省建设项目环境保护条例》（</w:t>
      </w:r>
      <w:r>
        <w:rPr>
          <w:bCs/>
          <w:color w:val="000000"/>
          <w:sz w:val="24"/>
        </w:rPr>
        <w:t>2016.3.29</w:t>
      </w:r>
      <w:r>
        <w:rPr>
          <w:bCs/>
          <w:color w:val="000000"/>
          <w:sz w:val="24"/>
        </w:rPr>
        <w:t>）；</w:t>
      </w:r>
    </w:p>
    <w:p w:rsidR="00240BCE" w:rsidRDefault="00AC0334">
      <w:pPr>
        <w:spacing w:line="360" w:lineRule="auto"/>
        <w:ind w:firstLineChars="200" w:firstLine="480"/>
        <w:rPr>
          <w:bCs/>
          <w:color w:val="000000"/>
          <w:sz w:val="24"/>
        </w:rPr>
      </w:pPr>
      <w:r>
        <w:rPr>
          <w:bCs/>
          <w:color w:val="000000"/>
          <w:sz w:val="24"/>
        </w:rPr>
        <w:t>（</w:t>
      </w:r>
      <w:r>
        <w:rPr>
          <w:bCs/>
          <w:color w:val="000000"/>
          <w:sz w:val="24"/>
        </w:rPr>
        <w:t>2</w:t>
      </w:r>
      <w:r>
        <w:rPr>
          <w:bCs/>
          <w:color w:val="000000"/>
          <w:sz w:val="24"/>
        </w:rPr>
        <w:t>）《河南省大气污染防治条例》（</w:t>
      </w:r>
      <w:r>
        <w:rPr>
          <w:bCs/>
          <w:color w:val="000000"/>
          <w:sz w:val="24"/>
        </w:rPr>
        <w:t>2018</w:t>
      </w:r>
      <w:r>
        <w:rPr>
          <w:bCs/>
          <w:color w:val="000000"/>
          <w:sz w:val="24"/>
        </w:rPr>
        <w:t>年</w:t>
      </w:r>
      <w:r>
        <w:rPr>
          <w:bCs/>
          <w:color w:val="000000"/>
          <w:sz w:val="24"/>
        </w:rPr>
        <w:t>3</w:t>
      </w:r>
      <w:r>
        <w:rPr>
          <w:bCs/>
          <w:color w:val="000000"/>
          <w:sz w:val="24"/>
        </w:rPr>
        <w:t>月</w:t>
      </w:r>
      <w:r>
        <w:rPr>
          <w:bCs/>
          <w:color w:val="000000"/>
          <w:sz w:val="24"/>
        </w:rPr>
        <w:t>1</w:t>
      </w:r>
      <w:r>
        <w:rPr>
          <w:bCs/>
          <w:color w:val="000000"/>
          <w:sz w:val="24"/>
        </w:rPr>
        <w:t>日起施行）；</w:t>
      </w:r>
    </w:p>
    <w:p w:rsidR="00240BCE" w:rsidRDefault="00AC0334">
      <w:pPr>
        <w:spacing w:line="360" w:lineRule="auto"/>
        <w:ind w:firstLineChars="200" w:firstLine="480"/>
        <w:rPr>
          <w:bCs/>
          <w:color w:val="000000"/>
          <w:sz w:val="24"/>
        </w:rPr>
      </w:pPr>
      <w:r>
        <w:rPr>
          <w:bCs/>
          <w:color w:val="000000"/>
          <w:sz w:val="24"/>
        </w:rPr>
        <w:t>（</w:t>
      </w:r>
      <w:r>
        <w:rPr>
          <w:bCs/>
          <w:color w:val="000000"/>
          <w:sz w:val="24"/>
        </w:rPr>
        <w:t>3</w:t>
      </w:r>
      <w:r>
        <w:rPr>
          <w:bCs/>
          <w:color w:val="000000"/>
          <w:sz w:val="24"/>
        </w:rPr>
        <w:t>）《河南省水污染防治条例》（河南省第十三届人民代表大会常务委员会第十次会议于</w:t>
      </w:r>
      <w:r>
        <w:rPr>
          <w:bCs/>
          <w:color w:val="000000"/>
          <w:sz w:val="24"/>
        </w:rPr>
        <w:t>2019</w:t>
      </w:r>
      <w:r>
        <w:rPr>
          <w:bCs/>
          <w:color w:val="000000"/>
          <w:sz w:val="24"/>
        </w:rPr>
        <w:t>年</w:t>
      </w:r>
      <w:r>
        <w:rPr>
          <w:bCs/>
          <w:color w:val="000000"/>
          <w:sz w:val="24"/>
        </w:rPr>
        <w:t>5</w:t>
      </w:r>
      <w:r>
        <w:rPr>
          <w:bCs/>
          <w:color w:val="000000"/>
          <w:sz w:val="24"/>
        </w:rPr>
        <w:t>月</w:t>
      </w:r>
      <w:r>
        <w:rPr>
          <w:bCs/>
          <w:color w:val="000000"/>
          <w:sz w:val="24"/>
        </w:rPr>
        <w:t>31</w:t>
      </w:r>
      <w:r>
        <w:rPr>
          <w:bCs/>
          <w:color w:val="000000"/>
          <w:sz w:val="24"/>
        </w:rPr>
        <w:t>日审议通过，</w:t>
      </w:r>
      <w:r>
        <w:rPr>
          <w:bCs/>
          <w:color w:val="000000"/>
          <w:sz w:val="24"/>
        </w:rPr>
        <w:t>2019</w:t>
      </w:r>
      <w:r>
        <w:rPr>
          <w:bCs/>
          <w:color w:val="000000"/>
          <w:sz w:val="24"/>
        </w:rPr>
        <w:t>年</w:t>
      </w:r>
      <w:r>
        <w:rPr>
          <w:bCs/>
          <w:color w:val="000000"/>
          <w:sz w:val="24"/>
        </w:rPr>
        <w:t>10</w:t>
      </w:r>
      <w:r>
        <w:rPr>
          <w:bCs/>
          <w:color w:val="000000"/>
          <w:sz w:val="24"/>
        </w:rPr>
        <w:t>月</w:t>
      </w:r>
      <w:r>
        <w:rPr>
          <w:bCs/>
          <w:color w:val="000000"/>
          <w:sz w:val="24"/>
        </w:rPr>
        <w:t>1</w:t>
      </w:r>
      <w:r>
        <w:rPr>
          <w:bCs/>
          <w:color w:val="000000"/>
          <w:sz w:val="24"/>
        </w:rPr>
        <w:t>日起施行）；</w:t>
      </w:r>
    </w:p>
    <w:p w:rsidR="00240BCE" w:rsidRDefault="00AC0334">
      <w:pPr>
        <w:spacing w:line="360" w:lineRule="auto"/>
        <w:ind w:firstLineChars="200" w:firstLine="480"/>
        <w:rPr>
          <w:bCs/>
          <w:color w:val="000000"/>
          <w:sz w:val="24"/>
        </w:rPr>
      </w:pPr>
      <w:r>
        <w:rPr>
          <w:bCs/>
          <w:color w:val="000000"/>
          <w:sz w:val="24"/>
        </w:rPr>
        <w:t>（</w:t>
      </w:r>
      <w:r>
        <w:rPr>
          <w:bCs/>
          <w:color w:val="000000"/>
          <w:sz w:val="24"/>
        </w:rPr>
        <w:t>4</w:t>
      </w:r>
      <w:r>
        <w:rPr>
          <w:bCs/>
          <w:color w:val="000000"/>
          <w:sz w:val="24"/>
        </w:rPr>
        <w:t>）《河南省固体废物污染环境防治条例》（</w:t>
      </w:r>
      <w:r>
        <w:rPr>
          <w:bCs/>
          <w:color w:val="000000"/>
          <w:sz w:val="24"/>
        </w:rPr>
        <w:t>2011</w:t>
      </w:r>
      <w:r>
        <w:rPr>
          <w:bCs/>
          <w:color w:val="000000"/>
          <w:sz w:val="24"/>
        </w:rPr>
        <w:t>年</w:t>
      </w:r>
      <w:r>
        <w:rPr>
          <w:bCs/>
          <w:color w:val="000000"/>
          <w:sz w:val="24"/>
        </w:rPr>
        <w:t>9</w:t>
      </w:r>
      <w:r>
        <w:rPr>
          <w:bCs/>
          <w:color w:val="000000"/>
          <w:sz w:val="24"/>
        </w:rPr>
        <w:t>月</w:t>
      </w:r>
      <w:r>
        <w:rPr>
          <w:bCs/>
          <w:color w:val="000000"/>
          <w:sz w:val="24"/>
        </w:rPr>
        <w:t>28</w:t>
      </w:r>
      <w:r>
        <w:rPr>
          <w:bCs/>
          <w:color w:val="000000"/>
          <w:sz w:val="24"/>
        </w:rPr>
        <w:t>日河南省第十一届人民代表大会常务委员会第二十三次会议通过，</w:t>
      </w:r>
      <w:r>
        <w:rPr>
          <w:bCs/>
          <w:color w:val="000000"/>
          <w:sz w:val="24"/>
        </w:rPr>
        <w:t>2012</w:t>
      </w:r>
      <w:r>
        <w:rPr>
          <w:bCs/>
          <w:color w:val="000000"/>
          <w:sz w:val="24"/>
        </w:rPr>
        <w:t>年</w:t>
      </w:r>
      <w:r>
        <w:rPr>
          <w:bCs/>
          <w:color w:val="000000"/>
          <w:sz w:val="24"/>
        </w:rPr>
        <w:t>1</w:t>
      </w:r>
      <w:r>
        <w:rPr>
          <w:bCs/>
          <w:color w:val="000000"/>
          <w:sz w:val="24"/>
        </w:rPr>
        <w:t>月</w:t>
      </w:r>
      <w:r>
        <w:rPr>
          <w:bCs/>
          <w:color w:val="000000"/>
          <w:sz w:val="24"/>
        </w:rPr>
        <w:t>1</w:t>
      </w:r>
      <w:r>
        <w:rPr>
          <w:bCs/>
          <w:color w:val="000000"/>
          <w:sz w:val="24"/>
        </w:rPr>
        <w:t>日起施行）。</w:t>
      </w:r>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49" w:name="_Toc566_WPSOffice_Level3"/>
      <w:r>
        <w:rPr>
          <w:rFonts w:eastAsia="楷体" w:cs="Times New Roman"/>
          <w:b/>
          <w:szCs w:val="28"/>
          <w:lang w:val="de-DE"/>
        </w:rPr>
        <w:lastRenderedPageBreak/>
        <w:t xml:space="preserve">2.1.2 </w:t>
      </w:r>
      <w:r>
        <w:rPr>
          <w:rFonts w:eastAsia="楷体" w:cs="Times New Roman"/>
          <w:b/>
          <w:szCs w:val="28"/>
          <w:lang w:val="de-DE"/>
        </w:rPr>
        <w:t>部门规章及政策性文件</w:t>
      </w:r>
      <w:bookmarkEnd w:id="49"/>
    </w:p>
    <w:p w:rsidR="00240BCE" w:rsidRDefault="00AC0334">
      <w:pPr>
        <w:spacing w:line="520" w:lineRule="exact"/>
        <w:rPr>
          <w:color w:val="000000"/>
          <w:sz w:val="24"/>
        </w:rPr>
      </w:pPr>
      <w:r>
        <w:rPr>
          <w:color w:val="000000"/>
          <w:sz w:val="24"/>
        </w:rPr>
        <w:t xml:space="preserve">2.1.2.1 </w:t>
      </w:r>
      <w:r>
        <w:rPr>
          <w:color w:val="000000"/>
          <w:sz w:val="24"/>
        </w:rPr>
        <w:t>国务院、部委规章及政策性文件</w:t>
      </w:r>
    </w:p>
    <w:p w:rsidR="00240BCE" w:rsidRDefault="00AC0334">
      <w:pPr>
        <w:spacing w:line="520" w:lineRule="exact"/>
        <w:ind w:firstLineChars="200" w:firstLine="480"/>
        <w:rPr>
          <w:bCs/>
          <w:color w:val="000000"/>
          <w:sz w:val="24"/>
        </w:rPr>
      </w:pPr>
      <w:r>
        <w:rPr>
          <w:bCs/>
          <w:color w:val="000000"/>
          <w:sz w:val="24"/>
        </w:rPr>
        <w:t>（</w:t>
      </w:r>
      <w:r>
        <w:rPr>
          <w:bCs/>
          <w:color w:val="000000"/>
          <w:sz w:val="24"/>
        </w:rPr>
        <w:t>1</w:t>
      </w:r>
      <w:r>
        <w:rPr>
          <w:bCs/>
          <w:color w:val="000000"/>
          <w:sz w:val="24"/>
        </w:rPr>
        <w:t>）《矿产资源开采登记管理办法》（国务院令</w:t>
      </w:r>
      <w:r>
        <w:rPr>
          <w:bCs/>
          <w:color w:val="000000"/>
          <w:sz w:val="24"/>
        </w:rPr>
        <w:t>653</w:t>
      </w:r>
      <w:r>
        <w:rPr>
          <w:bCs/>
          <w:color w:val="000000"/>
          <w:sz w:val="24"/>
        </w:rPr>
        <w:t>号），</w:t>
      </w:r>
      <w:r>
        <w:rPr>
          <w:bCs/>
          <w:color w:val="000000"/>
          <w:sz w:val="24"/>
        </w:rPr>
        <w:t>2017</w:t>
      </w:r>
      <w:r>
        <w:rPr>
          <w:bCs/>
          <w:color w:val="000000"/>
          <w:sz w:val="24"/>
        </w:rPr>
        <w:t>年</w:t>
      </w:r>
      <w:r>
        <w:rPr>
          <w:bCs/>
          <w:color w:val="000000"/>
          <w:sz w:val="24"/>
        </w:rPr>
        <w:t>7</w:t>
      </w:r>
      <w:r>
        <w:rPr>
          <w:bCs/>
          <w:color w:val="000000"/>
          <w:sz w:val="24"/>
        </w:rPr>
        <w:t>月</w:t>
      </w:r>
      <w:r>
        <w:rPr>
          <w:bCs/>
          <w:color w:val="000000"/>
          <w:sz w:val="24"/>
        </w:rPr>
        <w:t>29</w:t>
      </w:r>
      <w:r>
        <w:rPr>
          <w:bCs/>
          <w:color w:val="000000"/>
          <w:sz w:val="24"/>
        </w:rPr>
        <w:t>日；</w:t>
      </w:r>
    </w:p>
    <w:p w:rsidR="00240BCE" w:rsidRDefault="00AC0334">
      <w:pPr>
        <w:spacing w:line="520" w:lineRule="exact"/>
        <w:ind w:firstLineChars="200" w:firstLine="480"/>
        <w:rPr>
          <w:bCs/>
          <w:color w:val="000000"/>
          <w:sz w:val="24"/>
        </w:rPr>
      </w:pPr>
      <w:r>
        <w:rPr>
          <w:bCs/>
          <w:color w:val="000000"/>
          <w:sz w:val="24"/>
        </w:rPr>
        <w:t>（</w:t>
      </w:r>
      <w:r>
        <w:rPr>
          <w:bCs/>
          <w:color w:val="000000"/>
          <w:sz w:val="24"/>
        </w:rPr>
        <w:t>2</w:t>
      </w:r>
      <w:r>
        <w:rPr>
          <w:bCs/>
          <w:color w:val="000000"/>
          <w:sz w:val="24"/>
        </w:rPr>
        <w:t>）《国务院关于环境保护若干问题的决定》（国发</w:t>
      </w:r>
      <w:r>
        <w:rPr>
          <w:bCs/>
          <w:color w:val="000000"/>
          <w:sz w:val="24"/>
        </w:rPr>
        <w:t>[1996]31</w:t>
      </w:r>
      <w:r>
        <w:rPr>
          <w:bCs/>
          <w:color w:val="000000"/>
          <w:sz w:val="24"/>
        </w:rPr>
        <w:t>号）；</w:t>
      </w:r>
      <w:r>
        <w:rPr>
          <w:bCs/>
          <w:color w:val="000000"/>
          <w:sz w:val="24"/>
        </w:rPr>
        <w:t xml:space="preserve"> </w:t>
      </w:r>
    </w:p>
    <w:p w:rsidR="00240BCE" w:rsidRDefault="00AC0334">
      <w:pPr>
        <w:spacing w:line="520" w:lineRule="exact"/>
        <w:ind w:firstLineChars="200" w:firstLine="480"/>
        <w:rPr>
          <w:bCs/>
          <w:color w:val="000000"/>
          <w:sz w:val="24"/>
        </w:rPr>
      </w:pPr>
      <w:r>
        <w:rPr>
          <w:bCs/>
          <w:color w:val="000000"/>
          <w:sz w:val="24"/>
        </w:rPr>
        <w:t>（</w:t>
      </w:r>
      <w:r>
        <w:rPr>
          <w:bCs/>
          <w:color w:val="000000"/>
          <w:sz w:val="24"/>
        </w:rPr>
        <w:t>3</w:t>
      </w:r>
      <w:r>
        <w:rPr>
          <w:bCs/>
          <w:color w:val="000000"/>
          <w:sz w:val="24"/>
        </w:rPr>
        <w:t>）《全国生态环境保护纲要》（国发</w:t>
      </w:r>
      <w:r>
        <w:rPr>
          <w:bCs/>
          <w:color w:val="000000"/>
          <w:sz w:val="24"/>
        </w:rPr>
        <w:t>[2000]38</w:t>
      </w:r>
      <w:r>
        <w:rPr>
          <w:bCs/>
          <w:color w:val="000000"/>
          <w:sz w:val="24"/>
        </w:rPr>
        <w:t>号），</w:t>
      </w:r>
      <w:r>
        <w:rPr>
          <w:bCs/>
          <w:color w:val="000000"/>
          <w:sz w:val="24"/>
        </w:rPr>
        <w:t>2000</w:t>
      </w:r>
      <w:r>
        <w:rPr>
          <w:bCs/>
          <w:color w:val="000000"/>
          <w:sz w:val="24"/>
        </w:rPr>
        <w:t>年</w:t>
      </w:r>
      <w:r>
        <w:rPr>
          <w:bCs/>
          <w:color w:val="000000"/>
          <w:sz w:val="24"/>
        </w:rPr>
        <w:t>11</w:t>
      </w:r>
      <w:r>
        <w:rPr>
          <w:bCs/>
          <w:color w:val="000000"/>
          <w:sz w:val="24"/>
        </w:rPr>
        <w:t>月</w:t>
      </w:r>
      <w:r>
        <w:rPr>
          <w:bCs/>
          <w:color w:val="000000"/>
          <w:sz w:val="24"/>
        </w:rPr>
        <w:t>26</w:t>
      </w:r>
      <w:r>
        <w:rPr>
          <w:bCs/>
          <w:color w:val="000000"/>
          <w:sz w:val="24"/>
        </w:rPr>
        <w:t>日；</w:t>
      </w:r>
    </w:p>
    <w:p w:rsidR="00240BCE" w:rsidRDefault="00AC0334">
      <w:pPr>
        <w:spacing w:line="520" w:lineRule="exact"/>
        <w:ind w:firstLineChars="200" w:firstLine="480"/>
        <w:rPr>
          <w:bCs/>
          <w:color w:val="000000"/>
          <w:sz w:val="24"/>
        </w:rPr>
      </w:pPr>
      <w:r>
        <w:rPr>
          <w:bCs/>
          <w:color w:val="000000"/>
          <w:sz w:val="24"/>
        </w:rPr>
        <w:t>（</w:t>
      </w:r>
      <w:r>
        <w:rPr>
          <w:bCs/>
          <w:color w:val="000000"/>
          <w:sz w:val="24"/>
        </w:rPr>
        <w:t>4</w:t>
      </w:r>
      <w:r>
        <w:rPr>
          <w:bCs/>
          <w:color w:val="000000"/>
          <w:sz w:val="24"/>
        </w:rPr>
        <w:t>）《</w:t>
      </w:r>
      <w:hyperlink r:id="rId13" w:history="1">
        <w:r>
          <w:rPr>
            <w:bCs/>
            <w:color w:val="000000"/>
            <w:sz w:val="24"/>
          </w:rPr>
          <w:t>国务院关于落实科学发展观加强环境保护的决定</w:t>
        </w:r>
      </w:hyperlink>
      <w:r>
        <w:rPr>
          <w:bCs/>
          <w:color w:val="000000"/>
          <w:sz w:val="24"/>
        </w:rPr>
        <w:t>》（国发</w:t>
      </w:r>
      <w:r>
        <w:rPr>
          <w:bCs/>
          <w:color w:val="000000"/>
          <w:sz w:val="24"/>
        </w:rPr>
        <w:t>[2005]39</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5</w:t>
      </w:r>
      <w:r>
        <w:rPr>
          <w:bCs/>
          <w:color w:val="000000"/>
          <w:sz w:val="24"/>
        </w:rPr>
        <w:t>）《国务院关于印发大气污染防治行动计划的通知》（国发〔</w:t>
      </w:r>
      <w:r>
        <w:rPr>
          <w:bCs/>
          <w:color w:val="000000"/>
          <w:sz w:val="24"/>
        </w:rPr>
        <w:t>2013</w:t>
      </w:r>
      <w:r>
        <w:rPr>
          <w:bCs/>
          <w:color w:val="000000"/>
          <w:sz w:val="24"/>
        </w:rPr>
        <w:t>〕</w:t>
      </w:r>
      <w:r>
        <w:rPr>
          <w:bCs/>
          <w:color w:val="000000"/>
          <w:sz w:val="24"/>
        </w:rPr>
        <w:t>37</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6</w:t>
      </w:r>
      <w:r>
        <w:rPr>
          <w:bCs/>
          <w:color w:val="000000"/>
          <w:sz w:val="24"/>
        </w:rPr>
        <w:t>）《国务院关于印发水污染防治行动计划的通知》（国发〔</w:t>
      </w:r>
      <w:r>
        <w:rPr>
          <w:bCs/>
          <w:color w:val="000000"/>
          <w:sz w:val="24"/>
        </w:rPr>
        <w:t>2015</w:t>
      </w:r>
      <w:r>
        <w:rPr>
          <w:bCs/>
          <w:color w:val="000000"/>
          <w:sz w:val="24"/>
        </w:rPr>
        <w:t>〕</w:t>
      </w:r>
      <w:r>
        <w:rPr>
          <w:bCs/>
          <w:color w:val="000000"/>
          <w:sz w:val="24"/>
        </w:rPr>
        <w:t>17</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7</w:t>
      </w:r>
      <w:r>
        <w:rPr>
          <w:bCs/>
          <w:color w:val="000000"/>
          <w:sz w:val="24"/>
        </w:rPr>
        <w:t>）《国务院关于印发土壤污染防治行动计划的通知》（国发〔</w:t>
      </w:r>
      <w:r>
        <w:rPr>
          <w:bCs/>
          <w:color w:val="000000"/>
          <w:sz w:val="24"/>
        </w:rPr>
        <w:t>2016</w:t>
      </w:r>
      <w:r>
        <w:rPr>
          <w:bCs/>
          <w:color w:val="000000"/>
          <w:sz w:val="24"/>
        </w:rPr>
        <w:t>〕</w:t>
      </w:r>
      <w:r>
        <w:rPr>
          <w:bCs/>
          <w:color w:val="000000"/>
          <w:sz w:val="24"/>
        </w:rPr>
        <w:t>31</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8</w:t>
      </w:r>
      <w:r>
        <w:rPr>
          <w:bCs/>
          <w:color w:val="000000"/>
          <w:sz w:val="24"/>
        </w:rPr>
        <w:t>）《国务院关于印发打赢蓝天保卫战三年行动计划的通知》（国发〔</w:t>
      </w:r>
      <w:r>
        <w:rPr>
          <w:bCs/>
          <w:color w:val="000000"/>
          <w:sz w:val="24"/>
        </w:rPr>
        <w:t>2018</w:t>
      </w:r>
      <w:r>
        <w:rPr>
          <w:bCs/>
          <w:color w:val="000000"/>
          <w:sz w:val="24"/>
        </w:rPr>
        <w:t>〕</w:t>
      </w:r>
      <w:r>
        <w:rPr>
          <w:bCs/>
          <w:color w:val="000000"/>
          <w:sz w:val="24"/>
        </w:rPr>
        <w:t>22</w:t>
      </w:r>
      <w:r>
        <w:rPr>
          <w:bCs/>
          <w:color w:val="000000"/>
          <w:sz w:val="24"/>
        </w:rPr>
        <w:t>号）；</w:t>
      </w:r>
      <w:r>
        <w:rPr>
          <w:bCs/>
          <w:color w:val="000000"/>
          <w:sz w:val="24"/>
        </w:rPr>
        <w:t xml:space="preserve"> </w:t>
      </w:r>
    </w:p>
    <w:p w:rsidR="00240BCE" w:rsidRDefault="00AC0334">
      <w:pPr>
        <w:spacing w:line="520" w:lineRule="exact"/>
        <w:ind w:firstLineChars="200" w:firstLine="480"/>
        <w:rPr>
          <w:bCs/>
          <w:color w:val="000000"/>
          <w:sz w:val="24"/>
        </w:rPr>
      </w:pPr>
      <w:r>
        <w:rPr>
          <w:bCs/>
          <w:color w:val="000000"/>
          <w:sz w:val="24"/>
        </w:rPr>
        <w:t>（</w:t>
      </w:r>
      <w:r>
        <w:rPr>
          <w:bCs/>
          <w:color w:val="000000"/>
          <w:sz w:val="24"/>
        </w:rPr>
        <w:t>9</w:t>
      </w:r>
      <w:r>
        <w:rPr>
          <w:bCs/>
          <w:color w:val="000000"/>
          <w:sz w:val="24"/>
        </w:rPr>
        <w:t>）《贯彻中共中央国务院关于全面加强生态环境保护坚决打好污染防治攻坚战的意见》（中发</w:t>
      </w:r>
      <w:r>
        <w:rPr>
          <w:bCs/>
          <w:color w:val="000000"/>
          <w:sz w:val="24"/>
        </w:rPr>
        <w:t xml:space="preserve">[2018]17 </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10</w:t>
      </w:r>
      <w:r>
        <w:rPr>
          <w:bCs/>
          <w:color w:val="000000"/>
          <w:sz w:val="24"/>
        </w:rPr>
        <w:t>）《国务院关于煤炭行业化解过剩产能实现脱困发展的意见》，（国发</w:t>
      </w:r>
      <w:r>
        <w:rPr>
          <w:bCs/>
          <w:color w:val="000000"/>
          <w:sz w:val="24"/>
        </w:rPr>
        <w:t xml:space="preserve">[2016]7 </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11</w:t>
      </w:r>
      <w:r>
        <w:rPr>
          <w:bCs/>
          <w:color w:val="000000"/>
          <w:sz w:val="24"/>
        </w:rPr>
        <w:t>）国家发改委</w:t>
      </w:r>
      <w:r>
        <w:rPr>
          <w:bCs/>
          <w:color w:val="000000"/>
          <w:sz w:val="24"/>
        </w:rPr>
        <w:t>29</w:t>
      </w:r>
      <w:r>
        <w:rPr>
          <w:bCs/>
          <w:color w:val="000000"/>
          <w:sz w:val="24"/>
        </w:rPr>
        <w:t>号令《产业结构调整指导目录</w:t>
      </w:r>
      <w:r>
        <w:rPr>
          <w:bCs/>
          <w:color w:val="000000"/>
          <w:sz w:val="24"/>
        </w:rPr>
        <w:t>(2019</w:t>
      </w:r>
      <w:r>
        <w:rPr>
          <w:bCs/>
          <w:color w:val="000000"/>
          <w:sz w:val="24"/>
        </w:rPr>
        <w:t>年本</w:t>
      </w:r>
      <w:r>
        <w:rPr>
          <w:bCs/>
          <w:color w:val="000000"/>
          <w:sz w:val="24"/>
        </w:rPr>
        <w:t>)</w:t>
      </w:r>
      <w:r>
        <w:rPr>
          <w:bCs/>
          <w:color w:val="000000"/>
          <w:sz w:val="24"/>
        </w:rPr>
        <w:t>》，</w:t>
      </w:r>
      <w:r>
        <w:rPr>
          <w:bCs/>
          <w:color w:val="000000"/>
          <w:sz w:val="24"/>
        </w:rPr>
        <w:t>2020</w:t>
      </w:r>
      <w:r>
        <w:rPr>
          <w:bCs/>
          <w:color w:val="000000"/>
          <w:sz w:val="24"/>
        </w:rPr>
        <w:t>年</w:t>
      </w:r>
      <w:r>
        <w:rPr>
          <w:bCs/>
          <w:color w:val="000000"/>
          <w:sz w:val="24"/>
        </w:rPr>
        <w:t>1</w:t>
      </w:r>
      <w:r>
        <w:rPr>
          <w:bCs/>
          <w:color w:val="000000"/>
          <w:sz w:val="24"/>
        </w:rPr>
        <w:t>月</w:t>
      </w:r>
      <w:r>
        <w:rPr>
          <w:bCs/>
          <w:color w:val="000000"/>
          <w:sz w:val="24"/>
        </w:rPr>
        <w:t>1</w:t>
      </w:r>
      <w:r>
        <w:rPr>
          <w:bCs/>
          <w:color w:val="000000"/>
          <w:sz w:val="24"/>
        </w:rPr>
        <w:t>号施行；</w:t>
      </w:r>
    </w:p>
    <w:p w:rsidR="00240BCE" w:rsidRDefault="00AC0334">
      <w:pPr>
        <w:spacing w:line="520" w:lineRule="exact"/>
        <w:ind w:firstLineChars="200" w:firstLine="480"/>
        <w:rPr>
          <w:bCs/>
          <w:color w:val="000000"/>
          <w:sz w:val="24"/>
        </w:rPr>
      </w:pPr>
      <w:r>
        <w:rPr>
          <w:bCs/>
          <w:color w:val="000000"/>
          <w:sz w:val="24"/>
        </w:rPr>
        <w:t>（</w:t>
      </w:r>
      <w:r>
        <w:rPr>
          <w:bCs/>
          <w:color w:val="000000"/>
          <w:sz w:val="24"/>
        </w:rPr>
        <w:t>12</w:t>
      </w:r>
      <w:r>
        <w:rPr>
          <w:bCs/>
          <w:color w:val="000000"/>
          <w:sz w:val="24"/>
        </w:rPr>
        <w:t>）《市场准入负面清单（</w:t>
      </w:r>
      <w:r>
        <w:rPr>
          <w:bCs/>
          <w:color w:val="000000"/>
          <w:sz w:val="24"/>
        </w:rPr>
        <w:t>2020</w:t>
      </w:r>
      <w:r>
        <w:rPr>
          <w:bCs/>
          <w:color w:val="000000"/>
          <w:sz w:val="24"/>
        </w:rPr>
        <w:t>年版）》；</w:t>
      </w:r>
    </w:p>
    <w:p w:rsidR="00240BCE" w:rsidRDefault="00AC0334">
      <w:pPr>
        <w:spacing w:line="520" w:lineRule="exact"/>
        <w:ind w:firstLineChars="200" w:firstLine="480"/>
        <w:rPr>
          <w:bCs/>
          <w:color w:val="000000"/>
          <w:sz w:val="24"/>
        </w:rPr>
      </w:pPr>
      <w:r>
        <w:rPr>
          <w:bCs/>
          <w:color w:val="000000"/>
          <w:sz w:val="24"/>
        </w:rPr>
        <w:t>（</w:t>
      </w:r>
      <w:r>
        <w:rPr>
          <w:bCs/>
          <w:color w:val="000000"/>
          <w:sz w:val="24"/>
        </w:rPr>
        <w:t>13</w:t>
      </w:r>
      <w:r>
        <w:rPr>
          <w:bCs/>
          <w:color w:val="000000"/>
          <w:sz w:val="24"/>
        </w:rPr>
        <w:t>）《建设项目环境影响评价分类管理名录（</w:t>
      </w:r>
      <w:r>
        <w:rPr>
          <w:bCs/>
          <w:color w:val="000000"/>
          <w:sz w:val="24"/>
        </w:rPr>
        <w:t>2021</w:t>
      </w:r>
      <w:r>
        <w:rPr>
          <w:bCs/>
          <w:color w:val="000000"/>
          <w:sz w:val="24"/>
        </w:rPr>
        <w:t>年本）》；</w:t>
      </w:r>
    </w:p>
    <w:p w:rsidR="00240BCE" w:rsidRDefault="00AC0334">
      <w:pPr>
        <w:spacing w:line="520" w:lineRule="exact"/>
        <w:ind w:firstLineChars="200" w:firstLine="480"/>
        <w:rPr>
          <w:bCs/>
          <w:color w:val="000000"/>
          <w:sz w:val="24"/>
        </w:rPr>
      </w:pPr>
      <w:r>
        <w:rPr>
          <w:bCs/>
          <w:color w:val="000000"/>
          <w:sz w:val="24"/>
        </w:rPr>
        <w:t>（</w:t>
      </w:r>
      <w:r>
        <w:rPr>
          <w:bCs/>
          <w:color w:val="000000"/>
          <w:sz w:val="24"/>
        </w:rPr>
        <w:t>14</w:t>
      </w:r>
      <w:r>
        <w:rPr>
          <w:bCs/>
          <w:color w:val="000000"/>
          <w:sz w:val="24"/>
        </w:rPr>
        <w:t>）《环境影响评价公众参与办法》（生态环境部令第</w:t>
      </w:r>
      <w:r>
        <w:rPr>
          <w:bCs/>
          <w:color w:val="000000"/>
          <w:sz w:val="24"/>
        </w:rPr>
        <w:t xml:space="preserve"> 4</w:t>
      </w:r>
      <w:r>
        <w:rPr>
          <w:bCs/>
          <w:color w:val="000000"/>
          <w:sz w:val="24"/>
        </w:rPr>
        <w:t>号），</w:t>
      </w:r>
      <w:r>
        <w:rPr>
          <w:bCs/>
          <w:color w:val="000000"/>
          <w:sz w:val="24"/>
        </w:rPr>
        <w:t>2019</w:t>
      </w:r>
      <w:r>
        <w:rPr>
          <w:bCs/>
          <w:color w:val="000000"/>
          <w:sz w:val="24"/>
        </w:rPr>
        <w:t>年</w:t>
      </w:r>
      <w:r>
        <w:rPr>
          <w:bCs/>
          <w:color w:val="000000"/>
          <w:sz w:val="24"/>
        </w:rPr>
        <w:t>1</w:t>
      </w:r>
      <w:r>
        <w:rPr>
          <w:bCs/>
          <w:color w:val="000000"/>
          <w:sz w:val="24"/>
        </w:rPr>
        <w:t>月</w:t>
      </w:r>
      <w:r>
        <w:rPr>
          <w:bCs/>
          <w:color w:val="000000"/>
          <w:sz w:val="24"/>
        </w:rPr>
        <w:t>1</w:t>
      </w:r>
      <w:r>
        <w:rPr>
          <w:bCs/>
          <w:color w:val="000000"/>
          <w:sz w:val="24"/>
        </w:rPr>
        <w:t>日实施；</w:t>
      </w:r>
    </w:p>
    <w:p w:rsidR="00240BCE" w:rsidRDefault="00AC0334">
      <w:pPr>
        <w:spacing w:line="520" w:lineRule="exact"/>
        <w:ind w:firstLineChars="200" w:firstLine="480"/>
        <w:rPr>
          <w:bCs/>
          <w:color w:val="000000"/>
          <w:sz w:val="24"/>
        </w:rPr>
      </w:pPr>
      <w:r>
        <w:rPr>
          <w:bCs/>
          <w:color w:val="000000"/>
          <w:sz w:val="24"/>
        </w:rPr>
        <w:t>（</w:t>
      </w:r>
      <w:r>
        <w:rPr>
          <w:bCs/>
          <w:color w:val="000000"/>
          <w:sz w:val="24"/>
        </w:rPr>
        <w:t>15</w:t>
      </w:r>
      <w:r>
        <w:rPr>
          <w:bCs/>
          <w:color w:val="000000"/>
          <w:sz w:val="24"/>
        </w:rPr>
        <w:t>）国家环境保护总局环发</w:t>
      </w:r>
      <w:r>
        <w:rPr>
          <w:bCs/>
          <w:color w:val="000000"/>
          <w:sz w:val="24"/>
        </w:rPr>
        <w:t>[2004]24</w:t>
      </w:r>
      <w:r>
        <w:rPr>
          <w:bCs/>
          <w:color w:val="000000"/>
          <w:sz w:val="24"/>
        </w:rPr>
        <w:t>号文《关于加强资源开发生态环境保护监管工作的意见》，</w:t>
      </w:r>
      <w:r>
        <w:rPr>
          <w:bCs/>
          <w:color w:val="000000"/>
          <w:sz w:val="24"/>
        </w:rPr>
        <w:t>2004</w:t>
      </w:r>
      <w:r>
        <w:rPr>
          <w:bCs/>
          <w:color w:val="000000"/>
          <w:sz w:val="24"/>
        </w:rPr>
        <w:t>年</w:t>
      </w:r>
      <w:r>
        <w:rPr>
          <w:bCs/>
          <w:color w:val="000000"/>
          <w:sz w:val="24"/>
        </w:rPr>
        <w:t>2</w:t>
      </w:r>
      <w:r>
        <w:rPr>
          <w:bCs/>
          <w:color w:val="000000"/>
          <w:sz w:val="24"/>
        </w:rPr>
        <w:t>月</w:t>
      </w:r>
      <w:r>
        <w:rPr>
          <w:bCs/>
          <w:color w:val="000000"/>
          <w:sz w:val="24"/>
        </w:rPr>
        <w:t>24</w:t>
      </w:r>
      <w:r>
        <w:rPr>
          <w:bCs/>
          <w:color w:val="000000"/>
          <w:sz w:val="24"/>
        </w:rPr>
        <w:t>日；</w:t>
      </w:r>
    </w:p>
    <w:p w:rsidR="00240BCE" w:rsidRDefault="00AC0334">
      <w:pPr>
        <w:spacing w:line="520" w:lineRule="exact"/>
        <w:ind w:firstLineChars="200" w:firstLine="480"/>
        <w:rPr>
          <w:bCs/>
          <w:color w:val="000000"/>
          <w:sz w:val="24"/>
        </w:rPr>
      </w:pPr>
      <w:r>
        <w:rPr>
          <w:bCs/>
          <w:color w:val="000000"/>
          <w:sz w:val="24"/>
        </w:rPr>
        <w:t>（</w:t>
      </w:r>
      <w:r>
        <w:rPr>
          <w:bCs/>
          <w:color w:val="000000"/>
          <w:sz w:val="24"/>
        </w:rPr>
        <w:t>16</w:t>
      </w:r>
      <w:r>
        <w:rPr>
          <w:bCs/>
          <w:color w:val="000000"/>
          <w:sz w:val="24"/>
        </w:rPr>
        <w:t>）国家环保总局《关于进一步加强生态保护工作的意见》，环发</w:t>
      </w:r>
      <w:r>
        <w:rPr>
          <w:bCs/>
          <w:color w:val="000000"/>
          <w:sz w:val="24"/>
        </w:rPr>
        <w:t>[2007]37</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17</w:t>
      </w:r>
      <w:r>
        <w:rPr>
          <w:bCs/>
          <w:color w:val="000000"/>
          <w:sz w:val="24"/>
        </w:rPr>
        <w:t>）环境保护部环发</w:t>
      </w:r>
      <w:r>
        <w:rPr>
          <w:bCs/>
          <w:color w:val="000000"/>
          <w:sz w:val="24"/>
        </w:rPr>
        <w:t>[2012]98</w:t>
      </w:r>
      <w:r>
        <w:rPr>
          <w:bCs/>
          <w:color w:val="000000"/>
          <w:sz w:val="24"/>
        </w:rPr>
        <w:t>号《关于切实加强风险防范严格环境影响评价</w:t>
      </w:r>
      <w:r>
        <w:rPr>
          <w:bCs/>
          <w:color w:val="000000"/>
          <w:sz w:val="24"/>
        </w:rPr>
        <w:lastRenderedPageBreak/>
        <w:t>管理的通知》，</w:t>
      </w:r>
      <w:r>
        <w:rPr>
          <w:bCs/>
          <w:color w:val="000000"/>
          <w:sz w:val="24"/>
        </w:rPr>
        <w:t>2012</w:t>
      </w:r>
      <w:r>
        <w:rPr>
          <w:bCs/>
          <w:color w:val="000000"/>
          <w:sz w:val="24"/>
        </w:rPr>
        <w:t>年</w:t>
      </w:r>
      <w:r>
        <w:rPr>
          <w:bCs/>
          <w:color w:val="000000"/>
          <w:sz w:val="24"/>
        </w:rPr>
        <w:t>8</w:t>
      </w:r>
      <w:r>
        <w:rPr>
          <w:bCs/>
          <w:color w:val="000000"/>
          <w:sz w:val="24"/>
        </w:rPr>
        <w:t>月；</w:t>
      </w:r>
      <w:r>
        <w:rPr>
          <w:bCs/>
          <w:color w:val="000000"/>
          <w:sz w:val="24"/>
        </w:rPr>
        <w:t xml:space="preserve"> </w:t>
      </w:r>
    </w:p>
    <w:p w:rsidR="00240BCE" w:rsidRDefault="00AC0334">
      <w:pPr>
        <w:spacing w:line="520" w:lineRule="exact"/>
        <w:ind w:firstLineChars="200" w:firstLine="480"/>
        <w:rPr>
          <w:bCs/>
          <w:color w:val="000000"/>
          <w:sz w:val="24"/>
        </w:rPr>
      </w:pPr>
      <w:r>
        <w:rPr>
          <w:bCs/>
          <w:color w:val="000000"/>
          <w:sz w:val="24"/>
        </w:rPr>
        <w:t>（</w:t>
      </w:r>
      <w:r>
        <w:rPr>
          <w:bCs/>
          <w:color w:val="000000"/>
          <w:sz w:val="24"/>
        </w:rPr>
        <w:t>18</w:t>
      </w:r>
      <w:r>
        <w:rPr>
          <w:bCs/>
          <w:color w:val="000000"/>
          <w:sz w:val="24"/>
        </w:rPr>
        <w:t>）《关于以改善环境质量为核心加强环境影响评价管理的通知》（环环评</w:t>
      </w:r>
      <w:r>
        <w:rPr>
          <w:bCs/>
          <w:color w:val="000000"/>
          <w:sz w:val="24"/>
        </w:rPr>
        <w:t xml:space="preserve">[2016]150 </w:t>
      </w:r>
      <w:r>
        <w:rPr>
          <w:bCs/>
          <w:color w:val="000000"/>
          <w:sz w:val="24"/>
        </w:rPr>
        <w:t>号），</w:t>
      </w:r>
      <w:r>
        <w:rPr>
          <w:bCs/>
          <w:color w:val="000000"/>
          <w:sz w:val="24"/>
        </w:rPr>
        <w:t>2016.11.3</w:t>
      </w:r>
      <w:r>
        <w:rPr>
          <w:bCs/>
          <w:color w:val="000000"/>
          <w:sz w:val="24"/>
        </w:rPr>
        <w:t>；</w:t>
      </w:r>
    </w:p>
    <w:p w:rsidR="00240BCE" w:rsidRDefault="00AC0334">
      <w:pPr>
        <w:spacing w:line="520" w:lineRule="exact"/>
        <w:ind w:firstLineChars="200" w:firstLine="480"/>
        <w:rPr>
          <w:bCs/>
          <w:color w:val="000000"/>
          <w:sz w:val="24"/>
        </w:rPr>
      </w:pPr>
      <w:r>
        <w:rPr>
          <w:bCs/>
          <w:color w:val="000000"/>
          <w:sz w:val="24"/>
        </w:rPr>
        <w:t>（</w:t>
      </w:r>
      <w:r>
        <w:rPr>
          <w:bCs/>
          <w:color w:val="000000"/>
          <w:sz w:val="24"/>
        </w:rPr>
        <w:t>19</w:t>
      </w:r>
      <w:r>
        <w:rPr>
          <w:bCs/>
          <w:color w:val="000000"/>
          <w:sz w:val="24"/>
        </w:rPr>
        <w:t>）《国家安全监管总局关于发布金属非金属矿山禁止使用的设备及工艺目录（第一批）的通知》（安监总管一〔</w:t>
      </w:r>
      <w:r>
        <w:rPr>
          <w:bCs/>
          <w:color w:val="000000"/>
          <w:sz w:val="24"/>
        </w:rPr>
        <w:t>2013</w:t>
      </w:r>
      <w:r>
        <w:rPr>
          <w:bCs/>
          <w:color w:val="000000"/>
          <w:sz w:val="24"/>
        </w:rPr>
        <w:t>〕</w:t>
      </w:r>
      <w:r>
        <w:rPr>
          <w:bCs/>
          <w:color w:val="000000"/>
          <w:sz w:val="24"/>
        </w:rPr>
        <w:t>101</w:t>
      </w:r>
      <w:r>
        <w:rPr>
          <w:bCs/>
          <w:color w:val="000000"/>
          <w:sz w:val="24"/>
        </w:rPr>
        <w:t>号，</w:t>
      </w:r>
      <w:r>
        <w:rPr>
          <w:bCs/>
          <w:color w:val="000000"/>
          <w:sz w:val="24"/>
        </w:rPr>
        <w:t>2013.09.06</w:t>
      </w:r>
      <w:r>
        <w:rPr>
          <w:bCs/>
          <w:color w:val="000000"/>
          <w:sz w:val="24"/>
        </w:rPr>
        <w:t>）；</w:t>
      </w:r>
    </w:p>
    <w:p w:rsidR="00240BCE" w:rsidRDefault="00AC0334">
      <w:pPr>
        <w:spacing w:line="520" w:lineRule="exact"/>
        <w:ind w:firstLineChars="200" w:firstLine="480"/>
        <w:rPr>
          <w:bCs/>
          <w:color w:val="000000"/>
          <w:sz w:val="24"/>
        </w:rPr>
      </w:pPr>
      <w:r>
        <w:rPr>
          <w:bCs/>
          <w:color w:val="000000"/>
          <w:sz w:val="24"/>
        </w:rPr>
        <w:t>（</w:t>
      </w:r>
      <w:r>
        <w:rPr>
          <w:bCs/>
          <w:color w:val="000000"/>
          <w:sz w:val="24"/>
        </w:rPr>
        <w:t>20</w:t>
      </w:r>
      <w:r>
        <w:rPr>
          <w:bCs/>
          <w:color w:val="000000"/>
          <w:sz w:val="24"/>
        </w:rPr>
        <w:t>）《矿产资源节约与综合利用鼓励、限制和淘汰技术目录（修订稿）》国土资发</w:t>
      </w:r>
      <w:r>
        <w:rPr>
          <w:bCs/>
          <w:color w:val="000000"/>
          <w:sz w:val="24"/>
        </w:rPr>
        <w:t>[2014]176</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21</w:t>
      </w:r>
      <w:r>
        <w:rPr>
          <w:bCs/>
          <w:color w:val="000000"/>
          <w:sz w:val="24"/>
        </w:rPr>
        <w:t>）国家环保总局环发</w:t>
      </w:r>
      <w:r>
        <w:rPr>
          <w:bCs/>
          <w:color w:val="000000"/>
          <w:sz w:val="24"/>
        </w:rPr>
        <w:t>[2005]109</w:t>
      </w:r>
      <w:r>
        <w:rPr>
          <w:bCs/>
          <w:color w:val="000000"/>
          <w:sz w:val="24"/>
        </w:rPr>
        <w:t>号</w:t>
      </w:r>
      <w:r>
        <w:rPr>
          <w:bCs/>
          <w:color w:val="000000"/>
          <w:sz w:val="24"/>
        </w:rPr>
        <w:t>“</w:t>
      </w:r>
      <w:r>
        <w:rPr>
          <w:bCs/>
          <w:color w:val="000000"/>
          <w:sz w:val="24"/>
        </w:rPr>
        <w:t>关于发布《矿山生态环境保护与污染防治技术政策》的通知</w:t>
      </w:r>
      <w:r>
        <w:rPr>
          <w:bCs/>
          <w:color w:val="000000"/>
          <w:sz w:val="24"/>
        </w:rPr>
        <w:t>”</w:t>
      </w:r>
      <w:r>
        <w:rPr>
          <w:bCs/>
          <w:color w:val="000000"/>
          <w:sz w:val="24"/>
        </w:rPr>
        <w:t>，</w:t>
      </w:r>
      <w:r>
        <w:rPr>
          <w:bCs/>
          <w:color w:val="000000"/>
          <w:sz w:val="24"/>
        </w:rPr>
        <w:t>2005</w:t>
      </w:r>
      <w:r>
        <w:rPr>
          <w:bCs/>
          <w:color w:val="000000"/>
          <w:sz w:val="24"/>
        </w:rPr>
        <w:t>年</w:t>
      </w:r>
      <w:r>
        <w:rPr>
          <w:bCs/>
          <w:color w:val="000000"/>
          <w:sz w:val="24"/>
        </w:rPr>
        <w:t>9</w:t>
      </w:r>
      <w:r>
        <w:rPr>
          <w:bCs/>
          <w:color w:val="000000"/>
          <w:sz w:val="24"/>
        </w:rPr>
        <w:t>月</w:t>
      </w:r>
      <w:r>
        <w:rPr>
          <w:bCs/>
          <w:color w:val="000000"/>
          <w:sz w:val="24"/>
        </w:rPr>
        <w:t>7</w:t>
      </w:r>
      <w:r>
        <w:rPr>
          <w:bCs/>
          <w:color w:val="000000"/>
          <w:sz w:val="24"/>
        </w:rPr>
        <w:t>日；</w:t>
      </w:r>
    </w:p>
    <w:p w:rsidR="00240BCE" w:rsidRDefault="00AC0334">
      <w:pPr>
        <w:spacing w:line="520" w:lineRule="exact"/>
        <w:ind w:firstLineChars="200" w:firstLine="480"/>
        <w:rPr>
          <w:bCs/>
          <w:color w:val="000000"/>
          <w:sz w:val="24"/>
        </w:rPr>
      </w:pPr>
      <w:r>
        <w:rPr>
          <w:bCs/>
          <w:color w:val="000000"/>
          <w:sz w:val="24"/>
        </w:rPr>
        <w:t>（</w:t>
      </w:r>
      <w:r>
        <w:rPr>
          <w:bCs/>
          <w:color w:val="000000"/>
          <w:sz w:val="24"/>
        </w:rPr>
        <w:t>22</w:t>
      </w:r>
      <w:r>
        <w:rPr>
          <w:bCs/>
          <w:color w:val="000000"/>
          <w:sz w:val="24"/>
        </w:rPr>
        <w:t>）环境保护部公告</w:t>
      </w:r>
      <w:r>
        <w:rPr>
          <w:bCs/>
          <w:color w:val="000000"/>
          <w:sz w:val="24"/>
        </w:rPr>
        <w:t>2013</w:t>
      </w:r>
      <w:r>
        <w:rPr>
          <w:bCs/>
          <w:color w:val="000000"/>
          <w:sz w:val="24"/>
        </w:rPr>
        <w:t>年第</w:t>
      </w:r>
      <w:r>
        <w:rPr>
          <w:bCs/>
          <w:color w:val="000000"/>
          <w:sz w:val="24"/>
        </w:rPr>
        <w:t>59</w:t>
      </w:r>
      <w:r>
        <w:rPr>
          <w:bCs/>
          <w:color w:val="000000"/>
          <w:sz w:val="24"/>
        </w:rPr>
        <w:t>号《环境空气细颗粒物污染综合防治技术政策》，</w:t>
      </w:r>
      <w:r>
        <w:rPr>
          <w:bCs/>
          <w:color w:val="000000"/>
          <w:sz w:val="24"/>
        </w:rPr>
        <w:t>2013</w:t>
      </w:r>
      <w:r>
        <w:rPr>
          <w:bCs/>
          <w:color w:val="000000"/>
          <w:sz w:val="24"/>
        </w:rPr>
        <w:t>年</w:t>
      </w:r>
      <w:r>
        <w:rPr>
          <w:bCs/>
          <w:color w:val="000000"/>
          <w:sz w:val="24"/>
        </w:rPr>
        <w:t>9</w:t>
      </w:r>
      <w:r>
        <w:rPr>
          <w:bCs/>
          <w:color w:val="000000"/>
          <w:sz w:val="24"/>
        </w:rPr>
        <w:t>月</w:t>
      </w:r>
      <w:r>
        <w:rPr>
          <w:bCs/>
          <w:color w:val="000000"/>
          <w:sz w:val="24"/>
        </w:rPr>
        <w:t>25</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23</w:t>
      </w:r>
      <w:r>
        <w:rPr>
          <w:bCs/>
          <w:color w:val="000000"/>
          <w:sz w:val="24"/>
        </w:rPr>
        <w:t>）《工矿用地土壤环境管理办法（试行）》（生态环境部令</w:t>
      </w:r>
      <w:r>
        <w:rPr>
          <w:bCs/>
          <w:color w:val="000000"/>
          <w:sz w:val="24"/>
        </w:rPr>
        <w:t xml:space="preserve"> </w:t>
      </w:r>
      <w:r>
        <w:rPr>
          <w:bCs/>
          <w:color w:val="000000"/>
          <w:sz w:val="24"/>
        </w:rPr>
        <w:t>部令第</w:t>
      </w:r>
      <w:r>
        <w:rPr>
          <w:bCs/>
          <w:color w:val="000000"/>
          <w:sz w:val="24"/>
        </w:rPr>
        <w:t xml:space="preserve"> 3</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24</w:t>
      </w:r>
      <w:r>
        <w:rPr>
          <w:bCs/>
          <w:color w:val="000000"/>
          <w:sz w:val="24"/>
        </w:rPr>
        <w:t>）《农用地土壤环境管理办法（试行）》（</w:t>
      </w:r>
      <w:r>
        <w:rPr>
          <w:bCs/>
          <w:color w:val="000000"/>
          <w:sz w:val="24"/>
        </w:rPr>
        <w:t>2017</w:t>
      </w:r>
      <w:r>
        <w:rPr>
          <w:bCs/>
          <w:color w:val="000000"/>
          <w:sz w:val="24"/>
        </w:rPr>
        <w:t>年</w:t>
      </w:r>
      <w:r>
        <w:rPr>
          <w:bCs/>
          <w:color w:val="000000"/>
          <w:sz w:val="24"/>
        </w:rPr>
        <w:t>11</w:t>
      </w:r>
      <w:r>
        <w:rPr>
          <w:bCs/>
          <w:color w:val="000000"/>
          <w:sz w:val="24"/>
        </w:rPr>
        <w:t>月</w:t>
      </w:r>
      <w:r>
        <w:rPr>
          <w:bCs/>
          <w:color w:val="000000"/>
          <w:sz w:val="24"/>
        </w:rPr>
        <w:t>1</w:t>
      </w:r>
      <w:r>
        <w:rPr>
          <w:bCs/>
          <w:color w:val="000000"/>
          <w:sz w:val="24"/>
        </w:rPr>
        <w:t>日起施行）；</w:t>
      </w:r>
    </w:p>
    <w:p w:rsidR="00240BCE" w:rsidRDefault="00AC0334">
      <w:pPr>
        <w:spacing w:line="520" w:lineRule="exact"/>
        <w:ind w:firstLineChars="200" w:firstLine="480"/>
        <w:rPr>
          <w:bCs/>
          <w:color w:val="000000"/>
          <w:sz w:val="24"/>
        </w:rPr>
      </w:pPr>
      <w:r>
        <w:rPr>
          <w:bCs/>
          <w:color w:val="000000"/>
          <w:sz w:val="24"/>
        </w:rPr>
        <w:t>（</w:t>
      </w:r>
      <w:r>
        <w:rPr>
          <w:bCs/>
          <w:color w:val="000000"/>
          <w:sz w:val="24"/>
        </w:rPr>
        <w:t>25</w:t>
      </w:r>
      <w:r>
        <w:rPr>
          <w:bCs/>
          <w:color w:val="000000"/>
          <w:sz w:val="24"/>
        </w:rPr>
        <w:t>）《关于发布《环境影响评价公众参与办法》配套文件的公告》（生态环境</w:t>
      </w:r>
      <w:r>
        <w:rPr>
          <w:bCs/>
          <w:color w:val="000000"/>
          <w:sz w:val="24"/>
        </w:rPr>
        <w:t xml:space="preserve"> </w:t>
      </w:r>
      <w:r>
        <w:rPr>
          <w:bCs/>
          <w:color w:val="000000"/>
          <w:sz w:val="24"/>
        </w:rPr>
        <w:t>部公告</w:t>
      </w:r>
      <w:r>
        <w:rPr>
          <w:bCs/>
          <w:color w:val="000000"/>
          <w:sz w:val="24"/>
        </w:rPr>
        <w:t xml:space="preserve"> 2018</w:t>
      </w:r>
      <w:r>
        <w:rPr>
          <w:bCs/>
          <w:color w:val="000000"/>
          <w:sz w:val="24"/>
        </w:rPr>
        <w:t>年第</w:t>
      </w:r>
      <w:r>
        <w:rPr>
          <w:bCs/>
          <w:color w:val="000000"/>
          <w:sz w:val="24"/>
        </w:rPr>
        <w:t>48</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26</w:t>
      </w:r>
      <w:r>
        <w:rPr>
          <w:bCs/>
          <w:color w:val="000000"/>
          <w:sz w:val="24"/>
        </w:rPr>
        <w:t>）《建设项目环境影响报告书（表）编制监督管理办法》（生态环境部部令第</w:t>
      </w:r>
      <w:r>
        <w:rPr>
          <w:bCs/>
          <w:color w:val="000000"/>
          <w:sz w:val="24"/>
        </w:rPr>
        <w:t xml:space="preserve">9 </w:t>
      </w:r>
      <w:r>
        <w:rPr>
          <w:bCs/>
          <w:color w:val="000000"/>
          <w:sz w:val="24"/>
        </w:rPr>
        <w:t>号），</w:t>
      </w:r>
      <w:r>
        <w:rPr>
          <w:bCs/>
          <w:color w:val="000000"/>
          <w:sz w:val="24"/>
        </w:rPr>
        <w:t xml:space="preserve">2019 </w:t>
      </w:r>
      <w:r>
        <w:rPr>
          <w:bCs/>
          <w:color w:val="000000"/>
          <w:sz w:val="24"/>
        </w:rPr>
        <w:t>年</w:t>
      </w:r>
      <w:r>
        <w:rPr>
          <w:bCs/>
          <w:color w:val="000000"/>
          <w:sz w:val="24"/>
        </w:rPr>
        <w:t xml:space="preserve">11 </w:t>
      </w:r>
      <w:r>
        <w:rPr>
          <w:bCs/>
          <w:color w:val="000000"/>
          <w:sz w:val="24"/>
        </w:rPr>
        <w:t>月</w:t>
      </w:r>
      <w:r>
        <w:rPr>
          <w:bCs/>
          <w:color w:val="000000"/>
          <w:sz w:val="24"/>
        </w:rPr>
        <w:t>1</w:t>
      </w:r>
      <w:r>
        <w:rPr>
          <w:bCs/>
          <w:color w:val="000000"/>
          <w:sz w:val="24"/>
        </w:rPr>
        <w:t>日起实施</w:t>
      </w:r>
    </w:p>
    <w:p w:rsidR="00240BCE" w:rsidRDefault="00AC0334">
      <w:pPr>
        <w:spacing w:line="520" w:lineRule="exact"/>
        <w:ind w:firstLineChars="200" w:firstLine="480"/>
        <w:rPr>
          <w:bCs/>
          <w:color w:val="000000"/>
          <w:sz w:val="24"/>
        </w:rPr>
      </w:pPr>
      <w:r>
        <w:rPr>
          <w:bCs/>
          <w:color w:val="000000"/>
          <w:sz w:val="24"/>
        </w:rPr>
        <w:t>（</w:t>
      </w:r>
      <w:r>
        <w:rPr>
          <w:bCs/>
          <w:color w:val="000000"/>
          <w:sz w:val="24"/>
        </w:rPr>
        <w:t>27</w:t>
      </w:r>
      <w:r>
        <w:rPr>
          <w:bCs/>
          <w:color w:val="000000"/>
          <w:sz w:val="24"/>
        </w:rPr>
        <w:t>）《关于发布《建设项目环境影响报告书（表）编制监督管理办法》配套文件的公告》（生态环境部公告</w:t>
      </w:r>
      <w:r>
        <w:rPr>
          <w:bCs/>
          <w:color w:val="000000"/>
          <w:sz w:val="24"/>
        </w:rPr>
        <w:t>2019</w:t>
      </w:r>
      <w:r>
        <w:rPr>
          <w:bCs/>
          <w:color w:val="000000"/>
          <w:sz w:val="24"/>
        </w:rPr>
        <w:t>年</w:t>
      </w:r>
      <w:r>
        <w:rPr>
          <w:bCs/>
          <w:color w:val="000000"/>
          <w:sz w:val="24"/>
        </w:rPr>
        <w:t xml:space="preserve"> </w:t>
      </w:r>
      <w:r>
        <w:rPr>
          <w:bCs/>
          <w:color w:val="000000"/>
          <w:sz w:val="24"/>
        </w:rPr>
        <w:t>第</w:t>
      </w:r>
      <w:r>
        <w:rPr>
          <w:bCs/>
          <w:color w:val="000000"/>
          <w:sz w:val="24"/>
        </w:rPr>
        <w:t>38</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28</w:t>
      </w:r>
      <w:r>
        <w:rPr>
          <w:bCs/>
          <w:color w:val="000000"/>
          <w:sz w:val="24"/>
        </w:rPr>
        <w:t>）《关于做好环境影响评价制度与排污许可制衔接相关工作的通知》环境保护部办公厅文件环办环评</w:t>
      </w:r>
      <w:r>
        <w:rPr>
          <w:bCs/>
          <w:color w:val="000000"/>
          <w:sz w:val="24"/>
        </w:rPr>
        <w:t>[2017]84</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29</w:t>
      </w:r>
      <w:r>
        <w:rPr>
          <w:bCs/>
          <w:color w:val="000000"/>
          <w:sz w:val="24"/>
        </w:rPr>
        <w:t>）《煤矸石综合利用管理办法》，国家发展与改革委员会、环境保护部等</w:t>
      </w:r>
      <w:r>
        <w:rPr>
          <w:bCs/>
          <w:color w:val="000000"/>
          <w:sz w:val="24"/>
        </w:rPr>
        <w:t>10</w:t>
      </w:r>
      <w:r>
        <w:rPr>
          <w:bCs/>
          <w:color w:val="000000"/>
          <w:sz w:val="24"/>
        </w:rPr>
        <w:t>部委联合令第</w:t>
      </w:r>
      <w:r>
        <w:rPr>
          <w:bCs/>
          <w:color w:val="000000"/>
          <w:sz w:val="24"/>
        </w:rPr>
        <w:t>18</w:t>
      </w:r>
      <w:r>
        <w:rPr>
          <w:bCs/>
          <w:color w:val="000000"/>
          <w:sz w:val="24"/>
        </w:rPr>
        <w:t>号，</w:t>
      </w:r>
      <w:r>
        <w:rPr>
          <w:bCs/>
          <w:color w:val="000000"/>
          <w:sz w:val="24"/>
        </w:rPr>
        <w:t>2014.12.22</w:t>
      </w:r>
      <w:r>
        <w:rPr>
          <w:bCs/>
          <w:color w:val="000000"/>
          <w:sz w:val="24"/>
        </w:rPr>
        <w:t>；</w:t>
      </w:r>
    </w:p>
    <w:p w:rsidR="00240BCE" w:rsidRDefault="00AC0334">
      <w:pPr>
        <w:spacing w:line="520" w:lineRule="exact"/>
        <w:ind w:firstLineChars="200" w:firstLine="480"/>
        <w:rPr>
          <w:bCs/>
          <w:color w:val="000000"/>
          <w:sz w:val="24"/>
        </w:rPr>
      </w:pPr>
      <w:r>
        <w:rPr>
          <w:bCs/>
          <w:color w:val="000000"/>
          <w:sz w:val="24"/>
        </w:rPr>
        <w:t>（</w:t>
      </w:r>
      <w:r>
        <w:rPr>
          <w:bCs/>
          <w:color w:val="000000"/>
          <w:sz w:val="24"/>
        </w:rPr>
        <w:t>30</w:t>
      </w:r>
      <w:r>
        <w:rPr>
          <w:bCs/>
          <w:color w:val="000000"/>
          <w:sz w:val="24"/>
        </w:rPr>
        <w:t>）《关于加快建设绿色矿山的实施意见》（国土资规【</w:t>
      </w:r>
      <w:r>
        <w:rPr>
          <w:bCs/>
          <w:color w:val="000000"/>
          <w:sz w:val="24"/>
        </w:rPr>
        <w:t>2017</w:t>
      </w:r>
      <w:r>
        <w:rPr>
          <w:bCs/>
          <w:color w:val="000000"/>
          <w:sz w:val="24"/>
        </w:rPr>
        <w:t>】</w:t>
      </w:r>
      <w:r>
        <w:rPr>
          <w:bCs/>
          <w:color w:val="000000"/>
          <w:sz w:val="24"/>
        </w:rPr>
        <w:t>4</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31</w:t>
      </w:r>
      <w:r>
        <w:rPr>
          <w:bCs/>
          <w:color w:val="000000"/>
          <w:sz w:val="24"/>
        </w:rPr>
        <w:t>）</w:t>
      </w:r>
      <w:r>
        <w:rPr>
          <w:bCs/>
          <w:color w:val="000000"/>
          <w:sz w:val="24"/>
        </w:rPr>
        <w:t xml:space="preserve"> </w:t>
      </w:r>
      <w:r>
        <w:rPr>
          <w:bCs/>
          <w:color w:val="000000"/>
          <w:sz w:val="24"/>
        </w:rPr>
        <w:t>自然资源部关于发布《非金属矿行业绿色矿山建设规范》等</w:t>
      </w:r>
      <w:r>
        <w:rPr>
          <w:bCs/>
          <w:color w:val="000000"/>
          <w:sz w:val="24"/>
        </w:rPr>
        <w:t>9</w:t>
      </w:r>
      <w:r>
        <w:rPr>
          <w:bCs/>
          <w:color w:val="000000"/>
          <w:sz w:val="24"/>
        </w:rPr>
        <w:t>项行业标准</w:t>
      </w:r>
      <w:r>
        <w:rPr>
          <w:bCs/>
          <w:color w:val="000000"/>
          <w:sz w:val="24"/>
        </w:rPr>
        <w:t xml:space="preserve"> </w:t>
      </w:r>
      <w:r>
        <w:rPr>
          <w:bCs/>
          <w:color w:val="000000"/>
          <w:sz w:val="24"/>
        </w:rPr>
        <w:t>的公告中《煤矿行业绿色矿山建设规范</w:t>
      </w:r>
      <w:r>
        <w:rPr>
          <w:bCs/>
          <w:color w:val="000000"/>
          <w:sz w:val="24"/>
        </w:rPr>
        <w:t xml:space="preserve"> DZ/T0315-2018</w:t>
      </w:r>
      <w:r>
        <w:rPr>
          <w:bCs/>
          <w:color w:val="000000"/>
          <w:sz w:val="24"/>
        </w:rPr>
        <w:t>》（</w:t>
      </w:r>
      <w:r>
        <w:rPr>
          <w:bCs/>
          <w:color w:val="000000"/>
          <w:sz w:val="24"/>
        </w:rPr>
        <w:t>2018</w:t>
      </w:r>
      <w:r>
        <w:rPr>
          <w:bCs/>
          <w:color w:val="000000"/>
          <w:sz w:val="24"/>
        </w:rPr>
        <w:t>年</w:t>
      </w:r>
      <w:r>
        <w:rPr>
          <w:bCs/>
          <w:color w:val="000000"/>
          <w:sz w:val="24"/>
        </w:rPr>
        <w:t>10</w:t>
      </w:r>
      <w:r>
        <w:rPr>
          <w:bCs/>
          <w:color w:val="000000"/>
          <w:sz w:val="24"/>
        </w:rPr>
        <w:t>月</w:t>
      </w:r>
      <w:r>
        <w:rPr>
          <w:bCs/>
          <w:color w:val="000000"/>
          <w:sz w:val="24"/>
        </w:rPr>
        <w:t>1</w:t>
      </w:r>
      <w:r>
        <w:rPr>
          <w:bCs/>
          <w:color w:val="000000"/>
          <w:sz w:val="24"/>
        </w:rPr>
        <w:t>日</w:t>
      </w:r>
      <w:r>
        <w:rPr>
          <w:bCs/>
          <w:color w:val="000000"/>
          <w:sz w:val="24"/>
        </w:rPr>
        <w:lastRenderedPageBreak/>
        <w:t>实施）；</w:t>
      </w:r>
    </w:p>
    <w:p w:rsidR="00240BCE" w:rsidRDefault="00AC0334">
      <w:pPr>
        <w:spacing w:line="520" w:lineRule="exact"/>
        <w:ind w:firstLineChars="200" w:firstLine="480"/>
        <w:rPr>
          <w:bCs/>
          <w:color w:val="000000"/>
          <w:sz w:val="24"/>
        </w:rPr>
      </w:pPr>
      <w:r>
        <w:rPr>
          <w:bCs/>
          <w:color w:val="000000"/>
          <w:sz w:val="24"/>
        </w:rPr>
        <w:t>（</w:t>
      </w:r>
      <w:r>
        <w:rPr>
          <w:bCs/>
          <w:color w:val="000000"/>
          <w:sz w:val="24"/>
        </w:rPr>
        <w:t>32</w:t>
      </w:r>
      <w:r>
        <w:rPr>
          <w:bCs/>
          <w:color w:val="000000"/>
          <w:sz w:val="24"/>
        </w:rPr>
        <w:t>）国家发展改革委发改能源〔</w:t>
      </w:r>
      <w:r>
        <w:rPr>
          <w:bCs/>
          <w:color w:val="000000"/>
          <w:sz w:val="24"/>
        </w:rPr>
        <w:t>2019</w:t>
      </w:r>
      <w:r>
        <w:rPr>
          <w:bCs/>
          <w:color w:val="000000"/>
          <w:sz w:val="24"/>
        </w:rPr>
        <w:t>〕</w:t>
      </w:r>
      <w:r>
        <w:rPr>
          <w:bCs/>
          <w:color w:val="000000"/>
          <w:sz w:val="24"/>
        </w:rPr>
        <w:t>1377</w:t>
      </w:r>
      <w:r>
        <w:rPr>
          <w:bCs/>
          <w:color w:val="000000"/>
          <w:sz w:val="24"/>
        </w:rPr>
        <w:t>号《关于印发</w:t>
      </w:r>
      <w:r>
        <w:rPr>
          <w:bCs/>
          <w:color w:val="000000"/>
          <w:sz w:val="24"/>
        </w:rPr>
        <w:t>30</w:t>
      </w:r>
      <w:r>
        <w:rPr>
          <w:bCs/>
          <w:color w:val="000000"/>
          <w:sz w:val="24"/>
        </w:rPr>
        <w:t>万吨</w:t>
      </w:r>
      <w:r>
        <w:rPr>
          <w:bCs/>
          <w:color w:val="000000"/>
          <w:sz w:val="24"/>
        </w:rPr>
        <w:t>/</w:t>
      </w:r>
      <w:r>
        <w:rPr>
          <w:bCs/>
          <w:color w:val="000000"/>
          <w:sz w:val="24"/>
        </w:rPr>
        <w:t>年以下煤矿分类处置工作方案的通知》；</w:t>
      </w:r>
    </w:p>
    <w:p w:rsidR="00240BCE" w:rsidRDefault="00AC0334">
      <w:pPr>
        <w:spacing w:line="520" w:lineRule="exact"/>
        <w:ind w:firstLineChars="200" w:firstLine="480"/>
        <w:rPr>
          <w:bCs/>
          <w:color w:val="000000"/>
          <w:sz w:val="24"/>
        </w:rPr>
      </w:pPr>
      <w:r>
        <w:rPr>
          <w:bCs/>
          <w:color w:val="000000"/>
          <w:sz w:val="24"/>
        </w:rPr>
        <w:t>（</w:t>
      </w:r>
      <w:r>
        <w:rPr>
          <w:bCs/>
          <w:color w:val="000000"/>
          <w:sz w:val="24"/>
        </w:rPr>
        <w:t>33</w:t>
      </w:r>
      <w:r>
        <w:rPr>
          <w:bCs/>
          <w:color w:val="000000"/>
          <w:sz w:val="24"/>
        </w:rPr>
        <w:t>）生态环境部、国家发展和改革委员会、国家能源局环环评【</w:t>
      </w:r>
      <w:r>
        <w:rPr>
          <w:bCs/>
          <w:color w:val="000000"/>
          <w:sz w:val="24"/>
        </w:rPr>
        <w:t>2020</w:t>
      </w:r>
      <w:r>
        <w:rPr>
          <w:bCs/>
          <w:color w:val="000000"/>
          <w:sz w:val="24"/>
        </w:rPr>
        <w:t>】</w:t>
      </w:r>
      <w:r>
        <w:rPr>
          <w:bCs/>
          <w:color w:val="000000"/>
          <w:sz w:val="24"/>
        </w:rPr>
        <w:t>63</w:t>
      </w:r>
      <w:r>
        <w:rPr>
          <w:bCs/>
          <w:color w:val="000000"/>
          <w:sz w:val="24"/>
        </w:rPr>
        <w:t>号《关于进一步加强煤炭资源开发环境影响评价管理的通知》；</w:t>
      </w:r>
    </w:p>
    <w:p w:rsidR="00240BCE" w:rsidRDefault="00AC0334">
      <w:pPr>
        <w:spacing w:line="520" w:lineRule="exact"/>
        <w:ind w:firstLineChars="200" w:firstLine="480"/>
        <w:rPr>
          <w:bCs/>
          <w:color w:val="000000"/>
          <w:sz w:val="24"/>
        </w:rPr>
      </w:pPr>
      <w:r>
        <w:rPr>
          <w:bCs/>
          <w:color w:val="000000"/>
          <w:sz w:val="24"/>
        </w:rPr>
        <w:t>（</w:t>
      </w:r>
      <w:r>
        <w:rPr>
          <w:bCs/>
          <w:color w:val="000000"/>
          <w:sz w:val="24"/>
        </w:rPr>
        <w:t>34</w:t>
      </w:r>
      <w:r>
        <w:rPr>
          <w:bCs/>
          <w:color w:val="000000"/>
          <w:sz w:val="24"/>
        </w:rPr>
        <w:t>）关于印发水泥制造等七个行业建设项目环境影响评价文件审批原则的通知中《煤炭采选工程建设项目环境影响评价文件的审批原则》（试行），环办环评〔</w:t>
      </w:r>
      <w:r>
        <w:rPr>
          <w:bCs/>
          <w:color w:val="000000"/>
          <w:sz w:val="24"/>
        </w:rPr>
        <w:t>2016</w:t>
      </w:r>
      <w:r>
        <w:rPr>
          <w:bCs/>
          <w:color w:val="000000"/>
          <w:sz w:val="24"/>
        </w:rPr>
        <w:t>〕</w:t>
      </w:r>
      <w:r>
        <w:rPr>
          <w:bCs/>
          <w:color w:val="000000"/>
          <w:sz w:val="24"/>
        </w:rPr>
        <w:t>114</w:t>
      </w:r>
      <w:r>
        <w:rPr>
          <w:bCs/>
          <w:color w:val="000000"/>
          <w:sz w:val="24"/>
        </w:rPr>
        <w:t>号；</w:t>
      </w:r>
    </w:p>
    <w:p w:rsidR="00FA1594" w:rsidRDefault="00AC0334">
      <w:pPr>
        <w:spacing w:line="520" w:lineRule="exact"/>
        <w:ind w:firstLineChars="200" w:firstLine="480"/>
        <w:rPr>
          <w:bCs/>
          <w:color w:val="000000"/>
          <w:sz w:val="24"/>
        </w:rPr>
      </w:pPr>
      <w:r>
        <w:rPr>
          <w:bCs/>
          <w:color w:val="000000"/>
          <w:sz w:val="24"/>
        </w:rPr>
        <w:t>（</w:t>
      </w:r>
      <w:r>
        <w:rPr>
          <w:bCs/>
          <w:color w:val="000000"/>
          <w:sz w:val="24"/>
        </w:rPr>
        <w:t>35</w:t>
      </w:r>
      <w:r>
        <w:rPr>
          <w:bCs/>
          <w:color w:val="000000"/>
          <w:sz w:val="24"/>
        </w:rPr>
        <w:t>）《矿产资源开发利用辐射环境监督管理名录》（生态环境部公告</w:t>
      </w:r>
      <w:r>
        <w:rPr>
          <w:bCs/>
          <w:color w:val="000000"/>
          <w:sz w:val="24"/>
        </w:rPr>
        <w:t>2020</w:t>
      </w:r>
      <w:r>
        <w:rPr>
          <w:bCs/>
          <w:color w:val="000000"/>
          <w:sz w:val="24"/>
        </w:rPr>
        <w:t>年第</w:t>
      </w:r>
      <w:r>
        <w:rPr>
          <w:bCs/>
          <w:color w:val="000000"/>
          <w:sz w:val="24"/>
        </w:rPr>
        <w:t>54</w:t>
      </w:r>
      <w:r>
        <w:rPr>
          <w:bCs/>
          <w:color w:val="000000"/>
          <w:sz w:val="24"/>
        </w:rPr>
        <w:t>号）</w:t>
      </w:r>
      <w:r w:rsidR="00FA1594">
        <w:rPr>
          <w:rFonts w:hint="eastAsia"/>
          <w:bCs/>
          <w:color w:val="000000"/>
          <w:sz w:val="24"/>
        </w:rPr>
        <w:t>；</w:t>
      </w:r>
    </w:p>
    <w:p w:rsidR="00240BCE" w:rsidRDefault="00FA1594">
      <w:pPr>
        <w:spacing w:line="520" w:lineRule="exact"/>
        <w:ind w:firstLineChars="200" w:firstLine="480"/>
        <w:rPr>
          <w:bCs/>
          <w:color w:val="000000"/>
          <w:sz w:val="24"/>
        </w:rPr>
      </w:pPr>
      <w:r>
        <w:rPr>
          <w:rFonts w:hint="eastAsia"/>
          <w:bCs/>
          <w:color w:val="000000"/>
          <w:sz w:val="24"/>
        </w:rPr>
        <w:t>（</w:t>
      </w:r>
      <w:r>
        <w:rPr>
          <w:rFonts w:hint="eastAsia"/>
          <w:bCs/>
          <w:color w:val="000000"/>
          <w:sz w:val="24"/>
        </w:rPr>
        <w:t>36</w:t>
      </w:r>
      <w:r>
        <w:rPr>
          <w:rFonts w:hint="eastAsia"/>
          <w:bCs/>
          <w:color w:val="000000"/>
          <w:sz w:val="24"/>
        </w:rPr>
        <w:t>）《</w:t>
      </w:r>
      <w:r w:rsidRPr="00FA1594">
        <w:rPr>
          <w:rFonts w:hint="eastAsia"/>
          <w:bCs/>
          <w:color w:val="000000"/>
          <w:sz w:val="24"/>
        </w:rPr>
        <w:t>关于进一步完善建设项目环境保护“三同时”及竣工环境保护自主验收监管工作机制的意见</w:t>
      </w:r>
      <w:r>
        <w:rPr>
          <w:rFonts w:hint="eastAsia"/>
          <w:bCs/>
          <w:color w:val="000000"/>
          <w:sz w:val="24"/>
        </w:rPr>
        <w:t>》（</w:t>
      </w:r>
      <w:r w:rsidRPr="00FA1594">
        <w:rPr>
          <w:rFonts w:hint="eastAsia"/>
          <w:bCs/>
          <w:color w:val="000000"/>
          <w:sz w:val="24"/>
        </w:rPr>
        <w:t>环执法〔</w:t>
      </w:r>
      <w:r w:rsidRPr="00FA1594">
        <w:rPr>
          <w:rFonts w:hint="eastAsia"/>
          <w:bCs/>
          <w:color w:val="000000"/>
          <w:sz w:val="24"/>
        </w:rPr>
        <w:t>2021</w:t>
      </w:r>
      <w:r w:rsidRPr="00FA1594">
        <w:rPr>
          <w:rFonts w:hint="eastAsia"/>
          <w:bCs/>
          <w:color w:val="000000"/>
          <w:sz w:val="24"/>
        </w:rPr>
        <w:t>〕</w:t>
      </w:r>
      <w:r w:rsidRPr="00FA1594">
        <w:rPr>
          <w:rFonts w:hint="eastAsia"/>
          <w:bCs/>
          <w:color w:val="000000"/>
          <w:sz w:val="24"/>
        </w:rPr>
        <w:t>70</w:t>
      </w:r>
      <w:r w:rsidRPr="00FA1594">
        <w:rPr>
          <w:rFonts w:hint="eastAsia"/>
          <w:bCs/>
          <w:color w:val="000000"/>
          <w:sz w:val="24"/>
        </w:rPr>
        <w:t>号</w:t>
      </w:r>
      <w:r>
        <w:rPr>
          <w:rFonts w:hint="eastAsia"/>
          <w:bCs/>
          <w:color w:val="000000"/>
          <w:sz w:val="24"/>
        </w:rPr>
        <w:t>）</w:t>
      </w:r>
      <w:r w:rsidR="00AC0334">
        <w:rPr>
          <w:bCs/>
          <w:color w:val="000000"/>
          <w:sz w:val="24"/>
        </w:rPr>
        <w:t>。</w:t>
      </w:r>
    </w:p>
    <w:p w:rsidR="00240BCE" w:rsidRDefault="00AC0334">
      <w:pPr>
        <w:spacing w:line="520" w:lineRule="exact"/>
        <w:rPr>
          <w:color w:val="000000"/>
          <w:sz w:val="24"/>
        </w:rPr>
      </w:pPr>
      <w:r>
        <w:rPr>
          <w:color w:val="000000"/>
          <w:sz w:val="24"/>
        </w:rPr>
        <w:t xml:space="preserve">2.1.2.2 </w:t>
      </w:r>
      <w:r>
        <w:rPr>
          <w:color w:val="000000"/>
          <w:sz w:val="24"/>
        </w:rPr>
        <w:t>地方规章及政策性文件</w:t>
      </w:r>
    </w:p>
    <w:p w:rsidR="00240BCE" w:rsidRDefault="00AC0334">
      <w:pPr>
        <w:spacing w:line="520" w:lineRule="exact"/>
        <w:ind w:firstLineChars="200" w:firstLine="480"/>
        <w:rPr>
          <w:bCs/>
          <w:color w:val="000000"/>
          <w:sz w:val="24"/>
        </w:rPr>
      </w:pPr>
      <w:r>
        <w:rPr>
          <w:bCs/>
          <w:color w:val="000000"/>
          <w:sz w:val="24"/>
        </w:rPr>
        <w:t>（</w:t>
      </w:r>
      <w:r>
        <w:rPr>
          <w:bCs/>
          <w:color w:val="000000"/>
          <w:sz w:val="24"/>
        </w:rPr>
        <w:t>1</w:t>
      </w:r>
      <w:r>
        <w:rPr>
          <w:bCs/>
          <w:color w:val="000000"/>
          <w:sz w:val="24"/>
        </w:rPr>
        <w:t>）《河南省人民政府关于全面深化矿产资源管理改革的若干意见》（豫政</w:t>
      </w:r>
      <w:r>
        <w:rPr>
          <w:bCs/>
          <w:color w:val="000000"/>
          <w:sz w:val="24"/>
        </w:rPr>
        <w:t>[2016]27</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2</w:t>
      </w:r>
      <w:r>
        <w:rPr>
          <w:bCs/>
          <w:color w:val="000000"/>
          <w:sz w:val="24"/>
        </w:rPr>
        <w:t>）河南省人民政府豫政</w:t>
      </w:r>
      <w:r>
        <w:rPr>
          <w:bCs/>
          <w:color w:val="000000"/>
          <w:sz w:val="24"/>
        </w:rPr>
        <w:t>[2017]81</w:t>
      </w:r>
      <w:r>
        <w:rPr>
          <w:bCs/>
          <w:color w:val="000000"/>
          <w:sz w:val="24"/>
        </w:rPr>
        <w:t>号文《关于印发河南省</w:t>
      </w:r>
      <w:r>
        <w:rPr>
          <w:bCs/>
          <w:color w:val="000000"/>
          <w:sz w:val="24"/>
        </w:rPr>
        <w:t>“</w:t>
      </w:r>
      <w:r>
        <w:rPr>
          <w:bCs/>
          <w:color w:val="000000"/>
          <w:sz w:val="24"/>
        </w:rPr>
        <w:t>十三五</w:t>
      </w:r>
      <w:r>
        <w:rPr>
          <w:bCs/>
          <w:color w:val="000000"/>
          <w:sz w:val="24"/>
        </w:rPr>
        <w:t>”</w:t>
      </w:r>
      <w:r>
        <w:rPr>
          <w:bCs/>
          <w:color w:val="000000"/>
          <w:sz w:val="24"/>
        </w:rPr>
        <w:t>节能减排综合工作方案的通知》；</w:t>
      </w:r>
    </w:p>
    <w:p w:rsidR="00240BCE" w:rsidRDefault="00AC0334">
      <w:pPr>
        <w:spacing w:line="520" w:lineRule="exact"/>
        <w:ind w:firstLineChars="200" w:firstLine="480"/>
        <w:rPr>
          <w:bCs/>
          <w:color w:val="000000"/>
          <w:sz w:val="24"/>
        </w:rPr>
      </w:pPr>
      <w:r>
        <w:rPr>
          <w:bCs/>
          <w:color w:val="000000"/>
          <w:sz w:val="24"/>
        </w:rPr>
        <w:t>（</w:t>
      </w:r>
      <w:r>
        <w:rPr>
          <w:bCs/>
          <w:color w:val="000000"/>
          <w:sz w:val="24"/>
        </w:rPr>
        <w:t>3</w:t>
      </w:r>
      <w:r>
        <w:rPr>
          <w:bCs/>
          <w:color w:val="000000"/>
          <w:sz w:val="24"/>
        </w:rPr>
        <w:t>）关于印发《河南省污染地块土壤环境管理办法（试行）》的通知（豫环文</w:t>
      </w:r>
      <w:r>
        <w:rPr>
          <w:bCs/>
          <w:color w:val="000000"/>
          <w:sz w:val="24"/>
        </w:rPr>
        <w:t xml:space="preserve"> [2018]243</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4</w:t>
      </w:r>
      <w:r>
        <w:rPr>
          <w:bCs/>
          <w:color w:val="000000"/>
          <w:sz w:val="24"/>
        </w:rPr>
        <w:t>）《河南省清洁土壤行动计划》（豫政</w:t>
      </w:r>
      <w:r>
        <w:rPr>
          <w:bCs/>
          <w:color w:val="000000"/>
          <w:sz w:val="24"/>
        </w:rPr>
        <w:t>[2017]13</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5</w:t>
      </w:r>
      <w:r>
        <w:rPr>
          <w:bCs/>
          <w:color w:val="000000"/>
          <w:sz w:val="24"/>
        </w:rPr>
        <w:t>）《河南省污染防治攻坚战三年行动计划</w:t>
      </w:r>
      <w:r>
        <w:rPr>
          <w:bCs/>
          <w:color w:val="000000"/>
          <w:sz w:val="24"/>
        </w:rPr>
        <w:t>(2018-2020</w:t>
      </w:r>
      <w:r>
        <w:rPr>
          <w:bCs/>
          <w:color w:val="000000"/>
          <w:sz w:val="24"/>
        </w:rPr>
        <w:t>年</w:t>
      </w:r>
      <w:r>
        <w:rPr>
          <w:bCs/>
          <w:color w:val="000000"/>
          <w:sz w:val="24"/>
        </w:rPr>
        <w:t>)</w:t>
      </w:r>
      <w:r>
        <w:rPr>
          <w:bCs/>
          <w:color w:val="000000"/>
          <w:sz w:val="24"/>
        </w:rPr>
        <w:t>》（豫政</w:t>
      </w:r>
      <w:r>
        <w:rPr>
          <w:bCs/>
          <w:color w:val="000000"/>
          <w:sz w:val="24"/>
        </w:rPr>
        <w:t>[2018]30</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6</w:t>
      </w:r>
      <w:r>
        <w:rPr>
          <w:bCs/>
          <w:color w:val="000000"/>
          <w:sz w:val="24"/>
        </w:rPr>
        <w:t>）《关于印发河南省</w:t>
      </w:r>
      <w:r>
        <w:rPr>
          <w:bCs/>
          <w:color w:val="000000"/>
          <w:sz w:val="24"/>
        </w:rPr>
        <w:t>2020</w:t>
      </w:r>
      <w:r>
        <w:rPr>
          <w:bCs/>
          <w:color w:val="000000"/>
          <w:sz w:val="24"/>
        </w:rPr>
        <w:t>年大气、水、土壤污染防治攻坚战实施方案的通知》（豫环攻坚办〔</w:t>
      </w:r>
      <w:r>
        <w:rPr>
          <w:bCs/>
          <w:color w:val="000000"/>
          <w:sz w:val="24"/>
        </w:rPr>
        <w:t>2020</w:t>
      </w:r>
      <w:r>
        <w:rPr>
          <w:bCs/>
          <w:color w:val="000000"/>
          <w:sz w:val="24"/>
        </w:rPr>
        <w:t>〕</w:t>
      </w:r>
      <w:r>
        <w:rPr>
          <w:bCs/>
          <w:color w:val="000000"/>
          <w:sz w:val="24"/>
        </w:rPr>
        <w:t>7</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7</w:t>
      </w:r>
      <w:r>
        <w:rPr>
          <w:bCs/>
          <w:color w:val="000000"/>
          <w:sz w:val="24"/>
        </w:rPr>
        <w:t>）《河南省工业大气污染防治</w:t>
      </w:r>
      <w:r>
        <w:rPr>
          <w:bCs/>
          <w:color w:val="000000"/>
          <w:sz w:val="24"/>
        </w:rPr>
        <w:t>6</w:t>
      </w:r>
      <w:r>
        <w:rPr>
          <w:bCs/>
          <w:color w:val="000000"/>
          <w:sz w:val="24"/>
        </w:rPr>
        <w:t>个专项方案</w:t>
      </w:r>
      <w:r>
        <w:rPr>
          <w:bCs/>
          <w:color w:val="000000"/>
          <w:sz w:val="24"/>
        </w:rPr>
        <w:t>-</w:t>
      </w:r>
      <w:r>
        <w:rPr>
          <w:bCs/>
          <w:color w:val="000000"/>
          <w:sz w:val="24"/>
        </w:rPr>
        <w:t>工业企业无组织排放治理方案》（豫环文</w:t>
      </w:r>
      <w:r>
        <w:rPr>
          <w:bCs/>
          <w:color w:val="000000"/>
          <w:sz w:val="24"/>
        </w:rPr>
        <w:t>[2019]84</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8</w:t>
      </w:r>
      <w:r>
        <w:rPr>
          <w:bCs/>
          <w:color w:val="000000"/>
          <w:sz w:val="24"/>
        </w:rPr>
        <w:t>）《河南省环保厅、河南省国土资源厅关于加强矿山采</w:t>
      </w:r>
      <w:r>
        <w:rPr>
          <w:bCs/>
          <w:color w:val="000000"/>
          <w:sz w:val="24"/>
        </w:rPr>
        <w:t>(</w:t>
      </w:r>
      <w:r>
        <w:rPr>
          <w:bCs/>
          <w:color w:val="000000"/>
          <w:sz w:val="24"/>
        </w:rPr>
        <w:t>选</w:t>
      </w:r>
      <w:r>
        <w:rPr>
          <w:bCs/>
          <w:color w:val="000000"/>
          <w:sz w:val="24"/>
        </w:rPr>
        <w:t>)</w:t>
      </w:r>
      <w:r>
        <w:rPr>
          <w:bCs/>
          <w:color w:val="000000"/>
          <w:sz w:val="24"/>
        </w:rPr>
        <w:t>矿扬尘综合治理</w:t>
      </w:r>
      <w:r>
        <w:rPr>
          <w:bCs/>
          <w:color w:val="000000"/>
          <w:sz w:val="24"/>
        </w:rPr>
        <w:lastRenderedPageBreak/>
        <w:t>的通知》（豫环文</w:t>
      </w:r>
      <w:r>
        <w:rPr>
          <w:bCs/>
          <w:color w:val="000000"/>
          <w:sz w:val="24"/>
        </w:rPr>
        <w:t>[2015]107</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9</w:t>
      </w:r>
      <w:r>
        <w:rPr>
          <w:bCs/>
          <w:color w:val="000000"/>
          <w:sz w:val="24"/>
        </w:rPr>
        <w:t>）《河南省环境保护厅关于印发深化建设项目环境影响评价审批制度改革实施意见的通知》（豫环文</w:t>
      </w:r>
      <w:r>
        <w:rPr>
          <w:bCs/>
          <w:color w:val="000000"/>
          <w:sz w:val="24"/>
        </w:rPr>
        <w:t>[2015]33</w:t>
      </w:r>
      <w:r>
        <w:rPr>
          <w:bCs/>
          <w:color w:val="000000"/>
          <w:sz w:val="24"/>
        </w:rPr>
        <w:t>号文）；</w:t>
      </w:r>
    </w:p>
    <w:p w:rsidR="00240BCE" w:rsidRDefault="00AC0334">
      <w:pPr>
        <w:spacing w:line="520" w:lineRule="exact"/>
        <w:ind w:firstLineChars="200" w:firstLine="480"/>
        <w:rPr>
          <w:bCs/>
          <w:color w:val="000000"/>
          <w:sz w:val="24"/>
        </w:rPr>
      </w:pPr>
      <w:r>
        <w:rPr>
          <w:bCs/>
          <w:color w:val="000000"/>
          <w:sz w:val="24"/>
        </w:rPr>
        <w:t>（</w:t>
      </w:r>
      <w:r>
        <w:rPr>
          <w:bCs/>
          <w:color w:val="000000"/>
          <w:sz w:val="24"/>
        </w:rPr>
        <w:t>10</w:t>
      </w:r>
      <w:r>
        <w:rPr>
          <w:bCs/>
          <w:color w:val="000000"/>
          <w:sz w:val="24"/>
        </w:rPr>
        <w:t>）《河南省环境污染防治攻坚战领导小组办公室关于进一步加强扬尘污染专项治理的意见》</w:t>
      </w:r>
      <w:r>
        <w:rPr>
          <w:bCs/>
          <w:color w:val="000000"/>
          <w:sz w:val="24"/>
        </w:rPr>
        <w:t>(</w:t>
      </w:r>
      <w:r>
        <w:rPr>
          <w:bCs/>
          <w:color w:val="000000"/>
          <w:sz w:val="24"/>
        </w:rPr>
        <w:t>豫环攻坚办〔</w:t>
      </w:r>
      <w:r>
        <w:rPr>
          <w:bCs/>
          <w:color w:val="000000"/>
          <w:sz w:val="24"/>
        </w:rPr>
        <w:t>2017</w:t>
      </w:r>
      <w:r>
        <w:rPr>
          <w:bCs/>
          <w:color w:val="000000"/>
          <w:sz w:val="24"/>
        </w:rPr>
        <w:t>〕</w:t>
      </w:r>
      <w:r>
        <w:rPr>
          <w:bCs/>
          <w:color w:val="000000"/>
          <w:sz w:val="24"/>
        </w:rPr>
        <w:t>191</w:t>
      </w:r>
      <w:r>
        <w:rPr>
          <w:bCs/>
          <w:color w:val="000000"/>
          <w:sz w:val="24"/>
        </w:rPr>
        <w:t>号</w:t>
      </w:r>
      <w:r>
        <w:rPr>
          <w:bCs/>
          <w:color w:val="000000"/>
          <w:sz w:val="24"/>
        </w:rPr>
        <w:t>)</w:t>
      </w:r>
      <w:r>
        <w:rPr>
          <w:bCs/>
          <w:color w:val="000000"/>
          <w:sz w:val="24"/>
        </w:rPr>
        <w:t>要求；</w:t>
      </w:r>
    </w:p>
    <w:p w:rsidR="00240BCE" w:rsidRDefault="00AC0334">
      <w:pPr>
        <w:spacing w:line="520" w:lineRule="exact"/>
        <w:ind w:firstLineChars="200" w:firstLine="480"/>
        <w:rPr>
          <w:bCs/>
          <w:color w:val="000000"/>
          <w:sz w:val="24"/>
        </w:rPr>
      </w:pPr>
      <w:r>
        <w:rPr>
          <w:bCs/>
          <w:color w:val="000000"/>
          <w:sz w:val="24"/>
        </w:rPr>
        <w:t>（</w:t>
      </w:r>
      <w:r>
        <w:rPr>
          <w:bCs/>
          <w:color w:val="000000"/>
          <w:sz w:val="24"/>
        </w:rPr>
        <w:t>11</w:t>
      </w:r>
      <w:r>
        <w:rPr>
          <w:bCs/>
          <w:color w:val="000000"/>
          <w:sz w:val="24"/>
        </w:rPr>
        <w:t>）《河南省环境保护厅办公室关于印发危险废物集中处置和矿山采选行业建设项目环境影响评价文件审批原则的通知》（豫环办</w:t>
      </w:r>
      <w:r>
        <w:rPr>
          <w:bCs/>
          <w:color w:val="000000"/>
          <w:sz w:val="24"/>
        </w:rPr>
        <w:t>[2018]209</w:t>
      </w:r>
      <w:r>
        <w:rPr>
          <w:bCs/>
          <w:color w:val="000000"/>
          <w:sz w:val="24"/>
        </w:rPr>
        <w:t>号）；</w:t>
      </w:r>
    </w:p>
    <w:p w:rsidR="00240BCE" w:rsidRDefault="00AC0334">
      <w:pPr>
        <w:spacing w:line="520" w:lineRule="exact"/>
        <w:ind w:firstLineChars="200" w:firstLine="480"/>
        <w:rPr>
          <w:bCs/>
          <w:color w:val="000000"/>
          <w:sz w:val="24"/>
        </w:rPr>
      </w:pPr>
      <w:r>
        <w:rPr>
          <w:bCs/>
          <w:color w:val="000000"/>
          <w:sz w:val="24"/>
        </w:rPr>
        <w:t>（</w:t>
      </w:r>
      <w:r>
        <w:rPr>
          <w:bCs/>
          <w:color w:val="000000"/>
          <w:sz w:val="24"/>
        </w:rPr>
        <w:t>12</w:t>
      </w:r>
      <w:r>
        <w:rPr>
          <w:bCs/>
          <w:color w:val="000000"/>
          <w:sz w:val="24"/>
        </w:rPr>
        <w:t>）</w:t>
      </w:r>
      <w:r>
        <w:rPr>
          <w:color w:val="000000"/>
          <w:sz w:val="24"/>
        </w:rPr>
        <w:t>河南省环境保护厅公告</w:t>
      </w:r>
      <w:r>
        <w:rPr>
          <w:color w:val="000000"/>
          <w:sz w:val="24"/>
        </w:rPr>
        <w:t>[2019]6</w:t>
      </w:r>
      <w:r>
        <w:rPr>
          <w:color w:val="000000"/>
          <w:sz w:val="24"/>
        </w:rPr>
        <w:t>号《关于发布河南省生态环境厅审批环境影响评价文件的建设项目目录（</w:t>
      </w:r>
      <w:r>
        <w:rPr>
          <w:color w:val="000000"/>
          <w:sz w:val="24"/>
        </w:rPr>
        <w:t>2019</w:t>
      </w:r>
      <w:r>
        <w:rPr>
          <w:color w:val="000000"/>
          <w:sz w:val="24"/>
        </w:rPr>
        <w:t>年本）的公告</w:t>
      </w:r>
      <w:r>
        <w:rPr>
          <w:bCs/>
          <w:color w:val="000000"/>
          <w:sz w:val="24"/>
        </w:rPr>
        <w:t>》；</w:t>
      </w:r>
    </w:p>
    <w:p w:rsidR="00240BCE" w:rsidRDefault="00AC0334">
      <w:pPr>
        <w:spacing w:line="520" w:lineRule="exact"/>
        <w:ind w:firstLineChars="200" w:firstLine="480"/>
        <w:rPr>
          <w:bCs/>
          <w:color w:val="000000"/>
          <w:kern w:val="0"/>
          <w:sz w:val="24"/>
        </w:rPr>
      </w:pPr>
      <w:r>
        <w:rPr>
          <w:bCs/>
          <w:color w:val="000000"/>
          <w:kern w:val="0"/>
          <w:sz w:val="24"/>
        </w:rPr>
        <w:t>（</w:t>
      </w:r>
      <w:r>
        <w:rPr>
          <w:bCs/>
          <w:color w:val="000000"/>
          <w:kern w:val="0"/>
          <w:sz w:val="24"/>
        </w:rPr>
        <w:t>13</w:t>
      </w:r>
      <w:r>
        <w:rPr>
          <w:bCs/>
          <w:color w:val="000000"/>
          <w:kern w:val="0"/>
          <w:sz w:val="24"/>
        </w:rPr>
        <w:t>）</w:t>
      </w:r>
      <w:r>
        <w:rPr>
          <w:rStyle w:val="afffffffffffff3"/>
          <w:rFonts w:ascii="Times New Roman" w:hAnsi="Times New Roman"/>
        </w:rPr>
        <w:t>《河南省人民政府关于划定调整取消部分集中式饮用水水源保护区的通知》（豫政文【</w:t>
      </w:r>
      <w:r>
        <w:rPr>
          <w:rStyle w:val="afffffffffffff3"/>
          <w:rFonts w:ascii="Times New Roman" w:hAnsi="Times New Roman"/>
        </w:rPr>
        <w:t>2019</w:t>
      </w:r>
      <w:r>
        <w:rPr>
          <w:rStyle w:val="afffffffffffff3"/>
          <w:rFonts w:ascii="Times New Roman" w:hAnsi="Times New Roman"/>
        </w:rPr>
        <w:t>】</w:t>
      </w:r>
      <w:r>
        <w:rPr>
          <w:rStyle w:val="afffffffffffff3"/>
          <w:rFonts w:ascii="Times New Roman" w:hAnsi="Times New Roman"/>
        </w:rPr>
        <w:t xml:space="preserve">125 </w:t>
      </w:r>
      <w:r>
        <w:rPr>
          <w:rStyle w:val="afffffffffffff3"/>
          <w:rFonts w:ascii="Times New Roman" w:hAnsi="Times New Roman"/>
        </w:rPr>
        <w:t>号</w:t>
      </w:r>
      <w:r>
        <w:rPr>
          <w:color w:val="000000"/>
          <w:kern w:val="28"/>
          <w:sz w:val="24"/>
        </w:rPr>
        <w:t>、豫政文</w:t>
      </w:r>
      <w:r>
        <w:rPr>
          <w:color w:val="000000"/>
          <w:kern w:val="28"/>
          <w:sz w:val="24"/>
        </w:rPr>
        <w:t>[2019]162</w:t>
      </w:r>
      <w:r>
        <w:rPr>
          <w:color w:val="000000"/>
          <w:kern w:val="28"/>
          <w:sz w:val="24"/>
        </w:rPr>
        <w:t>号）；</w:t>
      </w:r>
      <w:r>
        <w:rPr>
          <w:bCs/>
          <w:color w:val="000000"/>
          <w:kern w:val="0"/>
          <w:sz w:val="24"/>
        </w:rPr>
        <w:t xml:space="preserve"> </w:t>
      </w:r>
    </w:p>
    <w:p w:rsidR="00240BCE" w:rsidRDefault="00AC0334">
      <w:pPr>
        <w:spacing w:line="520" w:lineRule="exact"/>
        <w:ind w:firstLineChars="200" w:firstLine="480"/>
        <w:rPr>
          <w:rStyle w:val="afffffffffffff3"/>
          <w:rFonts w:ascii="Times New Roman" w:hAnsi="Times New Roman"/>
        </w:rPr>
      </w:pPr>
      <w:r>
        <w:rPr>
          <w:rStyle w:val="afffffffffffff3"/>
          <w:rFonts w:ascii="Times New Roman" w:hAnsi="Times New Roman"/>
        </w:rPr>
        <w:t>（</w:t>
      </w:r>
      <w:r>
        <w:rPr>
          <w:rStyle w:val="afffffffffffff3"/>
          <w:rFonts w:ascii="Times New Roman" w:hAnsi="Times New Roman"/>
        </w:rPr>
        <w:t>14</w:t>
      </w:r>
      <w:r>
        <w:rPr>
          <w:rStyle w:val="afffffffffffff3"/>
          <w:rFonts w:ascii="Times New Roman" w:hAnsi="Times New Roman"/>
        </w:rPr>
        <w:t>）</w:t>
      </w:r>
      <w:r>
        <w:rPr>
          <w:bCs/>
          <w:color w:val="000000"/>
          <w:kern w:val="0"/>
          <w:sz w:val="24"/>
        </w:rPr>
        <w:t>《河南省人民政府关于实施</w:t>
      </w:r>
      <w:r>
        <w:rPr>
          <w:bCs/>
          <w:color w:val="000000"/>
          <w:kern w:val="0"/>
          <w:sz w:val="24"/>
        </w:rPr>
        <w:t>“</w:t>
      </w:r>
      <w:r>
        <w:rPr>
          <w:bCs/>
          <w:color w:val="000000"/>
          <w:kern w:val="0"/>
          <w:sz w:val="24"/>
        </w:rPr>
        <w:t>三线一单</w:t>
      </w:r>
      <w:r>
        <w:rPr>
          <w:bCs/>
          <w:color w:val="000000"/>
          <w:kern w:val="0"/>
          <w:sz w:val="24"/>
        </w:rPr>
        <w:t>”</w:t>
      </w:r>
      <w:r>
        <w:rPr>
          <w:bCs/>
          <w:color w:val="000000"/>
          <w:kern w:val="0"/>
          <w:sz w:val="24"/>
        </w:rPr>
        <w:t>生态环境分区管控的意见》（豫政〔</w:t>
      </w:r>
      <w:r>
        <w:rPr>
          <w:bCs/>
          <w:color w:val="000000"/>
          <w:kern w:val="0"/>
          <w:sz w:val="24"/>
        </w:rPr>
        <w:t>2020</w:t>
      </w:r>
      <w:r>
        <w:rPr>
          <w:bCs/>
          <w:color w:val="000000"/>
          <w:kern w:val="0"/>
          <w:sz w:val="24"/>
        </w:rPr>
        <w:t>〕</w:t>
      </w:r>
      <w:r>
        <w:rPr>
          <w:bCs/>
          <w:color w:val="000000"/>
          <w:kern w:val="0"/>
          <w:sz w:val="24"/>
        </w:rPr>
        <w:t>37</w:t>
      </w:r>
      <w:r>
        <w:rPr>
          <w:bCs/>
          <w:color w:val="000000"/>
          <w:kern w:val="0"/>
          <w:sz w:val="24"/>
        </w:rPr>
        <w:t>号）</w:t>
      </w:r>
    </w:p>
    <w:p w:rsidR="00240BCE" w:rsidRDefault="00AC0334">
      <w:pPr>
        <w:spacing w:line="520" w:lineRule="exact"/>
        <w:ind w:firstLineChars="200" w:firstLine="480"/>
        <w:rPr>
          <w:rStyle w:val="afffffffffffff3"/>
          <w:rFonts w:ascii="Times New Roman" w:hAnsi="Times New Roman"/>
          <w:lang w:val="de-DE"/>
        </w:rPr>
      </w:pPr>
      <w:r>
        <w:rPr>
          <w:rStyle w:val="afffffffffffff3"/>
          <w:rFonts w:ascii="Times New Roman" w:hAnsi="Times New Roman"/>
          <w:lang w:val="de-DE"/>
        </w:rPr>
        <w:t>（</w:t>
      </w:r>
      <w:r>
        <w:rPr>
          <w:rStyle w:val="afffffffffffff3"/>
          <w:rFonts w:ascii="Times New Roman" w:hAnsi="Times New Roman"/>
          <w:lang w:val="de-DE"/>
        </w:rPr>
        <w:t>15</w:t>
      </w:r>
      <w:r>
        <w:rPr>
          <w:rStyle w:val="afffffffffffff3"/>
          <w:rFonts w:ascii="Times New Roman" w:hAnsi="Times New Roman"/>
          <w:lang w:val="de-DE"/>
        </w:rPr>
        <w:t>）《</w:t>
      </w:r>
      <w:r>
        <w:rPr>
          <w:bCs/>
          <w:color w:val="000000"/>
          <w:kern w:val="28"/>
          <w:sz w:val="24"/>
        </w:rPr>
        <w:t>河南省生态环境厅办公室关于印发《贯彻落实</w:t>
      </w:r>
      <w:r>
        <w:rPr>
          <w:bCs/>
          <w:color w:val="000000"/>
          <w:kern w:val="28"/>
          <w:sz w:val="24"/>
        </w:rPr>
        <w:t>&lt;</w:t>
      </w:r>
      <w:r>
        <w:rPr>
          <w:bCs/>
          <w:color w:val="000000"/>
          <w:kern w:val="28"/>
          <w:sz w:val="24"/>
        </w:rPr>
        <w:t>河南省人民政府关于实施</w:t>
      </w:r>
      <w:r>
        <w:rPr>
          <w:bCs/>
          <w:color w:val="000000"/>
          <w:kern w:val="28"/>
          <w:sz w:val="24"/>
        </w:rPr>
        <w:t xml:space="preserve"> “</w:t>
      </w:r>
      <w:r>
        <w:rPr>
          <w:bCs/>
          <w:color w:val="000000"/>
          <w:kern w:val="28"/>
          <w:sz w:val="24"/>
        </w:rPr>
        <w:t>三线一单</w:t>
      </w:r>
      <w:r>
        <w:rPr>
          <w:bCs/>
          <w:color w:val="000000"/>
          <w:kern w:val="28"/>
          <w:sz w:val="24"/>
        </w:rPr>
        <w:t>”</w:t>
      </w:r>
      <w:r>
        <w:rPr>
          <w:bCs/>
          <w:color w:val="000000"/>
          <w:kern w:val="28"/>
          <w:sz w:val="24"/>
        </w:rPr>
        <w:t>生态环境分区管控的意见</w:t>
      </w:r>
      <w:r>
        <w:rPr>
          <w:bCs/>
          <w:color w:val="000000"/>
          <w:kern w:val="28"/>
          <w:sz w:val="24"/>
        </w:rPr>
        <w:t>&gt;</w:t>
      </w:r>
      <w:r>
        <w:rPr>
          <w:bCs/>
          <w:color w:val="000000"/>
          <w:kern w:val="28"/>
          <w:sz w:val="24"/>
        </w:rPr>
        <w:t>实施方案》的通知</w:t>
      </w:r>
      <w:r>
        <w:rPr>
          <w:rStyle w:val="afffffffffffff3"/>
          <w:rFonts w:ascii="Times New Roman" w:hAnsi="Times New Roman"/>
          <w:lang w:val="de-DE"/>
        </w:rPr>
        <w:t>》（</w:t>
      </w:r>
      <w:r>
        <w:rPr>
          <w:color w:val="000000"/>
          <w:kern w:val="28"/>
          <w:sz w:val="24"/>
        </w:rPr>
        <w:t>豫环办〔</w:t>
      </w:r>
      <w:r>
        <w:rPr>
          <w:color w:val="000000"/>
          <w:kern w:val="28"/>
          <w:sz w:val="24"/>
        </w:rPr>
        <w:t>2021</w:t>
      </w:r>
      <w:r>
        <w:rPr>
          <w:color w:val="000000"/>
          <w:kern w:val="28"/>
          <w:sz w:val="24"/>
        </w:rPr>
        <w:t>〕</w:t>
      </w:r>
      <w:r>
        <w:rPr>
          <w:color w:val="000000"/>
          <w:kern w:val="28"/>
          <w:sz w:val="24"/>
        </w:rPr>
        <w:t>17</w:t>
      </w:r>
      <w:r>
        <w:rPr>
          <w:color w:val="000000"/>
          <w:kern w:val="28"/>
          <w:sz w:val="24"/>
        </w:rPr>
        <w:t>号</w:t>
      </w:r>
      <w:r>
        <w:rPr>
          <w:rStyle w:val="afffffffffffff3"/>
          <w:rFonts w:ascii="Times New Roman" w:hAnsi="Times New Roman"/>
          <w:lang w:val="de-DE"/>
        </w:rPr>
        <w:t>）；</w:t>
      </w:r>
    </w:p>
    <w:p w:rsidR="00240BCE" w:rsidRDefault="00AC0334">
      <w:pPr>
        <w:spacing w:line="520" w:lineRule="exact"/>
        <w:ind w:firstLineChars="200" w:firstLine="480"/>
        <w:rPr>
          <w:rStyle w:val="afffffffffffff3"/>
          <w:rFonts w:ascii="Times New Roman" w:hAnsi="Times New Roman"/>
          <w:lang w:val="de-DE"/>
        </w:rPr>
      </w:pPr>
      <w:r>
        <w:rPr>
          <w:bCs/>
          <w:color w:val="000000"/>
          <w:kern w:val="0"/>
          <w:sz w:val="24"/>
        </w:rPr>
        <w:t>（</w:t>
      </w:r>
      <w:r>
        <w:rPr>
          <w:bCs/>
          <w:color w:val="000000"/>
          <w:kern w:val="0"/>
          <w:sz w:val="24"/>
        </w:rPr>
        <w:t>16</w:t>
      </w:r>
      <w:r>
        <w:rPr>
          <w:bCs/>
          <w:color w:val="000000"/>
          <w:kern w:val="0"/>
          <w:sz w:val="24"/>
        </w:rPr>
        <w:t>）《河南省生态环境厅办公室关于深化环评</w:t>
      </w:r>
      <w:r>
        <w:rPr>
          <w:bCs/>
          <w:color w:val="000000"/>
          <w:kern w:val="0"/>
          <w:sz w:val="24"/>
        </w:rPr>
        <w:t>“</w:t>
      </w:r>
      <w:r>
        <w:rPr>
          <w:bCs/>
          <w:color w:val="000000"/>
          <w:kern w:val="0"/>
          <w:sz w:val="24"/>
        </w:rPr>
        <w:t>放管服</w:t>
      </w:r>
      <w:r>
        <w:rPr>
          <w:bCs/>
          <w:color w:val="000000"/>
          <w:kern w:val="0"/>
          <w:sz w:val="24"/>
        </w:rPr>
        <w:t>”</w:t>
      </w:r>
      <w:r>
        <w:rPr>
          <w:bCs/>
          <w:color w:val="000000"/>
          <w:kern w:val="0"/>
          <w:sz w:val="24"/>
        </w:rPr>
        <w:t>改革及实施环评审批正面清单的通知》（豫环办</w:t>
      </w:r>
      <w:r>
        <w:rPr>
          <w:bCs/>
          <w:color w:val="000000"/>
          <w:kern w:val="0"/>
          <w:sz w:val="24"/>
        </w:rPr>
        <w:t>[2020]22</w:t>
      </w:r>
      <w:r>
        <w:rPr>
          <w:bCs/>
          <w:color w:val="000000"/>
          <w:kern w:val="0"/>
          <w:sz w:val="24"/>
        </w:rPr>
        <w:t>号）；</w:t>
      </w:r>
    </w:p>
    <w:p w:rsidR="00240BCE" w:rsidRDefault="00AC0334">
      <w:pPr>
        <w:spacing w:line="520" w:lineRule="exact"/>
        <w:ind w:firstLineChars="200" w:firstLine="480"/>
        <w:rPr>
          <w:rStyle w:val="afffffffffffff3"/>
          <w:rFonts w:ascii="Times New Roman" w:hAnsi="Times New Roman"/>
          <w:lang w:val="de-DE"/>
        </w:rPr>
      </w:pPr>
      <w:r>
        <w:rPr>
          <w:rStyle w:val="afffffffffffff3"/>
          <w:rFonts w:ascii="Times New Roman" w:hAnsi="Times New Roman"/>
          <w:lang w:val="de-DE"/>
        </w:rPr>
        <w:t>（</w:t>
      </w:r>
      <w:r>
        <w:rPr>
          <w:rStyle w:val="afffffffffffff3"/>
          <w:rFonts w:ascii="Times New Roman" w:hAnsi="Times New Roman"/>
          <w:lang w:val="de-DE"/>
        </w:rPr>
        <w:t>17</w:t>
      </w:r>
      <w:r>
        <w:rPr>
          <w:rStyle w:val="afffffffffffff3"/>
          <w:rFonts w:ascii="Times New Roman" w:hAnsi="Times New Roman"/>
          <w:lang w:val="de-DE"/>
        </w:rPr>
        <w:t>）</w:t>
      </w:r>
      <w:r>
        <w:rPr>
          <w:color w:val="000000"/>
          <w:kern w:val="28"/>
          <w:sz w:val="24"/>
        </w:rPr>
        <w:t>河南省工业和信息化厅豫工信煤行〔</w:t>
      </w:r>
      <w:r>
        <w:rPr>
          <w:color w:val="000000"/>
          <w:kern w:val="28"/>
          <w:sz w:val="24"/>
        </w:rPr>
        <w:t>2020</w:t>
      </w:r>
      <w:r>
        <w:rPr>
          <w:color w:val="000000"/>
          <w:kern w:val="28"/>
          <w:sz w:val="24"/>
        </w:rPr>
        <w:t>〕</w:t>
      </w:r>
      <w:r>
        <w:rPr>
          <w:color w:val="000000"/>
          <w:kern w:val="28"/>
          <w:sz w:val="24"/>
        </w:rPr>
        <w:t>54</w:t>
      </w:r>
      <w:r>
        <w:rPr>
          <w:color w:val="000000"/>
          <w:kern w:val="28"/>
          <w:sz w:val="24"/>
        </w:rPr>
        <w:t>号《关于切实做好全省</w:t>
      </w:r>
      <w:r>
        <w:rPr>
          <w:color w:val="000000"/>
          <w:kern w:val="28"/>
          <w:sz w:val="24"/>
        </w:rPr>
        <w:t>30</w:t>
      </w:r>
      <w:r>
        <w:rPr>
          <w:color w:val="000000"/>
          <w:kern w:val="28"/>
          <w:sz w:val="24"/>
        </w:rPr>
        <w:t>万吨</w:t>
      </w:r>
      <w:r>
        <w:rPr>
          <w:color w:val="000000"/>
          <w:kern w:val="28"/>
          <w:sz w:val="24"/>
        </w:rPr>
        <w:t>/</w:t>
      </w:r>
      <w:r>
        <w:rPr>
          <w:color w:val="000000"/>
          <w:kern w:val="28"/>
          <w:sz w:val="24"/>
        </w:rPr>
        <w:t>年以下煤矿分类处置工作的通知》；</w:t>
      </w:r>
    </w:p>
    <w:p w:rsidR="00240BCE" w:rsidRDefault="00AC0334">
      <w:pPr>
        <w:spacing w:line="520" w:lineRule="exact"/>
        <w:ind w:firstLineChars="200" w:firstLine="480"/>
        <w:rPr>
          <w:rStyle w:val="afffffffffffff3"/>
          <w:rFonts w:ascii="Times New Roman" w:hAnsi="Times New Roman"/>
          <w:lang w:val="de-DE"/>
        </w:rPr>
      </w:pPr>
      <w:r>
        <w:rPr>
          <w:rStyle w:val="afffffffffffff3"/>
          <w:rFonts w:ascii="Times New Roman" w:hAnsi="Times New Roman"/>
          <w:lang w:val="de-DE"/>
        </w:rPr>
        <w:t>（</w:t>
      </w:r>
      <w:r>
        <w:rPr>
          <w:rStyle w:val="afffffffffffff3"/>
          <w:rFonts w:ascii="Times New Roman" w:hAnsi="Times New Roman"/>
          <w:lang w:val="de-DE"/>
        </w:rPr>
        <w:t>18</w:t>
      </w:r>
      <w:r>
        <w:rPr>
          <w:rStyle w:val="afffffffffffff3"/>
          <w:rFonts w:ascii="Times New Roman" w:hAnsi="Times New Roman"/>
          <w:lang w:val="de-DE"/>
        </w:rPr>
        <w:t>）《河南省煤炭绿色矿山建设规范》（</w:t>
      </w:r>
      <w:r>
        <w:rPr>
          <w:rStyle w:val="afffffffffffff3"/>
          <w:rFonts w:ascii="Times New Roman" w:hAnsi="Times New Roman"/>
          <w:lang w:val="de-DE"/>
        </w:rPr>
        <w:t>DB41/T1664-2018</w:t>
      </w:r>
      <w:r>
        <w:rPr>
          <w:rStyle w:val="afffffffffffff3"/>
          <w:rFonts w:ascii="Times New Roman" w:hAnsi="Times New Roman"/>
          <w:lang w:val="de-DE"/>
        </w:rPr>
        <w:t>）；</w:t>
      </w:r>
    </w:p>
    <w:p w:rsidR="00240BCE" w:rsidRDefault="00AC0334">
      <w:pPr>
        <w:spacing w:line="520" w:lineRule="exact"/>
        <w:ind w:firstLineChars="200" w:firstLine="480"/>
        <w:rPr>
          <w:rStyle w:val="afffffffffffff3"/>
          <w:rFonts w:ascii="Times New Roman" w:hAnsi="Times New Roman"/>
          <w:lang w:val="de-DE"/>
        </w:rPr>
      </w:pPr>
      <w:r>
        <w:rPr>
          <w:bCs/>
          <w:color w:val="000000"/>
          <w:kern w:val="28"/>
          <w:sz w:val="24"/>
          <w:lang w:val="de-DE"/>
        </w:rPr>
        <w:t>（</w:t>
      </w:r>
      <w:r>
        <w:rPr>
          <w:bCs/>
          <w:color w:val="000000"/>
          <w:kern w:val="28"/>
          <w:sz w:val="24"/>
          <w:lang w:val="de-DE"/>
        </w:rPr>
        <w:t>19</w:t>
      </w:r>
      <w:r>
        <w:rPr>
          <w:bCs/>
          <w:color w:val="000000"/>
          <w:kern w:val="28"/>
          <w:sz w:val="24"/>
          <w:lang w:val="de-DE"/>
        </w:rPr>
        <w:t>）《</w:t>
      </w:r>
      <w:r>
        <w:rPr>
          <w:bCs/>
          <w:color w:val="000000"/>
          <w:kern w:val="28"/>
          <w:sz w:val="24"/>
        </w:rPr>
        <w:t>许昌市污染防治攻坚战三年行动实施方案（</w:t>
      </w:r>
      <w:r>
        <w:rPr>
          <w:bCs/>
          <w:color w:val="000000"/>
          <w:kern w:val="28"/>
          <w:sz w:val="24"/>
        </w:rPr>
        <w:t>2018—2020</w:t>
      </w:r>
      <w:r>
        <w:rPr>
          <w:bCs/>
          <w:color w:val="000000"/>
          <w:kern w:val="28"/>
          <w:sz w:val="24"/>
        </w:rPr>
        <w:t>年）</w:t>
      </w:r>
      <w:r>
        <w:rPr>
          <w:bCs/>
          <w:color w:val="000000"/>
          <w:kern w:val="28"/>
          <w:sz w:val="24"/>
          <w:lang w:val="de-DE"/>
        </w:rPr>
        <w:t>》（</w:t>
      </w:r>
      <w:r>
        <w:rPr>
          <w:bCs/>
          <w:color w:val="000000"/>
          <w:kern w:val="28"/>
          <w:sz w:val="24"/>
        </w:rPr>
        <w:t>许政</w:t>
      </w:r>
      <w:r>
        <w:rPr>
          <w:bCs/>
          <w:color w:val="000000"/>
          <w:kern w:val="28"/>
          <w:sz w:val="24"/>
        </w:rPr>
        <w:t>[2018]24</w:t>
      </w:r>
      <w:r>
        <w:rPr>
          <w:bCs/>
          <w:color w:val="000000"/>
          <w:kern w:val="28"/>
          <w:sz w:val="24"/>
        </w:rPr>
        <w:t>号</w:t>
      </w:r>
      <w:r>
        <w:rPr>
          <w:bCs/>
          <w:color w:val="000000"/>
          <w:kern w:val="28"/>
          <w:sz w:val="24"/>
          <w:lang w:val="de-DE"/>
        </w:rPr>
        <w:t>）</w:t>
      </w:r>
      <w:r>
        <w:rPr>
          <w:rStyle w:val="afffffffffffff3"/>
          <w:rFonts w:ascii="Times New Roman" w:hAnsi="Times New Roman"/>
          <w:lang w:val="de-DE"/>
        </w:rPr>
        <w:t>；</w:t>
      </w:r>
    </w:p>
    <w:p w:rsidR="00240BCE" w:rsidRDefault="00AC0334">
      <w:pPr>
        <w:spacing w:line="520" w:lineRule="exact"/>
        <w:ind w:firstLineChars="200" w:firstLine="480"/>
        <w:rPr>
          <w:color w:val="000000"/>
          <w:kern w:val="28"/>
          <w:sz w:val="24"/>
        </w:rPr>
      </w:pPr>
      <w:r>
        <w:rPr>
          <w:color w:val="000000"/>
          <w:kern w:val="28"/>
          <w:sz w:val="24"/>
        </w:rPr>
        <w:t>（</w:t>
      </w:r>
      <w:r>
        <w:rPr>
          <w:color w:val="000000"/>
          <w:kern w:val="28"/>
          <w:sz w:val="24"/>
        </w:rPr>
        <w:t>20</w:t>
      </w:r>
      <w:r>
        <w:rPr>
          <w:color w:val="000000"/>
          <w:kern w:val="28"/>
          <w:sz w:val="24"/>
        </w:rPr>
        <w:t>）《</w:t>
      </w:r>
      <w:r w:rsidR="00FA1594" w:rsidRPr="00FA1594">
        <w:rPr>
          <w:color w:val="000000"/>
          <w:kern w:val="28"/>
          <w:sz w:val="24"/>
        </w:rPr>
        <w:t>关于印发许昌市</w:t>
      </w:r>
      <w:r w:rsidR="00FA1594" w:rsidRPr="00FA1594">
        <w:rPr>
          <w:color w:val="000000"/>
          <w:kern w:val="28"/>
          <w:sz w:val="24"/>
        </w:rPr>
        <w:t>2021</w:t>
      </w:r>
      <w:r w:rsidR="00FA1594" w:rsidRPr="00FA1594">
        <w:rPr>
          <w:color w:val="000000"/>
          <w:kern w:val="28"/>
          <w:sz w:val="24"/>
        </w:rPr>
        <w:t>年大气、水、土壤污染防治攻坚战及农业农村</w:t>
      </w:r>
      <w:r w:rsidR="00FA1594" w:rsidRPr="00FA1594">
        <w:rPr>
          <w:color w:val="000000"/>
          <w:kern w:val="28"/>
          <w:sz w:val="24"/>
        </w:rPr>
        <w:t xml:space="preserve"> </w:t>
      </w:r>
      <w:r w:rsidR="00FA1594" w:rsidRPr="00FA1594">
        <w:rPr>
          <w:color w:val="000000"/>
          <w:kern w:val="28"/>
          <w:sz w:val="24"/>
        </w:rPr>
        <w:t>污染治理攻坚战实施方案的通知》（豫环攻坚办</w:t>
      </w:r>
      <w:r w:rsidR="00FA1594" w:rsidRPr="00FA1594">
        <w:rPr>
          <w:color w:val="000000"/>
          <w:kern w:val="28"/>
          <w:sz w:val="24"/>
        </w:rPr>
        <w:t xml:space="preserve">[2021]36 </w:t>
      </w:r>
      <w:r w:rsidR="00FA1594" w:rsidRPr="00FA1594">
        <w:rPr>
          <w:color w:val="000000"/>
          <w:kern w:val="28"/>
          <w:sz w:val="24"/>
        </w:rPr>
        <w:t>号）；</w:t>
      </w:r>
      <w:r w:rsidR="00FA1594">
        <w:rPr>
          <w:color w:val="000000"/>
          <w:kern w:val="28"/>
          <w:sz w:val="24"/>
        </w:rPr>
        <w:t xml:space="preserve"> </w:t>
      </w:r>
    </w:p>
    <w:p w:rsidR="00240BCE" w:rsidRDefault="00AC0334">
      <w:pPr>
        <w:spacing w:line="520" w:lineRule="exact"/>
        <w:ind w:firstLineChars="200" w:firstLine="480"/>
        <w:rPr>
          <w:color w:val="000000"/>
          <w:kern w:val="28"/>
          <w:sz w:val="24"/>
        </w:rPr>
      </w:pPr>
      <w:r>
        <w:rPr>
          <w:color w:val="000000"/>
          <w:kern w:val="28"/>
          <w:sz w:val="24"/>
        </w:rPr>
        <w:t>（</w:t>
      </w:r>
      <w:r>
        <w:rPr>
          <w:color w:val="000000"/>
          <w:kern w:val="28"/>
          <w:sz w:val="24"/>
        </w:rPr>
        <w:t>21</w:t>
      </w:r>
      <w:r>
        <w:rPr>
          <w:color w:val="000000"/>
          <w:kern w:val="28"/>
          <w:sz w:val="24"/>
        </w:rPr>
        <w:t>）《禹州市城乡总体规划》（</w:t>
      </w:r>
      <w:r>
        <w:rPr>
          <w:color w:val="000000"/>
          <w:kern w:val="28"/>
          <w:sz w:val="24"/>
        </w:rPr>
        <w:t>2015-2030</w:t>
      </w:r>
      <w:r>
        <w:rPr>
          <w:color w:val="000000"/>
          <w:kern w:val="28"/>
          <w:sz w:val="24"/>
        </w:rPr>
        <w:t>）；</w:t>
      </w:r>
    </w:p>
    <w:p w:rsidR="00240BCE" w:rsidRDefault="00AC0334">
      <w:pPr>
        <w:spacing w:line="520" w:lineRule="exact"/>
        <w:ind w:firstLineChars="200" w:firstLine="480"/>
        <w:rPr>
          <w:color w:val="000000"/>
          <w:kern w:val="28"/>
          <w:sz w:val="24"/>
        </w:rPr>
      </w:pPr>
      <w:r>
        <w:rPr>
          <w:color w:val="000000"/>
          <w:kern w:val="28"/>
          <w:sz w:val="24"/>
        </w:rPr>
        <w:lastRenderedPageBreak/>
        <w:t>（</w:t>
      </w:r>
      <w:r>
        <w:rPr>
          <w:color w:val="000000"/>
          <w:kern w:val="28"/>
          <w:sz w:val="24"/>
        </w:rPr>
        <w:t>22</w:t>
      </w:r>
      <w:r>
        <w:rPr>
          <w:color w:val="000000"/>
          <w:kern w:val="28"/>
          <w:sz w:val="24"/>
        </w:rPr>
        <w:t>）《禹州市污染防治攻坚战三年行动计划（</w:t>
      </w:r>
      <w:r>
        <w:rPr>
          <w:color w:val="000000"/>
          <w:kern w:val="28"/>
          <w:sz w:val="24"/>
        </w:rPr>
        <w:t>2018</w:t>
      </w:r>
      <w:r>
        <w:rPr>
          <w:color w:val="000000"/>
          <w:kern w:val="28"/>
          <w:sz w:val="24"/>
        </w:rPr>
        <w:t>年</w:t>
      </w:r>
      <w:r>
        <w:rPr>
          <w:color w:val="000000"/>
          <w:kern w:val="28"/>
          <w:sz w:val="24"/>
        </w:rPr>
        <w:t>—2020</w:t>
      </w:r>
      <w:r>
        <w:rPr>
          <w:color w:val="000000"/>
          <w:kern w:val="28"/>
          <w:sz w:val="24"/>
        </w:rPr>
        <w:t>年）》；</w:t>
      </w:r>
    </w:p>
    <w:p w:rsidR="00240BCE" w:rsidRDefault="00AC0334">
      <w:pPr>
        <w:spacing w:line="520" w:lineRule="exact"/>
        <w:ind w:firstLineChars="200" w:firstLine="480"/>
        <w:rPr>
          <w:color w:val="000000"/>
          <w:kern w:val="28"/>
          <w:sz w:val="24"/>
        </w:rPr>
      </w:pPr>
      <w:r>
        <w:rPr>
          <w:color w:val="000000"/>
          <w:kern w:val="28"/>
          <w:sz w:val="24"/>
        </w:rPr>
        <w:t>（</w:t>
      </w:r>
      <w:r>
        <w:rPr>
          <w:color w:val="000000"/>
          <w:kern w:val="28"/>
          <w:sz w:val="24"/>
        </w:rPr>
        <w:t>23</w:t>
      </w:r>
      <w:r>
        <w:rPr>
          <w:color w:val="000000"/>
          <w:kern w:val="28"/>
          <w:sz w:val="24"/>
        </w:rPr>
        <w:t>）</w:t>
      </w:r>
      <w:r w:rsidR="00FA1594" w:rsidRPr="00FA1594">
        <w:rPr>
          <w:rFonts w:hint="eastAsia"/>
          <w:bCs/>
          <w:color w:val="000000"/>
          <w:kern w:val="28"/>
          <w:sz w:val="24"/>
        </w:rPr>
        <w:t>《关于印发禹州市</w:t>
      </w:r>
      <w:r w:rsidR="00FA1594" w:rsidRPr="00FA1594">
        <w:rPr>
          <w:rFonts w:hint="eastAsia"/>
          <w:bCs/>
          <w:color w:val="000000"/>
          <w:kern w:val="28"/>
          <w:sz w:val="24"/>
        </w:rPr>
        <w:t xml:space="preserve"> 2021 </w:t>
      </w:r>
      <w:r w:rsidR="00FA1594" w:rsidRPr="00FA1594">
        <w:rPr>
          <w:rFonts w:hint="eastAsia"/>
          <w:bCs/>
          <w:color w:val="000000"/>
          <w:kern w:val="28"/>
          <w:sz w:val="24"/>
        </w:rPr>
        <w:t>年大气、水、土壤污染防治攻坚战及农业农村污染治理攻坚战实施方案的通知》（禹环攻坚办</w:t>
      </w:r>
      <w:r w:rsidR="00FA1594" w:rsidRPr="00FA1594">
        <w:rPr>
          <w:rFonts w:hint="eastAsia"/>
          <w:bCs/>
          <w:color w:val="000000"/>
          <w:kern w:val="28"/>
          <w:sz w:val="24"/>
        </w:rPr>
        <w:t xml:space="preserve">[2021]18 </w:t>
      </w:r>
      <w:r w:rsidR="00FA1594" w:rsidRPr="00FA1594">
        <w:rPr>
          <w:rFonts w:hint="eastAsia"/>
          <w:bCs/>
          <w:color w:val="000000"/>
          <w:kern w:val="28"/>
          <w:sz w:val="24"/>
        </w:rPr>
        <w:t>号）</w:t>
      </w:r>
      <w:r>
        <w:rPr>
          <w:color w:val="000000"/>
          <w:kern w:val="28"/>
          <w:sz w:val="24"/>
        </w:rPr>
        <w:t>；</w:t>
      </w:r>
    </w:p>
    <w:p w:rsidR="00240BCE" w:rsidRDefault="00AC0334" w:rsidP="007A5747">
      <w:pPr>
        <w:spacing w:line="520" w:lineRule="exact"/>
        <w:ind w:firstLineChars="200" w:firstLine="480"/>
        <w:rPr>
          <w:color w:val="000000"/>
          <w:kern w:val="28"/>
          <w:sz w:val="24"/>
        </w:rPr>
      </w:pPr>
      <w:r>
        <w:rPr>
          <w:color w:val="000000"/>
          <w:kern w:val="28"/>
          <w:sz w:val="24"/>
        </w:rPr>
        <w:t>（</w:t>
      </w:r>
      <w:r>
        <w:rPr>
          <w:color w:val="000000"/>
          <w:kern w:val="28"/>
          <w:sz w:val="24"/>
        </w:rPr>
        <w:t>24</w:t>
      </w:r>
      <w:r>
        <w:rPr>
          <w:color w:val="000000"/>
          <w:kern w:val="28"/>
          <w:sz w:val="24"/>
        </w:rPr>
        <w:t>）《</w:t>
      </w:r>
      <w:r w:rsidR="007A5747" w:rsidRPr="007A5747">
        <w:rPr>
          <w:rFonts w:hint="eastAsia"/>
          <w:color w:val="000000"/>
          <w:kern w:val="28"/>
          <w:sz w:val="24"/>
        </w:rPr>
        <w:t>河南省生态环境厅关于做好</w:t>
      </w:r>
      <w:r w:rsidR="007A5747" w:rsidRPr="007A5747">
        <w:rPr>
          <w:rFonts w:hint="eastAsia"/>
          <w:color w:val="000000"/>
          <w:kern w:val="28"/>
          <w:sz w:val="24"/>
        </w:rPr>
        <w:t xml:space="preserve"> 2021 </w:t>
      </w:r>
      <w:r w:rsidR="007A5747" w:rsidRPr="007A5747">
        <w:rPr>
          <w:rFonts w:hint="eastAsia"/>
          <w:color w:val="000000"/>
          <w:kern w:val="28"/>
          <w:sz w:val="24"/>
        </w:rPr>
        <w:t>年重点行业绩效分级和重污染天气应急减排清单修订工作的通知</w:t>
      </w:r>
      <w:r>
        <w:rPr>
          <w:color w:val="000000"/>
          <w:kern w:val="28"/>
          <w:sz w:val="24"/>
        </w:rPr>
        <w:t>》（</w:t>
      </w:r>
      <w:r w:rsidR="007A5747" w:rsidRPr="007A5747">
        <w:rPr>
          <w:rFonts w:hint="eastAsia"/>
          <w:kern w:val="28"/>
          <w:sz w:val="24"/>
        </w:rPr>
        <w:t>豫环文〔</w:t>
      </w:r>
      <w:r w:rsidR="007A5747" w:rsidRPr="007A5747">
        <w:rPr>
          <w:rFonts w:hint="eastAsia"/>
          <w:kern w:val="28"/>
          <w:sz w:val="24"/>
        </w:rPr>
        <w:t>2021</w:t>
      </w:r>
      <w:r w:rsidR="007A5747" w:rsidRPr="007A5747">
        <w:rPr>
          <w:rFonts w:hint="eastAsia"/>
          <w:kern w:val="28"/>
          <w:sz w:val="24"/>
        </w:rPr>
        <w:t>〕</w:t>
      </w:r>
      <w:r w:rsidR="007A5747" w:rsidRPr="007A5747">
        <w:rPr>
          <w:rFonts w:hint="eastAsia"/>
          <w:kern w:val="28"/>
          <w:sz w:val="24"/>
        </w:rPr>
        <w:t xml:space="preserve">94 </w:t>
      </w:r>
      <w:r w:rsidR="007A5747" w:rsidRPr="007A5747">
        <w:rPr>
          <w:rFonts w:hint="eastAsia"/>
          <w:kern w:val="28"/>
          <w:sz w:val="24"/>
        </w:rPr>
        <w:t>号</w:t>
      </w:r>
      <w:r>
        <w:rPr>
          <w:color w:val="000000"/>
          <w:kern w:val="28"/>
          <w:sz w:val="24"/>
        </w:rPr>
        <w:t>）；</w:t>
      </w:r>
    </w:p>
    <w:p w:rsidR="00794270" w:rsidRDefault="00AC0334" w:rsidP="00CC67BE">
      <w:pPr>
        <w:spacing w:line="520" w:lineRule="exact"/>
        <w:ind w:firstLineChars="200" w:firstLine="480"/>
        <w:rPr>
          <w:color w:val="000000"/>
          <w:kern w:val="28"/>
          <w:sz w:val="24"/>
        </w:rPr>
      </w:pPr>
      <w:r>
        <w:rPr>
          <w:color w:val="000000"/>
          <w:kern w:val="28"/>
          <w:sz w:val="24"/>
        </w:rPr>
        <w:t>（</w:t>
      </w:r>
      <w:r>
        <w:rPr>
          <w:color w:val="000000"/>
          <w:kern w:val="28"/>
          <w:sz w:val="24"/>
        </w:rPr>
        <w:t>25</w:t>
      </w:r>
      <w:r>
        <w:rPr>
          <w:color w:val="000000"/>
          <w:kern w:val="28"/>
          <w:sz w:val="24"/>
        </w:rPr>
        <w:t>）</w:t>
      </w:r>
      <w:r w:rsidR="00CC67BE" w:rsidRPr="00CC67BE">
        <w:rPr>
          <w:rFonts w:hint="eastAsia"/>
          <w:color w:val="000000"/>
          <w:kern w:val="28"/>
          <w:sz w:val="24"/>
        </w:rPr>
        <w:t>《河南省</w:t>
      </w:r>
      <w:r w:rsidR="00CC67BE" w:rsidRPr="00CC67BE">
        <w:rPr>
          <w:rFonts w:hint="eastAsia"/>
          <w:color w:val="000000"/>
          <w:kern w:val="28"/>
          <w:sz w:val="24"/>
        </w:rPr>
        <w:t>2021</w:t>
      </w:r>
      <w:r w:rsidR="00CC67BE" w:rsidRPr="00CC67BE">
        <w:rPr>
          <w:rFonts w:hint="eastAsia"/>
          <w:color w:val="000000"/>
          <w:kern w:val="28"/>
          <w:sz w:val="24"/>
        </w:rPr>
        <w:t>年重点行业绩效分级提升行动方案》</w:t>
      </w:r>
      <w:r w:rsidR="00CC67BE">
        <w:rPr>
          <w:rFonts w:hint="eastAsia"/>
          <w:color w:val="000000"/>
          <w:kern w:val="28"/>
          <w:sz w:val="24"/>
        </w:rPr>
        <w:t>（</w:t>
      </w:r>
      <w:r w:rsidR="00CC67BE" w:rsidRPr="00CC67BE">
        <w:rPr>
          <w:color w:val="000000"/>
          <w:kern w:val="28"/>
          <w:sz w:val="24"/>
        </w:rPr>
        <w:t>豫环文〔</w:t>
      </w:r>
      <w:r w:rsidR="00CC67BE" w:rsidRPr="00CC67BE">
        <w:rPr>
          <w:color w:val="000000"/>
          <w:kern w:val="28"/>
          <w:sz w:val="24"/>
        </w:rPr>
        <w:t>2021</w:t>
      </w:r>
      <w:r w:rsidR="00CC67BE" w:rsidRPr="00CC67BE">
        <w:rPr>
          <w:color w:val="000000"/>
          <w:kern w:val="28"/>
          <w:sz w:val="24"/>
        </w:rPr>
        <w:t>〕</w:t>
      </w:r>
      <w:r w:rsidR="00CC67BE" w:rsidRPr="00CC67BE">
        <w:rPr>
          <w:color w:val="000000"/>
          <w:kern w:val="28"/>
          <w:sz w:val="24"/>
        </w:rPr>
        <w:t>74</w:t>
      </w:r>
      <w:r w:rsidR="00CC67BE" w:rsidRPr="00CC67BE">
        <w:rPr>
          <w:color w:val="000000"/>
          <w:kern w:val="28"/>
          <w:sz w:val="24"/>
        </w:rPr>
        <w:t>号</w:t>
      </w:r>
      <w:r w:rsidR="00CC67BE">
        <w:rPr>
          <w:rFonts w:hint="eastAsia"/>
          <w:color w:val="000000"/>
          <w:kern w:val="28"/>
          <w:sz w:val="24"/>
        </w:rPr>
        <w:t>）</w:t>
      </w:r>
      <w:r w:rsidR="00794270">
        <w:rPr>
          <w:rFonts w:hint="eastAsia"/>
          <w:color w:val="000000"/>
          <w:kern w:val="28"/>
          <w:sz w:val="24"/>
        </w:rPr>
        <w:t>；</w:t>
      </w:r>
    </w:p>
    <w:p w:rsidR="00240BCE" w:rsidRDefault="00794270" w:rsidP="00CC67BE">
      <w:pPr>
        <w:spacing w:line="520" w:lineRule="exact"/>
        <w:ind w:firstLineChars="200" w:firstLine="480"/>
        <w:rPr>
          <w:color w:val="000000"/>
          <w:kern w:val="28"/>
          <w:sz w:val="24"/>
        </w:rPr>
      </w:pPr>
      <w:r>
        <w:rPr>
          <w:rFonts w:hint="eastAsia"/>
          <w:color w:val="000000"/>
          <w:kern w:val="28"/>
          <w:sz w:val="24"/>
        </w:rPr>
        <w:t>（</w:t>
      </w:r>
      <w:r>
        <w:rPr>
          <w:rFonts w:hint="eastAsia"/>
          <w:color w:val="000000"/>
          <w:kern w:val="28"/>
          <w:sz w:val="24"/>
        </w:rPr>
        <w:t>26</w:t>
      </w:r>
      <w:r>
        <w:rPr>
          <w:rFonts w:hint="eastAsia"/>
          <w:color w:val="000000"/>
          <w:kern w:val="28"/>
          <w:sz w:val="24"/>
        </w:rPr>
        <w:t>）《</w:t>
      </w:r>
      <w:r w:rsidRPr="00794270">
        <w:rPr>
          <w:rFonts w:hint="eastAsia"/>
          <w:color w:val="000000"/>
          <w:kern w:val="28"/>
          <w:sz w:val="24"/>
        </w:rPr>
        <w:t>许昌市人民政府关于实施“三线一单”生态环境分区管控的意见</w:t>
      </w:r>
      <w:r>
        <w:rPr>
          <w:rFonts w:hint="eastAsia"/>
          <w:color w:val="000000"/>
          <w:kern w:val="28"/>
          <w:sz w:val="24"/>
        </w:rPr>
        <w:t>》（</w:t>
      </w:r>
      <w:r w:rsidRPr="00794270">
        <w:rPr>
          <w:rFonts w:hint="eastAsia"/>
          <w:b/>
          <w:bCs/>
          <w:color w:val="000000"/>
          <w:kern w:val="28"/>
          <w:sz w:val="24"/>
        </w:rPr>
        <w:t>许政</w:t>
      </w:r>
      <w:r w:rsidRPr="00794270">
        <w:rPr>
          <w:rFonts w:hint="eastAsia"/>
          <w:b/>
          <w:bCs/>
          <w:color w:val="000000"/>
          <w:kern w:val="28"/>
          <w:sz w:val="24"/>
        </w:rPr>
        <w:t xml:space="preserve"> [2021] 18</w:t>
      </w:r>
      <w:r w:rsidRPr="00794270">
        <w:rPr>
          <w:rFonts w:hint="eastAsia"/>
          <w:b/>
          <w:bCs/>
          <w:color w:val="000000"/>
          <w:kern w:val="28"/>
          <w:sz w:val="24"/>
        </w:rPr>
        <w:t>号</w:t>
      </w:r>
      <w:r>
        <w:rPr>
          <w:rFonts w:hint="eastAsia"/>
          <w:color w:val="000000"/>
          <w:kern w:val="28"/>
          <w:sz w:val="24"/>
        </w:rPr>
        <w:t>）</w:t>
      </w:r>
      <w:r w:rsidR="00AC0334">
        <w:rPr>
          <w:color w:val="000000"/>
          <w:kern w:val="28"/>
          <w:sz w:val="24"/>
        </w:rPr>
        <w:t>。</w:t>
      </w:r>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50" w:name="_Toc7665_WPSOffice_Level3"/>
      <w:r>
        <w:rPr>
          <w:rFonts w:eastAsia="楷体" w:cs="Times New Roman"/>
          <w:b/>
          <w:szCs w:val="28"/>
          <w:lang w:val="de-DE"/>
        </w:rPr>
        <w:t xml:space="preserve">2.1.3 </w:t>
      </w:r>
      <w:r>
        <w:rPr>
          <w:rFonts w:eastAsia="楷体" w:cs="Times New Roman"/>
          <w:b/>
          <w:szCs w:val="28"/>
          <w:lang w:val="de-DE"/>
        </w:rPr>
        <w:t>环境保护及行业发展规划、区划</w:t>
      </w:r>
      <w:bookmarkEnd w:id="50"/>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1</w:t>
      </w:r>
      <w:r>
        <w:rPr>
          <w:bCs/>
          <w:color w:val="000000"/>
          <w:kern w:val="28"/>
          <w:sz w:val="24"/>
          <w:lang w:val="de-DE"/>
        </w:rPr>
        <w:t>）《煤炭工业发展</w:t>
      </w:r>
      <w:r>
        <w:rPr>
          <w:bCs/>
          <w:color w:val="000000"/>
          <w:kern w:val="28"/>
          <w:sz w:val="24"/>
          <w:lang w:val="de-DE"/>
        </w:rPr>
        <w:t>“</w:t>
      </w:r>
      <w:r>
        <w:rPr>
          <w:bCs/>
          <w:color w:val="000000"/>
          <w:kern w:val="28"/>
          <w:sz w:val="24"/>
          <w:lang w:val="de-DE"/>
        </w:rPr>
        <w:t>十三五</w:t>
      </w:r>
      <w:r>
        <w:rPr>
          <w:bCs/>
          <w:color w:val="000000"/>
          <w:kern w:val="28"/>
          <w:sz w:val="24"/>
          <w:lang w:val="de-DE"/>
        </w:rPr>
        <w:t>”</w:t>
      </w:r>
      <w:r>
        <w:rPr>
          <w:bCs/>
          <w:color w:val="000000"/>
          <w:kern w:val="28"/>
          <w:sz w:val="24"/>
          <w:lang w:val="de-DE"/>
        </w:rPr>
        <w:t>规划》，国家发展和改革委员会，</w:t>
      </w:r>
      <w:r>
        <w:rPr>
          <w:bCs/>
          <w:color w:val="000000"/>
          <w:kern w:val="28"/>
          <w:sz w:val="24"/>
          <w:lang w:val="de-DE"/>
        </w:rPr>
        <w:t>2016.12</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2</w:t>
      </w:r>
      <w:r>
        <w:rPr>
          <w:bCs/>
          <w:color w:val="000000"/>
          <w:kern w:val="28"/>
          <w:sz w:val="24"/>
          <w:lang w:val="de-DE"/>
        </w:rPr>
        <w:t>）《河南省主体功能区划》（豫政</w:t>
      </w:r>
      <w:r>
        <w:rPr>
          <w:bCs/>
          <w:color w:val="000000"/>
          <w:kern w:val="28"/>
          <w:sz w:val="24"/>
          <w:lang w:val="de-DE"/>
        </w:rPr>
        <w:t xml:space="preserve">[2014]12 </w:t>
      </w:r>
      <w:r>
        <w:rPr>
          <w:bCs/>
          <w:color w:val="000000"/>
          <w:kern w:val="28"/>
          <w:sz w:val="24"/>
          <w:lang w:val="de-DE"/>
        </w:rPr>
        <w:t>号）；</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3</w:t>
      </w:r>
      <w:r>
        <w:rPr>
          <w:bCs/>
          <w:color w:val="000000"/>
          <w:kern w:val="28"/>
          <w:sz w:val="24"/>
          <w:lang w:val="de-DE"/>
        </w:rPr>
        <w:t>）《河南省矿产资源总体规划》（</w:t>
      </w:r>
      <w:r>
        <w:rPr>
          <w:bCs/>
          <w:color w:val="000000"/>
          <w:kern w:val="28"/>
          <w:sz w:val="24"/>
          <w:lang w:val="de-DE"/>
        </w:rPr>
        <w:t>2016—2020</w:t>
      </w:r>
      <w:r>
        <w:rPr>
          <w:bCs/>
          <w:color w:val="000000"/>
          <w:kern w:val="28"/>
          <w:sz w:val="24"/>
          <w:lang w:val="de-DE"/>
        </w:rPr>
        <w:t>年）</w:t>
      </w:r>
      <w:r>
        <w:rPr>
          <w:sz w:val="24"/>
        </w:rPr>
        <w:t>；</w:t>
      </w:r>
    </w:p>
    <w:p w:rsidR="00240BCE" w:rsidRDefault="00AC0334">
      <w:pPr>
        <w:spacing w:line="520" w:lineRule="exact"/>
        <w:ind w:firstLineChars="150" w:firstLine="360"/>
        <w:rPr>
          <w:sz w:val="24"/>
        </w:rPr>
      </w:pPr>
      <w:r>
        <w:rPr>
          <w:bCs/>
          <w:color w:val="000000"/>
          <w:kern w:val="28"/>
          <w:sz w:val="24"/>
          <w:lang w:val="de-DE"/>
        </w:rPr>
        <w:t>（</w:t>
      </w:r>
      <w:r>
        <w:rPr>
          <w:bCs/>
          <w:color w:val="000000"/>
          <w:kern w:val="28"/>
          <w:sz w:val="24"/>
          <w:lang w:val="de-DE"/>
        </w:rPr>
        <w:t>4</w:t>
      </w:r>
      <w:r>
        <w:rPr>
          <w:bCs/>
          <w:color w:val="000000"/>
          <w:kern w:val="28"/>
          <w:sz w:val="24"/>
          <w:lang w:val="de-DE"/>
        </w:rPr>
        <w:t>）《河南省城市集中式饮用水源保护区划》（豫政办</w:t>
      </w:r>
      <w:r>
        <w:rPr>
          <w:bCs/>
          <w:color w:val="000000"/>
          <w:kern w:val="28"/>
          <w:sz w:val="24"/>
          <w:lang w:val="de-DE"/>
        </w:rPr>
        <w:t>[2007]125</w:t>
      </w:r>
      <w:r>
        <w:rPr>
          <w:bCs/>
          <w:color w:val="000000"/>
          <w:kern w:val="28"/>
          <w:sz w:val="24"/>
          <w:lang w:val="de-DE"/>
        </w:rPr>
        <w:t>号）；</w:t>
      </w:r>
    </w:p>
    <w:p w:rsidR="00423FA4" w:rsidRDefault="00AC0334" w:rsidP="00423FA4">
      <w:pPr>
        <w:spacing w:line="520" w:lineRule="exact"/>
        <w:ind w:firstLineChars="150" w:firstLine="360"/>
        <w:rPr>
          <w:bCs/>
          <w:color w:val="000000"/>
          <w:kern w:val="28"/>
          <w:sz w:val="24"/>
          <w:lang w:val="de-DE"/>
        </w:rPr>
      </w:pPr>
      <w:r>
        <w:rPr>
          <w:sz w:val="24"/>
        </w:rPr>
        <w:t>（</w:t>
      </w:r>
      <w:r>
        <w:rPr>
          <w:sz w:val="24"/>
        </w:rPr>
        <w:t>5</w:t>
      </w:r>
      <w:r>
        <w:rPr>
          <w:sz w:val="24"/>
        </w:rPr>
        <w:t>）</w:t>
      </w:r>
      <w:r w:rsidR="00423FA4">
        <w:rPr>
          <w:bCs/>
          <w:color w:val="000000"/>
          <w:kern w:val="28"/>
          <w:sz w:val="24"/>
          <w:lang w:val="de-DE"/>
        </w:rPr>
        <w:t>《河南省</w:t>
      </w:r>
      <w:r w:rsidR="00423FA4">
        <w:rPr>
          <w:rFonts w:hint="eastAsia"/>
          <w:bCs/>
          <w:color w:val="000000"/>
          <w:kern w:val="28"/>
          <w:sz w:val="24"/>
          <w:lang w:val="de-DE"/>
        </w:rPr>
        <w:t>县级</w:t>
      </w:r>
      <w:r w:rsidR="00423FA4">
        <w:rPr>
          <w:bCs/>
          <w:color w:val="000000"/>
          <w:kern w:val="28"/>
          <w:sz w:val="24"/>
          <w:lang w:val="de-DE"/>
        </w:rPr>
        <w:t>集中式饮用水水源保护区划》（</w:t>
      </w:r>
      <w:r w:rsidR="00423FA4" w:rsidRPr="00423FA4">
        <w:rPr>
          <w:bCs/>
          <w:color w:val="000000"/>
          <w:kern w:val="28"/>
          <w:sz w:val="24"/>
        </w:rPr>
        <w:t>豫政办〔</w:t>
      </w:r>
      <w:r w:rsidR="00423FA4" w:rsidRPr="00423FA4">
        <w:rPr>
          <w:bCs/>
          <w:color w:val="000000"/>
          <w:kern w:val="28"/>
          <w:sz w:val="24"/>
        </w:rPr>
        <w:t>2013</w:t>
      </w:r>
      <w:r w:rsidR="00423FA4" w:rsidRPr="00423FA4">
        <w:rPr>
          <w:bCs/>
          <w:color w:val="000000"/>
          <w:kern w:val="28"/>
          <w:sz w:val="24"/>
        </w:rPr>
        <w:t>〕</w:t>
      </w:r>
      <w:r w:rsidR="00423FA4" w:rsidRPr="00423FA4">
        <w:rPr>
          <w:bCs/>
          <w:color w:val="000000"/>
          <w:kern w:val="28"/>
          <w:sz w:val="24"/>
        </w:rPr>
        <w:t>107</w:t>
      </w:r>
      <w:r w:rsidR="00423FA4" w:rsidRPr="00423FA4">
        <w:rPr>
          <w:bCs/>
          <w:color w:val="000000"/>
          <w:kern w:val="28"/>
          <w:sz w:val="24"/>
        </w:rPr>
        <w:t>号</w:t>
      </w:r>
      <w:r w:rsidR="00423FA4">
        <w:rPr>
          <w:bCs/>
          <w:color w:val="000000"/>
          <w:kern w:val="28"/>
          <w:sz w:val="24"/>
          <w:lang w:val="de-DE"/>
        </w:rPr>
        <w:t>）；</w:t>
      </w:r>
    </w:p>
    <w:p w:rsidR="00240BCE" w:rsidRDefault="00423FA4">
      <w:pPr>
        <w:spacing w:line="520" w:lineRule="exact"/>
        <w:ind w:firstLineChars="150" w:firstLine="360"/>
        <w:rPr>
          <w:bCs/>
          <w:color w:val="000000"/>
          <w:kern w:val="28"/>
          <w:sz w:val="24"/>
          <w:lang w:val="de-DE"/>
        </w:rPr>
      </w:pPr>
      <w:r>
        <w:rPr>
          <w:rFonts w:hint="eastAsia"/>
          <w:bCs/>
          <w:color w:val="000000"/>
          <w:kern w:val="28"/>
          <w:sz w:val="24"/>
          <w:lang w:val="de-DE"/>
        </w:rPr>
        <w:t>（</w:t>
      </w:r>
      <w:r>
        <w:rPr>
          <w:rFonts w:hint="eastAsia"/>
          <w:bCs/>
          <w:color w:val="000000"/>
          <w:kern w:val="28"/>
          <w:sz w:val="24"/>
          <w:lang w:val="de-DE"/>
        </w:rPr>
        <w:t>6</w:t>
      </w:r>
      <w:r>
        <w:rPr>
          <w:rFonts w:hint="eastAsia"/>
          <w:bCs/>
          <w:color w:val="000000"/>
          <w:kern w:val="28"/>
          <w:sz w:val="24"/>
          <w:lang w:val="de-DE"/>
        </w:rPr>
        <w:t>）</w:t>
      </w:r>
      <w:r w:rsidR="00AC0334">
        <w:rPr>
          <w:bCs/>
          <w:color w:val="000000"/>
          <w:kern w:val="28"/>
          <w:sz w:val="24"/>
          <w:lang w:val="de-DE"/>
        </w:rPr>
        <w:t>《河南省乡镇集中式饮用水水源保护区划》（豫政办〔</w:t>
      </w:r>
      <w:r w:rsidR="00AC0334">
        <w:rPr>
          <w:bCs/>
          <w:color w:val="000000"/>
          <w:kern w:val="28"/>
          <w:sz w:val="24"/>
          <w:lang w:val="de-DE"/>
        </w:rPr>
        <w:t>2016</w:t>
      </w:r>
      <w:r w:rsidR="00AC0334">
        <w:rPr>
          <w:bCs/>
          <w:color w:val="000000"/>
          <w:kern w:val="28"/>
          <w:sz w:val="24"/>
          <w:lang w:val="de-DE"/>
        </w:rPr>
        <w:t>〕</w:t>
      </w:r>
      <w:r w:rsidR="00AC0334">
        <w:rPr>
          <w:bCs/>
          <w:color w:val="000000"/>
          <w:kern w:val="28"/>
          <w:sz w:val="24"/>
          <w:lang w:val="de-DE"/>
        </w:rPr>
        <w:t>23</w:t>
      </w:r>
      <w:r w:rsidR="00AC0334">
        <w:rPr>
          <w:bCs/>
          <w:color w:val="000000"/>
          <w:kern w:val="28"/>
          <w:sz w:val="24"/>
          <w:lang w:val="de-DE"/>
        </w:rPr>
        <w:t>号）；</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sidR="00423FA4">
        <w:rPr>
          <w:rFonts w:hint="eastAsia"/>
          <w:bCs/>
          <w:color w:val="000000"/>
          <w:kern w:val="28"/>
          <w:sz w:val="24"/>
          <w:lang w:val="de-DE"/>
        </w:rPr>
        <w:t>7</w:t>
      </w:r>
      <w:r>
        <w:rPr>
          <w:bCs/>
          <w:color w:val="000000"/>
          <w:kern w:val="28"/>
          <w:sz w:val="24"/>
          <w:lang w:val="de-DE"/>
        </w:rPr>
        <w:t>）</w:t>
      </w:r>
      <w:r>
        <w:rPr>
          <w:sz w:val="24"/>
        </w:rPr>
        <w:t>《许昌市矿产资源总体规划》</w:t>
      </w:r>
      <w:r>
        <w:rPr>
          <w:bCs/>
          <w:color w:val="000000"/>
          <w:kern w:val="28"/>
          <w:sz w:val="24"/>
          <w:lang w:val="de-DE"/>
        </w:rPr>
        <w:t>（</w:t>
      </w:r>
      <w:r>
        <w:rPr>
          <w:bCs/>
          <w:color w:val="000000"/>
          <w:kern w:val="28"/>
          <w:sz w:val="24"/>
          <w:lang w:val="de-DE"/>
        </w:rPr>
        <w:t>2016—2020</w:t>
      </w:r>
      <w:r>
        <w:rPr>
          <w:bCs/>
          <w:color w:val="000000"/>
          <w:kern w:val="28"/>
          <w:sz w:val="24"/>
          <w:lang w:val="de-DE"/>
        </w:rPr>
        <w:t>年）；</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sidR="00423FA4">
        <w:rPr>
          <w:rFonts w:hint="eastAsia"/>
          <w:bCs/>
          <w:color w:val="000000"/>
          <w:kern w:val="28"/>
          <w:sz w:val="24"/>
          <w:lang w:val="de-DE"/>
        </w:rPr>
        <w:t>8</w:t>
      </w:r>
      <w:r>
        <w:rPr>
          <w:bCs/>
          <w:color w:val="000000"/>
          <w:kern w:val="28"/>
          <w:sz w:val="24"/>
          <w:lang w:val="de-DE"/>
        </w:rPr>
        <w:t>）《河南省人民政府办公厅关于印发河南省</w:t>
      </w:r>
      <w:r>
        <w:rPr>
          <w:bCs/>
          <w:color w:val="000000"/>
          <w:kern w:val="28"/>
          <w:sz w:val="24"/>
          <w:lang w:val="de-DE"/>
        </w:rPr>
        <w:t>“</w:t>
      </w:r>
      <w:r>
        <w:rPr>
          <w:bCs/>
          <w:color w:val="000000"/>
          <w:kern w:val="28"/>
          <w:sz w:val="24"/>
          <w:lang w:val="de-DE"/>
        </w:rPr>
        <w:t>十三五</w:t>
      </w:r>
      <w:r>
        <w:rPr>
          <w:bCs/>
          <w:color w:val="000000"/>
          <w:kern w:val="28"/>
          <w:sz w:val="24"/>
          <w:lang w:val="de-DE"/>
        </w:rPr>
        <w:t>”</w:t>
      </w:r>
      <w:r>
        <w:rPr>
          <w:bCs/>
          <w:color w:val="000000"/>
          <w:kern w:val="28"/>
          <w:sz w:val="24"/>
          <w:lang w:val="de-DE"/>
        </w:rPr>
        <w:t>生态环境保护规划的通知》（豫政办〔</w:t>
      </w:r>
      <w:r>
        <w:rPr>
          <w:bCs/>
          <w:color w:val="000000"/>
          <w:kern w:val="28"/>
          <w:sz w:val="24"/>
          <w:lang w:val="de-DE"/>
        </w:rPr>
        <w:t>2017</w:t>
      </w:r>
      <w:r>
        <w:rPr>
          <w:bCs/>
          <w:color w:val="000000"/>
          <w:kern w:val="28"/>
          <w:sz w:val="24"/>
          <w:lang w:val="de-DE"/>
        </w:rPr>
        <w:t>〕</w:t>
      </w:r>
      <w:r>
        <w:rPr>
          <w:bCs/>
          <w:color w:val="000000"/>
          <w:kern w:val="28"/>
          <w:sz w:val="24"/>
          <w:lang w:val="de-DE"/>
        </w:rPr>
        <w:t xml:space="preserve">77 </w:t>
      </w:r>
      <w:r>
        <w:rPr>
          <w:bCs/>
          <w:color w:val="000000"/>
          <w:kern w:val="28"/>
          <w:sz w:val="24"/>
          <w:lang w:val="de-DE"/>
        </w:rPr>
        <w:t>号）；</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sidR="00423FA4">
        <w:rPr>
          <w:rFonts w:hint="eastAsia"/>
          <w:bCs/>
          <w:color w:val="000000"/>
          <w:kern w:val="28"/>
          <w:sz w:val="24"/>
          <w:lang w:val="de-DE"/>
        </w:rPr>
        <w:t>9</w:t>
      </w:r>
      <w:r>
        <w:rPr>
          <w:bCs/>
          <w:color w:val="000000"/>
          <w:kern w:val="28"/>
          <w:sz w:val="24"/>
          <w:lang w:val="de-DE"/>
        </w:rPr>
        <w:t>）《许昌市人民政府办公室关于印发许昌市</w:t>
      </w:r>
      <w:r>
        <w:rPr>
          <w:bCs/>
          <w:color w:val="000000"/>
          <w:kern w:val="28"/>
          <w:sz w:val="24"/>
          <w:lang w:val="de-DE"/>
        </w:rPr>
        <w:t>“</w:t>
      </w:r>
      <w:r>
        <w:rPr>
          <w:bCs/>
          <w:color w:val="000000"/>
          <w:kern w:val="28"/>
          <w:sz w:val="24"/>
          <w:lang w:val="de-DE"/>
        </w:rPr>
        <w:t>十三五</w:t>
      </w:r>
      <w:r>
        <w:rPr>
          <w:bCs/>
          <w:color w:val="000000"/>
          <w:kern w:val="28"/>
          <w:sz w:val="24"/>
          <w:lang w:val="de-DE"/>
        </w:rPr>
        <w:t>”</w:t>
      </w:r>
      <w:r>
        <w:rPr>
          <w:bCs/>
          <w:color w:val="000000"/>
          <w:kern w:val="28"/>
          <w:sz w:val="24"/>
          <w:lang w:val="de-DE"/>
        </w:rPr>
        <w:t>生态环境保护规划的通知》；</w:t>
      </w:r>
    </w:p>
    <w:p w:rsidR="00240BCE" w:rsidRDefault="00AC0334">
      <w:pPr>
        <w:spacing w:line="520" w:lineRule="exact"/>
        <w:ind w:firstLineChars="150" w:firstLine="360"/>
        <w:rPr>
          <w:sz w:val="24"/>
        </w:rPr>
      </w:pPr>
      <w:r>
        <w:rPr>
          <w:sz w:val="24"/>
          <w:lang w:val="de-DE"/>
        </w:rPr>
        <w:t>（</w:t>
      </w:r>
      <w:r w:rsidR="00423FA4">
        <w:rPr>
          <w:rFonts w:hint="eastAsia"/>
          <w:sz w:val="24"/>
          <w:lang w:val="de-DE"/>
        </w:rPr>
        <w:t>10</w:t>
      </w:r>
      <w:r>
        <w:rPr>
          <w:sz w:val="24"/>
          <w:lang w:val="de-DE"/>
        </w:rPr>
        <w:t>）</w:t>
      </w:r>
      <w:r>
        <w:rPr>
          <w:sz w:val="24"/>
        </w:rPr>
        <w:t>《禹州市矿产资源总体规划》</w:t>
      </w:r>
      <w:r>
        <w:rPr>
          <w:bCs/>
          <w:color w:val="000000"/>
          <w:kern w:val="28"/>
          <w:sz w:val="24"/>
          <w:lang w:val="de-DE"/>
        </w:rPr>
        <w:t>（</w:t>
      </w:r>
      <w:r>
        <w:rPr>
          <w:bCs/>
          <w:color w:val="000000"/>
          <w:kern w:val="28"/>
          <w:sz w:val="24"/>
          <w:lang w:val="de-DE"/>
        </w:rPr>
        <w:t>2016—2020</w:t>
      </w:r>
      <w:r>
        <w:rPr>
          <w:bCs/>
          <w:color w:val="000000"/>
          <w:kern w:val="28"/>
          <w:sz w:val="24"/>
          <w:lang w:val="de-DE"/>
        </w:rPr>
        <w:t>年）；</w:t>
      </w:r>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51" w:name="_Toc19369_WPSOffice_Level3"/>
      <w:r>
        <w:rPr>
          <w:rFonts w:eastAsia="楷体" w:cs="Times New Roman"/>
          <w:b/>
          <w:szCs w:val="28"/>
          <w:lang w:val="de-DE"/>
        </w:rPr>
        <w:t xml:space="preserve">2.1.4 </w:t>
      </w:r>
      <w:r>
        <w:rPr>
          <w:rFonts w:eastAsia="楷体" w:cs="Times New Roman"/>
          <w:b/>
          <w:szCs w:val="28"/>
          <w:lang w:val="de-DE"/>
        </w:rPr>
        <w:t>技术导则、规范等依据</w:t>
      </w:r>
      <w:bookmarkEnd w:id="51"/>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1</w:t>
      </w:r>
      <w:r>
        <w:rPr>
          <w:bCs/>
          <w:color w:val="000000"/>
          <w:kern w:val="28"/>
          <w:sz w:val="24"/>
          <w:lang w:val="de-DE"/>
        </w:rPr>
        <w:t>）《环境影响评价技术导则</w:t>
      </w:r>
      <w:r w:rsidR="00423FA4">
        <w:rPr>
          <w:rFonts w:hint="eastAsia"/>
          <w:bCs/>
          <w:color w:val="000000"/>
          <w:kern w:val="28"/>
          <w:sz w:val="24"/>
          <w:lang w:val="de-DE"/>
        </w:rPr>
        <w:t xml:space="preserve">  </w:t>
      </w:r>
      <w:r>
        <w:rPr>
          <w:bCs/>
          <w:color w:val="000000"/>
          <w:kern w:val="28"/>
          <w:sz w:val="24"/>
          <w:lang w:val="de-DE"/>
        </w:rPr>
        <w:t>总纲》（</w:t>
      </w:r>
      <w:r>
        <w:rPr>
          <w:bCs/>
          <w:color w:val="000000"/>
          <w:kern w:val="28"/>
          <w:sz w:val="24"/>
          <w:lang w:val="de-DE"/>
        </w:rPr>
        <w:t>HJ2.1-2016</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2</w:t>
      </w:r>
      <w:r>
        <w:rPr>
          <w:bCs/>
          <w:color w:val="000000"/>
          <w:kern w:val="28"/>
          <w:sz w:val="24"/>
          <w:lang w:val="de-DE"/>
        </w:rPr>
        <w:t>）《环境影响评价技术导则</w:t>
      </w:r>
      <w:r w:rsidR="00423FA4">
        <w:rPr>
          <w:rFonts w:hint="eastAsia"/>
          <w:bCs/>
          <w:color w:val="000000"/>
          <w:kern w:val="28"/>
          <w:sz w:val="24"/>
          <w:lang w:val="de-DE"/>
        </w:rPr>
        <w:t xml:space="preserve">  </w:t>
      </w:r>
      <w:r>
        <w:rPr>
          <w:bCs/>
          <w:color w:val="000000"/>
          <w:kern w:val="28"/>
          <w:sz w:val="24"/>
          <w:lang w:val="de-DE"/>
        </w:rPr>
        <w:t>煤炭采选工程》</w:t>
      </w:r>
      <w:r>
        <w:rPr>
          <w:bCs/>
          <w:color w:val="000000"/>
          <w:kern w:val="28"/>
          <w:sz w:val="24"/>
          <w:lang w:val="de-DE"/>
        </w:rPr>
        <w:t>HJ619-2011</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3</w:t>
      </w:r>
      <w:r>
        <w:rPr>
          <w:bCs/>
          <w:color w:val="000000"/>
          <w:kern w:val="28"/>
          <w:sz w:val="24"/>
          <w:lang w:val="de-DE"/>
        </w:rPr>
        <w:t>）《环境影响评价技术导则</w:t>
      </w:r>
      <w:r w:rsidR="00423FA4">
        <w:rPr>
          <w:rFonts w:hint="eastAsia"/>
          <w:bCs/>
          <w:color w:val="000000"/>
          <w:kern w:val="28"/>
          <w:sz w:val="24"/>
          <w:lang w:val="de-DE"/>
        </w:rPr>
        <w:t xml:space="preserve">  </w:t>
      </w:r>
      <w:r>
        <w:rPr>
          <w:bCs/>
          <w:color w:val="000000"/>
          <w:kern w:val="28"/>
          <w:sz w:val="24"/>
          <w:lang w:val="de-DE"/>
        </w:rPr>
        <w:t>大气环境》（</w:t>
      </w:r>
      <w:r>
        <w:rPr>
          <w:bCs/>
          <w:color w:val="000000"/>
          <w:kern w:val="28"/>
          <w:sz w:val="24"/>
          <w:lang w:val="de-DE"/>
        </w:rPr>
        <w:t>HJ2.2-2018</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lastRenderedPageBreak/>
        <w:t>（</w:t>
      </w:r>
      <w:r>
        <w:rPr>
          <w:bCs/>
          <w:color w:val="000000"/>
          <w:kern w:val="28"/>
          <w:sz w:val="24"/>
          <w:lang w:val="de-DE"/>
        </w:rPr>
        <w:t>4</w:t>
      </w:r>
      <w:r>
        <w:rPr>
          <w:bCs/>
          <w:color w:val="000000"/>
          <w:kern w:val="28"/>
          <w:sz w:val="24"/>
          <w:lang w:val="de-DE"/>
        </w:rPr>
        <w:t>）《环境影响评价技术导则</w:t>
      </w:r>
      <w:r w:rsidR="00423FA4">
        <w:rPr>
          <w:rFonts w:hint="eastAsia"/>
          <w:bCs/>
          <w:color w:val="000000"/>
          <w:kern w:val="28"/>
          <w:sz w:val="24"/>
          <w:lang w:val="de-DE"/>
        </w:rPr>
        <w:t xml:space="preserve">  </w:t>
      </w:r>
      <w:r>
        <w:rPr>
          <w:bCs/>
          <w:color w:val="000000"/>
          <w:kern w:val="28"/>
          <w:sz w:val="24"/>
          <w:lang w:val="de-DE"/>
        </w:rPr>
        <w:t>地表水环境》（</w:t>
      </w:r>
      <w:r>
        <w:rPr>
          <w:bCs/>
          <w:color w:val="000000"/>
          <w:kern w:val="28"/>
          <w:sz w:val="24"/>
          <w:lang w:val="de-DE"/>
        </w:rPr>
        <w:t>HJ2.3-2018</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5</w:t>
      </w:r>
      <w:r>
        <w:rPr>
          <w:bCs/>
          <w:color w:val="000000"/>
          <w:kern w:val="28"/>
          <w:sz w:val="24"/>
          <w:lang w:val="de-DE"/>
        </w:rPr>
        <w:t>）《环境影响评价技术导则</w:t>
      </w:r>
      <w:r w:rsidR="00423FA4">
        <w:rPr>
          <w:rFonts w:hint="eastAsia"/>
          <w:bCs/>
          <w:color w:val="000000"/>
          <w:kern w:val="28"/>
          <w:sz w:val="24"/>
          <w:lang w:val="de-DE"/>
        </w:rPr>
        <w:t xml:space="preserve">  </w:t>
      </w:r>
      <w:r>
        <w:rPr>
          <w:bCs/>
          <w:color w:val="000000"/>
          <w:kern w:val="28"/>
          <w:sz w:val="24"/>
          <w:lang w:val="de-DE"/>
        </w:rPr>
        <w:t>声环境》（</w:t>
      </w:r>
      <w:r>
        <w:rPr>
          <w:bCs/>
          <w:color w:val="000000"/>
          <w:kern w:val="28"/>
          <w:sz w:val="24"/>
          <w:lang w:val="de-DE"/>
        </w:rPr>
        <w:t>HJ2.4-2009</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6</w:t>
      </w:r>
      <w:r>
        <w:rPr>
          <w:bCs/>
          <w:color w:val="000000"/>
          <w:kern w:val="28"/>
          <w:sz w:val="24"/>
          <w:lang w:val="de-DE"/>
        </w:rPr>
        <w:t>）《环境影响评价技术导则</w:t>
      </w:r>
      <w:r w:rsidR="00423FA4">
        <w:rPr>
          <w:rFonts w:hint="eastAsia"/>
          <w:bCs/>
          <w:color w:val="000000"/>
          <w:kern w:val="28"/>
          <w:sz w:val="24"/>
          <w:lang w:val="de-DE"/>
        </w:rPr>
        <w:t xml:space="preserve">  </w:t>
      </w:r>
      <w:r>
        <w:rPr>
          <w:bCs/>
          <w:color w:val="000000"/>
          <w:kern w:val="28"/>
          <w:sz w:val="24"/>
          <w:lang w:val="de-DE"/>
        </w:rPr>
        <w:t>地下水环境》（</w:t>
      </w:r>
      <w:r>
        <w:rPr>
          <w:bCs/>
          <w:color w:val="000000"/>
          <w:kern w:val="28"/>
          <w:sz w:val="24"/>
          <w:lang w:val="de-DE"/>
        </w:rPr>
        <w:t>HJ610-2016</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7</w:t>
      </w:r>
      <w:r>
        <w:rPr>
          <w:bCs/>
          <w:color w:val="000000"/>
          <w:kern w:val="28"/>
          <w:sz w:val="24"/>
          <w:lang w:val="de-DE"/>
        </w:rPr>
        <w:t>）《环境影响评价技术导则</w:t>
      </w:r>
      <w:r w:rsidR="00423FA4">
        <w:rPr>
          <w:rFonts w:hint="eastAsia"/>
          <w:bCs/>
          <w:color w:val="000000"/>
          <w:kern w:val="28"/>
          <w:sz w:val="24"/>
          <w:lang w:val="de-DE"/>
        </w:rPr>
        <w:t xml:space="preserve">  </w:t>
      </w:r>
      <w:r>
        <w:rPr>
          <w:bCs/>
          <w:color w:val="000000"/>
          <w:kern w:val="28"/>
          <w:sz w:val="24"/>
          <w:lang w:val="de-DE"/>
        </w:rPr>
        <w:t>生态影响》（</w:t>
      </w:r>
      <w:r>
        <w:rPr>
          <w:bCs/>
          <w:color w:val="000000"/>
          <w:kern w:val="28"/>
          <w:sz w:val="24"/>
          <w:lang w:val="de-DE"/>
        </w:rPr>
        <w:t>HJ19-2011</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8</w:t>
      </w:r>
      <w:r>
        <w:rPr>
          <w:bCs/>
          <w:color w:val="000000"/>
          <w:kern w:val="28"/>
          <w:sz w:val="24"/>
          <w:lang w:val="de-DE"/>
        </w:rPr>
        <w:t>）《环境影响评价技术导则</w:t>
      </w:r>
      <w:r w:rsidR="00423FA4">
        <w:rPr>
          <w:rFonts w:hint="eastAsia"/>
          <w:bCs/>
          <w:color w:val="000000"/>
          <w:kern w:val="28"/>
          <w:sz w:val="24"/>
          <w:lang w:val="de-DE"/>
        </w:rPr>
        <w:t xml:space="preserve">  </w:t>
      </w:r>
      <w:r>
        <w:rPr>
          <w:bCs/>
          <w:color w:val="000000"/>
          <w:kern w:val="28"/>
          <w:sz w:val="24"/>
          <w:lang w:val="de-DE"/>
        </w:rPr>
        <w:t>土壤环境（试行）》（</w:t>
      </w:r>
      <w:r>
        <w:rPr>
          <w:bCs/>
          <w:color w:val="000000"/>
          <w:kern w:val="28"/>
          <w:sz w:val="24"/>
          <w:lang w:val="de-DE"/>
        </w:rPr>
        <w:t>HJ964-2018</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9</w:t>
      </w:r>
      <w:r>
        <w:rPr>
          <w:bCs/>
          <w:color w:val="000000"/>
          <w:kern w:val="28"/>
          <w:sz w:val="24"/>
          <w:lang w:val="de-DE"/>
        </w:rPr>
        <w:t>）《建设项目环境风险评价技术导则》（</w:t>
      </w:r>
      <w:r>
        <w:rPr>
          <w:bCs/>
          <w:color w:val="000000"/>
          <w:kern w:val="28"/>
          <w:sz w:val="24"/>
          <w:lang w:val="de-DE"/>
        </w:rPr>
        <w:t>HJ169-2018</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10</w:t>
      </w:r>
      <w:r>
        <w:rPr>
          <w:bCs/>
          <w:color w:val="000000"/>
          <w:kern w:val="28"/>
          <w:sz w:val="24"/>
          <w:lang w:val="de-DE"/>
        </w:rPr>
        <w:t>）《矿山生态环境保护与恢复治理技术规范（试行）》（</w:t>
      </w:r>
      <w:r>
        <w:rPr>
          <w:bCs/>
          <w:color w:val="000000"/>
          <w:kern w:val="28"/>
          <w:sz w:val="24"/>
          <w:lang w:val="de-DE"/>
        </w:rPr>
        <w:t>HJ651-2013</w:t>
      </w:r>
      <w:r>
        <w:rPr>
          <w:bCs/>
          <w:color w:val="000000"/>
          <w:kern w:val="28"/>
          <w:sz w:val="24"/>
          <w:lang w:val="de-DE"/>
        </w:rPr>
        <w:t>）；</w:t>
      </w:r>
    </w:p>
    <w:p w:rsidR="00240BCE" w:rsidRDefault="00AC0334">
      <w:pPr>
        <w:spacing w:line="520" w:lineRule="exact"/>
        <w:ind w:firstLineChars="150" w:firstLine="360"/>
        <w:rPr>
          <w:bCs/>
          <w:color w:val="000000"/>
          <w:kern w:val="28"/>
          <w:sz w:val="24"/>
          <w:lang w:val="de-DE"/>
        </w:rPr>
      </w:pPr>
      <w:r>
        <w:rPr>
          <w:bCs/>
          <w:color w:val="000000"/>
          <w:kern w:val="28"/>
          <w:sz w:val="24"/>
          <w:lang w:val="de-DE"/>
        </w:rPr>
        <w:t>（</w:t>
      </w:r>
      <w:r>
        <w:rPr>
          <w:bCs/>
          <w:color w:val="000000"/>
          <w:kern w:val="28"/>
          <w:sz w:val="24"/>
          <w:lang w:val="de-DE"/>
        </w:rPr>
        <w:t>11</w:t>
      </w:r>
      <w:r>
        <w:rPr>
          <w:bCs/>
          <w:color w:val="000000"/>
          <w:kern w:val="28"/>
          <w:sz w:val="24"/>
          <w:lang w:val="de-DE"/>
        </w:rPr>
        <w:t>）《煤炭采选业清洁生产评价指标体系》（</w:t>
      </w:r>
      <w:r>
        <w:rPr>
          <w:bCs/>
          <w:color w:val="000000"/>
          <w:kern w:val="28"/>
          <w:sz w:val="24"/>
          <w:lang w:val="de-DE"/>
        </w:rPr>
        <w:t>2019</w:t>
      </w:r>
      <w:r>
        <w:rPr>
          <w:bCs/>
          <w:color w:val="000000"/>
          <w:kern w:val="28"/>
          <w:sz w:val="24"/>
          <w:lang w:val="de-DE"/>
        </w:rPr>
        <w:t>年</w:t>
      </w:r>
      <w:r>
        <w:rPr>
          <w:bCs/>
          <w:color w:val="000000"/>
          <w:kern w:val="28"/>
          <w:sz w:val="24"/>
          <w:lang w:val="de-DE"/>
        </w:rPr>
        <w:t>8</w:t>
      </w:r>
      <w:r>
        <w:rPr>
          <w:bCs/>
          <w:color w:val="000000"/>
          <w:kern w:val="28"/>
          <w:sz w:val="24"/>
          <w:lang w:val="de-DE"/>
        </w:rPr>
        <w:t>月发布）；</w:t>
      </w:r>
    </w:p>
    <w:p w:rsidR="00240BCE" w:rsidRDefault="00AC0334">
      <w:pPr>
        <w:pStyle w:val="afffffffe"/>
        <w:rPr>
          <w:bCs/>
          <w:color w:val="000000"/>
          <w:kern w:val="28"/>
          <w:lang w:val="de-DE"/>
        </w:rPr>
      </w:pPr>
      <w:r>
        <w:rPr>
          <w:bCs/>
          <w:color w:val="000000"/>
          <w:kern w:val="28"/>
          <w:lang w:val="de-DE"/>
        </w:rPr>
        <w:t>（</w:t>
      </w:r>
      <w:r>
        <w:rPr>
          <w:bCs/>
          <w:color w:val="000000"/>
          <w:kern w:val="28"/>
          <w:lang w:val="de-DE"/>
        </w:rPr>
        <w:t>12</w:t>
      </w:r>
      <w:r>
        <w:rPr>
          <w:bCs/>
          <w:color w:val="000000"/>
          <w:kern w:val="28"/>
          <w:lang w:val="de-DE"/>
        </w:rPr>
        <w:t>）《煤炭工业环境保护设计规范》（</w:t>
      </w:r>
      <w:r>
        <w:rPr>
          <w:bCs/>
          <w:color w:val="000000"/>
          <w:kern w:val="28"/>
          <w:lang w:val="de-DE"/>
        </w:rPr>
        <w:t>GB50821-2012</w:t>
      </w:r>
      <w:r>
        <w:rPr>
          <w:bCs/>
          <w:color w:val="000000"/>
          <w:kern w:val="28"/>
          <w:lang w:val="de-DE"/>
        </w:rPr>
        <w:t>）；</w:t>
      </w:r>
    </w:p>
    <w:p w:rsidR="00240BCE" w:rsidRDefault="00AC0334">
      <w:pPr>
        <w:pStyle w:val="afffffffe"/>
        <w:rPr>
          <w:bCs/>
          <w:color w:val="000000"/>
          <w:kern w:val="28"/>
          <w:lang w:val="de-DE"/>
        </w:rPr>
      </w:pPr>
      <w:r>
        <w:rPr>
          <w:bCs/>
          <w:color w:val="000000"/>
          <w:kern w:val="28"/>
          <w:lang w:val="de-DE"/>
        </w:rPr>
        <w:t>（</w:t>
      </w:r>
      <w:r>
        <w:rPr>
          <w:bCs/>
          <w:color w:val="000000"/>
          <w:kern w:val="28"/>
          <w:lang w:val="de-DE"/>
        </w:rPr>
        <w:t>13</w:t>
      </w:r>
      <w:r>
        <w:rPr>
          <w:bCs/>
          <w:color w:val="000000"/>
          <w:kern w:val="28"/>
          <w:lang w:val="de-DE"/>
        </w:rPr>
        <w:t>）《煤矸石综合利用管理办法》（</w:t>
      </w:r>
      <w:r>
        <w:rPr>
          <w:bCs/>
          <w:color w:val="000000"/>
          <w:kern w:val="28"/>
          <w:lang w:val="de-DE"/>
        </w:rPr>
        <w:t xml:space="preserve">2014 </w:t>
      </w:r>
      <w:r>
        <w:rPr>
          <w:bCs/>
          <w:color w:val="000000"/>
          <w:kern w:val="28"/>
          <w:lang w:val="de-DE"/>
        </w:rPr>
        <w:t>年修订版）；</w:t>
      </w:r>
    </w:p>
    <w:p w:rsidR="00240BCE" w:rsidRDefault="00AC0334">
      <w:pPr>
        <w:pStyle w:val="afffffffe"/>
        <w:rPr>
          <w:bCs/>
          <w:color w:val="000000"/>
          <w:kern w:val="28"/>
          <w:lang w:val="de-DE"/>
        </w:rPr>
      </w:pPr>
      <w:r>
        <w:rPr>
          <w:bCs/>
          <w:color w:val="000000"/>
          <w:kern w:val="28"/>
          <w:lang w:val="de-DE"/>
        </w:rPr>
        <w:t>（</w:t>
      </w:r>
      <w:r>
        <w:rPr>
          <w:bCs/>
          <w:color w:val="000000"/>
          <w:kern w:val="28"/>
          <w:lang w:val="de-DE"/>
        </w:rPr>
        <w:t>14</w:t>
      </w:r>
      <w:r>
        <w:rPr>
          <w:bCs/>
          <w:color w:val="000000"/>
          <w:kern w:val="28"/>
          <w:lang w:val="de-DE"/>
        </w:rPr>
        <w:t>）《建筑物、水体、铁路及主要井巷煤柱留设与压煤开采规范》（</w:t>
      </w:r>
      <w:r>
        <w:rPr>
          <w:bCs/>
          <w:color w:val="000000"/>
          <w:kern w:val="28"/>
          <w:lang w:val="de-DE"/>
        </w:rPr>
        <w:t>2017</w:t>
      </w:r>
      <w:r>
        <w:rPr>
          <w:bCs/>
          <w:color w:val="000000"/>
          <w:kern w:val="28"/>
          <w:lang w:val="de-DE"/>
        </w:rPr>
        <w:t>）；</w:t>
      </w:r>
    </w:p>
    <w:p w:rsidR="00240BCE" w:rsidRDefault="00AC0334">
      <w:pPr>
        <w:pStyle w:val="afffffffe"/>
        <w:rPr>
          <w:bCs/>
          <w:color w:val="000000"/>
          <w:kern w:val="28"/>
          <w:lang w:val="de-DE"/>
        </w:rPr>
      </w:pPr>
      <w:r>
        <w:rPr>
          <w:bCs/>
          <w:color w:val="000000"/>
          <w:kern w:val="28"/>
          <w:lang w:val="de-DE"/>
        </w:rPr>
        <w:t>（</w:t>
      </w:r>
      <w:r>
        <w:rPr>
          <w:bCs/>
          <w:color w:val="000000"/>
          <w:kern w:val="28"/>
          <w:lang w:val="de-DE"/>
        </w:rPr>
        <w:t>15</w:t>
      </w:r>
      <w:r>
        <w:rPr>
          <w:bCs/>
          <w:color w:val="000000"/>
          <w:kern w:val="28"/>
          <w:lang w:val="de-DE"/>
        </w:rPr>
        <w:t>）《煤矿井下消防、洒水设计规范》（</w:t>
      </w:r>
      <w:r>
        <w:rPr>
          <w:bCs/>
          <w:color w:val="000000"/>
          <w:kern w:val="28"/>
          <w:lang w:val="de-DE"/>
        </w:rPr>
        <w:t>GB50383-2016</w:t>
      </w:r>
      <w:r>
        <w:rPr>
          <w:bCs/>
          <w:color w:val="000000"/>
          <w:kern w:val="28"/>
          <w:lang w:val="de-DE"/>
        </w:rPr>
        <w:t>）；</w:t>
      </w:r>
    </w:p>
    <w:p w:rsidR="00423FA4" w:rsidRDefault="00AC0334">
      <w:pPr>
        <w:pStyle w:val="afffffffe"/>
        <w:rPr>
          <w:bCs/>
          <w:color w:val="000000"/>
          <w:kern w:val="28"/>
          <w:lang w:val="de-DE"/>
        </w:rPr>
      </w:pPr>
      <w:r>
        <w:rPr>
          <w:bCs/>
          <w:color w:val="000000"/>
          <w:kern w:val="28"/>
          <w:lang w:val="de-DE"/>
        </w:rPr>
        <w:t>（</w:t>
      </w:r>
      <w:r>
        <w:rPr>
          <w:bCs/>
          <w:color w:val="000000"/>
          <w:kern w:val="28"/>
          <w:lang w:val="de-DE"/>
        </w:rPr>
        <w:t>16</w:t>
      </w:r>
      <w:r>
        <w:rPr>
          <w:bCs/>
          <w:color w:val="000000"/>
          <w:kern w:val="28"/>
          <w:lang w:val="de-DE"/>
        </w:rPr>
        <w:t>）《煤矿防治水规定》（国家安全生产监督管理总局、国家煤矿安全监察局，第</w:t>
      </w:r>
      <w:r>
        <w:rPr>
          <w:bCs/>
          <w:color w:val="000000"/>
          <w:kern w:val="28"/>
          <w:lang w:val="de-DE"/>
        </w:rPr>
        <w:t xml:space="preserve"> 28 </w:t>
      </w:r>
      <w:r>
        <w:rPr>
          <w:bCs/>
          <w:color w:val="000000"/>
          <w:kern w:val="28"/>
          <w:lang w:val="de-DE"/>
        </w:rPr>
        <w:t>号令，</w:t>
      </w:r>
      <w:r>
        <w:rPr>
          <w:bCs/>
          <w:color w:val="000000"/>
          <w:kern w:val="28"/>
          <w:lang w:val="de-DE"/>
        </w:rPr>
        <w:t xml:space="preserve">2009 </w:t>
      </w:r>
      <w:r>
        <w:rPr>
          <w:bCs/>
          <w:color w:val="000000"/>
          <w:kern w:val="28"/>
          <w:lang w:val="de-DE"/>
        </w:rPr>
        <w:t>年</w:t>
      </w:r>
      <w:r>
        <w:rPr>
          <w:bCs/>
          <w:color w:val="000000"/>
          <w:kern w:val="28"/>
          <w:lang w:val="de-DE"/>
        </w:rPr>
        <w:t xml:space="preserve"> 9 </w:t>
      </w:r>
      <w:r>
        <w:rPr>
          <w:bCs/>
          <w:color w:val="000000"/>
          <w:kern w:val="28"/>
          <w:lang w:val="de-DE"/>
        </w:rPr>
        <w:t>月</w:t>
      </w:r>
      <w:r>
        <w:rPr>
          <w:bCs/>
          <w:color w:val="000000"/>
          <w:kern w:val="28"/>
          <w:lang w:val="de-DE"/>
        </w:rPr>
        <w:t xml:space="preserve"> 21 </w:t>
      </w:r>
      <w:r>
        <w:rPr>
          <w:bCs/>
          <w:color w:val="000000"/>
          <w:kern w:val="28"/>
          <w:lang w:val="de-DE"/>
        </w:rPr>
        <w:t>日）</w:t>
      </w:r>
      <w:r w:rsidR="00423FA4">
        <w:rPr>
          <w:rFonts w:hint="eastAsia"/>
          <w:bCs/>
          <w:color w:val="000000"/>
          <w:kern w:val="28"/>
          <w:lang w:val="de-DE"/>
        </w:rPr>
        <w:t>；</w:t>
      </w:r>
    </w:p>
    <w:p w:rsidR="00423FA4" w:rsidRPr="00423FA4" w:rsidRDefault="00423FA4" w:rsidP="00423FA4">
      <w:pPr>
        <w:pStyle w:val="afffffffe"/>
        <w:rPr>
          <w:b/>
          <w:bCs/>
          <w:color w:val="000000"/>
          <w:kern w:val="28"/>
        </w:rPr>
      </w:pPr>
      <w:r>
        <w:rPr>
          <w:rFonts w:hint="eastAsia"/>
          <w:bCs/>
          <w:color w:val="000000"/>
          <w:kern w:val="28"/>
          <w:lang w:val="de-DE"/>
        </w:rPr>
        <w:t>（</w:t>
      </w:r>
      <w:r>
        <w:rPr>
          <w:rFonts w:hint="eastAsia"/>
          <w:bCs/>
          <w:color w:val="000000"/>
          <w:kern w:val="28"/>
          <w:lang w:val="de-DE"/>
        </w:rPr>
        <w:t>17</w:t>
      </w:r>
      <w:r>
        <w:rPr>
          <w:rFonts w:hint="eastAsia"/>
          <w:bCs/>
          <w:color w:val="000000"/>
          <w:kern w:val="28"/>
          <w:lang w:val="de-DE"/>
        </w:rPr>
        <w:t>）《</w:t>
      </w:r>
      <w:r w:rsidRPr="00423FA4">
        <w:rPr>
          <w:rFonts w:hint="eastAsia"/>
          <w:b/>
          <w:bCs/>
          <w:color w:val="000000"/>
          <w:kern w:val="28"/>
        </w:rPr>
        <w:t>建设项目危险废物环境影响评价指南</w:t>
      </w:r>
      <w:r>
        <w:rPr>
          <w:rFonts w:hint="eastAsia"/>
          <w:bCs/>
          <w:color w:val="000000"/>
          <w:kern w:val="28"/>
          <w:lang w:val="de-DE"/>
        </w:rPr>
        <w:t>》（环境保护部</w:t>
      </w:r>
      <w:r w:rsidRPr="00423FA4">
        <w:rPr>
          <w:rFonts w:hint="eastAsia"/>
          <w:bCs/>
          <w:color w:val="000000"/>
          <w:kern w:val="28"/>
        </w:rPr>
        <w:t>公告</w:t>
      </w:r>
      <w:r w:rsidRPr="00423FA4">
        <w:rPr>
          <w:rFonts w:hint="eastAsia"/>
          <w:bCs/>
          <w:color w:val="000000"/>
          <w:kern w:val="28"/>
        </w:rPr>
        <w:t>2017</w:t>
      </w:r>
      <w:r w:rsidRPr="00423FA4">
        <w:rPr>
          <w:rFonts w:hint="eastAsia"/>
          <w:bCs/>
          <w:color w:val="000000"/>
          <w:kern w:val="28"/>
        </w:rPr>
        <w:t>年第</w:t>
      </w:r>
      <w:r w:rsidRPr="00423FA4">
        <w:rPr>
          <w:rFonts w:hint="eastAsia"/>
          <w:bCs/>
          <w:color w:val="000000"/>
          <w:kern w:val="28"/>
        </w:rPr>
        <w:t>43</w:t>
      </w:r>
      <w:r w:rsidRPr="00423FA4">
        <w:rPr>
          <w:rFonts w:hint="eastAsia"/>
          <w:bCs/>
          <w:color w:val="000000"/>
          <w:kern w:val="28"/>
        </w:rPr>
        <w:t>号</w:t>
      </w:r>
      <w:r>
        <w:rPr>
          <w:rFonts w:hint="eastAsia"/>
          <w:bCs/>
          <w:color w:val="000000"/>
          <w:kern w:val="28"/>
          <w:lang w:val="de-DE"/>
        </w:rPr>
        <w:t>）；</w:t>
      </w:r>
    </w:p>
    <w:p w:rsidR="008802CA" w:rsidRDefault="00423FA4">
      <w:pPr>
        <w:pStyle w:val="afffffffe"/>
        <w:rPr>
          <w:b/>
          <w:bCs/>
          <w:i/>
          <w:kern w:val="28"/>
          <w:u w:val="single"/>
        </w:rPr>
      </w:pPr>
      <w:r>
        <w:rPr>
          <w:rFonts w:hint="eastAsia"/>
          <w:bCs/>
          <w:color w:val="000000"/>
          <w:kern w:val="28"/>
        </w:rPr>
        <w:t>（</w:t>
      </w:r>
      <w:r>
        <w:rPr>
          <w:rFonts w:hint="eastAsia"/>
          <w:bCs/>
          <w:color w:val="000000"/>
          <w:kern w:val="28"/>
        </w:rPr>
        <w:t>18</w:t>
      </w:r>
      <w:r>
        <w:rPr>
          <w:rFonts w:hint="eastAsia"/>
          <w:bCs/>
          <w:color w:val="000000"/>
          <w:kern w:val="28"/>
        </w:rPr>
        <w:t>）</w:t>
      </w:r>
      <w:hyperlink r:id="rId14" w:history="1">
        <w:r w:rsidRPr="00423FA4">
          <w:rPr>
            <w:rStyle w:val="aff2"/>
            <w:rFonts w:hint="eastAsia"/>
            <w:b/>
            <w:bCs/>
            <w:i/>
            <w:color w:val="auto"/>
            <w:kern w:val="28"/>
          </w:rPr>
          <w:t>《污染源源强核算技术指南</w:t>
        </w:r>
        <w:r w:rsidRPr="00423FA4">
          <w:rPr>
            <w:rStyle w:val="aff2"/>
            <w:rFonts w:hint="eastAsia"/>
            <w:b/>
            <w:bCs/>
            <w:i/>
            <w:color w:val="auto"/>
            <w:kern w:val="28"/>
          </w:rPr>
          <w:t xml:space="preserve"> </w:t>
        </w:r>
        <w:r w:rsidRPr="00423FA4">
          <w:rPr>
            <w:rStyle w:val="aff2"/>
            <w:rFonts w:hint="eastAsia"/>
            <w:b/>
            <w:bCs/>
            <w:i/>
            <w:color w:val="auto"/>
            <w:kern w:val="28"/>
          </w:rPr>
          <w:t>准则》（</w:t>
        </w:r>
        <w:r w:rsidRPr="00423FA4">
          <w:rPr>
            <w:rStyle w:val="aff2"/>
            <w:rFonts w:hint="eastAsia"/>
            <w:b/>
            <w:bCs/>
            <w:i/>
            <w:color w:val="auto"/>
            <w:kern w:val="28"/>
          </w:rPr>
          <w:t>HJ884-2018</w:t>
        </w:r>
        <w:r w:rsidRPr="00423FA4">
          <w:rPr>
            <w:rStyle w:val="aff2"/>
            <w:rFonts w:hint="eastAsia"/>
            <w:b/>
            <w:bCs/>
            <w:i/>
            <w:color w:val="auto"/>
            <w:kern w:val="28"/>
          </w:rPr>
          <w:t>）</w:t>
        </w:r>
      </w:hyperlink>
      <w:r w:rsidR="008802CA">
        <w:rPr>
          <w:rFonts w:hint="eastAsia"/>
          <w:b/>
          <w:bCs/>
          <w:i/>
          <w:kern w:val="28"/>
          <w:u w:val="single"/>
        </w:rPr>
        <w:t>；</w:t>
      </w:r>
    </w:p>
    <w:p w:rsidR="008802CA" w:rsidRDefault="008802CA">
      <w:pPr>
        <w:pStyle w:val="afffffffe"/>
        <w:rPr>
          <w:b/>
          <w:bCs/>
          <w:i/>
          <w:kern w:val="28"/>
          <w:u w:val="single"/>
        </w:rPr>
      </w:pPr>
      <w:r>
        <w:rPr>
          <w:rFonts w:hint="eastAsia"/>
          <w:b/>
          <w:bCs/>
          <w:i/>
          <w:kern w:val="28"/>
          <w:u w:val="single"/>
        </w:rPr>
        <w:t>（</w:t>
      </w:r>
      <w:r>
        <w:rPr>
          <w:rFonts w:hint="eastAsia"/>
          <w:b/>
          <w:bCs/>
          <w:i/>
          <w:kern w:val="28"/>
          <w:u w:val="single"/>
        </w:rPr>
        <w:t>19</w:t>
      </w:r>
      <w:r>
        <w:rPr>
          <w:rFonts w:hint="eastAsia"/>
          <w:b/>
          <w:bCs/>
          <w:i/>
          <w:kern w:val="28"/>
          <w:u w:val="single"/>
        </w:rPr>
        <w:t>）《</w:t>
      </w:r>
      <w:r w:rsidRPr="008802CA">
        <w:rPr>
          <w:rFonts w:hint="eastAsia"/>
          <w:b/>
          <w:bCs/>
          <w:i/>
          <w:kern w:val="28"/>
          <w:u w:val="single"/>
        </w:rPr>
        <w:t>排污许可证申请与核发技术规范</w:t>
      </w:r>
      <w:r w:rsidRPr="008802CA">
        <w:rPr>
          <w:rFonts w:hint="eastAsia"/>
          <w:b/>
          <w:bCs/>
          <w:i/>
          <w:kern w:val="28"/>
          <w:u w:val="single"/>
        </w:rPr>
        <w:t xml:space="preserve"> </w:t>
      </w:r>
      <w:r w:rsidRPr="008802CA">
        <w:rPr>
          <w:rFonts w:hint="eastAsia"/>
          <w:b/>
          <w:bCs/>
          <w:i/>
          <w:kern w:val="28"/>
          <w:u w:val="single"/>
        </w:rPr>
        <w:t>总则</w:t>
      </w:r>
      <w:r>
        <w:rPr>
          <w:rFonts w:hint="eastAsia"/>
          <w:b/>
          <w:bCs/>
          <w:i/>
          <w:kern w:val="28"/>
          <w:u w:val="single"/>
        </w:rPr>
        <w:t>》（</w:t>
      </w:r>
      <w:r w:rsidRPr="008802CA">
        <w:rPr>
          <w:rFonts w:hint="eastAsia"/>
          <w:b/>
          <w:bCs/>
          <w:i/>
          <w:kern w:val="28"/>
          <w:u w:val="single"/>
        </w:rPr>
        <w:t>HJ942</w:t>
      </w:r>
      <w:r w:rsidRPr="008802CA">
        <w:rPr>
          <w:rFonts w:hint="eastAsia"/>
          <w:b/>
          <w:bCs/>
          <w:i/>
          <w:kern w:val="28"/>
          <w:u w:val="single"/>
        </w:rPr>
        <w:t>—</w:t>
      </w:r>
      <w:r w:rsidRPr="008802CA">
        <w:rPr>
          <w:rFonts w:hint="eastAsia"/>
          <w:b/>
          <w:bCs/>
          <w:i/>
          <w:kern w:val="28"/>
          <w:u w:val="single"/>
        </w:rPr>
        <w:t>2018</w:t>
      </w:r>
      <w:r>
        <w:rPr>
          <w:rFonts w:hint="eastAsia"/>
          <w:b/>
          <w:bCs/>
          <w:i/>
          <w:kern w:val="28"/>
          <w:u w:val="single"/>
        </w:rPr>
        <w:t>）；</w:t>
      </w:r>
    </w:p>
    <w:p w:rsidR="00240BCE" w:rsidRDefault="008802CA">
      <w:pPr>
        <w:pStyle w:val="afffffffe"/>
        <w:rPr>
          <w:bCs/>
          <w:kern w:val="28"/>
          <w:lang w:val="de-DE"/>
        </w:rPr>
      </w:pPr>
      <w:r>
        <w:rPr>
          <w:rFonts w:hint="eastAsia"/>
          <w:b/>
          <w:bCs/>
          <w:i/>
          <w:kern w:val="28"/>
          <w:u w:val="single"/>
        </w:rPr>
        <w:t>（</w:t>
      </w:r>
      <w:r>
        <w:rPr>
          <w:rFonts w:hint="eastAsia"/>
          <w:b/>
          <w:bCs/>
          <w:i/>
          <w:kern w:val="28"/>
          <w:u w:val="single"/>
        </w:rPr>
        <w:t>20</w:t>
      </w:r>
      <w:r>
        <w:rPr>
          <w:rFonts w:hint="eastAsia"/>
          <w:b/>
          <w:bCs/>
          <w:i/>
          <w:kern w:val="28"/>
          <w:u w:val="single"/>
        </w:rPr>
        <w:t>）《</w:t>
      </w:r>
      <w:r w:rsidRPr="008802CA">
        <w:rPr>
          <w:rFonts w:hint="eastAsia"/>
          <w:b/>
          <w:bCs/>
          <w:i/>
          <w:kern w:val="28"/>
          <w:u w:val="single"/>
        </w:rPr>
        <w:t>排污单位自行监测技术指南</w:t>
      </w:r>
      <w:r w:rsidRPr="008802CA">
        <w:rPr>
          <w:rFonts w:hint="eastAsia"/>
          <w:b/>
          <w:bCs/>
          <w:i/>
          <w:kern w:val="28"/>
          <w:u w:val="single"/>
        </w:rPr>
        <w:t xml:space="preserve"> </w:t>
      </w:r>
      <w:r w:rsidRPr="008802CA">
        <w:rPr>
          <w:rFonts w:hint="eastAsia"/>
          <w:b/>
          <w:bCs/>
          <w:i/>
          <w:kern w:val="28"/>
          <w:u w:val="single"/>
        </w:rPr>
        <w:t>总则</w:t>
      </w:r>
      <w:r>
        <w:rPr>
          <w:rFonts w:hint="eastAsia"/>
          <w:b/>
          <w:bCs/>
          <w:i/>
          <w:kern w:val="28"/>
          <w:u w:val="single"/>
        </w:rPr>
        <w:t>》（</w:t>
      </w:r>
      <w:r w:rsidRPr="008802CA">
        <w:rPr>
          <w:rFonts w:hint="eastAsia"/>
          <w:b/>
          <w:bCs/>
          <w:i/>
          <w:kern w:val="28"/>
          <w:u w:val="single"/>
        </w:rPr>
        <w:t>HJ 819-2017</w:t>
      </w:r>
      <w:r>
        <w:rPr>
          <w:rFonts w:hint="eastAsia"/>
          <w:b/>
          <w:bCs/>
          <w:i/>
          <w:kern w:val="28"/>
          <w:u w:val="single"/>
        </w:rPr>
        <w:t>）</w:t>
      </w:r>
      <w:r w:rsidR="00AC0334">
        <w:rPr>
          <w:bCs/>
          <w:color w:val="000000"/>
          <w:kern w:val="28"/>
          <w:lang w:val="de-DE"/>
        </w:rPr>
        <w:t>。</w:t>
      </w:r>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52" w:name="_Toc6458_WPSOffice_Level3"/>
      <w:r>
        <w:rPr>
          <w:rFonts w:eastAsia="楷体" w:cs="Times New Roman"/>
          <w:b/>
          <w:szCs w:val="28"/>
          <w:lang w:val="de-DE"/>
        </w:rPr>
        <w:t xml:space="preserve">2.1.5 </w:t>
      </w:r>
      <w:r>
        <w:rPr>
          <w:rFonts w:eastAsia="楷体" w:cs="Times New Roman"/>
          <w:b/>
          <w:szCs w:val="28"/>
          <w:lang w:val="de-DE"/>
        </w:rPr>
        <w:t>工作依据</w:t>
      </w:r>
      <w:bookmarkEnd w:id="52"/>
    </w:p>
    <w:p w:rsidR="00240BCE" w:rsidRDefault="00AC0334">
      <w:pPr>
        <w:pStyle w:val="152a"/>
        <w:ind w:firstLine="488"/>
        <w:rPr>
          <w:rFonts w:cs="Times New Roman"/>
          <w:color w:val="000000"/>
          <w:spacing w:val="2"/>
        </w:rPr>
      </w:pPr>
      <w:bookmarkStart w:id="53" w:name="_Toc339359853"/>
      <w:bookmarkStart w:id="54" w:name="_Toc346530672"/>
      <w:bookmarkStart w:id="55" w:name="_Toc400788646"/>
      <w:bookmarkStart w:id="56" w:name="_Toc398715455"/>
      <w:bookmarkStart w:id="57" w:name="_Toc402770870"/>
      <w:bookmarkStart w:id="58" w:name="_Toc405801783"/>
      <w:bookmarkStart w:id="59" w:name="_Toc398713657"/>
      <w:bookmarkStart w:id="60" w:name="_Toc398713940"/>
      <w:r>
        <w:rPr>
          <w:rFonts w:cs="Times New Roman"/>
          <w:color w:val="000000"/>
          <w:spacing w:val="2"/>
        </w:rPr>
        <w:t>（</w:t>
      </w:r>
      <w:r>
        <w:rPr>
          <w:rFonts w:cs="Times New Roman"/>
          <w:color w:val="000000"/>
          <w:spacing w:val="2"/>
        </w:rPr>
        <w:t>1</w:t>
      </w:r>
      <w:r>
        <w:rPr>
          <w:rFonts w:cs="Times New Roman"/>
          <w:color w:val="000000"/>
          <w:spacing w:val="2"/>
        </w:rPr>
        <w:t>）河南省工业和信息化厅豫工信煤行〔</w:t>
      </w:r>
      <w:r>
        <w:rPr>
          <w:rFonts w:cs="Times New Roman"/>
          <w:color w:val="000000"/>
          <w:spacing w:val="2"/>
        </w:rPr>
        <w:t>2020</w:t>
      </w:r>
      <w:r>
        <w:rPr>
          <w:rFonts w:cs="Times New Roman"/>
          <w:color w:val="000000"/>
          <w:spacing w:val="2"/>
        </w:rPr>
        <w:t>〕</w:t>
      </w:r>
      <w:r>
        <w:rPr>
          <w:rFonts w:cs="Times New Roman"/>
          <w:color w:val="000000"/>
          <w:spacing w:val="2"/>
        </w:rPr>
        <w:t>54</w:t>
      </w:r>
      <w:r>
        <w:rPr>
          <w:rFonts w:cs="Times New Roman"/>
          <w:color w:val="000000"/>
          <w:spacing w:val="2"/>
        </w:rPr>
        <w:t>号《关于切实做好全省</w:t>
      </w:r>
      <w:r>
        <w:rPr>
          <w:rFonts w:cs="Times New Roman"/>
          <w:color w:val="000000"/>
          <w:spacing w:val="2"/>
        </w:rPr>
        <w:t>30</w:t>
      </w:r>
      <w:r>
        <w:rPr>
          <w:rFonts w:cs="Times New Roman"/>
          <w:color w:val="000000"/>
          <w:spacing w:val="2"/>
        </w:rPr>
        <w:t>万吨</w:t>
      </w:r>
      <w:r>
        <w:rPr>
          <w:rFonts w:cs="Times New Roman"/>
          <w:color w:val="000000"/>
          <w:spacing w:val="2"/>
        </w:rPr>
        <w:t>/</w:t>
      </w:r>
      <w:r>
        <w:rPr>
          <w:rFonts w:cs="Times New Roman"/>
          <w:color w:val="000000"/>
          <w:spacing w:val="2"/>
        </w:rPr>
        <w:t>年以下煤矿分类处置工作的通知》；</w:t>
      </w:r>
    </w:p>
    <w:p w:rsidR="00240BCE" w:rsidRDefault="00AC0334">
      <w:pPr>
        <w:pStyle w:val="152a"/>
        <w:ind w:firstLine="488"/>
        <w:rPr>
          <w:rFonts w:cs="Times New Roman"/>
        </w:rPr>
      </w:pPr>
      <w:r>
        <w:rPr>
          <w:rFonts w:cs="Times New Roman"/>
          <w:color w:val="000000"/>
          <w:spacing w:val="2"/>
        </w:rPr>
        <w:t>（</w:t>
      </w:r>
      <w:r>
        <w:rPr>
          <w:rFonts w:cs="Times New Roman"/>
          <w:color w:val="000000"/>
          <w:spacing w:val="2"/>
        </w:rPr>
        <w:t>2</w:t>
      </w:r>
      <w:r>
        <w:rPr>
          <w:rFonts w:cs="Times New Roman"/>
          <w:color w:val="000000"/>
          <w:spacing w:val="2"/>
        </w:rPr>
        <w:t>）本项目环境影响评价委托书。</w:t>
      </w:r>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61" w:name="_Toc24588_WPSOffice_Level3"/>
      <w:r>
        <w:rPr>
          <w:rFonts w:eastAsia="楷体" w:cs="Times New Roman"/>
          <w:b/>
          <w:szCs w:val="28"/>
          <w:lang w:val="de-DE"/>
        </w:rPr>
        <w:t xml:space="preserve">2.1.6 </w:t>
      </w:r>
      <w:r>
        <w:rPr>
          <w:rFonts w:eastAsia="楷体" w:cs="Times New Roman"/>
          <w:b/>
          <w:szCs w:val="28"/>
          <w:lang w:val="de-DE"/>
        </w:rPr>
        <w:t>技术资料</w:t>
      </w:r>
      <w:bookmarkEnd w:id="61"/>
    </w:p>
    <w:p w:rsidR="00240BCE" w:rsidRDefault="00AC0334">
      <w:pPr>
        <w:pStyle w:val="152a"/>
        <w:ind w:firstLine="480"/>
        <w:rPr>
          <w:rFonts w:cs="Times New Roman"/>
        </w:rPr>
      </w:pPr>
      <w:r>
        <w:rPr>
          <w:rFonts w:cs="Times New Roman"/>
        </w:rPr>
        <w:t>（</w:t>
      </w:r>
      <w:r>
        <w:rPr>
          <w:rFonts w:cs="Times New Roman"/>
        </w:rPr>
        <w:t>1</w:t>
      </w:r>
      <w:r>
        <w:rPr>
          <w:rFonts w:cs="Times New Roman"/>
        </w:rPr>
        <w:t>）《禹州市大山煤业有限公司年产</w:t>
      </w:r>
      <w:r>
        <w:rPr>
          <w:rFonts w:cs="Times New Roman"/>
        </w:rPr>
        <w:t>15</w:t>
      </w:r>
      <w:r>
        <w:rPr>
          <w:rFonts w:cs="Times New Roman"/>
        </w:rPr>
        <w:t>万吨煤炭开采技改项目环境影响报告表》，许昌市环保研究所</w:t>
      </w:r>
      <w:r>
        <w:rPr>
          <w:rFonts w:cs="Times New Roman"/>
          <w:spacing w:val="2"/>
        </w:rPr>
        <w:t>，</w:t>
      </w:r>
      <w:r>
        <w:rPr>
          <w:rFonts w:cs="Times New Roman"/>
          <w:spacing w:val="2"/>
        </w:rPr>
        <w:t>2005</w:t>
      </w:r>
      <w:r>
        <w:rPr>
          <w:rFonts w:cs="Times New Roman"/>
          <w:spacing w:val="2"/>
        </w:rPr>
        <w:t>年</w:t>
      </w:r>
      <w:r>
        <w:rPr>
          <w:rFonts w:cs="Times New Roman"/>
          <w:spacing w:val="2"/>
        </w:rPr>
        <w:t>10</w:t>
      </w:r>
      <w:r>
        <w:rPr>
          <w:rFonts w:cs="Times New Roman"/>
          <w:spacing w:val="2"/>
        </w:rPr>
        <w:t>月；</w:t>
      </w:r>
    </w:p>
    <w:p w:rsidR="00240BCE" w:rsidRDefault="00AC0334">
      <w:pPr>
        <w:pStyle w:val="152a"/>
        <w:ind w:firstLine="480"/>
        <w:rPr>
          <w:rFonts w:cs="Times New Roman"/>
        </w:rPr>
      </w:pPr>
      <w:r>
        <w:rPr>
          <w:rFonts w:cs="Times New Roman"/>
        </w:rPr>
        <w:lastRenderedPageBreak/>
        <w:t>（</w:t>
      </w:r>
      <w:r>
        <w:rPr>
          <w:rFonts w:cs="Times New Roman"/>
        </w:rPr>
        <w:t>2</w:t>
      </w:r>
      <w:r>
        <w:rPr>
          <w:rFonts w:cs="Times New Roman"/>
        </w:rPr>
        <w:t>）</w:t>
      </w:r>
      <w:r>
        <w:rPr>
          <w:rFonts w:cs="Times New Roman"/>
          <w:spacing w:val="2"/>
        </w:rPr>
        <w:t>《许昌市环境保护局关于</w:t>
      </w:r>
      <w:r>
        <w:rPr>
          <w:rFonts w:cs="Times New Roman"/>
        </w:rPr>
        <w:t>禹州市大山煤业有限公司年产</w:t>
      </w:r>
      <w:r>
        <w:rPr>
          <w:rFonts w:cs="Times New Roman"/>
        </w:rPr>
        <w:t>15</w:t>
      </w:r>
      <w:r>
        <w:rPr>
          <w:rFonts w:cs="Times New Roman"/>
        </w:rPr>
        <w:t>万吨煤炭开采技改项目环境影响报告表的批复</w:t>
      </w:r>
      <w:r>
        <w:rPr>
          <w:rFonts w:cs="Times New Roman"/>
          <w:spacing w:val="2"/>
        </w:rPr>
        <w:t>》（</w:t>
      </w:r>
      <w:r>
        <w:rPr>
          <w:rFonts w:cs="Times New Roman"/>
        </w:rPr>
        <w:t>许环建审【</w:t>
      </w:r>
      <w:r>
        <w:rPr>
          <w:rFonts w:cs="Times New Roman"/>
        </w:rPr>
        <w:t>2005</w:t>
      </w:r>
      <w:r>
        <w:rPr>
          <w:rFonts w:cs="Times New Roman"/>
        </w:rPr>
        <w:t>】</w:t>
      </w:r>
      <w:r>
        <w:rPr>
          <w:rFonts w:cs="Times New Roman"/>
        </w:rPr>
        <w:t>231</w:t>
      </w:r>
      <w:r>
        <w:rPr>
          <w:rFonts w:cs="Times New Roman"/>
        </w:rPr>
        <w:t>号</w:t>
      </w:r>
      <w:r>
        <w:rPr>
          <w:rFonts w:cs="Times New Roman"/>
          <w:spacing w:val="2"/>
        </w:rPr>
        <w:t>）</w:t>
      </w:r>
      <w:r>
        <w:rPr>
          <w:rFonts w:cs="Times New Roman"/>
        </w:rPr>
        <w:t>2005</w:t>
      </w:r>
      <w:r>
        <w:rPr>
          <w:rFonts w:cs="Times New Roman"/>
        </w:rPr>
        <w:t>年</w:t>
      </w:r>
      <w:r>
        <w:rPr>
          <w:rFonts w:cs="Times New Roman"/>
        </w:rPr>
        <w:t>10</w:t>
      </w:r>
      <w:r>
        <w:rPr>
          <w:rFonts w:cs="Times New Roman"/>
        </w:rPr>
        <w:t>月</w:t>
      </w:r>
      <w:r>
        <w:rPr>
          <w:rFonts w:cs="Times New Roman"/>
        </w:rPr>
        <w:t>26</w:t>
      </w:r>
      <w:r>
        <w:rPr>
          <w:rFonts w:cs="Times New Roman"/>
        </w:rPr>
        <w:t>日</w:t>
      </w:r>
      <w:r>
        <w:rPr>
          <w:rFonts w:cs="Times New Roman"/>
          <w:spacing w:val="2"/>
        </w:rPr>
        <w:t>；</w:t>
      </w:r>
    </w:p>
    <w:p w:rsidR="00240BCE" w:rsidRDefault="00AC0334">
      <w:pPr>
        <w:pStyle w:val="152a"/>
        <w:ind w:firstLine="488"/>
        <w:rPr>
          <w:rFonts w:cs="Times New Roman"/>
          <w:spacing w:val="2"/>
        </w:rPr>
      </w:pPr>
      <w:r>
        <w:rPr>
          <w:rFonts w:cs="Times New Roman"/>
          <w:spacing w:val="2"/>
        </w:rPr>
        <w:t>（</w:t>
      </w:r>
      <w:r>
        <w:rPr>
          <w:rFonts w:cs="Times New Roman"/>
          <w:spacing w:val="2"/>
        </w:rPr>
        <w:t>3</w:t>
      </w:r>
      <w:r>
        <w:rPr>
          <w:rFonts w:cs="Times New Roman"/>
          <w:spacing w:val="2"/>
        </w:rPr>
        <w:t>）《河南省煤炭工业管理办公室关于禹州神火隆庆矿业有限公司技术改造初步设计（修改）的批复》（豫煤行〔</w:t>
      </w:r>
      <w:r>
        <w:rPr>
          <w:rFonts w:cs="Times New Roman"/>
          <w:spacing w:val="2"/>
        </w:rPr>
        <w:t>2018</w:t>
      </w:r>
      <w:r>
        <w:rPr>
          <w:rFonts w:cs="Times New Roman"/>
          <w:spacing w:val="2"/>
        </w:rPr>
        <w:t>〕</w:t>
      </w:r>
      <w:r>
        <w:rPr>
          <w:rFonts w:cs="Times New Roman"/>
          <w:spacing w:val="2"/>
        </w:rPr>
        <w:t>105</w:t>
      </w:r>
      <w:r>
        <w:rPr>
          <w:rFonts w:cs="Times New Roman"/>
          <w:spacing w:val="2"/>
        </w:rPr>
        <w:t>号）；</w:t>
      </w:r>
    </w:p>
    <w:p w:rsidR="00240BCE" w:rsidRDefault="00AC0334">
      <w:pPr>
        <w:pStyle w:val="152a"/>
        <w:ind w:firstLine="488"/>
        <w:rPr>
          <w:rFonts w:cs="Times New Roman"/>
        </w:rPr>
      </w:pPr>
      <w:r>
        <w:rPr>
          <w:rFonts w:cs="Times New Roman"/>
          <w:color w:val="000000"/>
          <w:spacing w:val="2"/>
        </w:rPr>
        <w:t>（</w:t>
      </w:r>
      <w:r>
        <w:rPr>
          <w:rFonts w:cs="Times New Roman"/>
          <w:color w:val="000000"/>
          <w:spacing w:val="2"/>
        </w:rPr>
        <w:t>4</w:t>
      </w:r>
      <w:r>
        <w:rPr>
          <w:rFonts w:cs="Times New Roman"/>
          <w:color w:val="000000"/>
          <w:spacing w:val="2"/>
        </w:rPr>
        <w:t>）</w:t>
      </w:r>
      <w:r>
        <w:rPr>
          <w:rFonts w:cs="Times New Roman"/>
        </w:rPr>
        <w:t>禹州市环境保护局《关于禹州神火隆庆矿业有限公司</w:t>
      </w:r>
      <w:r>
        <w:rPr>
          <w:rFonts w:cs="Times New Roman"/>
        </w:rPr>
        <w:t>30</w:t>
      </w:r>
      <w:r>
        <w:rPr>
          <w:rFonts w:cs="Times New Roman"/>
        </w:rPr>
        <w:t>万吨</w:t>
      </w:r>
      <w:r>
        <w:rPr>
          <w:rFonts w:cs="Times New Roman"/>
        </w:rPr>
        <w:t>/</w:t>
      </w:r>
      <w:r>
        <w:rPr>
          <w:rFonts w:cs="Times New Roman"/>
        </w:rPr>
        <w:t>年升级改造项目环境影响评价执行有关标准的意见》（禹环评【</w:t>
      </w:r>
      <w:r>
        <w:rPr>
          <w:rFonts w:cs="Times New Roman"/>
        </w:rPr>
        <w:t>2020</w:t>
      </w:r>
      <w:r>
        <w:rPr>
          <w:rFonts w:cs="Times New Roman"/>
        </w:rPr>
        <w:t>】</w:t>
      </w:r>
      <w:r>
        <w:rPr>
          <w:rFonts w:cs="Times New Roman"/>
        </w:rPr>
        <w:t>5006</w:t>
      </w:r>
      <w:r>
        <w:rPr>
          <w:rFonts w:cs="Times New Roman"/>
        </w:rPr>
        <w:t>号）；</w:t>
      </w:r>
    </w:p>
    <w:p w:rsidR="00240BCE" w:rsidRDefault="00AC0334">
      <w:pPr>
        <w:pStyle w:val="152a"/>
        <w:ind w:firstLine="480"/>
        <w:rPr>
          <w:rFonts w:cs="Times New Roman"/>
        </w:rPr>
      </w:pPr>
      <w:r>
        <w:rPr>
          <w:rFonts w:cs="Times New Roman"/>
        </w:rPr>
        <w:t>（</w:t>
      </w:r>
      <w:r>
        <w:rPr>
          <w:rFonts w:cs="Times New Roman"/>
        </w:rPr>
        <w:t>5</w:t>
      </w:r>
      <w:r>
        <w:rPr>
          <w:rFonts w:cs="Times New Roman"/>
        </w:rPr>
        <w:t>）《</w:t>
      </w:r>
      <w:bookmarkStart w:id="62" w:name="_Hlk43735131"/>
      <w:r>
        <w:rPr>
          <w:rFonts w:cs="Times New Roman"/>
        </w:rPr>
        <w:t>禹州神火隆庆矿业有限公司</w:t>
      </w:r>
      <w:bookmarkEnd w:id="62"/>
      <w:r>
        <w:rPr>
          <w:rFonts w:cs="Times New Roman"/>
        </w:rPr>
        <w:t>30</w:t>
      </w:r>
      <w:r>
        <w:rPr>
          <w:rFonts w:cs="Times New Roman"/>
        </w:rPr>
        <w:t>万吨</w:t>
      </w:r>
      <w:r>
        <w:rPr>
          <w:rFonts w:cs="Times New Roman"/>
        </w:rPr>
        <w:t>/</w:t>
      </w:r>
      <w:r>
        <w:rPr>
          <w:rFonts w:cs="Times New Roman"/>
        </w:rPr>
        <w:t>年升级改造初步设计》，中赟国际工程有限公司，</w:t>
      </w:r>
      <w:r>
        <w:rPr>
          <w:rFonts w:cs="Times New Roman"/>
        </w:rPr>
        <w:t>2020</w:t>
      </w:r>
      <w:r>
        <w:rPr>
          <w:rFonts w:cs="Times New Roman"/>
        </w:rPr>
        <w:t>年</w:t>
      </w:r>
      <w:r>
        <w:rPr>
          <w:rFonts w:cs="Times New Roman"/>
        </w:rPr>
        <w:t>11</w:t>
      </w:r>
      <w:r>
        <w:rPr>
          <w:rFonts w:cs="Times New Roman"/>
        </w:rPr>
        <w:t>月；</w:t>
      </w:r>
    </w:p>
    <w:p w:rsidR="00240BCE" w:rsidRDefault="00AC0334">
      <w:pPr>
        <w:pStyle w:val="152a"/>
        <w:ind w:firstLine="480"/>
        <w:rPr>
          <w:rFonts w:cs="Times New Roman"/>
        </w:rPr>
      </w:pPr>
      <w:r>
        <w:rPr>
          <w:rFonts w:cs="Times New Roman"/>
        </w:rPr>
        <w:t>（</w:t>
      </w:r>
      <w:r>
        <w:rPr>
          <w:rFonts w:cs="Times New Roman"/>
        </w:rPr>
        <w:t>6</w:t>
      </w:r>
      <w:r>
        <w:rPr>
          <w:rFonts w:cs="Times New Roman"/>
        </w:rPr>
        <w:t>）河南省工业和信息化厅关于《禹州神火隆庆矿业有限公司</w:t>
      </w:r>
      <w:r>
        <w:rPr>
          <w:rFonts w:cs="Times New Roman"/>
        </w:rPr>
        <w:t>30</w:t>
      </w:r>
      <w:r>
        <w:rPr>
          <w:rFonts w:cs="Times New Roman"/>
        </w:rPr>
        <w:t>万吨</w:t>
      </w:r>
      <w:r>
        <w:rPr>
          <w:rFonts w:cs="Times New Roman"/>
        </w:rPr>
        <w:t>/</w:t>
      </w:r>
      <w:r>
        <w:rPr>
          <w:rFonts w:cs="Times New Roman"/>
        </w:rPr>
        <w:t>年升级改造初步设计》的批复（豫工信煤行函〔</w:t>
      </w:r>
      <w:r>
        <w:rPr>
          <w:rFonts w:cs="Times New Roman"/>
        </w:rPr>
        <w:t>2021</w:t>
      </w:r>
      <w:r>
        <w:rPr>
          <w:rFonts w:cs="Times New Roman"/>
        </w:rPr>
        <w:t>〕</w:t>
      </w:r>
      <w:r>
        <w:rPr>
          <w:rFonts w:cs="Times New Roman"/>
        </w:rPr>
        <w:t>4</w:t>
      </w:r>
      <w:r>
        <w:rPr>
          <w:rFonts w:cs="Times New Roman"/>
        </w:rPr>
        <w:t>号），</w:t>
      </w:r>
      <w:r>
        <w:rPr>
          <w:rFonts w:cs="Times New Roman"/>
        </w:rPr>
        <w:t>2021</w:t>
      </w:r>
      <w:r>
        <w:rPr>
          <w:rFonts w:cs="Times New Roman"/>
        </w:rPr>
        <w:t>年</w:t>
      </w:r>
      <w:r>
        <w:rPr>
          <w:rFonts w:cs="Times New Roman"/>
        </w:rPr>
        <w:t>1</w:t>
      </w:r>
      <w:r>
        <w:rPr>
          <w:rFonts w:cs="Times New Roman"/>
        </w:rPr>
        <w:t>月；</w:t>
      </w:r>
      <w:r>
        <w:rPr>
          <w:rFonts w:cs="Times New Roman"/>
        </w:rPr>
        <w:t xml:space="preserve"> </w:t>
      </w:r>
    </w:p>
    <w:p w:rsidR="00240BCE" w:rsidRDefault="00AC0334">
      <w:pPr>
        <w:pStyle w:val="152a"/>
        <w:ind w:firstLine="488"/>
        <w:rPr>
          <w:rFonts w:cs="Times New Roman"/>
          <w:spacing w:val="2"/>
        </w:rPr>
      </w:pPr>
      <w:r>
        <w:rPr>
          <w:rFonts w:cs="Times New Roman"/>
          <w:spacing w:val="2"/>
        </w:rPr>
        <w:t>（</w:t>
      </w:r>
      <w:r>
        <w:rPr>
          <w:rFonts w:cs="Times New Roman"/>
          <w:spacing w:val="2"/>
        </w:rPr>
        <w:t>7</w:t>
      </w:r>
      <w:r>
        <w:rPr>
          <w:rFonts w:cs="Times New Roman"/>
          <w:spacing w:val="2"/>
        </w:rPr>
        <w:t>）</w:t>
      </w:r>
      <w:r>
        <w:rPr>
          <w:rFonts w:cs="Times New Roman"/>
        </w:rPr>
        <w:t>禹州神火隆庆矿业有限公司</w:t>
      </w:r>
      <w:r>
        <w:rPr>
          <w:rFonts w:cs="Times New Roman"/>
          <w:spacing w:val="2"/>
        </w:rPr>
        <w:t>提供的其它相关资料。</w:t>
      </w:r>
    </w:p>
    <w:p w:rsidR="00240BCE" w:rsidRDefault="00AC0334" w:rsidP="009C5F33">
      <w:pPr>
        <w:pStyle w:val="22CharTimesNewRoman12"/>
        <w:adjustRightInd w:val="0"/>
        <w:snapToGrid w:val="0"/>
        <w:spacing w:beforeLines="100" w:line="240" w:lineRule="auto"/>
        <w:rPr>
          <w:rFonts w:cs="Times New Roman"/>
          <w:sz w:val="32"/>
          <w:szCs w:val="32"/>
        </w:rPr>
      </w:pPr>
      <w:bookmarkStart w:id="63" w:name="_Toc79668607"/>
      <w:bookmarkStart w:id="64" w:name="_Toc8696_WPSOffice_Level2"/>
      <w:bookmarkStart w:id="65" w:name="_Toc81934361"/>
      <w:r>
        <w:rPr>
          <w:rFonts w:cs="Times New Roman"/>
          <w:sz w:val="32"/>
          <w:szCs w:val="32"/>
        </w:rPr>
        <w:t xml:space="preserve">2.2 </w:t>
      </w:r>
      <w:r>
        <w:rPr>
          <w:rFonts w:cs="Times New Roman"/>
          <w:sz w:val="32"/>
          <w:szCs w:val="32"/>
        </w:rPr>
        <w:t>评价对象</w:t>
      </w:r>
      <w:bookmarkEnd w:id="63"/>
      <w:bookmarkEnd w:id="64"/>
      <w:bookmarkEnd w:id="65"/>
    </w:p>
    <w:p w:rsidR="00240BCE" w:rsidRDefault="00AC0334">
      <w:pPr>
        <w:pStyle w:val="152a"/>
        <w:ind w:firstLine="480"/>
        <w:rPr>
          <w:rFonts w:cs="Times New Roman"/>
        </w:rPr>
      </w:pPr>
      <w:r>
        <w:rPr>
          <w:rFonts w:cs="Times New Roman"/>
        </w:rPr>
        <w:t>本次环境影响评价对象禹州神火隆庆矿业有限公司</w:t>
      </w:r>
      <w:r>
        <w:rPr>
          <w:rFonts w:cs="Times New Roman"/>
        </w:rPr>
        <w:t>30</w:t>
      </w:r>
      <w:r>
        <w:rPr>
          <w:rFonts w:cs="Times New Roman"/>
        </w:rPr>
        <w:t>万吨</w:t>
      </w:r>
      <w:r>
        <w:rPr>
          <w:rFonts w:cs="Times New Roman"/>
        </w:rPr>
        <w:t>/</w:t>
      </w:r>
      <w:r>
        <w:rPr>
          <w:rFonts w:cs="Times New Roman"/>
        </w:rPr>
        <w:t>年升级改造项目。</w:t>
      </w:r>
    </w:p>
    <w:p w:rsidR="00240BCE" w:rsidRDefault="00AC0334">
      <w:pPr>
        <w:pStyle w:val="152a"/>
        <w:ind w:firstLine="480"/>
        <w:rPr>
          <w:rFonts w:cs="Times New Roman"/>
          <w:spacing w:val="2"/>
        </w:rPr>
      </w:pPr>
      <w:r>
        <w:rPr>
          <w:rFonts w:cs="Times New Roman"/>
        </w:rPr>
        <w:t>根据项目设计文件，本次升级改造仍利用现有工程的主井、副井、风井、工业场地等，仍开采二</w:t>
      </w:r>
      <w:r>
        <w:rPr>
          <w:rFonts w:cs="Times New Roman"/>
          <w:vertAlign w:val="subscript"/>
        </w:rPr>
        <w:t>1</w:t>
      </w:r>
      <w:r>
        <w:rPr>
          <w:rFonts w:cs="Times New Roman"/>
        </w:rPr>
        <w:t>煤层，本次升级改造主要将生产能力</w:t>
      </w:r>
      <w:r>
        <w:rPr>
          <w:rFonts w:cs="Times New Roman"/>
        </w:rPr>
        <w:t>15</w:t>
      </w:r>
      <w:r>
        <w:rPr>
          <w:rFonts w:cs="Times New Roman"/>
        </w:rPr>
        <w:t>万</w:t>
      </w:r>
      <w:r>
        <w:rPr>
          <w:rFonts w:cs="Times New Roman"/>
        </w:rPr>
        <w:t xml:space="preserve"> t/a</w:t>
      </w:r>
      <w:r>
        <w:rPr>
          <w:rFonts w:cs="Times New Roman"/>
        </w:rPr>
        <w:t>升级改造为项目实际生产规模为</w:t>
      </w:r>
      <w:r>
        <w:rPr>
          <w:rFonts w:cs="Times New Roman"/>
        </w:rPr>
        <w:t>30</w:t>
      </w:r>
      <w:r>
        <w:rPr>
          <w:rFonts w:cs="Times New Roman"/>
        </w:rPr>
        <w:t>万</w:t>
      </w:r>
      <w:r>
        <w:rPr>
          <w:rFonts w:cs="Times New Roman"/>
        </w:rPr>
        <w:t xml:space="preserve"> t/a</w:t>
      </w:r>
      <w:r>
        <w:rPr>
          <w:rFonts w:cs="Times New Roman"/>
        </w:rPr>
        <w:t>，升级改造主要内容为：将采煤工艺由悬移支架炮采放顶煤工艺变更为综合机械化放顶煤工艺、安全监测监控系统由</w:t>
      </w:r>
      <w:r>
        <w:rPr>
          <w:rFonts w:cs="Times New Roman"/>
        </w:rPr>
        <w:t>KJ740X</w:t>
      </w:r>
      <w:r>
        <w:rPr>
          <w:rFonts w:cs="Times New Roman"/>
        </w:rPr>
        <w:t>型升级改造为</w:t>
      </w:r>
      <w:r>
        <w:rPr>
          <w:rFonts w:cs="Times New Roman"/>
        </w:rPr>
        <w:t>KJ101X</w:t>
      </w:r>
      <w:r>
        <w:rPr>
          <w:rFonts w:cs="Times New Roman"/>
        </w:rPr>
        <w:t>（</w:t>
      </w:r>
      <w:r>
        <w:rPr>
          <w:rFonts w:cs="Times New Roman"/>
        </w:rPr>
        <w:t>A</w:t>
      </w:r>
      <w:r>
        <w:rPr>
          <w:rFonts w:cs="Times New Roman"/>
        </w:rPr>
        <w:t>）型、对矿井现有</w:t>
      </w:r>
      <w:r>
        <w:rPr>
          <w:rFonts w:cs="Times New Roman"/>
        </w:rPr>
        <w:t>21010</w:t>
      </w:r>
      <w:r>
        <w:rPr>
          <w:rFonts w:cs="Times New Roman"/>
        </w:rPr>
        <w:t>工作面轨道运输顺槽和胶带运输顺槽进行扩刷以及对矿井现有各系统按照</w:t>
      </w:r>
      <w:r>
        <w:rPr>
          <w:rFonts w:cs="Times New Roman"/>
        </w:rPr>
        <w:t>0.30Mt/a</w:t>
      </w:r>
      <w:r>
        <w:rPr>
          <w:rFonts w:cs="Times New Roman"/>
        </w:rPr>
        <w:t>进行校核等。</w:t>
      </w:r>
    </w:p>
    <w:p w:rsidR="00240BCE" w:rsidRDefault="00AC0334" w:rsidP="009C5F33">
      <w:pPr>
        <w:pStyle w:val="22CharTimesNewRoman12"/>
        <w:adjustRightInd w:val="0"/>
        <w:snapToGrid w:val="0"/>
        <w:spacing w:beforeLines="100" w:line="240" w:lineRule="auto"/>
        <w:rPr>
          <w:rFonts w:cs="Times New Roman"/>
          <w:sz w:val="32"/>
          <w:szCs w:val="32"/>
        </w:rPr>
      </w:pPr>
      <w:bookmarkStart w:id="66" w:name="_Toc512977478"/>
      <w:bookmarkStart w:id="67" w:name="_Toc27197_WPSOffice_Level2"/>
      <w:bookmarkStart w:id="68" w:name="_Toc79668608"/>
      <w:bookmarkStart w:id="69" w:name="_Toc81934362"/>
      <w:r>
        <w:rPr>
          <w:rFonts w:cs="Times New Roman"/>
          <w:sz w:val="32"/>
          <w:szCs w:val="32"/>
        </w:rPr>
        <w:t xml:space="preserve">2.3 </w:t>
      </w:r>
      <w:r>
        <w:rPr>
          <w:rFonts w:cs="Times New Roman"/>
          <w:sz w:val="32"/>
          <w:szCs w:val="32"/>
        </w:rPr>
        <w:t>评价目的及</w:t>
      </w:r>
      <w:bookmarkEnd w:id="53"/>
      <w:bookmarkEnd w:id="54"/>
      <w:bookmarkEnd w:id="55"/>
      <w:bookmarkEnd w:id="56"/>
      <w:bookmarkEnd w:id="57"/>
      <w:bookmarkEnd w:id="58"/>
      <w:bookmarkEnd w:id="59"/>
      <w:bookmarkEnd w:id="60"/>
      <w:bookmarkEnd w:id="66"/>
      <w:r>
        <w:rPr>
          <w:rFonts w:cs="Times New Roman"/>
          <w:sz w:val="32"/>
          <w:szCs w:val="32"/>
        </w:rPr>
        <w:t>原则</w:t>
      </w:r>
      <w:bookmarkEnd w:id="67"/>
      <w:bookmarkEnd w:id="68"/>
      <w:bookmarkEnd w:id="69"/>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70" w:name="_Toc398713658"/>
      <w:bookmarkStart w:id="71" w:name="_Toc398715456"/>
      <w:bookmarkStart w:id="72" w:name="_Toc398713941"/>
      <w:bookmarkStart w:id="73" w:name="_Toc13253_WPSOffice_Level3"/>
      <w:r>
        <w:rPr>
          <w:rFonts w:eastAsia="楷体" w:cs="Times New Roman"/>
          <w:b/>
          <w:szCs w:val="28"/>
          <w:lang w:val="de-DE"/>
        </w:rPr>
        <w:t xml:space="preserve">2.3.1 </w:t>
      </w:r>
      <w:r>
        <w:rPr>
          <w:rFonts w:eastAsia="楷体" w:cs="Times New Roman"/>
          <w:b/>
          <w:szCs w:val="28"/>
          <w:lang w:val="de-DE"/>
        </w:rPr>
        <w:t>评价</w:t>
      </w:r>
      <w:bookmarkEnd w:id="70"/>
      <w:bookmarkEnd w:id="71"/>
      <w:bookmarkEnd w:id="72"/>
      <w:r>
        <w:rPr>
          <w:rFonts w:eastAsia="楷体" w:cs="Times New Roman"/>
          <w:b/>
          <w:szCs w:val="28"/>
          <w:lang w:val="de-DE"/>
        </w:rPr>
        <w:t>目的</w:t>
      </w:r>
      <w:bookmarkEnd w:id="73"/>
    </w:p>
    <w:p w:rsidR="00240BCE" w:rsidRDefault="00AC0334">
      <w:pPr>
        <w:pStyle w:val="2720"/>
        <w:ind w:firstLine="480"/>
        <w:rPr>
          <w:rFonts w:hAnsi="Times New Roman" w:cs="Times New Roman"/>
        </w:rPr>
      </w:pPr>
      <w:r>
        <w:rPr>
          <w:rFonts w:hAnsi="Times New Roman" w:cs="Times New Roman"/>
        </w:rPr>
        <w:t>通过本次环评，识别项目所处区域的环境特征，查清项目所在地区的环境质量现状与生态环境现状；结合煤炭工业科技进步和环境保护的最新进展，针对煤炭资源开发、加工和贮运工程特点和污染特征，预测项目建设对环境可能造成的影响；制定有针对性的环境污染防治措施和生态环境保护措施；结合国家及地方</w:t>
      </w:r>
      <w:r>
        <w:rPr>
          <w:rFonts w:hAnsi="Times New Roman" w:cs="Times New Roman"/>
        </w:rPr>
        <w:lastRenderedPageBreak/>
        <w:t>环保政策的要求，最终从环保角度论证工程的可行性，为项目实现优化设计、合理布局以及环境管理提供科学依据。</w:t>
      </w:r>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74" w:name="_Toc398713942"/>
      <w:bookmarkStart w:id="75" w:name="_Toc398715457"/>
      <w:bookmarkStart w:id="76" w:name="_Toc398713659"/>
      <w:bookmarkStart w:id="77" w:name="_Toc19160_WPSOffice_Level3"/>
      <w:r>
        <w:rPr>
          <w:rFonts w:eastAsia="楷体" w:cs="Times New Roman"/>
          <w:b/>
          <w:szCs w:val="28"/>
          <w:lang w:val="de-DE"/>
        </w:rPr>
        <w:t xml:space="preserve">2.3.2 </w:t>
      </w:r>
      <w:r>
        <w:rPr>
          <w:rFonts w:eastAsia="楷体" w:cs="Times New Roman"/>
          <w:b/>
          <w:szCs w:val="28"/>
          <w:lang w:val="de-DE"/>
        </w:rPr>
        <w:t>评价</w:t>
      </w:r>
      <w:bookmarkEnd w:id="74"/>
      <w:bookmarkEnd w:id="75"/>
      <w:bookmarkEnd w:id="76"/>
      <w:r>
        <w:rPr>
          <w:rFonts w:eastAsia="楷体" w:cs="Times New Roman"/>
          <w:b/>
          <w:szCs w:val="28"/>
          <w:lang w:val="de-DE"/>
        </w:rPr>
        <w:t>原则</w:t>
      </w:r>
      <w:bookmarkEnd w:id="77"/>
    </w:p>
    <w:p w:rsidR="00240BCE" w:rsidRDefault="00AC0334">
      <w:pPr>
        <w:pStyle w:val="0851510"/>
        <w:rPr>
          <w:rFonts w:cs="Times New Roman"/>
        </w:rPr>
      </w:pPr>
      <w:r>
        <w:rPr>
          <w:rFonts w:cs="Times New Roman"/>
        </w:rPr>
        <w:t>（</w:t>
      </w:r>
      <w:r>
        <w:rPr>
          <w:rFonts w:cs="Times New Roman"/>
        </w:rPr>
        <w:t>1</w:t>
      </w:r>
      <w:r>
        <w:rPr>
          <w:rFonts w:cs="Times New Roman"/>
        </w:rPr>
        <w:t>）依据国家及地方有关环保法规，环境影响评价技术规定等，</w:t>
      </w:r>
      <w:r>
        <w:rPr>
          <w:rFonts w:cs="Times New Roman"/>
          <w:szCs w:val="28"/>
        </w:rPr>
        <w:t>以预防为主、防治结合、清洁生产、全过程控制的现代环境管理思想和循环经济理念为指导，</w:t>
      </w:r>
      <w:r>
        <w:rPr>
          <w:rFonts w:cs="Times New Roman"/>
        </w:rPr>
        <w:t>结合项目的实际特点和环境特征，</w:t>
      </w:r>
      <w:r>
        <w:rPr>
          <w:rFonts w:cs="Times New Roman"/>
          <w:szCs w:val="28"/>
        </w:rPr>
        <w:t>以详实、细致的基础资料与数据为基础，</w:t>
      </w:r>
      <w:r>
        <w:rPr>
          <w:rFonts w:cs="Times New Roman"/>
        </w:rPr>
        <w:t>力求客观、公正、详实地进行评价工作。</w:t>
      </w:r>
    </w:p>
    <w:p w:rsidR="00240BCE" w:rsidRDefault="00AC0334">
      <w:pPr>
        <w:pStyle w:val="0851510"/>
        <w:rPr>
          <w:rFonts w:cs="Times New Roman"/>
        </w:rPr>
      </w:pPr>
      <w:r>
        <w:rPr>
          <w:rFonts w:cs="Times New Roman"/>
        </w:rPr>
        <w:t>（</w:t>
      </w:r>
      <w:r>
        <w:rPr>
          <w:rFonts w:cs="Times New Roman"/>
        </w:rPr>
        <w:t>2</w:t>
      </w:r>
      <w:r>
        <w:rPr>
          <w:rFonts w:cs="Times New Roman"/>
        </w:rPr>
        <w:t>）贯彻</w:t>
      </w:r>
      <w:r>
        <w:rPr>
          <w:rFonts w:cs="Times New Roman"/>
        </w:rPr>
        <w:t>“</w:t>
      </w:r>
      <w:r>
        <w:rPr>
          <w:rFonts w:cs="Times New Roman"/>
        </w:rPr>
        <w:t>以人为本</w:t>
      </w:r>
      <w:r>
        <w:rPr>
          <w:rFonts w:cs="Times New Roman"/>
        </w:rPr>
        <w:t>”</w:t>
      </w:r>
      <w:r>
        <w:rPr>
          <w:rFonts w:cs="Times New Roman"/>
        </w:rPr>
        <w:t>和</w:t>
      </w:r>
      <w:r>
        <w:rPr>
          <w:rFonts w:cs="Times New Roman"/>
        </w:rPr>
        <w:t>“</w:t>
      </w:r>
      <w:r>
        <w:rPr>
          <w:rFonts w:cs="Times New Roman"/>
        </w:rPr>
        <w:t>可持续发展</w:t>
      </w:r>
      <w:r>
        <w:rPr>
          <w:rFonts w:cs="Times New Roman"/>
        </w:rPr>
        <w:t>”</w:t>
      </w:r>
      <w:r>
        <w:rPr>
          <w:rFonts w:cs="Times New Roman"/>
        </w:rPr>
        <w:t>的理念，结合当地客观实际情况，提出可行的环境保护措施，把矿井建设成为</w:t>
      </w:r>
      <w:r>
        <w:rPr>
          <w:rFonts w:cs="Times New Roman"/>
        </w:rPr>
        <w:t>“</w:t>
      </w:r>
      <w:r>
        <w:rPr>
          <w:rFonts w:cs="Times New Roman"/>
        </w:rPr>
        <w:t>高产高效</w:t>
      </w:r>
      <w:r>
        <w:rPr>
          <w:rFonts w:cs="Times New Roman"/>
        </w:rPr>
        <w:t>”</w:t>
      </w:r>
      <w:r>
        <w:rPr>
          <w:rFonts w:cs="Times New Roman"/>
        </w:rPr>
        <w:t>、</w:t>
      </w:r>
      <w:r>
        <w:rPr>
          <w:rFonts w:cs="Times New Roman"/>
        </w:rPr>
        <w:t>“</w:t>
      </w:r>
      <w:r>
        <w:rPr>
          <w:rFonts w:cs="Times New Roman"/>
        </w:rPr>
        <w:t>环境友好</w:t>
      </w:r>
      <w:r>
        <w:rPr>
          <w:rFonts w:cs="Times New Roman"/>
        </w:rPr>
        <w:t>”</w:t>
      </w:r>
      <w:r>
        <w:rPr>
          <w:rFonts w:cs="Times New Roman"/>
        </w:rPr>
        <w:t>的新型现代化矿井。</w:t>
      </w:r>
    </w:p>
    <w:p w:rsidR="00240BCE" w:rsidRDefault="00AC0334">
      <w:pPr>
        <w:pStyle w:val="0851510"/>
        <w:rPr>
          <w:rFonts w:cs="Times New Roman"/>
        </w:rPr>
      </w:pPr>
      <w:r>
        <w:rPr>
          <w:rFonts w:cs="Times New Roman"/>
        </w:rPr>
        <w:t>（</w:t>
      </w:r>
      <w:r>
        <w:rPr>
          <w:rFonts w:cs="Times New Roman"/>
        </w:rPr>
        <w:t>3</w:t>
      </w:r>
      <w:r>
        <w:rPr>
          <w:rFonts w:cs="Times New Roman"/>
        </w:rPr>
        <w:t>）密切关注矿井建设与运行环境影响特点，重点围绕矿井建设与运行生态环境、地下水环境影响等重点开展评价工作。</w:t>
      </w:r>
    </w:p>
    <w:p w:rsidR="00240BCE" w:rsidRDefault="00AC0334">
      <w:pPr>
        <w:pStyle w:val="0851510"/>
        <w:rPr>
          <w:rFonts w:cs="Times New Roman"/>
        </w:rPr>
      </w:pPr>
      <w:r>
        <w:rPr>
          <w:rFonts w:cs="Times New Roman"/>
        </w:rPr>
        <w:t>（</w:t>
      </w:r>
      <w:r>
        <w:rPr>
          <w:rFonts w:cs="Times New Roman"/>
        </w:rPr>
        <w:t>4</w:t>
      </w:r>
      <w:r>
        <w:rPr>
          <w:rFonts w:cs="Times New Roman"/>
        </w:rPr>
        <w:t>）以贯彻清洁生产、污染防治措施长期稳定达标为重点，对环保措施进行技术经济可行性论证。</w:t>
      </w:r>
    </w:p>
    <w:p w:rsidR="00240BCE" w:rsidRDefault="00AC0334">
      <w:pPr>
        <w:pStyle w:val="0851510"/>
        <w:rPr>
          <w:rFonts w:cs="Times New Roman"/>
        </w:rPr>
      </w:pPr>
      <w:r>
        <w:rPr>
          <w:rFonts w:cs="Times New Roman"/>
        </w:rPr>
        <w:t>（</w:t>
      </w:r>
      <w:r>
        <w:rPr>
          <w:rFonts w:cs="Times New Roman"/>
        </w:rPr>
        <w:t>5</w:t>
      </w:r>
      <w:r>
        <w:rPr>
          <w:rFonts w:cs="Times New Roman"/>
        </w:rPr>
        <w:t>）公众参与的原则：积极配合建设单位在项目环评过程中开展公众参与调查活动，征求本项目影响地区和居民对该项目的意见，并将意见如实汇总于报告书，提出采纳与不采纳意见，以供环境管理部门决策。</w:t>
      </w:r>
    </w:p>
    <w:p w:rsidR="00240BCE" w:rsidRDefault="00AC0334">
      <w:pPr>
        <w:pStyle w:val="0851510"/>
        <w:rPr>
          <w:rFonts w:cs="Times New Roman"/>
        </w:rPr>
      </w:pPr>
      <w:r>
        <w:rPr>
          <w:rFonts w:cs="Times New Roman"/>
        </w:rPr>
        <w:t>（</w:t>
      </w:r>
      <w:r>
        <w:rPr>
          <w:rFonts w:cs="Times New Roman"/>
        </w:rPr>
        <w:t>6</w:t>
      </w:r>
      <w:r>
        <w:rPr>
          <w:rFonts w:cs="Times New Roman"/>
        </w:rPr>
        <w:t>）报告书编写力求简洁、明了、重点突出、内容突出；评价结论客观、准确；环保措施实用性和可操作性强。</w:t>
      </w:r>
    </w:p>
    <w:p w:rsidR="00240BCE" w:rsidRDefault="00AC0334" w:rsidP="009C5F33">
      <w:pPr>
        <w:pStyle w:val="22CharTimesNewRoman12"/>
        <w:adjustRightInd w:val="0"/>
        <w:snapToGrid w:val="0"/>
        <w:spacing w:beforeLines="100" w:line="240" w:lineRule="auto"/>
        <w:rPr>
          <w:rFonts w:cs="Times New Roman"/>
          <w:sz w:val="32"/>
          <w:szCs w:val="32"/>
        </w:rPr>
      </w:pPr>
      <w:bookmarkStart w:id="78" w:name="_Toc512977480"/>
      <w:bookmarkStart w:id="79" w:name="_Toc23181_WPSOffice_Level2"/>
      <w:bookmarkStart w:id="80" w:name="_Toc79668609"/>
      <w:bookmarkStart w:id="81" w:name="_Toc81934363"/>
      <w:r>
        <w:rPr>
          <w:rFonts w:cs="Times New Roman"/>
          <w:sz w:val="32"/>
          <w:szCs w:val="32"/>
        </w:rPr>
        <w:t>2.</w:t>
      </w:r>
      <w:bookmarkEnd w:id="78"/>
      <w:r>
        <w:rPr>
          <w:rFonts w:cs="Times New Roman"/>
          <w:sz w:val="32"/>
          <w:szCs w:val="32"/>
        </w:rPr>
        <w:t xml:space="preserve">4 </w:t>
      </w:r>
      <w:r>
        <w:rPr>
          <w:rFonts w:cs="Times New Roman"/>
          <w:sz w:val="32"/>
          <w:szCs w:val="32"/>
        </w:rPr>
        <w:t>环境影响因素识别与评价因子筛选</w:t>
      </w:r>
      <w:bookmarkEnd w:id="79"/>
      <w:bookmarkEnd w:id="80"/>
      <w:bookmarkEnd w:id="81"/>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82" w:name="_Toc23762_WPSOffice_Level3"/>
      <w:r>
        <w:rPr>
          <w:rFonts w:eastAsia="楷体" w:cs="Times New Roman"/>
          <w:b/>
          <w:szCs w:val="28"/>
          <w:lang w:val="de-DE"/>
        </w:rPr>
        <w:t>2.4.1</w:t>
      </w:r>
      <w:r>
        <w:rPr>
          <w:rFonts w:eastAsia="楷体" w:cs="Times New Roman"/>
          <w:b/>
          <w:szCs w:val="28"/>
          <w:lang w:val="de-DE"/>
        </w:rPr>
        <w:t>环境影响因素识别</w:t>
      </w:r>
      <w:bookmarkEnd w:id="82"/>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由于本工程为升级改造工程，且主要是地下采掘设备、提升设备等的改造等，井田面积、开拓方式及地面上其余生产生活设施等均利用原有设施，因此本项目带来的主要环境问题主要为营运期污染物的排放等。结合本工程特点和区域环境特征，进行环境影响因子识别，以确定本工程在施工期和运行期对自然环境、社会环境及生态环境等的影响情况。工程环境影响因素识别内容见表</w:t>
      </w:r>
      <w:r>
        <w:rPr>
          <w:rFonts w:ascii="Times New Roman" w:hAnsi="Times New Roman"/>
          <w:sz w:val="24"/>
          <w:szCs w:val="24"/>
        </w:rPr>
        <w:t>2.4-1</w:t>
      </w:r>
      <w:r>
        <w:rPr>
          <w:rFonts w:ascii="Times New Roman" w:hAnsi="Times New Roman"/>
          <w:sz w:val="24"/>
          <w:szCs w:val="24"/>
        </w:rPr>
        <w:t>。</w:t>
      </w:r>
    </w:p>
    <w:p w:rsidR="00240BCE" w:rsidRDefault="00AC0334">
      <w:pPr>
        <w:pStyle w:val="ae"/>
        <w:spacing w:line="520" w:lineRule="exact"/>
        <w:ind w:firstLineChars="200" w:firstLine="482"/>
        <w:rPr>
          <w:rFonts w:ascii="Times New Roman" w:hAnsi="Times New Roman"/>
          <w:sz w:val="24"/>
          <w:szCs w:val="24"/>
        </w:rPr>
      </w:pPr>
      <w:r>
        <w:rPr>
          <w:rFonts w:ascii="Times New Roman" w:hAnsi="Times New Roman"/>
          <w:b/>
          <w:sz w:val="24"/>
          <w:szCs w:val="24"/>
        </w:rPr>
        <w:t>识别结论：</w:t>
      </w: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）从时段上看，营运期影响的范围较广，程度较深；</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2</w:t>
      </w:r>
      <w:r>
        <w:rPr>
          <w:rFonts w:ascii="Times New Roman" w:hAnsi="Times New Roman"/>
          <w:sz w:val="24"/>
          <w:szCs w:val="24"/>
        </w:rPr>
        <w:t>）从环境影响因素看，项目建设期间各种工程行为对环境因素的影响以负面为主，但属于轻微、短期和局部性质；项目投入运行后，其环境负面影响较为轻微，采取严格的防治措施后可以进一步降低这种负面影响。</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）与只要采取措施即可显著降低污染的污水及固废排放、废气排放、噪声等对环境的影响相比，采煤引起的地表沉陷及生态环境影响更应受到重视。</w:t>
      </w:r>
      <w:r>
        <w:rPr>
          <w:rFonts w:ascii="Times New Roman" w:hAnsi="Times New Roman"/>
          <w:sz w:val="24"/>
          <w:szCs w:val="24"/>
        </w:rPr>
        <w:t xml:space="preserve"> </w:t>
      </w:r>
    </w:p>
    <w:p w:rsidR="00240BCE" w:rsidRDefault="00AC0334">
      <w:pPr>
        <w:pStyle w:val="44"/>
        <w:tabs>
          <w:tab w:val="left" w:pos="5387"/>
        </w:tabs>
        <w:spacing w:line="560" w:lineRule="exact"/>
        <w:ind w:firstLineChars="0" w:firstLine="0"/>
        <w:jc w:val="center"/>
        <w:rPr>
          <w:color w:val="000000"/>
        </w:rPr>
      </w:pPr>
      <w:r>
        <w:rPr>
          <w:color w:val="000000"/>
        </w:rPr>
        <w:t>表</w:t>
      </w:r>
      <w:r>
        <w:rPr>
          <w:color w:val="000000"/>
        </w:rPr>
        <w:t xml:space="preserve">2.4-1    </w:t>
      </w:r>
      <w:r>
        <w:rPr>
          <w:color w:val="000000"/>
        </w:rPr>
        <w:t>本项目环境影响因素识别结果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34"/>
        <w:gridCol w:w="879"/>
        <w:gridCol w:w="505"/>
        <w:gridCol w:w="505"/>
        <w:gridCol w:w="505"/>
        <w:gridCol w:w="507"/>
        <w:gridCol w:w="507"/>
        <w:gridCol w:w="507"/>
        <w:gridCol w:w="507"/>
        <w:gridCol w:w="512"/>
        <w:gridCol w:w="560"/>
        <w:gridCol w:w="560"/>
        <w:gridCol w:w="562"/>
        <w:gridCol w:w="693"/>
        <w:gridCol w:w="691"/>
      </w:tblGrid>
      <w:tr w:rsidR="00240BCE">
        <w:trPr>
          <w:jc w:val="center"/>
        </w:trPr>
        <w:tc>
          <w:tcPr>
            <w:tcW w:w="313" w:type="pct"/>
            <w:vMerge w:val="restart"/>
            <w:tcBorders>
              <w:top w:val="single" w:sz="12" w:space="0" w:color="auto"/>
              <w:left w:val="single" w:sz="12" w:space="0" w:color="auto"/>
            </w:tcBorders>
            <w:vAlign w:val="center"/>
          </w:tcPr>
          <w:p w:rsidR="00240BCE" w:rsidRDefault="00AC0334" w:rsidP="001D482D">
            <w:pPr>
              <w:spacing w:line="360" w:lineRule="exact"/>
              <w:jc w:val="center"/>
              <w:rPr>
                <w:color w:val="000000"/>
                <w:sz w:val="21"/>
                <w:szCs w:val="21"/>
              </w:rPr>
            </w:pPr>
            <w:r>
              <w:rPr>
                <w:color w:val="000000"/>
                <w:sz w:val="21"/>
                <w:szCs w:val="21"/>
              </w:rPr>
              <w:t>项目</w:t>
            </w:r>
          </w:p>
          <w:p w:rsidR="00240BCE" w:rsidRDefault="00AC0334" w:rsidP="001D482D">
            <w:pPr>
              <w:spacing w:line="360" w:lineRule="exact"/>
              <w:jc w:val="center"/>
              <w:rPr>
                <w:color w:val="000000"/>
                <w:sz w:val="21"/>
                <w:szCs w:val="21"/>
              </w:rPr>
            </w:pPr>
            <w:r>
              <w:rPr>
                <w:color w:val="000000"/>
                <w:sz w:val="21"/>
                <w:szCs w:val="21"/>
              </w:rPr>
              <w:t>时段</w:t>
            </w:r>
          </w:p>
        </w:tc>
        <w:tc>
          <w:tcPr>
            <w:tcW w:w="515" w:type="pct"/>
            <w:vMerge w:val="restart"/>
            <w:tcBorders>
              <w:top w:val="single" w:sz="1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影响</w:t>
            </w:r>
          </w:p>
          <w:p w:rsidR="00240BCE" w:rsidRDefault="00AC0334" w:rsidP="001D482D">
            <w:pPr>
              <w:spacing w:line="360" w:lineRule="exact"/>
              <w:jc w:val="center"/>
              <w:rPr>
                <w:color w:val="000000"/>
                <w:sz w:val="21"/>
                <w:szCs w:val="21"/>
              </w:rPr>
            </w:pPr>
            <w:r>
              <w:rPr>
                <w:color w:val="000000"/>
                <w:sz w:val="21"/>
                <w:szCs w:val="21"/>
              </w:rPr>
              <w:t>因子</w:t>
            </w:r>
          </w:p>
        </w:tc>
        <w:tc>
          <w:tcPr>
            <w:tcW w:w="4172" w:type="pct"/>
            <w:gridSpan w:val="13"/>
            <w:tcBorders>
              <w:top w:val="single" w:sz="12" w:space="0" w:color="auto"/>
              <w:right w:val="single" w:sz="12" w:space="0" w:color="auto"/>
            </w:tcBorders>
            <w:vAlign w:val="center"/>
          </w:tcPr>
          <w:p w:rsidR="00240BCE" w:rsidRDefault="00AC0334" w:rsidP="001D482D">
            <w:pPr>
              <w:spacing w:line="360" w:lineRule="exact"/>
              <w:jc w:val="center"/>
              <w:rPr>
                <w:color w:val="000000"/>
                <w:sz w:val="21"/>
                <w:szCs w:val="21"/>
              </w:rPr>
            </w:pPr>
            <w:r>
              <w:rPr>
                <w:color w:val="000000"/>
                <w:sz w:val="21"/>
                <w:szCs w:val="21"/>
              </w:rPr>
              <w:t>环境因素</w:t>
            </w:r>
          </w:p>
        </w:tc>
      </w:tr>
      <w:tr w:rsidR="00240BCE">
        <w:trPr>
          <w:jc w:val="center"/>
        </w:trPr>
        <w:tc>
          <w:tcPr>
            <w:tcW w:w="313" w:type="pct"/>
            <w:vMerge/>
            <w:tcBorders>
              <w:left w:val="single" w:sz="12" w:space="0" w:color="auto"/>
            </w:tcBorders>
            <w:vAlign w:val="center"/>
          </w:tcPr>
          <w:p w:rsidR="00240BCE" w:rsidRDefault="00240BCE" w:rsidP="001D482D">
            <w:pPr>
              <w:spacing w:line="360" w:lineRule="exact"/>
              <w:jc w:val="center"/>
              <w:rPr>
                <w:color w:val="000000"/>
                <w:sz w:val="21"/>
                <w:szCs w:val="21"/>
              </w:rPr>
            </w:pPr>
          </w:p>
        </w:tc>
        <w:tc>
          <w:tcPr>
            <w:tcW w:w="515" w:type="pct"/>
            <w:vMerge/>
            <w:vAlign w:val="center"/>
          </w:tcPr>
          <w:p w:rsidR="00240BCE" w:rsidRDefault="00240BCE" w:rsidP="001D482D">
            <w:pPr>
              <w:spacing w:line="360" w:lineRule="exact"/>
              <w:jc w:val="center"/>
              <w:rPr>
                <w:color w:val="000000"/>
                <w:sz w:val="21"/>
                <w:szCs w:val="21"/>
              </w:rPr>
            </w:pPr>
          </w:p>
        </w:tc>
        <w:tc>
          <w:tcPr>
            <w:tcW w:w="2376" w:type="pct"/>
            <w:gridSpan w:val="8"/>
            <w:vAlign w:val="center"/>
          </w:tcPr>
          <w:p w:rsidR="00240BCE" w:rsidRDefault="00AC0334" w:rsidP="001D482D">
            <w:pPr>
              <w:spacing w:line="360" w:lineRule="exact"/>
              <w:jc w:val="center"/>
              <w:rPr>
                <w:color w:val="000000"/>
                <w:sz w:val="21"/>
                <w:szCs w:val="21"/>
              </w:rPr>
            </w:pPr>
            <w:r>
              <w:rPr>
                <w:color w:val="000000"/>
                <w:sz w:val="21"/>
                <w:szCs w:val="21"/>
              </w:rPr>
              <w:t>自然生态环境</w:t>
            </w:r>
          </w:p>
        </w:tc>
        <w:tc>
          <w:tcPr>
            <w:tcW w:w="985" w:type="pct"/>
            <w:gridSpan w:val="3"/>
            <w:vAlign w:val="center"/>
          </w:tcPr>
          <w:p w:rsidR="00240BCE" w:rsidRDefault="00AC0334" w:rsidP="001D482D">
            <w:pPr>
              <w:spacing w:line="360" w:lineRule="exact"/>
              <w:jc w:val="center"/>
              <w:rPr>
                <w:color w:val="000000"/>
                <w:sz w:val="21"/>
                <w:szCs w:val="21"/>
              </w:rPr>
            </w:pPr>
            <w:r>
              <w:rPr>
                <w:color w:val="000000"/>
                <w:sz w:val="21"/>
                <w:szCs w:val="21"/>
              </w:rPr>
              <w:t>社会经济</w:t>
            </w:r>
          </w:p>
        </w:tc>
        <w:tc>
          <w:tcPr>
            <w:tcW w:w="811" w:type="pct"/>
            <w:gridSpan w:val="2"/>
            <w:tcBorders>
              <w:right w:val="single" w:sz="12" w:space="0" w:color="auto"/>
            </w:tcBorders>
            <w:vAlign w:val="center"/>
          </w:tcPr>
          <w:p w:rsidR="00240BCE" w:rsidRDefault="00AC0334" w:rsidP="001D482D">
            <w:pPr>
              <w:spacing w:line="360" w:lineRule="exact"/>
              <w:jc w:val="center"/>
              <w:rPr>
                <w:color w:val="000000"/>
                <w:sz w:val="21"/>
                <w:szCs w:val="21"/>
              </w:rPr>
            </w:pPr>
            <w:r>
              <w:rPr>
                <w:color w:val="000000"/>
                <w:sz w:val="21"/>
                <w:szCs w:val="21"/>
              </w:rPr>
              <w:t>生活质量</w:t>
            </w:r>
          </w:p>
        </w:tc>
      </w:tr>
      <w:tr w:rsidR="00240BCE">
        <w:trPr>
          <w:jc w:val="center"/>
        </w:trPr>
        <w:tc>
          <w:tcPr>
            <w:tcW w:w="313" w:type="pct"/>
            <w:vMerge/>
            <w:tcBorders>
              <w:left w:val="single" w:sz="12" w:space="0" w:color="auto"/>
              <w:bottom w:val="single" w:sz="2" w:space="0" w:color="auto"/>
            </w:tcBorders>
            <w:vAlign w:val="center"/>
          </w:tcPr>
          <w:p w:rsidR="00240BCE" w:rsidRDefault="00240BCE" w:rsidP="001D482D">
            <w:pPr>
              <w:spacing w:line="360" w:lineRule="exact"/>
              <w:jc w:val="center"/>
              <w:rPr>
                <w:color w:val="000000"/>
                <w:sz w:val="21"/>
                <w:szCs w:val="21"/>
              </w:rPr>
            </w:pPr>
          </w:p>
        </w:tc>
        <w:tc>
          <w:tcPr>
            <w:tcW w:w="515" w:type="pct"/>
            <w:vMerge/>
            <w:tcBorders>
              <w:bottom w:val="single" w:sz="2" w:space="0" w:color="auto"/>
            </w:tcBorders>
            <w:vAlign w:val="center"/>
          </w:tcPr>
          <w:p w:rsidR="00240BCE" w:rsidRDefault="00240BCE" w:rsidP="001D482D">
            <w:pPr>
              <w:spacing w:line="360" w:lineRule="exact"/>
              <w:jc w:val="center"/>
              <w:rPr>
                <w:color w:val="000000"/>
                <w:sz w:val="21"/>
                <w:szCs w:val="21"/>
              </w:rPr>
            </w:pPr>
          </w:p>
        </w:tc>
        <w:tc>
          <w:tcPr>
            <w:tcW w:w="296"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大气环境</w:t>
            </w:r>
          </w:p>
        </w:tc>
        <w:tc>
          <w:tcPr>
            <w:tcW w:w="296"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水</w:t>
            </w:r>
          </w:p>
          <w:p w:rsidR="00240BCE" w:rsidRDefault="00AC0334" w:rsidP="001D482D">
            <w:pPr>
              <w:spacing w:line="360" w:lineRule="exact"/>
              <w:jc w:val="center"/>
              <w:rPr>
                <w:color w:val="000000"/>
                <w:sz w:val="21"/>
                <w:szCs w:val="21"/>
              </w:rPr>
            </w:pPr>
            <w:r>
              <w:rPr>
                <w:color w:val="000000"/>
                <w:sz w:val="21"/>
                <w:szCs w:val="21"/>
              </w:rPr>
              <w:t>环境</w:t>
            </w:r>
          </w:p>
        </w:tc>
        <w:tc>
          <w:tcPr>
            <w:tcW w:w="296"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土壤</w:t>
            </w:r>
          </w:p>
        </w:tc>
        <w:tc>
          <w:tcPr>
            <w:tcW w:w="297"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声</w:t>
            </w:r>
          </w:p>
          <w:p w:rsidR="00240BCE" w:rsidRDefault="00AC0334" w:rsidP="001D482D">
            <w:pPr>
              <w:spacing w:line="360" w:lineRule="exact"/>
              <w:jc w:val="center"/>
              <w:rPr>
                <w:color w:val="000000"/>
                <w:sz w:val="21"/>
                <w:szCs w:val="21"/>
              </w:rPr>
            </w:pPr>
            <w:r>
              <w:rPr>
                <w:color w:val="000000"/>
                <w:sz w:val="21"/>
                <w:szCs w:val="21"/>
              </w:rPr>
              <w:t>环境</w:t>
            </w:r>
          </w:p>
        </w:tc>
        <w:tc>
          <w:tcPr>
            <w:tcW w:w="297"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地表</w:t>
            </w:r>
          </w:p>
          <w:p w:rsidR="00240BCE" w:rsidRDefault="00AC0334" w:rsidP="001D482D">
            <w:pPr>
              <w:spacing w:line="360" w:lineRule="exact"/>
              <w:jc w:val="center"/>
              <w:rPr>
                <w:color w:val="000000"/>
                <w:sz w:val="21"/>
                <w:szCs w:val="21"/>
              </w:rPr>
            </w:pPr>
            <w:r>
              <w:rPr>
                <w:color w:val="000000"/>
                <w:sz w:val="21"/>
                <w:szCs w:val="21"/>
              </w:rPr>
              <w:t>植被</w:t>
            </w:r>
          </w:p>
        </w:tc>
        <w:tc>
          <w:tcPr>
            <w:tcW w:w="297"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水土流失</w:t>
            </w:r>
          </w:p>
        </w:tc>
        <w:tc>
          <w:tcPr>
            <w:tcW w:w="297"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土地</w:t>
            </w:r>
          </w:p>
          <w:p w:rsidR="00240BCE" w:rsidRDefault="00AC0334" w:rsidP="001D482D">
            <w:pPr>
              <w:spacing w:line="360" w:lineRule="exact"/>
              <w:jc w:val="center"/>
              <w:rPr>
                <w:color w:val="000000"/>
                <w:sz w:val="21"/>
                <w:szCs w:val="21"/>
              </w:rPr>
            </w:pPr>
            <w:r>
              <w:rPr>
                <w:color w:val="000000"/>
                <w:sz w:val="21"/>
                <w:szCs w:val="21"/>
              </w:rPr>
              <w:t>利用</w:t>
            </w:r>
          </w:p>
        </w:tc>
        <w:tc>
          <w:tcPr>
            <w:tcW w:w="300"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地貌</w:t>
            </w:r>
          </w:p>
        </w:tc>
        <w:tc>
          <w:tcPr>
            <w:tcW w:w="328"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工业</w:t>
            </w:r>
          </w:p>
          <w:p w:rsidR="00240BCE" w:rsidRDefault="00AC0334" w:rsidP="001D482D">
            <w:pPr>
              <w:spacing w:line="360" w:lineRule="exact"/>
              <w:jc w:val="center"/>
              <w:rPr>
                <w:color w:val="000000"/>
                <w:sz w:val="21"/>
                <w:szCs w:val="21"/>
              </w:rPr>
            </w:pPr>
            <w:r>
              <w:rPr>
                <w:color w:val="000000"/>
                <w:sz w:val="21"/>
                <w:szCs w:val="21"/>
              </w:rPr>
              <w:t>发展</w:t>
            </w:r>
          </w:p>
        </w:tc>
        <w:tc>
          <w:tcPr>
            <w:tcW w:w="328"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农业</w:t>
            </w:r>
          </w:p>
          <w:p w:rsidR="00240BCE" w:rsidRDefault="00AC0334" w:rsidP="001D482D">
            <w:pPr>
              <w:spacing w:line="360" w:lineRule="exact"/>
              <w:jc w:val="center"/>
              <w:rPr>
                <w:color w:val="000000"/>
                <w:sz w:val="21"/>
                <w:szCs w:val="21"/>
              </w:rPr>
            </w:pPr>
            <w:r>
              <w:rPr>
                <w:color w:val="000000"/>
                <w:sz w:val="21"/>
                <w:szCs w:val="21"/>
              </w:rPr>
              <w:t>发展</w:t>
            </w:r>
          </w:p>
        </w:tc>
        <w:tc>
          <w:tcPr>
            <w:tcW w:w="329"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基础</w:t>
            </w:r>
          </w:p>
          <w:p w:rsidR="00240BCE" w:rsidRDefault="00AC0334" w:rsidP="001D482D">
            <w:pPr>
              <w:spacing w:line="360" w:lineRule="exact"/>
              <w:jc w:val="center"/>
              <w:rPr>
                <w:color w:val="000000"/>
                <w:sz w:val="21"/>
                <w:szCs w:val="21"/>
              </w:rPr>
            </w:pPr>
            <w:r>
              <w:rPr>
                <w:color w:val="000000"/>
                <w:sz w:val="21"/>
                <w:szCs w:val="21"/>
              </w:rPr>
              <w:t>建设</w:t>
            </w:r>
          </w:p>
        </w:tc>
        <w:tc>
          <w:tcPr>
            <w:tcW w:w="406" w:type="pct"/>
            <w:tcBorders>
              <w:bottom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环境</w:t>
            </w:r>
          </w:p>
          <w:p w:rsidR="00240BCE" w:rsidRDefault="00AC0334" w:rsidP="001D482D">
            <w:pPr>
              <w:spacing w:line="360" w:lineRule="exact"/>
              <w:jc w:val="center"/>
              <w:rPr>
                <w:color w:val="000000"/>
                <w:sz w:val="21"/>
                <w:szCs w:val="21"/>
              </w:rPr>
            </w:pPr>
            <w:r>
              <w:rPr>
                <w:color w:val="000000"/>
                <w:sz w:val="21"/>
                <w:szCs w:val="21"/>
              </w:rPr>
              <w:t>美学</w:t>
            </w:r>
          </w:p>
        </w:tc>
        <w:tc>
          <w:tcPr>
            <w:tcW w:w="405" w:type="pct"/>
            <w:tcBorders>
              <w:bottom w:val="single" w:sz="2" w:space="0" w:color="auto"/>
              <w:right w:val="single" w:sz="12" w:space="0" w:color="auto"/>
            </w:tcBorders>
            <w:vAlign w:val="center"/>
          </w:tcPr>
          <w:p w:rsidR="00240BCE" w:rsidRDefault="00AC0334" w:rsidP="001D482D">
            <w:pPr>
              <w:spacing w:line="360" w:lineRule="exact"/>
              <w:jc w:val="center"/>
              <w:rPr>
                <w:color w:val="000000"/>
                <w:sz w:val="21"/>
                <w:szCs w:val="21"/>
              </w:rPr>
            </w:pPr>
            <w:r>
              <w:rPr>
                <w:color w:val="000000"/>
                <w:sz w:val="21"/>
                <w:szCs w:val="21"/>
              </w:rPr>
              <w:t>生活</w:t>
            </w:r>
          </w:p>
          <w:p w:rsidR="00240BCE" w:rsidRDefault="00AC0334" w:rsidP="001D482D">
            <w:pPr>
              <w:spacing w:line="360" w:lineRule="exact"/>
              <w:jc w:val="center"/>
              <w:rPr>
                <w:color w:val="000000"/>
                <w:sz w:val="21"/>
                <w:szCs w:val="21"/>
              </w:rPr>
            </w:pPr>
            <w:r>
              <w:rPr>
                <w:color w:val="000000"/>
                <w:sz w:val="21"/>
                <w:szCs w:val="21"/>
              </w:rPr>
              <w:t>水平</w:t>
            </w:r>
          </w:p>
        </w:tc>
      </w:tr>
      <w:tr w:rsidR="00240BCE">
        <w:trPr>
          <w:jc w:val="center"/>
        </w:trPr>
        <w:tc>
          <w:tcPr>
            <w:tcW w:w="313" w:type="pct"/>
            <w:vMerge w:val="restart"/>
            <w:tcBorders>
              <w:top w:val="single" w:sz="2" w:space="0" w:color="auto"/>
              <w:left w:val="single" w:sz="12" w:space="0" w:color="auto"/>
            </w:tcBorders>
            <w:vAlign w:val="center"/>
          </w:tcPr>
          <w:p w:rsidR="00240BCE" w:rsidRDefault="00AC0334" w:rsidP="001D482D">
            <w:pPr>
              <w:spacing w:line="360" w:lineRule="exact"/>
              <w:jc w:val="center"/>
              <w:rPr>
                <w:color w:val="000000"/>
                <w:sz w:val="21"/>
                <w:szCs w:val="21"/>
              </w:rPr>
            </w:pPr>
            <w:r>
              <w:rPr>
                <w:color w:val="000000"/>
                <w:sz w:val="21"/>
                <w:szCs w:val="21"/>
              </w:rPr>
              <w:t>施</w:t>
            </w:r>
          </w:p>
          <w:p w:rsidR="00240BCE" w:rsidRDefault="00AC0334" w:rsidP="001D482D">
            <w:pPr>
              <w:spacing w:line="360" w:lineRule="exact"/>
              <w:jc w:val="center"/>
              <w:rPr>
                <w:color w:val="000000"/>
                <w:sz w:val="21"/>
                <w:szCs w:val="21"/>
              </w:rPr>
            </w:pPr>
            <w:r>
              <w:rPr>
                <w:color w:val="000000"/>
                <w:sz w:val="21"/>
                <w:szCs w:val="21"/>
              </w:rPr>
              <w:t>工</w:t>
            </w:r>
          </w:p>
          <w:p w:rsidR="00240BCE" w:rsidRDefault="00AC0334" w:rsidP="001D482D">
            <w:pPr>
              <w:spacing w:line="360" w:lineRule="exact"/>
              <w:jc w:val="center"/>
              <w:rPr>
                <w:color w:val="000000"/>
                <w:sz w:val="21"/>
                <w:szCs w:val="21"/>
              </w:rPr>
            </w:pPr>
            <w:r>
              <w:rPr>
                <w:color w:val="000000"/>
                <w:sz w:val="21"/>
                <w:szCs w:val="21"/>
              </w:rPr>
              <w:t>期</w:t>
            </w:r>
          </w:p>
        </w:tc>
        <w:tc>
          <w:tcPr>
            <w:tcW w:w="515" w:type="pct"/>
            <w:tcBorders>
              <w:top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井巷工程</w:t>
            </w:r>
          </w:p>
        </w:tc>
        <w:tc>
          <w:tcPr>
            <w:tcW w:w="296" w:type="pct"/>
            <w:tcBorders>
              <w:top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6" w:type="pct"/>
            <w:tcBorders>
              <w:top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6" w:type="pct"/>
            <w:tcBorders>
              <w:top w:val="single" w:sz="2" w:space="0" w:color="auto"/>
            </w:tcBorders>
            <w:vAlign w:val="center"/>
          </w:tcPr>
          <w:p w:rsidR="00240BCE" w:rsidRDefault="00240BCE" w:rsidP="001D482D">
            <w:pPr>
              <w:spacing w:line="360" w:lineRule="exact"/>
              <w:jc w:val="center"/>
              <w:rPr>
                <w:color w:val="000000"/>
                <w:sz w:val="21"/>
                <w:szCs w:val="21"/>
              </w:rPr>
            </w:pPr>
          </w:p>
        </w:tc>
        <w:tc>
          <w:tcPr>
            <w:tcW w:w="297" w:type="pct"/>
            <w:tcBorders>
              <w:top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7" w:type="pct"/>
            <w:tcBorders>
              <w:top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7" w:type="pct"/>
            <w:tcBorders>
              <w:top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7" w:type="pct"/>
            <w:tcBorders>
              <w:top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300" w:type="pct"/>
            <w:tcBorders>
              <w:top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328" w:type="pct"/>
            <w:tcBorders>
              <w:top w:val="single" w:sz="2" w:space="0" w:color="auto"/>
            </w:tcBorders>
            <w:vAlign w:val="center"/>
          </w:tcPr>
          <w:p w:rsidR="00240BCE" w:rsidRDefault="00240BCE" w:rsidP="001D482D">
            <w:pPr>
              <w:spacing w:line="360" w:lineRule="exact"/>
              <w:jc w:val="center"/>
              <w:rPr>
                <w:color w:val="000000"/>
                <w:sz w:val="21"/>
                <w:szCs w:val="21"/>
              </w:rPr>
            </w:pPr>
          </w:p>
        </w:tc>
        <w:tc>
          <w:tcPr>
            <w:tcW w:w="328" w:type="pct"/>
            <w:tcBorders>
              <w:top w:val="single" w:sz="2" w:space="0" w:color="auto"/>
            </w:tcBorders>
            <w:vAlign w:val="center"/>
          </w:tcPr>
          <w:p w:rsidR="00240BCE" w:rsidRDefault="00240BCE" w:rsidP="001D482D">
            <w:pPr>
              <w:spacing w:line="360" w:lineRule="exact"/>
              <w:jc w:val="center"/>
              <w:rPr>
                <w:color w:val="000000"/>
                <w:sz w:val="21"/>
                <w:szCs w:val="21"/>
              </w:rPr>
            </w:pPr>
          </w:p>
        </w:tc>
        <w:tc>
          <w:tcPr>
            <w:tcW w:w="329" w:type="pct"/>
            <w:tcBorders>
              <w:top w:val="single" w:sz="2" w:space="0" w:color="auto"/>
            </w:tcBorders>
            <w:vAlign w:val="center"/>
          </w:tcPr>
          <w:p w:rsidR="00240BCE" w:rsidRDefault="00240BCE" w:rsidP="001D482D">
            <w:pPr>
              <w:spacing w:line="360" w:lineRule="exact"/>
              <w:jc w:val="center"/>
              <w:rPr>
                <w:color w:val="000000"/>
                <w:sz w:val="21"/>
                <w:szCs w:val="21"/>
              </w:rPr>
            </w:pPr>
          </w:p>
        </w:tc>
        <w:tc>
          <w:tcPr>
            <w:tcW w:w="406" w:type="pct"/>
            <w:tcBorders>
              <w:top w:val="single" w:sz="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405" w:type="pct"/>
            <w:tcBorders>
              <w:top w:val="single" w:sz="2" w:space="0" w:color="auto"/>
              <w:right w:val="single" w:sz="12" w:space="0" w:color="auto"/>
            </w:tcBorders>
            <w:vAlign w:val="center"/>
          </w:tcPr>
          <w:p w:rsidR="00240BCE" w:rsidRDefault="00240BCE" w:rsidP="001D482D">
            <w:pPr>
              <w:spacing w:line="360" w:lineRule="exact"/>
              <w:jc w:val="center"/>
              <w:rPr>
                <w:color w:val="000000"/>
                <w:sz w:val="21"/>
                <w:szCs w:val="21"/>
              </w:rPr>
            </w:pPr>
          </w:p>
        </w:tc>
      </w:tr>
      <w:tr w:rsidR="00240BCE">
        <w:trPr>
          <w:jc w:val="center"/>
        </w:trPr>
        <w:tc>
          <w:tcPr>
            <w:tcW w:w="313" w:type="pct"/>
            <w:vMerge/>
            <w:tcBorders>
              <w:left w:val="single" w:sz="12" w:space="0" w:color="auto"/>
            </w:tcBorders>
            <w:vAlign w:val="center"/>
          </w:tcPr>
          <w:p w:rsidR="00240BCE" w:rsidRDefault="00240BCE" w:rsidP="001D482D">
            <w:pPr>
              <w:spacing w:line="360" w:lineRule="exact"/>
              <w:jc w:val="center"/>
              <w:rPr>
                <w:color w:val="000000"/>
                <w:sz w:val="21"/>
                <w:szCs w:val="21"/>
              </w:rPr>
            </w:pPr>
          </w:p>
        </w:tc>
        <w:tc>
          <w:tcPr>
            <w:tcW w:w="515" w:type="pct"/>
            <w:vAlign w:val="center"/>
          </w:tcPr>
          <w:p w:rsidR="00240BCE" w:rsidRDefault="00AC0334" w:rsidP="001D482D">
            <w:pPr>
              <w:spacing w:line="360" w:lineRule="exact"/>
              <w:jc w:val="center"/>
              <w:rPr>
                <w:color w:val="000000"/>
                <w:sz w:val="21"/>
                <w:szCs w:val="21"/>
              </w:rPr>
            </w:pPr>
            <w:r>
              <w:rPr>
                <w:color w:val="000000"/>
                <w:sz w:val="21"/>
                <w:szCs w:val="21"/>
              </w:rPr>
              <w:t>材料运输</w:t>
            </w: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6" w:type="pct"/>
            <w:vAlign w:val="center"/>
          </w:tcPr>
          <w:p w:rsidR="00240BCE" w:rsidRDefault="00240BCE" w:rsidP="001D482D">
            <w:pPr>
              <w:spacing w:line="360" w:lineRule="exact"/>
              <w:jc w:val="center"/>
              <w:rPr>
                <w:color w:val="000000"/>
                <w:sz w:val="21"/>
                <w:szCs w:val="21"/>
              </w:rPr>
            </w:pPr>
          </w:p>
        </w:tc>
        <w:tc>
          <w:tcPr>
            <w:tcW w:w="296"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300"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328" w:type="pct"/>
            <w:vAlign w:val="center"/>
          </w:tcPr>
          <w:p w:rsidR="00240BCE" w:rsidRDefault="00240BCE" w:rsidP="001D482D">
            <w:pPr>
              <w:spacing w:line="360" w:lineRule="exact"/>
              <w:jc w:val="center"/>
              <w:rPr>
                <w:color w:val="000000"/>
                <w:sz w:val="21"/>
                <w:szCs w:val="21"/>
              </w:rPr>
            </w:pPr>
          </w:p>
        </w:tc>
        <w:tc>
          <w:tcPr>
            <w:tcW w:w="329" w:type="pct"/>
            <w:vAlign w:val="center"/>
          </w:tcPr>
          <w:p w:rsidR="00240BCE" w:rsidRDefault="00240BCE" w:rsidP="001D482D">
            <w:pPr>
              <w:spacing w:line="360" w:lineRule="exact"/>
              <w:jc w:val="center"/>
              <w:rPr>
                <w:color w:val="000000"/>
                <w:sz w:val="21"/>
                <w:szCs w:val="21"/>
              </w:rPr>
            </w:pPr>
          </w:p>
        </w:tc>
        <w:tc>
          <w:tcPr>
            <w:tcW w:w="406" w:type="pct"/>
            <w:vAlign w:val="center"/>
          </w:tcPr>
          <w:p w:rsidR="00240BCE" w:rsidRDefault="00240BCE" w:rsidP="001D482D">
            <w:pPr>
              <w:spacing w:line="360" w:lineRule="exact"/>
              <w:jc w:val="center"/>
              <w:rPr>
                <w:color w:val="000000"/>
                <w:sz w:val="21"/>
                <w:szCs w:val="21"/>
              </w:rPr>
            </w:pPr>
          </w:p>
        </w:tc>
        <w:tc>
          <w:tcPr>
            <w:tcW w:w="405" w:type="pct"/>
            <w:tcBorders>
              <w:right w:val="single" w:sz="1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r>
      <w:tr w:rsidR="00240BCE">
        <w:trPr>
          <w:jc w:val="center"/>
        </w:trPr>
        <w:tc>
          <w:tcPr>
            <w:tcW w:w="313" w:type="pct"/>
            <w:vMerge/>
            <w:tcBorders>
              <w:left w:val="single" w:sz="12" w:space="0" w:color="auto"/>
            </w:tcBorders>
            <w:vAlign w:val="center"/>
          </w:tcPr>
          <w:p w:rsidR="00240BCE" w:rsidRDefault="00240BCE" w:rsidP="001D482D">
            <w:pPr>
              <w:spacing w:line="360" w:lineRule="exact"/>
              <w:jc w:val="center"/>
              <w:rPr>
                <w:color w:val="000000"/>
                <w:sz w:val="21"/>
                <w:szCs w:val="21"/>
              </w:rPr>
            </w:pPr>
          </w:p>
        </w:tc>
        <w:tc>
          <w:tcPr>
            <w:tcW w:w="515" w:type="pct"/>
            <w:vAlign w:val="center"/>
          </w:tcPr>
          <w:p w:rsidR="00240BCE" w:rsidRDefault="00AC0334" w:rsidP="001D482D">
            <w:pPr>
              <w:spacing w:line="360" w:lineRule="exact"/>
              <w:jc w:val="center"/>
              <w:rPr>
                <w:color w:val="000000"/>
                <w:sz w:val="21"/>
                <w:szCs w:val="21"/>
              </w:rPr>
            </w:pPr>
            <w:r>
              <w:rPr>
                <w:color w:val="000000"/>
                <w:sz w:val="21"/>
                <w:szCs w:val="21"/>
              </w:rPr>
              <w:t>施工建设</w:t>
            </w: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6"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AC0334" w:rsidP="001D482D">
            <w:pPr>
              <w:spacing w:line="360" w:lineRule="exact"/>
              <w:jc w:val="center"/>
              <w:rPr>
                <w:color w:val="000000"/>
                <w:sz w:val="21"/>
                <w:szCs w:val="21"/>
              </w:rPr>
            </w:pPr>
            <w:r>
              <w:rPr>
                <w:color w:val="000000"/>
                <w:sz w:val="21"/>
                <w:szCs w:val="21"/>
              </w:rPr>
              <w:t>-2SP</w:t>
            </w: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297" w:type="pct"/>
            <w:vAlign w:val="center"/>
          </w:tcPr>
          <w:p w:rsidR="00240BCE" w:rsidRDefault="00240BCE" w:rsidP="001D482D">
            <w:pPr>
              <w:spacing w:line="360" w:lineRule="exact"/>
              <w:jc w:val="center"/>
              <w:rPr>
                <w:color w:val="000000"/>
                <w:sz w:val="21"/>
                <w:szCs w:val="21"/>
              </w:rPr>
            </w:pPr>
          </w:p>
        </w:tc>
        <w:tc>
          <w:tcPr>
            <w:tcW w:w="300"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AC0334" w:rsidP="001D482D">
            <w:pPr>
              <w:spacing w:line="360" w:lineRule="exact"/>
              <w:jc w:val="center"/>
              <w:rPr>
                <w:color w:val="000000"/>
                <w:sz w:val="21"/>
                <w:szCs w:val="21"/>
              </w:rPr>
            </w:pPr>
            <w:r>
              <w:rPr>
                <w:color w:val="000000"/>
                <w:sz w:val="21"/>
                <w:szCs w:val="21"/>
              </w:rPr>
              <w:t>+2SP</w:t>
            </w:r>
          </w:p>
        </w:tc>
        <w:tc>
          <w:tcPr>
            <w:tcW w:w="328" w:type="pct"/>
            <w:vAlign w:val="center"/>
          </w:tcPr>
          <w:p w:rsidR="00240BCE" w:rsidRDefault="00240BCE" w:rsidP="001D482D">
            <w:pPr>
              <w:spacing w:line="360" w:lineRule="exact"/>
              <w:jc w:val="center"/>
              <w:rPr>
                <w:color w:val="000000"/>
                <w:sz w:val="21"/>
                <w:szCs w:val="21"/>
              </w:rPr>
            </w:pPr>
          </w:p>
        </w:tc>
        <w:tc>
          <w:tcPr>
            <w:tcW w:w="329"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406" w:type="pct"/>
            <w:vAlign w:val="center"/>
          </w:tcPr>
          <w:p w:rsidR="00240BCE" w:rsidRDefault="00AC0334" w:rsidP="001D482D">
            <w:pPr>
              <w:spacing w:line="360" w:lineRule="exact"/>
              <w:jc w:val="center"/>
              <w:rPr>
                <w:color w:val="000000"/>
                <w:sz w:val="21"/>
                <w:szCs w:val="21"/>
              </w:rPr>
            </w:pPr>
            <w:r>
              <w:rPr>
                <w:color w:val="000000"/>
                <w:sz w:val="21"/>
                <w:szCs w:val="21"/>
              </w:rPr>
              <w:t>-1SP</w:t>
            </w:r>
          </w:p>
        </w:tc>
        <w:tc>
          <w:tcPr>
            <w:tcW w:w="405" w:type="pct"/>
            <w:tcBorders>
              <w:right w:val="single" w:sz="12" w:space="0" w:color="auto"/>
            </w:tcBorders>
            <w:vAlign w:val="center"/>
          </w:tcPr>
          <w:p w:rsidR="00240BCE" w:rsidRDefault="00AC0334" w:rsidP="001D482D">
            <w:pPr>
              <w:spacing w:line="360" w:lineRule="exact"/>
              <w:jc w:val="center"/>
              <w:rPr>
                <w:color w:val="000000"/>
                <w:sz w:val="21"/>
                <w:szCs w:val="21"/>
              </w:rPr>
            </w:pPr>
            <w:r>
              <w:rPr>
                <w:color w:val="000000"/>
                <w:sz w:val="21"/>
                <w:szCs w:val="21"/>
              </w:rPr>
              <w:t>+1SP</w:t>
            </w:r>
          </w:p>
        </w:tc>
      </w:tr>
      <w:tr w:rsidR="00240BCE">
        <w:trPr>
          <w:jc w:val="center"/>
        </w:trPr>
        <w:tc>
          <w:tcPr>
            <w:tcW w:w="313" w:type="pct"/>
            <w:vMerge w:val="restart"/>
            <w:tcBorders>
              <w:left w:val="single" w:sz="12" w:space="0" w:color="auto"/>
            </w:tcBorders>
            <w:vAlign w:val="center"/>
          </w:tcPr>
          <w:p w:rsidR="00240BCE" w:rsidRDefault="00AC0334" w:rsidP="001D482D">
            <w:pPr>
              <w:spacing w:line="360" w:lineRule="exact"/>
              <w:jc w:val="center"/>
              <w:rPr>
                <w:color w:val="000000"/>
                <w:sz w:val="21"/>
                <w:szCs w:val="21"/>
              </w:rPr>
            </w:pPr>
            <w:r>
              <w:rPr>
                <w:color w:val="000000"/>
                <w:sz w:val="21"/>
                <w:szCs w:val="21"/>
              </w:rPr>
              <w:t>运</w:t>
            </w:r>
          </w:p>
          <w:p w:rsidR="00240BCE" w:rsidRDefault="00AC0334" w:rsidP="001D482D">
            <w:pPr>
              <w:spacing w:line="360" w:lineRule="exact"/>
              <w:jc w:val="center"/>
              <w:rPr>
                <w:color w:val="000000"/>
                <w:sz w:val="21"/>
                <w:szCs w:val="21"/>
              </w:rPr>
            </w:pPr>
            <w:r>
              <w:rPr>
                <w:color w:val="000000"/>
                <w:sz w:val="21"/>
                <w:szCs w:val="21"/>
              </w:rPr>
              <w:t>营</w:t>
            </w:r>
          </w:p>
          <w:p w:rsidR="00240BCE" w:rsidRDefault="00AC0334" w:rsidP="001D482D">
            <w:pPr>
              <w:spacing w:line="360" w:lineRule="exact"/>
              <w:jc w:val="center"/>
              <w:rPr>
                <w:color w:val="000000"/>
                <w:sz w:val="21"/>
                <w:szCs w:val="21"/>
              </w:rPr>
            </w:pPr>
            <w:r>
              <w:rPr>
                <w:color w:val="000000"/>
                <w:sz w:val="21"/>
                <w:szCs w:val="21"/>
              </w:rPr>
              <w:t>期</w:t>
            </w:r>
          </w:p>
        </w:tc>
        <w:tc>
          <w:tcPr>
            <w:tcW w:w="515" w:type="pct"/>
            <w:vAlign w:val="center"/>
          </w:tcPr>
          <w:p w:rsidR="00240BCE" w:rsidRDefault="00AC0334" w:rsidP="001D482D">
            <w:pPr>
              <w:spacing w:line="360" w:lineRule="exact"/>
              <w:jc w:val="center"/>
              <w:rPr>
                <w:color w:val="000000"/>
                <w:sz w:val="21"/>
                <w:szCs w:val="21"/>
              </w:rPr>
            </w:pPr>
            <w:r>
              <w:rPr>
                <w:color w:val="000000"/>
                <w:sz w:val="21"/>
                <w:szCs w:val="21"/>
              </w:rPr>
              <w:t>废气排放</w:t>
            </w: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6" w:type="pct"/>
            <w:vAlign w:val="center"/>
          </w:tcPr>
          <w:p w:rsidR="00240BCE" w:rsidRDefault="00240BCE" w:rsidP="001D482D">
            <w:pPr>
              <w:spacing w:line="360" w:lineRule="exact"/>
              <w:jc w:val="center"/>
              <w:rPr>
                <w:color w:val="000000"/>
                <w:sz w:val="21"/>
                <w:szCs w:val="21"/>
              </w:rPr>
            </w:pP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300"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329" w:type="pct"/>
            <w:vAlign w:val="center"/>
          </w:tcPr>
          <w:p w:rsidR="00240BCE" w:rsidRDefault="00240BCE" w:rsidP="001D482D">
            <w:pPr>
              <w:spacing w:line="360" w:lineRule="exact"/>
              <w:jc w:val="center"/>
              <w:rPr>
                <w:color w:val="000000"/>
                <w:sz w:val="21"/>
                <w:szCs w:val="21"/>
              </w:rPr>
            </w:pPr>
          </w:p>
        </w:tc>
        <w:tc>
          <w:tcPr>
            <w:tcW w:w="406" w:type="pct"/>
            <w:vAlign w:val="center"/>
          </w:tcPr>
          <w:p w:rsidR="00240BCE" w:rsidRDefault="00240BCE" w:rsidP="001D482D">
            <w:pPr>
              <w:spacing w:line="360" w:lineRule="exact"/>
              <w:jc w:val="center"/>
              <w:rPr>
                <w:color w:val="000000"/>
                <w:sz w:val="21"/>
                <w:szCs w:val="21"/>
              </w:rPr>
            </w:pPr>
          </w:p>
        </w:tc>
        <w:tc>
          <w:tcPr>
            <w:tcW w:w="405" w:type="pct"/>
            <w:tcBorders>
              <w:right w:val="single" w:sz="12" w:space="0" w:color="auto"/>
            </w:tcBorders>
            <w:vAlign w:val="center"/>
          </w:tcPr>
          <w:p w:rsidR="00240BCE" w:rsidRDefault="00240BCE" w:rsidP="001D482D">
            <w:pPr>
              <w:spacing w:line="360" w:lineRule="exact"/>
              <w:jc w:val="center"/>
              <w:rPr>
                <w:color w:val="000000"/>
                <w:sz w:val="21"/>
                <w:szCs w:val="21"/>
              </w:rPr>
            </w:pPr>
          </w:p>
        </w:tc>
      </w:tr>
      <w:tr w:rsidR="00240BCE">
        <w:trPr>
          <w:jc w:val="center"/>
        </w:trPr>
        <w:tc>
          <w:tcPr>
            <w:tcW w:w="313" w:type="pct"/>
            <w:vMerge/>
            <w:tcBorders>
              <w:left w:val="single" w:sz="12" w:space="0" w:color="auto"/>
            </w:tcBorders>
            <w:vAlign w:val="center"/>
          </w:tcPr>
          <w:p w:rsidR="00240BCE" w:rsidRDefault="00240BCE" w:rsidP="001D482D">
            <w:pPr>
              <w:spacing w:line="360" w:lineRule="exact"/>
              <w:jc w:val="center"/>
              <w:rPr>
                <w:color w:val="000000"/>
                <w:sz w:val="21"/>
                <w:szCs w:val="21"/>
              </w:rPr>
            </w:pPr>
          </w:p>
        </w:tc>
        <w:tc>
          <w:tcPr>
            <w:tcW w:w="515" w:type="pct"/>
            <w:vAlign w:val="center"/>
          </w:tcPr>
          <w:p w:rsidR="00240BCE" w:rsidRDefault="00AC0334" w:rsidP="001D482D">
            <w:pPr>
              <w:spacing w:line="360" w:lineRule="exact"/>
              <w:jc w:val="center"/>
              <w:rPr>
                <w:color w:val="000000"/>
                <w:sz w:val="21"/>
                <w:szCs w:val="21"/>
              </w:rPr>
            </w:pPr>
            <w:r>
              <w:rPr>
                <w:color w:val="000000"/>
                <w:sz w:val="21"/>
                <w:szCs w:val="21"/>
              </w:rPr>
              <w:t>废水排放</w:t>
            </w:r>
          </w:p>
        </w:tc>
        <w:tc>
          <w:tcPr>
            <w:tcW w:w="296" w:type="pct"/>
            <w:vAlign w:val="center"/>
          </w:tcPr>
          <w:p w:rsidR="00240BCE" w:rsidRDefault="00240BCE" w:rsidP="001D482D">
            <w:pPr>
              <w:spacing w:line="360" w:lineRule="exact"/>
              <w:jc w:val="center"/>
              <w:rPr>
                <w:color w:val="000000"/>
                <w:sz w:val="21"/>
                <w:szCs w:val="21"/>
              </w:rPr>
            </w:pP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300"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240BCE" w:rsidP="001D482D">
            <w:pPr>
              <w:spacing w:line="360" w:lineRule="exact"/>
              <w:jc w:val="center"/>
              <w:rPr>
                <w:color w:val="000000"/>
                <w:sz w:val="21"/>
                <w:szCs w:val="21"/>
              </w:rPr>
            </w:pPr>
          </w:p>
        </w:tc>
        <w:tc>
          <w:tcPr>
            <w:tcW w:w="329" w:type="pct"/>
            <w:vAlign w:val="center"/>
          </w:tcPr>
          <w:p w:rsidR="00240BCE" w:rsidRDefault="00240BCE" w:rsidP="001D482D">
            <w:pPr>
              <w:spacing w:line="360" w:lineRule="exact"/>
              <w:jc w:val="center"/>
              <w:rPr>
                <w:color w:val="000000"/>
                <w:sz w:val="21"/>
                <w:szCs w:val="21"/>
              </w:rPr>
            </w:pPr>
          </w:p>
        </w:tc>
        <w:tc>
          <w:tcPr>
            <w:tcW w:w="406" w:type="pct"/>
            <w:vAlign w:val="center"/>
          </w:tcPr>
          <w:p w:rsidR="00240BCE" w:rsidRDefault="00240BCE" w:rsidP="001D482D">
            <w:pPr>
              <w:spacing w:line="360" w:lineRule="exact"/>
              <w:jc w:val="center"/>
              <w:rPr>
                <w:color w:val="000000"/>
                <w:sz w:val="21"/>
                <w:szCs w:val="21"/>
              </w:rPr>
            </w:pPr>
          </w:p>
        </w:tc>
        <w:tc>
          <w:tcPr>
            <w:tcW w:w="405" w:type="pct"/>
            <w:tcBorders>
              <w:right w:val="single" w:sz="12" w:space="0" w:color="auto"/>
            </w:tcBorders>
            <w:vAlign w:val="center"/>
          </w:tcPr>
          <w:p w:rsidR="00240BCE" w:rsidRDefault="00240BCE" w:rsidP="001D482D">
            <w:pPr>
              <w:spacing w:line="360" w:lineRule="exact"/>
              <w:jc w:val="center"/>
              <w:rPr>
                <w:color w:val="000000"/>
                <w:sz w:val="21"/>
                <w:szCs w:val="21"/>
              </w:rPr>
            </w:pPr>
          </w:p>
        </w:tc>
      </w:tr>
      <w:tr w:rsidR="00240BCE">
        <w:trPr>
          <w:jc w:val="center"/>
        </w:trPr>
        <w:tc>
          <w:tcPr>
            <w:tcW w:w="313" w:type="pct"/>
            <w:vMerge/>
            <w:tcBorders>
              <w:left w:val="single" w:sz="12" w:space="0" w:color="auto"/>
            </w:tcBorders>
            <w:vAlign w:val="center"/>
          </w:tcPr>
          <w:p w:rsidR="00240BCE" w:rsidRDefault="00240BCE" w:rsidP="001D482D">
            <w:pPr>
              <w:spacing w:line="360" w:lineRule="exact"/>
              <w:jc w:val="center"/>
              <w:rPr>
                <w:color w:val="000000"/>
                <w:sz w:val="21"/>
                <w:szCs w:val="21"/>
              </w:rPr>
            </w:pPr>
          </w:p>
        </w:tc>
        <w:tc>
          <w:tcPr>
            <w:tcW w:w="515" w:type="pct"/>
            <w:vAlign w:val="center"/>
          </w:tcPr>
          <w:p w:rsidR="00240BCE" w:rsidRDefault="00AC0334" w:rsidP="001D482D">
            <w:pPr>
              <w:spacing w:line="360" w:lineRule="exact"/>
              <w:jc w:val="center"/>
              <w:rPr>
                <w:color w:val="000000"/>
                <w:sz w:val="21"/>
                <w:szCs w:val="21"/>
              </w:rPr>
            </w:pPr>
            <w:r>
              <w:rPr>
                <w:color w:val="000000"/>
                <w:sz w:val="21"/>
                <w:szCs w:val="21"/>
              </w:rPr>
              <w:t>噪声</w:t>
            </w:r>
          </w:p>
        </w:tc>
        <w:tc>
          <w:tcPr>
            <w:tcW w:w="296" w:type="pct"/>
            <w:vAlign w:val="center"/>
          </w:tcPr>
          <w:p w:rsidR="00240BCE" w:rsidRDefault="00240BCE" w:rsidP="001D482D">
            <w:pPr>
              <w:spacing w:line="360" w:lineRule="exact"/>
              <w:jc w:val="center"/>
              <w:rPr>
                <w:color w:val="000000"/>
                <w:sz w:val="21"/>
                <w:szCs w:val="21"/>
              </w:rPr>
            </w:pPr>
          </w:p>
        </w:tc>
        <w:tc>
          <w:tcPr>
            <w:tcW w:w="296" w:type="pct"/>
            <w:vAlign w:val="center"/>
          </w:tcPr>
          <w:p w:rsidR="00240BCE" w:rsidRDefault="00240BCE" w:rsidP="001D482D">
            <w:pPr>
              <w:spacing w:line="360" w:lineRule="exact"/>
              <w:jc w:val="center"/>
              <w:rPr>
                <w:color w:val="000000"/>
                <w:sz w:val="21"/>
                <w:szCs w:val="21"/>
              </w:rPr>
            </w:pPr>
          </w:p>
        </w:tc>
        <w:tc>
          <w:tcPr>
            <w:tcW w:w="296"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AC0334" w:rsidP="001D482D">
            <w:pPr>
              <w:spacing w:line="360" w:lineRule="exact"/>
              <w:jc w:val="center"/>
              <w:rPr>
                <w:color w:val="000000"/>
                <w:sz w:val="21"/>
                <w:szCs w:val="21"/>
              </w:rPr>
            </w:pPr>
            <w:r>
              <w:rPr>
                <w:color w:val="000000"/>
                <w:sz w:val="21"/>
                <w:szCs w:val="21"/>
              </w:rPr>
              <w:t>-2LP</w:t>
            </w: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300"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240BCE" w:rsidP="001D482D">
            <w:pPr>
              <w:spacing w:line="360" w:lineRule="exact"/>
              <w:jc w:val="center"/>
              <w:rPr>
                <w:color w:val="000000"/>
                <w:sz w:val="21"/>
                <w:szCs w:val="21"/>
              </w:rPr>
            </w:pPr>
          </w:p>
        </w:tc>
        <w:tc>
          <w:tcPr>
            <w:tcW w:w="329" w:type="pct"/>
            <w:vAlign w:val="center"/>
          </w:tcPr>
          <w:p w:rsidR="00240BCE" w:rsidRDefault="00240BCE" w:rsidP="001D482D">
            <w:pPr>
              <w:spacing w:line="360" w:lineRule="exact"/>
              <w:jc w:val="center"/>
              <w:rPr>
                <w:color w:val="000000"/>
                <w:sz w:val="21"/>
                <w:szCs w:val="21"/>
              </w:rPr>
            </w:pPr>
          </w:p>
        </w:tc>
        <w:tc>
          <w:tcPr>
            <w:tcW w:w="406" w:type="pct"/>
            <w:vAlign w:val="center"/>
          </w:tcPr>
          <w:p w:rsidR="00240BCE" w:rsidRDefault="00240BCE" w:rsidP="001D482D">
            <w:pPr>
              <w:spacing w:line="360" w:lineRule="exact"/>
              <w:jc w:val="center"/>
              <w:rPr>
                <w:color w:val="000000"/>
                <w:sz w:val="21"/>
                <w:szCs w:val="21"/>
              </w:rPr>
            </w:pPr>
          </w:p>
        </w:tc>
        <w:tc>
          <w:tcPr>
            <w:tcW w:w="405" w:type="pct"/>
            <w:tcBorders>
              <w:right w:val="single" w:sz="12" w:space="0" w:color="auto"/>
            </w:tcBorders>
            <w:vAlign w:val="center"/>
          </w:tcPr>
          <w:p w:rsidR="00240BCE" w:rsidRDefault="00240BCE" w:rsidP="001D482D">
            <w:pPr>
              <w:spacing w:line="360" w:lineRule="exact"/>
              <w:jc w:val="center"/>
              <w:rPr>
                <w:color w:val="000000"/>
                <w:sz w:val="21"/>
                <w:szCs w:val="21"/>
              </w:rPr>
            </w:pPr>
          </w:p>
        </w:tc>
      </w:tr>
      <w:tr w:rsidR="00240BCE">
        <w:trPr>
          <w:jc w:val="center"/>
        </w:trPr>
        <w:tc>
          <w:tcPr>
            <w:tcW w:w="313" w:type="pct"/>
            <w:vMerge/>
            <w:tcBorders>
              <w:left w:val="single" w:sz="12" w:space="0" w:color="auto"/>
            </w:tcBorders>
            <w:vAlign w:val="center"/>
          </w:tcPr>
          <w:p w:rsidR="00240BCE" w:rsidRDefault="00240BCE" w:rsidP="001D482D">
            <w:pPr>
              <w:spacing w:line="360" w:lineRule="exact"/>
              <w:jc w:val="center"/>
              <w:rPr>
                <w:color w:val="000000"/>
                <w:sz w:val="21"/>
                <w:szCs w:val="21"/>
              </w:rPr>
            </w:pPr>
          </w:p>
        </w:tc>
        <w:tc>
          <w:tcPr>
            <w:tcW w:w="515" w:type="pct"/>
            <w:vAlign w:val="center"/>
          </w:tcPr>
          <w:p w:rsidR="00240BCE" w:rsidRDefault="00AC0334" w:rsidP="001D482D">
            <w:pPr>
              <w:spacing w:line="360" w:lineRule="exact"/>
              <w:jc w:val="center"/>
              <w:rPr>
                <w:color w:val="000000"/>
                <w:sz w:val="21"/>
                <w:szCs w:val="21"/>
              </w:rPr>
            </w:pPr>
            <w:r>
              <w:rPr>
                <w:color w:val="000000"/>
                <w:sz w:val="21"/>
                <w:szCs w:val="21"/>
              </w:rPr>
              <w:t>固体废物</w:t>
            </w:r>
          </w:p>
        </w:tc>
        <w:tc>
          <w:tcPr>
            <w:tcW w:w="296" w:type="pct"/>
            <w:vAlign w:val="center"/>
          </w:tcPr>
          <w:p w:rsidR="00240BCE" w:rsidRDefault="00240BCE" w:rsidP="001D482D">
            <w:pPr>
              <w:spacing w:line="360" w:lineRule="exact"/>
              <w:jc w:val="center"/>
              <w:rPr>
                <w:color w:val="000000"/>
                <w:sz w:val="21"/>
                <w:szCs w:val="21"/>
              </w:rPr>
            </w:pP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300"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240BCE" w:rsidP="001D482D">
            <w:pPr>
              <w:spacing w:line="360" w:lineRule="exact"/>
              <w:jc w:val="center"/>
              <w:rPr>
                <w:color w:val="000000"/>
                <w:sz w:val="21"/>
                <w:szCs w:val="21"/>
              </w:rPr>
            </w:pPr>
          </w:p>
        </w:tc>
        <w:tc>
          <w:tcPr>
            <w:tcW w:w="329" w:type="pct"/>
            <w:vAlign w:val="center"/>
          </w:tcPr>
          <w:p w:rsidR="00240BCE" w:rsidRDefault="00240BCE" w:rsidP="001D482D">
            <w:pPr>
              <w:spacing w:line="360" w:lineRule="exact"/>
              <w:jc w:val="center"/>
              <w:rPr>
                <w:color w:val="000000"/>
                <w:sz w:val="21"/>
                <w:szCs w:val="21"/>
              </w:rPr>
            </w:pPr>
          </w:p>
        </w:tc>
        <w:tc>
          <w:tcPr>
            <w:tcW w:w="406" w:type="pct"/>
            <w:vAlign w:val="center"/>
          </w:tcPr>
          <w:p w:rsidR="00240BCE" w:rsidRDefault="00240BCE" w:rsidP="001D482D">
            <w:pPr>
              <w:spacing w:line="360" w:lineRule="exact"/>
              <w:jc w:val="center"/>
              <w:rPr>
                <w:color w:val="000000"/>
                <w:sz w:val="21"/>
                <w:szCs w:val="21"/>
              </w:rPr>
            </w:pPr>
          </w:p>
        </w:tc>
        <w:tc>
          <w:tcPr>
            <w:tcW w:w="405" w:type="pct"/>
            <w:tcBorders>
              <w:right w:val="single" w:sz="12" w:space="0" w:color="auto"/>
            </w:tcBorders>
            <w:vAlign w:val="center"/>
          </w:tcPr>
          <w:p w:rsidR="00240BCE" w:rsidRDefault="00240BCE" w:rsidP="001D482D">
            <w:pPr>
              <w:spacing w:line="360" w:lineRule="exact"/>
              <w:jc w:val="center"/>
              <w:rPr>
                <w:color w:val="000000"/>
                <w:sz w:val="21"/>
                <w:szCs w:val="21"/>
              </w:rPr>
            </w:pPr>
          </w:p>
        </w:tc>
      </w:tr>
      <w:tr w:rsidR="00240BCE">
        <w:trPr>
          <w:jc w:val="center"/>
        </w:trPr>
        <w:tc>
          <w:tcPr>
            <w:tcW w:w="313" w:type="pct"/>
            <w:vMerge/>
            <w:tcBorders>
              <w:left w:val="single" w:sz="12" w:space="0" w:color="auto"/>
            </w:tcBorders>
            <w:vAlign w:val="center"/>
          </w:tcPr>
          <w:p w:rsidR="00240BCE" w:rsidRDefault="00240BCE" w:rsidP="001D482D">
            <w:pPr>
              <w:spacing w:line="360" w:lineRule="exact"/>
              <w:jc w:val="center"/>
              <w:rPr>
                <w:color w:val="000000"/>
                <w:sz w:val="21"/>
                <w:szCs w:val="21"/>
              </w:rPr>
            </w:pPr>
          </w:p>
        </w:tc>
        <w:tc>
          <w:tcPr>
            <w:tcW w:w="515" w:type="pct"/>
            <w:vAlign w:val="center"/>
          </w:tcPr>
          <w:p w:rsidR="00240BCE" w:rsidRDefault="00AC0334" w:rsidP="001D482D">
            <w:pPr>
              <w:spacing w:line="360" w:lineRule="exact"/>
              <w:jc w:val="center"/>
              <w:rPr>
                <w:color w:val="000000"/>
                <w:sz w:val="21"/>
                <w:szCs w:val="21"/>
              </w:rPr>
            </w:pPr>
            <w:r>
              <w:rPr>
                <w:color w:val="000000"/>
                <w:sz w:val="21"/>
                <w:szCs w:val="21"/>
              </w:rPr>
              <w:t>煤炭开采</w:t>
            </w:r>
          </w:p>
        </w:tc>
        <w:tc>
          <w:tcPr>
            <w:tcW w:w="296" w:type="pct"/>
            <w:vAlign w:val="center"/>
          </w:tcPr>
          <w:p w:rsidR="00240BCE" w:rsidRDefault="00240BCE" w:rsidP="001D482D">
            <w:pPr>
              <w:spacing w:line="360" w:lineRule="exact"/>
              <w:jc w:val="center"/>
              <w:rPr>
                <w:color w:val="000000"/>
                <w:sz w:val="21"/>
                <w:szCs w:val="21"/>
              </w:rPr>
            </w:pP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6"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7" w:type="pct"/>
            <w:vAlign w:val="center"/>
          </w:tcPr>
          <w:p w:rsidR="00240BCE" w:rsidRDefault="00240BCE" w:rsidP="001D482D">
            <w:pPr>
              <w:spacing w:line="360" w:lineRule="exact"/>
              <w:jc w:val="center"/>
              <w:rPr>
                <w:color w:val="000000"/>
                <w:sz w:val="21"/>
                <w:szCs w:val="21"/>
              </w:rPr>
            </w:pPr>
          </w:p>
        </w:tc>
        <w:tc>
          <w:tcPr>
            <w:tcW w:w="297"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7"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7"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300" w:type="pct"/>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328" w:type="pct"/>
            <w:vAlign w:val="center"/>
          </w:tcPr>
          <w:p w:rsidR="00240BCE" w:rsidRDefault="00240BCE" w:rsidP="001D482D">
            <w:pPr>
              <w:spacing w:line="360" w:lineRule="exact"/>
              <w:jc w:val="center"/>
              <w:rPr>
                <w:color w:val="000000"/>
                <w:sz w:val="21"/>
                <w:szCs w:val="21"/>
              </w:rPr>
            </w:pPr>
          </w:p>
        </w:tc>
        <w:tc>
          <w:tcPr>
            <w:tcW w:w="328" w:type="pct"/>
            <w:vAlign w:val="center"/>
          </w:tcPr>
          <w:p w:rsidR="00240BCE" w:rsidRDefault="00240BCE" w:rsidP="001D482D">
            <w:pPr>
              <w:spacing w:line="360" w:lineRule="exact"/>
              <w:jc w:val="center"/>
              <w:rPr>
                <w:color w:val="000000"/>
                <w:sz w:val="21"/>
                <w:szCs w:val="21"/>
              </w:rPr>
            </w:pPr>
          </w:p>
        </w:tc>
        <w:tc>
          <w:tcPr>
            <w:tcW w:w="329" w:type="pct"/>
            <w:vAlign w:val="center"/>
          </w:tcPr>
          <w:p w:rsidR="00240BCE" w:rsidRDefault="00240BCE" w:rsidP="001D482D">
            <w:pPr>
              <w:spacing w:line="360" w:lineRule="exact"/>
              <w:jc w:val="center"/>
              <w:rPr>
                <w:color w:val="000000"/>
                <w:sz w:val="21"/>
                <w:szCs w:val="21"/>
              </w:rPr>
            </w:pPr>
          </w:p>
        </w:tc>
        <w:tc>
          <w:tcPr>
            <w:tcW w:w="406" w:type="pct"/>
            <w:vAlign w:val="center"/>
          </w:tcPr>
          <w:p w:rsidR="00240BCE" w:rsidRDefault="00240BCE" w:rsidP="001D482D">
            <w:pPr>
              <w:spacing w:line="360" w:lineRule="exact"/>
              <w:jc w:val="center"/>
              <w:rPr>
                <w:color w:val="000000"/>
                <w:sz w:val="21"/>
                <w:szCs w:val="21"/>
              </w:rPr>
            </w:pPr>
          </w:p>
        </w:tc>
        <w:tc>
          <w:tcPr>
            <w:tcW w:w="405" w:type="pct"/>
            <w:tcBorders>
              <w:right w:val="single" w:sz="12" w:space="0" w:color="auto"/>
            </w:tcBorders>
            <w:vAlign w:val="center"/>
          </w:tcPr>
          <w:p w:rsidR="00240BCE" w:rsidRDefault="00240BCE" w:rsidP="001D482D">
            <w:pPr>
              <w:spacing w:line="360" w:lineRule="exact"/>
              <w:jc w:val="center"/>
              <w:rPr>
                <w:color w:val="000000"/>
                <w:sz w:val="21"/>
                <w:szCs w:val="21"/>
              </w:rPr>
            </w:pPr>
          </w:p>
        </w:tc>
      </w:tr>
      <w:tr w:rsidR="00240BCE">
        <w:trPr>
          <w:jc w:val="center"/>
        </w:trPr>
        <w:tc>
          <w:tcPr>
            <w:tcW w:w="828" w:type="pct"/>
            <w:gridSpan w:val="2"/>
            <w:tcBorders>
              <w:left w:val="single" w:sz="12" w:space="0" w:color="auto"/>
              <w:bottom w:val="single" w:sz="4" w:space="0" w:color="auto"/>
            </w:tcBorders>
            <w:vAlign w:val="center"/>
          </w:tcPr>
          <w:p w:rsidR="00240BCE" w:rsidRDefault="00AC0334" w:rsidP="001D482D">
            <w:pPr>
              <w:spacing w:line="360" w:lineRule="exact"/>
              <w:jc w:val="center"/>
              <w:rPr>
                <w:color w:val="000000"/>
                <w:sz w:val="21"/>
                <w:szCs w:val="21"/>
              </w:rPr>
            </w:pPr>
            <w:r>
              <w:rPr>
                <w:color w:val="000000"/>
                <w:sz w:val="21"/>
                <w:szCs w:val="21"/>
              </w:rPr>
              <w:t>闭矿期</w:t>
            </w:r>
          </w:p>
        </w:tc>
        <w:tc>
          <w:tcPr>
            <w:tcW w:w="296" w:type="pct"/>
            <w:tcBorders>
              <w:bottom w:val="single" w:sz="4" w:space="0" w:color="auto"/>
            </w:tcBorders>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6" w:type="pct"/>
            <w:tcBorders>
              <w:bottom w:val="single" w:sz="4" w:space="0" w:color="auto"/>
            </w:tcBorders>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6" w:type="pct"/>
            <w:tcBorders>
              <w:bottom w:val="single" w:sz="4" w:space="0" w:color="auto"/>
            </w:tcBorders>
            <w:vAlign w:val="center"/>
          </w:tcPr>
          <w:p w:rsidR="00240BCE" w:rsidRDefault="00240BCE" w:rsidP="001D482D">
            <w:pPr>
              <w:spacing w:line="360" w:lineRule="exact"/>
              <w:jc w:val="center"/>
              <w:rPr>
                <w:color w:val="000000"/>
                <w:sz w:val="21"/>
                <w:szCs w:val="21"/>
              </w:rPr>
            </w:pPr>
          </w:p>
        </w:tc>
        <w:tc>
          <w:tcPr>
            <w:tcW w:w="297" w:type="pct"/>
            <w:tcBorders>
              <w:bottom w:val="single" w:sz="4" w:space="0" w:color="auto"/>
            </w:tcBorders>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7" w:type="pct"/>
            <w:tcBorders>
              <w:bottom w:val="single" w:sz="4" w:space="0" w:color="auto"/>
            </w:tcBorders>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297" w:type="pct"/>
            <w:tcBorders>
              <w:bottom w:val="single" w:sz="4" w:space="0" w:color="auto"/>
            </w:tcBorders>
            <w:vAlign w:val="center"/>
          </w:tcPr>
          <w:p w:rsidR="00240BCE" w:rsidRDefault="00240BCE" w:rsidP="001D482D">
            <w:pPr>
              <w:spacing w:line="360" w:lineRule="exact"/>
              <w:jc w:val="center"/>
              <w:rPr>
                <w:color w:val="000000"/>
                <w:sz w:val="21"/>
                <w:szCs w:val="21"/>
              </w:rPr>
            </w:pPr>
          </w:p>
        </w:tc>
        <w:tc>
          <w:tcPr>
            <w:tcW w:w="297" w:type="pct"/>
            <w:tcBorders>
              <w:bottom w:val="single" w:sz="4" w:space="0" w:color="auto"/>
            </w:tcBorders>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300" w:type="pct"/>
            <w:tcBorders>
              <w:bottom w:val="single" w:sz="4" w:space="0" w:color="auto"/>
            </w:tcBorders>
            <w:vAlign w:val="center"/>
          </w:tcPr>
          <w:p w:rsidR="00240BCE" w:rsidRDefault="00240BCE" w:rsidP="001D482D">
            <w:pPr>
              <w:spacing w:line="360" w:lineRule="exact"/>
              <w:jc w:val="center"/>
              <w:rPr>
                <w:color w:val="000000"/>
                <w:sz w:val="21"/>
                <w:szCs w:val="21"/>
              </w:rPr>
            </w:pPr>
          </w:p>
        </w:tc>
        <w:tc>
          <w:tcPr>
            <w:tcW w:w="328" w:type="pct"/>
            <w:tcBorders>
              <w:bottom w:val="single" w:sz="4" w:space="0" w:color="auto"/>
            </w:tcBorders>
            <w:vAlign w:val="center"/>
          </w:tcPr>
          <w:p w:rsidR="00240BCE" w:rsidRDefault="00240BCE" w:rsidP="001D482D">
            <w:pPr>
              <w:spacing w:line="360" w:lineRule="exact"/>
              <w:jc w:val="center"/>
              <w:rPr>
                <w:color w:val="000000"/>
                <w:sz w:val="21"/>
                <w:szCs w:val="21"/>
              </w:rPr>
            </w:pPr>
          </w:p>
        </w:tc>
        <w:tc>
          <w:tcPr>
            <w:tcW w:w="328" w:type="pct"/>
            <w:tcBorders>
              <w:bottom w:val="single" w:sz="4" w:space="0" w:color="auto"/>
            </w:tcBorders>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329" w:type="pct"/>
            <w:tcBorders>
              <w:bottom w:val="single" w:sz="4" w:space="0" w:color="auto"/>
            </w:tcBorders>
            <w:vAlign w:val="center"/>
          </w:tcPr>
          <w:p w:rsidR="00240BCE" w:rsidRDefault="00240BCE" w:rsidP="001D482D">
            <w:pPr>
              <w:spacing w:line="360" w:lineRule="exact"/>
              <w:jc w:val="center"/>
              <w:rPr>
                <w:color w:val="000000"/>
                <w:sz w:val="21"/>
                <w:szCs w:val="21"/>
              </w:rPr>
            </w:pPr>
          </w:p>
        </w:tc>
        <w:tc>
          <w:tcPr>
            <w:tcW w:w="406" w:type="pct"/>
            <w:tcBorders>
              <w:bottom w:val="single" w:sz="4" w:space="0" w:color="auto"/>
            </w:tcBorders>
            <w:vAlign w:val="center"/>
          </w:tcPr>
          <w:p w:rsidR="00240BCE" w:rsidRDefault="00AC0334" w:rsidP="001D482D">
            <w:pPr>
              <w:spacing w:line="360" w:lineRule="exact"/>
              <w:jc w:val="center"/>
              <w:rPr>
                <w:color w:val="000000"/>
                <w:sz w:val="21"/>
                <w:szCs w:val="21"/>
              </w:rPr>
            </w:pPr>
            <w:r>
              <w:rPr>
                <w:color w:val="000000"/>
                <w:sz w:val="21"/>
                <w:szCs w:val="21"/>
              </w:rPr>
              <w:t>+1LP</w:t>
            </w:r>
          </w:p>
        </w:tc>
        <w:tc>
          <w:tcPr>
            <w:tcW w:w="405" w:type="pct"/>
            <w:tcBorders>
              <w:bottom w:val="single" w:sz="4" w:space="0" w:color="auto"/>
              <w:right w:val="single" w:sz="12" w:space="0" w:color="auto"/>
            </w:tcBorders>
            <w:vAlign w:val="center"/>
          </w:tcPr>
          <w:p w:rsidR="00240BCE" w:rsidRDefault="00240BCE" w:rsidP="001D482D">
            <w:pPr>
              <w:spacing w:line="360" w:lineRule="exact"/>
              <w:jc w:val="center"/>
              <w:rPr>
                <w:color w:val="000000"/>
                <w:sz w:val="21"/>
                <w:szCs w:val="21"/>
              </w:rPr>
            </w:pPr>
          </w:p>
        </w:tc>
      </w:tr>
      <w:tr w:rsidR="00240BCE">
        <w:trPr>
          <w:jc w:val="center"/>
        </w:trPr>
        <w:tc>
          <w:tcPr>
            <w:tcW w:w="5000" w:type="pct"/>
            <w:gridSpan w:val="15"/>
            <w:tcBorders>
              <w:left w:val="single" w:sz="12" w:space="0" w:color="auto"/>
              <w:bottom w:val="single" w:sz="12" w:space="0" w:color="auto"/>
              <w:right w:val="single" w:sz="12" w:space="0" w:color="auto"/>
            </w:tcBorders>
            <w:vAlign w:val="center"/>
          </w:tcPr>
          <w:p w:rsidR="00240BCE" w:rsidRDefault="00AC0334" w:rsidP="001D482D">
            <w:pPr>
              <w:spacing w:line="360" w:lineRule="exact"/>
              <w:rPr>
                <w:color w:val="000000"/>
                <w:sz w:val="21"/>
                <w:szCs w:val="21"/>
              </w:rPr>
            </w:pPr>
            <w:r>
              <w:rPr>
                <w:color w:val="000000"/>
                <w:sz w:val="21"/>
                <w:szCs w:val="21"/>
              </w:rPr>
              <w:t>注：影响性质：</w:t>
            </w:r>
            <w:r>
              <w:rPr>
                <w:color w:val="000000"/>
                <w:sz w:val="21"/>
                <w:szCs w:val="21"/>
              </w:rPr>
              <w:t>“-”——</w:t>
            </w:r>
            <w:r>
              <w:rPr>
                <w:color w:val="000000"/>
                <w:sz w:val="21"/>
                <w:szCs w:val="21"/>
              </w:rPr>
              <w:t>不利；</w:t>
            </w:r>
            <w:r>
              <w:rPr>
                <w:color w:val="000000"/>
                <w:sz w:val="21"/>
                <w:szCs w:val="21"/>
              </w:rPr>
              <w:t>“+”——</w:t>
            </w:r>
            <w:r>
              <w:rPr>
                <w:color w:val="000000"/>
                <w:sz w:val="21"/>
                <w:szCs w:val="21"/>
              </w:rPr>
              <w:t>有利。</w:t>
            </w:r>
          </w:p>
          <w:p w:rsidR="00240BCE" w:rsidRDefault="00AC0334" w:rsidP="001D482D">
            <w:pPr>
              <w:spacing w:line="360" w:lineRule="exact"/>
              <w:ind w:firstLineChars="200" w:firstLine="420"/>
              <w:rPr>
                <w:color w:val="000000"/>
                <w:sz w:val="21"/>
                <w:szCs w:val="21"/>
              </w:rPr>
            </w:pPr>
            <w:r>
              <w:rPr>
                <w:color w:val="000000"/>
                <w:sz w:val="21"/>
                <w:szCs w:val="21"/>
              </w:rPr>
              <w:t>影响程度：</w:t>
            </w:r>
            <w:r>
              <w:rPr>
                <w:color w:val="000000"/>
                <w:sz w:val="21"/>
                <w:szCs w:val="21"/>
              </w:rPr>
              <w:t>“1”——</w:t>
            </w:r>
            <w:r>
              <w:rPr>
                <w:color w:val="000000"/>
                <w:sz w:val="21"/>
                <w:szCs w:val="21"/>
              </w:rPr>
              <w:t>轻微；</w:t>
            </w:r>
            <w:r>
              <w:rPr>
                <w:color w:val="000000"/>
                <w:sz w:val="21"/>
                <w:szCs w:val="21"/>
              </w:rPr>
              <w:t>“2”——</w:t>
            </w:r>
            <w:r>
              <w:rPr>
                <w:color w:val="000000"/>
                <w:sz w:val="21"/>
                <w:szCs w:val="21"/>
              </w:rPr>
              <w:t>一般；</w:t>
            </w:r>
            <w:r>
              <w:rPr>
                <w:color w:val="000000"/>
                <w:sz w:val="21"/>
                <w:szCs w:val="21"/>
              </w:rPr>
              <w:t>“3”——</w:t>
            </w:r>
            <w:r>
              <w:rPr>
                <w:color w:val="000000"/>
                <w:sz w:val="21"/>
                <w:szCs w:val="21"/>
              </w:rPr>
              <w:t>显著。</w:t>
            </w:r>
          </w:p>
          <w:p w:rsidR="00240BCE" w:rsidRDefault="00AC0334" w:rsidP="001D482D">
            <w:pPr>
              <w:spacing w:line="360" w:lineRule="exact"/>
              <w:ind w:firstLineChars="200" w:firstLine="420"/>
              <w:rPr>
                <w:color w:val="000000"/>
                <w:sz w:val="21"/>
                <w:szCs w:val="21"/>
              </w:rPr>
            </w:pPr>
            <w:r>
              <w:rPr>
                <w:color w:val="000000"/>
                <w:sz w:val="21"/>
                <w:szCs w:val="21"/>
              </w:rPr>
              <w:t>影响时段：</w:t>
            </w:r>
            <w:r>
              <w:rPr>
                <w:color w:val="000000"/>
                <w:sz w:val="21"/>
                <w:szCs w:val="21"/>
              </w:rPr>
              <w:t>“S”——</w:t>
            </w:r>
            <w:r>
              <w:rPr>
                <w:color w:val="000000"/>
                <w:sz w:val="21"/>
                <w:szCs w:val="21"/>
              </w:rPr>
              <w:t>短期；</w:t>
            </w:r>
            <w:r>
              <w:rPr>
                <w:color w:val="000000"/>
                <w:sz w:val="21"/>
                <w:szCs w:val="21"/>
              </w:rPr>
              <w:t>“L”——</w:t>
            </w:r>
            <w:r>
              <w:rPr>
                <w:color w:val="000000"/>
                <w:sz w:val="21"/>
                <w:szCs w:val="21"/>
              </w:rPr>
              <w:t>长期。</w:t>
            </w:r>
          </w:p>
          <w:p w:rsidR="00240BCE" w:rsidRDefault="00AC0334" w:rsidP="001D482D">
            <w:pPr>
              <w:spacing w:line="360" w:lineRule="exact"/>
              <w:ind w:firstLineChars="200" w:firstLine="420"/>
              <w:rPr>
                <w:color w:val="000000"/>
                <w:sz w:val="21"/>
                <w:szCs w:val="21"/>
              </w:rPr>
            </w:pPr>
            <w:r>
              <w:rPr>
                <w:color w:val="000000"/>
                <w:sz w:val="21"/>
                <w:szCs w:val="21"/>
              </w:rPr>
              <w:t>影响范围：</w:t>
            </w:r>
            <w:r>
              <w:rPr>
                <w:color w:val="000000"/>
                <w:sz w:val="21"/>
                <w:szCs w:val="21"/>
              </w:rPr>
              <w:t>“P”——</w:t>
            </w:r>
            <w:r>
              <w:rPr>
                <w:color w:val="000000"/>
                <w:sz w:val="21"/>
                <w:szCs w:val="21"/>
              </w:rPr>
              <w:t>局部；</w:t>
            </w:r>
            <w:r>
              <w:rPr>
                <w:color w:val="000000"/>
                <w:sz w:val="21"/>
                <w:szCs w:val="21"/>
              </w:rPr>
              <w:t>“W”——</w:t>
            </w:r>
            <w:r>
              <w:rPr>
                <w:color w:val="000000"/>
                <w:sz w:val="21"/>
                <w:szCs w:val="21"/>
              </w:rPr>
              <w:t>大范围。</w:t>
            </w:r>
          </w:p>
        </w:tc>
      </w:tr>
    </w:tbl>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83" w:name="_Toc28997_WPSOffice_Level3"/>
      <w:bookmarkStart w:id="84" w:name="_Toc215379621"/>
      <w:bookmarkStart w:id="85" w:name="_Toc172346639"/>
      <w:bookmarkStart w:id="86" w:name="_Toc184053567"/>
      <w:bookmarkStart w:id="87" w:name="_Toc198718997"/>
      <w:bookmarkStart w:id="88" w:name="_Toc215379928"/>
      <w:r>
        <w:rPr>
          <w:rFonts w:eastAsia="楷体" w:cs="Times New Roman"/>
          <w:b/>
          <w:szCs w:val="28"/>
          <w:lang w:val="de-DE"/>
        </w:rPr>
        <w:t xml:space="preserve">2.4.2 </w:t>
      </w:r>
      <w:r>
        <w:rPr>
          <w:rFonts w:eastAsia="楷体" w:cs="Times New Roman"/>
          <w:b/>
          <w:szCs w:val="28"/>
          <w:lang w:val="de-DE"/>
        </w:rPr>
        <w:t>评价因子筛选</w:t>
      </w:r>
      <w:bookmarkEnd w:id="83"/>
    </w:p>
    <w:p w:rsidR="00240BCE" w:rsidRDefault="00AC0334">
      <w:pPr>
        <w:pStyle w:val="44"/>
        <w:rPr>
          <w:color w:val="000000"/>
        </w:rPr>
      </w:pPr>
      <w:r>
        <w:rPr>
          <w:color w:val="000000"/>
        </w:rPr>
        <w:t>根据环境影响因素识别结果，结合建设项目工程特征、排污种类、排污去向及周围地区环境质量状况，确定本次评价因子包括工程污染排放因子、现状调查评价因子和预测评价因子，评价因子见表</w:t>
      </w:r>
      <w:r>
        <w:rPr>
          <w:color w:val="000000"/>
        </w:rPr>
        <w:t>2.4-2</w:t>
      </w:r>
      <w:r>
        <w:rPr>
          <w:color w:val="000000"/>
        </w:rPr>
        <w:t>。</w:t>
      </w:r>
    </w:p>
    <w:p w:rsidR="008802CA" w:rsidRDefault="008802CA">
      <w:pPr>
        <w:pStyle w:val="44"/>
        <w:ind w:firstLineChars="0" w:firstLine="0"/>
        <w:jc w:val="center"/>
        <w:rPr>
          <w:color w:val="000000"/>
        </w:rPr>
      </w:pPr>
    </w:p>
    <w:p w:rsidR="008802CA" w:rsidRDefault="008802CA">
      <w:pPr>
        <w:pStyle w:val="44"/>
        <w:ind w:firstLineChars="0" w:firstLine="0"/>
        <w:jc w:val="center"/>
        <w:rPr>
          <w:color w:val="000000"/>
        </w:rPr>
      </w:pPr>
    </w:p>
    <w:p w:rsidR="008802CA" w:rsidRDefault="008802CA">
      <w:pPr>
        <w:pStyle w:val="44"/>
        <w:ind w:firstLineChars="0" w:firstLine="0"/>
        <w:jc w:val="center"/>
        <w:rPr>
          <w:color w:val="000000"/>
        </w:rPr>
      </w:pPr>
    </w:p>
    <w:p w:rsidR="008802CA" w:rsidRDefault="008802CA">
      <w:pPr>
        <w:pStyle w:val="44"/>
        <w:ind w:firstLineChars="0" w:firstLine="0"/>
        <w:jc w:val="center"/>
        <w:rPr>
          <w:color w:val="000000"/>
        </w:rPr>
      </w:pPr>
    </w:p>
    <w:p w:rsidR="00240BCE" w:rsidRDefault="00AC0334">
      <w:pPr>
        <w:pStyle w:val="44"/>
        <w:ind w:firstLineChars="0" w:firstLine="0"/>
        <w:jc w:val="center"/>
        <w:rPr>
          <w:color w:val="000000"/>
        </w:rPr>
      </w:pPr>
      <w:r>
        <w:rPr>
          <w:color w:val="000000"/>
        </w:rPr>
        <w:lastRenderedPageBreak/>
        <w:t>表</w:t>
      </w:r>
      <w:r>
        <w:rPr>
          <w:color w:val="000000"/>
        </w:rPr>
        <w:t xml:space="preserve">2.4-2        </w:t>
      </w:r>
      <w:r>
        <w:rPr>
          <w:color w:val="000000"/>
        </w:rPr>
        <w:t>评价因子一览表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478"/>
        <w:gridCol w:w="4064"/>
        <w:gridCol w:w="3178"/>
      </w:tblGrid>
      <w:tr w:rsidR="00240BCE">
        <w:trPr>
          <w:trHeight w:val="470"/>
          <w:jc w:val="center"/>
        </w:trPr>
        <w:tc>
          <w:tcPr>
            <w:tcW w:w="848" w:type="pct"/>
            <w:vAlign w:val="center"/>
          </w:tcPr>
          <w:p w:rsidR="00240BCE" w:rsidRDefault="00AC0334" w:rsidP="001D482D">
            <w:pPr>
              <w:spacing w:line="360" w:lineRule="exact"/>
              <w:jc w:val="center"/>
              <w:rPr>
                <w:color w:val="000000"/>
                <w:sz w:val="21"/>
                <w:szCs w:val="21"/>
              </w:rPr>
            </w:pPr>
            <w:r>
              <w:rPr>
                <w:color w:val="000000"/>
                <w:sz w:val="21"/>
                <w:szCs w:val="21"/>
              </w:rPr>
              <w:t>环境要素</w:t>
            </w:r>
          </w:p>
        </w:tc>
        <w:tc>
          <w:tcPr>
            <w:tcW w:w="2330" w:type="pct"/>
            <w:vAlign w:val="center"/>
          </w:tcPr>
          <w:p w:rsidR="00240BCE" w:rsidRDefault="00AC0334" w:rsidP="001D482D">
            <w:pPr>
              <w:spacing w:line="360" w:lineRule="exact"/>
              <w:jc w:val="center"/>
              <w:rPr>
                <w:color w:val="000000"/>
                <w:sz w:val="21"/>
                <w:szCs w:val="21"/>
              </w:rPr>
            </w:pPr>
            <w:r>
              <w:rPr>
                <w:color w:val="000000"/>
                <w:sz w:val="21"/>
                <w:szCs w:val="21"/>
              </w:rPr>
              <w:t>现状调查评价因子</w:t>
            </w:r>
          </w:p>
        </w:tc>
        <w:tc>
          <w:tcPr>
            <w:tcW w:w="1822" w:type="pct"/>
            <w:vAlign w:val="center"/>
          </w:tcPr>
          <w:p w:rsidR="00240BCE" w:rsidRDefault="00AC0334" w:rsidP="001D482D">
            <w:pPr>
              <w:spacing w:line="360" w:lineRule="exact"/>
              <w:jc w:val="center"/>
              <w:rPr>
                <w:color w:val="000000"/>
                <w:sz w:val="21"/>
                <w:szCs w:val="21"/>
              </w:rPr>
            </w:pPr>
            <w:r>
              <w:rPr>
                <w:color w:val="000000"/>
                <w:sz w:val="21"/>
                <w:szCs w:val="21"/>
              </w:rPr>
              <w:t>预测评价因子</w:t>
            </w:r>
          </w:p>
        </w:tc>
      </w:tr>
      <w:tr w:rsidR="00240BCE">
        <w:trPr>
          <w:trHeight w:val="426"/>
          <w:jc w:val="center"/>
        </w:trPr>
        <w:tc>
          <w:tcPr>
            <w:tcW w:w="848" w:type="pct"/>
            <w:vAlign w:val="center"/>
          </w:tcPr>
          <w:p w:rsidR="00240BCE" w:rsidRDefault="00AC0334" w:rsidP="001D482D">
            <w:pPr>
              <w:spacing w:line="360" w:lineRule="exact"/>
              <w:jc w:val="center"/>
              <w:rPr>
                <w:color w:val="000000"/>
                <w:sz w:val="21"/>
                <w:szCs w:val="21"/>
              </w:rPr>
            </w:pPr>
            <w:r>
              <w:rPr>
                <w:color w:val="000000"/>
                <w:sz w:val="21"/>
                <w:szCs w:val="21"/>
              </w:rPr>
              <w:t>环境空气</w:t>
            </w:r>
          </w:p>
        </w:tc>
        <w:tc>
          <w:tcPr>
            <w:tcW w:w="2330" w:type="pct"/>
            <w:vAlign w:val="center"/>
          </w:tcPr>
          <w:p w:rsidR="00240BCE" w:rsidRDefault="00AC0334" w:rsidP="001D482D">
            <w:pPr>
              <w:spacing w:line="360" w:lineRule="exact"/>
              <w:jc w:val="center"/>
              <w:rPr>
                <w:color w:val="000000"/>
                <w:sz w:val="21"/>
                <w:szCs w:val="21"/>
              </w:rPr>
            </w:pPr>
            <w:r>
              <w:rPr>
                <w:color w:val="000000"/>
                <w:sz w:val="21"/>
                <w:szCs w:val="21"/>
              </w:rPr>
              <w:t>TSP</w:t>
            </w:r>
            <w:r>
              <w:rPr>
                <w:color w:val="000000"/>
                <w:sz w:val="21"/>
                <w:szCs w:val="21"/>
              </w:rPr>
              <w:t>、</w:t>
            </w:r>
            <w:r>
              <w:rPr>
                <w:color w:val="000000"/>
                <w:sz w:val="21"/>
                <w:szCs w:val="21"/>
              </w:rPr>
              <w:t>PM</w:t>
            </w:r>
            <w:r>
              <w:rPr>
                <w:color w:val="000000"/>
                <w:sz w:val="21"/>
                <w:szCs w:val="21"/>
                <w:vertAlign w:val="subscript"/>
              </w:rPr>
              <w:t>10</w:t>
            </w:r>
            <w:r>
              <w:rPr>
                <w:color w:val="000000"/>
                <w:sz w:val="21"/>
                <w:szCs w:val="21"/>
              </w:rPr>
              <w:t>、</w:t>
            </w:r>
            <w:r>
              <w:rPr>
                <w:color w:val="000000"/>
                <w:sz w:val="21"/>
                <w:szCs w:val="21"/>
              </w:rPr>
              <w:t>PM</w:t>
            </w:r>
            <w:r>
              <w:rPr>
                <w:color w:val="000000"/>
                <w:sz w:val="21"/>
                <w:szCs w:val="21"/>
                <w:vertAlign w:val="subscript"/>
              </w:rPr>
              <w:t>2.5</w:t>
            </w:r>
            <w:r>
              <w:rPr>
                <w:color w:val="000000"/>
                <w:sz w:val="21"/>
                <w:szCs w:val="21"/>
              </w:rPr>
              <w:t>、</w:t>
            </w:r>
            <w:r>
              <w:rPr>
                <w:color w:val="000000"/>
                <w:sz w:val="21"/>
                <w:szCs w:val="21"/>
              </w:rPr>
              <w:t>SO</w:t>
            </w:r>
            <w:r>
              <w:rPr>
                <w:color w:val="000000"/>
                <w:sz w:val="21"/>
                <w:szCs w:val="21"/>
                <w:vertAlign w:val="subscript"/>
              </w:rPr>
              <w:t>2</w:t>
            </w:r>
            <w:r>
              <w:rPr>
                <w:color w:val="000000"/>
                <w:sz w:val="21"/>
                <w:szCs w:val="21"/>
              </w:rPr>
              <w:t>、</w:t>
            </w:r>
            <w:r>
              <w:rPr>
                <w:color w:val="000000"/>
                <w:sz w:val="21"/>
                <w:szCs w:val="21"/>
              </w:rPr>
              <w:t>NO</w:t>
            </w:r>
            <w:r>
              <w:rPr>
                <w:color w:val="000000"/>
                <w:sz w:val="21"/>
                <w:szCs w:val="21"/>
                <w:vertAlign w:val="subscript"/>
              </w:rPr>
              <w:t>2</w:t>
            </w:r>
            <w:r>
              <w:rPr>
                <w:color w:val="000000"/>
                <w:sz w:val="21"/>
                <w:szCs w:val="21"/>
              </w:rPr>
              <w:t>、</w:t>
            </w:r>
            <w:r>
              <w:rPr>
                <w:color w:val="000000"/>
                <w:sz w:val="21"/>
                <w:szCs w:val="21"/>
              </w:rPr>
              <w:t>CO</w:t>
            </w:r>
            <w:r>
              <w:rPr>
                <w:color w:val="000000"/>
                <w:sz w:val="21"/>
                <w:szCs w:val="21"/>
              </w:rPr>
              <w:t>、</w:t>
            </w:r>
            <w:r>
              <w:rPr>
                <w:color w:val="000000"/>
                <w:sz w:val="21"/>
                <w:szCs w:val="21"/>
              </w:rPr>
              <w:t>O</w:t>
            </w:r>
            <w:r>
              <w:rPr>
                <w:color w:val="000000"/>
                <w:sz w:val="21"/>
                <w:szCs w:val="21"/>
                <w:vertAlign w:val="subscript"/>
              </w:rPr>
              <w:t>3</w:t>
            </w:r>
          </w:p>
        </w:tc>
        <w:tc>
          <w:tcPr>
            <w:tcW w:w="1822" w:type="pct"/>
            <w:vAlign w:val="center"/>
          </w:tcPr>
          <w:p w:rsidR="00240BCE" w:rsidRDefault="00AC0334" w:rsidP="001D482D">
            <w:pPr>
              <w:spacing w:line="360" w:lineRule="exact"/>
              <w:jc w:val="center"/>
              <w:rPr>
                <w:color w:val="000000"/>
                <w:sz w:val="21"/>
                <w:szCs w:val="21"/>
              </w:rPr>
            </w:pPr>
            <w:r>
              <w:rPr>
                <w:color w:val="000000"/>
                <w:sz w:val="21"/>
                <w:szCs w:val="21"/>
              </w:rPr>
              <w:t>颗粒物</w:t>
            </w:r>
          </w:p>
        </w:tc>
      </w:tr>
      <w:tr w:rsidR="00240BCE">
        <w:trPr>
          <w:jc w:val="center"/>
        </w:trPr>
        <w:tc>
          <w:tcPr>
            <w:tcW w:w="848" w:type="pct"/>
            <w:vAlign w:val="center"/>
          </w:tcPr>
          <w:p w:rsidR="00240BCE" w:rsidRDefault="00AC0334" w:rsidP="001D482D">
            <w:pPr>
              <w:spacing w:line="360" w:lineRule="exact"/>
              <w:jc w:val="center"/>
              <w:rPr>
                <w:color w:val="000000"/>
                <w:sz w:val="21"/>
                <w:szCs w:val="21"/>
              </w:rPr>
            </w:pPr>
            <w:r>
              <w:rPr>
                <w:color w:val="000000"/>
                <w:sz w:val="21"/>
                <w:szCs w:val="21"/>
              </w:rPr>
              <w:t>地表水</w:t>
            </w:r>
          </w:p>
        </w:tc>
        <w:tc>
          <w:tcPr>
            <w:tcW w:w="2330" w:type="pct"/>
            <w:vAlign w:val="center"/>
          </w:tcPr>
          <w:p w:rsidR="00240BCE" w:rsidRDefault="00AC0334" w:rsidP="001D482D">
            <w:pPr>
              <w:spacing w:line="360" w:lineRule="exact"/>
              <w:jc w:val="center"/>
              <w:rPr>
                <w:color w:val="000000"/>
                <w:sz w:val="21"/>
                <w:szCs w:val="21"/>
              </w:rPr>
            </w:pPr>
            <w:r>
              <w:rPr>
                <w:color w:val="000000"/>
                <w:sz w:val="21"/>
                <w:szCs w:val="21"/>
              </w:rPr>
              <w:t>pH</w:t>
            </w:r>
            <w:r>
              <w:rPr>
                <w:color w:val="000000"/>
                <w:sz w:val="21"/>
                <w:szCs w:val="21"/>
              </w:rPr>
              <w:t>、悬浮物、化学需氧量、砷、镉、六价铬、总锰、总铁、氟化物、氨氮、石油类、全盐量等</w:t>
            </w:r>
          </w:p>
        </w:tc>
        <w:tc>
          <w:tcPr>
            <w:tcW w:w="1822" w:type="pct"/>
            <w:vAlign w:val="center"/>
          </w:tcPr>
          <w:p w:rsidR="00240BCE" w:rsidRDefault="00AC0334" w:rsidP="001D482D">
            <w:pPr>
              <w:spacing w:line="360" w:lineRule="exact"/>
              <w:jc w:val="center"/>
              <w:rPr>
                <w:color w:val="000000"/>
                <w:sz w:val="21"/>
                <w:szCs w:val="21"/>
              </w:rPr>
            </w:pPr>
            <w:r>
              <w:rPr>
                <w:color w:val="000000"/>
                <w:sz w:val="21"/>
                <w:szCs w:val="21"/>
              </w:rPr>
              <w:t>综合利用可行性分析</w:t>
            </w:r>
          </w:p>
        </w:tc>
      </w:tr>
      <w:tr w:rsidR="00240BCE">
        <w:trPr>
          <w:jc w:val="center"/>
        </w:trPr>
        <w:tc>
          <w:tcPr>
            <w:tcW w:w="848" w:type="pct"/>
            <w:vAlign w:val="center"/>
          </w:tcPr>
          <w:p w:rsidR="00240BCE" w:rsidRDefault="00AC0334" w:rsidP="001D482D">
            <w:pPr>
              <w:spacing w:line="360" w:lineRule="exact"/>
              <w:jc w:val="center"/>
              <w:rPr>
                <w:color w:val="000000"/>
                <w:sz w:val="21"/>
                <w:szCs w:val="21"/>
              </w:rPr>
            </w:pPr>
            <w:r>
              <w:rPr>
                <w:color w:val="000000"/>
                <w:sz w:val="21"/>
                <w:szCs w:val="21"/>
              </w:rPr>
              <w:t>地下水</w:t>
            </w:r>
          </w:p>
        </w:tc>
        <w:tc>
          <w:tcPr>
            <w:tcW w:w="2330" w:type="pct"/>
            <w:vAlign w:val="center"/>
          </w:tcPr>
          <w:p w:rsidR="00240BCE" w:rsidRDefault="00AC0334" w:rsidP="001D482D">
            <w:pPr>
              <w:spacing w:line="360" w:lineRule="exact"/>
              <w:jc w:val="center"/>
              <w:rPr>
                <w:color w:val="000000"/>
                <w:sz w:val="21"/>
                <w:szCs w:val="21"/>
              </w:rPr>
            </w:pPr>
            <w:r>
              <w:rPr>
                <w:color w:val="000000"/>
                <w:sz w:val="21"/>
                <w:szCs w:val="21"/>
              </w:rPr>
              <w:t>pH</w:t>
            </w:r>
            <w:r>
              <w:rPr>
                <w:color w:val="000000"/>
                <w:sz w:val="21"/>
                <w:szCs w:val="21"/>
              </w:rPr>
              <w:t>、总硬度、溶解性总固体、耗氧量、氨氮、氟化物、砷、锌、镉、锰、</w:t>
            </w:r>
            <w:r>
              <w:rPr>
                <w:color w:val="000000"/>
                <w:sz w:val="21"/>
                <w:szCs w:val="21"/>
              </w:rPr>
              <w:t>K</w:t>
            </w:r>
            <w:r>
              <w:rPr>
                <w:color w:val="000000"/>
                <w:sz w:val="21"/>
                <w:szCs w:val="21"/>
                <w:vertAlign w:val="superscript"/>
              </w:rPr>
              <w:t>+</w:t>
            </w:r>
            <w:r>
              <w:rPr>
                <w:color w:val="000000"/>
                <w:sz w:val="21"/>
                <w:szCs w:val="21"/>
              </w:rPr>
              <w:t>、</w:t>
            </w:r>
            <w:r>
              <w:rPr>
                <w:color w:val="000000"/>
                <w:sz w:val="21"/>
                <w:szCs w:val="21"/>
              </w:rPr>
              <w:t>Na</w:t>
            </w:r>
            <w:r>
              <w:rPr>
                <w:color w:val="000000"/>
                <w:sz w:val="21"/>
                <w:szCs w:val="21"/>
                <w:vertAlign w:val="superscript"/>
              </w:rPr>
              <w:t>+</w:t>
            </w:r>
            <w:r>
              <w:rPr>
                <w:color w:val="000000"/>
                <w:sz w:val="21"/>
                <w:szCs w:val="21"/>
              </w:rPr>
              <w:t>、</w:t>
            </w:r>
            <w:r>
              <w:rPr>
                <w:color w:val="000000"/>
                <w:sz w:val="21"/>
                <w:szCs w:val="21"/>
              </w:rPr>
              <w:t>Ca</w:t>
            </w:r>
            <w:r>
              <w:rPr>
                <w:color w:val="000000"/>
                <w:sz w:val="21"/>
                <w:szCs w:val="21"/>
                <w:vertAlign w:val="superscript"/>
              </w:rPr>
              <w:t>2+</w:t>
            </w:r>
            <w:r>
              <w:rPr>
                <w:color w:val="000000"/>
                <w:sz w:val="21"/>
                <w:szCs w:val="21"/>
              </w:rPr>
              <w:t>、</w:t>
            </w:r>
            <w:r>
              <w:rPr>
                <w:color w:val="000000"/>
                <w:sz w:val="21"/>
                <w:szCs w:val="21"/>
              </w:rPr>
              <w:t>Mg</w:t>
            </w:r>
            <w:r>
              <w:rPr>
                <w:color w:val="000000"/>
                <w:sz w:val="21"/>
                <w:szCs w:val="21"/>
                <w:vertAlign w:val="superscript"/>
              </w:rPr>
              <w:t>2+</w:t>
            </w:r>
            <w:r>
              <w:rPr>
                <w:color w:val="000000"/>
                <w:sz w:val="21"/>
                <w:szCs w:val="21"/>
              </w:rPr>
              <w:t>、</w:t>
            </w:r>
            <w:r>
              <w:rPr>
                <w:color w:val="000000"/>
                <w:sz w:val="21"/>
                <w:szCs w:val="21"/>
              </w:rPr>
              <w:t>CO</w:t>
            </w:r>
            <w:r>
              <w:rPr>
                <w:color w:val="000000"/>
                <w:sz w:val="21"/>
                <w:szCs w:val="21"/>
                <w:vertAlign w:val="subscript"/>
              </w:rPr>
              <w:t>3</w:t>
            </w:r>
            <w:r>
              <w:rPr>
                <w:color w:val="000000"/>
                <w:sz w:val="21"/>
                <w:szCs w:val="21"/>
                <w:vertAlign w:val="superscript"/>
              </w:rPr>
              <w:t>2-</w:t>
            </w:r>
            <w:r>
              <w:rPr>
                <w:color w:val="000000"/>
                <w:sz w:val="21"/>
                <w:szCs w:val="21"/>
              </w:rPr>
              <w:t>、</w:t>
            </w:r>
            <w:r>
              <w:rPr>
                <w:color w:val="000000"/>
                <w:sz w:val="21"/>
                <w:szCs w:val="21"/>
              </w:rPr>
              <w:t>HCO</w:t>
            </w:r>
            <w:r>
              <w:rPr>
                <w:color w:val="000000"/>
                <w:sz w:val="21"/>
                <w:szCs w:val="21"/>
                <w:vertAlign w:val="subscript"/>
              </w:rPr>
              <w:t>3</w:t>
            </w:r>
            <w:r>
              <w:rPr>
                <w:color w:val="000000"/>
                <w:sz w:val="21"/>
                <w:szCs w:val="21"/>
                <w:vertAlign w:val="superscript"/>
              </w:rPr>
              <w:t>-</w:t>
            </w:r>
            <w:r>
              <w:rPr>
                <w:color w:val="000000"/>
                <w:sz w:val="21"/>
                <w:szCs w:val="21"/>
              </w:rPr>
              <w:t>、</w:t>
            </w:r>
            <w:r>
              <w:rPr>
                <w:color w:val="000000"/>
                <w:sz w:val="21"/>
                <w:szCs w:val="21"/>
              </w:rPr>
              <w:t>Cl</w:t>
            </w:r>
            <w:r>
              <w:rPr>
                <w:color w:val="000000"/>
                <w:sz w:val="21"/>
                <w:szCs w:val="21"/>
                <w:vertAlign w:val="superscript"/>
              </w:rPr>
              <w:t>-</w:t>
            </w:r>
            <w:r>
              <w:rPr>
                <w:color w:val="000000"/>
                <w:sz w:val="21"/>
                <w:szCs w:val="21"/>
              </w:rPr>
              <w:t>、</w:t>
            </w:r>
            <w:r>
              <w:rPr>
                <w:color w:val="000000"/>
                <w:sz w:val="21"/>
                <w:szCs w:val="21"/>
              </w:rPr>
              <w:t>SO</w:t>
            </w:r>
            <w:r>
              <w:rPr>
                <w:color w:val="000000"/>
                <w:sz w:val="21"/>
                <w:szCs w:val="21"/>
                <w:vertAlign w:val="subscript"/>
              </w:rPr>
              <w:t>4</w:t>
            </w:r>
            <w:r>
              <w:rPr>
                <w:color w:val="000000"/>
                <w:sz w:val="21"/>
                <w:szCs w:val="21"/>
                <w:vertAlign w:val="superscript"/>
              </w:rPr>
              <w:t>2-</w:t>
            </w:r>
            <w:r>
              <w:rPr>
                <w:color w:val="000000"/>
                <w:sz w:val="21"/>
                <w:szCs w:val="21"/>
              </w:rPr>
              <w:t>等</w:t>
            </w:r>
          </w:p>
        </w:tc>
        <w:tc>
          <w:tcPr>
            <w:tcW w:w="1822" w:type="pct"/>
            <w:vAlign w:val="center"/>
          </w:tcPr>
          <w:p w:rsidR="00240BCE" w:rsidRDefault="00AC0334" w:rsidP="001D482D">
            <w:pPr>
              <w:spacing w:line="360" w:lineRule="exact"/>
              <w:jc w:val="center"/>
              <w:rPr>
                <w:color w:val="000000"/>
                <w:sz w:val="21"/>
                <w:szCs w:val="21"/>
              </w:rPr>
            </w:pPr>
            <w:r>
              <w:rPr>
                <w:color w:val="000000"/>
                <w:sz w:val="21"/>
                <w:szCs w:val="21"/>
              </w:rPr>
              <w:t>煤炭开采引起的矿区地下水水质及对居民用水的影响</w:t>
            </w:r>
          </w:p>
        </w:tc>
      </w:tr>
      <w:tr w:rsidR="00240BCE">
        <w:trPr>
          <w:jc w:val="center"/>
        </w:trPr>
        <w:tc>
          <w:tcPr>
            <w:tcW w:w="848" w:type="pct"/>
            <w:vAlign w:val="center"/>
          </w:tcPr>
          <w:p w:rsidR="00240BCE" w:rsidRDefault="00AC0334" w:rsidP="001D482D">
            <w:pPr>
              <w:spacing w:line="360" w:lineRule="exact"/>
              <w:jc w:val="center"/>
              <w:rPr>
                <w:color w:val="000000"/>
                <w:sz w:val="21"/>
                <w:szCs w:val="21"/>
              </w:rPr>
            </w:pPr>
            <w:r>
              <w:rPr>
                <w:color w:val="000000"/>
                <w:sz w:val="21"/>
                <w:szCs w:val="21"/>
              </w:rPr>
              <w:t>声环境</w:t>
            </w:r>
          </w:p>
        </w:tc>
        <w:tc>
          <w:tcPr>
            <w:tcW w:w="2330" w:type="pct"/>
            <w:vAlign w:val="center"/>
          </w:tcPr>
          <w:p w:rsidR="00240BCE" w:rsidRDefault="00AC0334" w:rsidP="001D482D">
            <w:pPr>
              <w:spacing w:line="360" w:lineRule="exact"/>
              <w:jc w:val="center"/>
              <w:rPr>
                <w:color w:val="000000"/>
                <w:sz w:val="21"/>
                <w:szCs w:val="21"/>
              </w:rPr>
            </w:pPr>
            <w:r>
              <w:rPr>
                <w:color w:val="000000"/>
                <w:sz w:val="21"/>
                <w:szCs w:val="21"/>
              </w:rPr>
              <w:t>昼间、夜间</w:t>
            </w:r>
            <w:r>
              <w:rPr>
                <w:color w:val="000000"/>
                <w:sz w:val="21"/>
                <w:szCs w:val="21"/>
              </w:rPr>
              <w:t>L</w:t>
            </w:r>
            <w:r>
              <w:rPr>
                <w:color w:val="000000"/>
                <w:sz w:val="21"/>
                <w:szCs w:val="21"/>
                <w:vertAlign w:val="subscript"/>
              </w:rPr>
              <w:t>Aeq</w:t>
            </w:r>
          </w:p>
        </w:tc>
        <w:tc>
          <w:tcPr>
            <w:tcW w:w="1822" w:type="pct"/>
            <w:vAlign w:val="center"/>
          </w:tcPr>
          <w:p w:rsidR="00240BCE" w:rsidRDefault="00AC0334" w:rsidP="001D482D">
            <w:pPr>
              <w:spacing w:line="360" w:lineRule="exact"/>
              <w:jc w:val="center"/>
              <w:rPr>
                <w:color w:val="000000"/>
                <w:sz w:val="21"/>
                <w:szCs w:val="21"/>
              </w:rPr>
            </w:pPr>
            <w:r>
              <w:rPr>
                <w:color w:val="000000"/>
                <w:sz w:val="21"/>
                <w:szCs w:val="21"/>
              </w:rPr>
              <w:t>厂界噪声贡献值、周围敏感点环境噪声预测值</w:t>
            </w:r>
          </w:p>
        </w:tc>
      </w:tr>
      <w:tr w:rsidR="00240BCE">
        <w:trPr>
          <w:trHeight w:val="305"/>
          <w:jc w:val="center"/>
        </w:trPr>
        <w:tc>
          <w:tcPr>
            <w:tcW w:w="848" w:type="pct"/>
            <w:vAlign w:val="center"/>
          </w:tcPr>
          <w:p w:rsidR="00240BCE" w:rsidRDefault="00AC0334" w:rsidP="001D482D">
            <w:pPr>
              <w:spacing w:line="360" w:lineRule="exact"/>
              <w:jc w:val="center"/>
              <w:rPr>
                <w:color w:val="000000"/>
                <w:sz w:val="21"/>
                <w:szCs w:val="21"/>
              </w:rPr>
            </w:pPr>
            <w:r>
              <w:rPr>
                <w:color w:val="000000"/>
                <w:sz w:val="21"/>
                <w:szCs w:val="21"/>
              </w:rPr>
              <w:t>固体废物</w:t>
            </w:r>
          </w:p>
        </w:tc>
        <w:tc>
          <w:tcPr>
            <w:tcW w:w="2330" w:type="pct"/>
            <w:vAlign w:val="center"/>
          </w:tcPr>
          <w:p w:rsidR="00240BCE" w:rsidRDefault="00AC0334" w:rsidP="001D482D">
            <w:pPr>
              <w:spacing w:line="360" w:lineRule="exact"/>
              <w:jc w:val="center"/>
              <w:rPr>
                <w:color w:val="000000"/>
                <w:sz w:val="21"/>
                <w:szCs w:val="21"/>
              </w:rPr>
            </w:pPr>
            <w:r>
              <w:rPr>
                <w:color w:val="000000"/>
                <w:sz w:val="21"/>
                <w:szCs w:val="21"/>
              </w:rPr>
              <w:t>汞、镉、六价铬、砷、铅、铜、锌、</w:t>
            </w:r>
            <w:r>
              <w:rPr>
                <w:color w:val="000000"/>
                <w:sz w:val="21"/>
                <w:szCs w:val="21"/>
              </w:rPr>
              <w:t>pH</w:t>
            </w:r>
          </w:p>
        </w:tc>
        <w:tc>
          <w:tcPr>
            <w:tcW w:w="1822" w:type="pct"/>
            <w:vAlign w:val="center"/>
          </w:tcPr>
          <w:p w:rsidR="00240BCE" w:rsidRDefault="00AC0334" w:rsidP="001D482D">
            <w:pPr>
              <w:spacing w:line="360" w:lineRule="exact"/>
              <w:jc w:val="center"/>
              <w:rPr>
                <w:color w:val="000000"/>
                <w:sz w:val="21"/>
                <w:szCs w:val="21"/>
              </w:rPr>
            </w:pPr>
            <w:r>
              <w:rPr>
                <w:color w:val="000000"/>
                <w:sz w:val="21"/>
                <w:szCs w:val="21"/>
              </w:rPr>
              <w:t>矸石综合利用可行性</w:t>
            </w:r>
          </w:p>
        </w:tc>
      </w:tr>
      <w:tr w:rsidR="00240BCE">
        <w:trPr>
          <w:jc w:val="center"/>
        </w:trPr>
        <w:tc>
          <w:tcPr>
            <w:tcW w:w="848" w:type="pct"/>
            <w:vAlign w:val="center"/>
          </w:tcPr>
          <w:p w:rsidR="00240BCE" w:rsidRDefault="00AC0334" w:rsidP="001D482D">
            <w:pPr>
              <w:spacing w:line="360" w:lineRule="exact"/>
              <w:jc w:val="center"/>
              <w:rPr>
                <w:color w:val="000000"/>
                <w:sz w:val="21"/>
                <w:szCs w:val="21"/>
              </w:rPr>
            </w:pPr>
            <w:r>
              <w:rPr>
                <w:color w:val="000000"/>
                <w:sz w:val="21"/>
                <w:szCs w:val="21"/>
              </w:rPr>
              <w:t>生态环境</w:t>
            </w:r>
          </w:p>
        </w:tc>
        <w:tc>
          <w:tcPr>
            <w:tcW w:w="2330" w:type="pct"/>
            <w:vAlign w:val="center"/>
          </w:tcPr>
          <w:p w:rsidR="00240BCE" w:rsidRDefault="00AC0334" w:rsidP="001D482D">
            <w:pPr>
              <w:spacing w:line="360" w:lineRule="exact"/>
              <w:jc w:val="center"/>
              <w:rPr>
                <w:color w:val="000000"/>
                <w:sz w:val="21"/>
                <w:szCs w:val="21"/>
              </w:rPr>
            </w:pPr>
            <w:r>
              <w:rPr>
                <w:color w:val="000000"/>
                <w:sz w:val="21"/>
                <w:szCs w:val="21"/>
              </w:rPr>
              <w:t>动、植物资源，土地利用，土壤类型，水土流失，河流水系等</w:t>
            </w:r>
          </w:p>
        </w:tc>
        <w:tc>
          <w:tcPr>
            <w:tcW w:w="1822" w:type="pct"/>
            <w:vAlign w:val="center"/>
          </w:tcPr>
          <w:p w:rsidR="00240BCE" w:rsidRDefault="00AC0334" w:rsidP="001D482D">
            <w:pPr>
              <w:spacing w:line="360" w:lineRule="exact"/>
              <w:jc w:val="center"/>
              <w:rPr>
                <w:color w:val="000000"/>
                <w:sz w:val="21"/>
                <w:szCs w:val="21"/>
              </w:rPr>
            </w:pPr>
            <w:r>
              <w:rPr>
                <w:color w:val="000000"/>
                <w:sz w:val="21"/>
                <w:szCs w:val="21"/>
              </w:rPr>
              <w:t>植被破坏及物种影响，对动物生存状况影响，水土流失，土地利用变化等</w:t>
            </w:r>
          </w:p>
        </w:tc>
      </w:tr>
      <w:tr w:rsidR="00240BCE">
        <w:trPr>
          <w:jc w:val="center"/>
        </w:trPr>
        <w:tc>
          <w:tcPr>
            <w:tcW w:w="848" w:type="pct"/>
            <w:vAlign w:val="center"/>
          </w:tcPr>
          <w:p w:rsidR="00240BCE" w:rsidRDefault="00AC0334" w:rsidP="001D482D">
            <w:pPr>
              <w:spacing w:line="360" w:lineRule="exact"/>
              <w:jc w:val="center"/>
              <w:rPr>
                <w:color w:val="000000"/>
                <w:sz w:val="21"/>
                <w:szCs w:val="21"/>
              </w:rPr>
            </w:pPr>
            <w:r>
              <w:rPr>
                <w:color w:val="000000"/>
                <w:sz w:val="21"/>
                <w:szCs w:val="21"/>
              </w:rPr>
              <w:t>土壤环境</w:t>
            </w:r>
          </w:p>
        </w:tc>
        <w:tc>
          <w:tcPr>
            <w:tcW w:w="2330" w:type="pct"/>
            <w:vAlign w:val="center"/>
          </w:tcPr>
          <w:p w:rsidR="00240BCE" w:rsidRDefault="00AC0334" w:rsidP="001D482D">
            <w:pPr>
              <w:spacing w:line="360" w:lineRule="exact"/>
              <w:jc w:val="center"/>
              <w:rPr>
                <w:color w:val="000000"/>
                <w:sz w:val="21"/>
                <w:szCs w:val="21"/>
              </w:rPr>
            </w:pPr>
            <w:r>
              <w:rPr>
                <w:color w:val="000000"/>
                <w:sz w:val="21"/>
                <w:szCs w:val="21"/>
              </w:rPr>
              <w:t>GB36600</w:t>
            </w:r>
            <w:r>
              <w:rPr>
                <w:color w:val="000000"/>
                <w:sz w:val="21"/>
                <w:szCs w:val="21"/>
              </w:rPr>
              <w:t>基本因子</w:t>
            </w:r>
            <w:r>
              <w:rPr>
                <w:color w:val="000000"/>
                <w:sz w:val="21"/>
                <w:szCs w:val="21"/>
              </w:rPr>
              <w:t>+</w:t>
            </w:r>
            <w:r>
              <w:rPr>
                <w:color w:val="000000"/>
                <w:sz w:val="21"/>
                <w:szCs w:val="21"/>
              </w:rPr>
              <w:t>特征因子及</w:t>
            </w:r>
            <w:r>
              <w:rPr>
                <w:color w:val="000000"/>
                <w:sz w:val="21"/>
                <w:szCs w:val="21"/>
              </w:rPr>
              <w:t>GB15618</w:t>
            </w:r>
            <w:r>
              <w:rPr>
                <w:color w:val="000000"/>
                <w:sz w:val="21"/>
                <w:szCs w:val="21"/>
              </w:rPr>
              <w:t>基本因子</w:t>
            </w:r>
            <w:r>
              <w:rPr>
                <w:color w:val="000000"/>
                <w:sz w:val="21"/>
                <w:szCs w:val="21"/>
              </w:rPr>
              <w:t>+</w:t>
            </w:r>
            <w:r>
              <w:rPr>
                <w:color w:val="000000"/>
                <w:sz w:val="21"/>
                <w:szCs w:val="21"/>
              </w:rPr>
              <w:t>特征因子</w:t>
            </w:r>
          </w:p>
        </w:tc>
        <w:tc>
          <w:tcPr>
            <w:tcW w:w="1822" w:type="pct"/>
            <w:vAlign w:val="center"/>
          </w:tcPr>
          <w:p w:rsidR="00240BCE" w:rsidRDefault="00AC0334" w:rsidP="001D482D">
            <w:pPr>
              <w:spacing w:line="360" w:lineRule="exact"/>
              <w:jc w:val="center"/>
              <w:rPr>
                <w:color w:val="000000"/>
                <w:sz w:val="21"/>
                <w:szCs w:val="21"/>
              </w:rPr>
            </w:pPr>
            <w:r>
              <w:rPr>
                <w:color w:val="000000"/>
                <w:sz w:val="21"/>
                <w:szCs w:val="21"/>
              </w:rPr>
              <w:t>类比分析</w:t>
            </w:r>
          </w:p>
        </w:tc>
      </w:tr>
    </w:tbl>
    <w:p w:rsidR="00240BCE" w:rsidRDefault="00AC0334" w:rsidP="009C5F33">
      <w:pPr>
        <w:pStyle w:val="22CharTimesNewRoman12"/>
        <w:adjustRightInd w:val="0"/>
        <w:snapToGrid w:val="0"/>
        <w:spacing w:beforeLines="100" w:line="240" w:lineRule="auto"/>
        <w:rPr>
          <w:rFonts w:cs="Times New Roman"/>
          <w:sz w:val="32"/>
          <w:szCs w:val="32"/>
        </w:rPr>
      </w:pPr>
      <w:bookmarkStart w:id="89" w:name="_Toc5082_WPSOffice_Level2"/>
      <w:bookmarkStart w:id="90" w:name="_Toc79668610"/>
      <w:bookmarkStart w:id="91" w:name="_Toc81934364"/>
      <w:bookmarkEnd w:id="84"/>
      <w:bookmarkEnd w:id="85"/>
      <w:bookmarkEnd w:id="86"/>
      <w:bookmarkEnd w:id="87"/>
      <w:bookmarkEnd w:id="88"/>
      <w:r>
        <w:rPr>
          <w:rFonts w:cs="Times New Roman"/>
          <w:sz w:val="32"/>
          <w:szCs w:val="32"/>
        </w:rPr>
        <w:t xml:space="preserve">2.5 </w:t>
      </w:r>
      <w:r>
        <w:rPr>
          <w:rFonts w:cs="Times New Roman"/>
          <w:sz w:val="32"/>
          <w:szCs w:val="32"/>
        </w:rPr>
        <w:t>评价标准</w:t>
      </w:r>
      <w:bookmarkEnd w:id="89"/>
      <w:bookmarkEnd w:id="90"/>
      <w:bookmarkEnd w:id="91"/>
    </w:p>
    <w:p w:rsidR="00240BCE" w:rsidRDefault="00AC0334" w:rsidP="001D482D">
      <w:pPr>
        <w:pStyle w:val="44"/>
      </w:pPr>
      <w:r>
        <w:t>根据禹州市环境保护局出具的《禹州市环境保护局关于禹州神火隆庆矿业有限公司</w:t>
      </w:r>
      <w:r>
        <w:t>30</w:t>
      </w:r>
      <w:r>
        <w:t>万吨</w:t>
      </w:r>
      <w:r>
        <w:t>/</w:t>
      </w:r>
      <w:r>
        <w:t>年升级改造项目环境影响评价执行标准的意见》（禹环评【</w:t>
      </w:r>
      <w:r>
        <w:t>2020</w:t>
      </w:r>
      <w:r>
        <w:t>】</w:t>
      </w:r>
      <w:r>
        <w:t>5006</w:t>
      </w:r>
      <w:r>
        <w:t>号，见附件</w:t>
      </w:r>
      <w:r>
        <w:t>2</w:t>
      </w:r>
      <w:r>
        <w:t>），执行标准如下：</w:t>
      </w:r>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92" w:name="_Toc398713951"/>
      <w:bookmarkStart w:id="93" w:name="_Toc398713668"/>
      <w:bookmarkStart w:id="94" w:name="_Toc248827561"/>
      <w:bookmarkStart w:id="95" w:name="_Toc166581316"/>
      <w:bookmarkStart w:id="96" w:name="_Toc338402872"/>
      <w:bookmarkStart w:id="97" w:name="_Toc14144_WPSOffice_Level3"/>
      <w:bookmarkStart w:id="98" w:name="_Toc332449736"/>
      <w:bookmarkStart w:id="99" w:name="_Toc398715466"/>
      <w:r>
        <w:rPr>
          <w:rFonts w:eastAsia="楷体" w:cs="Times New Roman"/>
          <w:b/>
          <w:szCs w:val="28"/>
          <w:lang w:val="de-DE"/>
        </w:rPr>
        <w:t xml:space="preserve">2.5.1 </w:t>
      </w:r>
      <w:r>
        <w:rPr>
          <w:rFonts w:eastAsia="楷体" w:cs="Times New Roman"/>
          <w:b/>
          <w:szCs w:val="28"/>
          <w:lang w:val="de-DE"/>
        </w:rPr>
        <w:t>环境质量标准</w:t>
      </w:r>
      <w:bookmarkEnd w:id="92"/>
      <w:bookmarkEnd w:id="93"/>
      <w:bookmarkEnd w:id="94"/>
      <w:bookmarkEnd w:id="95"/>
      <w:bookmarkEnd w:id="96"/>
      <w:bookmarkEnd w:id="97"/>
      <w:bookmarkEnd w:id="98"/>
      <w:bookmarkEnd w:id="99"/>
    </w:p>
    <w:p w:rsidR="00240BCE" w:rsidRDefault="00AC0334">
      <w:pPr>
        <w:pStyle w:val="152a"/>
        <w:ind w:firstLine="480"/>
        <w:rPr>
          <w:rFonts w:cs="Times New Roman"/>
        </w:rPr>
      </w:pPr>
      <w:r>
        <w:rPr>
          <w:rFonts w:cs="Times New Roman"/>
        </w:rPr>
        <w:t>（</w:t>
      </w:r>
      <w:r>
        <w:rPr>
          <w:rFonts w:cs="Times New Roman"/>
        </w:rPr>
        <w:t>1</w:t>
      </w:r>
      <w:r>
        <w:rPr>
          <w:rFonts w:cs="Times New Roman"/>
        </w:rPr>
        <w:t>）大气环境：执行《环境空气质量标准》（</w:t>
      </w:r>
      <w:r>
        <w:rPr>
          <w:rFonts w:cs="Times New Roman"/>
        </w:rPr>
        <w:t>GB3095-2012</w:t>
      </w:r>
      <w:r>
        <w:rPr>
          <w:rFonts w:cs="Times New Roman"/>
        </w:rPr>
        <w:t>）及修改单中二级标准；</w:t>
      </w:r>
    </w:p>
    <w:p w:rsidR="00240BCE" w:rsidRDefault="00AC0334">
      <w:pPr>
        <w:pStyle w:val="152a"/>
        <w:ind w:firstLine="480"/>
        <w:rPr>
          <w:rFonts w:cs="Times New Roman"/>
        </w:rPr>
      </w:pPr>
      <w:r>
        <w:rPr>
          <w:rFonts w:cs="Times New Roman"/>
        </w:rPr>
        <w:t>（</w:t>
      </w:r>
      <w:r>
        <w:rPr>
          <w:rFonts w:cs="Times New Roman"/>
        </w:rPr>
        <w:t>2</w:t>
      </w:r>
      <w:r>
        <w:rPr>
          <w:rFonts w:cs="Times New Roman"/>
        </w:rPr>
        <w:t>）地表水：执行《地表水环境质量标准》（</w:t>
      </w:r>
      <w:r>
        <w:rPr>
          <w:rFonts w:cs="Times New Roman"/>
        </w:rPr>
        <w:t>GB3838-2002</w:t>
      </w:r>
      <w:r>
        <w:rPr>
          <w:rFonts w:cs="Times New Roman"/>
        </w:rPr>
        <w:t>）</w:t>
      </w:r>
      <w:r>
        <w:rPr>
          <w:rFonts w:cs="Times New Roman"/>
        </w:rPr>
        <w:t>Ⅲ</w:t>
      </w:r>
      <w:r>
        <w:rPr>
          <w:rFonts w:cs="Times New Roman"/>
        </w:rPr>
        <w:t>类标准；</w:t>
      </w:r>
    </w:p>
    <w:p w:rsidR="00240BCE" w:rsidRDefault="00AC0334">
      <w:pPr>
        <w:pStyle w:val="152a"/>
        <w:ind w:firstLine="480"/>
        <w:rPr>
          <w:rFonts w:cs="Times New Roman"/>
        </w:rPr>
      </w:pPr>
      <w:r>
        <w:rPr>
          <w:rFonts w:cs="Times New Roman"/>
        </w:rPr>
        <w:t>（</w:t>
      </w:r>
      <w:r>
        <w:rPr>
          <w:rFonts w:cs="Times New Roman"/>
        </w:rPr>
        <w:t>3</w:t>
      </w:r>
      <w:r>
        <w:rPr>
          <w:rFonts w:cs="Times New Roman"/>
        </w:rPr>
        <w:t>）地下水：执行《地下水质量标准》（</w:t>
      </w:r>
      <w:r>
        <w:rPr>
          <w:rFonts w:cs="Times New Roman"/>
        </w:rPr>
        <w:t>GB/T14848-2017</w:t>
      </w:r>
      <w:r>
        <w:rPr>
          <w:rFonts w:cs="Times New Roman"/>
        </w:rPr>
        <w:t>）中的</w:t>
      </w:r>
      <w:r>
        <w:rPr>
          <w:rFonts w:cs="Times New Roman"/>
        </w:rPr>
        <w:t>Ⅲ</w:t>
      </w:r>
      <w:r>
        <w:rPr>
          <w:rFonts w:cs="Times New Roman"/>
        </w:rPr>
        <w:t>类标准；</w:t>
      </w:r>
    </w:p>
    <w:p w:rsidR="00240BCE" w:rsidRDefault="00AC0334">
      <w:pPr>
        <w:pStyle w:val="152a"/>
        <w:ind w:firstLine="480"/>
        <w:rPr>
          <w:rFonts w:cs="Times New Roman"/>
        </w:rPr>
      </w:pPr>
      <w:r>
        <w:rPr>
          <w:rFonts w:cs="Times New Roman"/>
        </w:rPr>
        <w:t>（</w:t>
      </w:r>
      <w:r>
        <w:rPr>
          <w:rFonts w:cs="Times New Roman"/>
        </w:rPr>
        <w:t>4</w:t>
      </w:r>
      <w:r>
        <w:rPr>
          <w:rFonts w:cs="Times New Roman"/>
        </w:rPr>
        <w:t>）声环境：执行《声环境质量标准》（</w:t>
      </w:r>
      <w:r>
        <w:rPr>
          <w:rFonts w:cs="Times New Roman"/>
        </w:rPr>
        <w:t>GB3096-2008</w:t>
      </w:r>
      <w:r>
        <w:rPr>
          <w:rFonts w:cs="Times New Roman"/>
        </w:rPr>
        <w:t>）中的</w:t>
      </w:r>
      <w:r>
        <w:rPr>
          <w:rFonts w:cs="Times New Roman"/>
        </w:rPr>
        <w:t>2</w:t>
      </w:r>
      <w:r>
        <w:rPr>
          <w:rFonts w:cs="Times New Roman"/>
        </w:rPr>
        <w:t>类标准；</w:t>
      </w:r>
    </w:p>
    <w:p w:rsidR="00240BCE" w:rsidRDefault="00AC0334">
      <w:pPr>
        <w:pStyle w:val="152a"/>
        <w:ind w:firstLine="480"/>
        <w:rPr>
          <w:rFonts w:cs="Times New Roman"/>
        </w:rPr>
      </w:pPr>
      <w:r>
        <w:rPr>
          <w:rFonts w:cs="Times New Roman"/>
        </w:rPr>
        <w:t>（</w:t>
      </w:r>
      <w:r>
        <w:rPr>
          <w:rFonts w:cs="Times New Roman"/>
        </w:rPr>
        <w:t>5</w:t>
      </w:r>
      <w:r>
        <w:rPr>
          <w:rFonts w:cs="Times New Roman"/>
        </w:rPr>
        <w:t>）土壤环境：执行《土壤环境质量</w:t>
      </w:r>
      <w:r>
        <w:rPr>
          <w:rFonts w:cs="Times New Roman"/>
        </w:rPr>
        <w:t xml:space="preserve"> </w:t>
      </w:r>
      <w:r>
        <w:rPr>
          <w:rFonts w:cs="Times New Roman"/>
        </w:rPr>
        <w:t>农用地土壤污染风险管控标准（试行）》（</w:t>
      </w:r>
      <w:r>
        <w:rPr>
          <w:rFonts w:cs="Times New Roman"/>
        </w:rPr>
        <w:t>GB15618—2018</w:t>
      </w:r>
      <w:r>
        <w:rPr>
          <w:rFonts w:cs="Times New Roman"/>
        </w:rPr>
        <w:t>）及《土壤环境质量</w:t>
      </w:r>
      <w:r>
        <w:rPr>
          <w:rFonts w:cs="Times New Roman"/>
        </w:rPr>
        <w:t xml:space="preserve"> </w:t>
      </w:r>
      <w:r>
        <w:rPr>
          <w:rFonts w:cs="Times New Roman"/>
        </w:rPr>
        <w:t>建设用地土壤污染风险管控标准（试行）》（</w:t>
      </w:r>
      <w:r>
        <w:rPr>
          <w:rFonts w:cs="Times New Roman"/>
        </w:rPr>
        <w:t>GB36600—2018</w:t>
      </w:r>
      <w:r>
        <w:rPr>
          <w:rFonts w:cs="Times New Roman"/>
        </w:rPr>
        <w:t>）。</w:t>
      </w:r>
    </w:p>
    <w:p w:rsidR="00240BCE" w:rsidRDefault="00AC0334">
      <w:pPr>
        <w:pStyle w:val="152a"/>
        <w:ind w:firstLine="480"/>
        <w:rPr>
          <w:rFonts w:cs="Times New Roman"/>
        </w:rPr>
      </w:pPr>
      <w:r>
        <w:rPr>
          <w:rFonts w:cs="Times New Roman"/>
        </w:rPr>
        <w:lastRenderedPageBreak/>
        <w:t>环境质量标准见表</w:t>
      </w:r>
      <w:r>
        <w:rPr>
          <w:rFonts w:cs="Times New Roman"/>
        </w:rPr>
        <w:t>2.5-1</w:t>
      </w:r>
      <w:r>
        <w:rPr>
          <w:rFonts w:cs="Times New Roman"/>
        </w:rPr>
        <w:t>。</w:t>
      </w:r>
    </w:p>
    <w:p w:rsidR="00240BCE" w:rsidRDefault="00AC0334">
      <w:pPr>
        <w:pStyle w:val="0851530"/>
        <w:ind w:firstLine="0"/>
        <w:jc w:val="center"/>
        <w:rPr>
          <w:rFonts w:cs="Times New Roman"/>
        </w:rPr>
      </w:pPr>
      <w:r>
        <w:rPr>
          <w:rFonts w:cs="Times New Roman"/>
        </w:rPr>
        <w:t>表</w:t>
      </w:r>
      <w:r>
        <w:rPr>
          <w:rFonts w:cs="Times New Roman"/>
        </w:rPr>
        <w:t xml:space="preserve">2.5-1   </w:t>
      </w:r>
      <w:r>
        <w:rPr>
          <w:rFonts w:cs="Times New Roman"/>
        </w:rPr>
        <w:t>环境质量标准</w:t>
      </w:r>
    </w:p>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59"/>
        <w:gridCol w:w="2732"/>
        <w:gridCol w:w="1276"/>
        <w:gridCol w:w="1068"/>
        <w:gridCol w:w="1069"/>
        <w:gridCol w:w="698"/>
        <w:gridCol w:w="371"/>
        <w:gridCol w:w="1069"/>
      </w:tblGrid>
      <w:tr w:rsidR="00240BCE">
        <w:trPr>
          <w:trHeight w:val="20"/>
        </w:trPr>
        <w:tc>
          <w:tcPr>
            <w:tcW w:w="959"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环境要素</w:t>
            </w:r>
          </w:p>
        </w:tc>
        <w:tc>
          <w:tcPr>
            <w:tcW w:w="2732"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标准名称及级（类）别</w:t>
            </w: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项目</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标准限值</w:t>
            </w:r>
          </w:p>
        </w:tc>
      </w:tr>
      <w:tr w:rsidR="00240BCE">
        <w:trPr>
          <w:trHeight w:val="20"/>
        </w:trPr>
        <w:tc>
          <w:tcPr>
            <w:tcW w:w="959"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环境空气</w:t>
            </w:r>
          </w:p>
        </w:tc>
        <w:tc>
          <w:tcPr>
            <w:tcW w:w="2732"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《环境空气质量标准》（</w:t>
            </w:r>
            <w:r>
              <w:rPr>
                <w:rFonts w:ascii="Times New Roman" w:hAnsi="Times New Roman"/>
                <w:color w:val="000000"/>
                <w:szCs w:val="21"/>
              </w:rPr>
              <w:t>GB3095-2012</w:t>
            </w:r>
            <w:r>
              <w:rPr>
                <w:rFonts w:ascii="Times New Roman" w:hAnsi="Times New Roman"/>
                <w:color w:val="000000"/>
                <w:szCs w:val="21"/>
              </w:rPr>
              <w:t>）二级标准</w:t>
            </w:r>
          </w:p>
        </w:tc>
        <w:tc>
          <w:tcPr>
            <w:tcW w:w="1276" w:type="dxa"/>
            <w:vAlign w:val="center"/>
          </w:tcPr>
          <w:p w:rsidR="00240BCE" w:rsidRDefault="00240BCE" w:rsidP="001D482D">
            <w:pPr>
              <w:spacing w:line="360" w:lineRule="exact"/>
              <w:jc w:val="center"/>
              <w:rPr>
                <w:bCs/>
                <w:color w:val="000000"/>
                <w:sz w:val="21"/>
                <w:szCs w:val="21"/>
              </w:rPr>
            </w:pPr>
          </w:p>
        </w:tc>
        <w:tc>
          <w:tcPr>
            <w:tcW w:w="2835" w:type="dxa"/>
            <w:gridSpan w:val="3"/>
            <w:vAlign w:val="center"/>
          </w:tcPr>
          <w:p w:rsidR="00240BCE" w:rsidRDefault="00AC0334" w:rsidP="001D482D">
            <w:pPr>
              <w:spacing w:line="360" w:lineRule="exact"/>
              <w:jc w:val="center"/>
              <w:rPr>
                <w:bCs/>
                <w:color w:val="000000"/>
                <w:sz w:val="21"/>
                <w:szCs w:val="21"/>
              </w:rPr>
            </w:pPr>
            <w:r>
              <w:rPr>
                <w:bCs/>
                <w:color w:val="000000"/>
                <w:sz w:val="21"/>
                <w:szCs w:val="21"/>
              </w:rPr>
              <w:t>24</w:t>
            </w:r>
            <w:r>
              <w:rPr>
                <w:bCs/>
                <w:color w:val="000000"/>
                <w:sz w:val="21"/>
                <w:szCs w:val="21"/>
              </w:rPr>
              <w:t>小时平均</w:t>
            </w:r>
          </w:p>
        </w:tc>
        <w:tc>
          <w:tcPr>
            <w:tcW w:w="1440" w:type="dxa"/>
            <w:gridSpan w:val="2"/>
            <w:vAlign w:val="center"/>
          </w:tcPr>
          <w:p w:rsidR="00240BCE" w:rsidRDefault="00AC0334" w:rsidP="001D482D">
            <w:pPr>
              <w:spacing w:line="360" w:lineRule="exact"/>
              <w:jc w:val="center"/>
              <w:rPr>
                <w:bCs/>
                <w:color w:val="000000"/>
                <w:sz w:val="21"/>
                <w:szCs w:val="21"/>
              </w:rPr>
            </w:pPr>
            <w:r>
              <w:rPr>
                <w:bCs/>
                <w:color w:val="000000"/>
                <w:sz w:val="21"/>
                <w:szCs w:val="21"/>
              </w:rPr>
              <w:t>1</w:t>
            </w:r>
            <w:r>
              <w:rPr>
                <w:bCs/>
                <w:color w:val="000000"/>
                <w:sz w:val="21"/>
                <w:szCs w:val="21"/>
              </w:rPr>
              <w:t>小时平均</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bCs/>
                <w:color w:val="000000"/>
                <w:sz w:val="21"/>
                <w:szCs w:val="21"/>
              </w:rPr>
              <w:t>TSP</w:t>
            </w:r>
          </w:p>
        </w:tc>
        <w:tc>
          <w:tcPr>
            <w:tcW w:w="2835" w:type="dxa"/>
            <w:gridSpan w:val="3"/>
            <w:vAlign w:val="center"/>
          </w:tcPr>
          <w:p w:rsidR="00240BCE" w:rsidRDefault="00AC0334" w:rsidP="001D482D">
            <w:pPr>
              <w:spacing w:line="360" w:lineRule="exact"/>
              <w:jc w:val="center"/>
              <w:rPr>
                <w:bCs/>
                <w:color w:val="000000"/>
                <w:sz w:val="21"/>
                <w:szCs w:val="21"/>
              </w:rPr>
            </w:pPr>
            <w:r>
              <w:rPr>
                <w:bCs/>
                <w:color w:val="000000"/>
                <w:sz w:val="21"/>
                <w:szCs w:val="21"/>
              </w:rPr>
              <w:t>300</w:t>
            </w:r>
            <w:r>
              <w:rPr>
                <w:sz w:val="21"/>
                <w:szCs w:val="21"/>
              </w:rPr>
              <w:t>μg/m</w:t>
            </w:r>
            <w:r>
              <w:rPr>
                <w:sz w:val="21"/>
                <w:szCs w:val="21"/>
                <w:vertAlign w:val="superscript"/>
              </w:rPr>
              <w:t>3</w:t>
            </w:r>
          </w:p>
        </w:tc>
        <w:tc>
          <w:tcPr>
            <w:tcW w:w="1440" w:type="dxa"/>
            <w:gridSpan w:val="2"/>
            <w:vAlign w:val="center"/>
          </w:tcPr>
          <w:p w:rsidR="00240BCE" w:rsidRDefault="00AC0334" w:rsidP="001D482D">
            <w:pPr>
              <w:spacing w:line="360" w:lineRule="exact"/>
              <w:jc w:val="center"/>
              <w:rPr>
                <w:bCs/>
                <w:color w:val="000000"/>
                <w:sz w:val="21"/>
                <w:szCs w:val="21"/>
              </w:rPr>
            </w:pPr>
            <w:r>
              <w:rPr>
                <w:bCs/>
                <w:color w:val="000000"/>
                <w:sz w:val="21"/>
                <w:szCs w:val="21"/>
              </w:rPr>
              <w:t>/</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bCs/>
                <w:color w:val="000000"/>
                <w:sz w:val="21"/>
                <w:szCs w:val="21"/>
              </w:rPr>
              <w:t>PM</w:t>
            </w:r>
            <w:r>
              <w:rPr>
                <w:bCs/>
                <w:color w:val="000000"/>
                <w:sz w:val="21"/>
                <w:szCs w:val="21"/>
                <w:vertAlign w:val="subscript"/>
              </w:rPr>
              <w:t>10</w:t>
            </w:r>
          </w:p>
        </w:tc>
        <w:tc>
          <w:tcPr>
            <w:tcW w:w="2835" w:type="dxa"/>
            <w:gridSpan w:val="3"/>
            <w:vAlign w:val="center"/>
          </w:tcPr>
          <w:p w:rsidR="00240BCE" w:rsidRDefault="00AC0334" w:rsidP="001D482D">
            <w:pPr>
              <w:spacing w:line="360" w:lineRule="exact"/>
              <w:jc w:val="center"/>
              <w:rPr>
                <w:bCs/>
                <w:color w:val="000000"/>
                <w:sz w:val="21"/>
                <w:szCs w:val="21"/>
              </w:rPr>
            </w:pPr>
            <w:r>
              <w:rPr>
                <w:bCs/>
                <w:color w:val="000000"/>
                <w:sz w:val="21"/>
                <w:szCs w:val="21"/>
              </w:rPr>
              <w:t>150</w:t>
            </w:r>
            <w:r>
              <w:rPr>
                <w:sz w:val="21"/>
                <w:szCs w:val="21"/>
              </w:rPr>
              <w:t>μg/m</w:t>
            </w:r>
            <w:r>
              <w:rPr>
                <w:sz w:val="21"/>
                <w:szCs w:val="21"/>
                <w:vertAlign w:val="superscript"/>
              </w:rPr>
              <w:t>3</w:t>
            </w:r>
          </w:p>
        </w:tc>
        <w:tc>
          <w:tcPr>
            <w:tcW w:w="1440" w:type="dxa"/>
            <w:gridSpan w:val="2"/>
            <w:vAlign w:val="center"/>
          </w:tcPr>
          <w:p w:rsidR="00240BCE" w:rsidRDefault="00AC0334" w:rsidP="001D482D">
            <w:pPr>
              <w:spacing w:line="360" w:lineRule="exact"/>
              <w:jc w:val="center"/>
              <w:rPr>
                <w:bCs/>
                <w:color w:val="000000"/>
                <w:sz w:val="21"/>
                <w:szCs w:val="21"/>
              </w:rPr>
            </w:pPr>
            <w:r>
              <w:rPr>
                <w:bCs/>
                <w:color w:val="000000"/>
                <w:sz w:val="21"/>
                <w:szCs w:val="21"/>
              </w:rPr>
              <w:t>/</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bCs/>
                <w:color w:val="000000"/>
                <w:sz w:val="21"/>
                <w:szCs w:val="21"/>
              </w:rPr>
              <w:t>PM</w:t>
            </w:r>
            <w:r>
              <w:rPr>
                <w:bCs/>
                <w:color w:val="000000"/>
                <w:sz w:val="21"/>
                <w:szCs w:val="21"/>
                <w:vertAlign w:val="subscript"/>
              </w:rPr>
              <w:t>2.5</w:t>
            </w:r>
          </w:p>
        </w:tc>
        <w:tc>
          <w:tcPr>
            <w:tcW w:w="2835" w:type="dxa"/>
            <w:gridSpan w:val="3"/>
            <w:vAlign w:val="center"/>
          </w:tcPr>
          <w:p w:rsidR="00240BCE" w:rsidRDefault="00AC0334" w:rsidP="001D482D">
            <w:pPr>
              <w:spacing w:line="360" w:lineRule="exact"/>
              <w:jc w:val="center"/>
              <w:rPr>
                <w:bCs/>
                <w:color w:val="000000"/>
                <w:sz w:val="21"/>
                <w:szCs w:val="21"/>
              </w:rPr>
            </w:pPr>
            <w:r>
              <w:rPr>
                <w:bCs/>
                <w:color w:val="000000"/>
                <w:sz w:val="21"/>
                <w:szCs w:val="21"/>
              </w:rPr>
              <w:t>75</w:t>
            </w:r>
            <w:r>
              <w:rPr>
                <w:sz w:val="21"/>
                <w:szCs w:val="21"/>
              </w:rPr>
              <w:t>μg/m</w:t>
            </w:r>
            <w:r>
              <w:rPr>
                <w:sz w:val="21"/>
                <w:szCs w:val="21"/>
                <w:vertAlign w:val="superscript"/>
              </w:rPr>
              <w:t>3</w:t>
            </w:r>
          </w:p>
        </w:tc>
        <w:tc>
          <w:tcPr>
            <w:tcW w:w="1440" w:type="dxa"/>
            <w:gridSpan w:val="2"/>
            <w:vAlign w:val="center"/>
          </w:tcPr>
          <w:p w:rsidR="00240BCE" w:rsidRDefault="00AC0334" w:rsidP="001D482D">
            <w:pPr>
              <w:spacing w:line="360" w:lineRule="exact"/>
              <w:jc w:val="center"/>
              <w:rPr>
                <w:bCs/>
                <w:color w:val="000000"/>
                <w:sz w:val="21"/>
                <w:szCs w:val="21"/>
              </w:rPr>
            </w:pPr>
            <w:r>
              <w:rPr>
                <w:bCs/>
                <w:color w:val="000000"/>
                <w:sz w:val="21"/>
                <w:szCs w:val="21"/>
              </w:rPr>
              <w:t>/</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1276" w:type="dxa"/>
            <w:vAlign w:val="center"/>
          </w:tcPr>
          <w:p w:rsidR="00240BCE" w:rsidRDefault="00AC0334" w:rsidP="001D482D">
            <w:pPr>
              <w:adjustRightInd w:val="0"/>
              <w:snapToGrid w:val="0"/>
              <w:spacing w:line="360" w:lineRule="exact"/>
              <w:jc w:val="center"/>
              <w:rPr>
                <w:bCs/>
                <w:color w:val="000000"/>
                <w:sz w:val="21"/>
                <w:szCs w:val="21"/>
              </w:rPr>
            </w:pPr>
            <w:r>
              <w:rPr>
                <w:bCs/>
                <w:color w:val="000000"/>
                <w:sz w:val="21"/>
                <w:szCs w:val="21"/>
              </w:rPr>
              <w:t>SO</w:t>
            </w:r>
            <w:r>
              <w:rPr>
                <w:bCs/>
                <w:color w:val="000000"/>
                <w:sz w:val="21"/>
                <w:szCs w:val="21"/>
                <w:vertAlign w:val="subscript"/>
              </w:rPr>
              <w:t>2</w:t>
            </w:r>
          </w:p>
        </w:tc>
        <w:tc>
          <w:tcPr>
            <w:tcW w:w="2835" w:type="dxa"/>
            <w:gridSpan w:val="3"/>
            <w:vAlign w:val="center"/>
          </w:tcPr>
          <w:p w:rsidR="00240BCE" w:rsidRDefault="00AC0334" w:rsidP="001D482D">
            <w:pPr>
              <w:adjustRightInd w:val="0"/>
              <w:snapToGrid w:val="0"/>
              <w:spacing w:line="360" w:lineRule="exact"/>
              <w:jc w:val="center"/>
              <w:rPr>
                <w:bCs/>
                <w:color w:val="000000"/>
                <w:sz w:val="21"/>
                <w:szCs w:val="21"/>
              </w:rPr>
            </w:pPr>
            <w:r>
              <w:rPr>
                <w:bCs/>
                <w:color w:val="000000"/>
                <w:sz w:val="21"/>
                <w:szCs w:val="21"/>
              </w:rPr>
              <w:t>150</w:t>
            </w:r>
            <w:r>
              <w:rPr>
                <w:sz w:val="21"/>
                <w:szCs w:val="21"/>
              </w:rPr>
              <w:t>μg/m</w:t>
            </w:r>
            <w:r>
              <w:rPr>
                <w:sz w:val="21"/>
                <w:szCs w:val="21"/>
                <w:vertAlign w:val="superscript"/>
              </w:rPr>
              <w:t>3</w:t>
            </w:r>
            <w:r>
              <w:rPr>
                <w:bCs/>
                <w:color w:val="000000"/>
                <w:sz w:val="21"/>
                <w:szCs w:val="21"/>
                <w:vertAlign w:val="superscript"/>
              </w:rPr>
              <w:t>3</w:t>
            </w:r>
          </w:p>
        </w:tc>
        <w:tc>
          <w:tcPr>
            <w:tcW w:w="1440" w:type="dxa"/>
            <w:gridSpan w:val="2"/>
            <w:vAlign w:val="center"/>
          </w:tcPr>
          <w:p w:rsidR="00240BCE" w:rsidRDefault="00AC0334" w:rsidP="001D482D">
            <w:pPr>
              <w:adjustRightInd w:val="0"/>
              <w:snapToGrid w:val="0"/>
              <w:spacing w:line="360" w:lineRule="exact"/>
              <w:jc w:val="center"/>
              <w:rPr>
                <w:bCs/>
                <w:color w:val="000000"/>
                <w:sz w:val="21"/>
                <w:szCs w:val="21"/>
              </w:rPr>
            </w:pPr>
            <w:r>
              <w:rPr>
                <w:bCs/>
                <w:color w:val="000000"/>
                <w:sz w:val="21"/>
                <w:szCs w:val="21"/>
              </w:rPr>
              <w:t>500</w:t>
            </w:r>
            <w:r>
              <w:rPr>
                <w:sz w:val="21"/>
                <w:szCs w:val="21"/>
              </w:rPr>
              <w:t>μg/m</w:t>
            </w:r>
            <w:r>
              <w:rPr>
                <w:sz w:val="21"/>
                <w:szCs w:val="21"/>
                <w:vertAlign w:val="superscript"/>
              </w:rPr>
              <w:t>3</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bCs/>
                <w:color w:val="000000"/>
                <w:sz w:val="21"/>
                <w:szCs w:val="21"/>
              </w:rPr>
              <w:t>NO</w:t>
            </w:r>
            <w:r>
              <w:rPr>
                <w:bCs/>
                <w:color w:val="000000"/>
                <w:sz w:val="21"/>
                <w:szCs w:val="21"/>
                <w:vertAlign w:val="subscript"/>
              </w:rPr>
              <w:t>2</w:t>
            </w:r>
          </w:p>
        </w:tc>
        <w:tc>
          <w:tcPr>
            <w:tcW w:w="2835" w:type="dxa"/>
            <w:gridSpan w:val="3"/>
            <w:vAlign w:val="center"/>
          </w:tcPr>
          <w:p w:rsidR="00240BCE" w:rsidRDefault="00AC0334" w:rsidP="001D482D">
            <w:pPr>
              <w:adjustRightInd w:val="0"/>
              <w:snapToGrid w:val="0"/>
              <w:spacing w:line="360" w:lineRule="exact"/>
              <w:jc w:val="center"/>
              <w:rPr>
                <w:bCs/>
                <w:color w:val="000000"/>
                <w:sz w:val="21"/>
                <w:szCs w:val="21"/>
              </w:rPr>
            </w:pPr>
            <w:r>
              <w:rPr>
                <w:bCs/>
                <w:color w:val="000000"/>
                <w:sz w:val="21"/>
                <w:szCs w:val="21"/>
              </w:rPr>
              <w:t>80</w:t>
            </w:r>
            <w:r>
              <w:rPr>
                <w:sz w:val="21"/>
                <w:szCs w:val="21"/>
              </w:rPr>
              <w:t>μg/m</w:t>
            </w:r>
            <w:r>
              <w:rPr>
                <w:sz w:val="21"/>
                <w:szCs w:val="21"/>
                <w:vertAlign w:val="superscript"/>
              </w:rPr>
              <w:t>3</w:t>
            </w:r>
          </w:p>
        </w:tc>
        <w:tc>
          <w:tcPr>
            <w:tcW w:w="1440" w:type="dxa"/>
            <w:gridSpan w:val="2"/>
            <w:vAlign w:val="center"/>
          </w:tcPr>
          <w:p w:rsidR="00240BCE" w:rsidRDefault="00AC0334" w:rsidP="001D482D">
            <w:pPr>
              <w:adjustRightInd w:val="0"/>
              <w:snapToGrid w:val="0"/>
              <w:spacing w:line="360" w:lineRule="exact"/>
              <w:jc w:val="center"/>
              <w:rPr>
                <w:bCs/>
                <w:color w:val="000000"/>
                <w:sz w:val="21"/>
                <w:szCs w:val="21"/>
              </w:rPr>
            </w:pPr>
            <w:r>
              <w:rPr>
                <w:bCs/>
                <w:color w:val="000000"/>
                <w:sz w:val="21"/>
                <w:szCs w:val="21"/>
              </w:rPr>
              <w:t>200</w:t>
            </w:r>
            <w:r>
              <w:rPr>
                <w:sz w:val="21"/>
                <w:szCs w:val="21"/>
              </w:rPr>
              <w:t>μg/m</w:t>
            </w:r>
            <w:r>
              <w:rPr>
                <w:sz w:val="21"/>
                <w:szCs w:val="21"/>
                <w:vertAlign w:val="superscript"/>
              </w:rPr>
              <w:t>3</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bCs/>
                <w:color w:val="000000"/>
                <w:sz w:val="21"/>
                <w:szCs w:val="21"/>
              </w:rPr>
              <w:t>CO</w:t>
            </w:r>
          </w:p>
        </w:tc>
        <w:tc>
          <w:tcPr>
            <w:tcW w:w="2835" w:type="dxa"/>
            <w:gridSpan w:val="3"/>
            <w:vAlign w:val="center"/>
          </w:tcPr>
          <w:p w:rsidR="00240BCE" w:rsidRDefault="00AC0334" w:rsidP="001D482D">
            <w:pPr>
              <w:adjustRightInd w:val="0"/>
              <w:snapToGrid w:val="0"/>
              <w:spacing w:line="360" w:lineRule="exact"/>
              <w:jc w:val="center"/>
              <w:rPr>
                <w:bCs/>
                <w:color w:val="000000"/>
                <w:sz w:val="21"/>
                <w:szCs w:val="21"/>
              </w:rPr>
            </w:pPr>
            <w:r>
              <w:rPr>
                <w:bCs/>
                <w:color w:val="000000"/>
                <w:sz w:val="21"/>
                <w:szCs w:val="21"/>
              </w:rPr>
              <w:t>4mg/m</w:t>
            </w:r>
            <w:r>
              <w:rPr>
                <w:bCs/>
                <w:color w:val="000000"/>
                <w:sz w:val="21"/>
                <w:szCs w:val="21"/>
                <w:vertAlign w:val="superscript"/>
              </w:rPr>
              <w:t>3</w:t>
            </w:r>
          </w:p>
        </w:tc>
        <w:tc>
          <w:tcPr>
            <w:tcW w:w="1440" w:type="dxa"/>
            <w:gridSpan w:val="2"/>
            <w:vAlign w:val="center"/>
          </w:tcPr>
          <w:p w:rsidR="00240BCE" w:rsidRDefault="00AC0334" w:rsidP="001D482D">
            <w:pPr>
              <w:adjustRightInd w:val="0"/>
              <w:snapToGrid w:val="0"/>
              <w:spacing w:line="360" w:lineRule="exact"/>
              <w:jc w:val="center"/>
              <w:rPr>
                <w:bCs/>
                <w:color w:val="000000"/>
                <w:sz w:val="21"/>
                <w:szCs w:val="21"/>
              </w:rPr>
            </w:pPr>
            <w:r>
              <w:rPr>
                <w:bCs/>
                <w:color w:val="000000"/>
                <w:sz w:val="21"/>
                <w:szCs w:val="21"/>
              </w:rPr>
              <w:t>10mg/m</w:t>
            </w:r>
            <w:r>
              <w:rPr>
                <w:bCs/>
                <w:color w:val="000000"/>
                <w:sz w:val="21"/>
                <w:szCs w:val="21"/>
                <w:vertAlign w:val="superscript"/>
              </w:rPr>
              <w:t>3</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adjustRightInd w:val="0"/>
              <w:snapToGrid w:val="0"/>
              <w:spacing w:line="360" w:lineRule="exact"/>
              <w:jc w:val="center"/>
              <w:rPr>
                <w:bCs/>
                <w:color w:val="000000"/>
                <w:sz w:val="21"/>
                <w:szCs w:val="21"/>
                <w:vertAlign w:val="subscript"/>
              </w:rPr>
            </w:pPr>
            <w:r>
              <w:rPr>
                <w:bCs/>
                <w:color w:val="000000"/>
                <w:sz w:val="21"/>
                <w:szCs w:val="21"/>
              </w:rPr>
              <w:t>O</w:t>
            </w:r>
            <w:r>
              <w:rPr>
                <w:bCs/>
                <w:color w:val="000000"/>
                <w:sz w:val="21"/>
                <w:szCs w:val="21"/>
                <w:vertAlign w:val="subscript"/>
              </w:rPr>
              <w:t>3</w:t>
            </w:r>
          </w:p>
        </w:tc>
        <w:tc>
          <w:tcPr>
            <w:tcW w:w="2835" w:type="dxa"/>
            <w:gridSpan w:val="3"/>
            <w:vAlign w:val="center"/>
          </w:tcPr>
          <w:p w:rsidR="00240BCE" w:rsidRDefault="00AC0334" w:rsidP="001D482D">
            <w:pPr>
              <w:adjustRightInd w:val="0"/>
              <w:snapToGrid w:val="0"/>
              <w:spacing w:line="360" w:lineRule="exact"/>
              <w:jc w:val="center"/>
              <w:rPr>
                <w:bCs/>
                <w:color w:val="000000"/>
                <w:sz w:val="21"/>
                <w:szCs w:val="21"/>
              </w:rPr>
            </w:pPr>
            <w:r>
              <w:rPr>
                <w:bCs/>
                <w:color w:val="000000"/>
                <w:sz w:val="21"/>
                <w:szCs w:val="21"/>
              </w:rPr>
              <w:t>160</w:t>
            </w:r>
            <w:r>
              <w:rPr>
                <w:sz w:val="21"/>
                <w:szCs w:val="21"/>
              </w:rPr>
              <w:t>μg/m</w:t>
            </w:r>
            <w:r>
              <w:rPr>
                <w:sz w:val="21"/>
                <w:szCs w:val="21"/>
                <w:vertAlign w:val="superscript"/>
              </w:rPr>
              <w:t>3</w:t>
            </w:r>
            <w:r>
              <w:rPr>
                <w:bCs/>
                <w:color w:val="000000"/>
                <w:sz w:val="21"/>
                <w:szCs w:val="21"/>
              </w:rPr>
              <w:t>（日最大</w:t>
            </w:r>
            <w:r>
              <w:rPr>
                <w:bCs/>
                <w:color w:val="000000"/>
                <w:sz w:val="21"/>
                <w:szCs w:val="21"/>
              </w:rPr>
              <w:t>8</w:t>
            </w:r>
            <w:r>
              <w:rPr>
                <w:bCs/>
                <w:color w:val="000000"/>
                <w:sz w:val="21"/>
                <w:szCs w:val="21"/>
              </w:rPr>
              <w:t>小时平均）</w:t>
            </w:r>
          </w:p>
        </w:tc>
        <w:tc>
          <w:tcPr>
            <w:tcW w:w="1440" w:type="dxa"/>
            <w:gridSpan w:val="2"/>
            <w:vAlign w:val="center"/>
          </w:tcPr>
          <w:p w:rsidR="00240BCE" w:rsidRDefault="00AC0334" w:rsidP="001D482D">
            <w:pPr>
              <w:adjustRightInd w:val="0"/>
              <w:snapToGrid w:val="0"/>
              <w:spacing w:line="360" w:lineRule="exact"/>
              <w:jc w:val="center"/>
              <w:rPr>
                <w:bCs/>
                <w:color w:val="000000"/>
                <w:sz w:val="21"/>
                <w:szCs w:val="21"/>
              </w:rPr>
            </w:pPr>
            <w:r>
              <w:rPr>
                <w:bCs/>
                <w:color w:val="000000"/>
                <w:sz w:val="21"/>
                <w:szCs w:val="21"/>
              </w:rPr>
              <w:t>200</w:t>
            </w:r>
            <w:r>
              <w:rPr>
                <w:sz w:val="21"/>
                <w:szCs w:val="21"/>
              </w:rPr>
              <w:t>μg/m</w:t>
            </w:r>
            <w:r>
              <w:rPr>
                <w:sz w:val="21"/>
                <w:szCs w:val="21"/>
                <w:vertAlign w:val="superscript"/>
              </w:rPr>
              <w:t>3</w:t>
            </w:r>
          </w:p>
        </w:tc>
      </w:tr>
      <w:tr w:rsidR="00240BCE">
        <w:trPr>
          <w:trHeight w:val="90"/>
        </w:trPr>
        <w:tc>
          <w:tcPr>
            <w:tcW w:w="959"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地表水</w:t>
            </w:r>
          </w:p>
        </w:tc>
        <w:tc>
          <w:tcPr>
            <w:tcW w:w="2732"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《地表水环境质量标准》（</w:t>
            </w:r>
            <w:r>
              <w:rPr>
                <w:rFonts w:ascii="Times New Roman" w:hAnsi="Times New Roman"/>
                <w:color w:val="000000"/>
                <w:szCs w:val="21"/>
              </w:rPr>
              <w:t>GB3838-2002</w:t>
            </w:r>
            <w:r>
              <w:rPr>
                <w:rFonts w:ascii="Times New Roman" w:hAnsi="Times New Roman"/>
                <w:color w:val="000000"/>
                <w:szCs w:val="21"/>
              </w:rPr>
              <w:t>）</w:t>
            </w:r>
            <w:r>
              <w:rPr>
                <w:rFonts w:ascii="Times New Roman" w:hAnsi="Times New Roman"/>
                <w:color w:val="000000"/>
                <w:szCs w:val="21"/>
              </w:rPr>
              <w:t>Ⅲ</w:t>
            </w:r>
            <w:r>
              <w:rPr>
                <w:rFonts w:ascii="Times New Roman" w:hAnsi="Times New Roman"/>
                <w:color w:val="000000"/>
                <w:szCs w:val="21"/>
              </w:rPr>
              <w:t>类标准</w:t>
            </w: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pH</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6</w:t>
            </w:r>
            <w:r>
              <w:rPr>
                <w:rFonts w:ascii="Times New Roman" w:hAnsi="Times New Roman"/>
                <w:color w:val="000000"/>
                <w:szCs w:val="21"/>
              </w:rPr>
              <w:t>～</w:t>
            </w:r>
            <w:r>
              <w:rPr>
                <w:rFonts w:ascii="Times New Roman" w:hAnsi="Times New Roman"/>
                <w:color w:val="000000"/>
                <w:szCs w:val="21"/>
              </w:rPr>
              <w:t>9</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COD</w:t>
            </w:r>
            <w:r>
              <w:rPr>
                <w:rFonts w:ascii="Times New Roman" w:hAnsi="Times New Roman"/>
                <w:color w:val="000000"/>
                <w:szCs w:val="21"/>
                <w:vertAlign w:val="subscript"/>
              </w:rPr>
              <w:t>Cr</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20mg/L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BOD</w:t>
            </w:r>
            <w:r>
              <w:rPr>
                <w:rFonts w:ascii="Times New Roman" w:hAnsi="Times New Roman"/>
                <w:color w:val="000000"/>
                <w:szCs w:val="21"/>
                <w:vertAlign w:val="subscript"/>
              </w:rPr>
              <w:t>5</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4mg/L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氨氮</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1.0mg/L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砷</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0.05mg/L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Cd</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0.005mg/L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Cr</w:t>
            </w:r>
            <w:r>
              <w:rPr>
                <w:rFonts w:ascii="Times New Roman" w:hAnsi="Times New Roman"/>
                <w:color w:val="000000"/>
                <w:szCs w:val="21"/>
                <w:vertAlign w:val="superscript"/>
              </w:rPr>
              <w:t>6+</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0.05mg/L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氟化物</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1.0mg/L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总铁</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0.3mg/L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石油类</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0.05mg/L</w:t>
            </w:r>
          </w:p>
        </w:tc>
      </w:tr>
      <w:tr w:rsidR="00240BCE">
        <w:trPr>
          <w:trHeight w:val="20"/>
        </w:trPr>
        <w:tc>
          <w:tcPr>
            <w:tcW w:w="959"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地下水</w:t>
            </w:r>
          </w:p>
        </w:tc>
        <w:tc>
          <w:tcPr>
            <w:tcW w:w="2732" w:type="dxa"/>
            <w:vMerge w:val="restart"/>
            <w:vAlign w:val="center"/>
          </w:tcPr>
          <w:p w:rsidR="00240BCE" w:rsidRDefault="00AC0334" w:rsidP="001D482D">
            <w:pPr>
              <w:widowControl/>
              <w:spacing w:line="360" w:lineRule="exact"/>
              <w:jc w:val="center"/>
              <w:rPr>
                <w:color w:val="000000"/>
                <w:sz w:val="21"/>
                <w:szCs w:val="21"/>
              </w:rPr>
            </w:pPr>
            <w:r>
              <w:rPr>
                <w:color w:val="000000"/>
                <w:sz w:val="21"/>
                <w:szCs w:val="21"/>
              </w:rPr>
              <w:t>《地下水质量标准》（</w:t>
            </w:r>
            <w:r>
              <w:rPr>
                <w:color w:val="000000"/>
                <w:sz w:val="21"/>
                <w:szCs w:val="21"/>
              </w:rPr>
              <w:t>GB/T14848-2017</w:t>
            </w:r>
            <w:r>
              <w:rPr>
                <w:color w:val="000000"/>
                <w:sz w:val="21"/>
                <w:szCs w:val="21"/>
              </w:rPr>
              <w:t>）</w:t>
            </w:r>
            <w:r>
              <w:rPr>
                <w:color w:val="000000"/>
                <w:sz w:val="21"/>
                <w:szCs w:val="21"/>
              </w:rPr>
              <w:t>Ⅲ</w:t>
            </w:r>
            <w:r>
              <w:rPr>
                <w:color w:val="000000"/>
                <w:sz w:val="21"/>
                <w:szCs w:val="21"/>
              </w:rPr>
              <w:t>类标准</w:t>
            </w: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pH</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6.5</w:t>
            </w:r>
            <w:r>
              <w:rPr>
                <w:rFonts w:ascii="Times New Roman" w:hAnsi="Times New Roman"/>
                <w:color w:val="000000"/>
                <w:szCs w:val="21"/>
              </w:rPr>
              <w:t>～</w:t>
            </w:r>
            <w:r>
              <w:rPr>
                <w:rFonts w:ascii="Times New Roman" w:hAnsi="Times New Roman"/>
                <w:color w:val="000000"/>
                <w:szCs w:val="21"/>
              </w:rPr>
              <w:t>8.5</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widowControl/>
              <w:spacing w:line="360" w:lineRule="exact"/>
              <w:rPr>
                <w:color w:val="000000"/>
                <w:sz w:val="21"/>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氨氮</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≤0.50mg/L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widowControl/>
              <w:spacing w:line="360" w:lineRule="exact"/>
              <w:rPr>
                <w:color w:val="000000"/>
                <w:sz w:val="21"/>
                <w:szCs w:val="21"/>
              </w:rPr>
            </w:pPr>
          </w:p>
        </w:tc>
        <w:tc>
          <w:tcPr>
            <w:tcW w:w="1276" w:type="dxa"/>
            <w:vAlign w:val="center"/>
          </w:tcPr>
          <w:p w:rsidR="00240BCE" w:rsidRDefault="00AC0334" w:rsidP="001D482D">
            <w:pPr>
              <w:widowControl/>
              <w:spacing w:line="360" w:lineRule="exact"/>
              <w:jc w:val="center"/>
              <w:rPr>
                <w:color w:val="000000"/>
                <w:sz w:val="21"/>
                <w:szCs w:val="21"/>
              </w:rPr>
            </w:pPr>
            <w:r>
              <w:rPr>
                <w:sz w:val="21"/>
                <w:szCs w:val="21"/>
              </w:rPr>
              <w:t>硝酸盐</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≤20.0mg/L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widowControl/>
              <w:spacing w:line="360" w:lineRule="exact"/>
              <w:rPr>
                <w:color w:val="000000"/>
                <w:sz w:val="21"/>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szCs w:val="21"/>
              </w:rPr>
              <w:t>亚硝酸盐</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≤1.00mg/L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widowControl/>
              <w:spacing w:line="360" w:lineRule="exact"/>
              <w:rPr>
                <w:color w:val="000000"/>
                <w:sz w:val="21"/>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砷</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≤0.01mg/L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widowControl/>
              <w:spacing w:line="360" w:lineRule="exact"/>
              <w:rPr>
                <w:color w:val="000000"/>
                <w:sz w:val="21"/>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汞</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≤0.001mg/L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widowControl/>
              <w:spacing w:line="360" w:lineRule="exact"/>
              <w:rPr>
                <w:color w:val="000000"/>
                <w:sz w:val="21"/>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六价铬</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≤0.05mg/L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widowControl/>
              <w:spacing w:line="360" w:lineRule="exact"/>
              <w:rPr>
                <w:color w:val="000000"/>
                <w:sz w:val="21"/>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铅</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≤0.01mg/L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总硬度</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≤450mg/L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氟化物</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≤1.0mg/L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镉</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≤0.005mg/L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铁</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≤0.3mg/L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溶解性总固体</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≤1000mg/L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耗氧量</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≤3.0mg/L</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总大肠菌群</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≤3</w:t>
            </w:r>
            <w:r>
              <w:rPr>
                <w:rFonts w:ascii="Times New Roman" w:hAnsi="Times New Roman"/>
                <w:color w:val="000000"/>
                <w:w w:val="80"/>
                <w:szCs w:val="21"/>
              </w:rPr>
              <w:t>个</w:t>
            </w:r>
            <w:r>
              <w:rPr>
                <w:rFonts w:ascii="Times New Roman" w:hAnsi="Times New Roman"/>
                <w:color w:val="000000"/>
                <w:w w:val="80"/>
                <w:szCs w:val="21"/>
              </w:rPr>
              <w:t>/L</w:t>
            </w:r>
          </w:p>
        </w:tc>
      </w:tr>
      <w:tr w:rsidR="00240BCE">
        <w:trPr>
          <w:trHeight w:val="20"/>
        </w:trPr>
        <w:tc>
          <w:tcPr>
            <w:tcW w:w="959"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lastRenderedPageBreak/>
              <w:t>声环境</w:t>
            </w:r>
          </w:p>
        </w:tc>
        <w:tc>
          <w:tcPr>
            <w:tcW w:w="2732"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《声环境质量标准》</w:t>
            </w:r>
          </w:p>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GB3096-2008</w:t>
            </w:r>
            <w:r>
              <w:rPr>
                <w:rFonts w:ascii="Times New Roman" w:hAnsi="Times New Roman"/>
                <w:color w:val="000000"/>
                <w:szCs w:val="21"/>
              </w:rPr>
              <w:t>）</w:t>
            </w:r>
            <w:r>
              <w:rPr>
                <w:rFonts w:ascii="Times New Roman" w:hAnsi="Times New Roman"/>
                <w:color w:val="000000"/>
                <w:szCs w:val="21"/>
              </w:rPr>
              <w:t>2</w:t>
            </w:r>
            <w:r>
              <w:rPr>
                <w:rFonts w:ascii="Times New Roman" w:hAnsi="Times New Roman"/>
                <w:color w:val="000000"/>
                <w:szCs w:val="21"/>
              </w:rPr>
              <w:t>类标准</w:t>
            </w:r>
          </w:p>
        </w:tc>
        <w:tc>
          <w:tcPr>
            <w:tcW w:w="1276"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等效连续</w:t>
            </w:r>
            <w:r>
              <w:rPr>
                <w:rFonts w:ascii="Times New Roman" w:hAnsi="Times New Roman"/>
                <w:color w:val="000000"/>
                <w:szCs w:val="21"/>
              </w:rPr>
              <w:t xml:space="preserve">A </w:t>
            </w:r>
            <w:r>
              <w:rPr>
                <w:rFonts w:ascii="Times New Roman" w:hAnsi="Times New Roman"/>
                <w:color w:val="000000"/>
                <w:szCs w:val="21"/>
              </w:rPr>
              <w:t>声级</w:t>
            </w: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昼间</w:t>
            </w:r>
            <w:r>
              <w:rPr>
                <w:rFonts w:ascii="Times New Roman" w:hAnsi="Times New Roman"/>
                <w:color w:val="000000"/>
                <w:szCs w:val="21"/>
              </w:rPr>
              <w:t>60dB(A)</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4275" w:type="dxa"/>
            <w:gridSpan w:val="5"/>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夜间</w:t>
            </w:r>
            <w:r>
              <w:rPr>
                <w:rFonts w:ascii="Times New Roman" w:hAnsi="Times New Roman"/>
                <w:color w:val="000000"/>
                <w:szCs w:val="21"/>
              </w:rPr>
              <w:t>50dB(A)</w:t>
            </w:r>
          </w:p>
        </w:tc>
      </w:tr>
      <w:tr w:rsidR="00240BCE">
        <w:trPr>
          <w:trHeight w:val="20"/>
        </w:trPr>
        <w:tc>
          <w:tcPr>
            <w:tcW w:w="959"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土壤</w:t>
            </w:r>
          </w:p>
        </w:tc>
        <w:tc>
          <w:tcPr>
            <w:tcW w:w="2732" w:type="dxa"/>
            <w:vMerge w:val="restart"/>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《土壤环境质量</w:t>
            </w:r>
            <w:r>
              <w:rPr>
                <w:rFonts w:ascii="Times New Roman" w:hAnsi="Times New Roman"/>
                <w:color w:val="000000"/>
                <w:szCs w:val="21"/>
              </w:rPr>
              <w:t xml:space="preserve"> </w:t>
            </w:r>
            <w:r>
              <w:rPr>
                <w:rFonts w:ascii="Times New Roman" w:hAnsi="Times New Roman"/>
                <w:color w:val="000000"/>
                <w:szCs w:val="21"/>
              </w:rPr>
              <w:t>农用地土壤污染风险管控标准》</w:t>
            </w:r>
          </w:p>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GB/15618-2018</w:t>
            </w:r>
            <w:r>
              <w:rPr>
                <w:rFonts w:ascii="Times New Roman" w:hAnsi="Times New Roman"/>
                <w:color w:val="000000"/>
                <w:szCs w:val="21"/>
              </w:rPr>
              <w:t>）</w:t>
            </w:r>
          </w:p>
        </w:tc>
        <w:tc>
          <w:tcPr>
            <w:tcW w:w="1276" w:type="dxa"/>
            <w:vMerge w:val="restart"/>
            <w:vAlign w:val="center"/>
          </w:tcPr>
          <w:p w:rsidR="00240BCE" w:rsidRDefault="00AC0334" w:rsidP="001D482D">
            <w:pPr>
              <w:spacing w:line="360" w:lineRule="exact"/>
              <w:jc w:val="center"/>
              <w:rPr>
                <w:bCs/>
                <w:color w:val="000000"/>
                <w:sz w:val="21"/>
                <w:szCs w:val="21"/>
              </w:rPr>
            </w:pPr>
            <w:r>
              <w:rPr>
                <w:bCs/>
                <w:color w:val="000000"/>
                <w:sz w:val="21"/>
                <w:szCs w:val="21"/>
              </w:rPr>
              <w:t>项目</w:t>
            </w:r>
          </w:p>
        </w:tc>
        <w:tc>
          <w:tcPr>
            <w:tcW w:w="4275" w:type="dxa"/>
            <w:gridSpan w:val="5"/>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筛选值</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1276" w:type="dxa"/>
            <w:vMerge/>
            <w:vAlign w:val="center"/>
          </w:tcPr>
          <w:p w:rsidR="00240BCE" w:rsidRDefault="00240BCE" w:rsidP="001D482D">
            <w:pPr>
              <w:spacing w:line="360" w:lineRule="exact"/>
              <w:jc w:val="center"/>
              <w:rPr>
                <w:bCs/>
                <w:color w:val="000000"/>
                <w:sz w:val="21"/>
                <w:szCs w:val="21"/>
              </w:rPr>
            </w:pPr>
          </w:p>
        </w:tc>
        <w:tc>
          <w:tcPr>
            <w:tcW w:w="1068" w:type="dxa"/>
            <w:vAlign w:val="center"/>
          </w:tcPr>
          <w:p w:rsidR="00240BCE" w:rsidRDefault="00AC0334" w:rsidP="001D482D">
            <w:pPr>
              <w:adjustRightInd w:val="0"/>
              <w:snapToGrid w:val="0"/>
              <w:spacing w:line="360" w:lineRule="exact"/>
              <w:jc w:val="center"/>
              <w:rPr>
                <w:color w:val="000000"/>
                <w:w w:val="90"/>
                <w:sz w:val="21"/>
                <w:szCs w:val="21"/>
              </w:rPr>
            </w:pPr>
            <w:r>
              <w:rPr>
                <w:color w:val="000000"/>
                <w:w w:val="90"/>
                <w:sz w:val="21"/>
                <w:szCs w:val="21"/>
              </w:rPr>
              <w:t>pH≤5.5</w:t>
            </w:r>
          </w:p>
        </w:tc>
        <w:tc>
          <w:tcPr>
            <w:tcW w:w="1069" w:type="dxa"/>
            <w:vAlign w:val="center"/>
          </w:tcPr>
          <w:p w:rsidR="00240BCE" w:rsidRDefault="00AC0334" w:rsidP="001D482D">
            <w:pPr>
              <w:adjustRightInd w:val="0"/>
              <w:snapToGrid w:val="0"/>
              <w:spacing w:line="360" w:lineRule="exact"/>
              <w:jc w:val="center"/>
              <w:rPr>
                <w:color w:val="000000"/>
                <w:w w:val="90"/>
                <w:sz w:val="21"/>
                <w:szCs w:val="21"/>
              </w:rPr>
            </w:pPr>
            <w:r>
              <w:rPr>
                <w:color w:val="000000"/>
                <w:w w:val="90"/>
                <w:sz w:val="21"/>
                <w:szCs w:val="21"/>
              </w:rPr>
              <w:t>5.5&lt;pH≤6.5</w:t>
            </w:r>
          </w:p>
        </w:tc>
        <w:tc>
          <w:tcPr>
            <w:tcW w:w="1069" w:type="dxa"/>
            <w:gridSpan w:val="2"/>
            <w:vAlign w:val="center"/>
          </w:tcPr>
          <w:p w:rsidR="00240BCE" w:rsidRDefault="00AC0334" w:rsidP="001D482D">
            <w:pPr>
              <w:adjustRightInd w:val="0"/>
              <w:snapToGrid w:val="0"/>
              <w:spacing w:line="360" w:lineRule="exact"/>
              <w:jc w:val="center"/>
              <w:rPr>
                <w:color w:val="000000"/>
                <w:w w:val="90"/>
                <w:sz w:val="21"/>
                <w:szCs w:val="21"/>
              </w:rPr>
            </w:pPr>
            <w:r>
              <w:rPr>
                <w:color w:val="000000"/>
                <w:w w:val="90"/>
                <w:sz w:val="21"/>
                <w:szCs w:val="21"/>
              </w:rPr>
              <w:t>6.5&lt;pH≤7.5</w:t>
            </w:r>
          </w:p>
        </w:tc>
        <w:tc>
          <w:tcPr>
            <w:tcW w:w="1069" w:type="dxa"/>
            <w:vAlign w:val="center"/>
          </w:tcPr>
          <w:p w:rsidR="00240BCE" w:rsidRDefault="00AC0334" w:rsidP="001D482D">
            <w:pPr>
              <w:adjustRightInd w:val="0"/>
              <w:snapToGrid w:val="0"/>
              <w:spacing w:line="360" w:lineRule="exact"/>
              <w:jc w:val="center"/>
              <w:rPr>
                <w:color w:val="000000"/>
                <w:w w:val="90"/>
                <w:sz w:val="21"/>
                <w:szCs w:val="21"/>
              </w:rPr>
            </w:pPr>
            <w:r>
              <w:rPr>
                <w:color w:val="000000"/>
                <w:w w:val="90"/>
                <w:sz w:val="21"/>
                <w:szCs w:val="21"/>
              </w:rPr>
              <w:t>pH&gt;7.5</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color w:val="000000"/>
                <w:kern w:val="0"/>
                <w:sz w:val="21"/>
                <w:szCs w:val="21"/>
              </w:rPr>
              <w:t>镉</w:t>
            </w:r>
          </w:p>
        </w:tc>
        <w:tc>
          <w:tcPr>
            <w:tcW w:w="1068"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0.3mg/kg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0.3mg/kg</w:t>
            </w:r>
          </w:p>
        </w:tc>
        <w:tc>
          <w:tcPr>
            <w:tcW w:w="1069" w:type="dxa"/>
            <w:gridSpan w:val="2"/>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0.3mg/kg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0.6mg/kg</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color w:val="000000"/>
                <w:kern w:val="0"/>
                <w:sz w:val="21"/>
                <w:szCs w:val="21"/>
              </w:rPr>
              <w:t>汞</w:t>
            </w:r>
          </w:p>
        </w:tc>
        <w:tc>
          <w:tcPr>
            <w:tcW w:w="1068"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1.3mg/kg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1.8mg/kg</w:t>
            </w:r>
          </w:p>
        </w:tc>
        <w:tc>
          <w:tcPr>
            <w:tcW w:w="1069" w:type="dxa"/>
            <w:gridSpan w:val="2"/>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2.4mg/kg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3.4mg/kg</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color w:val="000000"/>
                <w:kern w:val="0"/>
                <w:sz w:val="21"/>
                <w:szCs w:val="21"/>
              </w:rPr>
              <w:t>砷</w:t>
            </w:r>
          </w:p>
        </w:tc>
        <w:tc>
          <w:tcPr>
            <w:tcW w:w="1068"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40mg/kg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40mg/kg</w:t>
            </w:r>
          </w:p>
        </w:tc>
        <w:tc>
          <w:tcPr>
            <w:tcW w:w="1069" w:type="dxa"/>
            <w:gridSpan w:val="2"/>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30mg/kg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25mg/kg</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color w:val="000000"/>
                <w:kern w:val="0"/>
                <w:sz w:val="21"/>
                <w:szCs w:val="21"/>
              </w:rPr>
              <w:t>铅</w:t>
            </w:r>
          </w:p>
        </w:tc>
        <w:tc>
          <w:tcPr>
            <w:tcW w:w="1068"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70mg/kg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90mg/kg</w:t>
            </w:r>
          </w:p>
        </w:tc>
        <w:tc>
          <w:tcPr>
            <w:tcW w:w="1069" w:type="dxa"/>
            <w:gridSpan w:val="2"/>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120mg/kg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170mg/kg</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color w:val="000000"/>
                <w:kern w:val="0"/>
                <w:sz w:val="21"/>
                <w:szCs w:val="21"/>
              </w:rPr>
              <w:t>铬</w:t>
            </w:r>
          </w:p>
        </w:tc>
        <w:tc>
          <w:tcPr>
            <w:tcW w:w="1068"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150mg/kg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150mg/kg</w:t>
            </w:r>
          </w:p>
        </w:tc>
        <w:tc>
          <w:tcPr>
            <w:tcW w:w="1069" w:type="dxa"/>
            <w:gridSpan w:val="2"/>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200mg/kg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250mg/kg</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color w:val="000000"/>
                <w:kern w:val="0"/>
                <w:sz w:val="21"/>
                <w:szCs w:val="21"/>
              </w:rPr>
              <w:t>铜</w:t>
            </w:r>
          </w:p>
        </w:tc>
        <w:tc>
          <w:tcPr>
            <w:tcW w:w="1068"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50mg/kg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50mg/kg</w:t>
            </w:r>
          </w:p>
        </w:tc>
        <w:tc>
          <w:tcPr>
            <w:tcW w:w="1069" w:type="dxa"/>
            <w:gridSpan w:val="2"/>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100mg/kg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100mg/kg</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color w:val="000000"/>
                <w:kern w:val="0"/>
                <w:sz w:val="21"/>
                <w:szCs w:val="21"/>
              </w:rPr>
              <w:t>镍</w:t>
            </w:r>
          </w:p>
        </w:tc>
        <w:tc>
          <w:tcPr>
            <w:tcW w:w="1068"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60mg/kg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70mg/kg</w:t>
            </w:r>
          </w:p>
        </w:tc>
        <w:tc>
          <w:tcPr>
            <w:tcW w:w="1069" w:type="dxa"/>
            <w:gridSpan w:val="2"/>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100mg/kg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190mg/kg</w:t>
            </w:r>
          </w:p>
        </w:tc>
      </w:tr>
      <w:tr w:rsidR="00240BCE">
        <w:trPr>
          <w:trHeight w:val="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Merge/>
            <w:vAlign w:val="center"/>
          </w:tcPr>
          <w:p w:rsidR="00240BCE" w:rsidRDefault="00240BCE" w:rsidP="001D482D">
            <w:pPr>
              <w:pStyle w:val="00"/>
              <w:adjustRightInd w:val="0"/>
              <w:snapToGrid w:val="0"/>
              <w:spacing w:line="360" w:lineRule="exact"/>
              <w:jc w:val="both"/>
              <w:rPr>
                <w:rFonts w:ascii="Times New Roman" w:hAnsi="Times New Roman"/>
                <w:color w:val="000000"/>
                <w:szCs w:val="21"/>
              </w:rPr>
            </w:pPr>
          </w:p>
        </w:tc>
        <w:tc>
          <w:tcPr>
            <w:tcW w:w="1276" w:type="dxa"/>
            <w:vAlign w:val="center"/>
          </w:tcPr>
          <w:p w:rsidR="00240BCE" w:rsidRDefault="00AC0334" w:rsidP="001D482D">
            <w:pPr>
              <w:spacing w:line="360" w:lineRule="exact"/>
              <w:jc w:val="center"/>
              <w:rPr>
                <w:bCs/>
                <w:color w:val="000000"/>
                <w:sz w:val="21"/>
                <w:szCs w:val="21"/>
              </w:rPr>
            </w:pPr>
            <w:r>
              <w:rPr>
                <w:bCs/>
                <w:color w:val="000000"/>
                <w:sz w:val="21"/>
                <w:szCs w:val="21"/>
              </w:rPr>
              <w:t>锌</w:t>
            </w:r>
          </w:p>
        </w:tc>
        <w:tc>
          <w:tcPr>
            <w:tcW w:w="1068"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200mg/kg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200mg/kg</w:t>
            </w:r>
          </w:p>
        </w:tc>
        <w:tc>
          <w:tcPr>
            <w:tcW w:w="1069" w:type="dxa"/>
            <w:gridSpan w:val="2"/>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250mg/kg</w:t>
            </w:r>
          </w:p>
        </w:tc>
        <w:tc>
          <w:tcPr>
            <w:tcW w:w="1069" w:type="dxa"/>
            <w:vAlign w:val="center"/>
          </w:tcPr>
          <w:p w:rsidR="00240BCE" w:rsidRDefault="00AC0334" w:rsidP="001D482D">
            <w:pPr>
              <w:adjustRightInd w:val="0"/>
              <w:snapToGrid w:val="0"/>
              <w:spacing w:line="360" w:lineRule="exact"/>
              <w:jc w:val="center"/>
              <w:rPr>
                <w:color w:val="000000"/>
                <w:spacing w:val="2"/>
                <w:sz w:val="21"/>
                <w:szCs w:val="21"/>
              </w:rPr>
            </w:pPr>
            <w:r>
              <w:rPr>
                <w:color w:val="000000"/>
                <w:spacing w:val="2"/>
                <w:sz w:val="21"/>
                <w:szCs w:val="21"/>
              </w:rPr>
              <w:t>300mg/kg</w:t>
            </w:r>
          </w:p>
        </w:tc>
      </w:tr>
      <w:tr w:rsidR="00240BCE">
        <w:trPr>
          <w:trHeight w:val="1020"/>
        </w:trPr>
        <w:tc>
          <w:tcPr>
            <w:tcW w:w="959" w:type="dxa"/>
            <w:vMerge/>
            <w:vAlign w:val="center"/>
          </w:tcPr>
          <w:p w:rsidR="00240BCE" w:rsidRDefault="00240BCE" w:rsidP="001D482D">
            <w:pPr>
              <w:pStyle w:val="00"/>
              <w:adjustRightInd w:val="0"/>
              <w:snapToGrid w:val="0"/>
              <w:spacing w:line="360" w:lineRule="exact"/>
              <w:rPr>
                <w:rFonts w:ascii="Times New Roman" w:hAnsi="Times New Roman"/>
                <w:color w:val="000000"/>
                <w:szCs w:val="21"/>
              </w:rPr>
            </w:pPr>
          </w:p>
        </w:tc>
        <w:tc>
          <w:tcPr>
            <w:tcW w:w="2732" w:type="dxa"/>
            <w:vAlign w:val="center"/>
          </w:tcPr>
          <w:p w:rsidR="00240BCE" w:rsidRDefault="00AC0334" w:rsidP="001D482D">
            <w:pPr>
              <w:pStyle w:val="00"/>
              <w:adjustRightInd w:val="0"/>
              <w:snapToGrid w:val="0"/>
              <w:spacing w:line="360" w:lineRule="exact"/>
              <w:jc w:val="both"/>
              <w:rPr>
                <w:rFonts w:ascii="Times New Roman" w:hAnsi="Times New Roman"/>
                <w:color w:val="000000"/>
                <w:szCs w:val="21"/>
              </w:rPr>
            </w:pPr>
            <w:r>
              <w:rPr>
                <w:rFonts w:ascii="Times New Roman" w:hAnsi="Times New Roman"/>
                <w:color w:val="000000"/>
                <w:szCs w:val="21"/>
              </w:rPr>
              <w:t>《土壤环境质量</w:t>
            </w:r>
            <w:r>
              <w:rPr>
                <w:rFonts w:ascii="Times New Roman" w:hAnsi="Times New Roman"/>
                <w:color w:val="000000"/>
                <w:szCs w:val="21"/>
              </w:rPr>
              <w:t>—</w:t>
            </w:r>
            <w:r>
              <w:rPr>
                <w:rFonts w:ascii="Times New Roman" w:hAnsi="Times New Roman"/>
                <w:color w:val="000000"/>
                <w:szCs w:val="21"/>
              </w:rPr>
              <w:t>建设用地土壤污染风险管控标准（试行）》（</w:t>
            </w:r>
            <w:r>
              <w:rPr>
                <w:rFonts w:ascii="Times New Roman" w:hAnsi="Times New Roman"/>
                <w:color w:val="000000"/>
                <w:szCs w:val="21"/>
              </w:rPr>
              <w:t>GB36600-2018</w:t>
            </w:r>
            <w:r>
              <w:rPr>
                <w:rFonts w:ascii="Times New Roman" w:hAnsi="Times New Roman"/>
                <w:color w:val="000000"/>
                <w:szCs w:val="21"/>
              </w:rPr>
              <w:t>）</w:t>
            </w:r>
          </w:p>
        </w:tc>
        <w:tc>
          <w:tcPr>
            <w:tcW w:w="5551" w:type="dxa"/>
            <w:gridSpan w:val="6"/>
            <w:vAlign w:val="center"/>
          </w:tcPr>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《土壤环境质量</w:t>
            </w:r>
            <w:r>
              <w:rPr>
                <w:rFonts w:ascii="Times New Roman" w:hAnsi="Times New Roman"/>
                <w:color w:val="000000"/>
                <w:szCs w:val="21"/>
              </w:rPr>
              <w:t xml:space="preserve"> </w:t>
            </w:r>
            <w:r>
              <w:rPr>
                <w:rFonts w:ascii="Times New Roman" w:hAnsi="Times New Roman"/>
                <w:color w:val="000000"/>
                <w:szCs w:val="21"/>
              </w:rPr>
              <w:t>建设用地土壤污染风险管控标准（试行）》</w:t>
            </w:r>
          </w:p>
          <w:p w:rsidR="00240BCE" w:rsidRDefault="00AC0334" w:rsidP="001D482D">
            <w:pPr>
              <w:pStyle w:val="00"/>
              <w:adjustRightInd w:val="0"/>
              <w:snapToGrid w:val="0"/>
              <w:spacing w:line="360" w:lineRule="exact"/>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GB/36600-2018</w:t>
            </w:r>
            <w:r>
              <w:rPr>
                <w:rFonts w:ascii="Times New Roman" w:hAnsi="Times New Roman"/>
                <w:color w:val="000000"/>
                <w:szCs w:val="21"/>
              </w:rPr>
              <w:t>）中基本项目，共</w:t>
            </w:r>
            <w:r>
              <w:rPr>
                <w:rFonts w:ascii="Times New Roman" w:hAnsi="Times New Roman"/>
                <w:color w:val="000000"/>
                <w:szCs w:val="21"/>
              </w:rPr>
              <w:t>45</w:t>
            </w:r>
            <w:r>
              <w:rPr>
                <w:rFonts w:ascii="Times New Roman" w:hAnsi="Times New Roman"/>
                <w:color w:val="000000"/>
                <w:szCs w:val="21"/>
              </w:rPr>
              <w:t>项</w:t>
            </w:r>
          </w:p>
        </w:tc>
      </w:tr>
    </w:tbl>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100" w:name="_Toc338402873"/>
      <w:bookmarkStart w:id="101" w:name="_Toc27342_WPSOffice_Level3"/>
      <w:bookmarkStart w:id="102" w:name="_Toc332449737"/>
      <w:bookmarkStart w:id="103" w:name="_Toc248827562"/>
      <w:bookmarkStart w:id="104" w:name="_Toc166581317"/>
      <w:bookmarkStart w:id="105" w:name="_Toc398715467"/>
      <w:bookmarkStart w:id="106" w:name="_Toc398713669"/>
      <w:bookmarkStart w:id="107" w:name="_Toc398713952"/>
      <w:r>
        <w:rPr>
          <w:rFonts w:eastAsia="楷体" w:cs="Times New Roman"/>
          <w:b/>
          <w:szCs w:val="28"/>
          <w:lang w:val="de-DE"/>
        </w:rPr>
        <w:t xml:space="preserve">2.5.2 </w:t>
      </w:r>
      <w:r>
        <w:rPr>
          <w:rFonts w:eastAsia="楷体" w:cs="Times New Roman"/>
          <w:b/>
          <w:szCs w:val="28"/>
          <w:lang w:val="de-DE"/>
        </w:rPr>
        <w:t>污染物排放标准</w:t>
      </w:r>
      <w:bookmarkEnd w:id="100"/>
      <w:bookmarkEnd w:id="101"/>
      <w:bookmarkEnd w:id="102"/>
      <w:bookmarkEnd w:id="103"/>
      <w:bookmarkEnd w:id="104"/>
      <w:bookmarkEnd w:id="105"/>
      <w:bookmarkEnd w:id="106"/>
      <w:bookmarkEnd w:id="107"/>
    </w:p>
    <w:p w:rsidR="00240BCE" w:rsidRDefault="00AC0334">
      <w:pPr>
        <w:pStyle w:val="affffffc"/>
        <w:spacing w:line="500" w:lineRule="exact"/>
        <w:ind w:firstLine="480"/>
        <w:rPr>
          <w:bCs/>
          <w:iCs/>
        </w:rPr>
      </w:pPr>
      <w:bookmarkStart w:id="108" w:name="_Toc365361744"/>
      <w:bookmarkStart w:id="109" w:name="_Toc166581318"/>
      <w:bookmarkStart w:id="110" w:name="_Toc248827563"/>
      <w:bookmarkStart w:id="111" w:name="_Toc405801787"/>
      <w:bookmarkStart w:id="112" w:name="_Toc402770874"/>
      <w:bookmarkStart w:id="113" w:name="_Toc332449738"/>
      <w:bookmarkStart w:id="114" w:name="_Toc398715468"/>
      <w:bookmarkStart w:id="115" w:name="_Toc398713953"/>
      <w:bookmarkStart w:id="116" w:name="_Toc398713670"/>
      <w:bookmarkStart w:id="117" w:name="_Toc377329591"/>
      <w:bookmarkStart w:id="118" w:name="_Toc400788650"/>
      <w:r>
        <w:t>1</w:t>
      </w:r>
      <w:r>
        <w:t>、</w:t>
      </w:r>
      <w:r>
        <w:rPr>
          <w:bCs/>
          <w:iCs/>
        </w:rPr>
        <w:t>采煤废水污染物排放执行《煤炭工业污染物排放标准》（</w:t>
      </w:r>
      <w:r>
        <w:rPr>
          <w:bCs/>
          <w:iCs/>
        </w:rPr>
        <w:t>GB20426-2006</w:t>
      </w:r>
      <w:r>
        <w:rPr>
          <w:bCs/>
          <w:iCs/>
        </w:rPr>
        <w:t>）表</w:t>
      </w:r>
      <w:r>
        <w:rPr>
          <w:bCs/>
          <w:iCs/>
        </w:rPr>
        <w:t>1</w:t>
      </w:r>
      <w:r>
        <w:rPr>
          <w:bCs/>
          <w:iCs/>
        </w:rPr>
        <w:t>和表</w:t>
      </w:r>
      <w:r>
        <w:rPr>
          <w:bCs/>
          <w:iCs/>
        </w:rPr>
        <w:t>2</w:t>
      </w:r>
      <w:r>
        <w:rPr>
          <w:bCs/>
          <w:iCs/>
        </w:rPr>
        <w:t>中新（扩、改）建生产线标准；工业场地生活污水排放执行《污水综合排放标准》（</w:t>
      </w:r>
      <w:r>
        <w:rPr>
          <w:bCs/>
          <w:iCs/>
        </w:rPr>
        <w:t>GB8978-1996</w:t>
      </w:r>
      <w:r>
        <w:rPr>
          <w:bCs/>
          <w:iCs/>
        </w:rPr>
        <w:t>）表</w:t>
      </w:r>
      <w:r>
        <w:rPr>
          <w:bCs/>
          <w:iCs/>
        </w:rPr>
        <w:t>4</w:t>
      </w:r>
      <w:r>
        <w:rPr>
          <w:bCs/>
          <w:iCs/>
        </w:rPr>
        <w:t>一级标准；</w:t>
      </w:r>
    </w:p>
    <w:p w:rsidR="00240BCE" w:rsidRDefault="00AC0334">
      <w:pPr>
        <w:pStyle w:val="affffffc"/>
        <w:spacing w:line="500" w:lineRule="exact"/>
        <w:ind w:firstLine="480"/>
      </w:pPr>
      <w:r>
        <w:rPr>
          <w:bCs/>
          <w:iCs/>
        </w:rPr>
        <w:t>2</w:t>
      </w:r>
      <w:r>
        <w:rPr>
          <w:bCs/>
          <w:iCs/>
        </w:rPr>
        <w:t>、大气污染物排放执行《煤炭工业污染物排放标准》（</w:t>
      </w:r>
      <w:r>
        <w:rPr>
          <w:bCs/>
          <w:iCs/>
        </w:rPr>
        <w:t>GB20426-2006</w:t>
      </w:r>
      <w:r>
        <w:rPr>
          <w:bCs/>
          <w:iCs/>
        </w:rPr>
        <w:t>）表</w:t>
      </w:r>
      <w:r>
        <w:rPr>
          <w:bCs/>
          <w:iCs/>
        </w:rPr>
        <w:t>4</w:t>
      </w:r>
      <w:r>
        <w:rPr>
          <w:bCs/>
          <w:iCs/>
        </w:rPr>
        <w:t>、表</w:t>
      </w:r>
      <w:r>
        <w:rPr>
          <w:bCs/>
          <w:iCs/>
        </w:rPr>
        <w:t>5</w:t>
      </w:r>
      <w:r>
        <w:rPr>
          <w:bCs/>
          <w:iCs/>
        </w:rPr>
        <w:t>中新（扩、改）建生产线标准；</w:t>
      </w:r>
    </w:p>
    <w:p w:rsidR="00240BCE" w:rsidRDefault="00AC0334">
      <w:pPr>
        <w:pStyle w:val="affffffc"/>
        <w:spacing w:line="500" w:lineRule="exact"/>
        <w:ind w:firstLine="480"/>
      </w:pPr>
      <w:r>
        <w:t>3</w:t>
      </w:r>
      <w:r>
        <w:t>、噪声执行《工业企业厂界环境噪声排放标准》（</w:t>
      </w:r>
      <w:r>
        <w:t>GB12348</w:t>
      </w:r>
      <w:r>
        <w:t>－</w:t>
      </w:r>
      <w:r>
        <w:t>2008</w:t>
      </w:r>
      <w:r>
        <w:t>）</w:t>
      </w:r>
      <w:r>
        <w:t>2</w:t>
      </w:r>
      <w:r>
        <w:t>类标准；</w:t>
      </w:r>
    </w:p>
    <w:p w:rsidR="00240BCE" w:rsidRDefault="00AC0334">
      <w:pPr>
        <w:pStyle w:val="affffffc"/>
        <w:spacing w:line="500" w:lineRule="exact"/>
        <w:ind w:firstLine="480"/>
      </w:pPr>
      <w:r>
        <w:t>4</w:t>
      </w:r>
      <w:r>
        <w:t>、固体废物执行</w:t>
      </w:r>
      <w:r>
        <w:rPr>
          <w:bCs/>
          <w:lang w:val="de-DE"/>
        </w:rPr>
        <w:t>《一般工业固体废物贮存和填埋污染控制标准》（</w:t>
      </w:r>
      <w:r>
        <w:rPr>
          <w:bCs/>
          <w:lang w:val="de-DE"/>
        </w:rPr>
        <w:t>GB18599- 2020</w:t>
      </w:r>
      <w:r>
        <w:rPr>
          <w:bCs/>
          <w:lang w:val="de-DE"/>
        </w:rPr>
        <w:t>）</w:t>
      </w:r>
      <w:r>
        <w:t>及《危险废物鉴别标准</w:t>
      </w:r>
      <w:r>
        <w:t xml:space="preserve"> </w:t>
      </w:r>
      <w:r>
        <w:t>浸出毒性鉴别》（</w:t>
      </w:r>
      <w:r>
        <w:t>GB5085.3-2007</w:t>
      </w:r>
      <w:r>
        <w:t>）。</w:t>
      </w:r>
    </w:p>
    <w:p w:rsidR="00240BCE" w:rsidRDefault="00AC0334">
      <w:pPr>
        <w:spacing w:line="500" w:lineRule="exact"/>
        <w:ind w:firstLineChars="200" w:firstLine="480"/>
        <w:rPr>
          <w:color w:val="000000"/>
          <w:sz w:val="24"/>
        </w:rPr>
      </w:pPr>
      <w:r>
        <w:rPr>
          <w:color w:val="000000"/>
          <w:sz w:val="24"/>
        </w:rPr>
        <w:t>污染物排放标准各污染因子标准限值见表</w:t>
      </w:r>
      <w:r>
        <w:rPr>
          <w:color w:val="000000"/>
          <w:sz w:val="24"/>
        </w:rPr>
        <w:t>2.5-2</w:t>
      </w:r>
      <w:r>
        <w:rPr>
          <w:color w:val="000000"/>
          <w:sz w:val="24"/>
        </w:rPr>
        <w:t>。</w:t>
      </w:r>
    </w:p>
    <w:p w:rsidR="001D482D" w:rsidRDefault="001D482D">
      <w:pPr>
        <w:spacing w:line="520" w:lineRule="exact"/>
        <w:jc w:val="center"/>
        <w:rPr>
          <w:sz w:val="24"/>
        </w:rPr>
      </w:pPr>
    </w:p>
    <w:p w:rsidR="001D482D" w:rsidRDefault="001D482D">
      <w:pPr>
        <w:spacing w:line="520" w:lineRule="exact"/>
        <w:jc w:val="center"/>
        <w:rPr>
          <w:sz w:val="24"/>
        </w:rPr>
      </w:pPr>
    </w:p>
    <w:p w:rsidR="001D482D" w:rsidRDefault="001D482D">
      <w:pPr>
        <w:spacing w:line="520" w:lineRule="exact"/>
        <w:jc w:val="center"/>
        <w:rPr>
          <w:sz w:val="24"/>
        </w:rPr>
      </w:pPr>
    </w:p>
    <w:p w:rsidR="001D482D" w:rsidRDefault="001D482D">
      <w:pPr>
        <w:spacing w:line="520" w:lineRule="exact"/>
        <w:jc w:val="center"/>
        <w:rPr>
          <w:sz w:val="24"/>
        </w:rPr>
      </w:pPr>
    </w:p>
    <w:p w:rsidR="001D482D" w:rsidRDefault="001D482D">
      <w:pPr>
        <w:spacing w:line="520" w:lineRule="exact"/>
        <w:jc w:val="center"/>
        <w:rPr>
          <w:sz w:val="24"/>
        </w:rPr>
      </w:pPr>
    </w:p>
    <w:p w:rsidR="001D482D" w:rsidRDefault="001D482D">
      <w:pPr>
        <w:spacing w:line="520" w:lineRule="exact"/>
        <w:jc w:val="center"/>
        <w:rPr>
          <w:sz w:val="24"/>
        </w:rPr>
      </w:pPr>
    </w:p>
    <w:p w:rsidR="00240BCE" w:rsidRDefault="00AC0334">
      <w:pPr>
        <w:spacing w:line="520" w:lineRule="exact"/>
        <w:jc w:val="center"/>
        <w:rPr>
          <w:sz w:val="24"/>
        </w:rPr>
      </w:pPr>
      <w:r>
        <w:rPr>
          <w:sz w:val="24"/>
        </w:rPr>
        <w:lastRenderedPageBreak/>
        <w:t>表</w:t>
      </w:r>
      <w:r>
        <w:rPr>
          <w:sz w:val="24"/>
        </w:rPr>
        <w:t xml:space="preserve">2.5-2    </w:t>
      </w:r>
      <w:r>
        <w:rPr>
          <w:sz w:val="24"/>
        </w:rPr>
        <w:t>污染物排放标准</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93"/>
        <w:gridCol w:w="3033"/>
        <w:gridCol w:w="1987"/>
        <w:gridCol w:w="1075"/>
        <w:gridCol w:w="780"/>
        <w:gridCol w:w="780"/>
        <w:gridCol w:w="690"/>
      </w:tblGrid>
      <w:tr w:rsidR="00240BCE">
        <w:trPr>
          <w:jc w:val="center"/>
        </w:trPr>
        <w:tc>
          <w:tcPr>
            <w:tcW w:w="693" w:type="dxa"/>
            <w:vAlign w:val="center"/>
          </w:tcPr>
          <w:p w:rsidR="00240BCE" w:rsidRDefault="00AC0334">
            <w:pPr>
              <w:spacing w:line="340" w:lineRule="exact"/>
              <w:jc w:val="center"/>
              <w:rPr>
                <w:sz w:val="21"/>
                <w:szCs w:val="21"/>
              </w:rPr>
            </w:pPr>
            <w:r>
              <w:rPr>
                <w:sz w:val="21"/>
                <w:szCs w:val="21"/>
              </w:rPr>
              <w:t>污染要素</w:t>
            </w:r>
          </w:p>
        </w:tc>
        <w:tc>
          <w:tcPr>
            <w:tcW w:w="5020" w:type="dxa"/>
            <w:gridSpan w:val="2"/>
            <w:vAlign w:val="center"/>
          </w:tcPr>
          <w:p w:rsidR="00240BCE" w:rsidRDefault="00AC0334">
            <w:pPr>
              <w:spacing w:line="340" w:lineRule="exact"/>
              <w:jc w:val="center"/>
              <w:rPr>
                <w:sz w:val="21"/>
                <w:szCs w:val="21"/>
              </w:rPr>
            </w:pPr>
            <w:r>
              <w:rPr>
                <w:sz w:val="21"/>
                <w:szCs w:val="21"/>
              </w:rPr>
              <w:t>标准名称及级（类）别</w:t>
            </w:r>
          </w:p>
        </w:tc>
        <w:tc>
          <w:tcPr>
            <w:tcW w:w="1075" w:type="dxa"/>
            <w:vAlign w:val="center"/>
          </w:tcPr>
          <w:p w:rsidR="00240BCE" w:rsidRDefault="00AC0334">
            <w:pPr>
              <w:spacing w:line="340" w:lineRule="exact"/>
              <w:jc w:val="center"/>
              <w:rPr>
                <w:sz w:val="21"/>
                <w:szCs w:val="21"/>
              </w:rPr>
            </w:pPr>
            <w:r>
              <w:rPr>
                <w:sz w:val="21"/>
                <w:szCs w:val="21"/>
              </w:rPr>
              <w:t>污染因子</w:t>
            </w:r>
          </w:p>
        </w:tc>
        <w:tc>
          <w:tcPr>
            <w:tcW w:w="2250" w:type="dxa"/>
            <w:gridSpan w:val="3"/>
            <w:vAlign w:val="center"/>
          </w:tcPr>
          <w:p w:rsidR="00240BCE" w:rsidRDefault="00AC0334">
            <w:pPr>
              <w:spacing w:line="340" w:lineRule="exact"/>
              <w:jc w:val="center"/>
              <w:rPr>
                <w:sz w:val="21"/>
                <w:szCs w:val="21"/>
              </w:rPr>
            </w:pPr>
            <w:r>
              <w:rPr>
                <w:sz w:val="21"/>
                <w:szCs w:val="21"/>
              </w:rPr>
              <w:t>标准限值</w:t>
            </w:r>
          </w:p>
        </w:tc>
      </w:tr>
      <w:tr w:rsidR="00240BCE">
        <w:trPr>
          <w:jc w:val="center"/>
        </w:trPr>
        <w:tc>
          <w:tcPr>
            <w:tcW w:w="693" w:type="dxa"/>
            <w:vAlign w:val="center"/>
          </w:tcPr>
          <w:p w:rsidR="00240BCE" w:rsidRDefault="00AC0334">
            <w:pPr>
              <w:spacing w:line="340" w:lineRule="exact"/>
              <w:jc w:val="center"/>
              <w:rPr>
                <w:sz w:val="21"/>
                <w:szCs w:val="21"/>
              </w:rPr>
            </w:pPr>
            <w:r>
              <w:rPr>
                <w:sz w:val="21"/>
                <w:szCs w:val="21"/>
              </w:rPr>
              <w:t>废气</w:t>
            </w:r>
          </w:p>
        </w:tc>
        <w:tc>
          <w:tcPr>
            <w:tcW w:w="3033" w:type="dxa"/>
            <w:vAlign w:val="center"/>
          </w:tcPr>
          <w:p w:rsidR="00240BCE" w:rsidRDefault="00AC0334">
            <w:pPr>
              <w:spacing w:line="340" w:lineRule="exact"/>
              <w:jc w:val="center"/>
              <w:rPr>
                <w:sz w:val="21"/>
                <w:szCs w:val="21"/>
              </w:rPr>
            </w:pPr>
            <w:r>
              <w:rPr>
                <w:sz w:val="21"/>
                <w:szCs w:val="21"/>
              </w:rPr>
              <w:t>《煤炭工业污染物排放标准》（</w:t>
            </w:r>
            <w:r>
              <w:rPr>
                <w:sz w:val="21"/>
                <w:szCs w:val="21"/>
              </w:rPr>
              <w:t>GB20426-2006</w:t>
            </w:r>
            <w:r>
              <w:rPr>
                <w:sz w:val="21"/>
                <w:szCs w:val="21"/>
              </w:rPr>
              <w:t>）</w:t>
            </w:r>
          </w:p>
        </w:tc>
        <w:tc>
          <w:tcPr>
            <w:tcW w:w="1987" w:type="dxa"/>
            <w:vAlign w:val="center"/>
          </w:tcPr>
          <w:p w:rsidR="00240BCE" w:rsidRDefault="00AC0334">
            <w:pPr>
              <w:spacing w:line="340" w:lineRule="exact"/>
              <w:jc w:val="center"/>
              <w:rPr>
                <w:sz w:val="21"/>
                <w:szCs w:val="21"/>
              </w:rPr>
            </w:pPr>
            <w:r>
              <w:rPr>
                <w:sz w:val="21"/>
                <w:szCs w:val="21"/>
              </w:rPr>
              <w:t>表</w:t>
            </w:r>
            <w:r>
              <w:rPr>
                <w:sz w:val="21"/>
                <w:szCs w:val="21"/>
              </w:rPr>
              <w:t>5</w:t>
            </w:r>
            <w:r>
              <w:rPr>
                <w:sz w:val="21"/>
                <w:szCs w:val="21"/>
              </w:rPr>
              <w:t>无组织排放标准</w:t>
            </w:r>
          </w:p>
        </w:tc>
        <w:tc>
          <w:tcPr>
            <w:tcW w:w="1075" w:type="dxa"/>
            <w:vAlign w:val="center"/>
          </w:tcPr>
          <w:p w:rsidR="00240BCE" w:rsidRDefault="00AC0334">
            <w:pPr>
              <w:spacing w:line="340" w:lineRule="exact"/>
              <w:jc w:val="center"/>
              <w:rPr>
                <w:sz w:val="21"/>
                <w:szCs w:val="21"/>
              </w:rPr>
            </w:pPr>
            <w:r>
              <w:rPr>
                <w:sz w:val="21"/>
                <w:szCs w:val="21"/>
              </w:rPr>
              <w:t>颗粒物</w:t>
            </w:r>
          </w:p>
        </w:tc>
        <w:tc>
          <w:tcPr>
            <w:tcW w:w="2250" w:type="dxa"/>
            <w:gridSpan w:val="3"/>
            <w:vAlign w:val="center"/>
          </w:tcPr>
          <w:p w:rsidR="00240BCE" w:rsidRDefault="00AC0334">
            <w:pPr>
              <w:spacing w:line="340" w:lineRule="exact"/>
              <w:jc w:val="center"/>
              <w:rPr>
                <w:sz w:val="21"/>
                <w:szCs w:val="21"/>
              </w:rPr>
            </w:pPr>
            <w:r>
              <w:rPr>
                <w:sz w:val="21"/>
                <w:szCs w:val="21"/>
              </w:rPr>
              <w:t>1.0mg/m</w:t>
            </w:r>
            <w:r>
              <w:rPr>
                <w:sz w:val="21"/>
                <w:szCs w:val="21"/>
                <w:vertAlign w:val="superscript"/>
              </w:rPr>
              <w:t>3</w:t>
            </w:r>
            <w:r>
              <w:rPr>
                <w:sz w:val="21"/>
                <w:szCs w:val="21"/>
              </w:rPr>
              <w:t>（浓度差值）</w:t>
            </w:r>
          </w:p>
        </w:tc>
      </w:tr>
      <w:tr w:rsidR="00240BCE">
        <w:trPr>
          <w:jc w:val="center"/>
        </w:trPr>
        <w:tc>
          <w:tcPr>
            <w:tcW w:w="693" w:type="dxa"/>
            <w:vMerge w:val="restart"/>
            <w:vAlign w:val="center"/>
          </w:tcPr>
          <w:p w:rsidR="00240BCE" w:rsidRDefault="00AC0334">
            <w:pPr>
              <w:spacing w:line="340" w:lineRule="exact"/>
              <w:jc w:val="center"/>
              <w:rPr>
                <w:sz w:val="21"/>
                <w:szCs w:val="21"/>
              </w:rPr>
            </w:pPr>
            <w:r>
              <w:rPr>
                <w:sz w:val="21"/>
                <w:szCs w:val="21"/>
              </w:rPr>
              <w:t>废水</w:t>
            </w:r>
          </w:p>
        </w:tc>
        <w:tc>
          <w:tcPr>
            <w:tcW w:w="5020" w:type="dxa"/>
            <w:gridSpan w:val="2"/>
            <w:vMerge w:val="restart"/>
            <w:vAlign w:val="center"/>
          </w:tcPr>
          <w:p w:rsidR="00240BCE" w:rsidRDefault="00AC0334">
            <w:pPr>
              <w:spacing w:line="340" w:lineRule="exact"/>
              <w:jc w:val="center"/>
              <w:rPr>
                <w:sz w:val="21"/>
                <w:szCs w:val="21"/>
              </w:rPr>
            </w:pPr>
            <w:r>
              <w:rPr>
                <w:sz w:val="21"/>
                <w:szCs w:val="21"/>
              </w:rPr>
              <w:t>《污水综合排放标准》（</w:t>
            </w:r>
            <w:r>
              <w:rPr>
                <w:sz w:val="21"/>
                <w:szCs w:val="21"/>
              </w:rPr>
              <w:t>GB8978-1996</w:t>
            </w:r>
            <w:r>
              <w:rPr>
                <w:sz w:val="21"/>
                <w:szCs w:val="21"/>
              </w:rPr>
              <w:t>）表</w:t>
            </w:r>
            <w:r>
              <w:rPr>
                <w:sz w:val="21"/>
                <w:szCs w:val="21"/>
              </w:rPr>
              <w:t>4</w:t>
            </w:r>
            <w:r>
              <w:rPr>
                <w:sz w:val="21"/>
                <w:szCs w:val="21"/>
              </w:rPr>
              <w:t>中一级标准</w:t>
            </w:r>
          </w:p>
        </w:tc>
        <w:tc>
          <w:tcPr>
            <w:tcW w:w="1075" w:type="dxa"/>
            <w:vAlign w:val="center"/>
          </w:tcPr>
          <w:p w:rsidR="00240BCE" w:rsidRDefault="00AC0334">
            <w:pPr>
              <w:spacing w:line="340" w:lineRule="exact"/>
              <w:jc w:val="center"/>
              <w:rPr>
                <w:sz w:val="21"/>
                <w:szCs w:val="21"/>
              </w:rPr>
            </w:pPr>
            <w:r>
              <w:rPr>
                <w:sz w:val="21"/>
                <w:szCs w:val="21"/>
              </w:rPr>
              <w:t>pH</w:t>
            </w:r>
          </w:p>
        </w:tc>
        <w:tc>
          <w:tcPr>
            <w:tcW w:w="2250" w:type="dxa"/>
            <w:gridSpan w:val="3"/>
            <w:vAlign w:val="center"/>
          </w:tcPr>
          <w:p w:rsidR="00240BCE" w:rsidRDefault="00AC0334">
            <w:pPr>
              <w:spacing w:line="340" w:lineRule="exact"/>
              <w:jc w:val="center"/>
              <w:rPr>
                <w:sz w:val="21"/>
                <w:szCs w:val="21"/>
              </w:rPr>
            </w:pPr>
            <w:r>
              <w:rPr>
                <w:sz w:val="21"/>
                <w:szCs w:val="21"/>
              </w:rPr>
              <w:t>6</w:t>
            </w:r>
            <w:r>
              <w:rPr>
                <w:sz w:val="21"/>
                <w:szCs w:val="21"/>
              </w:rPr>
              <w:t>～</w:t>
            </w:r>
            <w:r>
              <w:rPr>
                <w:sz w:val="21"/>
                <w:szCs w:val="21"/>
              </w:rPr>
              <w:t>9</w:t>
            </w: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COD</w:t>
            </w:r>
            <w:r>
              <w:rPr>
                <w:sz w:val="21"/>
                <w:szCs w:val="21"/>
                <w:vertAlign w:val="subscript"/>
              </w:rPr>
              <w:t>Cr</w:t>
            </w:r>
          </w:p>
        </w:tc>
        <w:tc>
          <w:tcPr>
            <w:tcW w:w="2250" w:type="dxa"/>
            <w:gridSpan w:val="3"/>
            <w:vAlign w:val="center"/>
          </w:tcPr>
          <w:p w:rsidR="00240BCE" w:rsidRDefault="00AC0334">
            <w:pPr>
              <w:spacing w:line="340" w:lineRule="exact"/>
              <w:jc w:val="center"/>
              <w:rPr>
                <w:sz w:val="21"/>
                <w:szCs w:val="21"/>
              </w:rPr>
            </w:pPr>
            <w:r>
              <w:rPr>
                <w:sz w:val="21"/>
                <w:szCs w:val="21"/>
              </w:rPr>
              <w:t>≤100mg/L</w:t>
            </w: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SS</w:t>
            </w:r>
          </w:p>
        </w:tc>
        <w:tc>
          <w:tcPr>
            <w:tcW w:w="2250" w:type="dxa"/>
            <w:gridSpan w:val="3"/>
            <w:vAlign w:val="center"/>
          </w:tcPr>
          <w:p w:rsidR="00240BCE" w:rsidRDefault="00AC0334">
            <w:pPr>
              <w:spacing w:line="340" w:lineRule="exact"/>
              <w:jc w:val="center"/>
              <w:rPr>
                <w:sz w:val="21"/>
                <w:szCs w:val="21"/>
              </w:rPr>
            </w:pPr>
            <w:r>
              <w:rPr>
                <w:sz w:val="21"/>
                <w:szCs w:val="21"/>
              </w:rPr>
              <w:t>≤70mg/L</w:t>
            </w: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氨氮</w:t>
            </w:r>
          </w:p>
        </w:tc>
        <w:tc>
          <w:tcPr>
            <w:tcW w:w="2250" w:type="dxa"/>
            <w:gridSpan w:val="3"/>
            <w:vAlign w:val="center"/>
          </w:tcPr>
          <w:p w:rsidR="00240BCE" w:rsidRDefault="00AC0334">
            <w:pPr>
              <w:spacing w:line="340" w:lineRule="exact"/>
              <w:jc w:val="center"/>
              <w:rPr>
                <w:sz w:val="21"/>
                <w:szCs w:val="21"/>
              </w:rPr>
            </w:pPr>
            <w:r>
              <w:rPr>
                <w:sz w:val="21"/>
                <w:szCs w:val="21"/>
              </w:rPr>
              <w:t>≤15mg/L</w:t>
            </w: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BOD</w:t>
            </w:r>
            <w:r>
              <w:rPr>
                <w:sz w:val="21"/>
                <w:szCs w:val="21"/>
                <w:vertAlign w:val="subscript"/>
              </w:rPr>
              <w:t>5</w:t>
            </w:r>
          </w:p>
        </w:tc>
        <w:tc>
          <w:tcPr>
            <w:tcW w:w="2250" w:type="dxa"/>
            <w:gridSpan w:val="3"/>
            <w:vAlign w:val="center"/>
          </w:tcPr>
          <w:p w:rsidR="00240BCE" w:rsidRDefault="00AC0334">
            <w:pPr>
              <w:spacing w:line="340" w:lineRule="exact"/>
              <w:jc w:val="center"/>
              <w:rPr>
                <w:sz w:val="21"/>
                <w:szCs w:val="21"/>
              </w:rPr>
            </w:pPr>
            <w:r>
              <w:rPr>
                <w:sz w:val="21"/>
                <w:szCs w:val="21"/>
              </w:rPr>
              <w:t>≤20mg/L</w:t>
            </w: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restart"/>
            <w:vAlign w:val="center"/>
          </w:tcPr>
          <w:p w:rsidR="00240BCE" w:rsidRDefault="00AC0334">
            <w:pPr>
              <w:spacing w:line="340" w:lineRule="exact"/>
              <w:jc w:val="center"/>
              <w:rPr>
                <w:sz w:val="21"/>
                <w:szCs w:val="21"/>
              </w:rPr>
            </w:pPr>
            <w:r>
              <w:rPr>
                <w:sz w:val="21"/>
                <w:szCs w:val="21"/>
              </w:rPr>
              <w:t>《煤炭工业污染物排放标准》（</w:t>
            </w:r>
            <w:r>
              <w:rPr>
                <w:sz w:val="21"/>
                <w:szCs w:val="21"/>
              </w:rPr>
              <w:t>GB20426-2006</w:t>
            </w:r>
            <w:r>
              <w:rPr>
                <w:sz w:val="21"/>
                <w:szCs w:val="21"/>
              </w:rPr>
              <w:t>）表</w:t>
            </w:r>
            <w:r>
              <w:rPr>
                <w:sz w:val="21"/>
                <w:szCs w:val="21"/>
              </w:rPr>
              <w:t>1</w:t>
            </w:r>
            <w:r>
              <w:rPr>
                <w:sz w:val="21"/>
                <w:szCs w:val="21"/>
              </w:rPr>
              <w:t>、表</w:t>
            </w:r>
            <w:r>
              <w:rPr>
                <w:sz w:val="21"/>
                <w:szCs w:val="21"/>
              </w:rPr>
              <w:t>2</w:t>
            </w:r>
            <w:r>
              <w:rPr>
                <w:sz w:val="21"/>
                <w:szCs w:val="21"/>
              </w:rPr>
              <w:t>采煤废水污染物排放限值</w:t>
            </w:r>
          </w:p>
        </w:tc>
        <w:tc>
          <w:tcPr>
            <w:tcW w:w="1075" w:type="dxa"/>
            <w:vAlign w:val="center"/>
          </w:tcPr>
          <w:p w:rsidR="00240BCE" w:rsidRDefault="00AC0334">
            <w:pPr>
              <w:spacing w:line="340" w:lineRule="exact"/>
              <w:jc w:val="center"/>
              <w:rPr>
                <w:sz w:val="21"/>
                <w:szCs w:val="21"/>
              </w:rPr>
            </w:pPr>
            <w:r>
              <w:rPr>
                <w:sz w:val="21"/>
                <w:szCs w:val="21"/>
              </w:rPr>
              <w:t>pH</w:t>
            </w:r>
          </w:p>
        </w:tc>
        <w:tc>
          <w:tcPr>
            <w:tcW w:w="2250" w:type="dxa"/>
            <w:gridSpan w:val="3"/>
            <w:vAlign w:val="center"/>
          </w:tcPr>
          <w:p w:rsidR="00240BCE" w:rsidRDefault="00AC0334">
            <w:pPr>
              <w:spacing w:line="340" w:lineRule="exact"/>
              <w:jc w:val="center"/>
              <w:rPr>
                <w:sz w:val="21"/>
                <w:szCs w:val="21"/>
              </w:rPr>
            </w:pPr>
            <w:r>
              <w:rPr>
                <w:sz w:val="21"/>
                <w:szCs w:val="21"/>
              </w:rPr>
              <w:t>6~9</w:t>
            </w: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COD</w:t>
            </w:r>
            <w:r>
              <w:rPr>
                <w:sz w:val="21"/>
                <w:szCs w:val="21"/>
                <w:vertAlign w:val="subscript"/>
              </w:rPr>
              <w:t>Cr</w:t>
            </w:r>
          </w:p>
        </w:tc>
        <w:tc>
          <w:tcPr>
            <w:tcW w:w="1560" w:type="dxa"/>
            <w:gridSpan w:val="2"/>
            <w:vAlign w:val="center"/>
          </w:tcPr>
          <w:p w:rsidR="00240BCE" w:rsidRDefault="00AC0334">
            <w:pPr>
              <w:spacing w:line="340" w:lineRule="exact"/>
              <w:jc w:val="center"/>
              <w:rPr>
                <w:sz w:val="21"/>
                <w:szCs w:val="21"/>
              </w:rPr>
            </w:pPr>
            <w:r>
              <w:rPr>
                <w:sz w:val="21"/>
                <w:szCs w:val="21"/>
              </w:rPr>
              <w:t>≤50</w:t>
            </w:r>
          </w:p>
        </w:tc>
        <w:tc>
          <w:tcPr>
            <w:tcW w:w="690" w:type="dxa"/>
            <w:vMerge w:val="restart"/>
            <w:vAlign w:val="center"/>
          </w:tcPr>
          <w:p w:rsidR="00240BCE" w:rsidRDefault="00AC0334">
            <w:pPr>
              <w:spacing w:line="340" w:lineRule="exact"/>
              <w:jc w:val="center"/>
              <w:rPr>
                <w:sz w:val="21"/>
                <w:szCs w:val="21"/>
              </w:rPr>
            </w:pPr>
            <w:r>
              <w:rPr>
                <w:sz w:val="21"/>
                <w:szCs w:val="21"/>
              </w:rPr>
              <w:t>mg/L</w:t>
            </w: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SS</w:t>
            </w:r>
          </w:p>
        </w:tc>
        <w:tc>
          <w:tcPr>
            <w:tcW w:w="1560" w:type="dxa"/>
            <w:gridSpan w:val="2"/>
            <w:vAlign w:val="center"/>
          </w:tcPr>
          <w:p w:rsidR="00240BCE" w:rsidRDefault="00AC0334">
            <w:pPr>
              <w:spacing w:line="340" w:lineRule="exact"/>
              <w:jc w:val="center"/>
              <w:rPr>
                <w:sz w:val="21"/>
                <w:szCs w:val="21"/>
              </w:rPr>
            </w:pPr>
            <w:r>
              <w:rPr>
                <w:sz w:val="21"/>
                <w:szCs w:val="21"/>
              </w:rPr>
              <w:t>≤50</w:t>
            </w:r>
          </w:p>
        </w:tc>
        <w:tc>
          <w:tcPr>
            <w:tcW w:w="690" w:type="dxa"/>
            <w:vMerge/>
            <w:vAlign w:val="center"/>
          </w:tcPr>
          <w:p w:rsidR="00240BCE" w:rsidRDefault="00240BCE">
            <w:pPr>
              <w:spacing w:line="340" w:lineRule="exact"/>
              <w:jc w:val="center"/>
              <w:rPr>
                <w:sz w:val="21"/>
                <w:szCs w:val="21"/>
              </w:rPr>
            </w:pP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总砷</w:t>
            </w:r>
          </w:p>
        </w:tc>
        <w:tc>
          <w:tcPr>
            <w:tcW w:w="1560" w:type="dxa"/>
            <w:gridSpan w:val="2"/>
            <w:vAlign w:val="center"/>
          </w:tcPr>
          <w:p w:rsidR="00240BCE" w:rsidRDefault="00AC0334">
            <w:pPr>
              <w:spacing w:line="340" w:lineRule="exact"/>
              <w:jc w:val="center"/>
              <w:rPr>
                <w:sz w:val="21"/>
                <w:szCs w:val="21"/>
              </w:rPr>
            </w:pPr>
            <w:r>
              <w:rPr>
                <w:sz w:val="21"/>
                <w:szCs w:val="21"/>
              </w:rPr>
              <w:t>≤0.5</w:t>
            </w:r>
          </w:p>
        </w:tc>
        <w:tc>
          <w:tcPr>
            <w:tcW w:w="690" w:type="dxa"/>
            <w:vMerge/>
            <w:vAlign w:val="center"/>
          </w:tcPr>
          <w:p w:rsidR="00240BCE" w:rsidRDefault="00240BCE">
            <w:pPr>
              <w:spacing w:line="340" w:lineRule="exact"/>
              <w:jc w:val="center"/>
              <w:rPr>
                <w:sz w:val="21"/>
                <w:szCs w:val="21"/>
              </w:rPr>
            </w:pP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六价铬</w:t>
            </w:r>
          </w:p>
        </w:tc>
        <w:tc>
          <w:tcPr>
            <w:tcW w:w="1560" w:type="dxa"/>
            <w:gridSpan w:val="2"/>
            <w:vAlign w:val="center"/>
          </w:tcPr>
          <w:p w:rsidR="00240BCE" w:rsidRDefault="00AC0334">
            <w:pPr>
              <w:spacing w:line="340" w:lineRule="exact"/>
              <w:jc w:val="center"/>
              <w:rPr>
                <w:sz w:val="21"/>
                <w:szCs w:val="21"/>
              </w:rPr>
            </w:pPr>
            <w:r>
              <w:rPr>
                <w:sz w:val="21"/>
                <w:szCs w:val="21"/>
              </w:rPr>
              <w:t>≤0.5</w:t>
            </w:r>
          </w:p>
        </w:tc>
        <w:tc>
          <w:tcPr>
            <w:tcW w:w="690" w:type="dxa"/>
            <w:vMerge/>
            <w:vAlign w:val="center"/>
          </w:tcPr>
          <w:p w:rsidR="00240BCE" w:rsidRDefault="00240BCE">
            <w:pPr>
              <w:spacing w:line="340" w:lineRule="exact"/>
              <w:jc w:val="center"/>
              <w:rPr>
                <w:sz w:val="21"/>
                <w:szCs w:val="21"/>
              </w:rPr>
            </w:pP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总镉</w:t>
            </w:r>
          </w:p>
        </w:tc>
        <w:tc>
          <w:tcPr>
            <w:tcW w:w="1560" w:type="dxa"/>
            <w:gridSpan w:val="2"/>
            <w:vAlign w:val="center"/>
          </w:tcPr>
          <w:p w:rsidR="00240BCE" w:rsidRDefault="00AC0334">
            <w:pPr>
              <w:spacing w:line="340" w:lineRule="exact"/>
              <w:jc w:val="center"/>
              <w:rPr>
                <w:sz w:val="21"/>
                <w:szCs w:val="21"/>
              </w:rPr>
            </w:pPr>
            <w:r>
              <w:rPr>
                <w:sz w:val="21"/>
                <w:szCs w:val="21"/>
              </w:rPr>
              <w:t>≤0.1</w:t>
            </w:r>
          </w:p>
        </w:tc>
        <w:tc>
          <w:tcPr>
            <w:tcW w:w="690" w:type="dxa"/>
            <w:vMerge/>
            <w:vAlign w:val="center"/>
          </w:tcPr>
          <w:p w:rsidR="00240BCE" w:rsidRDefault="00240BCE">
            <w:pPr>
              <w:spacing w:line="340" w:lineRule="exact"/>
              <w:jc w:val="center"/>
              <w:rPr>
                <w:sz w:val="21"/>
                <w:szCs w:val="21"/>
              </w:rPr>
            </w:pP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总铁</w:t>
            </w:r>
          </w:p>
        </w:tc>
        <w:tc>
          <w:tcPr>
            <w:tcW w:w="1560" w:type="dxa"/>
            <w:gridSpan w:val="2"/>
            <w:vAlign w:val="center"/>
          </w:tcPr>
          <w:p w:rsidR="00240BCE" w:rsidRDefault="00AC0334">
            <w:pPr>
              <w:spacing w:line="340" w:lineRule="exact"/>
              <w:jc w:val="center"/>
              <w:rPr>
                <w:sz w:val="21"/>
                <w:szCs w:val="21"/>
              </w:rPr>
            </w:pPr>
            <w:r>
              <w:rPr>
                <w:sz w:val="21"/>
                <w:szCs w:val="21"/>
              </w:rPr>
              <w:t>≤6</w:t>
            </w:r>
          </w:p>
        </w:tc>
        <w:tc>
          <w:tcPr>
            <w:tcW w:w="690" w:type="dxa"/>
            <w:vMerge/>
            <w:vAlign w:val="center"/>
          </w:tcPr>
          <w:p w:rsidR="00240BCE" w:rsidRDefault="00240BCE">
            <w:pPr>
              <w:spacing w:line="340" w:lineRule="exact"/>
              <w:jc w:val="center"/>
              <w:rPr>
                <w:sz w:val="21"/>
                <w:szCs w:val="21"/>
              </w:rPr>
            </w:pP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氟化物</w:t>
            </w:r>
          </w:p>
        </w:tc>
        <w:tc>
          <w:tcPr>
            <w:tcW w:w="1560" w:type="dxa"/>
            <w:gridSpan w:val="2"/>
            <w:vAlign w:val="center"/>
          </w:tcPr>
          <w:p w:rsidR="00240BCE" w:rsidRDefault="00AC0334">
            <w:pPr>
              <w:spacing w:line="340" w:lineRule="exact"/>
              <w:jc w:val="center"/>
              <w:rPr>
                <w:sz w:val="21"/>
                <w:szCs w:val="21"/>
              </w:rPr>
            </w:pPr>
            <w:r>
              <w:rPr>
                <w:sz w:val="21"/>
                <w:szCs w:val="21"/>
              </w:rPr>
              <w:t>≤10</w:t>
            </w:r>
          </w:p>
        </w:tc>
        <w:tc>
          <w:tcPr>
            <w:tcW w:w="690" w:type="dxa"/>
            <w:vMerge/>
            <w:vAlign w:val="center"/>
          </w:tcPr>
          <w:p w:rsidR="00240BCE" w:rsidRDefault="00240BCE">
            <w:pPr>
              <w:spacing w:line="340" w:lineRule="exact"/>
              <w:jc w:val="center"/>
              <w:rPr>
                <w:sz w:val="21"/>
                <w:szCs w:val="21"/>
              </w:rPr>
            </w:pP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Align w:val="center"/>
          </w:tcPr>
          <w:p w:rsidR="00240BCE" w:rsidRDefault="00AC0334">
            <w:pPr>
              <w:spacing w:line="340" w:lineRule="exact"/>
              <w:jc w:val="center"/>
              <w:rPr>
                <w:sz w:val="21"/>
                <w:szCs w:val="21"/>
              </w:rPr>
            </w:pPr>
            <w:r>
              <w:rPr>
                <w:sz w:val="21"/>
                <w:szCs w:val="21"/>
              </w:rPr>
              <w:t>石油类</w:t>
            </w:r>
          </w:p>
        </w:tc>
        <w:tc>
          <w:tcPr>
            <w:tcW w:w="1560" w:type="dxa"/>
            <w:gridSpan w:val="2"/>
            <w:vAlign w:val="center"/>
          </w:tcPr>
          <w:p w:rsidR="00240BCE" w:rsidRDefault="00AC0334">
            <w:pPr>
              <w:spacing w:line="340" w:lineRule="exact"/>
              <w:jc w:val="center"/>
              <w:rPr>
                <w:sz w:val="21"/>
                <w:szCs w:val="21"/>
              </w:rPr>
            </w:pPr>
            <w:r>
              <w:rPr>
                <w:sz w:val="21"/>
                <w:szCs w:val="21"/>
              </w:rPr>
              <w:t>≤5</w:t>
            </w:r>
          </w:p>
        </w:tc>
        <w:tc>
          <w:tcPr>
            <w:tcW w:w="690" w:type="dxa"/>
            <w:vMerge/>
            <w:vAlign w:val="center"/>
          </w:tcPr>
          <w:p w:rsidR="00240BCE" w:rsidRDefault="00240BCE">
            <w:pPr>
              <w:spacing w:line="340" w:lineRule="exact"/>
              <w:jc w:val="center"/>
              <w:rPr>
                <w:sz w:val="21"/>
                <w:szCs w:val="21"/>
              </w:rPr>
            </w:pPr>
          </w:p>
        </w:tc>
      </w:tr>
      <w:tr w:rsidR="00240BCE">
        <w:trPr>
          <w:jc w:val="center"/>
        </w:trPr>
        <w:tc>
          <w:tcPr>
            <w:tcW w:w="693" w:type="dxa"/>
            <w:vMerge w:val="restart"/>
            <w:vAlign w:val="center"/>
          </w:tcPr>
          <w:p w:rsidR="00240BCE" w:rsidRDefault="00AC0334">
            <w:pPr>
              <w:spacing w:line="340" w:lineRule="exact"/>
              <w:jc w:val="center"/>
              <w:rPr>
                <w:sz w:val="21"/>
                <w:szCs w:val="21"/>
              </w:rPr>
            </w:pPr>
            <w:r>
              <w:rPr>
                <w:sz w:val="21"/>
                <w:szCs w:val="21"/>
              </w:rPr>
              <w:t>噪声</w:t>
            </w:r>
          </w:p>
        </w:tc>
        <w:tc>
          <w:tcPr>
            <w:tcW w:w="5020" w:type="dxa"/>
            <w:gridSpan w:val="2"/>
            <w:vMerge w:val="restart"/>
            <w:vAlign w:val="center"/>
          </w:tcPr>
          <w:p w:rsidR="00240BCE" w:rsidRDefault="00AC0334">
            <w:pPr>
              <w:spacing w:line="340" w:lineRule="exact"/>
              <w:jc w:val="center"/>
              <w:rPr>
                <w:sz w:val="21"/>
                <w:szCs w:val="21"/>
              </w:rPr>
            </w:pPr>
            <w:r>
              <w:rPr>
                <w:sz w:val="21"/>
                <w:szCs w:val="21"/>
              </w:rPr>
              <w:t>《工业企业厂界环境噪声排放标准》（</w:t>
            </w:r>
            <w:r>
              <w:rPr>
                <w:sz w:val="21"/>
                <w:szCs w:val="21"/>
              </w:rPr>
              <w:t>GB12348-2008</w:t>
            </w:r>
            <w:r>
              <w:rPr>
                <w:sz w:val="21"/>
                <w:szCs w:val="21"/>
              </w:rPr>
              <w:t>）</w:t>
            </w:r>
            <w:r>
              <w:rPr>
                <w:sz w:val="21"/>
                <w:szCs w:val="21"/>
              </w:rPr>
              <w:t>2</w:t>
            </w:r>
            <w:r>
              <w:rPr>
                <w:sz w:val="21"/>
                <w:szCs w:val="21"/>
              </w:rPr>
              <w:t>类标准</w:t>
            </w:r>
          </w:p>
        </w:tc>
        <w:tc>
          <w:tcPr>
            <w:tcW w:w="1075" w:type="dxa"/>
            <w:vMerge w:val="restart"/>
            <w:vAlign w:val="center"/>
          </w:tcPr>
          <w:p w:rsidR="00240BCE" w:rsidRDefault="00AC0334">
            <w:pPr>
              <w:spacing w:line="340" w:lineRule="exact"/>
              <w:jc w:val="center"/>
              <w:rPr>
                <w:sz w:val="21"/>
                <w:szCs w:val="21"/>
              </w:rPr>
            </w:pPr>
            <w:r>
              <w:rPr>
                <w:sz w:val="21"/>
                <w:szCs w:val="21"/>
              </w:rPr>
              <w:t>厂界噪声</w:t>
            </w:r>
          </w:p>
        </w:tc>
        <w:tc>
          <w:tcPr>
            <w:tcW w:w="780" w:type="dxa"/>
            <w:vAlign w:val="center"/>
          </w:tcPr>
          <w:p w:rsidR="00240BCE" w:rsidRDefault="00AC0334">
            <w:pPr>
              <w:spacing w:line="340" w:lineRule="exact"/>
              <w:jc w:val="center"/>
              <w:rPr>
                <w:sz w:val="21"/>
                <w:szCs w:val="21"/>
              </w:rPr>
            </w:pPr>
            <w:r>
              <w:rPr>
                <w:sz w:val="21"/>
                <w:szCs w:val="21"/>
              </w:rPr>
              <w:t>昼间</w:t>
            </w:r>
          </w:p>
        </w:tc>
        <w:tc>
          <w:tcPr>
            <w:tcW w:w="780" w:type="dxa"/>
            <w:vAlign w:val="center"/>
          </w:tcPr>
          <w:p w:rsidR="00240BCE" w:rsidRDefault="00AC0334">
            <w:pPr>
              <w:spacing w:line="340" w:lineRule="exact"/>
              <w:jc w:val="center"/>
              <w:rPr>
                <w:sz w:val="21"/>
                <w:szCs w:val="21"/>
              </w:rPr>
            </w:pPr>
            <w:r>
              <w:rPr>
                <w:sz w:val="21"/>
                <w:szCs w:val="21"/>
              </w:rPr>
              <w:t>60</w:t>
            </w:r>
          </w:p>
        </w:tc>
        <w:tc>
          <w:tcPr>
            <w:tcW w:w="690" w:type="dxa"/>
            <w:vMerge w:val="restart"/>
            <w:vAlign w:val="center"/>
          </w:tcPr>
          <w:p w:rsidR="00240BCE" w:rsidRDefault="00AC0334">
            <w:pPr>
              <w:spacing w:line="340" w:lineRule="exact"/>
              <w:jc w:val="center"/>
              <w:rPr>
                <w:sz w:val="21"/>
                <w:szCs w:val="21"/>
              </w:rPr>
            </w:pPr>
            <w:r>
              <w:rPr>
                <w:sz w:val="21"/>
                <w:szCs w:val="21"/>
              </w:rPr>
              <w:t>dB</w:t>
            </w:r>
            <w:r>
              <w:rPr>
                <w:sz w:val="21"/>
                <w:szCs w:val="21"/>
              </w:rPr>
              <w:t>（</w:t>
            </w:r>
            <w:r>
              <w:rPr>
                <w:sz w:val="21"/>
                <w:szCs w:val="21"/>
              </w:rPr>
              <w:t>A</w:t>
            </w:r>
            <w:r>
              <w:rPr>
                <w:sz w:val="21"/>
                <w:szCs w:val="21"/>
              </w:rPr>
              <w:t>）</w:t>
            </w:r>
          </w:p>
        </w:tc>
      </w:tr>
      <w:tr w:rsidR="00240BCE">
        <w:trPr>
          <w:jc w:val="center"/>
        </w:trPr>
        <w:tc>
          <w:tcPr>
            <w:tcW w:w="693" w:type="dxa"/>
            <w:vMerge/>
            <w:vAlign w:val="center"/>
          </w:tcPr>
          <w:p w:rsidR="00240BCE" w:rsidRDefault="00240BCE">
            <w:pPr>
              <w:spacing w:line="340" w:lineRule="exact"/>
              <w:jc w:val="center"/>
              <w:rPr>
                <w:sz w:val="21"/>
                <w:szCs w:val="21"/>
              </w:rPr>
            </w:pPr>
          </w:p>
        </w:tc>
        <w:tc>
          <w:tcPr>
            <w:tcW w:w="5020" w:type="dxa"/>
            <w:gridSpan w:val="2"/>
            <w:vMerge/>
            <w:vAlign w:val="center"/>
          </w:tcPr>
          <w:p w:rsidR="00240BCE" w:rsidRDefault="00240BCE">
            <w:pPr>
              <w:spacing w:line="340" w:lineRule="exact"/>
              <w:jc w:val="center"/>
              <w:rPr>
                <w:sz w:val="21"/>
                <w:szCs w:val="21"/>
              </w:rPr>
            </w:pPr>
          </w:p>
        </w:tc>
        <w:tc>
          <w:tcPr>
            <w:tcW w:w="1075" w:type="dxa"/>
            <w:vMerge/>
            <w:vAlign w:val="center"/>
          </w:tcPr>
          <w:p w:rsidR="00240BCE" w:rsidRDefault="00240BCE">
            <w:pPr>
              <w:spacing w:line="340" w:lineRule="exact"/>
              <w:jc w:val="center"/>
              <w:rPr>
                <w:sz w:val="21"/>
                <w:szCs w:val="21"/>
              </w:rPr>
            </w:pPr>
          </w:p>
        </w:tc>
        <w:tc>
          <w:tcPr>
            <w:tcW w:w="780" w:type="dxa"/>
            <w:vAlign w:val="center"/>
          </w:tcPr>
          <w:p w:rsidR="00240BCE" w:rsidRDefault="00AC0334">
            <w:pPr>
              <w:spacing w:line="340" w:lineRule="exact"/>
              <w:jc w:val="center"/>
              <w:rPr>
                <w:sz w:val="21"/>
                <w:szCs w:val="21"/>
              </w:rPr>
            </w:pPr>
            <w:r>
              <w:rPr>
                <w:sz w:val="21"/>
                <w:szCs w:val="21"/>
              </w:rPr>
              <w:t>夜间</w:t>
            </w:r>
          </w:p>
        </w:tc>
        <w:tc>
          <w:tcPr>
            <w:tcW w:w="780" w:type="dxa"/>
            <w:vAlign w:val="center"/>
          </w:tcPr>
          <w:p w:rsidR="00240BCE" w:rsidRDefault="00AC0334">
            <w:pPr>
              <w:spacing w:line="340" w:lineRule="exact"/>
              <w:jc w:val="center"/>
              <w:rPr>
                <w:sz w:val="21"/>
                <w:szCs w:val="21"/>
              </w:rPr>
            </w:pPr>
            <w:r>
              <w:rPr>
                <w:sz w:val="21"/>
                <w:szCs w:val="21"/>
              </w:rPr>
              <w:t>50</w:t>
            </w:r>
          </w:p>
        </w:tc>
        <w:tc>
          <w:tcPr>
            <w:tcW w:w="690" w:type="dxa"/>
            <w:vMerge/>
            <w:vAlign w:val="center"/>
          </w:tcPr>
          <w:p w:rsidR="00240BCE" w:rsidRDefault="00240BCE">
            <w:pPr>
              <w:spacing w:line="340" w:lineRule="exact"/>
              <w:jc w:val="center"/>
              <w:rPr>
                <w:sz w:val="21"/>
                <w:szCs w:val="21"/>
              </w:rPr>
            </w:pPr>
          </w:p>
        </w:tc>
      </w:tr>
      <w:tr w:rsidR="00240BCE">
        <w:trPr>
          <w:jc w:val="center"/>
        </w:trPr>
        <w:tc>
          <w:tcPr>
            <w:tcW w:w="693" w:type="dxa"/>
            <w:vAlign w:val="center"/>
          </w:tcPr>
          <w:p w:rsidR="00240BCE" w:rsidRDefault="00AC0334">
            <w:pPr>
              <w:pStyle w:val="61"/>
              <w:spacing w:line="340" w:lineRule="exact"/>
              <w:rPr>
                <w:szCs w:val="21"/>
              </w:rPr>
            </w:pPr>
            <w:r>
              <w:rPr>
                <w:szCs w:val="21"/>
              </w:rPr>
              <w:t>固废</w:t>
            </w:r>
          </w:p>
        </w:tc>
        <w:tc>
          <w:tcPr>
            <w:tcW w:w="8345" w:type="dxa"/>
            <w:gridSpan w:val="6"/>
            <w:vAlign w:val="center"/>
          </w:tcPr>
          <w:p w:rsidR="00240BCE" w:rsidRDefault="00AC0334">
            <w:pPr>
              <w:pStyle w:val="61"/>
              <w:spacing w:line="340" w:lineRule="exact"/>
              <w:rPr>
                <w:szCs w:val="21"/>
              </w:rPr>
            </w:pPr>
            <w:r>
              <w:rPr>
                <w:szCs w:val="21"/>
              </w:rPr>
              <w:t>执行</w:t>
            </w:r>
            <w:r>
              <w:rPr>
                <w:bCs/>
                <w:szCs w:val="21"/>
                <w:lang w:val="de-DE"/>
              </w:rPr>
              <w:t>《一般工业固体废物贮存和填埋污染控制标准》（</w:t>
            </w:r>
            <w:r>
              <w:rPr>
                <w:bCs/>
                <w:szCs w:val="21"/>
                <w:lang w:val="de-DE"/>
              </w:rPr>
              <w:t>GB18599- 2020</w:t>
            </w:r>
            <w:r>
              <w:rPr>
                <w:bCs/>
                <w:szCs w:val="21"/>
                <w:lang w:val="de-DE"/>
              </w:rPr>
              <w:t>）和</w:t>
            </w:r>
            <w:r>
              <w:rPr>
                <w:szCs w:val="21"/>
              </w:rPr>
              <w:t>《煤炭工业污染物排放标准》（</w:t>
            </w:r>
            <w:r>
              <w:rPr>
                <w:szCs w:val="21"/>
              </w:rPr>
              <w:t>GB20426-2006</w:t>
            </w:r>
            <w:r>
              <w:rPr>
                <w:szCs w:val="21"/>
              </w:rPr>
              <w:t>）中的相关管理要求</w:t>
            </w:r>
          </w:p>
        </w:tc>
      </w:tr>
    </w:tbl>
    <w:p w:rsidR="00240BCE" w:rsidRDefault="00AC0334" w:rsidP="009C5F33">
      <w:pPr>
        <w:pStyle w:val="22CharTimesNewRoman12"/>
        <w:adjustRightInd w:val="0"/>
        <w:snapToGrid w:val="0"/>
        <w:spacing w:beforeLines="100" w:line="240" w:lineRule="auto"/>
        <w:rPr>
          <w:rFonts w:cs="Times New Roman"/>
          <w:sz w:val="32"/>
          <w:szCs w:val="32"/>
        </w:rPr>
      </w:pPr>
      <w:bookmarkStart w:id="119" w:name="_Toc79668611"/>
      <w:bookmarkStart w:id="120" w:name="_Toc512977479"/>
      <w:bookmarkStart w:id="121" w:name="_Toc398773736"/>
      <w:bookmarkStart w:id="122" w:name="_Toc31066_WPSOffice_Level2"/>
      <w:bookmarkStart w:id="123" w:name="_Toc81934365"/>
      <w:bookmarkStart w:id="124" w:name="_Toc405801786"/>
      <w:bookmarkStart w:id="125" w:name="_Toc398713950"/>
      <w:bookmarkStart w:id="126" w:name="_Toc398713667"/>
      <w:bookmarkStart w:id="127" w:name="_Toc248827560"/>
      <w:bookmarkStart w:id="128" w:name="_Toc398715465"/>
      <w:bookmarkStart w:id="129" w:name="_Toc402770873"/>
      <w:bookmarkStart w:id="130" w:name="_Toc166581315"/>
      <w:bookmarkStart w:id="131" w:name="_Toc377329590"/>
      <w:bookmarkStart w:id="132" w:name="_Toc365361742"/>
      <w:bookmarkStart w:id="133" w:name="_Toc332449735"/>
      <w:bookmarkStart w:id="134" w:name="_Toc400788649"/>
      <w:bookmarkEnd w:id="108"/>
      <w:bookmarkEnd w:id="109"/>
      <w:bookmarkEnd w:id="110"/>
      <w:bookmarkEnd w:id="111"/>
      <w:bookmarkEnd w:id="112"/>
      <w:bookmarkEnd w:id="113"/>
      <w:bookmarkEnd w:id="114"/>
      <w:bookmarkEnd w:id="115"/>
      <w:bookmarkEnd w:id="116"/>
      <w:bookmarkEnd w:id="117"/>
      <w:bookmarkEnd w:id="118"/>
      <w:r>
        <w:rPr>
          <w:rFonts w:cs="Times New Roman"/>
          <w:sz w:val="32"/>
          <w:szCs w:val="32"/>
        </w:rPr>
        <w:t xml:space="preserve">2.6 </w:t>
      </w:r>
      <w:r>
        <w:rPr>
          <w:rFonts w:cs="Times New Roman"/>
          <w:sz w:val="32"/>
          <w:szCs w:val="32"/>
        </w:rPr>
        <w:t>评价工作等级</w:t>
      </w:r>
      <w:bookmarkEnd w:id="119"/>
      <w:bookmarkEnd w:id="120"/>
      <w:bookmarkEnd w:id="121"/>
      <w:bookmarkEnd w:id="122"/>
      <w:bookmarkEnd w:id="123"/>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135" w:name="_Toc215379927"/>
      <w:bookmarkStart w:id="136" w:name="_Toc172346638"/>
      <w:bookmarkStart w:id="137" w:name="_Toc184053566"/>
      <w:bookmarkStart w:id="138" w:name="_Toc198718996"/>
      <w:bookmarkStart w:id="139" w:name="_Toc215379620"/>
      <w:bookmarkStart w:id="140" w:name="_Toc2754_WPSOffice_Level3"/>
      <w:r>
        <w:rPr>
          <w:rFonts w:eastAsia="楷体" w:cs="Times New Roman"/>
          <w:b/>
          <w:szCs w:val="28"/>
          <w:lang w:val="de-DE"/>
        </w:rPr>
        <w:t>2.6.1</w:t>
      </w:r>
      <w:bookmarkEnd w:id="135"/>
      <w:bookmarkEnd w:id="136"/>
      <w:bookmarkEnd w:id="137"/>
      <w:bookmarkEnd w:id="138"/>
      <w:bookmarkEnd w:id="139"/>
      <w:r>
        <w:rPr>
          <w:rFonts w:eastAsia="楷体" w:cs="Times New Roman"/>
          <w:b/>
          <w:szCs w:val="28"/>
          <w:lang w:val="de-DE"/>
        </w:rPr>
        <w:t>生态环境评价等级的确定</w:t>
      </w:r>
      <w:bookmarkEnd w:id="140"/>
    </w:p>
    <w:p w:rsidR="00240BCE" w:rsidRDefault="00AC0334">
      <w:pPr>
        <w:spacing w:line="520" w:lineRule="exact"/>
        <w:ind w:firstLineChars="200" w:firstLine="480"/>
        <w:rPr>
          <w:bCs/>
          <w:color w:val="000000"/>
          <w:kern w:val="0"/>
          <w:sz w:val="24"/>
        </w:rPr>
      </w:pPr>
      <w:r>
        <w:rPr>
          <w:bCs/>
          <w:color w:val="000000"/>
          <w:kern w:val="0"/>
          <w:sz w:val="24"/>
        </w:rPr>
        <w:t>升级改造后本项目工程占地</w:t>
      </w:r>
      <w:r w:rsidR="00654B9B">
        <w:rPr>
          <w:rFonts w:hint="eastAsia"/>
          <w:bCs/>
          <w:color w:val="000000"/>
          <w:kern w:val="0"/>
          <w:sz w:val="24"/>
        </w:rPr>
        <w:t>主要为工业场地占地，为永久占地，占地面积</w:t>
      </w:r>
      <w:r>
        <w:rPr>
          <w:bCs/>
          <w:color w:val="000000"/>
          <w:kern w:val="0"/>
          <w:sz w:val="24"/>
        </w:rPr>
        <w:t>1.</w:t>
      </w:r>
      <w:r w:rsidR="00257B79">
        <w:rPr>
          <w:rFonts w:hint="eastAsia"/>
          <w:bCs/>
          <w:color w:val="000000"/>
          <w:kern w:val="0"/>
          <w:sz w:val="24"/>
        </w:rPr>
        <w:t>92</w:t>
      </w:r>
      <w:r>
        <w:rPr>
          <w:bCs/>
          <w:color w:val="000000"/>
          <w:kern w:val="0"/>
          <w:sz w:val="24"/>
        </w:rPr>
        <w:t>hm</w:t>
      </w:r>
      <w:r>
        <w:rPr>
          <w:bCs/>
          <w:color w:val="000000"/>
          <w:kern w:val="0"/>
          <w:sz w:val="24"/>
          <w:vertAlign w:val="superscript"/>
        </w:rPr>
        <w:t>2</w:t>
      </w:r>
      <w:r>
        <w:rPr>
          <w:bCs/>
          <w:color w:val="000000"/>
          <w:kern w:val="0"/>
          <w:sz w:val="24"/>
        </w:rPr>
        <w:t>，小于</w:t>
      </w:r>
      <w:r>
        <w:rPr>
          <w:bCs/>
          <w:color w:val="000000"/>
          <w:kern w:val="0"/>
          <w:sz w:val="24"/>
        </w:rPr>
        <w:t>2km</w:t>
      </w:r>
      <w:r>
        <w:rPr>
          <w:bCs/>
          <w:color w:val="000000"/>
          <w:kern w:val="0"/>
          <w:sz w:val="24"/>
          <w:vertAlign w:val="superscript"/>
        </w:rPr>
        <w:t>2</w:t>
      </w:r>
      <w:r>
        <w:rPr>
          <w:bCs/>
          <w:color w:val="000000"/>
          <w:kern w:val="0"/>
          <w:sz w:val="24"/>
        </w:rPr>
        <w:t>；根据调查，项目井田范围及周边生态环境以耕地为主，评价区无珍稀濒危物种，无自然保护区、世界文化和自然遗产地、风景名胜区、森林公园、地质公园、重要湿地等，所在区域不属于特殊生态敏感区和重要生态敏感区，应属于一般区域。根据《环境影响评价技术导则</w:t>
      </w:r>
      <w:r>
        <w:rPr>
          <w:bCs/>
          <w:color w:val="000000"/>
          <w:kern w:val="0"/>
          <w:sz w:val="24"/>
        </w:rPr>
        <w:t xml:space="preserve"> </w:t>
      </w:r>
      <w:r>
        <w:rPr>
          <w:bCs/>
          <w:color w:val="000000"/>
          <w:kern w:val="0"/>
          <w:sz w:val="24"/>
        </w:rPr>
        <w:t>生态影响》（</w:t>
      </w:r>
      <w:r>
        <w:rPr>
          <w:bCs/>
          <w:color w:val="000000"/>
          <w:kern w:val="0"/>
          <w:sz w:val="24"/>
        </w:rPr>
        <w:t>HJ19-2011</w:t>
      </w:r>
      <w:r>
        <w:rPr>
          <w:bCs/>
          <w:color w:val="000000"/>
          <w:kern w:val="0"/>
          <w:sz w:val="24"/>
        </w:rPr>
        <w:t>）有关生态影响评价工作分级依据</w:t>
      </w:r>
      <w:r>
        <w:rPr>
          <w:sz w:val="24"/>
        </w:rPr>
        <w:t>（见表</w:t>
      </w:r>
      <w:r>
        <w:rPr>
          <w:sz w:val="24"/>
        </w:rPr>
        <w:t>2.6-1</w:t>
      </w:r>
      <w:r>
        <w:rPr>
          <w:sz w:val="24"/>
        </w:rPr>
        <w:t>）</w:t>
      </w:r>
      <w:r>
        <w:rPr>
          <w:bCs/>
          <w:color w:val="000000"/>
          <w:kern w:val="0"/>
          <w:sz w:val="24"/>
        </w:rPr>
        <w:t>，本次生态环境评价等级确定为三级。</w:t>
      </w:r>
    </w:p>
    <w:p w:rsidR="001D482D" w:rsidRDefault="001D482D">
      <w:pPr>
        <w:spacing w:line="520" w:lineRule="exact"/>
        <w:jc w:val="center"/>
        <w:rPr>
          <w:bCs/>
          <w:color w:val="000000"/>
          <w:kern w:val="0"/>
          <w:sz w:val="24"/>
        </w:rPr>
      </w:pPr>
    </w:p>
    <w:p w:rsidR="00240BCE" w:rsidRDefault="00AC0334">
      <w:pPr>
        <w:spacing w:line="520" w:lineRule="exact"/>
        <w:jc w:val="center"/>
        <w:rPr>
          <w:bCs/>
          <w:color w:val="000000"/>
          <w:sz w:val="24"/>
        </w:rPr>
      </w:pPr>
      <w:r>
        <w:rPr>
          <w:bCs/>
          <w:color w:val="000000"/>
          <w:kern w:val="0"/>
          <w:sz w:val="24"/>
        </w:rPr>
        <w:lastRenderedPageBreak/>
        <w:t>表</w:t>
      </w:r>
      <w:r>
        <w:rPr>
          <w:bCs/>
          <w:color w:val="000000"/>
          <w:kern w:val="0"/>
          <w:sz w:val="24"/>
        </w:rPr>
        <w:t xml:space="preserve">2.6-1      </w:t>
      </w:r>
      <w:r>
        <w:rPr>
          <w:bCs/>
          <w:color w:val="000000"/>
          <w:kern w:val="0"/>
          <w:sz w:val="24"/>
        </w:rPr>
        <w:t>生态影响评价工作等级划分表</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10"/>
        <w:gridCol w:w="2357"/>
        <w:gridCol w:w="2593"/>
        <w:gridCol w:w="1828"/>
      </w:tblGrid>
      <w:tr w:rsidR="00240BCE">
        <w:trPr>
          <w:trHeight w:val="395"/>
          <w:jc w:val="center"/>
        </w:trPr>
        <w:tc>
          <w:tcPr>
            <w:tcW w:w="1007" w:type="pct"/>
            <w:vMerge w:val="restar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影响区域生态敏感性</w:t>
            </w:r>
          </w:p>
        </w:tc>
        <w:tc>
          <w:tcPr>
            <w:tcW w:w="3992" w:type="pct"/>
            <w:gridSpan w:val="3"/>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工程占地（水域）范围</w:t>
            </w:r>
          </w:p>
        </w:tc>
      </w:tr>
      <w:tr w:rsidR="00240BCE">
        <w:trPr>
          <w:trHeight w:val="778"/>
          <w:jc w:val="center"/>
        </w:trPr>
        <w:tc>
          <w:tcPr>
            <w:tcW w:w="1007" w:type="pct"/>
            <w:vMerge/>
            <w:vAlign w:val="center"/>
          </w:tcPr>
          <w:p w:rsidR="00240BCE" w:rsidRDefault="00240BCE">
            <w:pPr>
              <w:pStyle w:val="ad"/>
              <w:spacing w:line="340" w:lineRule="exact"/>
              <w:ind w:left="0" w:right="0" w:firstLine="0"/>
              <w:jc w:val="center"/>
              <w:rPr>
                <w:color w:val="000000"/>
                <w:sz w:val="21"/>
                <w:szCs w:val="21"/>
              </w:rPr>
            </w:pPr>
          </w:p>
        </w:tc>
        <w:tc>
          <w:tcPr>
            <w:tcW w:w="1388" w:type="pct"/>
            <w:vAlign w:val="center"/>
          </w:tcPr>
          <w:p w:rsidR="00240BCE" w:rsidRDefault="00AC0334">
            <w:pPr>
              <w:pStyle w:val="ad"/>
              <w:spacing w:line="340" w:lineRule="exact"/>
              <w:ind w:left="0" w:right="0" w:firstLine="0"/>
              <w:jc w:val="center"/>
              <w:rPr>
                <w:color w:val="000000"/>
                <w:sz w:val="21"/>
                <w:szCs w:val="21"/>
                <w:vertAlign w:val="superscript"/>
              </w:rPr>
            </w:pPr>
            <w:r>
              <w:rPr>
                <w:color w:val="000000"/>
                <w:sz w:val="21"/>
                <w:szCs w:val="21"/>
              </w:rPr>
              <w:t>面积</w:t>
            </w:r>
            <w:r>
              <w:rPr>
                <w:color w:val="000000"/>
                <w:sz w:val="21"/>
                <w:szCs w:val="21"/>
              </w:rPr>
              <w:t>≥20km</w:t>
            </w:r>
            <w:r>
              <w:rPr>
                <w:color w:val="000000"/>
                <w:sz w:val="21"/>
                <w:szCs w:val="21"/>
                <w:vertAlign w:val="superscript"/>
              </w:rPr>
              <w:t>2</w:t>
            </w:r>
          </w:p>
          <w:p w:rsidR="00240BCE" w:rsidRDefault="00AC0334">
            <w:pPr>
              <w:pStyle w:val="ad"/>
              <w:spacing w:line="340" w:lineRule="exact"/>
              <w:ind w:left="0" w:right="0" w:firstLine="0"/>
              <w:jc w:val="center"/>
              <w:rPr>
                <w:color w:val="000000"/>
                <w:sz w:val="21"/>
                <w:szCs w:val="21"/>
              </w:rPr>
            </w:pPr>
            <w:r>
              <w:rPr>
                <w:color w:val="000000"/>
                <w:sz w:val="21"/>
                <w:szCs w:val="21"/>
              </w:rPr>
              <w:t>或长度</w:t>
            </w:r>
            <w:r>
              <w:rPr>
                <w:color w:val="000000"/>
                <w:sz w:val="21"/>
                <w:szCs w:val="21"/>
              </w:rPr>
              <w:t>≥100km</w:t>
            </w:r>
          </w:p>
        </w:tc>
        <w:tc>
          <w:tcPr>
            <w:tcW w:w="1527" w:type="pct"/>
            <w:vAlign w:val="center"/>
          </w:tcPr>
          <w:p w:rsidR="00240BCE" w:rsidRDefault="00AC0334">
            <w:pPr>
              <w:pStyle w:val="ad"/>
              <w:spacing w:line="340" w:lineRule="exact"/>
              <w:ind w:left="0" w:right="0" w:firstLine="0"/>
              <w:jc w:val="center"/>
              <w:rPr>
                <w:color w:val="000000"/>
                <w:sz w:val="21"/>
                <w:szCs w:val="21"/>
                <w:vertAlign w:val="superscript"/>
              </w:rPr>
            </w:pPr>
            <w:r>
              <w:rPr>
                <w:color w:val="000000"/>
                <w:sz w:val="21"/>
                <w:szCs w:val="21"/>
              </w:rPr>
              <w:t>面积</w:t>
            </w:r>
            <w:r>
              <w:rPr>
                <w:color w:val="000000"/>
                <w:sz w:val="21"/>
                <w:szCs w:val="21"/>
              </w:rPr>
              <w:t>2-20km</w:t>
            </w:r>
            <w:r>
              <w:rPr>
                <w:color w:val="000000"/>
                <w:sz w:val="21"/>
                <w:szCs w:val="21"/>
                <w:vertAlign w:val="superscript"/>
              </w:rPr>
              <w:t>2</w:t>
            </w:r>
          </w:p>
          <w:p w:rsidR="00240BCE" w:rsidRDefault="00AC0334">
            <w:pPr>
              <w:pStyle w:val="ad"/>
              <w:spacing w:line="340" w:lineRule="exact"/>
              <w:ind w:left="0" w:right="0" w:firstLine="0"/>
              <w:jc w:val="center"/>
              <w:rPr>
                <w:color w:val="000000"/>
                <w:sz w:val="21"/>
                <w:szCs w:val="21"/>
              </w:rPr>
            </w:pPr>
            <w:r>
              <w:rPr>
                <w:color w:val="000000"/>
                <w:sz w:val="21"/>
                <w:szCs w:val="21"/>
              </w:rPr>
              <w:t>或长度</w:t>
            </w:r>
            <w:r>
              <w:rPr>
                <w:color w:val="000000"/>
                <w:sz w:val="21"/>
                <w:szCs w:val="21"/>
              </w:rPr>
              <w:t>50-100km</w:t>
            </w:r>
          </w:p>
        </w:tc>
        <w:tc>
          <w:tcPr>
            <w:tcW w:w="1076" w:type="pct"/>
            <w:vAlign w:val="center"/>
          </w:tcPr>
          <w:p w:rsidR="00240BCE" w:rsidRDefault="00AC0334">
            <w:pPr>
              <w:pStyle w:val="ad"/>
              <w:spacing w:line="340" w:lineRule="exact"/>
              <w:ind w:left="0" w:right="0" w:firstLine="0"/>
              <w:jc w:val="center"/>
              <w:rPr>
                <w:color w:val="000000"/>
                <w:sz w:val="21"/>
                <w:szCs w:val="21"/>
                <w:vertAlign w:val="superscript"/>
              </w:rPr>
            </w:pPr>
            <w:r>
              <w:rPr>
                <w:color w:val="000000"/>
                <w:sz w:val="21"/>
                <w:szCs w:val="21"/>
              </w:rPr>
              <w:t>面积</w:t>
            </w:r>
            <w:r>
              <w:rPr>
                <w:color w:val="000000"/>
                <w:sz w:val="21"/>
                <w:szCs w:val="21"/>
              </w:rPr>
              <w:t>≤2km</w:t>
            </w:r>
            <w:r>
              <w:rPr>
                <w:color w:val="000000"/>
                <w:sz w:val="21"/>
                <w:szCs w:val="21"/>
                <w:vertAlign w:val="superscript"/>
              </w:rPr>
              <w:t>2</w:t>
            </w:r>
          </w:p>
          <w:p w:rsidR="00240BCE" w:rsidRDefault="00AC0334">
            <w:pPr>
              <w:pStyle w:val="ad"/>
              <w:spacing w:line="340" w:lineRule="exact"/>
              <w:ind w:left="0" w:right="0" w:firstLine="0"/>
              <w:jc w:val="center"/>
              <w:rPr>
                <w:color w:val="000000"/>
                <w:sz w:val="21"/>
                <w:szCs w:val="21"/>
              </w:rPr>
            </w:pPr>
            <w:r>
              <w:rPr>
                <w:color w:val="000000"/>
                <w:sz w:val="21"/>
                <w:szCs w:val="21"/>
              </w:rPr>
              <w:t>或长度</w:t>
            </w:r>
            <w:r>
              <w:rPr>
                <w:color w:val="000000"/>
                <w:sz w:val="21"/>
                <w:szCs w:val="21"/>
              </w:rPr>
              <w:t>≤50km</w:t>
            </w:r>
          </w:p>
        </w:tc>
      </w:tr>
      <w:tr w:rsidR="00240BCE">
        <w:trPr>
          <w:trHeight w:val="395"/>
          <w:jc w:val="center"/>
        </w:trPr>
        <w:tc>
          <w:tcPr>
            <w:tcW w:w="1007"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特殊生态敏感区</w:t>
            </w:r>
          </w:p>
        </w:tc>
        <w:tc>
          <w:tcPr>
            <w:tcW w:w="1388"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一级</w:t>
            </w:r>
          </w:p>
        </w:tc>
        <w:tc>
          <w:tcPr>
            <w:tcW w:w="1527"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一级</w:t>
            </w:r>
          </w:p>
        </w:tc>
        <w:tc>
          <w:tcPr>
            <w:tcW w:w="1076"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一级</w:t>
            </w:r>
          </w:p>
        </w:tc>
      </w:tr>
      <w:tr w:rsidR="00240BCE">
        <w:trPr>
          <w:trHeight w:val="395"/>
          <w:jc w:val="center"/>
        </w:trPr>
        <w:tc>
          <w:tcPr>
            <w:tcW w:w="1007"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重要生态敏感区</w:t>
            </w:r>
          </w:p>
        </w:tc>
        <w:tc>
          <w:tcPr>
            <w:tcW w:w="1388"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一级</w:t>
            </w:r>
          </w:p>
        </w:tc>
        <w:tc>
          <w:tcPr>
            <w:tcW w:w="1527"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二级</w:t>
            </w:r>
          </w:p>
        </w:tc>
        <w:tc>
          <w:tcPr>
            <w:tcW w:w="1076"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三级</w:t>
            </w:r>
          </w:p>
        </w:tc>
      </w:tr>
      <w:tr w:rsidR="00240BCE">
        <w:trPr>
          <w:trHeight w:val="406"/>
          <w:jc w:val="center"/>
        </w:trPr>
        <w:tc>
          <w:tcPr>
            <w:tcW w:w="1007"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一般区域</w:t>
            </w:r>
          </w:p>
        </w:tc>
        <w:tc>
          <w:tcPr>
            <w:tcW w:w="1388"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二级</w:t>
            </w:r>
          </w:p>
        </w:tc>
        <w:tc>
          <w:tcPr>
            <w:tcW w:w="1527"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rPr>
              <w:t>三级</w:t>
            </w:r>
          </w:p>
        </w:tc>
        <w:tc>
          <w:tcPr>
            <w:tcW w:w="1076" w:type="pct"/>
            <w:vAlign w:val="center"/>
          </w:tcPr>
          <w:p w:rsidR="00240BCE" w:rsidRDefault="00AC0334">
            <w:pPr>
              <w:pStyle w:val="ad"/>
              <w:spacing w:line="340" w:lineRule="exact"/>
              <w:ind w:left="0" w:right="0" w:firstLine="0"/>
              <w:jc w:val="center"/>
              <w:rPr>
                <w:color w:val="000000"/>
                <w:sz w:val="21"/>
                <w:szCs w:val="21"/>
              </w:rPr>
            </w:pPr>
            <w:r>
              <w:rPr>
                <w:color w:val="000000"/>
                <w:sz w:val="21"/>
                <w:szCs w:val="21"/>
                <w:highlight w:val="lightGray"/>
              </w:rPr>
              <w:t>三级</w:t>
            </w:r>
          </w:p>
        </w:tc>
      </w:tr>
    </w:tbl>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141" w:name="_Toc13650_WPSOffice_Level3"/>
      <w:r>
        <w:rPr>
          <w:rFonts w:eastAsia="楷体" w:cs="Times New Roman"/>
          <w:b/>
          <w:szCs w:val="28"/>
          <w:lang w:val="de-DE"/>
        </w:rPr>
        <w:t>2.6.2</w:t>
      </w:r>
      <w:r>
        <w:rPr>
          <w:rFonts w:eastAsia="楷体" w:cs="Times New Roman"/>
          <w:b/>
          <w:szCs w:val="28"/>
          <w:lang w:val="de-DE"/>
        </w:rPr>
        <w:t>地下水环境评价等级的确定</w:t>
      </w:r>
      <w:bookmarkEnd w:id="141"/>
    </w:p>
    <w:p w:rsidR="00240BCE" w:rsidRDefault="00AC0334">
      <w:pPr>
        <w:spacing w:line="520" w:lineRule="exact"/>
        <w:ind w:firstLineChars="200" w:firstLine="480"/>
        <w:rPr>
          <w:kern w:val="0"/>
          <w:sz w:val="24"/>
        </w:rPr>
      </w:pPr>
      <w:r>
        <w:rPr>
          <w:kern w:val="0"/>
          <w:sz w:val="24"/>
        </w:rPr>
        <w:t>（</w:t>
      </w:r>
      <w:r>
        <w:rPr>
          <w:kern w:val="0"/>
          <w:sz w:val="24"/>
        </w:rPr>
        <w:t>1</w:t>
      </w:r>
      <w:r>
        <w:rPr>
          <w:kern w:val="0"/>
          <w:sz w:val="24"/>
        </w:rPr>
        <w:t>）地下水环境影响评价分类</w:t>
      </w:r>
    </w:p>
    <w:p w:rsidR="00240BCE" w:rsidRDefault="00AC0334">
      <w:pPr>
        <w:spacing w:line="520" w:lineRule="exact"/>
        <w:ind w:firstLineChars="200" w:firstLine="480"/>
        <w:rPr>
          <w:kern w:val="0"/>
          <w:sz w:val="24"/>
        </w:rPr>
      </w:pPr>
      <w:r>
        <w:rPr>
          <w:kern w:val="0"/>
          <w:sz w:val="24"/>
        </w:rPr>
        <w:t>本项目为煤炭开采项目，根据《环境影响评价技术导则</w:t>
      </w:r>
      <w:r w:rsidR="00654B9B">
        <w:rPr>
          <w:rFonts w:hint="eastAsia"/>
          <w:kern w:val="0"/>
          <w:sz w:val="24"/>
        </w:rPr>
        <w:t xml:space="preserve">  </w:t>
      </w:r>
      <w:r>
        <w:rPr>
          <w:kern w:val="0"/>
          <w:sz w:val="24"/>
        </w:rPr>
        <w:t>地下水环境》（</w:t>
      </w:r>
      <w:r>
        <w:rPr>
          <w:kern w:val="0"/>
          <w:sz w:val="24"/>
        </w:rPr>
        <w:t>HJ610-2016</w:t>
      </w:r>
      <w:r>
        <w:rPr>
          <w:kern w:val="0"/>
          <w:sz w:val="24"/>
        </w:rPr>
        <w:t>）中地下水环境影响评价分类表，本项目煤矸石临时堆场属于</w:t>
      </w:r>
      <w:r>
        <w:rPr>
          <w:kern w:val="0"/>
          <w:sz w:val="24"/>
        </w:rPr>
        <w:t>Ⅱ</w:t>
      </w:r>
      <w:r>
        <w:rPr>
          <w:kern w:val="0"/>
          <w:sz w:val="24"/>
        </w:rPr>
        <w:t>类场，其它属于</w:t>
      </w:r>
      <w:r w:rsidR="00B95226">
        <w:rPr>
          <w:kern w:val="0"/>
          <w:sz w:val="24"/>
        </w:rPr>
        <w:fldChar w:fldCharType="begin"/>
      </w:r>
      <w:r>
        <w:rPr>
          <w:kern w:val="0"/>
          <w:sz w:val="24"/>
        </w:rPr>
        <w:instrText xml:space="preserve"> = 3 \* ROMAN </w:instrText>
      </w:r>
      <w:r w:rsidR="00B95226">
        <w:rPr>
          <w:kern w:val="0"/>
          <w:sz w:val="24"/>
        </w:rPr>
        <w:fldChar w:fldCharType="separate"/>
      </w:r>
      <w:r>
        <w:rPr>
          <w:kern w:val="0"/>
          <w:sz w:val="24"/>
        </w:rPr>
        <w:t>III</w:t>
      </w:r>
      <w:r w:rsidR="00B95226">
        <w:rPr>
          <w:kern w:val="0"/>
          <w:sz w:val="24"/>
        </w:rPr>
        <w:fldChar w:fldCharType="end"/>
      </w:r>
      <w:r>
        <w:rPr>
          <w:kern w:val="0"/>
          <w:sz w:val="24"/>
        </w:rPr>
        <w:t>类，由于煤矸石临时堆场位于工业广场内</w:t>
      </w:r>
      <w:r w:rsidR="00802A62">
        <w:rPr>
          <w:kern w:val="0"/>
          <w:sz w:val="24"/>
        </w:rPr>
        <w:t>储煤库</w:t>
      </w:r>
      <w:r>
        <w:rPr>
          <w:kern w:val="0"/>
          <w:sz w:val="24"/>
        </w:rPr>
        <w:t>内，因此本项目按</w:t>
      </w:r>
      <w:r w:rsidR="00B95226">
        <w:rPr>
          <w:kern w:val="0"/>
          <w:sz w:val="24"/>
        </w:rPr>
        <w:fldChar w:fldCharType="begin"/>
      </w:r>
      <w:r>
        <w:rPr>
          <w:kern w:val="0"/>
          <w:sz w:val="24"/>
        </w:rPr>
        <w:instrText xml:space="preserve"> = 2 \* ROMAN </w:instrText>
      </w:r>
      <w:r w:rsidR="00B95226">
        <w:rPr>
          <w:kern w:val="0"/>
          <w:sz w:val="24"/>
        </w:rPr>
        <w:fldChar w:fldCharType="separate"/>
      </w:r>
      <w:r>
        <w:rPr>
          <w:kern w:val="0"/>
          <w:sz w:val="24"/>
        </w:rPr>
        <w:t>II</w:t>
      </w:r>
      <w:r w:rsidR="00B95226">
        <w:rPr>
          <w:kern w:val="0"/>
          <w:sz w:val="24"/>
        </w:rPr>
        <w:fldChar w:fldCharType="end"/>
      </w:r>
      <w:r>
        <w:rPr>
          <w:kern w:val="0"/>
          <w:sz w:val="24"/>
        </w:rPr>
        <w:t>类项目评价。</w:t>
      </w:r>
    </w:p>
    <w:p w:rsidR="00240BCE" w:rsidRDefault="00AC0334">
      <w:pPr>
        <w:spacing w:line="520" w:lineRule="exact"/>
        <w:ind w:firstLineChars="200" w:firstLine="480"/>
        <w:rPr>
          <w:kern w:val="0"/>
          <w:sz w:val="24"/>
        </w:rPr>
      </w:pPr>
      <w:r>
        <w:rPr>
          <w:kern w:val="0"/>
          <w:sz w:val="24"/>
        </w:rPr>
        <w:t>（</w:t>
      </w:r>
      <w:r>
        <w:rPr>
          <w:kern w:val="0"/>
          <w:sz w:val="24"/>
        </w:rPr>
        <w:t>2</w:t>
      </w:r>
      <w:r>
        <w:rPr>
          <w:kern w:val="0"/>
          <w:sz w:val="24"/>
        </w:rPr>
        <w:t>）地下水环境敏感程度分级</w:t>
      </w:r>
    </w:p>
    <w:p w:rsidR="00240BCE" w:rsidRDefault="00AC0334">
      <w:pPr>
        <w:spacing w:line="520" w:lineRule="exact"/>
        <w:ind w:firstLineChars="200" w:firstLine="480"/>
        <w:rPr>
          <w:kern w:val="0"/>
          <w:sz w:val="24"/>
        </w:rPr>
      </w:pPr>
      <w:r>
        <w:rPr>
          <w:kern w:val="0"/>
          <w:sz w:val="24"/>
        </w:rPr>
        <w:t>经现场调查，本项目不在集中式饮用水源地保护区、准保护区及补给径流区内，但矿区及周边分布有供应赵沟村、连庄村及楼院村的深水井，共</w:t>
      </w:r>
      <w:r>
        <w:rPr>
          <w:kern w:val="0"/>
          <w:sz w:val="24"/>
        </w:rPr>
        <w:t>3</w:t>
      </w:r>
      <w:r>
        <w:rPr>
          <w:kern w:val="0"/>
          <w:sz w:val="24"/>
        </w:rPr>
        <w:t>口深水井，供应其生活用水，为分散式饮用水源，地下水环境敏感程度为较敏感。</w:t>
      </w:r>
    </w:p>
    <w:p w:rsidR="00240BCE" w:rsidRDefault="00AC0334">
      <w:pPr>
        <w:spacing w:line="520" w:lineRule="exact"/>
        <w:ind w:firstLineChars="200" w:firstLine="480"/>
        <w:jc w:val="center"/>
        <w:rPr>
          <w:sz w:val="24"/>
        </w:rPr>
      </w:pPr>
      <w:r>
        <w:rPr>
          <w:kern w:val="0"/>
          <w:sz w:val="24"/>
        </w:rPr>
        <w:t>表</w:t>
      </w:r>
      <w:r>
        <w:rPr>
          <w:kern w:val="0"/>
          <w:sz w:val="24"/>
        </w:rPr>
        <w:t xml:space="preserve">2.6-2      </w:t>
      </w:r>
      <w:r>
        <w:rPr>
          <w:kern w:val="0"/>
          <w:sz w:val="24"/>
        </w:rPr>
        <w:t>地下水环境敏感程度分级</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
        <w:gridCol w:w="8079"/>
      </w:tblGrid>
      <w:tr w:rsidR="00240BCE">
        <w:trPr>
          <w:trHeight w:val="408"/>
          <w:jc w:val="center"/>
        </w:trPr>
        <w:tc>
          <w:tcPr>
            <w:tcW w:w="920" w:type="dxa"/>
            <w:vAlign w:val="center"/>
          </w:tcPr>
          <w:p w:rsidR="00240BCE" w:rsidRDefault="00AC0334">
            <w:pPr>
              <w:spacing w:line="340" w:lineRule="exact"/>
              <w:jc w:val="center"/>
              <w:rPr>
                <w:spacing w:val="2"/>
                <w:sz w:val="21"/>
                <w:szCs w:val="21"/>
              </w:rPr>
            </w:pPr>
            <w:r>
              <w:rPr>
                <w:spacing w:val="2"/>
                <w:sz w:val="21"/>
                <w:szCs w:val="21"/>
              </w:rPr>
              <w:t>分级</w:t>
            </w:r>
          </w:p>
        </w:tc>
        <w:tc>
          <w:tcPr>
            <w:tcW w:w="8079" w:type="dxa"/>
            <w:vAlign w:val="center"/>
          </w:tcPr>
          <w:p w:rsidR="00240BCE" w:rsidRDefault="00AC0334">
            <w:pPr>
              <w:spacing w:line="340" w:lineRule="exact"/>
              <w:jc w:val="center"/>
              <w:rPr>
                <w:spacing w:val="2"/>
                <w:sz w:val="21"/>
                <w:szCs w:val="21"/>
              </w:rPr>
            </w:pPr>
            <w:r>
              <w:rPr>
                <w:spacing w:val="2"/>
                <w:sz w:val="21"/>
                <w:szCs w:val="21"/>
              </w:rPr>
              <w:t>项目场地的地下水环境敏感特征</w:t>
            </w:r>
          </w:p>
        </w:tc>
      </w:tr>
      <w:tr w:rsidR="00240BCE">
        <w:trPr>
          <w:trHeight w:val="1183"/>
          <w:jc w:val="center"/>
        </w:trPr>
        <w:tc>
          <w:tcPr>
            <w:tcW w:w="920" w:type="dxa"/>
            <w:vAlign w:val="center"/>
          </w:tcPr>
          <w:p w:rsidR="00240BCE" w:rsidRDefault="00AC0334">
            <w:pPr>
              <w:spacing w:line="340" w:lineRule="exact"/>
              <w:jc w:val="center"/>
              <w:rPr>
                <w:spacing w:val="2"/>
                <w:sz w:val="21"/>
                <w:szCs w:val="21"/>
              </w:rPr>
            </w:pPr>
            <w:r>
              <w:rPr>
                <w:spacing w:val="2"/>
                <w:sz w:val="21"/>
                <w:szCs w:val="21"/>
              </w:rPr>
              <w:t>敏感</w:t>
            </w:r>
          </w:p>
        </w:tc>
        <w:tc>
          <w:tcPr>
            <w:tcW w:w="8079" w:type="dxa"/>
            <w:vAlign w:val="center"/>
          </w:tcPr>
          <w:p w:rsidR="00240BCE" w:rsidRDefault="00AC0334">
            <w:pPr>
              <w:spacing w:line="340" w:lineRule="exact"/>
              <w:jc w:val="center"/>
              <w:rPr>
                <w:spacing w:val="2"/>
                <w:sz w:val="21"/>
                <w:szCs w:val="21"/>
              </w:rPr>
            </w:pPr>
            <w:r>
              <w:rPr>
                <w:spacing w:val="2"/>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240BCE">
        <w:trPr>
          <w:trHeight w:val="1571"/>
          <w:jc w:val="center"/>
        </w:trPr>
        <w:tc>
          <w:tcPr>
            <w:tcW w:w="920" w:type="dxa"/>
            <w:vAlign w:val="center"/>
          </w:tcPr>
          <w:p w:rsidR="00240BCE" w:rsidRDefault="00AC0334">
            <w:pPr>
              <w:spacing w:line="340" w:lineRule="exact"/>
              <w:jc w:val="center"/>
              <w:rPr>
                <w:spacing w:val="2"/>
                <w:sz w:val="21"/>
                <w:szCs w:val="21"/>
              </w:rPr>
            </w:pPr>
            <w:r>
              <w:rPr>
                <w:spacing w:val="2"/>
                <w:sz w:val="21"/>
                <w:szCs w:val="21"/>
              </w:rPr>
              <w:t>较敏感</w:t>
            </w:r>
          </w:p>
        </w:tc>
        <w:tc>
          <w:tcPr>
            <w:tcW w:w="8079" w:type="dxa"/>
            <w:vAlign w:val="center"/>
          </w:tcPr>
          <w:p w:rsidR="00240BCE" w:rsidRDefault="00AC0334">
            <w:pPr>
              <w:spacing w:line="340" w:lineRule="exact"/>
              <w:jc w:val="center"/>
              <w:rPr>
                <w:spacing w:val="2"/>
                <w:sz w:val="21"/>
                <w:szCs w:val="21"/>
              </w:rPr>
            </w:pPr>
            <w:r>
              <w:rPr>
                <w:spacing w:val="2"/>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rsidR="00240BCE">
        <w:trPr>
          <w:trHeight w:val="429"/>
          <w:jc w:val="center"/>
        </w:trPr>
        <w:tc>
          <w:tcPr>
            <w:tcW w:w="920" w:type="dxa"/>
            <w:vAlign w:val="center"/>
          </w:tcPr>
          <w:p w:rsidR="00240BCE" w:rsidRDefault="00AC0334">
            <w:pPr>
              <w:spacing w:line="340" w:lineRule="exact"/>
              <w:jc w:val="center"/>
              <w:rPr>
                <w:spacing w:val="2"/>
                <w:sz w:val="21"/>
                <w:szCs w:val="21"/>
              </w:rPr>
            </w:pPr>
            <w:r>
              <w:rPr>
                <w:spacing w:val="2"/>
                <w:sz w:val="21"/>
                <w:szCs w:val="21"/>
              </w:rPr>
              <w:t>不敏感</w:t>
            </w:r>
          </w:p>
        </w:tc>
        <w:tc>
          <w:tcPr>
            <w:tcW w:w="8079" w:type="dxa"/>
            <w:vAlign w:val="center"/>
          </w:tcPr>
          <w:p w:rsidR="00240BCE" w:rsidRDefault="00AC0334">
            <w:pPr>
              <w:spacing w:line="340" w:lineRule="exact"/>
              <w:ind w:firstLine="350"/>
              <w:jc w:val="center"/>
              <w:rPr>
                <w:spacing w:val="2"/>
                <w:sz w:val="21"/>
                <w:szCs w:val="21"/>
              </w:rPr>
            </w:pPr>
            <w:r>
              <w:rPr>
                <w:spacing w:val="2"/>
                <w:sz w:val="21"/>
                <w:szCs w:val="21"/>
              </w:rPr>
              <w:t>上述地区之外的其它地区。</w:t>
            </w:r>
          </w:p>
        </w:tc>
      </w:tr>
    </w:tbl>
    <w:p w:rsidR="00240BCE" w:rsidRDefault="00AC0334" w:rsidP="008802CA">
      <w:pPr>
        <w:spacing w:line="520" w:lineRule="exact"/>
        <w:ind w:firstLineChars="200" w:firstLine="480"/>
        <w:rPr>
          <w:kern w:val="0"/>
          <w:sz w:val="24"/>
        </w:rPr>
      </w:pPr>
      <w:r>
        <w:rPr>
          <w:kern w:val="0"/>
          <w:sz w:val="24"/>
        </w:rPr>
        <w:t>（</w:t>
      </w:r>
      <w:r>
        <w:rPr>
          <w:kern w:val="0"/>
          <w:sz w:val="24"/>
        </w:rPr>
        <w:t>3</w:t>
      </w:r>
      <w:r>
        <w:rPr>
          <w:kern w:val="0"/>
          <w:sz w:val="24"/>
        </w:rPr>
        <w:t>）地下水环境评价等级的确定</w:t>
      </w:r>
    </w:p>
    <w:p w:rsidR="001D482D" w:rsidRDefault="001D482D" w:rsidP="008802CA">
      <w:pPr>
        <w:widowControl/>
        <w:spacing w:line="520" w:lineRule="exact"/>
        <w:jc w:val="center"/>
        <w:rPr>
          <w:kern w:val="0"/>
          <w:sz w:val="24"/>
        </w:rPr>
      </w:pPr>
    </w:p>
    <w:p w:rsidR="00240BCE" w:rsidRDefault="00AC0334" w:rsidP="008802CA">
      <w:pPr>
        <w:widowControl/>
        <w:spacing w:line="520" w:lineRule="exact"/>
        <w:jc w:val="center"/>
        <w:rPr>
          <w:kern w:val="0"/>
          <w:sz w:val="24"/>
        </w:rPr>
      </w:pPr>
      <w:r>
        <w:rPr>
          <w:kern w:val="0"/>
          <w:sz w:val="24"/>
        </w:rPr>
        <w:lastRenderedPageBreak/>
        <w:t>表</w:t>
      </w:r>
      <w:r>
        <w:rPr>
          <w:kern w:val="0"/>
          <w:sz w:val="24"/>
        </w:rPr>
        <w:t xml:space="preserve">2.6-3   </w:t>
      </w:r>
      <w:r>
        <w:rPr>
          <w:kern w:val="0"/>
          <w:sz w:val="24"/>
        </w:rPr>
        <w:t>评价工作等级划分表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240BCE">
        <w:trPr>
          <w:trHeight w:val="158"/>
          <w:jc w:val="center"/>
        </w:trPr>
        <w:tc>
          <w:tcPr>
            <w:tcW w:w="2130" w:type="dxa"/>
            <w:vMerge w:val="restart"/>
            <w:vAlign w:val="center"/>
          </w:tcPr>
          <w:p w:rsidR="00240BCE" w:rsidRDefault="00AC0334">
            <w:pPr>
              <w:pStyle w:val="61"/>
              <w:spacing w:line="280" w:lineRule="exact"/>
              <w:rPr>
                <w:kern w:val="0"/>
              </w:rPr>
            </w:pPr>
            <w:r>
              <w:rPr>
                <w:kern w:val="0"/>
              </w:rPr>
              <w:t>环境敏感程度</w:t>
            </w:r>
          </w:p>
        </w:tc>
        <w:tc>
          <w:tcPr>
            <w:tcW w:w="6392" w:type="dxa"/>
            <w:gridSpan w:val="3"/>
            <w:vAlign w:val="center"/>
          </w:tcPr>
          <w:p w:rsidR="00240BCE" w:rsidRDefault="00AC0334">
            <w:pPr>
              <w:pStyle w:val="61"/>
              <w:spacing w:line="280" w:lineRule="exact"/>
              <w:rPr>
                <w:kern w:val="0"/>
              </w:rPr>
            </w:pPr>
            <w:r>
              <w:rPr>
                <w:kern w:val="0"/>
              </w:rPr>
              <w:t>工程类别</w:t>
            </w:r>
          </w:p>
        </w:tc>
      </w:tr>
      <w:tr w:rsidR="00240BCE">
        <w:trPr>
          <w:trHeight w:val="157"/>
          <w:jc w:val="center"/>
        </w:trPr>
        <w:tc>
          <w:tcPr>
            <w:tcW w:w="2130" w:type="dxa"/>
            <w:vMerge/>
            <w:vAlign w:val="center"/>
          </w:tcPr>
          <w:p w:rsidR="00240BCE" w:rsidRDefault="00240BCE">
            <w:pPr>
              <w:pStyle w:val="61"/>
              <w:spacing w:line="280" w:lineRule="exact"/>
              <w:rPr>
                <w:kern w:val="0"/>
              </w:rPr>
            </w:pPr>
          </w:p>
        </w:tc>
        <w:tc>
          <w:tcPr>
            <w:tcW w:w="2130" w:type="dxa"/>
            <w:vAlign w:val="center"/>
          </w:tcPr>
          <w:p w:rsidR="00240BCE" w:rsidRDefault="00AC0334">
            <w:pPr>
              <w:pStyle w:val="61"/>
              <w:spacing w:line="280" w:lineRule="exact"/>
              <w:rPr>
                <w:kern w:val="0"/>
              </w:rPr>
            </w:pPr>
            <w:r>
              <w:rPr>
                <w:kern w:val="0"/>
              </w:rPr>
              <w:t>Ⅰ</w:t>
            </w:r>
            <w:r>
              <w:rPr>
                <w:kern w:val="0"/>
              </w:rPr>
              <w:t>类项目</w:t>
            </w:r>
          </w:p>
        </w:tc>
        <w:tc>
          <w:tcPr>
            <w:tcW w:w="2131" w:type="dxa"/>
            <w:vAlign w:val="center"/>
          </w:tcPr>
          <w:p w:rsidR="00240BCE" w:rsidRDefault="00AC0334">
            <w:pPr>
              <w:pStyle w:val="61"/>
              <w:spacing w:line="280" w:lineRule="exact"/>
              <w:rPr>
                <w:kern w:val="0"/>
              </w:rPr>
            </w:pPr>
            <w:r>
              <w:rPr>
                <w:kern w:val="0"/>
              </w:rPr>
              <w:t>Ⅱ</w:t>
            </w:r>
            <w:r>
              <w:rPr>
                <w:kern w:val="0"/>
              </w:rPr>
              <w:t>类项目</w:t>
            </w:r>
          </w:p>
        </w:tc>
        <w:tc>
          <w:tcPr>
            <w:tcW w:w="2131" w:type="dxa"/>
            <w:vAlign w:val="center"/>
          </w:tcPr>
          <w:p w:rsidR="00240BCE" w:rsidRDefault="00AC0334">
            <w:pPr>
              <w:pStyle w:val="61"/>
              <w:spacing w:line="280" w:lineRule="exact"/>
              <w:rPr>
                <w:kern w:val="0"/>
              </w:rPr>
            </w:pPr>
            <w:r>
              <w:rPr>
                <w:kern w:val="0"/>
              </w:rPr>
              <w:t>Ⅲ</w:t>
            </w:r>
            <w:r>
              <w:rPr>
                <w:kern w:val="0"/>
              </w:rPr>
              <w:t>类项目</w:t>
            </w:r>
          </w:p>
        </w:tc>
      </w:tr>
      <w:tr w:rsidR="00240BCE">
        <w:trPr>
          <w:jc w:val="center"/>
        </w:trPr>
        <w:tc>
          <w:tcPr>
            <w:tcW w:w="2130" w:type="dxa"/>
            <w:vAlign w:val="center"/>
          </w:tcPr>
          <w:p w:rsidR="00240BCE" w:rsidRDefault="00AC0334">
            <w:pPr>
              <w:pStyle w:val="61"/>
              <w:spacing w:line="280" w:lineRule="exact"/>
              <w:rPr>
                <w:kern w:val="0"/>
              </w:rPr>
            </w:pPr>
            <w:r>
              <w:rPr>
                <w:kern w:val="0"/>
              </w:rPr>
              <w:t>敏感</w:t>
            </w:r>
          </w:p>
        </w:tc>
        <w:tc>
          <w:tcPr>
            <w:tcW w:w="2130" w:type="dxa"/>
            <w:vAlign w:val="center"/>
          </w:tcPr>
          <w:p w:rsidR="00240BCE" w:rsidRDefault="00AC0334">
            <w:pPr>
              <w:pStyle w:val="61"/>
              <w:spacing w:line="280" w:lineRule="exact"/>
              <w:rPr>
                <w:kern w:val="0"/>
              </w:rPr>
            </w:pPr>
            <w:r>
              <w:rPr>
                <w:kern w:val="0"/>
              </w:rPr>
              <w:t>一级</w:t>
            </w:r>
          </w:p>
        </w:tc>
        <w:tc>
          <w:tcPr>
            <w:tcW w:w="2131" w:type="dxa"/>
            <w:vAlign w:val="center"/>
          </w:tcPr>
          <w:p w:rsidR="00240BCE" w:rsidRDefault="00AC0334">
            <w:pPr>
              <w:pStyle w:val="61"/>
              <w:spacing w:line="280" w:lineRule="exact"/>
              <w:rPr>
                <w:kern w:val="0"/>
              </w:rPr>
            </w:pPr>
            <w:r>
              <w:rPr>
                <w:kern w:val="0"/>
              </w:rPr>
              <w:t>一级</w:t>
            </w:r>
          </w:p>
        </w:tc>
        <w:tc>
          <w:tcPr>
            <w:tcW w:w="2131" w:type="dxa"/>
            <w:vAlign w:val="center"/>
          </w:tcPr>
          <w:p w:rsidR="00240BCE" w:rsidRDefault="00AC0334">
            <w:pPr>
              <w:pStyle w:val="61"/>
              <w:spacing w:line="280" w:lineRule="exact"/>
              <w:rPr>
                <w:kern w:val="0"/>
              </w:rPr>
            </w:pPr>
            <w:r>
              <w:rPr>
                <w:kern w:val="0"/>
              </w:rPr>
              <w:t>二级</w:t>
            </w:r>
          </w:p>
        </w:tc>
      </w:tr>
      <w:tr w:rsidR="00240BCE">
        <w:trPr>
          <w:jc w:val="center"/>
        </w:trPr>
        <w:tc>
          <w:tcPr>
            <w:tcW w:w="2130" w:type="dxa"/>
            <w:vAlign w:val="center"/>
          </w:tcPr>
          <w:p w:rsidR="00240BCE" w:rsidRDefault="00AC0334">
            <w:pPr>
              <w:pStyle w:val="61"/>
              <w:spacing w:line="280" w:lineRule="exact"/>
              <w:rPr>
                <w:kern w:val="0"/>
              </w:rPr>
            </w:pPr>
            <w:r>
              <w:rPr>
                <w:kern w:val="0"/>
              </w:rPr>
              <w:t>较敏感</w:t>
            </w:r>
          </w:p>
        </w:tc>
        <w:tc>
          <w:tcPr>
            <w:tcW w:w="2130" w:type="dxa"/>
            <w:vAlign w:val="center"/>
          </w:tcPr>
          <w:p w:rsidR="00240BCE" w:rsidRDefault="00AC0334">
            <w:pPr>
              <w:pStyle w:val="61"/>
              <w:spacing w:line="280" w:lineRule="exact"/>
              <w:rPr>
                <w:kern w:val="0"/>
              </w:rPr>
            </w:pPr>
            <w:r>
              <w:rPr>
                <w:kern w:val="0"/>
              </w:rPr>
              <w:t>一级</w:t>
            </w:r>
          </w:p>
        </w:tc>
        <w:tc>
          <w:tcPr>
            <w:tcW w:w="2131" w:type="dxa"/>
            <w:vAlign w:val="center"/>
          </w:tcPr>
          <w:p w:rsidR="00240BCE" w:rsidRDefault="00AC0334">
            <w:pPr>
              <w:pStyle w:val="61"/>
              <w:spacing w:line="280" w:lineRule="exact"/>
              <w:rPr>
                <w:b/>
                <w:kern w:val="0"/>
                <w:u w:val="single"/>
              </w:rPr>
            </w:pPr>
            <w:r>
              <w:rPr>
                <w:bCs/>
                <w:kern w:val="0"/>
                <w:highlight w:val="lightGray"/>
              </w:rPr>
              <w:t>二级</w:t>
            </w:r>
          </w:p>
        </w:tc>
        <w:tc>
          <w:tcPr>
            <w:tcW w:w="2131" w:type="dxa"/>
            <w:vAlign w:val="center"/>
          </w:tcPr>
          <w:p w:rsidR="00240BCE" w:rsidRDefault="00AC0334">
            <w:pPr>
              <w:pStyle w:val="61"/>
              <w:spacing w:line="280" w:lineRule="exact"/>
              <w:rPr>
                <w:kern w:val="0"/>
              </w:rPr>
            </w:pPr>
            <w:r>
              <w:rPr>
                <w:kern w:val="0"/>
              </w:rPr>
              <w:t>三级</w:t>
            </w:r>
          </w:p>
        </w:tc>
      </w:tr>
      <w:tr w:rsidR="00240BCE">
        <w:trPr>
          <w:jc w:val="center"/>
        </w:trPr>
        <w:tc>
          <w:tcPr>
            <w:tcW w:w="2130" w:type="dxa"/>
            <w:vAlign w:val="center"/>
          </w:tcPr>
          <w:p w:rsidR="00240BCE" w:rsidRDefault="00AC0334">
            <w:pPr>
              <w:pStyle w:val="61"/>
              <w:spacing w:line="280" w:lineRule="exact"/>
              <w:rPr>
                <w:kern w:val="0"/>
              </w:rPr>
            </w:pPr>
            <w:r>
              <w:rPr>
                <w:kern w:val="0"/>
              </w:rPr>
              <w:t>不敏感</w:t>
            </w:r>
          </w:p>
        </w:tc>
        <w:tc>
          <w:tcPr>
            <w:tcW w:w="2130" w:type="dxa"/>
            <w:vAlign w:val="center"/>
          </w:tcPr>
          <w:p w:rsidR="00240BCE" w:rsidRDefault="00AC0334">
            <w:pPr>
              <w:pStyle w:val="61"/>
              <w:spacing w:line="280" w:lineRule="exact"/>
              <w:rPr>
                <w:kern w:val="0"/>
              </w:rPr>
            </w:pPr>
            <w:r>
              <w:rPr>
                <w:kern w:val="0"/>
              </w:rPr>
              <w:t>二级</w:t>
            </w:r>
          </w:p>
        </w:tc>
        <w:tc>
          <w:tcPr>
            <w:tcW w:w="2131" w:type="dxa"/>
            <w:vAlign w:val="center"/>
          </w:tcPr>
          <w:p w:rsidR="00240BCE" w:rsidRDefault="00AC0334">
            <w:pPr>
              <w:pStyle w:val="61"/>
              <w:spacing w:line="280" w:lineRule="exact"/>
              <w:rPr>
                <w:kern w:val="0"/>
              </w:rPr>
            </w:pPr>
            <w:r>
              <w:rPr>
                <w:kern w:val="0"/>
              </w:rPr>
              <w:t>三级</w:t>
            </w:r>
          </w:p>
        </w:tc>
        <w:tc>
          <w:tcPr>
            <w:tcW w:w="2131" w:type="dxa"/>
            <w:vAlign w:val="center"/>
          </w:tcPr>
          <w:p w:rsidR="00240BCE" w:rsidRDefault="00AC0334">
            <w:pPr>
              <w:pStyle w:val="61"/>
              <w:spacing w:line="280" w:lineRule="exact"/>
              <w:rPr>
                <w:kern w:val="0"/>
              </w:rPr>
            </w:pPr>
            <w:r>
              <w:rPr>
                <w:kern w:val="0"/>
              </w:rPr>
              <w:t>三级</w:t>
            </w:r>
          </w:p>
        </w:tc>
      </w:tr>
    </w:tbl>
    <w:p w:rsidR="00240BCE" w:rsidRDefault="00AC0334">
      <w:pPr>
        <w:pStyle w:val="44"/>
      </w:pPr>
      <w:r>
        <w:t>根据表</w:t>
      </w:r>
      <w:r>
        <w:t>2.6-3</w:t>
      </w:r>
      <w:r>
        <w:t>地下水环境评价等级分级判定可知，本项目地下水评价等级为二级。</w:t>
      </w:r>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142" w:name="_Toc180679843"/>
      <w:bookmarkStart w:id="143" w:name="_Toc269462005"/>
      <w:bookmarkStart w:id="144" w:name="_Toc181088602"/>
      <w:bookmarkStart w:id="145" w:name="_Toc269232791"/>
      <w:bookmarkStart w:id="146" w:name="_Toc224102043"/>
      <w:bookmarkStart w:id="147" w:name="_Toc307496070"/>
      <w:bookmarkStart w:id="148" w:name="_Toc181089008"/>
      <w:bookmarkStart w:id="149" w:name="_Toc180680264"/>
      <w:bookmarkStart w:id="150" w:name="_Toc181089832"/>
      <w:bookmarkStart w:id="151" w:name="_Toc232419434"/>
      <w:bookmarkStart w:id="152" w:name="_Toc199155377"/>
      <w:bookmarkStart w:id="153" w:name="_Toc196561954"/>
      <w:bookmarkStart w:id="154" w:name="_Toc181090287"/>
      <w:bookmarkStart w:id="155" w:name="_Toc6005_WPSOffice_Level3"/>
      <w:r>
        <w:rPr>
          <w:rFonts w:eastAsia="楷体" w:cs="Times New Roman"/>
          <w:b/>
          <w:szCs w:val="28"/>
          <w:lang w:val="de-DE"/>
        </w:rPr>
        <w:t>2.</w:t>
      </w:r>
      <w:bookmarkEnd w:id="142"/>
      <w:bookmarkEnd w:id="143"/>
      <w:bookmarkEnd w:id="144"/>
      <w:bookmarkEnd w:id="145"/>
      <w:bookmarkEnd w:id="146"/>
      <w:bookmarkEnd w:id="147"/>
      <w:bookmarkEnd w:id="148"/>
      <w:bookmarkEnd w:id="149"/>
      <w:bookmarkEnd w:id="150"/>
      <w:bookmarkEnd w:id="151"/>
      <w:bookmarkEnd w:id="152"/>
      <w:bookmarkEnd w:id="153"/>
      <w:bookmarkEnd w:id="154"/>
      <w:r>
        <w:rPr>
          <w:rFonts w:eastAsia="楷体" w:cs="Times New Roman"/>
          <w:b/>
          <w:szCs w:val="28"/>
          <w:lang w:val="de-DE"/>
        </w:rPr>
        <w:t>6.3</w:t>
      </w:r>
      <w:r>
        <w:rPr>
          <w:rFonts w:eastAsia="楷体" w:cs="Times New Roman"/>
          <w:b/>
          <w:szCs w:val="28"/>
          <w:lang w:val="de-DE"/>
        </w:rPr>
        <w:t>地表水评价等级确定</w:t>
      </w:r>
      <w:bookmarkEnd w:id="155"/>
    </w:p>
    <w:p w:rsidR="00EB2D6C" w:rsidRDefault="00BB0153" w:rsidP="00EB2D6C">
      <w:pPr>
        <w:spacing w:line="520" w:lineRule="exact"/>
        <w:ind w:firstLineChars="200" w:firstLine="480"/>
        <w:rPr>
          <w:sz w:val="24"/>
        </w:rPr>
      </w:pPr>
      <w:r w:rsidRPr="00BB0153">
        <w:rPr>
          <w:rFonts w:hint="eastAsia"/>
          <w:sz w:val="24"/>
        </w:rPr>
        <w:t>根据工程分析，</w:t>
      </w:r>
      <w:r w:rsidR="007D0369">
        <w:rPr>
          <w:rFonts w:hint="eastAsia"/>
          <w:sz w:val="24"/>
        </w:rPr>
        <w:t>本项目生活污水全部综合利用不外排，</w:t>
      </w:r>
      <w:r w:rsidRPr="00EB2D6C">
        <w:rPr>
          <w:rFonts w:hint="eastAsia"/>
          <w:sz w:val="24"/>
        </w:rPr>
        <w:t>升级改造</w:t>
      </w:r>
      <w:r w:rsidR="00EB2D6C">
        <w:rPr>
          <w:rFonts w:hint="eastAsia"/>
          <w:sz w:val="24"/>
        </w:rPr>
        <w:t>后</w:t>
      </w:r>
      <w:r w:rsidRPr="00EB2D6C">
        <w:rPr>
          <w:rFonts w:hint="eastAsia"/>
          <w:sz w:val="24"/>
        </w:rPr>
        <w:t>项目外排总的废水量为</w:t>
      </w:r>
      <w:r w:rsidR="000C4154" w:rsidRPr="003F0B84">
        <w:rPr>
          <w:rFonts w:hint="eastAsia"/>
          <w:b/>
          <w:i/>
          <w:sz w:val="24"/>
          <w:u w:val="single"/>
        </w:rPr>
        <w:t>4183.9</w:t>
      </w:r>
      <w:r w:rsidR="000C4154" w:rsidRPr="003F0B84">
        <w:rPr>
          <w:b/>
          <w:i/>
          <w:sz w:val="24"/>
          <w:u w:val="single"/>
        </w:rPr>
        <w:t>m</w:t>
      </w:r>
      <w:r w:rsidR="000C4154" w:rsidRPr="003F0B84">
        <w:rPr>
          <w:b/>
          <w:i/>
          <w:sz w:val="24"/>
          <w:u w:val="single"/>
          <w:vertAlign w:val="superscript"/>
        </w:rPr>
        <w:t>3</w:t>
      </w:r>
      <w:r w:rsidR="000C4154" w:rsidRPr="003F0B84">
        <w:rPr>
          <w:b/>
          <w:i/>
          <w:sz w:val="24"/>
          <w:u w:val="single"/>
        </w:rPr>
        <w:t>/d</w:t>
      </w:r>
      <w:r w:rsidR="000C4154" w:rsidRPr="003F0B84">
        <w:rPr>
          <w:b/>
          <w:i/>
          <w:sz w:val="24"/>
          <w:u w:val="single"/>
        </w:rPr>
        <w:t>（</w:t>
      </w:r>
      <w:r w:rsidR="000C4154" w:rsidRPr="003F0B84">
        <w:rPr>
          <w:rFonts w:hint="eastAsia"/>
          <w:b/>
          <w:i/>
          <w:sz w:val="24"/>
          <w:u w:val="single"/>
        </w:rPr>
        <w:t>1527123</w:t>
      </w:r>
      <w:r w:rsidR="000C4154" w:rsidRPr="003F0B84">
        <w:rPr>
          <w:b/>
          <w:i/>
          <w:sz w:val="24"/>
          <w:u w:val="single"/>
        </w:rPr>
        <w:t>.5m</w:t>
      </w:r>
      <w:r w:rsidR="000C4154" w:rsidRPr="003F0B84">
        <w:rPr>
          <w:b/>
          <w:i/>
          <w:sz w:val="24"/>
          <w:u w:val="single"/>
          <w:vertAlign w:val="superscript"/>
        </w:rPr>
        <w:t>3</w:t>
      </w:r>
      <w:r w:rsidR="000C4154" w:rsidRPr="003F0B84">
        <w:rPr>
          <w:b/>
          <w:i/>
          <w:sz w:val="24"/>
          <w:u w:val="single"/>
        </w:rPr>
        <w:t>/a</w:t>
      </w:r>
      <w:r w:rsidR="000C4154" w:rsidRPr="003F0B84">
        <w:rPr>
          <w:b/>
          <w:i/>
          <w:sz w:val="24"/>
          <w:u w:val="single"/>
        </w:rPr>
        <w:t>）</w:t>
      </w:r>
      <w:r w:rsidR="00EB2D6C" w:rsidRPr="00EB2D6C">
        <w:rPr>
          <w:rFonts w:hint="eastAsia"/>
          <w:sz w:val="24"/>
        </w:rPr>
        <w:t>，</w:t>
      </w:r>
      <w:r w:rsidRPr="00EB2D6C">
        <w:rPr>
          <w:rFonts w:hint="eastAsia"/>
          <w:sz w:val="24"/>
        </w:rPr>
        <w:t>全部为矿井水，</w:t>
      </w:r>
      <w:bookmarkStart w:id="156" w:name="_Toc4355_WPSOffice_Level3"/>
      <w:r w:rsidR="00EB2D6C">
        <w:rPr>
          <w:rFonts w:hint="eastAsia"/>
          <w:color w:val="000000"/>
          <w:sz w:val="24"/>
        </w:rPr>
        <w:t>处理达到《地表水环境质量标准》（</w:t>
      </w:r>
      <w:r w:rsidR="00EB2D6C">
        <w:rPr>
          <w:rFonts w:hint="eastAsia"/>
          <w:color w:val="000000"/>
          <w:sz w:val="24"/>
        </w:rPr>
        <w:t>GB3838-2002</w:t>
      </w:r>
      <w:r w:rsidR="00EB2D6C">
        <w:rPr>
          <w:rFonts w:hint="eastAsia"/>
          <w:color w:val="000000"/>
          <w:sz w:val="24"/>
        </w:rPr>
        <w:t>）Ⅲ类标准后的外排废水向</w:t>
      </w:r>
      <w:r w:rsidR="00EB2D6C">
        <w:rPr>
          <w:rFonts w:hint="eastAsia"/>
          <w:sz w:val="24"/>
        </w:rPr>
        <w:t>东北</w:t>
      </w:r>
      <w:r w:rsidR="00EB2D6C" w:rsidRPr="00540190">
        <w:rPr>
          <w:rFonts w:hint="eastAsia"/>
          <w:sz w:val="24"/>
        </w:rPr>
        <w:t>外排</w:t>
      </w:r>
      <w:r w:rsidR="00EB2D6C">
        <w:rPr>
          <w:sz w:val="24"/>
        </w:rPr>
        <w:t>至赵沟河</w:t>
      </w:r>
      <w:r w:rsidR="00EB2D6C" w:rsidRPr="00AA5BDA">
        <w:rPr>
          <w:rFonts w:hint="eastAsia"/>
          <w:sz w:val="24"/>
        </w:rPr>
        <w:t>2.1km</w:t>
      </w:r>
      <w:r w:rsidR="00EB2D6C" w:rsidRPr="00AA5BDA">
        <w:rPr>
          <w:rFonts w:hint="eastAsia"/>
          <w:sz w:val="24"/>
        </w:rPr>
        <w:t>→涌泉河</w:t>
      </w:r>
      <w:r w:rsidR="00EB2D6C" w:rsidRPr="00AA5BDA">
        <w:rPr>
          <w:rFonts w:hint="eastAsia"/>
          <w:sz w:val="24"/>
        </w:rPr>
        <w:t>3.0km</w:t>
      </w:r>
      <w:r w:rsidR="00EB2D6C" w:rsidRPr="00AA5BDA">
        <w:rPr>
          <w:rFonts w:hint="eastAsia"/>
          <w:sz w:val="24"/>
        </w:rPr>
        <w:t>→纸坊水库</w:t>
      </w:r>
      <w:r w:rsidR="000C4154">
        <w:rPr>
          <w:rFonts w:hint="eastAsia"/>
          <w:color w:val="000000"/>
          <w:sz w:val="24"/>
        </w:rPr>
        <w:t>后</w:t>
      </w:r>
      <w:r w:rsidR="00EB2D6C">
        <w:rPr>
          <w:rFonts w:hint="eastAsia"/>
          <w:color w:val="000000"/>
          <w:sz w:val="24"/>
        </w:rPr>
        <w:t>用于</w:t>
      </w:r>
      <w:r w:rsidR="000C4154">
        <w:rPr>
          <w:rFonts w:hint="eastAsia"/>
          <w:sz w:val="24"/>
        </w:rPr>
        <w:t>生态补水及</w:t>
      </w:r>
      <w:r w:rsidR="00EB2D6C">
        <w:rPr>
          <w:sz w:val="24"/>
        </w:rPr>
        <w:t>周边农田灌溉</w:t>
      </w:r>
      <w:r w:rsidR="00EB2D6C">
        <w:rPr>
          <w:rFonts w:hint="eastAsia"/>
          <w:sz w:val="24"/>
        </w:rPr>
        <w:t>。</w:t>
      </w:r>
      <w:r w:rsidR="000C4154" w:rsidRPr="000C4154">
        <w:rPr>
          <w:rFonts w:hint="eastAsia"/>
          <w:b/>
          <w:i/>
          <w:color w:val="000000"/>
          <w:sz w:val="24"/>
          <w:u w:val="single"/>
        </w:rPr>
        <w:t>项目排放方式为直接排放</w:t>
      </w:r>
      <w:r w:rsidR="000C4154" w:rsidRPr="000C4154">
        <w:rPr>
          <w:rFonts w:hint="eastAsia"/>
          <w:b/>
          <w:i/>
          <w:sz w:val="24"/>
          <w:u w:val="single"/>
        </w:rPr>
        <w:t>，其排放水质</w:t>
      </w:r>
      <w:r w:rsidR="000C4154">
        <w:rPr>
          <w:rFonts w:hint="eastAsia"/>
          <w:b/>
          <w:i/>
          <w:sz w:val="24"/>
          <w:u w:val="single"/>
        </w:rPr>
        <w:t>满足</w:t>
      </w:r>
      <w:r w:rsidR="000C4154" w:rsidRPr="000C4154">
        <w:rPr>
          <w:rFonts w:hint="eastAsia"/>
          <w:b/>
          <w:i/>
          <w:sz w:val="24"/>
          <w:u w:val="single"/>
        </w:rPr>
        <w:t>受纳水体水环境质量标准</w:t>
      </w:r>
      <w:r w:rsidR="000C4154">
        <w:rPr>
          <w:rFonts w:hint="eastAsia"/>
          <w:b/>
          <w:i/>
          <w:sz w:val="24"/>
          <w:u w:val="single"/>
        </w:rPr>
        <w:t>（</w:t>
      </w:r>
      <w:r w:rsidR="000C4154" w:rsidRPr="000C4154">
        <w:rPr>
          <w:rFonts w:hint="eastAsia"/>
          <w:b/>
          <w:i/>
          <w:sz w:val="24"/>
          <w:u w:val="single"/>
        </w:rPr>
        <w:t>《地表水环境质量标准》（</w:t>
      </w:r>
      <w:r w:rsidR="000C4154" w:rsidRPr="000C4154">
        <w:rPr>
          <w:rFonts w:hint="eastAsia"/>
          <w:b/>
          <w:i/>
          <w:sz w:val="24"/>
          <w:u w:val="single"/>
        </w:rPr>
        <w:t>GB3838-2002</w:t>
      </w:r>
      <w:r w:rsidR="000C4154" w:rsidRPr="000C4154">
        <w:rPr>
          <w:rFonts w:hint="eastAsia"/>
          <w:b/>
          <w:i/>
          <w:sz w:val="24"/>
          <w:u w:val="single"/>
        </w:rPr>
        <w:t>）Ⅲ类标准</w:t>
      </w:r>
      <w:r w:rsidR="000C4154">
        <w:rPr>
          <w:rFonts w:hint="eastAsia"/>
          <w:b/>
          <w:i/>
          <w:sz w:val="24"/>
          <w:u w:val="single"/>
        </w:rPr>
        <w:t>）</w:t>
      </w:r>
      <w:r w:rsidR="000C4154" w:rsidRPr="000C4154">
        <w:rPr>
          <w:rFonts w:hint="eastAsia"/>
          <w:b/>
          <w:i/>
          <w:sz w:val="24"/>
          <w:u w:val="single"/>
        </w:rPr>
        <w:t>要求</w:t>
      </w:r>
      <w:r w:rsidR="000C4154">
        <w:rPr>
          <w:rFonts w:hint="eastAsia"/>
          <w:b/>
          <w:i/>
          <w:sz w:val="24"/>
          <w:u w:val="single"/>
        </w:rPr>
        <w:t>。</w:t>
      </w:r>
    </w:p>
    <w:p w:rsidR="00EB2D6C" w:rsidRDefault="00EB2D6C" w:rsidP="00EB2D6C">
      <w:pPr>
        <w:spacing w:line="520" w:lineRule="exact"/>
        <w:ind w:firstLineChars="200" w:firstLine="480"/>
        <w:rPr>
          <w:sz w:val="24"/>
        </w:rPr>
      </w:pPr>
      <w:r>
        <w:rPr>
          <w:rFonts w:hint="eastAsia"/>
          <w:sz w:val="24"/>
        </w:rPr>
        <w:t>根据《环境影响评价技术导则</w:t>
      </w:r>
      <w:r>
        <w:rPr>
          <w:rFonts w:hint="eastAsia"/>
          <w:sz w:val="24"/>
        </w:rPr>
        <w:t xml:space="preserve"> </w:t>
      </w:r>
      <w:r>
        <w:rPr>
          <w:rFonts w:hint="eastAsia"/>
          <w:sz w:val="24"/>
        </w:rPr>
        <w:t>地面水环境》</w:t>
      </w:r>
      <w:r>
        <w:rPr>
          <w:rFonts w:hint="eastAsia"/>
          <w:sz w:val="24"/>
        </w:rPr>
        <w:t>(HJ2.3-2018)</w:t>
      </w:r>
      <w:r>
        <w:rPr>
          <w:rFonts w:hint="eastAsia"/>
          <w:sz w:val="24"/>
        </w:rPr>
        <w:t>中有关环境影响评价工作等级划分原则，确定地表水环境评价等级为</w:t>
      </w:r>
      <w:r w:rsidR="000C4154" w:rsidRPr="000C4154">
        <w:rPr>
          <w:rFonts w:hint="eastAsia"/>
          <w:sz w:val="24"/>
        </w:rPr>
        <w:t>三级</w:t>
      </w:r>
      <w:r w:rsidR="000C4154" w:rsidRPr="000C4154">
        <w:rPr>
          <w:rFonts w:hint="eastAsia"/>
          <w:sz w:val="24"/>
        </w:rPr>
        <w:t>A</w:t>
      </w:r>
      <w:r>
        <w:rPr>
          <w:rFonts w:hint="eastAsia"/>
          <w:sz w:val="24"/>
        </w:rPr>
        <w:t>。具体见表</w:t>
      </w:r>
      <w:r>
        <w:rPr>
          <w:rFonts w:hint="eastAsia"/>
          <w:sz w:val="24"/>
        </w:rPr>
        <w:t>2.6-4</w:t>
      </w:r>
      <w:r>
        <w:rPr>
          <w:rFonts w:hint="eastAsia"/>
          <w:sz w:val="24"/>
        </w:rPr>
        <w:t>。</w:t>
      </w:r>
    </w:p>
    <w:p w:rsidR="00EB2D6C" w:rsidRDefault="00EB2D6C" w:rsidP="00EB2D6C">
      <w:pPr>
        <w:spacing w:line="520" w:lineRule="exact"/>
        <w:jc w:val="center"/>
        <w:rPr>
          <w:rFonts w:eastAsia="黑体"/>
          <w:sz w:val="24"/>
        </w:rPr>
      </w:pPr>
      <w:r>
        <w:rPr>
          <w:rFonts w:eastAsia="黑体" w:hint="eastAsia"/>
          <w:sz w:val="24"/>
        </w:rPr>
        <w:t>表</w:t>
      </w:r>
      <w:r>
        <w:rPr>
          <w:rFonts w:eastAsia="黑体" w:hint="eastAsia"/>
          <w:sz w:val="24"/>
        </w:rPr>
        <w:t xml:space="preserve">2.6-4     </w:t>
      </w:r>
      <w:r>
        <w:rPr>
          <w:rFonts w:eastAsia="黑体" w:hint="eastAsia"/>
          <w:sz w:val="24"/>
        </w:rPr>
        <w:t>项目地表水评价等级判定表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980"/>
        <w:gridCol w:w="1352"/>
        <w:gridCol w:w="5006"/>
        <w:gridCol w:w="1222"/>
      </w:tblGrid>
      <w:tr w:rsidR="00EB2D6C" w:rsidRPr="000C4154" w:rsidTr="000C4154">
        <w:tc>
          <w:tcPr>
            <w:tcW w:w="572" w:type="pct"/>
            <w:vAlign w:val="center"/>
          </w:tcPr>
          <w:p w:rsidR="00EB2D6C" w:rsidRPr="000C4154" w:rsidRDefault="00EB2D6C" w:rsidP="002D538A">
            <w:pPr>
              <w:spacing w:line="360" w:lineRule="exact"/>
              <w:jc w:val="center"/>
              <w:rPr>
                <w:bCs/>
                <w:spacing w:val="2"/>
                <w:sz w:val="21"/>
                <w:szCs w:val="21"/>
              </w:rPr>
            </w:pPr>
            <w:r w:rsidRPr="000C4154">
              <w:rPr>
                <w:bCs/>
                <w:spacing w:val="2"/>
                <w:sz w:val="21"/>
                <w:szCs w:val="21"/>
              </w:rPr>
              <w:t>项目</w:t>
            </w:r>
          </w:p>
        </w:tc>
        <w:tc>
          <w:tcPr>
            <w:tcW w:w="790" w:type="pct"/>
            <w:vAlign w:val="center"/>
          </w:tcPr>
          <w:p w:rsidR="00EB2D6C" w:rsidRPr="000C4154" w:rsidRDefault="00EB2D6C" w:rsidP="002D538A">
            <w:pPr>
              <w:spacing w:line="360" w:lineRule="exact"/>
              <w:jc w:val="center"/>
              <w:rPr>
                <w:bCs/>
                <w:spacing w:val="2"/>
                <w:sz w:val="21"/>
                <w:szCs w:val="21"/>
              </w:rPr>
            </w:pPr>
            <w:r w:rsidRPr="000C4154">
              <w:rPr>
                <w:rFonts w:hint="eastAsia"/>
                <w:bCs/>
                <w:spacing w:val="2"/>
                <w:sz w:val="21"/>
                <w:szCs w:val="21"/>
              </w:rPr>
              <w:t>废水排放方式</w:t>
            </w:r>
          </w:p>
        </w:tc>
        <w:tc>
          <w:tcPr>
            <w:tcW w:w="2924" w:type="pct"/>
            <w:vAlign w:val="center"/>
          </w:tcPr>
          <w:p w:rsidR="00EB2D6C" w:rsidRPr="000C4154" w:rsidRDefault="00EB2D6C" w:rsidP="002D538A">
            <w:pPr>
              <w:spacing w:line="360" w:lineRule="exact"/>
              <w:jc w:val="center"/>
              <w:rPr>
                <w:bCs/>
                <w:spacing w:val="2"/>
                <w:sz w:val="21"/>
                <w:szCs w:val="21"/>
              </w:rPr>
            </w:pPr>
            <w:r w:rsidRPr="000C4154">
              <w:rPr>
                <w:bCs/>
                <w:spacing w:val="2"/>
                <w:sz w:val="21"/>
                <w:szCs w:val="21"/>
              </w:rPr>
              <w:t>项目污水排放量（</w:t>
            </w:r>
            <w:r w:rsidRPr="000C4154">
              <w:rPr>
                <w:bCs/>
                <w:spacing w:val="2"/>
                <w:sz w:val="21"/>
                <w:szCs w:val="21"/>
              </w:rPr>
              <w:t>m</w:t>
            </w:r>
            <w:r w:rsidRPr="000C4154">
              <w:rPr>
                <w:bCs/>
                <w:spacing w:val="2"/>
                <w:sz w:val="21"/>
                <w:szCs w:val="21"/>
                <w:vertAlign w:val="superscript"/>
              </w:rPr>
              <w:t>3</w:t>
            </w:r>
            <w:r w:rsidRPr="000C4154">
              <w:rPr>
                <w:bCs/>
                <w:spacing w:val="2"/>
                <w:sz w:val="21"/>
                <w:szCs w:val="21"/>
              </w:rPr>
              <w:t>/d</w:t>
            </w:r>
            <w:r w:rsidRPr="000C4154">
              <w:rPr>
                <w:bCs/>
                <w:spacing w:val="2"/>
                <w:sz w:val="21"/>
                <w:szCs w:val="21"/>
              </w:rPr>
              <w:t>）</w:t>
            </w:r>
            <w:r w:rsidRPr="000C4154">
              <w:rPr>
                <w:rFonts w:hint="eastAsia"/>
                <w:bCs/>
                <w:spacing w:val="2"/>
                <w:sz w:val="21"/>
                <w:szCs w:val="21"/>
              </w:rPr>
              <w:t>/</w:t>
            </w:r>
            <w:r w:rsidRPr="000C4154">
              <w:rPr>
                <w:rFonts w:hint="eastAsia"/>
                <w:bCs/>
                <w:spacing w:val="2"/>
                <w:sz w:val="21"/>
                <w:szCs w:val="21"/>
              </w:rPr>
              <w:t>水污染物当量</w:t>
            </w:r>
          </w:p>
        </w:tc>
        <w:tc>
          <w:tcPr>
            <w:tcW w:w="714" w:type="pct"/>
            <w:vAlign w:val="center"/>
          </w:tcPr>
          <w:p w:rsidR="00EB2D6C" w:rsidRPr="000C4154" w:rsidRDefault="00EB2D6C" w:rsidP="002D538A">
            <w:pPr>
              <w:spacing w:line="360" w:lineRule="exact"/>
              <w:jc w:val="center"/>
              <w:rPr>
                <w:bCs/>
                <w:spacing w:val="2"/>
                <w:sz w:val="21"/>
                <w:szCs w:val="21"/>
              </w:rPr>
            </w:pPr>
            <w:r w:rsidRPr="000C4154">
              <w:rPr>
                <w:rFonts w:hint="eastAsia"/>
                <w:bCs/>
                <w:spacing w:val="2"/>
                <w:sz w:val="21"/>
                <w:szCs w:val="21"/>
              </w:rPr>
              <w:t>评价等级</w:t>
            </w:r>
          </w:p>
        </w:tc>
      </w:tr>
      <w:tr w:rsidR="00EB2D6C" w:rsidRPr="000C4154" w:rsidTr="000C4154">
        <w:trPr>
          <w:trHeight w:val="90"/>
        </w:trPr>
        <w:tc>
          <w:tcPr>
            <w:tcW w:w="572" w:type="pct"/>
            <w:vMerge w:val="restar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等级判定内容</w:t>
            </w:r>
          </w:p>
        </w:tc>
        <w:tc>
          <w:tcPr>
            <w:tcW w:w="790"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直接排放</w:t>
            </w:r>
          </w:p>
        </w:tc>
        <w:tc>
          <w:tcPr>
            <w:tcW w:w="2924" w:type="pct"/>
            <w:vAlign w:val="center"/>
          </w:tcPr>
          <w:p w:rsidR="00EB2D6C" w:rsidRPr="000C4154" w:rsidRDefault="00EB2D6C" w:rsidP="002D538A">
            <w:pPr>
              <w:spacing w:line="360" w:lineRule="exact"/>
              <w:jc w:val="center"/>
              <w:rPr>
                <w:spacing w:val="2"/>
                <w:sz w:val="21"/>
                <w:szCs w:val="21"/>
              </w:rPr>
            </w:pPr>
            <w:r w:rsidRPr="000C4154">
              <w:rPr>
                <w:rFonts w:hint="eastAsia"/>
                <w:sz w:val="21"/>
                <w:szCs w:val="21"/>
              </w:rPr>
              <w:t>Q</w:t>
            </w:r>
            <w:r w:rsidRPr="000C4154">
              <w:rPr>
                <w:rFonts w:hint="eastAsia"/>
                <w:sz w:val="21"/>
                <w:szCs w:val="21"/>
              </w:rPr>
              <w:t>≥</w:t>
            </w:r>
            <w:r w:rsidRPr="000C4154">
              <w:rPr>
                <w:rFonts w:hint="eastAsia"/>
                <w:sz w:val="21"/>
                <w:szCs w:val="21"/>
              </w:rPr>
              <w:t>20000</w:t>
            </w:r>
            <w:r w:rsidRPr="000C4154">
              <w:rPr>
                <w:rFonts w:hint="eastAsia"/>
                <w:sz w:val="21"/>
                <w:szCs w:val="21"/>
              </w:rPr>
              <w:t>或</w:t>
            </w:r>
            <w:r w:rsidRPr="000C4154">
              <w:rPr>
                <w:rFonts w:hint="eastAsia"/>
                <w:sz w:val="21"/>
                <w:szCs w:val="21"/>
              </w:rPr>
              <w:t>W</w:t>
            </w:r>
            <w:r w:rsidRPr="000C4154">
              <w:rPr>
                <w:rFonts w:hint="eastAsia"/>
                <w:sz w:val="21"/>
                <w:szCs w:val="21"/>
              </w:rPr>
              <w:t>≥</w:t>
            </w:r>
            <w:r w:rsidRPr="000C4154">
              <w:rPr>
                <w:rFonts w:hint="eastAsia"/>
                <w:sz w:val="21"/>
                <w:szCs w:val="21"/>
              </w:rPr>
              <w:t>600000</w:t>
            </w:r>
          </w:p>
        </w:tc>
        <w:tc>
          <w:tcPr>
            <w:tcW w:w="714"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一级</w:t>
            </w:r>
          </w:p>
        </w:tc>
      </w:tr>
      <w:tr w:rsidR="00EB2D6C" w:rsidRPr="000C4154" w:rsidTr="000C4154">
        <w:tc>
          <w:tcPr>
            <w:tcW w:w="572" w:type="pct"/>
            <w:vMerge/>
            <w:vAlign w:val="center"/>
          </w:tcPr>
          <w:p w:rsidR="00EB2D6C" w:rsidRPr="000C4154" w:rsidRDefault="00EB2D6C" w:rsidP="002D538A">
            <w:pPr>
              <w:spacing w:line="360" w:lineRule="exact"/>
              <w:jc w:val="center"/>
              <w:rPr>
                <w:spacing w:val="2"/>
                <w:sz w:val="21"/>
                <w:szCs w:val="21"/>
              </w:rPr>
            </w:pPr>
          </w:p>
        </w:tc>
        <w:tc>
          <w:tcPr>
            <w:tcW w:w="790"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直接排放</w:t>
            </w:r>
          </w:p>
        </w:tc>
        <w:tc>
          <w:tcPr>
            <w:tcW w:w="2924"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其他</w:t>
            </w:r>
          </w:p>
        </w:tc>
        <w:tc>
          <w:tcPr>
            <w:tcW w:w="714"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二级</w:t>
            </w:r>
          </w:p>
        </w:tc>
      </w:tr>
      <w:tr w:rsidR="00EB2D6C" w:rsidRPr="000C4154" w:rsidTr="000C4154">
        <w:tc>
          <w:tcPr>
            <w:tcW w:w="572" w:type="pct"/>
            <w:vMerge/>
            <w:vAlign w:val="center"/>
          </w:tcPr>
          <w:p w:rsidR="00EB2D6C" w:rsidRPr="000C4154" w:rsidRDefault="00EB2D6C" w:rsidP="002D538A">
            <w:pPr>
              <w:spacing w:line="360" w:lineRule="exact"/>
              <w:jc w:val="center"/>
              <w:rPr>
                <w:spacing w:val="2"/>
                <w:sz w:val="21"/>
                <w:szCs w:val="21"/>
              </w:rPr>
            </w:pPr>
          </w:p>
        </w:tc>
        <w:tc>
          <w:tcPr>
            <w:tcW w:w="790"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直接排放</w:t>
            </w:r>
          </w:p>
        </w:tc>
        <w:tc>
          <w:tcPr>
            <w:tcW w:w="2924" w:type="pct"/>
            <w:vAlign w:val="center"/>
          </w:tcPr>
          <w:p w:rsidR="00EB2D6C" w:rsidRPr="000C4154" w:rsidRDefault="00EB2D6C" w:rsidP="002D538A">
            <w:pPr>
              <w:spacing w:line="360" w:lineRule="exact"/>
              <w:jc w:val="center"/>
              <w:rPr>
                <w:spacing w:val="2"/>
                <w:sz w:val="21"/>
                <w:szCs w:val="21"/>
              </w:rPr>
            </w:pPr>
            <w:r w:rsidRPr="000C4154">
              <w:rPr>
                <w:rFonts w:hint="eastAsia"/>
                <w:sz w:val="21"/>
                <w:szCs w:val="21"/>
              </w:rPr>
              <w:t>Q</w:t>
            </w:r>
            <w:r w:rsidRPr="000C4154">
              <w:rPr>
                <w:rFonts w:hint="eastAsia"/>
                <w:sz w:val="21"/>
                <w:szCs w:val="21"/>
              </w:rPr>
              <w:t>＜</w:t>
            </w:r>
            <w:r w:rsidRPr="000C4154">
              <w:rPr>
                <w:rFonts w:hint="eastAsia"/>
                <w:sz w:val="21"/>
                <w:szCs w:val="21"/>
              </w:rPr>
              <w:t>200</w:t>
            </w:r>
            <w:r w:rsidRPr="000C4154">
              <w:rPr>
                <w:rFonts w:hint="eastAsia"/>
                <w:sz w:val="21"/>
                <w:szCs w:val="21"/>
              </w:rPr>
              <w:t>且</w:t>
            </w:r>
            <w:r w:rsidRPr="000C4154">
              <w:rPr>
                <w:rFonts w:hint="eastAsia"/>
                <w:sz w:val="21"/>
                <w:szCs w:val="21"/>
              </w:rPr>
              <w:t>W</w:t>
            </w:r>
            <w:r w:rsidRPr="000C4154">
              <w:rPr>
                <w:rFonts w:hint="eastAsia"/>
                <w:sz w:val="21"/>
                <w:szCs w:val="21"/>
              </w:rPr>
              <w:t>＜</w:t>
            </w:r>
            <w:r w:rsidRPr="000C4154">
              <w:rPr>
                <w:rFonts w:hint="eastAsia"/>
                <w:sz w:val="21"/>
                <w:szCs w:val="21"/>
              </w:rPr>
              <w:t>6000</w:t>
            </w:r>
          </w:p>
        </w:tc>
        <w:tc>
          <w:tcPr>
            <w:tcW w:w="714"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三级</w:t>
            </w:r>
            <w:r w:rsidRPr="000C4154">
              <w:rPr>
                <w:rFonts w:hint="eastAsia"/>
                <w:spacing w:val="2"/>
                <w:sz w:val="21"/>
                <w:szCs w:val="21"/>
              </w:rPr>
              <w:t>A</w:t>
            </w:r>
          </w:p>
        </w:tc>
      </w:tr>
      <w:tr w:rsidR="00EB2D6C" w:rsidRPr="000C4154" w:rsidTr="000C4154">
        <w:tc>
          <w:tcPr>
            <w:tcW w:w="572" w:type="pct"/>
            <w:vMerge/>
            <w:vAlign w:val="center"/>
          </w:tcPr>
          <w:p w:rsidR="00EB2D6C" w:rsidRPr="000C4154" w:rsidRDefault="00EB2D6C" w:rsidP="002D538A">
            <w:pPr>
              <w:spacing w:line="360" w:lineRule="exact"/>
              <w:jc w:val="center"/>
              <w:rPr>
                <w:spacing w:val="2"/>
                <w:sz w:val="21"/>
                <w:szCs w:val="21"/>
              </w:rPr>
            </w:pPr>
          </w:p>
        </w:tc>
        <w:tc>
          <w:tcPr>
            <w:tcW w:w="790"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间接排放</w:t>
            </w:r>
          </w:p>
        </w:tc>
        <w:tc>
          <w:tcPr>
            <w:tcW w:w="2924"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w:t>
            </w:r>
          </w:p>
        </w:tc>
        <w:tc>
          <w:tcPr>
            <w:tcW w:w="714"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三级</w:t>
            </w:r>
            <w:r w:rsidRPr="000C4154">
              <w:rPr>
                <w:rFonts w:hint="eastAsia"/>
                <w:spacing w:val="2"/>
                <w:sz w:val="21"/>
                <w:szCs w:val="21"/>
              </w:rPr>
              <w:t>B</w:t>
            </w:r>
          </w:p>
        </w:tc>
      </w:tr>
      <w:tr w:rsidR="00EB2D6C" w:rsidRPr="000C4154" w:rsidTr="000C4154">
        <w:tc>
          <w:tcPr>
            <w:tcW w:w="572"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本项目</w:t>
            </w:r>
          </w:p>
        </w:tc>
        <w:tc>
          <w:tcPr>
            <w:tcW w:w="790" w:type="pct"/>
            <w:vAlign w:val="center"/>
          </w:tcPr>
          <w:p w:rsidR="00EB2D6C" w:rsidRPr="000C4154" w:rsidRDefault="00EB2D6C" w:rsidP="002D538A">
            <w:pPr>
              <w:spacing w:line="360" w:lineRule="exact"/>
              <w:jc w:val="center"/>
              <w:rPr>
                <w:spacing w:val="2"/>
                <w:sz w:val="21"/>
                <w:szCs w:val="21"/>
              </w:rPr>
            </w:pPr>
            <w:r w:rsidRPr="000C4154">
              <w:rPr>
                <w:rFonts w:hint="eastAsia"/>
                <w:spacing w:val="2"/>
                <w:sz w:val="21"/>
                <w:szCs w:val="21"/>
              </w:rPr>
              <w:t>直接排放</w:t>
            </w:r>
          </w:p>
        </w:tc>
        <w:tc>
          <w:tcPr>
            <w:tcW w:w="2924" w:type="pct"/>
            <w:vAlign w:val="center"/>
          </w:tcPr>
          <w:p w:rsidR="00EB2D6C" w:rsidRPr="000C4154" w:rsidRDefault="00EB2D6C" w:rsidP="000C4154">
            <w:pPr>
              <w:spacing w:line="360" w:lineRule="exact"/>
              <w:jc w:val="center"/>
              <w:rPr>
                <w:spacing w:val="2"/>
                <w:sz w:val="21"/>
                <w:szCs w:val="21"/>
              </w:rPr>
            </w:pPr>
            <w:r w:rsidRPr="000C4154">
              <w:rPr>
                <w:rFonts w:hint="eastAsia"/>
                <w:sz w:val="21"/>
                <w:szCs w:val="21"/>
              </w:rPr>
              <w:t>废水外排总量为</w:t>
            </w:r>
            <w:r w:rsidRPr="000C4154">
              <w:rPr>
                <w:rFonts w:hint="eastAsia"/>
                <w:sz w:val="21"/>
                <w:szCs w:val="21"/>
              </w:rPr>
              <w:t>4</w:t>
            </w:r>
            <w:r w:rsidR="000C4154" w:rsidRPr="000C4154">
              <w:rPr>
                <w:rFonts w:hint="eastAsia"/>
                <w:sz w:val="21"/>
                <w:szCs w:val="21"/>
              </w:rPr>
              <w:t>189.3</w:t>
            </w:r>
            <w:r w:rsidRPr="000C4154">
              <w:rPr>
                <w:sz w:val="21"/>
                <w:szCs w:val="21"/>
              </w:rPr>
              <w:t>m</w:t>
            </w:r>
            <w:r w:rsidRPr="000C4154">
              <w:rPr>
                <w:sz w:val="21"/>
                <w:szCs w:val="21"/>
                <w:vertAlign w:val="superscript"/>
              </w:rPr>
              <w:t>3</w:t>
            </w:r>
            <w:r w:rsidRPr="000C4154">
              <w:rPr>
                <w:sz w:val="21"/>
                <w:szCs w:val="21"/>
              </w:rPr>
              <w:t>/d</w:t>
            </w:r>
            <w:r w:rsidRPr="000C4154">
              <w:rPr>
                <w:rFonts w:hint="eastAsia"/>
                <w:sz w:val="21"/>
                <w:szCs w:val="21"/>
              </w:rPr>
              <w:t>，</w:t>
            </w:r>
            <w:r w:rsidR="000C4154" w:rsidRPr="000C4154">
              <w:rPr>
                <w:rFonts w:hint="eastAsia"/>
                <w:b/>
                <w:i/>
                <w:sz w:val="21"/>
                <w:szCs w:val="21"/>
                <w:u w:val="single"/>
              </w:rPr>
              <w:t>排放水质满足受纳水体水环境质量标准（《地表水环境质量标准》（</w:t>
            </w:r>
            <w:r w:rsidR="000C4154" w:rsidRPr="000C4154">
              <w:rPr>
                <w:rFonts w:hint="eastAsia"/>
                <w:b/>
                <w:i/>
                <w:sz w:val="21"/>
                <w:szCs w:val="21"/>
                <w:u w:val="single"/>
              </w:rPr>
              <w:t>GB3838-2002</w:t>
            </w:r>
            <w:r w:rsidR="000C4154" w:rsidRPr="000C4154">
              <w:rPr>
                <w:rFonts w:hint="eastAsia"/>
                <w:b/>
                <w:i/>
                <w:sz w:val="21"/>
                <w:szCs w:val="21"/>
                <w:u w:val="single"/>
              </w:rPr>
              <w:t>）Ⅲ类标准）要求</w:t>
            </w:r>
          </w:p>
        </w:tc>
        <w:tc>
          <w:tcPr>
            <w:tcW w:w="714" w:type="pct"/>
            <w:vAlign w:val="center"/>
          </w:tcPr>
          <w:p w:rsidR="00EB2D6C" w:rsidRPr="000C4154" w:rsidRDefault="000C4154" w:rsidP="002D538A">
            <w:pPr>
              <w:spacing w:line="360" w:lineRule="exact"/>
              <w:jc w:val="center"/>
              <w:rPr>
                <w:spacing w:val="2"/>
                <w:sz w:val="21"/>
                <w:szCs w:val="21"/>
              </w:rPr>
            </w:pPr>
            <w:r w:rsidRPr="000C4154">
              <w:rPr>
                <w:rFonts w:hint="eastAsia"/>
                <w:spacing w:val="2"/>
                <w:sz w:val="21"/>
                <w:szCs w:val="21"/>
              </w:rPr>
              <w:t>三级</w:t>
            </w:r>
            <w:r w:rsidRPr="000C4154">
              <w:rPr>
                <w:rFonts w:hint="eastAsia"/>
                <w:spacing w:val="2"/>
                <w:sz w:val="21"/>
                <w:szCs w:val="21"/>
              </w:rPr>
              <w:t>A</w:t>
            </w:r>
          </w:p>
        </w:tc>
      </w:tr>
      <w:tr w:rsidR="000C4154" w:rsidRPr="000C4154" w:rsidTr="000C4154">
        <w:tc>
          <w:tcPr>
            <w:tcW w:w="5000" w:type="pct"/>
            <w:gridSpan w:val="4"/>
            <w:vAlign w:val="center"/>
          </w:tcPr>
          <w:p w:rsidR="000C4154" w:rsidRPr="000C4154" w:rsidRDefault="000C4154" w:rsidP="002D538A">
            <w:pPr>
              <w:spacing w:line="360" w:lineRule="exact"/>
              <w:jc w:val="center"/>
              <w:rPr>
                <w:b/>
                <w:i/>
                <w:spacing w:val="2"/>
                <w:sz w:val="21"/>
                <w:szCs w:val="21"/>
                <w:u w:val="single"/>
              </w:rPr>
            </w:pPr>
            <w:r w:rsidRPr="000C4154">
              <w:rPr>
                <w:rFonts w:hint="eastAsia"/>
                <w:b/>
                <w:i/>
                <w:spacing w:val="2"/>
                <w:sz w:val="21"/>
                <w:szCs w:val="21"/>
                <w:u w:val="single"/>
              </w:rPr>
              <w:t>注</w:t>
            </w:r>
            <w:r w:rsidRPr="000C4154">
              <w:rPr>
                <w:rFonts w:hint="eastAsia"/>
                <w:b/>
                <w:i/>
                <w:spacing w:val="2"/>
                <w:sz w:val="21"/>
                <w:szCs w:val="21"/>
                <w:u w:val="single"/>
              </w:rPr>
              <w:t xml:space="preserve"> 8</w:t>
            </w:r>
            <w:r w:rsidRPr="000C4154">
              <w:rPr>
                <w:rFonts w:hint="eastAsia"/>
                <w:b/>
                <w:i/>
                <w:spacing w:val="2"/>
                <w:sz w:val="21"/>
                <w:szCs w:val="21"/>
                <w:u w:val="single"/>
              </w:rPr>
              <w:t>：仅涉及清净下水排放的，如其排放水质满足受纳水体水环境质量标准要求的，评价等级为三级</w:t>
            </w:r>
            <w:r w:rsidRPr="000C4154">
              <w:rPr>
                <w:rFonts w:hint="eastAsia"/>
                <w:b/>
                <w:i/>
                <w:spacing w:val="2"/>
                <w:sz w:val="21"/>
                <w:szCs w:val="21"/>
                <w:u w:val="single"/>
              </w:rPr>
              <w:t xml:space="preserve"> A</w:t>
            </w:r>
            <w:r w:rsidRPr="000C4154">
              <w:rPr>
                <w:rFonts w:hint="eastAsia"/>
                <w:b/>
                <w:i/>
                <w:spacing w:val="2"/>
                <w:sz w:val="21"/>
                <w:szCs w:val="21"/>
                <w:u w:val="single"/>
              </w:rPr>
              <w:t>。</w:t>
            </w:r>
          </w:p>
        </w:tc>
      </w:tr>
    </w:tbl>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r>
        <w:rPr>
          <w:rFonts w:eastAsia="楷体" w:cs="Times New Roman"/>
          <w:b/>
          <w:szCs w:val="28"/>
          <w:lang w:val="de-DE"/>
        </w:rPr>
        <w:t>2.6.4</w:t>
      </w:r>
      <w:r>
        <w:rPr>
          <w:rFonts w:eastAsia="楷体" w:cs="Times New Roman"/>
          <w:b/>
          <w:szCs w:val="28"/>
          <w:lang w:val="de-DE"/>
        </w:rPr>
        <w:t>环境空气评价等级确定</w:t>
      </w:r>
      <w:bookmarkEnd w:id="156"/>
    </w:p>
    <w:p w:rsidR="002A5EA6" w:rsidRDefault="002A5EA6">
      <w:pPr>
        <w:pStyle w:val="011"/>
        <w:ind w:firstLine="488"/>
      </w:pPr>
      <w:r>
        <w:t>本项目不设置锅炉房，</w:t>
      </w:r>
      <w:r>
        <w:rPr>
          <w:rFonts w:hint="eastAsia"/>
        </w:rPr>
        <w:t>且本项目</w:t>
      </w:r>
      <w:r>
        <w:t>煤炭储装运系统全部封闭且设有喷雾洒水设施</w:t>
      </w:r>
      <w:r>
        <w:rPr>
          <w:rFonts w:hint="eastAsia"/>
        </w:rPr>
        <w:t>等，</w:t>
      </w:r>
      <w:r w:rsidRPr="002A5EA6">
        <w:rPr>
          <w:rFonts w:hint="eastAsia"/>
        </w:rPr>
        <w:t>本次</w:t>
      </w:r>
      <w:r>
        <w:rPr>
          <w:rFonts w:hint="eastAsia"/>
        </w:rPr>
        <w:t>升级改造</w:t>
      </w:r>
      <w:r w:rsidRPr="002A5EA6">
        <w:rPr>
          <w:rFonts w:hint="eastAsia"/>
        </w:rPr>
        <w:t>初步设计中不新增大气污染源，现有污染源经“以新带老”</w:t>
      </w:r>
      <w:r w:rsidRPr="002A5EA6">
        <w:rPr>
          <w:rFonts w:hint="eastAsia"/>
        </w:rPr>
        <w:lastRenderedPageBreak/>
        <w:t>后污染物排放量略有减少，本次评价大气环境主要是对现有工程污染防治措施有效性和合规性进行分析，提出相应的提标改造措施，并分析在合并后运营期污染物变化情况和处理措施的有效性。</w:t>
      </w:r>
    </w:p>
    <w:p w:rsidR="002A5EA6" w:rsidRPr="002A5EA6" w:rsidRDefault="002A5EA6" w:rsidP="002A5EA6">
      <w:pPr>
        <w:spacing w:line="520" w:lineRule="exact"/>
        <w:ind w:firstLineChars="200" w:firstLine="480"/>
        <w:rPr>
          <w:sz w:val="24"/>
        </w:rPr>
      </w:pPr>
      <w:r w:rsidRPr="002A5EA6">
        <w:rPr>
          <w:rFonts w:hint="eastAsia"/>
          <w:sz w:val="24"/>
        </w:rPr>
        <w:t>（</w:t>
      </w:r>
      <w:r w:rsidRPr="002A5EA6">
        <w:rPr>
          <w:rFonts w:hint="eastAsia"/>
          <w:sz w:val="24"/>
        </w:rPr>
        <w:t>1</w:t>
      </w:r>
      <w:r w:rsidRPr="002A5EA6">
        <w:rPr>
          <w:rFonts w:hint="eastAsia"/>
          <w:sz w:val="24"/>
        </w:rPr>
        <w:t>）环境空气评价等级的确定</w:t>
      </w:r>
    </w:p>
    <w:p w:rsidR="002A5EA6" w:rsidRPr="002A5EA6" w:rsidRDefault="002A5EA6" w:rsidP="002A5EA6">
      <w:pPr>
        <w:spacing w:line="520" w:lineRule="exact"/>
        <w:ind w:firstLineChars="200" w:firstLine="480"/>
        <w:rPr>
          <w:sz w:val="24"/>
        </w:rPr>
      </w:pPr>
      <w:r w:rsidRPr="002A5EA6">
        <w:rPr>
          <w:rFonts w:hint="eastAsia"/>
          <w:sz w:val="24"/>
        </w:rPr>
        <w:t>本项目</w:t>
      </w:r>
      <w:r w:rsidRPr="002A5EA6">
        <w:rPr>
          <w:rFonts w:hAnsi="宋体" w:hint="eastAsia"/>
          <w:sz w:val="24"/>
        </w:rPr>
        <w:t>项目营运期大气污染包括</w:t>
      </w:r>
      <w:r w:rsidRPr="002A5EA6">
        <w:rPr>
          <w:rFonts w:hint="eastAsia"/>
          <w:sz w:val="24"/>
        </w:rPr>
        <w:t>井下开采过程产生的扬尘以及风井回风产生的废气、储煤棚产生的粉尘、车辆运输产生的粉尘等。本项目主要污染物为粉尘颗粒物，不涉及</w:t>
      </w:r>
      <w:r w:rsidRPr="002A5EA6">
        <w:rPr>
          <w:rFonts w:hint="eastAsia"/>
          <w:sz w:val="24"/>
        </w:rPr>
        <w:t>SO</w:t>
      </w:r>
      <w:r w:rsidRPr="002A5EA6">
        <w:rPr>
          <w:rFonts w:hint="eastAsia"/>
          <w:sz w:val="24"/>
          <w:vertAlign w:val="subscript"/>
        </w:rPr>
        <w:t>2</w:t>
      </w:r>
      <w:r w:rsidRPr="002A5EA6">
        <w:rPr>
          <w:rFonts w:hint="eastAsia"/>
          <w:sz w:val="24"/>
        </w:rPr>
        <w:t>、</w:t>
      </w:r>
      <w:r w:rsidRPr="002A5EA6">
        <w:rPr>
          <w:rFonts w:hint="eastAsia"/>
          <w:sz w:val="24"/>
        </w:rPr>
        <w:t>NO</w:t>
      </w:r>
      <w:r w:rsidRPr="002A5EA6">
        <w:rPr>
          <w:rFonts w:hint="eastAsia"/>
          <w:sz w:val="24"/>
          <w:vertAlign w:val="subscript"/>
        </w:rPr>
        <w:t>2</w:t>
      </w:r>
      <w:r w:rsidRPr="002A5EA6">
        <w:rPr>
          <w:rFonts w:hint="eastAsia"/>
          <w:sz w:val="24"/>
        </w:rPr>
        <w:t>，根据《环境影响评价技术导则</w:t>
      </w:r>
      <w:r w:rsidRPr="002A5EA6">
        <w:rPr>
          <w:rFonts w:hint="eastAsia"/>
          <w:sz w:val="24"/>
        </w:rPr>
        <w:t xml:space="preserve"> </w:t>
      </w:r>
      <w:r w:rsidRPr="002A5EA6">
        <w:rPr>
          <w:rFonts w:hint="eastAsia"/>
          <w:sz w:val="24"/>
        </w:rPr>
        <w:t>大气环境》</w:t>
      </w:r>
      <w:r w:rsidRPr="002A5EA6">
        <w:rPr>
          <w:sz w:val="24"/>
        </w:rPr>
        <w:t>(HJ2.2-</w:t>
      </w:r>
      <w:r w:rsidRPr="002A5EA6">
        <w:rPr>
          <w:rFonts w:hint="eastAsia"/>
          <w:sz w:val="24"/>
        </w:rPr>
        <w:t>2018</w:t>
      </w:r>
      <w:r w:rsidRPr="002A5EA6">
        <w:rPr>
          <w:sz w:val="24"/>
        </w:rPr>
        <w:t>)</w:t>
      </w:r>
      <w:r w:rsidRPr="002A5EA6">
        <w:rPr>
          <w:rFonts w:hint="eastAsia"/>
          <w:sz w:val="24"/>
        </w:rPr>
        <w:t>中有关环境空气影响评价工作分级原则，本项目评价因子选取排放量大的储煤棚粉尘颗粒物（</w:t>
      </w:r>
      <w:r w:rsidRPr="002A5EA6">
        <w:rPr>
          <w:sz w:val="24"/>
        </w:rPr>
        <w:t>TSP</w:t>
      </w:r>
      <w:r w:rsidRPr="002A5EA6">
        <w:rPr>
          <w:rFonts w:hint="eastAsia"/>
          <w:sz w:val="24"/>
        </w:rPr>
        <w:t>）进行预测判定，采用</w:t>
      </w:r>
      <w:r w:rsidRPr="002A5EA6">
        <w:rPr>
          <w:sz w:val="24"/>
        </w:rPr>
        <w:t>AERSCREEN</w:t>
      </w:r>
      <w:r w:rsidRPr="002A5EA6">
        <w:rPr>
          <w:rFonts w:hint="eastAsia"/>
          <w:sz w:val="24"/>
        </w:rPr>
        <w:t>模型进行预测判定，确定本项目环境空气评价工作等级确定为二级。其判定依据见表</w:t>
      </w:r>
      <w:r w:rsidRPr="002A5EA6">
        <w:rPr>
          <w:sz w:val="24"/>
        </w:rPr>
        <w:t>2.</w:t>
      </w:r>
      <w:r w:rsidR="00EB2D6C">
        <w:rPr>
          <w:rFonts w:hint="eastAsia"/>
          <w:sz w:val="24"/>
        </w:rPr>
        <w:t>6-5</w:t>
      </w:r>
      <w:r w:rsidRPr="002A5EA6">
        <w:rPr>
          <w:rFonts w:hint="eastAsia"/>
          <w:sz w:val="24"/>
        </w:rPr>
        <w:t>。</w:t>
      </w:r>
    </w:p>
    <w:p w:rsidR="002A5EA6" w:rsidRPr="002A5EA6" w:rsidRDefault="002A5EA6" w:rsidP="002A5EA6">
      <w:pPr>
        <w:spacing w:line="520" w:lineRule="exact"/>
        <w:jc w:val="center"/>
        <w:rPr>
          <w:b/>
          <w:sz w:val="24"/>
        </w:rPr>
      </w:pPr>
      <w:r w:rsidRPr="002A5EA6">
        <w:rPr>
          <w:rFonts w:hint="eastAsia"/>
          <w:b/>
          <w:sz w:val="24"/>
        </w:rPr>
        <w:t>表</w:t>
      </w:r>
      <w:r w:rsidRPr="002A5EA6">
        <w:rPr>
          <w:b/>
          <w:sz w:val="24"/>
        </w:rPr>
        <w:t>2.</w:t>
      </w:r>
      <w:r w:rsidR="00EB2D6C">
        <w:rPr>
          <w:rFonts w:hint="eastAsia"/>
          <w:b/>
          <w:sz w:val="24"/>
        </w:rPr>
        <w:t>6-5</w:t>
      </w:r>
      <w:r w:rsidRPr="002A5EA6">
        <w:rPr>
          <w:b/>
          <w:sz w:val="24"/>
        </w:rPr>
        <w:t xml:space="preserve">  </w:t>
      </w:r>
      <w:r w:rsidRPr="002A5EA6">
        <w:rPr>
          <w:rFonts w:hint="eastAsia"/>
          <w:b/>
          <w:sz w:val="24"/>
        </w:rPr>
        <w:t>大气环境影响评价等级判定一览表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49"/>
        <w:gridCol w:w="645"/>
        <w:gridCol w:w="1941"/>
        <w:gridCol w:w="2096"/>
        <w:gridCol w:w="1901"/>
        <w:gridCol w:w="1188"/>
      </w:tblGrid>
      <w:tr w:rsidR="002A5EA6" w:rsidRPr="002A5EA6" w:rsidTr="00705836">
        <w:trPr>
          <w:jc w:val="center"/>
        </w:trPr>
        <w:tc>
          <w:tcPr>
            <w:tcW w:w="914" w:type="pct"/>
            <w:gridSpan w:val="2"/>
            <w:vAlign w:val="center"/>
          </w:tcPr>
          <w:p w:rsidR="002A5EA6" w:rsidRPr="002A5EA6" w:rsidRDefault="002A5EA6" w:rsidP="0070583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hint="eastAsia"/>
                <w:spacing w:val="2"/>
                <w:sz w:val="21"/>
                <w:szCs w:val="21"/>
              </w:rPr>
              <w:t>污染物名称</w:t>
            </w:r>
          </w:p>
        </w:tc>
        <w:tc>
          <w:tcPr>
            <w:tcW w:w="1113" w:type="pct"/>
            <w:vAlign w:val="center"/>
          </w:tcPr>
          <w:p w:rsidR="002A5EA6" w:rsidRPr="002A5EA6" w:rsidRDefault="002A5EA6" w:rsidP="0070583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hint="eastAsia"/>
                <w:spacing w:val="2"/>
                <w:sz w:val="21"/>
                <w:szCs w:val="21"/>
              </w:rPr>
              <w:t>排放速率（</w:t>
            </w:r>
            <w:r w:rsidRPr="002A5EA6">
              <w:rPr>
                <w:rFonts w:asciiTheme="minorEastAsia" w:eastAsiaTheme="minorEastAsia" w:hAnsiTheme="minorEastAsia"/>
                <w:spacing w:val="2"/>
                <w:sz w:val="21"/>
                <w:szCs w:val="21"/>
              </w:rPr>
              <w:t>g/s</w:t>
            </w:r>
            <w:r w:rsidRPr="002A5EA6">
              <w:rPr>
                <w:rFonts w:asciiTheme="minorEastAsia" w:eastAsiaTheme="minorEastAsia" w:hAnsiTheme="minorEastAsia" w:hint="eastAsia"/>
                <w:spacing w:val="2"/>
                <w:sz w:val="21"/>
                <w:szCs w:val="21"/>
              </w:rPr>
              <w:t>）</w:t>
            </w:r>
          </w:p>
        </w:tc>
        <w:tc>
          <w:tcPr>
            <w:tcW w:w="1202" w:type="pct"/>
            <w:vAlign w:val="center"/>
          </w:tcPr>
          <w:p w:rsidR="002A5EA6" w:rsidRPr="002A5EA6" w:rsidRDefault="002A5EA6" w:rsidP="0070583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hint="eastAsia"/>
                <w:spacing w:val="2"/>
                <w:sz w:val="21"/>
                <w:szCs w:val="21"/>
              </w:rPr>
              <w:t>下风向距离（</w:t>
            </w:r>
            <w:r w:rsidRPr="002A5EA6">
              <w:rPr>
                <w:rFonts w:asciiTheme="minorEastAsia" w:eastAsiaTheme="minorEastAsia" w:hAnsiTheme="minorEastAsia"/>
                <w:spacing w:val="2"/>
                <w:sz w:val="21"/>
                <w:szCs w:val="21"/>
              </w:rPr>
              <w:t>m</w:t>
            </w:r>
            <w:r w:rsidRPr="002A5EA6">
              <w:rPr>
                <w:rFonts w:asciiTheme="minorEastAsia" w:eastAsiaTheme="minorEastAsia" w:hAnsiTheme="minorEastAsia" w:hint="eastAsia"/>
                <w:spacing w:val="2"/>
                <w:sz w:val="21"/>
                <w:szCs w:val="21"/>
              </w:rPr>
              <w:t>）</w:t>
            </w:r>
          </w:p>
        </w:tc>
        <w:tc>
          <w:tcPr>
            <w:tcW w:w="1090" w:type="pct"/>
            <w:vAlign w:val="center"/>
          </w:tcPr>
          <w:p w:rsidR="002A5EA6" w:rsidRPr="002A5EA6" w:rsidRDefault="002A5EA6" w:rsidP="0070583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hint="eastAsia"/>
                <w:spacing w:val="2"/>
                <w:sz w:val="21"/>
                <w:szCs w:val="21"/>
              </w:rPr>
              <w:t>最大浓度占标率</w:t>
            </w:r>
          </w:p>
        </w:tc>
        <w:tc>
          <w:tcPr>
            <w:tcW w:w="682" w:type="pct"/>
            <w:vAlign w:val="center"/>
          </w:tcPr>
          <w:p w:rsidR="002A5EA6" w:rsidRPr="002A5EA6" w:rsidRDefault="002A5EA6" w:rsidP="0070583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hint="eastAsia"/>
                <w:spacing w:val="2"/>
                <w:sz w:val="21"/>
                <w:szCs w:val="21"/>
              </w:rPr>
              <w:t>评价等级</w:t>
            </w:r>
          </w:p>
        </w:tc>
      </w:tr>
      <w:tr w:rsidR="002A5EA6" w:rsidRPr="002A5EA6" w:rsidTr="00705836">
        <w:trPr>
          <w:trHeight w:val="452"/>
          <w:jc w:val="center"/>
        </w:trPr>
        <w:tc>
          <w:tcPr>
            <w:tcW w:w="544" w:type="pct"/>
            <w:vAlign w:val="center"/>
          </w:tcPr>
          <w:p w:rsidR="002A5EA6" w:rsidRPr="002A5EA6" w:rsidRDefault="002A5EA6" w:rsidP="0070583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hint="eastAsia"/>
                <w:spacing w:val="2"/>
                <w:sz w:val="21"/>
                <w:szCs w:val="21"/>
              </w:rPr>
              <w:t>储煤棚</w:t>
            </w:r>
          </w:p>
        </w:tc>
        <w:tc>
          <w:tcPr>
            <w:tcW w:w="370" w:type="pct"/>
            <w:vAlign w:val="center"/>
          </w:tcPr>
          <w:p w:rsidR="002A5EA6" w:rsidRPr="002A5EA6" w:rsidRDefault="002A5EA6" w:rsidP="0070583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spacing w:val="2"/>
                <w:sz w:val="21"/>
                <w:szCs w:val="21"/>
              </w:rPr>
              <w:t>TSP</w:t>
            </w:r>
          </w:p>
        </w:tc>
        <w:tc>
          <w:tcPr>
            <w:tcW w:w="1113" w:type="pct"/>
            <w:vAlign w:val="center"/>
          </w:tcPr>
          <w:p w:rsidR="002A5EA6" w:rsidRPr="002A5EA6" w:rsidRDefault="002A5EA6" w:rsidP="002A5EA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spacing w:val="2"/>
                <w:sz w:val="21"/>
                <w:szCs w:val="21"/>
              </w:rPr>
              <w:t>0.0</w:t>
            </w:r>
            <w:r>
              <w:rPr>
                <w:rFonts w:asciiTheme="minorEastAsia" w:eastAsiaTheme="minorEastAsia" w:hAnsiTheme="minorEastAsia" w:hint="eastAsia"/>
                <w:spacing w:val="2"/>
                <w:sz w:val="21"/>
                <w:szCs w:val="21"/>
              </w:rPr>
              <w:t>1046</w:t>
            </w:r>
          </w:p>
        </w:tc>
        <w:tc>
          <w:tcPr>
            <w:tcW w:w="1202" w:type="pct"/>
            <w:vAlign w:val="center"/>
          </w:tcPr>
          <w:p w:rsidR="002A5EA6" w:rsidRPr="002A5EA6" w:rsidRDefault="002A5EA6" w:rsidP="0070583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spacing w:val="2"/>
                <w:sz w:val="21"/>
                <w:szCs w:val="21"/>
              </w:rPr>
              <w:t>43</w:t>
            </w:r>
          </w:p>
        </w:tc>
        <w:tc>
          <w:tcPr>
            <w:tcW w:w="1090" w:type="pct"/>
            <w:vAlign w:val="center"/>
          </w:tcPr>
          <w:p w:rsidR="002A5EA6" w:rsidRPr="002A5EA6" w:rsidRDefault="002A5EA6" w:rsidP="002A5EA6">
            <w:pPr>
              <w:spacing w:line="360" w:lineRule="exact"/>
              <w:jc w:val="center"/>
              <w:rPr>
                <w:rFonts w:asciiTheme="minorEastAsia" w:eastAsiaTheme="minorEastAsia" w:hAnsiTheme="minorEastAsia"/>
                <w:spacing w:val="2"/>
                <w:sz w:val="21"/>
                <w:szCs w:val="21"/>
              </w:rPr>
            </w:pPr>
            <w:r>
              <w:rPr>
                <w:rFonts w:asciiTheme="minorEastAsia" w:eastAsiaTheme="minorEastAsia" w:hAnsiTheme="minorEastAsia" w:hint="eastAsia"/>
                <w:spacing w:val="2"/>
                <w:sz w:val="21"/>
                <w:szCs w:val="21"/>
              </w:rPr>
              <w:t>2.37</w:t>
            </w:r>
            <w:r w:rsidRPr="002A5EA6">
              <w:rPr>
                <w:rFonts w:asciiTheme="minorEastAsia" w:eastAsiaTheme="minorEastAsia" w:hAnsiTheme="minorEastAsia"/>
                <w:spacing w:val="2"/>
                <w:sz w:val="21"/>
                <w:szCs w:val="21"/>
              </w:rPr>
              <w:t>%</w:t>
            </w:r>
          </w:p>
        </w:tc>
        <w:tc>
          <w:tcPr>
            <w:tcW w:w="682" w:type="pct"/>
            <w:vAlign w:val="center"/>
          </w:tcPr>
          <w:p w:rsidR="002A5EA6" w:rsidRPr="002A5EA6" w:rsidRDefault="002A5EA6" w:rsidP="00705836">
            <w:pPr>
              <w:spacing w:line="360" w:lineRule="exact"/>
              <w:jc w:val="center"/>
              <w:rPr>
                <w:rFonts w:asciiTheme="minorEastAsia" w:eastAsiaTheme="minorEastAsia" w:hAnsiTheme="minorEastAsia"/>
                <w:spacing w:val="2"/>
                <w:sz w:val="21"/>
                <w:szCs w:val="21"/>
              </w:rPr>
            </w:pPr>
            <w:r w:rsidRPr="002A5EA6">
              <w:rPr>
                <w:rFonts w:asciiTheme="minorEastAsia" w:eastAsiaTheme="minorEastAsia" w:hAnsiTheme="minorEastAsia" w:hint="eastAsia"/>
                <w:spacing w:val="2"/>
                <w:sz w:val="21"/>
                <w:szCs w:val="21"/>
              </w:rPr>
              <w:t>二级</w:t>
            </w:r>
          </w:p>
        </w:tc>
      </w:tr>
    </w:tbl>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157" w:name="_Toc13345_WPSOffice_Level3"/>
      <w:r>
        <w:rPr>
          <w:rFonts w:eastAsia="楷体" w:cs="Times New Roman"/>
          <w:b/>
          <w:szCs w:val="28"/>
          <w:lang w:val="de-DE"/>
        </w:rPr>
        <w:t>2.6.5</w:t>
      </w:r>
      <w:r>
        <w:rPr>
          <w:rFonts w:eastAsia="楷体" w:cs="Times New Roman"/>
          <w:b/>
          <w:szCs w:val="28"/>
          <w:lang w:val="de-DE"/>
        </w:rPr>
        <w:t>声环境评价等级的确定</w:t>
      </w:r>
      <w:bookmarkEnd w:id="157"/>
    </w:p>
    <w:p w:rsidR="00240BCE" w:rsidRDefault="00AC0334">
      <w:pPr>
        <w:spacing w:line="520" w:lineRule="exact"/>
        <w:ind w:firstLineChars="200" w:firstLine="480"/>
        <w:rPr>
          <w:kern w:val="0"/>
          <w:sz w:val="24"/>
        </w:rPr>
      </w:pPr>
      <w:r>
        <w:rPr>
          <w:kern w:val="0"/>
          <w:sz w:val="24"/>
        </w:rPr>
        <w:t>根据《环境影响评价技术导则</w:t>
      </w:r>
      <w:r w:rsidR="00654B9B">
        <w:rPr>
          <w:rFonts w:hint="eastAsia"/>
          <w:kern w:val="0"/>
          <w:sz w:val="24"/>
        </w:rPr>
        <w:t xml:space="preserve">  </w:t>
      </w:r>
      <w:r>
        <w:rPr>
          <w:kern w:val="0"/>
          <w:sz w:val="24"/>
        </w:rPr>
        <w:t>声环境》（</w:t>
      </w:r>
      <w:r>
        <w:rPr>
          <w:kern w:val="0"/>
          <w:sz w:val="24"/>
        </w:rPr>
        <w:t>HJ2.4-2009</w:t>
      </w:r>
      <w:r>
        <w:rPr>
          <w:kern w:val="0"/>
          <w:sz w:val="24"/>
        </w:rPr>
        <w:t>），声环境影响评价工作级别划分的主要依据是：处在《声环境质量标准》（</w:t>
      </w:r>
      <w:r>
        <w:rPr>
          <w:kern w:val="0"/>
          <w:sz w:val="24"/>
        </w:rPr>
        <w:t>GB3096—2008</w:t>
      </w:r>
      <w:r>
        <w:rPr>
          <w:kern w:val="0"/>
          <w:sz w:val="24"/>
        </w:rPr>
        <w:t>）规定的</w:t>
      </w:r>
      <w:r>
        <w:rPr>
          <w:kern w:val="0"/>
          <w:sz w:val="24"/>
        </w:rPr>
        <w:t>1</w:t>
      </w:r>
      <w:r>
        <w:rPr>
          <w:kern w:val="0"/>
          <w:sz w:val="24"/>
        </w:rPr>
        <w:t>、</w:t>
      </w:r>
      <w:r>
        <w:rPr>
          <w:kern w:val="0"/>
          <w:sz w:val="24"/>
        </w:rPr>
        <w:t>2</w:t>
      </w:r>
      <w:r>
        <w:rPr>
          <w:kern w:val="0"/>
          <w:sz w:val="24"/>
        </w:rPr>
        <w:t>类标准地区的或建设前后评价范围内敏感点目标噪声级增高达</w:t>
      </w:r>
      <w:r>
        <w:rPr>
          <w:kern w:val="0"/>
          <w:sz w:val="24"/>
        </w:rPr>
        <w:t>3dB(A)</w:t>
      </w:r>
      <w:r>
        <w:rPr>
          <w:kern w:val="0"/>
          <w:sz w:val="24"/>
        </w:rPr>
        <w:t>～</w:t>
      </w:r>
      <w:r>
        <w:rPr>
          <w:kern w:val="0"/>
          <w:sz w:val="24"/>
        </w:rPr>
        <w:t>5dB(A)</w:t>
      </w:r>
      <w:r>
        <w:rPr>
          <w:kern w:val="0"/>
          <w:sz w:val="24"/>
        </w:rPr>
        <w:t>，或受影响人口数量增加较多时，应按二级评价进行工作。</w:t>
      </w:r>
    </w:p>
    <w:p w:rsidR="00240BCE" w:rsidRDefault="00AC0334">
      <w:pPr>
        <w:pStyle w:val="44"/>
        <w:rPr>
          <w:kern w:val="0"/>
        </w:rPr>
      </w:pPr>
      <w:r>
        <w:rPr>
          <w:kern w:val="0"/>
        </w:rPr>
        <w:t>该项目所在区域现状为《声环境质量标准》</w:t>
      </w:r>
      <w:r w:rsidR="008802CA">
        <w:rPr>
          <w:rFonts w:hint="eastAsia"/>
          <w:kern w:val="0"/>
        </w:rPr>
        <w:t>（</w:t>
      </w:r>
      <w:r w:rsidR="008802CA">
        <w:rPr>
          <w:kern w:val="0"/>
        </w:rPr>
        <w:t>GB3096-2008</w:t>
      </w:r>
      <w:r w:rsidR="008802CA">
        <w:rPr>
          <w:rFonts w:hint="eastAsia"/>
          <w:kern w:val="0"/>
        </w:rPr>
        <w:t>）</w:t>
      </w:r>
      <w:r>
        <w:rPr>
          <w:kern w:val="0"/>
        </w:rPr>
        <w:t>中规定的</w:t>
      </w:r>
      <w:r>
        <w:rPr>
          <w:kern w:val="0"/>
        </w:rPr>
        <w:t>2</w:t>
      </w:r>
      <w:r>
        <w:rPr>
          <w:kern w:val="0"/>
        </w:rPr>
        <w:t>类标准地区，考虑到项目建成后，周边环境噪声级增高量在</w:t>
      </w:r>
      <w:r>
        <w:rPr>
          <w:kern w:val="0"/>
        </w:rPr>
        <w:t>5dB(A)</w:t>
      </w:r>
      <w:r>
        <w:rPr>
          <w:kern w:val="0"/>
        </w:rPr>
        <w:t>以内，且受影响人群数量较小，因此将该项目噪声环境影响评价工作等级确定为二级。</w:t>
      </w:r>
    </w:p>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158" w:name="_Toc3170_WPSOffice_Level3"/>
      <w:r>
        <w:rPr>
          <w:rFonts w:eastAsia="楷体" w:cs="Times New Roman"/>
          <w:b/>
          <w:szCs w:val="28"/>
          <w:lang w:val="de-DE"/>
        </w:rPr>
        <w:t>2.6.6</w:t>
      </w:r>
      <w:r>
        <w:rPr>
          <w:rFonts w:eastAsia="楷体" w:cs="Times New Roman"/>
          <w:b/>
          <w:szCs w:val="28"/>
          <w:lang w:val="de-DE"/>
        </w:rPr>
        <w:t>土壤环境评价等级的确定</w:t>
      </w:r>
      <w:bookmarkEnd w:id="158"/>
    </w:p>
    <w:p w:rsidR="00240BCE" w:rsidRDefault="00AC0334">
      <w:pPr>
        <w:spacing w:line="520" w:lineRule="exact"/>
        <w:ind w:firstLineChars="200" w:firstLine="480"/>
        <w:rPr>
          <w:kern w:val="0"/>
          <w:sz w:val="24"/>
        </w:rPr>
      </w:pPr>
      <w:r>
        <w:rPr>
          <w:kern w:val="0"/>
          <w:sz w:val="24"/>
        </w:rPr>
        <w:t>本项目为煤炭开采项目，根据《环境影响评价技术导则</w:t>
      </w:r>
      <w:r>
        <w:rPr>
          <w:kern w:val="0"/>
          <w:sz w:val="24"/>
        </w:rPr>
        <w:t xml:space="preserve"> </w:t>
      </w:r>
      <w:r>
        <w:rPr>
          <w:kern w:val="0"/>
          <w:sz w:val="24"/>
        </w:rPr>
        <w:t>土壤环境》（</w:t>
      </w:r>
      <w:r>
        <w:rPr>
          <w:kern w:val="0"/>
          <w:sz w:val="24"/>
        </w:rPr>
        <w:t>HJ964-2018</w:t>
      </w:r>
      <w:r>
        <w:rPr>
          <w:kern w:val="0"/>
          <w:sz w:val="24"/>
        </w:rPr>
        <w:t>）附录</w:t>
      </w:r>
      <w:r>
        <w:rPr>
          <w:kern w:val="0"/>
          <w:sz w:val="24"/>
        </w:rPr>
        <w:t xml:space="preserve"> A“</w:t>
      </w:r>
      <w:r>
        <w:rPr>
          <w:kern w:val="0"/>
          <w:sz w:val="24"/>
        </w:rPr>
        <w:t>土壤环境影响评价项目类别</w:t>
      </w:r>
      <w:r>
        <w:rPr>
          <w:kern w:val="0"/>
          <w:sz w:val="24"/>
        </w:rPr>
        <w:t>”</w:t>
      </w:r>
      <w:r>
        <w:rPr>
          <w:kern w:val="0"/>
          <w:sz w:val="24"/>
        </w:rPr>
        <w:t>，为</w:t>
      </w:r>
      <w:r>
        <w:rPr>
          <w:kern w:val="0"/>
          <w:sz w:val="24"/>
        </w:rPr>
        <w:t>Ⅱ</w:t>
      </w:r>
      <w:r>
        <w:rPr>
          <w:kern w:val="0"/>
          <w:sz w:val="24"/>
        </w:rPr>
        <w:t>类建设项目。井田开采区土壤环境影响为生态影响，工业场地土壤环境影响为污染影响。</w:t>
      </w:r>
    </w:p>
    <w:p w:rsidR="00240BCE" w:rsidRDefault="00120849">
      <w:pPr>
        <w:autoSpaceDE w:val="0"/>
        <w:autoSpaceDN w:val="0"/>
        <w:adjustRightInd w:val="0"/>
        <w:spacing w:line="520" w:lineRule="exact"/>
        <w:ind w:firstLine="560"/>
        <w:rPr>
          <w:kern w:val="0"/>
          <w:sz w:val="24"/>
        </w:rPr>
      </w:pPr>
      <w:r w:rsidRPr="00120849">
        <w:rPr>
          <w:rFonts w:hint="eastAsia"/>
          <w:color w:val="000000"/>
          <w:sz w:val="24"/>
          <w:lang w:val="zh-CN"/>
        </w:rPr>
        <w:t>本项目不涉及土壤酸化、盐化、碱化等土壤生态影响，属于污染影响型建设</w:t>
      </w:r>
      <w:r w:rsidRPr="00120849">
        <w:rPr>
          <w:rFonts w:hint="eastAsia"/>
          <w:color w:val="000000"/>
          <w:sz w:val="24"/>
          <w:lang w:val="zh-CN"/>
        </w:rPr>
        <w:lastRenderedPageBreak/>
        <w:t>项目</w:t>
      </w:r>
      <w:r>
        <w:rPr>
          <w:rFonts w:hint="eastAsia"/>
          <w:color w:val="000000"/>
          <w:sz w:val="24"/>
          <w:lang w:val="zh-CN"/>
        </w:rPr>
        <w:t>，</w:t>
      </w:r>
      <w:r w:rsidR="00AC0334">
        <w:rPr>
          <w:color w:val="000000"/>
          <w:sz w:val="24"/>
          <w:lang w:val="zh-CN"/>
        </w:rPr>
        <w:t>本项目工业场地占地</w:t>
      </w:r>
      <w:r w:rsidR="00AC0334">
        <w:rPr>
          <w:sz w:val="24"/>
        </w:rPr>
        <w:t>1.</w:t>
      </w:r>
      <w:r w:rsidR="00257B79">
        <w:rPr>
          <w:rFonts w:hint="eastAsia"/>
          <w:sz w:val="24"/>
        </w:rPr>
        <w:t>92</w:t>
      </w:r>
      <w:r w:rsidR="00AC0334">
        <w:rPr>
          <w:color w:val="000000"/>
          <w:sz w:val="24"/>
          <w:lang w:val="zh-CN"/>
        </w:rPr>
        <w:t>hm</w:t>
      </w:r>
      <w:r w:rsidR="00AC0334">
        <w:rPr>
          <w:color w:val="000000"/>
          <w:sz w:val="24"/>
          <w:vertAlign w:val="superscript"/>
          <w:lang w:val="zh-CN"/>
        </w:rPr>
        <w:t>2</w:t>
      </w:r>
      <w:r w:rsidR="00AC0334">
        <w:rPr>
          <w:color w:val="000000"/>
          <w:sz w:val="24"/>
          <w:lang w:val="zh-CN"/>
        </w:rPr>
        <w:t>，属于小型，且周边存在村庄居民区和耕地，土壤环境敏感程度属于敏感，</w:t>
      </w:r>
      <w:r w:rsidR="00AC0334">
        <w:rPr>
          <w:kern w:val="0"/>
          <w:sz w:val="24"/>
        </w:rPr>
        <w:t>根据《环境影响评价技术导则</w:t>
      </w:r>
      <w:r w:rsidR="00AC0334">
        <w:rPr>
          <w:kern w:val="0"/>
          <w:sz w:val="24"/>
        </w:rPr>
        <w:t xml:space="preserve"> </w:t>
      </w:r>
      <w:r w:rsidR="00AC0334">
        <w:rPr>
          <w:kern w:val="0"/>
          <w:sz w:val="24"/>
        </w:rPr>
        <w:t>土壤环境》（</w:t>
      </w:r>
      <w:r w:rsidR="00AC0334">
        <w:rPr>
          <w:kern w:val="0"/>
          <w:sz w:val="24"/>
        </w:rPr>
        <w:t>HJ964-2018</w:t>
      </w:r>
      <w:r w:rsidR="00AC0334">
        <w:rPr>
          <w:kern w:val="0"/>
          <w:sz w:val="24"/>
        </w:rPr>
        <w:t>）</w:t>
      </w:r>
      <w:r w:rsidR="00AC0334">
        <w:rPr>
          <w:kern w:val="0"/>
          <w:sz w:val="24"/>
        </w:rPr>
        <w:t>“</w:t>
      </w:r>
      <w:r w:rsidR="00AC0334">
        <w:rPr>
          <w:kern w:val="0"/>
          <w:sz w:val="24"/>
        </w:rPr>
        <w:t>表</w:t>
      </w:r>
      <w:r w:rsidR="00AC0334">
        <w:rPr>
          <w:kern w:val="0"/>
          <w:sz w:val="24"/>
        </w:rPr>
        <w:t xml:space="preserve">4 </w:t>
      </w:r>
      <w:r w:rsidR="00AC0334">
        <w:rPr>
          <w:kern w:val="0"/>
          <w:sz w:val="24"/>
        </w:rPr>
        <w:t>污染影响型评价工作等级划分表</w:t>
      </w:r>
      <w:r w:rsidR="00AC0334">
        <w:rPr>
          <w:kern w:val="0"/>
          <w:sz w:val="24"/>
        </w:rPr>
        <w:t>”</w:t>
      </w:r>
      <w:r w:rsidR="00AC0334">
        <w:rPr>
          <w:color w:val="000000"/>
          <w:sz w:val="24"/>
          <w:lang w:val="zh-CN"/>
        </w:rPr>
        <w:t>（见表</w:t>
      </w:r>
      <w:r w:rsidR="00AC0334">
        <w:rPr>
          <w:color w:val="000000"/>
          <w:sz w:val="24"/>
        </w:rPr>
        <w:t>2.6-</w:t>
      </w:r>
      <w:r w:rsidR="00EB2D6C">
        <w:rPr>
          <w:rFonts w:hint="eastAsia"/>
          <w:color w:val="000000"/>
          <w:sz w:val="24"/>
        </w:rPr>
        <w:t>7</w:t>
      </w:r>
      <w:r w:rsidR="00AC0334">
        <w:rPr>
          <w:color w:val="000000"/>
          <w:sz w:val="24"/>
          <w:lang w:val="zh-CN"/>
        </w:rPr>
        <w:t>）</w:t>
      </w:r>
      <w:r w:rsidR="00AC0334">
        <w:rPr>
          <w:kern w:val="0"/>
          <w:sz w:val="24"/>
        </w:rPr>
        <w:t>，本项目的土壤环境影响评价等级为二级。</w:t>
      </w:r>
    </w:p>
    <w:p w:rsidR="00240BCE" w:rsidRDefault="00AC0334">
      <w:pPr>
        <w:spacing w:line="520" w:lineRule="exact"/>
        <w:ind w:firstLineChars="300" w:firstLine="720"/>
        <w:jc w:val="center"/>
        <w:rPr>
          <w:rFonts w:eastAsia="黑体"/>
          <w:bCs/>
          <w:sz w:val="24"/>
        </w:rPr>
      </w:pPr>
      <w:r>
        <w:rPr>
          <w:rFonts w:eastAsia="黑体"/>
          <w:sz w:val="24"/>
        </w:rPr>
        <w:t>表</w:t>
      </w:r>
      <w:r>
        <w:rPr>
          <w:rFonts w:eastAsia="黑体"/>
          <w:sz w:val="24"/>
        </w:rPr>
        <w:t>2.6-</w:t>
      </w:r>
      <w:r w:rsidR="00EB2D6C">
        <w:rPr>
          <w:rFonts w:eastAsia="黑体" w:hint="eastAsia"/>
          <w:sz w:val="24"/>
        </w:rPr>
        <w:t>7</w:t>
      </w:r>
      <w:r>
        <w:rPr>
          <w:rFonts w:eastAsia="黑体"/>
          <w:sz w:val="24"/>
        </w:rPr>
        <w:t xml:space="preserve">  </w:t>
      </w:r>
      <w:r>
        <w:rPr>
          <w:rFonts w:eastAsia="黑体"/>
          <w:sz w:val="24"/>
        </w:rPr>
        <w:t>污染影响型评价工作等级划分表</w:t>
      </w:r>
    </w:p>
    <w:tbl>
      <w:tblPr>
        <w:tblW w:w="872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97"/>
        <w:gridCol w:w="692"/>
        <w:gridCol w:w="693"/>
        <w:gridCol w:w="693"/>
        <w:gridCol w:w="692"/>
        <w:gridCol w:w="693"/>
        <w:gridCol w:w="693"/>
        <w:gridCol w:w="692"/>
        <w:gridCol w:w="693"/>
        <w:gridCol w:w="693"/>
        <w:gridCol w:w="794"/>
      </w:tblGrid>
      <w:tr w:rsidR="00240BCE">
        <w:tc>
          <w:tcPr>
            <w:tcW w:w="1697" w:type="dxa"/>
            <w:vMerge w:val="restart"/>
            <w:tcBorders>
              <w:top w:val="single" w:sz="4" w:space="0" w:color="auto"/>
              <w:right w:val="single" w:sz="4" w:space="0" w:color="auto"/>
            </w:tcBorders>
            <w:tcMar>
              <w:top w:w="0" w:type="dxa"/>
              <w:left w:w="0" w:type="dxa"/>
              <w:bottom w:w="0" w:type="dxa"/>
              <w:right w:w="0" w:type="dxa"/>
            </w:tcMar>
          </w:tcPr>
          <w:p w:rsidR="00240BCE" w:rsidRDefault="00B95226">
            <w:pPr>
              <w:pStyle w:val="TableParagraph"/>
              <w:snapToGrid w:val="0"/>
              <w:spacing w:line="340" w:lineRule="exact"/>
              <w:rPr>
                <w:rFonts w:ascii="Times New Roman" w:hAnsi="Times New Roman" w:cs="Times New Roman"/>
                <w:snapToGrid w:val="0"/>
                <w:sz w:val="21"/>
                <w:szCs w:val="21"/>
              </w:rPr>
            </w:pPr>
            <w:r>
              <w:rPr>
                <w:rFonts w:ascii="Times New Roman" w:hAnsi="Times New Roman" w:cs="Times New Roman"/>
                <w:noProof/>
                <w:sz w:val="21"/>
                <w:szCs w:val="21"/>
                <w:lang w:val="en-US" w:bidi="ar-SA"/>
              </w:rPr>
              <w:pict>
                <v:line id="_x0000_s3593" style="position:absolute;left:0;text-align:left;flip:x y;z-index:251636736;visibility:visible" from="34.2pt,.7pt" to="82.5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"/>
              </w:pict>
            </w:r>
            <w:r w:rsidR="00AC0334">
              <w:rPr>
                <w:rFonts w:ascii="Times New Roman" w:hAnsi="Times New Roman" w:cs="Times New Roman"/>
                <w:snapToGrid w:val="0"/>
                <w:sz w:val="21"/>
                <w:szCs w:val="21"/>
              </w:rPr>
              <w:t xml:space="preserve">       </w:t>
            </w:r>
            <w:r w:rsidR="00AC0334">
              <w:rPr>
                <w:rFonts w:ascii="Times New Roman" w:hAnsi="Times New Roman" w:cs="Times New Roman"/>
                <w:snapToGrid w:val="0"/>
                <w:sz w:val="21"/>
                <w:szCs w:val="21"/>
              </w:rPr>
              <w:t>占地规模</w:t>
            </w:r>
          </w:p>
          <w:p w:rsidR="00240BCE" w:rsidRDefault="00AC0334">
            <w:pPr>
              <w:pStyle w:val="TableParagraph"/>
              <w:snapToGrid w:val="0"/>
              <w:spacing w:line="340" w:lineRule="exact"/>
              <w:jc w:val="both"/>
              <w:rPr>
                <w:rFonts w:ascii="Times New Roman" w:hAnsi="Times New Roman" w:cs="Times New Roman"/>
                <w:bCs/>
                <w:snapToGrid w:val="0"/>
                <w:sz w:val="21"/>
                <w:szCs w:val="21"/>
              </w:rPr>
            </w:pPr>
            <w:r>
              <w:rPr>
                <w:rFonts w:ascii="Times New Roman" w:hAnsi="Times New Roman" w:cs="Times New Roman"/>
                <w:snapToGrid w:val="0"/>
                <w:sz w:val="21"/>
                <w:szCs w:val="21"/>
              </w:rPr>
              <w:t>评价工作等级</w:t>
            </w:r>
          </w:p>
          <w:p w:rsidR="00240BCE" w:rsidRDefault="00B95226">
            <w:pPr>
              <w:pStyle w:val="TableParagraph"/>
              <w:spacing w:line="340" w:lineRule="exact"/>
              <w:jc w:val="both"/>
              <w:rPr>
                <w:rFonts w:ascii="Times New Roman" w:hAnsi="Times New Roman" w:cs="Times New Roman"/>
                <w:bCs/>
                <w:snapToGrid w:val="0"/>
                <w:sz w:val="21"/>
                <w:szCs w:val="21"/>
              </w:rPr>
            </w:pPr>
            <w:r>
              <w:rPr>
                <w:rFonts w:ascii="Times New Roman" w:hAnsi="Times New Roman" w:cs="Times New Roman"/>
                <w:bCs/>
                <w:noProof/>
                <w:sz w:val="21"/>
                <w:szCs w:val="21"/>
                <w:lang w:val="en-US" w:bidi="ar-SA"/>
              </w:rPr>
              <w:pict>
                <v:line id="_x0000_s3592" style="position:absolute;left:0;text-align:left;flip:x y;z-index:251637760;visibility:visible" from="-.4pt,-.05pt" to="8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"/>
              </w:pict>
            </w:r>
            <w:r w:rsidR="00AC0334">
              <w:rPr>
                <w:rFonts w:ascii="Times New Roman" w:hAnsi="Times New Roman" w:cs="Times New Roman"/>
                <w:snapToGrid w:val="0"/>
                <w:sz w:val="21"/>
                <w:szCs w:val="21"/>
              </w:rPr>
              <w:t>敏感程度</w:t>
            </w:r>
          </w:p>
        </w:tc>
        <w:tc>
          <w:tcPr>
            <w:tcW w:w="2078" w:type="dxa"/>
            <w:gridSpan w:val="3"/>
            <w:tcBorders>
              <w:left w:val="single" w:sz="4" w:space="0" w:color="auto"/>
            </w:tcBorders>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Ⅰ</w:t>
            </w:r>
            <w:r>
              <w:rPr>
                <w:rFonts w:ascii="Times New Roman" w:hAnsi="Times New Roman" w:cs="Times New Roman"/>
                <w:snapToGrid w:val="0"/>
                <w:sz w:val="21"/>
                <w:szCs w:val="21"/>
              </w:rPr>
              <w:t>类项目</w:t>
            </w:r>
          </w:p>
        </w:tc>
        <w:tc>
          <w:tcPr>
            <w:tcW w:w="2078" w:type="dxa"/>
            <w:gridSpan w:val="3"/>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Ⅱ</w:t>
            </w:r>
            <w:r>
              <w:rPr>
                <w:rFonts w:ascii="Times New Roman" w:hAnsi="Times New Roman" w:cs="Times New Roman"/>
                <w:snapToGrid w:val="0"/>
                <w:sz w:val="21"/>
                <w:szCs w:val="21"/>
              </w:rPr>
              <w:t>类项目</w:t>
            </w:r>
          </w:p>
        </w:tc>
        <w:tc>
          <w:tcPr>
            <w:tcW w:w="2078" w:type="dxa"/>
            <w:gridSpan w:val="3"/>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Ⅲ</w:t>
            </w:r>
            <w:r>
              <w:rPr>
                <w:rFonts w:ascii="Times New Roman" w:hAnsi="Times New Roman" w:cs="Times New Roman"/>
                <w:snapToGrid w:val="0"/>
                <w:sz w:val="21"/>
                <w:szCs w:val="21"/>
              </w:rPr>
              <w:t>类项目</w:t>
            </w:r>
          </w:p>
        </w:tc>
        <w:tc>
          <w:tcPr>
            <w:tcW w:w="794" w:type="dxa"/>
            <w:vMerge w:val="restart"/>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评价工作等级</w:t>
            </w:r>
          </w:p>
        </w:tc>
      </w:tr>
      <w:tr w:rsidR="00240BCE">
        <w:tc>
          <w:tcPr>
            <w:tcW w:w="1697" w:type="dxa"/>
            <w:vMerge/>
            <w:tcBorders>
              <w:top w:val="nil"/>
              <w:right w:val="single" w:sz="4" w:space="0" w:color="auto"/>
            </w:tcBorders>
            <w:tcMar>
              <w:top w:w="0" w:type="dxa"/>
              <w:left w:w="0" w:type="dxa"/>
              <w:bottom w:w="0" w:type="dxa"/>
              <w:right w:w="0" w:type="dxa"/>
            </w:tcMar>
          </w:tcPr>
          <w:p w:rsidR="00240BCE" w:rsidRDefault="00240BCE">
            <w:pPr>
              <w:spacing w:line="340" w:lineRule="exact"/>
              <w:rPr>
                <w:bCs/>
                <w:snapToGrid w:val="0"/>
                <w:szCs w:val="21"/>
              </w:rPr>
            </w:pPr>
          </w:p>
        </w:tc>
        <w:tc>
          <w:tcPr>
            <w:tcW w:w="692" w:type="dxa"/>
            <w:tcBorders>
              <w:left w:val="single" w:sz="4" w:space="0" w:color="auto"/>
            </w:tcBorders>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中</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小</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中</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小</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中</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小</w:t>
            </w:r>
          </w:p>
        </w:tc>
        <w:tc>
          <w:tcPr>
            <w:tcW w:w="794" w:type="dxa"/>
            <w:vMerge/>
            <w:tcBorders>
              <w:top w:val="nil"/>
            </w:tcBorders>
            <w:tcMar>
              <w:top w:w="0" w:type="dxa"/>
              <w:left w:w="0" w:type="dxa"/>
              <w:bottom w:w="0" w:type="dxa"/>
              <w:right w:w="0" w:type="dxa"/>
            </w:tcMar>
            <w:vAlign w:val="center"/>
          </w:tcPr>
          <w:p w:rsidR="00240BCE" w:rsidRDefault="00240BCE">
            <w:pPr>
              <w:spacing w:line="340" w:lineRule="exact"/>
              <w:jc w:val="center"/>
              <w:rPr>
                <w:bCs/>
                <w:snapToGrid w:val="0"/>
                <w:szCs w:val="21"/>
              </w:rPr>
            </w:pPr>
          </w:p>
        </w:tc>
      </w:tr>
      <w:tr w:rsidR="00240BCE">
        <w:tc>
          <w:tcPr>
            <w:tcW w:w="1697" w:type="dxa"/>
            <w:tcBorders>
              <w:right w:val="single" w:sz="4" w:space="0" w:color="auto"/>
            </w:tcBorders>
            <w:tcMar>
              <w:top w:w="0" w:type="dxa"/>
              <w:left w:w="0" w:type="dxa"/>
              <w:bottom w:w="0" w:type="dxa"/>
              <w:right w:w="0" w:type="dxa"/>
            </w:tcMa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敏感</w:t>
            </w:r>
          </w:p>
        </w:tc>
        <w:tc>
          <w:tcPr>
            <w:tcW w:w="692" w:type="dxa"/>
            <w:tcBorders>
              <w:left w:val="single" w:sz="4" w:space="0" w:color="auto"/>
            </w:tcBorders>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一级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一级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一级</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二级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二级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
                <w:bCs/>
                <w:snapToGrid w:val="0"/>
                <w:sz w:val="21"/>
                <w:szCs w:val="21"/>
                <w:u w:val="single"/>
              </w:rPr>
            </w:pPr>
            <w:r>
              <w:rPr>
                <w:rFonts w:ascii="Times New Roman" w:hAnsi="Times New Roman" w:cs="Times New Roman"/>
                <w:bCs/>
                <w:snapToGrid w:val="0"/>
                <w:sz w:val="21"/>
                <w:szCs w:val="21"/>
                <w:highlight w:val="lightGray"/>
              </w:rPr>
              <w:t>二级</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三级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三级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三级</w:t>
            </w:r>
          </w:p>
        </w:tc>
        <w:tc>
          <w:tcPr>
            <w:tcW w:w="794" w:type="dxa"/>
            <w:vMerge w:val="restart"/>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二级</w:t>
            </w:r>
          </w:p>
        </w:tc>
      </w:tr>
      <w:tr w:rsidR="00240BCE">
        <w:tc>
          <w:tcPr>
            <w:tcW w:w="1697" w:type="dxa"/>
            <w:tcMar>
              <w:top w:w="0" w:type="dxa"/>
              <w:left w:w="0" w:type="dxa"/>
              <w:bottom w:w="0" w:type="dxa"/>
              <w:right w:w="0" w:type="dxa"/>
            </w:tcMa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较敏感</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一级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一级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二级</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二级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二级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三级</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三级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三级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w:t>
            </w:r>
          </w:p>
        </w:tc>
        <w:tc>
          <w:tcPr>
            <w:tcW w:w="794" w:type="dxa"/>
            <w:vMerge/>
            <w:tcBorders>
              <w:top w:val="nil"/>
            </w:tcBorders>
            <w:tcMar>
              <w:top w:w="0" w:type="dxa"/>
              <w:left w:w="0" w:type="dxa"/>
              <w:bottom w:w="0" w:type="dxa"/>
              <w:right w:w="0" w:type="dxa"/>
            </w:tcMar>
          </w:tcPr>
          <w:p w:rsidR="00240BCE" w:rsidRDefault="00240BCE">
            <w:pPr>
              <w:spacing w:line="340" w:lineRule="exact"/>
              <w:rPr>
                <w:bCs/>
                <w:snapToGrid w:val="0"/>
                <w:szCs w:val="21"/>
              </w:rPr>
            </w:pPr>
          </w:p>
        </w:tc>
      </w:tr>
      <w:tr w:rsidR="00240BCE">
        <w:tc>
          <w:tcPr>
            <w:tcW w:w="1697" w:type="dxa"/>
            <w:tcMar>
              <w:top w:w="0" w:type="dxa"/>
              <w:left w:w="0" w:type="dxa"/>
              <w:bottom w:w="0" w:type="dxa"/>
              <w:right w:w="0" w:type="dxa"/>
            </w:tcMa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不敏感</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一级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二级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二级</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二级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三级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三级</w:t>
            </w:r>
          </w:p>
        </w:tc>
        <w:tc>
          <w:tcPr>
            <w:tcW w:w="692"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三级</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w:t>
            </w:r>
          </w:p>
        </w:tc>
        <w:tc>
          <w:tcPr>
            <w:tcW w:w="693" w:type="dxa"/>
            <w:tcMar>
              <w:top w:w="0" w:type="dxa"/>
              <w:left w:w="0" w:type="dxa"/>
              <w:bottom w:w="0" w:type="dxa"/>
              <w:right w:w="0" w:type="dxa"/>
            </w:tcMar>
            <w:vAlign w:val="cente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w:t>
            </w:r>
          </w:p>
        </w:tc>
        <w:tc>
          <w:tcPr>
            <w:tcW w:w="794" w:type="dxa"/>
            <w:vMerge/>
            <w:tcBorders>
              <w:top w:val="nil"/>
            </w:tcBorders>
            <w:tcMar>
              <w:top w:w="0" w:type="dxa"/>
              <w:left w:w="0" w:type="dxa"/>
              <w:bottom w:w="0" w:type="dxa"/>
              <w:right w:w="0" w:type="dxa"/>
            </w:tcMar>
          </w:tcPr>
          <w:p w:rsidR="00240BCE" w:rsidRDefault="00240BCE">
            <w:pPr>
              <w:spacing w:line="340" w:lineRule="exact"/>
              <w:rPr>
                <w:bCs/>
                <w:snapToGrid w:val="0"/>
                <w:szCs w:val="21"/>
              </w:rPr>
            </w:pPr>
          </w:p>
        </w:tc>
      </w:tr>
      <w:tr w:rsidR="00240BCE">
        <w:tc>
          <w:tcPr>
            <w:tcW w:w="8725" w:type="dxa"/>
            <w:gridSpan w:val="11"/>
            <w:tcMar>
              <w:top w:w="0" w:type="dxa"/>
              <w:left w:w="0" w:type="dxa"/>
              <w:bottom w:w="0" w:type="dxa"/>
              <w:right w:w="0" w:type="dxa"/>
            </w:tcMar>
          </w:tcPr>
          <w:p w:rsidR="00240BCE" w:rsidRDefault="00AC0334">
            <w:pPr>
              <w:pStyle w:val="TableParagraph"/>
              <w:spacing w:line="340" w:lineRule="exact"/>
              <w:rPr>
                <w:rFonts w:ascii="Times New Roman" w:hAnsi="Times New Roman" w:cs="Times New Roman"/>
                <w:bCs/>
                <w:snapToGrid w:val="0"/>
                <w:sz w:val="21"/>
                <w:szCs w:val="21"/>
              </w:rPr>
            </w:pPr>
            <w:r>
              <w:rPr>
                <w:rFonts w:ascii="Times New Roman" w:hAnsi="Times New Roman" w:cs="Times New Roman"/>
                <w:snapToGrid w:val="0"/>
                <w:sz w:val="21"/>
                <w:szCs w:val="21"/>
              </w:rPr>
              <w:t>注：</w:t>
            </w:r>
            <w:r>
              <w:rPr>
                <w:rFonts w:ascii="Times New Roman" w:hAnsi="Times New Roman" w:cs="Times New Roman"/>
                <w:snapToGrid w:val="0"/>
                <w:sz w:val="21"/>
                <w:szCs w:val="21"/>
              </w:rPr>
              <w:t>“—”</w:t>
            </w:r>
            <w:r>
              <w:rPr>
                <w:rFonts w:ascii="Times New Roman" w:hAnsi="Times New Roman" w:cs="Times New Roman"/>
                <w:snapToGrid w:val="0"/>
                <w:sz w:val="21"/>
                <w:szCs w:val="21"/>
              </w:rPr>
              <w:t>表示可不开展土壤环境影响评价工作</w:t>
            </w:r>
          </w:p>
        </w:tc>
      </w:tr>
    </w:tbl>
    <w:p w:rsidR="00240BCE" w:rsidRDefault="00AC0334" w:rsidP="009C5F33">
      <w:pPr>
        <w:pStyle w:val="3MB33Char15111341510"/>
        <w:adjustRightInd w:val="0"/>
        <w:snapToGrid w:val="0"/>
        <w:spacing w:beforeLines="70" w:afterLines="30" w:line="240" w:lineRule="auto"/>
        <w:rPr>
          <w:rFonts w:eastAsia="楷体" w:cs="Times New Roman"/>
          <w:b/>
          <w:szCs w:val="28"/>
          <w:lang w:val="de-DE"/>
        </w:rPr>
      </w:pPr>
      <w:bookmarkStart w:id="159" w:name="_Toc17438_WPSOffice_Level3"/>
      <w:r>
        <w:rPr>
          <w:rFonts w:eastAsia="楷体" w:cs="Times New Roman"/>
          <w:b/>
          <w:szCs w:val="28"/>
          <w:lang w:val="de-DE"/>
        </w:rPr>
        <w:t xml:space="preserve">2.6.7 </w:t>
      </w:r>
      <w:r>
        <w:rPr>
          <w:rFonts w:eastAsia="楷体" w:cs="Times New Roman"/>
          <w:b/>
          <w:szCs w:val="28"/>
          <w:lang w:val="de-DE"/>
        </w:rPr>
        <w:t>环境风险评价等级的确定</w:t>
      </w:r>
      <w:bookmarkEnd w:id="159"/>
    </w:p>
    <w:p w:rsidR="00240BCE" w:rsidRDefault="00AC0334">
      <w:pPr>
        <w:spacing w:line="520" w:lineRule="exact"/>
        <w:ind w:firstLineChars="300" w:firstLine="720"/>
        <w:rPr>
          <w:sz w:val="24"/>
        </w:rPr>
      </w:pPr>
      <w:r>
        <w:rPr>
          <w:sz w:val="24"/>
        </w:rPr>
        <w:t>根据《建设项目环境风险评价技术导则》（</w:t>
      </w:r>
      <w:r>
        <w:rPr>
          <w:sz w:val="24"/>
        </w:rPr>
        <w:t>HJ169-2018</w:t>
      </w:r>
      <w:r>
        <w:rPr>
          <w:sz w:val="24"/>
        </w:rPr>
        <w:t>）导则，环境风险评价工作等级划分为一级、二级、三级。根据建设项目涉及的物质及工艺系统危险性和所在地的环境敏感性确定环境风险潜势，按照表</w:t>
      </w:r>
      <w:r>
        <w:rPr>
          <w:sz w:val="24"/>
        </w:rPr>
        <w:t xml:space="preserve"> 2.6-</w:t>
      </w:r>
      <w:r w:rsidR="00EB2D6C">
        <w:rPr>
          <w:rFonts w:hint="eastAsia"/>
          <w:sz w:val="24"/>
        </w:rPr>
        <w:t>8</w:t>
      </w:r>
      <w:r>
        <w:rPr>
          <w:sz w:val="24"/>
        </w:rPr>
        <w:t>确定风险评价工作等级。</w:t>
      </w:r>
    </w:p>
    <w:p w:rsidR="00240BCE" w:rsidRDefault="00AC0334">
      <w:pPr>
        <w:spacing w:line="520" w:lineRule="exact"/>
        <w:jc w:val="center"/>
        <w:rPr>
          <w:bCs/>
          <w:iCs/>
          <w:color w:val="000000"/>
          <w:sz w:val="24"/>
        </w:rPr>
      </w:pPr>
      <w:r>
        <w:rPr>
          <w:bCs/>
          <w:iCs/>
          <w:color w:val="000000"/>
          <w:sz w:val="24"/>
        </w:rPr>
        <w:t>表</w:t>
      </w:r>
      <w:r>
        <w:rPr>
          <w:bCs/>
          <w:iCs/>
          <w:color w:val="000000"/>
          <w:sz w:val="24"/>
        </w:rPr>
        <w:t>2.6-</w:t>
      </w:r>
      <w:r w:rsidR="00EB2D6C">
        <w:rPr>
          <w:rFonts w:hint="eastAsia"/>
          <w:bCs/>
          <w:iCs/>
          <w:color w:val="000000"/>
          <w:sz w:val="24"/>
        </w:rPr>
        <w:t>8</w:t>
      </w:r>
      <w:r>
        <w:rPr>
          <w:bCs/>
          <w:iCs/>
          <w:color w:val="000000"/>
          <w:sz w:val="24"/>
        </w:rPr>
        <w:t xml:space="preserve"> </w:t>
      </w:r>
      <w:r>
        <w:rPr>
          <w:bCs/>
          <w:iCs/>
          <w:color w:val="000000"/>
          <w:sz w:val="24"/>
        </w:rPr>
        <w:t>环境风险评价工作等级划分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1"/>
        <w:gridCol w:w="1757"/>
        <w:gridCol w:w="1740"/>
        <w:gridCol w:w="1741"/>
        <w:gridCol w:w="1741"/>
      </w:tblGrid>
      <w:tr w:rsidR="00240BCE">
        <w:tc>
          <w:tcPr>
            <w:tcW w:w="1834" w:type="dxa"/>
            <w:tcBorders>
              <w:top w:val="single" w:sz="4" w:space="0" w:color="auto"/>
              <w:left w:val="single" w:sz="4" w:space="0" w:color="auto"/>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环境风险潜势</w:t>
            </w:r>
          </w:p>
        </w:tc>
        <w:tc>
          <w:tcPr>
            <w:tcW w:w="1836"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Ⅳ</w:t>
            </w:r>
            <w:r>
              <w:rPr>
                <w:bCs/>
                <w:iCs/>
                <w:color w:val="000000"/>
                <w:sz w:val="21"/>
                <w:szCs w:val="21"/>
              </w:rPr>
              <w:t>、</w:t>
            </w:r>
            <w:r>
              <w:rPr>
                <w:bCs/>
                <w:iCs/>
                <w:color w:val="000000"/>
                <w:sz w:val="21"/>
                <w:szCs w:val="21"/>
              </w:rPr>
              <w:t>Ⅳ +</w:t>
            </w:r>
          </w:p>
        </w:tc>
        <w:tc>
          <w:tcPr>
            <w:tcW w:w="1834"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Ⅲ</w:t>
            </w:r>
          </w:p>
        </w:tc>
        <w:tc>
          <w:tcPr>
            <w:tcW w:w="1835"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Ⅱ</w:t>
            </w:r>
          </w:p>
        </w:tc>
        <w:tc>
          <w:tcPr>
            <w:tcW w:w="1835" w:type="dxa"/>
            <w:tcBorders>
              <w:top w:val="single" w:sz="4" w:space="0" w:color="auto"/>
              <w:left w:val="nil"/>
              <w:bottom w:val="single" w:sz="4" w:space="0" w:color="auto"/>
              <w:right w:val="single" w:sz="4" w:space="0" w:color="auto"/>
            </w:tcBorders>
            <w:shd w:val="clear" w:color="auto" w:fill="D9D9D9"/>
          </w:tcPr>
          <w:p w:rsidR="00240BCE" w:rsidRDefault="00AC0334">
            <w:pPr>
              <w:spacing w:line="360" w:lineRule="exact"/>
              <w:jc w:val="center"/>
              <w:rPr>
                <w:bCs/>
                <w:iCs/>
                <w:color w:val="000000"/>
                <w:sz w:val="21"/>
                <w:szCs w:val="21"/>
              </w:rPr>
            </w:pPr>
            <w:r>
              <w:rPr>
                <w:bCs/>
                <w:iCs/>
                <w:color w:val="000000"/>
                <w:sz w:val="21"/>
                <w:szCs w:val="21"/>
              </w:rPr>
              <w:t>Ⅰ</w:t>
            </w:r>
          </w:p>
        </w:tc>
      </w:tr>
      <w:tr w:rsidR="00240BCE">
        <w:tc>
          <w:tcPr>
            <w:tcW w:w="1834" w:type="dxa"/>
            <w:tcBorders>
              <w:top w:val="single" w:sz="4" w:space="0" w:color="auto"/>
              <w:left w:val="single" w:sz="4" w:space="0" w:color="auto"/>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评价工作等级</w:t>
            </w:r>
          </w:p>
        </w:tc>
        <w:tc>
          <w:tcPr>
            <w:tcW w:w="1836"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一</w:t>
            </w:r>
          </w:p>
        </w:tc>
        <w:tc>
          <w:tcPr>
            <w:tcW w:w="1834"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二</w:t>
            </w:r>
          </w:p>
        </w:tc>
        <w:tc>
          <w:tcPr>
            <w:tcW w:w="1835"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三</w:t>
            </w:r>
          </w:p>
        </w:tc>
        <w:tc>
          <w:tcPr>
            <w:tcW w:w="1835" w:type="dxa"/>
            <w:tcBorders>
              <w:top w:val="single" w:sz="4" w:space="0" w:color="auto"/>
              <w:left w:val="nil"/>
              <w:bottom w:val="single" w:sz="4" w:space="0" w:color="auto"/>
              <w:right w:val="single" w:sz="4" w:space="0" w:color="auto"/>
            </w:tcBorders>
            <w:shd w:val="clear" w:color="auto" w:fill="D9D9D9"/>
          </w:tcPr>
          <w:p w:rsidR="00240BCE" w:rsidRDefault="00AC0334">
            <w:pPr>
              <w:spacing w:line="360" w:lineRule="exact"/>
              <w:jc w:val="center"/>
              <w:rPr>
                <w:bCs/>
                <w:iCs/>
                <w:color w:val="000000"/>
                <w:sz w:val="21"/>
                <w:szCs w:val="21"/>
              </w:rPr>
            </w:pPr>
            <w:r>
              <w:rPr>
                <w:bCs/>
                <w:iCs/>
                <w:color w:val="000000"/>
                <w:sz w:val="21"/>
                <w:szCs w:val="21"/>
              </w:rPr>
              <w:t>简单分析</w:t>
            </w:r>
            <w:r>
              <w:rPr>
                <w:bCs/>
                <w:iCs/>
                <w:color w:val="000000"/>
                <w:sz w:val="21"/>
                <w:szCs w:val="21"/>
                <w:vertAlign w:val="superscript"/>
              </w:rPr>
              <w:t>a</w:t>
            </w:r>
          </w:p>
        </w:tc>
      </w:tr>
      <w:tr w:rsidR="00240BCE">
        <w:tc>
          <w:tcPr>
            <w:tcW w:w="9174" w:type="dxa"/>
            <w:gridSpan w:val="5"/>
            <w:tcBorders>
              <w:top w:val="single" w:sz="4" w:space="0" w:color="auto"/>
              <w:left w:val="single" w:sz="4" w:space="0" w:color="auto"/>
              <w:bottom w:val="single" w:sz="4" w:space="0" w:color="auto"/>
              <w:right w:val="single" w:sz="4" w:space="0" w:color="auto"/>
            </w:tcBorders>
          </w:tcPr>
          <w:p w:rsidR="00240BCE" w:rsidRDefault="00AC0334">
            <w:pPr>
              <w:spacing w:line="360" w:lineRule="exact"/>
              <w:rPr>
                <w:bCs/>
                <w:iCs/>
                <w:color w:val="000000"/>
                <w:sz w:val="21"/>
                <w:szCs w:val="21"/>
              </w:rPr>
            </w:pPr>
            <w:r>
              <w:rPr>
                <w:bCs/>
                <w:iCs/>
                <w:color w:val="000000"/>
                <w:sz w:val="21"/>
                <w:szCs w:val="21"/>
                <w:vertAlign w:val="superscript"/>
              </w:rPr>
              <w:t>a</w:t>
            </w:r>
            <w:r>
              <w:rPr>
                <w:bCs/>
                <w:iCs/>
                <w:color w:val="000000"/>
                <w:sz w:val="21"/>
                <w:szCs w:val="21"/>
              </w:rPr>
              <w:t xml:space="preserve"> </w:t>
            </w:r>
            <w:r>
              <w:rPr>
                <w:bCs/>
                <w:iCs/>
                <w:color w:val="000000"/>
                <w:sz w:val="21"/>
                <w:szCs w:val="21"/>
              </w:rPr>
              <w:t>是相对于详细评价工作内容而言，在描述危险物质、环境影响途径、环境危害后果、风险防范措施等方面给出定性的说明。见附录</w:t>
            </w:r>
            <w:r>
              <w:rPr>
                <w:bCs/>
                <w:iCs/>
                <w:color w:val="000000"/>
                <w:sz w:val="21"/>
                <w:szCs w:val="21"/>
              </w:rPr>
              <w:t xml:space="preserve"> A</w:t>
            </w:r>
            <w:r>
              <w:rPr>
                <w:bCs/>
                <w:iCs/>
                <w:color w:val="000000"/>
                <w:sz w:val="21"/>
                <w:szCs w:val="21"/>
              </w:rPr>
              <w:t>。</w:t>
            </w:r>
          </w:p>
        </w:tc>
      </w:tr>
    </w:tbl>
    <w:p w:rsidR="00240BCE" w:rsidRDefault="00AC0334">
      <w:pPr>
        <w:pStyle w:val="a1"/>
        <w:spacing w:after="0" w:line="520" w:lineRule="exact"/>
        <w:ind w:firstLineChars="200" w:firstLine="480"/>
        <w:rPr>
          <w:sz w:val="24"/>
        </w:rPr>
      </w:pPr>
      <w:r>
        <w:rPr>
          <w:sz w:val="24"/>
        </w:rPr>
        <w:t>本项目进行煤炭开采作业，工业场地矸石直接装车外运或在</w:t>
      </w:r>
      <w:r w:rsidR="00802A62">
        <w:rPr>
          <w:sz w:val="24"/>
        </w:rPr>
        <w:t>储煤库</w:t>
      </w:r>
      <w:r>
        <w:rPr>
          <w:sz w:val="24"/>
        </w:rPr>
        <w:t>临时周转后外运综合利用，不涉及矸石堆场环境风险。</w:t>
      </w:r>
      <w:r w:rsidR="00654B9B" w:rsidRPr="00654B9B">
        <w:rPr>
          <w:rFonts w:hint="eastAsia"/>
          <w:sz w:val="24"/>
        </w:rPr>
        <w:t>根据导则要求，项目不涉及环境风险物质，本项目仅对生产过程中产生的环境风险做简单分析</w:t>
      </w:r>
    </w:p>
    <w:p w:rsidR="00E57D77" w:rsidRDefault="00E57D77">
      <w:pPr>
        <w:widowControl/>
        <w:jc w:val="left"/>
        <w:rPr>
          <w:b/>
          <w:bCs/>
          <w:spacing w:val="2"/>
          <w:sz w:val="32"/>
          <w:szCs w:val="32"/>
        </w:rPr>
      </w:pPr>
      <w:bookmarkStart w:id="160" w:name="_Toc307496071"/>
      <w:bookmarkStart w:id="161" w:name="_Toc79668612"/>
      <w:bookmarkStart w:id="162" w:name="_Toc181090288"/>
      <w:bookmarkStart w:id="163" w:name="_Toc180679844"/>
      <w:bookmarkStart w:id="164" w:name="_Toc180680265"/>
      <w:bookmarkStart w:id="165" w:name="_Toc224102044"/>
      <w:bookmarkStart w:id="166" w:name="_Toc181088603"/>
      <w:bookmarkStart w:id="167" w:name="_Toc181089009"/>
      <w:bookmarkStart w:id="168" w:name="_Toc199155378"/>
      <w:bookmarkStart w:id="169" w:name="_Toc181089833"/>
      <w:bookmarkStart w:id="170" w:name="_Toc196561955"/>
      <w:bookmarkStart w:id="171" w:name="_Toc232419435"/>
      <w:bookmarkStart w:id="172" w:name="_Toc269232792"/>
      <w:bookmarkStart w:id="173" w:name="_Toc269462006"/>
      <w:bookmarkStart w:id="174" w:name="_Toc3656_WPSOffice_Level2"/>
      <w:bookmarkStart w:id="175" w:name="_Toc81934366"/>
      <w:r>
        <w:rPr>
          <w:sz w:val="32"/>
          <w:szCs w:val="32"/>
        </w:rPr>
        <w:br w:type="page"/>
      </w:r>
    </w:p>
    <w:p w:rsidR="00240BCE" w:rsidRDefault="00AC0334" w:rsidP="009C5F33">
      <w:pPr>
        <w:pStyle w:val="22CharTimesNewRoman12"/>
        <w:adjustRightInd w:val="0"/>
        <w:snapToGrid w:val="0"/>
        <w:spacing w:beforeLines="100" w:line="240" w:lineRule="auto"/>
        <w:rPr>
          <w:rFonts w:cs="Times New Roman"/>
          <w:sz w:val="32"/>
          <w:szCs w:val="32"/>
        </w:rPr>
      </w:pPr>
      <w:r>
        <w:rPr>
          <w:rFonts w:cs="Times New Roman"/>
          <w:sz w:val="32"/>
          <w:szCs w:val="32"/>
        </w:rPr>
        <w:lastRenderedPageBreak/>
        <w:t xml:space="preserve">2.7 </w:t>
      </w:r>
      <w:r>
        <w:rPr>
          <w:rFonts w:cs="Times New Roman"/>
          <w:sz w:val="32"/>
          <w:szCs w:val="32"/>
        </w:rPr>
        <w:t>评价范围</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240BCE" w:rsidRDefault="00AC0334">
      <w:pPr>
        <w:pStyle w:val="2f7"/>
        <w:ind w:firstLine="480"/>
        <w:rPr>
          <w:rFonts w:cs="Times New Roman"/>
        </w:rPr>
      </w:pPr>
      <w:r>
        <w:rPr>
          <w:rFonts w:cs="Times New Roman"/>
        </w:rPr>
        <w:t>根据工程的污染源产生及排放情况、当地地形地貌、居民分布，以及</w:t>
      </w:r>
      <w:r>
        <w:rPr>
          <w:rFonts w:cs="Times New Roman"/>
          <w:spacing w:val="2"/>
        </w:rPr>
        <w:t>《环境影响评价技术导则》中评价等级工作范围的规定</w:t>
      </w:r>
      <w:r>
        <w:rPr>
          <w:rFonts w:cs="Times New Roman"/>
        </w:rPr>
        <w:t>，确定本次评价范围见表</w:t>
      </w:r>
      <w:r>
        <w:rPr>
          <w:rFonts w:cs="Times New Roman"/>
        </w:rPr>
        <w:t>2.7-1</w:t>
      </w:r>
      <w:r>
        <w:rPr>
          <w:rFonts w:cs="Times New Roman"/>
        </w:rPr>
        <w:t>。</w:t>
      </w:r>
    </w:p>
    <w:p w:rsidR="00240BCE" w:rsidRDefault="00AC0334">
      <w:pPr>
        <w:pStyle w:val="2f7"/>
        <w:ind w:firstLineChars="0" w:firstLine="0"/>
        <w:jc w:val="center"/>
        <w:rPr>
          <w:rFonts w:cs="Times New Roman"/>
        </w:rPr>
      </w:pPr>
      <w:r>
        <w:rPr>
          <w:rFonts w:cs="Times New Roman"/>
        </w:rPr>
        <w:t>表</w:t>
      </w:r>
      <w:r>
        <w:rPr>
          <w:rFonts w:cs="Times New Roman"/>
        </w:rPr>
        <w:t xml:space="preserve">2.7-1        </w:t>
      </w:r>
      <w:r>
        <w:rPr>
          <w:rFonts w:cs="Times New Roman"/>
        </w:rPr>
        <w:t>环境影响评价范围一览表</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4"/>
        <w:gridCol w:w="1140"/>
        <w:gridCol w:w="6514"/>
      </w:tblGrid>
      <w:tr w:rsidR="00240BCE">
        <w:trPr>
          <w:trHeight w:val="383"/>
        </w:trPr>
        <w:tc>
          <w:tcPr>
            <w:tcW w:w="1281" w:type="pct"/>
            <w:gridSpan w:val="2"/>
            <w:vAlign w:val="center"/>
          </w:tcPr>
          <w:p w:rsidR="00240BCE" w:rsidRDefault="00AC0334">
            <w:pPr>
              <w:pStyle w:val="ad"/>
              <w:spacing w:line="340" w:lineRule="exact"/>
              <w:ind w:left="0" w:right="0" w:firstLine="0"/>
              <w:jc w:val="center"/>
              <w:rPr>
                <w:sz w:val="21"/>
                <w:szCs w:val="21"/>
              </w:rPr>
            </w:pPr>
            <w:r>
              <w:rPr>
                <w:sz w:val="21"/>
                <w:szCs w:val="21"/>
              </w:rPr>
              <w:t>评价内容</w:t>
            </w:r>
          </w:p>
        </w:tc>
        <w:tc>
          <w:tcPr>
            <w:tcW w:w="3718" w:type="pct"/>
            <w:vAlign w:val="center"/>
          </w:tcPr>
          <w:p w:rsidR="00240BCE" w:rsidRDefault="00AC0334">
            <w:pPr>
              <w:pStyle w:val="ad"/>
              <w:spacing w:line="340" w:lineRule="exact"/>
              <w:ind w:left="0" w:right="0" w:firstLine="0"/>
              <w:jc w:val="center"/>
              <w:rPr>
                <w:sz w:val="21"/>
                <w:szCs w:val="21"/>
              </w:rPr>
            </w:pPr>
            <w:r>
              <w:rPr>
                <w:sz w:val="21"/>
                <w:szCs w:val="21"/>
              </w:rPr>
              <w:t>评价范围</w:t>
            </w:r>
          </w:p>
        </w:tc>
      </w:tr>
      <w:tr w:rsidR="00240BCE">
        <w:trPr>
          <w:cantSplit/>
          <w:trHeight w:val="717"/>
        </w:trPr>
        <w:tc>
          <w:tcPr>
            <w:tcW w:w="630" w:type="pct"/>
            <w:vMerge w:val="restart"/>
            <w:vAlign w:val="center"/>
          </w:tcPr>
          <w:p w:rsidR="00240BCE" w:rsidRDefault="00AC0334">
            <w:pPr>
              <w:spacing w:line="340" w:lineRule="exact"/>
              <w:jc w:val="center"/>
              <w:rPr>
                <w:sz w:val="21"/>
                <w:szCs w:val="21"/>
              </w:rPr>
            </w:pPr>
            <w:r>
              <w:rPr>
                <w:sz w:val="21"/>
                <w:szCs w:val="21"/>
              </w:rPr>
              <w:t>生态环境</w:t>
            </w:r>
          </w:p>
        </w:tc>
        <w:tc>
          <w:tcPr>
            <w:tcW w:w="650" w:type="pct"/>
            <w:vAlign w:val="center"/>
          </w:tcPr>
          <w:p w:rsidR="00240BCE" w:rsidRDefault="00AC0334">
            <w:pPr>
              <w:spacing w:line="340" w:lineRule="exact"/>
              <w:jc w:val="center"/>
              <w:rPr>
                <w:sz w:val="21"/>
                <w:szCs w:val="21"/>
              </w:rPr>
            </w:pPr>
            <w:r>
              <w:rPr>
                <w:sz w:val="21"/>
                <w:szCs w:val="21"/>
              </w:rPr>
              <w:t>现状调查</w:t>
            </w:r>
          </w:p>
        </w:tc>
        <w:tc>
          <w:tcPr>
            <w:tcW w:w="3718" w:type="pct"/>
            <w:vMerge w:val="restart"/>
            <w:vAlign w:val="center"/>
          </w:tcPr>
          <w:p w:rsidR="00240BCE" w:rsidRDefault="00AC0334">
            <w:pPr>
              <w:pStyle w:val="ad"/>
              <w:spacing w:line="340" w:lineRule="exact"/>
              <w:ind w:left="0" w:right="0" w:firstLine="0"/>
              <w:rPr>
                <w:sz w:val="21"/>
                <w:szCs w:val="21"/>
              </w:rPr>
            </w:pPr>
            <w:r>
              <w:rPr>
                <w:bCs/>
                <w:sz w:val="21"/>
                <w:szCs w:val="21"/>
              </w:rPr>
              <w:t>结合本项目开采特点及所处生态环境的完整性，依据评价项目对生态因子的影响方式、影响程度和生态因子之间的相互影响和相互依存关系，确定，本项目生态环境影响评价范围为矿区东、西、南边界外扩</w:t>
            </w:r>
            <w:r>
              <w:rPr>
                <w:bCs/>
                <w:sz w:val="21"/>
                <w:szCs w:val="21"/>
              </w:rPr>
              <w:t>300m</w:t>
            </w:r>
            <w:r>
              <w:rPr>
                <w:bCs/>
                <w:sz w:val="21"/>
                <w:szCs w:val="21"/>
              </w:rPr>
              <w:t>、北边界至涌泉河合围的区域，面积约</w:t>
            </w:r>
            <w:r>
              <w:rPr>
                <w:bCs/>
                <w:sz w:val="21"/>
                <w:szCs w:val="21"/>
              </w:rPr>
              <w:t>422hm</w:t>
            </w:r>
            <w:r>
              <w:rPr>
                <w:bCs/>
                <w:sz w:val="21"/>
                <w:szCs w:val="21"/>
                <w:vertAlign w:val="superscript"/>
              </w:rPr>
              <w:t>2</w:t>
            </w:r>
            <w:r>
              <w:rPr>
                <w:bCs/>
                <w:sz w:val="21"/>
                <w:szCs w:val="21"/>
              </w:rPr>
              <w:t>。</w:t>
            </w:r>
          </w:p>
        </w:tc>
      </w:tr>
      <w:tr w:rsidR="00240BCE">
        <w:trPr>
          <w:cantSplit/>
          <w:trHeight w:val="638"/>
        </w:trPr>
        <w:tc>
          <w:tcPr>
            <w:tcW w:w="630" w:type="pct"/>
            <w:vMerge/>
            <w:vAlign w:val="center"/>
          </w:tcPr>
          <w:p w:rsidR="00240BCE" w:rsidRDefault="00240BCE">
            <w:pPr>
              <w:pStyle w:val="ad"/>
              <w:spacing w:line="340" w:lineRule="exact"/>
              <w:ind w:left="0" w:right="0" w:firstLine="0"/>
              <w:jc w:val="center"/>
              <w:rPr>
                <w:sz w:val="21"/>
                <w:szCs w:val="21"/>
              </w:rPr>
            </w:pPr>
          </w:p>
        </w:tc>
        <w:tc>
          <w:tcPr>
            <w:tcW w:w="650" w:type="pct"/>
            <w:vAlign w:val="center"/>
          </w:tcPr>
          <w:p w:rsidR="00240BCE" w:rsidRDefault="00AC0334">
            <w:pPr>
              <w:pStyle w:val="ad"/>
              <w:spacing w:line="340" w:lineRule="exact"/>
              <w:ind w:left="0" w:right="0" w:firstLine="0"/>
              <w:jc w:val="center"/>
              <w:rPr>
                <w:sz w:val="21"/>
                <w:szCs w:val="21"/>
              </w:rPr>
            </w:pPr>
            <w:r>
              <w:rPr>
                <w:sz w:val="21"/>
                <w:szCs w:val="21"/>
              </w:rPr>
              <w:t>影响预测</w:t>
            </w:r>
          </w:p>
        </w:tc>
        <w:tc>
          <w:tcPr>
            <w:tcW w:w="3718" w:type="pct"/>
            <w:vMerge/>
            <w:vAlign w:val="center"/>
          </w:tcPr>
          <w:p w:rsidR="00240BCE" w:rsidRDefault="00240BCE">
            <w:pPr>
              <w:pStyle w:val="ad"/>
              <w:spacing w:line="340" w:lineRule="exact"/>
              <w:ind w:left="0" w:right="0" w:firstLine="0"/>
              <w:jc w:val="center"/>
              <w:rPr>
                <w:sz w:val="21"/>
                <w:szCs w:val="21"/>
              </w:rPr>
            </w:pPr>
          </w:p>
        </w:tc>
      </w:tr>
      <w:tr w:rsidR="00240BCE">
        <w:trPr>
          <w:cantSplit/>
          <w:trHeight w:val="641"/>
        </w:trPr>
        <w:tc>
          <w:tcPr>
            <w:tcW w:w="630" w:type="pct"/>
            <w:vMerge w:val="restart"/>
            <w:vAlign w:val="center"/>
          </w:tcPr>
          <w:p w:rsidR="00240BCE" w:rsidRDefault="00AC0334">
            <w:pPr>
              <w:spacing w:line="340" w:lineRule="exact"/>
              <w:jc w:val="center"/>
              <w:rPr>
                <w:sz w:val="21"/>
                <w:szCs w:val="21"/>
              </w:rPr>
            </w:pPr>
            <w:r>
              <w:rPr>
                <w:sz w:val="21"/>
                <w:szCs w:val="21"/>
              </w:rPr>
              <w:t>地表水环境</w:t>
            </w:r>
          </w:p>
        </w:tc>
        <w:tc>
          <w:tcPr>
            <w:tcW w:w="650" w:type="pct"/>
            <w:vAlign w:val="center"/>
          </w:tcPr>
          <w:p w:rsidR="00240BCE" w:rsidRDefault="00AC0334">
            <w:pPr>
              <w:spacing w:line="340" w:lineRule="exact"/>
              <w:jc w:val="center"/>
              <w:rPr>
                <w:sz w:val="21"/>
                <w:szCs w:val="21"/>
              </w:rPr>
            </w:pPr>
            <w:r>
              <w:rPr>
                <w:sz w:val="21"/>
                <w:szCs w:val="21"/>
              </w:rPr>
              <w:t>现状调查</w:t>
            </w:r>
          </w:p>
        </w:tc>
        <w:tc>
          <w:tcPr>
            <w:tcW w:w="3718" w:type="pct"/>
            <w:vAlign w:val="center"/>
          </w:tcPr>
          <w:p w:rsidR="00240BCE" w:rsidRDefault="00AC0334">
            <w:pPr>
              <w:spacing w:line="340" w:lineRule="exact"/>
              <w:jc w:val="left"/>
              <w:rPr>
                <w:sz w:val="21"/>
                <w:szCs w:val="21"/>
              </w:rPr>
            </w:pPr>
            <w:r>
              <w:rPr>
                <w:sz w:val="21"/>
                <w:szCs w:val="21"/>
              </w:rPr>
              <w:t>概述目前井田周边地表水状况，地表水自然流向，主要调查地表水为涌泉河和纸坊水库。</w:t>
            </w:r>
          </w:p>
        </w:tc>
      </w:tr>
      <w:tr w:rsidR="00240BCE">
        <w:trPr>
          <w:cantSplit/>
          <w:trHeight w:val="538"/>
        </w:trPr>
        <w:tc>
          <w:tcPr>
            <w:tcW w:w="630" w:type="pct"/>
            <w:vMerge/>
            <w:vAlign w:val="center"/>
          </w:tcPr>
          <w:p w:rsidR="00240BCE" w:rsidRDefault="00240BCE">
            <w:pPr>
              <w:pStyle w:val="ad"/>
              <w:spacing w:line="340" w:lineRule="exact"/>
              <w:ind w:left="0" w:right="0" w:firstLine="0"/>
              <w:jc w:val="center"/>
              <w:rPr>
                <w:sz w:val="21"/>
                <w:szCs w:val="21"/>
              </w:rPr>
            </w:pPr>
          </w:p>
        </w:tc>
        <w:tc>
          <w:tcPr>
            <w:tcW w:w="650" w:type="pct"/>
            <w:vAlign w:val="center"/>
          </w:tcPr>
          <w:p w:rsidR="00240BCE" w:rsidRDefault="00AC0334">
            <w:pPr>
              <w:pStyle w:val="ad"/>
              <w:spacing w:line="340" w:lineRule="exact"/>
              <w:ind w:left="0" w:right="0" w:firstLine="0"/>
              <w:jc w:val="center"/>
              <w:rPr>
                <w:sz w:val="21"/>
                <w:szCs w:val="21"/>
              </w:rPr>
            </w:pPr>
            <w:r>
              <w:rPr>
                <w:sz w:val="21"/>
                <w:szCs w:val="21"/>
              </w:rPr>
              <w:t>影响预测</w:t>
            </w:r>
          </w:p>
        </w:tc>
        <w:tc>
          <w:tcPr>
            <w:tcW w:w="3718" w:type="pct"/>
            <w:vAlign w:val="center"/>
          </w:tcPr>
          <w:p w:rsidR="00240BCE" w:rsidRDefault="00AC0334">
            <w:pPr>
              <w:pStyle w:val="ad"/>
              <w:spacing w:line="340" w:lineRule="exact"/>
              <w:ind w:left="0" w:right="0" w:firstLine="0"/>
              <w:jc w:val="left"/>
              <w:rPr>
                <w:sz w:val="21"/>
                <w:szCs w:val="21"/>
              </w:rPr>
            </w:pPr>
            <w:r>
              <w:rPr>
                <w:sz w:val="21"/>
                <w:szCs w:val="21"/>
              </w:rPr>
              <w:t>生活、生产废污水零排放可行性分析</w:t>
            </w:r>
          </w:p>
        </w:tc>
      </w:tr>
      <w:tr w:rsidR="00240BCE">
        <w:trPr>
          <w:cantSplit/>
          <w:trHeight w:val="383"/>
        </w:trPr>
        <w:tc>
          <w:tcPr>
            <w:tcW w:w="630" w:type="pct"/>
            <w:vMerge w:val="restart"/>
            <w:vAlign w:val="center"/>
          </w:tcPr>
          <w:p w:rsidR="00240BCE" w:rsidRDefault="00AC0334">
            <w:pPr>
              <w:pStyle w:val="ad"/>
              <w:spacing w:line="340" w:lineRule="exact"/>
              <w:ind w:left="0" w:right="0" w:firstLine="0"/>
              <w:jc w:val="center"/>
              <w:rPr>
                <w:sz w:val="21"/>
                <w:szCs w:val="21"/>
              </w:rPr>
            </w:pPr>
            <w:r>
              <w:rPr>
                <w:sz w:val="21"/>
                <w:szCs w:val="21"/>
              </w:rPr>
              <w:t>地下水环境</w:t>
            </w:r>
          </w:p>
        </w:tc>
        <w:tc>
          <w:tcPr>
            <w:tcW w:w="650" w:type="pct"/>
            <w:vAlign w:val="center"/>
          </w:tcPr>
          <w:p w:rsidR="00240BCE" w:rsidRDefault="00AC0334">
            <w:pPr>
              <w:pStyle w:val="ad"/>
              <w:spacing w:line="340" w:lineRule="exact"/>
              <w:ind w:left="0" w:right="0" w:firstLine="0"/>
              <w:jc w:val="center"/>
              <w:rPr>
                <w:sz w:val="21"/>
                <w:szCs w:val="21"/>
              </w:rPr>
            </w:pPr>
            <w:r>
              <w:rPr>
                <w:sz w:val="21"/>
                <w:szCs w:val="21"/>
              </w:rPr>
              <w:t>现状调查</w:t>
            </w:r>
          </w:p>
        </w:tc>
        <w:tc>
          <w:tcPr>
            <w:tcW w:w="3718" w:type="pct"/>
            <w:vAlign w:val="center"/>
          </w:tcPr>
          <w:p w:rsidR="00240BCE" w:rsidRDefault="00AC0334">
            <w:pPr>
              <w:pStyle w:val="ad"/>
              <w:spacing w:line="340" w:lineRule="exact"/>
              <w:ind w:left="0" w:firstLine="0"/>
              <w:jc w:val="left"/>
              <w:rPr>
                <w:sz w:val="21"/>
                <w:szCs w:val="21"/>
              </w:rPr>
            </w:pPr>
            <w:r>
              <w:rPr>
                <w:sz w:val="21"/>
                <w:szCs w:val="21"/>
              </w:rPr>
              <w:t>矿区范围及周边地下水资源、民用水源调查及现状监测</w:t>
            </w:r>
          </w:p>
        </w:tc>
      </w:tr>
      <w:tr w:rsidR="00240BCE">
        <w:trPr>
          <w:cantSplit/>
          <w:trHeight w:val="383"/>
        </w:trPr>
        <w:tc>
          <w:tcPr>
            <w:tcW w:w="630" w:type="pct"/>
            <w:vMerge/>
            <w:vAlign w:val="center"/>
          </w:tcPr>
          <w:p w:rsidR="00240BCE" w:rsidRDefault="00240BCE">
            <w:pPr>
              <w:pStyle w:val="ad"/>
              <w:spacing w:line="340" w:lineRule="exact"/>
              <w:ind w:left="0" w:right="0" w:firstLine="0"/>
              <w:jc w:val="center"/>
              <w:rPr>
                <w:sz w:val="21"/>
                <w:szCs w:val="21"/>
              </w:rPr>
            </w:pPr>
          </w:p>
        </w:tc>
        <w:tc>
          <w:tcPr>
            <w:tcW w:w="650" w:type="pct"/>
            <w:vAlign w:val="center"/>
          </w:tcPr>
          <w:p w:rsidR="00240BCE" w:rsidRDefault="00AC0334">
            <w:pPr>
              <w:pStyle w:val="ad"/>
              <w:spacing w:line="340" w:lineRule="exact"/>
              <w:ind w:left="0" w:right="0" w:firstLine="0"/>
              <w:jc w:val="center"/>
              <w:rPr>
                <w:sz w:val="21"/>
                <w:szCs w:val="21"/>
              </w:rPr>
            </w:pPr>
            <w:r>
              <w:rPr>
                <w:sz w:val="21"/>
                <w:szCs w:val="21"/>
              </w:rPr>
              <w:t>影响预测</w:t>
            </w:r>
          </w:p>
        </w:tc>
        <w:tc>
          <w:tcPr>
            <w:tcW w:w="3718" w:type="pct"/>
            <w:vAlign w:val="center"/>
          </w:tcPr>
          <w:p w:rsidR="00240BCE" w:rsidRDefault="00AC0334">
            <w:pPr>
              <w:pStyle w:val="ad"/>
              <w:spacing w:line="340" w:lineRule="exact"/>
              <w:ind w:left="0" w:right="0" w:firstLine="0"/>
              <w:jc w:val="left"/>
              <w:rPr>
                <w:sz w:val="21"/>
                <w:szCs w:val="21"/>
              </w:rPr>
            </w:pPr>
            <w:r>
              <w:rPr>
                <w:sz w:val="21"/>
                <w:szCs w:val="21"/>
              </w:rPr>
              <w:t>开采对区域浅层地下水影响分析；开采对当地民用水源影响分析</w:t>
            </w:r>
          </w:p>
        </w:tc>
      </w:tr>
      <w:tr w:rsidR="00240BCE">
        <w:trPr>
          <w:cantSplit/>
          <w:trHeight w:val="383"/>
        </w:trPr>
        <w:tc>
          <w:tcPr>
            <w:tcW w:w="630" w:type="pct"/>
            <w:vMerge w:val="restart"/>
            <w:vAlign w:val="center"/>
          </w:tcPr>
          <w:p w:rsidR="00240BCE" w:rsidRDefault="00AC0334">
            <w:pPr>
              <w:spacing w:line="340" w:lineRule="exact"/>
              <w:jc w:val="center"/>
              <w:rPr>
                <w:sz w:val="21"/>
                <w:szCs w:val="21"/>
              </w:rPr>
            </w:pPr>
            <w:r>
              <w:rPr>
                <w:sz w:val="21"/>
                <w:szCs w:val="21"/>
              </w:rPr>
              <w:t>声环境</w:t>
            </w:r>
          </w:p>
        </w:tc>
        <w:tc>
          <w:tcPr>
            <w:tcW w:w="650" w:type="pct"/>
            <w:vAlign w:val="center"/>
          </w:tcPr>
          <w:p w:rsidR="00240BCE" w:rsidRDefault="00AC0334">
            <w:pPr>
              <w:spacing w:line="340" w:lineRule="exact"/>
              <w:jc w:val="center"/>
              <w:rPr>
                <w:sz w:val="21"/>
                <w:szCs w:val="21"/>
              </w:rPr>
            </w:pPr>
            <w:r>
              <w:rPr>
                <w:sz w:val="21"/>
                <w:szCs w:val="21"/>
              </w:rPr>
              <w:t>现状调查</w:t>
            </w:r>
          </w:p>
        </w:tc>
        <w:tc>
          <w:tcPr>
            <w:tcW w:w="3718" w:type="pct"/>
            <w:vMerge w:val="restart"/>
            <w:vAlign w:val="center"/>
          </w:tcPr>
          <w:p w:rsidR="00240BCE" w:rsidRDefault="00AC0334">
            <w:pPr>
              <w:spacing w:line="340" w:lineRule="exact"/>
              <w:jc w:val="left"/>
              <w:rPr>
                <w:sz w:val="21"/>
                <w:szCs w:val="21"/>
              </w:rPr>
            </w:pPr>
            <w:r>
              <w:rPr>
                <w:sz w:val="21"/>
                <w:szCs w:val="21"/>
              </w:rPr>
              <w:t>工业场地周边</w:t>
            </w:r>
            <w:r>
              <w:rPr>
                <w:sz w:val="21"/>
                <w:szCs w:val="21"/>
              </w:rPr>
              <w:t>200m</w:t>
            </w:r>
            <w:r>
              <w:rPr>
                <w:sz w:val="21"/>
                <w:szCs w:val="21"/>
              </w:rPr>
              <w:t>、运煤道路两侧</w:t>
            </w:r>
            <w:r>
              <w:rPr>
                <w:sz w:val="21"/>
                <w:szCs w:val="21"/>
              </w:rPr>
              <w:t>200m</w:t>
            </w:r>
            <w:r>
              <w:rPr>
                <w:sz w:val="21"/>
                <w:szCs w:val="21"/>
              </w:rPr>
              <w:t>内敏感点分布情况</w:t>
            </w:r>
          </w:p>
        </w:tc>
      </w:tr>
      <w:tr w:rsidR="00240BCE">
        <w:trPr>
          <w:cantSplit/>
          <w:trHeight w:val="383"/>
        </w:trPr>
        <w:tc>
          <w:tcPr>
            <w:tcW w:w="630" w:type="pct"/>
            <w:vMerge/>
            <w:vAlign w:val="center"/>
          </w:tcPr>
          <w:p w:rsidR="00240BCE" w:rsidRDefault="00240BCE">
            <w:pPr>
              <w:pStyle w:val="ad"/>
              <w:spacing w:line="340" w:lineRule="exact"/>
              <w:ind w:left="0" w:right="0" w:firstLine="0"/>
              <w:jc w:val="center"/>
              <w:rPr>
                <w:sz w:val="21"/>
                <w:szCs w:val="21"/>
              </w:rPr>
            </w:pPr>
          </w:p>
        </w:tc>
        <w:tc>
          <w:tcPr>
            <w:tcW w:w="650" w:type="pct"/>
            <w:vAlign w:val="center"/>
          </w:tcPr>
          <w:p w:rsidR="00240BCE" w:rsidRDefault="00AC0334">
            <w:pPr>
              <w:pStyle w:val="ad"/>
              <w:spacing w:line="340" w:lineRule="exact"/>
              <w:ind w:left="0" w:right="0" w:firstLine="0"/>
              <w:jc w:val="center"/>
              <w:rPr>
                <w:sz w:val="21"/>
                <w:szCs w:val="21"/>
              </w:rPr>
            </w:pPr>
            <w:r>
              <w:rPr>
                <w:sz w:val="21"/>
                <w:szCs w:val="21"/>
              </w:rPr>
              <w:t>影响预测</w:t>
            </w:r>
          </w:p>
        </w:tc>
        <w:tc>
          <w:tcPr>
            <w:tcW w:w="3718" w:type="pct"/>
            <w:vMerge/>
            <w:vAlign w:val="center"/>
          </w:tcPr>
          <w:p w:rsidR="00240BCE" w:rsidRDefault="00240BCE">
            <w:pPr>
              <w:pStyle w:val="ad"/>
              <w:spacing w:line="340" w:lineRule="exact"/>
              <w:ind w:left="0" w:right="0" w:firstLine="0"/>
              <w:jc w:val="left"/>
              <w:rPr>
                <w:sz w:val="21"/>
                <w:szCs w:val="21"/>
              </w:rPr>
            </w:pPr>
          </w:p>
        </w:tc>
      </w:tr>
      <w:tr w:rsidR="00240BCE">
        <w:trPr>
          <w:cantSplit/>
          <w:trHeight w:val="383"/>
        </w:trPr>
        <w:tc>
          <w:tcPr>
            <w:tcW w:w="630" w:type="pct"/>
            <w:vMerge w:val="restart"/>
            <w:vAlign w:val="center"/>
          </w:tcPr>
          <w:p w:rsidR="00240BCE" w:rsidRDefault="00AC0334">
            <w:pPr>
              <w:pStyle w:val="ad"/>
              <w:spacing w:line="340" w:lineRule="exact"/>
              <w:ind w:left="0" w:right="0" w:firstLine="0"/>
              <w:jc w:val="center"/>
              <w:rPr>
                <w:sz w:val="21"/>
                <w:szCs w:val="21"/>
              </w:rPr>
            </w:pPr>
            <w:r>
              <w:rPr>
                <w:sz w:val="21"/>
                <w:szCs w:val="21"/>
              </w:rPr>
              <w:t>环境空气</w:t>
            </w:r>
          </w:p>
        </w:tc>
        <w:tc>
          <w:tcPr>
            <w:tcW w:w="650" w:type="pct"/>
            <w:vAlign w:val="center"/>
          </w:tcPr>
          <w:p w:rsidR="00240BCE" w:rsidRDefault="00AC0334">
            <w:pPr>
              <w:spacing w:line="340" w:lineRule="exact"/>
              <w:jc w:val="center"/>
              <w:rPr>
                <w:sz w:val="21"/>
                <w:szCs w:val="21"/>
              </w:rPr>
            </w:pPr>
            <w:r>
              <w:rPr>
                <w:sz w:val="21"/>
                <w:szCs w:val="21"/>
              </w:rPr>
              <w:t>现状调查</w:t>
            </w:r>
          </w:p>
        </w:tc>
        <w:tc>
          <w:tcPr>
            <w:tcW w:w="3718" w:type="pct"/>
            <w:vAlign w:val="center"/>
          </w:tcPr>
          <w:p w:rsidR="00240BCE" w:rsidRDefault="00AC0334">
            <w:pPr>
              <w:pStyle w:val="ad"/>
              <w:spacing w:line="340" w:lineRule="exact"/>
              <w:ind w:left="0" w:firstLine="0"/>
              <w:jc w:val="left"/>
              <w:rPr>
                <w:sz w:val="21"/>
                <w:szCs w:val="21"/>
              </w:rPr>
            </w:pPr>
            <w:r>
              <w:rPr>
                <w:sz w:val="21"/>
                <w:szCs w:val="21"/>
              </w:rPr>
              <w:t>工业广场周围</w:t>
            </w:r>
            <w:r>
              <w:rPr>
                <w:sz w:val="21"/>
                <w:szCs w:val="21"/>
              </w:rPr>
              <w:t>2.5km</w:t>
            </w:r>
            <w:r>
              <w:rPr>
                <w:sz w:val="21"/>
                <w:szCs w:val="21"/>
              </w:rPr>
              <w:t>内的区域</w:t>
            </w:r>
          </w:p>
        </w:tc>
      </w:tr>
      <w:tr w:rsidR="00240BCE">
        <w:trPr>
          <w:cantSplit/>
          <w:trHeight w:val="383"/>
        </w:trPr>
        <w:tc>
          <w:tcPr>
            <w:tcW w:w="630" w:type="pct"/>
            <w:vMerge/>
            <w:vAlign w:val="center"/>
          </w:tcPr>
          <w:p w:rsidR="00240BCE" w:rsidRDefault="00240BCE">
            <w:pPr>
              <w:pStyle w:val="ad"/>
              <w:spacing w:line="340" w:lineRule="exact"/>
              <w:ind w:left="0" w:right="0" w:firstLine="0"/>
              <w:jc w:val="center"/>
              <w:rPr>
                <w:sz w:val="21"/>
                <w:szCs w:val="21"/>
              </w:rPr>
            </w:pPr>
          </w:p>
        </w:tc>
        <w:tc>
          <w:tcPr>
            <w:tcW w:w="650" w:type="pct"/>
            <w:vAlign w:val="center"/>
          </w:tcPr>
          <w:p w:rsidR="00240BCE" w:rsidRDefault="00AC0334">
            <w:pPr>
              <w:pStyle w:val="ad"/>
              <w:spacing w:line="340" w:lineRule="exact"/>
              <w:ind w:left="0" w:right="0" w:firstLine="0"/>
              <w:jc w:val="center"/>
              <w:rPr>
                <w:sz w:val="21"/>
                <w:szCs w:val="21"/>
              </w:rPr>
            </w:pPr>
            <w:r>
              <w:rPr>
                <w:sz w:val="21"/>
                <w:szCs w:val="21"/>
              </w:rPr>
              <w:t>影响预测</w:t>
            </w:r>
          </w:p>
        </w:tc>
        <w:tc>
          <w:tcPr>
            <w:tcW w:w="3718" w:type="pct"/>
            <w:vAlign w:val="center"/>
          </w:tcPr>
          <w:p w:rsidR="00240BCE" w:rsidRDefault="00AC0334">
            <w:pPr>
              <w:pStyle w:val="ac"/>
              <w:spacing w:line="340" w:lineRule="exact"/>
              <w:ind w:firstLine="0"/>
              <w:jc w:val="left"/>
              <w:rPr>
                <w:sz w:val="21"/>
                <w:szCs w:val="21"/>
              </w:rPr>
            </w:pPr>
            <w:r>
              <w:rPr>
                <w:sz w:val="21"/>
                <w:szCs w:val="21"/>
              </w:rPr>
              <w:t>主要对污染防治措施的有效性进行分析</w:t>
            </w:r>
          </w:p>
        </w:tc>
      </w:tr>
      <w:tr w:rsidR="00240BCE">
        <w:trPr>
          <w:cantSplit/>
          <w:trHeight w:val="383"/>
        </w:trPr>
        <w:tc>
          <w:tcPr>
            <w:tcW w:w="630" w:type="pct"/>
            <w:vMerge w:val="restart"/>
            <w:vAlign w:val="center"/>
          </w:tcPr>
          <w:p w:rsidR="00240BCE" w:rsidRDefault="00AC0334">
            <w:pPr>
              <w:pStyle w:val="ad"/>
              <w:spacing w:line="340" w:lineRule="exact"/>
              <w:ind w:left="0" w:right="0" w:firstLine="0"/>
              <w:jc w:val="center"/>
              <w:rPr>
                <w:sz w:val="21"/>
                <w:szCs w:val="21"/>
              </w:rPr>
            </w:pPr>
            <w:r>
              <w:rPr>
                <w:sz w:val="21"/>
                <w:szCs w:val="21"/>
              </w:rPr>
              <w:t>土壤环境</w:t>
            </w:r>
          </w:p>
        </w:tc>
        <w:tc>
          <w:tcPr>
            <w:tcW w:w="650" w:type="pct"/>
            <w:vAlign w:val="center"/>
          </w:tcPr>
          <w:p w:rsidR="00240BCE" w:rsidRDefault="00AC0334">
            <w:pPr>
              <w:spacing w:line="340" w:lineRule="exact"/>
              <w:jc w:val="center"/>
              <w:rPr>
                <w:sz w:val="21"/>
                <w:szCs w:val="21"/>
              </w:rPr>
            </w:pPr>
            <w:r>
              <w:rPr>
                <w:sz w:val="21"/>
                <w:szCs w:val="21"/>
              </w:rPr>
              <w:t>现状调查</w:t>
            </w:r>
          </w:p>
        </w:tc>
        <w:tc>
          <w:tcPr>
            <w:tcW w:w="3718" w:type="pct"/>
            <w:vMerge w:val="restart"/>
            <w:vAlign w:val="center"/>
          </w:tcPr>
          <w:p w:rsidR="00240BCE" w:rsidRDefault="00AC0334">
            <w:pPr>
              <w:pStyle w:val="ac"/>
              <w:spacing w:line="340" w:lineRule="exact"/>
              <w:ind w:firstLine="0"/>
              <w:jc w:val="left"/>
              <w:rPr>
                <w:color w:val="auto"/>
                <w:sz w:val="21"/>
                <w:szCs w:val="21"/>
              </w:rPr>
            </w:pPr>
            <w:r>
              <w:rPr>
                <w:color w:val="auto"/>
                <w:sz w:val="21"/>
                <w:szCs w:val="21"/>
              </w:rPr>
              <w:t>井田开采区以井田范围外扩</w:t>
            </w:r>
            <w:r>
              <w:rPr>
                <w:color w:val="auto"/>
                <w:sz w:val="21"/>
                <w:szCs w:val="21"/>
              </w:rPr>
              <w:t>1km</w:t>
            </w:r>
            <w:r>
              <w:rPr>
                <w:color w:val="auto"/>
                <w:sz w:val="21"/>
                <w:szCs w:val="21"/>
              </w:rPr>
              <w:t>为评价范围，面积约为</w:t>
            </w:r>
            <w:r>
              <w:rPr>
                <w:color w:val="auto"/>
                <w:sz w:val="21"/>
                <w:szCs w:val="21"/>
              </w:rPr>
              <w:t>13.11km</w:t>
            </w:r>
            <w:r>
              <w:rPr>
                <w:color w:val="auto"/>
                <w:sz w:val="21"/>
                <w:szCs w:val="21"/>
                <w:vertAlign w:val="superscript"/>
              </w:rPr>
              <w:t>2</w:t>
            </w:r>
            <w:r>
              <w:rPr>
                <w:color w:val="auto"/>
                <w:sz w:val="21"/>
                <w:szCs w:val="21"/>
              </w:rPr>
              <w:t>；</w:t>
            </w:r>
          </w:p>
          <w:p w:rsidR="00240BCE" w:rsidRDefault="00AC0334">
            <w:pPr>
              <w:pStyle w:val="ac"/>
              <w:spacing w:line="340" w:lineRule="exact"/>
              <w:ind w:firstLine="0"/>
              <w:jc w:val="left"/>
              <w:rPr>
                <w:sz w:val="21"/>
                <w:szCs w:val="21"/>
              </w:rPr>
            </w:pPr>
            <w:r>
              <w:rPr>
                <w:color w:val="auto"/>
                <w:sz w:val="21"/>
                <w:szCs w:val="21"/>
              </w:rPr>
              <w:t>工业场地以场地外扩</w:t>
            </w:r>
            <w:r>
              <w:rPr>
                <w:color w:val="auto"/>
                <w:sz w:val="21"/>
                <w:szCs w:val="21"/>
              </w:rPr>
              <w:t>0.2km</w:t>
            </w:r>
            <w:r>
              <w:rPr>
                <w:color w:val="auto"/>
                <w:sz w:val="21"/>
                <w:szCs w:val="21"/>
              </w:rPr>
              <w:t>为评价范围，面积为</w:t>
            </w:r>
            <w:r>
              <w:rPr>
                <w:color w:val="auto"/>
                <w:sz w:val="21"/>
                <w:szCs w:val="21"/>
              </w:rPr>
              <w:t>30.26hm</w:t>
            </w:r>
            <w:r>
              <w:rPr>
                <w:color w:val="auto"/>
                <w:sz w:val="21"/>
                <w:szCs w:val="21"/>
                <w:vertAlign w:val="superscript"/>
              </w:rPr>
              <w:t>2</w:t>
            </w:r>
            <w:r>
              <w:rPr>
                <w:color w:val="auto"/>
                <w:sz w:val="21"/>
                <w:szCs w:val="21"/>
              </w:rPr>
              <w:t>。</w:t>
            </w:r>
          </w:p>
        </w:tc>
      </w:tr>
      <w:tr w:rsidR="00240BCE">
        <w:trPr>
          <w:cantSplit/>
          <w:trHeight w:val="383"/>
        </w:trPr>
        <w:tc>
          <w:tcPr>
            <w:tcW w:w="630" w:type="pct"/>
            <w:vMerge/>
            <w:vAlign w:val="center"/>
          </w:tcPr>
          <w:p w:rsidR="00240BCE" w:rsidRDefault="00240BCE">
            <w:pPr>
              <w:pStyle w:val="ad"/>
              <w:spacing w:line="340" w:lineRule="exact"/>
              <w:ind w:left="0" w:right="0" w:firstLine="0"/>
              <w:jc w:val="center"/>
              <w:rPr>
                <w:sz w:val="21"/>
                <w:szCs w:val="21"/>
              </w:rPr>
            </w:pPr>
          </w:p>
        </w:tc>
        <w:tc>
          <w:tcPr>
            <w:tcW w:w="650" w:type="pct"/>
            <w:vAlign w:val="center"/>
          </w:tcPr>
          <w:p w:rsidR="00240BCE" w:rsidRDefault="00AC0334">
            <w:pPr>
              <w:pStyle w:val="ad"/>
              <w:spacing w:line="340" w:lineRule="exact"/>
              <w:ind w:left="0" w:right="0" w:firstLine="0"/>
              <w:jc w:val="center"/>
              <w:rPr>
                <w:sz w:val="21"/>
                <w:szCs w:val="21"/>
              </w:rPr>
            </w:pPr>
            <w:r>
              <w:rPr>
                <w:sz w:val="21"/>
                <w:szCs w:val="21"/>
              </w:rPr>
              <w:t>影响预测</w:t>
            </w:r>
          </w:p>
        </w:tc>
        <w:tc>
          <w:tcPr>
            <w:tcW w:w="3718" w:type="pct"/>
            <w:vMerge/>
            <w:vAlign w:val="center"/>
          </w:tcPr>
          <w:p w:rsidR="00240BCE" w:rsidRDefault="00240BCE">
            <w:pPr>
              <w:pStyle w:val="ac"/>
              <w:spacing w:line="340" w:lineRule="exact"/>
              <w:ind w:firstLine="420"/>
              <w:jc w:val="left"/>
              <w:rPr>
                <w:sz w:val="21"/>
                <w:szCs w:val="21"/>
              </w:rPr>
            </w:pPr>
          </w:p>
        </w:tc>
      </w:tr>
      <w:tr w:rsidR="00240BCE">
        <w:trPr>
          <w:cantSplit/>
          <w:trHeight w:val="383"/>
        </w:trPr>
        <w:tc>
          <w:tcPr>
            <w:tcW w:w="630" w:type="pct"/>
            <w:vMerge w:val="restart"/>
            <w:vAlign w:val="center"/>
          </w:tcPr>
          <w:p w:rsidR="00240BCE" w:rsidRDefault="00AC0334">
            <w:pPr>
              <w:pStyle w:val="ad"/>
              <w:spacing w:line="340" w:lineRule="exact"/>
              <w:ind w:left="0" w:right="0" w:firstLine="0"/>
              <w:jc w:val="center"/>
              <w:rPr>
                <w:sz w:val="21"/>
                <w:szCs w:val="21"/>
              </w:rPr>
            </w:pPr>
            <w:r>
              <w:rPr>
                <w:sz w:val="21"/>
                <w:szCs w:val="21"/>
              </w:rPr>
              <w:t>环境风险</w:t>
            </w:r>
          </w:p>
        </w:tc>
        <w:tc>
          <w:tcPr>
            <w:tcW w:w="650" w:type="pct"/>
            <w:vAlign w:val="center"/>
          </w:tcPr>
          <w:p w:rsidR="00240BCE" w:rsidRDefault="00AC0334">
            <w:pPr>
              <w:spacing w:line="340" w:lineRule="exact"/>
              <w:jc w:val="center"/>
              <w:rPr>
                <w:sz w:val="21"/>
                <w:szCs w:val="21"/>
              </w:rPr>
            </w:pPr>
            <w:r>
              <w:rPr>
                <w:sz w:val="21"/>
                <w:szCs w:val="21"/>
              </w:rPr>
              <w:t>现状调查</w:t>
            </w:r>
          </w:p>
        </w:tc>
        <w:tc>
          <w:tcPr>
            <w:tcW w:w="3718" w:type="pct"/>
            <w:vMerge w:val="restart"/>
            <w:vAlign w:val="center"/>
          </w:tcPr>
          <w:p w:rsidR="00240BCE" w:rsidRDefault="00AC0334">
            <w:pPr>
              <w:pStyle w:val="ac"/>
              <w:spacing w:line="340" w:lineRule="exact"/>
              <w:ind w:firstLine="0"/>
              <w:jc w:val="left"/>
              <w:rPr>
                <w:sz w:val="21"/>
                <w:szCs w:val="21"/>
              </w:rPr>
            </w:pPr>
            <w:r>
              <w:rPr>
                <w:sz w:val="21"/>
                <w:szCs w:val="21"/>
              </w:rPr>
              <w:t>简单分析</w:t>
            </w:r>
          </w:p>
        </w:tc>
      </w:tr>
      <w:tr w:rsidR="00240BCE">
        <w:trPr>
          <w:cantSplit/>
          <w:trHeight w:val="394"/>
        </w:trPr>
        <w:tc>
          <w:tcPr>
            <w:tcW w:w="630" w:type="pct"/>
            <w:vMerge/>
            <w:vAlign w:val="center"/>
          </w:tcPr>
          <w:p w:rsidR="00240BCE" w:rsidRDefault="00240BCE">
            <w:pPr>
              <w:pStyle w:val="ad"/>
              <w:spacing w:line="340" w:lineRule="exact"/>
              <w:ind w:left="0" w:right="0" w:firstLine="0"/>
              <w:jc w:val="center"/>
              <w:rPr>
                <w:sz w:val="21"/>
                <w:szCs w:val="21"/>
              </w:rPr>
            </w:pPr>
          </w:p>
        </w:tc>
        <w:tc>
          <w:tcPr>
            <w:tcW w:w="650" w:type="pct"/>
            <w:vAlign w:val="center"/>
          </w:tcPr>
          <w:p w:rsidR="00240BCE" w:rsidRDefault="00AC0334">
            <w:pPr>
              <w:pStyle w:val="ad"/>
              <w:spacing w:line="340" w:lineRule="exact"/>
              <w:ind w:left="0" w:right="0" w:firstLine="0"/>
              <w:jc w:val="center"/>
              <w:rPr>
                <w:sz w:val="21"/>
                <w:szCs w:val="21"/>
              </w:rPr>
            </w:pPr>
            <w:r>
              <w:rPr>
                <w:sz w:val="21"/>
                <w:szCs w:val="21"/>
              </w:rPr>
              <w:t>影响预测</w:t>
            </w:r>
          </w:p>
        </w:tc>
        <w:tc>
          <w:tcPr>
            <w:tcW w:w="3718" w:type="pct"/>
            <w:vMerge/>
            <w:vAlign w:val="center"/>
          </w:tcPr>
          <w:p w:rsidR="00240BCE" w:rsidRDefault="00240BCE">
            <w:pPr>
              <w:pStyle w:val="ac"/>
              <w:spacing w:line="340" w:lineRule="exact"/>
              <w:ind w:firstLine="420"/>
              <w:jc w:val="center"/>
              <w:rPr>
                <w:sz w:val="21"/>
                <w:szCs w:val="21"/>
              </w:rPr>
            </w:pPr>
          </w:p>
        </w:tc>
      </w:tr>
    </w:tbl>
    <w:p w:rsidR="00240BCE" w:rsidRDefault="00AC0334" w:rsidP="009C5F33">
      <w:pPr>
        <w:pStyle w:val="22XWH2H2111112SeSeChar22h21"/>
        <w:adjustRightInd w:val="0"/>
        <w:snapToGrid w:val="0"/>
        <w:spacing w:beforeLines="100" w:afterLines="50" w:line="240" w:lineRule="auto"/>
        <w:jc w:val="left"/>
        <w:rPr>
          <w:rFonts w:eastAsia="宋体" w:cs="Times New Roman"/>
          <w:b/>
          <w:bCs/>
          <w:sz w:val="32"/>
          <w:szCs w:val="32"/>
        </w:rPr>
      </w:pPr>
      <w:bookmarkStart w:id="176" w:name="_Toc472604801"/>
      <w:bookmarkStart w:id="177" w:name="_Toc512977482"/>
      <w:bookmarkStart w:id="178" w:name="_Toc79668613"/>
      <w:bookmarkStart w:id="179" w:name="_Toc10232_WPSOffice_Level2"/>
      <w:bookmarkStart w:id="180" w:name="_Toc81934367"/>
      <w:bookmarkStart w:id="181" w:name="_Toc166581325"/>
      <w:bookmarkStart w:id="182" w:name="_Toc248827568"/>
      <w:bookmarkStart w:id="183" w:name="_Toc332449745"/>
      <w:bookmarkStart w:id="184" w:name="_Toc377329592"/>
      <w:bookmarkStart w:id="185" w:name="_Toc398713679"/>
      <w:bookmarkStart w:id="186" w:name="_Toc398713962"/>
      <w:bookmarkStart w:id="187" w:name="_Toc398715477"/>
      <w:bookmarkStart w:id="188" w:name="_Toc365361745"/>
      <w:bookmarkStart w:id="189" w:name="_Toc400788654"/>
      <w:bookmarkStart w:id="190" w:name="_Toc402770878"/>
      <w:bookmarkStart w:id="191" w:name="_Toc405801791"/>
      <w:bookmarkEnd w:id="124"/>
      <w:bookmarkEnd w:id="125"/>
      <w:bookmarkEnd w:id="126"/>
      <w:bookmarkEnd w:id="127"/>
      <w:bookmarkEnd w:id="128"/>
      <w:bookmarkEnd w:id="129"/>
      <w:bookmarkEnd w:id="130"/>
      <w:bookmarkEnd w:id="131"/>
      <w:bookmarkEnd w:id="132"/>
      <w:bookmarkEnd w:id="133"/>
      <w:bookmarkEnd w:id="134"/>
      <w:r>
        <w:rPr>
          <w:rFonts w:eastAsia="宋体" w:cs="Times New Roman"/>
          <w:b/>
          <w:bCs/>
          <w:sz w:val="32"/>
          <w:szCs w:val="32"/>
        </w:rPr>
        <w:t xml:space="preserve">2.8 </w:t>
      </w:r>
      <w:r>
        <w:rPr>
          <w:rFonts w:eastAsia="宋体" w:cs="Times New Roman"/>
          <w:b/>
          <w:bCs/>
          <w:sz w:val="32"/>
          <w:szCs w:val="32"/>
        </w:rPr>
        <w:t>评价工作内容及重点</w:t>
      </w:r>
      <w:bookmarkEnd w:id="176"/>
      <w:bookmarkEnd w:id="177"/>
      <w:bookmarkEnd w:id="178"/>
      <w:bookmarkEnd w:id="179"/>
      <w:bookmarkEnd w:id="180"/>
    </w:p>
    <w:p w:rsidR="00240BCE" w:rsidRDefault="00AC0334" w:rsidP="009C5F33">
      <w:pPr>
        <w:pStyle w:val="3152"/>
        <w:adjustRightInd w:val="0"/>
        <w:snapToGrid w:val="0"/>
        <w:spacing w:beforeLines="70" w:afterLines="30" w:line="240" w:lineRule="auto"/>
        <w:jc w:val="left"/>
        <w:rPr>
          <w:rFonts w:eastAsia="楷体" w:cs="Times New Roman"/>
          <w:b/>
          <w:bCs/>
          <w:szCs w:val="28"/>
        </w:rPr>
      </w:pPr>
      <w:bookmarkStart w:id="192" w:name="_Toc3528_WPSOffice_Level3"/>
      <w:r>
        <w:rPr>
          <w:rFonts w:eastAsia="楷体" w:cs="Times New Roman"/>
          <w:b/>
          <w:bCs/>
          <w:szCs w:val="28"/>
        </w:rPr>
        <w:t>2.8.1</w:t>
      </w:r>
      <w:r>
        <w:rPr>
          <w:rFonts w:eastAsia="楷体" w:cs="Times New Roman"/>
          <w:b/>
          <w:bCs/>
          <w:szCs w:val="28"/>
        </w:rPr>
        <w:t>评价内容</w:t>
      </w:r>
      <w:bookmarkEnd w:id="192"/>
    </w:p>
    <w:p w:rsidR="00240BCE" w:rsidRDefault="00AC0334">
      <w:pPr>
        <w:pStyle w:val="affffffc"/>
        <w:ind w:firstLine="480"/>
        <w:rPr>
          <w:lang w:val="de-DE"/>
        </w:rPr>
      </w:pPr>
      <w:r>
        <w:rPr>
          <w:lang w:val="de-DE"/>
        </w:rPr>
        <w:t>本项目环境影响评价内容包括生态环境影响评价、水环境影响评价、环境空气影响评价、固体废物影响分析、噪声影响分析、污染防治及生态保护恢复措施分析、环境影响经济损益分析、环境管理与监测计划等。</w:t>
      </w:r>
    </w:p>
    <w:p w:rsidR="00240BCE" w:rsidRDefault="00AC0334" w:rsidP="009C5F33">
      <w:pPr>
        <w:pStyle w:val="3152"/>
        <w:adjustRightInd w:val="0"/>
        <w:snapToGrid w:val="0"/>
        <w:spacing w:beforeLines="70" w:afterLines="30" w:line="240" w:lineRule="auto"/>
        <w:jc w:val="left"/>
        <w:rPr>
          <w:rFonts w:eastAsia="楷体" w:cs="Times New Roman"/>
          <w:b/>
          <w:bCs/>
          <w:szCs w:val="28"/>
        </w:rPr>
      </w:pPr>
      <w:bookmarkStart w:id="193" w:name="_Toc12650_WPSOffice_Level3"/>
      <w:r>
        <w:rPr>
          <w:rFonts w:eastAsia="楷体" w:cs="Times New Roman"/>
          <w:b/>
          <w:bCs/>
          <w:szCs w:val="28"/>
        </w:rPr>
        <w:t>2.8.2</w:t>
      </w:r>
      <w:r>
        <w:rPr>
          <w:rFonts w:eastAsia="楷体" w:cs="Times New Roman"/>
          <w:b/>
          <w:bCs/>
          <w:szCs w:val="28"/>
        </w:rPr>
        <w:t>评价重点</w:t>
      </w:r>
      <w:bookmarkEnd w:id="193"/>
    </w:p>
    <w:p w:rsidR="00240BCE" w:rsidRDefault="00AC0334">
      <w:pPr>
        <w:spacing w:line="520" w:lineRule="exact"/>
        <w:ind w:firstLineChars="200" w:firstLine="488"/>
        <w:rPr>
          <w:spacing w:val="2"/>
          <w:sz w:val="24"/>
        </w:rPr>
      </w:pPr>
      <w:r>
        <w:rPr>
          <w:spacing w:val="2"/>
          <w:sz w:val="24"/>
        </w:rPr>
        <w:t>根据环境影响识别结果，确定本次评价重点为根据项目特点，确定本次评价重点为生态环境影响评价、地下水环境影响评价、地表水环境影响评价、噪声影</w:t>
      </w:r>
      <w:r>
        <w:rPr>
          <w:spacing w:val="2"/>
          <w:sz w:val="24"/>
        </w:rPr>
        <w:lastRenderedPageBreak/>
        <w:t>响评价，对其他环境要素仅做一般性分析和评价。</w:t>
      </w:r>
    </w:p>
    <w:p w:rsidR="00240BCE" w:rsidRDefault="00AC0334" w:rsidP="009C5F33">
      <w:pPr>
        <w:pStyle w:val="3152"/>
        <w:adjustRightInd w:val="0"/>
        <w:snapToGrid w:val="0"/>
        <w:spacing w:beforeLines="70" w:afterLines="30" w:line="240" w:lineRule="auto"/>
        <w:jc w:val="left"/>
        <w:rPr>
          <w:rFonts w:eastAsia="楷体" w:cs="Times New Roman"/>
          <w:b/>
          <w:bCs/>
          <w:szCs w:val="28"/>
        </w:rPr>
      </w:pPr>
      <w:bookmarkStart w:id="194" w:name="_Toc15938_WPSOffice_Level3"/>
      <w:r>
        <w:rPr>
          <w:rFonts w:eastAsia="楷体" w:cs="Times New Roman"/>
          <w:b/>
          <w:bCs/>
          <w:szCs w:val="28"/>
        </w:rPr>
        <w:t>2.8.3</w:t>
      </w:r>
      <w:r>
        <w:rPr>
          <w:rFonts w:eastAsia="楷体" w:cs="Times New Roman"/>
          <w:b/>
          <w:bCs/>
          <w:szCs w:val="28"/>
        </w:rPr>
        <w:t>评价时段</w:t>
      </w:r>
      <w:bookmarkEnd w:id="194"/>
    </w:p>
    <w:p w:rsidR="00240BCE" w:rsidRDefault="00AC0334">
      <w:pPr>
        <w:pStyle w:val="0851510"/>
        <w:rPr>
          <w:rFonts w:cs="Times New Roman"/>
        </w:rPr>
      </w:pPr>
      <w:r>
        <w:rPr>
          <w:rFonts w:cs="Times New Roman"/>
        </w:rPr>
        <w:t>由于本次技改工程主要为</w:t>
      </w:r>
      <w:r w:rsidR="00654B9B">
        <w:rPr>
          <w:rFonts w:cs="Times New Roman" w:hint="eastAsia"/>
        </w:rPr>
        <w:t>井下工程</w:t>
      </w:r>
      <w:r>
        <w:rPr>
          <w:rFonts w:cs="Times New Roman"/>
        </w:rPr>
        <w:t>，其它工程及地面上生产生活设施等均利用原有设施，因此本次评价时段为运行期及闭矿期。</w:t>
      </w:r>
    </w:p>
    <w:p w:rsidR="00240BCE" w:rsidRDefault="00AC0334" w:rsidP="009C5F33">
      <w:pPr>
        <w:pStyle w:val="22CharTimesNewRoman12"/>
        <w:adjustRightInd w:val="0"/>
        <w:snapToGrid w:val="0"/>
        <w:spacing w:beforeLines="100" w:line="240" w:lineRule="auto"/>
        <w:rPr>
          <w:rFonts w:cs="Times New Roman"/>
          <w:sz w:val="32"/>
          <w:szCs w:val="32"/>
        </w:rPr>
      </w:pPr>
      <w:bookmarkStart w:id="195" w:name="_Toc512977483"/>
      <w:bookmarkStart w:id="196" w:name="_Toc79668614"/>
      <w:bookmarkStart w:id="197" w:name="_Toc2996_WPSOffice_Level2"/>
      <w:bookmarkStart w:id="198" w:name="_Toc81934368"/>
      <w:r>
        <w:rPr>
          <w:rFonts w:cs="Times New Roman"/>
          <w:sz w:val="32"/>
          <w:szCs w:val="32"/>
        </w:rPr>
        <w:t xml:space="preserve">2.9 </w:t>
      </w:r>
      <w:r>
        <w:rPr>
          <w:rFonts w:cs="Times New Roman"/>
          <w:sz w:val="32"/>
          <w:szCs w:val="32"/>
        </w:rPr>
        <w:t>环境保护目标</w:t>
      </w:r>
      <w:bookmarkEnd w:id="181"/>
      <w:bookmarkEnd w:id="182"/>
      <w:bookmarkEnd w:id="183"/>
      <w:bookmarkEnd w:id="184"/>
      <w:bookmarkEnd w:id="185"/>
      <w:bookmarkEnd w:id="186"/>
      <w:bookmarkEnd w:id="187"/>
      <w:bookmarkEnd w:id="188"/>
      <w:bookmarkEnd w:id="189"/>
      <w:bookmarkEnd w:id="190"/>
      <w:bookmarkEnd w:id="191"/>
      <w:bookmarkEnd w:id="195"/>
      <w:bookmarkEnd w:id="196"/>
      <w:bookmarkEnd w:id="197"/>
      <w:bookmarkEnd w:id="198"/>
    </w:p>
    <w:p w:rsidR="00240BCE" w:rsidRDefault="00AC0334">
      <w:pPr>
        <w:pStyle w:val="011522"/>
        <w:ind w:firstLine="488"/>
        <w:rPr>
          <w:rFonts w:cs="Times New Roman"/>
          <w:color w:val="auto"/>
        </w:rPr>
      </w:pPr>
      <w:bookmarkStart w:id="199" w:name="_Ref173468156"/>
      <w:bookmarkStart w:id="200" w:name="_Toc166581326"/>
      <w:bookmarkStart w:id="201" w:name="_Toc248827569"/>
      <w:bookmarkStart w:id="202" w:name="_Toc332449746"/>
      <w:bookmarkStart w:id="203" w:name="_Toc341165374"/>
      <w:bookmarkStart w:id="204" w:name="_Toc365361746"/>
      <w:bookmarkStart w:id="205" w:name="_Toc377329593"/>
      <w:bookmarkStart w:id="206" w:name="_Toc145138968"/>
      <w:bookmarkStart w:id="207" w:name="_Toc145146462"/>
      <w:bookmarkStart w:id="208" w:name="_Toc145208625"/>
      <w:bookmarkStart w:id="209" w:name="_Toc227131617"/>
      <w:bookmarkStart w:id="210" w:name="_Toc398713680"/>
      <w:bookmarkStart w:id="211" w:name="_Toc398713963"/>
      <w:bookmarkStart w:id="212" w:name="_Toc398715478"/>
      <w:bookmarkStart w:id="213" w:name="_Toc400788655"/>
      <w:bookmarkStart w:id="214" w:name="_Toc402770879"/>
      <w:bookmarkStart w:id="215" w:name="_Toc405801792"/>
      <w:r>
        <w:rPr>
          <w:rFonts w:cs="Times New Roman"/>
          <w:color w:val="auto"/>
        </w:rPr>
        <w:t>项目地处浅山丘陵区，评价范围内无自然保护区、风景旅游点和文物古迹等珍贵景观。在对工程特点、周围环境情况分析及现状调查后，结合当地环保要求及环境功能区划，评价确定的环境保护目标见表</w:t>
      </w:r>
      <w:r>
        <w:rPr>
          <w:rFonts w:cs="Times New Roman"/>
          <w:color w:val="auto"/>
        </w:rPr>
        <w:t>2.9-1</w:t>
      </w:r>
      <w:r>
        <w:rPr>
          <w:rFonts w:cs="Times New Roman"/>
          <w:color w:val="auto"/>
        </w:rPr>
        <w:t>及附图</w:t>
      </w:r>
      <w:r>
        <w:rPr>
          <w:rFonts w:cs="Times New Roman" w:hint="eastAsia"/>
          <w:color w:val="auto"/>
        </w:rPr>
        <w:t>2</w:t>
      </w:r>
      <w:r>
        <w:rPr>
          <w:rFonts w:cs="Times New Roman"/>
          <w:color w:val="auto"/>
        </w:rPr>
        <w:t>。</w:t>
      </w:r>
    </w:p>
    <w:p w:rsidR="00240BCE" w:rsidRDefault="00AC0334">
      <w:pPr>
        <w:pStyle w:val="011522"/>
        <w:ind w:firstLineChars="0" w:firstLine="0"/>
        <w:jc w:val="center"/>
        <w:rPr>
          <w:rFonts w:cs="Times New Roman"/>
          <w:iCs/>
        </w:rPr>
      </w:pPr>
      <w:r>
        <w:rPr>
          <w:rFonts w:cs="Times New Roman"/>
          <w:iCs/>
        </w:rPr>
        <w:t>表</w:t>
      </w:r>
      <w:r>
        <w:rPr>
          <w:rFonts w:cs="Times New Roman"/>
          <w:iCs/>
        </w:rPr>
        <w:t xml:space="preserve">2.9-1   </w:t>
      </w:r>
      <w:r>
        <w:rPr>
          <w:rFonts w:cs="Times New Roman"/>
          <w:iCs/>
        </w:rPr>
        <w:t>环境保护目标一览表</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88"/>
        <w:gridCol w:w="534"/>
        <w:gridCol w:w="686"/>
        <w:gridCol w:w="2701"/>
        <w:gridCol w:w="2430"/>
        <w:gridCol w:w="1968"/>
      </w:tblGrid>
      <w:tr w:rsidR="00240BCE" w:rsidTr="008802CA">
        <w:trPr>
          <w:jc w:val="center"/>
        </w:trPr>
        <w:tc>
          <w:tcPr>
            <w:tcW w:w="330" w:type="pct"/>
            <w:vMerge w:val="restart"/>
            <w:vAlign w:val="center"/>
          </w:tcPr>
          <w:bookmarkEnd w:id="199"/>
          <w:p w:rsidR="00240BCE" w:rsidRDefault="00AC0334" w:rsidP="001D482D">
            <w:pPr>
              <w:pStyle w:val="24CharChar4Char4CharC"/>
              <w:spacing w:line="330" w:lineRule="exact"/>
              <w:rPr>
                <w:rFonts w:cs="Times New Roman"/>
                <w:color w:val="auto"/>
                <w:szCs w:val="21"/>
              </w:rPr>
            </w:pPr>
            <w:r>
              <w:rPr>
                <w:rFonts w:cs="Times New Roman"/>
                <w:color w:val="auto"/>
                <w:szCs w:val="21"/>
              </w:rPr>
              <w:t>环境要素</w:t>
            </w:r>
          </w:p>
        </w:tc>
        <w:tc>
          <w:tcPr>
            <w:tcW w:w="2200" w:type="pct"/>
            <w:gridSpan w:val="3"/>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环境保护目标</w:t>
            </w:r>
          </w:p>
        </w:tc>
        <w:tc>
          <w:tcPr>
            <w:tcW w:w="1363"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位置关系</w:t>
            </w:r>
          </w:p>
        </w:tc>
        <w:tc>
          <w:tcPr>
            <w:tcW w:w="1105"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保护要求</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名称</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特征</w:t>
            </w:r>
          </w:p>
        </w:tc>
        <w:tc>
          <w:tcPr>
            <w:tcW w:w="1363" w:type="pct"/>
            <w:vMerge/>
            <w:vAlign w:val="center"/>
          </w:tcPr>
          <w:p w:rsidR="00240BCE" w:rsidRDefault="00240BCE" w:rsidP="001D482D">
            <w:pPr>
              <w:pStyle w:val="24CharChar4Char4CharC"/>
              <w:spacing w:line="330" w:lineRule="exact"/>
              <w:rPr>
                <w:rFonts w:cs="Times New Roman"/>
                <w:color w:val="auto"/>
                <w:szCs w:val="21"/>
              </w:rPr>
            </w:pPr>
          </w:p>
        </w:tc>
        <w:tc>
          <w:tcPr>
            <w:tcW w:w="1105" w:type="pct"/>
            <w:vMerge/>
            <w:vAlign w:val="center"/>
          </w:tcPr>
          <w:p w:rsidR="00240BCE" w:rsidRDefault="00240BCE" w:rsidP="001D482D">
            <w:pPr>
              <w:pStyle w:val="24CharChar4Char4CharC"/>
              <w:spacing w:line="330" w:lineRule="exact"/>
              <w:rPr>
                <w:rFonts w:cs="Times New Roman"/>
                <w:color w:val="auto"/>
                <w:szCs w:val="21"/>
              </w:rPr>
            </w:pPr>
          </w:p>
        </w:tc>
      </w:tr>
      <w:tr w:rsidR="00240BCE" w:rsidTr="008802CA">
        <w:trPr>
          <w:jc w:val="center"/>
        </w:trPr>
        <w:tc>
          <w:tcPr>
            <w:tcW w:w="330"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环境空气</w:t>
            </w:r>
          </w:p>
        </w:tc>
        <w:tc>
          <w:tcPr>
            <w:tcW w:w="685" w:type="pct"/>
            <w:gridSpan w:val="2"/>
            <w:vAlign w:val="center"/>
          </w:tcPr>
          <w:p w:rsidR="00240BCE" w:rsidRDefault="00AC0334" w:rsidP="001D482D">
            <w:pPr>
              <w:spacing w:line="330" w:lineRule="exact"/>
              <w:jc w:val="center"/>
              <w:rPr>
                <w:sz w:val="21"/>
                <w:szCs w:val="21"/>
              </w:rPr>
            </w:pPr>
            <w:r>
              <w:rPr>
                <w:sz w:val="21"/>
                <w:szCs w:val="21"/>
              </w:rPr>
              <w:t>赵沟村柿树行组</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32</w:t>
            </w:r>
            <w:r>
              <w:rPr>
                <w:rFonts w:cs="Times New Roman"/>
                <w:color w:val="auto"/>
                <w:szCs w:val="21"/>
              </w:rPr>
              <w:t>户</w:t>
            </w:r>
            <w:r>
              <w:rPr>
                <w:rFonts w:cs="Times New Roman"/>
                <w:color w:val="auto"/>
                <w:szCs w:val="21"/>
              </w:rPr>
              <w:t>122</w:t>
            </w:r>
            <w:r>
              <w:rPr>
                <w:rFonts w:cs="Times New Roman"/>
                <w:color w:val="auto"/>
                <w:szCs w:val="21"/>
              </w:rPr>
              <w:t>人，位于井田范围外或采空区及工业场地保护煤柱内，不受开采影响</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工业场地西北</w:t>
            </w:r>
            <w:r>
              <w:rPr>
                <w:rFonts w:hAnsi="Times New Roman" w:cs="Times New Roman"/>
                <w:color w:val="auto"/>
                <w:szCs w:val="21"/>
              </w:rPr>
              <w:t>10m</w:t>
            </w:r>
            <w:r>
              <w:rPr>
                <w:rFonts w:hAnsi="Times New Roman" w:cs="Times New Roman"/>
                <w:color w:val="auto"/>
                <w:szCs w:val="21"/>
              </w:rPr>
              <w:t>～</w:t>
            </w:r>
            <w:r>
              <w:rPr>
                <w:rFonts w:hAnsi="Times New Roman" w:cs="Times New Roman"/>
                <w:color w:val="auto"/>
                <w:szCs w:val="21"/>
              </w:rPr>
              <w:t>565m</w:t>
            </w:r>
          </w:p>
        </w:tc>
        <w:tc>
          <w:tcPr>
            <w:tcW w:w="1105"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《环境空气质量标准》</w:t>
            </w:r>
            <w:r>
              <w:rPr>
                <w:rFonts w:cs="Times New Roman"/>
                <w:color w:val="auto"/>
                <w:szCs w:val="21"/>
              </w:rPr>
              <w:t>GB3095-2012</w:t>
            </w:r>
            <w:r>
              <w:rPr>
                <w:rFonts w:cs="Times New Roman"/>
                <w:color w:val="auto"/>
                <w:szCs w:val="21"/>
              </w:rPr>
              <w:t>二级</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赵沟村</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256</w:t>
            </w:r>
            <w:r>
              <w:rPr>
                <w:rFonts w:cs="Times New Roman"/>
                <w:color w:val="auto"/>
                <w:szCs w:val="21"/>
              </w:rPr>
              <w:t>户</w:t>
            </w:r>
            <w:r>
              <w:rPr>
                <w:rFonts w:cs="Times New Roman"/>
                <w:color w:val="auto"/>
                <w:szCs w:val="21"/>
              </w:rPr>
              <w:t>989</w:t>
            </w:r>
            <w:r>
              <w:rPr>
                <w:rFonts w:cs="Times New Roman"/>
                <w:color w:val="auto"/>
                <w:szCs w:val="21"/>
              </w:rPr>
              <w:t>人，位于首采区</w:t>
            </w:r>
            <w:r>
              <w:rPr>
                <w:rFonts w:cs="Times New Roman"/>
                <w:color w:val="auto"/>
                <w:szCs w:val="21"/>
              </w:rPr>
              <w:t>21010</w:t>
            </w:r>
            <w:r>
              <w:rPr>
                <w:rFonts w:cs="Times New Roman"/>
                <w:color w:val="auto"/>
                <w:szCs w:val="21"/>
              </w:rPr>
              <w:t>、</w:t>
            </w:r>
            <w:r>
              <w:rPr>
                <w:rFonts w:cs="Times New Roman"/>
                <w:color w:val="auto"/>
                <w:szCs w:val="21"/>
              </w:rPr>
              <w:t>21020</w:t>
            </w:r>
            <w:r>
              <w:rPr>
                <w:rFonts w:cs="Times New Roman"/>
                <w:color w:val="auto"/>
                <w:szCs w:val="21"/>
              </w:rPr>
              <w:t>工作面，设计开采前安全搬迁</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工业场地南、东南</w:t>
            </w:r>
            <w:r>
              <w:rPr>
                <w:rFonts w:hAnsi="Times New Roman" w:cs="Times New Roman"/>
                <w:color w:val="auto"/>
                <w:szCs w:val="21"/>
              </w:rPr>
              <w:t>270m</w:t>
            </w:r>
            <w:r>
              <w:rPr>
                <w:rFonts w:hAnsi="Times New Roman" w:cs="Times New Roman"/>
                <w:color w:val="auto"/>
                <w:szCs w:val="21"/>
              </w:rPr>
              <w:t>～</w:t>
            </w:r>
            <w:r>
              <w:rPr>
                <w:rFonts w:hAnsi="Times New Roman" w:cs="Times New Roman"/>
                <w:color w:val="auto"/>
                <w:szCs w:val="21"/>
              </w:rPr>
              <w:t>860m</w:t>
            </w:r>
          </w:p>
        </w:tc>
        <w:tc>
          <w:tcPr>
            <w:tcW w:w="1105" w:type="pct"/>
            <w:vMerge/>
            <w:vAlign w:val="center"/>
          </w:tcPr>
          <w:p w:rsidR="00240BCE" w:rsidRDefault="00240BCE" w:rsidP="001D482D">
            <w:pPr>
              <w:pStyle w:val="24CharChar4Char4CharC"/>
              <w:spacing w:line="330" w:lineRule="exact"/>
              <w:rPr>
                <w:rFonts w:cs="Times New Roman"/>
                <w:color w:val="auto"/>
                <w:szCs w:val="21"/>
              </w:rPr>
            </w:pP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楼院村</w:t>
            </w:r>
          </w:p>
        </w:tc>
        <w:tc>
          <w:tcPr>
            <w:tcW w:w="1514" w:type="pct"/>
            <w:vAlign w:val="center"/>
          </w:tcPr>
          <w:p w:rsidR="00240BCE" w:rsidRPr="00654B9B" w:rsidRDefault="00AC0334" w:rsidP="001D482D">
            <w:pPr>
              <w:pStyle w:val="24CharChar4Char4CharC"/>
              <w:spacing w:line="330" w:lineRule="exact"/>
              <w:rPr>
                <w:rFonts w:cs="Times New Roman"/>
                <w:color w:val="auto"/>
                <w:w w:val="90"/>
                <w:szCs w:val="21"/>
              </w:rPr>
            </w:pPr>
            <w:r w:rsidRPr="00654B9B">
              <w:rPr>
                <w:rFonts w:cs="Times New Roman"/>
                <w:color w:val="auto"/>
                <w:w w:val="90"/>
                <w:szCs w:val="21"/>
              </w:rPr>
              <w:t>240</w:t>
            </w:r>
            <w:r w:rsidRPr="00654B9B">
              <w:rPr>
                <w:rFonts w:cs="Times New Roman"/>
                <w:color w:val="auto"/>
                <w:w w:val="90"/>
                <w:szCs w:val="21"/>
              </w:rPr>
              <w:t>户</w:t>
            </w:r>
            <w:r w:rsidRPr="00654B9B">
              <w:rPr>
                <w:rFonts w:cs="Times New Roman"/>
                <w:color w:val="auto"/>
                <w:w w:val="90"/>
                <w:szCs w:val="21"/>
              </w:rPr>
              <w:t>959</w:t>
            </w:r>
            <w:r w:rsidRPr="00654B9B">
              <w:rPr>
                <w:rFonts w:cs="Times New Roman"/>
                <w:color w:val="auto"/>
                <w:w w:val="90"/>
                <w:szCs w:val="21"/>
              </w:rPr>
              <w:t>人，位于首采区</w:t>
            </w:r>
            <w:r w:rsidRPr="00654B9B">
              <w:rPr>
                <w:rFonts w:cs="Times New Roman"/>
                <w:color w:val="auto"/>
                <w:w w:val="90"/>
                <w:szCs w:val="21"/>
              </w:rPr>
              <w:t>21040</w:t>
            </w:r>
            <w:r w:rsidRPr="00654B9B">
              <w:rPr>
                <w:rFonts w:cs="Times New Roman"/>
                <w:color w:val="auto"/>
                <w:w w:val="90"/>
                <w:szCs w:val="21"/>
              </w:rPr>
              <w:t>～</w:t>
            </w:r>
            <w:r w:rsidRPr="00654B9B">
              <w:rPr>
                <w:rFonts w:cs="Times New Roman"/>
                <w:color w:val="auto"/>
                <w:w w:val="90"/>
                <w:szCs w:val="21"/>
              </w:rPr>
              <w:t>21060</w:t>
            </w:r>
            <w:r w:rsidRPr="00654B9B">
              <w:rPr>
                <w:rFonts w:cs="Times New Roman"/>
                <w:color w:val="auto"/>
                <w:w w:val="90"/>
                <w:szCs w:val="21"/>
              </w:rPr>
              <w:t>工作面，约在开采</w:t>
            </w:r>
            <w:r w:rsidRPr="00654B9B">
              <w:rPr>
                <w:rFonts w:cs="Times New Roman"/>
                <w:color w:val="auto"/>
                <w:w w:val="90"/>
                <w:szCs w:val="21"/>
              </w:rPr>
              <w:t>3.1a</w:t>
            </w:r>
            <w:r w:rsidRPr="00654B9B">
              <w:rPr>
                <w:rFonts w:cs="Times New Roman"/>
                <w:color w:val="auto"/>
                <w:w w:val="90"/>
                <w:szCs w:val="21"/>
              </w:rPr>
              <w:t>时受到开采沉陷影响，设计</w:t>
            </w:r>
            <w:r w:rsidRPr="00654B9B">
              <w:rPr>
                <w:rFonts w:cs="Times New Roman"/>
                <w:color w:val="auto"/>
                <w:w w:val="90"/>
                <w:szCs w:val="21"/>
              </w:rPr>
              <w:t>21040</w:t>
            </w:r>
            <w:r w:rsidRPr="00654B9B">
              <w:rPr>
                <w:rFonts w:cs="Times New Roman"/>
                <w:color w:val="auto"/>
                <w:w w:val="90"/>
                <w:szCs w:val="21"/>
              </w:rPr>
              <w:t>工作面开采前安全搬迁</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工业场地南</w:t>
            </w:r>
            <w:r>
              <w:rPr>
                <w:rFonts w:hAnsi="Times New Roman" w:cs="Times New Roman"/>
                <w:color w:val="auto"/>
                <w:szCs w:val="21"/>
              </w:rPr>
              <w:t>400m</w:t>
            </w:r>
            <w:r>
              <w:rPr>
                <w:rFonts w:hAnsi="Times New Roman" w:cs="Times New Roman"/>
                <w:color w:val="auto"/>
                <w:szCs w:val="21"/>
              </w:rPr>
              <w:t>～</w:t>
            </w:r>
            <w:r>
              <w:rPr>
                <w:rFonts w:hAnsi="Times New Roman" w:cs="Times New Roman"/>
                <w:color w:val="auto"/>
                <w:szCs w:val="21"/>
              </w:rPr>
              <w:t>1085m</w:t>
            </w:r>
          </w:p>
        </w:tc>
        <w:tc>
          <w:tcPr>
            <w:tcW w:w="1105" w:type="pct"/>
            <w:vMerge/>
            <w:vAlign w:val="center"/>
          </w:tcPr>
          <w:p w:rsidR="00240BCE" w:rsidRDefault="00240BCE" w:rsidP="001D482D">
            <w:pPr>
              <w:pStyle w:val="24CharChar4Char4CharC"/>
              <w:spacing w:line="330" w:lineRule="exact"/>
              <w:rPr>
                <w:rFonts w:cs="Times New Roman"/>
                <w:color w:val="auto"/>
                <w:szCs w:val="21"/>
              </w:rPr>
            </w:pP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连庄村</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250</w:t>
            </w:r>
            <w:r>
              <w:rPr>
                <w:rFonts w:cs="Times New Roman"/>
                <w:color w:val="auto"/>
                <w:szCs w:val="21"/>
              </w:rPr>
              <w:t>户</w:t>
            </w:r>
            <w:r>
              <w:rPr>
                <w:rFonts w:cs="Times New Roman"/>
                <w:color w:val="auto"/>
                <w:szCs w:val="21"/>
              </w:rPr>
              <w:t>950</w:t>
            </w:r>
            <w:r>
              <w:rPr>
                <w:rFonts w:cs="Times New Roman"/>
                <w:color w:val="auto"/>
                <w:szCs w:val="21"/>
              </w:rPr>
              <w:t>人，位于接替采区，约在开采</w:t>
            </w:r>
            <w:r>
              <w:rPr>
                <w:rFonts w:cs="Times New Roman"/>
                <w:color w:val="auto"/>
                <w:szCs w:val="21"/>
              </w:rPr>
              <w:t>6.5a</w:t>
            </w:r>
            <w:r>
              <w:rPr>
                <w:rFonts w:cs="Times New Roman"/>
                <w:color w:val="auto"/>
                <w:szCs w:val="21"/>
              </w:rPr>
              <w:t>时受到开采影响，设计安全搬迁</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工业场地东</w:t>
            </w:r>
            <w:r>
              <w:rPr>
                <w:rFonts w:hAnsi="Times New Roman" w:cs="Times New Roman"/>
                <w:color w:val="auto"/>
                <w:szCs w:val="21"/>
              </w:rPr>
              <w:t>275m</w:t>
            </w:r>
            <w:r>
              <w:rPr>
                <w:rFonts w:hAnsi="Times New Roman" w:cs="Times New Roman"/>
                <w:color w:val="auto"/>
                <w:szCs w:val="21"/>
              </w:rPr>
              <w:t>～</w:t>
            </w:r>
            <w:r>
              <w:rPr>
                <w:rFonts w:hAnsi="Times New Roman" w:cs="Times New Roman"/>
                <w:color w:val="auto"/>
                <w:szCs w:val="21"/>
              </w:rPr>
              <w:t>1185m</w:t>
            </w:r>
          </w:p>
        </w:tc>
        <w:tc>
          <w:tcPr>
            <w:tcW w:w="1105" w:type="pct"/>
            <w:vMerge/>
            <w:vAlign w:val="center"/>
          </w:tcPr>
          <w:p w:rsidR="00240BCE" w:rsidRDefault="00240BCE" w:rsidP="001D482D">
            <w:pPr>
              <w:pStyle w:val="184"/>
              <w:spacing w:line="330" w:lineRule="exact"/>
              <w:rPr>
                <w:rFonts w:hAnsi="Times New Roman" w:cs="Times New Roman"/>
                <w:color w:val="auto"/>
                <w:szCs w:val="21"/>
              </w:rPr>
            </w:pP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官庄窑村</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253</w:t>
            </w:r>
            <w:r>
              <w:rPr>
                <w:rFonts w:cs="Times New Roman"/>
                <w:color w:val="auto"/>
                <w:szCs w:val="21"/>
              </w:rPr>
              <w:t>户</w:t>
            </w:r>
            <w:r>
              <w:rPr>
                <w:rFonts w:cs="Times New Roman"/>
                <w:color w:val="auto"/>
                <w:szCs w:val="21"/>
              </w:rPr>
              <w:t>861</w:t>
            </w:r>
            <w:r>
              <w:rPr>
                <w:rFonts w:cs="Times New Roman"/>
                <w:color w:val="auto"/>
                <w:szCs w:val="21"/>
              </w:rPr>
              <w:t>人，大部分位于矿区范围外，不受开采影响</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工业场地南</w:t>
            </w:r>
            <w:r>
              <w:rPr>
                <w:rFonts w:hAnsi="Times New Roman" w:cs="Times New Roman"/>
                <w:color w:val="auto"/>
                <w:szCs w:val="21"/>
              </w:rPr>
              <w:t>1260m</w:t>
            </w:r>
            <w:r>
              <w:rPr>
                <w:rFonts w:hAnsi="Times New Roman" w:cs="Times New Roman"/>
                <w:color w:val="auto"/>
                <w:szCs w:val="21"/>
              </w:rPr>
              <w:t>～</w:t>
            </w:r>
            <w:r>
              <w:rPr>
                <w:rFonts w:hAnsi="Times New Roman" w:cs="Times New Roman"/>
                <w:color w:val="auto"/>
                <w:szCs w:val="21"/>
              </w:rPr>
              <w:t>1950m</w:t>
            </w:r>
          </w:p>
        </w:tc>
        <w:tc>
          <w:tcPr>
            <w:tcW w:w="1105" w:type="pct"/>
            <w:vMerge/>
            <w:vAlign w:val="center"/>
          </w:tcPr>
          <w:p w:rsidR="00240BCE" w:rsidRDefault="00240BCE" w:rsidP="001D482D">
            <w:pPr>
              <w:pStyle w:val="184"/>
              <w:spacing w:line="330" w:lineRule="exact"/>
              <w:rPr>
                <w:rFonts w:hAnsi="Times New Roman" w:cs="Times New Roman"/>
                <w:color w:val="auto"/>
                <w:szCs w:val="21"/>
              </w:rPr>
            </w:pP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楚黄庄村</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278</w:t>
            </w:r>
            <w:r>
              <w:rPr>
                <w:rFonts w:cs="Times New Roman"/>
                <w:color w:val="auto"/>
                <w:szCs w:val="21"/>
              </w:rPr>
              <w:t>户</w:t>
            </w:r>
            <w:r>
              <w:rPr>
                <w:rFonts w:cs="Times New Roman"/>
                <w:color w:val="auto"/>
                <w:szCs w:val="21"/>
              </w:rPr>
              <w:t>1013</w:t>
            </w:r>
            <w:r>
              <w:rPr>
                <w:rFonts w:cs="Times New Roman"/>
                <w:color w:val="auto"/>
                <w:szCs w:val="21"/>
              </w:rPr>
              <w:t>人，大部分位于矿区范围外，不受开采影响</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工业场地西南</w:t>
            </w:r>
            <w:r>
              <w:rPr>
                <w:rFonts w:hAnsi="Times New Roman" w:cs="Times New Roman"/>
                <w:color w:val="auto"/>
                <w:szCs w:val="21"/>
              </w:rPr>
              <w:t>1100m</w:t>
            </w:r>
            <w:r>
              <w:rPr>
                <w:rFonts w:hAnsi="Times New Roman" w:cs="Times New Roman"/>
                <w:color w:val="auto"/>
                <w:szCs w:val="21"/>
              </w:rPr>
              <w:t>～</w:t>
            </w:r>
            <w:r>
              <w:rPr>
                <w:rFonts w:hAnsi="Times New Roman" w:cs="Times New Roman"/>
                <w:color w:val="auto"/>
                <w:szCs w:val="21"/>
              </w:rPr>
              <w:t>1950m</w:t>
            </w:r>
          </w:p>
        </w:tc>
        <w:tc>
          <w:tcPr>
            <w:tcW w:w="1105" w:type="pct"/>
            <w:vMerge/>
            <w:vAlign w:val="center"/>
          </w:tcPr>
          <w:p w:rsidR="00240BCE" w:rsidRDefault="00240BCE" w:rsidP="001D482D">
            <w:pPr>
              <w:pStyle w:val="184"/>
              <w:spacing w:line="330" w:lineRule="exact"/>
              <w:rPr>
                <w:rFonts w:hAnsi="Times New Roman" w:cs="Times New Roman"/>
                <w:color w:val="auto"/>
                <w:szCs w:val="21"/>
              </w:rPr>
            </w:pPr>
          </w:p>
        </w:tc>
      </w:tr>
      <w:tr w:rsidR="00240BCE" w:rsidTr="008802CA">
        <w:trPr>
          <w:jc w:val="center"/>
        </w:trPr>
        <w:tc>
          <w:tcPr>
            <w:tcW w:w="330"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地表水</w:t>
            </w:r>
          </w:p>
        </w:tc>
        <w:tc>
          <w:tcPr>
            <w:tcW w:w="685" w:type="pct"/>
            <w:gridSpan w:val="2"/>
            <w:vAlign w:val="center"/>
          </w:tcPr>
          <w:p w:rsidR="00240BCE" w:rsidRDefault="00AC0334" w:rsidP="001D482D">
            <w:pPr>
              <w:spacing w:line="330" w:lineRule="exact"/>
              <w:jc w:val="center"/>
              <w:rPr>
                <w:sz w:val="21"/>
                <w:szCs w:val="21"/>
              </w:rPr>
            </w:pPr>
            <w:r>
              <w:rPr>
                <w:sz w:val="21"/>
                <w:szCs w:val="21"/>
              </w:rPr>
              <w:t>赵沟河</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涌泉河支流，</w:t>
            </w:r>
            <w:r w:rsidR="00B95226">
              <w:rPr>
                <w:rFonts w:cs="Times New Roman"/>
                <w:color w:val="auto"/>
                <w:szCs w:val="21"/>
              </w:rPr>
              <w:fldChar w:fldCharType="begin"/>
            </w:r>
            <w:r>
              <w:rPr>
                <w:rFonts w:cs="Times New Roman"/>
                <w:color w:val="auto"/>
                <w:szCs w:val="21"/>
              </w:rPr>
              <w:instrText xml:space="preserve"> = 3 \* ROMAN </w:instrText>
            </w:r>
            <w:r w:rsidR="00B95226">
              <w:rPr>
                <w:rFonts w:cs="Times New Roman"/>
                <w:color w:val="auto"/>
                <w:szCs w:val="21"/>
              </w:rPr>
              <w:fldChar w:fldCharType="separate"/>
            </w:r>
            <w:r>
              <w:rPr>
                <w:rFonts w:cs="Times New Roman"/>
                <w:color w:val="auto"/>
                <w:szCs w:val="21"/>
              </w:rPr>
              <w:t>III</w:t>
            </w:r>
            <w:r w:rsidR="00B95226">
              <w:rPr>
                <w:rFonts w:cs="Times New Roman"/>
                <w:color w:val="auto"/>
                <w:szCs w:val="21"/>
              </w:rPr>
              <w:fldChar w:fldCharType="end"/>
            </w:r>
            <w:r>
              <w:rPr>
                <w:rFonts w:cs="Times New Roman"/>
                <w:color w:val="auto"/>
                <w:szCs w:val="21"/>
              </w:rPr>
              <w:t>类水体，季节性河流，现状无水</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矿区中部，工业广场南</w:t>
            </w:r>
            <w:r>
              <w:rPr>
                <w:rFonts w:hAnsi="Times New Roman" w:cs="Times New Roman"/>
                <w:color w:val="auto"/>
                <w:szCs w:val="21"/>
              </w:rPr>
              <w:t>300m</w:t>
            </w:r>
          </w:p>
        </w:tc>
        <w:tc>
          <w:tcPr>
            <w:tcW w:w="1105"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《地表水环境质量标准》</w:t>
            </w:r>
            <w:r>
              <w:rPr>
                <w:rFonts w:cs="Times New Roman"/>
                <w:color w:val="auto"/>
                <w:szCs w:val="21"/>
              </w:rPr>
              <w:t>GB3838-2002</w:t>
            </w:r>
            <w:r>
              <w:rPr>
                <w:rFonts w:cs="Times New Roman"/>
                <w:color w:val="auto"/>
                <w:szCs w:val="21"/>
              </w:rPr>
              <w:t>中</w:t>
            </w:r>
            <w:r>
              <w:rPr>
                <w:rFonts w:cs="Times New Roman"/>
                <w:color w:val="auto"/>
                <w:spacing w:val="-4"/>
                <w:szCs w:val="21"/>
              </w:rPr>
              <w:t>Ⅲ</w:t>
            </w:r>
            <w:r>
              <w:rPr>
                <w:rFonts w:cs="Times New Roman"/>
                <w:color w:val="auto"/>
                <w:szCs w:val="21"/>
              </w:rPr>
              <w:t>类</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纸坊水库</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涌泉河中游，总库容</w:t>
            </w:r>
            <w:r>
              <w:rPr>
                <w:rFonts w:cs="Times New Roman"/>
                <w:color w:val="auto"/>
                <w:szCs w:val="21"/>
              </w:rPr>
              <w:t>4425.5</w:t>
            </w:r>
            <w:r>
              <w:rPr>
                <w:rFonts w:cs="Times New Roman"/>
                <w:color w:val="auto"/>
                <w:szCs w:val="21"/>
              </w:rPr>
              <w:t>万</w:t>
            </w:r>
            <w:r>
              <w:rPr>
                <w:rFonts w:cs="Times New Roman"/>
                <w:color w:val="auto"/>
                <w:szCs w:val="21"/>
              </w:rPr>
              <w:t>m</w:t>
            </w:r>
            <w:r>
              <w:rPr>
                <w:rFonts w:cs="Times New Roman"/>
                <w:color w:val="auto"/>
                <w:szCs w:val="21"/>
                <w:vertAlign w:val="superscript"/>
              </w:rPr>
              <w:t>3</w:t>
            </w:r>
            <w:r>
              <w:rPr>
                <w:rFonts w:cs="Times New Roman"/>
                <w:color w:val="auto"/>
                <w:szCs w:val="21"/>
              </w:rPr>
              <w:t>，中型水库，</w:t>
            </w:r>
            <w:r w:rsidR="00B95226">
              <w:rPr>
                <w:rFonts w:cs="Times New Roman"/>
                <w:color w:val="auto"/>
                <w:szCs w:val="21"/>
              </w:rPr>
              <w:fldChar w:fldCharType="begin"/>
            </w:r>
            <w:r>
              <w:rPr>
                <w:rFonts w:cs="Times New Roman"/>
                <w:color w:val="auto"/>
                <w:szCs w:val="21"/>
              </w:rPr>
              <w:instrText xml:space="preserve"> = 3 \* ROMAN </w:instrText>
            </w:r>
            <w:r w:rsidR="00B95226">
              <w:rPr>
                <w:rFonts w:cs="Times New Roman"/>
                <w:color w:val="auto"/>
                <w:szCs w:val="21"/>
              </w:rPr>
              <w:fldChar w:fldCharType="separate"/>
            </w:r>
            <w:r>
              <w:rPr>
                <w:rFonts w:cs="Times New Roman"/>
                <w:color w:val="auto"/>
                <w:szCs w:val="21"/>
              </w:rPr>
              <w:t>III</w:t>
            </w:r>
            <w:r w:rsidR="00B95226">
              <w:rPr>
                <w:rFonts w:cs="Times New Roman"/>
                <w:color w:val="auto"/>
                <w:szCs w:val="21"/>
              </w:rPr>
              <w:fldChar w:fldCharType="end"/>
            </w:r>
            <w:r>
              <w:rPr>
                <w:rFonts w:cs="Times New Roman"/>
                <w:color w:val="auto"/>
                <w:szCs w:val="21"/>
              </w:rPr>
              <w:t>类水体，现状无水</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工业广场</w:t>
            </w:r>
            <w:r>
              <w:rPr>
                <w:rFonts w:hAnsi="Times New Roman" w:cs="Times New Roman"/>
                <w:color w:val="auto"/>
                <w:szCs w:val="21"/>
              </w:rPr>
              <w:t>NEE5.02km</w:t>
            </w:r>
          </w:p>
        </w:tc>
        <w:tc>
          <w:tcPr>
            <w:tcW w:w="1105" w:type="pct"/>
            <w:vMerge/>
            <w:vAlign w:val="center"/>
          </w:tcPr>
          <w:p w:rsidR="00240BCE" w:rsidRDefault="00240BCE" w:rsidP="001D482D">
            <w:pPr>
              <w:pStyle w:val="24CharChar4Char4CharC"/>
              <w:spacing w:line="330" w:lineRule="exact"/>
              <w:rPr>
                <w:rFonts w:cs="Times New Roman"/>
                <w:color w:val="auto"/>
                <w:szCs w:val="21"/>
              </w:rPr>
            </w:pP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涌泉河</w:t>
            </w:r>
          </w:p>
        </w:tc>
        <w:tc>
          <w:tcPr>
            <w:tcW w:w="1514" w:type="pct"/>
            <w:vAlign w:val="center"/>
          </w:tcPr>
          <w:p w:rsidR="00240BCE" w:rsidRDefault="00AC0334" w:rsidP="001D482D">
            <w:pPr>
              <w:pStyle w:val="24CharChar4Char4CharC"/>
              <w:spacing w:line="330" w:lineRule="exact"/>
              <w:jc w:val="both"/>
              <w:rPr>
                <w:rFonts w:cs="Times New Roman"/>
                <w:color w:val="auto"/>
                <w:szCs w:val="21"/>
              </w:rPr>
            </w:pPr>
            <w:r>
              <w:rPr>
                <w:rFonts w:cs="Times New Roman"/>
                <w:color w:val="auto"/>
                <w:szCs w:val="21"/>
              </w:rPr>
              <w:t>颍河支流，</w:t>
            </w:r>
            <w:r w:rsidR="00B95226">
              <w:rPr>
                <w:rFonts w:cs="Times New Roman"/>
                <w:color w:val="auto"/>
                <w:szCs w:val="21"/>
              </w:rPr>
              <w:fldChar w:fldCharType="begin"/>
            </w:r>
            <w:r>
              <w:rPr>
                <w:rFonts w:cs="Times New Roman"/>
                <w:color w:val="auto"/>
                <w:szCs w:val="21"/>
              </w:rPr>
              <w:instrText xml:space="preserve"> = 3 \* ROMAN </w:instrText>
            </w:r>
            <w:r w:rsidR="00B95226">
              <w:rPr>
                <w:rFonts w:cs="Times New Roman"/>
                <w:color w:val="auto"/>
                <w:szCs w:val="21"/>
              </w:rPr>
              <w:fldChar w:fldCharType="separate"/>
            </w:r>
            <w:r>
              <w:rPr>
                <w:rFonts w:cs="Times New Roman"/>
                <w:color w:val="auto"/>
                <w:szCs w:val="21"/>
              </w:rPr>
              <w:t>III</w:t>
            </w:r>
            <w:r w:rsidR="00B95226">
              <w:rPr>
                <w:rFonts w:cs="Times New Roman"/>
                <w:color w:val="auto"/>
                <w:szCs w:val="21"/>
              </w:rPr>
              <w:fldChar w:fldCharType="end"/>
            </w:r>
            <w:r>
              <w:rPr>
                <w:rFonts w:cs="Times New Roman"/>
                <w:color w:val="auto"/>
                <w:szCs w:val="21"/>
              </w:rPr>
              <w:t>类水体，季节性河流，现状无水</w:t>
            </w:r>
          </w:p>
        </w:tc>
        <w:tc>
          <w:tcPr>
            <w:tcW w:w="1363" w:type="pct"/>
            <w:vAlign w:val="center"/>
          </w:tcPr>
          <w:p w:rsidR="00240BCE" w:rsidRDefault="00AC0334" w:rsidP="001D482D">
            <w:pPr>
              <w:pStyle w:val="24CharChar4Char4CharC"/>
              <w:spacing w:line="330" w:lineRule="exact"/>
              <w:rPr>
                <w:rFonts w:cs="Times New Roman"/>
                <w:color w:val="auto"/>
                <w:szCs w:val="21"/>
              </w:rPr>
            </w:pPr>
            <w:r>
              <w:rPr>
                <w:rFonts w:cs="Times New Roman"/>
                <w:szCs w:val="21"/>
              </w:rPr>
              <w:t>工业广场北</w:t>
            </w:r>
            <w:r>
              <w:rPr>
                <w:rFonts w:cs="Times New Roman"/>
                <w:szCs w:val="21"/>
              </w:rPr>
              <w:t>520m</w:t>
            </w:r>
            <w:r>
              <w:rPr>
                <w:rFonts w:cs="Times New Roman"/>
                <w:szCs w:val="21"/>
              </w:rPr>
              <w:t>。</w:t>
            </w:r>
          </w:p>
        </w:tc>
        <w:tc>
          <w:tcPr>
            <w:tcW w:w="1105" w:type="pct"/>
            <w:vMerge/>
            <w:vAlign w:val="center"/>
          </w:tcPr>
          <w:p w:rsidR="00240BCE" w:rsidRDefault="00240BCE" w:rsidP="001D482D">
            <w:pPr>
              <w:pStyle w:val="24CharChar4Char4CharC"/>
              <w:spacing w:line="330" w:lineRule="exact"/>
              <w:rPr>
                <w:rFonts w:cs="Times New Roman"/>
                <w:color w:val="auto"/>
                <w:szCs w:val="21"/>
              </w:rPr>
            </w:pPr>
          </w:p>
        </w:tc>
      </w:tr>
      <w:tr w:rsidR="00240BCE" w:rsidTr="008802CA">
        <w:trPr>
          <w:jc w:val="center"/>
        </w:trPr>
        <w:tc>
          <w:tcPr>
            <w:tcW w:w="330"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lastRenderedPageBreak/>
              <w:t>地下水</w:t>
            </w:r>
          </w:p>
        </w:tc>
        <w:tc>
          <w:tcPr>
            <w:tcW w:w="685" w:type="pct"/>
            <w:gridSpan w:val="2"/>
            <w:vAlign w:val="center"/>
          </w:tcPr>
          <w:p w:rsidR="00240BCE" w:rsidRDefault="00AC0334" w:rsidP="001D482D">
            <w:pPr>
              <w:pStyle w:val="81"/>
              <w:spacing w:line="330" w:lineRule="exact"/>
              <w:jc w:val="center"/>
              <w:rPr>
                <w:rFonts w:ascii="Times New Roman" w:eastAsia="宋体" w:hAnsi="Times New Roman"/>
                <w:sz w:val="21"/>
                <w:szCs w:val="21"/>
              </w:rPr>
            </w:pPr>
            <w:r>
              <w:rPr>
                <w:rFonts w:ascii="Times New Roman" w:eastAsia="宋体" w:hAnsi="Times New Roman"/>
                <w:sz w:val="21"/>
                <w:szCs w:val="21"/>
              </w:rPr>
              <w:t>地下水资源</w:t>
            </w:r>
          </w:p>
        </w:tc>
        <w:tc>
          <w:tcPr>
            <w:tcW w:w="1514" w:type="pct"/>
            <w:vAlign w:val="center"/>
          </w:tcPr>
          <w:p w:rsidR="00240BCE" w:rsidRDefault="00AC0334" w:rsidP="001D482D">
            <w:pPr>
              <w:pStyle w:val="61"/>
              <w:spacing w:line="330" w:lineRule="exact"/>
              <w:rPr>
                <w:szCs w:val="21"/>
              </w:rPr>
            </w:pPr>
            <w:r>
              <w:rPr>
                <w:szCs w:val="21"/>
              </w:rPr>
              <w:t>区域地下水</w:t>
            </w:r>
          </w:p>
        </w:tc>
        <w:tc>
          <w:tcPr>
            <w:tcW w:w="1363"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lang w:val="zh-CN"/>
              </w:rPr>
              <w:t>矸石临时堆场淋滤水</w:t>
            </w:r>
          </w:p>
        </w:tc>
        <w:tc>
          <w:tcPr>
            <w:tcW w:w="1105"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《地下水质量标准》</w:t>
            </w:r>
            <w:r>
              <w:rPr>
                <w:rFonts w:cs="Times New Roman"/>
                <w:color w:val="auto"/>
                <w:szCs w:val="21"/>
              </w:rPr>
              <w:t>GB/T14848—2017Ⅲ</w:t>
            </w:r>
            <w:r>
              <w:rPr>
                <w:rFonts w:cs="Times New Roman"/>
                <w:color w:val="auto"/>
                <w:szCs w:val="21"/>
              </w:rPr>
              <w:t>类</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pStyle w:val="81"/>
              <w:spacing w:line="330" w:lineRule="exact"/>
              <w:jc w:val="center"/>
              <w:rPr>
                <w:rFonts w:ascii="Times New Roman" w:eastAsia="宋体" w:hAnsi="Times New Roman"/>
                <w:sz w:val="21"/>
                <w:szCs w:val="21"/>
              </w:rPr>
            </w:pPr>
            <w:r>
              <w:rPr>
                <w:rFonts w:ascii="Times New Roman" w:eastAsia="宋体" w:hAnsi="Times New Roman"/>
                <w:sz w:val="21"/>
                <w:szCs w:val="21"/>
              </w:rPr>
              <w:t>居民饮用水源</w:t>
            </w:r>
          </w:p>
        </w:tc>
        <w:tc>
          <w:tcPr>
            <w:tcW w:w="1514" w:type="pct"/>
            <w:vAlign w:val="center"/>
          </w:tcPr>
          <w:p w:rsidR="00240BCE" w:rsidRDefault="00AC0334" w:rsidP="001D482D">
            <w:pPr>
              <w:pStyle w:val="61"/>
              <w:spacing w:line="330" w:lineRule="exact"/>
              <w:rPr>
                <w:szCs w:val="21"/>
              </w:rPr>
            </w:pPr>
            <w:r>
              <w:rPr>
                <w:szCs w:val="21"/>
              </w:rPr>
              <w:t>居民饮用水源井（赵沟村深水井、连庄村深水井和楼院村深水井等）</w:t>
            </w:r>
          </w:p>
        </w:tc>
        <w:tc>
          <w:tcPr>
            <w:tcW w:w="1363" w:type="pct"/>
            <w:vMerge/>
            <w:vAlign w:val="center"/>
          </w:tcPr>
          <w:p w:rsidR="00240BCE" w:rsidRDefault="00240BCE" w:rsidP="001D482D">
            <w:pPr>
              <w:pStyle w:val="24CharChar4Char4CharC"/>
              <w:spacing w:line="330" w:lineRule="exact"/>
              <w:rPr>
                <w:rFonts w:cs="Times New Roman"/>
                <w:color w:val="auto"/>
                <w:szCs w:val="21"/>
                <w:lang w:val="zh-CN"/>
              </w:rPr>
            </w:pPr>
          </w:p>
        </w:tc>
        <w:tc>
          <w:tcPr>
            <w:tcW w:w="1105" w:type="pct"/>
            <w:vMerge/>
            <w:vAlign w:val="center"/>
          </w:tcPr>
          <w:p w:rsidR="00240BCE" w:rsidRDefault="00240BCE" w:rsidP="001D482D">
            <w:pPr>
              <w:pStyle w:val="24CharChar4Char4CharC"/>
              <w:spacing w:line="330" w:lineRule="exact"/>
              <w:rPr>
                <w:rFonts w:cs="Times New Roman"/>
                <w:color w:val="auto"/>
                <w:szCs w:val="21"/>
              </w:rPr>
            </w:pPr>
          </w:p>
        </w:tc>
      </w:tr>
      <w:tr w:rsidR="00240BCE" w:rsidTr="008802CA">
        <w:trPr>
          <w:jc w:val="center"/>
        </w:trPr>
        <w:tc>
          <w:tcPr>
            <w:tcW w:w="330"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噪声</w:t>
            </w:r>
          </w:p>
        </w:tc>
        <w:tc>
          <w:tcPr>
            <w:tcW w:w="685" w:type="pct"/>
            <w:gridSpan w:val="2"/>
            <w:vAlign w:val="center"/>
          </w:tcPr>
          <w:p w:rsidR="00240BCE" w:rsidRDefault="00AC0334" w:rsidP="001D482D">
            <w:pPr>
              <w:spacing w:line="330" w:lineRule="exact"/>
              <w:jc w:val="center"/>
              <w:rPr>
                <w:sz w:val="21"/>
                <w:szCs w:val="21"/>
              </w:rPr>
            </w:pPr>
            <w:r>
              <w:rPr>
                <w:sz w:val="21"/>
                <w:szCs w:val="21"/>
              </w:rPr>
              <w:t>柿树行组</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32</w:t>
            </w:r>
            <w:r>
              <w:rPr>
                <w:rFonts w:cs="Times New Roman"/>
                <w:color w:val="auto"/>
                <w:szCs w:val="21"/>
              </w:rPr>
              <w:t>户</w:t>
            </w:r>
            <w:r>
              <w:rPr>
                <w:rFonts w:cs="Times New Roman"/>
                <w:color w:val="auto"/>
                <w:szCs w:val="21"/>
              </w:rPr>
              <w:t>122</w:t>
            </w:r>
            <w:r>
              <w:rPr>
                <w:rFonts w:cs="Times New Roman"/>
                <w:color w:val="auto"/>
                <w:szCs w:val="21"/>
              </w:rPr>
              <w:t>人</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工业广场西北</w:t>
            </w:r>
            <w:r>
              <w:rPr>
                <w:rFonts w:hAnsi="Times New Roman" w:cs="Times New Roman"/>
                <w:color w:val="auto"/>
                <w:szCs w:val="21"/>
              </w:rPr>
              <w:t>120m</w:t>
            </w:r>
          </w:p>
        </w:tc>
        <w:tc>
          <w:tcPr>
            <w:tcW w:w="1105"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《声环境质量标准》（</w:t>
            </w:r>
            <w:r>
              <w:rPr>
                <w:rFonts w:cs="Times New Roman"/>
                <w:color w:val="auto"/>
                <w:szCs w:val="21"/>
              </w:rPr>
              <w:t>GB3096-2008</w:t>
            </w:r>
            <w:r>
              <w:rPr>
                <w:rFonts w:cs="Times New Roman"/>
                <w:color w:val="auto"/>
                <w:szCs w:val="21"/>
              </w:rPr>
              <w:t>）</w:t>
            </w:r>
            <w:r>
              <w:rPr>
                <w:rFonts w:cs="Times New Roman"/>
                <w:color w:val="auto"/>
                <w:szCs w:val="21"/>
              </w:rPr>
              <w:t>2</w:t>
            </w:r>
            <w:r>
              <w:rPr>
                <w:rFonts w:cs="Times New Roman"/>
                <w:color w:val="auto"/>
                <w:szCs w:val="21"/>
              </w:rPr>
              <w:t>类</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赵沟村</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278</w:t>
            </w:r>
            <w:r>
              <w:rPr>
                <w:rFonts w:cs="Times New Roman"/>
                <w:color w:val="auto"/>
                <w:szCs w:val="21"/>
              </w:rPr>
              <w:t>户</w:t>
            </w:r>
            <w:r>
              <w:rPr>
                <w:rFonts w:cs="Times New Roman"/>
                <w:color w:val="auto"/>
                <w:szCs w:val="21"/>
              </w:rPr>
              <w:t>1089</w:t>
            </w:r>
            <w:r>
              <w:rPr>
                <w:rFonts w:cs="Times New Roman"/>
                <w:color w:val="auto"/>
                <w:szCs w:val="21"/>
              </w:rPr>
              <w:t>人</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工业广场南</w:t>
            </w:r>
            <w:r>
              <w:rPr>
                <w:rFonts w:hAnsi="Times New Roman" w:cs="Times New Roman"/>
                <w:color w:val="auto"/>
                <w:szCs w:val="21"/>
              </w:rPr>
              <w:t>340m</w:t>
            </w:r>
          </w:p>
        </w:tc>
        <w:tc>
          <w:tcPr>
            <w:tcW w:w="1105" w:type="pct"/>
            <w:vMerge/>
            <w:vAlign w:val="center"/>
          </w:tcPr>
          <w:p w:rsidR="00240BCE" w:rsidRDefault="00240BCE" w:rsidP="001D482D">
            <w:pPr>
              <w:pStyle w:val="24CharChar4Char4CharC"/>
              <w:spacing w:line="330" w:lineRule="exact"/>
              <w:rPr>
                <w:rFonts w:cs="Times New Roman"/>
                <w:color w:val="auto"/>
                <w:szCs w:val="21"/>
              </w:rPr>
            </w:pPr>
          </w:p>
        </w:tc>
      </w:tr>
      <w:tr w:rsidR="00240BCE" w:rsidTr="008802CA">
        <w:trPr>
          <w:jc w:val="center"/>
        </w:trPr>
        <w:tc>
          <w:tcPr>
            <w:tcW w:w="330"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生态环境</w:t>
            </w:r>
            <w:r>
              <w:rPr>
                <w:rFonts w:cs="Times New Roman"/>
                <w:color w:val="auto"/>
                <w:w w:val="90"/>
                <w:szCs w:val="21"/>
              </w:rPr>
              <w:t>（地表沉陷）</w:t>
            </w:r>
          </w:p>
        </w:tc>
        <w:tc>
          <w:tcPr>
            <w:tcW w:w="300" w:type="pct"/>
            <w:vMerge w:val="restart"/>
            <w:vAlign w:val="center"/>
          </w:tcPr>
          <w:p w:rsidR="00240BCE" w:rsidRDefault="00AC0334" w:rsidP="001D482D">
            <w:pPr>
              <w:spacing w:line="330" w:lineRule="exact"/>
              <w:jc w:val="center"/>
              <w:rPr>
                <w:sz w:val="21"/>
                <w:szCs w:val="21"/>
              </w:rPr>
            </w:pPr>
            <w:r>
              <w:rPr>
                <w:sz w:val="21"/>
                <w:szCs w:val="21"/>
              </w:rPr>
              <w:t>居民点</w:t>
            </w:r>
          </w:p>
        </w:tc>
        <w:tc>
          <w:tcPr>
            <w:tcW w:w="384" w:type="pct"/>
            <w:vAlign w:val="center"/>
          </w:tcPr>
          <w:p w:rsidR="00240BCE" w:rsidRDefault="00AC0334" w:rsidP="001D482D">
            <w:pPr>
              <w:spacing w:line="330" w:lineRule="exact"/>
              <w:jc w:val="center"/>
              <w:rPr>
                <w:sz w:val="21"/>
                <w:szCs w:val="21"/>
              </w:rPr>
            </w:pPr>
            <w:r>
              <w:rPr>
                <w:sz w:val="21"/>
                <w:szCs w:val="21"/>
              </w:rPr>
              <w:t>赵沟村</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256</w:t>
            </w:r>
            <w:r>
              <w:rPr>
                <w:rFonts w:cs="Times New Roman"/>
                <w:color w:val="auto"/>
                <w:szCs w:val="21"/>
              </w:rPr>
              <w:t>户</w:t>
            </w:r>
            <w:r>
              <w:rPr>
                <w:rFonts w:cs="Times New Roman"/>
                <w:color w:val="auto"/>
                <w:szCs w:val="21"/>
              </w:rPr>
              <w:t>989</w:t>
            </w:r>
            <w:r>
              <w:rPr>
                <w:rFonts w:cs="Times New Roman"/>
                <w:color w:val="auto"/>
                <w:szCs w:val="21"/>
              </w:rPr>
              <w:t>人</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工业场地南、东南</w:t>
            </w:r>
            <w:r>
              <w:rPr>
                <w:rFonts w:hAnsi="Times New Roman" w:cs="Times New Roman"/>
                <w:color w:val="auto"/>
                <w:szCs w:val="21"/>
              </w:rPr>
              <w:t>270m</w:t>
            </w:r>
            <w:r>
              <w:rPr>
                <w:rFonts w:hAnsi="Times New Roman" w:cs="Times New Roman"/>
                <w:color w:val="auto"/>
                <w:szCs w:val="21"/>
              </w:rPr>
              <w:t>～</w:t>
            </w:r>
            <w:r>
              <w:rPr>
                <w:rFonts w:hAnsi="Times New Roman" w:cs="Times New Roman"/>
                <w:color w:val="auto"/>
                <w:szCs w:val="21"/>
              </w:rPr>
              <w:t>860m</w:t>
            </w:r>
            <w:r>
              <w:rPr>
                <w:rFonts w:hAnsi="Times New Roman" w:cs="Times New Roman"/>
                <w:color w:val="auto"/>
                <w:szCs w:val="21"/>
              </w:rPr>
              <w:t>；矿区范围内首采区</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安全搬迁</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300" w:type="pct"/>
            <w:vMerge/>
            <w:vAlign w:val="center"/>
          </w:tcPr>
          <w:p w:rsidR="00240BCE" w:rsidRDefault="00240BCE" w:rsidP="001D482D">
            <w:pPr>
              <w:spacing w:line="330" w:lineRule="exact"/>
              <w:jc w:val="center"/>
              <w:rPr>
                <w:sz w:val="21"/>
                <w:szCs w:val="21"/>
              </w:rPr>
            </w:pPr>
          </w:p>
        </w:tc>
        <w:tc>
          <w:tcPr>
            <w:tcW w:w="384" w:type="pct"/>
            <w:vAlign w:val="center"/>
          </w:tcPr>
          <w:p w:rsidR="00240BCE" w:rsidRDefault="00AC0334" w:rsidP="001D482D">
            <w:pPr>
              <w:spacing w:line="330" w:lineRule="exact"/>
              <w:jc w:val="center"/>
              <w:rPr>
                <w:sz w:val="21"/>
                <w:szCs w:val="21"/>
              </w:rPr>
            </w:pPr>
            <w:r>
              <w:rPr>
                <w:sz w:val="21"/>
                <w:szCs w:val="21"/>
              </w:rPr>
              <w:t>楼院村</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240</w:t>
            </w:r>
            <w:r>
              <w:rPr>
                <w:rFonts w:cs="Times New Roman"/>
                <w:color w:val="auto"/>
                <w:szCs w:val="21"/>
              </w:rPr>
              <w:t>户</w:t>
            </w:r>
            <w:r>
              <w:rPr>
                <w:rFonts w:cs="Times New Roman"/>
                <w:color w:val="auto"/>
                <w:szCs w:val="21"/>
              </w:rPr>
              <w:t>959</w:t>
            </w:r>
            <w:r>
              <w:rPr>
                <w:rFonts w:cs="Times New Roman"/>
                <w:color w:val="auto"/>
                <w:szCs w:val="21"/>
              </w:rPr>
              <w:t>人</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工业场地南</w:t>
            </w:r>
            <w:r>
              <w:rPr>
                <w:rFonts w:hAnsi="Times New Roman" w:cs="Times New Roman"/>
                <w:color w:val="auto"/>
                <w:szCs w:val="21"/>
              </w:rPr>
              <w:t>400m</w:t>
            </w:r>
            <w:r>
              <w:rPr>
                <w:rFonts w:hAnsi="Times New Roman" w:cs="Times New Roman"/>
                <w:color w:val="auto"/>
                <w:szCs w:val="21"/>
              </w:rPr>
              <w:t>～</w:t>
            </w:r>
            <w:r>
              <w:rPr>
                <w:rFonts w:hAnsi="Times New Roman" w:cs="Times New Roman"/>
                <w:color w:val="auto"/>
                <w:szCs w:val="21"/>
              </w:rPr>
              <w:t>1085m</w:t>
            </w:r>
            <w:r>
              <w:rPr>
                <w:rFonts w:hAnsi="Times New Roman" w:cs="Times New Roman"/>
                <w:color w:val="auto"/>
                <w:szCs w:val="21"/>
              </w:rPr>
              <w:t>；矿区范围内首采区</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安全搬迁</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300" w:type="pct"/>
            <w:vMerge/>
            <w:vAlign w:val="center"/>
          </w:tcPr>
          <w:p w:rsidR="00240BCE" w:rsidRDefault="00240BCE" w:rsidP="001D482D">
            <w:pPr>
              <w:spacing w:line="330" w:lineRule="exact"/>
              <w:jc w:val="center"/>
              <w:rPr>
                <w:sz w:val="21"/>
                <w:szCs w:val="21"/>
              </w:rPr>
            </w:pPr>
          </w:p>
        </w:tc>
        <w:tc>
          <w:tcPr>
            <w:tcW w:w="384" w:type="pct"/>
            <w:vAlign w:val="center"/>
          </w:tcPr>
          <w:p w:rsidR="00240BCE" w:rsidRDefault="00AC0334" w:rsidP="001D482D">
            <w:pPr>
              <w:spacing w:line="330" w:lineRule="exact"/>
              <w:jc w:val="center"/>
              <w:rPr>
                <w:sz w:val="21"/>
                <w:szCs w:val="21"/>
              </w:rPr>
            </w:pPr>
            <w:r>
              <w:rPr>
                <w:sz w:val="21"/>
                <w:szCs w:val="21"/>
              </w:rPr>
              <w:t>连庄村</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250</w:t>
            </w:r>
            <w:r>
              <w:rPr>
                <w:rFonts w:cs="Times New Roman"/>
                <w:color w:val="auto"/>
                <w:szCs w:val="21"/>
              </w:rPr>
              <w:t>户</w:t>
            </w:r>
            <w:r>
              <w:rPr>
                <w:rFonts w:cs="Times New Roman"/>
                <w:color w:val="auto"/>
                <w:szCs w:val="21"/>
              </w:rPr>
              <w:t>950</w:t>
            </w:r>
            <w:r>
              <w:rPr>
                <w:rFonts w:cs="Times New Roman"/>
                <w:color w:val="auto"/>
                <w:szCs w:val="21"/>
              </w:rPr>
              <w:t>人</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工业场地东</w:t>
            </w:r>
            <w:r>
              <w:rPr>
                <w:rFonts w:hAnsi="Times New Roman" w:cs="Times New Roman"/>
                <w:color w:val="auto"/>
                <w:szCs w:val="21"/>
              </w:rPr>
              <w:t>275m</w:t>
            </w:r>
            <w:r>
              <w:rPr>
                <w:rFonts w:hAnsi="Times New Roman" w:cs="Times New Roman"/>
                <w:color w:val="auto"/>
                <w:szCs w:val="21"/>
              </w:rPr>
              <w:t>～</w:t>
            </w:r>
            <w:r>
              <w:rPr>
                <w:rFonts w:hAnsi="Times New Roman" w:cs="Times New Roman"/>
                <w:color w:val="auto"/>
                <w:szCs w:val="21"/>
              </w:rPr>
              <w:t>1185m</w:t>
            </w:r>
            <w:r>
              <w:rPr>
                <w:rFonts w:hAnsi="Times New Roman" w:cs="Times New Roman"/>
                <w:color w:val="auto"/>
                <w:szCs w:val="21"/>
              </w:rPr>
              <w:t>；</w:t>
            </w:r>
          </w:p>
          <w:p w:rsidR="00240BCE" w:rsidRDefault="00AC0334" w:rsidP="001D482D">
            <w:pPr>
              <w:pStyle w:val="184"/>
              <w:spacing w:line="330" w:lineRule="exact"/>
              <w:jc w:val="both"/>
              <w:rPr>
                <w:rFonts w:hAnsi="Times New Roman" w:cs="Times New Roman"/>
                <w:color w:val="auto"/>
                <w:szCs w:val="21"/>
              </w:rPr>
            </w:pPr>
            <w:r>
              <w:rPr>
                <w:rFonts w:hAnsi="Times New Roman" w:cs="Times New Roman"/>
                <w:color w:val="auto"/>
                <w:szCs w:val="21"/>
              </w:rPr>
              <w:t>矿区范围内接替采区</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安全搬迁</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300" w:type="pct"/>
            <w:vMerge/>
            <w:vAlign w:val="center"/>
          </w:tcPr>
          <w:p w:rsidR="00240BCE" w:rsidRDefault="00240BCE" w:rsidP="001D482D">
            <w:pPr>
              <w:spacing w:line="330" w:lineRule="exact"/>
              <w:jc w:val="center"/>
              <w:rPr>
                <w:sz w:val="21"/>
                <w:szCs w:val="21"/>
              </w:rPr>
            </w:pPr>
          </w:p>
        </w:tc>
        <w:tc>
          <w:tcPr>
            <w:tcW w:w="384" w:type="pct"/>
            <w:vAlign w:val="center"/>
          </w:tcPr>
          <w:p w:rsidR="00240BCE" w:rsidRDefault="00AC0334" w:rsidP="001D482D">
            <w:pPr>
              <w:spacing w:line="330" w:lineRule="exact"/>
              <w:jc w:val="center"/>
              <w:rPr>
                <w:sz w:val="21"/>
                <w:szCs w:val="21"/>
              </w:rPr>
            </w:pPr>
            <w:r>
              <w:rPr>
                <w:sz w:val="21"/>
                <w:szCs w:val="21"/>
              </w:rPr>
              <w:t>官庄窑村</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253</w:t>
            </w:r>
            <w:r>
              <w:rPr>
                <w:rFonts w:cs="Times New Roman"/>
                <w:color w:val="auto"/>
                <w:szCs w:val="21"/>
              </w:rPr>
              <w:t>户</w:t>
            </w:r>
            <w:r>
              <w:rPr>
                <w:rFonts w:cs="Times New Roman"/>
                <w:color w:val="auto"/>
                <w:szCs w:val="21"/>
              </w:rPr>
              <w:t>861</w:t>
            </w:r>
            <w:r>
              <w:rPr>
                <w:rFonts w:cs="Times New Roman"/>
                <w:color w:val="auto"/>
                <w:szCs w:val="21"/>
              </w:rPr>
              <w:t>人</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工业场地南</w:t>
            </w:r>
            <w:r>
              <w:rPr>
                <w:rFonts w:hAnsi="Times New Roman" w:cs="Times New Roman"/>
                <w:color w:val="auto"/>
                <w:szCs w:val="21"/>
              </w:rPr>
              <w:t>1260m</w:t>
            </w:r>
            <w:r>
              <w:rPr>
                <w:rFonts w:hAnsi="Times New Roman" w:cs="Times New Roman"/>
                <w:color w:val="auto"/>
                <w:szCs w:val="21"/>
              </w:rPr>
              <w:t>～</w:t>
            </w:r>
            <w:r>
              <w:rPr>
                <w:rFonts w:hAnsi="Times New Roman" w:cs="Times New Roman"/>
                <w:color w:val="auto"/>
                <w:szCs w:val="21"/>
              </w:rPr>
              <w:t>1950m</w:t>
            </w:r>
            <w:r>
              <w:rPr>
                <w:rFonts w:hAnsi="Times New Roman" w:cs="Times New Roman"/>
                <w:color w:val="auto"/>
                <w:szCs w:val="21"/>
              </w:rPr>
              <w:t>；</w:t>
            </w:r>
          </w:p>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矿区范围内接替采区</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不受沉陷影响</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地表植被</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耕地、灌草植被等</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评价范围内</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维持区域生态系统</w:t>
            </w:r>
          </w:p>
          <w:p w:rsidR="00240BCE" w:rsidRDefault="00AC0334" w:rsidP="001D482D">
            <w:pPr>
              <w:pStyle w:val="24CharChar4Char4CharC"/>
              <w:spacing w:line="330" w:lineRule="exact"/>
              <w:rPr>
                <w:rFonts w:cs="Times New Roman"/>
                <w:color w:val="auto"/>
                <w:szCs w:val="21"/>
              </w:rPr>
            </w:pPr>
            <w:r>
              <w:rPr>
                <w:rFonts w:cs="Times New Roman"/>
                <w:color w:val="auto"/>
                <w:szCs w:val="21"/>
              </w:rPr>
              <w:t>完整性和稳定性</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300" w:type="pct"/>
            <w:vMerge w:val="restart"/>
            <w:vAlign w:val="center"/>
          </w:tcPr>
          <w:p w:rsidR="00240BCE" w:rsidRDefault="00AC0334" w:rsidP="001D482D">
            <w:pPr>
              <w:spacing w:line="330" w:lineRule="exact"/>
              <w:jc w:val="center"/>
              <w:rPr>
                <w:sz w:val="21"/>
                <w:szCs w:val="21"/>
              </w:rPr>
            </w:pPr>
            <w:r>
              <w:rPr>
                <w:sz w:val="21"/>
                <w:szCs w:val="21"/>
              </w:rPr>
              <w:t>交通设施</w:t>
            </w:r>
          </w:p>
        </w:tc>
        <w:tc>
          <w:tcPr>
            <w:tcW w:w="384" w:type="pct"/>
            <w:vAlign w:val="center"/>
          </w:tcPr>
          <w:p w:rsidR="00240BCE" w:rsidRDefault="00AC0334" w:rsidP="001D482D">
            <w:pPr>
              <w:spacing w:line="330" w:lineRule="exact"/>
              <w:jc w:val="center"/>
              <w:rPr>
                <w:sz w:val="21"/>
                <w:szCs w:val="21"/>
              </w:rPr>
            </w:pPr>
            <w:r>
              <w:rPr>
                <w:sz w:val="21"/>
                <w:szCs w:val="21"/>
              </w:rPr>
              <w:t>省道</w:t>
            </w:r>
            <w:r>
              <w:rPr>
                <w:sz w:val="21"/>
                <w:szCs w:val="21"/>
              </w:rPr>
              <w:t>S325</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等级公路</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井田北边界外</w:t>
            </w:r>
            <w:r>
              <w:rPr>
                <w:rFonts w:hAnsi="Times New Roman" w:cs="Times New Roman"/>
                <w:color w:val="auto"/>
                <w:szCs w:val="21"/>
              </w:rPr>
              <w:t>100m</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不受影响</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300" w:type="pct"/>
            <w:vMerge/>
            <w:vAlign w:val="center"/>
          </w:tcPr>
          <w:p w:rsidR="00240BCE" w:rsidRDefault="00240BCE" w:rsidP="001D482D">
            <w:pPr>
              <w:spacing w:line="330" w:lineRule="exact"/>
              <w:jc w:val="center"/>
              <w:rPr>
                <w:sz w:val="21"/>
                <w:szCs w:val="21"/>
              </w:rPr>
            </w:pPr>
          </w:p>
        </w:tc>
        <w:tc>
          <w:tcPr>
            <w:tcW w:w="384" w:type="pct"/>
            <w:vAlign w:val="center"/>
          </w:tcPr>
          <w:p w:rsidR="00240BCE" w:rsidRDefault="00AC0334" w:rsidP="001D482D">
            <w:pPr>
              <w:spacing w:line="330" w:lineRule="exact"/>
              <w:jc w:val="center"/>
              <w:rPr>
                <w:sz w:val="21"/>
                <w:szCs w:val="21"/>
              </w:rPr>
            </w:pPr>
            <w:r>
              <w:rPr>
                <w:sz w:val="21"/>
                <w:szCs w:val="21"/>
              </w:rPr>
              <w:t>其他道路</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多条乡村道路</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矿区范围内</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随沉随修，道路运输安全</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300" w:type="pct"/>
            <w:vMerge w:val="restart"/>
            <w:vAlign w:val="center"/>
          </w:tcPr>
          <w:p w:rsidR="00240BCE" w:rsidRDefault="00AC0334" w:rsidP="001D482D">
            <w:pPr>
              <w:spacing w:line="330" w:lineRule="exact"/>
              <w:jc w:val="center"/>
              <w:rPr>
                <w:sz w:val="21"/>
                <w:szCs w:val="21"/>
              </w:rPr>
            </w:pPr>
            <w:r>
              <w:rPr>
                <w:sz w:val="21"/>
                <w:szCs w:val="21"/>
              </w:rPr>
              <w:t>地表水体</w:t>
            </w:r>
          </w:p>
        </w:tc>
        <w:tc>
          <w:tcPr>
            <w:tcW w:w="384" w:type="pct"/>
            <w:vAlign w:val="center"/>
          </w:tcPr>
          <w:p w:rsidR="00240BCE" w:rsidRDefault="00AC0334" w:rsidP="001D482D">
            <w:pPr>
              <w:spacing w:line="330" w:lineRule="exact"/>
              <w:jc w:val="center"/>
              <w:rPr>
                <w:sz w:val="21"/>
                <w:szCs w:val="21"/>
              </w:rPr>
            </w:pPr>
            <w:r>
              <w:rPr>
                <w:sz w:val="21"/>
                <w:szCs w:val="21"/>
              </w:rPr>
              <w:t>赵沟河</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涌泉河支流，</w:t>
            </w:r>
            <w:r w:rsidR="00B95226">
              <w:rPr>
                <w:rFonts w:cs="Times New Roman"/>
                <w:color w:val="auto"/>
                <w:szCs w:val="21"/>
              </w:rPr>
              <w:fldChar w:fldCharType="begin"/>
            </w:r>
            <w:r>
              <w:rPr>
                <w:rFonts w:cs="Times New Roman"/>
                <w:color w:val="auto"/>
                <w:szCs w:val="21"/>
              </w:rPr>
              <w:instrText xml:space="preserve"> = 3 \* ROMAN </w:instrText>
            </w:r>
            <w:r w:rsidR="00B95226">
              <w:rPr>
                <w:rFonts w:cs="Times New Roman"/>
                <w:color w:val="auto"/>
                <w:szCs w:val="21"/>
              </w:rPr>
              <w:fldChar w:fldCharType="separate"/>
            </w:r>
            <w:r>
              <w:rPr>
                <w:rFonts w:cs="Times New Roman"/>
                <w:color w:val="auto"/>
                <w:szCs w:val="21"/>
              </w:rPr>
              <w:t>III</w:t>
            </w:r>
            <w:r w:rsidR="00B95226">
              <w:rPr>
                <w:rFonts w:cs="Times New Roman"/>
                <w:color w:val="auto"/>
                <w:szCs w:val="21"/>
              </w:rPr>
              <w:fldChar w:fldCharType="end"/>
            </w:r>
            <w:r>
              <w:rPr>
                <w:rFonts w:cs="Times New Roman"/>
                <w:color w:val="auto"/>
                <w:szCs w:val="21"/>
              </w:rPr>
              <w:t>类水体，季节性河流，现状无水</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矿区中部，穿越井田约</w:t>
            </w:r>
            <w:r>
              <w:rPr>
                <w:rFonts w:hAnsi="Times New Roman" w:cs="Times New Roman"/>
                <w:color w:val="auto"/>
                <w:szCs w:val="21"/>
              </w:rPr>
              <w:t>2.6km</w:t>
            </w:r>
          </w:p>
        </w:tc>
        <w:tc>
          <w:tcPr>
            <w:tcW w:w="1105"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不对汇流条件造成</w:t>
            </w:r>
          </w:p>
          <w:p w:rsidR="00240BCE" w:rsidRDefault="00AC0334" w:rsidP="001D482D">
            <w:pPr>
              <w:pStyle w:val="24CharChar4Char4CharC"/>
              <w:spacing w:line="330" w:lineRule="exact"/>
              <w:rPr>
                <w:rFonts w:cs="Times New Roman"/>
                <w:color w:val="auto"/>
                <w:szCs w:val="21"/>
              </w:rPr>
            </w:pPr>
            <w:r>
              <w:rPr>
                <w:rFonts w:cs="Times New Roman"/>
                <w:color w:val="auto"/>
                <w:szCs w:val="21"/>
              </w:rPr>
              <w:t>重大影响，保证水</w:t>
            </w:r>
          </w:p>
          <w:p w:rsidR="00240BCE" w:rsidRDefault="00AC0334" w:rsidP="001D482D">
            <w:pPr>
              <w:pStyle w:val="24CharChar4Char4CharC"/>
              <w:spacing w:line="330" w:lineRule="exact"/>
              <w:rPr>
                <w:rFonts w:cs="Times New Roman"/>
                <w:color w:val="auto"/>
                <w:szCs w:val="21"/>
              </w:rPr>
            </w:pPr>
            <w:r>
              <w:rPr>
                <w:rFonts w:cs="Times New Roman"/>
                <w:color w:val="auto"/>
                <w:szCs w:val="21"/>
              </w:rPr>
              <w:t>体功能不受破坏</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300" w:type="pct"/>
            <w:vMerge/>
            <w:vAlign w:val="center"/>
          </w:tcPr>
          <w:p w:rsidR="00240BCE" w:rsidRDefault="00240BCE" w:rsidP="001D482D">
            <w:pPr>
              <w:spacing w:line="330" w:lineRule="exact"/>
              <w:jc w:val="center"/>
              <w:rPr>
                <w:sz w:val="21"/>
                <w:szCs w:val="21"/>
              </w:rPr>
            </w:pPr>
          </w:p>
        </w:tc>
        <w:tc>
          <w:tcPr>
            <w:tcW w:w="384" w:type="pct"/>
            <w:vAlign w:val="center"/>
          </w:tcPr>
          <w:p w:rsidR="00240BCE" w:rsidRDefault="00AC0334" w:rsidP="001D482D">
            <w:pPr>
              <w:spacing w:line="330" w:lineRule="exact"/>
              <w:jc w:val="center"/>
              <w:rPr>
                <w:sz w:val="21"/>
                <w:szCs w:val="21"/>
              </w:rPr>
            </w:pPr>
            <w:r>
              <w:rPr>
                <w:sz w:val="21"/>
                <w:szCs w:val="21"/>
              </w:rPr>
              <w:t>涌泉河</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颍河支流，</w:t>
            </w:r>
            <w:r w:rsidR="00B95226">
              <w:rPr>
                <w:rFonts w:cs="Times New Roman"/>
                <w:color w:val="auto"/>
                <w:szCs w:val="21"/>
              </w:rPr>
              <w:fldChar w:fldCharType="begin"/>
            </w:r>
            <w:r>
              <w:rPr>
                <w:rFonts w:cs="Times New Roman"/>
                <w:color w:val="auto"/>
                <w:szCs w:val="21"/>
              </w:rPr>
              <w:instrText xml:space="preserve"> = 3 \* ROMAN </w:instrText>
            </w:r>
            <w:r w:rsidR="00B95226">
              <w:rPr>
                <w:rFonts w:cs="Times New Roman"/>
                <w:color w:val="auto"/>
                <w:szCs w:val="21"/>
              </w:rPr>
              <w:fldChar w:fldCharType="separate"/>
            </w:r>
            <w:r>
              <w:rPr>
                <w:rFonts w:cs="Times New Roman"/>
                <w:color w:val="auto"/>
                <w:szCs w:val="21"/>
              </w:rPr>
              <w:t>III</w:t>
            </w:r>
            <w:r w:rsidR="00B95226">
              <w:rPr>
                <w:rFonts w:cs="Times New Roman"/>
                <w:color w:val="auto"/>
                <w:szCs w:val="21"/>
              </w:rPr>
              <w:fldChar w:fldCharType="end"/>
            </w:r>
            <w:r>
              <w:rPr>
                <w:rFonts w:cs="Times New Roman"/>
                <w:color w:val="auto"/>
                <w:szCs w:val="21"/>
              </w:rPr>
              <w:t>类水体，季节性河流，现状无水</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井田北边界外</w:t>
            </w:r>
            <w:r>
              <w:rPr>
                <w:rFonts w:hAnsi="Times New Roman" w:cs="Times New Roman"/>
                <w:color w:val="auto"/>
                <w:szCs w:val="21"/>
              </w:rPr>
              <w:t>50m</w:t>
            </w:r>
          </w:p>
        </w:tc>
        <w:tc>
          <w:tcPr>
            <w:tcW w:w="1105" w:type="pct"/>
            <w:vMerge/>
            <w:vAlign w:val="center"/>
          </w:tcPr>
          <w:p w:rsidR="00240BCE" w:rsidRDefault="00240BCE" w:rsidP="001D482D">
            <w:pPr>
              <w:pStyle w:val="24CharChar4Char4CharC"/>
              <w:spacing w:line="330" w:lineRule="exact"/>
              <w:rPr>
                <w:rFonts w:cs="Times New Roman"/>
                <w:color w:val="auto"/>
                <w:szCs w:val="21"/>
              </w:rPr>
            </w:pP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动物</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野生动物</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评价范围内</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物种和种群不减少</w:t>
            </w:r>
          </w:p>
        </w:tc>
      </w:tr>
      <w:tr w:rsidR="00240BCE" w:rsidTr="008802CA">
        <w:trPr>
          <w:jc w:val="center"/>
        </w:trPr>
        <w:tc>
          <w:tcPr>
            <w:tcW w:w="330" w:type="pct"/>
            <w:vMerge w:val="restar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土壤环境</w:t>
            </w:r>
          </w:p>
        </w:tc>
        <w:tc>
          <w:tcPr>
            <w:tcW w:w="685" w:type="pct"/>
            <w:gridSpan w:val="2"/>
            <w:vAlign w:val="center"/>
          </w:tcPr>
          <w:p w:rsidR="00240BCE" w:rsidRDefault="00AC0334" w:rsidP="001D482D">
            <w:pPr>
              <w:spacing w:line="330" w:lineRule="exact"/>
              <w:jc w:val="center"/>
              <w:rPr>
                <w:sz w:val="21"/>
                <w:szCs w:val="21"/>
              </w:rPr>
            </w:pPr>
            <w:r>
              <w:rPr>
                <w:sz w:val="21"/>
                <w:szCs w:val="21"/>
              </w:rPr>
              <w:t>采煤区土壤</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表层土壤</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评价范围内</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《土壤质量标准</w:t>
            </w:r>
            <w:r>
              <w:rPr>
                <w:rFonts w:cs="Times New Roman"/>
                <w:color w:val="auto"/>
                <w:szCs w:val="21"/>
              </w:rPr>
              <w:t xml:space="preserve"> </w:t>
            </w:r>
            <w:r>
              <w:rPr>
                <w:rFonts w:cs="Times New Roman"/>
                <w:color w:val="auto"/>
                <w:szCs w:val="21"/>
              </w:rPr>
              <w:t>农用地土壤污染风险管控标准（试行）》</w:t>
            </w:r>
          </w:p>
        </w:tc>
      </w:tr>
      <w:tr w:rsidR="00240BCE" w:rsidTr="008802CA">
        <w:trPr>
          <w:jc w:val="center"/>
        </w:trPr>
        <w:tc>
          <w:tcPr>
            <w:tcW w:w="330" w:type="pct"/>
            <w:vMerge/>
            <w:vAlign w:val="center"/>
          </w:tcPr>
          <w:p w:rsidR="00240BCE" w:rsidRDefault="00240BCE" w:rsidP="001D482D">
            <w:pPr>
              <w:pStyle w:val="24CharChar4Char4CharC"/>
              <w:spacing w:line="330" w:lineRule="exact"/>
              <w:rPr>
                <w:rFonts w:cs="Times New Roman"/>
                <w:color w:val="auto"/>
                <w:szCs w:val="21"/>
              </w:rPr>
            </w:pPr>
          </w:p>
        </w:tc>
        <w:tc>
          <w:tcPr>
            <w:tcW w:w="685" w:type="pct"/>
            <w:gridSpan w:val="2"/>
            <w:vAlign w:val="center"/>
          </w:tcPr>
          <w:p w:rsidR="00240BCE" w:rsidRDefault="00AC0334" w:rsidP="001D482D">
            <w:pPr>
              <w:spacing w:line="330" w:lineRule="exact"/>
              <w:jc w:val="center"/>
              <w:rPr>
                <w:sz w:val="21"/>
                <w:szCs w:val="21"/>
              </w:rPr>
            </w:pPr>
            <w:r>
              <w:rPr>
                <w:sz w:val="21"/>
                <w:szCs w:val="21"/>
              </w:rPr>
              <w:t>工业广场区土壤</w:t>
            </w:r>
          </w:p>
        </w:tc>
        <w:tc>
          <w:tcPr>
            <w:tcW w:w="1514"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表层土壤</w:t>
            </w:r>
          </w:p>
        </w:tc>
        <w:tc>
          <w:tcPr>
            <w:tcW w:w="1363" w:type="pct"/>
            <w:vAlign w:val="center"/>
          </w:tcPr>
          <w:p w:rsidR="00240BCE" w:rsidRDefault="00AC0334" w:rsidP="001D482D">
            <w:pPr>
              <w:pStyle w:val="184"/>
              <w:spacing w:line="330" w:lineRule="exact"/>
              <w:rPr>
                <w:rFonts w:hAnsi="Times New Roman" w:cs="Times New Roman"/>
                <w:color w:val="auto"/>
                <w:szCs w:val="21"/>
              </w:rPr>
            </w:pPr>
            <w:r>
              <w:rPr>
                <w:rFonts w:hAnsi="Times New Roman" w:cs="Times New Roman"/>
                <w:color w:val="auto"/>
                <w:szCs w:val="21"/>
              </w:rPr>
              <w:t>工业广场内</w:t>
            </w:r>
          </w:p>
        </w:tc>
        <w:tc>
          <w:tcPr>
            <w:tcW w:w="1105" w:type="pct"/>
            <w:vAlign w:val="center"/>
          </w:tcPr>
          <w:p w:rsidR="00240BCE" w:rsidRDefault="00AC0334" w:rsidP="001D482D">
            <w:pPr>
              <w:pStyle w:val="24CharChar4Char4CharC"/>
              <w:spacing w:line="330" w:lineRule="exact"/>
              <w:rPr>
                <w:rFonts w:cs="Times New Roman"/>
                <w:color w:val="auto"/>
                <w:szCs w:val="21"/>
              </w:rPr>
            </w:pPr>
            <w:r>
              <w:rPr>
                <w:rFonts w:cs="Times New Roman"/>
                <w:color w:val="auto"/>
                <w:szCs w:val="21"/>
              </w:rPr>
              <w:t>《土壤质量标准</w:t>
            </w:r>
            <w:r>
              <w:rPr>
                <w:rFonts w:cs="Times New Roman"/>
                <w:color w:val="auto"/>
                <w:szCs w:val="21"/>
              </w:rPr>
              <w:t xml:space="preserve"> </w:t>
            </w:r>
            <w:r>
              <w:rPr>
                <w:rFonts w:cs="Times New Roman"/>
                <w:color w:val="auto"/>
                <w:szCs w:val="21"/>
              </w:rPr>
              <w:t>建设用地土壤污染风险管控标准（试行）》</w:t>
            </w:r>
          </w:p>
        </w:tc>
      </w:tr>
    </w:tbl>
    <w:p w:rsidR="00240BCE" w:rsidRDefault="00AC0334">
      <w:pPr>
        <w:pStyle w:val="1"/>
        <w:spacing w:before="120" w:after="120" w:line="360" w:lineRule="auto"/>
        <w:jc w:val="center"/>
        <w:rPr>
          <w:rFonts w:eastAsia="黑体"/>
          <w:b w:val="0"/>
          <w:sz w:val="36"/>
          <w:szCs w:val="36"/>
        </w:rPr>
      </w:pPr>
      <w:bookmarkStart w:id="216" w:name="_Toc148262212"/>
      <w:bookmarkStart w:id="217" w:name="_Toc143941629"/>
      <w:bookmarkEnd w:id="46"/>
      <w:bookmarkEnd w:id="47"/>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rFonts w:eastAsia="黑体"/>
          <w:b w:val="0"/>
          <w:sz w:val="36"/>
          <w:szCs w:val="36"/>
        </w:rPr>
        <w:br w:type="page"/>
      </w:r>
      <w:bookmarkStart w:id="218" w:name="_Toc30179_WPSOffice_Level3"/>
      <w:bookmarkStart w:id="219" w:name="_Toc79668615"/>
      <w:bookmarkStart w:id="220" w:name="_Toc81934369"/>
      <w:r>
        <w:rPr>
          <w:rFonts w:eastAsia="黑体"/>
          <w:b w:val="0"/>
          <w:bCs w:val="0"/>
          <w:sz w:val="36"/>
          <w:szCs w:val="36"/>
        </w:rPr>
        <w:lastRenderedPageBreak/>
        <w:t xml:space="preserve">3 </w:t>
      </w:r>
      <w:r>
        <w:rPr>
          <w:rFonts w:eastAsia="黑体"/>
          <w:b w:val="0"/>
          <w:bCs w:val="0"/>
          <w:sz w:val="36"/>
          <w:szCs w:val="36"/>
        </w:rPr>
        <w:t>工程概况</w:t>
      </w:r>
      <w:bookmarkEnd w:id="216"/>
      <w:bookmarkEnd w:id="217"/>
      <w:r>
        <w:rPr>
          <w:rFonts w:eastAsia="黑体"/>
          <w:b w:val="0"/>
          <w:bCs w:val="0"/>
          <w:sz w:val="36"/>
          <w:szCs w:val="36"/>
        </w:rPr>
        <w:t>与工程分析</w:t>
      </w:r>
      <w:bookmarkEnd w:id="218"/>
      <w:bookmarkEnd w:id="219"/>
      <w:bookmarkEnd w:id="220"/>
    </w:p>
    <w:p w:rsidR="00240BCE" w:rsidRDefault="00AC0334" w:rsidP="009C5F33">
      <w:pPr>
        <w:pStyle w:val="2"/>
        <w:adjustRightInd w:val="0"/>
        <w:snapToGrid w:val="0"/>
        <w:spacing w:beforeLines="100" w:afterLines="50" w:line="240" w:lineRule="auto"/>
        <w:jc w:val="left"/>
        <w:rPr>
          <w:rFonts w:ascii="Times New Roman" w:eastAsia="宋体" w:hAnsi="Times New Roman"/>
          <w:bCs/>
          <w:spacing w:val="2"/>
          <w:szCs w:val="32"/>
        </w:rPr>
      </w:pPr>
      <w:bookmarkStart w:id="221" w:name="_Toc79668616"/>
      <w:bookmarkStart w:id="222" w:name="_Toc81934370"/>
      <w:bookmarkStart w:id="223" w:name="_Toc143941630"/>
      <w:bookmarkStart w:id="224" w:name="_Toc148262213"/>
      <w:r>
        <w:rPr>
          <w:rFonts w:ascii="Times New Roman" w:eastAsia="宋体" w:hAnsi="Times New Roman"/>
          <w:bCs/>
          <w:spacing w:val="2"/>
          <w:szCs w:val="32"/>
        </w:rPr>
        <w:t>3.1</w:t>
      </w:r>
      <w:r>
        <w:rPr>
          <w:rFonts w:ascii="Times New Roman" w:eastAsia="宋体" w:hAnsi="Times New Roman"/>
          <w:bCs/>
          <w:spacing w:val="2"/>
          <w:szCs w:val="32"/>
        </w:rPr>
        <w:t>升级改造前现有工程概况</w:t>
      </w:r>
      <w:bookmarkEnd w:id="221"/>
      <w:bookmarkEnd w:id="222"/>
    </w:p>
    <w:p w:rsidR="00240BCE" w:rsidRDefault="00AC0334" w:rsidP="009C5F33">
      <w:pPr>
        <w:pStyle w:val="30"/>
        <w:adjustRightInd w:val="0"/>
        <w:snapToGrid w:val="0"/>
        <w:spacing w:beforeLines="70" w:afterLines="30" w:line="240" w:lineRule="auto"/>
        <w:jc w:val="left"/>
        <w:rPr>
          <w:rFonts w:eastAsia="楷体"/>
          <w:sz w:val="28"/>
          <w:szCs w:val="28"/>
        </w:rPr>
      </w:pPr>
      <w:bookmarkStart w:id="225" w:name="_Toc79668617"/>
      <w:r>
        <w:rPr>
          <w:rFonts w:eastAsia="楷体"/>
          <w:sz w:val="28"/>
          <w:szCs w:val="28"/>
        </w:rPr>
        <w:t xml:space="preserve">3.1.1 </w:t>
      </w:r>
      <w:r>
        <w:rPr>
          <w:rFonts w:eastAsia="楷体"/>
          <w:sz w:val="28"/>
          <w:szCs w:val="28"/>
        </w:rPr>
        <w:t>现有工程建设历史及环保手续办理情况</w:t>
      </w:r>
      <w:bookmarkEnd w:id="225"/>
    </w:p>
    <w:p w:rsidR="00240BCE" w:rsidRDefault="00AC0334">
      <w:pPr>
        <w:spacing w:line="520" w:lineRule="exact"/>
        <w:ind w:firstLineChars="200" w:firstLine="480"/>
        <w:rPr>
          <w:sz w:val="24"/>
        </w:rPr>
      </w:pPr>
      <w:r>
        <w:rPr>
          <w:sz w:val="24"/>
        </w:rPr>
        <w:t>1</w:t>
      </w:r>
      <w:r>
        <w:rPr>
          <w:sz w:val="24"/>
        </w:rPr>
        <w:t>、现有工程建设历史</w:t>
      </w:r>
    </w:p>
    <w:p w:rsidR="00240BCE" w:rsidRDefault="00AC0334">
      <w:pPr>
        <w:spacing w:line="520" w:lineRule="exact"/>
        <w:ind w:firstLineChars="200" w:firstLine="480"/>
        <w:rPr>
          <w:sz w:val="24"/>
        </w:rPr>
      </w:pPr>
      <w:r>
        <w:rPr>
          <w:sz w:val="24"/>
        </w:rPr>
        <w:t>禹州神火隆庆矿业有限公司前身为禹州市大山煤业有限公司，是由原禹州市鸠山乡东明煤矿、禹州市黄庄一矿及赵沟联办煤矿整合而成，整合后由义马广宇工程设计咨询有限责任公司编写完成了《禹州市大山煤业有限公司技术改造初步设计》；</w:t>
      </w:r>
      <w:r>
        <w:rPr>
          <w:sz w:val="24"/>
        </w:rPr>
        <w:t>2010</w:t>
      </w:r>
      <w:r>
        <w:rPr>
          <w:sz w:val="24"/>
        </w:rPr>
        <w:t>年</w:t>
      </w:r>
      <w:r>
        <w:rPr>
          <w:sz w:val="24"/>
        </w:rPr>
        <w:t>6</w:t>
      </w:r>
      <w:r>
        <w:rPr>
          <w:sz w:val="24"/>
        </w:rPr>
        <w:t>月按照河南省政府兼并重组有关政策要求，由神火集团对该矿实施兼并重组，重组后更名为禹州神火隆庆矿业有限公司。</w:t>
      </w:r>
    </w:p>
    <w:p w:rsidR="00240BCE" w:rsidRDefault="00AC0334">
      <w:pPr>
        <w:spacing w:line="520" w:lineRule="exact"/>
        <w:ind w:firstLineChars="200" w:firstLine="480"/>
        <w:rPr>
          <w:sz w:val="24"/>
        </w:rPr>
      </w:pPr>
      <w:r>
        <w:rPr>
          <w:sz w:val="24"/>
        </w:rPr>
        <w:t>2017</w:t>
      </w:r>
      <w:r>
        <w:rPr>
          <w:sz w:val="24"/>
        </w:rPr>
        <w:t>年</w:t>
      </w:r>
      <w:r>
        <w:rPr>
          <w:sz w:val="24"/>
        </w:rPr>
        <w:t>6</w:t>
      </w:r>
      <w:r>
        <w:rPr>
          <w:sz w:val="24"/>
        </w:rPr>
        <w:t>月</w:t>
      </w:r>
      <w:r>
        <w:rPr>
          <w:sz w:val="24"/>
        </w:rPr>
        <w:t>12</w:t>
      </w:r>
      <w:r>
        <w:rPr>
          <w:sz w:val="24"/>
        </w:rPr>
        <w:t>日，禹州市煤炭企业兼并重组领导小组办公室禹煤重组办</w:t>
      </w:r>
      <w:r>
        <w:rPr>
          <w:sz w:val="24"/>
        </w:rPr>
        <w:t>[2017]1</w:t>
      </w:r>
      <w:r>
        <w:rPr>
          <w:sz w:val="24"/>
        </w:rPr>
        <w:t>号文《关于批准禹州神火隆庆矿业有限公司进行井下隐患整改的通知》批复同意隆庆矿隐患整改工作；隐患整改过程中，由于</w:t>
      </w:r>
      <w:r>
        <w:rPr>
          <w:rFonts w:eastAsia="新宋体"/>
          <w:kern w:val="0"/>
          <w:sz w:val="24"/>
          <w:lang w:val="zh-CN"/>
        </w:rPr>
        <w:t>矿井技改工作断断续续，时间跨度较大，</w:t>
      </w:r>
      <w:r>
        <w:rPr>
          <w:sz w:val="24"/>
        </w:rPr>
        <w:t>为能够真实反映矿井的建设状况，同时为矿井下一步的建设、生产管理提供较为准确、详实的资料，</w:t>
      </w:r>
      <w:r>
        <w:rPr>
          <w:sz w:val="24"/>
        </w:rPr>
        <w:t>2018</w:t>
      </w:r>
      <w:r>
        <w:rPr>
          <w:sz w:val="24"/>
        </w:rPr>
        <w:t>年</w:t>
      </w:r>
      <w:r>
        <w:rPr>
          <w:sz w:val="24"/>
        </w:rPr>
        <w:t>3</w:t>
      </w:r>
      <w:r w:rsidR="004A1316">
        <w:rPr>
          <w:sz w:val="24"/>
        </w:rPr>
        <w:t>月，隆庆煤矿委托</w:t>
      </w:r>
      <w:r>
        <w:rPr>
          <w:sz w:val="24"/>
        </w:rPr>
        <w:t>中赟国际工程股份有限公司编制了《禹州神火隆庆矿业有限公司技术改造初步设计（修改）》，该报告获河南省煤炭工业管理办公室以</w:t>
      </w:r>
      <w:r>
        <w:rPr>
          <w:sz w:val="24"/>
        </w:rPr>
        <w:t>“</w:t>
      </w:r>
      <w:r>
        <w:rPr>
          <w:sz w:val="24"/>
        </w:rPr>
        <w:t>豫煤行〔</w:t>
      </w:r>
      <w:r>
        <w:rPr>
          <w:sz w:val="24"/>
        </w:rPr>
        <w:t>2018</w:t>
      </w:r>
      <w:r>
        <w:rPr>
          <w:sz w:val="24"/>
        </w:rPr>
        <w:t>〕</w:t>
      </w:r>
      <w:r>
        <w:rPr>
          <w:sz w:val="24"/>
        </w:rPr>
        <w:t>105</w:t>
      </w:r>
      <w:r>
        <w:rPr>
          <w:sz w:val="24"/>
        </w:rPr>
        <w:t>号</w:t>
      </w:r>
      <w:r>
        <w:rPr>
          <w:sz w:val="24"/>
        </w:rPr>
        <w:t>”</w:t>
      </w:r>
      <w:r>
        <w:rPr>
          <w:sz w:val="24"/>
        </w:rPr>
        <w:t>文批复同意，矿井设计生产能力</w:t>
      </w:r>
      <w:r>
        <w:rPr>
          <w:sz w:val="24"/>
        </w:rPr>
        <w:t>0.15Mt/a</w:t>
      </w:r>
      <w:r>
        <w:rPr>
          <w:sz w:val="24"/>
        </w:rPr>
        <w:t>。</w:t>
      </w:r>
    </w:p>
    <w:p w:rsidR="004A1316" w:rsidRPr="004A1316" w:rsidRDefault="004A1316" w:rsidP="004A1316">
      <w:pPr>
        <w:spacing w:line="520" w:lineRule="exact"/>
        <w:ind w:firstLineChars="200" w:firstLine="482"/>
        <w:rPr>
          <w:b/>
          <w:i/>
          <w:sz w:val="24"/>
          <w:u w:val="single"/>
        </w:rPr>
      </w:pPr>
      <w:r w:rsidRPr="004A1316">
        <w:rPr>
          <w:b/>
          <w:i/>
          <w:sz w:val="24"/>
          <w:u w:val="single"/>
        </w:rPr>
        <w:t>2018</w:t>
      </w:r>
      <w:r w:rsidRPr="004A1316">
        <w:rPr>
          <w:b/>
          <w:i/>
          <w:sz w:val="24"/>
          <w:u w:val="single"/>
        </w:rPr>
        <w:t>年</w:t>
      </w:r>
      <w:r w:rsidRPr="004A1316">
        <w:rPr>
          <w:b/>
          <w:i/>
          <w:sz w:val="24"/>
          <w:u w:val="single"/>
        </w:rPr>
        <w:t>6</w:t>
      </w:r>
      <w:r w:rsidRPr="004A1316">
        <w:rPr>
          <w:b/>
          <w:i/>
          <w:sz w:val="24"/>
          <w:u w:val="single"/>
        </w:rPr>
        <w:t>月</w:t>
      </w:r>
      <w:r w:rsidRPr="004A1316">
        <w:rPr>
          <w:b/>
          <w:i/>
          <w:sz w:val="24"/>
          <w:u w:val="single"/>
        </w:rPr>
        <w:t>16</w:t>
      </w:r>
      <w:r w:rsidRPr="004A1316">
        <w:rPr>
          <w:b/>
          <w:i/>
          <w:sz w:val="24"/>
          <w:u w:val="single"/>
        </w:rPr>
        <w:t>日禹煤重组</w:t>
      </w:r>
      <w:r w:rsidRPr="004A1316">
        <w:rPr>
          <w:b/>
          <w:i/>
          <w:sz w:val="24"/>
          <w:u w:val="single"/>
        </w:rPr>
        <w:t>[2018]2</w:t>
      </w:r>
      <w:r w:rsidRPr="004A1316">
        <w:rPr>
          <w:b/>
          <w:i/>
          <w:sz w:val="24"/>
          <w:u w:val="single"/>
        </w:rPr>
        <w:t>号文批复同意隆庆矿复工</w:t>
      </w:r>
      <w:r w:rsidRPr="004A1316">
        <w:rPr>
          <w:rFonts w:hint="eastAsia"/>
          <w:b/>
          <w:i/>
          <w:sz w:val="24"/>
          <w:u w:val="single"/>
        </w:rPr>
        <w:t>后</w:t>
      </w:r>
      <w:r w:rsidRPr="004A1316">
        <w:rPr>
          <w:b/>
          <w:i/>
          <w:sz w:val="24"/>
          <w:u w:val="single"/>
        </w:rPr>
        <w:t>，</w:t>
      </w:r>
      <w:r w:rsidRPr="004A1316">
        <w:rPr>
          <w:rFonts w:hint="eastAsia"/>
          <w:b/>
          <w:i/>
          <w:sz w:val="24"/>
          <w:u w:val="single"/>
        </w:rPr>
        <w:t>即根据该初步设计（修改）进行改造</w:t>
      </w:r>
      <w:r w:rsidRPr="004A1316">
        <w:rPr>
          <w:b/>
          <w:i/>
          <w:sz w:val="24"/>
          <w:u w:val="single"/>
        </w:rPr>
        <w:t>。</w:t>
      </w:r>
      <w:r w:rsidRPr="004A1316">
        <w:rPr>
          <w:rFonts w:hint="eastAsia"/>
          <w:b/>
          <w:i/>
          <w:sz w:val="24"/>
          <w:u w:val="single"/>
        </w:rPr>
        <w:t>井下一直处于通风排水状态，地面部分环境保护措施和设施未落实到位。</w:t>
      </w:r>
    </w:p>
    <w:p w:rsidR="00240BCE" w:rsidRDefault="00AC0334">
      <w:pPr>
        <w:spacing w:line="520" w:lineRule="exact"/>
        <w:ind w:firstLineChars="200" w:firstLine="480"/>
        <w:rPr>
          <w:sz w:val="24"/>
        </w:rPr>
      </w:pPr>
      <w:r>
        <w:rPr>
          <w:sz w:val="24"/>
        </w:rPr>
        <w:t>2</w:t>
      </w:r>
      <w:r>
        <w:rPr>
          <w:sz w:val="24"/>
        </w:rPr>
        <w:t>、环保手续履行情况</w:t>
      </w:r>
    </w:p>
    <w:p w:rsidR="00240BCE" w:rsidRDefault="00AC0334">
      <w:pPr>
        <w:spacing w:line="520" w:lineRule="exact"/>
        <w:ind w:firstLineChars="200" w:firstLine="480"/>
        <w:rPr>
          <w:sz w:val="24"/>
        </w:rPr>
      </w:pPr>
      <w:r>
        <w:rPr>
          <w:sz w:val="24"/>
        </w:rPr>
        <w:t>资源整合后，</w:t>
      </w:r>
      <w:r>
        <w:rPr>
          <w:sz w:val="24"/>
        </w:rPr>
        <w:t>2005</w:t>
      </w:r>
      <w:r>
        <w:rPr>
          <w:sz w:val="24"/>
        </w:rPr>
        <w:t>年</w:t>
      </w:r>
      <w:r>
        <w:rPr>
          <w:sz w:val="24"/>
        </w:rPr>
        <w:t>10</w:t>
      </w:r>
      <w:r>
        <w:rPr>
          <w:sz w:val="24"/>
        </w:rPr>
        <w:t>月委托许昌市环保研究所编写完成了《禹州市大山煤业有限公司年产</w:t>
      </w:r>
      <w:r>
        <w:rPr>
          <w:sz w:val="24"/>
        </w:rPr>
        <w:t>15</w:t>
      </w:r>
      <w:r>
        <w:rPr>
          <w:sz w:val="24"/>
        </w:rPr>
        <w:t>万吨煤炭开采技改项目环境影响报告表》，</w:t>
      </w:r>
      <w:r>
        <w:rPr>
          <w:sz w:val="24"/>
        </w:rPr>
        <w:t>2005</w:t>
      </w:r>
      <w:r>
        <w:rPr>
          <w:sz w:val="24"/>
        </w:rPr>
        <w:t>年</w:t>
      </w:r>
      <w:r>
        <w:rPr>
          <w:sz w:val="24"/>
        </w:rPr>
        <w:t>10</w:t>
      </w:r>
      <w:r>
        <w:rPr>
          <w:sz w:val="24"/>
        </w:rPr>
        <w:t>月</w:t>
      </w:r>
      <w:r>
        <w:rPr>
          <w:sz w:val="24"/>
        </w:rPr>
        <w:t>26</w:t>
      </w:r>
      <w:r>
        <w:rPr>
          <w:sz w:val="24"/>
        </w:rPr>
        <w:t>日原许昌市环境保护局以许环建审【</w:t>
      </w:r>
      <w:r>
        <w:rPr>
          <w:sz w:val="24"/>
        </w:rPr>
        <w:t>2005</w:t>
      </w:r>
      <w:r>
        <w:rPr>
          <w:sz w:val="24"/>
        </w:rPr>
        <w:t>】</w:t>
      </w:r>
      <w:r>
        <w:rPr>
          <w:sz w:val="24"/>
        </w:rPr>
        <w:t>231</w:t>
      </w:r>
      <w:r>
        <w:rPr>
          <w:sz w:val="24"/>
        </w:rPr>
        <w:t>号批复了该报告表。</w:t>
      </w:r>
    </w:p>
    <w:p w:rsidR="00240BCE" w:rsidRDefault="00240BCE" w:rsidP="00C6168E">
      <w:pPr>
        <w:pStyle w:val="a1"/>
        <w:spacing w:after="0" w:line="520" w:lineRule="exact"/>
        <w:ind w:firstLineChars="200" w:firstLine="480"/>
        <w:rPr>
          <w:sz w:val="24"/>
        </w:rPr>
      </w:pP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26" w:name="_Toc79668618"/>
      <w:r>
        <w:rPr>
          <w:rFonts w:eastAsia="楷体"/>
          <w:sz w:val="28"/>
          <w:szCs w:val="28"/>
        </w:rPr>
        <w:lastRenderedPageBreak/>
        <w:t xml:space="preserve">3.1.2 </w:t>
      </w:r>
      <w:r>
        <w:rPr>
          <w:rFonts w:eastAsia="楷体"/>
          <w:sz w:val="28"/>
          <w:szCs w:val="28"/>
        </w:rPr>
        <w:t>现有工程资源整合前遗留问题回顾</w:t>
      </w:r>
      <w:bookmarkEnd w:id="226"/>
    </w:p>
    <w:p w:rsidR="00240BCE" w:rsidRDefault="00AC0334">
      <w:pPr>
        <w:pStyle w:val="a2"/>
        <w:adjustRightInd w:val="0"/>
        <w:snapToGrid w:val="0"/>
        <w:spacing w:line="520" w:lineRule="exact"/>
        <w:ind w:firstLineChars="0" w:firstLine="560"/>
        <w:rPr>
          <w:b/>
          <w:i/>
          <w:sz w:val="24"/>
          <w:u w:val="single"/>
        </w:rPr>
      </w:pPr>
      <w:r>
        <w:rPr>
          <w:sz w:val="24"/>
        </w:rPr>
        <w:t>根据调查，现有工程是由原禹州市鸠山乡东明煤矿、禹州市黄庄一矿及赵沟联办煤矿整合而成</w:t>
      </w:r>
      <w:r w:rsidRPr="00C6168E">
        <w:rPr>
          <w:b/>
          <w:i/>
          <w:sz w:val="24"/>
          <w:u w:val="single"/>
        </w:rPr>
        <w:t>。</w:t>
      </w:r>
      <w:r w:rsidR="00B95226" w:rsidRPr="00C6168E">
        <w:rPr>
          <w:b/>
          <w:i/>
          <w:sz w:val="24"/>
          <w:u w:val="single"/>
        </w:rPr>
        <w:fldChar w:fldCharType="begin"/>
      </w:r>
      <w:r w:rsidRPr="00C6168E">
        <w:rPr>
          <w:b/>
          <w:i/>
          <w:sz w:val="24"/>
          <w:u w:val="single"/>
        </w:rPr>
        <w:instrText xml:space="preserve"> = 1 \* GB3 </w:instrText>
      </w:r>
      <w:r w:rsidR="00B95226" w:rsidRPr="00C6168E">
        <w:rPr>
          <w:b/>
          <w:i/>
          <w:sz w:val="24"/>
          <w:u w:val="single"/>
        </w:rPr>
        <w:fldChar w:fldCharType="separate"/>
      </w:r>
      <w:r w:rsidRPr="00C6168E">
        <w:rPr>
          <w:b/>
          <w:i/>
          <w:sz w:val="24"/>
          <w:u w:val="single"/>
        </w:rPr>
        <w:t>①</w:t>
      </w:r>
      <w:r w:rsidR="00B95226" w:rsidRPr="00C6168E">
        <w:rPr>
          <w:b/>
          <w:i/>
          <w:sz w:val="24"/>
          <w:u w:val="single"/>
        </w:rPr>
        <w:fldChar w:fldCharType="end"/>
      </w:r>
      <w:r w:rsidRPr="00C6168E">
        <w:rPr>
          <w:b/>
          <w:i/>
          <w:sz w:val="24"/>
          <w:u w:val="single"/>
        </w:rPr>
        <w:t>资源整合前原禹州市鸠山乡东明煤矿采用竖井开拓，设有工业场地及主井、副井两个井筒，已采原煤约</w:t>
      </w:r>
      <w:r w:rsidRPr="00C6168E">
        <w:rPr>
          <w:b/>
          <w:i/>
          <w:sz w:val="24"/>
          <w:u w:val="single"/>
        </w:rPr>
        <w:t>56.1</w:t>
      </w:r>
      <w:r w:rsidRPr="00C6168E">
        <w:rPr>
          <w:b/>
          <w:i/>
          <w:sz w:val="24"/>
          <w:u w:val="single"/>
        </w:rPr>
        <w:t>万吨，采空区约</w:t>
      </w:r>
      <w:r w:rsidRPr="00C6168E">
        <w:rPr>
          <w:b/>
          <w:i/>
          <w:sz w:val="24"/>
          <w:u w:val="single"/>
        </w:rPr>
        <w:t>9.46hm</w:t>
      </w:r>
      <w:r w:rsidRPr="00C6168E">
        <w:rPr>
          <w:b/>
          <w:i/>
          <w:sz w:val="24"/>
          <w:u w:val="single"/>
          <w:vertAlign w:val="superscript"/>
        </w:rPr>
        <w:t>2</w:t>
      </w:r>
      <w:r w:rsidRPr="00C6168E">
        <w:rPr>
          <w:b/>
          <w:i/>
          <w:sz w:val="24"/>
          <w:u w:val="single"/>
        </w:rPr>
        <w:t>，目前采空区已稳定，且资源整合后仍利用原禹州市鸠山乡东明煤矿遗留的工业场地及井筒，并在此基础上技术改造，因此原禹州市鸠山乡东明煤矿基本没有遗留问题；</w:t>
      </w:r>
      <w:r w:rsidR="00B95226" w:rsidRPr="00C6168E">
        <w:rPr>
          <w:b/>
          <w:i/>
          <w:sz w:val="24"/>
          <w:u w:val="single"/>
        </w:rPr>
        <w:fldChar w:fldCharType="begin"/>
      </w:r>
      <w:r w:rsidRPr="00C6168E">
        <w:rPr>
          <w:b/>
          <w:i/>
          <w:sz w:val="24"/>
          <w:u w:val="single"/>
        </w:rPr>
        <w:instrText xml:space="preserve"> = 2 \* GB3 </w:instrText>
      </w:r>
      <w:r w:rsidR="00B95226" w:rsidRPr="00C6168E">
        <w:rPr>
          <w:b/>
          <w:i/>
          <w:sz w:val="24"/>
          <w:u w:val="single"/>
        </w:rPr>
        <w:fldChar w:fldCharType="separate"/>
      </w:r>
      <w:r w:rsidRPr="00C6168E">
        <w:rPr>
          <w:b/>
          <w:i/>
          <w:sz w:val="24"/>
          <w:u w:val="single"/>
        </w:rPr>
        <w:t>②</w:t>
      </w:r>
      <w:r w:rsidR="00B95226" w:rsidRPr="00C6168E">
        <w:rPr>
          <w:b/>
          <w:i/>
          <w:sz w:val="24"/>
          <w:u w:val="single"/>
        </w:rPr>
        <w:fldChar w:fldCharType="end"/>
      </w:r>
      <w:r w:rsidRPr="00C6168E">
        <w:rPr>
          <w:b/>
          <w:i/>
          <w:sz w:val="24"/>
          <w:u w:val="single"/>
        </w:rPr>
        <w:t>原禹州市黄庄一矿开采二</w:t>
      </w:r>
      <w:r w:rsidRPr="00C6168E">
        <w:rPr>
          <w:b/>
          <w:i/>
          <w:sz w:val="24"/>
          <w:u w:val="single"/>
          <w:vertAlign w:val="subscript"/>
        </w:rPr>
        <w:t>1</w:t>
      </w:r>
      <w:r w:rsidRPr="00C6168E">
        <w:rPr>
          <w:b/>
          <w:i/>
          <w:sz w:val="24"/>
          <w:u w:val="single"/>
        </w:rPr>
        <w:t>煤，采用立井开拓，设置有工业场地及主井、副井两个井筒等，已采原煤约</w:t>
      </w:r>
      <w:r w:rsidRPr="00C6168E">
        <w:rPr>
          <w:b/>
          <w:i/>
          <w:sz w:val="24"/>
          <w:u w:val="single"/>
        </w:rPr>
        <w:t>5.3</w:t>
      </w:r>
      <w:r w:rsidRPr="00C6168E">
        <w:rPr>
          <w:b/>
          <w:i/>
          <w:sz w:val="24"/>
          <w:u w:val="single"/>
        </w:rPr>
        <w:t>万吨，采空区约</w:t>
      </w:r>
      <w:r w:rsidRPr="00C6168E">
        <w:rPr>
          <w:b/>
          <w:i/>
          <w:sz w:val="24"/>
          <w:u w:val="single"/>
        </w:rPr>
        <w:t>0.89hm</w:t>
      </w:r>
      <w:r w:rsidRPr="00C6168E">
        <w:rPr>
          <w:b/>
          <w:i/>
          <w:sz w:val="24"/>
          <w:u w:val="single"/>
          <w:vertAlign w:val="superscript"/>
        </w:rPr>
        <w:t>2</w:t>
      </w:r>
      <w:r w:rsidRPr="00C6168E">
        <w:rPr>
          <w:b/>
          <w:i/>
          <w:sz w:val="24"/>
          <w:u w:val="single"/>
        </w:rPr>
        <w:t>，目前采空区已稳定，井筒均已封填，工业场地已拆除</w:t>
      </w:r>
      <w:r w:rsidR="0007685C">
        <w:rPr>
          <w:rFonts w:hint="eastAsia"/>
          <w:b/>
          <w:i/>
          <w:sz w:val="24"/>
          <w:u w:val="single"/>
        </w:rPr>
        <w:t>，场地</w:t>
      </w:r>
      <w:r w:rsidR="00C675D4">
        <w:rPr>
          <w:rFonts w:hint="eastAsia"/>
          <w:b/>
          <w:i/>
          <w:sz w:val="24"/>
          <w:u w:val="single"/>
        </w:rPr>
        <w:t>内除了恢复植被外，仍有少量矸石遗留</w:t>
      </w:r>
      <w:r w:rsidRPr="00C6168E">
        <w:rPr>
          <w:b/>
          <w:i/>
          <w:sz w:val="24"/>
          <w:u w:val="single"/>
        </w:rPr>
        <w:t>；</w:t>
      </w:r>
      <w:r w:rsidR="00B95226" w:rsidRPr="00C6168E">
        <w:rPr>
          <w:b/>
          <w:i/>
          <w:sz w:val="24"/>
          <w:u w:val="single"/>
        </w:rPr>
        <w:fldChar w:fldCharType="begin"/>
      </w:r>
      <w:r w:rsidRPr="00C6168E">
        <w:rPr>
          <w:b/>
          <w:i/>
          <w:sz w:val="24"/>
          <w:u w:val="single"/>
        </w:rPr>
        <w:instrText xml:space="preserve"> = 3 \* GB3 </w:instrText>
      </w:r>
      <w:r w:rsidR="00B95226" w:rsidRPr="00C6168E">
        <w:rPr>
          <w:b/>
          <w:i/>
          <w:sz w:val="24"/>
          <w:u w:val="single"/>
        </w:rPr>
        <w:fldChar w:fldCharType="separate"/>
      </w:r>
      <w:r w:rsidRPr="00C6168E">
        <w:rPr>
          <w:b/>
          <w:i/>
          <w:sz w:val="24"/>
          <w:u w:val="single"/>
        </w:rPr>
        <w:t>③</w:t>
      </w:r>
      <w:r w:rsidR="00B95226" w:rsidRPr="00C6168E">
        <w:rPr>
          <w:b/>
          <w:i/>
          <w:sz w:val="24"/>
          <w:u w:val="single"/>
        </w:rPr>
        <w:fldChar w:fldCharType="end"/>
      </w:r>
      <w:r w:rsidRPr="00C6168E">
        <w:rPr>
          <w:b/>
          <w:i/>
          <w:sz w:val="24"/>
          <w:u w:val="single"/>
        </w:rPr>
        <w:t>原赵沟联办煤矿开采四</w:t>
      </w:r>
      <w:r w:rsidRPr="00C6168E">
        <w:rPr>
          <w:b/>
          <w:i/>
          <w:sz w:val="24"/>
          <w:u w:val="single"/>
          <w:vertAlign w:val="subscript"/>
        </w:rPr>
        <w:t>1</w:t>
      </w:r>
      <w:r w:rsidRPr="00C6168E">
        <w:rPr>
          <w:b/>
          <w:i/>
          <w:sz w:val="24"/>
          <w:u w:val="single"/>
        </w:rPr>
        <w:t>煤，采用斜井开拓，设有工业场地及主斜井、副井两个井筒，已采原煤约</w:t>
      </w:r>
      <w:r w:rsidRPr="00C6168E">
        <w:rPr>
          <w:b/>
          <w:i/>
          <w:sz w:val="24"/>
          <w:u w:val="single"/>
        </w:rPr>
        <w:t>3.6</w:t>
      </w:r>
      <w:r w:rsidRPr="00C6168E">
        <w:rPr>
          <w:b/>
          <w:i/>
          <w:sz w:val="24"/>
          <w:u w:val="single"/>
        </w:rPr>
        <w:t>万吨，采空区约</w:t>
      </w:r>
      <w:r w:rsidRPr="00C6168E">
        <w:rPr>
          <w:b/>
          <w:i/>
          <w:sz w:val="24"/>
          <w:u w:val="single"/>
        </w:rPr>
        <w:t>1.5hm</w:t>
      </w:r>
      <w:r w:rsidRPr="00C6168E">
        <w:rPr>
          <w:b/>
          <w:i/>
          <w:sz w:val="24"/>
          <w:u w:val="single"/>
          <w:vertAlign w:val="superscript"/>
        </w:rPr>
        <w:t>2</w:t>
      </w:r>
      <w:r w:rsidRPr="00C6168E">
        <w:rPr>
          <w:b/>
          <w:i/>
          <w:sz w:val="24"/>
          <w:u w:val="single"/>
        </w:rPr>
        <w:t>，目前</w:t>
      </w:r>
      <w:r w:rsidR="00C675D4" w:rsidRPr="00C6168E">
        <w:rPr>
          <w:b/>
          <w:i/>
          <w:sz w:val="24"/>
          <w:u w:val="single"/>
        </w:rPr>
        <w:t>井筒均已封填，工业场地已拆除</w:t>
      </w:r>
      <w:r w:rsidR="00C675D4">
        <w:rPr>
          <w:rFonts w:hint="eastAsia"/>
          <w:b/>
          <w:i/>
          <w:sz w:val="24"/>
          <w:u w:val="single"/>
        </w:rPr>
        <w:t>，场地内除了恢复植被外，仍有少量矸石遗留</w:t>
      </w:r>
      <w:r w:rsidRPr="00C6168E">
        <w:rPr>
          <w:b/>
          <w:i/>
          <w:sz w:val="24"/>
          <w:u w:val="single"/>
        </w:rPr>
        <w:t>。</w:t>
      </w:r>
      <w:r w:rsidR="00FE36CF">
        <w:rPr>
          <w:rFonts w:hint="eastAsia"/>
          <w:b/>
          <w:i/>
          <w:sz w:val="24"/>
          <w:u w:val="single"/>
        </w:rPr>
        <w:t>具体见表</w:t>
      </w:r>
      <w:r w:rsidR="00FE36CF">
        <w:rPr>
          <w:rFonts w:hint="eastAsia"/>
          <w:b/>
          <w:i/>
          <w:sz w:val="24"/>
          <w:u w:val="single"/>
        </w:rPr>
        <w:t>3.1-1</w:t>
      </w:r>
      <w:r w:rsidR="00FE36CF">
        <w:rPr>
          <w:rFonts w:hint="eastAsia"/>
          <w:b/>
          <w:i/>
          <w:sz w:val="24"/>
          <w:u w:val="single"/>
        </w:rPr>
        <w:t>。</w:t>
      </w:r>
    </w:p>
    <w:p w:rsidR="00FE36CF" w:rsidRDefault="00FE36CF" w:rsidP="00FE36CF">
      <w:pPr>
        <w:spacing w:line="520" w:lineRule="exact"/>
        <w:jc w:val="center"/>
        <w:rPr>
          <w:b/>
          <w:sz w:val="24"/>
        </w:rPr>
      </w:pPr>
      <w:r>
        <w:rPr>
          <w:b/>
          <w:sz w:val="24"/>
        </w:rPr>
        <w:t>表</w:t>
      </w:r>
      <w:r>
        <w:rPr>
          <w:b/>
          <w:sz w:val="24"/>
        </w:rPr>
        <w:t xml:space="preserve">3.1-1 </w:t>
      </w:r>
      <w:r>
        <w:rPr>
          <w:rFonts w:hint="eastAsia"/>
          <w:b/>
          <w:sz w:val="24"/>
        </w:rPr>
        <w:t>资源整合前</w:t>
      </w:r>
      <w:r w:rsidRPr="00FE36CF">
        <w:rPr>
          <w:b/>
          <w:sz w:val="24"/>
        </w:rPr>
        <w:t>遗留问题回顾</w:t>
      </w:r>
      <w:r>
        <w:rPr>
          <w:rFonts w:hint="eastAsia"/>
          <w:b/>
          <w:sz w:val="24"/>
        </w:rPr>
        <w:t>调查一览表</w:t>
      </w:r>
    </w:p>
    <w:tbl>
      <w:tblPr>
        <w:tblW w:w="5002"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5" w:type="dxa"/>
          <w:right w:w="15" w:type="dxa"/>
        </w:tblCellMar>
        <w:tblLook w:val="04A0"/>
      </w:tblPr>
      <w:tblGrid>
        <w:gridCol w:w="1149"/>
        <w:gridCol w:w="2976"/>
        <w:gridCol w:w="3403"/>
        <w:gridCol w:w="1009"/>
      </w:tblGrid>
      <w:tr w:rsidR="00FE36CF" w:rsidRPr="00FE36CF" w:rsidTr="006E2C96">
        <w:trPr>
          <w:trHeight w:val="400"/>
        </w:trPr>
        <w:tc>
          <w:tcPr>
            <w:tcW w:w="673" w:type="pct"/>
            <w:vAlign w:val="center"/>
          </w:tcPr>
          <w:p w:rsidR="00FE36CF" w:rsidRPr="00FE36CF" w:rsidRDefault="00FE36CF" w:rsidP="004474CB">
            <w:pPr>
              <w:jc w:val="center"/>
              <w:rPr>
                <w:b/>
                <w:sz w:val="21"/>
                <w:szCs w:val="21"/>
              </w:rPr>
            </w:pPr>
            <w:r w:rsidRPr="00FE36CF">
              <w:rPr>
                <w:b/>
                <w:sz w:val="21"/>
                <w:szCs w:val="21"/>
              </w:rPr>
              <w:t>工程名称</w:t>
            </w:r>
          </w:p>
        </w:tc>
        <w:tc>
          <w:tcPr>
            <w:tcW w:w="1743" w:type="pct"/>
            <w:vAlign w:val="center"/>
          </w:tcPr>
          <w:p w:rsidR="00FE36CF" w:rsidRPr="00FE36CF" w:rsidRDefault="006E2C96" w:rsidP="004474CB">
            <w:pPr>
              <w:jc w:val="center"/>
              <w:rPr>
                <w:b/>
                <w:sz w:val="21"/>
                <w:szCs w:val="21"/>
              </w:rPr>
            </w:pPr>
            <w:r>
              <w:rPr>
                <w:rFonts w:hint="eastAsia"/>
                <w:b/>
                <w:sz w:val="21"/>
                <w:szCs w:val="21"/>
              </w:rPr>
              <w:t>开采情况</w:t>
            </w:r>
          </w:p>
        </w:tc>
        <w:tc>
          <w:tcPr>
            <w:tcW w:w="1993" w:type="pct"/>
            <w:vAlign w:val="center"/>
          </w:tcPr>
          <w:p w:rsidR="00FE36CF" w:rsidRPr="00FE36CF" w:rsidRDefault="006E2C96" w:rsidP="004474CB">
            <w:pPr>
              <w:jc w:val="center"/>
              <w:rPr>
                <w:b/>
                <w:sz w:val="21"/>
                <w:szCs w:val="21"/>
              </w:rPr>
            </w:pPr>
            <w:r>
              <w:rPr>
                <w:rFonts w:hint="eastAsia"/>
                <w:b/>
                <w:bCs/>
                <w:kern w:val="0"/>
                <w:sz w:val="21"/>
                <w:szCs w:val="21"/>
              </w:rPr>
              <w:t>遗留问题调查</w:t>
            </w:r>
          </w:p>
        </w:tc>
        <w:tc>
          <w:tcPr>
            <w:tcW w:w="591" w:type="pct"/>
            <w:vAlign w:val="center"/>
          </w:tcPr>
          <w:p w:rsidR="00FE36CF" w:rsidRPr="00FE36CF" w:rsidRDefault="006E2C96" w:rsidP="004474CB">
            <w:pPr>
              <w:jc w:val="center"/>
              <w:rPr>
                <w:b/>
                <w:sz w:val="21"/>
                <w:szCs w:val="21"/>
              </w:rPr>
            </w:pPr>
            <w:r>
              <w:rPr>
                <w:rFonts w:hint="eastAsia"/>
                <w:b/>
                <w:sz w:val="21"/>
                <w:szCs w:val="21"/>
              </w:rPr>
              <w:t>整治措施</w:t>
            </w:r>
          </w:p>
        </w:tc>
      </w:tr>
      <w:tr w:rsidR="00FE36CF" w:rsidRPr="00FE36CF" w:rsidTr="006E2C96">
        <w:trPr>
          <w:trHeight w:val="317"/>
        </w:trPr>
        <w:tc>
          <w:tcPr>
            <w:tcW w:w="673" w:type="pct"/>
            <w:vAlign w:val="center"/>
          </w:tcPr>
          <w:p w:rsidR="00FE36CF" w:rsidRPr="00FE36CF" w:rsidRDefault="00FE36CF" w:rsidP="004474CB">
            <w:pPr>
              <w:jc w:val="center"/>
              <w:rPr>
                <w:sz w:val="21"/>
                <w:szCs w:val="21"/>
              </w:rPr>
            </w:pPr>
            <w:r w:rsidRPr="00FE36CF">
              <w:rPr>
                <w:b/>
                <w:i/>
                <w:sz w:val="21"/>
                <w:szCs w:val="21"/>
                <w:u w:val="single"/>
              </w:rPr>
              <w:t>原禹州市鸠山乡东明煤矿</w:t>
            </w:r>
          </w:p>
        </w:tc>
        <w:tc>
          <w:tcPr>
            <w:tcW w:w="1743" w:type="pct"/>
            <w:vAlign w:val="center"/>
          </w:tcPr>
          <w:p w:rsidR="00FE36CF" w:rsidRPr="00FE36CF" w:rsidRDefault="006E2C96" w:rsidP="006E2C96">
            <w:pPr>
              <w:jc w:val="center"/>
              <w:rPr>
                <w:sz w:val="21"/>
                <w:szCs w:val="21"/>
              </w:rPr>
            </w:pPr>
            <w:r w:rsidRPr="006E2C96">
              <w:rPr>
                <w:b/>
                <w:i/>
                <w:sz w:val="21"/>
                <w:szCs w:val="21"/>
                <w:u w:val="single"/>
              </w:rPr>
              <w:t>用竖井开拓，设有工业场地及主井、副井两个井筒，已采原煤约</w:t>
            </w:r>
            <w:r w:rsidRPr="006E2C96">
              <w:rPr>
                <w:b/>
                <w:i/>
                <w:sz w:val="21"/>
                <w:szCs w:val="21"/>
                <w:u w:val="single"/>
              </w:rPr>
              <w:t>56.1</w:t>
            </w:r>
            <w:r w:rsidRPr="006E2C96">
              <w:rPr>
                <w:b/>
                <w:i/>
                <w:sz w:val="21"/>
                <w:szCs w:val="21"/>
                <w:u w:val="single"/>
              </w:rPr>
              <w:t>万吨，采空区约</w:t>
            </w:r>
            <w:r w:rsidRPr="006E2C96">
              <w:rPr>
                <w:b/>
                <w:i/>
                <w:sz w:val="21"/>
                <w:szCs w:val="21"/>
                <w:u w:val="single"/>
              </w:rPr>
              <w:t>9.46hm</w:t>
            </w:r>
            <w:r w:rsidRPr="006E2C96">
              <w:rPr>
                <w:b/>
                <w:i/>
                <w:sz w:val="21"/>
                <w:szCs w:val="21"/>
                <w:u w:val="single"/>
                <w:vertAlign w:val="superscript"/>
              </w:rPr>
              <w:t>2</w:t>
            </w:r>
            <w:r w:rsidRPr="006E2C96">
              <w:rPr>
                <w:b/>
                <w:i/>
                <w:sz w:val="21"/>
                <w:szCs w:val="21"/>
                <w:u w:val="single"/>
              </w:rPr>
              <w:t>，</w:t>
            </w:r>
            <w:r w:rsidRPr="00FE36CF">
              <w:rPr>
                <w:sz w:val="21"/>
                <w:szCs w:val="21"/>
              </w:rPr>
              <w:t xml:space="preserve"> </w:t>
            </w:r>
          </w:p>
        </w:tc>
        <w:tc>
          <w:tcPr>
            <w:tcW w:w="1993" w:type="pct"/>
            <w:vAlign w:val="center"/>
          </w:tcPr>
          <w:p w:rsidR="00FE36CF" w:rsidRPr="00FE36CF" w:rsidRDefault="006E2C96" w:rsidP="004474CB">
            <w:pPr>
              <w:jc w:val="center"/>
              <w:rPr>
                <w:sz w:val="21"/>
                <w:szCs w:val="21"/>
              </w:rPr>
            </w:pPr>
            <w:r w:rsidRPr="006E2C96">
              <w:rPr>
                <w:b/>
                <w:i/>
                <w:sz w:val="21"/>
                <w:szCs w:val="21"/>
                <w:u w:val="single"/>
              </w:rPr>
              <w:t>目前采空区已稳定，且资源整合后仍利用原禹州市鸠山乡东明煤矿遗留的工业场地及井筒，并在此基础上技术改造，因此原禹州市鸠山乡东明煤矿基本没有遗留问题；</w:t>
            </w:r>
          </w:p>
        </w:tc>
        <w:tc>
          <w:tcPr>
            <w:tcW w:w="591" w:type="pct"/>
            <w:vAlign w:val="center"/>
          </w:tcPr>
          <w:p w:rsidR="00FE36CF" w:rsidRPr="00FE36CF" w:rsidRDefault="006E2C96" w:rsidP="004474CB">
            <w:pPr>
              <w:jc w:val="center"/>
              <w:rPr>
                <w:sz w:val="21"/>
                <w:szCs w:val="21"/>
              </w:rPr>
            </w:pPr>
            <w:r>
              <w:rPr>
                <w:rFonts w:hint="eastAsia"/>
                <w:sz w:val="21"/>
                <w:szCs w:val="21"/>
              </w:rPr>
              <w:t>已整治</w:t>
            </w:r>
          </w:p>
        </w:tc>
      </w:tr>
      <w:tr w:rsidR="00FE36CF" w:rsidRPr="00FE36CF" w:rsidTr="006E2C96">
        <w:trPr>
          <w:trHeight w:val="317"/>
        </w:trPr>
        <w:tc>
          <w:tcPr>
            <w:tcW w:w="673" w:type="pct"/>
            <w:vAlign w:val="center"/>
          </w:tcPr>
          <w:p w:rsidR="00FE36CF" w:rsidRPr="00FE36CF" w:rsidRDefault="00FE36CF" w:rsidP="004474CB">
            <w:pPr>
              <w:jc w:val="center"/>
              <w:rPr>
                <w:sz w:val="21"/>
                <w:szCs w:val="21"/>
              </w:rPr>
            </w:pPr>
            <w:r w:rsidRPr="00FE36CF">
              <w:rPr>
                <w:b/>
                <w:i/>
                <w:sz w:val="21"/>
                <w:szCs w:val="21"/>
                <w:u w:val="single"/>
              </w:rPr>
              <w:t>原禹州市黄庄一矿</w:t>
            </w:r>
          </w:p>
        </w:tc>
        <w:tc>
          <w:tcPr>
            <w:tcW w:w="1743" w:type="pct"/>
            <w:vAlign w:val="center"/>
          </w:tcPr>
          <w:p w:rsidR="00FE36CF" w:rsidRPr="00FE36CF" w:rsidRDefault="006E2C96" w:rsidP="006E2C96">
            <w:pPr>
              <w:jc w:val="center"/>
              <w:rPr>
                <w:sz w:val="21"/>
                <w:szCs w:val="21"/>
              </w:rPr>
            </w:pPr>
            <w:r w:rsidRPr="006E2C96">
              <w:rPr>
                <w:b/>
                <w:i/>
                <w:sz w:val="21"/>
                <w:szCs w:val="21"/>
                <w:u w:val="single"/>
              </w:rPr>
              <w:t>采用立井开拓，设置有工业场地及主井、副井两个井筒等，已采原煤约</w:t>
            </w:r>
            <w:r w:rsidRPr="006E2C96">
              <w:rPr>
                <w:b/>
                <w:i/>
                <w:sz w:val="21"/>
                <w:szCs w:val="21"/>
                <w:u w:val="single"/>
              </w:rPr>
              <w:t>5.3</w:t>
            </w:r>
            <w:r w:rsidRPr="006E2C96">
              <w:rPr>
                <w:b/>
                <w:i/>
                <w:sz w:val="21"/>
                <w:szCs w:val="21"/>
                <w:u w:val="single"/>
              </w:rPr>
              <w:t>万吨，采空区约</w:t>
            </w:r>
            <w:r w:rsidRPr="006E2C96">
              <w:rPr>
                <w:b/>
                <w:i/>
                <w:sz w:val="21"/>
                <w:szCs w:val="21"/>
                <w:u w:val="single"/>
              </w:rPr>
              <w:t>0.89hm</w:t>
            </w:r>
            <w:r w:rsidRPr="006E2C96">
              <w:rPr>
                <w:b/>
                <w:i/>
                <w:sz w:val="21"/>
                <w:szCs w:val="21"/>
                <w:u w:val="single"/>
                <w:vertAlign w:val="superscript"/>
              </w:rPr>
              <w:t>2</w:t>
            </w:r>
            <w:r w:rsidRPr="006E2C96">
              <w:rPr>
                <w:b/>
                <w:i/>
                <w:sz w:val="21"/>
                <w:szCs w:val="21"/>
                <w:u w:val="single"/>
              </w:rPr>
              <w:t>，</w:t>
            </w:r>
            <w:r w:rsidRPr="00FE36CF">
              <w:rPr>
                <w:sz w:val="21"/>
                <w:szCs w:val="21"/>
              </w:rPr>
              <w:t xml:space="preserve"> </w:t>
            </w:r>
          </w:p>
        </w:tc>
        <w:tc>
          <w:tcPr>
            <w:tcW w:w="1993" w:type="pct"/>
            <w:vAlign w:val="center"/>
          </w:tcPr>
          <w:p w:rsidR="00FE36CF" w:rsidRPr="00C675D4" w:rsidRDefault="006E2C96" w:rsidP="004474CB">
            <w:pPr>
              <w:jc w:val="center"/>
              <w:rPr>
                <w:b/>
                <w:i/>
                <w:sz w:val="21"/>
                <w:szCs w:val="21"/>
                <w:u w:val="single"/>
              </w:rPr>
            </w:pPr>
            <w:r w:rsidRPr="006E2C96">
              <w:rPr>
                <w:b/>
                <w:i/>
                <w:sz w:val="21"/>
                <w:szCs w:val="21"/>
                <w:u w:val="single"/>
              </w:rPr>
              <w:t>目前采空区已稳定，井筒均已封填，工业场地已拆除</w:t>
            </w:r>
            <w:r w:rsidR="00C675D4">
              <w:rPr>
                <w:rFonts w:hint="eastAsia"/>
                <w:b/>
                <w:i/>
                <w:sz w:val="21"/>
                <w:szCs w:val="21"/>
                <w:u w:val="single"/>
              </w:rPr>
              <w:t>，</w:t>
            </w:r>
            <w:r w:rsidR="00C675D4" w:rsidRPr="00C675D4">
              <w:rPr>
                <w:rFonts w:hint="eastAsia"/>
                <w:b/>
                <w:i/>
                <w:sz w:val="21"/>
                <w:szCs w:val="21"/>
                <w:u w:val="single"/>
              </w:rPr>
              <w:t>场地内除了恢复植被外，仍有少量矸石遗留</w:t>
            </w:r>
            <w:r w:rsidRPr="006E2C96">
              <w:rPr>
                <w:b/>
                <w:i/>
                <w:sz w:val="21"/>
                <w:szCs w:val="21"/>
                <w:u w:val="single"/>
              </w:rPr>
              <w:t>；</w:t>
            </w:r>
          </w:p>
        </w:tc>
        <w:tc>
          <w:tcPr>
            <w:tcW w:w="591" w:type="pct"/>
            <w:vAlign w:val="center"/>
          </w:tcPr>
          <w:p w:rsidR="00FE36CF" w:rsidRPr="00FE36CF" w:rsidRDefault="00C675D4" w:rsidP="004474CB">
            <w:pPr>
              <w:jc w:val="center"/>
              <w:rPr>
                <w:sz w:val="21"/>
                <w:szCs w:val="21"/>
              </w:rPr>
            </w:pPr>
            <w:r>
              <w:rPr>
                <w:rFonts w:hint="eastAsia"/>
                <w:sz w:val="21"/>
                <w:szCs w:val="21"/>
              </w:rPr>
              <w:t>部分</w:t>
            </w:r>
            <w:r w:rsidR="006E2C96">
              <w:rPr>
                <w:rFonts w:hint="eastAsia"/>
                <w:sz w:val="21"/>
                <w:szCs w:val="21"/>
              </w:rPr>
              <w:t>整治</w:t>
            </w:r>
          </w:p>
        </w:tc>
      </w:tr>
      <w:tr w:rsidR="00FE36CF" w:rsidRPr="00FE36CF" w:rsidTr="006E2C96">
        <w:trPr>
          <w:trHeight w:val="317"/>
        </w:trPr>
        <w:tc>
          <w:tcPr>
            <w:tcW w:w="673" w:type="pct"/>
            <w:vAlign w:val="center"/>
          </w:tcPr>
          <w:p w:rsidR="00FE36CF" w:rsidRPr="00FE36CF" w:rsidRDefault="00FE36CF" w:rsidP="004474CB">
            <w:pPr>
              <w:jc w:val="center"/>
              <w:rPr>
                <w:sz w:val="21"/>
                <w:szCs w:val="21"/>
              </w:rPr>
            </w:pPr>
            <w:r w:rsidRPr="00FE36CF">
              <w:rPr>
                <w:b/>
                <w:i/>
                <w:sz w:val="21"/>
                <w:szCs w:val="21"/>
                <w:u w:val="single"/>
              </w:rPr>
              <w:t>原赵沟联办煤矿</w:t>
            </w:r>
          </w:p>
        </w:tc>
        <w:tc>
          <w:tcPr>
            <w:tcW w:w="1743" w:type="pct"/>
            <w:vAlign w:val="center"/>
          </w:tcPr>
          <w:p w:rsidR="00FE36CF" w:rsidRPr="00FE36CF" w:rsidRDefault="006E2C96" w:rsidP="006E2C96">
            <w:pPr>
              <w:jc w:val="center"/>
              <w:rPr>
                <w:sz w:val="21"/>
                <w:szCs w:val="21"/>
              </w:rPr>
            </w:pPr>
            <w:r w:rsidRPr="006E2C96">
              <w:rPr>
                <w:b/>
                <w:i/>
                <w:sz w:val="21"/>
                <w:szCs w:val="21"/>
                <w:u w:val="single"/>
              </w:rPr>
              <w:t>采用斜井开拓，设有工业场地及主斜井、副井两个井筒，已采原煤约</w:t>
            </w:r>
            <w:r w:rsidRPr="006E2C96">
              <w:rPr>
                <w:b/>
                <w:i/>
                <w:sz w:val="21"/>
                <w:szCs w:val="21"/>
                <w:u w:val="single"/>
              </w:rPr>
              <w:t>3.6</w:t>
            </w:r>
            <w:r w:rsidRPr="006E2C96">
              <w:rPr>
                <w:b/>
                <w:i/>
                <w:sz w:val="21"/>
                <w:szCs w:val="21"/>
                <w:u w:val="single"/>
              </w:rPr>
              <w:t>万吨，采空区约</w:t>
            </w:r>
            <w:r w:rsidRPr="006E2C96">
              <w:rPr>
                <w:b/>
                <w:i/>
                <w:sz w:val="21"/>
                <w:szCs w:val="21"/>
                <w:u w:val="single"/>
              </w:rPr>
              <w:t>1.5hm</w:t>
            </w:r>
            <w:r w:rsidRPr="006E2C96">
              <w:rPr>
                <w:b/>
                <w:i/>
                <w:sz w:val="21"/>
                <w:szCs w:val="21"/>
                <w:u w:val="single"/>
                <w:vertAlign w:val="superscript"/>
              </w:rPr>
              <w:t>2</w:t>
            </w:r>
            <w:r w:rsidRPr="006E2C96">
              <w:rPr>
                <w:b/>
                <w:i/>
                <w:sz w:val="21"/>
                <w:szCs w:val="21"/>
                <w:u w:val="single"/>
              </w:rPr>
              <w:t>，</w:t>
            </w:r>
            <w:r w:rsidRPr="00FE36CF">
              <w:rPr>
                <w:sz w:val="21"/>
                <w:szCs w:val="21"/>
              </w:rPr>
              <w:t xml:space="preserve"> </w:t>
            </w:r>
          </w:p>
        </w:tc>
        <w:tc>
          <w:tcPr>
            <w:tcW w:w="1993" w:type="pct"/>
            <w:vAlign w:val="center"/>
          </w:tcPr>
          <w:p w:rsidR="00FE36CF" w:rsidRPr="00C675D4" w:rsidRDefault="006E2C96" w:rsidP="004474CB">
            <w:pPr>
              <w:jc w:val="center"/>
              <w:rPr>
                <w:b/>
                <w:i/>
                <w:sz w:val="21"/>
                <w:szCs w:val="21"/>
                <w:u w:val="single"/>
              </w:rPr>
            </w:pPr>
            <w:r w:rsidRPr="006E2C96">
              <w:rPr>
                <w:b/>
                <w:i/>
                <w:sz w:val="21"/>
                <w:szCs w:val="21"/>
                <w:u w:val="single"/>
              </w:rPr>
              <w:t>目前井筒均已封填，工业场地已拆除</w:t>
            </w:r>
            <w:r w:rsidR="00C675D4">
              <w:rPr>
                <w:rFonts w:hint="eastAsia"/>
                <w:b/>
                <w:i/>
                <w:sz w:val="21"/>
                <w:szCs w:val="21"/>
                <w:u w:val="single"/>
              </w:rPr>
              <w:t>，</w:t>
            </w:r>
            <w:r w:rsidR="00C675D4" w:rsidRPr="00C675D4">
              <w:rPr>
                <w:rFonts w:hint="eastAsia"/>
                <w:b/>
                <w:i/>
                <w:sz w:val="21"/>
                <w:szCs w:val="21"/>
                <w:u w:val="single"/>
              </w:rPr>
              <w:t>场地内除了恢复植被外，仍有少量矸石遗留</w:t>
            </w:r>
            <w:r w:rsidRPr="006E2C96">
              <w:rPr>
                <w:b/>
                <w:i/>
                <w:sz w:val="21"/>
                <w:szCs w:val="21"/>
                <w:u w:val="single"/>
              </w:rPr>
              <w:t>。</w:t>
            </w:r>
          </w:p>
        </w:tc>
        <w:tc>
          <w:tcPr>
            <w:tcW w:w="591" w:type="pct"/>
            <w:vAlign w:val="center"/>
          </w:tcPr>
          <w:p w:rsidR="00FE36CF" w:rsidRPr="00FE36CF" w:rsidRDefault="00C675D4" w:rsidP="004474CB">
            <w:pPr>
              <w:jc w:val="center"/>
              <w:rPr>
                <w:sz w:val="21"/>
                <w:szCs w:val="21"/>
              </w:rPr>
            </w:pPr>
            <w:r>
              <w:rPr>
                <w:rFonts w:hint="eastAsia"/>
                <w:sz w:val="21"/>
                <w:szCs w:val="21"/>
              </w:rPr>
              <w:t>部分</w:t>
            </w:r>
            <w:r w:rsidR="006E2C96">
              <w:rPr>
                <w:rFonts w:hint="eastAsia"/>
                <w:sz w:val="21"/>
                <w:szCs w:val="21"/>
              </w:rPr>
              <w:t>整治</w:t>
            </w:r>
          </w:p>
        </w:tc>
      </w:tr>
    </w:tbl>
    <w:p w:rsidR="00240BCE" w:rsidRPr="00C6168E" w:rsidRDefault="00AC0334">
      <w:pPr>
        <w:pStyle w:val="a2"/>
        <w:adjustRightInd w:val="0"/>
        <w:snapToGrid w:val="0"/>
        <w:spacing w:line="520" w:lineRule="exact"/>
        <w:ind w:firstLineChars="0" w:firstLine="560"/>
        <w:rPr>
          <w:b/>
          <w:i/>
          <w:u w:val="single"/>
        </w:rPr>
      </w:pPr>
      <w:r w:rsidRPr="00C6168E">
        <w:rPr>
          <w:b/>
          <w:i/>
          <w:sz w:val="24"/>
          <w:u w:val="single"/>
        </w:rPr>
        <w:t>综上，整合后废弃的</w:t>
      </w:r>
      <w:r w:rsidRPr="00C6168E">
        <w:rPr>
          <w:b/>
          <w:i/>
          <w:sz w:val="24"/>
          <w:u w:val="single"/>
        </w:rPr>
        <w:t>4</w:t>
      </w:r>
      <w:r w:rsidRPr="00C6168E">
        <w:rPr>
          <w:b/>
          <w:i/>
          <w:sz w:val="24"/>
          <w:u w:val="single"/>
        </w:rPr>
        <w:t>个井筒已封填</w:t>
      </w:r>
      <w:r w:rsidR="00C675D4" w:rsidRPr="00C6168E">
        <w:rPr>
          <w:b/>
          <w:i/>
          <w:sz w:val="24"/>
          <w:u w:val="single"/>
        </w:rPr>
        <w:t>，原有塌陷区已进行生态恢复治理</w:t>
      </w:r>
      <w:r w:rsidRPr="00C6168E">
        <w:rPr>
          <w:b/>
          <w:i/>
          <w:sz w:val="24"/>
          <w:u w:val="single"/>
        </w:rPr>
        <w:t>，原黄庄一矿和赵沟煤矿工业广场</w:t>
      </w:r>
      <w:r w:rsidR="00C675D4">
        <w:rPr>
          <w:rFonts w:hint="eastAsia"/>
          <w:b/>
          <w:i/>
          <w:sz w:val="24"/>
          <w:u w:val="single"/>
        </w:rPr>
        <w:t>部分</w:t>
      </w:r>
      <w:r w:rsidRPr="00C6168E">
        <w:rPr>
          <w:b/>
          <w:i/>
          <w:sz w:val="24"/>
          <w:u w:val="single"/>
        </w:rPr>
        <w:t>已复垦，</w:t>
      </w:r>
      <w:r w:rsidR="00C675D4">
        <w:rPr>
          <w:rFonts w:hint="eastAsia"/>
          <w:b/>
          <w:i/>
          <w:sz w:val="24"/>
          <w:u w:val="single"/>
        </w:rPr>
        <w:t>现场地内仍有少量矸石遗留</w:t>
      </w:r>
      <w:r w:rsidRPr="00C6168E">
        <w:rPr>
          <w:b/>
          <w:i/>
          <w:sz w:val="24"/>
          <w:u w:val="single"/>
        </w:rPr>
        <w:t>，</w:t>
      </w:r>
      <w:r w:rsidR="00C675D4">
        <w:rPr>
          <w:rFonts w:hint="eastAsia"/>
          <w:b/>
          <w:i/>
          <w:sz w:val="24"/>
          <w:u w:val="single"/>
        </w:rPr>
        <w:t>后期需清运，并进一步恢复植被</w:t>
      </w:r>
      <w:r w:rsidRPr="00C6168E">
        <w:rPr>
          <w:b/>
          <w:i/>
          <w:sz w:val="24"/>
          <w:u w:val="single"/>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227" w:name="_Toc79668619"/>
      <w:r>
        <w:rPr>
          <w:rFonts w:eastAsia="楷体"/>
          <w:sz w:val="28"/>
          <w:szCs w:val="28"/>
        </w:rPr>
        <w:t xml:space="preserve">3.1.3 </w:t>
      </w:r>
      <w:r>
        <w:rPr>
          <w:rFonts w:eastAsia="楷体"/>
          <w:sz w:val="28"/>
          <w:szCs w:val="28"/>
        </w:rPr>
        <w:t>现有工程概况</w:t>
      </w:r>
      <w:bookmarkEnd w:id="227"/>
    </w:p>
    <w:p w:rsidR="00240BCE" w:rsidRDefault="00AC0334">
      <w:pPr>
        <w:spacing w:line="520" w:lineRule="exact"/>
        <w:rPr>
          <w:sz w:val="24"/>
        </w:rPr>
      </w:pPr>
      <w:r>
        <w:rPr>
          <w:sz w:val="24"/>
        </w:rPr>
        <w:t>3.1.3.1</w:t>
      </w:r>
      <w:r>
        <w:rPr>
          <w:sz w:val="24"/>
        </w:rPr>
        <w:t>现有工程基本情况</w:t>
      </w:r>
    </w:p>
    <w:p w:rsidR="00240BCE" w:rsidRDefault="00AC0334">
      <w:pPr>
        <w:spacing w:line="520" w:lineRule="exact"/>
        <w:ind w:firstLineChars="200" w:firstLine="480"/>
        <w:rPr>
          <w:sz w:val="24"/>
        </w:rPr>
      </w:pPr>
      <w:r>
        <w:rPr>
          <w:sz w:val="24"/>
        </w:rPr>
        <w:t>项目名称：禹州神火隆庆矿业有限公司年产</w:t>
      </w:r>
      <w:r>
        <w:rPr>
          <w:sz w:val="24"/>
        </w:rPr>
        <w:t>15</w:t>
      </w:r>
      <w:r>
        <w:rPr>
          <w:sz w:val="24"/>
        </w:rPr>
        <w:t>万吨煤炭开采技改项目</w:t>
      </w:r>
    </w:p>
    <w:p w:rsidR="00240BCE" w:rsidRDefault="00AC0334">
      <w:pPr>
        <w:spacing w:line="520" w:lineRule="exact"/>
        <w:ind w:firstLine="488"/>
        <w:rPr>
          <w:spacing w:val="2"/>
          <w:sz w:val="24"/>
        </w:rPr>
      </w:pPr>
      <w:r>
        <w:rPr>
          <w:spacing w:val="2"/>
          <w:sz w:val="24"/>
        </w:rPr>
        <w:lastRenderedPageBreak/>
        <w:t>建设规模：设计规模</w:t>
      </w:r>
      <w:r>
        <w:rPr>
          <w:spacing w:val="2"/>
          <w:sz w:val="24"/>
        </w:rPr>
        <w:t>0.15Mt/a</w:t>
      </w:r>
    </w:p>
    <w:p w:rsidR="00240BCE" w:rsidRDefault="00AC0334">
      <w:pPr>
        <w:spacing w:line="520" w:lineRule="exact"/>
        <w:ind w:firstLine="488"/>
        <w:rPr>
          <w:spacing w:val="2"/>
          <w:sz w:val="24"/>
        </w:rPr>
      </w:pPr>
      <w:r>
        <w:rPr>
          <w:spacing w:val="2"/>
          <w:sz w:val="24"/>
        </w:rPr>
        <w:t>井田面积：井田面积</w:t>
      </w:r>
      <w:r>
        <w:rPr>
          <w:spacing w:val="2"/>
          <w:sz w:val="24"/>
        </w:rPr>
        <w:t>2.2726km</w:t>
      </w:r>
      <w:r>
        <w:rPr>
          <w:spacing w:val="2"/>
          <w:sz w:val="24"/>
          <w:vertAlign w:val="superscript"/>
        </w:rPr>
        <w:t>2</w:t>
      </w:r>
    </w:p>
    <w:p w:rsidR="00240BCE" w:rsidRDefault="00AC0334">
      <w:pPr>
        <w:spacing w:line="520" w:lineRule="exact"/>
        <w:ind w:firstLine="488"/>
        <w:rPr>
          <w:spacing w:val="14"/>
          <w:sz w:val="24"/>
        </w:rPr>
      </w:pPr>
      <w:r>
        <w:rPr>
          <w:spacing w:val="2"/>
          <w:sz w:val="24"/>
        </w:rPr>
        <w:t>开拓方式：立井开拓方式，</w:t>
      </w:r>
      <w:r>
        <w:rPr>
          <w:sz w:val="24"/>
        </w:rPr>
        <w:t>主井担负着全矿井的煤炭提升任务兼做进风井及安全出口；副井担负着全矿井的辅助提升及上下人员和进风、排水等任务。</w:t>
      </w:r>
      <w:r>
        <w:rPr>
          <w:spacing w:val="14"/>
          <w:sz w:val="24"/>
        </w:rPr>
        <w:t>风井</w:t>
      </w:r>
      <w:r>
        <w:rPr>
          <w:spacing w:val="11"/>
          <w:sz w:val="24"/>
        </w:rPr>
        <w:t>担负</w:t>
      </w:r>
      <w:r>
        <w:rPr>
          <w:spacing w:val="14"/>
          <w:sz w:val="24"/>
        </w:rPr>
        <w:t>全矿井回风任务；</w:t>
      </w:r>
    </w:p>
    <w:p w:rsidR="00240BCE" w:rsidRDefault="00AC0334">
      <w:pPr>
        <w:spacing w:line="520" w:lineRule="exact"/>
        <w:ind w:firstLine="488"/>
        <w:rPr>
          <w:spacing w:val="2"/>
          <w:sz w:val="24"/>
        </w:rPr>
      </w:pPr>
      <w:r>
        <w:rPr>
          <w:spacing w:val="2"/>
          <w:sz w:val="24"/>
        </w:rPr>
        <w:t>采煤方法：</w:t>
      </w:r>
      <w:r>
        <w:rPr>
          <w:sz w:val="24"/>
        </w:rPr>
        <w:t>采用</w:t>
      </w:r>
      <w:r>
        <w:rPr>
          <w:sz w:val="24"/>
        </w:rPr>
        <w:t>“</w:t>
      </w:r>
      <w:r>
        <w:rPr>
          <w:sz w:val="24"/>
        </w:rPr>
        <w:t>走向长壁、沿底推进、一次采全高</w:t>
      </w:r>
      <w:r>
        <w:rPr>
          <w:sz w:val="24"/>
        </w:rPr>
        <w:t>”</w:t>
      </w:r>
      <w:r>
        <w:rPr>
          <w:sz w:val="24"/>
        </w:rPr>
        <w:t>的采煤法。</w:t>
      </w:r>
    </w:p>
    <w:p w:rsidR="00240BCE" w:rsidRDefault="00AC0334">
      <w:pPr>
        <w:spacing w:line="520" w:lineRule="exact"/>
        <w:ind w:firstLine="488"/>
        <w:rPr>
          <w:bCs/>
          <w:color w:val="000000"/>
          <w:sz w:val="24"/>
        </w:rPr>
      </w:pPr>
      <w:r>
        <w:rPr>
          <w:spacing w:val="2"/>
          <w:sz w:val="24"/>
        </w:rPr>
        <w:t>劳动定员：</w:t>
      </w:r>
      <w:r>
        <w:rPr>
          <w:bCs/>
          <w:color w:val="000000"/>
          <w:sz w:val="24"/>
        </w:rPr>
        <w:t>劳动定员</w:t>
      </w:r>
      <w:r>
        <w:rPr>
          <w:bCs/>
          <w:color w:val="000000"/>
          <w:sz w:val="24"/>
        </w:rPr>
        <w:t>451</w:t>
      </w:r>
      <w:r>
        <w:rPr>
          <w:bCs/>
          <w:color w:val="000000"/>
          <w:sz w:val="24"/>
        </w:rPr>
        <w:t>人。</w:t>
      </w:r>
    </w:p>
    <w:p w:rsidR="00240BCE" w:rsidRDefault="00AC0334">
      <w:pPr>
        <w:spacing w:line="520" w:lineRule="exact"/>
        <w:rPr>
          <w:sz w:val="24"/>
        </w:rPr>
      </w:pPr>
      <w:r>
        <w:rPr>
          <w:sz w:val="24"/>
        </w:rPr>
        <w:t xml:space="preserve">3.1.3.2 </w:t>
      </w:r>
      <w:r>
        <w:rPr>
          <w:sz w:val="24"/>
        </w:rPr>
        <w:t>现有工程工业场地及平面布置</w:t>
      </w:r>
    </w:p>
    <w:p w:rsidR="00240BCE" w:rsidRDefault="00AC0334">
      <w:pPr>
        <w:spacing w:line="520" w:lineRule="exact"/>
        <w:ind w:firstLineChars="200" w:firstLine="480"/>
        <w:rPr>
          <w:sz w:val="24"/>
        </w:rPr>
      </w:pPr>
      <w:r>
        <w:rPr>
          <w:sz w:val="24"/>
        </w:rPr>
        <w:t>现有工程布设一个工业场地，占地面积</w:t>
      </w:r>
      <w:r>
        <w:rPr>
          <w:sz w:val="24"/>
        </w:rPr>
        <w:t>1.</w:t>
      </w:r>
      <w:r w:rsidR="00257B79">
        <w:rPr>
          <w:rFonts w:hint="eastAsia"/>
          <w:sz w:val="24"/>
        </w:rPr>
        <w:t>92</w:t>
      </w:r>
      <w:r>
        <w:rPr>
          <w:sz w:val="24"/>
        </w:rPr>
        <w:t>hm</w:t>
      </w:r>
      <w:r>
        <w:rPr>
          <w:sz w:val="24"/>
          <w:vertAlign w:val="superscript"/>
        </w:rPr>
        <w:t>2</w:t>
      </w:r>
      <w:r>
        <w:rPr>
          <w:sz w:val="24"/>
        </w:rPr>
        <w:t>，包括主立井、副立井、回风立井以及相应绞车房、储煤棚、综合办公楼、职工宿舍、职工食堂、变电所、机修车间和矿井水处理设施、生活污水处理设施等环保工程。现有工程的工业场地（含</w:t>
      </w:r>
      <w:r w:rsidR="00802A62">
        <w:rPr>
          <w:sz w:val="24"/>
        </w:rPr>
        <w:t>储煤库</w:t>
      </w:r>
      <w:r>
        <w:rPr>
          <w:sz w:val="24"/>
        </w:rPr>
        <w:t>）拐点坐标具体见表</w:t>
      </w:r>
      <w:r>
        <w:rPr>
          <w:sz w:val="24"/>
        </w:rPr>
        <w:t>3.1-</w:t>
      </w:r>
      <w:r w:rsidR="006E2C96">
        <w:rPr>
          <w:rFonts w:hint="eastAsia"/>
          <w:sz w:val="24"/>
        </w:rPr>
        <w:t>2</w:t>
      </w:r>
      <w:r>
        <w:rPr>
          <w:sz w:val="24"/>
        </w:rPr>
        <w:t>。</w:t>
      </w:r>
    </w:p>
    <w:p w:rsidR="00240BCE" w:rsidRDefault="00AC0334">
      <w:pPr>
        <w:spacing w:line="520" w:lineRule="exact"/>
        <w:jc w:val="center"/>
        <w:rPr>
          <w:b/>
          <w:sz w:val="24"/>
        </w:rPr>
      </w:pPr>
      <w:r>
        <w:rPr>
          <w:b/>
          <w:sz w:val="24"/>
        </w:rPr>
        <w:t>表</w:t>
      </w:r>
      <w:r>
        <w:rPr>
          <w:b/>
          <w:sz w:val="24"/>
        </w:rPr>
        <w:t>3.1-</w:t>
      </w:r>
      <w:r w:rsidR="006E2C96">
        <w:rPr>
          <w:rFonts w:hint="eastAsia"/>
          <w:b/>
          <w:sz w:val="24"/>
        </w:rPr>
        <w:t>2</w:t>
      </w:r>
      <w:r>
        <w:rPr>
          <w:b/>
          <w:sz w:val="24"/>
        </w:rPr>
        <w:t xml:space="preserve"> </w:t>
      </w:r>
      <w:r>
        <w:rPr>
          <w:b/>
          <w:sz w:val="24"/>
        </w:rPr>
        <w:t>现有工程工业场地、</w:t>
      </w:r>
      <w:r w:rsidR="00802A62">
        <w:rPr>
          <w:b/>
          <w:sz w:val="24"/>
        </w:rPr>
        <w:t>储煤库</w:t>
      </w:r>
      <w:r>
        <w:rPr>
          <w:b/>
          <w:sz w:val="24"/>
        </w:rPr>
        <w:t>拐点坐标</w:t>
      </w:r>
    </w:p>
    <w:tbl>
      <w:tblPr>
        <w:tblW w:w="5002"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5" w:type="dxa"/>
          <w:right w:w="15" w:type="dxa"/>
        </w:tblCellMar>
        <w:tblLook w:val="04A0"/>
      </w:tblPr>
      <w:tblGrid>
        <w:gridCol w:w="2851"/>
        <w:gridCol w:w="1274"/>
        <w:gridCol w:w="2203"/>
        <w:gridCol w:w="2209"/>
      </w:tblGrid>
      <w:tr w:rsidR="00240BCE" w:rsidTr="001D482D">
        <w:tc>
          <w:tcPr>
            <w:tcW w:w="1669" w:type="pct"/>
            <w:vMerge w:val="restart"/>
            <w:vAlign w:val="center"/>
          </w:tcPr>
          <w:p w:rsidR="00240BCE" w:rsidRDefault="00AC0334" w:rsidP="001D482D">
            <w:pPr>
              <w:spacing w:line="300" w:lineRule="exact"/>
              <w:jc w:val="center"/>
              <w:rPr>
                <w:b/>
                <w:sz w:val="21"/>
                <w:szCs w:val="21"/>
              </w:rPr>
            </w:pPr>
            <w:r>
              <w:rPr>
                <w:b/>
                <w:sz w:val="21"/>
                <w:szCs w:val="21"/>
              </w:rPr>
              <w:t>工程名称</w:t>
            </w:r>
          </w:p>
        </w:tc>
        <w:tc>
          <w:tcPr>
            <w:tcW w:w="746" w:type="pct"/>
            <w:vMerge w:val="restart"/>
            <w:vAlign w:val="center"/>
          </w:tcPr>
          <w:p w:rsidR="00240BCE" w:rsidRDefault="00AC0334" w:rsidP="001D482D">
            <w:pPr>
              <w:spacing w:line="300" w:lineRule="exact"/>
              <w:jc w:val="center"/>
              <w:rPr>
                <w:b/>
                <w:sz w:val="21"/>
                <w:szCs w:val="21"/>
              </w:rPr>
            </w:pPr>
            <w:r>
              <w:rPr>
                <w:b/>
                <w:sz w:val="21"/>
                <w:szCs w:val="21"/>
              </w:rPr>
              <w:t>拐点编号</w:t>
            </w:r>
          </w:p>
        </w:tc>
        <w:tc>
          <w:tcPr>
            <w:tcW w:w="2584" w:type="pct"/>
            <w:gridSpan w:val="2"/>
            <w:vAlign w:val="center"/>
          </w:tcPr>
          <w:p w:rsidR="00240BCE" w:rsidRDefault="00AC0334" w:rsidP="001D482D">
            <w:pPr>
              <w:spacing w:line="300" w:lineRule="exact"/>
              <w:jc w:val="center"/>
              <w:rPr>
                <w:b/>
                <w:sz w:val="21"/>
                <w:szCs w:val="21"/>
              </w:rPr>
            </w:pPr>
            <w:r>
              <w:rPr>
                <w:b/>
                <w:bCs/>
                <w:kern w:val="0"/>
                <w:sz w:val="21"/>
                <w:szCs w:val="21"/>
              </w:rPr>
              <w:t>经纬度坐标</w:t>
            </w:r>
          </w:p>
        </w:tc>
      </w:tr>
      <w:tr w:rsidR="00240BCE" w:rsidTr="001D482D">
        <w:tc>
          <w:tcPr>
            <w:tcW w:w="1669" w:type="pct"/>
            <w:vMerge/>
            <w:vAlign w:val="center"/>
          </w:tcPr>
          <w:p w:rsidR="00240BCE" w:rsidRDefault="00240BCE" w:rsidP="001D482D">
            <w:pPr>
              <w:spacing w:line="300" w:lineRule="exact"/>
              <w:jc w:val="center"/>
              <w:rPr>
                <w:b/>
                <w:sz w:val="21"/>
                <w:szCs w:val="21"/>
              </w:rPr>
            </w:pPr>
          </w:p>
        </w:tc>
        <w:tc>
          <w:tcPr>
            <w:tcW w:w="746" w:type="pct"/>
            <w:vMerge/>
            <w:vAlign w:val="center"/>
          </w:tcPr>
          <w:p w:rsidR="00240BCE" w:rsidRDefault="00240BCE" w:rsidP="001D482D">
            <w:pPr>
              <w:spacing w:line="300" w:lineRule="exact"/>
              <w:jc w:val="center"/>
              <w:rPr>
                <w:b/>
                <w:sz w:val="21"/>
                <w:szCs w:val="21"/>
              </w:rPr>
            </w:pPr>
          </w:p>
        </w:tc>
        <w:tc>
          <w:tcPr>
            <w:tcW w:w="1290" w:type="pct"/>
            <w:vAlign w:val="center"/>
          </w:tcPr>
          <w:p w:rsidR="00240BCE" w:rsidRDefault="00AC0334" w:rsidP="001D482D">
            <w:pPr>
              <w:spacing w:line="300" w:lineRule="exact"/>
              <w:jc w:val="center"/>
              <w:rPr>
                <w:b/>
                <w:sz w:val="21"/>
                <w:szCs w:val="21"/>
              </w:rPr>
            </w:pPr>
            <w:r>
              <w:rPr>
                <w:b/>
                <w:sz w:val="21"/>
                <w:szCs w:val="21"/>
              </w:rPr>
              <w:t>经度</w:t>
            </w:r>
          </w:p>
        </w:tc>
        <w:tc>
          <w:tcPr>
            <w:tcW w:w="1293" w:type="pct"/>
            <w:vAlign w:val="center"/>
          </w:tcPr>
          <w:p w:rsidR="00240BCE" w:rsidRDefault="00AC0334" w:rsidP="001D482D">
            <w:pPr>
              <w:spacing w:line="300" w:lineRule="exact"/>
              <w:jc w:val="center"/>
              <w:rPr>
                <w:b/>
                <w:sz w:val="21"/>
                <w:szCs w:val="21"/>
              </w:rPr>
            </w:pPr>
            <w:r>
              <w:rPr>
                <w:b/>
                <w:sz w:val="21"/>
                <w:szCs w:val="21"/>
              </w:rPr>
              <w:t>纬度</w:t>
            </w:r>
          </w:p>
        </w:tc>
      </w:tr>
      <w:tr w:rsidR="00240BCE" w:rsidTr="001D482D">
        <w:tc>
          <w:tcPr>
            <w:tcW w:w="1669" w:type="pct"/>
            <w:vMerge w:val="restart"/>
            <w:vAlign w:val="center"/>
          </w:tcPr>
          <w:p w:rsidR="00240BCE" w:rsidRDefault="00AC0334" w:rsidP="001D482D">
            <w:pPr>
              <w:spacing w:line="300" w:lineRule="exact"/>
              <w:jc w:val="center"/>
              <w:rPr>
                <w:sz w:val="21"/>
                <w:szCs w:val="21"/>
              </w:rPr>
            </w:pPr>
            <w:r>
              <w:rPr>
                <w:sz w:val="21"/>
                <w:szCs w:val="21"/>
              </w:rPr>
              <w:t>工业场地</w:t>
            </w:r>
          </w:p>
          <w:p w:rsidR="00240BCE" w:rsidRDefault="00AC0334" w:rsidP="001D482D">
            <w:pPr>
              <w:spacing w:line="300" w:lineRule="exact"/>
              <w:jc w:val="center"/>
              <w:rPr>
                <w:sz w:val="21"/>
                <w:szCs w:val="21"/>
              </w:rPr>
            </w:pPr>
            <w:r>
              <w:rPr>
                <w:sz w:val="21"/>
                <w:szCs w:val="21"/>
              </w:rPr>
              <w:t>（占地面积</w:t>
            </w:r>
            <w:r>
              <w:rPr>
                <w:sz w:val="21"/>
                <w:szCs w:val="21"/>
              </w:rPr>
              <w:t>1.</w:t>
            </w:r>
            <w:r w:rsidR="00257B79">
              <w:rPr>
                <w:rFonts w:hint="eastAsia"/>
                <w:sz w:val="21"/>
                <w:szCs w:val="21"/>
              </w:rPr>
              <w:t>92</w:t>
            </w:r>
            <w:r>
              <w:rPr>
                <w:sz w:val="21"/>
                <w:szCs w:val="21"/>
              </w:rPr>
              <w:t>hm</w:t>
            </w:r>
            <w:r>
              <w:rPr>
                <w:sz w:val="21"/>
                <w:szCs w:val="21"/>
                <w:vertAlign w:val="superscript"/>
              </w:rPr>
              <w:t>2</w:t>
            </w:r>
            <w:r>
              <w:rPr>
                <w:sz w:val="21"/>
                <w:szCs w:val="21"/>
              </w:rPr>
              <w:t>）</w:t>
            </w:r>
          </w:p>
        </w:tc>
        <w:tc>
          <w:tcPr>
            <w:tcW w:w="746" w:type="pct"/>
            <w:vAlign w:val="center"/>
          </w:tcPr>
          <w:p w:rsidR="00240BCE" w:rsidRDefault="00AC0334" w:rsidP="001D482D">
            <w:pPr>
              <w:spacing w:line="300" w:lineRule="exact"/>
              <w:jc w:val="center"/>
              <w:rPr>
                <w:sz w:val="21"/>
                <w:szCs w:val="21"/>
              </w:rPr>
            </w:pPr>
            <w:r>
              <w:rPr>
                <w:sz w:val="21"/>
                <w:szCs w:val="21"/>
              </w:rPr>
              <w:t>1</w:t>
            </w:r>
          </w:p>
        </w:tc>
        <w:tc>
          <w:tcPr>
            <w:tcW w:w="1290" w:type="pct"/>
            <w:vAlign w:val="center"/>
          </w:tcPr>
          <w:p w:rsidR="00240BCE" w:rsidRDefault="00AC0334" w:rsidP="001D482D">
            <w:pPr>
              <w:spacing w:line="300" w:lineRule="exact"/>
              <w:jc w:val="center"/>
              <w:rPr>
                <w:sz w:val="21"/>
                <w:szCs w:val="21"/>
              </w:rPr>
            </w:pPr>
            <w:r>
              <w:rPr>
                <w:sz w:val="21"/>
                <w:szCs w:val="21"/>
              </w:rPr>
              <w:t>113.16427052°</w:t>
            </w:r>
          </w:p>
        </w:tc>
        <w:tc>
          <w:tcPr>
            <w:tcW w:w="1293" w:type="pct"/>
            <w:vAlign w:val="center"/>
          </w:tcPr>
          <w:p w:rsidR="00240BCE" w:rsidRDefault="00AC0334" w:rsidP="001D482D">
            <w:pPr>
              <w:spacing w:line="300" w:lineRule="exact"/>
              <w:jc w:val="center"/>
              <w:rPr>
                <w:sz w:val="21"/>
                <w:szCs w:val="21"/>
              </w:rPr>
            </w:pPr>
            <w:r>
              <w:rPr>
                <w:sz w:val="21"/>
                <w:szCs w:val="21"/>
              </w:rPr>
              <w:t>34.21242893°</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2</w:t>
            </w:r>
          </w:p>
        </w:tc>
        <w:tc>
          <w:tcPr>
            <w:tcW w:w="1290" w:type="pct"/>
            <w:vAlign w:val="center"/>
          </w:tcPr>
          <w:p w:rsidR="00240BCE" w:rsidRDefault="00AC0334" w:rsidP="001D482D">
            <w:pPr>
              <w:spacing w:line="300" w:lineRule="exact"/>
              <w:jc w:val="center"/>
              <w:rPr>
                <w:sz w:val="21"/>
                <w:szCs w:val="21"/>
              </w:rPr>
            </w:pPr>
            <w:r>
              <w:rPr>
                <w:sz w:val="21"/>
                <w:szCs w:val="21"/>
              </w:rPr>
              <w:t>113.16533267°</w:t>
            </w:r>
          </w:p>
        </w:tc>
        <w:tc>
          <w:tcPr>
            <w:tcW w:w="1293" w:type="pct"/>
            <w:vAlign w:val="center"/>
          </w:tcPr>
          <w:p w:rsidR="00240BCE" w:rsidRDefault="00AC0334" w:rsidP="001D482D">
            <w:pPr>
              <w:spacing w:line="300" w:lineRule="exact"/>
              <w:jc w:val="center"/>
              <w:rPr>
                <w:sz w:val="21"/>
                <w:szCs w:val="21"/>
              </w:rPr>
            </w:pPr>
            <w:r>
              <w:rPr>
                <w:sz w:val="21"/>
                <w:szCs w:val="21"/>
              </w:rPr>
              <w:t>34.21205878°</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3</w:t>
            </w:r>
          </w:p>
        </w:tc>
        <w:tc>
          <w:tcPr>
            <w:tcW w:w="1290" w:type="pct"/>
            <w:vAlign w:val="center"/>
          </w:tcPr>
          <w:p w:rsidR="00240BCE" w:rsidRDefault="00AC0334" w:rsidP="001D482D">
            <w:pPr>
              <w:spacing w:line="300" w:lineRule="exact"/>
              <w:jc w:val="center"/>
              <w:rPr>
                <w:sz w:val="21"/>
                <w:szCs w:val="21"/>
              </w:rPr>
            </w:pPr>
            <w:r>
              <w:rPr>
                <w:sz w:val="21"/>
                <w:szCs w:val="21"/>
              </w:rPr>
              <w:t>113.16548288°</w:t>
            </w:r>
          </w:p>
        </w:tc>
        <w:tc>
          <w:tcPr>
            <w:tcW w:w="1293" w:type="pct"/>
            <w:vAlign w:val="center"/>
          </w:tcPr>
          <w:p w:rsidR="00240BCE" w:rsidRDefault="00AC0334" w:rsidP="001D482D">
            <w:pPr>
              <w:spacing w:line="300" w:lineRule="exact"/>
              <w:jc w:val="center"/>
              <w:rPr>
                <w:sz w:val="21"/>
                <w:szCs w:val="21"/>
              </w:rPr>
            </w:pPr>
            <w:r>
              <w:rPr>
                <w:sz w:val="21"/>
                <w:szCs w:val="21"/>
              </w:rPr>
              <w:t>34.21182811°</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4</w:t>
            </w:r>
          </w:p>
        </w:tc>
        <w:tc>
          <w:tcPr>
            <w:tcW w:w="1290" w:type="pct"/>
            <w:vAlign w:val="center"/>
          </w:tcPr>
          <w:p w:rsidR="00240BCE" w:rsidRDefault="00AC0334" w:rsidP="001D482D">
            <w:pPr>
              <w:spacing w:line="300" w:lineRule="exact"/>
              <w:jc w:val="center"/>
              <w:rPr>
                <w:sz w:val="21"/>
                <w:szCs w:val="21"/>
              </w:rPr>
            </w:pPr>
            <w:r>
              <w:rPr>
                <w:sz w:val="21"/>
                <w:szCs w:val="21"/>
              </w:rPr>
              <w:t>113.16550970°</w:t>
            </w:r>
          </w:p>
        </w:tc>
        <w:tc>
          <w:tcPr>
            <w:tcW w:w="1293" w:type="pct"/>
            <w:vAlign w:val="center"/>
          </w:tcPr>
          <w:p w:rsidR="00240BCE" w:rsidRDefault="00AC0334" w:rsidP="001D482D">
            <w:pPr>
              <w:spacing w:line="300" w:lineRule="exact"/>
              <w:jc w:val="center"/>
              <w:rPr>
                <w:sz w:val="21"/>
                <w:szCs w:val="21"/>
              </w:rPr>
            </w:pPr>
            <w:r>
              <w:rPr>
                <w:sz w:val="21"/>
                <w:szCs w:val="21"/>
              </w:rPr>
              <w:t>34.21159208°</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5</w:t>
            </w:r>
          </w:p>
        </w:tc>
        <w:tc>
          <w:tcPr>
            <w:tcW w:w="1290" w:type="pct"/>
            <w:vAlign w:val="center"/>
          </w:tcPr>
          <w:p w:rsidR="00240BCE" w:rsidRDefault="00AC0334" w:rsidP="001D482D">
            <w:pPr>
              <w:spacing w:line="300" w:lineRule="exact"/>
              <w:jc w:val="center"/>
              <w:rPr>
                <w:sz w:val="21"/>
                <w:szCs w:val="21"/>
              </w:rPr>
            </w:pPr>
            <w:r>
              <w:rPr>
                <w:sz w:val="21"/>
                <w:szCs w:val="21"/>
              </w:rPr>
              <w:t>113.16543460°</w:t>
            </w:r>
          </w:p>
        </w:tc>
        <w:tc>
          <w:tcPr>
            <w:tcW w:w="1293" w:type="pct"/>
            <w:vAlign w:val="center"/>
          </w:tcPr>
          <w:p w:rsidR="00240BCE" w:rsidRDefault="00AC0334" w:rsidP="001D482D">
            <w:pPr>
              <w:spacing w:line="300" w:lineRule="exact"/>
              <w:jc w:val="center"/>
              <w:rPr>
                <w:sz w:val="21"/>
                <w:szCs w:val="21"/>
              </w:rPr>
            </w:pPr>
            <w:r>
              <w:rPr>
                <w:sz w:val="21"/>
                <w:szCs w:val="21"/>
              </w:rPr>
              <w:t>34.21114683°</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6</w:t>
            </w:r>
          </w:p>
        </w:tc>
        <w:tc>
          <w:tcPr>
            <w:tcW w:w="1290" w:type="pct"/>
            <w:vAlign w:val="center"/>
          </w:tcPr>
          <w:p w:rsidR="00240BCE" w:rsidRDefault="00AC0334" w:rsidP="001D482D">
            <w:pPr>
              <w:spacing w:line="300" w:lineRule="exact"/>
              <w:jc w:val="center"/>
              <w:rPr>
                <w:sz w:val="21"/>
                <w:szCs w:val="21"/>
              </w:rPr>
            </w:pPr>
            <w:r>
              <w:rPr>
                <w:sz w:val="21"/>
                <w:szCs w:val="21"/>
              </w:rPr>
              <w:t>113.16539705°</w:t>
            </w:r>
          </w:p>
        </w:tc>
        <w:tc>
          <w:tcPr>
            <w:tcW w:w="1293" w:type="pct"/>
            <w:vAlign w:val="center"/>
          </w:tcPr>
          <w:p w:rsidR="00240BCE" w:rsidRDefault="00AC0334" w:rsidP="001D482D">
            <w:pPr>
              <w:spacing w:line="300" w:lineRule="exact"/>
              <w:jc w:val="center"/>
              <w:rPr>
                <w:sz w:val="21"/>
                <w:szCs w:val="21"/>
              </w:rPr>
            </w:pPr>
            <w:r>
              <w:rPr>
                <w:sz w:val="21"/>
                <w:szCs w:val="21"/>
              </w:rPr>
              <w:t>34.21088398°</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7</w:t>
            </w:r>
          </w:p>
        </w:tc>
        <w:tc>
          <w:tcPr>
            <w:tcW w:w="1290" w:type="pct"/>
            <w:vAlign w:val="center"/>
          </w:tcPr>
          <w:p w:rsidR="00240BCE" w:rsidRDefault="00AC0334" w:rsidP="001D482D">
            <w:pPr>
              <w:spacing w:line="300" w:lineRule="exact"/>
              <w:jc w:val="center"/>
              <w:rPr>
                <w:sz w:val="21"/>
                <w:szCs w:val="21"/>
              </w:rPr>
            </w:pPr>
            <w:r>
              <w:rPr>
                <w:sz w:val="21"/>
                <w:szCs w:val="21"/>
              </w:rPr>
              <w:t>113.16542923°</w:t>
            </w:r>
          </w:p>
        </w:tc>
        <w:tc>
          <w:tcPr>
            <w:tcW w:w="1293" w:type="pct"/>
            <w:vAlign w:val="center"/>
          </w:tcPr>
          <w:p w:rsidR="00240BCE" w:rsidRDefault="00AC0334" w:rsidP="001D482D">
            <w:pPr>
              <w:spacing w:line="300" w:lineRule="exact"/>
              <w:jc w:val="center"/>
              <w:rPr>
                <w:sz w:val="21"/>
                <w:szCs w:val="21"/>
              </w:rPr>
            </w:pPr>
            <w:r>
              <w:rPr>
                <w:sz w:val="21"/>
                <w:szCs w:val="21"/>
              </w:rPr>
              <w:t>34.21073377°</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8</w:t>
            </w:r>
          </w:p>
        </w:tc>
        <w:tc>
          <w:tcPr>
            <w:tcW w:w="1290" w:type="pct"/>
            <w:vAlign w:val="center"/>
          </w:tcPr>
          <w:p w:rsidR="00240BCE" w:rsidRDefault="00AC0334" w:rsidP="001D482D">
            <w:pPr>
              <w:spacing w:line="300" w:lineRule="exact"/>
              <w:jc w:val="center"/>
              <w:rPr>
                <w:sz w:val="21"/>
                <w:szCs w:val="21"/>
              </w:rPr>
            </w:pPr>
            <w:r>
              <w:rPr>
                <w:sz w:val="21"/>
                <w:szCs w:val="21"/>
              </w:rPr>
              <w:t>113.16520393°</w:t>
            </w:r>
          </w:p>
        </w:tc>
        <w:tc>
          <w:tcPr>
            <w:tcW w:w="1293" w:type="pct"/>
            <w:vAlign w:val="center"/>
          </w:tcPr>
          <w:p w:rsidR="00240BCE" w:rsidRDefault="00AC0334" w:rsidP="001D482D">
            <w:pPr>
              <w:spacing w:line="300" w:lineRule="exact"/>
              <w:jc w:val="center"/>
              <w:rPr>
                <w:sz w:val="21"/>
                <w:szCs w:val="21"/>
              </w:rPr>
            </w:pPr>
            <w:r>
              <w:rPr>
                <w:sz w:val="21"/>
                <w:szCs w:val="21"/>
              </w:rPr>
              <w:t>34.21080351°</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9</w:t>
            </w:r>
          </w:p>
        </w:tc>
        <w:tc>
          <w:tcPr>
            <w:tcW w:w="1290" w:type="pct"/>
            <w:vAlign w:val="center"/>
          </w:tcPr>
          <w:p w:rsidR="00240BCE" w:rsidRDefault="00AC0334" w:rsidP="001D482D">
            <w:pPr>
              <w:spacing w:line="300" w:lineRule="exact"/>
              <w:jc w:val="center"/>
              <w:rPr>
                <w:sz w:val="21"/>
                <w:szCs w:val="21"/>
              </w:rPr>
            </w:pPr>
            <w:r>
              <w:rPr>
                <w:sz w:val="21"/>
                <w:szCs w:val="21"/>
              </w:rPr>
              <w:t>113.16451192°</w:t>
            </w:r>
          </w:p>
        </w:tc>
        <w:tc>
          <w:tcPr>
            <w:tcW w:w="1293" w:type="pct"/>
            <w:vAlign w:val="center"/>
          </w:tcPr>
          <w:p w:rsidR="00240BCE" w:rsidRDefault="00AC0334" w:rsidP="001D482D">
            <w:pPr>
              <w:spacing w:line="300" w:lineRule="exact"/>
              <w:jc w:val="center"/>
              <w:rPr>
                <w:sz w:val="21"/>
                <w:szCs w:val="21"/>
              </w:rPr>
            </w:pPr>
            <w:r>
              <w:rPr>
                <w:sz w:val="21"/>
                <w:szCs w:val="21"/>
              </w:rPr>
              <w:t>34.21116829°</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10</w:t>
            </w:r>
          </w:p>
        </w:tc>
        <w:tc>
          <w:tcPr>
            <w:tcW w:w="1290" w:type="pct"/>
            <w:vAlign w:val="center"/>
          </w:tcPr>
          <w:p w:rsidR="00240BCE" w:rsidRDefault="00AC0334" w:rsidP="001D482D">
            <w:pPr>
              <w:spacing w:line="300" w:lineRule="exact"/>
              <w:jc w:val="center"/>
              <w:rPr>
                <w:sz w:val="21"/>
                <w:szCs w:val="21"/>
              </w:rPr>
            </w:pPr>
            <w:r>
              <w:rPr>
                <w:sz w:val="21"/>
                <w:szCs w:val="21"/>
              </w:rPr>
              <w:t>113.16374481°</w:t>
            </w:r>
          </w:p>
        </w:tc>
        <w:tc>
          <w:tcPr>
            <w:tcW w:w="1293" w:type="pct"/>
            <w:vAlign w:val="center"/>
          </w:tcPr>
          <w:p w:rsidR="00240BCE" w:rsidRDefault="00AC0334" w:rsidP="001D482D">
            <w:pPr>
              <w:spacing w:line="300" w:lineRule="exact"/>
              <w:jc w:val="center"/>
              <w:rPr>
                <w:sz w:val="21"/>
                <w:szCs w:val="21"/>
              </w:rPr>
            </w:pPr>
            <w:r>
              <w:rPr>
                <w:sz w:val="21"/>
                <w:szCs w:val="21"/>
              </w:rPr>
              <w:t>34.21153307°</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11</w:t>
            </w:r>
          </w:p>
        </w:tc>
        <w:tc>
          <w:tcPr>
            <w:tcW w:w="1290" w:type="pct"/>
            <w:vAlign w:val="center"/>
          </w:tcPr>
          <w:p w:rsidR="00240BCE" w:rsidRDefault="00AC0334" w:rsidP="001D482D">
            <w:pPr>
              <w:spacing w:line="300" w:lineRule="exact"/>
              <w:jc w:val="center"/>
              <w:rPr>
                <w:sz w:val="21"/>
                <w:szCs w:val="21"/>
              </w:rPr>
            </w:pPr>
            <w:r>
              <w:rPr>
                <w:sz w:val="21"/>
                <w:szCs w:val="21"/>
              </w:rPr>
              <w:t>113.16421151°</w:t>
            </w:r>
          </w:p>
        </w:tc>
        <w:tc>
          <w:tcPr>
            <w:tcW w:w="1293" w:type="pct"/>
            <w:vAlign w:val="center"/>
          </w:tcPr>
          <w:p w:rsidR="00240BCE" w:rsidRDefault="00AC0334" w:rsidP="001D482D">
            <w:pPr>
              <w:spacing w:line="300" w:lineRule="exact"/>
              <w:jc w:val="center"/>
              <w:rPr>
                <w:sz w:val="21"/>
                <w:szCs w:val="21"/>
              </w:rPr>
            </w:pPr>
            <w:r>
              <w:rPr>
                <w:sz w:val="21"/>
                <w:szCs w:val="21"/>
              </w:rPr>
              <w:t>34.21227336°</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12</w:t>
            </w:r>
          </w:p>
        </w:tc>
        <w:tc>
          <w:tcPr>
            <w:tcW w:w="1290" w:type="pct"/>
            <w:vAlign w:val="center"/>
          </w:tcPr>
          <w:p w:rsidR="00240BCE" w:rsidRDefault="00AC0334" w:rsidP="001D482D">
            <w:pPr>
              <w:spacing w:line="300" w:lineRule="exact"/>
              <w:jc w:val="center"/>
              <w:rPr>
                <w:sz w:val="21"/>
                <w:szCs w:val="21"/>
              </w:rPr>
            </w:pPr>
            <w:r>
              <w:rPr>
                <w:sz w:val="21"/>
                <w:szCs w:val="21"/>
              </w:rPr>
              <w:t>113.16414177°</w:t>
            </w:r>
          </w:p>
        </w:tc>
        <w:tc>
          <w:tcPr>
            <w:tcW w:w="1293" w:type="pct"/>
            <w:vAlign w:val="center"/>
          </w:tcPr>
          <w:p w:rsidR="00240BCE" w:rsidRDefault="00AC0334" w:rsidP="001D482D">
            <w:pPr>
              <w:spacing w:line="300" w:lineRule="exact"/>
              <w:jc w:val="center"/>
              <w:rPr>
                <w:sz w:val="21"/>
                <w:szCs w:val="21"/>
              </w:rPr>
            </w:pPr>
            <w:r>
              <w:rPr>
                <w:sz w:val="21"/>
                <w:szCs w:val="21"/>
              </w:rPr>
              <w:t>34.21231091°</w:t>
            </w:r>
          </w:p>
        </w:tc>
      </w:tr>
      <w:tr w:rsidR="00240BCE" w:rsidTr="001D482D">
        <w:tc>
          <w:tcPr>
            <w:tcW w:w="1669" w:type="pct"/>
            <w:vMerge w:val="restart"/>
            <w:vAlign w:val="center"/>
          </w:tcPr>
          <w:p w:rsidR="00240BCE" w:rsidRDefault="00AC0334" w:rsidP="001D482D">
            <w:pPr>
              <w:spacing w:line="300" w:lineRule="exact"/>
              <w:jc w:val="center"/>
              <w:rPr>
                <w:sz w:val="21"/>
                <w:szCs w:val="21"/>
              </w:rPr>
            </w:pPr>
            <w:r>
              <w:rPr>
                <w:sz w:val="21"/>
                <w:szCs w:val="21"/>
              </w:rPr>
              <w:t>储煤棚位于工业场地中部偏东位置（占地面积</w:t>
            </w:r>
            <w:r>
              <w:rPr>
                <w:rFonts w:hint="eastAsia"/>
                <w:sz w:val="21"/>
                <w:szCs w:val="21"/>
              </w:rPr>
              <w:t>12</w:t>
            </w:r>
            <w:r>
              <w:rPr>
                <w:sz w:val="21"/>
                <w:szCs w:val="21"/>
              </w:rPr>
              <w:t>00m</w:t>
            </w:r>
            <w:r>
              <w:rPr>
                <w:sz w:val="21"/>
                <w:szCs w:val="21"/>
                <w:vertAlign w:val="superscript"/>
              </w:rPr>
              <w:t>2</w:t>
            </w:r>
            <w:r>
              <w:rPr>
                <w:sz w:val="21"/>
                <w:szCs w:val="21"/>
              </w:rPr>
              <w:t>）</w:t>
            </w:r>
          </w:p>
        </w:tc>
        <w:tc>
          <w:tcPr>
            <w:tcW w:w="746" w:type="pct"/>
            <w:vAlign w:val="center"/>
          </w:tcPr>
          <w:p w:rsidR="00240BCE" w:rsidRDefault="00AC0334" w:rsidP="001D482D">
            <w:pPr>
              <w:spacing w:line="300" w:lineRule="exact"/>
              <w:jc w:val="center"/>
              <w:rPr>
                <w:sz w:val="21"/>
                <w:szCs w:val="21"/>
              </w:rPr>
            </w:pPr>
            <w:r>
              <w:rPr>
                <w:sz w:val="21"/>
                <w:szCs w:val="21"/>
              </w:rPr>
              <w:t>1</w:t>
            </w:r>
          </w:p>
        </w:tc>
        <w:tc>
          <w:tcPr>
            <w:tcW w:w="1290" w:type="pct"/>
            <w:vAlign w:val="center"/>
          </w:tcPr>
          <w:p w:rsidR="00240BCE" w:rsidRDefault="00AC0334" w:rsidP="001D482D">
            <w:pPr>
              <w:spacing w:line="300" w:lineRule="exact"/>
              <w:jc w:val="center"/>
              <w:rPr>
                <w:sz w:val="21"/>
                <w:szCs w:val="21"/>
              </w:rPr>
            </w:pPr>
            <w:r>
              <w:rPr>
                <w:sz w:val="21"/>
                <w:szCs w:val="21"/>
              </w:rPr>
              <w:t>113.16453338°</w:t>
            </w:r>
          </w:p>
        </w:tc>
        <w:tc>
          <w:tcPr>
            <w:tcW w:w="1293" w:type="pct"/>
            <w:vAlign w:val="center"/>
          </w:tcPr>
          <w:p w:rsidR="00240BCE" w:rsidRDefault="00AC0334" w:rsidP="001D482D">
            <w:pPr>
              <w:spacing w:line="300" w:lineRule="exact"/>
              <w:jc w:val="center"/>
              <w:rPr>
                <w:sz w:val="21"/>
                <w:szCs w:val="21"/>
              </w:rPr>
            </w:pPr>
            <w:r>
              <w:rPr>
                <w:sz w:val="21"/>
                <w:szCs w:val="21"/>
              </w:rPr>
              <w:t>34.21177447°</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2</w:t>
            </w:r>
          </w:p>
        </w:tc>
        <w:tc>
          <w:tcPr>
            <w:tcW w:w="1290" w:type="pct"/>
            <w:vAlign w:val="center"/>
          </w:tcPr>
          <w:p w:rsidR="00240BCE" w:rsidRDefault="00AC0334" w:rsidP="001D482D">
            <w:pPr>
              <w:spacing w:line="300" w:lineRule="exact"/>
              <w:jc w:val="center"/>
              <w:rPr>
                <w:sz w:val="21"/>
                <w:szCs w:val="21"/>
              </w:rPr>
            </w:pPr>
            <w:r>
              <w:rPr>
                <w:sz w:val="21"/>
                <w:szCs w:val="21"/>
              </w:rPr>
              <w:t>113.16471577°</w:t>
            </w:r>
          </w:p>
        </w:tc>
        <w:tc>
          <w:tcPr>
            <w:tcW w:w="1293" w:type="pct"/>
            <w:vAlign w:val="center"/>
          </w:tcPr>
          <w:p w:rsidR="00240BCE" w:rsidRDefault="00AC0334" w:rsidP="001D482D">
            <w:pPr>
              <w:spacing w:line="300" w:lineRule="exact"/>
              <w:jc w:val="center"/>
              <w:rPr>
                <w:sz w:val="21"/>
                <w:szCs w:val="21"/>
              </w:rPr>
            </w:pPr>
            <w:r>
              <w:rPr>
                <w:sz w:val="21"/>
                <w:szCs w:val="21"/>
              </w:rPr>
              <w:t>34.21164036°</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3</w:t>
            </w:r>
          </w:p>
        </w:tc>
        <w:tc>
          <w:tcPr>
            <w:tcW w:w="1290" w:type="pct"/>
            <w:vAlign w:val="center"/>
          </w:tcPr>
          <w:p w:rsidR="00240BCE" w:rsidRDefault="00AC0334" w:rsidP="001D482D">
            <w:pPr>
              <w:spacing w:line="300" w:lineRule="exact"/>
              <w:jc w:val="center"/>
              <w:rPr>
                <w:sz w:val="21"/>
                <w:szCs w:val="21"/>
              </w:rPr>
            </w:pPr>
            <w:r>
              <w:rPr>
                <w:sz w:val="21"/>
                <w:szCs w:val="21"/>
              </w:rPr>
              <w:t>113.16432953°</w:t>
            </w:r>
          </w:p>
        </w:tc>
        <w:tc>
          <w:tcPr>
            <w:tcW w:w="1293" w:type="pct"/>
            <w:vAlign w:val="center"/>
          </w:tcPr>
          <w:p w:rsidR="00240BCE" w:rsidRDefault="00AC0334" w:rsidP="001D482D">
            <w:pPr>
              <w:spacing w:line="300" w:lineRule="exact"/>
              <w:jc w:val="center"/>
              <w:rPr>
                <w:sz w:val="21"/>
                <w:szCs w:val="21"/>
              </w:rPr>
            </w:pPr>
            <w:r>
              <w:rPr>
                <w:sz w:val="21"/>
                <w:szCs w:val="21"/>
              </w:rPr>
              <w:t>34.21158671°</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4</w:t>
            </w:r>
          </w:p>
        </w:tc>
        <w:tc>
          <w:tcPr>
            <w:tcW w:w="1290" w:type="pct"/>
            <w:vAlign w:val="center"/>
          </w:tcPr>
          <w:p w:rsidR="00240BCE" w:rsidRDefault="00AC0334" w:rsidP="001D482D">
            <w:pPr>
              <w:spacing w:line="300" w:lineRule="exact"/>
              <w:jc w:val="center"/>
              <w:rPr>
                <w:sz w:val="21"/>
                <w:szCs w:val="21"/>
              </w:rPr>
            </w:pPr>
            <w:r>
              <w:rPr>
                <w:sz w:val="21"/>
                <w:szCs w:val="21"/>
              </w:rPr>
              <w:t>113.16450119°</w:t>
            </w:r>
          </w:p>
        </w:tc>
        <w:tc>
          <w:tcPr>
            <w:tcW w:w="1293" w:type="pct"/>
            <w:vAlign w:val="center"/>
          </w:tcPr>
          <w:p w:rsidR="00240BCE" w:rsidRDefault="00AC0334" w:rsidP="001D482D">
            <w:pPr>
              <w:spacing w:line="300" w:lineRule="exact"/>
              <w:jc w:val="center"/>
              <w:rPr>
                <w:sz w:val="21"/>
                <w:szCs w:val="21"/>
              </w:rPr>
            </w:pPr>
            <w:r>
              <w:rPr>
                <w:sz w:val="21"/>
                <w:szCs w:val="21"/>
              </w:rPr>
              <w:t>34.21142578°</w:t>
            </w:r>
          </w:p>
        </w:tc>
      </w:tr>
      <w:tr w:rsidR="00240BCE" w:rsidTr="001D482D">
        <w:tc>
          <w:tcPr>
            <w:tcW w:w="1669" w:type="pct"/>
            <w:vMerge w:val="restart"/>
            <w:vAlign w:val="center"/>
          </w:tcPr>
          <w:p w:rsidR="00240BCE" w:rsidRDefault="00AC0334" w:rsidP="001D482D">
            <w:pPr>
              <w:spacing w:line="300" w:lineRule="exact"/>
              <w:jc w:val="center"/>
              <w:rPr>
                <w:sz w:val="21"/>
                <w:szCs w:val="21"/>
              </w:rPr>
            </w:pPr>
            <w:r>
              <w:rPr>
                <w:sz w:val="21"/>
                <w:szCs w:val="21"/>
              </w:rPr>
              <w:t>矸石周转场位于储煤棚内东南角（占地面积</w:t>
            </w:r>
            <w:r>
              <w:rPr>
                <w:sz w:val="21"/>
                <w:szCs w:val="21"/>
              </w:rPr>
              <w:t>50m</w:t>
            </w:r>
            <w:r>
              <w:rPr>
                <w:sz w:val="21"/>
                <w:szCs w:val="21"/>
                <w:vertAlign w:val="superscript"/>
              </w:rPr>
              <w:t>2</w:t>
            </w:r>
            <w:r>
              <w:rPr>
                <w:sz w:val="21"/>
                <w:szCs w:val="21"/>
              </w:rPr>
              <w:t>）</w:t>
            </w:r>
          </w:p>
        </w:tc>
        <w:tc>
          <w:tcPr>
            <w:tcW w:w="746" w:type="pct"/>
            <w:vAlign w:val="center"/>
          </w:tcPr>
          <w:p w:rsidR="00240BCE" w:rsidRDefault="00AC0334" w:rsidP="001D482D">
            <w:pPr>
              <w:spacing w:line="300" w:lineRule="exact"/>
              <w:jc w:val="center"/>
              <w:rPr>
                <w:sz w:val="21"/>
                <w:szCs w:val="21"/>
              </w:rPr>
            </w:pPr>
            <w:r>
              <w:rPr>
                <w:sz w:val="21"/>
                <w:szCs w:val="21"/>
              </w:rPr>
              <w:t>1</w:t>
            </w:r>
          </w:p>
        </w:tc>
        <w:tc>
          <w:tcPr>
            <w:tcW w:w="1290" w:type="pct"/>
            <w:vAlign w:val="center"/>
          </w:tcPr>
          <w:p w:rsidR="00240BCE" w:rsidRDefault="00AC0334" w:rsidP="001D482D">
            <w:pPr>
              <w:spacing w:line="300" w:lineRule="exact"/>
              <w:jc w:val="center"/>
              <w:rPr>
                <w:sz w:val="21"/>
                <w:szCs w:val="21"/>
              </w:rPr>
            </w:pPr>
            <w:r>
              <w:rPr>
                <w:sz w:val="21"/>
                <w:szCs w:val="21"/>
              </w:rPr>
              <w:t>113.16450119°</w:t>
            </w:r>
          </w:p>
        </w:tc>
        <w:tc>
          <w:tcPr>
            <w:tcW w:w="1293" w:type="pct"/>
            <w:vAlign w:val="center"/>
          </w:tcPr>
          <w:p w:rsidR="00240BCE" w:rsidRDefault="00AC0334" w:rsidP="001D482D">
            <w:pPr>
              <w:spacing w:line="300" w:lineRule="exact"/>
              <w:jc w:val="center"/>
              <w:rPr>
                <w:sz w:val="21"/>
                <w:szCs w:val="21"/>
              </w:rPr>
            </w:pPr>
            <w:r>
              <w:rPr>
                <w:sz w:val="21"/>
                <w:szCs w:val="21"/>
              </w:rPr>
              <w:t>34.21142578°</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2</w:t>
            </w:r>
          </w:p>
        </w:tc>
        <w:tc>
          <w:tcPr>
            <w:tcW w:w="1290" w:type="pct"/>
            <w:vAlign w:val="center"/>
          </w:tcPr>
          <w:p w:rsidR="00240BCE" w:rsidRDefault="00AC0334" w:rsidP="001D482D">
            <w:pPr>
              <w:spacing w:line="300" w:lineRule="exact"/>
              <w:jc w:val="center"/>
              <w:rPr>
                <w:sz w:val="21"/>
                <w:szCs w:val="21"/>
              </w:rPr>
            </w:pPr>
            <w:r>
              <w:rPr>
                <w:sz w:val="21"/>
                <w:szCs w:val="21"/>
              </w:rPr>
              <w:t>113.16456556°</w:t>
            </w:r>
          </w:p>
        </w:tc>
        <w:tc>
          <w:tcPr>
            <w:tcW w:w="1293" w:type="pct"/>
            <w:vAlign w:val="center"/>
          </w:tcPr>
          <w:p w:rsidR="00240BCE" w:rsidRDefault="00AC0334" w:rsidP="001D482D">
            <w:pPr>
              <w:spacing w:line="300" w:lineRule="exact"/>
              <w:jc w:val="center"/>
              <w:rPr>
                <w:sz w:val="21"/>
                <w:szCs w:val="21"/>
              </w:rPr>
            </w:pPr>
            <w:r>
              <w:rPr>
                <w:sz w:val="21"/>
                <w:szCs w:val="21"/>
              </w:rPr>
              <w:t>34.21147674°</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3</w:t>
            </w:r>
          </w:p>
        </w:tc>
        <w:tc>
          <w:tcPr>
            <w:tcW w:w="1290" w:type="pct"/>
            <w:vAlign w:val="center"/>
          </w:tcPr>
          <w:p w:rsidR="00240BCE" w:rsidRDefault="00AC0334" w:rsidP="001D482D">
            <w:pPr>
              <w:spacing w:line="300" w:lineRule="exact"/>
              <w:jc w:val="center"/>
              <w:rPr>
                <w:sz w:val="21"/>
                <w:szCs w:val="21"/>
              </w:rPr>
            </w:pPr>
            <w:r>
              <w:rPr>
                <w:sz w:val="21"/>
                <w:szCs w:val="21"/>
              </w:rPr>
              <w:t>113.16450924°</w:t>
            </w:r>
          </w:p>
        </w:tc>
        <w:tc>
          <w:tcPr>
            <w:tcW w:w="1293" w:type="pct"/>
            <w:vAlign w:val="center"/>
          </w:tcPr>
          <w:p w:rsidR="00240BCE" w:rsidRDefault="00AC0334" w:rsidP="001D482D">
            <w:pPr>
              <w:spacing w:line="300" w:lineRule="exact"/>
              <w:jc w:val="center"/>
              <w:rPr>
                <w:sz w:val="21"/>
                <w:szCs w:val="21"/>
              </w:rPr>
            </w:pPr>
            <w:r>
              <w:rPr>
                <w:sz w:val="21"/>
                <w:szCs w:val="21"/>
              </w:rPr>
              <w:t>34.21141237°</w:t>
            </w:r>
          </w:p>
        </w:tc>
      </w:tr>
      <w:tr w:rsidR="00240BCE" w:rsidTr="001D482D">
        <w:tc>
          <w:tcPr>
            <w:tcW w:w="1669" w:type="pct"/>
            <w:vMerge/>
            <w:vAlign w:val="center"/>
          </w:tcPr>
          <w:p w:rsidR="00240BCE" w:rsidRDefault="00240BCE" w:rsidP="001D482D">
            <w:pPr>
              <w:spacing w:line="300" w:lineRule="exact"/>
              <w:jc w:val="center"/>
              <w:rPr>
                <w:sz w:val="21"/>
                <w:szCs w:val="21"/>
              </w:rPr>
            </w:pPr>
          </w:p>
        </w:tc>
        <w:tc>
          <w:tcPr>
            <w:tcW w:w="746" w:type="pct"/>
            <w:vAlign w:val="center"/>
          </w:tcPr>
          <w:p w:rsidR="00240BCE" w:rsidRDefault="00AC0334" w:rsidP="001D482D">
            <w:pPr>
              <w:spacing w:line="300" w:lineRule="exact"/>
              <w:jc w:val="center"/>
              <w:rPr>
                <w:sz w:val="21"/>
                <w:szCs w:val="21"/>
              </w:rPr>
            </w:pPr>
            <w:r>
              <w:rPr>
                <w:sz w:val="21"/>
                <w:szCs w:val="21"/>
              </w:rPr>
              <w:t>4</w:t>
            </w:r>
          </w:p>
        </w:tc>
        <w:tc>
          <w:tcPr>
            <w:tcW w:w="1290" w:type="pct"/>
            <w:vAlign w:val="center"/>
          </w:tcPr>
          <w:p w:rsidR="00240BCE" w:rsidRDefault="00AC0334" w:rsidP="001D482D">
            <w:pPr>
              <w:spacing w:line="300" w:lineRule="exact"/>
              <w:jc w:val="center"/>
              <w:rPr>
                <w:sz w:val="21"/>
                <w:szCs w:val="21"/>
              </w:rPr>
            </w:pPr>
            <w:r>
              <w:rPr>
                <w:sz w:val="21"/>
                <w:szCs w:val="21"/>
              </w:rPr>
              <w:t>113.16445559°</w:t>
            </w:r>
          </w:p>
        </w:tc>
        <w:tc>
          <w:tcPr>
            <w:tcW w:w="1293" w:type="pct"/>
            <w:vAlign w:val="center"/>
          </w:tcPr>
          <w:p w:rsidR="00240BCE" w:rsidRDefault="00AC0334" w:rsidP="001D482D">
            <w:pPr>
              <w:spacing w:line="300" w:lineRule="exact"/>
              <w:jc w:val="center"/>
              <w:rPr>
                <w:sz w:val="21"/>
                <w:szCs w:val="21"/>
              </w:rPr>
            </w:pPr>
            <w:r>
              <w:rPr>
                <w:sz w:val="21"/>
                <w:szCs w:val="21"/>
              </w:rPr>
              <w:t>34.21144724°</w:t>
            </w:r>
          </w:p>
        </w:tc>
      </w:tr>
    </w:tbl>
    <w:p w:rsidR="00240BCE" w:rsidRDefault="00AC0334">
      <w:pPr>
        <w:spacing w:line="520" w:lineRule="exact"/>
        <w:rPr>
          <w:sz w:val="24"/>
        </w:rPr>
      </w:pPr>
      <w:r>
        <w:rPr>
          <w:sz w:val="24"/>
        </w:rPr>
        <w:lastRenderedPageBreak/>
        <w:t>3.1.3.3</w:t>
      </w:r>
      <w:r>
        <w:rPr>
          <w:sz w:val="24"/>
        </w:rPr>
        <w:t>现有工程项目组成</w:t>
      </w:r>
    </w:p>
    <w:p w:rsidR="00240BCE" w:rsidRDefault="00AC0334">
      <w:pPr>
        <w:spacing w:line="520" w:lineRule="exact"/>
        <w:ind w:firstLineChars="200" w:firstLine="480"/>
        <w:rPr>
          <w:sz w:val="24"/>
        </w:rPr>
      </w:pPr>
      <w:r>
        <w:rPr>
          <w:sz w:val="24"/>
        </w:rPr>
        <w:t>升级改造前现有工程项目组成及主要建设内容见表</w:t>
      </w:r>
      <w:r>
        <w:rPr>
          <w:sz w:val="24"/>
        </w:rPr>
        <w:t>3.1-</w:t>
      </w:r>
      <w:r w:rsidR="006E2C96">
        <w:rPr>
          <w:rFonts w:hint="eastAsia"/>
          <w:sz w:val="24"/>
        </w:rPr>
        <w:t>3</w:t>
      </w:r>
      <w:r>
        <w:rPr>
          <w:sz w:val="24"/>
        </w:rPr>
        <w:t>。</w:t>
      </w:r>
    </w:p>
    <w:p w:rsidR="00240BCE" w:rsidRDefault="00AC0334">
      <w:pPr>
        <w:spacing w:line="520" w:lineRule="exact"/>
        <w:jc w:val="center"/>
        <w:rPr>
          <w:rFonts w:eastAsia="黑体"/>
          <w:bCs/>
          <w:iCs/>
          <w:sz w:val="24"/>
        </w:rPr>
      </w:pPr>
      <w:r>
        <w:rPr>
          <w:rFonts w:eastAsia="黑体"/>
          <w:bCs/>
          <w:iCs/>
          <w:sz w:val="24"/>
        </w:rPr>
        <w:t>表</w:t>
      </w:r>
      <w:r>
        <w:rPr>
          <w:rFonts w:eastAsia="黑体"/>
          <w:bCs/>
          <w:iCs/>
          <w:sz w:val="24"/>
        </w:rPr>
        <w:t>3.1-</w:t>
      </w:r>
      <w:r w:rsidR="006E2C96">
        <w:rPr>
          <w:rFonts w:eastAsia="黑体" w:hint="eastAsia"/>
          <w:bCs/>
          <w:iCs/>
          <w:sz w:val="24"/>
        </w:rPr>
        <w:t>3</w:t>
      </w:r>
      <w:r>
        <w:rPr>
          <w:rFonts w:eastAsia="黑体"/>
          <w:bCs/>
          <w:iCs/>
          <w:sz w:val="24"/>
        </w:rPr>
        <w:t xml:space="preserve">  </w:t>
      </w:r>
      <w:r>
        <w:rPr>
          <w:rFonts w:eastAsia="黑体"/>
          <w:bCs/>
          <w:iCs/>
          <w:sz w:val="24"/>
        </w:rPr>
        <w:t>升级改造前现有工程项目组成一览表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3"/>
        <w:gridCol w:w="942"/>
        <w:gridCol w:w="6200"/>
        <w:gridCol w:w="1103"/>
      </w:tblGrid>
      <w:tr w:rsidR="00240BCE" w:rsidTr="001044CC">
        <w:trPr>
          <w:cantSplit/>
          <w:jc w:val="center"/>
        </w:trPr>
        <w:tc>
          <w:tcPr>
            <w:tcW w:w="573"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工程类别</w:t>
            </w:r>
          </w:p>
        </w:tc>
        <w:tc>
          <w:tcPr>
            <w:tcW w:w="942"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单项工程</w:t>
            </w:r>
          </w:p>
        </w:tc>
        <w:tc>
          <w:tcPr>
            <w:tcW w:w="6200"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技改前现有工程内容（</w:t>
            </w:r>
            <w:r>
              <w:rPr>
                <w:snapToGrid w:val="0"/>
                <w:kern w:val="0"/>
                <w:sz w:val="21"/>
                <w:szCs w:val="21"/>
              </w:rPr>
              <w:t>0.15Mt/a</w:t>
            </w:r>
            <w:r>
              <w:rPr>
                <w:snapToGrid w:val="0"/>
                <w:kern w:val="0"/>
                <w:sz w:val="21"/>
                <w:szCs w:val="21"/>
              </w:rPr>
              <w:t>）</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与技改工程依托关系</w:t>
            </w:r>
          </w:p>
        </w:tc>
      </w:tr>
      <w:tr w:rsidR="00240BCE" w:rsidTr="001044CC">
        <w:trPr>
          <w:cantSplit/>
          <w:jc w:val="center"/>
        </w:trPr>
        <w:tc>
          <w:tcPr>
            <w:tcW w:w="573" w:type="dxa"/>
            <w:vMerge w:val="restart"/>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矿井工程</w:t>
            </w:r>
          </w:p>
        </w:tc>
        <w:tc>
          <w:tcPr>
            <w:tcW w:w="942"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主井</w:t>
            </w:r>
          </w:p>
        </w:tc>
        <w:tc>
          <w:tcPr>
            <w:tcW w:w="6200" w:type="dxa"/>
            <w:tcMar>
              <w:left w:w="0" w:type="dxa"/>
              <w:right w:w="0" w:type="dxa"/>
            </w:tcMar>
            <w:vAlign w:val="center"/>
          </w:tcPr>
          <w:p w:rsidR="00240BCE" w:rsidRDefault="00AC0334" w:rsidP="001044CC">
            <w:pPr>
              <w:spacing w:line="294" w:lineRule="exact"/>
              <w:jc w:val="center"/>
              <w:rPr>
                <w:snapToGrid w:val="0"/>
                <w:kern w:val="0"/>
                <w:sz w:val="21"/>
                <w:szCs w:val="21"/>
              </w:rPr>
            </w:pPr>
            <w:r>
              <w:rPr>
                <w:snapToGrid w:val="0"/>
                <w:kern w:val="0"/>
                <w:sz w:val="21"/>
                <w:szCs w:val="21"/>
              </w:rPr>
              <w:t>井筒直径</w:t>
            </w:r>
            <w:r>
              <w:rPr>
                <w:snapToGrid w:val="0"/>
                <w:kern w:val="0"/>
                <w:sz w:val="21"/>
                <w:szCs w:val="21"/>
              </w:rPr>
              <w:t>4.6m</w:t>
            </w:r>
            <w:r>
              <w:rPr>
                <w:snapToGrid w:val="0"/>
                <w:kern w:val="0"/>
                <w:sz w:val="21"/>
                <w:szCs w:val="21"/>
              </w:rPr>
              <w:t>，装备一对</w:t>
            </w:r>
            <w:r>
              <w:rPr>
                <w:snapToGrid w:val="0"/>
                <w:kern w:val="0"/>
                <w:sz w:val="21"/>
                <w:szCs w:val="21"/>
              </w:rPr>
              <w:t>2t</w:t>
            </w:r>
            <w:r>
              <w:rPr>
                <w:snapToGrid w:val="0"/>
                <w:kern w:val="0"/>
                <w:sz w:val="21"/>
                <w:szCs w:val="21"/>
              </w:rPr>
              <w:t>非标准箕斗，担负全矿井提煤和进风任务，井筒内敷设压风管、消防洒水管，并设金属梯子间作为矿井一安全出口；</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副井</w:t>
            </w:r>
          </w:p>
        </w:tc>
        <w:tc>
          <w:tcPr>
            <w:tcW w:w="6200"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副立井直径</w:t>
            </w:r>
            <w:r>
              <w:rPr>
                <w:snapToGrid w:val="0"/>
                <w:kern w:val="0"/>
                <w:sz w:val="21"/>
                <w:szCs w:val="21"/>
              </w:rPr>
              <w:t>3.8m</w:t>
            </w:r>
            <w:r>
              <w:rPr>
                <w:snapToGrid w:val="0"/>
                <w:kern w:val="0"/>
                <w:sz w:val="21"/>
                <w:szCs w:val="21"/>
              </w:rPr>
              <w:t>，装备一对</w:t>
            </w:r>
            <w:r>
              <w:rPr>
                <w:snapToGrid w:val="0"/>
                <w:kern w:val="0"/>
                <w:sz w:val="21"/>
                <w:szCs w:val="21"/>
              </w:rPr>
              <w:t>0.75t</w:t>
            </w:r>
            <w:r>
              <w:rPr>
                <w:snapToGrid w:val="0"/>
                <w:kern w:val="0"/>
                <w:sz w:val="21"/>
                <w:szCs w:val="21"/>
              </w:rPr>
              <w:t>非标准罐笼，担负全矿井提矸、下料、升降人员、进风等任务；</w:t>
            </w:r>
            <w:r>
              <w:rPr>
                <w:snapToGrid w:val="0"/>
                <w:kern w:val="0"/>
                <w:sz w:val="21"/>
                <w:szCs w:val="21"/>
              </w:rPr>
              <w:t xml:space="preserve"> </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风井</w:t>
            </w:r>
          </w:p>
        </w:tc>
        <w:tc>
          <w:tcPr>
            <w:tcW w:w="6200"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井筒直径</w:t>
            </w:r>
            <w:r>
              <w:rPr>
                <w:snapToGrid w:val="0"/>
                <w:kern w:val="0"/>
                <w:sz w:val="21"/>
                <w:szCs w:val="21"/>
              </w:rPr>
              <w:t>3.8m</w:t>
            </w:r>
            <w:r>
              <w:rPr>
                <w:snapToGrid w:val="0"/>
                <w:kern w:val="0"/>
                <w:sz w:val="21"/>
                <w:szCs w:val="21"/>
              </w:rPr>
              <w:t>，井口安装</w:t>
            </w:r>
            <w:r>
              <w:rPr>
                <w:snapToGrid w:val="0"/>
                <w:kern w:val="0"/>
                <w:sz w:val="21"/>
                <w:szCs w:val="21"/>
              </w:rPr>
              <w:t>2</w:t>
            </w:r>
            <w:r>
              <w:rPr>
                <w:snapToGrid w:val="0"/>
                <w:kern w:val="0"/>
                <w:sz w:val="21"/>
                <w:szCs w:val="21"/>
              </w:rPr>
              <w:t>台</w:t>
            </w:r>
            <w:r>
              <w:rPr>
                <w:snapToGrid w:val="0"/>
                <w:kern w:val="0"/>
                <w:sz w:val="21"/>
                <w:szCs w:val="21"/>
              </w:rPr>
              <w:t>FBCDZ-№16</w:t>
            </w:r>
            <w:r>
              <w:rPr>
                <w:snapToGrid w:val="0"/>
                <w:kern w:val="0"/>
                <w:sz w:val="21"/>
                <w:szCs w:val="21"/>
              </w:rPr>
              <w:t>型对旋轴流风机，担负全矿井的回风任务，同时安设梯子间，作为紧急情况下的安全出口。</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108" w:type="dxa"/>
              <w:right w:w="108" w:type="dxa"/>
            </w:tcMar>
            <w:vAlign w:val="center"/>
          </w:tcPr>
          <w:p w:rsidR="00240BCE" w:rsidRDefault="00AC0334">
            <w:pPr>
              <w:spacing w:line="294" w:lineRule="exact"/>
              <w:jc w:val="center"/>
              <w:rPr>
                <w:kern w:val="0"/>
                <w:sz w:val="21"/>
                <w:szCs w:val="21"/>
              </w:rPr>
            </w:pPr>
            <w:r>
              <w:rPr>
                <w:kern w:val="0"/>
                <w:sz w:val="21"/>
                <w:szCs w:val="21"/>
              </w:rPr>
              <w:t>采煤工艺</w:t>
            </w:r>
          </w:p>
        </w:tc>
        <w:tc>
          <w:tcPr>
            <w:tcW w:w="6200" w:type="dxa"/>
            <w:noWrap/>
            <w:tcMar>
              <w:left w:w="0" w:type="dxa"/>
              <w:right w:w="0" w:type="dxa"/>
            </w:tcMar>
            <w:vAlign w:val="center"/>
          </w:tcPr>
          <w:p w:rsidR="00240BCE" w:rsidRDefault="00AC0334">
            <w:pPr>
              <w:spacing w:line="294" w:lineRule="exact"/>
              <w:jc w:val="center"/>
              <w:rPr>
                <w:kern w:val="0"/>
                <w:sz w:val="21"/>
                <w:szCs w:val="21"/>
              </w:rPr>
            </w:pPr>
            <w:r>
              <w:rPr>
                <w:kern w:val="0"/>
                <w:sz w:val="21"/>
                <w:szCs w:val="21"/>
              </w:rPr>
              <w:t>走向长壁采煤法，炮采采煤工艺，悬移液压支架支护，全部跨落法管理顶板</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升级改造</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vMerge w:val="restart"/>
            <w:tcMar>
              <w:left w:w="108" w:type="dxa"/>
              <w:right w:w="108" w:type="dxa"/>
            </w:tcMar>
            <w:vAlign w:val="center"/>
          </w:tcPr>
          <w:p w:rsidR="00240BCE" w:rsidRDefault="00AC0334">
            <w:pPr>
              <w:spacing w:line="294" w:lineRule="exact"/>
              <w:jc w:val="center"/>
              <w:rPr>
                <w:bCs/>
                <w:iCs/>
                <w:kern w:val="0"/>
                <w:sz w:val="21"/>
                <w:szCs w:val="21"/>
              </w:rPr>
            </w:pPr>
            <w:r>
              <w:rPr>
                <w:bCs/>
                <w:iCs/>
                <w:kern w:val="0"/>
                <w:sz w:val="21"/>
                <w:szCs w:val="21"/>
              </w:rPr>
              <w:t>主要采煤设备</w:t>
            </w:r>
          </w:p>
        </w:tc>
        <w:tc>
          <w:tcPr>
            <w:tcW w:w="6200" w:type="dxa"/>
            <w:vMerge w:val="restart"/>
            <w:tcMar>
              <w:left w:w="0" w:type="dxa"/>
              <w:right w:w="0" w:type="dxa"/>
            </w:tcMar>
            <w:vAlign w:val="center"/>
          </w:tcPr>
          <w:p w:rsidR="00240BCE" w:rsidRDefault="00AC0334">
            <w:pPr>
              <w:spacing w:line="294" w:lineRule="exact"/>
              <w:jc w:val="center"/>
              <w:rPr>
                <w:bCs/>
                <w:iCs/>
                <w:sz w:val="21"/>
                <w:szCs w:val="21"/>
              </w:rPr>
            </w:pPr>
            <w:r>
              <w:rPr>
                <w:bCs/>
                <w:iCs/>
                <w:sz w:val="21"/>
                <w:szCs w:val="21"/>
              </w:rPr>
              <w:t>ZY3200</w:t>
            </w:r>
            <w:r>
              <w:rPr>
                <w:bCs/>
                <w:iCs/>
                <w:sz w:val="21"/>
                <w:szCs w:val="21"/>
              </w:rPr>
              <w:t>型湿式煤电钻、</w:t>
            </w:r>
            <w:r>
              <w:rPr>
                <w:bCs/>
                <w:iCs/>
                <w:sz w:val="21"/>
                <w:szCs w:val="21"/>
              </w:rPr>
              <w:t>SGB620/40T</w:t>
            </w:r>
            <w:r>
              <w:rPr>
                <w:bCs/>
                <w:iCs/>
                <w:sz w:val="21"/>
                <w:szCs w:val="21"/>
              </w:rPr>
              <w:t>型刮板运输机、</w:t>
            </w:r>
            <w:r>
              <w:rPr>
                <w:bCs/>
                <w:iCs/>
                <w:sz w:val="21"/>
                <w:szCs w:val="21"/>
              </w:rPr>
              <w:t>SZD-630/75</w:t>
            </w:r>
            <w:r>
              <w:rPr>
                <w:bCs/>
                <w:iCs/>
                <w:sz w:val="21"/>
                <w:szCs w:val="21"/>
              </w:rPr>
              <w:t>型刮板转载机、</w:t>
            </w:r>
            <w:r>
              <w:rPr>
                <w:bCs/>
                <w:iCs/>
                <w:sz w:val="21"/>
                <w:szCs w:val="21"/>
              </w:rPr>
              <w:t>ZH2000/16/24Z</w:t>
            </w:r>
            <w:r>
              <w:rPr>
                <w:bCs/>
                <w:iCs/>
                <w:sz w:val="21"/>
                <w:szCs w:val="21"/>
              </w:rPr>
              <w:t>型悬移液压支架、</w:t>
            </w:r>
            <w:r>
              <w:rPr>
                <w:bCs/>
                <w:iCs/>
                <w:color w:val="000000"/>
                <w:sz w:val="21"/>
                <w:szCs w:val="21"/>
              </w:rPr>
              <w:t>800mm</w:t>
            </w:r>
            <w:r>
              <w:rPr>
                <w:bCs/>
                <w:iCs/>
                <w:color w:val="000000"/>
                <w:sz w:val="21"/>
                <w:szCs w:val="21"/>
              </w:rPr>
              <w:t>胶带输送机等</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升级改造</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vMerge/>
            <w:tcMar>
              <w:left w:w="108" w:type="dxa"/>
              <w:right w:w="108" w:type="dxa"/>
            </w:tcMar>
            <w:vAlign w:val="center"/>
          </w:tcPr>
          <w:p w:rsidR="00240BCE" w:rsidRDefault="00240BCE">
            <w:pPr>
              <w:spacing w:line="294" w:lineRule="exact"/>
              <w:jc w:val="center"/>
              <w:rPr>
                <w:bCs/>
                <w:iCs/>
                <w:kern w:val="0"/>
                <w:sz w:val="21"/>
                <w:szCs w:val="21"/>
              </w:rPr>
            </w:pPr>
          </w:p>
        </w:tc>
        <w:tc>
          <w:tcPr>
            <w:tcW w:w="6200" w:type="dxa"/>
            <w:vMerge/>
            <w:tcMar>
              <w:left w:w="108" w:type="dxa"/>
              <w:right w:w="108" w:type="dxa"/>
            </w:tcMar>
            <w:vAlign w:val="center"/>
          </w:tcPr>
          <w:p w:rsidR="00240BCE" w:rsidRDefault="00240BCE">
            <w:pPr>
              <w:spacing w:line="294" w:lineRule="exact"/>
              <w:jc w:val="center"/>
              <w:rPr>
                <w:bCs/>
                <w:iCs/>
                <w:sz w:val="21"/>
                <w:szCs w:val="21"/>
              </w:rPr>
            </w:pP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通风系统</w:t>
            </w:r>
          </w:p>
        </w:tc>
        <w:tc>
          <w:tcPr>
            <w:tcW w:w="6200"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采用中央并列抽出式通风系统，由主井、副井进风，风井回风。</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排水系统</w:t>
            </w:r>
          </w:p>
        </w:tc>
        <w:tc>
          <w:tcPr>
            <w:tcW w:w="6200"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沿副井井筒排水，</w:t>
            </w:r>
            <w:r>
              <w:rPr>
                <w:snapToGrid w:val="0"/>
                <w:kern w:val="0"/>
                <w:sz w:val="21"/>
                <w:szCs w:val="21"/>
              </w:rPr>
              <w:t>+45m</w:t>
            </w:r>
            <w:r>
              <w:rPr>
                <w:snapToGrid w:val="0"/>
                <w:kern w:val="0"/>
                <w:sz w:val="21"/>
                <w:szCs w:val="21"/>
              </w:rPr>
              <w:t>水平泵房设有</w:t>
            </w:r>
            <w:r>
              <w:rPr>
                <w:snapToGrid w:val="0"/>
                <w:kern w:val="0"/>
                <w:sz w:val="21"/>
                <w:szCs w:val="21"/>
              </w:rPr>
              <w:t>3</w:t>
            </w:r>
            <w:r>
              <w:rPr>
                <w:snapToGrid w:val="0"/>
                <w:kern w:val="0"/>
                <w:sz w:val="21"/>
                <w:szCs w:val="21"/>
              </w:rPr>
              <w:t>台</w:t>
            </w:r>
            <w:r>
              <w:rPr>
                <w:snapToGrid w:val="0"/>
                <w:kern w:val="0"/>
                <w:sz w:val="21"/>
                <w:szCs w:val="21"/>
              </w:rPr>
              <w:t>MD155-67×5</w:t>
            </w:r>
            <w:r>
              <w:rPr>
                <w:snapToGrid w:val="0"/>
                <w:kern w:val="0"/>
                <w:sz w:val="21"/>
                <w:szCs w:val="21"/>
              </w:rPr>
              <w:t>型耐磨离心泵，</w:t>
            </w:r>
            <w:r>
              <w:rPr>
                <w:snapToGrid w:val="0"/>
                <w:kern w:val="0"/>
                <w:sz w:val="21"/>
                <w:szCs w:val="21"/>
              </w:rPr>
              <w:t>1</w:t>
            </w:r>
            <w:r>
              <w:rPr>
                <w:snapToGrid w:val="0"/>
                <w:kern w:val="0"/>
                <w:sz w:val="21"/>
                <w:szCs w:val="21"/>
              </w:rPr>
              <w:t>台工作，</w:t>
            </w:r>
            <w:r>
              <w:rPr>
                <w:snapToGrid w:val="0"/>
                <w:kern w:val="0"/>
                <w:sz w:val="21"/>
                <w:szCs w:val="21"/>
              </w:rPr>
              <w:t>1</w:t>
            </w:r>
            <w:r>
              <w:rPr>
                <w:snapToGrid w:val="0"/>
                <w:kern w:val="0"/>
                <w:sz w:val="21"/>
                <w:szCs w:val="21"/>
              </w:rPr>
              <w:t>台备用，</w:t>
            </w:r>
            <w:r>
              <w:rPr>
                <w:snapToGrid w:val="0"/>
                <w:kern w:val="0"/>
                <w:sz w:val="21"/>
                <w:szCs w:val="21"/>
              </w:rPr>
              <w:t>1</w:t>
            </w:r>
            <w:r>
              <w:rPr>
                <w:snapToGrid w:val="0"/>
                <w:kern w:val="0"/>
                <w:sz w:val="21"/>
                <w:szCs w:val="21"/>
              </w:rPr>
              <w:t>台检修</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安全监测监控系统</w:t>
            </w:r>
          </w:p>
        </w:tc>
        <w:tc>
          <w:tcPr>
            <w:tcW w:w="6200"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KJ740X</w:t>
            </w:r>
            <w:r>
              <w:rPr>
                <w:snapToGrid w:val="0"/>
                <w:kern w:val="0"/>
                <w:sz w:val="21"/>
                <w:szCs w:val="21"/>
              </w:rPr>
              <w:t>型安全监测监控系统</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更换</w:t>
            </w:r>
          </w:p>
        </w:tc>
      </w:tr>
      <w:tr w:rsidR="00240BCE" w:rsidTr="001044CC">
        <w:trPr>
          <w:cantSplit/>
          <w:jc w:val="center"/>
        </w:trPr>
        <w:tc>
          <w:tcPr>
            <w:tcW w:w="573" w:type="dxa"/>
            <w:vMerge w:val="restart"/>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辅助工程</w:t>
            </w:r>
          </w:p>
        </w:tc>
        <w:tc>
          <w:tcPr>
            <w:tcW w:w="942"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工业广场</w:t>
            </w:r>
          </w:p>
        </w:tc>
        <w:tc>
          <w:tcPr>
            <w:tcW w:w="6200" w:type="dxa"/>
            <w:tcMar>
              <w:left w:w="0" w:type="dxa"/>
              <w:right w:w="0" w:type="dxa"/>
            </w:tcMar>
            <w:vAlign w:val="center"/>
          </w:tcPr>
          <w:p w:rsidR="00240BCE" w:rsidRDefault="00AC0334" w:rsidP="00257B79">
            <w:pPr>
              <w:spacing w:line="294" w:lineRule="exact"/>
              <w:jc w:val="center"/>
              <w:rPr>
                <w:snapToGrid w:val="0"/>
                <w:kern w:val="0"/>
                <w:sz w:val="21"/>
                <w:szCs w:val="21"/>
              </w:rPr>
            </w:pPr>
            <w:r>
              <w:rPr>
                <w:bCs/>
                <w:snapToGrid w:val="0"/>
                <w:kern w:val="0"/>
                <w:sz w:val="21"/>
                <w:szCs w:val="21"/>
              </w:rPr>
              <w:t>占地面积</w:t>
            </w:r>
            <w:r>
              <w:rPr>
                <w:bCs/>
                <w:snapToGrid w:val="0"/>
                <w:kern w:val="0"/>
                <w:sz w:val="21"/>
                <w:szCs w:val="21"/>
              </w:rPr>
              <w:t>1.</w:t>
            </w:r>
            <w:r w:rsidR="00257B79">
              <w:rPr>
                <w:rFonts w:hint="eastAsia"/>
                <w:bCs/>
                <w:snapToGrid w:val="0"/>
                <w:kern w:val="0"/>
                <w:sz w:val="21"/>
                <w:szCs w:val="21"/>
              </w:rPr>
              <w:t>92</w:t>
            </w:r>
            <w:r>
              <w:rPr>
                <w:bCs/>
                <w:snapToGrid w:val="0"/>
                <w:kern w:val="0"/>
                <w:sz w:val="21"/>
                <w:szCs w:val="21"/>
              </w:rPr>
              <w:t>hm</w:t>
            </w:r>
            <w:r>
              <w:rPr>
                <w:bCs/>
                <w:snapToGrid w:val="0"/>
                <w:kern w:val="0"/>
                <w:sz w:val="21"/>
                <w:szCs w:val="21"/>
                <w:vertAlign w:val="superscript"/>
              </w:rPr>
              <w:t>2</w:t>
            </w:r>
            <w:r>
              <w:rPr>
                <w:rFonts w:hint="eastAsia"/>
                <w:bCs/>
                <w:snapToGrid w:val="0"/>
                <w:kern w:val="0"/>
                <w:sz w:val="21"/>
                <w:szCs w:val="21"/>
              </w:rPr>
              <w:t>，</w:t>
            </w:r>
            <w:r>
              <w:rPr>
                <w:bCs/>
                <w:snapToGrid w:val="0"/>
                <w:kern w:val="0"/>
                <w:sz w:val="21"/>
                <w:szCs w:val="21"/>
              </w:rPr>
              <w:t>主要设施有</w:t>
            </w:r>
            <w:r>
              <w:rPr>
                <w:snapToGrid w:val="0"/>
                <w:color w:val="000000"/>
                <w:kern w:val="0"/>
                <w:sz w:val="21"/>
                <w:szCs w:val="21"/>
              </w:rPr>
              <w:t>主井、副井、风井、</w:t>
            </w:r>
            <w:r w:rsidR="00802A62">
              <w:rPr>
                <w:snapToGrid w:val="0"/>
                <w:color w:val="000000"/>
                <w:kern w:val="0"/>
                <w:sz w:val="21"/>
                <w:szCs w:val="21"/>
              </w:rPr>
              <w:t>储煤库</w:t>
            </w:r>
            <w:r>
              <w:rPr>
                <w:snapToGrid w:val="0"/>
                <w:color w:val="000000"/>
                <w:kern w:val="0"/>
                <w:sz w:val="21"/>
                <w:szCs w:val="21"/>
              </w:rPr>
              <w:t>、矿井水处理站、生活污水处理站、绞车房、通风机房、办公楼、澡堂、职工食堂、锅炉房、矿井辅助设施等</w:t>
            </w:r>
            <w:r>
              <w:rPr>
                <w:bCs/>
                <w:snapToGrid w:val="0"/>
                <w:kern w:val="0"/>
                <w:sz w:val="21"/>
                <w:szCs w:val="21"/>
              </w:rPr>
              <w:t>。</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矿井辅助设施</w:t>
            </w:r>
          </w:p>
        </w:tc>
        <w:tc>
          <w:tcPr>
            <w:tcW w:w="6200"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矿井机修车间、坑木加工房、消防材料库、器材库、日用消防水池、泵房、汽车库等辅助生产设备，均位于工业场地内。</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108" w:type="dxa"/>
              <w:right w:w="108" w:type="dxa"/>
            </w:tcMar>
            <w:vAlign w:val="center"/>
          </w:tcPr>
          <w:p w:rsidR="00240BCE" w:rsidRDefault="00802A62">
            <w:pPr>
              <w:spacing w:line="294" w:lineRule="exact"/>
              <w:jc w:val="center"/>
              <w:rPr>
                <w:snapToGrid w:val="0"/>
                <w:kern w:val="0"/>
                <w:sz w:val="21"/>
                <w:szCs w:val="21"/>
              </w:rPr>
            </w:pPr>
            <w:r>
              <w:rPr>
                <w:snapToGrid w:val="0"/>
                <w:kern w:val="0"/>
                <w:sz w:val="21"/>
                <w:szCs w:val="21"/>
              </w:rPr>
              <w:t>储煤库</w:t>
            </w:r>
          </w:p>
        </w:tc>
        <w:tc>
          <w:tcPr>
            <w:tcW w:w="6200" w:type="dxa"/>
            <w:tcMar>
              <w:left w:w="108" w:type="dxa"/>
              <w:right w:w="108" w:type="dxa"/>
            </w:tcMar>
            <w:vAlign w:val="center"/>
          </w:tcPr>
          <w:p w:rsidR="00240BCE" w:rsidRDefault="00802A62">
            <w:pPr>
              <w:spacing w:line="294" w:lineRule="exact"/>
              <w:jc w:val="center"/>
              <w:rPr>
                <w:snapToGrid w:val="0"/>
                <w:kern w:val="0"/>
                <w:sz w:val="21"/>
                <w:szCs w:val="21"/>
              </w:rPr>
            </w:pPr>
            <w:r>
              <w:rPr>
                <w:snapToGrid w:val="0"/>
                <w:kern w:val="0"/>
                <w:sz w:val="21"/>
                <w:szCs w:val="21"/>
              </w:rPr>
              <w:t>储煤库</w:t>
            </w:r>
            <w:r w:rsidR="00AC0334">
              <w:rPr>
                <w:snapToGrid w:val="0"/>
                <w:kern w:val="0"/>
                <w:sz w:val="21"/>
                <w:szCs w:val="21"/>
              </w:rPr>
              <w:t>面积</w:t>
            </w:r>
            <w:r w:rsidR="00AC0334">
              <w:rPr>
                <w:rFonts w:hint="eastAsia"/>
                <w:snapToGrid w:val="0"/>
                <w:kern w:val="0"/>
                <w:sz w:val="21"/>
                <w:szCs w:val="21"/>
              </w:rPr>
              <w:t>12</w:t>
            </w:r>
            <w:r w:rsidR="00AC0334">
              <w:rPr>
                <w:snapToGrid w:val="0"/>
                <w:kern w:val="0"/>
                <w:sz w:val="21"/>
                <w:szCs w:val="21"/>
              </w:rPr>
              <w:t>00m</w:t>
            </w:r>
            <w:r w:rsidR="00AC0334">
              <w:rPr>
                <w:snapToGrid w:val="0"/>
                <w:kern w:val="0"/>
                <w:sz w:val="21"/>
                <w:szCs w:val="21"/>
                <w:vertAlign w:val="superscript"/>
              </w:rPr>
              <w:t>2</w:t>
            </w:r>
            <w:r w:rsidR="00AC0334">
              <w:rPr>
                <w:snapToGrid w:val="0"/>
                <w:kern w:val="0"/>
                <w:sz w:val="21"/>
                <w:szCs w:val="21"/>
              </w:rPr>
              <w:t>，储存量约</w:t>
            </w:r>
            <w:r w:rsidR="00AC0334">
              <w:rPr>
                <w:snapToGrid w:val="0"/>
                <w:kern w:val="0"/>
                <w:sz w:val="21"/>
                <w:szCs w:val="21"/>
              </w:rPr>
              <w:t>5000t</w:t>
            </w:r>
            <w:r w:rsidR="00AC0334">
              <w:rPr>
                <w:snapToGrid w:val="0"/>
                <w:kern w:val="0"/>
                <w:sz w:val="21"/>
                <w:szCs w:val="21"/>
              </w:rPr>
              <w:t>，位于工业场地内东南部，用于暂时储存原煤和矸石。</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val="restart"/>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公用工程</w:t>
            </w:r>
          </w:p>
        </w:tc>
        <w:tc>
          <w:tcPr>
            <w:tcW w:w="942"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供电</w:t>
            </w:r>
          </w:p>
        </w:tc>
        <w:tc>
          <w:tcPr>
            <w:tcW w:w="6200"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设置</w:t>
            </w:r>
            <w:r>
              <w:rPr>
                <w:snapToGrid w:val="0"/>
                <w:kern w:val="0"/>
                <w:sz w:val="21"/>
                <w:szCs w:val="21"/>
              </w:rPr>
              <w:t>10kV</w:t>
            </w:r>
            <w:r>
              <w:rPr>
                <w:snapToGrid w:val="0"/>
                <w:kern w:val="0"/>
                <w:sz w:val="21"/>
                <w:szCs w:val="21"/>
              </w:rPr>
              <w:t>变电所，采用双回路供电，均引自鸠山镇</w:t>
            </w:r>
            <w:r>
              <w:rPr>
                <w:snapToGrid w:val="0"/>
                <w:kern w:val="0"/>
                <w:sz w:val="21"/>
                <w:szCs w:val="21"/>
              </w:rPr>
              <w:t>35kV</w:t>
            </w:r>
            <w:r>
              <w:rPr>
                <w:snapToGrid w:val="0"/>
                <w:kern w:val="0"/>
                <w:sz w:val="21"/>
                <w:szCs w:val="21"/>
              </w:rPr>
              <w:t>变电站。</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供水水源</w:t>
            </w:r>
          </w:p>
        </w:tc>
        <w:tc>
          <w:tcPr>
            <w:tcW w:w="6200"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生活用水及生产用水均由工业场地北部约</w:t>
            </w:r>
            <w:r>
              <w:rPr>
                <w:snapToGrid w:val="0"/>
                <w:kern w:val="0"/>
                <w:sz w:val="21"/>
                <w:szCs w:val="21"/>
              </w:rPr>
              <w:t>600m</w:t>
            </w:r>
            <w:r>
              <w:rPr>
                <w:snapToGrid w:val="0"/>
                <w:kern w:val="0"/>
                <w:sz w:val="21"/>
                <w:szCs w:val="21"/>
              </w:rPr>
              <w:t>的水井提供。</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0" w:type="dxa"/>
              <w:right w:w="0" w:type="dxa"/>
            </w:tcMar>
            <w:vAlign w:val="center"/>
          </w:tcPr>
          <w:p w:rsidR="00240BCE" w:rsidRDefault="00AC0334">
            <w:pPr>
              <w:spacing w:line="294" w:lineRule="exact"/>
              <w:jc w:val="center"/>
              <w:rPr>
                <w:sz w:val="21"/>
                <w:szCs w:val="21"/>
              </w:rPr>
            </w:pPr>
            <w:r>
              <w:rPr>
                <w:sz w:val="21"/>
                <w:szCs w:val="21"/>
              </w:rPr>
              <w:t>行政与公共设施</w:t>
            </w:r>
          </w:p>
        </w:tc>
        <w:tc>
          <w:tcPr>
            <w:tcW w:w="6200"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办公楼、通信调度室、浴室、职工食堂、单身宿舍、门卫室、车库等，均位于工业场地内。</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val="restart"/>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环保工程</w:t>
            </w:r>
          </w:p>
        </w:tc>
        <w:tc>
          <w:tcPr>
            <w:tcW w:w="942" w:type="dxa"/>
            <w:tcMar>
              <w:left w:w="108" w:type="dxa"/>
              <w:right w:w="108" w:type="dxa"/>
            </w:tcMar>
            <w:vAlign w:val="center"/>
          </w:tcPr>
          <w:p w:rsidR="00240BCE" w:rsidRDefault="00802A62">
            <w:pPr>
              <w:spacing w:line="294" w:lineRule="exact"/>
              <w:jc w:val="center"/>
              <w:rPr>
                <w:snapToGrid w:val="0"/>
                <w:kern w:val="0"/>
                <w:sz w:val="21"/>
                <w:szCs w:val="21"/>
              </w:rPr>
            </w:pPr>
            <w:r>
              <w:rPr>
                <w:snapToGrid w:val="0"/>
                <w:kern w:val="0"/>
                <w:sz w:val="21"/>
                <w:szCs w:val="21"/>
              </w:rPr>
              <w:t>储煤库</w:t>
            </w:r>
            <w:r w:rsidR="00AC0334">
              <w:rPr>
                <w:snapToGrid w:val="0"/>
                <w:kern w:val="0"/>
                <w:sz w:val="21"/>
                <w:szCs w:val="21"/>
              </w:rPr>
              <w:t>抑尘</w:t>
            </w:r>
          </w:p>
        </w:tc>
        <w:tc>
          <w:tcPr>
            <w:tcW w:w="6200"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采用封闭式</w:t>
            </w:r>
            <w:r w:rsidR="00802A62">
              <w:rPr>
                <w:snapToGrid w:val="0"/>
                <w:kern w:val="0"/>
                <w:sz w:val="21"/>
                <w:szCs w:val="21"/>
              </w:rPr>
              <w:t>储煤库</w:t>
            </w:r>
            <w:r>
              <w:rPr>
                <w:snapToGrid w:val="0"/>
                <w:kern w:val="0"/>
                <w:sz w:val="21"/>
                <w:szCs w:val="21"/>
              </w:rPr>
              <w:t>，落煤处设置洒水喷头</w:t>
            </w:r>
            <w:r>
              <w:rPr>
                <w:snapToGrid w:val="0"/>
                <w:kern w:val="0"/>
                <w:sz w:val="21"/>
                <w:szCs w:val="21"/>
              </w:rPr>
              <w:t>1</w:t>
            </w:r>
            <w:r>
              <w:rPr>
                <w:snapToGrid w:val="0"/>
                <w:kern w:val="0"/>
                <w:sz w:val="21"/>
                <w:szCs w:val="21"/>
              </w:rPr>
              <w:t>个，并在</w:t>
            </w:r>
            <w:r w:rsidR="00802A62">
              <w:rPr>
                <w:snapToGrid w:val="0"/>
                <w:kern w:val="0"/>
                <w:sz w:val="21"/>
                <w:szCs w:val="21"/>
              </w:rPr>
              <w:t>储煤库</w:t>
            </w:r>
            <w:r>
              <w:rPr>
                <w:snapToGrid w:val="0"/>
                <w:kern w:val="0"/>
                <w:sz w:val="21"/>
                <w:szCs w:val="21"/>
              </w:rPr>
              <w:t>四周安装自动洒水喷头进行洒水降尘，</w:t>
            </w:r>
            <w:r w:rsidR="00802A62">
              <w:rPr>
                <w:snapToGrid w:val="0"/>
                <w:kern w:val="0"/>
                <w:sz w:val="21"/>
                <w:szCs w:val="21"/>
              </w:rPr>
              <w:t>储煤库</w:t>
            </w:r>
            <w:r>
              <w:rPr>
                <w:snapToGrid w:val="0"/>
                <w:kern w:val="0"/>
                <w:sz w:val="21"/>
                <w:szCs w:val="21"/>
              </w:rPr>
              <w:t>底部全部硬化。</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运煤道路抑尘</w:t>
            </w:r>
          </w:p>
        </w:tc>
        <w:tc>
          <w:tcPr>
            <w:tcW w:w="6200"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采用</w:t>
            </w:r>
            <w:r>
              <w:rPr>
                <w:snapToGrid w:val="0"/>
                <w:kern w:val="0"/>
                <w:sz w:val="21"/>
                <w:szCs w:val="21"/>
              </w:rPr>
              <w:t>1</w:t>
            </w:r>
            <w:r>
              <w:rPr>
                <w:snapToGrid w:val="0"/>
                <w:kern w:val="0"/>
                <w:sz w:val="21"/>
                <w:szCs w:val="21"/>
              </w:rPr>
              <w:t>辆洒水车定时洒水，并在磅房处设车辆冲洗装置，冲洗水经收集后循环利用不外排</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矿井水处理站</w:t>
            </w:r>
          </w:p>
        </w:tc>
        <w:tc>
          <w:tcPr>
            <w:tcW w:w="6200" w:type="dxa"/>
            <w:tcMar>
              <w:left w:w="108" w:type="dxa"/>
              <w:right w:w="108" w:type="dxa"/>
            </w:tcMar>
            <w:vAlign w:val="center"/>
          </w:tcPr>
          <w:p w:rsidR="00240BCE" w:rsidRDefault="00AC0334">
            <w:pPr>
              <w:spacing w:line="294" w:lineRule="exact"/>
              <w:jc w:val="center"/>
              <w:rPr>
                <w:snapToGrid w:val="0"/>
                <w:kern w:val="0"/>
                <w:sz w:val="21"/>
                <w:szCs w:val="21"/>
              </w:rPr>
            </w:pPr>
            <w:r>
              <w:rPr>
                <w:snapToGrid w:val="0"/>
                <w:kern w:val="0"/>
                <w:sz w:val="21"/>
                <w:szCs w:val="21"/>
              </w:rPr>
              <w:t>斜管沉淀池，处理能力</w:t>
            </w:r>
            <w:r>
              <w:rPr>
                <w:snapToGrid w:val="0"/>
                <w:kern w:val="0"/>
                <w:sz w:val="21"/>
                <w:szCs w:val="21"/>
              </w:rPr>
              <w:t>60m</w:t>
            </w:r>
            <w:r>
              <w:rPr>
                <w:snapToGrid w:val="0"/>
                <w:kern w:val="0"/>
                <w:sz w:val="21"/>
                <w:szCs w:val="21"/>
                <w:vertAlign w:val="superscript"/>
              </w:rPr>
              <w:t>3</w:t>
            </w:r>
            <w:r>
              <w:rPr>
                <w:snapToGrid w:val="0"/>
                <w:kern w:val="0"/>
                <w:sz w:val="21"/>
                <w:szCs w:val="21"/>
              </w:rPr>
              <w:t>/h</w:t>
            </w:r>
            <w:r>
              <w:rPr>
                <w:snapToGrid w:val="0"/>
                <w:kern w:val="0"/>
                <w:sz w:val="21"/>
                <w:szCs w:val="21"/>
              </w:rPr>
              <w:t>。</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改造</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生活污水处理站</w:t>
            </w:r>
          </w:p>
        </w:tc>
        <w:tc>
          <w:tcPr>
            <w:tcW w:w="6200" w:type="dxa"/>
            <w:tcMar>
              <w:left w:w="108" w:type="dxa"/>
              <w:right w:w="108" w:type="dxa"/>
            </w:tcMar>
            <w:vAlign w:val="center"/>
          </w:tcPr>
          <w:p w:rsidR="00240BCE" w:rsidRDefault="00AC0334">
            <w:pPr>
              <w:spacing w:line="294" w:lineRule="exact"/>
              <w:jc w:val="center"/>
              <w:rPr>
                <w:snapToGrid w:val="0"/>
                <w:kern w:val="0"/>
                <w:sz w:val="21"/>
                <w:szCs w:val="21"/>
              </w:rPr>
            </w:pPr>
            <w:r>
              <w:rPr>
                <w:sz w:val="21"/>
                <w:szCs w:val="21"/>
              </w:rPr>
              <w:t>1</w:t>
            </w:r>
            <w:r>
              <w:rPr>
                <w:sz w:val="21"/>
                <w:szCs w:val="21"/>
              </w:rPr>
              <w:t>套处理能力</w:t>
            </w:r>
            <w:r>
              <w:rPr>
                <w:sz w:val="21"/>
                <w:szCs w:val="21"/>
              </w:rPr>
              <w:t>10m</w:t>
            </w:r>
            <w:r>
              <w:rPr>
                <w:sz w:val="21"/>
                <w:szCs w:val="21"/>
                <w:vertAlign w:val="superscript"/>
              </w:rPr>
              <w:t>3</w:t>
            </w:r>
            <w:r>
              <w:rPr>
                <w:sz w:val="21"/>
                <w:szCs w:val="21"/>
              </w:rPr>
              <w:t>/h</w:t>
            </w:r>
            <w:r>
              <w:rPr>
                <w:sz w:val="21"/>
                <w:szCs w:val="21"/>
              </w:rPr>
              <w:t>的接触氧化法一体化污水综合处理设施</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煤矸石</w:t>
            </w:r>
          </w:p>
        </w:tc>
        <w:tc>
          <w:tcPr>
            <w:tcW w:w="6200"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在</w:t>
            </w:r>
            <w:r w:rsidR="00802A62">
              <w:rPr>
                <w:snapToGrid w:val="0"/>
                <w:kern w:val="0"/>
                <w:sz w:val="21"/>
                <w:szCs w:val="21"/>
              </w:rPr>
              <w:t>储煤库</w:t>
            </w:r>
            <w:r>
              <w:rPr>
                <w:snapToGrid w:val="0"/>
                <w:kern w:val="0"/>
                <w:sz w:val="21"/>
                <w:szCs w:val="21"/>
              </w:rPr>
              <w:t>内临时周转后全部供给建材厂综合利用</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r w:rsidR="00240BCE" w:rsidTr="001044CC">
        <w:trPr>
          <w:cantSplit/>
          <w:jc w:val="center"/>
        </w:trPr>
        <w:tc>
          <w:tcPr>
            <w:tcW w:w="573" w:type="dxa"/>
            <w:vMerge/>
            <w:tcMar>
              <w:left w:w="108" w:type="dxa"/>
              <w:right w:w="108" w:type="dxa"/>
            </w:tcMar>
            <w:vAlign w:val="center"/>
          </w:tcPr>
          <w:p w:rsidR="00240BCE" w:rsidRDefault="00240BCE">
            <w:pPr>
              <w:spacing w:line="294" w:lineRule="exact"/>
              <w:jc w:val="center"/>
              <w:rPr>
                <w:snapToGrid w:val="0"/>
                <w:kern w:val="0"/>
                <w:sz w:val="21"/>
                <w:szCs w:val="21"/>
              </w:rPr>
            </w:pPr>
          </w:p>
        </w:tc>
        <w:tc>
          <w:tcPr>
            <w:tcW w:w="942"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生活垃圾</w:t>
            </w:r>
          </w:p>
        </w:tc>
        <w:tc>
          <w:tcPr>
            <w:tcW w:w="6200" w:type="dxa"/>
            <w:tcMar>
              <w:left w:w="0" w:type="dxa"/>
              <w:right w:w="0" w:type="dxa"/>
            </w:tcMar>
            <w:vAlign w:val="center"/>
          </w:tcPr>
          <w:p w:rsidR="00240BCE" w:rsidRDefault="00AC0334">
            <w:pPr>
              <w:spacing w:line="294" w:lineRule="exact"/>
              <w:jc w:val="center"/>
              <w:rPr>
                <w:snapToGrid w:val="0"/>
                <w:kern w:val="0"/>
                <w:sz w:val="21"/>
                <w:szCs w:val="21"/>
              </w:rPr>
            </w:pPr>
            <w:r>
              <w:rPr>
                <w:snapToGrid w:val="0"/>
                <w:kern w:val="0"/>
                <w:sz w:val="21"/>
                <w:szCs w:val="21"/>
              </w:rPr>
              <w:t>统一收集后运至鸠山镇垃圾中转站。</w:t>
            </w:r>
          </w:p>
        </w:tc>
        <w:tc>
          <w:tcPr>
            <w:tcW w:w="1103" w:type="dxa"/>
            <w:vAlign w:val="center"/>
          </w:tcPr>
          <w:p w:rsidR="00240BCE" w:rsidRDefault="00AC0334">
            <w:pPr>
              <w:spacing w:line="294" w:lineRule="exact"/>
              <w:jc w:val="center"/>
              <w:rPr>
                <w:snapToGrid w:val="0"/>
                <w:kern w:val="0"/>
                <w:sz w:val="21"/>
                <w:szCs w:val="21"/>
              </w:rPr>
            </w:pPr>
            <w:r>
              <w:rPr>
                <w:snapToGrid w:val="0"/>
                <w:kern w:val="0"/>
                <w:sz w:val="21"/>
                <w:szCs w:val="21"/>
              </w:rPr>
              <w:t>利用</w:t>
            </w: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228" w:name="_Toc79668620"/>
      <w:r>
        <w:rPr>
          <w:rFonts w:eastAsia="楷体"/>
          <w:sz w:val="28"/>
          <w:szCs w:val="28"/>
        </w:rPr>
        <w:lastRenderedPageBreak/>
        <w:t xml:space="preserve">3.1.4 </w:t>
      </w:r>
      <w:r>
        <w:rPr>
          <w:rFonts w:eastAsia="楷体"/>
          <w:sz w:val="28"/>
          <w:szCs w:val="28"/>
        </w:rPr>
        <w:t>现有工程分析</w:t>
      </w:r>
      <w:bookmarkEnd w:id="228"/>
    </w:p>
    <w:p w:rsidR="00240BCE" w:rsidRDefault="00AC0334">
      <w:pPr>
        <w:spacing w:line="520" w:lineRule="exact"/>
        <w:rPr>
          <w:sz w:val="24"/>
        </w:rPr>
      </w:pPr>
      <w:r>
        <w:rPr>
          <w:sz w:val="24"/>
        </w:rPr>
        <w:t>3.1.4.1</w:t>
      </w:r>
      <w:r>
        <w:rPr>
          <w:sz w:val="24"/>
        </w:rPr>
        <w:t>升级改造前现有矿井开拓工程</w:t>
      </w:r>
    </w:p>
    <w:p w:rsidR="00240BCE" w:rsidRDefault="00AC0334">
      <w:pPr>
        <w:spacing w:line="520" w:lineRule="exact"/>
        <w:ind w:firstLineChars="200" w:firstLine="480"/>
        <w:rPr>
          <w:sz w:val="24"/>
        </w:rPr>
      </w:pPr>
      <w:r>
        <w:rPr>
          <w:sz w:val="24"/>
        </w:rPr>
        <w:t>目前，隆庆煤矿设置一个工业场地，布置有主井、副井、回风井</w:t>
      </w:r>
      <w:r>
        <w:rPr>
          <w:sz w:val="24"/>
        </w:rPr>
        <w:t>3</w:t>
      </w:r>
      <w:r>
        <w:rPr>
          <w:sz w:val="24"/>
        </w:rPr>
        <w:t>个井筒，采用走向长壁一次采全高采煤方法，采煤工艺采用悬移支架炮采放顶煤采煤工艺。开采水平为</w:t>
      </w:r>
      <w:r>
        <w:rPr>
          <w:sz w:val="24"/>
        </w:rPr>
        <w:t>+920m</w:t>
      </w:r>
      <w:r>
        <w:rPr>
          <w:sz w:val="24"/>
        </w:rPr>
        <w:t>水平，开采高程为</w:t>
      </w:r>
      <w:r>
        <w:rPr>
          <w:sz w:val="24"/>
        </w:rPr>
        <w:t>+1220</w:t>
      </w:r>
      <w:r>
        <w:rPr>
          <w:sz w:val="24"/>
        </w:rPr>
        <w:t>～</w:t>
      </w:r>
      <w:r>
        <w:rPr>
          <w:sz w:val="24"/>
        </w:rPr>
        <w:t>+820m</w:t>
      </w:r>
      <w:r>
        <w:rPr>
          <w:sz w:val="24"/>
        </w:rPr>
        <w:t>。井下布置</w:t>
      </w:r>
      <w:r>
        <w:rPr>
          <w:sz w:val="24"/>
        </w:rPr>
        <w:t>1</w:t>
      </w:r>
      <w:r>
        <w:rPr>
          <w:sz w:val="24"/>
        </w:rPr>
        <w:t>个综采工作面，综采工作面安装</w:t>
      </w:r>
      <w:r>
        <w:rPr>
          <w:sz w:val="24"/>
        </w:rPr>
        <w:t>MG300/700-WD</w:t>
      </w:r>
      <w:r>
        <w:rPr>
          <w:sz w:val="24"/>
        </w:rPr>
        <w:t>型采煤机、</w:t>
      </w:r>
      <w:r>
        <w:rPr>
          <w:sz w:val="24"/>
        </w:rPr>
        <w:t>SGD730/400</w:t>
      </w:r>
      <w:r>
        <w:rPr>
          <w:sz w:val="24"/>
        </w:rPr>
        <w:t>型刮板输送机、</w:t>
      </w:r>
      <w:r>
        <w:rPr>
          <w:sz w:val="24"/>
        </w:rPr>
        <w:t>ZY5000/13/27</w:t>
      </w:r>
      <w:r>
        <w:rPr>
          <w:sz w:val="24"/>
        </w:rPr>
        <w:t>型掩护式液压支架。主运输采用胶带输送机进行，辅助运输采用蓄电池机车运输的方式，利用</w:t>
      </w:r>
      <w:r>
        <w:rPr>
          <w:sz w:val="24"/>
        </w:rPr>
        <w:t>2.5t</w:t>
      </w:r>
      <w:r>
        <w:rPr>
          <w:sz w:val="24"/>
        </w:rPr>
        <w:t>防爆蓄电池机车牵引</w:t>
      </w:r>
      <w:r>
        <w:rPr>
          <w:sz w:val="24"/>
        </w:rPr>
        <w:t>600mm</w:t>
      </w:r>
      <w:r>
        <w:rPr>
          <w:sz w:val="24"/>
        </w:rPr>
        <w:t>轨距、</w:t>
      </w:r>
      <w:r>
        <w:rPr>
          <w:sz w:val="24"/>
        </w:rPr>
        <w:t>1.0t</w:t>
      </w:r>
      <w:r>
        <w:rPr>
          <w:sz w:val="24"/>
        </w:rPr>
        <w:t>矿车运输。通风方式采用中央并列式通风方式，抽出式通风方法，主井、副井进风，回风井回风。</w:t>
      </w:r>
    </w:p>
    <w:p w:rsidR="00240BCE" w:rsidRDefault="00AC0334">
      <w:pPr>
        <w:spacing w:line="520" w:lineRule="exact"/>
        <w:rPr>
          <w:sz w:val="24"/>
        </w:rPr>
      </w:pPr>
      <w:bookmarkStart w:id="229" w:name="_Toc143941658"/>
      <w:bookmarkStart w:id="230" w:name="_Toc148262241"/>
      <w:r>
        <w:rPr>
          <w:sz w:val="24"/>
        </w:rPr>
        <w:t>3.</w:t>
      </w:r>
      <w:bookmarkEnd w:id="229"/>
      <w:bookmarkEnd w:id="230"/>
      <w:r>
        <w:rPr>
          <w:sz w:val="24"/>
        </w:rPr>
        <w:t xml:space="preserve">1.4.2 </w:t>
      </w:r>
      <w:r>
        <w:rPr>
          <w:sz w:val="24"/>
        </w:rPr>
        <w:t>现有地面生产和主要生产工艺简要介绍</w:t>
      </w:r>
    </w:p>
    <w:p w:rsidR="00240BCE" w:rsidRDefault="00AC0334">
      <w:pPr>
        <w:spacing w:line="520" w:lineRule="exact"/>
        <w:ind w:firstLineChars="200" w:firstLine="480"/>
        <w:rPr>
          <w:sz w:val="24"/>
        </w:rPr>
      </w:pPr>
      <w:r>
        <w:rPr>
          <w:sz w:val="24"/>
        </w:rPr>
        <w:t>设计生产能力</w:t>
      </w:r>
      <w:r>
        <w:rPr>
          <w:sz w:val="24"/>
        </w:rPr>
        <w:t>0.15Mt/a</w:t>
      </w:r>
      <w:r>
        <w:rPr>
          <w:sz w:val="24"/>
        </w:rPr>
        <w:t>，采用三立井开拓方式。主井提煤、进风兼作安全出口；副井担负矸石、材料、人员提升任务，风井回风兼作安全出口。</w:t>
      </w:r>
    </w:p>
    <w:p w:rsidR="00240BCE" w:rsidRDefault="00AC0334">
      <w:pPr>
        <w:spacing w:line="520" w:lineRule="exact"/>
        <w:ind w:firstLineChars="200" w:firstLine="480"/>
        <w:rPr>
          <w:sz w:val="24"/>
        </w:rPr>
      </w:pPr>
      <w:r>
        <w:rPr>
          <w:sz w:val="24"/>
        </w:rPr>
        <w:t>矿井提升原煤经过筛分楼筛分后，筛上为大块煤矸石直接由矸石车运至矸石周转场临时堆存，筛下为小块煤，运至</w:t>
      </w:r>
      <w:r w:rsidR="00802A62">
        <w:rPr>
          <w:sz w:val="24"/>
        </w:rPr>
        <w:t>储煤库</w:t>
      </w:r>
      <w:r>
        <w:rPr>
          <w:sz w:val="24"/>
        </w:rPr>
        <w:t>，地运外卖。</w:t>
      </w:r>
    </w:p>
    <w:p w:rsidR="00240BCE" w:rsidRDefault="00AC0334">
      <w:pPr>
        <w:spacing w:line="520" w:lineRule="exact"/>
        <w:rPr>
          <w:sz w:val="24"/>
        </w:rPr>
      </w:pPr>
      <w:r>
        <w:rPr>
          <w:sz w:val="24"/>
        </w:rPr>
        <w:t>3.1.4.3</w:t>
      </w:r>
      <w:r>
        <w:rPr>
          <w:sz w:val="24"/>
        </w:rPr>
        <w:t>现有给排水</w:t>
      </w:r>
    </w:p>
    <w:p w:rsidR="00240BCE" w:rsidRDefault="00AC0334">
      <w:pPr>
        <w:tabs>
          <w:tab w:val="left" w:pos="0"/>
        </w:tabs>
        <w:spacing w:line="520" w:lineRule="exact"/>
        <w:ind w:firstLineChars="200" w:firstLine="480"/>
        <w:rPr>
          <w:sz w:val="24"/>
        </w:rPr>
      </w:pPr>
      <w:r>
        <w:rPr>
          <w:sz w:val="24"/>
        </w:rPr>
        <w:t>（</w:t>
      </w:r>
      <w:r>
        <w:rPr>
          <w:sz w:val="24"/>
        </w:rPr>
        <w:t>1</w:t>
      </w:r>
      <w:r>
        <w:rPr>
          <w:sz w:val="24"/>
        </w:rPr>
        <w:t>）给水水源</w:t>
      </w:r>
    </w:p>
    <w:p w:rsidR="00240BCE" w:rsidRDefault="00AC0334">
      <w:pPr>
        <w:tabs>
          <w:tab w:val="left" w:pos="0"/>
        </w:tabs>
        <w:spacing w:line="520" w:lineRule="exact"/>
        <w:ind w:firstLineChars="200" w:firstLine="480"/>
        <w:rPr>
          <w:sz w:val="24"/>
        </w:rPr>
      </w:pPr>
      <w:r>
        <w:rPr>
          <w:sz w:val="24"/>
        </w:rPr>
        <w:t>升级改造前，生活用水由工业场地北部约</w:t>
      </w:r>
      <w:r>
        <w:rPr>
          <w:sz w:val="24"/>
        </w:rPr>
        <w:t>600m</w:t>
      </w:r>
      <w:r>
        <w:rPr>
          <w:sz w:val="24"/>
        </w:rPr>
        <w:t>的水井提供。</w:t>
      </w:r>
      <w:r>
        <w:rPr>
          <w:sz w:val="24"/>
        </w:rPr>
        <w:t xml:space="preserve"> </w:t>
      </w:r>
    </w:p>
    <w:p w:rsidR="00240BCE" w:rsidRDefault="00AC0334">
      <w:pPr>
        <w:spacing w:line="520" w:lineRule="exact"/>
        <w:ind w:firstLineChars="200" w:firstLine="480"/>
        <w:rPr>
          <w:sz w:val="24"/>
        </w:rPr>
      </w:pPr>
      <w:r>
        <w:rPr>
          <w:sz w:val="24"/>
        </w:rPr>
        <w:t>（</w:t>
      </w:r>
      <w:r>
        <w:rPr>
          <w:sz w:val="24"/>
        </w:rPr>
        <w:t>2</w:t>
      </w:r>
      <w:r>
        <w:rPr>
          <w:sz w:val="24"/>
        </w:rPr>
        <w:t>）用水量</w:t>
      </w:r>
    </w:p>
    <w:p w:rsidR="00240BCE" w:rsidRPr="00B0770B" w:rsidRDefault="00AC0334">
      <w:pPr>
        <w:tabs>
          <w:tab w:val="left" w:pos="0"/>
        </w:tabs>
        <w:spacing w:line="520" w:lineRule="exact"/>
        <w:ind w:firstLineChars="200" w:firstLine="480"/>
        <w:rPr>
          <w:sz w:val="24"/>
        </w:rPr>
      </w:pPr>
      <w:r w:rsidRPr="00B0770B">
        <w:rPr>
          <w:sz w:val="24"/>
        </w:rPr>
        <w:t>现有工程用水量约</w:t>
      </w:r>
      <w:r w:rsidR="00861732">
        <w:rPr>
          <w:rFonts w:hint="eastAsia"/>
          <w:sz w:val="24"/>
        </w:rPr>
        <w:t>378.7</w:t>
      </w:r>
      <w:r w:rsidRPr="00B0770B">
        <w:rPr>
          <w:sz w:val="24"/>
        </w:rPr>
        <w:t>m</w:t>
      </w:r>
      <w:r w:rsidRPr="00B0770B">
        <w:rPr>
          <w:sz w:val="24"/>
          <w:vertAlign w:val="superscript"/>
        </w:rPr>
        <w:t>3</w:t>
      </w:r>
      <w:r w:rsidRPr="00B0770B">
        <w:rPr>
          <w:sz w:val="24"/>
        </w:rPr>
        <w:t>/d</w:t>
      </w:r>
      <w:r w:rsidRPr="00B0770B">
        <w:rPr>
          <w:sz w:val="24"/>
        </w:rPr>
        <w:t>，其中生活用水量</w:t>
      </w:r>
      <w:r w:rsidR="00D70BEB" w:rsidRPr="00B0770B">
        <w:rPr>
          <w:rFonts w:hint="eastAsia"/>
          <w:sz w:val="24"/>
        </w:rPr>
        <w:t>约</w:t>
      </w:r>
      <w:r w:rsidR="00D70BEB" w:rsidRPr="00B0770B">
        <w:rPr>
          <w:rFonts w:hint="eastAsia"/>
          <w:sz w:val="24"/>
        </w:rPr>
        <w:t>50</w:t>
      </w:r>
      <w:r w:rsidRPr="00B0770B">
        <w:rPr>
          <w:sz w:val="24"/>
        </w:rPr>
        <w:t>m</w:t>
      </w:r>
      <w:r w:rsidRPr="00B0770B">
        <w:rPr>
          <w:sz w:val="24"/>
          <w:vertAlign w:val="superscript"/>
        </w:rPr>
        <w:t>3</w:t>
      </w:r>
      <w:r w:rsidRPr="00B0770B">
        <w:rPr>
          <w:sz w:val="24"/>
        </w:rPr>
        <w:t>/d</w:t>
      </w:r>
      <w:r w:rsidR="00D70BEB" w:rsidRPr="00B0770B">
        <w:rPr>
          <w:rFonts w:hint="eastAsia"/>
          <w:sz w:val="24"/>
        </w:rPr>
        <w:t>（现有工人约</w:t>
      </w:r>
      <w:r w:rsidR="00B0770B" w:rsidRPr="00B0770B">
        <w:rPr>
          <w:rFonts w:hint="eastAsia"/>
          <w:sz w:val="24"/>
        </w:rPr>
        <w:t>4</w:t>
      </w:r>
      <w:r w:rsidR="00D70BEB" w:rsidRPr="00B0770B">
        <w:rPr>
          <w:rFonts w:hint="eastAsia"/>
          <w:sz w:val="24"/>
        </w:rPr>
        <w:t>00</w:t>
      </w:r>
      <w:r w:rsidR="00D70BEB" w:rsidRPr="00B0770B">
        <w:rPr>
          <w:rFonts w:hint="eastAsia"/>
          <w:sz w:val="24"/>
        </w:rPr>
        <w:t>人，</w:t>
      </w:r>
      <w:r w:rsidR="00B0770B" w:rsidRPr="00B0770B">
        <w:rPr>
          <w:rFonts w:hint="eastAsia"/>
          <w:spacing w:val="2"/>
          <w:sz w:val="24"/>
        </w:rPr>
        <w:t>生活用水以每人以</w:t>
      </w:r>
      <w:r w:rsidR="00B0770B" w:rsidRPr="00B0770B">
        <w:rPr>
          <w:rFonts w:hint="eastAsia"/>
          <w:spacing w:val="2"/>
          <w:sz w:val="24"/>
        </w:rPr>
        <w:t>125</w:t>
      </w:r>
      <w:r w:rsidR="00B0770B" w:rsidRPr="00B0770B">
        <w:rPr>
          <w:spacing w:val="2"/>
          <w:sz w:val="24"/>
        </w:rPr>
        <w:t>L/d</w:t>
      </w:r>
      <w:r w:rsidR="00B0770B" w:rsidRPr="00B0770B">
        <w:rPr>
          <w:rFonts w:hint="eastAsia"/>
          <w:spacing w:val="2"/>
          <w:sz w:val="24"/>
        </w:rPr>
        <w:t>计</w:t>
      </w:r>
      <w:r w:rsidR="00D70BEB" w:rsidRPr="00B0770B">
        <w:rPr>
          <w:rFonts w:hint="eastAsia"/>
          <w:sz w:val="24"/>
        </w:rPr>
        <w:t>）</w:t>
      </w:r>
      <w:r w:rsidRPr="00B0770B">
        <w:rPr>
          <w:sz w:val="24"/>
        </w:rPr>
        <w:t>，生产用水量</w:t>
      </w:r>
      <w:r w:rsidR="00B0770B">
        <w:rPr>
          <w:rFonts w:hint="eastAsia"/>
          <w:sz w:val="24"/>
        </w:rPr>
        <w:t>约</w:t>
      </w:r>
      <w:r w:rsidR="00861732">
        <w:rPr>
          <w:rFonts w:hint="eastAsia"/>
          <w:sz w:val="24"/>
        </w:rPr>
        <w:t>328.7</w:t>
      </w:r>
      <w:r w:rsidRPr="00B0770B">
        <w:rPr>
          <w:sz w:val="24"/>
        </w:rPr>
        <w:t>m</w:t>
      </w:r>
      <w:r w:rsidRPr="00B0770B">
        <w:rPr>
          <w:sz w:val="24"/>
          <w:vertAlign w:val="superscript"/>
        </w:rPr>
        <w:t>3</w:t>
      </w:r>
      <w:r w:rsidRPr="00B0770B">
        <w:rPr>
          <w:sz w:val="24"/>
        </w:rPr>
        <w:t>/d</w:t>
      </w:r>
      <w:r w:rsidRPr="00B0770B">
        <w:rPr>
          <w:sz w:val="24"/>
        </w:rPr>
        <w:t>。</w:t>
      </w:r>
    </w:p>
    <w:p w:rsidR="00240BCE" w:rsidRDefault="00AC0334">
      <w:pPr>
        <w:spacing w:line="520" w:lineRule="exact"/>
        <w:ind w:firstLineChars="200" w:firstLine="488"/>
        <w:rPr>
          <w:spacing w:val="2"/>
          <w:sz w:val="24"/>
        </w:rPr>
      </w:pPr>
      <w:r>
        <w:rPr>
          <w:spacing w:val="2"/>
          <w:sz w:val="24"/>
        </w:rPr>
        <w:t>（</w:t>
      </w:r>
      <w:r>
        <w:rPr>
          <w:spacing w:val="2"/>
          <w:sz w:val="24"/>
        </w:rPr>
        <w:t>3</w:t>
      </w:r>
      <w:r>
        <w:rPr>
          <w:spacing w:val="2"/>
          <w:sz w:val="24"/>
        </w:rPr>
        <w:t>）矿井排水</w:t>
      </w:r>
    </w:p>
    <w:p w:rsidR="00240BCE" w:rsidRDefault="00AC0334">
      <w:pPr>
        <w:spacing w:line="520" w:lineRule="exact"/>
        <w:ind w:firstLineChars="200" w:firstLine="488"/>
        <w:rPr>
          <w:spacing w:val="2"/>
          <w:sz w:val="24"/>
        </w:rPr>
      </w:pPr>
      <w:r>
        <w:rPr>
          <w:spacing w:val="2"/>
          <w:sz w:val="24"/>
        </w:rPr>
        <w:t>根据调查，现有工程设计矿井水正常涌水量</w:t>
      </w:r>
      <w:r>
        <w:rPr>
          <w:sz w:val="24"/>
        </w:rPr>
        <w:t>60m</w:t>
      </w:r>
      <w:r>
        <w:rPr>
          <w:sz w:val="24"/>
          <w:vertAlign w:val="superscript"/>
        </w:rPr>
        <w:t>3</w:t>
      </w:r>
      <w:r>
        <w:rPr>
          <w:sz w:val="24"/>
        </w:rPr>
        <w:t>/h</w:t>
      </w:r>
      <w:r>
        <w:rPr>
          <w:sz w:val="24"/>
        </w:rPr>
        <w:t>（</w:t>
      </w:r>
      <w:r>
        <w:rPr>
          <w:sz w:val="24"/>
        </w:rPr>
        <w:t>1440m</w:t>
      </w:r>
      <w:r>
        <w:rPr>
          <w:sz w:val="24"/>
          <w:vertAlign w:val="superscript"/>
        </w:rPr>
        <w:t>3</w:t>
      </w:r>
      <w:r>
        <w:rPr>
          <w:sz w:val="24"/>
        </w:rPr>
        <w:t>/d</w:t>
      </w:r>
      <w:r>
        <w:rPr>
          <w:sz w:val="24"/>
        </w:rPr>
        <w:t>），现场调查矿井水实际涌水量约</w:t>
      </w:r>
      <w:r>
        <w:rPr>
          <w:sz w:val="24"/>
        </w:rPr>
        <w:t>20m</w:t>
      </w:r>
      <w:r>
        <w:rPr>
          <w:sz w:val="24"/>
          <w:vertAlign w:val="superscript"/>
        </w:rPr>
        <w:t>3</w:t>
      </w:r>
      <w:r>
        <w:rPr>
          <w:sz w:val="24"/>
        </w:rPr>
        <w:t>/h</w:t>
      </w:r>
      <w:r>
        <w:rPr>
          <w:sz w:val="24"/>
        </w:rPr>
        <w:t>（</w:t>
      </w:r>
      <w:r>
        <w:rPr>
          <w:sz w:val="24"/>
        </w:rPr>
        <w:t>480m</w:t>
      </w:r>
      <w:r>
        <w:rPr>
          <w:sz w:val="24"/>
          <w:vertAlign w:val="superscript"/>
        </w:rPr>
        <w:t>3</w:t>
      </w:r>
      <w:r>
        <w:rPr>
          <w:sz w:val="24"/>
        </w:rPr>
        <w:t>/d</w:t>
      </w:r>
      <w:r>
        <w:rPr>
          <w:sz w:val="24"/>
        </w:rPr>
        <w:t>），经矿井水处理站</w:t>
      </w:r>
      <w:r>
        <w:rPr>
          <w:spacing w:val="2"/>
          <w:sz w:val="24"/>
        </w:rPr>
        <w:t>（主要采用斜管沉淀</w:t>
      </w:r>
      <w:r>
        <w:rPr>
          <w:spacing w:val="2"/>
          <w:sz w:val="24"/>
        </w:rPr>
        <w:t>+</w:t>
      </w:r>
      <w:r>
        <w:rPr>
          <w:spacing w:val="2"/>
          <w:sz w:val="24"/>
        </w:rPr>
        <w:t>消毒等处理工艺</w:t>
      </w:r>
      <w:r>
        <w:rPr>
          <w:sz w:val="24"/>
        </w:rPr>
        <w:t>）处理达标后部分（</w:t>
      </w:r>
      <w:r w:rsidR="004303CD">
        <w:rPr>
          <w:rFonts w:hint="eastAsia"/>
          <w:sz w:val="24"/>
        </w:rPr>
        <w:t>286.2</w:t>
      </w:r>
      <w:r>
        <w:rPr>
          <w:sz w:val="24"/>
        </w:rPr>
        <w:t>m</w:t>
      </w:r>
      <w:r>
        <w:rPr>
          <w:sz w:val="24"/>
          <w:vertAlign w:val="superscript"/>
        </w:rPr>
        <w:t>3</w:t>
      </w:r>
      <w:r>
        <w:rPr>
          <w:sz w:val="24"/>
        </w:rPr>
        <w:t>/d</w:t>
      </w:r>
      <w:r>
        <w:rPr>
          <w:sz w:val="24"/>
        </w:rPr>
        <w:t>）回用于井下洒水、</w:t>
      </w:r>
      <w:r w:rsidR="00802A62">
        <w:rPr>
          <w:sz w:val="24"/>
        </w:rPr>
        <w:t>储煤库</w:t>
      </w:r>
      <w:r>
        <w:rPr>
          <w:sz w:val="24"/>
        </w:rPr>
        <w:t>洒水、空压机补充水、运输道路防尘洒水等生产用水，剩余部分（</w:t>
      </w:r>
      <w:r w:rsidR="004303CD">
        <w:rPr>
          <w:rFonts w:hint="eastAsia"/>
          <w:sz w:val="24"/>
        </w:rPr>
        <w:t>193.8</w:t>
      </w:r>
      <w:r>
        <w:rPr>
          <w:sz w:val="24"/>
        </w:rPr>
        <w:t>m</w:t>
      </w:r>
      <w:r>
        <w:rPr>
          <w:sz w:val="24"/>
          <w:vertAlign w:val="superscript"/>
        </w:rPr>
        <w:t>3</w:t>
      </w:r>
      <w:r>
        <w:rPr>
          <w:sz w:val="24"/>
        </w:rPr>
        <w:t>/d</w:t>
      </w:r>
      <w:r>
        <w:rPr>
          <w:sz w:val="24"/>
        </w:rPr>
        <w:t>）排至赵沟河、</w:t>
      </w:r>
      <w:r>
        <w:rPr>
          <w:sz w:val="24"/>
        </w:rPr>
        <w:lastRenderedPageBreak/>
        <w:t>纸坊水库后用于周边农田灌溉</w:t>
      </w:r>
      <w:r w:rsidR="004303CD">
        <w:rPr>
          <w:rFonts w:hint="eastAsia"/>
          <w:sz w:val="24"/>
        </w:rPr>
        <w:t>及生态补水</w:t>
      </w:r>
      <w:r>
        <w:rPr>
          <w:sz w:val="24"/>
        </w:rPr>
        <w:t>。</w:t>
      </w:r>
    </w:p>
    <w:p w:rsidR="00240BCE" w:rsidRDefault="00AC0334">
      <w:pPr>
        <w:spacing w:line="520" w:lineRule="exact"/>
        <w:ind w:firstLineChars="200" w:firstLine="488"/>
        <w:rPr>
          <w:spacing w:val="2"/>
          <w:sz w:val="24"/>
        </w:rPr>
      </w:pPr>
      <w:r>
        <w:rPr>
          <w:spacing w:val="2"/>
          <w:sz w:val="24"/>
        </w:rPr>
        <w:t>（</w:t>
      </w:r>
      <w:r>
        <w:rPr>
          <w:spacing w:val="2"/>
          <w:sz w:val="24"/>
        </w:rPr>
        <w:t>4</w:t>
      </w:r>
      <w:r>
        <w:rPr>
          <w:spacing w:val="2"/>
          <w:sz w:val="24"/>
        </w:rPr>
        <w:t>）工业场地生活污水</w:t>
      </w:r>
    </w:p>
    <w:p w:rsidR="00240BCE" w:rsidRDefault="00AC0334">
      <w:pPr>
        <w:spacing w:line="520" w:lineRule="exact"/>
        <w:ind w:firstLineChars="200" w:firstLine="480"/>
        <w:rPr>
          <w:spacing w:val="2"/>
          <w:sz w:val="24"/>
        </w:rPr>
      </w:pPr>
      <w:r>
        <w:rPr>
          <w:color w:val="000000"/>
          <w:sz w:val="24"/>
        </w:rPr>
        <w:t>工业场地生活污水主要来源于工业场地办公、生活等设施排水，产生量为</w:t>
      </w:r>
      <w:r w:rsidR="00F555A6">
        <w:rPr>
          <w:rFonts w:hint="eastAsia"/>
          <w:color w:val="000000"/>
          <w:sz w:val="24"/>
        </w:rPr>
        <w:t>42.5</w:t>
      </w:r>
      <w:r>
        <w:rPr>
          <w:color w:val="000000"/>
          <w:sz w:val="24"/>
        </w:rPr>
        <w:t>m</w:t>
      </w:r>
      <w:r>
        <w:rPr>
          <w:color w:val="000000"/>
          <w:sz w:val="24"/>
          <w:vertAlign w:val="superscript"/>
        </w:rPr>
        <w:t>3</w:t>
      </w:r>
      <w:r>
        <w:rPr>
          <w:color w:val="000000"/>
          <w:sz w:val="24"/>
        </w:rPr>
        <w:t>/d</w:t>
      </w:r>
      <w:r>
        <w:rPr>
          <w:color w:val="000000"/>
          <w:sz w:val="24"/>
        </w:rPr>
        <w:t>，主要污染物为</w:t>
      </w:r>
      <w:r>
        <w:rPr>
          <w:color w:val="000000"/>
          <w:sz w:val="24"/>
        </w:rPr>
        <w:t>CODcr</w:t>
      </w:r>
      <w:r>
        <w:rPr>
          <w:color w:val="000000"/>
          <w:sz w:val="24"/>
        </w:rPr>
        <w:t>、</w:t>
      </w:r>
      <w:r>
        <w:rPr>
          <w:color w:val="000000"/>
          <w:sz w:val="24"/>
        </w:rPr>
        <w:t>BOD</w:t>
      </w:r>
      <w:r>
        <w:rPr>
          <w:color w:val="000000"/>
          <w:sz w:val="24"/>
          <w:vertAlign w:val="subscript"/>
        </w:rPr>
        <w:t>5</w:t>
      </w:r>
      <w:r>
        <w:rPr>
          <w:color w:val="000000"/>
          <w:sz w:val="24"/>
        </w:rPr>
        <w:t>和</w:t>
      </w:r>
      <w:r>
        <w:rPr>
          <w:color w:val="000000"/>
          <w:sz w:val="24"/>
        </w:rPr>
        <w:t>SS</w:t>
      </w:r>
      <w:r>
        <w:rPr>
          <w:color w:val="000000"/>
          <w:sz w:val="24"/>
        </w:rPr>
        <w:t>，经接触氧化法一体化地埋式综合设备处理达标后</w:t>
      </w:r>
      <w:r w:rsidR="004303CD">
        <w:rPr>
          <w:rFonts w:hint="eastAsia"/>
          <w:color w:val="000000"/>
          <w:sz w:val="24"/>
        </w:rPr>
        <w:t>全部综合利用</w:t>
      </w:r>
      <w:r>
        <w:rPr>
          <w:sz w:val="24"/>
        </w:rPr>
        <w:t>，不外排</w:t>
      </w:r>
      <w:r>
        <w:rPr>
          <w:color w:val="000000"/>
          <w:sz w:val="24"/>
        </w:rPr>
        <w:t>。</w:t>
      </w:r>
    </w:p>
    <w:p w:rsidR="00240BCE" w:rsidRDefault="00AC0334">
      <w:pPr>
        <w:spacing w:line="520" w:lineRule="exact"/>
        <w:ind w:firstLineChars="200" w:firstLine="488"/>
        <w:rPr>
          <w:spacing w:val="2"/>
          <w:sz w:val="24"/>
        </w:rPr>
      </w:pPr>
      <w:r>
        <w:rPr>
          <w:spacing w:val="2"/>
          <w:sz w:val="24"/>
        </w:rPr>
        <w:t>（</w:t>
      </w:r>
      <w:r>
        <w:rPr>
          <w:spacing w:val="2"/>
          <w:sz w:val="24"/>
        </w:rPr>
        <w:t>5</w:t>
      </w:r>
      <w:r>
        <w:rPr>
          <w:spacing w:val="2"/>
          <w:sz w:val="24"/>
        </w:rPr>
        <w:t>）雨水</w:t>
      </w:r>
    </w:p>
    <w:p w:rsidR="00240BCE" w:rsidRDefault="00AC0334">
      <w:pPr>
        <w:adjustRightInd w:val="0"/>
        <w:snapToGrid w:val="0"/>
        <w:spacing w:line="520" w:lineRule="exact"/>
        <w:ind w:firstLineChars="200" w:firstLine="480"/>
        <w:rPr>
          <w:kern w:val="0"/>
          <w:sz w:val="24"/>
        </w:rPr>
      </w:pPr>
      <w:r>
        <w:rPr>
          <w:sz w:val="24"/>
        </w:rPr>
        <w:t>厂区采用雨污分流制</w:t>
      </w:r>
      <w:r>
        <w:rPr>
          <w:kern w:val="0"/>
          <w:sz w:val="24"/>
        </w:rPr>
        <w:t>排水系统，初期雨水</w:t>
      </w:r>
      <w:r>
        <w:rPr>
          <w:rFonts w:hint="eastAsia"/>
          <w:kern w:val="0"/>
          <w:sz w:val="24"/>
        </w:rPr>
        <w:t>未有效收集</w:t>
      </w:r>
      <w:r>
        <w:rPr>
          <w:kern w:val="0"/>
          <w:sz w:val="24"/>
        </w:rPr>
        <w:t>。</w:t>
      </w:r>
    </w:p>
    <w:p w:rsidR="00240BCE" w:rsidRDefault="00AC0334">
      <w:pPr>
        <w:adjustRightInd w:val="0"/>
        <w:snapToGrid w:val="0"/>
        <w:spacing w:line="520" w:lineRule="exact"/>
        <w:ind w:firstLineChars="200" w:firstLine="480"/>
        <w:rPr>
          <w:sz w:val="24"/>
        </w:rPr>
      </w:pPr>
      <w:r>
        <w:rPr>
          <w:sz w:val="24"/>
        </w:rPr>
        <w:t>水平衡图见图</w:t>
      </w:r>
      <w:r>
        <w:rPr>
          <w:sz w:val="24"/>
        </w:rPr>
        <w:t>3.1-1</w:t>
      </w:r>
      <w:r>
        <w:rPr>
          <w:sz w:val="24"/>
        </w:rPr>
        <w:t>。</w:t>
      </w:r>
    </w:p>
    <w:p w:rsidR="00F555A6" w:rsidRDefault="00B95226">
      <w:pPr>
        <w:adjustRightInd w:val="0"/>
        <w:snapToGrid w:val="0"/>
        <w:spacing w:line="520" w:lineRule="exact"/>
      </w:pPr>
      <w:r>
        <w:rPr>
          <w:noProof/>
        </w:rPr>
        <w:pict>
          <v:line id="_x0000_s3591" style="position:absolute;left:0;text-align:left;z-index:251715584;visibility:visible;mso-height-relative:margin" from="259.3pt,20.7pt" to="259.3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"/>
        </w:pict>
      </w:r>
      <w:r>
        <w:rPr>
          <w:noProof/>
        </w:rPr>
        <w:pict>
          <v:shapetype id="_x0000_t202" coordsize="21600,21600" o:spt="202" path="m,l,21600r21600,l21600,xe">
            <v:stroke joinstyle="miter"/>
            <v:path gradientshapeok="t" o:connecttype="rect"/>
          </v:shapetype>
          <v:shape id="文本框 1196" o:spid="_x0000_s3590" type="#_x0000_t202" style="position:absolute;left:0;text-align:left;margin-left:305.6pt;margin-top:4.8pt;width:118.45pt;height:29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" filled="f" stroked="f">
            <v:textbox style="mso-next-textbox:#文本框 1196" inset=".5mm,.3mm,.5mm,.3mm">
              <w:txbxContent>
                <w:p w:rsidR="006D7D3F" w:rsidRDefault="006D7D3F">
                  <w:pPr>
                    <w:rPr>
                      <w:szCs w:val="21"/>
                    </w:rPr>
                  </w:pPr>
                  <w:r>
                    <w:rPr>
                      <w:rFonts w:hint="eastAsia"/>
                      <w:sz w:val="21"/>
                      <w:szCs w:val="21"/>
                    </w:rPr>
                    <w:t>地面除尘绿化景观用水及道路防尘洒水</w:t>
                  </w:r>
                </w:p>
              </w:txbxContent>
            </v:textbox>
          </v:shape>
        </w:pict>
      </w:r>
      <w:r>
        <w:rPr>
          <w:noProof/>
        </w:rPr>
        <w:pict>
          <v:shape id="文本框 1181" o:spid="_x0000_s1027" type="#_x0000_t202" style="position:absolute;left:0;text-align:left;margin-left:264.55pt;margin-top:5.2pt;width:30.4pt;height:15.6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" filled="f" stroked="f">
            <v:textbox style="mso-next-textbox:#文本框 1181" inset="0,0,0,0">
              <w:txbxContent>
                <w:p w:rsidR="006D7D3F" w:rsidRDefault="006D7D3F">
                  <w:pPr>
                    <w:rPr>
                      <w:rFonts w:ascii="宋体" w:hAnsi="宋体"/>
                      <w:sz w:val="21"/>
                      <w:szCs w:val="21"/>
                    </w:rPr>
                  </w:pPr>
                  <w:r>
                    <w:rPr>
                      <w:rFonts w:ascii="宋体" w:hAnsi="宋体" w:hint="eastAsia"/>
                      <w:kern w:val="0"/>
                      <w:sz w:val="21"/>
                      <w:szCs w:val="21"/>
                    </w:rPr>
                    <w:t>15.6</w:t>
                  </w:r>
                </w:p>
              </w:txbxContent>
            </v:textbox>
          </v:shape>
        </w:pict>
      </w:r>
      <w:r>
        <w:rPr>
          <w:noProof/>
        </w:rPr>
        <w:pict>
          <v:line id="_x0000_s3589" style="position:absolute;left:0;text-align:left;z-index:251716608;visibility:visible;mso-width-relative:margin" from="259.35pt,20.7pt" to="305.5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">
            <v:stroke endarrow="block"/>
          </v:line>
        </w:pict>
      </w:r>
    </w:p>
    <w:p w:rsidR="00240BCE" w:rsidRDefault="00B95226">
      <w:pPr>
        <w:adjustRightInd w:val="0"/>
        <w:snapToGrid w:val="0"/>
        <w:spacing w:line="520" w:lineRule="exact"/>
      </w:pPr>
      <w:r>
        <w:rPr>
          <w:noProof/>
        </w:rPr>
        <w:pict>
          <v:shape id="文本框 1187" o:spid="_x0000_s1028" type="#_x0000_t202" style="position:absolute;left:0;text-align:left;margin-left:219.25pt;margin-top:17.9pt;width:31.05pt;height:13.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" filled="f" stroked="f">
            <v:textbox style="mso-next-textbox:#文本框 1187" inset="0,0,0,0">
              <w:txbxContent>
                <w:p w:rsidR="006D7D3F" w:rsidRDefault="006D7D3F">
                  <w:pPr>
                    <w:jc w:val="center"/>
                    <w:rPr>
                      <w:rFonts w:ascii="宋体" w:hAnsi="宋体"/>
                      <w:sz w:val="21"/>
                      <w:szCs w:val="21"/>
                    </w:rPr>
                  </w:pPr>
                  <w:r>
                    <w:rPr>
                      <w:rFonts w:ascii="宋体" w:hAnsi="宋体" w:hint="eastAsia"/>
                      <w:sz w:val="21"/>
                      <w:szCs w:val="21"/>
                    </w:rPr>
                    <w:t>42.5</w:t>
                  </w:r>
                </w:p>
              </w:txbxContent>
            </v:textbox>
          </v:shape>
        </w:pict>
      </w:r>
      <w:r>
        <w:rPr>
          <w:noProof/>
        </w:rPr>
        <w:pict>
          <v:shape id="文本框 1165" o:spid="_x0000_s1029" type="#_x0000_t202" style="position:absolute;left:0;text-align:left;margin-left:-6.95pt;margin-top:21.35pt;width:33.35pt;height:30.4pt;z-index:251641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" filled="f" stroked="f">
            <v:textbox style="mso-next-textbox:#文本框 1165" inset="0,0,0,0">
              <w:txbxContent>
                <w:p w:rsidR="006D7D3F" w:rsidRDefault="006D7D3F">
                  <w:pPr>
                    <w:jc w:val="center"/>
                    <w:rPr>
                      <w:sz w:val="21"/>
                      <w:szCs w:val="21"/>
                    </w:rPr>
                  </w:pPr>
                  <w:r>
                    <w:rPr>
                      <w:rFonts w:hint="eastAsia"/>
                      <w:sz w:val="21"/>
                      <w:szCs w:val="21"/>
                    </w:rPr>
                    <w:t>鸠山镇深井水</w:t>
                  </w:r>
                </w:p>
              </w:txbxContent>
            </v:textbox>
          </v:shape>
        </w:pict>
      </w:r>
      <w:r>
        <w:rPr>
          <w:noProof/>
        </w:rPr>
        <w:pict>
          <v:shape id="文本框 1183" o:spid="_x0000_s1030" type="#_x0000_t202" style="position:absolute;left:0;text-align:left;margin-left:35.9pt;margin-top:18.15pt;width:36.35pt;height:16.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" filled="f" stroked="f">
            <v:textbox style="mso-next-textbox:#文本框 1183" inset="0,0,0,0">
              <w:txbxContent>
                <w:p w:rsidR="006D7D3F" w:rsidRDefault="006D7D3F" w:rsidP="00D70BEB">
                  <w:pPr>
                    <w:jc w:val="center"/>
                    <w:rPr>
                      <w:rFonts w:ascii="宋体" w:hAnsi="宋体"/>
                      <w:sz w:val="21"/>
                      <w:szCs w:val="21"/>
                    </w:rPr>
                  </w:pPr>
                  <w:r>
                    <w:rPr>
                      <w:rFonts w:ascii="宋体" w:hAnsi="宋体" w:hint="eastAsia"/>
                      <w:sz w:val="21"/>
                      <w:szCs w:val="21"/>
                    </w:rPr>
                    <w:t>50</w:t>
                  </w:r>
                </w:p>
              </w:txbxContent>
            </v:textbox>
          </v:shape>
        </w:pict>
      </w:r>
      <w:r>
        <w:rPr>
          <w:noProof/>
        </w:rPr>
        <w:pict>
          <v:shape id="文本框 1188" o:spid="_x0000_s1031" type="#_x0000_t202" style="position:absolute;left:0;text-align:left;margin-left:117.1pt;margin-top:19.5pt;width:33.15pt;height:16.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" filled="f" stroked="f">
            <v:textbox style="mso-next-textbox:#文本框 1188" inset="0,0,0,0">
              <w:txbxContent>
                <w:p w:rsidR="006D7D3F" w:rsidRDefault="006D7D3F">
                  <w:pPr>
                    <w:ind w:firstLineChars="50" w:firstLine="105"/>
                    <w:rPr>
                      <w:rFonts w:ascii="宋体" w:hAnsi="宋体"/>
                      <w:szCs w:val="21"/>
                    </w:rPr>
                  </w:pPr>
                  <w:r>
                    <w:rPr>
                      <w:rFonts w:ascii="宋体" w:hAnsi="宋体" w:hint="eastAsia"/>
                      <w:kern w:val="0"/>
                      <w:sz w:val="21"/>
                      <w:szCs w:val="21"/>
                    </w:rPr>
                    <w:t>42.5</w:t>
                  </w:r>
                </w:p>
              </w:txbxContent>
            </v:textbox>
          </v:shape>
        </w:pict>
      </w:r>
      <w:r>
        <w:rPr>
          <w:noProof/>
        </w:rPr>
        <w:pict>
          <v:shape id="文本框 1184" o:spid="_x0000_s1032" type="#_x0000_t202" style="position:absolute;left:0;text-align:left;margin-left:87.2pt;margin-top:21.25pt;width:31.6pt;height:29.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" filled="f" stroked="f">
            <v:textbox style="mso-next-textbox:#文本框 1184" inset="0,0,0,0">
              <w:txbxContent>
                <w:p w:rsidR="006D7D3F" w:rsidRDefault="006D7D3F">
                  <w:pPr>
                    <w:rPr>
                      <w:sz w:val="21"/>
                      <w:szCs w:val="21"/>
                    </w:rPr>
                  </w:pPr>
                  <w:r>
                    <w:rPr>
                      <w:rFonts w:hint="eastAsia"/>
                      <w:sz w:val="21"/>
                      <w:szCs w:val="21"/>
                    </w:rPr>
                    <w:t>生活</w:t>
                  </w:r>
                </w:p>
                <w:p w:rsidR="006D7D3F" w:rsidRDefault="006D7D3F">
                  <w:pPr>
                    <w:rPr>
                      <w:sz w:val="21"/>
                      <w:szCs w:val="21"/>
                    </w:rPr>
                  </w:pPr>
                  <w:r>
                    <w:rPr>
                      <w:rFonts w:hint="eastAsia"/>
                      <w:sz w:val="21"/>
                      <w:szCs w:val="21"/>
                    </w:rPr>
                    <w:t>用水</w:t>
                  </w:r>
                </w:p>
              </w:txbxContent>
            </v:textbox>
          </v:shape>
        </w:pict>
      </w:r>
      <w:r>
        <w:rPr>
          <w:noProof/>
        </w:rPr>
        <w:pict>
          <v:shape id="文本框 1182" o:spid="_x0000_s1033" type="#_x0000_t202" style="position:absolute;left:0;text-align:left;margin-left:152.85pt;margin-top:18.45pt;width:56pt;height:31.8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" filled="f" stroked="f">
            <v:textbox style="mso-next-textbox:#文本框 1182" inset=".5mm,0,.5mm,0">
              <w:txbxContent>
                <w:p w:rsidR="006D7D3F" w:rsidRDefault="006D7D3F">
                  <w:pPr>
                    <w:spacing w:line="320" w:lineRule="exact"/>
                    <w:rPr>
                      <w:rFonts w:ascii="宋体" w:hAnsi="宋体"/>
                      <w:sz w:val="21"/>
                      <w:szCs w:val="21"/>
                    </w:rPr>
                  </w:pPr>
                  <w:r>
                    <w:rPr>
                      <w:rFonts w:ascii="宋体" w:hAnsi="宋体" w:hint="eastAsia"/>
                      <w:kern w:val="0"/>
                      <w:sz w:val="21"/>
                      <w:szCs w:val="21"/>
                    </w:rPr>
                    <w:t>接触氧化污水处理设备</w:t>
                  </w:r>
                </w:p>
              </w:txbxContent>
            </v:textbox>
          </v:shape>
        </w:pict>
      </w:r>
    </w:p>
    <w:p w:rsidR="00240BCE" w:rsidRDefault="00B95226">
      <w:pPr>
        <w:adjustRightInd w:val="0"/>
        <w:snapToGrid w:val="0"/>
        <w:spacing w:line="520" w:lineRule="exact"/>
      </w:pPr>
      <w:r w:rsidRPr="00B95226">
        <w:rPr>
          <w:noProof/>
          <w:sz w:val="20"/>
        </w:rPr>
        <w:pict>
          <v:shape id="文本框 1200" o:spid="_x0000_s1034" type="#_x0000_t202" style="position:absolute;left:0;text-align:left;margin-left:305.5pt;margin-top:16.95pt;width:101.9pt;height:34.6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" filled="f">
            <v:textbox style="mso-next-textbox:#文本框 1200" inset=",.3mm,,.3mm">
              <w:txbxContent>
                <w:p w:rsidR="006D7D3F" w:rsidRDefault="006D7D3F">
                  <w:pPr>
                    <w:rPr>
                      <w:sz w:val="21"/>
                      <w:szCs w:val="21"/>
                    </w:rPr>
                  </w:pPr>
                  <w:r>
                    <w:rPr>
                      <w:rFonts w:hint="eastAsia"/>
                      <w:sz w:val="21"/>
                      <w:szCs w:val="21"/>
                    </w:rPr>
                    <w:t>运煤道路防尘用水（</w:t>
                  </w:r>
                  <w:r>
                    <w:rPr>
                      <w:rFonts w:hint="eastAsia"/>
                      <w:sz w:val="21"/>
                      <w:szCs w:val="21"/>
                    </w:rPr>
                    <w:t>38.2m</w:t>
                  </w:r>
                  <w:r>
                    <w:rPr>
                      <w:rFonts w:hint="eastAsia"/>
                      <w:sz w:val="21"/>
                      <w:szCs w:val="21"/>
                      <w:vertAlign w:val="superscript"/>
                    </w:rPr>
                    <w:t>3</w:t>
                  </w:r>
                  <w:r>
                    <w:rPr>
                      <w:rFonts w:hint="eastAsia"/>
                      <w:sz w:val="21"/>
                      <w:szCs w:val="21"/>
                    </w:rPr>
                    <w:t>/d</w:t>
                  </w:r>
                  <w:r>
                    <w:rPr>
                      <w:rFonts w:hint="eastAsia"/>
                      <w:sz w:val="21"/>
                      <w:szCs w:val="21"/>
                    </w:rPr>
                    <w:t>）</w:t>
                  </w:r>
                </w:p>
              </w:txbxContent>
            </v:textbox>
          </v:shape>
        </w:pict>
      </w:r>
      <w:r>
        <w:rPr>
          <w:noProof/>
        </w:rPr>
        <w:pict>
          <v:line id="_x0000_s3588" style="position:absolute;left:0;text-align:left;z-index:251718656;visibility:visible;mso-width-relative:margin" from="258.45pt,25.6pt" to="304.6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">
            <v:stroke endarrow="block"/>
          </v:line>
        </w:pict>
      </w:r>
      <w:r>
        <w:rPr>
          <w:noProof/>
        </w:rPr>
        <w:pict>
          <v:shape id="_x0000_s1035" type="#_x0000_t202" style="position:absolute;left:0;text-align:left;margin-left:263.65pt;margin-top:10.05pt;width:30.4pt;height:15.6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" filled="f" stroked="f">
            <v:textbox style="mso-next-textbox:#_x0000_s1035" inset="0,0,0,0">
              <w:txbxContent>
                <w:p w:rsidR="006D7D3F" w:rsidRDefault="006D7D3F">
                  <w:pPr>
                    <w:rPr>
                      <w:rFonts w:ascii="宋体" w:hAnsi="宋体"/>
                      <w:sz w:val="21"/>
                      <w:szCs w:val="21"/>
                    </w:rPr>
                  </w:pPr>
                  <w:r>
                    <w:rPr>
                      <w:rFonts w:ascii="宋体" w:hAnsi="宋体" w:hint="eastAsia"/>
                      <w:kern w:val="0"/>
                      <w:sz w:val="21"/>
                      <w:szCs w:val="21"/>
                    </w:rPr>
                    <w:t>26.9</w:t>
                  </w:r>
                </w:p>
              </w:txbxContent>
            </v:textbox>
          </v:shape>
        </w:pict>
      </w:r>
      <w:r>
        <w:rPr>
          <w:noProof/>
        </w:rPr>
        <w:pict>
          <v:line id="_x0000_s3587" style="position:absolute;left:0;text-align:left;z-index:251659264;visibility:visible;mso-width-relative:margin" from="203.65pt,8.1pt" to="25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">
            <v:stroke endarrow="block"/>
          </v:line>
        </w:pict>
      </w:r>
      <w:r>
        <w:rPr>
          <w:noProof/>
        </w:rPr>
        <w:pict>
          <v:line id="_x0000_s3586" style="position:absolute;left:0;text-align:left;z-index:251656192;visibility:visible" from="113.5pt,9pt" to="152.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">
            <v:stroke endarrow="block"/>
          </v:line>
        </w:pict>
      </w:r>
      <w:r>
        <w:rPr>
          <w:noProof/>
        </w:rPr>
        <w:pict>
          <v:line id="_x0000_s3585" style="position:absolute;left:0;text-align:left;z-index:251650048;visibility:visible" from="28.6pt,9.3pt" to="84.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">
            <v:stroke endarrow="block"/>
          </v:line>
        </w:pict>
      </w:r>
      <w:r>
        <w:rPr>
          <w:noProof/>
        </w:rPr>
        <w:pict>
          <v:shape id="文本框 1167" o:spid="_x0000_s1036" type="#_x0000_t202" style="position:absolute;left:0;text-align:left;margin-left:32.9pt;margin-top:10.05pt;width:29.5pt;height:14.3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" filled="f" stroked="f">
            <v:textbox style="mso-next-textbox:#文本框 1167" inset="0,0,0,0">
              <w:txbxContent>
                <w:p w:rsidR="006D7D3F" w:rsidRDefault="006D7D3F">
                  <w:pPr>
                    <w:ind w:firstLineChars="50" w:firstLine="105"/>
                    <w:rPr>
                      <w:sz w:val="21"/>
                      <w:szCs w:val="21"/>
                    </w:rPr>
                  </w:pPr>
                  <w:r>
                    <w:rPr>
                      <w:rFonts w:hint="eastAsia"/>
                      <w:sz w:val="21"/>
                      <w:szCs w:val="21"/>
                    </w:rPr>
                    <w:t>消毒</w:t>
                  </w:r>
                </w:p>
              </w:txbxContent>
            </v:textbox>
          </v:shape>
        </w:pict>
      </w:r>
    </w:p>
    <w:p w:rsidR="00240BCE" w:rsidRDefault="00B95226">
      <w:pPr>
        <w:adjustRightInd w:val="0"/>
        <w:snapToGrid w:val="0"/>
        <w:spacing w:line="520" w:lineRule="exact"/>
      </w:pPr>
      <w:r>
        <w:rPr>
          <w:noProof/>
        </w:rPr>
        <w:pict>
          <v:shape id="文本框 1171" o:spid="_x0000_s1037" type="#_x0000_t202" style="position:absolute;left:0;text-align:left;margin-left:216.65pt;margin-top:.1pt;width:28.35pt;height:16.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" filled="f" stroked="f">
            <v:textbox style="mso-next-textbox:#文本框 1171" inset="0,0,0,0">
              <w:txbxContent>
                <w:p w:rsidR="006D7D3F" w:rsidRDefault="006D7D3F">
                  <w:pPr>
                    <w:ind w:firstLineChars="50" w:firstLine="105"/>
                    <w:rPr>
                      <w:rFonts w:ascii="宋体" w:hAnsi="宋体"/>
                      <w:sz w:val="21"/>
                      <w:szCs w:val="21"/>
                    </w:rPr>
                  </w:pPr>
                  <w:r>
                    <w:rPr>
                      <w:rFonts w:ascii="宋体" w:hAnsi="宋体" w:hint="eastAsia"/>
                      <w:sz w:val="21"/>
                      <w:szCs w:val="21"/>
                    </w:rPr>
                    <w:t>11.3</w:t>
                  </w:r>
                </w:p>
              </w:txbxContent>
            </v:textbox>
          </v:shape>
        </w:pict>
      </w:r>
      <w:r>
        <w:rPr>
          <w:noProof/>
        </w:rPr>
        <w:pict>
          <v:line id="_x0000_s3584" style="position:absolute;left:0;text-align:left;z-index:251663360;visibility:visible;mso-width-relative:margin" from="210.4pt,14.9pt" to="304.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">
            <v:stroke endarrow="block"/>
          </v:line>
        </w:pict>
      </w:r>
      <w:r>
        <w:rPr>
          <w:noProof/>
        </w:rPr>
        <w:pict>
          <v:line id="_x0000_s3583" style="position:absolute;left:0;text-align:left;z-index:251649024;visibility:visible;mso-height-relative:margin" from="210.4pt,16.25pt" to="210.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"/>
        </w:pict>
      </w:r>
    </w:p>
    <w:p w:rsidR="00240BCE" w:rsidRDefault="00B95226">
      <w:pPr>
        <w:adjustRightInd w:val="0"/>
        <w:snapToGrid w:val="0"/>
        <w:spacing w:line="520" w:lineRule="exact"/>
      </w:pPr>
      <w:r>
        <w:rPr>
          <w:noProof/>
        </w:rPr>
        <w:pict>
          <v:shape id="文本框 1180" o:spid="_x0000_s1038" type="#_x0000_t202" style="position:absolute;left:0;text-align:left;margin-left:250.3pt;margin-top:16.8pt;width:66.1pt;height:15.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" filled="f" stroked="f">
            <v:textbox style="mso-next-textbox:#文本框 1180" inset="0,0,0,0">
              <w:txbxContent>
                <w:p w:rsidR="006D7D3F" w:rsidRDefault="006D7D3F">
                  <w:r>
                    <w:rPr>
                      <w:rFonts w:hint="eastAsia"/>
                      <w:sz w:val="21"/>
                      <w:szCs w:val="21"/>
                    </w:rPr>
                    <w:t>井下防尘用水</w:t>
                  </w:r>
                </w:p>
              </w:txbxContent>
            </v:textbox>
          </v:shape>
        </w:pict>
      </w:r>
      <w:r>
        <w:rPr>
          <w:noProof/>
        </w:rPr>
        <w:pict>
          <v:shape id="_x0000_s1039" type="#_x0000_t202" style="position:absolute;left:0;text-align:left;margin-left:214.75pt;margin-top:8.45pt;width:30.4pt;height:15.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" filled="f" stroked="f">
            <v:textbox style="mso-next-textbox:#_x0000_s1039" inset="0,0,0,0">
              <w:txbxContent>
                <w:p w:rsidR="006D7D3F" w:rsidRDefault="006D7D3F">
                  <w:pPr>
                    <w:rPr>
                      <w:rFonts w:ascii="宋体" w:hAnsi="宋体"/>
                      <w:sz w:val="21"/>
                      <w:szCs w:val="21"/>
                    </w:rPr>
                  </w:pPr>
                  <w:r>
                    <w:rPr>
                      <w:rFonts w:ascii="宋体" w:hAnsi="宋体" w:hint="eastAsia"/>
                      <w:kern w:val="0"/>
                      <w:sz w:val="21"/>
                      <w:szCs w:val="21"/>
                    </w:rPr>
                    <w:t>157.6</w:t>
                  </w:r>
                </w:p>
              </w:txbxContent>
            </v:textbox>
          </v:shape>
        </w:pict>
      </w:r>
      <w:r>
        <w:rPr>
          <w:noProof/>
        </w:rPr>
        <w:pict>
          <v:line id="_x0000_s3582" style="position:absolute;left:0;text-align:left;z-index:251661312;visibility:visible" from="210.55pt,23.95pt" to="247.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">
            <v:stroke endarrow="block"/>
          </v:line>
        </w:pict>
      </w:r>
    </w:p>
    <w:p w:rsidR="00240BCE" w:rsidRDefault="00B95226">
      <w:pPr>
        <w:adjustRightInd w:val="0"/>
        <w:snapToGrid w:val="0"/>
        <w:spacing w:line="520" w:lineRule="exact"/>
      </w:pPr>
      <w:r w:rsidRPr="00B95226">
        <w:rPr>
          <w:noProof/>
          <w:sz w:val="20"/>
        </w:rPr>
        <w:pict>
          <v:shape id="文本框 1169" o:spid="_x0000_s1040" type="#_x0000_t202" style="position:absolute;left:0;text-align:left;margin-left:48.5pt;margin-top:25.1pt;width:30.6pt;height:15.6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" filled="f" stroked="f">
            <v:textbox style="mso-next-textbox:#文本框 1169" inset="0,0,0,0">
              <w:txbxContent>
                <w:p w:rsidR="006D7D3F" w:rsidRDefault="006D7D3F">
                  <w:pPr>
                    <w:rPr>
                      <w:rFonts w:ascii="宋体" w:hAnsi="宋体"/>
                    </w:rPr>
                  </w:pPr>
                  <w:r>
                    <w:rPr>
                      <w:rFonts w:ascii="宋体" w:hAnsi="宋体" w:hint="eastAsia"/>
                      <w:sz w:val="21"/>
                      <w:szCs w:val="21"/>
                    </w:rPr>
                    <w:t>480</w:t>
                  </w:r>
                </w:p>
              </w:txbxContent>
            </v:textbox>
          </v:shape>
        </w:pict>
      </w:r>
      <w:r w:rsidRPr="00B95226">
        <w:rPr>
          <w:noProof/>
          <w:sz w:val="20"/>
        </w:rPr>
        <w:pict>
          <v:shape id="文本框 1201" o:spid="_x0000_s1041" type="#_x0000_t202" style="position:absolute;left:0;text-align:left;margin-left:214.9pt;margin-top:12.05pt;width:28.35pt;height:16.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" filled="f" stroked="f">
            <v:textbox style="mso-next-textbox:#文本框 1201" inset="0,0,0,0">
              <w:txbxContent>
                <w:p w:rsidR="006D7D3F" w:rsidRDefault="006D7D3F">
                  <w:pPr>
                    <w:ind w:firstLineChars="50" w:firstLine="105"/>
                    <w:rPr>
                      <w:rFonts w:ascii="宋体" w:hAnsi="宋体"/>
                      <w:sz w:val="21"/>
                      <w:szCs w:val="21"/>
                    </w:rPr>
                  </w:pPr>
                  <w:r>
                    <w:rPr>
                      <w:rFonts w:ascii="宋体" w:hAnsi="宋体" w:hint="eastAsia"/>
                      <w:sz w:val="21"/>
                      <w:szCs w:val="21"/>
                    </w:rPr>
                    <w:t>24</w:t>
                  </w:r>
                </w:p>
              </w:txbxContent>
            </v:textbox>
          </v:shape>
        </w:pict>
      </w:r>
      <w:r w:rsidRPr="00B95226">
        <w:rPr>
          <w:noProof/>
          <w:sz w:val="20"/>
        </w:rPr>
        <w:pict>
          <v:shape id="_x0000_s1042" type="#_x0000_t202" style="position:absolute;left:0;text-align:left;margin-left:250.2pt;margin-top:17.6pt;width:107.15pt;height:19.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" filled="f" stroked="f">
            <v:textbox style="mso-next-textbox:#_x0000_s1042" inset=",.3mm,,.3mm">
              <w:txbxContent>
                <w:p w:rsidR="006D7D3F" w:rsidRDefault="006D7D3F">
                  <w:pPr>
                    <w:rPr>
                      <w:sz w:val="21"/>
                      <w:szCs w:val="21"/>
                    </w:rPr>
                  </w:pPr>
                  <w:r>
                    <w:rPr>
                      <w:rFonts w:hint="eastAsia"/>
                      <w:sz w:val="21"/>
                      <w:szCs w:val="21"/>
                    </w:rPr>
                    <w:t>车辆冲洗补充水</w:t>
                  </w:r>
                </w:p>
              </w:txbxContent>
            </v:textbox>
          </v:shape>
        </w:pict>
      </w:r>
      <w:r w:rsidRPr="00B95226">
        <w:rPr>
          <w:noProof/>
          <w:sz w:val="20"/>
        </w:rPr>
        <w:pict>
          <v:line id="_x0000_s3581" style="position:absolute;left:0;text-align:left;z-index:251639808;visibility:visible" from="490pt,0" to="5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" stroked="f"/>
        </w:pict>
      </w:r>
    </w:p>
    <w:p w:rsidR="00240BCE" w:rsidRDefault="00B95226">
      <w:pPr>
        <w:pStyle w:val="a1"/>
        <w:adjustRightInd w:val="0"/>
        <w:snapToGrid w:val="0"/>
        <w:spacing w:line="520" w:lineRule="exact"/>
      </w:pPr>
      <w:r>
        <w:rPr>
          <w:noProof/>
        </w:rPr>
        <w:pict>
          <v:line id="_x0000_s3580" style="position:absolute;left:0;text-align:left;z-index:251722752;visibility:visible" from="210.75pt,30.75pt" to="248.1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">
            <v:stroke endarrow="block"/>
          </v:line>
        </w:pict>
      </w:r>
      <w:r w:rsidRPr="00B95226">
        <w:rPr>
          <w:noProof/>
          <w:sz w:val="20"/>
        </w:rPr>
        <w:pict>
          <v:shape id="_x0000_s1043" type="#_x0000_t202" style="position:absolute;left:0;text-align:left;margin-left:163.6pt;margin-top:.45pt;width:30.6pt;height:15.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" filled="f" stroked="f">
            <v:textbox style="mso-next-textbox:#_x0000_s1043" inset="0,0,0,0">
              <w:txbxContent>
                <w:p w:rsidR="006D7D3F" w:rsidRDefault="006D7D3F">
                  <w:pPr>
                    <w:rPr>
                      <w:rFonts w:ascii="宋体" w:hAnsi="宋体"/>
                    </w:rPr>
                  </w:pPr>
                  <w:r>
                    <w:rPr>
                      <w:rFonts w:ascii="宋体" w:hAnsi="宋体" w:hint="eastAsia"/>
                      <w:sz w:val="21"/>
                      <w:szCs w:val="21"/>
                    </w:rPr>
                    <w:t>480</w:t>
                  </w:r>
                </w:p>
              </w:txbxContent>
            </v:textbox>
          </v:shape>
        </w:pict>
      </w:r>
      <w:r w:rsidRPr="00B95226">
        <w:rPr>
          <w:noProof/>
          <w:sz w:val="20"/>
        </w:rPr>
        <w:pict>
          <v:shape id="文本框 1210" o:spid="_x0000_s1044" type="#_x0000_t202" style="position:absolute;left:0;text-align:left;margin-left:-1.7pt;margin-top:.65pt;width:25.2pt;height:30.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" filled="f" stroked="f">
            <v:textbox style="mso-next-textbox:#文本框 1210" inset="0,0,0,0">
              <w:txbxContent>
                <w:p w:rsidR="006D7D3F" w:rsidRDefault="006D7D3F">
                  <w:pPr>
                    <w:jc w:val="center"/>
                    <w:rPr>
                      <w:sz w:val="21"/>
                      <w:szCs w:val="21"/>
                    </w:rPr>
                  </w:pPr>
                  <w:r>
                    <w:rPr>
                      <w:rFonts w:hint="eastAsia"/>
                      <w:sz w:val="21"/>
                      <w:szCs w:val="21"/>
                    </w:rPr>
                    <w:t>矿井水</w:t>
                  </w:r>
                </w:p>
              </w:txbxContent>
            </v:textbox>
          </v:shape>
        </w:pict>
      </w:r>
      <w:r w:rsidRPr="00B95226">
        <w:rPr>
          <w:noProof/>
          <w:sz w:val="20"/>
        </w:rPr>
        <w:pict>
          <v:line id="直线 1192" o:spid="_x0000_s3579" style="position:absolute;left:0;text-align:left;z-index:251658240;visibility:visible" from="30.3pt,19.25pt" to="96.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">
            <v:stroke endarrow="classic"/>
          </v:line>
        </w:pict>
      </w:r>
      <w:r w:rsidRPr="00B95226">
        <w:rPr>
          <w:noProof/>
          <w:sz w:val="20"/>
        </w:rPr>
        <w:pict>
          <v:shape id="文本框 1166" o:spid="_x0000_s1045" type="#_x0000_t202" style="position:absolute;left:0;text-align:left;margin-left:101.3pt;margin-top:1.4pt;width:47.25pt;height:32.4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" filled="f">
            <v:textbox style="mso-next-textbox:#文本框 1166" inset="0,0,0,0">
              <w:txbxContent>
                <w:p w:rsidR="006D7D3F" w:rsidRDefault="006D7D3F">
                  <w:pPr>
                    <w:jc w:val="center"/>
                    <w:rPr>
                      <w:sz w:val="21"/>
                      <w:szCs w:val="21"/>
                    </w:rPr>
                  </w:pPr>
                  <w:r>
                    <w:rPr>
                      <w:rFonts w:hint="eastAsia"/>
                      <w:sz w:val="21"/>
                      <w:szCs w:val="21"/>
                    </w:rPr>
                    <w:t>斜管</w:t>
                  </w:r>
                </w:p>
                <w:p w:rsidR="006D7D3F" w:rsidRDefault="006D7D3F">
                  <w:pPr>
                    <w:jc w:val="center"/>
                    <w:rPr>
                      <w:szCs w:val="21"/>
                    </w:rPr>
                  </w:pPr>
                  <w:r>
                    <w:rPr>
                      <w:rFonts w:hint="eastAsia"/>
                      <w:sz w:val="21"/>
                      <w:szCs w:val="21"/>
                    </w:rPr>
                    <w:t>沉淀池</w:t>
                  </w:r>
                </w:p>
              </w:txbxContent>
            </v:textbox>
          </v:shape>
        </w:pict>
      </w:r>
      <w:r w:rsidRPr="00B95226">
        <w:rPr>
          <w:noProof/>
          <w:sz w:val="20"/>
        </w:rPr>
        <w:pict>
          <v:line id="直线 1168" o:spid="_x0000_s3578" style="position:absolute;left:0;text-align:left;z-index:251644928;visibility:visible" from="153.75pt,17.1pt" to="206.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">
            <v:stroke endarrow="classic"/>
          </v:line>
        </w:pict>
      </w:r>
      <w:r w:rsidRPr="00B95226">
        <w:rPr>
          <w:noProof/>
          <w:sz w:val="20"/>
        </w:rPr>
        <w:pict>
          <v:shape id="文本框 1206" o:spid="_x0000_s1046" type="#_x0000_t202" style="position:absolute;left:0;text-align:left;margin-left:215.45pt;margin-top:17.6pt;width:28.35pt;height:16.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" filled="f" stroked="f">
            <v:textbox style="mso-next-textbox:#文本框 1206" inset="0,0,0,0">
              <w:txbxContent>
                <w:p w:rsidR="006D7D3F" w:rsidRDefault="006D7D3F">
                  <w:pPr>
                    <w:ind w:firstLineChars="50" w:firstLine="105"/>
                    <w:rPr>
                      <w:rFonts w:ascii="宋体" w:hAnsi="宋体"/>
                      <w:sz w:val="21"/>
                      <w:szCs w:val="21"/>
                    </w:rPr>
                  </w:pPr>
                  <w:r>
                    <w:rPr>
                      <w:rFonts w:ascii="宋体" w:hAnsi="宋体" w:hint="eastAsia"/>
                      <w:sz w:val="21"/>
                      <w:szCs w:val="21"/>
                    </w:rPr>
                    <w:t>36</w:t>
                  </w:r>
                </w:p>
              </w:txbxContent>
            </v:textbox>
          </v:shape>
        </w:pict>
      </w:r>
      <w:r w:rsidRPr="00B95226">
        <w:rPr>
          <w:noProof/>
          <w:sz w:val="20"/>
        </w:rPr>
        <w:pict>
          <v:shape id="文本框 1205" o:spid="_x0000_s1047" type="#_x0000_t202" style="position:absolute;left:0;text-align:left;margin-left:249pt;margin-top:26.15pt;width:129pt;height:19.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" filled="f" stroked="f">
            <v:textbox style="mso-next-textbox:#文本框 1205" inset=",.3mm,,.3mm">
              <w:txbxContent>
                <w:p w:rsidR="006D7D3F" w:rsidRDefault="006D7D3F">
                  <w:pPr>
                    <w:rPr>
                      <w:sz w:val="21"/>
                      <w:szCs w:val="21"/>
                    </w:rPr>
                  </w:pPr>
                  <w:r>
                    <w:rPr>
                      <w:rFonts w:hint="eastAsia"/>
                      <w:sz w:val="21"/>
                      <w:szCs w:val="21"/>
                    </w:rPr>
                    <w:t>空压机补充水</w:t>
                  </w:r>
                </w:p>
              </w:txbxContent>
            </v:textbox>
          </v:shape>
        </w:pict>
      </w:r>
      <w:r w:rsidRPr="00B95226">
        <w:rPr>
          <w:noProof/>
          <w:sz w:val="20"/>
        </w:rPr>
        <w:pict>
          <v:line id="直线 1198" o:spid="_x0000_s3577" style="position:absolute;left:0;text-align:left;z-index:251662336;visibility:visible" from="210pt,3pt" to="24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">
            <v:stroke endarrow="block"/>
          </v:line>
        </w:pict>
      </w:r>
      <w:r w:rsidRPr="00B95226">
        <w:rPr>
          <w:noProof/>
          <w:sz w:val="20"/>
        </w:rPr>
        <w:pict>
          <v:line id="_x0000_s3576" style="position:absolute;left:0;text-align:left;z-index:251640832;visibility:visible" from="596.35pt,5.65pt" to="596.3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" stroked="f"/>
        </w:pict>
      </w:r>
      <w:r w:rsidRPr="00B95226">
        <w:rPr>
          <w:noProof/>
          <w:sz w:val="20"/>
        </w:rPr>
        <w:pict>
          <v:line id="_x0000_s3575" style="position:absolute;left:0;text-align:left;z-index:251638784;visibility:visible" from="448pt,0" to="5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" stroked="f"/>
        </w:pict>
      </w:r>
      <w:r w:rsidR="00AC0334">
        <w:t xml:space="preserve">                                                                                     </w:t>
      </w:r>
    </w:p>
    <w:p w:rsidR="004303CD" w:rsidRDefault="00B95226">
      <w:pPr>
        <w:adjustRightInd w:val="0"/>
        <w:snapToGrid w:val="0"/>
        <w:spacing w:line="520" w:lineRule="exact"/>
      </w:pPr>
      <w:r>
        <w:rPr>
          <w:noProof/>
        </w:rPr>
        <w:pict>
          <v:shape id="_x0000_s1048" type="#_x0000_t202" style="position:absolute;left:0;text-align:left;margin-left:214.8pt;margin-top:10.45pt;width:28.35pt;height:16.1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" filled="f" stroked="f">
            <v:textbox style="mso-next-textbox:#_x0000_s1048" inset="0,0,0,0">
              <w:txbxContent>
                <w:p w:rsidR="006D7D3F" w:rsidRDefault="006D7D3F">
                  <w:pPr>
                    <w:ind w:firstLineChars="50" w:firstLine="105"/>
                    <w:rPr>
                      <w:rFonts w:ascii="宋体" w:hAnsi="宋体"/>
                      <w:sz w:val="21"/>
                      <w:szCs w:val="21"/>
                    </w:rPr>
                  </w:pPr>
                  <w:r>
                    <w:rPr>
                      <w:rFonts w:ascii="宋体" w:hAnsi="宋体" w:hint="eastAsia"/>
                      <w:sz w:val="21"/>
                      <w:szCs w:val="21"/>
                    </w:rPr>
                    <w:t>57.3</w:t>
                  </w:r>
                </w:p>
              </w:txbxContent>
            </v:textbox>
          </v:shape>
        </w:pict>
      </w:r>
      <w:r>
        <w:rPr>
          <w:noProof/>
        </w:rPr>
        <w:pict>
          <v:shape id="文本框 1170" o:spid="_x0000_s1049" type="#_x0000_t202" style="position:absolute;left:0;text-align:left;margin-left:248.9pt;margin-top:17.65pt;width:99.8pt;height:19.0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" filled="f" stroked="f">
            <v:textbox style="mso-next-textbox:#文本框 1170" inset=",.3mm,,.3mm">
              <w:txbxContent>
                <w:p w:rsidR="006D7D3F" w:rsidRDefault="006D7D3F">
                  <w:pPr>
                    <w:rPr>
                      <w:sz w:val="21"/>
                      <w:szCs w:val="21"/>
                    </w:rPr>
                  </w:pPr>
                  <w:r>
                    <w:rPr>
                      <w:rFonts w:hint="eastAsia"/>
                      <w:sz w:val="21"/>
                      <w:szCs w:val="21"/>
                    </w:rPr>
                    <w:t>储煤场防尘用水</w:t>
                  </w:r>
                </w:p>
              </w:txbxContent>
            </v:textbox>
          </v:shape>
        </w:pict>
      </w:r>
    </w:p>
    <w:p w:rsidR="00240BCE" w:rsidRDefault="00B95226">
      <w:pPr>
        <w:adjustRightInd w:val="0"/>
        <w:snapToGrid w:val="0"/>
        <w:spacing w:line="520" w:lineRule="exact"/>
      </w:pPr>
      <w:r>
        <w:rPr>
          <w:noProof/>
        </w:rPr>
        <w:pict>
          <v:shape id="文本框 1208" o:spid="_x0000_s1050" type="#_x0000_t202" style="position:absolute;left:0;text-align:left;margin-left:259.3pt;margin-top:20.15pt;width:152.75pt;height:34.6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" filled="f" stroked="f">
            <v:textbox style="mso-next-textbox:#文本框 1208" inset=",.3mm,,.3mm">
              <w:txbxContent>
                <w:p w:rsidR="006D7D3F" w:rsidRDefault="006D7D3F" w:rsidP="004303CD">
                  <w:pPr>
                    <w:rPr>
                      <w:sz w:val="21"/>
                      <w:szCs w:val="21"/>
                    </w:rPr>
                  </w:pPr>
                  <w:r>
                    <w:rPr>
                      <w:rFonts w:hint="eastAsia"/>
                      <w:sz w:val="21"/>
                      <w:szCs w:val="21"/>
                    </w:rPr>
                    <w:t>外排至赵沟河、纸坊水库，用周边农田灌溉用水及生态补水</w:t>
                  </w:r>
                </w:p>
                <w:p w:rsidR="006D7D3F" w:rsidRPr="004303CD" w:rsidRDefault="006D7D3F">
                  <w:pPr>
                    <w:rPr>
                      <w:sz w:val="21"/>
                      <w:szCs w:val="21"/>
                    </w:rPr>
                  </w:pPr>
                </w:p>
              </w:txbxContent>
            </v:textbox>
          </v:shape>
        </w:pict>
      </w:r>
      <w:r>
        <w:rPr>
          <w:noProof/>
        </w:rPr>
        <w:pict>
          <v:shape id="文本框 1209" o:spid="_x0000_s1051" type="#_x0000_t202" style="position:absolute;left:0;text-align:left;margin-left:210.45pt;margin-top:24.6pt;width:48.1pt;height:16.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" filled="f" stroked="f">
            <v:textbox style="mso-next-textbox:#文本框 1209" inset="0,0,0,0">
              <w:txbxContent>
                <w:p w:rsidR="006D7D3F" w:rsidRDefault="006D7D3F">
                  <w:pPr>
                    <w:ind w:firstLineChars="50" w:firstLine="105"/>
                    <w:rPr>
                      <w:rFonts w:ascii="宋体" w:hAnsi="宋体"/>
                      <w:sz w:val="21"/>
                      <w:szCs w:val="21"/>
                    </w:rPr>
                  </w:pPr>
                  <w:r>
                    <w:rPr>
                      <w:rFonts w:ascii="宋体" w:hAnsi="宋体" w:hint="eastAsia"/>
                      <w:sz w:val="21"/>
                      <w:szCs w:val="21"/>
                    </w:rPr>
                    <w:t>193.8</w:t>
                  </w:r>
                </w:p>
              </w:txbxContent>
            </v:textbox>
          </v:shape>
        </w:pict>
      </w:r>
      <w:r>
        <w:rPr>
          <w:noProof/>
        </w:rPr>
        <w:pict>
          <v:line id="_x0000_s3574" style="position:absolute;left:0;text-align:left;z-index:251667456;visibility:visible" from="210.05pt,.75pt" to="247.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">
            <v:stroke endarrow="block"/>
          </v:line>
        </w:pict>
      </w:r>
    </w:p>
    <w:p w:rsidR="00240BCE" w:rsidRDefault="00B95226">
      <w:pPr>
        <w:adjustRightInd w:val="0"/>
        <w:snapToGrid w:val="0"/>
        <w:spacing w:line="520" w:lineRule="exact"/>
      </w:pPr>
      <w:r>
        <w:rPr>
          <w:noProof/>
        </w:rPr>
        <w:pict>
          <v:line id="_x0000_s3573" style="position:absolute;left:0;text-align:left;z-index:251670528;visibility:visible" from="209.8pt,13pt" to="258.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">
            <v:stroke endarrow="block"/>
          </v:line>
        </w:pict>
      </w:r>
    </w:p>
    <w:p w:rsidR="00240BCE" w:rsidRDefault="00AC0334">
      <w:pPr>
        <w:adjustRightInd w:val="0"/>
        <w:snapToGrid w:val="0"/>
        <w:spacing w:line="520" w:lineRule="exact"/>
        <w:jc w:val="center"/>
        <w:rPr>
          <w:sz w:val="21"/>
          <w:szCs w:val="21"/>
        </w:rPr>
      </w:pPr>
      <w:r>
        <w:rPr>
          <w:rFonts w:eastAsia="黑体"/>
          <w:sz w:val="24"/>
        </w:rPr>
        <w:t>图</w:t>
      </w:r>
      <w:r>
        <w:rPr>
          <w:rFonts w:eastAsia="黑体"/>
          <w:sz w:val="24"/>
        </w:rPr>
        <w:t xml:space="preserve">3.1-1 </w:t>
      </w:r>
      <w:r>
        <w:rPr>
          <w:rFonts w:eastAsia="黑体"/>
          <w:sz w:val="24"/>
        </w:rPr>
        <w:t>升级改造前现有工程水平衡图</w:t>
      </w:r>
      <w:r>
        <w:rPr>
          <w:rFonts w:eastAsia="黑体"/>
          <w:sz w:val="24"/>
        </w:rPr>
        <w:t xml:space="preserve"> </w:t>
      </w:r>
      <w:r>
        <w:rPr>
          <w:sz w:val="21"/>
          <w:szCs w:val="21"/>
        </w:rPr>
        <w:t>(</w:t>
      </w:r>
      <w:r>
        <w:rPr>
          <w:sz w:val="21"/>
          <w:szCs w:val="21"/>
        </w:rPr>
        <w:t>单位：</w:t>
      </w:r>
      <w:r>
        <w:rPr>
          <w:sz w:val="21"/>
          <w:szCs w:val="21"/>
        </w:rPr>
        <w:t>m</w:t>
      </w:r>
      <w:r>
        <w:rPr>
          <w:sz w:val="21"/>
          <w:szCs w:val="21"/>
          <w:vertAlign w:val="superscript"/>
        </w:rPr>
        <w:t>3</w:t>
      </w:r>
      <w:r>
        <w:rPr>
          <w:sz w:val="21"/>
          <w:szCs w:val="21"/>
        </w:rPr>
        <w:t>/d)</w:t>
      </w:r>
    </w:p>
    <w:p w:rsidR="00240BCE" w:rsidRDefault="00AC0334">
      <w:pPr>
        <w:spacing w:line="520" w:lineRule="exact"/>
        <w:rPr>
          <w:sz w:val="24"/>
        </w:rPr>
      </w:pPr>
      <w:r>
        <w:rPr>
          <w:sz w:val="24"/>
        </w:rPr>
        <w:t>3.1.4.4</w:t>
      </w:r>
      <w:r>
        <w:rPr>
          <w:sz w:val="24"/>
        </w:rPr>
        <w:t>现有采暖、供热设施</w:t>
      </w:r>
    </w:p>
    <w:p w:rsidR="00240BCE" w:rsidRDefault="00AC0334">
      <w:pPr>
        <w:pStyle w:val="a1"/>
        <w:spacing w:line="520" w:lineRule="exact"/>
        <w:ind w:firstLineChars="200" w:firstLine="480"/>
        <w:rPr>
          <w:sz w:val="24"/>
        </w:rPr>
      </w:pPr>
      <w:r>
        <w:rPr>
          <w:sz w:val="24"/>
        </w:rPr>
        <w:t>现有工程井筒保温采用电加热热风机组；澡堂供热、办公室楼供暖采用电供暖</w:t>
      </w:r>
      <w:r w:rsidR="00C6168E">
        <w:rPr>
          <w:rFonts w:hint="eastAsia"/>
          <w:sz w:val="24"/>
        </w:rPr>
        <w:t>，食堂采用天然气</w:t>
      </w:r>
      <w:r>
        <w:rPr>
          <w:sz w:val="24"/>
        </w:rPr>
        <w:t>。</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31" w:name="_Toc163273172"/>
      <w:bookmarkStart w:id="232" w:name="_Toc79668621"/>
      <w:r>
        <w:rPr>
          <w:rFonts w:eastAsia="楷体"/>
          <w:sz w:val="28"/>
          <w:szCs w:val="28"/>
        </w:rPr>
        <w:t xml:space="preserve">3.1.5 </w:t>
      </w:r>
      <w:r>
        <w:rPr>
          <w:rFonts w:eastAsia="楷体"/>
          <w:sz w:val="28"/>
          <w:szCs w:val="28"/>
        </w:rPr>
        <w:t>升级改造前现有工程污染物排放情况及达标分析</w:t>
      </w:r>
      <w:bookmarkEnd w:id="231"/>
      <w:bookmarkEnd w:id="232"/>
    </w:p>
    <w:p w:rsidR="00240BCE" w:rsidRDefault="00AC0334">
      <w:pPr>
        <w:spacing w:line="520" w:lineRule="exact"/>
        <w:rPr>
          <w:sz w:val="24"/>
        </w:rPr>
      </w:pPr>
      <w:r>
        <w:rPr>
          <w:sz w:val="24"/>
        </w:rPr>
        <w:t>3.1.5.1</w:t>
      </w:r>
      <w:r>
        <w:rPr>
          <w:sz w:val="24"/>
        </w:rPr>
        <w:t>升级改造前大气污染源及治理措施</w:t>
      </w:r>
    </w:p>
    <w:p w:rsidR="00FE3D05" w:rsidRDefault="00AC0334" w:rsidP="00FE3D05">
      <w:pPr>
        <w:tabs>
          <w:tab w:val="left" w:pos="0"/>
        </w:tabs>
        <w:adjustRightInd w:val="0"/>
        <w:snapToGrid w:val="0"/>
        <w:spacing w:line="520" w:lineRule="exact"/>
        <w:ind w:firstLine="560"/>
        <w:rPr>
          <w:sz w:val="24"/>
        </w:rPr>
      </w:pPr>
      <w:r>
        <w:rPr>
          <w:sz w:val="24"/>
        </w:rPr>
        <w:t>技改前现有工程大气污染源主要是</w:t>
      </w:r>
      <w:r w:rsidR="00802A62">
        <w:rPr>
          <w:sz w:val="24"/>
        </w:rPr>
        <w:t>储煤库</w:t>
      </w:r>
      <w:r>
        <w:rPr>
          <w:sz w:val="24"/>
        </w:rPr>
        <w:t>的无组织粉尘、风井排风废气（主要污染物为粉尘颗粒物）</w:t>
      </w:r>
      <w:r w:rsidR="00FE3D05">
        <w:rPr>
          <w:rFonts w:hint="eastAsia"/>
          <w:sz w:val="24"/>
        </w:rPr>
        <w:t>、食堂油烟</w:t>
      </w:r>
      <w:r>
        <w:rPr>
          <w:sz w:val="24"/>
        </w:rPr>
        <w:t>及运煤道路无组织扬尘。</w:t>
      </w:r>
    </w:p>
    <w:p w:rsidR="00240BCE" w:rsidRDefault="00AC0334" w:rsidP="00FE3D05">
      <w:pPr>
        <w:tabs>
          <w:tab w:val="left" w:pos="0"/>
        </w:tabs>
        <w:adjustRightInd w:val="0"/>
        <w:snapToGrid w:val="0"/>
        <w:spacing w:line="520" w:lineRule="exact"/>
        <w:ind w:firstLine="560"/>
        <w:rPr>
          <w:sz w:val="24"/>
        </w:rPr>
      </w:pPr>
      <w:r>
        <w:rPr>
          <w:sz w:val="24"/>
        </w:rPr>
        <w:lastRenderedPageBreak/>
        <w:t>1</w:t>
      </w:r>
      <w:r>
        <w:rPr>
          <w:sz w:val="24"/>
        </w:rPr>
        <w:t>、</w:t>
      </w:r>
      <w:r w:rsidR="009D7F5F">
        <w:rPr>
          <w:rFonts w:hint="eastAsia"/>
          <w:sz w:val="24"/>
        </w:rPr>
        <w:t>皮带转运、</w:t>
      </w:r>
      <w:r w:rsidR="00802A62">
        <w:rPr>
          <w:sz w:val="24"/>
        </w:rPr>
        <w:t>储煤库</w:t>
      </w:r>
      <w:r>
        <w:rPr>
          <w:sz w:val="24"/>
        </w:rPr>
        <w:t>扬尘</w:t>
      </w:r>
    </w:p>
    <w:p w:rsidR="00240BCE" w:rsidRDefault="00AC0334">
      <w:pPr>
        <w:pStyle w:val="a2"/>
        <w:adjustRightInd w:val="0"/>
        <w:snapToGrid w:val="0"/>
        <w:spacing w:line="520" w:lineRule="exact"/>
        <w:ind w:firstLineChars="0" w:firstLine="560"/>
        <w:rPr>
          <w:sz w:val="24"/>
        </w:rPr>
      </w:pPr>
      <w:r>
        <w:rPr>
          <w:sz w:val="24"/>
        </w:rPr>
        <w:t>原煤皮带转运、</w:t>
      </w:r>
      <w:r w:rsidR="00802A62">
        <w:rPr>
          <w:sz w:val="24"/>
        </w:rPr>
        <w:t>储煤库</w:t>
      </w:r>
      <w:r>
        <w:rPr>
          <w:sz w:val="24"/>
        </w:rPr>
        <w:t>储煤过程产生的污染物主要为粉尘颗粒物（</w:t>
      </w:r>
      <w:r>
        <w:rPr>
          <w:sz w:val="24"/>
        </w:rPr>
        <w:t>TSP</w:t>
      </w:r>
      <w:r>
        <w:rPr>
          <w:sz w:val="24"/>
        </w:rPr>
        <w:t>），排放方式为无组织排放。根据现场调查，原煤输送全部采用封闭式皮带廊道密闭作业，</w:t>
      </w:r>
      <w:r w:rsidR="00802A62">
        <w:rPr>
          <w:sz w:val="24"/>
        </w:rPr>
        <w:t>储煤库</w:t>
      </w:r>
      <w:r>
        <w:rPr>
          <w:sz w:val="24"/>
        </w:rPr>
        <w:t>为全封闭钢结构，顶部设有喷雾洒水装置，且落煤处设置洒水喷头</w:t>
      </w:r>
      <w:r>
        <w:rPr>
          <w:sz w:val="24"/>
        </w:rPr>
        <w:t>1</w:t>
      </w:r>
      <w:r>
        <w:rPr>
          <w:sz w:val="24"/>
        </w:rPr>
        <w:t>个。储煤棚占地面积</w:t>
      </w:r>
      <w:r>
        <w:rPr>
          <w:rFonts w:hint="eastAsia"/>
          <w:sz w:val="24"/>
        </w:rPr>
        <w:t>12</w:t>
      </w:r>
      <w:r>
        <w:rPr>
          <w:sz w:val="24"/>
        </w:rPr>
        <w:t>00m</w:t>
      </w:r>
      <w:r>
        <w:rPr>
          <w:sz w:val="24"/>
          <w:vertAlign w:val="superscript"/>
        </w:rPr>
        <w:t>2</w:t>
      </w:r>
      <w:r>
        <w:rPr>
          <w:sz w:val="24"/>
        </w:rPr>
        <w:t>，类比同规模矿山数据，输送至筛分楼筛分后至</w:t>
      </w:r>
      <w:r w:rsidR="00802A62">
        <w:rPr>
          <w:sz w:val="24"/>
        </w:rPr>
        <w:t>储煤库</w:t>
      </w:r>
      <w:r>
        <w:rPr>
          <w:sz w:val="24"/>
        </w:rPr>
        <w:t>整个过程粉尘颗粒物的产生量</w:t>
      </w:r>
      <w:r>
        <w:rPr>
          <w:sz w:val="24"/>
        </w:rPr>
        <w:t>0.04t/d</w:t>
      </w:r>
      <w:r>
        <w:rPr>
          <w:sz w:val="24"/>
        </w:rPr>
        <w:t>（</w:t>
      </w:r>
      <w:r>
        <w:rPr>
          <w:sz w:val="24"/>
        </w:rPr>
        <w:t>13.2t/a</w:t>
      </w:r>
      <w:r>
        <w:rPr>
          <w:sz w:val="24"/>
        </w:rPr>
        <w:t>）。喷雾洒水湿法作业的降尘效率在</w:t>
      </w:r>
      <w:r>
        <w:rPr>
          <w:sz w:val="24"/>
        </w:rPr>
        <w:t>90%</w:t>
      </w:r>
      <w:r>
        <w:rPr>
          <w:sz w:val="24"/>
        </w:rPr>
        <w:t>以上，因此储煤棚粉尘颗粒物的排放量为</w:t>
      </w:r>
      <w:r>
        <w:rPr>
          <w:sz w:val="24"/>
        </w:rPr>
        <w:t>0.004t/d</w:t>
      </w:r>
      <w:r>
        <w:rPr>
          <w:sz w:val="24"/>
        </w:rPr>
        <w:t>（</w:t>
      </w:r>
      <w:r>
        <w:rPr>
          <w:sz w:val="24"/>
        </w:rPr>
        <w:t>1.32t/a</w:t>
      </w:r>
      <w:r>
        <w:rPr>
          <w:sz w:val="24"/>
        </w:rPr>
        <w:t>）。</w:t>
      </w:r>
    </w:p>
    <w:p w:rsidR="00240BCE" w:rsidRDefault="00AC0334">
      <w:pPr>
        <w:pStyle w:val="a2"/>
        <w:adjustRightInd w:val="0"/>
        <w:snapToGrid w:val="0"/>
        <w:spacing w:line="520" w:lineRule="exact"/>
        <w:ind w:firstLineChars="0" w:firstLine="560"/>
        <w:rPr>
          <w:rFonts w:eastAsia="黑体"/>
          <w:sz w:val="24"/>
        </w:rPr>
      </w:pPr>
      <w:r>
        <w:rPr>
          <w:sz w:val="24"/>
        </w:rPr>
        <w:t>根据河南正捷检测技术有限公司</w:t>
      </w:r>
      <w:r>
        <w:rPr>
          <w:sz w:val="24"/>
        </w:rPr>
        <w:t>2020</w:t>
      </w:r>
      <w:r>
        <w:rPr>
          <w:sz w:val="24"/>
        </w:rPr>
        <w:t>年</w:t>
      </w:r>
      <w:r>
        <w:rPr>
          <w:sz w:val="24"/>
        </w:rPr>
        <w:t>8</w:t>
      </w:r>
      <w:r>
        <w:rPr>
          <w:sz w:val="24"/>
        </w:rPr>
        <w:t>月</w:t>
      </w:r>
      <w:r>
        <w:rPr>
          <w:sz w:val="24"/>
        </w:rPr>
        <w:t>30</w:t>
      </w:r>
      <w:r>
        <w:rPr>
          <w:sz w:val="24"/>
        </w:rPr>
        <w:t>日</w:t>
      </w:r>
      <w:r>
        <w:rPr>
          <w:sz w:val="24"/>
        </w:rPr>
        <w:t>~8</w:t>
      </w:r>
      <w:r>
        <w:rPr>
          <w:sz w:val="24"/>
        </w:rPr>
        <w:t>月</w:t>
      </w:r>
      <w:r>
        <w:rPr>
          <w:sz w:val="24"/>
        </w:rPr>
        <w:t>31</w:t>
      </w:r>
      <w:r>
        <w:rPr>
          <w:sz w:val="24"/>
        </w:rPr>
        <w:t>日监测数据（见表</w:t>
      </w:r>
      <w:r>
        <w:rPr>
          <w:sz w:val="24"/>
        </w:rPr>
        <w:t>3.1-</w:t>
      </w:r>
      <w:r w:rsidR="006E2C96">
        <w:rPr>
          <w:rFonts w:hint="eastAsia"/>
          <w:sz w:val="24"/>
        </w:rPr>
        <w:t>4</w:t>
      </w:r>
      <w:r>
        <w:rPr>
          <w:sz w:val="24"/>
        </w:rPr>
        <w:t>及附件</w:t>
      </w:r>
      <w:r>
        <w:rPr>
          <w:sz w:val="24"/>
        </w:rPr>
        <w:t>1</w:t>
      </w:r>
      <w:r w:rsidR="00FB62CA">
        <w:rPr>
          <w:rFonts w:hint="eastAsia"/>
          <w:sz w:val="24"/>
        </w:rPr>
        <w:t>9</w:t>
      </w:r>
      <w:r>
        <w:rPr>
          <w:sz w:val="24"/>
        </w:rPr>
        <w:t>）可知，</w:t>
      </w:r>
      <w:r w:rsidR="00802A62">
        <w:rPr>
          <w:sz w:val="24"/>
        </w:rPr>
        <w:t>储煤库</w:t>
      </w:r>
      <w:r>
        <w:rPr>
          <w:sz w:val="24"/>
        </w:rPr>
        <w:t>颗粒物无组织排放监控浓度均能满足《煤炭工业污染物排放标准》（</w:t>
      </w:r>
      <w:r>
        <w:rPr>
          <w:sz w:val="24"/>
        </w:rPr>
        <w:t>GB20426-2006</w:t>
      </w:r>
      <w:r>
        <w:rPr>
          <w:sz w:val="24"/>
        </w:rPr>
        <w:t>）表</w:t>
      </w:r>
      <w:r>
        <w:rPr>
          <w:sz w:val="24"/>
        </w:rPr>
        <w:t>5</w:t>
      </w:r>
      <w:r>
        <w:rPr>
          <w:sz w:val="24"/>
        </w:rPr>
        <w:t>煤炭工业无组织排放限值要求。</w:t>
      </w:r>
    </w:p>
    <w:p w:rsidR="00240BCE" w:rsidRDefault="00AC0334">
      <w:pPr>
        <w:adjustRightInd w:val="0"/>
        <w:snapToGrid w:val="0"/>
        <w:spacing w:line="520" w:lineRule="exact"/>
        <w:jc w:val="center"/>
        <w:rPr>
          <w:b/>
          <w:bCs/>
          <w:sz w:val="24"/>
        </w:rPr>
      </w:pPr>
      <w:r>
        <w:rPr>
          <w:rFonts w:eastAsia="黑体"/>
          <w:sz w:val="24"/>
        </w:rPr>
        <w:t>表</w:t>
      </w:r>
      <w:r>
        <w:rPr>
          <w:rFonts w:eastAsia="黑体"/>
          <w:sz w:val="24"/>
        </w:rPr>
        <w:t>3.1-</w:t>
      </w:r>
      <w:r w:rsidR="006E2C96">
        <w:rPr>
          <w:rFonts w:eastAsia="黑体" w:hint="eastAsia"/>
          <w:sz w:val="24"/>
        </w:rPr>
        <w:t>4</w:t>
      </w:r>
      <w:r>
        <w:rPr>
          <w:rFonts w:eastAsia="黑体"/>
          <w:sz w:val="24"/>
        </w:rPr>
        <w:t xml:space="preserve">  </w:t>
      </w:r>
      <w:r w:rsidR="00802A62">
        <w:rPr>
          <w:b/>
          <w:bCs/>
          <w:sz w:val="24"/>
        </w:rPr>
        <w:t>储煤库</w:t>
      </w:r>
      <w:r>
        <w:rPr>
          <w:b/>
          <w:bCs/>
          <w:sz w:val="24"/>
        </w:rPr>
        <w:t>无组织排放监测结果一览</w:t>
      </w:r>
      <w:r>
        <w:rPr>
          <w:b/>
          <w:bCs/>
          <w:sz w:val="24"/>
        </w:rPr>
        <w:t xml:space="preserve">   </w:t>
      </w:r>
      <w:r>
        <w:rPr>
          <w:b/>
          <w:bCs/>
          <w:sz w:val="24"/>
        </w:rPr>
        <w:t>（单位</w:t>
      </w:r>
      <w:r>
        <w:rPr>
          <w:b/>
          <w:bCs/>
          <w:sz w:val="24"/>
        </w:rPr>
        <w:t>mg/m</w:t>
      </w:r>
      <w:r>
        <w:rPr>
          <w:b/>
          <w:bCs/>
          <w:sz w:val="24"/>
          <w:vertAlign w:val="superscript"/>
        </w:rPr>
        <w:t>3</w:t>
      </w:r>
      <w:r>
        <w:rPr>
          <w:b/>
          <w:bCs/>
          <w:sz w:val="24"/>
        </w:rPr>
        <w:t>）</w:t>
      </w:r>
    </w:p>
    <w:tbl>
      <w:tblPr>
        <w:tblW w:w="4942" w:type="pct"/>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1291"/>
        <w:gridCol w:w="1426"/>
        <w:gridCol w:w="1906"/>
        <w:gridCol w:w="1906"/>
        <w:gridCol w:w="1906"/>
      </w:tblGrid>
      <w:tr w:rsidR="00240BCE">
        <w:trPr>
          <w:cantSplit/>
        </w:trPr>
        <w:tc>
          <w:tcPr>
            <w:tcW w:w="765" w:type="pct"/>
            <w:vMerge w:val="restart"/>
            <w:tcBorders>
              <w:top w:val="single" w:sz="12" w:space="0" w:color="auto"/>
              <w:left w:val="single" w:sz="12" w:space="0" w:color="auto"/>
              <w:bottom w:val="single" w:sz="4" w:space="0" w:color="auto"/>
              <w:right w:val="single" w:sz="4" w:space="0" w:color="auto"/>
            </w:tcBorders>
            <w:vAlign w:val="center"/>
          </w:tcPr>
          <w:p w:rsidR="00240BCE" w:rsidRDefault="00802A62">
            <w:pPr>
              <w:spacing w:line="280" w:lineRule="exact"/>
              <w:jc w:val="center"/>
              <w:rPr>
                <w:sz w:val="21"/>
                <w:szCs w:val="21"/>
              </w:rPr>
            </w:pPr>
            <w:r>
              <w:rPr>
                <w:sz w:val="21"/>
                <w:szCs w:val="21"/>
              </w:rPr>
              <w:t>储煤库</w:t>
            </w:r>
          </w:p>
        </w:tc>
        <w:tc>
          <w:tcPr>
            <w:tcW w:w="845" w:type="pct"/>
            <w:tcBorders>
              <w:top w:val="single" w:sz="12" w:space="0" w:color="auto"/>
              <w:left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监测时间</w:t>
            </w:r>
          </w:p>
        </w:tc>
        <w:tc>
          <w:tcPr>
            <w:tcW w:w="1130" w:type="pct"/>
            <w:tcBorders>
              <w:top w:val="single" w:sz="12" w:space="0" w:color="auto"/>
              <w:left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监测点位</w:t>
            </w:r>
          </w:p>
        </w:tc>
        <w:tc>
          <w:tcPr>
            <w:tcW w:w="1130" w:type="pct"/>
            <w:tcBorders>
              <w:top w:val="single" w:sz="12" w:space="0" w:color="auto"/>
              <w:left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监测结果</w:t>
            </w:r>
          </w:p>
        </w:tc>
        <w:tc>
          <w:tcPr>
            <w:tcW w:w="1129" w:type="pct"/>
            <w:tcBorders>
              <w:top w:val="single" w:sz="12" w:space="0" w:color="auto"/>
              <w:left w:val="single" w:sz="4" w:space="0" w:color="auto"/>
              <w:right w:val="single" w:sz="12" w:space="0" w:color="auto"/>
            </w:tcBorders>
            <w:vAlign w:val="center"/>
          </w:tcPr>
          <w:p w:rsidR="00240BCE" w:rsidRDefault="00AC0334">
            <w:pPr>
              <w:spacing w:line="280" w:lineRule="exact"/>
              <w:jc w:val="center"/>
              <w:rPr>
                <w:sz w:val="21"/>
                <w:szCs w:val="21"/>
              </w:rPr>
            </w:pPr>
            <w:r>
              <w:rPr>
                <w:sz w:val="21"/>
                <w:szCs w:val="21"/>
              </w:rPr>
              <w:t>浓度差值</w:t>
            </w:r>
          </w:p>
        </w:tc>
      </w:tr>
      <w:tr w:rsidR="00240BCE">
        <w:trPr>
          <w:cantSplit/>
        </w:trPr>
        <w:tc>
          <w:tcPr>
            <w:tcW w:w="765" w:type="pct"/>
            <w:vMerge/>
            <w:tcBorders>
              <w:top w:val="single" w:sz="12" w:space="0" w:color="auto"/>
              <w:left w:val="single" w:sz="12" w:space="0" w:color="auto"/>
              <w:bottom w:val="single" w:sz="4" w:space="0" w:color="auto"/>
              <w:right w:val="single" w:sz="4" w:space="0" w:color="auto"/>
            </w:tcBorders>
            <w:vAlign w:val="center"/>
          </w:tcPr>
          <w:p w:rsidR="00240BCE" w:rsidRDefault="00240BCE">
            <w:pPr>
              <w:widowControl/>
              <w:jc w:val="left"/>
              <w:rPr>
                <w:sz w:val="21"/>
                <w:szCs w:val="21"/>
              </w:rPr>
            </w:pPr>
          </w:p>
        </w:tc>
        <w:tc>
          <w:tcPr>
            <w:tcW w:w="845" w:type="pct"/>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2020.8.30</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上风向</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widowControl/>
              <w:jc w:val="center"/>
              <w:rPr>
                <w:kern w:val="0"/>
                <w:sz w:val="21"/>
                <w:szCs w:val="21"/>
              </w:rPr>
            </w:pPr>
            <w:r>
              <w:rPr>
                <w:sz w:val="21"/>
                <w:szCs w:val="21"/>
              </w:rPr>
              <w:t>0.150</w:t>
            </w:r>
            <w:r>
              <w:rPr>
                <w:sz w:val="21"/>
                <w:szCs w:val="21"/>
              </w:rPr>
              <w:t>～</w:t>
            </w:r>
            <w:r>
              <w:rPr>
                <w:sz w:val="21"/>
                <w:szCs w:val="21"/>
              </w:rPr>
              <w:t>0.184</w:t>
            </w:r>
          </w:p>
        </w:tc>
        <w:tc>
          <w:tcPr>
            <w:tcW w:w="1129" w:type="pct"/>
            <w:tcBorders>
              <w:top w:val="single" w:sz="4" w:space="0" w:color="auto"/>
              <w:left w:val="single" w:sz="4" w:space="0" w:color="auto"/>
              <w:bottom w:val="single" w:sz="4" w:space="0" w:color="auto"/>
              <w:right w:val="single" w:sz="12" w:space="0" w:color="auto"/>
            </w:tcBorders>
          </w:tcPr>
          <w:p w:rsidR="00240BCE" w:rsidRDefault="00AC0334">
            <w:pPr>
              <w:spacing w:line="280" w:lineRule="exact"/>
              <w:jc w:val="center"/>
              <w:rPr>
                <w:sz w:val="21"/>
                <w:szCs w:val="21"/>
              </w:rPr>
            </w:pPr>
            <w:r>
              <w:rPr>
                <w:sz w:val="21"/>
                <w:szCs w:val="21"/>
              </w:rPr>
              <w:t>/</w:t>
            </w:r>
          </w:p>
        </w:tc>
      </w:tr>
      <w:tr w:rsidR="00240BCE">
        <w:trPr>
          <w:cantSplit/>
        </w:trPr>
        <w:tc>
          <w:tcPr>
            <w:tcW w:w="765" w:type="pct"/>
            <w:vMerge/>
            <w:tcBorders>
              <w:top w:val="single" w:sz="12" w:space="0" w:color="auto"/>
              <w:left w:val="single" w:sz="12" w:space="0" w:color="auto"/>
              <w:bottom w:val="single" w:sz="4" w:space="0" w:color="auto"/>
              <w:right w:val="single" w:sz="4" w:space="0" w:color="auto"/>
            </w:tcBorders>
            <w:vAlign w:val="center"/>
          </w:tcPr>
          <w:p w:rsidR="00240BCE" w:rsidRDefault="00240BCE">
            <w:pPr>
              <w:widowControl/>
              <w:jc w:val="left"/>
              <w:rPr>
                <w:sz w:val="21"/>
                <w:szCs w:val="21"/>
              </w:rPr>
            </w:pPr>
          </w:p>
        </w:tc>
        <w:tc>
          <w:tcPr>
            <w:tcW w:w="845"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sz w:val="21"/>
                <w:szCs w:val="21"/>
              </w:rPr>
            </w:pP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下风向</w:t>
            </w:r>
            <w:r>
              <w:rPr>
                <w:sz w:val="21"/>
                <w:szCs w:val="21"/>
              </w:rPr>
              <w:t>1</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0.267</w:t>
            </w:r>
            <w:r>
              <w:rPr>
                <w:sz w:val="21"/>
                <w:szCs w:val="21"/>
              </w:rPr>
              <w:t>～</w:t>
            </w:r>
            <w:r>
              <w:rPr>
                <w:sz w:val="21"/>
                <w:szCs w:val="21"/>
              </w:rPr>
              <w:t>0.317</w:t>
            </w:r>
          </w:p>
        </w:tc>
        <w:tc>
          <w:tcPr>
            <w:tcW w:w="1129" w:type="pct"/>
            <w:tcBorders>
              <w:top w:val="single" w:sz="4" w:space="0" w:color="auto"/>
              <w:left w:val="single" w:sz="4" w:space="0" w:color="auto"/>
              <w:bottom w:val="single" w:sz="4" w:space="0" w:color="auto"/>
              <w:right w:val="single" w:sz="12" w:space="0" w:color="auto"/>
            </w:tcBorders>
          </w:tcPr>
          <w:p w:rsidR="00240BCE" w:rsidRDefault="00AC0334">
            <w:pPr>
              <w:spacing w:line="280" w:lineRule="exact"/>
              <w:jc w:val="center"/>
              <w:rPr>
                <w:sz w:val="21"/>
                <w:szCs w:val="21"/>
              </w:rPr>
            </w:pPr>
            <w:r>
              <w:rPr>
                <w:sz w:val="21"/>
                <w:szCs w:val="21"/>
              </w:rPr>
              <w:t>0.117</w:t>
            </w:r>
            <w:r>
              <w:rPr>
                <w:sz w:val="21"/>
                <w:szCs w:val="21"/>
              </w:rPr>
              <w:t>～</w:t>
            </w:r>
            <w:r>
              <w:rPr>
                <w:sz w:val="21"/>
                <w:szCs w:val="21"/>
              </w:rPr>
              <w:t>0.167</w:t>
            </w:r>
          </w:p>
        </w:tc>
      </w:tr>
      <w:tr w:rsidR="00240BCE">
        <w:trPr>
          <w:cantSplit/>
        </w:trPr>
        <w:tc>
          <w:tcPr>
            <w:tcW w:w="765" w:type="pct"/>
            <w:vMerge/>
            <w:tcBorders>
              <w:top w:val="single" w:sz="12" w:space="0" w:color="auto"/>
              <w:left w:val="single" w:sz="12" w:space="0" w:color="auto"/>
              <w:bottom w:val="single" w:sz="4" w:space="0" w:color="auto"/>
              <w:right w:val="single" w:sz="4" w:space="0" w:color="auto"/>
            </w:tcBorders>
            <w:vAlign w:val="center"/>
          </w:tcPr>
          <w:p w:rsidR="00240BCE" w:rsidRDefault="00240BCE">
            <w:pPr>
              <w:widowControl/>
              <w:jc w:val="left"/>
              <w:rPr>
                <w:sz w:val="21"/>
                <w:szCs w:val="21"/>
              </w:rPr>
            </w:pPr>
          </w:p>
        </w:tc>
        <w:tc>
          <w:tcPr>
            <w:tcW w:w="845"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sz w:val="21"/>
                <w:szCs w:val="21"/>
              </w:rPr>
            </w:pP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下风向</w:t>
            </w:r>
            <w:r>
              <w:rPr>
                <w:sz w:val="21"/>
                <w:szCs w:val="21"/>
              </w:rPr>
              <w:t>2</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0.301</w:t>
            </w:r>
            <w:r>
              <w:rPr>
                <w:sz w:val="21"/>
                <w:szCs w:val="21"/>
              </w:rPr>
              <w:t>～</w:t>
            </w:r>
            <w:r>
              <w:rPr>
                <w:sz w:val="21"/>
                <w:szCs w:val="21"/>
              </w:rPr>
              <w:t>0.367</w:t>
            </w:r>
          </w:p>
        </w:tc>
        <w:tc>
          <w:tcPr>
            <w:tcW w:w="1129" w:type="pct"/>
            <w:tcBorders>
              <w:top w:val="single" w:sz="4" w:space="0" w:color="auto"/>
              <w:left w:val="single" w:sz="4" w:space="0" w:color="auto"/>
              <w:bottom w:val="single" w:sz="4" w:space="0" w:color="auto"/>
              <w:right w:val="single" w:sz="12" w:space="0" w:color="auto"/>
            </w:tcBorders>
          </w:tcPr>
          <w:p w:rsidR="00240BCE" w:rsidRDefault="00AC0334">
            <w:pPr>
              <w:spacing w:line="280" w:lineRule="exact"/>
              <w:jc w:val="center"/>
              <w:rPr>
                <w:sz w:val="21"/>
                <w:szCs w:val="21"/>
              </w:rPr>
            </w:pPr>
            <w:r>
              <w:rPr>
                <w:sz w:val="21"/>
                <w:szCs w:val="21"/>
              </w:rPr>
              <w:t>0.151</w:t>
            </w:r>
            <w:r>
              <w:rPr>
                <w:sz w:val="21"/>
                <w:szCs w:val="21"/>
              </w:rPr>
              <w:t>～</w:t>
            </w:r>
            <w:r>
              <w:rPr>
                <w:sz w:val="21"/>
                <w:szCs w:val="21"/>
              </w:rPr>
              <w:t>0.217</w:t>
            </w:r>
          </w:p>
        </w:tc>
      </w:tr>
      <w:tr w:rsidR="00240BCE">
        <w:trPr>
          <w:cantSplit/>
        </w:trPr>
        <w:tc>
          <w:tcPr>
            <w:tcW w:w="765" w:type="pct"/>
            <w:vMerge/>
            <w:tcBorders>
              <w:top w:val="single" w:sz="12" w:space="0" w:color="auto"/>
              <w:left w:val="single" w:sz="12" w:space="0" w:color="auto"/>
              <w:bottom w:val="single" w:sz="4" w:space="0" w:color="auto"/>
              <w:right w:val="single" w:sz="4" w:space="0" w:color="auto"/>
            </w:tcBorders>
            <w:vAlign w:val="center"/>
          </w:tcPr>
          <w:p w:rsidR="00240BCE" w:rsidRDefault="00240BCE">
            <w:pPr>
              <w:widowControl/>
              <w:jc w:val="left"/>
              <w:rPr>
                <w:sz w:val="21"/>
                <w:szCs w:val="21"/>
              </w:rPr>
            </w:pPr>
          </w:p>
        </w:tc>
        <w:tc>
          <w:tcPr>
            <w:tcW w:w="845"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sz w:val="21"/>
                <w:szCs w:val="21"/>
              </w:rPr>
            </w:pP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下风向</w:t>
            </w:r>
            <w:r>
              <w:rPr>
                <w:sz w:val="21"/>
                <w:szCs w:val="21"/>
              </w:rPr>
              <w:t>3</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0.284</w:t>
            </w:r>
            <w:r>
              <w:rPr>
                <w:sz w:val="21"/>
                <w:szCs w:val="21"/>
              </w:rPr>
              <w:t>～</w:t>
            </w:r>
            <w:r>
              <w:rPr>
                <w:sz w:val="21"/>
                <w:szCs w:val="21"/>
              </w:rPr>
              <w:t>0.335</w:t>
            </w:r>
          </w:p>
        </w:tc>
        <w:tc>
          <w:tcPr>
            <w:tcW w:w="1129" w:type="pct"/>
            <w:tcBorders>
              <w:top w:val="single" w:sz="4" w:space="0" w:color="auto"/>
              <w:left w:val="single" w:sz="4" w:space="0" w:color="auto"/>
              <w:bottom w:val="single" w:sz="4" w:space="0" w:color="auto"/>
              <w:right w:val="single" w:sz="12" w:space="0" w:color="auto"/>
            </w:tcBorders>
          </w:tcPr>
          <w:p w:rsidR="00240BCE" w:rsidRDefault="00AC0334">
            <w:pPr>
              <w:spacing w:line="280" w:lineRule="exact"/>
              <w:jc w:val="center"/>
              <w:rPr>
                <w:sz w:val="21"/>
                <w:szCs w:val="21"/>
              </w:rPr>
            </w:pPr>
            <w:r>
              <w:rPr>
                <w:sz w:val="21"/>
                <w:szCs w:val="21"/>
              </w:rPr>
              <w:t>0.134</w:t>
            </w:r>
            <w:r>
              <w:rPr>
                <w:sz w:val="21"/>
                <w:szCs w:val="21"/>
              </w:rPr>
              <w:t>～</w:t>
            </w:r>
            <w:r>
              <w:rPr>
                <w:sz w:val="21"/>
                <w:szCs w:val="21"/>
              </w:rPr>
              <w:t>0.185</w:t>
            </w:r>
          </w:p>
        </w:tc>
      </w:tr>
      <w:tr w:rsidR="00240BCE">
        <w:trPr>
          <w:cantSplit/>
        </w:trPr>
        <w:tc>
          <w:tcPr>
            <w:tcW w:w="765" w:type="pct"/>
            <w:vMerge/>
            <w:tcBorders>
              <w:top w:val="single" w:sz="12" w:space="0" w:color="auto"/>
              <w:left w:val="single" w:sz="12" w:space="0" w:color="auto"/>
              <w:bottom w:val="single" w:sz="4" w:space="0" w:color="auto"/>
              <w:right w:val="single" w:sz="4" w:space="0" w:color="auto"/>
            </w:tcBorders>
            <w:vAlign w:val="center"/>
          </w:tcPr>
          <w:p w:rsidR="00240BCE" w:rsidRDefault="00240BCE">
            <w:pPr>
              <w:widowControl/>
              <w:jc w:val="left"/>
              <w:rPr>
                <w:sz w:val="21"/>
                <w:szCs w:val="21"/>
              </w:rPr>
            </w:pPr>
          </w:p>
        </w:tc>
        <w:tc>
          <w:tcPr>
            <w:tcW w:w="845" w:type="pct"/>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2020.8.31</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上风向</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widowControl/>
              <w:jc w:val="center"/>
              <w:rPr>
                <w:kern w:val="0"/>
                <w:sz w:val="21"/>
                <w:szCs w:val="21"/>
              </w:rPr>
            </w:pPr>
            <w:r>
              <w:rPr>
                <w:sz w:val="21"/>
                <w:szCs w:val="21"/>
              </w:rPr>
              <w:t>0.133</w:t>
            </w:r>
            <w:r>
              <w:rPr>
                <w:sz w:val="21"/>
                <w:szCs w:val="21"/>
              </w:rPr>
              <w:t>～</w:t>
            </w:r>
            <w:r>
              <w:rPr>
                <w:sz w:val="21"/>
                <w:szCs w:val="21"/>
              </w:rPr>
              <w:t>0.183</w:t>
            </w:r>
          </w:p>
        </w:tc>
        <w:tc>
          <w:tcPr>
            <w:tcW w:w="1129" w:type="pct"/>
            <w:tcBorders>
              <w:top w:val="single" w:sz="4" w:space="0" w:color="auto"/>
              <w:left w:val="single" w:sz="4" w:space="0" w:color="auto"/>
              <w:bottom w:val="single" w:sz="4" w:space="0" w:color="auto"/>
              <w:right w:val="single" w:sz="12" w:space="0" w:color="auto"/>
            </w:tcBorders>
          </w:tcPr>
          <w:p w:rsidR="00240BCE" w:rsidRDefault="00AC0334">
            <w:pPr>
              <w:spacing w:line="280" w:lineRule="exact"/>
              <w:jc w:val="center"/>
              <w:rPr>
                <w:sz w:val="21"/>
                <w:szCs w:val="21"/>
              </w:rPr>
            </w:pPr>
            <w:r>
              <w:rPr>
                <w:sz w:val="21"/>
                <w:szCs w:val="21"/>
              </w:rPr>
              <w:t>/</w:t>
            </w:r>
          </w:p>
        </w:tc>
      </w:tr>
      <w:tr w:rsidR="00240BCE">
        <w:trPr>
          <w:cantSplit/>
        </w:trPr>
        <w:tc>
          <w:tcPr>
            <w:tcW w:w="765" w:type="pct"/>
            <w:vMerge/>
            <w:tcBorders>
              <w:top w:val="single" w:sz="12" w:space="0" w:color="auto"/>
              <w:left w:val="single" w:sz="12" w:space="0" w:color="auto"/>
              <w:bottom w:val="single" w:sz="4" w:space="0" w:color="auto"/>
              <w:right w:val="single" w:sz="4" w:space="0" w:color="auto"/>
            </w:tcBorders>
            <w:vAlign w:val="center"/>
          </w:tcPr>
          <w:p w:rsidR="00240BCE" w:rsidRDefault="00240BCE">
            <w:pPr>
              <w:widowControl/>
              <w:jc w:val="left"/>
              <w:rPr>
                <w:sz w:val="21"/>
                <w:szCs w:val="21"/>
              </w:rPr>
            </w:pPr>
          </w:p>
        </w:tc>
        <w:tc>
          <w:tcPr>
            <w:tcW w:w="845"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sz w:val="21"/>
                <w:szCs w:val="21"/>
              </w:rPr>
            </w:pP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下风向</w:t>
            </w:r>
            <w:r>
              <w:rPr>
                <w:sz w:val="21"/>
                <w:szCs w:val="21"/>
              </w:rPr>
              <w:t>1</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0.300</w:t>
            </w:r>
            <w:r>
              <w:rPr>
                <w:sz w:val="21"/>
                <w:szCs w:val="21"/>
              </w:rPr>
              <w:t>～</w:t>
            </w:r>
            <w:r>
              <w:rPr>
                <w:sz w:val="21"/>
                <w:szCs w:val="21"/>
              </w:rPr>
              <w:t>0.334</w:t>
            </w:r>
          </w:p>
        </w:tc>
        <w:tc>
          <w:tcPr>
            <w:tcW w:w="1129" w:type="pct"/>
            <w:tcBorders>
              <w:top w:val="single" w:sz="4" w:space="0" w:color="auto"/>
              <w:left w:val="single" w:sz="4" w:space="0" w:color="auto"/>
              <w:bottom w:val="single" w:sz="4" w:space="0" w:color="auto"/>
              <w:right w:val="single" w:sz="12" w:space="0" w:color="auto"/>
            </w:tcBorders>
          </w:tcPr>
          <w:p w:rsidR="00240BCE" w:rsidRDefault="00AC0334">
            <w:pPr>
              <w:spacing w:line="280" w:lineRule="exact"/>
              <w:jc w:val="center"/>
              <w:rPr>
                <w:sz w:val="21"/>
                <w:szCs w:val="21"/>
              </w:rPr>
            </w:pPr>
            <w:r>
              <w:rPr>
                <w:sz w:val="21"/>
                <w:szCs w:val="21"/>
              </w:rPr>
              <w:t>0.167</w:t>
            </w:r>
            <w:r>
              <w:rPr>
                <w:sz w:val="21"/>
                <w:szCs w:val="21"/>
              </w:rPr>
              <w:t>～</w:t>
            </w:r>
            <w:r>
              <w:rPr>
                <w:sz w:val="21"/>
                <w:szCs w:val="21"/>
              </w:rPr>
              <w:t>0.201</w:t>
            </w:r>
          </w:p>
        </w:tc>
      </w:tr>
      <w:tr w:rsidR="00240BCE">
        <w:trPr>
          <w:cantSplit/>
        </w:trPr>
        <w:tc>
          <w:tcPr>
            <w:tcW w:w="765" w:type="pct"/>
            <w:vMerge/>
            <w:tcBorders>
              <w:top w:val="single" w:sz="12" w:space="0" w:color="auto"/>
              <w:left w:val="single" w:sz="12" w:space="0" w:color="auto"/>
              <w:bottom w:val="single" w:sz="4" w:space="0" w:color="auto"/>
              <w:right w:val="single" w:sz="4" w:space="0" w:color="auto"/>
            </w:tcBorders>
            <w:vAlign w:val="center"/>
          </w:tcPr>
          <w:p w:rsidR="00240BCE" w:rsidRDefault="00240BCE">
            <w:pPr>
              <w:widowControl/>
              <w:jc w:val="left"/>
              <w:rPr>
                <w:sz w:val="21"/>
                <w:szCs w:val="21"/>
              </w:rPr>
            </w:pPr>
          </w:p>
        </w:tc>
        <w:tc>
          <w:tcPr>
            <w:tcW w:w="845"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sz w:val="21"/>
                <w:szCs w:val="21"/>
              </w:rPr>
            </w:pP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下风向</w:t>
            </w:r>
            <w:r>
              <w:rPr>
                <w:sz w:val="21"/>
                <w:szCs w:val="21"/>
              </w:rPr>
              <w:t>2</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0.267</w:t>
            </w:r>
            <w:r>
              <w:rPr>
                <w:sz w:val="21"/>
                <w:szCs w:val="21"/>
              </w:rPr>
              <w:t>～</w:t>
            </w:r>
            <w:r>
              <w:rPr>
                <w:sz w:val="21"/>
                <w:szCs w:val="21"/>
              </w:rPr>
              <w:t>0.368</w:t>
            </w:r>
          </w:p>
        </w:tc>
        <w:tc>
          <w:tcPr>
            <w:tcW w:w="1129" w:type="pct"/>
            <w:tcBorders>
              <w:top w:val="single" w:sz="4" w:space="0" w:color="auto"/>
              <w:left w:val="single" w:sz="4" w:space="0" w:color="auto"/>
              <w:bottom w:val="single" w:sz="4" w:space="0" w:color="auto"/>
              <w:right w:val="single" w:sz="12" w:space="0" w:color="auto"/>
            </w:tcBorders>
          </w:tcPr>
          <w:p w:rsidR="00240BCE" w:rsidRDefault="00AC0334">
            <w:pPr>
              <w:spacing w:line="280" w:lineRule="exact"/>
              <w:jc w:val="center"/>
              <w:rPr>
                <w:sz w:val="21"/>
                <w:szCs w:val="21"/>
              </w:rPr>
            </w:pPr>
            <w:r>
              <w:rPr>
                <w:sz w:val="21"/>
                <w:szCs w:val="21"/>
              </w:rPr>
              <w:t>0.134</w:t>
            </w:r>
            <w:r>
              <w:rPr>
                <w:sz w:val="21"/>
                <w:szCs w:val="21"/>
              </w:rPr>
              <w:t>～</w:t>
            </w:r>
            <w:r>
              <w:rPr>
                <w:sz w:val="21"/>
                <w:szCs w:val="21"/>
              </w:rPr>
              <w:t>0.235</w:t>
            </w:r>
          </w:p>
        </w:tc>
      </w:tr>
      <w:tr w:rsidR="00240BCE">
        <w:trPr>
          <w:cantSplit/>
        </w:trPr>
        <w:tc>
          <w:tcPr>
            <w:tcW w:w="765" w:type="pct"/>
            <w:vMerge/>
            <w:tcBorders>
              <w:top w:val="single" w:sz="12" w:space="0" w:color="auto"/>
              <w:left w:val="single" w:sz="12" w:space="0" w:color="auto"/>
              <w:bottom w:val="single" w:sz="4" w:space="0" w:color="auto"/>
              <w:right w:val="single" w:sz="4" w:space="0" w:color="auto"/>
            </w:tcBorders>
            <w:vAlign w:val="center"/>
          </w:tcPr>
          <w:p w:rsidR="00240BCE" w:rsidRDefault="00240BCE">
            <w:pPr>
              <w:widowControl/>
              <w:jc w:val="left"/>
              <w:rPr>
                <w:sz w:val="21"/>
                <w:szCs w:val="21"/>
              </w:rPr>
            </w:pPr>
          </w:p>
        </w:tc>
        <w:tc>
          <w:tcPr>
            <w:tcW w:w="845"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sz w:val="21"/>
                <w:szCs w:val="21"/>
              </w:rPr>
            </w:pP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sz w:val="21"/>
                <w:szCs w:val="21"/>
              </w:rPr>
            </w:pPr>
            <w:r>
              <w:rPr>
                <w:sz w:val="21"/>
                <w:szCs w:val="21"/>
              </w:rPr>
              <w:t>下风向</w:t>
            </w:r>
            <w:r>
              <w:rPr>
                <w:sz w:val="21"/>
                <w:szCs w:val="21"/>
              </w:rPr>
              <w:t>3</w:t>
            </w:r>
          </w:p>
        </w:tc>
        <w:tc>
          <w:tcPr>
            <w:tcW w:w="1130" w:type="pc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0.301</w:t>
            </w:r>
            <w:r>
              <w:rPr>
                <w:sz w:val="21"/>
                <w:szCs w:val="21"/>
              </w:rPr>
              <w:t>～</w:t>
            </w:r>
            <w:r>
              <w:rPr>
                <w:sz w:val="21"/>
                <w:szCs w:val="21"/>
              </w:rPr>
              <w:t>0.351</w:t>
            </w:r>
          </w:p>
        </w:tc>
        <w:tc>
          <w:tcPr>
            <w:tcW w:w="1129" w:type="pct"/>
            <w:tcBorders>
              <w:top w:val="single" w:sz="4" w:space="0" w:color="auto"/>
              <w:left w:val="single" w:sz="4" w:space="0" w:color="auto"/>
              <w:bottom w:val="single" w:sz="4" w:space="0" w:color="auto"/>
              <w:right w:val="single" w:sz="12" w:space="0" w:color="auto"/>
            </w:tcBorders>
          </w:tcPr>
          <w:p w:rsidR="00240BCE" w:rsidRDefault="00AC0334">
            <w:pPr>
              <w:spacing w:line="280" w:lineRule="exact"/>
              <w:jc w:val="center"/>
              <w:rPr>
                <w:sz w:val="21"/>
                <w:szCs w:val="21"/>
              </w:rPr>
            </w:pPr>
            <w:r>
              <w:rPr>
                <w:sz w:val="21"/>
                <w:szCs w:val="21"/>
              </w:rPr>
              <w:t>0.168</w:t>
            </w:r>
            <w:r>
              <w:rPr>
                <w:sz w:val="21"/>
                <w:szCs w:val="21"/>
              </w:rPr>
              <w:t>～</w:t>
            </w:r>
            <w:r>
              <w:rPr>
                <w:sz w:val="21"/>
                <w:szCs w:val="21"/>
              </w:rPr>
              <w:t>0.218</w:t>
            </w:r>
          </w:p>
        </w:tc>
      </w:tr>
      <w:tr w:rsidR="00240BCE">
        <w:trPr>
          <w:cantSplit/>
          <w:trHeight w:val="790"/>
        </w:trPr>
        <w:tc>
          <w:tcPr>
            <w:tcW w:w="5000" w:type="pct"/>
            <w:gridSpan w:val="5"/>
            <w:tcBorders>
              <w:top w:val="single" w:sz="4" w:space="0" w:color="auto"/>
              <w:left w:val="single" w:sz="12" w:space="0" w:color="auto"/>
              <w:bottom w:val="single" w:sz="12" w:space="0" w:color="auto"/>
              <w:right w:val="single" w:sz="12" w:space="0" w:color="auto"/>
            </w:tcBorders>
            <w:vAlign w:val="center"/>
          </w:tcPr>
          <w:p w:rsidR="00240BCE" w:rsidRDefault="00AC0334">
            <w:pPr>
              <w:spacing w:line="280" w:lineRule="exact"/>
              <w:jc w:val="center"/>
              <w:rPr>
                <w:sz w:val="21"/>
                <w:szCs w:val="21"/>
              </w:rPr>
            </w:pPr>
            <w:r>
              <w:rPr>
                <w:sz w:val="21"/>
                <w:szCs w:val="21"/>
              </w:rPr>
              <w:t>《煤炭工业污染物排放标准》（</w:t>
            </w:r>
            <w:r>
              <w:rPr>
                <w:sz w:val="21"/>
                <w:szCs w:val="21"/>
              </w:rPr>
              <w:t>GB20426</w:t>
            </w:r>
            <w:r>
              <w:rPr>
                <w:sz w:val="21"/>
                <w:szCs w:val="21"/>
              </w:rPr>
              <w:t>－</w:t>
            </w:r>
            <w:r>
              <w:rPr>
                <w:sz w:val="21"/>
                <w:szCs w:val="21"/>
              </w:rPr>
              <w:t>2006</w:t>
            </w:r>
            <w:r>
              <w:rPr>
                <w:sz w:val="21"/>
                <w:szCs w:val="21"/>
              </w:rPr>
              <w:t>）表</w:t>
            </w:r>
            <w:r>
              <w:rPr>
                <w:sz w:val="21"/>
                <w:szCs w:val="21"/>
              </w:rPr>
              <w:t>5</w:t>
            </w:r>
            <w:r>
              <w:rPr>
                <w:sz w:val="21"/>
                <w:szCs w:val="21"/>
              </w:rPr>
              <w:t>无组织排放浓度标准限值为</w:t>
            </w:r>
            <w:r>
              <w:rPr>
                <w:sz w:val="21"/>
                <w:szCs w:val="21"/>
              </w:rPr>
              <w:t>1.0mg/m</w:t>
            </w:r>
            <w:r>
              <w:rPr>
                <w:sz w:val="21"/>
                <w:szCs w:val="21"/>
                <w:vertAlign w:val="superscript"/>
              </w:rPr>
              <w:t>3</w:t>
            </w:r>
          </w:p>
        </w:tc>
      </w:tr>
    </w:tbl>
    <w:p w:rsidR="00240BCE" w:rsidRDefault="00AC0334">
      <w:pPr>
        <w:autoSpaceDE w:val="0"/>
        <w:autoSpaceDN w:val="0"/>
        <w:adjustRightInd w:val="0"/>
        <w:spacing w:line="500" w:lineRule="exact"/>
        <w:ind w:firstLineChars="200" w:firstLine="480"/>
        <w:jc w:val="left"/>
        <w:rPr>
          <w:kern w:val="0"/>
          <w:sz w:val="24"/>
        </w:rPr>
      </w:pPr>
      <w:r>
        <w:rPr>
          <w:sz w:val="24"/>
        </w:rPr>
        <w:t>2</w:t>
      </w:r>
      <w:r>
        <w:rPr>
          <w:sz w:val="24"/>
        </w:rPr>
        <w:t>、</w:t>
      </w:r>
      <w:r>
        <w:rPr>
          <w:kern w:val="0"/>
          <w:sz w:val="24"/>
        </w:rPr>
        <w:t>风井粉尘</w:t>
      </w:r>
    </w:p>
    <w:p w:rsidR="00240BCE" w:rsidRDefault="00AC0334">
      <w:pPr>
        <w:pStyle w:val="a2"/>
        <w:spacing w:line="500" w:lineRule="exact"/>
        <w:ind w:firstLineChars="0" w:firstLine="560"/>
        <w:rPr>
          <w:sz w:val="24"/>
        </w:rPr>
      </w:pPr>
      <w:r>
        <w:rPr>
          <w:kern w:val="0"/>
          <w:sz w:val="24"/>
        </w:rPr>
        <w:t>风井排风废气主要污染物为粉尘颗粒物（</w:t>
      </w:r>
      <w:r>
        <w:rPr>
          <w:kern w:val="0"/>
          <w:sz w:val="24"/>
        </w:rPr>
        <w:t>TSP</w:t>
      </w:r>
      <w:r>
        <w:rPr>
          <w:kern w:val="0"/>
          <w:sz w:val="24"/>
        </w:rPr>
        <w:t>），</w:t>
      </w:r>
      <w:r>
        <w:rPr>
          <w:sz w:val="24"/>
        </w:rPr>
        <w:t>根据相关安全规程要求，井下建立有防尘洒水系统，对采煤的各装转点设有喷雾洒水装置，输送机巷和主要通风巷等处均设置净化水幕，作业时开启；井下风钻，煤电钻均采用湿式打眼；对于易积存煤尘地点，定期进行清扫冲洗。采取上述措施后降尘率能够达到</w:t>
      </w:r>
      <w:r>
        <w:rPr>
          <w:sz w:val="24"/>
        </w:rPr>
        <w:t>95%</w:t>
      </w:r>
      <w:r>
        <w:rPr>
          <w:sz w:val="24"/>
        </w:rPr>
        <w:t>以上，可以有效抑制井下粉尘产生，处理后井下粉尘浓度能够小于</w:t>
      </w:r>
      <w:r>
        <w:rPr>
          <w:sz w:val="24"/>
        </w:rPr>
        <w:t>4mg/m</w:t>
      </w:r>
      <w:r>
        <w:rPr>
          <w:sz w:val="24"/>
          <w:vertAlign w:val="superscript"/>
        </w:rPr>
        <w:t>3</w:t>
      </w:r>
      <w:r>
        <w:rPr>
          <w:sz w:val="24"/>
        </w:rPr>
        <w:t>。</w:t>
      </w:r>
    </w:p>
    <w:p w:rsidR="00FE3D05" w:rsidRDefault="00AC0334">
      <w:pPr>
        <w:spacing w:line="500" w:lineRule="exact"/>
        <w:ind w:firstLineChars="200" w:firstLine="480"/>
        <w:rPr>
          <w:sz w:val="24"/>
        </w:rPr>
      </w:pPr>
      <w:r>
        <w:rPr>
          <w:sz w:val="24"/>
        </w:rPr>
        <w:t>3</w:t>
      </w:r>
      <w:r>
        <w:rPr>
          <w:sz w:val="24"/>
        </w:rPr>
        <w:t>、</w:t>
      </w:r>
      <w:r w:rsidR="00FE3D05">
        <w:rPr>
          <w:rFonts w:hint="eastAsia"/>
          <w:sz w:val="24"/>
        </w:rPr>
        <w:t>食堂油烟</w:t>
      </w:r>
    </w:p>
    <w:p w:rsidR="00EA4293" w:rsidRPr="00EA4293" w:rsidRDefault="00FE3D05" w:rsidP="00EA4293">
      <w:pPr>
        <w:spacing w:line="500" w:lineRule="exact"/>
        <w:ind w:firstLineChars="200" w:firstLine="480"/>
        <w:rPr>
          <w:sz w:val="24"/>
        </w:rPr>
      </w:pPr>
      <w:r>
        <w:rPr>
          <w:rFonts w:hint="eastAsia"/>
          <w:sz w:val="24"/>
        </w:rPr>
        <w:t>目前隆庆</w:t>
      </w:r>
      <w:r w:rsidR="00EA4293">
        <w:rPr>
          <w:rFonts w:hint="eastAsia"/>
          <w:sz w:val="24"/>
        </w:rPr>
        <w:t>煤矿设有职工食堂，燃料采用清洁能源液化石油气，</w:t>
      </w:r>
      <w:r w:rsidR="00EA4293" w:rsidRPr="00EA4293">
        <w:rPr>
          <w:sz w:val="24"/>
        </w:rPr>
        <w:t>生活废气主要来自生活炉灶产生的烟气</w:t>
      </w:r>
      <w:r w:rsidR="00EA4293">
        <w:rPr>
          <w:rFonts w:hint="eastAsia"/>
          <w:sz w:val="24"/>
        </w:rPr>
        <w:t>，</w:t>
      </w:r>
      <w:r w:rsidR="00EA4293" w:rsidRPr="00EA4293">
        <w:rPr>
          <w:sz w:val="24"/>
        </w:rPr>
        <w:t>烟气中主要污染物为油烟</w:t>
      </w:r>
      <w:r w:rsidR="00EA4293" w:rsidRPr="00EA4293">
        <w:rPr>
          <w:rFonts w:hint="eastAsia"/>
          <w:sz w:val="24"/>
        </w:rPr>
        <w:t>、非甲烷总烃</w:t>
      </w:r>
      <w:r w:rsidR="00EA4293" w:rsidRPr="00EA4293">
        <w:rPr>
          <w:sz w:val="24"/>
        </w:rPr>
        <w:t>。</w:t>
      </w:r>
      <w:r w:rsidR="00EA4293">
        <w:rPr>
          <w:rFonts w:hint="eastAsia"/>
          <w:sz w:val="24"/>
        </w:rPr>
        <w:t>油烟</w:t>
      </w:r>
      <w:r w:rsidRPr="00FE3D05">
        <w:rPr>
          <w:rFonts w:hint="eastAsia"/>
          <w:sz w:val="24"/>
        </w:rPr>
        <w:t>安装</w:t>
      </w:r>
      <w:r w:rsidR="00EA4293">
        <w:rPr>
          <w:rFonts w:hint="eastAsia"/>
          <w:sz w:val="24"/>
        </w:rPr>
        <w:t>有</w:t>
      </w:r>
      <w:r w:rsidRPr="00FE3D05">
        <w:rPr>
          <w:rFonts w:hint="eastAsia"/>
          <w:sz w:val="24"/>
        </w:rPr>
        <w:lastRenderedPageBreak/>
        <w:t>油烟净化器。</w:t>
      </w:r>
      <w:r w:rsidR="00EA4293" w:rsidRPr="00EA4293">
        <w:rPr>
          <w:sz w:val="24"/>
        </w:rPr>
        <w:t>根据对有关统计资料的类比分析，</w:t>
      </w:r>
      <w:r w:rsidR="00EA4293" w:rsidRPr="00EA4293">
        <w:rPr>
          <w:rFonts w:hint="eastAsia"/>
          <w:sz w:val="24"/>
        </w:rPr>
        <w:t>食用油用量平均按</w:t>
      </w:r>
      <w:r w:rsidR="00EA4293" w:rsidRPr="00EA4293">
        <w:rPr>
          <w:rFonts w:hint="eastAsia"/>
          <w:sz w:val="24"/>
        </w:rPr>
        <w:t>0.03kg/</w:t>
      </w:r>
      <w:r w:rsidR="00EA4293" w:rsidRPr="00EA4293">
        <w:rPr>
          <w:rFonts w:hint="eastAsia"/>
          <w:sz w:val="24"/>
        </w:rPr>
        <w:t>人</w:t>
      </w:r>
      <w:r w:rsidR="00EA4293" w:rsidRPr="00EA4293">
        <w:rPr>
          <w:b/>
          <w:bCs/>
          <w:sz w:val="24"/>
        </w:rPr>
        <w:t>·</w:t>
      </w:r>
      <w:r w:rsidR="00EA4293" w:rsidRPr="00EA4293">
        <w:rPr>
          <w:rFonts w:hint="eastAsia"/>
          <w:sz w:val="24"/>
        </w:rPr>
        <w:t>天计。</w:t>
      </w:r>
    </w:p>
    <w:p w:rsidR="00EA4293" w:rsidRPr="00EA4293" w:rsidRDefault="00EA4293" w:rsidP="00EA4293">
      <w:pPr>
        <w:spacing w:line="500" w:lineRule="exact"/>
        <w:ind w:firstLineChars="200" w:firstLine="480"/>
        <w:rPr>
          <w:sz w:val="24"/>
        </w:rPr>
      </w:pPr>
      <w:r>
        <w:rPr>
          <w:rFonts w:hint="eastAsia"/>
          <w:sz w:val="24"/>
        </w:rPr>
        <w:t>目前矿井处于技改期间，</w:t>
      </w:r>
      <w:r w:rsidRPr="00EA4293">
        <w:rPr>
          <w:rFonts w:hint="eastAsia"/>
          <w:sz w:val="24"/>
        </w:rPr>
        <w:t>工业广场就餐人数</w:t>
      </w:r>
      <w:r>
        <w:rPr>
          <w:rFonts w:hint="eastAsia"/>
          <w:sz w:val="24"/>
        </w:rPr>
        <w:t>不稳定，最高不超过</w:t>
      </w:r>
      <w:r w:rsidRPr="00EA4293">
        <w:rPr>
          <w:rFonts w:hint="eastAsia"/>
          <w:sz w:val="24"/>
        </w:rPr>
        <w:t>598</w:t>
      </w:r>
      <w:r w:rsidRPr="00EA4293">
        <w:rPr>
          <w:rFonts w:hint="eastAsia"/>
          <w:sz w:val="24"/>
        </w:rPr>
        <w:t>人</w:t>
      </w:r>
      <w:r>
        <w:rPr>
          <w:rFonts w:hint="eastAsia"/>
          <w:sz w:val="24"/>
        </w:rPr>
        <w:t>按</w:t>
      </w:r>
      <w:r>
        <w:rPr>
          <w:rFonts w:hint="eastAsia"/>
          <w:sz w:val="24"/>
        </w:rPr>
        <w:t>598</w:t>
      </w:r>
      <w:r>
        <w:rPr>
          <w:rFonts w:hint="eastAsia"/>
          <w:sz w:val="24"/>
        </w:rPr>
        <w:t>人计</w:t>
      </w:r>
      <w:r w:rsidRPr="00EA4293">
        <w:rPr>
          <w:rFonts w:hint="eastAsia"/>
          <w:sz w:val="24"/>
        </w:rPr>
        <w:t>，则日耗油量为</w:t>
      </w:r>
      <w:r w:rsidRPr="00EA4293">
        <w:rPr>
          <w:rFonts w:hint="eastAsia"/>
          <w:sz w:val="24"/>
        </w:rPr>
        <w:t>217.94kg/d</w:t>
      </w:r>
      <w:r w:rsidRPr="00EA4293">
        <w:rPr>
          <w:rFonts w:hint="eastAsia"/>
          <w:sz w:val="24"/>
        </w:rPr>
        <w:t>，年耗油量为</w:t>
      </w:r>
      <w:r w:rsidRPr="00EA4293">
        <w:rPr>
          <w:rFonts w:hint="eastAsia"/>
          <w:sz w:val="24"/>
        </w:rPr>
        <w:t>5.92t/a</w:t>
      </w:r>
      <w:r w:rsidRPr="00EA4293">
        <w:rPr>
          <w:rFonts w:hint="eastAsia"/>
          <w:sz w:val="24"/>
        </w:rPr>
        <w:t>。据类比调查，不同的烧炸工况，油烟气中烟气浓度及挥发量均有所不同，油的平均挥发量为总耗油量的</w:t>
      </w:r>
      <w:r w:rsidRPr="00EA4293">
        <w:rPr>
          <w:rFonts w:hint="eastAsia"/>
          <w:sz w:val="24"/>
        </w:rPr>
        <w:t>2.83%</w:t>
      </w:r>
      <w:r w:rsidRPr="00EA4293">
        <w:rPr>
          <w:rFonts w:hint="eastAsia"/>
          <w:sz w:val="24"/>
        </w:rPr>
        <w:t>，经核算，油烟产生量为</w:t>
      </w:r>
      <w:r w:rsidRPr="00EA4293">
        <w:rPr>
          <w:rFonts w:hint="eastAsia"/>
          <w:sz w:val="24"/>
        </w:rPr>
        <w:t>0.508kg/d</w:t>
      </w:r>
      <w:r w:rsidRPr="00EA4293">
        <w:rPr>
          <w:rFonts w:hint="eastAsia"/>
          <w:sz w:val="24"/>
        </w:rPr>
        <w:t>，年产生油烟量为</w:t>
      </w:r>
      <w:r w:rsidRPr="00EA4293">
        <w:rPr>
          <w:rFonts w:hint="eastAsia"/>
          <w:sz w:val="24"/>
        </w:rPr>
        <w:t>0.168t/a</w:t>
      </w:r>
      <w:r w:rsidRPr="00EA4293">
        <w:rPr>
          <w:rFonts w:hint="eastAsia"/>
          <w:sz w:val="24"/>
        </w:rPr>
        <w:t>。烹饪时间按</w:t>
      </w:r>
      <w:r w:rsidRPr="00EA4293">
        <w:rPr>
          <w:rFonts w:hint="eastAsia"/>
          <w:sz w:val="24"/>
        </w:rPr>
        <w:t>7h/d</w:t>
      </w:r>
      <w:r w:rsidRPr="00EA4293">
        <w:rPr>
          <w:rFonts w:hint="eastAsia"/>
          <w:sz w:val="24"/>
        </w:rPr>
        <w:t>计算，则该项目所产生油烟量为</w:t>
      </w:r>
      <w:r w:rsidRPr="00EA4293">
        <w:rPr>
          <w:rFonts w:hint="eastAsia"/>
          <w:sz w:val="24"/>
        </w:rPr>
        <w:t>0.073kg/h</w:t>
      </w:r>
      <w:r w:rsidRPr="00EA4293">
        <w:rPr>
          <w:rFonts w:hint="eastAsia"/>
          <w:sz w:val="24"/>
        </w:rPr>
        <w:t>。单个基准灶头风机风量按</w:t>
      </w:r>
      <w:r w:rsidRPr="00EA4293">
        <w:rPr>
          <w:rFonts w:hint="eastAsia"/>
          <w:sz w:val="24"/>
        </w:rPr>
        <w:t>2000m</w:t>
      </w:r>
      <w:r w:rsidRPr="00EA4293">
        <w:rPr>
          <w:rFonts w:hint="eastAsia"/>
          <w:sz w:val="24"/>
          <w:vertAlign w:val="superscript"/>
        </w:rPr>
        <w:t>3</w:t>
      </w:r>
      <w:r w:rsidRPr="00EA4293">
        <w:rPr>
          <w:rFonts w:hint="eastAsia"/>
          <w:sz w:val="24"/>
        </w:rPr>
        <w:t xml:space="preserve">/h </w:t>
      </w:r>
      <w:r w:rsidRPr="00EA4293">
        <w:rPr>
          <w:rFonts w:hint="eastAsia"/>
          <w:sz w:val="24"/>
        </w:rPr>
        <w:t>计，灶头数量为</w:t>
      </w:r>
      <w:r w:rsidRPr="00EA4293">
        <w:rPr>
          <w:rFonts w:hint="eastAsia"/>
          <w:sz w:val="24"/>
        </w:rPr>
        <w:t>5</w:t>
      </w:r>
      <w:r w:rsidRPr="00EA4293">
        <w:rPr>
          <w:rFonts w:hint="eastAsia"/>
          <w:sz w:val="24"/>
        </w:rPr>
        <w:t>个，则项目油烟产生浓度约为</w:t>
      </w:r>
      <w:r w:rsidRPr="00EA4293">
        <w:rPr>
          <w:rFonts w:hint="eastAsia"/>
          <w:sz w:val="24"/>
        </w:rPr>
        <w:t>7.3mg/m</w:t>
      </w:r>
      <w:r w:rsidRPr="00EA4293">
        <w:rPr>
          <w:rFonts w:hint="eastAsia"/>
          <w:sz w:val="24"/>
          <w:vertAlign w:val="superscript"/>
        </w:rPr>
        <w:t>3</w:t>
      </w:r>
      <w:r w:rsidRPr="00EA4293">
        <w:rPr>
          <w:rFonts w:hint="eastAsia"/>
          <w:sz w:val="24"/>
        </w:rPr>
        <w:t>。根据《河南省地方标准</w:t>
      </w:r>
      <w:r w:rsidRPr="00EA4293">
        <w:rPr>
          <w:rFonts w:hint="eastAsia"/>
          <w:sz w:val="24"/>
        </w:rPr>
        <w:t>&lt;</w:t>
      </w:r>
      <w:r w:rsidRPr="00EA4293">
        <w:rPr>
          <w:rFonts w:hint="eastAsia"/>
          <w:sz w:val="24"/>
        </w:rPr>
        <w:t>餐饮业油烟污染物排放标准</w:t>
      </w:r>
      <w:r w:rsidRPr="00EA4293">
        <w:rPr>
          <w:rFonts w:hint="eastAsia"/>
          <w:sz w:val="24"/>
        </w:rPr>
        <w:t>&gt;</w:t>
      </w:r>
      <w:r w:rsidRPr="00EA4293">
        <w:rPr>
          <w:rFonts w:hint="eastAsia"/>
          <w:sz w:val="24"/>
        </w:rPr>
        <w:t>编制说明》</w:t>
      </w:r>
      <w:r w:rsidRPr="00EA4293">
        <w:rPr>
          <w:rFonts w:hint="eastAsia"/>
          <w:sz w:val="24"/>
        </w:rPr>
        <w:t xml:space="preserve">(2018 </w:t>
      </w:r>
      <w:r w:rsidRPr="00EA4293">
        <w:rPr>
          <w:rFonts w:hint="eastAsia"/>
          <w:sz w:val="24"/>
        </w:rPr>
        <w:t>年</w:t>
      </w:r>
      <w:r w:rsidRPr="00EA4293">
        <w:rPr>
          <w:rFonts w:hint="eastAsia"/>
          <w:sz w:val="24"/>
        </w:rPr>
        <w:t xml:space="preserve"> 4 </w:t>
      </w:r>
      <w:r w:rsidRPr="00EA4293">
        <w:rPr>
          <w:rFonts w:hint="eastAsia"/>
          <w:sz w:val="24"/>
        </w:rPr>
        <w:t>月</w:t>
      </w:r>
      <w:r w:rsidRPr="00EA4293">
        <w:rPr>
          <w:rFonts w:hint="eastAsia"/>
          <w:sz w:val="24"/>
        </w:rPr>
        <w:t>)</w:t>
      </w:r>
      <w:r w:rsidRPr="00EA4293">
        <w:rPr>
          <w:rFonts w:hint="eastAsia"/>
          <w:sz w:val="24"/>
        </w:rPr>
        <w:t>“非甲烷总烃基准浓度为</w:t>
      </w:r>
      <w:r w:rsidRPr="00EA4293">
        <w:rPr>
          <w:rFonts w:hint="eastAsia"/>
          <w:sz w:val="24"/>
        </w:rPr>
        <w:t>20mg/m</w:t>
      </w:r>
      <w:r w:rsidRPr="00EA4293">
        <w:rPr>
          <w:rFonts w:hint="eastAsia"/>
          <w:sz w:val="24"/>
          <w:vertAlign w:val="superscript"/>
        </w:rPr>
        <w:t>3</w:t>
      </w:r>
      <w:r w:rsidRPr="00EA4293">
        <w:rPr>
          <w:rFonts w:hint="eastAsia"/>
          <w:sz w:val="24"/>
        </w:rPr>
        <w:t>”，升级改造后食堂油烟仍由集气罩收集后采用静电式油烟净化器进行处理后楼顶排放。该净化设施对油烟处理效率可达</w:t>
      </w:r>
      <w:r w:rsidRPr="00EA4293">
        <w:rPr>
          <w:rFonts w:hint="eastAsia"/>
          <w:sz w:val="24"/>
        </w:rPr>
        <w:t xml:space="preserve"> 95%</w:t>
      </w:r>
      <w:r w:rsidRPr="00EA4293">
        <w:rPr>
          <w:rFonts w:hint="eastAsia"/>
          <w:sz w:val="24"/>
        </w:rPr>
        <w:t>以上，对非甲烷总烃处理效率达</w:t>
      </w:r>
      <w:r w:rsidRPr="00EA4293">
        <w:rPr>
          <w:rFonts w:hint="eastAsia"/>
          <w:sz w:val="24"/>
        </w:rPr>
        <w:t xml:space="preserve"> 60%</w:t>
      </w:r>
      <w:r w:rsidRPr="00EA4293">
        <w:rPr>
          <w:rFonts w:hint="eastAsia"/>
          <w:sz w:val="24"/>
        </w:rPr>
        <w:t>以上。则经净化处理后油烟排放浓度</w:t>
      </w:r>
      <w:r w:rsidRPr="00EA4293">
        <w:rPr>
          <w:rFonts w:hint="eastAsia"/>
          <w:sz w:val="24"/>
        </w:rPr>
        <w:t>0.37mg/m</w:t>
      </w:r>
      <w:r w:rsidRPr="00EA4293">
        <w:rPr>
          <w:rFonts w:hint="eastAsia"/>
          <w:sz w:val="24"/>
        </w:rPr>
        <w:t>³，排放量为</w:t>
      </w:r>
      <w:r>
        <w:rPr>
          <w:rFonts w:hint="eastAsia"/>
          <w:sz w:val="24"/>
        </w:rPr>
        <w:t>8.547</w:t>
      </w:r>
      <w:r w:rsidRPr="00EA4293">
        <w:rPr>
          <w:rFonts w:hint="eastAsia"/>
          <w:sz w:val="24"/>
        </w:rPr>
        <w:t>kg/a</w:t>
      </w:r>
      <w:r w:rsidRPr="00EA4293">
        <w:rPr>
          <w:rFonts w:hint="eastAsia"/>
          <w:sz w:val="24"/>
        </w:rPr>
        <w:t>；非甲烷总烃排放浓度为</w:t>
      </w:r>
      <w:r w:rsidRPr="00EA4293">
        <w:rPr>
          <w:rFonts w:hint="eastAsia"/>
          <w:sz w:val="24"/>
        </w:rPr>
        <w:t>8mg/m</w:t>
      </w:r>
      <w:r w:rsidRPr="00EA4293">
        <w:rPr>
          <w:rFonts w:hint="eastAsia"/>
          <w:sz w:val="24"/>
          <w:vertAlign w:val="superscript"/>
        </w:rPr>
        <w:t>3</w:t>
      </w:r>
      <w:r w:rsidRPr="00EA4293">
        <w:rPr>
          <w:rFonts w:hint="eastAsia"/>
          <w:sz w:val="24"/>
        </w:rPr>
        <w:t>，排放量为</w:t>
      </w:r>
      <w:r>
        <w:rPr>
          <w:rFonts w:hint="eastAsia"/>
          <w:sz w:val="24"/>
        </w:rPr>
        <w:t>184</w:t>
      </w:r>
      <w:r w:rsidRPr="00EA4293">
        <w:rPr>
          <w:rFonts w:hint="eastAsia"/>
          <w:sz w:val="24"/>
        </w:rPr>
        <w:t>.8kg/a</w:t>
      </w:r>
      <w:r w:rsidRPr="00EA4293">
        <w:rPr>
          <w:rFonts w:hint="eastAsia"/>
          <w:sz w:val="24"/>
        </w:rPr>
        <w:t>。</w:t>
      </w:r>
    </w:p>
    <w:p w:rsidR="00FE3D05" w:rsidRDefault="00EA4293" w:rsidP="00EA4293">
      <w:pPr>
        <w:spacing w:line="500" w:lineRule="exact"/>
        <w:ind w:firstLineChars="200" w:firstLine="480"/>
        <w:rPr>
          <w:sz w:val="24"/>
        </w:rPr>
      </w:pPr>
      <w:r w:rsidRPr="00EA4293">
        <w:rPr>
          <w:rFonts w:hint="eastAsia"/>
          <w:sz w:val="24"/>
        </w:rPr>
        <w:t>综上，本项目食堂油烟经处理后，能够满足河南省地方标准《餐饮业油烟污染物排放标准》（</w:t>
      </w:r>
      <w:r w:rsidRPr="00EA4293">
        <w:rPr>
          <w:rFonts w:hint="eastAsia"/>
          <w:sz w:val="24"/>
        </w:rPr>
        <w:t>DB41/1604-2018</w:t>
      </w:r>
      <w:r w:rsidRPr="00EA4293">
        <w:rPr>
          <w:rFonts w:hint="eastAsia"/>
          <w:sz w:val="24"/>
        </w:rPr>
        <w:t>）中表</w:t>
      </w:r>
      <w:r w:rsidRPr="00EA4293">
        <w:rPr>
          <w:rFonts w:hint="eastAsia"/>
          <w:sz w:val="24"/>
        </w:rPr>
        <w:t>1</w:t>
      </w:r>
      <w:r w:rsidRPr="00EA4293">
        <w:rPr>
          <w:rFonts w:hint="eastAsia"/>
          <w:sz w:val="24"/>
        </w:rPr>
        <w:t>大型：油烟排放浓度≤</w:t>
      </w:r>
      <w:r w:rsidRPr="00EA4293">
        <w:rPr>
          <w:rFonts w:hint="eastAsia"/>
          <w:sz w:val="24"/>
        </w:rPr>
        <w:t>1.0mg/m</w:t>
      </w:r>
      <w:r w:rsidRPr="00EA4293">
        <w:rPr>
          <w:rFonts w:hint="eastAsia"/>
          <w:sz w:val="24"/>
          <w:vertAlign w:val="superscript"/>
        </w:rPr>
        <w:t>3</w:t>
      </w:r>
      <w:r w:rsidRPr="00EA4293">
        <w:rPr>
          <w:rFonts w:hint="eastAsia"/>
          <w:sz w:val="24"/>
        </w:rPr>
        <w:t xml:space="preserve"> </w:t>
      </w:r>
      <w:r w:rsidRPr="00EA4293">
        <w:rPr>
          <w:rFonts w:hint="eastAsia"/>
          <w:sz w:val="24"/>
        </w:rPr>
        <w:t>，非甲烷总烃排放浓度≤</w:t>
      </w:r>
      <w:r w:rsidRPr="00EA4293">
        <w:rPr>
          <w:rFonts w:hint="eastAsia"/>
          <w:sz w:val="24"/>
        </w:rPr>
        <w:t>10mg/m</w:t>
      </w:r>
      <w:r w:rsidRPr="00EA4293">
        <w:rPr>
          <w:rFonts w:hint="eastAsia"/>
          <w:sz w:val="24"/>
          <w:vertAlign w:val="superscript"/>
        </w:rPr>
        <w:t>3</w:t>
      </w:r>
      <w:r w:rsidRPr="00EA4293">
        <w:rPr>
          <w:rFonts w:hint="eastAsia"/>
          <w:sz w:val="24"/>
        </w:rPr>
        <w:t xml:space="preserve"> </w:t>
      </w:r>
      <w:r w:rsidRPr="00EA4293">
        <w:rPr>
          <w:rFonts w:hint="eastAsia"/>
          <w:sz w:val="24"/>
        </w:rPr>
        <w:t>，油烟去除率≥</w:t>
      </w:r>
      <w:r w:rsidRPr="00EA4293">
        <w:rPr>
          <w:rFonts w:hint="eastAsia"/>
          <w:sz w:val="24"/>
        </w:rPr>
        <w:t>95%</w:t>
      </w:r>
      <w:r w:rsidRPr="00EA4293">
        <w:rPr>
          <w:rFonts w:hint="eastAsia"/>
          <w:sz w:val="24"/>
        </w:rPr>
        <w:t>的要求。</w:t>
      </w:r>
    </w:p>
    <w:p w:rsidR="00240BCE" w:rsidRDefault="00FE3D05">
      <w:pPr>
        <w:spacing w:line="500" w:lineRule="exact"/>
        <w:ind w:firstLineChars="200" w:firstLine="480"/>
        <w:rPr>
          <w:sz w:val="24"/>
        </w:rPr>
      </w:pPr>
      <w:r>
        <w:rPr>
          <w:rFonts w:hint="eastAsia"/>
          <w:sz w:val="24"/>
        </w:rPr>
        <w:t>4</w:t>
      </w:r>
      <w:r>
        <w:rPr>
          <w:rFonts w:hint="eastAsia"/>
          <w:sz w:val="24"/>
        </w:rPr>
        <w:t>、</w:t>
      </w:r>
      <w:r w:rsidR="00AC0334">
        <w:rPr>
          <w:sz w:val="24"/>
        </w:rPr>
        <w:t>运煤道路无组织扬尘</w:t>
      </w:r>
    </w:p>
    <w:p w:rsidR="00240BCE" w:rsidRDefault="00AC0334">
      <w:pPr>
        <w:pStyle w:val="a2"/>
        <w:spacing w:line="500" w:lineRule="exact"/>
        <w:ind w:firstLine="480"/>
        <w:rPr>
          <w:sz w:val="24"/>
        </w:rPr>
      </w:pPr>
      <w:r>
        <w:rPr>
          <w:sz w:val="24"/>
        </w:rPr>
        <w:t>现有工程原煤运输道路设专人清扫路面，并配备洒水车</w:t>
      </w:r>
      <w:r>
        <w:rPr>
          <w:sz w:val="24"/>
        </w:rPr>
        <w:t>1</w:t>
      </w:r>
      <w:r>
        <w:rPr>
          <w:sz w:val="24"/>
        </w:rPr>
        <w:t>辆，对道路定时洒水。并在磅房处设置车辆冲洗装置</w:t>
      </w:r>
      <w:r>
        <w:rPr>
          <w:sz w:val="24"/>
        </w:rPr>
        <w:t>1</w:t>
      </w:r>
      <w:r>
        <w:rPr>
          <w:sz w:val="24"/>
        </w:rPr>
        <w:t>套，对运煤车辆进行冲洗。在煤炭运输时严格运煤车辆管理，不超载，装车时煤炭压实并进行表面洒水，对运煤的车辆限速、限载，并按照国家有关规定，运煤车辆均应加盖篷布，防止物料飞扬、抛洒，以此减少路面扬尘和运煤车辆对环境的影响。</w:t>
      </w:r>
    </w:p>
    <w:p w:rsidR="00240BCE" w:rsidRDefault="00AC0334">
      <w:pPr>
        <w:spacing w:line="500" w:lineRule="exact"/>
        <w:rPr>
          <w:sz w:val="24"/>
        </w:rPr>
      </w:pPr>
      <w:r>
        <w:rPr>
          <w:sz w:val="24"/>
        </w:rPr>
        <w:t>3.1.5.2</w:t>
      </w:r>
      <w:r>
        <w:rPr>
          <w:sz w:val="24"/>
        </w:rPr>
        <w:t>升级改造前现有工程水污染源及治理措施</w:t>
      </w:r>
    </w:p>
    <w:p w:rsidR="00240BCE" w:rsidRDefault="00AC0334">
      <w:pPr>
        <w:spacing w:line="500" w:lineRule="exact"/>
        <w:ind w:firstLineChars="200" w:firstLine="480"/>
        <w:rPr>
          <w:sz w:val="24"/>
        </w:rPr>
      </w:pPr>
      <w:r>
        <w:rPr>
          <w:sz w:val="24"/>
        </w:rPr>
        <w:t>隆庆煤矿目前水污染源主要是矿井排水和工业场地生产、生活废污水。</w:t>
      </w:r>
    </w:p>
    <w:p w:rsidR="00240BCE" w:rsidRDefault="00AC0334">
      <w:pPr>
        <w:spacing w:line="500" w:lineRule="exact"/>
        <w:ind w:firstLineChars="200" w:firstLine="488"/>
        <w:rPr>
          <w:spacing w:val="2"/>
          <w:sz w:val="24"/>
        </w:rPr>
      </w:pPr>
      <w:r>
        <w:rPr>
          <w:spacing w:val="2"/>
          <w:sz w:val="24"/>
        </w:rPr>
        <w:t>（</w:t>
      </w:r>
      <w:r>
        <w:rPr>
          <w:spacing w:val="2"/>
          <w:sz w:val="24"/>
        </w:rPr>
        <w:t>1</w:t>
      </w:r>
      <w:r>
        <w:rPr>
          <w:spacing w:val="2"/>
          <w:sz w:val="24"/>
        </w:rPr>
        <w:t>）矿井排水</w:t>
      </w:r>
    </w:p>
    <w:p w:rsidR="00240BCE" w:rsidRDefault="00AC0334">
      <w:pPr>
        <w:spacing w:line="500" w:lineRule="exact"/>
        <w:ind w:firstLineChars="200" w:firstLine="488"/>
        <w:rPr>
          <w:sz w:val="24"/>
        </w:rPr>
      </w:pPr>
      <w:r>
        <w:rPr>
          <w:spacing w:val="2"/>
          <w:sz w:val="24"/>
        </w:rPr>
        <w:t>升级改造前</w:t>
      </w:r>
      <w:r>
        <w:rPr>
          <w:bCs/>
          <w:color w:val="000000"/>
          <w:sz w:val="24"/>
        </w:rPr>
        <w:t>设计</w:t>
      </w:r>
      <w:r w:rsidR="00845BD9">
        <w:rPr>
          <w:rFonts w:hint="eastAsia"/>
          <w:bCs/>
          <w:color w:val="000000"/>
          <w:sz w:val="24"/>
        </w:rPr>
        <w:t>及原环评</w:t>
      </w:r>
      <w:r>
        <w:rPr>
          <w:bCs/>
          <w:color w:val="000000"/>
          <w:sz w:val="24"/>
        </w:rPr>
        <w:t>正常涌水量</w:t>
      </w:r>
      <w:r>
        <w:rPr>
          <w:bCs/>
          <w:color w:val="000000"/>
          <w:sz w:val="24"/>
        </w:rPr>
        <w:t>60m</w:t>
      </w:r>
      <w:r>
        <w:rPr>
          <w:bCs/>
          <w:color w:val="000000"/>
          <w:sz w:val="24"/>
          <w:vertAlign w:val="superscript"/>
        </w:rPr>
        <w:t>3</w:t>
      </w:r>
      <w:r>
        <w:rPr>
          <w:bCs/>
          <w:color w:val="000000"/>
          <w:sz w:val="24"/>
        </w:rPr>
        <w:t>/h</w:t>
      </w:r>
      <w:r>
        <w:rPr>
          <w:bCs/>
          <w:color w:val="000000"/>
          <w:sz w:val="24"/>
        </w:rPr>
        <w:t>，最大涌水量</w:t>
      </w:r>
      <w:r>
        <w:rPr>
          <w:bCs/>
          <w:color w:val="000000"/>
          <w:sz w:val="24"/>
        </w:rPr>
        <w:t>120m</w:t>
      </w:r>
      <w:r>
        <w:rPr>
          <w:bCs/>
          <w:color w:val="000000"/>
          <w:sz w:val="24"/>
          <w:vertAlign w:val="superscript"/>
        </w:rPr>
        <w:t>3</w:t>
      </w:r>
      <w:r>
        <w:rPr>
          <w:bCs/>
          <w:color w:val="000000"/>
          <w:sz w:val="24"/>
        </w:rPr>
        <w:t>/h</w:t>
      </w:r>
      <w:r>
        <w:rPr>
          <w:bCs/>
          <w:color w:val="000000"/>
          <w:sz w:val="24"/>
        </w:rPr>
        <w:t>，根据现场调查</w:t>
      </w:r>
      <w:r>
        <w:rPr>
          <w:spacing w:val="2"/>
          <w:sz w:val="24"/>
        </w:rPr>
        <w:t>，目前</w:t>
      </w:r>
      <w:r w:rsidR="002214ED">
        <w:rPr>
          <w:rFonts w:hint="eastAsia"/>
          <w:spacing w:val="2"/>
          <w:sz w:val="24"/>
        </w:rPr>
        <w:t>现有工程技改期间</w:t>
      </w:r>
      <w:r>
        <w:rPr>
          <w:spacing w:val="2"/>
          <w:sz w:val="24"/>
        </w:rPr>
        <w:t>实际涌水量约</w:t>
      </w:r>
      <w:r>
        <w:rPr>
          <w:spacing w:val="2"/>
          <w:sz w:val="24"/>
        </w:rPr>
        <w:t>20m</w:t>
      </w:r>
      <w:r>
        <w:rPr>
          <w:spacing w:val="2"/>
          <w:sz w:val="24"/>
          <w:vertAlign w:val="superscript"/>
        </w:rPr>
        <w:t>3</w:t>
      </w:r>
      <w:r>
        <w:rPr>
          <w:spacing w:val="2"/>
          <w:sz w:val="24"/>
        </w:rPr>
        <w:t>/h</w:t>
      </w:r>
      <w:r>
        <w:rPr>
          <w:spacing w:val="2"/>
          <w:sz w:val="24"/>
        </w:rPr>
        <w:t>，目前已在工业场地内建一座处理能力</w:t>
      </w:r>
      <w:r>
        <w:rPr>
          <w:spacing w:val="2"/>
          <w:sz w:val="24"/>
        </w:rPr>
        <w:t>60m</w:t>
      </w:r>
      <w:r>
        <w:rPr>
          <w:spacing w:val="2"/>
          <w:sz w:val="24"/>
          <w:vertAlign w:val="superscript"/>
        </w:rPr>
        <w:t>3</w:t>
      </w:r>
      <w:r>
        <w:rPr>
          <w:spacing w:val="2"/>
          <w:sz w:val="24"/>
        </w:rPr>
        <w:t>/h</w:t>
      </w:r>
      <w:r>
        <w:rPr>
          <w:spacing w:val="2"/>
          <w:sz w:val="24"/>
        </w:rPr>
        <w:t>的矿井水处理站，</w:t>
      </w:r>
      <w:r>
        <w:rPr>
          <w:sz w:val="24"/>
        </w:rPr>
        <w:t>采用</w:t>
      </w:r>
      <w:r>
        <w:rPr>
          <w:sz w:val="24"/>
        </w:rPr>
        <w:t>“</w:t>
      </w:r>
      <w:r>
        <w:rPr>
          <w:sz w:val="24"/>
        </w:rPr>
        <w:t>斜管沉淀池沉淀、消毒</w:t>
      </w:r>
      <w:r>
        <w:rPr>
          <w:sz w:val="24"/>
        </w:rPr>
        <w:t>”</w:t>
      </w:r>
      <w:r>
        <w:rPr>
          <w:sz w:val="24"/>
        </w:rPr>
        <w:t>处理工艺</w:t>
      </w:r>
      <w:r>
        <w:rPr>
          <w:spacing w:val="2"/>
          <w:sz w:val="24"/>
        </w:rPr>
        <w:t>。根据</w:t>
      </w:r>
      <w:r>
        <w:rPr>
          <w:spacing w:val="2"/>
          <w:sz w:val="24"/>
        </w:rPr>
        <w:lastRenderedPageBreak/>
        <w:t>河南正捷检测技术有限公司</w:t>
      </w:r>
      <w:r>
        <w:rPr>
          <w:spacing w:val="2"/>
          <w:sz w:val="24"/>
        </w:rPr>
        <w:t>2020</w:t>
      </w:r>
      <w:r>
        <w:rPr>
          <w:spacing w:val="2"/>
          <w:sz w:val="24"/>
        </w:rPr>
        <w:t>年</w:t>
      </w:r>
      <w:r>
        <w:rPr>
          <w:spacing w:val="2"/>
          <w:sz w:val="24"/>
        </w:rPr>
        <w:t>8</w:t>
      </w:r>
      <w:r>
        <w:rPr>
          <w:spacing w:val="2"/>
          <w:sz w:val="24"/>
        </w:rPr>
        <w:t>月</w:t>
      </w:r>
      <w:r>
        <w:rPr>
          <w:spacing w:val="2"/>
          <w:sz w:val="24"/>
        </w:rPr>
        <w:t>30</w:t>
      </w:r>
      <w:r>
        <w:rPr>
          <w:spacing w:val="2"/>
          <w:sz w:val="24"/>
        </w:rPr>
        <w:t>日</w:t>
      </w:r>
      <w:r>
        <w:rPr>
          <w:spacing w:val="2"/>
          <w:sz w:val="24"/>
        </w:rPr>
        <w:t>~8</w:t>
      </w:r>
      <w:r>
        <w:rPr>
          <w:spacing w:val="2"/>
          <w:sz w:val="24"/>
        </w:rPr>
        <w:t>月</w:t>
      </w:r>
      <w:r>
        <w:rPr>
          <w:spacing w:val="2"/>
          <w:sz w:val="24"/>
        </w:rPr>
        <w:t>31</w:t>
      </w:r>
      <w:r>
        <w:rPr>
          <w:spacing w:val="2"/>
          <w:sz w:val="24"/>
        </w:rPr>
        <w:t>日监测数据（见表</w:t>
      </w:r>
      <w:r>
        <w:rPr>
          <w:spacing w:val="2"/>
          <w:sz w:val="24"/>
        </w:rPr>
        <w:t>3.1-</w:t>
      </w:r>
      <w:r w:rsidR="006E2C96">
        <w:rPr>
          <w:rFonts w:hint="eastAsia"/>
          <w:spacing w:val="2"/>
          <w:sz w:val="24"/>
        </w:rPr>
        <w:t>5</w:t>
      </w:r>
      <w:r>
        <w:rPr>
          <w:spacing w:val="2"/>
          <w:sz w:val="24"/>
        </w:rPr>
        <w:t>）知，</w:t>
      </w:r>
      <w:r w:rsidR="003D6D13">
        <w:rPr>
          <w:rFonts w:hint="eastAsia"/>
          <w:spacing w:val="2"/>
          <w:sz w:val="24"/>
        </w:rPr>
        <w:t>处理后</w:t>
      </w:r>
      <w:r>
        <w:rPr>
          <w:spacing w:val="2"/>
          <w:sz w:val="24"/>
        </w:rPr>
        <w:t>各监测因子不仅满足</w:t>
      </w:r>
      <w:r w:rsidR="00AF6A3F">
        <w:rPr>
          <w:rFonts w:hint="eastAsia"/>
          <w:spacing w:val="2"/>
          <w:sz w:val="24"/>
        </w:rPr>
        <w:t>原环评时</w:t>
      </w:r>
      <w:r w:rsidR="00AF6A3F" w:rsidRPr="00AF6A3F">
        <w:rPr>
          <w:spacing w:val="2"/>
          <w:sz w:val="24"/>
        </w:rPr>
        <w:t>《污水综合排放标准》</w:t>
      </w:r>
      <w:r w:rsidR="00AF6A3F" w:rsidRPr="00AF6A3F">
        <w:rPr>
          <w:spacing w:val="2"/>
          <w:sz w:val="24"/>
        </w:rPr>
        <w:t>(GB8978 -1996)</w:t>
      </w:r>
      <w:r w:rsidR="00AF6A3F" w:rsidRPr="00AF6A3F">
        <w:rPr>
          <w:spacing w:val="2"/>
          <w:sz w:val="24"/>
        </w:rPr>
        <w:t>表</w:t>
      </w:r>
      <w:r w:rsidR="00AF6A3F" w:rsidRPr="00AF6A3F">
        <w:rPr>
          <w:spacing w:val="2"/>
          <w:sz w:val="24"/>
        </w:rPr>
        <w:t>4</w:t>
      </w:r>
      <w:r w:rsidR="00AF6A3F" w:rsidRPr="00AF6A3F">
        <w:rPr>
          <w:spacing w:val="2"/>
          <w:sz w:val="24"/>
        </w:rPr>
        <w:t>一级标准</w:t>
      </w:r>
      <w:r w:rsidR="00AF6A3F">
        <w:rPr>
          <w:rFonts w:hint="eastAsia"/>
          <w:spacing w:val="2"/>
          <w:sz w:val="24"/>
        </w:rPr>
        <w:t>，也满足现行</w:t>
      </w:r>
      <w:r>
        <w:rPr>
          <w:spacing w:val="2"/>
          <w:sz w:val="24"/>
        </w:rPr>
        <w:t>《煤炭工业污染物排放标准》（</w:t>
      </w:r>
      <w:r>
        <w:rPr>
          <w:spacing w:val="2"/>
          <w:sz w:val="24"/>
        </w:rPr>
        <w:t>GB20426</w:t>
      </w:r>
      <w:r>
        <w:rPr>
          <w:spacing w:val="2"/>
          <w:sz w:val="24"/>
        </w:rPr>
        <w:t>－</w:t>
      </w:r>
      <w:r>
        <w:rPr>
          <w:spacing w:val="2"/>
          <w:sz w:val="24"/>
        </w:rPr>
        <w:t>2006</w:t>
      </w:r>
      <w:r>
        <w:rPr>
          <w:spacing w:val="2"/>
          <w:sz w:val="24"/>
        </w:rPr>
        <w:t>）表</w:t>
      </w:r>
      <w:r>
        <w:rPr>
          <w:spacing w:val="2"/>
          <w:sz w:val="24"/>
        </w:rPr>
        <w:t>1</w:t>
      </w:r>
      <w:r>
        <w:rPr>
          <w:spacing w:val="2"/>
          <w:sz w:val="24"/>
        </w:rPr>
        <w:t>和表</w:t>
      </w:r>
      <w:r>
        <w:rPr>
          <w:spacing w:val="2"/>
          <w:sz w:val="24"/>
        </w:rPr>
        <w:t>2</w:t>
      </w:r>
      <w:r>
        <w:rPr>
          <w:spacing w:val="2"/>
          <w:sz w:val="24"/>
        </w:rPr>
        <w:t>中污染物排放限值要求。</w:t>
      </w:r>
      <w:r w:rsidR="002214ED">
        <w:rPr>
          <w:rFonts w:hint="eastAsia"/>
          <w:spacing w:val="2"/>
          <w:sz w:val="24"/>
        </w:rPr>
        <w:t>目前，</w:t>
      </w:r>
      <w:r>
        <w:rPr>
          <w:spacing w:val="2"/>
          <w:sz w:val="24"/>
        </w:rPr>
        <w:t>处理达标后的矿井水部分（</w:t>
      </w:r>
      <w:r w:rsidR="004303CD">
        <w:rPr>
          <w:rFonts w:hint="eastAsia"/>
          <w:spacing w:val="2"/>
          <w:sz w:val="24"/>
        </w:rPr>
        <w:t>286.2</w:t>
      </w:r>
      <w:r>
        <w:rPr>
          <w:spacing w:val="2"/>
          <w:sz w:val="24"/>
        </w:rPr>
        <w:t>m</w:t>
      </w:r>
      <w:r>
        <w:rPr>
          <w:spacing w:val="2"/>
          <w:sz w:val="24"/>
          <w:vertAlign w:val="superscript"/>
        </w:rPr>
        <w:t>3</w:t>
      </w:r>
      <w:r>
        <w:rPr>
          <w:spacing w:val="2"/>
          <w:sz w:val="24"/>
        </w:rPr>
        <w:t>/d</w:t>
      </w:r>
      <w:r>
        <w:rPr>
          <w:spacing w:val="2"/>
          <w:sz w:val="24"/>
        </w:rPr>
        <w:t>）回用于井下洒水、</w:t>
      </w:r>
      <w:r w:rsidR="00802A62">
        <w:rPr>
          <w:spacing w:val="2"/>
          <w:sz w:val="24"/>
        </w:rPr>
        <w:t>储煤库</w:t>
      </w:r>
      <w:r>
        <w:rPr>
          <w:spacing w:val="2"/>
          <w:sz w:val="24"/>
        </w:rPr>
        <w:t>洒水、空压机补充水、运输道路防尘洒水等生产用水，剩余部分（</w:t>
      </w:r>
      <w:r w:rsidR="004303CD">
        <w:rPr>
          <w:rFonts w:hint="eastAsia"/>
          <w:spacing w:val="2"/>
          <w:sz w:val="24"/>
        </w:rPr>
        <w:t>193.8</w:t>
      </w:r>
      <w:r>
        <w:rPr>
          <w:spacing w:val="2"/>
          <w:sz w:val="24"/>
        </w:rPr>
        <w:t>m</w:t>
      </w:r>
      <w:r>
        <w:rPr>
          <w:spacing w:val="2"/>
          <w:sz w:val="24"/>
          <w:vertAlign w:val="superscript"/>
        </w:rPr>
        <w:t>3</w:t>
      </w:r>
      <w:r>
        <w:rPr>
          <w:spacing w:val="2"/>
          <w:sz w:val="24"/>
        </w:rPr>
        <w:t>/d</w:t>
      </w:r>
      <w:r>
        <w:rPr>
          <w:spacing w:val="2"/>
          <w:sz w:val="24"/>
        </w:rPr>
        <w:t>）排至赵沟河、纸坊水库后用于周边农田灌溉</w:t>
      </w:r>
      <w:r w:rsidR="004303CD">
        <w:rPr>
          <w:rFonts w:hint="eastAsia"/>
          <w:spacing w:val="2"/>
          <w:sz w:val="24"/>
        </w:rPr>
        <w:t>及生态补水</w:t>
      </w:r>
      <w:r>
        <w:rPr>
          <w:spacing w:val="2"/>
          <w:sz w:val="24"/>
        </w:rPr>
        <w:t>。</w:t>
      </w:r>
    </w:p>
    <w:p w:rsidR="00240BCE" w:rsidRDefault="00AC0334">
      <w:pPr>
        <w:spacing w:line="520" w:lineRule="exact"/>
        <w:jc w:val="center"/>
        <w:rPr>
          <w:b/>
          <w:bCs/>
          <w:color w:val="000000"/>
          <w:sz w:val="21"/>
          <w:szCs w:val="21"/>
        </w:rPr>
      </w:pPr>
      <w:r>
        <w:rPr>
          <w:rFonts w:eastAsia="黑体"/>
          <w:sz w:val="24"/>
        </w:rPr>
        <w:t>表</w:t>
      </w:r>
      <w:r>
        <w:rPr>
          <w:rFonts w:eastAsia="黑体"/>
          <w:sz w:val="24"/>
        </w:rPr>
        <w:t>3.1-</w:t>
      </w:r>
      <w:r w:rsidR="006E2C96">
        <w:rPr>
          <w:rFonts w:eastAsia="黑体" w:hint="eastAsia"/>
          <w:sz w:val="24"/>
        </w:rPr>
        <w:t>5</w:t>
      </w:r>
      <w:r>
        <w:rPr>
          <w:rFonts w:eastAsia="黑体"/>
          <w:sz w:val="24"/>
        </w:rPr>
        <w:t xml:space="preserve">  </w:t>
      </w:r>
      <w:r>
        <w:rPr>
          <w:rFonts w:eastAsia="黑体"/>
          <w:sz w:val="24"/>
        </w:rPr>
        <w:t>矿井水监测统计结果</w:t>
      </w:r>
      <w:r>
        <w:rPr>
          <w:b/>
          <w:bCs/>
          <w:color w:val="000000"/>
          <w:sz w:val="21"/>
          <w:szCs w:val="21"/>
        </w:rPr>
        <w:t>（单位：</w:t>
      </w:r>
      <w:r>
        <w:rPr>
          <w:b/>
          <w:bCs/>
          <w:sz w:val="21"/>
          <w:szCs w:val="21"/>
        </w:rPr>
        <w:t>mg/L</w:t>
      </w:r>
      <w:r>
        <w:rPr>
          <w:b/>
          <w:bCs/>
          <w:sz w:val="21"/>
          <w:szCs w:val="21"/>
        </w:rPr>
        <w:t>，</w:t>
      </w:r>
      <w:r>
        <w:rPr>
          <w:b/>
          <w:bCs/>
          <w:sz w:val="21"/>
          <w:szCs w:val="21"/>
        </w:rPr>
        <w:t>pH</w:t>
      </w:r>
      <w:r>
        <w:rPr>
          <w:b/>
          <w:bCs/>
          <w:sz w:val="21"/>
          <w:szCs w:val="21"/>
        </w:rPr>
        <w:t>值无量纲，砷：</w:t>
      </w:r>
      <w:r>
        <w:rPr>
          <w:b/>
          <w:bCs/>
          <w:sz w:val="21"/>
          <w:szCs w:val="21"/>
        </w:rPr>
        <w:t>μg/L</w:t>
      </w:r>
      <w:r>
        <w:rPr>
          <w:b/>
          <w:bCs/>
          <w:color w:val="000000"/>
          <w:sz w:val="21"/>
          <w:szCs w:val="21"/>
        </w:rPr>
        <w:t>）</w:t>
      </w: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7"/>
        <w:gridCol w:w="690"/>
        <w:gridCol w:w="677"/>
        <w:gridCol w:w="676"/>
        <w:gridCol w:w="677"/>
        <w:gridCol w:w="676"/>
        <w:gridCol w:w="676"/>
        <w:gridCol w:w="677"/>
        <w:gridCol w:w="676"/>
        <w:gridCol w:w="676"/>
        <w:gridCol w:w="677"/>
        <w:gridCol w:w="676"/>
        <w:gridCol w:w="674"/>
      </w:tblGrid>
      <w:tr w:rsidR="00240BCE">
        <w:trPr>
          <w:cantSplit/>
          <w:jc w:val="center"/>
        </w:trPr>
        <w:tc>
          <w:tcPr>
            <w:tcW w:w="332" w:type="pct"/>
            <w:vMerge w:val="restart"/>
            <w:vAlign w:val="center"/>
          </w:tcPr>
          <w:p w:rsidR="00240BCE" w:rsidRDefault="00AC0334">
            <w:pPr>
              <w:spacing w:line="320" w:lineRule="exact"/>
              <w:jc w:val="center"/>
              <w:rPr>
                <w:b/>
                <w:bCs/>
                <w:color w:val="000000"/>
                <w:sz w:val="21"/>
                <w:szCs w:val="21"/>
              </w:rPr>
            </w:pPr>
            <w:r>
              <w:rPr>
                <w:b/>
                <w:bCs/>
                <w:color w:val="000000"/>
                <w:sz w:val="21"/>
                <w:szCs w:val="21"/>
              </w:rPr>
              <w:t>检测时间</w:t>
            </w:r>
          </w:p>
        </w:tc>
        <w:tc>
          <w:tcPr>
            <w:tcW w:w="397" w:type="pct"/>
            <w:vMerge w:val="restart"/>
            <w:vAlign w:val="center"/>
          </w:tcPr>
          <w:p w:rsidR="00240BCE" w:rsidRDefault="00AC0334">
            <w:pPr>
              <w:spacing w:line="320" w:lineRule="exact"/>
              <w:jc w:val="center"/>
              <w:rPr>
                <w:b/>
                <w:bCs/>
                <w:color w:val="000000"/>
                <w:sz w:val="21"/>
                <w:szCs w:val="21"/>
              </w:rPr>
            </w:pPr>
            <w:r>
              <w:rPr>
                <w:b/>
                <w:bCs/>
                <w:color w:val="000000"/>
                <w:sz w:val="21"/>
                <w:szCs w:val="21"/>
              </w:rPr>
              <w:t>检测点位</w:t>
            </w:r>
          </w:p>
        </w:tc>
        <w:tc>
          <w:tcPr>
            <w:tcW w:w="4271" w:type="pct"/>
            <w:gridSpan w:val="11"/>
            <w:vAlign w:val="center"/>
          </w:tcPr>
          <w:p w:rsidR="00240BCE" w:rsidRDefault="00AC0334">
            <w:pPr>
              <w:spacing w:line="320" w:lineRule="exact"/>
              <w:jc w:val="center"/>
              <w:rPr>
                <w:b/>
                <w:bCs/>
                <w:sz w:val="21"/>
                <w:szCs w:val="21"/>
              </w:rPr>
            </w:pPr>
            <w:r>
              <w:rPr>
                <w:b/>
                <w:bCs/>
                <w:sz w:val="21"/>
                <w:szCs w:val="21"/>
              </w:rPr>
              <w:t>检测项目</w:t>
            </w:r>
          </w:p>
        </w:tc>
      </w:tr>
      <w:tr w:rsidR="00240BCE">
        <w:trPr>
          <w:cantSplit/>
          <w:jc w:val="center"/>
        </w:trPr>
        <w:tc>
          <w:tcPr>
            <w:tcW w:w="332" w:type="pct"/>
            <w:vMerge/>
            <w:vAlign w:val="center"/>
          </w:tcPr>
          <w:p w:rsidR="00240BCE" w:rsidRDefault="00240BCE">
            <w:pPr>
              <w:widowControl/>
              <w:spacing w:line="320" w:lineRule="exact"/>
              <w:jc w:val="left"/>
              <w:rPr>
                <w:b/>
                <w:bCs/>
                <w:color w:val="000000"/>
                <w:sz w:val="21"/>
                <w:szCs w:val="21"/>
              </w:rPr>
            </w:pPr>
          </w:p>
        </w:tc>
        <w:tc>
          <w:tcPr>
            <w:tcW w:w="397" w:type="pct"/>
            <w:vMerge/>
            <w:vAlign w:val="center"/>
          </w:tcPr>
          <w:p w:rsidR="00240BCE" w:rsidRDefault="00240BCE">
            <w:pPr>
              <w:widowControl/>
              <w:spacing w:line="320" w:lineRule="exact"/>
              <w:jc w:val="left"/>
              <w:rPr>
                <w:b/>
                <w:bCs/>
                <w:color w:val="000000"/>
                <w:sz w:val="21"/>
                <w:szCs w:val="21"/>
              </w:rPr>
            </w:pPr>
          </w:p>
        </w:tc>
        <w:tc>
          <w:tcPr>
            <w:tcW w:w="389" w:type="pct"/>
            <w:vAlign w:val="center"/>
          </w:tcPr>
          <w:p w:rsidR="00240BCE" w:rsidRDefault="00AC0334">
            <w:pPr>
              <w:spacing w:line="320" w:lineRule="exact"/>
              <w:jc w:val="center"/>
              <w:rPr>
                <w:b/>
                <w:bCs/>
                <w:sz w:val="21"/>
                <w:szCs w:val="21"/>
              </w:rPr>
            </w:pPr>
            <w:r>
              <w:rPr>
                <w:b/>
                <w:bCs/>
                <w:sz w:val="21"/>
                <w:szCs w:val="21"/>
              </w:rPr>
              <w:t>pH</w:t>
            </w:r>
            <w:r>
              <w:rPr>
                <w:b/>
                <w:bCs/>
                <w:sz w:val="21"/>
                <w:szCs w:val="21"/>
              </w:rPr>
              <w:t>值</w:t>
            </w:r>
          </w:p>
        </w:tc>
        <w:tc>
          <w:tcPr>
            <w:tcW w:w="388" w:type="pct"/>
            <w:vAlign w:val="center"/>
          </w:tcPr>
          <w:p w:rsidR="00240BCE" w:rsidRDefault="00AC0334">
            <w:pPr>
              <w:spacing w:line="320" w:lineRule="exact"/>
              <w:jc w:val="center"/>
              <w:rPr>
                <w:b/>
                <w:bCs/>
                <w:sz w:val="21"/>
                <w:szCs w:val="21"/>
                <w:vertAlign w:val="subscript"/>
              </w:rPr>
            </w:pPr>
            <w:r>
              <w:rPr>
                <w:b/>
                <w:bCs/>
                <w:sz w:val="21"/>
                <w:szCs w:val="21"/>
              </w:rPr>
              <w:t>COD</w:t>
            </w:r>
            <w:r>
              <w:rPr>
                <w:b/>
                <w:bCs/>
                <w:sz w:val="21"/>
                <w:szCs w:val="21"/>
                <w:vertAlign w:val="subscript"/>
              </w:rPr>
              <w:t>Cr</w:t>
            </w:r>
          </w:p>
        </w:tc>
        <w:tc>
          <w:tcPr>
            <w:tcW w:w="389" w:type="pct"/>
            <w:vAlign w:val="center"/>
          </w:tcPr>
          <w:p w:rsidR="00240BCE" w:rsidRDefault="00AC0334">
            <w:pPr>
              <w:spacing w:line="320" w:lineRule="exact"/>
              <w:jc w:val="center"/>
              <w:rPr>
                <w:b/>
                <w:bCs/>
                <w:sz w:val="21"/>
                <w:szCs w:val="21"/>
              </w:rPr>
            </w:pPr>
            <w:r>
              <w:rPr>
                <w:b/>
                <w:bCs/>
                <w:sz w:val="21"/>
                <w:szCs w:val="21"/>
              </w:rPr>
              <w:t>悬浮物</w:t>
            </w:r>
          </w:p>
        </w:tc>
        <w:tc>
          <w:tcPr>
            <w:tcW w:w="388" w:type="pct"/>
            <w:vAlign w:val="center"/>
          </w:tcPr>
          <w:p w:rsidR="00240BCE" w:rsidRDefault="00AC0334">
            <w:pPr>
              <w:spacing w:line="320" w:lineRule="exact"/>
              <w:jc w:val="center"/>
              <w:rPr>
                <w:b/>
                <w:bCs/>
                <w:sz w:val="21"/>
                <w:szCs w:val="21"/>
              </w:rPr>
            </w:pPr>
            <w:r>
              <w:rPr>
                <w:b/>
                <w:bCs/>
                <w:sz w:val="21"/>
                <w:szCs w:val="21"/>
              </w:rPr>
              <w:t>六价铬</w:t>
            </w:r>
          </w:p>
        </w:tc>
        <w:tc>
          <w:tcPr>
            <w:tcW w:w="388" w:type="pct"/>
            <w:vAlign w:val="center"/>
          </w:tcPr>
          <w:p w:rsidR="00240BCE" w:rsidRDefault="00AC0334">
            <w:pPr>
              <w:spacing w:line="320" w:lineRule="exact"/>
              <w:jc w:val="center"/>
              <w:rPr>
                <w:b/>
                <w:bCs/>
                <w:sz w:val="21"/>
                <w:szCs w:val="21"/>
              </w:rPr>
            </w:pPr>
            <w:r>
              <w:rPr>
                <w:b/>
                <w:bCs/>
                <w:sz w:val="21"/>
                <w:szCs w:val="21"/>
              </w:rPr>
              <w:t>砷</w:t>
            </w:r>
          </w:p>
        </w:tc>
        <w:tc>
          <w:tcPr>
            <w:tcW w:w="389" w:type="pct"/>
            <w:vAlign w:val="center"/>
          </w:tcPr>
          <w:p w:rsidR="00240BCE" w:rsidRDefault="00AC0334">
            <w:pPr>
              <w:spacing w:line="320" w:lineRule="exact"/>
              <w:jc w:val="center"/>
              <w:rPr>
                <w:b/>
                <w:bCs/>
                <w:sz w:val="21"/>
                <w:szCs w:val="21"/>
              </w:rPr>
            </w:pPr>
            <w:r>
              <w:rPr>
                <w:b/>
                <w:bCs/>
                <w:sz w:val="21"/>
                <w:szCs w:val="21"/>
              </w:rPr>
              <w:t>铁</w:t>
            </w:r>
          </w:p>
        </w:tc>
        <w:tc>
          <w:tcPr>
            <w:tcW w:w="388" w:type="pct"/>
            <w:vAlign w:val="center"/>
          </w:tcPr>
          <w:p w:rsidR="00240BCE" w:rsidRDefault="00AC0334">
            <w:pPr>
              <w:spacing w:line="320" w:lineRule="exact"/>
              <w:jc w:val="center"/>
              <w:rPr>
                <w:b/>
                <w:bCs/>
                <w:sz w:val="21"/>
                <w:szCs w:val="21"/>
              </w:rPr>
            </w:pPr>
            <w:r>
              <w:rPr>
                <w:b/>
                <w:bCs/>
                <w:sz w:val="21"/>
                <w:szCs w:val="21"/>
              </w:rPr>
              <w:t>镉</w:t>
            </w:r>
          </w:p>
        </w:tc>
        <w:tc>
          <w:tcPr>
            <w:tcW w:w="388" w:type="pct"/>
            <w:vAlign w:val="center"/>
          </w:tcPr>
          <w:p w:rsidR="00240BCE" w:rsidRDefault="00AC0334">
            <w:pPr>
              <w:spacing w:line="320" w:lineRule="exact"/>
              <w:jc w:val="center"/>
              <w:rPr>
                <w:b/>
                <w:bCs/>
                <w:sz w:val="21"/>
                <w:szCs w:val="21"/>
              </w:rPr>
            </w:pPr>
            <w:r>
              <w:rPr>
                <w:b/>
                <w:bCs/>
                <w:sz w:val="21"/>
                <w:szCs w:val="21"/>
              </w:rPr>
              <w:t>氟化物</w:t>
            </w:r>
          </w:p>
        </w:tc>
        <w:tc>
          <w:tcPr>
            <w:tcW w:w="389" w:type="pct"/>
            <w:vAlign w:val="center"/>
          </w:tcPr>
          <w:p w:rsidR="00240BCE" w:rsidRDefault="00AC0334">
            <w:pPr>
              <w:spacing w:line="320" w:lineRule="exact"/>
              <w:jc w:val="center"/>
              <w:rPr>
                <w:b/>
                <w:bCs/>
                <w:sz w:val="21"/>
                <w:szCs w:val="21"/>
              </w:rPr>
            </w:pPr>
            <w:r>
              <w:rPr>
                <w:b/>
                <w:bCs/>
                <w:sz w:val="21"/>
                <w:szCs w:val="21"/>
              </w:rPr>
              <w:t>氨氮</w:t>
            </w:r>
          </w:p>
        </w:tc>
        <w:tc>
          <w:tcPr>
            <w:tcW w:w="388" w:type="pct"/>
            <w:vAlign w:val="center"/>
          </w:tcPr>
          <w:p w:rsidR="00240BCE" w:rsidRDefault="00AC0334">
            <w:pPr>
              <w:spacing w:line="320" w:lineRule="exact"/>
              <w:jc w:val="center"/>
              <w:rPr>
                <w:b/>
                <w:bCs/>
                <w:sz w:val="21"/>
                <w:szCs w:val="21"/>
              </w:rPr>
            </w:pPr>
            <w:r>
              <w:rPr>
                <w:b/>
                <w:bCs/>
                <w:sz w:val="21"/>
                <w:szCs w:val="21"/>
              </w:rPr>
              <w:t>石油类</w:t>
            </w:r>
          </w:p>
        </w:tc>
        <w:tc>
          <w:tcPr>
            <w:tcW w:w="388" w:type="pct"/>
            <w:vAlign w:val="center"/>
          </w:tcPr>
          <w:p w:rsidR="00240BCE" w:rsidRDefault="00AC0334">
            <w:pPr>
              <w:spacing w:line="320" w:lineRule="exact"/>
              <w:jc w:val="center"/>
              <w:rPr>
                <w:b/>
                <w:bCs/>
                <w:sz w:val="21"/>
                <w:szCs w:val="21"/>
              </w:rPr>
            </w:pPr>
            <w:r>
              <w:rPr>
                <w:b/>
                <w:bCs/>
                <w:sz w:val="21"/>
                <w:szCs w:val="21"/>
              </w:rPr>
              <w:t>全盐量</w:t>
            </w:r>
          </w:p>
        </w:tc>
      </w:tr>
      <w:tr w:rsidR="00240BCE">
        <w:trPr>
          <w:cantSplit/>
          <w:jc w:val="center"/>
        </w:trPr>
        <w:tc>
          <w:tcPr>
            <w:tcW w:w="332" w:type="pct"/>
            <w:vMerge w:val="restart"/>
            <w:vAlign w:val="center"/>
          </w:tcPr>
          <w:p w:rsidR="00240BCE" w:rsidRDefault="00AC0334">
            <w:pPr>
              <w:autoSpaceDE w:val="0"/>
              <w:autoSpaceDN w:val="0"/>
              <w:adjustRightInd w:val="0"/>
              <w:spacing w:line="320" w:lineRule="exact"/>
              <w:jc w:val="center"/>
              <w:rPr>
                <w:sz w:val="21"/>
                <w:szCs w:val="21"/>
              </w:rPr>
            </w:pPr>
            <w:r>
              <w:rPr>
                <w:sz w:val="21"/>
                <w:szCs w:val="21"/>
              </w:rPr>
              <w:t>2020.08.30</w:t>
            </w:r>
          </w:p>
        </w:tc>
        <w:tc>
          <w:tcPr>
            <w:tcW w:w="397" w:type="pct"/>
            <w:vMerge w:val="restart"/>
            <w:vAlign w:val="center"/>
          </w:tcPr>
          <w:p w:rsidR="00240BCE" w:rsidRDefault="00AC0334">
            <w:pPr>
              <w:adjustRightInd w:val="0"/>
              <w:snapToGrid w:val="0"/>
              <w:spacing w:line="320" w:lineRule="exact"/>
              <w:jc w:val="center"/>
              <w:rPr>
                <w:sz w:val="21"/>
                <w:szCs w:val="21"/>
              </w:rPr>
            </w:pPr>
            <w:r>
              <w:rPr>
                <w:sz w:val="21"/>
                <w:szCs w:val="21"/>
              </w:rPr>
              <w:t>矿井水处理设施进口</w:t>
            </w:r>
          </w:p>
        </w:tc>
        <w:tc>
          <w:tcPr>
            <w:tcW w:w="389" w:type="pct"/>
            <w:vAlign w:val="center"/>
          </w:tcPr>
          <w:p w:rsidR="00240BCE" w:rsidRDefault="00AC0334">
            <w:pPr>
              <w:spacing w:line="320" w:lineRule="exact"/>
              <w:jc w:val="center"/>
              <w:rPr>
                <w:color w:val="000000"/>
                <w:sz w:val="21"/>
                <w:szCs w:val="21"/>
              </w:rPr>
            </w:pPr>
            <w:r>
              <w:rPr>
                <w:color w:val="000000"/>
                <w:sz w:val="21"/>
                <w:szCs w:val="21"/>
              </w:rPr>
              <w:t>7.31</w:t>
            </w:r>
          </w:p>
        </w:tc>
        <w:tc>
          <w:tcPr>
            <w:tcW w:w="388" w:type="pct"/>
            <w:vAlign w:val="center"/>
          </w:tcPr>
          <w:p w:rsidR="00240BCE" w:rsidRDefault="00AC0334">
            <w:pPr>
              <w:spacing w:line="320" w:lineRule="exact"/>
              <w:jc w:val="center"/>
              <w:rPr>
                <w:color w:val="000000"/>
                <w:sz w:val="21"/>
                <w:szCs w:val="21"/>
              </w:rPr>
            </w:pPr>
            <w:r>
              <w:rPr>
                <w:color w:val="000000"/>
                <w:sz w:val="21"/>
                <w:szCs w:val="21"/>
              </w:rPr>
              <w:t>48</w:t>
            </w:r>
          </w:p>
        </w:tc>
        <w:tc>
          <w:tcPr>
            <w:tcW w:w="389" w:type="pct"/>
            <w:vAlign w:val="center"/>
          </w:tcPr>
          <w:p w:rsidR="00240BCE" w:rsidRDefault="00AC0334">
            <w:pPr>
              <w:spacing w:line="320" w:lineRule="exact"/>
              <w:jc w:val="center"/>
              <w:rPr>
                <w:color w:val="000000"/>
                <w:sz w:val="21"/>
                <w:szCs w:val="21"/>
              </w:rPr>
            </w:pPr>
            <w:r>
              <w:rPr>
                <w:color w:val="000000"/>
                <w:sz w:val="21"/>
                <w:szCs w:val="21"/>
              </w:rPr>
              <w:t>15</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7.5</w:t>
            </w:r>
          </w:p>
        </w:tc>
        <w:tc>
          <w:tcPr>
            <w:tcW w:w="389" w:type="pct"/>
            <w:vAlign w:val="center"/>
          </w:tcPr>
          <w:p w:rsidR="00240BCE" w:rsidRDefault="00AC0334">
            <w:pPr>
              <w:spacing w:line="320" w:lineRule="exact"/>
              <w:jc w:val="center"/>
              <w:rPr>
                <w:color w:val="000000"/>
                <w:sz w:val="21"/>
                <w:szCs w:val="21"/>
              </w:rPr>
            </w:pPr>
            <w:r>
              <w:rPr>
                <w:color w:val="000000"/>
                <w:sz w:val="21"/>
                <w:szCs w:val="21"/>
              </w:rPr>
              <w:t>0.17</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3.32</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0.553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2.90 </w:t>
            </w:r>
          </w:p>
        </w:tc>
        <w:tc>
          <w:tcPr>
            <w:tcW w:w="388" w:type="pct"/>
            <w:vAlign w:val="center"/>
          </w:tcPr>
          <w:p w:rsidR="00240BCE" w:rsidRDefault="00AC0334">
            <w:pPr>
              <w:spacing w:line="320" w:lineRule="exact"/>
              <w:jc w:val="center"/>
              <w:rPr>
                <w:color w:val="000000"/>
                <w:sz w:val="21"/>
                <w:szCs w:val="21"/>
              </w:rPr>
            </w:pPr>
            <w:r>
              <w:rPr>
                <w:color w:val="000000"/>
                <w:sz w:val="21"/>
                <w:szCs w:val="21"/>
              </w:rPr>
              <w:t>556</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ign w:val="center"/>
          </w:tcPr>
          <w:p w:rsidR="00240BCE" w:rsidRDefault="00240BCE">
            <w:pPr>
              <w:widowControl/>
              <w:spacing w:line="320" w:lineRule="exact"/>
              <w:jc w:val="left"/>
              <w:rPr>
                <w:sz w:val="21"/>
                <w:szCs w:val="21"/>
              </w:rPr>
            </w:pPr>
          </w:p>
        </w:tc>
        <w:tc>
          <w:tcPr>
            <w:tcW w:w="389" w:type="pct"/>
            <w:vAlign w:val="center"/>
          </w:tcPr>
          <w:p w:rsidR="00240BCE" w:rsidRDefault="00AC0334">
            <w:pPr>
              <w:spacing w:line="320" w:lineRule="exact"/>
              <w:jc w:val="center"/>
              <w:rPr>
                <w:color w:val="000000"/>
                <w:sz w:val="21"/>
                <w:szCs w:val="21"/>
              </w:rPr>
            </w:pPr>
            <w:r>
              <w:rPr>
                <w:color w:val="000000"/>
                <w:sz w:val="21"/>
                <w:szCs w:val="21"/>
              </w:rPr>
              <w:t>7.41</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42 </w:t>
            </w:r>
          </w:p>
        </w:tc>
        <w:tc>
          <w:tcPr>
            <w:tcW w:w="389" w:type="pct"/>
            <w:vAlign w:val="center"/>
          </w:tcPr>
          <w:p w:rsidR="00240BCE" w:rsidRDefault="00AC0334">
            <w:pPr>
              <w:spacing w:line="320" w:lineRule="exact"/>
              <w:jc w:val="center"/>
              <w:rPr>
                <w:color w:val="000000"/>
                <w:sz w:val="21"/>
                <w:szCs w:val="21"/>
              </w:rPr>
            </w:pPr>
            <w:r>
              <w:rPr>
                <w:color w:val="000000"/>
                <w:sz w:val="21"/>
                <w:szCs w:val="21"/>
              </w:rPr>
              <w:t>19</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7.5</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0.20 </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2.92</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0.529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2.94 </w:t>
            </w:r>
          </w:p>
        </w:tc>
        <w:tc>
          <w:tcPr>
            <w:tcW w:w="388" w:type="pct"/>
            <w:vAlign w:val="center"/>
          </w:tcPr>
          <w:p w:rsidR="00240BCE" w:rsidRDefault="00AC0334">
            <w:pPr>
              <w:spacing w:line="320" w:lineRule="exact"/>
              <w:jc w:val="center"/>
              <w:rPr>
                <w:color w:val="000000"/>
                <w:sz w:val="21"/>
                <w:szCs w:val="21"/>
              </w:rPr>
            </w:pPr>
            <w:r>
              <w:rPr>
                <w:color w:val="000000"/>
                <w:sz w:val="21"/>
                <w:szCs w:val="21"/>
              </w:rPr>
              <w:t>537</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ign w:val="center"/>
          </w:tcPr>
          <w:p w:rsidR="00240BCE" w:rsidRDefault="00240BCE">
            <w:pPr>
              <w:widowControl/>
              <w:spacing w:line="320" w:lineRule="exact"/>
              <w:jc w:val="left"/>
              <w:rPr>
                <w:sz w:val="21"/>
                <w:szCs w:val="21"/>
              </w:rPr>
            </w:pPr>
          </w:p>
        </w:tc>
        <w:tc>
          <w:tcPr>
            <w:tcW w:w="389" w:type="pct"/>
            <w:vAlign w:val="center"/>
          </w:tcPr>
          <w:p w:rsidR="00240BCE" w:rsidRDefault="00AC0334">
            <w:pPr>
              <w:spacing w:line="320" w:lineRule="exact"/>
              <w:jc w:val="center"/>
              <w:rPr>
                <w:color w:val="000000"/>
                <w:sz w:val="21"/>
                <w:szCs w:val="21"/>
              </w:rPr>
            </w:pPr>
            <w:r>
              <w:rPr>
                <w:color w:val="000000"/>
                <w:sz w:val="21"/>
                <w:szCs w:val="21"/>
              </w:rPr>
              <w:t>7.35</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47 </w:t>
            </w:r>
          </w:p>
        </w:tc>
        <w:tc>
          <w:tcPr>
            <w:tcW w:w="389" w:type="pct"/>
            <w:vAlign w:val="center"/>
          </w:tcPr>
          <w:p w:rsidR="00240BCE" w:rsidRDefault="00AC0334">
            <w:pPr>
              <w:spacing w:line="320" w:lineRule="exact"/>
              <w:jc w:val="center"/>
              <w:rPr>
                <w:color w:val="000000"/>
                <w:sz w:val="21"/>
                <w:szCs w:val="21"/>
              </w:rPr>
            </w:pPr>
            <w:r>
              <w:rPr>
                <w:color w:val="000000"/>
                <w:sz w:val="21"/>
                <w:szCs w:val="21"/>
              </w:rPr>
              <w:t>10</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7.7</w:t>
            </w:r>
          </w:p>
        </w:tc>
        <w:tc>
          <w:tcPr>
            <w:tcW w:w="389" w:type="pct"/>
            <w:vAlign w:val="center"/>
          </w:tcPr>
          <w:p w:rsidR="00240BCE" w:rsidRDefault="00AC0334">
            <w:pPr>
              <w:spacing w:line="320" w:lineRule="exact"/>
              <w:jc w:val="center"/>
              <w:rPr>
                <w:color w:val="000000"/>
                <w:sz w:val="21"/>
                <w:szCs w:val="21"/>
              </w:rPr>
            </w:pPr>
            <w:r>
              <w:rPr>
                <w:color w:val="000000"/>
                <w:sz w:val="21"/>
                <w:szCs w:val="21"/>
              </w:rPr>
              <w:t>0.17</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3.58</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0.513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2.98 </w:t>
            </w:r>
          </w:p>
        </w:tc>
        <w:tc>
          <w:tcPr>
            <w:tcW w:w="388" w:type="pct"/>
            <w:vAlign w:val="center"/>
          </w:tcPr>
          <w:p w:rsidR="00240BCE" w:rsidRDefault="00AC0334">
            <w:pPr>
              <w:spacing w:line="320" w:lineRule="exact"/>
              <w:jc w:val="center"/>
              <w:rPr>
                <w:color w:val="000000"/>
                <w:sz w:val="21"/>
                <w:szCs w:val="21"/>
              </w:rPr>
            </w:pPr>
            <w:r>
              <w:rPr>
                <w:color w:val="000000"/>
                <w:sz w:val="21"/>
                <w:szCs w:val="21"/>
              </w:rPr>
              <w:t>572</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restart"/>
            <w:vAlign w:val="center"/>
          </w:tcPr>
          <w:p w:rsidR="00240BCE" w:rsidRDefault="00AC0334">
            <w:pPr>
              <w:adjustRightInd w:val="0"/>
              <w:snapToGrid w:val="0"/>
              <w:spacing w:line="320" w:lineRule="exact"/>
              <w:jc w:val="center"/>
              <w:rPr>
                <w:sz w:val="21"/>
                <w:szCs w:val="21"/>
              </w:rPr>
            </w:pPr>
            <w:r>
              <w:rPr>
                <w:sz w:val="21"/>
                <w:szCs w:val="21"/>
              </w:rPr>
              <w:t>矿井水处理设施出口</w:t>
            </w:r>
          </w:p>
        </w:tc>
        <w:tc>
          <w:tcPr>
            <w:tcW w:w="389" w:type="pct"/>
            <w:vAlign w:val="center"/>
          </w:tcPr>
          <w:p w:rsidR="00240BCE" w:rsidRDefault="00AC0334">
            <w:pPr>
              <w:spacing w:line="320" w:lineRule="exact"/>
              <w:jc w:val="center"/>
              <w:rPr>
                <w:color w:val="000000"/>
                <w:sz w:val="21"/>
                <w:szCs w:val="21"/>
              </w:rPr>
            </w:pPr>
            <w:r>
              <w:rPr>
                <w:color w:val="000000"/>
                <w:sz w:val="21"/>
                <w:szCs w:val="21"/>
              </w:rPr>
              <w:t>7.28</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42 </w:t>
            </w:r>
          </w:p>
        </w:tc>
        <w:tc>
          <w:tcPr>
            <w:tcW w:w="389" w:type="pct"/>
            <w:vAlign w:val="center"/>
          </w:tcPr>
          <w:p w:rsidR="00240BCE" w:rsidRDefault="00AC0334">
            <w:pPr>
              <w:spacing w:line="320" w:lineRule="exact"/>
              <w:jc w:val="center"/>
              <w:rPr>
                <w:color w:val="000000"/>
                <w:sz w:val="21"/>
                <w:szCs w:val="21"/>
              </w:rPr>
            </w:pPr>
            <w:r>
              <w:rPr>
                <w:color w:val="000000"/>
                <w:sz w:val="21"/>
                <w:szCs w:val="21"/>
              </w:rPr>
              <w:t>6</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3.7</w:t>
            </w:r>
          </w:p>
        </w:tc>
        <w:tc>
          <w:tcPr>
            <w:tcW w:w="389" w:type="pct"/>
            <w:vAlign w:val="center"/>
          </w:tcPr>
          <w:p w:rsidR="00240BCE" w:rsidRDefault="00AC0334">
            <w:pPr>
              <w:spacing w:line="320" w:lineRule="exact"/>
              <w:jc w:val="center"/>
              <w:rPr>
                <w:color w:val="000000"/>
                <w:sz w:val="21"/>
                <w:szCs w:val="21"/>
              </w:rPr>
            </w:pPr>
            <w:r>
              <w:rPr>
                <w:color w:val="000000"/>
                <w:sz w:val="21"/>
                <w:szCs w:val="21"/>
              </w:rPr>
              <w:t>0.07</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1.43</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0.332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1.07 </w:t>
            </w:r>
          </w:p>
        </w:tc>
        <w:tc>
          <w:tcPr>
            <w:tcW w:w="388" w:type="pct"/>
            <w:vAlign w:val="center"/>
          </w:tcPr>
          <w:p w:rsidR="00240BCE" w:rsidRDefault="00AC0334">
            <w:pPr>
              <w:spacing w:line="320" w:lineRule="exact"/>
              <w:jc w:val="center"/>
              <w:rPr>
                <w:color w:val="000000"/>
                <w:sz w:val="21"/>
                <w:szCs w:val="21"/>
              </w:rPr>
            </w:pPr>
            <w:r>
              <w:rPr>
                <w:color w:val="000000"/>
                <w:sz w:val="21"/>
                <w:szCs w:val="21"/>
              </w:rPr>
              <w:t>470</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ign w:val="center"/>
          </w:tcPr>
          <w:p w:rsidR="00240BCE" w:rsidRDefault="00240BCE">
            <w:pPr>
              <w:widowControl/>
              <w:spacing w:line="320" w:lineRule="exact"/>
              <w:jc w:val="left"/>
              <w:rPr>
                <w:sz w:val="21"/>
                <w:szCs w:val="21"/>
              </w:rPr>
            </w:pPr>
          </w:p>
        </w:tc>
        <w:tc>
          <w:tcPr>
            <w:tcW w:w="389" w:type="pct"/>
            <w:vAlign w:val="center"/>
          </w:tcPr>
          <w:p w:rsidR="00240BCE" w:rsidRDefault="00AC0334">
            <w:pPr>
              <w:spacing w:line="320" w:lineRule="exact"/>
              <w:jc w:val="center"/>
              <w:rPr>
                <w:color w:val="000000"/>
                <w:sz w:val="21"/>
                <w:szCs w:val="21"/>
              </w:rPr>
            </w:pPr>
            <w:r>
              <w:rPr>
                <w:color w:val="000000"/>
                <w:sz w:val="21"/>
                <w:szCs w:val="21"/>
              </w:rPr>
              <w:t>7.31</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36 </w:t>
            </w:r>
          </w:p>
        </w:tc>
        <w:tc>
          <w:tcPr>
            <w:tcW w:w="389" w:type="pct"/>
            <w:vAlign w:val="center"/>
          </w:tcPr>
          <w:p w:rsidR="00240BCE" w:rsidRDefault="00AC0334">
            <w:pPr>
              <w:spacing w:line="320" w:lineRule="exact"/>
              <w:jc w:val="center"/>
              <w:rPr>
                <w:color w:val="000000"/>
                <w:sz w:val="21"/>
                <w:szCs w:val="21"/>
              </w:rPr>
            </w:pPr>
            <w:r>
              <w:rPr>
                <w:color w:val="000000"/>
                <w:sz w:val="21"/>
                <w:szCs w:val="21"/>
              </w:rPr>
              <w:t>7</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3.6</w:t>
            </w:r>
          </w:p>
        </w:tc>
        <w:tc>
          <w:tcPr>
            <w:tcW w:w="389" w:type="pct"/>
            <w:vAlign w:val="center"/>
          </w:tcPr>
          <w:p w:rsidR="00240BCE" w:rsidRDefault="00AC0334">
            <w:pPr>
              <w:spacing w:line="320" w:lineRule="exact"/>
              <w:jc w:val="center"/>
              <w:rPr>
                <w:color w:val="000000"/>
                <w:sz w:val="21"/>
                <w:szCs w:val="21"/>
              </w:rPr>
            </w:pPr>
            <w:r>
              <w:rPr>
                <w:color w:val="000000"/>
                <w:sz w:val="21"/>
                <w:szCs w:val="21"/>
              </w:rPr>
              <w:t>0.06</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1.08</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0.318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1.20 </w:t>
            </w:r>
          </w:p>
        </w:tc>
        <w:tc>
          <w:tcPr>
            <w:tcW w:w="388" w:type="pct"/>
            <w:vAlign w:val="center"/>
          </w:tcPr>
          <w:p w:rsidR="00240BCE" w:rsidRDefault="00AC0334">
            <w:pPr>
              <w:spacing w:line="320" w:lineRule="exact"/>
              <w:jc w:val="center"/>
              <w:rPr>
                <w:color w:val="000000"/>
                <w:sz w:val="21"/>
                <w:szCs w:val="21"/>
              </w:rPr>
            </w:pPr>
            <w:r>
              <w:rPr>
                <w:color w:val="000000"/>
                <w:sz w:val="21"/>
                <w:szCs w:val="21"/>
              </w:rPr>
              <w:t>457</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ign w:val="center"/>
          </w:tcPr>
          <w:p w:rsidR="00240BCE" w:rsidRDefault="00240BCE">
            <w:pPr>
              <w:widowControl/>
              <w:spacing w:line="320" w:lineRule="exact"/>
              <w:jc w:val="left"/>
              <w:rPr>
                <w:sz w:val="21"/>
                <w:szCs w:val="21"/>
              </w:rPr>
            </w:pPr>
          </w:p>
        </w:tc>
        <w:tc>
          <w:tcPr>
            <w:tcW w:w="389" w:type="pct"/>
            <w:vAlign w:val="center"/>
          </w:tcPr>
          <w:p w:rsidR="00240BCE" w:rsidRDefault="00AC0334">
            <w:pPr>
              <w:spacing w:line="320" w:lineRule="exact"/>
              <w:jc w:val="center"/>
              <w:rPr>
                <w:color w:val="000000"/>
                <w:sz w:val="21"/>
                <w:szCs w:val="21"/>
              </w:rPr>
            </w:pPr>
            <w:r>
              <w:rPr>
                <w:color w:val="000000"/>
                <w:sz w:val="21"/>
                <w:szCs w:val="21"/>
              </w:rPr>
              <w:t>7.25</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37 </w:t>
            </w:r>
          </w:p>
        </w:tc>
        <w:tc>
          <w:tcPr>
            <w:tcW w:w="389" w:type="pct"/>
            <w:vAlign w:val="center"/>
          </w:tcPr>
          <w:p w:rsidR="00240BCE" w:rsidRDefault="00AC0334">
            <w:pPr>
              <w:spacing w:line="320" w:lineRule="exact"/>
              <w:jc w:val="center"/>
              <w:rPr>
                <w:color w:val="000000"/>
                <w:sz w:val="21"/>
                <w:szCs w:val="21"/>
              </w:rPr>
            </w:pPr>
            <w:r>
              <w:rPr>
                <w:color w:val="000000"/>
                <w:sz w:val="21"/>
                <w:szCs w:val="21"/>
              </w:rPr>
              <w:t>9</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3.6</w:t>
            </w:r>
          </w:p>
        </w:tc>
        <w:tc>
          <w:tcPr>
            <w:tcW w:w="389" w:type="pct"/>
            <w:vAlign w:val="center"/>
          </w:tcPr>
          <w:p w:rsidR="00240BCE" w:rsidRDefault="00AC0334">
            <w:pPr>
              <w:spacing w:line="320" w:lineRule="exact"/>
              <w:jc w:val="center"/>
              <w:rPr>
                <w:color w:val="000000"/>
                <w:sz w:val="21"/>
                <w:szCs w:val="21"/>
              </w:rPr>
            </w:pPr>
            <w:r>
              <w:rPr>
                <w:color w:val="000000"/>
                <w:sz w:val="21"/>
                <w:szCs w:val="21"/>
              </w:rPr>
              <w:t>0.05</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1.24</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0.334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1.29 </w:t>
            </w:r>
          </w:p>
        </w:tc>
        <w:tc>
          <w:tcPr>
            <w:tcW w:w="388" w:type="pct"/>
            <w:vAlign w:val="center"/>
          </w:tcPr>
          <w:p w:rsidR="00240BCE" w:rsidRDefault="00AC0334">
            <w:pPr>
              <w:spacing w:line="320" w:lineRule="exact"/>
              <w:jc w:val="center"/>
              <w:rPr>
                <w:color w:val="000000"/>
                <w:sz w:val="21"/>
                <w:szCs w:val="21"/>
              </w:rPr>
            </w:pPr>
            <w:r>
              <w:rPr>
                <w:color w:val="000000"/>
                <w:sz w:val="21"/>
                <w:szCs w:val="21"/>
              </w:rPr>
              <w:t>495</w:t>
            </w:r>
          </w:p>
        </w:tc>
      </w:tr>
      <w:tr w:rsidR="00240BCE">
        <w:trPr>
          <w:cantSplit/>
          <w:jc w:val="center"/>
        </w:trPr>
        <w:tc>
          <w:tcPr>
            <w:tcW w:w="332" w:type="pct"/>
            <w:vMerge w:val="restart"/>
            <w:vAlign w:val="center"/>
          </w:tcPr>
          <w:p w:rsidR="00240BCE" w:rsidRDefault="00AC0334">
            <w:pPr>
              <w:spacing w:line="320" w:lineRule="exact"/>
              <w:jc w:val="center"/>
              <w:rPr>
                <w:sz w:val="21"/>
                <w:szCs w:val="21"/>
              </w:rPr>
            </w:pPr>
            <w:r>
              <w:rPr>
                <w:sz w:val="21"/>
                <w:szCs w:val="21"/>
              </w:rPr>
              <w:t>2020.08.31</w:t>
            </w:r>
          </w:p>
        </w:tc>
        <w:tc>
          <w:tcPr>
            <w:tcW w:w="397" w:type="pct"/>
            <w:vMerge w:val="restart"/>
            <w:vAlign w:val="center"/>
          </w:tcPr>
          <w:p w:rsidR="00240BCE" w:rsidRDefault="00AC0334">
            <w:pPr>
              <w:adjustRightInd w:val="0"/>
              <w:snapToGrid w:val="0"/>
              <w:spacing w:line="320" w:lineRule="exact"/>
              <w:jc w:val="center"/>
              <w:rPr>
                <w:sz w:val="21"/>
                <w:szCs w:val="21"/>
              </w:rPr>
            </w:pPr>
            <w:r>
              <w:rPr>
                <w:sz w:val="21"/>
                <w:szCs w:val="21"/>
              </w:rPr>
              <w:t>矿井水处理设施进口</w:t>
            </w:r>
          </w:p>
        </w:tc>
        <w:tc>
          <w:tcPr>
            <w:tcW w:w="389" w:type="pct"/>
            <w:vAlign w:val="center"/>
          </w:tcPr>
          <w:p w:rsidR="00240BCE" w:rsidRDefault="00AC0334">
            <w:pPr>
              <w:spacing w:line="320" w:lineRule="exact"/>
              <w:jc w:val="center"/>
              <w:rPr>
                <w:color w:val="000000"/>
                <w:sz w:val="21"/>
                <w:szCs w:val="21"/>
              </w:rPr>
            </w:pPr>
            <w:r>
              <w:rPr>
                <w:color w:val="000000"/>
                <w:sz w:val="21"/>
                <w:szCs w:val="21"/>
              </w:rPr>
              <w:t>7.35</w:t>
            </w:r>
          </w:p>
        </w:tc>
        <w:tc>
          <w:tcPr>
            <w:tcW w:w="388" w:type="pct"/>
            <w:vAlign w:val="center"/>
          </w:tcPr>
          <w:p w:rsidR="00240BCE" w:rsidRDefault="00AC0334">
            <w:pPr>
              <w:spacing w:line="320" w:lineRule="exact"/>
              <w:jc w:val="center"/>
              <w:rPr>
                <w:color w:val="000000"/>
                <w:sz w:val="21"/>
                <w:szCs w:val="21"/>
              </w:rPr>
            </w:pPr>
            <w:r>
              <w:rPr>
                <w:color w:val="000000"/>
                <w:sz w:val="21"/>
                <w:szCs w:val="21"/>
              </w:rPr>
              <w:t>47</w:t>
            </w:r>
          </w:p>
        </w:tc>
        <w:tc>
          <w:tcPr>
            <w:tcW w:w="389" w:type="pct"/>
            <w:vAlign w:val="center"/>
          </w:tcPr>
          <w:p w:rsidR="00240BCE" w:rsidRDefault="00AC0334">
            <w:pPr>
              <w:spacing w:line="320" w:lineRule="exact"/>
              <w:jc w:val="center"/>
              <w:rPr>
                <w:color w:val="000000"/>
                <w:sz w:val="21"/>
                <w:szCs w:val="21"/>
              </w:rPr>
            </w:pPr>
            <w:r>
              <w:rPr>
                <w:color w:val="000000"/>
                <w:sz w:val="21"/>
                <w:szCs w:val="21"/>
              </w:rPr>
              <w:t>16</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8.0</w:t>
            </w:r>
          </w:p>
        </w:tc>
        <w:tc>
          <w:tcPr>
            <w:tcW w:w="389" w:type="pct"/>
            <w:vAlign w:val="center"/>
          </w:tcPr>
          <w:p w:rsidR="00240BCE" w:rsidRDefault="00AC0334">
            <w:pPr>
              <w:spacing w:line="320" w:lineRule="exact"/>
              <w:jc w:val="center"/>
              <w:rPr>
                <w:color w:val="000000"/>
                <w:sz w:val="21"/>
                <w:szCs w:val="21"/>
              </w:rPr>
            </w:pPr>
            <w:r>
              <w:rPr>
                <w:color w:val="000000"/>
                <w:sz w:val="21"/>
                <w:szCs w:val="21"/>
              </w:rPr>
              <w:t>0.19</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3.00</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0.540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3.01 </w:t>
            </w:r>
          </w:p>
        </w:tc>
        <w:tc>
          <w:tcPr>
            <w:tcW w:w="388" w:type="pct"/>
            <w:vAlign w:val="center"/>
          </w:tcPr>
          <w:p w:rsidR="00240BCE" w:rsidRDefault="00AC0334">
            <w:pPr>
              <w:spacing w:line="320" w:lineRule="exact"/>
              <w:jc w:val="center"/>
              <w:rPr>
                <w:color w:val="000000"/>
                <w:sz w:val="21"/>
                <w:szCs w:val="21"/>
              </w:rPr>
            </w:pPr>
            <w:r>
              <w:rPr>
                <w:color w:val="000000"/>
                <w:sz w:val="21"/>
                <w:szCs w:val="21"/>
              </w:rPr>
              <w:t>555</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ign w:val="center"/>
          </w:tcPr>
          <w:p w:rsidR="00240BCE" w:rsidRDefault="00240BCE">
            <w:pPr>
              <w:widowControl/>
              <w:spacing w:line="320" w:lineRule="exact"/>
              <w:jc w:val="left"/>
              <w:rPr>
                <w:sz w:val="21"/>
                <w:szCs w:val="21"/>
              </w:rPr>
            </w:pPr>
          </w:p>
        </w:tc>
        <w:tc>
          <w:tcPr>
            <w:tcW w:w="389" w:type="pct"/>
            <w:vAlign w:val="center"/>
          </w:tcPr>
          <w:p w:rsidR="00240BCE" w:rsidRDefault="00AC0334">
            <w:pPr>
              <w:spacing w:line="320" w:lineRule="exact"/>
              <w:jc w:val="center"/>
              <w:rPr>
                <w:color w:val="000000"/>
                <w:sz w:val="21"/>
                <w:szCs w:val="21"/>
              </w:rPr>
            </w:pPr>
            <w:r>
              <w:rPr>
                <w:color w:val="000000"/>
                <w:sz w:val="21"/>
                <w:szCs w:val="21"/>
              </w:rPr>
              <w:t>7.30</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42 </w:t>
            </w:r>
          </w:p>
        </w:tc>
        <w:tc>
          <w:tcPr>
            <w:tcW w:w="389" w:type="pct"/>
            <w:vAlign w:val="center"/>
          </w:tcPr>
          <w:p w:rsidR="00240BCE" w:rsidRDefault="00AC0334">
            <w:pPr>
              <w:spacing w:line="320" w:lineRule="exact"/>
              <w:jc w:val="center"/>
              <w:rPr>
                <w:color w:val="000000"/>
                <w:sz w:val="21"/>
                <w:szCs w:val="21"/>
              </w:rPr>
            </w:pPr>
            <w:r>
              <w:rPr>
                <w:color w:val="000000"/>
                <w:sz w:val="21"/>
                <w:szCs w:val="21"/>
              </w:rPr>
              <w:t>20</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8.2</w:t>
            </w:r>
          </w:p>
        </w:tc>
        <w:tc>
          <w:tcPr>
            <w:tcW w:w="389" w:type="pct"/>
            <w:vAlign w:val="center"/>
          </w:tcPr>
          <w:p w:rsidR="00240BCE" w:rsidRDefault="00AC0334">
            <w:pPr>
              <w:spacing w:line="320" w:lineRule="exact"/>
              <w:jc w:val="center"/>
              <w:rPr>
                <w:color w:val="000000"/>
                <w:sz w:val="21"/>
                <w:szCs w:val="21"/>
              </w:rPr>
            </w:pPr>
            <w:r>
              <w:rPr>
                <w:color w:val="000000"/>
                <w:sz w:val="21"/>
                <w:szCs w:val="21"/>
              </w:rPr>
              <w:t>0.18</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3.85</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0.508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3.02 </w:t>
            </w:r>
          </w:p>
        </w:tc>
        <w:tc>
          <w:tcPr>
            <w:tcW w:w="388" w:type="pct"/>
            <w:vAlign w:val="center"/>
          </w:tcPr>
          <w:p w:rsidR="00240BCE" w:rsidRDefault="00AC0334">
            <w:pPr>
              <w:spacing w:line="320" w:lineRule="exact"/>
              <w:jc w:val="center"/>
              <w:rPr>
                <w:color w:val="000000"/>
                <w:sz w:val="21"/>
                <w:szCs w:val="21"/>
              </w:rPr>
            </w:pPr>
            <w:r>
              <w:rPr>
                <w:color w:val="000000"/>
                <w:sz w:val="21"/>
                <w:szCs w:val="21"/>
              </w:rPr>
              <w:t>530</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ign w:val="center"/>
          </w:tcPr>
          <w:p w:rsidR="00240BCE" w:rsidRDefault="00240BCE">
            <w:pPr>
              <w:widowControl/>
              <w:spacing w:line="320" w:lineRule="exact"/>
              <w:jc w:val="left"/>
              <w:rPr>
                <w:sz w:val="21"/>
                <w:szCs w:val="21"/>
              </w:rPr>
            </w:pPr>
          </w:p>
        </w:tc>
        <w:tc>
          <w:tcPr>
            <w:tcW w:w="389" w:type="pct"/>
            <w:vAlign w:val="center"/>
          </w:tcPr>
          <w:p w:rsidR="00240BCE" w:rsidRDefault="00AC0334">
            <w:pPr>
              <w:spacing w:line="320" w:lineRule="exact"/>
              <w:jc w:val="center"/>
              <w:rPr>
                <w:color w:val="000000"/>
                <w:sz w:val="21"/>
                <w:szCs w:val="21"/>
              </w:rPr>
            </w:pPr>
            <w:r>
              <w:rPr>
                <w:color w:val="000000"/>
                <w:sz w:val="21"/>
                <w:szCs w:val="21"/>
              </w:rPr>
              <w:t>7.40</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45 </w:t>
            </w:r>
          </w:p>
        </w:tc>
        <w:tc>
          <w:tcPr>
            <w:tcW w:w="389" w:type="pct"/>
            <w:vAlign w:val="center"/>
          </w:tcPr>
          <w:p w:rsidR="00240BCE" w:rsidRDefault="00AC0334">
            <w:pPr>
              <w:spacing w:line="320" w:lineRule="exact"/>
              <w:jc w:val="center"/>
              <w:rPr>
                <w:color w:val="000000"/>
                <w:sz w:val="21"/>
                <w:szCs w:val="21"/>
              </w:rPr>
            </w:pPr>
            <w:r>
              <w:rPr>
                <w:color w:val="000000"/>
                <w:sz w:val="21"/>
                <w:szCs w:val="21"/>
              </w:rPr>
              <w:t>13</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8.1</w:t>
            </w:r>
          </w:p>
        </w:tc>
        <w:tc>
          <w:tcPr>
            <w:tcW w:w="389" w:type="pct"/>
            <w:vAlign w:val="center"/>
          </w:tcPr>
          <w:p w:rsidR="00240BCE" w:rsidRDefault="00AC0334">
            <w:pPr>
              <w:spacing w:line="320" w:lineRule="exact"/>
              <w:jc w:val="center"/>
              <w:rPr>
                <w:color w:val="000000"/>
                <w:sz w:val="21"/>
                <w:szCs w:val="21"/>
              </w:rPr>
            </w:pPr>
            <w:r>
              <w:rPr>
                <w:color w:val="000000"/>
                <w:sz w:val="21"/>
                <w:szCs w:val="21"/>
              </w:rPr>
              <w:t>0.16</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3.51</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0.497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3.01 </w:t>
            </w:r>
          </w:p>
        </w:tc>
        <w:tc>
          <w:tcPr>
            <w:tcW w:w="388" w:type="pct"/>
            <w:vAlign w:val="center"/>
          </w:tcPr>
          <w:p w:rsidR="00240BCE" w:rsidRDefault="00AC0334">
            <w:pPr>
              <w:spacing w:line="320" w:lineRule="exact"/>
              <w:jc w:val="center"/>
              <w:rPr>
                <w:color w:val="000000"/>
                <w:sz w:val="21"/>
                <w:szCs w:val="21"/>
              </w:rPr>
            </w:pPr>
            <w:r>
              <w:rPr>
                <w:color w:val="000000"/>
                <w:sz w:val="21"/>
                <w:szCs w:val="21"/>
              </w:rPr>
              <w:t>535</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restart"/>
            <w:vAlign w:val="center"/>
          </w:tcPr>
          <w:p w:rsidR="00240BCE" w:rsidRDefault="00AC0334">
            <w:pPr>
              <w:adjustRightInd w:val="0"/>
              <w:snapToGrid w:val="0"/>
              <w:spacing w:line="320" w:lineRule="exact"/>
              <w:jc w:val="center"/>
              <w:rPr>
                <w:sz w:val="21"/>
                <w:szCs w:val="21"/>
              </w:rPr>
            </w:pPr>
            <w:r>
              <w:rPr>
                <w:sz w:val="21"/>
                <w:szCs w:val="21"/>
              </w:rPr>
              <w:t>矿井水处理设施出口</w:t>
            </w:r>
          </w:p>
        </w:tc>
        <w:tc>
          <w:tcPr>
            <w:tcW w:w="389" w:type="pct"/>
            <w:vAlign w:val="center"/>
          </w:tcPr>
          <w:p w:rsidR="00240BCE" w:rsidRDefault="00AC0334">
            <w:pPr>
              <w:spacing w:line="320" w:lineRule="exact"/>
              <w:jc w:val="center"/>
              <w:rPr>
                <w:color w:val="000000"/>
                <w:sz w:val="21"/>
                <w:szCs w:val="21"/>
              </w:rPr>
            </w:pPr>
            <w:r>
              <w:rPr>
                <w:color w:val="000000"/>
                <w:sz w:val="21"/>
                <w:szCs w:val="21"/>
              </w:rPr>
              <w:t>7.30</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36 </w:t>
            </w:r>
          </w:p>
        </w:tc>
        <w:tc>
          <w:tcPr>
            <w:tcW w:w="389" w:type="pct"/>
            <w:vAlign w:val="center"/>
          </w:tcPr>
          <w:p w:rsidR="00240BCE" w:rsidRDefault="00AC0334">
            <w:pPr>
              <w:spacing w:line="320" w:lineRule="exact"/>
              <w:jc w:val="center"/>
              <w:rPr>
                <w:color w:val="000000"/>
                <w:sz w:val="21"/>
                <w:szCs w:val="21"/>
              </w:rPr>
            </w:pPr>
            <w:r>
              <w:rPr>
                <w:color w:val="000000"/>
                <w:sz w:val="21"/>
                <w:szCs w:val="21"/>
              </w:rPr>
              <w:t>9</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3.1</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0.10 </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1.26</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0.297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1.20 </w:t>
            </w:r>
          </w:p>
        </w:tc>
        <w:tc>
          <w:tcPr>
            <w:tcW w:w="388" w:type="pct"/>
            <w:vAlign w:val="center"/>
          </w:tcPr>
          <w:p w:rsidR="00240BCE" w:rsidRDefault="00AC0334">
            <w:pPr>
              <w:spacing w:line="320" w:lineRule="exact"/>
              <w:jc w:val="center"/>
              <w:rPr>
                <w:color w:val="000000"/>
                <w:sz w:val="21"/>
                <w:szCs w:val="21"/>
              </w:rPr>
            </w:pPr>
            <w:r>
              <w:rPr>
                <w:color w:val="000000"/>
                <w:sz w:val="21"/>
                <w:szCs w:val="21"/>
              </w:rPr>
              <w:t>430</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ign w:val="center"/>
          </w:tcPr>
          <w:p w:rsidR="00240BCE" w:rsidRDefault="00240BCE">
            <w:pPr>
              <w:widowControl/>
              <w:spacing w:line="320" w:lineRule="exact"/>
              <w:jc w:val="left"/>
              <w:rPr>
                <w:sz w:val="21"/>
                <w:szCs w:val="21"/>
              </w:rPr>
            </w:pPr>
          </w:p>
        </w:tc>
        <w:tc>
          <w:tcPr>
            <w:tcW w:w="389" w:type="pct"/>
            <w:vAlign w:val="center"/>
          </w:tcPr>
          <w:p w:rsidR="00240BCE" w:rsidRDefault="00AC0334">
            <w:pPr>
              <w:spacing w:line="320" w:lineRule="exact"/>
              <w:jc w:val="center"/>
              <w:rPr>
                <w:color w:val="000000"/>
                <w:sz w:val="21"/>
                <w:szCs w:val="21"/>
              </w:rPr>
            </w:pPr>
            <w:r>
              <w:rPr>
                <w:color w:val="000000"/>
                <w:sz w:val="21"/>
                <w:szCs w:val="21"/>
              </w:rPr>
              <w:t>7.32</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39 </w:t>
            </w:r>
          </w:p>
        </w:tc>
        <w:tc>
          <w:tcPr>
            <w:tcW w:w="389" w:type="pct"/>
            <w:vAlign w:val="center"/>
          </w:tcPr>
          <w:p w:rsidR="00240BCE" w:rsidRDefault="00AC0334">
            <w:pPr>
              <w:spacing w:line="320" w:lineRule="exact"/>
              <w:jc w:val="center"/>
              <w:rPr>
                <w:color w:val="000000"/>
                <w:sz w:val="21"/>
                <w:szCs w:val="21"/>
              </w:rPr>
            </w:pPr>
            <w:r>
              <w:rPr>
                <w:color w:val="000000"/>
                <w:sz w:val="21"/>
                <w:szCs w:val="21"/>
              </w:rPr>
              <w:t>7</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3.1</w:t>
            </w:r>
          </w:p>
        </w:tc>
        <w:tc>
          <w:tcPr>
            <w:tcW w:w="389" w:type="pct"/>
            <w:vAlign w:val="center"/>
          </w:tcPr>
          <w:p w:rsidR="00240BCE" w:rsidRDefault="00AC0334">
            <w:pPr>
              <w:spacing w:line="320" w:lineRule="exact"/>
              <w:jc w:val="center"/>
              <w:rPr>
                <w:color w:val="000000"/>
                <w:sz w:val="21"/>
                <w:szCs w:val="21"/>
              </w:rPr>
            </w:pPr>
            <w:r>
              <w:rPr>
                <w:color w:val="000000"/>
                <w:sz w:val="21"/>
                <w:szCs w:val="21"/>
              </w:rPr>
              <w:t>0.09</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1.08</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0.310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1.27 </w:t>
            </w:r>
          </w:p>
        </w:tc>
        <w:tc>
          <w:tcPr>
            <w:tcW w:w="388" w:type="pct"/>
            <w:vAlign w:val="center"/>
          </w:tcPr>
          <w:p w:rsidR="00240BCE" w:rsidRDefault="00AC0334">
            <w:pPr>
              <w:spacing w:line="320" w:lineRule="exact"/>
              <w:jc w:val="center"/>
              <w:rPr>
                <w:color w:val="000000"/>
                <w:sz w:val="21"/>
                <w:szCs w:val="21"/>
              </w:rPr>
            </w:pPr>
            <w:r>
              <w:rPr>
                <w:color w:val="000000"/>
                <w:sz w:val="21"/>
                <w:szCs w:val="21"/>
              </w:rPr>
              <w:t>454</w:t>
            </w:r>
          </w:p>
        </w:tc>
      </w:tr>
      <w:tr w:rsidR="00240BCE">
        <w:trPr>
          <w:cantSplit/>
          <w:jc w:val="center"/>
        </w:trPr>
        <w:tc>
          <w:tcPr>
            <w:tcW w:w="332" w:type="pct"/>
            <w:vMerge/>
            <w:vAlign w:val="center"/>
          </w:tcPr>
          <w:p w:rsidR="00240BCE" w:rsidRDefault="00240BCE">
            <w:pPr>
              <w:widowControl/>
              <w:spacing w:line="320" w:lineRule="exact"/>
              <w:jc w:val="left"/>
              <w:rPr>
                <w:sz w:val="21"/>
                <w:szCs w:val="21"/>
              </w:rPr>
            </w:pPr>
          </w:p>
        </w:tc>
        <w:tc>
          <w:tcPr>
            <w:tcW w:w="397" w:type="pct"/>
            <w:vMerge/>
            <w:vAlign w:val="center"/>
          </w:tcPr>
          <w:p w:rsidR="00240BCE" w:rsidRDefault="00240BCE">
            <w:pPr>
              <w:widowControl/>
              <w:spacing w:line="320" w:lineRule="exact"/>
              <w:jc w:val="left"/>
              <w:rPr>
                <w:sz w:val="21"/>
                <w:szCs w:val="21"/>
              </w:rPr>
            </w:pPr>
          </w:p>
        </w:tc>
        <w:tc>
          <w:tcPr>
            <w:tcW w:w="389" w:type="pct"/>
            <w:vAlign w:val="center"/>
          </w:tcPr>
          <w:p w:rsidR="00240BCE" w:rsidRDefault="00AC0334">
            <w:pPr>
              <w:spacing w:line="320" w:lineRule="exact"/>
              <w:jc w:val="center"/>
              <w:rPr>
                <w:color w:val="000000"/>
                <w:sz w:val="21"/>
                <w:szCs w:val="21"/>
              </w:rPr>
            </w:pPr>
            <w:r>
              <w:rPr>
                <w:color w:val="000000"/>
                <w:sz w:val="21"/>
                <w:szCs w:val="21"/>
              </w:rPr>
              <w:t>7.39</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40 </w:t>
            </w:r>
          </w:p>
        </w:tc>
        <w:tc>
          <w:tcPr>
            <w:tcW w:w="389" w:type="pct"/>
            <w:vAlign w:val="center"/>
          </w:tcPr>
          <w:p w:rsidR="00240BCE" w:rsidRDefault="00AC0334">
            <w:pPr>
              <w:spacing w:line="320" w:lineRule="exact"/>
              <w:jc w:val="center"/>
              <w:rPr>
                <w:color w:val="000000"/>
                <w:sz w:val="21"/>
                <w:szCs w:val="21"/>
              </w:rPr>
            </w:pPr>
            <w:r>
              <w:rPr>
                <w:color w:val="000000"/>
                <w:sz w:val="21"/>
                <w:szCs w:val="21"/>
              </w:rPr>
              <w:t>6</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spacing w:line="320" w:lineRule="exact"/>
              <w:jc w:val="center"/>
              <w:rPr>
                <w:color w:val="000000"/>
                <w:sz w:val="21"/>
                <w:szCs w:val="21"/>
              </w:rPr>
            </w:pPr>
            <w:r>
              <w:rPr>
                <w:color w:val="000000"/>
                <w:sz w:val="21"/>
                <w:szCs w:val="21"/>
              </w:rPr>
              <w:t>3.1</w:t>
            </w:r>
          </w:p>
        </w:tc>
        <w:tc>
          <w:tcPr>
            <w:tcW w:w="389" w:type="pct"/>
            <w:vAlign w:val="center"/>
          </w:tcPr>
          <w:p w:rsidR="00240BCE" w:rsidRDefault="00AC0334">
            <w:pPr>
              <w:spacing w:line="320" w:lineRule="exact"/>
              <w:jc w:val="center"/>
              <w:rPr>
                <w:color w:val="000000"/>
                <w:sz w:val="21"/>
                <w:szCs w:val="21"/>
              </w:rPr>
            </w:pPr>
            <w:r>
              <w:rPr>
                <w:color w:val="000000"/>
                <w:sz w:val="21"/>
                <w:szCs w:val="21"/>
              </w:rPr>
              <w:t>0.05</w:t>
            </w:r>
          </w:p>
        </w:tc>
        <w:tc>
          <w:tcPr>
            <w:tcW w:w="388" w:type="pct"/>
            <w:vAlign w:val="center"/>
          </w:tcPr>
          <w:p w:rsidR="00240BCE" w:rsidRDefault="00AC0334">
            <w:pPr>
              <w:spacing w:line="320" w:lineRule="exact"/>
              <w:jc w:val="center"/>
              <w:rPr>
                <w:color w:val="000000"/>
                <w:sz w:val="21"/>
                <w:szCs w:val="21"/>
              </w:rPr>
            </w:pPr>
            <w:r>
              <w:rPr>
                <w:color w:val="000000"/>
                <w:sz w:val="21"/>
                <w:szCs w:val="21"/>
              </w:rPr>
              <w:t>未检出</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1.26</w:t>
            </w:r>
          </w:p>
        </w:tc>
        <w:tc>
          <w:tcPr>
            <w:tcW w:w="389" w:type="pct"/>
            <w:vAlign w:val="center"/>
          </w:tcPr>
          <w:p w:rsidR="00240BCE" w:rsidRDefault="00AC0334">
            <w:pPr>
              <w:spacing w:line="320" w:lineRule="exact"/>
              <w:jc w:val="center"/>
              <w:rPr>
                <w:color w:val="000000"/>
                <w:sz w:val="21"/>
                <w:szCs w:val="21"/>
              </w:rPr>
            </w:pPr>
            <w:r>
              <w:rPr>
                <w:color w:val="000000"/>
                <w:sz w:val="21"/>
                <w:szCs w:val="21"/>
              </w:rPr>
              <w:t xml:space="preserve">0.294 </w:t>
            </w:r>
          </w:p>
        </w:tc>
        <w:tc>
          <w:tcPr>
            <w:tcW w:w="388" w:type="pct"/>
            <w:vAlign w:val="center"/>
          </w:tcPr>
          <w:p w:rsidR="00240BCE" w:rsidRDefault="00AC0334">
            <w:pPr>
              <w:spacing w:line="320" w:lineRule="exact"/>
              <w:jc w:val="center"/>
              <w:rPr>
                <w:color w:val="000000"/>
                <w:sz w:val="21"/>
                <w:szCs w:val="21"/>
              </w:rPr>
            </w:pPr>
            <w:r>
              <w:rPr>
                <w:color w:val="000000"/>
                <w:sz w:val="21"/>
                <w:szCs w:val="21"/>
              </w:rPr>
              <w:t xml:space="preserve">1.16 </w:t>
            </w:r>
          </w:p>
        </w:tc>
        <w:tc>
          <w:tcPr>
            <w:tcW w:w="388" w:type="pct"/>
            <w:vAlign w:val="center"/>
          </w:tcPr>
          <w:p w:rsidR="00240BCE" w:rsidRDefault="00AC0334">
            <w:pPr>
              <w:spacing w:line="320" w:lineRule="exact"/>
              <w:jc w:val="center"/>
              <w:rPr>
                <w:color w:val="000000"/>
                <w:sz w:val="21"/>
                <w:szCs w:val="21"/>
              </w:rPr>
            </w:pPr>
            <w:r>
              <w:rPr>
                <w:color w:val="000000"/>
                <w:sz w:val="21"/>
                <w:szCs w:val="21"/>
              </w:rPr>
              <w:t>439</w:t>
            </w:r>
          </w:p>
        </w:tc>
      </w:tr>
      <w:tr w:rsidR="00240BCE">
        <w:trPr>
          <w:cantSplit/>
          <w:jc w:val="center"/>
        </w:trPr>
        <w:tc>
          <w:tcPr>
            <w:tcW w:w="729" w:type="pct"/>
            <w:gridSpan w:val="2"/>
            <w:vAlign w:val="center"/>
          </w:tcPr>
          <w:p w:rsidR="00240BCE" w:rsidRDefault="00AC0334">
            <w:pPr>
              <w:widowControl/>
              <w:spacing w:line="320" w:lineRule="exact"/>
              <w:jc w:val="center"/>
              <w:rPr>
                <w:w w:val="90"/>
                <w:sz w:val="21"/>
                <w:szCs w:val="21"/>
              </w:rPr>
            </w:pPr>
            <w:r>
              <w:rPr>
                <w:w w:val="90"/>
                <w:sz w:val="21"/>
                <w:szCs w:val="21"/>
              </w:rPr>
              <w:t>GB20426-2006</w:t>
            </w:r>
          </w:p>
        </w:tc>
        <w:tc>
          <w:tcPr>
            <w:tcW w:w="389" w:type="pct"/>
            <w:vAlign w:val="center"/>
          </w:tcPr>
          <w:p w:rsidR="00240BCE" w:rsidRDefault="00AC0334">
            <w:pPr>
              <w:spacing w:line="320" w:lineRule="exact"/>
              <w:jc w:val="center"/>
              <w:rPr>
                <w:color w:val="000000"/>
                <w:sz w:val="21"/>
                <w:szCs w:val="21"/>
              </w:rPr>
            </w:pPr>
            <w:r>
              <w:rPr>
                <w:color w:val="000000"/>
                <w:sz w:val="21"/>
                <w:szCs w:val="21"/>
              </w:rPr>
              <w:t>6</w:t>
            </w:r>
            <w:r>
              <w:rPr>
                <w:color w:val="000000"/>
                <w:sz w:val="21"/>
                <w:szCs w:val="21"/>
              </w:rPr>
              <w:t>～</w:t>
            </w:r>
            <w:r>
              <w:rPr>
                <w:color w:val="000000"/>
                <w:sz w:val="21"/>
                <w:szCs w:val="21"/>
              </w:rPr>
              <w:t>9</w:t>
            </w:r>
          </w:p>
        </w:tc>
        <w:tc>
          <w:tcPr>
            <w:tcW w:w="388" w:type="pct"/>
            <w:vAlign w:val="center"/>
          </w:tcPr>
          <w:p w:rsidR="00240BCE" w:rsidRDefault="00AC0334">
            <w:pPr>
              <w:spacing w:line="320" w:lineRule="exact"/>
              <w:jc w:val="center"/>
              <w:rPr>
                <w:color w:val="000000"/>
                <w:sz w:val="21"/>
                <w:szCs w:val="21"/>
              </w:rPr>
            </w:pPr>
            <w:r>
              <w:rPr>
                <w:color w:val="000000"/>
                <w:sz w:val="21"/>
                <w:szCs w:val="21"/>
              </w:rPr>
              <w:t>50</w:t>
            </w:r>
          </w:p>
        </w:tc>
        <w:tc>
          <w:tcPr>
            <w:tcW w:w="389" w:type="pct"/>
            <w:vAlign w:val="center"/>
          </w:tcPr>
          <w:p w:rsidR="00240BCE" w:rsidRDefault="00AC0334">
            <w:pPr>
              <w:spacing w:line="320" w:lineRule="exact"/>
              <w:jc w:val="center"/>
              <w:rPr>
                <w:color w:val="000000"/>
                <w:sz w:val="21"/>
                <w:szCs w:val="21"/>
              </w:rPr>
            </w:pPr>
            <w:r>
              <w:rPr>
                <w:color w:val="000000"/>
                <w:sz w:val="21"/>
                <w:szCs w:val="21"/>
              </w:rPr>
              <w:t>50</w:t>
            </w:r>
          </w:p>
        </w:tc>
        <w:tc>
          <w:tcPr>
            <w:tcW w:w="388" w:type="pct"/>
            <w:vAlign w:val="center"/>
          </w:tcPr>
          <w:p w:rsidR="00240BCE" w:rsidRDefault="00AC0334">
            <w:pPr>
              <w:spacing w:line="320" w:lineRule="exact"/>
              <w:jc w:val="center"/>
              <w:rPr>
                <w:color w:val="000000"/>
                <w:sz w:val="21"/>
                <w:szCs w:val="21"/>
              </w:rPr>
            </w:pPr>
            <w:r>
              <w:rPr>
                <w:color w:val="000000"/>
                <w:sz w:val="21"/>
                <w:szCs w:val="21"/>
              </w:rPr>
              <w:t>0.5</w:t>
            </w:r>
          </w:p>
        </w:tc>
        <w:tc>
          <w:tcPr>
            <w:tcW w:w="388" w:type="pct"/>
            <w:vAlign w:val="center"/>
          </w:tcPr>
          <w:p w:rsidR="00240BCE" w:rsidRDefault="00AC0334">
            <w:pPr>
              <w:spacing w:line="320" w:lineRule="exact"/>
              <w:jc w:val="center"/>
              <w:rPr>
                <w:color w:val="000000"/>
                <w:sz w:val="21"/>
                <w:szCs w:val="21"/>
              </w:rPr>
            </w:pPr>
            <w:r>
              <w:rPr>
                <w:color w:val="000000"/>
                <w:sz w:val="21"/>
                <w:szCs w:val="21"/>
              </w:rPr>
              <w:t>0.5</w:t>
            </w:r>
          </w:p>
        </w:tc>
        <w:tc>
          <w:tcPr>
            <w:tcW w:w="389" w:type="pct"/>
            <w:vAlign w:val="center"/>
          </w:tcPr>
          <w:p w:rsidR="00240BCE" w:rsidRDefault="00AC0334">
            <w:pPr>
              <w:spacing w:line="320" w:lineRule="exact"/>
              <w:jc w:val="center"/>
              <w:rPr>
                <w:color w:val="000000"/>
                <w:sz w:val="21"/>
                <w:szCs w:val="21"/>
              </w:rPr>
            </w:pPr>
            <w:r>
              <w:rPr>
                <w:color w:val="000000"/>
                <w:sz w:val="21"/>
                <w:szCs w:val="21"/>
              </w:rPr>
              <w:t>6</w:t>
            </w:r>
          </w:p>
        </w:tc>
        <w:tc>
          <w:tcPr>
            <w:tcW w:w="388" w:type="pct"/>
            <w:vAlign w:val="center"/>
          </w:tcPr>
          <w:p w:rsidR="00240BCE" w:rsidRDefault="00AC0334">
            <w:pPr>
              <w:spacing w:line="320" w:lineRule="exact"/>
              <w:jc w:val="center"/>
              <w:rPr>
                <w:color w:val="000000"/>
                <w:sz w:val="21"/>
                <w:szCs w:val="21"/>
              </w:rPr>
            </w:pPr>
            <w:r>
              <w:rPr>
                <w:color w:val="000000"/>
                <w:sz w:val="21"/>
                <w:szCs w:val="21"/>
              </w:rPr>
              <w:t>0.1</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10</w:t>
            </w:r>
          </w:p>
        </w:tc>
        <w:tc>
          <w:tcPr>
            <w:tcW w:w="389" w:type="pct"/>
            <w:vAlign w:val="center"/>
          </w:tcPr>
          <w:p w:rsidR="00240BCE" w:rsidRDefault="00AC0334">
            <w:pPr>
              <w:spacing w:line="320" w:lineRule="exact"/>
              <w:jc w:val="center"/>
              <w:rPr>
                <w:color w:val="000000"/>
                <w:sz w:val="21"/>
                <w:szCs w:val="21"/>
              </w:rPr>
            </w:pPr>
            <w:r>
              <w:rPr>
                <w:color w:val="000000"/>
                <w:sz w:val="21"/>
                <w:szCs w:val="21"/>
              </w:rPr>
              <w:t>--</w:t>
            </w:r>
          </w:p>
        </w:tc>
        <w:tc>
          <w:tcPr>
            <w:tcW w:w="388" w:type="pct"/>
            <w:vAlign w:val="center"/>
          </w:tcPr>
          <w:p w:rsidR="00240BCE" w:rsidRDefault="00AC0334">
            <w:pPr>
              <w:spacing w:line="320" w:lineRule="exact"/>
              <w:jc w:val="center"/>
              <w:rPr>
                <w:color w:val="000000"/>
                <w:sz w:val="21"/>
                <w:szCs w:val="21"/>
              </w:rPr>
            </w:pPr>
            <w:r>
              <w:rPr>
                <w:color w:val="000000"/>
                <w:sz w:val="21"/>
                <w:szCs w:val="21"/>
              </w:rPr>
              <w:t>5</w:t>
            </w:r>
          </w:p>
        </w:tc>
        <w:tc>
          <w:tcPr>
            <w:tcW w:w="388" w:type="pct"/>
            <w:vAlign w:val="center"/>
          </w:tcPr>
          <w:p w:rsidR="00240BCE" w:rsidRDefault="00AC0334">
            <w:pPr>
              <w:spacing w:line="320" w:lineRule="exact"/>
              <w:jc w:val="center"/>
              <w:rPr>
                <w:color w:val="000000"/>
                <w:sz w:val="21"/>
                <w:szCs w:val="21"/>
              </w:rPr>
            </w:pPr>
            <w:r>
              <w:rPr>
                <w:color w:val="000000"/>
                <w:sz w:val="21"/>
                <w:szCs w:val="21"/>
              </w:rPr>
              <w:t>--</w:t>
            </w:r>
          </w:p>
        </w:tc>
      </w:tr>
      <w:tr w:rsidR="00240BCE">
        <w:trPr>
          <w:cantSplit/>
          <w:jc w:val="center"/>
        </w:trPr>
        <w:tc>
          <w:tcPr>
            <w:tcW w:w="729" w:type="pct"/>
            <w:gridSpan w:val="2"/>
            <w:vAlign w:val="center"/>
          </w:tcPr>
          <w:p w:rsidR="00240BCE" w:rsidRDefault="00AC0334">
            <w:pPr>
              <w:widowControl/>
              <w:spacing w:line="320" w:lineRule="exact"/>
              <w:jc w:val="center"/>
              <w:rPr>
                <w:w w:val="90"/>
                <w:sz w:val="21"/>
                <w:szCs w:val="21"/>
              </w:rPr>
            </w:pPr>
            <w:r>
              <w:rPr>
                <w:w w:val="90"/>
                <w:sz w:val="21"/>
                <w:szCs w:val="21"/>
              </w:rPr>
              <w:t>GB5084-20</w:t>
            </w:r>
            <w:r>
              <w:rPr>
                <w:rFonts w:hint="eastAsia"/>
                <w:w w:val="90"/>
                <w:sz w:val="21"/>
                <w:szCs w:val="21"/>
              </w:rPr>
              <w:t>21</w:t>
            </w:r>
          </w:p>
        </w:tc>
        <w:tc>
          <w:tcPr>
            <w:tcW w:w="389" w:type="pct"/>
            <w:vAlign w:val="center"/>
          </w:tcPr>
          <w:p w:rsidR="00240BCE" w:rsidRDefault="00AC0334">
            <w:pPr>
              <w:spacing w:line="320" w:lineRule="exact"/>
              <w:jc w:val="center"/>
              <w:rPr>
                <w:color w:val="000000"/>
                <w:w w:val="90"/>
                <w:sz w:val="21"/>
                <w:szCs w:val="21"/>
              </w:rPr>
            </w:pPr>
            <w:r>
              <w:rPr>
                <w:color w:val="000000"/>
                <w:w w:val="90"/>
                <w:sz w:val="21"/>
                <w:szCs w:val="21"/>
              </w:rPr>
              <w:t>5.5</w:t>
            </w:r>
            <w:r>
              <w:rPr>
                <w:color w:val="000000"/>
                <w:w w:val="90"/>
                <w:sz w:val="21"/>
                <w:szCs w:val="21"/>
              </w:rPr>
              <w:t>～</w:t>
            </w:r>
            <w:r>
              <w:rPr>
                <w:color w:val="000000"/>
                <w:w w:val="90"/>
                <w:sz w:val="21"/>
                <w:szCs w:val="21"/>
              </w:rPr>
              <w:t>8.5</w:t>
            </w:r>
          </w:p>
        </w:tc>
        <w:tc>
          <w:tcPr>
            <w:tcW w:w="388" w:type="pct"/>
            <w:vAlign w:val="center"/>
          </w:tcPr>
          <w:p w:rsidR="00240BCE" w:rsidRDefault="00AC0334">
            <w:pPr>
              <w:spacing w:line="320" w:lineRule="exact"/>
              <w:jc w:val="center"/>
              <w:rPr>
                <w:color w:val="000000"/>
                <w:sz w:val="21"/>
                <w:szCs w:val="21"/>
              </w:rPr>
            </w:pPr>
            <w:r>
              <w:rPr>
                <w:color w:val="000000"/>
                <w:sz w:val="21"/>
                <w:szCs w:val="21"/>
              </w:rPr>
              <w:t>200</w:t>
            </w:r>
          </w:p>
        </w:tc>
        <w:tc>
          <w:tcPr>
            <w:tcW w:w="389" w:type="pct"/>
            <w:vAlign w:val="center"/>
          </w:tcPr>
          <w:p w:rsidR="00240BCE" w:rsidRDefault="00AC0334">
            <w:pPr>
              <w:spacing w:line="320" w:lineRule="exact"/>
              <w:jc w:val="center"/>
              <w:rPr>
                <w:color w:val="000000"/>
                <w:sz w:val="21"/>
                <w:szCs w:val="21"/>
              </w:rPr>
            </w:pPr>
            <w:r>
              <w:rPr>
                <w:color w:val="000000"/>
                <w:sz w:val="21"/>
                <w:szCs w:val="21"/>
              </w:rPr>
              <w:t>100</w:t>
            </w:r>
          </w:p>
        </w:tc>
        <w:tc>
          <w:tcPr>
            <w:tcW w:w="388" w:type="pct"/>
            <w:vAlign w:val="center"/>
          </w:tcPr>
          <w:p w:rsidR="00240BCE" w:rsidRDefault="00AC0334">
            <w:pPr>
              <w:spacing w:line="320" w:lineRule="exact"/>
              <w:jc w:val="center"/>
              <w:rPr>
                <w:color w:val="000000"/>
                <w:sz w:val="21"/>
                <w:szCs w:val="21"/>
              </w:rPr>
            </w:pPr>
            <w:r>
              <w:rPr>
                <w:color w:val="000000"/>
                <w:sz w:val="21"/>
                <w:szCs w:val="21"/>
              </w:rPr>
              <w:t>0.1</w:t>
            </w:r>
          </w:p>
        </w:tc>
        <w:tc>
          <w:tcPr>
            <w:tcW w:w="388" w:type="pct"/>
            <w:vAlign w:val="center"/>
          </w:tcPr>
          <w:p w:rsidR="00240BCE" w:rsidRDefault="00AC0334">
            <w:pPr>
              <w:spacing w:line="320" w:lineRule="exact"/>
              <w:jc w:val="center"/>
              <w:rPr>
                <w:color w:val="000000"/>
                <w:sz w:val="21"/>
                <w:szCs w:val="21"/>
              </w:rPr>
            </w:pPr>
            <w:r>
              <w:rPr>
                <w:color w:val="000000"/>
                <w:sz w:val="21"/>
                <w:szCs w:val="21"/>
              </w:rPr>
              <w:t>0.1</w:t>
            </w:r>
          </w:p>
        </w:tc>
        <w:tc>
          <w:tcPr>
            <w:tcW w:w="389" w:type="pct"/>
            <w:vAlign w:val="center"/>
          </w:tcPr>
          <w:p w:rsidR="00240BCE" w:rsidRDefault="00AC0334">
            <w:pPr>
              <w:spacing w:line="320" w:lineRule="exact"/>
              <w:jc w:val="center"/>
              <w:rPr>
                <w:color w:val="000000"/>
                <w:sz w:val="21"/>
                <w:szCs w:val="21"/>
              </w:rPr>
            </w:pPr>
            <w:r>
              <w:rPr>
                <w:color w:val="000000"/>
                <w:sz w:val="21"/>
                <w:szCs w:val="21"/>
              </w:rPr>
              <w:t>--</w:t>
            </w:r>
          </w:p>
        </w:tc>
        <w:tc>
          <w:tcPr>
            <w:tcW w:w="388" w:type="pct"/>
            <w:vAlign w:val="center"/>
          </w:tcPr>
          <w:p w:rsidR="00240BCE" w:rsidRDefault="00AC0334">
            <w:pPr>
              <w:spacing w:line="320" w:lineRule="exact"/>
              <w:jc w:val="center"/>
              <w:rPr>
                <w:color w:val="000000"/>
                <w:sz w:val="21"/>
                <w:szCs w:val="21"/>
              </w:rPr>
            </w:pPr>
            <w:r>
              <w:rPr>
                <w:color w:val="000000"/>
                <w:sz w:val="21"/>
                <w:szCs w:val="21"/>
              </w:rPr>
              <w:t>0.01</w:t>
            </w:r>
          </w:p>
        </w:tc>
        <w:tc>
          <w:tcPr>
            <w:tcW w:w="388" w:type="pct"/>
            <w:vAlign w:val="center"/>
          </w:tcPr>
          <w:p w:rsidR="00240BCE" w:rsidRDefault="00AC0334">
            <w:pPr>
              <w:autoSpaceDE w:val="0"/>
              <w:autoSpaceDN w:val="0"/>
              <w:adjustRightInd w:val="0"/>
              <w:spacing w:line="320" w:lineRule="exact"/>
              <w:jc w:val="center"/>
              <w:rPr>
                <w:color w:val="000000"/>
                <w:sz w:val="21"/>
                <w:szCs w:val="21"/>
              </w:rPr>
            </w:pPr>
            <w:r>
              <w:rPr>
                <w:color w:val="000000"/>
                <w:sz w:val="21"/>
                <w:szCs w:val="21"/>
              </w:rPr>
              <w:t>2</w:t>
            </w:r>
          </w:p>
        </w:tc>
        <w:tc>
          <w:tcPr>
            <w:tcW w:w="389" w:type="pct"/>
            <w:vAlign w:val="center"/>
          </w:tcPr>
          <w:p w:rsidR="00240BCE" w:rsidRDefault="00AC0334">
            <w:pPr>
              <w:spacing w:line="320" w:lineRule="exact"/>
              <w:jc w:val="center"/>
              <w:rPr>
                <w:color w:val="000000"/>
                <w:sz w:val="21"/>
                <w:szCs w:val="21"/>
              </w:rPr>
            </w:pPr>
            <w:r>
              <w:rPr>
                <w:color w:val="000000"/>
                <w:sz w:val="21"/>
                <w:szCs w:val="21"/>
              </w:rPr>
              <w:t>--</w:t>
            </w:r>
          </w:p>
        </w:tc>
        <w:tc>
          <w:tcPr>
            <w:tcW w:w="388" w:type="pct"/>
            <w:vAlign w:val="center"/>
          </w:tcPr>
          <w:p w:rsidR="00240BCE" w:rsidRDefault="00AC0334">
            <w:pPr>
              <w:spacing w:line="320" w:lineRule="exact"/>
              <w:jc w:val="center"/>
              <w:rPr>
                <w:color w:val="000000"/>
                <w:sz w:val="21"/>
                <w:szCs w:val="21"/>
              </w:rPr>
            </w:pPr>
            <w:r>
              <w:rPr>
                <w:color w:val="000000"/>
                <w:sz w:val="21"/>
                <w:szCs w:val="21"/>
              </w:rPr>
              <w:t>10</w:t>
            </w:r>
          </w:p>
        </w:tc>
        <w:tc>
          <w:tcPr>
            <w:tcW w:w="388" w:type="pct"/>
            <w:vAlign w:val="center"/>
          </w:tcPr>
          <w:p w:rsidR="00240BCE" w:rsidRDefault="00AC0334">
            <w:pPr>
              <w:spacing w:line="320" w:lineRule="exact"/>
              <w:jc w:val="center"/>
              <w:rPr>
                <w:color w:val="000000"/>
                <w:sz w:val="21"/>
                <w:szCs w:val="21"/>
              </w:rPr>
            </w:pPr>
            <w:r>
              <w:rPr>
                <w:color w:val="000000"/>
                <w:sz w:val="21"/>
                <w:szCs w:val="21"/>
              </w:rPr>
              <w:t>1000</w:t>
            </w:r>
          </w:p>
        </w:tc>
      </w:tr>
      <w:tr w:rsidR="00240BCE">
        <w:trPr>
          <w:cantSplit/>
          <w:jc w:val="center"/>
        </w:trPr>
        <w:tc>
          <w:tcPr>
            <w:tcW w:w="729" w:type="pct"/>
            <w:gridSpan w:val="2"/>
            <w:vAlign w:val="center"/>
          </w:tcPr>
          <w:p w:rsidR="00240BCE" w:rsidRDefault="00AC0334">
            <w:pPr>
              <w:widowControl/>
              <w:spacing w:line="320" w:lineRule="exact"/>
              <w:jc w:val="center"/>
              <w:rPr>
                <w:w w:val="90"/>
                <w:sz w:val="21"/>
                <w:szCs w:val="21"/>
              </w:rPr>
            </w:pPr>
            <w:r>
              <w:rPr>
                <w:w w:val="90"/>
                <w:sz w:val="21"/>
                <w:szCs w:val="21"/>
              </w:rPr>
              <w:t>达标情况</w:t>
            </w:r>
          </w:p>
        </w:tc>
        <w:tc>
          <w:tcPr>
            <w:tcW w:w="389" w:type="pct"/>
            <w:vAlign w:val="center"/>
          </w:tcPr>
          <w:p w:rsidR="00240BCE" w:rsidRDefault="00AC0334">
            <w:pPr>
              <w:spacing w:line="320" w:lineRule="exact"/>
              <w:jc w:val="center"/>
              <w:rPr>
                <w:color w:val="000000"/>
                <w:w w:val="90"/>
                <w:sz w:val="21"/>
                <w:szCs w:val="21"/>
              </w:rPr>
            </w:pPr>
            <w:r>
              <w:rPr>
                <w:color w:val="000000"/>
                <w:w w:val="90"/>
                <w:sz w:val="21"/>
                <w:szCs w:val="21"/>
              </w:rPr>
              <w:t>达标</w:t>
            </w:r>
          </w:p>
        </w:tc>
        <w:tc>
          <w:tcPr>
            <w:tcW w:w="388" w:type="pct"/>
            <w:vAlign w:val="center"/>
          </w:tcPr>
          <w:p w:rsidR="00240BCE" w:rsidRDefault="00AC0334">
            <w:pPr>
              <w:spacing w:line="320" w:lineRule="exact"/>
              <w:jc w:val="center"/>
              <w:rPr>
                <w:color w:val="000000"/>
                <w:sz w:val="21"/>
                <w:szCs w:val="21"/>
              </w:rPr>
            </w:pPr>
            <w:r>
              <w:rPr>
                <w:color w:val="000000"/>
                <w:sz w:val="21"/>
                <w:szCs w:val="21"/>
              </w:rPr>
              <w:t>达标</w:t>
            </w:r>
          </w:p>
        </w:tc>
        <w:tc>
          <w:tcPr>
            <w:tcW w:w="389" w:type="pct"/>
            <w:vAlign w:val="center"/>
          </w:tcPr>
          <w:p w:rsidR="00240BCE" w:rsidRDefault="00AC0334">
            <w:pPr>
              <w:spacing w:line="320" w:lineRule="exact"/>
              <w:jc w:val="center"/>
              <w:rPr>
                <w:color w:val="000000"/>
                <w:sz w:val="21"/>
                <w:szCs w:val="21"/>
              </w:rPr>
            </w:pPr>
            <w:r>
              <w:rPr>
                <w:color w:val="000000"/>
                <w:sz w:val="21"/>
                <w:szCs w:val="21"/>
              </w:rPr>
              <w:t>达标</w:t>
            </w:r>
          </w:p>
        </w:tc>
        <w:tc>
          <w:tcPr>
            <w:tcW w:w="388" w:type="pct"/>
            <w:vAlign w:val="center"/>
          </w:tcPr>
          <w:p w:rsidR="00240BCE" w:rsidRDefault="00AC0334">
            <w:pPr>
              <w:spacing w:line="320" w:lineRule="exact"/>
              <w:jc w:val="center"/>
              <w:rPr>
                <w:color w:val="000000"/>
                <w:sz w:val="21"/>
                <w:szCs w:val="21"/>
              </w:rPr>
            </w:pPr>
            <w:r>
              <w:rPr>
                <w:color w:val="000000"/>
                <w:sz w:val="21"/>
                <w:szCs w:val="21"/>
              </w:rPr>
              <w:t>达标</w:t>
            </w:r>
          </w:p>
        </w:tc>
        <w:tc>
          <w:tcPr>
            <w:tcW w:w="388" w:type="pct"/>
            <w:vAlign w:val="center"/>
          </w:tcPr>
          <w:p w:rsidR="00240BCE" w:rsidRDefault="00AC0334">
            <w:pPr>
              <w:spacing w:line="320" w:lineRule="exact"/>
              <w:jc w:val="center"/>
              <w:rPr>
                <w:color w:val="000000"/>
                <w:sz w:val="21"/>
                <w:szCs w:val="21"/>
              </w:rPr>
            </w:pPr>
            <w:r>
              <w:rPr>
                <w:color w:val="000000"/>
                <w:sz w:val="21"/>
                <w:szCs w:val="21"/>
              </w:rPr>
              <w:t>达标</w:t>
            </w:r>
          </w:p>
        </w:tc>
        <w:tc>
          <w:tcPr>
            <w:tcW w:w="389" w:type="pct"/>
            <w:vAlign w:val="center"/>
          </w:tcPr>
          <w:p w:rsidR="00240BCE" w:rsidRDefault="00AC0334">
            <w:pPr>
              <w:spacing w:line="320" w:lineRule="exact"/>
              <w:jc w:val="center"/>
              <w:rPr>
                <w:color w:val="000000"/>
                <w:w w:val="90"/>
                <w:sz w:val="21"/>
                <w:szCs w:val="21"/>
              </w:rPr>
            </w:pPr>
            <w:r>
              <w:rPr>
                <w:color w:val="000000"/>
                <w:w w:val="90"/>
                <w:sz w:val="21"/>
                <w:szCs w:val="21"/>
              </w:rPr>
              <w:t>达标</w:t>
            </w:r>
          </w:p>
        </w:tc>
        <w:tc>
          <w:tcPr>
            <w:tcW w:w="388" w:type="pct"/>
            <w:vAlign w:val="center"/>
          </w:tcPr>
          <w:p w:rsidR="00240BCE" w:rsidRDefault="00AC0334">
            <w:pPr>
              <w:spacing w:line="320" w:lineRule="exact"/>
              <w:jc w:val="center"/>
              <w:rPr>
                <w:color w:val="000000"/>
                <w:sz w:val="21"/>
                <w:szCs w:val="21"/>
              </w:rPr>
            </w:pPr>
            <w:r>
              <w:rPr>
                <w:color w:val="000000"/>
                <w:sz w:val="21"/>
                <w:szCs w:val="21"/>
              </w:rPr>
              <w:t>达标</w:t>
            </w:r>
          </w:p>
        </w:tc>
        <w:tc>
          <w:tcPr>
            <w:tcW w:w="388" w:type="pct"/>
            <w:vAlign w:val="center"/>
          </w:tcPr>
          <w:p w:rsidR="00240BCE" w:rsidRDefault="00AC0334">
            <w:pPr>
              <w:spacing w:line="320" w:lineRule="exact"/>
              <w:jc w:val="center"/>
              <w:rPr>
                <w:color w:val="000000"/>
                <w:sz w:val="21"/>
                <w:szCs w:val="21"/>
              </w:rPr>
            </w:pPr>
            <w:r>
              <w:rPr>
                <w:color w:val="000000"/>
                <w:sz w:val="21"/>
                <w:szCs w:val="21"/>
              </w:rPr>
              <w:t>达标</w:t>
            </w:r>
          </w:p>
        </w:tc>
        <w:tc>
          <w:tcPr>
            <w:tcW w:w="389" w:type="pct"/>
            <w:vAlign w:val="center"/>
          </w:tcPr>
          <w:p w:rsidR="00240BCE" w:rsidRDefault="00AC0334">
            <w:pPr>
              <w:spacing w:line="320" w:lineRule="exact"/>
              <w:jc w:val="center"/>
              <w:rPr>
                <w:color w:val="000000"/>
                <w:sz w:val="21"/>
                <w:szCs w:val="21"/>
              </w:rPr>
            </w:pPr>
            <w:r>
              <w:rPr>
                <w:color w:val="000000"/>
                <w:sz w:val="21"/>
                <w:szCs w:val="21"/>
              </w:rPr>
              <w:t>达标</w:t>
            </w:r>
          </w:p>
        </w:tc>
        <w:tc>
          <w:tcPr>
            <w:tcW w:w="388" w:type="pct"/>
            <w:vAlign w:val="center"/>
          </w:tcPr>
          <w:p w:rsidR="00240BCE" w:rsidRDefault="00AC0334">
            <w:pPr>
              <w:spacing w:line="320" w:lineRule="exact"/>
              <w:jc w:val="center"/>
              <w:rPr>
                <w:color w:val="000000"/>
                <w:sz w:val="21"/>
                <w:szCs w:val="21"/>
              </w:rPr>
            </w:pPr>
            <w:r>
              <w:rPr>
                <w:color w:val="000000"/>
                <w:sz w:val="21"/>
                <w:szCs w:val="21"/>
              </w:rPr>
              <w:t>达标</w:t>
            </w:r>
          </w:p>
        </w:tc>
        <w:tc>
          <w:tcPr>
            <w:tcW w:w="388" w:type="pct"/>
            <w:vAlign w:val="center"/>
          </w:tcPr>
          <w:p w:rsidR="00240BCE" w:rsidRDefault="00AC0334">
            <w:pPr>
              <w:spacing w:line="320" w:lineRule="exact"/>
              <w:jc w:val="center"/>
              <w:rPr>
                <w:color w:val="000000"/>
                <w:sz w:val="21"/>
                <w:szCs w:val="21"/>
              </w:rPr>
            </w:pPr>
            <w:r>
              <w:rPr>
                <w:color w:val="000000"/>
                <w:sz w:val="21"/>
                <w:szCs w:val="21"/>
              </w:rPr>
              <w:t>达标</w:t>
            </w:r>
          </w:p>
        </w:tc>
      </w:tr>
    </w:tbl>
    <w:p w:rsidR="00240BCE" w:rsidRDefault="00AC0334">
      <w:pPr>
        <w:adjustRightInd w:val="0"/>
        <w:snapToGrid w:val="0"/>
        <w:spacing w:line="500" w:lineRule="exact"/>
        <w:ind w:firstLineChars="200" w:firstLine="488"/>
        <w:rPr>
          <w:spacing w:val="2"/>
          <w:sz w:val="24"/>
        </w:rPr>
      </w:pPr>
      <w:r>
        <w:rPr>
          <w:spacing w:val="2"/>
          <w:sz w:val="24"/>
        </w:rPr>
        <w:t>（</w:t>
      </w:r>
      <w:r>
        <w:rPr>
          <w:spacing w:val="2"/>
          <w:sz w:val="24"/>
        </w:rPr>
        <w:t>2</w:t>
      </w:r>
      <w:r>
        <w:rPr>
          <w:spacing w:val="2"/>
          <w:sz w:val="24"/>
        </w:rPr>
        <w:t>）生产、生活污废水</w:t>
      </w:r>
    </w:p>
    <w:p w:rsidR="00240BCE" w:rsidRDefault="00845BD9">
      <w:pPr>
        <w:adjustRightInd w:val="0"/>
        <w:snapToGrid w:val="0"/>
        <w:spacing w:line="500" w:lineRule="exact"/>
        <w:ind w:firstLineChars="200" w:firstLine="488"/>
        <w:rPr>
          <w:spacing w:val="2"/>
          <w:sz w:val="24"/>
        </w:rPr>
      </w:pPr>
      <w:r>
        <w:rPr>
          <w:rFonts w:hint="eastAsia"/>
          <w:spacing w:val="2"/>
          <w:sz w:val="24"/>
        </w:rPr>
        <w:t>升级改造前设计及原环评</w:t>
      </w:r>
      <w:r w:rsidR="00AC0334">
        <w:rPr>
          <w:spacing w:val="2"/>
          <w:sz w:val="24"/>
        </w:rPr>
        <w:t>工业场地生产、生活污水排放量</w:t>
      </w:r>
      <w:r w:rsidR="00AF6A3F">
        <w:rPr>
          <w:rFonts w:hint="eastAsia"/>
          <w:spacing w:val="2"/>
          <w:sz w:val="24"/>
        </w:rPr>
        <w:t>100</w:t>
      </w:r>
      <w:r w:rsidR="00AC0334">
        <w:rPr>
          <w:spacing w:val="2"/>
          <w:sz w:val="24"/>
        </w:rPr>
        <w:t>m</w:t>
      </w:r>
      <w:r w:rsidR="00AC0334">
        <w:rPr>
          <w:spacing w:val="2"/>
          <w:sz w:val="24"/>
          <w:vertAlign w:val="superscript"/>
        </w:rPr>
        <w:t>3</w:t>
      </w:r>
      <w:r w:rsidR="00AC0334">
        <w:rPr>
          <w:spacing w:val="2"/>
          <w:sz w:val="24"/>
        </w:rPr>
        <w:t>/d</w:t>
      </w:r>
      <w:r w:rsidR="00AC0334">
        <w:rPr>
          <w:spacing w:val="2"/>
          <w:sz w:val="24"/>
        </w:rPr>
        <w:t>，</w:t>
      </w:r>
      <w:r w:rsidR="00744AF3">
        <w:rPr>
          <w:rFonts w:hint="eastAsia"/>
          <w:spacing w:val="2"/>
          <w:sz w:val="24"/>
        </w:rPr>
        <w:t>目前矿井处于</w:t>
      </w:r>
      <w:r w:rsidR="00744AF3">
        <w:rPr>
          <w:rFonts w:hint="eastAsia"/>
          <w:spacing w:val="2"/>
          <w:sz w:val="24"/>
        </w:rPr>
        <w:t>15</w:t>
      </w:r>
      <w:r w:rsidR="00744AF3">
        <w:rPr>
          <w:rFonts w:hint="eastAsia"/>
          <w:spacing w:val="2"/>
          <w:sz w:val="24"/>
        </w:rPr>
        <w:t>万</w:t>
      </w:r>
      <w:r w:rsidR="00744AF3">
        <w:rPr>
          <w:rFonts w:hint="eastAsia"/>
          <w:spacing w:val="2"/>
          <w:sz w:val="24"/>
        </w:rPr>
        <w:t>t/a</w:t>
      </w:r>
      <w:r w:rsidR="00744AF3">
        <w:rPr>
          <w:rFonts w:hint="eastAsia"/>
          <w:spacing w:val="2"/>
          <w:sz w:val="24"/>
        </w:rPr>
        <w:t>技术改造过程中具备一定量的生产能力，</w:t>
      </w:r>
      <w:r w:rsidR="008240B4">
        <w:rPr>
          <w:rFonts w:hint="eastAsia"/>
          <w:spacing w:val="2"/>
          <w:sz w:val="24"/>
        </w:rPr>
        <w:t>根据现场调查，</w:t>
      </w:r>
      <w:r w:rsidR="00AF6A3F">
        <w:rPr>
          <w:rFonts w:hint="eastAsia"/>
          <w:spacing w:val="2"/>
          <w:sz w:val="24"/>
        </w:rPr>
        <w:t>生活污水实际排放量约</w:t>
      </w:r>
      <w:r w:rsidR="004303CD">
        <w:rPr>
          <w:rFonts w:hint="eastAsia"/>
          <w:spacing w:val="2"/>
          <w:sz w:val="24"/>
        </w:rPr>
        <w:t>4</w:t>
      </w:r>
      <w:r w:rsidR="009010AC">
        <w:rPr>
          <w:rFonts w:hint="eastAsia"/>
          <w:spacing w:val="2"/>
          <w:sz w:val="24"/>
        </w:rPr>
        <w:t>2.5</w:t>
      </w:r>
      <w:r w:rsidR="00AF6A3F">
        <w:rPr>
          <w:spacing w:val="2"/>
          <w:sz w:val="24"/>
        </w:rPr>
        <w:t>m</w:t>
      </w:r>
      <w:r w:rsidR="00AF6A3F">
        <w:rPr>
          <w:spacing w:val="2"/>
          <w:sz w:val="24"/>
          <w:vertAlign w:val="superscript"/>
        </w:rPr>
        <w:t>3</w:t>
      </w:r>
      <w:r w:rsidR="00AF6A3F">
        <w:rPr>
          <w:spacing w:val="2"/>
          <w:sz w:val="24"/>
        </w:rPr>
        <w:t>/d</w:t>
      </w:r>
      <w:r w:rsidR="00AF6A3F">
        <w:rPr>
          <w:rFonts w:hint="eastAsia"/>
          <w:spacing w:val="2"/>
          <w:sz w:val="24"/>
        </w:rPr>
        <w:t>，</w:t>
      </w:r>
      <w:r w:rsidR="00AC0334">
        <w:rPr>
          <w:spacing w:val="2"/>
          <w:sz w:val="24"/>
        </w:rPr>
        <w:t>主要污染物为</w:t>
      </w:r>
      <w:r w:rsidR="00AC0334">
        <w:rPr>
          <w:spacing w:val="2"/>
          <w:sz w:val="24"/>
        </w:rPr>
        <w:t>COD</w:t>
      </w:r>
      <w:r w:rsidR="00AC0334">
        <w:rPr>
          <w:spacing w:val="2"/>
          <w:sz w:val="24"/>
        </w:rPr>
        <w:t>、</w:t>
      </w:r>
      <w:r w:rsidR="00AC0334">
        <w:rPr>
          <w:spacing w:val="2"/>
          <w:sz w:val="24"/>
        </w:rPr>
        <w:t>BOD</w:t>
      </w:r>
      <w:r w:rsidR="00AC0334">
        <w:rPr>
          <w:spacing w:val="2"/>
          <w:sz w:val="24"/>
          <w:vertAlign w:val="subscript"/>
        </w:rPr>
        <w:t>5</w:t>
      </w:r>
      <w:r w:rsidR="00AC0334">
        <w:rPr>
          <w:spacing w:val="2"/>
          <w:sz w:val="24"/>
        </w:rPr>
        <w:t>、</w:t>
      </w:r>
      <w:r w:rsidR="00AC0334">
        <w:rPr>
          <w:spacing w:val="2"/>
          <w:sz w:val="24"/>
        </w:rPr>
        <w:t>SS</w:t>
      </w:r>
      <w:r w:rsidR="00AC0334">
        <w:rPr>
          <w:spacing w:val="2"/>
          <w:sz w:val="24"/>
        </w:rPr>
        <w:t>和氨氮，目前已在工业场地内建设一座处理规模</w:t>
      </w:r>
      <w:r w:rsidR="00AC0334">
        <w:rPr>
          <w:spacing w:val="2"/>
          <w:sz w:val="24"/>
        </w:rPr>
        <w:t>10m</w:t>
      </w:r>
      <w:r w:rsidR="00AC0334">
        <w:rPr>
          <w:spacing w:val="2"/>
          <w:sz w:val="24"/>
          <w:vertAlign w:val="superscript"/>
        </w:rPr>
        <w:t>3</w:t>
      </w:r>
      <w:r w:rsidR="00AC0334">
        <w:rPr>
          <w:spacing w:val="2"/>
          <w:sz w:val="24"/>
        </w:rPr>
        <w:t>/h</w:t>
      </w:r>
      <w:r w:rsidR="00AC0334">
        <w:rPr>
          <w:spacing w:val="2"/>
          <w:sz w:val="24"/>
        </w:rPr>
        <w:t>（即</w:t>
      </w:r>
      <w:r w:rsidR="00AC0334">
        <w:rPr>
          <w:spacing w:val="2"/>
          <w:sz w:val="24"/>
        </w:rPr>
        <w:t>240m</w:t>
      </w:r>
      <w:r w:rsidR="00AC0334">
        <w:rPr>
          <w:spacing w:val="2"/>
          <w:sz w:val="24"/>
          <w:vertAlign w:val="superscript"/>
        </w:rPr>
        <w:t>3</w:t>
      </w:r>
      <w:r w:rsidR="00AC0334">
        <w:rPr>
          <w:spacing w:val="2"/>
          <w:sz w:val="24"/>
        </w:rPr>
        <w:t>/d</w:t>
      </w:r>
      <w:r w:rsidR="00AC0334">
        <w:rPr>
          <w:spacing w:val="2"/>
          <w:sz w:val="24"/>
        </w:rPr>
        <w:t>）的地埋式生活污水处理站，处理设施为一套接触氧化工艺综合污水处理设备，处理工艺如下</w:t>
      </w:r>
      <w:r>
        <w:rPr>
          <w:rFonts w:hint="eastAsia"/>
          <w:spacing w:val="2"/>
          <w:sz w:val="24"/>
        </w:rPr>
        <w:t>：</w:t>
      </w:r>
    </w:p>
    <w:p w:rsidR="00240BCE" w:rsidRDefault="00AC0334">
      <w:pPr>
        <w:adjustRightInd w:val="0"/>
        <w:snapToGrid w:val="0"/>
        <w:spacing w:line="500" w:lineRule="exact"/>
        <w:ind w:firstLineChars="200" w:firstLine="488"/>
        <w:rPr>
          <w:sz w:val="24"/>
        </w:rPr>
      </w:pPr>
      <w:r>
        <w:rPr>
          <w:spacing w:val="2"/>
          <w:sz w:val="24"/>
        </w:rPr>
        <w:t xml:space="preserve"> </w:t>
      </w:r>
      <w:r>
        <w:rPr>
          <w:sz w:val="24"/>
        </w:rPr>
        <w:t>来水</w:t>
      </w:r>
      <w:r>
        <w:rPr>
          <w:sz w:val="24"/>
        </w:rPr>
        <w:t>→</w:t>
      </w:r>
      <w:r>
        <w:rPr>
          <w:sz w:val="24"/>
        </w:rPr>
        <w:t>格栅</w:t>
      </w:r>
      <w:r>
        <w:rPr>
          <w:sz w:val="24"/>
        </w:rPr>
        <w:t>→</w:t>
      </w:r>
      <w:r>
        <w:rPr>
          <w:sz w:val="24"/>
        </w:rPr>
        <w:t>调节水池</w:t>
      </w:r>
      <w:r>
        <w:rPr>
          <w:sz w:val="24"/>
        </w:rPr>
        <w:t>→</w:t>
      </w:r>
      <w:r>
        <w:rPr>
          <w:sz w:val="24"/>
        </w:rPr>
        <w:t>进水泵房</w:t>
      </w:r>
      <w:r>
        <w:rPr>
          <w:sz w:val="24"/>
        </w:rPr>
        <w:t>→</w:t>
      </w:r>
      <w:r>
        <w:rPr>
          <w:sz w:val="24"/>
        </w:rPr>
        <w:t>接触氧化法综合污水处理设备（集接触氧化</w:t>
      </w:r>
      <w:r>
        <w:rPr>
          <w:sz w:val="24"/>
        </w:rPr>
        <w:t>→</w:t>
      </w:r>
      <w:r>
        <w:rPr>
          <w:sz w:val="24"/>
        </w:rPr>
        <w:t>生物过滤</w:t>
      </w:r>
      <w:r>
        <w:rPr>
          <w:sz w:val="24"/>
        </w:rPr>
        <w:t>→</w:t>
      </w:r>
      <w:r>
        <w:rPr>
          <w:sz w:val="24"/>
        </w:rPr>
        <w:t>消毒于一体）</w:t>
      </w:r>
      <w:r>
        <w:rPr>
          <w:sz w:val="24"/>
        </w:rPr>
        <w:t>→</w:t>
      </w:r>
      <w:r>
        <w:rPr>
          <w:sz w:val="24"/>
        </w:rPr>
        <w:t>生活污水收集池</w:t>
      </w:r>
      <w:r>
        <w:rPr>
          <w:sz w:val="24"/>
        </w:rPr>
        <w:t>→</w:t>
      </w:r>
      <w:r>
        <w:rPr>
          <w:sz w:val="24"/>
        </w:rPr>
        <w:t>综合利用</w:t>
      </w:r>
      <w:r>
        <w:rPr>
          <w:spacing w:val="2"/>
          <w:sz w:val="24"/>
        </w:rPr>
        <w:t>。</w:t>
      </w:r>
    </w:p>
    <w:p w:rsidR="00240BCE" w:rsidRDefault="00AC0334">
      <w:pPr>
        <w:adjustRightInd w:val="0"/>
        <w:snapToGrid w:val="0"/>
        <w:spacing w:line="500" w:lineRule="exact"/>
        <w:ind w:firstLine="488"/>
        <w:jc w:val="center"/>
        <w:rPr>
          <w:rFonts w:eastAsia="黑体"/>
          <w:spacing w:val="2"/>
          <w:sz w:val="24"/>
        </w:rPr>
      </w:pPr>
      <w:r>
        <w:rPr>
          <w:rFonts w:eastAsia="黑体"/>
          <w:spacing w:val="2"/>
          <w:sz w:val="24"/>
        </w:rPr>
        <w:t>图</w:t>
      </w:r>
      <w:r>
        <w:rPr>
          <w:rFonts w:eastAsia="黑体"/>
          <w:spacing w:val="2"/>
          <w:sz w:val="24"/>
        </w:rPr>
        <w:t xml:space="preserve">3.1-2 </w:t>
      </w:r>
      <w:r>
        <w:rPr>
          <w:rFonts w:eastAsia="黑体"/>
          <w:spacing w:val="2"/>
          <w:sz w:val="24"/>
        </w:rPr>
        <w:t>工业场地污水处理工艺流程</w:t>
      </w:r>
    </w:p>
    <w:p w:rsidR="00240BCE" w:rsidRDefault="00AC0334">
      <w:pPr>
        <w:adjustRightInd w:val="0"/>
        <w:snapToGrid w:val="0"/>
        <w:spacing w:line="500" w:lineRule="exact"/>
        <w:ind w:firstLineChars="200" w:firstLine="488"/>
        <w:rPr>
          <w:spacing w:val="2"/>
          <w:sz w:val="24"/>
        </w:rPr>
      </w:pPr>
      <w:r>
        <w:rPr>
          <w:spacing w:val="2"/>
          <w:sz w:val="24"/>
        </w:rPr>
        <w:lastRenderedPageBreak/>
        <w:t>根据河南正捷检测技术有限公司</w:t>
      </w:r>
      <w:r>
        <w:rPr>
          <w:spacing w:val="2"/>
          <w:sz w:val="24"/>
        </w:rPr>
        <w:t>2020</w:t>
      </w:r>
      <w:r>
        <w:rPr>
          <w:spacing w:val="2"/>
          <w:sz w:val="24"/>
        </w:rPr>
        <w:t>年</w:t>
      </w:r>
      <w:r>
        <w:rPr>
          <w:spacing w:val="2"/>
          <w:sz w:val="24"/>
        </w:rPr>
        <w:t>8</w:t>
      </w:r>
      <w:r>
        <w:rPr>
          <w:spacing w:val="2"/>
          <w:sz w:val="24"/>
        </w:rPr>
        <w:t>月</w:t>
      </w:r>
      <w:r>
        <w:rPr>
          <w:spacing w:val="2"/>
          <w:sz w:val="24"/>
        </w:rPr>
        <w:t>30</w:t>
      </w:r>
      <w:r>
        <w:rPr>
          <w:spacing w:val="2"/>
          <w:sz w:val="24"/>
        </w:rPr>
        <w:t>日</w:t>
      </w:r>
      <w:r>
        <w:rPr>
          <w:spacing w:val="2"/>
          <w:sz w:val="24"/>
        </w:rPr>
        <w:t>~8</w:t>
      </w:r>
      <w:r>
        <w:rPr>
          <w:spacing w:val="2"/>
          <w:sz w:val="24"/>
        </w:rPr>
        <w:t>月</w:t>
      </w:r>
      <w:r>
        <w:rPr>
          <w:spacing w:val="2"/>
          <w:sz w:val="24"/>
        </w:rPr>
        <w:t>31</w:t>
      </w:r>
      <w:r>
        <w:rPr>
          <w:spacing w:val="2"/>
          <w:sz w:val="24"/>
        </w:rPr>
        <w:t>日监测数据可知（见表</w:t>
      </w:r>
      <w:r>
        <w:rPr>
          <w:spacing w:val="2"/>
          <w:sz w:val="24"/>
        </w:rPr>
        <w:t>3.1-</w:t>
      </w:r>
      <w:r w:rsidR="006E2C96">
        <w:rPr>
          <w:rFonts w:hint="eastAsia"/>
          <w:spacing w:val="2"/>
          <w:sz w:val="24"/>
        </w:rPr>
        <w:t>6</w:t>
      </w:r>
      <w:r>
        <w:rPr>
          <w:spacing w:val="2"/>
          <w:sz w:val="24"/>
        </w:rPr>
        <w:t>），生活污水主要污染物</w:t>
      </w:r>
      <w:r>
        <w:rPr>
          <w:spacing w:val="2"/>
          <w:sz w:val="24"/>
        </w:rPr>
        <w:t>COD</w:t>
      </w:r>
      <w:r>
        <w:rPr>
          <w:spacing w:val="2"/>
          <w:sz w:val="24"/>
        </w:rPr>
        <w:t>、</w:t>
      </w:r>
      <w:r>
        <w:rPr>
          <w:spacing w:val="2"/>
          <w:sz w:val="24"/>
        </w:rPr>
        <w:t>BOD</w:t>
      </w:r>
      <w:r>
        <w:rPr>
          <w:spacing w:val="2"/>
          <w:sz w:val="24"/>
          <w:vertAlign w:val="subscript"/>
        </w:rPr>
        <w:t>5</w:t>
      </w:r>
      <w:r>
        <w:rPr>
          <w:spacing w:val="2"/>
          <w:sz w:val="24"/>
        </w:rPr>
        <w:t>、</w:t>
      </w:r>
      <w:r>
        <w:rPr>
          <w:spacing w:val="2"/>
          <w:sz w:val="24"/>
        </w:rPr>
        <w:t>SS</w:t>
      </w:r>
      <w:r>
        <w:rPr>
          <w:spacing w:val="2"/>
          <w:sz w:val="24"/>
        </w:rPr>
        <w:t>和氨氮浓度分别为</w:t>
      </w:r>
      <w:r>
        <w:rPr>
          <w:spacing w:val="2"/>
          <w:sz w:val="24"/>
        </w:rPr>
        <w:t>121</w:t>
      </w:r>
      <w:r>
        <w:rPr>
          <w:sz w:val="24"/>
        </w:rPr>
        <w:t>mg/L</w:t>
      </w:r>
      <w:r>
        <w:rPr>
          <w:spacing w:val="2"/>
          <w:sz w:val="24"/>
        </w:rPr>
        <w:t>～</w:t>
      </w:r>
      <w:r>
        <w:rPr>
          <w:spacing w:val="2"/>
          <w:sz w:val="24"/>
        </w:rPr>
        <w:t>138</w:t>
      </w:r>
      <w:r>
        <w:rPr>
          <w:sz w:val="24"/>
        </w:rPr>
        <w:t>mg/L</w:t>
      </w:r>
      <w:r>
        <w:rPr>
          <w:spacing w:val="2"/>
          <w:sz w:val="24"/>
        </w:rPr>
        <w:t>（均值</w:t>
      </w:r>
      <w:r>
        <w:rPr>
          <w:sz w:val="24"/>
        </w:rPr>
        <w:t>128.3mg/L</w:t>
      </w:r>
      <w:r>
        <w:rPr>
          <w:spacing w:val="2"/>
          <w:sz w:val="24"/>
        </w:rPr>
        <w:t>）</w:t>
      </w:r>
      <w:r>
        <w:rPr>
          <w:sz w:val="24"/>
        </w:rPr>
        <w:t>、</w:t>
      </w:r>
      <w:r>
        <w:rPr>
          <w:spacing w:val="2"/>
          <w:sz w:val="24"/>
        </w:rPr>
        <w:t>35.9</w:t>
      </w:r>
      <w:r>
        <w:rPr>
          <w:sz w:val="24"/>
        </w:rPr>
        <w:t>mg/L</w:t>
      </w:r>
      <w:r>
        <w:rPr>
          <w:spacing w:val="2"/>
          <w:sz w:val="24"/>
        </w:rPr>
        <w:t>～</w:t>
      </w:r>
      <w:r>
        <w:rPr>
          <w:spacing w:val="2"/>
          <w:sz w:val="24"/>
        </w:rPr>
        <w:t>39.4</w:t>
      </w:r>
      <w:r>
        <w:rPr>
          <w:sz w:val="24"/>
        </w:rPr>
        <w:t>mg/L</w:t>
      </w:r>
      <w:r>
        <w:rPr>
          <w:spacing w:val="2"/>
          <w:sz w:val="24"/>
        </w:rPr>
        <w:t>（均值</w:t>
      </w:r>
      <w:r>
        <w:rPr>
          <w:sz w:val="24"/>
        </w:rPr>
        <w:t>37.6mg/L</w:t>
      </w:r>
      <w:r>
        <w:rPr>
          <w:spacing w:val="2"/>
          <w:sz w:val="24"/>
        </w:rPr>
        <w:t>）</w:t>
      </w:r>
      <w:r>
        <w:rPr>
          <w:sz w:val="24"/>
        </w:rPr>
        <w:t>、</w:t>
      </w:r>
      <w:r>
        <w:rPr>
          <w:spacing w:val="2"/>
          <w:sz w:val="24"/>
        </w:rPr>
        <w:t>83</w:t>
      </w:r>
      <w:r>
        <w:rPr>
          <w:sz w:val="24"/>
        </w:rPr>
        <w:t>mg/L</w:t>
      </w:r>
      <w:r>
        <w:rPr>
          <w:spacing w:val="2"/>
          <w:sz w:val="24"/>
        </w:rPr>
        <w:t>～</w:t>
      </w:r>
      <w:r>
        <w:rPr>
          <w:spacing w:val="2"/>
          <w:sz w:val="24"/>
        </w:rPr>
        <w:t>101</w:t>
      </w:r>
      <w:r>
        <w:rPr>
          <w:sz w:val="24"/>
        </w:rPr>
        <w:t>mg/L</w:t>
      </w:r>
      <w:r>
        <w:rPr>
          <w:spacing w:val="2"/>
          <w:sz w:val="24"/>
        </w:rPr>
        <w:t>（均值</w:t>
      </w:r>
      <w:r>
        <w:rPr>
          <w:sz w:val="24"/>
        </w:rPr>
        <w:t>91.5mg/L</w:t>
      </w:r>
      <w:r>
        <w:rPr>
          <w:spacing w:val="2"/>
          <w:sz w:val="24"/>
        </w:rPr>
        <w:t>）</w:t>
      </w:r>
      <w:r>
        <w:rPr>
          <w:sz w:val="24"/>
        </w:rPr>
        <w:t>和</w:t>
      </w:r>
      <w:r>
        <w:rPr>
          <w:spacing w:val="2"/>
          <w:sz w:val="24"/>
        </w:rPr>
        <w:t>13.6</w:t>
      </w:r>
      <w:r>
        <w:rPr>
          <w:sz w:val="24"/>
        </w:rPr>
        <w:t>mg/L</w:t>
      </w:r>
      <w:r>
        <w:rPr>
          <w:spacing w:val="2"/>
          <w:sz w:val="24"/>
        </w:rPr>
        <w:t>～</w:t>
      </w:r>
      <w:r>
        <w:rPr>
          <w:spacing w:val="2"/>
          <w:sz w:val="24"/>
        </w:rPr>
        <w:t>14.6</w:t>
      </w:r>
      <w:r>
        <w:rPr>
          <w:sz w:val="24"/>
        </w:rPr>
        <w:t>mg/L</w:t>
      </w:r>
      <w:r>
        <w:rPr>
          <w:spacing w:val="2"/>
          <w:sz w:val="24"/>
        </w:rPr>
        <w:t>（均值</w:t>
      </w:r>
      <w:r>
        <w:rPr>
          <w:sz w:val="24"/>
        </w:rPr>
        <w:t>14.1mg/L</w:t>
      </w:r>
      <w:r>
        <w:rPr>
          <w:spacing w:val="2"/>
          <w:sz w:val="24"/>
        </w:rPr>
        <w:t>）。经处理后</w:t>
      </w:r>
      <w:r>
        <w:rPr>
          <w:spacing w:val="2"/>
          <w:sz w:val="24"/>
        </w:rPr>
        <w:t>COD</w:t>
      </w:r>
      <w:r>
        <w:rPr>
          <w:spacing w:val="2"/>
          <w:sz w:val="24"/>
        </w:rPr>
        <w:t>、</w:t>
      </w:r>
      <w:r>
        <w:rPr>
          <w:spacing w:val="2"/>
          <w:sz w:val="24"/>
        </w:rPr>
        <w:t>BOD</w:t>
      </w:r>
      <w:r>
        <w:rPr>
          <w:spacing w:val="2"/>
          <w:sz w:val="24"/>
          <w:vertAlign w:val="subscript"/>
        </w:rPr>
        <w:t>5</w:t>
      </w:r>
      <w:r>
        <w:rPr>
          <w:spacing w:val="2"/>
          <w:sz w:val="24"/>
        </w:rPr>
        <w:t>、</w:t>
      </w:r>
      <w:r>
        <w:rPr>
          <w:spacing w:val="2"/>
          <w:sz w:val="24"/>
        </w:rPr>
        <w:t>SS</w:t>
      </w:r>
      <w:r>
        <w:rPr>
          <w:spacing w:val="2"/>
          <w:sz w:val="24"/>
        </w:rPr>
        <w:t>和氨氮浓度分别为</w:t>
      </w:r>
      <w:r>
        <w:rPr>
          <w:sz w:val="24"/>
        </w:rPr>
        <w:t>63mg/L</w:t>
      </w:r>
      <w:r>
        <w:rPr>
          <w:sz w:val="24"/>
        </w:rPr>
        <w:t>～</w:t>
      </w:r>
      <w:r>
        <w:rPr>
          <w:sz w:val="24"/>
        </w:rPr>
        <w:t>70mg/L</w:t>
      </w:r>
      <w:r>
        <w:rPr>
          <w:sz w:val="24"/>
        </w:rPr>
        <w:t>（均值</w:t>
      </w:r>
      <w:r>
        <w:rPr>
          <w:sz w:val="24"/>
        </w:rPr>
        <w:t>66.3mg/L</w:t>
      </w:r>
      <w:r>
        <w:rPr>
          <w:sz w:val="24"/>
        </w:rPr>
        <w:t>）、</w:t>
      </w:r>
      <w:r>
        <w:rPr>
          <w:sz w:val="24"/>
        </w:rPr>
        <w:t>10.8mg/L</w:t>
      </w:r>
      <w:r>
        <w:rPr>
          <w:sz w:val="24"/>
        </w:rPr>
        <w:t>～</w:t>
      </w:r>
      <w:r>
        <w:rPr>
          <w:sz w:val="24"/>
        </w:rPr>
        <w:t>13.7mg/L</w:t>
      </w:r>
      <w:r>
        <w:rPr>
          <w:sz w:val="24"/>
        </w:rPr>
        <w:t>（均值</w:t>
      </w:r>
      <w:r>
        <w:rPr>
          <w:sz w:val="24"/>
        </w:rPr>
        <w:t>12.2mg/L</w:t>
      </w:r>
      <w:r>
        <w:rPr>
          <w:sz w:val="24"/>
        </w:rPr>
        <w:t>）、</w:t>
      </w:r>
      <w:r>
        <w:rPr>
          <w:sz w:val="24"/>
        </w:rPr>
        <w:t>43mg/L</w:t>
      </w:r>
      <w:r>
        <w:rPr>
          <w:sz w:val="24"/>
        </w:rPr>
        <w:t>～</w:t>
      </w:r>
      <w:r>
        <w:rPr>
          <w:sz w:val="24"/>
        </w:rPr>
        <w:t>58mg/L</w:t>
      </w:r>
      <w:r>
        <w:rPr>
          <w:sz w:val="24"/>
        </w:rPr>
        <w:t>（均值</w:t>
      </w:r>
      <w:r>
        <w:rPr>
          <w:sz w:val="24"/>
        </w:rPr>
        <w:t>51.5mg/L</w:t>
      </w:r>
      <w:r>
        <w:rPr>
          <w:sz w:val="24"/>
        </w:rPr>
        <w:t>）和</w:t>
      </w:r>
      <w:r>
        <w:rPr>
          <w:sz w:val="24"/>
        </w:rPr>
        <w:t>8.25mg/L</w:t>
      </w:r>
      <w:r>
        <w:rPr>
          <w:sz w:val="24"/>
        </w:rPr>
        <w:t>～</w:t>
      </w:r>
      <w:r>
        <w:rPr>
          <w:sz w:val="24"/>
        </w:rPr>
        <w:t>8.57mg/L</w:t>
      </w:r>
      <w:r>
        <w:rPr>
          <w:sz w:val="24"/>
        </w:rPr>
        <w:t>（均值</w:t>
      </w:r>
      <w:r>
        <w:rPr>
          <w:sz w:val="24"/>
        </w:rPr>
        <w:t>8.41mg/L</w:t>
      </w:r>
      <w:r>
        <w:rPr>
          <w:sz w:val="24"/>
        </w:rPr>
        <w:t>），满足《污水综合排放标准》（</w:t>
      </w:r>
      <w:r>
        <w:rPr>
          <w:sz w:val="24"/>
        </w:rPr>
        <w:t>GB8978-1996</w:t>
      </w:r>
      <w:r>
        <w:rPr>
          <w:sz w:val="24"/>
        </w:rPr>
        <w:t>）一级标准要求</w:t>
      </w:r>
      <w:r>
        <w:rPr>
          <w:spacing w:val="2"/>
          <w:sz w:val="24"/>
        </w:rPr>
        <w:t>。处理达标后的生活污水</w:t>
      </w:r>
      <w:r w:rsidR="004303CD">
        <w:rPr>
          <w:rFonts w:hint="eastAsia"/>
          <w:spacing w:val="2"/>
          <w:sz w:val="24"/>
        </w:rPr>
        <w:t>全部综合利用，不外排</w:t>
      </w:r>
      <w:r>
        <w:rPr>
          <w:sz w:val="24"/>
        </w:rPr>
        <w:t>。</w:t>
      </w:r>
    </w:p>
    <w:p w:rsidR="00240BCE" w:rsidRDefault="00AC0334">
      <w:pPr>
        <w:adjustRightInd w:val="0"/>
        <w:snapToGrid w:val="0"/>
        <w:spacing w:line="520" w:lineRule="exact"/>
        <w:ind w:firstLineChars="200" w:firstLine="480"/>
        <w:jc w:val="center"/>
        <w:rPr>
          <w:sz w:val="24"/>
        </w:rPr>
      </w:pPr>
      <w:r>
        <w:rPr>
          <w:sz w:val="24"/>
        </w:rPr>
        <w:t>表</w:t>
      </w:r>
      <w:r>
        <w:rPr>
          <w:sz w:val="24"/>
        </w:rPr>
        <w:t>3.1-</w:t>
      </w:r>
      <w:r w:rsidR="006E2C96">
        <w:rPr>
          <w:rFonts w:hint="eastAsia"/>
          <w:sz w:val="24"/>
        </w:rPr>
        <w:t>6</w:t>
      </w:r>
      <w:r>
        <w:rPr>
          <w:sz w:val="24"/>
        </w:rPr>
        <w:t xml:space="preserve">   </w:t>
      </w:r>
      <w:r>
        <w:rPr>
          <w:sz w:val="24"/>
        </w:rPr>
        <w:t>生活污水监测结果</w:t>
      </w:r>
      <w:r>
        <w:rPr>
          <w:sz w:val="24"/>
        </w:rPr>
        <w:t xml:space="preserve">  </w:t>
      </w:r>
      <w:r>
        <w:rPr>
          <w:sz w:val="24"/>
        </w:rPr>
        <w:t>单位：</w:t>
      </w:r>
      <w:r>
        <w:rPr>
          <w:sz w:val="24"/>
        </w:rPr>
        <w:t>mg/L</w:t>
      </w:r>
      <w:r>
        <w:rPr>
          <w:sz w:val="24"/>
        </w:rPr>
        <w:t>（</w:t>
      </w:r>
      <w:r>
        <w:rPr>
          <w:sz w:val="24"/>
        </w:rPr>
        <w:t>pH</w:t>
      </w:r>
      <w:r>
        <w:rPr>
          <w:sz w:val="24"/>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134"/>
        <w:gridCol w:w="1657"/>
        <w:gridCol w:w="967"/>
        <w:gridCol w:w="1260"/>
        <w:gridCol w:w="1503"/>
        <w:gridCol w:w="1020"/>
        <w:gridCol w:w="1019"/>
      </w:tblGrid>
      <w:tr w:rsidR="00240BCE" w:rsidTr="00FE3D05">
        <w:trPr>
          <w:cantSplit/>
          <w:jc w:val="center"/>
        </w:trPr>
        <w:tc>
          <w:tcPr>
            <w:tcW w:w="662" w:type="pct"/>
            <w:vMerge w:val="restart"/>
            <w:vAlign w:val="center"/>
          </w:tcPr>
          <w:p w:rsidR="00240BCE" w:rsidRDefault="00AC0334">
            <w:pPr>
              <w:spacing w:line="340" w:lineRule="exact"/>
              <w:ind w:leftChars="-50" w:left="-140" w:rightChars="-50" w:right="-140"/>
              <w:jc w:val="center"/>
              <w:rPr>
                <w:bCs/>
                <w:color w:val="000000"/>
                <w:sz w:val="21"/>
                <w:szCs w:val="21"/>
              </w:rPr>
            </w:pPr>
            <w:r>
              <w:rPr>
                <w:bCs/>
                <w:color w:val="000000"/>
                <w:sz w:val="21"/>
                <w:szCs w:val="21"/>
              </w:rPr>
              <w:t>检测时间</w:t>
            </w:r>
          </w:p>
        </w:tc>
        <w:tc>
          <w:tcPr>
            <w:tcW w:w="967" w:type="pct"/>
            <w:vMerge w:val="restart"/>
            <w:vAlign w:val="center"/>
          </w:tcPr>
          <w:p w:rsidR="00240BCE" w:rsidRDefault="00AC0334">
            <w:pPr>
              <w:spacing w:line="340" w:lineRule="exact"/>
              <w:ind w:leftChars="-50" w:left="-140" w:rightChars="-50" w:right="-140"/>
              <w:jc w:val="center"/>
              <w:rPr>
                <w:bCs/>
                <w:color w:val="000000"/>
                <w:sz w:val="21"/>
                <w:szCs w:val="21"/>
              </w:rPr>
            </w:pPr>
            <w:r>
              <w:rPr>
                <w:bCs/>
                <w:color w:val="000000"/>
                <w:sz w:val="21"/>
                <w:szCs w:val="21"/>
              </w:rPr>
              <w:t>检测断面</w:t>
            </w:r>
          </w:p>
        </w:tc>
        <w:tc>
          <w:tcPr>
            <w:tcW w:w="3370" w:type="pct"/>
            <w:gridSpan w:val="5"/>
            <w:vAlign w:val="center"/>
          </w:tcPr>
          <w:p w:rsidR="00240BCE" w:rsidRDefault="00AC0334">
            <w:pPr>
              <w:spacing w:line="340" w:lineRule="exact"/>
              <w:jc w:val="center"/>
              <w:rPr>
                <w:bCs/>
                <w:sz w:val="21"/>
                <w:szCs w:val="21"/>
              </w:rPr>
            </w:pPr>
            <w:r>
              <w:rPr>
                <w:bCs/>
                <w:sz w:val="21"/>
                <w:szCs w:val="21"/>
              </w:rPr>
              <w:t>检测项目</w:t>
            </w:r>
          </w:p>
        </w:tc>
      </w:tr>
      <w:tr w:rsidR="00240BCE">
        <w:trPr>
          <w:cantSplit/>
          <w:jc w:val="center"/>
        </w:trPr>
        <w:tc>
          <w:tcPr>
            <w:tcW w:w="662" w:type="pct"/>
            <w:vMerge/>
            <w:vAlign w:val="center"/>
          </w:tcPr>
          <w:p w:rsidR="00240BCE" w:rsidRDefault="00240BCE">
            <w:pPr>
              <w:widowControl/>
              <w:spacing w:line="340" w:lineRule="exact"/>
              <w:jc w:val="left"/>
              <w:rPr>
                <w:bCs/>
                <w:color w:val="000000"/>
                <w:sz w:val="21"/>
                <w:szCs w:val="21"/>
              </w:rPr>
            </w:pPr>
          </w:p>
        </w:tc>
        <w:tc>
          <w:tcPr>
            <w:tcW w:w="967" w:type="pct"/>
            <w:vMerge/>
            <w:vAlign w:val="center"/>
          </w:tcPr>
          <w:p w:rsidR="00240BCE" w:rsidRDefault="00240BCE">
            <w:pPr>
              <w:widowControl/>
              <w:spacing w:line="340" w:lineRule="exact"/>
              <w:jc w:val="left"/>
              <w:rPr>
                <w:bCs/>
                <w:color w:val="000000"/>
                <w:sz w:val="21"/>
                <w:szCs w:val="21"/>
              </w:rPr>
            </w:pPr>
          </w:p>
        </w:tc>
        <w:tc>
          <w:tcPr>
            <w:tcW w:w="565" w:type="pct"/>
            <w:vAlign w:val="center"/>
          </w:tcPr>
          <w:p w:rsidR="00240BCE" w:rsidRDefault="00AC0334">
            <w:pPr>
              <w:spacing w:line="340" w:lineRule="exact"/>
              <w:jc w:val="center"/>
              <w:rPr>
                <w:bCs/>
                <w:sz w:val="21"/>
                <w:szCs w:val="21"/>
              </w:rPr>
            </w:pPr>
            <w:r>
              <w:rPr>
                <w:bCs/>
                <w:sz w:val="21"/>
                <w:szCs w:val="21"/>
              </w:rPr>
              <w:t>pH</w:t>
            </w:r>
            <w:r>
              <w:rPr>
                <w:bCs/>
                <w:sz w:val="21"/>
                <w:szCs w:val="21"/>
              </w:rPr>
              <w:t>值</w:t>
            </w:r>
          </w:p>
        </w:tc>
        <w:tc>
          <w:tcPr>
            <w:tcW w:w="736" w:type="pct"/>
            <w:vAlign w:val="center"/>
          </w:tcPr>
          <w:p w:rsidR="00240BCE" w:rsidRDefault="00AC0334">
            <w:pPr>
              <w:spacing w:line="340" w:lineRule="exact"/>
              <w:jc w:val="center"/>
              <w:rPr>
                <w:bCs/>
                <w:sz w:val="21"/>
                <w:szCs w:val="21"/>
              </w:rPr>
            </w:pPr>
            <w:r>
              <w:rPr>
                <w:bCs/>
                <w:sz w:val="21"/>
                <w:szCs w:val="21"/>
              </w:rPr>
              <w:t>化学需氧量</w:t>
            </w:r>
          </w:p>
        </w:tc>
        <w:tc>
          <w:tcPr>
            <w:tcW w:w="878" w:type="pct"/>
            <w:vAlign w:val="center"/>
          </w:tcPr>
          <w:p w:rsidR="00240BCE" w:rsidRDefault="00AC0334">
            <w:pPr>
              <w:spacing w:line="340" w:lineRule="exact"/>
              <w:jc w:val="center"/>
              <w:rPr>
                <w:bCs/>
                <w:sz w:val="21"/>
                <w:szCs w:val="21"/>
              </w:rPr>
            </w:pPr>
            <w:r>
              <w:rPr>
                <w:bCs/>
                <w:sz w:val="21"/>
                <w:szCs w:val="21"/>
              </w:rPr>
              <w:t>五日生化需氧量</w:t>
            </w:r>
          </w:p>
        </w:tc>
        <w:tc>
          <w:tcPr>
            <w:tcW w:w="596" w:type="pct"/>
            <w:vAlign w:val="center"/>
          </w:tcPr>
          <w:p w:rsidR="00240BCE" w:rsidRDefault="00AC0334">
            <w:pPr>
              <w:spacing w:line="340" w:lineRule="exact"/>
              <w:jc w:val="center"/>
              <w:rPr>
                <w:bCs/>
                <w:sz w:val="21"/>
                <w:szCs w:val="21"/>
              </w:rPr>
            </w:pPr>
            <w:r>
              <w:rPr>
                <w:bCs/>
                <w:sz w:val="21"/>
                <w:szCs w:val="21"/>
              </w:rPr>
              <w:t>悬浮物</w:t>
            </w:r>
          </w:p>
        </w:tc>
        <w:tc>
          <w:tcPr>
            <w:tcW w:w="596" w:type="pct"/>
            <w:vAlign w:val="center"/>
          </w:tcPr>
          <w:p w:rsidR="00240BCE" w:rsidRDefault="00AC0334">
            <w:pPr>
              <w:spacing w:line="340" w:lineRule="exact"/>
              <w:jc w:val="center"/>
              <w:rPr>
                <w:bCs/>
                <w:sz w:val="21"/>
                <w:szCs w:val="21"/>
              </w:rPr>
            </w:pPr>
            <w:r>
              <w:rPr>
                <w:bCs/>
                <w:sz w:val="21"/>
                <w:szCs w:val="21"/>
              </w:rPr>
              <w:t>氨氮</w:t>
            </w:r>
          </w:p>
        </w:tc>
      </w:tr>
      <w:tr w:rsidR="00240BCE">
        <w:trPr>
          <w:cantSplit/>
          <w:jc w:val="center"/>
        </w:trPr>
        <w:tc>
          <w:tcPr>
            <w:tcW w:w="662" w:type="pct"/>
            <w:vMerge w:val="restart"/>
            <w:vAlign w:val="center"/>
          </w:tcPr>
          <w:p w:rsidR="00240BCE" w:rsidRDefault="00AC0334">
            <w:pPr>
              <w:autoSpaceDE w:val="0"/>
              <w:autoSpaceDN w:val="0"/>
              <w:adjustRightInd w:val="0"/>
              <w:spacing w:line="340" w:lineRule="exact"/>
              <w:jc w:val="center"/>
              <w:rPr>
                <w:sz w:val="21"/>
                <w:szCs w:val="21"/>
              </w:rPr>
            </w:pPr>
            <w:r>
              <w:rPr>
                <w:sz w:val="21"/>
                <w:szCs w:val="21"/>
              </w:rPr>
              <w:t>2020.08.30</w:t>
            </w:r>
          </w:p>
        </w:tc>
        <w:tc>
          <w:tcPr>
            <w:tcW w:w="967" w:type="pct"/>
            <w:vMerge w:val="restart"/>
            <w:vAlign w:val="center"/>
          </w:tcPr>
          <w:p w:rsidR="00240BCE" w:rsidRDefault="00AC0334">
            <w:pPr>
              <w:adjustRightInd w:val="0"/>
              <w:snapToGrid w:val="0"/>
              <w:spacing w:line="340" w:lineRule="exact"/>
              <w:jc w:val="center"/>
              <w:rPr>
                <w:sz w:val="21"/>
                <w:szCs w:val="21"/>
              </w:rPr>
            </w:pPr>
            <w:r>
              <w:rPr>
                <w:sz w:val="21"/>
                <w:szCs w:val="21"/>
              </w:rPr>
              <w:t>生活污水处理设施进口</w:t>
            </w:r>
          </w:p>
        </w:tc>
        <w:tc>
          <w:tcPr>
            <w:tcW w:w="565" w:type="pct"/>
            <w:vAlign w:val="center"/>
          </w:tcPr>
          <w:p w:rsidR="00240BCE" w:rsidRDefault="00AC0334">
            <w:pPr>
              <w:spacing w:line="340" w:lineRule="exact"/>
              <w:jc w:val="center"/>
              <w:rPr>
                <w:color w:val="000000"/>
                <w:sz w:val="21"/>
                <w:szCs w:val="21"/>
              </w:rPr>
            </w:pPr>
            <w:r>
              <w:rPr>
                <w:color w:val="000000"/>
                <w:sz w:val="21"/>
                <w:szCs w:val="21"/>
              </w:rPr>
              <w:t>7.20</w:t>
            </w:r>
          </w:p>
        </w:tc>
        <w:tc>
          <w:tcPr>
            <w:tcW w:w="736" w:type="pct"/>
            <w:vAlign w:val="center"/>
          </w:tcPr>
          <w:p w:rsidR="00240BCE" w:rsidRDefault="00AC0334">
            <w:pPr>
              <w:widowControl/>
              <w:spacing w:line="340" w:lineRule="exact"/>
              <w:jc w:val="center"/>
              <w:rPr>
                <w:color w:val="000000"/>
                <w:sz w:val="21"/>
                <w:szCs w:val="21"/>
              </w:rPr>
            </w:pPr>
            <w:r>
              <w:rPr>
                <w:color w:val="000000"/>
                <w:sz w:val="21"/>
                <w:szCs w:val="21"/>
              </w:rPr>
              <w:t xml:space="preserve">121 </w:t>
            </w:r>
          </w:p>
        </w:tc>
        <w:tc>
          <w:tcPr>
            <w:tcW w:w="878" w:type="pct"/>
            <w:vAlign w:val="center"/>
          </w:tcPr>
          <w:p w:rsidR="00240BCE" w:rsidRDefault="00AC0334">
            <w:pPr>
              <w:widowControl/>
              <w:spacing w:line="340" w:lineRule="exact"/>
              <w:jc w:val="center"/>
              <w:rPr>
                <w:color w:val="000000"/>
                <w:sz w:val="21"/>
                <w:szCs w:val="21"/>
              </w:rPr>
            </w:pPr>
            <w:r>
              <w:rPr>
                <w:color w:val="000000"/>
                <w:sz w:val="21"/>
                <w:szCs w:val="21"/>
              </w:rPr>
              <w:t>38.3</w:t>
            </w:r>
          </w:p>
        </w:tc>
        <w:tc>
          <w:tcPr>
            <w:tcW w:w="596" w:type="pct"/>
            <w:vAlign w:val="center"/>
          </w:tcPr>
          <w:p w:rsidR="00240BCE" w:rsidRDefault="00AC0334">
            <w:pPr>
              <w:widowControl/>
              <w:spacing w:line="340" w:lineRule="exact"/>
              <w:jc w:val="center"/>
              <w:rPr>
                <w:color w:val="000000"/>
                <w:sz w:val="21"/>
                <w:szCs w:val="21"/>
              </w:rPr>
            </w:pPr>
            <w:r>
              <w:rPr>
                <w:color w:val="000000"/>
                <w:sz w:val="21"/>
                <w:szCs w:val="21"/>
              </w:rPr>
              <w:t>89</w:t>
            </w:r>
          </w:p>
        </w:tc>
        <w:tc>
          <w:tcPr>
            <w:tcW w:w="596" w:type="pct"/>
            <w:vAlign w:val="center"/>
          </w:tcPr>
          <w:p w:rsidR="00240BCE" w:rsidRDefault="00AC0334">
            <w:pPr>
              <w:widowControl/>
              <w:spacing w:line="340" w:lineRule="exact"/>
              <w:jc w:val="center"/>
              <w:rPr>
                <w:color w:val="000000"/>
                <w:sz w:val="21"/>
                <w:szCs w:val="21"/>
              </w:rPr>
            </w:pPr>
            <w:r>
              <w:rPr>
                <w:color w:val="000000"/>
                <w:sz w:val="21"/>
                <w:szCs w:val="21"/>
              </w:rPr>
              <w:t xml:space="preserve">13.6 </w:t>
            </w:r>
          </w:p>
        </w:tc>
      </w:tr>
      <w:tr w:rsidR="00240BCE">
        <w:trPr>
          <w:cantSplit/>
          <w:jc w:val="center"/>
        </w:trPr>
        <w:tc>
          <w:tcPr>
            <w:tcW w:w="662" w:type="pct"/>
            <w:vMerge/>
            <w:vAlign w:val="center"/>
          </w:tcPr>
          <w:p w:rsidR="00240BCE" w:rsidRDefault="00240BCE">
            <w:pPr>
              <w:widowControl/>
              <w:spacing w:line="340" w:lineRule="exact"/>
              <w:jc w:val="left"/>
              <w:rPr>
                <w:sz w:val="21"/>
                <w:szCs w:val="21"/>
              </w:rPr>
            </w:pPr>
          </w:p>
        </w:tc>
        <w:tc>
          <w:tcPr>
            <w:tcW w:w="967" w:type="pct"/>
            <w:vMerge/>
            <w:vAlign w:val="center"/>
          </w:tcPr>
          <w:p w:rsidR="00240BCE" w:rsidRDefault="00240BCE">
            <w:pPr>
              <w:widowControl/>
              <w:spacing w:line="340" w:lineRule="exact"/>
              <w:jc w:val="left"/>
              <w:rPr>
                <w:sz w:val="21"/>
                <w:szCs w:val="21"/>
              </w:rPr>
            </w:pPr>
          </w:p>
        </w:tc>
        <w:tc>
          <w:tcPr>
            <w:tcW w:w="565" w:type="pct"/>
            <w:vAlign w:val="center"/>
          </w:tcPr>
          <w:p w:rsidR="00240BCE" w:rsidRDefault="00AC0334">
            <w:pPr>
              <w:spacing w:line="340" w:lineRule="exact"/>
              <w:jc w:val="center"/>
              <w:rPr>
                <w:color w:val="000000"/>
                <w:sz w:val="21"/>
                <w:szCs w:val="21"/>
              </w:rPr>
            </w:pPr>
            <w:r>
              <w:rPr>
                <w:color w:val="000000"/>
                <w:sz w:val="21"/>
                <w:szCs w:val="21"/>
              </w:rPr>
              <w:t>7.26</w:t>
            </w:r>
          </w:p>
        </w:tc>
        <w:tc>
          <w:tcPr>
            <w:tcW w:w="736" w:type="pct"/>
            <w:vAlign w:val="center"/>
          </w:tcPr>
          <w:p w:rsidR="00240BCE" w:rsidRDefault="00AC0334">
            <w:pPr>
              <w:spacing w:line="340" w:lineRule="exact"/>
              <w:jc w:val="center"/>
              <w:rPr>
                <w:color w:val="000000"/>
                <w:sz w:val="21"/>
                <w:szCs w:val="21"/>
              </w:rPr>
            </w:pPr>
            <w:r>
              <w:rPr>
                <w:color w:val="000000"/>
                <w:sz w:val="21"/>
                <w:szCs w:val="21"/>
              </w:rPr>
              <w:t xml:space="preserve">129 </w:t>
            </w:r>
          </w:p>
        </w:tc>
        <w:tc>
          <w:tcPr>
            <w:tcW w:w="878" w:type="pct"/>
            <w:vAlign w:val="center"/>
          </w:tcPr>
          <w:p w:rsidR="00240BCE" w:rsidRDefault="00AC0334">
            <w:pPr>
              <w:spacing w:line="340" w:lineRule="exact"/>
              <w:jc w:val="center"/>
              <w:rPr>
                <w:color w:val="000000"/>
                <w:sz w:val="21"/>
                <w:szCs w:val="21"/>
              </w:rPr>
            </w:pPr>
            <w:r>
              <w:rPr>
                <w:color w:val="000000"/>
                <w:sz w:val="21"/>
                <w:szCs w:val="21"/>
              </w:rPr>
              <w:t>35.9</w:t>
            </w:r>
          </w:p>
        </w:tc>
        <w:tc>
          <w:tcPr>
            <w:tcW w:w="596" w:type="pct"/>
            <w:vAlign w:val="center"/>
          </w:tcPr>
          <w:p w:rsidR="00240BCE" w:rsidRDefault="00AC0334">
            <w:pPr>
              <w:spacing w:line="340" w:lineRule="exact"/>
              <w:jc w:val="center"/>
              <w:rPr>
                <w:color w:val="000000"/>
                <w:sz w:val="21"/>
                <w:szCs w:val="21"/>
              </w:rPr>
            </w:pPr>
            <w:r>
              <w:rPr>
                <w:color w:val="000000"/>
                <w:sz w:val="21"/>
                <w:szCs w:val="21"/>
              </w:rPr>
              <w:t>93</w:t>
            </w:r>
          </w:p>
        </w:tc>
        <w:tc>
          <w:tcPr>
            <w:tcW w:w="596" w:type="pct"/>
            <w:vAlign w:val="center"/>
          </w:tcPr>
          <w:p w:rsidR="00240BCE" w:rsidRDefault="00AC0334">
            <w:pPr>
              <w:spacing w:line="340" w:lineRule="exact"/>
              <w:jc w:val="center"/>
              <w:rPr>
                <w:color w:val="000000"/>
                <w:sz w:val="21"/>
                <w:szCs w:val="21"/>
              </w:rPr>
            </w:pPr>
            <w:r>
              <w:rPr>
                <w:color w:val="000000"/>
                <w:sz w:val="21"/>
                <w:szCs w:val="21"/>
              </w:rPr>
              <w:t xml:space="preserve">13.9 </w:t>
            </w:r>
          </w:p>
        </w:tc>
      </w:tr>
      <w:tr w:rsidR="00240BCE">
        <w:trPr>
          <w:cantSplit/>
          <w:jc w:val="center"/>
        </w:trPr>
        <w:tc>
          <w:tcPr>
            <w:tcW w:w="662" w:type="pct"/>
            <w:vMerge/>
            <w:vAlign w:val="center"/>
          </w:tcPr>
          <w:p w:rsidR="00240BCE" w:rsidRDefault="00240BCE">
            <w:pPr>
              <w:widowControl/>
              <w:spacing w:line="340" w:lineRule="exact"/>
              <w:jc w:val="left"/>
              <w:rPr>
                <w:sz w:val="21"/>
                <w:szCs w:val="21"/>
              </w:rPr>
            </w:pPr>
          </w:p>
        </w:tc>
        <w:tc>
          <w:tcPr>
            <w:tcW w:w="967" w:type="pct"/>
            <w:vMerge w:val="restart"/>
            <w:vAlign w:val="center"/>
          </w:tcPr>
          <w:p w:rsidR="00240BCE" w:rsidRDefault="00AC0334">
            <w:pPr>
              <w:spacing w:line="340" w:lineRule="exact"/>
              <w:jc w:val="center"/>
              <w:rPr>
                <w:sz w:val="21"/>
                <w:szCs w:val="21"/>
              </w:rPr>
            </w:pPr>
            <w:r>
              <w:rPr>
                <w:sz w:val="21"/>
                <w:szCs w:val="21"/>
              </w:rPr>
              <w:t>生活污水处理设施出口</w:t>
            </w:r>
          </w:p>
        </w:tc>
        <w:tc>
          <w:tcPr>
            <w:tcW w:w="565" w:type="pct"/>
            <w:vAlign w:val="center"/>
          </w:tcPr>
          <w:p w:rsidR="00240BCE" w:rsidRDefault="00AC0334">
            <w:pPr>
              <w:spacing w:line="340" w:lineRule="exact"/>
              <w:jc w:val="center"/>
              <w:rPr>
                <w:color w:val="000000"/>
                <w:sz w:val="21"/>
                <w:szCs w:val="21"/>
              </w:rPr>
            </w:pPr>
            <w:r>
              <w:rPr>
                <w:color w:val="000000"/>
                <w:sz w:val="21"/>
                <w:szCs w:val="21"/>
              </w:rPr>
              <w:t>7.21</w:t>
            </w:r>
          </w:p>
        </w:tc>
        <w:tc>
          <w:tcPr>
            <w:tcW w:w="736" w:type="pct"/>
            <w:vAlign w:val="center"/>
          </w:tcPr>
          <w:p w:rsidR="00240BCE" w:rsidRDefault="00AC0334">
            <w:pPr>
              <w:spacing w:line="340" w:lineRule="exact"/>
              <w:jc w:val="center"/>
              <w:rPr>
                <w:color w:val="000000"/>
                <w:sz w:val="21"/>
                <w:szCs w:val="21"/>
              </w:rPr>
            </w:pPr>
            <w:r>
              <w:rPr>
                <w:color w:val="000000"/>
                <w:sz w:val="21"/>
                <w:szCs w:val="21"/>
              </w:rPr>
              <w:t xml:space="preserve">67 </w:t>
            </w:r>
          </w:p>
        </w:tc>
        <w:tc>
          <w:tcPr>
            <w:tcW w:w="878" w:type="pct"/>
            <w:vAlign w:val="center"/>
          </w:tcPr>
          <w:p w:rsidR="00240BCE" w:rsidRDefault="00AC0334">
            <w:pPr>
              <w:widowControl/>
              <w:spacing w:line="340" w:lineRule="exact"/>
              <w:jc w:val="center"/>
              <w:rPr>
                <w:color w:val="000000"/>
                <w:sz w:val="21"/>
                <w:szCs w:val="21"/>
              </w:rPr>
            </w:pPr>
            <w:r>
              <w:rPr>
                <w:color w:val="000000"/>
                <w:sz w:val="21"/>
                <w:szCs w:val="21"/>
              </w:rPr>
              <w:t>12.5</w:t>
            </w:r>
          </w:p>
        </w:tc>
        <w:tc>
          <w:tcPr>
            <w:tcW w:w="596" w:type="pct"/>
            <w:vAlign w:val="center"/>
          </w:tcPr>
          <w:p w:rsidR="00240BCE" w:rsidRDefault="00AC0334">
            <w:pPr>
              <w:spacing w:line="340" w:lineRule="exact"/>
              <w:jc w:val="center"/>
              <w:rPr>
                <w:color w:val="000000"/>
                <w:sz w:val="21"/>
                <w:szCs w:val="21"/>
              </w:rPr>
            </w:pPr>
            <w:r>
              <w:rPr>
                <w:color w:val="000000"/>
                <w:sz w:val="21"/>
                <w:szCs w:val="21"/>
              </w:rPr>
              <w:t>58</w:t>
            </w:r>
          </w:p>
        </w:tc>
        <w:tc>
          <w:tcPr>
            <w:tcW w:w="596" w:type="pct"/>
            <w:vAlign w:val="center"/>
          </w:tcPr>
          <w:p w:rsidR="00240BCE" w:rsidRDefault="00AC0334">
            <w:pPr>
              <w:spacing w:line="340" w:lineRule="exact"/>
              <w:jc w:val="center"/>
              <w:rPr>
                <w:color w:val="000000"/>
                <w:sz w:val="21"/>
                <w:szCs w:val="21"/>
              </w:rPr>
            </w:pPr>
            <w:r>
              <w:rPr>
                <w:color w:val="000000"/>
                <w:sz w:val="21"/>
                <w:szCs w:val="21"/>
              </w:rPr>
              <w:t xml:space="preserve">8.44 </w:t>
            </w:r>
          </w:p>
        </w:tc>
      </w:tr>
      <w:tr w:rsidR="00240BCE">
        <w:trPr>
          <w:cantSplit/>
          <w:jc w:val="center"/>
        </w:trPr>
        <w:tc>
          <w:tcPr>
            <w:tcW w:w="662" w:type="pct"/>
            <w:vMerge/>
            <w:vAlign w:val="center"/>
          </w:tcPr>
          <w:p w:rsidR="00240BCE" w:rsidRDefault="00240BCE">
            <w:pPr>
              <w:widowControl/>
              <w:spacing w:line="340" w:lineRule="exact"/>
              <w:jc w:val="left"/>
              <w:rPr>
                <w:sz w:val="21"/>
                <w:szCs w:val="21"/>
              </w:rPr>
            </w:pPr>
          </w:p>
        </w:tc>
        <w:tc>
          <w:tcPr>
            <w:tcW w:w="967" w:type="pct"/>
            <w:vMerge/>
            <w:vAlign w:val="center"/>
          </w:tcPr>
          <w:p w:rsidR="00240BCE" w:rsidRDefault="00240BCE">
            <w:pPr>
              <w:widowControl/>
              <w:spacing w:line="340" w:lineRule="exact"/>
              <w:jc w:val="left"/>
              <w:rPr>
                <w:sz w:val="21"/>
                <w:szCs w:val="21"/>
              </w:rPr>
            </w:pPr>
          </w:p>
        </w:tc>
        <w:tc>
          <w:tcPr>
            <w:tcW w:w="565" w:type="pct"/>
            <w:vAlign w:val="center"/>
          </w:tcPr>
          <w:p w:rsidR="00240BCE" w:rsidRDefault="00AC0334">
            <w:pPr>
              <w:spacing w:line="340" w:lineRule="exact"/>
              <w:jc w:val="center"/>
              <w:rPr>
                <w:color w:val="000000"/>
                <w:sz w:val="21"/>
                <w:szCs w:val="21"/>
              </w:rPr>
            </w:pPr>
            <w:r>
              <w:rPr>
                <w:color w:val="000000"/>
                <w:sz w:val="21"/>
                <w:szCs w:val="21"/>
              </w:rPr>
              <w:t>7.25</w:t>
            </w:r>
          </w:p>
        </w:tc>
        <w:tc>
          <w:tcPr>
            <w:tcW w:w="736" w:type="pct"/>
            <w:vAlign w:val="center"/>
          </w:tcPr>
          <w:p w:rsidR="00240BCE" w:rsidRDefault="00AC0334">
            <w:pPr>
              <w:spacing w:line="340" w:lineRule="exact"/>
              <w:jc w:val="center"/>
              <w:rPr>
                <w:color w:val="000000"/>
                <w:sz w:val="21"/>
                <w:szCs w:val="21"/>
              </w:rPr>
            </w:pPr>
            <w:r>
              <w:rPr>
                <w:color w:val="000000"/>
                <w:sz w:val="21"/>
                <w:szCs w:val="21"/>
              </w:rPr>
              <w:t>63</w:t>
            </w:r>
          </w:p>
        </w:tc>
        <w:tc>
          <w:tcPr>
            <w:tcW w:w="878" w:type="pct"/>
            <w:vAlign w:val="center"/>
          </w:tcPr>
          <w:p w:rsidR="00240BCE" w:rsidRDefault="00AC0334">
            <w:pPr>
              <w:spacing w:line="340" w:lineRule="exact"/>
              <w:jc w:val="center"/>
              <w:rPr>
                <w:color w:val="000000"/>
                <w:sz w:val="21"/>
                <w:szCs w:val="21"/>
              </w:rPr>
            </w:pPr>
            <w:r>
              <w:rPr>
                <w:color w:val="000000"/>
                <w:sz w:val="21"/>
                <w:szCs w:val="21"/>
              </w:rPr>
              <w:t>10.8</w:t>
            </w:r>
          </w:p>
        </w:tc>
        <w:tc>
          <w:tcPr>
            <w:tcW w:w="596" w:type="pct"/>
            <w:vAlign w:val="center"/>
          </w:tcPr>
          <w:p w:rsidR="00240BCE" w:rsidRDefault="00AC0334">
            <w:pPr>
              <w:spacing w:line="340" w:lineRule="exact"/>
              <w:jc w:val="center"/>
              <w:rPr>
                <w:color w:val="000000"/>
                <w:sz w:val="21"/>
                <w:szCs w:val="21"/>
              </w:rPr>
            </w:pPr>
            <w:r>
              <w:rPr>
                <w:color w:val="000000"/>
                <w:sz w:val="21"/>
                <w:szCs w:val="21"/>
              </w:rPr>
              <w:t>49</w:t>
            </w:r>
          </w:p>
        </w:tc>
        <w:tc>
          <w:tcPr>
            <w:tcW w:w="596" w:type="pct"/>
            <w:vAlign w:val="center"/>
          </w:tcPr>
          <w:p w:rsidR="00240BCE" w:rsidRDefault="00AC0334">
            <w:pPr>
              <w:spacing w:line="340" w:lineRule="exact"/>
              <w:jc w:val="center"/>
              <w:rPr>
                <w:color w:val="000000"/>
                <w:sz w:val="21"/>
                <w:szCs w:val="21"/>
              </w:rPr>
            </w:pPr>
            <w:r>
              <w:rPr>
                <w:color w:val="000000"/>
                <w:sz w:val="21"/>
                <w:szCs w:val="21"/>
              </w:rPr>
              <w:t xml:space="preserve">8.25 </w:t>
            </w:r>
          </w:p>
        </w:tc>
      </w:tr>
      <w:tr w:rsidR="00240BCE">
        <w:trPr>
          <w:cantSplit/>
          <w:jc w:val="center"/>
        </w:trPr>
        <w:tc>
          <w:tcPr>
            <w:tcW w:w="662" w:type="pct"/>
            <w:vMerge w:val="restart"/>
            <w:vAlign w:val="center"/>
          </w:tcPr>
          <w:p w:rsidR="00240BCE" w:rsidRDefault="00AC0334" w:rsidP="009C5F33">
            <w:pPr>
              <w:spacing w:beforeLines="50" w:line="340" w:lineRule="exact"/>
              <w:jc w:val="center"/>
              <w:rPr>
                <w:sz w:val="21"/>
                <w:szCs w:val="21"/>
              </w:rPr>
            </w:pPr>
            <w:r>
              <w:rPr>
                <w:sz w:val="21"/>
                <w:szCs w:val="21"/>
              </w:rPr>
              <w:t>2020.08.31</w:t>
            </w:r>
          </w:p>
        </w:tc>
        <w:tc>
          <w:tcPr>
            <w:tcW w:w="967" w:type="pct"/>
            <w:vMerge w:val="restart"/>
            <w:vAlign w:val="center"/>
          </w:tcPr>
          <w:p w:rsidR="00240BCE" w:rsidRDefault="00AC0334">
            <w:pPr>
              <w:adjustRightInd w:val="0"/>
              <w:snapToGrid w:val="0"/>
              <w:spacing w:line="340" w:lineRule="exact"/>
              <w:jc w:val="center"/>
              <w:rPr>
                <w:sz w:val="21"/>
                <w:szCs w:val="21"/>
              </w:rPr>
            </w:pPr>
            <w:r>
              <w:rPr>
                <w:sz w:val="21"/>
                <w:szCs w:val="21"/>
              </w:rPr>
              <w:t>生活污水处理设施进口</w:t>
            </w:r>
          </w:p>
        </w:tc>
        <w:tc>
          <w:tcPr>
            <w:tcW w:w="565" w:type="pct"/>
            <w:vAlign w:val="center"/>
          </w:tcPr>
          <w:p w:rsidR="00240BCE" w:rsidRDefault="00AC0334">
            <w:pPr>
              <w:spacing w:line="340" w:lineRule="exact"/>
              <w:jc w:val="center"/>
              <w:rPr>
                <w:color w:val="000000"/>
                <w:sz w:val="21"/>
                <w:szCs w:val="21"/>
              </w:rPr>
            </w:pPr>
            <w:r>
              <w:rPr>
                <w:color w:val="000000"/>
                <w:sz w:val="21"/>
                <w:szCs w:val="21"/>
              </w:rPr>
              <w:t>7.20</w:t>
            </w:r>
          </w:p>
        </w:tc>
        <w:tc>
          <w:tcPr>
            <w:tcW w:w="736" w:type="pct"/>
            <w:vAlign w:val="center"/>
          </w:tcPr>
          <w:p w:rsidR="00240BCE" w:rsidRDefault="00AC0334">
            <w:pPr>
              <w:widowControl/>
              <w:spacing w:line="340" w:lineRule="exact"/>
              <w:jc w:val="center"/>
              <w:rPr>
                <w:color w:val="000000"/>
                <w:sz w:val="21"/>
                <w:szCs w:val="21"/>
              </w:rPr>
            </w:pPr>
            <w:r>
              <w:rPr>
                <w:color w:val="000000"/>
                <w:sz w:val="21"/>
                <w:szCs w:val="21"/>
              </w:rPr>
              <w:t xml:space="preserve">138 </w:t>
            </w:r>
          </w:p>
        </w:tc>
        <w:tc>
          <w:tcPr>
            <w:tcW w:w="878" w:type="pct"/>
            <w:vAlign w:val="center"/>
          </w:tcPr>
          <w:p w:rsidR="00240BCE" w:rsidRDefault="00AC0334">
            <w:pPr>
              <w:widowControl/>
              <w:spacing w:line="340" w:lineRule="exact"/>
              <w:jc w:val="center"/>
              <w:rPr>
                <w:color w:val="000000"/>
                <w:sz w:val="21"/>
                <w:szCs w:val="21"/>
              </w:rPr>
            </w:pPr>
            <w:r>
              <w:rPr>
                <w:color w:val="000000"/>
                <w:sz w:val="21"/>
                <w:szCs w:val="21"/>
              </w:rPr>
              <w:t>36.8</w:t>
            </w:r>
          </w:p>
        </w:tc>
        <w:tc>
          <w:tcPr>
            <w:tcW w:w="596" w:type="pct"/>
            <w:vAlign w:val="center"/>
          </w:tcPr>
          <w:p w:rsidR="00240BCE" w:rsidRDefault="00AC0334">
            <w:pPr>
              <w:widowControl/>
              <w:spacing w:line="340" w:lineRule="exact"/>
              <w:jc w:val="center"/>
              <w:rPr>
                <w:color w:val="000000"/>
                <w:sz w:val="21"/>
                <w:szCs w:val="21"/>
              </w:rPr>
            </w:pPr>
            <w:r>
              <w:rPr>
                <w:color w:val="000000"/>
                <w:sz w:val="21"/>
                <w:szCs w:val="21"/>
              </w:rPr>
              <w:t>101</w:t>
            </w:r>
          </w:p>
        </w:tc>
        <w:tc>
          <w:tcPr>
            <w:tcW w:w="596" w:type="pct"/>
            <w:vAlign w:val="center"/>
          </w:tcPr>
          <w:p w:rsidR="00240BCE" w:rsidRDefault="00AC0334">
            <w:pPr>
              <w:widowControl/>
              <w:spacing w:line="340" w:lineRule="exact"/>
              <w:jc w:val="center"/>
              <w:rPr>
                <w:color w:val="000000"/>
                <w:sz w:val="21"/>
                <w:szCs w:val="21"/>
              </w:rPr>
            </w:pPr>
            <w:r>
              <w:rPr>
                <w:color w:val="000000"/>
                <w:sz w:val="21"/>
                <w:szCs w:val="21"/>
              </w:rPr>
              <w:t xml:space="preserve">14.6 </w:t>
            </w:r>
          </w:p>
        </w:tc>
      </w:tr>
      <w:tr w:rsidR="00240BCE">
        <w:trPr>
          <w:cantSplit/>
          <w:jc w:val="center"/>
        </w:trPr>
        <w:tc>
          <w:tcPr>
            <w:tcW w:w="662" w:type="pct"/>
            <w:vMerge/>
            <w:vAlign w:val="center"/>
          </w:tcPr>
          <w:p w:rsidR="00240BCE" w:rsidRDefault="00240BCE">
            <w:pPr>
              <w:widowControl/>
              <w:spacing w:line="340" w:lineRule="exact"/>
              <w:jc w:val="left"/>
              <w:rPr>
                <w:sz w:val="21"/>
                <w:szCs w:val="21"/>
              </w:rPr>
            </w:pPr>
          </w:p>
        </w:tc>
        <w:tc>
          <w:tcPr>
            <w:tcW w:w="967" w:type="pct"/>
            <w:vMerge/>
            <w:vAlign w:val="center"/>
          </w:tcPr>
          <w:p w:rsidR="00240BCE" w:rsidRDefault="00240BCE">
            <w:pPr>
              <w:widowControl/>
              <w:spacing w:line="340" w:lineRule="exact"/>
              <w:jc w:val="left"/>
              <w:rPr>
                <w:sz w:val="21"/>
                <w:szCs w:val="21"/>
              </w:rPr>
            </w:pPr>
          </w:p>
        </w:tc>
        <w:tc>
          <w:tcPr>
            <w:tcW w:w="565" w:type="pct"/>
            <w:vAlign w:val="center"/>
          </w:tcPr>
          <w:p w:rsidR="00240BCE" w:rsidRDefault="00AC0334">
            <w:pPr>
              <w:spacing w:line="340" w:lineRule="exact"/>
              <w:jc w:val="center"/>
              <w:rPr>
                <w:color w:val="000000"/>
                <w:sz w:val="21"/>
                <w:szCs w:val="21"/>
              </w:rPr>
            </w:pPr>
            <w:r>
              <w:rPr>
                <w:color w:val="000000"/>
                <w:sz w:val="21"/>
                <w:szCs w:val="21"/>
              </w:rPr>
              <w:t>7.26</w:t>
            </w:r>
          </w:p>
        </w:tc>
        <w:tc>
          <w:tcPr>
            <w:tcW w:w="736" w:type="pct"/>
            <w:vAlign w:val="center"/>
          </w:tcPr>
          <w:p w:rsidR="00240BCE" w:rsidRDefault="00AC0334">
            <w:pPr>
              <w:spacing w:line="340" w:lineRule="exact"/>
              <w:jc w:val="center"/>
              <w:rPr>
                <w:color w:val="000000"/>
                <w:sz w:val="21"/>
                <w:szCs w:val="21"/>
              </w:rPr>
            </w:pPr>
            <w:r>
              <w:rPr>
                <w:color w:val="000000"/>
                <w:sz w:val="21"/>
                <w:szCs w:val="21"/>
              </w:rPr>
              <w:t xml:space="preserve">125 </w:t>
            </w:r>
          </w:p>
        </w:tc>
        <w:tc>
          <w:tcPr>
            <w:tcW w:w="878" w:type="pct"/>
            <w:vAlign w:val="center"/>
          </w:tcPr>
          <w:p w:rsidR="00240BCE" w:rsidRDefault="00AC0334">
            <w:pPr>
              <w:spacing w:line="340" w:lineRule="exact"/>
              <w:jc w:val="center"/>
              <w:rPr>
                <w:color w:val="000000"/>
                <w:sz w:val="21"/>
                <w:szCs w:val="21"/>
              </w:rPr>
            </w:pPr>
            <w:r>
              <w:rPr>
                <w:color w:val="000000"/>
                <w:sz w:val="21"/>
                <w:szCs w:val="21"/>
              </w:rPr>
              <w:t>39.4</w:t>
            </w:r>
          </w:p>
        </w:tc>
        <w:tc>
          <w:tcPr>
            <w:tcW w:w="596" w:type="pct"/>
            <w:vAlign w:val="center"/>
          </w:tcPr>
          <w:p w:rsidR="00240BCE" w:rsidRDefault="00AC0334">
            <w:pPr>
              <w:spacing w:line="340" w:lineRule="exact"/>
              <w:jc w:val="center"/>
              <w:rPr>
                <w:color w:val="000000"/>
                <w:sz w:val="21"/>
                <w:szCs w:val="21"/>
              </w:rPr>
            </w:pPr>
            <w:r>
              <w:rPr>
                <w:color w:val="000000"/>
                <w:sz w:val="21"/>
                <w:szCs w:val="21"/>
              </w:rPr>
              <w:t>83</w:t>
            </w:r>
          </w:p>
        </w:tc>
        <w:tc>
          <w:tcPr>
            <w:tcW w:w="596" w:type="pct"/>
            <w:vAlign w:val="center"/>
          </w:tcPr>
          <w:p w:rsidR="00240BCE" w:rsidRDefault="00AC0334">
            <w:pPr>
              <w:spacing w:line="340" w:lineRule="exact"/>
              <w:jc w:val="center"/>
              <w:rPr>
                <w:color w:val="000000"/>
                <w:sz w:val="21"/>
                <w:szCs w:val="21"/>
              </w:rPr>
            </w:pPr>
            <w:r>
              <w:rPr>
                <w:color w:val="000000"/>
                <w:sz w:val="21"/>
                <w:szCs w:val="21"/>
              </w:rPr>
              <w:t xml:space="preserve">14.3 </w:t>
            </w:r>
          </w:p>
        </w:tc>
      </w:tr>
      <w:tr w:rsidR="00240BCE">
        <w:trPr>
          <w:cantSplit/>
          <w:jc w:val="center"/>
        </w:trPr>
        <w:tc>
          <w:tcPr>
            <w:tcW w:w="662" w:type="pct"/>
            <w:vMerge/>
            <w:vAlign w:val="center"/>
          </w:tcPr>
          <w:p w:rsidR="00240BCE" w:rsidRDefault="00240BCE">
            <w:pPr>
              <w:widowControl/>
              <w:spacing w:line="340" w:lineRule="exact"/>
              <w:jc w:val="left"/>
              <w:rPr>
                <w:sz w:val="21"/>
                <w:szCs w:val="21"/>
              </w:rPr>
            </w:pPr>
          </w:p>
        </w:tc>
        <w:tc>
          <w:tcPr>
            <w:tcW w:w="967" w:type="pct"/>
            <w:vMerge w:val="restart"/>
            <w:vAlign w:val="center"/>
          </w:tcPr>
          <w:p w:rsidR="00240BCE" w:rsidRDefault="00AC0334">
            <w:pPr>
              <w:spacing w:line="340" w:lineRule="exact"/>
              <w:jc w:val="center"/>
              <w:rPr>
                <w:sz w:val="21"/>
                <w:szCs w:val="21"/>
              </w:rPr>
            </w:pPr>
            <w:r>
              <w:rPr>
                <w:sz w:val="21"/>
                <w:szCs w:val="21"/>
              </w:rPr>
              <w:t>生活污水处理设施出口</w:t>
            </w:r>
          </w:p>
        </w:tc>
        <w:tc>
          <w:tcPr>
            <w:tcW w:w="565" w:type="pct"/>
            <w:vAlign w:val="center"/>
          </w:tcPr>
          <w:p w:rsidR="00240BCE" w:rsidRDefault="00AC0334">
            <w:pPr>
              <w:spacing w:line="340" w:lineRule="exact"/>
              <w:jc w:val="center"/>
              <w:rPr>
                <w:color w:val="000000"/>
                <w:sz w:val="21"/>
                <w:szCs w:val="21"/>
              </w:rPr>
            </w:pPr>
            <w:r>
              <w:rPr>
                <w:color w:val="000000"/>
                <w:sz w:val="21"/>
                <w:szCs w:val="21"/>
              </w:rPr>
              <w:t>7.17</w:t>
            </w:r>
          </w:p>
        </w:tc>
        <w:tc>
          <w:tcPr>
            <w:tcW w:w="736" w:type="pct"/>
            <w:vAlign w:val="center"/>
          </w:tcPr>
          <w:p w:rsidR="00240BCE" w:rsidRDefault="00AC0334">
            <w:pPr>
              <w:spacing w:line="340" w:lineRule="exact"/>
              <w:jc w:val="center"/>
              <w:rPr>
                <w:color w:val="000000"/>
                <w:sz w:val="21"/>
                <w:szCs w:val="21"/>
              </w:rPr>
            </w:pPr>
            <w:r>
              <w:rPr>
                <w:color w:val="000000"/>
                <w:sz w:val="21"/>
                <w:szCs w:val="21"/>
              </w:rPr>
              <w:t>70</w:t>
            </w:r>
          </w:p>
        </w:tc>
        <w:tc>
          <w:tcPr>
            <w:tcW w:w="878" w:type="pct"/>
            <w:vAlign w:val="center"/>
          </w:tcPr>
          <w:p w:rsidR="00240BCE" w:rsidRDefault="00AC0334">
            <w:pPr>
              <w:spacing w:line="340" w:lineRule="exact"/>
              <w:jc w:val="center"/>
              <w:rPr>
                <w:color w:val="000000"/>
                <w:sz w:val="21"/>
                <w:szCs w:val="21"/>
              </w:rPr>
            </w:pPr>
            <w:r>
              <w:rPr>
                <w:color w:val="000000"/>
                <w:sz w:val="21"/>
                <w:szCs w:val="21"/>
              </w:rPr>
              <w:t>11.8</w:t>
            </w:r>
          </w:p>
        </w:tc>
        <w:tc>
          <w:tcPr>
            <w:tcW w:w="596" w:type="pct"/>
            <w:vAlign w:val="center"/>
          </w:tcPr>
          <w:p w:rsidR="00240BCE" w:rsidRDefault="00AC0334">
            <w:pPr>
              <w:spacing w:line="340" w:lineRule="exact"/>
              <w:jc w:val="center"/>
              <w:rPr>
                <w:color w:val="000000"/>
                <w:sz w:val="21"/>
                <w:szCs w:val="21"/>
              </w:rPr>
            </w:pPr>
            <w:r>
              <w:rPr>
                <w:color w:val="000000"/>
                <w:sz w:val="21"/>
                <w:szCs w:val="21"/>
              </w:rPr>
              <w:t>43</w:t>
            </w:r>
          </w:p>
        </w:tc>
        <w:tc>
          <w:tcPr>
            <w:tcW w:w="596" w:type="pct"/>
            <w:vAlign w:val="center"/>
          </w:tcPr>
          <w:p w:rsidR="00240BCE" w:rsidRDefault="00AC0334">
            <w:pPr>
              <w:spacing w:line="340" w:lineRule="exact"/>
              <w:jc w:val="center"/>
              <w:rPr>
                <w:color w:val="000000"/>
                <w:sz w:val="21"/>
                <w:szCs w:val="21"/>
              </w:rPr>
            </w:pPr>
            <w:r>
              <w:rPr>
                <w:color w:val="000000"/>
                <w:sz w:val="21"/>
                <w:szCs w:val="21"/>
              </w:rPr>
              <w:t xml:space="preserve">8.57 </w:t>
            </w:r>
          </w:p>
        </w:tc>
      </w:tr>
      <w:tr w:rsidR="00240BCE">
        <w:trPr>
          <w:cantSplit/>
          <w:jc w:val="center"/>
        </w:trPr>
        <w:tc>
          <w:tcPr>
            <w:tcW w:w="662" w:type="pct"/>
            <w:vMerge/>
            <w:vAlign w:val="center"/>
          </w:tcPr>
          <w:p w:rsidR="00240BCE" w:rsidRDefault="00240BCE">
            <w:pPr>
              <w:widowControl/>
              <w:spacing w:line="340" w:lineRule="exact"/>
              <w:jc w:val="left"/>
              <w:rPr>
                <w:sz w:val="21"/>
                <w:szCs w:val="21"/>
              </w:rPr>
            </w:pPr>
          </w:p>
        </w:tc>
        <w:tc>
          <w:tcPr>
            <w:tcW w:w="967" w:type="pct"/>
            <w:vMerge/>
            <w:vAlign w:val="center"/>
          </w:tcPr>
          <w:p w:rsidR="00240BCE" w:rsidRDefault="00240BCE">
            <w:pPr>
              <w:widowControl/>
              <w:spacing w:line="340" w:lineRule="exact"/>
              <w:jc w:val="left"/>
              <w:rPr>
                <w:sz w:val="21"/>
                <w:szCs w:val="21"/>
              </w:rPr>
            </w:pPr>
          </w:p>
        </w:tc>
        <w:tc>
          <w:tcPr>
            <w:tcW w:w="565" w:type="pct"/>
            <w:vAlign w:val="center"/>
          </w:tcPr>
          <w:p w:rsidR="00240BCE" w:rsidRDefault="00AC0334">
            <w:pPr>
              <w:spacing w:line="340" w:lineRule="exact"/>
              <w:jc w:val="center"/>
              <w:rPr>
                <w:color w:val="000000"/>
                <w:sz w:val="21"/>
                <w:szCs w:val="21"/>
              </w:rPr>
            </w:pPr>
            <w:r>
              <w:rPr>
                <w:color w:val="000000"/>
                <w:sz w:val="21"/>
                <w:szCs w:val="21"/>
              </w:rPr>
              <w:t>7.25</w:t>
            </w:r>
          </w:p>
        </w:tc>
        <w:tc>
          <w:tcPr>
            <w:tcW w:w="736" w:type="pct"/>
            <w:vAlign w:val="center"/>
          </w:tcPr>
          <w:p w:rsidR="00240BCE" w:rsidRDefault="00AC0334">
            <w:pPr>
              <w:spacing w:line="340" w:lineRule="exact"/>
              <w:jc w:val="center"/>
              <w:rPr>
                <w:color w:val="000000"/>
                <w:sz w:val="21"/>
                <w:szCs w:val="21"/>
              </w:rPr>
            </w:pPr>
            <w:r>
              <w:rPr>
                <w:color w:val="000000"/>
                <w:sz w:val="21"/>
                <w:szCs w:val="21"/>
              </w:rPr>
              <w:t>65</w:t>
            </w:r>
          </w:p>
        </w:tc>
        <w:tc>
          <w:tcPr>
            <w:tcW w:w="878" w:type="pct"/>
            <w:vAlign w:val="center"/>
          </w:tcPr>
          <w:p w:rsidR="00240BCE" w:rsidRDefault="00AC0334">
            <w:pPr>
              <w:spacing w:line="340" w:lineRule="exact"/>
              <w:jc w:val="center"/>
              <w:rPr>
                <w:color w:val="000000"/>
                <w:sz w:val="21"/>
                <w:szCs w:val="21"/>
              </w:rPr>
            </w:pPr>
            <w:r>
              <w:rPr>
                <w:color w:val="000000"/>
                <w:sz w:val="21"/>
                <w:szCs w:val="21"/>
              </w:rPr>
              <w:t>13.7</w:t>
            </w:r>
          </w:p>
        </w:tc>
        <w:tc>
          <w:tcPr>
            <w:tcW w:w="596" w:type="pct"/>
            <w:vAlign w:val="center"/>
          </w:tcPr>
          <w:p w:rsidR="00240BCE" w:rsidRDefault="00AC0334">
            <w:pPr>
              <w:spacing w:line="340" w:lineRule="exact"/>
              <w:jc w:val="center"/>
              <w:rPr>
                <w:color w:val="000000"/>
                <w:sz w:val="21"/>
                <w:szCs w:val="21"/>
              </w:rPr>
            </w:pPr>
            <w:r>
              <w:rPr>
                <w:color w:val="000000"/>
                <w:sz w:val="21"/>
                <w:szCs w:val="21"/>
              </w:rPr>
              <w:t>56</w:t>
            </w:r>
          </w:p>
        </w:tc>
        <w:tc>
          <w:tcPr>
            <w:tcW w:w="596" w:type="pct"/>
            <w:vAlign w:val="center"/>
          </w:tcPr>
          <w:p w:rsidR="00240BCE" w:rsidRDefault="00AC0334">
            <w:pPr>
              <w:spacing w:line="340" w:lineRule="exact"/>
              <w:jc w:val="center"/>
              <w:rPr>
                <w:color w:val="000000"/>
                <w:sz w:val="21"/>
                <w:szCs w:val="21"/>
              </w:rPr>
            </w:pPr>
            <w:r>
              <w:rPr>
                <w:color w:val="000000"/>
                <w:sz w:val="21"/>
                <w:szCs w:val="21"/>
              </w:rPr>
              <w:t xml:space="preserve">8.38 </w:t>
            </w:r>
          </w:p>
        </w:tc>
      </w:tr>
      <w:tr w:rsidR="00240BCE" w:rsidTr="00FE3D05">
        <w:trPr>
          <w:cantSplit/>
          <w:jc w:val="center"/>
        </w:trPr>
        <w:tc>
          <w:tcPr>
            <w:tcW w:w="1630" w:type="pct"/>
            <w:gridSpan w:val="2"/>
            <w:vAlign w:val="center"/>
          </w:tcPr>
          <w:p w:rsidR="00240BCE" w:rsidRDefault="00AC0334">
            <w:pPr>
              <w:widowControl/>
              <w:spacing w:line="340" w:lineRule="exact"/>
              <w:jc w:val="center"/>
              <w:rPr>
                <w:sz w:val="21"/>
                <w:szCs w:val="21"/>
              </w:rPr>
            </w:pPr>
            <w:r>
              <w:rPr>
                <w:sz w:val="21"/>
                <w:szCs w:val="21"/>
              </w:rPr>
              <w:t>GB8978-1996</w:t>
            </w:r>
            <w:r>
              <w:rPr>
                <w:sz w:val="21"/>
                <w:szCs w:val="21"/>
              </w:rPr>
              <w:t>表</w:t>
            </w:r>
            <w:r>
              <w:rPr>
                <w:sz w:val="21"/>
                <w:szCs w:val="21"/>
              </w:rPr>
              <w:t>4</w:t>
            </w:r>
            <w:r>
              <w:rPr>
                <w:sz w:val="21"/>
                <w:szCs w:val="21"/>
              </w:rPr>
              <w:t>一级标准</w:t>
            </w:r>
          </w:p>
        </w:tc>
        <w:tc>
          <w:tcPr>
            <w:tcW w:w="565" w:type="pct"/>
            <w:vAlign w:val="center"/>
          </w:tcPr>
          <w:p w:rsidR="00240BCE" w:rsidRDefault="00AC0334">
            <w:pPr>
              <w:adjustRightInd w:val="0"/>
              <w:snapToGrid w:val="0"/>
              <w:spacing w:line="320" w:lineRule="exact"/>
              <w:jc w:val="center"/>
              <w:rPr>
                <w:sz w:val="21"/>
                <w:szCs w:val="21"/>
              </w:rPr>
            </w:pPr>
            <w:r>
              <w:rPr>
                <w:sz w:val="21"/>
                <w:szCs w:val="21"/>
              </w:rPr>
              <w:t>6</w:t>
            </w:r>
            <w:r>
              <w:rPr>
                <w:sz w:val="21"/>
                <w:szCs w:val="21"/>
              </w:rPr>
              <w:t>～</w:t>
            </w:r>
            <w:r>
              <w:rPr>
                <w:sz w:val="21"/>
                <w:szCs w:val="21"/>
              </w:rPr>
              <w:t>9</w:t>
            </w:r>
          </w:p>
        </w:tc>
        <w:tc>
          <w:tcPr>
            <w:tcW w:w="736" w:type="pct"/>
            <w:vAlign w:val="center"/>
          </w:tcPr>
          <w:p w:rsidR="00240BCE" w:rsidRDefault="00AC0334">
            <w:pPr>
              <w:adjustRightInd w:val="0"/>
              <w:snapToGrid w:val="0"/>
              <w:spacing w:line="320" w:lineRule="exact"/>
              <w:jc w:val="center"/>
              <w:rPr>
                <w:sz w:val="21"/>
                <w:szCs w:val="21"/>
              </w:rPr>
            </w:pPr>
            <w:r>
              <w:rPr>
                <w:sz w:val="21"/>
                <w:szCs w:val="21"/>
              </w:rPr>
              <w:t>100</w:t>
            </w:r>
          </w:p>
        </w:tc>
        <w:tc>
          <w:tcPr>
            <w:tcW w:w="878" w:type="pct"/>
            <w:vAlign w:val="center"/>
          </w:tcPr>
          <w:p w:rsidR="00240BCE" w:rsidRDefault="00AC0334">
            <w:pPr>
              <w:adjustRightInd w:val="0"/>
              <w:snapToGrid w:val="0"/>
              <w:spacing w:line="320" w:lineRule="exact"/>
              <w:jc w:val="center"/>
              <w:rPr>
                <w:sz w:val="21"/>
                <w:szCs w:val="21"/>
              </w:rPr>
            </w:pPr>
            <w:r>
              <w:rPr>
                <w:sz w:val="21"/>
                <w:szCs w:val="21"/>
              </w:rPr>
              <w:t>20</w:t>
            </w:r>
          </w:p>
        </w:tc>
        <w:tc>
          <w:tcPr>
            <w:tcW w:w="596" w:type="pct"/>
            <w:vAlign w:val="center"/>
          </w:tcPr>
          <w:p w:rsidR="00240BCE" w:rsidRDefault="00AC0334">
            <w:pPr>
              <w:adjustRightInd w:val="0"/>
              <w:snapToGrid w:val="0"/>
              <w:spacing w:line="320" w:lineRule="exact"/>
              <w:jc w:val="center"/>
              <w:rPr>
                <w:sz w:val="21"/>
                <w:szCs w:val="21"/>
              </w:rPr>
            </w:pPr>
            <w:r>
              <w:rPr>
                <w:sz w:val="21"/>
                <w:szCs w:val="21"/>
              </w:rPr>
              <w:t>70</w:t>
            </w:r>
          </w:p>
        </w:tc>
        <w:tc>
          <w:tcPr>
            <w:tcW w:w="596" w:type="pct"/>
            <w:vAlign w:val="center"/>
          </w:tcPr>
          <w:p w:rsidR="00240BCE" w:rsidRDefault="00AC0334">
            <w:pPr>
              <w:adjustRightInd w:val="0"/>
              <w:snapToGrid w:val="0"/>
              <w:spacing w:line="320" w:lineRule="exact"/>
              <w:jc w:val="center"/>
              <w:rPr>
                <w:sz w:val="21"/>
                <w:szCs w:val="21"/>
              </w:rPr>
            </w:pPr>
            <w:r>
              <w:rPr>
                <w:sz w:val="21"/>
                <w:szCs w:val="21"/>
              </w:rPr>
              <w:t>15</w:t>
            </w:r>
          </w:p>
        </w:tc>
      </w:tr>
      <w:tr w:rsidR="00240BCE" w:rsidTr="00FE3D05">
        <w:trPr>
          <w:cantSplit/>
          <w:jc w:val="center"/>
        </w:trPr>
        <w:tc>
          <w:tcPr>
            <w:tcW w:w="1630" w:type="pct"/>
            <w:gridSpan w:val="2"/>
            <w:vAlign w:val="center"/>
          </w:tcPr>
          <w:p w:rsidR="00240BCE" w:rsidRDefault="00AC0334">
            <w:pPr>
              <w:widowControl/>
              <w:spacing w:line="340" w:lineRule="exact"/>
              <w:jc w:val="center"/>
              <w:rPr>
                <w:sz w:val="21"/>
                <w:szCs w:val="21"/>
              </w:rPr>
            </w:pPr>
            <w:r>
              <w:rPr>
                <w:sz w:val="21"/>
                <w:szCs w:val="21"/>
              </w:rPr>
              <w:t>达标情况</w:t>
            </w:r>
          </w:p>
        </w:tc>
        <w:tc>
          <w:tcPr>
            <w:tcW w:w="565" w:type="pct"/>
            <w:vAlign w:val="center"/>
          </w:tcPr>
          <w:p w:rsidR="00240BCE" w:rsidRDefault="00AC0334">
            <w:pPr>
              <w:adjustRightInd w:val="0"/>
              <w:snapToGrid w:val="0"/>
              <w:spacing w:line="320" w:lineRule="exact"/>
              <w:jc w:val="center"/>
              <w:rPr>
                <w:sz w:val="21"/>
                <w:szCs w:val="21"/>
              </w:rPr>
            </w:pPr>
            <w:r>
              <w:rPr>
                <w:sz w:val="21"/>
                <w:szCs w:val="21"/>
              </w:rPr>
              <w:t>达标</w:t>
            </w:r>
          </w:p>
        </w:tc>
        <w:tc>
          <w:tcPr>
            <w:tcW w:w="736" w:type="pct"/>
            <w:vAlign w:val="center"/>
          </w:tcPr>
          <w:p w:rsidR="00240BCE" w:rsidRDefault="00AC0334">
            <w:pPr>
              <w:adjustRightInd w:val="0"/>
              <w:snapToGrid w:val="0"/>
              <w:spacing w:line="320" w:lineRule="exact"/>
              <w:jc w:val="center"/>
              <w:rPr>
                <w:sz w:val="21"/>
                <w:szCs w:val="21"/>
              </w:rPr>
            </w:pPr>
            <w:r>
              <w:rPr>
                <w:sz w:val="21"/>
                <w:szCs w:val="21"/>
              </w:rPr>
              <w:t>达标</w:t>
            </w:r>
          </w:p>
        </w:tc>
        <w:tc>
          <w:tcPr>
            <w:tcW w:w="878" w:type="pct"/>
            <w:vAlign w:val="center"/>
          </w:tcPr>
          <w:p w:rsidR="00240BCE" w:rsidRDefault="00AC0334">
            <w:pPr>
              <w:adjustRightInd w:val="0"/>
              <w:snapToGrid w:val="0"/>
              <w:spacing w:line="320" w:lineRule="exact"/>
              <w:jc w:val="center"/>
              <w:rPr>
                <w:sz w:val="21"/>
                <w:szCs w:val="21"/>
              </w:rPr>
            </w:pPr>
            <w:r>
              <w:rPr>
                <w:sz w:val="21"/>
                <w:szCs w:val="21"/>
              </w:rPr>
              <w:t>达标</w:t>
            </w:r>
          </w:p>
        </w:tc>
        <w:tc>
          <w:tcPr>
            <w:tcW w:w="596" w:type="pct"/>
            <w:vAlign w:val="center"/>
          </w:tcPr>
          <w:p w:rsidR="00240BCE" w:rsidRDefault="00AC0334">
            <w:pPr>
              <w:adjustRightInd w:val="0"/>
              <w:snapToGrid w:val="0"/>
              <w:spacing w:line="320" w:lineRule="exact"/>
              <w:jc w:val="center"/>
              <w:rPr>
                <w:sz w:val="21"/>
                <w:szCs w:val="21"/>
              </w:rPr>
            </w:pPr>
            <w:r>
              <w:rPr>
                <w:sz w:val="21"/>
                <w:szCs w:val="21"/>
              </w:rPr>
              <w:t>达标</w:t>
            </w:r>
          </w:p>
        </w:tc>
        <w:tc>
          <w:tcPr>
            <w:tcW w:w="596" w:type="pct"/>
            <w:vAlign w:val="center"/>
          </w:tcPr>
          <w:p w:rsidR="00240BCE" w:rsidRDefault="00AC0334">
            <w:pPr>
              <w:adjustRightInd w:val="0"/>
              <w:snapToGrid w:val="0"/>
              <w:spacing w:line="320" w:lineRule="exact"/>
              <w:jc w:val="center"/>
              <w:rPr>
                <w:sz w:val="21"/>
                <w:szCs w:val="21"/>
              </w:rPr>
            </w:pPr>
            <w:r>
              <w:rPr>
                <w:sz w:val="21"/>
                <w:szCs w:val="21"/>
              </w:rPr>
              <w:t>达标</w:t>
            </w:r>
          </w:p>
        </w:tc>
      </w:tr>
    </w:tbl>
    <w:p w:rsidR="00FE3D05" w:rsidRPr="00FE3D05" w:rsidRDefault="00FE3D05" w:rsidP="00FE3D05">
      <w:pPr>
        <w:tabs>
          <w:tab w:val="left" w:pos="0"/>
        </w:tabs>
        <w:spacing w:line="520" w:lineRule="exact"/>
        <w:ind w:firstLineChars="200" w:firstLine="480"/>
        <w:rPr>
          <w:sz w:val="24"/>
        </w:rPr>
      </w:pPr>
      <w:r>
        <w:rPr>
          <w:rFonts w:hint="eastAsia"/>
          <w:sz w:val="24"/>
        </w:rPr>
        <w:t>（</w:t>
      </w:r>
      <w:r>
        <w:rPr>
          <w:rFonts w:hint="eastAsia"/>
          <w:sz w:val="24"/>
        </w:rPr>
        <w:t>3</w:t>
      </w:r>
      <w:r>
        <w:rPr>
          <w:rFonts w:hint="eastAsia"/>
          <w:sz w:val="24"/>
        </w:rPr>
        <w:t>）</w:t>
      </w:r>
      <w:r w:rsidRPr="00FE3D05">
        <w:rPr>
          <w:rFonts w:hint="eastAsia"/>
          <w:sz w:val="24"/>
        </w:rPr>
        <w:t>小结</w:t>
      </w:r>
    </w:p>
    <w:p w:rsidR="00AF6A3F" w:rsidRPr="009010AC" w:rsidRDefault="00FE3D05" w:rsidP="00FE3D05">
      <w:pPr>
        <w:tabs>
          <w:tab w:val="left" w:pos="0"/>
        </w:tabs>
        <w:spacing w:line="520" w:lineRule="exact"/>
        <w:ind w:firstLineChars="200" w:firstLine="480"/>
        <w:rPr>
          <w:spacing w:val="2"/>
          <w:sz w:val="24"/>
        </w:rPr>
      </w:pPr>
      <w:r w:rsidRPr="006D281A">
        <w:rPr>
          <w:rFonts w:hint="eastAsia"/>
          <w:sz w:val="24"/>
        </w:rPr>
        <w:t>根据</w:t>
      </w:r>
      <w:r w:rsidR="006D281A" w:rsidRPr="006D281A">
        <w:rPr>
          <w:rFonts w:hint="eastAsia"/>
          <w:sz w:val="24"/>
        </w:rPr>
        <w:t>前述</w:t>
      </w:r>
      <w:r w:rsidRPr="006D281A">
        <w:rPr>
          <w:rFonts w:hint="eastAsia"/>
          <w:sz w:val="24"/>
        </w:rPr>
        <w:t>分析，项目</w:t>
      </w:r>
      <w:r w:rsidR="006D281A">
        <w:rPr>
          <w:rFonts w:hint="eastAsia"/>
          <w:sz w:val="24"/>
        </w:rPr>
        <w:t>现有工程</w:t>
      </w:r>
      <w:r w:rsidRPr="006D281A">
        <w:rPr>
          <w:rFonts w:hint="eastAsia"/>
          <w:sz w:val="24"/>
        </w:rPr>
        <w:t>矿井水</w:t>
      </w:r>
      <w:r w:rsidR="006D281A" w:rsidRPr="006D281A">
        <w:rPr>
          <w:rFonts w:hint="eastAsia"/>
          <w:sz w:val="24"/>
        </w:rPr>
        <w:t>及生活污水分别采取</w:t>
      </w:r>
      <w:r w:rsidR="006D281A" w:rsidRPr="006D281A">
        <w:rPr>
          <w:sz w:val="24"/>
        </w:rPr>
        <w:t>矿井水处理系统和生活废水处理系统</w:t>
      </w:r>
      <w:r w:rsidRPr="006D281A">
        <w:rPr>
          <w:rFonts w:hint="eastAsia"/>
          <w:sz w:val="24"/>
        </w:rPr>
        <w:t>处理</w:t>
      </w:r>
      <w:r w:rsidR="006D281A">
        <w:rPr>
          <w:rFonts w:hint="eastAsia"/>
          <w:sz w:val="24"/>
        </w:rPr>
        <w:t>，处理后矿井水</w:t>
      </w:r>
      <w:r w:rsidR="00AF6A3F">
        <w:rPr>
          <w:rFonts w:hint="eastAsia"/>
          <w:sz w:val="24"/>
        </w:rPr>
        <w:t>、生活污水均</w:t>
      </w:r>
      <w:r w:rsidR="00AF6A3F">
        <w:rPr>
          <w:spacing w:val="2"/>
          <w:sz w:val="24"/>
        </w:rPr>
        <w:t>满足</w:t>
      </w:r>
      <w:r w:rsidR="00AF6A3F">
        <w:rPr>
          <w:rFonts w:hint="eastAsia"/>
          <w:spacing w:val="2"/>
          <w:sz w:val="24"/>
        </w:rPr>
        <w:t>原环评</w:t>
      </w:r>
      <w:r w:rsidR="00AF6A3F" w:rsidRPr="00AF6A3F">
        <w:rPr>
          <w:spacing w:val="2"/>
          <w:sz w:val="24"/>
        </w:rPr>
        <w:t>《污水综合排放标准》</w:t>
      </w:r>
      <w:r w:rsidR="00AF6A3F" w:rsidRPr="00AF6A3F">
        <w:rPr>
          <w:spacing w:val="2"/>
          <w:sz w:val="24"/>
        </w:rPr>
        <w:t>(GB8978 -1996)</w:t>
      </w:r>
      <w:r w:rsidR="00AF6A3F" w:rsidRPr="00AF6A3F">
        <w:rPr>
          <w:spacing w:val="2"/>
          <w:sz w:val="24"/>
        </w:rPr>
        <w:t>表</w:t>
      </w:r>
      <w:r w:rsidR="00AF6A3F" w:rsidRPr="00AF6A3F">
        <w:rPr>
          <w:spacing w:val="2"/>
          <w:sz w:val="24"/>
        </w:rPr>
        <w:t>4</w:t>
      </w:r>
      <w:r w:rsidR="00AF6A3F" w:rsidRPr="00AF6A3F">
        <w:rPr>
          <w:spacing w:val="2"/>
          <w:sz w:val="24"/>
        </w:rPr>
        <w:t>一级标准</w:t>
      </w:r>
      <w:r w:rsidR="00744AF3">
        <w:rPr>
          <w:rFonts w:hint="eastAsia"/>
          <w:spacing w:val="2"/>
          <w:sz w:val="24"/>
        </w:rPr>
        <w:t>要求。</w:t>
      </w:r>
      <w:r w:rsidR="004303CD">
        <w:rPr>
          <w:spacing w:val="2"/>
          <w:sz w:val="24"/>
        </w:rPr>
        <w:t>处理达标后的生活污水</w:t>
      </w:r>
      <w:r w:rsidR="004303CD">
        <w:rPr>
          <w:rFonts w:hint="eastAsia"/>
          <w:spacing w:val="2"/>
          <w:sz w:val="24"/>
        </w:rPr>
        <w:t>全部综合利用，不外排</w:t>
      </w:r>
      <w:r w:rsidR="004303CD">
        <w:rPr>
          <w:sz w:val="24"/>
        </w:rPr>
        <w:t>。</w:t>
      </w:r>
      <w:r w:rsidR="00744AF3">
        <w:rPr>
          <w:spacing w:val="2"/>
          <w:sz w:val="24"/>
        </w:rPr>
        <w:t>处理达标后的矿井水部分（</w:t>
      </w:r>
      <w:r w:rsidR="004303CD">
        <w:rPr>
          <w:rFonts w:hint="eastAsia"/>
          <w:spacing w:val="2"/>
          <w:sz w:val="24"/>
        </w:rPr>
        <w:t>286.2</w:t>
      </w:r>
      <w:r w:rsidR="00744AF3">
        <w:rPr>
          <w:spacing w:val="2"/>
          <w:sz w:val="24"/>
        </w:rPr>
        <w:t>m</w:t>
      </w:r>
      <w:r w:rsidR="00744AF3">
        <w:rPr>
          <w:spacing w:val="2"/>
          <w:sz w:val="24"/>
          <w:vertAlign w:val="superscript"/>
        </w:rPr>
        <w:t>3</w:t>
      </w:r>
      <w:r w:rsidR="00744AF3">
        <w:rPr>
          <w:spacing w:val="2"/>
          <w:sz w:val="24"/>
        </w:rPr>
        <w:t>/d</w:t>
      </w:r>
      <w:r w:rsidR="00744AF3">
        <w:rPr>
          <w:spacing w:val="2"/>
          <w:sz w:val="24"/>
        </w:rPr>
        <w:t>）回用于生产用水，剩余部分（</w:t>
      </w:r>
      <w:r w:rsidR="004303CD">
        <w:rPr>
          <w:rFonts w:hint="eastAsia"/>
          <w:spacing w:val="2"/>
          <w:sz w:val="24"/>
        </w:rPr>
        <w:t>193.8</w:t>
      </w:r>
      <w:r w:rsidR="00744AF3">
        <w:rPr>
          <w:spacing w:val="2"/>
          <w:sz w:val="24"/>
        </w:rPr>
        <w:t>）排至赵沟河、纸坊水库后用于周边农田灌溉</w:t>
      </w:r>
      <w:r w:rsidR="009010AC">
        <w:rPr>
          <w:rFonts w:hint="eastAsia"/>
          <w:spacing w:val="2"/>
          <w:sz w:val="24"/>
        </w:rPr>
        <w:t>及生态补水</w:t>
      </w:r>
      <w:r w:rsidR="00744AF3">
        <w:rPr>
          <w:rFonts w:hint="eastAsia"/>
          <w:spacing w:val="2"/>
          <w:sz w:val="24"/>
        </w:rPr>
        <w:t>；</w:t>
      </w:r>
      <w:r w:rsidR="009010AC" w:rsidRPr="009010AC">
        <w:rPr>
          <w:rFonts w:hint="eastAsia"/>
          <w:sz w:val="24"/>
        </w:rPr>
        <w:t>废水排放量</w:t>
      </w:r>
      <w:r w:rsidR="009010AC" w:rsidRPr="009010AC">
        <w:rPr>
          <w:rFonts w:hint="eastAsia"/>
          <w:sz w:val="24"/>
        </w:rPr>
        <w:t>7.0737</w:t>
      </w:r>
      <w:r w:rsidR="009010AC" w:rsidRPr="009010AC">
        <w:rPr>
          <w:rFonts w:hint="eastAsia"/>
          <w:sz w:val="24"/>
        </w:rPr>
        <w:t>万</w:t>
      </w:r>
      <w:r w:rsidR="009010AC" w:rsidRPr="009010AC">
        <w:rPr>
          <w:rFonts w:hint="eastAsia"/>
          <w:sz w:val="24"/>
        </w:rPr>
        <w:t>m</w:t>
      </w:r>
      <w:r w:rsidR="009010AC" w:rsidRPr="009010AC">
        <w:rPr>
          <w:rFonts w:hint="eastAsia"/>
          <w:sz w:val="24"/>
          <w:vertAlign w:val="superscript"/>
        </w:rPr>
        <w:t>3</w:t>
      </w:r>
      <w:r w:rsidR="009010AC" w:rsidRPr="009010AC">
        <w:rPr>
          <w:rFonts w:hint="eastAsia"/>
          <w:sz w:val="24"/>
        </w:rPr>
        <w:t>/a</w:t>
      </w:r>
      <w:r w:rsidR="009010AC" w:rsidRPr="009010AC">
        <w:rPr>
          <w:rFonts w:hint="eastAsia"/>
          <w:sz w:val="24"/>
        </w:rPr>
        <w:t>，</w:t>
      </w:r>
      <w:r w:rsidR="009010AC" w:rsidRPr="009010AC">
        <w:rPr>
          <w:sz w:val="24"/>
        </w:rPr>
        <w:t>CODcr</w:t>
      </w:r>
      <w:r w:rsidR="009010AC" w:rsidRPr="009010AC">
        <w:rPr>
          <w:sz w:val="24"/>
        </w:rPr>
        <w:t>排放量</w:t>
      </w:r>
      <w:r w:rsidR="009010AC" w:rsidRPr="009010AC">
        <w:rPr>
          <w:rFonts w:hint="eastAsia"/>
          <w:sz w:val="24"/>
        </w:rPr>
        <w:t>2.709</w:t>
      </w:r>
      <w:r w:rsidR="009010AC" w:rsidRPr="009010AC">
        <w:rPr>
          <w:sz w:val="24"/>
        </w:rPr>
        <w:t>t/a</w:t>
      </w:r>
      <w:r w:rsidR="009010AC" w:rsidRPr="009010AC">
        <w:rPr>
          <w:rFonts w:hint="eastAsia"/>
          <w:sz w:val="24"/>
        </w:rPr>
        <w:t>，</w:t>
      </w:r>
      <w:r w:rsidR="009010AC" w:rsidRPr="009010AC">
        <w:rPr>
          <w:sz w:val="24"/>
        </w:rPr>
        <w:t>能够满足</w:t>
      </w:r>
      <w:r w:rsidR="009010AC">
        <w:rPr>
          <w:rFonts w:hint="eastAsia"/>
          <w:sz w:val="24"/>
        </w:rPr>
        <w:t>原环评批复</w:t>
      </w:r>
      <w:r w:rsidR="009010AC" w:rsidRPr="009010AC">
        <w:rPr>
          <w:sz w:val="24"/>
        </w:rPr>
        <w:t>相应标准及排放总量要求。</w:t>
      </w:r>
    </w:p>
    <w:p w:rsidR="00FE3D05" w:rsidRPr="006D281A" w:rsidRDefault="00744AF3" w:rsidP="00AF6A3F">
      <w:pPr>
        <w:tabs>
          <w:tab w:val="left" w:pos="0"/>
        </w:tabs>
        <w:spacing w:line="520" w:lineRule="exact"/>
        <w:ind w:firstLineChars="200" w:firstLine="488"/>
        <w:rPr>
          <w:sz w:val="24"/>
        </w:rPr>
      </w:pPr>
      <w:r>
        <w:rPr>
          <w:rFonts w:hint="eastAsia"/>
          <w:spacing w:val="2"/>
          <w:sz w:val="24"/>
        </w:rPr>
        <w:t>但矿井水已</w:t>
      </w:r>
      <w:r w:rsidR="00FE3D05" w:rsidRPr="006D281A">
        <w:rPr>
          <w:rFonts w:hint="eastAsia"/>
          <w:sz w:val="24"/>
        </w:rPr>
        <w:t>不</w:t>
      </w:r>
      <w:r>
        <w:rPr>
          <w:rFonts w:hint="eastAsia"/>
          <w:sz w:val="24"/>
        </w:rPr>
        <w:t>能</w:t>
      </w:r>
      <w:r w:rsidR="00FE3D05" w:rsidRPr="006D281A">
        <w:rPr>
          <w:rFonts w:hint="eastAsia"/>
          <w:sz w:val="24"/>
        </w:rPr>
        <w:t>满足现行的环保要求，本次环评提出对现有矿井水处理站进行改造，增加</w:t>
      </w:r>
      <w:r w:rsidR="001A1859" w:rsidRPr="006D281A">
        <w:rPr>
          <w:rFonts w:hint="eastAsia"/>
          <w:sz w:val="24"/>
        </w:rPr>
        <w:t>过滤</w:t>
      </w:r>
      <w:r w:rsidR="00FE3D05" w:rsidRPr="006D281A">
        <w:rPr>
          <w:rFonts w:hint="eastAsia"/>
          <w:sz w:val="24"/>
        </w:rPr>
        <w:t>装置，</w:t>
      </w:r>
      <w:r w:rsidR="001A1859" w:rsidRPr="006D281A">
        <w:rPr>
          <w:rFonts w:hint="eastAsia"/>
          <w:sz w:val="24"/>
        </w:rPr>
        <w:t>升级改造</w:t>
      </w:r>
      <w:r w:rsidR="00FE3D05" w:rsidRPr="006D281A">
        <w:rPr>
          <w:rFonts w:hint="eastAsia"/>
          <w:sz w:val="24"/>
        </w:rPr>
        <w:t>完成后矿井水水质能够满足《地表水环境质量</w:t>
      </w:r>
      <w:r w:rsidR="00FE3D05" w:rsidRPr="006D281A">
        <w:rPr>
          <w:rFonts w:hint="eastAsia"/>
          <w:sz w:val="24"/>
        </w:rPr>
        <w:lastRenderedPageBreak/>
        <w:t>标准》（</w:t>
      </w:r>
      <w:r w:rsidR="00FE3D05" w:rsidRPr="006D281A">
        <w:rPr>
          <w:rFonts w:hint="eastAsia"/>
          <w:sz w:val="24"/>
        </w:rPr>
        <w:t>GB3838-2002</w:t>
      </w:r>
      <w:r w:rsidR="00FE3D05" w:rsidRPr="006D281A">
        <w:rPr>
          <w:rFonts w:hint="eastAsia"/>
          <w:sz w:val="24"/>
        </w:rPr>
        <w:t>）Ⅲ类。</w:t>
      </w:r>
    </w:p>
    <w:p w:rsidR="00240BCE" w:rsidRDefault="00AC0334">
      <w:pPr>
        <w:tabs>
          <w:tab w:val="left" w:pos="0"/>
        </w:tabs>
        <w:spacing w:line="520" w:lineRule="exact"/>
        <w:rPr>
          <w:sz w:val="24"/>
        </w:rPr>
      </w:pPr>
      <w:r>
        <w:rPr>
          <w:sz w:val="24"/>
        </w:rPr>
        <w:t>3.1.5.3</w:t>
      </w:r>
      <w:r>
        <w:rPr>
          <w:sz w:val="24"/>
        </w:rPr>
        <w:t>升级改造前现有工程噪声污染源及治理措施</w:t>
      </w:r>
    </w:p>
    <w:p w:rsidR="00240BCE" w:rsidRDefault="00AC0334">
      <w:pPr>
        <w:adjustRightInd w:val="0"/>
        <w:snapToGrid w:val="0"/>
        <w:spacing w:line="520" w:lineRule="exact"/>
        <w:ind w:firstLine="568"/>
        <w:rPr>
          <w:sz w:val="24"/>
        </w:rPr>
      </w:pPr>
      <w:r>
        <w:rPr>
          <w:sz w:val="24"/>
        </w:rPr>
        <w:t>目前矿井地面主要噪声源有：通风机房、绞车房、空压机房、坑木加工房等处，这些设备噪声源大部分是宽频带的，且多为固定噪声源，矿井主要噪声源及其声压级见表</w:t>
      </w:r>
      <w:r>
        <w:rPr>
          <w:sz w:val="24"/>
        </w:rPr>
        <w:t>3.1-</w:t>
      </w:r>
      <w:r w:rsidR="006E2C96">
        <w:rPr>
          <w:rFonts w:hint="eastAsia"/>
          <w:sz w:val="24"/>
        </w:rPr>
        <w:t>7</w:t>
      </w:r>
      <w:r>
        <w:rPr>
          <w:sz w:val="24"/>
        </w:rPr>
        <w:t>。</w:t>
      </w:r>
    </w:p>
    <w:p w:rsidR="00240BCE" w:rsidRDefault="00AC0334">
      <w:pPr>
        <w:adjustRightInd w:val="0"/>
        <w:snapToGrid w:val="0"/>
        <w:spacing w:line="520" w:lineRule="exact"/>
        <w:ind w:firstLine="568"/>
        <w:jc w:val="center"/>
        <w:rPr>
          <w:rFonts w:eastAsia="黑体"/>
          <w:sz w:val="24"/>
        </w:rPr>
      </w:pPr>
      <w:r>
        <w:rPr>
          <w:rFonts w:eastAsia="黑体"/>
          <w:sz w:val="24"/>
        </w:rPr>
        <w:t>表</w:t>
      </w:r>
      <w:r>
        <w:rPr>
          <w:rFonts w:eastAsia="黑体"/>
          <w:sz w:val="24"/>
        </w:rPr>
        <w:t>3.1-</w:t>
      </w:r>
      <w:r w:rsidR="006E2C96">
        <w:rPr>
          <w:rFonts w:eastAsia="黑体" w:hint="eastAsia"/>
          <w:sz w:val="24"/>
        </w:rPr>
        <w:t>7</w:t>
      </w:r>
      <w:r>
        <w:rPr>
          <w:rFonts w:eastAsia="黑体"/>
          <w:sz w:val="24"/>
        </w:rPr>
        <w:t xml:space="preserve">     </w:t>
      </w:r>
      <w:r>
        <w:rPr>
          <w:rFonts w:eastAsia="黑体"/>
          <w:sz w:val="24"/>
        </w:rPr>
        <w:t>矿井主要噪声源一览表</w:t>
      </w:r>
    </w:p>
    <w:tbl>
      <w:tblPr>
        <w:tblW w:w="8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929"/>
        <w:gridCol w:w="2929"/>
        <w:gridCol w:w="2930"/>
      </w:tblGrid>
      <w:tr w:rsidR="00240BCE">
        <w:tc>
          <w:tcPr>
            <w:tcW w:w="2929" w:type="dxa"/>
            <w:vAlign w:val="center"/>
          </w:tcPr>
          <w:p w:rsidR="00240BCE" w:rsidRDefault="00AC0334">
            <w:pPr>
              <w:spacing w:line="320" w:lineRule="exact"/>
              <w:jc w:val="center"/>
              <w:rPr>
                <w:sz w:val="21"/>
                <w:szCs w:val="21"/>
              </w:rPr>
            </w:pPr>
            <w:r>
              <w:rPr>
                <w:sz w:val="21"/>
                <w:szCs w:val="21"/>
              </w:rPr>
              <w:t>噪声源设备</w:t>
            </w:r>
          </w:p>
        </w:tc>
        <w:tc>
          <w:tcPr>
            <w:tcW w:w="2929" w:type="dxa"/>
            <w:vAlign w:val="center"/>
          </w:tcPr>
          <w:p w:rsidR="00240BCE" w:rsidRDefault="00AC0334">
            <w:pPr>
              <w:spacing w:line="320" w:lineRule="exact"/>
              <w:jc w:val="center"/>
              <w:rPr>
                <w:sz w:val="21"/>
                <w:szCs w:val="21"/>
              </w:rPr>
            </w:pPr>
            <w:r>
              <w:rPr>
                <w:sz w:val="21"/>
                <w:szCs w:val="21"/>
              </w:rPr>
              <w:t>声压级</w:t>
            </w:r>
            <w:r>
              <w:rPr>
                <w:sz w:val="21"/>
                <w:szCs w:val="21"/>
              </w:rPr>
              <w:t>dB(A)</w:t>
            </w:r>
          </w:p>
        </w:tc>
        <w:tc>
          <w:tcPr>
            <w:tcW w:w="2930" w:type="dxa"/>
            <w:vAlign w:val="center"/>
          </w:tcPr>
          <w:p w:rsidR="00240BCE" w:rsidRDefault="00AC0334">
            <w:pPr>
              <w:spacing w:line="320" w:lineRule="exact"/>
              <w:jc w:val="center"/>
              <w:rPr>
                <w:sz w:val="21"/>
                <w:szCs w:val="21"/>
              </w:rPr>
            </w:pPr>
            <w:r>
              <w:rPr>
                <w:sz w:val="21"/>
                <w:szCs w:val="21"/>
              </w:rPr>
              <w:t>排放特征</w:t>
            </w:r>
          </w:p>
        </w:tc>
      </w:tr>
      <w:tr w:rsidR="00240BCE">
        <w:tc>
          <w:tcPr>
            <w:tcW w:w="2929" w:type="dxa"/>
            <w:vAlign w:val="center"/>
          </w:tcPr>
          <w:p w:rsidR="00240BCE" w:rsidRDefault="00AC0334">
            <w:pPr>
              <w:spacing w:line="320" w:lineRule="exact"/>
              <w:jc w:val="center"/>
              <w:rPr>
                <w:sz w:val="21"/>
                <w:szCs w:val="21"/>
              </w:rPr>
            </w:pPr>
            <w:r>
              <w:rPr>
                <w:sz w:val="21"/>
                <w:szCs w:val="21"/>
              </w:rPr>
              <w:t>坑木加工房</w:t>
            </w:r>
          </w:p>
        </w:tc>
        <w:tc>
          <w:tcPr>
            <w:tcW w:w="2929" w:type="dxa"/>
            <w:vAlign w:val="center"/>
          </w:tcPr>
          <w:p w:rsidR="00240BCE" w:rsidRDefault="00AC0334">
            <w:pPr>
              <w:spacing w:line="320" w:lineRule="exact"/>
              <w:jc w:val="center"/>
              <w:rPr>
                <w:sz w:val="21"/>
                <w:szCs w:val="21"/>
              </w:rPr>
            </w:pPr>
            <w:r>
              <w:rPr>
                <w:sz w:val="21"/>
                <w:szCs w:val="21"/>
              </w:rPr>
              <w:t>95</w:t>
            </w:r>
          </w:p>
        </w:tc>
        <w:tc>
          <w:tcPr>
            <w:tcW w:w="2930" w:type="dxa"/>
            <w:vAlign w:val="center"/>
          </w:tcPr>
          <w:p w:rsidR="00240BCE" w:rsidRDefault="00AC0334">
            <w:pPr>
              <w:spacing w:line="320" w:lineRule="exact"/>
              <w:jc w:val="center"/>
              <w:rPr>
                <w:sz w:val="21"/>
                <w:szCs w:val="21"/>
              </w:rPr>
            </w:pPr>
            <w:r>
              <w:rPr>
                <w:sz w:val="21"/>
                <w:szCs w:val="21"/>
              </w:rPr>
              <w:t>间断</w:t>
            </w:r>
          </w:p>
        </w:tc>
      </w:tr>
      <w:tr w:rsidR="00240BCE">
        <w:tc>
          <w:tcPr>
            <w:tcW w:w="2929" w:type="dxa"/>
            <w:vAlign w:val="center"/>
          </w:tcPr>
          <w:p w:rsidR="00240BCE" w:rsidRDefault="00AC0334" w:rsidP="00782CC1">
            <w:pPr>
              <w:spacing w:line="320" w:lineRule="exact"/>
              <w:jc w:val="center"/>
              <w:rPr>
                <w:sz w:val="21"/>
                <w:szCs w:val="21"/>
              </w:rPr>
            </w:pPr>
            <w:r>
              <w:rPr>
                <w:sz w:val="21"/>
                <w:szCs w:val="21"/>
              </w:rPr>
              <w:t>副井绞车房</w:t>
            </w:r>
          </w:p>
        </w:tc>
        <w:tc>
          <w:tcPr>
            <w:tcW w:w="2929" w:type="dxa"/>
            <w:vAlign w:val="center"/>
          </w:tcPr>
          <w:p w:rsidR="00240BCE" w:rsidRDefault="00AC0334">
            <w:pPr>
              <w:spacing w:line="320" w:lineRule="exact"/>
              <w:jc w:val="center"/>
              <w:rPr>
                <w:sz w:val="21"/>
                <w:szCs w:val="21"/>
              </w:rPr>
            </w:pPr>
            <w:r>
              <w:rPr>
                <w:sz w:val="21"/>
                <w:szCs w:val="21"/>
              </w:rPr>
              <w:t>88</w:t>
            </w:r>
          </w:p>
        </w:tc>
        <w:tc>
          <w:tcPr>
            <w:tcW w:w="2930" w:type="dxa"/>
            <w:vAlign w:val="center"/>
          </w:tcPr>
          <w:p w:rsidR="00240BCE" w:rsidRDefault="00AC0334">
            <w:pPr>
              <w:spacing w:line="320" w:lineRule="exact"/>
              <w:jc w:val="center"/>
              <w:rPr>
                <w:sz w:val="21"/>
                <w:szCs w:val="21"/>
              </w:rPr>
            </w:pPr>
            <w:r>
              <w:rPr>
                <w:sz w:val="21"/>
                <w:szCs w:val="21"/>
              </w:rPr>
              <w:t>间断</w:t>
            </w:r>
          </w:p>
        </w:tc>
      </w:tr>
      <w:tr w:rsidR="00240BCE">
        <w:tc>
          <w:tcPr>
            <w:tcW w:w="2929" w:type="dxa"/>
            <w:vAlign w:val="center"/>
          </w:tcPr>
          <w:p w:rsidR="00240BCE" w:rsidRDefault="00AC0334">
            <w:pPr>
              <w:spacing w:line="320" w:lineRule="exact"/>
              <w:jc w:val="center"/>
              <w:rPr>
                <w:sz w:val="21"/>
                <w:szCs w:val="21"/>
              </w:rPr>
            </w:pPr>
            <w:r>
              <w:rPr>
                <w:sz w:val="21"/>
                <w:szCs w:val="21"/>
              </w:rPr>
              <w:t>空压机房</w:t>
            </w:r>
          </w:p>
        </w:tc>
        <w:tc>
          <w:tcPr>
            <w:tcW w:w="2929" w:type="dxa"/>
            <w:vAlign w:val="center"/>
          </w:tcPr>
          <w:p w:rsidR="00240BCE" w:rsidRDefault="00AC0334">
            <w:pPr>
              <w:spacing w:line="320" w:lineRule="exact"/>
              <w:jc w:val="center"/>
              <w:rPr>
                <w:sz w:val="21"/>
                <w:szCs w:val="21"/>
              </w:rPr>
            </w:pPr>
            <w:r>
              <w:rPr>
                <w:sz w:val="21"/>
                <w:szCs w:val="21"/>
              </w:rPr>
              <w:t>85</w:t>
            </w:r>
          </w:p>
        </w:tc>
        <w:tc>
          <w:tcPr>
            <w:tcW w:w="2930" w:type="dxa"/>
            <w:vAlign w:val="center"/>
          </w:tcPr>
          <w:p w:rsidR="00240BCE" w:rsidRDefault="00AC0334">
            <w:pPr>
              <w:spacing w:line="320" w:lineRule="exact"/>
              <w:jc w:val="center"/>
              <w:rPr>
                <w:sz w:val="21"/>
                <w:szCs w:val="21"/>
              </w:rPr>
            </w:pPr>
            <w:r>
              <w:rPr>
                <w:sz w:val="21"/>
                <w:szCs w:val="21"/>
              </w:rPr>
              <w:t>连续</w:t>
            </w:r>
          </w:p>
        </w:tc>
      </w:tr>
      <w:tr w:rsidR="00240BCE">
        <w:tc>
          <w:tcPr>
            <w:tcW w:w="2929" w:type="dxa"/>
            <w:vAlign w:val="center"/>
          </w:tcPr>
          <w:p w:rsidR="00240BCE" w:rsidRDefault="00AC0334">
            <w:pPr>
              <w:spacing w:line="320" w:lineRule="exact"/>
              <w:jc w:val="center"/>
              <w:rPr>
                <w:sz w:val="21"/>
                <w:szCs w:val="21"/>
              </w:rPr>
            </w:pPr>
            <w:r>
              <w:rPr>
                <w:sz w:val="21"/>
                <w:szCs w:val="21"/>
              </w:rPr>
              <w:t>通风机房</w:t>
            </w:r>
          </w:p>
        </w:tc>
        <w:tc>
          <w:tcPr>
            <w:tcW w:w="2929" w:type="dxa"/>
            <w:vAlign w:val="center"/>
          </w:tcPr>
          <w:p w:rsidR="00240BCE" w:rsidRDefault="00782CC1">
            <w:pPr>
              <w:spacing w:line="320" w:lineRule="exact"/>
              <w:jc w:val="center"/>
              <w:rPr>
                <w:sz w:val="21"/>
                <w:szCs w:val="21"/>
              </w:rPr>
            </w:pPr>
            <w:r>
              <w:rPr>
                <w:rFonts w:hint="eastAsia"/>
                <w:sz w:val="21"/>
                <w:szCs w:val="21"/>
              </w:rPr>
              <w:t>10</w:t>
            </w:r>
            <w:r w:rsidR="00AC0334">
              <w:rPr>
                <w:sz w:val="21"/>
                <w:szCs w:val="21"/>
              </w:rPr>
              <w:t>0</w:t>
            </w:r>
          </w:p>
        </w:tc>
        <w:tc>
          <w:tcPr>
            <w:tcW w:w="2930" w:type="dxa"/>
            <w:vAlign w:val="center"/>
          </w:tcPr>
          <w:p w:rsidR="00240BCE" w:rsidRDefault="00AC0334">
            <w:pPr>
              <w:spacing w:line="320" w:lineRule="exact"/>
              <w:jc w:val="center"/>
              <w:rPr>
                <w:sz w:val="21"/>
                <w:szCs w:val="21"/>
              </w:rPr>
            </w:pPr>
            <w:r>
              <w:rPr>
                <w:sz w:val="21"/>
                <w:szCs w:val="21"/>
              </w:rPr>
              <w:t>连续</w:t>
            </w:r>
          </w:p>
        </w:tc>
      </w:tr>
    </w:tbl>
    <w:p w:rsidR="00240BCE" w:rsidRDefault="00AC0334">
      <w:pPr>
        <w:adjustRightInd w:val="0"/>
        <w:snapToGrid w:val="0"/>
        <w:spacing w:line="520" w:lineRule="exact"/>
        <w:ind w:firstLineChars="200" w:firstLine="488"/>
        <w:rPr>
          <w:spacing w:val="2"/>
          <w:sz w:val="24"/>
        </w:rPr>
      </w:pPr>
      <w:r>
        <w:rPr>
          <w:spacing w:val="2"/>
          <w:sz w:val="24"/>
        </w:rPr>
        <w:t>目前采取的噪声防治措施为：</w:t>
      </w:r>
    </w:p>
    <w:p w:rsidR="00240BCE" w:rsidRDefault="00AC0334">
      <w:pPr>
        <w:adjustRightInd w:val="0"/>
        <w:snapToGrid w:val="0"/>
        <w:spacing w:line="520" w:lineRule="exact"/>
        <w:ind w:firstLineChars="200" w:firstLine="488"/>
        <w:rPr>
          <w:spacing w:val="2"/>
          <w:sz w:val="24"/>
        </w:rPr>
      </w:pPr>
      <w:r>
        <w:rPr>
          <w:spacing w:val="2"/>
          <w:sz w:val="24"/>
        </w:rPr>
        <w:t xml:space="preserve">a. </w:t>
      </w:r>
      <w:r>
        <w:rPr>
          <w:spacing w:val="2"/>
          <w:sz w:val="24"/>
        </w:rPr>
        <w:t>在设备选型上，尽量选用运行平稳可靠、噪声小的设备。</w:t>
      </w:r>
    </w:p>
    <w:p w:rsidR="00240BCE" w:rsidRDefault="00AC0334">
      <w:pPr>
        <w:adjustRightInd w:val="0"/>
        <w:snapToGrid w:val="0"/>
        <w:spacing w:line="520" w:lineRule="exact"/>
        <w:ind w:firstLineChars="200" w:firstLine="488"/>
        <w:rPr>
          <w:spacing w:val="2"/>
          <w:sz w:val="24"/>
        </w:rPr>
      </w:pPr>
      <w:r>
        <w:rPr>
          <w:spacing w:val="2"/>
          <w:sz w:val="24"/>
        </w:rPr>
        <w:t xml:space="preserve">b. </w:t>
      </w:r>
      <w:r>
        <w:rPr>
          <w:spacing w:val="2"/>
          <w:sz w:val="24"/>
        </w:rPr>
        <w:t>设备与基座之间设置减振垫。</w:t>
      </w:r>
    </w:p>
    <w:p w:rsidR="00240BCE" w:rsidRDefault="00AC0334">
      <w:pPr>
        <w:adjustRightInd w:val="0"/>
        <w:snapToGrid w:val="0"/>
        <w:spacing w:line="520" w:lineRule="exact"/>
        <w:ind w:firstLineChars="200" w:firstLine="488"/>
        <w:rPr>
          <w:spacing w:val="2"/>
          <w:sz w:val="24"/>
        </w:rPr>
      </w:pPr>
      <w:r>
        <w:rPr>
          <w:spacing w:val="2"/>
          <w:sz w:val="24"/>
        </w:rPr>
        <w:t xml:space="preserve">c. </w:t>
      </w:r>
      <w:r>
        <w:rPr>
          <w:spacing w:val="2"/>
          <w:sz w:val="24"/>
        </w:rPr>
        <w:t>加强厂区绿化，植树种草，在厂界外种植绿化带消声降噪。</w:t>
      </w:r>
    </w:p>
    <w:p w:rsidR="00240BCE" w:rsidRDefault="00AC0334">
      <w:pPr>
        <w:adjustRightInd w:val="0"/>
        <w:snapToGrid w:val="0"/>
        <w:spacing w:line="520" w:lineRule="exact"/>
        <w:ind w:firstLineChars="200" w:firstLine="488"/>
        <w:rPr>
          <w:b/>
          <w:i/>
          <w:sz w:val="24"/>
          <w:u w:val="single"/>
        </w:rPr>
      </w:pPr>
      <w:r>
        <w:rPr>
          <w:bCs/>
          <w:iCs/>
          <w:spacing w:val="2"/>
          <w:sz w:val="24"/>
        </w:rPr>
        <w:t>通过上述对主要高噪声源设备采取了降噪措施后，</w:t>
      </w:r>
      <w:r>
        <w:rPr>
          <w:spacing w:val="2"/>
          <w:sz w:val="24"/>
        </w:rPr>
        <w:t>根据河南正捷检测技术有限公司</w:t>
      </w:r>
      <w:r>
        <w:rPr>
          <w:spacing w:val="2"/>
          <w:sz w:val="24"/>
        </w:rPr>
        <w:t>2020</w:t>
      </w:r>
      <w:r>
        <w:rPr>
          <w:spacing w:val="2"/>
          <w:sz w:val="24"/>
        </w:rPr>
        <w:t>年</w:t>
      </w:r>
      <w:r>
        <w:rPr>
          <w:spacing w:val="2"/>
          <w:sz w:val="24"/>
        </w:rPr>
        <w:t>8</w:t>
      </w:r>
      <w:r>
        <w:rPr>
          <w:spacing w:val="2"/>
          <w:sz w:val="24"/>
        </w:rPr>
        <w:t>月</w:t>
      </w:r>
      <w:r>
        <w:rPr>
          <w:spacing w:val="2"/>
          <w:sz w:val="24"/>
        </w:rPr>
        <w:t>30</w:t>
      </w:r>
      <w:r>
        <w:rPr>
          <w:spacing w:val="2"/>
          <w:sz w:val="24"/>
        </w:rPr>
        <w:t>日</w:t>
      </w:r>
      <w:r>
        <w:rPr>
          <w:spacing w:val="2"/>
          <w:sz w:val="24"/>
        </w:rPr>
        <w:t>~8</w:t>
      </w:r>
      <w:r>
        <w:rPr>
          <w:spacing w:val="2"/>
          <w:sz w:val="24"/>
        </w:rPr>
        <w:t>月</w:t>
      </w:r>
      <w:r>
        <w:rPr>
          <w:spacing w:val="2"/>
          <w:sz w:val="24"/>
        </w:rPr>
        <w:t>31</w:t>
      </w:r>
      <w:r>
        <w:rPr>
          <w:spacing w:val="2"/>
          <w:sz w:val="24"/>
        </w:rPr>
        <w:t>日监测数据可知（见表</w:t>
      </w:r>
      <w:r>
        <w:rPr>
          <w:spacing w:val="2"/>
          <w:sz w:val="24"/>
        </w:rPr>
        <w:t>3.1-</w:t>
      </w:r>
      <w:r w:rsidR="006E2C96">
        <w:rPr>
          <w:rFonts w:hint="eastAsia"/>
          <w:spacing w:val="2"/>
          <w:sz w:val="24"/>
        </w:rPr>
        <w:t>8</w:t>
      </w:r>
      <w:r>
        <w:rPr>
          <w:spacing w:val="2"/>
          <w:sz w:val="24"/>
        </w:rPr>
        <w:t>），</w:t>
      </w:r>
      <w:r>
        <w:rPr>
          <w:sz w:val="24"/>
        </w:rPr>
        <w:t>隆庆煤矿工业场地除南厂界外，其余厂界噪声昼夜排放等效声级均能满足</w:t>
      </w:r>
      <w:r>
        <w:rPr>
          <w:sz w:val="24"/>
        </w:rPr>
        <w:t>GB12348-2008</w:t>
      </w:r>
      <w:r>
        <w:rPr>
          <w:sz w:val="24"/>
        </w:rPr>
        <w:t>《工业企业厂界环境噪声排放标准》</w:t>
      </w:r>
      <w:r>
        <w:rPr>
          <w:sz w:val="24"/>
        </w:rPr>
        <w:t>2</w:t>
      </w:r>
      <w:r>
        <w:rPr>
          <w:sz w:val="24"/>
        </w:rPr>
        <w:t>类标准要求，工业场地周边最近的敏感点</w:t>
      </w:r>
      <w:r>
        <w:rPr>
          <w:color w:val="000000"/>
          <w:kern w:val="0"/>
          <w:sz w:val="24"/>
        </w:rPr>
        <w:t>赵沟村柿树行组</w:t>
      </w:r>
      <w:r>
        <w:rPr>
          <w:sz w:val="24"/>
        </w:rPr>
        <w:t>声环境质量满足《声环境质量标准》（</w:t>
      </w:r>
      <w:r>
        <w:rPr>
          <w:sz w:val="24"/>
        </w:rPr>
        <w:t>GB3096-2008</w:t>
      </w:r>
      <w:r>
        <w:rPr>
          <w:sz w:val="24"/>
        </w:rPr>
        <w:t>）</w:t>
      </w:r>
      <w:r>
        <w:rPr>
          <w:sz w:val="24"/>
        </w:rPr>
        <w:t>2</w:t>
      </w:r>
      <w:r>
        <w:rPr>
          <w:sz w:val="24"/>
        </w:rPr>
        <w:t>类标准的要求</w:t>
      </w:r>
      <w:r w:rsidR="007823D6">
        <w:rPr>
          <w:rFonts w:hint="eastAsia"/>
          <w:sz w:val="24"/>
        </w:rPr>
        <w:t>。</w:t>
      </w:r>
      <w:r w:rsidR="00C11D9A" w:rsidRPr="00C11D9A">
        <w:rPr>
          <w:rFonts w:hint="eastAsia"/>
          <w:b/>
          <w:i/>
          <w:sz w:val="24"/>
          <w:u w:val="single"/>
        </w:rPr>
        <w:t>根据现场调查，</w:t>
      </w:r>
      <w:r w:rsidR="007823D6" w:rsidRPr="00C11D9A">
        <w:rPr>
          <w:b/>
          <w:i/>
          <w:sz w:val="24"/>
          <w:u w:val="single"/>
        </w:rPr>
        <w:t>南厂界噪声超标原因主要为</w:t>
      </w:r>
      <w:r w:rsidR="00C11D9A">
        <w:rPr>
          <w:rFonts w:hint="eastAsia"/>
          <w:b/>
          <w:i/>
          <w:sz w:val="24"/>
          <w:u w:val="single"/>
        </w:rPr>
        <w:t>通风机</w:t>
      </w:r>
      <w:r w:rsidR="007823D6" w:rsidRPr="00C11D9A">
        <w:rPr>
          <w:rFonts w:hint="eastAsia"/>
          <w:b/>
          <w:i/>
          <w:sz w:val="24"/>
          <w:u w:val="single"/>
        </w:rPr>
        <w:t>临近南厂界，</w:t>
      </w:r>
      <w:r w:rsidR="00C11D9A">
        <w:rPr>
          <w:rFonts w:hint="eastAsia"/>
          <w:b/>
          <w:i/>
          <w:sz w:val="24"/>
          <w:u w:val="single"/>
        </w:rPr>
        <w:t>通风</w:t>
      </w:r>
      <w:r w:rsidR="007823D6" w:rsidRPr="00C11D9A">
        <w:rPr>
          <w:b/>
          <w:i/>
          <w:sz w:val="24"/>
          <w:u w:val="single"/>
        </w:rPr>
        <w:t>机</w:t>
      </w:r>
      <w:r w:rsidR="00C11D9A">
        <w:rPr>
          <w:rFonts w:hint="eastAsia"/>
          <w:b/>
          <w:i/>
          <w:sz w:val="24"/>
          <w:u w:val="single"/>
        </w:rPr>
        <w:t>高</w:t>
      </w:r>
      <w:r w:rsidR="007823D6" w:rsidRPr="00C11D9A">
        <w:rPr>
          <w:b/>
          <w:i/>
          <w:sz w:val="24"/>
          <w:u w:val="single"/>
        </w:rPr>
        <w:t>噪声所致，本次升级改造中</w:t>
      </w:r>
      <w:r w:rsidR="007823D6" w:rsidRPr="00C11D9A">
        <w:rPr>
          <w:rFonts w:hint="eastAsia"/>
          <w:b/>
          <w:i/>
          <w:sz w:val="24"/>
          <w:u w:val="single"/>
        </w:rPr>
        <w:t>拟对</w:t>
      </w:r>
      <w:r w:rsidR="007823D6" w:rsidRPr="00C11D9A">
        <w:rPr>
          <w:b/>
          <w:i/>
          <w:sz w:val="24"/>
          <w:u w:val="single"/>
        </w:rPr>
        <w:t>通风机安装消声器，临近通风机一侧的围墙内衬吸声</w:t>
      </w:r>
      <w:r w:rsidR="001044CC">
        <w:rPr>
          <w:rFonts w:hint="eastAsia"/>
          <w:b/>
          <w:i/>
          <w:sz w:val="24"/>
          <w:u w:val="single"/>
        </w:rPr>
        <w:t>材料</w:t>
      </w:r>
      <w:r w:rsidR="007823D6" w:rsidRPr="00C11D9A">
        <w:rPr>
          <w:b/>
          <w:i/>
          <w:sz w:val="24"/>
          <w:u w:val="single"/>
        </w:rPr>
        <w:t>等降噪措施</w:t>
      </w:r>
      <w:r w:rsidR="007823D6" w:rsidRPr="00C11D9A">
        <w:rPr>
          <w:rFonts w:hint="eastAsia"/>
          <w:b/>
          <w:i/>
          <w:sz w:val="24"/>
          <w:u w:val="single"/>
        </w:rPr>
        <w:t>，采取措施后可使风机降噪约</w:t>
      </w:r>
      <w:r w:rsidR="007823D6" w:rsidRPr="00C11D9A">
        <w:rPr>
          <w:rFonts w:hint="eastAsia"/>
          <w:b/>
          <w:i/>
          <w:sz w:val="24"/>
          <w:u w:val="single"/>
        </w:rPr>
        <w:t>20</w:t>
      </w:r>
      <w:r w:rsidR="007823D6" w:rsidRPr="00C11D9A">
        <w:rPr>
          <w:rFonts w:eastAsia="黑体"/>
          <w:b/>
          <w:i/>
          <w:sz w:val="24"/>
          <w:u w:val="single"/>
        </w:rPr>
        <w:t xml:space="preserve"> </w:t>
      </w:r>
      <w:r w:rsidR="007823D6" w:rsidRPr="00C11D9A">
        <w:rPr>
          <w:b/>
          <w:i/>
          <w:sz w:val="24"/>
          <w:u w:val="single"/>
        </w:rPr>
        <w:t>dB</w:t>
      </w:r>
      <w:r w:rsidR="007823D6" w:rsidRPr="00C11D9A">
        <w:rPr>
          <w:b/>
          <w:i/>
          <w:sz w:val="24"/>
          <w:u w:val="single"/>
        </w:rPr>
        <w:t>（</w:t>
      </w:r>
      <w:r w:rsidR="007823D6" w:rsidRPr="00C11D9A">
        <w:rPr>
          <w:b/>
          <w:i/>
          <w:sz w:val="24"/>
          <w:u w:val="single"/>
        </w:rPr>
        <w:t>A</w:t>
      </w:r>
      <w:r w:rsidR="007823D6" w:rsidRPr="00C11D9A">
        <w:rPr>
          <w:b/>
          <w:i/>
          <w:sz w:val="24"/>
          <w:u w:val="single"/>
        </w:rPr>
        <w:t>）</w:t>
      </w:r>
      <w:r w:rsidR="007823D6" w:rsidRPr="00C11D9A">
        <w:rPr>
          <w:rFonts w:ascii="宋体" w:hAnsi="宋体" w:hint="eastAsia"/>
          <w:b/>
          <w:i/>
          <w:sz w:val="24"/>
          <w:u w:val="single"/>
        </w:rPr>
        <w:t>～</w:t>
      </w:r>
      <w:r w:rsidR="007823D6" w:rsidRPr="00C11D9A">
        <w:rPr>
          <w:rFonts w:hint="eastAsia"/>
          <w:b/>
          <w:i/>
          <w:sz w:val="24"/>
          <w:u w:val="single"/>
        </w:rPr>
        <w:t>25</w:t>
      </w:r>
      <w:r w:rsidR="007823D6" w:rsidRPr="00C11D9A">
        <w:rPr>
          <w:rFonts w:eastAsia="黑体"/>
          <w:b/>
          <w:i/>
          <w:sz w:val="24"/>
          <w:u w:val="single"/>
        </w:rPr>
        <w:t xml:space="preserve"> </w:t>
      </w:r>
      <w:r w:rsidR="007823D6" w:rsidRPr="00C11D9A">
        <w:rPr>
          <w:b/>
          <w:i/>
          <w:sz w:val="24"/>
          <w:u w:val="single"/>
        </w:rPr>
        <w:t>dB</w:t>
      </w:r>
      <w:r w:rsidR="007823D6" w:rsidRPr="00C11D9A">
        <w:rPr>
          <w:b/>
          <w:i/>
          <w:sz w:val="24"/>
          <w:u w:val="single"/>
        </w:rPr>
        <w:t>（</w:t>
      </w:r>
      <w:r w:rsidR="007823D6" w:rsidRPr="00C11D9A">
        <w:rPr>
          <w:b/>
          <w:i/>
          <w:sz w:val="24"/>
          <w:u w:val="single"/>
        </w:rPr>
        <w:t>A</w:t>
      </w:r>
      <w:r w:rsidR="007823D6" w:rsidRPr="00C11D9A">
        <w:rPr>
          <w:b/>
          <w:i/>
          <w:sz w:val="24"/>
          <w:u w:val="single"/>
        </w:rPr>
        <w:t>）</w:t>
      </w:r>
      <w:r w:rsidR="007823D6" w:rsidRPr="00C11D9A">
        <w:rPr>
          <w:rFonts w:hint="eastAsia"/>
          <w:b/>
          <w:i/>
          <w:sz w:val="24"/>
          <w:u w:val="single"/>
        </w:rPr>
        <w:t>，经计算可使南厂界降低</w:t>
      </w:r>
      <w:r w:rsidR="007823D6" w:rsidRPr="00C11D9A">
        <w:rPr>
          <w:rFonts w:hint="eastAsia"/>
          <w:b/>
          <w:i/>
          <w:sz w:val="24"/>
          <w:u w:val="single"/>
        </w:rPr>
        <w:t>5</w:t>
      </w:r>
      <w:r w:rsidR="007823D6" w:rsidRPr="00C11D9A">
        <w:rPr>
          <w:rFonts w:eastAsia="黑体"/>
          <w:b/>
          <w:i/>
          <w:sz w:val="24"/>
          <w:u w:val="single"/>
        </w:rPr>
        <w:t xml:space="preserve"> </w:t>
      </w:r>
      <w:r w:rsidR="007823D6" w:rsidRPr="00C11D9A">
        <w:rPr>
          <w:b/>
          <w:i/>
          <w:sz w:val="24"/>
          <w:u w:val="single"/>
        </w:rPr>
        <w:t>dB</w:t>
      </w:r>
      <w:r w:rsidR="007823D6" w:rsidRPr="00C11D9A">
        <w:rPr>
          <w:b/>
          <w:i/>
          <w:sz w:val="24"/>
          <w:u w:val="single"/>
        </w:rPr>
        <w:t>（</w:t>
      </w:r>
      <w:r w:rsidR="007823D6" w:rsidRPr="00C11D9A">
        <w:rPr>
          <w:b/>
          <w:i/>
          <w:sz w:val="24"/>
          <w:u w:val="single"/>
        </w:rPr>
        <w:t>A</w:t>
      </w:r>
      <w:r w:rsidR="007823D6" w:rsidRPr="00C11D9A">
        <w:rPr>
          <w:b/>
          <w:i/>
          <w:sz w:val="24"/>
          <w:u w:val="single"/>
        </w:rPr>
        <w:t>）</w:t>
      </w:r>
      <w:r w:rsidR="007823D6" w:rsidRPr="00C11D9A">
        <w:rPr>
          <w:rFonts w:hint="eastAsia"/>
          <w:b/>
          <w:i/>
          <w:sz w:val="24"/>
          <w:u w:val="single"/>
        </w:rPr>
        <w:t>以上满足</w:t>
      </w:r>
      <w:r w:rsidR="007823D6" w:rsidRPr="00C11D9A">
        <w:rPr>
          <w:b/>
          <w:i/>
          <w:sz w:val="24"/>
          <w:u w:val="single"/>
        </w:rPr>
        <w:t>GB12348-2008</w:t>
      </w:r>
      <w:r w:rsidR="007823D6" w:rsidRPr="00C11D9A">
        <w:rPr>
          <w:b/>
          <w:i/>
          <w:sz w:val="24"/>
          <w:u w:val="single"/>
        </w:rPr>
        <w:t>《工业企业厂界环境噪声排放标准》</w:t>
      </w:r>
      <w:r w:rsidR="007823D6" w:rsidRPr="00C11D9A">
        <w:rPr>
          <w:b/>
          <w:i/>
          <w:sz w:val="24"/>
          <w:u w:val="single"/>
        </w:rPr>
        <w:t>2</w:t>
      </w:r>
      <w:r w:rsidR="007823D6" w:rsidRPr="00C11D9A">
        <w:rPr>
          <w:b/>
          <w:i/>
          <w:sz w:val="24"/>
          <w:u w:val="single"/>
        </w:rPr>
        <w:t>类标准</w:t>
      </w:r>
      <w:r w:rsidRPr="00C11D9A">
        <w:rPr>
          <w:b/>
          <w:i/>
          <w:sz w:val="24"/>
          <w:u w:val="single"/>
        </w:rPr>
        <w:t>。</w:t>
      </w:r>
    </w:p>
    <w:p w:rsidR="0048394D" w:rsidRDefault="0048394D" w:rsidP="0048394D">
      <w:pPr>
        <w:pStyle w:val="a1"/>
      </w:pPr>
    </w:p>
    <w:p w:rsidR="0048394D" w:rsidRDefault="0048394D" w:rsidP="0048394D">
      <w:pPr>
        <w:pStyle w:val="a1"/>
      </w:pPr>
    </w:p>
    <w:p w:rsidR="0048394D" w:rsidRPr="0048394D" w:rsidRDefault="0048394D" w:rsidP="0048394D">
      <w:pPr>
        <w:pStyle w:val="a1"/>
      </w:pPr>
    </w:p>
    <w:p w:rsidR="00240BCE" w:rsidRDefault="00AC0334">
      <w:pPr>
        <w:adjustRightInd w:val="0"/>
        <w:snapToGrid w:val="0"/>
        <w:spacing w:line="520" w:lineRule="exact"/>
        <w:ind w:firstLine="200"/>
        <w:jc w:val="center"/>
        <w:rPr>
          <w:rFonts w:eastAsia="黑体"/>
          <w:sz w:val="24"/>
        </w:rPr>
      </w:pPr>
      <w:r>
        <w:rPr>
          <w:rFonts w:eastAsia="黑体"/>
          <w:sz w:val="24"/>
        </w:rPr>
        <w:lastRenderedPageBreak/>
        <w:t>表</w:t>
      </w:r>
      <w:r>
        <w:rPr>
          <w:rFonts w:eastAsia="黑体"/>
          <w:sz w:val="24"/>
        </w:rPr>
        <w:t>3.1-</w:t>
      </w:r>
      <w:r w:rsidR="006E2C96">
        <w:rPr>
          <w:rFonts w:eastAsia="黑体" w:hint="eastAsia"/>
          <w:sz w:val="24"/>
        </w:rPr>
        <w:t>8</w:t>
      </w:r>
      <w:r>
        <w:rPr>
          <w:rFonts w:eastAsia="黑体"/>
          <w:sz w:val="24"/>
        </w:rPr>
        <w:t xml:space="preserve">   </w:t>
      </w:r>
      <w:r>
        <w:rPr>
          <w:rFonts w:eastAsia="黑体"/>
          <w:sz w:val="24"/>
        </w:rPr>
        <w:t>噪声监测结果单位：</w:t>
      </w:r>
      <w:r>
        <w:rPr>
          <w:rFonts w:eastAsia="黑体"/>
          <w:sz w:val="24"/>
        </w:rPr>
        <w:t>dB</w:t>
      </w:r>
      <w:r>
        <w:rPr>
          <w:rFonts w:eastAsia="黑体"/>
          <w:sz w:val="24"/>
        </w:rPr>
        <w:t>（</w:t>
      </w:r>
      <w:r>
        <w:rPr>
          <w:rFonts w:eastAsia="黑体"/>
          <w:sz w:val="24"/>
        </w:rPr>
        <w:t>A</w:t>
      </w:r>
      <w:r>
        <w:rPr>
          <w:rFonts w:eastAsia="黑体"/>
          <w:sz w:val="24"/>
        </w:rPr>
        <w:t>）</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6"/>
        <w:gridCol w:w="1655"/>
        <w:gridCol w:w="1655"/>
        <w:gridCol w:w="1655"/>
        <w:gridCol w:w="1655"/>
      </w:tblGrid>
      <w:tr w:rsidR="00240BCE" w:rsidTr="00F575F1">
        <w:trPr>
          <w:trHeight w:val="309"/>
          <w:jc w:val="center"/>
        </w:trPr>
        <w:tc>
          <w:tcPr>
            <w:tcW w:w="1211" w:type="pct"/>
            <w:vMerge w:val="restart"/>
            <w:vAlign w:val="center"/>
          </w:tcPr>
          <w:p w:rsidR="00240BCE" w:rsidRDefault="00AC0334">
            <w:pPr>
              <w:adjustRightInd w:val="0"/>
              <w:snapToGrid w:val="0"/>
              <w:spacing w:line="340" w:lineRule="exact"/>
              <w:jc w:val="center"/>
              <w:rPr>
                <w:b/>
                <w:bCs/>
                <w:sz w:val="21"/>
                <w:szCs w:val="21"/>
              </w:rPr>
            </w:pPr>
            <w:r>
              <w:rPr>
                <w:b/>
                <w:bCs/>
                <w:sz w:val="21"/>
                <w:szCs w:val="21"/>
              </w:rPr>
              <w:t>检测点位</w:t>
            </w:r>
          </w:p>
        </w:tc>
        <w:tc>
          <w:tcPr>
            <w:tcW w:w="1894" w:type="pct"/>
            <w:gridSpan w:val="2"/>
            <w:vAlign w:val="center"/>
          </w:tcPr>
          <w:p w:rsidR="00240BCE" w:rsidRDefault="00AC0334">
            <w:pPr>
              <w:spacing w:line="340" w:lineRule="exact"/>
              <w:jc w:val="center"/>
              <w:rPr>
                <w:b/>
                <w:bCs/>
                <w:color w:val="000000"/>
                <w:sz w:val="21"/>
                <w:szCs w:val="21"/>
              </w:rPr>
            </w:pPr>
            <w:r>
              <w:rPr>
                <w:b/>
                <w:bCs/>
                <w:color w:val="000000"/>
                <w:sz w:val="21"/>
                <w:szCs w:val="21"/>
              </w:rPr>
              <w:t>2020.08.30</w:t>
            </w:r>
          </w:p>
        </w:tc>
        <w:tc>
          <w:tcPr>
            <w:tcW w:w="1894" w:type="pct"/>
            <w:gridSpan w:val="2"/>
            <w:vAlign w:val="center"/>
          </w:tcPr>
          <w:p w:rsidR="00240BCE" w:rsidRDefault="00AC0334">
            <w:pPr>
              <w:spacing w:line="340" w:lineRule="exact"/>
              <w:jc w:val="center"/>
              <w:rPr>
                <w:b/>
                <w:bCs/>
                <w:color w:val="000000"/>
                <w:sz w:val="21"/>
                <w:szCs w:val="21"/>
              </w:rPr>
            </w:pPr>
            <w:r>
              <w:rPr>
                <w:b/>
                <w:bCs/>
                <w:color w:val="000000"/>
                <w:sz w:val="21"/>
                <w:szCs w:val="21"/>
              </w:rPr>
              <w:t>2020.08.31</w:t>
            </w:r>
          </w:p>
        </w:tc>
      </w:tr>
      <w:tr w:rsidR="00240BCE" w:rsidTr="00F575F1">
        <w:trPr>
          <w:trHeight w:val="129"/>
          <w:jc w:val="center"/>
        </w:trPr>
        <w:tc>
          <w:tcPr>
            <w:tcW w:w="0" w:type="auto"/>
            <w:vMerge/>
            <w:vAlign w:val="center"/>
          </w:tcPr>
          <w:p w:rsidR="00240BCE" w:rsidRDefault="00240BCE">
            <w:pPr>
              <w:widowControl/>
              <w:spacing w:line="340" w:lineRule="exact"/>
              <w:jc w:val="left"/>
              <w:rPr>
                <w:b/>
                <w:bCs/>
                <w:sz w:val="21"/>
                <w:szCs w:val="21"/>
              </w:rPr>
            </w:pPr>
          </w:p>
        </w:tc>
        <w:tc>
          <w:tcPr>
            <w:tcW w:w="947" w:type="pct"/>
            <w:vAlign w:val="center"/>
          </w:tcPr>
          <w:p w:rsidR="00240BCE" w:rsidRDefault="00AC0334">
            <w:pPr>
              <w:spacing w:line="340" w:lineRule="exact"/>
              <w:jc w:val="center"/>
              <w:rPr>
                <w:b/>
                <w:bCs/>
                <w:sz w:val="21"/>
                <w:szCs w:val="21"/>
              </w:rPr>
            </w:pPr>
            <w:r>
              <w:rPr>
                <w:b/>
                <w:bCs/>
                <w:sz w:val="21"/>
                <w:szCs w:val="21"/>
              </w:rPr>
              <w:t>昼间</w:t>
            </w:r>
          </w:p>
        </w:tc>
        <w:tc>
          <w:tcPr>
            <w:tcW w:w="947" w:type="pct"/>
            <w:vAlign w:val="center"/>
          </w:tcPr>
          <w:p w:rsidR="00240BCE" w:rsidRDefault="00AC0334">
            <w:pPr>
              <w:spacing w:line="340" w:lineRule="exact"/>
              <w:jc w:val="center"/>
              <w:rPr>
                <w:b/>
                <w:bCs/>
                <w:sz w:val="21"/>
                <w:szCs w:val="21"/>
              </w:rPr>
            </w:pPr>
            <w:r>
              <w:rPr>
                <w:b/>
                <w:bCs/>
                <w:sz w:val="21"/>
                <w:szCs w:val="21"/>
              </w:rPr>
              <w:t>夜间</w:t>
            </w:r>
          </w:p>
        </w:tc>
        <w:tc>
          <w:tcPr>
            <w:tcW w:w="947" w:type="pct"/>
            <w:vAlign w:val="center"/>
          </w:tcPr>
          <w:p w:rsidR="00240BCE" w:rsidRDefault="00AC0334">
            <w:pPr>
              <w:spacing w:line="340" w:lineRule="exact"/>
              <w:jc w:val="center"/>
              <w:rPr>
                <w:b/>
                <w:bCs/>
                <w:sz w:val="21"/>
                <w:szCs w:val="21"/>
              </w:rPr>
            </w:pPr>
            <w:r>
              <w:rPr>
                <w:b/>
                <w:bCs/>
                <w:sz w:val="21"/>
                <w:szCs w:val="21"/>
              </w:rPr>
              <w:t>昼间</w:t>
            </w:r>
          </w:p>
        </w:tc>
        <w:tc>
          <w:tcPr>
            <w:tcW w:w="947" w:type="pct"/>
            <w:vAlign w:val="center"/>
          </w:tcPr>
          <w:p w:rsidR="00240BCE" w:rsidRDefault="00AC0334">
            <w:pPr>
              <w:spacing w:line="340" w:lineRule="exact"/>
              <w:jc w:val="center"/>
              <w:rPr>
                <w:b/>
                <w:bCs/>
                <w:sz w:val="21"/>
                <w:szCs w:val="21"/>
              </w:rPr>
            </w:pPr>
            <w:r>
              <w:rPr>
                <w:b/>
                <w:bCs/>
                <w:sz w:val="21"/>
                <w:szCs w:val="21"/>
              </w:rPr>
              <w:t>夜间</w:t>
            </w:r>
          </w:p>
        </w:tc>
      </w:tr>
      <w:tr w:rsidR="00240BCE" w:rsidTr="00F575F1">
        <w:trPr>
          <w:trHeight w:val="296"/>
          <w:jc w:val="center"/>
        </w:trPr>
        <w:tc>
          <w:tcPr>
            <w:tcW w:w="1211" w:type="pct"/>
            <w:vAlign w:val="center"/>
          </w:tcPr>
          <w:p w:rsidR="00240BCE" w:rsidRDefault="00AC0334">
            <w:pPr>
              <w:spacing w:line="340" w:lineRule="exact"/>
              <w:jc w:val="center"/>
              <w:rPr>
                <w:sz w:val="21"/>
                <w:szCs w:val="21"/>
              </w:rPr>
            </w:pPr>
            <w:r>
              <w:rPr>
                <w:color w:val="000000"/>
                <w:kern w:val="0"/>
                <w:sz w:val="21"/>
                <w:szCs w:val="21"/>
              </w:rPr>
              <w:t>赵沟村柿树行组</w:t>
            </w:r>
          </w:p>
        </w:tc>
        <w:tc>
          <w:tcPr>
            <w:tcW w:w="947" w:type="pct"/>
            <w:vAlign w:val="center"/>
          </w:tcPr>
          <w:p w:rsidR="00240BCE" w:rsidRDefault="00AC0334">
            <w:pPr>
              <w:spacing w:line="340" w:lineRule="exact"/>
              <w:jc w:val="center"/>
              <w:rPr>
                <w:color w:val="000000"/>
                <w:sz w:val="21"/>
                <w:szCs w:val="21"/>
              </w:rPr>
            </w:pPr>
            <w:r>
              <w:rPr>
                <w:color w:val="000000"/>
                <w:sz w:val="21"/>
                <w:szCs w:val="21"/>
              </w:rPr>
              <w:t>54</w:t>
            </w:r>
          </w:p>
        </w:tc>
        <w:tc>
          <w:tcPr>
            <w:tcW w:w="947" w:type="pct"/>
            <w:vAlign w:val="center"/>
          </w:tcPr>
          <w:p w:rsidR="00240BCE" w:rsidRDefault="00AC0334">
            <w:pPr>
              <w:spacing w:line="340" w:lineRule="exact"/>
              <w:jc w:val="center"/>
              <w:rPr>
                <w:color w:val="000000"/>
                <w:sz w:val="21"/>
                <w:szCs w:val="21"/>
              </w:rPr>
            </w:pPr>
            <w:r>
              <w:rPr>
                <w:color w:val="000000"/>
                <w:sz w:val="21"/>
                <w:szCs w:val="21"/>
              </w:rPr>
              <w:t>43</w:t>
            </w:r>
          </w:p>
        </w:tc>
        <w:tc>
          <w:tcPr>
            <w:tcW w:w="947" w:type="pct"/>
            <w:vAlign w:val="center"/>
          </w:tcPr>
          <w:p w:rsidR="00240BCE" w:rsidRDefault="00AC0334">
            <w:pPr>
              <w:spacing w:line="340" w:lineRule="exact"/>
              <w:jc w:val="center"/>
              <w:rPr>
                <w:color w:val="000000"/>
                <w:sz w:val="21"/>
                <w:szCs w:val="21"/>
              </w:rPr>
            </w:pPr>
            <w:r>
              <w:rPr>
                <w:color w:val="000000"/>
                <w:sz w:val="21"/>
                <w:szCs w:val="21"/>
              </w:rPr>
              <w:t>54</w:t>
            </w:r>
          </w:p>
        </w:tc>
        <w:tc>
          <w:tcPr>
            <w:tcW w:w="947" w:type="pct"/>
            <w:vAlign w:val="center"/>
          </w:tcPr>
          <w:p w:rsidR="00240BCE" w:rsidRDefault="00AC0334">
            <w:pPr>
              <w:spacing w:line="340" w:lineRule="exact"/>
              <w:jc w:val="center"/>
              <w:rPr>
                <w:color w:val="000000"/>
                <w:sz w:val="21"/>
                <w:szCs w:val="21"/>
              </w:rPr>
            </w:pPr>
            <w:r>
              <w:rPr>
                <w:color w:val="000000"/>
                <w:sz w:val="21"/>
                <w:szCs w:val="21"/>
              </w:rPr>
              <w:t>44</w:t>
            </w:r>
          </w:p>
        </w:tc>
      </w:tr>
      <w:tr w:rsidR="00240BCE" w:rsidTr="00F575F1">
        <w:trPr>
          <w:trHeight w:val="309"/>
          <w:jc w:val="center"/>
        </w:trPr>
        <w:tc>
          <w:tcPr>
            <w:tcW w:w="1211" w:type="pct"/>
            <w:vAlign w:val="center"/>
          </w:tcPr>
          <w:p w:rsidR="00240BCE" w:rsidRDefault="00AC0334">
            <w:pPr>
              <w:spacing w:line="340" w:lineRule="exact"/>
              <w:jc w:val="center"/>
              <w:rPr>
                <w:sz w:val="21"/>
                <w:szCs w:val="21"/>
              </w:rPr>
            </w:pPr>
            <w:r>
              <w:rPr>
                <w:sz w:val="21"/>
                <w:szCs w:val="21"/>
              </w:rPr>
              <w:t>东厂界</w:t>
            </w:r>
          </w:p>
        </w:tc>
        <w:tc>
          <w:tcPr>
            <w:tcW w:w="947" w:type="pct"/>
            <w:vAlign w:val="center"/>
          </w:tcPr>
          <w:p w:rsidR="00240BCE" w:rsidRDefault="00AC0334">
            <w:pPr>
              <w:spacing w:line="340" w:lineRule="exact"/>
              <w:jc w:val="center"/>
              <w:rPr>
                <w:color w:val="000000"/>
                <w:sz w:val="21"/>
                <w:szCs w:val="21"/>
              </w:rPr>
            </w:pPr>
            <w:r>
              <w:rPr>
                <w:color w:val="000000"/>
                <w:sz w:val="21"/>
                <w:szCs w:val="21"/>
              </w:rPr>
              <w:t>56</w:t>
            </w:r>
          </w:p>
        </w:tc>
        <w:tc>
          <w:tcPr>
            <w:tcW w:w="947" w:type="pct"/>
            <w:vAlign w:val="center"/>
          </w:tcPr>
          <w:p w:rsidR="00240BCE" w:rsidRDefault="00AC0334">
            <w:pPr>
              <w:spacing w:line="340" w:lineRule="exact"/>
              <w:jc w:val="center"/>
              <w:rPr>
                <w:color w:val="000000"/>
                <w:sz w:val="21"/>
                <w:szCs w:val="21"/>
              </w:rPr>
            </w:pPr>
            <w:r>
              <w:rPr>
                <w:color w:val="000000"/>
                <w:sz w:val="21"/>
                <w:szCs w:val="21"/>
              </w:rPr>
              <w:t>45</w:t>
            </w:r>
          </w:p>
        </w:tc>
        <w:tc>
          <w:tcPr>
            <w:tcW w:w="947" w:type="pct"/>
            <w:vAlign w:val="center"/>
          </w:tcPr>
          <w:p w:rsidR="00240BCE" w:rsidRDefault="00AC0334">
            <w:pPr>
              <w:spacing w:line="340" w:lineRule="exact"/>
              <w:jc w:val="center"/>
              <w:rPr>
                <w:color w:val="000000"/>
                <w:sz w:val="21"/>
                <w:szCs w:val="21"/>
              </w:rPr>
            </w:pPr>
            <w:r>
              <w:rPr>
                <w:color w:val="000000"/>
                <w:sz w:val="21"/>
                <w:szCs w:val="21"/>
              </w:rPr>
              <w:t>56</w:t>
            </w:r>
          </w:p>
        </w:tc>
        <w:tc>
          <w:tcPr>
            <w:tcW w:w="947" w:type="pct"/>
            <w:vAlign w:val="center"/>
          </w:tcPr>
          <w:p w:rsidR="00240BCE" w:rsidRDefault="00AC0334">
            <w:pPr>
              <w:spacing w:line="340" w:lineRule="exact"/>
              <w:jc w:val="center"/>
              <w:rPr>
                <w:color w:val="000000"/>
                <w:sz w:val="21"/>
                <w:szCs w:val="21"/>
              </w:rPr>
            </w:pPr>
            <w:r>
              <w:rPr>
                <w:color w:val="000000"/>
                <w:sz w:val="21"/>
                <w:szCs w:val="21"/>
              </w:rPr>
              <w:t>46</w:t>
            </w:r>
          </w:p>
        </w:tc>
      </w:tr>
      <w:tr w:rsidR="00240BCE" w:rsidTr="00F575F1">
        <w:trPr>
          <w:trHeight w:val="296"/>
          <w:jc w:val="center"/>
        </w:trPr>
        <w:tc>
          <w:tcPr>
            <w:tcW w:w="1211" w:type="pct"/>
            <w:vAlign w:val="center"/>
          </w:tcPr>
          <w:p w:rsidR="00240BCE" w:rsidRDefault="00AC0334">
            <w:pPr>
              <w:spacing w:line="340" w:lineRule="exact"/>
              <w:jc w:val="center"/>
              <w:rPr>
                <w:sz w:val="21"/>
                <w:szCs w:val="21"/>
              </w:rPr>
            </w:pPr>
            <w:r>
              <w:rPr>
                <w:sz w:val="21"/>
                <w:szCs w:val="21"/>
              </w:rPr>
              <w:t>南厂界</w:t>
            </w:r>
          </w:p>
        </w:tc>
        <w:tc>
          <w:tcPr>
            <w:tcW w:w="947" w:type="pct"/>
            <w:vAlign w:val="center"/>
          </w:tcPr>
          <w:p w:rsidR="00240BCE" w:rsidRDefault="00AC0334">
            <w:pPr>
              <w:spacing w:line="340" w:lineRule="exact"/>
              <w:jc w:val="center"/>
              <w:rPr>
                <w:color w:val="000000"/>
                <w:sz w:val="21"/>
                <w:szCs w:val="21"/>
              </w:rPr>
            </w:pPr>
            <w:r>
              <w:rPr>
                <w:color w:val="000000"/>
                <w:sz w:val="21"/>
                <w:szCs w:val="21"/>
              </w:rPr>
              <w:t>61</w:t>
            </w:r>
          </w:p>
        </w:tc>
        <w:tc>
          <w:tcPr>
            <w:tcW w:w="947" w:type="pct"/>
            <w:vAlign w:val="center"/>
          </w:tcPr>
          <w:p w:rsidR="00240BCE" w:rsidRDefault="00AC0334">
            <w:pPr>
              <w:spacing w:line="340" w:lineRule="exact"/>
              <w:jc w:val="center"/>
              <w:rPr>
                <w:color w:val="000000"/>
                <w:sz w:val="21"/>
                <w:szCs w:val="21"/>
              </w:rPr>
            </w:pPr>
            <w:r>
              <w:rPr>
                <w:color w:val="000000"/>
                <w:sz w:val="21"/>
                <w:szCs w:val="21"/>
              </w:rPr>
              <w:t>53</w:t>
            </w:r>
          </w:p>
        </w:tc>
        <w:tc>
          <w:tcPr>
            <w:tcW w:w="947" w:type="pct"/>
            <w:vAlign w:val="center"/>
          </w:tcPr>
          <w:p w:rsidR="00240BCE" w:rsidRDefault="00AC0334">
            <w:pPr>
              <w:spacing w:line="340" w:lineRule="exact"/>
              <w:jc w:val="center"/>
              <w:rPr>
                <w:color w:val="000000"/>
                <w:sz w:val="21"/>
                <w:szCs w:val="21"/>
              </w:rPr>
            </w:pPr>
            <w:r>
              <w:rPr>
                <w:color w:val="000000"/>
                <w:sz w:val="21"/>
                <w:szCs w:val="21"/>
              </w:rPr>
              <w:t>62</w:t>
            </w:r>
          </w:p>
        </w:tc>
        <w:tc>
          <w:tcPr>
            <w:tcW w:w="947" w:type="pct"/>
            <w:vAlign w:val="center"/>
          </w:tcPr>
          <w:p w:rsidR="00240BCE" w:rsidRDefault="00AC0334">
            <w:pPr>
              <w:spacing w:line="340" w:lineRule="exact"/>
              <w:jc w:val="center"/>
              <w:rPr>
                <w:color w:val="000000"/>
                <w:sz w:val="21"/>
                <w:szCs w:val="21"/>
              </w:rPr>
            </w:pPr>
            <w:r>
              <w:rPr>
                <w:color w:val="000000"/>
                <w:sz w:val="21"/>
                <w:szCs w:val="21"/>
              </w:rPr>
              <w:t>53</w:t>
            </w:r>
          </w:p>
        </w:tc>
      </w:tr>
      <w:tr w:rsidR="00240BCE" w:rsidTr="00F575F1">
        <w:trPr>
          <w:trHeight w:val="296"/>
          <w:jc w:val="center"/>
        </w:trPr>
        <w:tc>
          <w:tcPr>
            <w:tcW w:w="1211" w:type="pct"/>
            <w:vAlign w:val="center"/>
          </w:tcPr>
          <w:p w:rsidR="00240BCE" w:rsidRDefault="00AC0334">
            <w:pPr>
              <w:spacing w:line="340" w:lineRule="exact"/>
              <w:jc w:val="center"/>
              <w:rPr>
                <w:sz w:val="21"/>
                <w:szCs w:val="21"/>
              </w:rPr>
            </w:pPr>
            <w:r>
              <w:rPr>
                <w:sz w:val="21"/>
                <w:szCs w:val="21"/>
              </w:rPr>
              <w:t>西厂界</w:t>
            </w:r>
          </w:p>
        </w:tc>
        <w:tc>
          <w:tcPr>
            <w:tcW w:w="947" w:type="pct"/>
            <w:vAlign w:val="center"/>
          </w:tcPr>
          <w:p w:rsidR="00240BCE" w:rsidRDefault="00AC0334">
            <w:pPr>
              <w:spacing w:line="340" w:lineRule="exact"/>
              <w:jc w:val="center"/>
              <w:rPr>
                <w:color w:val="000000"/>
                <w:sz w:val="21"/>
                <w:szCs w:val="21"/>
              </w:rPr>
            </w:pPr>
            <w:r>
              <w:rPr>
                <w:color w:val="000000"/>
                <w:sz w:val="21"/>
                <w:szCs w:val="21"/>
              </w:rPr>
              <w:t>54</w:t>
            </w:r>
          </w:p>
        </w:tc>
        <w:tc>
          <w:tcPr>
            <w:tcW w:w="947" w:type="pct"/>
            <w:vAlign w:val="center"/>
          </w:tcPr>
          <w:p w:rsidR="00240BCE" w:rsidRDefault="00AC0334">
            <w:pPr>
              <w:spacing w:line="340" w:lineRule="exact"/>
              <w:jc w:val="center"/>
              <w:rPr>
                <w:color w:val="000000"/>
                <w:sz w:val="21"/>
                <w:szCs w:val="21"/>
              </w:rPr>
            </w:pPr>
            <w:r>
              <w:rPr>
                <w:color w:val="000000"/>
                <w:sz w:val="21"/>
                <w:szCs w:val="21"/>
              </w:rPr>
              <w:t>44</w:t>
            </w:r>
          </w:p>
        </w:tc>
        <w:tc>
          <w:tcPr>
            <w:tcW w:w="947" w:type="pct"/>
            <w:vAlign w:val="center"/>
          </w:tcPr>
          <w:p w:rsidR="00240BCE" w:rsidRDefault="00AC0334">
            <w:pPr>
              <w:spacing w:line="340" w:lineRule="exact"/>
              <w:jc w:val="center"/>
              <w:rPr>
                <w:color w:val="000000"/>
                <w:sz w:val="21"/>
                <w:szCs w:val="21"/>
              </w:rPr>
            </w:pPr>
            <w:r>
              <w:rPr>
                <w:color w:val="000000"/>
                <w:sz w:val="21"/>
                <w:szCs w:val="21"/>
              </w:rPr>
              <w:t>55</w:t>
            </w:r>
          </w:p>
        </w:tc>
        <w:tc>
          <w:tcPr>
            <w:tcW w:w="947" w:type="pct"/>
            <w:vAlign w:val="center"/>
          </w:tcPr>
          <w:p w:rsidR="00240BCE" w:rsidRDefault="00AC0334">
            <w:pPr>
              <w:spacing w:line="340" w:lineRule="exact"/>
              <w:jc w:val="center"/>
              <w:rPr>
                <w:color w:val="000000"/>
                <w:sz w:val="21"/>
                <w:szCs w:val="21"/>
              </w:rPr>
            </w:pPr>
            <w:r>
              <w:rPr>
                <w:color w:val="000000"/>
                <w:sz w:val="21"/>
                <w:szCs w:val="21"/>
              </w:rPr>
              <w:t>44</w:t>
            </w:r>
          </w:p>
        </w:tc>
      </w:tr>
      <w:tr w:rsidR="00240BCE" w:rsidTr="00F575F1">
        <w:trPr>
          <w:trHeight w:val="309"/>
          <w:jc w:val="center"/>
        </w:trPr>
        <w:tc>
          <w:tcPr>
            <w:tcW w:w="1211" w:type="pct"/>
            <w:vAlign w:val="center"/>
          </w:tcPr>
          <w:p w:rsidR="00240BCE" w:rsidRDefault="00AC0334">
            <w:pPr>
              <w:spacing w:line="340" w:lineRule="exact"/>
              <w:jc w:val="center"/>
              <w:rPr>
                <w:sz w:val="21"/>
                <w:szCs w:val="21"/>
              </w:rPr>
            </w:pPr>
            <w:r>
              <w:rPr>
                <w:sz w:val="21"/>
                <w:szCs w:val="21"/>
              </w:rPr>
              <w:t>北厂界</w:t>
            </w:r>
          </w:p>
        </w:tc>
        <w:tc>
          <w:tcPr>
            <w:tcW w:w="947" w:type="pct"/>
            <w:vAlign w:val="center"/>
          </w:tcPr>
          <w:p w:rsidR="00240BCE" w:rsidRDefault="00AC0334">
            <w:pPr>
              <w:spacing w:line="340" w:lineRule="exact"/>
              <w:jc w:val="center"/>
              <w:rPr>
                <w:color w:val="000000"/>
                <w:sz w:val="21"/>
                <w:szCs w:val="21"/>
              </w:rPr>
            </w:pPr>
            <w:r>
              <w:rPr>
                <w:color w:val="000000"/>
                <w:sz w:val="21"/>
                <w:szCs w:val="21"/>
              </w:rPr>
              <w:t>53</w:t>
            </w:r>
          </w:p>
        </w:tc>
        <w:tc>
          <w:tcPr>
            <w:tcW w:w="947" w:type="pct"/>
            <w:vAlign w:val="center"/>
          </w:tcPr>
          <w:p w:rsidR="00240BCE" w:rsidRDefault="00AC0334">
            <w:pPr>
              <w:spacing w:line="340" w:lineRule="exact"/>
              <w:jc w:val="center"/>
              <w:rPr>
                <w:color w:val="000000"/>
                <w:sz w:val="21"/>
                <w:szCs w:val="21"/>
              </w:rPr>
            </w:pPr>
            <w:r>
              <w:rPr>
                <w:color w:val="000000"/>
                <w:sz w:val="21"/>
                <w:szCs w:val="21"/>
              </w:rPr>
              <w:t>43</w:t>
            </w:r>
          </w:p>
        </w:tc>
        <w:tc>
          <w:tcPr>
            <w:tcW w:w="947" w:type="pct"/>
            <w:vAlign w:val="center"/>
          </w:tcPr>
          <w:p w:rsidR="00240BCE" w:rsidRDefault="00AC0334">
            <w:pPr>
              <w:spacing w:line="340" w:lineRule="exact"/>
              <w:jc w:val="center"/>
              <w:rPr>
                <w:color w:val="000000"/>
                <w:sz w:val="21"/>
                <w:szCs w:val="21"/>
              </w:rPr>
            </w:pPr>
            <w:r>
              <w:rPr>
                <w:color w:val="000000"/>
                <w:sz w:val="21"/>
                <w:szCs w:val="21"/>
              </w:rPr>
              <w:t>52</w:t>
            </w:r>
          </w:p>
        </w:tc>
        <w:tc>
          <w:tcPr>
            <w:tcW w:w="947" w:type="pct"/>
            <w:vAlign w:val="center"/>
          </w:tcPr>
          <w:p w:rsidR="00240BCE" w:rsidRDefault="00AC0334">
            <w:pPr>
              <w:spacing w:line="340" w:lineRule="exact"/>
              <w:jc w:val="center"/>
              <w:rPr>
                <w:color w:val="000000"/>
                <w:sz w:val="21"/>
                <w:szCs w:val="21"/>
              </w:rPr>
            </w:pPr>
            <w:r>
              <w:rPr>
                <w:color w:val="000000"/>
                <w:sz w:val="21"/>
                <w:szCs w:val="21"/>
              </w:rPr>
              <w:t>43</w:t>
            </w:r>
          </w:p>
        </w:tc>
      </w:tr>
    </w:tbl>
    <w:p w:rsidR="00240BCE" w:rsidRDefault="00AC0334" w:rsidP="00F575F1">
      <w:pPr>
        <w:tabs>
          <w:tab w:val="left" w:pos="0"/>
        </w:tabs>
        <w:spacing w:line="500" w:lineRule="exact"/>
        <w:rPr>
          <w:sz w:val="24"/>
        </w:rPr>
      </w:pPr>
      <w:r>
        <w:rPr>
          <w:sz w:val="24"/>
        </w:rPr>
        <w:t>3.1.5.4</w:t>
      </w:r>
      <w:r>
        <w:rPr>
          <w:sz w:val="24"/>
        </w:rPr>
        <w:t>升级改造前现有工程固体废物污染源及治理措施</w:t>
      </w:r>
    </w:p>
    <w:p w:rsidR="00240BCE" w:rsidRDefault="00AC0334" w:rsidP="00F575F1">
      <w:pPr>
        <w:spacing w:line="500" w:lineRule="exact"/>
        <w:ind w:firstLineChars="200" w:firstLine="480"/>
        <w:rPr>
          <w:sz w:val="24"/>
        </w:rPr>
      </w:pPr>
      <w:r>
        <w:rPr>
          <w:sz w:val="24"/>
        </w:rPr>
        <w:t xml:space="preserve">① </w:t>
      </w:r>
      <w:r>
        <w:rPr>
          <w:sz w:val="24"/>
        </w:rPr>
        <w:t>生产期煤矸石</w:t>
      </w:r>
    </w:p>
    <w:p w:rsidR="00240BCE" w:rsidRDefault="00AC0334" w:rsidP="00F575F1">
      <w:pPr>
        <w:spacing w:line="500" w:lineRule="exact"/>
        <w:ind w:firstLineChars="200" w:firstLine="480"/>
        <w:rPr>
          <w:bCs/>
          <w:color w:val="000000"/>
          <w:sz w:val="24"/>
        </w:rPr>
      </w:pPr>
      <w:r>
        <w:rPr>
          <w:bCs/>
          <w:color w:val="000000"/>
          <w:sz w:val="24"/>
        </w:rPr>
        <w:t>目前生产期排矸量约</w:t>
      </w:r>
      <w:r>
        <w:rPr>
          <w:bCs/>
          <w:color w:val="000000"/>
          <w:sz w:val="24"/>
        </w:rPr>
        <w:t>1.2</w:t>
      </w:r>
      <w:r>
        <w:rPr>
          <w:bCs/>
          <w:color w:val="000000"/>
          <w:sz w:val="24"/>
        </w:rPr>
        <w:t>万</w:t>
      </w:r>
      <w:r>
        <w:rPr>
          <w:bCs/>
          <w:color w:val="000000"/>
          <w:sz w:val="24"/>
        </w:rPr>
        <w:t>t/a</w:t>
      </w:r>
      <w:r>
        <w:rPr>
          <w:bCs/>
          <w:sz w:val="24"/>
        </w:rPr>
        <w:t>，根据河南</w:t>
      </w:r>
      <w:r>
        <w:rPr>
          <w:spacing w:val="2"/>
          <w:sz w:val="24"/>
        </w:rPr>
        <w:t>正捷检测技术有限公司</w:t>
      </w:r>
      <w:r>
        <w:rPr>
          <w:spacing w:val="2"/>
          <w:sz w:val="24"/>
        </w:rPr>
        <w:t>2020</w:t>
      </w:r>
      <w:r>
        <w:rPr>
          <w:spacing w:val="2"/>
          <w:sz w:val="24"/>
        </w:rPr>
        <w:t>年</w:t>
      </w:r>
      <w:r>
        <w:rPr>
          <w:spacing w:val="2"/>
          <w:sz w:val="24"/>
        </w:rPr>
        <w:t>9</w:t>
      </w:r>
      <w:r>
        <w:rPr>
          <w:spacing w:val="2"/>
          <w:sz w:val="24"/>
        </w:rPr>
        <w:t>月</w:t>
      </w:r>
      <w:r>
        <w:rPr>
          <w:spacing w:val="2"/>
          <w:sz w:val="24"/>
        </w:rPr>
        <w:t>2</w:t>
      </w:r>
      <w:r>
        <w:rPr>
          <w:spacing w:val="2"/>
          <w:sz w:val="24"/>
        </w:rPr>
        <w:t>日</w:t>
      </w:r>
      <w:r>
        <w:rPr>
          <w:sz w:val="24"/>
        </w:rPr>
        <w:t>对本项目</w:t>
      </w:r>
      <w:r>
        <w:rPr>
          <w:bCs/>
          <w:color w:val="000000"/>
          <w:sz w:val="24"/>
        </w:rPr>
        <w:t>煤矸石浸出试验监测结果（见表</w:t>
      </w:r>
      <w:r>
        <w:rPr>
          <w:bCs/>
          <w:color w:val="000000"/>
          <w:sz w:val="24"/>
        </w:rPr>
        <w:t>3.1-</w:t>
      </w:r>
      <w:r w:rsidR="006E2C96">
        <w:rPr>
          <w:rFonts w:hint="eastAsia"/>
          <w:bCs/>
          <w:color w:val="000000"/>
          <w:sz w:val="24"/>
        </w:rPr>
        <w:t>9</w:t>
      </w:r>
      <w:r>
        <w:rPr>
          <w:bCs/>
          <w:color w:val="000000"/>
          <w:sz w:val="24"/>
        </w:rPr>
        <w:t>）知，</w:t>
      </w:r>
      <w:r>
        <w:rPr>
          <w:sz w:val="24"/>
        </w:rPr>
        <w:t>矸石浸出液中各项指标均远低于毒性浸出标准限值要求，且矸石浸出液中任何一种污染物的浓度均未超过</w:t>
      </w:r>
      <w:r>
        <w:rPr>
          <w:sz w:val="24"/>
        </w:rPr>
        <w:t>GB8978-1996</w:t>
      </w:r>
      <w:r>
        <w:rPr>
          <w:sz w:val="24"/>
        </w:rPr>
        <w:t>最高允许排放浓度，且</w:t>
      </w:r>
      <w:r>
        <w:rPr>
          <w:sz w:val="24"/>
        </w:rPr>
        <w:t>PH</w:t>
      </w:r>
      <w:r>
        <w:rPr>
          <w:sz w:val="24"/>
        </w:rPr>
        <w:t>值在</w:t>
      </w:r>
      <w:r>
        <w:rPr>
          <w:sz w:val="24"/>
        </w:rPr>
        <w:t>6</w:t>
      </w:r>
      <w:r>
        <w:rPr>
          <w:sz w:val="24"/>
          <w:lang w:val="en-GB"/>
        </w:rPr>
        <w:t>～</w:t>
      </w:r>
      <w:r>
        <w:rPr>
          <w:sz w:val="24"/>
        </w:rPr>
        <w:t>9</w:t>
      </w:r>
      <w:r>
        <w:rPr>
          <w:sz w:val="24"/>
        </w:rPr>
        <w:t>，根据《一般工业固体废物贮存、处置场污染控制标准》（</w:t>
      </w:r>
      <w:r>
        <w:rPr>
          <w:sz w:val="24"/>
        </w:rPr>
        <w:t>GB18599-2001</w:t>
      </w:r>
      <w:r>
        <w:rPr>
          <w:sz w:val="24"/>
        </w:rPr>
        <w:t>），该矸石为第</w:t>
      </w:r>
      <w:r>
        <w:rPr>
          <w:sz w:val="24"/>
        </w:rPr>
        <w:t>Ⅰ</w:t>
      </w:r>
      <w:r>
        <w:rPr>
          <w:sz w:val="24"/>
        </w:rPr>
        <w:t>类一般工业固体废弃物，</w:t>
      </w:r>
      <w:r>
        <w:rPr>
          <w:bCs/>
          <w:color w:val="000000"/>
          <w:sz w:val="24"/>
        </w:rPr>
        <w:t>在</w:t>
      </w:r>
      <w:r w:rsidR="00802A62">
        <w:rPr>
          <w:bCs/>
          <w:color w:val="000000"/>
          <w:sz w:val="24"/>
        </w:rPr>
        <w:t>储煤库</w:t>
      </w:r>
      <w:r>
        <w:rPr>
          <w:bCs/>
          <w:color w:val="000000"/>
          <w:sz w:val="24"/>
        </w:rPr>
        <w:t>内临时堆存周转后，定期运往</w:t>
      </w:r>
      <w:r>
        <w:rPr>
          <w:snapToGrid w:val="0"/>
          <w:kern w:val="0"/>
          <w:sz w:val="24"/>
        </w:rPr>
        <w:t>禹州市三合新型建材厂</w:t>
      </w:r>
      <w:r>
        <w:rPr>
          <w:bCs/>
          <w:sz w:val="24"/>
        </w:rPr>
        <w:t>制砖。</w:t>
      </w:r>
    </w:p>
    <w:p w:rsidR="00240BCE" w:rsidRDefault="00AC0334" w:rsidP="00F575F1">
      <w:pPr>
        <w:spacing w:line="500" w:lineRule="exact"/>
        <w:jc w:val="center"/>
        <w:rPr>
          <w:sz w:val="24"/>
          <w:lang w:val="en-GB"/>
        </w:rPr>
      </w:pPr>
      <w:r>
        <w:rPr>
          <w:sz w:val="24"/>
          <w:lang w:val="en-GB"/>
        </w:rPr>
        <w:t>表</w:t>
      </w:r>
      <w:r>
        <w:rPr>
          <w:sz w:val="24"/>
          <w:lang w:val="en-GB"/>
        </w:rPr>
        <w:t>3.1-</w:t>
      </w:r>
      <w:r w:rsidR="006E2C96">
        <w:rPr>
          <w:rFonts w:hint="eastAsia"/>
          <w:sz w:val="24"/>
          <w:lang w:val="en-GB"/>
        </w:rPr>
        <w:t>9</w:t>
      </w:r>
      <w:r>
        <w:rPr>
          <w:sz w:val="24"/>
          <w:lang w:val="en-GB"/>
        </w:rPr>
        <w:t xml:space="preserve">   </w:t>
      </w:r>
      <w:r>
        <w:rPr>
          <w:sz w:val="24"/>
          <w:lang w:val="en-GB"/>
        </w:rPr>
        <w:t>隆庆煤矿矸石浸出试验分析结果（单位：</w:t>
      </w:r>
      <w:r>
        <w:rPr>
          <w:sz w:val="24"/>
          <w:lang w:val="en-GB"/>
        </w:rPr>
        <w:t>mg/L(pH</w:t>
      </w:r>
      <w:r>
        <w:rPr>
          <w:sz w:val="24"/>
          <w:lang w:val="en-GB"/>
        </w:rPr>
        <w:t>除外</w:t>
      </w:r>
      <w:r>
        <w:rPr>
          <w:sz w:val="24"/>
          <w:lang w:val="en-GB"/>
        </w:rPr>
        <w:t>)</w:t>
      </w:r>
      <w:r>
        <w:rPr>
          <w:sz w:val="24"/>
          <w:lang w:val="en-GB"/>
        </w:rPr>
        <w:t>）</w:t>
      </w: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80"/>
        <w:gridCol w:w="735"/>
        <w:gridCol w:w="527"/>
        <w:gridCol w:w="631"/>
        <w:gridCol w:w="631"/>
        <w:gridCol w:w="631"/>
        <w:gridCol w:w="631"/>
        <w:gridCol w:w="732"/>
        <w:gridCol w:w="530"/>
        <w:gridCol w:w="631"/>
        <w:gridCol w:w="631"/>
        <w:gridCol w:w="631"/>
        <w:gridCol w:w="632"/>
      </w:tblGrid>
      <w:tr w:rsidR="00240BCE">
        <w:trPr>
          <w:trHeight w:val="236"/>
          <w:jc w:val="center"/>
        </w:trPr>
        <w:tc>
          <w:tcPr>
            <w:tcW w:w="1380" w:type="dxa"/>
            <w:vAlign w:val="center"/>
          </w:tcPr>
          <w:p w:rsidR="00240BCE" w:rsidRDefault="00B95226">
            <w:pPr>
              <w:spacing w:line="340" w:lineRule="exact"/>
              <w:ind w:firstLineChars="450" w:firstLine="945"/>
              <w:rPr>
                <w:sz w:val="21"/>
                <w:szCs w:val="21"/>
                <w:lang w:val="en-GB"/>
              </w:rPr>
            </w:pPr>
            <w:r>
              <w:rPr>
                <w:noProof/>
                <w:sz w:val="21"/>
                <w:szCs w:val="21"/>
              </w:rPr>
              <w:pict>
                <v:group id="组合 1323" o:spid="_x0000_s3570" style="position:absolute;left:0;text-align:left;margin-left:.9pt;margin-top:1.25pt;width:67.95pt;height:48.8pt;z-index:251674624" coordorigin="1097,1987" coordsize="2506,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">
                  <v:line id="直线 1324" o:spid="_x0000_s3572" style="position:absolute;visibility:visible" from="1097,1987" to="3603,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直线 1325" o:spid="_x0000_s3571" style="position:absolute;visibility:visible" from="1102,2010" to="2530,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group>
              </w:pict>
            </w:r>
            <w:r w:rsidR="00AC0334">
              <w:rPr>
                <w:sz w:val="21"/>
                <w:szCs w:val="21"/>
                <w:lang w:val="en-GB"/>
              </w:rPr>
              <w:t>项目</w:t>
            </w:r>
          </w:p>
          <w:p w:rsidR="00240BCE" w:rsidRDefault="00AC0334">
            <w:pPr>
              <w:spacing w:line="340" w:lineRule="exact"/>
              <w:rPr>
                <w:sz w:val="21"/>
                <w:szCs w:val="21"/>
                <w:lang w:val="en-GB"/>
              </w:rPr>
            </w:pPr>
            <w:r>
              <w:rPr>
                <w:sz w:val="21"/>
                <w:szCs w:val="21"/>
                <w:lang w:val="en-GB"/>
              </w:rPr>
              <w:t xml:space="preserve">    </w:t>
            </w:r>
            <w:r>
              <w:rPr>
                <w:sz w:val="21"/>
                <w:szCs w:val="21"/>
                <w:lang w:val="en-GB"/>
              </w:rPr>
              <w:t>浓度</w:t>
            </w:r>
          </w:p>
          <w:p w:rsidR="00240BCE" w:rsidRDefault="00AC0334">
            <w:pPr>
              <w:spacing w:line="340" w:lineRule="exact"/>
              <w:rPr>
                <w:sz w:val="21"/>
                <w:szCs w:val="21"/>
                <w:lang w:val="en-GB"/>
              </w:rPr>
            </w:pPr>
            <w:r>
              <w:rPr>
                <w:sz w:val="21"/>
                <w:szCs w:val="21"/>
                <w:lang w:val="en-GB"/>
              </w:rPr>
              <w:t>类别</w:t>
            </w:r>
          </w:p>
        </w:tc>
        <w:tc>
          <w:tcPr>
            <w:tcW w:w="735" w:type="dxa"/>
            <w:vAlign w:val="center"/>
          </w:tcPr>
          <w:p w:rsidR="00240BCE" w:rsidRDefault="00AC0334">
            <w:pPr>
              <w:spacing w:line="340" w:lineRule="exact"/>
              <w:jc w:val="center"/>
              <w:rPr>
                <w:sz w:val="21"/>
                <w:szCs w:val="21"/>
                <w:lang w:val="en-GB"/>
              </w:rPr>
            </w:pPr>
            <w:r>
              <w:rPr>
                <w:sz w:val="21"/>
                <w:szCs w:val="21"/>
                <w:lang w:val="en-GB"/>
              </w:rPr>
              <w:t>汞</w:t>
            </w:r>
          </w:p>
          <w:p w:rsidR="00240BCE" w:rsidRDefault="00AC0334">
            <w:pPr>
              <w:spacing w:line="340" w:lineRule="exact"/>
              <w:jc w:val="center"/>
              <w:rPr>
                <w:sz w:val="21"/>
                <w:szCs w:val="21"/>
                <w:lang w:val="en-GB"/>
              </w:rPr>
            </w:pPr>
            <w:r>
              <w:rPr>
                <w:sz w:val="21"/>
                <w:szCs w:val="21"/>
                <w:lang w:val="en-GB"/>
              </w:rPr>
              <w:t>Hg</w:t>
            </w:r>
          </w:p>
        </w:tc>
        <w:tc>
          <w:tcPr>
            <w:tcW w:w="527" w:type="dxa"/>
            <w:vAlign w:val="center"/>
          </w:tcPr>
          <w:p w:rsidR="00240BCE" w:rsidRDefault="00AC0334">
            <w:pPr>
              <w:spacing w:line="340" w:lineRule="exact"/>
              <w:jc w:val="center"/>
              <w:rPr>
                <w:sz w:val="21"/>
                <w:szCs w:val="21"/>
                <w:lang w:val="en-GB"/>
              </w:rPr>
            </w:pPr>
            <w:r>
              <w:rPr>
                <w:sz w:val="21"/>
                <w:szCs w:val="21"/>
                <w:lang w:val="en-GB"/>
              </w:rPr>
              <w:t>铜</w:t>
            </w:r>
          </w:p>
          <w:p w:rsidR="00240BCE" w:rsidRDefault="00AC0334">
            <w:pPr>
              <w:spacing w:line="340" w:lineRule="exact"/>
              <w:jc w:val="center"/>
              <w:rPr>
                <w:sz w:val="21"/>
                <w:szCs w:val="21"/>
                <w:lang w:val="en-GB"/>
              </w:rPr>
            </w:pPr>
            <w:r>
              <w:rPr>
                <w:sz w:val="21"/>
                <w:szCs w:val="21"/>
                <w:lang w:val="en-GB"/>
              </w:rPr>
              <w:t>Cu</w:t>
            </w:r>
          </w:p>
        </w:tc>
        <w:tc>
          <w:tcPr>
            <w:tcW w:w="631" w:type="dxa"/>
            <w:vAlign w:val="center"/>
          </w:tcPr>
          <w:p w:rsidR="00240BCE" w:rsidRDefault="00AC0334">
            <w:pPr>
              <w:spacing w:line="340" w:lineRule="exact"/>
              <w:jc w:val="center"/>
              <w:rPr>
                <w:sz w:val="21"/>
                <w:szCs w:val="21"/>
                <w:lang w:val="en-GB"/>
              </w:rPr>
            </w:pPr>
            <w:r>
              <w:rPr>
                <w:sz w:val="21"/>
                <w:szCs w:val="21"/>
                <w:lang w:val="en-GB"/>
              </w:rPr>
              <w:t>锌</w:t>
            </w:r>
          </w:p>
          <w:p w:rsidR="00240BCE" w:rsidRDefault="00AC0334">
            <w:pPr>
              <w:spacing w:line="340" w:lineRule="exact"/>
              <w:jc w:val="center"/>
              <w:rPr>
                <w:sz w:val="21"/>
                <w:szCs w:val="21"/>
                <w:lang w:val="en-GB"/>
              </w:rPr>
            </w:pPr>
            <w:r>
              <w:rPr>
                <w:sz w:val="21"/>
                <w:szCs w:val="21"/>
                <w:lang w:val="en-GB"/>
              </w:rPr>
              <w:t>Zn</w:t>
            </w:r>
          </w:p>
        </w:tc>
        <w:tc>
          <w:tcPr>
            <w:tcW w:w="631" w:type="dxa"/>
            <w:vAlign w:val="center"/>
          </w:tcPr>
          <w:p w:rsidR="00240BCE" w:rsidRDefault="00AC0334">
            <w:pPr>
              <w:spacing w:line="340" w:lineRule="exact"/>
              <w:jc w:val="center"/>
              <w:rPr>
                <w:sz w:val="21"/>
                <w:szCs w:val="21"/>
                <w:lang w:val="en-GB"/>
              </w:rPr>
            </w:pPr>
            <w:r>
              <w:rPr>
                <w:sz w:val="21"/>
                <w:szCs w:val="21"/>
                <w:lang w:val="en-GB"/>
              </w:rPr>
              <w:t>铅</w:t>
            </w:r>
          </w:p>
          <w:p w:rsidR="00240BCE" w:rsidRDefault="00AC0334">
            <w:pPr>
              <w:spacing w:line="340" w:lineRule="exact"/>
              <w:jc w:val="center"/>
              <w:rPr>
                <w:sz w:val="21"/>
                <w:szCs w:val="21"/>
                <w:lang w:val="en-GB"/>
              </w:rPr>
            </w:pPr>
            <w:r>
              <w:rPr>
                <w:sz w:val="21"/>
                <w:szCs w:val="21"/>
                <w:lang w:val="en-GB"/>
              </w:rPr>
              <w:t>Pb</w:t>
            </w:r>
          </w:p>
        </w:tc>
        <w:tc>
          <w:tcPr>
            <w:tcW w:w="631" w:type="dxa"/>
            <w:vAlign w:val="center"/>
          </w:tcPr>
          <w:p w:rsidR="00240BCE" w:rsidRDefault="00AC0334">
            <w:pPr>
              <w:spacing w:line="340" w:lineRule="exact"/>
              <w:jc w:val="center"/>
              <w:rPr>
                <w:sz w:val="21"/>
                <w:szCs w:val="21"/>
                <w:lang w:val="en-GB"/>
              </w:rPr>
            </w:pPr>
            <w:r>
              <w:rPr>
                <w:sz w:val="21"/>
                <w:szCs w:val="21"/>
                <w:lang w:val="en-GB"/>
              </w:rPr>
              <w:t>镉</w:t>
            </w:r>
          </w:p>
          <w:p w:rsidR="00240BCE" w:rsidRDefault="00AC0334">
            <w:pPr>
              <w:spacing w:line="340" w:lineRule="exact"/>
              <w:jc w:val="center"/>
              <w:rPr>
                <w:sz w:val="21"/>
                <w:szCs w:val="21"/>
                <w:lang w:val="en-GB"/>
              </w:rPr>
            </w:pPr>
            <w:r>
              <w:rPr>
                <w:sz w:val="21"/>
                <w:szCs w:val="21"/>
                <w:lang w:val="en-GB"/>
              </w:rPr>
              <w:t>Cd</w:t>
            </w:r>
          </w:p>
        </w:tc>
        <w:tc>
          <w:tcPr>
            <w:tcW w:w="631" w:type="dxa"/>
            <w:vAlign w:val="center"/>
          </w:tcPr>
          <w:p w:rsidR="00240BCE" w:rsidRDefault="00AC0334">
            <w:pPr>
              <w:spacing w:line="340" w:lineRule="exact"/>
              <w:jc w:val="center"/>
              <w:rPr>
                <w:sz w:val="21"/>
                <w:szCs w:val="21"/>
                <w:lang w:val="en-GB"/>
              </w:rPr>
            </w:pPr>
            <w:r>
              <w:rPr>
                <w:sz w:val="21"/>
                <w:szCs w:val="21"/>
                <w:lang w:val="en-GB"/>
              </w:rPr>
              <w:t>镍</w:t>
            </w:r>
          </w:p>
        </w:tc>
        <w:tc>
          <w:tcPr>
            <w:tcW w:w="732" w:type="dxa"/>
            <w:vAlign w:val="center"/>
          </w:tcPr>
          <w:p w:rsidR="00240BCE" w:rsidRDefault="00AC0334">
            <w:pPr>
              <w:spacing w:line="340" w:lineRule="exact"/>
              <w:jc w:val="center"/>
              <w:rPr>
                <w:sz w:val="21"/>
                <w:szCs w:val="21"/>
                <w:lang w:val="en-GB"/>
              </w:rPr>
            </w:pPr>
            <w:r>
              <w:rPr>
                <w:sz w:val="21"/>
                <w:szCs w:val="21"/>
                <w:lang w:val="en-GB"/>
              </w:rPr>
              <w:t>砷</w:t>
            </w:r>
          </w:p>
          <w:p w:rsidR="00240BCE" w:rsidRDefault="00AC0334">
            <w:pPr>
              <w:spacing w:line="340" w:lineRule="exact"/>
              <w:jc w:val="center"/>
              <w:rPr>
                <w:sz w:val="21"/>
                <w:szCs w:val="21"/>
                <w:lang w:val="en-GB"/>
              </w:rPr>
            </w:pPr>
            <w:r>
              <w:rPr>
                <w:sz w:val="21"/>
                <w:szCs w:val="21"/>
                <w:lang w:val="en-GB"/>
              </w:rPr>
              <w:t>As</w:t>
            </w:r>
          </w:p>
        </w:tc>
        <w:tc>
          <w:tcPr>
            <w:tcW w:w="530" w:type="dxa"/>
            <w:vAlign w:val="center"/>
          </w:tcPr>
          <w:p w:rsidR="00240BCE" w:rsidRDefault="00AC0334">
            <w:pPr>
              <w:spacing w:line="340" w:lineRule="exact"/>
              <w:jc w:val="center"/>
              <w:rPr>
                <w:sz w:val="21"/>
                <w:szCs w:val="21"/>
                <w:lang w:val="en-GB"/>
              </w:rPr>
            </w:pPr>
            <w:r>
              <w:rPr>
                <w:sz w:val="21"/>
                <w:szCs w:val="21"/>
                <w:lang w:val="en-GB"/>
              </w:rPr>
              <w:t>总铬</w:t>
            </w:r>
          </w:p>
        </w:tc>
        <w:tc>
          <w:tcPr>
            <w:tcW w:w="631" w:type="dxa"/>
            <w:vAlign w:val="center"/>
          </w:tcPr>
          <w:p w:rsidR="00240BCE" w:rsidRDefault="00AC0334">
            <w:pPr>
              <w:spacing w:line="340" w:lineRule="exact"/>
              <w:jc w:val="center"/>
              <w:rPr>
                <w:sz w:val="21"/>
                <w:szCs w:val="21"/>
                <w:lang w:val="en-GB"/>
              </w:rPr>
            </w:pPr>
            <w:r>
              <w:rPr>
                <w:sz w:val="21"/>
                <w:szCs w:val="21"/>
                <w:lang w:val="en-GB"/>
              </w:rPr>
              <w:t>银</w:t>
            </w:r>
          </w:p>
        </w:tc>
        <w:tc>
          <w:tcPr>
            <w:tcW w:w="631" w:type="dxa"/>
            <w:vAlign w:val="center"/>
          </w:tcPr>
          <w:p w:rsidR="00240BCE" w:rsidRDefault="00AC0334">
            <w:pPr>
              <w:spacing w:line="340" w:lineRule="exact"/>
              <w:jc w:val="center"/>
              <w:rPr>
                <w:sz w:val="21"/>
                <w:szCs w:val="21"/>
                <w:lang w:val="en-GB"/>
              </w:rPr>
            </w:pPr>
            <w:r>
              <w:rPr>
                <w:w w:val="90"/>
                <w:sz w:val="21"/>
                <w:szCs w:val="21"/>
                <w:lang w:val="en-GB"/>
              </w:rPr>
              <w:t>六价铬</w:t>
            </w:r>
            <w:r>
              <w:rPr>
                <w:sz w:val="21"/>
                <w:szCs w:val="21"/>
                <w:lang w:val="en-GB"/>
              </w:rPr>
              <w:t>Cr</w:t>
            </w:r>
            <w:r>
              <w:rPr>
                <w:sz w:val="21"/>
                <w:szCs w:val="21"/>
                <w:vertAlign w:val="superscript"/>
                <w:lang w:val="en-GB"/>
              </w:rPr>
              <w:t>6+</w:t>
            </w:r>
          </w:p>
        </w:tc>
        <w:tc>
          <w:tcPr>
            <w:tcW w:w="631" w:type="dxa"/>
            <w:vAlign w:val="center"/>
          </w:tcPr>
          <w:p w:rsidR="00240BCE" w:rsidRDefault="00AC0334">
            <w:pPr>
              <w:spacing w:line="340" w:lineRule="exact"/>
              <w:jc w:val="center"/>
              <w:rPr>
                <w:sz w:val="21"/>
                <w:szCs w:val="21"/>
                <w:lang w:val="en-GB"/>
              </w:rPr>
            </w:pPr>
            <w:r>
              <w:rPr>
                <w:sz w:val="21"/>
                <w:szCs w:val="21"/>
                <w:lang w:val="en-GB"/>
              </w:rPr>
              <w:t>氟</w:t>
            </w:r>
          </w:p>
          <w:p w:rsidR="00240BCE" w:rsidRDefault="00AC0334">
            <w:pPr>
              <w:spacing w:line="340" w:lineRule="exact"/>
              <w:jc w:val="center"/>
              <w:rPr>
                <w:sz w:val="21"/>
                <w:szCs w:val="21"/>
                <w:lang w:val="en-GB"/>
              </w:rPr>
            </w:pPr>
            <w:r>
              <w:rPr>
                <w:sz w:val="21"/>
                <w:szCs w:val="21"/>
                <w:lang w:val="en-GB"/>
              </w:rPr>
              <w:t>F</w:t>
            </w:r>
            <w:r>
              <w:rPr>
                <w:sz w:val="21"/>
                <w:szCs w:val="21"/>
                <w:vertAlign w:val="superscript"/>
                <w:lang w:val="en-GB"/>
              </w:rPr>
              <w:t>-</w:t>
            </w:r>
          </w:p>
        </w:tc>
        <w:tc>
          <w:tcPr>
            <w:tcW w:w="632" w:type="dxa"/>
            <w:vAlign w:val="center"/>
          </w:tcPr>
          <w:p w:rsidR="00240BCE" w:rsidRDefault="00AC0334">
            <w:pPr>
              <w:spacing w:line="340" w:lineRule="exact"/>
              <w:jc w:val="center"/>
              <w:rPr>
                <w:sz w:val="21"/>
                <w:szCs w:val="21"/>
                <w:lang w:val="en-GB"/>
              </w:rPr>
            </w:pPr>
            <w:r>
              <w:rPr>
                <w:sz w:val="21"/>
                <w:szCs w:val="21"/>
                <w:lang w:val="en-GB"/>
              </w:rPr>
              <w:t>pH</w:t>
            </w:r>
          </w:p>
        </w:tc>
      </w:tr>
      <w:tr w:rsidR="00240BCE">
        <w:trPr>
          <w:trHeight w:val="236"/>
          <w:jc w:val="center"/>
        </w:trPr>
        <w:tc>
          <w:tcPr>
            <w:tcW w:w="1380" w:type="dxa"/>
            <w:vAlign w:val="center"/>
          </w:tcPr>
          <w:p w:rsidR="00240BCE" w:rsidRDefault="00AC0334">
            <w:pPr>
              <w:spacing w:line="340" w:lineRule="exact"/>
              <w:jc w:val="center"/>
              <w:rPr>
                <w:sz w:val="21"/>
                <w:szCs w:val="21"/>
                <w:lang w:val="en-GB"/>
              </w:rPr>
            </w:pPr>
            <w:r>
              <w:rPr>
                <w:sz w:val="21"/>
                <w:szCs w:val="21"/>
                <w:lang w:val="en-GB"/>
              </w:rPr>
              <w:t>煤矸石浸出毒性试验</w:t>
            </w:r>
          </w:p>
        </w:tc>
        <w:tc>
          <w:tcPr>
            <w:tcW w:w="735" w:type="dxa"/>
            <w:vAlign w:val="center"/>
          </w:tcPr>
          <w:p w:rsidR="00240BCE" w:rsidRDefault="00AC0334">
            <w:pPr>
              <w:spacing w:line="340" w:lineRule="exact"/>
              <w:jc w:val="center"/>
              <w:rPr>
                <w:w w:val="90"/>
                <w:sz w:val="21"/>
                <w:szCs w:val="21"/>
                <w:lang w:val="en-GB"/>
              </w:rPr>
            </w:pPr>
            <w:r>
              <w:rPr>
                <w:w w:val="90"/>
                <w:sz w:val="21"/>
                <w:szCs w:val="21"/>
                <w:lang w:val="en-GB"/>
              </w:rPr>
              <w:t>0.00031</w:t>
            </w:r>
          </w:p>
        </w:tc>
        <w:tc>
          <w:tcPr>
            <w:tcW w:w="527" w:type="dxa"/>
            <w:vAlign w:val="center"/>
          </w:tcPr>
          <w:p w:rsidR="00240BCE" w:rsidRDefault="00AC0334">
            <w:pPr>
              <w:spacing w:line="340" w:lineRule="exact"/>
              <w:jc w:val="center"/>
              <w:rPr>
                <w:w w:val="90"/>
                <w:sz w:val="21"/>
                <w:szCs w:val="21"/>
                <w:lang w:val="en-GB"/>
              </w:rPr>
            </w:pPr>
            <w:r>
              <w:rPr>
                <w:w w:val="90"/>
                <w:sz w:val="21"/>
                <w:szCs w:val="21"/>
                <w:lang w:val="en-GB"/>
              </w:rPr>
              <w:t>未检出</w:t>
            </w:r>
          </w:p>
        </w:tc>
        <w:tc>
          <w:tcPr>
            <w:tcW w:w="631" w:type="dxa"/>
            <w:vAlign w:val="center"/>
          </w:tcPr>
          <w:p w:rsidR="00240BCE" w:rsidRDefault="00AC0334">
            <w:pPr>
              <w:spacing w:line="340" w:lineRule="exact"/>
              <w:jc w:val="center"/>
              <w:rPr>
                <w:w w:val="90"/>
                <w:sz w:val="21"/>
                <w:szCs w:val="21"/>
                <w:lang w:val="en-GB"/>
              </w:rPr>
            </w:pPr>
            <w:r>
              <w:rPr>
                <w:w w:val="90"/>
                <w:sz w:val="21"/>
                <w:szCs w:val="21"/>
                <w:lang w:val="en-GB"/>
              </w:rPr>
              <w:t>0.38</w:t>
            </w:r>
          </w:p>
        </w:tc>
        <w:tc>
          <w:tcPr>
            <w:tcW w:w="631" w:type="dxa"/>
            <w:vAlign w:val="center"/>
          </w:tcPr>
          <w:p w:rsidR="00240BCE" w:rsidRDefault="00AC0334">
            <w:pPr>
              <w:spacing w:line="340" w:lineRule="exact"/>
              <w:jc w:val="center"/>
              <w:rPr>
                <w:w w:val="90"/>
                <w:sz w:val="21"/>
                <w:szCs w:val="21"/>
                <w:lang w:val="en-GB"/>
              </w:rPr>
            </w:pPr>
            <w:r>
              <w:rPr>
                <w:w w:val="90"/>
                <w:sz w:val="21"/>
                <w:szCs w:val="21"/>
                <w:lang w:val="en-GB"/>
              </w:rPr>
              <w:t>未检出</w:t>
            </w:r>
          </w:p>
        </w:tc>
        <w:tc>
          <w:tcPr>
            <w:tcW w:w="631" w:type="dxa"/>
            <w:vAlign w:val="center"/>
          </w:tcPr>
          <w:p w:rsidR="00240BCE" w:rsidRDefault="00AC0334">
            <w:pPr>
              <w:spacing w:line="340" w:lineRule="exact"/>
              <w:jc w:val="center"/>
              <w:rPr>
                <w:w w:val="90"/>
                <w:sz w:val="21"/>
                <w:szCs w:val="21"/>
                <w:lang w:val="en-GB"/>
              </w:rPr>
            </w:pPr>
            <w:r>
              <w:rPr>
                <w:w w:val="90"/>
                <w:sz w:val="21"/>
                <w:szCs w:val="21"/>
                <w:lang w:val="en-GB"/>
              </w:rPr>
              <w:t>未检出</w:t>
            </w:r>
          </w:p>
        </w:tc>
        <w:tc>
          <w:tcPr>
            <w:tcW w:w="631" w:type="dxa"/>
            <w:vAlign w:val="center"/>
          </w:tcPr>
          <w:p w:rsidR="00240BCE" w:rsidRDefault="00AC0334">
            <w:pPr>
              <w:spacing w:line="340" w:lineRule="exact"/>
              <w:jc w:val="center"/>
              <w:rPr>
                <w:w w:val="90"/>
                <w:sz w:val="21"/>
                <w:szCs w:val="21"/>
                <w:lang w:val="en-GB"/>
              </w:rPr>
            </w:pPr>
            <w:r>
              <w:rPr>
                <w:w w:val="90"/>
                <w:sz w:val="21"/>
                <w:szCs w:val="21"/>
                <w:lang w:val="en-GB"/>
              </w:rPr>
              <w:t>未检出</w:t>
            </w:r>
          </w:p>
        </w:tc>
        <w:tc>
          <w:tcPr>
            <w:tcW w:w="732" w:type="dxa"/>
            <w:vAlign w:val="center"/>
          </w:tcPr>
          <w:p w:rsidR="00240BCE" w:rsidRDefault="00AC0334">
            <w:pPr>
              <w:spacing w:line="340" w:lineRule="exact"/>
              <w:jc w:val="center"/>
              <w:rPr>
                <w:w w:val="90"/>
                <w:sz w:val="21"/>
                <w:szCs w:val="21"/>
                <w:lang w:val="en-GB"/>
              </w:rPr>
            </w:pPr>
            <w:r>
              <w:rPr>
                <w:w w:val="90"/>
                <w:sz w:val="21"/>
                <w:szCs w:val="21"/>
                <w:lang w:val="en-GB"/>
              </w:rPr>
              <w:t>0.00047</w:t>
            </w:r>
          </w:p>
        </w:tc>
        <w:tc>
          <w:tcPr>
            <w:tcW w:w="530" w:type="dxa"/>
            <w:vAlign w:val="center"/>
          </w:tcPr>
          <w:p w:rsidR="00240BCE" w:rsidRDefault="00AC0334">
            <w:pPr>
              <w:spacing w:line="340" w:lineRule="exact"/>
              <w:jc w:val="center"/>
              <w:rPr>
                <w:w w:val="90"/>
                <w:sz w:val="21"/>
                <w:szCs w:val="21"/>
                <w:lang w:val="en-GB"/>
              </w:rPr>
            </w:pPr>
            <w:r>
              <w:rPr>
                <w:w w:val="90"/>
                <w:sz w:val="21"/>
                <w:szCs w:val="21"/>
                <w:lang w:val="en-GB"/>
              </w:rPr>
              <w:t>0.11</w:t>
            </w:r>
          </w:p>
        </w:tc>
        <w:tc>
          <w:tcPr>
            <w:tcW w:w="631" w:type="dxa"/>
            <w:vAlign w:val="center"/>
          </w:tcPr>
          <w:p w:rsidR="00240BCE" w:rsidRDefault="00AC0334">
            <w:pPr>
              <w:spacing w:line="340" w:lineRule="exact"/>
              <w:jc w:val="center"/>
              <w:rPr>
                <w:w w:val="90"/>
                <w:sz w:val="21"/>
                <w:szCs w:val="21"/>
                <w:lang w:val="en-GB"/>
              </w:rPr>
            </w:pPr>
            <w:r>
              <w:rPr>
                <w:w w:val="90"/>
                <w:sz w:val="21"/>
                <w:szCs w:val="21"/>
                <w:lang w:val="en-GB"/>
              </w:rPr>
              <w:t>低于检出限</w:t>
            </w:r>
          </w:p>
        </w:tc>
        <w:tc>
          <w:tcPr>
            <w:tcW w:w="631" w:type="dxa"/>
            <w:vAlign w:val="center"/>
          </w:tcPr>
          <w:p w:rsidR="00240BCE" w:rsidRDefault="00AC0334">
            <w:pPr>
              <w:spacing w:line="340" w:lineRule="exact"/>
              <w:jc w:val="center"/>
              <w:rPr>
                <w:w w:val="90"/>
                <w:sz w:val="21"/>
                <w:szCs w:val="21"/>
                <w:lang w:val="en-GB"/>
              </w:rPr>
            </w:pPr>
            <w:r>
              <w:rPr>
                <w:w w:val="90"/>
                <w:sz w:val="21"/>
                <w:szCs w:val="21"/>
                <w:lang w:val="en-GB"/>
              </w:rPr>
              <w:t>未检出</w:t>
            </w:r>
          </w:p>
        </w:tc>
        <w:tc>
          <w:tcPr>
            <w:tcW w:w="631" w:type="dxa"/>
            <w:vAlign w:val="center"/>
          </w:tcPr>
          <w:p w:rsidR="00240BCE" w:rsidRDefault="00AC0334">
            <w:pPr>
              <w:spacing w:line="340" w:lineRule="exact"/>
              <w:jc w:val="center"/>
              <w:rPr>
                <w:w w:val="90"/>
                <w:sz w:val="21"/>
                <w:szCs w:val="21"/>
                <w:lang w:val="en-GB"/>
              </w:rPr>
            </w:pPr>
            <w:r>
              <w:rPr>
                <w:w w:val="90"/>
                <w:sz w:val="21"/>
                <w:szCs w:val="21"/>
                <w:lang w:val="en-GB"/>
              </w:rPr>
              <w:t>0.37</w:t>
            </w:r>
          </w:p>
        </w:tc>
        <w:tc>
          <w:tcPr>
            <w:tcW w:w="632" w:type="dxa"/>
            <w:vAlign w:val="center"/>
          </w:tcPr>
          <w:p w:rsidR="00240BCE" w:rsidRDefault="00AC0334">
            <w:pPr>
              <w:spacing w:line="340" w:lineRule="exact"/>
              <w:jc w:val="center"/>
              <w:rPr>
                <w:w w:val="90"/>
                <w:sz w:val="21"/>
                <w:szCs w:val="21"/>
                <w:lang w:val="en-GB"/>
              </w:rPr>
            </w:pPr>
            <w:r>
              <w:rPr>
                <w:w w:val="90"/>
                <w:sz w:val="21"/>
                <w:szCs w:val="21"/>
                <w:lang w:val="en-GB"/>
              </w:rPr>
              <w:t>8.86</w:t>
            </w:r>
          </w:p>
        </w:tc>
      </w:tr>
      <w:tr w:rsidR="00240BCE">
        <w:trPr>
          <w:trHeight w:val="90"/>
          <w:jc w:val="center"/>
        </w:trPr>
        <w:tc>
          <w:tcPr>
            <w:tcW w:w="1380" w:type="dxa"/>
            <w:vAlign w:val="center"/>
          </w:tcPr>
          <w:p w:rsidR="00240BCE" w:rsidRDefault="00AC0334">
            <w:pPr>
              <w:spacing w:line="340" w:lineRule="exact"/>
              <w:jc w:val="center"/>
              <w:rPr>
                <w:sz w:val="21"/>
                <w:szCs w:val="21"/>
                <w:lang w:val="en-GB"/>
              </w:rPr>
            </w:pPr>
            <w:r>
              <w:rPr>
                <w:sz w:val="21"/>
                <w:szCs w:val="21"/>
                <w:lang w:val="en-GB"/>
              </w:rPr>
              <w:t>GB5085-2007</w:t>
            </w:r>
            <w:r>
              <w:rPr>
                <w:sz w:val="21"/>
                <w:szCs w:val="21"/>
                <w:lang w:val="en-GB"/>
              </w:rPr>
              <w:t>最高允许浓度</w:t>
            </w:r>
          </w:p>
        </w:tc>
        <w:tc>
          <w:tcPr>
            <w:tcW w:w="735" w:type="dxa"/>
            <w:vAlign w:val="center"/>
          </w:tcPr>
          <w:p w:rsidR="00240BCE" w:rsidRDefault="00AC0334">
            <w:pPr>
              <w:spacing w:line="340" w:lineRule="exact"/>
              <w:jc w:val="center"/>
              <w:rPr>
                <w:sz w:val="21"/>
                <w:szCs w:val="21"/>
                <w:lang w:val="en-GB"/>
              </w:rPr>
            </w:pPr>
            <w:r>
              <w:rPr>
                <w:sz w:val="21"/>
                <w:szCs w:val="21"/>
                <w:lang w:val="en-GB"/>
              </w:rPr>
              <w:t>0.1</w:t>
            </w:r>
          </w:p>
        </w:tc>
        <w:tc>
          <w:tcPr>
            <w:tcW w:w="527" w:type="dxa"/>
            <w:vAlign w:val="center"/>
          </w:tcPr>
          <w:p w:rsidR="00240BCE" w:rsidRDefault="00AC0334">
            <w:pPr>
              <w:spacing w:line="340" w:lineRule="exact"/>
              <w:jc w:val="center"/>
              <w:rPr>
                <w:sz w:val="21"/>
                <w:szCs w:val="21"/>
                <w:lang w:val="en-GB"/>
              </w:rPr>
            </w:pPr>
            <w:r>
              <w:rPr>
                <w:sz w:val="21"/>
                <w:szCs w:val="21"/>
                <w:lang w:val="en-GB"/>
              </w:rPr>
              <w:t>100</w:t>
            </w:r>
          </w:p>
        </w:tc>
        <w:tc>
          <w:tcPr>
            <w:tcW w:w="631" w:type="dxa"/>
            <w:vAlign w:val="center"/>
          </w:tcPr>
          <w:p w:rsidR="00240BCE" w:rsidRDefault="00AC0334">
            <w:pPr>
              <w:spacing w:line="340" w:lineRule="exact"/>
              <w:jc w:val="center"/>
              <w:rPr>
                <w:sz w:val="21"/>
                <w:szCs w:val="21"/>
                <w:lang w:val="en-GB"/>
              </w:rPr>
            </w:pPr>
            <w:r>
              <w:rPr>
                <w:sz w:val="21"/>
                <w:szCs w:val="21"/>
                <w:lang w:val="en-GB"/>
              </w:rPr>
              <w:t>100</w:t>
            </w:r>
          </w:p>
        </w:tc>
        <w:tc>
          <w:tcPr>
            <w:tcW w:w="631" w:type="dxa"/>
            <w:vAlign w:val="center"/>
          </w:tcPr>
          <w:p w:rsidR="00240BCE" w:rsidRDefault="00AC0334">
            <w:pPr>
              <w:spacing w:line="340" w:lineRule="exact"/>
              <w:jc w:val="center"/>
              <w:rPr>
                <w:sz w:val="21"/>
                <w:szCs w:val="21"/>
                <w:lang w:val="en-GB"/>
              </w:rPr>
            </w:pPr>
            <w:r>
              <w:rPr>
                <w:sz w:val="21"/>
                <w:szCs w:val="21"/>
                <w:lang w:val="en-GB"/>
              </w:rPr>
              <w:t>5</w:t>
            </w:r>
          </w:p>
        </w:tc>
        <w:tc>
          <w:tcPr>
            <w:tcW w:w="631" w:type="dxa"/>
            <w:vAlign w:val="center"/>
          </w:tcPr>
          <w:p w:rsidR="00240BCE" w:rsidRDefault="00AC0334">
            <w:pPr>
              <w:spacing w:line="340" w:lineRule="exact"/>
              <w:jc w:val="center"/>
              <w:rPr>
                <w:sz w:val="21"/>
                <w:szCs w:val="21"/>
                <w:lang w:val="en-GB"/>
              </w:rPr>
            </w:pPr>
            <w:r>
              <w:rPr>
                <w:sz w:val="21"/>
                <w:szCs w:val="21"/>
                <w:lang w:val="en-GB"/>
              </w:rPr>
              <w:t>1</w:t>
            </w:r>
          </w:p>
        </w:tc>
        <w:tc>
          <w:tcPr>
            <w:tcW w:w="631" w:type="dxa"/>
            <w:vAlign w:val="center"/>
          </w:tcPr>
          <w:p w:rsidR="00240BCE" w:rsidRDefault="00AC0334">
            <w:pPr>
              <w:spacing w:line="340" w:lineRule="exact"/>
              <w:jc w:val="center"/>
              <w:rPr>
                <w:sz w:val="21"/>
                <w:szCs w:val="21"/>
                <w:lang w:val="en-GB"/>
              </w:rPr>
            </w:pPr>
            <w:r>
              <w:rPr>
                <w:sz w:val="21"/>
                <w:szCs w:val="21"/>
                <w:lang w:val="en-GB"/>
              </w:rPr>
              <w:t>5</w:t>
            </w:r>
          </w:p>
        </w:tc>
        <w:tc>
          <w:tcPr>
            <w:tcW w:w="732" w:type="dxa"/>
            <w:vAlign w:val="center"/>
          </w:tcPr>
          <w:p w:rsidR="00240BCE" w:rsidRDefault="00AC0334">
            <w:pPr>
              <w:spacing w:line="340" w:lineRule="exact"/>
              <w:jc w:val="center"/>
              <w:rPr>
                <w:sz w:val="21"/>
                <w:szCs w:val="21"/>
                <w:lang w:val="en-GB"/>
              </w:rPr>
            </w:pPr>
            <w:r>
              <w:rPr>
                <w:sz w:val="21"/>
                <w:szCs w:val="21"/>
                <w:lang w:val="en-GB"/>
              </w:rPr>
              <w:t>5</w:t>
            </w:r>
          </w:p>
        </w:tc>
        <w:tc>
          <w:tcPr>
            <w:tcW w:w="530" w:type="dxa"/>
            <w:vAlign w:val="center"/>
          </w:tcPr>
          <w:p w:rsidR="00240BCE" w:rsidRDefault="00AC0334">
            <w:pPr>
              <w:spacing w:line="340" w:lineRule="exact"/>
              <w:jc w:val="center"/>
              <w:rPr>
                <w:sz w:val="21"/>
                <w:szCs w:val="21"/>
                <w:lang w:val="en-GB"/>
              </w:rPr>
            </w:pPr>
            <w:r>
              <w:rPr>
                <w:sz w:val="21"/>
                <w:szCs w:val="21"/>
                <w:lang w:val="en-GB"/>
              </w:rPr>
              <w:t>15</w:t>
            </w:r>
          </w:p>
        </w:tc>
        <w:tc>
          <w:tcPr>
            <w:tcW w:w="631" w:type="dxa"/>
            <w:vAlign w:val="center"/>
          </w:tcPr>
          <w:p w:rsidR="00240BCE" w:rsidRDefault="00AC0334">
            <w:pPr>
              <w:spacing w:line="340" w:lineRule="exact"/>
              <w:jc w:val="center"/>
              <w:rPr>
                <w:sz w:val="21"/>
                <w:szCs w:val="21"/>
                <w:lang w:val="en-GB"/>
              </w:rPr>
            </w:pPr>
            <w:r>
              <w:rPr>
                <w:sz w:val="21"/>
                <w:szCs w:val="21"/>
                <w:lang w:val="en-GB"/>
              </w:rPr>
              <w:t>5</w:t>
            </w:r>
          </w:p>
        </w:tc>
        <w:tc>
          <w:tcPr>
            <w:tcW w:w="631" w:type="dxa"/>
            <w:vAlign w:val="center"/>
          </w:tcPr>
          <w:p w:rsidR="00240BCE" w:rsidRDefault="00AC0334">
            <w:pPr>
              <w:spacing w:line="340" w:lineRule="exact"/>
              <w:jc w:val="center"/>
              <w:rPr>
                <w:sz w:val="21"/>
                <w:szCs w:val="21"/>
                <w:lang w:val="en-GB"/>
              </w:rPr>
            </w:pPr>
            <w:r>
              <w:rPr>
                <w:sz w:val="21"/>
                <w:szCs w:val="21"/>
                <w:lang w:val="en-GB"/>
              </w:rPr>
              <w:t>5</w:t>
            </w:r>
          </w:p>
        </w:tc>
        <w:tc>
          <w:tcPr>
            <w:tcW w:w="631" w:type="dxa"/>
            <w:vAlign w:val="center"/>
          </w:tcPr>
          <w:p w:rsidR="00240BCE" w:rsidRDefault="00AC0334">
            <w:pPr>
              <w:spacing w:line="340" w:lineRule="exact"/>
              <w:jc w:val="center"/>
              <w:rPr>
                <w:sz w:val="21"/>
                <w:szCs w:val="21"/>
                <w:lang w:val="en-GB"/>
              </w:rPr>
            </w:pPr>
            <w:r>
              <w:rPr>
                <w:sz w:val="21"/>
                <w:szCs w:val="21"/>
                <w:lang w:val="en-GB"/>
              </w:rPr>
              <w:t>100</w:t>
            </w:r>
          </w:p>
        </w:tc>
        <w:tc>
          <w:tcPr>
            <w:tcW w:w="632" w:type="dxa"/>
            <w:vAlign w:val="center"/>
          </w:tcPr>
          <w:p w:rsidR="00240BCE" w:rsidRDefault="00AC0334">
            <w:pPr>
              <w:spacing w:line="340" w:lineRule="exact"/>
              <w:jc w:val="center"/>
              <w:rPr>
                <w:sz w:val="21"/>
                <w:szCs w:val="21"/>
                <w:lang w:val="en-GB"/>
              </w:rPr>
            </w:pPr>
            <w:r>
              <w:rPr>
                <w:sz w:val="21"/>
                <w:szCs w:val="21"/>
                <w:lang w:val="en-GB"/>
              </w:rPr>
              <w:t>/</w:t>
            </w:r>
          </w:p>
        </w:tc>
      </w:tr>
      <w:tr w:rsidR="00240BCE">
        <w:trPr>
          <w:trHeight w:val="160"/>
          <w:jc w:val="center"/>
        </w:trPr>
        <w:tc>
          <w:tcPr>
            <w:tcW w:w="1380" w:type="dxa"/>
            <w:vAlign w:val="center"/>
          </w:tcPr>
          <w:p w:rsidR="00240BCE" w:rsidRDefault="00AC0334">
            <w:pPr>
              <w:spacing w:line="340" w:lineRule="exact"/>
              <w:jc w:val="center"/>
              <w:rPr>
                <w:sz w:val="21"/>
                <w:szCs w:val="21"/>
                <w:lang w:val="en-GB"/>
              </w:rPr>
            </w:pPr>
            <w:r>
              <w:rPr>
                <w:sz w:val="21"/>
                <w:szCs w:val="21"/>
              </w:rPr>
              <w:t>GB8978-1996</w:t>
            </w:r>
            <w:r>
              <w:rPr>
                <w:sz w:val="21"/>
                <w:szCs w:val="21"/>
              </w:rPr>
              <w:t>最高允许浓度</w:t>
            </w:r>
          </w:p>
        </w:tc>
        <w:tc>
          <w:tcPr>
            <w:tcW w:w="735" w:type="dxa"/>
            <w:vAlign w:val="center"/>
          </w:tcPr>
          <w:p w:rsidR="00240BCE" w:rsidRDefault="00AC0334">
            <w:pPr>
              <w:spacing w:line="340" w:lineRule="exact"/>
              <w:jc w:val="center"/>
              <w:rPr>
                <w:sz w:val="21"/>
                <w:szCs w:val="21"/>
              </w:rPr>
            </w:pPr>
            <w:r>
              <w:rPr>
                <w:sz w:val="21"/>
                <w:szCs w:val="21"/>
              </w:rPr>
              <w:t>0.05</w:t>
            </w:r>
          </w:p>
        </w:tc>
        <w:tc>
          <w:tcPr>
            <w:tcW w:w="527" w:type="dxa"/>
            <w:vAlign w:val="center"/>
          </w:tcPr>
          <w:p w:rsidR="00240BCE" w:rsidRDefault="00AC0334">
            <w:pPr>
              <w:spacing w:line="340" w:lineRule="exact"/>
              <w:jc w:val="center"/>
              <w:rPr>
                <w:sz w:val="21"/>
                <w:szCs w:val="21"/>
              </w:rPr>
            </w:pPr>
            <w:r>
              <w:rPr>
                <w:sz w:val="21"/>
                <w:szCs w:val="21"/>
              </w:rPr>
              <w:t>0.5</w:t>
            </w:r>
          </w:p>
        </w:tc>
        <w:tc>
          <w:tcPr>
            <w:tcW w:w="631" w:type="dxa"/>
            <w:vAlign w:val="center"/>
          </w:tcPr>
          <w:p w:rsidR="00240BCE" w:rsidRDefault="00AC0334">
            <w:pPr>
              <w:spacing w:line="340" w:lineRule="exact"/>
              <w:jc w:val="center"/>
              <w:rPr>
                <w:sz w:val="21"/>
                <w:szCs w:val="21"/>
              </w:rPr>
            </w:pPr>
            <w:r>
              <w:rPr>
                <w:sz w:val="21"/>
                <w:szCs w:val="21"/>
              </w:rPr>
              <w:t>2.0</w:t>
            </w:r>
          </w:p>
        </w:tc>
        <w:tc>
          <w:tcPr>
            <w:tcW w:w="631" w:type="dxa"/>
            <w:vAlign w:val="center"/>
          </w:tcPr>
          <w:p w:rsidR="00240BCE" w:rsidRDefault="00AC0334">
            <w:pPr>
              <w:spacing w:line="340" w:lineRule="exact"/>
              <w:jc w:val="center"/>
              <w:rPr>
                <w:sz w:val="21"/>
                <w:szCs w:val="21"/>
              </w:rPr>
            </w:pPr>
            <w:r>
              <w:rPr>
                <w:sz w:val="21"/>
                <w:szCs w:val="21"/>
              </w:rPr>
              <w:t>1.0</w:t>
            </w:r>
          </w:p>
        </w:tc>
        <w:tc>
          <w:tcPr>
            <w:tcW w:w="631" w:type="dxa"/>
            <w:vAlign w:val="center"/>
          </w:tcPr>
          <w:p w:rsidR="00240BCE" w:rsidRDefault="00AC0334">
            <w:pPr>
              <w:spacing w:line="340" w:lineRule="exact"/>
              <w:jc w:val="center"/>
              <w:rPr>
                <w:sz w:val="21"/>
                <w:szCs w:val="21"/>
              </w:rPr>
            </w:pPr>
            <w:r>
              <w:rPr>
                <w:sz w:val="21"/>
                <w:szCs w:val="21"/>
              </w:rPr>
              <w:t>0.1</w:t>
            </w:r>
          </w:p>
        </w:tc>
        <w:tc>
          <w:tcPr>
            <w:tcW w:w="631" w:type="dxa"/>
            <w:vAlign w:val="center"/>
          </w:tcPr>
          <w:p w:rsidR="00240BCE" w:rsidRDefault="00AC0334">
            <w:pPr>
              <w:spacing w:line="340" w:lineRule="exact"/>
              <w:jc w:val="center"/>
              <w:rPr>
                <w:sz w:val="21"/>
                <w:szCs w:val="21"/>
              </w:rPr>
            </w:pPr>
            <w:r>
              <w:rPr>
                <w:sz w:val="21"/>
                <w:szCs w:val="21"/>
              </w:rPr>
              <w:t>1.0</w:t>
            </w:r>
          </w:p>
        </w:tc>
        <w:tc>
          <w:tcPr>
            <w:tcW w:w="732" w:type="dxa"/>
            <w:vAlign w:val="center"/>
          </w:tcPr>
          <w:p w:rsidR="00240BCE" w:rsidRDefault="00AC0334">
            <w:pPr>
              <w:spacing w:line="340" w:lineRule="exact"/>
              <w:jc w:val="center"/>
              <w:rPr>
                <w:sz w:val="21"/>
                <w:szCs w:val="21"/>
              </w:rPr>
            </w:pPr>
            <w:r>
              <w:rPr>
                <w:sz w:val="21"/>
                <w:szCs w:val="21"/>
              </w:rPr>
              <w:t>0.5</w:t>
            </w:r>
          </w:p>
        </w:tc>
        <w:tc>
          <w:tcPr>
            <w:tcW w:w="530" w:type="dxa"/>
            <w:vAlign w:val="center"/>
          </w:tcPr>
          <w:p w:rsidR="00240BCE" w:rsidRDefault="00AC0334">
            <w:pPr>
              <w:spacing w:line="340" w:lineRule="exact"/>
              <w:jc w:val="center"/>
              <w:rPr>
                <w:sz w:val="21"/>
                <w:szCs w:val="21"/>
              </w:rPr>
            </w:pPr>
            <w:r>
              <w:rPr>
                <w:sz w:val="21"/>
                <w:szCs w:val="21"/>
              </w:rPr>
              <w:t>1.5</w:t>
            </w:r>
          </w:p>
        </w:tc>
        <w:tc>
          <w:tcPr>
            <w:tcW w:w="631" w:type="dxa"/>
            <w:vAlign w:val="center"/>
          </w:tcPr>
          <w:p w:rsidR="00240BCE" w:rsidRDefault="00AC0334">
            <w:pPr>
              <w:spacing w:line="340" w:lineRule="exact"/>
              <w:jc w:val="center"/>
              <w:rPr>
                <w:sz w:val="21"/>
                <w:szCs w:val="21"/>
              </w:rPr>
            </w:pPr>
            <w:r>
              <w:rPr>
                <w:sz w:val="21"/>
                <w:szCs w:val="21"/>
              </w:rPr>
              <w:t>0.5</w:t>
            </w:r>
          </w:p>
        </w:tc>
        <w:tc>
          <w:tcPr>
            <w:tcW w:w="631" w:type="dxa"/>
            <w:vAlign w:val="center"/>
          </w:tcPr>
          <w:p w:rsidR="00240BCE" w:rsidRDefault="00AC0334">
            <w:pPr>
              <w:spacing w:line="340" w:lineRule="exact"/>
              <w:jc w:val="center"/>
              <w:rPr>
                <w:sz w:val="21"/>
                <w:szCs w:val="21"/>
              </w:rPr>
            </w:pPr>
            <w:r>
              <w:rPr>
                <w:sz w:val="21"/>
                <w:szCs w:val="21"/>
              </w:rPr>
              <w:t>0.5</w:t>
            </w:r>
          </w:p>
        </w:tc>
        <w:tc>
          <w:tcPr>
            <w:tcW w:w="631" w:type="dxa"/>
            <w:vAlign w:val="center"/>
          </w:tcPr>
          <w:p w:rsidR="00240BCE" w:rsidRDefault="00AC0334">
            <w:pPr>
              <w:spacing w:line="340" w:lineRule="exact"/>
              <w:jc w:val="center"/>
              <w:rPr>
                <w:sz w:val="21"/>
                <w:szCs w:val="21"/>
                <w:lang w:val="en-GB"/>
              </w:rPr>
            </w:pPr>
            <w:r>
              <w:rPr>
                <w:sz w:val="21"/>
                <w:szCs w:val="21"/>
                <w:lang w:val="en-GB"/>
              </w:rPr>
              <w:t>10</w:t>
            </w:r>
          </w:p>
        </w:tc>
        <w:tc>
          <w:tcPr>
            <w:tcW w:w="632" w:type="dxa"/>
            <w:vAlign w:val="center"/>
          </w:tcPr>
          <w:p w:rsidR="00240BCE" w:rsidRDefault="00AC0334">
            <w:pPr>
              <w:spacing w:line="340" w:lineRule="exact"/>
              <w:jc w:val="center"/>
              <w:rPr>
                <w:sz w:val="21"/>
                <w:szCs w:val="21"/>
                <w:lang w:val="en-GB"/>
              </w:rPr>
            </w:pPr>
            <w:r>
              <w:rPr>
                <w:sz w:val="21"/>
                <w:szCs w:val="21"/>
                <w:lang w:val="en-GB"/>
              </w:rPr>
              <w:t>6</w:t>
            </w:r>
            <w:r>
              <w:rPr>
                <w:sz w:val="21"/>
                <w:szCs w:val="21"/>
                <w:lang w:val="en-GB"/>
              </w:rPr>
              <w:t>～</w:t>
            </w:r>
            <w:r>
              <w:rPr>
                <w:sz w:val="21"/>
                <w:szCs w:val="21"/>
                <w:lang w:val="en-GB"/>
              </w:rPr>
              <w:t>9</w:t>
            </w:r>
          </w:p>
        </w:tc>
      </w:tr>
    </w:tbl>
    <w:p w:rsidR="00240BCE" w:rsidRDefault="00AC0334">
      <w:pPr>
        <w:spacing w:line="520" w:lineRule="exact"/>
        <w:ind w:firstLineChars="200" w:firstLine="480"/>
        <w:rPr>
          <w:sz w:val="24"/>
        </w:rPr>
      </w:pPr>
      <w:r>
        <w:rPr>
          <w:sz w:val="24"/>
        </w:rPr>
        <w:t xml:space="preserve">② </w:t>
      </w:r>
      <w:r>
        <w:rPr>
          <w:sz w:val="24"/>
        </w:rPr>
        <w:t>生活垃圾</w:t>
      </w:r>
    </w:p>
    <w:p w:rsidR="00077E83" w:rsidRDefault="00AC0334" w:rsidP="00077E83">
      <w:pPr>
        <w:spacing w:line="520" w:lineRule="exact"/>
        <w:ind w:firstLineChars="200" w:firstLine="480"/>
        <w:rPr>
          <w:sz w:val="24"/>
        </w:rPr>
      </w:pPr>
      <w:r>
        <w:rPr>
          <w:sz w:val="24"/>
        </w:rPr>
        <w:t>生活垃圾主要由工业场地的联合建筑、食堂、单身公寓等部门排放。生活垃圾产生量约</w:t>
      </w:r>
      <w:r w:rsidR="00362048">
        <w:rPr>
          <w:rFonts w:hint="eastAsia"/>
          <w:sz w:val="24"/>
        </w:rPr>
        <w:t>9</w:t>
      </w:r>
      <w:r>
        <w:rPr>
          <w:sz w:val="24"/>
        </w:rPr>
        <w:t>9t/a</w:t>
      </w:r>
      <w:r>
        <w:rPr>
          <w:sz w:val="24"/>
        </w:rPr>
        <w:t>，生活垃圾定期运至鸠山镇垃圾中转站处理。</w:t>
      </w:r>
    </w:p>
    <w:p w:rsidR="00077E83" w:rsidRPr="00077E83" w:rsidRDefault="00B95226" w:rsidP="00077E83">
      <w:pPr>
        <w:spacing w:line="520" w:lineRule="exact"/>
        <w:ind w:firstLineChars="200" w:firstLine="480"/>
        <w:rPr>
          <w:sz w:val="24"/>
        </w:rPr>
      </w:pPr>
      <w:r w:rsidRPr="00077E83">
        <w:rPr>
          <w:rFonts w:hint="eastAsia"/>
          <w:sz w:val="24"/>
        </w:rPr>
        <w:fldChar w:fldCharType="begin"/>
      </w:r>
      <w:r w:rsidR="00077E83" w:rsidRPr="00077E83">
        <w:rPr>
          <w:rFonts w:hint="eastAsia"/>
          <w:sz w:val="24"/>
        </w:rPr>
        <w:instrText xml:space="preserve"> = 3 \* GB3 \* MERGEFORMAT </w:instrText>
      </w:r>
      <w:r w:rsidRPr="00077E83">
        <w:rPr>
          <w:rFonts w:hint="eastAsia"/>
          <w:sz w:val="24"/>
        </w:rPr>
        <w:fldChar w:fldCharType="separate"/>
      </w:r>
      <w:r w:rsidR="00077E83" w:rsidRPr="00077E83">
        <w:rPr>
          <w:rFonts w:ascii="宋体" w:hAnsi="宋体" w:cs="宋体" w:hint="eastAsia"/>
          <w:sz w:val="24"/>
        </w:rPr>
        <w:t>③</w:t>
      </w:r>
      <w:r w:rsidRPr="00077E83">
        <w:rPr>
          <w:rFonts w:hint="eastAsia"/>
          <w:sz w:val="24"/>
        </w:rPr>
        <w:fldChar w:fldCharType="end"/>
      </w:r>
      <w:r w:rsidR="00077E83" w:rsidRPr="00077E83">
        <w:rPr>
          <w:rFonts w:hint="eastAsia"/>
          <w:sz w:val="24"/>
        </w:rPr>
        <w:t>机修车间废机油</w:t>
      </w:r>
    </w:p>
    <w:p w:rsidR="00077E83" w:rsidRDefault="00077E83" w:rsidP="00077E83">
      <w:pPr>
        <w:spacing w:line="520" w:lineRule="exact"/>
        <w:ind w:firstLineChars="200" w:firstLine="480"/>
        <w:rPr>
          <w:sz w:val="24"/>
        </w:rPr>
      </w:pPr>
      <w:r>
        <w:rPr>
          <w:rFonts w:hint="eastAsia"/>
          <w:sz w:val="24"/>
        </w:rPr>
        <w:t>根据现场调查及咨询企业，隆庆煤矿现有工程技改期间</w:t>
      </w:r>
      <w:r w:rsidRPr="00077E83">
        <w:rPr>
          <w:rFonts w:hint="eastAsia"/>
          <w:sz w:val="24"/>
        </w:rPr>
        <w:t>机修车间废机油产生量为</w:t>
      </w:r>
      <w:r>
        <w:rPr>
          <w:rFonts w:hint="eastAsia"/>
          <w:sz w:val="24"/>
        </w:rPr>
        <w:t>1.5</w:t>
      </w:r>
      <w:r w:rsidRPr="00077E83">
        <w:rPr>
          <w:rFonts w:hint="eastAsia"/>
          <w:sz w:val="24"/>
        </w:rPr>
        <w:t>t/a</w:t>
      </w:r>
      <w:r w:rsidRPr="00077E83">
        <w:rPr>
          <w:rFonts w:hint="eastAsia"/>
          <w:sz w:val="24"/>
        </w:rPr>
        <w:t>，废机油设桶装，暂存后由有危废处置资质的单位处置。但经现场查看，</w:t>
      </w:r>
      <w:r w:rsidRPr="00077E83">
        <w:rPr>
          <w:rFonts w:hint="eastAsia"/>
          <w:sz w:val="24"/>
        </w:rPr>
        <w:lastRenderedPageBreak/>
        <w:t>现有危废</w:t>
      </w:r>
      <w:r>
        <w:rPr>
          <w:rFonts w:hint="eastAsia"/>
          <w:sz w:val="24"/>
        </w:rPr>
        <w:t>只是暂存在一个库房内，</w:t>
      </w:r>
      <w:r w:rsidRPr="00077E83">
        <w:rPr>
          <w:rFonts w:hint="eastAsia"/>
          <w:sz w:val="24"/>
        </w:rPr>
        <w:t>暂存间未设双人双锁、地面未设防渗层等</w:t>
      </w:r>
      <w:r>
        <w:rPr>
          <w:rFonts w:hint="eastAsia"/>
          <w:sz w:val="24"/>
        </w:rPr>
        <w:t>。</w:t>
      </w:r>
    </w:p>
    <w:p w:rsidR="00077E83" w:rsidRPr="00077E83" w:rsidRDefault="00077E83" w:rsidP="00077E83">
      <w:pPr>
        <w:spacing w:line="520" w:lineRule="exact"/>
        <w:ind w:firstLineChars="200" w:firstLine="480"/>
      </w:pPr>
      <w:r w:rsidRPr="00077E83">
        <w:rPr>
          <w:rFonts w:hint="eastAsia"/>
          <w:sz w:val="24"/>
        </w:rPr>
        <w:t>由于环保要求的提高，</w:t>
      </w:r>
      <w:r>
        <w:rPr>
          <w:rFonts w:hint="eastAsia"/>
          <w:sz w:val="24"/>
        </w:rPr>
        <w:t>升级改造后，隆庆</w:t>
      </w:r>
      <w:r w:rsidRPr="00077E83">
        <w:rPr>
          <w:rFonts w:hint="eastAsia"/>
          <w:sz w:val="24"/>
        </w:rPr>
        <w:t>煤矿应按照《危险废物贮存污染控制标准</w:t>
      </w:r>
      <w:r w:rsidRPr="00077E83">
        <w:rPr>
          <w:rFonts w:hint="eastAsia"/>
          <w:sz w:val="24"/>
        </w:rPr>
        <w:t>(2013</w:t>
      </w:r>
      <w:r w:rsidRPr="00077E83">
        <w:rPr>
          <w:rFonts w:hint="eastAsia"/>
          <w:sz w:val="24"/>
        </w:rPr>
        <w:t>年修订</w:t>
      </w:r>
      <w:r w:rsidRPr="00077E83">
        <w:rPr>
          <w:rFonts w:hint="eastAsia"/>
          <w:sz w:val="24"/>
        </w:rPr>
        <w:t>)</w:t>
      </w:r>
      <w:r w:rsidRPr="00077E83">
        <w:rPr>
          <w:rFonts w:hint="eastAsia"/>
          <w:sz w:val="24"/>
        </w:rPr>
        <w:t>》和《</w:t>
      </w:r>
      <w:hyperlink r:id="rId15" w:history="1">
        <w:r w:rsidRPr="00077E83">
          <w:rPr>
            <w:rStyle w:val="aff2"/>
            <w:rFonts w:hint="eastAsia"/>
            <w:color w:val="auto"/>
            <w:sz w:val="24"/>
            <w:u w:val="none"/>
          </w:rPr>
          <w:t>危险废物收集</w:t>
        </w:r>
        <w:r w:rsidRPr="00077E83">
          <w:rPr>
            <w:rStyle w:val="aff2"/>
            <w:rFonts w:hint="eastAsia"/>
            <w:color w:val="auto"/>
            <w:sz w:val="24"/>
            <w:u w:val="none"/>
          </w:rPr>
          <w:t xml:space="preserve"> </w:t>
        </w:r>
        <w:r w:rsidRPr="00077E83">
          <w:rPr>
            <w:rStyle w:val="aff2"/>
            <w:rFonts w:hint="eastAsia"/>
            <w:color w:val="auto"/>
            <w:sz w:val="24"/>
            <w:u w:val="none"/>
          </w:rPr>
          <w:t>贮存</w:t>
        </w:r>
        <w:r w:rsidRPr="00077E83">
          <w:rPr>
            <w:rStyle w:val="aff2"/>
            <w:rFonts w:hint="eastAsia"/>
            <w:color w:val="auto"/>
            <w:sz w:val="24"/>
            <w:u w:val="none"/>
          </w:rPr>
          <w:t xml:space="preserve"> </w:t>
        </w:r>
        <w:r w:rsidRPr="00077E83">
          <w:rPr>
            <w:rStyle w:val="aff2"/>
            <w:rFonts w:hint="eastAsia"/>
            <w:color w:val="auto"/>
            <w:sz w:val="24"/>
            <w:u w:val="none"/>
          </w:rPr>
          <w:t>运输技术规范</w:t>
        </w:r>
        <w:r w:rsidRPr="00077E83">
          <w:rPr>
            <w:rStyle w:val="aff2"/>
            <w:rFonts w:hint="eastAsia"/>
            <w:color w:val="auto"/>
            <w:sz w:val="24"/>
            <w:u w:val="none"/>
          </w:rPr>
          <w:t>(HJ 2025-2012)</w:t>
        </w:r>
      </w:hyperlink>
      <w:r w:rsidRPr="00077E83">
        <w:rPr>
          <w:rFonts w:hint="eastAsia"/>
          <w:sz w:val="24"/>
        </w:rPr>
        <w:t>》，</w:t>
      </w:r>
      <w:r>
        <w:rPr>
          <w:rFonts w:hint="eastAsia"/>
          <w:sz w:val="24"/>
        </w:rPr>
        <w:t>设置危废暂存间，</w:t>
      </w:r>
      <w:r w:rsidRPr="00077E83">
        <w:rPr>
          <w:rFonts w:hint="eastAsia"/>
          <w:sz w:val="24"/>
        </w:rPr>
        <w:t>危废暂存间存放废矿物油、废油桶等危废。危废暂存间做到“三防”，即地面硬化，设</w:t>
      </w:r>
      <w:r w:rsidRPr="00077E83">
        <w:rPr>
          <w:rFonts w:hint="eastAsia"/>
          <w:sz w:val="24"/>
        </w:rPr>
        <w:t>2mm</w:t>
      </w:r>
      <w:r w:rsidRPr="00077E83">
        <w:rPr>
          <w:rFonts w:hint="eastAsia"/>
          <w:sz w:val="24"/>
        </w:rPr>
        <w:t>厚环氧树脂防渗层，暂存间内设溢流槽、收集坑等导排设施，暂存间门口设围堰，有危险废物贮存场所标识、危险废物警示标示、危险废物应急预案等标识，采用双人双锁、五联单管理制度。</w:t>
      </w:r>
    </w:p>
    <w:p w:rsidR="00240BCE" w:rsidRDefault="00AC0334">
      <w:pPr>
        <w:spacing w:line="520" w:lineRule="exact"/>
        <w:rPr>
          <w:sz w:val="24"/>
        </w:rPr>
      </w:pPr>
      <w:r>
        <w:rPr>
          <w:sz w:val="24"/>
        </w:rPr>
        <w:t>3.1.5.5</w:t>
      </w:r>
      <w:r>
        <w:rPr>
          <w:sz w:val="24"/>
        </w:rPr>
        <w:t>升级改造前现有工程地表沉陷及生态保护措施</w:t>
      </w:r>
    </w:p>
    <w:p w:rsidR="00845BD9" w:rsidRDefault="00AC0334">
      <w:pPr>
        <w:adjustRightInd w:val="0"/>
        <w:snapToGrid w:val="0"/>
        <w:spacing w:line="520" w:lineRule="exact"/>
        <w:ind w:firstLineChars="200" w:firstLine="480"/>
        <w:rPr>
          <w:color w:val="000000"/>
          <w:sz w:val="24"/>
          <w:szCs w:val="20"/>
        </w:rPr>
      </w:pPr>
      <w:r>
        <w:rPr>
          <w:color w:val="000000"/>
          <w:sz w:val="24"/>
          <w:szCs w:val="20"/>
        </w:rPr>
        <w:t>升级改造前，隆庆煤矿全矿井共划分</w:t>
      </w:r>
      <w:r>
        <w:rPr>
          <w:color w:val="000000"/>
          <w:sz w:val="24"/>
          <w:szCs w:val="20"/>
        </w:rPr>
        <w:t>2</w:t>
      </w:r>
      <w:r>
        <w:rPr>
          <w:color w:val="000000"/>
          <w:sz w:val="24"/>
          <w:szCs w:val="20"/>
        </w:rPr>
        <w:t>个采区，</w:t>
      </w:r>
      <w:r>
        <w:rPr>
          <w:color w:val="000000"/>
          <w:sz w:val="24"/>
          <w:szCs w:val="20"/>
        </w:rPr>
        <w:t xml:space="preserve"> -100m</w:t>
      </w:r>
      <w:r>
        <w:rPr>
          <w:color w:val="000000"/>
          <w:sz w:val="24"/>
          <w:szCs w:val="20"/>
        </w:rPr>
        <w:t>水平以浅为</w:t>
      </w:r>
      <w:r>
        <w:rPr>
          <w:color w:val="000000"/>
          <w:sz w:val="24"/>
          <w:szCs w:val="20"/>
        </w:rPr>
        <w:t>21</w:t>
      </w:r>
      <w:r>
        <w:rPr>
          <w:color w:val="000000"/>
          <w:sz w:val="24"/>
          <w:szCs w:val="20"/>
        </w:rPr>
        <w:t>采区，</w:t>
      </w:r>
      <w:r>
        <w:rPr>
          <w:color w:val="000000"/>
          <w:sz w:val="24"/>
          <w:szCs w:val="20"/>
        </w:rPr>
        <w:t>-100m</w:t>
      </w:r>
      <w:r>
        <w:rPr>
          <w:color w:val="000000"/>
          <w:sz w:val="24"/>
          <w:szCs w:val="20"/>
        </w:rPr>
        <w:t>水平以深为</w:t>
      </w:r>
      <w:r>
        <w:rPr>
          <w:color w:val="000000"/>
          <w:sz w:val="24"/>
          <w:szCs w:val="20"/>
        </w:rPr>
        <w:t>22</w:t>
      </w:r>
      <w:r>
        <w:rPr>
          <w:color w:val="000000"/>
          <w:sz w:val="24"/>
          <w:szCs w:val="20"/>
        </w:rPr>
        <w:t>采区，先</w:t>
      </w:r>
      <w:r>
        <w:rPr>
          <w:color w:val="000000"/>
          <w:sz w:val="24"/>
          <w:szCs w:val="20"/>
        </w:rPr>
        <w:t>21</w:t>
      </w:r>
      <w:r>
        <w:rPr>
          <w:color w:val="000000"/>
          <w:sz w:val="24"/>
          <w:szCs w:val="20"/>
        </w:rPr>
        <w:t>采区，后</w:t>
      </w:r>
      <w:r>
        <w:rPr>
          <w:color w:val="000000"/>
          <w:sz w:val="24"/>
          <w:szCs w:val="20"/>
        </w:rPr>
        <w:t>22</w:t>
      </w:r>
      <w:r>
        <w:rPr>
          <w:color w:val="000000"/>
          <w:sz w:val="24"/>
          <w:szCs w:val="20"/>
        </w:rPr>
        <w:t>采区。目前井下已开采的采区为</w:t>
      </w:r>
      <w:r>
        <w:rPr>
          <w:color w:val="000000"/>
          <w:sz w:val="24"/>
          <w:szCs w:val="20"/>
        </w:rPr>
        <w:t>21</w:t>
      </w:r>
      <w:r>
        <w:rPr>
          <w:color w:val="000000"/>
          <w:sz w:val="24"/>
          <w:szCs w:val="20"/>
        </w:rPr>
        <w:t>采区，</w:t>
      </w:r>
      <w:r w:rsidRPr="006E2C96">
        <w:rPr>
          <w:b/>
          <w:i/>
          <w:color w:val="000000"/>
          <w:sz w:val="24"/>
          <w:szCs w:val="20"/>
          <w:u w:val="single"/>
        </w:rPr>
        <w:t>根据现场调查，目前升级改造前隆庆煤矿开采区域较小，开采形成的采空区的面积约</w:t>
      </w:r>
      <w:r w:rsidRPr="006E2C96">
        <w:rPr>
          <w:b/>
          <w:i/>
          <w:color w:val="000000"/>
          <w:sz w:val="24"/>
          <w:szCs w:val="20"/>
          <w:u w:val="single"/>
        </w:rPr>
        <w:t>0.15km</w:t>
      </w:r>
      <w:r w:rsidRPr="006E2C96">
        <w:rPr>
          <w:b/>
          <w:i/>
          <w:color w:val="000000"/>
          <w:sz w:val="24"/>
          <w:szCs w:val="20"/>
          <w:u w:val="single"/>
          <w:vertAlign w:val="superscript"/>
        </w:rPr>
        <w:t>2</w:t>
      </w:r>
      <w:r w:rsidRPr="006E2C96">
        <w:rPr>
          <w:b/>
          <w:i/>
          <w:color w:val="000000"/>
          <w:sz w:val="24"/>
          <w:szCs w:val="20"/>
          <w:u w:val="single"/>
        </w:rPr>
        <w:t>，地表沉陷面积约为</w:t>
      </w:r>
      <w:r w:rsidRPr="006E2C96">
        <w:rPr>
          <w:b/>
          <w:i/>
          <w:color w:val="000000"/>
          <w:sz w:val="24"/>
          <w:szCs w:val="20"/>
          <w:u w:val="single"/>
        </w:rPr>
        <w:t>0.30km</w:t>
      </w:r>
      <w:r w:rsidRPr="006E2C96">
        <w:rPr>
          <w:b/>
          <w:i/>
          <w:color w:val="000000"/>
          <w:sz w:val="24"/>
          <w:szCs w:val="20"/>
          <w:u w:val="single"/>
          <w:vertAlign w:val="superscript"/>
        </w:rPr>
        <w:t>2</w:t>
      </w:r>
      <w:r w:rsidRPr="006E2C96">
        <w:rPr>
          <w:b/>
          <w:i/>
          <w:color w:val="000000"/>
          <w:sz w:val="24"/>
          <w:szCs w:val="20"/>
          <w:u w:val="single"/>
        </w:rPr>
        <w:t>，沉陷深度为</w:t>
      </w:r>
      <w:r w:rsidRPr="006E2C96">
        <w:rPr>
          <w:b/>
          <w:i/>
          <w:color w:val="000000"/>
          <w:sz w:val="24"/>
          <w:szCs w:val="20"/>
          <w:u w:val="single"/>
        </w:rPr>
        <w:t>0.1m</w:t>
      </w:r>
      <w:r w:rsidRPr="006E2C96">
        <w:rPr>
          <w:b/>
          <w:i/>
          <w:color w:val="000000"/>
          <w:sz w:val="24"/>
          <w:szCs w:val="20"/>
          <w:u w:val="single"/>
        </w:rPr>
        <w:t>～</w:t>
      </w:r>
      <w:r w:rsidRPr="006E2C96">
        <w:rPr>
          <w:b/>
          <w:i/>
          <w:color w:val="000000"/>
          <w:sz w:val="24"/>
          <w:szCs w:val="20"/>
          <w:u w:val="single"/>
        </w:rPr>
        <w:t>0.5m</w:t>
      </w:r>
      <w:r w:rsidRPr="006E2C96">
        <w:rPr>
          <w:b/>
          <w:i/>
          <w:color w:val="000000"/>
          <w:sz w:val="24"/>
          <w:szCs w:val="20"/>
          <w:u w:val="single"/>
        </w:rPr>
        <w:t>，沉陷区域主要为耕地、果园等，</w:t>
      </w:r>
      <w:r w:rsidR="00845BD9" w:rsidRPr="006E2C96">
        <w:rPr>
          <w:rFonts w:hint="eastAsia"/>
          <w:b/>
          <w:i/>
          <w:color w:val="000000"/>
          <w:sz w:val="24"/>
          <w:szCs w:val="20"/>
          <w:u w:val="single"/>
        </w:rPr>
        <w:t>不涉及村庄及村庄搬迁等。</w:t>
      </w:r>
    </w:p>
    <w:p w:rsidR="00240BCE" w:rsidRDefault="00AC0334">
      <w:pPr>
        <w:adjustRightInd w:val="0"/>
        <w:snapToGrid w:val="0"/>
        <w:spacing w:line="520" w:lineRule="exact"/>
        <w:ind w:firstLineChars="200" w:firstLine="480"/>
        <w:rPr>
          <w:color w:val="000000"/>
          <w:sz w:val="24"/>
          <w:szCs w:val="20"/>
        </w:rPr>
      </w:pPr>
      <w:r>
        <w:rPr>
          <w:color w:val="000000"/>
          <w:sz w:val="24"/>
          <w:szCs w:val="20"/>
        </w:rPr>
        <w:t>根据现场调查，由于项目地处浅山丘陵区，井下开采引起的地表沉陷不明显，不影响耕种和植被的生长。</w:t>
      </w:r>
    </w:p>
    <w:p w:rsidR="0048394D" w:rsidRDefault="0048394D">
      <w:pPr>
        <w:widowControl/>
        <w:jc w:val="left"/>
        <w:rPr>
          <w:rFonts w:eastAsia="楷体"/>
          <w:b/>
          <w:bCs/>
          <w:szCs w:val="28"/>
        </w:rPr>
      </w:pPr>
      <w:bookmarkStart w:id="233" w:name="_Toc79668622"/>
      <w:r>
        <w:rPr>
          <w:rFonts w:eastAsia="楷体"/>
          <w:szCs w:val="28"/>
        </w:rPr>
        <w:br w:type="page"/>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r>
        <w:rPr>
          <w:rFonts w:eastAsia="楷体"/>
          <w:sz w:val="28"/>
          <w:szCs w:val="28"/>
        </w:rPr>
        <w:lastRenderedPageBreak/>
        <w:t xml:space="preserve">3.1.6 </w:t>
      </w:r>
      <w:r>
        <w:rPr>
          <w:rFonts w:eastAsia="楷体"/>
          <w:sz w:val="28"/>
          <w:szCs w:val="28"/>
        </w:rPr>
        <w:t>现有工程污染物排放情况</w:t>
      </w:r>
      <w:bookmarkEnd w:id="233"/>
    </w:p>
    <w:p w:rsidR="00240BCE" w:rsidRDefault="00AC0334">
      <w:pPr>
        <w:adjustRightInd w:val="0"/>
        <w:snapToGrid w:val="0"/>
        <w:spacing w:line="520" w:lineRule="exact"/>
        <w:ind w:firstLineChars="200" w:firstLine="480"/>
        <w:rPr>
          <w:color w:val="000000"/>
          <w:sz w:val="24"/>
          <w:szCs w:val="20"/>
        </w:rPr>
      </w:pPr>
      <w:r>
        <w:rPr>
          <w:color w:val="000000"/>
          <w:sz w:val="24"/>
          <w:szCs w:val="20"/>
        </w:rPr>
        <w:t>隆庆煤矿现有工程污染源排放状况见表</w:t>
      </w:r>
      <w:r>
        <w:rPr>
          <w:color w:val="000000"/>
          <w:sz w:val="24"/>
          <w:szCs w:val="20"/>
        </w:rPr>
        <w:t xml:space="preserve"> 3.1-</w:t>
      </w:r>
      <w:r w:rsidR="006E2C96">
        <w:rPr>
          <w:rFonts w:hint="eastAsia"/>
          <w:color w:val="000000"/>
          <w:sz w:val="24"/>
          <w:szCs w:val="20"/>
        </w:rPr>
        <w:t>10</w:t>
      </w:r>
      <w:r>
        <w:rPr>
          <w:color w:val="000000"/>
          <w:sz w:val="24"/>
          <w:szCs w:val="20"/>
        </w:rPr>
        <w:t>。</w:t>
      </w:r>
    </w:p>
    <w:p w:rsidR="00240BCE" w:rsidRDefault="00AC0334">
      <w:pPr>
        <w:spacing w:line="520" w:lineRule="exact"/>
        <w:jc w:val="center"/>
        <w:rPr>
          <w:b/>
          <w:bCs/>
          <w:sz w:val="24"/>
        </w:rPr>
      </w:pPr>
      <w:r>
        <w:rPr>
          <w:b/>
          <w:bCs/>
          <w:sz w:val="24"/>
        </w:rPr>
        <w:t>表</w:t>
      </w:r>
      <w:r>
        <w:rPr>
          <w:b/>
          <w:bCs/>
          <w:sz w:val="24"/>
        </w:rPr>
        <w:t>3.1-</w:t>
      </w:r>
      <w:r w:rsidR="006E2C96">
        <w:rPr>
          <w:rFonts w:hint="eastAsia"/>
          <w:b/>
          <w:bCs/>
          <w:sz w:val="24"/>
        </w:rPr>
        <w:t>10</w:t>
      </w:r>
      <w:r>
        <w:rPr>
          <w:b/>
          <w:bCs/>
          <w:sz w:val="24"/>
        </w:rPr>
        <w:t xml:space="preserve">  </w:t>
      </w:r>
      <w:r>
        <w:rPr>
          <w:b/>
          <w:bCs/>
          <w:sz w:val="24"/>
        </w:rPr>
        <w:t>现有工程污染源排放状况表</w:t>
      </w:r>
    </w:p>
    <w:tbl>
      <w:tblPr>
        <w:tblW w:w="92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487"/>
        <w:gridCol w:w="679"/>
        <w:gridCol w:w="853"/>
        <w:gridCol w:w="1196"/>
        <w:gridCol w:w="1272"/>
        <w:gridCol w:w="1273"/>
        <w:gridCol w:w="865"/>
        <w:gridCol w:w="2630"/>
      </w:tblGrid>
      <w:tr w:rsidR="00240BCE" w:rsidTr="00F5102A">
        <w:trPr>
          <w:trHeight w:val="65"/>
          <w:jc w:val="center"/>
        </w:trPr>
        <w:tc>
          <w:tcPr>
            <w:tcW w:w="487" w:type="dxa"/>
            <w:vMerge w:val="restart"/>
            <w:tcBorders>
              <w:top w:val="single" w:sz="12" w:space="0" w:color="auto"/>
              <w:left w:val="single" w:sz="12"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项目</w:t>
            </w:r>
          </w:p>
        </w:tc>
        <w:tc>
          <w:tcPr>
            <w:tcW w:w="679" w:type="dxa"/>
            <w:vMerge w:val="restart"/>
            <w:tcBorders>
              <w:top w:val="single" w:sz="12"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污染源</w:t>
            </w:r>
          </w:p>
        </w:tc>
        <w:tc>
          <w:tcPr>
            <w:tcW w:w="853" w:type="dxa"/>
            <w:vMerge w:val="restart"/>
            <w:tcBorders>
              <w:top w:val="single" w:sz="12"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污染因子</w:t>
            </w:r>
          </w:p>
        </w:tc>
        <w:tc>
          <w:tcPr>
            <w:tcW w:w="2468" w:type="dxa"/>
            <w:gridSpan w:val="2"/>
            <w:tcBorders>
              <w:top w:val="single" w:sz="12"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污染物浓度</w:t>
            </w:r>
          </w:p>
        </w:tc>
        <w:tc>
          <w:tcPr>
            <w:tcW w:w="2138" w:type="dxa"/>
            <w:gridSpan w:val="2"/>
            <w:tcBorders>
              <w:top w:val="single" w:sz="12"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产排量</w:t>
            </w:r>
          </w:p>
        </w:tc>
        <w:tc>
          <w:tcPr>
            <w:tcW w:w="2630" w:type="dxa"/>
            <w:vMerge w:val="restart"/>
            <w:tcBorders>
              <w:top w:val="single" w:sz="12" w:space="0" w:color="auto"/>
              <w:left w:val="single" w:sz="4" w:space="0" w:color="auto"/>
              <w:bottom w:val="single" w:sz="4" w:space="0" w:color="auto"/>
              <w:right w:val="single" w:sz="12" w:space="0" w:color="auto"/>
            </w:tcBorders>
            <w:vAlign w:val="center"/>
          </w:tcPr>
          <w:p w:rsidR="00240BCE" w:rsidRDefault="00AC0334" w:rsidP="00F5102A">
            <w:pPr>
              <w:spacing w:line="360" w:lineRule="auto"/>
              <w:jc w:val="center"/>
              <w:rPr>
                <w:color w:val="000000"/>
                <w:sz w:val="21"/>
                <w:szCs w:val="21"/>
              </w:rPr>
            </w:pPr>
            <w:r>
              <w:rPr>
                <w:color w:val="000000"/>
                <w:sz w:val="21"/>
                <w:szCs w:val="21"/>
              </w:rPr>
              <w:t>治理及排放状况</w:t>
            </w:r>
          </w:p>
        </w:tc>
      </w:tr>
      <w:tr w:rsidR="00240BCE" w:rsidTr="00F5102A">
        <w:trPr>
          <w:trHeight w:val="91"/>
          <w:jc w:val="center"/>
        </w:trPr>
        <w:tc>
          <w:tcPr>
            <w:tcW w:w="487" w:type="dxa"/>
            <w:vMerge/>
            <w:tcBorders>
              <w:top w:val="single" w:sz="12" w:space="0" w:color="auto"/>
              <w:left w:val="single" w:sz="12"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679" w:type="dxa"/>
            <w:vMerge/>
            <w:tcBorders>
              <w:top w:val="single" w:sz="12" w:space="0" w:color="auto"/>
              <w:left w:val="single" w:sz="4"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853" w:type="dxa"/>
            <w:vMerge/>
            <w:tcBorders>
              <w:top w:val="single" w:sz="12" w:space="0" w:color="auto"/>
              <w:left w:val="single" w:sz="4"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处理前</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处理后</w:t>
            </w: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产生量</w:t>
            </w:r>
          </w:p>
        </w:tc>
        <w:tc>
          <w:tcPr>
            <w:tcW w:w="865"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排放量</w:t>
            </w:r>
          </w:p>
        </w:tc>
        <w:tc>
          <w:tcPr>
            <w:tcW w:w="2630" w:type="dxa"/>
            <w:vMerge/>
            <w:tcBorders>
              <w:top w:val="single" w:sz="12" w:space="0" w:color="auto"/>
              <w:left w:val="single" w:sz="4" w:space="0" w:color="auto"/>
              <w:bottom w:val="single" w:sz="4" w:space="0" w:color="auto"/>
              <w:right w:val="single" w:sz="12" w:space="0" w:color="auto"/>
            </w:tcBorders>
            <w:vAlign w:val="center"/>
          </w:tcPr>
          <w:p w:rsidR="00240BCE" w:rsidRDefault="00240BCE" w:rsidP="00F5102A">
            <w:pPr>
              <w:widowControl/>
              <w:spacing w:line="360" w:lineRule="auto"/>
              <w:jc w:val="left"/>
              <w:rPr>
                <w:color w:val="000000"/>
                <w:sz w:val="21"/>
                <w:szCs w:val="21"/>
              </w:rPr>
            </w:pPr>
          </w:p>
        </w:tc>
      </w:tr>
      <w:tr w:rsidR="00240BCE" w:rsidTr="00F5102A">
        <w:trPr>
          <w:trHeight w:val="724"/>
          <w:jc w:val="center"/>
        </w:trPr>
        <w:tc>
          <w:tcPr>
            <w:tcW w:w="487" w:type="dxa"/>
            <w:vMerge w:val="restart"/>
            <w:tcBorders>
              <w:top w:val="single" w:sz="4" w:space="0" w:color="auto"/>
              <w:left w:val="single" w:sz="12"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废水</w:t>
            </w:r>
          </w:p>
        </w:tc>
        <w:tc>
          <w:tcPr>
            <w:tcW w:w="679"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矿井排水</w:t>
            </w: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废水量</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w:t>
            </w: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744AF3" w:rsidP="00F5102A">
            <w:pPr>
              <w:spacing w:line="360" w:lineRule="auto"/>
              <w:jc w:val="center"/>
              <w:rPr>
                <w:color w:val="000000"/>
                <w:sz w:val="21"/>
                <w:szCs w:val="21"/>
              </w:rPr>
            </w:pPr>
            <w:r>
              <w:rPr>
                <w:rFonts w:hint="eastAsia"/>
                <w:color w:val="000000"/>
                <w:sz w:val="21"/>
                <w:szCs w:val="21"/>
              </w:rPr>
              <w:t>17.52</w:t>
            </w:r>
            <w:r w:rsidR="00AC0334">
              <w:rPr>
                <w:color w:val="000000"/>
                <w:sz w:val="21"/>
                <w:szCs w:val="21"/>
              </w:rPr>
              <w:t>万</w:t>
            </w:r>
            <w:r w:rsidR="00AC0334">
              <w:rPr>
                <w:color w:val="000000"/>
                <w:sz w:val="21"/>
                <w:szCs w:val="21"/>
              </w:rPr>
              <w:t>m</w:t>
            </w:r>
            <w:r w:rsidR="00AC0334">
              <w:rPr>
                <w:color w:val="000000"/>
                <w:sz w:val="21"/>
                <w:szCs w:val="21"/>
                <w:vertAlign w:val="superscript"/>
              </w:rPr>
              <w:t>3</w:t>
            </w:r>
            <w:r w:rsidR="00AC0334">
              <w:rPr>
                <w:color w:val="000000"/>
                <w:sz w:val="21"/>
                <w:szCs w:val="21"/>
              </w:rPr>
              <w:t>/a</w:t>
            </w:r>
          </w:p>
        </w:tc>
        <w:tc>
          <w:tcPr>
            <w:tcW w:w="865" w:type="dxa"/>
            <w:tcBorders>
              <w:top w:val="single" w:sz="4" w:space="0" w:color="auto"/>
              <w:left w:val="single" w:sz="4" w:space="0" w:color="auto"/>
              <w:bottom w:val="single" w:sz="4" w:space="0" w:color="auto"/>
              <w:right w:val="single" w:sz="4" w:space="0" w:color="auto"/>
            </w:tcBorders>
            <w:vAlign w:val="center"/>
          </w:tcPr>
          <w:p w:rsidR="009010AC" w:rsidRDefault="009010AC" w:rsidP="00F5102A">
            <w:pPr>
              <w:spacing w:line="360" w:lineRule="auto"/>
              <w:jc w:val="center"/>
              <w:rPr>
                <w:color w:val="000000"/>
                <w:sz w:val="21"/>
                <w:szCs w:val="21"/>
              </w:rPr>
            </w:pPr>
            <w:r>
              <w:rPr>
                <w:rFonts w:hint="eastAsia"/>
                <w:color w:val="000000"/>
                <w:sz w:val="21"/>
                <w:szCs w:val="21"/>
              </w:rPr>
              <w:t>70737</w:t>
            </w:r>
          </w:p>
          <w:p w:rsidR="00240BCE" w:rsidRDefault="009010AC" w:rsidP="00F5102A">
            <w:pPr>
              <w:spacing w:line="360" w:lineRule="auto"/>
              <w:jc w:val="center"/>
              <w:rPr>
                <w:color w:val="000000"/>
                <w:sz w:val="21"/>
                <w:szCs w:val="21"/>
              </w:rPr>
            </w:pPr>
            <w:r>
              <w:rPr>
                <w:color w:val="000000"/>
                <w:sz w:val="21"/>
                <w:szCs w:val="21"/>
              </w:rPr>
              <w:t>m</w:t>
            </w:r>
            <w:r>
              <w:rPr>
                <w:color w:val="000000"/>
                <w:sz w:val="21"/>
                <w:szCs w:val="21"/>
                <w:vertAlign w:val="superscript"/>
              </w:rPr>
              <w:t>3</w:t>
            </w:r>
            <w:r>
              <w:rPr>
                <w:color w:val="000000"/>
                <w:sz w:val="21"/>
                <w:szCs w:val="21"/>
              </w:rPr>
              <w:t>/a</w:t>
            </w:r>
          </w:p>
        </w:tc>
        <w:tc>
          <w:tcPr>
            <w:tcW w:w="2630" w:type="dxa"/>
            <w:vMerge w:val="restart"/>
            <w:tcBorders>
              <w:top w:val="single" w:sz="4" w:space="0" w:color="auto"/>
              <w:left w:val="single" w:sz="4" w:space="0" w:color="auto"/>
              <w:bottom w:val="single" w:sz="4" w:space="0" w:color="auto"/>
              <w:right w:val="single" w:sz="12" w:space="0" w:color="auto"/>
            </w:tcBorders>
            <w:vAlign w:val="center"/>
          </w:tcPr>
          <w:p w:rsidR="00240BCE" w:rsidRDefault="009010AC" w:rsidP="00F5102A">
            <w:pPr>
              <w:spacing w:line="360" w:lineRule="auto"/>
              <w:jc w:val="center"/>
              <w:rPr>
                <w:color w:val="000000"/>
                <w:sz w:val="21"/>
                <w:szCs w:val="21"/>
              </w:rPr>
            </w:pPr>
            <w:r>
              <w:rPr>
                <w:rFonts w:hint="eastAsia"/>
                <w:color w:val="000000"/>
                <w:sz w:val="21"/>
                <w:szCs w:val="21"/>
              </w:rPr>
              <w:t>部分</w:t>
            </w:r>
            <w:r w:rsidR="00AC0334">
              <w:rPr>
                <w:color w:val="000000"/>
                <w:sz w:val="21"/>
                <w:szCs w:val="21"/>
              </w:rPr>
              <w:t>回用于井下洒水、</w:t>
            </w:r>
            <w:r w:rsidR="00802A62">
              <w:rPr>
                <w:color w:val="000000"/>
                <w:sz w:val="21"/>
                <w:szCs w:val="21"/>
              </w:rPr>
              <w:t>储煤库</w:t>
            </w:r>
            <w:r w:rsidR="00AC0334">
              <w:rPr>
                <w:color w:val="000000"/>
                <w:sz w:val="21"/>
                <w:szCs w:val="21"/>
              </w:rPr>
              <w:t>洒水、空压机补充水、运输道路防尘洒水等生产用水，剩余部分排至赵沟河、纸坊水库后用于周边农田灌溉</w:t>
            </w:r>
            <w:r>
              <w:rPr>
                <w:rFonts w:hint="eastAsia"/>
                <w:color w:val="000000"/>
                <w:sz w:val="21"/>
                <w:szCs w:val="21"/>
              </w:rPr>
              <w:t>及生态补水</w:t>
            </w:r>
            <w:r w:rsidR="00AC0334">
              <w:rPr>
                <w:color w:val="000000"/>
                <w:sz w:val="21"/>
                <w:szCs w:val="21"/>
              </w:rPr>
              <w:t>。</w:t>
            </w:r>
          </w:p>
        </w:tc>
      </w:tr>
      <w:tr w:rsidR="00240BCE" w:rsidTr="00F5102A">
        <w:trPr>
          <w:trHeight w:val="372"/>
          <w:jc w:val="center"/>
        </w:trPr>
        <w:tc>
          <w:tcPr>
            <w:tcW w:w="487" w:type="dxa"/>
            <w:vMerge/>
            <w:tcBorders>
              <w:top w:val="single" w:sz="4" w:space="0" w:color="auto"/>
              <w:left w:val="single" w:sz="12"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COD</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45.2mg/L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38.3mg/L</w:t>
            </w: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744AF3" w:rsidP="00F5102A">
            <w:pPr>
              <w:spacing w:line="360" w:lineRule="auto"/>
              <w:jc w:val="center"/>
              <w:rPr>
                <w:color w:val="000000"/>
                <w:sz w:val="21"/>
                <w:szCs w:val="21"/>
              </w:rPr>
            </w:pPr>
            <w:r>
              <w:rPr>
                <w:rFonts w:hint="eastAsia"/>
                <w:color w:val="000000"/>
                <w:sz w:val="21"/>
                <w:szCs w:val="21"/>
              </w:rPr>
              <w:t>7.919</w:t>
            </w:r>
            <w:r w:rsidR="00AC0334">
              <w:rPr>
                <w:color w:val="000000"/>
                <w:sz w:val="21"/>
                <w:szCs w:val="21"/>
              </w:rPr>
              <w:t>t/a</w:t>
            </w:r>
          </w:p>
        </w:tc>
        <w:tc>
          <w:tcPr>
            <w:tcW w:w="865" w:type="dxa"/>
            <w:tcBorders>
              <w:top w:val="single" w:sz="4" w:space="0" w:color="auto"/>
              <w:left w:val="single" w:sz="4" w:space="0" w:color="auto"/>
              <w:bottom w:val="single" w:sz="4" w:space="0" w:color="auto"/>
              <w:right w:val="single" w:sz="4" w:space="0" w:color="auto"/>
            </w:tcBorders>
            <w:vAlign w:val="center"/>
          </w:tcPr>
          <w:p w:rsidR="00240BCE" w:rsidRDefault="009010AC" w:rsidP="00F5102A">
            <w:pPr>
              <w:spacing w:line="360" w:lineRule="auto"/>
              <w:jc w:val="center"/>
              <w:rPr>
                <w:color w:val="000000"/>
                <w:sz w:val="21"/>
                <w:szCs w:val="21"/>
              </w:rPr>
            </w:pPr>
            <w:r>
              <w:rPr>
                <w:rFonts w:hint="eastAsia"/>
                <w:color w:val="000000"/>
                <w:sz w:val="21"/>
                <w:szCs w:val="21"/>
              </w:rPr>
              <w:t>2.709</w:t>
            </w:r>
            <w:r>
              <w:rPr>
                <w:color w:val="000000"/>
                <w:sz w:val="21"/>
                <w:szCs w:val="21"/>
              </w:rPr>
              <w:t>t/a</w:t>
            </w:r>
          </w:p>
        </w:tc>
        <w:tc>
          <w:tcPr>
            <w:tcW w:w="2630" w:type="dxa"/>
            <w:vMerge/>
            <w:tcBorders>
              <w:top w:val="single" w:sz="4" w:space="0" w:color="auto"/>
              <w:left w:val="single" w:sz="4" w:space="0" w:color="auto"/>
              <w:bottom w:val="single" w:sz="4" w:space="0" w:color="auto"/>
              <w:right w:val="single" w:sz="12" w:space="0" w:color="auto"/>
            </w:tcBorders>
            <w:vAlign w:val="center"/>
          </w:tcPr>
          <w:p w:rsidR="00240BCE" w:rsidRDefault="00240BCE" w:rsidP="00F5102A">
            <w:pPr>
              <w:widowControl/>
              <w:spacing w:line="360" w:lineRule="auto"/>
              <w:jc w:val="left"/>
              <w:rPr>
                <w:color w:val="000000"/>
                <w:sz w:val="21"/>
                <w:szCs w:val="21"/>
              </w:rPr>
            </w:pPr>
          </w:p>
        </w:tc>
      </w:tr>
      <w:tr w:rsidR="00240BCE" w:rsidTr="00F5102A">
        <w:trPr>
          <w:trHeight w:val="391"/>
          <w:jc w:val="center"/>
        </w:trPr>
        <w:tc>
          <w:tcPr>
            <w:tcW w:w="487" w:type="dxa"/>
            <w:vMerge/>
            <w:tcBorders>
              <w:top w:val="single" w:sz="4" w:space="0" w:color="auto"/>
              <w:left w:val="single" w:sz="12"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氨氮</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0.523mg/L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0.314mg/L</w:t>
            </w: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w:t>
            </w:r>
            <w:r w:rsidR="00744AF3">
              <w:rPr>
                <w:rFonts w:hint="eastAsia"/>
                <w:color w:val="000000"/>
                <w:sz w:val="21"/>
                <w:szCs w:val="21"/>
              </w:rPr>
              <w:t>091</w:t>
            </w:r>
            <w:r>
              <w:rPr>
                <w:color w:val="000000"/>
                <w:sz w:val="21"/>
                <w:szCs w:val="21"/>
              </w:rPr>
              <w:t>t/a</w:t>
            </w:r>
          </w:p>
        </w:tc>
        <w:tc>
          <w:tcPr>
            <w:tcW w:w="865"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w:t>
            </w:r>
            <w:r w:rsidR="009010AC">
              <w:rPr>
                <w:rFonts w:hint="eastAsia"/>
                <w:color w:val="000000"/>
                <w:sz w:val="21"/>
                <w:szCs w:val="21"/>
              </w:rPr>
              <w:t>.022t</w:t>
            </w:r>
            <w:r w:rsidR="009010AC">
              <w:rPr>
                <w:color w:val="000000"/>
                <w:sz w:val="21"/>
                <w:szCs w:val="21"/>
              </w:rPr>
              <w:t>/a</w:t>
            </w:r>
          </w:p>
        </w:tc>
        <w:tc>
          <w:tcPr>
            <w:tcW w:w="2630" w:type="dxa"/>
            <w:vMerge/>
            <w:tcBorders>
              <w:top w:val="single" w:sz="4" w:space="0" w:color="auto"/>
              <w:left w:val="single" w:sz="4" w:space="0" w:color="auto"/>
              <w:bottom w:val="single" w:sz="4" w:space="0" w:color="auto"/>
              <w:right w:val="single" w:sz="12" w:space="0" w:color="auto"/>
            </w:tcBorders>
            <w:vAlign w:val="center"/>
          </w:tcPr>
          <w:p w:rsidR="00240BCE" w:rsidRDefault="00240BCE" w:rsidP="00F5102A">
            <w:pPr>
              <w:widowControl/>
              <w:spacing w:line="360" w:lineRule="auto"/>
              <w:jc w:val="left"/>
              <w:rPr>
                <w:color w:val="000000"/>
                <w:sz w:val="21"/>
                <w:szCs w:val="21"/>
              </w:rPr>
            </w:pPr>
          </w:p>
        </w:tc>
      </w:tr>
      <w:tr w:rsidR="00240BCE" w:rsidTr="00F5102A">
        <w:trPr>
          <w:trHeight w:val="372"/>
          <w:jc w:val="center"/>
        </w:trPr>
        <w:tc>
          <w:tcPr>
            <w:tcW w:w="487" w:type="dxa"/>
            <w:vMerge/>
            <w:tcBorders>
              <w:top w:val="single" w:sz="4" w:space="0" w:color="auto"/>
              <w:left w:val="single" w:sz="12"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SS</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15.5mg/L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7.3mg/L</w:t>
            </w: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2.716</w:t>
            </w:r>
            <w:r w:rsidR="009010AC">
              <w:rPr>
                <w:rFonts w:hint="eastAsia"/>
                <w:color w:val="000000"/>
                <w:sz w:val="21"/>
                <w:szCs w:val="21"/>
              </w:rPr>
              <w:t>t</w:t>
            </w:r>
            <w:r>
              <w:rPr>
                <w:color w:val="000000"/>
                <w:sz w:val="21"/>
                <w:szCs w:val="21"/>
              </w:rPr>
              <w:t>/a</w:t>
            </w:r>
          </w:p>
        </w:tc>
        <w:tc>
          <w:tcPr>
            <w:tcW w:w="865"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w:t>
            </w:r>
            <w:r w:rsidR="009010AC">
              <w:rPr>
                <w:rFonts w:hint="eastAsia"/>
                <w:color w:val="000000"/>
                <w:sz w:val="21"/>
                <w:szCs w:val="21"/>
              </w:rPr>
              <w:t>.516t</w:t>
            </w:r>
            <w:r w:rsidR="009010AC">
              <w:rPr>
                <w:color w:val="000000"/>
                <w:sz w:val="21"/>
                <w:szCs w:val="21"/>
              </w:rPr>
              <w:t>/a</w:t>
            </w:r>
          </w:p>
        </w:tc>
        <w:tc>
          <w:tcPr>
            <w:tcW w:w="2630" w:type="dxa"/>
            <w:vMerge/>
            <w:tcBorders>
              <w:top w:val="single" w:sz="4" w:space="0" w:color="auto"/>
              <w:left w:val="single" w:sz="4" w:space="0" w:color="auto"/>
              <w:bottom w:val="single" w:sz="4" w:space="0" w:color="auto"/>
              <w:right w:val="single" w:sz="12" w:space="0" w:color="auto"/>
            </w:tcBorders>
            <w:vAlign w:val="center"/>
          </w:tcPr>
          <w:p w:rsidR="00240BCE" w:rsidRDefault="00240BCE" w:rsidP="00F5102A">
            <w:pPr>
              <w:widowControl/>
              <w:spacing w:line="360" w:lineRule="auto"/>
              <w:jc w:val="left"/>
              <w:rPr>
                <w:color w:val="000000"/>
                <w:sz w:val="21"/>
                <w:szCs w:val="21"/>
              </w:rPr>
            </w:pPr>
          </w:p>
        </w:tc>
      </w:tr>
      <w:tr w:rsidR="00240BCE" w:rsidTr="00F5102A">
        <w:trPr>
          <w:trHeight w:val="391"/>
          <w:jc w:val="center"/>
        </w:trPr>
        <w:tc>
          <w:tcPr>
            <w:tcW w:w="487" w:type="dxa"/>
            <w:vMerge/>
            <w:tcBorders>
              <w:top w:val="single" w:sz="4" w:space="0" w:color="auto"/>
              <w:left w:val="single" w:sz="12"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679"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生活污水</w:t>
            </w: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废水量</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240BCE" w:rsidP="00F5102A">
            <w:pPr>
              <w:spacing w:line="360" w:lineRule="auto"/>
              <w:jc w:val="center"/>
              <w:rPr>
                <w:color w:val="000000"/>
                <w:sz w:val="21"/>
                <w:szCs w:val="21"/>
              </w:rPr>
            </w:pP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240BCE" w:rsidP="00F5102A">
            <w:pPr>
              <w:spacing w:line="360" w:lineRule="auto"/>
              <w:jc w:val="center"/>
              <w:rPr>
                <w:color w:val="000000"/>
                <w:sz w:val="21"/>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9010AC" w:rsidP="00F5102A">
            <w:pPr>
              <w:spacing w:line="360" w:lineRule="auto"/>
              <w:jc w:val="center"/>
              <w:rPr>
                <w:color w:val="000000"/>
                <w:sz w:val="21"/>
                <w:szCs w:val="21"/>
              </w:rPr>
            </w:pPr>
            <w:r>
              <w:rPr>
                <w:rFonts w:hint="eastAsia"/>
                <w:color w:val="000000"/>
                <w:sz w:val="21"/>
                <w:szCs w:val="21"/>
              </w:rPr>
              <w:t>1.402</w:t>
            </w:r>
            <w:r w:rsidR="00AC0334">
              <w:rPr>
                <w:color w:val="000000"/>
                <w:sz w:val="21"/>
                <w:szCs w:val="21"/>
              </w:rPr>
              <w:t>5</w:t>
            </w:r>
            <w:r w:rsidR="00AC0334">
              <w:rPr>
                <w:color w:val="000000"/>
                <w:sz w:val="21"/>
                <w:szCs w:val="21"/>
              </w:rPr>
              <w:t>万</w:t>
            </w:r>
            <w:r w:rsidR="00AC0334">
              <w:rPr>
                <w:color w:val="000000"/>
                <w:sz w:val="21"/>
                <w:szCs w:val="21"/>
              </w:rPr>
              <w:t>m</w:t>
            </w:r>
            <w:r w:rsidR="00AC0334">
              <w:rPr>
                <w:color w:val="000000"/>
                <w:sz w:val="21"/>
                <w:szCs w:val="21"/>
                <w:vertAlign w:val="superscript"/>
              </w:rPr>
              <w:t>3</w:t>
            </w:r>
            <w:r w:rsidR="00AC0334">
              <w:rPr>
                <w:color w:val="000000"/>
                <w:sz w:val="21"/>
                <w:szCs w:val="21"/>
              </w:rPr>
              <w:t>/a</w:t>
            </w:r>
          </w:p>
        </w:tc>
        <w:tc>
          <w:tcPr>
            <w:tcW w:w="865"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w:t>
            </w:r>
          </w:p>
        </w:tc>
        <w:tc>
          <w:tcPr>
            <w:tcW w:w="2630" w:type="dxa"/>
            <w:vMerge w:val="restart"/>
            <w:tcBorders>
              <w:top w:val="single" w:sz="4" w:space="0" w:color="auto"/>
              <w:left w:val="single" w:sz="4" w:space="0" w:color="auto"/>
              <w:bottom w:val="single" w:sz="4" w:space="0" w:color="auto"/>
              <w:right w:val="single" w:sz="12" w:space="0" w:color="auto"/>
            </w:tcBorders>
            <w:vAlign w:val="center"/>
          </w:tcPr>
          <w:p w:rsidR="00240BCE" w:rsidRDefault="00AC0334" w:rsidP="00F5102A">
            <w:pPr>
              <w:spacing w:line="360" w:lineRule="auto"/>
              <w:jc w:val="center"/>
              <w:rPr>
                <w:color w:val="FF0000"/>
                <w:sz w:val="21"/>
                <w:szCs w:val="21"/>
                <w:highlight w:val="yellow"/>
              </w:rPr>
            </w:pPr>
            <w:r>
              <w:rPr>
                <w:color w:val="000000"/>
                <w:sz w:val="21"/>
                <w:szCs w:val="21"/>
              </w:rPr>
              <w:t>生活污水经一体化综合处理设备处理达标后</w:t>
            </w:r>
            <w:r w:rsidR="009010AC">
              <w:rPr>
                <w:rFonts w:hint="eastAsia"/>
                <w:color w:val="000000"/>
                <w:sz w:val="21"/>
                <w:szCs w:val="21"/>
              </w:rPr>
              <w:t>全部综合利用，不外排</w:t>
            </w:r>
            <w:r>
              <w:rPr>
                <w:color w:val="000000"/>
                <w:sz w:val="21"/>
                <w:szCs w:val="21"/>
              </w:rPr>
              <w:t>。</w:t>
            </w:r>
          </w:p>
        </w:tc>
      </w:tr>
      <w:tr w:rsidR="00240BCE" w:rsidTr="00F5102A">
        <w:trPr>
          <w:trHeight w:val="372"/>
          <w:jc w:val="center"/>
        </w:trPr>
        <w:tc>
          <w:tcPr>
            <w:tcW w:w="487" w:type="dxa"/>
            <w:vMerge/>
            <w:tcBorders>
              <w:top w:val="single" w:sz="4" w:space="0" w:color="auto"/>
              <w:left w:val="single" w:sz="12"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COD</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128.3mg/L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66.3mg/L</w:t>
            </w: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9010AC" w:rsidP="00F5102A">
            <w:pPr>
              <w:spacing w:line="360" w:lineRule="auto"/>
              <w:jc w:val="center"/>
              <w:rPr>
                <w:color w:val="000000"/>
                <w:sz w:val="21"/>
                <w:szCs w:val="21"/>
              </w:rPr>
            </w:pPr>
            <w:r>
              <w:rPr>
                <w:rFonts w:hint="eastAsia"/>
                <w:color w:val="000000"/>
                <w:sz w:val="21"/>
                <w:szCs w:val="21"/>
              </w:rPr>
              <w:t>1.799</w:t>
            </w:r>
            <w:r w:rsidR="00AC0334">
              <w:rPr>
                <w:color w:val="000000"/>
                <w:sz w:val="21"/>
                <w:szCs w:val="21"/>
              </w:rPr>
              <w:t>t/a</w:t>
            </w:r>
          </w:p>
        </w:tc>
        <w:tc>
          <w:tcPr>
            <w:tcW w:w="865"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w:t>
            </w:r>
          </w:p>
        </w:tc>
        <w:tc>
          <w:tcPr>
            <w:tcW w:w="2630" w:type="dxa"/>
            <w:vMerge/>
            <w:tcBorders>
              <w:top w:val="single" w:sz="4" w:space="0" w:color="auto"/>
              <w:left w:val="single" w:sz="4" w:space="0" w:color="auto"/>
              <w:bottom w:val="single" w:sz="4" w:space="0" w:color="auto"/>
              <w:right w:val="single" w:sz="12" w:space="0" w:color="auto"/>
            </w:tcBorders>
            <w:vAlign w:val="center"/>
          </w:tcPr>
          <w:p w:rsidR="00240BCE" w:rsidRDefault="00240BCE" w:rsidP="00F5102A">
            <w:pPr>
              <w:widowControl/>
              <w:spacing w:line="360" w:lineRule="auto"/>
              <w:jc w:val="left"/>
              <w:rPr>
                <w:color w:val="FF0000"/>
                <w:sz w:val="21"/>
                <w:szCs w:val="21"/>
                <w:highlight w:val="yellow"/>
              </w:rPr>
            </w:pPr>
          </w:p>
        </w:tc>
      </w:tr>
      <w:tr w:rsidR="00240BCE" w:rsidTr="00F5102A">
        <w:trPr>
          <w:trHeight w:val="372"/>
          <w:jc w:val="center"/>
        </w:trPr>
        <w:tc>
          <w:tcPr>
            <w:tcW w:w="487" w:type="dxa"/>
            <w:vMerge/>
            <w:tcBorders>
              <w:top w:val="single" w:sz="4" w:space="0" w:color="auto"/>
              <w:left w:val="single" w:sz="12"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氨氮</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14.1mg/L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8.41mg/L</w:t>
            </w: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w:t>
            </w:r>
            <w:r w:rsidR="009010AC">
              <w:rPr>
                <w:rFonts w:hint="eastAsia"/>
                <w:color w:val="000000"/>
                <w:sz w:val="21"/>
                <w:szCs w:val="21"/>
              </w:rPr>
              <w:t>198</w:t>
            </w:r>
            <w:r>
              <w:rPr>
                <w:color w:val="000000"/>
                <w:sz w:val="21"/>
                <w:szCs w:val="21"/>
              </w:rPr>
              <w:t>t/a</w:t>
            </w:r>
          </w:p>
        </w:tc>
        <w:tc>
          <w:tcPr>
            <w:tcW w:w="865"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w:t>
            </w:r>
          </w:p>
        </w:tc>
        <w:tc>
          <w:tcPr>
            <w:tcW w:w="2630" w:type="dxa"/>
            <w:vMerge/>
            <w:tcBorders>
              <w:top w:val="single" w:sz="4" w:space="0" w:color="auto"/>
              <w:left w:val="single" w:sz="4" w:space="0" w:color="auto"/>
              <w:bottom w:val="single" w:sz="4" w:space="0" w:color="auto"/>
              <w:right w:val="single" w:sz="12" w:space="0" w:color="auto"/>
            </w:tcBorders>
            <w:vAlign w:val="center"/>
          </w:tcPr>
          <w:p w:rsidR="00240BCE" w:rsidRDefault="00240BCE" w:rsidP="00F5102A">
            <w:pPr>
              <w:widowControl/>
              <w:spacing w:line="360" w:lineRule="auto"/>
              <w:jc w:val="left"/>
              <w:rPr>
                <w:color w:val="FF0000"/>
                <w:sz w:val="21"/>
                <w:szCs w:val="21"/>
                <w:highlight w:val="yellow"/>
              </w:rPr>
            </w:pPr>
          </w:p>
        </w:tc>
      </w:tr>
      <w:tr w:rsidR="009D7F5F" w:rsidTr="00F5102A">
        <w:trPr>
          <w:trHeight w:val="1448"/>
          <w:jc w:val="center"/>
        </w:trPr>
        <w:tc>
          <w:tcPr>
            <w:tcW w:w="487" w:type="dxa"/>
            <w:tcBorders>
              <w:top w:val="single" w:sz="4" w:space="0" w:color="auto"/>
              <w:left w:val="single" w:sz="12" w:space="0" w:color="auto"/>
              <w:bottom w:val="single" w:sz="4" w:space="0" w:color="auto"/>
              <w:right w:val="single" w:sz="4" w:space="0" w:color="auto"/>
            </w:tcBorders>
            <w:vAlign w:val="center"/>
          </w:tcPr>
          <w:p w:rsidR="009D7F5F" w:rsidRDefault="009D7F5F" w:rsidP="00F5102A">
            <w:pPr>
              <w:spacing w:line="360" w:lineRule="auto"/>
              <w:jc w:val="center"/>
              <w:rPr>
                <w:color w:val="000000"/>
                <w:sz w:val="21"/>
                <w:szCs w:val="21"/>
              </w:rPr>
            </w:pPr>
            <w:r>
              <w:rPr>
                <w:color w:val="000000"/>
                <w:sz w:val="21"/>
                <w:szCs w:val="21"/>
              </w:rPr>
              <w:t>废气</w:t>
            </w:r>
          </w:p>
        </w:tc>
        <w:tc>
          <w:tcPr>
            <w:tcW w:w="679" w:type="dxa"/>
            <w:tcBorders>
              <w:top w:val="single" w:sz="4" w:space="0" w:color="auto"/>
              <w:left w:val="single" w:sz="4" w:space="0" w:color="auto"/>
              <w:bottom w:val="single" w:sz="4" w:space="0" w:color="auto"/>
              <w:right w:val="single" w:sz="4" w:space="0" w:color="auto"/>
            </w:tcBorders>
            <w:vAlign w:val="center"/>
          </w:tcPr>
          <w:p w:rsidR="009D7F5F" w:rsidRDefault="009D7F5F" w:rsidP="00F5102A">
            <w:pPr>
              <w:spacing w:line="360" w:lineRule="auto"/>
              <w:jc w:val="center"/>
              <w:rPr>
                <w:color w:val="000000"/>
                <w:sz w:val="21"/>
                <w:szCs w:val="21"/>
              </w:rPr>
            </w:pPr>
            <w:r>
              <w:rPr>
                <w:color w:val="000000"/>
                <w:sz w:val="21"/>
                <w:szCs w:val="21"/>
              </w:rPr>
              <w:t>储煤库扬尘</w:t>
            </w:r>
          </w:p>
        </w:tc>
        <w:tc>
          <w:tcPr>
            <w:tcW w:w="853" w:type="dxa"/>
            <w:tcBorders>
              <w:top w:val="single" w:sz="4" w:space="0" w:color="auto"/>
              <w:left w:val="single" w:sz="4" w:space="0" w:color="auto"/>
              <w:bottom w:val="single" w:sz="4" w:space="0" w:color="auto"/>
              <w:right w:val="single" w:sz="4" w:space="0" w:color="auto"/>
            </w:tcBorders>
            <w:vAlign w:val="center"/>
          </w:tcPr>
          <w:p w:rsidR="009D7F5F" w:rsidRDefault="009D7F5F" w:rsidP="00F5102A">
            <w:pPr>
              <w:spacing w:line="360" w:lineRule="auto"/>
              <w:jc w:val="center"/>
              <w:rPr>
                <w:sz w:val="21"/>
                <w:szCs w:val="21"/>
              </w:rPr>
            </w:pPr>
            <w:r>
              <w:rPr>
                <w:sz w:val="21"/>
                <w:szCs w:val="21"/>
              </w:rPr>
              <w:t>颗粒物</w:t>
            </w:r>
          </w:p>
        </w:tc>
        <w:tc>
          <w:tcPr>
            <w:tcW w:w="1196" w:type="dxa"/>
            <w:tcBorders>
              <w:top w:val="single" w:sz="4" w:space="0" w:color="auto"/>
              <w:left w:val="single" w:sz="4" w:space="0" w:color="auto"/>
              <w:bottom w:val="single" w:sz="4" w:space="0" w:color="auto"/>
              <w:right w:val="single" w:sz="4" w:space="0" w:color="auto"/>
            </w:tcBorders>
            <w:vAlign w:val="center"/>
          </w:tcPr>
          <w:p w:rsidR="009D7F5F" w:rsidRDefault="009D7F5F" w:rsidP="00F5102A">
            <w:pPr>
              <w:spacing w:line="360" w:lineRule="auto"/>
              <w:jc w:val="center"/>
              <w:rPr>
                <w:sz w:val="21"/>
                <w:szCs w:val="21"/>
              </w:rPr>
            </w:pPr>
            <w:r>
              <w:rPr>
                <w:sz w:val="21"/>
                <w:szCs w:val="21"/>
              </w:rPr>
              <w:t>--</w:t>
            </w:r>
          </w:p>
        </w:tc>
        <w:tc>
          <w:tcPr>
            <w:tcW w:w="1272" w:type="dxa"/>
            <w:tcBorders>
              <w:top w:val="single" w:sz="4" w:space="0" w:color="auto"/>
              <w:left w:val="single" w:sz="4" w:space="0" w:color="auto"/>
              <w:bottom w:val="single" w:sz="4" w:space="0" w:color="auto"/>
              <w:right w:val="single" w:sz="4" w:space="0" w:color="auto"/>
            </w:tcBorders>
            <w:vAlign w:val="center"/>
          </w:tcPr>
          <w:p w:rsidR="009D7F5F" w:rsidRDefault="009D7F5F" w:rsidP="00F5102A">
            <w:pPr>
              <w:spacing w:line="360" w:lineRule="auto"/>
              <w:jc w:val="center"/>
              <w:rPr>
                <w:sz w:val="21"/>
                <w:szCs w:val="21"/>
              </w:rPr>
            </w:pPr>
            <w:r>
              <w:rPr>
                <w:sz w:val="21"/>
                <w:szCs w:val="21"/>
              </w:rPr>
              <w:t>--</w:t>
            </w:r>
          </w:p>
        </w:tc>
        <w:tc>
          <w:tcPr>
            <w:tcW w:w="1273" w:type="dxa"/>
            <w:tcBorders>
              <w:top w:val="single" w:sz="4" w:space="0" w:color="auto"/>
              <w:left w:val="single" w:sz="4" w:space="0" w:color="auto"/>
              <w:bottom w:val="single" w:sz="4" w:space="0" w:color="auto"/>
              <w:right w:val="single" w:sz="4" w:space="0" w:color="auto"/>
            </w:tcBorders>
            <w:vAlign w:val="center"/>
          </w:tcPr>
          <w:p w:rsidR="009D7F5F" w:rsidRDefault="009D7F5F" w:rsidP="00F5102A">
            <w:pPr>
              <w:spacing w:line="360" w:lineRule="auto"/>
              <w:jc w:val="center"/>
              <w:rPr>
                <w:sz w:val="21"/>
                <w:szCs w:val="21"/>
              </w:rPr>
            </w:pPr>
            <w:r>
              <w:rPr>
                <w:rFonts w:hint="eastAsia"/>
                <w:sz w:val="21"/>
                <w:szCs w:val="21"/>
              </w:rPr>
              <w:t>13.2t/a</w:t>
            </w:r>
          </w:p>
        </w:tc>
        <w:tc>
          <w:tcPr>
            <w:tcW w:w="865" w:type="dxa"/>
            <w:tcBorders>
              <w:top w:val="single" w:sz="4" w:space="0" w:color="auto"/>
              <w:left w:val="single" w:sz="4" w:space="0" w:color="auto"/>
              <w:bottom w:val="single" w:sz="4" w:space="0" w:color="auto"/>
              <w:right w:val="single" w:sz="4" w:space="0" w:color="auto"/>
            </w:tcBorders>
            <w:vAlign w:val="center"/>
          </w:tcPr>
          <w:p w:rsidR="009D7F5F" w:rsidRDefault="009D7F5F" w:rsidP="00F5102A">
            <w:pPr>
              <w:spacing w:line="360" w:lineRule="auto"/>
              <w:jc w:val="center"/>
              <w:rPr>
                <w:sz w:val="21"/>
                <w:szCs w:val="21"/>
              </w:rPr>
            </w:pPr>
            <w:r>
              <w:rPr>
                <w:rFonts w:hint="eastAsia"/>
                <w:sz w:val="21"/>
                <w:szCs w:val="21"/>
              </w:rPr>
              <w:t>1.32t/a</w:t>
            </w:r>
          </w:p>
        </w:tc>
        <w:tc>
          <w:tcPr>
            <w:tcW w:w="2630" w:type="dxa"/>
            <w:tcBorders>
              <w:top w:val="single" w:sz="4" w:space="0" w:color="auto"/>
              <w:left w:val="single" w:sz="4" w:space="0" w:color="auto"/>
              <w:bottom w:val="single" w:sz="4" w:space="0" w:color="auto"/>
              <w:right w:val="single" w:sz="12" w:space="0" w:color="auto"/>
            </w:tcBorders>
            <w:vAlign w:val="center"/>
          </w:tcPr>
          <w:p w:rsidR="009D7F5F" w:rsidRDefault="009D7F5F" w:rsidP="00F5102A">
            <w:pPr>
              <w:spacing w:line="360" w:lineRule="auto"/>
              <w:jc w:val="center"/>
              <w:rPr>
                <w:sz w:val="21"/>
                <w:szCs w:val="21"/>
              </w:rPr>
            </w:pPr>
            <w:r>
              <w:rPr>
                <w:sz w:val="21"/>
                <w:szCs w:val="21"/>
              </w:rPr>
              <w:t>储煤库全封闭，且落煤处设置洒水喷头</w:t>
            </w:r>
            <w:r>
              <w:rPr>
                <w:sz w:val="21"/>
                <w:szCs w:val="21"/>
              </w:rPr>
              <w:t>1</w:t>
            </w:r>
            <w:r>
              <w:rPr>
                <w:sz w:val="21"/>
                <w:szCs w:val="21"/>
              </w:rPr>
              <w:t>个，并在储煤库四周安装自动洒水喷头进行洒水降尘</w:t>
            </w:r>
          </w:p>
        </w:tc>
      </w:tr>
      <w:tr w:rsidR="00240BCE" w:rsidTr="00F5102A">
        <w:trPr>
          <w:trHeight w:val="724"/>
          <w:jc w:val="center"/>
        </w:trPr>
        <w:tc>
          <w:tcPr>
            <w:tcW w:w="487" w:type="dxa"/>
            <w:vMerge w:val="restart"/>
            <w:tcBorders>
              <w:top w:val="single" w:sz="4" w:space="0" w:color="auto"/>
              <w:left w:val="single" w:sz="12"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固废</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生产期煤矸石</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w:t>
            </w: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1.2</w:t>
            </w:r>
            <w:r>
              <w:rPr>
                <w:color w:val="000000"/>
                <w:sz w:val="21"/>
                <w:szCs w:val="21"/>
              </w:rPr>
              <w:t>万</w:t>
            </w:r>
            <w:r>
              <w:rPr>
                <w:color w:val="000000"/>
                <w:sz w:val="21"/>
                <w:szCs w:val="21"/>
              </w:rPr>
              <w:t>t/a</w:t>
            </w:r>
          </w:p>
        </w:tc>
        <w:tc>
          <w:tcPr>
            <w:tcW w:w="865"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0</w:t>
            </w:r>
          </w:p>
        </w:tc>
        <w:tc>
          <w:tcPr>
            <w:tcW w:w="2630" w:type="dxa"/>
            <w:tcBorders>
              <w:top w:val="single" w:sz="4" w:space="0" w:color="auto"/>
              <w:left w:val="single" w:sz="4" w:space="0" w:color="auto"/>
              <w:bottom w:val="single" w:sz="4" w:space="0" w:color="auto"/>
              <w:right w:val="single" w:sz="12" w:space="0" w:color="auto"/>
            </w:tcBorders>
            <w:vAlign w:val="center"/>
          </w:tcPr>
          <w:p w:rsidR="00240BCE" w:rsidRDefault="00AC0334" w:rsidP="00F5102A">
            <w:pPr>
              <w:spacing w:line="360" w:lineRule="auto"/>
              <w:jc w:val="center"/>
              <w:rPr>
                <w:color w:val="000000"/>
                <w:sz w:val="21"/>
                <w:szCs w:val="21"/>
              </w:rPr>
            </w:pPr>
            <w:r>
              <w:rPr>
                <w:color w:val="000000"/>
                <w:sz w:val="21"/>
                <w:szCs w:val="21"/>
              </w:rPr>
              <w:t>运往矸石砖厂</w:t>
            </w:r>
          </w:p>
          <w:p w:rsidR="00240BCE" w:rsidRDefault="00AC0334" w:rsidP="00F5102A">
            <w:pPr>
              <w:spacing w:line="360" w:lineRule="auto"/>
              <w:jc w:val="center"/>
              <w:rPr>
                <w:color w:val="000000"/>
                <w:sz w:val="21"/>
                <w:szCs w:val="21"/>
              </w:rPr>
            </w:pPr>
            <w:r>
              <w:rPr>
                <w:color w:val="000000"/>
                <w:sz w:val="21"/>
                <w:szCs w:val="21"/>
              </w:rPr>
              <w:t>综合利用</w:t>
            </w:r>
          </w:p>
        </w:tc>
      </w:tr>
      <w:tr w:rsidR="00240BCE" w:rsidTr="00F5102A">
        <w:trPr>
          <w:trHeight w:val="744"/>
          <w:jc w:val="center"/>
        </w:trPr>
        <w:tc>
          <w:tcPr>
            <w:tcW w:w="487" w:type="dxa"/>
            <w:vMerge/>
            <w:tcBorders>
              <w:top w:val="single" w:sz="4" w:space="0" w:color="auto"/>
              <w:left w:val="single" w:sz="12" w:space="0" w:color="auto"/>
              <w:bottom w:val="single" w:sz="4" w:space="0" w:color="auto"/>
              <w:right w:val="single" w:sz="4" w:space="0" w:color="auto"/>
            </w:tcBorders>
            <w:vAlign w:val="center"/>
          </w:tcPr>
          <w:p w:rsidR="00240BCE" w:rsidRDefault="00240BCE" w:rsidP="00F5102A">
            <w:pPr>
              <w:widowControl/>
              <w:spacing w:line="360" w:lineRule="auto"/>
              <w:jc w:val="left"/>
              <w:rPr>
                <w:color w:val="000000"/>
                <w:sz w:val="21"/>
                <w:szCs w:val="21"/>
              </w:rPr>
            </w:pP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生活垃圾</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w:t>
            </w:r>
          </w:p>
        </w:tc>
        <w:tc>
          <w:tcPr>
            <w:tcW w:w="1273" w:type="dxa"/>
            <w:tcBorders>
              <w:top w:val="single" w:sz="4" w:space="0" w:color="auto"/>
              <w:left w:val="single" w:sz="4" w:space="0" w:color="auto"/>
              <w:bottom w:val="single" w:sz="4" w:space="0" w:color="auto"/>
              <w:right w:val="single" w:sz="4" w:space="0" w:color="auto"/>
            </w:tcBorders>
            <w:vAlign w:val="center"/>
          </w:tcPr>
          <w:p w:rsidR="00240BCE" w:rsidRDefault="00362048" w:rsidP="00F5102A">
            <w:pPr>
              <w:spacing w:line="360" w:lineRule="auto"/>
              <w:jc w:val="center"/>
              <w:rPr>
                <w:color w:val="000000"/>
                <w:sz w:val="21"/>
                <w:szCs w:val="21"/>
              </w:rPr>
            </w:pPr>
            <w:r>
              <w:rPr>
                <w:rFonts w:hint="eastAsia"/>
                <w:color w:val="000000"/>
                <w:sz w:val="21"/>
                <w:szCs w:val="21"/>
              </w:rPr>
              <w:t>9</w:t>
            </w:r>
            <w:r w:rsidR="00AC0334">
              <w:rPr>
                <w:color w:val="000000"/>
                <w:sz w:val="21"/>
                <w:szCs w:val="21"/>
              </w:rPr>
              <w:t>9t/a</w:t>
            </w:r>
          </w:p>
        </w:tc>
        <w:tc>
          <w:tcPr>
            <w:tcW w:w="865" w:type="dxa"/>
            <w:tcBorders>
              <w:top w:val="single" w:sz="4" w:space="0" w:color="auto"/>
              <w:left w:val="single" w:sz="4" w:space="0" w:color="auto"/>
              <w:bottom w:val="single" w:sz="4" w:space="0" w:color="auto"/>
              <w:right w:val="single" w:sz="4" w:space="0" w:color="auto"/>
            </w:tcBorders>
            <w:vAlign w:val="center"/>
          </w:tcPr>
          <w:p w:rsidR="00240BCE" w:rsidRDefault="00281A8C" w:rsidP="00F5102A">
            <w:pPr>
              <w:spacing w:line="360" w:lineRule="auto"/>
              <w:jc w:val="center"/>
              <w:rPr>
                <w:color w:val="000000"/>
                <w:sz w:val="21"/>
                <w:szCs w:val="21"/>
              </w:rPr>
            </w:pPr>
            <w:r>
              <w:rPr>
                <w:rFonts w:hint="eastAsia"/>
                <w:color w:val="000000"/>
                <w:sz w:val="21"/>
                <w:szCs w:val="21"/>
              </w:rPr>
              <w:t>0</w:t>
            </w:r>
          </w:p>
        </w:tc>
        <w:tc>
          <w:tcPr>
            <w:tcW w:w="2630" w:type="dxa"/>
            <w:tcBorders>
              <w:top w:val="single" w:sz="4" w:space="0" w:color="auto"/>
              <w:left w:val="single" w:sz="4" w:space="0" w:color="auto"/>
              <w:bottom w:val="single" w:sz="4" w:space="0" w:color="auto"/>
              <w:right w:val="single" w:sz="12" w:space="0" w:color="auto"/>
            </w:tcBorders>
            <w:vAlign w:val="center"/>
          </w:tcPr>
          <w:p w:rsidR="00240BCE" w:rsidRDefault="00AC0334" w:rsidP="00F5102A">
            <w:pPr>
              <w:spacing w:line="360" w:lineRule="auto"/>
              <w:jc w:val="center"/>
              <w:rPr>
                <w:color w:val="000000"/>
                <w:sz w:val="21"/>
                <w:szCs w:val="21"/>
              </w:rPr>
            </w:pPr>
            <w:r>
              <w:rPr>
                <w:color w:val="000000"/>
                <w:sz w:val="21"/>
                <w:szCs w:val="21"/>
              </w:rPr>
              <w:t>统一收集后运至鸠山镇垃圾中转站</w:t>
            </w:r>
            <w:r w:rsidR="00654B9B">
              <w:rPr>
                <w:rFonts w:hint="eastAsia"/>
                <w:color w:val="000000"/>
                <w:sz w:val="21"/>
                <w:szCs w:val="21"/>
              </w:rPr>
              <w:t>安全</w:t>
            </w:r>
            <w:r>
              <w:rPr>
                <w:color w:val="000000"/>
                <w:sz w:val="21"/>
                <w:szCs w:val="21"/>
              </w:rPr>
              <w:t>处置</w:t>
            </w:r>
          </w:p>
        </w:tc>
      </w:tr>
      <w:tr w:rsidR="00240BCE" w:rsidTr="00F5102A">
        <w:trPr>
          <w:trHeight w:val="91"/>
          <w:jc w:val="center"/>
        </w:trPr>
        <w:tc>
          <w:tcPr>
            <w:tcW w:w="487" w:type="dxa"/>
            <w:tcBorders>
              <w:top w:val="single" w:sz="4" w:space="0" w:color="auto"/>
              <w:left w:val="single" w:sz="12" w:space="0" w:color="auto"/>
              <w:bottom w:val="single" w:sz="12"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噪声</w:t>
            </w:r>
          </w:p>
        </w:tc>
        <w:tc>
          <w:tcPr>
            <w:tcW w:w="1532" w:type="dxa"/>
            <w:gridSpan w:val="2"/>
            <w:tcBorders>
              <w:top w:val="single" w:sz="4" w:space="0" w:color="auto"/>
              <w:left w:val="single" w:sz="4" w:space="0" w:color="auto"/>
              <w:bottom w:val="single" w:sz="12"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高噪声设备</w:t>
            </w:r>
          </w:p>
        </w:tc>
        <w:tc>
          <w:tcPr>
            <w:tcW w:w="1196" w:type="dxa"/>
            <w:tcBorders>
              <w:top w:val="single" w:sz="4" w:space="0" w:color="auto"/>
              <w:left w:val="single" w:sz="4" w:space="0" w:color="auto"/>
              <w:bottom w:val="single" w:sz="12"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75</w:t>
            </w:r>
            <w:r>
              <w:rPr>
                <w:color w:val="000000"/>
                <w:sz w:val="21"/>
                <w:szCs w:val="21"/>
              </w:rPr>
              <w:t>～</w:t>
            </w:r>
            <w:r>
              <w:rPr>
                <w:color w:val="000000"/>
                <w:sz w:val="21"/>
                <w:szCs w:val="21"/>
              </w:rPr>
              <w:t>96dB</w:t>
            </w:r>
            <w:r>
              <w:rPr>
                <w:color w:val="000000"/>
                <w:sz w:val="21"/>
                <w:szCs w:val="21"/>
              </w:rPr>
              <w:t>（</w:t>
            </w:r>
            <w:r>
              <w:rPr>
                <w:color w:val="000000"/>
                <w:sz w:val="21"/>
                <w:szCs w:val="21"/>
              </w:rPr>
              <w:t>A</w:t>
            </w:r>
            <w:r>
              <w:rPr>
                <w:color w:val="000000"/>
                <w:sz w:val="21"/>
                <w:szCs w:val="21"/>
              </w:rPr>
              <w:t>）</w:t>
            </w:r>
          </w:p>
        </w:tc>
        <w:tc>
          <w:tcPr>
            <w:tcW w:w="1272" w:type="dxa"/>
            <w:tcBorders>
              <w:top w:val="single" w:sz="4" w:space="0" w:color="auto"/>
              <w:left w:val="single" w:sz="4" w:space="0" w:color="auto"/>
              <w:bottom w:val="single" w:sz="12"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60</w:t>
            </w:r>
            <w:r>
              <w:rPr>
                <w:color w:val="000000"/>
                <w:sz w:val="21"/>
                <w:szCs w:val="21"/>
              </w:rPr>
              <w:t>～</w:t>
            </w:r>
            <w:r>
              <w:rPr>
                <w:color w:val="000000"/>
                <w:sz w:val="21"/>
                <w:szCs w:val="21"/>
              </w:rPr>
              <w:t>81dB</w:t>
            </w:r>
            <w:r>
              <w:rPr>
                <w:color w:val="000000"/>
                <w:sz w:val="21"/>
                <w:szCs w:val="21"/>
              </w:rPr>
              <w:t>（</w:t>
            </w:r>
            <w:r>
              <w:rPr>
                <w:color w:val="000000"/>
                <w:sz w:val="21"/>
                <w:szCs w:val="21"/>
              </w:rPr>
              <w:t>A</w:t>
            </w:r>
            <w:r>
              <w:rPr>
                <w:color w:val="000000"/>
                <w:sz w:val="21"/>
                <w:szCs w:val="21"/>
              </w:rPr>
              <w:t>）</w:t>
            </w:r>
          </w:p>
        </w:tc>
        <w:tc>
          <w:tcPr>
            <w:tcW w:w="1273" w:type="dxa"/>
            <w:tcBorders>
              <w:top w:val="single" w:sz="4" w:space="0" w:color="auto"/>
              <w:left w:val="single" w:sz="4" w:space="0" w:color="auto"/>
              <w:bottom w:val="single" w:sz="12"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w:t>
            </w:r>
          </w:p>
        </w:tc>
        <w:tc>
          <w:tcPr>
            <w:tcW w:w="865" w:type="dxa"/>
            <w:tcBorders>
              <w:top w:val="single" w:sz="4" w:space="0" w:color="auto"/>
              <w:left w:val="single" w:sz="4" w:space="0" w:color="auto"/>
              <w:bottom w:val="single" w:sz="12" w:space="0" w:color="auto"/>
              <w:right w:val="single" w:sz="4" w:space="0" w:color="auto"/>
            </w:tcBorders>
            <w:vAlign w:val="center"/>
          </w:tcPr>
          <w:p w:rsidR="00240BCE" w:rsidRDefault="00AC0334" w:rsidP="00F5102A">
            <w:pPr>
              <w:spacing w:line="360" w:lineRule="auto"/>
              <w:jc w:val="center"/>
              <w:rPr>
                <w:color w:val="000000"/>
                <w:sz w:val="21"/>
                <w:szCs w:val="21"/>
              </w:rPr>
            </w:pPr>
            <w:r>
              <w:rPr>
                <w:color w:val="000000"/>
                <w:sz w:val="21"/>
                <w:szCs w:val="21"/>
              </w:rPr>
              <w:t>-</w:t>
            </w:r>
          </w:p>
        </w:tc>
        <w:tc>
          <w:tcPr>
            <w:tcW w:w="2630" w:type="dxa"/>
            <w:tcBorders>
              <w:top w:val="single" w:sz="4" w:space="0" w:color="auto"/>
              <w:left w:val="single" w:sz="4" w:space="0" w:color="auto"/>
              <w:bottom w:val="single" w:sz="12" w:space="0" w:color="auto"/>
              <w:right w:val="single" w:sz="12" w:space="0" w:color="auto"/>
            </w:tcBorders>
            <w:vAlign w:val="center"/>
          </w:tcPr>
          <w:p w:rsidR="00240BCE" w:rsidRDefault="00AC0334" w:rsidP="00F5102A">
            <w:pPr>
              <w:spacing w:line="360" w:lineRule="auto"/>
              <w:rPr>
                <w:color w:val="000000"/>
                <w:sz w:val="21"/>
                <w:szCs w:val="21"/>
              </w:rPr>
            </w:pPr>
            <w:r>
              <w:rPr>
                <w:color w:val="000000"/>
                <w:sz w:val="21"/>
                <w:szCs w:val="21"/>
              </w:rPr>
              <w:t>采用低噪声设备，并采取隔声、减振、消声、绿化等降噪措施</w:t>
            </w:r>
          </w:p>
        </w:tc>
      </w:tr>
    </w:tbl>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34" w:name="_Toc79668623"/>
      <w:r>
        <w:rPr>
          <w:rFonts w:eastAsia="楷体"/>
          <w:sz w:val="28"/>
          <w:szCs w:val="28"/>
        </w:rPr>
        <w:t xml:space="preserve">3.1.7 </w:t>
      </w:r>
      <w:r>
        <w:rPr>
          <w:rFonts w:eastAsia="楷体"/>
          <w:sz w:val="28"/>
          <w:szCs w:val="28"/>
        </w:rPr>
        <w:t>现有工程与原环评批复、现行环保要求的相符性分析</w:t>
      </w:r>
      <w:bookmarkEnd w:id="234"/>
    </w:p>
    <w:p w:rsidR="00240BCE" w:rsidRDefault="00AC0334">
      <w:pPr>
        <w:spacing w:line="520" w:lineRule="exact"/>
        <w:ind w:firstLineChars="200" w:firstLine="480"/>
        <w:rPr>
          <w:sz w:val="24"/>
        </w:rPr>
      </w:pPr>
      <w:r>
        <w:rPr>
          <w:sz w:val="24"/>
        </w:rPr>
        <w:t>禹州神火隆庆矿业有限公司前身为禹州市大山煤业有限公司，</w:t>
      </w:r>
      <w:r>
        <w:rPr>
          <w:sz w:val="24"/>
        </w:rPr>
        <w:t>2005</w:t>
      </w:r>
      <w:r>
        <w:rPr>
          <w:sz w:val="24"/>
        </w:rPr>
        <w:t>年</w:t>
      </w:r>
      <w:r>
        <w:rPr>
          <w:sz w:val="24"/>
        </w:rPr>
        <w:t>10</w:t>
      </w:r>
      <w:r>
        <w:rPr>
          <w:sz w:val="24"/>
        </w:rPr>
        <w:t>月许昌市环保研究所编写完成了《禹州市大山煤业有限公司年产</w:t>
      </w:r>
      <w:r>
        <w:rPr>
          <w:sz w:val="24"/>
        </w:rPr>
        <w:t>15</w:t>
      </w:r>
      <w:r>
        <w:rPr>
          <w:sz w:val="24"/>
        </w:rPr>
        <w:t>万吨煤炭开采技改项目环境影响报告表》，</w:t>
      </w:r>
      <w:r>
        <w:rPr>
          <w:sz w:val="24"/>
        </w:rPr>
        <w:t>2005</w:t>
      </w:r>
      <w:r>
        <w:rPr>
          <w:sz w:val="24"/>
        </w:rPr>
        <w:t>年</w:t>
      </w:r>
      <w:r>
        <w:rPr>
          <w:sz w:val="24"/>
        </w:rPr>
        <w:t>10</w:t>
      </w:r>
      <w:r>
        <w:rPr>
          <w:sz w:val="24"/>
        </w:rPr>
        <w:t>月</w:t>
      </w:r>
      <w:r>
        <w:rPr>
          <w:sz w:val="24"/>
        </w:rPr>
        <w:t>26</w:t>
      </w:r>
      <w:r>
        <w:rPr>
          <w:sz w:val="24"/>
        </w:rPr>
        <w:t>日原许昌市环境保护局以许环建审【</w:t>
      </w:r>
      <w:r>
        <w:rPr>
          <w:sz w:val="24"/>
        </w:rPr>
        <w:t>2005</w:t>
      </w:r>
      <w:r>
        <w:rPr>
          <w:sz w:val="24"/>
        </w:rPr>
        <w:t>】</w:t>
      </w:r>
      <w:r>
        <w:rPr>
          <w:sz w:val="24"/>
        </w:rPr>
        <w:t>231</w:t>
      </w:r>
      <w:r>
        <w:rPr>
          <w:sz w:val="24"/>
        </w:rPr>
        <w:t>号批复了该报告表，见附件</w:t>
      </w:r>
      <w:r>
        <w:rPr>
          <w:sz w:val="24"/>
        </w:rPr>
        <w:t>6</w:t>
      </w:r>
      <w:r>
        <w:rPr>
          <w:sz w:val="24"/>
        </w:rPr>
        <w:t>。该批复主要内容及现有工程与原环评批复、现行环保要求的相符性分析见表</w:t>
      </w:r>
      <w:r>
        <w:rPr>
          <w:sz w:val="24"/>
        </w:rPr>
        <w:t>3.1-10</w:t>
      </w:r>
      <w:r>
        <w:rPr>
          <w:sz w:val="24"/>
        </w:rPr>
        <w:t>。</w:t>
      </w:r>
    </w:p>
    <w:p w:rsidR="00240BCE" w:rsidRDefault="00AC0334">
      <w:pPr>
        <w:spacing w:line="520" w:lineRule="exact"/>
        <w:jc w:val="center"/>
        <w:rPr>
          <w:b/>
          <w:sz w:val="24"/>
        </w:rPr>
      </w:pPr>
      <w:r>
        <w:rPr>
          <w:b/>
          <w:sz w:val="24"/>
        </w:rPr>
        <w:lastRenderedPageBreak/>
        <w:t>表</w:t>
      </w:r>
      <w:r>
        <w:rPr>
          <w:b/>
          <w:sz w:val="24"/>
        </w:rPr>
        <w:t xml:space="preserve">3.1-10   </w:t>
      </w:r>
      <w:r>
        <w:rPr>
          <w:b/>
          <w:sz w:val="24"/>
        </w:rPr>
        <w:t>现有工程环保措施实施情况表</w:t>
      </w:r>
    </w:p>
    <w:tbl>
      <w:tblPr>
        <w:tblW w:w="872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5003"/>
        <w:gridCol w:w="2822"/>
        <w:gridCol w:w="901"/>
      </w:tblGrid>
      <w:tr w:rsidR="00240BCE" w:rsidTr="0070516C">
        <w:tc>
          <w:tcPr>
            <w:tcW w:w="5003" w:type="dxa"/>
            <w:vAlign w:val="center"/>
          </w:tcPr>
          <w:p w:rsidR="00240BCE" w:rsidRDefault="00AC0334">
            <w:pPr>
              <w:spacing w:line="360" w:lineRule="exact"/>
              <w:jc w:val="center"/>
              <w:rPr>
                <w:b/>
                <w:sz w:val="21"/>
                <w:szCs w:val="21"/>
              </w:rPr>
            </w:pPr>
            <w:r>
              <w:rPr>
                <w:b/>
                <w:sz w:val="21"/>
                <w:szCs w:val="21"/>
              </w:rPr>
              <w:t>批复意见</w:t>
            </w:r>
          </w:p>
        </w:tc>
        <w:tc>
          <w:tcPr>
            <w:tcW w:w="2822" w:type="dxa"/>
            <w:vAlign w:val="center"/>
          </w:tcPr>
          <w:p w:rsidR="00240BCE" w:rsidRDefault="00AC0334">
            <w:pPr>
              <w:spacing w:line="360" w:lineRule="exact"/>
              <w:jc w:val="center"/>
              <w:rPr>
                <w:b/>
                <w:sz w:val="21"/>
                <w:szCs w:val="21"/>
              </w:rPr>
            </w:pPr>
            <w:r>
              <w:rPr>
                <w:b/>
                <w:sz w:val="21"/>
                <w:szCs w:val="21"/>
              </w:rPr>
              <w:t>实施情况</w:t>
            </w:r>
          </w:p>
        </w:tc>
        <w:tc>
          <w:tcPr>
            <w:tcW w:w="901" w:type="dxa"/>
            <w:vAlign w:val="center"/>
          </w:tcPr>
          <w:p w:rsidR="00240BCE" w:rsidRDefault="00AC0334">
            <w:pPr>
              <w:spacing w:line="360" w:lineRule="exact"/>
              <w:jc w:val="center"/>
              <w:rPr>
                <w:b/>
                <w:sz w:val="21"/>
                <w:szCs w:val="21"/>
              </w:rPr>
            </w:pPr>
            <w:r>
              <w:rPr>
                <w:b/>
                <w:sz w:val="21"/>
                <w:szCs w:val="21"/>
              </w:rPr>
              <w:t>落实情况</w:t>
            </w:r>
          </w:p>
        </w:tc>
      </w:tr>
      <w:tr w:rsidR="00240BCE" w:rsidTr="0070516C">
        <w:tc>
          <w:tcPr>
            <w:tcW w:w="5003" w:type="dxa"/>
            <w:vAlign w:val="center"/>
          </w:tcPr>
          <w:p w:rsidR="00240BCE" w:rsidRDefault="00AC0334">
            <w:pPr>
              <w:spacing w:line="360" w:lineRule="exact"/>
              <w:jc w:val="center"/>
              <w:rPr>
                <w:sz w:val="21"/>
                <w:szCs w:val="21"/>
              </w:rPr>
            </w:pPr>
            <w:r>
              <w:rPr>
                <w:sz w:val="21"/>
                <w:szCs w:val="21"/>
              </w:rPr>
              <w:t>一、同意许昌市环保研究所编制的该项目环境影响报告表及禹州市环保局的审查意见，建设单位应据此认真落实环保投资、各项污染防治措施及生态保护措施。</w:t>
            </w:r>
          </w:p>
        </w:tc>
        <w:tc>
          <w:tcPr>
            <w:tcW w:w="2822" w:type="dxa"/>
            <w:vAlign w:val="center"/>
          </w:tcPr>
          <w:p w:rsidR="00240BCE" w:rsidRDefault="00AC0334">
            <w:pPr>
              <w:spacing w:line="360" w:lineRule="exact"/>
              <w:jc w:val="center"/>
              <w:rPr>
                <w:sz w:val="21"/>
                <w:szCs w:val="21"/>
              </w:rPr>
            </w:pPr>
            <w:r>
              <w:rPr>
                <w:sz w:val="21"/>
                <w:szCs w:val="21"/>
              </w:rPr>
              <w:t>建设单位已按照审查意见，落实了环保投资、各项污染防治措施及生态保护措施。</w:t>
            </w:r>
          </w:p>
        </w:tc>
        <w:tc>
          <w:tcPr>
            <w:tcW w:w="901" w:type="dxa"/>
            <w:vAlign w:val="center"/>
          </w:tcPr>
          <w:p w:rsidR="00240BCE" w:rsidRDefault="00AC0334">
            <w:pPr>
              <w:spacing w:line="360" w:lineRule="exact"/>
              <w:jc w:val="center"/>
              <w:rPr>
                <w:sz w:val="21"/>
                <w:szCs w:val="21"/>
              </w:rPr>
            </w:pPr>
            <w:r>
              <w:rPr>
                <w:sz w:val="21"/>
                <w:szCs w:val="21"/>
              </w:rPr>
              <w:t>已落实</w:t>
            </w:r>
          </w:p>
        </w:tc>
      </w:tr>
      <w:tr w:rsidR="00240BCE" w:rsidTr="0070516C">
        <w:tc>
          <w:tcPr>
            <w:tcW w:w="5003" w:type="dxa"/>
            <w:vAlign w:val="center"/>
          </w:tcPr>
          <w:p w:rsidR="00240BCE" w:rsidRDefault="00AC0334">
            <w:pPr>
              <w:spacing w:line="360" w:lineRule="exact"/>
              <w:jc w:val="center"/>
              <w:rPr>
                <w:sz w:val="21"/>
                <w:szCs w:val="21"/>
              </w:rPr>
            </w:pPr>
            <w:r>
              <w:rPr>
                <w:sz w:val="21"/>
                <w:szCs w:val="21"/>
              </w:rPr>
              <w:t>二、禹州市大山煤业有限公司由原禹州市鸠山乡东明煤矿、黄庄一矿、赵沟煤矿整合而成，属于禹州市小煤矿资源整合煤矿之一，设计生产能力</w:t>
            </w:r>
            <w:r>
              <w:rPr>
                <w:sz w:val="21"/>
                <w:szCs w:val="21"/>
              </w:rPr>
              <w:t>15</w:t>
            </w:r>
            <w:r>
              <w:rPr>
                <w:sz w:val="21"/>
                <w:szCs w:val="21"/>
              </w:rPr>
              <w:t>万</w:t>
            </w:r>
            <w:r>
              <w:rPr>
                <w:sz w:val="21"/>
                <w:szCs w:val="21"/>
              </w:rPr>
              <w:t>t/a</w:t>
            </w:r>
            <w:r>
              <w:rPr>
                <w:sz w:val="21"/>
                <w:szCs w:val="21"/>
              </w:rPr>
              <w:t>。</w:t>
            </w:r>
          </w:p>
        </w:tc>
        <w:tc>
          <w:tcPr>
            <w:tcW w:w="2822" w:type="dxa"/>
            <w:vAlign w:val="center"/>
          </w:tcPr>
          <w:p w:rsidR="00240BCE" w:rsidRDefault="00AC0334">
            <w:pPr>
              <w:spacing w:line="360" w:lineRule="exact"/>
              <w:jc w:val="center"/>
              <w:rPr>
                <w:sz w:val="21"/>
                <w:szCs w:val="21"/>
              </w:rPr>
            </w:pPr>
            <w:r>
              <w:rPr>
                <w:sz w:val="21"/>
                <w:szCs w:val="21"/>
              </w:rPr>
              <w:t>已整合完成，设计生产能力</w:t>
            </w:r>
            <w:r>
              <w:rPr>
                <w:sz w:val="21"/>
                <w:szCs w:val="21"/>
              </w:rPr>
              <w:t>15</w:t>
            </w:r>
            <w:r>
              <w:rPr>
                <w:sz w:val="21"/>
                <w:szCs w:val="21"/>
              </w:rPr>
              <w:t>万</w:t>
            </w:r>
            <w:r>
              <w:rPr>
                <w:sz w:val="21"/>
                <w:szCs w:val="21"/>
              </w:rPr>
              <w:t>t/a</w:t>
            </w:r>
            <w:r>
              <w:rPr>
                <w:sz w:val="21"/>
                <w:szCs w:val="21"/>
              </w:rPr>
              <w:t>。</w:t>
            </w:r>
          </w:p>
        </w:tc>
        <w:tc>
          <w:tcPr>
            <w:tcW w:w="901" w:type="dxa"/>
            <w:vAlign w:val="center"/>
          </w:tcPr>
          <w:p w:rsidR="00240BCE" w:rsidRDefault="00AC0334">
            <w:pPr>
              <w:spacing w:line="360" w:lineRule="exact"/>
              <w:jc w:val="center"/>
              <w:rPr>
                <w:sz w:val="21"/>
                <w:szCs w:val="21"/>
              </w:rPr>
            </w:pPr>
            <w:r>
              <w:rPr>
                <w:sz w:val="21"/>
                <w:szCs w:val="21"/>
              </w:rPr>
              <w:t>已落实</w:t>
            </w:r>
          </w:p>
        </w:tc>
      </w:tr>
      <w:tr w:rsidR="00240BCE" w:rsidTr="0070516C">
        <w:tc>
          <w:tcPr>
            <w:tcW w:w="5003" w:type="dxa"/>
            <w:vAlign w:val="center"/>
          </w:tcPr>
          <w:p w:rsidR="00240BCE" w:rsidRDefault="00AC0334">
            <w:pPr>
              <w:spacing w:line="360" w:lineRule="exact"/>
              <w:rPr>
                <w:sz w:val="21"/>
                <w:szCs w:val="21"/>
              </w:rPr>
            </w:pPr>
            <w:r>
              <w:rPr>
                <w:sz w:val="21"/>
                <w:szCs w:val="21"/>
              </w:rPr>
              <w:t>三、项目建设新井筒产生的弃石用于填垫井口平台、工业广场的平整</w:t>
            </w:r>
            <w:r>
              <w:rPr>
                <w:sz w:val="21"/>
                <w:szCs w:val="21"/>
              </w:rPr>
              <w:t>;</w:t>
            </w:r>
            <w:r>
              <w:rPr>
                <w:sz w:val="21"/>
                <w:szCs w:val="21"/>
              </w:rPr>
              <w:t>施工结束要及时搞好植被恢复和绿化</w:t>
            </w:r>
            <w:r>
              <w:rPr>
                <w:sz w:val="21"/>
                <w:szCs w:val="21"/>
              </w:rPr>
              <w:t>;</w:t>
            </w:r>
            <w:r>
              <w:rPr>
                <w:sz w:val="21"/>
                <w:szCs w:val="21"/>
              </w:rPr>
              <w:t>施工期噪声达到《建筑施工场界噪声限值》</w:t>
            </w:r>
            <w:r>
              <w:rPr>
                <w:sz w:val="21"/>
                <w:szCs w:val="21"/>
              </w:rPr>
              <w:t>(GB12523-90)</w:t>
            </w:r>
            <w:r>
              <w:rPr>
                <w:sz w:val="21"/>
                <w:szCs w:val="21"/>
              </w:rPr>
              <w:t>标准。</w:t>
            </w:r>
          </w:p>
        </w:tc>
        <w:tc>
          <w:tcPr>
            <w:tcW w:w="2822" w:type="dxa"/>
            <w:vAlign w:val="center"/>
          </w:tcPr>
          <w:p w:rsidR="00240BCE" w:rsidRDefault="00AC0334">
            <w:pPr>
              <w:spacing w:line="360" w:lineRule="exact"/>
              <w:rPr>
                <w:sz w:val="21"/>
                <w:szCs w:val="21"/>
              </w:rPr>
            </w:pPr>
            <w:r>
              <w:rPr>
                <w:sz w:val="21"/>
                <w:szCs w:val="21"/>
              </w:rPr>
              <w:t>根据现场调查，井筒掘进废石已用于工业场地的平整，工业场地已绿化。施工期无噪声扰民现象。</w:t>
            </w:r>
          </w:p>
        </w:tc>
        <w:tc>
          <w:tcPr>
            <w:tcW w:w="901" w:type="dxa"/>
            <w:vAlign w:val="center"/>
          </w:tcPr>
          <w:p w:rsidR="00240BCE" w:rsidRDefault="00AC0334">
            <w:pPr>
              <w:spacing w:line="360" w:lineRule="exact"/>
              <w:jc w:val="center"/>
              <w:rPr>
                <w:sz w:val="21"/>
                <w:szCs w:val="21"/>
              </w:rPr>
            </w:pPr>
            <w:r>
              <w:rPr>
                <w:sz w:val="21"/>
                <w:szCs w:val="21"/>
              </w:rPr>
              <w:t>已落实</w:t>
            </w:r>
          </w:p>
        </w:tc>
      </w:tr>
      <w:tr w:rsidR="00240BCE" w:rsidTr="0070516C">
        <w:tc>
          <w:tcPr>
            <w:tcW w:w="5003" w:type="dxa"/>
            <w:vAlign w:val="center"/>
          </w:tcPr>
          <w:p w:rsidR="00240BCE" w:rsidRDefault="00AC0334">
            <w:pPr>
              <w:spacing w:line="360" w:lineRule="exact"/>
              <w:rPr>
                <w:sz w:val="21"/>
                <w:szCs w:val="21"/>
              </w:rPr>
            </w:pPr>
            <w:r>
              <w:rPr>
                <w:sz w:val="21"/>
                <w:szCs w:val="21"/>
              </w:rPr>
              <w:t>四、储煤场和矸石堆场四周布置洒水防尘设施，避免扬尘对周围环境的影响</w:t>
            </w:r>
            <w:r>
              <w:rPr>
                <w:sz w:val="21"/>
                <w:szCs w:val="21"/>
              </w:rPr>
              <w:t>;</w:t>
            </w:r>
            <w:r>
              <w:rPr>
                <w:sz w:val="21"/>
                <w:szCs w:val="21"/>
              </w:rPr>
              <w:t>配套建设前期雨水收集池，确保储煤场含煤雨水不排放。储煤场运输道路出口设车轮冲洗池，同时对矿区、村庄附近的运输道路要不定时清扫、洒水，防止二次扬尘污染。</w:t>
            </w:r>
          </w:p>
        </w:tc>
        <w:tc>
          <w:tcPr>
            <w:tcW w:w="2822" w:type="dxa"/>
            <w:vAlign w:val="center"/>
          </w:tcPr>
          <w:p w:rsidR="00240BCE" w:rsidRDefault="00AC0334">
            <w:pPr>
              <w:spacing w:line="360" w:lineRule="exact"/>
              <w:jc w:val="center"/>
              <w:rPr>
                <w:sz w:val="21"/>
                <w:szCs w:val="21"/>
              </w:rPr>
            </w:pPr>
            <w:r>
              <w:rPr>
                <w:sz w:val="21"/>
                <w:szCs w:val="21"/>
              </w:rPr>
              <w:t>已建设封闭式储煤场，储煤场内设置有喷淋抑尘设施，运输车辆均加盖覆盖物，经自动冲洗装置冲洗后方可出场。工业广场设</w:t>
            </w:r>
            <w:r>
              <w:rPr>
                <w:sz w:val="21"/>
                <w:szCs w:val="21"/>
              </w:rPr>
              <w:t>1</w:t>
            </w:r>
            <w:r>
              <w:rPr>
                <w:sz w:val="21"/>
                <w:szCs w:val="21"/>
              </w:rPr>
              <w:t>座雨水收集池。</w:t>
            </w:r>
          </w:p>
        </w:tc>
        <w:tc>
          <w:tcPr>
            <w:tcW w:w="901" w:type="dxa"/>
            <w:vAlign w:val="center"/>
          </w:tcPr>
          <w:p w:rsidR="00240BCE" w:rsidRDefault="00AC0334">
            <w:pPr>
              <w:spacing w:line="360" w:lineRule="exact"/>
              <w:jc w:val="center"/>
              <w:rPr>
                <w:sz w:val="21"/>
                <w:szCs w:val="21"/>
              </w:rPr>
            </w:pPr>
            <w:r>
              <w:rPr>
                <w:sz w:val="21"/>
                <w:szCs w:val="21"/>
              </w:rPr>
              <w:t>已落实</w:t>
            </w:r>
          </w:p>
        </w:tc>
      </w:tr>
      <w:tr w:rsidR="00240BCE" w:rsidTr="0070516C">
        <w:tc>
          <w:tcPr>
            <w:tcW w:w="5003" w:type="dxa"/>
            <w:vAlign w:val="center"/>
          </w:tcPr>
          <w:p w:rsidR="00240BCE" w:rsidRDefault="00AC0334">
            <w:pPr>
              <w:spacing w:line="360" w:lineRule="exact"/>
              <w:rPr>
                <w:sz w:val="21"/>
                <w:szCs w:val="21"/>
              </w:rPr>
            </w:pPr>
            <w:r>
              <w:rPr>
                <w:sz w:val="21"/>
                <w:szCs w:val="21"/>
              </w:rPr>
              <w:t>五、项目配套建设矿井水处理系统和生活废水处理系统。矿井水经处理后用于井下防尘，临时矸石场、储煤场的喷淋防尘，多余部分与处理后的生产、生活废水一起排放，废水排放执行《污水综合排放标准》</w:t>
            </w:r>
            <w:r>
              <w:rPr>
                <w:sz w:val="21"/>
                <w:szCs w:val="21"/>
              </w:rPr>
              <w:t>(GB8978 -1996)</w:t>
            </w:r>
            <w:r>
              <w:rPr>
                <w:sz w:val="21"/>
                <w:szCs w:val="21"/>
              </w:rPr>
              <w:t>表</w:t>
            </w:r>
            <w:r>
              <w:rPr>
                <w:sz w:val="21"/>
                <w:szCs w:val="21"/>
              </w:rPr>
              <w:t>4</w:t>
            </w:r>
            <w:r>
              <w:rPr>
                <w:sz w:val="21"/>
                <w:szCs w:val="21"/>
              </w:rPr>
              <w:t>一级标准，废水排放量控制在</w:t>
            </w:r>
            <w:r>
              <w:rPr>
                <w:sz w:val="21"/>
                <w:szCs w:val="21"/>
              </w:rPr>
              <w:t>11.32</w:t>
            </w:r>
            <w:r>
              <w:rPr>
                <w:sz w:val="21"/>
                <w:szCs w:val="21"/>
              </w:rPr>
              <w:t>万</w:t>
            </w:r>
            <w:r>
              <w:rPr>
                <w:sz w:val="21"/>
                <w:szCs w:val="21"/>
              </w:rPr>
              <w:t>t/a</w:t>
            </w:r>
            <w:r>
              <w:rPr>
                <w:sz w:val="21"/>
                <w:szCs w:val="21"/>
              </w:rPr>
              <w:t>之内，其中</w:t>
            </w:r>
            <w:r>
              <w:rPr>
                <w:sz w:val="21"/>
                <w:szCs w:val="21"/>
              </w:rPr>
              <w:t xml:space="preserve"> CODcr</w:t>
            </w:r>
            <w:r>
              <w:rPr>
                <w:sz w:val="21"/>
                <w:szCs w:val="21"/>
              </w:rPr>
              <w:t>排放总量控制在</w:t>
            </w:r>
            <w:r>
              <w:rPr>
                <w:sz w:val="21"/>
                <w:szCs w:val="21"/>
              </w:rPr>
              <w:t>5.94t/a</w:t>
            </w:r>
            <w:r>
              <w:rPr>
                <w:sz w:val="21"/>
                <w:szCs w:val="21"/>
              </w:rPr>
              <w:t>以内。</w:t>
            </w:r>
          </w:p>
        </w:tc>
        <w:tc>
          <w:tcPr>
            <w:tcW w:w="2822" w:type="dxa"/>
            <w:vAlign w:val="center"/>
          </w:tcPr>
          <w:p w:rsidR="00240BCE" w:rsidRDefault="00AC0334" w:rsidP="009010AC">
            <w:pPr>
              <w:spacing w:line="360" w:lineRule="exact"/>
              <w:rPr>
                <w:sz w:val="21"/>
                <w:szCs w:val="21"/>
              </w:rPr>
            </w:pPr>
            <w:r>
              <w:rPr>
                <w:sz w:val="21"/>
                <w:szCs w:val="21"/>
              </w:rPr>
              <w:t>已配套建设矿井水处理系统和生活废水处理系统，</w:t>
            </w:r>
            <w:r w:rsidR="009010AC">
              <w:rPr>
                <w:rFonts w:hint="eastAsia"/>
                <w:sz w:val="21"/>
                <w:szCs w:val="21"/>
              </w:rPr>
              <w:t>废水排放量</w:t>
            </w:r>
            <w:r w:rsidR="009010AC">
              <w:rPr>
                <w:rFonts w:hint="eastAsia"/>
                <w:sz w:val="21"/>
                <w:szCs w:val="21"/>
              </w:rPr>
              <w:t>7.0737</w:t>
            </w:r>
            <w:r w:rsidR="009010AC">
              <w:rPr>
                <w:rFonts w:hint="eastAsia"/>
                <w:sz w:val="21"/>
                <w:szCs w:val="21"/>
              </w:rPr>
              <w:t>万</w:t>
            </w:r>
            <w:r w:rsidR="009010AC">
              <w:rPr>
                <w:rFonts w:hint="eastAsia"/>
                <w:sz w:val="21"/>
                <w:szCs w:val="21"/>
              </w:rPr>
              <w:t>m</w:t>
            </w:r>
            <w:r w:rsidR="009010AC">
              <w:rPr>
                <w:rFonts w:hint="eastAsia"/>
                <w:sz w:val="21"/>
                <w:szCs w:val="21"/>
                <w:vertAlign w:val="superscript"/>
              </w:rPr>
              <w:t>3</w:t>
            </w:r>
            <w:r w:rsidR="009010AC">
              <w:rPr>
                <w:rFonts w:hint="eastAsia"/>
                <w:sz w:val="21"/>
                <w:szCs w:val="21"/>
              </w:rPr>
              <w:t>/a</w:t>
            </w:r>
            <w:r w:rsidR="009010AC">
              <w:rPr>
                <w:rFonts w:hint="eastAsia"/>
                <w:sz w:val="21"/>
                <w:szCs w:val="21"/>
              </w:rPr>
              <w:t>，</w:t>
            </w:r>
            <w:r w:rsidR="009010AC">
              <w:rPr>
                <w:sz w:val="21"/>
                <w:szCs w:val="21"/>
              </w:rPr>
              <w:t>CODcr</w:t>
            </w:r>
            <w:r w:rsidR="009010AC">
              <w:rPr>
                <w:sz w:val="21"/>
                <w:szCs w:val="21"/>
              </w:rPr>
              <w:t>排放量</w:t>
            </w:r>
            <w:r w:rsidR="009010AC">
              <w:rPr>
                <w:rFonts w:hint="eastAsia"/>
                <w:sz w:val="21"/>
                <w:szCs w:val="21"/>
              </w:rPr>
              <w:t>2.709</w:t>
            </w:r>
            <w:r w:rsidR="009010AC">
              <w:rPr>
                <w:sz w:val="21"/>
                <w:szCs w:val="21"/>
              </w:rPr>
              <w:t>t/a</w:t>
            </w:r>
            <w:r w:rsidR="009010AC">
              <w:rPr>
                <w:rFonts w:hint="eastAsia"/>
                <w:sz w:val="21"/>
                <w:szCs w:val="21"/>
              </w:rPr>
              <w:t>，</w:t>
            </w:r>
            <w:r>
              <w:rPr>
                <w:sz w:val="21"/>
                <w:szCs w:val="21"/>
              </w:rPr>
              <w:t>能够满足相应标准及排放总量要求。</w:t>
            </w:r>
          </w:p>
        </w:tc>
        <w:tc>
          <w:tcPr>
            <w:tcW w:w="901" w:type="dxa"/>
            <w:vAlign w:val="center"/>
          </w:tcPr>
          <w:p w:rsidR="00240BCE" w:rsidRDefault="00AC0334">
            <w:pPr>
              <w:spacing w:line="360" w:lineRule="exact"/>
              <w:jc w:val="center"/>
              <w:rPr>
                <w:sz w:val="21"/>
                <w:szCs w:val="21"/>
              </w:rPr>
            </w:pPr>
            <w:r>
              <w:rPr>
                <w:sz w:val="21"/>
                <w:szCs w:val="21"/>
              </w:rPr>
              <w:t>已落实</w:t>
            </w:r>
          </w:p>
        </w:tc>
      </w:tr>
      <w:tr w:rsidR="00240BCE" w:rsidTr="0070516C">
        <w:tc>
          <w:tcPr>
            <w:tcW w:w="5003" w:type="dxa"/>
            <w:vAlign w:val="center"/>
          </w:tcPr>
          <w:p w:rsidR="00240BCE" w:rsidRDefault="00AC0334">
            <w:pPr>
              <w:spacing w:line="360" w:lineRule="exact"/>
              <w:rPr>
                <w:sz w:val="21"/>
                <w:szCs w:val="21"/>
              </w:rPr>
            </w:pPr>
            <w:r>
              <w:rPr>
                <w:sz w:val="21"/>
                <w:szCs w:val="21"/>
              </w:rPr>
              <w:t>六、公司只能设置一个排污口，排污口按规范化要求建设，并设立明显标志。</w:t>
            </w:r>
          </w:p>
        </w:tc>
        <w:tc>
          <w:tcPr>
            <w:tcW w:w="2822" w:type="dxa"/>
            <w:vAlign w:val="center"/>
          </w:tcPr>
          <w:p w:rsidR="00240BCE" w:rsidRDefault="00AC0334">
            <w:pPr>
              <w:spacing w:line="360" w:lineRule="exact"/>
              <w:rPr>
                <w:sz w:val="21"/>
                <w:szCs w:val="21"/>
              </w:rPr>
            </w:pPr>
            <w:r>
              <w:rPr>
                <w:sz w:val="21"/>
                <w:szCs w:val="21"/>
              </w:rPr>
              <w:t>根据调查，工业场地仅有</w:t>
            </w:r>
            <w:r>
              <w:rPr>
                <w:sz w:val="21"/>
                <w:szCs w:val="21"/>
              </w:rPr>
              <w:t>1</w:t>
            </w:r>
            <w:r>
              <w:rPr>
                <w:sz w:val="21"/>
                <w:szCs w:val="21"/>
              </w:rPr>
              <w:t>个废水排放口，位于工业场地东南侧，未按规范化要求建设，无废水排放口明显标志</w:t>
            </w:r>
          </w:p>
        </w:tc>
        <w:tc>
          <w:tcPr>
            <w:tcW w:w="901" w:type="dxa"/>
            <w:vAlign w:val="center"/>
          </w:tcPr>
          <w:p w:rsidR="00240BCE" w:rsidRDefault="00AC0334">
            <w:pPr>
              <w:spacing w:line="360" w:lineRule="exact"/>
              <w:jc w:val="center"/>
              <w:rPr>
                <w:sz w:val="21"/>
                <w:szCs w:val="21"/>
              </w:rPr>
            </w:pPr>
            <w:r>
              <w:rPr>
                <w:sz w:val="21"/>
                <w:szCs w:val="21"/>
              </w:rPr>
              <w:t>部分落实</w:t>
            </w:r>
          </w:p>
        </w:tc>
      </w:tr>
      <w:tr w:rsidR="00240BCE" w:rsidTr="0070516C">
        <w:tc>
          <w:tcPr>
            <w:tcW w:w="5003" w:type="dxa"/>
            <w:vAlign w:val="center"/>
          </w:tcPr>
          <w:p w:rsidR="00240BCE" w:rsidRDefault="00AC0334">
            <w:pPr>
              <w:spacing w:line="360" w:lineRule="exact"/>
              <w:rPr>
                <w:sz w:val="21"/>
                <w:szCs w:val="21"/>
              </w:rPr>
            </w:pPr>
            <w:r>
              <w:rPr>
                <w:sz w:val="21"/>
                <w:szCs w:val="21"/>
              </w:rPr>
              <w:t>七、项目新增</w:t>
            </w:r>
            <w:r>
              <w:rPr>
                <w:sz w:val="21"/>
                <w:szCs w:val="21"/>
              </w:rPr>
              <w:t>1</w:t>
            </w:r>
            <w:r>
              <w:rPr>
                <w:sz w:val="21"/>
                <w:szCs w:val="21"/>
              </w:rPr>
              <w:t>合</w:t>
            </w:r>
            <w:r>
              <w:rPr>
                <w:sz w:val="21"/>
                <w:szCs w:val="21"/>
              </w:rPr>
              <w:t>2h</w:t>
            </w:r>
            <w:r>
              <w:rPr>
                <w:sz w:val="21"/>
                <w:szCs w:val="21"/>
              </w:rPr>
              <w:t>的链条炉，并配套安装多管旋风除尘器，废气排放浓度达到《锅炉大气污染物排放标准》</w:t>
            </w:r>
            <w:r>
              <w:rPr>
                <w:sz w:val="21"/>
                <w:szCs w:val="21"/>
              </w:rPr>
              <w:t>(GB13271-2001)</w:t>
            </w:r>
            <w:r>
              <w:rPr>
                <w:sz w:val="21"/>
                <w:szCs w:val="21"/>
              </w:rPr>
              <w:t>二类区</w:t>
            </w:r>
            <w:r>
              <w:rPr>
                <w:sz w:val="21"/>
                <w:szCs w:val="21"/>
              </w:rPr>
              <w:t>Ⅱ</w:t>
            </w:r>
            <w:r>
              <w:rPr>
                <w:sz w:val="21"/>
                <w:szCs w:val="21"/>
              </w:rPr>
              <w:t>时段标准。烟囱高度不低于</w:t>
            </w:r>
            <w:r>
              <w:rPr>
                <w:sz w:val="21"/>
                <w:szCs w:val="21"/>
              </w:rPr>
              <w:t>30</w:t>
            </w:r>
            <w:r>
              <w:rPr>
                <w:sz w:val="21"/>
                <w:szCs w:val="21"/>
              </w:rPr>
              <w:t>米，烟尘排放量控制在</w:t>
            </w:r>
            <w:r>
              <w:rPr>
                <w:sz w:val="21"/>
                <w:szCs w:val="21"/>
              </w:rPr>
              <w:t>1.50t/a</w:t>
            </w:r>
            <w:r>
              <w:rPr>
                <w:sz w:val="21"/>
                <w:szCs w:val="21"/>
              </w:rPr>
              <w:t>，</w:t>
            </w:r>
            <w:r>
              <w:rPr>
                <w:sz w:val="21"/>
                <w:szCs w:val="21"/>
              </w:rPr>
              <w:t>SO</w:t>
            </w:r>
            <w:r>
              <w:rPr>
                <w:sz w:val="21"/>
                <w:szCs w:val="21"/>
                <w:vertAlign w:val="subscript"/>
              </w:rPr>
              <w:t>2</w:t>
            </w:r>
            <w:r>
              <w:rPr>
                <w:sz w:val="21"/>
                <w:szCs w:val="21"/>
              </w:rPr>
              <w:t>排放量控制在</w:t>
            </w:r>
            <w:r>
              <w:rPr>
                <w:sz w:val="21"/>
                <w:szCs w:val="21"/>
              </w:rPr>
              <w:t>3.17t/a</w:t>
            </w:r>
            <w:r>
              <w:rPr>
                <w:sz w:val="21"/>
                <w:szCs w:val="21"/>
              </w:rPr>
              <w:t>。同时淘汰原有</w:t>
            </w:r>
            <w:r>
              <w:rPr>
                <w:sz w:val="21"/>
                <w:szCs w:val="21"/>
              </w:rPr>
              <w:t>3</w:t>
            </w:r>
            <w:r>
              <w:rPr>
                <w:sz w:val="21"/>
                <w:szCs w:val="21"/>
              </w:rPr>
              <w:t>台</w:t>
            </w:r>
            <w:r>
              <w:rPr>
                <w:sz w:val="21"/>
                <w:szCs w:val="21"/>
              </w:rPr>
              <w:t>1th</w:t>
            </w:r>
            <w:r>
              <w:rPr>
                <w:sz w:val="21"/>
                <w:szCs w:val="21"/>
              </w:rPr>
              <w:t>的手烧炉。</w:t>
            </w:r>
          </w:p>
        </w:tc>
        <w:tc>
          <w:tcPr>
            <w:tcW w:w="2822" w:type="dxa"/>
            <w:vAlign w:val="center"/>
          </w:tcPr>
          <w:p w:rsidR="00240BCE" w:rsidRDefault="00AC0334">
            <w:pPr>
              <w:spacing w:line="360" w:lineRule="exact"/>
              <w:rPr>
                <w:sz w:val="21"/>
                <w:szCs w:val="21"/>
              </w:rPr>
            </w:pPr>
            <w:r>
              <w:rPr>
                <w:sz w:val="21"/>
                <w:szCs w:val="21"/>
              </w:rPr>
              <w:t>根据现场调查，项目已淘汰原有</w:t>
            </w:r>
            <w:r>
              <w:rPr>
                <w:sz w:val="21"/>
                <w:szCs w:val="21"/>
              </w:rPr>
              <w:t>3</w:t>
            </w:r>
            <w:r>
              <w:rPr>
                <w:sz w:val="21"/>
                <w:szCs w:val="21"/>
              </w:rPr>
              <w:t>台</w:t>
            </w:r>
            <w:r>
              <w:rPr>
                <w:sz w:val="21"/>
                <w:szCs w:val="21"/>
              </w:rPr>
              <w:t>1t/h</w:t>
            </w:r>
            <w:r>
              <w:rPr>
                <w:sz w:val="21"/>
                <w:szCs w:val="21"/>
              </w:rPr>
              <w:t>的手烧炉，且根据现行环保要求淘汰了</w:t>
            </w:r>
            <w:r>
              <w:rPr>
                <w:sz w:val="21"/>
                <w:szCs w:val="21"/>
              </w:rPr>
              <w:t>1</w:t>
            </w:r>
            <w:r>
              <w:rPr>
                <w:sz w:val="21"/>
                <w:szCs w:val="21"/>
              </w:rPr>
              <w:t>台</w:t>
            </w:r>
            <w:r>
              <w:rPr>
                <w:sz w:val="21"/>
                <w:szCs w:val="21"/>
              </w:rPr>
              <w:t>2t/h</w:t>
            </w:r>
            <w:r>
              <w:rPr>
                <w:sz w:val="21"/>
                <w:szCs w:val="21"/>
              </w:rPr>
              <w:t>的链条炉。</w:t>
            </w:r>
          </w:p>
        </w:tc>
        <w:tc>
          <w:tcPr>
            <w:tcW w:w="901" w:type="dxa"/>
            <w:vAlign w:val="center"/>
          </w:tcPr>
          <w:p w:rsidR="00240BCE" w:rsidRDefault="00AC0334">
            <w:pPr>
              <w:spacing w:line="360" w:lineRule="exact"/>
              <w:jc w:val="center"/>
              <w:rPr>
                <w:sz w:val="21"/>
                <w:szCs w:val="21"/>
              </w:rPr>
            </w:pPr>
            <w:r>
              <w:rPr>
                <w:sz w:val="21"/>
                <w:szCs w:val="21"/>
              </w:rPr>
              <w:t>已落实</w:t>
            </w:r>
          </w:p>
        </w:tc>
      </w:tr>
      <w:tr w:rsidR="00240BCE" w:rsidTr="0070516C">
        <w:tc>
          <w:tcPr>
            <w:tcW w:w="5003" w:type="dxa"/>
            <w:vAlign w:val="center"/>
          </w:tcPr>
          <w:p w:rsidR="00240BCE" w:rsidRDefault="00AC0334">
            <w:pPr>
              <w:spacing w:line="360" w:lineRule="exact"/>
              <w:rPr>
                <w:sz w:val="21"/>
                <w:szCs w:val="21"/>
              </w:rPr>
            </w:pPr>
            <w:r>
              <w:rPr>
                <w:sz w:val="21"/>
                <w:szCs w:val="21"/>
              </w:rPr>
              <w:t>八、各噪声源采取减振、隔音、消声等降噪措施，确保厂界噪声达到《工业企业厂界噪声标准》</w:t>
            </w:r>
            <w:r>
              <w:rPr>
                <w:sz w:val="21"/>
                <w:szCs w:val="21"/>
              </w:rPr>
              <w:t>(GB12348-90)Ⅱ</w:t>
            </w:r>
            <w:r>
              <w:rPr>
                <w:sz w:val="21"/>
                <w:szCs w:val="21"/>
              </w:rPr>
              <w:t>类区标准。</w:t>
            </w:r>
          </w:p>
        </w:tc>
        <w:tc>
          <w:tcPr>
            <w:tcW w:w="2822" w:type="dxa"/>
            <w:vAlign w:val="center"/>
          </w:tcPr>
          <w:p w:rsidR="00240BCE" w:rsidRPr="0070516C" w:rsidRDefault="00AC0334" w:rsidP="0070516C">
            <w:pPr>
              <w:spacing w:line="360" w:lineRule="exact"/>
              <w:rPr>
                <w:sz w:val="21"/>
                <w:szCs w:val="21"/>
              </w:rPr>
            </w:pPr>
            <w:r w:rsidRPr="0070516C">
              <w:rPr>
                <w:sz w:val="21"/>
                <w:szCs w:val="21"/>
              </w:rPr>
              <w:t>根据监测，</w:t>
            </w:r>
            <w:r w:rsidR="0070516C" w:rsidRPr="0070516C">
              <w:rPr>
                <w:rFonts w:hint="eastAsia"/>
                <w:sz w:val="21"/>
                <w:szCs w:val="21"/>
              </w:rPr>
              <w:t>南</w:t>
            </w:r>
            <w:r w:rsidRPr="0070516C">
              <w:rPr>
                <w:sz w:val="21"/>
                <w:szCs w:val="21"/>
              </w:rPr>
              <w:t>厂界噪声达标</w:t>
            </w:r>
            <w:r w:rsidR="0070516C">
              <w:rPr>
                <w:rFonts w:hint="eastAsia"/>
                <w:b/>
                <w:i/>
                <w:sz w:val="21"/>
                <w:szCs w:val="21"/>
                <w:u w:val="single"/>
              </w:rPr>
              <w:t>，</w:t>
            </w:r>
            <w:r w:rsidR="0070516C" w:rsidRPr="0070516C">
              <w:rPr>
                <w:b/>
                <w:i/>
                <w:sz w:val="21"/>
                <w:szCs w:val="21"/>
                <w:u w:val="single"/>
              </w:rPr>
              <w:t>超标原因主要为</w:t>
            </w:r>
            <w:r w:rsidR="0070516C" w:rsidRPr="0070516C">
              <w:rPr>
                <w:rFonts w:hint="eastAsia"/>
                <w:b/>
                <w:i/>
                <w:sz w:val="21"/>
                <w:szCs w:val="21"/>
                <w:u w:val="single"/>
              </w:rPr>
              <w:t>通风机临近南厂界</w:t>
            </w:r>
            <w:r w:rsidR="0070516C" w:rsidRPr="0070516C">
              <w:rPr>
                <w:b/>
                <w:i/>
                <w:sz w:val="21"/>
                <w:szCs w:val="21"/>
                <w:u w:val="single"/>
              </w:rPr>
              <w:t>所致，本次升级改造中</w:t>
            </w:r>
            <w:r w:rsidR="0070516C" w:rsidRPr="0070516C">
              <w:rPr>
                <w:rFonts w:hint="eastAsia"/>
                <w:b/>
                <w:i/>
                <w:sz w:val="21"/>
                <w:szCs w:val="21"/>
                <w:u w:val="single"/>
              </w:rPr>
              <w:t>拟对</w:t>
            </w:r>
            <w:r w:rsidR="0070516C" w:rsidRPr="0070516C">
              <w:rPr>
                <w:b/>
                <w:i/>
                <w:sz w:val="21"/>
                <w:szCs w:val="21"/>
                <w:u w:val="single"/>
              </w:rPr>
              <w:t>通风机安装消声器，临近通风机一侧的围墙内衬吸声</w:t>
            </w:r>
            <w:r w:rsidR="0070516C" w:rsidRPr="0070516C">
              <w:rPr>
                <w:rFonts w:hint="eastAsia"/>
                <w:b/>
                <w:i/>
                <w:sz w:val="21"/>
                <w:szCs w:val="21"/>
                <w:u w:val="single"/>
              </w:rPr>
              <w:t>材料</w:t>
            </w:r>
            <w:r w:rsidR="0070516C" w:rsidRPr="0070516C">
              <w:rPr>
                <w:b/>
                <w:i/>
                <w:sz w:val="21"/>
                <w:szCs w:val="21"/>
                <w:u w:val="single"/>
              </w:rPr>
              <w:lastRenderedPageBreak/>
              <w:t>等降噪措施</w:t>
            </w:r>
            <w:r w:rsidR="0070516C" w:rsidRPr="0070516C">
              <w:rPr>
                <w:rFonts w:hint="eastAsia"/>
                <w:b/>
                <w:i/>
                <w:sz w:val="21"/>
                <w:szCs w:val="21"/>
                <w:u w:val="single"/>
              </w:rPr>
              <w:t>，采取措施后可使风机降噪约</w:t>
            </w:r>
            <w:r w:rsidR="0070516C" w:rsidRPr="0070516C">
              <w:rPr>
                <w:rFonts w:hint="eastAsia"/>
                <w:b/>
                <w:i/>
                <w:sz w:val="21"/>
                <w:szCs w:val="21"/>
                <w:u w:val="single"/>
              </w:rPr>
              <w:t>20</w:t>
            </w:r>
            <w:r w:rsidR="0070516C" w:rsidRPr="0070516C">
              <w:rPr>
                <w:rFonts w:eastAsia="黑体"/>
                <w:b/>
                <w:i/>
                <w:sz w:val="21"/>
                <w:szCs w:val="21"/>
                <w:u w:val="single"/>
              </w:rPr>
              <w:t xml:space="preserve"> </w:t>
            </w:r>
            <w:r w:rsidR="0070516C" w:rsidRPr="0070516C">
              <w:rPr>
                <w:b/>
                <w:i/>
                <w:sz w:val="21"/>
                <w:szCs w:val="21"/>
                <w:u w:val="single"/>
              </w:rPr>
              <w:t>dB</w:t>
            </w:r>
            <w:r w:rsidR="0070516C" w:rsidRPr="0070516C">
              <w:rPr>
                <w:b/>
                <w:i/>
                <w:sz w:val="21"/>
                <w:szCs w:val="21"/>
                <w:u w:val="single"/>
              </w:rPr>
              <w:t>（</w:t>
            </w:r>
            <w:r w:rsidR="0070516C" w:rsidRPr="0070516C">
              <w:rPr>
                <w:b/>
                <w:i/>
                <w:sz w:val="21"/>
                <w:szCs w:val="21"/>
                <w:u w:val="single"/>
              </w:rPr>
              <w:t>A</w:t>
            </w:r>
            <w:r w:rsidR="0070516C" w:rsidRPr="0070516C">
              <w:rPr>
                <w:b/>
                <w:i/>
                <w:sz w:val="21"/>
                <w:szCs w:val="21"/>
                <w:u w:val="single"/>
              </w:rPr>
              <w:t>）</w:t>
            </w:r>
            <w:r w:rsidR="0070516C" w:rsidRPr="0070516C">
              <w:rPr>
                <w:rFonts w:ascii="宋体" w:hAnsi="宋体" w:hint="eastAsia"/>
                <w:b/>
                <w:i/>
                <w:sz w:val="21"/>
                <w:szCs w:val="21"/>
                <w:u w:val="single"/>
              </w:rPr>
              <w:t>～</w:t>
            </w:r>
            <w:r w:rsidR="0070516C" w:rsidRPr="0070516C">
              <w:rPr>
                <w:rFonts w:hint="eastAsia"/>
                <w:b/>
                <w:i/>
                <w:sz w:val="21"/>
                <w:szCs w:val="21"/>
                <w:u w:val="single"/>
              </w:rPr>
              <w:t>25</w:t>
            </w:r>
            <w:r w:rsidR="0070516C" w:rsidRPr="0070516C">
              <w:rPr>
                <w:rFonts w:eastAsia="黑体"/>
                <w:b/>
                <w:i/>
                <w:sz w:val="21"/>
                <w:szCs w:val="21"/>
                <w:u w:val="single"/>
              </w:rPr>
              <w:t xml:space="preserve"> </w:t>
            </w:r>
            <w:r w:rsidR="0070516C" w:rsidRPr="0070516C">
              <w:rPr>
                <w:b/>
                <w:i/>
                <w:sz w:val="21"/>
                <w:szCs w:val="21"/>
                <w:u w:val="single"/>
              </w:rPr>
              <w:t>dB</w:t>
            </w:r>
            <w:r w:rsidR="0070516C" w:rsidRPr="0070516C">
              <w:rPr>
                <w:b/>
                <w:i/>
                <w:sz w:val="21"/>
                <w:szCs w:val="21"/>
                <w:u w:val="single"/>
              </w:rPr>
              <w:t>（</w:t>
            </w:r>
            <w:r w:rsidR="0070516C" w:rsidRPr="0070516C">
              <w:rPr>
                <w:b/>
                <w:i/>
                <w:sz w:val="21"/>
                <w:szCs w:val="21"/>
                <w:u w:val="single"/>
              </w:rPr>
              <w:t>A</w:t>
            </w:r>
            <w:r w:rsidR="0070516C" w:rsidRPr="0070516C">
              <w:rPr>
                <w:b/>
                <w:i/>
                <w:sz w:val="21"/>
                <w:szCs w:val="21"/>
                <w:u w:val="single"/>
              </w:rPr>
              <w:t>）</w:t>
            </w:r>
            <w:r w:rsidR="0070516C" w:rsidRPr="0070516C">
              <w:rPr>
                <w:rFonts w:hint="eastAsia"/>
                <w:b/>
                <w:i/>
                <w:sz w:val="21"/>
                <w:szCs w:val="21"/>
                <w:u w:val="single"/>
              </w:rPr>
              <w:t>，满足</w:t>
            </w:r>
            <w:r w:rsidR="0070516C" w:rsidRPr="0070516C">
              <w:rPr>
                <w:b/>
                <w:i/>
                <w:sz w:val="21"/>
                <w:szCs w:val="21"/>
                <w:u w:val="single"/>
              </w:rPr>
              <w:t>GB12348-2008</w:t>
            </w:r>
            <w:r w:rsidR="0070516C" w:rsidRPr="0070516C">
              <w:rPr>
                <w:b/>
                <w:i/>
                <w:sz w:val="21"/>
                <w:szCs w:val="21"/>
                <w:u w:val="single"/>
              </w:rPr>
              <w:t>《工业企业厂界环境噪声排放标准》</w:t>
            </w:r>
            <w:r w:rsidR="0070516C" w:rsidRPr="0070516C">
              <w:rPr>
                <w:b/>
                <w:i/>
                <w:sz w:val="21"/>
                <w:szCs w:val="21"/>
                <w:u w:val="single"/>
              </w:rPr>
              <w:t>2</w:t>
            </w:r>
            <w:r w:rsidR="0070516C" w:rsidRPr="0070516C">
              <w:rPr>
                <w:b/>
                <w:i/>
                <w:sz w:val="21"/>
                <w:szCs w:val="21"/>
                <w:u w:val="single"/>
              </w:rPr>
              <w:t>类标准。</w:t>
            </w:r>
          </w:p>
        </w:tc>
        <w:tc>
          <w:tcPr>
            <w:tcW w:w="901" w:type="dxa"/>
            <w:vAlign w:val="center"/>
          </w:tcPr>
          <w:p w:rsidR="00240BCE" w:rsidRDefault="0070516C">
            <w:pPr>
              <w:spacing w:line="360" w:lineRule="exact"/>
              <w:jc w:val="center"/>
              <w:rPr>
                <w:sz w:val="21"/>
                <w:szCs w:val="21"/>
              </w:rPr>
            </w:pPr>
            <w:r>
              <w:rPr>
                <w:rFonts w:hint="eastAsia"/>
                <w:sz w:val="21"/>
                <w:szCs w:val="21"/>
              </w:rPr>
              <w:lastRenderedPageBreak/>
              <w:t>部分</w:t>
            </w:r>
            <w:r w:rsidR="00AC0334">
              <w:rPr>
                <w:sz w:val="21"/>
                <w:szCs w:val="21"/>
              </w:rPr>
              <w:t>落实</w:t>
            </w:r>
          </w:p>
        </w:tc>
      </w:tr>
      <w:tr w:rsidR="00240BCE" w:rsidTr="0070516C">
        <w:tc>
          <w:tcPr>
            <w:tcW w:w="5003" w:type="dxa"/>
            <w:vAlign w:val="center"/>
          </w:tcPr>
          <w:p w:rsidR="00240BCE" w:rsidRDefault="00AC0334">
            <w:pPr>
              <w:spacing w:line="360" w:lineRule="exact"/>
              <w:rPr>
                <w:sz w:val="21"/>
                <w:szCs w:val="21"/>
              </w:rPr>
            </w:pPr>
            <w:r>
              <w:rPr>
                <w:sz w:val="21"/>
                <w:szCs w:val="21"/>
              </w:rPr>
              <w:lastRenderedPageBreak/>
              <w:t>九、项目产生的煤矸石，锅炉灰渣等固废应综合利用</w:t>
            </w:r>
            <w:r>
              <w:rPr>
                <w:sz w:val="21"/>
                <w:szCs w:val="21"/>
              </w:rPr>
              <w:t>;</w:t>
            </w:r>
            <w:r>
              <w:rPr>
                <w:sz w:val="21"/>
                <w:szCs w:val="21"/>
              </w:rPr>
              <w:t>长期堆存的矸石应覆土、绿化</w:t>
            </w:r>
            <w:r>
              <w:rPr>
                <w:sz w:val="21"/>
                <w:szCs w:val="21"/>
              </w:rPr>
              <w:t>;</w:t>
            </w:r>
            <w:r>
              <w:rPr>
                <w:sz w:val="21"/>
                <w:szCs w:val="21"/>
              </w:rPr>
              <w:t>矸石堆场卫生防护距离为</w:t>
            </w:r>
            <w:r>
              <w:rPr>
                <w:sz w:val="21"/>
                <w:szCs w:val="21"/>
              </w:rPr>
              <w:t>500</w:t>
            </w:r>
            <w:r>
              <w:rPr>
                <w:sz w:val="21"/>
                <w:szCs w:val="21"/>
              </w:rPr>
              <w:t>米，</w:t>
            </w:r>
            <w:r>
              <w:rPr>
                <w:sz w:val="21"/>
                <w:szCs w:val="21"/>
              </w:rPr>
              <w:t>500</w:t>
            </w:r>
            <w:r>
              <w:rPr>
                <w:sz w:val="21"/>
                <w:szCs w:val="21"/>
              </w:rPr>
              <w:t>米之内不得建学校、居民、医院等敏感项目。</w:t>
            </w:r>
          </w:p>
        </w:tc>
        <w:tc>
          <w:tcPr>
            <w:tcW w:w="2822" w:type="dxa"/>
            <w:vAlign w:val="center"/>
          </w:tcPr>
          <w:p w:rsidR="00240BCE" w:rsidRDefault="00AC0334">
            <w:pPr>
              <w:spacing w:line="360" w:lineRule="exact"/>
              <w:rPr>
                <w:sz w:val="21"/>
                <w:szCs w:val="21"/>
              </w:rPr>
            </w:pPr>
            <w:r>
              <w:rPr>
                <w:sz w:val="21"/>
                <w:szCs w:val="21"/>
              </w:rPr>
              <w:t>项目未设置永久矸石堆场，产生的煤矸石外售用于制砖。</w:t>
            </w:r>
          </w:p>
        </w:tc>
        <w:tc>
          <w:tcPr>
            <w:tcW w:w="901" w:type="dxa"/>
            <w:vAlign w:val="center"/>
          </w:tcPr>
          <w:p w:rsidR="00240BCE" w:rsidRDefault="00AC0334">
            <w:pPr>
              <w:spacing w:line="360" w:lineRule="exact"/>
              <w:jc w:val="center"/>
              <w:rPr>
                <w:sz w:val="21"/>
                <w:szCs w:val="21"/>
              </w:rPr>
            </w:pPr>
            <w:r>
              <w:rPr>
                <w:sz w:val="21"/>
                <w:szCs w:val="21"/>
              </w:rPr>
              <w:t>已落实</w:t>
            </w:r>
          </w:p>
        </w:tc>
      </w:tr>
      <w:tr w:rsidR="00240BCE" w:rsidTr="0070516C">
        <w:tc>
          <w:tcPr>
            <w:tcW w:w="5003" w:type="dxa"/>
            <w:vAlign w:val="center"/>
          </w:tcPr>
          <w:p w:rsidR="00240BCE" w:rsidRDefault="00AC0334">
            <w:pPr>
              <w:spacing w:line="360" w:lineRule="exact"/>
              <w:rPr>
                <w:sz w:val="21"/>
                <w:szCs w:val="21"/>
              </w:rPr>
            </w:pPr>
            <w:r>
              <w:rPr>
                <w:sz w:val="21"/>
                <w:szCs w:val="21"/>
              </w:rPr>
              <w:t>十、按照</w:t>
            </w:r>
            <w:r>
              <w:rPr>
                <w:sz w:val="21"/>
                <w:szCs w:val="21"/>
              </w:rPr>
              <w:t>“</w:t>
            </w:r>
            <w:r>
              <w:rPr>
                <w:sz w:val="21"/>
                <w:szCs w:val="21"/>
              </w:rPr>
              <w:t>谁开发、谁保护</w:t>
            </w:r>
            <w:r>
              <w:rPr>
                <w:sz w:val="21"/>
                <w:szCs w:val="21"/>
              </w:rPr>
              <w:t>”</w:t>
            </w:r>
            <w:r>
              <w:rPr>
                <w:sz w:val="21"/>
                <w:szCs w:val="21"/>
              </w:rPr>
              <w:t>、</w:t>
            </w:r>
            <w:r>
              <w:rPr>
                <w:sz w:val="21"/>
                <w:szCs w:val="21"/>
              </w:rPr>
              <w:t>“</w:t>
            </w:r>
            <w:r>
              <w:rPr>
                <w:sz w:val="21"/>
                <w:szCs w:val="21"/>
              </w:rPr>
              <w:t>谁破坏、谁恢复</w:t>
            </w:r>
            <w:r>
              <w:rPr>
                <w:sz w:val="21"/>
                <w:szCs w:val="21"/>
              </w:rPr>
              <w:t>”</w:t>
            </w:r>
            <w:r>
              <w:rPr>
                <w:sz w:val="21"/>
                <w:szCs w:val="21"/>
              </w:rPr>
              <w:t>、</w:t>
            </w:r>
            <w:r>
              <w:rPr>
                <w:sz w:val="21"/>
                <w:szCs w:val="21"/>
              </w:rPr>
              <w:t>“</w:t>
            </w:r>
            <w:r>
              <w:rPr>
                <w:sz w:val="21"/>
                <w:szCs w:val="21"/>
              </w:rPr>
              <w:t>谁受益、谁补偿</w:t>
            </w:r>
            <w:r>
              <w:rPr>
                <w:sz w:val="21"/>
                <w:szCs w:val="21"/>
              </w:rPr>
              <w:t>”</w:t>
            </w:r>
            <w:r>
              <w:rPr>
                <w:sz w:val="21"/>
                <w:szCs w:val="21"/>
              </w:rPr>
              <w:t>的原则及禹州市人民政府的要求，你公司要设立环保管理科室，指定专人负责公司的环保管理工作，制定矿区生态恢复计划、建立健全环保管理制度，确保各项生态保护及污染防治措施得到有效落实。</w:t>
            </w:r>
          </w:p>
        </w:tc>
        <w:tc>
          <w:tcPr>
            <w:tcW w:w="2822" w:type="dxa"/>
            <w:vAlign w:val="center"/>
          </w:tcPr>
          <w:p w:rsidR="00240BCE" w:rsidRDefault="00AC0334">
            <w:pPr>
              <w:spacing w:line="360" w:lineRule="exact"/>
              <w:rPr>
                <w:sz w:val="21"/>
                <w:szCs w:val="21"/>
              </w:rPr>
            </w:pPr>
            <w:r>
              <w:rPr>
                <w:sz w:val="21"/>
                <w:szCs w:val="21"/>
              </w:rPr>
              <w:t>设有环保管理科室，有专人负责环保管理工作，已编制复垦方案，制定矿区生态恢复计划建立了环保管理制度。</w:t>
            </w:r>
          </w:p>
        </w:tc>
        <w:tc>
          <w:tcPr>
            <w:tcW w:w="901" w:type="dxa"/>
            <w:vAlign w:val="center"/>
          </w:tcPr>
          <w:p w:rsidR="00240BCE" w:rsidRDefault="00AC0334">
            <w:pPr>
              <w:spacing w:line="360" w:lineRule="exact"/>
              <w:jc w:val="center"/>
              <w:rPr>
                <w:sz w:val="21"/>
                <w:szCs w:val="21"/>
              </w:rPr>
            </w:pPr>
            <w:r>
              <w:rPr>
                <w:sz w:val="21"/>
                <w:szCs w:val="21"/>
              </w:rPr>
              <w:t>已落实</w:t>
            </w:r>
          </w:p>
        </w:tc>
      </w:tr>
      <w:tr w:rsidR="00240BCE" w:rsidTr="0070516C">
        <w:tc>
          <w:tcPr>
            <w:tcW w:w="5003" w:type="dxa"/>
            <w:vAlign w:val="center"/>
          </w:tcPr>
          <w:p w:rsidR="00240BCE" w:rsidRPr="006E2C96" w:rsidRDefault="00AC0334">
            <w:pPr>
              <w:spacing w:line="360" w:lineRule="exact"/>
              <w:rPr>
                <w:b/>
                <w:i/>
                <w:sz w:val="21"/>
                <w:szCs w:val="21"/>
                <w:u w:val="single"/>
              </w:rPr>
            </w:pPr>
            <w:r w:rsidRPr="006E2C96">
              <w:rPr>
                <w:b/>
                <w:i/>
                <w:sz w:val="21"/>
                <w:szCs w:val="21"/>
                <w:u w:val="single"/>
              </w:rPr>
              <w:t>十一，对整合后废弃的</w:t>
            </w:r>
            <w:r w:rsidRPr="006E2C96">
              <w:rPr>
                <w:b/>
                <w:i/>
                <w:sz w:val="21"/>
                <w:szCs w:val="21"/>
                <w:u w:val="single"/>
              </w:rPr>
              <w:t>4</w:t>
            </w:r>
            <w:r w:rsidRPr="006E2C96">
              <w:rPr>
                <w:b/>
                <w:i/>
                <w:sz w:val="21"/>
                <w:szCs w:val="21"/>
                <w:u w:val="single"/>
              </w:rPr>
              <w:t>个井简要填平，原黄庄一矿和赵沟煤矿工业广场要复垦、复耕，原有塌陷区要进行生态恢复治理，并与本技改工程同步实施，作为本工程验收内容之一</w:t>
            </w:r>
            <w:r w:rsidRPr="006E2C96">
              <w:rPr>
                <w:b/>
                <w:i/>
                <w:sz w:val="21"/>
                <w:szCs w:val="21"/>
                <w:u w:val="single"/>
              </w:rPr>
              <w:t>;</w:t>
            </w:r>
            <w:r w:rsidRPr="006E2C96">
              <w:rPr>
                <w:b/>
                <w:i/>
                <w:sz w:val="21"/>
                <w:szCs w:val="21"/>
                <w:u w:val="single"/>
              </w:rPr>
              <w:t>本矿井服务期满后，对废弃矿井、塌陷区、工业广场所有设施及时恢复原貌。</w:t>
            </w:r>
          </w:p>
        </w:tc>
        <w:tc>
          <w:tcPr>
            <w:tcW w:w="2822" w:type="dxa"/>
            <w:vAlign w:val="center"/>
          </w:tcPr>
          <w:p w:rsidR="00240BCE" w:rsidRPr="006E2C96" w:rsidRDefault="00AC0334" w:rsidP="00C675D4">
            <w:pPr>
              <w:spacing w:line="360" w:lineRule="exact"/>
              <w:rPr>
                <w:b/>
                <w:i/>
                <w:sz w:val="21"/>
                <w:szCs w:val="21"/>
                <w:u w:val="single"/>
              </w:rPr>
            </w:pPr>
            <w:r w:rsidRPr="006E2C96">
              <w:rPr>
                <w:b/>
                <w:i/>
                <w:sz w:val="21"/>
                <w:szCs w:val="21"/>
                <w:u w:val="single"/>
              </w:rPr>
              <w:t>根据调查，整合后废弃的</w:t>
            </w:r>
            <w:r w:rsidRPr="006E2C96">
              <w:rPr>
                <w:b/>
                <w:i/>
                <w:sz w:val="21"/>
                <w:szCs w:val="21"/>
                <w:u w:val="single"/>
              </w:rPr>
              <w:t>4</w:t>
            </w:r>
            <w:r w:rsidRPr="006E2C96">
              <w:rPr>
                <w:b/>
                <w:i/>
                <w:sz w:val="21"/>
                <w:szCs w:val="21"/>
                <w:u w:val="single"/>
              </w:rPr>
              <w:t>个井筒已填平，原黄庄一矿和赵沟煤矿工业广场已复垦。原有塌陷区已进行生态恢复</w:t>
            </w:r>
            <w:r w:rsidR="00C675D4" w:rsidRPr="00C675D4">
              <w:rPr>
                <w:b/>
                <w:i/>
                <w:sz w:val="21"/>
                <w:szCs w:val="21"/>
                <w:u w:val="single"/>
              </w:rPr>
              <w:t>，</w:t>
            </w:r>
            <w:r w:rsidR="00C675D4" w:rsidRPr="00C675D4">
              <w:rPr>
                <w:rFonts w:hint="eastAsia"/>
                <w:b/>
                <w:i/>
                <w:sz w:val="21"/>
                <w:szCs w:val="21"/>
                <w:u w:val="single"/>
              </w:rPr>
              <w:t>现场地内仍有少量矸石遗留</w:t>
            </w:r>
            <w:r w:rsidR="00C675D4" w:rsidRPr="00C675D4">
              <w:rPr>
                <w:b/>
                <w:i/>
                <w:sz w:val="21"/>
                <w:szCs w:val="21"/>
                <w:u w:val="single"/>
              </w:rPr>
              <w:t>，</w:t>
            </w:r>
            <w:r w:rsidR="00C675D4" w:rsidRPr="00C675D4">
              <w:rPr>
                <w:rFonts w:hint="eastAsia"/>
                <w:b/>
                <w:i/>
                <w:sz w:val="21"/>
                <w:szCs w:val="21"/>
                <w:u w:val="single"/>
              </w:rPr>
              <w:t>后期需清运，并进一步恢复植被</w:t>
            </w:r>
          </w:p>
        </w:tc>
        <w:tc>
          <w:tcPr>
            <w:tcW w:w="901" w:type="dxa"/>
            <w:vAlign w:val="center"/>
          </w:tcPr>
          <w:p w:rsidR="00240BCE" w:rsidRPr="006E2C96" w:rsidRDefault="00C675D4">
            <w:pPr>
              <w:spacing w:line="360" w:lineRule="exact"/>
              <w:jc w:val="center"/>
              <w:rPr>
                <w:b/>
                <w:i/>
                <w:sz w:val="21"/>
                <w:szCs w:val="21"/>
                <w:u w:val="single"/>
              </w:rPr>
            </w:pPr>
            <w:r>
              <w:rPr>
                <w:rFonts w:hint="eastAsia"/>
                <w:b/>
                <w:i/>
                <w:sz w:val="21"/>
                <w:szCs w:val="21"/>
                <w:u w:val="single"/>
              </w:rPr>
              <w:t>部分</w:t>
            </w:r>
            <w:r w:rsidR="00AC0334" w:rsidRPr="006E2C96">
              <w:rPr>
                <w:b/>
                <w:i/>
                <w:sz w:val="21"/>
                <w:szCs w:val="21"/>
                <w:u w:val="single"/>
              </w:rPr>
              <w:t>落实</w:t>
            </w:r>
          </w:p>
        </w:tc>
      </w:tr>
      <w:tr w:rsidR="00240BCE" w:rsidTr="0070516C">
        <w:tc>
          <w:tcPr>
            <w:tcW w:w="5003" w:type="dxa"/>
            <w:vAlign w:val="center"/>
          </w:tcPr>
          <w:p w:rsidR="00240BCE" w:rsidRDefault="00AC0334">
            <w:pPr>
              <w:spacing w:line="360" w:lineRule="exact"/>
              <w:rPr>
                <w:sz w:val="21"/>
                <w:szCs w:val="21"/>
              </w:rPr>
            </w:pPr>
            <w:r>
              <w:rPr>
                <w:sz w:val="21"/>
                <w:szCs w:val="21"/>
              </w:rPr>
              <w:t>十二、按照</w:t>
            </w:r>
            <w:r>
              <w:rPr>
                <w:sz w:val="21"/>
                <w:szCs w:val="21"/>
              </w:rPr>
              <w:t>“</w:t>
            </w:r>
            <w:r>
              <w:rPr>
                <w:sz w:val="21"/>
                <w:szCs w:val="21"/>
              </w:rPr>
              <w:t>三下</w:t>
            </w:r>
            <w:r>
              <w:rPr>
                <w:sz w:val="21"/>
                <w:szCs w:val="21"/>
              </w:rPr>
              <w:t>”</w:t>
            </w:r>
            <w:r>
              <w:rPr>
                <w:sz w:val="21"/>
                <w:szCs w:val="21"/>
              </w:rPr>
              <w:t>采煤规程的有关要求，对村庄及地表保护目标预留煤柱或搬迁村庄，确保人民群众生命财产安全。</w:t>
            </w:r>
          </w:p>
        </w:tc>
        <w:tc>
          <w:tcPr>
            <w:tcW w:w="2822" w:type="dxa"/>
            <w:vAlign w:val="center"/>
          </w:tcPr>
          <w:p w:rsidR="00240BCE" w:rsidRDefault="00AC0334">
            <w:pPr>
              <w:spacing w:line="360" w:lineRule="exact"/>
              <w:rPr>
                <w:sz w:val="21"/>
                <w:szCs w:val="21"/>
              </w:rPr>
            </w:pPr>
            <w:r>
              <w:rPr>
                <w:sz w:val="21"/>
                <w:szCs w:val="21"/>
              </w:rPr>
              <w:t>本次升级改造过程中根据设计进行安全搬迁</w:t>
            </w:r>
          </w:p>
        </w:tc>
        <w:tc>
          <w:tcPr>
            <w:tcW w:w="901" w:type="dxa"/>
            <w:vAlign w:val="center"/>
          </w:tcPr>
          <w:p w:rsidR="00240BCE" w:rsidRDefault="00AC0334">
            <w:pPr>
              <w:spacing w:line="360" w:lineRule="exact"/>
              <w:jc w:val="center"/>
              <w:rPr>
                <w:sz w:val="21"/>
                <w:szCs w:val="21"/>
              </w:rPr>
            </w:pPr>
            <w:r>
              <w:rPr>
                <w:sz w:val="21"/>
                <w:szCs w:val="21"/>
              </w:rPr>
              <w:t>正在落实</w:t>
            </w:r>
          </w:p>
        </w:tc>
      </w:tr>
      <w:tr w:rsidR="00240BCE" w:rsidTr="0070516C">
        <w:tc>
          <w:tcPr>
            <w:tcW w:w="5003" w:type="dxa"/>
            <w:vAlign w:val="center"/>
          </w:tcPr>
          <w:p w:rsidR="00240BCE" w:rsidRDefault="00AC0334">
            <w:pPr>
              <w:spacing w:line="360" w:lineRule="exact"/>
              <w:rPr>
                <w:sz w:val="21"/>
                <w:szCs w:val="21"/>
              </w:rPr>
            </w:pPr>
            <w:r>
              <w:rPr>
                <w:sz w:val="21"/>
                <w:szCs w:val="21"/>
              </w:rPr>
              <w:t>十三、对矿井开采引起的地下水疏干，影响周围村庄饮水问题，要采取措施及时解决，确保人畜饮水安全。</w:t>
            </w:r>
          </w:p>
        </w:tc>
        <w:tc>
          <w:tcPr>
            <w:tcW w:w="2822" w:type="dxa"/>
            <w:vAlign w:val="center"/>
          </w:tcPr>
          <w:p w:rsidR="00240BCE" w:rsidRDefault="00AC0334">
            <w:pPr>
              <w:spacing w:line="360" w:lineRule="exact"/>
              <w:rPr>
                <w:sz w:val="21"/>
                <w:szCs w:val="21"/>
              </w:rPr>
            </w:pPr>
            <w:r>
              <w:rPr>
                <w:sz w:val="21"/>
                <w:szCs w:val="21"/>
              </w:rPr>
              <w:t>周边村庄均采用集中供水，不会对周围村庄饮水造成影响。</w:t>
            </w:r>
          </w:p>
        </w:tc>
        <w:tc>
          <w:tcPr>
            <w:tcW w:w="901" w:type="dxa"/>
            <w:vAlign w:val="center"/>
          </w:tcPr>
          <w:p w:rsidR="00240BCE" w:rsidRDefault="00AC0334">
            <w:pPr>
              <w:spacing w:line="360" w:lineRule="exact"/>
              <w:jc w:val="center"/>
              <w:rPr>
                <w:sz w:val="21"/>
                <w:szCs w:val="21"/>
              </w:rPr>
            </w:pPr>
            <w:r>
              <w:rPr>
                <w:sz w:val="21"/>
                <w:szCs w:val="21"/>
              </w:rPr>
              <w:t>已落实</w:t>
            </w:r>
          </w:p>
        </w:tc>
      </w:tr>
      <w:tr w:rsidR="00240BCE" w:rsidTr="0070516C">
        <w:tc>
          <w:tcPr>
            <w:tcW w:w="5003" w:type="dxa"/>
            <w:vAlign w:val="center"/>
          </w:tcPr>
          <w:p w:rsidR="00240BCE" w:rsidRDefault="00AC0334">
            <w:pPr>
              <w:spacing w:line="360" w:lineRule="exact"/>
              <w:rPr>
                <w:sz w:val="21"/>
                <w:szCs w:val="21"/>
              </w:rPr>
            </w:pPr>
            <w:r>
              <w:rPr>
                <w:sz w:val="21"/>
                <w:szCs w:val="21"/>
              </w:rPr>
              <w:t>十四、你公司应认真执行</w:t>
            </w:r>
            <w:r>
              <w:rPr>
                <w:sz w:val="21"/>
                <w:szCs w:val="21"/>
              </w:rPr>
              <w:t>“</w:t>
            </w:r>
            <w:r>
              <w:rPr>
                <w:sz w:val="21"/>
                <w:szCs w:val="21"/>
              </w:rPr>
              <w:t>三同时</w:t>
            </w:r>
            <w:r>
              <w:rPr>
                <w:sz w:val="21"/>
                <w:szCs w:val="21"/>
              </w:rPr>
              <w:t>”</w:t>
            </w:r>
            <w:r>
              <w:rPr>
                <w:sz w:val="21"/>
                <w:szCs w:val="21"/>
              </w:rPr>
              <w:t>制度，项目建成后经我局同意方可试生产，试生产</w:t>
            </w:r>
            <w:r>
              <w:rPr>
                <w:sz w:val="21"/>
                <w:szCs w:val="21"/>
              </w:rPr>
              <w:t>3</w:t>
            </w:r>
            <w:r>
              <w:rPr>
                <w:sz w:val="21"/>
                <w:szCs w:val="21"/>
              </w:rPr>
              <w:t>个月内向我局申请环保验收，验收合格后方可正式投入生产。</w:t>
            </w:r>
          </w:p>
        </w:tc>
        <w:tc>
          <w:tcPr>
            <w:tcW w:w="2822" w:type="dxa"/>
            <w:vAlign w:val="center"/>
          </w:tcPr>
          <w:p w:rsidR="00240BCE" w:rsidRDefault="00AC0334">
            <w:pPr>
              <w:spacing w:line="360" w:lineRule="exact"/>
              <w:rPr>
                <w:sz w:val="21"/>
                <w:szCs w:val="21"/>
              </w:rPr>
            </w:pPr>
            <w:r>
              <w:rPr>
                <w:sz w:val="21"/>
                <w:szCs w:val="21"/>
              </w:rPr>
              <w:t>现有工程未进行环保验收。</w:t>
            </w:r>
          </w:p>
        </w:tc>
        <w:tc>
          <w:tcPr>
            <w:tcW w:w="901" w:type="dxa"/>
            <w:vAlign w:val="center"/>
          </w:tcPr>
          <w:p w:rsidR="00240BCE" w:rsidRDefault="00AC0334">
            <w:pPr>
              <w:spacing w:line="360" w:lineRule="exact"/>
              <w:jc w:val="center"/>
              <w:rPr>
                <w:sz w:val="21"/>
                <w:szCs w:val="21"/>
              </w:rPr>
            </w:pPr>
            <w:r>
              <w:rPr>
                <w:sz w:val="21"/>
                <w:szCs w:val="21"/>
              </w:rPr>
              <w:t>未落实</w:t>
            </w:r>
          </w:p>
        </w:tc>
      </w:tr>
    </w:tbl>
    <w:p w:rsidR="00240BCE" w:rsidRPr="00CC4BB4" w:rsidRDefault="00AC0334" w:rsidP="00CC4BB4">
      <w:pPr>
        <w:spacing w:line="520" w:lineRule="exact"/>
        <w:ind w:firstLineChars="200" w:firstLine="482"/>
        <w:rPr>
          <w:b/>
          <w:i/>
          <w:sz w:val="24"/>
          <w:u w:val="single"/>
        </w:rPr>
      </w:pPr>
      <w:r w:rsidRPr="00CC4BB4">
        <w:rPr>
          <w:b/>
          <w:i/>
          <w:sz w:val="24"/>
          <w:u w:val="single"/>
        </w:rPr>
        <w:t>根据</w:t>
      </w:r>
      <w:r w:rsidR="001044CC">
        <w:rPr>
          <w:rFonts w:hint="eastAsia"/>
          <w:b/>
          <w:i/>
          <w:sz w:val="24"/>
          <w:u w:val="single"/>
        </w:rPr>
        <w:t>调查</w:t>
      </w:r>
      <w:r w:rsidRPr="00CC4BB4">
        <w:rPr>
          <w:b/>
          <w:i/>
          <w:sz w:val="24"/>
          <w:u w:val="single"/>
        </w:rPr>
        <w:t>，现有工程的矿井水处理站的处理工艺主要为斜管沉淀，很难做到稳定达标排放；污水排放口不规范且无明显排污口标志标识；项目未进行环保验收，其余环保设施基本按照批复落实到位，且根据现行环保要求</w:t>
      </w:r>
      <w:r w:rsidR="001044CC">
        <w:rPr>
          <w:rFonts w:hint="eastAsia"/>
          <w:b/>
          <w:i/>
          <w:sz w:val="24"/>
          <w:u w:val="single"/>
        </w:rPr>
        <w:t>已</w:t>
      </w:r>
      <w:r w:rsidRPr="00CC4BB4">
        <w:rPr>
          <w:b/>
          <w:i/>
          <w:sz w:val="24"/>
          <w:u w:val="single"/>
        </w:rPr>
        <w:t>拆除锅炉，使用清洁能源电能，通过空气能热泵供热。</w:t>
      </w:r>
    </w:p>
    <w:p w:rsidR="00240BCE" w:rsidRDefault="00AC0334">
      <w:pPr>
        <w:spacing w:line="520" w:lineRule="exact"/>
        <w:ind w:firstLineChars="200" w:firstLine="480"/>
        <w:rPr>
          <w:sz w:val="24"/>
        </w:rPr>
      </w:pPr>
      <w:r>
        <w:rPr>
          <w:sz w:val="24"/>
        </w:rPr>
        <w:t>本次升级改造，上述遗留问题将纳入本次升级改造工程，通过</w:t>
      </w:r>
      <w:r>
        <w:rPr>
          <w:sz w:val="24"/>
        </w:rPr>
        <w:t xml:space="preserve"> “</w:t>
      </w:r>
      <w:r>
        <w:rPr>
          <w:sz w:val="24"/>
        </w:rPr>
        <w:t>以新带老</w:t>
      </w:r>
      <w:r>
        <w:rPr>
          <w:sz w:val="24"/>
        </w:rPr>
        <w:t>”</w:t>
      </w:r>
      <w:r>
        <w:rPr>
          <w:sz w:val="24"/>
        </w:rPr>
        <w:t>解决现有工程环境问题，并按照现行环保政策提出符合规定要求的环保治理设施。</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35" w:name="_Toc79668624"/>
      <w:r>
        <w:rPr>
          <w:rFonts w:eastAsia="楷体"/>
          <w:sz w:val="28"/>
          <w:szCs w:val="28"/>
        </w:rPr>
        <w:lastRenderedPageBreak/>
        <w:t xml:space="preserve">3.1.8 </w:t>
      </w:r>
      <w:r>
        <w:rPr>
          <w:rFonts w:eastAsia="楷体"/>
          <w:sz w:val="28"/>
          <w:szCs w:val="28"/>
        </w:rPr>
        <w:t>现有工程存在的环保问题及拟采取的整改方案</w:t>
      </w:r>
      <w:bookmarkEnd w:id="235"/>
    </w:p>
    <w:p w:rsidR="00240BCE" w:rsidRDefault="00AC0334" w:rsidP="001044CC">
      <w:pPr>
        <w:spacing w:line="520" w:lineRule="exact"/>
        <w:ind w:firstLineChars="200" w:firstLine="480"/>
        <w:rPr>
          <w:sz w:val="24"/>
        </w:rPr>
      </w:pPr>
      <w:r>
        <w:rPr>
          <w:sz w:val="24"/>
        </w:rPr>
        <w:t>根据现场调查和以上分析，现有工程存在问题和拟采取的整改方案如下：</w:t>
      </w:r>
    </w:p>
    <w:p w:rsidR="00240BCE" w:rsidRPr="00CC4BB4" w:rsidRDefault="00AC0334" w:rsidP="001044CC">
      <w:pPr>
        <w:widowControl/>
        <w:spacing w:line="520" w:lineRule="exact"/>
        <w:jc w:val="center"/>
        <w:rPr>
          <w:bCs/>
          <w:i/>
          <w:sz w:val="24"/>
          <w:u w:val="single"/>
        </w:rPr>
      </w:pPr>
      <w:r w:rsidRPr="00CC4BB4">
        <w:rPr>
          <w:bCs/>
          <w:i/>
          <w:spacing w:val="2"/>
          <w:sz w:val="24"/>
          <w:u w:val="single"/>
        </w:rPr>
        <w:t>表</w:t>
      </w:r>
      <w:r w:rsidRPr="00CC4BB4">
        <w:rPr>
          <w:bCs/>
          <w:i/>
          <w:spacing w:val="2"/>
          <w:sz w:val="24"/>
          <w:u w:val="single"/>
        </w:rPr>
        <w:t>3.1-9</w:t>
      </w:r>
      <w:r w:rsidRPr="00CC4BB4">
        <w:rPr>
          <w:bCs/>
          <w:i/>
          <w:sz w:val="24"/>
          <w:u w:val="single"/>
        </w:rPr>
        <w:t xml:space="preserve">  </w:t>
      </w:r>
      <w:r w:rsidRPr="00CC4BB4">
        <w:rPr>
          <w:bCs/>
          <w:i/>
          <w:sz w:val="24"/>
          <w:u w:val="single"/>
        </w:rPr>
        <w:t>现有工程存在</w:t>
      </w:r>
      <w:r w:rsidRPr="00CC4BB4">
        <w:rPr>
          <w:bCs/>
          <w:i/>
          <w:spacing w:val="2"/>
          <w:sz w:val="24"/>
          <w:u w:val="single"/>
        </w:rPr>
        <w:t>主要环境问题及拟采取相应整改方案</w:t>
      </w:r>
    </w:p>
    <w:tbl>
      <w:tblPr>
        <w:tblW w:w="498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478"/>
        <w:gridCol w:w="5205"/>
        <w:gridCol w:w="2822"/>
      </w:tblGrid>
      <w:tr w:rsidR="00240BCE" w:rsidRPr="00CC4BB4">
        <w:trPr>
          <w:trHeight w:val="397"/>
          <w:jc w:val="center"/>
        </w:trPr>
        <w:tc>
          <w:tcPr>
            <w:tcW w:w="281" w:type="pct"/>
            <w:tcBorders>
              <w:top w:val="single" w:sz="12" w:space="0" w:color="auto"/>
              <w:left w:val="single" w:sz="12"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序号</w:t>
            </w:r>
          </w:p>
        </w:tc>
        <w:tc>
          <w:tcPr>
            <w:tcW w:w="3060" w:type="pct"/>
            <w:tcBorders>
              <w:top w:val="single" w:sz="12" w:space="0" w:color="auto"/>
              <w:left w:val="single" w:sz="6"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现有工程存在主要环境问题</w:t>
            </w:r>
          </w:p>
        </w:tc>
        <w:tc>
          <w:tcPr>
            <w:tcW w:w="1659" w:type="pct"/>
            <w:tcBorders>
              <w:top w:val="single" w:sz="12" w:space="0" w:color="auto"/>
              <w:left w:val="single" w:sz="6" w:space="0" w:color="auto"/>
              <w:bottom w:val="single" w:sz="6" w:space="0" w:color="auto"/>
              <w:right w:val="single" w:sz="12"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拟采取相应整改方案</w:t>
            </w:r>
          </w:p>
        </w:tc>
      </w:tr>
      <w:tr w:rsidR="00240BCE" w:rsidRPr="00CC4BB4">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1</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矿井水处理站老旧，有些设施不能稳定运行，虽能满足目前处理达标排放的要求，但处理规模不能满足升级改造后的处理规模要求。</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本次升级改造工程拟对现有的矿井水处理站进行升级改造。</w:t>
            </w:r>
          </w:p>
        </w:tc>
      </w:tr>
      <w:tr w:rsidR="00240BCE" w:rsidRPr="00CC4BB4">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2</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Pr="00CC4BB4" w:rsidRDefault="00AC0334" w:rsidP="00D91CB5">
            <w:pPr>
              <w:spacing w:line="280" w:lineRule="exact"/>
              <w:jc w:val="center"/>
              <w:rPr>
                <w:i/>
                <w:sz w:val="21"/>
                <w:szCs w:val="21"/>
                <w:u w:val="single"/>
              </w:rPr>
            </w:pPr>
            <w:r w:rsidRPr="00CC4BB4">
              <w:rPr>
                <w:i/>
                <w:sz w:val="21"/>
                <w:szCs w:val="21"/>
                <w:u w:val="single"/>
              </w:rPr>
              <w:t>南厂界噪声现状监测超标</w:t>
            </w:r>
            <w:r w:rsidR="00D91CB5">
              <w:rPr>
                <w:rFonts w:hint="eastAsia"/>
                <w:i/>
                <w:sz w:val="21"/>
                <w:szCs w:val="21"/>
                <w:u w:val="single"/>
              </w:rPr>
              <w:t>，主要是风机距离南厂界较近</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本次升级改造工程拟对南厂界进行吸音隔声处理</w:t>
            </w:r>
          </w:p>
        </w:tc>
      </w:tr>
      <w:tr w:rsidR="00240BCE" w:rsidRPr="00CC4BB4">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3</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井口卸煤点没有封闭，且没有抑尘设施</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Pr="00CC4BB4" w:rsidRDefault="00AC0334" w:rsidP="00D91CB5">
            <w:pPr>
              <w:spacing w:line="280" w:lineRule="exact"/>
              <w:jc w:val="center"/>
              <w:rPr>
                <w:i/>
                <w:sz w:val="21"/>
                <w:szCs w:val="21"/>
                <w:u w:val="single"/>
              </w:rPr>
            </w:pPr>
            <w:r w:rsidRPr="00CC4BB4">
              <w:rPr>
                <w:i/>
                <w:sz w:val="21"/>
                <w:szCs w:val="21"/>
                <w:u w:val="single"/>
              </w:rPr>
              <w:t>井口卸煤点封闭，</w:t>
            </w:r>
            <w:r w:rsidR="00D91CB5">
              <w:rPr>
                <w:rFonts w:hint="eastAsia"/>
                <w:i/>
                <w:sz w:val="21"/>
                <w:szCs w:val="21"/>
                <w:u w:val="single"/>
              </w:rPr>
              <w:t>安装袋式除尘器</w:t>
            </w:r>
          </w:p>
        </w:tc>
      </w:tr>
      <w:tr w:rsidR="00240BCE" w:rsidRPr="00CC4BB4">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4</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机修车间没有封闭，且没有焊接烟尘处理措施</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Pr="00CC4BB4" w:rsidRDefault="00AC0334">
            <w:pPr>
              <w:spacing w:line="280" w:lineRule="exact"/>
              <w:jc w:val="center"/>
              <w:rPr>
                <w:i/>
                <w:sz w:val="21"/>
                <w:szCs w:val="21"/>
                <w:u w:val="single"/>
              </w:rPr>
            </w:pPr>
            <w:r w:rsidRPr="00CC4BB4">
              <w:rPr>
                <w:i/>
                <w:snapToGrid w:val="0"/>
                <w:kern w:val="0"/>
                <w:sz w:val="21"/>
                <w:szCs w:val="21"/>
                <w:u w:val="single"/>
              </w:rPr>
              <w:t>机修车间封闭，焊接烟尘采用自带集气罩</w:t>
            </w:r>
            <w:r w:rsidRPr="00CC4BB4">
              <w:rPr>
                <w:i/>
                <w:snapToGrid w:val="0"/>
                <w:kern w:val="0"/>
                <w:sz w:val="21"/>
                <w:szCs w:val="21"/>
                <w:u w:val="single"/>
              </w:rPr>
              <w:t>+</w:t>
            </w:r>
            <w:r w:rsidRPr="00CC4BB4">
              <w:rPr>
                <w:i/>
                <w:snapToGrid w:val="0"/>
                <w:kern w:val="0"/>
                <w:sz w:val="21"/>
                <w:szCs w:val="21"/>
                <w:u w:val="single"/>
              </w:rPr>
              <w:t>带式除尘器</w:t>
            </w:r>
          </w:p>
        </w:tc>
      </w:tr>
      <w:tr w:rsidR="00240BCE" w:rsidRPr="00CC4BB4">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5</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没有初期雨水收集设施</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Pr="00CC4BB4" w:rsidRDefault="00AC0334">
            <w:pPr>
              <w:spacing w:line="280" w:lineRule="exact"/>
              <w:jc w:val="center"/>
              <w:rPr>
                <w:i/>
                <w:snapToGrid w:val="0"/>
                <w:kern w:val="0"/>
                <w:sz w:val="21"/>
                <w:szCs w:val="21"/>
                <w:u w:val="single"/>
              </w:rPr>
            </w:pPr>
            <w:r w:rsidRPr="00CC4BB4">
              <w:rPr>
                <w:i/>
                <w:snapToGrid w:val="0"/>
                <w:kern w:val="0"/>
                <w:sz w:val="21"/>
                <w:szCs w:val="21"/>
                <w:u w:val="single"/>
              </w:rPr>
              <w:t>在工业场地东南部低洼处设置</w:t>
            </w:r>
            <w:r w:rsidRPr="00CC4BB4">
              <w:rPr>
                <w:i/>
                <w:snapToGrid w:val="0"/>
                <w:kern w:val="0"/>
                <w:sz w:val="21"/>
                <w:szCs w:val="21"/>
                <w:u w:val="single"/>
              </w:rPr>
              <w:t>150m</w:t>
            </w:r>
            <w:r w:rsidRPr="00CC4BB4">
              <w:rPr>
                <w:i/>
                <w:snapToGrid w:val="0"/>
                <w:kern w:val="0"/>
                <w:sz w:val="21"/>
                <w:szCs w:val="21"/>
                <w:u w:val="single"/>
                <w:vertAlign w:val="superscript"/>
              </w:rPr>
              <w:t>3</w:t>
            </w:r>
            <w:r w:rsidRPr="00CC4BB4">
              <w:rPr>
                <w:i/>
                <w:snapToGrid w:val="0"/>
                <w:kern w:val="0"/>
                <w:sz w:val="21"/>
                <w:szCs w:val="21"/>
                <w:u w:val="single"/>
              </w:rPr>
              <w:t>的初期雨水收集池</w:t>
            </w:r>
          </w:p>
        </w:tc>
      </w:tr>
      <w:tr w:rsidR="00240BCE" w:rsidRPr="00CC4BB4">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6</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没有危废收集设施</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Pr="00CC4BB4" w:rsidRDefault="00AC0334">
            <w:pPr>
              <w:spacing w:line="280" w:lineRule="exact"/>
              <w:jc w:val="center"/>
              <w:rPr>
                <w:i/>
                <w:snapToGrid w:val="0"/>
                <w:kern w:val="0"/>
                <w:sz w:val="21"/>
                <w:szCs w:val="21"/>
                <w:u w:val="single"/>
              </w:rPr>
            </w:pPr>
            <w:r w:rsidRPr="00CC4BB4">
              <w:rPr>
                <w:i/>
                <w:snapToGrid w:val="0"/>
                <w:kern w:val="0"/>
                <w:sz w:val="21"/>
                <w:szCs w:val="21"/>
                <w:u w:val="single"/>
              </w:rPr>
              <w:t>设置危废暂存间，经收集后交由有资质单位处置</w:t>
            </w:r>
          </w:p>
        </w:tc>
      </w:tr>
      <w:tr w:rsidR="00240BCE" w:rsidRPr="00CC4BB4" w:rsidTr="00C675D4">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Pr="00CC4BB4" w:rsidRDefault="00AC0334">
            <w:pPr>
              <w:spacing w:line="280" w:lineRule="exact"/>
              <w:jc w:val="center"/>
              <w:rPr>
                <w:i/>
                <w:sz w:val="21"/>
                <w:szCs w:val="21"/>
                <w:u w:val="single"/>
              </w:rPr>
            </w:pPr>
            <w:r w:rsidRPr="00CC4BB4">
              <w:rPr>
                <w:i/>
                <w:sz w:val="21"/>
                <w:szCs w:val="21"/>
                <w:u w:val="single"/>
              </w:rPr>
              <w:t>7</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Pr="00CC4BB4" w:rsidRDefault="00AC0334" w:rsidP="00B97108">
            <w:pPr>
              <w:spacing w:line="280" w:lineRule="exact"/>
              <w:jc w:val="center"/>
              <w:rPr>
                <w:i/>
                <w:sz w:val="21"/>
                <w:szCs w:val="21"/>
                <w:u w:val="single"/>
              </w:rPr>
            </w:pPr>
            <w:r w:rsidRPr="00CC4BB4">
              <w:rPr>
                <w:i/>
                <w:snapToGrid w:val="0"/>
                <w:sz w:val="21"/>
                <w:szCs w:val="21"/>
                <w:u w:val="single"/>
              </w:rPr>
              <w:t>污水排口设置不规范，无排放口标识牌等。</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Pr="00CC4BB4" w:rsidRDefault="00AC0334">
            <w:pPr>
              <w:spacing w:line="280" w:lineRule="exact"/>
              <w:jc w:val="center"/>
              <w:rPr>
                <w:i/>
                <w:snapToGrid w:val="0"/>
                <w:kern w:val="0"/>
                <w:sz w:val="21"/>
                <w:szCs w:val="21"/>
                <w:u w:val="single"/>
              </w:rPr>
            </w:pPr>
            <w:r w:rsidRPr="00CC4BB4">
              <w:rPr>
                <w:i/>
                <w:snapToGrid w:val="0"/>
                <w:sz w:val="21"/>
                <w:szCs w:val="21"/>
                <w:u w:val="single"/>
              </w:rPr>
              <w:t>在工业广场规范排污口设置，并设排污口标识</w:t>
            </w:r>
          </w:p>
        </w:tc>
      </w:tr>
      <w:tr w:rsidR="00C675D4" w:rsidRPr="00CC4BB4">
        <w:trPr>
          <w:trHeight w:val="397"/>
          <w:jc w:val="center"/>
        </w:trPr>
        <w:tc>
          <w:tcPr>
            <w:tcW w:w="281" w:type="pct"/>
            <w:tcBorders>
              <w:top w:val="single" w:sz="6" w:space="0" w:color="auto"/>
              <w:left w:val="single" w:sz="12" w:space="0" w:color="auto"/>
              <w:bottom w:val="single" w:sz="12" w:space="0" w:color="auto"/>
              <w:right w:val="single" w:sz="6" w:space="0" w:color="auto"/>
            </w:tcBorders>
            <w:vAlign w:val="center"/>
          </w:tcPr>
          <w:p w:rsidR="00C675D4" w:rsidRPr="00CC4BB4" w:rsidRDefault="00C675D4">
            <w:pPr>
              <w:spacing w:line="280" w:lineRule="exact"/>
              <w:jc w:val="center"/>
              <w:rPr>
                <w:i/>
                <w:sz w:val="21"/>
                <w:szCs w:val="21"/>
                <w:u w:val="single"/>
              </w:rPr>
            </w:pPr>
            <w:r>
              <w:rPr>
                <w:rFonts w:hint="eastAsia"/>
                <w:i/>
                <w:sz w:val="21"/>
                <w:szCs w:val="21"/>
                <w:u w:val="single"/>
              </w:rPr>
              <w:t>8</w:t>
            </w:r>
          </w:p>
        </w:tc>
        <w:tc>
          <w:tcPr>
            <w:tcW w:w="3060" w:type="pct"/>
            <w:tcBorders>
              <w:top w:val="single" w:sz="6" w:space="0" w:color="auto"/>
              <w:left w:val="single" w:sz="6" w:space="0" w:color="auto"/>
              <w:bottom w:val="single" w:sz="12" w:space="0" w:color="auto"/>
              <w:right w:val="single" w:sz="6" w:space="0" w:color="auto"/>
            </w:tcBorders>
            <w:vAlign w:val="center"/>
          </w:tcPr>
          <w:p w:rsidR="00C675D4" w:rsidRPr="00CC4BB4" w:rsidRDefault="00C675D4" w:rsidP="00C675D4">
            <w:pPr>
              <w:spacing w:line="280" w:lineRule="exact"/>
              <w:jc w:val="center"/>
              <w:rPr>
                <w:i/>
                <w:snapToGrid w:val="0"/>
                <w:sz w:val="21"/>
                <w:szCs w:val="21"/>
                <w:u w:val="single"/>
              </w:rPr>
            </w:pPr>
            <w:r w:rsidRPr="00C675D4">
              <w:rPr>
                <w:i/>
                <w:snapToGrid w:val="0"/>
                <w:sz w:val="21"/>
                <w:szCs w:val="21"/>
                <w:u w:val="single"/>
              </w:rPr>
              <w:t>原黄庄一矿和赵沟煤矿工业广场</w:t>
            </w:r>
            <w:r>
              <w:rPr>
                <w:rFonts w:hint="eastAsia"/>
                <w:i/>
                <w:snapToGrid w:val="0"/>
                <w:sz w:val="21"/>
                <w:szCs w:val="21"/>
                <w:u w:val="single"/>
              </w:rPr>
              <w:t>拆除后，</w:t>
            </w:r>
            <w:r w:rsidRPr="00C675D4">
              <w:rPr>
                <w:rFonts w:hint="eastAsia"/>
                <w:i/>
                <w:snapToGrid w:val="0"/>
                <w:sz w:val="21"/>
                <w:szCs w:val="21"/>
                <w:u w:val="single"/>
              </w:rPr>
              <w:t>部分</w:t>
            </w:r>
            <w:r>
              <w:rPr>
                <w:rFonts w:hint="eastAsia"/>
                <w:i/>
                <w:snapToGrid w:val="0"/>
                <w:sz w:val="21"/>
                <w:szCs w:val="21"/>
                <w:u w:val="single"/>
              </w:rPr>
              <w:t>场地</w:t>
            </w:r>
            <w:r w:rsidRPr="00C675D4">
              <w:rPr>
                <w:i/>
                <w:snapToGrid w:val="0"/>
                <w:sz w:val="21"/>
                <w:szCs w:val="21"/>
                <w:u w:val="single"/>
              </w:rPr>
              <w:t>已复垦，</w:t>
            </w:r>
            <w:r>
              <w:rPr>
                <w:rFonts w:hint="eastAsia"/>
                <w:i/>
                <w:snapToGrid w:val="0"/>
                <w:sz w:val="21"/>
                <w:szCs w:val="21"/>
                <w:u w:val="single"/>
              </w:rPr>
              <w:t>但</w:t>
            </w:r>
            <w:r w:rsidRPr="00C675D4">
              <w:rPr>
                <w:rFonts w:hint="eastAsia"/>
                <w:i/>
                <w:snapToGrid w:val="0"/>
                <w:sz w:val="21"/>
                <w:szCs w:val="21"/>
                <w:u w:val="single"/>
              </w:rPr>
              <w:t>场地内仍有少量矸石遗留</w:t>
            </w:r>
          </w:p>
        </w:tc>
        <w:tc>
          <w:tcPr>
            <w:tcW w:w="1659" w:type="pct"/>
            <w:tcBorders>
              <w:top w:val="single" w:sz="6" w:space="0" w:color="auto"/>
              <w:left w:val="single" w:sz="6" w:space="0" w:color="auto"/>
              <w:bottom w:val="single" w:sz="12" w:space="0" w:color="auto"/>
              <w:right w:val="single" w:sz="12" w:space="0" w:color="auto"/>
            </w:tcBorders>
            <w:vAlign w:val="center"/>
          </w:tcPr>
          <w:p w:rsidR="00C675D4" w:rsidRPr="00CC4BB4" w:rsidRDefault="00C675D4" w:rsidP="00C675D4">
            <w:pPr>
              <w:spacing w:line="280" w:lineRule="exact"/>
              <w:jc w:val="center"/>
              <w:rPr>
                <w:i/>
                <w:snapToGrid w:val="0"/>
                <w:sz w:val="21"/>
                <w:szCs w:val="21"/>
                <w:u w:val="single"/>
              </w:rPr>
            </w:pPr>
            <w:r>
              <w:rPr>
                <w:rFonts w:hint="eastAsia"/>
                <w:i/>
                <w:snapToGrid w:val="0"/>
                <w:sz w:val="21"/>
                <w:szCs w:val="21"/>
                <w:u w:val="single"/>
              </w:rPr>
              <w:t>对矸石废渣进行</w:t>
            </w:r>
            <w:r w:rsidRPr="00C675D4">
              <w:rPr>
                <w:rFonts w:hint="eastAsia"/>
                <w:i/>
                <w:snapToGrid w:val="0"/>
                <w:sz w:val="21"/>
                <w:szCs w:val="21"/>
                <w:u w:val="single"/>
              </w:rPr>
              <w:t>清运，并进一步恢复植被</w:t>
            </w:r>
          </w:p>
        </w:tc>
      </w:tr>
    </w:tbl>
    <w:p w:rsidR="00240BCE" w:rsidRDefault="00AC0334" w:rsidP="009C5F33">
      <w:pPr>
        <w:pStyle w:val="2"/>
        <w:adjustRightInd w:val="0"/>
        <w:snapToGrid w:val="0"/>
        <w:spacing w:beforeLines="100" w:afterLines="50" w:line="240" w:lineRule="auto"/>
        <w:jc w:val="left"/>
        <w:rPr>
          <w:rFonts w:ascii="Times New Roman" w:eastAsia="宋体" w:hAnsi="Times New Roman"/>
          <w:bCs/>
          <w:spacing w:val="2"/>
          <w:szCs w:val="32"/>
        </w:rPr>
      </w:pPr>
      <w:bookmarkStart w:id="236" w:name="_Toc79668625"/>
      <w:bookmarkStart w:id="237" w:name="_Toc81934371"/>
      <w:r>
        <w:rPr>
          <w:rFonts w:ascii="Times New Roman" w:eastAsia="宋体" w:hAnsi="Times New Roman"/>
          <w:bCs/>
          <w:spacing w:val="2"/>
          <w:szCs w:val="32"/>
        </w:rPr>
        <w:t>3.2</w:t>
      </w:r>
      <w:r>
        <w:rPr>
          <w:rFonts w:ascii="Times New Roman" w:eastAsia="宋体" w:hAnsi="Times New Roman"/>
          <w:bCs/>
          <w:spacing w:val="2"/>
          <w:szCs w:val="32"/>
        </w:rPr>
        <w:t>升级改造工程概况</w:t>
      </w:r>
      <w:bookmarkEnd w:id="236"/>
      <w:bookmarkEnd w:id="237"/>
    </w:p>
    <w:p w:rsidR="00240BCE" w:rsidRDefault="00AC0334">
      <w:pPr>
        <w:spacing w:line="520" w:lineRule="exact"/>
        <w:ind w:firstLineChars="200" w:firstLine="488"/>
        <w:rPr>
          <w:spacing w:val="2"/>
          <w:sz w:val="24"/>
        </w:rPr>
      </w:pPr>
      <w:r>
        <w:rPr>
          <w:spacing w:val="2"/>
          <w:sz w:val="24"/>
        </w:rPr>
        <w:t>根据国家发展改革委《关于印发</w:t>
      </w:r>
      <w:r>
        <w:rPr>
          <w:spacing w:val="2"/>
          <w:sz w:val="24"/>
        </w:rPr>
        <w:t>30</w:t>
      </w:r>
      <w:r>
        <w:rPr>
          <w:spacing w:val="2"/>
          <w:sz w:val="24"/>
        </w:rPr>
        <w:t>万吨</w:t>
      </w:r>
      <w:r>
        <w:rPr>
          <w:spacing w:val="2"/>
          <w:sz w:val="24"/>
        </w:rPr>
        <w:t>/</w:t>
      </w:r>
      <w:r>
        <w:rPr>
          <w:spacing w:val="2"/>
          <w:sz w:val="24"/>
        </w:rPr>
        <w:t>年以下煤矿分类处置工作方案的通知》（</w:t>
      </w:r>
      <w:r>
        <w:rPr>
          <w:spacing w:val="2"/>
          <w:sz w:val="24"/>
        </w:rPr>
        <w:t>“</w:t>
      </w:r>
      <w:r>
        <w:rPr>
          <w:spacing w:val="2"/>
          <w:sz w:val="24"/>
        </w:rPr>
        <w:t>发改能源〔</w:t>
      </w:r>
      <w:r>
        <w:rPr>
          <w:spacing w:val="2"/>
          <w:sz w:val="24"/>
        </w:rPr>
        <w:t>2019</w:t>
      </w:r>
      <w:r>
        <w:rPr>
          <w:spacing w:val="2"/>
          <w:sz w:val="24"/>
        </w:rPr>
        <w:t>〕</w:t>
      </w:r>
      <w:r>
        <w:rPr>
          <w:spacing w:val="2"/>
          <w:sz w:val="24"/>
        </w:rPr>
        <w:t>1377</w:t>
      </w:r>
      <w:r>
        <w:rPr>
          <w:spacing w:val="2"/>
          <w:sz w:val="24"/>
        </w:rPr>
        <w:t>号</w:t>
      </w:r>
      <w:r>
        <w:rPr>
          <w:spacing w:val="2"/>
          <w:sz w:val="24"/>
        </w:rPr>
        <w:t>”</w:t>
      </w:r>
      <w:r>
        <w:rPr>
          <w:spacing w:val="2"/>
          <w:sz w:val="24"/>
        </w:rPr>
        <w:t>）文</w:t>
      </w:r>
      <w:r>
        <w:rPr>
          <w:spacing w:val="2"/>
          <w:sz w:val="24"/>
        </w:rPr>
        <w:t>“</w:t>
      </w:r>
      <w:r>
        <w:rPr>
          <w:spacing w:val="2"/>
          <w:sz w:val="24"/>
        </w:rPr>
        <w:t>支持剩余资源有保障，安全条件较好的煤矿改造提升至</w:t>
      </w:r>
      <w:r>
        <w:rPr>
          <w:spacing w:val="2"/>
          <w:sz w:val="24"/>
        </w:rPr>
        <w:t>30</w:t>
      </w:r>
      <w:r>
        <w:rPr>
          <w:spacing w:val="2"/>
          <w:sz w:val="24"/>
        </w:rPr>
        <w:t>万吨</w:t>
      </w:r>
      <w:r>
        <w:rPr>
          <w:spacing w:val="2"/>
          <w:sz w:val="24"/>
        </w:rPr>
        <w:t>/</w:t>
      </w:r>
      <w:r>
        <w:rPr>
          <w:spacing w:val="2"/>
          <w:sz w:val="24"/>
        </w:rPr>
        <w:t>年以上规模并实现机械化开采</w:t>
      </w:r>
      <w:r>
        <w:rPr>
          <w:spacing w:val="2"/>
          <w:sz w:val="24"/>
        </w:rPr>
        <w:t>”</w:t>
      </w:r>
      <w:r>
        <w:rPr>
          <w:spacing w:val="2"/>
          <w:sz w:val="24"/>
        </w:rPr>
        <w:t>的要求；根据河南省工业和信息化厅《关于切实做好全省</w:t>
      </w:r>
      <w:r>
        <w:rPr>
          <w:spacing w:val="2"/>
          <w:sz w:val="24"/>
        </w:rPr>
        <w:t>30</w:t>
      </w:r>
      <w:r>
        <w:rPr>
          <w:spacing w:val="2"/>
          <w:sz w:val="24"/>
        </w:rPr>
        <w:t>万吨</w:t>
      </w:r>
      <w:r>
        <w:rPr>
          <w:spacing w:val="2"/>
          <w:sz w:val="24"/>
        </w:rPr>
        <w:t>/</w:t>
      </w:r>
      <w:r>
        <w:rPr>
          <w:spacing w:val="2"/>
          <w:sz w:val="24"/>
        </w:rPr>
        <w:t>年以下煤矿分类处置工作的通知》（豫工信煤行〔</w:t>
      </w:r>
      <w:r>
        <w:rPr>
          <w:spacing w:val="2"/>
          <w:sz w:val="24"/>
        </w:rPr>
        <w:t>2020</w:t>
      </w:r>
      <w:r>
        <w:rPr>
          <w:spacing w:val="2"/>
          <w:sz w:val="24"/>
        </w:rPr>
        <w:t>〕</w:t>
      </w:r>
      <w:r>
        <w:rPr>
          <w:spacing w:val="2"/>
          <w:sz w:val="24"/>
        </w:rPr>
        <w:t>54</w:t>
      </w:r>
      <w:r>
        <w:rPr>
          <w:spacing w:val="2"/>
          <w:sz w:val="24"/>
        </w:rPr>
        <w:t>号）文：禹州神火隆庆矿业有限公司位于河南省</w:t>
      </w:r>
      <w:r>
        <w:rPr>
          <w:spacing w:val="2"/>
          <w:sz w:val="24"/>
        </w:rPr>
        <w:t>30</w:t>
      </w:r>
      <w:r>
        <w:rPr>
          <w:spacing w:val="2"/>
          <w:sz w:val="24"/>
        </w:rPr>
        <w:t>万吨</w:t>
      </w:r>
      <w:r>
        <w:rPr>
          <w:spacing w:val="2"/>
          <w:sz w:val="24"/>
        </w:rPr>
        <w:t>/</w:t>
      </w:r>
      <w:r>
        <w:rPr>
          <w:spacing w:val="2"/>
          <w:sz w:val="24"/>
        </w:rPr>
        <w:t>年以下煤矿分类处置中的</w:t>
      </w:r>
      <w:r>
        <w:rPr>
          <w:spacing w:val="2"/>
          <w:sz w:val="24"/>
        </w:rPr>
        <w:t>“</w:t>
      </w:r>
      <w:r>
        <w:rPr>
          <w:spacing w:val="2"/>
          <w:sz w:val="24"/>
        </w:rPr>
        <w:t>三、具备条件升级改造一批</w:t>
      </w:r>
      <w:r>
        <w:rPr>
          <w:spacing w:val="2"/>
          <w:sz w:val="24"/>
        </w:rPr>
        <w:t>”</w:t>
      </w:r>
      <w:r>
        <w:rPr>
          <w:spacing w:val="2"/>
          <w:sz w:val="24"/>
        </w:rPr>
        <w:t>名单中，</w:t>
      </w:r>
      <w:r>
        <w:rPr>
          <w:spacing w:val="2"/>
          <w:sz w:val="24"/>
        </w:rPr>
        <w:t>2020</w:t>
      </w:r>
      <w:r>
        <w:rPr>
          <w:spacing w:val="2"/>
          <w:sz w:val="24"/>
        </w:rPr>
        <w:t>年</w:t>
      </w:r>
      <w:r>
        <w:rPr>
          <w:spacing w:val="2"/>
          <w:sz w:val="24"/>
        </w:rPr>
        <w:t>6</w:t>
      </w:r>
      <w:r>
        <w:rPr>
          <w:spacing w:val="2"/>
          <w:sz w:val="24"/>
        </w:rPr>
        <w:t>月，隆庆煤矿委托中赟国际工程有限公司编制完成了《禹州神火隆庆矿业有限公司</w:t>
      </w:r>
      <w:r>
        <w:rPr>
          <w:spacing w:val="2"/>
          <w:sz w:val="24"/>
        </w:rPr>
        <w:t>30</w:t>
      </w:r>
      <w:r>
        <w:rPr>
          <w:spacing w:val="2"/>
          <w:sz w:val="24"/>
        </w:rPr>
        <w:t>万吨</w:t>
      </w:r>
      <w:r>
        <w:rPr>
          <w:spacing w:val="2"/>
          <w:sz w:val="24"/>
        </w:rPr>
        <w:t>/</w:t>
      </w:r>
      <w:r>
        <w:rPr>
          <w:spacing w:val="2"/>
          <w:sz w:val="24"/>
        </w:rPr>
        <w:t>年升级改造初步设计说明书》，该报告获河南省工业和信息化厅以</w:t>
      </w:r>
      <w:r>
        <w:rPr>
          <w:spacing w:val="2"/>
          <w:sz w:val="24"/>
        </w:rPr>
        <w:t>“</w:t>
      </w:r>
      <w:r>
        <w:rPr>
          <w:sz w:val="24"/>
        </w:rPr>
        <w:t>豫工信煤行函〔</w:t>
      </w:r>
      <w:r>
        <w:rPr>
          <w:sz w:val="24"/>
        </w:rPr>
        <w:t>2021</w:t>
      </w:r>
      <w:r>
        <w:rPr>
          <w:sz w:val="24"/>
        </w:rPr>
        <w:t>〕</w:t>
      </w:r>
      <w:r>
        <w:rPr>
          <w:sz w:val="24"/>
        </w:rPr>
        <w:t>4</w:t>
      </w:r>
      <w:r>
        <w:rPr>
          <w:sz w:val="24"/>
        </w:rPr>
        <w:t>号</w:t>
      </w:r>
      <w:r>
        <w:rPr>
          <w:spacing w:val="2"/>
          <w:sz w:val="24"/>
        </w:rPr>
        <w:t>”</w:t>
      </w:r>
      <w:r>
        <w:rPr>
          <w:spacing w:val="2"/>
          <w:sz w:val="24"/>
        </w:rPr>
        <w:t>文批复，本次升级改造主要将采煤工艺由悬移支架炮采放顶煤工艺变更为综合机械化放顶煤、安全监测监控系统由</w:t>
      </w:r>
      <w:r>
        <w:rPr>
          <w:spacing w:val="2"/>
          <w:sz w:val="24"/>
        </w:rPr>
        <w:t>KJ740X</w:t>
      </w:r>
      <w:r>
        <w:rPr>
          <w:spacing w:val="2"/>
          <w:sz w:val="24"/>
        </w:rPr>
        <w:t>型升级改造为</w:t>
      </w:r>
      <w:r>
        <w:rPr>
          <w:spacing w:val="2"/>
          <w:sz w:val="24"/>
        </w:rPr>
        <w:t>KJ101X</w:t>
      </w:r>
      <w:r>
        <w:rPr>
          <w:spacing w:val="2"/>
          <w:sz w:val="24"/>
        </w:rPr>
        <w:t>（</w:t>
      </w:r>
      <w:r>
        <w:rPr>
          <w:spacing w:val="2"/>
          <w:sz w:val="24"/>
        </w:rPr>
        <w:t>A</w:t>
      </w:r>
      <w:r>
        <w:rPr>
          <w:spacing w:val="2"/>
          <w:sz w:val="24"/>
        </w:rPr>
        <w:t>）型、对矿井现有</w:t>
      </w:r>
      <w:r>
        <w:rPr>
          <w:spacing w:val="2"/>
          <w:sz w:val="24"/>
        </w:rPr>
        <w:t>21010</w:t>
      </w:r>
      <w:r>
        <w:rPr>
          <w:spacing w:val="2"/>
          <w:sz w:val="24"/>
        </w:rPr>
        <w:t>工作面轨道运输顺槽和胶带运输顺槽进行扩刷以及对矿井现有各系统按照</w:t>
      </w:r>
      <w:r>
        <w:rPr>
          <w:spacing w:val="2"/>
          <w:sz w:val="24"/>
        </w:rPr>
        <w:t>0.30Mt/a</w:t>
      </w:r>
      <w:r>
        <w:rPr>
          <w:spacing w:val="2"/>
          <w:sz w:val="24"/>
        </w:rPr>
        <w:t>进行校核等，升级改造后设计生产能力</w:t>
      </w:r>
      <w:r>
        <w:rPr>
          <w:spacing w:val="2"/>
          <w:sz w:val="24"/>
        </w:rPr>
        <w:t>0.30Mt/a</w:t>
      </w:r>
      <w:r>
        <w:rPr>
          <w:spacing w:val="2"/>
          <w:sz w:val="24"/>
        </w:rPr>
        <w:t>，</w:t>
      </w:r>
      <w:r>
        <w:rPr>
          <w:spacing w:val="2"/>
          <w:sz w:val="24"/>
        </w:rPr>
        <w:lastRenderedPageBreak/>
        <w:t>采用综采放顶煤采煤工艺。</w:t>
      </w:r>
      <w:r w:rsidR="00CC4BB4" w:rsidRPr="00CC4BB4">
        <w:rPr>
          <w:rFonts w:hint="eastAsia"/>
          <w:b/>
          <w:i/>
          <w:spacing w:val="2"/>
          <w:sz w:val="24"/>
          <w:u w:val="single"/>
        </w:rPr>
        <w:t>升级改造内容见表</w:t>
      </w:r>
      <w:r w:rsidR="00CC4BB4" w:rsidRPr="00CC4BB4">
        <w:rPr>
          <w:rFonts w:hint="eastAsia"/>
          <w:b/>
          <w:i/>
          <w:spacing w:val="2"/>
          <w:sz w:val="24"/>
          <w:u w:val="single"/>
        </w:rPr>
        <w:t>3.2-1</w:t>
      </w:r>
      <w:r w:rsidR="00CC4BB4" w:rsidRPr="00CC4BB4">
        <w:rPr>
          <w:rFonts w:hint="eastAsia"/>
          <w:b/>
          <w:i/>
          <w:spacing w:val="2"/>
          <w:sz w:val="24"/>
          <w:u w:val="single"/>
        </w:rPr>
        <w:t>。</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38" w:name="_Toc79668626"/>
      <w:r>
        <w:rPr>
          <w:rFonts w:eastAsia="楷体"/>
          <w:sz w:val="28"/>
          <w:szCs w:val="28"/>
        </w:rPr>
        <w:t xml:space="preserve">3.2.1 </w:t>
      </w:r>
      <w:r>
        <w:rPr>
          <w:rFonts w:eastAsia="楷体"/>
          <w:sz w:val="28"/>
          <w:szCs w:val="28"/>
        </w:rPr>
        <w:t>项目基本情况</w:t>
      </w:r>
      <w:bookmarkEnd w:id="238"/>
    </w:p>
    <w:p w:rsidR="00240BCE" w:rsidRDefault="00AC0334">
      <w:pPr>
        <w:spacing w:line="520" w:lineRule="exact"/>
        <w:ind w:firstLineChars="200" w:firstLine="488"/>
        <w:rPr>
          <w:spacing w:val="2"/>
          <w:sz w:val="24"/>
        </w:rPr>
      </w:pPr>
      <w:r>
        <w:rPr>
          <w:spacing w:val="2"/>
          <w:sz w:val="24"/>
        </w:rPr>
        <w:t>项目名称：</w:t>
      </w:r>
      <w:r w:rsidR="00A22A40">
        <w:rPr>
          <w:spacing w:val="2"/>
          <w:sz w:val="24"/>
        </w:rPr>
        <w:t>禹州神火隆庆矿业有限公司</w:t>
      </w:r>
      <w:r w:rsidR="00A22A40">
        <w:rPr>
          <w:spacing w:val="2"/>
          <w:sz w:val="24"/>
        </w:rPr>
        <w:t>30</w:t>
      </w:r>
      <w:r w:rsidR="00A22A40">
        <w:rPr>
          <w:spacing w:val="2"/>
          <w:sz w:val="24"/>
        </w:rPr>
        <w:t>万吨</w:t>
      </w:r>
      <w:r w:rsidR="00A22A40">
        <w:rPr>
          <w:spacing w:val="2"/>
          <w:sz w:val="24"/>
        </w:rPr>
        <w:t>/</w:t>
      </w:r>
      <w:r w:rsidR="00A22A40">
        <w:rPr>
          <w:spacing w:val="2"/>
          <w:sz w:val="24"/>
        </w:rPr>
        <w:t>年升级改造</w:t>
      </w:r>
    </w:p>
    <w:p w:rsidR="00240BCE" w:rsidRDefault="00AC0334">
      <w:pPr>
        <w:spacing w:line="520" w:lineRule="exact"/>
        <w:ind w:firstLineChars="200" w:firstLine="488"/>
        <w:rPr>
          <w:spacing w:val="2"/>
          <w:sz w:val="24"/>
        </w:rPr>
      </w:pPr>
      <w:r>
        <w:rPr>
          <w:spacing w:val="2"/>
          <w:sz w:val="24"/>
        </w:rPr>
        <w:t>建设规模：设计规模</w:t>
      </w:r>
      <w:r>
        <w:rPr>
          <w:spacing w:val="2"/>
          <w:sz w:val="24"/>
        </w:rPr>
        <w:t>0.30Mt/a</w:t>
      </w:r>
    </w:p>
    <w:p w:rsidR="00240BCE" w:rsidRDefault="00AC0334">
      <w:pPr>
        <w:spacing w:line="520" w:lineRule="exact"/>
        <w:ind w:firstLineChars="200" w:firstLine="488"/>
        <w:rPr>
          <w:spacing w:val="2"/>
          <w:sz w:val="24"/>
        </w:rPr>
      </w:pPr>
      <w:r>
        <w:rPr>
          <w:spacing w:val="2"/>
          <w:sz w:val="24"/>
        </w:rPr>
        <w:t>服务年限：</w:t>
      </w:r>
      <w:r>
        <w:rPr>
          <w:spacing w:val="2"/>
          <w:sz w:val="24"/>
        </w:rPr>
        <w:t>11.6a</w:t>
      </w:r>
    </w:p>
    <w:p w:rsidR="00CC4BB4" w:rsidRPr="00CC4BB4" w:rsidRDefault="00AC0334" w:rsidP="00CC4BB4">
      <w:pPr>
        <w:spacing w:line="520" w:lineRule="exact"/>
        <w:ind w:firstLineChars="200" w:firstLine="488"/>
        <w:rPr>
          <w:i/>
          <w:spacing w:val="2"/>
          <w:sz w:val="24"/>
          <w:u w:val="single"/>
        </w:rPr>
      </w:pPr>
      <w:r>
        <w:rPr>
          <w:spacing w:val="2"/>
          <w:sz w:val="24"/>
        </w:rPr>
        <w:t>建设性质：技术改造</w:t>
      </w:r>
      <w:r w:rsidR="00CC4BB4">
        <w:rPr>
          <w:rFonts w:hint="eastAsia"/>
          <w:spacing w:val="2"/>
          <w:sz w:val="24"/>
        </w:rPr>
        <w:t>，</w:t>
      </w:r>
      <w:r w:rsidR="00CC4BB4" w:rsidRPr="00CC4BB4">
        <w:rPr>
          <w:rFonts w:hint="eastAsia"/>
          <w:b/>
          <w:i/>
          <w:spacing w:val="2"/>
          <w:sz w:val="24"/>
          <w:u w:val="single"/>
        </w:rPr>
        <w:t>在原</w:t>
      </w:r>
      <w:r w:rsidR="00CC4BB4" w:rsidRPr="00CC4BB4">
        <w:rPr>
          <w:rFonts w:hint="eastAsia"/>
          <w:b/>
          <w:i/>
          <w:spacing w:val="2"/>
          <w:sz w:val="24"/>
          <w:u w:val="single"/>
        </w:rPr>
        <w:t>15</w:t>
      </w:r>
      <w:r w:rsidR="00CC4BB4" w:rsidRPr="00CC4BB4">
        <w:rPr>
          <w:rFonts w:hint="eastAsia"/>
          <w:b/>
          <w:i/>
          <w:spacing w:val="2"/>
          <w:sz w:val="24"/>
          <w:u w:val="single"/>
        </w:rPr>
        <w:t>万吨</w:t>
      </w:r>
      <w:r w:rsidR="00CC4BB4" w:rsidRPr="00CC4BB4">
        <w:rPr>
          <w:rFonts w:hint="eastAsia"/>
          <w:b/>
          <w:i/>
          <w:spacing w:val="2"/>
          <w:sz w:val="24"/>
          <w:u w:val="single"/>
        </w:rPr>
        <w:t>/</w:t>
      </w:r>
      <w:r w:rsidR="00CC4BB4" w:rsidRPr="00CC4BB4">
        <w:rPr>
          <w:rFonts w:hint="eastAsia"/>
          <w:b/>
          <w:i/>
          <w:spacing w:val="2"/>
          <w:sz w:val="24"/>
          <w:u w:val="single"/>
        </w:rPr>
        <w:t>年的基础上进行升级改造</w:t>
      </w:r>
      <w:r w:rsidR="00CC4BB4">
        <w:rPr>
          <w:rFonts w:hint="eastAsia"/>
          <w:b/>
          <w:i/>
          <w:spacing w:val="2"/>
          <w:sz w:val="24"/>
          <w:u w:val="single"/>
        </w:rPr>
        <w:t>，</w:t>
      </w:r>
      <w:r w:rsidR="00CC4BB4" w:rsidRPr="00CC4BB4">
        <w:rPr>
          <w:b/>
          <w:i/>
          <w:spacing w:val="2"/>
          <w:sz w:val="24"/>
          <w:u w:val="single"/>
        </w:rPr>
        <w:t>目前</w:t>
      </w:r>
      <w:r w:rsidR="00CC4BB4">
        <w:rPr>
          <w:rFonts w:hint="eastAsia"/>
          <w:b/>
          <w:i/>
          <w:spacing w:val="2"/>
          <w:sz w:val="24"/>
          <w:u w:val="single"/>
        </w:rPr>
        <w:t>现有</w:t>
      </w:r>
      <w:r w:rsidR="00CC4BB4" w:rsidRPr="00CC4BB4">
        <w:rPr>
          <w:rFonts w:hint="eastAsia"/>
          <w:b/>
          <w:i/>
          <w:spacing w:val="2"/>
          <w:sz w:val="24"/>
          <w:u w:val="single"/>
        </w:rPr>
        <w:t>15</w:t>
      </w:r>
      <w:r w:rsidR="00CC4BB4" w:rsidRPr="00CC4BB4">
        <w:rPr>
          <w:rFonts w:hint="eastAsia"/>
          <w:b/>
          <w:i/>
          <w:spacing w:val="2"/>
          <w:sz w:val="24"/>
          <w:u w:val="single"/>
        </w:rPr>
        <w:t>万吨</w:t>
      </w:r>
      <w:r w:rsidR="00CC4BB4" w:rsidRPr="00CC4BB4">
        <w:rPr>
          <w:rFonts w:hint="eastAsia"/>
          <w:b/>
          <w:i/>
          <w:spacing w:val="2"/>
          <w:sz w:val="24"/>
          <w:u w:val="single"/>
        </w:rPr>
        <w:t>/</w:t>
      </w:r>
      <w:r w:rsidR="00CC4BB4" w:rsidRPr="00CC4BB4">
        <w:rPr>
          <w:rFonts w:hint="eastAsia"/>
          <w:b/>
          <w:i/>
          <w:spacing w:val="2"/>
          <w:sz w:val="24"/>
          <w:u w:val="single"/>
        </w:rPr>
        <w:t>年</w:t>
      </w:r>
      <w:r w:rsidR="00CC4BB4">
        <w:rPr>
          <w:rFonts w:hint="eastAsia"/>
          <w:b/>
          <w:i/>
          <w:spacing w:val="2"/>
          <w:sz w:val="24"/>
          <w:u w:val="single"/>
        </w:rPr>
        <w:t>工程尚未完工，本次</w:t>
      </w:r>
      <w:r w:rsidR="00CC4BB4" w:rsidRPr="00CC4BB4">
        <w:rPr>
          <w:rFonts w:hint="eastAsia"/>
          <w:b/>
          <w:i/>
          <w:spacing w:val="2"/>
          <w:sz w:val="24"/>
          <w:u w:val="single"/>
        </w:rPr>
        <w:t>升级改造工程尚未进行</w:t>
      </w:r>
      <w:r w:rsidR="00CC4BB4" w:rsidRPr="00CC4BB4">
        <w:rPr>
          <w:b/>
          <w:i/>
          <w:spacing w:val="2"/>
          <w:sz w:val="24"/>
          <w:u w:val="single"/>
        </w:rPr>
        <w:t>。</w:t>
      </w:r>
    </w:p>
    <w:p w:rsidR="00240BCE" w:rsidRDefault="00AC0334">
      <w:pPr>
        <w:spacing w:line="520" w:lineRule="exact"/>
        <w:ind w:firstLineChars="200" w:firstLine="488"/>
        <w:rPr>
          <w:spacing w:val="2"/>
          <w:sz w:val="24"/>
        </w:rPr>
      </w:pPr>
      <w:r>
        <w:rPr>
          <w:spacing w:val="2"/>
          <w:sz w:val="24"/>
        </w:rPr>
        <w:t>建设地点：河南省禹州市鸠山镇</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39" w:name="_Toc79668627"/>
      <w:r>
        <w:rPr>
          <w:rFonts w:eastAsia="楷体"/>
          <w:sz w:val="28"/>
          <w:szCs w:val="28"/>
        </w:rPr>
        <w:t xml:space="preserve">3.2.2 </w:t>
      </w:r>
      <w:r>
        <w:rPr>
          <w:rFonts w:eastAsia="楷体"/>
          <w:sz w:val="28"/>
          <w:szCs w:val="28"/>
        </w:rPr>
        <w:t>项目组成</w:t>
      </w:r>
      <w:bookmarkEnd w:id="239"/>
    </w:p>
    <w:p w:rsidR="00240BCE" w:rsidRDefault="00AC0334">
      <w:pPr>
        <w:spacing w:line="520" w:lineRule="exact"/>
        <w:ind w:firstLineChars="200" w:firstLine="480"/>
        <w:rPr>
          <w:spacing w:val="2"/>
          <w:sz w:val="24"/>
        </w:rPr>
      </w:pPr>
      <w:bookmarkStart w:id="240" w:name="_Toc143941634"/>
      <w:bookmarkStart w:id="241" w:name="_Toc148262217"/>
      <w:r>
        <w:rPr>
          <w:sz w:val="24"/>
        </w:rPr>
        <w:t>本项目为</w:t>
      </w:r>
      <w:r w:rsidR="00FC7D0F">
        <w:rPr>
          <w:rFonts w:hint="eastAsia"/>
          <w:sz w:val="24"/>
        </w:rPr>
        <w:t>升级</w:t>
      </w:r>
      <w:r>
        <w:rPr>
          <w:sz w:val="24"/>
        </w:rPr>
        <w:t>改造项目，</w:t>
      </w:r>
      <w:r>
        <w:rPr>
          <w:color w:val="000000"/>
          <w:kern w:val="0"/>
          <w:sz w:val="24"/>
        </w:rPr>
        <w:t>由矿井工程、辅助设施、公用工程及环保工程等组成。本次为产能扩大，主要为更换提升设备以及井下采煤设备、排水设备等，其余均利用原有</w:t>
      </w:r>
      <w:r w:rsidR="00CC4BB4">
        <w:rPr>
          <w:rFonts w:hint="eastAsia"/>
          <w:color w:val="000000"/>
          <w:kern w:val="0"/>
          <w:sz w:val="24"/>
        </w:rPr>
        <w:t>，</w:t>
      </w:r>
      <w:r w:rsidR="00CC4BB4" w:rsidRPr="00CC4BB4">
        <w:rPr>
          <w:rFonts w:hint="eastAsia"/>
          <w:b/>
          <w:i/>
          <w:color w:val="000000"/>
          <w:kern w:val="0"/>
          <w:sz w:val="24"/>
          <w:u w:val="single"/>
        </w:rPr>
        <w:t>升级改造内容见表</w:t>
      </w:r>
      <w:r w:rsidR="00CC4BB4" w:rsidRPr="00CC4BB4">
        <w:rPr>
          <w:rFonts w:hint="eastAsia"/>
          <w:b/>
          <w:i/>
          <w:color w:val="000000"/>
          <w:kern w:val="0"/>
          <w:sz w:val="24"/>
          <w:u w:val="single"/>
        </w:rPr>
        <w:t>3.2-1</w:t>
      </w:r>
      <w:r w:rsidRPr="00CC4BB4">
        <w:rPr>
          <w:b/>
          <w:i/>
          <w:color w:val="000000"/>
          <w:kern w:val="0"/>
          <w:sz w:val="24"/>
          <w:u w:val="single"/>
        </w:rPr>
        <w:t>。</w:t>
      </w:r>
      <w:bookmarkEnd w:id="240"/>
      <w:bookmarkEnd w:id="241"/>
      <w:r w:rsidR="00CC4BB4">
        <w:rPr>
          <w:rFonts w:hint="eastAsia"/>
          <w:b/>
          <w:i/>
          <w:color w:val="000000"/>
          <w:kern w:val="0"/>
          <w:sz w:val="24"/>
          <w:u w:val="single"/>
        </w:rPr>
        <w:t>升级改造后</w:t>
      </w:r>
      <w:r>
        <w:rPr>
          <w:sz w:val="24"/>
        </w:rPr>
        <w:t>项目组成及其内容见表</w:t>
      </w:r>
      <w:r>
        <w:rPr>
          <w:sz w:val="24"/>
        </w:rPr>
        <w:t>3.2-</w:t>
      </w:r>
      <w:r w:rsidR="00CC4BB4">
        <w:rPr>
          <w:rFonts w:hint="eastAsia"/>
          <w:sz w:val="24"/>
        </w:rPr>
        <w:t>2</w:t>
      </w:r>
      <w:r>
        <w:rPr>
          <w:sz w:val="24"/>
        </w:rPr>
        <w:t>。</w:t>
      </w:r>
    </w:p>
    <w:p w:rsidR="00CC4BB4" w:rsidRPr="00101969" w:rsidRDefault="00CC4BB4" w:rsidP="00CC4BB4">
      <w:pPr>
        <w:spacing w:line="520" w:lineRule="exact"/>
        <w:jc w:val="center"/>
        <w:rPr>
          <w:rFonts w:eastAsia="黑体"/>
          <w:b/>
          <w:bCs/>
          <w:i/>
          <w:iCs/>
          <w:sz w:val="24"/>
          <w:u w:val="single"/>
        </w:rPr>
      </w:pPr>
      <w:r w:rsidRPr="00101969">
        <w:rPr>
          <w:rFonts w:eastAsia="黑体"/>
          <w:b/>
          <w:bCs/>
          <w:i/>
          <w:iCs/>
          <w:sz w:val="24"/>
          <w:u w:val="single"/>
        </w:rPr>
        <w:t>表</w:t>
      </w:r>
      <w:r w:rsidRPr="00101969">
        <w:rPr>
          <w:rFonts w:eastAsia="黑体"/>
          <w:b/>
          <w:bCs/>
          <w:i/>
          <w:iCs/>
          <w:sz w:val="24"/>
          <w:u w:val="single"/>
        </w:rPr>
        <w:t xml:space="preserve">3.2-1  </w:t>
      </w:r>
      <w:r w:rsidRPr="00101969">
        <w:rPr>
          <w:rFonts w:eastAsia="黑体"/>
          <w:b/>
          <w:bCs/>
          <w:i/>
          <w:iCs/>
          <w:sz w:val="24"/>
          <w:u w:val="single"/>
        </w:rPr>
        <w:t>升级改造</w:t>
      </w:r>
      <w:r w:rsidRPr="00101969">
        <w:rPr>
          <w:rFonts w:eastAsia="黑体" w:hint="eastAsia"/>
          <w:b/>
          <w:bCs/>
          <w:i/>
          <w:iCs/>
          <w:sz w:val="24"/>
          <w:u w:val="single"/>
        </w:rPr>
        <w:t>内容</w:t>
      </w:r>
      <w:r w:rsidRPr="00101969">
        <w:rPr>
          <w:rFonts w:eastAsia="黑体"/>
          <w:b/>
          <w:bCs/>
          <w:i/>
          <w:iCs/>
          <w:sz w:val="24"/>
          <w:u w:val="single"/>
        </w:rPr>
        <w:t>一览表</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83"/>
        <w:gridCol w:w="957"/>
        <w:gridCol w:w="3789"/>
        <w:gridCol w:w="2847"/>
        <w:gridCol w:w="1120"/>
      </w:tblGrid>
      <w:tr w:rsidR="00CC4BB4" w:rsidRPr="00101969" w:rsidTr="00DA246A">
        <w:trPr>
          <w:cantSplit/>
          <w:jc w:val="center"/>
        </w:trPr>
        <w:tc>
          <w:tcPr>
            <w:tcW w:w="583" w:type="dxa"/>
            <w:tcMar>
              <w:left w:w="0" w:type="dxa"/>
              <w:right w:w="0" w:type="dxa"/>
            </w:tcMar>
            <w:vAlign w:val="center"/>
          </w:tcPr>
          <w:p w:rsidR="00CC4BB4" w:rsidRPr="00101969" w:rsidRDefault="00CC4BB4" w:rsidP="00DA246A">
            <w:pPr>
              <w:spacing w:line="280" w:lineRule="exact"/>
              <w:jc w:val="center"/>
              <w:rPr>
                <w:b/>
                <w:i/>
                <w:snapToGrid w:val="0"/>
                <w:kern w:val="0"/>
                <w:sz w:val="21"/>
                <w:szCs w:val="21"/>
                <w:u w:val="single"/>
              </w:rPr>
            </w:pPr>
            <w:r w:rsidRPr="00101969">
              <w:rPr>
                <w:b/>
                <w:i/>
                <w:snapToGrid w:val="0"/>
                <w:kern w:val="0"/>
                <w:sz w:val="21"/>
                <w:szCs w:val="21"/>
                <w:u w:val="single"/>
              </w:rPr>
              <w:t>工程类别</w:t>
            </w:r>
          </w:p>
        </w:tc>
        <w:tc>
          <w:tcPr>
            <w:tcW w:w="957" w:type="dxa"/>
            <w:tcMar>
              <w:left w:w="0" w:type="dxa"/>
              <w:right w:w="0" w:type="dxa"/>
            </w:tcMar>
            <w:vAlign w:val="center"/>
          </w:tcPr>
          <w:p w:rsidR="00CC4BB4" w:rsidRPr="00101969" w:rsidRDefault="00CC4BB4" w:rsidP="00DA246A">
            <w:pPr>
              <w:spacing w:line="280" w:lineRule="exact"/>
              <w:jc w:val="center"/>
              <w:rPr>
                <w:b/>
                <w:i/>
                <w:snapToGrid w:val="0"/>
                <w:kern w:val="0"/>
                <w:sz w:val="21"/>
                <w:szCs w:val="21"/>
                <w:u w:val="single"/>
              </w:rPr>
            </w:pPr>
            <w:r w:rsidRPr="00101969">
              <w:rPr>
                <w:b/>
                <w:i/>
                <w:snapToGrid w:val="0"/>
                <w:kern w:val="0"/>
                <w:sz w:val="21"/>
                <w:szCs w:val="21"/>
                <w:u w:val="single"/>
              </w:rPr>
              <w:t>单项工程</w:t>
            </w:r>
          </w:p>
        </w:tc>
        <w:tc>
          <w:tcPr>
            <w:tcW w:w="3789" w:type="dxa"/>
            <w:tcMar>
              <w:left w:w="108" w:type="dxa"/>
              <w:right w:w="108" w:type="dxa"/>
            </w:tcMar>
            <w:vAlign w:val="center"/>
          </w:tcPr>
          <w:p w:rsidR="00CC4BB4" w:rsidRPr="00101969" w:rsidRDefault="00CC4BB4" w:rsidP="00DA246A">
            <w:pPr>
              <w:spacing w:line="280" w:lineRule="exact"/>
              <w:jc w:val="center"/>
              <w:rPr>
                <w:b/>
                <w:i/>
                <w:snapToGrid w:val="0"/>
                <w:kern w:val="0"/>
                <w:sz w:val="21"/>
                <w:szCs w:val="21"/>
                <w:u w:val="single"/>
              </w:rPr>
            </w:pPr>
            <w:r w:rsidRPr="00101969">
              <w:rPr>
                <w:b/>
                <w:i/>
                <w:snapToGrid w:val="0"/>
                <w:kern w:val="0"/>
                <w:sz w:val="21"/>
                <w:szCs w:val="21"/>
                <w:u w:val="single"/>
              </w:rPr>
              <w:t>升级改造前现有工程内容（</w:t>
            </w:r>
            <w:r w:rsidRPr="00101969">
              <w:rPr>
                <w:b/>
                <w:i/>
                <w:snapToGrid w:val="0"/>
                <w:kern w:val="0"/>
                <w:sz w:val="21"/>
                <w:szCs w:val="21"/>
                <w:u w:val="single"/>
              </w:rPr>
              <w:t>0.15Mt/a</w:t>
            </w:r>
            <w:r w:rsidRPr="00101969">
              <w:rPr>
                <w:b/>
                <w:i/>
                <w:snapToGrid w:val="0"/>
                <w:kern w:val="0"/>
                <w:sz w:val="21"/>
                <w:szCs w:val="21"/>
                <w:u w:val="single"/>
              </w:rPr>
              <w:t>）</w:t>
            </w:r>
          </w:p>
        </w:tc>
        <w:tc>
          <w:tcPr>
            <w:tcW w:w="2847" w:type="dxa"/>
            <w:vAlign w:val="center"/>
          </w:tcPr>
          <w:p w:rsidR="00CC4BB4" w:rsidRPr="00101969" w:rsidRDefault="00CC4BB4" w:rsidP="00DA246A">
            <w:pPr>
              <w:spacing w:line="280" w:lineRule="exact"/>
              <w:jc w:val="center"/>
              <w:rPr>
                <w:b/>
                <w:i/>
                <w:snapToGrid w:val="0"/>
                <w:kern w:val="0"/>
                <w:sz w:val="21"/>
                <w:szCs w:val="21"/>
                <w:u w:val="single"/>
              </w:rPr>
            </w:pPr>
            <w:r w:rsidRPr="00101969">
              <w:rPr>
                <w:b/>
                <w:i/>
                <w:snapToGrid w:val="0"/>
                <w:kern w:val="0"/>
                <w:sz w:val="21"/>
                <w:szCs w:val="21"/>
                <w:u w:val="single"/>
              </w:rPr>
              <w:t>升级改造工程内容（</w:t>
            </w:r>
            <w:r w:rsidRPr="00101969">
              <w:rPr>
                <w:b/>
                <w:i/>
                <w:snapToGrid w:val="0"/>
                <w:kern w:val="0"/>
                <w:sz w:val="21"/>
                <w:szCs w:val="21"/>
                <w:u w:val="single"/>
              </w:rPr>
              <w:t>0.30Mt/a</w:t>
            </w:r>
            <w:r w:rsidRPr="00101969">
              <w:rPr>
                <w:b/>
                <w:i/>
                <w:snapToGrid w:val="0"/>
                <w:kern w:val="0"/>
                <w:sz w:val="21"/>
                <w:szCs w:val="21"/>
                <w:u w:val="single"/>
              </w:rPr>
              <w:t>）</w:t>
            </w:r>
          </w:p>
        </w:tc>
        <w:tc>
          <w:tcPr>
            <w:tcW w:w="1120" w:type="dxa"/>
            <w:vAlign w:val="center"/>
          </w:tcPr>
          <w:p w:rsidR="00CC4BB4" w:rsidRPr="00101969" w:rsidRDefault="00CC4BB4" w:rsidP="00DA246A">
            <w:pPr>
              <w:spacing w:line="280" w:lineRule="exact"/>
              <w:jc w:val="center"/>
              <w:rPr>
                <w:b/>
                <w:i/>
                <w:snapToGrid w:val="0"/>
                <w:kern w:val="0"/>
                <w:sz w:val="21"/>
                <w:szCs w:val="21"/>
                <w:u w:val="single"/>
              </w:rPr>
            </w:pPr>
            <w:r w:rsidRPr="00101969">
              <w:rPr>
                <w:b/>
                <w:i/>
                <w:snapToGrid w:val="0"/>
                <w:kern w:val="0"/>
                <w:sz w:val="21"/>
                <w:szCs w:val="21"/>
                <w:u w:val="single"/>
              </w:rPr>
              <w:t>与现有工程依托关系</w:t>
            </w:r>
          </w:p>
        </w:tc>
      </w:tr>
      <w:tr w:rsidR="00101969" w:rsidRPr="00101969" w:rsidTr="00DA246A">
        <w:trPr>
          <w:cantSplit/>
          <w:jc w:val="center"/>
        </w:trPr>
        <w:tc>
          <w:tcPr>
            <w:tcW w:w="583" w:type="dxa"/>
            <w:vMerge w:val="restart"/>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矿井工程</w:t>
            </w:r>
          </w:p>
        </w:tc>
        <w:tc>
          <w:tcPr>
            <w:tcW w:w="957" w:type="dxa"/>
            <w:tcMar>
              <w:left w:w="108" w:type="dxa"/>
              <w:right w:w="108" w:type="dxa"/>
            </w:tcMar>
            <w:vAlign w:val="center"/>
          </w:tcPr>
          <w:p w:rsidR="00101969" w:rsidRPr="00101969" w:rsidRDefault="00101969" w:rsidP="00DA246A">
            <w:pPr>
              <w:spacing w:line="280" w:lineRule="exact"/>
              <w:jc w:val="center"/>
              <w:rPr>
                <w:b/>
                <w:i/>
                <w:kern w:val="0"/>
                <w:sz w:val="21"/>
                <w:szCs w:val="21"/>
                <w:u w:val="single"/>
              </w:rPr>
            </w:pPr>
            <w:r w:rsidRPr="00101969">
              <w:rPr>
                <w:b/>
                <w:i/>
                <w:kern w:val="0"/>
                <w:sz w:val="21"/>
                <w:szCs w:val="21"/>
                <w:u w:val="single"/>
              </w:rPr>
              <w:t>采煤工艺</w:t>
            </w:r>
          </w:p>
        </w:tc>
        <w:tc>
          <w:tcPr>
            <w:tcW w:w="3789" w:type="dxa"/>
            <w:tcMar>
              <w:left w:w="0" w:type="dxa"/>
              <w:right w:w="0" w:type="dxa"/>
            </w:tcMar>
            <w:vAlign w:val="center"/>
          </w:tcPr>
          <w:p w:rsidR="00101969" w:rsidRPr="00101969" w:rsidRDefault="00101969" w:rsidP="00DA246A">
            <w:pPr>
              <w:spacing w:line="280" w:lineRule="exact"/>
              <w:jc w:val="center"/>
              <w:rPr>
                <w:b/>
                <w:i/>
                <w:kern w:val="0"/>
                <w:sz w:val="21"/>
                <w:szCs w:val="21"/>
                <w:u w:val="single"/>
              </w:rPr>
            </w:pPr>
            <w:r w:rsidRPr="00101969">
              <w:rPr>
                <w:b/>
                <w:i/>
                <w:kern w:val="0"/>
                <w:sz w:val="21"/>
                <w:szCs w:val="21"/>
                <w:u w:val="single"/>
              </w:rPr>
              <w:t>走向长壁采煤法，炮采采煤工艺，悬移液压支架支护，全部跨落法管理顶板</w:t>
            </w:r>
          </w:p>
        </w:tc>
        <w:tc>
          <w:tcPr>
            <w:tcW w:w="2847" w:type="dxa"/>
            <w:vAlign w:val="center"/>
          </w:tcPr>
          <w:p w:rsidR="00101969" w:rsidRPr="00101969" w:rsidRDefault="00101969" w:rsidP="00DA246A">
            <w:pPr>
              <w:spacing w:line="280" w:lineRule="exact"/>
              <w:jc w:val="center"/>
              <w:rPr>
                <w:b/>
                <w:bCs/>
                <w:i/>
                <w:iCs/>
                <w:kern w:val="0"/>
                <w:sz w:val="21"/>
                <w:szCs w:val="21"/>
                <w:u w:val="single"/>
              </w:rPr>
            </w:pPr>
            <w:r w:rsidRPr="00101969">
              <w:rPr>
                <w:b/>
                <w:bCs/>
                <w:i/>
                <w:iCs/>
                <w:kern w:val="0"/>
                <w:sz w:val="21"/>
                <w:szCs w:val="21"/>
                <w:u w:val="single"/>
              </w:rPr>
              <w:t>走向长壁采煤法，综采放顶煤采煤工艺，全部跨落法管理顶板</w:t>
            </w:r>
          </w:p>
        </w:tc>
        <w:tc>
          <w:tcPr>
            <w:tcW w:w="1120"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新建</w:t>
            </w:r>
          </w:p>
        </w:tc>
      </w:tr>
      <w:tr w:rsidR="00101969" w:rsidRPr="00101969" w:rsidTr="00DA246A">
        <w:trPr>
          <w:cantSplit/>
          <w:jc w:val="center"/>
        </w:trPr>
        <w:tc>
          <w:tcPr>
            <w:tcW w:w="583" w:type="dxa"/>
            <w:vMerge/>
            <w:tcMar>
              <w:left w:w="108" w:type="dxa"/>
              <w:right w:w="108" w:type="dxa"/>
            </w:tcMar>
            <w:vAlign w:val="center"/>
          </w:tcPr>
          <w:p w:rsidR="00101969" w:rsidRPr="00101969" w:rsidRDefault="00101969" w:rsidP="00DA246A">
            <w:pPr>
              <w:spacing w:line="280" w:lineRule="exact"/>
              <w:jc w:val="center"/>
              <w:rPr>
                <w:b/>
                <w:i/>
                <w:snapToGrid w:val="0"/>
                <w:kern w:val="0"/>
                <w:sz w:val="21"/>
                <w:szCs w:val="21"/>
                <w:u w:val="single"/>
              </w:rPr>
            </w:pPr>
          </w:p>
        </w:tc>
        <w:tc>
          <w:tcPr>
            <w:tcW w:w="957"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安全监测监控系统</w:t>
            </w:r>
          </w:p>
        </w:tc>
        <w:tc>
          <w:tcPr>
            <w:tcW w:w="3789" w:type="dxa"/>
            <w:tcMar>
              <w:left w:w="108" w:type="dxa"/>
              <w:right w:w="108"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KJ740X</w:t>
            </w:r>
            <w:r w:rsidRPr="00101969">
              <w:rPr>
                <w:b/>
                <w:i/>
                <w:snapToGrid w:val="0"/>
                <w:kern w:val="0"/>
                <w:sz w:val="21"/>
                <w:szCs w:val="21"/>
                <w:u w:val="single"/>
              </w:rPr>
              <w:t>型安全监测监控系统</w:t>
            </w:r>
          </w:p>
        </w:tc>
        <w:tc>
          <w:tcPr>
            <w:tcW w:w="2847"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KJ101X</w:t>
            </w:r>
            <w:r w:rsidRPr="00101969">
              <w:rPr>
                <w:b/>
                <w:i/>
                <w:snapToGrid w:val="0"/>
                <w:kern w:val="0"/>
                <w:sz w:val="21"/>
                <w:szCs w:val="21"/>
                <w:u w:val="single"/>
              </w:rPr>
              <w:t>（</w:t>
            </w:r>
            <w:r w:rsidRPr="00101969">
              <w:rPr>
                <w:b/>
                <w:i/>
                <w:snapToGrid w:val="0"/>
                <w:kern w:val="0"/>
                <w:sz w:val="21"/>
                <w:szCs w:val="21"/>
                <w:u w:val="single"/>
              </w:rPr>
              <w:t>A</w:t>
            </w:r>
            <w:r w:rsidRPr="00101969">
              <w:rPr>
                <w:b/>
                <w:i/>
                <w:snapToGrid w:val="0"/>
                <w:kern w:val="0"/>
                <w:sz w:val="21"/>
                <w:szCs w:val="21"/>
                <w:u w:val="single"/>
              </w:rPr>
              <w:t>）型安全监测监控系统</w:t>
            </w:r>
          </w:p>
        </w:tc>
        <w:tc>
          <w:tcPr>
            <w:tcW w:w="1120"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新建</w:t>
            </w:r>
          </w:p>
        </w:tc>
      </w:tr>
      <w:tr w:rsidR="00101969" w:rsidRPr="00101969" w:rsidTr="00DA246A">
        <w:trPr>
          <w:cantSplit/>
          <w:jc w:val="center"/>
        </w:trPr>
        <w:tc>
          <w:tcPr>
            <w:tcW w:w="583" w:type="dxa"/>
            <w:vMerge w:val="restart"/>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环保工程</w:t>
            </w:r>
          </w:p>
        </w:tc>
        <w:tc>
          <w:tcPr>
            <w:tcW w:w="957" w:type="dxa"/>
            <w:tcMar>
              <w:left w:w="108" w:type="dxa"/>
              <w:right w:w="108"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转载点抑尘</w:t>
            </w:r>
          </w:p>
        </w:tc>
        <w:tc>
          <w:tcPr>
            <w:tcW w:w="3789"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w:t>
            </w:r>
          </w:p>
        </w:tc>
        <w:tc>
          <w:tcPr>
            <w:tcW w:w="2847" w:type="dxa"/>
            <w:vAlign w:val="center"/>
          </w:tcPr>
          <w:p w:rsidR="00101969" w:rsidRPr="00101969" w:rsidRDefault="00101969" w:rsidP="00D91CB5">
            <w:pPr>
              <w:spacing w:line="280" w:lineRule="exact"/>
              <w:jc w:val="center"/>
              <w:rPr>
                <w:b/>
                <w:i/>
                <w:snapToGrid w:val="0"/>
                <w:kern w:val="0"/>
                <w:sz w:val="21"/>
                <w:szCs w:val="21"/>
                <w:u w:val="single"/>
              </w:rPr>
            </w:pPr>
            <w:r w:rsidRPr="00101969">
              <w:rPr>
                <w:b/>
                <w:i/>
                <w:snapToGrid w:val="0"/>
                <w:kern w:val="0"/>
                <w:sz w:val="21"/>
                <w:szCs w:val="21"/>
                <w:u w:val="single"/>
              </w:rPr>
              <w:t>井口卸煤点封闭，</w:t>
            </w:r>
            <w:r w:rsidR="00D91CB5">
              <w:rPr>
                <w:rFonts w:hint="eastAsia"/>
                <w:b/>
                <w:i/>
                <w:snapToGrid w:val="0"/>
                <w:kern w:val="0"/>
                <w:sz w:val="21"/>
                <w:szCs w:val="21"/>
                <w:u w:val="single"/>
              </w:rPr>
              <w:t>安装袋式除尘器</w:t>
            </w:r>
          </w:p>
        </w:tc>
        <w:tc>
          <w:tcPr>
            <w:tcW w:w="1120"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新增</w:t>
            </w:r>
          </w:p>
        </w:tc>
      </w:tr>
      <w:tr w:rsidR="00101969" w:rsidRPr="00101969" w:rsidTr="00DA246A">
        <w:trPr>
          <w:cantSplit/>
          <w:jc w:val="center"/>
        </w:trPr>
        <w:tc>
          <w:tcPr>
            <w:tcW w:w="583" w:type="dxa"/>
            <w:vMerge/>
            <w:tcMar>
              <w:left w:w="108" w:type="dxa"/>
              <w:right w:w="108" w:type="dxa"/>
            </w:tcMar>
            <w:vAlign w:val="center"/>
          </w:tcPr>
          <w:p w:rsidR="00101969" w:rsidRPr="00101969" w:rsidRDefault="00101969" w:rsidP="00DA246A">
            <w:pPr>
              <w:spacing w:line="280" w:lineRule="exact"/>
              <w:jc w:val="center"/>
              <w:rPr>
                <w:b/>
                <w:i/>
                <w:snapToGrid w:val="0"/>
                <w:kern w:val="0"/>
                <w:sz w:val="21"/>
                <w:szCs w:val="21"/>
                <w:u w:val="single"/>
              </w:rPr>
            </w:pPr>
          </w:p>
        </w:tc>
        <w:tc>
          <w:tcPr>
            <w:tcW w:w="957"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机修车间焊接烟尘</w:t>
            </w:r>
          </w:p>
        </w:tc>
        <w:tc>
          <w:tcPr>
            <w:tcW w:w="3789"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w:t>
            </w:r>
          </w:p>
        </w:tc>
        <w:tc>
          <w:tcPr>
            <w:tcW w:w="2847"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机修车间封闭，采用集气罩</w:t>
            </w:r>
            <w:r w:rsidRPr="00101969">
              <w:rPr>
                <w:b/>
                <w:i/>
                <w:snapToGrid w:val="0"/>
                <w:kern w:val="0"/>
                <w:sz w:val="21"/>
                <w:szCs w:val="21"/>
                <w:u w:val="single"/>
              </w:rPr>
              <w:t>+</w:t>
            </w:r>
            <w:r w:rsidRPr="00101969">
              <w:rPr>
                <w:b/>
                <w:i/>
                <w:snapToGrid w:val="0"/>
                <w:kern w:val="0"/>
                <w:sz w:val="21"/>
                <w:szCs w:val="21"/>
                <w:u w:val="single"/>
              </w:rPr>
              <w:t>带式除尘器</w:t>
            </w:r>
          </w:p>
        </w:tc>
        <w:tc>
          <w:tcPr>
            <w:tcW w:w="1120"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新增</w:t>
            </w:r>
          </w:p>
        </w:tc>
      </w:tr>
      <w:tr w:rsidR="00101969" w:rsidRPr="00101969" w:rsidTr="00DA246A">
        <w:trPr>
          <w:cantSplit/>
          <w:jc w:val="center"/>
        </w:trPr>
        <w:tc>
          <w:tcPr>
            <w:tcW w:w="583" w:type="dxa"/>
            <w:vMerge/>
            <w:tcMar>
              <w:left w:w="108" w:type="dxa"/>
              <w:right w:w="108" w:type="dxa"/>
            </w:tcMar>
            <w:vAlign w:val="center"/>
          </w:tcPr>
          <w:p w:rsidR="00101969" w:rsidRPr="00101969" w:rsidRDefault="00101969" w:rsidP="00DA246A">
            <w:pPr>
              <w:spacing w:line="280" w:lineRule="exact"/>
              <w:jc w:val="center"/>
              <w:rPr>
                <w:b/>
                <w:i/>
                <w:snapToGrid w:val="0"/>
                <w:kern w:val="0"/>
                <w:sz w:val="21"/>
                <w:szCs w:val="21"/>
                <w:u w:val="single"/>
              </w:rPr>
            </w:pPr>
          </w:p>
        </w:tc>
        <w:tc>
          <w:tcPr>
            <w:tcW w:w="957"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矿井水处理站</w:t>
            </w:r>
          </w:p>
        </w:tc>
        <w:tc>
          <w:tcPr>
            <w:tcW w:w="3789" w:type="dxa"/>
            <w:tcMar>
              <w:left w:w="108" w:type="dxa"/>
              <w:right w:w="108"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斜管沉淀池，处理能力</w:t>
            </w:r>
            <w:r w:rsidRPr="00101969">
              <w:rPr>
                <w:b/>
                <w:i/>
                <w:snapToGrid w:val="0"/>
                <w:kern w:val="0"/>
                <w:sz w:val="21"/>
                <w:szCs w:val="21"/>
                <w:u w:val="single"/>
              </w:rPr>
              <w:t>60m</w:t>
            </w:r>
            <w:r w:rsidRPr="00101969">
              <w:rPr>
                <w:b/>
                <w:i/>
                <w:snapToGrid w:val="0"/>
                <w:kern w:val="0"/>
                <w:sz w:val="21"/>
                <w:szCs w:val="21"/>
                <w:u w:val="single"/>
                <w:vertAlign w:val="superscript"/>
              </w:rPr>
              <w:t>3</w:t>
            </w:r>
            <w:r w:rsidRPr="00101969">
              <w:rPr>
                <w:b/>
                <w:i/>
                <w:snapToGrid w:val="0"/>
                <w:kern w:val="0"/>
                <w:sz w:val="21"/>
                <w:szCs w:val="21"/>
                <w:u w:val="single"/>
              </w:rPr>
              <w:t>/h</w:t>
            </w:r>
            <w:r w:rsidRPr="00101969">
              <w:rPr>
                <w:b/>
                <w:i/>
                <w:snapToGrid w:val="0"/>
                <w:kern w:val="0"/>
                <w:sz w:val="21"/>
                <w:szCs w:val="21"/>
                <w:u w:val="single"/>
              </w:rPr>
              <w:t>。</w:t>
            </w:r>
          </w:p>
        </w:tc>
        <w:tc>
          <w:tcPr>
            <w:tcW w:w="2847"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斜管沉淀池</w:t>
            </w:r>
            <w:r w:rsidRPr="00101969">
              <w:rPr>
                <w:b/>
                <w:i/>
                <w:snapToGrid w:val="0"/>
                <w:kern w:val="0"/>
                <w:sz w:val="21"/>
                <w:szCs w:val="21"/>
                <w:u w:val="single"/>
              </w:rPr>
              <w:t>+</w:t>
            </w:r>
            <w:r w:rsidRPr="00101969">
              <w:rPr>
                <w:b/>
                <w:i/>
                <w:snapToGrid w:val="0"/>
                <w:kern w:val="0"/>
                <w:sz w:val="21"/>
                <w:szCs w:val="21"/>
                <w:u w:val="single"/>
              </w:rPr>
              <w:t>无阀滤池</w:t>
            </w:r>
            <w:r w:rsidRPr="00101969">
              <w:rPr>
                <w:b/>
                <w:i/>
                <w:snapToGrid w:val="0"/>
                <w:kern w:val="0"/>
                <w:sz w:val="21"/>
                <w:szCs w:val="21"/>
                <w:u w:val="single"/>
              </w:rPr>
              <w:t>+</w:t>
            </w:r>
            <w:r w:rsidRPr="00101969">
              <w:rPr>
                <w:b/>
                <w:i/>
                <w:snapToGrid w:val="0"/>
                <w:kern w:val="0"/>
                <w:sz w:val="21"/>
                <w:szCs w:val="21"/>
                <w:u w:val="single"/>
              </w:rPr>
              <w:t>消毒等，处理能力</w:t>
            </w:r>
            <w:r w:rsidRPr="00101969">
              <w:rPr>
                <w:b/>
                <w:i/>
                <w:snapToGrid w:val="0"/>
                <w:kern w:val="0"/>
                <w:sz w:val="21"/>
                <w:szCs w:val="21"/>
                <w:u w:val="single"/>
              </w:rPr>
              <w:t>240m</w:t>
            </w:r>
            <w:r w:rsidRPr="00101969">
              <w:rPr>
                <w:b/>
                <w:i/>
                <w:snapToGrid w:val="0"/>
                <w:kern w:val="0"/>
                <w:sz w:val="21"/>
                <w:szCs w:val="21"/>
                <w:u w:val="single"/>
                <w:vertAlign w:val="superscript"/>
              </w:rPr>
              <w:t>3</w:t>
            </w:r>
            <w:r w:rsidRPr="00101969">
              <w:rPr>
                <w:b/>
                <w:i/>
                <w:snapToGrid w:val="0"/>
                <w:kern w:val="0"/>
                <w:sz w:val="21"/>
                <w:szCs w:val="21"/>
                <w:u w:val="single"/>
              </w:rPr>
              <w:t>/h</w:t>
            </w:r>
          </w:p>
        </w:tc>
        <w:tc>
          <w:tcPr>
            <w:tcW w:w="1120"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改造</w:t>
            </w:r>
            <w:r w:rsidRPr="00101969">
              <w:rPr>
                <w:b/>
                <w:i/>
                <w:snapToGrid w:val="0"/>
                <w:kern w:val="0"/>
                <w:sz w:val="21"/>
                <w:szCs w:val="21"/>
                <w:u w:val="single"/>
              </w:rPr>
              <w:t>+</w:t>
            </w:r>
            <w:r w:rsidRPr="00101969">
              <w:rPr>
                <w:b/>
                <w:i/>
                <w:snapToGrid w:val="0"/>
                <w:kern w:val="0"/>
                <w:sz w:val="21"/>
                <w:szCs w:val="21"/>
                <w:u w:val="single"/>
              </w:rPr>
              <w:t>新建</w:t>
            </w:r>
          </w:p>
        </w:tc>
      </w:tr>
      <w:tr w:rsidR="00101969" w:rsidRPr="00101969" w:rsidTr="00DA246A">
        <w:trPr>
          <w:cantSplit/>
          <w:jc w:val="center"/>
        </w:trPr>
        <w:tc>
          <w:tcPr>
            <w:tcW w:w="583" w:type="dxa"/>
            <w:vMerge/>
            <w:tcMar>
              <w:left w:w="108" w:type="dxa"/>
              <w:right w:w="108" w:type="dxa"/>
            </w:tcMar>
            <w:vAlign w:val="center"/>
          </w:tcPr>
          <w:p w:rsidR="00101969" w:rsidRPr="00101969" w:rsidRDefault="00101969" w:rsidP="00DA246A">
            <w:pPr>
              <w:spacing w:line="280" w:lineRule="exact"/>
              <w:jc w:val="center"/>
              <w:rPr>
                <w:b/>
                <w:i/>
                <w:snapToGrid w:val="0"/>
                <w:kern w:val="0"/>
                <w:sz w:val="21"/>
                <w:szCs w:val="21"/>
                <w:u w:val="single"/>
              </w:rPr>
            </w:pPr>
          </w:p>
        </w:tc>
        <w:tc>
          <w:tcPr>
            <w:tcW w:w="957"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初期雨水</w:t>
            </w:r>
          </w:p>
        </w:tc>
        <w:tc>
          <w:tcPr>
            <w:tcW w:w="3789"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color w:val="000000"/>
                <w:kern w:val="0"/>
                <w:sz w:val="21"/>
                <w:szCs w:val="21"/>
                <w:u w:val="single"/>
              </w:rPr>
              <w:t>位于工业场地东南部，容积</w:t>
            </w:r>
            <w:r w:rsidRPr="00101969">
              <w:rPr>
                <w:b/>
                <w:i/>
                <w:snapToGrid w:val="0"/>
                <w:color w:val="000000"/>
                <w:kern w:val="0"/>
                <w:sz w:val="21"/>
                <w:szCs w:val="21"/>
                <w:u w:val="single"/>
              </w:rPr>
              <w:t>150m</w:t>
            </w:r>
            <w:r w:rsidRPr="00101969">
              <w:rPr>
                <w:b/>
                <w:i/>
                <w:snapToGrid w:val="0"/>
                <w:color w:val="000000"/>
                <w:kern w:val="0"/>
                <w:sz w:val="21"/>
                <w:szCs w:val="21"/>
                <w:u w:val="single"/>
                <w:vertAlign w:val="superscript"/>
              </w:rPr>
              <w:t>3</w:t>
            </w:r>
          </w:p>
        </w:tc>
        <w:tc>
          <w:tcPr>
            <w:tcW w:w="2847" w:type="dxa"/>
            <w:vAlign w:val="center"/>
          </w:tcPr>
          <w:p w:rsidR="00101969" w:rsidRPr="00101969" w:rsidRDefault="00101969" w:rsidP="00DA246A">
            <w:pPr>
              <w:spacing w:line="280" w:lineRule="exact"/>
              <w:jc w:val="center"/>
              <w:rPr>
                <w:b/>
                <w:i/>
                <w:snapToGrid w:val="0"/>
                <w:color w:val="FF0000"/>
                <w:kern w:val="0"/>
                <w:sz w:val="21"/>
                <w:szCs w:val="21"/>
                <w:u w:val="single"/>
              </w:rPr>
            </w:pPr>
            <w:r w:rsidRPr="00101969">
              <w:rPr>
                <w:b/>
                <w:i/>
                <w:snapToGrid w:val="0"/>
                <w:kern w:val="0"/>
                <w:sz w:val="21"/>
                <w:szCs w:val="21"/>
                <w:u w:val="single"/>
              </w:rPr>
              <w:t>--</w:t>
            </w:r>
          </w:p>
        </w:tc>
        <w:tc>
          <w:tcPr>
            <w:tcW w:w="1120"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新增</w:t>
            </w:r>
          </w:p>
        </w:tc>
      </w:tr>
      <w:tr w:rsidR="00101969" w:rsidRPr="00101969" w:rsidTr="00DA246A">
        <w:trPr>
          <w:cantSplit/>
          <w:jc w:val="center"/>
        </w:trPr>
        <w:tc>
          <w:tcPr>
            <w:tcW w:w="583" w:type="dxa"/>
            <w:vMerge/>
            <w:tcMar>
              <w:left w:w="108" w:type="dxa"/>
              <w:right w:w="108" w:type="dxa"/>
            </w:tcMar>
            <w:vAlign w:val="center"/>
          </w:tcPr>
          <w:p w:rsidR="00101969" w:rsidRPr="00101969" w:rsidRDefault="00101969" w:rsidP="00DA246A">
            <w:pPr>
              <w:spacing w:line="280" w:lineRule="exact"/>
              <w:jc w:val="center"/>
              <w:rPr>
                <w:b/>
                <w:i/>
                <w:snapToGrid w:val="0"/>
                <w:kern w:val="0"/>
                <w:sz w:val="21"/>
                <w:szCs w:val="21"/>
                <w:u w:val="single"/>
              </w:rPr>
            </w:pPr>
          </w:p>
        </w:tc>
        <w:tc>
          <w:tcPr>
            <w:tcW w:w="957"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rFonts w:hint="eastAsia"/>
                <w:b/>
                <w:i/>
                <w:snapToGrid w:val="0"/>
                <w:kern w:val="0"/>
                <w:sz w:val="21"/>
                <w:szCs w:val="21"/>
                <w:u w:val="single"/>
              </w:rPr>
              <w:t>事故防范措施</w:t>
            </w:r>
          </w:p>
        </w:tc>
        <w:tc>
          <w:tcPr>
            <w:tcW w:w="3789" w:type="dxa"/>
            <w:tcMar>
              <w:left w:w="0" w:type="dxa"/>
              <w:right w:w="0" w:type="dxa"/>
            </w:tcMar>
            <w:vAlign w:val="center"/>
          </w:tcPr>
          <w:p w:rsidR="00101969" w:rsidRPr="00101969" w:rsidRDefault="00101969" w:rsidP="00DA246A">
            <w:pPr>
              <w:spacing w:line="280" w:lineRule="exact"/>
              <w:jc w:val="center"/>
              <w:rPr>
                <w:b/>
                <w:i/>
                <w:snapToGrid w:val="0"/>
                <w:color w:val="000000"/>
                <w:kern w:val="0"/>
                <w:sz w:val="21"/>
                <w:szCs w:val="21"/>
                <w:u w:val="single"/>
              </w:rPr>
            </w:pPr>
            <w:r w:rsidRPr="00101969">
              <w:rPr>
                <w:rFonts w:hint="eastAsia"/>
                <w:b/>
                <w:i/>
                <w:snapToGrid w:val="0"/>
                <w:color w:val="000000"/>
                <w:kern w:val="0"/>
                <w:sz w:val="21"/>
                <w:szCs w:val="21"/>
                <w:u w:val="single"/>
              </w:rPr>
              <w:t>--</w:t>
            </w:r>
          </w:p>
        </w:tc>
        <w:tc>
          <w:tcPr>
            <w:tcW w:w="2847" w:type="dxa"/>
            <w:vAlign w:val="center"/>
          </w:tcPr>
          <w:p w:rsidR="00101969" w:rsidRPr="00101969" w:rsidRDefault="00101969" w:rsidP="00DA246A">
            <w:pPr>
              <w:spacing w:line="280" w:lineRule="exact"/>
              <w:jc w:val="center"/>
              <w:rPr>
                <w:b/>
                <w:i/>
                <w:snapToGrid w:val="0"/>
                <w:kern w:val="0"/>
                <w:sz w:val="21"/>
                <w:szCs w:val="21"/>
                <w:u w:val="single"/>
              </w:rPr>
            </w:pPr>
            <w:r w:rsidRPr="00101969">
              <w:rPr>
                <w:rFonts w:hint="eastAsia"/>
                <w:b/>
                <w:i/>
                <w:snapToGrid w:val="0"/>
                <w:kern w:val="0"/>
                <w:sz w:val="21"/>
                <w:szCs w:val="21"/>
                <w:u w:val="single"/>
              </w:rPr>
              <w:t>新增</w:t>
            </w:r>
            <w:r w:rsidRPr="00101969">
              <w:rPr>
                <w:rFonts w:hint="eastAsia"/>
                <w:b/>
                <w:i/>
                <w:snapToGrid w:val="0"/>
                <w:kern w:val="0"/>
                <w:sz w:val="21"/>
                <w:szCs w:val="21"/>
                <w:u w:val="single"/>
              </w:rPr>
              <w:t>3000m</w:t>
            </w:r>
            <w:r w:rsidRPr="00101969">
              <w:rPr>
                <w:rFonts w:hint="eastAsia"/>
                <w:b/>
                <w:i/>
                <w:snapToGrid w:val="0"/>
                <w:kern w:val="0"/>
                <w:sz w:val="21"/>
                <w:szCs w:val="21"/>
                <w:u w:val="single"/>
                <w:vertAlign w:val="superscript"/>
              </w:rPr>
              <w:t>3</w:t>
            </w:r>
            <w:r w:rsidRPr="00101969">
              <w:rPr>
                <w:rFonts w:hint="eastAsia"/>
                <w:b/>
                <w:i/>
                <w:snapToGrid w:val="0"/>
                <w:kern w:val="0"/>
                <w:sz w:val="21"/>
                <w:szCs w:val="21"/>
                <w:u w:val="single"/>
              </w:rPr>
              <w:t>事故池</w:t>
            </w:r>
            <w:r w:rsidRPr="00101969">
              <w:rPr>
                <w:rFonts w:hint="eastAsia"/>
                <w:b/>
                <w:i/>
                <w:snapToGrid w:val="0"/>
                <w:kern w:val="0"/>
                <w:sz w:val="21"/>
                <w:szCs w:val="21"/>
                <w:u w:val="single"/>
              </w:rPr>
              <w:t>1</w:t>
            </w:r>
            <w:r w:rsidRPr="00101969">
              <w:rPr>
                <w:rFonts w:hint="eastAsia"/>
                <w:b/>
                <w:i/>
                <w:snapToGrid w:val="0"/>
                <w:kern w:val="0"/>
                <w:sz w:val="21"/>
                <w:szCs w:val="21"/>
                <w:u w:val="single"/>
              </w:rPr>
              <w:t>座</w:t>
            </w:r>
          </w:p>
        </w:tc>
        <w:tc>
          <w:tcPr>
            <w:tcW w:w="1120" w:type="dxa"/>
            <w:vAlign w:val="center"/>
          </w:tcPr>
          <w:p w:rsidR="00101969" w:rsidRPr="00101969" w:rsidRDefault="00101969" w:rsidP="00DA246A">
            <w:pPr>
              <w:spacing w:line="280" w:lineRule="exact"/>
              <w:jc w:val="center"/>
              <w:rPr>
                <w:b/>
                <w:i/>
                <w:snapToGrid w:val="0"/>
                <w:kern w:val="0"/>
                <w:sz w:val="21"/>
                <w:szCs w:val="21"/>
                <w:u w:val="single"/>
              </w:rPr>
            </w:pPr>
            <w:r w:rsidRPr="00101969">
              <w:rPr>
                <w:rFonts w:hint="eastAsia"/>
                <w:b/>
                <w:i/>
                <w:snapToGrid w:val="0"/>
                <w:kern w:val="0"/>
                <w:sz w:val="21"/>
                <w:szCs w:val="21"/>
                <w:u w:val="single"/>
              </w:rPr>
              <w:t>新增</w:t>
            </w:r>
          </w:p>
        </w:tc>
      </w:tr>
      <w:tr w:rsidR="00101969" w:rsidRPr="00101969" w:rsidTr="00DA246A">
        <w:trPr>
          <w:cantSplit/>
          <w:jc w:val="center"/>
        </w:trPr>
        <w:tc>
          <w:tcPr>
            <w:tcW w:w="583" w:type="dxa"/>
            <w:vMerge/>
            <w:tcMar>
              <w:left w:w="108" w:type="dxa"/>
              <w:right w:w="108" w:type="dxa"/>
            </w:tcMar>
            <w:vAlign w:val="center"/>
          </w:tcPr>
          <w:p w:rsidR="00101969" w:rsidRPr="00101969" w:rsidRDefault="00101969" w:rsidP="00DA246A">
            <w:pPr>
              <w:spacing w:line="280" w:lineRule="exact"/>
              <w:jc w:val="center"/>
              <w:rPr>
                <w:b/>
                <w:i/>
                <w:snapToGrid w:val="0"/>
                <w:kern w:val="0"/>
                <w:sz w:val="21"/>
                <w:szCs w:val="21"/>
                <w:u w:val="single"/>
              </w:rPr>
            </w:pPr>
          </w:p>
        </w:tc>
        <w:tc>
          <w:tcPr>
            <w:tcW w:w="957"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机修车间废机油</w:t>
            </w:r>
          </w:p>
        </w:tc>
        <w:tc>
          <w:tcPr>
            <w:tcW w:w="3789" w:type="dxa"/>
            <w:tcMar>
              <w:left w:w="108" w:type="dxa"/>
              <w:right w:w="108" w:type="dxa"/>
            </w:tcMar>
            <w:vAlign w:val="center"/>
          </w:tcPr>
          <w:p w:rsidR="00101969" w:rsidRPr="00101969" w:rsidRDefault="00101969" w:rsidP="00DA246A">
            <w:pPr>
              <w:spacing w:line="280" w:lineRule="exact"/>
              <w:jc w:val="center"/>
              <w:rPr>
                <w:b/>
                <w:i/>
                <w:snapToGrid w:val="0"/>
                <w:color w:val="000000"/>
                <w:kern w:val="0"/>
                <w:sz w:val="21"/>
                <w:szCs w:val="21"/>
                <w:u w:val="single"/>
              </w:rPr>
            </w:pPr>
            <w:r w:rsidRPr="00101969">
              <w:rPr>
                <w:b/>
                <w:i/>
                <w:snapToGrid w:val="0"/>
                <w:color w:val="000000"/>
                <w:kern w:val="0"/>
                <w:sz w:val="21"/>
                <w:szCs w:val="21"/>
                <w:u w:val="single"/>
              </w:rPr>
              <w:t>--</w:t>
            </w:r>
          </w:p>
        </w:tc>
        <w:tc>
          <w:tcPr>
            <w:tcW w:w="2847"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设置危废暂存间，经收集后交由有资质单位处置</w:t>
            </w:r>
          </w:p>
        </w:tc>
        <w:tc>
          <w:tcPr>
            <w:tcW w:w="1120" w:type="dxa"/>
            <w:vAlign w:val="center"/>
          </w:tcPr>
          <w:p w:rsidR="00101969" w:rsidRPr="00101969" w:rsidRDefault="00101969" w:rsidP="00DA246A">
            <w:pPr>
              <w:spacing w:line="280" w:lineRule="exact"/>
              <w:jc w:val="center"/>
              <w:rPr>
                <w:b/>
                <w:i/>
                <w:snapToGrid w:val="0"/>
                <w:kern w:val="0"/>
                <w:sz w:val="21"/>
                <w:szCs w:val="21"/>
                <w:u w:val="single"/>
              </w:rPr>
            </w:pPr>
            <w:r w:rsidRPr="00101969">
              <w:rPr>
                <w:b/>
                <w:i/>
                <w:snapToGrid w:val="0"/>
                <w:kern w:val="0"/>
                <w:sz w:val="21"/>
                <w:szCs w:val="21"/>
                <w:u w:val="single"/>
              </w:rPr>
              <w:t>新增</w:t>
            </w:r>
          </w:p>
        </w:tc>
      </w:tr>
    </w:tbl>
    <w:p w:rsidR="00F5102A" w:rsidRDefault="00F5102A">
      <w:pPr>
        <w:spacing w:line="520" w:lineRule="exact"/>
        <w:jc w:val="center"/>
        <w:rPr>
          <w:rFonts w:eastAsia="黑体"/>
          <w:bCs/>
          <w:iCs/>
          <w:sz w:val="24"/>
        </w:rPr>
      </w:pPr>
    </w:p>
    <w:p w:rsidR="00F5102A" w:rsidRDefault="00F5102A" w:rsidP="00F5102A">
      <w:pPr>
        <w:pStyle w:val="a1"/>
      </w:pPr>
      <w:r>
        <w:br w:type="page"/>
      </w:r>
    </w:p>
    <w:p w:rsidR="00240BCE" w:rsidRDefault="00AC0334">
      <w:pPr>
        <w:spacing w:line="520" w:lineRule="exact"/>
        <w:jc w:val="center"/>
        <w:rPr>
          <w:rFonts w:eastAsia="黑体"/>
          <w:bCs/>
          <w:iCs/>
          <w:sz w:val="24"/>
        </w:rPr>
      </w:pPr>
      <w:r>
        <w:rPr>
          <w:rFonts w:eastAsia="黑体"/>
          <w:bCs/>
          <w:iCs/>
          <w:sz w:val="24"/>
        </w:rPr>
        <w:lastRenderedPageBreak/>
        <w:t>表</w:t>
      </w:r>
      <w:r>
        <w:rPr>
          <w:rFonts w:eastAsia="黑体"/>
          <w:bCs/>
          <w:iCs/>
          <w:sz w:val="24"/>
        </w:rPr>
        <w:t>3.2-</w:t>
      </w:r>
      <w:r w:rsidR="00CC4BB4">
        <w:rPr>
          <w:rFonts w:eastAsia="黑体" w:hint="eastAsia"/>
          <w:bCs/>
          <w:iCs/>
          <w:sz w:val="24"/>
        </w:rPr>
        <w:t>2</w:t>
      </w:r>
      <w:r>
        <w:rPr>
          <w:rFonts w:eastAsia="黑体"/>
          <w:bCs/>
          <w:iCs/>
          <w:sz w:val="24"/>
        </w:rPr>
        <w:t xml:space="preserve">  </w:t>
      </w:r>
      <w:r>
        <w:rPr>
          <w:rFonts w:eastAsia="黑体"/>
          <w:bCs/>
          <w:iCs/>
          <w:sz w:val="24"/>
        </w:rPr>
        <w:t>升级改造前后项目组成一览表</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83"/>
        <w:gridCol w:w="957"/>
        <w:gridCol w:w="3789"/>
        <w:gridCol w:w="2847"/>
        <w:gridCol w:w="1120"/>
      </w:tblGrid>
      <w:tr w:rsidR="00240BCE">
        <w:trPr>
          <w:cantSplit/>
          <w:jc w:val="center"/>
        </w:trPr>
        <w:tc>
          <w:tcPr>
            <w:tcW w:w="583"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工程类别</w:t>
            </w:r>
          </w:p>
        </w:tc>
        <w:tc>
          <w:tcPr>
            <w:tcW w:w="957"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单项工程</w:t>
            </w:r>
          </w:p>
        </w:tc>
        <w:tc>
          <w:tcPr>
            <w:tcW w:w="3789"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升级改造前现有工程内容（</w:t>
            </w:r>
            <w:r>
              <w:rPr>
                <w:snapToGrid w:val="0"/>
                <w:kern w:val="0"/>
                <w:sz w:val="21"/>
                <w:szCs w:val="21"/>
              </w:rPr>
              <w:t>0.15Mt/a</w:t>
            </w:r>
            <w:r>
              <w:rPr>
                <w:snapToGrid w:val="0"/>
                <w:kern w:val="0"/>
                <w:sz w:val="21"/>
                <w:szCs w:val="21"/>
              </w:rPr>
              <w:t>）</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升级改造工程内容（</w:t>
            </w:r>
            <w:r>
              <w:rPr>
                <w:snapToGrid w:val="0"/>
                <w:kern w:val="0"/>
                <w:sz w:val="21"/>
                <w:szCs w:val="21"/>
              </w:rPr>
              <w:t>0.30Mt/a</w:t>
            </w: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与现有工程依托关系</w:t>
            </w:r>
          </w:p>
        </w:tc>
      </w:tr>
      <w:tr w:rsidR="00240BCE">
        <w:trPr>
          <w:cantSplit/>
          <w:jc w:val="center"/>
        </w:trPr>
        <w:tc>
          <w:tcPr>
            <w:tcW w:w="583" w:type="dxa"/>
            <w:vMerge w:val="restart"/>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矿井工程</w:t>
            </w:r>
          </w:p>
        </w:tc>
        <w:tc>
          <w:tcPr>
            <w:tcW w:w="957"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主井</w:t>
            </w:r>
          </w:p>
        </w:tc>
        <w:tc>
          <w:tcPr>
            <w:tcW w:w="3789" w:type="dxa"/>
            <w:tcMar>
              <w:left w:w="0" w:type="dxa"/>
              <w:right w:w="0" w:type="dxa"/>
            </w:tcMar>
            <w:vAlign w:val="center"/>
          </w:tcPr>
          <w:p w:rsidR="00240BCE" w:rsidRDefault="00AC0334">
            <w:pPr>
              <w:spacing w:line="280" w:lineRule="exact"/>
              <w:rPr>
                <w:snapToGrid w:val="0"/>
                <w:kern w:val="0"/>
                <w:sz w:val="21"/>
                <w:szCs w:val="21"/>
              </w:rPr>
            </w:pPr>
            <w:r>
              <w:rPr>
                <w:snapToGrid w:val="0"/>
                <w:kern w:val="0"/>
                <w:sz w:val="21"/>
                <w:szCs w:val="21"/>
              </w:rPr>
              <w:t>井筒直径</w:t>
            </w:r>
            <w:r>
              <w:rPr>
                <w:snapToGrid w:val="0"/>
                <w:kern w:val="0"/>
                <w:sz w:val="21"/>
                <w:szCs w:val="21"/>
              </w:rPr>
              <w:t>4.6m</w:t>
            </w:r>
            <w:r>
              <w:rPr>
                <w:snapToGrid w:val="0"/>
                <w:kern w:val="0"/>
                <w:sz w:val="21"/>
                <w:szCs w:val="21"/>
              </w:rPr>
              <w:t>，装备一对</w:t>
            </w:r>
            <w:r>
              <w:rPr>
                <w:snapToGrid w:val="0"/>
                <w:kern w:val="0"/>
                <w:sz w:val="21"/>
                <w:szCs w:val="21"/>
              </w:rPr>
              <w:t>2t</w:t>
            </w:r>
            <w:r>
              <w:rPr>
                <w:snapToGrid w:val="0"/>
                <w:kern w:val="0"/>
                <w:sz w:val="21"/>
                <w:szCs w:val="21"/>
              </w:rPr>
              <w:t>非标准箕斗，担负全矿井提煤和进风任务，井筒内敷设压风管、消防洒水管，并安设金属梯子间作为矿井一安全出口；</w:t>
            </w:r>
            <w:r>
              <w:rPr>
                <w:snapToGrid w:val="0"/>
                <w:kern w:val="0"/>
                <w:sz w:val="21"/>
                <w:szCs w:val="21"/>
              </w:rPr>
              <w:t xml:space="preserve"> </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副井</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副立井直径</w:t>
            </w:r>
            <w:r>
              <w:rPr>
                <w:snapToGrid w:val="0"/>
                <w:kern w:val="0"/>
                <w:sz w:val="21"/>
                <w:szCs w:val="21"/>
              </w:rPr>
              <w:t>3.8m</w:t>
            </w:r>
            <w:r>
              <w:rPr>
                <w:snapToGrid w:val="0"/>
                <w:kern w:val="0"/>
                <w:sz w:val="21"/>
                <w:szCs w:val="21"/>
              </w:rPr>
              <w:t>，装备一对</w:t>
            </w:r>
            <w:r>
              <w:rPr>
                <w:snapToGrid w:val="0"/>
                <w:kern w:val="0"/>
                <w:sz w:val="21"/>
                <w:szCs w:val="21"/>
              </w:rPr>
              <w:t>0.75t</w:t>
            </w:r>
            <w:r>
              <w:rPr>
                <w:snapToGrid w:val="0"/>
                <w:kern w:val="0"/>
                <w:sz w:val="21"/>
                <w:szCs w:val="21"/>
              </w:rPr>
              <w:t>非标准罐笼，担负全矿井提矸、下料、升降人员、进风等任务；</w:t>
            </w:r>
            <w:r>
              <w:rPr>
                <w:snapToGrid w:val="0"/>
                <w:kern w:val="0"/>
                <w:sz w:val="21"/>
                <w:szCs w:val="21"/>
              </w:rPr>
              <w:t xml:space="preserve"> </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风井</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风井井筒直径</w:t>
            </w:r>
            <w:r>
              <w:rPr>
                <w:snapToGrid w:val="0"/>
                <w:kern w:val="0"/>
                <w:sz w:val="21"/>
                <w:szCs w:val="21"/>
              </w:rPr>
              <w:t>3.8m</w:t>
            </w:r>
            <w:r>
              <w:rPr>
                <w:snapToGrid w:val="0"/>
                <w:kern w:val="0"/>
                <w:sz w:val="21"/>
                <w:szCs w:val="21"/>
              </w:rPr>
              <w:t>，井口安装</w:t>
            </w:r>
            <w:r>
              <w:rPr>
                <w:snapToGrid w:val="0"/>
                <w:kern w:val="0"/>
                <w:sz w:val="21"/>
                <w:szCs w:val="21"/>
              </w:rPr>
              <w:t>2</w:t>
            </w:r>
            <w:r>
              <w:rPr>
                <w:snapToGrid w:val="0"/>
                <w:kern w:val="0"/>
                <w:sz w:val="21"/>
                <w:szCs w:val="21"/>
              </w:rPr>
              <w:t>台</w:t>
            </w:r>
            <w:r>
              <w:rPr>
                <w:snapToGrid w:val="0"/>
                <w:kern w:val="0"/>
                <w:sz w:val="21"/>
                <w:szCs w:val="21"/>
              </w:rPr>
              <w:t>FBCDZ-№16</w:t>
            </w:r>
            <w:r>
              <w:rPr>
                <w:snapToGrid w:val="0"/>
                <w:kern w:val="0"/>
                <w:sz w:val="21"/>
                <w:szCs w:val="21"/>
              </w:rPr>
              <w:t>型对旋轴流风机，担负全矿井的回风任务，同时安设梯子间，作为紧急情况下的安全出口。</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108" w:type="dxa"/>
              <w:right w:w="108" w:type="dxa"/>
            </w:tcMar>
            <w:vAlign w:val="center"/>
          </w:tcPr>
          <w:p w:rsidR="00240BCE" w:rsidRDefault="00AC0334">
            <w:pPr>
              <w:spacing w:line="280" w:lineRule="exact"/>
              <w:jc w:val="center"/>
              <w:rPr>
                <w:kern w:val="0"/>
                <w:sz w:val="21"/>
                <w:szCs w:val="21"/>
              </w:rPr>
            </w:pPr>
            <w:r>
              <w:rPr>
                <w:kern w:val="0"/>
                <w:sz w:val="21"/>
                <w:szCs w:val="21"/>
              </w:rPr>
              <w:t>采煤工艺</w:t>
            </w:r>
          </w:p>
        </w:tc>
        <w:tc>
          <w:tcPr>
            <w:tcW w:w="3789" w:type="dxa"/>
            <w:noWrap/>
            <w:tcMar>
              <w:left w:w="0" w:type="dxa"/>
              <w:right w:w="0" w:type="dxa"/>
            </w:tcMar>
            <w:vAlign w:val="center"/>
          </w:tcPr>
          <w:p w:rsidR="00240BCE" w:rsidRDefault="00AC0334">
            <w:pPr>
              <w:spacing w:line="280" w:lineRule="exact"/>
              <w:jc w:val="center"/>
              <w:rPr>
                <w:kern w:val="0"/>
                <w:sz w:val="21"/>
                <w:szCs w:val="21"/>
              </w:rPr>
            </w:pPr>
            <w:r>
              <w:rPr>
                <w:kern w:val="0"/>
                <w:sz w:val="21"/>
                <w:szCs w:val="21"/>
              </w:rPr>
              <w:t>走向长壁采煤法，炮采采煤工艺，悬移液压支架支护，全部跨落法管理顶板</w:t>
            </w:r>
          </w:p>
        </w:tc>
        <w:tc>
          <w:tcPr>
            <w:tcW w:w="2847" w:type="dxa"/>
            <w:vAlign w:val="center"/>
          </w:tcPr>
          <w:p w:rsidR="00240BCE" w:rsidRDefault="00AC0334">
            <w:pPr>
              <w:spacing w:line="280" w:lineRule="exact"/>
              <w:jc w:val="center"/>
              <w:rPr>
                <w:bCs/>
                <w:iCs/>
                <w:kern w:val="0"/>
                <w:sz w:val="21"/>
                <w:szCs w:val="21"/>
              </w:rPr>
            </w:pPr>
            <w:r>
              <w:rPr>
                <w:bCs/>
                <w:iCs/>
                <w:kern w:val="0"/>
                <w:sz w:val="21"/>
                <w:szCs w:val="21"/>
              </w:rPr>
              <w:t>走向长壁采煤法，综采放顶煤采煤工艺，全部跨落法管理顶板</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新建</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vMerge w:val="restart"/>
            <w:tcMar>
              <w:left w:w="108" w:type="dxa"/>
              <w:right w:w="108" w:type="dxa"/>
            </w:tcMar>
            <w:vAlign w:val="center"/>
          </w:tcPr>
          <w:p w:rsidR="00240BCE" w:rsidRDefault="00AC0334">
            <w:pPr>
              <w:spacing w:line="280" w:lineRule="exact"/>
              <w:jc w:val="center"/>
              <w:rPr>
                <w:bCs/>
                <w:iCs/>
                <w:kern w:val="0"/>
                <w:sz w:val="21"/>
                <w:szCs w:val="21"/>
              </w:rPr>
            </w:pPr>
            <w:r>
              <w:rPr>
                <w:bCs/>
                <w:iCs/>
                <w:kern w:val="0"/>
                <w:sz w:val="21"/>
                <w:szCs w:val="21"/>
              </w:rPr>
              <w:t>主要采煤设备</w:t>
            </w:r>
          </w:p>
        </w:tc>
        <w:tc>
          <w:tcPr>
            <w:tcW w:w="3789" w:type="dxa"/>
            <w:tcMar>
              <w:left w:w="108" w:type="dxa"/>
              <w:right w:w="108" w:type="dxa"/>
            </w:tcMar>
            <w:vAlign w:val="center"/>
          </w:tcPr>
          <w:p w:rsidR="00240BCE" w:rsidRDefault="00AC0334">
            <w:pPr>
              <w:spacing w:line="280" w:lineRule="exact"/>
              <w:jc w:val="center"/>
              <w:rPr>
                <w:bCs/>
                <w:iCs/>
                <w:sz w:val="21"/>
                <w:szCs w:val="21"/>
              </w:rPr>
            </w:pPr>
            <w:r>
              <w:rPr>
                <w:bCs/>
                <w:iCs/>
                <w:sz w:val="21"/>
                <w:szCs w:val="21"/>
              </w:rPr>
              <w:t>炮采，</w:t>
            </w:r>
            <w:r>
              <w:rPr>
                <w:bCs/>
                <w:iCs/>
                <w:sz w:val="21"/>
                <w:szCs w:val="21"/>
              </w:rPr>
              <w:t>ZY3200</w:t>
            </w:r>
            <w:r>
              <w:rPr>
                <w:bCs/>
                <w:iCs/>
                <w:sz w:val="21"/>
                <w:szCs w:val="21"/>
              </w:rPr>
              <w:t>型湿式煤电钻</w:t>
            </w:r>
          </w:p>
        </w:tc>
        <w:tc>
          <w:tcPr>
            <w:tcW w:w="2847" w:type="dxa"/>
            <w:vAlign w:val="center"/>
          </w:tcPr>
          <w:p w:rsidR="00240BCE" w:rsidRDefault="00AC0334">
            <w:pPr>
              <w:spacing w:line="280" w:lineRule="exact"/>
              <w:jc w:val="center"/>
              <w:rPr>
                <w:bCs/>
                <w:iCs/>
                <w:color w:val="000000"/>
                <w:sz w:val="21"/>
                <w:szCs w:val="21"/>
              </w:rPr>
            </w:pPr>
            <w:r>
              <w:rPr>
                <w:bCs/>
                <w:iCs/>
                <w:color w:val="000000"/>
                <w:sz w:val="21"/>
                <w:szCs w:val="21"/>
              </w:rPr>
              <w:t>综采，</w:t>
            </w:r>
            <w:r>
              <w:rPr>
                <w:bCs/>
                <w:iCs/>
                <w:color w:val="000000"/>
                <w:sz w:val="21"/>
                <w:szCs w:val="21"/>
              </w:rPr>
              <w:t>MG160/380WD</w:t>
            </w:r>
            <w:r>
              <w:rPr>
                <w:bCs/>
                <w:iCs/>
                <w:color w:val="000000"/>
                <w:sz w:val="21"/>
                <w:szCs w:val="21"/>
              </w:rPr>
              <w:t>采煤机</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新建</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vMerge/>
            <w:tcMar>
              <w:left w:w="108" w:type="dxa"/>
              <w:right w:w="108" w:type="dxa"/>
            </w:tcMar>
            <w:vAlign w:val="center"/>
          </w:tcPr>
          <w:p w:rsidR="00240BCE" w:rsidRDefault="00240BCE">
            <w:pPr>
              <w:spacing w:line="280" w:lineRule="exact"/>
              <w:jc w:val="center"/>
              <w:rPr>
                <w:bCs/>
                <w:iCs/>
                <w:kern w:val="0"/>
                <w:sz w:val="21"/>
                <w:szCs w:val="21"/>
              </w:rPr>
            </w:pPr>
          </w:p>
        </w:tc>
        <w:tc>
          <w:tcPr>
            <w:tcW w:w="3789" w:type="dxa"/>
            <w:tcMar>
              <w:left w:w="108" w:type="dxa"/>
              <w:right w:w="108" w:type="dxa"/>
            </w:tcMar>
            <w:vAlign w:val="center"/>
          </w:tcPr>
          <w:p w:rsidR="00240BCE" w:rsidRDefault="00AC0334">
            <w:pPr>
              <w:spacing w:line="280" w:lineRule="exact"/>
              <w:jc w:val="center"/>
              <w:rPr>
                <w:bCs/>
                <w:iCs/>
                <w:sz w:val="21"/>
                <w:szCs w:val="21"/>
              </w:rPr>
            </w:pPr>
            <w:r>
              <w:rPr>
                <w:bCs/>
                <w:iCs/>
                <w:sz w:val="21"/>
                <w:szCs w:val="21"/>
              </w:rPr>
              <w:t>SGB620/40T</w:t>
            </w:r>
            <w:r>
              <w:rPr>
                <w:bCs/>
                <w:iCs/>
                <w:sz w:val="21"/>
                <w:szCs w:val="21"/>
              </w:rPr>
              <w:t>型刮板运输机</w:t>
            </w:r>
          </w:p>
        </w:tc>
        <w:tc>
          <w:tcPr>
            <w:tcW w:w="2847" w:type="dxa"/>
            <w:vAlign w:val="center"/>
          </w:tcPr>
          <w:p w:rsidR="00240BCE" w:rsidRDefault="00AC0334">
            <w:pPr>
              <w:spacing w:line="280" w:lineRule="exact"/>
              <w:jc w:val="center"/>
              <w:rPr>
                <w:bCs/>
                <w:iCs/>
                <w:sz w:val="21"/>
                <w:szCs w:val="21"/>
              </w:rPr>
            </w:pPr>
            <w:r>
              <w:rPr>
                <w:bCs/>
                <w:iCs/>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vMerge/>
            <w:tcMar>
              <w:left w:w="108" w:type="dxa"/>
              <w:right w:w="108" w:type="dxa"/>
            </w:tcMar>
            <w:vAlign w:val="center"/>
          </w:tcPr>
          <w:p w:rsidR="00240BCE" w:rsidRDefault="00240BCE">
            <w:pPr>
              <w:spacing w:line="280" w:lineRule="exact"/>
              <w:jc w:val="center"/>
              <w:rPr>
                <w:bCs/>
                <w:iCs/>
                <w:kern w:val="0"/>
                <w:sz w:val="21"/>
                <w:szCs w:val="21"/>
              </w:rPr>
            </w:pPr>
          </w:p>
        </w:tc>
        <w:tc>
          <w:tcPr>
            <w:tcW w:w="3789" w:type="dxa"/>
            <w:tcMar>
              <w:left w:w="108" w:type="dxa"/>
              <w:right w:w="108" w:type="dxa"/>
            </w:tcMar>
            <w:vAlign w:val="center"/>
          </w:tcPr>
          <w:p w:rsidR="00240BCE" w:rsidRDefault="00AC0334">
            <w:pPr>
              <w:spacing w:line="280" w:lineRule="exact"/>
              <w:jc w:val="center"/>
              <w:rPr>
                <w:bCs/>
                <w:iCs/>
                <w:sz w:val="21"/>
                <w:szCs w:val="21"/>
              </w:rPr>
            </w:pPr>
            <w:r>
              <w:rPr>
                <w:bCs/>
                <w:iCs/>
                <w:sz w:val="21"/>
                <w:szCs w:val="21"/>
              </w:rPr>
              <w:t>SZD-630/75</w:t>
            </w:r>
            <w:r>
              <w:rPr>
                <w:bCs/>
                <w:iCs/>
                <w:sz w:val="21"/>
                <w:szCs w:val="21"/>
              </w:rPr>
              <w:t>型刮板转载机</w:t>
            </w:r>
          </w:p>
        </w:tc>
        <w:tc>
          <w:tcPr>
            <w:tcW w:w="2847" w:type="dxa"/>
            <w:vAlign w:val="center"/>
          </w:tcPr>
          <w:p w:rsidR="00240BCE" w:rsidRDefault="00AC0334">
            <w:pPr>
              <w:spacing w:line="280" w:lineRule="exact"/>
              <w:jc w:val="center"/>
              <w:rPr>
                <w:bCs/>
                <w:iCs/>
                <w:color w:val="000000"/>
                <w:sz w:val="21"/>
                <w:szCs w:val="21"/>
              </w:rPr>
            </w:pPr>
            <w:r>
              <w:rPr>
                <w:bCs/>
                <w:iCs/>
                <w:color w:val="00000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vMerge/>
            <w:tcMar>
              <w:left w:w="108" w:type="dxa"/>
              <w:right w:w="108" w:type="dxa"/>
            </w:tcMar>
            <w:vAlign w:val="center"/>
          </w:tcPr>
          <w:p w:rsidR="00240BCE" w:rsidRDefault="00240BCE">
            <w:pPr>
              <w:spacing w:line="280" w:lineRule="exact"/>
              <w:jc w:val="center"/>
              <w:rPr>
                <w:bCs/>
                <w:iCs/>
                <w:kern w:val="0"/>
                <w:sz w:val="21"/>
                <w:szCs w:val="21"/>
              </w:rPr>
            </w:pPr>
          </w:p>
        </w:tc>
        <w:tc>
          <w:tcPr>
            <w:tcW w:w="3789" w:type="dxa"/>
            <w:tcMar>
              <w:left w:w="108" w:type="dxa"/>
              <w:right w:w="108" w:type="dxa"/>
            </w:tcMar>
            <w:vAlign w:val="center"/>
          </w:tcPr>
          <w:p w:rsidR="00240BCE" w:rsidRDefault="00AC0334">
            <w:pPr>
              <w:spacing w:line="280" w:lineRule="exact"/>
              <w:jc w:val="center"/>
              <w:rPr>
                <w:bCs/>
                <w:iCs/>
                <w:sz w:val="21"/>
                <w:szCs w:val="21"/>
              </w:rPr>
            </w:pPr>
            <w:r>
              <w:rPr>
                <w:bCs/>
                <w:iCs/>
                <w:sz w:val="21"/>
                <w:szCs w:val="21"/>
              </w:rPr>
              <w:t>ZH2000/16/24Z</w:t>
            </w:r>
            <w:r>
              <w:rPr>
                <w:bCs/>
                <w:iCs/>
                <w:sz w:val="21"/>
                <w:szCs w:val="21"/>
              </w:rPr>
              <w:t>型悬移液压支架</w:t>
            </w:r>
          </w:p>
        </w:tc>
        <w:tc>
          <w:tcPr>
            <w:tcW w:w="2847" w:type="dxa"/>
            <w:vAlign w:val="center"/>
          </w:tcPr>
          <w:p w:rsidR="00240BCE" w:rsidRDefault="00AC0334">
            <w:pPr>
              <w:spacing w:line="280" w:lineRule="exact"/>
              <w:jc w:val="center"/>
              <w:rPr>
                <w:bCs/>
                <w:iCs/>
                <w:color w:val="000000"/>
                <w:sz w:val="21"/>
                <w:szCs w:val="21"/>
              </w:rPr>
            </w:pPr>
            <w:r>
              <w:rPr>
                <w:bCs/>
                <w:iCs/>
                <w:color w:val="00000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vMerge/>
            <w:tcMar>
              <w:left w:w="108" w:type="dxa"/>
              <w:right w:w="108" w:type="dxa"/>
            </w:tcMar>
            <w:vAlign w:val="center"/>
          </w:tcPr>
          <w:p w:rsidR="00240BCE" w:rsidRDefault="00240BCE">
            <w:pPr>
              <w:spacing w:line="280" w:lineRule="exact"/>
              <w:jc w:val="center"/>
              <w:rPr>
                <w:bCs/>
                <w:iCs/>
                <w:kern w:val="0"/>
                <w:sz w:val="21"/>
                <w:szCs w:val="21"/>
              </w:rPr>
            </w:pPr>
          </w:p>
        </w:tc>
        <w:tc>
          <w:tcPr>
            <w:tcW w:w="3789" w:type="dxa"/>
            <w:tcMar>
              <w:left w:w="108" w:type="dxa"/>
              <w:right w:w="108" w:type="dxa"/>
            </w:tcMar>
            <w:vAlign w:val="center"/>
          </w:tcPr>
          <w:p w:rsidR="00240BCE" w:rsidRDefault="00AC0334">
            <w:pPr>
              <w:spacing w:line="280" w:lineRule="exact"/>
              <w:jc w:val="center"/>
              <w:rPr>
                <w:bCs/>
                <w:iCs/>
                <w:sz w:val="21"/>
                <w:szCs w:val="21"/>
              </w:rPr>
            </w:pPr>
            <w:r>
              <w:rPr>
                <w:bCs/>
                <w:iCs/>
                <w:color w:val="000000"/>
                <w:sz w:val="21"/>
                <w:szCs w:val="21"/>
              </w:rPr>
              <w:t>800mm</w:t>
            </w:r>
            <w:r>
              <w:rPr>
                <w:bCs/>
                <w:iCs/>
                <w:color w:val="000000"/>
                <w:sz w:val="21"/>
                <w:szCs w:val="21"/>
              </w:rPr>
              <w:t>胶带输送机</w:t>
            </w:r>
          </w:p>
        </w:tc>
        <w:tc>
          <w:tcPr>
            <w:tcW w:w="2847" w:type="dxa"/>
            <w:vAlign w:val="center"/>
          </w:tcPr>
          <w:p w:rsidR="00240BCE" w:rsidRDefault="00AC0334">
            <w:pPr>
              <w:spacing w:line="280" w:lineRule="exact"/>
              <w:jc w:val="center"/>
              <w:rPr>
                <w:bCs/>
                <w:iCs/>
                <w:color w:val="000000"/>
                <w:sz w:val="21"/>
                <w:szCs w:val="21"/>
              </w:rPr>
            </w:pPr>
            <w:r>
              <w:rPr>
                <w:bCs/>
                <w:iCs/>
                <w:color w:val="00000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通风系统</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采用中央并列抽出式通风系统，由主井、副井进风，风井回风。</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排水系统</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沿副井井筒排水，</w:t>
            </w:r>
            <w:r>
              <w:rPr>
                <w:snapToGrid w:val="0"/>
                <w:kern w:val="0"/>
                <w:sz w:val="21"/>
                <w:szCs w:val="21"/>
              </w:rPr>
              <w:t>+45m</w:t>
            </w:r>
            <w:r>
              <w:rPr>
                <w:snapToGrid w:val="0"/>
                <w:kern w:val="0"/>
                <w:sz w:val="21"/>
                <w:szCs w:val="21"/>
              </w:rPr>
              <w:t>水平泵房设有</w:t>
            </w:r>
            <w:r>
              <w:rPr>
                <w:snapToGrid w:val="0"/>
                <w:kern w:val="0"/>
                <w:sz w:val="21"/>
                <w:szCs w:val="21"/>
              </w:rPr>
              <w:t>3</w:t>
            </w:r>
            <w:r>
              <w:rPr>
                <w:snapToGrid w:val="0"/>
                <w:kern w:val="0"/>
                <w:sz w:val="21"/>
                <w:szCs w:val="21"/>
              </w:rPr>
              <w:t>台</w:t>
            </w:r>
            <w:r>
              <w:rPr>
                <w:snapToGrid w:val="0"/>
                <w:kern w:val="0"/>
                <w:sz w:val="21"/>
                <w:szCs w:val="21"/>
              </w:rPr>
              <w:t>MD155-67×5</w:t>
            </w:r>
            <w:r>
              <w:rPr>
                <w:snapToGrid w:val="0"/>
                <w:kern w:val="0"/>
                <w:sz w:val="21"/>
                <w:szCs w:val="21"/>
              </w:rPr>
              <w:t>型耐磨离心泵，</w:t>
            </w:r>
            <w:r>
              <w:rPr>
                <w:snapToGrid w:val="0"/>
                <w:kern w:val="0"/>
                <w:sz w:val="21"/>
                <w:szCs w:val="21"/>
              </w:rPr>
              <w:t>1</w:t>
            </w:r>
            <w:r>
              <w:rPr>
                <w:snapToGrid w:val="0"/>
                <w:kern w:val="0"/>
                <w:sz w:val="21"/>
                <w:szCs w:val="21"/>
              </w:rPr>
              <w:t>台工作，</w:t>
            </w:r>
            <w:r>
              <w:rPr>
                <w:snapToGrid w:val="0"/>
                <w:kern w:val="0"/>
                <w:sz w:val="21"/>
                <w:szCs w:val="21"/>
              </w:rPr>
              <w:t>1</w:t>
            </w:r>
            <w:r>
              <w:rPr>
                <w:snapToGrid w:val="0"/>
                <w:kern w:val="0"/>
                <w:sz w:val="21"/>
                <w:szCs w:val="21"/>
              </w:rPr>
              <w:t>台备用，</w:t>
            </w:r>
            <w:r>
              <w:rPr>
                <w:snapToGrid w:val="0"/>
                <w:kern w:val="0"/>
                <w:sz w:val="21"/>
                <w:szCs w:val="21"/>
              </w:rPr>
              <w:t>1</w:t>
            </w:r>
            <w:r>
              <w:rPr>
                <w:snapToGrid w:val="0"/>
                <w:kern w:val="0"/>
                <w:sz w:val="21"/>
                <w:szCs w:val="21"/>
              </w:rPr>
              <w:t>台检修</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安全监测监控系统</w:t>
            </w:r>
          </w:p>
        </w:tc>
        <w:tc>
          <w:tcPr>
            <w:tcW w:w="3789"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KJ740X</w:t>
            </w:r>
            <w:r>
              <w:rPr>
                <w:snapToGrid w:val="0"/>
                <w:kern w:val="0"/>
                <w:sz w:val="21"/>
                <w:szCs w:val="21"/>
              </w:rPr>
              <w:t>型安全监测监控系统</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KJ101X</w:t>
            </w:r>
            <w:r>
              <w:rPr>
                <w:snapToGrid w:val="0"/>
                <w:kern w:val="0"/>
                <w:sz w:val="21"/>
                <w:szCs w:val="21"/>
              </w:rPr>
              <w:t>（</w:t>
            </w:r>
            <w:r>
              <w:rPr>
                <w:snapToGrid w:val="0"/>
                <w:kern w:val="0"/>
                <w:sz w:val="21"/>
                <w:szCs w:val="21"/>
              </w:rPr>
              <w:t>A</w:t>
            </w:r>
            <w:r>
              <w:rPr>
                <w:snapToGrid w:val="0"/>
                <w:kern w:val="0"/>
                <w:sz w:val="21"/>
                <w:szCs w:val="21"/>
              </w:rPr>
              <w:t>）型安全监测监控系统</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新建</w:t>
            </w:r>
          </w:p>
        </w:tc>
      </w:tr>
      <w:tr w:rsidR="00240BCE">
        <w:trPr>
          <w:cantSplit/>
          <w:jc w:val="center"/>
        </w:trPr>
        <w:tc>
          <w:tcPr>
            <w:tcW w:w="583" w:type="dxa"/>
            <w:vMerge w:val="restart"/>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辅助工程</w:t>
            </w:r>
          </w:p>
        </w:tc>
        <w:tc>
          <w:tcPr>
            <w:tcW w:w="957"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工业广场</w:t>
            </w:r>
          </w:p>
        </w:tc>
        <w:tc>
          <w:tcPr>
            <w:tcW w:w="3789" w:type="dxa"/>
            <w:tcMar>
              <w:left w:w="0" w:type="dxa"/>
              <w:right w:w="0" w:type="dxa"/>
            </w:tcMar>
            <w:vAlign w:val="center"/>
          </w:tcPr>
          <w:p w:rsidR="00240BCE" w:rsidRDefault="00AC0334" w:rsidP="00257B79">
            <w:pPr>
              <w:spacing w:line="280" w:lineRule="exact"/>
              <w:jc w:val="center"/>
              <w:rPr>
                <w:snapToGrid w:val="0"/>
                <w:kern w:val="0"/>
                <w:sz w:val="21"/>
                <w:szCs w:val="21"/>
              </w:rPr>
            </w:pPr>
            <w:r>
              <w:rPr>
                <w:bCs/>
                <w:snapToGrid w:val="0"/>
                <w:kern w:val="0"/>
                <w:sz w:val="21"/>
                <w:szCs w:val="21"/>
              </w:rPr>
              <w:t>占地面积</w:t>
            </w:r>
            <w:r>
              <w:rPr>
                <w:bCs/>
                <w:snapToGrid w:val="0"/>
                <w:kern w:val="0"/>
                <w:sz w:val="21"/>
                <w:szCs w:val="21"/>
              </w:rPr>
              <w:t>1.</w:t>
            </w:r>
            <w:r w:rsidR="00257B79">
              <w:rPr>
                <w:rFonts w:hint="eastAsia"/>
                <w:bCs/>
                <w:snapToGrid w:val="0"/>
                <w:kern w:val="0"/>
                <w:sz w:val="21"/>
                <w:szCs w:val="21"/>
              </w:rPr>
              <w:t>92</w:t>
            </w:r>
            <w:r>
              <w:rPr>
                <w:bCs/>
                <w:snapToGrid w:val="0"/>
                <w:kern w:val="0"/>
                <w:sz w:val="21"/>
                <w:szCs w:val="21"/>
              </w:rPr>
              <w:t>hm</w:t>
            </w:r>
            <w:r>
              <w:rPr>
                <w:bCs/>
                <w:snapToGrid w:val="0"/>
                <w:kern w:val="0"/>
                <w:sz w:val="21"/>
                <w:szCs w:val="21"/>
                <w:vertAlign w:val="superscript"/>
              </w:rPr>
              <w:t>2</w:t>
            </w:r>
            <w:r>
              <w:rPr>
                <w:rFonts w:hint="eastAsia"/>
                <w:bCs/>
                <w:snapToGrid w:val="0"/>
                <w:kern w:val="0"/>
                <w:sz w:val="21"/>
                <w:szCs w:val="21"/>
              </w:rPr>
              <w:t>，</w:t>
            </w:r>
            <w:r>
              <w:rPr>
                <w:bCs/>
                <w:snapToGrid w:val="0"/>
                <w:kern w:val="0"/>
                <w:sz w:val="21"/>
                <w:szCs w:val="21"/>
              </w:rPr>
              <w:t>主要设施有</w:t>
            </w:r>
            <w:r>
              <w:rPr>
                <w:snapToGrid w:val="0"/>
                <w:color w:val="000000"/>
                <w:kern w:val="0"/>
                <w:sz w:val="21"/>
                <w:szCs w:val="21"/>
              </w:rPr>
              <w:t>主井、副井、风井、</w:t>
            </w:r>
            <w:r w:rsidR="00802A62">
              <w:rPr>
                <w:snapToGrid w:val="0"/>
                <w:color w:val="000000"/>
                <w:kern w:val="0"/>
                <w:sz w:val="21"/>
                <w:szCs w:val="21"/>
              </w:rPr>
              <w:t>储煤库</w:t>
            </w:r>
            <w:r>
              <w:rPr>
                <w:snapToGrid w:val="0"/>
                <w:color w:val="000000"/>
                <w:kern w:val="0"/>
                <w:sz w:val="21"/>
                <w:szCs w:val="21"/>
              </w:rPr>
              <w:t>、矿井水处理站、生活污水处理站、绞车房、通风机房、办公楼、澡堂、职工食堂、矿井辅助设施等</w:t>
            </w:r>
            <w:r>
              <w:rPr>
                <w:bCs/>
                <w:snapToGrid w:val="0"/>
                <w:kern w:val="0"/>
                <w:sz w:val="21"/>
                <w:szCs w:val="21"/>
              </w:rPr>
              <w:t>。</w:t>
            </w:r>
          </w:p>
        </w:tc>
        <w:tc>
          <w:tcPr>
            <w:tcW w:w="2847" w:type="dxa"/>
            <w:vAlign w:val="center"/>
          </w:tcPr>
          <w:p w:rsidR="00240BCE" w:rsidRDefault="00AC0334">
            <w:pPr>
              <w:spacing w:line="280" w:lineRule="exact"/>
              <w:jc w:val="center"/>
              <w:rPr>
                <w:snapToGrid w:val="0"/>
                <w:kern w:val="0"/>
                <w:sz w:val="21"/>
                <w:szCs w:val="21"/>
              </w:rPr>
            </w:pPr>
            <w:r>
              <w:rPr>
                <w:bCs/>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矿井辅助设施</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矿井机修车间、坑木加工房、消防材料库、器材库、日用消防水池、泵房、汽车库等辅助生产设备，均位于工业场地内。</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108" w:type="dxa"/>
              <w:right w:w="108" w:type="dxa"/>
            </w:tcMar>
            <w:vAlign w:val="center"/>
          </w:tcPr>
          <w:p w:rsidR="00240BCE" w:rsidRDefault="00802A62">
            <w:pPr>
              <w:spacing w:line="280" w:lineRule="exact"/>
              <w:jc w:val="center"/>
              <w:rPr>
                <w:snapToGrid w:val="0"/>
                <w:kern w:val="0"/>
                <w:sz w:val="21"/>
                <w:szCs w:val="21"/>
              </w:rPr>
            </w:pPr>
            <w:r>
              <w:rPr>
                <w:snapToGrid w:val="0"/>
                <w:kern w:val="0"/>
                <w:sz w:val="21"/>
                <w:szCs w:val="21"/>
              </w:rPr>
              <w:t>储煤库</w:t>
            </w:r>
          </w:p>
        </w:tc>
        <w:tc>
          <w:tcPr>
            <w:tcW w:w="3789" w:type="dxa"/>
            <w:tcMar>
              <w:left w:w="108" w:type="dxa"/>
              <w:right w:w="108" w:type="dxa"/>
            </w:tcMar>
            <w:vAlign w:val="center"/>
          </w:tcPr>
          <w:p w:rsidR="00240BCE" w:rsidRDefault="00802A62">
            <w:pPr>
              <w:spacing w:line="280" w:lineRule="exact"/>
              <w:jc w:val="center"/>
              <w:rPr>
                <w:snapToGrid w:val="0"/>
                <w:kern w:val="0"/>
                <w:sz w:val="21"/>
                <w:szCs w:val="21"/>
              </w:rPr>
            </w:pPr>
            <w:r>
              <w:rPr>
                <w:snapToGrid w:val="0"/>
                <w:kern w:val="0"/>
                <w:sz w:val="21"/>
                <w:szCs w:val="21"/>
              </w:rPr>
              <w:t>储煤库</w:t>
            </w:r>
            <w:r w:rsidR="00AC0334">
              <w:rPr>
                <w:snapToGrid w:val="0"/>
                <w:kern w:val="0"/>
                <w:sz w:val="21"/>
                <w:szCs w:val="21"/>
              </w:rPr>
              <w:t>面积</w:t>
            </w:r>
            <w:r w:rsidR="00AC0334">
              <w:rPr>
                <w:rFonts w:hint="eastAsia"/>
                <w:snapToGrid w:val="0"/>
                <w:kern w:val="0"/>
                <w:sz w:val="21"/>
                <w:szCs w:val="21"/>
              </w:rPr>
              <w:t>12</w:t>
            </w:r>
            <w:r w:rsidR="00AC0334">
              <w:rPr>
                <w:snapToGrid w:val="0"/>
                <w:kern w:val="0"/>
                <w:sz w:val="21"/>
                <w:szCs w:val="21"/>
              </w:rPr>
              <w:t>00m</w:t>
            </w:r>
            <w:r w:rsidR="00AC0334">
              <w:rPr>
                <w:snapToGrid w:val="0"/>
                <w:kern w:val="0"/>
                <w:sz w:val="21"/>
                <w:szCs w:val="21"/>
                <w:vertAlign w:val="superscript"/>
              </w:rPr>
              <w:t>2</w:t>
            </w:r>
            <w:r w:rsidR="00AC0334">
              <w:rPr>
                <w:snapToGrid w:val="0"/>
                <w:kern w:val="0"/>
                <w:sz w:val="21"/>
                <w:szCs w:val="21"/>
              </w:rPr>
              <w:t>，储存量约</w:t>
            </w:r>
            <w:r w:rsidR="00AC0334">
              <w:rPr>
                <w:snapToGrid w:val="0"/>
                <w:kern w:val="0"/>
                <w:sz w:val="21"/>
                <w:szCs w:val="21"/>
              </w:rPr>
              <w:t>5000t</w:t>
            </w:r>
            <w:r w:rsidR="00AC0334">
              <w:rPr>
                <w:snapToGrid w:val="0"/>
                <w:kern w:val="0"/>
                <w:sz w:val="21"/>
                <w:szCs w:val="21"/>
              </w:rPr>
              <w:t>，位于工业场地内东南部，用于暂时储存原煤和矸石。</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val="restart"/>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公用工程</w:t>
            </w:r>
          </w:p>
        </w:tc>
        <w:tc>
          <w:tcPr>
            <w:tcW w:w="957"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供电</w:t>
            </w:r>
          </w:p>
        </w:tc>
        <w:tc>
          <w:tcPr>
            <w:tcW w:w="3789"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设置</w:t>
            </w:r>
            <w:r>
              <w:rPr>
                <w:snapToGrid w:val="0"/>
                <w:kern w:val="0"/>
                <w:sz w:val="21"/>
                <w:szCs w:val="21"/>
              </w:rPr>
              <w:t>10kV</w:t>
            </w:r>
            <w:r>
              <w:rPr>
                <w:snapToGrid w:val="0"/>
                <w:kern w:val="0"/>
                <w:sz w:val="21"/>
                <w:szCs w:val="21"/>
              </w:rPr>
              <w:t>变电所，采用双回路供电，均引自鸠山镇</w:t>
            </w:r>
            <w:r>
              <w:rPr>
                <w:snapToGrid w:val="0"/>
                <w:kern w:val="0"/>
                <w:sz w:val="21"/>
                <w:szCs w:val="21"/>
              </w:rPr>
              <w:t>35kV</w:t>
            </w:r>
            <w:r>
              <w:rPr>
                <w:snapToGrid w:val="0"/>
                <w:kern w:val="0"/>
                <w:sz w:val="21"/>
                <w:szCs w:val="21"/>
              </w:rPr>
              <w:t>变电站。</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供水水源</w:t>
            </w:r>
          </w:p>
        </w:tc>
        <w:tc>
          <w:tcPr>
            <w:tcW w:w="3789"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生活用水及生产用水均由工业场地北部约</w:t>
            </w:r>
            <w:r>
              <w:rPr>
                <w:snapToGrid w:val="0"/>
                <w:kern w:val="0"/>
                <w:sz w:val="21"/>
                <w:szCs w:val="21"/>
              </w:rPr>
              <w:t>600m</w:t>
            </w:r>
            <w:r>
              <w:rPr>
                <w:snapToGrid w:val="0"/>
                <w:kern w:val="0"/>
                <w:sz w:val="21"/>
                <w:szCs w:val="21"/>
              </w:rPr>
              <w:t>的水井提供</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生活用水仍由工业场地北部约</w:t>
            </w:r>
            <w:r>
              <w:rPr>
                <w:snapToGrid w:val="0"/>
                <w:kern w:val="0"/>
                <w:sz w:val="21"/>
                <w:szCs w:val="21"/>
              </w:rPr>
              <w:t>600m</w:t>
            </w:r>
            <w:r>
              <w:rPr>
                <w:snapToGrid w:val="0"/>
                <w:kern w:val="0"/>
                <w:sz w:val="21"/>
                <w:szCs w:val="21"/>
              </w:rPr>
              <w:t>的水井提供；生产用水由矿井水处理站处理后的矿井排水和生活污水处理站处理后的生活污水供给。</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部分利用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0" w:type="dxa"/>
              <w:right w:w="0" w:type="dxa"/>
            </w:tcMar>
            <w:vAlign w:val="center"/>
          </w:tcPr>
          <w:p w:rsidR="00240BCE" w:rsidRDefault="00AC0334">
            <w:pPr>
              <w:spacing w:line="280" w:lineRule="exact"/>
              <w:jc w:val="center"/>
              <w:rPr>
                <w:sz w:val="21"/>
                <w:szCs w:val="21"/>
              </w:rPr>
            </w:pPr>
            <w:r>
              <w:rPr>
                <w:sz w:val="21"/>
                <w:szCs w:val="21"/>
              </w:rPr>
              <w:t>行政与公共设施</w:t>
            </w:r>
          </w:p>
        </w:tc>
        <w:tc>
          <w:tcPr>
            <w:tcW w:w="3789"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办公楼、通信调度室、浴室、职工食堂、单身宿舍、门卫室等，</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val="restart"/>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lastRenderedPageBreak/>
              <w:t>环保工程</w:t>
            </w:r>
          </w:p>
        </w:tc>
        <w:tc>
          <w:tcPr>
            <w:tcW w:w="957" w:type="dxa"/>
            <w:tcMar>
              <w:left w:w="108" w:type="dxa"/>
              <w:right w:w="108" w:type="dxa"/>
            </w:tcMar>
            <w:vAlign w:val="center"/>
          </w:tcPr>
          <w:p w:rsidR="00240BCE" w:rsidRDefault="00802A62">
            <w:pPr>
              <w:spacing w:line="280" w:lineRule="exact"/>
              <w:jc w:val="center"/>
              <w:rPr>
                <w:snapToGrid w:val="0"/>
                <w:kern w:val="0"/>
                <w:sz w:val="21"/>
                <w:szCs w:val="21"/>
              </w:rPr>
            </w:pPr>
            <w:r>
              <w:rPr>
                <w:snapToGrid w:val="0"/>
                <w:kern w:val="0"/>
                <w:sz w:val="21"/>
                <w:szCs w:val="21"/>
              </w:rPr>
              <w:t>储煤库</w:t>
            </w:r>
            <w:r w:rsidR="00AC0334">
              <w:rPr>
                <w:snapToGrid w:val="0"/>
                <w:kern w:val="0"/>
                <w:sz w:val="21"/>
                <w:szCs w:val="21"/>
              </w:rPr>
              <w:t>抑尘</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采用封闭式</w:t>
            </w:r>
            <w:r w:rsidR="00802A62">
              <w:rPr>
                <w:snapToGrid w:val="0"/>
                <w:kern w:val="0"/>
                <w:sz w:val="21"/>
                <w:szCs w:val="21"/>
              </w:rPr>
              <w:t>储煤库</w:t>
            </w:r>
            <w:r>
              <w:rPr>
                <w:snapToGrid w:val="0"/>
                <w:kern w:val="0"/>
                <w:sz w:val="21"/>
                <w:szCs w:val="21"/>
              </w:rPr>
              <w:t>，落煤处设置洒水喷头</w:t>
            </w:r>
            <w:r>
              <w:rPr>
                <w:snapToGrid w:val="0"/>
                <w:kern w:val="0"/>
                <w:sz w:val="21"/>
                <w:szCs w:val="21"/>
              </w:rPr>
              <w:t>1</w:t>
            </w:r>
            <w:r>
              <w:rPr>
                <w:snapToGrid w:val="0"/>
                <w:kern w:val="0"/>
                <w:sz w:val="21"/>
                <w:szCs w:val="21"/>
              </w:rPr>
              <w:t>个，并在</w:t>
            </w:r>
            <w:r w:rsidR="00802A62">
              <w:rPr>
                <w:snapToGrid w:val="0"/>
                <w:kern w:val="0"/>
                <w:sz w:val="21"/>
                <w:szCs w:val="21"/>
              </w:rPr>
              <w:t>储煤库</w:t>
            </w:r>
            <w:r>
              <w:rPr>
                <w:snapToGrid w:val="0"/>
                <w:kern w:val="0"/>
                <w:sz w:val="21"/>
                <w:szCs w:val="21"/>
              </w:rPr>
              <w:t>四周安装自动洒水喷头进行洒水降尘，</w:t>
            </w:r>
            <w:r w:rsidR="00802A62">
              <w:rPr>
                <w:snapToGrid w:val="0"/>
                <w:kern w:val="0"/>
                <w:sz w:val="21"/>
                <w:szCs w:val="21"/>
              </w:rPr>
              <w:t>储煤库</w:t>
            </w:r>
            <w:r>
              <w:rPr>
                <w:snapToGrid w:val="0"/>
                <w:kern w:val="0"/>
                <w:sz w:val="21"/>
                <w:szCs w:val="21"/>
              </w:rPr>
              <w:t>底部全部硬化。</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0" w:type="dxa"/>
              <w:right w:w="0" w:type="dxa"/>
            </w:tcMar>
            <w:vAlign w:val="center"/>
          </w:tcPr>
          <w:p w:rsidR="00240BCE" w:rsidRDefault="00240BCE">
            <w:pPr>
              <w:spacing w:line="280" w:lineRule="exact"/>
              <w:jc w:val="center"/>
              <w:rPr>
                <w:snapToGrid w:val="0"/>
                <w:kern w:val="0"/>
                <w:sz w:val="21"/>
                <w:szCs w:val="21"/>
              </w:rPr>
            </w:pPr>
          </w:p>
        </w:tc>
        <w:tc>
          <w:tcPr>
            <w:tcW w:w="957"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转载点抑尘</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井口卸煤点封闭，</w:t>
            </w:r>
            <w:r w:rsidR="00D91CB5" w:rsidRPr="00D91CB5">
              <w:rPr>
                <w:rFonts w:hint="eastAsia"/>
                <w:snapToGrid w:val="0"/>
                <w:kern w:val="0"/>
                <w:sz w:val="21"/>
                <w:szCs w:val="21"/>
              </w:rPr>
              <w:t>安装袋式除尘器</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新增</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运煤道路抑尘</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采用</w:t>
            </w:r>
            <w:r>
              <w:rPr>
                <w:snapToGrid w:val="0"/>
                <w:kern w:val="0"/>
                <w:sz w:val="21"/>
                <w:szCs w:val="21"/>
              </w:rPr>
              <w:t>1</w:t>
            </w:r>
            <w:r>
              <w:rPr>
                <w:snapToGrid w:val="0"/>
                <w:kern w:val="0"/>
                <w:sz w:val="21"/>
                <w:szCs w:val="21"/>
              </w:rPr>
              <w:t>辆洒水车定时洒水，并在磅房处设车辆冲洗装置，冲洗水经收集后循环利用不外排</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机修车间焊接烟尘</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机修车间封闭，采用集气罩</w:t>
            </w:r>
            <w:r>
              <w:rPr>
                <w:snapToGrid w:val="0"/>
                <w:kern w:val="0"/>
                <w:sz w:val="21"/>
                <w:szCs w:val="21"/>
              </w:rPr>
              <w:t>+</w:t>
            </w:r>
            <w:r>
              <w:rPr>
                <w:snapToGrid w:val="0"/>
                <w:kern w:val="0"/>
                <w:sz w:val="21"/>
                <w:szCs w:val="21"/>
              </w:rPr>
              <w:t>带式除尘器</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新增</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矿井水处理站</w:t>
            </w:r>
          </w:p>
        </w:tc>
        <w:tc>
          <w:tcPr>
            <w:tcW w:w="3789" w:type="dxa"/>
            <w:tcMar>
              <w:left w:w="108" w:type="dxa"/>
              <w:right w:w="108" w:type="dxa"/>
            </w:tcMar>
            <w:vAlign w:val="center"/>
          </w:tcPr>
          <w:p w:rsidR="00240BCE" w:rsidRDefault="00AC0334">
            <w:pPr>
              <w:spacing w:line="280" w:lineRule="exact"/>
              <w:jc w:val="center"/>
              <w:rPr>
                <w:snapToGrid w:val="0"/>
                <w:kern w:val="0"/>
                <w:sz w:val="21"/>
                <w:szCs w:val="21"/>
              </w:rPr>
            </w:pPr>
            <w:r>
              <w:rPr>
                <w:snapToGrid w:val="0"/>
                <w:kern w:val="0"/>
                <w:sz w:val="21"/>
                <w:szCs w:val="21"/>
              </w:rPr>
              <w:t>斜管沉淀池，处理能力</w:t>
            </w:r>
            <w:r>
              <w:rPr>
                <w:snapToGrid w:val="0"/>
                <w:kern w:val="0"/>
                <w:sz w:val="21"/>
                <w:szCs w:val="21"/>
              </w:rPr>
              <w:t>60m</w:t>
            </w:r>
            <w:r>
              <w:rPr>
                <w:snapToGrid w:val="0"/>
                <w:kern w:val="0"/>
                <w:sz w:val="21"/>
                <w:szCs w:val="21"/>
                <w:vertAlign w:val="superscript"/>
              </w:rPr>
              <w:t>3</w:t>
            </w:r>
            <w:r>
              <w:rPr>
                <w:snapToGrid w:val="0"/>
                <w:kern w:val="0"/>
                <w:sz w:val="21"/>
                <w:szCs w:val="21"/>
              </w:rPr>
              <w:t>/h</w:t>
            </w:r>
            <w:r>
              <w:rPr>
                <w:snapToGrid w:val="0"/>
                <w:kern w:val="0"/>
                <w:sz w:val="21"/>
                <w:szCs w:val="21"/>
              </w:rPr>
              <w:t>。</w:t>
            </w:r>
          </w:p>
        </w:tc>
        <w:tc>
          <w:tcPr>
            <w:tcW w:w="2847" w:type="dxa"/>
            <w:vAlign w:val="center"/>
          </w:tcPr>
          <w:p w:rsidR="00240BCE" w:rsidRDefault="00AC0334">
            <w:pPr>
              <w:spacing w:line="280" w:lineRule="exact"/>
              <w:jc w:val="center"/>
              <w:rPr>
                <w:snapToGrid w:val="0"/>
                <w:kern w:val="0"/>
                <w:sz w:val="21"/>
                <w:szCs w:val="21"/>
              </w:rPr>
            </w:pPr>
            <w:r>
              <w:rPr>
                <w:snapToGrid w:val="0"/>
                <w:kern w:val="0"/>
                <w:sz w:val="21"/>
                <w:szCs w:val="21"/>
              </w:rPr>
              <w:t>斜管沉淀池</w:t>
            </w:r>
            <w:r>
              <w:rPr>
                <w:snapToGrid w:val="0"/>
                <w:kern w:val="0"/>
                <w:sz w:val="21"/>
                <w:szCs w:val="21"/>
              </w:rPr>
              <w:t>+</w:t>
            </w:r>
            <w:r>
              <w:rPr>
                <w:snapToGrid w:val="0"/>
                <w:kern w:val="0"/>
                <w:sz w:val="21"/>
                <w:szCs w:val="21"/>
              </w:rPr>
              <w:t>无阀滤池</w:t>
            </w:r>
            <w:r>
              <w:rPr>
                <w:snapToGrid w:val="0"/>
                <w:kern w:val="0"/>
                <w:sz w:val="21"/>
                <w:szCs w:val="21"/>
              </w:rPr>
              <w:t>+</w:t>
            </w:r>
            <w:r>
              <w:rPr>
                <w:snapToGrid w:val="0"/>
                <w:kern w:val="0"/>
                <w:sz w:val="21"/>
                <w:szCs w:val="21"/>
              </w:rPr>
              <w:t>消毒等，处理能力</w:t>
            </w:r>
            <w:r>
              <w:rPr>
                <w:snapToGrid w:val="0"/>
                <w:kern w:val="0"/>
                <w:sz w:val="21"/>
                <w:szCs w:val="21"/>
              </w:rPr>
              <w:t>240m</w:t>
            </w:r>
            <w:r>
              <w:rPr>
                <w:snapToGrid w:val="0"/>
                <w:kern w:val="0"/>
                <w:sz w:val="21"/>
                <w:szCs w:val="21"/>
                <w:vertAlign w:val="superscript"/>
              </w:rPr>
              <w:t>3</w:t>
            </w:r>
            <w:r>
              <w:rPr>
                <w:snapToGrid w:val="0"/>
                <w:kern w:val="0"/>
                <w:sz w:val="21"/>
                <w:szCs w:val="21"/>
              </w:rPr>
              <w:t>/h</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改造</w:t>
            </w:r>
            <w:r>
              <w:rPr>
                <w:snapToGrid w:val="0"/>
                <w:kern w:val="0"/>
                <w:sz w:val="21"/>
                <w:szCs w:val="21"/>
              </w:rPr>
              <w:t>+</w:t>
            </w:r>
            <w:r>
              <w:rPr>
                <w:snapToGrid w:val="0"/>
                <w:kern w:val="0"/>
                <w:sz w:val="21"/>
                <w:szCs w:val="21"/>
              </w:rPr>
              <w:t>新建</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生活污水处理站</w:t>
            </w:r>
          </w:p>
        </w:tc>
        <w:tc>
          <w:tcPr>
            <w:tcW w:w="3789" w:type="dxa"/>
            <w:tcMar>
              <w:left w:w="108" w:type="dxa"/>
              <w:right w:w="108" w:type="dxa"/>
            </w:tcMar>
            <w:vAlign w:val="center"/>
          </w:tcPr>
          <w:p w:rsidR="00240BCE" w:rsidRDefault="00AC0334">
            <w:pPr>
              <w:spacing w:line="280" w:lineRule="exact"/>
              <w:jc w:val="center"/>
              <w:rPr>
                <w:snapToGrid w:val="0"/>
                <w:kern w:val="0"/>
                <w:sz w:val="21"/>
                <w:szCs w:val="21"/>
              </w:rPr>
            </w:pPr>
            <w:r>
              <w:rPr>
                <w:sz w:val="21"/>
                <w:szCs w:val="21"/>
              </w:rPr>
              <w:t>1</w:t>
            </w:r>
            <w:r>
              <w:rPr>
                <w:sz w:val="21"/>
                <w:szCs w:val="21"/>
              </w:rPr>
              <w:t>套处理能力</w:t>
            </w:r>
            <w:r>
              <w:rPr>
                <w:sz w:val="21"/>
                <w:szCs w:val="21"/>
              </w:rPr>
              <w:t>10m</w:t>
            </w:r>
            <w:r>
              <w:rPr>
                <w:sz w:val="21"/>
                <w:szCs w:val="21"/>
                <w:vertAlign w:val="superscript"/>
              </w:rPr>
              <w:t>3</w:t>
            </w:r>
            <w:r>
              <w:rPr>
                <w:sz w:val="21"/>
                <w:szCs w:val="21"/>
              </w:rPr>
              <w:t>/h</w:t>
            </w:r>
            <w:r>
              <w:rPr>
                <w:sz w:val="21"/>
                <w:szCs w:val="21"/>
              </w:rPr>
              <w:t>的接触氧化法一体化污水综合处理设施</w:t>
            </w:r>
          </w:p>
        </w:tc>
        <w:tc>
          <w:tcPr>
            <w:tcW w:w="2847" w:type="dxa"/>
            <w:vAlign w:val="center"/>
          </w:tcPr>
          <w:p w:rsidR="00240BCE" w:rsidRDefault="00AC0334">
            <w:pPr>
              <w:spacing w:line="280" w:lineRule="exact"/>
              <w:jc w:val="center"/>
              <w:rPr>
                <w:snapToGrid w:val="0"/>
                <w:kern w:val="0"/>
                <w:sz w:val="21"/>
                <w:szCs w:val="21"/>
              </w:rPr>
            </w:pPr>
            <w:r>
              <w:rPr>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利用</w:t>
            </w:r>
          </w:p>
        </w:tc>
      </w:tr>
      <w:tr w:rsidR="00240BCE">
        <w:trPr>
          <w:cantSplit/>
          <w:jc w:val="center"/>
        </w:trPr>
        <w:tc>
          <w:tcPr>
            <w:tcW w:w="583" w:type="dxa"/>
            <w:vMerge/>
            <w:tcMar>
              <w:left w:w="108" w:type="dxa"/>
              <w:right w:w="108" w:type="dxa"/>
            </w:tcMar>
            <w:vAlign w:val="center"/>
          </w:tcPr>
          <w:p w:rsidR="00240BCE" w:rsidRDefault="00240BCE">
            <w:pPr>
              <w:spacing w:line="280" w:lineRule="exact"/>
              <w:jc w:val="center"/>
              <w:rPr>
                <w:snapToGrid w:val="0"/>
                <w:kern w:val="0"/>
                <w:sz w:val="21"/>
                <w:szCs w:val="21"/>
              </w:rPr>
            </w:pPr>
          </w:p>
        </w:tc>
        <w:tc>
          <w:tcPr>
            <w:tcW w:w="957" w:type="dxa"/>
            <w:tcMar>
              <w:left w:w="0" w:type="dxa"/>
              <w:right w:w="0" w:type="dxa"/>
            </w:tcMar>
            <w:vAlign w:val="center"/>
          </w:tcPr>
          <w:p w:rsidR="00240BCE" w:rsidRDefault="00AC0334">
            <w:pPr>
              <w:spacing w:line="280" w:lineRule="exact"/>
              <w:jc w:val="center"/>
              <w:rPr>
                <w:snapToGrid w:val="0"/>
                <w:kern w:val="0"/>
                <w:sz w:val="21"/>
                <w:szCs w:val="21"/>
              </w:rPr>
            </w:pPr>
            <w:r>
              <w:rPr>
                <w:snapToGrid w:val="0"/>
                <w:kern w:val="0"/>
                <w:sz w:val="21"/>
                <w:szCs w:val="21"/>
              </w:rPr>
              <w:t>初期雨水</w:t>
            </w:r>
          </w:p>
        </w:tc>
        <w:tc>
          <w:tcPr>
            <w:tcW w:w="3789" w:type="dxa"/>
            <w:tcMar>
              <w:left w:w="0" w:type="dxa"/>
              <w:right w:w="0" w:type="dxa"/>
            </w:tcMar>
            <w:vAlign w:val="center"/>
          </w:tcPr>
          <w:p w:rsidR="00240BCE" w:rsidRDefault="00AC0334">
            <w:pPr>
              <w:spacing w:line="280" w:lineRule="exact"/>
              <w:jc w:val="center"/>
              <w:rPr>
                <w:snapToGrid w:val="0"/>
                <w:kern w:val="0"/>
                <w:sz w:val="21"/>
                <w:szCs w:val="21"/>
              </w:rPr>
            </w:pPr>
            <w:r>
              <w:rPr>
                <w:snapToGrid w:val="0"/>
                <w:color w:val="000000"/>
                <w:kern w:val="0"/>
                <w:sz w:val="21"/>
                <w:szCs w:val="21"/>
              </w:rPr>
              <w:t>位于工业场地东南部，容积</w:t>
            </w:r>
            <w:r>
              <w:rPr>
                <w:snapToGrid w:val="0"/>
                <w:color w:val="000000"/>
                <w:kern w:val="0"/>
                <w:sz w:val="21"/>
                <w:szCs w:val="21"/>
              </w:rPr>
              <w:t>150m</w:t>
            </w:r>
            <w:r>
              <w:rPr>
                <w:snapToGrid w:val="0"/>
                <w:color w:val="000000"/>
                <w:kern w:val="0"/>
                <w:sz w:val="21"/>
                <w:szCs w:val="21"/>
                <w:vertAlign w:val="superscript"/>
              </w:rPr>
              <w:t>3</w:t>
            </w:r>
          </w:p>
        </w:tc>
        <w:tc>
          <w:tcPr>
            <w:tcW w:w="2847" w:type="dxa"/>
            <w:vAlign w:val="center"/>
          </w:tcPr>
          <w:p w:rsidR="00240BCE" w:rsidRDefault="00AC0334">
            <w:pPr>
              <w:spacing w:line="280" w:lineRule="exact"/>
              <w:jc w:val="center"/>
              <w:rPr>
                <w:snapToGrid w:val="0"/>
                <w:color w:val="FF0000"/>
                <w:kern w:val="0"/>
                <w:sz w:val="21"/>
                <w:szCs w:val="21"/>
              </w:rPr>
            </w:pPr>
            <w:r>
              <w:rPr>
                <w:snapToGrid w:val="0"/>
                <w:kern w:val="0"/>
                <w:sz w:val="21"/>
                <w:szCs w:val="21"/>
              </w:rPr>
              <w:t>--</w:t>
            </w:r>
          </w:p>
        </w:tc>
        <w:tc>
          <w:tcPr>
            <w:tcW w:w="1120" w:type="dxa"/>
            <w:vAlign w:val="center"/>
          </w:tcPr>
          <w:p w:rsidR="00240BCE" w:rsidRDefault="00AC0334">
            <w:pPr>
              <w:spacing w:line="280" w:lineRule="exact"/>
              <w:jc w:val="center"/>
              <w:rPr>
                <w:snapToGrid w:val="0"/>
                <w:kern w:val="0"/>
                <w:sz w:val="21"/>
                <w:szCs w:val="21"/>
              </w:rPr>
            </w:pPr>
            <w:r>
              <w:rPr>
                <w:snapToGrid w:val="0"/>
                <w:kern w:val="0"/>
                <w:sz w:val="21"/>
                <w:szCs w:val="21"/>
              </w:rPr>
              <w:t>新增</w:t>
            </w:r>
          </w:p>
        </w:tc>
      </w:tr>
      <w:tr w:rsidR="00101969">
        <w:trPr>
          <w:cantSplit/>
          <w:jc w:val="center"/>
        </w:trPr>
        <w:tc>
          <w:tcPr>
            <w:tcW w:w="583" w:type="dxa"/>
            <w:vMerge/>
            <w:tcMar>
              <w:left w:w="108" w:type="dxa"/>
              <w:right w:w="108" w:type="dxa"/>
            </w:tcMar>
            <w:vAlign w:val="center"/>
          </w:tcPr>
          <w:p w:rsidR="00101969" w:rsidRDefault="00101969">
            <w:pPr>
              <w:spacing w:line="280" w:lineRule="exact"/>
              <w:jc w:val="center"/>
              <w:rPr>
                <w:snapToGrid w:val="0"/>
                <w:kern w:val="0"/>
                <w:sz w:val="21"/>
                <w:szCs w:val="21"/>
              </w:rPr>
            </w:pPr>
          </w:p>
        </w:tc>
        <w:tc>
          <w:tcPr>
            <w:tcW w:w="957" w:type="dxa"/>
            <w:tcMar>
              <w:left w:w="0" w:type="dxa"/>
              <w:right w:w="0" w:type="dxa"/>
            </w:tcMar>
            <w:vAlign w:val="center"/>
          </w:tcPr>
          <w:p w:rsidR="00101969" w:rsidRPr="00101969" w:rsidRDefault="00101969" w:rsidP="00DA246A">
            <w:pPr>
              <w:spacing w:line="280" w:lineRule="exact"/>
              <w:jc w:val="center"/>
              <w:rPr>
                <w:b/>
                <w:i/>
                <w:snapToGrid w:val="0"/>
                <w:kern w:val="0"/>
                <w:sz w:val="21"/>
                <w:szCs w:val="21"/>
                <w:u w:val="single"/>
              </w:rPr>
            </w:pPr>
            <w:r w:rsidRPr="00101969">
              <w:rPr>
                <w:rFonts w:hint="eastAsia"/>
                <w:b/>
                <w:i/>
                <w:snapToGrid w:val="0"/>
                <w:kern w:val="0"/>
                <w:sz w:val="21"/>
                <w:szCs w:val="21"/>
                <w:u w:val="single"/>
              </w:rPr>
              <w:t>事故防范措施</w:t>
            </w:r>
          </w:p>
        </w:tc>
        <w:tc>
          <w:tcPr>
            <w:tcW w:w="3789" w:type="dxa"/>
            <w:tcMar>
              <w:left w:w="0" w:type="dxa"/>
              <w:right w:w="0" w:type="dxa"/>
            </w:tcMar>
            <w:vAlign w:val="center"/>
          </w:tcPr>
          <w:p w:rsidR="00101969" w:rsidRPr="00101969" w:rsidRDefault="00101969" w:rsidP="00DA246A">
            <w:pPr>
              <w:spacing w:line="280" w:lineRule="exact"/>
              <w:jc w:val="center"/>
              <w:rPr>
                <w:b/>
                <w:i/>
                <w:snapToGrid w:val="0"/>
                <w:color w:val="000000"/>
                <w:kern w:val="0"/>
                <w:sz w:val="21"/>
                <w:szCs w:val="21"/>
                <w:u w:val="single"/>
              </w:rPr>
            </w:pPr>
            <w:r w:rsidRPr="00101969">
              <w:rPr>
                <w:rFonts w:hint="eastAsia"/>
                <w:b/>
                <w:i/>
                <w:snapToGrid w:val="0"/>
                <w:color w:val="000000"/>
                <w:kern w:val="0"/>
                <w:sz w:val="21"/>
                <w:szCs w:val="21"/>
                <w:u w:val="single"/>
              </w:rPr>
              <w:t>--</w:t>
            </w:r>
          </w:p>
        </w:tc>
        <w:tc>
          <w:tcPr>
            <w:tcW w:w="2847" w:type="dxa"/>
            <w:vAlign w:val="center"/>
          </w:tcPr>
          <w:p w:rsidR="00101969" w:rsidRPr="00101969" w:rsidRDefault="00101969" w:rsidP="00DA246A">
            <w:pPr>
              <w:spacing w:line="280" w:lineRule="exact"/>
              <w:jc w:val="center"/>
              <w:rPr>
                <w:b/>
                <w:i/>
                <w:snapToGrid w:val="0"/>
                <w:kern w:val="0"/>
                <w:sz w:val="21"/>
                <w:szCs w:val="21"/>
                <w:u w:val="single"/>
              </w:rPr>
            </w:pPr>
            <w:r w:rsidRPr="00101969">
              <w:rPr>
                <w:rFonts w:hint="eastAsia"/>
                <w:b/>
                <w:i/>
                <w:snapToGrid w:val="0"/>
                <w:kern w:val="0"/>
                <w:sz w:val="21"/>
                <w:szCs w:val="21"/>
                <w:u w:val="single"/>
              </w:rPr>
              <w:t>新增</w:t>
            </w:r>
            <w:r w:rsidRPr="00101969">
              <w:rPr>
                <w:rFonts w:hint="eastAsia"/>
                <w:b/>
                <w:i/>
                <w:snapToGrid w:val="0"/>
                <w:kern w:val="0"/>
                <w:sz w:val="21"/>
                <w:szCs w:val="21"/>
                <w:u w:val="single"/>
              </w:rPr>
              <w:t>3000m</w:t>
            </w:r>
            <w:r w:rsidRPr="00101969">
              <w:rPr>
                <w:rFonts w:hint="eastAsia"/>
                <w:b/>
                <w:i/>
                <w:snapToGrid w:val="0"/>
                <w:kern w:val="0"/>
                <w:sz w:val="21"/>
                <w:szCs w:val="21"/>
                <w:u w:val="single"/>
                <w:vertAlign w:val="superscript"/>
              </w:rPr>
              <w:t>3</w:t>
            </w:r>
            <w:r w:rsidRPr="00101969">
              <w:rPr>
                <w:rFonts w:hint="eastAsia"/>
                <w:b/>
                <w:i/>
                <w:snapToGrid w:val="0"/>
                <w:kern w:val="0"/>
                <w:sz w:val="21"/>
                <w:szCs w:val="21"/>
                <w:u w:val="single"/>
              </w:rPr>
              <w:t>事故池</w:t>
            </w:r>
            <w:r w:rsidRPr="00101969">
              <w:rPr>
                <w:rFonts w:hint="eastAsia"/>
                <w:b/>
                <w:i/>
                <w:snapToGrid w:val="0"/>
                <w:kern w:val="0"/>
                <w:sz w:val="21"/>
                <w:szCs w:val="21"/>
                <w:u w:val="single"/>
              </w:rPr>
              <w:t>1</w:t>
            </w:r>
            <w:r w:rsidRPr="00101969">
              <w:rPr>
                <w:rFonts w:hint="eastAsia"/>
                <w:b/>
                <w:i/>
                <w:snapToGrid w:val="0"/>
                <w:kern w:val="0"/>
                <w:sz w:val="21"/>
                <w:szCs w:val="21"/>
                <w:u w:val="single"/>
              </w:rPr>
              <w:t>座</w:t>
            </w:r>
          </w:p>
        </w:tc>
        <w:tc>
          <w:tcPr>
            <w:tcW w:w="1120" w:type="dxa"/>
            <w:vAlign w:val="center"/>
          </w:tcPr>
          <w:p w:rsidR="00101969" w:rsidRPr="00101969" w:rsidRDefault="00101969" w:rsidP="00DA246A">
            <w:pPr>
              <w:spacing w:line="280" w:lineRule="exact"/>
              <w:jc w:val="center"/>
              <w:rPr>
                <w:b/>
                <w:i/>
                <w:snapToGrid w:val="0"/>
                <w:kern w:val="0"/>
                <w:sz w:val="21"/>
                <w:szCs w:val="21"/>
                <w:u w:val="single"/>
              </w:rPr>
            </w:pPr>
            <w:r w:rsidRPr="00101969">
              <w:rPr>
                <w:rFonts w:hint="eastAsia"/>
                <w:b/>
                <w:i/>
                <w:snapToGrid w:val="0"/>
                <w:kern w:val="0"/>
                <w:sz w:val="21"/>
                <w:szCs w:val="21"/>
                <w:u w:val="single"/>
              </w:rPr>
              <w:t>新增</w:t>
            </w:r>
          </w:p>
        </w:tc>
      </w:tr>
      <w:tr w:rsidR="00101969">
        <w:trPr>
          <w:cantSplit/>
          <w:jc w:val="center"/>
        </w:trPr>
        <w:tc>
          <w:tcPr>
            <w:tcW w:w="583" w:type="dxa"/>
            <w:vMerge/>
            <w:tcMar>
              <w:left w:w="108" w:type="dxa"/>
              <w:right w:w="108" w:type="dxa"/>
            </w:tcMar>
            <w:vAlign w:val="center"/>
          </w:tcPr>
          <w:p w:rsidR="00101969" w:rsidRDefault="00101969">
            <w:pPr>
              <w:spacing w:line="280" w:lineRule="exact"/>
              <w:jc w:val="center"/>
              <w:rPr>
                <w:snapToGrid w:val="0"/>
                <w:kern w:val="0"/>
                <w:sz w:val="21"/>
                <w:szCs w:val="21"/>
              </w:rPr>
            </w:pPr>
          </w:p>
        </w:tc>
        <w:tc>
          <w:tcPr>
            <w:tcW w:w="957" w:type="dxa"/>
            <w:tcMar>
              <w:left w:w="0" w:type="dxa"/>
              <w:right w:w="0" w:type="dxa"/>
            </w:tcMar>
            <w:vAlign w:val="center"/>
          </w:tcPr>
          <w:p w:rsidR="00101969" w:rsidRDefault="00101969">
            <w:pPr>
              <w:spacing w:line="280" w:lineRule="exact"/>
              <w:jc w:val="center"/>
              <w:rPr>
                <w:snapToGrid w:val="0"/>
                <w:kern w:val="0"/>
                <w:sz w:val="21"/>
                <w:szCs w:val="21"/>
              </w:rPr>
            </w:pPr>
            <w:r>
              <w:rPr>
                <w:snapToGrid w:val="0"/>
                <w:kern w:val="0"/>
                <w:sz w:val="21"/>
                <w:szCs w:val="21"/>
              </w:rPr>
              <w:t>煤矸石</w:t>
            </w:r>
          </w:p>
        </w:tc>
        <w:tc>
          <w:tcPr>
            <w:tcW w:w="3789" w:type="dxa"/>
            <w:tcMar>
              <w:left w:w="0" w:type="dxa"/>
              <w:right w:w="0" w:type="dxa"/>
            </w:tcMar>
            <w:vAlign w:val="center"/>
          </w:tcPr>
          <w:p w:rsidR="00101969" w:rsidRDefault="00101969">
            <w:pPr>
              <w:spacing w:line="280" w:lineRule="exact"/>
              <w:jc w:val="center"/>
              <w:rPr>
                <w:snapToGrid w:val="0"/>
                <w:color w:val="000000"/>
                <w:kern w:val="0"/>
                <w:sz w:val="21"/>
                <w:szCs w:val="21"/>
              </w:rPr>
            </w:pPr>
            <w:r>
              <w:rPr>
                <w:snapToGrid w:val="0"/>
                <w:color w:val="000000"/>
                <w:kern w:val="0"/>
                <w:sz w:val="21"/>
                <w:szCs w:val="21"/>
              </w:rPr>
              <w:t>在</w:t>
            </w:r>
            <w:r w:rsidR="00802A62">
              <w:rPr>
                <w:snapToGrid w:val="0"/>
                <w:color w:val="000000"/>
                <w:kern w:val="0"/>
                <w:sz w:val="21"/>
                <w:szCs w:val="21"/>
              </w:rPr>
              <w:t>储煤库</w:t>
            </w:r>
            <w:r>
              <w:rPr>
                <w:snapToGrid w:val="0"/>
                <w:color w:val="000000"/>
                <w:kern w:val="0"/>
                <w:sz w:val="21"/>
                <w:szCs w:val="21"/>
              </w:rPr>
              <w:t>内临时周转后全部供给建材厂综合利用</w:t>
            </w:r>
          </w:p>
        </w:tc>
        <w:tc>
          <w:tcPr>
            <w:tcW w:w="2847" w:type="dxa"/>
            <w:vAlign w:val="center"/>
          </w:tcPr>
          <w:p w:rsidR="00101969" w:rsidRDefault="00101969">
            <w:pPr>
              <w:spacing w:line="280" w:lineRule="exact"/>
              <w:jc w:val="center"/>
              <w:rPr>
                <w:snapToGrid w:val="0"/>
                <w:kern w:val="0"/>
                <w:sz w:val="21"/>
                <w:szCs w:val="21"/>
              </w:rPr>
            </w:pPr>
            <w:r>
              <w:rPr>
                <w:snapToGrid w:val="0"/>
                <w:kern w:val="0"/>
                <w:sz w:val="21"/>
                <w:szCs w:val="21"/>
              </w:rPr>
              <w:t>--</w:t>
            </w:r>
          </w:p>
        </w:tc>
        <w:tc>
          <w:tcPr>
            <w:tcW w:w="1120" w:type="dxa"/>
            <w:vAlign w:val="center"/>
          </w:tcPr>
          <w:p w:rsidR="00101969" w:rsidRDefault="00101969">
            <w:pPr>
              <w:spacing w:line="280" w:lineRule="exact"/>
              <w:jc w:val="center"/>
              <w:rPr>
                <w:snapToGrid w:val="0"/>
                <w:kern w:val="0"/>
                <w:sz w:val="21"/>
                <w:szCs w:val="21"/>
              </w:rPr>
            </w:pPr>
            <w:r>
              <w:rPr>
                <w:snapToGrid w:val="0"/>
                <w:kern w:val="0"/>
                <w:sz w:val="21"/>
                <w:szCs w:val="21"/>
              </w:rPr>
              <w:t>利用</w:t>
            </w:r>
          </w:p>
        </w:tc>
      </w:tr>
      <w:tr w:rsidR="00101969">
        <w:trPr>
          <w:cantSplit/>
          <w:jc w:val="center"/>
        </w:trPr>
        <w:tc>
          <w:tcPr>
            <w:tcW w:w="583" w:type="dxa"/>
            <w:vMerge/>
            <w:tcMar>
              <w:left w:w="108" w:type="dxa"/>
              <w:right w:w="108" w:type="dxa"/>
            </w:tcMar>
            <w:vAlign w:val="center"/>
          </w:tcPr>
          <w:p w:rsidR="00101969" w:rsidRDefault="00101969">
            <w:pPr>
              <w:spacing w:line="280" w:lineRule="exact"/>
              <w:jc w:val="center"/>
              <w:rPr>
                <w:snapToGrid w:val="0"/>
                <w:kern w:val="0"/>
                <w:sz w:val="21"/>
                <w:szCs w:val="21"/>
              </w:rPr>
            </w:pPr>
          </w:p>
        </w:tc>
        <w:tc>
          <w:tcPr>
            <w:tcW w:w="957" w:type="dxa"/>
            <w:tcMar>
              <w:left w:w="0" w:type="dxa"/>
              <w:right w:w="0" w:type="dxa"/>
            </w:tcMar>
            <w:vAlign w:val="center"/>
          </w:tcPr>
          <w:p w:rsidR="00101969" w:rsidRDefault="00101969">
            <w:pPr>
              <w:spacing w:line="280" w:lineRule="exact"/>
              <w:jc w:val="center"/>
              <w:rPr>
                <w:snapToGrid w:val="0"/>
                <w:kern w:val="0"/>
                <w:sz w:val="21"/>
                <w:szCs w:val="21"/>
              </w:rPr>
            </w:pPr>
            <w:r>
              <w:rPr>
                <w:snapToGrid w:val="0"/>
                <w:kern w:val="0"/>
                <w:sz w:val="21"/>
                <w:szCs w:val="21"/>
              </w:rPr>
              <w:t>生活垃圾</w:t>
            </w:r>
          </w:p>
        </w:tc>
        <w:tc>
          <w:tcPr>
            <w:tcW w:w="3789" w:type="dxa"/>
            <w:tcMar>
              <w:left w:w="0" w:type="dxa"/>
              <w:right w:w="0" w:type="dxa"/>
            </w:tcMar>
            <w:vAlign w:val="center"/>
          </w:tcPr>
          <w:p w:rsidR="00101969" w:rsidRDefault="00101969">
            <w:pPr>
              <w:spacing w:line="280" w:lineRule="exact"/>
              <w:jc w:val="center"/>
              <w:rPr>
                <w:snapToGrid w:val="0"/>
                <w:color w:val="000000"/>
                <w:kern w:val="0"/>
                <w:sz w:val="21"/>
                <w:szCs w:val="21"/>
              </w:rPr>
            </w:pPr>
            <w:r>
              <w:rPr>
                <w:snapToGrid w:val="0"/>
                <w:color w:val="000000"/>
                <w:kern w:val="0"/>
                <w:sz w:val="21"/>
                <w:szCs w:val="21"/>
              </w:rPr>
              <w:t>统一收集后运至鸠山镇垃圾中转站。</w:t>
            </w:r>
          </w:p>
        </w:tc>
        <w:tc>
          <w:tcPr>
            <w:tcW w:w="2847" w:type="dxa"/>
            <w:vAlign w:val="center"/>
          </w:tcPr>
          <w:p w:rsidR="00101969" w:rsidRDefault="00101969">
            <w:pPr>
              <w:spacing w:line="280" w:lineRule="exact"/>
              <w:jc w:val="center"/>
              <w:rPr>
                <w:snapToGrid w:val="0"/>
                <w:kern w:val="0"/>
                <w:sz w:val="21"/>
                <w:szCs w:val="21"/>
              </w:rPr>
            </w:pPr>
            <w:r>
              <w:rPr>
                <w:snapToGrid w:val="0"/>
                <w:kern w:val="0"/>
                <w:sz w:val="21"/>
                <w:szCs w:val="21"/>
              </w:rPr>
              <w:t>--</w:t>
            </w:r>
          </w:p>
        </w:tc>
        <w:tc>
          <w:tcPr>
            <w:tcW w:w="1120" w:type="dxa"/>
            <w:vAlign w:val="center"/>
          </w:tcPr>
          <w:p w:rsidR="00101969" w:rsidRDefault="00101969">
            <w:pPr>
              <w:spacing w:line="280" w:lineRule="exact"/>
              <w:jc w:val="center"/>
              <w:rPr>
                <w:snapToGrid w:val="0"/>
                <w:kern w:val="0"/>
                <w:sz w:val="21"/>
                <w:szCs w:val="21"/>
              </w:rPr>
            </w:pPr>
            <w:r>
              <w:rPr>
                <w:snapToGrid w:val="0"/>
                <w:kern w:val="0"/>
                <w:sz w:val="21"/>
                <w:szCs w:val="21"/>
              </w:rPr>
              <w:t>利用</w:t>
            </w:r>
          </w:p>
        </w:tc>
      </w:tr>
      <w:tr w:rsidR="00101969">
        <w:trPr>
          <w:cantSplit/>
          <w:jc w:val="center"/>
        </w:trPr>
        <w:tc>
          <w:tcPr>
            <w:tcW w:w="583" w:type="dxa"/>
            <w:vMerge/>
            <w:tcMar>
              <w:left w:w="108" w:type="dxa"/>
              <w:right w:w="108" w:type="dxa"/>
            </w:tcMar>
            <w:vAlign w:val="center"/>
          </w:tcPr>
          <w:p w:rsidR="00101969" w:rsidRDefault="00101969">
            <w:pPr>
              <w:spacing w:line="280" w:lineRule="exact"/>
              <w:jc w:val="center"/>
              <w:rPr>
                <w:snapToGrid w:val="0"/>
                <w:kern w:val="0"/>
                <w:sz w:val="21"/>
                <w:szCs w:val="21"/>
              </w:rPr>
            </w:pPr>
          </w:p>
        </w:tc>
        <w:tc>
          <w:tcPr>
            <w:tcW w:w="957" w:type="dxa"/>
            <w:tcMar>
              <w:left w:w="0" w:type="dxa"/>
              <w:right w:w="0" w:type="dxa"/>
            </w:tcMar>
            <w:vAlign w:val="center"/>
          </w:tcPr>
          <w:p w:rsidR="00101969" w:rsidRDefault="00101969">
            <w:pPr>
              <w:spacing w:line="280" w:lineRule="exact"/>
              <w:jc w:val="center"/>
              <w:rPr>
                <w:snapToGrid w:val="0"/>
                <w:kern w:val="0"/>
                <w:sz w:val="21"/>
                <w:szCs w:val="21"/>
              </w:rPr>
            </w:pPr>
            <w:r>
              <w:rPr>
                <w:snapToGrid w:val="0"/>
                <w:kern w:val="0"/>
                <w:sz w:val="21"/>
                <w:szCs w:val="21"/>
              </w:rPr>
              <w:t>机修车间废机油</w:t>
            </w:r>
          </w:p>
        </w:tc>
        <w:tc>
          <w:tcPr>
            <w:tcW w:w="3789" w:type="dxa"/>
            <w:tcMar>
              <w:left w:w="108" w:type="dxa"/>
              <w:right w:w="108" w:type="dxa"/>
            </w:tcMar>
            <w:vAlign w:val="center"/>
          </w:tcPr>
          <w:p w:rsidR="00101969" w:rsidRDefault="00101969">
            <w:pPr>
              <w:spacing w:line="280" w:lineRule="exact"/>
              <w:jc w:val="center"/>
              <w:rPr>
                <w:snapToGrid w:val="0"/>
                <w:color w:val="000000"/>
                <w:kern w:val="0"/>
                <w:sz w:val="21"/>
                <w:szCs w:val="21"/>
              </w:rPr>
            </w:pPr>
            <w:r>
              <w:rPr>
                <w:snapToGrid w:val="0"/>
                <w:color w:val="000000"/>
                <w:kern w:val="0"/>
                <w:sz w:val="21"/>
                <w:szCs w:val="21"/>
              </w:rPr>
              <w:t>--</w:t>
            </w:r>
          </w:p>
        </w:tc>
        <w:tc>
          <w:tcPr>
            <w:tcW w:w="2847" w:type="dxa"/>
            <w:vAlign w:val="center"/>
          </w:tcPr>
          <w:p w:rsidR="00101969" w:rsidRDefault="00101969">
            <w:pPr>
              <w:spacing w:line="280" w:lineRule="exact"/>
              <w:jc w:val="center"/>
              <w:rPr>
                <w:snapToGrid w:val="0"/>
                <w:kern w:val="0"/>
                <w:sz w:val="21"/>
                <w:szCs w:val="21"/>
              </w:rPr>
            </w:pPr>
            <w:r>
              <w:rPr>
                <w:snapToGrid w:val="0"/>
                <w:kern w:val="0"/>
                <w:sz w:val="21"/>
                <w:szCs w:val="21"/>
              </w:rPr>
              <w:t>设置危废暂存间，经收集后交由有资质单位处置</w:t>
            </w:r>
          </w:p>
        </w:tc>
        <w:tc>
          <w:tcPr>
            <w:tcW w:w="1120" w:type="dxa"/>
            <w:vAlign w:val="center"/>
          </w:tcPr>
          <w:p w:rsidR="00101969" w:rsidRDefault="00101969">
            <w:pPr>
              <w:spacing w:line="280" w:lineRule="exact"/>
              <w:jc w:val="center"/>
              <w:rPr>
                <w:snapToGrid w:val="0"/>
                <w:kern w:val="0"/>
                <w:sz w:val="21"/>
                <w:szCs w:val="21"/>
              </w:rPr>
            </w:pPr>
            <w:r>
              <w:rPr>
                <w:snapToGrid w:val="0"/>
                <w:kern w:val="0"/>
                <w:sz w:val="21"/>
                <w:szCs w:val="21"/>
              </w:rPr>
              <w:t>新增</w:t>
            </w:r>
          </w:p>
        </w:tc>
      </w:tr>
    </w:tbl>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42" w:name="_Toc148262214"/>
      <w:bookmarkStart w:id="243" w:name="_Toc143941631"/>
      <w:bookmarkStart w:id="244" w:name="_Toc79668628"/>
      <w:bookmarkEnd w:id="223"/>
      <w:bookmarkEnd w:id="224"/>
      <w:r>
        <w:rPr>
          <w:rFonts w:eastAsia="楷体"/>
          <w:sz w:val="28"/>
          <w:szCs w:val="28"/>
        </w:rPr>
        <w:t xml:space="preserve">3.2.3 </w:t>
      </w:r>
      <w:r>
        <w:rPr>
          <w:rFonts w:eastAsia="楷体"/>
          <w:sz w:val="28"/>
          <w:szCs w:val="28"/>
        </w:rPr>
        <w:t>地理位置</w:t>
      </w:r>
      <w:bookmarkEnd w:id="242"/>
      <w:bookmarkEnd w:id="243"/>
      <w:r>
        <w:rPr>
          <w:rFonts w:eastAsia="楷体"/>
          <w:sz w:val="28"/>
          <w:szCs w:val="28"/>
        </w:rPr>
        <w:t>及交通</w:t>
      </w:r>
      <w:bookmarkEnd w:id="244"/>
    </w:p>
    <w:p w:rsidR="00240BCE" w:rsidRDefault="00AC0334">
      <w:pPr>
        <w:spacing w:line="520" w:lineRule="exact"/>
        <w:ind w:firstLineChars="200" w:firstLine="480"/>
        <w:rPr>
          <w:sz w:val="24"/>
        </w:rPr>
      </w:pPr>
      <w:r>
        <w:rPr>
          <w:sz w:val="24"/>
        </w:rPr>
        <w:t>禹州神火隆庆矿业有限公司位于河南省禹州煤田北部、蔡寺</w:t>
      </w:r>
      <w:r>
        <w:rPr>
          <w:sz w:val="24"/>
        </w:rPr>
        <w:t>~</w:t>
      </w:r>
      <w:r>
        <w:rPr>
          <w:sz w:val="24"/>
        </w:rPr>
        <w:t>白沙普查区之西南段浅部，行政区划属禹州市鸠山镇管辖，矿井地理坐标：东经</w:t>
      </w:r>
      <w:r>
        <w:rPr>
          <w:sz w:val="24"/>
        </w:rPr>
        <w:t>113°09′09″</w:t>
      </w:r>
      <w:r>
        <w:rPr>
          <w:sz w:val="24"/>
        </w:rPr>
        <w:t>～</w:t>
      </w:r>
      <w:r>
        <w:rPr>
          <w:sz w:val="24"/>
        </w:rPr>
        <w:t>113°10′44″</w:t>
      </w:r>
      <w:r>
        <w:rPr>
          <w:sz w:val="24"/>
        </w:rPr>
        <w:t>，北纬</w:t>
      </w:r>
      <w:r>
        <w:rPr>
          <w:sz w:val="24"/>
        </w:rPr>
        <w:t xml:space="preserve"> 34°11′52″</w:t>
      </w:r>
      <w:r>
        <w:rPr>
          <w:sz w:val="24"/>
        </w:rPr>
        <w:t>～</w:t>
      </w:r>
      <w:r>
        <w:rPr>
          <w:sz w:val="24"/>
        </w:rPr>
        <w:t>34°12′50″</w:t>
      </w:r>
      <w:r>
        <w:rPr>
          <w:sz w:val="24"/>
        </w:rPr>
        <w:t>。矿井东距许昌市</w:t>
      </w:r>
      <w:r>
        <w:rPr>
          <w:sz w:val="24"/>
        </w:rPr>
        <w:t>64km</w:t>
      </w:r>
      <w:r>
        <w:rPr>
          <w:sz w:val="24"/>
        </w:rPr>
        <w:t>、禹州市</w:t>
      </w:r>
      <w:r>
        <w:rPr>
          <w:sz w:val="24"/>
        </w:rPr>
        <w:t>28km</w:t>
      </w:r>
      <w:r>
        <w:rPr>
          <w:sz w:val="24"/>
        </w:rPr>
        <w:t>，西距汝州市</w:t>
      </w:r>
      <w:r>
        <w:rPr>
          <w:sz w:val="24"/>
        </w:rPr>
        <w:t>31km</w:t>
      </w:r>
      <w:r>
        <w:rPr>
          <w:sz w:val="24"/>
        </w:rPr>
        <w:t>，北距鸠山镇</w:t>
      </w:r>
      <w:r>
        <w:rPr>
          <w:sz w:val="24"/>
        </w:rPr>
        <w:t>0.7km</w:t>
      </w:r>
      <w:r>
        <w:rPr>
          <w:sz w:val="24"/>
        </w:rPr>
        <w:t>。北距</w:t>
      </w:r>
      <w:r>
        <w:rPr>
          <w:sz w:val="24"/>
        </w:rPr>
        <w:t>S325</w:t>
      </w:r>
      <w:r>
        <w:rPr>
          <w:sz w:val="24"/>
        </w:rPr>
        <w:t>省道</w:t>
      </w:r>
      <w:r>
        <w:rPr>
          <w:sz w:val="24"/>
        </w:rPr>
        <w:t>0.6km</w:t>
      </w:r>
      <w:r>
        <w:rPr>
          <w:sz w:val="24"/>
        </w:rPr>
        <w:t>，东距</w:t>
      </w:r>
      <w:r>
        <w:rPr>
          <w:sz w:val="24"/>
        </w:rPr>
        <w:t>S236</w:t>
      </w:r>
      <w:r>
        <w:rPr>
          <w:sz w:val="24"/>
        </w:rPr>
        <w:t>省道</w:t>
      </w:r>
      <w:r>
        <w:rPr>
          <w:sz w:val="24"/>
        </w:rPr>
        <w:t>8km</w:t>
      </w:r>
      <w:r>
        <w:rPr>
          <w:sz w:val="24"/>
        </w:rPr>
        <w:t>，南距</w:t>
      </w:r>
      <w:r>
        <w:rPr>
          <w:sz w:val="24"/>
        </w:rPr>
        <w:t>S238</w:t>
      </w:r>
      <w:r>
        <w:rPr>
          <w:sz w:val="24"/>
        </w:rPr>
        <w:t>省道</w:t>
      </w:r>
      <w:r>
        <w:rPr>
          <w:sz w:val="24"/>
        </w:rPr>
        <w:t>26km</w:t>
      </w:r>
      <w:r>
        <w:rPr>
          <w:sz w:val="24"/>
        </w:rPr>
        <w:t>，西距</w:t>
      </w:r>
      <w:r>
        <w:rPr>
          <w:sz w:val="24"/>
        </w:rPr>
        <w:t>S49</w:t>
      </w:r>
      <w:r>
        <w:rPr>
          <w:sz w:val="24"/>
        </w:rPr>
        <w:t>焦桐高速</w:t>
      </w:r>
      <w:r>
        <w:rPr>
          <w:sz w:val="24"/>
        </w:rPr>
        <w:t>14km</w:t>
      </w:r>
      <w:r>
        <w:rPr>
          <w:sz w:val="24"/>
        </w:rPr>
        <w:t>，东</w:t>
      </w:r>
      <w:r>
        <w:rPr>
          <w:sz w:val="24"/>
        </w:rPr>
        <w:t>55km</w:t>
      </w:r>
      <w:r>
        <w:rPr>
          <w:sz w:val="24"/>
        </w:rPr>
        <w:t>有京广铁路长葛火车站。工业场地北</w:t>
      </w:r>
      <w:r>
        <w:rPr>
          <w:sz w:val="24"/>
        </w:rPr>
        <w:t>500m</w:t>
      </w:r>
      <w:r>
        <w:rPr>
          <w:sz w:val="24"/>
        </w:rPr>
        <w:t>处为省道</w:t>
      </w:r>
      <w:r>
        <w:rPr>
          <w:sz w:val="24"/>
        </w:rPr>
        <w:t>S325</w:t>
      </w:r>
      <w:r>
        <w:rPr>
          <w:sz w:val="24"/>
        </w:rPr>
        <w:t>线，已有场外道路与之相连，交通条件便利。地理位置及交通见附图</w:t>
      </w:r>
      <w:r>
        <w:rPr>
          <w:sz w:val="24"/>
        </w:rPr>
        <w:t>1</w:t>
      </w:r>
      <w:r>
        <w:rPr>
          <w:sz w:val="24"/>
        </w:rPr>
        <w:t>。</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45" w:name="_Toc79668629"/>
      <w:r>
        <w:rPr>
          <w:rFonts w:eastAsia="楷体"/>
          <w:sz w:val="28"/>
          <w:szCs w:val="28"/>
        </w:rPr>
        <w:t xml:space="preserve">3.2.4 </w:t>
      </w:r>
      <w:r>
        <w:rPr>
          <w:rFonts w:eastAsia="楷体"/>
          <w:sz w:val="28"/>
          <w:szCs w:val="28"/>
        </w:rPr>
        <w:t>产品方案及流向</w:t>
      </w:r>
      <w:bookmarkEnd w:id="245"/>
    </w:p>
    <w:p w:rsidR="004D5CBC" w:rsidRDefault="00AC0334" w:rsidP="004D5CBC">
      <w:pPr>
        <w:pStyle w:val="01"/>
        <w:snapToGrid w:val="0"/>
        <w:spacing w:line="520" w:lineRule="exact"/>
        <w:ind w:firstLine="480"/>
        <w:jc w:val="both"/>
        <w:rPr>
          <w:rFonts w:ascii="宋体" w:hAnsi="宋体" w:cs="宋体"/>
          <w:b/>
          <w:bCs/>
          <w:color w:val="000000"/>
          <w:lang w:val="en-US"/>
        </w:rPr>
      </w:pPr>
      <w:r>
        <w:t>产品方案为原煤（二</w:t>
      </w:r>
      <w:r>
        <w:rPr>
          <w:vertAlign w:val="subscript"/>
        </w:rPr>
        <w:t>1</w:t>
      </w:r>
      <w:r>
        <w:t>煤），属低灰、特低硫、特高热值贫煤，是优质的动力和民用煤</w:t>
      </w:r>
      <w:r w:rsidR="004D5CBC">
        <w:rPr>
          <w:rFonts w:hint="eastAsia"/>
        </w:rPr>
        <w:t>，</w:t>
      </w:r>
      <w:r w:rsidR="004D5CBC" w:rsidRPr="00352B7A">
        <w:rPr>
          <w:rFonts w:ascii="宋体" w:hAnsi="宋体" w:hint="eastAsia"/>
        </w:rPr>
        <w:t>拟</w:t>
      </w:r>
      <w:r w:rsidR="004D5CBC" w:rsidRPr="00456489">
        <w:rPr>
          <w:rFonts w:ascii="宋体" w:hAnsi="宋体" w:cs="宋体" w:hint="eastAsia"/>
          <w:b/>
          <w:bCs/>
          <w:color w:val="000000"/>
        </w:rPr>
        <w:t>外售至</w:t>
      </w:r>
      <w:r w:rsidR="004D5CBC" w:rsidRPr="00826435">
        <w:rPr>
          <w:rFonts w:ascii="宋体" w:hAnsi="宋体" w:cs="宋体" w:hint="eastAsia"/>
          <w:b/>
          <w:bCs/>
          <w:i/>
          <w:color w:val="000000"/>
          <w:u w:val="single"/>
          <w:lang w:val="en-US"/>
        </w:rPr>
        <w:t>禹州市华泰煤业</w:t>
      </w:r>
      <w:r w:rsidR="00826435" w:rsidRPr="00826435">
        <w:rPr>
          <w:rFonts w:ascii="宋体" w:hAnsi="宋体" w:cs="宋体" w:hint="eastAsia"/>
          <w:b/>
          <w:bCs/>
          <w:i/>
          <w:color w:val="000000"/>
          <w:u w:val="single"/>
          <w:lang w:val="en-US"/>
        </w:rPr>
        <w:t>有限公司洗选加工</w:t>
      </w:r>
      <w:r w:rsidR="004D5CBC" w:rsidRPr="00826435">
        <w:rPr>
          <w:rFonts w:ascii="宋体" w:hAnsi="宋体" w:cs="宋体" w:hint="eastAsia"/>
          <w:b/>
          <w:bCs/>
          <w:i/>
          <w:color w:val="000000"/>
          <w:u w:val="single"/>
          <w:lang w:val="en-US"/>
        </w:rPr>
        <w:t>，销售协议见附件1</w:t>
      </w:r>
      <w:r w:rsidR="00826435" w:rsidRPr="00826435">
        <w:rPr>
          <w:rFonts w:ascii="宋体" w:hAnsi="宋体" w:cs="宋体" w:hint="eastAsia"/>
          <w:b/>
          <w:bCs/>
          <w:i/>
          <w:color w:val="000000"/>
          <w:u w:val="single"/>
          <w:lang w:val="en-US"/>
        </w:rPr>
        <w:t>7</w:t>
      </w:r>
      <w:r w:rsidR="004D5CBC" w:rsidRPr="00826435">
        <w:rPr>
          <w:rFonts w:ascii="宋体" w:hAnsi="宋体" w:cs="宋体" w:hint="eastAsia"/>
          <w:b/>
          <w:bCs/>
          <w:i/>
          <w:color w:val="000000"/>
          <w:u w:val="single"/>
          <w:lang w:val="en-US"/>
        </w:rPr>
        <w:t>。</w:t>
      </w:r>
    </w:p>
    <w:p w:rsidR="004D5CBC" w:rsidRPr="00A027B3" w:rsidRDefault="00826435" w:rsidP="00826435">
      <w:pPr>
        <w:pStyle w:val="01"/>
        <w:snapToGrid w:val="0"/>
        <w:spacing w:line="520" w:lineRule="exact"/>
        <w:ind w:firstLine="482"/>
        <w:jc w:val="both"/>
        <w:rPr>
          <w:rFonts w:ascii="宋体" w:hAnsi="宋体" w:cs="宋体"/>
          <w:b/>
          <w:bCs/>
          <w:i/>
          <w:color w:val="000000"/>
          <w:u w:val="single"/>
          <w:lang w:val="en-US"/>
        </w:rPr>
      </w:pPr>
      <w:r w:rsidRPr="00826435">
        <w:rPr>
          <w:rFonts w:ascii="宋体" w:hAnsi="宋体" w:cs="宋体" w:hint="eastAsia"/>
          <w:b/>
          <w:bCs/>
          <w:i/>
          <w:color w:val="000000"/>
          <w:u w:val="single"/>
          <w:lang w:val="en-US"/>
        </w:rPr>
        <w:t>禹州市华泰煤业有限公司</w:t>
      </w:r>
      <w:r>
        <w:rPr>
          <w:rFonts w:ascii="宋体" w:hAnsi="宋体" w:cs="宋体" w:hint="eastAsia"/>
          <w:b/>
          <w:bCs/>
          <w:i/>
          <w:color w:val="000000"/>
          <w:u w:val="single"/>
          <w:lang w:val="en-US"/>
        </w:rPr>
        <w:t>年洗选原煤60万吨技改项目</w:t>
      </w:r>
      <w:r w:rsidR="004D5CBC" w:rsidRPr="00A027B3">
        <w:rPr>
          <w:rFonts w:ascii="宋体" w:hAnsi="宋体" w:cs="宋体" w:hint="eastAsia"/>
          <w:b/>
          <w:bCs/>
          <w:i/>
          <w:color w:val="000000"/>
          <w:u w:val="single"/>
          <w:lang w:val="en-US"/>
        </w:rPr>
        <w:t>位于</w:t>
      </w:r>
      <w:r>
        <w:rPr>
          <w:rFonts w:ascii="宋体" w:hAnsi="宋体" w:cs="宋体" w:hint="eastAsia"/>
          <w:b/>
          <w:bCs/>
          <w:i/>
          <w:color w:val="000000"/>
          <w:u w:val="single"/>
          <w:lang w:val="en-US"/>
        </w:rPr>
        <w:t>禹州市磨街乡陈庄村</w:t>
      </w:r>
      <w:r w:rsidR="004D5CBC" w:rsidRPr="00A027B3">
        <w:rPr>
          <w:rFonts w:ascii="宋体" w:hAnsi="宋体" w:cs="宋体" w:hint="eastAsia"/>
          <w:b/>
          <w:bCs/>
          <w:i/>
          <w:color w:val="000000"/>
          <w:u w:val="single"/>
          <w:lang w:val="en-US"/>
        </w:rPr>
        <w:t>，</w:t>
      </w:r>
      <w:r>
        <w:rPr>
          <w:rFonts w:ascii="宋体" w:hAnsi="宋体" w:cs="宋体" w:hint="eastAsia"/>
          <w:b/>
          <w:bCs/>
          <w:i/>
          <w:color w:val="000000"/>
          <w:u w:val="single"/>
          <w:lang w:val="en-US"/>
        </w:rPr>
        <w:t>批准</w:t>
      </w:r>
      <w:r w:rsidR="004D5CBC" w:rsidRPr="00A027B3">
        <w:rPr>
          <w:rFonts w:ascii="宋体" w:hAnsi="宋体" w:cs="宋体" w:hint="eastAsia"/>
          <w:b/>
          <w:bCs/>
          <w:i/>
          <w:color w:val="000000"/>
          <w:u w:val="single"/>
          <w:lang w:val="en-US"/>
        </w:rPr>
        <w:t>生产规模</w:t>
      </w:r>
      <w:r>
        <w:rPr>
          <w:rFonts w:ascii="宋体" w:hAnsi="宋体" w:cs="宋体" w:hint="eastAsia"/>
          <w:b/>
          <w:bCs/>
          <w:i/>
          <w:color w:val="000000"/>
          <w:u w:val="single"/>
          <w:lang w:val="en-US"/>
        </w:rPr>
        <w:t>为年洗选原煤6</w:t>
      </w:r>
      <w:r w:rsidR="004D5CBC" w:rsidRPr="00A027B3">
        <w:rPr>
          <w:rFonts w:ascii="宋体" w:hAnsi="宋体" w:cs="宋体" w:hint="eastAsia"/>
          <w:b/>
          <w:bCs/>
          <w:i/>
          <w:color w:val="000000"/>
          <w:u w:val="single"/>
          <w:lang w:val="en-US"/>
        </w:rPr>
        <w:t>0万</w:t>
      </w:r>
      <w:r>
        <w:rPr>
          <w:rFonts w:ascii="宋体" w:hAnsi="宋体" w:cs="宋体" w:hint="eastAsia"/>
          <w:b/>
          <w:bCs/>
          <w:i/>
          <w:color w:val="000000"/>
          <w:u w:val="single"/>
          <w:lang w:val="en-US"/>
        </w:rPr>
        <w:t>吨</w:t>
      </w:r>
      <w:r w:rsidR="004D5CBC" w:rsidRPr="00A027B3">
        <w:rPr>
          <w:rFonts w:ascii="宋体" w:hAnsi="宋体" w:cs="宋体" w:hint="eastAsia"/>
          <w:b/>
          <w:bCs/>
          <w:i/>
          <w:color w:val="000000"/>
          <w:u w:val="single"/>
          <w:lang w:val="en-US"/>
        </w:rPr>
        <w:t>，采用</w:t>
      </w:r>
      <w:r>
        <w:rPr>
          <w:rFonts w:ascii="宋体" w:hAnsi="宋体" w:cs="宋体" w:hint="eastAsia"/>
          <w:b/>
          <w:bCs/>
          <w:i/>
          <w:color w:val="000000"/>
          <w:u w:val="single"/>
          <w:lang w:val="en-US"/>
        </w:rPr>
        <w:t>洗选</w:t>
      </w:r>
      <w:r w:rsidR="004D5CBC" w:rsidRPr="00A027B3">
        <w:rPr>
          <w:rFonts w:ascii="宋体" w:hAnsi="宋体" w:cs="宋体" w:hint="eastAsia"/>
          <w:b/>
          <w:bCs/>
          <w:i/>
          <w:color w:val="000000"/>
          <w:u w:val="single"/>
          <w:lang w:val="en-US"/>
        </w:rPr>
        <w:t>工艺，于20</w:t>
      </w:r>
      <w:r>
        <w:rPr>
          <w:rFonts w:ascii="宋体" w:hAnsi="宋体" w:cs="宋体" w:hint="eastAsia"/>
          <w:b/>
          <w:bCs/>
          <w:i/>
          <w:color w:val="000000"/>
          <w:u w:val="single"/>
          <w:lang w:val="en-US"/>
        </w:rPr>
        <w:t>15</w:t>
      </w:r>
      <w:r w:rsidR="004D5CBC" w:rsidRPr="00A027B3">
        <w:rPr>
          <w:rFonts w:ascii="宋体" w:hAnsi="宋体" w:cs="宋体" w:hint="eastAsia"/>
          <w:b/>
          <w:bCs/>
          <w:i/>
          <w:color w:val="000000"/>
          <w:u w:val="single"/>
          <w:lang w:val="en-US"/>
        </w:rPr>
        <w:t>年</w:t>
      </w:r>
      <w:r>
        <w:rPr>
          <w:rFonts w:ascii="宋体" w:hAnsi="宋体" w:cs="宋体" w:hint="eastAsia"/>
          <w:b/>
          <w:bCs/>
          <w:i/>
          <w:color w:val="000000"/>
          <w:u w:val="single"/>
          <w:lang w:val="en-US"/>
        </w:rPr>
        <w:t>10</w:t>
      </w:r>
      <w:r w:rsidR="004D5CBC" w:rsidRPr="00A027B3">
        <w:rPr>
          <w:rFonts w:ascii="宋体" w:hAnsi="宋体" w:cs="宋体" w:hint="eastAsia"/>
          <w:b/>
          <w:bCs/>
          <w:i/>
          <w:color w:val="000000"/>
          <w:u w:val="single"/>
          <w:lang w:val="en-US"/>
        </w:rPr>
        <w:t>月取得</w:t>
      </w:r>
      <w:r>
        <w:rPr>
          <w:rFonts w:ascii="宋体" w:hAnsi="宋体" w:cs="宋体" w:hint="eastAsia"/>
          <w:b/>
          <w:bCs/>
          <w:i/>
          <w:color w:val="000000"/>
          <w:u w:val="single"/>
          <w:lang w:val="en-US"/>
        </w:rPr>
        <w:t>许昌市</w:t>
      </w:r>
      <w:r w:rsidR="004D5CBC" w:rsidRPr="00A027B3">
        <w:rPr>
          <w:rFonts w:ascii="宋体" w:hAnsi="宋体" w:cs="宋体" w:hint="eastAsia"/>
          <w:b/>
          <w:bCs/>
          <w:i/>
          <w:color w:val="000000"/>
          <w:u w:val="single"/>
          <w:lang w:val="en-US"/>
        </w:rPr>
        <w:t>环境保护局的环保验收批复（</w:t>
      </w:r>
      <w:r>
        <w:rPr>
          <w:rFonts w:ascii="宋体" w:hAnsi="宋体" w:cs="宋体" w:hint="eastAsia"/>
          <w:b/>
          <w:bCs/>
          <w:i/>
          <w:color w:val="000000"/>
          <w:u w:val="single"/>
          <w:lang w:val="en-US"/>
        </w:rPr>
        <w:t>许</w:t>
      </w:r>
      <w:r w:rsidR="004D5CBC" w:rsidRPr="00A027B3">
        <w:rPr>
          <w:rFonts w:ascii="宋体" w:hAnsi="宋体" w:cs="宋体" w:hint="eastAsia"/>
          <w:b/>
          <w:bCs/>
          <w:i/>
          <w:color w:val="000000"/>
          <w:u w:val="single"/>
          <w:lang w:val="en-US"/>
        </w:rPr>
        <w:t>环</w:t>
      </w:r>
      <w:r>
        <w:rPr>
          <w:rFonts w:ascii="宋体" w:hAnsi="宋体" w:cs="宋体" w:hint="eastAsia"/>
          <w:b/>
          <w:bCs/>
          <w:i/>
          <w:color w:val="000000"/>
          <w:u w:val="single"/>
          <w:lang w:val="en-US"/>
        </w:rPr>
        <w:t>建</w:t>
      </w:r>
      <w:r w:rsidR="004D5CBC" w:rsidRPr="00A027B3">
        <w:rPr>
          <w:rFonts w:ascii="宋体" w:hAnsi="宋体" w:cs="宋体" w:hint="eastAsia"/>
          <w:b/>
          <w:bCs/>
          <w:i/>
          <w:color w:val="000000"/>
          <w:u w:val="single"/>
          <w:lang w:val="en-US"/>
        </w:rPr>
        <w:t>验【20</w:t>
      </w:r>
      <w:r>
        <w:rPr>
          <w:rFonts w:ascii="宋体" w:hAnsi="宋体" w:cs="宋体" w:hint="eastAsia"/>
          <w:b/>
          <w:bCs/>
          <w:i/>
          <w:color w:val="000000"/>
          <w:u w:val="single"/>
          <w:lang w:val="en-US"/>
        </w:rPr>
        <w:t>15</w:t>
      </w:r>
      <w:r w:rsidR="004D5CBC" w:rsidRPr="00A027B3">
        <w:rPr>
          <w:rFonts w:ascii="宋体" w:hAnsi="宋体" w:cs="宋体" w:hint="eastAsia"/>
          <w:b/>
          <w:bCs/>
          <w:i/>
          <w:color w:val="000000"/>
          <w:u w:val="single"/>
          <w:lang w:val="en-US"/>
        </w:rPr>
        <w:t>】</w:t>
      </w:r>
      <w:r>
        <w:rPr>
          <w:rFonts w:ascii="宋体" w:hAnsi="宋体" w:cs="宋体" w:hint="eastAsia"/>
          <w:b/>
          <w:bCs/>
          <w:i/>
          <w:color w:val="000000"/>
          <w:u w:val="single"/>
          <w:lang w:val="en-US"/>
        </w:rPr>
        <w:t>40</w:t>
      </w:r>
      <w:r w:rsidR="004D5CBC" w:rsidRPr="00A027B3">
        <w:rPr>
          <w:rFonts w:ascii="宋体" w:hAnsi="宋体" w:cs="宋体" w:hint="eastAsia"/>
          <w:b/>
          <w:bCs/>
          <w:i/>
          <w:color w:val="000000"/>
          <w:u w:val="single"/>
          <w:lang w:val="en-US"/>
        </w:rPr>
        <w:t>号），见附件1</w:t>
      </w:r>
      <w:r>
        <w:rPr>
          <w:rFonts w:ascii="宋体" w:hAnsi="宋体" w:cs="宋体" w:hint="eastAsia"/>
          <w:b/>
          <w:bCs/>
          <w:i/>
          <w:color w:val="000000"/>
          <w:u w:val="single"/>
          <w:lang w:val="en-US"/>
        </w:rPr>
        <w:t>7</w:t>
      </w:r>
      <w:r w:rsidR="004D5CBC" w:rsidRPr="00A027B3">
        <w:rPr>
          <w:rFonts w:ascii="宋体" w:hAnsi="宋体" w:cs="宋体" w:hint="eastAsia"/>
          <w:b/>
          <w:bCs/>
          <w:i/>
          <w:color w:val="000000"/>
          <w:u w:val="single"/>
          <w:lang w:val="en-US"/>
        </w:rPr>
        <w:t>。</w:t>
      </w:r>
    </w:p>
    <w:p w:rsidR="004D5CBC" w:rsidRPr="004056DD" w:rsidRDefault="004D5CBC" w:rsidP="004D5CBC">
      <w:pPr>
        <w:pStyle w:val="01"/>
        <w:spacing w:line="520" w:lineRule="exact"/>
        <w:ind w:firstLine="482"/>
        <w:rPr>
          <w:rFonts w:ascii="宋体" w:hAnsi="宋体" w:cs="宋体"/>
          <w:b/>
          <w:bCs/>
          <w:i/>
          <w:color w:val="000000"/>
          <w:u w:val="single"/>
          <w:lang w:val="en-US"/>
        </w:rPr>
      </w:pPr>
      <w:r>
        <w:rPr>
          <w:rFonts w:ascii="宋体" w:hAnsi="宋体" w:cs="宋体" w:hint="eastAsia"/>
          <w:b/>
          <w:bCs/>
          <w:i/>
          <w:color w:val="000000"/>
          <w:u w:val="single"/>
          <w:lang w:val="en-US"/>
        </w:rPr>
        <w:lastRenderedPageBreak/>
        <w:t>目前</w:t>
      </w:r>
      <w:r w:rsidR="00826435" w:rsidRPr="00826435">
        <w:rPr>
          <w:rFonts w:ascii="宋体" w:hAnsi="宋体" w:cs="宋体" w:hint="eastAsia"/>
          <w:b/>
          <w:bCs/>
          <w:i/>
          <w:color w:val="000000"/>
          <w:u w:val="single"/>
          <w:lang w:val="en-US"/>
        </w:rPr>
        <w:t>禹州市华泰煤业有限公司</w:t>
      </w:r>
      <w:r w:rsidR="00826435">
        <w:rPr>
          <w:rFonts w:ascii="宋体" w:hAnsi="宋体" w:cs="宋体" w:hint="eastAsia"/>
          <w:b/>
          <w:bCs/>
          <w:i/>
          <w:color w:val="000000"/>
          <w:u w:val="single"/>
          <w:lang w:val="en-US"/>
        </w:rPr>
        <w:t>年洗选原煤60万吨技改项目</w:t>
      </w:r>
      <w:r>
        <w:rPr>
          <w:rFonts w:ascii="宋体" w:hAnsi="宋体" w:cs="宋体" w:hint="eastAsia"/>
          <w:b/>
          <w:bCs/>
          <w:i/>
          <w:color w:val="000000"/>
          <w:u w:val="single"/>
          <w:lang w:val="en-US"/>
        </w:rPr>
        <w:t>主要外购</w:t>
      </w:r>
      <w:r w:rsidR="00826435">
        <w:rPr>
          <w:rFonts w:ascii="宋体" w:hAnsi="宋体" w:cs="宋体" w:hint="eastAsia"/>
          <w:b/>
          <w:bCs/>
          <w:i/>
          <w:color w:val="000000"/>
          <w:u w:val="single"/>
          <w:lang w:val="en-US"/>
        </w:rPr>
        <w:t>原煤进行洗选加工</w:t>
      </w:r>
      <w:r w:rsidRPr="004056DD">
        <w:rPr>
          <w:rFonts w:ascii="宋体" w:hAnsi="宋体" w:cs="宋体" w:hint="eastAsia"/>
          <w:b/>
          <w:bCs/>
          <w:i/>
          <w:color w:val="000000"/>
          <w:u w:val="single"/>
          <w:lang w:val="en-US"/>
        </w:rPr>
        <w:t>，</w:t>
      </w:r>
      <w:r>
        <w:rPr>
          <w:rFonts w:ascii="宋体" w:hAnsi="宋体" w:cs="宋体" w:hint="eastAsia"/>
          <w:b/>
          <w:bCs/>
          <w:i/>
          <w:color w:val="000000"/>
          <w:u w:val="single"/>
          <w:lang w:val="en-US"/>
        </w:rPr>
        <w:t>所需</w:t>
      </w:r>
      <w:r w:rsidR="000B7B82">
        <w:rPr>
          <w:rFonts w:ascii="宋体" w:hAnsi="宋体" w:cs="宋体" w:hint="eastAsia"/>
          <w:b/>
          <w:bCs/>
          <w:i/>
          <w:color w:val="000000"/>
          <w:u w:val="single"/>
          <w:lang w:val="en-US"/>
        </w:rPr>
        <w:t>外购</w:t>
      </w:r>
      <w:r>
        <w:rPr>
          <w:rFonts w:ascii="宋体" w:hAnsi="宋体" w:cs="宋体" w:hint="eastAsia"/>
          <w:b/>
          <w:bCs/>
          <w:i/>
          <w:color w:val="000000"/>
          <w:u w:val="single"/>
          <w:lang w:val="en-US"/>
        </w:rPr>
        <w:t>约</w:t>
      </w:r>
      <w:r w:rsidRPr="00A027B3">
        <w:rPr>
          <w:rFonts w:ascii="宋体" w:hAnsi="宋体" w:cs="宋体" w:hint="eastAsia"/>
          <w:b/>
          <w:bCs/>
          <w:i/>
          <w:color w:val="000000"/>
          <w:u w:val="single"/>
          <w:lang w:val="en-US"/>
        </w:rPr>
        <w:t>60万</w:t>
      </w:r>
      <w:r w:rsidR="00826435">
        <w:rPr>
          <w:rFonts w:ascii="宋体" w:hAnsi="宋体" w:cs="宋体" w:hint="eastAsia"/>
          <w:b/>
          <w:bCs/>
          <w:i/>
          <w:color w:val="000000"/>
          <w:u w:val="single"/>
          <w:lang w:val="en-US"/>
        </w:rPr>
        <w:t>吨原煤</w:t>
      </w:r>
      <w:r w:rsidRPr="00A027B3">
        <w:rPr>
          <w:rFonts w:ascii="宋体" w:hAnsi="宋体" w:cs="宋体" w:hint="eastAsia"/>
          <w:b/>
          <w:bCs/>
          <w:i/>
          <w:color w:val="000000"/>
          <w:u w:val="single"/>
          <w:lang w:val="en-US"/>
        </w:rPr>
        <w:t>/</w:t>
      </w:r>
      <w:r w:rsidR="00826435">
        <w:rPr>
          <w:rFonts w:ascii="宋体" w:hAnsi="宋体" w:cs="宋体" w:hint="eastAsia"/>
          <w:b/>
          <w:bCs/>
          <w:i/>
          <w:color w:val="000000"/>
          <w:u w:val="single"/>
          <w:lang w:val="en-US"/>
        </w:rPr>
        <w:t>年</w:t>
      </w:r>
      <w:r w:rsidRPr="00A027B3">
        <w:rPr>
          <w:rFonts w:ascii="宋体" w:hAnsi="宋体" w:cs="宋体" w:hint="eastAsia"/>
          <w:b/>
          <w:bCs/>
          <w:i/>
          <w:color w:val="000000"/>
          <w:u w:val="single"/>
          <w:lang w:val="en-US"/>
        </w:rPr>
        <w:t>，而本项目</w:t>
      </w:r>
      <w:r w:rsidR="00826435">
        <w:rPr>
          <w:rFonts w:ascii="宋体" w:hAnsi="宋体" w:cs="宋体" w:hint="eastAsia"/>
          <w:b/>
          <w:bCs/>
          <w:i/>
          <w:color w:val="000000"/>
          <w:u w:val="single"/>
          <w:lang w:val="en-US"/>
        </w:rPr>
        <w:t>原煤生产</w:t>
      </w:r>
      <w:r w:rsidRPr="00A027B3">
        <w:rPr>
          <w:rFonts w:ascii="宋体" w:hAnsi="宋体" w:cs="宋体" w:hint="eastAsia"/>
          <w:b/>
          <w:bCs/>
          <w:i/>
          <w:color w:val="000000"/>
          <w:u w:val="single"/>
          <w:lang w:val="en-US"/>
        </w:rPr>
        <w:t>规模</w:t>
      </w:r>
      <w:r w:rsidR="00826435">
        <w:rPr>
          <w:rFonts w:ascii="宋体" w:hAnsi="宋体" w:cs="宋体" w:hint="eastAsia"/>
          <w:b/>
          <w:bCs/>
          <w:i/>
          <w:color w:val="000000"/>
          <w:u w:val="single"/>
          <w:lang w:val="en-US"/>
        </w:rPr>
        <w:t>3</w:t>
      </w:r>
      <w:r w:rsidRPr="00A027B3">
        <w:rPr>
          <w:rFonts w:ascii="宋体" w:hAnsi="宋体" w:cs="宋体" w:hint="eastAsia"/>
          <w:b/>
          <w:bCs/>
          <w:i/>
          <w:color w:val="000000"/>
          <w:u w:val="single"/>
          <w:lang w:val="en-US"/>
        </w:rPr>
        <w:t>0万t/a，能够完全供给</w:t>
      </w:r>
      <w:r w:rsidR="00826435" w:rsidRPr="00826435">
        <w:rPr>
          <w:rFonts w:ascii="宋体" w:hAnsi="宋体" w:cs="宋体" w:hint="eastAsia"/>
          <w:b/>
          <w:bCs/>
          <w:i/>
          <w:color w:val="000000"/>
          <w:u w:val="single"/>
          <w:lang w:val="en-US"/>
        </w:rPr>
        <w:t>州市华泰煤业有限公司</w:t>
      </w:r>
      <w:r w:rsidR="00826435">
        <w:rPr>
          <w:rFonts w:ascii="宋体" w:hAnsi="宋体" w:cs="宋体" w:hint="eastAsia"/>
          <w:b/>
          <w:bCs/>
          <w:i/>
          <w:color w:val="000000"/>
          <w:u w:val="single"/>
        </w:rPr>
        <w:t>洗选加工，且本项目距离</w:t>
      </w:r>
      <w:r w:rsidR="00826435" w:rsidRPr="00826435">
        <w:rPr>
          <w:rFonts w:ascii="宋体" w:hAnsi="宋体" w:cs="宋体" w:hint="eastAsia"/>
          <w:b/>
          <w:bCs/>
          <w:i/>
          <w:color w:val="000000"/>
          <w:u w:val="single"/>
          <w:lang w:val="en-US"/>
        </w:rPr>
        <w:t>州市华泰煤业有限公司</w:t>
      </w:r>
      <w:r w:rsidR="00826435">
        <w:rPr>
          <w:rFonts w:ascii="宋体" w:hAnsi="宋体" w:cs="宋体" w:hint="eastAsia"/>
          <w:b/>
          <w:bCs/>
          <w:i/>
          <w:color w:val="000000"/>
          <w:u w:val="single"/>
          <w:lang w:val="en-US"/>
        </w:rPr>
        <w:t>年洗选原煤60万吨技改项目直线距离约5.0km</w:t>
      </w:r>
      <w:r w:rsidR="00FC7D0F">
        <w:rPr>
          <w:rFonts w:ascii="宋体" w:hAnsi="宋体" w:cs="宋体" w:hint="eastAsia"/>
          <w:b/>
          <w:bCs/>
          <w:i/>
          <w:color w:val="000000"/>
          <w:u w:val="single"/>
          <w:lang w:val="en-US"/>
        </w:rPr>
        <w:t>，距离较近，交通便利</w:t>
      </w:r>
      <w:r w:rsidRPr="004056DD">
        <w:rPr>
          <w:rFonts w:ascii="宋体" w:hAnsi="宋体" w:cs="宋体" w:hint="eastAsia"/>
          <w:b/>
          <w:bCs/>
          <w:i/>
          <w:color w:val="000000"/>
          <w:u w:val="single"/>
          <w:lang w:val="en-US"/>
        </w:rPr>
        <w:t>。</w:t>
      </w:r>
      <w:r w:rsidR="00FC7D0F">
        <w:rPr>
          <w:rFonts w:ascii="宋体" w:hAnsi="宋体" w:cs="宋体" w:hint="eastAsia"/>
          <w:b/>
          <w:bCs/>
          <w:i/>
          <w:color w:val="000000"/>
          <w:u w:val="single"/>
          <w:lang w:val="en-US"/>
        </w:rPr>
        <w:t>因此本项目原煤</w:t>
      </w:r>
      <w:r w:rsidR="00FC7D0F" w:rsidRPr="00FC7D0F">
        <w:rPr>
          <w:rFonts w:ascii="宋体" w:hAnsi="宋体" w:cs="宋体" w:hint="eastAsia"/>
          <w:b/>
          <w:bCs/>
          <w:i/>
          <w:color w:val="000000"/>
          <w:u w:val="single"/>
        </w:rPr>
        <w:t>外售至</w:t>
      </w:r>
      <w:r w:rsidR="00FC7D0F" w:rsidRPr="00826435">
        <w:rPr>
          <w:rFonts w:ascii="宋体" w:hAnsi="宋体" w:cs="宋体" w:hint="eastAsia"/>
          <w:b/>
          <w:bCs/>
          <w:i/>
          <w:color w:val="000000"/>
          <w:u w:val="single"/>
          <w:lang w:val="en-US"/>
        </w:rPr>
        <w:t>禹州市华泰煤业有限公司洗选加工</w:t>
      </w:r>
      <w:r w:rsidR="00FC7D0F">
        <w:rPr>
          <w:rFonts w:ascii="宋体" w:hAnsi="宋体" w:cs="宋体" w:hint="eastAsia"/>
          <w:b/>
          <w:bCs/>
          <w:i/>
          <w:color w:val="000000"/>
          <w:u w:val="single"/>
          <w:lang w:val="en-US"/>
        </w:rPr>
        <w:t>是合理的、可靠的。</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46" w:name="_Toc79668630"/>
      <w:r>
        <w:rPr>
          <w:rFonts w:eastAsia="楷体"/>
          <w:sz w:val="28"/>
          <w:szCs w:val="28"/>
        </w:rPr>
        <w:t xml:space="preserve">3.2.5 </w:t>
      </w:r>
      <w:r>
        <w:rPr>
          <w:rFonts w:eastAsia="楷体"/>
          <w:sz w:val="28"/>
          <w:szCs w:val="28"/>
        </w:rPr>
        <w:t>总平面布置及占地</w:t>
      </w:r>
      <w:bookmarkEnd w:id="246"/>
    </w:p>
    <w:p w:rsidR="00240BCE" w:rsidRDefault="00AC0334" w:rsidP="00FC7D0F">
      <w:pPr>
        <w:pStyle w:val="a2"/>
        <w:spacing w:line="520" w:lineRule="exact"/>
        <w:ind w:firstLine="480"/>
        <w:rPr>
          <w:sz w:val="24"/>
        </w:rPr>
      </w:pPr>
      <w:bookmarkStart w:id="247" w:name="_Toc148262223"/>
      <w:bookmarkStart w:id="248" w:name="_Toc143941640"/>
      <w:r>
        <w:rPr>
          <w:sz w:val="24"/>
        </w:rPr>
        <w:t>1</w:t>
      </w:r>
      <w:r>
        <w:rPr>
          <w:sz w:val="24"/>
        </w:rPr>
        <w:t>、总平面布置</w:t>
      </w:r>
      <w:bookmarkEnd w:id="247"/>
      <w:bookmarkEnd w:id="248"/>
    </w:p>
    <w:p w:rsidR="00240BCE" w:rsidRDefault="00AC0334" w:rsidP="00FC7D0F">
      <w:pPr>
        <w:pStyle w:val="a2"/>
        <w:spacing w:line="520" w:lineRule="exact"/>
        <w:ind w:firstLine="480"/>
        <w:rPr>
          <w:sz w:val="24"/>
        </w:rPr>
      </w:pPr>
      <w:r>
        <w:rPr>
          <w:sz w:val="24"/>
        </w:rPr>
        <w:t>根据矿井开拓方式及地面总体规划，矿井地面设置主要包括矿井工业场地、场外公路等项目，均利用现有，矿井总平面布置图见附图</w:t>
      </w:r>
      <w:r>
        <w:rPr>
          <w:sz w:val="24"/>
        </w:rPr>
        <w:t>3</w:t>
      </w:r>
      <w:r>
        <w:rPr>
          <w:sz w:val="24"/>
        </w:rPr>
        <w:t>。</w:t>
      </w:r>
    </w:p>
    <w:p w:rsidR="00240BCE" w:rsidRDefault="00AC0334" w:rsidP="00FC7D0F">
      <w:pPr>
        <w:pStyle w:val="a2"/>
        <w:spacing w:line="520" w:lineRule="exact"/>
        <w:ind w:firstLine="480"/>
        <w:rPr>
          <w:sz w:val="24"/>
        </w:rPr>
      </w:pPr>
      <w:r>
        <w:rPr>
          <w:sz w:val="24"/>
        </w:rPr>
        <w:t>工业场地内已经有大量的建构筑物，工业场地现主要分为办公生活区、生产区、辅助生产区三个主要功能区。</w:t>
      </w:r>
    </w:p>
    <w:p w:rsidR="00240BCE" w:rsidRDefault="00AC0334" w:rsidP="00FC7D0F">
      <w:pPr>
        <w:pStyle w:val="a2"/>
        <w:spacing w:line="520" w:lineRule="exact"/>
        <w:ind w:firstLine="480"/>
        <w:rPr>
          <w:sz w:val="24"/>
        </w:rPr>
      </w:pPr>
      <w:r>
        <w:rPr>
          <w:sz w:val="24"/>
        </w:rPr>
        <w:t>办公生活区位于工业场地的北部，由西向东依次为矿井办公楼、调度室、餐厅、综合职工宿舍、职工宿舍楼、灯房浴室等建筑物。生产区位于工业场地的东南部，主要为主井及主井绞车房、封闭储煤棚、输煤胶带机等建构筑物。在封闭储煤棚的东南面靠近运煤大门处有地磅房。辅助生厂区主要位于工业场地的东部，主要为副井及副井绞车房、机电车间及材料大棚、矿井水处理系统等。在工业场地的西北部有矿井变电所，位于主井绞车房的西北面。风井位于工业场地中西部，风机位于工业场地西南面，风井和风机之间有约</w:t>
      </w:r>
      <w:r>
        <w:rPr>
          <w:sz w:val="24"/>
        </w:rPr>
        <w:t>50m</w:t>
      </w:r>
      <w:r>
        <w:rPr>
          <w:sz w:val="24"/>
        </w:rPr>
        <w:t>长的风道相连，确保了出风口与工业场地其他建筑物之间的安全间距。</w:t>
      </w:r>
    </w:p>
    <w:p w:rsidR="00240BCE" w:rsidRDefault="00AC0334" w:rsidP="00FC7D0F">
      <w:pPr>
        <w:pStyle w:val="a2"/>
        <w:spacing w:line="520" w:lineRule="exact"/>
        <w:ind w:firstLine="480"/>
        <w:rPr>
          <w:sz w:val="24"/>
        </w:rPr>
      </w:pPr>
      <w:r>
        <w:rPr>
          <w:sz w:val="24"/>
        </w:rPr>
        <w:t>本矿现已有余热利用设施，实际运行和利用效果均较为理想，设计利用现有的井口保温、建筑采暖、浴室供热等设施，基本满足以后生产生活的需要。</w:t>
      </w:r>
    </w:p>
    <w:p w:rsidR="00240BCE" w:rsidRDefault="00AC0334" w:rsidP="00FC7D0F">
      <w:pPr>
        <w:pStyle w:val="a2"/>
        <w:spacing w:line="520" w:lineRule="exact"/>
        <w:ind w:firstLine="480"/>
        <w:rPr>
          <w:sz w:val="24"/>
        </w:rPr>
      </w:pPr>
      <w:r>
        <w:rPr>
          <w:sz w:val="24"/>
        </w:rPr>
        <w:t>根据工业场地内建筑物的现状，初步设计进行了核算，基本满足以后矿井生产的需要，故本次升级改造不再新增建筑物，全部利用现有建筑物。具体布置详见附图</w:t>
      </w:r>
      <w:r>
        <w:rPr>
          <w:sz w:val="24"/>
        </w:rPr>
        <w:t>4</w:t>
      </w:r>
      <w:r>
        <w:rPr>
          <w:sz w:val="24"/>
        </w:rPr>
        <w:t>。工业场地（含</w:t>
      </w:r>
      <w:r w:rsidR="00802A62">
        <w:rPr>
          <w:sz w:val="24"/>
        </w:rPr>
        <w:t>储煤库</w:t>
      </w:r>
      <w:r>
        <w:rPr>
          <w:sz w:val="24"/>
        </w:rPr>
        <w:t>）拐点坐标具体见表</w:t>
      </w:r>
      <w:r>
        <w:rPr>
          <w:sz w:val="24"/>
        </w:rPr>
        <w:t>3.</w:t>
      </w:r>
      <w:r w:rsidR="00101969">
        <w:rPr>
          <w:rFonts w:hint="eastAsia"/>
          <w:sz w:val="24"/>
        </w:rPr>
        <w:t>2-3</w:t>
      </w:r>
      <w:r>
        <w:rPr>
          <w:sz w:val="24"/>
        </w:rPr>
        <w:t>。</w:t>
      </w:r>
    </w:p>
    <w:p w:rsidR="00101969" w:rsidRDefault="00101969" w:rsidP="00FC7D0F">
      <w:pPr>
        <w:spacing w:line="520" w:lineRule="exact"/>
        <w:jc w:val="center"/>
        <w:rPr>
          <w:b/>
          <w:sz w:val="24"/>
        </w:rPr>
      </w:pPr>
    </w:p>
    <w:p w:rsidR="00A2093C" w:rsidRDefault="00A2093C" w:rsidP="00FC7D0F">
      <w:pPr>
        <w:spacing w:line="520" w:lineRule="exact"/>
        <w:jc w:val="center"/>
        <w:rPr>
          <w:b/>
          <w:sz w:val="24"/>
        </w:rPr>
      </w:pPr>
    </w:p>
    <w:p w:rsidR="00240BCE" w:rsidRDefault="00AC0334" w:rsidP="00FC7D0F">
      <w:pPr>
        <w:spacing w:line="520" w:lineRule="exact"/>
        <w:jc w:val="center"/>
        <w:rPr>
          <w:b/>
          <w:sz w:val="24"/>
        </w:rPr>
      </w:pPr>
      <w:bookmarkStart w:id="249" w:name="_GoBack"/>
      <w:bookmarkEnd w:id="249"/>
      <w:r>
        <w:rPr>
          <w:b/>
          <w:sz w:val="24"/>
        </w:rPr>
        <w:lastRenderedPageBreak/>
        <w:t>表</w:t>
      </w:r>
      <w:r>
        <w:rPr>
          <w:b/>
          <w:sz w:val="24"/>
        </w:rPr>
        <w:t>3.</w:t>
      </w:r>
      <w:r w:rsidR="00101969">
        <w:rPr>
          <w:rFonts w:hint="eastAsia"/>
          <w:b/>
          <w:sz w:val="24"/>
        </w:rPr>
        <w:t>2-3</w:t>
      </w:r>
      <w:r>
        <w:rPr>
          <w:b/>
          <w:sz w:val="24"/>
        </w:rPr>
        <w:t>工业场地、</w:t>
      </w:r>
      <w:r w:rsidR="00802A62">
        <w:rPr>
          <w:b/>
          <w:sz w:val="24"/>
        </w:rPr>
        <w:t>储煤库</w:t>
      </w:r>
      <w:r>
        <w:rPr>
          <w:b/>
          <w:sz w:val="24"/>
        </w:rPr>
        <w:t>拐点坐标</w:t>
      </w:r>
    </w:p>
    <w:tbl>
      <w:tblPr>
        <w:tblW w:w="5049"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15" w:type="dxa"/>
          <w:right w:w="15" w:type="dxa"/>
        </w:tblCellMar>
        <w:tblLook w:val="04A0"/>
      </w:tblPr>
      <w:tblGrid>
        <w:gridCol w:w="2878"/>
        <w:gridCol w:w="1287"/>
        <w:gridCol w:w="2223"/>
        <w:gridCol w:w="2230"/>
      </w:tblGrid>
      <w:tr w:rsidR="00240BCE">
        <w:trPr>
          <w:trHeight w:val="394"/>
        </w:trPr>
        <w:tc>
          <w:tcPr>
            <w:tcW w:w="1669" w:type="pct"/>
            <w:vMerge w:val="restart"/>
            <w:vAlign w:val="center"/>
          </w:tcPr>
          <w:p w:rsidR="00240BCE" w:rsidRDefault="00AC0334" w:rsidP="00FC7D0F">
            <w:pPr>
              <w:jc w:val="center"/>
              <w:rPr>
                <w:b/>
                <w:sz w:val="21"/>
                <w:szCs w:val="21"/>
              </w:rPr>
            </w:pPr>
            <w:r>
              <w:rPr>
                <w:b/>
                <w:sz w:val="21"/>
                <w:szCs w:val="21"/>
              </w:rPr>
              <w:t>工程名称</w:t>
            </w:r>
          </w:p>
        </w:tc>
        <w:tc>
          <w:tcPr>
            <w:tcW w:w="746" w:type="pct"/>
            <w:vMerge w:val="restart"/>
            <w:vAlign w:val="center"/>
          </w:tcPr>
          <w:p w:rsidR="00240BCE" w:rsidRDefault="00AC0334" w:rsidP="00FC7D0F">
            <w:pPr>
              <w:jc w:val="center"/>
              <w:rPr>
                <w:b/>
                <w:sz w:val="21"/>
                <w:szCs w:val="21"/>
              </w:rPr>
            </w:pPr>
            <w:r>
              <w:rPr>
                <w:b/>
                <w:sz w:val="21"/>
                <w:szCs w:val="21"/>
              </w:rPr>
              <w:t>拐点编号</w:t>
            </w:r>
          </w:p>
        </w:tc>
        <w:tc>
          <w:tcPr>
            <w:tcW w:w="2584" w:type="pct"/>
            <w:gridSpan w:val="2"/>
            <w:vAlign w:val="center"/>
          </w:tcPr>
          <w:p w:rsidR="00240BCE" w:rsidRDefault="00AC0334" w:rsidP="00FC7D0F">
            <w:pPr>
              <w:jc w:val="center"/>
              <w:rPr>
                <w:b/>
                <w:sz w:val="21"/>
                <w:szCs w:val="21"/>
              </w:rPr>
            </w:pPr>
            <w:r>
              <w:rPr>
                <w:b/>
                <w:bCs/>
                <w:kern w:val="0"/>
                <w:sz w:val="21"/>
                <w:szCs w:val="21"/>
              </w:rPr>
              <w:t>经纬度坐标</w:t>
            </w:r>
          </w:p>
        </w:tc>
      </w:tr>
      <w:tr w:rsidR="00240BCE">
        <w:trPr>
          <w:trHeight w:val="349"/>
        </w:trPr>
        <w:tc>
          <w:tcPr>
            <w:tcW w:w="1669" w:type="pct"/>
            <w:vMerge/>
            <w:vAlign w:val="center"/>
          </w:tcPr>
          <w:p w:rsidR="00240BCE" w:rsidRDefault="00240BCE" w:rsidP="00FC7D0F">
            <w:pPr>
              <w:jc w:val="center"/>
              <w:rPr>
                <w:b/>
                <w:sz w:val="21"/>
                <w:szCs w:val="21"/>
              </w:rPr>
            </w:pPr>
          </w:p>
        </w:tc>
        <w:tc>
          <w:tcPr>
            <w:tcW w:w="746" w:type="pct"/>
            <w:vMerge/>
            <w:vAlign w:val="center"/>
          </w:tcPr>
          <w:p w:rsidR="00240BCE" w:rsidRDefault="00240BCE" w:rsidP="00FC7D0F">
            <w:pPr>
              <w:jc w:val="center"/>
              <w:rPr>
                <w:b/>
                <w:sz w:val="21"/>
                <w:szCs w:val="21"/>
              </w:rPr>
            </w:pPr>
          </w:p>
        </w:tc>
        <w:tc>
          <w:tcPr>
            <w:tcW w:w="1290" w:type="pct"/>
            <w:vAlign w:val="center"/>
          </w:tcPr>
          <w:p w:rsidR="00240BCE" w:rsidRDefault="00AC0334" w:rsidP="00FC7D0F">
            <w:pPr>
              <w:jc w:val="center"/>
              <w:rPr>
                <w:b/>
                <w:sz w:val="21"/>
                <w:szCs w:val="21"/>
              </w:rPr>
            </w:pPr>
            <w:r>
              <w:rPr>
                <w:b/>
                <w:sz w:val="21"/>
                <w:szCs w:val="21"/>
              </w:rPr>
              <w:t>经度</w:t>
            </w:r>
          </w:p>
        </w:tc>
        <w:tc>
          <w:tcPr>
            <w:tcW w:w="1293" w:type="pct"/>
            <w:vAlign w:val="center"/>
          </w:tcPr>
          <w:p w:rsidR="00240BCE" w:rsidRDefault="00AC0334" w:rsidP="00FC7D0F">
            <w:pPr>
              <w:jc w:val="center"/>
              <w:rPr>
                <w:b/>
                <w:sz w:val="21"/>
                <w:szCs w:val="21"/>
              </w:rPr>
            </w:pPr>
            <w:r>
              <w:rPr>
                <w:b/>
                <w:sz w:val="21"/>
                <w:szCs w:val="21"/>
              </w:rPr>
              <w:t>纬度</w:t>
            </w:r>
          </w:p>
        </w:tc>
      </w:tr>
      <w:tr w:rsidR="00240BCE">
        <w:trPr>
          <w:trHeight w:val="311"/>
        </w:trPr>
        <w:tc>
          <w:tcPr>
            <w:tcW w:w="1669" w:type="pct"/>
            <w:vMerge w:val="restart"/>
            <w:vAlign w:val="center"/>
          </w:tcPr>
          <w:p w:rsidR="00240BCE" w:rsidRDefault="00AC0334" w:rsidP="00FC7D0F">
            <w:pPr>
              <w:jc w:val="center"/>
              <w:rPr>
                <w:sz w:val="21"/>
                <w:szCs w:val="21"/>
              </w:rPr>
            </w:pPr>
            <w:r>
              <w:rPr>
                <w:sz w:val="21"/>
                <w:szCs w:val="21"/>
              </w:rPr>
              <w:t>工业场地</w:t>
            </w:r>
          </w:p>
          <w:p w:rsidR="00240BCE" w:rsidRDefault="00AC0334" w:rsidP="00FC7D0F">
            <w:pPr>
              <w:jc w:val="center"/>
              <w:rPr>
                <w:sz w:val="21"/>
                <w:szCs w:val="21"/>
              </w:rPr>
            </w:pPr>
            <w:r>
              <w:rPr>
                <w:sz w:val="21"/>
                <w:szCs w:val="21"/>
              </w:rPr>
              <w:t>（占地面积</w:t>
            </w:r>
            <w:r>
              <w:rPr>
                <w:sz w:val="21"/>
                <w:szCs w:val="21"/>
              </w:rPr>
              <w:t>1.</w:t>
            </w:r>
            <w:r w:rsidR="00257B79">
              <w:rPr>
                <w:rFonts w:hint="eastAsia"/>
                <w:sz w:val="21"/>
                <w:szCs w:val="21"/>
              </w:rPr>
              <w:t>92</w:t>
            </w:r>
            <w:r>
              <w:rPr>
                <w:sz w:val="21"/>
                <w:szCs w:val="21"/>
              </w:rPr>
              <w:t>hm</w:t>
            </w:r>
            <w:r>
              <w:rPr>
                <w:sz w:val="21"/>
                <w:szCs w:val="21"/>
                <w:vertAlign w:val="superscript"/>
              </w:rPr>
              <w:t>2</w:t>
            </w:r>
            <w:r>
              <w:rPr>
                <w:sz w:val="21"/>
                <w:szCs w:val="21"/>
              </w:rPr>
              <w:t>）</w:t>
            </w:r>
          </w:p>
        </w:tc>
        <w:tc>
          <w:tcPr>
            <w:tcW w:w="746" w:type="pct"/>
            <w:vAlign w:val="center"/>
          </w:tcPr>
          <w:p w:rsidR="00240BCE" w:rsidRDefault="00AC0334" w:rsidP="00FC7D0F">
            <w:pPr>
              <w:jc w:val="center"/>
              <w:rPr>
                <w:sz w:val="21"/>
                <w:szCs w:val="21"/>
              </w:rPr>
            </w:pPr>
            <w:r>
              <w:rPr>
                <w:sz w:val="21"/>
                <w:szCs w:val="21"/>
              </w:rPr>
              <w:t>1</w:t>
            </w:r>
          </w:p>
        </w:tc>
        <w:tc>
          <w:tcPr>
            <w:tcW w:w="1290" w:type="pct"/>
            <w:vAlign w:val="center"/>
          </w:tcPr>
          <w:p w:rsidR="00240BCE" w:rsidRDefault="00AC0334" w:rsidP="00FC7D0F">
            <w:pPr>
              <w:jc w:val="center"/>
              <w:rPr>
                <w:sz w:val="21"/>
                <w:szCs w:val="21"/>
              </w:rPr>
            </w:pPr>
            <w:r>
              <w:rPr>
                <w:sz w:val="21"/>
                <w:szCs w:val="21"/>
              </w:rPr>
              <w:t>113.16427052°</w:t>
            </w:r>
          </w:p>
        </w:tc>
        <w:tc>
          <w:tcPr>
            <w:tcW w:w="1293" w:type="pct"/>
            <w:vAlign w:val="center"/>
          </w:tcPr>
          <w:p w:rsidR="00240BCE" w:rsidRDefault="00AC0334" w:rsidP="00FC7D0F">
            <w:pPr>
              <w:jc w:val="center"/>
              <w:rPr>
                <w:sz w:val="21"/>
                <w:szCs w:val="21"/>
              </w:rPr>
            </w:pPr>
            <w:r>
              <w:rPr>
                <w:sz w:val="21"/>
                <w:szCs w:val="21"/>
              </w:rPr>
              <w:t>34.21242893°</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2</w:t>
            </w:r>
          </w:p>
        </w:tc>
        <w:tc>
          <w:tcPr>
            <w:tcW w:w="1290" w:type="pct"/>
            <w:vAlign w:val="center"/>
          </w:tcPr>
          <w:p w:rsidR="00240BCE" w:rsidRDefault="00AC0334" w:rsidP="00FC7D0F">
            <w:pPr>
              <w:jc w:val="center"/>
              <w:rPr>
                <w:sz w:val="21"/>
                <w:szCs w:val="21"/>
              </w:rPr>
            </w:pPr>
            <w:r>
              <w:rPr>
                <w:sz w:val="21"/>
                <w:szCs w:val="21"/>
              </w:rPr>
              <w:t>113.16533267°</w:t>
            </w:r>
          </w:p>
        </w:tc>
        <w:tc>
          <w:tcPr>
            <w:tcW w:w="1293" w:type="pct"/>
            <w:vAlign w:val="center"/>
          </w:tcPr>
          <w:p w:rsidR="00240BCE" w:rsidRDefault="00AC0334" w:rsidP="00FC7D0F">
            <w:pPr>
              <w:jc w:val="center"/>
              <w:rPr>
                <w:sz w:val="21"/>
                <w:szCs w:val="21"/>
              </w:rPr>
            </w:pPr>
            <w:r>
              <w:rPr>
                <w:sz w:val="21"/>
                <w:szCs w:val="21"/>
              </w:rPr>
              <w:t>34.21205878°</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3</w:t>
            </w:r>
          </w:p>
        </w:tc>
        <w:tc>
          <w:tcPr>
            <w:tcW w:w="1290" w:type="pct"/>
            <w:vAlign w:val="center"/>
          </w:tcPr>
          <w:p w:rsidR="00240BCE" w:rsidRDefault="00AC0334" w:rsidP="00FC7D0F">
            <w:pPr>
              <w:jc w:val="center"/>
              <w:rPr>
                <w:sz w:val="21"/>
                <w:szCs w:val="21"/>
              </w:rPr>
            </w:pPr>
            <w:r>
              <w:rPr>
                <w:sz w:val="21"/>
                <w:szCs w:val="21"/>
              </w:rPr>
              <w:t>113.16548288°</w:t>
            </w:r>
          </w:p>
        </w:tc>
        <w:tc>
          <w:tcPr>
            <w:tcW w:w="1293" w:type="pct"/>
            <w:vAlign w:val="center"/>
          </w:tcPr>
          <w:p w:rsidR="00240BCE" w:rsidRDefault="00AC0334" w:rsidP="00FC7D0F">
            <w:pPr>
              <w:jc w:val="center"/>
              <w:rPr>
                <w:sz w:val="21"/>
                <w:szCs w:val="21"/>
              </w:rPr>
            </w:pPr>
            <w:r>
              <w:rPr>
                <w:sz w:val="21"/>
                <w:szCs w:val="21"/>
              </w:rPr>
              <w:t>34.21182811°</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4</w:t>
            </w:r>
          </w:p>
        </w:tc>
        <w:tc>
          <w:tcPr>
            <w:tcW w:w="1290" w:type="pct"/>
            <w:vAlign w:val="center"/>
          </w:tcPr>
          <w:p w:rsidR="00240BCE" w:rsidRDefault="00AC0334" w:rsidP="00FC7D0F">
            <w:pPr>
              <w:jc w:val="center"/>
              <w:rPr>
                <w:sz w:val="21"/>
                <w:szCs w:val="21"/>
              </w:rPr>
            </w:pPr>
            <w:r>
              <w:rPr>
                <w:sz w:val="21"/>
                <w:szCs w:val="21"/>
              </w:rPr>
              <w:t>113.16550970°</w:t>
            </w:r>
          </w:p>
        </w:tc>
        <w:tc>
          <w:tcPr>
            <w:tcW w:w="1293" w:type="pct"/>
            <w:vAlign w:val="center"/>
          </w:tcPr>
          <w:p w:rsidR="00240BCE" w:rsidRDefault="00AC0334" w:rsidP="00FC7D0F">
            <w:pPr>
              <w:jc w:val="center"/>
              <w:rPr>
                <w:sz w:val="21"/>
                <w:szCs w:val="21"/>
              </w:rPr>
            </w:pPr>
            <w:r>
              <w:rPr>
                <w:sz w:val="21"/>
                <w:szCs w:val="21"/>
              </w:rPr>
              <w:t>34.21159208°</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5</w:t>
            </w:r>
          </w:p>
        </w:tc>
        <w:tc>
          <w:tcPr>
            <w:tcW w:w="1290" w:type="pct"/>
            <w:vAlign w:val="center"/>
          </w:tcPr>
          <w:p w:rsidR="00240BCE" w:rsidRDefault="00AC0334" w:rsidP="00FC7D0F">
            <w:pPr>
              <w:jc w:val="center"/>
              <w:rPr>
                <w:sz w:val="21"/>
                <w:szCs w:val="21"/>
              </w:rPr>
            </w:pPr>
            <w:r>
              <w:rPr>
                <w:sz w:val="21"/>
                <w:szCs w:val="21"/>
              </w:rPr>
              <w:t>113.16543460°</w:t>
            </w:r>
          </w:p>
        </w:tc>
        <w:tc>
          <w:tcPr>
            <w:tcW w:w="1293" w:type="pct"/>
            <w:vAlign w:val="center"/>
          </w:tcPr>
          <w:p w:rsidR="00240BCE" w:rsidRDefault="00AC0334" w:rsidP="00FC7D0F">
            <w:pPr>
              <w:jc w:val="center"/>
              <w:rPr>
                <w:sz w:val="21"/>
                <w:szCs w:val="21"/>
              </w:rPr>
            </w:pPr>
            <w:r>
              <w:rPr>
                <w:sz w:val="21"/>
                <w:szCs w:val="21"/>
              </w:rPr>
              <w:t>34.21114683°</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6</w:t>
            </w:r>
          </w:p>
        </w:tc>
        <w:tc>
          <w:tcPr>
            <w:tcW w:w="1290" w:type="pct"/>
            <w:vAlign w:val="center"/>
          </w:tcPr>
          <w:p w:rsidR="00240BCE" w:rsidRDefault="00AC0334" w:rsidP="00FC7D0F">
            <w:pPr>
              <w:jc w:val="center"/>
              <w:rPr>
                <w:sz w:val="21"/>
                <w:szCs w:val="21"/>
              </w:rPr>
            </w:pPr>
            <w:r>
              <w:rPr>
                <w:sz w:val="21"/>
                <w:szCs w:val="21"/>
              </w:rPr>
              <w:t>113.16539705°</w:t>
            </w:r>
          </w:p>
        </w:tc>
        <w:tc>
          <w:tcPr>
            <w:tcW w:w="1293" w:type="pct"/>
            <w:vAlign w:val="center"/>
          </w:tcPr>
          <w:p w:rsidR="00240BCE" w:rsidRDefault="00AC0334" w:rsidP="00FC7D0F">
            <w:pPr>
              <w:jc w:val="center"/>
              <w:rPr>
                <w:sz w:val="21"/>
                <w:szCs w:val="21"/>
              </w:rPr>
            </w:pPr>
            <w:r>
              <w:rPr>
                <w:sz w:val="21"/>
                <w:szCs w:val="21"/>
              </w:rPr>
              <w:t>34.21088398°</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7</w:t>
            </w:r>
          </w:p>
        </w:tc>
        <w:tc>
          <w:tcPr>
            <w:tcW w:w="1290" w:type="pct"/>
            <w:vAlign w:val="center"/>
          </w:tcPr>
          <w:p w:rsidR="00240BCE" w:rsidRDefault="00AC0334" w:rsidP="00FC7D0F">
            <w:pPr>
              <w:jc w:val="center"/>
              <w:rPr>
                <w:sz w:val="21"/>
                <w:szCs w:val="21"/>
              </w:rPr>
            </w:pPr>
            <w:r>
              <w:rPr>
                <w:sz w:val="21"/>
                <w:szCs w:val="21"/>
              </w:rPr>
              <w:t>113.16542923°</w:t>
            </w:r>
          </w:p>
        </w:tc>
        <w:tc>
          <w:tcPr>
            <w:tcW w:w="1293" w:type="pct"/>
            <w:vAlign w:val="center"/>
          </w:tcPr>
          <w:p w:rsidR="00240BCE" w:rsidRDefault="00AC0334" w:rsidP="00FC7D0F">
            <w:pPr>
              <w:jc w:val="center"/>
              <w:rPr>
                <w:sz w:val="21"/>
                <w:szCs w:val="21"/>
              </w:rPr>
            </w:pPr>
            <w:r>
              <w:rPr>
                <w:sz w:val="21"/>
                <w:szCs w:val="21"/>
              </w:rPr>
              <w:t>34.21073377°</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8</w:t>
            </w:r>
          </w:p>
        </w:tc>
        <w:tc>
          <w:tcPr>
            <w:tcW w:w="1290" w:type="pct"/>
            <w:vAlign w:val="center"/>
          </w:tcPr>
          <w:p w:rsidR="00240BCE" w:rsidRDefault="00AC0334" w:rsidP="00FC7D0F">
            <w:pPr>
              <w:jc w:val="center"/>
              <w:rPr>
                <w:sz w:val="21"/>
                <w:szCs w:val="21"/>
              </w:rPr>
            </w:pPr>
            <w:r>
              <w:rPr>
                <w:sz w:val="21"/>
                <w:szCs w:val="21"/>
              </w:rPr>
              <w:t>113.16520393°</w:t>
            </w:r>
          </w:p>
        </w:tc>
        <w:tc>
          <w:tcPr>
            <w:tcW w:w="1293" w:type="pct"/>
            <w:vAlign w:val="center"/>
          </w:tcPr>
          <w:p w:rsidR="00240BCE" w:rsidRDefault="00AC0334" w:rsidP="00FC7D0F">
            <w:pPr>
              <w:jc w:val="center"/>
              <w:rPr>
                <w:sz w:val="21"/>
                <w:szCs w:val="21"/>
              </w:rPr>
            </w:pPr>
            <w:r>
              <w:rPr>
                <w:sz w:val="21"/>
                <w:szCs w:val="21"/>
              </w:rPr>
              <w:t>34.21080351°</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9</w:t>
            </w:r>
          </w:p>
        </w:tc>
        <w:tc>
          <w:tcPr>
            <w:tcW w:w="1290" w:type="pct"/>
            <w:vAlign w:val="center"/>
          </w:tcPr>
          <w:p w:rsidR="00240BCE" w:rsidRDefault="00AC0334" w:rsidP="00FC7D0F">
            <w:pPr>
              <w:jc w:val="center"/>
              <w:rPr>
                <w:sz w:val="21"/>
                <w:szCs w:val="21"/>
              </w:rPr>
            </w:pPr>
            <w:r>
              <w:rPr>
                <w:sz w:val="21"/>
                <w:szCs w:val="21"/>
              </w:rPr>
              <w:t>113.16451192°</w:t>
            </w:r>
          </w:p>
        </w:tc>
        <w:tc>
          <w:tcPr>
            <w:tcW w:w="1293" w:type="pct"/>
            <w:vAlign w:val="center"/>
          </w:tcPr>
          <w:p w:rsidR="00240BCE" w:rsidRDefault="00AC0334" w:rsidP="00FC7D0F">
            <w:pPr>
              <w:jc w:val="center"/>
              <w:rPr>
                <w:sz w:val="21"/>
                <w:szCs w:val="21"/>
              </w:rPr>
            </w:pPr>
            <w:r>
              <w:rPr>
                <w:sz w:val="21"/>
                <w:szCs w:val="21"/>
              </w:rPr>
              <w:t>34.21116829°</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10</w:t>
            </w:r>
          </w:p>
        </w:tc>
        <w:tc>
          <w:tcPr>
            <w:tcW w:w="1290" w:type="pct"/>
            <w:vAlign w:val="center"/>
          </w:tcPr>
          <w:p w:rsidR="00240BCE" w:rsidRDefault="00AC0334" w:rsidP="00FC7D0F">
            <w:pPr>
              <w:jc w:val="center"/>
              <w:rPr>
                <w:sz w:val="21"/>
                <w:szCs w:val="21"/>
              </w:rPr>
            </w:pPr>
            <w:r>
              <w:rPr>
                <w:sz w:val="21"/>
                <w:szCs w:val="21"/>
              </w:rPr>
              <w:t>113.16374481°</w:t>
            </w:r>
          </w:p>
        </w:tc>
        <w:tc>
          <w:tcPr>
            <w:tcW w:w="1293" w:type="pct"/>
            <w:vAlign w:val="center"/>
          </w:tcPr>
          <w:p w:rsidR="00240BCE" w:rsidRDefault="00AC0334" w:rsidP="00FC7D0F">
            <w:pPr>
              <w:jc w:val="center"/>
              <w:rPr>
                <w:sz w:val="21"/>
                <w:szCs w:val="21"/>
              </w:rPr>
            </w:pPr>
            <w:r>
              <w:rPr>
                <w:sz w:val="21"/>
                <w:szCs w:val="21"/>
              </w:rPr>
              <w:t>34.21153307°</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11</w:t>
            </w:r>
          </w:p>
        </w:tc>
        <w:tc>
          <w:tcPr>
            <w:tcW w:w="1290" w:type="pct"/>
            <w:vAlign w:val="center"/>
          </w:tcPr>
          <w:p w:rsidR="00240BCE" w:rsidRDefault="00AC0334" w:rsidP="00FC7D0F">
            <w:pPr>
              <w:jc w:val="center"/>
              <w:rPr>
                <w:sz w:val="21"/>
                <w:szCs w:val="21"/>
              </w:rPr>
            </w:pPr>
            <w:r>
              <w:rPr>
                <w:sz w:val="21"/>
                <w:szCs w:val="21"/>
              </w:rPr>
              <w:t>113.16421151°</w:t>
            </w:r>
          </w:p>
        </w:tc>
        <w:tc>
          <w:tcPr>
            <w:tcW w:w="1293" w:type="pct"/>
            <w:vAlign w:val="center"/>
          </w:tcPr>
          <w:p w:rsidR="00240BCE" w:rsidRDefault="00AC0334" w:rsidP="00FC7D0F">
            <w:pPr>
              <w:jc w:val="center"/>
              <w:rPr>
                <w:sz w:val="21"/>
                <w:szCs w:val="21"/>
              </w:rPr>
            </w:pPr>
            <w:r>
              <w:rPr>
                <w:sz w:val="21"/>
                <w:szCs w:val="21"/>
              </w:rPr>
              <w:t>34.21227336°</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12</w:t>
            </w:r>
          </w:p>
        </w:tc>
        <w:tc>
          <w:tcPr>
            <w:tcW w:w="1290" w:type="pct"/>
            <w:vAlign w:val="center"/>
          </w:tcPr>
          <w:p w:rsidR="00240BCE" w:rsidRDefault="00AC0334" w:rsidP="00FC7D0F">
            <w:pPr>
              <w:jc w:val="center"/>
              <w:rPr>
                <w:sz w:val="21"/>
                <w:szCs w:val="21"/>
              </w:rPr>
            </w:pPr>
            <w:r>
              <w:rPr>
                <w:sz w:val="21"/>
                <w:szCs w:val="21"/>
              </w:rPr>
              <w:t>113.16414177°</w:t>
            </w:r>
          </w:p>
        </w:tc>
        <w:tc>
          <w:tcPr>
            <w:tcW w:w="1293" w:type="pct"/>
            <w:vAlign w:val="center"/>
          </w:tcPr>
          <w:p w:rsidR="00240BCE" w:rsidRDefault="00AC0334" w:rsidP="00FC7D0F">
            <w:pPr>
              <w:jc w:val="center"/>
              <w:rPr>
                <w:sz w:val="21"/>
                <w:szCs w:val="21"/>
              </w:rPr>
            </w:pPr>
            <w:r>
              <w:rPr>
                <w:sz w:val="21"/>
                <w:szCs w:val="21"/>
              </w:rPr>
              <w:t>34.21231091°</w:t>
            </w:r>
          </w:p>
        </w:tc>
      </w:tr>
      <w:tr w:rsidR="00240BCE">
        <w:trPr>
          <w:trHeight w:val="311"/>
        </w:trPr>
        <w:tc>
          <w:tcPr>
            <w:tcW w:w="1669" w:type="pct"/>
            <w:vMerge w:val="restart"/>
            <w:vAlign w:val="center"/>
          </w:tcPr>
          <w:p w:rsidR="00240BCE" w:rsidRDefault="00AC0334" w:rsidP="00FC7D0F">
            <w:pPr>
              <w:jc w:val="center"/>
              <w:rPr>
                <w:sz w:val="21"/>
                <w:szCs w:val="21"/>
              </w:rPr>
            </w:pPr>
            <w:r>
              <w:rPr>
                <w:sz w:val="21"/>
                <w:szCs w:val="21"/>
              </w:rPr>
              <w:t>储煤棚位于工业场地中部偏东位置（占地面积</w:t>
            </w:r>
            <w:r>
              <w:rPr>
                <w:rFonts w:hint="eastAsia"/>
                <w:sz w:val="21"/>
                <w:szCs w:val="21"/>
              </w:rPr>
              <w:t>12</w:t>
            </w:r>
            <w:r>
              <w:rPr>
                <w:sz w:val="21"/>
                <w:szCs w:val="21"/>
              </w:rPr>
              <w:t>00m</w:t>
            </w:r>
            <w:r>
              <w:rPr>
                <w:sz w:val="21"/>
                <w:szCs w:val="21"/>
                <w:vertAlign w:val="superscript"/>
              </w:rPr>
              <w:t>2</w:t>
            </w:r>
            <w:r>
              <w:rPr>
                <w:sz w:val="21"/>
                <w:szCs w:val="21"/>
              </w:rPr>
              <w:t>）</w:t>
            </w:r>
          </w:p>
        </w:tc>
        <w:tc>
          <w:tcPr>
            <w:tcW w:w="746" w:type="pct"/>
            <w:vAlign w:val="center"/>
          </w:tcPr>
          <w:p w:rsidR="00240BCE" w:rsidRDefault="00AC0334" w:rsidP="00FC7D0F">
            <w:pPr>
              <w:jc w:val="center"/>
              <w:rPr>
                <w:sz w:val="21"/>
                <w:szCs w:val="21"/>
              </w:rPr>
            </w:pPr>
            <w:r>
              <w:rPr>
                <w:sz w:val="21"/>
                <w:szCs w:val="21"/>
              </w:rPr>
              <w:t>1</w:t>
            </w:r>
          </w:p>
        </w:tc>
        <w:tc>
          <w:tcPr>
            <w:tcW w:w="1290" w:type="pct"/>
            <w:vAlign w:val="center"/>
          </w:tcPr>
          <w:p w:rsidR="00240BCE" w:rsidRDefault="00AC0334" w:rsidP="00FC7D0F">
            <w:pPr>
              <w:jc w:val="center"/>
              <w:rPr>
                <w:sz w:val="21"/>
                <w:szCs w:val="21"/>
              </w:rPr>
            </w:pPr>
            <w:r>
              <w:rPr>
                <w:sz w:val="21"/>
                <w:szCs w:val="21"/>
              </w:rPr>
              <w:t>113.16453338°</w:t>
            </w:r>
          </w:p>
        </w:tc>
        <w:tc>
          <w:tcPr>
            <w:tcW w:w="1293" w:type="pct"/>
            <w:vAlign w:val="center"/>
          </w:tcPr>
          <w:p w:rsidR="00240BCE" w:rsidRDefault="00AC0334" w:rsidP="00FC7D0F">
            <w:pPr>
              <w:jc w:val="center"/>
              <w:rPr>
                <w:sz w:val="21"/>
                <w:szCs w:val="21"/>
              </w:rPr>
            </w:pPr>
            <w:r>
              <w:rPr>
                <w:sz w:val="21"/>
                <w:szCs w:val="21"/>
              </w:rPr>
              <w:t>34.21177447°</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2</w:t>
            </w:r>
          </w:p>
        </w:tc>
        <w:tc>
          <w:tcPr>
            <w:tcW w:w="1290" w:type="pct"/>
            <w:vAlign w:val="center"/>
          </w:tcPr>
          <w:p w:rsidR="00240BCE" w:rsidRDefault="00AC0334" w:rsidP="00FC7D0F">
            <w:pPr>
              <w:jc w:val="center"/>
              <w:rPr>
                <w:sz w:val="21"/>
                <w:szCs w:val="21"/>
              </w:rPr>
            </w:pPr>
            <w:r>
              <w:rPr>
                <w:sz w:val="21"/>
                <w:szCs w:val="21"/>
              </w:rPr>
              <w:t>113.16471577°</w:t>
            </w:r>
          </w:p>
        </w:tc>
        <w:tc>
          <w:tcPr>
            <w:tcW w:w="1293" w:type="pct"/>
            <w:vAlign w:val="center"/>
          </w:tcPr>
          <w:p w:rsidR="00240BCE" w:rsidRDefault="00AC0334" w:rsidP="00FC7D0F">
            <w:pPr>
              <w:jc w:val="center"/>
              <w:rPr>
                <w:sz w:val="21"/>
                <w:szCs w:val="21"/>
              </w:rPr>
            </w:pPr>
            <w:r>
              <w:rPr>
                <w:sz w:val="21"/>
                <w:szCs w:val="21"/>
              </w:rPr>
              <w:t>34.21164036°</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3</w:t>
            </w:r>
          </w:p>
        </w:tc>
        <w:tc>
          <w:tcPr>
            <w:tcW w:w="1290" w:type="pct"/>
            <w:vAlign w:val="center"/>
          </w:tcPr>
          <w:p w:rsidR="00240BCE" w:rsidRDefault="00AC0334" w:rsidP="00FC7D0F">
            <w:pPr>
              <w:jc w:val="center"/>
              <w:rPr>
                <w:sz w:val="21"/>
                <w:szCs w:val="21"/>
              </w:rPr>
            </w:pPr>
            <w:r>
              <w:rPr>
                <w:sz w:val="21"/>
                <w:szCs w:val="21"/>
              </w:rPr>
              <w:t>113.16432953°</w:t>
            </w:r>
          </w:p>
        </w:tc>
        <w:tc>
          <w:tcPr>
            <w:tcW w:w="1293" w:type="pct"/>
            <w:vAlign w:val="center"/>
          </w:tcPr>
          <w:p w:rsidR="00240BCE" w:rsidRDefault="00AC0334" w:rsidP="00FC7D0F">
            <w:pPr>
              <w:jc w:val="center"/>
              <w:rPr>
                <w:sz w:val="21"/>
                <w:szCs w:val="21"/>
              </w:rPr>
            </w:pPr>
            <w:r>
              <w:rPr>
                <w:sz w:val="21"/>
                <w:szCs w:val="21"/>
              </w:rPr>
              <w:t>34.21158671°</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4</w:t>
            </w:r>
          </w:p>
        </w:tc>
        <w:tc>
          <w:tcPr>
            <w:tcW w:w="1290" w:type="pct"/>
            <w:vAlign w:val="center"/>
          </w:tcPr>
          <w:p w:rsidR="00240BCE" w:rsidRDefault="00AC0334" w:rsidP="00FC7D0F">
            <w:pPr>
              <w:jc w:val="center"/>
              <w:rPr>
                <w:sz w:val="21"/>
                <w:szCs w:val="21"/>
              </w:rPr>
            </w:pPr>
            <w:r>
              <w:rPr>
                <w:sz w:val="21"/>
                <w:szCs w:val="21"/>
              </w:rPr>
              <w:t>113.16450119°</w:t>
            </w:r>
          </w:p>
        </w:tc>
        <w:tc>
          <w:tcPr>
            <w:tcW w:w="1293" w:type="pct"/>
            <w:vAlign w:val="center"/>
          </w:tcPr>
          <w:p w:rsidR="00240BCE" w:rsidRDefault="00AC0334" w:rsidP="00FC7D0F">
            <w:pPr>
              <w:jc w:val="center"/>
              <w:rPr>
                <w:sz w:val="21"/>
                <w:szCs w:val="21"/>
              </w:rPr>
            </w:pPr>
            <w:r>
              <w:rPr>
                <w:sz w:val="21"/>
                <w:szCs w:val="21"/>
              </w:rPr>
              <w:t>34.21142578°</w:t>
            </w:r>
          </w:p>
        </w:tc>
      </w:tr>
      <w:tr w:rsidR="00240BCE">
        <w:trPr>
          <w:trHeight w:val="311"/>
        </w:trPr>
        <w:tc>
          <w:tcPr>
            <w:tcW w:w="1669" w:type="pct"/>
            <w:vMerge w:val="restart"/>
            <w:vAlign w:val="center"/>
          </w:tcPr>
          <w:p w:rsidR="00240BCE" w:rsidRDefault="00AC0334" w:rsidP="00FC7D0F">
            <w:pPr>
              <w:jc w:val="center"/>
              <w:rPr>
                <w:sz w:val="21"/>
                <w:szCs w:val="21"/>
              </w:rPr>
            </w:pPr>
            <w:r>
              <w:rPr>
                <w:sz w:val="21"/>
                <w:szCs w:val="21"/>
              </w:rPr>
              <w:t>矸石周转场位于储煤棚内东南角（占地面积</w:t>
            </w:r>
            <w:r>
              <w:rPr>
                <w:sz w:val="21"/>
                <w:szCs w:val="21"/>
              </w:rPr>
              <w:t>50m</w:t>
            </w:r>
            <w:r>
              <w:rPr>
                <w:sz w:val="21"/>
                <w:szCs w:val="21"/>
                <w:vertAlign w:val="superscript"/>
              </w:rPr>
              <w:t>2</w:t>
            </w:r>
            <w:r>
              <w:rPr>
                <w:sz w:val="21"/>
                <w:szCs w:val="21"/>
              </w:rPr>
              <w:t>）</w:t>
            </w:r>
          </w:p>
        </w:tc>
        <w:tc>
          <w:tcPr>
            <w:tcW w:w="746" w:type="pct"/>
            <w:vAlign w:val="center"/>
          </w:tcPr>
          <w:p w:rsidR="00240BCE" w:rsidRDefault="00AC0334" w:rsidP="00FC7D0F">
            <w:pPr>
              <w:jc w:val="center"/>
              <w:rPr>
                <w:sz w:val="21"/>
                <w:szCs w:val="21"/>
              </w:rPr>
            </w:pPr>
            <w:r>
              <w:rPr>
                <w:sz w:val="21"/>
                <w:szCs w:val="21"/>
              </w:rPr>
              <w:t>1</w:t>
            </w:r>
          </w:p>
        </w:tc>
        <w:tc>
          <w:tcPr>
            <w:tcW w:w="1290" w:type="pct"/>
            <w:vAlign w:val="center"/>
          </w:tcPr>
          <w:p w:rsidR="00240BCE" w:rsidRDefault="00AC0334" w:rsidP="00FC7D0F">
            <w:pPr>
              <w:jc w:val="center"/>
              <w:rPr>
                <w:sz w:val="21"/>
                <w:szCs w:val="21"/>
              </w:rPr>
            </w:pPr>
            <w:r>
              <w:rPr>
                <w:sz w:val="21"/>
                <w:szCs w:val="21"/>
              </w:rPr>
              <w:t>113.16450119°</w:t>
            </w:r>
          </w:p>
        </w:tc>
        <w:tc>
          <w:tcPr>
            <w:tcW w:w="1293" w:type="pct"/>
            <w:vAlign w:val="center"/>
          </w:tcPr>
          <w:p w:rsidR="00240BCE" w:rsidRDefault="00AC0334" w:rsidP="00FC7D0F">
            <w:pPr>
              <w:jc w:val="center"/>
              <w:rPr>
                <w:sz w:val="21"/>
                <w:szCs w:val="21"/>
              </w:rPr>
            </w:pPr>
            <w:r>
              <w:rPr>
                <w:sz w:val="21"/>
                <w:szCs w:val="21"/>
              </w:rPr>
              <w:t>34.21142578°</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2</w:t>
            </w:r>
          </w:p>
        </w:tc>
        <w:tc>
          <w:tcPr>
            <w:tcW w:w="1290" w:type="pct"/>
            <w:vAlign w:val="center"/>
          </w:tcPr>
          <w:p w:rsidR="00240BCE" w:rsidRDefault="00AC0334" w:rsidP="00FC7D0F">
            <w:pPr>
              <w:jc w:val="center"/>
              <w:rPr>
                <w:sz w:val="21"/>
                <w:szCs w:val="21"/>
              </w:rPr>
            </w:pPr>
            <w:r>
              <w:rPr>
                <w:sz w:val="21"/>
                <w:szCs w:val="21"/>
              </w:rPr>
              <w:t>113.16456556°</w:t>
            </w:r>
          </w:p>
        </w:tc>
        <w:tc>
          <w:tcPr>
            <w:tcW w:w="1293" w:type="pct"/>
            <w:vAlign w:val="center"/>
          </w:tcPr>
          <w:p w:rsidR="00240BCE" w:rsidRDefault="00AC0334" w:rsidP="00FC7D0F">
            <w:pPr>
              <w:jc w:val="center"/>
              <w:rPr>
                <w:sz w:val="21"/>
                <w:szCs w:val="21"/>
              </w:rPr>
            </w:pPr>
            <w:r>
              <w:rPr>
                <w:sz w:val="21"/>
                <w:szCs w:val="21"/>
              </w:rPr>
              <w:t>34.21147674°</w:t>
            </w:r>
          </w:p>
        </w:tc>
      </w:tr>
      <w:tr w:rsidR="00240BCE">
        <w:trPr>
          <w:trHeight w:val="311"/>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3</w:t>
            </w:r>
          </w:p>
        </w:tc>
        <w:tc>
          <w:tcPr>
            <w:tcW w:w="1290" w:type="pct"/>
            <w:vAlign w:val="center"/>
          </w:tcPr>
          <w:p w:rsidR="00240BCE" w:rsidRDefault="00AC0334" w:rsidP="00FC7D0F">
            <w:pPr>
              <w:jc w:val="center"/>
              <w:rPr>
                <w:sz w:val="21"/>
                <w:szCs w:val="21"/>
              </w:rPr>
            </w:pPr>
            <w:r>
              <w:rPr>
                <w:sz w:val="21"/>
                <w:szCs w:val="21"/>
              </w:rPr>
              <w:t>113.16450924°</w:t>
            </w:r>
          </w:p>
        </w:tc>
        <w:tc>
          <w:tcPr>
            <w:tcW w:w="1293" w:type="pct"/>
            <w:vAlign w:val="center"/>
          </w:tcPr>
          <w:p w:rsidR="00240BCE" w:rsidRDefault="00AC0334" w:rsidP="00FC7D0F">
            <w:pPr>
              <w:jc w:val="center"/>
              <w:rPr>
                <w:sz w:val="21"/>
                <w:szCs w:val="21"/>
              </w:rPr>
            </w:pPr>
            <w:r>
              <w:rPr>
                <w:sz w:val="21"/>
                <w:szCs w:val="21"/>
              </w:rPr>
              <w:t>34.21141237°</w:t>
            </w:r>
          </w:p>
        </w:tc>
      </w:tr>
      <w:tr w:rsidR="00240BCE">
        <w:trPr>
          <w:trHeight w:val="379"/>
        </w:trPr>
        <w:tc>
          <w:tcPr>
            <w:tcW w:w="1669" w:type="pct"/>
            <w:vMerge/>
            <w:vAlign w:val="center"/>
          </w:tcPr>
          <w:p w:rsidR="00240BCE" w:rsidRDefault="00240BCE" w:rsidP="00FC7D0F">
            <w:pPr>
              <w:jc w:val="center"/>
              <w:rPr>
                <w:sz w:val="21"/>
                <w:szCs w:val="21"/>
              </w:rPr>
            </w:pPr>
          </w:p>
        </w:tc>
        <w:tc>
          <w:tcPr>
            <w:tcW w:w="746" w:type="pct"/>
            <w:vAlign w:val="center"/>
          </w:tcPr>
          <w:p w:rsidR="00240BCE" w:rsidRDefault="00AC0334" w:rsidP="00FC7D0F">
            <w:pPr>
              <w:jc w:val="center"/>
              <w:rPr>
                <w:sz w:val="21"/>
                <w:szCs w:val="21"/>
              </w:rPr>
            </w:pPr>
            <w:r>
              <w:rPr>
                <w:sz w:val="21"/>
                <w:szCs w:val="21"/>
              </w:rPr>
              <w:t>4</w:t>
            </w:r>
          </w:p>
        </w:tc>
        <w:tc>
          <w:tcPr>
            <w:tcW w:w="1290" w:type="pct"/>
            <w:vAlign w:val="center"/>
          </w:tcPr>
          <w:p w:rsidR="00240BCE" w:rsidRDefault="00AC0334" w:rsidP="00FC7D0F">
            <w:pPr>
              <w:jc w:val="center"/>
              <w:rPr>
                <w:sz w:val="21"/>
                <w:szCs w:val="21"/>
              </w:rPr>
            </w:pPr>
            <w:r>
              <w:rPr>
                <w:sz w:val="21"/>
                <w:szCs w:val="21"/>
              </w:rPr>
              <w:t>113.16445559°</w:t>
            </w:r>
          </w:p>
        </w:tc>
        <w:tc>
          <w:tcPr>
            <w:tcW w:w="1293" w:type="pct"/>
            <w:vAlign w:val="center"/>
          </w:tcPr>
          <w:p w:rsidR="00240BCE" w:rsidRDefault="00AC0334" w:rsidP="00FC7D0F">
            <w:pPr>
              <w:jc w:val="center"/>
              <w:rPr>
                <w:sz w:val="21"/>
                <w:szCs w:val="21"/>
              </w:rPr>
            </w:pPr>
            <w:r>
              <w:rPr>
                <w:sz w:val="21"/>
                <w:szCs w:val="21"/>
              </w:rPr>
              <w:t>34.21144724°</w:t>
            </w:r>
          </w:p>
        </w:tc>
      </w:tr>
    </w:tbl>
    <w:p w:rsidR="00240BCE" w:rsidRDefault="00AC0334">
      <w:pPr>
        <w:pStyle w:val="a2"/>
        <w:spacing w:line="520" w:lineRule="exact"/>
        <w:ind w:firstLine="480"/>
        <w:rPr>
          <w:sz w:val="24"/>
        </w:rPr>
      </w:pPr>
      <w:r>
        <w:rPr>
          <w:sz w:val="24"/>
        </w:rPr>
        <w:t>2</w:t>
      </w:r>
      <w:r>
        <w:rPr>
          <w:sz w:val="24"/>
        </w:rPr>
        <w:t>、占地</w:t>
      </w:r>
    </w:p>
    <w:p w:rsidR="00240BCE" w:rsidRDefault="00AC0334">
      <w:pPr>
        <w:pStyle w:val="a2"/>
        <w:spacing w:line="520" w:lineRule="exact"/>
        <w:ind w:firstLine="480"/>
        <w:rPr>
          <w:szCs w:val="28"/>
        </w:rPr>
      </w:pPr>
      <w:r>
        <w:rPr>
          <w:sz w:val="24"/>
        </w:rPr>
        <w:t>本次升级改造无新增用地，所利用土地全部为本矿井现有工业场地用地，工业广场围墙内共占地</w:t>
      </w:r>
      <w:r>
        <w:rPr>
          <w:sz w:val="24"/>
        </w:rPr>
        <w:t>1.</w:t>
      </w:r>
      <w:r w:rsidR="00257B79">
        <w:rPr>
          <w:rFonts w:hint="eastAsia"/>
          <w:sz w:val="24"/>
        </w:rPr>
        <w:t>92</w:t>
      </w:r>
      <w:r>
        <w:rPr>
          <w:sz w:val="24"/>
        </w:rPr>
        <w:t>hm</w:t>
      </w:r>
      <w:r>
        <w:rPr>
          <w:sz w:val="24"/>
          <w:vertAlign w:val="superscript"/>
        </w:rPr>
        <w:t>2</w:t>
      </w:r>
      <w:r>
        <w:rPr>
          <w:sz w:val="24"/>
        </w:rPr>
        <w:t>，占地性质为工矿建设用地。</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50" w:name="_Toc79668631"/>
      <w:r>
        <w:rPr>
          <w:rFonts w:eastAsia="楷体"/>
          <w:sz w:val="28"/>
          <w:szCs w:val="28"/>
        </w:rPr>
        <w:t xml:space="preserve">3.2.6 </w:t>
      </w:r>
      <w:r>
        <w:rPr>
          <w:rFonts w:eastAsia="楷体"/>
          <w:sz w:val="28"/>
          <w:szCs w:val="28"/>
        </w:rPr>
        <w:t>劳动定员及生产效率</w:t>
      </w:r>
      <w:bookmarkEnd w:id="250"/>
    </w:p>
    <w:p w:rsidR="00240BCE" w:rsidRDefault="00AC0334" w:rsidP="00DB51A2">
      <w:pPr>
        <w:spacing w:line="500" w:lineRule="exact"/>
        <w:ind w:firstLineChars="202" w:firstLine="485"/>
        <w:rPr>
          <w:sz w:val="24"/>
        </w:rPr>
      </w:pPr>
      <w:r>
        <w:rPr>
          <w:sz w:val="24"/>
        </w:rPr>
        <w:t>本矿井升级改造后年工作日</w:t>
      </w:r>
      <w:r>
        <w:rPr>
          <w:sz w:val="24"/>
        </w:rPr>
        <w:t>330d</w:t>
      </w:r>
      <w:r>
        <w:rPr>
          <w:sz w:val="24"/>
        </w:rPr>
        <w:t>，井下采用</w:t>
      </w:r>
      <w:r>
        <w:rPr>
          <w:sz w:val="24"/>
        </w:rPr>
        <w:t>“</w:t>
      </w:r>
      <w:r>
        <w:rPr>
          <w:sz w:val="24"/>
        </w:rPr>
        <w:t>四</w:t>
      </w:r>
      <w:r>
        <w:rPr>
          <w:sz w:val="24"/>
        </w:rPr>
        <w:t>·</w:t>
      </w:r>
      <w:r>
        <w:rPr>
          <w:sz w:val="24"/>
        </w:rPr>
        <w:t>六</w:t>
      </w:r>
      <w:r>
        <w:rPr>
          <w:sz w:val="24"/>
        </w:rPr>
        <w:t>”</w:t>
      </w:r>
      <w:r>
        <w:rPr>
          <w:sz w:val="24"/>
        </w:rPr>
        <w:t>作业制，地面采用</w:t>
      </w:r>
      <w:r>
        <w:rPr>
          <w:sz w:val="24"/>
        </w:rPr>
        <w:t>“</w:t>
      </w:r>
      <w:r>
        <w:rPr>
          <w:sz w:val="24"/>
        </w:rPr>
        <w:t>三</w:t>
      </w:r>
      <w:r>
        <w:rPr>
          <w:sz w:val="24"/>
        </w:rPr>
        <w:t>·</w:t>
      </w:r>
      <w:r>
        <w:rPr>
          <w:sz w:val="24"/>
        </w:rPr>
        <w:t>八</w:t>
      </w:r>
      <w:r>
        <w:rPr>
          <w:sz w:val="24"/>
        </w:rPr>
        <w:t>”</w:t>
      </w:r>
      <w:r>
        <w:rPr>
          <w:sz w:val="24"/>
        </w:rPr>
        <w:t>作业制。矿井在籍总人数为</w:t>
      </w:r>
      <w:r>
        <w:rPr>
          <w:sz w:val="24"/>
        </w:rPr>
        <w:t>598</w:t>
      </w:r>
      <w:r>
        <w:rPr>
          <w:sz w:val="24"/>
        </w:rPr>
        <w:t>人，</w:t>
      </w:r>
      <w:r w:rsidR="00A71D25">
        <w:rPr>
          <w:rFonts w:hint="eastAsia"/>
          <w:sz w:val="24"/>
        </w:rPr>
        <w:t>其中管理人员</w:t>
      </w:r>
      <w:r w:rsidR="00A71D25">
        <w:rPr>
          <w:rFonts w:hint="eastAsia"/>
          <w:sz w:val="24"/>
        </w:rPr>
        <w:t>30</w:t>
      </w:r>
      <w:r w:rsidR="00A71D25">
        <w:rPr>
          <w:rFonts w:hint="eastAsia"/>
          <w:sz w:val="24"/>
        </w:rPr>
        <w:t>人，</w:t>
      </w:r>
      <w:r>
        <w:rPr>
          <w:sz w:val="24"/>
        </w:rPr>
        <w:t>矿井全员工效</w:t>
      </w:r>
      <w:r>
        <w:rPr>
          <w:sz w:val="24"/>
        </w:rPr>
        <w:t>2.20</w:t>
      </w:r>
      <w:r>
        <w:rPr>
          <w:sz w:val="24"/>
        </w:rPr>
        <w:t>吨</w:t>
      </w:r>
      <w:r>
        <w:rPr>
          <w:sz w:val="24"/>
        </w:rPr>
        <w:t>/</w:t>
      </w:r>
      <w:r>
        <w:rPr>
          <w:sz w:val="24"/>
        </w:rPr>
        <w:t>工。劳动定员详见表</w:t>
      </w:r>
      <w:r>
        <w:rPr>
          <w:sz w:val="24"/>
        </w:rPr>
        <w:t>3.2-2</w:t>
      </w:r>
      <w:r>
        <w:rPr>
          <w:sz w:val="24"/>
        </w:rPr>
        <w:t>。</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51" w:name="_Toc79668632"/>
      <w:r>
        <w:rPr>
          <w:rFonts w:eastAsia="楷体"/>
          <w:sz w:val="28"/>
          <w:szCs w:val="28"/>
        </w:rPr>
        <w:t xml:space="preserve">3.2.7 </w:t>
      </w:r>
      <w:r>
        <w:rPr>
          <w:rFonts w:eastAsia="楷体"/>
          <w:sz w:val="28"/>
          <w:szCs w:val="28"/>
        </w:rPr>
        <w:t>建设计划</w:t>
      </w:r>
      <w:bookmarkEnd w:id="251"/>
    </w:p>
    <w:p w:rsidR="00240BCE" w:rsidRDefault="00AC0334">
      <w:pPr>
        <w:autoSpaceDE w:val="0"/>
        <w:autoSpaceDN w:val="0"/>
        <w:adjustRightInd w:val="0"/>
        <w:spacing w:line="360" w:lineRule="auto"/>
        <w:ind w:firstLine="560"/>
        <w:rPr>
          <w:color w:val="000000"/>
          <w:sz w:val="24"/>
        </w:rPr>
      </w:pPr>
      <w:r>
        <w:rPr>
          <w:color w:val="000000"/>
          <w:sz w:val="24"/>
        </w:rPr>
        <w:t>本矿井为升级改造矿井，根据三类工程排序，建设总工期为</w:t>
      </w:r>
      <w:r>
        <w:rPr>
          <w:color w:val="000000"/>
          <w:sz w:val="24"/>
        </w:rPr>
        <w:t>9</w:t>
      </w:r>
      <w:r>
        <w:rPr>
          <w:color w:val="000000"/>
          <w:sz w:val="24"/>
        </w:rPr>
        <w:t>个月（包括全矿井联合试运转</w:t>
      </w:r>
      <w:r>
        <w:rPr>
          <w:color w:val="000000"/>
          <w:sz w:val="24"/>
        </w:rPr>
        <w:t>1</w:t>
      </w:r>
      <w:r>
        <w:rPr>
          <w:color w:val="000000"/>
          <w:sz w:val="24"/>
        </w:rPr>
        <w:t>个月）。</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52" w:name="_Toc79668633"/>
      <w:r>
        <w:rPr>
          <w:rFonts w:eastAsia="楷体"/>
          <w:sz w:val="28"/>
          <w:szCs w:val="28"/>
        </w:rPr>
        <w:t xml:space="preserve">3.2.8 </w:t>
      </w:r>
      <w:r>
        <w:rPr>
          <w:rFonts w:eastAsia="楷体"/>
          <w:sz w:val="28"/>
          <w:szCs w:val="28"/>
        </w:rPr>
        <w:t>井田境界及资源概况</w:t>
      </w:r>
      <w:bookmarkEnd w:id="252"/>
    </w:p>
    <w:p w:rsidR="00240BCE" w:rsidRDefault="00AC0334">
      <w:pPr>
        <w:spacing w:line="520" w:lineRule="exact"/>
        <w:ind w:firstLineChars="200" w:firstLine="488"/>
        <w:rPr>
          <w:spacing w:val="2"/>
          <w:sz w:val="24"/>
        </w:rPr>
      </w:pPr>
      <w:r>
        <w:rPr>
          <w:spacing w:val="2"/>
          <w:sz w:val="24"/>
        </w:rPr>
        <w:lastRenderedPageBreak/>
        <w:t>1</w:t>
      </w:r>
      <w:r>
        <w:rPr>
          <w:spacing w:val="2"/>
          <w:sz w:val="24"/>
        </w:rPr>
        <w:t>、井田境界及储量</w:t>
      </w:r>
    </w:p>
    <w:p w:rsidR="00240BCE" w:rsidRDefault="00AC0334">
      <w:pPr>
        <w:pStyle w:val="aff6"/>
        <w:ind w:firstLine="480"/>
      </w:pPr>
      <w:r>
        <w:t>（</w:t>
      </w:r>
      <w:r>
        <w:t>1</w:t>
      </w:r>
      <w:r>
        <w:t>）井田境界</w:t>
      </w:r>
    </w:p>
    <w:p w:rsidR="00240BCE" w:rsidRDefault="00AC0334">
      <w:pPr>
        <w:pStyle w:val="aff6"/>
        <w:ind w:firstLine="480"/>
      </w:pPr>
      <w:r>
        <w:t>2009</w:t>
      </w:r>
      <w:r>
        <w:t>年</w:t>
      </w:r>
      <w:r>
        <w:t>05</w:t>
      </w:r>
      <w:r>
        <w:t>月</w:t>
      </w:r>
      <w:r>
        <w:rPr>
          <w:sz w:val="4"/>
          <w:szCs w:val="4"/>
        </w:rPr>
        <w:t xml:space="preserve"> </w:t>
      </w:r>
      <w:r>
        <w:t>河</w:t>
      </w:r>
      <w:r>
        <w:rPr>
          <w:sz w:val="4"/>
          <w:szCs w:val="4"/>
        </w:rPr>
        <w:t xml:space="preserve"> </w:t>
      </w:r>
      <w:r>
        <w:t>南</w:t>
      </w:r>
      <w:r>
        <w:rPr>
          <w:sz w:val="4"/>
          <w:szCs w:val="4"/>
        </w:rPr>
        <w:t xml:space="preserve"> </w:t>
      </w:r>
      <w:r>
        <w:t>省</w:t>
      </w:r>
      <w:r>
        <w:rPr>
          <w:sz w:val="4"/>
          <w:szCs w:val="4"/>
        </w:rPr>
        <w:t xml:space="preserve"> </w:t>
      </w:r>
      <w:r>
        <w:t>国</w:t>
      </w:r>
      <w:r>
        <w:rPr>
          <w:sz w:val="4"/>
          <w:szCs w:val="4"/>
        </w:rPr>
        <w:t xml:space="preserve"> </w:t>
      </w:r>
      <w:r>
        <w:t>土</w:t>
      </w:r>
      <w:r>
        <w:rPr>
          <w:sz w:val="4"/>
          <w:szCs w:val="4"/>
        </w:rPr>
        <w:t xml:space="preserve"> </w:t>
      </w:r>
      <w:r>
        <w:t>资</w:t>
      </w:r>
      <w:r>
        <w:rPr>
          <w:sz w:val="4"/>
          <w:szCs w:val="4"/>
        </w:rPr>
        <w:t xml:space="preserve"> </w:t>
      </w:r>
      <w:r>
        <w:t>源</w:t>
      </w:r>
      <w:r>
        <w:rPr>
          <w:sz w:val="4"/>
          <w:szCs w:val="4"/>
        </w:rPr>
        <w:t xml:space="preserve"> </w:t>
      </w:r>
      <w:r>
        <w:t>厅</w:t>
      </w:r>
      <w:r>
        <w:rPr>
          <w:sz w:val="8"/>
          <w:szCs w:val="8"/>
        </w:rPr>
        <w:t xml:space="preserve"> </w:t>
      </w:r>
      <w:r>
        <w:t>颁</w:t>
      </w:r>
      <w:r>
        <w:rPr>
          <w:sz w:val="4"/>
          <w:szCs w:val="4"/>
        </w:rPr>
        <w:t xml:space="preserve"> </w:t>
      </w:r>
      <w:r>
        <w:t>发</w:t>
      </w:r>
      <w:r>
        <w:rPr>
          <w:sz w:val="4"/>
          <w:szCs w:val="4"/>
        </w:rPr>
        <w:t xml:space="preserve"> </w:t>
      </w:r>
      <w:r>
        <w:t>采</w:t>
      </w:r>
      <w:r>
        <w:rPr>
          <w:sz w:val="4"/>
          <w:szCs w:val="4"/>
        </w:rPr>
        <w:t xml:space="preserve"> </w:t>
      </w:r>
      <w:r>
        <w:t>矿</w:t>
      </w:r>
      <w:r>
        <w:rPr>
          <w:sz w:val="4"/>
          <w:szCs w:val="4"/>
        </w:rPr>
        <w:t xml:space="preserve"> </w:t>
      </w:r>
      <w:r>
        <w:t>许</w:t>
      </w:r>
      <w:r>
        <w:rPr>
          <w:sz w:val="4"/>
          <w:szCs w:val="4"/>
        </w:rPr>
        <w:t xml:space="preserve"> </w:t>
      </w:r>
      <w:r>
        <w:t>可</w:t>
      </w:r>
      <w:r>
        <w:rPr>
          <w:sz w:val="4"/>
          <w:szCs w:val="4"/>
        </w:rPr>
        <w:t xml:space="preserve"> </w:t>
      </w:r>
      <w:r>
        <w:t>证</w:t>
      </w:r>
      <w:r>
        <w:rPr>
          <w:sz w:val="4"/>
          <w:szCs w:val="4"/>
        </w:rPr>
        <w:t xml:space="preserve"> </w:t>
      </w:r>
      <w:r>
        <w:t>，</w:t>
      </w:r>
      <w:r>
        <w:rPr>
          <w:sz w:val="4"/>
          <w:szCs w:val="4"/>
        </w:rPr>
        <w:t xml:space="preserve"> </w:t>
      </w:r>
      <w:r>
        <w:t>采</w:t>
      </w:r>
      <w:r>
        <w:rPr>
          <w:sz w:val="4"/>
          <w:szCs w:val="4"/>
        </w:rPr>
        <w:t xml:space="preserve"> </w:t>
      </w:r>
      <w:r>
        <w:t>矿</w:t>
      </w:r>
      <w:r>
        <w:rPr>
          <w:sz w:val="8"/>
          <w:szCs w:val="8"/>
        </w:rPr>
        <w:t xml:space="preserve"> </w:t>
      </w:r>
      <w:r>
        <w:t>证</w:t>
      </w:r>
      <w:r>
        <w:rPr>
          <w:sz w:val="4"/>
          <w:szCs w:val="4"/>
        </w:rPr>
        <w:t xml:space="preserve"> </w:t>
      </w:r>
      <w:r>
        <w:t>编</w:t>
      </w:r>
      <w:r>
        <w:rPr>
          <w:sz w:val="4"/>
          <w:szCs w:val="4"/>
        </w:rPr>
        <w:t xml:space="preserve"> </w:t>
      </w:r>
      <w:r>
        <w:t>号</w:t>
      </w:r>
      <w:r>
        <w:rPr>
          <w:sz w:val="4"/>
          <w:szCs w:val="4"/>
        </w:rPr>
        <w:t xml:space="preserve"> </w:t>
      </w:r>
      <w:r>
        <w:t>：</w:t>
      </w:r>
      <w:r>
        <w:t>C4100002009051120020297</w:t>
      </w:r>
      <w:r>
        <w:t>，有效期</w:t>
      </w:r>
      <w:r>
        <w:rPr>
          <w:sz w:val="12"/>
          <w:szCs w:val="12"/>
        </w:rPr>
        <w:t xml:space="preserve"> </w:t>
      </w:r>
      <w:r>
        <w:t>2009</w:t>
      </w:r>
      <w:r>
        <w:rPr>
          <w:sz w:val="8"/>
          <w:szCs w:val="8"/>
        </w:rPr>
        <w:t xml:space="preserve"> </w:t>
      </w:r>
      <w:r>
        <w:t>年</w:t>
      </w:r>
      <w:r>
        <w:t>6</w:t>
      </w:r>
      <w:r>
        <w:rPr>
          <w:sz w:val="8"/>
          <w:szCs w:val="8"/>
        </w:rPr>
        <w:t xml:space="preserve"> </w:t>
      </w:r>
      <w:r>
        <w:t>月～</w:t>
      </w:r>
      <w:r>
        <w:t>2010</w:t>
      </w:r>
      <w:r>
        <w:rPr>
          <w:sz w:val="8"/>
          <w:szCs w:val="8"/>
        </w:rPr>
        <w:t xml:space="preserve"> </w:t>
      </w:r>
      <w:r>
        <w:t>年</w:t>
      </w:r>
      <w:r>
        <w:rPr>
          <w:sz w:val="12"/>
          <w:szCs w:val="12"/>
        </w:rPr>
        <w:t xml:space="preserve"> </w:t>
      </w:r>
      <w:r>
        <w:t>6</w:t>
      </w:r>
      <w:r>
        <w:rPr>
          <w:sz w:val="8"/>
          <w:szCs w:val="8"/>
        </w:rPr>
        <w:t xml:space="preserve"> </w:t>
      </w:r>
      <w:r>
        <w:t>月。</w:t>
      </w:r>
      <w:r>
        <w:t>2013</w:t>
      </w:r>
      <w:r>
        <w:rPr>
          <w:sz w:val="8"/>
          <w:szCs w:val="8"/>
        </w:rPr>
        <w:t xml:space="preserve"> </w:t>
      </w:r>
      <w:r>
        <w:t>年</w:t>
      </w:r>
      <w:r>
        <w:rPr>
          <w:sz w:val="12"/>
          <w:szCs w:val="12"/>
        </w:rPr>
        <w:t xml:space="preserve"> </w:t>
      </w:r>
      <w:r>
        <w:t>9</w:t>
      </w:r>
      <w:r>
        <w:rPr>
          <w:sz w:val="8"/>
          <w:szCs w:val="8"/>
        </w:rPr>
        <w:t xml:space="preserve"> </w:t>
      </w:r>
      <w:r>
        <w:t>月办理了采矿许可证延续，有效期限</w:t>
      </w:r>
      <w:r>
        <w:rPr>
          <w:sz w:val="12"/>
          <w:szCs w:val="12"/>
        </w:rPr>
        <w:t xml:space="preserve"> </w:t>
      </w:r>
      <w:r>
        <w:t>2013</w:t>
      </w:r>
      <w:r>
        <w:rPr>
          <w:sz w:val="8"/>
          <w:szCs w:val="8"/>
        </w:rPr>
        <w:t xml:space="preserve"> </w:t>
      </w:r>
      <w:r>
        <w:t>年</w:t>
      </w:r>
      <w:r>
        <w:rPr>
          <w:sz w:val="12"/>
          <w:szCs w:val="12"/>
        </w:rPr>
        <w:t xml:space="preserve"> </w:t>
      </w:r>
      <w:r>
        <w:t>9</w:t>
      </w:r>
      <w:r>
        <w:rPr>
          <w:sz w:val="8"/>
          <w:szCs w:val="8"/>
        </w:rPr>
        <w:t xml:space="preserve"> </w:t>
      </w:r>
      <w:r>
        <w:t>月～</w:t>
      </w:r>
      <w:r>
        <w:t>2023</w:t>
      </w:r>
      <w:r>
        <w:rPr>
          <w:sz w:val="8"/>
          <w:szCs w:val="8"/>
        </w:rPr>
        <w:t xml:space="preserve"> </w:t>
      </w:r>
      <w:r>
        <w:t>年</w:t>
      </w:r>
      <w:r>
        <w:rPr>
          <w:sz w:val="12"/>
          <w:szCs w:val="12"/>
        </w:rPr>
        <w:t xml:space="preserve"> </w:t>
      </w:r>
      <w:r>
        <w:t>9</w:t>
      </w:r>
      <w:r>
        <w:rPr>
          <w:sz w:val="8"/>
          <w:szCs w:val="8"/>
        </w:rPr>
        <w:t xml:space="preserve"> </w:t>
      </w:r>
      <w:r>
        <w:t>月。根据采矿许可证，</w:t>
      </w:r>
      <w:r>
        <w:rPr>
          <w:snapToGrid w:val="0"/>
          <w:spacing w:val="-4"/>
          <w:kern w:val="0"/>
        </w:rPr>
        <w:t>矿区面积</w:t>
      </w:r>
      <w:r>
        <w:rPr>
          <w:snapToGrid w:val="0"/>
          <w:spacing w:val="-4"/>
          <w:kern w:val="0"/>
        </w:rPr>
        <w:t>2.2726km</w:t>
      </w:r>
      <w:r>
        <w:rPr>
          <w:snapToGrid w:val="0"/>
          <w:spacing w:val="-4"/>
          <w:kern w:val="0"/>
          <w:vertAlign w:val="superscript"/>
        </w:rPr>
        <w:t>2</w:t>
      </w:r>
      <w:r>
        <w:rPr>
          <w:snapToGrid w:val="0"/>
          <w:spacing w:val="-4"/>
          <w:kern w:val="0"/>
        </w:rPr>
        <w:t>，限采二</w:t>
      </w:r>
      <w:r>
        <w:rPr>
          <w:rFonts w:eastAsia="新宋体"/>
          <w:kern w:val="0"/>
          <w:vertAlign w:val="subscript"/>
        </w:rPr>
        <w:t>1</w:t>
      </w:r>
      <w:r>
        <w:rPr>
          <w:snapToGrid w:val="0"/>
          <w:spacing w:val="-4"/>
          <w:kern w:val="0"/>
        </w:rPr>
        <w:t>、</w:t>
      </w:r>
      <w:r>
        <w:rPr>
          <w:snapToGrid w:val="0"/>
          <w:spacing w:val="2"/>
          <w:kern w:val="0"/>
        </w:rPr>
        <w:t>四</w:t>
      </w:r>
      <w:r>
        <w:rPr>
          <w:snapToGrid w:val="0"/>
          <w:spacing w:val="2"/>
          <w:kern w:val="0"/>
          <w:vertAlign w:val="subscript"/>
        </w:rPr>
        <w:t>2</w:t>
      </w:r>
      <w:r>
        <w:rPr>
          <w:snapToGrid w:val="0"/>
          <w:spacing w:val="-4"/>
          <w:kern w:val="0"/>
        </w:rPr>
        <w:t>煤层，</w:t>
      </w:r>
      <w:r>
        <w:t>限采标高</w:t>
      </w:r>
      <w:r>
        <w:t>+270</w:t>
      </w:r>
      <w:r>
        <w:t>～</w:t>
      </w:r>
      <w:r>
        <w:t>-465m</w:t>
      </w:r>
      <w:r>
        <w:t>，矿区范围由</w:t>
      </w:r>
      <w:r>
        <w:rPr>
          <w:spacing w:val="-4"/>
          <w:kern w:val="24"/>
        </w:rPr>
        <w:t>9</w:t>
      </w:r>
      <w:r>
        <w:rPr>
          <w:spacing w:val="-4"/>
          <w:kern w:val="24"/>
        </w:rPr>
        <w:t>个</w:t>
      </w:r>
      <w:r>
        <w:rPr>
          <w:spacing w:val="-4"/>
        </w:rPr>
        <w:t>坐标拐点依次连接而圈定</w:t>
      </w:r>
      <w:r>
        <w:t>。矿区范围拐点坐标详见表</w:t>
      </w:r>
      <w:r>
        <w:t>3.2-</w:t>
      </w:r>
      <w:r w:rsidR="00A71D25">
        <w:rPr>
          <w:rFonts w:hint="eastAsia"/>
        </w:rPr>
        <w:t>2</w:t>
      </w:r>
      <w:r>
        <w:t>。</w:t>
      </w:r>
    </w:p>
    <w:p w:rsidR="00240BCE" w:rsidRDefault="00AC0334">
      <w:pPr>
        <w:adjustRightInd w:val="0"/>
        <w:snapToGrid w:val="0"/>
        <w:spacing w:line="500" w:lineRule="exact"/>
        <w:jc w:val="center"/>
        <w:rPr>
          <w:b/>
          <w:snapToGrid w:val="0"/>
          <w:spacing w:val="-4"/>
          <w:kern w:val="0"/>
          <w:sz w:val="24"/>
        </w:rPr>
      </w:pPr>
      <w:r>
        <w:rPr>
          <w:b/>
          <w:sz w:val="24"/>
        </w:rPr>
        <w:t>表</w:t>
      </w:r>
      <w:r>
        <w:rPr>
          <w:b/>
          <w:sz w:val="24"/>
        </w:rPr>
        <w:t>3.2-</w:t>
      </w:r>
      <w:r w:rsidR="00A71D25">
        <w:rPr>
          <w:rFonts w:hint="eastAsia"/>
          <w:b/>
          <w:sz w:val="24"/>
        </w:rPr>
        <w:t>2</w:t>
      </w:r>
      <w:r>
        <w:rPr>
          <w:b/>
          <w:sz w:val="24"/>
        </w:rPr>
        <w:t xml:space="preserve">  </w:t>
      </w:r>
      <w:r>
        <w:rPr>
          <w:b/>
          <w:sz w:val="24"/>
        </w:rPr>
        <w:t>矿区拐点坐标一览表（</w:t>
      </w:r>
      <w:r>
        <w:rPr>
          <w:sz w:val="21"/>
          <w:szCs w:val="21"/>
        </w:rPr>
        <w:t>1980</w:t>
      </w:r>
      <w:r>
        <w:rPr>
          <w:sz w:val="21"/>
          <w:szCs w:val="21"/>
        </w:rPr>
        <w:t>西安坐标系</w:t>
      </w:r>
      <w:r>
        <w:rPr>
          <w:b/>
          <w:sz w:val="24"/>
        </w:rPr>
        <w:t>）</w:t>
      </w: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5"/>
        <w:gridCol w:w="1493"/>
        <w:gridCol w:w="1494"/>
        <w:gridCol w:w="1493"/>
        <w:gridCol w:w="1493"/>
        <w:gridCol w:w="1494"/>
      </w:tblGrid>
      <w:tr w:rsidR="00240BCE">
        <w:trPr>
          <w:jc w:val="center"/>
        </w:trPr>
        <w:tc>
          <w:tcPr>
            <w:tcW w:w="1115" w:type="dxa"/>
            <w:vAlign w:val="center"/>
          </w:tcPr>
          <w:p w:rsidR="00240BCE" w:rsidRDefault="00AC0334">
            <w:pPr>
              <w:adjustRightInd w:val="0"/>
              <w:snapToGrid w:val="0"/>
              <w:spacing w:line="340" w:lineRule="exact"/>
              <w:jc w:val="center"/>
              <w:rPr>
                <w:sz w:val="21"/>
                <w:szCs w:val="21"/>
              </w:rPr>
            </w:pPr>
            <w:r>
              <w:rPr>
                <w:sz w:val="21"/>
                <w:szCs w:val="21"/>
              </w:rPr>
              <w:t>点号</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x</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y</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点号</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x</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y</w:t>
            </w:r>
          </w:p>
        </w:tc>
      </w:tr>
      <w:tr w:rsidR="00240BCE">
        <w:trPr>
          <w:jc w:val="center"/>
        </w:trPr>
        <w:tc>
          <w:tcPr>
            <w:tcW w:w="1115" w:type="dxa"/>
            <w:vAlign w:val="center"/>
          </w:tcPr>
          <w:p w:rsidR="00240BCE" w:rsidRDefault="00AC0334">
            <w:pPr>
              <w:adjustRightInd w:val="0"/>
              <w:snapToGrid w:val="0"/>
              <w:spacing w:line="340" w:lineRule="exact"/>
              <w:jc w:val="center"/>
              <w:rPr>
                <w:sz w:val="21"/>
                <w:szCs w:val="21"/>
              </w:rPr>
            </w:pPr>
            <w:r>
              <w:rPr>
                <w:sz w:val="21"/>
                <w:szCs w:val="21"/>
              </w:rPr>
              <w:t>1</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3786271.06</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38421889.80</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6</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3787643.09</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38423833.81</w:t>
            </w:r>
          </w:p>
        </w:tc>
      </w:tr>
      <w:tr w:rsidR="00240BCE">
        <w:trPr>
          <w:jc w:val="center"/>
        </w:trPr>
        <w:tc>
          <w:tcPr>
            <w:tcW w:w="1115" w:type="dxa"/>
            <w:vAlign w:val="center"/>
          </w:tcPr>
          <w:p w:rsidR="00240BCE" w:rsidRDefault="00AC0334">
            <w:pPr>
              <w:adjustRightInd w:val="0"/>
              <w:snapToGrid w:val="0"/>
              <w:spacing w:line="340" w:lineRule="exact"/>
              <w:jc w:val="center"/>
              <w:rPr>
                <w:sz w:val="21"/>
                <w:szCs w:val="21"/>
              </w:rPr>
            </w:pPr>
            <w:r>
              <w:rPr>
                <w:sz w:val="21"/>
                <w:szCs w:val="21"/>
              </w:rPr>
              <w:t>2</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3786506.06</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38422060.80</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7</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3787487.10</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38424333.82</w:t>
            </w:r>
          </w:p>
        </w:tc>
      </w:tr>
      <w:tr w:rsidR="00240BCE">
        <w:trPr>
          <w:jc w:val="center"/>
        </w:trPr>
        <w:tc>
          <w:tcPr>
            <w:tcW w:w="1115" w:type="dxa"/>
            <w:vAlign w:val="center"/>
          </w:tcPr>
          <w:p w:rsidR="00240BCE" w:rsidRDefault="00AC0334">
            <w:pPr>
              <w:adjustRightInd w:val="0"/>
              <w:snapToGrid w:val="0"/>
              <w:spacing w:line="340" w:lineRule="exact"/>
              <w:jc w:val="center"/>
              <w:rPr>
                <w:sz w:val="21"/>
                <w:szCs w:val="21"/>
              </w:rPr>
            </w:pPr>
            <w:r>
              <w:rPr>
                <w:sz w:val="21"/>
                <w:szCs w:val="21"/>
              </w:rPr>
              <w:t>3</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3786881.07</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38422232.80</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8</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3786451.07</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38423387.82</w:t>
            </w:r>
          </w:p>
        </w:tc>
      </w:tr>
      <w:tr w:rsidR="00240BCE">
        <w:trPr>
          <w:jc w:val="center"/>
        </w:trPr>
        <w:tc>
          <w:tcPr>
            <w:tcW w:w="1115" w:type="dxa"/>
            <w:vAlign w:val="center"/>
          </w:tcPr>
          <w:p w:rsidR="00240BCE" w:rsidRDefault="00AC0334">
            <w:pPr>
              <w:adjustRightInd w:val="0"/>
              <w:snapToGrid w:val="0"/>
              <w:spacing w:line="340" w:lineRule="exact"/>
              <w:jc w:val="center"/>
              <w:rPr>
                <w:sz w:val="21"/>
                <w:szCs w:val="21"/>
              </w:rPr>
            </w:pPr>
            <w:r>
              <w:rPr>
                <w:sz w:val="21"/>
                <w:szCs w:val="21"/>
              </w:rPr>
              <w:t>4</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3787324.08</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38422605.80</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9</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3785937.06</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38422357.81</w:t>
            </w:r>
          </w:p>
        </w:tc>
      </w:tr>
      <w:tr w:rsidR="00240BCE">
        <w:trPr>
          <w:jc w:val="center"/>
        </w:trPr>
        <w:tc>
          <w:tcPr>
            <w:tcW w:w="1115" w:type="dxa"/>
            <w:vAlign w:val="center"/>
          </w:tcPr>
          <w:p w:rsidR="00240BCE" w:rsidRDefault="00AC0334">
            <w:pPr>
              <w:adjustRightInd w:val="0"/>
              <w:snapToGrid w:val="0"/>
              <w:spacing w:line="340" w:lineRule="exact"/>
              <w:jc w:val="center"/>
              <w:rPr>
                <w:sz w:val="21"/>
                <w:szCs w:val="21"/>
              </w:rPr>
            </w:pPr>
            <w:r>
              <w:rPr>
                <w:sz w:val="21"/>
                <w:szCs w:val="21"/>
              </w:rPr>
              <w:t>5</w:t>
            </w:r>
          </w:p>
        </w:tc>
        <w:tc>
          <w:tcPr>
            <w:tcW w:w="1493" w:type="dxa"/>
            <w:vAlign w:val="center"/>
          </w:tcPr>
          <w:p w:rsidR="00240BCE" w:rsidRDefault="00AC0334">
            <w:pPr>
              <w:adjustRightInd w:val="0"/>
              <w:snapToGrid w:val="0"/>
              <w:spacing w:line="340" w:lineRule="exact"/>
              <w:jc w:val="center"/>
              <w:rPr>
                <w:sz w:val="21"/>
                <w:szCs w:val="21"/>
              </w:rPr>
            </w:pPr>
            <w:r>
              <w:rPr>
                <w:sz w:val="21"/>
                <w:szCs w:val="21"/>
              </w:rPr>
              <w:t>3787715.08</w:t>
            </w:r>
          </w:p>
        </w:tc>
        <w:tc>
          <w:tcPr>
            <w:tcW w:w="1494" w:type="dxa"/>
            <w:vAlign w:val="center"/>
          </w:tcPr>
          <w:p w:rsidR="00240BCE" w:rsidRDefault="00AC0334">
            <w:pPr>
              <w:adjustRightInd w:val="0"/>
              <w:snapToGrid w:val="0"/>
              <w:spacing w:line="340" w:lineRule="exact"/>
              <w:jc w:val="center"/>
              <w:rPr>
                <w:sz w:val="21"/>
                <w:szCs w:val="21"/>
              </w:rPr>
            </w:pPr>
            <w:r>
              <w:rPr>
                <w:sz w:val="21"/>
                <w:szCs w:val="21"/>
              </w:rPr>
              <w:t>38422627.79</w:t>
            </w:r>
          </w:p>
        </w:tc>
        <w:tc>
          <w:tcPr>
            <w:tcW w:w="1493" w:type="dxa"/>
            <w:vAlign w:val="center"/>
          </w:tcPr>
          <w:p w:rsidR="00240BCE" w:rsidRDefault="00240BCE">
            <w:pPr>
              <w:adjustRightInd w:val="0"/>
              <w:snapToGrid w:val="0"/>
              <w:spacing w:line="340" w:lineRule="exact"/>
              <w:jc w:val="center"/>
              <w:rPr>
                <w:sz w:val="21"/>
                <w:szCs w:val="21"/>
              </w:rPr>
            </w:pPr>
          </w:p>
        </w:tc>
        <w:tc>
          <w:tcPr>
            <w:tcW w:w="1493" w:type="dxa"/>
            <w:vAlign w:val="center"/>
          </w:tcPr>
          <w:p w:rsidR="00240BCE" w:rsidRDefault="00240BCE">
            <w:pPr>
              <w:adjustRightInd w:val="0"/>
              <w:snapToGrid w:val="0"/>
              <w:spacing w:line="340" w:lineRule="exact"/>
              <w:jc w:val="center"/>
              <w:rPr>
                <w:sz w:val="21"/>
                <w:szCs w:val="21"/>
              </w:rPr>
            </w:pPr>
          </w:p>
        </w:tc>
        <w:tc>
          <w:tcPr>
            <w:tcW w:w="1494" w:type="dxa"/>
            <w:vAlign w:val="center"/>
          </w:tcPr>
          <w:p w:rsidR="00240BCE" w:rsidRDefault="00240BCE">
            <w:pPr>
              <w:adjustRightInd w:val="0"/>
              <w:snapToGrid w:val="0"/>
              <w:spacing w:line="340" w:lineRule="exact"/>
              <w:jc w:val="center"/>
              <w:rPr>
                <w:sz w:val="21"/>
                <w:szCs w:val="21"/>
              </w:rPr>
            </w:pPr>
          </w:p>
        </w:tc>
      </w:tr>
    </w:tbl>
    <w:p w:rsidR="00240BCE" w:rsidRDefault="00AC0334">
      <w:pPr>
        <w:spacing w:line="520" w:lineRule="exact"/>
        <w:ind w:firstLineChars="200" w:firstLine="488"/>
        <w:rPr>
          <w:spacing w:val="2"/>
          <w:sz w:val="24"/>
        </w:rPr>
      </w:pPr>
      <w:r>
        <w:rPr>
          <w:spacing w:val="2"/>
          <w:sz w:val="24"/>
        </w:rPr>
        <w:t>（</w:t>
      </w:r>
      <w:r>
        <w:rPr>
          <w:spacing w:val="2"/>
          <w:sz w:val="24"/>
        </w:rPr>
        <w:t>2</w:t>
      </w:r>
      <w:r>
        <w:rPr>
          <w:spacing w:val="2"/>
          <w:sz w:val="24"/>
        </w:rPr>
        <w:t>）储量</w:t>
      </w:r>
    </w:p>
    <w:p w:rsidR="00240BCE" w:rsidRDefault="00AC0334">
      <w:pPr>
        <w:pStyle w:val="aff6"/>
        <w:spacing w:line="520" w:lineRule="exact"/>
        <w:ind w:firstLine="464"/>
      </w:pPr>
      <w:r>
        <w:rPr>
          <w:snapToGrid w:val="0"/>
          <w:spacing w:val="-4"/>
          <w:kern w:val="0"/>
        </w:rPr>
        <w:t>根据河南省地质矿产勘查开发局第二地质勘查院</w:t>
      </w:r>
      <w:r>
        <w:rPr>
          <w:snapToGrid w:val="0"/>
          <w:spacing w:val="-4"/>
          <w:kern w:val="0"/>
        </w:rPr>
        <w:t>2011</w:t>
      </w:r>
      <w:r>
        <w:rPr>
          <w:snapToGrid w:val="0"/>
          <w:spacing w:val="-4"/>
          <w:kern w:val="0"/>
        </w:rPr>
        <w:t>年</w:t>
      </w:r>
      <w:r>
        <w:rPr>
          <w:snapToGrid w:val="0"/>
          <w:spacing w:val="-4"/>
          <w:kern w:val="0"/>
        </w:rPr>
        <w:t>8</w:t>
      </w:r>
      <w:r>
        <w:rPr>
          <w:snapToGrid w:val="0"/>
          <w:spacing w:val="-4"/>
          <w:kern w:val="0"/>
        </w:rPr>
        <w:t>月提交的《河南省</w:t>
      </w:r>
      <w:r>
        <w:rPr>
          <w:kern w:val="0"/>
        </w:rPr>
        <w:t>禹州市大山煤矿煤炭资源储量核实报告</w:t>
      </w:r>
      <w:r>
        <w:rPr>
          <w:snapToGrid w:val="0"/>
          <w:spacing w:val="-4"/>
          <w:kern w:val="0"/>
        </w:rPr>
        <w:t>》</w:t>
      </w:r>
      <w:r>
        <w:t>，截止</w:t>
      </w:r>
      <w:r>
        <w:t>2011</w:t>
      </w:r>
      <w:r>
        <w:t>年</w:t>
      </w:r>
      <w:r>
        <w:t>3</w:t>
      </w:r>
      <w:r>
        <w:t>月底，矿井备案储量二</w:t>
      </w:r>
      <w:r>
        <w:rPr>
          <w:rFonts w:eastAsia="新宋体"/>
          <w:kern w:val="0"/>
          <w:vertAlign w:val="subscript"/>
        </w:rPr>
        <w:t>1</w:t>
      </w:r>
      <w:r>
        <w:t>、</w:t>
      </w:r>
      <w:r>
        <w:rPr>
          <w:snapToGrid w:val="0"/>
          <w:spacing w:val="2"/>
          <w:kern w:val="0"/>
        </w:rPr>
        <w:t>四</w:t>
      </w:r>
      <w:r>
        <w:rPr>
          <w:snapToGrid w:val="0"/>
          <w:spacing w:val="2"/>
          <w:kern w:val="0"/>
          <w:vertAlign w:val="subscript"/>
        </w:rPr>
        <w:t>2</w:t>
      </w:r>
      <w:r>
        <w:t>煤层资源储量总计</w:t>
      </w:r>
      <w:r>
        <w:t>860.6</w:t>
      </w:r>
      <w:r>
        <w:t>万吨，其中，保有资源储量</w:t>
      </w:r>
      <w:r>
        <w:t>795.6</w:t>
      </w:r>
      <w:r>
        <w:t>万吨，含</w:t>
      </w:r>
      <w:r>
        <w:rPr>
          <w:spacing w:val="6"/>
        </w:rPr>
        <w:t>（</w:t>
      </w:r>
      <w:r>
        <w:rPr>
          <w:spacing w:val="6"/>
        </w:rPr>
        <w:t>111b</w:t>
      </w:r>
      <w:r>
        <w:rPr>
          <w:spacing w:val="6"/>
        </w:rPr>
        <w:t>）为</w:t>
      </w:r>
      <w:r>
        <w:rPr>
          <w:spacing w:val="6"/>
        </w:rPr>
        <w:t>609.7</w:t>
      </w:r>
      <w:r>
        <w:rPr>
          <w:spacing w:val="6"/>
        </w:rPr>
        <w:t>万吨，（</w:t>
      </w:r>
      <w:r>
        <w:rPr>
          <w:spacing w:val="6"/>
        </w:rPr>
        <w:t>333</w:t>
      </w:r>
      <w:r>
        <w:rPr>
          <w:spacing w:val="6"/>
        </w:rPr>
        <w:t>）</w:t>
      </w:r>
      <w:r>
        <w:rPr>
          <w:spacing w:val="6"/>
        </w:rPr>
        <w:t>185.9</w:t>
      </w:r>
      <w:r>
        <w:rPr>
          <w:spacing w:val="6"/>
        </w:rPr>
        <w:t>万吨</w:t>
      </w:r>
      <w:r>
        <w:t>，动用资源储量</w:t>
      </w:r>
      <w:r>
        <w:rPr>
          <w:spacing w:val="6"/>
        </w:rPr>
        <w:t>（</w:t>
      </w:r>
      <w:r>
        <w:rPr>
          <w:spacing w:val="6"/>
        </w:rPr>
        <w:t>111b</w:t>
      </w:r>
      <w:r>
        <w:rPr>
          <w:spacing w:val="6"/>
        </w:rPr>
        <w:t>）</w:t>
      </w:r>
      <w:r>
        <w:t>65.0</w:t>
      </w:r>
      <w:r>
        <w:t>万吨。设计经计算全矿井工业资源</w:t>
      </w:r>
      <w:r>
        <w:t>/</w:t>
      </w:r>
      <w:r>
        <w:t>储量</w:t>
      </w:r>
      <w:r>
        <w:t>=609.7+185.9×0.8=758.4</w:t>
      </w:r>
      <w:r>
        <w:t>万</w:t>
      </w:r>
      <w:r>
        <w:t>t</w:t>
      </w:r>
      <w:r>
        <w:t>。设计资源储量为</w:t>
      </w:r>
      <w:r>
        <w:t>650.3</w:t>
      </w:r>
      <w:r>
        <w:t>万</w:t>
      </w:r>
      <w:r>
        <w:t>t</w:t>
      </w:r>
      <w:r>
        <w:t>。设计可采储量</w:t>
      </w:r>
      <w:r>
        <w:t>486.98</w:t>
      </w:r>
      <w:r>
        <w:t>万</w:t>
      </w:r>
      <w:r>
        <w:t>t</w:t>
      </w:r>
      <w:r>
        <w:t>。详见表</w:t>
      </w:r>
      <w:r>
        <w:t>3.2-</w:t>
      </w:r>
      <w:r w:rsidR="00A71D25">
        <w:rPr>
          <w:rFonts w:hint="eastAsia"/>
        </w:rPr>
        <w:t>3</w:t>
      </w:r>
      <w:r>
        <w:t>。</w:t>
      </w:r>
    </w:p>
    <w:p w:rsidR="00240BCE" w:rsidRDefault="00AC0334">
      <w:pPr>
        <w:spacing w:line="520" w:lineRule="exact"/>
        <w:jc w:val="center"/>
        <w:rPr>
          <w:sz w:val="24"/>
        </w:rPr>
      </w:pPr>
      <w:r>
        <w:rPr>
          <w:b/>
          <w:sz w:val="24"/>
        </w:rPr>
        <w:t>表</w:t>
      </w:r>
      <w:r>
        <w:rPr>
          <w:b/>
          <w:sz w:val="24"/>
        </w:rPr>
        <w:t>3.2-</w:t>
      </w:r>
      <w:r w:rsidR="00A71D25">
        <w:rPr>
          <w:rFonts w:hint="eastAsia"/>
          <w:b/>
          <w:sz w:val="24"/>
        </w:rPr>
        <w:t>3</w:t>
      </w:r>
      <w:r>
        <w:rPr>
          <w:b/>
          <w:sz w:val="24"/>
        </w:rPr>
        <w:t xml:space="preserve">  </w:t>
      </w:r>
      <w:r>
        <w:rPr>
          <w:b/>
          <w:bCs/>
          <w:sz w:val="24"/>
        </w:rPr>
        <w:t>矿井可采储量汇总表（</w:t>
      </w:r>
      <w:r>
        <w:rPr>
          <w:sz w:val="24"/>
        </w:rPr>
        <w:t>单位万</w:t>
      </w:r>
      <w:r>
        <w:rPr>
          <w:rFonts w:eastAsia="黑体"/>
          <w:sz w:val="24"/>
        </w:rPr>
        <w:t>t</w:t>
      </w:r>
      <w:r>
        <w:rPr>
          <w:b/>
          <w:bCs/>
          <w:sz w:val="24"/>
        </w:rPr>
        <w:t>）</w:t>
      </w:r>
    </w:p>
    <w:tbl>
      <w:tblPr>
        <w:tblW w:w="5000" w:type="pct"/>
        <w:tblInd w:w="-10" w:type="dxa"/>
        <w:tblCellMar>
          <w:left w:w="0" w:type="dxa"/>
          <w:right w:w="0" w:type="dxa"/>
        </w:tblCellMar>
        <w:tblLook w:val="04A0"/>
      </w:tblPr>
      <w:tblGrid>
        <w:gridCol w:w="683"/>
        <w:gridCol w:w="682"/>
        <w:gridCol w:w="682"/>
        <w:gridCol w:w="682"/>
        <w:gridCol w:w="682"/>
        <w:gridCol w:w="682"/>
        <w:gridCol w:w="684"/>
        <w:gridCol w:w="682"/>
        <w:gridCol w:w="682"/>
        <w:gridCol w:w="682"/>
        <w:gridCol w:w="794"/>
        <w:gridCol w:w="907"/>
      </w:tblGrid>
      <w:tr w:rsidR="00240BCE">
        <w:tc>
          <w:tcPr>
            <w:tcW w:w="401" w:type="pct"/>
            <w:vMerge w:val="restart"/>
            <w:tcBorders>
              <w:top w:val="single" w:sz="8" w:space="0" w:color="auto"/>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煤层</w:t>
            </w:r>
          </w:p>
        </w:tc>
        <w:tc>
          <w:tcPr>
            <w:tcW w:w="400" w:type="pct"/>
            <w:vMerge w:val="restart"/>
            <w:tcBorders>
              <w:top w:val="single" w:sz="8" w:space="0" w:color="auto"/>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保有地质资源储量</w:t>
            </w:r>
          </w:p>
        </w:tc>
        <w:tc>
          <w:tcPr>
            <w:tcW w:w="400" w:type="pct"/>
            <w:vMerge w:val="restart"/>
            <w:tcBorders>
              <w:top w:val="single" w:sz="8" w:space="0" w:color="auto"/>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工业资源量</w:t>
            </w:r>
          </w:p>
        </w:tc>
        <w:tc>
          <w:tcPr>
            <w:tcW w:w="1601" w:type="pct"/>
            <w:gridSpan w:val="4"/>
            <w:tcBorders>
              <w:top w:val="single" w:sz="8" w:space="0" w:color="auto"/>
              <w:left w:val="nil"/>
              <w:bottom w:val="single" w:sz="8" w:space="0" w:color="auto"/>
              <w:right w:val="single" w:sz="8" w:space="0" w:color="000000"/>
            </w:tcBorders>
            <w:vAlign w:val="center"/>
          </w:tcPr>
          <w:p w:rsidR="00240BCE" w:rsidRDefault="00AC0334">
            <w:pPr>
              <w:widowControl/>
              <w:spacing w:line="340" w:lineRule="exact"/>
              <w:jc w:val="center"/>
              <w:rPr>
                <w:kern w:val="0"/>
                <w:sz w:val="21"/>
                <w:szCs w:val="21"/>
              </w:rPr>
            </w:pPr>
            <w:r>
              <w:rPr>
                <w:kern w:val="0"/>
                <w:sz w:val="21"/>
                <w:szCs w:val="21"/>
              </w:rPr>
              <w:t>永久煤柱损失</w:t>
            </w:r>
          </w:p>
        </w:tc>
        <w:tc>
          <w:tcPr>
            <w:tcW w:w="400" w:type="pct"/>
            <w:vMerge w:val="restart"/>
            <w:tcBorders>
              <w:top w:val="single" w:sz="8" w:space="0" w:color="auto"/>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设计资源量</w:t>
            </w:r>
          </w:p>
        </w:tc>
        <w:tc>
          <w:tcPr>
            <w:tcW w:w="800" w:type="pct"/>
            <w:gridSpan w:val="2"/>
            <w:tcBorders>
              <w:top w:val="single" w:sz="8" w:space="0" w:color="auto"/>
              <w:left w:val="nil"/>
              <w:bottom w:val="single" w:sz="8" w:space="0" w:color="auto"/>
              <w:right w:val="single" w:sz="8" w:space="0" w:color="000000"/>
            </w:tcBorders>
            <w:vAlign w:val="center"/>
          </w:tcPr>
          <w:p w:rsidR="00240BCE" w:rsidRDefault="00AC0334">
            <w:pPr>
              <w:widowControl/>
              <w:spacing w:line="340" w:lineRule="exact"/>
              <w:jc w:val="center"/>
              <w:rPr>
                <w:kern w:val="0"/>
                <w:sz w:val="21"/>
                <w:szCs w:val="21"/>
              </w:rPr>
            </w:pPr>
            <w:r>
              <w:rPr>
                <w:kern w:val="0"/>
                <w:sz w:val="21"/>
                <w:szCs w:val="21"/>
              </w:rPr>
              <w:t>井筒</w:t>
            </w:r>
          </w:p>
        </w:tc>
        <w:tc>
          <w:tcPr>
            <w:tcW w:w="466" w:type="pct"/>
            <w:vMerge w:val="restart"/>
            <w:tcBorders>
              <w:top w:val="single" w:sz="8" w:space="0" w:color="auto"/>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开采损失</w:t>
            </w:r>
          </w:p>
        </w:tc>
        <w:tc>
          <w:tcPr>
            <w:tcW w:w="532" w:type="pct"/>
            <w:vMerge w:val="restart"/>
            <w:tcBorders>
              <w:top w:val="single" w:sz="8" w:space="0" w:color="auto"/>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设计可采储量</w:t>
            </w:r>
          </w:p>
        </w:tc>
      </w:tr>
      <w:tr w:rsidR="00240BCE">
        <w:trPr>
          <w:trHeight w:val="340"/>
        </w:trPr>
        <w:tc>
          <w:tcPr>
            <w:tcW w:w="401"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val="restart"/>
            <w:tcBorders>
              <w:top w:val="nil"/>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边界</w:t>
            </w:r>
          </w:p>
        </w:tc>
        <w:tc>
          <w:tcPr>
            <w:tcW w:w="400" w:type="pct"/>
            <w:vMerge w:val="restart"/>
            <w:tcBorders>
              <w:top w:val="nil"/>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老空区及露头</w:t>
            </w:r>
          </w:p>
        </w:tc>
        <w:tc>
          <w:tcPr>
            <w:tcW w:w="400" w:type="pct"/>
            <w:vMerge w:val="restart"/>
            <w:tcBorders>
              <w:top w:val="nil"/>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断层</w:t>
            </w:r>
          </w:p>
        </w:tc>
        <w:tc>
          <w:tcPr>
            <w:tcW w:w="400" w:type="pct"/>
            <w:vMerge w:val="restart"/>
            <w:tcBorders>
              <w:top w:val="nil"/>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小计</w:t>
            </w:r>
          </w:p>
        </w:tc>
        <w:tc>
          <w:tcPr>
            <w:tcW w:w="400"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val="restart"/>
            <w:tcBorders>
              <w:top w:val="nil"/>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井筒</w:t>
            </w:r>
          </w:p>
        </w:tc>
        <w:tc>
          <w:tcPr>
            <w:tcW w:w="400" w:type="pct"/>
            <w:vMerge w:val="restart"/>
            <w:tcBorders>
              <w:top w:val="nil"/>
              <w:left w:val="single" w:sz="8" w:space="0" w:color="auto"/>
              <w:bottom w:val="single" w:sz="8" w:space="0" w:color="000000"/>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小计</w:t>
            </w:r>
          </w:p>
        </w:tc>
        <w:tc>
          <w:tcPr>
            <w:tcW w:w="466"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532"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r>
      <w:tr w:rsidR="00240BCE">
        <w:trPr>
          <w:trHeight w:val="340"/>
        </w:trPr>
        <w:tc>
          <w:tcPr>
            <w:tcW w:w="401"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nil"/>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nil"/>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nil"/>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nil"/>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nil"/>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00" w:type="pct"/>
            <w:vMerge/>
            <w:tcBorders>
              <w:top w:val="nil"/>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466"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c>
          <w:tcPr>
            <w:tcW w:w="532" w:type="pct"/>
            <w:vMerge/>
            <w:tcBorders>
              <w:top w:val="single" w:sz="8" w:space="0" w:color="auto"/>
              <w:left w:val="single" w:sz="8" w:space="0" w:color="auto"/>
              <w:bottom w:val="single" w:sz="8" w:space="0" w:color="000000"/>
              <w:right w:val="single" w:sz="8" w:space="0" w:color="auto"/>
            </w:tcBorders>
            <w:vAlign w:val="center"/>
          </w:tcPr>
          <w:p w:rsidR="00240BCE" w:rsidRDefault="00240BCE">
            <w:pPr>
              <w:widowControl/>
              <w:spacing w:line="340" w:lineRule="exact"/>
              <w:jc w:val="center"/>
              <w:rPr>
                <w:kern w:val="0"/>
                <w:sz w:val="21"/>
                <w:szCs w:val="21"/>
              </w:rPr>
            </w:pPr>
          </w:p>
        </w:tc>
      </w:tr>
      <w:tr w:rsidR="00240BCE">
        <w:tc>
          <w:tcPr>
            <w:tcW w:w="401" w:type="pct"/>
            <w:tcBorders>
              <w:top w:val="nil"/>
              <w:left w:val="single" w:sz="8" w:space="0" w:color="auto"/>
              <w:bottom w:val="single" w:sz="8" w:space="0" w:color="auto"/>
              <w:right w:val="single" w:sz="8" w:space="0" w:color="auto"/>
            </w:tcBorders>
            <w:vAlign w:val="center"/>
          </w:tcPr>
          <w:p w:rsidR="00240BCE" w:rsidRDefault="00AC0334">
            <w:pPr>
              <w:widowControl/>
              <w:spacing w:line="340" w:lineRule="exact"/>
              <w:jc w:val="center"/>
              <w:rPr>
                <w:kern w:val="0"/>
                <w:sz w:val="21"/>
                <w:szCs w:val="21"/>
              </w:rPr>
            </w:pPr>
            <w:r>
              <w:rPr>
                <w:kern w:val="0"/>
                <w:sz w:val="21"/>
                <w:szCs w:val="21"/>
              </w:rPr>
              <w:t>二</w:t>
            </w:r>
            <w:r>
              <w:rPr>
                <w:rFonts w:eastAsia="新宋体"/>
                <w:kern w:val="0"/>
                <w:sz w:val="21"/>
                <w:szCs w:val="21"/>
                <w:vertAlign w:val="subscript"/>
              </w:rPr>
              <w:t>1</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761.1</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729.3</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26.4</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9.3</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67.6</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103.3</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626</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41.6</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41.6</w:t>
            </w:r>
          </w:p>
        </w:tc>
        <w:tc>
          <w:tcPr>
            <w:tcW w:w="466"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116.88</w:t>
            </w:r>
          </w:p>
        </w:tc>
        <w:tc>
          <w:tcPr>
            <w:tcW w:w="532"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467.52</w:t>
            </w:r>
          </w:p>
        </w:tc>
      </w:tr>
      <w:tr w:rsidR="00240BCE">
        <w:tc>
          <w:tcPr>
            <w:tcW w:w="401" w:type="pct"/>
            <w:tcBorders>
              <w:top w:val="nil"/>
              <w:left w:val="single" w:sz="8" w:space="0" w:color="auto"/>
              <w:bottom w:val="single" w:sz="8" w:space="0" w:color="auto"/>
              <w:right w:val="single" w:sz="8" w:space="0" w:color="auto"/>
            </w:tcBorders>
            <w:vAlign w:val="center"/>
          </w:tcPr>
          <w:p w:rsidR="00240BCE" w:rsidRDefault="00AC0334">
            <w:pPr>
              <w:widowControl/>
              <w:spacing w:line="340" w:lineRule="exact"/>
              <w:jc w:val="center"/>
              <w:rPr>
                <w:kern w:val="0"/>
                <w:sz w:val="21"/>
                <w:szCs w:val="21"/>
              </w:rPr>
            </w:pPr>
            <w:r>
              <w:rPr>
                <w:snapToGrid w:val="0"/>
                <w:spacing w:val="2"/>
                <w:kern w:val="0"/>
                <w:sz w:val="21"/>
                <w:szCs w:val="21"/>
              </w:rPr>
              <w:t>四</w:t>
            </w:r>
            <w:r>
              <w:rPr>
                <w:snapToGrid w:val="0"/>
                <w:spacing w:val="2"/>
                <w:kern w:val="0"/>
                <w:sz w:val="21"/>
                <w:szCs w:val="21"/>
                <w:vertAlign w:val="subscript"/>
              </w:rPr>
              <w:t>2</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34.5</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29.1</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0.3</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1.3</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3.2</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4.8</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24.3</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1.4</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1.4</w:t>
            </w:r>
          </w:p>
        </w:tc>
        <w:tc>
          <w:tcPr>
            <w:tcW w:w="466"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4.58</w:t>
            </w:r>
          </w:p>
        </w:tc>
        <w:tc>
          <w:tcPr>
            <w:tcW w:w="532"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19.46</w:t>
            </w:r>
          </w:p>
        </w:tc>
      </w:tr>
      <w:tr w:rsidR="00240BCE">
        <w:tc>
          <w:tcPr>
            <w:tcW w:w="401" w:type="pct"/>
            <w:tcBorders>
              <w:top w:val="nil"/>
              <w:left w:val="single" w:sz="8" w:space="0" w:color="auto"/>
              <w:bottom w:val="single" w:sz="8" w:space="0" w:color="auto"/>
              <w:right w:val="single" w:sz="8" w:space="0" w:color="auto"/>
            </w:tcBorders>
            <w:vAlign w:val="center"/>
          </w:tcPr>
          <w:p w:rsidR="00240BCE" w:rsidRDefault="00AC0334">
            <w:pPr>
              <w:widowControl/>
              <w:spacing w:line="340" w:lineRule="exact"/>
              <w:jc w:val="center"/>
              <w:rPr>
                <w:b/>
                <w:bCs/>
                <w:kern w:val="0"/>
                <w:sz w:val="21"/>
                <w:szCs w:val="21"/>
              </w:rPr>
            </w:pPr>
            <w:r>
              <w:rPr>
                <w:b/>
                <w:bCs/>
                <w:kern w:val="0"/>
                <w:sz w:val="21"/>
                <w:szCs w:val="21"/>
              </w:rPr>
              <w:t>合计</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795.6</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758.4</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26.7</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10.6</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70.8</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108.1</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sz w:val="21"/>
                <w:szCs w:val="21"/>
              </w:rPr>
            </w:pPr>
            <w:r>
              <w:rPr>
                <w:sz w:val="21"/>
                <w:szCs w:val="21"/>
              </w:rPr>
              <w:t>650.3</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43</w:t>
            </w:r>
          </w:p>
        </w:tc>
        <w:tc>
          <w:tcPr>
            <w:tcW w:w="400"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43</w:t>
            </w:r>
          </w:p>
        </w:tc>
        <w:tc>
          <w:tcPr>
            <w:tcW w:w="466"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121.46</w:t>
            </w:r>
          </w:p>
        </w:tc>
        <w:tc>
          <w:tcPr>
            <w:tcW w:w="532" w:type="pct"/>
            <w:tcBorders>
              <w:top w:val="nil"/>
              <w:left w:val="nil"/>
              <w:bottom w:val="single" w:sz="8" w:space="0" w:color="auto"/>
              <w:right w:val="single" w:sz="8" w:space="0" w:color="auto"/>
            </w:tcBorders>
            <w:vAlign w:val="center"/>
          </w:tcPr>
          <w:p w:rsidR="00240BCE" w:rsidRDefault="00AC0334">
            <w:pPr>
              <w:spacing w:line="340" w:lineRule="exact"/>
              <w:jc w:val="center"/>
              <w:rPr>
                <w:b/>
                <w:bCs/>
                <w:sz w:val="21"/>
                <w:szCs w:val="21"/>
              </w:rPr>
            </w:pPr>
            <w:r>
              <w:rPr>
                <w:b/>
                <w:bCs/>
                <w:sz w:val="21"/>
                <w:szCs w:val="21"/>
              </w:rPr>
              <w:t>486.98</w:t>
            </w:r>
          </w:p>
        </w:tc>
      </w:tr>
    </w:tbl>
    <w:p w:rsidR="00240BCE" w:rsidRDefault="00AC0334">
      <w:pPr>
        <w:spacing w:line="520" w:lineRule="exact"/>
        <w:ind w:firstLineChars="200" w:firstLine="488"/>
        <w:rPr>
          <w:spacing w:val="2"/>
          <w:sz w:val="24"/>
        </w:rPr>
      </w:pPr>
      <w:r>
        <w:rPr>
          <w:spacing w:val="2"/>
          <w:sz w:val="24"/>
        </w:rPr>
        <w:t>2</w:t>
      </w:r>
      <w:r>
        <w:rPr>
          <w:spacing w:val="2"/>
          <w:sz w:val="24"/>
        </w:rPr>
        <w:t>、煤层及煤质</w:t>
      </w:r>
    </w:p>
    <w:p w:rsidR="00240BCE" w:rsidRDefault="00AC0334">
      <w:pPr>
        <w:spacing w:line="520" w:lineRule="exact"/>
        <w:ind w:firstLineChars="200" w:firstLine="490"/>
        <w:rPr>
          <w:b/>
          <w:spacing w:val="2"/>
          <w:sz w:val="24"/>
        </w:rPr>
      </w:pPr>
      <w:r>
        <w:rPr>
          <w:b/>
          <w:spacing w:val="2"/>
          <w:sz w:val="24"/>
        </w:rPr>
        <w:t>1</w:t>
      </w:r>
      <w:r>
        <w:rPr>
          <w:b/>
          <w:spacing w:val="2"/>
          <w:sz w:val="24"/>
        </w:rPr>
        <w:t>）煤层</w:t>
      </w:r>
    </w:p>
    <w:p w:rsidR="00240BCE" w:rsidRDefault="00B95226" w:rsidP="00DB51A2">
      <w:pPr>
        <w:spacing w:line="520" w:lineRule="exact"/>
        <w:ind w:firstLineChars="200" w:firstLine="480"/>
        <w:rPr>
          <w:spacing w:val="2"/>
          <w:sz w:val="24"/>
        </w:rPr>
      </w:pPr>
      <w:r>
        <w:rPr>
          <w:spacing w:val="2"/>
          <w:sz w:val="24"/>
        </w:rPr>
        <w:lastRenderedPageBreak/>
        <w:fldChar w:fldCharType="begin"/>
      </w:r>
      <w:r w:rsidR="00AC0334">
        <w:rPr>
          <w:spacing w:val="2"/>
          <w:sz w:val="24"/>
        </w:rPr>
        <w:instrText xml:space="preserve"> = 1 \* GB3 </w:instrText>
      </w:r>
      <w:r>
        <w:rPr>
          <w:spacing w:val="2"/>
          <w:sz w:val="24"/>
        </w:rPr>
        <w:fldChar w:fldCharType="separate"/>
      </w:r>
      <w:r w:rsidR="00AC0334">
        <w:rPr>
          <w:spacing w:val="2"/>
          <w:sz w:val="24"/>
        </w:rPr>
        <w:t>①</w:t>
      </w:r>
      <w:r>
        <w:rPr>
          <w:spacing w:val="2"/>
          <w:sz w:val="24"/>
        </w:rPr>
        <w:fldChar w:fldCharType="end"/>
      </w:r>
      <w:r w:rsidR="00AC0334">
        <w:rPr>
          <w:spacing w:val="2"/>
          <w:sz w:val="24"/>
        </w:rPr>
        <w:t>含煤性</w:t>
      </w:r>
    </w:p>
    <w:p w:rsidR="00240BCE" w:rsidRDefault="00AC0334">
      <w:pPr>
        <w:spacing w:line="520" w:lineRule="exact"/>
        <w:ind w:firstLineChars="200" w:firstLine="488"/>
        <w:rPr>
          <w:spacing w:val="2"/>
          <w:sz w:val="24"/>
        </w:rPr>
      </w:pPr>
      <w:r>
        <w:rPr>
          <w:spacing w:val="2"/>
          <w:sz w:val="24"/>
        </w:rPr>
        <w:t>本区含煤地层为石炭系上统及二叠系山西组、上、下石盒子组，总厚约</w:t>
      </w:r>
      <w:r>
        <w:rPr>
          <w:spacing w:val="2"/>
          <w:sz w:val="24"/>
        </w:rPr>
        <w:t>697.66m</w:t>
      </w:r>
      <w:r>
        <w:rPr>
          <w:spacing w:val="2"/>
          <w:sz w:val="24"/>
        </w:rPr>
        <w:t>。分为九个煤段，共含煤</w:t>
      </w:r>
      <w:r>
        <w:rPr>
          <w:spacing w:val="2"/>
          <w:sz w:val="24"/>
        </w:rPr>
        <w:t>26</w:t>
      </w:r>
      <w:r>
        <w:rPr>
          <w:spacing w:val="2"/>
          <w:sz w:val="24"/>
        </w:rPr>
        <w:t>层。煤层总厚</w:t>
      </w:r>
      <w:r>
        <w:rPr>
          <w:spacing w:val="2"/>
          <w:sz w:val="24"/>
        </w:rPr>
        <w:t>7.20m</w:t>
      </w:r>
      <w:r>
        <w:rPr>
          <w:spacing w:val="2"/>
          <w:sz w:val="24"/>
        </w:rPr>
        <w:t>，含煤系数</w:t>
      </w:r>
      <w:r>
        <w:rPr>
          <w:spacing w:val="2"/>
          <w:sz w:val="24"/>
        </w:rPr>
        <w:t>1.03%</w:t>
      </w:r>
      <w:r>
        <w:rPr>
          <w:spacing w:val="2"/>
          <w:sz w:val="24"/>
        </w:rPr>
        <w:t>，根据本区钻孔及井巷揭露各煤层情况，二</w:t>
      </w:r>
      <w:r>
        <w:rPr>
          <w:spacing w:val="2"/>
          <w:sz w:val="24"/>
          <w:vertAlign w:val="subscript"/>
        </w:rPr>
        <w:t>1</w:t>
      </w:r>
      <w:r>
        <w:rPr>
          <w:spacing w:val="2"/>
          <w:sz w:val="24"/>
        </w:rPr>
        <w:t>煤层全区可采；四</w:t>
      </w:r>
      <w:r>
        <w:rPr>
          <w:spacing w:val="2"/>
          <w:sz w:val="24"/>
          <w:vertAlign w:val="subscript"/>
        </w:rPr>
        <w:t>2</w:t>
      </w:r>
      <w:r>
        <w:rPr>
          <w:spacing w:val="2"/>
          <w:sz w:val="24"/>
        </w:rPr>
        <w:t>煤层局部可采，其余煤层均不可采。可采煤层厚度</w:t>
      </w:r>
      <w:r>
        <w:rPr>
          <w:spacing w:val="2"/>
          <w:sz w:val="24"/>
        </w:rPr>
        <w:t>3.69m</w:t>
      </w:r>
      <w:r>
        <w:rPr>
          <w:spacing w:val="2"/>
          <w:sz w:val="24"/>
        </w:rPr>
        <w:t>，可采含煤系数为</w:t>
      </w:r>
      <w:r>
        <w:rPr>
          <w:spacing w:val="2"/>
          <w:sz w:val="24"/>
        </w:rPr>
        <w:t>0.53%</w:t>
      </w:r>
      <w:r>
        <w:rPr>
          <w:spacing w:val="2"/>
          <w:sz w:val="24"/>
        </w:rPr>
        <w:t>。</w:t>
      </w:r>
    </w:p>
    <w:p w:rsidR="00240BCE" w:rsidRDefault="00B95226" w:rsidP="00DB51A2">
      <w:pPr>
        <w:spacing w:line="520" w:lineRule="exact"/>
        <w:ind w:firstLineChars="200" w:firstLine="480"/>
        <w:rPr>
          <w:spacing w:val="2"/>
          <w:sz w:val="24"/>
        </w:rPr>
      </w:pPr>
      <w:r>
        <w:rPr>
          <w:spacing w:val="2"/>
          <w:sz w:val="24"/>
        </w:rPr>
        <w:fldChar w:fldCharType="begin"/>
      </w:r>
      <w:r w:rsidR="00AC0334">
        <w:rPr>
          <w:spacing w:val="2"/>
          <w:sz w:val="24"/>
        </w:rPr>
        <w:instrText xml:space="preserve"> = 2 \* GB3 </w:instrText>
      </w:r>
      <w:r>
        <w:rPr>
          <w:spacing w:val="2"/>
          <w:sz w:val="24"/>
        </w:rPr>
        <w:fldChar w:fldCharType="separate"/>
      </w:r>
      <w:r w:rsidR="00AC0334">
        <w:rPr>
          <w:spacing w:val="2"/>
          <w:sz w:val="24"/>
        </w:rPr>
        <w:t>②</w:t>
      </w:r>
      <w:r>
        <w:rPr>
          <w:spacing w:val="2"/>
          <w:sz w:val="24"/>
        </w:rPr>
        <w:fldChar w:fldCharType="end"/>
      </w:r>
      <w:r w:rsidR="00AC0334">
        <w:rPr>
          <w:spacing w:val="2"/>
          <w:sz w:val="24"/>
        </w:rPr>
        <w:t>可采煤层</w:t>
      </w:r>
    </w:p>
    <w:p w:rsidR="00240BCE" w:rsidRDefault="00AC0334">
      <w:pPr>
        <w:spacing w:line="520" w:lineRule="exact"/>
        <w:ind w:firstLineChars="200" w:firstLine="488"/>
        <w:rPr>
          <w:spacing w:val="2"/>
          <w:sz w:val="24"/>
        </w:rPr>
      </w:pPr>
      <w:r>
        <w:rPr>
          <w:spacing w:val="2"/>
          <w:sz w:val="24"/>
        </w:rPr>
        <w:t>二</w:t>
      </w:r>
      <w:r>
        <w:rPr>
          <w:spacing w:val="2"/>
          <w:sz w:val="24"/>
          <w:vertAlign w:val="subscript"/>
        </w:rPr>
        <w:t>1</w:t>
      </w:r>
      <w:r>
        <w:rPr>
          <w:spacing w:val="2"/>
          <w:sz w:val="24"/>
        </w:rPr>
        <w:t>、四</w:t>
      </w:r>
      <w:r>
        <w:rPr>
          <w:spacing w:val="2"/>
          <w:sz w:val="24"/>
          <w:vertAlign w:val="subscript"/>
        </w:rPr>
        <w:t>2</w:t>
      </w:r>
      <w:r>
        <w:rPr>
          <w:spacing w:val="2"/>
          <w:sz w:val="24"/>
        </w:rPr>
        <w:t>煤层为本次勘查的对象，二</w:t>
      </w:r>
      <w:r>
        <w:rPr>
          <w:spacing w:val="2"/>
          <w:sz w:val="24"/>
          <w:vertAlign w:val="subscript"/>
        </w:rPr>
        <w:t>1</w:t>
      </w:r>
      <w:r>
        <w:rPr>
          <w:spacing w:val="2"/>
          <w:sz w:val="24"/>
        </w:rPr>
        <w:t>煤层位于二叠系山西组下部大占砂岩之下。下距</w:t>
      </w:r>
      <w:r>
        <w:rPr>
          <w:spacing w:val="2"/>
          <w:sz w:val="24"/>
        </w:rPr>
        <w:t>L</w:t>
      </w:r>
      <w:r>
        <w:rPr>
          <w:spacing w:val="2"/>
          <w:sz w:val="24"/>
          <w:vertAlign w:val="subscript"/>
        </w:rPr>
        <w:t>7</w:t>
      </w:r>
      <w:r>
        <w:rPr>
          <w:spacing w:val="2"/>
          <w:sz w:val="24"/>
        </w:rPr>
        <w:t>灰岩顶界</w:t>
      </w:r>
      <w:r>
        <w:rPr>
          <w:spacing w:val="2"/>
          <w:sz w:val="24"/>
        </w:rPr>
        <w:t>25.31m</w:t>
      </w:r>
      <w:r>
        <w:rPr>
          <w:spacing w:val="2"/>
          <w:sz w:val="24"/>
        </w:rPr>
        <w:t>，上距香炭砂岩及砂锅窑砂岩底界分别为</w:t>
      </w:r>
      <w:r>
        <w:rPr>
          <w:spacing w:val="2"/>
          <w:sz w:val="24"/>
        </w:rPr>
        <w:t>17.82m</w:t>
      </w:r>
      <w:r>
        <w:rPr>
          <w:spacing w:val="2"/>
          <w:sz w:val="24"/>
        </w:rPr>
        <w:t>、</w:t>
      </w:r>
      <w:r>
        <w:rPr>
          <w:spacing w:val="2"/>
          <w:sz w:val="24"/>
        </w:rPr>
        <w:t>52.46m</w:t>
      </w:r>
      <w:r>
        <w:rPr>
          <w:spacing w:val="2"/>
          <w:sz w:val="24"/>
        </w:rPr>
        <w:t>。四</w:t>
      </w:r>
      <w:r>
        <w:rPr>
          <w:spacing w:val="2"/>
          <w:sz w:val="24"/>
          <w:vertAlign w:val="subscript"/>
        </w:rPr>
        <w:t>2</w:t>
      </w:r>
      <w:r>
        <w:rPr>
          <w:spacing w:val="2"/>
          <w:sz w:val="24"/>
        </w:rPr>
        <w:t>煤层下距砂锅窑砂岩顶界</w:t>
      </w:r>
      <w:r>
        <w:rPr>
          <w:spacing w:val="2"/>
          <w:sz w:val="24"/>
        </w:rPr>
        <w:t>100.33m</w:t>
      </w:r>
      <w:r>
        <w:rPr>
          <w:spacing w:val="2"/>
          <w:sz w:val="24"/>
        </w:rPr>
        <w:t>，上距田家沟砂岩</w:t>
      </w:r>
      <w:r>
        <w:rPr>
          <w:spacing w:val="2"/>
          <w:sz w:val="24"/>
        </w:rPr>
        <w:t>203.55m</w:t>
      </w:r>
      <w:r>
        <w:rPr>
          <w:spacing w:val="2"/>
          <w:sz w:val="24"/>
        </w:rPr>
        <w:t>。</w:t>
      </w:r>
    </w:p>
    <w:p w:rsidR="00240BCE" w:rsidRDefault="00AC0334">
      <w:pPr>
        <w:spacing w:line="520" w:lineRule="exact"/>
        <w:ind w:firstLineChars="200" w:firstLine="488"/>
        <w:rPr>
          <w:spacing w:val="2"/>
          <w:sz w:val="24"/>
        </w:rPr>
      </w:pPr>
      <w:r>
        <w:rPr>
          <w:spacing w:val="2"/>
          <w:sz w:val="24"/>
        </w:rPr>
        <w:t>区内二</w:t>
      </w:r>
      <w:r>
        <w:rPr>
          <w:spacing w:val="2"/>
          <w:sz w:val="24"/>
          <w:vertAlign w:val="subscript"/>
        </w:rPr>
        <w:t>1</w:t>
      </w:r>
      <w:r>
        <w:rPr>
          <w:spacing w:val="2"/>
          <w:sz w:val="24"/>
        </w:rPr>
        <w:t>煤层赋存标高</w:t>
      </w:r>
      <w:r>
        <w:rPr>
          <w:spacing w:val="2"/>
          <w:sz w:val="24"/>
        </w:rPr>
        <w:t>+280</w:t>
      </w:r>
      <w:r>
        <w:rPr>
          <w:spacing w:val="2"/>
          <w:sz w:val="24"/>
        </w:rPr>
        <w:t>～</w:t>
      </w:r>
      <w:r>
        <w:rPr>
          <w:spacing w:val="2"/>
          <w:sz w:val="24"/>
        </w:rPr>
        <w:t>-497m</w:t>
      </w:r>
      <w:r>
        <w:rPr>
          <w:spacing w:val="2"/>
          <w:sz w:val="24"/>
        </w:rPr>
        <w:t>，煤厚</w:t>
      </w:r>
      <w:r>
        <w:rPr>
          <w:spacing w:val="2"/>
          <w:sz w:val="24"/>
        </w:rPr>
        <w:t>0.72</w:t>
      </w:r>
      <w:r>
        <w:rPr>
          <w:spacing w:val="2"/>
          <w:sz w:val="24"/>
        </w:rPr>
        <w:t>～</w:t>
      </w:r>
      <w:r>
        <w:rPr>
          <w:spacing w:val="2"/>
          <w:sz w:val="24"/>
        </w:rPr>
        <w:t>5.15m</w:t>
      </w:r>
      <w:r>
        <w:rPr>
          <w:spacing w:val="2"/>
          <w:sz w:val="24"/>
        </w:rPr>
        <w:t>，平均煤厚</w:t>
      </w:r>
      <w:r>
        <w:rPr>
          <w:spacing w:val="2"/>
          <w:sz w:val="24"/>
        </w:rPr>
        <w:t>2.93m</w:t>
      </w:r>
      <w:r>
        <w:rPr>
          <w:spacing w:val="2"/>
          <w:sz w:val="24"/>
        </w:rPr>
        <w:t>，属于中厚煤层。层位稳定，全区可采。煤层结构简单，偶含夹矸一层，具短距离增厚变薄现象，煤层稳定程度属较稳定型。二</w:t>
      </w:r>
      <w:r>
        <w:rPr>
          <w:spacing w:val="2"/>
          <w:sz w:val="24"/>
          <w:vertAlign w:val="subscript"/>
        </w:rPr>
        <w:t>1</w:t>
      </w:r>
      <w:r>
        <w:rPr>
          <w:spacing w:val="2"/>
          <w:sz w:val="24"/>
        </w:rPr>
        <w:t>煤层直接顶板为中、细粒砂岩，次为砂质泥岩、泥岩；直接底板为泥岩、砂质泥岩及粉砂岩。</w:t>
      </w:r>
    </w:p>
    <w:p w:rsidR="00240BCE" w:rsidRDefault="00AC0334">
      <w:pPr>
        <w:spacing w:line="520" w:lineRule="exact"/>
        <w:ind w:firstLineChars="200" w:firstLine="488"/>
        <w:rPr>
          <w:spacing w:val="2"/>
          <w:sz w:val="24"/>
        </w:rPr>
      </w:pPr>
      <w:r>
        <w:rPr>
          <w:spacing w:val="2"/>
          <w:sz w:val="24"/>
        </w:rPr>
        <w:t>区内四</w:t>
      </w:r>
      <w:r>
        <w:rPr>
          <w:spacing w:val="2"/>
          <w:sz w:val="24"/>
          <w:vertAlign w:val="subscript"/>
        </w:rPr>
        <w:t>2</w:t>
      </w:r>
      <w:r>
        <w:rPr>
          <w:spacing w:val="2"/>
          <w:sz w:val="24"/>
        </w:rPr>
        <w:t>煤层赋存标高</w:t>
      </w:r>
      <w:r>
        <w:rPr>
          <w:spacing w:val="2"/>
          <w:sz w:val="24"/>
        </w:rPr>
        <w:t>+298</w:t>
      </w:r>
      <w:r>
        <w:rPr>
          <w:spacing w:val="2"/>
          <w:sz w:val="24"/>
        </w:rPr>
        <w:t>～</w:t>
      </w:r>
      <w:r>
        <w:rPr>
          <w:spacing w:val="2"/>
          <w:sz w:val="24"/>
        </w:rPr>
        <w:t>+50m</w:t>
      </w:r>
      <w:r>
        <w:rPr>
          <w:spacing w:val="2"/>
          <w:sz w:val="24"/>
        </w:rPr>
        <w:t>，煤厚</w:t>
      </w:r>
      <w:r>
        <w:rPr>
          <w:spacing w:val="2"/>
          <w:sz w:val="24"/>
        </w:rPr>
        <w:t>0</w:t>
      </w:r>
      <w:r>
        <w:rPr>
          <w:spacing w:val="2"/>
          <w:sz w:val="24"/>
        </w:rPr>
        <w:t>～</w:t>
      </w:r>
      <w:r>
        <w:rPr>
          <w:spacing w:val="2"/>
          <w:sz w:val="24"/>
        </w:rPr>
        <w:t>1.30m</w:t>
      </w:r>
      <w:r>
        <w:rPr>
          <w:spacing w:val="2"/>
          <w:sz w:val="24"/>
        </w:rPr>
        <w:t>，平均煤厚</w:t>
      </w:r>
      <w:r>
        <w:rPr>
          <w:spacing w:val="2"/>
          <w:sz w:val="24"/>
        </w:rPr>
        <w:t>0.81m</w:t>
      </w:r>
      <w:r>
        <w:rPr>
          <w:spacing w:val="2"/>
          <w:sz w:val="24"/>
        </w:rPr>
        <w:t>，为薄煤层。层位较稳定，局部可采。煤层结构简单，偶含夹矸一层，煤厚变化较大，煤层稳定程度属不稳定型。煤层直接顶板为泥岩、砂质泥岩，间接顶板为中、细粒砂岩，直接底板为泥岩、砂质泥岩，间接底板为中、细粒砂岩。</w:t>
      </w:r>
    </w:p>
    <w:p w:rsidR="00240BCE" w:rsidRDefault="00AC0334">
      <w:pPr>
        <w:spacing w:line="520" w:lineRule="exact"/>
        <w:ind w:firstLineChars="200" w:firstLine="490"/>
        <w:rPr>
          <w:b/>
          <w:spacing w:val="2"/>
          <w:sz w:val="24"/>
        </w:rPr>
      </w:pPr>
      <w:r>
        <w:rPr>
          <w:b/>
          <w:spacing w:val="2"/>
          <w:sz w:val="24"/>
        </w:rPr>
        <w:t>2</w:t>
      </w:r>
      <w:r>
        <w:rPr>
          <w:b/>
          <w:spacing w:val="2"/>
          <w:sz w:val="24"/>
        </w:rPr>
        <w:t>）煤质</w:t>
      </w:r>
    </w:p>
    <w:p w:rsidR="00240BCE" w:rsidRDefault="00AC0334">
      <w:pPr>
        <w:spacing w:line="520" w:lineRule="exact"/>
        <w:ind w:firstLineChars="200" w:firstLine="488"/>
        <w:rPr>
          <w:spacing w:val="2"/>
          <w:sz w:val="24"/>
        </w:rPr>
      </w:pPr>
      <w:bookmarkStart w:id="253" w:name="_Toc148013257"/>
      <w:bookmarkStart w:id="254" w:name="_Toc309720004"/>
      <w:r>
        <w:rPr>
          <w:spacing w:val="2"/>
          <w:sz w:val="24"/>
        </w:rPr>
        <w:t>（</w:t>
      </w:r>
      <w:r>
        <w:rPr>
          <w:spacing w:val="2"/>
          <w:sz w:val="24"/>
        </w:rPr>
        <w:t>1</w:t>
      </w:r>
      <w:r>
        <w:rPr>
          <w:spacing w:val="2"/>
          <w:sz w:val="24"/>
        </w:rPr>
        <w:t>）物理性质和煤岩特征</w:t>
      </w:r>
      <w:bookmarkStart w:id="255" w:name="_Toc148013258"/>
      <w:bookmarkEnd w:id="253"/>
      <w:bookmarkEnd w:id="254"/>
    </w:p>
    <w:p w:rsidR="00240BCE" w:rsidRDefault="00AC0334">
      <w:pPr>
        <w:spacing w:line="520" w:lineRule="exact"/>
        <w:ind w:firstLineChars="200" w:firstLine="488"/>
        <w:rPr>
          <w:spacing w:val="2"/>
          <w:sz w:val="24"/>
        </w:rPr>
      </w:pPr>
      <w:r>
        <w:rPr>
          <w:spacing w:val="2"/>
          <w:sz w:val="24"/>
        </w:rPr>
        <w:t>二</w:t>
      </w:r>
      <w:r>
        <w:rPr>
          <w:spacing w:val="2"/>
          <w:sz w:val="24"/>
          <w:vertAlign w:val="subscript"/>
        </w:rPr>
        <w:t>1</w:t>
      </w:r>
      <w:r>
        <w:rPr>
          <w:spacing w:val="2"/>
          <w:sz w:val="24"/>
        </w:rPr>
        <w:t>煤层呈深黑色，条痕深黑色，煤的原生结构遭破坏，以粉状产出，主要粒度小于</w:t>
      </w:r>
      <w:r>
        <w:rPr>
          <w:spacing w:val="2"/>
          <w:sz w:val="24"/>
        </w:rPr>
        <w:t>1mm</w:t>
      </w:r>
      <w:r>
        <w:rPr>
          <w:spacing w:val="2"/>
          <w:sz w:val="24"/>
        </w:rPr>
        <w:t>，属以糜棱煤为主的构造煤。煤层中可见大量揉皱及揉皱镜面，煤的强度极低，指压即碎。煤的视密度平均</w:t>
      </w:r>
      <w:r>
        <w:rPr>
          <w:spacing w:val="2"/>
          <w:sz w:val="24"/>
        </w:rPr>
        <w:t>1.38t/m</w:t>
      </w:r>
      <w:r>
        <w:rPr>
          <w:spacing w:val="2"/>
          <w:sz w:val="24"/>
          <w:vertAlign w:val="superscript"/>
        </w:rPr>
        <w:t>3</w:t>
      </w:r>
      <w:r>
        <w:rPr>
          <w:spacing w:val="2"/>
          <w:sz w:val="24"/>
        </w:rPr>
        <w:t>，真密度</w:t>
      </w:r>
      <w:r>
        <w:rPr>
          <w:spacing w:val="2"/>
          <w:sz w:val="24"/>
        </w:rPr>
        <w:t>1.48 t/m</w:t>
      </w:r>
      <w:r>
        <w:rPr>
          <w:spacing w:val="2"/>
          <w:sz w:val="24"/>
          <w:vertAlign w:val="superscript"/>
        </w:rPr>
        <w:t>3</w:t>
      </w:r>
      <w:r>
        <w:rPr>
          <w:spacing w:val="2"/>
          <w:sz w:val="24"/>
        </w:rPr>
        <w:t>。</w:t>
      </w:r>
    </w:p>
    <w:p w:rsidR="00240BCE" w:rsidRDefault="00AC0334">
      <w:pPr>
        <w:spacing w:line="520" w:lineRule="exact"/>
        <w:ind w:firstLineChars="200" w:firstLine="488"/>
        <w:rPr>
          <w:spacing w:val="2"/>
          <w:sz w:val="24"/>
        </w:rPr>
      </w:pPr>
      <w:r>
        <w:rPr>
          <w:spacing w:val="2"/>
          <w:sz w:val="24"/>
        </w:rPr>
        <w:t>据显微煤岩定量分析，二</w:t>
      </w:r>
      <w:r>
        <w:rPr>
          <w:spacing w:val="2"/>
          <w:sz w:val="24"/>
          <w:vertAlign w:val="subscript"/>
        </w:rPr>
        <w:t>1</w:t>
      </w:r>
      <w:r>
        <w:rPr>
          <w:spacing w:val="2"/>
          <w:sz w:val="24"/>
        </w:rPr>
        <w:t>煤有机组分平均</w:t>
      </w:r>
      <w:r>
        <w:rPr>
          <w:spacing w:val="2"/>
          <w:sz w:val="24"/>
        </w:rPr>
        <w:t>83.9%</w:t>
      </w:r>
      <w:r>
        <w:rPr>
          <w:spacing w:val="2"/>
          <w:sz w:val="24"/>
        </w:rPr>
        <w:t>，其中镜质组</w:t>
      </w:r>
      <w:r>
        <w:rPr>
          <w:spacing w:val="2"/>
          <w:sz w:val="24"/>
        </w:rPr>
        <w:t>65.8%</w:t>
      </w:r>
      <w:r>
        <w:rPr>
          <w:spacing w:val="2"/>
          <w:sz w:val="24"/>
        </w:rPr>
        <w:t>；半镜质组</w:t>
      </w:r>
      <w:r>
        <w:rPr>
          <w:spacing w:val="2"/>
          <w:sz w:val="24"/>
        </w:rPr>
        <w:t>6.3%</w:t>
      </w:r>
      <w:r>
        <w:rPr>
          <w:spacing w:val="2"/>
          <w:sz w:val="24"/>
        </w:rPr>
        <w:t>，丝质组</w:t>
      </w:r>
      <w:r>
        <w:rPr>
          <w:spacing w:val="2"/>
          <w:sz w:val="24"/>
        </w:rPr>
        <w:t>11.8%</w:t>
      </w:r>
      <w:r>
        <w:rPr>
          <w:spacing w:val="2"/>
          <w:sz w:val="24"/>
        </w:rPr>
        <w:t>。无机组分平均</w:t>
      </w:r>
      <w:r>
        <w:rPr>
          <w:spacing w:val="2"/>
          <w:sz w:val="24"/>
        </w:rPr>
        <w:t>16.0%</w:t>
      </w:r>
      <w:r>
        <w:rPr>
          <w:spacing w:val="2"/>
          <w:sz w:val="24"/>
        </w:rPr>
        <w:t>。其中粘土类</w:t>
      </w:r>
      <w:r>
        <w:rPr>
          <w:spacing w:val="2"/>
          <w:sz w:val="24"/>
        </w:rPr>
        <w:t>15.1%</w:t>
      </w:r>
      <w:r>
        <w:rPr>
          <w:spacing w:val="2"/>
          <w:sz w:val="24"/>
        </w:rPr>
        <w:t>，碳酸盐类</w:t>
      </w:r>
      <w:r>
        <w:rPr>
          <w:spacing w:val="2"/>
          <w:sz w:val="24"/>
        </w:rPr>
        <w:t>0.9%</w:t>
      </w:r>
      <w:r>
        <w:rPr>
          <w:spacing w:val="2"/>
          <w:sz w:val="24"/>
        </w:rPr>
        <w:t>，硫化物及氧化物微量。镜煤平均最大反射率（</w:t>
      </w:r>
      <w:r>
        <w:rPr>
          <w:spacing w:val="2"/>
          <w:sz w:val="24"/>
        </w:rPr>
        <w:t>R</w:t>
      </w:r>
      <w:r>
        <w:rPr>
          <w:spacing w:val="2"/>
          <w:sz w:val="24"/>
          <w:vertAlign w:val="subscript"/>
        </w:rPr>
        <w:t>o</w:t>
      </w:r>
      <w:r>
        <w:rPr>
          <w:spacing w:val="2"/>
          <w:sz w:val="24"/>
          <w:vertAlign w:val="subscript"/>
        </w:rPr>
        <w:t>，</w:t>
      </w:r>
      <w:r>
        <w:rPr>
          <w:spacing w:val="2"/>
          <w:sz w:val="24"/>
          <w:vertAlign w:val="subscript"/>
        </w:rPr>
        <w:t>max</w:t>
      </w:r>
      <w:r>
        <w:rPr>
          <w:spacing w:val="2"/>
          <w:sz w:val="24"/>
        </w:rPr>
        <w:t>）</w:t>
      </w:r>
      <w:r>
        <w:rPr>
          <w:spacing w:val="2"/>
          <w:sz w:val="24"/>
        </w:rPr>
        <w:t>2.04%</w:t>
      </w:r>
      <w:r>
        <w:rPr>
          <w:spacing w:val="2"/>
          <w:sz w:val="24"/>
        </w:rPr>
        <w:t>。</w:t>
      </w:r>
    </w:p>
    <w:p w:rsidR="00240BCE" w:rsidRDefault="00AC0334">
      <w:pPr>
        <w:spacing w:line="520" w:lineRule="exact"/>
        <w:ind w:firstLineChars="200" w:firstLine="488"/>
        <w:rPr>
          <w:spacing w:val="2"/>
          <w:sz w:val="24"/>
        </w:rPr>
      </w:pPr>
      <w:r>
        <w:rPr>
          <w:spacing w:val="2"/>
          <w:sz w:val="24"/>
        </w:rPr>
        <w:t>四</w:t>
      </w:r>
      <w:r>
        <w:rPr>
          <w:spacing w:val="2"/>
          <w:sz w:val="24"/>
          <w:vertAlign w:val="subscript"/>
        </w:rPr>
        <w:t>2</w:t>
      </w:r>
      <w:r>
        <w:rPr>
          <w:spacing w:val="2"/>
          <w:sz w:val="24"/>
        </w:rPr>
        <w:t>煤层呈黑色，条痕黑色，煤岩组分主要由亮煤及暗煤组成，条带状结构，</w:t>
      </w:r>
      <w:r>
        <w:rPr>
          <w:spacing w:val="2"/>
          <w:sz w:val="24"/>
        </w:rPr>
        <w:lastRenderedPageBreak/>
        <w:t>间夹镜煤线理及泥质条带，层状构造，煤岩类型属半亮型，受后期构造作用影响，煤层中可见揉皱镜面及滑面，视密度为</w:t>
      </w:r>
      <w:r>
        <w:rPr>
          <w:spacing w:val="2"/>
          <w:sz w:val="24"/>
        </w:rPr>
        <w:t>1.40t/m</w:t>
      </w:r>
      <w:r>
        <w:rPr>
          <w:spacing w:val="2"/>
          <w:sz w:val="24"/>
          <w:vertAlign w:val="superscript"/>
        </w:rPr>
        <w:t>3</w:t>
      </w:r>
      <w:r>
        <w:rPr>
          <w:spacing w:val="2"/>
          <w:sz w:val="24"/>
        </w:rPr>
        <w:t>。</w:t>
      </w:r>
    </w:p>
    <w:p w:rsidR="00240BCE" w:rsidRDefault="00AC0334">
      <w:pPr>
        <w:spacing w:line="520" w:lineRule="exact"/>
        <w:ind w:firstLineChars="200" w:firstLine="488"/>
        <w:rPr>
          <w:spacing w:val="2"/>
          <w:sz w:val="24"/>
        </w:rPr>
      </w:pPr>
      <w:bookmarkStart w:id="256" w:name="_Toc309720005"/>
      <w:r>
        <w:rPr>
          <w:spacing w:val="2"/>
          <w:sz w:val="24"/>
        </w:rPr>
        <w:t>（</w:t>
      </w:r>
      <w:r>
        <w:rPr>
          <w:spacing w:val="2"/>
          <w:sz w:val="24"/>
        </w:rPr>
        <w:t>2</w:t>
      </w:r>
      <w:r>
        <w:rPr>
          <w:spacing w:val="2"/>
          <w:sz w:val="24"/>
        </w:rPr>
        <w:t>）煤的化学性质</w:t>
      </w:r>
      <w:bookmarkEnd w:id="255"/>
      <w:bookmarkEnd w:id="256"/>
    </w:p>
    <w:p w:rsidR="00240BCE" w:rsidRDefault="00B95226" w:rsidP="00DB51A2">
      <w:pPr>
        <w:spacing w:line="520" w:lineRule="exact"/>
        <w:ind w:firstLineChars="200" w:firstLine="480"/>
        <w:rPr>
          <w:spacing w:val="2"/>
          <w:sz w:val="24"/>
        </w:rPr>
      </w:pPr>
      <w:r>
        <w:rPr>
          <w:spacing w:val="2"/>
          <w:sz w:val="24"/>
        </w:rPr>
        <w:fldChar w:fldCharType="begin"/>
      </w:r>
      <w:r w:rsidR="00AC0334">
        <w:rPr>
          <w:spacing w:val="2"/>
          <w:sz w:val="24"/>
        </w:rPr>
        <w:instrText xml:space="preserve"> = 1 \* GB3 </w:instrText>
      </w:r>
      <w:r>
        <w:rPr>
          <w:spacing w:val="2"/>
          <w:sz w:val="24"/>
        </w:rPr>
        <w:fldChar w:fldCharType="separate"/>
      </w:r>
      <w:r w:rsidR="00AC0334">
        <w:rPr>
          <w:spacing w:val="2"/>
          <w:sz w:val="24"/>
        </w:rPr>
        <w:t>①</w:t>
      </w:r>
      <w:r>
        <w:rPr>
          <w:spacing w:val="2"/>
          <w:sz w:val="24"/>
        </w:rPr>
        <w:fldChar w:fldCharType="end"/>
      </w:r>
      <w:r w:rsidR="00AC0334">
        <w:rPr>
          <w:spacing w:val="2"/>
          <w:sz w:val="24"/>
        </w:rPr>
        <w:t>灰分（</w:t>
      </w:r>
      <w:r w:rsidR="00AC0334">
        <w:rPr>
          <w:spacing w:val="2"/>
          <w:sz w:val="24"/>
        </w:rPr>
        <w:t>Ad</w:t>
      </w:r>
      <w:r w:rsidR="00AC0334">
        <w:rPr>
          <w:spacing w:val="2"/>
          <w:sz w:val="24"/>
        </w:rPr>
        <w:t>）</w:t>
      </w:r>
    </w:p>
    <w:p w:rsidR="00240BCE" w:rsidRDefault="00AC0334">
      <w:pPr>
        <w:spacing w:line="520" w:lineRule="exact"/>
        <w:ind w:firstLineChars="200" w:firstLine="488"/>
        <w:rPr>
          <w:spacing w:val="2"/>
          <w:sz w:val="24"/>
        </w:rPr>
      </w:pPr>
      <w:r>
        <w:rPr>
          <w:spacing w:val="2"/>
          <w:sz w:val="24"/>
        </w:rPr>
        <w:t>二</w:t>
      </w:r>
      <w:r>
        <w:rPr>
          <w:spacing w:val="2"/>
          <w:sz w:val="24"/>
          <w:vertAlign w:val="subscript"/>
        </w:rPr>
        <w:t>1</w:t>
      </w:r>
      <w:r>
        <w:rPr>
          <w:spacing w:val="2"/>
          <w:sz w:val="24"/>
        </w:rPr>
        <w:t>煤层原煤灰分产率</w:t>
      </w:r>
      <w:r>
        <w:rPr>
          <w:spacing w:val="2"/>
          <w:sz w:val="24"/>
        </w:rPr>
        <w:t>13.43</w:t>
      </w:r>
      <w:r>
        <w:rPr>
          <w:spacing w:val="2"/>
          <w:sz w:val="24"/>
        </w:rPr>
        <w:t>～</w:t>
      </w:r>
      <w:r>
        <w:rPr>
          <w:spacing w:val="2"/>
          <w:sz w:val="24"/>
        </w:rPr>
        <w:t>19.97%</w:t>
      </w:r>
      <w:r>
        <w:rPr>
          <w:spacing w:val="2"/>
          <w:sz w:val="24"/>
        </w:rPr>
        <w:t>，平均</w:t>
      </w:r>
      <w:r>
        <w:rPr>
          <w:spacing w:val="2"/>
          <w:sz w:val="24"/>
        </w:rPr>
        <w:t>15.30%</w:t>
      </w:r>
      <w:r>
        <w:rPr>
          <w:spacing w:val="2"/>
          <w:sz w:val="24"/>
        </w:rPr>
        <w:t>，依据</w:t>
      </w:r>
      <w:r>
        <w:rPr>
          <w:spacing w:val="2"/>
          <w:sz w:val="24"/>
        </w:rPr>
        <w:t>GB/T15224.1-2004</w:t>
      </w:r>
      <w:r>
        <w:rPr>
          <w:spacing w:val="2"/>
          <w:sz w:val="24"/>
        </w:rPr>
        <w:t>标准动力煤灰分分级，属低灰分煤。</w:t>
      </w:r>
    </w:p>
    <w:p w:rsidR="00240BCE" w:rsidRDefault="00B95226" w:rsidP="00DB51A2">
      <w:pPr>
        <w:spacing w:line="520" w:lineRule="exact"/>
        <w:ind w:firstLineChars="200" w:firstLine="480"/>
        <w:rPr>
          <w:bCs/>
          <w:spacing w:val="2"/>
          <w:sz w:val="24"/>
        </w:rPr>
      </w:pPr>
      <w:r>
        <w:rPr>
          <w:spacing w:val="2"/>
          <w:sz w:val="24"/>
        </w:rPr>
        <w:fldChar w:fldCharType="begin"/>
      </w:r>
      <w:r w:rsidR="00AC0334">
        <w:rPr>
          <w:spacing w:val="2"/>
          <w:sz w:val="24"/>
        </w:rPr>
        <w:instrText xml:space="preserve"> = 2 \* GB3 </w:instrText>
      </w:r>
      <w:r>
        <w:rPr>
          <w:spacing w:val="2"/>
          <w:sz w:val="24"/>
        </w:rPr>
        <w:fldChar w:fldCharType="separate"/>
      </w:r>
      <w:r w:rsidR="00AC0334">
        <w:rPr>
          <w:spacing w:val="2"/>
          <w:sz w:val="24"/>
        </w:rPr>
        <w:t>②</w:t>
      </w:r>
      <w:r>
        <w:rPr>
          <w:spacing w:val="2"/>
          <w:sz w:val="24"/>
        </w:rPr>
        <w:fldChar w:fldCharType="end"/>
      </w:r>
      <w:r w:rsidR="00AC0334">
        <w:rPr>
          <w:bCs/>
          <w:spacing w:val="2"/>
          <w:sz w:val="24"/>
        </w:rPr>
        <w:t>挥发分（</w:t>
      </w:r>
      <w:r w:rsidR="00AC0334">
        <w:rPr>
          <w:spacing w:val="2"/>
          <w:sz w:val="24"/>
        </w:rPr>
        <w:t>V</w:t>
      </w:r>
      <w:r w:rsidR="00AC0334">
        <w:rPr>
          <w:spacing w:val="2"/>
          <w:sz w:val="24"/>
          <w:vertAlign w:val="subscript"/>
        </w:rPr>
        <w:t>daf</w:t>
      </w:r>
      <w:r w:rsidR="00AC0334">
        <w:rPr>
          <w:bCs/>
          <w:spacing w:val="2"/>
          <w:sz w:val="24"/>
        </w:rPr>
        <w:t>）</w:t>
      </w:r>
    </w:p>
    <w:p w:rsidR="00240BCE" w:rsidRDefault="00AC0334">
      <w:pPr>
        <w:spacing w:line="520" w:lineRule="exact"/>
        <w:ind w:firstLineChars="200" w:firstLine="488"/>
        <w:rPr>
          <w:spacing w:val="2"/>
          <w:sz w:val="24"/>
        </w:rPr>
      </w:pPr>
      <w:r>
        <w:rPr>
          <w:spacing w:val="2"/>
          <w:sz w:val="24"/>
        </w:rPr>
        <w:t>二</w:t>
      </w:r>
      <w:r>
        <w:rPr>
          <w:spacing w:val="2"/>
          <w:sz w:val="24"/>
          <w:vertAlign w:val="subscript"/>
        </w:rPr>
        <w:t>1</w:t>
      </w:r>
      <w:r>
        <w:rPr>
          <w:spacing w:val="2"/>
          <w:sz w:val="24"/>
        </w:rPr>
        <w:t>煤层浮煤干燥无灰基挥发分（</w:t>
      </w:r>
      <w:r>
        <w:rPr>
          <w:spacing w:val="2"/>
          <w:sz w:val="24"/>
        </w:rPr>
        <w:t>V</w:t>
      </w:r>
      <w:r>
        <w:rPr>
          <w:spacing w:val="2"/>
          <w:sz w:val="24"/>
          <w:vertAlign w:val="subscript"/>
        </w:rPr>
        <w:t>daf</w:t>
      </w:r>
      <w:r>
        <w:rPr>
          <w:spacing w:val="2"/>
          <w:sz w:val="24"/>
        </w:rPr>
        <w:t>）两极值为</w:t>
      </w:r>
      <w:r>
        <w:rPr>
          <w:spacing w:val="2"/>
          <w:sz w:val="24"/>
        </w:rPr>
        <w:t>13.37</w:t>
      </w:r>
      <w:r>
        <w:rPr>
          <w:spacing w:val="2"/>
          <w:sz w:val="24"/>
        </w:rPr>
        <w:t>～</w:t>
      </w:r>
      <w:r>
        <w:rPr>
          <w:spacing w:val="2"/>
          <w:sz w:val="24"/>
        </w:rPr>
        <w:t>15.70%</w:t>
      </w:r>
      <w:r>
        <w:rPr>
          <w:spacing w:val="2"/>
          <w:sz w:val="24"/>
        </w:rPr>
        <w:t>，平均为</w:t>
      </w:r>
      <w:r>
        <w:rPr>
          <w:spacing w:val="2"/>
          <w:sz w:val="24"/>
        </w:rPr>
        <w:t>14.62%</w:t>
      </w:r>
      <w:r>
        <w:rPr>
          <w:spacing w:val="2"/>
          <w:sz w:val="24"/>
        </w:rPr>
        <w:t>。</w:t>
      </w:r>
    </w:p>
    <w:p w:rsidR="00240BCE" w:rsidRDefault="00AC0334">
      <w:pPr>
        <w:spacing w:line="520" w:lineRule="exact"/>
        <w:ind w:firstLineChars="200" w:firstLine="488"/>
        <w:rPr>
          <w:spacing w:val="2"/>
          <w:sz w:val="24"/>
        </w:rPr>
      </w:pPr>
      <w:r>
        <w:rPr>
          <w:spacing w:val="2"/>
          <w:sz w:val="24"/>
        </w:rPr>
        <w:t>四</w:t>
      </w:r>
      <w:r>
        <w:rPr>
          <w:spacing w:val="2"/>
          <w:sz w:val="24"/>
          <w:vertAlign w:val="subscript"/>
        </w:rPr>
        <w:t>2</w:t>
      </w:r>
      <w:r>
        <w:rPr>
          <w:spacing w:val="2"/>
          <w:sz w:val="24"/>
        </w:rPr>
        <w:t>煤层浮煤挥发分（</w:t>
      </w:r>
      <w:r>
        <w:rPr>
          <w:spacing w:val="2"/>
          <w:sz w:val="24"/>
        </w:rPr>
        <w:t>V</w:t>
      </w:r>
      <w:r>
        <w:rPr>
          <w:spacing w:val="2"/>
          <w:sz w:val="24"/>
          <w:vertAlign w:val="subscript"/>
        </w:rPr>
        <w:t>daf</w:t>
      </w:r>
      <w:r>
        <w:rPr>
          <w:spacing w:val="2"/>
          <w:sz w:val="24"/>
        </w:rPr>
        <w:t>）两极值为</w:t>
      </w:r>
      <w:r>
        <w:rPr>
          <w:spacing w:val="2"/>
          <w:sz w:val="24"/>
        </w:rPr>
        <w:t>21.30</w:t>
      </w:r>
      <w:r>
        <w:rPr>
          <w:spacing w:val="2"/>
          <w:sz w:val="24"/>
        </w:rPr>
        <w:t>～</w:t>
      </w:r>
      <w:r>
        <w:rPr>
          <w:spacing w:val="2"/>
          <w:sz w:val="24"/>
        </w:rPr>
        <w:t>24.56%</w:t>
      </w:r>
      <w:r>
        <w:rPr>
          <w:spacing w:val="2"/>
          <w:sz w:val="24"/>
        </w:rPr>
        <w:t>，平均</w:t>
      </w:r>
      <w:r>
        <w:rPr>
          <w:spacing w:val="2"/>
          <w:sz w:val="24"/>
        </w:rPr>
        <w:t>22.30%</w:t>
      </w:r>
      <w:r>
        <w:rPr>
          <w:spacing w:val="2"/>
          <w:sz w:val="24"/>
        </w:rPr>
        <w:t>。</w:t>
      </w:r>
    </w:p>
    <w:p w:rsidR="00240BCE" w:rsidRDefault="00B95226" w:rsidP="00DB51A2">
      <w:pPr>
        <w:spacing w:line="520" w:lineRule="exact"/>
        <w:ind w:firstLineChars="200" w:firstLine="480"/>
        <w:rPr>
          <w:spacing w:val="2"/>
          <w:sz w:val="24"/>
        </w:rPr>
      </w:pPr>
      <w:r>
        <w:rPr>
          <w:spacing w:val="2"/>
          <w:sz w:val="24"/>
        </w:rPr>
        <w:fldChar w:fldCharType="begin"/>
      </w:r>
      <w:r w:rsidR="00AC0334">
        <w:rPr>
          <w:spacing w:val="2"/>
          <w:sz w:val="24"/>
        </w:rPr>
        <w:instrText xml:space="preserve"> = 3 \* GB3 </w:instrText>
      </w:r>
      <w:r>
        <w:rPr>
          <w:spacing w:val="2"/>
          <w:sz w:val="24"/>
        </w:rPr>
        <w:fldChar w:fldCharType="separate"/>
      </w:r>
      <w:r w:rsidR="00AC0334">
        <w:rPr>
          <w:spacing w:val="2"/>
          <w:sz w:val="24"/>
        </w:rPr>
        <w:t>③</w:t>
      </w:r>
      <w:r>
        <w:rPr>
          <w:spacing w:val="2"/>
          <w:sz w:val="24"/>
        </w:rPr>
        <w:fldChar w:fldCharType="end"/>
      </w:r>
      <w:r w:rsidR="00AC0334">
        <w:rPr>
          <w:spacing w:val="2"/>
          <w:sz w:val="24"/>
        </w:rPr>
        <w:t>硫分（</w:t>
      </w:r>
      <w:r w:rsidR="00AC0334">
        <w:rPr>
          <w:spacing w:val="2"/>
          <w:sz w:val="24"/>
        </w:rPr>
        <w:t>S</w:t>
      </w:r>
      <w:r w:rsidR="00AC0334">
        <w:rPr>
          <w:spacing w:val="2"/>
          <w:sz w:val="24"/>
          <w:vertAlign w:val="subscript"/>
        </w:rPr>
        <w:t>t</w:t>
      </w:r>
      <w:r w:rsidR="00AC0334">
        <w:rPr>
          <w:rFonts w:hint="eastAsia"/>
          <w:spacing w:val="2"/>
          <w:sz w:val="24"/>
          <w:vertAlign w:val="subscript"/>
        </w:rPr>
        <w:t>，</w:t>
      </w:r>
      <w:r w:rsidR="00AC0334">
        <w:rPr>
          <w:spacing w:val="2"/>
          <w:sz w:val="24"/>
          <w:vertAlign w:val="subscript"/>
        </w:rPr>
        <w:t>d</w:t>
      </w:r>
      <w:r w:rsidR="00AC0334">
        <w:rPr>
          <w:spacing w:val="2"/>
          <w:sz w:val="24"/>
        </w:rPr>
        <w:t>）</w:t>
      </w:r>
    </w:p>
    <w:p w:rsidR="00240BCE" w:rsidRDefault="00AC0334">
      <w:pPr>
        <w:spacing w:line="520" w:lineRule="exact"/>
        <w:ind w:firstLineChars="200" w:firstLine="488"/>
        <w:rPr>
          <w:spacing w:val="2"/>
          <w:sz w:val="24"/>
        </w:rPr>
      </w:pPr>
      <w:r>
        <w:rPr>
          <w:spacing w:val="2"/>
          <w:sz w:val="24"/>
        </w:rPr>
        <w:t>二</w:t>
      </w:r>
      <w:r>
        <w:rPr>
          <w:spacing w:val="2"/>
          <w:sz w:val="24"/>
          <w:vertAlign w:val="subscript"/>
        </w:rPr>
        <w:t>1</w:t>
      </w:r>
      <w:r>
        <w:rPr>
          <w:spacing w:val="2"/>
          <w:sz w:val="24"/>
        </w:rPr>
        <w:t>煤层原煤全硫含量两极值为</w:t>
      </w:r>
      <w:r>
        <w:rPr>
          <w:spacing w:val="2"/>
          <w:sz w:val="24"/>
        </w:rPr>
        <w:t>0.29</w:t>
      </w:r>
      <w:r>
        <w:rPr>
          <w:spacing w:val="2"/>
          <w:sz w:val="24"/>
        </w:rPr>
        <w:t>～</w:t>
      </w:r>
      <w:r>
        <w:rPr>
          <w:spacing w:val="2"/>
          <w:sz w:val="24"/>
        </w:rPr>
        <w:t>0.70%</w:t>
      </w:r>
      <w:r>
        <w:rPr>
          <w:spacing w:val="2"/>
          <w:sz w:val="24"/>
        </w:rPr>
        <w:t>，平均</w:t>
      </w:r>
      <w:r>
        <w:rPr>
          <w:spacing w:val="2"/>
          <w:sz w:val="24"/>
        </w:rPr>
        <w:t>0.44%</w:t>
      </w:r>
      <w:r>
        <w:rPr>
          <w:spacing w:val="2"/>
          <w:sz w:val="24"/>
        </w:rPr>
        <w:t>，依据</w:t>
      </w:r>
      <w:r>
        <w:rPr>
          <w:spacing w:val="2"/>
          <w:sz w:val="24"/>
        </w:rPr>
        <w:t>GB/T15224.2-2004</w:t>
      </w:r>
      <w:r>
        <w:rPr>
          <w:spacing w:val="2"/>
          <w:sz w:val="24"/>
        </w:rPr>
        <w:t>标准，属特低硫煤。经</w:t>
      </w:r>
      <w:r>
        <w:rPr>
          <w:spacing w:val="2"/>
          <w:sz w:val="24"/>
        </w:rPr>
        <w:t>1.40</w:t>
      </w:r>
      <w:r>
        <w:rPr>
          <w:spacing w:val="2"/>
          <w:sz w:val="24"/>
        </w:rPr>
        <w:t>密度液洗选，浮煤全硫平均为</w:t>
      </w:r>
      <w:r>
        <w:rPr>
          <w:spacing w:val="2"/>
          <w:sz w:val="24"/>
        </w:rPr>
        <w:t>0.31%</w:t>
      </w:r>
      <w:r>
        <w:rPr>
          <w:spacing w:val="2"/>
          <w:sz w:val="24"/>
        </w:rPr>
        <w:t>。</w:t>
      </w:r>
    </w:p>
    <w:p w:rsidR="00240BCE" w:rsidRDefault="00AC0334">
      <w:pPr>
        <w:spacing w:line="520" w:lineRule="exact"/>
        <w:ind w:firstLineChars="200" w:firstLine="488"/>
        <w:rPr>
          <w:spacing w:val="2"/>
          <w:sz w:val="24"/>
        </w:rPr>
      </w:pPr>
      <w:r>
        <w:rPr>
          <w:spacing w:val="2"/>
          <w:sz w:val="24"/>
        </w:rPr>
        <w:t>四</w:t>
      </w:r>
      <w:r>
        <w:rPr>
          <w:spacing w:val="2"/>
          <w:sz w:val="24"/>
          <w:vertAlign w:val="subscript"/>
        </w:rPr>
        <w:t>2</w:t>
      </w:r>
      <w:r>
        <w:rPr>
          <w:spacing w:val="2"/>
          <w:sz w:val="24"/>
        </w:rPr>
        <w:t>煤层原煤全硫平均</w:t>
      </w:r>
      <w:r>
        <w:rPr>
          <w:spacing w:val="2"/>
          <w:sz w:val="24"/>
        </w:rPr>
        <w:t>0.30%</w:t>
      </w:r>
      <w:r>
        <w:rPr>
          <w:spacing w:val="2"/>
          <w:sz w:val="24"/>
        </w:rPr>
        <w:t>，属特低硫煤。</w:t>
      </w:r>
    </w:p>
    <w:p w:rsidR="00240BCE" w:rsidRDefault="00B95226" w:rsidP="00DB51A2">
      <w:pPr>
        <w:spacing w:line="520" w:lineRule="exact"/>
        <w:ind w:firstLineChars="200" w:firstLine="480"/>
        <w:rPr>
          <w:spacing w:val="2"/>
          <w:sz w:val="24"/>
        </w:rPr>
      </w:pPr>
      <w:r>
        <w:rPr>
          <w:spacing w:val="2"/>
          <w:sz w:val="24"/>
        </w:rPr>
        <w:fldChar w:fldCharType="begin"/>
      </w:r>
      <w:r w:rsidR="00AC0334">
        <w:rPr>
          <w:spacing w:val="2"/>
          <w:sz w:val="24"/>
        </w:rPr>
        <w:instrText xml:space="preserve"> = 4 \* GB3 </w:instrText>
      </w:r>
      <w:r>
        <w:rPr>
          <w:spacing w:val="2"/>
          <w:sz w:val="24"/>
        </w:rPr>
        <w:fldChar w:fldCharType="separate"/>
      </w:r>
      <w:r w:rsidR="00AC0334">
        <w:rPr>
          <w:spacing w:val="2"/>
          <w:sz w:val="24"/>
        </w:rPr>
        <w:t>④</w:t>
      </w:r>
      <w:r>
        <w:rPr>
          <w:spacing w:val="2"/>
          <w:sz w:val="24"/>
        </w:rPr>
        <w:fldChar w:fldCharType="end"/>
      </w:r>
      <w:r w:rsidR="00AC0334">
        <w:rPr>
          <w:spacing w:val="2"/>
          <w:sz w:val="24"/>
        </w:rPr>
        <w:t>其它有害元素</w:t>
      </w:r>
    </w:p>
    <w:p w:rsidR="00240BCE" w:rsidRDefault="00AC0334">
      <w:pPr>
        <w:spacing w:line="520" w:lineRule="exact"/>
        <w:ind w:firstLineChars="200" w:firstLine="488"/>
        <w:rPr>
          <w:spacing w:val="2"/>
          <w:sz w:val="24"/>
        </w:rPr>
      </w:pPr>
      <w:r>
        <w:rPr>
          <w:spacing w:val="2"/>
          <w:sz w:val="24"/>
        </w:rPr>
        <w:t>二</w:t>
      </w:r>
      <w:r>
        <w:rPr>
          <w:spacing w:val="2"/>
          <w:sz w:val="24"/>
          <w:vertAlign w:val="subscript"/>
        </w:rPr>
        <w:t>1</w:t>
      </w:r>
      <w:r>
        <w:rPr>
          <w:spacing w:val="2"/>
          <w:sz w:val="24"/>
        </w:rPr>
        <w:t>煤层原煤磷（</w:t>
      </w:r>
      <w:r>
        <w:rPr>
          <w:spacing w:val="2"/>
          <w:sz w:val="24"/>
        </w:rPr>
        <w:t>Pd</w:t>
      </w:r>
      <w:r>
        <w:rPr>
          <w:spacing w:val="2"/>
          <w:sz w:val="24"/>
        </w:rPr>
        <w:t>）两极值为</w:t>
      </w:r>
      <w:r>
        <w:rPr>
          <w:spacing w:val="2"/>
          <w:sz w:val="24"/>
        </w:rPr>
        <w:t>0.003</w:t>
      </w:r>
      <w:r>
        <w:rPr>
          <w:spacing w:val="2"/>
          <w:sz w:val="24"/>
        </w:rPr>
        <w:t>～</w:t>
      </w:r>
      <w:r>
        <w:rPr>
          <w:spacing w:val="2"/>
          <w:sz w:val="24"/>
        </w:rPr>
        <w:t>0.021%</w:t>
      </w:r>
      <w:r>
        <w:rPr>
          <w:spacing w:val="2"/>
          <w:sz w:val="24"/>
        </w:rPr>
        <w:t>，平均</w:t>
      </w:r>
      <w:r>
        <w:rPr>
          <w:spacing w:val="2"/>
          <w:sz w:val="24"/>
        </w:rPr>
        <w:t>0.012%</w:t>
      </w:r>
      <w:r>
        <w:rPr>
          <w:spacing w:val="2"/>
          <w:sz w:val="24"/>
        </w:rPr>
        <w:t>。属低磷煤。砷（</w:t>
      </w:r>
      <w:r>
        <w:rPr>
          <w:spacing w:val="2"/>
          <w:sz w:val="24"/>
        </w:rPr>
        <w:t>As</w:t>
      </w:r>
      <w:r>
        <w:rPr>
          <w:spacing w:val="2"/>
          <w:sz w:val="24"/>
        </w:rPr>
        <w:t>）及氯（</w:t>
      </w:r>
      <w:r>
        <w:rPr>
          <w:spacing w:val="2"/>
          <w:sz w:val="24"/>
        </w:rPr>
        <w:t>Cl</w:t>
      </w:r>
      <w:r>
        <w:rPr>
          <w:spacing w:val="2"/>
          <w:sz w:val="24"/>
        </w:rPr>
        <w:t>）分别为</w:t>
      </w:r>
      <w:r>
        <w:rPr>
          <w:spacing w:val="2"/>
          <w:sz w:val="24"/>
        </w:rPr>
        <w:t>0.9ppm</w:t>
      </w:r>
      <w:r>
        <w:rPr>
          <w:spacing w:val="2"/>
          <w:sz w:val="24"/>
        </w:rPr>
        <w:t>及</w:t>
      </w:r>
      <w:r>
        <w:rPr>
          <w:spacing w:val="2"/>
          <w:sz w:val="24"/>
        </w:rPr>
        <w:t>0.039%</w:t>
      </w:r>
      <w:r>
        <w:rPr>
          <w:spacing w:val="2"/>
          <w:sz w:val="24"/>
        </w:rPr>
        <w:t>，含量甚微。</w:t>
      </w:r>
    </w:p>
    <w:p w:rsidR="00240BCE" w:rsidRDefault="00AC0334">
      <w:pPr>
        <w:spacing w:line="520" w:lineRule="exact"/>
        <w:ind w:firstLineChars="200" w:firstLine="488"/>
        <w:rPr>
          <w:spacing w:val="2"/>
          <w:sz w:val="24"/>
        </w:rPr>
      </w:pPr>
      <w:bookmarkStart w:id="257" w:name="_Toc309720006"/>
      <w:r>
        <w:rPr>
          <w:spacing w:val="2"/>
          <w:sz w:val="24"/>
        </w:rPr>
        <w:t>（</w:t>
      </w:r>
      <w:r>
        <w:rPr>
          <w:spacing w:val="2"/>
          <w:sz w:val="24"/>
        </w:rPr>
        <w:t>3</w:t>
      </w:r>
      <w:r>
        <w:rPr>
          <w:spacing w:val="2"/>
          <w:sz w:val="24"/>
        </w:rPr>
        <w:t>）煤的工艺性能</w:t>
      </w:r>
      <w:bookmarkEnd w:id="257"/>
    </w:p>
    <w:p w:rsidR="00240BCE" w:rsidRDefault="00AC0334">
      <w:pPr>
        <w:spacing w:line="520" w:lineRule="exact"/>
        <w:ind w:firstLineChars="200" w:firstLine="488"/>
        <w:rPr>
          <w:spacing w:val="2"/>
          <w:sz w:val="24"/>
        </w:rPr>
      </w:pPr>
      <w:bookmarkStart w:id="258" w:name="_Toc148013259"/>
      <w:r>
        <w:rPr>
          <w:spacing w:val="2"/>
          <w:sz w:val="24"/>
        </w:rPr>
        <w:t>经测试分析二</w:t>
      </w:r>
      <w:r>
        <w:rPr>
          <w:spacing w:val="2"/>
          <w:sz w:val="24"/>
          <w:vertAlign w:val="subscript"/>
        </w:rPr>
        <w:t>1</w:t>
      </w:r>
      <w:r>
        <w:rPr>
          <w:spacing w:val="2"/>
          <w:sz w:val="24"/>
        </w:rPr>
        <w:t>煤层原煤有机元素碳（</w:t>
      </w:r>
      <w:r>
        <w:rPr>
          <w:spacing w:val="2"/>
          <w:sz w:val="24"/>
        </w:rPr>
        <w:t>C</w:t>
      </w:r>
      <w:r>
        <w:rPr>
          <w:spacing w:val="2"/>
          <w:sz w:val="24"/>
          <w:vertAlign w:val="subscript"/>
        </w:rPr>
        <w:t>daf</w:t>
      </w:r>
      <w:r>
        <w:rPr>
          <w:spacing w:val="2"/>
          <w:sz w:val="24"/>
        </w:rPr>
        <w:t>）含量平均</w:t>
      </w:r>
      <w:r>
        <w:rPr>
          <w:spacing w:val="2"/>
          <w:sz w:val="24"/>
        </w:rPr>
        <w:t>89.96%</w:t>
      </w:r>
      <w:r>
        <w:rPr>
          <w:spacing w:val="2"/>
          <w:sz w:val="24"/>
        </w:rPr>
        <w:t>，氢（</w:t>
      </w:r>
      <w:r>
        <w:rPr>
          <w:spacing w:val="2"/>
          <w:sz w:val="24"/>
        </w:rPr>
        <w:t>Hdaf</w:t>
      </w:r>
      <w:r>
        <w:rPr>
          <w:spacing w:val="2"/>
          <w:sz w:val="24"/>
        </w:rPr>
        <w:t>）</w:t>
      </w:r>
      <w:r>
        <w:rPr>
          <w:spacing w:val="2"/>
          <w:sz w:val="24"/>
        </w:rPr>
        <w:t>4.12%</w:t>
      </w:r>
      <w:r>
        <w:rPr>
          <w:spacing w:val="2"/>
          <w:sz w:val="24"/>
        </w:rPr>
        <w:t>，氮（</w:t>
      </w:r>
      <w:r>
        <w:rPr>
          <w:spacing w:val="2"/>
          <w:sz w:val="24"/>
        </w:rPr>
        <w:t>Ndaf</w:t>
      </w:r>
      <w:r>
        <w:rPr>
          <w:spacing w:val="2"/>
          <w:sz w:val="24"/>
        </w:rPr>
        <w:t>）</w:t>
      </w:r>
      <w:r>
        <w:rPr>
          <w:spacing w:val="2"/>
          <w:sz w:val="24"/>
        </w:rPr>
        <w:t>1.56%</w:t>
      </w:r>
      <w:r>
        <w:rPr>
          <w:spacing w:val="2"/>
          <w:sz w:val="24"/>
        </w:rPr>
        <w:t>，氧和硫（</w:t>
      </w:r>
      <w:r>
        <w:rPr>
          <w:spacing w:val="2"/>
          <w:sz w:val="24"/>
        </w:rPr>
        <w:t>Odaf+Sdaf</w:t>
      </w:r>
      <w:r>
        <w:rPr>
          <w:spacing w:val="2"/>
          <w:sz w:val="24"/>
        </w:rPr>
        <w:t>）</w:t>
      </w:r>
      <w:r>
        <w:rPr>
          <w:spacing w:val="2"/>
          <w:sz w:val="24"/>
        </w:rPr>
        <w:t>4.36%</w:t>
      </w:r>
      <w:r>
        <w:rPr>
          <w:spacing w:val="2"/>
          <w:sz w:val="24"/>
        </w:rPr>
        <w:t>，经</w:t>
      </w:r>
      <w:r>
        <w:rPr>
          <w:spacing w:val="2"/>
          <w:sz w:val="24"/>
        </w:rPr>
        <w:t>1.4</w:t>
      </w:r>
      <w:r>
        <w:rPr>
          <w:spacing w:val="2"/>
          <w:sz w:val="24"/>
        </w:rPr>
        <w:t>密度液洗选后，浮煤有机元素碳（</w:t>
      </w:r>
      <w:r>
        <w:rPr>
          <w:spacing w:val="2"/>
          <w:sz w:val="24"/>
        </w:rPr>
        <w:t>Cdaf</w:t>
      </w:r>
      <w:r>
        <w:rPr>
          <w:spacing w:val="2"/>
          <w:sz w:val="24"/>
        </w:rPr>
        <w:t>）</w:t>
      </w:r>
      <w:r>
        <w:rPr>
          <w:spacing w:val="2"/>
          <w:sz w:val="24"/>
        </w:rPr>
        <w:t>91.14%</w:t>
      </w:r>
      <w:r>
        <w:rPr>
          <w:spacing w:val="2"/>
          <w:sz w:val="24"/>
        </w:rPr>
        <w:t>，氢（</w:t>
      </w:r>
      <w:r>
        <w:rPr>
          <w:spacing w:val="2"/>
          <w:sz w:val="24"/>
        </w:rPr>
        <w:t>H</w:t>
      </w:r>
      <w:r>
        <w:rPr>
          <w:spacing w:val="2"/>
          <w:sz w:val="24"/>
          <w:vertAlign w:val="subscript"/>
        </w:rPr>
        <w:t>daf</w:t>
      </w:r>
      <w:r>
        <w:rPr>
          <w:spacing w:val="2"/>
          <w:sz w:val="24"/>
        </w:rPr>
        <w:t>）</w:t>
      </w:r>
      <w:r>
        <w:rPr>
          <w:spacing w:val="2"/>
          <w:sz w:val="24"/>
        </w:rPr>
        <w:t>4.13%</w:t>
      </w:r>
      <w:r>
        <w:rPr>
          <w:spacing w:val="2"/>
          <w:sz w:val="24"/>
        </w:rPr>
        <w:t>，氮（</w:t>
      </w:r>
      <w:r>
        <w:rPr>
          <w:spacing w:val="2"/>
          <w:sz w:val="24"/>
        </w:rPr>
        <w:t>Ndaf</w:t>
      </w:r>
      <w:r>
        <w:rPr>
          <w:spacing w:val="2"/>
          <w:sz w:val="24"/>
        </w:rPr>
        <w:t>）</w:t>
      </w:r>
      <w:r>
        <w:rPr>
          <w:spacing w:val="2"/>
          <w:sz w:val="24"/>
        </w:rPr>
        <w:t>1.55%</w:t>
      </w:r>
      <w:r>
        <w:rPr>
          <w:spacing w:val="2"/>
          <w:sz w:val="24"/>
        </w:rPr>
        <w:t>，氧和硫（</w:t>
      </w:r>
      <w:r>
        <w:rPr>
          <w:spacing w:val="2"/>
          <w:sz w:val="24"/>
        </w:rPr>
        <w:t>O</w:t>
      </w:r>
      <w:r>
        <w:rPr>
          <w:spacing w:val="2"/>
          <w:sz w:val="24"/>
          <w:vertAlign w:val="subscript"/>
        </w:rPr>
        <w:t>daf</w:t>
      </w:r>
      <w:r>
        <w:rPr>
          <w:spacing w:val="2"/>
          <w:sz w:val="24"/>
        </w:rPr>
        <w:t>+S</w:t>
      </w:r>
      <w:r>
        <w:rPr>
          <w:spacing w:val="2"/>
          <w:sz w:val="24"/>
          <w:vertAlign w:val="subscript"/>
        </w:rPr>
        <w:t>daf</w:t>
      </w:r>
      <w:r>
        <w:rPr>
          <w:spacing w:val="2"/>
          <w:sz w:val="24"/>
        </w:rPr>
        <w:t>）之和为</w:t>
      </w:r>
      <w:r>
        <w:rPr>
          <w:spacing w:val="2"/>
          <w:sz w:val="24"/>
        </w:rPr>
        <w:t>3.18%</w:t>
      </w:r>
      <w:r>
        <w:rPr>
          <w:spacing w:val="2"/>
          <w:sz w:val="24"/>
        </w:rPr>
        <w:t>。</w:t>
      </w:r>
    </w:p>
    <w:p w:rsidR="00240BCE" w:rsidRDefault="00AC0334">
      <w:pPr>
        <w:spacing w:line="520" w:lineRule="exact"/>
        <w:ind w:firstLineChars="200" w:firstLine="488"/>
        <w:rPr>
          <w:spacing w:val="2"/>
          <w:sz w:val="24"/>
        </w:rPr>
      </w:pPr>
      <w:r>
        <w:rPr>
          <w:spacing w:val="2"/>
          <w:sz w:val="24"/>
        </w:rPr>
        <w:t>（</w:t>
      </w:r>
      <w:r>
        <w:rPr>
          <w:spacing w:val="2"/>
          <w:sz w:val="24"/>
        </w:rPr>
        <w:t>4</w:t>
      </w:r>
      <w:r>
        <w:rPr>
          <w:spacing w:val="2"/>
          <w:sz w:val="24"/>
        </w:rPr>
        <w:t>）发热量</w:t>
      </w:r>
    </w:p>
    <w:p w:rsidR="00240BCE" w:rsidRDefault="00AC0334">
      <w:pPr>
        <w:spacing w:line="520" w:lineRule="exact"/>
        <w:ind w:firstLineChars="200" w:firstLine="488"/>
        <w:rPr>
          <w:spacing w:val="2"/>
          <w:sz w:val="24"/>
        </w:rPr>
      </w:pPr>
      <w:r>
        <w:rPr>
          <w:spacing w:val="2"/>
          <w:sz w:val="24"/>
        </w:rPr>
        <w:t>二</w:t>
      </w:r>
      <w:r>
        <w:rPr>
          <w:spacing w:val="2"/>
          <w:sz w:val="24"/>
          <w:vertAlign w:val="subscript"/>
        </w:rPr>
        <w:t>1</w:t>
      </w:r>
      <w:r>
        <w:rPr>
          <w:spacing w:val="2"/>
          <w:sz w:val="24"/>
        </w:rPr>
        <w:t>煤层原煤干基高位发热量（</w:t>
      </w:r>
      <w:r>
        <w:rPr>
          <w:spacing w:val="2"/>
          <w:sz w:val="24"/>
        </w:rPr>
        <w:t>Q</w:t>
      </w:r>
      <w:r>
        <w:rPr>
          <w:spacing w:val="2"/>
          <w:sz w:val="24"/>
          <w:vertAlign w:val="subscript"/>
        </w:rPr>
        <w:t>gr</w:t>
      </w:r>
      <w:r>
        <w:rPr>
          <w:rFonts w:hint="eastAsia"/>
          <w:spacing w:val="2"/>
          <w:sz w:val="24"/>
          <w:vertAlign w:val="subscript"/>
        </w:rPr>
        <w:t>，</w:t>
      </w:r>
      <w:r>
        <w:rPr>
          <w:spacing w:val="2"/>
          <w:sz w:val="24"/>
          <w:vertAlign w:val="subscript"/>
        </w:rPr>
        <w:t>d</w:t>
      </w:r>
      <w:r>
        <w:rPr>
          <w:spacing w:val="2"/>
          <w:sz w:val="24"/>
        </w:rPr>
        <w:t>）两极值为</w:t>
      </w:r>
      <w:r>
        <w:rPr>
          <w:spacing w:val="2"/>
          <w:sz w:val="24"/>
        </w:rPr>
        <w:t>28.59</w:t>
      </w:r>
      <w:r>
        <w:rPr>
          <w:spacing w:val="2"/>
          <w:sz w:val="24"/>
        </w:rPr>
        <w:t>～</w:t>
      </w:r>
      <w:r>
        <w:rPr>
          <w:spacing w:val="2"/>
          <w:sz w:val="24"/>
        </w:rPr>
        <w:t>30.62MJ/kg</w:t>
      </w:r>
      <w:r>
        <w:rPr>
          <w:spacing w:val="2"/>
          <w:sz w:val="24"/>
        </w:rPr>
        <w:t>，平均</w:t>
      </w:r>
      <w:r>
        <w:rPr>
          <w:spacing w:val="2"/>
          <w:sz w:val="24"/>
        </w:rPr>
        <w:t>29.67MJ/kg</w:t>
      </w:r>
      <w:r>
        <w:rPr>
          <w:spacing w:val="2"/>
          <w:sz w:val="24"/>
        </w:rPr>
        <w:t>。依据</w:t>
      </w:r>
      <w:r>
        <w:rPr>
          <w:spacing w:val="2"/>
          <w:sz w:val="24"/>
        </w:rPr>
        <w:t>GB/T15224.3-2004</w:t>
      </w:r>
      <w:r>
        <w:rPr>
          <w:spacing w:val="2"/>
          <w:sz w:val="24"/>
        </w:rPr>
        <w:t>标准，应属特高热值煤。</w:t>
      </w:r>
    </w:p>
    <w:p w:rsidR="00240BCE" w:rsidRDefault="00AC0334">
      <w:pPr>
        <w:spacing w:line="520" w:lineRule="exact"/>
        <w:ind w:firstLineChars="200" w:firstLine="488"/>
        <w:rPr>
          <w:spacing w:val="2"/>
          <w:sz w:val="24"/>
        </w:rPr>
      </w:pPr>
      <w:r>
        <w:rPr>
          <w:spacing w:val="2"/>
          <w:sz w:val="24"/>
        </w:rPr>
        <w:t>四</w:t>
      </w:r>
      <w:r>
        <w:rPr>
          <w:spacing w:val="2"/>
          <w:sz w:val="24"/>
          <w:vertAlign w:val="subscript"/>
        </w:rPr>
        <w:t>2</w:t>
      </w:r>
      <w:r>
        <w:rPr>
          <w:spacing w:val="2"/>
          <w:sz w:val="24"/>
        </w:rPr>
        <w:t>煤层原煤干基高位发热量（</w:t>
      </w:r>
      <w:r>
        <w:rPr>
          <w:spacing w:val="2"/>
          <w:sz w:val="24"/>
        </w:rPr>
        <w:t>Q</w:t>
      </w:r>
      <w:r>
        <w:rPr>
          <w:spacing w:val="2"/>
          <w:sz w:val="24"/>
          <w:vertAlign w:val="subscript"/>
        </w:rPr>
        <w:t xml:space="preserve">gr </w:t>
      </w:r>
      <w:r>
        <w:rPr>
          <w:rFonts w:hint="eastAsia"/>
          <w:spacing w:val="2"/>
          <w:sz w:val="24"/>
          <w:vertAlign w:val="subscript"/>
        </w:rPr>
        <w:t>，</w:t>
      </w:r>
      <w:r>
        <w:rPr>
          <w:spacing w:val="2"/>
          <w:sz w:val="24"/>
          <w:vertAlign w:val="subscript"/>
        </w:rPr>
        <w:t>d</w:t>
      </w:r>
      <w:r>
        <w:rPr>
          <w:spacing w:val="2"/>
          <w:sz w:val="24"/>
        </w:rPr>
        <w:t>）两极值为</w:t>
      </w:r>
      <w:r>
        <w:rPr>
          <w:spacing w:val="2"/>
          <w:sz w:val="24"/>
        </w:rPr>
        <w:t>22.79</w:t>
      </w:r>
      <w:r>
        <w:rPr>
          <w:spacing w:val="2"/>
          <w:sz w:val="24"/>
        </w:rPr>
        <w:t>～</w:t>
      </w:r>
      <w:r>
        <w:rPr>
          <w:spacing w:val="2"/>
          <w:sz w:val="24"/>
        </w:rPr>
        <w:t>22.91MJ/kg</w:t>
      </w:r>
      <w:r>
        <w:rPr>
          <w:spacing w:val="2"/>
          <w:sz w:val="24"/>
        </w:rPr>
        <w:t>，平均</w:t>
      </w:r>
      <w:r>
        <w:rPr>
          <w:spacing w:val="2"/>
          <w:sz w:val="24"/>
        </w:rPr>
        <w:lastRenderedPageBreak/>
        <w:t>22.85MJ/kg</w:t>
      </w:r>
      <w:r>
        <w:rPr>
          <w:spacing w:val="2"/>
          <w:sz w:val="24"/>
        </w:rPr>
        <w:t>。依据</w:t>
      </w:r>
      <w:r>
        <w:rPr>
          <w:spacing w:val="2"/>
          <w:sz w:val="24"/>
        </w:rPr>
        <w:t>GB/T15224·3-2004</w:t>
      </w:r>
      <w:r>
        <w:rPr>
          <w:spacing w:val="2"/>
          <w:sz w:val="24"/>
        </w:rPr>
        <w:t>标准，应属中热值煤。</w:t>
      </w:r>
    </w:p>
    <w:p w:rsidR="00240BCE" w:rsidRDefault="00AC0334">
      <w:pPr>
        <w:spacing w:line="520" w:lineRule="exact"/>
        <w:ind w:firstLineChars="200" w:firstLine="488"/>
        <w:rPr>
          <w:spacing w:val="2"/>
          <w:sz w:val="24"/>
        </w:rPr>
      </w:pPr>
      <w:bookmarkStart w:id="259" w:name="_Toc309720007"/>
      <w:r>
        <w:rPr>
          <w:spacing w:val="2"/>
          <w:sz w:val="24"/>
        </w:rPr>
        <w:t>（</w:t>
      </w:r>
      <w:r>
        <w:rPr>
          <w:spacing w:val="2"/>
          <w:sz w:val="24"/>
        </w:rPr>
        <w:t>5</w:t>
      </w:r>
      <w:r>
        <w:rPr>
          <w:spacing w:val="2"/>
          <w:sz w:val="24"/>
        </w:rPr>
        <w:t>）</w:t>
      </w:r>
      <w:bookmarkStart w:id="260" w:name="_Toc309720008"/>
      <w:bookmarkEnd w:id="259"/>
      <w:r>
        <w:rPr>
          <w:spacing w:val="2"/>
          <w:sz w:val="24"/>
        </w:rPr>
        <w:t>煤类确定</w:t>
      </w:r>
      <w:bookmarkEnd w:id="260"/>
    </w:p>
    <w:p w:rsidR="00240BCE" w:rsidRDefault="00AC0334">
      <w:pPr>
        <w:spacing w:line="520" w:lineRule="exact"/>
        <w:ind w:firstLineChars="200" w:firstLine="488"/>
        <w:rPr>
          <w:spacing w:val="2"/>
          <w:sz w:val="24"/>
        </w:rPr>
      </w:pPr>
      <w:bookmarkStart w:id="261" w:name="_Toc148013260"/>
      <w:bookmarkEnd w:id="258"/>
      <w:r>
        <w:rPr>
          <w:spacing w:val="2"/>
          <w:sz w:val="24"/>
        </w:rPr>
        <w:t>本区二</w:t>
      </w:r>
      <w:r>
        <w:rPr>
          <w:spacing w:val="2"/>
          <w:sz w:val="24"/>
          <w:vertAlign w:val="subscript"/>
        </w:rPr>
        <w:t>1</w:t>
      </w:r>
      <w:r>
        <w:rPr>
          <w:spacing w:val="2"/>
          <w:sz w:val="24"/>
        </w:rPr>
        <w:t>煤层浮煤干燥无灰基挥发分（</w:t>
      </w:r>
      <w:r>
        <w:rPr>
          <w:spacing w:val="2"/>
          <w:sz w:val="24"/>
        </w:rPr>
        <w:t>V</w:t>
      </w:r>
      <w:r>
        <w:rPr>
          <w:spacing w:val="2"/>
          <w:sz w:val="24"/>
          <w:vertAlign w:val="subscript"/>
        </w:rPr>
        <w:t>daf</w:t>
      </w:r>
      <w:r>
        <w:rPr>
          <w:spacing w:val="2"/>
          <w:sz w:val="24"/>
        </w:rPr>
        <w:t>）两极值为</w:t>
      </w:r>
      <w:r>
        <w:rPr>
          <w:spacing w:val="2"/>
          <w:sz w:val="24"/>
        </w:rPr>
        <w:t>13.37</w:t>
      </w:r>
      <w:r>
        <w:rPr>
          <w:spacing w:val="2"/>
          <w:sz w:val="24"/>
        </w:rPr>
        <w:t>～</w:t>
      </w:r>
      <w:r>
        <w:rPr>
          <w:spacing w:val="2"/>
          <w:sz w:val="24"/>
        </w:rPr>
        <w:t>15.70%</w:t>
      </w:r>
      <w:r>
        <w:rPr>
          <w:spacing w:val="2"/>
          <w:sz w:val="24"/>
        </w:rPr>
        <w:t>，平均为</w:t>
      </w:r>
      <w:r>
        <w:rPr>
          <w:spacing w:val="2"/>
          <w:sz w:val="24"/>
        </w:rPr>
        <w:t>14.62%</w:t>
      </w:r>
      <w:r>
        <w:rPr>
          <w:spacing w:val="2"/>
          <w:sz w:val="24"/>
        </w:rPr>
        <w:t>。粘结指数（</w:t>
      </w:r>
      <w:r>
        <w:rPr>
          <w:spacing w:val="2"/>
          <w:sz w:val="24"/>
        </w:rPr>
        <w:t>G</w:t>
      </w:r>
      <w:r>
        <w:rPr>
          <w:spacing w:val="2"/>
          <w:sz w:val="24"/>
        </w:rPr>
        <w:t>）为</w:t>
      </w:r>
      <w:r>
        <w:rPr>
          <w:spacing w:val="2"/>
          <w:sz w:val="24"/>
        </w:rPr>
        <w:t>0</w:t>
      </w:r>
      <w:r>
        <w:rPr>
          <w:spacing w:val="2"/>
          <w:sz w:val="24"/>
        </w:rPr>
        <w:t>，确定二</w:t>
      </w:r>
      <w:r>
        <w:rPr>
          <w:spacing w:val="2"/>
          <w:sz w:val="24"/>
          <w:vertAlign w:val="subscript"/>
        </w:rPr>
        <w:t>1</w:t>
      </w:r>
      <w:r>
        <w:rPr>
          <w:spacing w:val="2"/>
          <w:sz w:val="24"/>
        </w:rPr>
        <w:t>煤属贫煤类（</w:t>
      </w:r>
      <w:r>
        <w:rPr>
          <w:spacing w:val="2"/>
          <w:sz w:val="24"/>
        </w:rPr>
        <w:t>PM</w:t>
      </w:r>
      <w:r>
        <w:rPr>
          <w:spacing w:val="2"/>
          <w:sz w:val="24"/>
        </w:rPr>
        <w:t>）。</w:t>
      </w:r>
    </w:p>
    <w:p w:rsidR="00240BCE" w:rsidRDefault="00AC0334">
      <w:pPr>
        <w:spacing w:line="520" w:lineRule="exact"/>
        <w:ind w:firstLineChars="200" w:firstLine="488"/>
        <w:rPr>
          <w:spacing w:val="2"/>
          <w:sz w:val="24"/>
        </w:rPr>
      </w:pPr>
      <w:r>
        <w:rPr>
          <w:spacing w:val="2"/>
          <w:sz w:val="24"/>
        </w:rPr>
        <w:t>四</w:t>
      </w:r>
      <w:r>
        <w:rPr>
          <w:spacing w:val="2"/>
          <w:sz w:val="24"/>
          <w:vertAlign w:val="subscript"/>
        </w:rPr>
        <w:t>2</w:t>
      </w:r>
      <w:r>
        <w:rPr>
          <w:spacing w:val="2"/>
          <w:sz w:val="24"/>
        </w:rPr>
        <w:t>煤层浮煤挥发分（</w:t>
      </w:r>
      <w:r>
        <w:rPr>
          <w:spacing w:val="2"/>
          <w:sz w:val="24"/>
        </w:rPr>
        <w:t>V</w:t>
      </w:r>
      <w:r>
        <w:rPr>
          <w:spacing w:val="2"/>
          <w:sz w:val="24"/>
          <w:vertAlign w:val="subscript"/>
        </w:rPr>
        <w:t>daf</w:t>
      </w:r>
      <w:r>
        <w:rPr>
          <w:spacing w:val="2"/>
          <w:sz w:val="24"/>
        </w:rPr>
        <w:t>）平均</w:t>
      </w:r>
      <w:r>
        <w:rPr>
          <w:spacing w:val="2"/>
          <w:sz w:val="24"/>
        </w:rPr>
        <w:t>22.30%</w:t>
      </w:r>
      <w:r>
        <w:rPr>
          <w:spacing w:val="2"/>
          <w:sz w:val="24"/>
        </w:rPr>
        <w:t>，粘结指数（</w:t>
      </w:r>
      <w:r>
        <w:rPr>
          <w:spacing w:val="2"/>
          <w:sz w:val="24"/>
        </w:rPr>
        <w:t>G</w:t>
      </w:r>
      <w:r>
        <w:rPr>
          <w:spacing w:val="2"/>
          <w:sz w:val="24"/>
        </w:rPr>
        <w:t>）平均</w:t>
      </w:r>
      <w:r>
        <w:rPr>
          <w:spacing w:val="2"/>
          <w:sz w:val="24"/>
        </w:rPr>
        <w:t>56</w:t>
      </w:r>
      <w:r>
        <w:rPr>
          <w:spacing w:val="2"/>
          <w:sz w:val="24"/>
        </w:rPr>
        <w:t>，胶质层最大厚度（</w:t>
      </w:r>
      <w:r>
        <w:rPr>
          <w:spacing w:val="2"/>
          <w:sz w:val="24"/>
        </w:rPr>
        <w:t>Y</w:t>
      </w:r>
      <w:r>
        <w:rPr>
          <w:spacing w:val="2"/>
          <w:sz w:val="24"/>
        </w:rPr>
        <w:t>）平均</w:t>
      </w:r>
      <w:r>
        <w:rPr>
          <w:spacing w:val="2"/>
          <w:sz w:val="24"/>
        </w:rPr>
        <w:t>15mm</w:t>
      </w:r>
      <w:r>
        <w:rPr>
          <w:spacing w:val="2"/>
          <w:sz w:val="24"/>
        </w:rPr>
        <w:t>，四</w:t>
      </w:r>
      <w:r>
        <w:rPr>
          <w:spacing w:val="2"/>
          <w:sz w:val="24"/>
          <w:vertAlign w:val="subscript"/>
        </w:rPr>
        <w:t>2</w:t>
      </w:r>
      <w:r>
        <w:rPr>
          <w:spacing w:val="2"/>
          <w:sz w:val="24"/>
        </w:rPr>
        <w:t>煤层属焦煤类（</w:t>
      </w:r>
      <w:r>
        <w:rPr>
          <w:spacing w:val="2"/>
          <w:sz w:val="24"/>
        </w:rPr>
        <w:t>JM</w:t>
      </w:r>
      <w:r>
        <w:rPr>
          <w:spacing w:val="2"/>
          <w:sz w:val="24"/>
        </w:rPr>
        <w:t>）。</w:t>
      </w:r>
    </w:p>
    <w:p w:rsidR="00240BCE" w:rsidRDefault="00AC0334">
      <w:pPr>
        <w:spacing w:line="520" w:lineRule="exact"/>
        <w:ind w:firstLineChars="200" w:firstLine="488"/>
        <w:rPr>
          <w:spacing w:val="2"/>
          <w:sz w:val="24"/>
        </w:rPr>
      </w:pPr>
      <w:bookmarkStart w:id="262" w:name="_Toc309720009"/>
      <w:r>
        <w:rPr>
          <w:spacing w:val="2"/>
          <w:sz w:val="24"/>
        </w:rPr>
        <w:t>（</w:t>
      </w:r>
      <w:r>
        <w:rPr>
          <w:spacing w:val="2"/>
          <w:sz w:val="24"/>
        </w:rPr>
        <w:t>6</w:t>
      </w:r>
      <w:r>
        <w:rPr>
          <w:spacing w:val="2"/>
          <w:sz w:val="24"/>
        </w:rPr>
        <w:t>）</w:t>
      </w:r>
      <w:bookmarkStart w:id="263" w:name="_Toc148013261"/>
      <w:bookmarkStart w:id="264" w:name="_Toc309720010"/>
      <w:bookmarkEnd w:id="261"/>
      <w:bookmarkEnd w:id="262"/>
      <w:r>
        <w:rPr>
          <w:spacing w:val="2"/>
          <w:sz w:val="24"/>
        </w:rPr>
        <w:t>煤的工业用途评</w:t>
      </w:r>
      <w:bookmarkEnd w:id="263"/>
      <w:r>
        <w:rPr>
          <w:spacing w:val="2"/>
          <w:sz w:val="24"/>
        </w:rPr>
        <w:t>价</w:t>
      </w:r>
      <w:bookmarkEnd w:id="264"/>
    </w:p>
    <w:p w:rsidR="00240BCE" w:rsidRDefault="00AC0334">
      <w:pPr>
        <w:spacing w:line="520" w:lineRule="exact"/>
        <w:ind w:firstLineChars="200" w:firstLine="488"/>
        <w:rPr>
          <w:spacing w:val="2"/>
          <w:sz w:val="24"/>
        </w:rPr>
      </w:pPr>
      <w:bookmarkStart w:id="265" w:name="_Toc148013281"/>
      <w:r>
        <w:rPr>
          <w:spacing w:val="2"/>
          <w:sz w:val="24"/>
        </w:rPr>
        <w:t>综上所述，本区二</w:t>
      </w:r>
      <w:r>
        <w:rPr>
          <w:spacing w:val="2"/>
          <w:sz w:val="24"/>
          <w:vertAlign w:val="subscript"/>
        </w:rPr>
        <w:t>1</w:t>
      </w:r>
      <w:r>
        <w:rPr>
          <w:spacing w:val="2"/>
          <w:sz w:val="24"/>
        </w:rPr>
        <w:t>煤层属低灰、特低硫特高热值贫煤，煤的可选性差，属极难选煤，适用于动力及民用。</w:t>
      </w:r>
    </w:p>
    <w:p w:rsidR="00240BCE" w:rsidRDefault="00AC0334">
      <w:pPr>
        <w:spacing w:line="520" w:lineRule="exact"/>
        <w:ind w:firstLineChars="200" w:firstLine="488"/>
        <w:rPr>
          <w:spacing w:val="2"/>
          <w:sz w:val="24"/>
        </w:rPr>
      </w:pPr>
      <w:r>
        <w:rPr>
          <w:spacing w:val="2"/>
          <w:sz w:val="24"/>
        </w:rPr>
        <w:t>四</w:t>
      </w:r>
      <w:r>
        <w:rPr>
          <w:spacing w:val="2"/>
          <w:sz w:val="24"/>
          <w:vertAlign w:val="subscript"/>
        </w:rPr>
        <w:t>2</w:t>
      </w:r>
      <w:r>
        <w:rPr>
          <w:spacing w:val="2"/>
          <w:sz w:val="24"/>
        </w:rPr>
        <w:t>煤层属高灰、特低硫焦煤，因灰分较高、分选困难，需将灰分降到要求时方可作炼焦用煤。在灰分降不到要求时可作动力用煤、民用型煤。</w:t>
      </w:r>
      <w:bookmarkEnd w:id="265"/>
    </w:p>
    <w:p w:rsidR="00240BCE" w:rsidRDefault="00AC0334">
      <w:pPr>
        <w:spacing w:line="520" w:lineRule="exact"/>
        <w:ind w:firstLineChars="200" w:firstLine="488"/>
        <w:rPr>
          <w:spacing w:val="2"/>
          <w:sz w:val="24"/>
        </w:rPr>
      </w:pPr>
      <w:r>
        <w:rPr>
          <w:spacing w:val="2"/>
          <w:sz w:val="24"/>
        </w:rPr>
        <w:t>3</w:t>
      </w:r>
      <w:r>
        <w:rPr>
          <w:spacing w:val="2"/>
          <w:sz w:val="24"/>
        </w:rPr>
        <w:t>、开采技术条件</w:t>
      </w:r>
    </w:p>
    <w:p w:rsidR="00240BCE" w:rsidRDefault="00AC0334">
      <w:pPr>
        <w:adjustRightInd w:val="0"/>
        <w:snapToGrid w:val="0"/>
        <w:spacing w:line="520" w:lineRule="exact"/>
        <w:ind w:firstLineChars="200" w:firstLine="482"/>
        <w:rPr>
          <w:b/>
          <w:sz w:val="24"/>
        </w:rPr>
      </w:pPr>
      <w:r>
        <w:rPr>
          <w:b/>
          <w:sz w:val="24"/>
        </w:rPr>
        <w:t>（</w:t>
      </w:r>
      <w:r>
        <w:rPr>
          <w:b/>
          <w:sz w:val="24"/>
        </w:rPr>
        <w:t>1</w:t>
      </w:r>
      <w:r>
        <w:rPr>
          <w:b/>
          <w:sz w:val="24"/>
        </w:rPr>
        <w:t>）资源条件</w:t>
      </w:r>
    </w:p>
    <w:p w:rsidR="00240BCE" w:rsidRDefault="00AC0334">
      <w:pPr>
        <w:adjustRightInd w:val="0"/>
        <w:snapToGrid w:val="0"/>
        <w:spacing w:line="520" w:lineRule="exact"/>
        <w:ind w:firstLineChars="200" w:firstLine="480"/>
        <w:rPr>
          <w:sz w:val="24"/>
        </w:rPr>
      </w:pPr>
      <w:r>
        <w:rPr>
          <w:sz w:val="24"/>
        </w:rPr>
        <w:t>本区内可采煤层共两层，二</w:t>
      </w:r>
      <w:r>
        <w:rPr>
          <w:sz w:val="24"/>
          <w:vertAlign w:val="subscript"/>
        </w:rPr>
        <w:t>1</w:t>
      </w:r>
      <w:r>
        <w:rPr>
          <w:sz w:val="24"/>
        </w:rPr>
        <w:t>煤层全区可采；四</w:t>
      </w:r>
      <w:r>
        <w:rPr>
          <w:sz w:val="24"/>
          <w:vertAlign w:val="subscript"/>
        </w:rPr>
        <w:t>2</w:t>
      </w:r>
      <w:r>
        <w:rPr>
          <w:sz w:val="24"/>
        </w:rPr>
        <w:t>煤层局部可采。二</w:t>
      </w:r>
      <w:r>
        <w:rPr>
          <w:sz w:val="24"/>
          <w:vertAlign w:val="subscript"/>
        </w:rPr>
        <w:t>1</w:t>
      </w:r>
      <w:r>
        <w:rPr>
          <w:sz w:val="24"/>
        </w:rPr>
        <w:t>煤层属低灰、特低硫、低磷、高熔融性、特高热值粉状贫煤，煤的可选性为极难选，适宜动力及民用。矿区二</w:t>
      </w:r>
      <w:r>
        <w:rPr>
          <w:sz w:val="24"/>
          <w:vertAlign w:val="subscript"/>
        </w:rPr>
        <w:t>1</w:t>
      </w:r>
      <w:r>
        <w:rPr>
          <w:sz w:val="24"/>
        </w:rPr>
        <w:t>煤层属以底板岩溶裂隙含水层充水为主的矿床，水文地质勘查类型属第三类第二亚类第二型，水文地质条件中等。二</w:t>
      </w:r>
      <w:r>
        <w:rPr>
          <w:sz w:val="24"/>
          <w:vertAlign w:val="subscript"/>
        </w:rPr>
        <w:t>1</w:t>
      </w:r>
      <w:r>
        <w:rPr>
          <w:sz w:val="24"/>
        </w:rPr>
        <w:t>煤层顶板多为中、细粒砂岩，次为泥岩、砂质泥岩，工程地质条件中等，底板多为泥岩、砂质泥岩及粉砂岩，其抗拉、抗剪、抗压强度低，属不稳定岩层，遇水软化易产生底鼓，工程地质条件差；即二</w:t>
      </w:r>
      <w:r>
        <w:rPr>
          <w:sz w:val="24"/>
          <w:vertAlign w:val="subscript"/>
        </w:rPr>
        <w:t>1</w:t>
      </w:r>
      <w:r>
        <w:rPr>
          <w:sz w:val="24"/>
        </w:rPr>
        <w:t>煤层顶、底板工程地质条件较差。矿井属低瓦斯矿井。二</w:t>
      </w:r>
      <w:r>
        <w:rPr>
          <w:sz w:val="24"/>
          <w:vertAlign w:val="subscript"/>
        </w:rPr>
        <w:t>1</w:t>
      </w:r>
      <w:r>
        <w:rPr>
          <w:sz w:val="24"/>
        </w:rPr>
        <w:t>煤煤尘有爆炸危险性，煤层为不易自燃煤层。矿区属正常地温区，无热害影响。</w:t>
      </w:r>
    </w:p>
    <w:p w:rsidR="00240BCE" w:rsidRDefault="00AC0334">
      <w:pPr>
        <w:adjustRightInd w:val="0"/>
        <w:snapToGrid w:val="0"/>
        <w:spacing w:line="520" w:lineRule="exact"/>
        <w:ind w:firstLineChars="200" w:firstLine="482"/>
        <w:rPr>
          <w:b/>
          <w:sz w:val="24"/>
        </w:rPr>
      </w:pPr>
      <w:r>
        <w:rPr>
          <w:b/>
          <w:sz w:val="24"/>
        </w:rPr>
        <w:t>（</w:t>
      </w:r>
      <w:r>
        <w:rPr>
          <w:b/>
          <w:sz w:val="24"/>
        </w:rPr>
        <w:t>2</w:t>
      </w:r>
      <w:r>
        <w:rPr>
          <w:b/>
          <w:sz w:val="24"/>
        </w:rPr>
        <w:t>）外部建设条件</w:t>
      </w:r>
    </w:p>
    <w:p w:rsidR="00240BCE" w:rsidRDefault="00AC0334">
      <w:pPr>
        <w:adjustRightInd w:val="0"/>
        <w:snapToGrid w:val="0"/>
        <w:spacing w:line="520" w:lineRule="exact"/>
        <w:ind w:firstLineChars="200" w:firstLine="480"/>
        <w:rPr>
          <w:sz w:val="24"/>
        </w:rPr>
      </w:pPr>
      <w:r>
        <w:rPr>
          <w:sz w:val="24"/>
        </w:rPr>
        <w:t>井田地理位置优越，交通方便，电源、水源、通信条件可靠，矿井外部建设条件较好。</w:t>
      </w:r>
    </w:p>
    <w:p w:rsidR="00240BCE" w:rsidRDefault="00AC0334">
      <w:pPr>
        <w:adjustRightInd w:val="0"/>
        <w:snapToGrid w:val="0"/>
        <w:spacing w:line="520" w:lineRule="exact"/>
        <w:ind w:firstLineChars="200" w:firstLine="480"/>
      </w:pPr>
      <w:r>
        <w:rPr>
          <w:sz w:val="24"/>
        </w:rPr>
        <w:t>综合评价，矿井开采技术条件属中等。</w:t>
      </w:r>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266" w:name="_Toc79668634"/>
      <w:r>
        <w:rPr>
          <w:rFonts w:eastAsia="楷体"/>
          <w:sz w:val="28"/>
          <w:szCs w:val="28"/>
        </w:rPr>
        <w:t xml:space="preserve">3.2.9 </w:t>
      </w:r>
      <w:r>
        <w:rPr>
          <w:rFonts w:eastAsia="楷体"/>
          <w:sz w:val="28"/>
          <w:szCs w:val="28"/>
        </w:rPr>
        <w:t>项目主要技术经济指标</w:t>
      </w:r>
      <w:bookmarkEnd w:id="266"/>
    </w:p>
    <w:p w:rsidR="00240BCE" w:rsidRDefault="00AC0334">
      <w:pPr>
        <w:overflowPunct w:val="0"/>
        <w:adjustRightInd w:val="0"/>
        <w:spacing w:line="520" w:lineRule="atLeast"/>
        <w:ind w:firstLineChars="200" w:firstLine="480"/>
        <w:textAlignment w:val="baseline"/>
        <w:rPr>
          <w:bCs/>
          <w:color w:val="000000"/>
          <w:sz w:val="24"/>
        </w:rPr>
      </w:pPr>
      <w:r>
        <w:rPr>
          <w:bCs/>
          <w:color w:val="000000"/>
          <w:sz w:val="24"/>
        </w:rPr>
        <w:lastRenderedPageBreak/>
        <w:t>矿井设计主要技术经济指标表</w:t>
      </w:r>
      <w:r>
        <w:rPr>
          <w:bCs/>
          <w:color w:val="000000"/>
          <w:sz w:val="24"/>
        </w:rPr>
        <w:t>3.2-5</w:t>
      </w:r>
      <w:r>
        <w:rPr>
          <w:bCs/>
          <w:color w:val="000000"/>
          <w:sz w:val="24"/>
        </w:rPr>
        <w:t>。</w:t>
      </w:r>
    </w:p>
    <w:p w:rsidR="00240BCE" w:rsidRDefault="00AC0334">
      <w:pPr>
        <w:overflowPunct w:val="0"/>
        <w:adjustRightInd w:val="0"/>
        <w:spacing w:line="520" w:lineRule="atLeast"/>
        <w:jc w:val="center"/>
        <w:textAlignment w:val="baseline"/>
        <w:rPr>
          <w:bCs/>
          <w:color w:val="000000"/>
          <w:sz w:val="24"/>
        </w:rPr>
      </w:pPr>
      <w:r>
        <w:rPr>
          <w:b/>
          <w:bCs/>
          <w:color w:val="000000"/>
          <w:sz w:val="24"/>
        </w:rPr>
        <w:t>表</w:t>
      </w:r>
      <w:r>
        <w:rPr>
          <w:b/>
          <w:bCs/>
          <w:color w:val="000000"/>
          <w:sz w:val="24"/>
        </w:rPr>
        <w:t xml:space="preserve">3.2-5     </w:t>
      </w:r>
      <w:r>
        <w:rPr>
          <w:bCs/>
          <w:color w:val="000000"/>
          <w:sz w:val="24"/>
        </w:rPr>
        <w:t>矿井设计主要技术经济指标表</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652"/>
        <w:gridCol w:w="19"/>
        <w:gridCol w:w="2816"/>
        <w:gridCol w:w="993"/>
        <w:gridCol w:w="3808"/>
        <w:gridCol w:w="19"/>
        <w:gridCol w:w="709"/>
      </w:tblGrid>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序号</w:t>
            </w:r>
          </w:p>
        </w:tc>
        <w:tc>
          <w:tcPr>
            <w:tcW w:w="2816" w:type="dxa"/>
            <w:vAlign w:val="center"/>
          </w:tcPr>
          <w:p w:rsidR="00240BCE" w:rsidRDefault="00AC0334">
            <w:pPr>
              <w:spacing w:line="340" w:lineRule="exact"/>
              <w:jc w:val="center"/>
              <w:rPr>
                <w:spacing w:val="-20"/>
                <w:sz w:val="21"/>
                <w:szCs w:val="21"/>
              </w:rPr>
            </w:pPr>
            <w:r>
              <w:rPr>
                <w:spacing w:val="-20"/>
                <w:sz w:val="21"/>
                <w:szCs w:val="21"/>
              </w:rPr>
              <w:t>名</w:t>
            </w:r>
            <w:r>
              <w:rPr>
                <w:spacing w:val="-20"/>
                <w:sz w:val="21"/>
                <w:szCs w:val="21"/>
              </w:rPr>
              <w:t xml:space="preserve">          </w:t>
            </w:r>
            <w:r>
              <w:rPr>
                <w:spacing w:val="-20"/>
                <w:sz w:val="21"/>
                <w:szCs w:val="21"/>
              </w:rPr>
              <w:t>称</w:t>
            </w:r>
          </w:p>
        </w:tc>
        <w:tc>
          <w:tcPr>
            <w:tcW w:w="993" w:type="dxa"/>
            <w:vAlign w:val="center"/>
          </w:tcPr>
          <w:p w:rsidR="00240BCE" w:rsidRDefault="00AC0334">
            <w:pPr>
              <w:spacing w:line="340" w:lineRule="exact"/>
              <w:jc w:val="center"/>
              <w:rPr>
                <w:spacing w:val="-20"/>
                <w:sz w:val="21"/>
                <w:szCs w:val="21"/>
              </w:rPr>
            </w:pPr>
            <w:r>
              <w:rPr>
                <w:spacing w:val="-20"/>
                <w:sz w:val="21"/>
                <w:szCs w:val="21"/>
              </w:rPr>
              <w:t>单位</w:t>
            </w:r>
          </w:p>
        </w:tc>
        <w:tc>
          <w:tcPr>
            <w:tcW w:w="3808" w:type="dxa"/>
            <w:vAlign w:val="center"/>
          </w:tcPr>
          <w:p w:rsidR="00240BCE" w:rsidRDefault="00AC0334">
            <w:pPr>
              <w:spacing w:line="340" w:lineRule="exact"/>
              <w:jc w:val="center"/>
              <w:rPr>
                <w:spacing w:val="-20"/>
                <w:sz w:val="21"/>
                <w:szCs w:val="21"/>
              </w:rPr>
            </w:pPr>
            <w:r>
              <w:rPr>
                <w:spacing w:val="-20"/>
                <w:sz w:val="21"/>
                <w:szCs w:val="21"/>
              </w:rPr>
              <w:t>指</w:t>
            </w:r>
            <w:r>
              <w:rPr>
                <w:spacing w:val="-20"/>
                <w:sz w:val="21"/>
                <w:szCs w:val="21"/>
              </w:rPr>
              <w:t xml:space="preserve">    </w:t>
            </w:r>
            <w:r>
              <w:rPr>
                <w:spacing w:val="-20"/>
                <w:sz w:val="21"/>
                <w:szCs w:val="21"/>
              </w:rPr>
              <w:t>标</w:t>
            </w:r>
          </w:p>
        </w:tc>
        <w:tc>
          <w:tcPr>
            <w:tcW w:w="728" w:type="dxa"/>
            <w:gridSpan w:val="2"/>
            <w:vAlign w:val="center"/>
          </w:tcPr>
          <w:p w:rsidR="00240BCE" w:rsidRDefault="00AC0334">
            <w:pPr>
              <w:spacing w:line="340" w:lineRule="exact"/>
              <w:jc w:val="center"/>
              <w:rPr>
                <w:spacing w:val="-20"/>
                <w:sz w:val="21"/>
                <w:szCs w:val="21"/>
              </w:rPr>
            </w:pPr>
            <w:r>
              <w:rPr>
                <w:spacing w:val="-20"/>
                <w:sz w:val="21"/>
                <w:szCs w:val="21"/>
              </w:rPr>
              <w:t>备</w:t>
            </w:r>
            <w:r>
              <w:rPr>
                <w:spacing w:val="-20"/>
                <w:sz w:val="21"/>
                <w:szCs w:val="21"/>
              </w:rPr>
              <w:t xml:space="preserve"> </w:t>
            </w:r>
            <w:r>
              <w:rPr>
                <w:spacing w:val="-20"/>
                <w:sz w:val="21"/>
                <w:szCs w:val="21"/>
              </w:rPr>
              <w:t>注</w:t>
            </w: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1</w:t>
            </w:r>
          </w:p>
        </w:tc>
        <w:tc>
          <w:tcPr>
            <w:tcW w:w="2816" w:type="dxa"/>
            <w:vAlign w:val="center"/>
          </w:tcPr>
          <w:p w:rsidR="00240BCE" w:rsidRDefault="00AC0334">
            <w:pPr>
              <w:spacing w:line="340" w:lineRule="exact"/>
              <w:rPr>
                <w:sz w:val="21"/>
                <w:szCs w:val="21"/>
              </w:rPr>
            </w:pPr>
            <w:r>
              <w:rPr>
                <w:sz w:val="21"/>
                <w:szCs w:val="21"/>
              </w:rPr>
              <w:t>矿井设计生产能力</w:t>
            </w:r>
          </w:p>
        </w:tc>
        <w:tc>
          <w:tcPr>
            <w:tcW w:w="993" w:type="dxa"/>
            <w:vAlign w:val="center"/>
          </w:tcPr>
          <w:p w:rsidR="00240BCE" w:rsidRDefault="00240BCE">
            <w:pPr>
              <w:spacing w:line="340" w:lineRule="exact"/>
              <w:jc w:val="center"/>
              <w:rPr>
                <w:sz w:val="21"/>
                <w:szCs w:val="21"/>
              </w:rPr>
            </w:pPr>
          </w:p>
        </w:tc>
        <w:tc>
          <w:tcPr>
            <w:tcW w:w="3808" w:type="dxa"/>
            <w:vAlign w:val="center"/>
          </w:tcPr>
          <w:p w:rsidR="00240BCE" w:rsidRDefault="00240BCE">
            <w:pPr>
              <w:spacing w:line="340" w:lineRule="exact"/>
              <w:jc w:val="center"/>
              <w:rPr>
                <w:sz w:val="21"/>
                <w:szCs w:val="21"/>
              </w:rPr>
            </w:pP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⑴</w:t>
            </w:r>
          </w:p>
        </w:tc>
        <w:tc>
          <w:tcPr>
            <w:tcW w:w="2816" w:type="dxa"/>
            <w:vAlign w:val="center"/>
          </w:tcPr>
          <w:p w:rsidR="00240BCE" w:rsidRDefault="00AC0334">
            <w:pPr>
              <w:spacing w:line="340" w:lineRule="exact"/>
              <w:rPr>
                <w:sz w:val="21"/>
                <w:szCs w:val="21"/>
              </w:rPr>
            </w:pPr>
            <w:r>
              <w:rPr>
                <w:sz w:val="21"/>
                <w:szCs w:val="21"/>
              </w:rPr>
              <w:t>年产量</w:t>
            </w:r>
          </w:p>
        </w:tc>
        <w:tc>
          <w:tcPr>
            <w:tcW w:w="993" w:type="dxa"/>
            <w:vAlign w:val="center"/>
          </w:tcPr>
          <w:p w:rsidR="00240BCE" w:rsidRDefault="00AC0334">
            <w:pPr>
              <w:spacing w:line="340" w:lineRule="exact"/>
              <w:jc w:val="center"/>
              <w:rPr>
                <w:sz w:val="21"/>
                <w:szCs w:val="21"/>
              </w:rPr>
            </w:pPr>
            <w:r>
              <w:rPr>
                <w:sz w:val="21"/>
                <w:szCs w:val="21"/>
              </w:rPr>
              <w:t>Mt</w:t>
            </w:r>
          </w:p>
        </w:tc>
        <w:tc>
          <w:tcPr>
            <w:tcW w:w="3808" w:type="dxa"/>
            <w:vAlign w:val="center"/>
          </w:tcPr>
          <w:p w:rsidR="00240BCE" w:rsidRDefault="00AC0334">
            <w:pPr>
              <w:spacing w:line="340" w:lineRule="exact"/>
              <w:jc w:val="center"/>
              <w:rPr>
                <w:sz w:val="21"/>
                <w:szCs w:val="21"/>
              </w:rPr>
            </w:pPr>
            <w:r>
              <w:rPr>
                <w:sz w:val="21"/>
                <w:szCs w:val="21"/>
              </w:rPr>
              <w:t>0.30</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⑵</w:t>
            </w:r>
          </w:p>
        </w:tc>
        <w:tc>
          <w:tcPr>
            <w:tcW w:w="2816" w:type="dxa"/>
            <w:vAlign w:val="center"/>
          </w:tcPr>
          <w:p w:rsidR="00240BCE" w:rsidRDefault="00AC0334">
            <w:pPr>
              <w:spacing w:line="340" w:lineRule="exact"/>
              <w:rPr>
                <w:sz w:val="21"/>
                <w:szCs w:val="21"/>
              </w:rPr>
            </w:pPr>
            <w:r>
              <w:rPr>
                <w:sz w:val="21"/>
                <w:szCs w:val="21"/>
              </w:rPr>
              <w:t>日产量</w:t>
            </w:r>
          </w:p>
        </w:tc>
        <w:tc>
          <w:tcPr>
            <w:tcW w:w="993" w:type="dxa"/>
            <w:vAlign w:val="center"/>
          </w:tcPr>
          <w:p w:rsidR="00240BCE" w:rsidRDefault="00AC0334">
            <w:pPr>
              <w:spacing w:line="340" w:lineRule="exact"/>
              <w:jc w:val="center"/>
              <w:rPr>
                <w:sz w:val="21"/>
                <w:szCs w:val="21"/>
              </w:rPr>
            </w:pPr>
            <w:r>
              <w:rPr>
                <w:sz w:val="21"/>
                <w:szCs w:val="21"/>
              </w:rPr>
              <w:t>t</w:t>
            </w:r>
          </w:p>
        </w:tc>
        <w:tc>
          <w:tcPr>
            <w:tcW w:w="3808" w:type="dxa"/>
            <w:vAlign w:val="center"/>
          </w:tcPr>
          <w:p w:rsidR="00240BCE" w:rsidRDefault="00AC0334">
            <w:pPr>
              <w:spacing w:line="340" w:lineRule="exact"/>
              <w:jc w:val="center"/>
              <w:rPr>
                <w:sz w:val="21"/>
                <w:szCs w:val="21"/>
              </w:rPr>
            </w:pPr>
            <w:r>
              <w:rPr>
                <w:sz w:val="21"/>
                <w:szCs w:val="21"/>
              </w:rPr>
              <w:t>909</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2</w:t>
            </w:r>
          </w:p>
        </w:tc>
        <w:tc>
          <w:tcPr>
            <w:tcW w:w="2816" w:type="dxa"/>
            <w:vAlign w:val="center"/>
          </w:tcPr>
          <w:p w:rsidR="00240BCE" w:rsidRDefault="00AC0334">
            <w:pPr>
              <w:spacing w:line="340" w:lineRule="exact"/>
              <w:rPr>
                <w:sz w:val="21"/>
                <w:szCs w:val="21"/>
              </w:rPr>
            </w:pPr>
            <w:r>
              <w:rPr>
                <w:sz w:val="21"/>
                <w:szCs w:val="21"/>
              </w:rPr>
              <w:t>矿井服务年限</w:t>
            </w:r>
          </w:p>
        </w:tc>
        <w:tc>
          <w:tcPr>
            <w:tcW w:w="993" w:type="dxa"/>
            <w:vAlign w:val="center"/>
          </w:tcPr>
          <w:p w:rsidR="00240BCE" w:rsidRDefault="00AC0334">
            <w:pPr>
              <w:spacing w:line="340" w:lineRule="exact"/>
              <w:jc w:val="center"/>
              <w:rPr>
                <w:sz w:val="21"/>
                <w:szCs w:val="21"/>
              </w:rPr>
            </w:pPr>
            <w:r>
              <w:rPr>
                <w:sz w:val="21"/>
                <w:szCs w:val="21"/>
              </w:rPr>
              <w:t>a</w:t>
            </w:r>
          </w:p>
        </w:tc>
        <w:tc>
          <w:tcPr>
            <w:tcW w:w="3808" w:type="dxa"/>
            <w:vAlign w:val="center"/>
          </w:tcPr>
          <w:p w:rsidR="00240BCE" w:rsidRDefault="00AC0334">
            <w:pPr>
              <w:spacing w:line="340" w:lineRule="exact"/>
              <w:jc w:val="center"/>
              <w:rPr>
                <w:sz w:val="21"/>
                <w:szCs w:val="21"/>
              </w:rPr>
            </w:pPr>
            <w:r>
              <w:rPr>
                <w:sz w:val="21"/>
                <w:szCs w:val="21"/>
              </w:rPr>
              <w:t>11.6</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3</w:t>
            </w:r>
          </w:p>
        </w:tc>
        <w:tc>
          <w:tcPr>
            <w:tcW w:w="2816" w:type="dxa"/>
            <w:vAlign w:val="center"/>
          </w:tcPr>
          <w:p w:rsidR="00240BCE" w:rsidRDefault="00AC0334">
            <w:pPr>
              <w:spacing w:line="340" w:lineRule="exact"/>
              <w:rPr>
                <w:sz w:val="21"/>
                <w:szCs w:val="21"/>
              </w:rPr>
            </w:pPr>
            <w:r>
              <w:rPr>
                <w:sz w:val="21"/>
                <w:szCs w:val="21"/>
              </w:rPr>
              <w:t>矿井设计工作制度</w:t>
            </w:r>
          </w:p>
        </w:tc>
        <w:tc>
          <w:tcPr>
            <w:tcW w:w="993" w:type="dxa"/>
            <w:vAlign w:val="center"/>
          </w:tcPr>
          <w:p w:rsidR="00240BCE" w:rsidRDefault="00240BCE">
            <w:pPr>
              <w:spacing w:line="340" w:lineRule="exact"/>
              <w:jc w:val="center"/>
              <w:rPr>
                <w:sz w:val="21"/>
                <w:szCs w:val="21"/>
              </w:rPr>
            </w:pPr>
          </w:p>
        </w:tc>
        <w:tc>
          <w:tcPr>
            <w:tcW w:w="3808" w:type="dxa"/>
            <w:vAlign w:val="center"/>
          </w:tcPr>
          <w:p w:rsidR="00240BCE" w:rsidRDefault="00240BCE">
            <w:pPr>
              <w:spacing w:line="340" w:lineRule="exact"/>
              <w:jc w:val="center"/>
              <w:rPr>
                <w:sz w:val="21"/>
                <w:szCs w:val="21"/>
              </w:rPr>
            </w:pP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⑴</w:t>
            </w:r>
          </w:p>
        </w:tc>
        <w:tc>
          <w:tcPr>
            <w:tcW w:w="2816" w:type="dxa"/>
            <w:vAlign w:val="center"/>
          </w:tcPr>
          <w:p w:rsidR="00240BCE" w:rsidRDefault="00AC0334">
            <w:pPr>
              <w:spacing w:line="340" w:lineRule="exact"/>
              <w:rPr>
                <w:sz w:val="21"/>
                <w:szCs w:val="21"/>
              </w:rPr>
            </w:pPr>
            <w:r>
              <w:rPr>
                <w:sz w:val="21"/>
                <w:szCs w:val="21"/>
              </w:rPr>
              <w:t>年工作天数</w:t>
            </w:r>
          </w:p>
        </w:tc>
        <w:tc>
          <w:tcPr>
            <w:tcW w:w="993" w:type="dxa"/>
            <w:vAlign w:val="center"/>
          </w:tcPr>
          <w:p w:rsidR="00240BCE" w:rsidRDefault="00AC0334">
            <w:pPr>
              <w:spacing w:line="340" w:lineRule="exact"/>
              <w:jc w:val="center"/>
              <w:rPr>
                <w:sz w:val="21"/>
                <w:szCs w:val="21"/>
              </w:rPr>
            </w:pPr>
            <w:r>
              <w:rPr>
                <w:sz w:val="21"/>
                <w:szCs w:val="21"/>
              </w:rPr>
              <w:t>d</w:t>
            </w:r>
          </w:p>
        </w:tc>
        <w:tc>
          <w:tcPr>
            <w:tcW w:w="3808" w:type="dxa"/>
            <w:vAlign w:val="center"/>
          </w:tcPr>
          <w:p w:rsidR="00240BCE" w:rsidRDefault="00AC0334">
            <w:pPr>
              <w:spacing w:line="340" w:lineRule="exact"/>
              <w:jc w:val="center"/>
              <w:rPr>
                <w:sz w:val="21"/>
                <w:szCs w:val="21"/>
              </w:rPr>
            </w:pPr>
            <w:r>
              <w:rPr>
                <w:sz w:val="21"/>
                <w:szCs w:val="21"/>
              </w:rPr>
              <w:t>330</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⑵</w:t>
            </w:r>
          </w:p>
        </w:tc>
        <w:tc>
          <w:tcPr>
            <w:tcW w:w="2816" w:type="dxa"/>
            <w:vAlign w:val="center"/>
          </w:tcPr>
          <w:p w:rsidR="00240BCE" w:rsidRDefault="00AC0334">
            <w:pPr>
              <w:spacing w:line="340" w:lineRule="exact"/>
              <w:rPr>
                <w:sz w:val="21"/>
                <w:szCs w:val="21"/>
              </w:rPr>
            </w:pPr>
            <w:r>
              <w:rPr>
                <w:sz w:val="21"/>
                <w:szCs w:val="21"/>
              </w:rPr>
              <w:t>日工作班数</w:t>
            </w:r>
          </w:p>
        </w:tc>
        <w:tc>
          <w:tcPr>
            <w:tcW w:w="993" w:type="dxa"/>
            <w:vAlign w:val="center"/>
          </w:tcPr>
          <w:p w:rsidR="00240BCE" w:rsidRDefault="00AC0334">
            <w:pPr>
              <w:spacing w:line="340" w:lineRule="exact"/>
              <w:jc w:val="center"/>
              <w:rPr>
                <w:sz w:val="21"/>
                <w:szCs w:val="21"/>
              </w:rPr>
            </w:pPr>
            <w:r>
              <w:rPr>
                <w:sz w:val="21"/>
                <w:szCs w:val="21"/>
              </w:rPr>
              <w:t>班</w:t>
            </w:r>
          </w:p>
        </w:tc>
        <w:tc>
          <w:tcPr>
            <w:tcW w:w="3808" w:type="dxa"/>
            <w:vAlign w:val="center"/>
          </w:tcPr>
          <w:p w:rsidR="00240BCE" w:rsidRDefault="00AC0334">
            <w:pPr>
              <w:spacing w:line="340" w:lineRule="exact"/>
              <w:jc w:val="center"/>
              <w:rPr>
                <w:sz w:val="21"/>
                <w:szCs w:val="21"/>
              </w:rPr>
            </w:pPr>
            <w:r>
              <w:rPr>
                <w:sz w:val="21"/>
                <w:szCs w:val="21"/>
              </w:rPr>
              <w:t>地面三八制、井下四六制</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4</w:t>
            </w:r>
          </w:p>
        </w:tc>
        <w:tc>
          <w:tcPr>
            <w:tcW w:w="2816" w:type="dxa"/>
            <w:vAlign w:val="center"/>
          </w:tcPr>
          <w:p w:rsidR="00240BCE" w:rsidRDefault="00AC0334">
            <w:pPr>
              <w:spacing w:line="340" w:lineRule="exact"/>
              <w:rPr>
                <w:sz w:val="21"/>
                <w:szCs w:val="21"/>
              </w:rPr>
            </w:pPr>
            <w:r>
              <w:rPr>
                <w:sz w:val="21"/>
                <w:szCs w:val="21"/>
              </w:rPr>
              <w:t>煤质（二</w:t>
            </w:r>
            <w:r>
              <w:rPr>
                <w:kern w:val="0"/>
                <w:sz w:val="21"/>
                <w:szCs w:val="21"/>
                <w:vertAlign w:val="subscript"/>
              </w:rPr>
              <w:t>1</w:t>
            </w:r>
            <w:r>
              <w:rPr>
                <w:sz w:val="21"/>
                <w:szCs w:val="21"/>
              </w:rPr>
              <w:t>煤）</w:t>
            </w:r>
          </w:p>
        </w:tc>
        <w:tc>
          <w:tcPr>
            <w:tcW w:w="993" w:type="dxa"/>
            <w:vAlign w:val="center"/>
          </w:tcPr>
          <w:p w:rsidR="00240BCE" w:rsidRDefault="00240BCE">
            <w:pPr>
              <w:spacing w:line="340" w:lineRule="exact"/>
              <w:jc w:val="center"/>
              <w:rPr>
                <w:sz w:val="21"/>
                <w:szCs w:val="21"/>
              </w:rPr>
            </w:pPr>
          </w:p>
        </w:tc>
        <w:tc>
          <w:tcPr>
            <w:tcW w:w="3808" w:type="dxa"/>
            <w:vAlign w:val="center"/>
          </w:tcPr>
          <w:p w:rsidR="00240BCE" w:rsidRDefault="00240BCE">
            <w:pPr>
              <w:spacing w:line="340" w:lineRule="exact"/>
              <w:jc w:val="center"/>
              <w:rPr>
                <w:sz w:val="21"/>
                <w:szCs w:val="21"/>
              </w:rPr>
            </w:pP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⑴</w:t>
            </w:r>
          </w:p>
        </w:tc>
        <w:tc>
          <w:tcPr>
            <w:tcW w:w="2816" w:type="dxa"/>
            <w:vAlign w:val="center"/>
          </w:tcPr>
          <w:p w:rsidR="00240BCE" w:rsidRDefault="00AC0334">
            <w:pPr>
              <w:spacing w:line="340" w:lineRule="exact"/>
              <w:rPr>
                <w:sz w:val="21"/>
                <w:szCs w:val="21"/>
              </w:rPr>
            </w:pPr>
            <w:r>
              <w:rPr>
                <w:sz w:val="21"/>
                <w:szCs w:val="21"/>
              </w:rPr>
              <w:t>牌号</w:t>
            </w:r>
          </w:p>
        </w:tc>
        <w:tc>
          <w:tcPr>
            <w:tcW w:w="993" w:type="dxa"/>
            <w:vAlign w:val="center"/>
          </w:tcPr>
          <w:p w:rsidR="00240BCE" w:rsidRDefault="00240BCE">
            <w:pPr>
              <w:spacing w:line="340" w:lineRule="exact"/>
              <w:jc w:val="center"/>
              <w:rPr>
                <w:sz w:val="21"/>
                <w:szCs w:val="21"/>
              </w:rPr>
            </w:pPr>
          </w:p>
        </w:tc>
        <w:tc>
          <w:tcPr>
            <w:tcW w:w="3808" w:type="dxa"/>
            <w:vAlign w:val="center"/>
          </w:tcPr>
          <w:p w:rsidR="00240BCE" w:rsidRDefault="00AC0334">
            <w:pPr>
              <w:spacing w:line="340" w:lineRule="exact"/>
              <w:jc w:val="center"/>
              <w:rPr>
                <w:sz w:val="21"/>
                <w:szCs w:val="21"/>
              </w:rPr>
            </w:pPr>
            <w:r>
              <w:rPr>
                <w:sz w:val="21"/>
                <w:szCs w:val="21"/>
              </w:rPr>
              <w:t>贫煤</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⑵</w:t>
            </w:r>
          </w:p>
        </w:tc>
        <w:tc>
          <w:tcPr>
            <w:tcW w:w="2816" w:type="dxa"/>
            <w:vAlign w:val="center"/>
          </w:tcPr>
          <w:p w:rsidR="00240BCE" w:rsidRDefault="00AC0334">
            <w:pPr>
              <w:spacing w:line="340" w:lineRule="exact"/>
              <w:rPr>
                <w:sz w:val="21"/>
                <w:szCs w:val="21"/>
              </w:rPr>
            </w:pPr>
            <w:r>
              <w:rPr>
                <w:sz w:val="21"/>
                <w:szCs w:val="21"/>
              </w:rPr>
              <w:t>灰分</w:t>
            </w:r>
            <w:r>
              <w:rPr>
                <w:sz w:val="21"/>
                <w:szCs w:val="21"/>
              </w:rPr>
              <w:t>A</w:t>
            </w:r>
          </w:p>
        </w:tc>
        <w:tc>
          <w:tcPr>
            <w:tcW w:w="993" w:type="dxa"/>
            <w:vAlign w:val="center"/>
          </w:tcPr>
          <w:p w:rsidR="00240BCE" w:rsidRDefault="00AC0334">
            <w:pPr>
              <w:spacing w:line="340" w:lineRule="exact"/>
              <w:jc w:val="center"/>
              <w:rPr>
                <w:sz w:val="21"/>
                <w:szCs w:val="21"/>
              </w:rPr>
            </w:pPr>
            <w:r>
              <w:rPr>
                <w:sz w:val="21"/>
                <w:szCs w:val="21"/>
              </w:rPr>
              <w:t>%</w:t>
            </w:r>
          </w:p>
        </w:tc>
        <w:tc>
          <w:tcPr>
            <w:tcW w:w="3808" w:type="dxa"/>
            <w:vAlign w:val="center"/>
          </w:tcPr>
          <w:p w:rsidR="00240BCE" w:rsidRDefault="00AC0334">
            <w:pPr>
              <w:spacing w:line="340" w:lineRule="exact"/>
              <w:jc w:val="center"/>
              <w:rPr>
                <w:sz w:val="21"/>
                <w:szCs w:val="21"/>
              </w:rPr>
            </w:pPr>
            <w:r>
              <w:rPr>
                <w:sz w:val="21"/>
                <w:szCs w:val="21"/>
              </w:rPr>
              <w:t>13.43</w:t>
            </w:r>
            <w:r>
              <w:rPr>
                <w:sz w:val="21"/>
                <w:szCs w:val="21"/>
              </w:rPr>
              <w:t>～</w:t>
            </w:r>
            <w:r>
              <w:rPr>
                <w:sz w:val="21"/>
                <w:szCs w:val="21"/>
              </w:rPr>
              <w:t>19.97%</w:t>
            </w:r>
            <w:r>
              <w:rPr>
                <w:sz w:val="21"/>
                <w:szCs w:val="21"/>
              </w:rPr>
              <w:t>，平均</w:t>
            </w:r>
            <w:r>
              <w:rPr>
                <w:sz w:val="21"/>
                <w:szCs w:val="21"/>
              </w:rPr>
              <w:t>15.30%</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⑶</w:t>
            </w:r>
          </w:p>
        </w:tc>
        <w:tc>
          <w:tcPr>
            <w:tcW w:w="2816" w:type="dxa"/>
            <w:vAlign w:val="center"/>
          </w:tcPr>
          <w:p w:rsidR="00240BCE" w:rsidRDefault="00AC0334">
            <w:pPr>
              <w:spacing w:line="340" w:lineRule="exact"/>
              <w:rPr>
                <w:sz w:val="21"/>
                <w:szCs w:val="21"/>
              </w:rPr>
            </w:pPr>
            <w:r>
              <w:rPr>
                <w:sz w:val="21"/>
                <w:szCs w:val="21"/>
              </w:rPr>
              <w:t>挥发分</w:t>
            </w:r>
            <w:r>
              <w:rPr>
                <w:sz w:val="21"/>
                <w:szCs w:val="21"/>
              </w:rPr>
              <w:t>V</w:t>
            </w:r>
            <w:r>
              <w:rPr>
                <w:sz w:val="21"/>
                <w:szCs w:val="21"/>
                <w:vertAlign w:val="superscript"/>
              </w:rPr>
              <w:t>r</w:t>
            </w:r>
          </w:p>
        </w:tc>
        <w:tc>
          <w:tcPr>
            <w:tcW w:w="993" w:type="dxa"/>
            <w:vAlign w:val="center"/>
          </w:tcPr>
          <w:p w:rsidR="00240BCE" w:rsidRDefault="00AC0334">
            <w:pPr>
              <w:spacing w:line="340" w:lineRule="exact"/>
              <w:jc w:val="center"/>
              <w:rPr>
                <w:sz w:val="21"/>
                <w:szCs w:val="21"/>
              </w:rPr>
            </w:pPr>
            <w:r>
              <w:rPr>
                <w:sz w:val="21"/>
                <w:szCs w:val="21"/>
              </w:rPr>
              <w:t>%</w:t>
            </w:r>
          </w:p>
        </w:tc>
        <w:tc>
          <w:tcPr>
            <w:tcW w:w="3808" w:type="dxa"/>
            <w:vAlign w:val="center"/>
          </w:tcPr>
          <w:p w:rsidR="00240BCE" w:rsidRDefault="00AC0334">
            <w:pPr>
              <w:spacing w:line="340" w:lineRule="exact"/>
              <w:jc w:val="center"/>
              <w:rPr>
                <w:sz w:val="21"/>
                <w:szCs w:val="21"/>
              </w:rPr>
            </w:pPr>
            <w:r>
              <w:rPr>
                <w:sz w:val="21"/>
                <w:szCs w:val="21"/>
              </w:rPr>
              <w:t>13.37</w:t>
            </w:r>
            <w:r>
              <w:rPr>
                <w:sz w:val="21"/>
                <w:szCs w:val="21"/>
              </w:rPr>
              <w:t>～</w:t>
            </w:r>
            <w:r>
              <w:rPr>
                <w:sz w:val="21"/>
                <w:szCs w:val="21"/>
              </w:rPr>
              <w:t>15.70%</w:t>
            </w:r>
            <w:r>
              <w:rPr>
                <w:sz w:val="21"/>
                <w:szCs w:val="21"/>
              </w:rPr>
              <w:t>，平均为</w:t>
            </w:r>
            <w:r>
              <w:rPr>
                <w:sz w:val="21"/>
                <w:szCs w:val="21"/>
              </w:rPr>
              <w:t>14.62%</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⑷</w:t>
            </w:r>
          </w:p>
        </w:tc>
        <w:tc>
          <w:tcPr>
            <w:tcW w:w="2816" w:type="dxa"/>
            <w:vAlign w:val="center"/>
          </w:tcPr>
          <w:p w:rsidR="00240BCE" w:rsidRDefault="00AC0334">
            <w:pPr>
              <w:spacing w:line="340" w:lineRule="exact"/>
              <w:rPr>
                <w:sz w:val="21"/>
                <w:szCs w:val="21"/>
              </w:rPr>
            </w:pPr>
            <w:r>
              <w:rPr>
                <w:sz w:val="21"/>
                <w:szCs w:val="21"/>
              </w:rPr>
              <w:t>硫分</w:t>
            </w:r>
            <w:r>
              <w:rPr>
                <w:sz w:val="21"/>
                <w:szCs w:val="21"/>
              </w:rPr>
              <w:t>S</w:t>
            </w:r>
            <w:r>
              <w:rPr>
                <w:sz w:val="21"/>
                <w:szCs w:val="21"/>
                <w:vertAlign w:val="subscript"/>
              </w:rPr>
              <w:t>t.d</w:t>
            </w:r>
          </w:p>
        </w:tc>
        <w:tc>
          <w:tcPr>
            <w:tcW w:w="993" w:type="dxa"/>
            <w:vAlign w:val="center"/>
          </w:tcPr>
          <w:p w:rsidR="00240BCE" w:rsidRDefault="00AC0334">
            <w:pPr>
              <w:spacing w:line="340" w:lineRule="exact"/>
              <w:jc w:val="center"/>
              <w:rPr>
                <w:sz w:val="21"/>
                <w:szCs w:val="21"/>
              </w:rPr>
            </w:pPr>
            <w:r>
              <w:rPr>
                <w:sz w:val="21"/>
                <w:szCs w:val="21"/>
              </w:rPr>
              <w:t>%</w:t>
            </w:r>
          </w:p>
        </w:tc>
        <w:tc>
          <w:tcPr>
            <w:tcW w:w="3808" w:type="dxa"/>
            <w:vAlign w:val="center"/>
          </w:tcPr>
          <w:p w:rsidR="00240BCE" w:rsidRDefault="00AC0334">
            <w:pPr>
              <w:spacing w:line="340" w:lineRule="exact"/>
              <w:jc w:val="center"/>
              <w:rPr>
                <w:sz w:val="21"/>
                <w:szCs w:val="21"/>
              </w:rPr>
            </w:pPr>
            <w:r>
              <w:rPr>
                <w:sz w:val="21"/>
                <w:szCs w:val="21"/>
              </w:rPr>
              <w:t>0.29</w:t>
            </w:r>
            <w:r>
              <w:rPr>
                <w:sz w:val="21"/>
                <w:szCs w:val="21"/>
              </w:rPr>
              <w:t>～</w:t>
            </w:r>
            <w:r>
              <w:rPr>
                <w:sz w:val="21"/>
                <w:szCs w:val="21"/>
              </w:rPr>
              <w:t>0.70%</w:t>
            </w:r>
            <w:r>
              <w:rPr>
                <w:sz w:val="21"/>
                <w:szCs w:val="21"/>
              </w:rPr>
              <w:t>，平均</w:t>
            </w:r>
            <w:r>
              <w:rPr>
                <w:sz w:val="21"/>
                <w:szCs w:val="21"/>
              </w:rPr>
              <w:t>0.44%</w:t>
            </w:r>
            <w:r>
              <w:rPr>
                <w:sz w:val="21"/>
                <w:szCs w:val="21"/>
              </w:rPr>
              <w:t>，</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⑸</w:t>
            </w:r>
          </w:p>
        </w:tc>
        <w:tc>
          <w:tcPr>
            <w:tcW w:w="2816" w:type="dxa"/>
            <w:vAlign w:val="center"/>
          </w:tcPr>
          <w:p w:rsidR="00240BCE" w:rsidRDefault="00AC0334">
            <w:pPr>
              <w:spacing w:line="340" w:lineRule="exact"/>
              <w:rPr>
                <w:sz w:val="21"/>
                <w:szCs w:val="21"/>
              </w:rPr>
            </w:pPr>
            <w:r>
              <w:rPr>
                <w:sz w:val="21"/>
                <w:szCs w:val="21"/>
              </w:rPr>
              <w:t>发热量</w:t>
            </w:r>
            <w:r>
              <w:rPr>
                <w:sz w:val="21"/>
                <w:szCs w:val="21"/>
              </w:rPr>
              <w:t>Q</w:t>
            </w:r>
            <w:r>
              <w:rPr>
                <w:sz w:val="21"/>
                <w:szCs w:val="21"/>
                <w:vertAlign w:val="subscript"/>
              </w:rPr>
              <w:t>gr.ad</w:t>
            </w:r>
          </w:p>
        </w:tc>
        <w:tc>
          <w:tcPr>
            <w:tcW w:w="993" w:type="dxa"/>
            <w:vAlign w:val="center"/>
          </w:tcPr>
          <w:p w:rsidR="00240BCE" w:rsidRDefault="00AC0334">
            <w:pPr>
              <w:spacing w:line="340" w:lineRule="exact"/>
              <w:jc w:val="center"/>
              <w:rPr>
                <w:sz w:val="21"/>
                <w:szCs w:val="21"/>
              </w:rPr>
            </w:pPr>
            <w:r>
              <w:rPr>
                <w:sz w:val="21"/>
                <w:szCs w:val="21"/>
              </w:rPr>
              <w:t>MJ/kg</w:t>
            </w:r>
          </w:p>
        </w:tc>
        <w:tc>
          <w:tcPr>
            <w:tcW w:w="3808" w:type="dxa"/>
            <w:vAlign w:val="center"/>
          </w:tcPr>
          <w:p w:rsidR="00240BCE" w:rsidRDefault="00AC0334">
            <w:pPr>
              <w:spacing w:line="340" w:lineRule="exact"/>
              <w:jc w:val="center"/>
              <w:rPr>
                <w:sz w:val="21"/>
                <w:szCs w:val="21"/>
              </w:rPr>
            </w:pPr>
            <w:r>
              <w:rPr>
                <w:sz w:val="21"/>
                <w:szCs w:val="21"/>
              </w:rPr>
              <w:t>28.59</w:t>
            </w:r>
            <w:r>
              <w:rPr>
                <w:sz w:val="21"/>
                <w:szCs w:val="21"/>
              </w:rPr>
              <w:t>～</w:t>
            </w:r>
            <w:r>
              <w:rPr>
                <w:sz w:val="21"/>
                <w:szCs w:val="21"/>
              </w:rPr>
              <w:t>30.62MJ/kg</w:t>
            </w:r>
            <w:r>
              <w:rPr>
                <w:sz w:val="21"/>
                <w:szCs w:val="21"/>
              </w:rPr>
              <w:t>，平均</w:t>
            </w:r>
            <w:r>
              <w:rPr>
                <w:sz w:val="21"/>
                <w:szCs w:val="21"/>
              </w:rPr>
              <w:t>29.67MJ/kg</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5</w:t>
            </w:r>
          </w:p>
        </w:tc>
        <w:tc>
          <w:tcPr>
            <w:tcW w:w="2816" w:type="dxa"/>
            <w:vAlign w:val="center"/>
          </w:tcPr>
          <w:p w:rsidR="00240BCE" w:rsidRDefault="00AC0334">
            <w:pPr>
              <w:spacing w:line="340" w:lineRule="exact"/>
              <w:rPr>
                <w:sz w:val="21"/>
                <w:szCs w:val="21"/>
              </w:rPr>
            </w:pPr>
            <w:r>
              <w:rPr>
                <w:sz w:val="21"/>
                <w:szCs w:val="21"/>
              </w:rPr>
              <w:t>资源量</w:t>
            </w:r>
          </w:p>
        </w:tc>
        <w:tc>
          <w:tcPr>
            <w:tcW w:w="993" w:type="dxa"/>
            <w:vAlign w:val="center"/>
          </w:tcPr>
          <w:p w:rsidR="00240BCE" w:rsidRDefault="00240BCE">
            <w:pPr>
              <w:spacing w:line="340" w:lineRule="exact"/>
              <w:jc w:val="center"/>
              <w:rPr>
                <w:sz w:val="21"/>
                <w:szCs w:val="21"/>
              </w:rPr>
            </w:pPr>
          </w:p>
        </w:tc>
        <w:tc>
          <w:tcPr>
            <w:tcW w:w="3808" w:type="dxa"/>
            <w:vAlign w:val="center"/>
          </w:tcPr>
          <w:p w:rsidR="00240BCE" w:rsidRDefault="00240BCE">
            <w:pPr>
              <w:spacing w:line="340" w:lineRule="exact"/>
              <w:jc w:val="center"/>
              <w:rPr>
                <w:sz w:val="21"/>
                <w:szCs w:val="21"/>
              </w:rPr>
            </w:pP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⑴</w:t>
            </w:r>
          </w:p>
        </w:tc>
        <w:tc>
          <w:tcPr>
            <w:tcW w:w="2816" w:type="dxa"/>
            <w:vAlign w:val="center"/>
          </w:tcPr>
          <w:p w:rsidR="00240BCE" w:rsidRDefault="00AC0334">
            <w:pPr>
              <w:spacing w:line="340" w:lineRule="exact"/>
              <w:rPr>
                <w:sz w:val="21"/>
                <w:szCs w:val="21"/>
              </w:rPr>
            </w:pPr>
            <w:r>
              <w:rPr>
                <w:sz w:val="21"/>
                <w:szCs w:val="21"/>
              </w:rPr>
              <w:t>地质资源量</w:t>
            </w:r>
          </w:p>
        </w:tc>
        <w:tc>
          <w:tcPr>
            <w:tcW w:w="993" w:type="dxa"/>
            <w:vAlign w:val="center"/>
          </w:tcPr>
          <w:p w:rsidR="00240BCE" w:rsidRDefault="00AC0334">
            <w:pPr>
              <w:spacing w:line="340" w:lineRule="exact"/>
              <w:jc w:val="center"/>
              <w:rPr>
                <w:sz w:val="21"/>
                <w:szCs w:val="21"/>
              </w:rPr>
            </w:pPr>
            <w:r>
              <w:rPr>
                <w:sz w:val="21"/>
                <w:szCs w:val="21"/>
              </w:rPr>
              <w:t>万</w:t>
            </w:r>
            <w:r>
              <w:rPr>
                <w:sz w:val="21"/>
                <w:szCs w:val="21"/>
              </w:rPr>
              <w:t>t</w:t>
            </w:r>
          </w:p>
        </w:tc>
        <w:tc>
          <w:tcPr>
            <w:tcW w:w="3808" w:type="dxa"/>
            <w:vAlign w:val="center"/>
          </w:tcPr>
          <w:p w:rsidR="00240BCE" w:rsidRDefault="00AC0334">
            <w:pPr>
              <w:spacing w:line="340" w:lineRule="exact"/>
              <w:jc w:val="center"/>
              <w:rPr>
                <w:sz w:val="21"/>
                <w:szCs w:val="21"/>
              </w:rPr>
            </w:pPr>
            <w:r>
              <w:rPr>
                <w:sz w:val="21"/>
                <w:szCs w:val="21"/>
              </w:rPr>
              <w:t>795.6</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⑵</w:t>
            </w:r>
          </w:p>
        </w:tc>
        <w:tc>
          <w:tcPr>
            <w:tcW w:w="2816" w:type="dxa"/>
            <w:vAlign w:val="center"/>
          </w:tcPr>
          <w:p w:rsidR="00240BCE" w:rsidRDefault="00AC0334">
            <w:pPr>
              <w:spacing w:line="340" w:lineRule="exact"/>
              <w:rPr>
                <w:sz w:val="21"/>
                <w:szCs w:val="21"/>
              </w:rPr>
            </w:pPr>
            <w:r>
              <w:rPr>
                <w:sz w:val="21"/>
                <w:szCs w:val="21"/>
              </w:rPr>
              <w:t>工业资源量</w:t>
            </w:r>
          </w:p>
        </w:tc>
        <w:tc>
          <w:tcPr>
            <w:tcW w:w="993" w:type="dxa"/>
            <w:vAlign w:val="center"/>
          </w:tcPr>
          <w:p w:rsidR="00240BCE" w:rsidRDefault="00AC0334">
            <w:pPr>
              <w:spacing w:line="340" w:lineRule="exact"/>
              <w:jc w:val="center"/>
              <w:rPr>
                <w:sz w:val="21"/>
                <w:szCs w:val="21"/>
              </w:rPr>
            </w:pPr>
            <w:r>
              <w:rPr>
                <w:sz w:val="21"/>
                <w:szCs w:val="21"/>
              </w:rPr>
              <w:t>万</w:t>
            </w:r>
            <w:r>
              <w:rPr>
                <w:sz w:val="21"/>
                <w:szCs w:val="21"/>
              </w:rPr>
              <w:t>t</w:t>
            </w:r>
          </w:p>
        </w:tc>
        <w:tc>
          <w:tcPr>
            <w:tcW w:w="3808" w:type="dxa"/>
            <w:vAlign w:val="center"/>
          </w:tcPr>
          <w:p w:rsidR="00240BCE" w:rsidRDefault="00AC0334">
            <w:pPr>
              <w:spacing w:line="340" w:lineRule="exact"/>
              <w:jc w:val="center"/>
              <w:rPr>
                <w:sz w:val="21"/>
                <w:szCs w:val="21"/>
              </w:rPr>
            </w:pPr>
            <w:r>
              <w:rPr>
                <w:sz w:val="21"/>
                <w:szCs w:val="21"/>
              </w:rPr>
              <w:t>758.4</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⑶</w:t>
            </w:r>
          </w:p>
        </w:tc>
        <w:tc>
          <w:tcPr>
            <w:tcW w:w="2816" w:type="dxa"/>
            <w:vAlign w:val="center"/>
          </w:tcPr>
          <w:p w:rsidR="00240BCE" w:rsidRDefault="00AC0334">
            <w:pPr>
              <w:spacing w:line="340" w:lineRule="exact"/>
              <w:rPr>
                <w:sz w:val="21"/>
                <w:szCs w:val="21"/>
              </w:rPr>
            </w:pPr>
            <w:r>
              <w:rPr>
                <w:sz w:val="21"/>
                <w:szCs w:val="21"/>
              </w:rPr>
              <w:t>可采储量</w:t>
            </w:r>
          </w:p>
        </w:tc>
        <w:tc>
          <w:tcPr>
            <w:tcW w:w="993" w:type="dxa"/>
            <w:vAlign w:val="center"/>
          </w:tcPr>
          <w:p w:rsidR="00240BCE" w:rsidRDefault="00AC0334">
            <w:pPr>
              <w:spacing w:line="340" w:lineRule="exact"/>
              <w:jc w:val="center"/>
              <w:rPr>
                <w:sz w:val="21"/>
                <w:szCs w:val="21"/>
              </w:rPr>
            </w:pPr>
            <w:r>
              <w:rPr>
                <w:sz w:val="21"/>
                <w:szCs w:val="21"/>
              </w:rPr>
              <w:t>万</w:t>
            </w:r>
            <w:r>
              <w:rPr>
                <w:sz w:val="21"/>
                <w:szCs w:val="21"/>
              </w:rPr>
              <w:t>t</w:t>
            </w:r>
          </w:p>
        </w:tc>
        <w:tc>
          <w:tcPr>
            <w:tcW w:w="3808" w:type="dxa"/>
            <w:vAlign w:val="center"/>
          </w:tcPr>
          <w:p w:rsidR="00240BCE" w:rsidRDefault="00AC0334">
            <w:pPr>
              <w:spacing w:line="340" w:lineRule="exact"/>
              <w:jc w:val="center"/>
              <w:rPr>
                <w:sz w:val="21"/>
                <w:szCs w:val="21"/>
              </w:rPr>
            </w:pPr>
            <w:r>
              <w:rPr>
                <w:sz w:val="21"/>
                <w:szCs w:val="21"/>
              </w:rPr>
              <w:t>486.98</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6</w:t>
            </w:r>
          </w:p>
        </w:tc>
        <w:tc>
          <w:tcPr>
            <w:tcW w:w="2816" w:type="dxa"/>
            <w:vAlign w:val="center"/>
          </w:tcPr>
          <w:p w:rsidR="00240BCE" w:rsidRDefault="00AC0334">
            <w:pPr>
              <w:spacing w:line="340" w:lineRule="exact"/>
              <w:rPr>
                <w:sz w:val="21"/>
                <w:szCs w:val="21"/>
              </w:rPr>
            </w:pPr>
            <w:r>
              <w:rPr>
                <w:sz w:val="21"/>
                <w:szCs w:val="21"/>
              </w:rPr>
              <w:t>煤层情况</w:t>
            </w:r>
          </w:p>
        </w:tc>
        <w:tc>
          <w:tcPr>
            <w:tcW w:w="993" w:type="dxa"/>
            <w:vAlign w:val="center"/>
          </w:tcPr>
          <w:p w:rsidR="00240BCE" w:rsidRDefault="00240BCE">
            <w:pPr>
              <w:spacing w:line="340" w:lineRule="exact"/>
              <w:jc w:val="center"/>
              <w:rPr>
                <w:sz w:val="21"/>
                <w:szCs w:val="21"/>
              </w:rPr>
            </w:pPr>
          </w:p>
        </w:tc>
        <w:tc>
          <w:tcPr>
            <w:tcW w:w="3808" w:type="dxa"/>
            <w:vAlign w:val="center"/>
          </w:tcPr>
          <w:p w:rsidR="00240BCE" w:rsidRDefault="00240BCE">
            <w:pPr>
              <w:spacing w:line="340" w:lineRule="exact"/>
              <w:jc w:val="center"/>
              <w:rPr>
                <w:sz w:val="21"/>
                <w:szCs w:val="21"/>
              </w:rPr>
            </w:pP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⑴</w:t>
            </w:r>
          </w:p>
        </w:tc>
        <w:tc>
          <w:tcPr>
            <w:tcW w:w="2816" w:type="dxa"/>
            <w:vAlign w:val="center"/>
          </w:tcPr>
          <w:p w:rsidR="00240BCE" w:rsidRDefault="00AC0334">
            <w:pPr>
              <w:spacing w:line="340" w:lineRule="exact"/>
              <w:rPr>
                <w:sz w:val="21"/>
                <w:szCs w:val="21"/>
              </w:rPr>
            </w:pPr>
            <w:r>
              <w:rPr>
                <w:sz w:val="21"/>
                <w:szCs w:val="21"/>
              </w:rPr>
              <w:t>可采煤层</w:t>
            </w:r>
          </w:p>
        </w:tc>
        <w:tc>
          <w:tcPr>
            <w:tcW w:w="993" w:type="dxa"/>
            <w:vAlign w:val="center"/>
          </w:tcPr>
          <w:p w:rsidR="00240BCE" w:rsidRDefault="00AC0334">
            <w:pPr>
              <w:spacing w:line="340" w:lineRule="exact"/>
              <w:jc w:val="center"/>
              <w:rPr>
                <w:sz w:val="21"/>
                <w:szCs w:val="21"/>
              </w:rPr>
            </w:pPr>
            <w:r>
              <w:rPr>
                <w:sz w:val="21"/>
                <w:szCs w:val="21"/>
              </w:rPr>
              <w:t>层</w:t>
            </w:r>
          </w:p>
        </w:tc>
        <w:tc>
          <w:tcPr>
            <w:tcW w:w="3808" w:type="dxa"/>
            <w:vAlign w:val="center"/>
          </w:tcPr>
          <w:p w:rsidR="00240BCE" w:rsidRDefault="00AC0334">
            <w:pPr>
              <w:spacing w:line="340" w:lineRule="exact"/>
              <w:jc w:val="center"/>
              <w:rPr>
                <w:sz w:val="21"/>
                <w:szCs w:val="21"/>
              </w:rPr>
            </w:pPr>
            <w:r>
              <w:rPr>
                <w:sz w:val="21"/>
                <w:szCs w:val="21"/>
              </w:rPr>
              <w:t>2</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⑵</w:t>
            </w:r>
          </w:p>
        </w:tc>
        <w:tc>
          <w:tcPr>
            <w:tcW w:w="2816" w:type="dxa"/>
            <w:vAlign w:val="center"/>
          </w:tcPr>
          <w:p w:rsidR="00240BCE" w:rsidRDefault="00AC0334">
            <w:pPr>
              <w:spacing w:line="340" w:lineRule="exact"/>
              <w:rPr>
                <w:sz w:val="21"/>
                <w:szCs w:val="21"/>
              </w:rPr>
            </w:pPr>
            <w:r>
              <w:rPr>
                <w:sz w:val="21"/>
                <w:szCs w:val="21"/>
              </w:rPr>
              <w:t>可采煤层平均厚度</w:t>
            </w:r>
          </w:p>
        </w:tc>
        <w:tc>
          <w:tcPr>
            <w:tcW w:w="993" w:type="dxa"/>
            <w:vAlign w:val="center"/>
          </w:tcPr>
          <w:p w:rsidR="00240BCE" w:rsidRDefault="00AC0334">
            <w:pPr>
              <w:spacing w:line="340" w:lineRule="exact"/>
              <w:jc w:val="center"/>
              <w:rPr>
                <w:sz w:val="21"/>
                <w:szCs w:val="21"/>
              </w:rPr>
            </w:pPr>
            <w:r>
              <w:rPr>
                <w:sz w:val="21"/>
                <w:szCs w:val="21"/>
              </w:rPr>
              <w:t>m</w:t>
            </w:r>
          </w:p>
        </w:tc>
        <w:tc>
          <w:tcPr>
            <w:tcW w:w="3808" w:type="dxa"/>
            <w:vAlign w:val="center"/>
          </w:tcPr>
          <w:p w:rsidR="00240BCE" w:rsidRDefault="00AC0334">
            <w:pPr>
              <w:spacing w:line="340" w:lineRule="exact"/>
              <w:jc w:val="center"/>
              <w:rPr>
                <w:sz w:val="21"/>
                <w:szCs w:val="21"/>
              </w:rPr>
            </w:pPr>
            <w:r>
              <w:rPr>
                <w:sz w:val="21"/>
                <w:szCs w:val="21"/>
              </w:rPr>
              <w:t>2.93(</w:t>
            </w:r>
            <w:r>
              <w:rPr>
                <w:sz w:val="21"/>
                <w:szCs w:val="21"/>
              </w:rPr>
              <w:t>二</w:t>
            </w:r>
            <w:r>
              <w:rPr>
                <w:kern w:val="0"/>
                <w:sz w:val="21"/>
                <w:szCs w:val="21"/>
                <w:vertAlign w:val="subscript"/>
              </w:rPr>
              <w:t>1</w:t>
            </w:r>
            <w:r>
              <w:rPr>
                <w:sz w:val="21"/>
                <w:szCs w:val="21"/>
              </w:rPr>
              <w:t>)</w:t>
            </w:r>
            <w:r>
              <w:rPr>
                <w:sz w:val="21"/>
                <w:szCs w:val="21"/>
              </w:rPr>
              <w:t>，</w:t>
            </w:r>
            <w:r>
              <w:rPr>
                <w:sz w:val="21"/>
                <w:szCs w:val="21"/>
              </w:rPr>
              <w:t>0.81(</w:t>
            </w:r>
            <w:r>
              <w:rPr>
                <w:snapToGrid w:val="0"/>
                <w:spacing w:val="2"/>
                <w:kern w:val="0"/>
                <w:sz w:val="21"/>
                <w:szCs w:val="21"/>
              </w:rPr>
              <w:t>四</w:t>
            </w:r>
            <w:r>
              <w:rPr>
                <w:snapToGrid w:val="0"/>
                <w:spacing w:val="2"/>
                <w:kern w:val="0"/>
                <w:sz w:val="21"/>
                <w:szCs w:val="21"/>
                <w:vertAlign w:val="subscript"/>
              </w:rPr>
              <w:t>2</w:t>
            </w:r>
            <w:r>
              <w:rPr>
                <w:sz w:val="21"/>
                <w:szCs w:val="21"/>
              </w:rPr>
              <w:t>)</w:t>
            </w:r>
          </w:p>
        </w:tc>
        <w:tc>
          <w:tcPr>
            <w:tcW w:w="728" w:type="dxa"/>
            <w:gridSpan w:val="2"/>
            <w:vAlign w:val="center"/>
          </w:tcPr>
          <w:p w:rsidR="00240BCE" w:rsidRDefault="00240BCE">
            <w:pPr>
              <w:spacing w:line="340" w:lineRule="exact"/>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⑶</w:t>
            </w:r>
          </w:p>
        </w:tc>
        <w:tc>
          <w:tcPr>
            <w:tcW w:w="2816" w:type="dxa"/>
            <w:vAlign w:val="center"/>
          </w:tcPr>
          <w:p w:rsidR="00240BCE" w:rsidRDefault="00AC0334">
            <w:pPr>
              <w:spacing w:line="340" w:lineRule="exact"/>
              <w:rPr>
                <w:sz w:val="21"/>
                <w:szCs w:val="21"/>
              </w:rPr>
            </w:pPr>
            <w:r>
              <w:rPr>
                <w:sz w:val="21"/>
                <w:szCs w:val="21"/>
              </w:rPr>
              <w:t>煤层平均倾角</w:t>
            </w:r>
          </w:p>
        </w:tc>
        <w:tc>
          <w:tcPr>
            <w:tcW w:w="993" w:type="dxa"/>
            <w:vAlign w:val="center"/>
          </w:tcPr>
          <w:p w:rsidR="00240BCE" w:rsidRDefault="00AC0334">
            <w:pPr>
              <w:spacing w:line="340" w:lineRule="exact"/>
              <w:jc w:val="center"/>
              <w:rPr>
                <w:sz w:val="21"/>
                <w:szCs w:val="21"/>
              </w:rPr>
            </w:pPr>
            <w:r>
              <w:rPr>
                <w:sz w:val="21"/>
                <w:szCs w:val="21"/>
              </w:rPr>
              <w:t>度</w:t>
            </w:r>
          </w:p>
        </w:tc>
        <w:tc>
          <w:tcPr>
            <w:tcW w:w="3808" w:type="dxa"/>
            <w:vAlign w:val="center"/>
          </w:tcPr>
          <w:p w:rsidR="00240BCE" w:rsidRDefault="00AC0334">
            <w:pPr>
              <w:spacing w:line="340" w:lineRule="exact"/>
              <w:jc w:val="center"/>
              <w:rPr>
                <w:sz w:val="21"/>
                <w:szCs w:val="21"/>
              </w:rPr>
            </w:pPr>
            <w:r>
              <w:rPr>
                <w:sz w:val="21"/>
                <w:szCs w:val="21"/>
              </w:rPr>
              <w:t>15</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⑷</w:t>
            </w:r>
          </w:p>
        </w:tc>
        <w:tc>
          <w:tcPr>
            <w:tcW w:w="2816" w:type="dxa"/>
            <w:vAlign w:val="center"/>
          </w:tcPr>
          <w:p w:rsidR="00240BCE" w:rsidRDefault="00AC0334">
            <w:pPr>
              <w:spacing w:line="340" w:lineRule="exact"/>
              <w:rPr>
                <w:sz w:val="21"/>
                <w:szCs w:val="21"/>
              </w:rPr>
            </w:pPr>
            <w:r>
              <w:rPr>
                <w:sz w:val="21"/>
                <w:szCs w:val="21"/>
              </w:rPr>
              <w:t>煤的容重</w:t>
            </w:r>
          </w:p>
        </w:tc>
        <w:tc>
          <w:tcPr>
            <w:tcW w:w="993" w:type="dxa"/>
            <w:vAlign w:val="center"/>
          </w:tcPr>
          <w:p w:rsidR="00240BCE" w:rsidRDefault="00AC0334">
            <w:pPr>
              <w:spacing w:line="340" w:lineRule="exact"/>
              <w:jc w:val="center"/>
              <w:rPr>
                <w:sz w:val="21"/>
                <w:szCs w:val="21"/>
              </w:rPr>
            </w:pPr>
            <w:r>
              <w:rPr>
                <w:sz w:val="21"/>
                <w:szCs w:val="21"/>
              </w:rPr>
              <w:t>t/m</w:t>
            </w:r>
            <w:r>
              <w:rPr>
                <w:sz w:val="21"/>
                <w:szCs w:val="21"/>
                <w:vertAlign w:val="superscript"/>
              </w:rPr>
              <w:t>3</w:t>
            </w:r>
          </w:p>
        </w:tc>
        <w:tc>
          <w:tcPr>
            <w:tcW w:w="3808" w:type="dxa"/>
            <w:vAlign w:val="center"/>
          </w:tcPr>
          <w:p w:rsidR="00240BCE" w:rsidRDefault="00AC0334">
            <w:pPr>
              <w:spacing w:line="340" w:lineRule="exact"/>
              <w:jc w:val="center"/>
              <w:rPr>
                <w:sz w:val="21"/>
                <w:szCs w:val="21"/>
              </w:rPr>
            </w:pPr>
            <w:r>
              <w:rPr>
                <w:sz w:val="21"/>
                <w:szCs w:val="21"/>
              </w:rPr>
              <w:t>1.38(</w:t>
            </w:r>
            <w:r>
              <w:rPr>
                <w:sz w:val="21"/>
                <w:szCs w:val="21"/>
              </w:rPr>
              <w:t>二</w:t>
            </w:r>
            <w:r>
              <w:rPr>
                <w:kern w:val="0"/>
                <w:sz w:val="21"/>
                <w:szCs w:val="21"/>
                <w:vertAlign w:val="subscript"/>
              </w:rPr>
              <w:t>1</w:t>
            </w:r>
            <w:r>
              <w:rPr>
                <w:sz w:val="21"/>
                <w:szCs w:val="21"/>
              </w:rPr>
              <w:t>)</w:t>
            </w:r>
            <w:r>
              <w:rPr>
                <w:sz w:val="21"/>
                <w:szCs w:val="21"/>
              </w:rPr>
              <w:t>，</w:t>
            </w:r>
            <w:r>
              <w:rPr>
                <w:sz w:val="21"/>
                <w:szCs w:val="21"/>
              </w:rPr>
              <w:t>1.4(</w:t>
            </w:r>
            <w:r>
              <w:rPr>
                <w:snapToGrid w:val="0"/>
                <w:spacing w:val="2"/>
                <w:kern w:val="0"/>
                <w:sz w:val="21"/>
                <w:szCs w:val="21"/>
              </w:rPr>
              <w:t>四</w:t>
            </w:r>
            <w:r>
              <w:rPr>
                <w:snapToGrid w:val="0"/>
                <w:spacing w:val="2"/>
                <w:kern w:val="0"/>
                <w:sz w:val="21"/>
                <w:szCs w:val="21"/>
                <w:vertAlign w:val="subscript"/>
              </w:rPr>
              <w:t>2</w:t>
            </w:r>
            <w:r>
              <w:rPr>
                <w:sz w:val="21"/>
                <w:szCs w:val="21"/>
              </w:rPr>
              <w:t>)</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7</w:t>
            </w:r>
          </w:p>
        </w:tc>
        <w:tc>
          <w:tcPr>
            <w:tcW w:w="2816" w:type="dxa"/>
            <w:vAlign w:val="center"/>
          </w:tcPr>
          <w:p w:rsidR="00240BCE" w:rsidRDefault="00AC0334">
            <w:pPr>
              <w:spacing w:line="340" w:lineRule="exact"/>
              <w:rPr>
                <w:sz w:val="21"/>
                <w:szCs w:val="21"/>
              </w:rPr>
            </w:pPr>
            <w:r>
              <w:rPr>
                <w:sz w:val="21"/>
                <w:szCs w:val="21"/>
              </w:rPr>
              <w:t>井田范围</w:t>
            </w:r>
          </w:p>
        </w:tc>
        <w:tc>
          <w:tcPr>
            <w:tcW w:w="993" w:type="dxa"/>
            <w:vAlign w:val="center"/>
          </w:tcPr>
          <w:p w:rsidR="00240BCE" w:rsidRDefault="00240BCE">
            <w:pPr>
              <w:spacing w:line="340" w:lineRule="exact"/>
              <w:jc w:val="center"/>
              <w:rPr>
                <w:sz w:val="21"/>
                <w:szCs w:val="21"/>
              </w:rPr>
            </w:pPr>
          </w:p>
        </w:tc>
        <w:tc>
          <w:tcPr>
            <w:tcW w:w="3808" w:type="dxa"/>
            <w:vAlign w:val="center"/>
          </w:tcPr>
          <w:p w:rsidR="00240BCE" w:rsidRDefault="00240BCE">
            <w:pPr>
              <w:spacing w:line="340" w:lineRule="exact"/>
              <w:jc w:val="center"/>
              <w:rPr>
                <w:sz w:val="21"/>
                <w:szCs w:val="21"/>
              </w:rPr>
            </w:pP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⑴</w:t>
            </w:r>
          </w:p>
        </w:tc>
        <w:tc>
          <w:tcPr>
            <w:tcW w:w="2816" w:type="dxa"/>
            <w:vAlign w:val="center"/>
          </w:tcPr>
          <w:p w:rsidR="00240BCE" w:rsidRDefault="00AC0334">
            <w:pPr>
              <w:spacing w:line="340" w:lineRule="exact"/>
              <w:rPr>
                <w:sz w:val="21"/>
                <w:szCs w:val="21"/>
              </w:rPr>
            </w:pPr>
            <w:r>
              <w:rPr>
                <w:sz w:val="21"/>
                <w:szCs w:val="21"/>
              </w:rPr>
              <w:t>走向长度</w:t>
            </w:r>
          </w:p>
        </w:tc>
        <w:tc>
          <w:tcPr>
            <w:tcW w:w="993" w:type="dxa"/>
            <w:vAlign w:val="center"/>
          </w:tcPr>
          <w:p w:rsidR="00240BCE" w:rsidRDefault="00AC0334">
            <w:pPr>
              <w:spacing w:line="340" w:lineRule="exact"/>
              <w:jc w:val="center"/>
              <w:rPr>
                <w:sz w:val="21"/>
                <w:szCs w:val="21"/>
              </w:rPr>
            </w:pPr>
            <w:r>
              <w:rPr>
                <w:sz w:val="21"/>
                <w:szCs w:val="21"/>
              </w:rPr>
              <w:t>km</w:t>
            </w:r>
          </w:p>
        </w:tc>
        <w:tc>
          <w:tcPr>
            <w:tcW w:w="3808" w:type="dxa"/>
            <w:vAlign w:val="center"/>
          </w:tcPr>
          <w:p w:rsidR="00240BCE" w:rsidRDefault="00AC0334">
            <w:pPr>
              <w:spacing w:line="340" w:lineRule="exact"/>
              <w:jc w:val="center"/>
              <w:rPr>
                <w:sz w:val="21"/>
                <w:szCs w:val="21"/>
              </w:rPr>
            </w:pPr>
            <w:r>
              <w:rPr>
                <w:sz w:val="21"/>
                <w:szCs w:val="21"/>
              </w:rPr>
              <w:t>1.75</w:t>
            </w:r>
            <w:r>
              <w:rPr>
                <w:sz w:val="21"/>
                <w:szCs w:val="21"/>
              </w:rPr>
              <w:t>～</w:t>
            </w:r>
            <w:r>
              <w:rPr>
                <w:sz w:val="21"/>
                <w:szCs w:val="21"/>
              </w:rPr>
              <w:t>2.50</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⑵</w:t>
            </w:r>
          </w:p>
        </w:tc>
        <w:tc>
          <w:tcPr>
            <w:tcW w:w="2816" w:type="dxa"/>
            <w:vAlign w:val="center"/>
          </w:tcPr>
          <w:p w:rsidR="00240BCE" w:rsidRDefault="00AC0334">
            <w:pPr>
              <w:spacing w:line="340" w:lineRule="exact"/>
              <w:rPr>
                <w:sz w:val="21"/>
                <w:szCs w:val="21"/>
              </w:rPr>
            </w:pPr>
            <w:r>
              <w:rPr>
                <w:sz w:val="21"/>
                <w:szCs w:val="21"/>
              </w:rPr>
              <w:t>倾斜宽度</w:t>
            </w:r>
          </w:p>
        </w:tc>
        <w:tc>
          <w:tcPr>
            <w:tcW w:w="993" w:type="dxa"/>
            <w:vAlign w:val="center"/>
          </w:tcPr>
          <w:p w:rsidR="00240BCE" w:rsidRDefault="00AC0334">
            <w:pPr>
              <w:spacing w:line="340" w:lineRule="exact"/>
              <w:jc w:val="center"/>
              <w:rPr>
                <w:sz w:val="21"/>
                <w:szCs w:val="21"/>
              </w:rPr>
            </w:pPr>
            <w:r>
              <w:rPr>
                <w:sz w:val="21"/>
                <w:szCs w:val="21"/>
              </w:rPr>
              <w:t>km</w:t>
            </w:r>
          </w:p>
        </w:tc>
        <w:tc>
          <w:tcPr>
            <w:tcW w:w="3808" w:type="dxa"/>
            <w:vAlign w:val="center"/>
          </w:tcPr>
          <w:p w:rsidR="00240BCE" w:rsidRDefault="00AC0334">
            <w:pPr>
              <w:spacing w:line="340" w:lineRule="exact"/>
              <w:jc w:val="center"/>
              <w:rPr>
                <w:sz w:val="21"/>
                <w:szCs w:val="21"/>
              </w:rPr>
            </w:pPr>
            <w:r>
              <w:rPr>
                <w:sz w:val="21"/>
                <w:szCs w:val="21"/>
              </w:rPr>
              <w:t>1.75</w:t>
            </w:r>
            <w:r>
              <w:rPr>
                <w:sz w:val="21"/>
                <w:szCs w:val="21"/>
              </w:rPr>
              <w:t>～</w:t>
            </w:r>
            <w:r>
              <w:rPr>
                <w:sz w:val="21"/>
                <w:szCs w:val="21"/>
              </w:rPr>
              <w:t>2.50</w:t>
            </w:r>
          </w:p>
        </w:tc>
        <w:tc>
          <w:tcPr>
            <w:tcW w:w="728" w:type="dxa"/>
            <w:gridSpan w:val="2"/>
            <w:vAlign w:val="center"/>
          </w:tcPr>
          <w:p w:rsidR="00240BCE" w:rsidRDefault="00240BCE">
            <w:pPr>
              <w:spacing w:line="340" w:lineRule="exact"/>
              <w:jc w:val="center"/>
              <w:rPr>
                <w:sz w:val="21"/>
                <w:szCs w:val="21"/>
              </w:rPr>
            </w:pPr>
          </w:p>
        </w:tc>
      </w:tr>
      <w:tr w:rsidR="00240BCE">
        <w:tc>
          <w:tcPr>
            <w:tcW w:w="671" w:type="dxa"/>
            <w:gridSpan w:val="2"/>
            <w:vAlign w:val="center"/>
          </w:tcPr>
          <w:p w:rsidR="00240BCE" w:rsidRDefault="00AC0334">
            <w:pPr>
              <w:spacing w:line="340" w:lineRule="exact"/>
              <w:jc w:val="center"/>
              <w:rPr>
                <w:spacing w:val="-20"/>
                <w:sz w:val="21"/>
                <w:szCs w:val="21"/>
              </w:rPr>
            </w:pPr>
            <w:r>
              <w:rPr>
                <w:spacing w:val="-20"/>
                <w:sz w:val="21"/>
                <w:szCs w:val="21"/>
              </w:rPr>
              <w:t>⑶</w:t>
            </w:r>
          </w:p>
        </w:tc>
        <w:tc>
          <w:tcPr>
            <w:tcW w:w="2816" w:type="dxa"/>
            <w:vAlign w:val="center"/>
          </w:tcPr>
          <w:p w:rsidR="00240BCE" w:rsidRDefault="00AC0334">
            <w:pPr>
              <w:spacing w:line="340" w:lineRule="exact"/>
              <w:rPr>
                <w:sz w:val="21"/>
                <w:szCs w:val="21"/>
              </w:rPr>
            </w:pPr>
            <w:r>
              <w:rPr>
                <w:sz w:val="21"/>
                <w:szCs w:val="21"/>
              </w:rPr>
              <w:t>井田面积</w:t>
            </w:r>
          </w:p>
        </w:tc>
        <w:tc>
          <w:tcPr>
            <w:tcW w:w="993" w:type="dxa"/>
            <w:vAlign w:val="center"/>
          </w:tcPr>
          <w:p w:rsidR="00240BCE" w:rsidRDefault="00AC0334">
            <w:pPr>
              <w:spacing w:line="340" w:lineRule="exact"/>
              <w:jc w:val="center"/>
              <w:rPr>
                <w:sz w:val="21"/>
                <w:szCs w:val="21"/>
              </w:rPr>
            </w:pPr>
            <w:r>
              <w:rPr>
                <w:sz w:val="21"/>
                <w:szCs w:val="21"/>
              </w:rPr>
              <w:t>km</w:t>
            </w:r>
            <w:r>
              <w:rPr>
                <w:sz w:val="21"/>
                <w:szCs w:val="21"/>
                <w:vertAlign w:val="superscript"/>
              </w:rPr>
              <w:t>2</w:t>
            </w:r>
          </w:p>
        </w:tc>
        <w:tc>
          <w:tcPr>
            <w:tcW w:w="3808" w:type="dxa"/>
            <w:vAlign w:val="center"/>
          </w:tcPr>
          <w:p w:rsidR="00240BCE" w:rsidRDefault="00AC0334">
            <w:pPr>
              <w:spacing w:line="340" w:lineRule="exact"/>
              <w:jc w:val="center"/>
              <w:rPr>
                <w:sz w:val="21"/>
                <w:szCs w:val="21"/>
              </w:rPr>
            </w:pPr>
            <w:r>
              <w:rPr>
                <w:sz w:val="21"/>
                <w:szCs w:val="21"/>
              </w:rPr>
              <w:t>2.2726</w:t>
            </w:r>
          </w:p>
        </w:tc>
        <w:tc>
          <w:tcPr>
            <w:tcW w:w="728" w:type="dxa"/>
            <w:gridSpan w:val="2"/>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t>8</w:t>
            </w:r>
          </w:p>
        </w:tc>
        <w:tc>
          <w:tcPr>
            <w:tcW w:w="2835" w:type="dxa"/>
            <w:gridSpan w:val="2"/>
            <w:vAlign w:val="center"/>
          </w:tcPr>
          <w:p w:rsidR="00240BCE" w:rsidRDefault="00AC0334">
            <w:pPr>
              <w:spacing w:line="340" w:lineRule="exact"/>
              <w:rPr>
                <w:sz w:val="21"/>
                <w:szCs w:val="21"/>
              </w:rPr>
            </w:pPr>
            <w:r>
              <w:rPr>
                <w:sz w:val="21"/>
                <w:szCs w:val="21"/>
              </w:rPr>
              <w:t>开拓方式</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立井开拓</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t>9</w:t>
            </w:r>
          </w:p>
        </w:tc>
        <w:tc>
          <w:tcPr>
            <w:tcW w:w="2835" w:type="dxa"/>
            <w:gridSpan w:val="2"/>
            <w:vAlign w:val="center"/>
          </w:tcPr>
          <w:p w:rsidR="00240BCE" w:rsidRDefault="00AC0334">
            <w:pPr>
              <w:spacing w:line="340" w:lineRule="exact"/>
              <w:rPr>
                <w:sz w:val="21"/>
                <w:szCs w:val="21"/>
              </w:rPr>
            </w:pPr>
            <w:r>
              <w:rPr>
                <w:sz w:val="21"/>
                <w:szCs w:val="21"/>
              </w:rPr>
              <w:t>水平数目</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t>⑴</w:t>
            </w:r>
          </w:p>
        </w:tc>
        <w:tc>
          <w:tcPr>
            <w:tcW w:w="2835" w:type="dxa"/>
            <w:gridSpan w:val="2"/>
            <w:vAlign w:val="center"/>
          </w:tcPr>
          <w:p w:rsidR="00240BCE" w:rsidRDefault="00AC0334">
            <w:pPr>
              <w:spacing w:line="340" w:lineRule="exact"/>
              <w:rPr>
                <w:sz w:val="21"/>
                <w:szCs w:val="21"/>
              </w:rPr>
            </w:pPr>
            <w:r>
              <w:rPr>
                <w:sz w:val="21"/>
                <w:szCs w:val="21"/>
              </w:rPr>
              <w:t>水平数目</w:t>
            </w:r>
          </w:p>
        </w:tc>
        <w:tc>
          <w:tcPr>
            <w:tcW w:w="993" w:type="dxa"/>
            <w:vAlign w:val="center"/>
          </w:tcPr>
          <w:p w:rsidR="00240BCE" w:rsidRDefault="00AC0334">
            <w:pPr>
              <w:spacing w:line="340" w:lineRule="exact"/>
              <w:jc w:val="center"/>
              <w:rPr>
                <w:sz w:val="21"/>
                <w:szCs w:val="21"/>
              </w:rPr>
            </w:pPr>
            <w:r>
              <w:rPr>
                <w:sz w:val="21"/>
                <w:szCs w:val="21"/>
              </w:rPr>
              <w:t>个</w:t>
            </w:r>
          </w:p>
        </w:tc>
        <w:tc>
          <w:tcPr>
            <w:tcW w:w="3827" w:type="dxa"/>
            <w:gridSpan w:val="2"/>
            <w:vAlign w:val="center"/>
          </w:tcPr>
          <w:p w:rsidR="00240BCE" w:rsidRDefault="00AC0334">
            <w:pPr>
              <w:spacing w:line="340" w:lineRule="exact"/>
              <w:jc w:val="center"/>
              <w:rPr>
                <w:sz w:val="21"/>
                <w:szCs w:val="21"/>
              </w:rPr>
            </w:pPr>
            <w:r>
              <w:rPr>
                <w:sz w:val="21"/>
                <w:szCs w:val="21"/>
              </w:rPr>
              <w:t>1</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t>⑵</w:t>
            </w:r>
          </w:p>
        </w:tc>
        <w:tc>
          <w:tcPr>
            <w:tcW w:w="2835" w:type="dxa"/>
            <w:gridSpan w:val="2"/>
            <w:vAlign w:val="center"/>
          </w:tcPr>
          <w:p w:rsidR="00240BCE" w:rsidRDefault="00AC0334">
            <w:pPr>
              <w:spacing w:line="340" w:lineRule="exact"/>
              <w:rPr>
                <w:sz w:val="21"/>
                <w:szCs w:val="21"/>
              </w:rPr>
            </w:pPr>
            <w:r>
              <w:rPr>
                <w:sz w:val="21"/>
                <w:szCs w:val="21"/>
              </w:rPr>
              <w:t>水平标高</w:t>
            </w:r>
          </w:p>
        </w:tc>
        <w:tc>
          <w:tcPr>
            <w:tcW w:w="993" w:type="dxa"/>
            <w:vAlign w:val="center"/>
          </w:tcPr>
          <w:p w:rsidR="00240BCE" w:rsidRDefault="00AC0334">
            <w:pPr>
              <w:spacing w:line="340" w:lineRule="exact"/>
              <w:jc w:val="center"/>
              <w:rPr>
                <w:sz w:val="21"/>
                <w:szCs w:val="21"/>
              </w:rPr>
            </w:pPr>
            <w:r>
              <w:rPr>
                <w:sz w:val="21"/>
                <w:szCs w:val="21"/>
              </w:rPr>
              <w:t>m</w:t>
            </w:r>
          </w:p>
        </w:tc>
        <w:tc>
          <w:tcPr>
            <w:tcW w:w="3827" w:type="dxa"/>
            <w:gridSpan w:val="2"/>
            <w:vAlign w:val="center"/>
          </w:tcPr>
          <w:p w:rsidR="00240BCE" w:rsidRDefault="00AC0334">
            <w:pPr>
              <w:spacing w:line="340" w:lineRule="exact"/>
              <w:jc w:val="center"/>
              <w:rPr>
                <w:sz w:val="21"/>
                <w:szCs w:val="21"/>
              </w:rPr>
            </w:pPr>
            <w:r>
              <w:rPr>
                <w:sz w:val="21"/>
                <w:szCs w:val="21"/>
              </w:rPr>
              <w:t>+45</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t>10</w:t>
            </w:r>
          </w:p>
        </w:tc>
        <w:tc>
          <w:tcPr>
            <w:tcW w:w="2835" w:type="dxa"/>
            <w:gridSpan w:val="2"/>
            <w:vAlign w:val="center"/>
          </w:tcPr>
          <w:p w:rsidR="00240BCE" w:rsidRDefault="00AC0334">
            <w:pPr>
              <w:spacing w:line="340" w:lineRule="exact"/>
              <w:rPr>
                <w:sz w:val="21"/>
                <w:szCs w:val="21"/>
              </w:rPr>
            </w:pPr>
            <w:r>
              <w:rPr>
                <w:sz w:val="21"/>
                <w:szCs w:val="21"/>
              </w:rPr>
              <w:t>井筒类型及长度</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t>⑴</w:t>
            </w:r>
          </w:p>
        </w:tc>
        <w:tc>
          <w:tcPr>
            <w:tcW w:w="2835" w:type="dxa"/>
            <w:gridSpan w:val="2"/>
            <w:vAlign w:val="center"/>
          </w:tcPr>
          <w:p w:rsidR="00240BCE" w:rsidRDefault="00AC0334">
            <w:pPr>
              <w:spacing w:line="340" w:lineRule="exact"/>
              <w:rPr>
                <w:sz w:val="21"/>
                <w:szCs w:val="21"/>
              </w:rPr>
            </w:pPr>
            <w:r>
              <w:rPr>
                <w:sz w:val="21"/>
                <w:szCs w:val="21"/>
              </w:rPr>
              <w:t>主井（深度、净径）</w:t>
            </w:r>
          </w:p>
        </w:tc>
        <w:tc>
          <w:tcPr>
            <w:tcW w:w="993" w:type="dxa"/>
            <w:vAlign w:val="center"/>
          </w:tcPr>
          <w:p w:rsidR="00240BCE" w:rsidRDefault="00AC0334">
            <w:pPr>
              <w:spacing w:line="340" w:lineRule="exact"/>
              <w:jc w:val="center"/>
              <w:rPr>
                <w:sz w:val="21"/>
                <w:szCs w:val="21"/>
              </w:rPr>
            </w:pPr>
            <w:r>
              <w:rPr>
                <w:sz w:val="21"/>
                <w:szCs w:val="21"/>
              </w:rPr>
              <w:t>m</w:t>
            </w:r>
          </w:p>
        </w:tc>
        <w:tc>
          <w:tcPr>
            <w:tcW w:w="3827" w:type="dxa"/>
            <w:gridSpan w:val="2"/>
            <w:vAlign w:val="center"/>
          </w:tcPr>
          <w:p w:rsidR="00240BCE" w:rsidRDefault="00AC0334">
            <w:pPr>
              <w:spacing w:line="340" w:lineRule="exact"/>
              <w:jc w:val="center"/>
              <w:rPr>
                <w:sz w:val="21"/>
                <w:szCs w:val="21"/>
              </w:rPr>
            </w:pPr>
            <w:r>
              <w:rPr>
                <w:sz w:val="21"/>
                <w:szCs w:val="21"/>
              </w:rPr>
              <w:t>253</w:t>
            </w:r>
            <w:r>
              <w:rPr>
                <w:sz w:val="21"/>
                <w:szCs w:val="21"/>
              </w:rPr>
              <w:t>，</w:t>
            </w:r>
            <w:r>
              <w:rPr>
                <w:sz w:val="21"/>
                <w:szCs w:val="21"/>
              </w:rPr>
              <w:t>4.6</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t>⑵</w:t>
            </w:r>
          </w:p>
        </w:tc>
        <w:tc>
          <w:tcPr>
            <w:tcW w:w="2835" w:type="dxa"/>
            <w:gridSpan w:val="2"/>
            <w:vAlign w:val="center"/>
          </w:tcPr>
          <w:p w:rsidR="00240BCE" w:rsidRDefault="00AC0334">
            <w:pPr>
              <w:spacing w:line="340" w:lineRule="exact"/>
              <w:rPr>
                <w:sz w:val="21"/>
                <w:szCs w:val="21"/>
              </w:rPr>
            </w:pPr>
            <w:r>
              <w:rPr>
                <w:sz w:val="21"/>
                <w:szCs w:val="21"/>
              </w:rPr>
              <w:t>副井（深度、净径）</w:t>
            </w:r>
          </w:p>
        </w:tc>
        <w:tc>
          <w:tcPr>
            <w:tcW w:w="993" w:type="dxa"/>
            <w:vAlign w:val="center"/>
          </w:tcPr>
          <w:p w:rsidR="00240BCE" w:rsidRDefault="00AC0334">
            <w:pPr>
              <w:spacing w:line="340" w:lineRule="exact"/>
              <w:jc w:val="center"/>
              <w:rPr>
                <w:sz w:val="21"/>
                <w:szCs w:val="21"/>
              </w:rPr>
            </w:pPr>
            <w:r>
              <w:rPr>
                <w:sz w:val="21"/>
                <w:szCs w:val="21"/>
              </w:rPr>
              <w:t>m</w:t>
            </w:r>
          </w:p>
        </w:tc>
        <w:tc>
          <w:tcPr>
            <w:tcW w:w="3827" w:type="dxa"/>
            <w:gridSpan w:val="2"/>
            <w:vAlign w:val="center"/>
          </w:tcPr>
          <w:p w:rsidR="00240BCE" w:rsidRDefault="00AC0334">
            <w:pPr>
              <w:spacing w:line="340" w:lineRule="exact"/>
              <w:jc w:val="center"/>
              <w:rPr>
                <w:sz w:val="21"/>
                <w:szCs w:val="21"/>
              </w:rPr>
            </w:pPr>
            <w:r>
              <w:rPr>
                <w:sz w:val="21"/>
                <w:szCs w:val="21"/>
              </w:rPr>
              <w:t>251</w:t>
            </w:r>
            <w:r>
              <w:rPr>
                <w:sz w:val="21"/>
                <w:szCs w:val="21"/>
              </w:rPr>
              <w:t>，</w:t>
            </w:r>
            <w:r>
              <w:rPr>
                <w:sz w:val="21"/>
                <w:szCs w:val="21"/>
              </w:rPr>
              <w:t>3.8</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t>⑶</w:t>
            </w:r>
          </w:p>
        </w:tc>
        <w:tc>
          <w:tcPr>
            <w:tcW w:w="2835" w:type="dxa"/>
            <w:gridSpan w:val="2"/>
            <w:vAlign w:val="center"/>
          </w:tcPr>
          <w:p w:rsidR="00240BCE" w:rsidRDefault="00AC0334">
            <w:pPr>
              <w:spacing w:line="340" w:lineRule="exact"/>
              <w:rPr>
                <w:sz w:val="21"/>
                <w:szCs w:val="21"/>
              </w:rPr>
            </w:pPr>
            <w:r>
              <w:rPr>
                <w:sz w:val="21"/>
                <w:szCs w:val="21"/>
              </w:rPr>
              <w:t>回风井（深度、净径）</w:t>
            </w:r>
          </w:p>
        </w:tc>
        <w:tc>
          <w:tcPr>
            <w:tcW w:w="993" w:type="dxa"/>
            <w:vAlign w:val="center"/>
          </w:tcPr>
          <w:p w:rsidR="00240BCE" w:rsidRDefault="00AC0334">
            <w:pPr>
              <w:spacing w:line="340" w:lineRule="exact"/>
              <w:jc w:val="center"/>
              <w:rPr>
                <w:sz w:val="21"/>
                <w:szCs w:val="21"/>
              </w:rPr>
            </w:pPr>
            <w:r>
              <w:rPr>
                <w:sz w:val="21"/>
                <w:szCs w:val="21"/>
              </w:rPr>
              <w:t>m</w:t>
            </w:r>
          </w:p>
        </w:tc>
        <w:tc>
          <w:tcPr>
            <w:tcW w:w="3827" w:type="dxa"/>
            <w:gridSpan w:val="2"/>
            <w:vAlign w:val="center"/>
          </w:tcPr>
          <w:p w:rsidR="00240BCE" w:rsidRDefault="00AC0334">
            <w:pPr>
              <w:spacing w:line="340" w:lineRule="exact"/>
              <w:jc w:val="center"/>
              <w:rPr>
                <w:sz w:val="21"/>
                <w:szCs w:val="21"/>
              </w:rPr>
            </w:pPr>
            <w:r>
              <w:rPr>
                <w:sz w:val="21"/>
                <w:szCs w:val="21"/>
              </w:rPr>
              <w:t>219</w:t>
            </w:r>
            <w:r>
              <w:rPr>
                <w:sz w:val="21"/>
                <w:szCs w:val="21"/>
              </w:rPr>
              <w:t>，</w:t>
            </w:r>
            <w:r>
              <w:rPr>
                <w:sz w:val="21"/>
                <w:szCs w:val="21"/>
              </w:rPr>
              <w:t>3.8</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t>11</w:t>
            </w:r>
          </w:p>
        </w:tc>
        <w:tc>
          <w:tcPr>
            <w:tcW w:w="2835" w:type="dxa"/>
            <w:gridSpan w:val="2"/>
            <w:vAlign w:val="center"/>
          </w:tcPr>
          <w:p w:rsidR="00240BCE" w:rsidRDefault="00AC0334">
            <w:pPr>
              <w:spacing w:line="340" w:lineRule="exact"/>
              <w:rPr>
                <w:sz w:val="21"/>
                <w:szCs w:val="21"/>
              </w:rPr>
            </w:pPr>
            <w:r>
              <w:rPr>
                <w:sz w:val="21"/>
                <w:szCs w:val="21"/>
              </w:rPr>
              <w:t>采区个数</w:t>
            </w:r>
          </w:p>
        </w:tc>
        <w:tc>
          <w:tcPr>
            <w:tcW w:w="993" w:type="dxa"/>
            <w:vAlign w:val="center"/>
          </w:tcPr>
          <w:p w:rsidR="00240BCE" w:rsidRDefault="00AC0334">
            <w:pPr>
              <w:spacing w:line="340" w:lineRule="exact"/>
              <w:jc w:val="center"/>
              <w:rPr>
                <w:sz w:val="21"/>
                <w:szCs w:val="21"/>
              </w:rPr>
            </w:pPr>
            <w:r>
              <w:rPr>
                <w:sz w:val="21"/>
                <w:szCs w:val="21"/>
              </w:rPr>
              <w:t>个</w:t>
            </w:r>
          </w:p>
        </w:tc>
        <w:tc>
          <w:tcPr>
            <w:tcW w:w="3827" w:type="dxa"/>
            <w:gridSpan w:val="2"/>
            <w:vAlign w:val="center"/>
          </w:tcPr>
          <w:p w:rsidR="00240BCE" w:rsidRDefault="00AC0334">
            <w:pPr>
              <w:spacing w:line="340" w:lineRule="exact"/>
              <w:jc w:val="center"/>
              <w:rPr>
                <w:sz w:val="21"/>
                <w:szCs w:val="21"/>
              </w:rPr>
            </w:pPr>
            <w:r>
              <w:rPr>
                <w:sz w:val="21"/>
                <w:szCs w:val="21"/>
              </w:rPr>
              <w:t>2</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pacing w:val="-20"/>
                <w:sz w:val="21"/>
                <w:szCs w:val="21"/>
              </w:rPr>
            </w:pPr>
            <w:r>
              <w:rPr>
                <w:spacing w:val="-20"/>
                <w:sz w:val="21"/>
                <w:szCs w:val="21"/>
              </w:rPr>
              <w:lastRenderedPageBreak/>
              <w:t>12</w:t>
            </w:r>
          </w:p>
        </w:tc>
        <w:tc>
          <w:tcPr>
            <w:tcW w:w="2835" w:type="dxa"/>
            <w:gridSpan w:val="2"/>
            <w:vAlign w:val="center"/>
          </w:tcPr>
          <w:p w:rsidR="00240BCE" w:rsidRDefault="00AC0334">
            <w:pPr>
              <w:spacing w:line="340" w:lineRule="exact"/>
              <w:rPr>
                <w:sz w:val="21"/>
                <w:szCs w:val="21"/>
              </w:rPr>
            </w:pPr>
            <w:r>
              <w:rPr>
                <w:sz w:val="21"/>
                <w:szCs w:val="21"/>
              </w:rPr>
              <w:t>回采工作面个数及长度</w:t>
            </w:r>
          </w:p>
        </w:tc>
        <w:tc>
          <w:tcPr>
            <w:tcW w:w="993" w:type="dxa"/>
            <w:vAlign w:val="center"/>
          </w:tcPr>
          <w:p w:rsidR="00240BCE" w:rsidRDefault="00AC0334">
            <w:pPr>
              <w:spacing w:line="340" w:lineRule="exact"/>
              <w:jc w:val="center"/>
              <w:rPr>
                <w:sz w:val="21"/>
                <w:szCs w:val="21"/>
              </w:rPr>
            </w:pPr>
            <w:r>
              <w:rPr>
                <w:sz w:val="21"/>
                <w:szCs w:val="21"/>
              </w:rPr>
              <w:t>个，</w:t>
            </w:r>
            <w:r>
              <w:rPr>
                <w:sz w:val="21"/>
                <w:szCs w:val="21"/>
              </w:rPr>
              <w:t>m</w:t>
            </w:r>
          </w:p>
        </w:tc>
        <w:tc>
          <w:tcPr>
            <w:tcW w:w="3827" w:type="dxa"/>
            <w:gridSpan w:val="2"/>
            <w:vAlign w:val="center"/>
          </w:tcPr>
          <w:p w:rsidR="00240BCE" w:rsidRDefault="00AC0334">
            <w:pPr>
              <w:spacing w:line="340" w:lineRule="exact"/>
              <w:jc w:val="center"/>
              <w:rPr>
                <w:sz w:val="21"/>
                <w:szCs w:val="21"/>
              </w:rPr>
            </w:pPr>
            <w:r>
              <w:rPr>
                <w:sz w:val="21"/>
                <w:szCs w:val="21"/>
              </w:rPr>
              <w:t>1</w:t>
            </w:r>
            <w:r>
              <w:rPr>
                <w:sz w:val="21"/>
                <w:szCs w:val="21"/>
              </w:rPr>
              <w:t>，</w:t>
            </w:r>
            <w:r>
              <w:rPr>
                <w:sz w:val="21"/>
                <w:szCs w:val="21"/>
              </w:rPr>
              <w:t>90</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13</w:t>
            </w:r>
          </w:p>
        </w:tc>
        <w:tc>
          <w:tcPr>
            <w:tcW w:w="2835" w:type="dxa"/>
            <w:gridSpan w:val="2"/>
            <w:vAlign w:val="center"/>
          </w:tcPr>
          <w:p w:rsidR="00240BCE" w:rsidRDefault="00AC0334">
            <w:pPr>
              <w:spacing w:line="340" w:lineRule="exact"/>
              <w:rPr>
                <w:sz w:val="21"/>
                <w:szCs w:val="21"/>
              </w:rPr>
            </w:pPr>
            <w:r>
              <w:rPr>
                <w:sz w:val="21"/>
                <w:szCs w:val="21"/>
              </w:rPr>
              <w:t>回采工作面年进度</w:t>
            </w:r>
          </w:p>
        </w:tc>
        <w:tc>
          <w:tcPr>
            <w:tcW w:w="993" w:type="dxa"/>
            <w:vAlign w:val="center"/>
          </w:tcPr>
          <w:p w:rsidR="00240BCE" w:rsidRDefault="00AC0334">
            <w:pPr>
              <w:spacing w:line="340" w:lineRule="exact"/>
              <w:jc w:val="center"/>
              <w:rPr>
                <w:sz w:val="21"/>
                <w:szCs w:val="21"/>
              </w:rPr>
            </w:pPr>
            <w:r>
              <w:rPr>
                <w:sz w:val="21"/>
                <w:szCs w:val="21"/>
              </w:rPr>
              <w:t>m</w:t>
            </w:r>
          </w:p>
        </w:tc>
        <w:tc>
          <w:tcPr>
            <w:tcW w:w="3827" w:type="dxa"/>
            <w:gridSpan w:val="2"/>
            <w:vAlign w:val="center"/>
          </w:tcPr>
          <w:p w:rsidR="00240BCE" w:rsidRDefault="00AC0334">
            <w:pPr>
              <w:spacing w:line="340" w:lineRule="exact"/>
              <w:jc w:val="center"/>
              <w:rPr>
                <w:sz w:val="21"/>
                <w:szCs w:val="21"/>
              </w:rPr>
            </w:pPr>
            <w:r>
              <w:rPr>
                <w:sz w:val="21"/>
                <w:szCs w:val="21"/>
              </w:rPr>
              <w:t>561</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14</w:t>
            </w:r>
          </w:p>
        </w:tc>
        <w:tc>
          <w:tcPr>
            <w:tcW w:w="2835" w:type="dxa"/>
            <w:gridSpan w:val="2"/>
            <w:vAlign w:val="center"/>
          </w:tcPr>
          <w:p w:rsidR="00240BCE" w:rsidRDefault="00AC0334">
            <w:pPr>
              <w:spacing w:line="340" w:lineRule="exact"/>
              <w:rPr>
                <w:sz w:val="21"/>
                <w:szCs w:val="21"/>
              </w:rPr>
            </w:pPr>
            <w:r>
              <w:rPr>
                <w:sz w:val="21"/>
                <w:szCs w:val="21"/>
              </w:rPr>
              <w:t>采煤方法</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走向长壁</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15</w:t>
            </w:r>
          </w:p>
        </w:tc>
        <w:tc>
          <w:tcPr>
            <w:tcW w:w="2835" w:type="dxa"/>
            <w:gridSpan w:val="2"/>
            <w:vAlign w:val="center"/>
          </w:tcPr>
          <w:p w:rsidR="00240BCE" w:rsidRDefault="00AC0334">
            <w:pPr>
              <w:spacing w:line="340" w:lineRule="exact"/>
              <w:rPr>
                <w:sz w:val="21"/>
                <w:szCs w:val="21"/>
              </w:rPr>
            </w:pPr>
            <w:r>
              <w:rPr>
                <w:sz w:val="21"/>
                <w:szCs w:val="21"/>
              </w:rPr>
              <w:t>顶板管理方法</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全部跨落法</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16</w:t>
            </w:r>
          </w:p>
        </w:tc>
        <w:tc>
          <w:tcPr>
            <w:tcW w:w="2835" w:type="dxa"/>
            <w:gridSpan w:val="2"/>
            <w:vAlign w:val="center"/>
          </w:tcPr>
          <w:p w:rsidR="00240BCE" w:rsidRDefault="00AC0334">
            <w:pPr>
              <w:spacing w:line="340" w:lineRule="exact"/>
              <w:rPr>
                <w:sz w:val="21"/>
                <w:szCs w:val="21"/>
              </w:rPr>
            </w:pPr>
            <w:r>
              <w:rPr>
                <w:sz w:val="21"/>
                <w:szCs w:val="21"/>
              </w:rPr>
              <w:t>工作面装备</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⑴</w:t>
            </w:r>
          </w:p>
        </w:tc>
        <w:tc>
          <w:tcPr>
            <w:tcW w:w="2835" w:type="dxa"/>
            <w:gridSpan w:val="2"/>
            <w:vAlign w:val="center"/>
          </w:tcPr>
          <w:p w:rsidR="00240BCE" w:rsidRDefault="00AC0334">
            <w:pPr>
              <w:spacing w:line="340" w:lineRule="exact"/>
              <w:rPr>
                <w:sz w:val="21"/>
                <w:szCs w:val="21"/>
              </w:rPr>
            </w:pPr>
            <w:r>
              <w:rPr>
                <w:sz w:val="21"/>
                <w:szCs w:val="21"/>
              </w:rPr>
              <w:t>采煤工艺</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综采放顶煤</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⑵</w:t>
            </w:r>
          </w:p>
        </w:tc>
        <w:tc>
          <w:tcPr>
            <w:tcW w:w="2835" w:type="dxa"/>
            <w:gridSpan w:val="2"/>
            <w:vAlign w:val="center"/>
          </w:tcPr>
          <w:p w:rsidR="00240BCE" w:rsidRDefault="00AC0334">
            <w:pPr>
              <w:spacing w:line="340" w:lineRule="exact"/>
              <w:rPr>
                <w:sz w:val="21"/>
                <w:szCs w:val="21"/>
              </w:rPr>
            </w:pPr>
            <w:r>
              <w:rPr>
                <w:sz w:val="21"/>
                <w:szCs w:val="21"/>
              </w:rPr>
              <w:t>采煤机</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napToGrid w:val="0"/>
                <w:sz w:val="21"/>
                <w:szCs w:val="21"/>
              </w:rPr>
              <w:t>MG160/380WD</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⑶</w:t>
            </w:r>
          </w:p>
        </w:tc>
        <w:tc>
          <w:tcPr>
            <w:tcW w:w="2835" w:type="dxa"/>
            <w:gridSpan w:val="2"/>
            <w:vAlign w:val="center"/>
          </w:tcPr>
          <w:p w:rsidR="00240BCE" w:rsidRDefault="00AC0334">
            <w:pPr>
              <w:spacing w:line="340" w:lineRule="exact"/>
              <w:rPr>
                <w:sz w:val="21"/>
                <w:szCs w:val="21"/>
              </w:rPr>
            </w:pPr>
            <w:r>
              <w:rPr>
                <w:sz w:val="21"/>
                <w:szCs w:val="21"/>
              </w:rPr>
              <w:t>液压支架</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ZF3200/16/26</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⑷</w:t>
            </w:r>
          </w:p>
        </w:tc>
        <w:tc>
          <w:tcPr>
            <w:tcW w:w="2835" w:type="dxa"/>
            <w:gridSpan w:val="2"/>
            <w:vAlign w:val="center"/>
          </w:tcPr>
          <w:p w:rsidR="00240BCE" w:rsidRDefault="00AC0334">
            <w:pPr>
              <w:spacing w:line="340" w:lineRule="exact"/>
              <w:rPr>
                <w:sz w:val="21"/>
                <w:szCs w:val="21"/>
              </w:rPr>
            </w:pPr>
            <w:r>
              <w:rPr>
                <w:sz w:val="21"/>
                <w:szCs w:val="21"/>
              </w:rPr>
              <w:t>端头支架</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ZFG3600/18/28</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⑸</w:t>
            </w:r>
          </w:p>
        </w:tc>
        <w:tc>
          <w:tcPr>
            <w:tcW w:w="2835" w:type="dxa"/>
            <w:gridSpan w:val="2"/>
            <w:vAlign w:val="center"/>
          </w:tcPr>
          <w:p w:rsidR="00240BCE" w:rsidRDefault="00AC0334">
            <w:pPr>
              <w:spacing w:line="340" w:lineRule="exact"/>
              <w:rPr>
                <w:sz w:val="21"/>
                <w:szCs w:val="21"/>
              </w:rPr>
            </w:pPr>
            <w:r>
              <w:rPr>
                <w:snapToGrid w:val="0"/>
                <w:sz w:val="21"/>
                <w:szCs w:val="21"/>
              </w:rPr>
              <w:t>前部刮板输送机</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napToGrid w:val="0"/>
                <w:sz w:val="21"/>
                <w:szCs w:val="21"/>
              </w:rPr>
              <w:t>SGZ630/264</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⑹</w:t>
            </w:r>
          </w:p>
        </w:tc>
        <w:tc>
          <w:tcPr>
            <w:tcW w:w="2835" w:type="dxa"/>
            <w:gridSpan w:val="2"/>
            <w:vAlign w:val="center"/>
          </w:tcPr>
          <w:p w:rsidR="00240BCE" w:rsidRDefault="00AC0334">
            <w:pPr>
              <w:spacing w:line="340" w:lineRule="exact"/>
              <w:rPr>
                <w:sz w:val="21"/>
                <w:szCs w:val="21"/>
              </w:rPr>
            </w:pPr>
            <w:r>
              <w:rPr>
                <w:snapToGrid w:val="0"/>
                <w:sz w:val="21"/>
                <w:szCs w:val="21"/>
              </w:rPr>
              <w:t>后部刮板输送机</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napToGrid w:val="0"/>
                <w:sz w:val="21"/>
                <w:szCs w:val="21"/>
              </w:rPr>
              <w:t>SGZ630/264</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⑺</w:t>
            </w:r>
          </w:p>
        </w:tc>
        <w:tc>
          <w:tcPr>
            <w:tcW w:w="2835" w:type="dxa"/>
            <w:gridSpan w:val="2"/>
            <w:vAlign w:val="center"/>
          </w:tcPr>
          <w:p w:rsidR="00240BCE" w:rsidRDefault="00AC0334">
            <w:pPr>
              <w:spacing w:line="340" w:lineRule="exact"/>
              <w:rPr>
                <w:sz w:val="21"/>
                <w:szCs w:val="21"/>
              </w:rPr>
            </w:pPr>
            <w:r>
              <w:rPr>
                <w:snapToGrid w:val="0"/>
                <w:sz w:val="21"/>
                <w:szCs w:val="21"/>
              </w:rPr>
              <w:t>转载机</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napToGrid w:val="0"/>
                <w:sz w:val="21"/>
                <w:szCs w:val="21"/>
              </w:rPr>
              <w:t>SZZ630/132</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⑻</w:t>
            </w:r>
          </w:p>
        </w:tc>
        <w:tc>
          <w:tcPr>
            <w:tcW w:w="2835" w:type="dxa"/>
            <w:gridSpan w:val="2"/>
            <w:vAlign w:val="center"/>
          </w:tcPr>
          <w:p w:rsidR="00240BCE" w:rsidRDefault="00AC0334">
            <w:pPr>
              <w:spacing w:line="340" w:lineRule="exact"/>
              <w:rPr>
                <w:snapToGrid w:val="0"/>
                <w:sz w:val="21"/>
                <w:szCs w:val="21"/>
              </w:rPr>
            </w:pPr>
            <w:r>
              <w:rPr>
                <w:snapToGrid w:val="0"/>
                <w:sz w:val="21"/>
                <w:szCs w:val="21"/>
              </w:rPr>
              <w:t>可伸缩带式输送机</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胶带运输机，带宽</w:t>
            </w:r>
            <w:r>
              <w:rPr>
                <w:sz w:val="21"/>
                <w:szCs w:val="21"/>
              </w:rPr>
              <w:t>0.8m</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17</w:t>
            </w:r>
          </w:p>
        </w:tc>
        <w:tc>
          <w:tcPr>
            <w:tcW w:w="2835" w:type="dxa"/>
            <w:gridSpan w:val="2"/>
            <w:vAlign w:val="center"/>
          </w:tcPr>
          <w:p w:rsidR="00240BCE" w:rsidRDefault="00AC0334">
            <w:pPr>
              <w:spacing w:line="340" w:lineRule="exact"/>
              <w:rPr>
                <w:sz w:val="21"/>
                <w:szCs w:val="21"/>
              </w:rPr>
            </w:pPr>
            <w:r>
              <w:rPr>
                <w:sz w:val="21"/>
                <w:szCs w:val="21"/>
              </w:rPr>
              <w:t>掘进工作面个数</w:t>
            </w:r>
          </w:p>
        </w:tc>
        <w:tc>
          <w:tcPr>
            <w:tcW w:w="993" w:type="dxa"/>
            <w:vAlign w:val="center"/>
          </w:tcPr>
          <w:p w:rsidR="00240BCE" w:rsidRDefault="00AC0334">
            <w:pPr>
              <w:spacing w:line="340" w:lineRule="exact"/>
              <w:jc w:val="center"/>
              <w:rPr>
                <w:sz w:val="21"/>
                <w:szCs w:val="21"/>
              </w:rPr>
            </w:pPr>
            <w:r>
              <w:rPr>
                <w:sz w:val="21"/>
                <w:szCs w:val="21"/>
              </w:rPr>
              <w:t>个</w:t>
            </w:r>
          </w:p>
        </w:tc>
        <w:tc>
          <w:tcPr>
            <w:tcW w:w="3827" w:type="dxa"/>
            <w:gridSpan w:val="2"/>
            <w:vAlign w:val="center"/>
          </w:tcPr>
          <w:p w:rsidR="00240BCE" w:rsidRDefault="00AC0334">
            <w:pPr>
              <w:spacing w:line="340" w:lineRule="exact"/>
              <w:jc w:val="center"/>
              <w:rPr>
                <w:sz w:val="21"/>
                <w:szCs w:val="21"/>
              </w:rPr>
            </w:pPr>
            <w:r>
              <w:rPr>
                <w:sz w:val="21"/>
                <w:szCs w:val="21"/>
              </w:rPr>
              <w:t>2</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18</w:t>
            </w:r>
          </w:p>
        </w:tc>
        <w:tc>
          <w:tcPr>
            <w:tcW w:w="2835" w:type="dxa"/>
            <w:gridSpan w:val="2"/>
            <w:vAlign w:val="center"/>
          </w:tcPr>
          <w:p w:rsidR="00240BCE" w:rsidRDefault="00AC0334">
            <w:pPr>
              <w:spacing w:line="340" w:lineRule="exact"/>
              <w:rPr>
                <w:sz w:val="21"/>
                <w:szCs w:val="21"/>
              </w:rPr>
            </w:pPr>
            <w:r>
              <w:rPr>
                <w:sz w:val="21"/>
                <w:szCs w:val="21"/>
              </w:rPr>
              <w:t>井下大巷运输</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⑴</w:t>
            </w:r>
          </w:p>
        </w:tc>
        <w:tc>
          <w:tcPr>
            <w:tcW w:w="2835" w:type="dxa"/>
            <w:gridSpan w:val="2"/>
            <w:vAlign w:val="center"/>
          </w:tcPr>
          <w:p w:rsidR="00240BCE" w:rsidRDefault="00AC0334">
            <w:pPr>
              <w:spacing w:line="340" w:lineRule="exact"/>
              <w:rPr>
                <w:sz w:val="21"/>
                <w:szCs w:val="21"/>
              </w:rPr>
            </w:pPr>
            <w:r>
              <w:rPr>
                <w:sz w:val="21"/>
                <w:szCs w:val="21"/>
              </w:rPr>
              <w:t>主运输方式</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胶带运输机，带宽</w:t>
            </w:r>
            <w:r>
              <w:rPr>
                <w:sz w:val="21"/>
                <w:szCs w:val="21"/>
              </w:rPr>
              <w:t>0.8m</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⑵</w:t>
            </w:r>
          </w:p>
        </w:tc>
        <w:tc>
          <w:tcPr>
            <w:tcW w:w="2835" w:type="dxa"/>
            <w:gridSpan w:val="2"/>
            <w:vAlign w:val="center"/>
          </w:tcPr>
          <w:p w:rsidR="00240BCE" w:rsidRDefault="00AC0334">
            <w:pPr>
              <w:spacing w:line="340" w:lineRule="exact"/>
              <w:rPr>
                <w:sz w:val="21"/>
                <w:szCs w:val="21"/>
              </w:rPr>
            </w:pPr>
            <w:r>
              <w:rPr>
                <w:sz w:val="21"/>
                <w:szCs w:val="21"/>
              </w:rPr>
              <w:t>矿车类型及数量</w:t>
            </w:r>
          </w:p>
        </w:tc>
        <w:tc>
          <w:tcPr>
            <w:tcW w:w="993" w:type="dxa"/>
            <w:vAlign w:val="center"/>
          </w:tcPr>
          <w:p w:rsidR="00240BCE" w:rsidRDefault="00AC0334">
            <w:pPr>
              <w:spacing w:line="340" w:lineRule="exact"/>
              <w:jc w:val="center"/>
              <w:rPr>
                <w:sz w:val="21"/>
                <w:szCs w:val="21"/>
              </w:rPr>
            </w:pPr>
            <w:r>
              <w:rPr>
                <w:sz w:val="21"/>
                <w:szCs w:val="21"/>
              </w:rPr>
              <w:t>型号</w:t>
            </w:r>
            <w:r>
              <w:rPr>
                <w:sz w:val="21"/>
                <w:szCs w:val="21"/>
              </w:rPr>
              <w:t>/</w:t>
            </w:r>
            <w:r>
              <w:rPr>
                <w:sz w:val="21"/>
                <w:szCs w:val="21"/>
              </w:rPr>
              <w:t>辆</w:t>
            </w:r>
          </w:p>
        </w:tc>
        <w:tc>
          <w:tcPr>
            <w:tcW w:w="3827" w:type="dxa"/>
            <w:gridSpan w:val="2"/>
            <w:vAlign w:val="center"/>
          </w:tcPr>
          <w:p w:rsidR="00240BCE" w:rsidRDefault="00AC0334">
            <w:pPr>
              <w:spacing w:line="340" w:lineRule="exact"/>
              <w:jc w:val="center"/>
              <w:rPr>
                <w:sz w:val="21"/>
                <w:szCs w:val="21"/>
              </w:rPr>
            </w:pPr>
            <w:r>
              <w:rPr>
                <w:sz w:val="21"/>
                <w:szCs w:val="21"/>
              </w:rPr>
              <w:t>0.75t</w:t>
            </w:r>
            <w:r>
              <w:rPr>
                <w:sz w:val="21"/>
                <w:szCs w:val="21"/>
              </w:rPr>
              <w:t>非标矿车</w:t>
            </w:r>
            <w:r>
              <w:rPr>
                <w:sz w:val="21"/>
                <w:szCs w:val="21"/>
              </w:rPr>
              <w:t>/25</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19</w:t>
            </w:r>
          </w:p>
        </w:tc>
        <w:tc>
          <w:tcPr>
            <w:tcW w:w="2835" w:type="dxa"/>
            <w:gridSpan w:val="2"/>
            <w:vAlign w:val="center"/>
          </w:tcPr>
          <w:p w:rsidR="00240BCE" w:rsidRDefault="00AC0334">
            <w:pPr>
              <w:spacing w:line="340" w:lineRule="exact"/>
              <w:rPr>
                <w:sz w:val="21"/>
                <w:szCs w:val="21"/>
              </w:rPr>
            </w:pPr>
            <w:r>
              <w:rPr>
                <w:sz w:val="21"/>
                <w:szCs w:val="21"/>
              </w:rPr>
              <w:t>提升</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⑴</w:t>
            </w:r>
          </w:p>
        </w:tc>
        <w:tc>
          <w:tcPr>
            <w:tcW w:w="2835" w:type="dxa"/>
            <w:gridSpan w:val="2"/>
            <w:vAlign w:val="center"/>
          </w:tcPr>
          <w:p w:rsidR="00240BCE" w:rsidRDefault="00AC0334">
            <w:pPr>
              <w:spacing w:line="340" w:lineRule="exact"/>
              <w:rPr>
                <w:sz w:val="21"/>
                <w:szCs w:val="21"/>
              </w:rPr>
            </w:pPr>
            <w:r>
              <w:rPr>
                <w:sz w:val="21"/>
                <w:szCs w:val="21"/>
              </w:rPr>
              <w:t>主井提升设备</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2JK-2×1.1P</w:t>
            </w:r>
            <w:r>
              <w:rPr>
                <w:sz w:val="21"/>
                <w:szCs w:val="21"/>
              </w:rPr>
              <w:t>型双筒提升机</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⑵</w:t>
            </w:r>
          </w:p>
        </w:tc>
        <w:tc>
          <w:tcPr>
            <w:tcW w:w="2835" w:type="dxa"/>
            <w:gridSpan w:val="2"/>
            <w:vAlign w:val="center"/>
          </w:tcPr>
          <w:p w:rsidR="00240BCE" w:rsidRDefault="00AC0334">
            <w:pPr>
              <w:spacing w:line="340" w:lineRule="exact"/>
              <w:rPr>
                <w:sz w:val="21"/>
                <w:szCs w:val="21"/>
              </w:rPr>
            </w:pPr>
            <w:r>
              <w:rPr>
                <w:sz w:val="21"/>
                <w:szCs w:val="21"/>
              </w:rPr>
              <w:t>副井提升设备</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2JK-2×1.0P</w:t>
            </w:r>
            <w:r>
              <w:rPr>
                <w:sz w:val="21"/>
                <w:szCs w:val="21"/>
              </w:rPr>
              <w:t>型双筒提升机</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20</w:t>
            </w:r>
          </w:p>
        </w:tc>
        <w:tc>
          <w:tcPr>
            <w:tcW w:w="2835" w:type="dxa"/>
            <w:gridSpan w:val="2"/>
            <w:vAlign w:val="center"/>
          </w:tcPr>
          <w:p w:rsidR="00240BCE" w:rsidRDefault="00AC0334">
            <w:pPr>
              <w:spacing w:line="340" w:lineRule="exact"/>
              <w:rPr>
                <w:sz w:val="21"/>
                <w:szCs w:val="21"/>
              </w:rPr>
            </w:pPr>
            <w:r>
              <w:rPr>
                <w:sz w:val="21"/>
                <w:szCs w:val="21"/>
              </w:rPr>
              <w:t>通风</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⑴</w:t>
            </w:r>
          </w:p>
        </w:tc>
        <w:tc>
          <w:tcPr>
            <w:tcW w:w="2835" w:type="dxa"/>
            <w:gridSpan w:val="2"/>
            <w:vAlign w:val="center"/>
          </w:tcPr>
          <w:p w:rsidR="00240BCE" w:rsidRDefault="00AC0334">
            <w:pPr>
              <w:spacing w:line="340" w:lineRule="exact"/>
              <w:rPr>
                <w:sz w:val="21"/>
                <w:szCs w:val="21"/>
              </w:rPr>
            </w:pPr>
            <w:r>
              <w:rPr>
                <w:sz w:val="21"/>
                <w:szCs w:val="21"/>
              </w:rPr>
              <w:t>瓦斯（或二氧化碳）等级</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低瓦斯</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⑵</w:t>
            </w:r>
          </w:p>
        </w:tc>
        <w:tc>
          <w:tcPr>
            <w:tcW w:w="2835" w:type="dxa"/>
            <w:gridSpan w:val="2"/>
            <w:vAlign w:val="center"/>
          </w:tcPr>
          <w:p w:rsidR="00240BCE" w:rsidRDefault="00AC0334">
            <w:pPr>
              <w:spacing w:line="340" w:lineRule="exact"/>
              <w:rPr>
                <w:sz w:val="21"/>
                <w:szCs w:val="21"/>
              </w:rPr>
            </w:pPr>
            <w:r>
              <w:rPr>
                <w:sz w:val="21"/>
                <w:szCs w:val="21"/>
              </w:rPr>
              <w:t>通风方式</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中央并列式</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⑶</w:t>
            </w:r>
          </w:p>
        </w:tc>
        <w:tc>
          <w:tcPr>
            <w:tcW w:w="2835" w:type="dxa"/>
            <w:gridSpan w:val="2"/>
            <w:vAlign w:val="center"/>
          </w:tcPr>
          <w:p w:rsidR="00240BCE" w:rsidRDefault="00AC0334">
            <w:pPr>
              <w:spacing w:line="340" w:lineRule="exact"/>
              <w:rPr>
                <w:sz w:val="21"/>
                <w:szCs w:val="21"/>
              </w:rPr>
            </w:pPr>
            <w:r>
              <w:rPr>
                <w:sz w:val="21"/>
                <w:szCs w:val="21"/>
              </w:rPr>
              <w:t>通风机型号及数量</w:t>
            </w:r>
          </w:p>
        </w:tc>
        <w:tc>
          <w:tcPr>
            <w:tcW w:w="993" w:type="dxa"/>
            <w:vAlign w:val="center"/>
          </w:tcPr>
          <w:p w:rsidR="00240BCE" w:rsidRDefault="00AC0334">
            <w:pPr>
              <w:spacing w:line="340" w:lineRule="exact"/>
              <w:jc w:val="center"/>
              <w:rPr>
                <w:spacing w:val="-20"/>
                <w:sz w:val="21"/>
                <w:szCs w:val="21"/>
              </w:rPr>
            </w:pPr>
            <w:r>
              <w:rPr>
                <w:spacing w:val="-20"/>
                <w:sz w:val="21"/>
                <w:szCs w:val="21"/>
              </w:rPr>
              <w:t>型号／台</w:t>
            </w:r>
          </w:p>
        </w:tc>
        <w:tc>
          <w:tcPr>
            <w:tcW w:w="3827" w:type="dxa"/>
            <w:gridSpan w:val="2"/>
            <w:vAlign w:val="center"/>
          </w:tcPr>
          <w:p w:rsidR="00240BCE" w:rsidRDefault="00AC0334">
            <w:pPr>
              <w:spacing w:line="340" w:lineRule="exact"/>
              <w:jc w:val="center"/>
              <w:rPr>
                <w:sz w:val="21"/>
                <w:szCs w:val="21"/>
              </w:rPr>
            </w:pPr>
            <w:r>
              <w:rPr>
                <w:sz w:val="21"/>
                <w:szCs w:val="21"/>
              </w:rPr>
              <w:t>FBCDZ-№20</w:t>
            </w:r>
            <w:r>
              <w:rPr>
                <w:sz w:val="21"/>
                <w:szCs w:val="21"/>
              </w:rPr>
              <w:t>型对旋轴流风机</w:t>
            </w:r>
            <w:r>
              <w:rPr>
                <w:sz w:val="21"/>
                <w:szCs w:val="21"/>
              </w:rPr>
              <w:t>/2</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21</w:t>
            </w:r>
          </w:p>
        </w:tc>
        <w:tc>
          <w:tcPr>
            <w:tcW w:w="2835" w:type="dxa"/>
            <w:gridSpan w:val="2"/>
            <w:vAlign w:val="center"/>
          </w:tcPr>
          <w:p w:rsidR="00240BCE" w:rsidRDefault="00AC0334">
            <w:pPr>
              <w:spacing w:line="340" w:lineRule="exact"/>
              <w:rPr>
                <w:sz w:val="21"/>
                <w:szCs w:val="21"/>
              </w:rPr>
            </w:pPr>
            <w:r>
              <w:rPr>
                <w:sz w:val="21"/>
                <w:szCs w:val="21"/>
              </w:rPr>
              <w:t>排水</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240BCE">
            <w:pPr>
              <w:numPr>
                <w:ilvl w:val="0"/>
                <w:numId w:val="4"/>
              </w:numPr>
              <w:spacing w:line="340" w:lineRule="exact"/>
              <w:jc w:val="center"/>
              <w:rPr>
                <w:sz w:val="21"/>
                <w:szCs w:val="21"/>
              </w:rPr>
            </w:pPr>
          </w:p>
        </w:tc>
        <w:tc>
          <w:tcPr>
            <w:tcW w:w="2835" w:type="dxa"/>
            <w:gridSpan w:val="2"/>
            <w:vAlign w:val="center"/>
          </w:tcPr>
          <w:p w:rsidR="00240BCE" w:rsidRDefault="00AC0334">
            <w:pPr>
              <w:spacing w:line="340" w:lineRule="exact"/>
              <w:rPr>
                <w:sz w:val="21"/>
                <w:szCs w:val="21"/>
              </w:rPr>
            </w:pPr>
            <w:r>
              <w:rPr>
                <w:sz w:val="21"/>
                <w:szCs w:val="21"/>
              </w:rPr>
              <w:t>涌水量（开采二</w:t>
            </w:r>
            <w:r>
              <w:rPr>
                <w:sz w:val="21"/>
                <w:szCs w:val="21"/>
                <w:vertAlign w:val="subscript"/>
              </w:rPr>
              <w:t>1</w:t>
            </w:r>
            <w:r>
              <w:rPr>
                <w:sz w:val="21"/>
                <w:szCs w:val="21"/>
              </w:rPr>
              <w:t>煤时）</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w w:val="80"/>
                <w:sz w:val="21"/>
                <w:szCs w:val="21"/>
              </w:rPr>
            </w:pPr>
          </w:p>
        </w:tc>
      </w:tr>
      <w:tr w:rsidR="00240BCE">
        <w:tc>
          <w:tcPr>
            <w:tcW w:w="652" w:type="dxa"/>
            <w:vAlign w:val="center"/>
          </w:tcPr>
          <w:p w:rsidR="00240BCE" w:rsidRDefault="00240BCE">
            <w:pPr>
              <w:spacing w:line="340" w:lineRule="exact"/>
              <w:jc w:val="center"/>
              <w:rPr>
                <w:sz w:val="21"/>
                <w:szCs w:val="21"/>
              </w:rPr>
            </w:pPr>
          </w:p>
        </w:tc>
        <w:tc>
          <w:tcPr>
            <w:tcW w:w="2835" w:type="dxa"/>
            <w:gridSpan w:val="2"/>
            <w:vAlign w:val="center"/>
          </w:tcPr>
          <w:p w:rsidR="00240BCE" w:rsidRDefault="00AC0334">
            <w:pPr>
              <w:spacing w:line="340" w:lineRule="exact"/>
              <w:rPr>
                <w:sz w:val="21"/>
                <w:szCs w:val="21"/>
              </w:rPr>
            </w:pPr>
            <w:r>
              <w:rPr>
                <w:sz w:val="21"/>
                <w:szCs w:val="21"/>
              </w:rPr>
              <w:t>正常（</w:t>
            </w:r>
            <w:r>
              <w:rPr>
                <w:sz w:val="21"/>
                <w:szCs w:val="21"/>
              </w:rPr>
              <w:t>-150m</w:t>
            </w:r>
            <w:r>
              <w:rPr>
                <w:sz w:val="21"/>
                <w:szCs w:val="21"/>
              </w:rPr>
              <w:t>）</w:t>
            </w:r>
          </w:p>
        </w:tc>
        <w:tc>
          <w:tcPr>
            <w:tcW w:w="993" w:type="dxa"/>
            <w:vAlign w:val="center"/>
          </w:tcPr>
          <w:p w:rsidR="00240BCE" w:rsidRDefault="00AC0334">
            <w:pPr>
              <w:spacing w:line="340" w:lineRule="exact"/>
              <w:jc w:val="center"/>
              <w:rPr>
                <w:sz w:val="21"/>
                <w:szCs w:val="21"/>
              </w:rPr>
            </w:pPr>
            <w:r>
              <w:rPr>
                <w:sz w:val="21"/>
                <w:szCs w:val="21"/>
              </w:rPr>
              <w:t>m</w:t>
            </w:r>
            <w:r>
              <w:rPr>
                <w:sz w:val="21"/>
                <w:szCs w:val="21"/>
                <w:vertAlign w:val="superscript"/>
              </w:rPr>
              <w:t>3</w:t>
            </w:r>
            <w:r>
              <w:rPr>
                <w:sz w:val="21"/>
                <w:szCs w:val="21"/>
              </w:rPr>
              <w:t>/h</w:t>
            </w:r>
          </w:p>
        </w:tc>
        <w:tc>
          <w:tcPr>
            <w:tcW w:w="3827" w:type="dxa"/>
            <w:gridSpan w:val="2"/>
            <w:vAlign w:val="center"/>
          </w:tcPr>
          <w:p w:rsidR="00240BCE" w:rsidRDefault="00AC0334">
            <w:pPr>
              <w:spacing w:line="340" w:lineRule="exact"/>
              <w:jc w:val="center"/>
              <w:rPr>
                <w:sz w:val="21"/>
                <w:szCs w:val="21"/>
              </w:rPr>
            </w:pPr>
            <w:r>
              <w:rPr>
                <w:sz w:val="21"/>
                <w:szCs w:val="21"/>
              </w:rPr>
              <w:t>124</w:t>
            </w:r>
          </w:p>
        </w:tc>
        <w:tc>
          <w:tcPr>
            <w:tcW w:w="709" w:type="dxa"/>
            <w:vAlign w:val="center"/>
          </w:tcPr>
          <w:p w:rsidR="00240BCE" w:rsidRDefault="00240BCE">
            <w:pPr>
              <w:spacing w:line="340" w:lineRule="exact"/>
              <w:jc w:val="center"/>
              <w:rPr>
                <w:w w:val="80"/>
                <w:sz w:val="21"/>
                <w:szCs w:val="21"/>
              </w:rPr>
            </w:pPr>
          </w:p>
        </w:tc>
      </w:tr>
      <w:tr w:rsidR="00240BCE">
        <w:tc>
          <w:tcPr>
            <w:tcW w:w="652" w:type="dxa"/>
            <w:vAlign w:val="center"/>
          </w:tcPr>
          <w:p w:rsidR="00240BCE" w:rsidRDefault="00240BCE">
            <w:pPr>
              <w:spacing w:line="340" w:lineRule="exact"/>
              <w:jc w:val="center"/>
              <w:rPr>
                <w:sz w:val="21"/>
                <w:szCs w:val="21"/>
              </w:rPr>
            </w:pPr>
          </w:p>
        </w:tc>
        <w:tc>
          <w:tcPr>
            <w:tcW w:w="2835" w:type="dxa"/>
            <w:gridSpan w:val="2"/>
            <w:vAlign w:val="center"/>
          </w:tcPr>
          <w:p w:rsidR="00240BCE" w:rsidRDefault="00AC0334">
            <w:pPr>
              <w:spacing w:line="340" w:lineRule="exact"/>
              <w:rPr>
                <w:sz w:val="21"/>
                <w:szCs w:val="21"/>
              </w:rPr>
            </w:pPr>
            <w:r>
              <w:rPr>
                <w:sz w:val="21"/>
                <w:szCs w:val="21"/>
              </w:rPr>
              <w:t>最大（</w:t>
            </w:r>
            <w:r>
              <w:rPr>
                <w:sz w:val="21"/>
                <w:szCs w:val="21"/>
              </w:rPr>
              <w:t>-150m</w:t>
            </w:r>
            <w:r>
              <w:rPr>
                <w:sz w:val="21"/>
                <w:szCs w:val="21"/>
              </w:rPr>
              <w:t>）</w:t>
            </w:r>
          </w:p>
        </w:tc>
        <w:tc>
          <w:tcPr>
            <w:tcW w:w="993" w:type="dxa"/>
            <w:vAlign w:val="center"/>
          </w:tcPr>
          <w:p w:rsidR="00240BCE" w:rsidRDefault="00AC0334">
            <w:pPr>
              <w:spacing w:line="340" w:lineRule="exact"/>
              <w:jc w:val="center"/>
              <w:rPr>
                <w:sz w:val="21"/>
                <w:szCs w:val="21"/>
              </w:rPr>
            </w:pPr>
            <w:r>
              <w:rPr>
                <w:sz w:val="21"/>
                <w:szCs w:val="21"/>
              </w:rPr>
              <w:t>m</w:t>
            </w:r>
            <w:r>
              <w:rPr>
                <w:sz w:val="21"/>
                <w:szCs w:val="21"/>
                <w:vertAlign w:val="superscript"/>
              </w:rPr>
              <w:t>3</w:t>
            </w:r>
            <w:r>
              <w:rPr>
                <w:sz w:val="21"/>
                <w:szCs w:val="21"/>
              </w:rPr>
              <w:t>/h</w:t>
            </w:r>
          </w:p>
        </w:tc>
        <w:tc>
          <w:tcPr>
            <w:tcW w:w="3827" w:type="dxa"/>
            <w:gridSpan w:val="2"/>
            <w:vAlign w:val="center"/>
          </w:tcPr>
          <w:p w:rsidR="00240BCE" w:rsidRDefault="00AC0334">
            <w:pPr>
              <w:spacing w:line="340" w:lineRule="exact"/>
              <w:jc w:val="center"/>
              <w:rPr>
                <w:sz w:val="21"/>
                <w:szCs w:val="21"/>
              </w:rPr>
            </w:pPr>
            <w:r>
              <w:rPr>
                <w:sz w:val="21"/>
                <w:szCs w:val="21"/>
              </w:rPr>
              <w:t>248</w:t>
            </w:r>
          </w:p>
        </w:tc>
        <w:tc>
          <w:tcPr>
            <w:tcW w:w="709" w:type="dxa"/>
            <w:vAlign w:val="center"/>
          </w:tcPr>
          <w:p w:rsidR="00240BCE" w:rsidRDefault="00240BCE">
            <w:pPr>
              <w:spacing w:line="340" w:lineRule="exact"/>
              <w:jc w:val="center"/>
              <w:rPr>
                <w:w w:val="80"/>
                <w:sz w:val="21"/>
                <w:szCs w:val="21"/>
              </w:rPr>
            </w:pPr>
          </w:p>
        </w:tc>
      </w:tr>
      <w:tr w:rsidR="00240BCE">
        <w:tc>
          <w:tcPr>
            <w:tcW w:w="652" w:type="dxa"/>
            <w:vAlign w:val="center"/>
          </w:tcPr>
          <w:p w:rsidR="00240BCE" w:rsidRDefault="00240BCE">
            <w:pPr>
              <w:numPr>
                <w:ilvl w:val="0"/>
                <w:numId w:val="1"/>
              </w:numPr>
              <w:spacing w:line="340" w:lineRule="exact"/>
              <w:jc w:val="center"/>
              <w:rPr>
                <w:sz w:val="21"/>
                <w:szCs w:val="21"/>
              </w:rPr>
            </w:pPr>
          </w:p>
        </w:tc>
        <w:tc>
          <w:tcPr>
            <w:tcW w:w="2835" w:type="dxa"/>
            <w:gridSpan w:val="2"/>
            <w:vAlign w:val="center"/>
          </w:tcPr>
          <w:p w:rsidR="00240BCE" w:rsidRDefault="00AC0334">
            <w:pPr>
              <w:spacing w:line="340" w:lineRule="exact"/>
              <w:rPr>
                <w:sz w:val="21"/>
                <w:szCs w:val="21"/>
              </w:rPr>
            </w:pPr>
            <w:r>
              <w:rPr>
                <w:sz w:val="21"/>
                <w:szCs w:val="21"/>
              </w:rPr>
              <w:t>主排水泵</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MD155-67×5</w:t>
            </w:r>
            <w:r>
              <w:rPr>
                <w:sz w:val="21"/>
                <w:szCs w:val="21"/>
              </w:rPr>
              <w:t>型</w:t>
            </w:r>
            <w:r>
              <w:rPr>
                <w:sz w:val="21"/>
                <w:szCs w:val="21"/>
              </w:rPr>
              <w:t>/3</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240BCE">
            <w:pPr>
              <w:numPr>
                <w:ilvl w:val="0"/>
                <w:numId w:val="1"/>
              </w:numPr>
              <w:spacing w:line="340" w:lineRule="exact"/>
              <w:jc w:val="center"/>
              <w:rPr>
                <w:sz w:val="21"/>
                <w:szCs w:val="21"/>
              </w:rPr>
            </w:pPr>
          </w:p>
        </w:tc>
        <w:tc>
          <w:tcPr>
            <w:tcW w:w="2835" w:type="dxa"/>
            <w:gridSpan w:val="2"/>
            <w:vAlign w:val="center"/>
          </w:tcPr>
          <w:p w:rsidR="00240BCE" w:rsidRDefault="00AC0334">
            <w:pPr>
              <w:spacing w:line="340" w:lineRule="exact"/>
              <w:rPr>
                <w:sz w:val="21"/>
                <w:szCs w:val="21"/>
              </w:rPr>
            </w:pPr>
            <w:r>
              <w:rPr>
                <w:sz w:val="21"/>
                <w:szCs w:val="21"/>
              </w:rPr>
              <w:t>采区排水泵</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MD155-30×6</w:t>
            </w:r>
            <w:r>
              <w:rPr>
                <w:sz w:val="21"/>
                <w:szCs w:val="21"/>
              </w:rPr>
              <w:t>型</w:t>
            </w:r>
            <w:r>
              <w:rPr>
                <w:sz w:val="21"/>
                <w:szCs w:val="21"/>
              </w:rPr>
              <w:t>/3</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22</w:t>
            </w:r>
          </w:p>
        </w:tc>
        <w:tc>
          <w:tcPr>
            <w:tcW w:w="2835" w:type="dxa"/>
            <w:gridSpan w:val="2"/>
            <w:vAlign w:val="center"/>
          </w:tcPr>
          <w:p w:rsidR="00240BCE" w:rsidRDefault="00AC0334">
            <w:pPr>
              <w:spacing w:line="340" w:lineRule="exact"/>
              <w:rPr>
                <w:sz w:val="21"/>
                <w:szCs w:val="21"/>
              </w:rPr>
            </w:pPr>
            <w:r>
              <w:rPr>
                <w:sz w:val="21"/>
                <w:szCs w:val="21"/>
              </w:rPr>
              <w:t>压缩空气</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⑴</w:t>
            </w:r>
          </w:p>
        </w:tc>
        <w:tc>
          <w:tcPr>
            <w:tcW w:w="2835" w:type="dxa"/>
            <w:gridSpan w:val="2"/>
            <w:vAlign w:val="center"/>
          </w:tcPr>
          <w:p w:rsidR="00240BCE" w:rsidRDefault="00AC0334">
            <w:pPr>
              <w:spacing w:line="340" w:lineRule="exact"/>
              <w:rPr>
                <w:sz w:val="21"/>
                <w:szCs w:val="21"/>
              </w:rPr>
            </w:pPr>
            <w:r>
              <w:rPr>
                <w:sz w:val="21"/>
                <w:szCs w:val="21"/>
              </w:rPr>
              <w:t>压缩空气总需要量</w:t>
            </w:r>
          </w:p>
        </w:tc>
        <w:tc>
          <w:tcPr>
            <w:tcW w:w="993" w:type="dxa"/>
            <w:vAlign w:val="center"/>
          </w:tcPr>
          <w:p w:rsidR="00240BCE" w:rsidRDefault="00AC0334">
            <w:pPr>
              <w:spacing w:line="340" w:lineRule="exact"/>
              <w:jc w:val="center"/>
              <w:rPr>
                <w:sz w:val="21"/>
                <w:szCs w:val="21"/>
              </w:rPr>
            </w:pPr>
            <w:r>
              <w:rPr>
                <w:sz w:val="21"/>
                <w:szCs w:val="21"/>
              </w:rPr>
              <w:t>m</w:t>
            </w:r>
            <w:r>
              <w:rPr>
                <w:sz w:val="21"/>
                <w:szCs w:val="21"/>
                <w:vertAlign w:val="superscript"/>
              </w:rPr>
              <w:t>3</w:t>
            </w:r>
            <w:r>
              <w:rPr>
                <w:sz w:val="21"/>
                <w:szCs w:val="21"/>
              </w:rPr>
              <w:t>/min</w:t>
            </w:r>
          </w:p>
        </w:tc>
        <w:tc>
          <w:tcPr>
            <w:tcW w:w="3827" w:type="dxa"/>
            <w:gridSpan w:val="2"/>
            <w:vAlign w:val="center"/>
          </w:tcPr>
          <w:p w:rsidR="00240BCE" w:rsidRDefault="00AC0334">
            <w:pPr>
              <w:spacing w:line="340" w:lineRule="exact"/>
              <w:jc w:val="center"/>
              <w:rPr>
                <w:sz w:val="21"/>
                <w:szCs w:val="21"/>
              </w:rPr>
            </w:pPr>
            <w:r>
              <w:rPr>
                <w:sz w:val="21"/>
                <w:szCs w:val="21"/>
              </w:rPr>
              <w:t>19</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⑵</w:t>
            </w:r>
          </w:p>
        </w:tc>
        <w:tc>
          <w:tcPr>
            <w:tcW w:w="2835" w:type="dxa"/>
            <w:gridSpan w:val="2"/>
            <w:vAlign w:val="center"/>
          </w:tcPr>
          <w:p w:rsidR="00240BCE" w:rsidRDefault="00AC0334">
            <w:pPr>
              <w:spacing w:line="340" w:lineRule="exact"/>
              <w:rPr>
                <w:sz w:val="21"/>
                <w:szCs w:val="21"/>
              </w:rPr>
            </w:pPr>
            <w:r>
              <w:rPr>
                <w:sz w:val="21"/>
                <w:szCs w:val="21"/>
              </w:rPr>
              <w:t>空气压缩机型号及数量</w:t>
            </w:r>
          </w:p>
        </w:tc>
        <w:tc>
          <w:tcPr>
            <w:tcW w:w="993" w:type="dxa"/>
            <w:vAlign w:val="center"/>
          </w:tcPr>
          <w:p w:rsidR="00240BCE" w:rsidRDefault="00AC0334">
            <w:pPr>
              <w:spacing w:line="340" w:lineRule="exact"/>
              <w:jc w:val="center"/>
              <w:rPr>
                <w:sz w:val="21"/>
                <w:szCs w:val="21"/>
              </w:rPr>
            </w:pPr>
            <w:r>
              <w:rPr>
                <w:sz w:val="21"/>
                <w:szCs w:val="21"/>
              </w:rPr>
              <w:t>型号／台</w:t>
            </w:r>
          </w:p>
        </w:tc>
        <w:tc>
          <w:tcPr>
            <w:tcW w:w="3827" w:type="dxa"/>
            <w:gridSpan w:val="2"/>
            <w:vAlign w:val="center"/>
          </w:tcPr>
          <w:p w:rsidR="00240BCE" w:rsidRDefault="00AC0334">
            <w:pPr>
              <w:spacing w:line="340" w:lineRule="exact"/>
              <w:jc w:val="center"/>
              <w:rPr>
                <w:sz w:val="21"/>
                <w:szCs w:val="21"/>
              </w:rPr>
            </w:pPr>
            <w:r>
              <w:rPr>
                <w:sz w:val="21"/>
                <w:szCs w:val="21"/>
              </w:rPr>
              <w:t>LGJ-22/8G</w:t>
            </w:r>
            <w:r>
              <w:rPr>
                <w:sz w:val="21"/>
                <w:szCs w:val="21"/>
              </w:rPr>
              <w:t>螺杆压缩机</w:t>
            </w:r>
            <w:r>
              <w:rPr>
                <w:sz w:val="21"/>
                <w:szCs w:val="21"/>
              </w:rPr>
              <w:t>/2</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23</w:t>
            </w:r>
          </w:p>
        </w:tc>
        <w:tc>
          <w:tcPr>
            <w:tcW w:w="2835" w:type="dxa"/>
            <w:gridSpan w:val="2"/>
            <w:vAlign w:val="center"/>
          </w:tcPr>
          <w:p w:rsidR="00240BCE" w:rsidRDefault="00AC0334">
            <w:pPr>
              <w:spacing w:line="340" w:lineRule="exact"/>
              <w:rPr>
                <w:sz w:val="21"/>
                <w:szCs w:val="21"/>
              </w:rPr>
            </w:pPr>
            <w:r>
              <w:rPr>
                <w:sz w:val="21"/>
                <w:szCs w:val="21"/>
              </w:rPr>
              <w:t>地面生产系统</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⑴</w:t>
            </w:r>
          </w:p>
        </w:tc>
        <w:tc>
          <w:tcPr>
            <w:tcW w:w="2835" w:type="dxa"/>
            <w:gridSpan w:val="2"/>
            <w:vAlign w:val="center"/>
          </w:tcPr>
          <w:p w:rsidR="00240BCE" w:rsidRDefault="00AC0334">
            <w:pPr>
              <w:spacing w:line="340" w:lineRule="exact"/>
              <w:rPr>
                <w:sz w:val="21"/>
                <w:szCs w:val="21"/>
              </w:rPr>
            </w:pPr>
            <w:r>
              <w:rPr>
                <w:sz w:val="21"/>
                <w:szCs w:val="21"/>
              </w:rPr>
              <w:t>筛分级别</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人工拣矸</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⑵</w:t>
            </w:r>
          </w:p>
        </w:tc>
        <w:tc>
          <w:tcPr>
            <w:tcW w:w="2835" w:type="dxa"/>
            <w:gridSpan w:val="2"/>
            <w:vAlign w:val="center"/>
          </w:tcPr>
          <w:p w:rsidR="00240BCE" w:rsidRDefault="00AC0334">
            <w:pPr>
              <w:spacing w:line="340" w:lineRule="exact"/>
              <w:rPr>
                <w:sz w:val="21"/>
                <w:szCs w:val="21"/>
              </w:rPr>
            </w:pPr>
            <w:r>
              <w:rPr>
                <w:sz w:val="21"/>
                <w:szCs w:val="21"/>
              </w:rPr>
              <w:t>储煤仓型式及容量</w:t>
            </w:r>
          </w:p>
        </w:tc>
        <w:tc>
          <w:tcPr>
            <w:tcW w:w="993" w:type="dxa"/>
            <w:vAlign w:val="center"/>
          </w:tcPr>
          <w:p w:rsidR="00240BCE" w:rsidRDefault="00AC0334">
            <w:pPr>
              <w:spacing w:line="340" w:lineRule="exact"/>
              <w:jc w:val="center"/>
              <w:rPr>
                <w:sz w:val="21"/>
                <w:szCs w:val="21"/>
              </w:rPr>
            </w:pPr>
            <w:r>
              <w:rPr>
                <w:sz w:val="21"/>
                <w:szCs w:val="21"/>
              </w:rPr>
              <w:t>t</w:t>
            </w:r>
          </w:p>
        </w:tc>
        <w:tc>
          <w:tcPr>
            <w:tcW w:w="3827" w:type="dxa"/>
            <w:gridSpan w:val="2"/>
            <w:vAlign w:val="center"/>
          </w:tcPr>
          <w:p w:rsidR="00240BCE" w:rsidRDefault="00802A62">
            <w:pPr>
              <w:spacing w:line="340" w:lineRule="exact"/>
              <w:jc w:val="center"/>
              <w:rPr>
                <w:sz w:val="21"/>
                <w:szCs w:val="21"/>
              </w:rPr>
            </w:pPr>
            <w:r>
              <w:rPr>
                <w:sz w:val="21"/>
                <w:szCs w:val="21"/>
              </w:rPr>
              <w:t>储煤库</w:t>
            </w:r>
            <w:r w:rsidR="00AC0334">
              <w:rPr>
                <w:sz w:val="21"/>
                <w:szCs w:val="21"/>
              </w:rPr>
              <w:t>，</w:t>
            </w:r>
            <w:r w:rsidR="00AC0334">
              <w:rPr>
                <w:sz w:val="21"/>
                <w:szCs w:val="21"/>
              </w:rPr>
              <w:t>6000t</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⑶</w:t>
            </w:r>
          </w:p>
        </w:tc>
        <w:tc>
          <w:tcPr>
            <w:tcW w:w="2835" w:type="dxa"/>
            <w:gridSpan w:val="2"/>
            <w:vAlign w:val="center"/>
          </w:tcPr>
          <w:p w:rsidR="00240BCE" w:rsidRDefault="00AC0334">
            <w:pPr>
              <w:spacing w:line="340" w:lineRule="exact"/>
              <w:rPr>
                <w:sz w:val="21"/>
                <w:szCs w:val="21"/>
              </w:rPr>
            </w:pPr>
            <w:r>
              <w:rPr>
                <w:sz w:val="21"/>
                <w:szCs w:val="21"/>
              </w:rPr>
              <w:t>矸石处理方式</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AC0334">
            <w:pPr>
              <w:spacing w:line="340" w:lineRule="exact"/>
              <w:jc w:val="center"/>
              <w:rPr>
                <w:sz w:val="21"/>
                <w:szCs w:val="21"/>
              </w:rPr>
            </w:pPr>
            <w:r>
              <w:rPr>
                <w:sz w:val="21"/>
                <w:szCs w:val="21"/>
              </w:rPr>
              <w:t>综合利用</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24</w:t>
            </w:r>
          </w:p>
        </w:tc>
        <w:tc>
          <w:tcPr>
            <w:tcW w:w="2835" w:type="dxa"/>
            <w:gridSpan w:val="2"/>
            <w:vAlign w:val="center"/>
          </w:tcPr>
          <w:p w:rsidR="00240BCE" w:rsidRDefault="00AC0334">
            <w:pPr>
              <w:spacing w:line="340" w:lineRule="exact"/>
              <w:rPr>
                <w:sz w:val="21"/>
                <w:szCs w:val="21"/>
              </w:rPr>
            </w:pPr>
            <w:r>
              <w:rPr>
                <w:sz w:val="21"/>
                <w:szCs w:val="21"/>
              </w:rPr>
              <w:t>供电</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240BCE">
            <w:pPr>
              <w:numPr>
                <w:ilvl w:val="0"/>
                <w:numId w:val="3"/>
              </w:numPr>
              <w:spacing w:line="340" w:lineRule="exact"/>
              <w:jc w:val="center"/>
              <w:rPr>
                <w:sz w:val="21"/>
                <w:szCs w:val="21"/>
              </w:rPr>
            </w:pPr>
          </w:p>
        </w:tc>
        <w:tc>
          <w:tcPr>
            <w:tcW w:w="2835" w:type="dxa"/>
            <w:gridSpan w:val="2"/>
            <w:vAlign w:val="center"/>
          </w:tcPr>
          <w:p w:rsidR="00240BCE" w:rsidRDefault="00AC0334">
            <w:pPr>
              <w:spacing w:line="340" w:lineRule="exact"/>
              <w:rPr>
                <w:sz w:val="21"/>
                <w:szCs w:val="21"/>
              </w:rPr>
            </w:pPr>
            <w:r>
              <w:rPr>
                <w:sz w:val="21"/>
                <w:szCs w:val="21"/>
              </w:rPr>
              <w:t>设备总容量</w:t>
            </w:r>
          </w:p>
        </w:tc>
        <w:tc>
          <w:tcPr>
            <w:tcW w:w="993" w:type="dxa"/>
            <w:vAlign w:val="center"/>
          </w:tcPr>
          <w:p w:rsidR="00240BCE" w:rsidRDefault="00AC0334">
            <w:pPr>
              <w:spacing w:line="340" w:lineRule="exact"/>
              <w:jc w:val="center"/>
              <w:rPr>
                <w:sz w:val="21"/>
                <w:szCs w:val="21"/>
              </w:rPr>
            </w:pPr>
            <w:r>
              <w:rPr>
                <w:sz w:val="21"/>
                <w:szCs w:val="21"/>
              </w:rPr>
              <w:t>kw</w:t>
            </w:r>
          </w:p>
        </w:tc>
        <w:tc>
          <w:tcPr>
            <w:tcW w:w="3827" w:type="dxa"/>
            <w:gridSpan w:val="2"/>
            <w:vAlign w:val="center"/>
          </w:tcPr>
          <w:p w:rsidR="00240BCE" w:rsidRDefault="00AC0334">
            <w:pPr>
              <w:spacing w:line="340" w:lineRule="exact"/>
              <w:jc w:val="center"/>
              <w:rPr>
                <w:sz w:val="21"/>
                <w:szCs w:val="21"/>
              </w:rPr>
            </w:pPr>
            <w:r>
              <w:rPr>
                <w:sz w:val="21"/>
                <w:szCs w:val="21"/>
              </w:rPr>
              <w:t>3067.4</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⑵</w:t>
            </w:r>
          </w:p>
        </w:tc>
        <w:tc>
          <w:tcPr>
            <w:tcW w:w="2835" w:type="dxa"/>
            <w:gridSpan w:val="2"/>
            <w:vAlign w:val="center"/>
          </w:tcPr>
          <w:p w:rsidR="00240BCE" w:rsidRDefault="00AC0334">
            <w:pPr>
              <w:spacing w:line="340" w:lineRule="exact"/>
              <w:rPr>
                <w:sz w:val="21"/>
                <w:szCs w:val="21"/>
              </w:rPr>
            </w:pPr>
            <w:r>
              <w:rPr>
                <w:sz w:val="21"/>
                <w:szCs w:val="21"/>
              </w:rPr>
              <w:t>变压器总容量</w:t>
            </w:r>
          </w:p>
        </w:tc>
        <w:tc>
          <w:tcPr>
            <w:tcW w:w="993" w:type="dxa"/>
            <w:vAlign w:val="center"/>
          </w:tcPr>
          <w:p w:rsidR="00240BCE" w:rsidRDefault="00AC0334">
            <w:pPr>
              <w:spacing w:line="340" w:lineRule="exact"/>
              <w:jc w:val="center"/>
              <w:rPr>
                <w:sz w:val="21"/>
                <w:szCs w:val="21"/>
              </w:rPr>
            </w:pPr>
            <w:r>
              <w:rPr>
                <w:sz w:val="21"/>
                <w:szCs w:val="21"/>
              </w:rPr>
              <w:t>kvA</w:t>
            </w:r>
          </w:p>
        </w:tc>
        <w:tc>
          <w:tcPr>
            <w:tcW w:w="3827" w:type="dxa"/>
            <w:gridSpan w:val="2"/>
            <w:vAlign w:val="center"/>
          </w:tcPr>
          <w:p w:rsidR="00240BCE" w:rsidRDefault="00AC0334">
            <w:pPr>
              <w:spacing w:line="340" w:lineRule="exact"/>
              <w:jc w:val="center"/>
              <w:rPr>
                <w:sz w:val="21"/>
                <w:szCs w:val="21"/>
              </w:rPr>
            </w:pPr>
            <w:r>
              <w:rPr>
                <w:sz w:val="21"/>
                <w:szCs w:val="21"/>
              </w:rPr>
              <w:t>4770</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⑶</w:t>
            </w:r>
          </w:p>
        </w:tc>
        <w:tc>
          <w:tcPr>
            <w:tcW w:w="2835" w:type="dxa"/>
            <w:gridSpan w:val="2"/>
            <w:vAlign w:val="center"/>
          </w:tcPr>
          <w:p w:rsidR="00240BCE" w:rsidRDefault="00AC0334">
            <w:pPr>
              <w:spacing w:line="340" w:lineRule="exact"/>
              <w:rPr>
                <w:sz w:val="21"/>
                <w:szCs w:val="21"/>
              </w:rPr>
            </w:pPr>
            <w:r>
              <w:rPr>
                <w:sz w:val="21"/>
                <w:szCs w:val="21"/>
              </w:rPr>
              <w:t>矿井年耗电量</w:t>
            </w:r>
          </w:p>
        </w:tc>
        <w:tc>
          <w:tcPr>
            <w:tcW w:w="993" w:type="dxa"/>
            <w:vAlign w:val="center"/>
          </w:tcPr>
          <w:p w:rsidR="00240BCE" w:rsidRDefault="00AC0334">
            <w:pPr>
              <w:spacing w:line="340" w:lineRule="exact"/>
              <w:jc w:val="center"/>
              <w:rPr>
                <w:sz w:val="21"/>
                <w:szCs w:val="21"/>
              </w:rPr>
            </w:pPr>
            <w:r>
              <w:rPr>
                <w:sz w:val="21"/>
                <w:szCs w:val="21"/>
              </w:rPr>
              <w:t>kwh</w:t>
            </w:r>
          </w:p>
        </w:tc>
        <w:tc>
          <w:tcPr>
            <w:tcW w:w="3827" w:type="dxa"/>
            <w:gridSpan w:val="2"/>
            <w:vAlign w:val="center"/>
          </w:tcPr>
          <w:p w:rsidR="00240BCE" w:rsidRDefault="00AC0334">
            <w:pPr>
              <w:spacing w:line="340" w:lineRule="exact"/>
              <w:jc w:val="center"/>
              <w:rPr>
                <w:sz w:val="21"/>
                <w:szCs w:val="21"/>
              </w:rPr>
            </w:pPr>
            <w:r>
              <w:rPr>
                <w:sz w:val="21"/>
                <w:szCs w:val="21"/>
              </w:rPr>
              <w:t>12935401</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⑷</w:t>
            </w:r>
          </w:p>
        </w:tc>
        <w:tc>
          <w:tcPr>
            <w:tcW w:w="2835" w:type="dxa"/>
            <w:gridSpan w:val="2"/>
            <w:vAlign w:val="center"/>
          </w:tcPr>
          <w:p w:rsidR="00240BCE" w:rsidRDefault="00AC0334">
            <w:pPr>
              <w:spacing w:line="340" w:lineRule="exact"/>
              <w:rPr>
                <w:sz w:val="21"/>
                <w:szCs w:val="21"/>
              </w:rPr>
            </w:pPr>
            <w:r>
              <w:rPr>
                <w:sz w:val="21"/>
                <w:szCs w:val="21"/>
              </w:rPr>
              <w:t>吨煤耗电量</w:t>
            </w:r>
          </w:p>
        </w:tc>
        <w:tc>
          <w:tcPr>
            <w:tcW w:w="993" w:type="dxa"/>
            <w:vAlign w:val="center"/>
          </w:tcPr>
          <w:p w:rsidR="00240BCE" w:rsidRDefault="00AC0334">
            <w:pPr>
              <w:spacing w:line="340" w:lineRule="exact"/>
              <w:jc w:val="center"/>
              <w:rPr>
                <w:sz w:val="21"/>
                <w:szCs w:val="21"/>
              </w:rPr>
            </w:pPr>
            <w:r>
              <w:rPr>
                <w:sz w:val="21"/>
                <w:szCs w:val="21"/>
              </w:rPr>
              <w:t>kwh</w:t>
            </w:r>
          </w:p>
        </w:tc>
        <w:tc>
          <w:tcPr>
            <w:tcW w:w="3827" w:type="dxa"/>
            <w:gridSpan w:val="2"/>
            <w:vAlign w:val="center"/>
          </w:tcPr>
          <w:p w:rsidR="00240BCE" w:rsidRDefault="00AC0334">
            <w:pPr>
              <w:spacing w:line="340" w:lineRule="exact"/>
              <w:jc w:val="center"/>
              <w:rPr>
                <w:sz w:val="21"/>
                <w:szCs w:val="21"/>
              </w:rPr>
            </w:pPr>
            <w:r>
              <w:rPr>
                <w:sz w:val="21"/>
                <w:szCs w:val="21"/>
              </w:rPr>
              <w:t>43.12</w:t>
            </w:r>
          </w:p>
        </w:tc>
        <w:tc>
          <w:tcPr>
            <w:tcW w:w="709" w:type="dxa"/>
            <w:vAlign w:val="center"/>
          </w:tcPr>
          <w:p w:rsidR="00240BCE" w:rsidRDefault="00240BCE">
            <w:pPr>
              <w:spacing w:line="340" w:lineRule="exact"/>
              <w:jc w:val="center"/>
              <w:rPr>
                <w:w w:val="80"/>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25</w:t>
            </w:r>
          </w:p>
        </w:tc>
        <w:tc>
          <w:tcPr>
            <w:tcW w:w="2835" w:type="dxa"/>
            <w:gridSpan w:val="2"/>
            <w:vAlign w:val="center"/>
          </w:tcPr>
          <w:p w:rsidR="00240BCE" w:rsidRDefault="00AC0334">
            <w:pPr>
              <w:spacing w:line="340" w:lineRule="exact"/>
              <w:rPr>
                <w:sz w:val="21"/>
                <w:szCs w:val="21"/>
              </w:rPr>
            </w:pPr>
            <w:r>
              <w:rPr>
                <w:sz w:val="21"/>
                <w:szCs w:val="21"/>
              </w:rPr>
              <w:t>矿井占地面积</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⑴</w:t>
            </w:r>
          </w:p>
        </w:tc>
        <w:tc>
          <w:tcPr>
            <w:tcW w:w="2835" w:type="dxa"/>
            <w:gridSpan w:val="2"/>
            <w:vAlign w:val="center"/>
          </w:tcPr>
          <w:p w:rsidR="00240BCE" w:rsidRDefault="00AC0334">
            <w:pPr>
              <w:spacing w:line="340" w:lineRule="exact"/>
              <w:rPr>
                <w:sz w:val="21"/>
                <w:szCs w:val="21"/>
              </w:rPr>
            </w:pPr>
            <w:r>
              <w:rPr>
                <w:sz w:val="21"/>
                <w:szCs w:val="21"/>
              </w:rPr>
              <w:t>工业场地围墙内占地面积</w:t>
            </w:r>
          </w:p>
        </w:tc>
        <w:tc>
          <w:tcPr>
            <w:tcW w:w="993" w:type="dxa"/>
            <w:vAlign w:val="center"/>
          </w:tcPr>
          <w:p w:rsidR="00240BCE" w:rsidRDefault="00AC0334">
            <w:pPr>
              <w:spacing w:line="340" w:lineRule="exact"/>
              <w:jc w:val="center"/>
              <w:rPr>
                <w:sz w:val="21"/>
                <w:szCs w:val="21"/>
              </w:rPr>
            </w:pPr>
            <w:r>
              <w:rPr>
                <w:sz w:val="21"/>
                <w:szCs w:val="21"/>
              </w:rPr>
              <w:t>hm</w:t>
            </w:r>
            <w:r>
              <w:rPr>
                <w:sz w:val="21"/>
                <w:szCs w:val="21"/>
                <w:vertAlign w:val="superscript"/>
              </w:rPr>
              <w:t>2</w:t>
            </w:r>
          </w:p>
        </w:tc>
        <w:tc>
          <w:tcPr>
            <w:tcW w:w="3827" w:type="dxa"/>
            <w:gridSpan w:val="2"/>
            <w:vAlign w:val="center"/>
          </w:tcPr>
          <w:p w:rsidR="00240BCE" w:rsidRDefault="00AC0334" w:rsidP="00257B79">
            <w:pPr>
              <w:spacing w:line="340" w:lineRule="exact"/>
              <w:jc w:val="center"/>
              <w:rPr>
                <w:sz w:val="21"/>
                <w:szCs w:val="21"/>
              </w:rPr>
            </w:pPr>
            <w:r>
              <w:rPr>
                <w:sz w:val="21"/>
                <w:szCs w:val="21"/>
              </w:rPr>
              <w:t>1.</w:t>
            </w:r>
            <w:r w:rsidR="00257B79">
              <w:rPr>
                <w:rFonts w:hint="eastAsia"/>
                <w:sz w:val="21"/>
                <w:szCs w:val="21"/>
              </w:rPr>
              <w:t>92</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⑵</w:t>
            </w:r>
          </w:p>
        </w:tc>
        <w:tc>
          <w:tcPr>
            <w:tcW w:w="2835" w:type="dxa"/>
            <w:gridSpan w:val="2"/>
            <w:vAlign w:val="center"/>
          </w:tcPr>
          <w:p w:rsidR="00240BCE" w:rsidRDefault="00AC0334">
            <w:pPr>
              <w:spacing w:line="340" w:lineRule="exact"/>
              <w:rPr>
                <w:sz w:val="21"/>
                <w:szCs w:val="21"/>
              </w:rPr>
            </w:pPr>
            <w:r>
              <w:rPr>
                <w:sz w:val="21"/>
                <w:szCs w:val="21"/>
              </w:rPr>
              <w:t>建构筑物面积</w:t>
            </w:r>
          </w:p>
        </w:tc>
        <w:tc>
          <w:tcPr>
            <w:tcW w:w="993" w:type="dxa"/>
            <w:vAlign w:val="center"/>
          </w:tcPr>
          <w:p w:rsidR="00240BCE" w:rsidRDefault="00AC0334">
            <w:pPr>
              <w:spacing w:line="340" w:lineRule="exact"/>
              <w:jc w:val="center"/>
              <w:rPr>
                <w:sz w:val="21"/>
                <w:szCs w:val="21"/>
              </w:rPr>
            </w:pPr>
            <w:r>
              <w:rPr>
                <w:sz w:val="21"/>
                <w:szCs w:val="21"/>
              </w:rPr>
              <w:t>m</w:t>
            </w:r>
            <w:r>
              <w:rPr>
                <w:sz w:val="21"/>
                <w:szCs w:val="21"/>
                <w:vertAlign w:val="superscript"/>
              </w:rPr>
              <w:t>2</w:t>
            </w: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26</w:t>
            </w:r>
          </w:p>
        </w:tc>
        <w:tc>
          <w:tcPr>
            <w:tcW w:w="2835" w:type="dxa"/>
            <w:gridSpan w:val="2"/>
            <w:vAlign w:val="center"/>
          </w:tcPr>
          <w:p w:rsidR="00240BCE" w:rsidRDefault="00AC0334">
            <w:pPr>
              <w:spacing w:line="340" w:lineRule="exact"/>
              <w:rPr>
                <w:sz w:val="21"/>
                <w:szCs w:val="21"/>
              </w:rPr>
            </w:pPr>
            <w:r>
              <w:rPr>
                <w:sz w:val="21"/>
                <w:szCs w:val="21"/>
              </w:rPr>
              <w:t>职工在籍总人数</w:t>
            </w:r>
          </w:p>
        </w:tc>
        <w:tc>
          <w:tcPr>
            <w:tcW w:w="993" w:type="dxa"/>
            <w:vAlign w:val="center"/>
          </w:tcPr>
          <w:p w:rsidR="00240BCE" w:rsidRDefault="00AC0334">
            <w:pPr>
              <w:spacing w:line="340" w:lineRule="exact"/>
              <w:jc w:val="center"/>
              <w:rPr>
                <w:sz w:val="21"/>
                <w:szCs w:val="21"/>
              </w:rPr>
            </w:pPr>
            <w:r>
              <w:rPr>
                <w:sz w:val="21"/>
                <w:szCs w:val="21"/>
              </w:rPr>
              <w:t>人</w:t>
            </w:r>
          </w:p>
        </w:tc>
        <w:tc>
          <w:tcPr>
            <w:tcW w:w="3827" w:type="dxa"/>
            <w:gridSpan w:val="2"/>
            <w:vAlign w:val="center"/>
          </w:tcPr>
          <w:p w:rsidR="00240BCE" w:rsidRDefault="00AC0334">
            <w:pPr>
              <w:spacing w:line="340" w:lineRule="exact"/>
              <w:jc w:val="center"/>
              <w:rPr>
                <w:sz w:val="21"/>
                <w:szCs w:val="21"/>
              </w:rPr>
            </w:pPr>
            <w:r>
              <w:rPr>
                <w:sz w:val="21"/>
                <w:szCs w:val="21"/>
              </w:rPr>
              <w:t>598</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27</w:t>
            </w:r>
          </w:p>
        </w:tc>
        <w:tc>
          <w:tcPr>
            <w:tcW w:w="2835" w:type="dxa"/>
            <w:gridSpan w:val="2"/>
            <w:vAlign w:val="center"/>
          </w:tcPr>
          <w:p w:rsidR="00240BCE" w:rsidRDefault="00AC0334">
            <w:pPr>
              <w:spacing w:line="340" w:lineRule="exact"/>
              <w:rPr>
                <w:sz w:val="21"/>
                <w:szCs w:val="21"/>
              </w:rPr>
            </w:pPr>
            <w:r>
              <w:rPr>
                <w:sz w:val="21"/>
                <w:szCs w:val="21"/>
              </w:rPr>
              <w:t>劳动生产率</w:t>
            </w:r>
          </w:p>
        </w:tc>
        <w:tc>
          <w:tcPr>
            <w:tcW w:w="993" w:type="dxa"/>
            <w:vAlign w:val="center"/>
          </w:tcPr>
          <w:p w:rsidR="00240BCE" w:rsidRDefault="00240BCE">
            <w:pPr>
              <w:spacing w:line="340" w:lineRule="exact"/>
              <w:jc w:val="center"/>
              <w:rPr>
                <w:sz w:val="21"/>
                <w:szCs w:val="21"/>
              </w:rPr>
            </w:pPr>
          </w:p>
        </w:tc>
        <w:tc>
          <w:tcPr>
            <w:tcW w:w="3827" w:type="dxa"/>
            <w:gridSpan w:val="2"/>
            <w:vAlign w:val="center"/>
          </w:tcPr>
          <w:p w:rsidR="00240BCE" w:rsidRDefault="00240BCE">
            <w:pPr>
              <w:spacing w:line="340" w:lineRule="exact"/>
              <w:jc w:val="center"/>
              <w:rPr>
                <w:sz w:val="21"/>
                <w:szCs w:val="21"/>
              </w:rPr>
            </w:pP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⑴</w:t>
            </w:r>
          </w:p>
        </w:tc>
        <w:tc>
          <w:tcPr>
            <w:tcW w:w="2835" w:type="dxa"/>
            <w:gridSpan w:val="2"/>
            <w:vAlign w:val="center"/>
          </w:tcPr>
          <w:p w:rsidR="00240BCE" w:rsidRDefault="00AC0334">
            <w:pPr>
              <w:spacing w:line="340" w:lineRule="exact"/>
              <w:rPr>
                <w:sz w:val="21"/>
                <w:szCs w:val="21"/>
              </w:rPr>
            </w:pPr>
            <w:r>
              <w:rPr>
                <w:sz w:val="21"/>
                <w:szCs w:val="21"/>
              </w:rPr>
              <w:t>回采工效率</w:t>
            </w:r>
          </w:p>
        </w:tc>
        <w:tc>
          <w:tcPr>
            <w:tcW w:w="993" w:type="dxa"/>
            <w:vAlign w:val="center"/>
          </w:tcPr>
          <w:p w:rsidR="00240BCE" w:rsidRDefault="00AC0334">
            <w:pPr>
              <w:spacing w:line="340" w:lineRule="exact"/>
              <w:jc w:val="center"/>
              <w:rPr>
                <w:sz w:val="21"/>
                <w:szCs w:val="21"/>
              </w:rPr>
            </w:pPr>
            <w:r>
              <w:rPr>
                <w:sz w:val="21"/>
                <w:szCs w:val="21"/>
              </w:rPr>
              <w:t>t/</w:t>
            </w:r>
            <w:r>
              <w:rPr>
                <w:sz w:val="21"/>
                <w:szCs w:val="21"/>
              </w:rPr>
              <w:t>工</w:t>
            </w:r>
          </w:p>
        </w:tc>
        <w:tc>
          <w:tcPr>
            <w:tcW w:w="3827" w:type="dxa"/>
            <w:gridSpan w:val="2"/>
            <w:vAlign w:val="center"/>
          </w:tcPr>
          <w:p w:rsidR="00240BCE" w:rsidRDefault="00AC0334">
            <w:pPr>
              <w:spacing w:line="340" w:lineRule="exact"/>
              <w:jc w:val="center"/>
              <w:rPr>
                <w:sz w:val="21"/>
                <w:szCs w:val="21"/>
              </w:rPr>
            </w:pPr>
            <w:r>
              <w:rPr>
                <w:sz w:val="21"/>
                <w:szCs w:val="21"/>
              </w:rPr>
              <w:t>10.23</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⑵</w:t>
            </w:r>
          </w:p>
        </w:tc>
        <w:tc>
          <w:tcPr>
            <w:tcW w:w="2835" w:type="dxa"/>
            <w:gridSpan w:val="2"/>
            <w:vAlign w:val="center"/>
          </w:tcPr>
          <w:p w:rsidR="00240BCE" w:rsidRDefault="00AC0334">
            <w:pPr>
              <w:spacing w:line="340" w:lineRule="exact"/>
              <w:rPr>
                <w:sz w:val="21"/>
                <w:szCs w:val="21"/>
              </w:rPr>
            </w:pPr>
            <w:r>
              <w:rPr>
                <w:sz w:val="21"/>
                <w:szCs w:val="21"/>
              </w:rPr>
              <w:t>全员效率</w:t>
            </w:r>
          </w:p>
        </w:tc>
        <w:tc>
          <w:tcPr>
            <w:tcW w:w="993" w:type="dxa"/>
            <w:vAlign w:val="center"/>
          </w:tcPr>
          <w:p w:rsidR="00240BCE" w:rsidRDefault="00AC0334">
            <w:pPr>
              <w:spacing w:line="340" w:lineRule="exact"/>
              <w:jc w:val="center"/>
              <w:rPr>
                <w:sz w:val="21"/>
                <w:szCs w:val="21"/>
              </w:rPr>
            </w:pPr>
            <w:r>
              <w:rPr>
                <w:sz w:val="21"/>
                <w:szCs w:val="21"/>
              </w:rPr>
              <w:t>t/</w:t>
            </w:r>
            <w:r>
              <w:rPr>
                <w:sz w:val="21"/>
                <w:szCs w:val="21"/>
              </w:rPr>
              <w:t>工</w:t>
            </w:r>
          </w:p>
        </w:tc>
        <w:tc>
          <w:tcPr>
            <w:tcW w:w="3827" w:type="dxa"/>
            <w:gridSpan w:val="2"/>
            <w:vAlign w:val="center"/>
          </w:tcPr>
          <w:p w:rsidR="00240BCE" w:rsidRDefault="00AC0334">
            <w:pPr>
              <w:spacing w:line="340" w:lineRule="exact"/>
              <w:jc w:val="center"/>
              <w:rPr>
                <w:sz w:val="21"/>
                <w:szCs w:val="21"/>
              </w:rPr>
            </w:pPr>
            <w:r>
              <w:rPr>
                <w:sz w:val="21"/>
                <w:szCs w:val="21"/>
              </w:rPr>
              <w:t>2.2</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28</w:t>
            </w:r>
          </w:p>
        </w:tc>
        <w:tc>
          <w:tcPr>
            <w:tcW w:w="2835" w:type="dxa"/>
            <w:gridSpan w:val="2"/>
            <w:vAlign w:val="center"/>
          </w:tcPr>
          <w:p w:rsidR="00240BCE" w:rsidRDefault="00AC0334">
            <w:pPr>
              <w:spacing w:line="340" w:lineRule="exact"/>
              <w:rPr>
                <w:sz w:val="21"/>
                <w:szCs w:val="21"/>
              </w:rPr>
            </w:pPr>
            <w:r>
              <w:rPr>
                <w:sz w:val="21"/>
                <w:szCs w:val="21"/>
              </w:rPr>
              <w:t>建设项目总资金</w:t>
            </w:r>
          </w:p>
        </w:tc>
        <w:tc>
          <w:tcPr>
            <w:tcW w:w="993" w:type="dxa"/>
            <w:vAlign w:val="center"/>
          </w:tcPr>
          <w:p w:rsidR="00240BCE" w:rsidRDefault="00AC0334">
            <w:pPr>
              <w:spacing w:line="340" w:lineRule="exact"/>
              <w:jc w:val="center"/>
              <w:rPr>
                <w:sz w:val="21"/>
                <w:szCs w:val="21"/>
              </w:rPr>
            </w:pPr>
            <w:r>
              <w:rPr>
                <w:sz w:val="21"/>
                <w:szCs w:val="21"/>
              </w:rPr>
              <w:t>万元</w:t>
            </w:r>
          </w:p>
        </w:tc>
        <w:tc>
          <w:tcPr>
            <w:tcW w:w="3827" w:type="dxa"/>
            <w:gridSpan w:val="2"/>
            <w:vAlign w:val="center"/>
          </w:tcPr>
          <w:p w:rsidR="00240BCE" w:rsidRDefault="00AC0334">
            <w:pPr>
              <w:spacing w:line="340" w:lineRule="exact"/>
              <w:jc w:val="center"/>
              <w:rPr>
                <w:sz w:val="21"/>
                <w:szCs w:val="21"/>
              </w:rPr>
            </w:pPr>
            <w:r>
              <w:rPr>
                <w:kern w:val="0"/>
                <w:sz w:val="21"/>
                <w:szCs w:val="21"/>
              </w:rPr>
              <w:t>5099.61</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39</w:t>
            </w:r>
          </w:p>
        </w:tc>
        <w:tc>
          <w:tcPr>
            <w:tcW w:w="2835" w:type="dxa"/>
            <w:gridSpan w:val="2"/>
            <w:vAlign w:val="center"/>
          </w:tcPr>
          <w:p w:rsidR="00240BCE" w:rsidRDefault="00AC0334">
            <w:pPr>
              <w:spacing w:line="340" w:lineRule="exact"/>
              <w:rPr>
                <w:sz w:val="21"/>
                <w:szCs w:val="21"/>
              </w:rPr>
            </w:pPr>
            <w:r>
              <w:rPr>
                <w:sz w:val="21"/>
                <w:szCs w:val="21"/>
              </w:rPr>
              <w:t>吨煤投资</w:t>
            </w:r>
          </w:p>
        </w:tc>
        <w:tc>
          <w:tcPr>
            <w:tcW w:w="993" w:type="dxa"/>
            <w:vAlign w:val="center"/>
          </w:tcPr>
          <w:p w:rsidR="00240BCE" w:rsidRDefault="00AC0334">
            <w:pPr>
              <w:spacing w:line="340" w:lineRule="exact"/>
              <w:jc w:val="center"/>
              <w:rPr>
                <w:sz w:val="21"/>
                <w:szCs w:val="21"/>
              </w:rPr>
            </w:pPr>
            <w:r>
              <w:rPr>
                <w:sz w:val="21"/>
                <w:szCs w:val="21"/>
              </w:rPr>
              <w:t>元</w:t>
            </w:r>
          </w:p>
        </w:tc>
        <w:tc>
          <w:tcPr>
            <w:tcW w:w="3827" w:type="dxa"/>
            <w:gridSpan w:val="2"/>
            <w:vAlign w:val="center"/>
          </w:tcPr>
          <w:p w:rsidR="00240BCE" w:rsidRDefault="00AC0334">
            <w:pPr>
              <w:spacing w:line="340" w:lineRule="exact"/>
              <w:jc w:val="center"/>
              <w:rPr>
                <w:sz w:val="21"/>
                <w:szCs w:val="21"/>
              </w:rPr>
            </w:pPr>
            <w:r>
              <w:rPr>
                <w:kern w:val="0"/>
                <w:sz w:val="21"/>
                <w:szCs w:val="21"/>
              </w:rPr>
              <w:t>169.99</w:t>
            </w:r>
          </w:p>
        </w:tc>
        <w:tc>
          <w:tcPr>
            <w:tcW w:w="709" w:type="dxa"/>
            <w:vAlign w:val="center"/>
          </w:tcPr>
          <w:p w:rsidR="00240BCE" w:rsidRDefault="00240BCE">
            <w:pPr>
              <w:spacing w:line="340" w:lineRule="exact"/>
              <w:jc w:val="center"/>
              <w:rPr>
                <w:sz w:val="21"/>
                <w:szCs w:val="21"/>
              </w:rPr>
            </w:pPr>
          </w:p>
        </w:tc>
      </w:tr>
      <w:tr w:rsidR="00240BCE">
        <w:tc>
          <w:tcPr>
            <w:tcW w:w="652" w:type="dxa"/>
            <w:vAlign w:val="center"/>
          </w:tcPr>
          <w:p w:rsidR="00240BCE" w:rsidRDefault="00AC0334">
            <w:pPr>
              <w:spacing w:line="340" w:lineRule="exact"/>
              <w:jc w:val="center"/>
              <w:rPr>
                <w:sz w:val="21"/>
                <w:szCs w:val="21"/>
              </w:rPr>
            </w:pPr>
            <w:r>
              <w:rPr>
                <w:sz w:val="21"/>
                <w:szCs w:val="21"/>
              </w:rPr>
              <w:t>30</w:t>
            </w:r>
          </w:p>
        </w:tc>
        <w:tc>
          <w:tcPr>
            <w:tcW w:w="2835" w:type="dxa"/>
            <w:gridSpan w:val="2"/>
            <w:vAlign w:val="center"/>
          </w:tcPr>
          <w:p w:rsidR="00240BCE" w:rsidRDefault="00AC0334">
            <w:pPr>
              <w:spacing w:line="340" w:lineRule="exact"/>
              <w:rPr>
                <w:sz w:val="21"/>
                <w:szCs w:val="21"/>
              </w:rPr>
            </w:pPr>
            <w:r>
              <w:rPr>
                <w:sz w:val="21"/>
                <w:szCs w:val="21"/>
              </w:rPr>
              <w:t>剩余建井工期</w:t>
            </w:r>
          </w:p>
        </w:tc>
        <w:tc>
          <w:tcPr>
            <w:tcW w:w="993" w:type="dxa"/>
            <w:vAlign w:val="center"/>
          </w:tcPr>
          <w:p w:rsidR="00240BCE" w:rsidRDefault="00AC0334">
            <w:pPr>
              <w:spacing w:line="340" w:lineRule="exact"/>
              <w:jc w:val="center"/>
              <w:rPr>
                <w:sz w:val="21"/>
                <w:szCs w:val="21"/>
              </w:rPr>
            </w:pPr>
            <w:r>
              <w:rPr>
                <w:sz w:val="21"/>
                <w:szCs w:val="21"/>
              </w:rPr>
              <w:t>月</w:t>
            </w:r>
          </w:p>
        </w:tc>
        <w:tc>
          <w:tcPr>
            <w:tcW w:w="3827" w:type="dxa"/>
            <w:gridSpan w:val="2"/>
            <w:vAlign w:val="center"/>
          </w:tcPr>
          <w:p w:rsidR="00240BCE" w:rsidRDefault="00AC0334">
            <w:pPr>
              <w:spacing w:line="340" w:lineRule="exact"/>
              <w:jc w:val="center"/>
              <w:rPr>
                <w:sz w:val="21"/>
                <w:szCs w:val="21"/>
              </w:rPr>
            </w:pPr>
            <w:r>
              <w:rPr>
                <w:sz w:val="21"/>
                <w:szCs w:val="21"/>
              </w:rPr>
              <w:t>9</w:t>
            </w:r>
          </w:p>
        </w:tc>
        <w:tc>
          <w:tcPr>
            <w:tcW w:w="709" w:type="dxa"/>
            <w:vAlign w:val="center"/>
          </w:tcPr>
          <w:p w:rsidR="00240BCE" w:rsidRDefault="00240BCE">
            <w:pPr>
              <w:spacing w:line="340" w:lineRule="exact"/>
              <w:jc w:val="center"/>
              <w:rPr>
                <w:sz w:val="21"/>
                <w:szCs w:val="21"/>
              </w:rPr>
            </w:pPr>
          </w:p>
        </w:tc>
      </w:tr>
    </w:tbl>
    <w:p w:rsidR="00240BCE" w:rsidRDefault="00AC0334" w:rsidP="009C5F33">
      <w:pPr>
        <w:pStyle w:val="2"/>
        <w:adjustRightInd w:val="0"/>
        <w:snapToGrid w:val="0"/>
        <w:spacing w:beforeLines="100" w:afterLines="50" w:line="240" w:lineRule="auto"/>
        <w:jc w:val="left"/>
        <w:rPr>
          <w:rFonts w:ascii="Times New Roman" w:eastAsia="宋体" w:hAnsi="Times New Roman"/>
          <w:bCs/>
          <w:spacing w:val="2"/>
          <w:szCs w:val="32"/>
        </w:rPr>
      </w:pPr>
      <w:bookmarkStart w:id="267" w:name="_Toc79668635"/>
      <w:bookmarkStart w:id="268" w:name="_Toc81934372"/>
      <w:r>
        <w:rPr>
          <w:rFonts w:ascii="Times New Roman" w:eastAsia="宋体" w:hAnsi="Times New Roman"/>
          <w:bCs/>
          <w:spacing w:val="2"/>
          <w:szCs w:val="32"/>
        </w:rPr>
        <w:t>3.3</w:t>
      </w:r>
      <w:r>
        <w:rPr>
          <w:rFonts w:ascii="Times New Roman" w:eastAsia="宋体" w:hAnsi="Times New Roman"/>
          <w:bCs/>
          <w:spacing w:val="2"/>
          <w:szCs w:val="32"/>
        </w:rPr>
        <w:t>升级改造工程分析</w:t>
      </w:r>
      <w:bookmarkEnd w:id="267"/>
      <w:bookmarkEnd w:id="268"/>
    </w:p>
    <w:p w:rsidR="00240BCE" w:rsidRDefault="00AC0334" w:rsidP="009C5F33">
      <w:pPr>
        <w:pStyle w:val="30"/>
        <w:adjustRightInd w:val="0"/>
        <w:snapToGrid w:val="0"/>
        <w:spacing w:beforeLines="70" w:afterLines="30" w:line="240" w:lineRule="auto"/>
        <w:jc w:val="left"/>
        <w:rPr>
          <w:rFonts w:eastAsia="楷体"/>
          <w:sz w:val="28"/>
          <w:szCs w:val="28"/>
        </w:rPr>
      </w:pPr>
      <w:bookmarkStart w:id="269" w:name="_Toc79668636"/>
      <w:r>
        <w:rPr>
          <w:rFonts w:eastAsia="楷体"/>
          <w:sz w:val="28"/>
          <w:szCs w:val="28"/>
        </w:rPr>
        <w:t>3.3.1</w:t>
      </w:r>
      <w:r>
        <w:rPr>
          <w:rFonts w:eastAsia="楷体"/>
          <w:sz w:val="28"/>
          <w:szCs w:val="28"/>
        </w:rPr>
        <w:t>井田开拓及开采</w:t>
      </w:r>
      <w:bookmarkEnd w:id="269"/>
    </w:p>
    <w:p w:rsidR="00240BCE" w:rsidRDefault="00AC0334">
      <w:pPr>
        <w:adjustRightInd w:val="0"/>
        <w:snapToGrid w:val="0"/>
        <w:spacing w:line="520" w:lineRule="exact"/>
        <w:ind w:firstLineChars="200" w:firstLine="480"/>
        <w:rPr>
          <w:sz w:val="24"/>
        </w:rPr>
      </w:pPr>
      <w:r>
        <w:rPr>
          <w:sz w:val="24"/>
        </w:rPr>
        <w:t>1</w:t>
      </w:r>
      <w:r>
        <w:rPr>
          <w:sz w:val="24"/>
        </w:rPr>
        <w:t>、井田开拓方式</w:t>
      </w:r>
    </w:p>
    <w:p w:rsidR="00240BCE" w:rsidRDefault="00AC0334">
      <w:pPr>
        <w:adjustRightInd w:val="0"/>
        <w:snapToGrid w:val="0"/>
        <w:spacing w:line="520" w:lineRule="exact"/>
        <w:ind w:firstLineChars="200" w:firstLine="480"/>
        <w:rPr>
          <w:sz w:val="24"/>
        </w:rPr>
      </w:pPr>
      <w:r>
        <w:rPr>
          <w:sz w:val="24"/>
        </w:rPr>
        <w:t>设计利用现有井筒，即仍采用三立井单水平下山开拓方式，其中主井井筒装备一对</w:t>
      </w:r>
      <w:r>
        <w:rPr>
          <w:sz w:val="24"/>
        </w:rPr>
        <w:t>2t</w:t>
      </w:r>
      <w:r>
        <w:rPr>
          <w:sz w:val="24"/>
        </w:rPr>
        <w:t>非标准箕斗，担负全矿井提煤和进风任务，井筒内敷设压风管、消防洒水管，并安设金属梯子间作为矿井一安全出口；副立井井筒装备一对</w:t>
      </w:r>
      <w:r>
        <w:rPr>
          <w:sz w:val="24"/>
        </w:rPr>
        <w:t>0.75t</w:t>
      </w:r>
      <w:r>
        <w:rPr>
          <w:sz w:val="24"/>
        </w:rPr>
        <w:t>非标准罐笼，担负全矿井提矸、升降人员、进风等任务；风井井筒内安设金属梯子间作为矿井另一安全出口。</w:t>
      </w:r>
    </w:p>
    <w:p w:rsidR="00240BCE" w:rsidRDefault="00AC0334">
      <w:pPr>
        <w:adjustRightInd w:val="0"/>
        <w:snapToGrid w:val="0"/>
        <w:spacing w:line="520" w:lineRule="exact"/>
        <w:ind w:firstLineChars="200" w:firstLine="480"/>
        <w:rPr>
          <w:sz w:val="24"/>
        </w:rPr>
      </w:pPr>
      <w:r>
        <w:rPr>
          <w:sz w:val="24"/>
        </w:rPr>
        <w:t>初期设计利用</w:t>
      </w:r>
      <w:r>
        <w:rPr>
          <w:sz w:val="24"/>
        </w:rPr>
        <w:t>21</w:t>
      </w:r>
      <w:r>
        <w:rPr>
          <w:sz w:val="24"/>
        </w:rPr>
        <w:t>采区现有的三条下山开采</w:t>
      </w:r>
      <w:r>
        <w:rPr>
          <w:sz w:val="24"/>
        </w:rPr>
        <w:t>-100m</w:t>
      </w:r>
      <w:r>
        <w:rPr>
          <w:sz w:val="24"/>
        </w:rPr>
        <w:t>以浅二</w:t>
      </w:r>
      <w:r>
        <w:rPr>
          <w:sz w:val="24"/>
          <w:vertAlign w:val="subscript"/>
        </w:rPr>
        <w:t>1</w:t>
      </w:r>
      <w:r>
        <w:rPr>
          <w:sz w:val="24"/>
        </w:rPr>
        <w:t>煤资源，轨道运输下山、胶带运输下山位于两侧，回风下山居中；后期沿李家门断层保护煤柱做</w:t>
      </w:r>
      <w:r>
        <w:rPr>
          <w:sz w:val="24"/>
        </w:rPr>
        <w:t>22</w:t>
      </w:r>
      <w:r>
        <w:rPr>
          <w:sz w:val="24"/>
        </w:rPr>
        <w:t>采区下山至井田边界保护煤柱，开采</w:t>
      </w:r>
      <w:r>
        <w:rPr>
          <w:sz w:val="24"/>
        </w:rPr>
        <w:t>-100m</w:t>
      </w:r>
      <w:r>
        <w:rPr>
          <w:sz w:val="24"/>
        </w:rPr>
        <w:t>以深二</w:t>
      </w:r>
      <w:r>
        <w:rPr>
          <w:sz w:val="24"/>
          <w:vertAlign w:val="subscript"/>
        </w:rPr>
        <w:t>1</w:t>
      </w:r>
      <w:r>
        <w:rPr>
          <w:sz w:val="24"/>
        </w:rPr>
        <w:t>煤资源。开拓方式见附图</w:t>
      </w:r>
      <w:r>
        <w:rPr>
          <w:sz w:val="24"/>
        </w:rPr>
        <w:t>5</w:t>
      </w:r>
      <w:r>
        <w:rPr>
          <w:sz w:val="24"/>
        </w:rPr>
        <w:t>。</w:t>
      </w:r>
    </w:p>
    <w:p w:rsidR="00240BCE" w:rsidRDefault="00AC0334">
      <w:pPr>
        <w:adjustRightInd w:val="0"/>
        <w:snapToGrid w:val="0"/>
        <w:spacing w:line="520" w:lineRule="exact"/>
        <w:ind w:firstLineChars="200" w:firstLine="488"/>
        <w:rPr>
          <w:spacing w:val="2"/>
          <w:sz w:val="24"/>
        </w:rPr>
      </w:pPr>
      <w:r>
        <w:rPr>
          <w:spacing w:val="2"/>
          <w:sz w:val="24"/>
        </w:rPr>
        <w:t>2</w:t>
      </w:r>
      <w:r>
        <w:rPr>
          <w:spacing w:val="2"/>
          <w:sz w:val="24"/>
        </w:rPr>
        <w:t>、井筒及提升系统</w:t>
      </w:r>
    </w:p>
    <w:p w:rsidR="00240BCE" w:rsidRDefault="00AC0334">
      <w:pPr>
        <w:adjustRightInd w:val="0"/>
        <w:snapToGrid w:val="0"/>
        <w:spacing w:line="520" w:lineRule="exact"/>
        <w:ind w:firstLineChars="200" w:firstLine="488"/>
        <w:rPr>
          <w:spacing w:val="2"/>
          <w:sz w:val="24"/>
        </w:rPr>
      </w:pPr>
      <w:r>
        <w:rPr>
          <w:spacing w:val="2"/>
          <w:sz w:val="24"/>
        </w:rPr>
        <w:t>设计仍采用现有三立井开拓，主井井筒井深</w:t>
      </w:r>
      <w:r>
        <w:rPr>
          <w:spacing w:val="2"/>
          <w:sz w:val="24"/>
        </w:rPr>
        <w:t>253m</w:t>
      </w:r>
      <w:r>
        <w:rPr>
          <w:spacing w:val="2"/>
          <w:sz w:val="24"/>
        </w:rPr>
        <w:t>，直径</w:t>
      </w:r>
      <w:r>
        <w:rPr>
          <w:spacing w:val="2"/>
          <w:sz w:val="24"/>
        </w:rPr>
        <w:t>4.6m</w:t>
      </w:r>
      <w:r>
        <w:rPr>
          <w:spacing w:val="2"/>
          <w:sz w:val="24"/>
        </w:rPr>
        <w:t>，安装一对</w:t>
      </w:r>
      <w:r>
        <w:rPr>
          <w:spacing w:val="2"/>
          <w:sz w:val="24"/>
        </w:rPr>
        <w:t>2t</w:t>
      </w:r>
      <w:r>
        <w:rPr>
          <w:spacing w:val="2"/>
          <w:sz w:val="24"/>
        </w:rPr>
        <w:t>非标双箕斗提升，担负提煤和进风，安设梯子间，作为矿井一安全出口；副井深度</w:t>
      </w:r>
      <w:r>
        <w:rPr>
          <w:spacing w:val="2"/>
          <w:sz w:val="24"/>
        </w:rPr>
        <w:t>251m</w:t>
      </w:r>
      <w:r>
        <w:rPr>
          <w:spacing w:val="2"/>
          <w:sz w:val="24"/>
        </w:rPr>
        <w:t>，井筒直径</w:t>
      </w:r>
      <w:r>
        <w:rPr>
          <w:spacing w:val="2"/>
          <w:sz w:val="24"/>
        </w:rPr>
        <w:t>3.8m</w:t>
      </w:r>
      <w:r>
        <w:rPr>
          <w:spacing w:val="2"/>
          <w:sz w:val="24"/>
        </w:rPr>
        <w:t>，安装一对</w:t>
      </w:r>
      <w:r>
        <w:rPr>
          <w:spacing w:val="2"/>
          <w:sz w:val="24"/>
        </w:rPr>
        <w:t>0.75t</w:t>
      </w:r>
      <w:r>
        <w:rPr>
          <w:spacing w:val="2"/>
          <w:sz w:val="24"/>
        </w:rPr>
        <w:t>非标准罐笼，用以下料、提矸、升降人员、进风；风井深度</w:t>
      </w:r>
      <w:r>
        <w:rPr>
          <w:spacing w:val="2"/>
          <w:sz w:val="24"/>
        </w:rPr>
        <w:t>219m</w:t>
      </w:r>
      <w:r>
        <w:rPr>
          <w:spacing w:val="2"/>
          <w:sz w:val="24"/>
        </w:rPr>
        <w:t>，井筒直径</w:t>
      </w:r>
      <w:r>
        <w:rPr>
          <w:spacing w:val="2"/>
          <w:sz w:val="24"/>
        </w:rPr>
        <w:t>3.8m</w:t>
      </w:r>
      <w:r>
        <w:rPr>
          <w:spacing w:val="2"/>
          <w:sz w:val="24"/>
        </w:rPr>
        <w:t>，用以回风，安设梯子间，作为矿井</w:t>
      </w:r>
      <w:r>
        <w:rPr>
          <w:spacing w:val="2"/>
          <w:sz w:val="24"/>
        </w:rPr>
        <w:lastRenderedPageBreak/>
        <w:t>另一安全出口。</w:t>
      </w:r>
    </w:p>
    <w:p w:rsidR="00240BCE" w:rsidRDefault="00AC0334">
      <w:pPr>
        <w:adjustRightInd w:val="0"/>
        <w:snapToGrid w:val="0"/>
        <w:spacing w:line="520" w:lineRule="exact"/>
        <w:ind w:firstLineChars="200" w:firstLine="488"/>
        <w:rPr>
          <w:spacing w:val="2"/>
          <w:sz w:val="24"/>
        </w:rPr>
      </w:pPr>
      <w:r>
        <w:rPr>
          <w:spacing w:val="2"/>
          <w:sz w:val="24"/>
        </w:rPr>
        <w:t>井筒特征详见表</w:t>
      </w:r>
      <w:r>
        <w:rPr>
          <w:spacing w:val="2"/>
          <w:sz w:val="24"/>
        </w:rPr>
        <w:t>3.3-1</w:t>
      </w:r>
    </w:p>
    <w:p w:rsidR="00240BCE" w:rsidRDefault="00AC0334">
      <w:pPr>
        <w:spacing w:line="520" w:lineRule="exact"/>
        <w:jc w:val="center"/>
        <w:rPr>
          <w:b/>
          <w:bCs/>
          <w:sz w:val="24"/>
        </w:rPr>
      </w:pPr>
      <w:r>
        <w:rPr>
          <w:b/>
          <w:bCs/>
          <w:sz w:val="24"/>
        </w:rPr>
        <w:t>表</w:t>
      </w:r>
      <w:r>
        <w:rPr>
          <w:b/>
          <w:bCs/>
          <w:sz w:val="24"/>
        </w:rPr>
        <w:t xml:space="preserve">3.3-1  </w:t>
      </w:r>
      <w:r>
        <w:rPr>
          <w:b/>
          <w:bCs/>
          <w:sz w:val="24"/>
        </w:rPr>
        <w:t>井筒特征表</w:t>
      </w:r>
    </w:p>
    <w:tbl>
      <w:tblPr>
        <w:tblW w:w="501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520"/>
        <w:gridCol w:w="483"/>
        <w:gridCol w:w="269"/>
        <w:gridCol w:w="380"/>
        <w:gridCol w:w="646"/>
        <w:gridCol w:w="3809"/>
        <w:gridCol w:w="1380"/>
        <w:gridCol w:w="1076"/>
      </w:tblGrid>
      <w:tr w:rsidR="00240BCE">
        <w:trPr>
          <w:jc w:val="center"/>
        </w:trPr>
        <w:tc>
          <w:tcPr>
            <w:tcW w:w="304" w:type="pct"/>
            <w:vAlign w:val="center"/>
          </w:tcPr>
          <w:p w:rsidR="00240BCE" w:rsidRDefault="00AC0334">
            <w:pPr>
              <w:adjustRightInd w:val="0"/>
              <w:snapToGrid w:val="0"/>
              <w:spacing w:line="340" w:lineRule="exact"/>
              <w:jc w:val="center"/>
              <w:rPr>
                <w:sz w:val="21"/>
                <w:szCs w:val="21"/>
              </w:rPr>
            </w:pPr>
            <w:r>
              <w:rPr>
                <w:sz w:val="21"/>
                <w:szCs w:val="21"/>
              </w:rPr>
              <w:t>序号</w:t>
            </w:r>
          </w:p>
        </w:tc>
        <w:tc>
          <w:tcPr>
            <w:tcW w:w="661" w:type="pct"/>
            <w:gridSpan w:val="3"/>
            <w:vAlign w:val="center"/>
          </w:tcPr>
          <w:p w:rsidR="00240BCE" w:rsidRDefault="00AC0334">
            <w:pPr>
              <w:adjustRightInd w:val="0"/>
              <w:snapToGrid w:val="0"/>
              <w:spacing w:line="340" w:lineRule="exact"/>
              <w:jc w:val="center"/>
              <w:rPr>
                <w:sz w:val="21"/>
                <w:szCs w:val="21"/>
              </w:rPr>
            </w:pPr>
            <w:r>
              <w:rPr>
                <w:sz w:val="21"/>
                <w:szCs w:val="21"/>
              </w:rPr>
              <w:t>项目</w:t>
            </w:r>
          </w:p>
        </w:tc>
        <w:tc>
          <w:tcPr>
            <w:tcW w:w="377" w:type="pct"/>
            <w:vAlign w:val="center"/>
          </w:tcPr>
          <w:p w:rsidR="00240BCE" w:rsidRDefault="00AC0334">
            <w:pPr>
              <w:adjustRightInd w:val="0"/>
              <w:snapToGrid w:val="0"/>
              <w:spacing w:line="340" w:lineRule="exact"/>
              <w:jc w:val="center"/>
              <w:rPr>
                <w:sz w:val="21"/>
                <w:szCs w:val="21"/>
              </w:rPr>
            </w:pPr>
            <w:r>
              <w:rPr>
                <w:sz w:val="21"/>
                <w:szCs w:val="21"/>
              </w:rPr>
              <w:t>单位</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主井</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副井</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风井</w:t>
            </w:r>
          </w:p>
        </w:tc>
      </w:tr>
      <w:tr w:rsidR="00240BCE">
        <w:trPr>
          <w:jc w:val="center"/>
        </w:trPr>
        <w:tc>
          <w:tcPr>
            <w:tcW w:w="304" w:type="pct"/>
            <w:vMerge w:val="restart"/>
            <w:vAlign w:val="center"/>
          </w:tcPr>
          <w:p w:rsidR="00240BCE" w:rsidRDefault="00AC0334">
            <w:pPr>
              <w:adjustRightInd w:val="0"/>
              <w:snapToGrid w:val="0"/>
              <w:spacing w:line="340" w:lineRule="exact"/>
              <w:jc w:val="center"/>
              <w:rPr>
                <w:sz w:val="21"/>
                <w:szCs w:val="21"/>
              </w:rPr>
            </w:pPr>
            <w:r>
              <w:rPr>
                <w:sz w:val="21"/>
                <w:szCs w:val="21"/>
              </w:rPr>
              <w:t>1</w:t>
            </w:r>
          </w:p>
        </w:tc>
        <w:tc>
          <w:tcPr>
            <w:tcW w:w="439" w:type="pct"/>
            <w:gridSpan w:val="2"/>
            <w:vMerge w:val="restart"/>
            <w:vAlign w:val="center"/>
          </w:tcPr>
          <w:p w:rsidR="00240BCE" w:rsidRDefault="00AC0334">
            <w:pPr>
              <w:adjustRightInd w:val="0"/>
              <w:snapToGrid w:val="0"/>
              <w:spacing w:line="340" w:lineRule="exact"/>
              <w:jc w:val="center"/>
              <w:rPr>
                <w:sz w:val="21"/>
                <w:szCs w:val="21"/>
              </w:rPr>
            </w:pPr>
            <w:r>
              <w:rPr>
                <w:sz w:val="21"/>
                <w:szCs w:val="21"/>
              </w:rPr>
              <w:t>井口</w:t>
            </w:r>
          </w:p>
          <w:p w:rsidR="00240BCE" w:rsidRDefault="00AC0334">
            <w:pPr>
              <w:adjustRightInd w:val="0"/>
              <w:snapToGrid w:val="0"/>
              <w:spacing w:line="340" w:lineRule="exact"/>
              <w:jc w:val="center"/>
              <w:rPr>
                <w:sz w:val="21"/>
                <w:szCs w:val="21"/>
              </w:rPr>
            </w:pPr>
            <w:r>
              <w:rPr>
                <w:sz w:val="21"/>
                <w:szCs w:val="21"/>
              </w:rPr>
              <w:t>坐标</w:t>
            </w:r>
          </w:p>
        </w:tc>
        <w:tc>
          <w:tcPr>
            <w:tcW w:w="222" w:type="pct"/>
            <w:vAlign w:val="center"/>
          </w:tcPr>
          <w:p w:rsidR="00240BCE" w:rsidRDefault="00AC0334">
            <w:pPr>
              <w:adjustRightInd w:val="0"/>
              <w:snapToGrid w:val="0"/>
              <w:spacing w:line="340" w:lineRule="exact"/>
              <w:jc w:val="center"/>
              <w:rPr>
                <w:sz w:val="21"/>
                <w:szCs w:val="21"/>
              </w:rPr>
            </w:pPr>
            <w:r>
              <w:rPr>
                <w:sz w:val="21"/>
                <w:szCs w:val="21"/>
              </w:rPr>
              <w:t>X</w:t>
            </w:r>
          </w:p>
        </w:tc>
        <w:tc>
          <w:tcPr>
            <w:tcW w:w="377" w:type="pct"/>
            <w:vAlign w:val="center"/>
          </w:tcPr>
          <w:p w:rsidR="00240BCE" w:rsidRDefault="00AC0334">
            <w:pPr>
              <w:adjustRightInd w:val="0"/>
              <w:snapToGrid w:val="0"/>
              <w:spacing w:line="340" w:lineRule="exact"/>
              <w:jc w:val="center"/>
              <w:rPr>
                <w:sz w:val="21"/>
                <w:szCs w:val="21"/>
              </w:rPr>
            </w:pPr>
            <w:r>
              <w:rPr>
                <w:sz w:val="21"/>
                <w:szCs w:val="21"/>
              </w:rPr>
              <w:t>m</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3787421</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3787471</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3787471</w:t>
            </w:r>
          </w:p>
        </w:tc>
      </w:tr>
      <w:tr w:rsidR="00240BCE">
        <w:trPr>
          <w:jc w:val="center"/>
        </w:trPr>
        <w:tc>
          <w:tcPr>
            <w:tcW w:w="304" w:type="pct"/>
            <w:vMerge/>
            <w:vAlign w:val="center"/>
          </w:tcPr>
          <w:p w:rsidR="00240BCE" w:rsidRDefault="00240BCE">
            <w:pPr>
              <w:adjustRightInd w:val="0"/>
              <w:snapToGrid w:val="0"/>
              <w:spacing w:line="340" w:lineRule="exact"/>
              <w:jc w:val="center"/>
              <w:rPr>
                <w:sz w:val="21"/>
                <w:szCs w:val="21"/>
              </w:rPr>
            </w:pPr>
          </w:p>
        </w:tc>
        <w:tc>
          <w:tcPr>
            <w:tcW w:w="439" w:type="pct"/>
            <w:gridSpan w:val="2"/>
            <w:vMerge/>
            <w:vAlign w:val="center"/>
          </w:tcPr>
          <w:p w:rsidR="00240BCE" w:rsidRDefault="00240BCE">
            <w:pPr>
              <w:adjustRightInd w:val="0"/>
              <w:snapToGrid w:val="0"/>
              <w:spacing w:line="340" w:lineRule="exact"/>
              <w:jc w:val="center"/>
              <w:rPr>
                <w:sz w:val="21"/>
                <w:szCs w:val="21"/>
              </w:rPr>
            </w:pPr>
          </w:p>
        </w:tc>
        <w:tc>
          <w:tcPr>
            <w:tcW w:w="222" w:type="pct"/>
            <w:vAlign w:val="center"/>
          </w:tcPr>
          <w:p w:rsidR="00240BCE" w:rsidRDefault="00AC0334">
            <w:pPr>
              <w:adjustRightInd w:val="0"/>
              <w:snapToGrid w:val="0"/>
              <w:spacing w:line="340" w:lineRule="exact"/>
              <w:jc w:val="center"/>
              <w:rPr>
                <w:sz w:val="21"/>
                <w:szCs w:val="21"/>
              </w:rPr>
            </w:pPr>
            <w:r>
              <w:rPr>
                <w:sz w:val="21"/>
                <w:szCs w:val="21"/>
              </w:rPr>
              <w:t>Y</w:t>
            </w:r>
          </w:p>
        </w:tc>
        <w:tc>
          <w:tcPr>
            <w:tcW w:w="377" w:type="pct"/>
            <w:vAlign w:val="center"/>
          </w:tcPr>
          <w:p w:rsidR="00240BCE" w:rsidRDefault="00AC0334">
            <w:pPr>
              <w:adjustRightInd w:val="0"/>
              <w:snapToGrid w:val="0"/>
              <w:spacing w:line="340" w:lineRule="exact"/>
              <w:jc w:val="center"/>
              <w:rPr>
                <w:sz w:val="21"/>
                <w:szCs w:val="21"/>
              </w:rPr>
            </w:pPr>
            <w:r>
              <w:rPr>
                <w:sz w:val="21"/>
                <w:szCs w:val="21"/>
              </w:rPr>
              <w:t>m</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38422888</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38422949</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38422875</w:t>
            </w:r>
          </w:p>
        </w:tc>
      </w:tr>
      <w:tr w:rsidR="00240BCE">
        <w:trPr>
          <w:jc w:val="center"/>
        </w:trPr>
        <w:tc>
          <w:tcPr>
            <w:tcW w:w="304" w:type="pct"/>
            <w:vAlign w:val="center"/>
          </w:tcPr>
          <w:p w:rsidR="00240BCE" w:rsidRDefault="00AC0334">
            <w:pPr>
              <w:adjustRightInd w:val="0"/>
              <w:snapToGrid w:val="0"/>
              <w:spacing w:line="340" w:lineRule="exact"/>
              <w:jc w:val="center"/>
              <w:rPr>
                <w:sz w:val="21"/>
                <w:szCs w:val="21"/>
              </w:rPr>
            </w:pPr>
            <w:r>
              <w:rPr>
                <w:sz w:val="21"/>
                <w:szCs w:val="21"/>
              </w:rPr>
              <w:t>2</w:t>
            </w:r>
          </w:p>
        </w:tc>
        <w:tc>
          <w:tcPr>
            <w:tcW w:w="661" w:type="pct"/>
            <w:gridSpan w:val="3"/>
            <w:vAlign w:val="center"/>
          </w:tcPr>
          <w:p w:rsidR="00240BCE" w:rsidRDefault="00AC0334">
            <w:pPr>
              <w:adjustRightInd w:val="0"/>
              <w:snapToGrid w:val="0"/>
              <w:spacing w:line="340" w:lineRule="exact"/>
              <w:jc w:val="center"/>
              <w:rPr>
                <w:sz w:val="21"/>
                <w:szCs w:val="21"/>
              </w:rPr>
            </w:pPr>
            <w:r>
              <w:rPr>
                <w:sz w:val="21"/>
                <w:szCs w:val="21"/>
              </w:rPr>
              <w:t>井口标高</w:t>
            </w:r>
          </w:p>
        </w:tc>
        <w:tc>
          <w:tcPr>
            <w:tcW w:w="377" w:type="pct"/>
            <w:vAlign w:val="center"/>
          </w:tcPr>
          <w:p w:rsidR="00240BCE" w:rsidRDefault="00AC0334">
            <w:pPr>
              <w:adjustRightInd w:val="0"/>
              <w:snapToGrid w:val="0"/>
              <w:spacing w:line="340" w:lineRule="exact"/>
              <w:jc w:val="center"/>
              <w:rPr>
                <w:sz w:val="21"/>
                <w:szCs w:val="21"/>
              </w:rPr>
            </w:pPr>
            <w:r>
              <w:rPr>
                <w:sz w:val="21"/>
                <w:szCs w:val="21"/>
              </w:rPr>
              <w:t>m</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+298</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+296</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+297</w:t>
            </w:r>
          </w:p>
        </w:tc>
      </w:tr>
      <w:tr w:rsidR="00240BCE">
        <w:trPr>
          <w:jc w:val="center"/>
        </w:trPr>
        <w:tc>
          <w:tcPr>
            <w:tcW w:w="304" w:type="pct"/>
            <w:vAlign w:val="center"/>
          </w:tcPr>
          <w:p w:rsidR="00240BCE" w:rsidRDefault="00AC0334">
            <w:pPr>
              <w:adjustRightInd w:val="0"/>
              <w:snapToGrid w:val="0"/>
              <w:spacing w:line="340" w:lineRule="exact"/>
              <w:jc w:val="center"/>
              <w:rPr>
                <w:sz w:val="21"/>
                <w:szCs w:val="21"/>
              </w:rPr>
            </w:pPr>
            <w:r>
              <w:rPr>
                <w:sz w:val="21"/>
                <w:szCs w:val="21"/>
              </w:rPr>
              <w:t>3</w:t>
            </w:r>
          </w:p>
        </w:tc>
        <w:tc>
          <w:tcPr>
            <w:tcW w:w="661" w:type="pct"/>
            <w:gridSpan w:val="3"/>
            <w:vAlign w:val="center"/>
          </w:tcPr>
          <w:p w:rsidR="00240BCE" w:rsidRDefault="00AC0334">
            <w:pPr>
              <w:adjustRightInd w:val="0"/>
              <w:snapToGrid w:val="0"/>
              <w:spacing w:line="340" w:lineRule="exact"/>
              <w:jc w:val="center"/>
              <w:rPr>
                <w:sz w:val="21"/>
                <w:szCs w:val="21"/>
              </w:rPr>
            </w:pPr>
            <w:r>
              <w:rPr>
                <w:sz w:val="21"/>
                <w:szCs w:val="21"/>
              </w:rPr>
              <w:t>落底标高</w:t>
            </w:r>
          </w:p>
        </w:tc>
        <w:tc>
          <w:tcPr>
            <w:tcW w:w="377" w:type="pct"/>
            <w:vAlign w:val="center"/>
          </w:tcPr>
          <w:p w:rsidR="00240BCE" w:rsidRDefault="00AC0334">
            <w:pPr>
              <w:adjustRightInd w:val="0"/>
              <w:snapToGrid w:val="0"/>
              <w:spacing w:line="340" w:lineRule="exact"/>
              <w:jc w:val="center"/>
              <w:rPr>
                <w:sz w:val="21"/>
                <w:szCs w:val="21"/>
              </w:rPr>
            </w:pPr>
            <w:r>
              <w:rPr>
                <w:sz w:val="21"/>
                <w:szCs w:val="21"/>
              </w:rPr>
              <w:t>m</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+45</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+45</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+78</w:t>
            </w:r>
          </w:p>
        </w:tc>
      </w:tr>
      <w:tr w:rsidR="00240BCE">
        <w:trPr>
          <w:jc w:val="center"/>
        </w:trPr>
        <w:tc>
          <w:tcPr>
            <w:tcW w:w="304" w:type="pct"/>
            <w:vAlign w:val="center"/>
          </w:tcPr>
          <w:p w:rsidR="00240BCE" w:rsidRDefault="00AC0334">
            <w:pPr>
              <w:adjustRightInd w:val="0"/>
              <w:snapToGrid w:val="0"/>
              <w:spacing w:line="340" w:lineRule="exact"/>
              <w:jc w:val="center"/>
              <w:rPr>
                <w:sz w:val="21"/>
                <w:szCs w:val="21"/>
              </w:rPr>
            </w:pPr>
            <w:r>
              <w:rPr>
                <w:sz w:val="21"/>
                <w:szCs w:val="21"/>
              </w:rPr>
              <w:t>4</w:t>
            </w:r>
          </w:p>
        </w:tc>
        <w:tc>
          <w:tcPr>
            <w:tcW w:w="661" w:type="pct"/>
            <w:gridSpan w:val="3"/>
            <w:vAlign w:val="center"/>
          </w:tcPr>
          <w:p w:rsidR="00240BCE" w:rsidRDefault="00AC0334">
            <w:pPr>
              <w:adjustRightInd w:val="0"/>
              <w:snapToGrid w:val="0"/>
              <w:spacing w:line="340" w:lineRule="exact"/>
              <w:jc w:val="center"/>
              <w:rPr>
                <w:sz w:val="21"/>
                <w:szCs w:val="21"/>
              </w:rPr>
            </w:pPr>
            <w:r>
              <w:rPr>
                <w:sz w:val="21"/>
                <w:szCs w:val="21"/>
              </w:rPr>
              <w:t>提升方位角</w:t>
            </w:r>
          </w:p>
        </w:tc>
        <w:tc>
          <w:tcPr>
            <w:tcW w:w="377" w:type="pct"/>
            <w:vAlign w:val="center"/>
          </w:tcPr>
          <w:p w:rsidR="00240BCE" w:rsidRDefault="00AC0334">
            <w:pPr>
              <w:adjustRightInd w:val="0"/>
              <w:snapToGrid w:val="0"/>
              <w:spacing w:line="340" w:lineRule="exact"/>
              <w:jc w:val="center"/>
              <w:rPr>
                <w:sz w:val="21"/>
                <w:szCs w:val="21"/>
              </w:rPr>
            </w:pPr>
            <w:r>
              <w:rPr>
                <w:sz w:val="21"/>
                <w:szCs w:val="21"/>
              </w:rPr>
              <w:t>度</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267</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232</w:t>
            </w:r>
          </w:p>
        </w:tc>
        <w:tc>
          <w:tcPr>
            <w:tcW w:w="629" w:type="pct"/>
            <w:tcBorders>
              <w:left w:val="single" w:sz="4" w:space="0" w:color="auto"/>
            </w:tcBorders>
            <w:vAlign w:val="center"/>
          </w:tcPr>
          <w:p w:rsidR="00240BCE" w:rsidRDefault="00240BCE">
            <w:pPr>
              <w:adjustRightInd w:val="0"/>
              <w:snapToGrid w:val="0"/>
              <w:spacing w:line="340" w:lineRule="exact"/>
              <w:jc w:val="center"/>
              <w:rPr>
                <w:sz w:val="21"/>
                <w:szCs w:val="21"/>
              </w:rPr>
            </w:pPr>
          </w:p>
        </w:tc>
      </w:tr>
      <w:tr w:rsidR="00240BCE">
        <w:trPr>
          <w:jc w:val="center"/>
        </w:trPr>
        <w:tc>
          <w:tcPr>
            <w:tcW w:w="304" w:type="pct"/>
            <w:vAlign w:val="center"/>
          </w:tcPr>
          <w:p w:rsidR="00240BCE" w:rsidRDefault="00AC0334">
            <w:pPr>
              <w:adjustRightInd w:val="0"/>
              <w:snapToGrid w:val="0"/>
              <w:spacing w:line="340" w:lineRule="exact"/>
              <w:jc w:val="center"/>
              <w:rPr>
                <w:sz w:val="21"/>
                <w:szCs w:val="21"/>
              </w:rPr>
            </w:pPr>
            <w:r>
              <w:rPr>
                <w:sz w:val="21"/>
                <w:szCs w:val="21"/>
              </w:rPr>
              <w:t>5</w:t>
            </w:r>
          </w:p>
        </w:tc>
        <w:tc>
          <w:tcPr>
            <w:tcW w:w="661" w:type="pct"/>
            <w:gridSpan w:val="3"/>
            <w:vAlign w:val="center"/>
          </w:tcPr>
          <w:p w:rsidR="00240BCE" w:rsidRDefault="00AC0334">
            <w:pPr>
              <w:adjustRightInd w:val="0"/>
              <w:snapToGrid w:val="0"/>
              <w:spacing w:line="340" w:lineRule="exact"/>
              <w:jc w:val="center"/>
              <w:rPr>
                <w:sz w:val="21"/>
                <w:szCs w:val="21"/>
              </w:rPr>
            </w:pPr>
            <w:r>
              <w:rPr>
                <w:sz w:val="21"/>
                <w:szCs w:val="21"/>
              </w:rPr>
              <w:t>井筒倾角</w:t>
            </w:r>
          </w:p>
        </w:tc>
        <w:tc>
          <w:tcPr>
            <w:tcW w:w="377" w:type="pct"/>
            <w:vAlign w:val="center"/>
          </w:tcPr>
          <w:p w:rsidR="00240BCE" w:rsidRDefault="00AC0334">
            <w:pPr>
              <w:adjustRightInd w:val="0"/>
              <w:snapToGrid w:val="0"/>
              <w:spacing w:line="340" w:lineRule="exact"/>
              <w:jc w:val="center"/>
              <w:rPr>
                <w:sz w:val="21"/>
                <w:szCs w:val="21"/>
              </w:rPr>
            </w:pPr>
            <w:r>
              <w:rPr>
                <w:sz w:val="21"/>
                <w:szCs w:val="21"/>
              </w:rPr>
              <w:t>度</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90</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90</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90</w:t>
            </w:r>
          </w:p>
        </w:tc>
      </w:tr>
      <w:tr w:rsidR="00240BCE">
        <w:trPr>
          <w:jc w:val="center"/>
        </w:trPr>
        <w:tc>
          <w:tcPr>
            <w:tcW w:w="304" w:type="pct"/>
            <w:vAlign w:val="center"/>
          </w:tcPr>
          <w:p w:rsidR="00240BCE" w:rsidRDefault="00AC0334">
            <w:pPr>
              <w:adjustRightInd w:val="0"/>
              <w:snapToGrid w:val="0"/>
              <w:spacing w:line="340" w:lineRule="exact"/>
              <w:jc w:val="center"/>
              <w:rPr>
                <w:sz w:val="21"/>
                <w:szCs w:val="21"/>
              </w:rPr>
            </w:pPr>
            <w:r>
              <w:rPr>
                <w:sz w:val="21"/>
                <w:szCs w:val="21"/>
              </w:rPr>
              <w:t>6</w:t>
            </w:r>
          </w:p>
        </w:tc>
        <w:tc>
          <w:tcPr>
            <w:tcW w:w="661" w:type="pct"/>
            <w:gridSpan w:val="3"/>
            <w:vAlign w:val="center"/>
          </w:tcPr>
          <w:p w:rsidR="00240BCE" w:rsidRDefault="00AC0334">
            <w:pPr>
              <w:adjustRightInd w:val="0"/>
              <w:snapToGrid w:val="0"/>
              <w:spacing w:line="340" w:lineRule="exact"/>
              <w:jc w:val="center"/>
              <w:rPr>
                <w:sz w:val="21"/>
                <w:szCs w:val="21"/>
              </w:rPr>
            </w:pPr>
            <w:r>
              <w:rPr>
                <w:sz w:val="21"/>
                <w:szCs w:val="21"/>
              </w:rPr>
              <w:t>井深</w:t>
            </w:r>
          </w:p>
        </w:tc>
        <w:tc>
          <w:tcPr>
            <w:tcW w:w="377" w:type="pct"/>
            <w:vAlign w:val="center"/>
          </w:tcPr>
          <w:p w:rsidR="00240BCE" w:rsidRDefault="00AC0334">
            <w:pPr>
              <w:adjustRightInd w:val="0"/>
              <w:snapToGrid w:val="0"/>
              <w:spacing w:line="340" w:lineRule="exact"/>
              <w:jc w:val="center"/>
              <w:rPr>
                <w:sz w:val="21"/>
                <w:szCs w:val="21"/>
              </w:rPr>
            </w:pPr>
            <w:r>
              <w:rPr>
                <w:sz w:val="21"/>
                <w:szCs w:val="21"/>
              </w:rPr>
              <w:t>m</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253</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251</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219</w:t>
            </w:r>
          </w:p>
        </w:tc>
      </w:tr>
      <w:tr w:rsidR="00240BCE">
        <w:trPr>
          <w:jc w:val="center"/>
        </w:trPr>
        <w:tc>
          <w:tcPr>
            <w:tcW w:w="304" w:type="pct"/>
            <w:vMerge w:val="restart"/>
            <w:vAlign w:val="center"/>
          </w:tcPr>
          <w:p w:rsidR="00240BCE" w:rsidRDefault="00AC0334">
            <w:pPr>
              <w:adjustRightInd w:val="0"/>
              <w:snapToGrid w:val="0"/>
              <w:spacing w:line="340" w:lineRule="exact"/>
              <w:jc w:val="center"/>
              <w:rPr>
                <w:sz w:val="21"/>
                <w:szCs w:val="21"/>
              </w:rPr>
            </w:pPr>
            <w:r>
              <w:rPr>
                <w:sz w:val="21"/>
                <w:szCs w:val="21"/>
              </w:rPr>
              <w:t>7</w:t>
            </w:r>
          </w:p>
        </w:tc>
        <w:tc>
          <w:tcPr>
            <w:tcW w:w="661" w:type="pct"/>
            <w:gridSpan w:val="3"/>
            <w:vAlign w:val="center"/>
          </w:tcPr>
          <w:p w:rsidR="00240BCE" w:rsidRDefault="00AC0334">
            <w:pPr>
              <w:adjustRightInd w:val="0"/>
              <w:snapToGrid w:val="0"/>
              <w:spacing w:line="340" w:lineRule="exact"/>
              <w:jc w:val="center"/>
              <w:rPr>
                <w:sz w:val="21"/>
                <w:szCs w:val="21"/>
              </w:rPr>
            </w:pPr>
            <w:r>
              <w:rPr>
                <w:sz w:val="21"/>
                <w:szCs w:val="21"/>
              </w:rPr>
              <w:t>净直径</w:t>
            </w:r>
          </w:p>
        </w:tc>
        <w:tc>
          <w:tcPr>
            <w:tcW w:w="377" w:type="pct"/>
            <w:vAlign w:val="center"/>
          </w:tcPr>
          <w:p w:rsidR="00240BCE" w:rsidRDefault="00AC0334">
            <w:pPr>
              <w:adjustRightInd w:val="0"/>
              <w:snapToGrid w:val="0"/>
              <w:spacing w:line="340" w:lineRule="exact"/>
              <w:jc w:val="center"/>
              <w:rPr>
                <w:sz w:val="21"/>
                <w:szCs w:val="21"/>
              </w:rPr>
            </w:pPr>
            <w:r>
              <w:rPr>
                <w:sz w:val="21"/>
                <w:szCs w:val="21"/>
              </w:rPr>
              <w:t>m</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4.6</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3.8</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3.8</w:t>
            </w:r>
          </w:p>
        </w:tc>
      </w:tr>
      <w:tr w:rsidR="00240BCE">
        <w:trPr>
          <w:jc w:val="center"/>
        </w:trPr>
        <w:tc>
          <w:tcPr>
            <w:tcW w:w="304" w:type="pct"/>
            <w:vMerge/>
            <w:tcBorders>
              <w:bottom w:val="single" w:sz="4" w:space="0" w:color="auto"/>
            </w:tcBorders>
            <w:vAlign w:val="center"/>
          </w:tcPr>
          <w:p w:rsidR="00240BCE" w:rsidRDefault="00240BCE">
            <w:pPr>
              <w:adjustRightInd w:val="0"/>
              <w:snapToGrid w:val="0"/>
              <w:spacing w:line="340" w:lineRule="exact"/>
              <w:jc w:val="center"/>
              <w:rPr>
                <w:sz w:val="21"/>
                <w:szCs w:val="21"/>
              </w:rPr>
            </w:pPr>
          </w:p>
        </w:tc>
        <w:tc>
          <w:tcPr>
            <w:tcW w:w="661" w:type="pct"/>
            <w:gridSpan w:val="3"/>
            <w:vAlign w:val="center"/>
          </w:tcPr>
          <w:p w:rsidR="00240BCE" w:rsidRDefault="00AC0334">
            <w:pPr>
              <w:adjustRightInd w:val="0"/>
              <w:snapToGrid w:val="0"/>
              <w:spacing w:line="340" w:lineRule="exact"/>
              <w:jc w:val="center"/>
              <w:rPr>
                <w:sz w:val="21"/>
                <w:szCs w:val="21"/>
              </w:rPr>
            </w:pPr>
            <w:r>
              <w:rPr>
                <w:sz w:val="21"/>
                <w:szCs w:val="21"/>
              </w:rPr>
              <w:t>壁厚</w:t>
            </w:r>
          </w:p>
        </w:tc>
        <w:tc>
          <w:tcPr>
            <w:tcW w:w="377" w:type="pct"/>
            <w:vAlign w:val="center"/>
          </w:tcPr>
          <w:p w:rsidR="00240BCE" w:rsidRDefault="00AC0334">
            <w:pPr>
              <w:adjustRightInd w:val="0"/>
              <w:snapToGrid w:val="0"/>
              <w:spacing w:line="340" w:lineRule="exact"/>
              <w:jc w:val="center"/>
              <w:rPr>
                <w:sz w:val="21"/>
                <w:szCs w:val="21"/>
              </w:rPr>
            </w:pPr>
            <w:r>
              <w:rPr>
                <w:sz w:val="21"/>
                <w:szCs w:val="21"/>
              </w:rPr>
              <w:t>mm</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300</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300</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300</w:t>
            </w:r>
          </w:p>
        </w:tc>
      </w:tr>
      <w:tr w:rsidR="00240BCE">
        <w:trPr>
          <w:jc w:val="center"/>
        </w:trPr>
        <w:tc>
          <w:tcPr>
            <w:tcW w:w="304" w:type="pct"/>
            <w:vMerge w:val="restart"/>
            <w:vAlign w:val="center"/>
          </w:tcPr>
          <w:p w:rsidR="00240BCE" w:rsidRDefault="00AC0334">
            <w:pPr>
              <w:adjustRightInd w:val="0"/>
              <w:snapToGrid w:val="0"/>
              <w:spacing w:line="340" w:lineRule="exact"/>
              <w:jc w:val="center"/>
              <w:rPr>
                <w:sz w:val="21"/>
                <w:szCs w:val="21"/>
              </w:rPr>
            </w:pPr>
            <w:r>
              <w:rPr>
                <w:sz w:val="21"/>
                <w:szCs w:val="21"/>
              </w:rPr>
              <w:t>9</w:t>
            </w:r>
          </w:p>
        </w:tc>
        <w:tc>
          <w:tcPr>
            <w:tcW w:w="282" w:type="pct"/>
            <w:vMerge w:val="restart"/>
            <w:vAlign w:val="center"/>
          </w:tcPr>
          <w:p w:rsidR="00240BCE" w:rsidRDefault="00AC0334">
            <w:pPr>
              <w:adjustRightInd w:val="0"/>
              <w:snapToGrid w:val="0"/>
              <w:spacing w:line="340" w:lineRule="exact"/>
              <w:jc w:val="center"/>
              <w:rPr>
                <w:sz w:val="21"/>
                <w:szCs w:val="21"/>
              </w:rPr>
            </w:pPr>
            <w:r>
              <w:rPr>
                <w:sz w:val="21"/>
                <w:szCs w:val="21"/>
              </w:rPr>
              <w:t>断面</w:t>
            </w:r>
          </w:p>
        </w:tc>
        <w:tc>
          <w:tcPr>
            <w:tcW w:w="379" w:type="pct"/>
            <w:gridSpan w:val="2"/>
            <w:vAlign w:val="center"/>
          </w:tcPr>
          <w:p w:rsidR="00240BCE" w:rsidRDefault="00AC0334">
            <w:pPr>
              <w:adjustRightInd w:val="0"/>
              <w:snapToGrid w:val="0"/>
              <w:spacing w:line="340" w:lineRule="exact"/>
              <w:jc w:val="center"/>
              <w:rPr>
                <w:sz w:val="21"/>
                <w:szCs w:val="21"/>
              </w:rPr>
            </w:pPr>
            <w:r>
              <w:rPr>
                <w:sz w:val="21"/>
                <w:szCs w:val="21"/>
              </w:rPr>
              <w:t>净</w:t>
            </w:r>
          </w:p>
        </w:tc>
        <w:tc>
          <w:tcPr>
            <w:tcW w:w="377" w:type="pct"/>
            <w:vAlign w:val="center"/>
          </w:tcPr>
          <w:p w:rsidR="00240BCE" w:rsidRDefault="00AC0334">
            <w:pPr>
              <w:adjustRightInd w:val="0"/>
              <w:snapToGrid w:val="0"/>
              <w:spacing w:line="340" w:lineRule="exact"/>
              <w:jc w:val="center"/>
              <w:rPr>
                <w:sz w:val="21"/>
                <w:szCs w:val="21"/>
              </w:rPr>
            </w:pPr>
            <w:r>
              <w:rPr>
                <w:sz w:val="21"/>
                <w:szCs w:val="21"/>
              </w:rPr>
              <w:t>m</w:t>
            </w:r>
            <w:r>
              <w:rPr>
                <w:sz w:val="21"/>
                <w:szCs w:val="21"/>
                <w:vertAlign w:val="superscript"/>
              </w:rPr>
              <w:t>2</w:t>
            </w:r>
          </w:p>
        </w:tc>
        <w:tc>
          <w:tcPr>
            <w:tcW w:w="2224"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16.6</w:t>
            </w:r>
          </w:p>
        </w:tc>
        <w:tc>
          <w:tcPr>
            <w:tcW w:w="806" w:type="pct"/>
            <w:tcBorders>
              <w:left w:val="single" w:sz="4" w:space="0" w:color="auto"/>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11.3</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11.3</w:t>
            </w:r>
          </w:p>
        </w:tc>
      </w:tr>
      <w:tr w:rsidR="00240BCE">
        <w:trPr>
          <w:jc w:val="center"/>
        </w:trPr>
        <w:tc>
          <w:tcPr>
            <w:tcW w:w="304" w:type="pct"/>
            <w:vMerge/>
            <w:vAlign w:val="center"/>
          </w:tcPr>
          <w:p w:rsidR="00240BCE" w:rsidRDefault="00240BCE">
            <w:pPr>
              <w:adjustRightInd w:val="0"/>
              <w:snapToGrid w:val="0"/>
              <w:spacing w:line="340" w:lineRule="exact"/>
              <w:jc w:val="center"/>
              <w:rPr>
                <w:sz w:val="21"/>
                <w:szCs w:val="21"/>
              </w:rPr>
            </w:pPr>
          </w:p>
        </w:tc>
        <w:tc>
          <w:tcPr>
            <w:tcW w:w="282" w:type="pct"/>
            <w:vMerge/>
            <w:vAlign w:val="center"/>
          </w:tcPr>
          <w:p w:rsidR="00240BCE" w:rsidRDefault="00240BCE">
            <w:pPr>
              <w:adjustRightInd w:val="0"/>
              <w:snapToGrid w:val="0"/>
              <w:spacing w:line="340" w:lineRule="exact"/>
              <w:jc w:val="center"/>
              <w:rPr>
                <w:sz w:val="21"/>
                <w:szCs w:val="21"/>
              </w:rPr>
            </w:pPr>
          </w:p>
        </w:tc>
        <w:tc>
          <w:tcPr>
            <w:tcW w:w="379" w:type="pct"/>
            <w:gridSpan w:val="2"/>
            <w:vAlign w:val="center"/>
          </w:tcPr>
          <w:p w:rsidR="00240BCE" w:rsidRDefault="00AC0334">
            <w:pPr>
              <w:adjustRightInd w:val="0"/>
              <w:snapToGrid w:val="0"/>
              <w:spacing w:line="340" w:lineRule="exact"/>
              <w:jc w:val="center"/>
              <w:rPr>
                <w:sz w:val="21"/>
                <w:szCs w:val="21"/>
              </w:rPr>
            </w:pPr>
            <w:r>
              <w:rPr>
                <w:sz w:val="21"/>
                <w:szCs w:val="21"/>
              </w:rPr>
              <w:t>掘进</w:t>
            </w:r>
          </w:p>
        </w:tc>
        <w:tc>
          <w:tcPr>
            <w:tcW w:w="377" w:type="pct"/>
            <w:vAlign w:val="center"/>
          </w:tcPr>
          <w:p w:rsidR="00240BCE" w:rsidRDefault="00AC0334">
            <w:pPr>
              <w:adjustRightInd w:val="0"/>
              <w:snapToGrid w:val="0"/>
              <w:spacing w:line="340" w:lineRule="exact"/>
              <w:jc w:val="center"/>
              <w:rPr>
                <w:sz w:val="21"/>
                <w:szCs w:val="21"/>
              </w:rPr>
            </w:pPr>
            <w:r>
              <w:rPr>
                <w:sz w:val="21"/>
                <w:szCs w:val="21"/>
              </w:rPr>
              <w:t>m</w:t>
            </w:r>
            <w:r>
              <w:rPr>
                <w:sz w:val="21"/>
                <w:szCs w:val="21"/>
                <w:vertAlign w:val="superscript"/>
              </w:rPr>
              <w:t>2</w:t>
            </w:r>
          </w:p>
        </w:tc>
        <w:tc>
          <w:tcPr>
            <w:tcW w:w="2224"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21.2</w:t>
            </w:r>
          </w:p>
        </w:tc>
        <w:tc>
          <w:tcPr>
            <w:tcW w:w="806" w:type="pct"/>
            <w:tcBorders>
              <w:left w:val="single" w:sz="4" w:space="0" w:color="auto"/>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15.2</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15.2</w:t>
            </w:r>
          </w:p>
        </w:tc>
      </w:tr>
      <w:tr w:rsidR="00240BCE">
        <w:trPr>
          <w:jc w:val="center"/>
        </w:trPr>
        <w:tc>
          <w:tcPr>
            <w:tcW w:w="304" w:type="pct"/>
            <w:vAlign w:val="center"/>
          </w:tcPr>
          <w:p w:rsidR="00240BCE" w:rsidRDefault="00AC0334">
            <w:pPr>
              <w:adjustRightInd w:val="0"/>
              <w:snapToGrid w:val="0"/>
              <w:spacing w:line="340" w:lineRule="exact"/>
              <w:jc w:val="center"/>
              <w:rPr>
                <w:sz w:val="21"/>
                <w:szCs w:val="21"/>
              </w:rPr>
            </w:pPr>
            <w:r>
              <w:rPr>
                <w:sz w:val="21"/>
                <w:szCs w:val="21"/>
              </w:rPr>
              <w:t>10</w:t>
            </w:r>
          </w:p>
        </w:tc>
        <w:tc>
          <w:tcPr>
            <w:tcW w:w="1038" w:type="pct"/>
            <w:gridSpan w:val="4"/>
            <w:vAlign w:val="center"/>
          </w:tcPr>
          <w:p w:rsidR="00240BCE" w:rsidRDefault="00AC0334">
            <w:pPr>
              <w:adjustRightInd w:val="0"/>
              <w:snapToGrid w:val="0"/>
              <w:spacing w:line="340" w:lineRule="exact"/>
              <w:jc w:val="center"/>
              <w:rPr>
                <w:sz w:val="21"/>
                <w:szCs w:val="21"/>
              </w:rPr>
            </w:pPr>
            <w:r>
              <w:rPr>
                <w:sz w:val="21"/>
                <w:szCs w:val="21"/>
              </w:rPr>
              <w:t>井筒装备</w:t>
            </w:r>
          </w:p>
        </w:tc>
        <w:tc>
          <w:tcPr>
            <w:tcW w:w="2224" w:type="pct"/>
            <w:vAlign w:val="center"/>
          </w:tcPr>
          <w:p w:rsidR="00240BCE" w:rsidRDefault="00AC0334">
            <w:pPr>
              <w:adjustRightInd w:val="0"/>
              <w:snapToGrid w:val="0"/>
              <w:spacing w:line="340" w:lineRule="exact"/>
              <w:jc w:val="center"/>
              <w:rPr>
                <w:sz w:val="21"/>
                <w:szCs w:val="21"/>
              </w:rPr>
            </w:pPr>
            <w:r>
              <w:rPr>
                <w:sz w:val="21"/>
                <w:szCs w:val="21"/>
              </w:rPr>
              <w:t>一对</w:t>
            </w:r>
            <w:r>
              <w:rPr>
                <w:sz w:val="21"/>
                <w:szCs w:val="21"/>
              </w:rPr>
              <w:t>2.0t</w:t>
            </w:r>
            <w:r>
              <w:rPr>
                <w:sz w:val="21"/>
                <w:szCs w:val="21"/>
              </w:rPr>
              <w:t>非标箕斗、金属梯子间、动力电缆、压风管、消防洒水管、供水管</w:t>
            </w:r>
          </w:p>
        </w:tc>
        <w:tc>
          <w:tcPr>
            <w:tcW w:w="806" w:type="pct"/>
            <w:tcBorders>
              <w:righ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0.75t</w:t>
            </w:r>
            <w:r>
              <w:rPr>
                <w:sz w:val="21"/>
                <w:szCs w:val="21"/>
              </w:rPr>
              <w:t>非标罐笼、排水管路</w:t>
            </w:r>
          </w:p>
        </w:tc>
        <w:tc>
          <w:tcPr>
            <w:tcW w:w="629" w:type="pct"/>
            <w:tcBorders>
              <w:left w:val="single" w:sz="4" w:space="0" w:color="auto"/>
            </w:tcBorders>
            <w:vAlign w:val="center"/>
          </w:tcPr>
          <w:p w:rsidR="00240BCE" w:rsidRDefault="00AC0334">
            <w:pPr>
              <w:adjustRightInd w:val="0"/>
              <w:snapToGrid w:val="0"/>
              <w:spacing w:line="340" w:lineRule="exact"/>
              <w:jc w:val="center"/>
              <w:rPr>
                <w:sz w:val="21"/>
                <w:szCs w:val="21"/>
              </w:rPr>
            </w:pPr>
            <w:r>
              <w:rPr>
                <w:sz w:val="21"/>
                <w:szCs w:val="21"/>
              </w:rPr>
              <w:t>金属梯子间</w:t>
            </w:r>
          </w:p>
        </w:tc>
      </w:tr>
    </w:tbl>
    <w:p w:rsidR="00240BCE" w:rsidRDefault="00AC0334">
      <w:pPr>
        <w:adjustRightInd w:val="0"/>
        <w:snapToGrid w:val="0"/>
        <w:spacing w:line="520" w:lineRule="exact"/>
        <w:ind w:firstLineChars="200" w:firstLine="488"/>
        <w:rPr>
          <w:spacing w:val="2"/>
          <w:sz w:val="24"/>
        </w:rPr>
      </w:pPr>
      <w:r>
        <w:rPr>
          <w:spacing w:val="2"/>
          <w:sz w:val="24"/>
        </w:rPr>
        <w:t>3</w:t>
      </w:r>
      <w:r>
        <w:rPr>
          <w:spacing w:val="2"/>
          <w:sz w:val="24"/>
        </w:rPr>
        <w:t>、水平划分及标高</w:t>
      </w:r>
    </w:p>
    <w:p w:rsidR="00240BCE" w:rsidRDefault="00AC0334">
      <w:pPr>
        <w:adjustRightInd w:val="0"/>
        <w:snapToGrid w:val="0"/>
        <w:spacing w:line="520" w:lineRule="exact"/>
        <w:ind w:firstLineChars="200" w:firstLine="480"/>
        <w:rPr>
          <w:bCs/>
          <w:sz w:val="24"/>
        </w:rPr>
      </w:pPr>
      <w:r>
        <w:rPr>
          <w:bCs/>
          <w:sz w:val="24"/>
        </w:rPr>
        <w:t>本矿井现有主井、副井均落底</w:t>
      </w:r>
      <w:r>
        <w:rPr>
          <w:bCs/>
          <w:sz w:val="24"/>
        </w:rPr>
        <w:t>+45m</w:t>
      </w:r>
      <w:r>
        <w:rPr>
          <w:bCs/>
          <w:sz w:val="24"/>
        </w:rPr>
        <w:t>，落底后布置有</w:t>
      </w:r>
      <w:r>
        <w:rPr>
          <w:bCs/>
          <w:sz w:val="24"/>
        </w:rPr>
        <w:t>+45m</w:t>
      </w:r>
      <w:r>
        <w:rPr>
          <w:bCs/>
          <w:sz w:val="24"/>
        </w:rPr>
        <w:t>井底车场，已形成现有</w:t>
      </w:r>
      <w:r>
        <w:rPr>
          <w:bCs/>
          <w:sz w:val="24"/>
        </w:rPr>
        <w:t>+45m</w:t>
      </w:r>
      <w:r>
        <w:rPr>
          <w:bCs/>
          <w:sz w:val="24"/>
        </w:rPr>
        <w:t>水平。本次设计初期直接利用</w:t>
      </w:r>
      <w:r>
        <w:rPr>
          <w:bCs/>
          <w:sz w:val="24"/>
        </w:rPr>
        <w:t>+45m</w:t>
      </w:r>
      <w:r>
        <w:rPr>
          <w:bCs/>
          <w:sz w:val="24"/>
        </w:rPr>
        <w:t>水平下山开采</w:t>
      </w:r>
      <w:r>
        <w:rPr>
          <w:bCs/>
          <w:sz w:val="24"/>
        </w:rPr>
        <w:t>+45m</w:t>
      </w:r>
      <w:r>
        <w:rPr>
          <w:bCs/>
          <w:sz w:val="24"/>
        </w:rPr>
        <w:t>～</w:t>
      </w:r>
      <w:r>
        <w:rPr>
          <w:bCs/>
          <w:sz w:val="24"/>
        </w:rPr>
        <w:t>-100m</w:t>
      </w:r>
      <w:r>
        <w:rPr>
          <w:bCs/>
          <w:sz w:val="24"/>
        </w:rPr>
        <w:t>间二</w:t>
      </w:r>
      <w:r>
        <w:rPr>
          <w:bCs/>
          <w:sz w:val="24"/>
          <w:vertAlign w:val="subscript"/>
        </w:rPr>
        <w:t>1</w:t>
      </w:r>
      <w:r>
        <w:rPr>
          <w:bCs/>
          <w:sz w:val="24"/>
        </w:rPr>
        <w:t>煤资源。后期在现有下山落底的</w:t>
      </w:r>
      <w:r>
        <w:rPr>
          <w:bCs/>
          <w:sz w:val="24"/>
        </w:rPr>
        <w:t>-100m</w:t>
      </w:r>
      <w:r>
        <w:rPr>
          <w:bCs/>
          <w:sz w:val="24"/>
        </w:rPr>
        <w:t>布置</w:t>
      </w:r>
      <w:r>
        <w:rPr>
          <w:bCs/>
          <w:sz w:val="24"/>
        </w:rPr>
        <w:t>-100m</w:t>
      </w:r>
      <w:r>
        <w:rPr>
          <w:bCs/>
          <w:sz w:val="24"/>
        </w:rPr>
        <w:t>井底（接力）车场，开采</w:t>
      </w:r>
      <w:r>
        <w:rPr>
          <w:bCs/>
          <w:sz w:val="24"/>
        </w:rPr>
        <w:t>-100m</w:t>
      </w:r>
      <w:r>
        <w:rPr>
          <w:bCs/>
          <w:sz w:val="24"/>
        </w:rPr>
        <w:t>～</w:t>
      </w:r>
      <w:r>
        <w:rPr>
          <w:bCs/>
          <w:sz w:val="24"/>
        </w:rPr>
        <w:t>-350m</w:t>
      </w:r>
      <w:r>
        <w:rPr>
          <w:bCs/>
          <w:sz w:val="24"/>
        </w:rPr>
        <w:t>间二</w:t>
      </w:r>
      <w:r>
        <w:rPr>
          <w:bCs/>
          <w:sz w:val="24"/>
          <w:vertAlign w:val="subscript"/>
        </w:rPr>
        <w:t>1</w:t>
      </w:r>
      <w:r>
        <w:rPr>
          <w:bCs/>
          <w:sz w:val="24"/>
        </w:rPr>
        <w:t>煤资源。井下共分为两个采区，为</w:t>
      </w:r>
      <w:r>
        <w:rPr>
          <w:bCs/>
          <w:sz w:val="24"/>
        </w:rPr>
        <w:t>21</w:t>
      </w:r>
      <w:r>
        <w:rPr>
          <w:bCs/>
          <w:sz w:val="24"/>
        </w:rPr>
        <w:t>采区和</w:t>
      </w:r>
      <w:r>
        <w:rPr>
          <w:bCs/>
          <w:sz w:val="24"/>
        </w:rPr>
        <w:t>22</w:t>
      </w:r>
      <w:r>
        <w:rPr>
          <w:bCs/>
          <w:sz w:val="24"/>
        </w:rPr>
        <w:t>采区，均为下山开采，阶段垂高分别为</w:t>
      </w:r>
      <w:r>
        <w:rPr>
          <w:bCs/>
          <w:sz w:val="24"/>
        </w:rPr>
        <w:t>145</w:t>
      </w:r>
      <w:r>
        <w:rPr>
          <w:bCs/>
          <w:sz w:val="24"/>
        </w:rPr>
        <w:t>、</w:t>
      </w:r>
      <w:r>
        <w:rPr>
          <w:bCs/>
          <w:sz w:val="24"/>
        </w:rPr>
        <w:t>250m</w:t>
      </w:r>
      <w:r>
        <w:rPr>
          <w:bCs/>
          <w:sz w:val="24"/>
        </w:rPr>
        <w:t>。</w:t>
      </w:r>
    </w:p>
    <w:p w:rsidR="00240BCE" w:rsidRDefault="00AC0334">
      <w:pPr>
        <w:adjustRightInd w:val="0"/>
        <w:snapToGrid w:val="0"/>
        <w:spacing w:line="520" w:lineRule="exact"/>
        <w:ind w:firstLineChars="200" w:firstLine="480"/>
        <w:rPr>
          <w:bCs/>
          <w:sz w:val="24"/>
        </w:rPr>
      </w:pPr>
      <w:r>
        <w:rPr>
          <w:sz w:val="24"/>
        </w:rPr>
        <w:t>4</w:t>
      </w:r>
      <w:r>
        <w:rPr>
          <w:sz w:val="24"/>
        </w:rPr>
        <w:t>、</w:t>
      </w:r>
      <w:r>
        <w:rPr>
          <w:bCs/>
          <w:sz w:val="24"/>
        </w:rPr>
        <w:t>大巷布置</w:t>
      </w:r>
    </w:p>
    <w:p w:rsidR="00240BCE" w:rsidRDefault="00AC0334">
      <w:pPr>
        <w:adjustRightInd w:val="0"/>
        <w:snapToGrid w:val="0"/>
        <w:spacing w:line="520" w:lineRule="exact"/>
        <w:ind w:firstLineChars="200" w:firstLine="480"/>
        <w:rPr>
          <w:sz w:val="24"/>
        </w:rPr>
      </w:pPr>
      <w:r>
        <w:rPr>
          <w:bCs/>
          <w:sz w:val="24"/>
        </w:rPr>
        <w:t>本矿井井筒落底</w:t>
      </w:r>
      <w:r>
        <w:rPr>
          <w:bCs/>
          <w:sz w:val="24"/>
        </w:rPr>
        <w:t>+45m</w:t>
      </w:r>
      <w:r>
        <w:rPr>
          <w:bCs/>
          <w:sz w:val="24"/>
        </w:rPr>
        <w:t>水平完成车场绕道及车场硐室后即向深部做三条下山，设计</w:t>
      </w:r>
      <w:r>
        <w:rPr>
          <w:bCs/>
          <w:sz w:val="24"/>
        </w:rPr>
        <w:t>21</w:t>
      </w:r>
      <w:r>
        <w:rPr>
          <w:bCs/>
          <w:sz w:val="24"/>
        </w:rPr>
        <w:t>采区下山开采，井下轨道运输大巷较短，井底车场至采区轨道下山上部车场处长度不到</w:t>
      </w:r>
      <w:r>
        <w:rPr>
          <w:bCs/>
          <w:sz w:val="24"/>
        </w:rPr>
        <w:t>100m</w:t>
      </w:r>
      <w:r>
        <w:rPr>
          <w:bCs/>
          <w:sz w:val="24"/>
        </w:rPr>
        <w:t>；主井底上仓胶带输送机斜巷直接将井底煤仓与采区输送机上山相连。</w:t>
      </w:r>
    </w:p>
    <w:p w:rsidR="00240BCE" w:rsidRDefault="00AC0334">
      <w:pPr>
        <w:adjustRightInd w:val="0"/>
        <w:snapToGrid w:val="0"/>
        <w:spacing w:line="520" w:lineRule="exact"/>
        <w:ind w:firstLineChars="200" w:firstLine="480"/>
        <w:rPr>
          <w:sz w:val="24"/>
        </w:rPr>
      </w:pPr>
      <w:r>
        <w:rPr>
          <w:sz w:val="24"/>
        </w:rPr>
        <w:t>5</w:t>
      </w:r>
      <w:r>
        <w:rPr>
          <w:sz w:val="24"/>
        </w:rPr>
        <w:t>、煤层开采顺序</w:t>
      </w:r>
    </w:p>
    <w:p w:rsidR="00240BCE" w:rsidRDefault="00AC0334">
      <w:pPr>
        <w:adjustRightInd w:val="0"/>
        <w:snapToGrid w:val="0"/>
        <w:spacing w:line="520" w:lineRule="exact"/>
        <w:ind w:firstLineChars="200" w:firstLine="480"/>
        <w:rPr>
          <w:sz w:val="24"/>
        </w:rPr>
      </w:pPr>
      <w:r>
        <w:rPr>
          <w:sz w:val="24"/>
        </w:rPr>
        <w:t>井田内赋存有二</w:t>
      </w:r>
      <w:r>
        <w:rPr>
          <w:sz w:val="24"/>
          <w:vertAlign w:val="subscript"/>
        </w:rPr>
        <w:t>1</w:t>
      </w:r>
      <w:r>
        <w:rPr>
          <w:sz w:val="24"/>
        </w:rPr>
        <w:t>、四</w:t>
      </w:r>
      <w:r>
        <w:rPr>
          <w:sz w:val="24"/>
          <w:vertAlign w:val="subscript"/>
        </w:rPr>
        <w:t>2</w:t>
      </w:r>
      <w:r>
        <w:rPr>
          <w:sz w:val="24"/>
        </w:rPr>
        <w:t>两个可采煤层，但因四</w:t>
      </w:r>
      <w:r>
        <w:rPr>
          <w:sz w:val="24"/>
          <w:vertAlign w:val="subscript"/>
        </w:rPr>
        <w:t>2</w:t>
      </w:r>
      <w:r>
        <w:rPr>
          <w:sz w:val="24"/>
        </w:rPr>
        <w:t>煤层资源储量仅有</w:t>
      </w:r>
      <w:r>
        <w:rPr>
          <w:sz w:val="24"/>
        </w:rPr>
        <w:t>34.5</w:t>
      </w:r>
      <w:r>
        <w:rPr>
          <w:sz w:val="24"/>
        </w:rPr>
        <w:t>万</w:t>
      </w:r>
      <w:r>
        <w:rPr>
          <w:sz w:val="24"/>
        </w:rPr>
        <w:t>t</w:t>
      </w:r>
      <w:r>
        <w:rPr>
          <w:sz w:val="24"/>
        </w:rPr>
        <w:t>，而且依据现有井巷布置情况，本次设计仍然先开采二</w:t>
      </w:r>
      <w:r>
        <w:rPr>
          <w:sz w:val="24"/>
          <w:vertAlign w:val="subscript"/>
        </w:rPr>
        <w:t>1</w:t>
      </w:r>
      <w:r>
        <w:rPr>
          <w:sz w:val="24"/>
        </w:rPr>
        <w:t>煤层，后期开采四</w:t>
      </w:r>
      <w:r>
        <w:rPr>
          <w:sz w:val="24"/>
          <w:vertAlign w:val="subscript"/>
        </w:rPr>
        <w:t>2</w:t>
      </w:r>
      <w:r>
        <w:rPr>
          <w:sz w:val="24"/>
        </w:rPr>
        <w:t>煤层另</w:t>
      </w:r>
      <w:r>
        <w:rPr>
          <w:sz w:val="24"/>
        </w:rPr>
        <w:lastRenderedPageBreak/>
        <w:t>行设计。</w:t>
      </w:r>
    </w:p>
    <w:p w:rsidR="00240BCE" w:rsidRDefault="00AC0334">
      <w:pPr>
        <w:adjustRightInd w:val="0"/>
        <w:snapToGrid w:val="0"/>
        <w:spacing w:line="520" w:lineRule="exact"/>
        <w:ind w:firstLineChars="200" w:firstLine="482"/>
        <w:rPr>
          <w:b/>
          <w:sz w:val="24"/>
        </w:rPr>
      </w:pPr>
      <w:r>
        <w:rPr>
          <w:b/>
          <w:sz w:val="24"/>
        </w:rPr>
        <w:t>6</w:t>
      </w:r>
      <w:r>
        <w:rPr>
          <w:b/>
          <w:sz w:val="24"/>
        </w:rPr>
        <w:t>、采区的划分及开采顺序</w:t>
      </w:r>
    </w:p>
    <w:p w:rsidR="00240BCE" w:rsidRDefault="00AC0334">
      <w:pPr>
        <w:adjustRightInd w:val="0"/>
        <w:snapToGrid w:val="0"/>
        <w:spacing w:line="520" w:lineRule="exact"/>
        <w:ind w:firstLineChars="200" w:firstLine="480"/>
        <w:rPr>
          <w:sz w:val="24"/>
        </w:rPr>
      </w:pPr>
      <w:r>
        <w:rPr>
          <w:sz w:val="24"/>
        </w:rPr>
        <w:t>井田东西走向长约</w:t>
      </w:r>
      <w:r>
        <w:rPr>
          <w:sz w:val="24"/>
        </w:rPr>
        <w:t>1.75</w:t>
      </w:r>
      <w:r>
        <w:rPr>
          <w:sz w:val="24"/>
        </w:rPr>
        <w:t>～</w:t>
      </w:r>
      <w:r>
        <w:rPr>
          <w:sz w:val="24"/>
        </w:rPr>
        <w:t>2.50km</w:t>
      </w:r>
      <w:r>
        <w:rPr>
          <w:sz w:val="24"/>
        </w:rPr>
        <w:t>，宽约</w:t>
      </w:r>
      <w:r>
        <w:rPr>
          <w:sz w:val="24"/>
        </w:rPr>
        <w:t>0.57</w:t>
      </w:r>
      <w:r>
        <w:rPr>
          <w:sz w:val="24"/>
        </w:rPr>
        <w:t>～</w:t>
      </w:r>
      <w:r>
        <w:rPr>
          <w:sz w:val="24"/>
        </w:rPr>
        <w:t>1.81km</w:t>
      </w:r>
      <w:r>
        <w:rPr>
          <w:sz w:val="24"/>
        </w:rPr>
        <w:t>，面积约</w:t>
      </w:r>
      <w:r>
        <w:rPr>
          <w:sz w:val="24"/>
        </w:rPr>
        <w:t>2.2726km</w:t>
      </w:r>
      <w:r>
        <w:rPr>
          <w:sz w:val="24"/>
          <w:vertAlign w:val="superscript"/>
        </w:rPr>
        <w:t>2</w:t>
      </w:r>
      <w:r>
        <w:rPr>
          <w:sz w:val="24"/>
        </w:rPr>
        <w:t>。根据矿井的开拓部署，结合煤层赋存条件及构造情况，全井田共布置</w:t>
      </w:r>
      <w:r>
        <w:rPr>
          <w:sz w:val="24"/>
        </w:rPr>
        <w:t>2</w:t>
      </w:r>
      <w:r>
        <w:rPr>
          <w:sz w:val="24"/>
        </w:rPr>
        <w:t>个采区，均为下山采区；</w:t>
      </w:r>
      <w:r>
        <w:rPr>
          <w:sz w:val="24"/>
        </w:rPr>
        <w:t>-100m</w:t>
      </w:r>
      <w:r>
        <w:rPr>
          <w:sz w:val="24"/>
        </w:rPr>
        <w:t>水平以浅为</w:t>
      </w:r>
      <w:r>
        <w:rPr>
          <w:sz w:val="24"/>
        </w:rPr>
        <w:t>21</w:t>
      </w:r>
      <w:r>
        <w:rPr>
          <w:sz w:val="24"/>
        </w:rPr>
        <w:t>采区，</w:t>
      </w:r>
      <w:r>
        <w:rPr>
          <w:sz w:val="24"/>
        </w:rPr>
        <w:t>-100m</w:t>
      </w:r>
      <w:r>
        <w:rPr>
          <w:sz w:val="24"/>
        </w:rPr>
        <w:t>水平以深为</w:t>
      </w:r>
      <w:r>
        <w:rPr>
          <w:sz w:val="24"/>
        </w:rPr>
        <w:t>22</w:t>
      </w:r>
      <w:r>
        <w:rPr>
          <w:sz w:val="24"/>
        </w:rPr>
        <w:t>采区。采区开采顺序为初期先开采</w:t>
      </w:r>
      <w:r>
        <w:rPr>
          <w:sz w:val="24"/>
        </w:rPr>
        <w:t>21</w:t>
      </w:r>
      <w:r>
        <w:rPr>
          <w:sz w:val="24"/>
        </w:rPr>
        <w:t>采区，</w:t>
      </w:r>
      <w:r>
        <w:rPr>
          <w:sz w:val="24"/>
        </w:rPr>
        <w:t xml:space="preserve"> 22</w:t>
      </w:r>
      <w:r>
        <w:rPr>
          <w:sz w:val="24"/>
        </w:rPr>
        <w:t>采区接替。</w:t>
      </w:r>
    </w:p>
    <w:p w:rsidR="00240BCE" w:rsidRDefault="00AC0334">
      <w:pPr>
        <w:adjustRightInd w:val="0"/>
        <w:snapToGrid w:val="0"/>
        <w:spacing w:line="520" w:lineRule="exact"/>
        <w:ind w:firstLineChars="200" w:firstLine="480"/>
        <w:rPr>
          <w:sz w:val="24"/>
        </w:rPr>
      </w:pPr>
      <w:r>
        <w:rPr>
          <w:sz w:val="24"/>
        </w:rPr>
        <w:t>21</w:t>
      </w:r>
      <w:r>
        <w:rPr>
          <w:sz w:val="24"/>
        </w:rPr>
        <w:t>采区双翼开采，共划分为</w:t>
      </w:r>
      <w:r>
        <w:rPr>
          <w:sz w:val="24"/>
        </w:rPr>
        <w:t>4</w:t>
      </w:r>
      <w:r>
        <w:rPr>
          <w:sz w:val="24"/>
        </w:rPr>
        <w:t>个工作面，西翼布置三个工作面，东翼受采空区及断层影响布置一个工作面。工作面接替顺序为</w:t>
      </w:r>
      <w:r>
        <w:rPr>
          <w:sz w:val="24"/>
        </w:rPr>
        <w:t>21010</w:t>
      </w:r>
      <w:r>
        <w:rPr>
          <w:sz w:val="24"/>
        </w:rPr>
        <w:t>工作面</w:t>
      </w:r>
      <w:r>
        <w:rPr>
          <w:sz w:val="24"/>
        </w:rPr>
        <w:t>→21020</w:t>
      </w:r>
      <w:r>
        <w:rPr>
          <w:sz w:val="24"/>
        </w:rPr>
        <w:t>工作面</w:t>
      </w:r>
      <w:r>
        <w:rPr>
          <w:sz w:val="24"/>
        </w:rPr>
        <w:t>→21040</w:t>
      </w:r>
      <w:r>
        <w:rPr>
          <w:sz w:val="24"/>
        </w:rPr>
        <w:t>工作面</w:t>
      </w:r>
      <w:r>
        <w:rPr>
          <w:sz w:val="24"/>
        </w:rPr>
        <w:t>→21060</w:t>
      </w:r>
      <w:r>
        <w:rPr>
          <w:sz w:val="24"/>
        </w:rPr>
        <w:t>工作面。</w:t>
      </w:r>
    </w:p>
    <w:p w:rsidR="00240BCE" w:rsidRDefault="00AC0334">
      <w:pPr>
        <w:adjustRightInd w:val="0"/>
        <w:snapToGrid w:val="0"/>
        <w:spacing w:line="520" w:lineRule="exact"/>
        <w:ind w:firstLineChars="200" w:firstLine="480"/>
        <w:rPr>
          <w:sz w:val="24"/>
        </w:rPr>
      </w:pPr>
      <w:r>
        <w:rPr>
          <w:sz w:val="24"/>
        </w:rPr>
        <w:t>7</w:t>
      </w:r>
      <w:r>
        <w:rPr>
          <w:sz w:val="24"/>
        </w:rPr>
        <w:t>、首采区位置及首采区主要参数</w:t>
      </w:r>
    </w:p>
    <w:p w:rsidR="00240BCE" w:rsidRDefault="00AC0334">
      <w:pPr>
        <w:adjustRightInd w:val="0"/>
        <w:snapToGrid w:val="0"/>
        <w:spacing w:line="520" w:lineRule="exact"/>
        <w:ind w:firstLineChars="200" w:firstLine="480"/>
        <w:rPr>
          <w:sz w:val="24"/>
        </w:rPr>
      </w:pPr>
      <w:r>
        <w:rPr>
          <w:sz w:val="24"/>
        </w:rPr>
        <w:t>本矿井井田面积较小，深部受李家门断层影响，设计以</w:t>
      </w:r>
      <w:r>
        <w:rPr>
          <w:sz w:val="24"/>
        </w:rPr>
        <w:t>-100m</w:t>
      </w:r>
      <w:r>
        <w:rPr>
          <w:sz w:val="24"/>
        </w:rPr>
        <w:t>水平为界，划分为两个采区，首采区位于</w:t>
      </w:r>
      <w:r>
        <w:rPr>
          <w:sz w:val="24"/>
        </w:rPr>
        <w:t>-100m</w:t>
      </w:r>
      <w:r>
        <w:rPr>
          <w:sz w:val="24"/>
        </w:rPr>
        <w:t>水平以浅区域的</w:t>
      </w:r>
      <w:r>
        <w:rPr>
          <w:sz w:val="24"/>
        </w:rPr>
        <w:t>21</w:t>
      </w:r>
      <w:r>
        <w:rPr>
          <w:sz w:val="24"/>
        </w:rPr>
        <w:t>采区。</w:t>
      </w:r>
    </w:p>
    <w:p w:rsidR="00240BCE" w:rsidRDefault="00AC0334">
      <w:pPr>
        <w:adjustRightInd w:val="0"/>
        <w:snapToGrid w:val="0"/>
        <w:spacing w:line="520" w:lineRule="exact"/>
        <w:ind w:firstLineChars="200" w:firstLine="480"/>
        <w:rPr>
          <w:sz w:val="24"/>
        </w:rPr>
      </w:pPr>
      <w:r>
        <w:rPr>
          <w:sz w:val="24"/>
        </w:rPr>
        <w:t>首采区</w:t>
      </w:r>
      <w:r>
        <w:rPr>
          <w:sz w:val="24"/>
        </w:rPr>
        <w:t>21</w:t>
      </w:r>
      <w:r>
        <w:rPr>
          <w:sz w:val="24"/>
        </w:rPr>
        <w:t>采区走向长</w:t>
      </w:r>
      <w:r>
        <w:rPr>
          <w:sz w:val="24"/>
        </w:rPr>
        <w:t>1.4km</w:t>
      </w:r>
      <w:r>
        <w:rPr>
          <w:sz w:val="24"/>
        </w:rPr>
        <w:t>，倾斜宽约</w:t>
      </w:r>
      <w:r>
        <w:rPr>
          <w:sz w:val="24"/>
        </w:rPr>
        <w:t>0.6km</w:t>
      </w:r>
      <w:r>
        <w:rPr>
          <w:sz w:val="24"/>
        </w:rPr>
        <w:t>，面积约</w:t>
      </w:r>
      <w:r>
        <w:rPr>
          <w:sz w:val="24"/>
        </w:rPr>
        <w:t>0.81km</w:t>
      </w:r>
      <w:r>
        <w:rPr>
          <w:sz w:val="24"/>
          <w:vertAlign w:val="superscript"/>
        </w:rPr>
        <w:t>2</w:t>
      </w:r>
      <w:r>
        <w:rPr>
          <w:sz w:val="24"/>
        </w:rPr>
        <w:t>，二</w:t>
      </w:r>
      <w:r>
        <w:rPr>
          <w:sz w:val="24"/>
          <w:vertAlign w:val="subscript"/>
        </w:rPr>
        <w:t>1</w:t>
      </w:r>
      <w:r>
        <w:rPr>
          <w:sz w:val="24"/>
        </w:rPr>
        <w:t>煤层煤厚</w:t>
      </w:r>
      <w:r>
        <w:rPr>
          <w:sz w:val="24"/>
        </w:rPr>
        <w:t>0.72</w:t>
      </w:r>
      <w:r>
        <w:rPr>
          <w:sz w:val="24"/>
        </w:rPr>
        <w:t>～</w:t>
      </w:r>
      <w:r>
        <w:rPr>
          <w:sz w:val="24"/>
        </w:rPr>
        <w:t>5.15m</w:t>
      </w:r>
      <w:r>
        <w:rPr>
          <w:sz w:val="24"/>
        </w:rPr>
        <w:t>，平均煤厚</w:t>
      </w:r>
      <w:r>
        <w:rPr>
          <w:sz w:val="24"/>
        </w:rPr>
        <w:t>2.93m</w:t>
      </w:r>
      <w:r>
        <w:rPr>
          <w:sz w:val="24"/>
        </w:rPr>
        <w:t>，倾角</w:t>
      </w:r>
      <w:r>
        <w:rPr>
          <w:sz w:val="24"/>
        </w:rPr>
        <w:t>24°~32°</w:t>
      </w:r>
      <w:r>
        <w:rPr>
          <w:sz w:val="24"/>
        </w:rPr>
        <w:t>，层位稳定，全区可采。可采储量约</w:t>
      </w:r>
      <w:r>
        <w:rPr>
          <w:sz w:val="24"/>
        </w:rPr>
        <w:t>235.6</w:t>
      </w:r>
      <w:r>
        <w:rPr>
          <w:sz w:val="24"/>
        </w:rPr>
        <w:t>万</w:t>
      </w:r>
      <w:r>
        <w:rPr>
          <w:sz w:val="24"/>
        </w:rPr>
        <w:t>t</w:t>
      </w:r>
      <w:r>
        <w:rPr>
          <w:sz w:val="24"/>
        </w:rPr>
        <w:t>，生产能力按</w:t>
      </w:r>
      <w:r>
        <w:rPr>
          <w:sz w:val="24"/>
        </w:rPr>
        <w:t>0.30Mt/a</w:t>
      </w:r>
      <w:r>
        <w:rPr>
          <w:sz w:val="24"/>
        </w:rPr>
        <w:t>计算，服务年限</w:t>
      </w:r>
      <w:r>
        <w:rPr>
          <w:sz w:val="24"/>
        </w:rPr>
        <w:t>6.0</w:t>
      </w:r>
      <w:r>
        <w:rPr>
          <w:sz w:val="24"/>
        </w:rPr>
        <w:t>年。</w:t>
      </w:r>
    </w:p>
    <w:p w:rsidR="00240BCE" w:rsidRDefault="00AC0334">
      <w:pPr>
        <w:pStyle w:val="153"/>
        <w:adjustRightInd w:val="0"/>
        <w:snapToGrid w:val="0"/>
        <w:spacing w:line="520" w:lineRule="exact"/>
        <w:ind w:firstLine="480"/>
        <w:rPr>
          <w:rFonts w:ascii="Times New Roman" w:hAnsi="Times New Roman" w:cs="Times New Roman"/>
          <w:caps/>
          <w:color w:val="000000"/>
          <w:sz w:val="24"/>
          <w:szCs w:val="24"/>
        </w:rPr>
      </w:pPr>
      <w:r>
        <w:rPr>
          <w:rFonts w:ascii="Times New Roman" w:hAnsi="Times New Roman" w:cs="Times New Roman"/>
          <w:caps/>
          <w:color w:val="000000"/>
          <w:sz w:val="24"/>
          <w:szCs w:val="24"/>
        </w:rPr>
        <w:t>8</w:t>
      </w:r>
      <w:r>
        <w:rPr>
          <w:rFonts w:ascii="Times New Roman" w:hAnsi="Times New Roman" w:cs="Times New Roman"/>
          <w:caps/>
          <w:color w:val="000000"/>
          <w:sz w:val="24"/>
          <w:szCs w:val="24"/>
        </w:rPr>
        <w:t>、采煤方法与采煤工艺</w:t>
      </w:r>
    </w:p>
    <w:p w:rsidR="00240BCE" w:rsidRDefault="00AC0334">
      <w:pPr>
        <w:pStyle w:val="153"/>
        <w:adjustRightInd w:val="0"/>
        <w:snapToGrid w:val="0"/>
        <w:spacing w:line="520" w:lineRule="exact"/>
        <w:ind w:firstLine="480"/>
        <w:rPr>
          <w:rFonts w:ascii="Times New Roman" w:hAnsi="Times New Roman" w:cs="Times New Roman"/>
          <w:caps/>
          <w:color w:val="000000"/>
          <w:sz w:val="24"/>
          <w:szCs w:val="24"/>
        </w:rPr>
      </w:pPr>
      <w:r>
        <w:rPr>
          <w:rFonts w:ascii="Times New Roman" w:hAnsi="Times New Roman" w:cs="Times New Roman"/>
          <w:caps/>
          <w:color w:val="000000"/>
          <w:sz w:val="24"/>
          <w:szCs w:val="24"/>
        </w:rPr>
        <w:t>本项目升级改造后采用</w:t>
      </w:r>
      <w:r>
        <w:rPr>
          <w:rFonts w:ascii="Times New Roman" w:hAnsi="Times New Roman" w:cs="Times New Roman"/>
          <w:color w:val="auto"/>
          <w:sz w:val="24"/>
        </w:rPr>
        <w:t>走向长壁后退式采煤法，全部垮落式管理顶板</w:t>
      </w:r>
      <w:r>
        <w:rPr>
          <w:rFonts w:ascii="Times New Roman" w:hAnsi="Times New Roman" w:cs="Times New Roman"/>
          <w:caps/>
          <w:color w:val="auto"/>
          <w:sz w:val="24"/>
          <w:szCs w:val="24"/>
        </w:rPr>
        <w:t>；采煤工艺采用</w:t>
      </w:r>
      <w:r>
        <w:rPr>
          <w:rFonts w:ascii="Times New Roman" w:hAnsi="Times New Roman" w:cs="Times New Roman"/>
          <w:color w:val="auto"/>
          <w:sz w:val="24"/>
        </w:rPr>
        <w:t>综采放顶煤</w:t>
      </w:r>
      <w:r>
        <w:rPr>
          <w:rFonts w:ascii="Times New Roman" w:hAnsi="Times New Roman" w:cs="Times New Roman"/>
          <w:caps/>
          <w:color w:val="auto"/>
          <w:sz w:val="24"/>
          <w:szCs w:val="24"/>
        </w:rPr>
        <w:t>采煤工艺。工</w:t>
      </w:r>
      <w:r>
        <w:rPr>
          <w:rFonts w:ascii="Times New Roman" w:hAnsi="Times New Roman" w:cs="Times New Roman"/>
          <w:caps/>
          <w:color w:val="000000"/>
          <w:sz w:val="24"/>
          <w:szCs w:val="24"/>
        </w:rPr>
        <w:t>作面采用后退式回采，工作面顶板管理采用全部跨落法管理。</w:t>
      </w:r>
    </w:p>
    <w:p w:rsidR="00240BCE" w:rsidRDefault="00AC0334" w:rsidP="009C5F33">
      <w:pPr>
        <w:pStyle w:val="30"/>
        <w:adjustRightInd w:val="0"/>
        <w:snapToGrid w:val="0"/>
        <w:spacing w:beforeLines="70" w:afterLines="30" w:line="240" w:lineRule="auto"/>
        <w:jc w:val="left"/>
        <w:rPr>
          <w:rFonts w:eastAsia="楷体"/>
          <w:sz w:val="28"/>
          <w:szCs w:val="28"/>
        </w:rPr>
      </w:pPr>
      <w:bookmarkStart w:id="270" w:name="_Toc271559263"/>
      <w:bookmarkStart w:id="271" w:name="_Toc79668637"/>
      <w:r>
        <w:rPr>
          <w:rFonts w:eastAsia="楷体"/>
          <w:sz w:val="28"/>
          <w:szCs w:val="28"/>
        </w:rPr>
        <w:t xml:space="preserve">3.3.2 </w:t>
      </w:r>
      <w:r>
        <w:rPr>
          <w:rFonts w:eastAsia="楷体"/>
          <w:sz w:val="28"/>
          <w:szCs w:val="28"/>
        </w:rPr>
        <w:t>矿井通风</w:t>
      </w:r>
      <w:bookmarkEnd w:id="270"/>
      <w:bookmarkEnd w:id="271"/>
    </w:p>
    <w:p w:rsidR="00240BCE" w:rsidRDefault="00AC0334">
      <w:pPr>
        <w:autoSpaceDE w:val="0"/>
        <w:autoSpaceDN w:val="0"/>
        <w:adjustRightInd w:val="0"/>
        <w:snapToGrid w:val="0"/>
        <w:spacing w:line="520" w:lineRule="exact"/>
        <w:ind w:firstLine="560"/>
        <w:textAlignment w:val="center"/>
        <w:rPr>
          <w:bCs/>
          <w:sz w:val="24"/>
        </w:rPr>
      </w:pPr>
      <w:r>
        <w:rPr>
          <w:bCs/>
          <w:sz w:val="24"/>
        </w:rPr>
        <w:t>设计由副井</w:t>
      </w:r>
      <w:r w:rsidR="00951704">
        <w:rPr>
          <w:rFonts w:hint="eastAsia"/>
          <w:bCs/>
          <w:sz w:val="24"/>
        </w:rPr>
        <w:t>、</w:t>
      </w:r>
      <w:r>
        <w:rPr>
          <w:bCs/>
          <w:sz w:val="24"/>
        </w:rPr>
        <w:t>主井进风，风井回风，通风系统为中央并列式；通风方式为全负压抽出式。</w:t>
      </w:r>
      <w:r>
        <w:rPr>
          <w:bCs/>
          <w:color w:val="000000"/>
          <w:sz w:val="24"/>
        </w:rPr>
        <w:t>选用</w:t>
      </w:r>
      <w:r>
        <w:rPr>
          <w:bCs/>
          <w:sz w:val="24"/>
        </w:rPr>
        <w:t>2</w:t>
      </w:r>
      <w:r>
        <w:rPr>
          <w:bCs/>
          <w:sz w:val="24"/>
        </w:rPr>
        <w:t>台</w:t>
      </w:r>
      <w:r>
        <w:rPr>
          <w:bCs/>
          <w:sz w:val="24"/>
        </w:rPr>
        <w:t>FBCDZ-No20/2×220</w:t>
      </w:r>
      <w:r>
        <w:rPr>
          <w:bCs/>
          <w:sz w:val="24"/>
        </w:rPr>
        <w:t>型对旋轴流风机，一台工作，一台备用</w:t>
      </w:r>
      <w:r>
        <w:rPr>
          <w:bCs/>
          <w:color w:val="000000"/>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272" w:name="_Toc79668638"/>
      <w:r>
        <w:rPr>
          <w:rFonts w:eastAsia="楷体"/>
          <w:sz w:val="28"/>
          <w:szCs w:val="28"/>
        </w:rPr>
        <w:t xml:space="preserve">3.3.3 </w:t>
      </w:r>
      <w:r>
        <w:rPr>
          <w:rFonts w:eastAsia="楷体"/>
          <w:sz w:val="28"/>
          <w:szCs w:val="28"/>
        </w:rPr>
        <w:t>矿井排水</w:t>
      </w:r>
      <w:bookmarkEnd w:id="272"/>
    </w:p>
    <w:p w:rsidR="00240BCE" w:rsidRDefault="00705679">
      <w:pPr>
        <w:autoSpaceDE w:val="0"/>
        <w:autoSpaceDN w:val="0"/>
        <w:adjustRightInd w:val="0"/>
        <w:snapToGrid w:val="0"/>
        <w:spacing w:line="520" w:lineRule="exact"/>
        <w:ind w:firstLine="560"/>
        <w:jc w:val="left"/>
        <w:textAlignment w:val="center"/>
        <w:rPr>
          <w:bCs/>
          <w:color w:val="000000"/>
          <w:sz w:val="24"/>
        </w:rPr>
      </w:pPr>
      <w:r>
        <w:rPr>
          <w:rFonts w:hint="eastAsia"/>
          <w:bCs/>
          <w:color w:val="000000"/>
          <w:sz w:val="24"/>
        </w:rPr>
        <w:t>设计</w:t>
      </w:r>
      <w:r w:rsidR="00951704">
        <w:rPr>
          <w:rFonts w:hint="eastAsia"/>
          <w:bCs/>
          <w:color w:val="000000"/>
          <w:sz w:val="24"/>
        </w:rPr>
        <w:t>依据</w:t>
      </w:r>
      <w:r w:rsidR="00AC0334">
        <w:rPr>
          <w:bCs/>
          <w:color w:val="000000"/>
          <w:sz w:val="24"/>
        </w:rPr>
        <w:t>《禹州神火隆庆矿业有限公司矿井水文地质报告》，</w:t>
      </w:r>
      <w:r w:rsidRPr="00705679">
        <w:rPr>
          <w:b/>
          <w:bCs/>
          <w:i/>
          <w:color w:val="000000"/>
          <w:sz w:val="24"/>
          <w:u w:val="single"/>
        </w:rPr>
        <w:t>预算正常涌水量为</w:t>
      </w:r>
      <w:r w:rsidRPr="00705679">
        <w:rPr>
          <w:b/>
          <w:bCs/>
          <w:i/>
          <w:color w:val="000000"/>
          <w:sz w:val="24"/>
          <w:u w:val="single"/>
        </w:rPr>
        <w:t>194m</w:t>
      </w:r>
      <w:r w:rsidRPr="00705679">
        <w:rPr>
          <w:b/>
          <w:bCs/>
          <w:i/>
          <w:color w:val="000000"/>
          <w:sz w:val="24"/>
          <w:u w:val="single"/>
          <w:vertAlign w:val="superscript"/>
        </w:rPr>
        <w:t>3</w:t>
      </w:r>
      <w:r w:rsidRPr="00705679">
        <w:rPr>
          <w:b/>
          <w:bCs/>
          <w:i/>
          <w:color w:val="000000"/>
          <w:sz w:val="24"/>
          <w:u w:val="single"/>
        </w:rPr>
        <w:t>/h</w:t>
      </w:r>
      <w:r w:rsidRPr="00705679">
        <w:rPr>
          <w:b/>
          <w:bCs/>
          <w:i/>
          <w:color w:val="000000"/>
          <w:sz w:val="24"/>
          <w:u w:val="single"/>
        </w:rPr>
        <w:t>，最大涌水量为</w:t>
      </w:r>
      <w:r w:rsidRPr="00705679">
        <w:rPr>
          <w:b/>
          <w:bCs/>
          <w:i/>
          <w:color w:val="000000"/>
          <w:sz w:val="24"/>
          <w:u w:val="single"/>
        </w:rPr>
        <w:t>388m</w:t>
      </w:r>
      <w:r w:rsidRPr="00705679">
        <w:rPr>
          <w:b/>
          <w:bCs/>
          <w:i/>
          <w:color w:val="000000"/>
          <w:sz w:val="24"/>
          <w:u w:val="single"/>
          <w:vertAlign w:val="superscript"/>
        </w:rPr>
        <w:t>3</w:t>
      </w:r>
      <w:r w:rsidRPr="00705679">
        <w:rPr>
          <w:b/>
          <w:bCs/>
          <w:i/>
          <w:color w:val="000000"/>
          <w:sz w:val="24"/>
          <w:u w:val="single"/>
        </w:rPr>
        <w:t>/h</w:t>
      </w:r>
      <w:r w:rsidRPr="00705679">
        <w:rPr>
          <w:b/>
          <w:bCs/>
          <w:i/>
          <w:color w:val="000000"/>
          <w:sz w:val="24"/>
          <w:u w:val="single"/>
        </w:rPr>
        <w:t>。</w:t>
      </w:r>
      <w:r>
        <w:rPr>
          <w:rFonts w:hint="eastAsia"/>
          <w:bCs/>
          <w:color w:val="000000"/>
          <w:sz w:val="24"/>
        </w:rPr>
        <w:t>设计</w:t>
      </w:r>
      <w:r w:rsidR="00AC0334">
        <w:rPr>
          <w:bCs/>
          <w:color w:val="000000"/>
          <w:sz w:val="24"/>
        </w:rPr>
        <w:t>利用矿方已安装的</w:t>
      </w:r>
      <w:r w:rsidR="00AC0334">
        <w:rPr>
          <w:bCs/>
          <w:color w:val="000000"/>
          <w:sz w:val="24"/>
        </w:rPr>
        <w:t>3</w:t>
      </w:r>
      <w:r w:rsidR="00AC0334">
        <w:rPr>
          <w:bCs/>
          <w:color w:val="000000"/>
          <w:sz w:val="24"/>
        </w:rPr>
        <w:t>台</w:t>
      </w:r>
      <w:r w:rsidR="00AC0334">
        <w:rPr>
          <w:bCs/>
          <w:color w:val="000000"/>
          <w:sz w:val="24"/>
        </w:rPr>
        <w:t>MD155-67×5</w:t>
      </w:r>
      <w:r w:rsidR="00AC0334">
        <w:rPr>
          <w:bCs/>
          <w:color w:val="000000"/>
          <w:sz w:val="24"/>
        </w:rPr>
        <w:t>型耐磨多级离心泵，</w:t>
      </w:r>
      <w:r w:rsidR="00AC0334">
        <w:rPr>
          <w:bCs/>
          <w:color w:val="000000"/>
          <w:sz w:val="24"/>
        </w:rPr>
        <w:t>1</w:t>
      </w:r>
      <w:r w:rsidR="00AC0334">
        <w:rPr>
          <w:bCs/>
          <w:color w:val="000000"/>
          <w:sz w:val="24"/>
        </w:rPr>
        <w:t>台工作，</w:t>
      </w:r>
      <w:r w:rsidR="00AC0334">
        <w:rPr>
          <w:bCs/>
          <w:color w:val="000000"/>
          <w:sz w:val="24"/>
        </w:rPr>
        <w:t>1</w:t>
      </w:r>
      <w:r w:rsidR="00AC0334">
        <w:rPr>
          <w:bCs/>
          <w:color w:val="000000"/>
          <w:sz w:val="24"/>
        </w:rPr>
        <w:t>台备用，</w:t>
      </w:r>
      <w:r w:rsidR="00AC0334">
        <w:rPr>
          <w:bCs/>
          <w:color w:val="000000"/>
          <w:sz w:val="24"/>
        </w:rPr>
        <w:t>1</w:t>
      </w:r>
      <w:r w:rsidR="00AC0334">
        <w:rPr>
          <w:bCs/>
          <w:color w:val="000000"/>
          <w:sz w:val="24"/>
        </w:rPr>
        <w:t>台检修，配套电机为</w:t>
      </w:r>
      <w:r w:rsidR="00AC0334">
        <w:rPr>
          <w:bCs/>
          <w:color w:val="000000"/>
          <w:sz w:val="24"/>
        </w:rPr>
        <w:t>YBK3 355M</w:t>
      </w:r>
      <w:r w:rsidR="00AC0334">
        <w:rPr>
          <w:bCs/>
          <w:color w:val="000000"/>
          <w:sz w:val="24"/>
          <w:vertAlign w:val="subscript"/>
        </w:rPr>
        <w:t>1</w:t>
      </w:r>
      <w:r w:rsidR="00AC0334">
        <w:rPr>
          <w:bCs/>
          <w:color w:val="000000"/>
          <w:sz w:val="24"/>
        </w:rPr>
        <w:t>-2</w:t>
      </w:r>
      <w:r w:rsidR="00AC0334">
        <w:rPr>
          <w:bCs/>
          <w:color w:val="000000"/>
          <w:sz w:val="24"/>
        </w:rPr>
        <w:t>型节能型</w:t>
      </w:r>
      <w:r w:rsidR="00AC0334">
        <w:rPr>
          <w:bCs/>
          <w:color w:val="000000"/>
          <w:sz w:val="24"/>
        </w:rPr>
        <w:lastRenderedPageBreak/>
        <w:t>防爆电动机，功率</w:t>
      </w:r>
      <w:r w:rsidR="00AC0334">
        <w:rPr>
          <w:bCs/>
          <w:color w:val="000000"/>
          <w:sz w:val="24"/>
        </w:rPr>
        <w:t>220kW</w:t>
      </w:r>
      <w:r w:rsidR="00AC0334">
        <w:rPr>
          <w:bCs/>
          <w:color w:val="000000"/>
          <w:sz w:val="24"/>
        </w:rPr>
        <w:t>，电压</w:t>
      </w:r>
      <w:r w:rsidR="00AC0334">
        <w:rPr>
          <w:bCs/>
          <w:color w:val="000000"/>
          <w:sz w:val="24"/>
        </w:rPr>
        <w:t>660V</w:t>
      </w:r>
      <w:r w:rsidR="00AC0334">
        <w:rPr>
          <w:bCs/>
          <w:color w:val="000000"/>
          <w:sz w:val="24"/>
        </w:rPr>
        <w:t>。</w:t>
      </w:r>
    </w:p>
    <w:p w:rsidR="00240BCE" w:rsidRDefault="00AC0334">
      <w:pPr>
        <w:autoSpaceDE w:val="0"/>
        <w:autoSpaceDN w:val="0"/>
        <w:adjustRightInd w:val="0"/>
        <w:snapToGrid w:val="0"/>
        <w:spacing w:line="520" w:lineRule="exact"/>
        <w:ind w:firstLine="560"/>
        <w:jc w:val="left"/>
        <w:textAlignment w:val="center"/>
        <w:rPr>
          <w:bCs/>
          <w:color w:val="000000"/>
          <w:sz w:val="24"/>
        </w:rPr>
      </w:pPr>
      <w:r>
        <w:rPr>
          <w:bCs/>
          <w:color w:val="000000"/>
          <w:sz w:val="24"/>
        </w:rPr>
        <w:t>矿井初期在井下</w:t>
      </w:r>
      <w:r>
        <w:rPr>
          <w:bCs/>
          <w:color w:val="000000"/>
          <w:sz w:val="24"/>
        </w:rPr>
        <w:t>-100m</w:t>
      </w:r>
      <w:r>
        <w:rPr>
          <w:bCs/>
          <w:color w:val="000000"/>
          <w:sz w:val="24"/>
        </w:rPr>
        <w:t>水平设采区排水泵房，将矿井涌水沿采区轨道下山排至</w:t>
      </w:r>
      <w:r>
        <w:rPr>
          <w:bCs/>
          <w:color w:val="000000"/>
          <w:sz w:val="24"/>
        </w:rPr>
        <w:t>+45m</w:t>
      </w:r>
      <w:r>
        <w:rPr>
          <w:bCs/>
          <w:color w:val="000000"/>
          <w:sz w:val="24"/>
        </w:rPr>
        <w:t>水仓，再由</w:t>
      </w:r>
      <w:r>
        <w:rPr>
          <w:bCs/>
          <w:color w:val="000000"/>
          <w:sz w:val="24"/>
        </w:rPr>
        <w:t>+45m</w:t>
      </w:r>
      <w:r>
        <w:rPr>
          <w:bCs/>
          <w:color w:val="000000"/>
          <w:sz w:val="24"/>
        </w:rPr>
        <w:t>排水设备排到地面。后期在</w:t>
      </w:r>
      <w:r>
        <w:rPr>
          <w:bCs/>
          <w:color w:val="000000"/>
          <w:sz w:val="24"/>
        </w:rPr>
        <w:t>22</w:t>
      </w:r>
      <w:r>
        <w:rPr>
          <w:bCs/>
          <w:color w:val="000000"/>
          <w:sz w:val="24"/>
        </w:rPr>
        <w:t>采区下山落底</w:t>
      </w:r>
      <w:r>
        <w:rPr>
          <w:bCs/>
          <w:color w:val="000000"/>
          <w:sz w:val="24"/>
        </w:rPr>
        <w:t>-350m</w:t>
      </w:r>
      <w:r>
        <w:rPr>
          <w:bCs/>
          <w:color w:val="000000"/>
          <w:sz w:val="24"/>
        </w:rPr>
        <w:t>后建立直排系统，将矿井涌水从</w:t>
      </w:r>
      <w:r>
        <w:rPr>
          <w:bCs/>
          <w:color w:val="000000"/>
          <w:sz w:val="24"/>
        </w:rPr>
        <w:t>-350m</w:t>
      </w:r>
      <w:r>
        <w:rPr>
          <w:bCs/>
          <w:color w:val="000000"/>
          <w:sz w:val="24"/>
        </w:rPr>
        <w:t>排水泵房直接排到地面。</w:t>
      </w:r>
    </w:p>
    <w:p w:rsidR="00240BCE" w:rsidRDefault="00AC0334" w:rsidP="009C5F33">
      <w:pPr>
        <w:pStyle w:val="30"/>
        <w:adjustRightInd w:val="0"/>
        <w:snapToGrid w:val="0"/>
        <w:spacing w:beforeLines="70" w:afterLines="30" w:line="240" w:lineRule="auto"/>
        <w:jc w:val="left"/>
        <w:rPr>
          <w:rFonts w:eastAsia="楷体"/>
          <w:sz w:val="28"/>
          <w:szCs w:val="28"/>
        </w:rPr>
      </w:pPr>
      <w:bookmarkStart w:id="273" w:name="_Toc79668639"/>
      <w:r>
        <w:rPr>
          <w:rFonts w:eastAsia="楷体"/>
          <w:sz w:val="28"/>
          <w:szCs w:val="28"/>
        </w:rPr>
        <w:t xml:space="preserve">3.3.4 </w:t>
      </w:r>
      <w:r>
        <w:rPr>
          <w:rFonts w:eastAsia="楷体"/>
          <w:sz w:val="28"/>
          <w:szCs w:val="28"/>
        </w:rPr>
        <w:t>矿井地面生产系统</w:t>
      </w:r>
      <w:bookmarkEnd w:id="273"/>
    </w:p>
    <w:p w:rsidR="00240BCE" w:rsidRDefault="00AC0334">
      <w:pPr>
        <w:autoSpaceDE w:val="0"/>
        <w:autoSpaceDN w:val="0"/>
        <w:adjustRightInd w:val="0"/>
        <w:spacing w:line="520" w:lineRule="exact"/>
        <w:ind w:firstLineChars="200" w:firstLine="480"/>
        <w:jc w:val="left"/>
        <w:textAlignment w:val="center"/>
        <w:rPr>
          <w:bCs/>
          <w:caps/>
          <w:sz w:val="24"/>
        </w:rPr>
      </w:pPr>
      <w:bookmarkStart w:id="274" w:name="_Toc47076303"/>
      <w:bookmarkStart w:id="275" w:name="_Toc161151378"/>
      <w:bookmarkStart w:id="276" w:name="_Toc373162822"/>
      <w:r>
        <w:rPr>
          <w:bCs/>
          <w:caps/>
          <w:sz w:val="24"/>
        </w:rPr>
        <w:t>1</w:t>
      </w:r>
      <w:r>
        <w:rPr>
          <w:bCs/>
          <w:caps/>
          <w:sz w:val="24"/>
        </w:rPr>
        <w:t>、地面生产系统</w:t>
      </w:r>
      <w:bookmarkEnd w:id="274"/>
      <w:bookmarkEnd w:id="275"/>
    </w:p>
    <w:p w:rsidR="00240BCE" w:rsidRDefault="00AC0334">
      <w:pPr>
        <w:autoSpaceDE w:val="0"/>
        <w:autoSpaceDN w:val="0"/>
        <w:adjustRightInd w:val="0"/>
        <w:spacing w:line="520" w:lineRule="exact"/>
        <w:ind w:firstLineChars="200" w:firstLine="480"/>
        <w:jc w:val="left"/>
        <w:textAlignment w:val="center"/>
        <w:rPr>
          <w:bCs/>
          <w:caps/>
          <w:sz w:val="24"/>
        </w:rPr>
      </w:pPr>
      <w:r>
        <w:rPr>
          <w:bCs/>
          <w:caps/>
          <w:sz w:val="24"/>
        </w:rPr>
        <w:t>（</w:t>
      </w:r>
      <w:r>
        <w:rPr>
          <w:bCs/>
          <w:caps/>
          <w:sz w:val="24"/>
        </w:rPr>
        <w:t>1</w:t>
      </w:r>
      <w:r>
        <w:rPr>
          <w:bCs/>
          <w:caps/>
          <w:sz w:val="24"/>
        </w:rPr>
        <w:t>）主井生产系统</w:t>
      </w:r>
    </w:p>
    <w:p w:rsidR="00240BCE" w:rsidRDefault="00AC0334">
      <w:pPr>
        <w:autoSpaceDE w:val="0"/>
        <w:autoSpaceDN w:val="0"/>
        <w:adjustRightInd w:val="0"/>
        <w:spacing w:line="520" w:lineRule="exact"/>
        <w:ind w:firstLineChars="200" w:firstLine="480"/>
        <w:jc w:val="left"/>
        <w:textAlignment w:val="center"/>
        <w:rPr>
          <w:caps/>
          <w:sz w:val="24"/>
        </w:rPr>
      </w:pPr>
      <w:r>
        <w:rPr>
          <w:caps/>
          <w:sz w:val="24"/>
        </w:rPr>
        <w:t>矿井现有主立井，装备一对</w:t>
      </w:r>
      <w:r>
        <w:rPr>
          <w:caps/>
          <w:sz w:val="24"/>
        </w:rPr>
        <w:t>2t</w:t>
      </w:r>
      <w:r>
        <w:rPr>
          <w:caps/>
          <w:sz w:val="24"/>
        </w:rPr>
        <w:t>非标箕斗（钢丝绳罐道），主要承担提煤任务，兼作进风和安全出口。</w:t>
      </w:r>
    </w:p>
    <w:p w:rsidR="00240BCE" w:rsidRDefault="00AC0334">
      <w:pPr>
        <w:autoSpaceDE w:val="0"/>
        <w:autoSpaceDN w:val="0"/>
        <w:adjustRightInd w:val="0"/>
        <w:spacing w:line="520" w:lineRule="exact"/>
        <w:ind w:firstLineChars="200" w:firstLine="480"/>
        <w:jc w:val="left"/>
        <w:textAlignment w:val="center"/>
        <w:rPr>
          <w:caps/>
          <w:sz w:val="24"/>
        </w:rPr>
      </w:pPr>
      <w:r>
        <w:rPr>
          <w:caps/>
          <w:sz w:val="24"/>
        </w:rPr>
        <w:t>工艺流程为：井下煤炭经装载设备装入箕斗，提升至地面后，卸入井口受煤仓。受煤仓下设有结构件，将煤送入地面带式输送机，由地面带式输送机运至</w:t>
      </w:r>
      <w:r w:rsidR="00802A62">
        <w:rPr>
          <w:caps/>
          <w:sz w:val="24"/>
        </w:rPr>
        <w:t>储煤库</w:t>
      </w:r>
      <w:r>
        <w:rPr>
          <w:caps/>
          <w:sz w:val="24"/>
        </w:rPr>
        <w:t>存储。人工在</w:t>
      </w:r>
      <w:r w:rsidR="00802A62">
        <w:rPr>
          <w:caps/>
          <w:sz w:val="24"/>
        </w:rPr>
        <w:t>储煤库</w:t>
      </w:r>
      <w:r>
        <w:rPr>
          <w:caps/>
          <w:sz w:val="24"/>
        </w:rPr>
        <w:t>将煤炭中的大块矸石和杂物拣出，以提高外销原煤质量。</w:t>
      </w:r>
    </w:p>
    <w:p w:rsidR="00240BCE" w:rsidRDefault="00802A62">
      <w:pPr>
        <w:autoSpaceDE w:val="0"/>
        <w:autoSpaceDN w:val="0"/>
        <w:adjustRightInd w:val="0"/>
        <w:spacing w:line="520" w:lineRule="exact"/>
        <w:ind w:firstLineChars="200" w:firstLine="480"/>
        <w:jc w:val="left"/>
        <w:textAlignment w:val="center"/>
        <w:rPr>
          <w:caps/>
          <w:sz w:val="24"/>
        </w:rPr>
      </w:pPr>
      <w:r>
        <w:rPr>
          <w:caps/>
          <w:sz w:val="24"/>
        </w:rPr>
        <w:t>储煤库</w:t>
      </w:r>
      <w:r w:rsidR="00AC0334">
        <w:rPr>
          <w:caps/>
          <w:sz w:val="24"/>
        </w:rPr>
        <w:t>原煤通过两台</w:t>
      </w:r>
      <w:r w:rsidR="00AC0334">
        <w:rPr>
          <w:caps/>
          <w:sz w:val="24"/>
        </w:rPr>
        <w:t>ZL50C</w:t>
      </w:r>
      <w:r w:rsidR="00AC0334">
        <w:rPr>
          <w:caps/>
          <w:sz w:val="24"/>
        </w:rPr>
        <w:t>型轮式装载机疏集煤炭，装汽车外销。</w:t>
      </w:r>
      <w:r>
        <w:rPr>
          <w:caps/>
          <w:sz w:val="24"/>
        </w:rPr>
        <w:t>储煤库</w:t>
      </w:r>
      <w:r w:rsidR="00AC0334">
        <w:rPr>
          <w:caps/>
          <w:sz w:val="24"/>
        </w:rPr>
        <w:t>设</w:t>
      </w:r>
      <w:r w:rsidR="00AC0334">
        <w:rPr>
          <w:caps/>
          <w:sz w:val="24"/>
        </w:rPr>
        <w:t>1</w:t>
      </w:r>
      <w:r w:rsidR="00AC0334">
        <w:rPr>
          <w:caps/>
          <w:sz w:val="24"/>
        </w:rPr>
        <w:t>台</w:t>
      </w:r>
      <w:r w:rsidR="00AC0334">
        <w:rPr>
          <w:caps/>
          <w:sz w:val="24"/>
        </w:rPr>
        <w:t>SCS-60</w:t>
      </w:r>
      <w:r w:rsidR="00AC0334">
        <w:rPr>
          <w:caps/>
          <w:sz w:val="24"/>
        </w:rPr>
        <w:t>汽车衡，用于外销煤炭计量。</w:t>
      </w:r>
      <w:bookmarkStart w:id="277" w:name="_Hlk44065177"/>
    </w:p>
    <w:bookmarkEnd w:id="277"/>
    <w:p w:rsidR="00240BCE" w:rsidRDefault="00AC0334">
      <w:pPr>
        <w:autoSpaceDE w:val="0"/>
        <w:autoSpaceDN w:val="0"/>
        <w:adjustRightInd w:val="0"/>
        <w:spacing w:line="520" w:lineRule="exact"/>
        <w:ind w:firstLineChars="200" w:firstLine="480"/>
        <w:jc w:val="left"/>
        <w:textAlignment w:val="center"/>
        <w:rPr>
          <w:bCs/>
          <w:caps/>
          <w:sz w:val="24"/>
        </w:rPr>
      </w:pPr>
      <w:r>
        <w:rPr>
          <w:bCs/>
          <w:caps/>
          <w:sz w:val="24"/>
        </w:rPr>
        <w:t>（</w:t>
      </w:r>
      <w:r>
        <w:rPr>
          <w:bCs/>
          <w:caps/>
          <w:sz w:val="24"/>
        </w:rPr>
        <w:t>2</w:t>
      </w:r>
      <w:r>
        <w:rPr>
          <w:bCs/>
          <w:caps/>
          <w:sz w:val="24"/>
        </w:rPr>
        <w:t>）副井生产系统</w:t>
      </w:r>
    </w:p>
    <w:p w:rsidR="00240BCE" w:rsidRDefault="00AC0334">
      <w:pPr>
        <w:autoSpaceDE w:val="0"/>
        <w:autoSpaceDN w:val="0"/>
        <w:adjustRightInd w:val="0"/>
        <w:spacing w:line="520" w:lineRule="exact"/>
        <w:ind w:firstLineChars="200" w:firstLine="480"/>
        <w:jc w:val="left"/>
        <w:textAlignment w:val="center"/>
        <w:rPr>
          <w:caps/>
          <w:sz w:val="24"/>
        </w:rPr>
      </w:pPr>
      <w:r>
        <w:rPr>
          <w:caps/>
          <w:sz w:val="24"/>
        </w:rPr>
        <w:t>现有副立井，井筒直径</w:t>
      </w:r>
      <w:r>
        <w:rPr>
          <w:caps/>
          <w:sz w:val="24"/>
        </w:rPr>
        <w:t>Φ3.8m</w:t>
      </w:r>
      <w:r>
        <w:rPr>
          <w:caps/>
          <w:sz w:val="24"/>
        </w:rPr>
        <w:t>，装备一对</w:t>
      </w:r>
      <w:r>
        <w:rPr>
          <w:caps/>
          <w:sz w:val="24"/>
        </w:rPr>
        <w:t>0.75t</w:t>
      </w:r>
      <w:r>
        <w:rPr>
          <w:caps/>
          <w:sz w:val="24"/>
        </w:rPr>
        <w:t>非标准罐笼，钢丝绳罐道。主要承担提矸、上下设备材料及上下人员，兼作进风。井上下配备摇台、安全门、阻车器、金属支持结构等相关设施。</w:t>
      </w:r>
    </w:p>
    <w:p w:rsidR="00240BCE" w:rsidRDefault="00AC0334">
      <w:pPr>
        <w:autoSpaceDE w:val="0"/>
        <w:autoSpaceDN w:val="0"/>
        <w:adjustRightInd w:val="0"/>
        <w:spacing w:line="520" w:lineRule="exact"/>
        <w:ind w:firstLineChars="200" w:firstLine="480"/>
        <w:jc w:val="left"/>
        <w:textAlignment w:val="center"/>
        <w:rPr>
          <w:caps/>
          <w:sz w:val="24"/>
        </w:rPr>
      </w:pPr>
      <w:r>
        <w:rPr>
          <w:caps/>
          <w:sz w:val="24"/>
        </w:rPr>
        <w:t>副井井口房内升下井矿车为单侧进出方向。进入井下的矿车由人工推车，经阻车器后通过手动摇台入罐。出罐矿车自溜滑出井口房，经轨道转盘进入矸石道线或材料道线。在井底马头门进车侧，矿车由人工推车，经阻车器后通过手动摇台入罐。出罐矿车自溜进入出车侧。</w:t>
      </w:r>
    </w:p>
    <w:p w:rsidR="00240BCE" w:rsidRDefault="00AC0334">
      <w:pPr>
        <w:autoSpaceDE w:val="0"/>
        <w:autoSpaceDN w:val="0"/>
        <w:adjustRightInd w:val="0"/>
        <w:spacing w:line="520" w:lineRule="exact"/>
        <w:ind w:firstLineChars="200" w:firstLine="480"/>
        <w:jc w:val="left"/>
        <w:textAlignment w:val="center"/>
        <w:rPr>
          <w:caps/>
          <w:sz w:val="24"/>
        </w:rPr>
      </w:pPr>
      <w:r>
        <w:rPr>
          <w:caps/>
          <w:sz w:val="24"/>
        </w:rPr>
        <w:t>副井井口与井底，除电气安全保护措施外，还设有稳罐道、缓冲托罐装置、防撞梁等设施。</w:t>
      </w:r>
    </w:p>
    <w:p w:rsidR="00240BCE" w:rsidRDefault="00AC0334">
      <w:pPr>
        <w:autoSpaceDE w:val="0"/>
        <w:autoSpaceDN w:val="0"/>
        <w:adjustRightInd w:val="0"/>
        <w:spacing w:line="520" w:lineRule="exact"/>
        <w:ind w:firstLineChars="200" w:firstLine="480"/>
        <w:jc w:val="left"/>
        <w:textAlignment w:val="center"/>
        <w:rPr>
          <w:bCs/>
          <w:caps/>
          <w:sz w:val="24"/>
        </w:rPr>
      </w:pPr>
      <w:r>
        <w:rPr>
          <w:bCs/>
          <w:caps/>
          <w:sz w:val="24"/>
        </w:rPr>
        <w:t>（</w:t>
      </w:r>
      <w:r>
        <w:rPr>
          <w:bCs/>
          <w:caps/>
          <w:sz w:val="24"/>
        </w:rPr>
        <w:t>3</w:t>
      </w:r>
      <w:r>
        <w:rPr>
          <w:bCs/>
          <w:caps/>
          <w:sz w:val="24"/>
        </w:rPr>
        <w:t>）风井生产系统</w:t>
      </w:r>
    </w:p>
    <w:p w:rsidR="00240BCE" w:rsidRDefault="00AC0334">
      <w:pPr>
        <w:autoSpaceDE w:val="0"/>
        <w:autoSpaceDN w:val="0"/>
        <w:adjustRightInd w:val="0"/>
        <w:spacing w:line="520" w:lineRule="exact"/>
        <w:ind w:firstLineChars="200" w:firstLine="480"/>
        <w:jc w:val="left"/>
        <w:textAlignment w:val="center"/>
        <w:rPr>
          <w:caps/>
          <w:sz w:val="24"/>
        </w:rPr>
      </w:pPr>
      <w:r>
        <w:rPr>
          <w:caps/>
          <w:sz w:val="24"/>
        </w:rPr>
        <w:t>现有一立风井，井筒直径</w:t>
      </w:r>
      <w:r>
        <w:rPr>
          <w:caps/>
          <w:sz w:val="24"/>
        </w:rPr>
        <w:t>Φ3.8m</w:t>
      </w:r>
      <w:r>
        <w:rPr>
          <w:caps/>
          <w:sz w:val="24"/>
        </w:rPr>
        <w:t>，用于回风，装设梯子间兼安全出口。利用现</w:t>
      </w:r>
      <w:r>
        <w:rPr>
          <w:caps/>
          <w:sz w:val="24"/>
        </w:rPr>
        <w:lastRenderedPageBreak/>
        <w:t>有风井作为专用回风井，井口设防爆门。正常情况下，风井防爆门关闭，事故时防爆门灵活开启，有效释放井下爆炸冲击波，起到安全保护的作用。</w:t>
      </w:r>
    </w:p>
    <w:p w:rsidR="00240BCE" w:rsidRDefault="00AC0334">
      <w:pPr>
        <w:autoSpaceDE w:val="0"/>
        <w:autoSpaceDN w:val="0"/>
        <w:adjustRightInd w:val="0"/>
        <w:spacing w:line="520" w:lineRule="exact"/>
        <w:ind w:firstLineChars="200" w:firstLine="480"/>
        <w:jc w:val="left"/>
        <w:textAlignment w:val="center"/>
        <w:rPr>
          <w:bCs/>
          <w:caps/>
          <w:sz w:val="24"/>
        </w:rPr>
      </w:pPr>
      <w:r>
        <w:rPr>
          <w:bCs/>
          <w:caps/>
          <w:sz w:val="24"/>
        </w:rPr>
        <w:t>（</w:t>
      </w:r>
      <w:r>
        <w:rPr>
          <w:bCs/>
          <w:caps/>
          <w:sz w:val="24"/>
        </w:rPr>
        <w:t>4</w:t>
      </w:r>
      <w:r>
        <w:rPr>
          <w:bCs/>
          <w:caps/>
          <w:sz w:val="24"/>
        </w:rPr>
        <w:t>）矸石系统</w:t>
      </w:r>
    </w:p>
    <w:p w:rsidR="00240BCE" w:rsidRDefault="00AC0334">
      <w:pPr>
        <w:autoSpaceDE w:val="0"/>
        <w:autoSpaceDN w:val="0"/>
        <w:adjustRightInd w:val="0"/>
        <w:spacing w:line="520" w:lineRule="exact"/>
        <w:ind w:firstLineChars="200" w:firstLine="480"/>
        <w:jc w:val="left"/>
        <w:textAlignment w:val="center"/>
        <w:rPr>
          <w:caps/>
          <w:sz w:val="24"/>
        </w:rPr>
      </w:pPr>
      <w:r>
        <w:rPr>
          <w:caps/>
          <w:sz w:val="24"/>
        </w:rPr>
        <w:t>矸石车通过副井由罐笼从井底提至副井口，将侧翻式矸石车经轨道推至尽头，将矸石卸到临时周转场地，再用汽车外运综合利用。</w:t>
      </w:r>
    </w:p>
    <w:p w:rsidR="00240BCE" w:rsidRDefault="00AC0334">
      <w:pPr>
        <w:autoSpaceDE w:val="0"/>
        <w:autoSpaceDN w:val="0"/>
        <w:adjustRightInd w:val="0"/>
        <w:spacing w:line="520" w:lineRule="exact"/>
        <w:ind w:firstLineChars="200" w:firstLine="480"/>
        <w:jc w:val="left"/>
        <w:textAlignment w:val="center"/>
        <w:rPr>
          <w:bCs/>
          <w:caps/>
          <w:sz w:val="24"/>
        </w:rPr>
      </w:pPr>
      <w:bookmarkStart w:id="278" w:name="_Toc47076304"/>
      <w:r>
        <w:rPr>
          <w:bCs/>
          <w:caps/>
          <w:sz w:val="24"/>
        </w:rPr>
        <w:t>2</w:t>
      </w:r>
      <w:r>
        <w:rPr>
          <w:bCs/>
          <w:caps/>
          <w:sz w:val="24"/>
        </w:rPr>
        <w:t>、辅助设施</w:t>
      </w:r>
      <w:bookmarkEnd w:id="278"/>
    </w:p>
    <w:p w:rsidR="00240BCE" w:rsidRDefault="00AC0334">
      <w:pPr>
        <w:autoSpaceDE w:val="0"/>
        <w:autoSpaceDN w:val="0"/>
        <w:adjustRightInd w:val="0"/>
        <w:spacing w:line="520" w:lineRule="exact"/>
        <w:ind w:firstLineChars="200" w:firstLine="480"/>
        <w:jc w:val="left"/>
        <w:textAlignment w:val="center"/>
        <w:rPr>
          <w:bCs/>
          <w:caps/>
          <w:sz w:val="24"/>
        </w:rPr>
      </w:pPr>
      <w:r>
        <w:rPr>
          <w:bCs/>
          <w:caps/>
          <w:sz w:val="24"/>
        </w:rPr>
        <w:t>（</w:t>
      </w:r>
      <w:r>
        <w:rPr>
          <w:bCs/>
          <w:caps/>
          <w:sz w:val="24"/>
        </w:rPr>
        <w:t>1</w:t>
      </w:r>
      <w:r>
        <w:rPr>
          <w:bCs/>
          <w:caps/>
          <w:sz w:val="24"/>
        </w:rPr>
        <w:t>）机修车间</w:t>
      </w:r>
    </w:p>
    <w:p w:rsidR="00240BCE" w:rsidRDefault="00AC0334">
      <w:pPr>
        <w:autoSpaceDE w:val="0"/>
        <w:autoSpaceDN w:val="0"/>
        <w:adjustRightInd w:val="0"/>
        <w:spacing w:line="520" w:lineRule="exact"/>
        <w:ind w:firstLineChars="200" w:firstLine="480"/>
        <w:jc w:val="left"/>
        <w:textAlignment w:val="center"/>
        <w:rPr>
          <w:caps/>
          <w:sz w:val="24"/>
        </w:rPr>
      </w:pPr>
      <w:r>
        <w:rPr>
          <w:caps/>
          <w:sz w:val="24"/>
        </w:rPr>
        <w:t>机修车间利用现有，主要承担矿井机电设备的日常检修和维护，矿车、单体液压支柱及拱形金属支架等材料性设备的修理。较复杂的机加工和设备大、中修工作可就近外协完成。</w:t>
      </w:r>
    </w:p>
    <w:p w:rsidR="00240BCE" w:rsidRDefault="00AC0334">
      <w:pPr>
        <w:autoSpaceDE w:val="0"/>
        <w:autoSpaceDN w:val="0"/>
        <w:adjustRightInd w:val="0"/>
        <w:spacing w:line="520" w:lineRule="exact"/>
        <w:ind w:firstLineChars="200" w:firstLine="480"/>
        <w:jc w:val="left"/>
        <w:textAlignment w:val="center"/>
        <w:rPr>
          <w:bCs/>
          <w:caps/>
          <w:sz w:val="24"/>
        </w:rPr>
      </w:pPr>
      <w:r>
        <w:rPr>
          <w:bCs/>
          <w:caps/>
          <w:sz w:val="24"/>
        </w:rPr>
        <w:t>（</w:t>
      </w:r>
      <w:r>
        <w:rPr>
          <w:bCs/>
          <w:caps/>
          <w:sz w:val="24"/>
        </w:rPr>
        <w:t>2</w:t>
      </w:r>
      <w:r>
        <w:rPr>
          <w:bCs/>
          <w:caps/>
          <w:sz w:val="24"/>
        </w:rPr>
        <w:t>）坑木加工房</w:t>
      </w:r>
    </w:p>
    <w:p w:rsidR="00240BCE" w:rsidRDefault="00AC0334">
      <w:pPr>
        <w:autoSpaceDE w:val="0"/>
        <w:autoSpaceDN w:val="0"/>
        <w:adjustRightInd w:val="0"/>
        <w:spacing w:line="520" w:lineRule="exact"/>
        <w:ind w:firstLineChars="200" w:firstLine="480"/>
        <w:jc w:val="left"/>
        <w:textAlignment w:val="center"/>
        <w:rPr>
          <w:bCs/>
          <w:caps/>
          <w:sz w:val="24"/>
        </w:rPr>
      </w:pPr>
      <w:r>
        <w:rPr>
          <w:bCs/>
          <w:caps/>
          <w:sz w:val="24"/>
        </w:rPr>
        <w:t>本矿已有坑木加工房，能满足生产要求，因此仍利用矿井原有设施，本次设计不再考虑。</w:t>
      </w:r>
    </w:p>
    <w:p w:rsidR="00240BCE" w:rsidRDefault="00AC0334">
      <w:pPr>
        <w:autoSpaceDE w:val="0"/>
        <w:autoSpaceDN w:val="0"/>
        <w:adjustRightInd w:val="0"/>
        <w:spacing w:line="520" w:lineRule="exact"/>
        <w:ind w:firstLineChars="200" w:firstLine="480"/>
        <w:jc w:val="left"/>
        <w:textAlignment w:val="center"/>
        <w:rPr>
          <w:bCs/>
          <w:caps/>
          <w:sz w:val="24"/>
        </w:rPr>
      </w:pPr>
      <w:r>
        <w:rPr>
          <w:bCs/>
          <w:caps/>
          <w:sz w:val="24"/>
        </w:rPr>
        <w:t>（</w:t>
      </w:r>
      <w:r>
        <w:rPr>
          <w:bCs/>
          <w:caps/>
          <w:sz w:val="24"/>
        </w:rPr>
        <w:t>3</w:t>
      </w:r>
      <w:r>
        <w:rPr>
          <w:bCs/>
          <w:caps/>
          <w:sz w:val="24"/>
        </w:rPr>
        <w:t>）煤样室、化验室</w:t>
      </w:r>
    </w:p>
    <w:p w:rsidR="00240BCE" w:rsidRDefault="00AC0334">
      <w:pPr>
        <w:autoSpaceDE w:val="0"/>
        <w:autoSpaceDN w:val="0"/>
        <w:adjustRightInd w:val="0"/>
        <w:spacing w:line="520" w:lineRule="exact"/>
        <w:ind w:firstLineChars="200" w:firstLine="480"/>
        <w:jc w:val="left"/>
        <w:textAlignment w:val="center"/>
        <w:rPr>
          <w:caps/>
          <w:sz w:val="24"/>
        </w:rPr>
      </w:pPr>
      <w:r>
        <w:rPr>
          <w:caps/>
          <w:sz w:val="24"/>
        </w:rPr>
        <w:t>本矿不设煤样室、化验室，煤质的化验外委。</w:t>
      </w:r>
    </w:p>
    <w:bookmarkEnd w:id="276"/>
    <w:p w:rsidR="00240BCE" w:rsidRDefault="00AC0334">
      <w:pPr>
        <w:spacing w:line="520" w:lineRule="exact"/>
        <w:ind w:firstLine="480"/>
        <w:rPr>
          <w:sz w:val="24"/>
        </w:rPr>
      </w:pPr>
      <w:r>
        <w:rPr>
          <w:sz w:val="24"/>
        </w:rPr>
        <w:t>4</w:t>
      </w:r>
      <w:r>
        <w:rPr>
          <w:sz w:val="24"/>
        </w:rPr>
        <w:t>、煤炭地面生产加工工艺见图</w:t>
      </w:r>
      <w:r>
        <w:rPr>
          <w:sz w:val="24"/>
        </w:rPr>
        <w:t>3.3-2</w:t>
      </w:r>
      <w:r>
        <w:rPr>
          <w:sz w:val="24"/>
        </w:rPr>
        <w:t>。</w:t>
      </w:r>
    </w:p>
    <w:p w:rsidR="00101969" w:rsidRDefault="00101969">
      <w:pPr>
        <w:spacing w:line="520" w:lineRule="exact"/>
        <w:jc w:val="center"/>
      </w:pPr>
    </w:p>
    <w:p w:rsidR="00240BCE" w:rsidRDefault="00B95226">
      <w:pPr>
        <w:spacing w:line="520" w:lineRule="exact"/>
        <w:jc w:val="center"/>
      </w:pPr>
      <w:r>
        <w:rPr>
          <w:noProof/>
        </w:rPr>
        <w:pict>
          <v:shape id="文本框 852" o:spid="_x0000_s1052" type="#_x0000_t202" style="position:absolute;left:0;text-align:left;margin-left:298.95pt;margin-top:17.1pt;width:42pt;height:19.0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" stroked="f">
            <v:textbox style="mso-next-textbox:#文本框 852" inset="0,0,0,0">
              <w:txbxContent>
                <w:p w:rsidR="006D7D3F" w:rsidRDefault="006D7D3F">
                  <w:pPr>
                    <w:rPr>
                      <w:sz w:val="21"/>
                      <w:szCs w:val="21"/>
                    </w:rPr>
                  </w:pPr>
                  <w:r>
                    <w:rPr>
                      <w:rFonts w:hint="eastAsia"/>
                      <w:sz w:val="21"/>
                      <w:szCs w:val="21"/>
                    </w:rPr>
                    <w:t>装车外运</w:t>
                  </w:r>
                </w:p>
              </w:txbxContent>
            </v:textbox>
          </v:shape>
        </w:pict>
      </w:r>
      <w:r>
        <w:rPr>
          <w:noProof/>
        </w:rPr>
        <w:pict>
          <v:shape id="文本框 850" o:spid="_x0000_s1053" type="#_x0000_t202" style="position:absolute;left:0;text-align:left;margin-left:229.6pt;margin-top:18.45pt;width:33.9pt;height:19.0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" stroked="f">
            <v:textbox style="mso-next-textbox:#文本框 850" inset="0,0,0,0">
              <w:txbxContent>
                <w:p w:rsidR="006D7D3F" w:rsidRDefault="006D7D3F">
                  <w:pPr>
                    <w:rPr>
                      <w:sz w:val="21"/>
                      <w:szCs w:val="21"/>
                    </w:rPr>
                  </w:pPr>
                  <w:r>
                    <w:rPr>
                      <w:rFonts w:hint="eastAsia"/>
                      <w:sz w:val="21"/>
                      <w:szCs w:val="21"/>
                    </w:rPr>
                    <w:t>储煤场</w:t>
                  </w:r>
                </w:p>
              </w:txbxContent>
            </v:textbox>
          </v:shape>
        </w:pict>
      </w:r>
      <w:r>
        <w:rPr>
          <w:noProof/>
        </w:rPr>
        <w:pict>
          <v:shape id="文本框 859" o:spid="_x0000_s1054" type="#_x0000_t202" style="position:absolute;left:0;text-align:left;margin-left:173.6pt;margin-top:6.45pt;width:56pt;height:19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" stroked="f">
            <v:textbox style="mso-next-textbox:#文本框 859" inset="0,0,0,0">
              <w:txbxContent>
                <w:p w:rsidR="006D7D3F" w:rsidRDefault="006D7D3F">
                  <w:pPr>
                    <w:rPr>
                      <w:sz w:val="21"/>
                      <w:szCs w:val="21"/>
                    </w:rPr>
                  </w:pPr>
                  <w:r>
                    <w:rPr>
                      <w:rFonts w:hint="eastAsia"/>
                      <w:sz w:val="21"/>
                      <w:szCs w:val="21"/>
                    </w:rPr>
                    <w:t>胶带输送机</w:t>
                  </w:r>
                </w:p>
              </w:txbxContent>
            </v:textbox>
          </v:shape>
        </w:pict>
      </w:r>
      <w:r>
        <w:rPr>
          <w:noProof/>
        </w:rPr>
        <w:pict>
          <v:shape id="文本框 845" o:spid="_x0000_s1055" type="#_x0000_t202" style="position:absolute;left:0;text-align:left;margin-left:98pt;margin-top:17pt;width:70pt;height:19.0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" stroked="f">
            <v:textbox style="mso-next-textbox:#文本框 845" inset="0,0,0,0">
              <w:txbxContent>
                <w:p w:rsidR="006D7D3F" w:rsidRDefault="006D7D3F">
                  <w:pPr>
                    <w:ind w:firstLineChars="50" w:firstLine="105"/>
                    <w:rPr>
                      <w:sz w:val="21"/>
                      <w:szCs w:val="21"/>
                    </w:rPr>
                  </w:pPr>
                  <w:r>
                    <w:rPr>
                      <w:rFonts w:hint="eastAsia"/>
                      <w:sz w:val="21"/>
                      <w:szCs w:val="21"/>
                    </w:rPr>
                    <w:t>井口接煤漏斗</w:t>
                  </w:r>
                </w:p>
              </w:txbxContent>
            </v:textbox>
          </v:shape>
        </w:pict>
      </w:r>
      <w:r>
        <w:rPr>
          <w:noProof/>
        </w:rPr>
        <w:pict>
          <v:shape id="文本框 846" o:spid="_x0000_s1056" type="#_x0000_t202" style="position:absolute;left:0;text-align:left;margin-left:63pt;margin-top:3.95pt;width:37.35pt;height:19.0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" stroked="f">
            <v:textbox style="mso-next-textbox:#文本框 846" inset="0,0,0,0">
              <w:txbxContent>
                <w:p w:rsidR="006D7D3F" w:rsidRDefault="006D7D3F">
                  <w:pPr>
                    <w:rPr>
                      <w:sz w:val="21"/>
                      <w:szCs w:val="21"/>
                    </w:rPr>
                  </w:pPr>
                  <w:r>
                    <w:rPr>
                      <w:rFonts w:hint="eastAsia"/>
                      <w:sz w:val="21"/>
                      <w:szCs w:val="21"/>
                    </w:rPr>
                    <w:t>箕斗</w:t>
                  </w:r>
                </w:p>
              </w:txbxContent>
            </v:textbox>
          </v:shape>
        </w:pict>
      </w:r>
      <w:r>
        <w:rPr>
          <w:noProof/>
        </w:rPr>
        <w:pict>
          <v:line id="直线 847" o:spid="_x0000_s3569" style="position:absolute;left:0;text-align:left;z-index:251587584;visibility:visible" from="45.6pt,24.95pt" to="94.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">
            <v:stroke endarrow="block"/>
          </v:line>
        </w:pict>
      </w:r>
      <w:r>
        <w:rPr>
          <w:noProof/>
        </w:rPr>
        <w:pict>
          <v:shape id="文本框 844" o:spid="_x0000_s1057" type="#_x0000_t202" style="position:absolute;left:0;text-align:left;margin-left:0;margin-top:17pt;width:42pt;height:19.0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" stroked="f">
            <v:textbox style="mso-next-textbox:#文本框 844" inset="0,0,0,0">
              <w:txbxContent>
                <w:p w:rsidR="006D7D3F" w:rsidRDefault="006D7D3F">
                  <w:pPr>
                    <w:rPr>
                      <w:sz w:val="21"/>
                      <w:szCs w:val="21"/>
                    </w:rPr>
                  </w:pPr>
                  <w:r>
                    <w:rPr>
                      <w:rFonts w:hint="eastAsia"/>
                      <w:sz w:val="21"/>
                      <w:szCs w:val="21"/>
                    </w:rPr>
                    <w:t>井下毛煤</w:t>
                  </w:r>
                </w:p>
              </w:txbxContent>
            </v:textbox>
          </v:shape>
        </w:pict>
      </w:r>
    </w:p>
    <w:p w:rsidR="00240BCE" w:rsidRDefault="00B95226">
      <w:pPr>
        <w:spacing w:line="520" w:lineRule="exact"/>
        <w:jc w:val="center"/>
      </w:pPr>
      <w:r>
        <w:rPr>
          <w:noProof/>
        </w:rPr>
        <w:pict>
          <v:line id="直线 860" o:spid="_x0000_s3568" style="position:absolute;left:0;text-align:left;z-index:251602944;visibility:visible" from="245.1pt,10.4pt" to="245.1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">
            <v:stroke endarrow="block"/>
          </v:line>
        </w:pict>
      </w:r>
      <w:r>
        <w:rPr>
          <w:noProof/>
        </w:rPr>
        <w:pict>
          <v:line id="直线 851" o:spid="_x0000_s3567" style="position:absolute;left:0;text-align:left;z-index:251591680;visibility:visible" from="273pt,1.6pt" to="29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">
            <v:stroke endarrow="block"/>
          </v:line>
        </w:pict>
      </w:r>
      <w:r>
        <w:rPr>
          <w:noProof/>
        </w:rPr>
        <w:pict>
          <v:line id="直线 849" o:spid="_x0000_s3566" style="position:absolute;left:0;text-align:left;z-index:251589632;visibility:visible" from="175pt,1.6pt" to="22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">
            <v:stroke endarrow="block"/>
          </v:line>
        </w:pict>
      </w:r>
    </w:p>
    <w:p w:rsidR="00240BCE" w:rsidRDefault="00B95226">
      <w:pPr>
        <w:spacing w:line="520" w:lineRule="exact"/>
        <w:ind w:firstLine="480"/>
        <w:jc w:val="center"/>
      </w:pPr>
      <w:r>
        <w:rPr>
          <w:noProof/>
        </w:rPr>
        <w:pict>
          <v:shape id="文本框 858" o:spid="_x0000_s1058" type="#_x0000_t202" style="position:absolute;left:0;text-align:left;margin-left:341.1pt;margin-top:21.95pt;width:64.9pt;height:19.0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" stroked="f">
            <v:textbox style="mso-next-textbox:#文本框 858" inset="0,0,0,0">
              <w:txbxContent>
                <w:p w:rsidR="006D7D3F" w:rsidRDefault="006D7D3F">
                  <w:pPr>
                    <w:rPr>
                      <w:sz w:val="21"/>
                      <w:szCs w:val="21"/>
                    </w:rPr>
                  </w:pPr>
                  <w:r>
                    <w:rPr>
                      <w:rFonts w:hint="eastAsia"/>
                      <w:sz w:val="21"/>
                      <w:szCs w:val="21"/>
                    </w:rPr>
                    <w:t>矸石周转场</w:t>
                  </w:r>
                </w:p>
              </w:txbxContent>
            </v:textbox>
          </v:shape>
        </w:pict>
      </w:r>
      <w:r w:rsidRPr="00B95226">
        <w:rPr>
          <w:rFonts w:eastAsia="黑体"/>
          <w:noProof/>
          <w:spacing w:val="2"/>
          <w:sz w:val="24"/>
        </w:rPr>
        <w:pict>
          <v:line id="直线 856" o:spid="_x0000_s3565" style="position:absolute;left:0;text-align:left;z-index:251598848;visibility:visible" from="289.1pt,13.35pt" to="289.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"/>
        </w:pict>
      </w:r>
      <w:r w:rsidRPr="00B95226">
        <w:rPr>
          <w:rFonts w:eastAsia="黑体"/>
          <w:noProof/>
          <w:spacing w:val="2"/>
          <w:sz w:val="24"/>
        </w:rPr>
        <w:pict>
          <v:line id="直线 855" o:spid="_x0000_s3564" style="position:absolute;left:0;text-align:left;z-index:251597824;visibility:visible" from="268.1pt,12.9pt" to="289.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">
            <v:stroke endarrow="block"/>
          </v:line>
        </w:pict>
      </w:r>
      <w:r>
        <w:rPr>
          <w:noProof/>
        </w:rPr>
        <w:pict>
          <v:shape id="文本框 848" o:spid="_x0000_s1059" type="#_x0000_t202" style="position:absolute;left:0;text-align:left;margin-left:223.7pt;margin-top:4.45pt;width:42pt;height:19.0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" stroked="f">
            <v:textbox style="mso-next-textbox:#文本框 848" inset="0,0,0,0">
              <w:txbxContent>
                <w:p w:rsidR="006D7D3F" w:rsidRDefault="006D7D3F">
                  <w:pPr>
                    <w:rPr>
                      <w:sz w:val="21"/>
                      <w:szCs w:val="21"/>
                    </w:rPr>
                  </w:pPr>
                  <w:r>
                    <w:rPr>
                      <w:rFonts w:hint="eastAsia"/>
                      <w:sz w:val="21"/>
                      <w:szCs w:val="21"/>
                    </w:rPr>
                    <w:t>手选矸石</w:t>
                  </w:r>
                </w:p>
              </w:txbxContent>
            </v:textbox>
          </v:shape>
        </w:pict>
      </w:r>
    </w:p>
    <w:p w:rsidR="00240BCE" w:rsidRDefault="00B95226">
      <w:pPr>
        <w:spacing w:line="520" w:lineRule="exact"/>
        <w:jc w:val="center"/>
        <w:rPr>
          <w:rFonts w:eastAsia="黑体"/>
          <w:spacing w:val="2"/>
          <w:sz w:val="24"/>
        </w:rPr>
      </w:pPr>
      <w:r w:rsidRPr="00B95226">
        <w:rPr>
          <w:noProof/>
        </w:rPr>
        <w:pict>
          <v:line id="直线 857" o:spid="_x0000_s3563" style="position:absolute;left:0;text-align:left;z-index:251599872;visibility:visible" from="290.1pt,6.4pt" to="339.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">
            <v:stroke endarrow="block"/>
          </v:line>
        </w:pict>
      </w:r>
      <w:r w:rsidRPr="00B95226">
        <w:rPr>
          <w:noProof/>
        </w:rPr>
        <w:pict>
          <v:shape id="文本框 853" o:spid="_x0000_s1060" type="#_x0000_t202" style="position:absolute;left:0;text-align:left;margin-left:201.2pt;margin-top:14.55pt;width:63.6pt;height:19.0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" stroked="f">
            <v:textbox style="mso-next-textbox:#文本框 853" inset="0,0,0,0">
              <w:txbxContent>
                <w:p w:rsidR="006D7D3F" w:rsidRDefault="006D7D3F">
                  <w:pPr>
                    <w:rPr>
                      <w:sz w:val="21"/>
                      <w:szCs w:val="21"/>
                    </w:rPr>
                  </w:pPr>
                  <w:r>
                    <w:rPr>
                      <w:rFonts w:hint="eastAsia"/>
                      <w:sz w:val="21"/>
                      <w:szCs w:val="21"/>
                    </w:rPr>
                    <w:t>副井提出矸石</w:t>
                  </w:r>
                </w:p>
              </w:txbxContent>
            </v:textbox>
          </v:shape>
        </w:pict>
      </w:r>
      <w:r>
        <w:rPr>
          <w:rFonts w:eastAsia="黑体"/>
          <w:noProof/>
          <w:spacing w:val="2"/>
          <w:sz w:val="24"/>
        </w:rPr>
        <w:pict>
          <v:line id="直线 854" o:spid="_x0000_s3562" style="position:absolute;left:0;text-align:left;z-index:251596800;visibility:visible" from="269.1pt,25.95pt" to="290.1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">
            <v:stroke endarrow="block"/>
          </v:line>
        </w:pict>
      </w:r>
    </w:p>
    <w:p w:rsidR="00240BCE" w:rsidRDefault="00AC0334" w:rsidP="009C5F33">
      <w:pPr>
        <w:spacing w:beforeLines="50" w:line="520" w:lineRule="exact"/>
        <w:jc w:val="center"/>
        <w:rPr>
          <w:rFonts w:eastAsia="黑体"/>
          <w:spacing w:val="2"/>
          <w:sz w:val="24"/>
        </w:rPr>
      </w:pPr>
      <w:r>
        <w:rPr>
          <w:rFonts w:eastAsia="黑体"/>
          <w:spacing w:val="2"/>
          <w:sz w:val="24"/>
        </w:rPr>
        <w:t>图</w:t>
      </w:r>
      <w:r>
        <w:rPr>
          <w:rFonts w:eastAsia="黑体"/>
          <w:spacing w:val="2"/>
          <w:sz w:val="24"/>
        </w:rPr>
        <w:t xml:space="preserve">3.3-2  </w:t>
      </w:r>
      <w:r>
        <w:rPr>
          <w:rFonts w:eastAsia="黑体"/>
          <w:spacing w:val="2"/>
          <w:sz w:val="24"/>
        </w:rPr>
        <w:t>煤炭地面加工工艺图</w:t>
      </w:r>
    </w:p>
    <w:p w:rsidR="00240BCE" w:rsidRDefault="00AC0334" w:rsidP="009C5F33">
      <w:pPr>
        <w:pStyle w:val="30"/>
        <w:adjustRightInd w:val="0"/>
        <w:snapToGrid w:val="0"/>
        <w:spacing w:beforeLines="70" w:afterLines="30" w:line="240" w:lineRule="auto"/>
        <w:jc w:val="left"/>
        <w:rPr>
          <w:rFonts w:eastAsia="楷体"/>
          <w:sz w:val="28"/>
          <w:szCs w:val="28"/>
        </w:rPr>
      </w:pPr>
      <w:bookmarkStart w:id="279" w:name="_Toc79668640"/>
      <w:r>
        <w:rPr>
          <w:rFonts w:eastAsia="楷体"/>
          <w:sz w:val="28"/>
          <w:szCs w:val="28"/>
        </w:rPr>
        <w:t xml:space="preserve">3.3.5 </w:t>
      </w:r>
      <w:r>
        <w:rPr>
          <w:rFonts w:eastAsia="楷体"/>
          <w:sz w:val="28"/>
          <w:szCs w:val="28"/>
        </w:rPr>
        <w:t>主要设备选型</w:t>
      </w:r>
      <w:bookmarkEnd w:id="279"/>
    </w:p>
    <w:p w:rsidR="00240BCE" w:rsidRDefault="00AC0334">
      <w:pPr>
        <w:pStyle w:val="a2"/>
        <w:spacing w:line="520" w:lineRule="exact"/>
        <w:ind w:firstLine="480"/>
        <w:rPr>
          <w:sz w:val="24"/>
        </w:rPr>
      </w:pPr>
      <w:r>
        <w:rPr>
          <w:sz w:val="24"/>
        </w:rPr>
        <w:t>矿井主要设备见表</w:t>
      </w:r>
      <w:r>
        <w:rPr>
          <w:sz w:val="24"/>
        </w:rPr>
        <w:t>3.3-2</w:t>
      </w:r>
      <w:r>
        <w:rPr>
          <w:sz w:val="24"/>
        </w:rPr>
        <w:t>。</w:t>
      </w:r>
    </w:p>
    <w:p w:rsidR="00951704" w:rsidRDefault="00951704">
      <w:pPr>
        <w:spacing w:line="520" w:lineRule="exact"/>
        <w:jc w:val="center"/>
        <w:rPr>
          <w:rFonts w:eastAsia="黑体"/>
          <w:spacing w:val="2"/>
          <w:sz w:val="24"/>
        </w:rPr>
      </w:pPr>
    </w:p>
    <w:p w:rsidR="00951704" w:rsidRDefault="00951704">
      <w:pPr>
        <w:spacing w:line="520" w:lineRule="exact"/>
        <w:jc w:val="center"/>
        <w:rPr>
          <w:rFonts w:eastAsia="黑体"/>
          <w:spacing w:val="2"/>
          <w:sz w:val="24"/>
        </w:rPr>
      </w:pPr>
    </w:p>
    <w:p w:rsidR="00240BCE" w:rsidRDefault="00AC0334">
      <w:pPr>
        <w:spacing w:line="520" w:lineRule="exact"/>
        <w:jc w:val="center"/>
        <w:rPr>
          <w:rFonts w:eastAsia="黑体"/>
          <w:spacing w:val="2"/>
          <w:sz w:val="24"/>
        </w:rPr>
      </w:pPr>
      <w:r>
        <w:rPr>
          <w:rFonts w:eastAsia="黑体"/>
          <w:spacing w:val="2"/>
          <w:sz w:val="24"/>
        </w:rPr>
        <w:lastRenderedPageBreak/>
        <w:t>表</w:t>
      </w:r>
      <w:r>
        <w:rPr>
          <w:rFonts w:eastAsia="黑体"/>
          <w:spacing w:val="2"/>
          <w:sz w:val="24"/>
        </w:rPr>
        <w:t xml:space="preserve">3.3-2    </w:t>
      </w:r>
      <w:r>
        <w:rPr>
          <w:rFonts w:eastAsia="黑体"/>
          <w:spacing w:val="2"/>
          <w:sz w:val="24"/>
        </w:rPr>
        <w:t>矿井主要设备表</w:t>
      </w:r>
    </w:p>
    <w:tbl>
      <w:tblPr>
        <w:tblW w:w="863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910"/>
        <w:gridCol w:w="727"/>
        <w:gridCol w:w="940"/>
        <w:gridCol w:w="3402"/>
        <w:gridCol w:w="708"/>
        <w:gridCol w:w="709"/>
        <w:gridCol w:w="1240"/>
      </w:tblGrid>
      <w:tr w:rsidR="00240BCE" w:rsidTr="000B4405">
        <w:trPr>
          <w:trHeight w:val="403"/>
        </w:trPr>
        <w:tc>
          <w:tcPr>
            <w:tcW w:w="910" w:type="dxa"/>
            <w:tcBorders>
              <w:top w:val="single" w:sz="8" w:space="0" w:color="auto"/>
              <w:left w:val="single" w:sz="8" w:space="0" w:color="auto"/>
            </w:tcBorders>
            <w:vAlign w:val="center"/>
          </w:tcPr>
          <w:p w:rsidR="00240BCE" w:rsidRDefault="00AC0334">
            <w:pPr>
              <w:spacing w:line="320" w:lineRule="exact"/>
              <w:jc w:val="center"/>
              <w:rPr>
                <w:sz w:val="21"/>
                <w:szCs w:val="21"/>
              </w:rPr>
            </w:pPr>
            <w:r>
              <w:rPr>
                <w:sz w:val="21"/>
                <w:szCs w:val="21"/>
              </w:rPr>
              <w:t>类别</w:t>
            </w:r>
          </w:p>
        </w:tc>
        <w:tc>
          <w:tcPr>
            <w:tcW w:w="1667" w:type="dxa"/>
            <w:gridSpan w:val="2"/>
            <w:tcBorders>
              <w:top w:val="single" w:sz="8" w:space="0" w:color="auto"/>
            </w:tcBorders>
            <w:vAlign w:val="center"/>
          </w:tcPr>
          <w:p w:rsidR="00240BCE" w:rsidRDefault="00AC0334">
            <w:pPr>
              <w:spacing w:line="320" w:lineRule="exact"/>
              <w:jc w:val="center"/>
              <w:rPr>
                <w:sz w:val="21"/>
                <w:szCs w:val="21"/>
              </w:rPr>
            </w:pPr>
            <w:r>
              <w:rPr>
                <w:sz w:val="21"/>
                <w:szCs w:val="21"/>
              </w:rPr>
              <w:t>名称</w:t>
            </w:r>
          </w:p>
        </w:tc>
        <w:tc>
          <w:tcPr>
            <w:tcW w:w="3402" w:type="dxa"/>
            <w:tcBorders>
              <w:top w:val="single" w:sz="8" w:space="0" w:color="auto"/>
            </w:tcBorders>
            <w:vAlign w:val="center"/>
          </w:tcPr>
          <w:p w:rsidR="00240BCE" w:rsidRDefault="00AC0334">
            <w:pPr>
              <w:spacing w:line="320" w:lineRule="exact"/>
              <w:jc w:val="center"/>
              <w:rPr>
                <w:sz w:val="21"/>
                <w:szCs w:val="21"/>
              </w:rPr>
            </w:pPr>
            <w:r>
              <w:rPr>
                <w:sz w:val="21"/>
                <w:szCs w:val="21"/>
              </w:rPr>
              <w:t>型号或规格</w:t>
            </w:r>
          </w:p>
        </w:tc>
        <w:tc>
          <w:tcPr>
            <w:tcW w:w="708" w:type="dxa"/>
            <w:tcBorders>
              <w:top w:val="single" w:sz="8" w:space="0" w:color="auto"/>
            </w:tcBorders>
            <w:vAlign w:val="center"/>
          </w:tcPr>
          <w:p w:rsidR="00240BCE" w:rsidRDefault="00AC0334">
            <w:pPr>
              <w:spacing w:line="320" w:lineRule="exact"/>
              <w:jc w:val="center"/>
              <w:rPr>
                <w:sz w:val="21"/>
                <w:szCs w:val="21"/>
              </w:rPr>
            </w:pPr>
            <w:r>
              <w:rPr>
                <w:sz w:val="21"/>
                <w:szCs w:val="21"/>
              </w:rPr>
              <w:t>单位</w:t>
            </w:r>
          </w:p>
        </w:tc>
        <w:tc>
          <w:tcPr>
            <w:tcW w:w="709" w:type="dxa"/>
            <w:tcBorders>
              <w:top w:val="single" w:sz="8" w:space="0" w:color="auto"/>
            </w:tcBorders>
            <w:vAlign w:val="center"/>
          </w:tcPr>
          <w:p w:rsidR="00240BCE" w:rsidRDefault="00AC0334">
            <w:pPr>
              <w:spacing w:line="320" w:lineRule="exact"/>
              <w:jc w:val="center"/>
              <w:rPr>
                <w:sz w:val="21"/>
                <w:szCs w:val="21"/>
              </w:rPr>
            </w:pPr>
            <w:r>
              <w:rPr>
                <w:sz w:val="21"/>
                <w:szCs w:val="21"/>
              </w:rPr>
              <w:t>数量</w:t>
            </w:r>
          </w:p>
        </w:tc>
        <w:tc>
          <w:tcPr>
            <w:tcW w:w="1240" w:type="dxa"/>
            <w:tcBorders>
              <w:top w:val="single" w:sz="8" w:space="0" w:color="auto"/>
              <w:right w:val="single" w:sz="8" w:space="0" w:color="auto"/>
            </w:tcBorders>
            <w:vAlign w:val="center"/>
          </w:tcPr>
          <w:p w:rsidR="00240BCE" w:rsidRPr="000B4405" w:rsidRDefault="00AC0334">
            <w:pPr>
              <w:spacing w:line="320" w:lineRule="exact"/>
              <w:jc w:val="center"/>
              <w:rPr>
                <w:b/>
                <w:i/>
                <w:sz w:val="21"/>
                <w:szCs w:val="21"/>
                <w:u w:val="single"/>
              </w:rPr>
            </w:pPr>
            <w:r w:rsidRPr="000B4405">
              <w:rPr>
                <w:b/>
                <w:i/>
                <w:sz w:val="21"/>
                <w:szCs w:val="21"/>
                <w:u w:val="single"/>
              </w:rPr>
              <w:t>备注</w:t>
            </w:r>
          </w:p>
        </w:tc>
      </w:tr>
      <w:tr w:rsidR="00240BCE" w:rsidTr="000B4405">
        <w:trPr>
          <w:trHeight w:val="391"/>
        </w:trPr>
        <w:tc>
          <w:tcPr>
            <w:tcW w:w="910" w:type="dxa"/>
            <w:vMerge w:val="restart"/>
            <w:tcBorders>
              <w:left w:val="single" w:sz="8" w:space="0" w:color="auto"/>
            </w:tcBorders>
            <w:vAlign w:val="center"/>
          </w:tcPr>
          <w:p w:rsidR="00240BCE" w:rsidRDefault="00AC0334">
            <w:pPr>
              <w:spacing w:line="320" w:lineRule="exact"/>
              <w:jc w:val="center"/>
              <w:rPr>
                <w:sz w:val="21"/>
                <w:szCs w:val="21"/>
              </w:rPr>
            </w:pPr>
            <w:r>
              <w:rPr>
                <w:sz w:val="21"/>
                <w:szCs w:val="21"/>
              </w:rPr>
              <w:t>采煤</w:t>
            </w:r>
          </w:p>
          <w:p w:rsidR="00240BCE" w:rsidRDefault="00AC0334">
            <w:pPr>
              <w:spacing w:line="320" w:lineRule="exact"/>
              <w:jc w:val="center"/>
              <w:rPr>
                <w:sz w:val="21"/>
                <w:szCs w:val="21"/>
              </w:rPr>
            </w:pPr>
            <w:r>
              <w:rPr>
                <w:sz w:val="21"/>
                <w:szCs w:val="21"/>
              </w:rPr>
              <w:t>设备</w:t>
            </w:r>
          </w:p>
        </w:tc>
        <w:tc>
          <w:tcPr>
            <w:tcW w:w="1667" w:type="dxa"/>
            <w:gridSpan w:val="2"/>
            <w:vAlign w:val="center"/>
          </w:tcPr>
          <w:p w:rsidR="00240BCE" w:rsidRPr="000B4405" w:rsidRDefault="00AC0334">
            <w:pPr>
              <w:spacing w:line="320" w:lineRule="exact"/>
              <w:jc w:val="center"/>
              <w:rPr>
                <w:b/>
                <w:i/>
                <w:snapToGrid w:val="0"/>
                <w:sz w:val="21"/>
                <w:szCs w:val="21"/>
                <w:u w:val="single"/>
              </w:rPr>
            </w:pPr>
            <w:r w:rsidRPr="000B4405">
              <w:rPr>
                <w:b/>
                <w:i/>
                <w:snapToGrid w:val="0"/>
                <w:sz w:val="21"/>
                <w:szCs w:val="21"/>
                <w:u w:val="single"/>
              </w:rPr>
              <w:t>采煤机</w:t>
            </w:r>
          </w:p>
        </w:tc>
        <w:tc>
          <w:tcPr>
            <w:tcW w:w="3402" w:type="dxa"/>
            <w:vAlign w:val="center"/>
          </w:tcPr>
          <w:p w:rsidR="00240BCE" w:rsidRPr="000B4405" w:rsidRDefault="00AC0334">
            <w:pPr>
              <w:spacing w:line="320" w:lineRule="exact"/>
              <w:jc w:val="center"/>
              <w:rPr>
                <w:b/>
                <w:i/>
                <w:snapToGrid w:val="0"/>
                <w:sz w:val="21"/>
                <w:szCs w:val="21"/>
                <w:u w:val="single"/>
              </w:rPr>
            </w:pPr>
            <w:r w:rsidRPr="000B4405">
              <w:rPr>
                <w:b/>
                <w:i/>
                <w:snapToGrid w:val="0"/>
                <w:sz w:val="21"/>
                <w:szCs w:val="21"/>
                <w:u w:val="single"/>
              </w:rPr>
              <w:t xml:space="preserve">MG160/380WD </w:t>
            </w:r>
          </w:p>
        </w:tc>
        <w:tc>
          <w:tcPr>
            <w:tcW w:w="708" w:type="dxa"/>
            <w:vAlign w:val="center"/>
          </w:tcPr>
          <w:p w:rsidR="00240BCE" w:rsidRPr="000B4405" w:rsidRDefault="00AC0334">
            <w:pPr>
              <w:spacing w:line="320" w:lineRule="exact"/>
              <w:jc w:val="center"/>
              <w:rPr>
                <w:b/>
                <w:i/>
                <w:snapToGrid w:val="0"/>
                <w:sz w:val="21"/>
                <w:szCs w:val="21"/>
                <w:u w:val="single"/>
              </w:rPr>
            </w:pPr>
            <w:r w:rsidRPr="000B4405">
              <w:rPr>
                <w:b/>
                <w:i/>
                <w:snapToGrid w:val="0"/>
                <w:sz w:val="21"/>
                <w:szCs w:val="21"/>
                <w:u w:val="single"/>
              </w:rPr>
              <w:t>台</w:t>
            </w:r>
          </w:p>
        </w:tc>
        <w:tc>
          <w:tcPr>
            <w:tcW w:w="709" w:type="dxa"/>
            <w:vAlign w:val="center"/>
          </w:tcPr>
          <w:p w:rsidR="00240BCE" w:rsidRPr="000B4405" w:rsidRDefault="00AC0334">
            <w:pPr>
              <w:spacing w:line="320" w:lineRule="exact"/>
              <w:jc w:val="center"/>
              <w:rPr>
                <w:b/>
                <w:i/>
                <w:snapToGrid w:val="0"/>
                <w:sz w:val="21"/>
                <w:szCs w:val="21"/>
                <w:u w:val="single"/>
              </w:rPr>
            </w:pPr>
            <w:r w:rsidRPr="000B4405">
              <w:rPr>
                <w:b/>
                <w:i/>
                <w:snapToGrid w:val="0"/>
                <w:sz w:val="21"/>
                <w:szCs w:val="21"/>
                <w:u w:val="single"/>
              </w:rPr>
              <w:t>1</w:t>
            </w:r>
          </w:p>
        </w:tc>
        <w:tc>
          <w:tcPr>
            <w:tcW w:w="1240" w:type="dxa"/>
            <w:tcBorders>
              <w:right w:val="single" w:sz="8" w:space="0" w:color="auto"/>
            </w:tcBorders>
            <w:vAlign w:val="center"/>
          </w:tcPr>
          <w:p w:rsidR="00240BCE" w:rsidRPr="000B4405" w:rsidRDefault="000B4405">
            <w:pPr>
              <w:spacing w:line="320" w:lineRule="exact"/>
              <w:jc w:val="center"/>
              <w:rPr>
                <w:b/>
                <w:i/>
                <w:sz w:val="21"/>
                <w:szCs w:val="21"/>
                <w:u w:val="single"/>
              </w:rPr>
            </w:pPr>
            <w:r w:rsidRPr="000B4405">
              <w:rPr>
                <w:rFonts w:hint="eastAsia"/>
                <w:b/>
                <w:i/>
                <w:sz w:val="21"/>
                <w:szCs w:val="21"/>
                <w:u w:val="single"/>
              </w:rPr>
              <w:t>更换</w:t>
            </w:r>
          </w:p>
        </w:tc>
      </w:tr>
      <w:tr w:rsidR="00C479C6" w:rsidTr="000B4405">
        <w:trPr>
          <w:trHeight w:val="391"/>
        </w:trPr>
        <w:tc>
          <w:tcPr>
            <w:tcW w:w="910" w:type="dxa"/>
            <w:vMerge/>
            <w:tcBorders>
              <w:left w:val="single" w:sz="8" w:space="0" w:color="auto"/>
            </w:tcBorders>
            <w:vAlign w:val="center"/>
          </w:tcPr>
          <w:p w:rsidR="00C479C6" w:rsidRDefault="00C479C6">
            <w:pPr>
              <w:spacing w:line="320" w:lineRule="exact"/>
              <w:jc w:val="center"/>
              <w:rPr>
                <w:sz w:val="21"/>
                <w:szCs w:val="21"/>
              </w:rPr>
            </w:pPr>
          </w:p>
        </w:tc>
        <w:tc>
          <w:tcPr>
            <w:tcW w:w="1667" w:type="dxa"/>
            <w:gridSpan w:val="2"/>
            <w:vAlign w:val="center"/>
          </w:tcPr>
          <w:p w:rsidR="00C479C6" w:rsidRPr="00C479C6" w:rsidRDefault="00C479C6" w:rsidP="00DA246A">
            <w:pPr>
              <w:jc w:val="center"/>
              <w:rPr>
                <w:sz w:val="21"/>
                <w:szCs w:val="21"/>
              </w:rPr>
            </w:pPr>
            <w:r w:rsidRPr="00C479C6">
              <w:rPr>
                <w:sz w:val="21"/>
                <w:szCs w:val="21"/>
              </w:rPr>
              <w:t>液压支架</w:t>
            </w:r>
          </w:p>
        </w:tc>
        <w:tc>
          <w:tcPr>
            <w:tcW w:w="3402" w:type="dxa"/>
            <w:vAlign w:val="center"/>
          </w:tcPr>
          <w:p w:rsidR="00C479C6" w:rsidRDefault="00C479C6" w:rsidP="00C479C6">
            <w:pPr>
              <w:spacing w:line="320" w:lineRule="exact"/>
              <w:jc w:val="center"/>
              <w:rPr>
                <w:snapToGrid w:val="0"/>
                <w:sz w:val="21"/>
                <w:szCs w:val="21"/>
              </w:rPr>
            </w:pPr>
            <w:r w:rsidRPr="000B4405">
              <w:rPr>
                <w:rFonts w:eastAsia="等线"/>
                <w:sz w:val="21"/>
                <w:szCs w:val="21"/>
              </w:rPr>
              <w:t>F3200/16/26</w:t>
            </w:r>
            <w:r w:rsidRPr="000B4405">
              <w:rPr>
                <w:rFonts w:eastAsia="等线"/>
                <w:sz w:val="21"/>
                <w:szCs w:val="21"/>
              </w:rPr>
              <w:t>型低位放顶煤液压支架、</w:t>
            </w:r>
          </w:p>
        </w:tc>
        <w:tc>
          <w:tcPr>
            <w:tcW w:w="708" w:type="dxa"/>
            <w:vAlign w:val="center"/>
          </w:tcPr>
          <w:p w:rsidR="00C479C6" w:rsidRDefault="00C479C6">
            <w:pPr>
              <w:spacing w:line="320" w:lineRule="exact"/>
              <w:jc w:val="center"/>
              <w:rPr>
                <w:snapToGrid w:val="0"/>
                <w:sz w:val="21"/>
                <w:szCs w:val="21"/>
              </w:rPr>
            </w:pPr>
            <w:r>
              <w:rPr>
                <w:snapToGrid w:val="0"/>
                <w:sz w:val="21"/>
                <w:szCs w:val="21"/>
              </w:rPr>
              <w:t>架</w:t>
            </w:r>
          </w:p>
        </w:tc>
        <w:tc>
          <w:tcPr>
            <w:tcW w:w="709" w:type="dxa"/>
            <w:vAlign w:val="center"/>
          </w:tcPr>
          <w:p w:rsidR="00C479C6" w:rsidRDefault="00C479C6">
            <w:pPr>
              <w:spacing w:line="320" w:lineRule="exact"/>
              <w:jc w:val="center"/>
              <w:rPr>
                <w:snapToGrid w:val="0"/>
                <w:sz w:val="21"/>
                <w:szCs w:val="21"/>
              </w:rPr>
            </w:pPr>
            <w:r>
              <w:rPr>
                <w:snapToGrid w:val="0"/>
                <w:sz w:val="21"/>
                <w:szCs w:val="21"/>
              </w:rPr>
              <w:t>59</w:t>
            </w:r>
          </w:p>
        </w:tc>
        <w:tc>
          <w:tcPr>
            <w:tcW w:w="1240" w:type="dxa"/>
            <w:tcBorders>
              <w:right w:val="single" w:sz="8" w:space="0" w:color="auto"/>
            </w:tcBorders>
            <w:vAlign w:val="center"/>
          </w:tcPr>
          <w:p w:rsidR="00C479C6" w:rsidRPr="000B4405" w:rsidRDefault="00C479C6">
            <w:pPr>
              <w:spacing w:line="320" w:lineRule="exact"/>
              <w:jc w:val="center"/>
              <w:rPr>
                <w:b/>
                <w:i/>
                <w:sz w:val="21"/>
                <w:szCs w:val="21"/>
                <w:u w:val="single"/>
              </w:rPr>
            </w:pPr>
            <w:r w:rsidRPr="000B4405">
              <w:rPr>
                <w:rFonts w:hint="eastAsia"/>
                <w:b/>
                <w:i/>
                <w:sz w:val="21"/>
                <w:szCs w:val="21"/>
                <w:u w:val="single"/>
              </w:rPr>
              <w:t>利用现有</w:t>
            </w:r>
          </w:p>
        </w:tc>
      </w:tr>
      <w:tr w:rsidR="00C479C6" w:rsidTr="000B4405">
        <w:trPr>
          <w:trHeight w:val="391"/>
        </w:trPr>
        <w:tc>
          <w:tcPr>
            <w:tcW w:w="910" w:type="dxa"/>
            <w:vMerge/>
            <w:tcBorders>
              <w:left w:val="single" w:sz="8" w:space="0" w:color="auto"/>
            </w:tcBorders>
            <w:vAlign w:val="center"/>
          </w:tcPr>
          <w:p w:rsidR="00C479C6" w:rsidRDefault="00C479C6">
            <w:pPr>
              <w:spacing w:line="320" w:lineRule="exact"/>
              <w:jc w:val="center"/>
              <w:rPr>
                <w:sz w:val="21"/>
                <w:szCs w:val="21"/>
              </w:rPr>
            </w:pPr>
          </w:p>
        </w:tc>
        <w:tc>
          <w:tcPr>
            <w:tcW w:w="1667" w:type="dxa"/>
            <w:gridSpan w:val="2"/>
            <w:vAlign w:val="center"/>
          </w:tcPr>
          <w:p w:rsidR="00C479C6" w:rsidRPr="00C479C6" w:rsidRDefault="00C479C6" w:rsidP="00DA246A">
            <w:pPr>
              <w:jc w:val="center"/>
              <w:rPr>
                <w:sz w:val="21"/>
                <w:szCs w:val="21"/>
              </w:rPr>
            </w:pPr>
            <w:r w:rsidRPr="00C479C6">
              <w:rPr>
                <w:sz w:val="21"/>
                <w:szCs w:val="21"/>
              </w:rPr>
              <w:t>端头支架</w:t>
            </w:r>
          </w:p>
        </w:tc>
        <w:tc>
          <w:tcPr>
            <w:tcW w:w="3402" w:type="dxa"/>
            <w:vAlign w:val="center"/>
          </w:tcPr>
          <w:p w:rsidR="00C479C6" w:rsidRPr="000B4405" w:rsidRDefault="00C479C6">
            <w:pPr>
              <w:spacing w:line="320" w:lineRule="exact"/>
              <w:jc w:val="center"/>
              <w:rPr>
                <w:rFonts w:eastAsia="等线"/>
                <w:sz w:val="21"/>
                <w:szCs w:val="21"/>
              </w:rPr>
            </w:pPr>
            <w:r w:rsidRPr="000B4405">
              <w:rPr>
                <w:rFonts w:eastAsia="等线"/>
                <w:sz w:val="21"/>
                <w:szCs w:val="21"/>
              </w:rPr>
              <w:t>ZFG3600/18/28</w:t>
            </w:r>
            <w:r w:rsidRPr="000B4405">
              <w:rPr>
                <w:rFonts w:eastAsia="等线"/>
                <w:sz w:val="21"/>
                <w:szCs w:val="21"/>
              </w:rPr>
              <w:t>型过渡液压支架</w:t>
            </w:r>
          </w:p>
        </w:tc>
        <w:tc>
          <w:tcPr>
            <w:tcW w:w="708" w:type="dxa"/>
            <w:vAlign w:val="center"/>
          </w:tcPr>
          <w:p w:rsidR="00C479C6" w:rsidRDefault="00C479C6">
            <w:pPr>
              <w:spacing w:line="320" w:lineRule="exact"/>
              <w:jc w:val="center"/>
              <w:rPr>
                <w:snapToGrid w:val="0"/>
                <w:sz w:val="21"/>
                <w:szCs w:val="21"/>
              </w:rPr>
            </w:pPr>
            <w:r>
              <w:rPr>
                <w:snapToGrid w:val="0"/>
                <w:sz w:val="21"/>
                <w:szCs w:val="21"/>
              </w:rPr>
              <w:t>架</w:t>
            </w:r>
          </w:p>
        </w:tc>
        <w:tc>
          <w:tcPr>
            <w:tcW w:w="709" w:type="dxa"/>
            <w:vAlign w:val="center"/>
          </w:tcPr>
          <w:p w:rsidR="00C479C6" w:rsidRDefault="00C479C6">
            <w:pPr>
              <w:spacing w:line="320" w:lineRule="exact"/>
              <w:jc w:val="center"/>
              <w:rPr>
                <w:snapToGrid w:val="0"/>
                <w:sz w:val="21"/>
                <w:szCs w:val="21"/>
              </w:rPr>
            </w:pPr>
            <w:r>
              <w:rPr>
                <w:rFonts w:hint="eastAsia"/>
                <w:snapToGrid w:val="0"/>
                <w:sz w:val="21"/>
                <w:szCs w:val="21"/>
              </w:rPr>
              <w:t>7</w:t>
            </w:r>
          </w:p>
        </w:tc>
        <w:tc>
          <w:tcPr>
            <w:tcW w:w="1240" w:type="dxa"/>
            <w:tcBorders>
              <w:right w:val="single" w:sz="8" w:space="0" w:color="auto"/>
            </w:tcBorders>
            <w:vAlign w:val="center"/>
          </w:tcPr>
          <w:p w:rsidR="00C479C6" w:rsidRPr="000B4405" w:rsidRDefault="00C479C6">
            <w:pPr>
              <w:spacing w:line="320" w:lineRule="exact"/>
              <w:jc w:val="center"/>
              <w:rPr>
                <w:b/>
                <w:i/>
                <w:sz w:val="21"/>
                <w:szCs w:val="21"/>
                <w:u w:val="single"/>
              </w:rPr>
            </w:pPr>
            <w:r w:rsidRPr="000B4405">
              <w:rPr>
                <w:rFonts w:hint="eastAsia"/>
                <w:b/>
                <w:i/>
                <w:sz w:val="21"/>
                <w:szCs w:val="21"/>
                <w:u w:val="single"/>
              </w:rPr>
              <w:t>利用现有</w:t>
            </w:r>
          </w:p>
        </w:tc>
      </w:tr>
      <w:tr w:rsidR="00C479C6" w:rsidTr="000B4405">
        <w:trPr>
          <w:trHeight w:val="391"/>
        </w:trPr>
        <w:tc>
          <w:tcPr>
            <w:tcW w:w="910" w:type="dxa"/>
            <w:vMerge/>
            <w:tcBorders>
              <w:left w:val="single" w:sz="8" w:space="0" w:color="auto"/>
            </w:tcBorders>
            <w:vAlign w:val="center"/>
          </w:tcPr>
          <w:p w:rsidR="00C479C6" w:rsidRDefault="00C479C6">
            <w:pPr>
              <w:spacing w:line="320" w:lineRule="exact"/>
              <w:jc w:val="center"/>
              <w:rPr>
                <w:sz w:val="21"/>
                <w:szCs w:val="21"/>
              </w:rPr>
            </w:pPr>
          </w:p>
        </w:tc>
        <w:tc>
          <w:tcPr>
            <w:tcW w:w="1667" w:type="dxa"/>
            <w:gridSpan w:val="2"/>
            <w:vAlign w:val="center"/>
          </w:tcPr>
          <w:p w:rsidR="00C479C6" w:rsidRPr="000B4405" w:rsidRDefault="00C479C6" w:rsidP="00DA246A">
            <w:pPr>
              <w:spacing w:line="320" w:lineRule="exact"/>
              <w:jc w:val="center"/>
              <w:rPr>
                <w:b/>
                <w:i/>
                <w:snapToGrid w:val="0"/>
                <w:sz w:val="21"/>
                <w:szCs w:val="21"/>
                <w:u w:val="single"/>
              </w:rPr>
            </w:pPr>
            <w:r w:rsidRPr="000B4405">
              <w:rPr>
                <w:b/>
                <w:i/>
                <w:snapToGrid w:val="0"/>
                <w:sz w:val="21"/>
                <w:szCs w:val="21"/>
                <w:u w:val="single"/>
              </w:rPr>
              <w:t>单体支柱</w:t>
            </w:r>
          </w:p>
        </w:tc>
        <w:tc>
          <w:tcPr>
            <w:tcW w:w="3402" w:type="dxa"/>
            <w:vAlign w:val="center"/>
          </w:tcPr>
          <w:p w:rsidR="00C479C6" w:rsidRPr="000B4405" w:rsidRDefault="00C479C6" w:rsidP="000B4405">
            <w:pPr>
              <w:spacing w:line="320" w:lineRule="exact"/>
              <w:jc w:val="center"/>
              <w:rPr>
                <w:rFonts w:eastAsia="等线"/>
                <w:b/>
                <w:i/>
                <w:sz w:val="21"/>
                <w:szCs w:val="21"/>
                <w:u w:val="single"/>
              </w:rPr>
            </w:pPr>
            <w:r w:rsidRPr="000B4405">
              <w:rPr>
                <w:rFonts w:eastAsia="等线"/>
                <w:b/>
                <w:i/>
                <w:sz w:val="21"/>
                <w:szCs w:val="21"/>
                <w:u w:val="single"/>
              </w:rPr>
              <w:t>DZ22-30/100</w:t>
            </w:r>
            <w:r w:rsidRPr="000B4405">
              <w:rPr>
                <w:rFonts w:eastAsia="等线"/>
                <w:b/>
                <w:i/>
                <w:sz w:val="21"/>
                <w:szCs w:val="21"/>
                <w:u w:val="single"/>
              </w:rPr>
              <w:t>型单体支柱</w:t>
            </w:r>
          </w:p>
        </w:tc>
        <w:tc>
          <w:tcPr>
            <w:tcW w:w="708" w:type="dxa"/>
            <w:vAlign w:val="center"/>
          </w:tcPr>
          <w:p w:rsidR="00C479C6" w:rsidRDefault="00C479C6" w:rsidP="00DA246A">
            <w:pPr>
              <w:spacing w:line="320" w:lineRule="exact"/>
              <w:jc w:val="center"/>
              <w:rPr>
                <w:snapToGrid w:val="0"/>
                <w:sz w:val="21"/>
                <w:szCs w:val="21"/>
              </w:rPr>
            </w:pPr>
            <w:r>
              <w:rPr>
                <w:snapToGrid w:val="0"/>
                <w:sz w:val="21"/>
                <w:szCs w:val="21"/>
              </w:rPr>
              <w:t>根</w:t>
            </w:r>
          </w:p>
        </w:tc>
        <w:tc>
          <w:tcPr>
            <w:tcW w:w="709" w:type="dxa"/>
            <w:vAlign w:val="center"/>
          </w:tcPr>
          <w:p w:rsidR="00C479C6" w:rsidRDefault="00C479C6" w:rsidP="00DA246A">
            <w:pPr>
              <w:spacing w:line="320" w:lineRule="exact"/>
              <w:jc w:val="center"/>
              <w:rPr>
                <w:snapToGrid w:val="0"/>
                <w:sz w:val="21"/>
                <w:szCs w:val="21"/>
              </w:rPr>
            </w:pPr>
            <w:r>
              <w:rPr>
                <w:snapToGrid w:val="0"/>
                <w:sz w:val="21"/>
                <w:szCs w:val="21"/>
              </w:rPr>
              <w:t>100</w:t>
            </w:r>
          </w:p>
        </w:tc>
        <w:tc>
          <w:tcPr>
            <w:tcW w:w="1240" w:type="dxa"/>
            <w:tcBorders>
              <w:right w:val="single" w:sz="8" w:space="0" w:color="auto"/>
            </w:tcBorders>
            <w:vAlign w:val="center"/>
          </w:tcPr>
          <w:p w:rsidR="00C479C6" w:rsidRPr="000B4405" w:rsidRDefault="00C479C6">
            <w:pPr>
              <w:spacing w:line="320" w:lineRule="exact"/>
              <w:jc w:val="center"/>
              <w:rPr>
                <w:b/>
                <w:i/>
                <w:sz w:val="21"/>
                <w:szCs w:val="21"/>
                <w:u w:val="single"/>
              </w:rPr>
            </w:pPr>
            <w:r>
              <w:rPr>
                <w:rFonts w:hint="eastAsia"/>
                <w:b/>
                <w:i/>
                <w:sz w:val="21"/>
                <w:szCs w:val="21"/>
                <w:u w:val="single"/>
              </w:rPr>
              <w:t>新增</w:t>
            </w:r>
          </w:p>
        </w:tc>
      </w:tr>
      <w:tr w:rsidR="00C479C6" w:rsidTr="000B4405">
        <w:trPr>
          <w:trHeight w:val="391"/>
        </w:trPr>
        <w:tc>
          <w:tcPr>
            <w:tcW w:w="910" w:type="dxa"/>
            <w:vMerge/>
            <w:tcBorders>
              <w:left w:val="single" w:sz="8" w:space="0" w:color="auto"/>
            </w:tcBorders>
            <w:vAlign w:val="center"/>
          </w:tcPr>
          <w:p w:rsidR="00C479C6" w:rsidRDefault="00C479C6">
            <w:pPr>
              <w:spacing w:line="320" w:lineRule="exact"/>
              <w:jc w:val="center"/>
              <w:rPr>
                <w:sz w:val="21"/>
                <w:szCs w:val="21"/>
              </w:rPr>
            </w:pPr>
          </w:p>
        </w:tc>
        <w:tc>
          <w:tcPr>
            <w:tcW w:w="1667" w:type="dxa"/>
            <w:gridSpan w:val="2"/>
            <w:vAlign w:val="center"/>
          </w:tcPr>
          <w:p w:rsidR="00C479C6" w:rsidRPr="000B4405" w:rsidRDefault="00C479C6" w:rsidP="00DA246A">
            <w:pPr>
              <w:spacing w:line="320" w:lineRule="exact"/>
              <w:jc w:val="center"/>
              <w:rPr>
                <w:b/>
                <w:i/>
                <w:snapToGrid w:val="0"/>
                <w:sz w:val="21"/>
                <w:szCs w:val="21"/>
                <w:u w:val="single"/>
              </w:rPr>
            </w:pPr>
            <w:r w:rsidRPr="000B4405">
              <w:rPr>
                <w:b/>
                <w:i/>
                <w:snapToGrid w:val="0"/>
                <w:sz w:val="21"/>
                <w:szCs w:val="21"/>
                <w:u w:val="single"/>
              </w:rPr>
              <w:t>金属铰接顶梁</w:t>
            </w:r>
          </w:p>
        </w:tc>
        <w:tc>
          <w:tcPr>
            <w:tcW w:w="3402" w:type="dxa"/>
            <w:vAlign w:val="center"/>
          </w:tcPr>
          <w:p w:rsidR="00C479C6" w:rsidRPr="000B4405" w:rsidRDefault="00C479C6" w:rsidP="000B4405">
            <w:pPr>
              <w:spacing w:line="320" w:lineRule="exact"/>
              <w:jc w:val="center"/>
              <w:rPr>
                <w:rFonts w:eastAsia="等线"/>
                <w:b/>
                <w:i/>
                <w:sz w:val="21"/>
                <w:szCs w:val="21"/>
                <w:u w:val="single"/>
              </w:rPr>
            </w:pPr>
            <w:r w:rsidRPr="000B4405">
              <w:rPr>
                <w:rFonts w:eastAsia="等线"/>
                <w:b/>
                <w:i/>
                <w:sz w:val="21"/>
                <w:szCs w:val="21"/>
                <w:u w:val="single"/>
              </w:rPr>
              <w:t>HDC-3000</w:t>
            </w:r>
            <w:r w:rsidRPr="000B4405">
              <w:rPr>
                <w:rFonts w:eastAsia="等线"/>
                <w:b/>
                <w:i/>
                <w:sz w:val="21"/>
                <w:szCs w:val="21"/>
                <w:u w:val="single"/>
              </w:rPr>
              <w:t>型金属铰接顶梁</w:t>
            </w:r>
          </w:p>
        </w:tc>
        <w:tc>
          <w:tcPr>
            <w:tcW w:w="708" w:type="dxa"/>
            <w:vAlign w:val="center"/>
          </w:tcPr>
          <w:p w:rsidR="00C479C6" w:rsidRDefault="00C479C6" w:rsidP="00DA246A">
            <w:pPr>
              <w:spacing w:line="320" w:lineRule="exact"/>
              <w:jc w:val="center"/>
              <w:rPr>
                <w:snapToGrid w:val="0"/>
                <w:sz w:val="21"/>
                <w:szCs w:val="21"/>
              </w:rPr>
            </w:pPr>
            <w:r>
              <w:rPr>
                <w:snapToGrid w:val="0"/>
                <w:sz w:val="21"/>
                <w:szCs w:val="21"/>
              </w:rPr>
              <w:t>根</w:t>
            </w:r>
          </w:p>
        </w:tc>
        <w:tc>
          <w:tcPr>
            <w:tcW w:w="709" w:type="dxa"/>
            <w:vAlign w:val="center"/>
          </w:tcPr>
          <w:p w:rsidR="00C479C6" w:rsidRDefault="00C479C6" w:rsidP="00DA246A">
            <w:pPr>
              <w:spacing w:line="320" w:lineRule="exact"/>
              <w:jc w:val="center"/>
              <w:rPr>
                <w:snapToGrid w:val="0"/>
                <w:sz w:val="21"/>
                <w:szCs w:val="21"/>
              </w:rPr>
            </w:pPr>
            <w:r>
              <w:rPr>
                <w:snapToGrid w:val="0"/>
                <w:sz w:val="21"/>
                <w:szCs w:val="21"/>
              </w:rPr>
              <w:t>50</w:t>
            </w:r>
          </w:p>
        </w:tc>
        <w:tc>
          <w:tcPr>
            <w:tcW w:w="1240" w:type="dxa"/>
            <w:tcBorders>
              <w:right w:val="single" w:sz="8" w:space="0" w:color="auto"/>
            </w:tcBorders>
            <w:vAlign w:val="center"/>
          </w:tcPr>
          <w:p w:rsidR="00C479C6" w:rsidRPr="000B4405" w:rsidRDefault="00C479C6">
            <w:pPr>
              <w:spacing w:line="320" w:lineRule="exact"/>
              <w:jc w:val="center"/>
              <w:rPr>
                <w:b/>
                <w:i/>
                <w:sz w:val="21"/>
                <w:szCs w:val="21"/>
                <w:u w:val="single"/>
              </w:rPr>
            </w:pPr>
            <w:r>
              <w:rPr>
                <w:rFonts w:hint="eastAsia"/>
                <w:b/>
                <w:i/>
                <w:sz w:val="21"/>
                <w:szCs w:val="21"/>
                <w:u w:val="single"/>
              </w:rPr>
              <w:t>新增</w:t>
            </w:r>
          </w:p>
        </w:tc>
      </w:tr>
      <w:tr w:rsidR="00C479C6" w:rsidTr="000B4405">
        <w:trPr>
          <w:trHeight w:val="391"/>
        </w:trPr>
        <w:tc>
          <w:tcPr>
            <w:tcW w:w="910" w:type="dxa"/>
            <w:vMerge/>
            <w:tcBorders>
              <w:left w:val="single" w:sz="8" w:space="0" w:color="auto"/>
            </w:tcBorders>
            <w:vAlign w:val="center"/>
          </w:tcPr>
          <w:p w:rsidR="00C479C6" w:rsidRDefault="00C479C6">
            <w:pPr>
              <w:spacing w:line="320" w:lineRule="exact"/>
              <w:jc w:val="center"/>
              <w:rPr>
                <w:sz w:val="21"/>
                <w:szCs w:val="21"/>
              </w:rPr>
            </w:pPr>
          </w:p>
        </w:tc>
        <w:tc>
          <w:tcPr>
            <w:tcW w:w="1667" w:type="dxa"/>
            <w:gridSpan w:val="2"/>
            <w:vAlign w:val="center"/>
          </w:tcPr>
          <w:p w:rsidR="00C479C6" w:rsidRDefault="00C479C6">
            <w:pPr>
              <w:spacing w:line="320" w:lineRule="exact"/>
              <w:jc w:val="center"/>
              <w:rPr>
                <w:snapToGrid w:val="0"/>
                <w:sz w:val="21"/>
                <w:szCs w:val="21"/>
              </w:rPr>
            </w:pPr>
            <w:r>
              <w:rPr>
                <w:snapToGrid w:val="0"/>
                <w:sz w:val="21"/>
                <w:szCs w:val="21"/>
              </w:rPr>
              <w:t>前部刮板输送机</w:t>
            </w:r>
          </w:p>
        </w:tc>
        <w:tc>
          <w:tcPr>
            <w:tcW w:w="3402" w:type="dxa"/>
            <w:vAlign w:val="center"/>
          </w:tcPr>
          <w:p w:rsidR="00C479C6" w:rsidRDefault="00C479C6">
            <w:pPr>
              <w:spacing w:line="320" w:lineRule="exact"/>
              <w:jc w:val="center"/>
              <w:rPr>
                <w:snapToGrid w:val="0"/>
                <w:sz w:val="21"/>
                <w:szCs w:val="21"/>
              </w:rPr>
            </w:pPr>
            <w:r>
              <w:rPr>
                <w:snapToGrid w:val="0"/>
                <w:sz w:val="21"/>
                <w:szCs w:val="21"/>
              </w:rPr>
              <w:t>SGZ630/264</w:t>
            </w:r>
          </w:p>
        </w:tc>
        <w:tc>
          <w:tcPr>
            <w:tcW w:w="708" w:type="dxa"/>
            <w:vAlign w:val="center"/>
          </w:tcPr>
          <w:p w:rsidR="00C479C6" w:rsidRDefault="00C479C6">
            <w:pPr>
              <w:spacing w:line="320" w:lineRule="exact"/>
              <w:jc w:val="center"/>
              <w:rPr>
                <w:snapToGrid w:val="0"/>
                <w:sz w:val="21"/>
                <w:szCs w:val="21"/>
              </w:rPr>
            </w:pPr>
            <w:r>
              <w:rPr>
                <w:snapToGrid w:val="0"/>
                <w:sz w:val="21"/>
                <w:szCs w:val="21"/>
              </w:rPr>
              <w:t>部</w:t>
            </w:r>
          </w:p>
        </w:tc>
        <w:tc>
          <w:tcPr>
            <w:tcW w:w="709" w:type="dxa"/>
            <w:vAlign w:val="center"/>
          </w:tcPr>
          <w:p w:rsidR="00C479C6" w:rsidRDefault="00C479C6" w:rsidP="00C479C6">
            <w:pPr>
              <w:spacing w:line="320" w:lineRule="exact"/>
              <w:jc w:val="center"/>
              <w:rPr>
                <w:snapToGrid w:val="0"/>
                <w:sz w:val="21"/>
                <w:szCs w:val="21"/>
              </w:rPr>
            </w:pPr>
            <w:r>
              <w:rPr>
                <w:snapToGrid w:val="0"/>
                <w:sz w:val="21"/>
                <w:szCs w:val="21"/>
              </w:rPr>
              <w:t>1</w:t>
            </w:r>
          </w:p>
        </w:tc>
        <w:tc>
          <w:tcPr>
            <w:tcW w:w="1240" w:type="dxa"/>
            <w:tcBorders>
              <w:right w:val="single" w:sz="8" w:space="0" w:color="auto"/>
            </w:tcBorders>
            <w:vAlign w:val="center"/>
          </w:tcPr>
          <w:p w:rsidR="00C479C6" w:rsidRPr="000B4405" w:rsidRDefault="00C479C6">
            <w:pPr>
              <w:spacing w:line="320" w:lineRule="exact"/>
              <w:jc w:val="center"/>
              <w:rPr>
                <w:b/>
                <w:i/>
                <w:sz w:val="21"/>
                <w:szCs w:val="21"/>
                <w:u w:val="single"/>
              </w:rPr>
            </w:pPr>
            <w:r w:rsidRPr="000B4405">
              <w:rPr>
                <w:rFonts w:hint="eastAsia"/>
                <w:b/>
                <w:i/>
                <w:sz w:val="21"/>
                <w:szCs w:val="21"/>
                <w:u w:val="single"/>
              </w:rPr>
              <w:t>利用现有</w:t>
            </w:r>
          </w:p>
        </w:tc>
      </w:tr>
      <w:tr w:rsidR="00C479C6" w:rsidTr="000B4405">
        <w:trPr>
          <w:trHeight w:val="391"/>
        </w:trPr>
        <w:tc>
          <w:tcPr>
            <w:tcW w:w="910" w:type="dxa"/>
            <w:vMerge/>
            <w:tcBorders>
              <w:left w:val="single" w:sz="8" w:space="0" w:color="auto"/>
            </w:tcBorders>
            <w:vAlign w:val="center"/>
          </w:tcPr>
          <w:p w:rsidR="00C479C6" w:rsidRDefault="00C479C6">
            <w:pPr>
              <w:spacing w:line="320" w:lineRule="exact"/>
              <w:jc w:val="center"/>
              <w:rPr>
                <w:sz w:val="21"/>
                <w:szCs w:val="21"/>
              </w:rPr>
            </w:pPr>
          </w:p>
        </w:tc>
        <w:tc>
          <w:tcPr>
            <w:tcW w:w="1667" w:type="dxa"/>
            <w:gridSpan w:val="2"/>
            <w:vAlign w:val="center"/>
          </w:tcPr>
          <w:p w:rsidR="00C479C6" w:rsidRDefault="00C479C6">
            <w:pPr>
              <w:spacing w:line="320" w:lineRule="exact"/>
              <w:jc w:val="center"/>
              <w:rPr>
                <w:snapToGrid w:val="0"/>
                <w:sz w:val="21"/>
                <w:szCs w:val="21"/>
              </w:rPr>
            </w:pPr>
            <w:r>
              <w:rPr>
                <w:snapToGrid w:val="0"/>
                <w:sz w:val="21"/>
                <w:szCs w:val="21"/>
              </w:rPr>
              <w:t>后部刮板输送机</w:t>
            </w:r>
          </w:p>
        </w:tc>
        <w:tc>
          <w:tcPr>
            <w:tcW w:w="3402" w:type="dxa"/>
            <w:vAlign w:val="center"/>
          </w:tcPr>
          <w:p w:rsidR="00C479C6" w:rsidRDefault="00C479C6">
            <w:pPr>
              <w:spacing w:line="320" w:lineRule="exact"/>
              <w:jc w:val="center"/>
              <w:rPr>
                <w:snapToGrid w:val="0"/>
                <w:sz w:val="21"/>
                <w:szCs w:val="21"/>
              </w:rPr>
            </w:pPr>
            <w:r>
              <w:rPr>
                <w:snapToGrid w:val="0"/>
                <w:sz w:val="21"/>
                <w:szCs w:val="21"/>
              </w:rPr>
              <w:t>SGZ630/264</w:t>
            </w:r>
          </w:p>
        </w:tc>
        <w:tc>
          <w:tcPr>
            <w:tcW w:w="708" w:type="dxa"/>
            <w:vAlign w:val="center"/>
          </w:tcPr>
          <w:p w:rsidR="00C479C6" w:rsidRDefault="00C479C6">
            <w:pPr>
              <w:spacing w:line="320" w:lineRule="exact"/>
              <w:jc w:val="center"/>
              <w:rPr>
                <w:snapToGrid w:val="0"/>
                <w:sz w:val="21"/>
                <w:szCs w:val="21"/>
              </w:rPr>
            </w:pPr>
            <w:r>
              <w:rPr>
                <w:snapToGrid w:val="0"/>
                <w:sz w:val="21"/>
                <w:szCs w:val="21"/>
              </w:rPr>
              <w:t>部</w:t>
            </w:r>
          </w:p>
        </w:tc>
        <w:tc>
          <w:tcPr>
            <w:tcW w:w="709" w:type="dxa"/>
            <w:vAlign w:val="center"/>
          </w:tcPr>
          <w:p w:rsidR="00C479C6" w:rsidRDefault="00C479C6" w:rsidP="00C479C6">
            <w:pPr>
              <w:spacing w:line="320" w:lineRule="exact"/>
              <w:jc w:val="center"/>
              <w:rPr>
                <w:snapToGrid w:val="0"/>
                <w:sz w:val="21"/>
                <w:szCs w:val="21"/>
              </w:rPr>
            </w:pPr>
            <w:r>
              <w:rPr>
                <w:snapToGrid w:val="0"/>
                <w:sz w:val="21"/>
                <w:szCs w:val="21"/>
              </w:rPr>
              <w:t>1</w:t>
            </w:r>
          </w:p>
        </w:tc>
        <w:tc>
          <w:tcPr>
            <w:tcW w:w="1240" w:type="dxa"/>
            <w:tcBorders>
              <w:right w:val="single" w:sz="8" w:space="0" w:color="auto"/>
            </w:tcBorders>
            <w:vAlign w:val="center"/>
          </w:tcPr>
          <w:p w:rsidR="00C479C6" w:rsidRPr="000B4405" w:rsidRDefault="00C479C6">
            <w:pPr>
              <w:spacing w:line="320" w:lineRule="exact"/>
              <w:jc w:val="center"/>
              <w:rPr>
                <w:b/>
                <w:i/>
                <w:sz w:val="21"/>
                <w:szCs w:val="21"/>
                <w:u w:val="single"/>
              </w:rPr>
            </w:pPr>
            <w:r w:rsidRPr="000B4405">
              <w:rPr>
                <w:rFonts w:hint="eastAsia"/>
                <w:b/>
                <w:i/>
                <w:sz w:val="21"/>
                <w:szCs w:val="21"/>
                <w:u w:val="single"/>
              </w:rPr>
              <w:t>利用现有</w:t>
            </w:r>
          </w:p>
        </w:tc>
      </w:tr>
      <w:tr w:rsidR="00C479C6" w:rsidTr="000B4405">
        <w:trPr>
          <w:trHeight w:val="391"/>
        </w:trPr>
        <w:tc>
          <w:tcPr>
            <w:tcW w:w="910" w:type="dxa"/>
            <w:vMerge/>
            <w:tcBorders>
              <w:left w:val="single" w:sz="8" w:space="0" w:color="auto"/>
            </w:tcBorders>
            <w:vAlign w:val="center"/>
          </w:tcPr>
          <w:p w:rsidR="00C479C6" w:rsidRDefault="00C479C6">
            <w:pPr>
              <w:spacing w:line="320" w:lineRule="exact"/>
              <w:jc w:val="center"/>
              <w:rPr>
                <w:sz w:val="21"/>
                <w:szCs w:val="21"/>
              </w:rPr>
            </w:pPr>
          </w:p>
        </w:tc>
        <w:tc>
          <w:tcPr>
            <w:tcW w:w="1667" w:type="dxa"/>
            <w:gridSpan w:val="2"/>
            <w:vAlign w:val="center"/>
          </w:tcPr>
          <w:p w:rsidR="00C479C6" w:rsidRDefault="00C479C6">
            <w:pPr>
              <w:spacing w:line="320" w:lineRule="exact"/>
              <w:jc w:val="center"/>
              <w:rPr>
                <w:snapToGrid w:val="0"/>
                <w:sz w:val="21"/>
                <w:szCs w:val="21"/>
              </w:rPr>
            </w:pPr>
            <w:r>
              <w:rPr>
                <w:snapToGrid w:val="0"/>
                <w:sz w:val="21"/>
                <w:szCs w:val="21"/>
              </w:rPr>
              <w:t>转载机</w:t>
            </w:r>
          </w:p>
        </w:tc>
        <w:tc>
          <w:tcPr>
            <w:tcW w:w="3402" w:type="dxa"/>
            <w:vAlign w:val="center"/>
          </w:tcPr>
          <w:p w:rsidR="00C479C6" w:rsidRDefault="00C479C6">
            <w:pPr>
              <w:spacing w:line="320" w:lineRule="exact"/>
              <w:jc w:val="center"/>
              <w:rPr>
                <w:snapToGrid w:val="0"/>
                <w:sz w:val="21"/>
                <w:szCs w:val="21"/>
              </w:rPr>
            </w:pPr>
            <w:r>
              <w:rPr>
                <w:snapToGrid w:val="0"/>
                <w:sz w:val="21"/>
                <w:szCs w:val="21"/>
              </w:rPr>
              <w:t>SZZ630/132</w:t>
            </w:r>
          </w:p>
        </w:tc>
        <w:tc>
          <w:tcPr>
            <w:tcW w:w="708" w:type="dxa"/>
            <w:vAlign w:val="center"/>
          </w:tcPr>
          <w:p w:rsidR="00C479C6" w:rsidRDefault="00C479C6">
            <w:pPr>
              <w:spacing w:line="320" w:lineRule="exact"/>
              <w:jc w:val="center"/>
              <w:rPr>
                <w:snapToGrid w:val="0"/>
                <w:sz w:val="21"/>
                <w:szCs w:val="21"/>
              </w:rPr>
            </w:pPr>
            <w:r>
              <w:rPr>
                <w:snapToGrid w:val="0"/>
                <w:sz w:val="21"/>
                <w:szCs w:val="21"/>
              </w:rPr>
              <w:t>部</w:t>
            </w:r>
          </w:p>
        </w:tc>
        <w:tc>
          <w:tcPr>
            <w:tcW w:w="709" w:type="dxa"/>
            <w:vAlign w:val="center"/>
          </w:tcPr>
          <w:p w:rsidR="00C479C6" w:rsidRDefault="00C479C6" w:rsidP="00C479C6">
            <w:pPr>
              <w:spacing w:line="320" w:lineRule="exact"/>
              <w:jc w:val="center"/>
              <w:rPr>
                <w:snapToGrid w:val="0"/>
                <w:sz w:val="21"/>
                <w:szCs w:val="21"/>
              </w:rPr>
            </w:pPr>
            <w:r>
              <w:rPr>
                <w:snapToGrid w:val="0"/>
                <w:sz w:val="21"/>
                <w:szCs w:val="21"/>
              </w:rPr>
              <w:t>1</w:t>
            </w:r>
          </w:p>
        </w:tc>
        <w:tc>
          <w:tcPr>
            <w:tcW w:w="1240" w:type="dxa"/>
            <w:tcBorders>
              <w:right w:val="single" w:sz="8" w:space="0" w:color="auto"/>
            </w:tcBorders>
            <w:vAlign w:val="center"/>
          </w:tcPr>
          <w:p w:rsidR="00C479C6" w:rsidRPr="000B4405" w:rsidRDefault="00C479C6">
            <w:pPr>
              <w:spacing w:line="320" w:lineRule="exact"/>
              <w:jc w:val="center"/>
              <w:rPr>
                <w:b/>
                <w:i/>
                <w:sz w:val="21"/>
                <w:szCs w:val="21"/>
                <w:u w:val="single"/>
              </w:rPr>
            </w:pPr>
            <w:r w:rsidRPr="000B4405">
              <w:rPr>
                <w:rFonts w:hint="eastAsia"/>
                <w:b/>
                <w:i/>
                <w:sz w:val="21"/>
                <w:szCs w:val="21"/>
                <w:u w:val="single"/>
              </w:rPr>
              <w:t>利用现有</w:t>
            </w:r>
          </w:p>
        </w:tc>
      </w:tr>
      <w:tr w:rsidR="00DA246A" w:rsidTr="000B4405">
        <w:trPr>
          <w:trHeight w:val="391"/>
        </w:trPr>
        <w:tc>
          <w:tcPr>
            <w:tcW w:w="910" w:type="dxa"/>
            <w:vMerge/>
            <w:tcBorders>
              <w:left w:val="single" w:sz="8" w:space="0" w:color="auto"/>
            </w:tcBorders>
            <w:vAlign w:val="center"/>
          </w:tcPr>
          <w:p w:rsidR="00DA246A" w:rsidRDefault="00DA246A">
            <w:pPr>
              <w:spacing w:line="320" w:lineRule="exact"/>
              <w:jc w:val="center"/>
              <w:rPr>
                <w:sz w:val="21"/>
                <w:szCs w:val="21"/>
              </w:rPr>
            </w:pPr>
          </w:p>
        </w:tc>
        <w:tc>
          <w:tcPr>
            <w:tcW w:w="1667" w:type="dxa"/>
            <w:gridSpan w:val="2"/>
            <w:vAlign w:val="center"/>
          </w:tcPr>
          <w:p w:rsidR="00DA246A" w:rsidRPr="00DA246A" w:rsidRDefault="00DA246A">
            <w:pPr>
              <w:spacing w:line="320" w:lineRule="exact"/>
              <w:jc w:val="center"/>
              <w:rPr>
                <w:snapToGrid w:val="0"/>
                <w:sz w:val="21"/>
                <w:szCs w:val="21"/>
              </w:rPr>
            </w:pPr>
            <w:r w:rsidRPr="00DA246A">
              <w:rPr>
                <w:snapToGrid w:val="0"/>
                <w:sz w:val="21"/>
                <w:szCs w:val="21"/>
              </w:rPr>
              <w:t>喷雾泵站</w:t>
            </w:r>
          </w:p>
        </w:tc>
        <w:tc>
          <w:tcPr>
            <w:tcW w:w="3402" w:type="dxa"/>
            <w:vAlign w:val="center"/>
          </w:tcPr>
          <w:p w:rsidR="00DA246A" w:rsidRDefault="00DA246A">
            <w:pPr>
              <w:spacing w:line="320" w:lineRule="exact"/>
              <w:jc w:val="center"/>
              <w:rPr>
                <w:snapToGrid w:val="0"/>
                <w:sz w:val="21"/>
                <w:szCs w:val="21"/>
              </w:rPr>
            </w:pPr>
            <w:r w:rsidRPr="00DA246A">
              <w:rPr>
                <w:snapToGrid w:val="0"/>
                <w:sz w:val="21"/>
                <w:szCs w:val="21"/>
              </w:rPr>
              <w:t>BPW-80/200</w:t>
            </w:r>
          </w:p>
        </w:tc>
        <w:tc>
          <w:tcPr>
            <w:tcW w:w="708" w:type="dxa"/>
            <w:vAlign w:val="center"/>
          </w:tcPr>
          <w:p w:rsidR="00DA246A" w:rsidRPr="000B4405" w:rsidRDefault="00DA246A" w:rsidP="00DA246A">
            <w:pPr>
              <w:spacing w:line="320" w:lineRule="exact"/>
              <w:jc w:val="center"/>
              <w:rPr>
                <w:b/>
                <w:i/>
                <w:snapToGrid w:val="0"/>
                <w:sz w:val="21"/>
                <w:szCs w:val="21"/>
                <w:u w:val="single"/>
              </w:rPr>
            </w:pPr>
            <w:r w:rsidRPr="000B4405">
              <w:rPr>
                <w:b/>
                <w:i/>
                <w:snapToGrid w:val="0"/>
                <w:sz w:val="21"/>
                <w:szCs w:val="21"/>
                <w:u w:val="single"/>
              </w:rPr>
              <w:t>台</w:t>
            </w:r>
          </w:p>
        </w:tc>
        <w:tc>
          <w:tcPr>
            <w:tcW w:w="709" w:type="dxa"/>
            <w:vAlign w:val="center"/>
          </w:tcPr>
          <w:p w:rsidR="00DA246A" w:rsidRPr="000B4405" w:rsidRDefault="00DA246A" w:rsidP="00DA246A">
            <w:pPr>
              <w:spacing w:line="320" w:lineRule="exact"/>
              <w:jc w:val="center"/>
              <w:rPr>
                <w:b/>
                <w:i/>
                <w:snapToGrid w:val="0"/>
                <w:sz w:val="21"/>
                <w:szCs w:val="21"/>
                <w:u w:val="single"/>
              </w:rPr>
            </w:pPr>
            <w:r w:rsidRPr="000B4405">
              <w:rPr>
                <w:b/>
                <w:i/>
                <w:snapToGrid w:val="0"/>
                <w:sz w:val="21"/>
                <w:szCs w:val="21"/>
                <w:u w:val="single"/>
              </w:rPr>
              <w:t>1</w:t>
            </w:r>
          </w:p>
        </w:tc>
        <w:tc>
          <w:tcPr>
            <w:tcW w:w="1240" w:type="dxa"/>
            <w:tcBorders>
              <w:right w:val="single" w:sz="8" w:space="0" w:color="auto"/>
            </w:tcBorders>
            <w:vAlign w:val="center"/>
          </w:tcPr>
          <w:p w:rsidR="00DA246A" w:rsidRPr="000B4405" w:rsidRDefault="00DA246A">
            <w:pPr>
              <w:spacing w:line="320" w:lineRule="exact"/>
              <w:jc w:val="center"/>
              <w:rPr>
                <w:b/>
                <w:i/>
                <w:sz w:val="21"/>
                <w:szCs w:val="21"/>
                <w:u w:val="single"/>
              </w:rPr>
            </w:pPr>
            <w:r>
              <w:rPr>
                <w:rFonts w:hint="eastAsia"/>
                <w:b/>
                <w:i/>
                <w:sz w:val="21"/>
                <w:szCs w:val="21"/>
                <w:u w:val="single"/>
              </w:rPr>
              <w:t>新增</w:t>
            </w:r>
          </w:p>
        </w:tc>
      </w:tr>
      <w:tr w:rsidR="00DA246A" w:rsidTr="000B4405">
        <w:trPr>
          <w:trHeight w:val="771"/>
        </w:trPr>
        <w:tc>
          <w:tcPr>
            <w:tcW w:w="910" w:type="dxa"/>
            <w:tcBorders>
              <w:left w:val="single" w:sz="8" w:space="0" w:color="auto"/>
            </w:tcBorders>
            <w:vAlign w:val="center"/>
          </w:tcPr>
          <w:p w:rsidR="00DA246A" w:rsidRDefault="00DA246A">
            <w:pPr>
              <w:spacing w:line="320" w:lineRule="exact"/>
              <w:jc w:val="center"/>
              <w:rPr>
                <w:sz w:val="21"/>
                <w:szCs w:val="21"/>
              </w:rPr>
            </w:pPr>
            <w:r>
              <w:rPr>
                <w:sz w:val="21"/>
                <w:szCs w:val="21"/>
              </w:rPr>
              <w:t>主要运输</w:t>
            </w:r>
          </w:p>
          <w:p w:rsidR="00DA246A" w:rsidRDefault="00DA246A">
            <w:pPr>
              <w:spacing w:line="320" w:lineRule="exact"/>
              <w:jc w:val="center"/>
              <w:rPr>
                <w:sz w:val="21"/>
                <w:szCs w:val="21"/>
              </w:rPr>
            </w:pPr>
            <w:r>
              <w:rPr>
                <w:sz w:val="21"/>
                <w:szCs w:val="21"/>
              </w:rPr>
              <w:t>设备</w:t>
            </w:r>
          </w:p>
        </w:tc>
        <w:tc>
          <w:tcPr>
            <w:tcW w:w="1667" w:type="dxa"/>
            <w:gridSpan w:val="2"/>
            <w:vAlign w:val="center"/>
          </w:tcPr>
          <w:p w:rsidR="00DA246A" w:rsidRDefault="00DA246A">
            <w:pPr>
              <w:spacing w:line="320" w:lineRule="exact"/>
              <w:jc w:val="center"/>
              <w:rPr>
                <w:sz w:val="21"/>
                <w:szCs w:val="21"/>
              </w:rPr>
            </w:pPr>
            <w:r>
              <w:rPr>
                <w:sz w:val="21"/>
                <w:szCs w:val="21"/>
              </w:rPr>
              <w:t>采区工作面顺槽胶带带式输送机</w:t>
            </w:r>
          </w:p>
        </w:tc>
        <w:tc>
          <w:tcPr>
            <w:tcW w:w="3402" w:type="dxa"/>
            <w:vAlign w:val="center"/>
          </w:tcPr>
          <w:p w:rsidR="00DA246A" w:rsidRDefault="00DA246A">
            <w:pPr>
              <w:spacing w:line="320" w:lineRule="exact"/>
              <w:jc w:val="center"/>
              <w:rPr>
                <w:sz w:val="21"/>
                <w:szCs w:val="21"/>
              </w:rPr>
            </w:pPr>
            <w:r>
              <w:rPr>
                <w:sz w:val="21"/>
                <w:szCs w:val="21"/>
              </w:rPr>
              <w:t>B=800mm</w:t>
            </w:r>
            <w:r>
              <w:rPr>
                <w:rFonts w:hint="eastAsia"/>
                <w:sz w:val="21"/>
                <w:szCs w:val="21"/>
              </w:rPr>
              <w:t>，</w:t>
            </w:r>
            <w:r>
              <w:rPr>
                <w:sz w:val="21"/>
                <w:szCs w:val="21"/>
              </w:rPr>
              <w:t>Q=1000t/h</w:t>
            </w:r>
            <w:r>
              <w:rPr>
                <w:rFonts w:hint="eastAsia"/>
                <w:sz w:val="21"/>
                <w:szCs w:val="21"/>
              </w:rPr>
              <w:t>，</w:t>
            </w:r>
            <w:r>
              <w:rPr>
                <w:sz w:val="21"/>
                <w:szCs w:val="21"/>
              </w:rPr>
              <w:t>N=55kW</w:t>
            </w:r>
            <w:r>
              <w:rPr>
                <w:rFonts w:hint="eastAsia"/>
                <w:sz w:val="21"/>
                <w:szCs w:val="21"/>
              </w:rPr>
              <w:t>，</w:t>
            </w:r>
            <w:r>
              <w:rPr>
                <w:b/>
                <w:bCs/>
                <w:color w:val="000000"/>
                <w:sz w:val="21"/>
                <w:szCs w:val="21"/>
              </w:rPr>
              <w:t xml:space="preserve"> </w:t>
            </w:r>
            <w:r>
              <w:rPr>
                <w:bCs/>
                <w:color w:val="000000"/>
                <w:sz w:val="21"/>
                <w:szCs w:val="21"/>
              </w:rPr>
              <w:t>PVG680S</w:t>
            </w:r>
            <w:r>
              <w:rPr>
                <w:bCs/>
                <w:color w:val="000000"/>
                <w:sz w:val="21"/>
                <w:szCs w:val="21"/>
              </w:rPr>
              <w:t>整芯阻燃胶带</w:t>
            </w:r>
          </w:p>
        </w:tc>
        <w:tc>
          <w:tcPr>
            <w:tcW w:w="708" w:type="dxa"/>
            <w:vAlign w:val="center"/>
          </w:tcPr>
          <w:p w:rsidR="00DA246A" w:rsidRDefault="00DA246A">
            <w:pPr>
              <w:spacing w:line="320" w:lineRule="exact"/>
              <w:jc w:val="center"/>
              <w:rPr>
                <w:sz w:val="21"/>
                <w:szCs w:val="21"/>
              </w:rPr>
            </w:pPr>
            <w:r>
              <w:rPr>
                <w:sz w:val="21"/>
                <w:szCs w:val="21"/>
              </w:rPr>
              <w:t>套</w:t>
            </w:r>
          </w:p>
        </w:tc>
        <w:tc>
          <w:tcPr>
            <w:tcW w:w="709" w:type="dxa"/>
            <w:vAlign w:val="center"/>
          </w:tcPr>
          <w:p w:rsidR="00DA246A" w:rsidRDefault="00DA246A">
            <w:pPr>
              <w:spacing w:line="320" w:lineRule="exact"/>
              <w:jc w:val="center"/>
              <w:rPr>
                <w:sz w:val="21"/>
                <w:szCs w:val="21"/>
              </w:rPr>
            </w:pPr>
            <w:r>
              <w:rPr>
                <w:sz w:val="21"/>
                <w:szCs w:val="21"/>
              </w:rPr>
              <w:t>4</w:t>
            </w:r>
          </w:p>
        </w:tc>
        <w:tc>
          <w:tcPr>
            <w:tcW w:w="1240" w:type="dxa"/>
            <w:tcBorders>
              <w:right w:val="single" w:sz="8" w:space="0" w:color="auto"/>
            </w:tcBorders>
            <w:vAlign w:val="center"/>
          </w:tcPr>
          <w:p w:rsidR="00DA246A" w:rsidRPr="000B4405" w:rsidRDefault="00DA246A">
            <w:pPr>
              <w:spacing w:line="320" w:lineRule="exact"/>
              <w:jc w:val="center"/>
              <w:rPr>
                <w:b/>
                <w:i/>
                <w:sz w:val="21"/>
                <w:szCs w:val="21"/>
                <w:u w:val="single"/>
              </w:rPr>
            </w:pPr>
            <w:r>
              <w:rPr>
                <w:rFonts w:hint="eastAsia"/>
                <w:b/>
                <w:i/>
                <w:sz w:val="21"/>
                <w:szCs w:val="21"/>
                <w:u w:val="single"/>
              </w:rPr>
              <w:t>利用现有</w:t>
            </w:r>
          </w:p>
        </w:tc>
      </w:tr>
      <w:tr w:rsidR="00DA246A" w:rsidTr="000B4405">
        <w:trPr>
          <w:trHeight w:val="391"/>
        </w:trPr>
        <w:tc>
          <w:tcPr>
            <w:tcW w:w="910" w:type="dxa"/>
            <w:vMerge w:val="restart"/>
            <w:tcBorders>
              <w:left w:val="single" w:sz="8" w:space="0" w:color="auto"/>
            </w:tcBorders>
            <w:vAlign w:val="center"/>
          </w:tcPr>
          <w:p w:rsidR="00DA246A" w:rsidRDefault="00DA246A">
            <w:pPr>
              <w:spacing w:line="320" w:lineRule="exact"/>
              <w:jc w:val="center"/>
              <w:rPr>
                <w:sz w:val="21"/>
                <w:szCs w:val="21"/>
              </w:rPr>
            </w:pPr>
            <w:r>
              <w:rPr>
                <w:sz w:val="21"/>
                <w:szCs w:val="21"/>
              </w:rPr>
              <w:t>提升</w:t>
            </w:r>
          </w:p>
          <w:p w:rsidR="00DA246A" w:rsidRDefault="00DA246A">
            <w:pPr>
              <w:spacing w:line="320" w:lineRule="exact"/>
              <w:jc w:val="center"/>
              <w:rPr>
                <w:sz w:val="21"/>
                <w:szCs w:val="21"/>
              </w:rPr>
            </w:pPr>
            <w:r>
              <w:rPr>
                <w:sz w:val="21"/>
                <w:szCs w:val="21"/>
              </w:rPr>
              <w:t>设备</w:t>
            </w:r>
          </w:p>
        </w:tc>
        <w:tc>
          <w:tcPr>
            <w:tcW w:w="727" w:type="dxa"/>
            <w:vMerge w:val="restart"/>
            <w:vAlign w:val="center"/>
          </w:tcPr>
          <w:p w:rsidR="00DA246A" w:rsidRDefault="00DA246A">
            <w:pPr>
              <w:spacing w:line="320" w:lineRule="exact"/>
              <w:jc w:val="center"/>
              <w:rPr>
                <w:sz w:val="21"/>
                <w:szCs w:val="21"/>
              </w:rPr>
            </w:pPr>
            <w:r>
              <w:rPr>
                <w:sz w:val="21"/>
                <w:szCs w:val="21"/>
              </w:rPr>
              <w:t>主井</w:t>
            </w:r>
          </w:p>
        </w:tc>
        <w:tc>
          <w:tcPr>
            <w:tcW w:w="940" w:type="dxa"/>
            <w:vAlign w:val="center"/>
          </w:tcPr>
          <w:p w:rsidR="00DA246A" w:rsidRDefault="00DA246A">
            <w:pPr>
              <w:spacing w:line="320" w:lineRule="exact"/>
              <w:jc w:val="center"/>
              <w:rPr>
                <w:sz w:val="21"/>
                <w:szCs w:val="21"/>
              </w:rPr>
            </w:pPr>
            <w:r>
              <w:rPr>
                <w:sz w:val="21"/>
                <w:szCs w:val="21"/>
              </w:rPr>
              <w:t>箕斗</w:t>
            </w:r>
          </w:p>
        </w:tc>
        <w:tc>
          <w:tcPr>
            <w:tcW w:w="3402" w:type="dxa"/>
            <w:vAlign w:val="center"/>
          </w:tcPr>
          <w:p w:rsidR="00DA246A" w:rsidRDefault="00DA246A">
            <w:pPr>
              <w:spacing w:line="320" w:lineRule="exact"/>
              <w:jc w:val="center"/>
              <w:rPr>
                <w:sz w:val="21"/>
                <w:szCs w:val="21"/>
              </w:rPr>
            </w:pPr>
            <w:r>
              <w:rPr>
                <w:sz w:val="21"/>
                <w:szCs w:val="21"/>
              </w:rPr>
              <w:t>非标</w:t>
            </w:r>
            <w:r>
              <w:rPr>
                <w:sz w:val="21"/>
                <w:szCs w:val="21"/>
              </w:rPr>
              <w:t>2.0t</w:t>
            </w:r>
            <w:r>
              <w:rPr>
                <w:sz w:val="21"/>
                <w:szCs w:val="21"/>
              </w:rPr>
              <w:t>箕斗</w:t>
            </w:r>
          </w:p>
        </w:tc>
        <w:tc>
          <w:tcPr>
            <w:tcW w:w="708" w:type="dxa"/>
            <w:vAlign w:val="center"/>
          </w:tcPr>
          <w:p w:rsidR="00DA246A" w:rsidRDefault="00DA246A">
            <w:pPr>
              <w:spacing w:line="320" w:lineRule="exact"/>
              <w:jc w:val="center"/>
              <w:rPr>
                <w:sz w:val="21"/>
                <w:szCs w:val="21"/>
              </w:rPr>
            </w:pPr>
            <w:r>
              <w:rPr>
                <w:sz w:val="21"/>
                <w:szCs w:val="21"/>
              </w:rPr>
              <w:t>对</w:t>
            </w:r>
          </w:p>
        </w:tc>
        <w:tc>
          <w:tcPr>
            <w:tcW w:w="709" w:type="dxa"/>
            <w:vAlign w:val="center"/>
          </w:tcPr>
          <w:p w:rsidR="00DA246A" w:rsidRDefault="00DA246A">
            <w:pPr>
              <w:spacing w:line="320" w:lineRule="exact"/>
              <w:jc w:val="center"/>
              <w:rPr>
                <w:sz w:val="21"/>
                <w:szCs w:val="21"/>
              </w:rPr>
            </w:pPr>
            <w:r>
              <w:rPr>
                <w:sz w:val="21"/>
                <w:szCs w:val="21"/>
              </w:rPr>
              <w:t>1</w:t>
            </w:r>
          </w:p>
        </w:tc>
        <w:tc>
          <w:tcPr>
            <w:tcW w:w="1240" w:type="dxa"/>
            <w:tcBorders>
              <w:right w:val="single" w:sz="8" w:space="0" w:color="auto"/>
            </w:tcBorders>
            <w:vAlign w:val="center"/>
          </w:tcPr>
          <w:p w:rsidR="00DA246A" w:rsidRPr="000B4405" w:rsidRDefault="00DA246A" w:rsidP="00DA246A">
            <w:pPr>
              <w:spacing w:line="320" w:lineRule="exact"/>
              <w:jc w:val="center"/>
              <w:rPr>
                <w:b/>
                <w:i/>
                <w:sz w:val="21"/>
                <w:szCs w:val="21"/>
                <w:u w:val="single"/>
              </w:rPr>
            </w:pPr>
            <w:r w:rsidRPr="000B4405">
              <w:rPr>
                <w:rFonts w:hint="eastAsia"/>
                <w:b/>
                <w:i/>
                <w:sz w:val="21"/>
                <w:szCs w:val="21"/>
                <w:u w:val="single"/>
              </w:rPr>
              <w:t>利用现有</w:t>
            </w:r>
          </w:p>
        </w:tc>
      </w:tr>
      <w:tr w:rsidR="00DA246A" w:rsidTr="000B4405">
        <w:trPr>
          <w:trHeight w:val="391"/>
        </w:trPr>
        <w:tc>
          <w:tcPr>
            <w:tcW w:w="910" w:type="dxa"/>
            <w:vMerge/>
            <w:tcBorders>
              <w:left w:val="single" w:sz="8" w:space="0" w:color="auto"/>
            </w:tcBorders>
            <w:vAlign w:val="center"/>
          </w:tcPr>
          <w:p w:rsidR="00DA246A" w:rsidRDefault="00DA246A">
            <w:pPr>
              <w:spacing w:line="320" w:lineRule="exact"/>
              <w:jc w:val="center"/>
              <w:rPr>
                <w:sz w:val="21"/>
                <w:szCs w:val="21"/>
              </w:rPr>
            </w:pPr>
          </w:p>
        </w:tc>
        <w:tc>
          <w:tcPr>
            <w:tcW w:w="727" w:type="dxa"/>
            <w:vMerge/>
            <w:vAlign w:val="center"/>
          </w:tcPr>
          <w:p w:rsidR="00DA246A" w:rsidRDefault="00DA246A">
            <w:pPr>
              <w:spacing w:line="320" w:lineRule="exact"/>
              <w:jc w:val="center"/>
              <w:rPr>
                <w:sz w:val="21"/>
                <w:szCs w:val="21"/>
              </w:rPr>
            </w:pPr>
          </w:p>
        </w:tc>
        <w:tc>
          <w:tcPr>
            <w:tcW w:w="940" w:type="dxa"/>
            <w:vAlign w:val="center"/>
          </w:tcPr>
          <w:p w:rsidR="00DA246A" w:rsidRDefault="00DA246A">
            <w:pPr>
              <w:spacing w:line="320" w:lineRule="exact"/>
              <w:jc w:val="center"/>
              <w:rPr>
                <w:sz w:val="21"/>
                <w:szCs w:val="21"/>
              </w:rPr>
            </w:pPr>
            <w:r>
              <w:rPr>
                <w:sz w:val="21"/>
                <w:szCs w:val="21"/>
              </w:rPr>
              <w:t>提升机</w:t>
            </w:r>
          </w:p>
        </w:tc>
        <w:tc>
          <w:tcPr>
            <w:tcW w:w="3402" w:type="dxa"/>
            <w:vAlign w:val="center"/>
          </w:tcPr>
          <w:p w:rsidR="00DA246A" w:rsidRDefault="00DA246A">
            <w:pPr>
              <w:spacing w:line="320" w:lineRule="exact"/>
              <w:jc w:val="center"/>
              <w:rPr>
                <w:sz w:val="21"/>
                <w:szCs w:val="21"/>
              </w:rPr>
            </w:pPr>
            <w:r>
              <w:rPr>
                <w:sz w:val="21"/>
                <w:szCs w:val="21"/>
              </w:rPr>
              <w:t>2JK-2×1.1P</w:t>
            </w:r>
            <w:r>
              <w:rPr>
                <w:sz w:val="21"/>
                <w:szCs w:val="21"/>
              </w:rPr>
              <w:t>型双筒提升机</w:t>
            </w:r>
          </w:p>
        </w:tc>
        <w:tc>
          <w:tcPr>
            <w:tcW w:w="708" w:type="dxa"/>
            <w:vAlign w:val="center"/>
          </w:tcPr>
          <w:p w:rsidR="00DA246A" w:rsidRDefault="00DA246A">
            <w:pPr>
              <w:spacing w:line="320" w:lineRule="exact"/>
              <w:jc w:val="center"/>
              <w:rPr>
                <w:sz w:val="21"/>
                <w:szCs w:val="21"/>
              </w:rPr>
            </w:pPr>
            <w:r>
              <w:rPr>
                <w:sz w:val="21"/>
                <w:szCs w:val="21"/>
              </w:rPr>
              <w:t>台</w:t>
            </w:r>
          </w:p>
        </w:tc>
        <w:tc>
          <w:tcPr>
            <w:tcW w:w="709" w:type="dxa"/>
            <w:vAlign w:val="center"/>
          </w:tcPr>
          <w:p w:rsidR="00DA246A" w:rsidRDefault="00DA246A">
            <w:pPr>
              <w:spacing w:line="320" w:lineRule="exact"/>
              <w:jc w:val="center"/>
              <w:rPr>
                <w:sz w:val="21"/>
                <w:szCs w:val="21"/>
              </w:rPr>
            </w:pPr>
            <w:r>
              <w:rPr>
                <w:sz w:val="21"/>
                <w:szCs w:val="21"/>
              </w:rPr>
              <w:t>1</w:t>
            </w:r>
          </w:p>
        </w:tc>
        <w:tc>
          <w:tcPr>
            <w:tcW w:w="1240" w:type="dxa"/>
            <w:tcBorders>
              <w:right w:val="single" w:sz="8" w:space="0" w:color="auto"/>
            </w:tcBorders>
            <w:vAlign w:val="center"/>
          </w:tcPr>
          <w:p w:rsidR="00DA246A" w:rsidRPr="000B4405" w:rsidRDefault="00DA246A" w:rsidP="00DA246A">
            <w:pPr>
              <w:spacing w:line="320" w:lineRule="exact"/>
              <w:jc w:val="center"/>
              <w:rPr>
                <w:b/>
                <w:i/>
                <w:sz w:val="21"/>
                <w:szCs w:val="21"/>
                <w:u w:val="single"/>
              </w:rPr>
            </w:pPr>
            <w:r w:rsidRPr="000B4405">
              <w:rPr>
                <w:rFonts w:hint="eastAsia"/>
                <w:b/>
                <w:i/>
                <w:sz w:val="21"/>
                <w:szCs w:val="21"/>
                <w:u w:val="single"/>
              </w:rPr>
              <w:t>利用现有</w:t>
            </w:r>
          </w:p>
        </w:tc>
      </w:tr>
      <w:tr w:rsidR="00DA246A" w:rsidTr="000B4405">
        <w:trPr>
          <w:trHeight w:val="391"/>
        </w:trPr>
        <w:tc>
          <w:tcPr>
            <w:tcW w:w="910" w:type="dxa"/>
            <w:vMerge/>
            <w:tcBorders>
              <w:left w:val="single" w:sz="8" w:space="0" w:color="auto"/>
            </w:tcBorders>
            <w:vAlign w:val="center"/>
          </w:tcPr>
          <w:p w:rsidR="00DA246A" w:rsidRDefault="00DA246A">
            <w:pPr>
              <w:spacing w:line="320" w:lineRule="exact"/>
              <w:jc w:val="center"/>
              <w:rPr>
                <w:sz w:val="21"/>
                <w:szCs w:val="21"/>
              </w:rPr>
            </w:pPr>
          </w:p>
        </w:tc>
        <w:tc>
          <w:tcPr>
            <w:tcW w:w="727" w:type="dxa"/>
            <w:vMerge w:val="restart"/>
            <w:vAlign w:val="center"/>
          </w:tcPr>
          <w:p w:rsidR="00DA246A" w:rsidRDefault="00DA246A">
            <w:pPr>
              <w:spacing w:line="320" w:lineRule="exact"/>
              <w:jc w:val="center"/>
              <w:rPr>
                <w:sz w:val="21"/>
                <w:szCs w:val="21"/>
              </w:rPr>
            </w:pPr>
            <w:r>
              <w:rPr>
                <w:sz w:val="21"/>
                <w:szCs w:val="21"/>
              </w:rPr>
              <w:t>副井</w:t>
            </w:r>
          </w:p>
        </w:tc>
        <w:tc>
          <w:tcPr>
            <w:tcW w:w="940" w:type="dxa"/>
            <w:vAlign w:val="center"/>
          </w:tcPr>
          <w:p w:rsidR="00DA246A" w:rsidRDefault="00DA246A">
            <w:pPr>
              <w:spacing w:line="320" w:lineRule="exact"/>
              <w:jc w:val="center"/>
              <w:rPr>
                <w:sz w:val="21"/>
                <w:szCs w:val="21"/>
              </w:rPr>
            </w:pPr>
            <w:r>
              <w:rPr>
                <w:sz w:val="21"/>
                <w:szCs w:val="21"/>
              </w:rPr>
              <w:t>单绳罐笼</w:t>
            </w:r>
          </w:p>
        </w:tc>
        <w:tc>
          <w:tcPr>
            <w:tcW w:w="3402" w:type="dxa"/>
            <w:vAlign w:val="center"/>
          </w:tcPr>
          <w:p w:rsidR="00DA246A" w:rsidRDefault="00DA246A">
            <w:pPr>
              <w:spacing w:line="320" w:lineRule="exact"/>
              <w:jc w:val="center"/>
              <w:rPr>
                <w:sz w:val="21"/>
                <w:szCs w:val="21"/>
              </w:rPr>
            </w:pPr>
            <w:r>
              <w:rPr>
                <w:color w:val="000000"/>
                <w:sz w:val="21"/>
                <w:szCs w:val="21"/>
              </w:rPr>
              <w:t>一对</w:t>
            </w:r>
            <w:r>
              <w:rPr>
                <w:color w:val="000000"/>
                <w:sz w:val="21"/>
                <w:szCs w:val="21"/>
              </w:rPr>
              <w:t>0.75t</w:t>
            </w:r>
            <w:r>
              <w:rPr>
                <w:color w:val="000000"/>
                <w:sz w:val="21"/>
                <w:szCs w:val="21"/>
              </w:rPr>
              <w:t>非标罐笼</w:t>
            </w:r>
          </w:p>
        </w:tc>
        <w:tc>
          <w:tcPr>
            <w:tcW w:w="708" w:type="dxa"/>
            <w:vAlign w:val="center"/>
          </w:tcPr>
          <w:p w:rsidR="00DA246A" w:rsidRDefault="00DA246A">
            <w:pPr>
              <w:spacing w:line="320" w:lineRule="exact"/>
              <w:jc w:val="center"/>
              <w:rPr>
                <w:sz w:val="21"/>
                <w:szCs w:val="21"/>
              </w:rPr>
            </w:pPr>
            <w:r>
              <w:rPr>
                <w:sz w:val="21"/>
                <w:szCs w:val="21"/>
              </w:rPr>
              <w:t>对</w:t>
            </w:r>
          </w:p>
        </w:tc>
        <w:tc>
          <w:tcPr>
            <w:tcW w:w="709" w:type="dxa"/>
            <w:vAlign w:val="center"/>
          </w:tcPr>
          <w:p w:rsidR="00DA246A" w:rsidRDefault="00DA246A">
            <w:pPr>
              <w:spacing w:line="320" w:lineRule="exact"/>
              <w:jc w:val="center"/>
              <w:rPr>
                <w:sz w:val="21"/>
                <w:szCs w:val="21"/>
              </w:rPr>
            </w:pPr>
            <w:r>
              <w:rPr>
                <w:sz w:val="21"/>
                <w:szCs w:val="21"/>
              </w:rPr>
              <w:t>1</w:t>
            </w:r>
          </w:p>
        </w:tc>
        <w:tc>
          <w:tcPr>
            <w:tcW w:w="1240" w:type="dxa"/>
            <w:tcBorders>
              <w:right w:val="single" w:sz="8" w:space="0" w:color="auto"/>
            </w:tcBorders>
            <w:vAlign w:val="center"/>
          </w:tcPr>
          <w:p w:rsidR="00DA246A" w:rsidRPr="000B4405" w:rsidRDefault="00DA246A" w:rsidP="00DA246A">
            <w:pPr>
              <w:spacing w:line="320" w:lineRule="exact"/>
              <w:jc w:val="center"/>
              <w:rPr>
                <w:b/>
                <w:i/>
                <w:sz w:val="21"/>
                <w:szCs w:val="21"/>
                <w:u w:val="single"/>
              </w:rPr>
            </w:pPr>
            <w:r w:rsidRPr="000B4405">
              <w:rPr>
                <w:rFonts w:hint="eastAsia"/>
                <w:b/>
                <w:i/>
                <w:sz w:val="21"/>
                <w:szCs w:val="21"/>
                <w:u w:val="single"/>
              </w:rPr>
              <w:t>利用现有</w:t>
            </w:r>
          </w:p>
        </w:tc>
      </w:tr>
      <w:tr w:rsidR="00DA246A" w:rsidTr="000B4405">
        <w:trPr>
          <w:trHeight w:val="391"/>
        </w:trPr>
        <w:tc>
          <w:tcPr>
            <w:tcW w:w="910" w:type="dxa"/>
            <w:vMerge/>
            <w:tcBorders>
              <w:left w:val="single" w:sz="8" w:space="0" w:color="auto"/>
            </w:tcBorders>
            <w:vAlign w:val="center"/>
          </w:tcPr>
          <w:p w:rsidR="00DA246A" w:rsidRDefault="00DA246A">
            <w:pPr>
              <w:spacing w:line="320" w:lineRule="exact"/>
              <w:jc w:val="center"/>
              <w:rPr>
                <w:sz w:val="21"/>
                <w:szCs w:val="21"/>
              </w:rPr>
            </w:pPr>
          </w:p>
        </w:tc>
        <w:tc>
          <w:tcPr>
            <w:tcW w:w="727" w:type="dxa"/>
            <w:vMerge/>
            <w:vAlign w:val="center"/>
          </w:tcPr>
          <w:p w:rsidR="00DA246A" w:rsidRDefault="00DA246A">
            <w:pPr>
              <w:spacing w:line="320" w:lineRule="exact"/>
              <w:jc w:val="center"/>
              <w:rPr>
                <w:sz w:val="21"/>
                <w:szCs w:val="21"/>
              </w:rPr>
            </w:pPr>
          </w:p>
        </w:tc>
        <w:tc>
          <w:tcPr>
            <w:tcW w:w="940" w:type="dxa"/>
            <w:vAlign w:val="center"/>
          </w:tcPr>
          <w:p w:rsidR="00DA246A" w:rsidRDefault="00DA246A">
            <w:pPr>
              <w:spacing w:line="320" w:lineRule="exact"/>
              <w:jc w:val="center"/>
              <w:rPr>
                <w:sz w:val="21"/>
                <w:szCs w:val="21"/>
              </w:rPr>
            </w:pPr>
            <w:r>
              <w:rPr>
                <w:sz w:val="21"/>
                <w:szCs w:val="21"/>
              </w:rPr>
              <w:t>提升机</w:t>
            </w:r>
          </w:p>
        </w:tc>
        <w:tc>
          <w:tcPr>
            <w:tcW w:w="3402" w:type="dxa"/>
            <w:vAlign w:val="center"/>
          </w:tcPr>
          <w:p w:rsidR="00DA246A" w:rsidRDefault="00DA246A">
            <w:pPr>
              <w:spacing w:line="320" w:lineRule="exact"/>
              <w:jc w:val="center"/>
              <w:rPr>
                <w:sz w:val="21"/>
                <w:szCs w:val="21"/>
              </w:rPr>
            </w:pPr>
            <w:r>
              <w:rPr>
                <w:sz w:val="21"/>
                <w:szCs w:val="21"/>
              </w:rPr>
              <w:t>2JK-2×1.0P</w:t>
            </w:r>
            <w:r>
              <w:rPr>
                <w:sz w:val="21"/>
                <w:szCs w:val="21"/>
              </w:rPr>
              <w:t>型双筒提升机</w:t>
            </w:r>
          </w:p>
        </w:tc>
        <w:tc>
          <w:tcPr>
            <w:tcW w:w="708" w:type="dxa"/>
            <w:vAlign w:val="center"/>
          </w:tcPr>
          <w:p w:rsidR="00DA246A" w:rsidRDefault="00DA246A">
            <w:pPr>
              <w:spacing w:line="320" w:lineRule="exact"/>
              <w:jc w:val="center"/>
              <w:rPr>
                <w:sz w:val="21"/>
                <w:szCs w:val="21"/>
              </w:rPr>
            </w:pPr>
            <w:r>
              <w:rPr>
                <w:sz w:val="21"/>
                <w:szCs w:val="21"/>
              </w:rPr>
              <w:t>台</w:t>
            </w:r>
          </w:p>
        </w:tc>
        <w:tc>
          <w:tcPr>
            <w:tcW w:w="709" w:type="dxa"/>
            <w:vAlign w:val="center"/>
          </w:tcPr>
          <w:p w:rsidR="00DA246A" w:rsidRDefault="00DA246A">
            <w:pPr>
              <w:spacing w:line="320" w:lineRule="exact"/>
              <w:jc w:val="center"/>
              <w:rPr>
                <w:sz w:val="21"/>
                <w:szCs w:val="21"/>
              </w:rPr>
            </w:pPr>
            <w:r>
              <w:rPr>
                <w:sz w:val="21"/>
                <w:szCs w:val="21"/>
              </w:rPr>
              <w:t>1</w:t>
            </w:r>
          </w:p>
        </w:tc>
        <w:tc>
          <w:tcPr>
            <w:tcW w:w="1240" w:type="dxa"/>
            <w:tcBorders>
              <w:right w:val="single" w:sz="8" w:space="0" w:color="auto"/>
            </w:tcBorders>
            <w:vAlign w:val="center"/>
          </w:tcPr>
          <w:p w:rsidR="00DA246A" w:rsidRPr="000B4405" w:rsidRDefault="00DA246A">
            <w:pPr>
              <w:spacing w:line="320" w:lineRule="exact"/>
              <w:jc w:val="center"/>
              <w:rPr>
                <w:b/>
                <w:i/>
                <w:sz w:val="21"/>
                <w:szCs w:val="21"/>
                <w:u w:val="single"/>
              </w:rPr>
            </w:pPr>
            <w:r w:rsidRPr="000B4405">
              <w:rPr>
                <w:rFonts w:hint="eastAsia"/>
                <w:b/>
                <w:i/>
                <w:sz w:val="21"/>
                <w:szCs w:val="21"/>
                <w:u w:val="single"/>
              </w:rPr>
              <w:t>利用现有</w:t>
            </w:r>
          </w:p>
        </w:tc>
      </w:tr>
      <w:tr w:rsidR="00DA246A" w:rsidTr="000B4405">
        <w:trPr>
          <w:trHeight w:val="391"/>
        </w:trPr>
        <w:tc>
          <w:tcPr>
            <w:tcW w:w="910" w:type="dxa"/>
            <w:tcBorders>
              <w:left w:val="single" w:sz="8" w:space="0" w:color="auto"/>
            </w:tcBorders>
            <w:vAlign w:val="center"/>
          </w:tcPr>
          <w:p w:rsidR="00DA246A" w:rsidRDefault="00DA246A">
            <w:pPr>
              <w:spacing w:line="320" w:lineRule="exact"/>
              <w:jc w:val="center"/>
              <w:rPr>
                <w:sz w:val="21"/>
                <w:szCs w:val="21"/>
              </w:rPr>
            </w:pPr>
            <w:r>
              <w:rPr>
                <w:sz w:val="21"/>
                <w:szCs w:val="21"/>
              </w:rPr>
              <w:t>通风设备</w:t>
            </w:r>
          </w:p>
        </w:tc>
        <w:tc>
          <w:tcPr>
            <w:tcW w:w="1667" w:type="dxa"/>
            <w:gridSpan w:val="2"/>
            <w:vAlign w:val="center"/>
          </w:tcPr>
          <w:p w:rsidR="00DA246A" w:rsidRDefault="00DA246A">
            <w:pPr>
              <w:spacing w:line="320" w:lineRule="exact"/>
              <w:jc w:val="center"/>
              <w:rPr>
                <w:sz w:val="21"/>
                <w:szCs w:val="21"/>
              </w:rPr>
            </w:pPr>
            <w:r>
              <w:rPr>
                <w:sz w:val="21"/>
                <w:szCs w:val="21"/>
              </w:rPr>
              <w:t>通风机</w:t>
            </w:r>
          </w:p>
        </w:tc>
        <w:tc>
          <w:tcPr>
            <w:tcW w:w="3402" w:type="dxa"/>
            <w:vAlign w:val="center"/>
          </w:tcPr>
          <w:p w:rsidR="00DA246A" w:rsidRDefault="00DA246A">
            <w:pPr>
              <w:spacing w:line="320" w:lineRule="exact"/>
              <w:jc w:val="center"/>
              <w:rPr>
                <w:sz w:val="21"/>
                <w:szCs w:val="21"/>
              </w:rPr>
            </w:pPr>
            <w:r>
              <w:rPr>
                <w:bCs/>
                <w:color w:val="000000"/>
                <w:sz w:val="21"/>
                <w:szCs w:val="21"/>
              </w:rPr>
              <w:t>FBCDZ-№20</w:t>
            </w:r>
            <w:r>
              <w:rPr>
                <w:bCs/>
                <w:color w:val="000000"/>
                <w:sz w:val="21"/>
                <w:szCs w:val="21"/>
              </w:rPr>
              <w:t>型对旋轴流风机</w:t>
            </w:r>
          </w:p>
        </w:tc>
        <w:tc>
          <w:tcPr>
            <w:tcW w:w="708" w:type="dxa"/>
            <w:vAlign w:val="center"/>
          </w:tcPr>
          <w:p w:rsidR="00DA246A" w:rsidRDefault="00DA246A">
            <w:pPr>
              <w:spacing w:line="320" w:lineRule="exact"/>
              <w:jc w:val="center"/>
              <w:rPr>
                <w:sz w:val="21"/>
                <w:szCs w:val="21"/>
              </w:rPr>
            </w:pPr>
            <w:r>
              <w:rPr>
                <w:sz w:val="21"/>
                <w:szCs w:val="21"/>
              </w:rPr>
              <w:t>台</w:t>
            </w:r>
          </w:p>
        </w:tc>
        <w:tc>
          <w:tcPr>
            <w:tcW w:w="709" w:type="dxa"/>
            <w:vAlign w:val="center"/>
          </w:tcPr>
          <w:p w:rsidR="00DA246A" w:rsidRDefault="00DA246A">
            <w:pPr>
              <w:spacing w:line="320" w:lineRule="exact"/>
              <w:jc w:val="center"/>
              <w:rPr>
                <w:sz w:val="21"/>
                <w:szCs w:val="21"/>
              </w:rPr>
            </w:pPr>
            <w:r>
              <w:rPr>
                <w:sz w:val="21"/>
                <w:szCs w:val="21"/>
              </w:rPr>
              <w:t>2</w:t>
            </w:r>
          </w:p>
        </w:tc>
        <w:tc>
          <w:tcPr>
            <w:tcW w:w="1240" w:type="dxa"/>
            <w:tcBorders>
              <w:right w:val="single" w:sz="8" w:space="0" w:color="auto"/>
            </w:tcBorders>
            <w:vAlign w:val="center"/>
          </w:tcPr>
          <w:p w:rsidR="00DA246A" w:rsidRPr="000B4405" w:rsidRDefault="00DA246A">
            <w:pPr>
              <w:spacing w:line="320" w:lineRule="exact"/>
              <w:jc w:val="center"/>
              <w:rPr>
                <w:b/>
                <w:i/>
                <w:sz w:val="21"/>
                <w:szCs w:val="21"/>
                <w:u w:val="single"/>
              </w:rPr>
            </w:pPr>
            <w:r>
              <w:rPr>
                <w:rFonts w:hint="eastAsia"/>
                <w:b/>
                <w:i/>
                <w:sz w:val="21"/>
                <w:szCs w:val="21"/>
                <w:u w:val="single"/>
              </w:rPr>
              <w:t>利用现有，</w:t>
            </w:r>
            <w:r w:rsidRPr="000B4405">
              <w:rPr>
                <w:b/>
                <w:i/>
                <w:sz w:val="21"/>
                <w:szCs w:val="21"/>
                <w:u w:val="single"/>
              </w:rPr>
              <w:t>一用一备</w:t>
            </w:r>
          </w:p>
        </w:tc>
      </w:tr>
      <w:tr w:rsidR="00DA246A" w:rsidTr="000B4405">
        <w:trPr>
          <w:trHeight w:val="391"/>
        </w:trPr>
        <w:tc>
          <w:tcPr>
            <w:tcW w:w="910" w:type="dxa"/>
            <w:tcBorders>
              <w:left w:val="single" w:sz="8" w:space="0" w:color="auto"/>
            </w:tcBorders>
            <w:vAlign w:val="center"/>
          </w:tcPr>
          <w:p w:rsidR="00DA246A" w:rsidRDefault="00DA246A">
            <w:pPr>
              <w:spacing w:line="320" w:lineRule="exact"/>
              <w:jc w:val="center"/>
              <w:rPr>
                <w:sz w:val="21"/>
                <w:szCs w:val="21"/>
              </w:rPr>
            </w:pPr>
            <w:r>
              <w:rPr>
                <w:sz w:val="21"/>
                <w:szCs w:val="21"/>
              </w:rPr>
              <w:t>排水设备</w:t>
            </w:r>
          </w:p>
        </w:tc>
        <w:tc>
          <w:tcPr>
            <w:tcW w:w="1667" w:type="dxa"/>
            <w:gridSpan w:val="2"/>
            <w:vAlign w:val="center"/>
          </w:tcPr>
          <w:p w:rsidR="00DA246A" w:rsidRDefault="00DA246A">
            <w:pPr>
              <w:spacing w:line="320" w:lineRule="exact"/>
              <w:jc w:val="center"/>
              <w:rPr>
                <w:sz w:val="21"/>
                <w:szCs w:val="21"/>
              </w:rPr>
            </w:pPr>
            <w:r>
              <w:rPr>
                <w:sz w:val="21"/>
                <w:szCs w:val="21"/>
              </w:rPr>
              <w:t>水泵</w:t>
            </w:r>
          </w:p>
        </w:tc>
        <w:tc>
          <w:tcPr>
            <w:tcW w:w="3402" w:type="dxa"/>
            <w:vAlign w:val="center"/>
          </w:tcPr>
          <w:p w:rsidR="00DA246A" w:rsidRDefault="00DA246A">
            <w:pPr>
              <w:spacing w:line="320" w:lineRule="exact"/>
              <w:jc w:val="center"/>
              <w:rPr>
                <w:sz w:val="21"/>
                <w:szCs w:val="21"/>
              </w:rPr>
            </w:pPr>
            <w:r>
              <w:rPr>
                <w:sz w:val="21"/>
                <w:szCs w:val="21"/>
              </w:rPr>
              <w:t>MD155-30×6</w:t>
            </w:r>
            <w:r>
              <w:rPr>
                <w:sz w:val="21"/>
                <w:szCs w:val="21"/>
              </w:rPr>
              <w:t>型</w:t>
            </w:r>
          </w:p>
        </w:tc>
        <w:tc>
          <w:tcPr>
            <w:tcW w:w="708" w:type="dxa"/>
            <w:vAlign w:val="center"/>
          </w:tcPr>
          <w:p w:rsidR="00DA246A" w:rsidRDefault="00DA246A">
            <w:pPr>
              <w:spacing w:line="320" w:lineRule="exact"/>
              <w:jc w:val="center"/>
              <w:rPr>
                <w:sz w:val="21"/>
                <w:szCs w:val="21"/>
              </w:rPr>
            </w:pPr>
            <w:r>
              <w:rPr>
                <w:sz w:val="21"/>
                <w:szCs w:val="21"/>
              </w:rPr>
              <w:t>台</w:t>
            </w:r>
          </w:p>
        </w:tc>
        <w:tc>
          <w:tcPr>
            <w:tcW w:w="709" w:type="dxa"/>
            <w:vAlign w:val="center"/>
          </w:tcPr>
          <w:p w:rsidR="00DA246A" w:rsidRDefault="00DA246A">
            <w:pPr>
              <w:spacing w:line="320" w:lineRule="exact"/>
              <w:jc w:val="center"/>
              <w:rPr>
                <w:sz w:val="21"/>
                <w:szCs w:val="21"/>
              </w:rPr>
            </w:pPr>
            <w:r>
              <w:rPr>
                <w:sz w:val="21"/>
                <w:szCs w:val="21"/>
              </w:rPr>
              <w:t>3</w:t>
            </w:r>
          </w:p>
        </w:tc>
        <w:tc>
          <w:tcPr>
            <w:tcW w:w="1240" w:type="dxa"/>
            <w:tcBorders>
              <w:right w:val="single" w:sz="8" w:space="0" w:color="auto"/>
            </w:tcBorders>
            <w:vAlign w:val="center"/>
          </w:tcPr>
          <w:p w:rsidR="00DA246A" w:rsidRPr="000B4405" w:rsidRDefault="00DA246A">
            <w:pPr>
              <w:spacing w:line="320" w:lineRule="exact"/>
              <w:jc w:val="center"/>
              <w:rPr>
                <w:b/>
                <w:i/>
                <w:sz w:val="21"/>
                <w:szCs w:val="21"/>
                <w:u w:val="single"/>
              </w:rPr>
            </w:pPr>
            <w:r>
              <w:rPr>
                <w:rFonts w:hint="eastAsia"/>
                <w:b/>
                <w:i/>
                <w:sz w:val="21"/>
                <w:szCs w:val="21"/>
                <w:u w:val="single"/>
              </w:rPr>
              <w:t>利用现有，</w:t>
            </w:r>
            <w:r w:rsidRPr="000B4405">
              <w:rPr>
                <w:b/>
                <w:i/>
                <w:sz w:val="21"/>
                <w:szCs w:val="21"/>
                <w:u w:val="single"/>
              </w:rPr>
              <w:t>一用一备一检</w:t>
            </w:r>
          </w:p>
        </w:tc>
      </w:tr>
      <w:tr w:rsidR="00DA246A" w:rsidTr="000B4405">
        <w:trPr>
          <w:trHeight w:val="415"/>
        </w:trPr>
        <w:tc>
          <w:tcPr>
            <w:tcW w:w="910" w:type="dxa"/>
            <w:tcBorders>
              <w:left w:val="single" w:sz="8" w:space="0" w:color="auto"/>
              <w:bottom w:val="single" w:sz="8" w:space="0" w:color="auto"/>
            </w:tcBorders>
            <w:vAlign w:val="center"/>
          </w:tcPr>
          <w:p w:rsidR="00DA246A" w:rsidRDefault="00DA246A">
            <w:pPr>
              <w:spacing w:line="320" w:lineRule="exact"/>
              <w:jc w:val="center"/>
              <w:rPr>
                <w:sz w:val="21"/>
                <w:szCs w:val="21"/>
              </w:rPr>
            </w:pPr>
            <w:r>
              <w:rPr>
                <w:sz w:val="21"/>
                <w:szCs w:val="21"/>
              </w:rPr>
              <w:t>压风设备</w:t>
            </w:r>
          </w:p>
        </w:tc>
        <w:tc>
          <w:tcPr>
            <w:tcW w:w="1667" w:type="dxa"/>
            <w:gridSpan w:val="2"/>
            <w:tcBorders>
              <w:bottom w:val="single" w:sz="8" w:space="0" w:color="auto"/>
            </w:tcBorders>
            <w:vAlign w:val="center"/>
          </w:tcPr>
          <w:p w:rsidR="00DA246A" w:rsidRDefault="00DA246A">
            <w:pPr>
              <w:spacing w:line="320" w:lineRule="exact"/>
              <w:jc w:val="center"/>
              <w:rPr>
                <w:sz w:val="21"/>
                <w:szCs w:val="21"/>
              </w:rPr>
            </w:pPr>
            <w:r>
              <w:rPr>
                <w:sz w:val="21"/>
                <w:szCs w:val="21"/>
              </w:rPr>
              <w:t>空压机</w:t>
            </w:r>
          </w:p>
        </w:tc>
        <w:tc>
          <w:tcPr>
            <w:tcW w:w="3402" w:type="dxa"/>
            <w:tcBorders>
              <w:bottom w:val="single" w:sz="8" w:space="0" w:color="auto"/>
            </w:tcBorders>
            <w:vAlign w:val="center"/>
          </w:tcPr>
          <w:p w:rsidR="00DA246A" w:rsidRDefault="00DA246A">
            <w:pPr>
              <w:spacing w:line="320" w:lineRule="exact"/>
              <w:jc w:val="center"/>
              <w:rPr>
                <w:sz w:val="21"/>
                <w:szCs w:val="21"/>
              </w:rPr>
            </w:pPr>
            <w:r>
              <w:rPr>
                <w:sz w:val="21"/>
                <w:szCs w:val="21"/>
              </w:rPr>
              <w:t>LGJ-22/8G</w:t>
            </w:r>
            <w:r>
              <w:rPr>
                <w:sz w:val="21"/>
                <w:szCs w:val="21"/>
              </w:rPr>
              <w:t>螺杆压缩机</w:t>
            </w:r>
          </w:p>
        </w:tc>
        <w:tc>
          <w:tcPr>
            <w:tcW w:w="708" w:type="dxa"/>
            <w:tcBorders>
              <w:bottom w:val="single" w:sz="8" w:space="0" w:color="auto"/>
            </w:tcBorders>
            <w:vAlign w:val="center"/>
          </w:tcPr>
          <w:p w:rsidR="00DA246A" w:rsidRDefault="00DA246A">
            <w:pPr>
              <w:spacing w:line="320" w:lineRule="exact"/>
              <w:jc w:val="center"/>
              <w:rPr>
                <w:sz w:val="21"/>
                <w:szCs w:val="21"/>
              </w:rPr>
            </w:pPr>
            <w:r>
              <w:rPr>
                <w:sz w:val="21"/>
                <w:szCs w:val="21"/>
              </w:rPr>
              <w:t>台</w:t>
            </w:r>
          </w:p>
        </w:tc>
        <w:tc>
          <w:tcPr>
            <w:tcW w:w="709" w:type="dxa"/>
            <w:tcBorders>
              <w:bottom w:val="single" w:sz="8" w:space="0" w:color="auto"/>
            </w:tcBorders>
            <w:vAlign w:val="center"/>
          </w:tcPr>
          <w:p w:rsidR="00DA246A" w:rsidRDefault="00DA246A">
            <w:pPr>
              <w:spacing w:line="320" w:lineRule="exact"/>
              <w:jc w:val="center"/>
              <w:rPr>
                <w:sz w:val="21"/>
                <w:szCs w:val="21"/>
              </w:rPr>
            </w:pPr>
            <w:r>
              <w:rPr>
                <w:sz w:val="21"/>
                <w:szCs w:val="21"/>
              </w:rPr>
              <w:t>2</w:t>
            </w:r>
          </w:p>
        </w:tc>
        <w:tc>
          <w:tcPr>
            <w:tcW w:w="1240" w:type="dxa"/>
            <w:tcBorders>
              <w:bottom w:val="single" w:sz="8" w:space="0" w:color="auto"/>
              <w:right w:val="single" w:sz="8" w:space="0" w:color="auto"/>
            </w:tcBorders>
            <w:vAlign w:val="center"/>
          </w:tcPr>
          <w:p w:rsidR="00DA246A" w:rsidRPr="000B4405" w:rsidRDefault="00DA246A">
            <w:pPr>
              <w:spacing w:line="320" w:lineRule="exact"/>
              <w:jc w:val="center"/>
              <w:rPr>
                <w:b/>
                <w:i/>
                <w:sz w:val="21"/>
                <w:szCs w:val="21"/>
                <w:u w:val="single"/>
              </w:rPr>
            </w:pP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280" w:name="_Toc79668641"/>
      <w:bookmarkStart w:id="281" w:name="_Toc148262226"/>
      <w:bookmarkStart w:id="282" w:name="_Toc143941643"/>
      <w:r>
        <w:rPr>
          <w:rFonts w:eastAsia="楷体"/>
          <w:sz w:val="28"/>
          <w:szCs w:val="28"/>
        </w:rPr>
        <w:t xml:space="preserve">3.3.6 </w:t>
      </w:r>
      <w:r>
        <w:rPr>
          <w:rFonts w:eastAsia="楷体"/>
          <w:sz w:val="28"/>
          <w:szCs w:val="28"/>
        </w:rPr>
        <w:t>地面运输</w:t>
      </w:r>
      <w:bookmarkEnd w:id="280"/>
      <w:bookmarkEnd w:id="281"/>
      <w:bookmarkEnd w:id="282"/>
    </w:p>
    <w:p w:rsidR="00240BCE" w:rsidRDefault="00AC0334">
      <w:pPr>
        <w:adjustRightInd w:val="0"/>
        <w:snapToGrid w:val="0"/>
        <w:spacing w:line="520" w:lineRule="exact"/>
        <w:ind w:firstLineChars="200" w:firstLine="480"/>
        <w:rPr>
          <w:sz w:val="24"/>
        </w:rPr>
      </w:pPr>
      <w:bookmarkStart w:id="283" w:name="_Toc143941644"/>
      <w:bookmarkStart w:id="284" w:name="_Toc148262227"/>
      <w:r>
        <w:rPr>
          <w:sz w:val="24"/>
        </w:rPr>
        <w:t>1</w:t>
      </w:r>
      <w:r>
        <w:rPr>
          <w:sz w:val="24"/>
        </w:rPr>
        <w:t>、场内运输</w:t>
      </w:r>
      <w:bookmarkEnd w:id="283"/>
      <w:bookmarkEnd w:id="284"/>
    </w:p>
    <w:p w:rsidR="00240BCE" w:rsidRDefault="00AC0334">
      <w:pPr>
        <w:pStyle w:val="ae"/>
        <w:adjustRightInd w:val="0"/>
        <w:snapToGrid w:val="0"/>
        <w:spacing w:line="520" w:lineRule="exact"/>
        <w:ind w:firstLineChars="200" w:firstLine="480"/>
        <w:rPr>
          <w:rFonts w:ascii="Times New Roman" w:hAnsi="Times New Roman"/>
          <w:sz w:val="24"/>
          <w:szCs w:val="24"/>
        </w:rPr>
      </w:pPr>
      <w:r>
        <w:rPr>
          <w:rFonts w:ascii="Times New Roman" w:hAnsi="Times New Roman"/>
          <w:sz w:val="24"/>
          <w:szCs w:val="24"/>
        </w:rPr>
        <w:t>工业场地场区内运输主要采用道路运输和窄轨铁路运输两种方式。</w:t>
      </w:r>
    </w:p>
    <w:p w:rsidR="00240BCE" w:rsidRDefault="00AC0334">
      <w:pPr>
        <w:adjustRightInd w:val="0"/>
        <w:snapToGrid w:val="0"/>
        <w:spacing w:line="520" w:lineRule="exact"/>
        <w:ind w:firstLineChars="200" w:firstLine="480"/>
        <w:rPr>
          <w:sz w:val="24"/>
        </w:rPr>
      </w:pPr>
      <w:r>
        <w:rPr>
          <w:sz w:val="24"/>
        </w:rPr>
        <w:t>窄轨铁路运输：现副井与机修车间、材料堆场、材料棚等均用窄轨铁路连接，钢轨采用</w:t>
      </w:r>
      <w:r>
        <w:rPr>
          <w:sz w:val="24"/>
        </w:rPr>
        <w:t>15kg/m</w:t>
      </w:r>
      <w:r>
        <w:rPr>
          <w:sz w:val="24"/>
        </w:rPr>
        <w:t>，轨距</w:t>
      </w:r>
      <w:r>
        <w:rPr>
          <w:sz w:val="24"/>
        </w:rPr>
        <w:t>600mm</w:t>
      </w:r>
      <w:r>
        <w:rPr>
          <w:sz w:val="24"/>
        </w:rPr>
        <w:t>。现窄轨铁路已经形成。</w:t>
      </w:r>
    </w:p>
    <w:p w:rsidR="00240BCE" w:rsidRDefault="00AC0334">
      <w:pPr>
        <w:adjustRightInd w:val="0"/>
        <w:snapToGrid w:val="0"/>
        <w:spacing w:line="520" w:lineRule="exact"/>
        <w:ind w:firstLineChars="200" w:firstLine="480"/>
        <w:rPr>
          <w:sz w:val="24"/>
        </w:rPr>
      </w:pPr>
      <w:r>
        <w:rPr>
          <w:sz w:val="24"/>
        </w:rPr>
        <w:t>道路运输：场区内的道路运输已经形成，设计利用现有道路不再新增。</w:t>
      </w:r>
    </w:p>
    <w:p w:rsidR="00240BCE" w:rsidRDefault="00AC0334">
      <w:pPr>
        <w:adjustRightInd w:val="0"/>
        <w:snapToGrid w:val="0"/>
        <w:spacing w:line="520" w:lineRule="exact"/>
        <w:ind w:firstLineChars="200" w:firstLine="480"/>
        <w:rPr>
          <w:sz w:val="24"/>
        </w:rPr>
      </w:pPr>
      <w:r>
        <w:rPr>
          <w:sz w:val="24"/>
        </w:rPr>
        <w:t>2</w:t>
      </w:r>
      <w:r>
        <w:rPr>
          <w:sz w:val="24"/>
        </w:rPr>
        <w:t>、场外运输</w:t>
      </w:r>
    </w:p>
    <w:p w:rsidR="00240BCE" w:rsidRDefault="00AC0334">
      <w:pPr>
        <w:pStyle w:val="ae"/>
        <w:adjustRightInd w:val="0"/>
        <w:snapToGrid w:val="0"/>
        <w:spacing w:line="520" w:lineRule="exact"/>
        <w:ind w:firstLineChars="200" w:firstLine="480"/>
        <w:rPr>
          <w:rFonts w:ascii="Times New Roman" w:hAnsi="Times New Roman"/>
          <w:sz w:val="24"/>
          <w:szCs w:val="24"/>
        </w:rPr>
      </w:pPr>
      <w:r>
        <w:rPr>
          <w:rFonts w:ascii="Times New Roman" w:hAnsi="Times New Roman"/>
          <w:sz w:val="24"/>
          <w:szCs w:val="24"/>
        </w:rPr>
        <w:t>本矿井为技术改造项目，工业场地场外运输条件已经具备，场外道路已经形成，工业场地东面和北面紧邻乡间公路，通过该公路与北面</w:t>
      </w:r>
      <w:r>
        <w:rPr>
          <w:rFonts w:ascii="Times New Roman" w:hAnsi="Times New Roman"/>
          <w:sz w:val="24"/>
          <w:szCs w:val="24"/>
        </w:rPr>
        <w:t>500m</w:t>
      </w:r>
      <w:r>
        <w:rPr>
          <w:rFonts w:ascii="Times New Roman" w:hAnsi="Times New Roman"/>
          <w:sz w:val="24"/>
          <w:szCs w:val="24"/>
        </w:rPr>
        <w:t>处的省道</w:t>
      </w:r>
      <w:r>
        <w:rPr>
          <w:rFonts w:ascii="Times New Roman" w:hAnsi="Times New Roman"/>
          <w:sz w:val="24"/>
          <w:szCs w:val="24"/>
        </w:rPr>
        <w:t>S325</w:t>
      </w:r>
      <w:r>
        <w:rPr>
          <w:rFonts w:ascii="Times New Roman" w:hAnsi="Times New Roman"/>
          <w:sz w:val="24"/>
          <w:szCs w:val="24"/>
        </w:rPr>
        <w:lastRenderedPageBreak/>
        <w:t>线相连，运输条件十分优越。本设计利用现有道路，无新增工程量。</w:t>
      </w:r>
    </w:p>
    <w:p w:rsidR="00240BCE" w:rsidRPr="006E7171" w:rsidRDefault="00AC0334" w:rsidP="009C5F33">
      <w:pPr>
        <w:pStyle w:val="30"/>
        <w:adjustRightInd w:val="0"/>
        <w:snapToGrid w:val="0"/>
        <w:spacing w:beforeLines="70" w:afterLines="30" w:line="240" w:lineRule="auto"/>
        <w:jc w:val="left"/>
        <w:rPr>
          <w:rFonts w:eastAsia="楷体"/>
          <w:i/>
          <w:sz w:val="28"/>
          <w:szCs w:val="28"/>
          <w:u w:val="single"/>
        </w:rPr>
      </w:pPr>
      <w:bookmarkStart w:id="285" w:name="_Toc271559272"/>
      <w:bookmarkStart w:id="286" w:name="_Toc79668642"/>
      <w:r w:rsidRPr="006E7171">
        <w:rPr>
          <w:rFonts w:eastAsia="楷体"/>
          <w:i/>
          <w:sz w:val="28"/>
          <w:szCs w:val="28"/>
          <w:u w:val="single"/>
        </w:rPr>
        <w:t xml:space="preserve">3.3.7 </w:t>
      </w:r>
      <w:bookmarkEnd w:id="285"/>
      <w:bookmarkEnd w:id="286"/>
      <w:r w:rsidR="006E7171" w:rsidRPr="006E7171">
        <w:rPr>
          <w:rFonts w:eastAsia="楷体" w:hint="eastAsia"/>
          <w:i/>
          <w:sz w:val="28"/>
          <w:szCs w:val="28"/>
          <w:u w:val="single"/>
        </w:rPr>
        <w:t>工程搬迁</w:t>
      </w:r>
    </w:p>
    <w:p w:rsidR="00D33A63" w:rsidRDefault="00951704" w:rsidP="006E7171">
      <w:pPr>
        <w:adjustRightInd w:val="0"/>
        <w:snapToGrid w:val="0"/>
        <w:spacing w:line="520" w:lineRule="exact"/>
        <w:ind w:firstLineChars="200" w:firstLine="490"/>
        <w:rPr>
          <w:b/>
          <w:i/>
          <w:spacing w:val="2"/>
          <w:sz w:val="24"/>
          <w:u w:val="single"/>
        </w:rPr>
      </w:pPr>
      <w:r>
        <w:rPr>
          <w:rFonts w:hint="eastAsia"/>
          <w:b/>
          <w:i/>
          <w:spacing w:val="2"/>
          <w:sz w:val="24"/>
          <w:u w:val="single"/>
        </w:rPr>
        <w:t>根据初步设计，</w:t>
      </w:r>
      <w:r w:rsidR="006E7171" w:rsidRPr="006E7171">
        <w:rPr>
          <w:b/>
          <w:i/>
          <w:spacing w:val="2"/>
          <w:sz w:val="24"/>
          <w:u w:val="single"/>
        </w:rPr>
        <w:t>井田内村庄房屋多为砖混凝结构，建筑物受地表沉陷的其影响，会遭受不同程度的破坏。</w:t>
      </w:r>
    </w:p>
    <w:p w:rsidR="006E7171" w:rsidRPr="006E7171" w:rsidRDefault="00D33A63" w:rsidP="006E7171">
      <w:pPr>
        <w:adjustRightInd w:val="0"/>
        <w:snapToGrid w:val="0"/>
        <w:spacing w:line="520" w:lineRule="exact"/>
        <w:ind w:firstLineChars="200" w:firstLine="490"/>
        <w:rPr>
          <w:i/>
          <w:spacing w:val="2"/>
          <w:sz w:val="24"/>
          <w:u w:val="single"/>
        </w:rPr>
      </w:pPr>
      <w:r>
        <w:rPr>
          <w:rFonts w:hint="eastAsia"/>
          <w:b/>
          <w:i/>
          <w:spacing w:val="2"/>
          <w:sz w:val="24"/>
          <w:u w:val="single"/>
        </w:rPr>
        <w:t>设计</w:t>
      </w:r>
      <w:r w:rsidR="006E7171" w:rsidRPr="006E7171">
        <w:rPr>
          <w:b/>
          <w:i/>
          <w:spacing w:val="2"/>
          <w:sz w:val="24"/>
          <w:u w:val="single"/>
        </w:rPr>
        <w:t>为了增加矿井可采储量，延长矿井服务年限，设计对井田内的</w:t>
      </w:r>
      <w:r w:rsidRPr="00D33A63">
        <w:rPr>
          <w:b/>
          <w:bCs/>
          <w:i/>
          <w:spacing w:val="2"/>
          <w:sz w:val="24"/>
          <w:u w:val="single"/>
        </w:rPr>
        <w:t>赵沟村、楼院村、楼院小学、连庄村</w:t>
      </w:r>
      <w:r w:rsidR="006E7171" w:rsidRPr="006E7171">
        <w:rPr>
          <w:b/>
          <w:i/>
          <w:spacing w:val="2"/>
          <w:sz w:val="24"/>
          <w:u w:val="single"/>
        </w:rPr>
        <w:t>等村庄和学校分期进行搬迁。村庄及学校未搬迁之前，严禁开采村庄下压煤。</w:t>
      </w:r>
      <w:r>
        <w:rPr>
          <w:rFonts w:hint="eastAsia"/>
          <w:b/>
          <w:i/>
          <w:spacing w:val="2"/>
          <w:sz w:val="24"/>
          <w:u w:val="single"/>
        </w:rPr>
        <w:t>根据调查，</w:t>
      </w:r>
      <w:r w:rsidRPr="00D33A63">
        <w:rPr>
          <w:b/>
          <w:i/>
          <w:spacing w:val="2"/>
          <w:sz w:val="24"/>
          <w:u w:val="single"/>
        </w:rPr>
        <w:t>涉及搬迁户数</w:t>
      </w:r>
      <w:r>
        <w:rPr>
          <w:rFonts w:hint="eastAsia"/>
          <w:b/>
          <w:i/>
          <w:spacing w:val="2"/>
          <w:sz w:val="24"/>
          <w:u w:val="single"/>
        </w:rPr>
        <w:t>约</w:t>
      </w:r>
      <w:r w:rsidRPr="00D33A63">
        <w:rPr>
          <w:b/>
          <w:i/>
          <w:spacing w:val="2"/>
          <w:sz w:val="24"/>
          <w:u w:val="single"/>
        </w:rPr>
        <w:t>746</w:t>
      </w:r>
      <w:r w:rsidRPr="00D33A63">
        <w:rPr>
          <w:b/>
          <w:i/>
          <w:spacing w:val="2"/>
          <w:sz w:val="24"/>
          <w:u w:val="single"/>
        </w:rPr>
        <w:t>户，共计</w:t>
      </w:r>
      <w:r>
        <w:rPr>
          <w:rFonts w:hint="eastAsia"/>
          <w:b/>
          <w:i/>
          <w:spacing w:val="2"/>
          <w:sz w:val="24"/>
          <w:u w:val="single"/>
        </w:rPr>
        <w:t>约</w:t>
      </w:r>
      <w:r w:rsidRPr="00D33A63">
        <w:rPr>
          <w:b/>
          <w:i/>
          <w:spacing w:val="2"/>
          <w:sz w:val="24"/>
          <w:u w:val="single"/>
        </w:rPr>
        <w:t>2898</w:t>
      </w:r>
      <w:r w:rsidRPr="00D33A63">
        <w:rPr>
          <w:b/>
          <w:i/>
          <w:spacing w:val="2"/>
          <w:sz w:val="24"/>
          <w:u w:val="single"/>
        </w:rPr>
        <w:t>人</w:t>
      </w:r>
      <w:r>
        <w:rPr>
          <w:rFonts w:hint="eastAsia"/>
          <w:b/>
          <w:i/>
          <w:spacing w:val="2"/>
          <w:sz w:val="24"/>
          <w:u w:val="single"/>
        </w:rPr>
        <w:t>，均为工程搬迁。</w:t>
      </w:r>
    </w:p>
    <w:p w:rsidR="006E7171" w:rsidRDefault="006E7171" w:rsidP="009C5F33">
      <w:pPr>
        <w:pStyle w:val="30"/>
        <w:adjustRightInd w:val="0"/>
        <w:snapToGrid w:val="0"/>
        <w:spacing w:beforeLines="70" w:afterLines="30" w:line="240" w:lineRule="auto"/>
        <w:jc w:val="left"/>
        <w:rPr>
          <w:rFonts w:eastAsia="楷体"/>
          <w:sz w:val="28"/>
          <w:szCs w:val="28"/>
        </w:rPr>
      </w:pPr>
      <w:r>
        <w:rPr>
          <w:rFonts w:eastAsia="楷体"/>
          <w:sz w:val="28"/>
          <w:szCs w:val="28"/>
        </w:rPr>
        <w:t xml:space="preserve">3.3.7 </w:t>
      </w:r>
      <w:r>
        <w:rPr>
          <w:rFonts w:eastAsia="楷体"/>
          <w:sz w:val="28"/>
          <w:szCs w:val="28"/>
        </w:rPr>
        <w:t>给排水</w:t>
      </w:r>
    </w:p>
    <w:p w:rsidR="00240BCE" w:rsidRDefault="006E7171" w:rsidP="006E7171">
      <w:pPr>
        <w:adjustRightInd w:val="0"/>
        <w:snapToGrid w:val="0"/>
        <w:spacing w:line="520" w:lineRule="exact"/>
        <w:ind w:firstLineChars="200" w:firstLine="488"/>
        <w:rPr>
          <w:spacing w:val="2"/>
          <w:sz w:val="24"/>
        </w:rPr>
      </w:pPr>
      <w:r>
        <w:rPr>
          <w:spacing w:val="2"/>
          <w:sz w:val="24"/>
        </w:rPr>
        <w:t>本次技术改造，生产能力</w:t>
      </w:r>
      <w:r w:rsidR="00AC0334">
        <w:rPr>
          <w:spacing w:val="2"/>
          <w:sz w:val="24"/>
        </w:rPr>
        <w:t>由</w:t>
      </w:r>
      <w:r w:rsidR="00AC0334">
        <w:rPr>
          <w:spacing w:val="2"/>
          <w:sz w:val="24"/>
        </w:rPr>
        <w:t>0.15Mt/a</w:t>
      </w:r>
      <w:r w:rsidR="00AC0334">
        <w:rPr>
          <w:spacing w:val="2"/>
          <w:sz w:val="24"/>
        </w:rPr>
        <w:t>提高到</w:t>
      </w:r>
      <w:r w:rsidR="00AC0334">
        <w:rPr>
          <w:spacing w:val="2"/>
          <w:sz w:val="24"/>
        </w:rPr>
        <w:t>0.30Mt/a</w:t>
      </w:r>
      <w:r w:rsidR="00AC0334">
        <w:rPr>
          <w:spacing w:val="2"/>
          <w:sz w:val="24"/>
        </w:rPr>
        <w:t>。原工业广场已有完善的给水管网系统，此次技术改造没有增加地面用水设施及设备，且生产人员数量也没有增加，所以生活用水量也没有增加，使用原有供水设备和管网完全能满足需要。</w:t>
      </w:r>
      <w:r w:rsidR="00165E70">
        <w:rPr>
          <w:rFonts w:hint="eastAsia"/>
          <w:spacing w:val="2"/>
          <w:sz w:val="24"/>
        </w:rPr>
        <w:t>设计根据</w:t>
      </w:r>
      <w:r w:rsidR="00165E70" w:rsidRPr="00165E70">
        <w:rPr>
          <w:spacing w:val="2"/>
          <w:sz w:val="24"/>
        </w:rPr>
        <w:t>《工业与城镇生活用水定额》（</w:t>
      </w:r>
      <w:r w:rsidR="00165E70" w:rsidRPr="00165E70">
        <w:rPr>
          <w:spacing w:val="2"/>
          <w:sz w:val="24"/>
        </w:rPr>
        <w:t>DB41/T385-2014</w:t>
      </w:r>
      <w:r w:rsidR="00165E70" w:rsidRPr="00165E70">
        <w:rPr>
          <w:spacing w:val="2"/>
          <w:sz w:val="24"/>
        </w:rPr>
        <w:t>）、《煤炭工业矿井设计规范》、《煤矿井下消防、洒水设计规范》</w:t>
      </w:r>
      <w:r w:rsidR="00165E70">
        <w:rPr>
          <w:rFonts w:hint="eastAsia"/>
          <w:spacing w:val="2"/>
          <w:sz w:val="24"/>
        </w:rPr>
        <w:t>等确定本项目升级改造后的给排水量，具体如下：</w:t>
      </w:r>
    </w:p>
    <w:p w:rsidR="00240BCE" w:rsidRDefault="00AC0334">
      <w:pPr>
        <w:adjustRightInd w:val="0"/>
        <w:snapToGrid w:val="0"/>
        <w:spacing w:line="520" w:lineRule="exact"/>
        <w:ind w:firstLineChars="200" w:firstLine="488"/>
        <w:rPr>
          <w:sz w:val="24"/>
        </w:rPr>
      </w:pPr>
      <w:r>
        <w:rPr>
          <w:spacing w:val="2"/>
          <w:sz w:val="24"/>
        </w:rPr>
        <w:t>1</w:t>
      </w:r>
      <w:r>
        <w:rPr>
          <w:spacing w:val="2"/>
          <w:sz w:val="24"/>
        </w:rPr>
        <w:t>、给</w:t>
      </w:r>
      <w:r>
        <w:rPr>
          <w:sz w:val="24"/>
        </w:rPr>
        <w:t>水</w:t>
      </w:r>
    </w:p>
    <w:p w:rsidR="00240BCE" w:rsidRDefault="00AC0334">
      <w:pPr>
        <w:adjustRightInd w:val="0"/>
        <w:snapToGrid w:val="0"/>
        <w:spacing w:line="520" w:lineRule="exact"/>
        <w:ind w:firstLineChars="200" w:firstLine="480"/>
        <w:rPr>
          <w:color w:val="000000"/>
          <w:sz w:val="24"/>
        </w:rPr>
      </w:pPr>
      <w:r>
        <w:rPr>
          <w:color w:val="000000"/>
          <w:sz w:val="24"/>
        </w:rPr>
        <w:t>（</w:t>
      </w:r>
      <w:r>
        <w:rPr>
          <w:color w:val="000000"/>
          <w:sz w:val="24"/>
        </w:rPr>
        <w:t>1</w:t>
      </w:r>
      <w:r>
        <w:rPr>
          <w:color w:val="000000"/>
          <w:sz w:val="24"/>
        </w:rPr>
        <w:t>）给水水源</w:t>
      </w:r>
    </w:p>
    <w:p w:rsidR="00240BCE" w:rsidRDefault="00AC0334">
      <w:pPr>
        <w:pStyle w:val="aff6"/>
        <w:ind w:firstLine="480"/>
      </w:pPr>
      <w:r>
        <w:t>升级改造后生活用水仍由工业场地北部约</w:t>
      </w:r>
      <w:r>
        <w:t>600m</w:t>
      </w:r>
      <w:r>
        <w:t>的</w:t>
      </w:r>
      <w:r w:rsidR="00783E25">
        <w:rPr>
          <w:rFonts w:hint="eastAsia"/>
        </w:rPr>
        <w:t>鸠山镇深</w:t>
      </w:r>
      <w:r>
        <w:t>水井提供；生产用水由矿井水处理站处理后的矿井排水和生活污水处理站处理后的生活污水供给。</w:t>
      </w:r>
      <w:r>
        <w:t xml:space="preserve"> </w:t>
      </w:r>
    </w:p>
    <w:p w:rsidR="00240BCE" w:rsidRDefault="00AC0334" w:rsidP="00D33A63">
      <w:pPr>
        <w:tabs>
          <w:tab w:val="left" w:pos="0"/>
        </w:tabs>
        <w:adjustRightInd w:val="0"/>
        <w:snapToGrid w:val="0"/>
        <w:spacing w:line="520" w:lineRule="exact"/>
        <w:ind w:firstLineChars="200" w:firstLine="488"/>
        <w:rPr>
          <w:spacing w:val="2"/>
          <w:sz w:val="24"/>
        </w:rPr>
      </w:pPr>
      <w:r>
        <w:rPr>
          <w:spacing w:val="2"/>
          <w:sz w:val="24"/>
        </w:rPr>
        <w:t>（</w:t>
      </w:r>
      <w:r>
        <w:rPr>
          <w:spacing w:val="2"/>
          <w:sz w:val="24"/>
        </w:rPr>
        <w:t>2</w:t>
      </w:r>
      <w:r>
        <w:rPr>
          <w:spacing w:val="2"/>
          <w:sz w:val="24"/>
        </w:rPr>
        <w:t>）用水量</w:t>
      </w:r>
    </w:p>
    <w:p w:rsidR="00240BCE" w:rsidRDefault="00AC0334" w:rsidP="00D33A63">
      <w:pPr>
        <w:tabs>
          <w:tab w:val="left" w:pos="0"/>
        </w:tabs>
        <w:adjustRightInd w:val="0"/>
        <w:snapToGrid w:val="0"/>
        <w:spacing w:line="520" w:lineRule="exact"/>
        <w:ind w:firstLineChars="200" w:firstLine="480"/>
        <w:rPr>
          <w:sz w:val="24"/>
        </w:rPr>
      </w:pPr>
      <w:r>
        <w:rPr>
          <w:sz w:val="24"/>
        </w:rPr>
        <w:t>升级改造后</w:t>
      </w:r>
      <w:r w:rsidR="00783E25">
        <w:rPr>
          <w:rFonts w:hint="eastAsia"/>
          <w:sz w:val="24"/>
        </w:rPr>
        <w:t>设计</w:t>
      </w:r>
      <w:r>
        <w:rPr>
          <w:sz w:val="24"/>
        </w:rPr>
        <w:t>项目用水量</w:t>
      </w:r>
      <w:r w:rsidR="00A2097A">
        <w:rPr>
          <w:rFonts w:hint="eastAsia"/>
          <w:sz w:val="24"/>
        </w:rPr>
        <w:t>6</w:t>
      </w:r>
      <w:r w:rsidR="007B7D9D">
        <w:rPr>
          <w:rFonts w:hint="eastAsia"/>
          <w:sz w:val="24"/>
        </w:rPr>
        <w:t>16.1</w:t>
      </w:r>
      <w:r w:rsidR="00540190">
        <w:rPr>
          <w:rFonts w:hint="eastAsia"/>
          <w:sz w:val="24"/>
        </w:rPr>
        <w:t>5</w:t>
      </w:r>
      <w:r>
        <w:rPr>
          <w:sz w:val="24"/>
        </w:rPr>
        <w:t>m</w:t>
      </w:r>
      <w:r>
        <w:rPr>
          <w:sz w:val="24"/>
          <w:vertAlign w:val="superscript"/>
        </w:rPr>
        <w:t>3</w:t>
      </w:r>
      <w:r>
        <w:rPr>
          <w:sz w:val="24"/>
        </w:rPr>
        <w:t>/d</w:t>
      </w:r>
      <w:r>
        <w:rPr>
          <w:sz w:val="24"/>
        </w:rPr>
        <w:t>，其中生活用水量为</w:t>
      </w:r>
      <w:r w:rsidR="00540190">
        <w:rPr>
          <w:rFonts w:hint="eastAsia"/>
          <w:sz w:val="24"/>
        </w:rPr>
        <w:t>77.85</w:t>
      </w:r>
      <w:r>
        <w:rPr>
          <w:sz w:val="24"/>
        </w:rPr>
        <w:t>m</w:t>
      </w:r>
      <w:r>
        <w:rPr>
          <w:sz w:val="24"/>
          <w:vertAlign w:val="superscript"/>
        </w:rPr>
        <w:t>3</w:t>
      </w:r>
      <w:r>
        <w:rPr>
          <w:sz w:val="24"/>
        </w:rPr>
        <w:t>/d</w:t>
      </w:r>
      <w:r>
        <w:rPr>
          <w:sz w:val="24"/>
        </w:rPr>
        <w:t>，生产用水量为</w:t>
      </w:r>
      <w:r w:rsidR="00A2097A">
        <w:rPr>
          <w:rFonts w:hint="eastAsia"/>
          <w:sz w:val="24"/>
        </w:rPr>
        <w:t>5</w:t>
      </w:r>
      <w:r w:rsidR="007B7D9D">
        <w:rPr>
          <w:rFonts w:hint="eastAsia"/>
          <w:sz w:val="24"/>
        </w:rPr>
        <w:t>38.3</w:t>
      </w:r>
      <w:r>
        <w:rPr>
          <w:sz w:val="24"/>
        </w:rPr>
        <w:t>m</w:t>
      </w:r>
      <w:r>
        <w:rPr>
          <w:sz w:val="24"/>
          <w:vertAlign w:val="superscript"/>
        </w:rPr>
        <w:t>3</w:t>
      </w:r>
      <w:r>
        <w:rPr>
          <w:sz w:val="24"/>
        </w:rPr>
        <w:t>/d</w:t>
      </w:r>
      <w:r>
        <w:rPr>
          <w:sz w:val="24"/>
        </w:rPr>
        <w:t>。项目用水量见表</w:t>
      </w:r>
      <w:r>
        <w:rPr>
          <w:sz w:val="24"/>
        </w:rPr>
        <w:t>3.3-3</w:t>
      </w:r>
      <w:r>
        <w:rPr>
          <w:sz w:val="24"/>
        </w:rPr>
        <w:t>。</w:t>
      </w:r>
    </w:p>
    <w:p w:rsidR="00951704" w:rsidRDefault="00951704" w:rsidP="00D33A63">
      <w:pPr>
        <w:widowControl/>
        <w:spacing w:line="520" w:lineRule="exact"/>
        <w:jc w:val="center"/>
        <w:rPr>
          <w:b/>
          <w:sz w:val="24"/>
        </w:rPr>
      </w:pPr>
    </w:p>
    <w:p w:rsidR="00951704" w:rsidRDefault="00951704" w:rsidP="00D33A63">
      <w:pPr>
        <w:widowControl/>
        <w:spacing w:line="520" w:lineRule="exact"/>
        <w:jc w:val="center"/>
        <w:rPr>
          <w:b/>
          <w:sz w:val="24"/>
        </w:rPr>
      </w:pPr>
    </w:p>
    <w:p w:rsidR="00951704" w:rsidRDefault="00951704" w:rsidP="00D33A63">
      <w:pPr>
        <w:widowControl/>
        <w:spacing w:line="520" w:lineRule="exact"/>
        <w:jc w:val="center"/>
        <w:rPr>
          <w:b/>
          <w:sz w:val="24"/>
        </w:rPr>
      </w:pPr>
    </w:p>
    <w:p w:rsidR="00951704" w:rsidRDefault="00951704" w:rsidP="00D33A63">
      <w:pPr>
        <w:widowControl/>
        <w:spacing w:line="520" w:lineRule="exact"/>
        <w:jc w:val="center"/>
        <w:rPr>
          <w:b/>
          <w:sz w:val="24"/>
        </w:rPr>
      </w:pPr>
    </w:p>
    <w:p w:rsidR="00240BCE" w:rsidRDefault="00AC0334" w:rsidP="00D33A63">
      <w:pPr>
        <w:widowControl/>
        <w:spacing w:line="520" w:lineRule="exact"/>
        <w:jc w:val="center"/>
        <w:rPr>
          <w:b/>
          <w:sz w:val="24"/>
        </w:rPr>
      </w:pPr>
      <w:r>
        <w:rPr>
          <w:b/>
          <w:sz w:val="24"/>
        </w:rPr>
        <w:lastRenderedPageBreak/>
        <w:t>表</w:t>
      </w:r>
      <w:r>
        <w:rPr>
          <w:b/>
          <w:sz w:val="24"/>
        </w:rPr>
        <w:t>3.3-3</w:t>
      </w:r>
      <w:r>
        <w:rPr>
          <w:b/>
        </w:rPr>
        <w:t xml:space="preserve"> </w:t>
      </w:r>
      <w:r>
        <w:rPr>
          <w:b/>
          <w:sz w:val="24"/>
        </w:rPr>
        <w:t xml:space="preserve"> </w:t>
      </w:r>
      <w:r>
        <w:rPr>
          <w:b/>
          <w:sz w:val="24"/>
        </w:rPr>
        <w:t>用水量明细表</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3"/>
        <w:gridCol w:w="1375"/>
        <w:gridCol w:w="902"/>
        <w:gridCol w:w="993"/>
        <w:gridCol w:w="850"/>
        <w:gridCol w:w="567"/>
        <w:gridCol w:w="3427"/>
      </w:tblGrid>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序号</w:t>
            </w: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用水项目</w:t>
            </w:r>
          </w:p>
        </w:tc>
        <w:tc>
          <w:tcPr>
            <w:tcW w:w="520" w:type="pct"/>
            <w:vAlign w:val="center"/>
          </w:tcPr>
          <w:p w:rsidR="00336F94" w:rsidRDefault="00336F94" w:rsidP="00D33A63">
            <w:pPr>
              <w:spacing w:line="340" w:lineRule="exact"/>
              <w:jc w:val="center"/>
              <w:rPr>
                <w:spacing w:val="-10"/>
                <w:w w:val="90"/>
                <w:sz w:val="21"/>
                <w:szCs w:val="21"/>
              </w:rPr>
            </w:pPr>
            <w:r>
              <w:rPr>
                <w:spacing w:val="-10"/>
                <w:w w:val="90"/>
                <w:sz w:val="21"/>
                <w:szCs w:val="21"/>
              </w:rPr>
              <w:t>用水人数或项目数</w:t>
            </w:r>
          </w:p>
        </w:tc>
        <w:tc>
          <w:tcPr>
            <w:tcW w:w="572" w:type="pct"/>
            <w:vAlign w:val="center"/>
          </w:tcPr>
          <w:p w:rsidR="00336F94" w:rsidRDefault="00336F94" w:rsidP="00D33A63">
            <w:pPr>
              <w:spacing w:line="340" w:lineRule="exact"/>
              <w:jc w:val="center"/>
              <w:rPr>
                <w:spacing w:val="-10"/>
                <w:w w:val="90"/>
                <w:sz w:val="21"/>
                <w:szCs w:val="21"/>
              </w:rPr>
            </w:pPr>
            <w:r>
              <w:rPr>
                <w:spacing w:val="-10"/>
                <w:w w:val="90"/>
                <w:sz w:val="21"/>
                <w:szCs w:val="21"/>
              </w:rPr>
              <w:t>用水标准</w:t>
            </w:r>
          </w:p>
        </w:tc>
        <w:tc>
          <w:tcPr>
            <w:tcW w:w="490" w:type="pct"/>
            <w:vAlign w:val="center"/>
          </w:tcPr>
          <w:p w:rsidR="00336F94" w:rsidRDefault="00336F94" w:rsidP="00D33A63">
            <w:pPr>
              <w:spacing w:line="340" w:lineRule="exact"/>
              <w:jc w:val="center"/>
              <w:rPr>
                <w:spacing w:val="-10"/>
                <w:w w:val="90"/>
                <w:sz w:val="21"/>
                <w:szCs w:val="21"/>
              </w:rPr>
            </w:pPr>
            <w:r>
              <w:rPr>
                <w:spacing w:val="-10"/>
                <w:w w:val="90"/>
                <w:sz w:val="21"/>
                <w:szCs w:val="21"/>
              </w:rPr>
              <w:t>日用水量（</w:t>
            </w:r>
            <w:r>
              <w:rPr>
                <w:spacing w:val="-10"/>
                <w:w w:val="90"/>
                <w:sz w:val="21"/>
                <w:szCs w:val="21"/>
              </w:rPr>
              <w:t>m</w:t>
            </w:r>
            <w:r>
              <w:rPr>
                <w:spacing w:val="-10"/>
                <w:w w:val="90"/>
                <w:sz w:val="21"/>
                <w:szCs w:val="21"/>
                <w:vertAlign w:val="superscript"/>
              </w:rPr>
              <w:t>3</w:t>
            </w:r>
            <w:r>
              <w:rPr>
                <w:spacing w:val="-10"/>
                <w:w w:val="90"/>
                <w:sz w:val="21"/>
                <w:szCs w:val="21"/>
              </w:rPr>
              <w:t>/d</w:t>
            </w:r>
            <w:r>
              <w:rPr>
                <w:spacing w:val="-10"/>
                <w:w w:val="90"/>
                <w:sz w:val="21"/>
                <w:szCs w:val="21"/>
              </w:rPr>
              <w:t>）</w:t>
            </w:r>
          </w:p>
        </w:tc>
        <w:tc>
          <w:tcPr>
            <w:tcW w:w="327" w:type="pct"/>
            <w:vAlign w:val="center"/>
          </w:tcPr>
          <w:p w:rsidR="00336F94" w:rsidRDefault="00336F94" w:rsidP="00D33A63">
            <w:pPr>
              <w:spacing w:line="340" w:lineRule="exact"/>
              <w:jc w:val="center"/>
              <w:rPr>
                <w:spacing w:val="-10"/>
                <w:w w:val="90"/>
                <w:sz w:val="21"/>
                <w:szCs w:val="21"/>
              </w:rPr>
            </w:pPr>
            <w:r>
              <w:rPr>
                <w:spacing w:val="-10"/>
                <w:w w:val="90"/>
                <w:sz w:val="21"/>
                <w:szCs w:val="21"/>
              </w:rPr>
              <w:t>日排水量</w:t>
            </w:r>
          </w:p>
        </w:tc>
        <w:tc>
          <w:tcPr>
            <w:tcW w:w="1975" w:type="pct"/>
            <w:vAlign w:val="center"/>
          </w:tcPr>
          <w:p w:rsidR="00336F94" w:rsidRDefault="00336F94" w:rsidP="00D33A63">
            <w:pPr>
              <w:spacing w:line="340" w:lineRule="exact"/>
              <w:jc w:val="center"/>
              <w:rPr>
                <w:spacing w:val="-10"/>
                <w:w w:val="90"/>
                <w:sz w:val="21"/>
                <w:szCs w:val="21"/>
              </w:rPr>
            </w:pPr>
            <w:r>
              <w:rPr>
                <w:spacing w:val="-10"/>
                <w:w w:val="90"/>
                <w:sz w:val="21"/>
                <w:szCs w:val="21"/>
              </w:rPr>
              <w:t>备注</w:t>
            </w:r>
          </w:p>
        </w:tc>
      </w:tr>
      <w:tr w:rsidR="00240BCE" w:rsidTr="00D33A63">
        <w:tc>
          <w:tcPr>
            <w:tcW w:w="324" w:type="pct"/>
            <w:vAlign w:val="center"/>
          </w:tcPr>
          <w:p w:rsidR="00240BCE" w:rsidRDefault="00AC0334" w:rsidP="00D33A63">
            <w:pPr>
              <w:spacing w:line="340" w:lineRule="exact"/>
              <w:jc w:val="center"/>
              <w:rPr>
                <w:spacing w:val="-10"/>
                <w:w w:val="90"/>
                <w:sz w:val="21"/>
                <w:szCs w:val="21"/>
              </w:rPr>
            </w:pPr>
            <w:r>
              <w:rPr>
                <w:spacing w:val="-10"/>
                <w:w w:val="90"/>
                <w:sz w:val="21"/>
                <w:szCs w:val="21"/>
              </w:rPr>
              <w:t>一</w:t>
            </w:r>
          </w:p>
        </w:tc>
        <w:tc>
          <w:tcPr>
            <w:tcW w:w="4676" w:type="pct"/>
            <w:gridSpan w:val="6"/>
            <w:vAlign w:val="center"/>
          </w:tcPr>
          <w:p w:rsidR="00240BCE" w:rsidRDefault="00AC0334" w:rsidP="00D33A63">
            <w:pPr>
              <w:spacing w:line="340" w:lineRule="exact"/>
              <w:jc w:val="center"/>
              <w:rPr>
                <w:spacing w:val="-10"/>
                <w:w w:val="90"/>
                <w:sz w:val="21"/>
                <w:szCs w:val="21"/>
              </w:rPr>
            </w:pPr>
            <w:r>
              <w:rPr>
                <w:spacing w:val="-10"/>
                <w:w w:val="90"/>
                <w:sz w:val="21"/>
                <w:szCs w:val="21"/>
              </w:rPr>
              <w:t>生活用水量</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1</w:t>
            </w: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矿井生活用水</w:t>
            </w:r>
          </w:p>
        </w:tc>
        <w:tc>
          <w:tcPr>
            <w:tcW w:w="520" w:type="pct"/>
            <w:vAlign w:val="center"/>
          </w:tcPr>
          <w:p w:rsidR="00336F94" w:rsidRDefault="00336F94" w:rsidP="00D33A63">
            <w:pPr>
              <w:spacing w:line="340" w:lineRule="exact"/>
              <w:jc w:val="center"/>
              <w:rPr>
                <w:spacing w:val="-10"/>
                <w:w w:val="90"/>
                <w:sz w:val="21"/>
                <w:szCs w:val="21"/>
              </w:rPr>
            </w:pPr>
            <w:r>
              <w:rPr>
                <w:spacing w:val="-10"/>
                <w:w w:val="90"/>
                <w:sz w:val="21"/>
                <w:szCs w:val="21"/>
              </w:rPr>
              <w:t>451</w:t>
            </w:r>
          </w:p>
        </w:tc>
        <w:tc>
          <w:tcPr>
            <w:tcW w:w="572" w:type="pct"/>
            <w:vAlign w:val="center"/>
          </w:tcPr>
          <w:p w:rsidR="00336F94" w:rsidRDefault="00336F94" w:rsidP="00D33A63">
            <w:pPr>
              <w:spacing w:line="340" w:lineRule="exact"/>
              <w:jc w:val="center"/>
              <w:rPr>
                <w:spacing w:val="-10"/>
                <w:w w:val="90"/>
                <w:sz w:val="21"/>
                <w:szCs w:val="21"/>
              </w:rPr>
            </w:pPr>
            <w:r>
              <w:rPr>
                <w:rFonts w:hint="eastAsia"/>
                <w:kern w:val="0"/>
                <w:sz w:val="21"/>
                <w:szCs w:val="21"/>
              </w:rPr>
              <w:t>3</w:t>
            </w:r>
            <w:r>
              <w:rPr>
                <w:kern w:val="0"/>
                <w:sz w:val="21"/>
                <w:szCs w:val="21"/>
              </w:rPr>
              <w:t>0L/</w:t>
            </w:r>
            <w:r>
              <w:rPr>
                <w:kern w:val="0"/>
                <w:sz w:val="21"/>
                <w:szCs w:val="21"/>
              </w:rPr>
              <w:t>人</w:t>
            </w:r>
            <w:r>
              <w:rPr>
                <w:kern w:val="0"/>
                <w:sz w:val="21"/>
                <w:szCs w:val="21"/>
              </w:rPr>
              <w:t>·</w:t>
            </w:r>
            <w:r>
              <w:rPr>
                <w:kern w:val="0"/>
                <w:sz w:val="21"/>
                <w:szCs w:val="21"/>
              </w:rPr>
              <w:t>天</w:t>
            </w:r>
          </w:p>
        </w:tc>
        <w:tc>
          <w:tcPr>
            <w:tcW w:w="490" w:type="pct"/>
            <w:vAlign w:val="center"/>
          </w:tcPr>
          <w:p w:rsidR="00336F94" w:rsidRDefault="00336F94" w:rsidP="00D33A63">
            <w:pPr>
              <w:spacing w:line="340" w:lineRule="exact"/>
              <w:jc w:val="center"/>
              <w:rPr>
                <w:spacing w:val="-10"/>
                <w:w w:val="90"/>
                <w:sz w:val="21"/>
                <w:szCs w:val="21"/>
              </w:rPr>
            </w:pPr>
            <w:r>
              <w:rPr>
                <w:rFonts w:hint="eastAsia"/>
                <w:spacing w:val="-10"/>
                <w:w w:val="90"/>
                <w:sz w:val="21"/>
                <w:szCs w:val="21"/>
              </w:rPr>
              <w:t>13.53</w:t>
            </w:r>
          </w:p>
        </w:tc>
        <w:tc>
          <w:tcPr>
            <w:tcW w:w="327" w:type="pct"/>
            <w:vAlign w:val="center"/>
          </w:tcPr>
          <w:p w:rsidR="00336F94" w:rsidRDefault="00336F94" w:rsidP="005656B8">
            <w:pPr>
              <w:spacing w:line="340" w:lineRule="exact"/>
              <w:jc w:val="center"/>
              <w:rPr>
                <w:spacing w:val="-10"/>
                <w:w w:val="90"/>
                <w:sz w:val="21"/>
                <w:szCs w:val="21"/>
              </w:rPr>
            </w:pPr>
            <w:r>
              <w:rPr>
                <w:spacing w:val="-10"/>
                <w:w w:val="90"/>
                <w:sz w:val="21"/>
                <w:szCs w:val="21"/>
              </w:rPr>
              <w:t>1</w:t>
            </w:r>
            <w:r>
              <w:rPr>
                <w:rFonts w:hint="eastAsia"/>
                <w:spacing w:val="-10"/>
                <w:w w:val="90"/>
                <w:sz w:val="21"/>
                <w:szCs w:val="21"/>
              </w:rPr>
              <w:t>1.5</w:t>
            </w:r>
          </w:p>
        </w:tc>
        <w:tc>
          <w:tcPr>
            <w:tcW w:w="1975" w:type="pct"/>
            <w:vAlign w:val="center"/>
          </w:tcPr>
          <w:p w:rsidR="00336F94" w:rsidRDefault="00336F94" w:rsidP="00D33A63">
            <w:pPr>
              <w:spacing w:line="340" w:lineRule="exact"/>
              <w:jc w:val="center"/>
              <w:rPr>
                <w:spacing w:val="-10"/>
                <w:w w:val="90"/>
                <w:sz w:val="21"/>
                <w:szCs w:val="21"/>
              </w:rPr>
            </w:pP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2</w:t>
            </w: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食堂用水</w:t>
            </w:r>
          </w:p>
        </w:tc>
        <w:tc>
          <w:tcPr>
            <w:tcW w:w="520" w:type="pct"/>
            <w:vAlign w:val="center"/>
          </w:tcPr>
          <w:p w:rsidR="00336F94" w:rsidRDefault="00336F94" w:rsidP="00D33A63">
            <w:pPr>
              <w:spacing w:line="340" w:lineRule="exact"/>
              <w:jc w:val="center"/>
              <w:rPr>
                <w:spacing w:val="-10"/>
                <w:w w:val="90"/>
                <w:sz w:val="21"/>
                <w:szCs w:val="21"/>
              </w:rPr>
            </w:pPr>
            <w:r>
              <w:rPr>
                <w:spacing w:val="-10"/>
                <w:w w:val="90"/>
                <w:sz w:val="21"/>
                <w:szCs w:val="21"/>
              </w:rPr>
              <w:t>451</w:t>
            </w:r>
          </w:p>
        </w:tc>
        <w:tc>
          <w:tcPr>
            <w:tcW w:w="572" w:type="pct"/>
            <w:vAlign w:val="center"/>
          </w:tcPr>
          <w:p w:rsidR="00336F94" w:rsidRDefault="00336F94" w:rsidP="00D33A63">
            <w:pPr>
              <w:widowControl/>
              <w:spacing w:line="340" w:lineRule="exact"/>
              <w:jc w:val="center"/>
              <w:rPr>
                <w:spacing w:val="-10"/>
                <w:w w:val="90"/>
                <w:sz w:val="21"/>
                <w:szCs w:val="21"/>
              </w:rPr>
            </w:pPr>
            <w:r>
              <w:rPr>
                <w:kern w:val="0"/>
                <w:sz w:val="21"/>
                <w:szCs w:val="21"/>
              </w:rPr>
              <w:t>20L/</w:t>
            </w:r>
            <w:r>
              <w:rPr>
                <w:kern w:val="0"/>
                <w:sz w:val="21"/>
                <w:szCs w:val="21"/>
              </w:rPr>
              <w:t>人</w:t>
            </w:r>
            <w:r>
              <w:rPr>
                <w:kern w:val="0"/>
                <w:sz w:val="21"/>
                <w:szCs w:val="21"/>
              </w:rPr>
              <w:t>·</w:t>
            </w:r>
            <w:r>
              <w:rPr>
                <w:kern w:val="0"/>
                <w:sz w:val="21"/>
                <w:szCs w:val="21"/>
              </w:rPr>
              <w:t>餐</w:t>
            </w:r>
          </w:p>
        </w:tc>
        <w:tc>
          <w:tcPr>
            <w:tcW w:w="490" w:type="pct"/>
            <w:vAlign w:val="center"/>
          </w:tcPr>
          <w:p w:rsidR="00336F94" w:rsidRDefault="00336F94" w:rsidP="00D33A63">
            <w:pPr>
              <w:spacing w:line="340" w:lineRule="exact"/>
              <w:jc w:val="center"/>
              <w:rPr>
                <w:spacing w:val="-10"/>
                <w:w w:val="90"/>
                <w:sz w:val="21"/>
                <w:szCs w:val="21"/>
              </w:rPr>
            </w:pPr>
            <w:r>
              <w:rPr>
                <w:rFonts w:hint="eastAsia"/>
                <w:spacing w:val="-10"/>
                <w:w w:val="90"/>
                <w:sz w:val="21"/>
                <w:szCs w:val="21"/>
              </w:rPr>
              <w:t>18.04</w:t>
            </w:r>
          </w:p>
        </w:tc>
        <w:tc>
          <w:tcPr>
            <w:tcW w:w="327" w:type="pct"/>
            <w:vAlign w:val="center"/>
          </w:tcPr>
          <w:p w:rsidR="00336F94" w:rsidRDefault="00336F94" w:rsidP="005656B8">
            <w:pPr>
              <w:spacing w:line="340" w:lineRule="exact"/>
              <w:jc w:val="center"/>
              <w:rPr>
                <w:spacing w:val="-10"/>
                <w:w w:val="90"/>
                <w:sz w:val="21"/>
                <w:szCs w:val="21"/>
              </w:rPr>
            </w:pPr>
            <w:r>
              <w:rPr>
                <w:rFonts w:hint="eastAsia"/>
                <w:spacing w:val="-10"/>
                <w:w w:val="90"/>
                <w:sz w:val="21"/>
                <w:szCs w:val="21"/>
              </w:rPr>
              <w:t>15.3</w:t>
            </w:r>
          </w:p>
        </w:tc>
        <w:tc>
          <w:tcPr>
            <w:tcW w:w="1975" w:type="pct"/>
            <w:vAlign w:val="center"/>
          </w:tcPr>
          <w:p w:rsidR="00336F94" w:rsidRDefault="00336F94" w:rsidP="00D33A63">
            <w:pPr>
              <w:widowControl/>
              <w:spacing w:line="340" w:lineRule="exact"/>
              <w:jc w:val="center"/>
              <w:rPr>
                <w:spacing w:val="-10"/>
                <w:w w:val="90"/>
                <w:sz w:val="21"/>
                <w:szCs w:val="21"/>
              </w:rPr>
            </w:pPr>
            <w:r>
              <w:rPr>
                <w:color w:val="000000"/>
                <w:kern w:val="0"/>
                <w:sz w:val="21"/>
                <w:szCs w:val="21"/>
              </w:rPr>
              <w:t>每日</w:t>
            </w:r>
            <w:r>
              <w:rPr>
                <w:rFonts w:hint="eastAsia"/>
                <w:color w:val="000000"/>
                <w:kern w:val="0"/>
                <w:sz w:val="21"/>
                <w:szCs w:val="21"/>
              </w:rPr>
              <w:t>2</w:t>
            </w:r>
            <w:r>
              <w:rPr>
                <w:color w:val="000000"/>
                <w:kern w:val="0"/>
                <w:sz w:val="21"/>
                <w:szCs w:val="21"/>
              </w:rPr>
              <w:t>餐</w:t>
            </w:r>
            <w:r>
              <w:rPr>
                <w:rFonts w:hint="eastAsia"/>
                <w:color w:val="000000"/>
                <w:kern w:val="0"/>
                <w:sz w:val="21"/>
                <w:szCs w:val="21"/>
              </w:rPr>
              <w:t>，最大班</w:t>
            </w:r>
            <w:r>
              <w:rPr>
                <w:rFonts w:hint="eastAsia"/>
                <w:color w:val="000000"/>
                <w:kern w:val="0"/>
                <w:sz w:val="21"/>
                <w:szCs w:val="21"/>
              </w:rPr>
              <w:t>150</w:t>
            </w:r>
            <w:r>
              <w:rPr>
                <w:rFonts w:hint="eastAsia"/>
                <w:color w:val="000000"/>
                <w:kern w:val="0"/>
                <w:sz w:val="21"/>
                <w:szCs w:val="21"/>
              </w:rPr>
              <w:t>人</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3</w:t>
            </w: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洗浴（淋浴、浴池）用水</w:t>
            </w:r>
          </w:p>
        </w:tc>
        <w:tc>
          <w:tcPr>
            <w:tcW w:w="520" w:type="pct"/>
            <w:vAlign w:val="center"/>
          </w:tcPr>
          <w:p w:rsidR="00336F94" w:rsidRDefault="00336F94" w:rsidP="00D33A63">
            <w:pPr>
              <w:spacing w:line="340" w:lineRule="exact"/>
              <w:jc w:val="center"/>
              <w:rPr>
                <w:spacing w:val="-10"/>
                <w:w w:val="90"/>
                <w:sz w:val="21"/>
                <w:szCs w:val="21"/>
              </w:rPr>
            </w:pPr>
            <w:r>
              <w:rPr>
                <w:spacing w:val="-10"/>
                <w:w w:val="90"/>
                <w:sz w:val="21"/>
                <w:szCs w:val="21"/>
              </w:rPr>
              <w:t>451</w:t>
            </w:r>
          </w:p>
        </w:tc>
        <w:tc>
          <w:tcPr>
            <w:tcW w:w="572" w:type="pct"/>
            <w:vAlign w:val="center"/>
          </w:tcPr>
          <w:p w:rsidR="00336F94" w:rsidRDefault="00336F94" w:rsidP="00D33A63">
            <w:pPr>
              <w:widowControl/>
              <w:spacing w:line="340" w:lineRule="exact"/>
              <w:jc w:val="center"/>
              <w:rPr>
                <w:spacing w:val="-10"/>
                <w:w w:val="90"/>
                <w:sz w:val="21"/>
                <w:szCs w:val="21"/>
              </w:rPr>
            </w:pPr>
            <w:r>
              <w:rPr>
                <w:kern w:val="0"/>
                <w:sz w:val="21"/>
                <w:szCs w:val="21"/>
              </w:rPr>
              <w:t>45L/</w:t>
            </w:r>
            <w:r>
              <w:rPr>
                <w:kern w:val="0"/>
                <w:sz w:val="21"/>
                <w:szCs w:val="21"/>
              </w:rPr>
              <w:t>人</w:t>
            </w:r>
            <w:r>
              <w:rPr>
                <w:kern w:val="0"/>
                <w:sz w:val="21"/>
                <w:szCs w:val="21"/>
              </w:rPr>
              <w:t>·</w:t>
            </w:r>
            <w:r>
              <w:rPr>
                <w:kern w:val="0"/>
                <w:sz w:val="21"/>
                <w:szCs w:val="21"/>
              </w:rPr>
              <w:t>次</w:t>
            </w:r>
          </w:p>
        </w:tc>
        <w:tc>
          <w:tcPr>
            <w:tcW w:w="490" w:type="pct"/>
            <w:vAlign w:val="center"/>
          </w:tcPr>
          <w:p w:rsidR="00336F94" w:rsidRDefault="00336F94" w:rsidP="00D33A63">
            <w:pPr>
              <w:spacing w:line="340" w:lineRule="exact"/>
              <w:jc w:val="center"/>
              <w:rPr>
                <w:spacing w:val="-10"/>
                <w:w w:val="90"/>
                <w:sz w:val="21"/>
                <w:szCs w:val="21"/>
              </w:rPr>
            </w:pPr>
            <w:r>
              <w:rPr>
                <w:spacing w:val="-10"/>
                <w:w w:val="90"/>
                <w:sz w:val="21"/>
                <w:szCs w:val="21"/>
              </w:rPr>
              <w:t>20.3</w:t>
            </w:r>
            <w:r>
              <w:rPr>
                <w:rFonts w:hint="eastAsia"/>
                <w:spacing w:val="-10"/>
                <w:w w:val="90"/>
                <w:sz w:val="21"/>
                <w:szCs w:val="21"/>
              </w:rPr>
              <w:t>0</w:t>
            </w:r>
          </w:p>
        </w:tc>
        <w:tc>
          <w:tcPr>
            <w:tcW w:w="327" w:type="pct"/>
            <w:vAlign w:val="center"/>
          </w:tcPr>
          <w:p w:rsidR="00336F94" w:rsidRDefault="00336F94" w:rsidP="005656B8">
            <w:pPr>
              <w:spacing w:line="340" w:lineRule="exact"/>
              <w:jc w:val="center"/>
              <w:rPr>
                <w:spacing w:val="-10"/>
                <w:w w:val="90"/>
                <w:sz w:val="21"/>
                <w:szCs w:val="21"/>
              </w:rPr>
            </w:pPr>
            <w:r>
              <w:rPr>
                <w:rFonts w:hint="eastAsia"/>
                <w:spacing w:val="-10"/>
                <w:w w:val="90"/>
                <w:sz w:val="21"/>
                <w:szCs w:val="21"/>
              </w:rPr>
              <w:t>17.3</w:t>
            </w:r>
          </w:p>
        </w:tc>
        <w:tc>
          <w:tcPr>
            <w:tcW w:w="1975" w:type="pct"/>
            <w:vAlign w:val="center"/>
          </w:tcPr>
          <w:p w:rsidR="00336F94" w:rsidRDefault="00336F94" w:rsidP="00D33A63">
            <w:pPr>
              <w:spacing w:line="340" w:lineRule="exact"/>
              <w:jc w:val="center"/>
              <w:rPr>
                <w:spacing w:val="-10"/>
                <w:w w:val="90"/>
                <w:sz w:val="21"/>
                <w:szCs w:val="21"/>
              </w:rPr>
            </w:pP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4</w:t>
            </w: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洗衣用水</w:t>
            </w:r>
          </w:p>
        </w:tc>
        <w:tc>
          <w:tcPr>
            <w:tcW w:w="520" w:type="pct"/>
            <w:vAlign w:val="center"/>
          </w:tcPr>
          <w:p w:rsidR="00336F94" w:rsidRDefault="00336F94" w:rsidP="00D33A63">
            <w:pPr>
              <w:spacing w:line="340" w:lineRule="exact"/>
              <w:jc w:val="center"/>
              <w:rPr>
                <w:spacing w:val="-10"/>
                <w:w w:val="90"/>
                <w:sz w:val="21"/>
                <w:szCs w:val="21"/>
              </w:rPr>
            </w:pPr>
            <w:r>
              <w:rPr>
                <w:rFonts w:hint="eastAsia"/>
                <w:spacing w:val="-10"/>
                <w:w w:val="90"/>
                <w:sz w:val="21"/>
                <w:szCs w:val="21"/>
              </w:rPr>
              <w:t>315</w:t>
            </w:r>
          </w:p>
        </w:tc>
        <w:tc>
          <w:tcPr>
            <w:tcW w:w="572" w:type="pct"/>
            <w:vAlign w:val="center"/>
          </w:tcPr>
          <w:p w:rsidR="00336F94" w:rsidRDefault="00336F94" w:rsidP="00D33A63">
            <w:pPr>
              <w:widowControl/>
              <w:spacing w:line="340" w:lineRule="exact"/>
              <w:jc w:val="center"/>
              <w:rPr>
                <w:spacing w:val="-10"/>
                <w:w w:val="90"/>
                <w:sz w:val="21"/>
                <w:szCs w:val="21"/>
              </w:rPr>
            </w:pPr>
            <w:r>
              <w:rPr>
                <w:kern w:val="0"/>
                <w:sz w:val="21"/>
                <w:szCs w:val="21"/>
              </w:rPr>
              <w:t>60L/</w:t>
            </w:r>
            <w:r>
              <w:rPr>
                <w:kern w:val="0"/>
                <w:sz w:val="21"/>
                <w:szCs w:val="21"/>
              </w:rPr>
              <w:t>人</w:t>
            </w:r>
            <w:r>
              <w:rPr>
                <w:kern w:val="0"/>
                <w:sz w:val="21"/>
                <w:szCs w:val="21"/>
              </w:rPr>
              <w:t>·</w:t>
            </w:r>
            <w:r>
              <w:rPr>
                <w:kern w:val="0"/>
                <w:sz w:val="21"/>
                <w:szCs w:val="21"/>
              </w:rPr>
              <w:t>天</w:t>
            </w:r>
          </w:p>
        </w:tc>
        <w:tc>
          <w:tcPr>
            <w:tcW w:w="490" w:type="pct"/>
            <w:vAlign w:val="center"/>
          </w:tcPr>
          <w:p w:rsidR="00336F94" w:rsidRDefault="00336F94" w:rsidP="00D33A63">
            <w:pPr>
              <w:spacing w:line="340" w:lineRule="exact"/>
              <w:jc w:val="center"/>
              <w:rPr>
                <w:spacing w:val="-10"/>
                <w:w w:val="90"/>
                <w:sz w:val="21"/>
                <w:szCs w:val="21"/>
              </w:rPr>
            </w:pPr>
            <w:r>
              <w:rPr>
                <w:rFonts w:hint="eastAsia"/>
                <w:spacing w:val="-10"/>
                <w:w w:val="90"/>
                <w:sz w:val="21"/>
                <w:szCs w:val="21"/>
              </w:rPr>
              <w:t>18.90</w:t>
            </w:r>
          </w:p>
        </w:tc>
        <w:tc>
          <w:tcPr>
            <w:tcW w:w="327" w:type="pct"/>
            <w:vAlign w:val="center"/>
          </w:tcPr>
          <w:p w:rsidR="00336F94" w:rsidRDefault="00336F94" w:rsidP="005656B8">
            <w:pPr>
              <w:spacing w:line="340" w:lineRule="exact"/>
              <w:jc w:val="center"/>
              <w:rPr>
                <w:spacing w:val="-10"/>
                <w:w w:val="90"/>
                <w:sz w:val="21"/>
                <w:szCs w:val="21"/>
              </w:rPr>
            </w:pPr>
            <w:r>
              <w:rPr>
                <w:rFonts w:hint="eastAsia"/>
                <w:spacing w:val="-10"/>
                <w:w w:val="90"/>
                <w:sz w:val="21"/>
                <w:szCs w:val="21"/>
              </w:rPr>
              <w:t>16.1</w:t>
            </w:r>
          </w:p>
        </w:tc>
        <w:tc>
          <w:tcPr>
            <w:tcW w:w="1975" w:type="pct"/>
            <w:vAlign w:val="center"/>
          </w:tcPr>
          <w:p w:rsidR="00336F94" w:rsidRDefault="00336F94" w:rsidP="00D33A63">
            <w:pPr>
              <w:spacing w:line="340" w:lineRule="exact"/>
              <w:jc w:val="center"/>
              <w:rPr>
                <w:spacing w:val="-10"/>
                <w:w w:val="90"/>
                <w:sz w:val="21"/>
                <w:szCs w:val="21"/>
              </w:rPr>
            </w:pP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5</w:t>
            </w: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未预见水量</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p>
        </w:tc>
        <w:tc>
          <w:tcPr>
            <w:tcW w:w="490" w:type="pct"/>
            <w:vAlign w:val="center"/>
          </w:tcPr>
          <w:p w:rsidR="00336F94" w:rsidRDefault="00336F94" w:rsidP="00D33A63">
            <w:pPr>
              <w:spacing w:line="340" w:lineRule="exact"/>
              <w:jc w:val="center"/>
              <w:rPr>
                <w:spacing w:val="-10"/>
                <w:w w:val="90"/>
                <w:sz w:val="21"/>
                <w:szCs w:val="21"/>
              </w:rPr>
            </w:pPr>
            <w:r>
              <w:rPr>
                <w:rFonts w:hint="eastAsia"/>
                <w:spacing w:val="-10"/>
                <w:w w:val="90"/>
                <w:sz w:val="21"/>
                <w:szCs w:val="21"/>
              </w:rPr>
              <w:t>7.08</w:t>
            </w:r>
          </w:p>
        </w:tc>
        <w:tc>
          <w:tcPr>
            <w:tcW w:w="327" w:type="pct"/>
            <w:vAlign w:val="center"/>
          </w:tcPr>
          <w:p w:rsidR="00336F94" w:rsidRDefault="00336F94" w:rsidP="005656B8">
            <w:pPr>
              <w:spacing w:line="340" w:lineRule="exact"/>
              <w:jc w:val="center"/>
              <w:rPr>
                <w:spacing w:val="-10"/>
                <w:w w:val="90"/>
                <w:sz w:val="21"/>
                <w:szCs w:val="21"/>
              </w:rPr>
            </w:pPr>
            <w:r>
              <w:rPr>
                <w:rFonts w:hint="eastAsia"/>
                <w:spacing w:val="-10"/>
                <w:w w:val="90"/>
                <w:sz w:val="21"/>
                <w:szCs w:val="21"/>
              </w:rPr>
              <w:t>6.0</w:t>
            </w:r>
          </w:p>
        </w:tc>
        <w:tc>
          <w:tcPr>
            <w:tcW w:w="1975" w:type="pct"/>
            <w:vAlign w:val="center"/>
          </w:tcPr>
          <w:p w:rsidR="00336F94" w:rsidRDefault="00336F94" w:rsidP="00D33A63">
            <w:pPr>
              <w:widowControl/>
              <w:spacing w:line="340" w:lineRule="exact"/>
              <w:jc w:val="center"/>
              <w:rPr>
                <w:spacing w:val="-10"/>
                <w:w w:val="90"/>
                <w:sz w:val="21"/>
                <w:szCs w:val="21"/>
              </w:rPr>
            </w:pPr>
            <w:r>
              <w:rPr>
                <w:color w:val="000000"/>
                <w:kern w:val="0"/>
                <w:sz w:val="21"/>
                <w:szCs w:val="21"/>
              </w:rPr>
              <w:t>按</w:t>
            </w:r>
            <w:r>
              <w:rPr>
                <w:color w:val="000000"/>
                <w:kern w:val="0"/>
                <w:sz w:val="21"/>
                <w:szCs w:val="21"/>
              </w:rPr>
              <w:t>1-</w:t>
            </w:r>
            <w:r>
              <w:rPr>
                <w:rFonts w:hint="eastAsia"/>
                <w:color w:val="000000"/>
                <w:kern w:val="0"/>
                <w:sz w:val="21"/>
                <w:szCs w:val="21"/>
              </w:rPr>
              <w:t>4</w:t>
            </w:r>
            <w:r>
              <w:rPr>
                <w:color w:val="000000"/>
                <w:kern w:val="0"/>
                <w:sz w:val="21"/>
                <w:szCs w:val="21"/>
              </w:rPr>
              <w:t>项的</w:t>
            </w:r>
            <w:r>
              <w:rPr>
                <w:color w:val="000000"/>
                <w:kern w:val="0"/>
                <w:sz w:val="21"/>
                <w:szCs w:val="21"/>
              </w:rPr>
              <w:t>10%</w:t>
            </w:r>
            <w:r>
              <w:rPr>
                <w:color w:val="000000"/>
                <w:kern w:val="0"/>
                <w:sz w:val="21"/>
                <w:szCs w:val="21"/>
              </w:rPr>
              <w:t>估算</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6</w:t>
            </w: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小计</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p>
        </w:tc>
        <w:tc>
          <w:tcPr>
            <w:tcW w:w="490" w:type="pct"/>
            <w:vAlign w:val="center"/>
          </w:tcPr>
          <w:p w:rsidR="00336F94" w:rsidRDefault="00336F94" w:rsidP="00D33A63">
            <w:pPr>
              <w:spacing w:line="340" w:lineRule="exact"/>
              <w:jc w:val="center"/>
              <w:rPr>
                <w:spacing w:val="-10"/>
                <w:w w:val="90"/>
                <w:sz w:val="21"/>
                <w:szCs w:val="21"/>
              </w:rPr>
            </w:pPr>
            <w:r>
              <w:rPr>
                <w:rFonts w:hint="eastAsia"/>
                <w:spacing w:val="-10"/>
                <w:w w:val="90"/>
                <w:sz w:val="21"/>
                <w:szCs w:val="21"/>
              </w:rPr>
              <w:t>77.85</w:t>
            </w:r>
          </w:p>
        </w:tc>
        <w:tc>
          <w:tcPr>
            <w:tcW w:w="327" w:type="pct"/>
            <w:vAlign w:val="center"/>
          </w:tcPr>
          <w:p w:rsidR="00336F94" w:rsidRDefault="00336F94" w:rsidP="005656B8">
            <w:pPr>
              <w:spacing w:line="340" w:lineRule="exact"/>
              <w:jc w:val="center"/>
              <w:rPr>
                <w:spacing w:val="-10"/>
                <w:w w:val="90"/>
                <w:sz w:val="21"/>
                <w:szCs w:val="21"/>
              </w:rPr>
            </w:pPr>
            <w:r>
              <w:rPr>
                <w:rFonts w:hint="eastAsia"/>
                <w:spacing w:val="-10"/>
                <w:w w:val="90"/>
                <w:sz w:val="21"/>
                <w:szCs w:val="21"/>
              </w:rPr>
              <w:t>66.2</w:t>
            </w:r>
          </w:p>
        </w:tc>
        <w:tc>
          <w:tcPr>
            <w:tcW w:w="1975" w:type="pct"/>
            <w:vAlign w:val="center"/>
          </w:tcPr>
          <w:p w:rsidR="00336F94" w:rsidRDefault="00336F94" w:rsidP="00D33A63">
            <w:pPr>
              <w:spacing w:line="340" w:lineRule="exact"/>
              <w:jc w:val="center"/>
              <w:rPr>
                <w:spacing w:val="-10"/>
                <w:w w:val="90"/>
                <w:sz w:val="21"/>
                <w:szCs w:val="21"/>
              </w:rPr>
            </w:pPr>
          </w:p>
        </w:tc>
      </w:tr>
      <w:tr w:rsidR="00336F94" w:rsidTr="00D33A63">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二</w:t>
            </w:r>
          </w:p>
        </w:tc>
        <w:tc>
          <w:tcPr>
            <w:tcW w:w="4676" w:type="pct"/>
            <w:gridSpan w:val="6"/>
            <w:vAlign w:val="center"/>
          </w:tcPr>
          <w:p w:rsidR="00336F94" w:rsidRDefault="00336F94" w:rsidP="00D33A63">
            <w:pPr>
              <w:spacing w:line="340" w:lineRule="exact"/>
              <w:jc w:val="center"/>
              <w:rPr>
                <w:spacing w:val="-10"/>
                <w:w w:val="90"/>
                <w:sz w:val="21"/>
                <w:szCs w:val="21"/>
              </w:rPr>
            </w:pPr>
            <w:r>
              <w:rPr>
                <w:spacing w:val="-10"/>
                <w:w w:val="90"/>
                <w:sz w:val="21"/>
                <w:szCs w:val="21"/>
              </w:rPr>
              <w:t>生产用水量</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1</w:t>
            </w: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井下防尘洒水</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p>
        </w:tc>
        <w:tc>
          <w:tcPr>
            <w:tcW w:w="490" w:type="pct"/>
            <w:vAlign w:val="center"/>
          </w:tcPr>
          <w:p w:rsidR="00336F94" w:rsidRDefault="00336F94" w:rsidP="00A2097A">
            <w:pPr>
              <w:spacing w:line="340" w:lineRule="exact"/>
              <w:jc w:val="center"/>
              <w:rPr>
                <w:spacing w:val="-10"/>
                <w:w w:val="90"/>
                <w:sz w:val="21"/>
                <w:szCs w:val="21"/>
              </w:rPr>
            </w:pPr>
            <w:r>
              <w:rPr>
                <w:rFonts w:hint="eastAsia"/>
                <w:spacing w:val="-10"/>
                <w:w w:val="90"/>
                <w:sz w:val="21"/>
                <w:szCs w:val="21"/>
              </w:rPr>
              <w:t>3</w:t>
            </w:r>
            <w:r w:rsidR="00A2097A">
              <w:rPr>
                <w:rFonts w:hint="eastAsia"/>
                <w:spacing w:val="-10"/>
                <w:w w:val="90"/>
                <w:sz w:val="21"/>
                <w:szCs w:val="21"/>
              </w:rPr>
              <w:t>72</w:t>
            </w:r>
            <w:r>
              <w:rPr>
                <w:rFonts w:hint="eastAsia"/>
                <w:spacing w:val="-10"/>
                <w:w w:val="90"/>
                <w:sz w:val="21"/>
                <w:szCs w:val="21"/>
              </w:rPr>
              <w:t>.</w:t>
            </w:r>
            <w:r>
              <w:rPr>
                <w:spacing w:val="-10"/>
                <w:w w:val="90"/>
                <w:sz w:val="21"/>
                <w:szCs w:val="21"/>
              </w:rPr>
              <w:t>6</w:t>
            </w:r>
          </w:p>
        </w:tc>
        <w:tc>
          <w:tcPr>
            <w:tcW w:w="327" w:type="pct"/>
            <w:vAlign w:val="center"/>
          </w:tcPr>
          <w:p w:rsidR="00336F94" w:rsidRDefault="00336F94" w:rsidP="00D33A63">
            <w:pPr>
              <w:spacing w:line="340" w:lineRule="exact"/>
              <w:jc w:val="center"/>
              <w:rPr>
                <w:spacing w:val="-10"/>
                <w:w w:val="90"/>
                <w:sz w:val="21"/>
                <w:szCs w:val="21"/>
              </w:rPr>
            </w:pPr>
          </w:p>
        </w:tc>
        <w:tc>
          <w:tcPr>
            <w:tcW w:w="1975" w:type="pct"/>
            <w:vAlign w:val="center"/>
          </w:tcPr>
          <w:p w:rsidR="00336F94" w:rsidRDefault="00336F94" w:rsidP="00D33A63">
            <w:pPr>
              <w:spacing w:line="340" w:lineRule="exact"/>
              <w:jc w:val="center"/>
              <w:rPr>
                <w:spacing w:val="-10"/>
                <w:w w:val="90"/>
                <w:sz w:val="21"/>
                <w:szCs w:val="21"/>
              </w:rPr>
            </w:pPr>
            <w:r>
              <w:rPr>
                <w:spacing w:val="-10"/>
                <w:w w:val="90"/>
                <w:sz w:val="21"/>
                <w:szCs w:val="21"/>
              </w:rPr>
              <w:t>设计估算</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2</w:t>
            </w:r>
          </w:p>
        </w:tc>
        <w:tc>
          <w:tcPr>
            <w:tcW w:w="792" w:type="pct"/>
            <w:vAlign w:val="center"/>
          </w:tcPr>
          <w:p w:rsidR="00336F94" w:rsidRDefault="00802A62" w:rsidP="00D33A63">
            <w:pPr>
              <w:spacing w:line="340" w:lineRule="exact"/>
              <w:jc w:val="center"/>
              <w:rPr>
                <w:spacing w:val="-10"/>
                <w:w w:val="90"/>
                <w:sz w:val="21"/>
                <w:szCs w:val="21"/>
              </w:rPr>
            </w:pPr>
            <w:r>
              <w:rPr>
                <w:spacing w:val="-10"/>
                <w:w w:val="90"/>
                <w:sz w:val="21"/>
                <w:szCs w:val="21"/>
              </w:rPr>
              <w:t>储煤库</w:t>
            </w:r>
            <w:r w:rsidR="00336F94">
              <w:rPr>
                <w:spacing w:val="-10"/>
                <w:w w:val="90"/>
                <w:sz w:val="21"/>
                <w:szCs w:val="21"/>
              </w:rPr>
              <w:t>洒水</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p>
        </w:tc>
        <w:tc>
          <w:tcPr>
            <w:tcW w:w="490" w:type="pct"/>
            <w:vAlign w:val="center"/>
          </w:tcPr>
          <w:p w:rsidR="00336F94" w:rsidRDefault="00336F94" w:rsidP="00D33A63">
            <w:pPr>
              <w:spacing w:line="340" w:lineRule="exact"/>
              <w:jc w:val="center"/>
              <w:rPr>
                <w:spacing w:val="-10"/>
                <w:w w:val="90"/>
                <w:sz w:val="21"/>
                <w:szCs w:val="21"/>
              </w:rPr>
            </w:pPr>
            <w:r>
              <w:rPr>
                <w:rFonts w:hint="eastAsia"/>
                <w:spacing w:val="-10"/>
                <w:w w:val="90"/>
                <w:sz w:val="21"/>
                <w:szCs w:val="21"/>
              </w:rPr>
              <w:t>5</w:t>
            </w:r>
            <w:r>
              <w:rPr>
                <w:spacing w:val="-10"/>
                <w:w w:val="90"/>
                <w:sz w:val="21"/>
                <w:szCs w:val="21"/>
              </w:rPr>
              <w:t>7</w:t>
            </w:r>
            <w:r>
              <w:rPr>
                <w:rFonts w:hint="eastAsia"/>
                <w:spacing w:val="-10"/>
                <w:w w:val="90"/>
                <w:sz w:val="21"/>
                <w:szCs w:val="21"/>
              </w:rPr>
              <w:t>.</w:t>
            </w:r>
            <w:r>
              <w:rPr>
                <w:spacing w:val="-10"/>
                <w:w w:val="90"/>
                <w:sz w:val="21"/>
                <w:szCs w:val="21"/>
              </w:rPr>
              <w:t>3</w:t>
            </w:r>
          </w:p>
        </w:tc>
        <w:tc>
          <w:tcPr>
            <w:tcW w:w="327" w:type="pct"/>
            <w:vAlign w:val="center"/>
          </w:tcPr>
          <w:p w:rsidR="00336F94" w:rsidRDefault="00336F94" w:rsidP="00D33A63">
            <w:pPr>
              <w:spacing w:line="340" w:lineRule="exact"/>
              <w:jc w:val="center"/>
              <w:rPr>
                <w:spacing w:val="-10"/>
                <w:w w:val="90"/>
                <w:sz w:val="21"/>
                <w:szCs w:val="21"/>
              </w:rPr>
            </w:pPr>
          </w:p>
        </w:tc>
        <w:tc>
          <w:tcPr>
            <w:tcW w:w="1975" w:type="pct"/>
            <w:vAlign w:val="center"/>
          </w:tcPr>
          <w:p w:rsidR="00336F94" w:rsidRDefault="00A2097A" w:rsidP="00A2097A">
            <w:pPr>
              <w:spacing w:line="340" w:lineRule="exact"/>
              <w:jc w:val="center"/>
              <w:rPr>
                <w:spacing w:val="-10"/>
                <w:w w:val="90"/>
                <w:sz w:val="21"/>
                <w:szCs w:val="21"/>
              </w:rPr>
            </w:pPr>
            <w:r w:rsidRPr="00A2097A">
              <w:rPr>
                <w:rFonts w:hint="eastAsia"/>
                <w:b/>
                <w:spacing w:val="-10"/>
                <w:w w:val="90"/>
                <w:sz w:val="21"/>
                <w:szCs w:val="21"/>
                <w:u w:val="single"/>
              </w:rPr>
              <w:t>储煤库设置雾化喷淋装置，湿法作业，根据业主提供资料，</w:t>
            </w:r>
            <w:r>
              <w:rPr>
                <w:rFonts w:hint="eastAsia"/>
                <w:b/>
                <w:spacing w:val="-10"/>
                <w:w w:val="90"/>
                <w:sz w:val="21"/>
                <w:szCs w:val="21"/>
                <w:u w:val="single"/>
              </w:rPr>
              <w:t>设计核算</w:t>
            </w:r>
            <w:r w:rsidRPr="00A2097A">
              <w:rPr>
                <w:rFonts w:hint="eastAsia"/>
                <w:b/>
                <w:spacing w:val="-10"/>
                <w:w w:val="90"/>
                <w:sz w:val="21"/>
                <w:szCs w:val="21"/>
                <w:u w:val="single"/>
              </w:rPr>
              <w:t>日用水量</w:t>
            </w:r>
            <w:r>
              <w:rPr>
                <w:rFonts w:hint="eastAsia"/>
                <w:b/>
                <w:spacing w:val="-10"/>
                <w:w w:val="90"/>
                <w:sz w:val="21"/>
                <w:szCs w:val="21"/>
                <w:u w:val="single"/>
              </w:rPr>
              <w:t>约</w:t>
            </w:r>
            <w:r>
              <w:rPr>
                <w:rFonts w:hint="eastAsia"/>
                <w:b/>
                <w:spacing w:val="-10"/>
                <w:w w:val="90"/>
                <w:sz w:val="21"/>
                <w:szCs w:val="21"/>
                <w:u w:val="single"/>
              </w:rPr>
              <w:t>57.3</w:t>
            </w:r>
            <w:r w:rsidRPr="00A2097A">
              <w:rPr>
                <w:b/>
                <w:spacing w:val="-10"/>
                <w:w w:val="90"/>
                <w:sz w:val="21"/>
                <w:szCs w:val="21"/>
                <w:u w:val="single"/>
              </w:rPr>
              <w:t>m</w:t>
            </w:r>
            <w:r w:rsidRPr="00A2097A">
              <w:rPr>
                <w:b/>
                <w:spacing w:val="-10"/>
                <w:w w:val="90"/>
                <w:sz w:val="21"/>
                <w:szCs w:val="21"/>
                <w:u w:val="single"/>
                <w:vertAlign w:val="superscript"/>
              </w:rPr>
              <w:t>3</w:t>
            </w:r>
            <w:r w:rsidRPr="00A2097A">
              <w:rPr>
                <w:b/>
                <w:spacing w:val="-10"/>
                <w:w w:val="90"/>
                <w:sz w:val="21"/>
                <w:szCs w:val="21"/>
                <w:u w:val="single"/>
              </w:rPr>
              <w:t>/d</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3</w:t>
            </w:r>
          </w:p>
        </w:tc>
        <w:tc>
          <w:tcPr>
            <w:tcW w:w="792" w:type="pct"/>
            <w:vAlign w:val="center"/>
          </w:tcPr>
          <w:p w:rsidR="00336F94" w:rsidRDefault="00CA3782" w:rsidP="00D33A63">
            <w:pPr>
              <w:spacing w:line="340" w:lineRule="exact"/>
              <w:jc w:val="center"/>
              <w:rPr>
                <w:spacing w:val="-10"/>
                <w:w w:val="90"/>
                <w:sz w:val="21"/>
                <w:szCs w:val="21"/>
              </w:rPr>
            </w:pPr>
            <w:r>
              <w:rPr>
                <w:rFonts w:hint="eastAsia"/>
                <w:spacing w:val="-10"/>
                <w:w w:val="90"/>
                <w:sz w:val="21"/>
                <w:szCs w:val="21"/>
              </w:rPr>
              <w:t>工业场地及</w:t>
            </w:r>
            <w:r w:rsidR="00336F94">
              <w:rPr>
                <w:spacing w:val="-10"/>
                <w:w w:val="90"/>
                <w:sz w:val="21"/>
                <w:szCs w:val="21"/>
              </w:rPr>
              <w:t>运煤道路</w:t>
            </w:r>
            <w:r>
              <w:rPr>
                <w:rFonts w:hint="eastAsia"/>
                <w:spacing w:val="-10"/>
                <w:w w:val="90"/>
                <w:sz w:val="21"/>
                <w:szCs w:val="21"/>
              </w:rPr>
              <w:t>防尘</w:t>
            </w:r>
            <w:r w:rsidR="00336F94">
              <w:rPr>
                <w:spacing w:val="-10"/>
                <w:w w:val="90"/>
                <w:sz w:val="21"/>
                <w:szCs w:val="21"/>
              </w:rPr>
              <w:t>洒水</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r>
              <w:rPr>
                <w:spacing w:val="-10"/>
                <w:w w:val="90"/>
                <w:sz w:val="21"/>
                <w:szCs w:val="21"/>
              </w:rPr>
              <w:t>2.0L/m</w:t>
            </w:r>
            <w:r>
              <w:rPr>
                <w:spacing w:val="-10"/>
                <w:w w:val="90"/>
                <w:sz w:val="21"/>
                <w:szCs w:val="21"/>
                <w:vertAlign w:val="superscript"/>
              </w:rPr>
              <w:t>2</w:t>
            </w:r>
            <w:r>
              <w:rPr>
                <w:spacing w:val="-10"/>
                <w:w w:val="90"/>
                <w:sz w:val="21"/>
                <w:szCs w:val="21"/>
              </w:rPr>
              <w:t>.d</w:t>
            </w:r>
          </w:p>
        </w:tc>
        <w:tc>
          <w:tcPr>
            <w:tcW w:w="490" w:type="pct"/>
            <w:vAlign w:val="center"/>
          </w:tcPr>
          <w:p w:rsidR="00336F94" w:rsidRDefault="00580AA2" w:rsidP="00580AA2">
            <w:pPr>
              <w:spacing w:line="340" w:lineRule="exact"/>
              <w:jc w:val="center"/>
              <w:rPr>
                <w:spacing w:val="-10"/>
                <w:w w:val="90"/>
                <w:sz w:val="21"/>
                <w:szCs w:val="21"/>
              </w:rPr>
            </w:pPr>
            <w:r>
              <w:rPr>
                <w:rFonts w:hint="eastAsia"/>
                <w:spacing w:val="-10"/>
                <w:w w:val="90"/>
                <w:sz w:val="21"/>
                <w:szCs w:val="21"/>
              </w:rPr>
              <w:t>54.6</w:t>
            </w:r>
          </w:p>
        </w:tc>
        <w:tc>
          <w:tcPr>
            <w:tcW w:w="327" w:type="pct"/>
            <w:vAlign w:val="center"/>
          </w:tcPr>
          <w:p w:rsidR="00336F94" w:rsidRDefault="00336F94" w:rsidP="00D33A63">
            <w:pPr>
              <w:spacing w:line="340" w:lineRule="exact"/>
              <w:jc w:val="center"/>
              <w:rPr>
                <w:spacing w:val="-10"/>
                <w:w w:val="90"/>
                <w:sz w:val="21"/>
                <w:szCs w:val="21"/>
              </w:rPr>
            </w:pPr>
          </w:p>
        </w:tc>
        <w:tc>
          <w:tcPr>
            <w:tcW w:w="1975" w:type="pct"/>
            <w:vAlign w:val="center"/>
          </w:tcPr>
          <w:p w:rsidR="00336F94" w:rsidRDefault="00CA3782" w:rsidP="00580AA2">
            <w:pPr>
              <w:spacing w:line="340" w:lineRule="exact"/>
              <w:jc w:val="center"/>
              <w:rPr>
                <w:spacing w:val="-10"/>
                <w:w w:val="90"/>
                <w:sz w:val="21"/>
                <w:szCs w:val="21"/>
              </w:rPr>
            </w:pPr>
            <w:r w:rsidRPr="00CA3782">
              <w:rPr>
                <w:rFonts w:hint="eastAsia"/>
                <w:b/>
                <w:spacing w:val="-10"/>
                <w:w w:val="90"/>
                <w:sz w:val="21"/>
                <w:szCs w:val="21"/>
                <w:u w:val="single"/>
              </w:rPr>
              <w:t>工业场地洒水降尘面积</w:t>
            </w:r>
            <w:r>
              <w:rPr>
                <w:rFonts w:hint="eastAsia"/>
                <w:b/>
                <w:spacing w:val="-10"/>
                <w:w w:val="90"/>
                <w:sz w:val="21"/>
                <w:szCs w:val="21"/>
                <w:u w:val="single"/>
              </w:rPr>
              <w:t>按</w:t>
            </w:r>
            <w:r w:rsidRPr="00CA3782">
              <w:rPr>
                <w:b/>
                <w:spacing w:val="-10"/>
                <w:w w:val="90"/>
                <w:sz w:val="21"/>
                <w:szCs w:val="21"/>
                <w:u w:val="single"/>
              </w:rPr>
              <w:t>5000</w:t>
            </w:r>
            <w:bookmarkStart w:id="287" w:name="OLE_LINK14"/>
            <w:r w:rsidRPr="00CA3782">
              <w:rPr>
                <w:b/>
                <w:spacing w:val="-10"/>
                <w:w w:val="90"/>
                <w:sz w:val="21"/>
                <w:szCs w:val="21"/>
                <w:u w:val="single"/>
              </w:rPr>
              <w:t>m</w:t>
            </w:r>
            <w:r w:rsidRPr="00CA3782">
              <w:rPr>
                <w:b/>
                <w:spacing w:val="-10"/>
                <w:w w:val="90"/>
                <w:sz w:val="21"/>
                <w:szCs w:val="21"/>
                <w:u w:val="single"/>
                <w:vertAlign w:val="superscript"/>
              </w:rPr>
              <w:t>2</w:t>
            </w:r>
            <w:bookmarkEnd w:id="287"/>
            <w:r w:rsidRPr="00CA3782">
              <w:rPr>
                <w:rFonts w:hint="eastAsia"/>
                <w:b/>
                <w:spacing w:val="-10"/>
                <w:w w:val="90"/>
                <w:sz w:val="21"/>
                <w:szCs w:val="21"/>
                <w:u w:val="single"/>
              </w:rPr>
              <w:t>计算，</w:t>
            </w:r>
            <w:r>
              <w:rPr>
                <w:rFonts w:hint="eastAsia"/>
                <w:b/>
                <w:spacing w:val="-10"/>
                <w:w w:val="90"/>
                <w:sz w:val="21"/>
                <w:szCs w:val="21"/>
                <w:u w:val="single"/>
              </w:rPr>
              <w:t>运煤</w:t>
            </w:r>
            <w:r w:rsidRPr="00CA3782">
              <w:rPr>
                <w:rFonts w:hint="eastAsia"/>
                <w:b/>
                <w:spacing w:val="-10"/>
                <w:w w:val="90"/>
                <w:sz w:val="21"/>
                <w:szCs w:val="21"/>
                <w:u w:val="single"/>
              </w:rPr>
              <w:t>道路长</w:t>
            </w:r>
            <w:r>
              <w:rPr>
                <w:rFonts w:hint="eastAsia"/>
                <w:b/>
                <w:spacing w:val="-10"/>
                <w:w w:val="90"/>
                <w:sz w:val="21"/>
                <w:szCs w:val="21"/>
                <w:u w:val="single"/>
              </w:rPr>
              <w:t>约</w:t>
            </w:r>
            <w:r>
              <w:rPr>
                <w:rFonts w:hint="eastAsia"/>
                <w:b/>
                <w:spacing w:val="-10"/>
                <w:w w:val="90"/>
                <w:sz w:val="21"/>
                <w:szCs w:val="21"/>
                <w:u w:val="single"/>
              </w:rPr>
              <w:t>8</w:t>
            </w:r>
            <w:r w:rsidR="00580AA2">
              <w:rPr>
                <w:rFonts w:hint="eastAsia"/>
                <w:b/>
                <w:spacing w:val="-10"/>
                <w:w w:val="90"/>
                <w:sz w:val="21"/>
                <w:szCs w:val="21"/>
                <w:u w:val="single"/>
              </w:rPr>
              <w:t>2</w:t>
            </w:r>
            <w:r w:rsidRPr="00CA3782">
              <w:rPr>
                <w:rFonts w:hint="eastAsia"/>
                <w:b/>
                <w:spacing w:val="-10"/>
                <w:w w:val="90"/>
                <w:sz w:val="21"/>
                <w:szCs w:val="21"/>
                <w:u w:val="single"/>
              </w:rPr>
              <w:t>0m</w:t>
            </w:r>
            <w:r w:rsidRPr="00CA3782">
              <w:rPr>
                <w:rFonts w:hint="eastAsia"/>
                <w:b/>
                <w:spacing w:val="-10"/>
                <w:w w:val="90"/>
                <w:sz w:val="21"/>
                <w:szCs w:val="21"/>
                <w:u w:val="single"/>
              </w:rPr>
              <w:t>，宽</w:t>
            </w:r>
            <w:r w:rsidRPr="00CA3782">
              <w:rPr>
                <w:b/>
                <w:spacing w:val="-10"/>
                <w:w w:val="90"/>
                <w:sz w:val="21"/>
                <w:szCs w:val="21"/>
                <w:u w:val="single"/>
              </w:rPr>
              <w:t>5</w:t>
            </w:r>
            <w:r w:rsidRPr="00CA3782">
              <w:rPr>
                <w:rFonts w:hint="eastAsia"/>
                <w:b/>
                <w:spacing w:val="-10"/>
                <w:w w:val="90"/>
                <w:sz w:val="21"/>
                <w:szCs w:val="21"/>
                <w:u w:val="single"/>
              </w:rPr>
              <w:t>m</w:t>
            </w:r>
            <w:r w:rsidRPr="00CA3782">
              <w:rPr>
                <w:rFonts w:hint="eastAsia"/>
                <w:b/>
                <w:spacing w:val="-10"/>
                <w:w w:val="90"/>
                <w:sz w:val="21"/>
                <w:szCs w:val="21"/>
                <w:u w:val="single"/>
              </w:rPr>
              <w:t>，道路洒水降尘面积</w:t>
            </w:r>
            <w:r w:rsidRPr="00CA3782">
              <w:rPr>
                <w:b/>
                <w:spacing w:val="-10"/>
                <w:w w:val="90"/>
                <w:sz w:val="21"/>
                <w:szCs w:val="21"/>
                <w:u w:val="single"/>
              </w:rPr>
              <w:t>4</w:t>
            </w:r>
            <w:r w:rsidR="00580AA2">
              <w:rPr>
                <w:rFonts w:hint="eastAsia"/>
                <w:b/>
                <w:spacing w:val="-10"/>
                <w:w w:val="90"/>
                <w:sz w:val="21"/>
                <w:szCs w:val="21"/>
                <w:u w:val="single"/>
              </w:rPr>
              <w:t>1</w:t>
            </w:r>
            <w:r>
              <w:rPr>
                <w:rFonts w:hint="eastAsia"/>
                <w:b/>
                <w:spacing w:val="-10"/>
                <w:w w:val="90"/>
                <w:sz w:val="21"/>
                <w:szCs w:val="21"/>
                <w:u w:val="single"/>
              </w:rPr>
              <w:t>0</w:t>
            </w:r>
            <w:r w:rsidRPr="00CA3782">
              <w:rPr>
                <w:b/>
                <w:spacing w:val="-10"/>
                <w:w w:val="90"/>
                <w:sz w:val="21"/>
                <w:szCs w:val="21"/>
                <w:u w:val="single"/>
              </w:rPr>
              <w:t>0m</w:t>
            </w:r>
            <w:r w:rsidRPr="00CA3782">
              <w:rPr>
                <w:b/>
                <w:spacing w:val="-10"/>
                <w:w w:val="90"/>
                <w:sz w:val="21"/>
                <w:szCs w:val="21"/>
                <w:u w:val="single"/>
                <w:vertAlign w:val="superscript"/>
              </w:rPr>
              <w:t>2</w:t>
            </w:r>
            <w:r w:rsidRPr="00CA3782">
              <w:rPr>
                <w:rFonts w:hint="eastAsia"/>
                <w:b/>
                <w:spacing w:val="-10"/>
                <w:w w:val="90"/>
                <w:sz w:val="21"/>
                <w:szCs w:val="21"/>
                <w:u w:val="single"/>
              </w:rPr>
              <w:t>，企业配备一辆洒水车对地面进行洒水抑尘，用水量</w:t>
            </w:r>
            <w:r w:rsidR="00580AA2">
              <w:rPr>
                <w:rFonts w:hint="eastAsia"/>
                <w:spacing w:val="-10"/>
                <w:w w:val="90"/>
                <w:sz w:val="21"/>
                <w:szCs w:val="21"/>
              </w:rPr>
              <w:t>1</w:t>
            </w:r>
            <w:r w:rsidR="00580AA2">
              <w:rPr>
                <w:spacing w:val="-10"/>
                <w:w w:val="90"/>
                <w:sz w:val="21"/>
                <w:szCs w:val="21"/>
              </w:rPr>
              <w:t>.0L/m</w:t>
            </w:r>
            <w:r w:rsidR="00580AA2">
              <w:rPr>
                <w:spacing w:val="-10"/>
                <w:w w:val="90"/>
                <w:sz w:val="21"/>
                <w:szCs w:val="21"/>
                <w:vertAlign w:val="superscript"/>
              </w:rPr>
              <w:t>2</w:t>
            </w:r>
            <w:r w:rsidR="00580AA2">
              <w:rPr>
                <w:spacing w:val="-10"/>
                <w:w w:val="90"/>
                <w:sz w:val="21"/>
                <w:szCs w:val="21"/>
              </w:rPr>
              <w:t>.d</w:t>
            </w:r>
            <w:r w:rsidRPr="00CA3782">
              <w:rPr>
                <w:rFonts w:hint="eastAsia"/>
                <w:b/>
                <w:spacing w:val="-10"/>
                <w:w w:val="90"/>
                <w:sz w:val="21"/>
                <w:szCs w:val="21"/>
                <w:u w:val="single"/>
              </w:rPr>
              <w:t>，每天洒水</w:t>
            </w:r>
            <w:r w:rsidRPr="00CA3782">
              <w:rPr>
                <w:rFonts w:hint="eastAsia"/>
                <w:b/>
                <w:spacing w:val="-10"/>
                <w:w w:val="90"/>
                <w:sz w:val="21"/>
                <w:szCs w:val="21"/>
                <w:u w:val="single"/>
              </w:rPr>
              <w:t>6</w:t>
            </w:r>
            <w:r w:rsidRPr="00CA3782">
              <w:rPr>
                <w:rFonts w:hint="eastAsia"/>
                <w:b/>
                <w:spacing w:val="-10"/>
                <w:w w:val="90"/>
                <w:sz w:val="21"/>
                <w:szCs w:val="21"/>
                <w:u w:val="single"/>
              </w:rPr>
              <w:t>次</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4</w:t>
            </w: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空压机补充水</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p>
        </w:tc>
        <w:tc>
          <w:tcPr>
            <w:tcW w:w="490" w:type="pct"/>
            <w:vAlign w:val="center"/>
          </w:tcPr>
          <w:p w:rsidR="00336F94" w:rsidRDefault="00336F94" w:rsidP="00D33A63">
            <w:pPr>
              <w:spacing w:line="340" w:lineRule="exact"/>
              <w:jc w:val="center"/>
              <w:rPr>
                <w:spacing w:val="-10"/>
                <w:w w:val="90"/>
                <w:sz w:val="21"/>
                <w:szCs w:val="21"/>
              </w:rPr>
            </w:pPr>
            <w:r>
              <w:rPr>
                <w:spacing w:val="-10"/>
                <w:w w:val="90"/>
                <w:sz w:val="21"/>
                <w:szCs w:val="21"/>
              </w:rPr>
              <w:t>36</w:t>
            </w:r>
          </w:p>
        </w:tc>
        <w:tc>
          <w:tcPr>
            <w:tcW w:w="327" w:type="pct"/>
            <w:vAlign w:val="center"/>
          </w:tcPr>
          <w:p w:rsidR="00336F94" w:rsidRDefault="00336F94" w:rsidP="00D33A63">
            <w:pPr>
              <w:spacing w:line="340" w:lineRule="exact"/>
              <w:jc w:val="center"/>
              <w:rPr>
                <w:spacing w:val="-10"/>
                <w:w w:val="90"/>
                <w:sz w:val="21"/>
                <w:szCs w:val="21"/>
              </w:rPr>
            </w:pPr>
          </w:p>
        </w:tc>
        <w:tc>
          <w:tcPr>
            <w:tcW w:w="1975" w:type="pct"/>
            <w:vAlign w:val="center"/>
          </w:tcPr>
          <w:p w:rsidR="00336F94" w:rsidRDefault="00580AA2" w:rsidP="00D33A63">
            <w:pPr>
              <w:spacing w:line="340" w:lineRule="exact"/>
              <w:jc w:val="center"/>
              <w:rPr>
                <w:spacing w:val="-10"/>
                <w:w w:val="90"/>
                <w:sz w:val="21"/>
                <w:szCs w:val="21"/>
              </w:rPr>
            </w:pPr>
            <w:r>
              <w:rPr>
                <w:rFonts w:hint="eastAsia"/>
                <w:spacing w:val="-10"/>
                <w:w w:val="90"/>
                <w:sz w:val="21"/>
                <w:szCs w:val="21"/>
              </w:rPr>
              <w:t>设计估算</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5</w:t>
            </w:r>
          </w:p>
        </w:tc>
        <w:tc>
          <w:tcPr>
            <w:tcW w:w="792" w:type="pct"/>
            <w:vAlign w:val="center"/>
          </w:tcPr>
          <w:p w:rsidR="00336F94" w:rsidRDefault="00336F94" w:rsidP="007B7D9D">
            <w:pPr>
              <w:spacing w:line="340" w:lineRule="exact"/>
              <w:jc w:val="center"/>
              <w:rPr>
                <w:spacing w:val="-10"/>
                <w:w w:val="90"/>
                <w:sz w:val="21"/>
                <w:szCs w:val="21"/>
              </w:rPr>
            </w:pPr>
            <w:r>
              <w:rPr>
                <w:spacing w:val="-10"/>
                <w:w w:val="90"/>
                <w:sz w:val="21"/>
                <w:szCs w:val="21"/>
              </w:rPr>
              <w:t>工业场地</w:t>
            </w:r>
            <w:r w:rsidR="007B7D9D">
              <w:rPr>
                <w:rFonts w:hint="eastAsia"/>
                <w:spacing w:val="-10"/>
                <w:w w:val="90"/>
                <w:sz w:val="21"/>
                <w:szCs w:val="21"/>
              </w:rPr>
              <w:t>及周边</w:t>
            </w:r>
            <w:r>
              <w:rPr>
                <w:rFonts w:hint="eastAsia"/>
                <w:spacing w:val="-10"/>
                <w:w w:val="90"/>
                <w:sz w:val="21"/>
                <w:szCs w:val="21"/>
              </w:rPr>
              <w:t>景观</w:t>
            </w:r>
            <w:r w:rsidR="007B7D9D">
              <w:rPr>
                <w:spacing w:val="-10"/>
                <w:w w:val="90"/>
                <w:sz w:val="21"/>
                <w:szCs w:val="21"/>
              </w:rPr>
              <w:t>绿化</w:t>
            </w:r>
            <w:r>
              <w:rPr>
                <w:spacing w:val="-10"/>
                <w:w w:val="90"/>
                <w:sz w:val="21"/>
                <w:szCs w:val="21"/>
              </w:rPr>
              <w:t>用水</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p>
        </w:tc>
        <w:tc>
          <w:tcPr>
            <w:tcW w:w="490" w:type="pct"/>
            <w:vAlign w:val="center"/>
          </w:tcPr>
          <w:p w:rsidR="00336F94" w:rsidRDefault="007B7D9D" w:rsidP="007B7D9D">
            <w:pPr>
              <w:spacing w:line="340" w:lineRule="exact"/>
              <w:jc w:val="center"/>
              <w:rPr>
                <w:spacing w:val="-10"/>
                <w:w w:val="90"/>
                <w:sz w:val="21"/>
                <w:szCs w:val="21"/>
              </w:rPr>
            </w:pPr>
            <w:r>
              <w:rPr>
                <w:rFonts w:hint="eastAsia"/>
                <w:spacing w:val="-10"/>
                <w:w w:val="90"/>
                <w:sz w:val="21"/>
                <w:szCs w:val="21"/>
              </w:rPr>
              <w:t>16.5</w:t>
            </w:r>
          </w:p>
        </w:tc>
        <w:tc>
          <w:tcPr>
            <w:tcW w:w="327" w:type="pct"/>
            <w:vAlign w:val="center"/>
          </w:tcPr>
          <w:p w:rsidR="00336F94" w:rsidRDefault="00336F94" w:rsidP="00D33A63">
            <w:pPr>
              <w:spacing w:line="340" w:lineRule="exact"/>
              <w:jc w:val="center"/>
              <w:rPr>
                <w:spacing w:val="-10"/>
                <w:w w:val="90"/>
                <w:sz w:val="21"/>
                <w:szCs w:val="21"/>
              </w:rPr>
            </w:pPr>
          </w:p>
        </w:tc>
        <w:tc>
          <w:tcPr>
            <w:tcW w:w="1975" w:type="pct"/>
            <w:vAlign w:val="center"/>
          </w:tcPr>
          <w:p w:rsidR="00336F94" w:rsidRDefault="00CA3782" w:rsidP="007B7D9D">
            <w:pPr>
              <w:spacing w:line="340" w:lineRule="exact"/>
              <w:jc w:val="center"/>
              <w:rPr>
                <w:spacing w:val="-10"/>
                <w:w w:val="90"/>
                <w:sz w:val="21"/>
                <w:szCs w:val="21"/>
              </w:rPr>
            </w:pPr>
            <w:r w:rsidRPr="00CA3782">
              <w:rPr>
                <w:rFonts w:hint="eastAsia"/>
                <w:b/>
                <w:spacing w:val="-10"/>
                <w:w w:val="90"/>
                <w:sz w:val="21"/>
                <w:szCs w:val="21"/>
                <w:u w:val="single"/>
              </w:rPr>
              <w:t>工业场地绿化</w:t>
            </w:r>
            <w:r w:rsidR="00580AA2">
              <w:rPr>
                <w:rFonts w:hint="eastAsia"/>
                <w:b/>
                <w:spacing w:val="-10"/>
                <w:w w:val="90"/>
                <w:sz w:val="21"/>
                <w:szCs w:val="21"/>
                <w:u w:val="single"/>
              </w:rPr>
              <w:t>及景观</w:t>
            </w:r>
            <w:r w:rsidRPr="00CA3782">
              <w:rPr>
                <w:rFonts w:hint="eastAsia"/>
                <w:b/>
                <w:spacing w:val="-10"/>
                <w:w w:val="90"/>
                <w:sz w:val="21"/>
                <w:szCs w:val="21"/>
                <w:u w:val="single"/>
              </w:rPr>
              <w:t>面积约</w:t>
            </w:r>
            <w:r w:rsidR="007B7D9D">
              <w:rPr>
                <w:rFonts w:hint="eastAsia"/>
                <w:b/>
                <w:spacing w:val="-10"/>
                <w:w w:val="90"/>
                <w:sz w:val="21"/>
                <w:szCs w:val="21"/>
                <w:u w:val="single"/>
              </w:rPr>
              <w:t>550</w:t>
            </w:r>
            <w:r w:rsidRPr="00CA3782">
              <w:rPr>
                <w:b/>
                <w:spacing w:val="-10"/>
                <w:w w:val="90"/>
                <w:sz w:val="21"/>
                <w:szCs w:val="21"/>
                <w:u w:val="single"/>
              </w:rPr>
              <w:t>0m</w:t>
            </w:r>
            <w:r w:rsidRPr="00CA3782">
              <w:rPr>
                <w:b/>
                <w:spacing w:val="-10"/>
                <w:w w:val="90"/>
                <w:sz w:val="21"/>
                <w:szCs w:val="21"/>
                <w:u w:val="single"/>
                <w:vertAlign w:val="superscript"/>
              </w:rPr>
              <w:t>2</w:t>
            </w:r>
            <w:r w:rsidRPr="00CA3782">
              <w:rPr>
                <w:rFonts w:hint="eastAsia"/>
                <w:b/>
                <w:spacing w:val="-10"/>
                <w:w w:val="90"/>
                <w:sz w:val="21"/>
                <w:szCs w:val="21"/>
                <w:u w:val="single"/>
              </w:rPr>
              <w:t>，绿化用水量平均按</w:t>
            </w:r>
            <w:r w:rsidR="007B7D9D">
              <w:rPr>
                <w:rFonts w:hint="eastAsia"/>
                <w:b/>
                <w:spacing w:val="-10"/>
                <w:w w:val="90"/>
                <w:sz w:val="21"/>
                <w:szCs w:val="21"/>
                <w:u w:val="single"/>
              </w:rPr>
              <w:t>3.0</w:t>
            </w:r>
            <w:r w:rsidRPr="00CA3782">
              <w:rPr>
                <w:b/>
                <w:spacing w:val="-10"/>
                <w:w w:val="90"/>
                <w:sz w:val="21"/>
                <w:szCs w:val="21"/>
                <w:u w:val="single"/>
              </w:rPr>
              <w:t>L/m</w:t>
            </w:r>
            <w:r w:rsidRPr="00CA3782">
              <w:rPr>
                <w:b/>
                <w:spacing w:val="-10"/>
                <w:w w:val="90"/>
                <w:sz w:val="21"/>
                <w:szCs w:val="21"/>
                <w:u w:val="single"/>
                <w:vertAlign w:val="superscript"/>
              </w:rPr>
              <w:t>2</w:t>
            </w:r>
            <w:r w:rsidRPr="00CA3782">
              <w:rPr>
                <w:b/>
                <w:spacing w:val="-10"/>
                <w:w w:val="90"/>
                <w:sz w:val="21"/>
                <w:szCs w:val="21"/>
                <w:u w:val="single"/>
              </w:rPr>
              <w:t>·</w:t>
            </w:r>
            <w:r w:rsidRPr="00CA3782">
              <w:rPr>
                <w:rFonts w:hint="eastAsia"/>
                <w:b/>
                <w:spacing w:val="-10"/>
                <w:w w:val="90"/>
                <w:sz w:val="21"/>
                <w:szCs w:val="21"/>
                <w:u w:val="single"/>
              </w:rPr>
              <w:t>d</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r>
              <w:rPr>
                <w:spacing w:val="-10"/>
                <w:w w:val="90"/>
                <w:sz w:val="21"/>
                <w:szCs w:val="21"/>
              </w:rPr>
              <w:t>6</w:t>
            </w:r>
          </w:p>
        </w:tc>
        <w:tc>
          <w:tcPr>
            <w:tcW w:w="792" w:type="pct"/>
            <w:vAlign w:val="center"/>
          </w:tcPr>
          <w:p w:rsidR="00336F94" w:rsidRDefault="00336F94" w:rsidP="00D33A63">
            <w:pPr>
              <w:spacing w:line="340" w:lineRule="exact"/>
              <w:jc w:val="center"/>
              <w:rPr>
                <w:spacing w:val="-10"/>
                <w:w w:val="90"/>
                <w:sz w:val="21"/>
                <w:szCs w:val="21"/>
              </w:rPr>
            </w:pPr>
            <w:r>
              <w:rPr>
                <w:rFonts w:hint="eastAsia"/>
                <w:spacing w:val="-10"/>
                <w:w w:val="90"/>
                <w:sz w:val="21"/>
                <w:szCs w:val="21"/>
              </w:rPr>
              <w:t>车辆冲洗补充水</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p>
        </w:tc>
        <w:tc>
          <w:tcPr>
            <w:tcW w:w="490" w:type="pct"/>
            <w:vAlign w:val="center"/>
          </w:tcPr>
          <w:p w:rsidR="00336F94" w:rsidRDefault="00CA3782" w:rsidP="00D33A63">
            <w:pPr>
              <w:spacing w:line="340" w:lineRule="exact"/>
              <w:jc w:val="center"/>
              <w:rPr>
                <w:spacing w:val="-10"/>
                <w:w w:val="90"/>
                <w:sz w:val="21"/>
                <w:szCs w:val="21"/>
              </w:rPr>
            </w:pPr>
            <w:r>
              <w:rPr>
                <w:rFonts w:hint="eastAsia"/>
                <w:spacing w:val="-10"/>
                <w:w w:val="90"/>
                <w:sz w:val="21"/>
                <w:szCs w:val="21"/>
              </w:rPr>
              <w:t>1.3</w:t>
            </w:r>
          </w:p>
        </w:tc>
        <w:tc>
          <w:tcPr>
            <w:tcW w:w="327" w:type="pct"/>
            <w:vAlign w:val="center"/>
          </w:tcPr>
          <w:p w:rsidR="00336F94" w:rsidRDefault="00336F94" w:rsidP="00D33A63">
            <w:pPr>
              <w:spacing w:line="340" w:lineRule="exact"/>
              <w:jc w:val="center"/>
              <w:rPr>
                <w:spacing w:val="-10"/>
                <w:w w:val="90"/>
                <w:sz w:val="21"/>
                <w:szCs w:val="21"/>
              </w:rPr>
            </w:pPr>
          </w:p>
        </w:tc>
        <w:tc>
          <w:tcPr>
            <w:tcW w:w="1975" w:type="pct"/>
            <w:vAlign w:val="center"/>
          </w:tcPr>
          <w:p w:rsidR="00336F94" w:rsidRDefault="00336F94" w:rsidP="00CA3782">
            <w:pPr>
              <w:spacing w:line="340" w:lineRule="exact"/>
              <w:jc w:val="center"/>
              <w:rPr>
                <w:spacing w:val="-10"/>
                <w:w w:val="90"/>
                <w:sz w:val="21"/>
                <w:szCs w:val="21"/>
              </w:rPr>
            </w:pPr>
            <w:r w:rsidRPr="00336F94">
              <w:rPr>
                <w:rFonts w:hint="eastAsia"/>
                <w:spacing w:val="-10"/>
                <w:w w:val="90"/>
                <w:sz w:val="21"/>
                <w:szCs w:val="21"/>
              </w:rPr>
              <w:t>车辆冲洗用水量按</w:t>
            </w:r>
            <w:r w:rsidRPr="00336F94">
              <w:rPr>
                <w:rFonts w:hint="eastAsia"/>
                <w:spacing w:val="-10"/>
                <w:w w:val="90"/>
                <w:sz w:val="21"/>
                <w:szCs w:val="21"/>
              </w:rPr>
              <w:t>200L/</w:t>
            </w:r>
            <w:r w:rsidRPr="00336F94">
              <w:rPr>
                <w:rFonts w:hint="eastAsia"/>
                <w:spacing w:val="-10"/>
                <w:w w:val="90"/>
                <w:sz w:val="21"/>
                <w:szCs w:val="21"/>
              </w:rPr>
              <w:t>车次计，载重量按</w:t>
            </w:r>
            <w:r w:rsidRPr="00336F94">
              <w:rPr>
                <w:rFonts w:hint="eastAsia"/>
                <w:spacing w:val="-10"/>
                <w:w w:val="90"/>
                <w:sz w:val="21"/>
                <w:szCs w:val="21"/>
              </w:rPr>
              <w:t>30t/</w:t>
            </w:r>
            <w:r w:rsidRPr="00336F94">
              <w:rPr>
                <w:rFonts w:hint="eastAsia"/>
                <w:spacing w:val="-10"/>
                <w:w w:val="90"/>
                <w:sz w:val="21"/>
                <w:szCs w:val="21"/>
              </w:rPr>
              <w:t>车次计，则平均每天需冲洗</w:t>
            </w:r>
            <w:r w:rsidRPr="00336F94">
              <w:rPr>
                <w:rFonts w:hint="eastAsia"/>
                <w:spacing w:val="-10"/>
                <w:w w:val="90"/>
                <w:sz w:val="21"/>
                <w:szCs w:val="21"/>
              </w:rPr>
              <w:t>32</w:t>
            </w:r>
            <w:r w:rsidRPr="00336F94">
              <w:rPr>
                <w:rFonts w:hint="eastAsia"/>
                <w:spacing w:val="-10"/>
                <w:w w:val="90"/>
                <w:sz w:val="21"/>
                <w:szCs w:val="21"/>
              </w:rPr>
              <w:t>车次，则车辆冲洗用水量为</w:t>
            </w:r>
            <w:r w:rsidRPr="00336F94">
              <w:rPr>
                <w:rFonts w:hint="eastAsia"/>
                <w:spacing w:val="-10"/>
                <w:w w:val="90"/>
                <w:sz w:val="21"/>
                <w:szCs w:val="21"/>
              </w:rPr>
              <w:t>6.4m</w:t>
            </w:r>
            <w:r w:rsidRPr="00CA3782">
              <w:rPr>
                <w:rFonts w:hint="eastAsia"/>
                <w:spacing w:val="-10"/>
                <w:w w:val="90"/>
                <w:sz w:val="21"/>
                <w:szCs w:val="21"/>
                <w:vertAlign w:val="superscript"/>
              </w:rPr>
              <w:t>3</w:t>
            </w:r>
            <w:r w:rsidRPr="00336F94">
              <w:rPr>
                <w:rFonts w:hint="eastAsia"/>
                <w:spacing w:val="-10"/>
                <w:w w:val="90"/>
                <w:sz w:val="21"/>
                <w:szCs w:val="21"/>
              </w:rPr>
              <w:t>/d</w:t>
            </w:r>
            <w:r w:rsidRPr="00336F94">
              <w:rPr>
                <w:rFonts w:hint="eastAsia"/>
                <w:spacing w:val="-10"/>
                <w:w w:val="90"/>
                <w:sz w:val="21"/>
                <w:szCs w:val="21"/>
              </w:rPr>
              <w:t>，冲洗后的废水通过三级沉淀池（容积</w:t>
            </w:r>
            <w:r w:rsidRPr="00336F94">
              <w:rPr>
                <w:rFonts w:hint="eastAsia"/>
                <w:spacing w:val="-10"/>
                <w:w w:val="90"/>
                <w:sz w:val="21"/>
                <w:szCs w:val="21"/>
              </w:rPr>
              <w:t>50m</w:t>
            </w:r>
            <w:r w:rsidRPr="00CA3782">
              <w:rPr>
                <w:rFonts w:hint="eastAsia"/>
                <w:spacing w:val="-10"/>
                <w:w w:val="90"/>
                <w:sz w:val="21"/>
                <w:szCs w:val="21"/>
                <w:vertAlign w:val="superscript"/>
              </w:rPr>
              <w:t>3</w:t>
            </w:r>
            <w:r w:rsidRPr="00336F94">
              <w:rPr>
                <w:rFonts w:hint="eastAsia"/>
                <w:spacing w:val="-10"/>
                <w:w w:val="90"/>
                <w:sz w:val="21"/>
                <w:szCs w:val="21"/>
              </w:rPr>
              <w:t>）处理后回用，不外排，损耗量按</w:t>
            </w:r>
            <w:r w:rsidRPr="00336F94">
              <w:rPr>
                <w:rFonts w:hint="eastAsia"/>
                <w:spacing w:val="-10"/>
                <w:w w:val="90"/>
                <w:sz w:val="21"/>
                <w:szCs w:val="21"/>
              </w:rPr>
              <w:t>20%</w:t>
            </w:r>
            <w:r w:rsidRPr="00336F94">
              <w:rPr>
                <w:rFonts w:hint="eastAsia"/>
                <w:spacing w:val="-10"/>
                <w:w w:val="90"/>
                <w:sz w:val="21"/>
                <w:szCs w:val="21"/>
              </w:rPr>
              <w:t>计，则需补充水量为</w:t>
            </w:r>
            <w:r w:rsidRPr="00336F94">
              <w:rPr>
                <w:rFonts w:hint="eastAsia"/>
                <w:spacing w:val="-10"/>
                <w:w w:val="90"/>
                <w:sz w:val="21"/>
                <w:szCs w:val="21"/>
              </w:rPr>
              <w:t>1.</w:t>
            </w:r>
            <w:r w:rsidR="00CA3782">
              <w:rPr>
                <w:rFonts w:hint="eastAsia"/>
                <w:spacing w:val="-10"/>
                <w:w w:val="90"/>
                <w:sz w:val="21"/>
                <w:szCs w:val="21"/>
              </w:rPr>
              <w:t>3</w:t>
            </w:r>
            <w:r w:rsidRPr="00336F94">
              <w:rPr>
                <w:rFonts w:hint="eastAsia"/>
                <w:spacing w:val="-10"/>
                <w:w w:val="90"/>
                <w:sz w:val="21"/>
                <w:szCs w:val="21"/>
              </w:rPr>
              <w:t>m</w:t>
            </w:r>
            <w:r w:rsidRPr="00CA3782">
              <w:rPr>
                <w:rFonts w:hint="eastAsia"/>
                <w:spacing w:val="-10"/>
                <w:w w:val="90"/>
                <w:sz w:val="21"/>
                <w:szCs w:val="21"/>
                <w:vertAlign w:val="superscript"/>
              </w:rPr>
              <w:t>3</w:t>
            </w:r>
            <w:r w:rsidRPr="00336F94">
              <w:rPr>
                <w:rFonts w:hint="eastAsia"/>
                <w:spacing w:val="-10"/>
                <w:w w:val="90"/>
                <w:sz w:val="21"/>
                <w:szCs w:val="21"/>
              </w:rPr>
              <w:t>/d</w:t>
            </w:r>
            <w:r w:rsidRPr="00336F94">
              <w:rPr>
                <w:rFonts w:hint="eastAsia"/>
                <w:spacing w:val="-10"/>
                <w:w w:val="90"/>
                <w:sz w:val="21"/>
                <w:szCs w:val="21"/>
              </w:rPr>
              <w:t>；</w:t>
            </w:r>
          </w:p>
        </w:tc>
      </w:tr>
      <w:tr w:rsidR="00336F94" w:rsidTr="00CA3782">
        <w:tc>
          <w:tcPr>
            <w:tcW w:w="324" w:type="pct"/>
            <w:vAlign w:val="center"/>
          </w:tcPr>
          <w:p w:rsidR="00336F94" w:rsidRDefault="00336F94" w:rsidP="00D33A63">
            <w:pPr>
              <w:spacing w:line="340" w:lineRule="exact"/>
              <w:jc w:val="center"/>
              <w:rPr>
                <w:spacing w:val="-10"/>
                <w:w w:val="90"/>
                <w:sz w:val="21"/>
                <w:szCs w:val="21"/>
              </w:rPr>
            </w:pPr>
          </w:p>
        </w:tc>
        <w:tc>
          <w:tcPr>
            <w:tcW w:w="792" w:type="pct"/>
            <w:vAlign w:val="center"/>
          </w:tcPr>
          <w:p w:rsidR="00336F94" w:rsidRDefault="00336F94" w:rsidP="00D33A63">
            <w:pPr>
              <w:spacing w:line="340" w:lineRule="exact"/>
              <w:jc w:val="center"/>
              <w:rPr>
                <w:spacing w:val="-10"/>
                <w:w w:val="90"/>
                <w:sz w:val="21"/>
                <w:szCs w:val="21"/>
              </w:rPr>
            </w:pPr>
            <w:r>
              <w:rPr>
                <w:spacing w:val="-10"/>
                <w:w w:val="90"/>
                <w:sz w:val="21"/>
                <w:szCs w:val="21"/>
              </w:rPr>
              <w:t>小计</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p>
        </w:tc>
        <w:tc>
          <w:tcPr>
            <w:tcW w:w="490" w:type="pct"/>
            <w:vAlign w:val="center"/>
          </w:tcPr>
          <w:p w:rsidR="00336F94" w:rsidRDefault="00A2097A" w:rsidP="007B7D9D">
            <w:pPr>
              <w:spacing w:line="340" w:lineRule="exact"/>
              <w:jc w:val="center"/>
              <w:rPr>
                <w:spacing w:val="-10"/>
                <w:w w:val="90"/>
                <w:sz w:val="21"/>
                <w:szCs w:val="21"/>
              </w:rPr>
            </w:pPr>
            <w:r>
              <w:rPr>
                <w:rFonts w:hint="eastAsia"/>
                <w:spacing w:val="-10"/>
                <w:w w:val="90"/>
                <w:sz w:val="21"/>
                <w:szCs w:val="21"/>
              </w:rPr>
              <w:t>5</w:t>
            </w:r>
            <w:r w:rsidR="007B7D9D">
              <w:rPr>
                <w:rFonts w:hint="eastAsia"/>
                <w:spacing w:val="-10"/>
                <w:w w:val="90"/>
                <w:sz w:val="21"/>
                <w:szCs w:val="21"/>
              </w:rPr>
              <w:t>38.3</w:t>
            </w:r>
          </w:p>
        </w:tc>
        <w:tc>
          <w:tcPr>
            <w:tcW w:w="327" w:type="pct"/>
            <w:vAlign w:val="center"/>
          </w:tcPr>
          <w:p w:rsidR="00336F94" w:rsidRDefault="00336F94" w:rsidP="00D33A63">
            <w:pPr>
              <w:spacing w:line="340" w:lineRule="exact"/>
              <w:jc w:val="center"/>
              <w:rPr>
                <w:spacing w:val="-10"/>
                <w:w w:val="90"/>
                <w:sz w:val="21"/>
                <w:szCs w:val="21"/>
              </w:rPr>
            </w:pPr>
          </w:p>
        </w:tc>
        <w:tc>
          <w:tcPr>
            <w:tcW w:w="1975" w:type="pct"/>
            <w:vAlign w:val="center"/>
          </w:tcPr>
          <w:p w:rsidR="00336F94" w:rsidRDefault="00336F94" w:rsidP="00D33A63">
            <w:pPr>
              <w:spacing w:line="340" w:lineRule="exact"/>
              <w:jc w:val="center"/>
              <w:rPr>
                <w:spacing w:val="-10"/>
                <w:w w:val="90"/>
                <w:sz w:val="21"/>
                <w:szCs w:val="21"/>
              </w:rPr>
            </w:pPr>
          </w:p>
        </w:tc>
      </w:tr>
      <w:tr w:rsidR="00336F94" w:rsidTr="00CA3782">
        <w:tc>
          <w:tcPr>
            <w:tcW w:w="324" w:type="pct"/>
            <w:vAlign w:val="center"/>
          </w:tcPr>
          <w:p w:rsidR="00336F94" w:rsidRDefault="00336F94" w:rsidP="00D33A63">
            <w:pPr>
              <w:spacing w:line="340" w:lineRule="exact"/>
              <w:jc w:val="center"/>
              <w:rPr>
                <w:b/>
                <w:spacing w:val="-10"/>
                <w:w w:val="90"/>
                <w:sz w:val="21"/>
                <w:szCs w:val="21"/>
              </w:rPr>
            </w:pPr>
            <w:r>
              <w:rPr>
                <w:b/>
                <w:spacing w:val="-10"/>
                <w:w w:val="90"/>
                <w:sz w:val="21"/>
                <w:szCs w:val="21"/>
              </w:rPr>
              <w:t>三</w:t>
            </w:r>
          </w:p>
        </w:tc>
        <w:tc>
          <w:tcPr>
            <w:tcW w:w="792" w:type="pct"/>
            <w:vAlign w:val="center"/>
          </w:tcPr>
          <w:p w:rsidR="00336F94" w:rsidRDefault="00336F94" w:rsidP="00D33A63">
            <w:pPr>
              <w:spacing w:line="340" w:lineRule="exact"/>
              <w:jc w:val="center"/>
              <w:rPr>
                <w:b/>
                <w:spacing w:val="-10"/>
                <w:w w:val="90"/>
                <w:sz w:val="21"/>
                <w:szCs w:val="21"/>
              </w:rPr>
            </w:pPr>
            <w:r>
              <w:rPr>
                <w:b/>
                <w:spacing w:val="-10"/>
                <w:w w:val="90"/>
                <w:sz w:val="21"/>
                <w:szCs w:val="21"/>
              </w:rPr>
              <w:t>总计</w:t>
            </w:r>
          </w:p>
        </w:tc>
        <w:tc>
          <w:tcPr>
            <w:tcW w:w="520" w:type="pct"/>
            <w:vAlign w:val="center"/>
          </w:tcPr>
          <w:p w:rsidR="00336F94" w:rsidRDefault="00336F94" w:rsidP="00D33A63">
            <w:pPr>
              <w:spacing w:line="340" w:lineRule="exact"/>
              <w:jc w:val="center"/>
              <w:rPr>
                <w:spacing w:val="-10"/>
                <w:w w:val="90"/>
                <w:sz w:val="21"/>
                <w:szCs w:val="21"/>
              </w:rPr>
            </w:pPr>
          </w:p>
        </w:tc>
        <w:tc>
          <w:tcPr>
            <w:tcW w:w="572" w:type="pct"/>
            <w:vAlign w:val="center"/>
          </w:tcPr>
          <w:p w:rsidR="00336F94" w:rsidRDefault="00336F94" w:rsidP="00D33A63">
            <w:pPr>
              <w:spacing w:line="340" w:lineRule="exact"/>
              <w:jc w:val="center"/>
              <w:rPr>
                <w:spacing w:val="-10"/>
                <w:w w:val="90"/>
                <w:sz w:val="21"/>
                <w:szCs w:val="21"/>
              </w:rPr>
            </w:pPr>
          </w:p>
        </w:tc>
        <w:tc>
          <w:tcPr>
            <w:tcW w:w="490" w:type="pct"/>
            <w:vAlign w:val="center"/>
          </w:tcPr>
          <w:p w:rsidR="00336F94" w:rsidRDefault="00A2097A" w:rsidP="007B7D9D">
            <w:pPr>
              <w:spacing w:line="340" w:lineRule="exact"/>
              <w:jc w:val="center"/>
              <w:rPr>
                <w:spacing w:val="-10"/>
                <w:w w:val="90"/>
                <w:sz w:val="21"/>
                <w:szCs w:val="21"/>
              </w:rPr>
            </w:pPr>
            <w:r>
              <w:rPr>
                <w:rFonts w:hint="eastAsia"/>
                <w:spacing w:val="-10"/>
                <w:w w:val="90"/>
                <w:sz w:val="21"/>
                <w:szCs w:val="21"/>
              </w:rPr>
              <w:t>6</w:t>
            </w:r>
            <w:r w:rsidR="007B7D9D">
              <w:rPr>
                <w:rFonts w:hint="eastAsia"/>
                <w:spacing w:val="-10"/>
                <w:w w:val="90"/>
                <w:sz w:val="21"/>
                <w:szCs w:val="21"/>
              </w:rPr>
              <w:t>16.1</w:t>
            </w:r>
            <w:r w:rsidR="00336F94">
              <w:rPr>
                <w:rFonts w:hint="eastAsia"/>
                <w:spacing w:val="-10"/>
                <w:w w:val="90"/>
                <w:sz w:val="21"/>
                <w:szCs w:val="21"/>
              </w:rPr>
              <w:t>5</w:t>
            </w:r>
          </w:p>
        </w:tc>
        <w:tc>
          <w:tcPr>
            <w:tcW w:w="327" w:type="pct"/>
            <w:vAlign w:val="center"/>
          </w:tcPr>
          <w:p w:rsidR="00336F94" w:rsidRDefault="00336F94" w:rsidP="00D33A63">
            <w:pPr>
              <w:spacing w:line="340" w:lineRule="exact"/>
              <w:jc w:val="center"/>
              <w:rPr>
                <w:spacing w:val="-10"/>
                <w:w w:val="90"/>
                <w:sz w:val="21"/>
                <w:szCs w:val="21"/>
              </w:rPr>
            </w:pPr>
          </w:p>
        </w:tc>
        <w:tc>
          <w:tcPr>
            <w:tcW w:w="1975" w:type="pct"/>
            <w:vAlign w:val="center"/>
          </w:tcPr>
          <w:p w:rsidR="00336F94" w:rsidRDefault="00336F94" w:rsidP="00D33A63">
            <w:pPr>
              <w:spacing w:line="340" w:lineRule="exact"/>
              <w:jc w:val="center"/>
              <w:rPr>
                <w:spacing w:val="-10"/>
                <w:w w:val="90"/>
                <w:sz w:val="21"/>
                <w:szCs w:val="21"/>
              </w:rPr>
            </w:pPr>
          </w:p>
        </w:tc>
      </w:tr>
    </w:tbl>
    <w:p w:rsidR="00240BCE" w:rsidRDefault="00AC0334">
      <w:pPr>
        <w:adjustRightInd w:val="0"/>
        <w:snapToGrid w:val="0"/>
        <w:spacing w:line="520" w:lineRule="exact"/>
        <w:ind w:firstLineChars="200" w:firstLine="488"/>
        <w:rPr>
          <w:spacing w:val="2"/>
          <w:sz w:val="24"/>
        </w:rPr>
      </w:pPr>
      <w:r>
        <w:rPr>
          <w:spacing w:val="2"/>
          <w:sz w:val="24"/>
        </w:rPr>
        <w:t>2</w:t>
      </w:r>
      <w:r>
        <w:rPr>
          <w:spacing w:val="2"/>
          <w:sz w:val="24"/>
        </w:rPr>
        <w:t>、排水</w:t>
      </w:r>
    </w:p>
    <w:p w:rsidR="00240BCE" w:rsidRDefault="00AC0334">
      <w:pPr>
        <w:spacing w:line="500" w:lineRule="exact"/>
        <w:ind w:firstLineChars="200" w:firstLine="488"/>
        <w:rPr>
          <w:spacing w:val="2"/>
          <w:sz w:val="24"/>
        </w:rPr>
      </w:pPr>
      <w:r>
        <w:rPr>
          <w:spacing w:val="2"/>
          <w:sz w:val="24"/>
        </w:rPr>
        <w:t>（</w:t>
      </w:r>
      <w:r>
        <w:rPr>
          <w:spacing w:val="2"/>
          <w:sz w:val="24"/>
        </w:rPr>
        <w:t>1</w:t>
      </w:r>
      <w:r>
        <w:rPr>
          <w:spacing w:val="2"/>
          <w:sz w:val="24"/>
        </w:rPr>
        <w:t>）矿井排水</w:t>
      </w:r>
    </w:p>
    <w:p w:rsidR="00240BCE" w:rsidRDefault="00AC0334" w:rsidP="00540190">
      <w:pPr>
        <w:spacing w:line="500" w:lineRule="exact"/>
        <w:ind w:firstLineChars="196" w:firstLine="478"/>
        <w:rPr>
          <w:spacing w:val="2"/>
          <w:sz w:val="24"/>
        </w:rPr>
      </w:pPr>
      <w:r w:rsidRPr="00540190">
        <w:rPr>
          <w:spacing w:val="2"/>
          <w:sz w:val="24"/>
        </w:rPr>
        <w:t>根据设计，升级改造后</w:t>
      </w:r>
      <w:r w:rsidR="00705679" w:rsidRPr="00705679">
        <w:rPr>
          <w:b/>
          <w:bCs/>
          <w:i/>
          <w:spacing w:val="2"/>
          <w:sz w:val="24"/>
          <w:u w:val="single"/>
        </w:rPr>
        <w:t>正常涌水量为</w:t>
      </w:r>
      <w:r w:rsidR="00705679" w:rsidRPr="00705679">
        <w:rPr>
          <w:b/>
          <w:bCs/>
          <w:i/>
          <w:spacing w:val="2"/>
          <w:sz w:val="24"/>
          <w:u w:val="single"/>
        </w:rPr>
        <w:t>194m</w:t>
      </w:r>
      <w:r w:rsidR="00705679" w:rsidRPr="00705679">
        <w:rPr>
          <w:b/>
          <w:bCs/>
          <w:i/>
          <w:spacing w:val="2"/>
          <w:sz w:val="24"/>
          <w:u w:val="single"/>
          <w:vertAlign w:val="superscript"/>
        </w:rPr>
        <w:t>3</w:t>
      </w:r>
      <w:r w:rsidR="00705679" w:rsidRPr="00705679">
        <w:rPr>
          <w:b/>
          <w:bCs/>
          <w:i/>
          <w:spacing w:val="2"/>
          <w:sz w:val="24"/>
          <w:u w:val="single"/>
        </w:rPr>
        <w:t>/h</w:t>
      </w:r>
      <w:r w:rsidR="007325F2" w:rsidRPr="007325F2">
        <w:rPr>
          <w:b/>
          <w:i/>
          <w:sz w:val="24"/>
          <w:u w:val="single"/>
        </w:rPr>
        <w:t>（</w:t>
      </w:r>
      <w:r w:rsidR="007325F2" w:rsidRPr="007325F2">
        <w:rPr>
          <w:b/>
          <w:i/>
          <w:sz w:val="24"/>
          <w:u w:val="single"/>
        </w:rPr>
        <w:t>4656m</w:t>
      </w:r>
      <w:r w:rsidR="007325F2" w:rsidRPr="007325F2">
        <w:rPr>
          <w:b/>
          <w:i/>
          <w:sz w:val="24"/>
          <w:u w:val="single"/>
          <w:vertAlign w:val="superscript"/>
        </w:rPr>
        <w:t>3</w:t>
      </w:r>
      <w:r w:rsidR="007325F2" w:rsidRPr="007325F2">
        <w:rPr>
          <w:b/>
          <w:i/>
          <w:sz w:val="24"/>
          <w:u w:val="single"/>
        </w:rPr>
        <w:t>/d</w:t>
      </w:r>
      <w:r w:rsidR="007325F2" w:rsidRPr="007325F2">
        <w:rPr>
          <w:b/>
          <w:i/>
          <w:sz w:val="24"/>
          <w:u w:val="single"/>
        </w:rPr>
        <w:t>）</w:t>
      </w:r>
      <w:r w:rsidR="00705679" w:rsidRPr="00705679">
        <w:rPr>
          <w:b/>
          <w:bCs/>
          <w:i/>
          <w:spacing w:val="2"/>
          <w:sz w:val="24"/>
          <w:u w:val="single"/>
        </w:rPr>
        <w:t>。</w:t>
      </w:r>
      <w:r w:rsidRPr="00540190">
        <w:rPr>
          <w:sz w:val="24"/>
        </w:rPr>
        <w:t>经矿井水处理站</w:t>
      </w:r>
      <w:r w:rsidRPr="00540190">
        <w:rPr>
          <w:spacing w:val="2"/>
          <w:sz w:val="24"/>
        </w:rPr>
        <w:t>（</w:t>
      </w:r>
      <w:r w:rsidR="007325F2">
        <w:rPr>
          <w:rFonts w:hint="eastAsia"/>
          <w:spacing w:val="2"/>
          <w:sz w:val="24"/>
        </w:rPr>
        <w:t>处理规模</w:t>
      </w:r>
      <w:r w:rsidR="007325F2">
        <w:rPr>
          <w:rFonts w:hint="eastAsia"/>
          <w:sz w:val="24"/>
        </w:rPr>
        <w:t>240</w:t>
      </w:r>
      <w:r w:rsidR="007325F2" w:rsidRPr="00540190">
        <w:rPr>
          <w:sz w:val="24"/>
        </w:rPr>
        <w:t>m</w:t>
      </w:r>
      <w:r w:rsidR="007325F2" w:rsidRPr="00540190">
        <w:rPr>
          <w:sz w:val="24"/>
          <w:vertAlign w:val="superscript"/>
        </w:rPr>
        <w:t>3</w:t>
      </w:r>
      <w:r w:rsidR="007325F2" w:rsidRPr="00540190">
        <w:rPr>
          <w:sz w:val="24"/>
        </w:rPr>
        <w:t>/h</w:t>
      </w:r>
      <w:r w:rsidR="007325F2">
        <w:rPr>
          <w:rFonts w:hint="eastAsia"/>
          <w:sz w:val="24"/>
        </w:rPr>
        <w:t>，</w:t>
      </w:r>
      <w:r w:rsidRPr="00540190">
        <w:rPr>
          <w:spacing w:val="2"/>
          <w:sz w:val="24"/>
        </w:rPr>
        <w:t>主要采用斜管沉淀</w:t>
      </w:r>
      <w:r w:rsidRPr="00540190">
        <w:rPr>
          <w:spacing w:val="2"/>
          <w:sz w:val="24"/>
        </w:rPr>
        <w:t>+</w:t>
      </w:r>
      <w:r w:rsidRPr="00540190">
        <w:rPr>
          <w:spacing w:val="2"/>
          <w:sz w:val="24"/>
        </w:rPr>
        <w:t>无阀滤池过滤</w:t>
      </w:r>
      <w:r w:rsidRPr="00540190">
        <w:rPr>
          <w:spacing w:val="2"/>
          <w:sz w:val="24"/>
        </w:rPr>
        <w:t>+</w:t>
      </w:r>
      <w:r w:rsidRPr="00540190">
        <w:rPr>
          <w:spacing w:val="2"/>
          <w:sz w:val="24"/>
        </w:rPr>
        <w:t>消毒等处理工艺</w:t>
      </w:r>
      <w:r w:rsidRPr="00540190">
        <w:rPr>
          <w:sz w:val="24"/>
        </w:rPr>
        <w:t>）处理后</w:t>
      </w:r>
      <w:r w:rsidR="00540190">
        <w:rPr>
          <w:rFonts w:hint="eastAsia"/>
          <w:sz w:val="24"/>
        </w:rPr>
        <w:t>满足</w:t>
      </w:r>
      <w:r w:rsidR="00540190" w:rsidRPr="00540190">
        <w:rPr>
          <w:rFonts w:hint="eastAsia"/>
          <w:sz w:val="24"/>
        </w:rPr>
        <w:t>《煤炭工业污染物排放标准》（</w:t>
      </w:r>
      <w:r w:rsidR="00540190" w:rsidRPr="00540190">
        <w:rPr>
          <w:sz w:val="24"/>
        </w:rPr>
        <w:t>GB20426-2006</w:t>
      </w:r>
      <w:r w:rsidR="00540190" w:rsidRPr="00540190">
        <w:rPr>
          <w:rFonts w:hint="eastAsia"/>
          <w:sz w:val="24"/>
        </w:rPr>
        <w:t>）表</w:t>
      </w:r>
      <w:r w:rsidR="00540190" w:rsidRPr="00540190">
        <w:rPr>
          <w:sz w:val="24"/>
        </w:rPr>
        <w:t>1</w:t>
      </w:r>
      <w:r w:rsidR="00540190" w:rsidRPr="00540190">
        <w:rPr>
          <w:rFonts w:hint="eastAsia"/>
          <w:sz w:val="24"/>
        </w:rPr>
        <w:t>，表</w:t>
      </w:r>
      <w:r w:rsidR="00540190" w:rsidRPr="00540190">
        <w:rPr>
          <w:sz w:val="24"/>
        </w:rPr>
        <w:t>2</w:t>
      </w:r>
      <w:r w:rsidR="00540190" w:rsidRPr="00540190">
        <w:rPr>
          <w:rFonts w:hint="eastAsia"/>
          <w:sz w:val="24"/>
        </w:rPr>
        <w:t>采煤废水排放限值</w:t>
      </w:r>
      <w:r w:rsidR="00540190">
        <w:rPr>
          <w:rFonts w:hint="eastAsia"/>
          <w:sz w:val="24"/>
        </w:rPr>
        <w:t>及</w:t>
      </w:r>
      <w:r w:rsidR="00540190" w:rsidRPr="00540190">
        <w:rPr>
          <w:rFonts w:hAnsi="宋体" w:hint="eastAsia"/>
          <w:snapToGrid w:val="0"/>
          <w:sz w:val="24"/>
        </w:rPr>
        <w:t>《</w:t>
      </w:r>
      <w:r w:rsidR="00540190" w:rsidRPr="00540190">
        <w:rPr>
          <w:rFonts w:hint="eastAsia"/>
          <w:sz w:val="24"/>
        </w:rPr>
        <w:t>地表水环境质量标准</w:t>
      </w:r>
      <w:r w:rsidR="00540190" w:rsidRPr="00540190">
        <w:rPr>
          <w:rFonts w:hAnsi="宋体" w:hint="eastAsia"/>
          <w:snapToGrid w:val="0"/>
          <w:sz w:val="24"/>
        </w:rPr>
        <w:t>》</w:t>
      </w:r>
      <w:r w:rsidR="00540190" w:rsidRPr="00540190">
        <w:rPr>
          <w:rFonts w:hint="eastAsia"/>
          <w:sz w:val="24"/>
        </w:rPr>
        <w:t>（</w:t>
      </w:r>
      <w:r w:rsidR="00540190" w:rsidRPr="00540190">
        <w:rPr>
          <w:sz w:val="24"/>
        </w:rPr>
        <w:t>GB3838-2002</w:t>
      </w:r>
      <w:r w:rsidR="00540190" w:rsidRPr="00540190">
        <w:rPr>
          <w:rFonts w:hint="eastAsia"/>
          <w:sz w:val="24"/>
        </w:rPr>
        <w:t>）Ⅲ类水质</w:t>
      </w:r>
      <w:r w:rsidR="00540190">
        <w:rPr>
          <w:rFonts w:hint="eastAsia"/>
          <w:sz w:val="24"/>
        </w:rPr>
        <w:t>标准。</w:t>
      </w:r>
      <w:r w:rsidR="00540190" w:rsidRPr="00540190">
        <w:rPr>
          <w:rFonts w:hint="eastAsia"/>
          <w:sz w:val="24"/>
        </w:rPr>
        <w:t>处理后的矿井水部分</w:t>
      </w:r>
      <w:r w:rsidR="00A2097A">
        <w:rPr>
          <w:rFonts w:hint="eastAsia"/>
          <w:sz w:val="24"/>
        </w:rPr>
        <w:t>（</w:t>
      </w:r>
      <w:r w:rsidR="00E3737A">
        <w:rPr>
          <w:rFonts w:hint="eastAsia"/>
          <w:sz w:val="24"/>
        </w:rPr>
        <w:t>472.1</w:t>
      </w:r>
      <w:r w:rsidR="00A2097A">
        <w:rPr>
          <w:rFonts w:hint="eastAsia"/>
          <w:sz w:val="24"/>
        </w:rPr>
        <w:t>m</w:t>
      </w:r>
      <w:r w:rsidR="00A2097A">
        <w:rPr>
          <w:rFonts w:hint="eastAsia"/>
          <w:sz w:val="24"/>
          <w:vertAlign w:val="superscript"/>
        </w:rPr>
        <w:t>3</w:t>
      </w:r>
      <w:r w:rsidR="00A2097A">
        <w:rPr>
          <w:rFonts w:hint="eastAsia"/>
          <w:sz w:val="24"/>
        </w:rPr>
        <w:t>/d</w:t>
      </w:r>
      <w:r w:rsidR="00A2097A">
        <w:rPr>
          <w:rFonts w:hint="eastAsia"/>
          <w:sz w:val="24"/>
        </w:rPr>
        <w:t>）</w:t>
      </w:r>
      <w:r w:rsidR="00540190" w:rsidRPr="00540190">
        <w:rPr>
          <w:rFonts w:hint="eastAsia"/>
          <w:sz w:val="24"/>
        </w:rPr>
        <w:t>回用于生产用水，不能充分利用部分</w:t>
      </w:r>
      <w:r w:rsidR="00A2097A">
        <w:rPr>
          <w:rFonts w:hint="eastAsia"/>
          <w:sz w:val="24"/>
        </w:rPr>
        <w:t>（</w:t>
      </w:r>
      <w:r w:rsidR="00E3737A">
        <w:rPr>
          <w:rFonts w:hint="eastAsia"/>
          <w:sz w:val="24"/>
        </w:rPr>
        <w:t>4183.9</w:t>
      </w:r>
      <w:r w:rsidR="00A2097A">
        <w:rPr>
          <w:rFonts w:hint="eastAsia"/>
          <w:sz w:val="24"/>
        </w:rPr>
        <w:t>m</w:t>
      </w:r>
      <w:r w:rsidR="00A2097A">
        <w:rPr>
          <w:rFonts w:hint="eastAsia"/>
          <w:sz w:val="24"/>
          <w:vertAlign w:val="superscript"/>
        </w:rPr>
        <w:t>3</w:t>
      </w:r>
      <w:r w:rsidR="00A2097A">
        <w:rPr>
          <w:rFonts w:hint="eastAsia"/>
          <w:sz w:val="24"/>
        </w:rPr>
        <w:t>/d</w:t>
      </w:r>
      <w:r w:rsidR="00A2097A">
        <w:rPr>
          <w:rFonts w:hint="eastAsia"/>
          <w:sz w:val="24"/>
        </w:rPr>
        <w:t>）</w:t>
      </w:r>
      <w:r w:rsidR="00540190" w:rsidRPr="00540190">
        <w:rPr>
          <w:rFonts w:hint="eastAsia"/>
          <w:sz w:val="24"/>
        </w:rPr>
        <w:t>满足《煤炭工</w:t>
      </w:r>
      <w:r w:rsidR="00540190" w:rsidRPr="00540190">
        <w:rPr>
          <w:rFonts w:hint="eastAsia"/>
          <w:sz w:val="24"/>
        </w:rPr>
        <w:lastRenderedPageBreak/>
        <w:t>业污染物排放标准》（</w:t>
      </w:r>
      <w:r w:rsidR="00540190" w:rsidRPr="00540190">
        <w:rPr>
          <w:sz w:val="24"/>
        </w:rPr>
        <w:t>GB20426-2006</w:t>
      </w:r>
      <w:r w:rsidR="00540190" w:rsidRPr="00540190">
        <w:rPr>
          <w:rFonts w:hint="eastAsia"/>
          <w:sz w:val="24"/>
        </w:rPr>
        <w:t>）表</w:t>
      </w:r>
      <w:r w:rsidR="00540190" w:rsidRPr="00540190">
        <w:rPr>
          <w:sz w:val="24"/>
        </w:rPr>
        <w:t>1</w:t>
      </w:r>
      <w:r w:rsidR="00540190" w:rsidRPr="00540190">
        <w:rPr>
          <w:rFonts w:hint="eastAsia"/>
          <w:sz w:val="24"/>
        </w:rPr>
        <w:t>，表</w:t>
      </w:r>
      <w:r w:rsidR="00540190" w:rsidRPr="00540190">
        <w:rPr>
          <w:sz w:val="24"/>
        </w:rPr>
        <w:t>2</w:t>
      </w:r>
      <w:r w:rsidR="00540190" w:rsidRPr="00540190">
        <w:rPr>
          <w:rFonts w:hint="eastAsia"/>
          <w:sz w:val="24"/>
        </w:rPr>
        <w:t>采煤废水排放限值并且满足</w:t>
      </w:r>
      <w:r w:rsidR="00540190" w:rsidRPr="00540190">
        <w:rPr>
          <w:rFonts w:hAnsi="宋体" w:hint="eastAsia"/>
          <w:snapToGrid w:val="0"/>
          <w:sz w:val="24"/>
        </w:rPr>
        <w:t>《</w:t>
      </w:r>
      <w:r w:rsidR="00540190" w:rsidRPr="00540190">
        <w:rPr>
          <w:rFonts w:hint="eastAsia"/>
          <w:sz w:val="24"/>
        </w:rPr>
        <w:t>地表水环境质量标准</w:t>
      </w:r>
      <w:r w:rsidR="00540190" w:rsidRPr="00540190">
        <w:rPr>
          <w:rFonts w:hAnsi="宋体" w:hint="eastAsia"/>
          <w:snapToGrid w:val="0"/>
          <w:sz w:val="24"/>
        </w:rPr>
        <w:t>》</w:t>
      </w:r>
      <w:r w:rsidR="00540190" w:rsidRPr="00540190">
        <w:rPr>
          <w:rFonts w:hint="eastAsia"/>
          <w:sz w:val="24"/>
        </w:rPr>
        <w:t>（</w:t>
      </w:r>
      <w:r w:rsidR="00540190" w:rsidRPr="00540190">
        <w:rPr>
          <w:sz w:val="24"/>
        </w:rPr>
        <w:t>GB3838-2002</w:t>
      </w:r>
      <w:r w:rsidR="00540190" w:rsidRPr="00540190">
        <w:rPr>
          <w:rFonts w:hint="eastAsia"/>
          <w:sz w:val="24"/>
        </w:rPr>
        <w:t>）Ⅲ类水质要求后外排</w:t>
      </w:r>
      <w:r>
        <w:rPr>
          <w:sz w:val="24"/>
        </w:rPr>
        <w:t>至赵沟河、纸坊水库后用于周边农田灌溉</w:t>
      </w:r>
      <w:r w:rsidR="001A6A92">
        <w:rPr>
          <w:rFonts w:hint="eastAsia"/>
          <w:sz w:val="24"/>
        </w:rPr>
        <w:t>及</w:t>
      </w:r>
      <w:r w:rsidR="00540190">
        <w:rPr>
          <w:rFonts w:hint="eastAsia"/>
          <w:sz w:val="24"/>
        </w:rPr>
        <w:t>生态补水</w:t>
      </w:r>
      <w:r>
        <w:rPr>
          <w:sz w:val="24"/>
        </w:rPr>
        <w:t>。</w:t>
      </w:r>
    </w:p>
    <w:p w:rsidR="00240BCE" w:rsidRDefault="00AC0334">
      <w:pPr>
        <w:spacing w:line="500" w:lineRule="exact"/>
        <w:ind w:firstLineChars="200" w:firstLine="488"/>
        <w:rPr>
          <w:spacing w:val="2"/>
          <w:sz w:val="24"/>
        </w:rPr>
      </w:pPr>
      <w:r>
        <w:rPr>
          <w:spacing w:val="2"/>
          <w:sz w:val="24"/>
        </w:rPr>
        <w:t>（</w:t>
      </w:r>
      <w:r>
        <w:rPr>
          <w:spacing w:val="2"/>
          <w:sz w:val="24"/>
        </w:rPr>
        <w:t>2</w:t>
      </w:r>
      <w:r>
        <w:rPr>
          <w:spacing w:val="2"/>
          <w:sz w:val="24"/>
        </w:rPr>
        <w:t>）工业场地生活污水</w:t>
      </w:r>
    </w:p>
    <w:p w:rsidR="00240BCE" w:rsidRDefault="00AC0334">
      <w:pPr>
        <w:spacing w:line="500" w:lineRule="exact"/>
        <w:ind w:firstLineChars="200" w:firstLine="480"/>
        <w:rPr>
          <w:spacing w:val="2"/>
          <w:sz w:val="24"/>
        </w:rPr>
      </w:pPr>
      <w:r>
        <w:rPr>
          <w:color w:val="000000"/>
          <w:sz w:val="24"/>
        </w:rPr>
        <w:t>工业场地生活污水主要来源于工业场地办公、生活等设施排水，产生量为</w:t>
      </w:r>
      <w:r w:rsidR="001A6A92">
        <w:rPr>
          <w:rFonts w:hint="eastAsia"/>
          <w:color w:val="000000"/>
          <w:sz w:val="24"/>
        </w:rPr>
        <w:t>66.2</w:t>
      </w:r>
      <w:r>
        <w:rPr>
          <w:color w:val="000000"/>
          <w:sz w:val="24"/>
        </w:rPr>
        <w:t>m</w:t>
      </w:r>
      <w:r>
        <w:rPr>
          <w:color w:val="000000"/>
          <w:sz w:val="24"/>
          <w:vertAlign w:val="superscript"/>
        </w:rPr>
        <w:t>3</w:t>
      </w:r>
      <w:r>
        <w:rPr>
          <w:color w:val="000000"/>
          <w:sz w:val="24"/>
        </w:rPr>
        <w:t>/d</w:t>
      </w:r>
      <w:r>
        <w:rPr>
          <w:color w:val="000000"/>
          <w:sz w:val="24"/>
        </w:rPr>
        <w:t>，主要污染物为</w:t>
      </w:r>
      <w:r>
        <w:rPr>
          <w:color w:val="000000"/>
          <w:sz w:val="24"/>
        </w:rPr>
        <w:t>CODcr</w:t>
      </w:r>
      <w:r>
        <w:rPr>
          <w:color w:val="000000"/>
          <w:sz w:val="24"/>
        </w:rPr>
        <w:t>、</w:t>
      </w:r>
      <w:r>
        <w:rPr>
          <w:color w:val="000000"/>
          <w:sz w:val="24"/>
        </w:rPr>
        <w:t>BOD</w:t>
      </w:r>
      <w:r>
        <w:rPr>
          <w:color w:val="000000"/>
          <w:sz w:val="24"/>
          <w:vertAlign w:val="subscript"/>
        </w:rPr>
        <w:t>5</w:t>
      </w:r>
      <w:r>
        <w:rPr>
          <w:color w:val="000000"/>
          <w:sz w:val="24"/>
        </w:rPr>
        <w:t>和</w:t>
      </w:r>
      <w:r>
        <w:rPr>
          <w:color w:val="000000"/>
          <w:sz w:val="24"/>
        </w:rPr>
        <w:t>SS</w:t>
      </w:r>
      <w:r>
        <w:rPr>
          <w:color w:val="000000"/>
          <w:sz w:val="24"/>
        </w:rPr>
        <w:t>，经接触氧化法一体化地埋式综合设备处理达标后，</w:t>
      </w:r>
      <w:r>
        <w:rPr>
          <w:sz w:val="24"/>
        </w:rPr>
        <w:t>部分（</w:t>
      </w:r>
      <w:r w:rsidR="00AE5493">
        <w:rPr>
          <w:rFonts w:hint="eastAsia"/>
          <w:sz w:val="24"/>
        </w:rPr>
        <w:t>1</w:t>
      </w:r>
      <w:r w:rsidR="001A6A92">
        <w:rPr>
          <w:rFonts w:hint="eastAsia"/>
          <w:sz w:val="24"/>
        </w:rPr>
        <w:t>5</w:t>
      </w:r>
      <w:r>
        <w:rPr>
          <w:sz w:val="24"/>
        </w:rPr>
        <w:t>.6m</w:t>
      </w:r>
      <w:r>
        <w:rPr>
          <w:sz w:val="24"/>
          <w:vertAlign w:val="superscript"/>
        </w:rPr>
        <w:t>3</w:t>
      </w:r>
      <w:r>
        <w:rPr>
          <w:sz w:val="24"/>
        </w:rPr>
        <w:t>/d</w:t>
      </w:r>
      <w:r>
        <w:rPr>
          <w:sz w:val="24"/>
        </w:rPr>
        <w:t>）用于工业场地</w:t>
      </w:r>
      <w:r w:rsidR="00AE5493">
        <w:rPr>
          <w:rFonts w:hint="eastAsia"/>
          <w:sz w:val="24"/>
        </w:rPr>
        <w:t>地面防尘</w:t>
      </w:r>
      <w:r>
        <w:rPr>
          <w:sz w:val="24"/>
        </w:rPr>
        <w:t>绿化</w:t>
      </w:r>
      <w:r w:rsidR="00AE5493">
        <w:rPr>
          <w:rFonts w:hint="eastAsia"/>
          <w:sz w:val="24"/>
        </w:rPr>
        <w:t>及景观</w:t>
      </w:r>
      <w:r>
        <w:rPr>
          <w:sz w:val="24"/>
        </w:rPr>
        <w:t>用水，</w:t>
      </w:r>
      <w:r w:rsidR="00AE5493">
        <w:rPr>
          <w:sz w:val="24"/>
        </w:rPr>
        <w:t>部分（</w:t>
      </w:r>
      <w:r w:rsidR="00AE5493">
        <w:rPr>
          <w:rFonts w:hint="eastAsia"/>
          <w:sz w:val="24"/>
        </w:rPr>
        <w:t>3</w:t>
      </w:r>
      <w:r w:rsidR="001A6A92">
        <w:rPr>
          <w:rFonts w:hint="eastAsia"/>
          <w:sz w:val="24"/>
        </w:rPr>
        <w:t>8</w:t>
      </w:r>
      <w:r w:rsidR="00AE5493">
        <w:rPr>
          <w:rFonts w:hint="eastAsia"/>
          <w:sz w:val="24"/>
        </w:rPr>
        <w:t>.2</w:t>
      </w:r>
      <w:r w:rsidR="00AE5493">
        <w:rPr>
          <w:sz w:val="24"/>
        </w:rPr>
        <w:t>m</w:t>
      </w:r>
      <w:r w:rsidR="00AE5493">
        <w:rPr>
          <w:sz w:val="24"/>
          <w:vertAlign w:val="superscript"/>
        </w:rPr>
        <w:t>3</w:t>
      </w:r>
      <w:r w:rsidR="00AE5493">
        <w:rPr>
          <w:sz w:val="24"/>
        </w:rPr>
        <w:t>/d</w:t>
      </w:r>
      <w:r w:rsidR="00AE5493">
        <w:rPr>
          <w:sz w:val="24"/>
        </w:rPr>
        <w:t>）用于</w:t>
      </w:r>
      <w:r w:rsidR="00AE5493">
        <w:rPr>
          <w:rFonts w:hint="eastAsia"/>
          <w:sz w:val="24"/>
        </w:rPr>
        <w:t>运输道路防尘用水，</w:t>
      </w:r>
      <w:r>
        <w:rPr>
          <w:sz w:val="24"/>
        </w:rPr>
        <w:t>剩余部分（</w:t>
      </w:r>
      <w:r w:rsidR="001A6A92">
        <w:rPr>
          <w:rFonts w:hint="eastAsia"/>
          <w:sz w:val="24"/>
        </w:rPr>
        <w:t>12.4</w:t>
      </w:r>
      <w:r>
        <w:rPr>
          <w:sz w:val="24"/>
        </w:rPr>
        <w:t>m</w:t>
      </w:r>
      <w:r>
        <w:rPr>
          <w:sz w:val="24"/>
          <w:vertAlign w:val="superscript"/>
        </w:rPr>
        <w:t>3</w:t>
      </w:r>
      <w:r>
        <w:rPr>
          <w:sz w:val="24"/>
        </w:rPr>
        <w:t>/d</w:t>
      </w:r>
      <w:r>
        <w:rPr>
          <w:sz w:val="24"/>
        </w:rPr>
        <w:t>）用于</w:t>
      </w:r>
      <w:r w:rsidR="001A6A92">
        <w:rPr>
          <w:rFonts w:hint="eastAsia"/>
          <w:sz w:val="24"/>
        </w:rPr>
        <w:t>车辆冲洗补充</w:t>
      </w:r>
      <w:r w:rsidR="00AE5493">
        <w:rPr>
          <w:rFonts w:hint="eastAsia"/>
          <w:sz w:val="24"/>
        </w:rPr>
        <w:t>水</w:t>
      </w:r>
      <w:r>
        <w:rPr>
          <w:sz w:val="24"/>
        </w:rPr>
        <w:t>，不外排</w:t>
      </w:r>
      <w:r>
        <w:rPr>
          <w:color w:val="000000"/>
          <w:sz w:val="24"/>
        </w:rPr>
        <w:t>。</w:t>
      </w:r>
      <w:r w:rsidR="00AE5493">
        <w:rPr>
          <w:rFonts w:hint="eastAsia"/>
          <w:color w:val="000000"/>
          <w:sz w:val="24"/>
        </w:rPr>
        <w:t>生活污水综合利用率为</w:t>
      </w:r>
      <w:r w:rsidR="00AE5493">
        <w:rPr>
          <w:rFonts w:hint="eastAsia"/>
          <w:color w:val="000000"/>
          <w:sz w:val="24"/>
        </w:rPr>
        <w:t>100%</w:t>
      </w:r>
      <w:r w:rsidR="00AE5493">
        <w:rPr>
          <w:rFonts w:hint="eastAsia"/>
          <w:color w:val="000000"/>
          <w:sz w:val="24"/>
        </w:rPr>
        <w:t>。</w:t>
      </w:r>
    </w:p>
    <w:p w:rsidR="00240BCE" w:rsidRDefault="00AC0334">
      <w:pPr>
        <w:spacing w:line="500" w:lineRule="exact"/>
        <w:ind w:firstLineChars="200" w:firstLine="488"/>
        <w:rPr>
          <w:spacing w:val="2"/>
          <w:sz w:val="24"/>
        </w:rPr>
      </w:pPr>
      <w:r>
        <w:rPr>
          <w:spacing w:val="2"/>
          <w:sz w:val="24"/>
        </w:rPr>
        <w:t>（</w:t>
      </w:r>
      <w:r>
        <w:rPr>
          <w:spacing w:val="2"/>
          <w:sz w:val="24"/>
        </w:rPr>
        <w:t>3</w:t>
      </w:r>
      <w:r>
        <w:rPr>
          <w:spacing w:val="2"/>
          <w:sz w:val="24"/>
        </w:rPr>
        <w:t>）雨水</w:t>
      </w:r>
    </w:p>
    <w:p w:rsidR="00A2097A" w:rsidRDefault="00AC0334">
      <w:pPr>
        <w:adjustRightInd w:val="0"/>
        <w:snapToGrid w:val="0"/>
        <w:spacing w:line="520" w:lineRule="exact"/>
        <w:ind w:firstLineChars="200" w:firstLine="480"/>
        <w:rPr>
          <w:kern w:val="0"/>
          <w:sz w:val="24"/>
        </w:rPr>
      </w:pPr>
      <w:r>
        <w:rPr>
          <w:sz w:val="24"/>
        </w:rPr>
        <w:t>厂区采用雨污分流制</w:t>
      </w:r>
      <w:r>
        <w:rPr>
          <w:kern w:val="0"/>
          <w:sz w:val="24"/>
        </w:rPr>
        <w:t>排水系统</w:t>
      </w:r>
      <w:r w:rsidRPr="007325F2">
        <w:rPr>
          <w:b/>
          <w:i/>
          <w:kern w:val="0"/>
          <w:sz w:val="24"/>
          <w:u w:val="single"/>
        </w:rPr>
        <w:t>，</w:t>
      </w:r>
      <w:r w:rsidR="00AC7A9B">
        <w:rPr>
          <w:rFonts w:hint="eastAsia"/>
          <w:b/>
          <w:i/>
          <w:kern w:val="0"/>
          <w:sz w:val="24"/>
          <w:u w:val="single"/>
        </w:rPr>
        <w:t>全厂</w:t>
      </w:r>
      <w:r w:rsidR="00AC7A9B" w:rsidRPr="00AC7A9B">
        <w:rPr>
          <w:rFonts w:hint="eastAsia"/>
          <w:b/>
          <w:i/>
          <w:kern w:val="0"/>
          <w:sz w:val="24"/>
          <w:u w:val="single"/>
        </w:rPr>
        <w:t>截排水沟长度</w:t>
      </w:r>
      <w:r w:rsidR="00AC7A9B">
        <w:rPr>
          <w:rFonts w:hint="eastAsia"/>
          <w:b/>
          <w:i/>
          <w:kern w:val="0"/>
          <w:sz w:val="24"/>
          <w:u w:val="single"/>
        </w:rPr>
        <w:t>共</w:t>
      </w:r>
      <w:r w:rsidR="00AC7A9B" w:rsidRPr="00AC7A9B">
        <w:rPr>
          <w:rFonts w:hint="eastAsia"/>
          <w:b/>
          <w:i/>
          <w:kern w:val="0"/>
          <w:sz w:val="24"/>
          <w:u w:val="single"/>
        </w:rPr>
        <w:t>约</w:t>
      </w:r>
      <w:r w:rsidR="00AC7A9B">
        <w:rPr>
          <w:rFonts w:hint="eastAsia"/>
          <w:b/>
          <w:i/>
          <w:kern w:val="0"/>
          <w:sz w:val="24"/>
          <w:u w:val="single"/>
        </w:rPr>
        <w:t>38</w:t>
      </w:r>
      <w:r w:rsidR="00AC7A9B" w:rsidRPr="00AC7A9B">
        <w:rPr>
          <w:rFonts w:hint="eastAsia"/>
          <w:b/>
          <w:i/>
          <w:kern w:val="0"/>
          <w:sz w:val="24"/>
          <w:u w:val="single"/>
        </w:rPr>
        <w:t>0m</w:t>
      </w:r>
      <w:r w:rsidR="00AC7A9B" w:rsidRPr="00AC7A9B">
        <w:rPr>
          <w:rFonts w:hint="eastAsia"/>
          <w:b/>
          <w:i/>
          <w:kern w:val="0"/>
          <w:sz w:val="24"/>
          <w:u w:val="single"/>
        </w:rPr>
        <w:t>，</w:t>
      </w:r>
      <w:r w:rsidR="00AC7A9B">
        <w:rPr>
          <w:rFonts w:hint="eastAsia"/>
          <w:b/>
          <w:i/>
          <w:kern w:val="0"/>
          <w:sz w:val="24"/>
          <w:u w:val="single"/>
        </w:rPr>
        <w:t>配套</w:t>
      </w:r>
      <w:r w:rsidR="00AC7A9B" w:rsidRPr="00AC7A9B">
        <w:rPr>
          <w:rFonts w:hint="eastAsia"/>
          <w:b/>
          <w:i/>
          <w:kern w:val="0"/>
          <w:sz w:val="24"/>
          <w:u w:val="single"/>
        </w:rPr>
        <w:t>雨水收集池容积</w:t>
      </w:r>
      <w:r w:rsidR="00AC7A9B" w:rsidRPr="00AC7A9B">
        <w:rPr>
          <w:rFonts w:hint="eastAsia"/>
          <w:b/>
          <w:i/>
          <w:kern w:val="0"/>
          <w:sz w:val="24"/>
          <w:u w:val="single"/>
        </w:rPr>
        <w:t>1</w:t>
      </w:r>
      <w:r w:rsidR="00AC7A9B">
        <w:rPr>
          <w:rFonts w:hint="eastAsia"/>
          <w:b/>
          <w:i/>
          <w:kern w:val="0"/>
          <w:sz w:val="24"/>
          <w:u w:val="single"/>
        </w:rPr>
        <w:t>5</w:t>
      </w:r>
      <w:r w:rsidR="00AC7A9B" w:rsidRPr="00AC7A9B">
        <w:rPr>
          <w:rFonts w:hint="eastAsia"/>
          <w:b/>
          <w:i/>
          <w:kern w:val="0"/>
          <w:sz w:val="24"/>
          <w:u w:val="single"/>
        </w:rPr>
        <w:t>0m</w:t>
      </w:r>
      <w:r w:rsidR="00AC7A9B" w:rsidRPr="00AC7A9B">
        <w:rPr>
          <w:rFonts w:hint="eastAsia"/>
          <w:b/>
          <w:i/>
          <w:kern w:val="0"/>
          <w:sz w:val="24"/>
          <w:u w:val="single"/>
          <w:vertAlign w:val="superscript"/>
        </w:rPr>
        <w:t>3</w:t>
      </w:r>
      <w:r w:rsidR="00AC7A9B" w:rsidRPr="00AC7A9B">
        <w:rPr>
          <w:rFonts w:hint="eastAsia"/>
          <w:b/>
          <w:i/>
          <w:kern w:val="0"/>
          <w:sz w:val="24"/>
          <w:u w:val="single"/>
        </w:rPr>
        <w:t>。</w:t>
      </w:r>
      <w:r>
        <w:rPr>
          <w:kern w:val="0"/>
          <w:sz w:val="24"/>
        </w:rPr>
        <w:t>初期雨水经雨水边沟收集至雨水收集池，沉淀后外排。</w:t>
      </w:r>
    </w:p>
    <w:p w:rsidR="00240BCE" w:rsidRDefault="00A2097A">
      <w:pPr>
        <w:adjustRightInd w:val="0"/>
        <w:snapToGrid w:val="0"/>
        <w:spacing w:line="520" w:lineRule="exact"/>
        <w:ind w:firstLineChars="200" w:firstLine="480"/>
        <w:rPr>
          <w:sz w:val="24"/>
        </w:rPr>
      </w:pPr>
      <w:r>
        <w:rPr>
          <w:rFonts w:hint="eastAsia"/>
          <w:sz w:val="24"/>
        </w:rPr>
        <w:t>水</w:t>
      </w:r>
      <w:r w:rsidR="00AC0334">
        <w:rPr>
          <w:sz w:val="24"/>
        </w:rPr>
        <w:t>平衡图见图</w:t>
      </w:r>
      <w:r w:rsidR="00AC0334">
        <w:rPr>
          <w:sz w:val="24"/>
        </w:rPr>
        <w:t>3.2-2</w:t>
      </w:r>
      <w:r w:rsidR="00AC0334">
        <w:rPr>
          <w:sz w:val="24"/>
        </w:rPr>
        <w:t>。</w:t>
      </w:r>
    </w:p>
    <w:p w:rsidR="00240BCE" w:rsidRDefault="00B95226" w:rsidP="00A2097A">
      <w:pPr>
        <w:pStyle w:val="a1"/>
        <w:adjustRightInd w:val="0"/>
        <w:snapToGrid w:val="0"/>
        <w:spacing w:line="520" w:lineRule="exact"/>
      </w:pPr>
      <w:r>
        <w:rPr>
          <w:noProof/>
        </w:rPr>
        <w:pict>
          <v:line id="直线 1189" o:spid="_x0000_s3561" style="position:absolute;left:0;text-align:left;z-index:251625472;visibility:visible;mso-height-relative:margin" from="282.4pt,20.35pt" to="282.4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"/>
        </w:pict>
      </w:r>
      <w:r>
        <w:rPr>
          <w:noProof/>
        </w:rPr>
        <w:pict>
          <v:shape id="_x0000_s1063" type="#_x0000_t202" style="position:absolute;left:0;text-align:left;margin-left:322.65pt;margin-top:5.65pt;width:118.45pt;height:30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" filled="f" stroked="f">
            <v:textbox style="mso-next-textbox:#_x0000_s1063" inset=".5mm,.3mm,.5mm,.3mm">
              <w:txbxContent>
                <w:p w:rsidR="006D7D3F" w:rsidRDefault="006D7D3F">
                  <w:pPr>
                    <w:rPr>
                      <w:szCs w:val="21"/>
                    </w:rPr>
                  </w:pPr>
                  <w:r>
                    <w:rPr>
                      <w:rFonts w:hint="eastAsia"/>
                      <w:sz w:val="21"/>
                      <w:szCs w:val="21"/>
                    </w:rPr>
                    <w:t>工业场地及周边景观绿化用水</w:t>
                  </w:r>
                </w:p>
              </w:txbxContent>
            </v:textbox>
          </v:shape>
        </w:pict>
      </w:r>
      <w:r w:rsidRPr="00B95226">
        <w:rPr>
          <w:noProof/>
          <w:sz w:val="20"/>
        </w:rPr>
        <w:pict>
          <v:shape id="_x0000_s3803" type="#_x0000_t202" style="position:absolute;left:0;text-align:left;margin-left:219.15pt;margin-top:21.35pt;width:33.15pt;height:16.1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" filled="f" stroked="f">
            <v:textbox style="mso-next-textbox:#_x0000_s3803" inset="0,0,0,0">
              <w:txbxContent>
                <w:p w:rsidR="006D7D3F" w:rsidRDefault="006D7D3F">
                  <w:pPr>
                    <w:ind w:firstLineChars="50" w:firstLine="105"/>
                    <w:rPr>
                      <w:rFonts w:ascii="宋体" w:hAnsi="宋体"/>
                      <w:szCs w:val="21"/>
                    </w:rPr>
                  </w:pPr>
                  <w:r>
                    <w:rPr>
                      <w:rFonts w:ascii="宋体" w:hAnsi="宋体" w:hint="eastAsia"/>
                      <w:kern w:val="0"/>
                      <w:sz w:val="21"/>
                      <w:szCs w:val="21"/>
                    </w:rPr>
                    <w:t>66.2</w:t>
                  </w:r>
                </w:p>
              </w:txbxContent>
            </v:textbox>
          </v:shape>
        </w:pict>
      </w:r>
      <w:r w:rsidRPr="00B95226">
        <w:rPr>
          <w:noProof/>
          <w:sz w:val="20"/>
        </w:rPr>
        <w:pict>
          <v:line id="_x0000_s3655" style="position:absolute;left:0;text-align:left;z-index:251725824;visibility:visible" from="596.35pt,5.65pt" to="596.3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" stroked="f"/>
        </w:pict>
      </w:r>
      <w:r w:rsidRPr="00B95226">
        <w:rPr>
          <w:noProof/>
          <w:sz w:val="20"/>
        </w:rPr>
        <w:pict>
          <v:line id="_x0000_s3653" style="position:absolute;left:0;text-align:left;z-index:251724800;visibility:visible" from="448pt,0" to="5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" stroked="f"/>
        </w:pict>
      </w:r>
      <w:r>
        <w:rPr>
          <w:noProof/>
        </w:rPr>
        <w:pict>
          <v:shape id="_x0000_s1061" type="#_x0000_t202" style="position:absolute;left:0;text-align:left;margin-left:285.2pt;margin-top:5.45pt;width:31.1pt;height:13.3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" filled="f" stroked="f">
            <v:textbox style="mso-next-textbox:#_x0000_s1061" inset="0,0,0,0">
              <w:txbxContent>
                <w:p w:rsidR="006D7D3F" w:rsidRDefault="006D7D3F">
                  <w:pPr>
                    <w:jc w:val="center"/>
                    <w:rPr>
                      <w:rFonts w:ascii="宋体" w:hAnsi="宋体"/>
                      <w:sz w:val="21"/>
                      <w:szCs w:val="21"/>
                    </w:rPr>
                  </w:pPr>
                  <w:r>
                    <w:rPr>
                      <w:rFonts w:ascii="宋体" w:hAnsi="宋体" w:hint="eastAsia"/>
                      <w:sz w:val="21"/>
                      <w:szCs w:val="21"/>
                    </w:rPr>
                    <w:t>16.5</w:t>
                  </w:r>
                </w:p>
              </w:txbxContent>
            </v:textbox>
          </v:shape>
        </w:pict>
      </w:r>
      <w:r>
        <w:rPr>
          <w:noProof/>
        </w:rPr>
        <w:pict>
          <v:line id="直线 1194" o:spid="_x0000_s3560" style="position:absolute;left:0;text-align:left;z-index:251626496;visibility:visible" from="282.6pt,19.55pt" to="318.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">
            <v:stroke endarrow="block"/>
          </v:line>
        </w:pict>
      </w:r>
      <w:r>
        <w:rPr>
          <w:noProof/>
        </w:rPr>
        <w:pict>
          <v:shape id="_x0000_s1062" type="#_x0000_t202" style="position:absolute;left:0;text-align:left;margin-left:35.9pt;margin-top:18.15pt;width:36.35pt;height:16.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" filled="f" stroked="f">
            <v:textbox style="mso-next-textbox:#_x0000_s1062" inset="0,0,0,0">
              <w:txbxContent>
                <w:p w:rsidR="006D7D3F" w:rsidRDefault="006D7D3F">
                  <w:pPr>
                    <w:rPr>
                      <w:rFonts w:ascii="宋体" w:hAnsi="宋体"/>
                      <w:sz w:val="21"/>
                      <w:szCs w:val="21"/>
                    </w:rPr>
                  </w:pPr>
                  <w:r>
                    <w:rPr>
                      <w:rFonts w:ascii="宋体" w:hAnsi="宋体" w:hint="eastAsia"/>
                      <w:sz w:val="21"/>
                      <w:szCs w:val="21"/>
                    </w:rPr>
                    <w:t>77.85</w:t>
                  </w:r>
                </w:p>
              </w:txbxContent>
            </v:textbox>
          </v:shape>
        </w:pict>
      </w:r>
      <w:r>
        <w:rPr>
          <w:noProof/>
        </w:rPr>
        <w:pict>
          <v:shape id="_x0000_s1064" type="#_x0000_t202" style="position:absolute;left:0;text-align:left;margin-left:117.1pt;margin-top:19.5pt;width:33.15pt;height:16.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" filled="f" stroked="f">
            <v:textbox style="mso-next-textbox:#_x0000_s1064" inset="0,0,0,0">
              <w:txbxContent>
                <w:p w:rsidR="006D7D3F" w:rsidRDefault="006D7D3F">
                  <w:pPr>
                    <w:ind w:firstLineChars="50" w:firstLine="105"/>
                    <w:rPr>
                      <w:rFonts w:ascii="宋体" w:hAnsi="宋体"/>
                      <w:szCs w:val="21"/>
                    </w:rPr>
                  </w:pPr>
                  <w:r>
                    <w:rPr>
                      <w:rFonts w:ascii="宋体" w:hAnsi="宋体" w:hint="eastAsia"/>
                      <w:kern w:val="0"/>
                      <w:sz w:val="21"/>
                      <w:szCs w:val="21"/>
                    </w:rPr>
                    <w:t>66.2</w:t>
                  </w:r>
                </w:p>
              </w:txbxContent>
            </v:textbox>
          </v:shape>
        </w:pict>
      </w:r>
      <w:r>
        <w:rPr>
          <w:noProof/>
        </w:rPr>
        <w:pict>
          <v:shape id="_x0000_s1065" type="#_x0000_t202" style="position:absolute;left:0;text-align:left;margin-left:87.2pt;margin-top:21.25pt;width:31.6pt;height:29.4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" filled="f" stroked="f">
            <v:textbox style="mso-next-textbox:#_x0000_s1065" inset="0,0,0,0">
              <w:txbxContent>
                <w:p w:rsidR="006D7D3F" w:rsidRDefault="006D7D3F">
                  <w:pPr>
                    <w:rPr>
                      <w:sz w:val="21"/>
                      <w:szCs w:val="21"/>
                    </w:rPr>
                  </w:pPr>
                  <w:r>
                    <w:rPr>
                      <w:rFonts w:hint="eastAsia"/>
                      <w:sz w:val="21"/>
                      <w:szCs w:val="21"/>
                    </w:rPr>
                    <w:t>生活</w:t>
                  </w:r>
                </w:p>
                <w:p w:rsidR="006D7D3F" w:rsidRDefault="006D7D3F">
                  <w:pPr>
                    <w:rPr>
                      <w:sz w:val="21"/>
                      <w:szCs w:val="21"/>
                    </w:rPr>
                  </w:pPr>
                  <w:r>
                    <w:rPr>
                      <w:rFonts w:hint="eastAsia"/>
                      <w:sz w:val="21"/>
                      <w:szCs w:val="21"/>
                    </w:rPr>
                    <w:t>用水</w:t>
                  </w:r>
                </w:p>
              </w:txbxContent>
            </v:textbox>
          </v:shape>
        </w:pict>
      </w:r>
      <w:r>
        <w:rPr>
          <w:noProof/>
        </w:rPr>
        <w:pict>
          <v:shape id="_x0000_s1066" type="#_x0000_t202" style="position:absolute;left:0;text-align:left;margin-left:152.85pt;margin-top:18.45pt;width:56pt;height:31.8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" filled="f" stroked="f">
            <v:textbox style="mso-next-textbox:#_x0000_s1066" inset=".5mm,0,.5mm,0">
              <w:txbxContent>
                <w:p w:rsidR="006D7D3F" w:rsidRDefault="006D7D3F">
                  <w:pPr>
                    <w:spacing w:line="320" w:lineRule="exact"/>
                    <w:rPr>
                      <w:rFonts w:ascii="宋体" w:hAnsi="宋体"/>
                      <w:sz w:val="21"/>
                      <w:szCs w:val="21"/>
                    </w:rPr>
                  </w:pPr>
                  <w:r>
                    <w:rPr>
                      <w:rFonts w:ascii="宋体" w:hAnsi="宋体" w:hint="eastAsia"/>
                      <w:kern w:val="0"/>
                      <w:sz w:val="21"/>
                      <w:szCs w:val="21"/>
                    </w:rPr>
                    <w:t>接触氧化污水处理设备</w:t>
                  </w:r>
                </w:p>
              </w:txbxContent>
            </v:textbox>
          </v:shape>
        </w:pict>
      </w:r>
      <w:r>
        <w:rPr>
          <w:noProof/>
        </w:rPr>
        <w:pict>
          <v:shape id="_x0000_s1067" type="#_x0000_t202" style="position:absolute;left:0;text-align:left;margin-left:1.4pt;margin-top:21.35pt;width:25.2pt;height:30.4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" filled="f" stroked="f">
            <v:textbox style="mso-next-textbox:#_x0000_s1067" inset="0,0,0,0">
              <w:txbxContent>
                <w:p w:rsidR="006D7D3F" w:rsidRDefault="006D7D3F">
                  <w:pPr>
                    <w:jc w:val="center"/>
                    <w:rPr>
                      <w:sz w:val="21"/>
                      <w:szCs w:val="21"/>
                    </w:rPr>
                  </w:pPr>
                  <w:r>
                    <w:rPr>
                      <w:rFonts w:hint="eastAsia"/>
                      <w:sz w:val="21"/>
                      <w:szCs w:val="21"/>
                    </w:rPr>
                    <w:t>深井水</w:t>
                  </w:r>
                </w:p>
              </w:txbxContent>
            </v:textbox>
          </v:shape>
        </w:pict>
      </w:r>
    </w:p>
    <w:p w:rsidR="00240BCE" w:rsidRDefault="00B95226">
      <w:pPr>
        <w:adjustRightInd w:val="0"/>
        <w:snapToGrid w:val="0"/>
        <w:spacing w:line="520" w:lineRule="exact"/>
      </w:pPr>
      <w:r>
        <w:rPr>
          <w:noProof/>
        </w:rPr>
        <w:pict>
          <v:shape id="文本框 1190" o:spid="_x0000_s1069" type="#_x0000_t202" style="position:absolute;left:0;text-align:left;margin-left:341.6pt;margin-top:23.1pt;width:99.5pt;height:33.8pt;z-index:251618304;visibility:visible" filled="f" strokecolor="black [3213]">
            <v:textbox style="mso-next-textbox:#文本框 1190" inset="0,.3mm,0,.3mm">
              <w:txbxContent>
                <w:p w:rsidR="006D7D3F" w:rsidRDefault="006D7D3F">
                  <w:pPr>
                    <w:spacing w:line="290" w:lineRule="exact"/>
                    <w:rPr>
                      <w:sz w:val="21"/>
                      <w:szCs w:val="21"/>
                    </w:rPr>
                  </w:pPr>
                  <w:r>
                    <w:rPr>
                      <w:rFonts w:ascii="宋体" w:hAnsi="宋体" w:hint="eastAsia"/>
                      <w:spacing w:val="2"/>
                      <w:sz w:val="21"/>
                      <w:szCs w:val="21"/>
                    </w:rPr>
                    <w:t>工业场地及运输道路防尘洒水</w:t>
                  </w:r>
                  <w:r>
                    <w:rPr>
                      <w:rFonts w:hint="eastAsia"/>
                      <w:sz w:val="21"/>
                      <w:szCs w:val="21"/>
                    </w:rPr>
                    <w:t>（</w:t>
                  </w:r>
                  <w:r>
                    <w:rPr>
                      <w:rFonts w:hint="eastAsia"/>
                      <w:sz w:val="21"/>
                      <w:szCs w:val="21"/>
                    </w:rPr>
                    <w:t>54.6m</w:t>
                  </w:r>
                  <w:r>
                    <w:rPr>
                      <w:rFonts w:hint="eastAsia"/>
                      <w:sz w:val="21"/>
                      <w:szCs w:val="21"/>
                      <w:vertAlign w:val="superscript"/>
                    </w:rPr>
                    <w:t>3</w:t>
                  </w:r>
                  <w:r>
                    <w:rPr>
                      <w:rFonts w:hint="eastAsia"/>
                      <w:sz w:val="21"/>
                      <w:szCs w:val="21"/>
                    </w:rPr>
                    <w:t>/d</w:t>
                  </w:r>
                  <w:r>
                    <w:rPr>
                      <w:rFonts w:hint="eastAsia"/>
                      <w:sz w:val="21"/>
                      <w:szCs w:val="21"/>
                    </w:rPr>
                    <w:t>）</w:t>
                  </w:r>
                </w:p>
              </w:txbxContent>
            </v:textbox>
          </v:shape>
        </w:pict>
      </w:r>
      <w:r>
        <w:rPr>
          <w:noProof/>
        </w:rPr>
        <w:pict>
          <v:shape id="文本框 1185" o:spid="_x0000_s1068" type="#_x0000_t202" style="position:absolute;left:0;text-align:left;margin-left:287.5pt;margin-top:18.8pt;width:46.8pt;height:19.0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" filled="f" stroked="f">
            <v:textbox style="mso-next-textbox:#文本框 1185" inset="0,.3mm,0,.3mm">
              <w:txbxContent>
                <w:p w:rsidR="006D7D3F" w:rsidRDefault="006D7D3F">
                  <w:pPr>
                    <w:jc w:val="center"/>
                    <w:rPr>
                      <w:rFonts w:ascii="宋体" w:hAnsi="宋体"/>
                      <w:sz w:val="21"/>
                      <w:szCs w:val="21"/>
                    </w:rPr>
                  </w:pPr>
                  <w:r>
                    <w:rPr>
                      <w:rFonts w:ascii="宋体" w:hAnsi="宋体" w:hint="eastAsia"/>
                      <w:kern w:val="0"/>
                      <w:sz w:val="21"/>
                      <w:szCs w:val="21"/>
                    </w:rPr>
                    <w:t>49.7</w:t>
                  </w:r>
                </w:p>
              </w:txbxContent>
            </v:textbox>
          </v:shape>
        </w:pict>
      </w:r>
      <w:r>
        <w:rPr>
          <w:noProof/>
        </w:rPr>
        <w:pict>
          <v:line id="直线 1193" o:spid="_x0000_s3559" style="position:absolute;left:0;text-align:left;z-index:251619328;visibility:visible" from="203.55pt,8.35pt" to="281.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">
            <v:stroke endarrow="block"/>
          </v:line>
        </w:pict>
      </w:r>
      <w:r>
        <w:rPr>
          <w:noProof/>
        </w:rPr>
        <w:pict>
          <v:line id="直线 1186" o:spid="_x0000_s3558" style="position:absolute;left:0;text-align:left;z-index:251616256;visibility:visible" from="113.5pt,9pt" to="152.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">
            <v:stroke endarrow="block"/>
          </v:line>
        </w:pict>
      </w:r>
      <w:r>
        <w:rPr>
          <w:noProof/>
        </w:rPr>
        <w:pict>
          <v:line id="直线 1179" o:spid="_x0000_s3557" style="position:absolute;left:0;text-align:left;z-index:251610112;visibility:visible" from="28.6pt,9.3pt" to="84.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">
            <v:stroke endarrow="block"/>
          </v:line>
        </w:pict>
      </w:r>
    </w:p>
    <w:p w:rsidR="00FE5216" w:rsidRDefault="00B95226">
      <w:pPr>
        <w:adjustRightInd w:val="0"/>
        <w:snapToGrid w:val="0"/>
        <w:spacing w:line="520" w:lineRule="exact"/>
      </w:pPr>
      <w:r>
        <w:rPr>
          <w:noProof/>
        </w:rPr>
        <w:pict>
          <v:shape id="_x0000_s1072" type="#_x0000_t202" style="position:absolute;left:0;text-align:left;margin-left:217.55pt;margin-top:4.7pt;width:30.4pt;height:15.6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" filled="f" stroked="f">
            <v:textbox style="mso-next-textbox:#_x0000_s1072" inset="0,0,0,0">
              <w:txbxContent>
                <w:p w:rsidR="006D7D3F" w:rsidRDefault="006D7D3F">
                  <w:pPr>
                    <w:rPr>
                      <w:rFonts w:ascii="宋体" w:hAnsi="宋体"/>
                      <w:sz w:val="21"/>
                      <w:szCs w:val="21"/>
                    </w:rPr>
                  </w:pPr>
                  <w:r>
                    <w:rPr>
                      <w:rFonts w:ascii="宋体" w:hAnsi="宋体" w:hint="eastAsia"/>
                      <w:kern w:val="0"/>
                      <w:sz w:val="21"/>
                      <w:szCs w:val="21"/>
                    </w:rPr>
                    <w:t>4.9</w:t>
                  </w:r>
                </w:p>
              </w:txbxContent>
            </v:textbox>
          </v:shape>
        </w:pict>
      </w:r>
      <w:r>
        <w:rPr>
          <w:noProof/>
        </w:rPr>
        <w:pict>
          <v:group id="_x0000_s3804" style="position:absolute;left:0;text-align:left;margin-left:210.4pt;margin-top:19.35pt;width:129.7pt;height:181.85pt;z-index:251622400" coordorigin="5909,10510" coordsize="2594,2674">
            <v:line id="直线 1177" o:spid="_x0000_s3555" style="position:absolute;visibility:visible;mso-height-relative:margin" from="5909,10524" to="5909,1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"/>
            <v:line id="直线 1199" o:spid="_x0000_s3554" style="position:absolute;visibility:visible;mso-width-relative:margin" from="5909,10510" to="8503,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">
              <v:stroke endarrow="block"/>
            </v:line>
          </v:group>
        </w:pict>
      </w:r>
      <w:r>
        <w:rPr>
          <w:noProof/>
        </w:rPr>
        <w:pict>
          <v:line id="直线 1195" o:spid="_x0000_s3556" style="position:absolute;left:0;text-align:left;z-index:251627520;visibility:visible" from="282.7pt,9.4pt" to="340.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">
            <v:stroke endarrow="block"/>
          </v:line>
        </w:pict>
      </w:r>
    </w:p>
    <w:p w:rsidR="00240BCE" w:rsidRDefault="00B95226">
      <w:pPr>
        <w:adjustRightInd w:val="0"/>
        <w:snapToGrid w:val="0"/>
        <w:spacing w:line="520" w:lineRule="exact"/>
      </w:pPr>
      <w:r>
        <w:rPr>
          <w:noProof/>
        </w:rPr>
        <w:pict>
          <v:shape id="_x0000_s1070" type="#_x0000_t202" style="position:absolute;left:0;text-align:left;margin-left:271.85pt;margin-top:23.75pt;width:149.15pt;height:23.15pt;z-index:251709440;visibility:visible;mso-width-relative:margin;mso-height-relative:margin" filled="f" stroked="f">
            <v:textbox style="mso-next-textbox:#_x0000_s1070" inset=",.3mm,,.3mm">
              <w:txbxContent>
                <w:p w:rsidR="006D7D3F" w:rsidRDefault="006D7D3F">
                  <w:pPr>
                    <w:rPr>
                      <w:sz w:val="21"/>
                      <w:szCs w:val="21"/>
                    </w:rPr>
                  </w:pPr>
                  <w:r>
                    <w:rPr>
                      <w:rFonts w:hint="eastAsia"/>
                      <w:sz w:val="21"/>
                      <w:szCs w:val="21"/>
                    </w:rPr>
                    <w:t>车辆冲洗补充水</w:t>
                  </w:r>
                </w:p>
              </w:txbxContent>
            </v:textbox>
          </v:shape>
        </w:pict>
      </w:r>
      <w:r>
        <w:rPr>
          <w:noProof/>
        </w:rPr>
        <w:pict>
          <v:shape id="_x0000_s1071" type="#_x0000_t202" style="position:absolute;left:0;text-align:left;margin-left:210.4pt;margin-top:14.1pt;width:37.55pt;height:19.0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" filled="f" stroked="f">
            <v:textbox style="mso-next-textbox:#_x0000_s1071" inset="0,.3mm,0,.3mm">
              <w:txbxContent>
                <w:p w:rsidR="006D7D3F" w:rsidRDefault="006D7D3F">
                  <w:pPr>
                    <w:jc w:val="center"/>
                    <w:rPr>
                      <w:rFonts w:ascii="宋体" w:hAnsi="宋体"/>
                      <w:sz w:val="21"/>
                      <w:szCs w:val="21"/>
                    </w:rPr>
                  </w:pPr>
                  <w:r>
                    <w:rPr>
                      <w:rFonts w:ascii="宋体" w:hAnsi="宋体" w:hint="eastAsia"/>
                      <w:kern w:val="0"/>
                      <w:sz w:val="21"/>
                      <w:szCs w:val="21"/>
                    </w:rPr>
                    <w:t>1.3</w:t>
                  </w:r>
                </w:p>
              </w:txbxContent>
            </v:textbox>
          </v:shape>
        </w:pict>
      </w:r>
    </w:p>
    <w:p w:rsidR="00240BCE" w:rsidRDefault="00B95226">
      <w:pPr>
        <w:adjustRightInd w:val="0"/>
        <w:snapToGrid w:val="0"/>
        <w:spacing w:line="520" w:lineRule="exact"/>
      </w:pPr>
      <w:r>
        <w:rPr>
          <w:noProof/>
        </w:rPr>
        <w:pict>
          <v:line id="_x0000_s3553" style="position:absolute;left:0;text-align:left;z-index:251710464;visibility:visible" from="210.15pt,7.15pt" to="268.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">
            <v:stroke endarrow="block"/>
          </v:line>
        </w:pict>
      </w:r>
    </w:p>
    <w:p w:rsidR="00240BCE" w:rsidRDefault="00B95226">
      <w:pPr>
        <w:adjustRightInd w:val="0"/>
        <w:snapToGrid w:val="0"/>
        <w:spacing w:line="520" w:lineRule="exact"/>
      </w:pPr>
      <w:r>
        <w:rPr>
          <w:noProof/>
        </w:rPr>
        <w:pict>
          <v:shape id="_x0000_s1073" type="#_x0000_t202" style="position:absolute;left:0;text-align:left;margin-left:214.45pt;margin-top:9.2pt;width:38pt;height:16.15pt;z-index:251609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" filled="f" stroked="f">
            <v:textbox style="mso-next-textbox:#_x0000_s1073" inset="0,0,0,0">
              <w:txbxContent>
                <w:p w:rsidR="006D7D3F" w:rsidRDefault="006D7D3F" w:rsidP="00AE5493">
                  <w:pPr>
                    <w:rPr>
                      <w:rFonts w:ascii="宋体" w:hAnsi="宋体"/>
                      <w:sz w:val="21"/>
                      <w:szCs w:val="21"/>
                    </w:rPr>
                  </w:pPr>
                  <w:r>
                    <w:rPr>
                      <w:rFonts w:ascii="宋体" w:hAnsi="宋体" w:hint="eastAsia"/>
                      <w:sz w:val="21"/>
                      <w:szCs w:val="21"/>
                    </w:rPr>
                    <w:t>372.6</w:t>
                  </w:r>
                </w:p>
              </w:txbxContent>
            </v:textbox>
          </v:shape>
        </w:pict>
      </w:r>
      <w:r>
        <w:rPr>
          <w:noProof/>
        </w:rPr>
        <w:pict>
          <v:shape id="_x0000_s1074" type="#_x0000_t202" style="position:absolute;left:0;text-align:left;margin-left:252.45pt;margin-top:16.8pt;width:66.1pt;height:15.6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" filled="f" stroked="f">
            <v:textbox style="mso-next-textbox:#_x0000_s1074" inset="0,0,0,0">
              <w:txbxContent>
                <w:p w:rsidR="006D7D3F" w:rsidRDefault="006D7D3F">
                  <w:r>
                    <w:rPr>
                      <w:rFonts w:hint="eastAsia"/>
                      <w:sz w:val="21"/>
                      <w:szCs w:val="21"/>
                    </w:rPr>
                    <w:t>井下防尘用水</w:t>
                  </w:r>
                </w:p>
              </w:txbxContent>
            </v:textbox>
          </v:shape>
        </w:pict>
      </w:r>
      <w:r>
        <w:rPr>
          <w:noProof/>
        </w:rPr>
        <w:pict>
          <v:line id="直线 1197" o:spid="_x0000_s3552" style="position:absolute;left:0;text-align:left;z-index:251621376;visibility:visible" from="210.55pt,23.95pt" to="247.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">
            <v:stroke endarrow="block"/>
          </v:line>
        </w:pict>
      </w:r>
    </w:p>
    <w:p w:rsidR="00240BCE" w:rsidRDefault="00B95226">
      <w:pPr>
        <w:adjustRightInd w:val="0"/>
        <w:snapToGrid w:val="0"/>
        <w:spacing w:line="520" w:lineRule="exact"/>
      </w:pPr>
      <w:r w:rsidRPr="00B95226">
        <w:rPr>
          <w:noProof/>
          <w:sz w:val="20"/>
        </w:rPr>
        <w:pict>
          <v:shape id="_x0000_s1078" type="#_x0000_t202" style="position:absolute;left:0;text-align:left;margin-left:24.65pt;margin-top:6.4pt;width:30.6pt;height:15.6pt;z-index:251728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_x0000_s1078" inset="0,0,0,0">
              <w:txbxContent>
                <w:p w:rsidR="006D7D3F" w:rsidRDefault="006D7D3F">
                  <w:pPr>
                    <w:rPr>
                      <w:rFonts w:ascii="宋体" w:hAnsi="宋体"/>
                    </w:rPr>
                  </w:pPr>
                  <w:r>
                    <w:rPr>
                      <w:rFonts w:ascii="宋体" w:hAnsi="宋体" w:hint="eastAsia"/>
                      <w:sz w:val="21"/>
                      <w:szCs w:val="21"/>
                    </w:rPr>
                    <w:t>4656</w:t>
                  </w:r>
                </w:p>
              </w:txbxContent>
            </v:textbox>
          </v:shape>
        </w:pict>
      </w:r>
      <w:r w:rsidRPr="00B95226">
        <w:rPr>
          <w:noProof/>
          <w:sz w:val="20"/>
        </w:rPr>
        <w:pict>
          <v:shape id="_x0000_s1082" type="#_x0000_t202" style="position:absolute;left:0;text-align:left;margin-left:-22.55pt;margin-top:3.8pt;width:43.2pt;height:30.4pt;z-index:251732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_x0000_s1082" inset="0,0,0,0">
              <w:txbxContent>
                <w:p w:rsidR="006D7D3F" w:rsidRDefault="006D7D3F">
                  <w:pPr>
                    <w:jc w:val="center"/>
                    <w:rPr>
                      <w:sz w:val="21"/>
                      <w:szCs w:val="21"/>
                    </w:rPr>
                  </w:pPr>
                  <w:r>
                    <w:rPr>
                      <w:rFonts w:hint="eastAsia"/>
                      <w:sz w:val="21"/>
                      <w:szCs w:val="21"/>
                    </w:rPr>
                    <w:t>矿井水（后期）</w:t>
                  </w:r>
                </w:p>
              </w:txbxContent>
            </v:textbox>
          </v:shape>
        </w:pict>
      </w:r>
      <w:r w:rsidRPr="00B95226">
        <w:rPr>
          <w:noProof/>
          <w:sz w:val="20"/>
        </w:rPr>
        <w:pict>
          <v:line id="_x0000_s1081" style="position:absolute;left:0;text-align:left;z-index:251731968;visibility:visible" from="24.65pt,20.8pt" to="55.25pt,20.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tL4AAADbAAAADwAAAGRycy9kb3ducmV2LnhtbERPzYrCMBC+L/gOYQRva+pSytI1FVEE&#10;PYndPsDQzLalzaQk0Xbf3hwEjx/f/3Y3m0E8yPnOsoLNOgFBXFvdcaOg+j19foPwAVnjYJkU/JOH&#10;XbH42GKu7cQ3epShETGEfY4K2hDGXEpft2TQr+1IHLk/6wyGCF0jtcMphptBfiVJJg12HBtaHOnQ&#10;Ut2Xd6PgVk3mOmeXJDCVsj5maZ+6s1Kr5bz/ARFoDm/xy33WCtK4Pn6JP0AW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D+0vgAAANsAAAAPAAAAAAAAAAAAAAAAAKEC&#10;AABkcnMvZG93bnJldi54bWxQSwUGAAAAAAQABAD5AAAAjAMAAAAA&#10;">
            <v:stroke endarrow="classic"/>
          </v:line>
        </w:pict>
      </w:r>
      <w:r w:rsidRPr="00B95226">
        <w:rPr>
          <w:noProof/>
          <w:sz w:val="20"/>
        </w:rPr>
        <w:pict>
          <v:shape id="_x0000_s1080" type="#_x0000_t202" style="position:absolute;left:0;text-align:left;margin-left:132.65pt;margin-top:2.45pt;width:38pt;height:32.2pt;z-index:251730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q0MUA&#10;AADbAAAADwAAAGRycy9kb3ducmV2LnhtbESPQWvCQBSE74X+h+UVvBTdWEE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rQxQAAANsAAAAPAAAAAAAAAAAAAAAAAJgCAABkcnMv&#10;ZG93bnJldi54bWxQSwUGAAAAAAQABAD1AAAAigMAAAAA&#10;" filled="f">
            <v:textbox style="mso-next-textbox:#_x0000_s1080" inset="0,0,0,0">
              <w:txbxContent>
                <w:p w:rsidR="006D7D3F" w:rsidRDefault="006D7D3F">
                  <w:pPr>
                    <w:jc w:val="center"/>
                    <w:rPr>
                      <w:sz w:val="21"/>
                      <w:szCs w:val="21"/>
                    </w:rPr>
                  </w:pPr>
                  <w:r>
                    <w:rPr>
                      <w:rFonts w:hint="eastAsia"/>
                      <w:sz w:val="21"/>
                      <w:szCs w:val="21"/>
                    </w:rPr>
                    <w:t>无阀</w:t>
                  </w:r>
                </w:p>
                <w:p w:rsidR="006D7D3F" w:rsidRDefault="006D7D3F">
                  <w:pPr>
                    <w:jc w:val="center"/>
                    <w:rPr>
                      <w:sz w:val="21"/>
                      <w:szCs w:val="21"/>
                    </w:rPr>
                  </w:pPr>
                  <w:r>
                    <w:rPr>
                      <w:rFonts w:hint="eastAsia"/>
                      <w:sz w:val="21"/>
                      <w:szCs w:val="21"/>
                    </w:rPr>
                    <w:t>滤池</w:t>
                  </w:r>
                </w:p>
              </w:txbxContent>
            </v:textbox>
          </v:shape>
        </w:pict>
      </w:r>
      <w:r w:rsidRPr="00B95226">
        <w:rPr>
          <w:noProof/>
          <w:sz w:val="20"/>
        </w:rPr>
        <w:pict>
          <v:line id="_x0000_s1079" style="position:absolute;left:0;text-align:left;z-index:251729920;visibility:visible" from="172.75pt,16.7pt" to="210.15pt,16.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w:pict>
      </w:r>
      <w:r w:rsidRPr="00B95226">
        <w:rPr>
          <w:noProof/>
          <w:sz w:val="20"/>
        </w:rPr>
        <w:pict>
          <v:line id="_x0000_s1077" style="position:absolute;left:0;text-align:left;z-index:251727872;visibility:visible" from="102.8pt,20.1pt" to="132.85pt,20.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cF8EAAADbAAAADwAAAGRycy9kb3ducmV2LnhtbESP0WqEMBRE3wv9h3ALfauxi0ixG6W0&#10;LNinovUDLuZWZc2NJNnV/ftNYWEfh5k5w+yrzcziTM5PlhW8JikI4t7qiQcF3e/h5Q2ED8gaZ8uk&#10;4EIeqvLxYY+Ftis3dG7DICKEfYEKxhCWQkrfj2TQJ3Yhjt6fdQZDlG6Q2uEa4WaWuzTNpcGJ48KI&#10;C32O1B/bk1HQdKv52fLvNDC1sv/Ks2PmaqWen7aPdxCBtnAP39q1VrDL4P9L/AG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ONwXwQAAANsAAAAPAAAAAAAAAAAAAAAA&#10;AKECAABkcnMvZG93bnJldi54bWxQSwUGAAAAAAQABAD5AAAAjwMAAAAA&#10;">
            <v:stroke endarrow="classic"/>
          </v:line>
        </w:pict>
      </w:r>
      <w:r w:rsidRPr="00B95226">
        <w:rPr>
          <w:noProof/>
          <w:sz w:val="20"/>
        </w:rPr>
        <w:pict>
          <v:shape id="_x0000_s1076" type="#_x0000_t202" style="position:absolute;left:0;text-align:left;margin-left:55.25pt;margin-top:4.5pt;width:47.25pt;height:32.4pt;z-index:251726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ufMUA&#10;AADbAAAADwAAAGRycy9kb3ducmV2LnhtbESPQWvCQBSE7wX/w/KEXopuzEEkdRNEFDyUUm2LHh/Z&#10;ZzYk+zZktyb++65Q6HGYmW+YdTHaVtyo97VjBYt5AoK4dLrmSsHX5362AuEDssbWMSm4k4cinzyt&#10;MdNu4CPdTqESEcI+QwUmhC6T0peGLPq564ijd3W9xRBlX0nd4xDhtpVpkiylxZrjgsGOtobK5vRj&#10;FTTv5uN4ftteyhdJTTV8J+fVfafU83TcvIIINIb/8F/7oBWkKT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58xQAAANsAAAAPAAAAAAAAAAAAAAAAAJgCAABkcnMv&#10;ZG93bnJldi54bWxQSwUGAAAAAAQABAD1AAAAigMAAAAA&#10;" filled="f">
            <v:textbox style="mso-next-textbox:#_x0000_s1076" inset="0,0,0,0">
              <w:txbxContent>
                <w:p w:rsidR="006D7D3F" w:rsidRDefault="006D7D3F">
                  <w:pPr>
                    <w:jc w:val="center"/>
                    <w:rPr>
                      <w:sz w:val="21"/>
                      <w:szCs w:val="21"/>
                    </w:rPr>
                  </w:pPr>
                  <w:r>
                    <w:rPr>
                      <w:rFonts w:hint="eastAsia"/>
                      <w:sz w:val="21"/>
                      <w:szCs w:val="21"/>
                    </w:rPr>
                    <w:t>斜管</w:t>
                  </w:r>
                </w:p>
                <w:p w:rsidR="006D7D3F" w:rsidRDefault="006D7D3F">
                  <w:pPr>
                    <w:jc w:val="center"/>
                    <w:rPr>
                      <w:szCs w:val="21"/>
                    </w:rPr>
                  </w:pPr>
                  <w:r>
                    <w:rPr>
                      <w:rFonts w:hint="eastAsia"/>
                      <w:sz w:val="21"/>
                      <w:szCs w:val="21"/>
                    </w:rPr>
                    <w:t>沉淀池</w:t>
                  </w:r>
                </w:p>
              </w:txbxContent>
            </v:textbox>
          </v:shape>
        </w:pict>
      </w:r>
      <w:r w:rsidRPr="00B95226">
        <w:rPr>
          <w:noProof/>
          <w:sz w:val="20"/>
        </w:rPr>
        <w:pict>
          <v:shape id="_x0000_s1083" type="#_x0000_t202" style="position:absolute;left:0;text-align:left;margin-left:252.35pt;margin-top:23.55pt;width:129pt;height:19.0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" filled="f" stroked="f">
            <v:textbox style="mso-next-textbox:#_x0000_s1083" inset=",.3mm,,.3mm">
              <w:txbxContent>
                <w:p w:rsidR="006D7D3F" w:rsidRDefault="006D7D3F">
                  <w:pPr>
                    <w:rPr>
                      <w:sz w:val="21"/>
                      <w:szCs w:val="21"/>
                    </w:rPr>
                  </w:pPr>
                  <w:r>
                    <w:rPr>
                      <w:rFonts w:hint="eastAsia"/>
                      <w:sz w:val="21"/>
                      <w:szCs w:val="21"/>
                    </w:rPr>
                    <w:t>空压机补充水</w:t>
                  </w:r>
                </w:p>
              </w:txbxContent>
            </v:textbox>
          </v:shape>
        </w:pict>
      </w:r>
      <w:r w:rsidRPr="00B95226">
        <w:rPr>
          <w:noProof/>
          <w:sz w:val="20"/>
        </w:rPr>
        <w:pict>
          <v:shape id="_x0000_s1084" type="#_x0000_t202" style="position:absolute;left:0;text-align:left;margin-left:214.75pt;margin-top:15.2pt;width:28.35pt;height:16.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" filled="f" stroked="f">
            <v:textbox style="mso-next-textbox:#_x0000_s1084" inset="0,0,0,0">
              <w:txbxContent>
                <w:p w:rsidR="006D7D3F" w:rsidRDefault="006D7D3F">
                  <w:pPr>
                    <w:ind w:firstLineChars="50" w:firstLine="105"/>
                    <w:rPr>
                      <w:rFonts w:ascii="宋体" w:hAnsi="宋体"/>
                      <w:sz w:val="21"/>
                      <w:szCs w:val="21"/>
                    </w:rPr>
                  </w:pPr>
                  <w:r>
                    <w:rPr>
                      <w:rFonts w:ascii="宋体" w:hAnsi="宋体" w:hint="eastAsia"/>
                      <w:sz w:val="21"/>
                      <w:szCs w:val="21"/>
                    </w:rPr>
                    <w:t>36</w:t>
                  </w:r>
                </w:p>
              </w:txbxContent>
            </v:textbox>
          </v:shape>
        </w:pict>
      </w:r>
      <w:r w:rsidRPr="00B95226">
        <w:rPr>
          <w:noProof/>
          <w:sz w:val="20"/>
        </w:rPr>
        <w:pict>
          <v:line id="直线 1162" o:spid="_x0000_s3551" style="position:absolute;left:0;text-align:left;z-index:251606016;visibility:visible" from="490pt,0" to="5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" stroked="f"/>
        </w:pict>
      </w:r>
    </w:p>
    <w:p w:rsidR="008B7E3C" w:rsidRDefault="00B95226">
      <w:pPr>
        <w:pStyle w:val="a1"/>
        <w:adjustRightInd w:val="0"/>
        <w:snapToGrid w:val="0"/>
        <w:spacing w:line="520" w:lineRule="exact"/>
      </w:pPr>
      <w:r w:rsidRPr="00B95226">
        <w:rPr>
          <w:noProof/>
          <w:sz w:val="20"/>
        </w:rPr>
        <w:pict>
          <v:shape id="_x0000_s1085" type="#_x0000_t202" style="position:absolute;left:0;text-align:left;margin-left:212.05pt;margin-top:21.3pt;width:28.35pt;height:16.1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" filled="f" stroked="f">
            <v:textbox style="mso-next-textbox:#_x0000_s1085" inset="0,0,0,0">
              <w:txbxContent>
                <w:p w:rsidR="006D7D3F" w:rsidRDefault="006D7D3F">
                  <w:pPr>
                    <w:ind w:firstLineChars="50" w:firstLine="105"/>
                    <w:rPr>
                      <w:rFonts w:ascii="宋体" w:hAnsi="宋体"/>
                      <w:sz w:val="21"/>
                      <w:szCs w:val="21"/>
                    </w:rPr>
                  </w:pPr>
                  <w:r>
                    <w:rPr>
                      <w:rFonts w:ascii="宋体" w:hAnsi="宋体" w:hint="eastAsia"/>
                      <w:sz w:val="21"/>
                      <w:szCs w:val="21"/>
                    </w:rPr>
                    <w:t>57.3</w:t>
                  </w:r>
                </w:p>
              </w:txbxContent>
            </v:textbox>
          </v:shape>
        </w:pict>
      </w:r>
      <w:r w:rsidRPr="00B95226">
        <w:rPr>
          <w:noProof/>
          <w:sz w:val="20"/>
        </w:rPr>
        <w:pict>
          <v:shape id="_x0000_s1086" type="#_x0000_t202" style="position:absolute;left:0;text-align:left;margin-left:252.3pt;margin-top:26.1pt;width:129pt;height:19.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" filled="f" stroked="f">
            <v:textbox style="mso-next-textbox:#_x0000_s1086" inset=",.3mm,,.3mm">
              <w:txbxContent>
                <w:p w:rsidR="006D7D3F" w:rsidRDefault="006D7D3F">
                  <w:pPr>
                    <w:rPr>
                      <w:sz w:val="21"/>
                      <w:szCs w:val="21"/>
                    </w:rPr>
                  </w:pPr>
                  <w:r>
                    <w:rPr>
                      <w:rFonts w:hint="eastAsia"/>
                      <w:sz w:val="21"/>
                      <w:szCs w:val="21"/>
                    </w:rPr>
                    <w:t>储煤场喷雾降尘用水</w:t>
                  </w:r>
                </w:p>
              </w:txbxContent>
            </v:textbox>
          </v:shape>
        </w:pict>
      </w:r>
      <w:r>
        <w:rPr>
          <w:noProof/>
        </w:rPr>
        <w:pict>
          <v:line id="_x0000_s3550" style="position:absolute;left:0;text-align:left;z-index:251712512;visibility:visible" from="212pt,3.95pt" to="249.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">
            <v:stroke endarrow="block"/>
          </v:line>
        </w:pict>
      </w:r>
    </w:p>
    <w:p w:rsidR="00240BCE" w:rsidRDefault="00B95226">
      <w:pPr>
        <w:pStyle w:val="a1"/>
        <w:adjustRightInd w:val="0"/>
        <w:snapToGrid w:val="0"/>
        <w:spacing w:line="520" w:lineRule="exact"/>
      </w:pPr>
      <w:r>
        <w:rPr>
          <w:noProof/>
        </w:rPr>
        <w:pict>
          <v:shape id="_x0000_s1087" type="#_x0000_t202" style="position:absolute;left:0;text-align:left;margin-left:211.1pt;margin-top:23.25pt;width:48.1pt;height:16.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" filled="f" stroked="f">
            <v:textbox style="mso-next-textbox:#_x0000_s1087" inset="0,0,0,0">
              <w:txbxContent>
                <w:p w:rsidR="006D7D3F" w:rsidRDefault="006D7D3F">
                  <w:pPr>
                    <w:ind w:firstLineChars="50" w:firstLine="105"/>
                    <w:rPr>
                      <w:rFonts w:ascii="宋体" w:hAnsi="宋体"/>
                      <w:sz w:val="21"/>
                      <w:szCs w:val="21"/>
                    </w:rPr>
                  </w:pPr>
                  <w:r>
                    <w:rPr>
                      <w:rFonts w:ascii="宋体" w:hAnsi="宋体" w:hint="eastAsia"/>
                      <w:sz w:val="21"/>
                      <w:szCs w:val="21"/>
                    </w:rPr>
                    <w:t>4183.9</w:t>
                  </w:r>
                </w:p>
              </w:txbxContent>
            </v:textbox>
          </v:shape>
        </w:pict>
      </w:r>
      <w:r>
        <w:rPr>
          <w:noProof/>
        </w:rPr>
        <w:pict>
          <v:shape id="_x0000_s1088" type="#_x0000_t202" style="position:absolute;left:0;text-align:left;margin-left:258.65pt;margin-top:23.15pt;width:152.75pt;height:33.3pt;z-index:251632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" filled="f" stroked="f">
            <v:textbox style="mso-next-textbox:#_x0000_s1088" inset=",.3mm,,.3mm">
              <w:txbxContent>
                <w:p w:rsidR="006D7D3F" w:rsidRDefault="006D7D3F">
                  <w:pPr>
                    <w:rPr>
                      <w:sz w:val="21"/>
                      <w:szCs w:val="21"/>
                    </w:rPr>
                  </w:pPr>
                  <w:r>
                    <w:rPr>
                      <w:rFonts w:hint="eastAsia"/>
                      <w:sz w:val="21"/>
                      <w:szCs w:val="21"/>
                    </w:rPr>
                    <w:t>外排至赵沟河、纸坊水库，用周边农田灌溉用水及生态补水</w:t>
                  </w:r>
                </w:p>
              </w:txbxContent>
            </v:textbox>
          </v:shape>
        </w:pict>
      </w:r>
      <w:r>
        <w:rPr>
          <w:noProof/>
        </w:rPr>
        <w:pict>
          <v:line id="直线 1204" o:spid="_x0000_s3549" style="position:absolute;left:0;text-align:left;z-index:251628544;visibility:visible" from="212pt,5.4pt" to="249.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">
            <v:stroke endarrow="block"/>
          </v:line>
        </w:pict>
      </w:r>
      <w:r w:rsidRPr="00B95226">
        <w:rPr>
          <w:noProof/>
          <w:sz w:val="20"/>
        </w:rPr>
        <w:pict>
          <v:line id="直线 1163" o:spid="_x0000_s3548" style="position:absolute;left:0;text-align:left;z-index:251607040;visibility:visible" from="596.35pt,5.65pt" to="596.3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" stroked="f"/>
        </w:pict>
      </w:r>
      <w:r w:rsidRPr="00B95226">
        <w:rPr>
          <w:noProof/>
          <w:sz w:val="20"/>
        </w:rPr>
        <w:pict>
          <v:line id="直线 1161" o:spid="_x0000_s3547" style="position:absolute;left:0;text-align:left;z-index:251604992;visibility:visible" from="448pt,0" to="5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" stroked="f"/>
        </w:pict>
      </w:r>
      <w:r w:rsidR="00AC0334">
        <w:t xml:space="preserve">                                                         </w:t>
      </w:r>
    </w:p>
    <w:p w:rsidR="00240BCE" w:rsidRDefault="00B95226">
      <w:pPr>
        <w:adjustRightInd w:val="0"/>
        <w:snapToGrid w:val="0"/>
        <w:spacing w:line="520" w:lineRule="exact"/>
      </w:pPr>
      <w:r>
        <w:rPr>
          <w:noProof/>
        </w:rPr>
        <w:pict>
          <v:line id="直线 1207" o:spid="_x0000_s3546" style="position:absolute;left:0;text-align:left;z-index:251631616;visibility:visible" from="210.45pt,6.2pt" to="259.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">
            <v:stroke endarrow="block"/>
          </v:line>
        </w:pict>
      </w:r>
    </w:p>
    <w:p w:rsidR="00240BCE" w:rsidRPr="005E70E2" w:rsidRDefault="00AC0334">
      <w:pPr>
        <w:adjustRightInd w:val="0"/>
        <w:snapToGrid w:val="0"/>
        <w:spacing w:line="520" w:lineRule="exact"/>
        <w:jc w:val="center"/>
        <w:rPr>
          <w:rFonts w:eastAsia="黑体"/>
          <w:b/>
          <w:i/>
          <w:sz w:val="24"/>
          <w:u w:val="single"/>
        </w:rPr>
      </w:pPr>
      <w:r w:rsidRPr="005E70E2">
        <w:rPr>
          <w:rFonts w:eastAsia="黑体"/>
          <w:b/>
          <w:i/>
          <w:sz w:val="24"/>
          <w:u w:val="single"/>
        </w:rPr>
        <w:t>图</w:t>
      </w:r>
      <w:r w:rsidRPr="005E70E2">
        <w:rPr>
          <w:rFonts w:eastAsia="黑体"/>
          <w:b/>
          <w:i/>
          <w:sz w:val="24"/>
          <w:u w:val="single"/>
        </w:rPr>
        <w:t>3.3-</w:t>
      </w:r>
      <w:r w:rsidR="007325F2" w:rsidRPr="005E70E2">
        <w:rPr>
          <w:rFonts w:eastAsia="黑体" w:hint="eastAsia"/>
          <w:b/>
          <w:i/>
          <w:sz w:val="24"/>
          <w:u w:val="single"/>
        </w:rPr>
        <w:t>4</w:t>
      </w:r>
      <w:r w:rsidR="00AE5493" w:rsidRPr="005E70E2">
        <w:rPr>
          <w:rFonts w:eastAsia="黑体" w:hint="eastAsia"/>
          <w:b/>
          <w:i/>
          <w:sz w:val="24"/>
          <w:u w:val="single"/>
        </w:rPr>
        <w:t>升级改造</w:t>
      </w:r>
      <w:r w:rsidRPr="005E70E2">
        <w:rPr>
          <w:rFonts w:eastAsia="黑体"/>
          <w:b/>
          <w:i/>
          <w:sz w:val="24"/>
          <w:u w:val="single"/>
        </w:rPr>
        <w:t>后项目水平衡图</w:t>
      </w:r>
      <w:r w:rsidRPr="005E70E2">
        <w:rPr>
          <w:rFonts w:eastAsia="黑体"/>
          <w:b/>
          <w:i/>
          <w:sz w:val="24"/>
          <w:u w:val="single"/>
        </w:rPr>
        <w:t xml:space="preserve"> </w:t>
      </w:r>
      <w:r w:rsidRPr="005E70E2">
        <w:rPr>
          <w:b/>
          <w:i/>
          <w:sz w:val="21"/>
          <w:szCs w:val="21"/>
          <w:u w:val="single"/>
        </w:rPr>
        <w:t>(</w:t>
      </w:r>
      <w:r w:rsidRPr="005E70E2">
        <w:rPr>
          <w:b/>
          <w:i/>
          <w:sz w:val="21"/>
          <w:szCs w:val="21"/>
          <w:u w:val="single"/>
        </w:rPr>
        <w:t>单位：</w:t>
      </w:r>
      <w:r w:rsidRPr="005E70E2">
        <w:rPr>
          <w:b/>
          <w:i/>
          <w:sz w:val="21"/>
          <w:szCs w:val="21"/>
          <w:u w:val="single"/>
        </w:rPr>
        <w:t>m</w:t>
      </w:r>
      <w:r w:rsidRPr="005E70E2">
        <w:rPr>
          <w:b/>
          <w:i/>
          <w:sz w:val="21"/>
          <w:szCs w:val="21"/>
          <w:u w:val="single"/>
          <w:vertAlign w:val="superscript"/>
        </w:rPr>
        <w:t>3</w:t>
      </w:r>
      <w:r w:rsidRPr="005E70E2">
        <w:rPr>
          <w:b/>
          <w:i/>
          <w:sz w:val="21"/>
          <w:szCs w:val="21"/>
          <w:u w:val="single"/>
        </w:rPr>
        <w:t>/d)</w:t>
      </w:r>
    </w:p>
    <w:p w:rsidR="00240BCE" w:rsidRDefault="00AC0334" w:rsidP="009C5F33">
      <w:pPr>
        <w:pStyle w:val="30"/>
        <w:adjustRightInd w:val="0"/>
        <w:snapToGrid w:val="0"/>
        <w:spacing w:beforeLines="70" w:afterLines="30" w:line="240" w:lineRule="auto"/>
        <w:jc w:val="left"/>
        <w:rPr>
          <w:rFonts w:eastAsia="楷体"/>
          <w:sz w:val="28"/>
          <w:szCs w:val="28"/>
        </w:rPr>
      </w:pPr>
      <w:bookmarkStart w:id="288" w:name="_Toc79668643"/>
      <w:r>
        <w:rPr>
          <w:rFonts w:eastAsia="楷体"/>
          <w:sz w:val="28"/>
          <w:szCs w:val="28"/>
        </w:rPr>
        <w:t xml:space="preserve">3.3.8 </w:t>
      </w:r>
      <w:r>
        <w:rPr>
          <w:rFonts w:eastAsia="楷体"/>
          <w:sz w:val="28"/>
          <w:szCs w:val="28"/>
        </w:rPr>
        <w:t>采暖、供热</w:t>
      </w:r>
      <w:bookmarkEnd w:id="288"/>
    </w:p>
    <w:p w:rsidR="00240BCE" w:rsidRPr="00DA246A" w:rsidRDefault="00AC0334" w:rsidP="00DA246A">
      <w:pPr>
        <w:pStyle w:val="a2"/>
        <w:adjustRightInd w:val="0"/>
        <w:snapToGrid w:val="0"/>
        <w:spacing w:line="520" w:lineRule="exact"/>
        <w:ind w:firstLine="482"/>
        <w:rPr>
          <w:b/>
          <w:i/>
          <w:sz w:val="24"/>
          <w:u w:val="single"/>
        </w:rPr>
      </w:pPr>
      <w:r w:rsidRPr="00DA246A">
        <w:rPr>
          <w:b/>
          <w:i/>
          <w:sz w:val="24"/>
          <w:u w:val="single"/>
        </w:rPr>
        <w:t>本项目不设置锅炉，采暖、供热均利用现有设备，即井筒保温采用</w:t>
      </w:r>
      <w:r w:rsidR="00DA246A" w:rsidRPr="00DA246A">
        <w:rPr>
          <w:rFonts w:hint="eastAsia"/>
          <w:b/>
          <w:i/>
          <w:sz w:val="24"/>
          <w:u w:val="single"/>
        </w:rPr>
        <w:t>空气能</w:t>
      </w:r>
      <w:r w:rsidRPr="00DA246A">
        <w:rPr>
          <w:b/>
          <w:i/>
          <w:sz w:val="24"/>
          <w:u w:val="single"/>
        </w:rPr>
        <w:t>热</w:t>
      </w:r>
      <w:r w:rsidRPr="00DA246A">
        <w:rPr>
          <w:b/>
          <w:i/>
          <w:sz w:val="24"/>
          <w:u w:val="single"/>
        </w:rPr>
        <w:lastRenderedPageBreak/>
        <w:t>风机组；澡堂供热、办公室楼供暖采用电供暖</w:t>
      </w:r>
      <w:r w:rsidR="00DA246A" w:rsidRPr="00DA246A">
        <w:rPr>
          <w:rFonts w:hint="eastAsia"/>
          <w:b/>
          <w:i/>
          <w:sz w:val="24"/>
          <w:u w:val="single"/>
        </w:rPr>
        <w:t>，食堂采用天然气</w:t>
      </w:r>
      <w:r w:rsidRPr="00DA246A">
        <w:rPr>
          <w:b/>
          <w:i/>
          <w:sz w:val="24"/>
          <w:u w:val="single"/>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289" w:name="_Toc79668644"/>
      <w:r>
        <w:rPr>
          <w:rFonts w:eastAsia="楷体"/>
          <w:sz w:val="28"/>
          <w:szCs w:val="28"/>
        </w:rPr>
        <w:t xml:space="preserve">3.3.9 </w:t>
      </w:r>
      <w:r>
        <w:rPr>
          <w:rFonts w:eastAsia="楷体"/>
          <w:sz w:val="28"/>
          <w:szCs w:val="28"/>
        </w:rPr>
        <w:t>供电</w:t>
      </w:r>
      <w:bookmarkEnd w:id="289"/>
    </w:p>
    <w:p w:rsidR="00240BCE" w:rsidRDefault="00AC0334">
      <w:pPr>
        <w:pStyle w:val="a2"/>
        <w:adjustRightInd w:val="0"/>
        <w:snapToGrid w:val="0"/>
        <w:spacing w:line="520" w:lineRule="exact"/>
        <w:ind w:firstLine="480"/>
        <w:rPr>
          <w:sz w:val="24"/>
        </w:rPr>
      </w:pPr>
      <w:r>
        <w:rPr>
          <w:sz w:val="24"/>
        </w:rPr>
        <w:t>升级改造后仍利用现有供电系统，矿井两回电源可分别引自鸠山</w:t>
      </w:r>
      <w:r>
        <w:rPr>
          <w:sz w:val="24"/>
        </w:rPr>
        <w:t>35kV</w:t>
      </w:r>
      <w:r>
        <w:rPr>
          <w:sz w:val="24"/>
        </w:rPr>
        <w:t>变电站不同母线段至本矿井</w:t>
      </w:r>
      <w:r>
        <w:rPr>
          <w:sz w:val="24"/>
        </w:rPr>
        <w:t>10kV</w:t>
      </w:r>
      <w:r>
        <w:rPr>
          <w:sz w:val="24"/>
        </w:rPr>
        <w:t>变电所。</w:t>
      </w:r>
    </w:p>
    <w:p w:rsidR="00240BCE" w:rsidRDefault="00AC0334" w:rsidP="009C5F33">
      <w:pPr>
        <w:pStyle w:val="2"/>
        <w:keepNext w:val="0"/>
        <w:keepLines w:val="0"/>
        <w:adjustRightInd w:val="0"/>
        <w:snapToGrid w:val="0"/>
        <w:spacing w:beforeLines="100" w:afterLines="50" w:line="240" w:lineRule="auto"/>
        <w:jc w:val="left"/>
        <w:rPr>
          <w:rFonts w:ascii="Times New Roman" w:eastAsia="宋体" w:hAnsi="Times New Roman"/>
          <w:bCs/>
          <w:spacing w:val="2"/>
          <w:szCs w:val="32"/>
        </w:rPr>
      </w:pPr>
      <w:bookmarkStart w:id="290" w:name="_Toc148262240"/>
      <w:bookmarkStart w:id="291" w:name="_Toc79668645"/>
      <w:bookmarkStart w:id="292" w:name="_Toc81934373"/>
      <w:r>
        <w:rPr>
          <w:rFonts w:ascii="Times New Roman" w:eastAsia="宋体" w:hAnsi="Times New Roman"/>
          <w:bCs/>
          <w:spacing w:val="2"/>
          <w:szCs w:val="32"/>
        </w:rPr>
        <w:t xml:space="preserve">3.4 </w:t>
      </w:r>
      <w:r>
        <w:rPr>
          <w:rFonts w:ascii="Times New Roman" w:eastAsia="宋体" w:hAnsi="Times New Roman"/>
          <w:bCs/>
          <w:spacing w:val="2"/>
          <w:szCs w:val="32"/>
        </w:rPr>
        <w:t>污染源及环境影响因素分析</w:t>
      </w:r>
      <w:bookmarkEnd w:id="290"/>
      <w:bookmarkEnd w:id="291"/>
      <w:bookmarkEnd w:id="292"/>
    </w:p>
    <w:p w:rsidR="00240BCE" w:rsidRDefault="00AC0334" w:rsidP="009C5F33">
      <w:pPr>
        <w:pStyle w:val="30"/>
        <w:adjustRightInd w:val="0"/>
        <w:snapToGrid w:val="0"/>
        <w:spacing w:beforeLines="70" w:afterLines="30" w:line="240" w:lineRule="auto"/>
        <w:jc w:val="left"/>
        <w:rPr>
          <w:rFonts w:eastAsia="楷体"/>
          <w:sz w:val="28"/>
          <w:szCs w:val="28"/>
        </w:rPr>
      </w:pPr>
      <w:bookmarkStart w:id="293" w:name="_Toc79668646"/>
      <w:r>
        <w:rPr>
          <w:rFonts w:eastAsia="楷体"/>
          <w:sz w:val="28"/>
          <w:szCs w:val="28"/>
        </w:rPr>
        <w:t xml:space="preserve">3.4.1 </w:t>
      </w:r>
      <w:r>
        <w:rPr>
          <w:rFonts w:eastAsia="楷体"/>
          <w:sz w:val="28"/>
          <w:szCs w:val="28"/>
        </w:rPr>
        <w:t>建设期环境影响因素及防治措施</w:t>
      </w:r>
      <w:bookmarkEnd w:id="293"/>
    </w:p>
    <w:p w:rsidR="00240BCE" w:rsidRDefault="00AC0334">
      <w:pPr>
        <w:adjustRightInd w:val="0"/>
        <w:snapToGrid w:val="0"/>
        <w:spacing w:line="520" w:lineRule="exact"/>
        <w:ind w:firstLineChars="200" w:firstLine="488"/>
        <w:rPr>
          <w:spacing w:val="2"/>
          <w:sz w:val="24"/>
        </w:rPr>
      </w:pPr>
      <w:r>
        <w:rPr>
          <w:spacing w:val="2"/>
          <w:sz w:val="24"/>
        </w:rPr>
        <w:t>本项目为升级改造项目，利用现有工业场地、井筒、井下巷道及其设施等，本次升级改造工程主要是将采煤工艺由悬移支架炮采放顶煤工艺变更为综合机械化放顶煤、安全监测监控系统由</w:t>
      </w:r>
      <w:r>
        <w:rPr>
          <w:spacing w:val="2"/>
          <w:sz w:val="24"/>
        </w:rPr>
        <w:t>KJ740X</w:t>
      </w:r>
      <w:r>
        <w:rPr>
          <w:spacing w:val="2"/>
          <w:sz w:val="24"/>
        </w:rPr>
        <w:t>型升级改造为</w:t>
      </w:r>
      <w:r>
        <w:rPr>
          <w:spacing w:val="2"/>
          <w:sz w:val="24"/>
        </w:rPr>
        <w:t>KJ101X</w:t>
      </w:r>
      <w:r>
        <w:rPr>
          <w:spacing w:val="2"/>
          <w:sz w:val="24"/>
        </w:rPr>
        <w:t>（</w:t>
      </w:r>
      <w:r>
        <w:rPr>
          <w:spacing w:val="2"/>
          <w:sz w:val="24"/>
        </w:rPr>
        <w:t>A</w:t>
      </w:r>
      <w:r>
        <w:rPr>
          <w:spacing w:val="2"/>
          <w:sz w:val="24"/>
        </w:rPr>
        <w:t>）型、对矿井现有</w:t>
      </w:r>
      <w:r>
        <w:rPr>
          <w:spacing w:val="2"/>
          <w:sz w:val="24"/>
        </w:rPr>
        <w:t>21010</w:t>
      </w:r>
      <w:r>
        <w:rPr>
          <w:spacing w:val="2"/>
          <w:sz w:val="24"/>
        </w:rPr>
        <w:t>工作面轨道运输顺槽和胶带运输顺槽进行扩刷以及对矿井现有各系统按照</w:t>
      </w:r>
      <w:r>
        <w:rPr>
          <w:spacing w:val="2"/>
          <w:sz w:val="24"/>
        </w:rPr>
        <w:t>0.30Mt/a</w:t>
      </w:r>
      <w:r>
        <w:rPr>
          <w:spacing w:val="2"/>
          <w:sz w:val="24"/>
        </w:rPr>
        <w:t>进行校核等，因此本项目建设期对环境的影响主要建设期间施工人员产生的生活污水、生活垃圾等对环境的影响。</w:t>
      </w:r>
    </w:p>
    <w:p w:rsidR="00240BCE" w:rsidRDefault="00AC0334">
      <w:pPr>
        <w:adjustRightInd w:val="0"/>
        <w:snapToGrid w:val="0"/>
        <w:spacing w:line="520" w:lineRule="exact"/>
        <w:ind w:firstLineChars="200" w:firstLine="488"/>
        <w:rPr>
          <w:spacing w:val="2"/>
          <w:sz w:val="24"/>
        </w:rPr>
      </w:pPr>
      <w:r>
        <w:rPr>
          <w:spacing w:val="2"/>
          <w:sz w:val="24"/>
        </w:rPr>
        <w:t>1</w:t>
      </w:r>
      <w:r>
        <w:rPr>
          <w:spacing w:val="2"/>
          <w:sz w:val="24"/>
        </w:rPr>
        <w:t>、水污染源</w:t>
      </w:r>
    </w:p>
    <w:p w:rsidR="00240BCE" w:rsidRDefault="00AC0334">
      <w:pPr>
        <w:adjustRightInd w:val="0"/>
        <w:snapToGrid w:val="0"/>
        <w:spacing w:line="520" w:lineRule="exact"/>
        <w:ind w:firstLineChars="200" w:firstLine="488"/>
        <w:rPr>
          <w:spacing w:val="2"/>
          <w:sz w:val="24"/>
        </w:rPr>
      </w:pPr>
      <w:r>
        <w:rPr>
          <w:spacing w:val="2"/>
          <w:sz w:val="24"/>
        </w:rPr>
        <w:t>建设期水污染源主要为井巷施工中产生的少量的泥浆废水和施工队伍的生活污水等，泥浆废水较少，约为</w:t>
      </w:r>
      <w:r>
        <w:rPr>
          <w:spacing w:val="2"/>
          <w:sz w:val="24"/>
        </w:rPr>
        <w:t>5m</w:t>
      </w:r>
      <w:r>
        <w:rPr>
          <w:spacing w:val="2"/>
          <w:sz w:val="24"/>
          <w:vertAlign w:val="superscript"/>
        </w:rPr>
        <w:t>3</w:t>
      </w:r>
      <w:r>
        <w:rPr>
          <w:spacing w:val="2"/>
          <w:sz w:val="24"/>
        </w:rPr>
        <w:t>/d</w:t>
      </w:r>
      <w:r>
        <w:rPr>
          <w:spacing w:val="2"/>
          <w:sz w:val="24"/>
        </w:rPr>
        <w:t>，经一座</w:t>
      </w:r>
      <w:r>
        <w:rPr>
          <w:spacing w:val="2"/>
          <w:sz w:val="24"/>
        </w:rPr>
        <w:t>20m</w:t>
      </w:r>
      <w:r>
        <w:rPr>
          <w:spacing w:val="2"/>
          <w:sz w:val="24"/>
          <w:vertAlign w:val="superscript"/>
        </w:rPr>
        <w:t>3</w:t>
      </w:r>
      <w:r>
        <w:rPr>
          <w:spacing w:val="2"/>
          <w:sz w:val="24"/>
        </w:rPr>
        <w:t>简易沉淀池沉淀处理后全部回用于施工拌合，不外排；施工人员产生的食堂及洗漱废水等生活污水利用现有的生活污水处理设施进行处理，处理达标后用于周边农灌，不外排。</w:t>
      </w:r>
    </w:p>
    <w:p w:rsidR="00240BCE" w:rsidRDefault="00AC0334">
      <w:pPr>
        <w:adjustRightInd w:val="0"/>
        <w:snapToGrid w:val="0"/>
        <w:spacing w:line="520" w:lineRule="exact"/>
        <w:ind w:firstLineChars="200" w:firstLine="488"/>
        <w:rPr>
          <w:spacing w:val="2"/>
          <w:sz w:val="24"/>
        </w:rPr>
      </w:pPr>
      <w:r>
        <w:rPr>
          <w:spacing w:val="2"/>
          <w:sz w:val="24"/>
        </w:rPr>
        <w:t>2</w:t>
      </w:r>
      <w:r>
        <w:rPr>
          <w:spacing w:val="2"/>
          <w:sz w:val="24"/>
        </w:rPr>
        <w:t>、大气污染源</w:t>
      </w:r>
    </w:p>
    <w:p w:rsidR="00240BCE" w:rsidRDefault="00AC0334">
      <w:pPr>
        <w:adjustRightInd w:val="0"/>
        <w:snapToGrid w:val="0"/>
        <w:spacing w:line="520" w:lineRule="exact"/>
        <w:ind w:firstLineChars="200" w:firstLine="488"/>
        <w:rPr>
          <w:spacing w:val="2"/>
          <w:sz w:val="24"/>
        </w:rPr>
      </w:pPr>
      <w:r>
        <w:rPr>
          <w:spacing w:val="2"/>
          <w:sz w:val="24"/>
        </w:rPr>
        <w:t>建设期主要是矿井水处理站升级改造施工过程中可能产生的少量风蚀扬尘，由于矿井水处理站升级改造主要是新增无阀滤池及对斜管沉淀池的改造，时间很短，基本没有开挖，施工过程中产生的扬尘很少，且污染物均为无组织排放，难以定量。本次要求项目施工时及时洒水降尘。</w:t>
      </w:r>
    </w:p>
    <w:p w:rsidR="00240BCE" w:rsidRDefault="00AC0334">
      <w:pPr>
        <w:adjustRightInd w:val="0"/>
        <w:snapToGrid w:val="0"/>
        <w:spacing w:line="520" w:lineRule="exact"/>
        <w:ind w:firstLineChars="200" w:firstLine="488"/>
        <w:rPr>
          <w:spacing w:val="2"/>
          <w:sz w:val="24"/>
        </w:rPr>
      </w:pPr>
      <w:r>
        <w:rPr>
          <w:spacing w:val="2"/>
          <w:sz w:val="24"/>
        </w:rPr>
        <w:t>3</w:t>
      </w:r>
      <w:r>
        <w:rPr>
          <w:spacing w:val="2"/>
          <w:sz w:val="24"/>
        </w:rPr>
        <w:t>、噪声源</w:t>
      </w:r>
    </w:p>
    <w:p w:rsidR="00240BCE" w:rsidRDefault="00AC0334">
      <w:pPr>
        <w:adjustRightInd w:val="0"/>
        <w:snapToGrid w:val="0"/>
        <w:spacing w:line="520" w:lineRule="exact"/>
        <w:ind w:firstLineChars="200" w:firstLine="488"/>
        <w:rPr>
          <w:spacing w:val="2"/>
          <w:sz w:val="24"/>
        </w:rPr>
      </w:pPr>
      <w:r>
        <w:rPr>
          <w:spacing w:val="2"/>
          <w:sz w:val="24"/>
        </w:rPr>
        <w:t>本次升级改造主要在井下进行，地面施工很少且施工时间较短，为将建设期的噪声影响降到尽可能低的程度，项目建设期应采取如下措施：尽可能选用低噪声的施工设备，并注意维修和保养；合理安排施工时间、施工工序，避免大量高</w:t>
      </w:r>
      <w:r>
        <w:rPr>
          <w:spacing w:val="2"/>
          <w:sz w:val="24"/>
        </w:rPr>
        <w:lastRenderedPageBreak/>
        <w:t>噪声设备同时施工，合理布局施工场地，尽量将高噪声设备远离敏感点；加强运输车辆管理，经过村庄敏感点时减速慢行，并对车辆定期维修、养护，禁止夜间运输。</w:t>
      </w:r>
    </w:p>
    <w:p w:rsidR="00240BCE" w:rsidRDefault="00AC0334">
      <w:pPr>
        <w:adjustRightInd w:val="0"/>
        <w:snapToGrid w:val="0"/>
        <w:spacing w:line="520" w:lineRule="exact"/>
        <w:ind w:firstLineChars="200" w:firstLine="488"/>
        <w:rPr>
          <w:spacing w:val="2"/>
          <w:sz w:val="24"/>
        </w:rPr>
      </w:pPr>
      <w:r>
        <w:rPr>
          <w:spacing w:val="2"/>
          <w:sz w:val="24"/>
        </w:rPr>
        <w:t>4</w:t>
      </w:r>
      <w:r>
        <w:rPr>
          <w:spacing w:val="2"/>
          <w:sz w:val="24"/>
        </w:rPr>
        <w:t>、固体废物</w:t>
      </w:r>
    </w:p>
    <w:p w:rsidR="00240BCE" w:rsidRDefault="00AC0334">
      <w:pPr>
        <w:adjustRightInd w:val="0"/>
        <w:snapToGrid w:val="0"/>
        <w:spacing w:line="520" w:lineRule="exact"/>
        <w:ind w:firstLineChars="200" w:firstLine="488"/>
        <w:rPr>
          <w:spacing w:val="2"/>
          <w:sz w:val="24"/>
        </w:rPr>
      </w:pPr>
      <w:r>
        <w:rPr>
          <w:spacing w:val="2"/>
          <w:sz w:val="24"/>
        </w:rPr>
        <w:t>本次升级改造工程建设期排放的固废主要为施工人员的生活垃圾。</w:t>
      </w:r>
    </w:p>
    <w:p w:rsidR="00240BCE" w:rsidRDefault="00AC0334">
      <w:pPr>
        <w:adjustRightInd w:val="0"/>
        <w:snapToGrid w:val="0"/>
        <w:spacing w:line="520" w:lineRule="exact"/>
        <w:ind w:firstLineChars="200" w:firstLine="488"/>
        <w:rPr>
          <w:spacing w:val="2"/>
          <w:sz w:val="24"/>
        </w:rPr>
      </w:pPr>
      <w:r>
        <w:rPr>
          <w:spacing w:val="2"/>
          <w:sz w:val="24"/>
        </w:rPr>
        <w:t>施工人员的生活垃圾按施工高峰期施工人员约</w:t>
      </w:r>
      <w:r>
        <w:rPr>
          <w:spacing w:val="2"/>
          <w:sz w:val="24"/>
        </w:rPr>
        <w:t>50</w:t>
      </w:r>
      <w:r>
        <w:rPr>
          <w:spacing w:val="2"/>
          <w:sz w:val="24"/>
        </w:rPr>
        <w:t>人考虑，每人每天生活垃圾发生量为</w:t>
      </w:r>
      <w:r>
        <w:rPr>
          <w:spacing w:val="2"/>
          <w:sz w:val="24"/>
        </w:rPr>
        <w:t>0.7kg/(</w:t>
      </w:r>
      <w:r>
        <w:rPr>
          <w:spacing w:val="2"/>
          <w:sz w:val="24"/>
        </w:rPr>
        <w:t>人</w:t>
      </w:r>
      <w:r>
        <w:rPr>
          <w:spacing w:val="2"/>
          <w:sz w:val="24"/>
        </w:rPr>
        <w:t>·d)</w:t>
      </w:r>
      <w:r>
        <w:rPr>
          <w:spacing w:val="2"/>
          <w:sz w:val="24"/>
        </w:rPr>
        <w:t>计，则施工期施工人员生活垃圾最大发生量约</w:t>
      </w:r>
      <w:r>
        <w:rPr>
          <w:spacing w:val="2"/>
          <w:sz w:val="24"/>
        </w:rPr>
        <w:t>35kg/d</w:t>
      </w:r>
      <w:r>
        <w:rPr>
          <w:spacing w:val="2"/>
          <w:sz w:val="24"/>
        </w:rPr>
        <w:t>。生活垃圾集中收集后运往鸠山镇生活垃圾中转站统一处理。</w:t>
      </w:r>
    </w:p>
    <w:p w:rsidR="002D1343" w:rsidRDefault="002D1343" w:rsidP="009C5F33">
      <w:pPr>
        <w:pStyle w:val="30"/>
        <w:adjustRightInd w:val="0"/>
        <w:snapToGrid w:val="0"/>
        <w:spacing w:beforeLines="70" w:afterLines="30" w:line="240" w:lineRule="auto"/>
        <w:jc w:val="left"/>
        <w:rPr>
          <w:rFonts w:eastAsia="楷体"/>
          <w:sz w:val="28"/>
          <w:szCs w:val="28"/>
        </w:rPr>
      </w:pPr>
      <w:bookmarkStart w:id="294" w:name="_Toc79668648"/>
      <w:bookmarkStart w:id="295" w:name="_Toc79668647"/>
      <w:r>
        <w:rPr>
          <w:rFonts w:eastAsia="楷体"/>
          <w:sz w:val="28"/>
          <w:szCs w:val="28"/>
        </w:rPr>
        <w:t xml:space="preserve">3.4.2 </w:t>
      </w:r>
      <w:r>
        <w:rPr>
          <w:rFonts w:eastAsia="楷体"/>
          <w:sz w:val="28"/>
          <w:szCs w:val="28"/>
        </w:rPr>
        <w:t>营运期污染源及污染因素分析</w:t>
      </w:r>
      <w:r>
        <w:rPr>
          <w:rFonts w:eastAsia="楷体"/>
          <w:sz w:val="28"/>
          <w:szCs w:val="28"/>
        </w:rPr>
        <w:t xml:space="preserve"> </w:t>
      </w:r>
    </w:p>
    <w:p w:rsidR="002D1343" w:rsidRDefault="002D1343" w:rsidP="002D1343">
      <w:pPr>
        <w:tabs>
          <w:tab w:val="left" w:pos="0"/>
        </w:tabs>
        <w:adjustRightInd w:val="0"/>
        <w:snapToGrid w:val="0"/>
        <w:spacing w:line="520" w:lineRule="exact"/>
        <w:rPr>
          <w:bCs/>
          <w:sz w:val="24"/>
        </w:rPr>
      </w:pPr>
      <w:bookmarkStart w:id="296" w:name="_Toc143941659"/>
      <w:bookmarkStart w:id="297" w:name="_Toc148262243"/>
      <w:r>
        <w:rPr>
          <w:bCs/>
          <w:sz w:val="24"/>
        </w:rPr>
        <w:t>3.</w:t>
      </w:r>
      <w:bookmarkEnd w:id="296"/>
      <w:bookmarkEnd w:id="297"/>
      <w:r>
        <w:rPr>
          <w:bCs/>
          <w:sz w:val="24"/>
        </w:rPr>
        <w:t>4.2.1</w:t>
      </w:r>
      <w:r>
        <w:rPr>
          <w:bCs/>
          <w:sz w:val="24"/>
        </w:rPr>
        <w:t>运营期产污环节分析</w:t>
      </w:r>
    </w:p>
    <w:p w:rsidR="002D1343" w:rsidRDefault="002D1343" w:rsidP="002D1343">
      <w:pPr>
        <w:adjustRightInd w:val="0"/>
        <w:snapToGrid w:val="0"/>
        <w:spacing w:line="520" w:lineRule="exact"/>
        <w:ind w:firstLineChars="200" w:firstLine="488"/>
        <w:rPr>
          <w:spacing w:val="2"/>
          <w:sz w:val="24"/>
        </w:rPr>
      </w:pPr>
      <w:r>
        <w:rPr>
          <w:spacing w:val="2"/>
          <w:sz w:val="24"/>
        </w:rPr>
        <w:t>运营期矿井开发过程对环境的影响主要是煤炭开采对地表形态的破坏和煤炭生产过程中</w:t>
      </w:r>
      <w:r>
        <w:rPr>
          <w:spacing w:val="2"/>
          <w:sz w:val="24"/>
        </w:rPr>
        <w:t>“</w:t>
      </w:r>
      <w:r>
        <w:rPr>
          <w:spacing w:val="2"/>
          <w:sz w:val="24"/>
        </w:rPr>
        <w:t>三废</w:t>
      </w:r>
      <w:r>
        <w:rPr>
          <w:spacing w:val="2"/>
          <w:sz w:val="24"/>
        </w:rPr>
        <w:t>”</w:t>
      </w:r>
      <w:r>
        <w:rPr>
          <w:spacing w:val="2"/>
          <w:sz w:val="24"/>
        </w:rPr>
        <w:t>排放对环境的污染。根据矿井地质条件，煤质特征和加工特点，该矿井生产过程的产污流程见图</w:t>
      </w:r>
      <w:r>
        <w:rPr>
          <w:spacing w:val="2"/>
          <w:sz w:val="24"/>
        </w:rPr>
        <w:t>3.4-1</w:t>
      </w:r>
      <w:r>
        <w:rPr>
          <w:spacing w:val="2"/>
          <w:sz w:val="24"/>
        </w:rPr>
        <w:t>所示。</w:t>
      </w:r>
    </w:p>
    <w:p w:rsidR="002D1343" w:rsidRDefault="002D1343" w:rsidP="002D1343">
      <w:pPr>
        <w:adjustRightInd w:val="0"/>
        <w:snapToGrid w:val="0"/>
        <w:spacing w:line="520" w:lineRule="exact"/>
        <w:jc w:val="center"/>
        <w:rPr>
          <w:rFonts w:eastAsia="黑体"/>
          <w:spacing w:val="2"/>
        </w:rPr>
      </w:pPr>
      <w:r>
        <w:rPr>
          <w:noProof/>
        </w:rPr>
        <w:drawing>
          <wp:anchor distT="0" distB="0" distL="114300" distR="114300" simplePos="0" relativeHeight="251583488" behindDoc="0" locked="0" layoutInCell="1" allowOverlap="0">
            <wp:simplePos x="0" y="0"/>
            <wp:positionH relativeFrom="column">
              <wp:posOffset>-198755</wp:posOffset>
            </wp:positionH>
            <wp:positionV relativeFrom="paragraph">
              <wp:posOffset>71120</wp:posOffset>
            </wp:positionV>
            <wp:extent cx="5715635" cy="280733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32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463" t="32938" r="41945" b="26721"/>
                    <a:stretch>
                      <a:fillRect/>
                    </a:stretch>
                  </pic:blipFill>
                  <pic:spPr bwMode="auto">
                    <a:xfrm>
                      <a:off x="0" y="0"/>
                      <a:ext cx="5715635" cy="2807335"/>
                    </a:xfrm>
                    <a:prstGeom prst="rect">
                      <a:avLst/>
                    </a:prstGeom>
                    <a:noFill/>
                  </pic:spPr>
                </pic:pic>
              </a:graphicData>
            </a:graphic>
          </wp:anchor>
        </w:drawing>
      </w:r>
      <w:r>
        <w:rPr>
          <w:rFonts w:eastAsia="黑体"/>
          <w:spacing w:val="2"/>
        </w:rPr>
        <w:t xml:space="preserve"> </w:t>
      </w:r>
    </w:p>
    <w:p w:rsidR="002D1343" w:rsidRDefault="002D1343" w:rsidP="002D1343">
      <w:pPr>
        <w:pStyle w:val="a1"/>
        <w:jc w:val="center"/>
      </w:pPr>
      <w:r>
        <w:rPr>
          <w:rFonts w:eastAsia="黑体"/>
        </w:rPr>
        <w:t>图</w:t>
      </w:r>
      <w:r>
        <w:rPr>
          <w:rFonts w:eastAsia="黑体"/>
        </w:rPr>
        <w:t xml:space="preserve">3.4-1 </w:t>
      </w:r>
      <w:r>
        <w:rPr>
          <w:rFonts w:eastAsia="黑体"/>
        </w:rPr>
        <w:t>矿井生产过程产污流程图</w:t>
      </w:r>
    </w:p>
    <w:p w:rsidR="002D1343" w:rsidRDefault="002D1343" w:rsidP="002D1343">
      <w:pPr>
        <w:tabs>
          <w:tab w:val="left" w:pos="0"/>
        </w:tabs>
        <w:adjustRightInd w:val="0"/>
        <w:snapToGrid w:val="0"/>
        <w:spacing w:line="520" w:lineRule="exact"/>
        <w:rPr>
          <w:bCs/>
          <w:sz w:val="24"/>
        </w:rPr>
      </w:pPr>
      <w:r>
        <w:rPr>
          <w:bCs/>
          <w:sz w:val="24"/>
        </w:rPr>
        <w:t>3.4.2.2</w:t>
      </w:r>
      <w:r>
        <w:rPr>
          <w:bCs/>
          <w:sz w:val="24"/>
        </w:rPr>
        <w:t>运营期污染源及污染防治措施</w:t>
      </w:r>
    </w:p>
    <w:p w:rsidR="002D1343" w:rsidRDefault="002D1343" w:rsidP="002D1343">
      <w:pPr>
        <w:adjustRightInd w:val="0"/>
        <w:snapToGrid w:val="0"/>
        <w:spacing w:line="520" w:lineRule="exact"/>
        <w:ind w:firstLine="488"/>
        <w:jc w:val="left"/>
        <w:rPr>
          <w:spacing w:val="2"/>
          <w:sz w:val="24"/>
        </w:rPr>
      </w:pPr>
      <w:r>
        <w:rPr>
          <w:spacing w:val="2"/>
          <w:sz w:val="24"/>
        </w:rPr>
        <w:t>1</w:t>
      </w:r>
      <w:r>
        <w:rPr>
          <w:spacing w:val="2"/>
          <w:sz w:val="24"/>
        </w:rPr>
        <w:t>、环境空气污染源及治理措施</w:t>
      </w:r>
    </w:p>
    <w:p w:rsidR="002D1343" w:rsidRDefault="002D1343" w:rsidP="002D1343">
      <w:pPr>
        <w:adjustRightInd w:val="0"/>
        <w:snapToGrid w:val="0"/>
        <w:spacing w:line="520" w:lineRule="exact"/>
        <w:ind w:firstLineChars="200" w:firstLine="488"/>
        <w:jc w:val="left"/>
        <w:rPr>
          <w:spacing w:val="2"/>
          <w:sz w:val="24"/>
        </w:rPr>
      </w:pPr>
      <w:r>
        <w:rPr>
          <w:spacing w:val="2"/>
          <w:sz w:val="24"/>
        </w:rPr>
        <w:lastRenderedPageBreak/>
        <w:t>升级改造后不设置锅炉，井筒保温采用电加热热风机组；澡堂供热、办公室楼供暖采用电供暖。因此，本项目运行期的大气污染源主要是</w:t>
      </w:r>
      <w:r w:rsidR="00802A62">
        <w:rPr>
          <w:spacing w:val="2"/>
          <w:sz w:val="24"/>
        </w:rPr>
        <w:t>储煤库</w:t>
      </w:r>
      <w:r>
        <w:rPr>
          <w:spacing w:val="2"/>
          <w:sz w:val="24"/>
        </w:rPr>
        <w:t>扬尘、</w:t>
      </w:r>
      <w:r>
        <w:rPr>
          <w:rFonts w:hint="eastAsia"/>
          <w:spacing w:val="2"/>
          <w:sz w:val="24"/>
        </w:rPr>
        <w:t>食堂油烟、</w:t>
      </w:r>
      <w:r>
        <w:rPr>
          <w:spacing w:val="2"/>
          <w:sz w:val="24"/>
        </w:rPr>
        <w:t>道路扬尘。</w:t>
      </w:r>
    </w:p>
    <w:p w:rsidR="002D1343" w:rsidRPr="009D7F5F" w:rsidRDefault="002D1343" w:rsidP="002D1343">
      <w:pPr>
        <w:adjustRightInd w:val="0"/>
        <w:snapToGrid w:val="0"/>
        <w:spacing w:line="520" w:lineRule="exact"/>
        <w:ind w:firstLineChars="200" w:firstLine="488"/>
        <w:jc w:val="left"/>
        <w:rPr>
          <w:spacing w:val="2"/>
          <w:sz w:val="24"/>
        </w:rPr>
      </w:pPr>
      <w:r w:rsidRPr="009D7F5F">
        <w:rPr>
          <w:spacing w:val="2"/>
          <w:sz w:val="24"/>
        </w:rPr>
        <w:t>（</w:t>
      </w:r>
      <w:r w:rsidRPr="009D7F5F">
        <w:rPr>
          <w:spacing w:val="2"/>
          <w:sz w:val="24"/>
        </w:rPr>
        <w:t>1</w:t>
      </w:r>
      <w:r w:rsidRPr="009D7F5F">
        <w:rPr>
          <w:spacing w:val="2"/>
          <w:sz w:val="24"/>
        </w:rPr>
        <w:t>）原煤厂内运输粉尘</w:t>
      </w:r>
    </w:p>
    <w:p w:rsidR="002D1343" w:rsidRPr="009D7F5F" w:rsidRDefault="009D7F5F" w:rsidP="009D7F5F">
      <w:pPr>
        <w:adjustRightInd w:val="0"/>
        <w:snapToGrid w:val="0"/>
        <w:spacing w:line="520" w:lineRule="exact"/>
        <w:ind w:firstLineChars="200" w:firstLine="480"/>
        <w:jc w:val="left"/>
        <w:rPr>
          <w:spacing w:val="2"/>
          <w:sz w:val="24"/>
        </w:rPr>
      </w:pPr>
      <w:r w:rsidRPr="009D7F5F">
        <w:rPr>
          <w:rFonts w:hint="eastAsia"/>
          <w:color w:val="000000" w:themeColor="text1"/>
          <w:sz w:val="24"/>
        </w:rPr>
        <w:t>本次工程在主井卸煤口处设置</w:t>
      </w:r>
      <w:r w:rsidRPr="009D7F5F">
        <w:rPr>
          <w:rFonts w:hint="eastAsia"/>
          <w:sz w:val="24"/>
        </w:rPr>
        <w:t>集气罩，并配套袋式除尘器处理粉尘颗粒物。集气罩收集效率为</w:t>
      </w:r>
      <w:r w:rsidRPr="009D7F5F">
        <w:rPr>
          <w:rFonts w:hint="eastAsia"/>
          <w:sz w:val="24"/>
        </w:rPr>
        <w:t>90%</w:t>
      </w:r>
      <w:r w:rsidRPr="009D7F5F">
        <w:rPr>
          <w:rFonts w:hint="eastAsia"/>
          <w:sz w:val="24"/>
        </w:rPr>
        <w:t>以上，袋式除尘器的去除效率为</w:t>
      </w:r>
      <w:r w:rsidRPr="009D7F5F">
        <w:rPr>
          <w:rFonts w:hint="eastAsia"/>
          <w:sz w:val="24"/>
        </w:rPr>
        <w:t>99.9%</w:t>
      </w:r>
      <w:r w:rsidRPr="009D7F5F">
        <w:rPr>
          <w:rFonts w:hint="eastAsia"/>
          <w:sz w:val="24"/>
        </w:rPr>
        <w:t>。则无组织产排量为</w:t>
      </w:r>
      <w:r w:rsidRPr="009D7F5F">
        <w:rPr>
          <w:rFonts w:hint="eastAsia"/>
          <w:sz w:val="24"/>
        </w:rPr>
        <w:t>0.3t/a</w:t>
      </w:r>
      <w:r w:rsidRPr="009D7F5F">
        <w:rPr>
          <w:rFonts w:hint="eastAsia"/>
          <w:sz w:val="24"/>
        </w:rPr>
        <w:t>；有组织粉尘的产生量为</w:t>
      </w:r>
      <w:r w:rsidRPr="009D7F5F">
        <w:rPr>
          <w:rFonts w:hint="eastAsia"/>
          <w:sz w:val="24"/>
        </w:rPr>
        <w:t>2.7t/a</w:t>
      </w:r>
      <w:r w:rsidRPr="009D7F5F">
        <w:rPr>
          <w:rFonts w:hint="eastAsia"/>
          <w:sz w:val="24"/>
        </w:rPr>
        <w:t>，产生浓度为</w:t>
      </w:r>
      <w:r w:rsidRPr="009D7F5F">
        <w:rPr>
          <w:rFonts w:hint="eastAsia"/>
          <w:sz w:val="24"/>
        </w:rPr>
        <w:t>681.8</w:t>
      </w:r>
      <w:r w:rsidRPr="009D7F5F">
        <w:rPr>
          <w:sz w:val="24"/>
        </w:rPr>
        <w:t>mg/m</w:t>
      </w:r>
      <w:r w:rsidRPr="009D7F5F">
        <w:rPr>
          <w:rFonts w:hint="eastAsia"/>
          <w:sz w:val="24"/>
          <w:vertAlign w:val="superscript"/>
        </w:rPr>
        <w:t>3</w:t>
      </w:r>
      <w:r w:rsidRPr="009D7F5F">
        <w:rPr>
          <w:rFonts w:hint="eastAsia"/>
          <w:sz w:val="24"/>
        </w:rPr>
        <w:t>，经过袋式除尘器处理后通过</w:t>
      </w:r>
      <w:r w:rsidRPr="009D7F5F">
        <w:rPr>
          <w:rFonts w:hint="eastAsia"/>
          <w:sz w:val="24"/>
        </w:rPr>
        <w:t>15m</w:t>
      </w:r>
      <w:r w:rsidRPr="009D7F5F">
        <w:rPr>
          <w:rFonts w:hint="eastAsia"/>
          <w:sz w:val="24"/>
        </w:rPr>
        <w:t>高排气筒有组织排放，有组织颗粒物的排放量为</w:t>
      </w:r>
      <w:r w:rsidRPr="009D7F5F">
        <w:rPr>
          <w:rFonts w:hint="eastAsia"/>
          <w:sz w:val="24"/>
        </w:rPr>
        <w:t>0.0027t/a</w:t>
      </w:r>
      <w:r w:rsidRPr="009D7F5F">
        <w:rPr>
          <w:rFonts w:hint="eastAsia"/>
          <w:sz w:val="24"/>
        </w:rPr>
        <w:t>，颗粒物的排放浓度为</w:t>
      </w:r>
      <w:r w:rsidRPr="009D7F5F">
        <w:rPr>
          <w:rFonts w:hint="eastAsia"/>
          <w:sz w:val="24"/>
        </w:rPr>
        <w:t>0.68</w:t>
      </w:r>
      <w:r w:rsidRPr="009D7F5F">
        <w:rPr>
          <w:sz w:val="24"/>
        </w:rPr>
        <w:t>mg/m</w:t>
      </w:r>
      <w:r w:rsidRPr="009D7F5F">
        <w:rPr>
          <w:rFonts w:hint="eastAsia"/>
          <w:sz w:val="24"/>
          <w:vertAlign w:val="superscript"/>
        </w:rPr>
        <w:t>3</w:t>
      </w:r>
      <w:r w:rsidRPr="009D7F5F">
        <w:rPr>
          <w:rFonts w:hint="eastAsia"/>
          <w:sz w:val="24"/>
        </w:rPr>
        <w:t>。粉尘颗粒物的去除效率和排放浓度均满足《煤炭工业污染物排放标准》（</w:t>
      </w:r>
      <w:r w:rsidRPr="009D7F5F">
        <w:rPr>
          <w:sz w:val="24"/>
        </w:rPr>
        <w:t>GB20426-2006</w:t>
      </w:r>
      <w:r w:rsidRPr="009D7F5F">
        <w:rPr>
          <w:rFonts w:hint="eastAsia"/>
          <w:sz w:val="24"/>
        </w:rPr>
        <w:t>）表</w:t>
      </w:r>
      <w:r w:rsidRPr="009D7F5F">
        <w:rPr>
          <w:rFonts w:hint="eastAsia"/>
          <w:sz w:val="24"/>
        </w:rPr>
        <w:t>4</w:t>
      </w:r>
      <w:r w:rsidRPr="009D7F5F">
        <w:rPr>
          <w:rFonts w:hint="eastAsia"/>
          <w:sz w:val="24"/>
        </w:rPr>
        <w:t>排放限值要求：原煤</w:t>
      </w:r>
      <w:r w:rsidRPr="009D7F5F">
        <w:rPr>
          <w:rFonts w:hint="eastAsia"/>
          <w:spacing w:val="2"/>
          <w:sz w:val="24"/>
        </w:rPr>
        <w:t>筛分、破碎、转载点等除尘设备：</w:t>
      </w:r>
      <w:r w:rsidRPr="009D7F5F">
        <w:rPr>
          <w:rFonts w:hint="eastAsia"/>
          <w:spacing w:val="2"/>
          <w:sz w:val="24"/>
        </w:rPr>
        <w:t>80.</w:t>
      </w:r>
      <w:r w:rsidRPr="009D7F5F">
        <w:rPr>
          <w:spacing w:val="2"/>
          <w:sz w:val="24"/>
        </w:rPr>
        <w:t>0mg/m</w:t>
      </w:r>
      <w:r w:rsidRPr="009D7F5F">
        <w:rPr>
          <w:spacing w:val="2"/>
          <w:sz w:val="24"/>
          <w:vertAlign w:val="superscript"/>
        </w:rPr>
        <w:t>3</w:t>
      </w:r>
      <w:r w:rsidRPr="009D7F5F">
        <w:rPr>
          <w:rFonts w:hint="eastAsia"/>
          <w:spacing w:val="2"/>
          <w:sz w:val="24"/>
        </w:rPr>
        <w:t>或设备去除效率＞</w:t>
      </w:r>
      <w:r w:rsidRPr="009D7F5F">
        <w:rPr>
          <w:rFonts w:hint="eastAsia"/>
          <w:spacing w:val="2"/>
          <w:sz w:val="24"/>
        </w:rPr>
        <w:t>98%</w:t>
      </w:r>
      <w:r w:rsidR="002D1343" w:rsidRPr="009D7F5F">
        <w:rPr>
          <w:spacing w:val="2"/>
          <w:sz w:val="24"/>
        </w:rPr>
        <w:t>。</w:t>
      </w:r>
    </w:p>
    <w:p w:rsidR="002D1343" w:rsidRDefault="002D1343" w:rsidP="002D1343">
      <w:pPr>
        <w:adjustRightInd w:val="0"/>
        <w:snapToGrid w:val="0"/>
        <w:spacing w:line="520" w:lineRule="exact"/>
        <w:ind w:firstLineChars="200" w:firstLine="488"/>
        <w:jc w:val="left"/>
        <w:rPr>
          <w:spacing w:val="2"/>
          <w:sz w:val="24"/>
        </w:rPr>
      </w:pPr>
      <w:r>
        <w:rPr>
          <w:spacing w:val="2"/>
          <w:sz w:val="24"/>
        </w:rPr>
        <w:t>（</w:t>
      </w:r>
      <w:r>
        <w:rPr>
          <w:spacing w:val="2"/>
          <w:sz w:val="24"/>
        </w:rPr>
        <w:t>2</w:t>
      </w:r>
      <w:r>
        <w:rPr>
          <w:spacing w:val="2"/>
          <w:sz w:val="24"/>
        </w:rPr>
        <w:t>）</w:t>
      </w:r>
      <w:r w:rsidR="00802A62">
        <w:rPr>
          <w:spacing w:val="2"/>
          <w:sz w:val="24"/>
        </w:rPr>
        <w:t>储煤库</w:t>
      </w:r>
      <w:r>
        <w:rPr>
          <w:spacing w:val="2"/>
          <w:sz w:val="24"/>
        </w:rPr>
        <w:t>扬尘</w:t>
      </w:r>
    </w:p>
    <w:p w:rsidR="002D1343" w:rsidRDefault="002D1343" w:rsidP="002D1343">
      <w:pPr>
        <w:adjustRightInd w:val="0"/>
        <w:snapToGrid w:val="0"/>
        <w:spacing w:line="520" w:lineRule="exact"/>
        <w:ind w:firstLineChars="200" w:firstLine="488"/>
        <w:jc w:val="left"/>
        <w:rPr>
          <w:spacing w:val="2"/>
          <w:sz w:val="24"/>
        </w:rPr>
      </w:pPr>
      <w:r>
        <w:rPr>
          <w:spacing w:val="2"/>
          <w:sz w:val="24"/>
        </w:rPr>
        <w:t>升级改造后仍利用现有</w:t>
      </w:r>
      <w:r w:rsidR="00802A62">
        <w:rPr>
          <w:spacing w:val="2"/>
          <w:sz w:val="24"/>
        </w:rPr>
        <w:t>储煤库</w:t>
      </w:r>
      <w:r>
        <w:rPr>
          <w:spacing w:val="2"/>
          <w:sz w:val="24"/>
        </w:rPr>
        <w:t>用于原煤和矸石的临时堆存，其中原煤经主井提升至地表，通过封闭式皮带输送至</w:t>
      </w:r>
      <w:r w:rsidR="00802A62">
        <w:rPr>
          <w:spacing w:val="2"/>
          <w:sz w:val="24"/>
        </w:rPr>
        <w:t>储煤库</w:t>
      </w:r>
      <w:r>
        <w:rPr>
          <w:spacing w:val="2"/>
          <w:sz w:val="24"/>
        </w:rPr>
        <w:t>；矸石经副井提升至地表，输送至</w:t>
      </w:r>
      <w:r w:rsidR="00802A62">
        <w:rPr>
          <w:spacing w:val="2"/>
          <w:sz w:val="24"/>
        </w:rPr>
        <w:t>储煤库</w:t>
      </w:r>
      <w:r>
        <w:rPr>
          <w:rFonts w:hint="eastAsia"/>
          <w:spacing w:val="2"/>
          <w:sz w:val="24"/>
        </w:rPr>
        <w:t>内的临时周转区</w:t>
      </w:r>
      <w:r>
        <w:rPr>
          <w:spacing w:val="2"/>
          <w:sz w:val="24"/>
        </w:rPr>
        <w:t>，原煤和矸石在</w:t>
      </w:r>
      <w:r w:rsidR="00802A62">
        <w:rPr>
          <w:spacing w:val="2"/>
          <w:sz w:val="24"/>
        </w:rPr>
        <w:t>储煤库</w:t>
      </w:r>
      <w:r>
        <w:rPr>
          <w:spacing w:val="2"/>
          <w:sz w:val="24"/>
        </w:rPr>
        <w:t>分区临时堆存后分别通过汽车外运销售和制砖综合利用。</w:t>
      </w:r>
    </w:p>
    <w:p w:rsidR="002D1343" w:rsidRDefault="002D1343" w:rsidP="002D1343">
      <w:pPr>
        <w:adjustRightInd w:val="0"/>
        <w:snapToGrid w:val="0"/>
        <w:spacing w:line="520" w:lineRule="exact"/>
        <w:ind w:firstLineChars="200" w:firstLine="488"/>
        <w:jc w:val="left"/>
        <w:rPr>
          <w:rFonts w:ascii="宋体" w:hAnsi="宋体"/>
          <w:color w:val="000000"/>
          <w:sz w:val="24"/>
        </w:rPr>
      </w:pPr>
      <w:r>
        <w:rPr>
          <w:rFonts w:hint="eastAsia"/>
          <w:spacing w:val="2"/>
          <w:sz w:val="24"/>
        </w:rPr>
        <w:t>升级改造后仍</w:t>
      </w:r>
      <w:r>
        <w:rPr>
          <w:rFonts w:ascii="宋体" w:hAnsi="宋体" w:hint="eastAsia"/>
          <w:color w:val="000000"/>
          <w:sz w:val="24"/>
        </w:rPr>
        <w:t>利用原有</w:t>
      </w:r>
      <w:r w:rsidR="00802A62">
        <w:rPr>
          <w:rFonts w:ascii="宋体" w:hAnsi="宋体" w:hint="eastAsia"/>
          <w:color w:val="000000"/>
          <w:sz w:val="24"/>
        </w:rPr>
        <w:t>储煤库</w:t>
      </w:r>
      <w:r>
        <w:rPr>
          <w:rFonts w:ascii="宋体" w:hAnsi="宋体" w:hint="eastAsia"/>
          <w:color w:val="000000"/>
          <w:sz w:val="24"/>
        </w:rPr>
        <w:t>，面积1200m</w:t>
      </w:r>
      <w:r>
        <w:rPr>
          <w:rFonts w:ascii="宋体" w:hAnsi="宋体" w:hint="eastAsia"/>
          <w:color w:val="000000"/>
          <w:sz w:val="24"/>
          <w:vertAlign w:val="superscript"/>
        </w:rPr>
        <w:t>2</w:t>
      </w:r>
      <w:r>
        <w:rPr>
          <w:rFonts w:ascii="宋体" w:hAnsi="宋体" w:hint="eastAsia"/>
          <w:color w:val="000000"/>
          <w:sz w:val="24"/>
        </w:rPr>
        <w:t>，最大可堆存量为0.5万t，</w:t>
      </w:r>
      <w:r w:rsidR="00802A62">
        <w:rPr>
          <w:spacing w:val="2"/>
          <w:sz w:val="24"/>
        </w:rPr>
        <w:t>储煤库</w:t>
      </w:r>
      <w:r>
        <w:rPr>
          <w:spacing w:val="2"/>
          <w:sz w:val="24"/>
        </w:rPr>
        <w:t>扬尘主要为堆存及装卸过程中的风蚀扬尘，呈无组织排放，集中散布在堆场附近区域内</w:t>
      </w:r>
      <w:r>
        <w:rPr>
          <w:rFonts w:hint="eastAsia"/>
          <w:spacing w:val="2"/>
          <w:sz w:val="24"/>
        </w:rPr>
        <w:t>。</w:t>
      </w:r>
      <w:r>
        <w:rPr>
          <w:rFonts w:ascii="宋体" w:hAnsi="宋体" w:hint="eastAsia"/>
          <w:color w:val="000000"/>
          <w:sz w:val="24"/>
        </w:rPr>
        <w:t>根据清华大学在霍州电厂储煤场现场试验模式估算储煤场起尘量，计算公式如下：</w:t>
      </w:r>
    </w:p>
    <w:p w:rsidR="002D1343" w:rsidRDefault="002D1343" w:rsidP="002D1343">
      <w:pPr>
        <w:pStyle w:val="27"/>
        <w:ind w:left="560"/>
        <w:rPr>
          <w:rFonts w:ascii="宋体" w:hAnsi="宋体"/>
          <w:sz w:val="24"/>
        </w:rPr>
      </w:pPr>
      <w:r>
        <w:rPr>
          <w:noProof/>
        </w:rPr>
        <w:drawing>
          <wp:inline distT="0" distB="0" distL="0" distR="0">
            <wp:extent cx="2221793" cy="438525"/>
            <wp:effectExtent l="19050" t="0" r="7057"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2701" cy="442652"/>
                    </a:xfrm>
                    <a:prstGeom prst="rect">
                      <a:avLst/>
                    </a:prstGeom>
                    <a:noFill/>
                    <a:ln>
                      <a:noFill/>
                    </a:ln>
                  </pic:spPr>
                </pic:pic>
              </a:graphicData>
            </a:graphic>
          </wp:inline>
        </w:drawing>
      </w:r>
    </w:p>
    <w:p w:rsidR="002D1343" w:rsidRDefault="002D1343" w:rsidP="002D1343">
      <w:pPr>
        <w:spacing w:line="520" w:lineRule="exact"/>
        <w:ind w:firstLineChars="526" w:firstLine="1262"/>
        <w:rPr>
          <w:rFonts w:ascii="宋体" w:hAnsi="宋体"/>
          <w:color w:val="000000"/>
          <w:sz w:val="24"/>
        </w:rPr>
      </w:pPr>
      <w:r>
        <w:rPr>
          <w:rFonts w:ascii="宋体" w:hAnsi="宋体" w:hint="eastAsia"/>
          <w:color w:val="000000"/>
          <w:sz w:val="24"/>
        </w:rPr>
        <w:t>式中，Q——煤堆起尘强度，mg/s；</w:t>
      </w:r>
    </w:p>
    <w:p w:rsidR="002D1343" w:rsidRDefault="002D1343" w:rsidP="002D1343">
      <w:pPr>
        <w:pStyle w:val="27"/>
        <w:spacing w:after="0" w:line="520" w:lineRule="exact"/>
        <w:ind w:left="560" w:firstLine="488"/>
        <w:rPr>
          <w:rFonts w:ascii="宋体" w:hAnsi="宋体"/>
          <w:sz w:val="24"/>
        </w:rPr>
      </w:pPr>
      <w:r>
        <w:rPr>
          <w:rFonts w:ascii="宋体" w:hAnsi="宋体" w:hint="eastAsia"/>
          <w:sz w:val="24"/>
        </w:rPr>
        <w:t xml:space="preserve">        S——煤堆面积，取1200m</w:t>
      </w:r>
      <w:r>
        <w:rPr>
          <w:rFonts w:ascii="宋体" w:hAnsi="宋体" w:hint="eastAsia"/>
          <w:sz w:val="24"/>
          <w:vertAlign w:val="superscript"/>
        </w:rPr>
        <w:t>2</w:t>
      </w:r>
      <w:r>
        <w:rPr>
          <w:rFonts w:ascii="宋体" w:hAnsi="宋体" w:hint="eastAsia"/>
          <w:sz w:val="24"/>
        </w:rPr>
        <w:t>；</w:t>
      </w:r>
    </w:p>
    <w:p w:rsidR="002D1343" w:rsidRDefault="002D1343" w:rsidP="002D1343">
      <w:pPr>
        <w:pStyle w:val="27"/>
        <w:spacing w:after="0" w:line="520" w:lineRule="exact"/>
        <w:ind w:leftChars="150" w:firstLineChars="672" w:firstLine="1640"/>
        <w:rPr>
          <w:rFonts w:ascii="宋体" w:hAnsi="宋体"/>
          <w:sz w:val="24"/>
        </w:rPr>
      </w:pPr>
      <w:r>
        <w:rPr>
          <w:rFonts w:ascii="宋体" w:hAnsi="宋体"/>
          <w:sz w:val="24"/>
        </w:rPr>
        <w:t>W——储煤场含水率，取</w:t>
      </w:r>
      <w:r>
        <w:rPr>
          <w:rFonts w:ascii="宋体" w:hAnsi="宋体" w:hint="eastAsia"/>
          <w:sz w:val="24"/>
        </w:rPr>
        <w:t>5</w:t>
      </w:r>
      <w:r>
        <w:rPr>
          <w:rFonts w:ascii="宋体" w:hAnsi="宋体"/>
          <w:sz w:val="24"/>
        </w:rPr>
        <w:t>%</w:t>
      </w:r>
      <w:r>
        <w:rPr>
          <w:rFonts w:ascii="宋体" w:hAnsi="宋体" w:hint="eastAsia"/>
          <w:sz w:val="24"/>
        </w:rPr>
        <w:t>；</w:t>
      </w:r>
    </w:p>
    <w:p w:rsidR="002D1343" w:rsidRDefault="002D1343" w:rsidP="002D1343">
      <w:pPr>
        <w:pStyle w:val="27"/>
        <w:spacing w:after="0" w:line="520" w:lineRule="exact"/>
        <w:ind w:left="560" w:firstLineChars="600" w:firstLine="1464"/>
        <w:rPr>
          <w:rFonts w:ascii="宋体" w:hAnsi="宋体"/>
          <w:sz w:val="24"/>
        </w:rPr>
      </w:pPr>
      <w:r>
        <w:rPr>
          <w:rFonts w:ascii="宋体" w:hAnsi="宋体"/>
          <w:sz w:val="24"/>
        </w:rPr>
        <w:t>U——地面平均风速，取2.</w:t>
      </w:r>
      <w:r>
        <w:rPr>
          <w:rFonts w:ascii="宋体" w:hAnsi="宋体" w:hint="eastAsia"/>
          <w:sz w:val="24"/>
        </w:rPr>
        <w:t>5</w:t>
      </w:r>
      <w:r>
        <w:rPr>
          <w:rFonts w:ascii="宋体" w:hAnsi="宋体"/>
          <w:sz w:val="24"/>
        </w:rPr>
        <w:t>m/s</w:t>
      </w:r>
      <w:r>
        <w:rPr>
          <w:rFonts w:ascii="宋体" w:hAnsi="宋体" w:hint="eastAsia"/>
          <w:sz w:val="24"/>
        </w:rPr>
        <w:t>。</w:t>
      </w:r>
    </w:p>
    <w:p w:rsidR="002D1343" w:rsidRDefault="002D1343" w:rsidP="002D1343">
      <w:pPr>
        <w:spacing w:line="520" w:lineRule="exact"/>
        <w:ind w:firstLine="480"/>
        <w:rPr>
          <w:rFonts w:ascii="宋体" w:hAnsi="宋体"/>
          <w:color w:val="000000"/>
          <w:sz w:val="24"/>
        </w:rPr>
      </w:pPr>
      <w:r>
        <w:rPr>
          <w:rFonts w:ascii="宋体" w:hAnsi="宋体" w:hint="eastAsia"/>
          <w:color w:val="000000"/>
          <w:sz w:val="24"/>
        </w:rPr>
        <w:t>根据计算可知，升级改造储煤场起尘量为9.041kg/d（3.3t/a）。</w:t>
      </w:r>
    </w:p>
    <w:p w:rsidR="002D1343" w:rsidRPr="003C4CAC" w:rsidRDefault="002D1343" w:rsidP="002D1343">
      <w:pPr>
        <w:tabs>
          <w:tab w:val="left" w:pos="0"/>
        </w:tabs>
        <w:snapToGrid w:val="0"/>
        <w:spacing w:line="500" w:lineRule="exact"/>
        <w:ind w:firstLineChars="200" w:firstLine="480"/>
      </w:pPr>
      <w:r>
        <w:rPr>
          <w:rFonts w:ascii="宋体" w:hAnsi="宋体" w:hint="eastAsia"/>
          <w:color w:val="000000"/>
          <w:sz w:val="24"/>
        </w:rPr>
        <w:lastRenderedPageBreak/>
        <w:t>根据初步设计及业主提供资料，储煤棚、皮带廊道全部密闭作业，储煤棚全部密闭且顶棚设计安装一套喷淋雾化装置，在作业时保持湿度，防治粉尘。储煤库大门采用卷帘保持密闭作业，皮带廊道全部密闭作业。喷雾洒水湿法作业的降尘效率在90%以上，因此储煤</w:t>
      </w:r>
      <w:r w:rsidR="009D7F5F">
        <w:rPr>
          <w:rFonts w:ascii="宋体" w:hAnsi="宋体" w:hint="eastAsia"/>
          <w:color w:val="000000"/>
          <w:sz w:val="24"/>
        </w:rPr>
        <w:t>库</w:t>
      </w:r>
      <w:r>
        <w:rPr>
          <w:rFonts w:ascii="宋体" w:hAnsi="宋体" w:hint="eastAsia"/>
          <w:color w:val="000000"/>
          <w:sz w:val="24"/>
        </w:rPr>
        <w:t>粉尘颗粒物的排放量为0.9041kg/d（0.33t/a）。</w:t>
      </w:r>
      <w:r w:rsidRPr="00EB537E">
        <w:rPr>
          <w:rFonts w:hint="eastAsia"/>
          <w:spacing w:val="2"/>
          <w:sz w:val="24"/>
        </w:rPr>
        <w:t>根据本次评价</w:t>
      </w:r>
      <w:r>
        <w:rPr>
          <w:rFonts w:hint="eastAsia"/>
          <w:spacing w:val="2"/>
          <w:sz w:val="24"/>
        </w:rPr>
        <w:t>采用</w:t>
      </w:r>
      <w:r w:rsidRPr="00EB537E">
        <w:rPr>
          <w:rFonts w:hint="eastAsia"/>
          <w:spacing w:val="2"/>
          <w:sz w:val="24"/>
        </w:rPr>
        <w:t>河南正捷检测技术有限公司于</w:t>
      </w:r>
      <w:r w:rsidRPr="00EB537E">
        <w:rPr>
          <w:rFonts w:hint="eastAsia"/>
          <w:spacing w:val="2"/>
          <w:sz w:val="24"/>
        </w:rPr>
        <w:t>2020</w:t>
      </w:r>
      <w:r w:rsidRPr="00EB537E">
        <w:rPr>
          <w:rFonts w:hint="eastAsia"/>
          <w:spacing w:val="2"/>
          <w:sz w:val="24"/>
        </w:rPr>
        <w:t>年</w:t>
      </w:r>
      <w:r>
        <w:rPr>
          <w:rFonts w:hint="eastAsia"/>
          <w:spacing w:val="2"/>
          <w:sz w:val="24"/>
        </w:rPr>
        <w:t>8</w:t>
      </w:r>
      <w:r w:rsidRPr="00EB537E">
        <w:rPr>
          <w:rFonts w:hint="eastAsia"/>
          <w:spacing w:val="2"/>
          <w:sz w:val="24"/>
        </w:rPr>
        <w:t>月</w:t>
      </w:r>
      <w:r>
        <w:rPr>
          <w:rFonts w:hint="eastAsia"/>
          <w:spacing w:val="2"/>
          <w:sz w:val="24"/>
        </w:rPr>
        <w:t>30</w:t>
      </w:r>
      <w:r w:rsidRPr="00EB537E">
        <w:rPr>
          <w:rFonts w:hint="eastAsia"/>
          <w:spacing w:val="2"/>
          <w:sz w:val="24"/>
        </w:rPr>
        <w:t>日</w:t>
      </w:r>
      <w:r w:rsidRPr="00EB537E">
        <w:rPr>
          <w:rFonts w:hint="eastAsia"/>
          <w:spacing w:val="2"/>
          <w:sz w:val="24"/>
        </w:rPr>
        <w:t>~</w:t>
      </w:r>
      <w:r>
        <w:rPr>
          <w:rFonts w:hint="eastAsia"/>
          <w:spacing w:val="2"/>
          <w:sz w:val="24"/>
        </w:rPr>
        <w:t>31</w:t>
      </w:r>
      <w:r w:rsidRPr="00EB537E">
        <w:rPr>
          <w:rFonts w:hint="eastAsia"/>
          <w:spacing w:val="2"/>
          <w:sz w:val="24"/>
        </w:rPr>
        <w:t>日对该</w:t>
      </w:r>
      <w:r w:rsidR="00802A62">
        <w:rPr>
          <w:rFonts w:hint="eastAsia"/>
          <w:spacing w:val="2"/>
          <w:sz w:val="24"/>
        </w:rPr>
        <w:t>储煤库</w:t>
      </w:r>
      <w:r w:rsidRPr="00EB537E">
        <w:rPr>
          <w:rFonts w:hint="eastAsia"/>
          <w:spacing w:val="2"/>
          <w:sz w:val="24"/>
        </w:rPr>
        <w:t>上下风向的无组织颗粒物</w:t>
      </w:r>
      <w:r>
        <w:rPr>
          <w:rFonts w:hint="eastAsia"/>
          <w:spacing w:val="2"/>
          <w:sz w:val="24"/>
        </w:rPr>
        <w:t>的</w:t>
      </w:r>
      <w:r w:rsidRPr="00EB537E">
        <w:rPr>
          <w:rFonts w:hint="eastAsia"/>
          <w:spacing w:val="2"/>
          <w:sz w:val="24"/>
        </w:rPr>
        <w:t>监测结果（详见表</w:t>
      </w:r>
      <w:r>
        <w:rPr>
          <w:rFonts w:hint="eastAsia"/>
          <w:spacing w:val="2"/>
          <w:sz w:val="24"/>
        </w:rPr>
        <w:t>3.1-3</w:t>
      </w:r>
      <w:r w:rsidRPr="00EB537E">
        <w:rPr>
          <w:rFonts w:hint="eastAsia"/>
          <w:spacing w:val="2"/>
          <w:sz w:val="24"/>
        </w:rPr>
        <w:t>）可知，</w:t>
      </w:r>
      <w:r w:rsidR="00802A62">
        <w:rPr>
          <w:rFonts w:hint="eastAsia"/>
          <w:spacing w:val="2"/>
          <w:sz w:val="24"/>
        </w:rPr>
        <w:t>储煤库</w:t>
      </w:r>
      <w:r w:rsidRPr="00EB537E">
        <w:rPr>
          <w:rFonts w:hint="eastAsia"/>
          <w:spacing w:val="2"/>
          <w:sz w:val="24"/>
        </w:rPr>
        <w:t>无组织颗粒物排放满足《煤炭工业污染物排放标准》（</w:t>
      </w:r>
      <w:r w:rsidRPr="00EB537E">
        <w:rPr>
          <w:rFonts w:hint="eastAsia"/>
          <w:spacing w:val="2"/>
          <w:sz w:val="24"/>
        </w:rPr>
        <w:t>GB20426-2006</w:t>
      </w:r>
      <w:r w:rsidRPr="00EB537E">
        <w:rPr>
          <w:rFonts w:hint="eastAsia"/>
          <w:spacing w:val="2"/>
          <w:sz w:val="24"/>
        </w:rPr>
        <w:t>）要求。</w:t>
      </w:r>
      <w:r>
        <w:rPr>
          <w:rFonts w:hint="eastAsia"/>
          <w:spacing w:val="2"/>
          <w:sz w:val="24"/>
        </w:rPr>
        <w:t>说明</w:t>
      </w:r>
      <w:r w:rsidRPr="00EB537E">
        <w:rPr>
          <w:rFonts w:hint="eastAsia"/>
          <w:spacing w:val="2"/>
          <w:sz w:val="24"/>
        </w:rPr>
        <w:t>采取降尘措施后，可基本上抑制煤尘污染</w:t>
      </w:r>
      <w:r>
        <w:rPr>
          <w:spacing w:val="2"/>
          <w:sz w:val="24"/>
        </w:rPr>
        <w:t>。</w:t>
      </w:r>
    </w:p>
    <w:p w:rsidR="002D1343" w:rsidRDefault="002D1343" w:rsidP="002D1343">
      <w:pPr>
        <w:adjustRightInd w:val="0"/>
        <w:snapToGrid w:val="0"/>
        <w:spacing w:line="520" w:lineRule="exact"/>
        <w:ind w:firstLineChars="200" w:firstLine="488"/>
        <w:jc w:val="left"/>
        <w:rPr>
          <w:spacing w:val="2"/>
          <w:sz w:val="24"/>
        </w:rPr>
      </w:pPr>
      <w:r>
        <w:rPr>
          <w:spacing w:val="2"/>
          <w:sz w:val="24"/>
        </w:rPr>
        <w:t>（</w:t>
      </w:r>
      <w:r>
        <w:rPr>
          <w:spacing w:val="2"/>
          <w:sz w:val="24"/>
        </w:rPr>
        <w:t>3</w:t>
      </w:r>
      <w:r>
        <w:rPr>
          <w:spacing w:val="2"/>
          <w:sz w:val="24"/>
        </w:rPr>
        <w:t>）井下作业产生的粉尘以及风井回风产生的废气</w:t>
      </w:r>
    </w:p>
    <w:p w:rsidR="002D1343" w:rsidRDefault="002D1343" w:rsidP="002D1343">
      <w:pPr>
        <w:adjustRightInd w:val="0"/>
        <w:snapToGrid w:val="0"/>
        <w:spacing w:line="520" w:lineRule="exact"/>
        <w:ind w:firstLineChars="200" w:firstLine="488"/>
        <w:jc w:val="left"/>
        <w:rPr>
          <w:spacing w:val="2"/>
          <w:sz w:val="24"/>
        </w:rPr>
      </w:pPr>
      <w:r>
        <w:rPr>
          <w:spacing w:val="2"/>
          <w:sz w:val="24"/>
        </w:rPr>
        <w:t>井下作业采煤过程会产生粉尘，这部分粉尘主要是对井下环境产生影响，对地面环境影响轻微。隆庆煤矿井下建立有防尘洒水系统，对采煤的各装转点设有喷雾洒水装置，输送机巷和主要通风巷等处均设置净化水幕，作业时开启；井下风钻，煤电钻均采用湿式打眼；对于易积存煤尘地点，定期进行清扫冲洗。采取上述措施后降尘率能够达到</w:t>
      </w:r>
      <w:r>
        <w:rPr>
          <w:spacing w:val="2"/>
          <w:sz w:val="24"/>
        </w:rPr>
        <w:t>95%</w:t>
      </w:r>
      <w:r>
        <w:rPr>
          <w:spacing w:val="2"/>
          <w:sz w:val="24"/>
        </w:rPr>
        <w:t>以上，可以有效抑制井下粉尘产生，处理后井下粉尘浓度能够小于</w:t>
      </w:r>
      <w:r>
        <w:rPr>
          <w:spacing w:val="2"/>
          <w:sz w:val="24"/>
        </w:rPr>
        <w:t>4mg/m</w:t>
      </w:r>
      <w:r>
        <w:rPr>
          <w:spacing w:val="2"/>
          <w:sz w:val="24"/>
          <w:vertAlign w:val="superscript"/>
        </w:rPr>
        <w:t>3</w:t>
      </w:r>
      <w:r>
        <w:rPr>
          <w:spacing w:val="2"/>
          <w:sz w:val="24"/>
        </w:rPr>
        <w:t>。</w:t>
      </w:r>
    </w:p>
    <w:p w:rsidR="002D1343" w:rsidRDefault="002D1343" w:rsidP="002D1343">
      <w:pPr>
        <w:adjustRightInd w:val="0"/>
        <w:snapToGrid w:val="0"/>
        <w:spacing w:line="520" w:lineRule="exact"/>
        <w:ind w:firstLineChars="200" w:firstLine="488"/>
        <w:jc w:val="left"/>
        <w:rPr>
          <w:spacing w:val="2"/>
          <w:sz w:val="24"/>
        </w:rPr>
      </w:pPr>
      <w:r>
        <w:rPr>
          <w:spacing w:val="2"/>
          <w:sz w:val="24"/>
        </w:rPr>
        <w:t>根据类比调查，通过风巷水幕净化、风道空气稀释，风井出口风量大，粉尘颗粒物浓度极低，无组织排放量很少，对环境影响轻微。</w:t>
      </w:r>
    </w:p>
    <w:p w:rsidR="002D1343" w:rsidRDefault="002D1343" w:rsidP="002D1343">
      <w:pPr>
        <w:adjustRightInd w:val="0"/>
        <w:snapToGrid w:val="0"/>
        <w:spacing w:line="520" w:lineRule="exact"/>
        <w:ind w:firstLineChars="200" w:firstLine="488"/>
        <w:jc w:val="left"/>
        <w:rPr>
          <w:spacing w:val="2"/>
          <w:sz w:val="24"/>
        </w:rPr>
      </w:pPr>
      <w:r>
        <w:rPr>
          <w:spacing w:val="2"/>
          <w:sz w:val="24"/>
        </w:rPr>
        <w:t>（</w:t>
      </w:r>
      <w:r>
        <w:rPr>
          <w:spacing w:val="2"/>
          <w:sz w:val="24"/>
        </w:rPr>
        <w:t>4</w:t>
      </w:r>
      <w:r>
        <w:rPr>
          <w:spacing w:val="2"/>
          <w:sz w:val="24"/>
        </w:rPr>
        <w:t>）</w:t>
      </w:r>
      <w:r>
        <w:rPr>
          <w:rFonts w:hint="eastAsia"/>
          <w:spacing w:val="2"/>
          <w:sz w:val="24"/>
        </w:rPr>
        <w:t>食堂油烟</w:t>
      </w:r>
    </w:p>
    <w:p w:rsidR="002D1343" w:rsidRPr="00FE1992" w:rsidRDefault="00B95226" w:rsidP="002D1343">
      <w:pPr>
        <w:adjustRightInd w:val="0"/>
        <w:snapToGrid w:val="0"/>
        <w:spacing w:line="520" w:lineRule="exact"/>
        <w:ind w:firstLineChars="200" w:firstLine="480"/>
        <w:jc w:val="left"/>
        <w:rPr>
          <w:spacing w:val="2"/>
          <w:sz w:val="24"/>
        </w:rPr>
      </w:pPr>
      <w:r w:rsidRPr="00FE1992">
        <w:rPr>
          <w:rFonts w:hint="eastAsia"/>
          <w:spacing w:val="2"/>
          <w:sz w:val="24"/>
        </w:rPr>
        <w:fldChar w:fldCharType="begin"/>
      </w:r>
      <w:r w:rsidR="002D1343" w:rsidRPr="00FE1992">
        <w:rPr>
          <w:rFonts w:hint="eastAsia"/>
          <w:spacing w:val="2"/>
          <w:sz w:val="24"/>
        </w:rPr>
        <w:instrText xml:space="preserve"> = 5 \* GB3 \* MERGEFORMAT </w:instrText>
      </w:r>
      <w:r w:rsidRPr="00FE1992">
        <w:rPr>
          <w:rFonts w:hint="eastAsia"/>
          <w:spacing w:val="2"/>
          <w:sz w:val="24"/>
        </w:rPr>
        <w:fldChar w:fldCharType="separate"/>
      </w:r>
      <w:r w:rsidR="002D1343" w:rsidRPr="00FE1992">
        <w:rPr>
          <w:rFonts w:ascii="宋体" w:hAnsi="宋体" w:cs="宋体" w:hint="eastAsia"/>
          <w:spacing w:val="2"/>
          <w:sz w:val="24"/>
        </w:rPr>
        <w:t>⑤</w:t>
      </w:r>
      <w:r w:rsidRPr="00FE1992">
        <w:rPr>
          <w:rFonts w:hint="eastAsia"/>
          <w:spacing w:val="2"/>
          <w:sz w:val="24"/>
        </w:rPr>
        <w:fldChar w:fldCharType="end"/>
      </w:r>
      <w:r w:rsidR="002D1343" w:rsidRPr="00FE1992">
        <w:rPr>
          <w:rFonts w:hint="eastAsia"/>
          <w:spacing w:val="2"/>
          <w:sz w:val="24"/>
        </w:rPr>
        <w:t>食堂油烟</w:t>
      </w:r>
    </w:p>
    <w:p w:rsidR="002D1343" w:rsidRPr="00FE1992" w:rsidRDefault="002D1343" w:rsidP="002D1343">
      <w:pPr>
        <w:adjustRightInd w:val="0"/>
        <w:snapToGrid w:val="0"/>
        <w:spacing w:line="520" w:lineRule="exact"/>
        <w:ind w:firstLineChars="200" w:firstLine="488"/>
        <w:jc w:val="left"/>
        <w:rPr>
          <w:spacing w:val="2"/>
          <w:sz w:val="24"/>
        </w:rPr>
      </w:pPr>
      <w:r>
        <w:rPr>
          <w:rFonts w:hint="eastAsia"/>
          <w:spacing w:val="2"/>
          <w:sz w:val="24"/>
        </w:rPr>
        <w:t>升级改造</w:t>
      </w:r>
      <w:r w:rsidRPr="00FE1992">
        <w:rPr>
          <w:rFonts w:hint="eastAsia"/>
          <w:spacing w:val="2"/>
          <w:sz w:val="24"/>
        </w:rPr>
        <w:t>后工业</w:t>
      </w:r>
      <w:r>
        <w:rPr>
          <w:rFonts w:hint="eastAsia"/>
          <w:spacing w:val="2"/>
          <w:sz w:val="24"/>
        </w:rPr>
        <w:t>广场</w:t>
      </w:r>
      <w:r w:rsidRPr="00FE1992">
        <w:rPr>
          <w:rFonts w:hint="eastAsia"/>
          <w:spacing w:val="2"/>
          <w:sz w:val="24"/>
        </w:rPr>
        <w:t>在食堂就餐人员</w:t>
      </w:r>
      <w:r>
        <w:rPr>
          <w:rFonts w:hint="eastAsia"/>
          <w:spacing w:val="2"/>
          <w:sz w:val="24"/>
        </w:rPr>
        <w:t>按劳动定员</w:t>
      </w:r>
      <w:r>
        <w:rPr>
          <w:rFonts w:hint="eastAsia"/>
          <w:spacing w:val="2"/>
          <w:sz w:val="24"/>
        </w:rPr>
        <w:t>598</w:t>
      </w:r>
      <w:r w:rsidRPr="00FE1992">
        <w:rPr>
          <w:rFonts w:hint="eastAsia"/>
          <w:spacing w:val="2"/>
          <w:sz w:val="24"/>
        </w:rPr>
        <w:t>人，利用原有食堂。</w:t>
      </w:r>
      <w:r w:rsidRPr="00FE1992">
        <w:rPr>
          <w:spacing w:val="2"/>
          <w:sz w:val="24"/>
        </w:rPr>
        <w:t>生活废气主要来自生活炉灶产生的烟气。生活炉灶</w:t>
      </w:r>
      <w:r w:rsidRPr="00FE1992">
        <w:rPr>
          <w:rFonts w:hint="eastAsia"/>
          <w:spacing w:val="2"/>
          <w:sz w:val="24"/>
        </w:rPr>
        <w:t>燃料采用液化石油气</w:t>
      </w:r>
      <w:r w:rsidRPr="00FE1992">
        <w:rPr>
          <w:spacing w:val="2"/>
          <w:sz w:val="24"/>
        </w:rPr>
        <w:t>，烟气中主要污染物为油烟</w:t>
      </w:r>
      <w:r w:rsidRPr="00FE1992">
        <w:rPr>
          <w:rFonts w:hint="eastAsia"/>
          <w:spacing w:val="2"/>
          <w:sz w:val="24"/>
        </w:rPr>
        <w:t>、非甲烷总烃</w:t>
      </w:r>
      <w:r w:rsidRPr="00FE1992">
        <w:rPr>
          <w:spacing w:val="2"/>
          <w:sz w:val="24"/>
        </w:rPr>
        <w:t>。根据对有关统计资料的类比分析，</w:t>
      </w:r>
      <w:r w:rsidRPr="00FE1992">
        <w:rPr>
          <w:rFonts w:hint="eastAsia"/>
          <w:spacing w:val="2"/>
          <w:sz w:val="24"/>
        </w:rPr>
        <w:t>食用油用量平均按</w:t>
      </w:r>
      <w:r w:rsidRPr="00FE1992">
        <w:rPr>
          <w:rFonts w:hint="eastAsia"/>
          <w:spacing w:val="2"/>
          <w:sz w:val="24"/>
        </w:rPr>
        <w:t>0.03kg/</w:t>
      </w:r>
      <w:r w:rsidRPr="00FE1992">
        <w:rPr>
          <w:rFonts w:hint="eastAsia"/>
          <w:spacing w:val="2"/>
          <w:sz w:val="24"/>
        </w:rPr>
        <w:t>人</w:t>
      </w:r>
      <w:r w:rsidRPr="00FE1992">
        <w:rPr>
          <w:b/>
          <w:bCs/>
          <w:spacing w:val="2"/>
          <w:sz w:val="24"/>
        </w:rPr>
        <w:t>·</w:t>
      </w:r>
      <w:r w:rsidRPr="00FE1992">
        <w:rPr>
          <w:rFonts w:hint="eastAsia"/>
          <w:spacing w:val="2"/>
          <w:sz w:val="24"/>
        </w:rPr>
        <w:t>天计。</w:t>
      </w:r>
    </w:p>
    <w:p w:rsidR="002D1343" w:rsidRPr="00FE1992" w:rsidRDefault="002D1343" w:rsidP="002D1343">
      <w:pPr>
        <w:adjustRightInd w:val="0"/>
        <w:snapToGrid w:val="0"/>
        <w:spacing w:line="520" w:lineRule="exact"/>
        <w:ind w:firstLineChars="200" w:firstLine="488"/>
        <w:jc w:val="left"/>
        <w:rPr>
          <w:spacing w:val="2"/>
          <w:sz w:val="24"/>
        </w:rPr>
      </w:pPr>
      <w:r w:rsidRPr="00EA4293">
        <w:rPr>
          <w:rFonts w:hint="eastAsia"/>
          <w:spacing w:val="2"/>
          <w:sz w:val="24"/>
        </w:rPr>
        <w:t>工业广场就餐人数按员工</w:t>
      </w:r>
      <w:r w:rsidRPr="00EA4293">
        <w:rPr>
          <w:rFonts w:hint="eastAsia"/>
          <w:spacing w:val="2"/>
          <w:sz w:val="24"/>
        </w:rPr>
        <w:t>598</w:t>
      </w:r>
      <w:r w:rsidRPr="00EA4293">
        <w:rPr>
          <w:rFonts w:hint="eastAsia"/>
          <w:spacing w:val="2"/>
          <w:sz w:val="24"/>
        </w:rPr>
        <w:t>人计，则日耗油量为</w:t>
      </w:r>
      <w:r w:rsidRPr="00EA4293">
        <w:rPr>
          <w:rFonts w:hint="eastAsia"/>
          <w:spacing w:val="2"/>
          <w:sz w:val="24"/>
        </w:rPr>
        <w:t>217.94kg/d</w:t>
      </w:r>
      <w:r w:rsidRPr="00EA4293">
        <w:rPr>
          <w:rFonts w:hint="eastAsia"/>
          <w:spacing w:val="2"/>
          <w:sz w:val="24"/>
        </w:rPr>
        <w:t>，年耗油量为</w:t>
      </w:r>
      <w:r w:rsidRPr="00EA4293">
        <w:rPr>
          <w:rFonts w:hint="eastAsia"/>
          <w:spacing w:val="2"/>
          <w:sz w:val="24"/>
        </w:rPr>
        <w:t>5.92t/a</w:t>
      </w:r>
      <w:r w:rsidRPr="00EA4293">
        <w:rPr>
          <w:rFonts w:hint="eastAsia"/>
          <w:spacing w:val="2"/>
          <w:sz w:val="24"/>
        </w:rPr>
        <w:t>。据类比调查，不同的烧炸工况，油烟气中烟气浓度及挥发量均有所不同，油的平均挥发量为总耗油量的</w:t>
      </w:r>
      <w:r w:rsidRPr="00EA4293">
        <w:rPr>
          <w:rFonts w:hint="eastAsia"/>
          <w:spacing w:val="2"/>
          <w:sz w:val="24"/>
        </w:rPr>
        <w:t>2.83%</w:t>
      </w:r>
      <w:r w:rsidRPr="00EA4293">
        <w:rPr>
          <w:rFonts w:hint="eastAsia"/>
          <w:spacing w:val="2"/>
          <w:sz w:val="24"/>
        </w:rPr>
        <w:t>，经核算，油烟产生量为</w:t>
      </w:r>
      <w:r w:rsidRPr="00EA4293">
        <w:rPr>
          <w:rFonts w:hint="eastAsia"/>
          <w:spacing w:val="2"/>
          <w:sz w:val="24"/>
        </w:rPr>
        <w:t>0.508kg/d</w:t>
      </w:r>
      <w:r w:rsidRPr="00EA4293">
        <w:rPr>
          <w:rFonts w:hint="eastAsia"/>
          <w:spacing w:val="2"/>
          <w:sz w:val="24"/>
        </w:rPr>
        <w:t>，年产生</w:t>
      </w:r>
      <w:r w:rsidRPr="00EA4293">
        <w:rPr>
          <w:rFonts w:hint="eastAsia"/>
          <w:spacing w:val="2"/>
          <w:sz w:val="24"/>
        </w:rPr>
        <w:lastRenderedPageBreak/>
        <w:t>油烟量为</w:t>
      </w:r>
      <w:r w:rsidRPr="00EA4293">
        <w:rPr>
          <w:rFonts w:hint="eastAsia"/>
          <w:spacing w:val="2"/>
          <w:sz w:val="24"/>
        </w:rPr>
        <w:t>0.168t/a</w:t>
      </w:r>
      <w:r w:rsidRPr="00EA4293">
        <w:rPr>
          <w:rFonts w:hint="eastAsia"/>
          <w:spacing w:val="2"/>
          <w:sz w:val="24"/>
        </w:rPr>
        <w:t>。烹饪时间按</w:t>
      </w:r>
      <w:r w:rsidRPr="00EA4293">
        <w:rPr>
          <w:rFonts w:hint="eastAsia"/>
          <w:spacing w:val="2"/>
          <w:sz w:val="24"/>
        </w:rPr>
        <w:t>7h/d</w:t>
      </w:r>
      <w:r w:rsidRPr="00EA4293">
        <w:rPr>
          <w:rFonts w:hint="eastAsia"/>
          <w:spacing w:val="2"/>
          <w:sz w:val="24"/>
        </w:rPr>
        <w:t>计算，则该项目所产生油烟量为</w:t>
      </w:r>
      <w:r w:rsidRPr="00EA4293">
        <w:rPr>
          <w:rFonts w:hint="eastAsia"/>
          <w:spacing w:val="2"/>
          <w:sz w:val="24"/>
        </w:rPr>
        <w:t>0.073kg/h</w:t>
      </w:r>
      <w:r w:rsidRPr="00EA4293">
        <w:rPr>
          <w:rFonts w:hint="eastAsia"/>
          <w:spacing w:val="2"/>
          <w:sz w:val="24"/>
        </w:rPr>
        <w:t>。单个基准灶头风机风量按</w:t>
      </w:r>
      <w:r w:rsidRPr="00EA4293">
        <w:rPr>
          <w:rFonts w:hint="eastAsia"/>
          <w:spacing w:val="2"/>
          <w:sz w:val="24"/>
        </w:rPr>
        <w:t>2000m</w:t>
      </w:r>
      <w:r w:rsidRPr="00EA4293">
        <w:rPr>
          <w:rFonts w:hint="eastAsia"/>
          <w:spacing w:val="2"/>
          <w:sz w:val="24"/>
          <w:vertAlign w:val="superscript"/>
        </w:rPr>
        <w:t>3</w:t>
      </w:r>
      <w:r w:rsidRPr="00EA4293">
        <w:rPr>
          <w:rFonts w:hint="eastAsia"/>
          <w:spacing w:val="2"/>
          <w:sz w:val="24"/>
        </w:rPr>
        <w:t xml:space="preserve">/h </w:t>
      </w:r>
      <w:r w:rsidRPr="00EA4293">
        <w:rPr>
          <w:rFonts w:hint="eastAsia"/>
          <w:spacing w:val="2"/>
          <w:sz w:val="24"/>
        </w:rPr>
        <w:t>计，灶头数量为</w:t>
      </w:r>
      <w:r w:rsidRPr="00EA4293">
        <w:rPr>
          <w:rFonts w:hint="eastAsia"/>
          <w:spacing w:val="2"/>
          <w:sz w:val="24"/>
        </w:rPr>
        <w:t>5</w:t>
      </w:r>
      <w:r w:rsidRPr="00EA4293">
        <w:rPr>
          <w:rFonts w:hint="eastAsia"/>
          <w:spacing w:val="2"/>
          <w:sz w:val="24"/>
        </w:rPr>
        <w:t>个，则项目油烟产生浓度约为</w:t>
      </w:r>
      <w:r w:rsidRPr="00EA4293">
        <w:rPr>
          <w:rFonts w:hint="eastAsia"/>
          <w:spacing w:val="2"/>
          <w:sz w:val="24"/>
        </w:rPr>
        <w:t>7.3mg/m</w:t>
      </w:r>
      <w:r w:rsidRPr="00EA4293">
        <w:rPr>
          <w:rFonts w:hint="eastAsia"/>
          <w:spacing w:val="2"/>
          <w:sz w:val="24"/>
          <w:vertAlign w:val="superscript"/>
        </w:rPr>
        <w:t>3</w:t>
      </w:r>
      <w:r w:rsidRPr="00EA4293">
        <w:rPr>
          <w:rFonts w:hint="eastAsia"/>
          <w:spacing w:val="2"/>
          <w:sz w:val="24"/>
        </w:rPr>
        <w:t>。根据《河南省地方标准</w:t>
      </w:r>
      <w:r w:rsidRPr="00EA4293">
        <w:rPr>
          <w:rFonts w:hint="eastAsia"/>
          <w:spacing w:val="2"/>
          <w:sz w:val="24"/>
        </w:rPr>
        <w:t>&lt;</w:t>
      </w:r>
      <w:r w:rsidRPr="00EA4293">
        <w:rPr>
          <w:rFonts w:hint="eastAsia"/>
          <w:spacing w:val="2"/>
          <w:sz w:val="24"/>
        </w:rPr>
        <w:t>餐饮业油烟污染物排放标准</w:t>
      </w:r>
      <w:r w:rsidRPr="00EA4293">
        <w:rPr>
          <w:rFonts w:hint="eastAsia"/>
          <w:spacing w:val="2"/>
          <w:sz w:val="24"/>
        </w:rPr>
        <w:t>&gt;</w:t>
      </w:r>
      <w:r w:rsidRPr="00EA4293">
        <w:rPr>
          <w:rFonts w:hint="eastAsia"/>
          <w:spacing w:val="2"/>
          <w:sz w:val="24"/>
        </w:rPr>
        <w:t>编制说明》</w:t>
      </w:r>
      <w:r w:rsidRPr="00EA4293">
        <w:rPr>
          <w:rFonts w:hint="eastAsia"/>
          <w:spacing w:val="2"/>
          <w:sz w:val="24"/>
        </w:rPr>
        <w:t xml:space="preserve">(2018 </w:t>
      </w:r>
      <w:r w:rsidRPr="00EA4293">
        <w:rPr>
          <w:rFonts w:hint="eastAsia"/>
          <w:spacing w:val="2"/>
          <w:sz w:val="24"/>
        </w:rPr>
        <w:t>年</w:t>
      </w:r>
      <w:r w:rsidRPr="00EA4293">
        <w:rPr>
          <w:rFonts w:hint="eastAsia"/>
          <w:spacing w:val="2"/>
          <w:sz w:val="24"/>
        </w:rPr>
        <w:t xml:space="preserve"> 4 </w:t>
      </w:r>
      <w:r w:rsidRPr="00EA4293">
        <w:rPr>
          <w:rFonts w:hint="eastAsia"/>
          <w:spacing w:val="2"/>
          <w:sz w:val="24"/>
        </w:rPr>
        <w:t>月</w:t>
      </w:r>
      <w:r w:rsidRPr="00EA4293">
        <w:rPr>
          <w:rFonts w:hint="eastAsia"/>
          <w:spacing w:val="2"/>
          <w:sz w:val="24"/>
        </w:rPr>
        <w:t>)</w:t>
      </w:r>
      <w:r w:rsidRPr="00EA4293">
        <w:rPr>
          <w:rFonts w:hint="eastAsia"/>
          <w:spacing w:val="2"/>
          <w:sz w:val="24"/>
        </w:rPr>
        <w:t>“非甲烷总烃基准浓度为</w:t>
      </w:r>
      <w:r w:rsidRPr="00EA4293">
        <w:rPr>
          <w:rFonts w:hint="eastAsia"/>
          <w:spacing w:val="2"/>
          <w:sz w:val="24"/>
        </w:rPr>
        <w:t>20mg/m</w:t>
      </w:r>
      <w:r w:rsidRPr="00EA4293">
        <w:rPr>
          <w:rFonts w:hint="eastAsia"/>
          <w:spacing w:val="2"/>
          <w:sz w:val="24"/>
          <w:vertAlign w:val="superscript"/>
        </w:rPr>
        <w:t>3</w:t>
      </w:r>
      <w:r w:rsidRPr="00EA4293">
        <w:rPr>
          <w:rFonts w:hint="eastAsia"/>
          <w:spacing w:val="2"/>
          <w:sz w:val="24"/>
        </w:rPr>
        <w:t>”，升级改造后食堂油烟仍由集气罩收集后采用静电式油烟净化器进行处理后楼顶排放。该净化设施对油烟处理效率可达</w:t>
      </w:r>
      <w:r w:rsidRPr="00EA4293">
        <w:rPr>
          <w:rFonts w:hint="eastAsia"/>
          <w:spacing w:val="2"/>
          <w:sz w:val="24"/>
        </w:rPr>
        <w:t xml:space="preserve"> 95%</w:t>
      </w:r>
      <w:r w:rsidRPr="00EA4293">
        <w:rPr>
          <w:rFonts w:hint="eastAsia"/>
          <w:spacing w:val="2"/>
          <w:sz w:val="24"/>
        </w:rPr>
        <w:t>以上，对非甲烷总烃处理效率达</w:t>
      </w:r>
      <w:r w:rsidRPr="00EA4293">
        <w:rPr>
          <w:rFonts w:hint="eastAsia"/>
          <w:spacing w:val="2"/>
          <w:sz w:val="24"/>
        </w:rPr>
        <w:t xml:space="preserve"> 60%</w:t>
      </w:r>
      <w:r w:rsidRPr="00EA4293">
        <w:rPr>
          <w:rFonts w:hint="eastAsia"/>
          <w:spacing w:val="2"/>
          <w:sz w:val="24"/>
        </w:rPr>
        <w:t>以上。则经净化处理后油烟排放浓度</w:t>
      </w:r>
      <w:r w:rsidRPr="00EA4293">
        <w:rPr>
          <w:rFonts w:hint="eastAsia"/>
          <w:spacing w:val="2"/>
          <w:sz w:val="24"/>
        </w:rPr>
        <w:t>0.37mg/m</w:t>
      </w:r>
      <w:r w:rsidRPr="00EA4293">
        <w:rPr>
          <w:rFonts w:hint="eastAsia"/>
          <w:spacing w:val="2"/>
          <w:sz w:val="24"/>
        </w:rPr>
        <w:t>³，</w:t>
      </w:r>
      <w:r w:rsidRPr="00FE1992">
        <w:rPr>
          <w:rFonts w:hint="eastAsia"/>
          <w:spacing w:val="2"/>
          <w:sz w:val="24"/>
        </w:rPr>
        <w:t>排放量为</w:t>
      </w:r>
      <w:r>
        <w:rPr>
          <w:rFonts w:hint="eastAsia"/>
          <w:spacing w:val="2"/>
          <w:sz w:val="24"/>
        </w:rPr>
        <w:t>8.547</w:t>
      </w:r>
      <w:r w:rsidRPr="00FE1992">
        <w:rPr>
          <w:rFonts w:hint="eastAsia"/>
          <w:spacing w:val="2"/>
          <w:sz w:val="24"/>
        </w:rPr>
        <w:t>kg/a</w:t>
      </w:r>
      <w:r w:rsidRPr="00FE1992">
        <w:rPr>
          <w:rFonts w:hint="eastAsia"/>
          <w:spacing w:val="2"/>
          <w:sz w:val="24"/>
        </w:rPr>
        <w:t>；非甲烷总烃排放浓度为</w:t>
      </w:r>
      <w:r w:rsidRPr="00FE1992">
        <w:rPr>
          <w:rFonts w:hint="eastAsia"/>
          <w:spacing w:val="2"/>
          <w:sz w:val="24"/>
        </w:rPr>
        <w:t>8mg/m</w:t>
      </w:r>
      <w:r w:rsidRPr="00FE1992">
        <w:rPr>
          <w:rFonts w:hint="eastAsia"/>
          <w:spacing w:val="2"/>
          <w:sz w:val="24"/>
          <w:vertAlign w:val="superscript"/>
        </w:rPr>
        <w:t>3</w:t>
      </w:r>
      <w:r w:rsidRPr="00FE1992">
        <w:rPr>
          <w:rFonts w:hint="eastAsia"/>
          <w:spacing w:val="2"/>
          <w:sz w:val="24"/>
        </w:rPr>
        <w:t>，排放量为</w:t>
      </w:r>
      <w:r>
        <w:rPr>
          <w:rFonts w:hint="eastAsia"/>
          <w:spacing w:val="2"/>
          <w:sz w:val="24"/>
        </w:rPr>
        <w:t>184</w:t>
      </w:r>
      <w:r w:rsidRPr="00FE1992">
        <w:rPr>
          <w:rFonts w:hint="eastAsia"/>
          <w:spacing w:val="2"/>
          <w:sz w:val="24"/>
        </w:rPr>
        <w:t>.8kg/a</w:t>
      </w:r>
      <w:r w:rsidRPr="00FE1992">
        <w:rPr>
          <w:rFonts w:hint="eastAsia"/>
          <w:spacing w:val="2"/>
          <w:sz w:val="24"/>
        </w:rPr>
        <w:t>。</w:t>
      </w:r>
    </w:p>
    <w:p w:rsidR="002D1343" w:rsidRDefault="002D1343" w:rsidP="002D1343">
      <w:pPr>
        <w:adjustRightInd w:val="0"/>
        <w:snapToGrid w:val="0"/>
        <w:spacing w:line="520" w:lineRule="exact"/>
        <w:ind w:firstLineChars="200" w:firstLine="488"/>
        <w:jc w:val="left"/>
        <w:rPr>
          <w:spacing w:val="2"/>
          <w:sz w:val="24"/>
        </w:rPr>
      </w:pPr>
      <w:r w:rsidRPr="00FE1992">
        <w:rPr>
          <w:rFonts w:hint="eastAsia"/>
          <w:spacing w:val="2"/>
          <w:sz w:val="24"/>
        </w:rPr>
        <w:t>综上，</w:t>
      </w:r>
      <w:r>
        <w:rPr>
          <w:rFonts w:hint="eastAsia"/>
          <w:spacing w:val="2"/>
          <w:sz w:val="24"/>
        </w:rPr>
        <w:t>本项目食堂</w:t>
      </w:r>
      <w:r w:rsidRPr="00FE1992">
        <w:rPr>
          <w:rFonts w:hint="eastAsia"/>
          <w:spacing w:val="2"/>
          <w:sz w:val="24"/>
        </w:rPr>
        <w:t>油烟经处理后，能够满足河南省地方标准《餐饮业油烟污染物排放标准》（</w:t>
      </w:r>
      <w:r w:rsidRPr="00FE1992">
        <w:rPr>
          <w:rFonts w:hint="eastAsia"/>
          <w:spacing w:val="2"/>
          <w:sz w:val="24"/>
        </w:rPr>
        <w:t>DB41/1604-2018</w:t>
      </w:r>
      <w:r w:rsidRPr="00FE1992">
        <w:rPr>
          <w:rFonts w:hint="eastAsia"/>
          <w:spacing w:val="2"/>
          <w:sz w:val="24"/>
        </w:rPr>
        <w:t>）中表</w:t>
      </w:r>
      <w:r w:rsidRPr="00FE1992">
        <w:rPr>
          <w:rFonts w:hint="eastAsia"/>
          <w:spacing w:val="2"/>
          <w:sz w:val="24"/>
        </w:rPr>
        <w:t>1</w:t>
      </w:r>
      <w:r w:rsidRPr="00FE1992">
        <w:rPr>
          <w:rFonts w:hint="eastAsia"/>
          <w:spacing w:val="2"/>
          <w:sz w:val="24"/>
        </w:rPr>
        <w:t>大型：油烟排放浓度≤</w:t>
      </w:r>
      <w:r w:rsidRPr="00FE1992">
        <w:rPr>
          <w:rFonts w:hint="eastAsia"/>
          <w:spacing w:val="2"/>
          <w:sz w:val="24"/>
        </w:rPr>
        <w:t>1.0mg/m</w:t>
      </w:r>
      <w:r w:rsidRPr="00FE1992">
        <w:rPr>
          <w:rFonts w:hint="eastAsia"/>
          <w:spacing w:val="2"/>
          <w:sz w:val="24"/>
          <w:vertAlign w:val="superscript"/>
        </w:rPr>
        <w:t>3</w:t>
      </w:r>
      <w:r w:rsidRPr="00FE1992">
        <w:rPr>
          <w:rFonts w:hint="eastAsia"/>
          <w:spacing w:val="2"/>
          <w:sz w:val="24"/>
        </w:rPr>
        <w:t xml:space="preserve"> </w:t>
      </w:r>
      <w:r w:rsidRPr="00FE1992">
        <w:rPr>
          <w:rFonts w:hint="eastAsia"/>
          <w:spacing w:val="2"/>
          <w:sz w:val="24"/>
        </w:rPr>
        <w:t>，非甲烷总烃排放浓度≤</w:t>
      </w:r>
      <w:r w:rsidRPr="00FE1992">
        <w:rPr>
          <w:rFonts w:hint="eastAsia"/>
          <w:spacing w:val="2"/>
          <w:sz w:val="24"/>
        </w:rPr>
        <w:t>10mg/m</w:t>
      </w:r>
      <w:r w:rsidRPr="00FE1992">
        <w:rPr>
          <w:rFonts w:hint="eastAsia"/>
          <w:spacing w:val="2"/>
          <w:sz w:val="24"/>
          <w:vertAlign w:val="superscript"/>
        </w:rPr>
        <w:t>3</w:t>
      </w:r>
      <w:r w:rsidRPr="00FE1992">
        <w:rPr>
          <w:rFonts w:hint="eastAsia"/>
          <w:spacing w:val="2"/>
          <w:sz w:val="24"/>
        </w:rPr>
        <w:t xml:space="preserve"> </w:t>
      </w:r>
      <w:r w:rsidRPr="00FE1992">
        <w:rPr>
          <w:rFonts w:hint="eastAsia"/>
          <w:spacing w:val="2"/>
          <w:sz w:val="24"/>
        </w:rPr>
        <w:t>，油烟去除率≥</w:t>
      </w:r>
      <w:r w:rsidRPr="00FE1992">
        <w:rPr>
          <w:rFonts w:hint="eastAsia"/>
          <w:spacing w:val="2"/>
          <w:sz w:val="24"/>
        </w:rPr>
        <w:t>95%</w:t>
      </w:r>
      <w:r w:rsidRPr="00FE1992">
        <w:rPr>
          <w:rFonts w:hint="eastAsia"/>
          <w:spacing w:val="2"/>
          <w:sz w:val="24"/>
        </w:rPr>
        <w:t>的要求。</w:t>
      </w:r>
    </w:p>
    <w:p w:rsidR="002D1343" w:rsidRDefault="002D1343" w:rsidP="002D1343">
      <w:pPr>
        <w:adjustRightInd w:val="0"/>
        <w:snapToGrid w:val="0"/>
        <w:spacing w:line="520" w:lineRule="exact"/>
        <w:ind w:firstLineChars="200" w:firstLine="488"/>
        <w:jc w:val="left"/>
        <w:rPr>
          <w:spacing w:val="2"/>
          <w:sz w:val="24"/>
        </w:rPr>
      </w:pPr>
      <w:r>
        <w:rPr>
          <w:rFonts w:hint="eastAsia"/>
          <w:spacing w:val="2"/>
          <w:sz w:val="24"/>
        </w:rPr>
        <w:t>（</w:t>
      </w:r>
      <w:r>
        <w:rPr>
          <w:rFonts w:hint="eastAsia"/>
          <w:spacing w:val="2"/>
          <w:sz w:val="24"/>
        </w:rPr>
        <w:t>5</w:t>
      </w:r>
      <w:r>
        <w:rPr>
          <w:rFonts w:hint="eastAsia"/>
          <w:spacing w:val="2"/>
          <w:sz w:val="24"/>
        </w:rPr>
        <w:t>）</w:t>
      </w:r>
      <w:r>
        <w:rPr>
          <w:spacing w:val="2"/>
          <w:sz w:val="24"/>
        </w:rPr>
        <w:t>运输道路扬尘</w:t>
      </w:r>
    </w:p>
    <w:p w:rsidR="002D1343" w:rsidRDefault="002D1343" w:rsidP="002D1343">
      <w:pPr>
        <w:adjustRightInd w:val="0"/>
        <w:snapToGrid w:val="0"/>
        <w:spacing w:line="520" w:lineRule="exact"/>
        <w:ind w:firstLineChars="200" w:firstLine="488"/>
        <w:jc w:val="left"/>
        <w:rPr>
          <w:spacing w:val="2"/>
          <w:sz w:val="24"/>
        </w:rPr>
      </w:pPr>
      <w:r>
        <w:rPr>
          <w:spacing w:val="2"/>
          <w:sz w:val="24"/>
        </w:rPr>
        <w:t>仍利用现有运煤道路运煤，在磅房处设车辆冲洗装置，冲洗水经收集后全部循环利用，不外排。</w:t>
      </w:r>
    </w:p>
    <w:p w:rsidR="002D1343" w:rsidRDefault="002D1343" w:rsidP="002D1343">
      <w:pPr>
        <w:adjustRightInd w:val="0"/>
        <w:snapToGrid w:val="0"/>
        <w:spacing w:line="520" w:lineRule="exact"/>
        <w:ind w:firstLineChars="200" w:firstLine="488"/>
        <w:jc w:val="left"/>
        <w:rPr>
          <w:spacing w:val="2"/>
          <w:sz w:val="24"/>
        </w:rPr>
      </w:pPr>
      <w:r>
        <w:rPr>
          <w:spacing w:val="2"/>
          <w:sz w:val="24"/>
        </w:rPr>
        <w:t>运输道路设专人清扫路面，并配备洒水车</w:t>
      </w:r>
      <w:r>
        <w:rPr>
          <w:spacing w:val="2"/>
          <w:sz w:val="24"/>
        </w:rPr>
        <w:t>1</w:t>
      </w:r>
      <w:r>
        <w:rPr>
          <w:spacing w:val="2"/>
          <w:sz w:val="24"/>
        </w:rPr>
        <w:t>辆，对道路定时洒水。装车时煤炭压实表面洒水并加盖篷布，防止物料飞扬、抛洒，在煤炭运输时严格运煤车辆管理，不超载，以此减少路面扬尘和运煤车辆对环境的影响。</w:t>
      </w:r>
    </w:p>
    <w:p w:rsidR="002D1343" w:rsidRDefault="002D1343" w:rsidP="002D1343">
      <w:pPr>
        <w:adjustRightInd w:val="0"/>
        <w:snapToGrid w:val="0"/>
        <w:spacing w:line="520" w:lineRule="exact"/>
        <w:ind w:firstLineChars="200" w:firstLine="488"/>
        <w:jc w:val="left"/>
        <w:rPr>
          <w:spacing w:val="2"/>
          <w:sz w:val="24"/>
        </w:rPr>
      </w:pPr>
      <w:r>
        <w:rPr>
          <w:spacing w:val="2"/>
          <w:sz w:val="24"/>
        </w:rPr>
        <w:t>大气污染物产生及排放量见表</w:t>
      </w:r>
      <w:r>
        <w:rPr>
          <w:spacing w:val="2"/>
          <w:sz w:val="24"/>
        </w:rPr>
        <w:t>3.4-1</w:t>
      </w:r>
      <w:r>
        <w:rPr>
          <w:spacing w:val="2"/>
          <w:sz w:val="24"/>
        </w:rPr>
        <w:t>。</w:t>
      </w:r>
    </w:p>
    <w:p w:rsidR="007D63D9" w:rsidRDefault="007D63D9">
      <w:pPr>
        <w:widowControl/>
        <w:jc w:val="left"/>
        <w:rPr>
          <w:rFonts w:eastAsia="黑体"/>
          <w:color w:val="000000"/>
          <w:spacing w:val="2"/>
          <w:kern w:val="0"/>
          <w:sz w:val="24"/>
          <w:szCs w:val="21"/>
        </w:rPr>
      </w:pPr>
      <w:r>
        <w:rPr>
          <w:rFonts w:eastAsia="黑体"/>
          <w:color w:val="000000"/>
          <w:spacing w:val="2"/>
          <w:szCs w:val="21"/>
        </w:rPr>
        <w:br w:type="page"/>
      </w:r>
    </w:p>
    <w:p w:rsidR="002D1343" w:rsidRDefault="002D1343" w:rsidP="002D1343">
      <w:pPr>
        <w:pStyle w:val="xl44"/>
        <w:widowControl w:val="0"/>
        <w:pBdr>
          <w:left w:val="none" w:sz="0" w:space="0" w:color="auto"/>
          <w:bottom w:val="none" w:sz="0" w:space="0" w:color="auto"/>
          <w:right w:val="none" w:sz="0" w:space="0" w:color="auto"/>
        </w:pBdr>
        <w:spacing w:before="0" w:beforeAutospacing="0" w:after="0" w:afterAutospacing="0" w:line="520" w:lineRule="exact"/>
        <w:textAlignment w:val="auto"/>
        <w:rPr>
          <w:rFonts w:ascii="Times New Roman" w:eastAsia="黑体" w:hAnsi="Times New Roman"/>
          <w:color w:val="000000"/>
          <w:spacing w:val="2"/>
          <w:kern w:val="2"/>
        </w:rPr>
      </w:pPr>
      <w:r>
        <w:rPr>
          <w:rFonts w:ascii="Times New Roman" w:eastAsia="黑体" w:hAnsi="Times New Roman"/>
          <w:color w:val="000000"/>
          <w:spacing w:val="2"/>
          <w:szCs w:val="21"/>
        </w:rPr>
        <w:lastRenderedPageBreak/>
        <w:t>表</w:t>
      </w:r>
      <w:r>
        <w:rPr>
          <w:rFonts w:ascii="Times New Roman" w:eastAsia="黑体" w:hAnsi="Times New Roman"/>
          <w:color w:val="000000"/>
          <w:spacing w:val="2"/>
          <w:szCs w:val="21"/>
        </w:rPr>
        <w:t xml:space="preserve">3.4-1  </w:t>
      </w:r>
      <w:r>
        <w:rPr>
          <w:rFonts w:ascii="Times New Roman" w:eastAsia="黑体" w:hAnsi="Times New Roman"/>
          <w:color w:val="000000"/>
          <w:spacing w:val="2"/>
          <w:kern w:val="2"/>
        </w:rPr>
        <w:t>升级改造后大气污染源、污染防治措施及污染物产排情况一览表</w:t>
      </w:r>
    </w:p>
    <w:tbl>
      <w:tblPr>
        <w:tblW w:w="92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306"/>
        <w:gridCol w:w="709"/>
        <w:gridCol w:w="709"/>
        <w:gridCol w:w="961"/>
        <w:gridCol w:w="815"/>
        <w:gridCol w:w="35"/>
        <w:gridCol w:w="851"/>
        <w:gridCol w:w="2693"/>
        <w:gridCol w:w="768"/>
        <w:gridCol w:w="61"/>
        <w:gridCol w:w="708"/>
        <w:gridCol w:w="607"/>
      </w:tblGrid>
      <w:tr w:rsidR="002D1343" w:rsidTr="000C4154">
        <w:trPr>
          <w:trHeight w:val="50"/>
          <w:jc w:val="center"/>
        </w:trPr>
        <w:tc>
          <w:tcPr>
            <w:tcW w:w="306" w:type="dxa"/>
            <w:vMerge w:val="restar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序号</w:t>
            </w:r>
          </w:p>
        </w:tc>
        <w:tc>
          <w:tcPr>
            <w:tcW w:w="1418" w:type="dxa"/>
            <w:gridSpan w:val="2"/>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污染源</w:t>
            </w:r>
          </w:p>
        </w:tc>
        <w:tc>
          <w:tcPr>
            <w:tcW w:w="961" w:type="dxa"/>
            <w:vMerge w:val="restar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污染源特征</w:t>
            </w:r>
          </w:p>
        </w:tc>
        <w:tc>
          <w:tcPr>
            <w:tcW w:w="1701" w:type="dxa"/>
            <w:gridSpan w:val="3"/>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污染物产生情况</w:t>
            </w:r>
          </w:p>
        </w:tc>
        <w:tc>
          <w:tcPr>
            <w:tcW w:w="2693" w:type="dxa"/>
            <w:vMerge w:val="restar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污染防治措施</w:t>
            </w:r>
          </w:p>
        </w:tc>
        <w:tc>
          <w:tcPr>
            <w:tcW w:w="1537" w:type="dxa"/>
            <w:gridSpan w:val="3"/>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采用治理措施后排放情况</w:t>
            </w:r>
          </w:p>
        </w:tc>
        <w:tc>
          <w:tcPr>
            <w:tcW w:w="607" w:type="dxa"/>
            <w:vMerge w:val="restar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排放方式</w:t>
            </w:r>
          </w:p>
        </w:tc>
      </w:tr>
      <w:tr w:rsidR="002D1343" w:rsidTr="000C4154">
        <w:trPr>
          <w:trHeight w:val="70"/>
          <w:jc w:val="center"/>
        </w:trPr>
        <w:tc>
          <w:tcPr>
            <w:tcW w:w="306" w:type="dxa"/>
            <w:vMerge/>
            <w:tcBorders>
              <w:tl2br w:val="nil"/>
              <w:tr2bl w:val="nil"/>
            </w:tcBorders>
            <w:vAlign w:val="center"/>
          </w:tcPr>
          <w:p w:rsidR="002D1343" w:rsidRDefault="002D1343" w:rsidP="000C4154">
            <w:pPr>
              <w:widowControl/>
              <w:jc w:val="left"/>
              <w:rPr>
                <w:color w:val="000000"/>
                <w:sz w:val="21"/>
                <w:szCs w:val="21"/>
              </w:rPr>
            </w:pPr>
          </w:p>
        </w:tc>
        <w:tc>
          <w:tcPr>
            <w:tcW w:w="709" w:type="dxa"/>
            <w:tcBorders>
              <w:tl2br w:val="nil"/>
              <w:tr2bl w:val="nil"/>
            </w:tcBorders>
            <w:vAlign w:val="center"/>
          </w:tcPr>
          <w:p w:rsidR="002D1343" w:rsidRDefault="002D1343" w:rsidP="000C4154">
            <w:pPr>
              <w:widowControl/>
              <w:jc w:val="left"/>
              <w:rPr>
                <w:color w:val="000000"/>
                <w:sz w:val="21"/>
                <w:szCs w:val="21"/>
              </w:rPr>
            </w:pPr>
            <w:r>
              <w:rPr>
                <w:color w:val="000000"/>
                <w:sz w:val="21"/>
                <w:szCs w:val="21"/>
              </w:rPr>
              <w:t>污染源</w:t>
            </w:r>
          </w:p>
        </w:tc>
        <w:tc>
          <w:tcPr>
            <w:tcW w:w="709" w:type="dxa"/>
            <w:tcBorders>
              <w:tl2br w:val="nil"/>
              <w:tr2bl w:val="nil"/>
            </w:tcBorders>
            <w:vAlign w:val="center"/>
          </w:tcPr>
          <w:p w:rsidR="002D1343" w:rsidRDefault="002D1343" w:rsidP="000C4154">
            <w:pPr>
              <w:widowControl/>
              <w:jc w:val="left"/>
              <w:rPr>
                <w:color w:val="000000"/>
                <w:sz w:val="21"/>
                <w:szCs w:val="21"/>
              </w:rPr>
            </w:pPr>
            <w:r>
              <w:rPr>
                <w:color w:val="000000"/>
                <w:sz w:val="21"/>
                <w:szCs w:val="21"/>
              </w:rPr>
              <w:t>污染物</w:t>
            </w:r>
          </w:p>
        </w:tc>
        <w:tc>
          <w:tcPr>
            <w:tcW w:w="961" w:type="dxa"/>
            <w:vMerge/>
            <w:tcBorders>
              <w:tl2br w:val="nil"/>
              <w:tr2bl w:val="nil"/>
            </w:tcBorders>
            <w:vAlign w:val="center"/>
          </w:tcPr>
          <w:p w:rsidR="002D1343" w:rsidRDefault="002D1343" w:rsidP="000C4154">
            <w:pPr>
              <w:widowControl/>
              <w:jc w:val="left"/>
              <w:rPr>
                <w:color w:val="000000"/>
                <w:sz w:val="21"/>
                <w:szCs w:val="21"/>
              </w:rPr>
            </w:pPr>
          </w:p>
        </w:tc>
        <w:tc>
          <w:tcPr>
            <w:tcW w:w="850" w:type="dxa"/>
            <w:gridSpan w:val="2"/>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产生量</w:t>
            </w:r>
          </w:p>
          <w:p w:rsidR="002D1343" w:rsidRDefault="002D1343" w:rsidP="000C4154">
            <w:pPr>
              <w:spacing w:line="280" w:lineRule="exact"/>
              <w:jc w:val="center"/>
              <w:rPr>
                <w:color w:val="000000"/>
                <w:sz w:val="21"/>
                <w:szCs w:val="21"/>
              </w:rPr>
            </w:pPr>
            <w:r>
              <w:rPr>
                <w:color w:val="000000"/>
                <w:sz w:val="21"/>
                <w:szCs w:val="21"/>
              </w:rPr>
              <w:t>t/a</w:t>
            </w:r>
          </w:p>
        </w:tc>
        <w:tc>
          <w:tcPr>
            <w:tcW w:w="851" w:type="dxa"/>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浓度</w:t>
            </w:r>
          </w:p>
          <w:p w:rsidR="002D1343" w:rsidRDefault="002D1343" w:rsidP="000C4154">
            <w:pPr>
              <w:spacing w:line="280" w:lineRule="exact"/>
              <w:jc w:val="center"/>
              <w:rPr>
                <w:color w:val="000000"/>
                <w:sz w:val="21"/>
                <w:szCs w:val="21"/>
                <w:vertAlign w:val="superscript"/>
              </w:rPr>
            </w:pPr>
            <w:r>
              <w:rPr>
                <w:color w:val="000000"/>
                <w:sz w:val="21"/>
                <w:szCs w:val="21"/>
              </w:rPr>
              <w:t>mg/m</w:t>
            </w:r>
            <w:r>
              <w:rPr>
                <w:color w:val="000000"/>
                <w:sz w:val="21"/>
                <w:szCs w:val="21"/>
                <w:vertAlign w:val="superscript"/>
              </w:rPr>
              <w:t>3</w:t>
            </w:r>
          </w:p>
        </w:tc>
        <w:tc>
          <w:tcPr>
            <w:tcW w:w="2693" w:type="dxa"/>
            <w:vMerge/>
            <w:tcBorders>
              <w:tl2br w:val="nil"/>
              <w:tr2bl w:val="nil"/>
            </w:tcBorders>
            <w:vAlign w:val="center"/>
          </w:tcPr>
          <w:p w:rsidR="002D1343" w:rsidRDefault="002D1343" w:rsidP="000C4154">
            <w:pPr>
              <w:spacing w:line="280" w:lineRule="exact"/>
              <w:jc w:val="center"/>
              <w:rPr>
                <w:color w:val="000000"/>
                <w:sz w:val="21"/>
                <w:szCs w:val="21"/>
              </w:rPr>
            </w:pPr>
          </w:p>
        </w:tc>
        <w:tc>
          <w:tcPr>
            <w:tcW w:w="768" w:type="dxa"/>
            <w:tcBorders>
              <w:tl2br w:val="nil"/>
              <w:tr2bl w:val="nil"/>
            </w:tcBorders>
            <w:vAlign w:val="center"/>
          </w:tcPr>
          <w:p w:rsidR="002D1343" w:rsidRDefault="002D1343" w:rsidP="000C4154">
            <w:pPr>
              <w:spacing w:line="280" w:lineRule="exact"/>
              <w:jc w:val="center"/>
              <w:rPr>
                <w:color w:val="000000"/>
                <w:sz w:val="21"/>
                <w:szCs w:val="21"/>
              </w:rPr>
            </w:pPr>
            <w:r>
              <w:rPr>
                <w:rFonts w:hint="eastAsia"/>
                <w:color w:val="000000"/>
                <w:sz w:val="21"/>
                <w:szCs w:val="21"/>
              </w:rPr>
              <w:t>排放</w:t>
            </w:r>
            <w:r>
              <w:rPr>
                <w:color w:val="000000"/>
                <w:sz w:val="21"/>
                <w:szCs w:val="21"/>
              </w:rPr>
              <w:t>量</w:t>
            </w:r>
          </w:p>
          <w:p w:rsidR="002D1343" w:rsidRDefault="002D1343" w:rsidP="000C4154">
            <w:pPr>
              <w:spacing w:line="280" w:lineRule="exact"/>
              <w:jc w:val="center"/>
              <w:rPr>
                <w:color w:val="000000"/>
                <w:sz w:val="21"/>
                <w:szCs w:val="21"/>
              </w:rPr>
            </w:pPr>
            <w:r>
              <w:rPr>
                <w:color w:val="000000"/>
                <w:sz w:val="21"/>
                <w:szCs w:val="21"/>
              </w:rPr>
              <w:t>t/a</w:t>
            </w:r>
          </w:p>
        </w:tc>
        <w:tc>
          <w:tcPr>
            <w:tcW w:w="769" w:type="dxa"/>
            <w:gridSpan w:val="2"/>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浓度</w:t>
            </w:r>
          </w:p>
          <w:p w:rsidR="002D1343" w:rsidRDefault="002D1343" w:rsidP="000C4154">
            <w:pPr>
              <w:spacing w:line="280" w:lineRule="exact"/>
              <w:jc w:val="center"/>
              <w:rPr>
                <w:color w:val="000000"/>
                <w:sz w:val="21"/>
                <w:szCs w:val="21"/>
                <w:vertAlign w:val="superscript"/>
              </w:rPr>
            </w:pPr>
            <w:r>
              <w:rPr>
                <w:color w:val="000000"/>
                <w:sz w:val="21"/>
                <w:szCs w:val="21"/>
              </w:rPr>
              <w:t>mg/m</w:t>
            </w:r>
            <w:r>
              <w:rPr>
                <w:color w:val="000000"/>
                <w:sz w:val="21"/>
                <w:szCs w:val="21"/>
                <w:vertAlign w:val="superscript"/>
              </w:rPr>
              <w:t>3</w:t>
            </w:r>
          </w:p>
        </w:tc>
        <w:tc>
          <w:tcPr>
            <w:tcW w:w="607" w:type="dxa"/>
            <w:vMerge/>
            <w:tcBorders>
              <w:tl2br w:val="nil"/>
              <w:tr2bl w:val="nil"/>
            </w:tcBorders>
            <w:vAlign w:val="center"/>
          </w:tcPr>
          <w:p w:rsidR="002D1343" w:rsidRDefault="002D1343" w:rsidP="000C4154">
            <w:pPr>
              <w:widowControl/>
              <w:jc w:val="left"/>
              <w:rPr>
                <w:color w:val="000000"/>
                <w:sz w:val="21"/>
                <w:szCs w:val="21"/>
              </w:rPr>
            </w:pPr>
          </w:p>
        </w:tc>
      </w:tr>
      <w:tr w:rsidR="00555C29" w:rsidTr="00555C29">
        <w:trPr>
          <w:trHeight w:val="733"/>
          <w:jc w:val="center"/>
        </w:trPr>
        <w:tc>
          <w:tcPr>
            <w:tcW w:w="306" w:type="dxa"/>
            <w:vMerge w:val="restart"/>
            <w:tcBorders>
              <w:tl2br w:val="nil"/>
              <w:tr2bl w:val="nil"/>
            </w:tcBorders>
            <w:vAlign w:val="center"/>
          </w:tcPr>
          <w:p w:rsidR="00555C29" w:rsidRDefault="00555C29" w:rsidP="000C4154">
            <w:pPr>
              <w:spacing w:line="280" w:lineRule="exact"/>
              <w:jc w:val="center"/>
              <w:rPr>
                <w:color w:val="000000"/>
                <w:sz w:val="21"/>
                <w:szCs w:val="21"/>
              </w:rPr>
            </w:pPr>
            <w:r>
              <w:rPr>
                <w:color w:val="000000"/>
                <w:sz w:val="21"/>
                <w:szCs w:val="21"/>
              </w:rPr>
              <w:t>1</w:t>
            </w:r>
          </w:p>
        </w:tc>
        <w:tc>
          <w:tcPr>
            <w:tcW w:w="709" w:type="dxa"/>
            <w:vMerge w:val="restart"/>
            <w:tcBorders>
              <w:tl2br w:val="nil"/>
              <w:tr2bl w:val="nil"/>
            </w:tcBorders>
            <w:vAlign w:val="center"/>
          </w:tcPr>
          <w:p w:rsidR="00555C29" w:rsidRDefault="00555C29" w:rsidP="000C4154">
            <w:pPr>
              <w:spacing w:line="280" w:lineRule="exact"/>
              <w:jc w:val="center"/>
              <w:rPr>
                <w:color w:val="000000"/>
                <w:sz w:val="21"/>
                <w:szCs w:val="21"/>
              </w:rPr>
            </w:pPr>
            <w:r>
              <w:rPr>
                <w:rFonts w:hint="eastAsia"/>
                <w:color w:val="000000"/>
                <w:sz w:val="21"/>
                <w:szCs w:val="21"/>
              </w:rPr>
              <w:t>卸煤口</w:t>
            </w:r>
            <w:r>
              <w:rPr>
                <w:color w:val="000000"/>
                <w:sz w:val="21"/>
                <w:szCs w:val="21"/>
              </w:rPr>
              <w:t>扬尘</w:t>
            </w:r>
          </w:p>
        </w:tc>
        <w:tc>
          <w:tcPr>
            <w:tcW w:w="709" w:type="dxa"/>
            <w:vMerge w:val="restart"/>
            <w:tcBorders>
              <w:tl2br w:val="nil"/>
              <w:tr2bl w:val="nil"/>
            </w:tcBorders>
            <w:vAlign w:val="center"/>
          </w:tcPr>
          <w:p w:rsidR="00555C29" w:rsidRDefault="00555C29" w:rsidP="000C4154">
            <w:pPr>
              <w:spacing w:line="280" w:lineRule="exact"/>
              <w:jc w:val="center"/>
              <w:rPr>
                <w:color w:val="000000"/>
                <w:sz w:val="21"/>
                <w:szCs w:val="21"/>
              </w:rPr>
            </w:pPr>
            <w:r>
              <w:rPr>
                <w:color w:val="000000"/>
                <w:sz w:val="21"/>
                <w:szCs w:val="21"/>
              </w:rPr>
              <w:t>扬尘</w:t>
            </w:r>
          </w:p>
        </w:tc>
        <w:tc>
          <w:tcPr>
            <w:tcW w:w="961" w:type="dxa"/>
            <w:tcBorders>
              <w:tl2br w:val="nil"/>
              <w:tr2bl w:val="nil"/>
            </w:tcBorders>
            <w:vAlign w:val="center"/>
          </w:tcPr>
          <w:p w:rsidR="00555C29" w:rsidRDefault="00555C29" w:rsidP="000C4154">
            <w:pPr>
              <w:spacing w:line="280" w:lineRule="exact"/>
              <w:jc w:val="center"/>
              <w:rPr>
                <w:sz w:val="21"/>
                <w:szCs w:val="21"/>
              </w:rPr>
            </w:pPr>
            <w:r>
              <w:rPr>
                <w:rFonts w:hint="eastAsia"/>
                <w:sz w:val="21"/>
                <w:szCs w:val="21"/>
              </w:rPr>
              <w:t>无组织</w:t>
            </w:r>
          </w:p>
        </w:tc>
        <w:tc>
          <w:tcPr>
            <w:tcW w:w="1701" w:type="dxa"/>
            <w:gridSpan w:val="3"/>
            <w:tcBorders>
              <w:tl2br w:val="nil"/>
              <w:tr2bl w:val="nil"/>
            </w:tcBorders>
            <w:vAlign w:val="center"/>
          </w:tcPr>
          <w:p w:rsidR="00555C29" w:rsidRDefault="00555C29" w:rsidP="000C4154">
            <w:pPr>
              <w:spacing w:line="280" w:lineRule="exact"/>
              <w:jc w:val="center"/>
              <w:rPr>
                <w:sz w:val="21"/>
                <w:szCs w:val="21"/>
              </w:rPr>
            </w:pPr>
            <w:r>
              <w:rPr>
                <w:rFonts w:hint="eastAsia"/>
                <w:sz w:val="21"/>
                <w:szCs w:val="21"/>
              </w:rPr>
              <w:t>0.3t/a</w:t>
            </w:r>
          </w:p>
        </w:tc>
        <w:tc>
          <w:tcPr>
            <w:tcW w:w="2693" w:type="dxa"/>
            <w:vMerge w:val="restart"/>
            <w:tcBorders>
              <w:tl2br w:val="nil"/>
              <w:tr2bl w:val="nil"/>
            </w:tcBorders>
            <w:vAlign w:val="center"/>
          </w:tcPr>
          <w:p w:rsidR="00555C29" w:rsidRDefault="00555C29" w:rsidP="000C4154">
            <w:pPr>
              <w:spacing w:line="280" w:lineRule="exact"/>
              <w:jc w:val="center"/>
              <w:rPr>
                <w:sz w:val="21"/>
                <w:szCs w:val="21"/>
              </w:rPr>
            </w:pPr>
            <w:r>
              <w:rPr>
                <w:sz w:val="21"/>
                <w:szCs w:val="21"/>
              </w:rPr>
              <w:t>采用全封闭式输煤皮带廊，井口卸煤点封闭，</w:t>
            </w:r>
            <w:r w:rsidRPr="00D91CB5">
              <w:rPr>
                <w:rFonts w:hint="eastAsia"/>
                <w:sz w:val="21"/>
                <w:szCs w:val="21"/>
              </w:rPr>
              <w:t>安装袋式除尘器</w:t>
            </w:r>
          </w:p>
        </w:tc>
        <w:tc>
          <w:tcPr>
            <w:tcW w:w="1537" w:type="dxa"/>
            <w:gridSpan w:val="3"/>
            <w:tcBorders>
              <w:tl2br w:val="nil"/>
              <w:tr2bl w:val="nil"/>
            </w:tcBorders>
            <w:vAlign w:val="center"/>
          </w:tcPr>
          <w:p w:rsidR="00555C29" w:rsidRDefault="00555C29" w:rsidP="000C4154">
            <w:pPr>
              <w:spacing w:line="280" w:lineRule="exact"/>
              <w:jc w:val="center"/>
              <w:rPr>
                <w:sz w:val="21"/>
                <w:szCs w:val="21"/>
              </w:rPr>
            </w:pPr>
            <w:r>
              <w:rPr>
                <w:rFonts w:hint="eastAsia"/>
                <w:sz w:val="21"/>
                <w:szCs w:val="21"/>
              </w:rPr>
              <w:t>0.3t/a</w:t>
            </w:r>
          </w:p>
        </w:tc>
        <w:tc>
          <w:tcPr>
            <w:tcW w:w="607" w:type="dxa"/>
            <w:tcBorders>
              <w:tl2br w:val="nil"/>
              <w:tr2bl w:val="nil"/>
            </w:tcBorders>
            <w:vAlign w:val="center"/>
          </w:tcPr>
          <w:p w:rsidR="00555C29" w:rsidRDefault="00555C29" w:rsidP="000C4154">
            <w:pPr>
              <w:spacing w:line="280" w:lineRule="exact"/>
              <w:jc w:val="center"/>
              <w:rPr>
                <w:sz w:val="21"/>
                <w:szCs w:val="21"/>
              </w:rPr>
            </w:pPr>
            <w:r>
              <w:rPr>
                <w:rFonts w:hint="eastAsia"/>
                <w:sz w:val="21"/>
                <w:szCs w:val="21"/>
              </w:rPr>
              <w:t>无组织</w:t>
            </w:r>
          </w:p>
        </w:tc>
      </w:tr>
      <w:tr w:rsidR="00555C29" w:rsidTr="00555C29">
        <w:trPr>
          <w:trHeight w:val="503"/>
          <w:jc w:val="center"/>
        </w:trPr>
        <w:tc>
          <w:tcPr>
            <w:tcW w:w="306" w:type="dxa"/>
            <w:vMerge/>
            <w:tcBorders>
              <w:tl2br w:val="nil"/>
              <w:tr2bl w:val="nil"/>
            </w:tcBorders>
            <w:vAlign w:val="center"/>
          </w:tcPr>
          <w:p w:rsidR="00555C29" w:rsidRDefault="00555C29" w:rsidP="000C4154">
            <w:pPr>
              <w:spacing w:line="280" w:lineRule="exact"/>
              <w:jc w:val="center"/>
              <w:rPr>
                <w:color w:val="000000"/>
                <w:sz w:val="21"/>
                <w:szCs w:val="21"/>
              </w:rPr>
            </w:pPr>
          </w:p>
        </w:tc>
        <w:tc>
          <w:tcPr>
            <w:tcW w:w="709" w:type="dxa"/>
            <w:vMerge/>
            <w:tcBorders>
              <w:tl2br w:val="nil"/>
              <w:tr2bl w:val="nil"/>
            </w:tcBorders>
            <w:vAlign w:val="center"/>
          </w:tcPr>
          <w:p w:rsidR="00555C29" w:rsidRDefault="00555C29" w:rsidP="000C4154">
            <w:pPr>
              <w:spacing w:line="280" w:lineRule="exact"/>
              <w:jc w:val="center"/>
              <w:rPr>
                <w:color w:val="000000"/>
                <w:sz w:val="21"/>
                <w:szCs w:val="21"/>
              </w:rPr>
            </w:pPr>
          </w:p>
        </w:tc>
        <w:tc>
          <w:tcPr>
            <w:tcW w:w="709" w:type="dxa"/>
            <w:vMerge/>
            <w:tcBorders>
              <w:tl2br w:val="nil"/>
              <w:tr2bl w:val="nil"/>
            </w:tcBorders>
            <w:vAlign w:val="center"/>
          </w:tcPr>
          <w:p w:rsidR="00555C29" w:rsidRDefault="00555C29" w:rsidP="000C4154">
            <w:pPr>
              <w:spacing w:line="280" w:lineRule="exact"/>
              <w:jc w:val="center"/>
              <w:rPr>
                <w:color w:val="000000"/>
                <w:sz w:val="21"/>
                <w:szCs w:val="21"/>
              </w:rPr>
            </w:pPr>
          </w:p>
        </w:tc>
        <w:tc>
          <w:tcPr>
            <w:tcW w:w="961" w:type="dxa"/>
            <w:tcBorders>
              <w:tl2br w:val="nil"/>
              <w:tr2bl w:val="nil"/>
            </w:tcBorders>
            <w:vAlign w:val="center"/>
          </w:tcPr>
          <w:p w:rsidR="00555C29" w:rsidRDefault="00555C29" w:rsidP="000C4154">
            <w:pPr>
              <w:spacing w:line="280" w:lineRule="exact"/>
              <w:jc w:val="center"/>
              <w:rPr>
                <w:sz w:val="21"/>
                <w:szCs w:val="21"/>
              </w:rPr>
            </w:pPr>
            <w:r>
              <w:rPr>
                <w:rFonts w:hint="eastAsia"/>
                <w:sz w:val="21"/>
                <w:szCs w:val="21"/>
              </w:rPr>
              <w:t>有</w:t>
            </w:r>
            <w:r>
              <w:rPr>
                <w:sz w:val="21"/>
                <w:szCs w:val="21"/>
              </w:rPr>
              <w:t>组织</w:t>
            </w:r>
          </w:p>
        </w:tc>
        <w:tc>
          <w:tcPr>
            <w:tcW w:w="815" w:type="dxa"/>
            <w:tcBorders>
              <w:tl2br w:val="nil"/>
              <w:tr2bl w:val="nil"/>
            </w:tcBorders>
            <w:vAlign w:val="center"/>
          </w:tcPr>
          <w:p w:rsidR="00555C29" w:rsidRDefault="00555C29" w:rsidP="000C4154">
            <w:pPr>
              <w:spacing w:line="280" w:lineRule="exact"/>
              <w:jc w:val="center"/>
              <w:rPr>
                <w:sz w:val="21"/>
                <w:szCs w:val="21"/>
              </w:rPr>
            </w:pPr>
            <w:r>
              <w:rPr>
                <w:rFonts w:hint="eastAsia"/>
                <w:sz w:val="21"/>
                <w:szCs w:val="21"/>
              </w:rPr>
              <w:t>2.7t/a</w:t>
            </w:r>
          </w:p>
        </w:tc>
        <w:tc>
          <w:tcPr>
            <w:tcW w:w="886" w:type="dxa"/>
            <w:gridSpan w:val="2"/>
            <w:tcBorders>
              <w:tl2br w:val="nil"/>
              <w:tr2bl w:val="nil"/>
            </w:tcBorders>
            <w:vAlign w:val="center"/>
          </w:tcPr>
          <w:p w:rsidR="00555C29" w:rsidRDefault="00555C29" w:rsidP="000C4154">
            <w:pPr>
              <w:spacing w:line="280" w:lineRule="exact"/>
              <w:jc w:val="center"/>
              <w:rPr>
                <w:sz w:val="21"/>
                <w:szCs w:val="21"/>
              </w:rPr>
            </w:pPr>
            <w:r>
              <w:rPr>
                <w:rFonts w:hint="eastAsia"/>
                <w:color w:val="000000"/>
                <w:sz w:val="21"/>
                <w:szCs w:val="21"/>
              </w:rPr>
              <w:t>681.8</w:t>
            </w:r>
            <w:r>
              <w:rPr>
                <w:color w:val="000000"/>
                <w:sz w:val="21"/>
                <w:szCs w:val="21"/>
              </w:rPr>
              <w:t>mg/m</w:t>
            </w:r>
            <w:r>
              <w:rPr>
                <w:color w:val="000000"/>
                <w:sz w:val="21"/>
                <w:szCs w:val="21"/>
                <w:vertAlign w:val="superscript"/>
              </w:rPr>
              <w:t>3</w:t>
            </w:r>
          </w:p>
        </w:tc>
        <w:tc>
          <w:tcPr>
            <w:tcW w:w="2693" w:type="dxa"/>
            <w:vMerge/>
            <w:tcBorders>
              <w:tl2br w:val="nil"/>
              <w:tr2bl w:val="nil"/>
            </w:tcBorders>
            <w:vAlign w:val="center"/>
          </w:tcPr>
          <w:p w:rsidR="00555C29" w:rsidRDefault="00555C29" w:rsidP="000C4154">
            <w:pPr>
              <w:spacing w:line="280" w:lineRule="exact"/>
              <w:jc w:val="center"/>
              <w:rPr>
                <w:sz w:val="21"/>
                <w:szCs w:val="21"/>
              </w:rPr>
            </w:pPr>
          </w:p>
        </w:tc>
        <w:tc>
          <w:tcPr>
            <w:tcW w:w="829" w:type="dxa"/>
            <w:gridSpan w:val="2"/>
            <w:tcBorders>
              <w:tl2br w:val="nil"/>
              <w:tr2bl w:val="nil"/>
            </w:tcBorders>
            <w:vAlign w:val="center"/>
          </w:tcPr>
          <w:p w:rsidR="00555C29" w:rsidRDefault="00555C29" w:rsidP="000C4154">
            <w:pPr>
              <w:spacing w:line="280" w:lineRule="exact"/>
              <w:jc w:val="center"/>
              <w:rPr>
                <w:sz w:val="21"/>
                <w:szCs w:val="21"/>
              </w:rPr>
            </w:pPr>
            <w:r>
              <w:rPr>
                <w:rFonts w:hint="eastAsia"/>
                <w:sz w:val="21"/>
                <w:szCs w:val="21"/>
              </w:rPr>
              <w:t>0.0027t/a</w:t>
            </w:r>
          </w:p>
        </w:tc>
        <w:tc>
          <w:tcPr>
            <w:tcW w:w="708" w:type="dxa"/>
            <w:tcBorders>
              <w:tl2br w:val="nil"/>
              <w:tr2bl w:val="nil"/>
            </w:tcBorders>
            <w:vAlign w:val="center"/>
          </w:tcPr>
          <w:p w:rsidR="00555C29" w:rsidRDefault="00555C29" w:rsidP="00555C29">
            <w:pPr>
              <w:spacing w:line="280" w:lineRule="exact"/>
              <w:jc w:val="center"/>
              <w:rPr>
                <w:sz w:val="21"/>
                <w:szCs w:val="21"/>
              </w:rPr>
            </w:pPr>
            <w:r>
              <w:rPr>
                <w:rFonts w:hint="eastAsia"/>
                <w:color w:val="000000"/>
                <w:sz w:val="21"/>
                <w:szCs w:val="21"/>
              </w:rPr>
              <w:t>0.68</w:t>
            </w:r>
            <w:r>
              <w:rPr>
                <w:color w:val="000000"/>
                <w:sz w:val="21"/>
                <w:szCs w:val="21"/>
              </w:rPr>
              <w:t>mg/m</w:t>
            </w:r>
            <w:r>
              <w:rPr>
                <w:color w:val="000000"/>
                <w:sz w:val="21"/>
                <w:szCs w:val="21"/>
                <w:vertAlign w:val="superscript"/>
              </w:rPr>
              <w:t>3</w:t>
            </w:r>
          </w:p>
        </w:tc>
        <w:tc>
          <w:tcPr>
            <w:tcW w:w="607" w:type="dxa"/>
            <w:tcBorders>
              <w:tl2br w:val="nil"/>
              <w:tr2bl w:val="nil"/>
            </w:tcBorders>
            <w:vAlign w:val="center"/>
          </w:tcPr>
          <w:p w:rsidR="00555C29" w:rsidRDefault="00555C29" w:rsidP="000C4154">
            <w:pPr>
              <w:spacing w:line="280" w:lineRule="exact"/>
              <w:jc w:val="center"/>
              <w:rPr>
                <w:sz w:val="21"/>
                <w:szCs w:val="21"/>
              </w:rPr>
            </w:pPr>
            <w:r>
              <w:rPr>
                <w:rFonts w:hint="eastAsia"/>
                <w:sz w:val="21"/>
                <w:szCs w:val="21"/>
              </w:rPr>
              <w:t>有</w:t>
            </w:r>
            <w:r>
              <w:rPr>
                <w:sz w:val="21"/>
                <w:szCs w:val="21"/>
              </w:rPr>
              <w:t>组织</w:t>
            </w:r>
          </w:p>
        </w:tc>
      </w:tr>
      <w:tr w:rsidR="002D1343" w:rsidTr="000C4154">
        <w:trPr>
          <w:jc w:val="center"/>
        </w:trPr>
        <w:tc>
          <w:tcPr>
            <w:tcW w:w="306" w:type="dxa"/>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2</w:t>
            </w:r>
          </w:p>
        </w:tc>
        <w:tc>
          <w:tcPr>
            <w:tcW w:w="709" w:type="dxa"/>
            <w:tcBorders>
              <w:tl2br w:val="nil"/>
              <w:tr2bl w:val="nil"/>
            </w:tcBorders>
            <w:vAlign w:val="center"/>
          </w:tcPr>
          <w:p w:rsidR="002D1343" w:rsidRDefault="00802A62" w:rsidP="000C4154">
            <w:pPr>
              <w:spacing w:line="280" w:lineRule="exact"/>
              <w:jc w:val="center"/>
              <w:rPr>
                <w:color w:val="000000"/>
                <w:sz w:val="21"/>
                <w:szCs w:val="21"/>
              </w:rPr>
            </w:pPr>
            <w:r>
              <w:rPr>
                <w:color w:val="000000"/>
                <w:sz w:val="21"/>
                <w:szCs w:val="21"/>
              </w:rPr>
              <w:t>储煤库</w:t>
            </w:r>
            <w:r w:rsidR="002D1343">
              <w:rPr>
                <w:color w:val="000000"/>
                <w:sz w:val="21"/>
                <w:szCs w:val="21"/>
              </w:rPr>
              <w:t>扬尘</w:t>
            </w:r>
          </w:p>
        </w:tc>
        <w:tc>
          <w:tcPr>
            <w:tcW w:w="709" w:type="dxa"/>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扬尘</w:t>
            </w:r>
          </w:p>
        </w:tc>
        <w:tc>
          <w:tcPr>
            <w:tcW w:w="961" w:type="dxa"/>
            <w:tcBorders>
              <w:tl2br w:val="nil"/>
              <w:tr2bl w:val="nil"/>
            </w:tcBorders>
            <w:vAlign w:val="center"/>
          </w:tcPr>
          <w:p w:rsidR="002D1343" w:rsidRDefault="002D1343" w:rsidP="000C4154">
            <w:pPr>
              <w:spacing w:line="280" w:lineRule="exact"/>
              <w:jc w:val="center"/>
              <w:rPr>
                <w:sz w:val="21"/>
                <w:szCs w:val="21"/>
              </w:rPr>
            </w:pPr>
            <w:r>
              <w:rPr>
                <w:sz w:val="21"/>
                <w:szCs w:val="21"/>
              </w:rPr>
              <w:t>堆存及装卸扬尘</w:t>
            </w:r>
          </w:p>
        </w:tc>
        <w:tc>
          <w:tcPr>
            <w:tcW w:w="1701" w:type="dxa"/>
            <w:gridSpan w:val="3"/>
            <w:tcBorders>
              <w:tl2br w:val="nil"/>
              <w:tr2bl w:val="nil"/>
            </w:tcBorders>
            <w:vAlign w:val="center"/>
          </w:tcPr>
          <w:p w:rsidR="002D1343" w:rsidRDefault="00555C29" w:rsidP="000C4154">
            <w:pPr>
              <w:spacing w:line="280" w:lineRule="exact"/>
              <w:jc w:val="center"/>
              <w:rPr>
                <w:sz w:val="21"/>
                <w:szCs w:val="21"/>
              </w:rPr>
            </w:pPr>
            <w:r>
              <w:rPr>
                <w:rFonts w:hint="eastAsia"/>
                <w:sz w:val="21"/>
                <w:szCs w:val="21"/>
              </w:rPr>
              <w:t>3.3t/a</w:t>
            </w:r>
          </w:p>
        </w:tc>
        <w:tc>
          <w:tcPr>
            <w:tcW w:w="2693" w:type="dxa"/>
            <w:tcBorders>
              <w:tl2br w:val="nil"/>
              <w:tr2bl w:val="nil"/>
            </w:tcBorders>
            <w:vAlign w:val="center"/>
          </w:tcPr>
          <w:p w:rsidR="002D1343" w:rsidRDefault="00802A62" w:rsidP="000C4154">
            <w:pPr>
              <w:spacing w:line="280" w:lineRule="exact"/>
              <w:jc w:val="center"/>
              <w:rPr>
                <w:sz w:val="21"/>
                <w:szCs w:val="21"/>
              </w:rPr>
            </w:pPr>
            <w:r>
              <w:rPr>
                <w:sz w:val="21"/>
                <w:szCs w:val="21"/>
              </w:rPr>
              <w:t>储煤库</w:t>
            </w:r>
            <w:r w:rsidR="002D1343">
              <w:rPr>
                <w:sz w:val="21"/>
                <w:szCs w:val="21"/>
              </w:rPr>
              <w:t>全封闭，且落煤处设置洒水喷头</w:t>
            </w:r>
            <w:r w:rsidR="002D1343">
              <w:rPr>
                <w:sz w:val="21"/>
                <w:szCs w:val="21"/>
              </w:rPr>
              <w:t>1</w:t>
            </w:r>
            <w:r w:rsidR="002D1343">
              <w:rPr>
                <w:sz w:val="21"/>
                <w:szCs w:val="21"/>
              </w:rPr>
              <w:t>个，并在</w:t>
            </w:r>
            <w:r>
              <w:rPr>
                <w:sz w:val="21"/>
                <w:szCs w:val="21"/>
              </w:rPr>
              <w:t>储煤库</w:t>
            </w:r>
            <w:r w:rsidR="002D1343">
              <w:rPr>
                <w:sz w:val="21"/>
                <w:szCs w:val="21"/>
              </w:rPr>
              <w:t>四周安装自动洒水喷头进行洒水降尘</w:t>
            </w:r>
          </w:p>
        </w:tc>
        <w:tc>
          <w:tcPr>
            <w:tcW w:w="1537" w:type="dxa"/>
            <w:gridSpan w:val="3"/>
            <w:tcBorders>
              <w:tl2br w:val="nil"/>
              <w:tr2bl w:val="nil"/>
            </w:tcBorders>
            <w:vAlign w:val="center"/>
          </w:tcPr>
          <w:p w:rsidR="002D1343" w:rsidRDefault="00555C29" w:rsidP="000C4154">
            <w:pPr>
              <w:spacing w:line="280" w:lineRule="exact"/>
              <w:jc w:val="center"/>
              <w:rPr>
                <w:sz w:val="21"/>
                <w:szCs w:val="21"/>
              </w:rPr>
            </w:pPr>
            <w:r>
              <w:rPr>
                <w:rFonts w:hint="eastAsia"/>
                <w:sz w:val="21"/>
                <w:szCs w:val="21"/>
              </w:rPr>
              <w:t>0.33t/a</w:t>
            </w:r>
          </w:p>
        </w:tc>
        <w:tc>
          <w:tcPr>
            <w:tcW w:w="607" w:type="dxa"/>
            <w:tcBorders>
              <w:tl2br w:val="nil"/>
              <w:tr2bl w:val="nil"/>
            </w:tcBorders>
            <w:vAlign w:val="center"/>
          </w:tcPr>
          <w:p w:rsidR="002D1343" w:rsidRDefault="002D1343" w:rsidP="000C4154">
            <w:pPr>
              <w:spacing w:line="280" w:lineRule="exact"/>
              <w:jc w:val="center"/>
              <w:rPr>
                <w:sz w:val="21"/>
                <w:szCs w:val="21"/>
              </w:rPr>
            </w:pPr>
            <w:r>
              <w:rPr>
                <w:sz w:val="21"/>
                <w:szCs w:val="21"/>
              </w:rPr>
              <w:t>无组织</w:t>
            </w:r>
          </w:p>
        </w:tc>
      </w:tr>
      <w:tr w:rsidR="002D1343" w:rsidTr="00555C29">
        <w:trPr>
          <w:trHeight w:val="537"/>
          <w:jc w:val="center"/>
        </w:trPr>
        <w:tc>
          <w:tcPr>
            <w:tcW w:w="306" w:type="dxa"/>
            <w:vMerge w:val="restar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3</w:t>
            </w:r>
          </w:p>
        </w:tc>
        <w:tc>
          <w:tcPr>
            <w:tcW w:w="709" w:type="dxa"/>
            <w:vMerge w:val="restart"/>
            <w:tcBorders>
              <w:tl2br w:val="nil"/>
              <w:tr2bl w:val="nil"/>
            </w:tcBorders>
            <w:vAlign w:val="center"/>
          </w:tcPr>
          <w:p w:rsidR="002D1343" w:rsidRPr="001A6A92" w:rsidRDefault="002D1343" w:rsidP="000C4154">
            <w:pPr>
              <w:spacing w:line="280" w:lineRule="exact"/>
              <w:jc w:val="center"/>
              <w:rPr>
                <w:sz w:val="21"/>
                <w:szCs w:val="21"/>
              </w:rPr>
            </w:pPr>
            <w:r w:rsidRPr="001A6A92">
              <w:rPr>
                <w:rFonts w:hint="eastAsia"/>
                <w:sz w:val="21"/>
                <w:szCs w:val="21"/>
              </w:rPr>
              <w:t>食堂油烟</w:t>
            </w:r>
          </w:p>
        </w:tc>
        <w:tc>
          <w:tcPr>
            <w:tcW w:w="709" w:type="dxa"/>
            <w:tcBorders>
              <w:tl2br w:val="nil"/>
              <w:tr2bl w:val="nil"/>
            </w:tcBorders>
            <w:vAlign w:val="center"/>
          </w:tcPr>
          <w:p w:rsidR="002D1343" w:rsidRPr="001A6A92" w:rsidRDefault="002D1343" w:rsidP="000C4154">
            <w:pPr>
              <w:jc w:val="center"/>
              <w:rPr>
                <w:spacing w:val="2"/>
                <w:sz w:val="21"/>
                <w:szCs w:val="21"/>
              </w:rPr>
            </w:pPr>
            <w:r w:rsidRPr="001A6A92">
              <w:rPr>
                <w:rFonts w:hint="eastAsia"/>
                <w:spacing w:val="2"/>
                <w:sz w:val="21"/>
                <w:szCs w:val="21"/>
              </w:rPr>
              <w:t>油烟</w:t>
            </w:r>
          </w:p>
        </w:tc>
        <w:tc>
          <w:tcPr>
            <w:tcW w:w="961" w:type="dxa"/>
            <w:tcBorders>
              <w:tl2br w:val="nil"/>
              <w:tr2bl w:val="nil"/>
            </w:tcBorders>
            <w:vAlign w:val="center"/>
          </w:tcPr>
          <w:p w:rsidR="002D1343" w:rsidRPr="001A6A92" w:rsidRDefault="002D1343" w:rsidP="000C4154">
            <w:pPr>
              <w:spacing w:line="280" w:lineRule="exact"/>
              <w:jc w:val="center"/>
              <w:rPr>
                <w:sz w:val="21"/>
                <w:szCs w:val="21"/>
              </w:rPr>
            </w:pPr>
          </w:p>
        </w:tc>
        <w:tc>
          <w:tcPr>
            <w:tcW w:w="850" w:type="dxa"/>
            <w:gridSpan w:val="2"/>
            <w:tcBorders>
              <w:tl2br w:val="nil"/>
              <w:tr2bl w:val="nil"/>
            </w:tcBorders>
            <w:vAlign w:val="center"/>
          </w:tcPr>
          <w:p w:rsidR="002D1343" w:rsidRPr="001A6A92" w:rsidRDefault="002D1343" w:rsidP="00555C29">
            <w:pPr>
              <w:jc w:val="center"/>
              <w:rPr>
                <w:spacing w:val="2"/>
                <w:sz w:val="21"/>
                <w:szCs w:val="21"/>
              </w:rPr>
            </w:pPr>
            <w:r w:rsidRPr="001A6A92">
              <w:rPr>
                <w:rFonts w:hint="eastAsia"/>
                <w:spacing w:val="2"/>
                <w:sz w:val="21"/>
                <w:szCs w:val="21"/>
              </w:rPr>
              <w:t>0.168</w:t>
            </w:r>
            <w:r w:rsidR="00555C29" w:rsidRPr="001A6A92">
              <w:rPr>
                <w:rFonts w:hint="eastAsia"/>
                <w:spacing w:val="2"/>
                <w:sz w:val="21"/>
                <w:szCs w:val="21"/>
              </w:rPr>
              <w:t>t/a</w:t>
            </w:r>
          </w:p>
        </w:tc>
        <w:tc>
          <w:tcPr>
            <w:tcW w:w="851" w:type="dxa"/>
            <w:tcBorders>
              <w:tl2br w:val="nil"/>
              <w:tr2bl w:val="nil"/>
            </w:tcBorders>
            <w:vAlign w:val="center"/>
          </w:tcPr>
          <w:p w:rsidR="002D1343" w:rsidRPr="001A6A92" w:rsidRDefault="002D1343" w:rsidP="000C4154">
            <w:pPr>
              <w:jc w:val="center"/>
              <w:rPr>
                <w:spacing w:val="2"/>
                <w:sz w:val="21"/>
                <w:szCs w:val="21"/>
              </w:rPr>
            </w:pPr>
            <w:r w:rsidRPr="001A6A92">
              <w:rPr>
                <w:rFonts w:hint="eastAsia"/>
                <w:spacing w:val="2"/>
                <w:sz w:val="21"/>
                <w:szCs w:val="21"/>
              </w:rPr>
              <w:t>7.3</w:t>
            </w:r>
            <w:r w:rsidRPr="001A6A92">
              <w:rPr>
                <w:rFonts w:hint="eastAsia"/>
                <w:sz w:val="21"/>
                <w:szCs w:val="21"/>
              </w:rPr>
              <w:t>mg/m</w:t>
            </w:r>
            <w:r w:rsidRPr="001A6A92">
              <w:rPr>
                <w:rFonts w:hint="eastAsia"/>
                <w:sz w:val="21"/>
                <w:szCs w:val="21"/>
                <w:vertAlign w:val="superscript"/>
              </w:rPr>
              <w:t>3</w:t>
            </w:r>
          </w:p>
        </w:tc>
        <w:tc>
          <w:tcPr>
            <w:tcW w:w="2693" w:type="dxa"/>
            <w:vMerge w:val="restart"/>
            <w:tcBorders>
              <w:tl2br w:val="nil"/>
              <w:tr2bl w:val="nil"/>
            </w:tcBorders>
            <w:vAlign w:val="center"/>
          </w:tcPr>
          <w:p w:rsidR="002D1343" w:rsidRPr="001A6A92" w:rsidRDefault="002D1343" w:rsidP="000C4154">
            <w:pPr>
              <w:spacing w:line="280" w:lineRule="exact"/>
              <w:jc w:val="center"/>
              <w:rPr>
                <w:sz w:val="21"/>
                <w:szCs w:val="21"/>
              </w:rPr>
            </w:pPr>
            <w:r w:rsidRPr="001A6A92">
              <w:rPr>
                <w:rFonts w:hint="eastAsia"/>
                <w:sz w:val="21"/>
                <w:szCs w:val="21"/>
              </w:rPr>
              <w:t>燃料采用清洁能源液化石油气，食堂油烟采用静电式油烟净化器进行处理后楼顶排放。油烟处理效率</w:t>
            </w:r>
            <w:r w:rsidRPr="001A6A92">
              <w:rPr>
                <w:rFonts w:hint="eastAsia"/>
                <w:sz w:val="21"/>
                <w:szCs w:val="21"/>
              </w:rPr>
              <w:t xml:space="preserve"> 95%</w:t>
            </w:r>
            <w:r w:rsidRPr="001A6A92">
              <w:rPr>
                <w:rFonts w:hint="eastAsia"/>
                <w:sz w:val="21"/>
                <w:szCs w:val="21"/>
              </w:rPr>
              <w:t>，非甲烷总烃处理效率</w:t>
            </w:r>
            <w:r w:rsidRPr="001A6A92">
              <w:rPr>
                <w:rFonts w:hint="eastAsia"/>
                <w:sz w:val="21"/>
                <w:szCs w:val="21"/>
              </w:rPr>
              <w:t xml:space="preserve"> 60%</w:t>
            </w:r>
          </w:p>
        </w:tc>
        <w:tc>
          <w:tcPr>
            <w:tcW w:w="768" w:type="dxa"/>
            <w:tcBorders>
              <w:tl2br w:val="nil"/>
              <w:tr2bl w:val="nil"/>
            </w:tcBorders>
            <w:vAlign w:val="center"/>
          </w:tcPr>
          <w:p w:rsidR="002D1343" w:rsidRPr="001A6A92" w:rsidRDefault="002D1343" w:rsidP="00555C29">
            <w:pPr>
              <w:jc w:val="center"/>
              <w:rPr>
                <w:spacing w:val="2"/>
                <w:sz w:val="21"/>
                <w:szCs w:val="21"/>
              </w:rPr>
            </w:pPr>
            <w:r w:rsidRPr="001A6A92">
              <w:rPr>
                <w:rFonts w:hint="eastAsia"/>
                <w:spacing w:val="2"/>
                <w:sz w:val="21"/>
                <w:szCs w:val="21"/>
              </w:rPr>
              <w:t>0.</w:t>
            </w:r>
            <w:r w:rsidR="00555C29">
              <w:rPr>
                <w:rFonts w:hint="eastAsia"/>
                <w:spacing w:val="2"/>
                <w:sz w:val="21"/>
                <w:szCs w:val="21"/>
              </w:rPr>
              <w:t>0085</w:t>
            </w:r>
            <w:r w:rsidRPr="001A6A92">
              <w:rPr>
                <w:rFonts w:hint="eastAsia"/>
                <w:spacing w:val="2"/>
                <w:sz w:val="21"/>
                <w:szCs w:val="21"/>
              </w:rPr>
              <w:t>t/a</w:t>
            </w:r>
          </w:p>
        </w:tc>
        <w:tc>
          <w:tcPr>
            <w:tcW w:w="769" w:type="dxa"/>
            <w:gridSpan w:val="2"/>
            <w:tcBorders>
              <w:tl2br w:val="nil"/>
              <w:tr2bl w:val="nil"/>
            </w:tcBorders>
            <w:vAlign w:val="center"/>
          </w:tcPr>
          <w:p w:rsidR="002D1343" w:rsidRPr="001A6A92" w:rsidRDefault="00555C29" w:rsidP="00555C29">
            <w:pPr>
              <w:jc w:val="center"/>
              <w:rPr>
                <w:spacing w:val="2"/>
                <w:sz w:val="21"/>
                <w:szCs w:val="21"/>
              </w:rPr>
            </w:pPr>
            <w:r>
              <w:rPr>
                <w:rFonts w:hint="eastAsia"/>
                <w:spacing w:val="2"/>
                <w:sz w:val="21"/>
                <w:szCs w:val="21"/>
              </w:rPr>
              <w:t>0.37</w:t>
            </w:r>
            <w:r w:rsidRPr="001A6A92">
              <w:rPr>
                <w:rFonts w:hint="eastAsia"/>
                <w:sz w:val="21"/>
                <w:szCs w:val="21"/>
              </w:rPr>
              <w:t xml:space="preserve"> mg/m</w:t>
            </w:r>
            <w:r w:rsidRPr="001A6A92">
              <w:rPr>
                <w:rFonts w:hint="eastAsia"/>
                <w:sz w:val="21"/>
                <w:szCs w:val="21"/>
                <w:vertAlign w:val="superscript"/>
              </w:rPr>
              <w:t>3</w:t>
            </w:r>
          </w:p>
        </w:tc>
        <w:tc>
          <w:tcPr>
            <w:tcW w:w="607" w:type="dxa"/>
            <w:tcBorders>
              <w:tl2br w:val="nil"/>
              <w:tr2bl w:val="nil"/>
            </w:tcBorders>
            <w:vAlign w:val="center"/>
          </w:tcPr>
          <w:p w:rsidR="002D1343" w:rsidRDefault="002D1343" w:rsidP="000C4154">
            <w:pPr>
              <w:spacing w:line="280" w:lineRule="exact"/>
              <w:jc w:val="center"/>
              <w:rPr>
                <w:sz w:val="21"/>
                <w:szCs w:val="21"/>
              </w:rPr>
            </w:pPr>
          </w:p>
        </w:tc>
      </w:tr>
      <w:tr w:rsidR="002D1343" w:rsidTr="000C4154">
        <w:trPr>
          <w:jc w:val="center"/>
        </w:trPr>
        <w:tc>
          <w:tcPr>
            <w:tcW w:w="306" w:type="dxa"/>
            <w:vMerge/>
            <w:tcBorders>
              <w:tl2br w:val="nil"/>
              <w:tr2bl w:val="nil"/>
            </w:tcBorders>
            <w:vAlign w:val="center"/>
          </w:tcPr>
          <w:p w:rsidR="002D1343" w:rsidRDefault="002D1343" w:rsidP="000C4154">
            <w:pPr>
              <w:spacing w:line="280" w:lineRule="exact"/>
              <w:jc w:val="center"/>
              <w:rPr>
                <w:color w:val="000000"/>
                <w:sz w:val="21"/>
                <w:szCs w:val="21"/>
              </w:rPr>
            </w:pPr>
          </w:p>
        </w:tc>
        <w:tc>
          <w:tcPr>
            <w:tcW w:w="709" w:type="dxa"/>
            <w:vMerge/>
            <w:tcBorders>
              <w:tl2br w:val="nil"/>
              <w:tr2bl w:val="nil"/>
            </w:tcBorders>
            <w:vAlign w:val="center"/>
          </w:tcPr>
          <w:p w:rsidR="002D1343" w:rsidRPr="001A6A92" w:rsidRDefault="002D1343" w:rsidP="000C4154">
            <w:pPr>
              <w:spacing w:line="280" w:lineRule="exact"/>
              <w:jc w:val="center"/>
              <w:rPr>
                <w:sz w:val="21"/>
                <w:szCs w:val="21"/>
              </w:rPr>
            </w:pPr>
          </w:p>
        </w:tc>
        <w:tc>
          <w:tcPr>
            <w:tcW w:w="709" w:type="dxa"/>
            <w:tcBorders>
              <w:tl2br w:val="nil"/>
              <w:tr2bl w:val="nil"/>
            </w:tcBorders>
            <w:vAlign w:val="center"/>
          </w:tcPr>
          <w:p w:rsidR="002D1343" w:rsidRPr="001A6A92" w:rsidRDefault="002D1343" w:rsidP="000C4154">
            <w:pPr>
              <w:jc w:val="center"/>
              <w:rPr>
                <w:spacing w:val="2"/>
                <w:sz w:val="21"/>
                <w:szCs w:val="21"/>
              </w:rPr>
            </w:pPr>
            <w:r w:rsidRPr="001A6A92">
              <w:rPr>
                <w:rFonts w:hint="eastAsia"/>
                <w:spacing w:val="2"/>
                <w:sz w:val="21"/>
                <w:szCs w:val="21"/>
              </w:rPr>
              <w:t>非甲烷总烃</w:t>
            </w:r>
          </w:p>
        </w:tc>
        <w:tc>
          <w:tcPr>
            <w:tcW w:w="961" w:type="dxa"/>
            <w:tcBorders>
              <w:tl2br w:val="nil"/>
              <w:tr2bl w:val="nil"/>
            </w:tcBorders>
            <w:vAlign w:val="center"/>
          </w:tcPr>
          <w:p w:rsidR="002D1343" w:rsidRPr="001A6A92" w:rsidRDefault="002D1343" w:rsidP="000C4154">
            <w:pPr>
              <w:spacing w:line="280" w:lineRule="exact"/>
              <w:jc w:val="center"/>
              <w:rPr>
                <w:sz w:val="21"/>
                <w:szCs w:val="21"/>
              </w:rPr>
            </w:pPr>
          </w:p>
        </w:tc>
        <w:tc>
          <w:tcPr>
            <w:tcW w:w="850" w:type="dxa"/>
            <w:gridSpan w:val="2"/>
            <w:tcBorders>
              <w:tl2br w:val="nil"/>
              <w:tr2bl w:val="nil"/>
            </w:tcBorders>
            <w:vAlign w:val="center"/>
          </w:tcPr>
          <w:p w:rsidR="002D1343" w:rsidRPr="001A6A92" w:rsidRDefault="002D1343" w:rsidP="00555C29">
            <w:pPr>
              <w:jc w:val="center"/>
              <w:rPr>
                <w:spacing w:val="2"/>
                <w:sz w:val="21"/>
                <w:szCs w:val="21"/>
              </w:rPr>
            </w:pPr>
            <w:r w:rsidRPr="001A6A92">
              <w:rPr>
                <w:rFonts w:hint="eastAsia"/>
                <w:spacing w:val="2"/>
                <w:sz w:val="21"/>
                <w:szCs w:val="21"/>
              </w:rPr>
              <w:t>0.</w:t>
            </w:r>
            <w:r w:rsidR="00555C29">
              <w:rPr>
                <w:rFonts w:hint="eastAsia"/>
                <w:spacing w:val="2"/>
                <w:sz w:val="21"/>
                <w:szCs w:val="21"/>
              </w:rPr>
              <w:t>308</w:t>
            </w:r>
            <w:r w:rsidRPr="001A6A92">
              <w:rPr>
                <w:rFonts w:hint="eastAsia"/>
                <w:spacing w:val="2"/>
                <w:sz w:val="21"/>
                <w:szCs w:val="21"/>
              </w:rPr>
              <w:t xml:space="preserve">t/a </w:t>
            </w:r>
          </w:p>
        </w:tc>
        <w:tc>
          <w:tcPr>
            <w:tcW w:w="851" w:type="dxa"/>
            <w:tcBorders>
              <w:tl2br w:val="nil"/>
              <w:tr2bl w:val="nil"/>
            </w:tcBorders>
            <w:vAlign w:val="center"/>
          </w:tcPr>
          <w:p w:rsidR="002D1343" w:rsidRPr="001A6A92" w:rsidRDefault="00555C29" w:rsidP="000C4154">
            <w:pPr>
              <w:jc w:val="center"/>
              <w:rPr>
                <w:spacing w:val="2"/>
                <w:sz w:val="21"/>
                <w:szCs w:val="21"/>
              </w:rPr>
            </w:pPr>
            <w:r>
              <w:rPr>
                <w:rFonts w:hint="eastAsia"/>
                <w:spacing w:val="2"/>
                <w:sz w:val="21"/>
                <w:szCs w:val="21"/>
              </w:rPr>
              <w:t>13.3</w:t>
            </w:r>
            <w:r w:rsidR="002D1343" w:rsidRPr="001A6A92">
              <w:rPr>
                <w:rFonts w:hint="eastAsia"/>
                <w:sz w:val="21"/>
                <w:szCs w:val="21"/>
              </w:rPr>
              <w:t>mg/m</w:t>
            </w:r>
            <w:r w:rsidR="002D1343" w:rsidRPr="001A6A92">
              <w:rPr>
                <w:rFonts w:hint="eastAsia"/>
                <w:sz w:val="21"/>
                <w:szCs w:val="21"/>
                <w:vertAlign w:val="superscript"/>
              </w:rPr>
              <w:t>3</w:t>
            </w:r>
          </w:p>
        </w:tc>
        <w:tc>
          <w:tcPr>
            <w:tcW w:w="2693" w:type="dxa"/>
            <w:vMerge/>
            <w:tcBorders>
              <w:tl2br w:val="nil"/>
              <w:tr2bl w:val="nil"/>
            </w:tcBorders>
            <w:vAlign w:val="center"/>
          </w:tcPr>
          <w:p w:rsidR="002D1343" w:rsidRPr="001A6A92" w:rsidRDefault="002D1343" w:rsidP="000C4154">
            <w:pPr>
              <w:spacing w:line="280" w:lineRule="exact"/>
              <w:jc w:val="center"/>
              <w:rPr>
                <w:sz w:val="21"/>
                <w:szCs w:val="21"/>
              </w:rPr>
            </w:pPr>
          </w:p>
        </w:tc>
        <w:tc>
          <w:tcPr>
            <w:tcW w:w="768" w:type="dxa"/>
            <w:tcBorders>
              <w:tl2br w:val="nil"/>
              <w:tr2bl w:val="nil"/>
            </w:tcBorders>
            <w:vAlign w:val="center"/>
          </w:tcPr>
          <w:p w:rsidR="002D1343" w:rsidRPr="001A6A92" w:rsidRDefault="002D1343" w:rsidP="000C4154">
            <w:pPr>
              <w:jc w:val="center"/>
              <w:rPr>
                <w:spacing w:val="2"/>
                <w:sz w:val="21"/>
                <w:szCs w:val="21"/>
              </w:rPr>
            </w:pPr>
            <w:r w:rsidRPr="001A6A92">
              <w:rPr>
                <w:rFonts w:hint="eastAsia"/>
                <w:spacing w:val="2"/>
                <w:sz w:val="21"/>
                <w:szCs w:val="21"/>
              </w:rPr>
              <w:t>0.185t/a</w:t>
            </w:r>
          </w:p>
        </w:tc>
        <w:tc>
          <w:tcPr>
            <w:tcW w:w="769" w:type="dxa"/>
            <w:gridSpan w:val="2"/>
            <w:tcBorders>
              <w:tl2br w:val="nil"/>
              <w:tr2bl w:val="nil"/>
            </w:tcBorders>
            <w:vAlign w:val="center"/>
          </w:tcPr>
          <w:p w:rsidR="002D1343" w:rsidRPr="001A6A92" w:rsidRDefault="002D1343" w:rsidP="000C4154">
            <w:pPr>
              <w:jc w:val="center"/>
              <w:rPr>
                <w:spacing w:val="2"/>
                <w:sz w:val="21"/>
                <w:szCs w:val="21"/>
              </w:rPr>
            </w:pPr>
            <w:r w:rsidRPr="001A6A92">
              <w:rPr>
                <w:rFonts w:hint="eastAsia"/>
                <w:spacing w:val="2"/>
                <w:sz w:val="21"/>
                <w:szCs w:val="21"/>
              </w:rPr>
              <w:t>8</w:t>
            </w:r>
            <w:r w:rsidRPr="001A6A92">
              <w:rPr>
                <w:rFonts w:hint="eastAsia"/>
                <w:sz w:val="21"/>
                <w:szCs w:val="21"/>
              </w:rPr>
              <w:t>mg/m</w:t>
            </w:r>
            <w:r w:rsidRPr="001A6A92">
              <w:rPr>
                <w:rFonts w:hint="eastAsia"/>
                <w:sz w:val="21"/>
                <w:szCs w:val="21"/>
                <w:vertAlign w:val="superscript"/>
              </w:rPr>
              <w:t>3</w:t>
            </w:r>
          </w:p>
        </w:tc>
        <w:tc>
          <w:tcPr>
            <w:tcW w:w="607" w:type="dxa"/>
            <w:tcBorders>
              <w:tl2br w:val="nil"/>
              <w:tr2bl w:val="nil"/>
            </w:tcBorders>
            <w:vAlign w:val="center"/>
          </w:tcPr>
          <w:p w:rsidR="002D1343" w:rsidRDefault="002D1343" w:rsidP="000C4154">
            <w:pPr>
              <w:spacing w:line="280" w:lineRule="exact"/>
              <w:jc w:val="center"/>
              <w:rPr>
                <w:sz w:val="21"/>
                <w:szCs w:val="21"/>
              </w:rPr>
            </w:pPr>
          </w:p>
        </w:tc>
      </w:tr>
      <w:tr w:rsidR="002D1343" w:rsidTr="000C4154">
        <w:trPr>
          <w:jc w:val="center"/>
        </w:trPr>
        <w:tc>
          <w:tcPr>
            <w:tcW w:w="306" w:type="dxa"/>
            <w:tcBorders>
              <w:tl2br w:val="nil"/>
              <w:tr2bl w:val="nil"/>
            </w:tcBorders>
            <w:vAlign w:val="center"/>
          </w:tcPr>
          <w:p w:rsidR="002D1343" w:rsidRDefault="002D1343" w:rsidP="000C4154">
            <w:pPr>
              <w:spacing w:line="280" w:lineRule="exact"/>
              <w:jc w:val="center"/>
              <w:rPr>
                <w:color w:val="000000"/>
                <w:sz w:val="21"/>
                <w:szCs w:val="21"/>
              </w:rPr>
            </w:pPr>
            <w:r>
              <w:rPr>
                <w:rFonts w:hint="eastAsia"/>
                <w:color w:val="000000"/>
                <w:sz w:val="21"/>
                <w:szCs w:val="21"/>
              </w:rPr>
              <w:t>4</w:t>
            </w:r>
          </w:p>
        </w:tc>
        <w:tc>
          <w:tcPr>
            <w:tcW w:w="709" w:type="dxa"/>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运输扬尘</w:t>
            </w:r>
          </w:p>
        </w:tc>
        <w:tc>
          <w:tcPr>
            <w:tcW w:w="709" w:type="dxa"/>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扬尘</w:t>
            </w:r>
          </w:p>
        </w:tc>
        <w:tc>
          <w:tcPr>
            <w:tcW w:w="961" w:type="dxa"/>
            <w:tcBorders>
              <w:tl2br w:val="nil"/>
              <w:tr2bl w:val="nil"/>
            </w:tcBorders>
            <w:vAlign w:val="center"/>
          </w:tcPr>
          <w:p w:rsidR="002D1343" w:rsidRDefault="002D1343" w:rsidP="000C4154">
            <w:pPr>
              <w:spacing w:line="280" w:lineRule="exact"/>
              <w:jc w:val="center"/>
              <w:rPr>
                <w:sz w:val="21"/>
                <w:szCs w:val="21"/>
              </w:rPr>
            </w:pPr>
            <w:r>
              <w:rPr>
                <w:sz w:val="21"/>
                <w:szCs w:val="21"/>
              </w:rPr>
              <w:t>运输扬尘</w:t>
            </w:r>
          </w:p>
        </w:tc>
        <w:tc>
          <w:tcPr>
            <w:tcW w:w="1701" w:type="dxa"/>
            <w:gridSpan w:val="3"/>
            <w:tcBorders>
              <w:tl2br w:val="nil"/>
              <w:tr2bl w:val="nil"/>
            </w:tcBorders>
            <w:vAlign w:val="center"/>
          </w:tcPr>
          <w:p w:rsidR="002D1343" w:rsidRDefault="002D1343" w:rsidP="000C4154">
            <w:pPr>
              <w:spacing w:line="280" w:lineRule="exact"/>
              <w:jc w:val="center"/>
              <w:rPr>
                <w:sz w:val="21"/>
                <w:szCs w:val="21"/>
              </w:rPr>
            </w:pPr>
            <w:r>
              <w:rPr>
                <w:sz w:val="21"/>
                <w:szCs w:val="21"/>
              </w:rPr>
              <w:t>无组织</w:t>
            </w:r>
          </w:p>
        </w:tc>
        <w:tc>
          <w:tcPr>
            <w:tcW w:w="2693" w:type="dxa"/>
            <w:tcBorders>
              <w:tl2br w:val="nil"/>
              <w:tr2bl w:val="nil"/>
            </w:tcBorders>
            <w:vAlign w:val="center"/>
          </w:tcPr>
          <w:p w:rsidR="002D1343" w:rsidRDefault="002D1343" w:rsidP="000C4154">
            <w:pPr>
              <w:spacing w:line="280" w:lineRule="exact"/>
              <w:jc w:val="center"/>
              <w:rPr>
                <w:sz w:val="21"/>
                <w:szCs w:val="21"/>
              </w:rPr>
            </w:pPr>
            <w:r>
              <w:rPr>
                <w:sz w:val="21"/>
                <w:szCs w:val="21"/>
              </w:rPr>
              <w:t>在磅房处设车辆冲洗装置，运输道路设专人清扫路面，并配备洒水车</w:t>
            </w:r>
            <w:r>
              <w:rPr>
                <w:sz w:val="21"/>
                <w:szCs w:val="21"/>
              </w:rPr>
              <w:t>1</w:t>
            </w:r>
            <w:r>
              <w:rPr>
                <w:sz w:val="21"/>
                <w:szCs w:val="21"/>
              </w:rPr>
              <w:t>辆，对道路定时洒水。装车时煤炭压实表面洒水并加盖篷布，防止物料飞扬、抛洒，在煤炭运输时严格运煤车辆管理，不超载。</w:t>
            </w:r>
          </w:p>
        </w:tc>
        <w:tc>
          <w:tcPr>
            <w:tcW w:w="1537" w:type="dxa"/>
            <w:gridSpan w:val="3"/>
            <w:tcBorders>
              <w:tl2br w:val="nil"/>
              <w:tr2bl w:val="nil"/>
            </w:tcBorders>
            <w:vAlign w:val="center"/>
          </w:tcPr>
          <w:p w:rsidR="002D1343" w:rsidRDefault="002D1343" w:rsidP="000C4154">
            <w:pPr>
              <w:spacing w:line="280" w:lineRule="exact"/>
              <w:jc w:val="center"/>
              <w:rPr>
                <w:sz w:val="21"/>
                <w:szCs w:val="21"/>
              </w:rPr>
            </w:pPr>
            <w:r>
              <w:rPr>
                <w:sz w:val="21"/>
                <w:szCs w:val="21"/>
              </w:rPr>
              <w:t>无组织，扬尘量很少</w:t>
            </w:r>
          </w:p>
        </w:tc>
        <w:tc>
          <w:tcPr>
            <w:tcW w:w="607" w:type="dxa"/>
            <w:tcBorders>
              <w:tl2br w:val="nil"/>
              <w:tr2bl w:val="nil"/>
            </w:tcBorders>
            <w:vAlign w:val="center"/>
          </w:tcPr>
          <w:p w:rsidR="002D1343" w:rsidRDefault="002D1343" w:rsidP="000C4154">
            <w:pPr>
              <w:spacing w:line="280" w:lineRule="exact"/>
              <w:jc w:val="center"/>
              <w:rPr>
                <w:sz w:val="21"/>
                <w:szCs w:val="21"/>
              </w:rPr>
            </w:pPr>
            <w:r>
              <w:rPr>
                <w:sz w:val="21"/>
                <w:szCs w:val="21"/>
              </w:rPr>
              <w:t>无组织</w:t>
            </w:r>
          </w:p>
        </w:tc>
      </w:tr>
    </w:tbl>
    <w:p w:rsidR="002D1343" w:rsidRPr="005934E4" w:rsidRDefault="002D1343" w:rsidP="002D1343">
      <w:pPr>
        <w:adjustRightInd w:val="0"/>
        <w:snapToGrid w:val="0"/>
        <w:spacing w:line="520" w:lineRule="exact"/>
        <w:ind w:firstLine="488"/>
        <w:rPr>
          <w:spacing w:val="2"/>
          <w:sz w:val="24"/>
        </w:rPr>
      </w:pPr>
      <w:r w:rsidRPr="005934E4">
        <w:rPr>
          <w:spacing w:val="2"/>
          <w:sz w:val="24"/>
        </w:rPr>
        <w:t>2</w:t>
      </w:r>
      <w:r w:rsidRPr="005934E4">
        <w:rPr>
          <w:spacing w:val="2"/>
          <w:sz w:val="24"/>
        </w:rPr>
        <w:t>、水污染源及治理措施</w:t>
      </w:r>
    </w:p>
    <w:p w:rsidR="002D1343" w:rsidRPr="005934E4" w:rsidRDefault="002D1343" w:rsidP="002D1343">
      <w:pPr>
        <w:adjustRightInd w:val="0"/>
        <w:snapToGrid w:val="0"/>
        <w:spacing w:line="520" w:lineRule="exact"/>
        <w:ind w:firstLineChars="200" w:firstLine="488"/>
        <w:rPr>
          <w:b/>
          <w:i/>
          <w:spacing w:val="2"/>
          <w:sz w:val="24"/>
          <w:u w:val="single"/>
        </w:rPr>
      </w:pPr>
      <w:r w:rsidRPr="005934E4">
        <w:rPr>
          <w:spacing w:val="2"/>
          <w:sz w:val="24"/>
        </w:rPr>
        <w:t>升级改造后水污染源包括矿井排水，工业场地生产、生活污水及初期雨水。</w:t>
      </w:r>
    </w:p>
    <w:p w:rsidR="002D1343" w:rsidRPr="005934E4" w:rsidRDefault="002D1343" w:rsidP="002D1343">
      <w:pPr>
        <w:adjustRightInd w:val="0"/>
        <w:snapToGrid w:val="0"/>
        <w:spacing w:line="520" w:lineRule="exact"/>
        <w:ind w:firstLineChars="200" w:firstLine="488"/>
        <w:rPr>
          <w:spacing w:val="2"/>
          <w:sz w:val="24"/>
        </w:rPr>
      </w:pPr>
      <w:r w:rsidRPr="005934E4">
        <w:rPr>
          <w:spacing w:val="2"/>
          <w:sz w:val="24"/>
        </w:rPr>
        <w:t>（</w:t>
      </w:r>
      <w:r w:rsidRPr="005934E4">
        <w:rPr>
          <w:spacing w:val="2"/>
          <w:sz w:val="24"/>
        </w:rPr>
        <w:t>1</w:t>
      </w:r>
      <w:r w:rsidRPr="005934E4">
        <w:rPr>
          <w:spacing w:val="2"/>
          <w:sz w:val="24"/>
        </w:rPr>
        <w:t>）矿井排水</w:t>
      </w:r>
    </w:p>
    <w:p w:rsidR="002D1343" w:rsidRPr="005934E4" w:rsidRDefault="001E0A2A" w:rsidP="001E0A2A">
      <w:pPr>
        <w:adjustRightInd w:val="0"/>
        <w:snapToGrid w:val="0"/>
        <w:spacing w:line="520" w:lineRule="exact"/>
        <w:ind w:firstLineChars="200" w:firstLine="488"/>
        <w:rPr>
          <w:spacing w:val="2"/>
          <w:sz w:val="24"/>
        </w:rPr>
      </w:pPr>
      <w:r w:rsidRPr="005934E4">
        <w:rPr>
          <w:spacing w:val="2"/>
          <w:sz w:val="24"/>
        </w:rPr>
        <w:t>根据设计，升级改造后</w:t>
      </w:r>
      <w:r w:rsidRPr="007325F2">
        <w:rPr>
          <w:b/>
          <w:bCs/>
          <w:i/>
          <w:spacing w:val="2"/>
          <w:sz w:val="24"/>
          <w:u w:val="single"/>
        </w:rPr>
        <w:t>正常涌水量为</w:t>
      </w:r>
      <w:r w:rsidRPr="007325F2">
        <w:rPr>
          <w:b/>
          <w:bCs/>
          <w:i/>
          <w:spacing w:val="2"/>
          <w:sz w:val="24"/>
          <w:u w:val="single"/>
        </w:rPr>
        <w:t>194m</w:t>
      </w:r>
      <w:r w:rsidRPr="007325F2">
        <w:rPr>
          <w:b/>
          <w:bCs/>
          <w:i/>
          <w:spacing w:val="2"/>
          <w:sz w:val="24"/>
          <w:u w:val="single"/>
          <w:vertAlign w:val="superscript"/>
        </w:rPr>
        <w:t>3</w:t>
      </w:r>
      <w:r w:rsidRPr="007325F2">
        <w:rPr>
          <w:b/>
          <w:bCs/>
          <w:i/>
          <w:spacing w:val="2"/>
          <w:sz w:val="24"/>
          <w:u w:val="single"/>
        </w:rPr>
        <w:t>/h</w:t>
      </w:r>
      <w:r w:rsidRPr="007325F2">
        <w:rPr>
          <w:b/>
          <w:i/>
          <w:spacing w:val="2"/>
          <w:sz w:val="24"/>
          <w:u w:val="single"/>
        </w:rPr>
        <w:t>（</w:t>
      </w:r>
      <w:r w:rsidRPr="007325F2">
        <w:rPr>
          <w:b/>
          <w:i/>
          <w:spacing w:val="2"/>
          <w:sz w:val="24"/>
          <w:u w:val="single"/>
        </w:rPr>
        <w:t>4656m</w:t>
      </w:r>
      <w:r w:rsidRPr="007325F2">
        <w:rPr>
          <w:b/>
          <w:i/>
          <w:spacing w:val="2"/>
          <w:sz w:val="24"/>
          <w:u w:val="single"/>
          <w:vertAlign w:val="superscript"/>
        </w:rPr>
        <w:t>3</w:t>
      </w:r>
      <w:r w:rsidRPr="007325F2">
        <w:rPr>
          <w:b/>
          <w:i/>
          <w:spacing w:val="2"/>
          <w:sz w:val="24"/>
          <w:u w:val="single"/>
        </w:rPr>
        <w:t>/d</w:t>
      </w:r>
      <w:r w:rsidRPr="007325F2">
        <w:rPr>
          <w:b/>
          <w:i/>
          <w:spacing w:val="2"/>
          <w:sz w:val="24"/>
          <w:u w:val="single"/>
        </w:rPr>
        <w:t>）</w:t>
      </w:r>
      <w:r w:rsidRPr="00C11D9A">
        <w:rPr>
          <w:b/>
          <w:i/>
          <w:spacing w:val="2"/>
          <w:sz w:val="24"/>
          <w:u w:val="single"/>
        </w:rPr>
        <w:t>，</w:t>
      </w:r>
      <w:r>
        <w:rPr>
          <w:rFonts w:hint="eastAsia"/>
          <w:b/>
          <w:i/>
          <w:spacing w:val="2"/>
          <w:sz w:val="24"/>
          <w:u w:val="single"/>
        </w:rPr>
        <w:t>本次环评监测现有工程矿井水水质见表</w:t>
      </w:r>
      <w:r>
        <w:rPr>
          <w:rFonts w:hint="eastAsia"/>
          <w:b/>
          <w:i/>
          <w:spacing w:val="2"/>
          <w:sz w:val="24"/>
          <w:u w:val="single"/>
        </w:rPr>
        <w:t>3.1-4</w:t>
      </w:r>
      <w:r>
        <w:rPr>
          <w:rFonts w:hint="eastAsia"/>
          <w:b/>
          <w:i/>
          <w:spacing w:val="2"/>
          <w:sz w:val="24"/>
          <w:u w:val="single"/>
        </w:rPr>
        <w:t>，主要污染物为</w:t>
      </w:r>
      <w:r>
        <w:rPr>
          <w:rFonts w:hint="eastAsia"/>
          <w:b/>
          <w:i/>
          <w:spacing w:val="2"/>
          <w:sz w:val="24"/>
          <w:u w:val="single"/>
        </w:rPr>
        <w:t>COD</w:t>
      </w:r>
      <w:r>
        <w:rPr>
          <w:rFonts w:hint="eastAsia"/>
          <w:b/>
          <w:i/>
          <w:spacing w:val="2"/>
          <w:sz w:val="24"/>
          <w:u w:val="single"/>
        </w:rPr>
        <w:t>、</w:t>
      </w:r>
      <w:r>
        <w:rPr>
          <w:rFonts w:hint="eastAsia"/>
          <w:b/>
          <w:i/>
          <w:spacing w:val="2"/>
          <w:sz w:val="24"/>
          <w:u w:val="single"/>
        </w:rPr>
        <w:t>SS</w:t>
      </w:r>
      <w:r>
        <w:rPr>
          <w:rFonts w:hint="eastAsia"/>
          <w:b/>
          <w:i/>
          <w:spacing w:val="2"/>
          <w:sz w:val="24"/>
          <w:u w:val="single"/>
        </w:rPr>
        <w:t>、氨氮等，浓度分别为</w:t>
      </w:r>
      <w:r w:rsidRPr="000A5E83">
        <w:rPr>
          <w:b/>
          <w:i/>
          <w:spacing w:val="2"/>
          <w:sz w:val="24"/>
          <w:u w:val="single"/>
        </w:rPr>
        <w:t>45.2mg/L</w:t>
      </w:r>
      <w:r>
        <w:rPr>
          <w:rFonts w:hint="eastAsia"/>
          <w:b/>
          <w:i/>
          <w:spacing w:val="2"/>
          <w:sz w:val="24"/>
          <w:u w:val="single"/>
        </w:rPr>
        <w:t>、</w:t>
      </w:r>
      <w:r w:rsidRPr="000A5E83">
        <w:rPr>
          <w:b/>
          <w:i/>
          <w:spacing w:val="2"/>
          <w:sz w:val="24"/>
          <w:u w:val="single"/>
        </w:rPr>
        <w:t>15.5mg/L</w:t>
      </w:r>
      <w:r>
        <w:rPr>
          <w:rFonts w:hint="eastAsia"/>
          <w:b/>
          <w:i/>
          <w:spacing w:val="2"/>
          <w:sz w:val="24"/>
          <w:u w:val="single"/>
        </w:rPr>
        <w:t>、</w:t>
      </w:r>
      <w:r w:rsidRPr="000A5E83">
        <w:rPr>
          <w:b/>
          <w:i/>
          <w:spacing w:val="2"/>
          <w:sz w:val="24"/>
          <w:u w:val="single"/>
        </w:rPr>
        <w:t>0.523mg/L</w:t>
      </w:r>
      <w:r>
        <w:rPr>
          <w:rFonts w:hint="eastAsia"/>
          <w:b/>
          <w:i/>
          <w:spacing w:val="2"/>
          <w:sz w:val="24"/>
          <w:u w:val="single"/>
        </w:rPr>
        <w:t>，鉴于监测期间处于现有工程技改期间，不能稳定出煤，监测结果可能偏低，为了准确反映达产期矿井水水质，本次评价采用河南省</w:t>
      </w:r>
      <w:r>
        <w:rPr>
          <w:b/>
          <w:i/>
          <w:spacing w:val="2"/>
          <w:sz w:val="24"/>
          <w:u w:val="single"/>
        </w:rPr>
        <w:t>许昌</w:t>
      </w:r>
      <w:r w:rsidRPr="00357118">
        <w:rPr>
          <w:b/>
          <w:i/>
          <w:spacing w:val="2"/>
          <w:sz w:val="24"/>
          <w:u w:val="single"/>
        </w:rPr>
        <w:t>新龙矿业有限责任公司</w:t>
      </w:r>
      <w:r w:rsidRPr="00357118">
        <w:rPr>
          <w:rFonts w:hint="eastAsia"/>
          <w:b/>
          <w:i/>
          <w:spacing w:val="2"/>
          <w:sz w:val="24"/>
          <w:u w:val="single"/>
        </w:rPr>
        <w:t>梁北</w:t>
      </w:r>
      <w:r>
        <w:rPr>
          <w:rFonts w:hint="eastAsia"/>
          <w:b/>
          <w:i/>
          <w:spacing w:val="2"/>
          <w:sz w:val="24"/>
          <w:u w:val="single"/>
        </w:rPr>
        <w:t>煤矿</w:t>
      </w:r>
      <w:r>
        <w:rPr>
          <w:rFonts w:hint="eastAsia"/>
          <w:b/>
          <w:i/>
          <w:spacing w:val="2"/>
          <w:sz w:val="24"/>
          <w:u w:val="single"/>
        </w:rPr>
        <w:t>2021</w:t>
      </w:r>
      <w:r>
        <w:rPr>
          <w:rFonts w:hint="eastAsia"/>
          <w:b/>
          <w:i/>
          <w:spacing w:val="2"/>
          <w:sz w:val="24"/>
          <w:u w:val="single"/>
        </w:rPr>
        <w:t>年</w:t>
      </w:r>
      <w:r>
        <w:rPr>
          <w:rFonts w:hint="eastAsia"/>
          <w:b/>
          <w:i/>
          <w:spacing w:val="2"/>
          <w:sz w:val="24"/>
          <w:u w:val="single"/>
        </w:rPr>
        <w:t>6</w:t>
      </w:r>
      <w:r>
        <w:rPr>
          <w:rFonts w:hint="eastAsia"/>
          <w:b/>
          <w:i/>
          <w:spacing w:val="2"/>
          <w:sz w:val="24"/>
          <w:u w:val="single"/>
        </w:rPr>
        <w:t>月矿井水的验收数据进行类比，</w:t>
      </w:r>
      <w:r w:rsidRPr="00357118">
        <w:rPr>
          <w:rFonts w:hint="eastAsia"/>
          <w:b/>
          <w:i/>
          <w:spacing w:val="2"/>
          <w:sz w:val="24"/>
          <w:u w:val="single"/>
        </w:rPr>
        <w:t>梁北</w:t>
      </w:r>
      <w:r>
        <w:rPr>
          <w:rFonts w:hint="eastAsia"/>
          <w:b/>
          <w:i/>
          <w:spacing w:val="2"/>
          <w:sz w:val="24"/>
          <w:u w:val="single"/>
        </w:rPr>
        <w:t>煤矿位于禹州市梁北镇，与本项目同属平顶山矿区禹州煤田，均开采二</w:t>
      </w:r>
      <w:r>
        <w:rPr>
          <w:rFonts w:hint="eastAsia"/>
          <w:b/>
          <w:i/>
          <w:spacing w:val="2"/>
          <w:sz w:val="24"/>
          <w:u w:val="single"/>
          <w:vertAlign w:val="subscript"/>
        </w:rPr>
        <w:t>1</w:t>
      </w:r>
      <w:r>
        <w:rPr>
          <w:rFonts w:hint="eastAsia"/>
          <w:b/>
          <w:i/>
          <w:spacing w:val="2"/>
          <w:sz w:val="24"/>
          <w:u w:val="single"/>
        </w:rPr>
        <w:t>煤，具有可类比性。根据河南省</w:t>
      </w:r>
      <w:r>
        <w:rPr>
          <w:b/>
          <w:i/>
          <w:spacing w:val="2"/>
          <w:sz w:val="24"/>
          <w:u w:val="single"/>
        </w:rPr>
        <w:t>许昌</w:t>
      </w:r>
      <w:r w:rsidRPr="00357118">
        <w:rPr>
          <w:b/>
          <w:i/>
          <w:spacing w:val="2"/>
          <w:sz w:val="24"/>
          <w:u w:val="single"/>
        </w:rPr>
        <w:t>新龙矿业有限责任公司</w:t>
      </w:r>
      <w:r w:rsidRPr="00357118">
        <w:rPr>
          <w:rFonts w:hint="eastAsia"/>
          <w:b/>
          <w:i/>
          <w:spacing w:val="2"/>
          <w:sz w:val="24"/>
          <w:u w:val="single"/>
        </w:rPr>
        <w:t>梁北</w:t>
      </w:r>
      <w:r>
        <w:rPr>
          <w:rFonts w:hint="eastAsia"/>
          <w:b/>
          <w:i/>
          <w:spacing w:val="2"/>
          <w:sz w:val="24"/>
          <w:u w:val="single"/>
        </w:rPr>
        <w:t>煤矿</w:t>
      </w:r>
      <w:r>
        <w:rPr>
          <w:rFonts w:hint="eastAsia"/>
          <w:b/>
          <w:i/>
          <w:spacing w:val="2"/>
          <w:sz w:val="24"/>
          <w:u w:val="single"/>
        </w:rPr>
        <w:t>2021</w:t>
      </w:r>
      <w:r>
        <w:rPr>
          <w:rFonts w:hint="eastAsia"/>
          <w:b/>
          <w:i/>
          <w:spacing w:val="2"/>
          <w:sz w:val="24"/>
          <w:u w:val="single"/>
        </w:rPr>
        <w:t>年</w:t>
      </w:r>
      <w:r>
        <w:rPr>
          <w:rFonts w:hint="eastAsia"/>
          <w:b/>
          <w:i/>
          <w:spacing w:val="2"/>
          <w:sz w:val="24"/>
          <w:u w:val="single"/>
        </w:rPr>
        <w:t>6</w:t>
      </w:r>
      <w:r>
        <w:rPr>
          <w:rFonts w:hint="eastAsia"/>
          <w:b/>
          <w:i/>
          <w:spacing w:val="2"/>
          <w:sz w:val="24"/>
          <w:u w:val="single"/>
        </w:rPr>
        <w:t>月矿井水的验收数据，梁北煤矿矿井水主要污染物为</w:t>
      </w:r>
      <w:r>
        <w:rPr>
          <w:rFonts w:hint="eastAsia"/>
          <w:b/>
          <w:i/>
          <w:spacing w:val="2"/>
          <w:sz w:val="24"/>
          <w:u w:val="single"/>
        </w:rPr>
        <w:t>COD</w:t>
      </w:r>
      <w:r>
        <w:rPr>
          <w:rFonts w:hint="eastAsia"/>
          <w:b/>
          <w:i/>
          <w:spacing w:val="2"/>
          <w:sz w:val="24"/>
          <w:u w:val="single"/>
        </w:rPr>
        <w:t>、</w:t>
      </w:r>
      <w:r>
        <w:rPr>
          <w:rFonts w:hint="eastAsia"/>
          <w:b/>
          <w:i/>
          <w:spacing w:val="2"/>
          <w:sz w:val="24"/>
          <w:u w:val="single"/>
        </w:rPr>
        <w:t>SS</w:t>
      </w:r>
      <w:r>
        <w:rPr>
          <w:rFonts w:hint="eastAsia"/>
          <w:b/>
          <w:i/>
          <w:spacing w:val="2"/>
          <w:sz w:val="24"/>
          <w:u w:val="single"/>
        </w:rPr>
        <w:t>等，其</w:t>
      </w:r>
      <w:r>
        <w:rPr>
          <w:rFonts w:hint="eastAsia"/>
          <w:b/>
          <w:i/>
          <w:spacing w:val="2"/>
          <w:sz w:val="24"/>
          <w:u w:val="single"/>
        </w:rPr>
        <w:t>COD</w:t>
      </w:r>
      <w:r>
        <w:rPr>
          <w:rFonts w:hint="eastAsia"/>
          <w:b/>
          <w:i/>
          <w:spacing w:val="2"/>
          <w:sz w:val="24"/>
          <w:u w:val="single"/>
        </w:rPr>
        <w:t>、</w:t>
      </w:r>
      <w:r>
        <w:rPr>
          <w:rFonts w:hint="eastAsia"/>
          <w:b/>
          <w:i/>
          <w:spacing w:val="2"/>
          <w:sz w:val="24"/>
          <w:u w:val="single"/>
        </w:rPr>
        <w:t>SS</w:t>
      </w:r>
      <w:r>
        <w:rPr>
          <w:rFonts w:hint="eastAsia"/>
          <w:b/>
          <w:i/>
          <w:spacing w:val="2"/>
          <w:sz w:val="24"/>
          <w:u w:val="single"/>
        </w:rPr>
        <w:t>浓度分别为</w:t>
      </w:r>
      <w:r>
        <w:rPr>
          <w:rFonts w:hint="eastAsia"/>
          <w:b/>
          <w:i/>
          <w:spacing w:val="2"/>
          <w:sz w:val="24"/>
          <w:u w:val="single"/>
        </w:rPr>
        <w:t>39</w:t>
      </w:r>
      <w:r w:rsidRPr="000A5E83">
        <w:rPr>
          <w:b/>
          <w:i/>
          <w:spacing w:val="2"/>
          <w:sz w:val="24"/>
          <w:u w:val="single"/>
        </w:rPr>
        <w:t>mg/L</w:t>
      </w:r>
      <w:r>
        <w:rPr>
          <w:rFonts w:ascii="宋体" w:hAnsi="宋体" w:hint="eastAsia"/>
          <w:b/>
          <w:i/>
          <w:spacing w:val="2"/>
          <w:sz w:val="24"/>
          <w:u w:val="single"/>
        </w:rPr>
        <w:t>～51</w:t>
      </w:r>
      <w:r w:rsidRPr="000A5E83">
        <w:rPr>
          <w:b/>
          <w:i/>
          <w:spacing w:val="2"/>
          <w:sz w:val="24"/>
          <w:u w:val="single"/>
        </w:rPr>
        <w:t>mg/L</w:t>
      </w:r>
      <w:r>
        <w:rPr>
          <w:rFonts w:hint="eastAsia"/>
          <w:b/>
          <w:i/>
          <w:spacing w:val="2"/>
          <w:sz w:val="24"/>
          <w:u w:val="single"/>
        </w:rPr>
        <w:t>、</w:t>
      </w:r>
      <w:r w:rsidRPr="000A5E83">
        <w:rPr>
          <w:b/>
          <w:i/>
          <w:spacing w:val="2"/>
          <w:sz w:val="24"/>
          <w:u w:val="single"/>
        </w:rPr>
        <w:t>1</w:t>
      </w:r>
      <w:r>
        <w:rPr>
          <w:rFonts w:hint="eastAsia"/>
          <w:b/>
          <w:i/>
          <w:spacing w:val="2"/>
          <w:sz w:val="24"/>
          <w:u w:val="single"/>
        </w:rPr>
        <w:t>14</w:t>
      </w:r>
      <w:r w:rsidRPr="000A5E83">
        <w:rPr>
          <w:b/>
          <w:i/>
          <w:spacing w:val="2"/>
          <w:sz w:val="24"/>
          <w:u w:val="single"/>
        </w:rPr>
        <w:t>mg/L</w:t>
      </w:r>
      <w:r>
        <w:rPr>
          <w:rFonts w:ascii="宋体" w:hAnsi="宋体" w:hint="eastAsia"/>
          <w:b/>
          <w:i/>
          <w:spacing w:val="2"/>
          <w:sz w:val="24"/>
          <w:u w:val="single"/>
        </w:rPr>
        <w:t>～124</w:t>
      </w:r>
      <w:r w:rsidRPr="000A5E83">
        <w:rPr>
          <w:b/>
          <w:i/>
          <w:spacing w:val="2"/>
          <w:sz w:val="24"/>
          <w:u w:val="single"/>
        </w:rPr>
        <w:t>mg/L</w:t>
      </w:r>
      <w:r>
        <w:rPr>
          <w:rFonts w:hint="eastAsia"/>
          <w:b/>
          <w:i/>
          <w:spacing w:val="2"/>
          <w:sz w:val="24"/>
          <w:u w:val="single"/>
        </w:rPr>
        <w:t>，本次评价类比梁北煤矿矿井</w:t>
      </w:r>
      <w:r>
        <w:rPr>
          <w:rFonts w:hint="eastAsia"/>
          <w:b/>
          <w:i/>
          <w:spacing w:val="2"/>
          <w:sz w:val="24"/>
          <w:u w:val="single"/>
        </w:rPr>
        <w:lastRenderedPageBreak/>
        <w:t>水水质，主要污染物为</w:t>
      </w:r>
      <w:r>
        <w:rPr>
          <w:rFonts w:hint="eastAsia"/>
          <w:b/>
          <w:i/>
          <w:spacing w:val="2"/>
          <w:sz w:val="24"/>
          <w:u w:val="single"/>
        </w:rPr>
        <w:t>COD</w:t>
      </w:r>
      <w:r>
        <w:rPr>
          <w:rFonts w:hint="eastAsia"/>
          <w:b/>
          <w:i/>
          <w:spacing w:val="2"/>
          <w:sz w:val="24"/>
          <w:u w:val="single"/>
        </w:rPr>
        <w:t>、</w:t>
      </w:r>
      <w:r>
        <w:rPr>
          <w:rFonts w:hint="eastAsia"/>
          <w:b/>
          <w:i/>
          <w:spacing w:val="2"/>
          <w:sz w:val="24"/>
          <w:u w:val="single"/>
        </w:rPr>
        <w:t>SS</w:t>
      </w:r>
      <w:r>
        <w:rPr>
          <w:rFonts w:hint="eastAsia"/>
          <w:b/>
          <w:i/>
          <w:spacing w:val="2"/>
          <w:sz w:val="24"/>
          <w:u w:val="single"/>
        </w:rPr>
        <w:t>、氨氮等，浓度分别为</w:t>
      </w:r>
      <w:r>
        <w:rPr>
          <w:rFonts w:hint="eastAsia"/>
          <w:b/>
          <w:i/>
          <w:spacing w:val="2"/>
          <w:sz w:val="24"/>
          <w:u w:val="single"/>
        </w:rPr>
        <w:t>51</w:t>
      </w:r>
      <w:r w:rsidRPr="000A5E83">
        <w:rPr>
          <w:b/>
          <w:i/>
          <w:spacing w:val="2"/>
          <w:sz w:val="24"/>
          <w:u w:val="single"/>
        </w:rPr>
        <w:t>mg/L</w:t>
      </w:r>
      <w:r>
        <w:rPr>
          <w:rFonts w:hint="eastAsia"/>
          <w:b/>
          <w:i/>
          <w:spacing w:val="2"/>
          <w:sz w:val="24"/>
          <w:u w:val="single"/>
        </w:rPr>
        <w:t>、</w:t>
      </w:r>
      <w:r w:rsidRPr="000A5E83">
        <w:rPr>
          <w:b/>
          <w:i/>
          <w:spacing w:val="2"/>
          <w:sz w:val="24"/>
          <w:u w:val="single"/>
        </w:rPr>
        <w:t>1</w:t>
      </w:r>
      <w:r>
        <w:rPr>
          <w:rFonts w:hint="eastAsia"/>
          <w:b/>
          <w:i/>
          <w:spacing w:val="2"/>
          <w:sz w:val="24"/>
          <w:u w:val="single"/>
        </w:rPr>
        <w:t>24</w:t>
      </w:r>
      <w:r w:rsidRPr="000A5E83">
        <w:rPr>
          <w:b/>
          <w:i/>
          <w:spacing w:val="2"/>
          <w:sz w:val="24"/>
          <w:u w:val="single"/>
        </w:rPr>
        <w:t>mg/L</w:t>
      </w:r>
      <w:r>
        <w:rPr>
          <w:rFonts w:hint="eastAsia"/>
          <w:b/>
          <w:i/>
          <w:spacing w:val="2"/>
          <w:sz w:val="24"/>
          <w:u w:val="single"/>
        </w:rPr>
        <w:t>、</w:t>
      </w:r>
      <w:r w:rsidRPr="000A5E83">
        <w:rPr>
          <w:b/>
          <w:i/>
          <w:spacing w:val="2"/>
          <w:sz w:val="24"/>
          <w:u w:val="single"/>
        </w:rPr>
        <w:t>0.523mg/L</w:t>
      </w:r>
      <w:r w:rsidR="002D1343" w:rsidRPr="007325F2">
        <w:rPr>
          <w:b/>
          <w:bCs/>
          <w:i/>
          <w:spacing w:val="2"/>
          <w:sz w:val="24"/>
          <w:u w:val="single"/>
        </w:rPr>
        <w:t>。</w:t>
      </w:r>
      <w:r w:rsidR="002D1343" w:rsidRPr="005934E4">
        <w:rPr>
          <w:spacing w:val="2"/>
          <w:sz w:val="24"/>
        </w:rPr>
        <w:t>设计升级改造现有的矿井水处理站，升级改造后矿井水处理站处理能力</w:t>
      </w:r>
      <w:r w:rsidR="002D1343" w:rsidRPr="005934E4">
        <w:rPr>
          <w:color w:val="000000"/>
          <w:spacing w:val="2"/>
          <w:sz w:val="24"/>
        </w:rPr>
        <w:t>240m</w:t>
      </w:r>
      <w:r w:rsidR="002D1343" w:rsidRPr="005934E4">
        <w:rPr>
          <w:color w:val="000000"/>
          <w:spacing w:val="2"/>
          <w:sz w:val="24"/>
          <w:vertAlign w:val="superscript"/>
        </w:rPr>
        <w:t>3</w:t>
      </w:r>
      <w:r w:rsidR="002D1343" w:rsidRPr="005934E4">
        <w:rPr>
          <w:color w:val="000000"/>
          <w:spacing w:val="2"/>
          <w:sz w:val="24"/>
        </w:rPr>
        <w:t>/h</w:t>
      </w:r>
      <w:r w:rsidR="002D1343" w:rsidRPr="005934E4">
        <w:rPr>
          <w:color w:val="000000"/>
          <w:spacing w:val="2"/>
          <w:sz w:val="24"/>
        </w:rPr>
        <w:t>，</w:t>
      </w:r>
      <w:r w:rsidR="002D1343" w:rsidRPr="005934E4">
        <w:rPr>
          <w:spacing w:val="2"/>
          <w:sz w:val="24"/>
        </w:rPr>
        <w:t>主要采用斜管沉淀</w:t>
      </w:r>
      <w:r w:rsidR="002D1343" w:rsidRPr="005934E4">
        <w:rPr>
          <w:spacing w:val="2"/>
          <w:sz w:val="24"/>
        </w:rPr>
        <w:t>+</w:t>
      </w:r>
      <w:r w:rsidR="002D1343" w:rsidRPr="005934E4">
        <w:rPr>
          <w:spacing w:val="2"/>
          <w:sz w:val="24"/>
        </w:rPr>
        <w:t>过滤</w:t>
      </w:r>
      <w:r w:rsidR="002D1343" w:rsidRPr="005934E4">
        <w:rPr>
          <w:spacing w:val="2"/>
          <w:sz w:val="24"/>
        </w:rPr>
        <w:t>+</w:t>
      </w:r>
      <w:r w:rsidR="002D1343" w:rsidRPr="005934E4">
        <w:rPr>
          <w:spacing w:val="2"/>
          <w:sz w:val="24"/>
        </w:rPr>
        <w:t>消毒等处理工艺，主要处理设备有</w:t>
      </w:r>
      <w:r w:rsidR="002D1343" w:rsidRPr="005934E4">
        <w:rPr>
          <w:spacing w:val="2"/>
          <w:sz w:val="24"/>
        </w:rPr>
        <w:t>1</w:t>
      </w:r>
      <w:r w:rsidR="002D1343" w:rsidRPr="005934E4">
        <w:rPr>
          <w:spacing w:val="2"/>
          <w:sz w:val="24"/>
        </w:rPr>
        <w:t>座斜管沉淀池、</w:t>
      </w:r>
      <w:r w:rsidR="002D1343" w:rsidRPr="005934E4">
        <w:rPr>
          <w:spacing w:val="2"/>
          <w:sz w:val="24"/>
        </w:rPr>
        <w:t>1</w:t>
      </w:r>
      <w:r w:rsidR="002D1343" w:rsidRPr="005934E4">
        <w:rPr>
          <w:spacing w:val="2"/>
          <w:sz w:val="24"/>
        </w:rPr>
        <w:t>座重力式无阀滤池</w:t>
      </w:r>
      <w:r w:rsidR="002D1343" w:rsidRPr="005934E4">
        <w:rPr>
          <w:spacing w:val="2"/>
          <w:sz w:val="24"/>
        </w:rPr>
        <w:t>+1</w:t>
      </w:r>
      <w:r w:rsidR="002D1343" w:rsidRPr="005934E4">
        <w:rPr>
          <w:spacing w:val="2"/>
          <w:sz w:val="24"/>
        </w:rPr>
        <w:t>套消毒系统等</w:t>
      </w:r>
      <w:r w:rsidR="002D1343">
        <w:rPr>
          <w:rFonts w:hint="eastAsia"/>
          <w:spacing w:val="2"/>
          <w:sz w:val="24"/>
        </w:rPr>
        <w:t>，</w:t>
      </w:r>
      <w:r w:rsidR="002D1343" w:rsidRPr="00033AE1">
        <w:rPr>
          <w:rFonts w:hint="eastAsia"/>
          <w:b/>
          <w:i/>
          <w:spacing w:val="2"/>
          <w:sz w:val="24"/>
          <w:u w:val="single"/>
        </w:rPr>
        <w:t>污泥采用板框压滤机脱水</w:t>
      </w:r>
      <w:r w:rsidR="002D1343" w:rsidRPr="005934E4">
        <w:rPr>
          <w:spacing w:val="2"/>
          <w:sz w:val="24"/>
        </w:rPr>
        <w:t>。</w:t>
      </w:r>
      <w:r w:rsidR="002D1343" w:rsidRPr="00033AE1">
        <w:rPr>
          <w:b/>
          <w:i/>
          <w:spacing w:val="2"/>
          <w:sz w:val="24"/>
          <w:u w:val="single"/>
        </w:rPr>
        <w:t>处理后矿井水水质</w:t>
      </w:r>
      <w:r w:rsidR="002D1343" w:rsidRPr="00A372FF">
        <w:rPr>
          <w:rFonts w:hint="eastAsia"/>
          <w:b/>
          <w:i/>
          <w:spacing w:val="2"/>
          <w:sz w:val="24"/>
          <w:u w:val="single"/>
        </w:rPr>
        <w:t>COD</w:t>
      </w:r>
      <w:r w:rsidR="002D1343">
        <w:rPr>
          <w:rFonts w:hint="eastAsia"/>
          <w:b/>
          <w:i/>
          <w:spacing w:val="2"/>
          <w:sz w:val="24"/>
          <w:u w:val="single"/>
        </w:rPr>
        <w:t>、</w:t>
      </w:r>
      <w:r w:rsidR="002D1343" w:rsidRPr="00A372FF">
        <w:rPr>
          <w:rFonts w:hint="eastAsia"/>
          <w:b/>
          <w:i/>
          <w:spacing w:val="2"/>
          <w:sz w:val="24"/>
          <w:u w:val="single"/>
        </w:rPr>
        <w:t>SS</w:t>
      </w:r>
      <w:r w:rsidR="002D1343" w:rsidRPr="00A372FF">
        <w:rPr>
          <w:rFonts w:hint="eastAsia"/>
          <w:b/>
          <w:i/>
          <w:spacing w:val="2"/>
          <w:sz w:val="24"/>
          <w:u w:val="single"/>
        </w:rPr>
        <w:t>和</w:t>
      </w:r>
      <w:r w:rsidR="002D1343">
        <w:rPr>
          <w:rFonts w:hint="eastAsia"/>
          <w:b/>
          <w:i/>
          <w:spacing w:val="2"/>
          <w:sz w:val="24"/>
          <w:u w:val="single"/>
        </w:rPr>
        <w:t>氨氮</w:t>
      </w:r>
      <w:r w:rsidR="002D1343" w:rsidRPr="00A372FF">
        <w:rPr>
          <w:rFonts w:hint="eastAsia"/>
          <w:b/>
          <w:i/>
          <w:spacing w:val="2"/>
          <w:sz w:val="24"/>
          <w:u w:val="single"/>
        </w:rPr>
        <w:t>排放浓度分别</w:t>
      </w:r>
      <w:r w:rsidR="002D1343">
        <w:rPr>
          <w:rFonts w:hint="eastAsia"/>
          <w:b/>
          <w:i/>
          <w:spacing w:val="2"/>
          <w:sz w:val="24"/>
          <w:u w:val="single"/>
        </w:rPr>
        <w:t>20</w:t>
      </w:r>
      <w:r w:rsidR="002D1343" w:rsidRPr="00A372FF">
        <w:rPr>
          <w:rFonts w:hint="eastAsia"/>
          <w:b/>
          <w:i/>
          <w:spacing w:val="2"/>
          <w:sz w:val="24"/>
          <w:u w:val="single"/>
        </w:rPr>
        <w:t>mg/L</w:t>
      </w:r>
      <w:r w:rsidR="002D1343">
        <w:rPr>
          <w:rFonts w:hint="eastAsia"/>
          <w:b/>
          <w:i/>
          <w:spacing w:val="2"/>
          <w:sz w:val="24"/>
          <w:u w:val="single"/>
        </w:rPr>
        <w:t>、</w:t>
      </w:r>
      <w:r w:rsidR="002D1343">
        <w:rPr>
          <w:rFonts w:hint="eastAsia"/>
          <w:b/>
          <w:i/>
          <w:spacing w:val="2"/>
          <w:sz w:val="24"/>
          <w:u w:val="single"/>
        </w:rPr>
        <w:t>30</w:t>
      </w:r>
      <w:r w:rsidR="002D1343" w:rsidRPr="00A372FF">
        <w:rPr>
          <w:rFonts w:hint="eastAsia"/>
          <w:b/>
          <w:i/>
          <w:spacing w:val="2"/>
          <w:sz w:val="24"/>
          <w:u w:val="single"/>
        </w:rPr>
        <w:t>mg/L</w:t>
      </w:r>
      <w:r w:rsidR="002D1343" w:rsidRPr="00A372FF">
        <w:rPr>
          <w:rFonts w:hint="eastAsia"/>
          <w:b/>
          <w:i/>
          <w:spacing w:val="2"/>
          <w:sz w:val="24"/>
          <w:u w:val="single"/>
        </w:rPr>
        <w:t>和</w:t>
      </w:r>
      <w:r w:rsidR="002D1343">
        <w:rPr>
          <w:rFonts w:hint="eastAsia"/>
          <w:b/>
          <w:i/>
          <w:spacing w:val="2"/>
          <w:sz w:val="24"/>
          <w:u w:val="single"/>
        </w:rPr>
        <w:t>0.314</w:t>
      </w:r>
      <w:r w:rsidR="002D1343" w:rsidRPr="00A372FF">
        <w:rPr>
          <w:rFonts w:hint="eastAsia"/>
          <w:b/>
          <w:i/>
          <w:spacing w:val="2"/>
          <w:sz w:val="24"/>
          <w:u w:val="single"/>
        </w:rPr>
        <w:t>mg/L</w:t>
      </w:r>
      <w:r w:rsidR="002D1343" w:rsidRPr="00A372FF">
        <w:rPr>
          <w:rFonts w:hint="eastAsia"/>
          <w:b/>
          <w:i/>
          <w:spacing w:val="2"/>
          <w:sz w:val="24"/>
          <w:u w:val="single"/>
        </w:rPr>
        <w:t>，</w:t>
      </w:r>
      <w:r w:rsidR="002D1343" w:rsidRPr="00033AE1">
        <w:rPr>
          <w:b/>
          <w:i/>
          <w:spacing w:val="2"/>
          <w:sz w:val="24"/>
          <w:u w:val="single"/>
        </w:rPr>
        <w:t>满足</w:t>
      </w:r>
      <w:r w:rsidR="002D1343" w:rsidRPr="00033AE1">
        <w:rPr>
          <w:b/>
          <w:i/>
          <w:sz w:val="24"/>
          <w:u w:val="single"/>
        </w:rPr>
        <w:t>《煤炭工业污染物排放标准》（</w:t>
      </w:r>
      <w:r w:rsidR="002D1343" w:rsidRPr="00033AE1">
        <w:rPr>
          <w:b/>
          <w:i/>
          <w:sz w:val="24"/>
          <w:u w:val="single"/>
        </w:rPr>
        <w:t>GB20426-2006</w:t>
      </w:r>
      <w:r w:rsidR="002D1343" w:rsidRPr="00033AE1">
        <w:rPr>
          <w:b/>
          <w:i/>
          <w:sz w:val="24"/>
          <w:u w:val="single"/>
        </w:rPr>
        <w:t>）新建（扩、改）生产线排放标准要求，同时满足《地表水</w:t>
      </w:r>
      <w:r w:rsidR="002D1343">
        <w:rPr>
          <w:rFonts w:hint="eastAsia"/>
          <w:b/>
          <w:i/>
          <w:sz w:val="24"/>
          <w:u w:val="single"/>
        </w:rPr>
        <w:t>环境</w:t>
      </w:r>
      <w:r w:rsidR="002D1343" w:rsidRPr="00033AE1">
        <w:rPr>
          <w:b/>
          <w:i/>
          <w:sz w:val="24"/>
          <w:u w:val="single"/>
        </w:rPr>
        <w:t>质量标准》（</w:t>
      </w:r>
      <w:r w:rsidR="002D1343" w:rsidRPr="00033AE1">
        <w:rPr>
          <w:b/>
          <w:i/>
          <w:sz w:val="24"/>
          <w:u w:val="single"/>
        </w:rPr>
        <w:t>GB3838-2002</w:t>
      </w:r>
      <w:r w:rsidR="002D1343" w:rsidRPr="00033AE1">
        <w:rPr>
          <w:b/>
          <w:i/>
          <w:sz w:val="24"/>
          <w:u w:val="single"/>
        </w:rPr>
        <w:t>）</w:t>
      </w:r>
      <w:r w:rsidR="00B95226" w:rsidRPr="00033AE1">
        <w:rPr>
          <w:b/>
          <w:i/>
          <w:sz w:val="24"/>
          <w:u w:val="single"/>
        </w:rPr>
        <w:fldChar w:fldCharType="begin"/>
      </w:r>
      <w:r w:rsidR="002D1343" w:rsidRPr="00033AE1">
        <w:rPr>
          <w:b/>
          <w:i/>
          <w:sz w:val="24"/>
          <w:u w:val="single"/>
        </w:rPr>
        <w:instrText xml:space="preserve"> = 3 \* ROMAN </w:instrText>
      </w:r>
      <w:r w:rsidR="00B95226" w:rsidRPr="00033AE1">
        <w:rPr>
          <w:b/>
          <w:i/>
          <w:sz w:val="24"/>
          <w:u w:val="single"/>
        </w:rPr>
        <w:fldChar w:fldCharType="separate"/>
      </w:r>
      <w:r w:rsidR="002D1343" w:rsidRPr="00033AE1">
        <w:rPr>
          <w:b/>
          <w:i/>
          <w:sz w:val="24"/>
          <w:u w:val="single"/>
        </w:rPr>
        <w:t>III</w:t>
      </w:r>
      <w:r w:rsidR="00B95226" w:rsidRPr="00033AE1">
        <w:rPr>
          <w:b/>
          <w:i/>
          <w:sz w:val="24"/>
          <w:u w:val="single"/>
        </w:rPr>
        <w:fldChar w:fldCharType="end"/>
      </w:r>
      <w:r w:rsidR="002D1343" w:rsidRPr="00033AE1">
        <w:rPr>
          <w:b/>
          <w:i/>
          <w:sz w:val="24"/>
          <w:u w:val="single"/>
        </w:rPr>
        <w:t>类标准要求</w:t>
      </w:r>
      <w:r w:rsidR="002D1343" w:rsidRPr="00033AE1">
        <w:rPr>
          <w:b/>
          <w:i/>
          <w:spacing w:val="2"/>
          <w:sz w:val="24"/>
          <w:u w:val="single"/>
        </w:rPr>
        <w:t>。</w:t>
      </w:r>
    </w:p>
    <w:p w:rsidR="002D1343" w:rsidRPr="005934E4" w:rsidRDefault="002D1343" w:rsidP="002D1343">
      <w:pPr>
        <w:pStyle w:val="ae"/>
        <w:spacing w:line="520" w:lineRule="exact"/>
        <w:ind w:firstLineChars="200" w:firstLine="488"/>
        <w:rPr>
          <w:rFonts w:ascii="Times New Roman" w:hAnsi="Times New Roman"/>
          <w:sz w:val="24"/>
        </w:rPr>
      </w:pPr>
      <w:r w:rsidRPr="005934E4">
        <w:rPr>
          <w:rFonts w:ascii="Times New Roman" w:hAnsi="Times New Roman"/>
          <w:spacing w:val="2"/>
          <w:sz w:val="24"/>
        </w:rPr>
        <w:t>处理达标后的矿井水部分（</w:t>
      </w:r>
      <w:r>
        <w:rPr>
          <w:rFonts w:ascii="Times New Roman" w:hAnsi="Times New Roman" w:hint="eastAsia"/>
          <w:spacing w:val="2"/>
          <w:sz w:val="24"/>
        </w:rPr>
        <w:t>472.1</w:t>
      </w:r>
      <w:r w:rsidRPr="005934E4">
        <w:rPr>
          <w:rFonts w:ascii="Times New Roman" w:hAnsi="Times New Roman"/>
          <w:spacing w:val="2"/>
          <w:sz w:val="24"/>
        </w:rPr>
        <w:t>m</w:t>
      </w:r>
      <w:r w:rsidRPr="005934E4">
        <w:rPr>
          <w:rFonts w:ascii="Times New Roman" w:hAnsi="Times New Roman"/>
          <w:spacing w:val="2"/>
          <w:sz w:val="24"/>
          <w:vertAlign w:val="superscript"/>
        </w:rPr>
        <w:t>3</w:t>
      </w:r>
      <w:r w:rsidRPr="005934E4">
        <w:rPr>
          <w:rFonts w:ascii="Times New Roman" w:hAnsi="Times New Roman"/>
          <w:spacing w:val="2"/>
          <w:sz w:val="24"/>
        </w:rPr>
        <w:t>/d</w:t>
      </w:r>
      <w:r w:rsidRPr="005934E4">
        <w:rPr>
          <w:rFonts w:ascii="Times New Roman" w:hAnsi="Times New Roman"/>
          <w:spacing w:val="2"/>
          <w:sz w:val="24"/>
        </w:rPr>
        <w:t>）回用于井下洒水、</w:t>
      </w:r>
      <w:r w:rsidR="00802A62">
        <w:rPr>
          <w:rFonts w:ascii="Times New Roman" w:hAnsi="Times New Roman"/>
          <w:spacing w:val="2"/>
          <w:sz w:val="24"/>
        </w:rPr>
        <w:t>储煤库</w:t>
      </w:r>
      <w:r w:rsidRPr="005934E4">
        <w:rPr>
          <w:rFonts w:ascii="Times New Roman" w:hAnsi="Times New Roman"/>
          <w:spacing w:val="2"/>
          <w:sz w:val="24"/>
        </w:rPr>
        <w:t>洒水、空压机补充水、车辆冲洗补充水等生产用水，</w:t>
      </w:r>
      <w:r w:rsidRPr="003B1886">
        <w:rPr>
          <w:rFonts w:ascii="Times New Roman" w:hAnsi="Times New Roman"/>
          <w:b/>
          <w:i/>
          <w:spacing w:val="2"/>
          <w:sz w:val="24"/>
          <w:u w:val="single"/>
        </w:rPr>
        <w:t>剩余</w:t>
      </w:r>
      <w:r w:rsidRPr="003B1886">
        <w:rPr>
          <w:rFonts w:ascii="Times New Roman" w:hAnsi="Times New Roman"/>
          <w:b/>
          <w:i/>
          <w:sz w:val="24"/>
          <w:szCs w:val="24"/>
          <w:u w:val="single"/>
        </w:rPr>
        <w:t>不能充分利用</w:t>
      </w:r>
      <w:r w:rsidRPr="003B1886">
        <w:rPr>
          <w:rFonts w:ascii="Times New Roman" w:hAnsi="Times New Roman"/>
          <w:b/>
          <w:i/>
          <w:spacing w:val="2"/>
          <w:sz w:val="24"/>
          <w:u w:val="single"/>
        </w:rPr>
        <w:t>（</w:t>
      </w:r>
      <w:r w:rsidRPr="003B1886">
        <w:rPr>
          <w:rFonts w:ascii="Times New Roman" w:hAnsi="Times New Roman" w:hint="eastAsia"/>
          <w:b/>
          <w:i/>
          <w:spacing w:val="2"/>
          <w:sz w:val="24"/>
          <w:u w:val="single"/>
        </w:rPr>
        <w:t>4183.9</w:t>
      </w:r>
      <w:r w:rsidRPr="003B1886">
        <w:rPr>
          <w:rFonts w:ascii="Times New Roman" w:hAnsi="Times New Roman"/>
          <w:b/>
          <w:i/>
          <w:spacing w:val="2"/>
          <w:sz w:val="24"/>
          <w:u w:val="single"/>
        </w:rPr>
        <w:t>m</w:t>
      </w:r>
      <w:r w:rsidRPr="003B1886">
        <w:rPr>
          <w:rFonts w:ascii="Times New Roman" w:hAnsi="Times New Roman"/>
          <w:b/>
          <w:i/>
          <w:spacing w:val="2"/>
          <w:sz w:val="24"/>
          <w:u w:val="single"/>
          <w:vertAlign w:val="superscript"/>
        </w:rPr>
        <w:t>3</w:t>
      </w:r>
      <w:r w:rsidRPr="003B1886">
        <w:rPr>
          <w:rFonts w:ascii="Times New Roman" w:hAnsi="Times New Roman"/>
          <w:b/>
          <w:i/>
          <w:spacing w:val="2"/>
          <w:sz w:val="24"/>
          <w:u w:val="single"/>
        </w:rPr>
        <w:t>/d</w:t>
      </w:r>
      <w:r w:rsidRPr="003B1886">
        <w:rPr>
          <w:rFonts w:ascii="Times New Roman" w:hAnsi="Times New Roman"/>
          <w:b/>
          <w:i/>
          <w:spacing w:val="2"/>
          <w:sz w:val="24"/>
          <w:u w:val="single"/>
        </w:rPr>
        <w:t>）</w:t>
      </w:r>
      <w:r w:rsidRPr="005934E4">
        <w:rPr>
          <w:rFonts w:ascii="Times New Roman" w:hAnsi="Times New Roman"/>
          <w:sz w:val="24"/>
          <w:szCs w:val="24"/>
        </w:rPr>
        <w:t>满足《煤炭工业污染物排放标准》（</w:t>
      </w:r>
      <w:r w:rsidRPr="005934E4">
        <w:rPr>
          <w:rFonts w:ascii="Times New Roman" w:hAnsi="Times New Roman"/>
          <w:sz w:val="24"/>
          <w:szCs w:val="24"/>
        </w:rPr>
        <w:t>GB20426-2006</w:t>
      </w:r>
      <w:r w:rsidRPr="005934E4">
        <w:rPr>
          <w:rFonts w:ascii="Times New Roman" w:hAnsi="Times New Roman"/>
          <w:sz w:val="24"/>
          <w:szCs w:val="24"/>
        </w:rPr>
        <w:t>）表</w:t>
      </w:r>
      <w:r w:rsidRPr="005934E4">
        <w:rPr>
          <w:rFonts w:ascii="Times New Roman" w:hAnsi="Times New Roman"/>
          <w:sz w:val="24"/>
          <w:szCs w:val="24"/>
        </w:rPr>
        <w:t>1</w:t>
      </w:r>
      <w:r w:rsidRPr="005934E4">
        <w:rPr>
          <w:rFonts w:ascii="Times New Roman" w:hAnsi="Times New Roman"/>
          <w:sz w:val="24"/>
          <w:szCs w:val="24"/>
        </w:rPr>
        <w:t>，表</w:t>
      </w:r>
      <w:r w:rsidRPr="005934E4">
        <w:rPr>
          <w:rFonts w:ascii="Times New Roman" w:hAnsi="Times New Roman"/>
          <w:sz w:val="24"/>
          <w:szCs w:val="24"/>
        </w:rPr>
        <w:t>2</w:t>
      </w:r>
      <w:r w:rsidRPr="005934E4">
        <w:rPr>
          <w:rFonts w:ascii="Times New Roman" w:hAnsi="Times New Roman"/>
          <w:sz w:val="24"/>
          <w:szCs w:val="24"/>
        </w:rPr>
        <w:t>采煤废水排放限值并且满足</w:t>
      </w:r>
      <w:r w:rsidRPr="005934E4">
        <w:rPr>
          <w:rFonts w:ascii="Times New Roman" w:hAnsi="宋体"/>
          <w:snapToGrid w:val="0"/>
          <w:sz w:val="24"/>
          <w:szCs w:val="24"/>
        </w:rPr>
        <w:t>《</w:t>
      </w:r>
      <w:r w:rsidRPr="005934E4">
        <w:rPr>
          <w:rFonts w:ascii="Times New Roman" w:hAnsi="Times New Roman"/>
          <w:sz w:val="24"/>
          <w:szCs w:val="24"/>
        </w:rPr>
        <w:t>地表水环境质量标准</w:t>
      </w:r>
      <w:r w:rsidRPr="005934E4">
        <w:rPr>
          <w:rFonts w:ascii="Times New Roman" w:hAnsi="宋体"/>
          <w:snapToGrid w:val="0"/>
          <w:sz w:val="24"/>
          <w:szCs w:val="24"/>
        </w:rPr>
        <w:t>》</w:t>
      </w:r>
      <w:r w:rsidRPr="005934E4">
        <w:rPr>
          <w:rFonts w:ascii="Times New Roman" w:hAnsi="Times New Roman"/>
          <w:sz w:val="24"/>
          <w:szCs w:val="24"/>
        </w:rPr>
        <w:t>（</w:t>
      </w:r>
      <w:r w:rsidRPr="005934E4">
        <w:rPr>
          <w:rFonts w:ascii="Times New Roman" w:hAnsi="Times New Roman"/>
          <w:sz w:val="24"/>
          <w:szCs w:val="24"/>
        </w:rPr>
        <w:t>GB3838-2002</w:t>
      </w:r>
      <w:r w:rsidRPr="005934E4">
        <w:rPr>
          <w:rFonts w:ascii="Times New Roman" w:hAnsi="Times New Roman"/>
          <w:sz w:val="24"/>
          <w:szCs w:val="24"/>
        </w:rPr>
        <w:t>）</w:t>
      </w:r>
      <w:r w:rsidRPr="005934E4">
        <w:rPr>
          <w:rFonts w:ascii="Times New Roman" w:hAnsi="Times New Roman"/>
          <w:sz w:val="24"/>
          <w:szCs w:val="24"/>
        </w:rPr>
        <w:t>Ⅲ</w:t>
      </w:r>
      <w:r w:rsidRPr="005934E4">
        <w:rPr>
          <w:rFonts w:ascii="Times New Roman" w:hAnsi="Times New Roman"/>
          <w:sz w:val="24"/>
          <w:szCs w:val="24"/>
        </w:rPr>
        <w:t>类水质要求</w:t>
      </w:r>
      <w:r w:rsidRPr="005934E4">
        <w:rPr>
          <w:rFonts w:ascii="Times New Roman" w:hAnsi="Times New Roman"/>
          <w:sz w:val="24"/>
        </w:rPr>
        <w:t>后</w:t>
      </w:r>
      <w:r w:rsidRPr="005934E4">
        <w:rPr>
          <w:rFonts w:ascii="Times New Roman" w:hAnsi="Times New Roman"/>
          <w:sz w:val="24"/>
          <w:szCs w:val="24"/>
        </w:rPr>
        <w:t>外排</w:t>
      </w:r>
      <w:r w:rsidRPr="005934E4">
        <w:rPr>
          <w:rFonts w:ascii="Times New Roman" w:hAnsi="Times New Roman"/>
          <w:sz w:val="24"/>
        </w:rPr>
        <w:t>至赵沟河、纸坊水库用于生态补水及周边农田灌溉。</w:t>
      </w:r>
    </w:p>
    <w:p w:rsidR="002D1343" w:rsidRPr="005E70E2" w:rsidRDefault="002D1343" w:rsidP="002D1343">
      <w:pPr>
        <w:pStyle w:val="ae"/>
        <w:spacing w:line="520" w:lineRule="exact"/>
        <w:ind w:firstLineChars="200" w:firstLine="480"/>
        <w:rPr>
          <w:rFonts w:ascii="Times New Roman" w:hAnsi="Times New Roman"/>
          <w:b/>
          <w:i/>
          <w:sz w:val="24"/>
          <w:u w:val="single"/>
        </w:rPr>
      </w:pPr>
      <w:r w:rsidRPr="005934E4">
        <w:rPr>
          <w:rFonts w:ascii="Times New Roman" w:hAnsi="Times New Roman"/>
          <w:sz w:val="24"/>
        </w:rPr>
        <w:t>矿井水的产生量</w:t>
      </w:r>
      <w:r>
        <w:rPr>
          <w:rFonts w:ascii="Times New Roman" w:hAnsi="Times New Roman" w:hint="eastAsia"/>
          <w:sz w:val="24"/>
        </w:rPr>
        <w:t>：</w:t>
      </w:r>
      <w:r w:rsidRPr="005934E4">
        <w:rPr>
          <w:rFonts w:ascii="Times New Roman" w:hAnsi="Times New Roman"/>
          <w:sz w:val="24"/>
        </w:rPr>
        <w:t>4</w:t>
      </w:r>
      <w:r>
        <w:rPr>
          <w:rFonts w:ascii="Times New Roman" w:hAnsi="Times New Roman" w:hint="eastAsia"/>
          <w:sz w:val="24"/>
        </w:rPr>
        <w:t>6</w:t>
      </w:r>
      <w:r w:rsidRPr="005934E4">
        <w:rPr>
          <w:rFonts w:ascii="Times New Roman" w:hAnsi="Times New Roman"/>
          <w:sz w:val="24"/>
        </w:rPr>
        <w:t>56m</w:t>
      </w:r>
      <w:r w:rsidRPr="005934E4">
        <w:rPr>
          <w:rFonts w:ascii="Times New Roman" w:hAnsi="Times New Roman"/>
          <w:sz w:val="24"/>
          <w:vertAlign w:val="superscript"/>
        </w:rPr>
        <w:t>3</w:t>
      </w:r>
      <w:r w:rsidRPr="005934E4">
        <w:rPr>
          <w:rFonts w:ascii="Times New Roman" w:hAnsi="Times New Roman"/>
          <w:sz w:val="24"/>
        </w:rPr>
        <w:t>/d</w:t>
      </w:r>
      <w:r w:rsidRPr="005934E4">
        <w:rPr>
          <w:rFonts w:ascii="Times New Roman" w:hAnsi="Times New Roman"/>
          <w:sz w:val="24"/>
        </w:rPr>
        <w:t>（</w:t>
      </w:r>
      <w:r w:rsidRPr="005934E4">
        <w:rPr>
          <w:rFonts w:ascii="Times New Roman" w:hAnsi="Times New Roman"/>
          <w:sz w:val="24"/>
        </w:rPr>
        <w:t>16</w:t>
      </w:r>
      <w:r>
        <w:rPr>
          <w:rFonts w:ascii="Times New Roman" w:hAnsi="Times New Roman" w:hint="eastAsia"/>
          <w:sz w:val="24"/>
        </w:rPr>
        <w:t>99</w:t>
      </w:r>
      <w:r w:rsidRPr="005934E4">
        <w:rPr>
          <w:rFonts w:ascii="Times New Roman" w:hAnsi="Times New Roman"/>
          <w:sz w:val="24"/>
        </w:rPr>
        <w:t>440m</w:t>
      </w:r>
      <w:r w:rsidRPr="005934E4">
        <w:rPr>
          <w:rFonts w:ascii="Times New Roman" w:hAnsi="Times New Roman"/>
          <w:sz w:val="24"/>
          <w:vertAlign w:val="superscript"/>
        </w:rPr>
        <w:t>3</w:t>
      </w:r>
      <w:r w:rsidRPr="005934E4">
        <w:rPr>
          <w:rFonts w:ascii="Times New Roman" w:hAnsi="Times New Roman"/>
          <w:sz w:val="24"/>
        </w:rPr>
        <w:t>/a</w:t>
      </w:r>
      <w:r w:rsidRPr="005934E4">
        <w:rPr>
          <w:rFonts w:ascii="Times New Roman" w:hAnsi="Times New Roman"/>
          <w:sz w:val="24"/>
        </w:rPr>
        <w:t>），综合利用水量为</w:t>
      </w:r>
      <w:r>
        <w:rPr>
          <w:rFonts w:ascii="Times New Roman" w:hAnsi="Times New Roman" w:hint="eastAsia"/>
          <w:sz w:val="24"/>
        </w:rPr>
        <w:t>472.1</w:t>
      </w:r>
      <w:r w:rsidRPr="005934E4">
        <w:rPr>
          <w:rFonts w:ascii="Times New Roman" w:hAnsi="Times New Roman"/>
          <w:sz w:val="24"/>
        </w:rPr>
        <w:t>m</w:t>
      </w:r>
      <w:r w:rsidRPr="005934E4">
        <w:rPr>
          <w:rFonts w:ascii="Times New Roman" w:hAnsi="Times New Roman"/>
          <w:sz w:val="24"/>
          <w:vertAlign w:val="superscript"/>
        </w:rPr>
        <w:t>3</w:t>
      </w:r>
      <w:r w:rsidRPr="005934E4">
        <w:rPr>
          <w:rFonts w:ascii="Times New Roman" w:hAnsi="Times New Roman"/>
          <w:sz w:val="24"/>
        </w:rPr>
        <w:t>/d</w:t>
      </w:r>
      <w:r w:rsidRPr="005934E4">
        <w:rPr>
          <w:rFonts w:ascii="Times New Roman" w:hAnsi="Times New Roman"/>
          <w:sz w:val="24"/>
        </w:rPr>
        <w:t>（</w:t>
      </w:r>
      <w:r>
        <w:rPr>
          <w:rFonts w:ascii="Times New Roman" w:hAnsi="Times New Roman" w:hint="eastAsia"/>
          <w:sz w:val="24"/>
        </w:rPr>
        <w:t>172316</w:t>
      </w:r>
      <w:r w:rsidRPr="005934E4">
        <w:rPr>
          <w:rFonts w:ascii="Times New Roman" w:hAnsi="Times New Roman"/>
          <w:sz w:val="24"/>
        </w:rPr>
        <w:t>.5m</w:t>
      </w:r>
      <w:r w:rsidRPr="005934E4">
        <w:rPr>
          <w:rFonts w:ascii="Times New Roman" w:hAnsi="Times New Roman"/>
          <w:sz w:val="24"/>
          <w:vertAlign w:val="superscript"/>
        </w:rPr>
        <w:t>3</w:t>
      </w:r>
      <w:r w:rsidRPr="005934E4">
        <w:rPr>
          <w:rFonts w:ascii="Times New Roman" w:hAnsi="Times New Roman"/>
          <w:sz w:val="24"/>
        </w:rPr>
        <w:t>/a</w:t>
      </w:r>
      <w:r w:rsidRPr="005934E4">
        <w:rPr>
          <w:rFonts w:ascii="Times New Roman" w:hAnsi="Times New Roman"/>
          <w:sz w:val="24"/>
        </w:rPr>
        <w:t>），不能利用部分</w:t>
      </w:r>
      <w:r>
        <w:rPr>
          <w:rFonts w:ascii="Times New Roman" w:hAnsi="Times New Roman" w:hint="eastAsia"/>
          <w:sz w:val="24"/>
        </w:rPr>
        <w:t>4183.9</w:t>
      </w:r>
      <w:r w:rsidRPr="005934E4">
        <w:rPr>
          <w:rFonts w:ascii="Times New Roman" w:hAnsi="Times New Roman"/>
          <w:sz w:val="24"/>
        </w:rPr>
        <w:t>m</w:t>
      </w:r>
      <w:r w:rsidRPr="005934E4">
        <w:rPr>
          <w:rFonts w:ascii="Times New Roman" w:hAnsi="Times New Roman"/>
          <w:sz w:val="24"/>
          <w:vertAlign w:val="superscript"/>
        </w:rPr>
        <w:t>3</w:t>
      </w:r>
      <w:r w:rsidRPr="005934E4">
        <w:rPr>
          <w:rFonts w:ascii="Times New Roman" w:hAnsi="Times New Roman"/>
          <w:sz w:val="24"/>
        </w:rPr>
        <w:t>/d</w:t>
      </w:r>
      <w:r w:rsidRPr="005934E4">
        <w:rPr>
          <w:rFonts w:ascii="Times New Roman" w:hAnsi="Times New Roman"/>
          <w:sz w:val="24"/>
        </w:rPr>
        <w:t>（</w:t>
      </w:r>
      <w:r>
        <w:rPr>
          <w:rFonts w:ascii="Times New Roman" w:hAnsi="Times New Roman" w:hint="eastAsia"/>
          <w:sz w:val="24"/>
        </w:rPr>
        <w:t>1527123</w:t>
      </w:r>
      <w:r w:rsidRPr="005934E4">
        <w:rPr>
          <w:rFonts w:ascii="Times New Roman" w:hAnsi="Times New Roman"/>
          <w:sz w:val="24"/>
        </w:rPr>
        <w:t>.5m</w:t>
      </w:r>
      <w:r w:rsidRPr="005934E4">
        <w:rPr>
          <w:rFonts w:ascii="Times New Roman" w:hAnsi="Times New Roman"/>
          <w:sz w:val="24"/>
          <w:vertAlign w:val="superscript"/>
        </w:rPr>
        <w:t>3</w:t>
      </w:r>
      <w:r w:rsidRPr="005934E4">
        <w:rPr>
          <w:rFonts w:ascii="Times New Roman" w:hAnsi="Times New Roman"/>
          <w:sz w:val="24"/>
        </w:rPr>
        <w:t>/a</w:t>
      </w:r>
      <w:r w:rsidRPr="005934E4">
        <w:rPr>
          <w:rFonts w:ascii="Times New Roman" w:hAnsi="Times New Roman"/>
          <w:sz w:val="24"/>
        </w:rPr>
        <w:t>）</w:t>
      </w:r>
      <w:r w:rsidRPr="005934E4">
        <w:rPr>
          <w:rFonts w:ascii="Times New Roman" w:hAnsi="Times New Roman"/>
          <w:sz w:val="24"/>
          <w:szCs w:val="24"/>
        </w:rPr>
        <w:t>满足《煤炭工业污染物排放标准》（</w:t>
      </w:r>
      <w:r w:rsidRPr="005934E4">
        <w:rPr>
          <w:rFonts w:ascii="Times New Roman" w:hAnsi="Times New Roman"/>
          <w:sz w:val="24"/>
          <w:szCs w:val="24"/>
        </w:rPr>
        <w:t>GB20426-2006</w:t>
      </w:r>
      <w:r w:rsidRPr="005934E4">
        <w:rPr>
          <w:rFonts w:ascii="Times New Roman" w:hAnsi="Times New Roman"/>
          <w:sz w:val="24"/>
          <w:szCs w:val="24"/>
        </w:rPr>
        <w:t>）表</w:t>
      </w:r>
      <w:r w:rsidRPr="005934E4">
        <w:rPr>
          <w:rFonts w:ascii="Times New Roman" w:hAnsi="Times New Roman"/>
          <w:sz w:val="24"/>
          <w:szCs w:val="24"/>
        </w:rPr>
        <w:t>1</w:t>
      </w:r>
      <w:r w:rsidRPr="005934E4">
        <w:rPr>
          <w:rFonts w:ascii="Times New Roman" w:hAnsi="Times New Roman"/>
          <w:sz w:val="24"/>
          <w:szCs w:val="24"/>
        </w:rPr>
        <w:t>，表</w:t>
      </w:r>
      <w:r w:rsidRPr="005934E4">
        <w:rPr>
          <w:rFonts w:ascii="Times New Roman" w:hAnsi="Times New Roman"/>
          <w:sz w:val="24"/>
          <w:szCs w:val="24"/>
        </w:rPr>
        <w:t>2</w:t>
      </w:r>
      <w:r w:rsidRPr="005934E4">
        <w:rPr>
          <w:rFonts w:ascii="Times New Roman" w:hAnsi="Times New Roman"/>
          <w:sz w:val="24"/>
          <w:szCs w:val="24"/>
        </w:rPr>
        <w:t>采煤废水排放限值并且满足</w:t>
      </w:r>
      <w:r w:rsidRPr="005934E4">
        <w:rPr>
          <w:rFonts w:ascii="Times New Roman" w:hAnsi="宋体"/>
          <w:snapToGrid w:val="0"/>
          <w:sz w:val="24"/>
          <w:szCs w:val="24"/>
        </w:rPr>
        <w:t>《</w:t>
      </w:r>
      <w:r w:rsidRPr="005934E4">
        <w:rPr>
          <w:rFonts w:ascii="Times New Roman" w:hAnsi="Times New Roman"/>
          <w:sz w:val="24"/>
          <w:szCs w:val="24"/>
        </w:rPr>
        <w:t>地表水环境质量标准</w:t>
      </w:r>
      <w:r w:rsidRPr="005934E4">
        <w:rPr>
          <w:rFonts w:ascii="Times New Roman" w:hAnsi="宋体"/>
          <w:snapToGrid w:val="0"/>
          <w:sz w:val="24"/>
          <w:szCs w:val="24"/>
        </w:rPr>
        <w:t>》</w:t>
      </w:r>
      <w:r w:rsidRPr="005934E4">
        <w:rPr>
          <w:rFonts w:ascii="Times New Roman" w:hAnsi="Times New Roman"/>
          <w:sz w:val="24"/>
          <w:szCs w:val="24"/>
        </w:rPr>
        <w:t>（</w:t>
      </w:r>
      <w:r w:rsidRPr="005934E4">
        <w:rPr>
          <w:rFonts w:ascii="Times New Roman" w:hAnsi="Times New Roman"/>
          <w:sz w:val="24"/>
          <w:szCs w:val="24"/>
        </w:rPr>
        <w:t>GB3838-2002</w:t>
      </w:r>
      <w:r w:rsidRPr="005934E4">
        <w:rPr>
          <w:rFonts w:ascii="Times New Roman" w:hAnsi="Times New Roman"/>
          <w:sz w:val="24"/>
          <w:szCs w:val="24"/>
        </w:rPr>
        <w:t>）</w:t>
      </w:r>
      <w:r w:rsidRPr="005934E4">
        <w:rPr>
          <w:rFonts w:ascii="Times New Roman" w:hAnsi="Times New Roman"/>
          <w:sz w:val="24"/>
          <w:szCs w:val="24"/>
        </w:rPr>
        <w:t>Ⅲ</w:t>
      </w:r>
      <w:r w:rsidRPr="005934E4">
        <w:rPr>
          <w:rFonts w:ascii="Times New Roman" w:hAnsi="Times New Roman"/>
          <w:sz w:val="24"/>
          <w:szCs w:val="24"/>
        </w:rPr>
        <w:t>类水质要求</w:t>
      </w:r>
      <w:r w:rsidRPr="005934E4">
        <w:rPr>
          <w:rFonts w:ascii="Times New Roman" w:hAnsi="Times New Roman"/>
          <w:sz w:val="24"/>
        </w:rPr>
        <w:t>后</w:t>
      </w:r>
      <w:r w:rsidRPr="005934E4">
        <w:rPr>
          <w:rFonts w:ascii="Times New Roman" w:hAnsi="Times New Roman"/>
          <w:sz w:val="24"/>
          <w:szCs w:val="24"/>
        </w:rPr>
        <w:t>外排</w:t>
      </w:r>
      <w:r w:rsidRPr="005934E4">
        <w:rPr>
          <w:rFonts w:ascii="Times New Roman" w:hAnsi="Times New Roman"/>
          <w:sz w:val="24"/>
        </w:rPr>
        <w:t>至赵沟河、纸坊水库用于生态补水及周边农田灌溉。</w:t>
      </w:r>
      <w:r w:rsidRPr="005E70E2">
        <w:rPr>
          <w:rFonts w:ascii="Times New Roman" w:hAnsi="Times New Roman"/>
          <w:b/>
          <w:i/>
          <w:sz w:val="24"/>
          <w:u w:val="single"/>
        </w:rPr>
        <w:t>外排矿井水量</w:t>
      </w:r>
      <w:r w:rsidRPr="003F0B84">
        <w:rPr>
          <w:rFonts w:ascii="Times New Roman" w:hAnsi="Times New Roman" w:hint="eastAsia"/>
          <w:b/>
          <w:i/>
          <w:sz w:val="24"/>
          <w:u w:val="single"/>
        </w:rPr>
        <w:t>4183.9</w:t>
      </w:r>
      <w:r w:rsidRPr="003F0B84">
        <w:rPr>
          <w:rFonts w:ascii="Times New Roman" w:hAnsi="Times New Roman"/>
          <w:b/>
          <w:i/>
          <w:sz w:val="24"/>
          <w:u w:val="single"/>
        </w:rPr>
        <w:t>m</w:t>
      </w:r>
      <w:r w:rsidRPr="003F0B84">
        <w:rPr>
          <w:rFonts w:ascii="Times New Roman" w:hAnsi="Times New Roman"/>
          <w:b/>
          <w:i/>
          <w:sz w:val="24"/>
          <w:u w:val="single"/>
          <w:vertAlign w:val="superscript"/>
        </w:rPr>
        <w:t>3</w:t>
      </w:r>
      <w:r w:rsidRPr="003F0B84">
        <w:rPr>
          <w:rFonts w:ascii="Times New Roman" w:hAnsi="Times New Roman"/>
          <w:b/>
          <w:i/>
          <w:sz w:val="24"/>
          <w:u w:val="single"/>
        </w:rPr>
        <w:t>/d</w:t>
      </w:r>
      <w:r w:rsidRPr="003F0B84">
        <w:rPr>
          <w:rFonts w:ascii="Times New Roman" w:hAnsi="Times New Roman"/>
          <w:b/>
          <w:i/>
          <w:sz w:val="24"/>
          <w:u w:val="single"/>
        </w:rPr>
        <w:t>（</w:t>
      </w:r>
      <w:r w:rsidRPr="003F0B84">
        <w:rPr>
          <w:rFonts w:ascii="Times New Roman" w:hAnsi="Times New Roman" w:hint="eastAsia"/>
          <w:b/>
          <w:i/>
          <w:sz w:val="24"/>
          <w:u w:val="single"/>
        </w:rPr>
        <w:t>1527123</w:t>
      </w:r>
      <w:r w:rsidRPr="003F0B84">
        <w:rPr>
          <w:rFonts w:ascii="Times New Roman" w:hAnsi="Times New Roman"/>
          <w:b/>
          <w:i/>
          <w:sz w:val="24"/>
          <w:u w:val="single"/>
        </w:rPr>
        <w:t>.5m</w:t>
      </w:r>
      <w:r w:rsidRPr="003F0B84">
        <w:rPr>
          <w:rFonts w:ascii="Times New Roman" w:hAnsi="Times New Roman"/>
          <w:b/>
          <w:i/>
          <w:sz w:val="24"/>
          <w:u w:val="single"/>
          <w:vertAlign w:val="superscript"/>
        </w:rPr>
        <w:t>3</w:t>
      </w:r>
      <w:r w:rsidRPr="003F0B84">
        <w:rPr>
          <w:rFonts w:ascii="Times New Roman" w:hAnsi="Times New Roman"/>
          <w:b/>
          <w:i/>
          <w:sz w:val="24"/>
          <w:u w:val="single"/>
        </w:rPr>
        <w:t>/a</w:t>
      </w:r>
      <w:r w:rsidRPr="003F0B84">
        <w:rPr>
          <w:rFonts w:ascii="Times New Roman" w:hAnsi="Times New Roman"/>
          <w:b/>
          <w:i/>
          <w:sz w:val="24"/>
          <w:u w:val="single"/>
        </w:rPr>
        <w:t>）</w:t>
      </w:r>
      <w:r w:rsidRPr="005E70E2">
        <w:rPr>
          <w:rFonts w:ascii="Times New Roman" w:hAnsi="Times New Roman"/>
          <w:b/>
          <w:i/>
          <w:sz w:val="24"/>
          <w:u w:val="single"/>
        </w:rPr>
        <w:t>，污染物排放量为</w:t>
      </w:r>
      <w:r w:rsidRPr="005E70E2">
        <w:rPr>
          <w:rFonts w:ascii="Times New Roman" w:hAnsi="Times New Roman"/>
          <w:b/>
          <w:i/>
          <w:sz w:val="24"/>
          <w:u w:val="single"/>
        </w:rPr>
        <w:t>COD</w:t>
      </w:r>
      <w:r w:rsidRPr="005E70E2">
        <w:rPr>
          <w:rFonts w:ascii="Times New Roman" w:hAnsi="Times New Roman"/>
          <w:b/>
          <w:i/>
          <w:sz w:val="24"/>
          <w:u w:val="single"/>
        </w:rPr>
        <w:t>：</w:t>
      </w:r>
      <w:r w:rsidRPr="005E70E2">
        <w:rPr>
          <w:rFonts w:ascii="Times New Roman" w:hAnsi="Times New Roman"/>
          <w:b/>
          <w:i/>
          <w:sz w:val="24"/>
          <w:u w:val="single"/>
        </w:rPr>
        <w:t>3</w:t>
      </w:r>
      <w:r>
        <w:rPr>
          <w:rFonts w:ascii="Times New Roman" w:hAnsi="Times New Roman" w:hint="eastAsia"/>
          <w:b/>
          <w:i/>
          <w:sz w:val="24"/>
          <w:u w:val="single"/>
        </w:rPr>
        <w:t>0.543</w:t>
      </w:r>
      <w:r w:rsidRPr="005E70E2">
        <w:rPr>
          <w:rFonts w:ascii="Times New Roman" w:hAnsi="Times New Roman"/>
          <w:b/>
          <w:i/>
          <w:sz w:val="24"/>
          <w:u w:val="single"/>
        </w:rPr>
        <w:t>t/a</w:t>
      </w:r>
      <w:r w:rsidRPr="005E70E2">
        <w:rPr>
          <w:rFonts w:ascii="Times New Roman" w:hAnsi="Times New Roman"/>
          <w:b/>
          <w:i/>
          <w:sz w:val="24"/>
          <w:u w:val="single"/>
        </w:rPr>
        <w:t>、</w:t>
      </w:r>
      <w:r w:rsidRPr="005E70E2">
        <w:rPr>
          <w:rFonts w:ascii="Times New Roman" w:hAnsi="Times New Roman"/>
          <w:b/>
          <w:i/>
          <w:sz w:val="24"/>
          <w:u w:val="single"/>
        </w:rPr>
        <w:t>SS</w:t>
      </w:r>
      <w:r w:rsidRPr="005E70E2">
        <w:rPr>
          <w:rFonts w:ascii="Times New Roman" w:hAnsi="Times New Roman"/>
          <w:b/>
          <w:i/>
          <w:sz w:val="24"/>
          <w:u w:val="single"/>
        </w:rPr>
        <w:t>：</w:t>
      </w:r>
      <w:r w:rsidRPr="005E70E2">
        <w:rPr>
          <w:rFonts w:ascii="Times New Roman" w:hAnsi="Times New Roman"/>
          <w:b/>
          <w:i/>
          <w:sz w:val="24"/>
          <w:u w:val="single"/>
        </w:rPr>
        <w:t>4</w:t>
      </w:r>
      <w:r>
        <w:rPr>
          <w:rFonts w:ascii="Times New Roman" w:hAnsi="Times New Roman" w:hint="eastAsia"/>
          <w:b/>
          <w:i/>
          <w:sz w:val="24"/>
          <w:u w:val="single"/>
        </w:rPr>
        <w:t>5.814</w:t>
      </w:r>
      <w:r w:rsidRPr="005E70E2">
        <w:rPr>
          <w:rFonts w:ascii="Times New Roman" w:hAnsi="Times New Roman"/>
          <w:b/>
          <w:i/>
          <w:sz w:val="24"/>
          <w:u w:val="single"/>
        </w:rPr>
        <w:t>t/a</w:t>
      </w:r>
      <w:r w:rsidRPr="005E70E2">
        <w:rPr>
          <w:rFonts w:ascii="Times New Roman" w:hAnsi="Times New Roman"/>
          <w:b/>
          <w:i/>
          <w:sz w:val="24"/>
          <w:u w:val="single"/>
        </w:rPr>
        <w:t>、</w:t>
      </w:r>
      <w:r w:rsidRPr="005E70E2">
        <w:rPr>
          <w:rFonts w:ascii="Times New Roman" w:hAnsi="Times New Roman"/>
          <w:b/>
          <w:i/>
          <w:sz w:val="24"/>
          <w:u w:val="single"/>
        </w:rPr>
        <w:t>NH</w:t>
      </w:r>
      <w:r w:rsidRPr="005E70E2">
        <w:rPr>
          <w:rFonts w:ascii="Times New Roman" w:hAnsi="Times New Roman"/>
          <w:b/>
          <w:i/>
          <w:sz w:val="24"/>
          <w:u w:val="single"/>
          <w:vertAlign w:val="subscript"/>
        </w:rPr>
        <w:t>3</w:t>
      </w:r>
      <w:r w:rsidRPr="005E70E2">
        <w:rPr>
          <w:rFonts w:ascii="Times New Roman" w:hAnsi="Times New Roman"/>
          <w:b/>
          <w:i/>
          <w:sz w:val="24"/>
          <w:u w:val="single"/>
        </w:rPr>
        <w:t>-N</w:t>
      </w:r>
      <w:r w:rsidRPr="005E70E2">
        <w:rPr>
          <w:rFonts w:ascii="Times New Roman" w:hAnsi="Times New Roman"/>
          <w:b/>
          <w:i/>
          <w:sz w:val="24"/>
          <w:u w:val="single"/>
        </w:rPr>
        <w:t>：</w:t>
      </w:r>
      <w:r w:rsidRPr="005E70E2">
        <w:rPr>
          <w:rFonts w:ascii="Times New Roman" w:hAnsi="Times New Roman"/>
          <w:b/>
          <w:i/>
          <w:sz w:val="24"/>
          <w:u w:val="single"/>
        </w:rPr>
        <w:t>0.</w:t>
      </w:r>
      <w:r>
        <w:rPr>
          <w:rFonts w:ascii="Times New Roman" w:hAnsi="Times New Roman" w:hint="eastAsia"/>
          <w:b/>
          <w:i/>
          <w:sz w:val="24"/>
          <w:u w:val="single"/>
        </w:rPr>
        <w:t>480</w:t>
      </w:r>
      <w:r w:rsidRPr="005E70E2">
        <w:rPr>
          <w:rFonts w:ascii="Times New Roman" w:hAnsi="Times New Roman"/>
          <w:b/>
          <w:i/>
          <w:sz w:val="24"/>
          <w:u w:val="single"/>
        </w:rPr>
        <w:t>t/a</w:t>
      </w:r>
      <w:r w:rsidRPr="005E70E2">
        <w:rPr>
          <w:rFonts w:ascii="Times New Roman" w:hAnsi="Times New Roman"/>
          <w:b/>
          <w:i/>
          <w:sz w:val="24"/>
          <w:u w:val="single"/>
        </w:rPr>
        <w:t>。</w:t>
      </w:r>
    </w:p>
    <w:p w:rsidR="002D1343" w:rsidRPr="005934E4" w:rsidRDefault="002D1343" w:rsidP="002D1343">
      <w:pPr>
        <w:adjustRightInd w:val="0"/>
        <w:snapToGrid w:val="0"/>
        <w:spacing w:line="520" w:lineRule="exact"/>
        <w:ind w:firstLine="568"/>
        <w:rPr>
          <w:spacing w:val="2"/>
          <w:sz w:val="24"/>
        </w:rPr>
      </w:pPr>
      <w:r w:rsidRPr="005934E4">
        <w:rPr>
          <w:spacing w:val="2"/>
          <w:sz w:val="24"/>
        </w:rPr>
        <w:t>（</w:t>
      </w:r>
      <w:r w:rsidRPr="005934E4">
        <w:rPr>
          <w:spacing w:val="2"/>
          <w:sz w:val="24"/>
        </w:rPr>
        <w:t>2</w:t>
      </w:r>
      <w:r w:rsidRPr="005934E4">
        <w:rPr>
          <w:spacing w:val="2"/>
          <w:sz w:val="24"/>
        </w:rPr>
        <w:t>）生活污水</w:t>
      </w:r>
    </w:p>
    <w:p w:rsidR="002D1343" w:rsidRPr="005934E4" w:rsidRDefault="002D1343" w:rsidP="002D1343">
      <w:pPr>
        <w:adjustRightInd w:val="0"/>
        <w:snapToGrid w:val="0"/>
        <w:spacing w:line="520" w:lineRule="exact"/>
        <w:ind w:firstLineChars="200" w:firstLine="490"/>
        <w:rPr>
          <w:spacing w:val="2"/>
          <w:sz w:val="24"/>
        </w:rPr>
      </w:pPr>
      <w:r w:rsidRPr="00033AE1">
        <w:rPr>
          <w:b/>
          <w:i/>
          <w:spacing w:val="2"/>
          <w:sz w:val="24"/>
          <w:u w:val="single"/>
        </w:rPr>
        <w:t>技改后设计工业场地生活污水产生量为</w:t>
      </w:r>
      <w:r w:rsidRPr="00033AE1">
        <w:rPr>
          <w:b/>
          <w:i/>
          <w:spacing w:val="2"/>
          <w:sz w:val="24"/>
          <w:u w:val="single"/>
        </w:rPr>
        <w:t>66.2m</w:t>
      </w:r>
      <w:r w:rsidRPr="00033AE1">
        <w:rPr>
          <w:b/>
          <w:i/>
          <w:spacing w:val="2"/>
          <w:sz w:val="24"/>
          <w:u w:val="single"/>
          <w:vertAlign w:val="superscript"/>
        </w:rPr>
        <w:t>3</w:t>
      </w:r>
      <w:r w:rsidRPr="00033AE1">
        <w:rPr>
          <w:b/>
          <w:i/>
          <w:spacing w:val="2"/>
          <w:sz w:val="24"/>
          <w:u w:val="single"/>
        </w:rPr>
        <w:t>/d</w:t>
      </w:r>
      <w:r w:rsidRPr="00033AE1">
        <w:rPr>
          <w:b/>
          <w:i/>
          <w:spacing w:val="2"/>
          <w:sz w:val="24"/>
          <w:u w:val="single"/>
        </w:rPr>
        <w:t>，</w:t>
      </w:r>
      <w:r w:rsidRPr="005934E4">
        <w:rPr>
          <w:spacing w:val="2"/>
          <w:sz w:val="24"/>
        </w:rPr>
        <w:t>升级改造后仍利用现有生活污水处理站，</w:t>
      </w:r>
      <w:r w:rsidRPr="00033AE1">
        <w:rPr>
          <w:rFonts w:hint="eastAsia"/>
          <w:b/>
          <w:i/>
          <w:spacing w:val="2"/>
          <w:sz w:val="24"/>
          <w:u w:val="single"/>
        </w:rPr>
        <w:t>生活污水处理站根据当地环保部门要求，按照最新环保要求于</w:t>
      </w:r>
      <w:r w:rsidRPr="00033AE1">
        <w:rPr>
          <w:rFonts w:hint="eastAsia"/>
          <w:b/>
          <w:i/>
          <w:spacing w:val="2"/>
          <w:sz w:val="24"/>
          <w:u w:val="single"/>
        </w:rPr>
        <w:t>2019</w:t>
      </w:r>
      <w:r w:rsidRPr="00033AE1">
        <w:rPr>
          <w:rFonts w:hint="eastAsia"/>
          <w:b/>
          <w:i/>
          <w:spacing w:val="2"/>
          <w:sz w:val="24"/>
          <w:u w:val="single"/>
        </w:rPr>
        <w:t>年</w:t>
      </w:r>
      <w:r>
        <w:rPr>
          <w:rFonts w:hint="eastAsia"/>
          <w:b/>
          <w:i/>
          <w:spacing w:val="2"/>
          <w:sz w:val="24"/>
          <w:u w:val="single"/>
        </w:rPr>
        <w:t>10</w:t>
      </w:r>
      <w:r>
        <w:rPr>
          <w:rFonts w:hint="eastAsia"/>
          <w:b/>
          <w:i/>
          <w:spacing w:val="2"/>
          <w:sz w:val="24"/>
          <w:u w:val="single"/>
        </w:rPr>
        <w:t>月建设完成，</w:t>
      </w:r>
      <w:r w:rsidRPr="00033AE1">
        <w:rPr>
          <w:b/>
          <w:i/>
          <w:spacing w:val="2"/>
          <w:sz w:val="24"/>
          <w:u w:val="single"/>
        </w:rPr>
        <w:t>处理设施为一套地埋式接触氧化工艺综合污水处理设备</w:t>
      </w:r>
      <w:r w:rsidRPr="00033AE1">
        <w:rPr>
          <w:rFonts w:hint="eastAsia"/>
          <w:b/>
          <w:i/>
          <w:spacing w:val="2"/>
          <w:sz w:val="24"/>
          <w:u w:val="single"/>
        </w:rPr>
        <w:t>，</w:t>
      </w:r>
      <w:r w:rsidRPr="005934E4">
        <w:rPr>
          <w:spacing w:val="2"/>
          <w:sz w:val="24"/>
        </w:rPr>
        <w:t>处理规模</w:t>
      </w:r>
      <w:r w:rsidRPr="005934E4">
        <w:rPr>
          <w:spacing w:val="2"/>
          <w:sz w:val="24"/>
        </w:rPr>
        <w:t>10m</w:t>
      </w:r>
      <w:r w:rsidRPr="005934E4">
        <w:rPr>
          <w:spacing w:val="2"/>
          <w:sz w:val="24"/>
          <w:vertAlign w:val="superscript"/>
        </w:rPr>
        <w:t>3</w:t>
      </w:r>
      <w:r w:rsidRPr="005934E4">
        <w:rPr>
          <w:spacing w:val="2"/>
          <w:sz w:val="24"/>
        </w:rPr>
        <w:t>/h</w:t>
      </w:r>
      <w:r w:rsidRPr="005934E4">
        <w:rPr>
          <w:spacing w:val="2"/>
          <w:sz w:val="24"/>
        </w:rPr>
        <w:t>（即</w:t>
      </w:r>
      <w:r w:rsidRPr="005934E4">
        <w:rPr>
          <w:spacing w:val="2"/>
          <w:sz w:val="24"/>
        </w:rPr>
        <w:t>240m</w:t>
      </w:r>
      <w:r w:rsidRPr="005934E4">
        <w:rPr>
          <w:spacing w:val="2"/>
          <w:sz w:val="24"/>
          <w:vertAlign w:val="superscript"/>
        </w:rPr>
        <w:t>3</w:t>
      </w:r>
      <w:r w:rsidRPr="005934E4">
        <w:rPr>
          <w:spacing w:val="2"/>
          <w:sz w:val="24"/>
        </w:rPr>
        <w:t>/d</w:t>
      </w:r>
      <w:r w:rsidRPr="005934E4">
        <w:rPr>
          <w:spacing w:val="2"/>
          <w:sz w:val="24"/>
        </w:rPr>
        <w:t>）。</w:t>
      </w:r>
      <w:r w:rsidRPr="00033AE1">
        <w:rPr>
          <w:b/>
          <w:i/>
          <w:spacing w:val="2"/>
          <w:sz w:val="24"/>
          <w:u w:val="single"/>
        </w:rPr>
        <w:t>项目处理后的生活污水满足《污水综合排放标准》（</w:t>
      </w:r>
      <w:r w:rsidRPr="00033AE1">
        <w:rPr>
          <w:b/>
          <w:i/>
          <w:spacing w:val="2"/>
          <w:sz w:val="24"/>
          <w:u w:val="single"/>
        </w:rPr>
        <w:t>GB8978-1996</w:t>
      </w:r>
      <w:r w:rsidRPr="00033AE1">
        <w:rPr>
          <w:b/>
          <w:i/>
          <w:spacing w:val="2"/>
          <w:sz w:val="24"/>
          <w:u w:val="single"/>
        </w:rPr>
        <w:t>）一级标准，同时满足《城市污水再生利用</w:t>
      </w:r>
      <w:r w:rsidRPr="00033AE1">
        <w:rPr>
          <w:b/>
          <w:i/>
          <w:spacing w:val="2"/>
          <w:sz w:val="24"/>
          <w:u w:val="single"/>
        </w:rPr>
        <w:t xml:space="preserve"> </w:t>
      </w:r>
      <w:r w:rsidRPr="00033AE1">
        <w:rPr>
          <w:b/>
          <w:i/>
          <w:spacing w:val="2"/>
          <w:sz w:val="24"/>
          <w:u w:val="single"/>
        </w:rPr>
        <w:t>城市杂用水水质》（</w:t>
      </w:r>
      <w:r w:rsidRPr="00033AE1">
        <w:rPr>
          <w:b/>
          <w:i/>
          <w:spacing w:val="2"/>
          <w:sz w:val="24"/>
          <w:u w:val="single"/>
        </w:rPr>
        <w:t>GB/T18920-2020</w:t>
      </w:r>
      <w:r w:rsidRPr="00033AE1">
        <w:rPr>
          <w:b/>
          <w:i/>
          <w:spacing w:val="2"/>
          <w:sz w:val="24"/>
          <w:u w:val="single"/>
        </w:rPr>
        <w:t>）标准要求后进行综合利用，不外排。</w:t>
      </w:r>
      <w:r w:rsidRPr="005934E4">
        <w:rPr>
          <w:spacing w:val="2"/>
          <w:sz w:val="24"/>
        </w:rPr>
        <w:t>项目处理达标后的生活污水，</w:t>
      </w:r>
      <w:r w:rsidRPr="005934E4">
        <w:rPr>
          <w:sz w:val="24"/>
        </w:rPr>
        <w:t>部分（</w:t>
      </w:r>
      <w:r w:rsidRPr="005934E4">
        <w:rPr>
          <w:sz w:val="24"/>
        </w:rPr>
        <w:t>15.6m</w:t>
      </w:r>
      <w:r w:rsidRPr="005934E4">
        <w:rPr>
          <w:sz w:val="24"/>
          <w:vertAlign w:val="superscript"/>
        </w:rPr>
        <w:t>3</w:t>
      </w:r>
      <w:r w:rsidRPr="005934E4">
        <w:rPr>
          <w:sz w:val="24"/>
        </w:rPr>
        <w:t>/d</w:t>
      </w:r>
      <w:r w:rsidRPr="005934E4">
        <w:rPr>
          <w:sz w:val="24"/>
        </w:rPr>
        <w:t>）用于工业场地地面防尘绿化及景观用水，部分（</w:t>
      </w:r>
      <w:r w:rsidRPr="005934E4">
        <w:rPr>
          <w:sz w:val="24"/>
        </w:rPr>
        <w:t>38.2m</w:t>
      </w:r>
      <w:r w:rsidRPr="005934E4">
        <w:rPr>
          <w:sz w:val="24"/>
          <w:vertAlign w:val="superscript"/>
        </w:rPr>
        <w:t>3</w:t>
      </w:r>
      <w:r w:rsidRPr="005934E4">
        <w:rPr>
          <w:sz w:val="24"/>
        </w:rPr>
        <w:t>/d</w:t>
      </w:r>
      <w:r w:rsidRPr="005934E4">
        <w:rPr>
          <w:sz w:val="24"/>
        </w:rPr>
        <w:t>）</w:t>
      </w:r>
      <w:r w:rsidRPr="005934E4">
        <w:rPr>
          <w:sz w:val="24"/>
        </w:rPr>
        <w:lastRenderedPageBreak/>
        <w:t>用于运输道路防尘用水，剩余部分（</w:t>
      </w:r>
      <w:r w:rsidRPr="005934E4">
        <w:rPr>
          <w:sz w:val="24"/>
        </w:rPr>
        <w:t>12.4m</w:t>
      </w:r>
      <w:r w:rsidRPr="005934E4">
        <w:rPr>
          <w:sz w:val="24"/>
          <w:vertAlign w:val="superscript"/>
        </w:rPr>
        <w:t>3</w:t>
      </w:r>
      <w:r w:rsidRPr="005934E4">
        <w:rPr>
          <w:sz w:val="24"/>
        </w:rPr>
        <w:t>/d</w:t>
      </w:r>
      <w:r w:rsidRPr="005934E4">
        <w:rPr>
          <w:sz w:val="24"/>
        </w:rPr>
        <w:t>）用于车辆冲洗补充水，不外排</w:t>
      </w:r>
      <w:r w:rsidRPr="005934E4">
        <w:rPr>
          <w:color w:val="000000"/>
          <w:sz w:val="24"/>
        </w:rPr>
        <w:t>。生活污水综合利用率为</w:t>
      </w:r>
      <w:r w:rsidRPr="005934E4">
        <w:rPr>
          <w:color w:val="000000"/>
          <w:sz w:val="24"/>
        </w:rPr>
        <w:t>100%</w:t>
      </w:r>
      <w:r w:rsidRPr="005934E4">
        <w:rPr>
          <w:color w:val="000000"/>
          <w:sz w:val="24"/>
        </w:rPr>
        <w:t>。</w:t>
      </w:r>
    </w:p>
    <w:p w:rsidR="002D1343" w:rsidRPr="005934E4" w:rsidRDefault="002D1343" w:rsidP="002D1343">
      <w:pPr>
        <w:adjustRightInd w:val="0"/>
        <w:snapToGrid w:val="0"/>
        <w:spacing w:line="520" w:lineRule="exact"/>
        <w:ind w:firstLineChars="200" w:firstLine="488"/>
        <w:rPr>
          <w:sz w:val="24"/>
        </w:rPr>
      </w:pPr>
      <w:r w:rsidRPr="005934E4">
        <w:rPr>
          <w:spacing w:val="2"/>
          <w:sz w:val="24"/>
        </w:rPr>
        <w:t xml:space="preserve"> </w:t>
      </w:r>
      <w:r w:rsidRPr="005934E4">
        <w:rPr>
          <w:sz w:val="24"/>
        </w:rPr>
        <w:t>来水</w:t>
      </w:r>
      <w:r w:rsidRPr="005934E4">
        <w:rPr>
          <w:sz w:val="24"/>
        </w:rPr>
        <w:t>→</w:t>
      </w:r>
      <w:r w:rsidRPr="005934E4">
        <w:rPr>
          <w:sz w:val="24"/>
        </w:rPr>
        <w:t>格栅</w:t>
      </w:r>
      <w:r w:rsidRPr="005934E4">
        <w:rPr>
          <w:sz w:val="24"/>
        </w:rPr>
        <w:t>→</w:t>
      </w:r>
      <w:r w:rsidRPr="005934E4">
        <w:rPr>
          <w:sz w:val="24"/>
        </w:rPr>
        <w:t>调节水池</w:t>
      </w:r>
      <w:r w:rsidRPr="005934E4">
        <w:rPr>
          <w:sz w:val="24"/>
        </w:rPr>
        <w:t>→</w:t>
      </w:r>
      <w:r w:rsidRPr="005934E4">
        <w:rPr>
          <w:sz w:val="24"/>
        </w:rPr>
        <w:t>进水泵房</w:t>
      </w:r>
      <w:r w:rsidRPr="005934E4">
        <w:rPr>
          <w:sz w:val="24"/>
        </w:rPr>
        <w:t>→</w:t>
      </w:r>
      <w:r w:rsidRPr="005934E4">
        <w:rPr>
          <w:sz w:val="24"/>
        </w:rPr>
        <w:t>接触氧化法综合污水处理设备（集接触氧化</w:t>
      </w:r>
      <w:r w:rsidRPr="005934E4">
        <w:rPr>
          <w:sz w:val="24"/>
        </w:rPr>
        <w:t>→</w:t>
      </w:r>
      <w:r w:rsidRPr="005934E4">
        <w:rPr>
          <w:sz w:val="24"/>
        </w:rPr>
        <w:t>生物过滤</w:t>
      </w:r>
      <w:r w:rsidRPr="005934E4">
        <w:rPr>
          <w:sz w:val="24"/>
        </w:rPr>
        <w:t>→</w:t>
      </w:r>
      <w:r w:rsidRPr="005934E4">
        <w:rPr>
          <w:sz w:val="24"/>
        </w:rPr>
        <w:t>消毒于一体）</w:t>
      </w:r>
      <w:r w:rsidRPr="005934E4">
        <w:rPr>
          <w:sz w:val="24"/>
        </w:rPr>
        <w:t>→</w:t>
      </w:r>
      <w:r w:rsidRPr="005934E4">
        <w:rPr>
          <w:sz w:val="24"/>
        </w:rPr>
        <w:t>评价建议综合利用</w:t>
      </w:r>
      <w:r w:rsidRPr="005934E4">
        <w:rPr>
          <w:spacing w:val="2"/>
          <w:sz w:val="24"/>
        </w:rPr>
        <w:t>。</w:t>
      </w:r>
    </w:p>
    <w:p w:rsidR="002D1343" w:rsidRPr="005934E4" w:rsidRDefault="002D1343" w:rsidP="002D1343">
      <w:pPr>
        <w:adjustRightInd w:val="0"/>
        <w:snapToGrid w:val="0"/>
        <w:spacing w:line="520" w:lineRule="exact"/>
        <w:ind w:firstLine="488"/>
        <w:jc w:val="center"/>
        <w:rPr>
          <w:rFonts w:eastAsia="黑体"/>
          <w:spacing w:val="2"/>
          <w:sz w:val="24"/>
        </w:rPr>
      </w:pPr>
      <w:r w:rsidRPr="005934E4">
        <w:rPr>
          <w:rFonts w:eastAsia="黑体"/>
          <w:spacing w:val="2"/>
          <w:sz w:val="24"/>
        </w:rPr>
        <w:t>图</w:t>
      </w:r>
      <w:r w:rsidRPr="005934E4">
        <w:rPr>
          <w:rFonts w:eastAsia="黑体"/>
          <w:spacing w:val="2"/>
          <w:sz w:val="24"/>
        </w:rPr>
        <w:t xml:space="preserve">3.4-2  </w:t>
      </w:r>
      <w:r w:rsidRPr="005934E4">
        <w:rPr>
          <w:rFonts w:eastAsia="黑体"/>
          <w:spacing w:val="2"/>
          <w:sz w:val="24"/>
        </w:rPr>
        <w:t>工业场地生活污水处理工艺流程</w:t>
      </w:r>
    </w:p>
    <w:p w:rsidR="002D1343" w:rsidRPr="00821D3D" w:rsidRDefault="002D1343" w:rsidP="002D1343">
      <w:pPr>
        <w:adjustRightInd w:val="0"/>
        <w:snapToGrid w:val="0"/>
        <w:spacing w:line="520" w:lineRule="exact"/>
        <w:ind w:firstLineChars="200" w:firstLine="488"/>
        <w:rPr>
          <w:spacing w:val="2"/>
          <w:sz w:val="24"/>
        </w:rPr>
      </w:pPr>
      <w:r w:rsidRPr="00821D3D">
        <w:rPr>
          <w:spacing w:val="2"/>
          <w:sz w:val="24"/>
        </w:rPr>
        <w:t>（</w:t>
      </w:r>
      <w:r w:rsidRPr="00821D3D">
        <w:rPr>
          <w:spacing w:val="2"/>
          <w:sz w:val="24"/>
        </w:rPr>
        <w:t>3</w:t>
      </w:r>
      <w:r w:rsidRPr="00821D3D">
        <w:rPr>
          <w:spacing w:val="2"/>
          <w:sz w:val="24"/>
        </w:rPr>
        <w:t>）初期雨水</w:t>
      </w:r>
    </w:p>
    <w:p w:rsidR="002D1343" w:rsidRPr="00821D3D" w:rsidRDefault="002D1343" w:rsidP="002D1343">
      <w:pPr>
        <w:adjustRightInd w:val="0"/>
        <w:snapToGrid w:val="0"/>
        <w:spacing w:line="520" w:lineRule="exact"/>
        <w:ind w:firstLineChars="200" w:firstLine="488"/>
        <w:rPr>
          <w:spacing w:val="2"/>
          <w:sz w:val="24"/>
        </w:rPr>
      </w:pPr>
      <w:r w:rsidRPr="00821D3D">
        <w:rPr>
          <w:spacing w:val="2"/>
          <w:sz w:val="24"/>
        </w:rPr>
        <w:t>升级改造后拟在工业广场东南角新建</w:t>
      </w:r>
      <w:r w:rsidRPr="00821D3D">
        <w:rPr>
          <w:spacing w:val="2"/>
          <w:sz w:val="24"/>
        </w:rPr>
        <w:t>1</w:t>
      </w:r>
      <w:r w:rsidRPr="00821D3D">
        <w:rPr>
          <w:spacing w:val="2"/>
          <w:sz w:val="24"/>
        </w:rPr>
        <w:t>座初期雨水收集池，容积</w:t>
      </w:r>
      <w:r w:rsidRPr="00821D3D">
        <w:rPr>
          <w:spacing w:val="2"/>
          <w:sz w:val="24"/>
        </w:rPr>
        <w:t>150m</w:t>
      </w:r>
      <w:r w:rsidRPr="00821D3D">
        <w:rPr>
          <w:spacing w:val="2"/>
          <w:sz w:val="24"/>
          <w:vertAlign w:val="superscript"/>
        </w:rPr>
        <w:t>3</w:t>
      </w:r>
      <w:r w:rsidRPr="00821D3D">
        <w:rPr>
          <w:spacing w:val="2"/>
          <w:sz w:val="24"/>
        </w:rPr>
        <w:t>，初期雨水经收集后用于工业场地及运输道路洒水等，不外排。</w:t>
      </w:r>
    </w:p>
    <w:p w:rsidR="002D1343" w:rsidRPr="00821D3D" w:rsidRDefault="002D1343" w:rsidP="002D1343">
      <w:pPr>
        <w:pStyle w:val="ae"/>
        <w:spacing w:line="520" w:lineRule="exact"/>
        <w:ind w:firstLineChars="200" w:firstLine="480"/>
        <w:rPr>
          <w:rFonts w:ascii="Times New Roman" w:hAnsi="Times New Roman"/>
          <w:sz w:val="24"/>
        </w:rPr>
      </w:pPr>
      <w:r w:rsidRPr="00821D3D">
        <w:rPr>
          <w:rFonts w:ascii="Times New Roman" w:hAnsi="Times New Roman"/>
          <w:sz w:val="24"/>
        </w:rPr>
        <w:t>初期雨水收集池设在</w:t>
      </w:r>
      <w:r w:rsidRPr="00821D3D">
        <w:rPr>
          <w:rFonts w:ascii="Times New Roman" w:hAnsi="Times New Roman"/>
          <w:spacing w:val="2"/>
          <w:sz w:val="24"/>
        </w:rPr>
        <w:t>地势较低处，根据禹州市统计资料，禹州市多</w:t>
      </w:r>
      <w:r w:rsidRPr="00821D3D">
        <w:rPr>
          <w:rFonts w:ascii="Times New Roman" w:hAnsi="Times New Roman"/>
          <w:sz w:val="24"/>
        </w:rPr>
        <w:t>年平均降雨量</w:t>
      </w:r>
      <w:r w:rsidRPr="00821D3D">
        <w:rPr>
          <w:rFonts w:ascii="Times New Roman" w:hAnsi="Times New Roman"/>
          <w:sz w:val="24"/>
        </w:rPr>
        <w:t>663.1mm</w:t>
      </w:r>
      <w:r w:rsidRPr="00821D3D">
        <w:rPr>
          <w:rFonts w:ascii="Times New Roman" w:hAnsi="Times New Roman"/>
          <w:sz w:val="24"/>
        </w:rPr>
        <w:t>，禹州市鸠山雨量站多年观测，鸠山</w:t>
      </w:r>
      <w:r w:rsidRPr="00821D3D">
        <w:rPr>
          <w:rFonts w:ascii="Times New Roman" w:hAnsi="Times New Roman"/>
          <w:sz w:val="24"/>
        </w:rPr>
        <w:t>7</w:t>
      </w:r>
      <w:r w:rsidRPr="00821D3D">
        <w:rPr>
          <w:rFonts w:ascii="Times New Roman" w:hAnsi="Times New Roman"/>
          <w:sz w:val="24"/>
        </w:rPr>
        <w:t>月多年月降水量</w:t>
      </w:r>
      <w:r w:rsidRPr="00821D3D">
        <w:rPr>
          <w:rFonts w:ascii="Times New Roman" w:hAnsi="Times New Roman"/>
          <w:sz w:val="24"/>
        </w:rPr>
        <w:t>179.00mm</w:t>
      </w:r>
      <w:r w:rsidRPr="00821D3D">
        <w:rPr>
          <w:rFonts w:ascii="Times New Roman" w:hAnsi="Times New Roman"/>
          <w:sz w:val="24"/>
        </w:rPr>
        <w:t>、</w:t>
      </w:r>
      <w:r w:rsidRPr="00821D3D">
        <w:rPr>
          <w:rFonts w:ascii="Times New Roman" w:hAnsi="Times New Roman"/>
          <w:sz w:val="24"/>
        </w:rPr>
        <w:t>8</w:t>
      </w:r>
      <w:r w:rsidRPr="00821D3D">
        <w:rPr>
          <w:rFonts w:ascii="Times New Roman" w:hAnsi="Times New Roman"/>
          <w:sz w:val="24"/>
        </w:rPr>
        <w:t>月多年月降雨量</w:t>
      </w:r>
      <w:r w:rsidRPr="00821D3D">
        <w:rPr>
          <w:rFonts w:ascii="Times New Roman" w:hAnsi="Times New Roman"/>
          <w:sz w:val="24"/>
        </w:rPr>
        <w:t>134.77mm</w:t>
      </w:r>
      <w:r w:rsidRPr="00821D3D">
        <w:rPr>
          <w:rFonts w:ascii="Times New Roman" w:hAnsi="Times New Roman"/>
          <w:sz w:val="24"/>
        </w:rPr>
        <w:t>，工业广场</w:t>
      </w:r>
      <w:r w:rsidRPr="00821D3D">
        <w:rPr>
          <w:rFonts w:ascii="Times New Roman" w:hAnsi="Times New Roman"/>
          <w:spacing w:val="2"/>
          <w:sz w:val="24"/>
        </w:rPr>
        <w:t>占地面积</w:t>
      </w:r>
      <w:r w:rsidRPr="00821D3D">
        <w:rPr>
          <w:rFonts w:ascii="Times New Roman" w:hAnsi="Times New Roman"/>
          <w:spacing w:val="2"/>
          <w:sz w:val="24"/>
        </w:rPr>
        <w:t>1.92hm</w:t>
      </w:r>
      <w:r w:rsidRPr="00821D3D">
        <w:rPr>
          <w:rFonts w:ascii="Times New Roman" w:hAnsi="Times New Roman"/>
          <w:spacing w:val="2"/>
          <w:sz w:val="24"/>
          <w:vertAlign w:val="superscript"/>
        </w:rPr>
        <w:t>2</w:t>
      </w:r>
      <w:r w:rsidRPr="00821D3D">
        <w:rPr>
          <w:rFonts w:ascii="Times New Roman" w:hAnsi="Times New Roman"/>
          <w:spacing w:val="2"/>
          <w:sz w:val="24"/>
        </w:rPr>
        <w:t>，初期雨水收集按</w:t>
      </w:r>
      <w:r w:rsidRPr="00821D3D">
        <w:rPr>
          <w:rFonts w:ascii="Times New Roman" w:hAnsi="Times New Roman"/>
          <w:spacing w:val="2"/>
          <w:sz w:val="24"/>
        </w:rPr>
        <w:t>5</w:t>
      </w:r>
      <w:r w:rsidRPr="00821D3D">
        <w:rPr>
          <w:rFonts w:ascii="Times New Roman" w:hAnsi="Times New Roman"/>
          <w:spacing w:val="2"/>
          <w:sz w:val="24"/>
        </w:rPr>
        <w:t>分钟</w:t>
      </w:r>
      <w:r w:rsidRPr="00821D3D">
        <w:rPr>
          <w:rFonts w:ascii="Times New Roman" w:hAnsi="Times New Roman"/>
          <w:spacing w:val="2"/>
          <w:sz w:val="24"/>
        </w:rPr>
        <w:t>7.5mm</w:t>
      </w:r>
      <w:r w:rsidRPr="00821D3D">
        <w:rPr>
          <w:rFonts w:ascii="Times New Roman" w:hAnsi="Times New Roman"/>
          <w:spacing w:val="2"/>
          <w:sz w:val="24"/>
        </w:rPr>
        <w:t>降雨量计算，据此计算初期雨水量约</w:t>
      </w:r>
      <w:r w:rsidRPr="00821D3D">
        <w:rPr>
          <w:rFonts w:ascii="Times New Roman" w:hAnsi="Times New Roman"/>
          <w:spacing w:val="2"/>
          <w:sz w:val="24"/>
        </w:rPr>
        <w:t>131.25m</w:t>
      </w:r>
      <w:r w:rsidRPr="00821D3D">
        <w:rPr>
          <w:rFonts w:ascii="Times New Roman" w:hAnsi="Times New Roman"/>
          <w:spacing w:val="2"/>
          <w:sz w:val="24"/>
          <w:vertAlign w:val="superscript"/>
        </w:rPr>
        <w:t>3</w:t>
      </w:r>
      <w:r w:rsidRPr="00821D3D">
        <w:rPr>
          <w:rFonts w:ascii="Times New Roman" w:hAnsi="Times New Roman"/>
          <w:spacing w:val="2"/>
          <w:sz w:val="24"/>
        </w:rPr>
        <w:t>，初期雨水收集池容积</w:t>
      </w:r>
      <w:r w:rsidRPr="00821D3D">
        <w:rPr>
          <w:rFonts w:ascii="Times New Roman" w:hAnsi="Times New Roman"/>
          <w:spacing w:val="2"/>
          <w:sz w:val="24"/>
        </w:rPr>
        <w:t>150m</w:t>
      </w:r>
      <w:r w:rsidRPr="00821D3D">
        <w:rPr>
          <w:rFonts w:ascii="Times New Roman" w:hAnsi="Times New Roman"/>
          <w:spacing w:val="2"/>
          <w:sz w:val="24"/>
          <w:vertAlign w:val="superscript"/>
        </w:rPr>
        <w:t>3</w:t>
      </w:r>
      <w:r w:rsidRPr="00821D3D">
        <w:rPr>
          <w:rFonts w:ascii="Times New Roman" w:hAnsi="Times New Roman"/>
          <w:spacing w:val="2"/>
          <w:sz w:val="24"/>
        </w:rPr>
        <w:t>，能够满足初期雨水收集的需要，</w:t>
      </w:r>
      <w:r w:rsidRPr="00821D3D">
        <w:rPr>
          <w:rFonts w:ascii="Times New Roman" w:hAnsi="Times New Roman"/>
          <w:sz w:val="24"/>
        </w:rPr>
        <w:t>经收集沉淀后用回用于</w:t>
      </w:r>
      <w:r w:rsidR="00802A62">
        <w:rPr>
          <w:rFonts w:ascii="Times New Roman" w:hAnsi="Times New Roman"/>
          <w:sz w:val="24"/>
        </w:rPr>
        <w:t>储煤库</w:t>
      </w:r>
      <w:r w:rsidRPr="00821D3D">
        <w:rPr>
          <w:rFonts w:ascii="Times New Roman" w:hAnsi="Times New Roman"/>
          <w:sz w:val="24"/>
        </w:rPr>
        <w:t>防尘洒水等，不外排。</w:t>
      </w:r>
    </w:p>
    <w:p w:rsidR="002D1343" w:rsidRPr="00821D3D" w:rsidRDefault="002D1343" w:rsidP="002D1343">
      <w:pPr>
        <w:pStyle w:val="ae"/>
        <w:spacing w:line="520" w:lineRule="exact"/>
        <w:ind w:firstLineChars="200" w:firstLine="480"/>
        <w:rPr>
          <w:rFonts w:ascii="Times New Roman" w:hAnsi="Times New Roman"/>
          <w:b/>
          <w:sz w:val="24"/>
          <w:u w:val="single"/>
        </w:rPr>
      </w:pPr>
      <w:r w:rsidRPr="00821D3D">
        <w:rPr>
          <w:rFonts w:ascii="Times New Roman" w:hAnsi="Times New Roman"/>
          <w:sz w:val="24"/>
        </w:rPr>
        <w:t>综上所述，项目废水排放总量</w:t>
      </w:r>
      <w:r>
        <w:rPr>
          <w:rFonts w:ascii="Times New Roman" w:hAnsi="Times New Roman" w:hint="eastAsia"/>
          <w:sz w:val="24"/>
        </w:rPr>
        <w:t>：</w:t>
      </w:r>
      <w:r w:rsidRPr="003F0B84">
        <w:rPr>
          <w:rFonts w:ascii="Times New Roman" w:hAnsi="Times New Roman" w:hint="eastAsia"/>
          <w:b/>
          <w:i/>
          <w:sz w:val="24"/>
          <w:u w:val="single"/>
        </w:rPr>
        <w:t>4183.9</w:t>
      </w:r>
      <w:r w:rsidRPr="003F0B84">
        <w:rPr>
          <w:rFonts w:ascii="Times New Roman" w:hAnsi="Times New Roman"/>
          <w:b/>
          <w:i/>
          <w:sz w:val="24"/>
          <w:u w:val="single"/>
        </w:rPr>
        <w:t>m</w:t>
      </w:r>
      <w:r w:rsidRPr="003F0B84">
        <w:rPr>
          <w:rFonts w:ascii="Times New Roman" w:hAnsi="Times New Roman"/>
          <w:b/>
          <w:i/>
          <w:sz w:val="24"/>
          <w:u w:val="single"/>
          <w:vertAlign w:val="superscript"/>
        </w:rPr>
        <w:t>3</w:t>
      </w:r>
      <w:r w:rsidRPr="003F0B84">
        <w:rPr>
          <w:rFonts w:ascii="Times New Roman" w:hAnsi="Times New Roman"/>
          <w:b/>
          <w:i/>
          <w:sz w:val="24"/>
          <w:u w:val="single"/>
        </w:rPr>
        <w:t>/d</w:t>
      </w:r>
      <w:r w:rsidRPr="003F0B84">
        <w:rPr>
          <w:rFonts w:ascii="Times New Roman" w:hAnsi="Times New Roman"/>
          <w:b/>
          <w:i/>
          <w:sz w:val="24"/>
          <w:u w:val="single"/>
        </w:rPr>
        <w:t>（</w:t>
      </w:r>
      <w:r w:rsidRPr="003F0B84">
        <w:rPr>
          <w:rFonts w:ascii="Times New Roman" w:hAnsi="Times New Roman" w:hint="eastAsia"/>
          <w:b/>
          <w:i/>
          <w:sz w:val="24"/>
          <w:u w:val="single"/>
        </w:rPr>
        <w:t>1527123</w:t>
      </w:r>
      <w:r w:rsidRPr="003F0B84">
        <w:rPr>
          <w:rFonts w:ascii="Times New Roman" w:hAnsi="Times New Roman"/>
          <w:b/>
          <w:i/>
          <w:sz w:val="24"/>
          <w:u w:val="single"/>
        </w:rPr>
        <w:t>.5m</w:t>
      </w:r>
      <w:r w:rsidRPr="003F0B84">
        <w:rPr>
          <w:rFonts w:ascii="Times New Roman" w:hAnsi="Times New Roman"/>
          <w:b/>
          <w:i/>
          <w:sz w:val="24"/>
          <w:u w:val="single"/>
          <w:vertAlign w:val="superscript"/>
        </w:rPr>
        <w:t>3</w:t>
      </w:r>
      <w:r w:rsidRPr="003F0B84">
        <w:rPr>
          <w:rFonts w:ascii="Times New Roman" w:hAnsi="Times New Roman"/>
          <w:b/>
          <w:i/>
          <w:sz w:val="24"/>
          <w:u w:val="single"/>
        </w:rPr>
        <w:t>/a</w:t>
      </w:r>
      <w:r w:rsidRPr="003F0B84">
        <w:rPr>
          <w:rFonts w:ascii="Times New Roman" w:hAnsi="Times New Roman"/>
          <w:b/>
          <w:i/>
          <w:sz w:val="24"/>
          <w:u w:val="single"/>
        </w:rPr>
        <w:t>）</w:t>
      </w:r>
      <w:r w:rsidRPr="005E70E2">
        <w:rPr>
          <w:rFonts w:ascii="Times New Roman" w:hAnsi="Times New Roman"/>
          <w:b/>
          <w:i/>
          <w:sz w:val="24"/>
          <w:u w:val="single"/>
        </w:rPr>
        <w:t>，</w:t>
      </w:r>
      <w:r w:rsidRPr="00B171A8">
        <w:rPr>
          <w:rFonts w:ascii="Times New Roman" w:hAnsi="Times New Roman"/>
          <w:b/>
          <w:i/>
          <w:sz w:val="24"/>
          <w:u w:val="single"/>
        </w:rPr>
        <w:t>全部为矿井水，外排矿井水污染物的浓度分别为</w:t>
      </w:r>
      <w:r w:rsidRPr="00B171A8">
        <w:rPr>
          <w:rFonts w:ascii="Times New Roman" w:hAnsi="Times New Roman"/>
          <w:b/>
          <w:i/>
          <w:sz w:val="24"/>
          <w:u w:val="single"/>
        </w:rPr>
        <w:t>COD</w:t>
      </w:r>
      <w:r w:rsidRPr="00B171A8">
        <w:rPr>
          <w:rFonts w:ascii="Times New Roman" w:hAnsi="Times New Roman"/>
          <w:b/>
          <w:i/>
          <w:sz w:val="24"/>
          <w:u w:val="single"/>
        </w:rPr>
        <w:t>：</w:t>
      </w:r>
      <w:r w:rsidRPr="00B171A8">
        <w:rPr>
          <w:rFonts w:ascii="Times New Roman" w:hAnsi="Times New Roman"/>
          <w:b/>
          <w:i/>
          <w:sz w:val="24"/>
          <w:u w:val="single"/>
        </w:rPr>
        <w:t>20</w:t>
      </w:r>
      <w:r w:rsidRPr="00B171A8">
        <w:rPr>
          <w:rFonts w:ascii="Times New Roman" w:hAnsi="Times New Roman" w:hint="eastAsia"/>
          <w:b/>
          <w:i/>
          <w:sz w:val="24"/>
          <w:u w:val="single"/>
        </w:rPr>
        <w:t>mg</w:t>
      </w:r>
      <w:r w:rsidRPr="00B171A8">
        <w:rPr>
          <w:rFonts w:ascii="Times New Roman" w:hAnsi="Times New Roman"/>
          <w:b/>
          <w:i/>
          <w:sz w:val="24"/>
          <w:u w:val="single"/>
        </w:rPr>
        <w:t>/L</w:t>
      </w:r>
      <w:r w:rsidRPr="00B171A8">
        <w:rPr>
          <w:rFonts w:ascii="Times New Roman" w:hAnsi="Times New Roman"/>
          <w:b/>
          <w:i/>
          <w:sz w:val="24"/>
          <w:u w:val="single"/>
        </w:rPr>
        <w:t>、</w:t>
      </w:r>
      <w:r w:rsidRPr="00B171A8">
        <w:rPr>
          <w:rFonts w:ascii="Times New Roman" w:hAnsi="Times New Roman"/>
          <w:b/>
          <w:i/>
          <w:sz w:val="24"/>
          <w:u w:val="single"/>
        </w:rPr>
        <w:t>SS</w:t>
      </w:r>
      <w:r w:rsidRPr="00B171A8">
        <w:rPr>
          <w:rFonts w:ascii="Times New Roman" w:hAnsi="Times New Roman"/>
          <w:b/>
          <w:i/>
          <w:sz w:val="24"/>
          <w:u w:val="single"/>
        </w:rPr>
        <w:t>：</w:t>
      </w:r>
      <w:r w:rsidRPr="00B171A8">
        <w:rPr>
          <w:rFonts w:ascii="Times New Roman" w:hAnsi="Times New Roman"/>
          <w:b/>
          <w:i/>
          <w:sz w:val="24"/>
          <w:u w:val="single"/>
        </w:rPr>
        <w:t>30</w:t>
      </w:r>
      <w:r w:rsidRPr="00B171A8">
        <w:rPr>
          <w:rFonts w:ascii="Times New Roman" w:hAnsi="Times New Roman" w:hint="eastAsia"/>
          <w:b/>
          <w:i/>
          <w:sz w:val="24"/>
          <w:u w:val="single"/>
        </w:rPr>
        <w:t>mg</w:t>
      </w:r>
      <w:r w:rsidRPr="00B171A8">
        <w:rPr>
          <w:rFonts w:ascii="Times New Roman" w:hAnsi="Times New Roman"/>
          <w:b/>
          <w:i/>
          <w:sz w:val="24"/>
          <w:u w:val="single"/>
        </w:rPr>
        <w:t>/L</w:t>
      </w:r>
      <w:r w:rsidRPr="00B171A8">
        <w:rPr>
          <w:rFonts w:ascii="Times New Roman" w:hAnsi="Times New Roman"/>
          <w:b/>
          <w:i/>
          <w:sz w:val="24"/>
          <w:u w:val="single"/>
        </w:rPr>
        <w:t>、</w:t>
      </w:r>
      <w:r w:rsidRPr="00B171A8">
        <w:rPr>
          <w:rFonts w:ascii="Times New Roman" w:hAnsi="Times New Roman"/>
          <w:b/>
          <w:i/>
          <w:sz w:val="24"/>
          <w:u w:val="single"/>
        </w:rPr>
        <w:t>NH</w:t>
      </w:r>
      <w:r w:rsidRPr="00B171A8">
        <w:rPr>
          <w:rFonts w:ascii="Times New Roman" w:hAnsi="Times New Roman"/>
          <w:b/>
          <w:i/>
          <w:sz w:val="24"/>
          <w:u w:val="single"/>
          <w:vertAlign w:val="subscript"/>
        </w:rPr>
        <w:t>3</w:t>
      </w:r>
      <w:r w:rsidRPr="00B171A8">
        <w:rPr>
          <w:rFonts w:ascii="Times New Roman" w:hAnsi="Times New Roman"/>
          <w:b/>
          <w:i/>
          <w:sz w:val="24"/>
          <w:u w:val="single"/>
        </w:rPr>
        <w:t>-N</w:t>
      </w:r>
      <w:r w:rsidRPr="00B171A8">
        <w:rPr>
          <w:rFonts w:ascii="Times New Roman" w:hAnsi="Times New Roman"/>
          <w:b/>
          <w:i/>
          <w:sz w:val="24"/>
          <w:u w:val="single"/>
        </w:rPr>
        <w:t>：</w:t>
      </w:r>
      <w:r w:rsidRPr="00B171A8">
        <w:rPr>
          <w:rFonts w:ascii="Times New Roman" w:hAnsi="Times New Roman"/>
          <w:b/>
          <w:i/>
          <w:sz w:val="24"/>
          <w:u w:val="single"/>
        </w:rPr>
        <w:t>0.314</w:t>
      </w:r>
      <w:r w:rsidRPr="00B171A8">
        <w:rPr>
          <w:rFonts w:ascii="Times New Roman" w:hAnsi="Times New Roman" w:hint="eastAsia"/>
          <w:b/>
          <w:i/>
          <w:sz w:val="24"/>
          <w:u w:val="single"/>
        </w:rPr>
        <w:t xml:space="preserve"> mg</w:t>
      </w:r>
      <w:r w:rsidRPr="00B171A8">
        <w:rPr>
          <w:rFonts w:ascii="Times New Roman" w:hAnsi="Times New Roman"/>
          <w:b/>
          <w:i/>
          <w:sz w:val="24"/>
          <w:u w:val="single"/>
        </w:rPr>
        <w:t>/L</w:t>
      </w:r>
      <w:r w:rsidRPr="00B171A8">
        <w:rPr>
          <w:rFonts w:ascii="Times New Roman" w:hAnsi="Times New Roman"/>
          <w:b/>
          <w:i/>
          <w:sz w:val="24"/>
          <w:u w:val="single"/>
        </w:rPr>
        <w:t>，污染物的排放总量为：</w:t>
      </w:r>
      <w:r w:rsidRPr="00B171A8">
        <w:rPr>
          <w:rFonts w:ascii="Times New Roman" w:hAnsi="Times New Roman"/>
          <w:b/>
          <w:i/>
          <w:sz w:val="24"/>
          <w:u w:val="single"/>
        </w:rPr>
        <w:t>COD</w:t>
      </w:r>
      <w:r w:rsidRPr="00B171A8">
        <w:rPr>
          <w:rFonts w:ascii="Times New Roman" w:hAnsi="Times New Roman"/>
          <w:b/>
          <w:i/>
          <w:sz w:val="24"/>
          <w:u w:val="single"/>
        </w:rPr>
        <w:t>：</w:t>
      </w:r>
      <w:r w:rsidRPr="005E70E2">
        <w:rPr>
          <w:rFonts w:ascii="Times New Roman" w:hAnsi="Times New Roman"/>
          <w:b/>
          <w:i/>
          <w:sz w:val="24"/>
          <w:u w:val="single"/>
        </w:rPr>
        <w:t>COD</w:t>
      </w:r>
      <w:r w:rsidRPr="005E70E2">
        <w:rPr>
          <w:rFonts w:ascii="Times New Roman" w:hAnsi="Times New Roman"/>
          <w:b/>
          <w:i/>
          <w:sz w:val="24"/>
          <w:u w:val="single"/>
        </w:rPr>
        <w:t>：</w:t>
      </w:r>
      <w:r w:rsidRPr="005E70E2">
        <w:rPr>
          <w:rFonts w:ascii="Times New Roman" w:hAnsi="Times New Roman"/>
          <w:b/>
          <w:i/>
          <w:sz w:val="24"/>
          <w:u w:val="single"/>
        </w:rPr>
        <w:t>3</w:t>
      </w:r>
      <w:r>
        <w:rPr>
          <w:rFonts w:ascii="Times New Roman" w:hAnsi="Times New Roman" w:hint="eastAsia"/>
          <w:b/>
          <w:i/>
          <w:sz w:val="24"/>
          <w:u w:val="single"/>
        </w:rPr>
        <w:t>0.543</w:t>
      </w:r>
      <w:r w:rsidRPr="005E70E2">
        <w:rPr>
          <w:rFonts w:ascii="Times New Roman" w:hAnsi="Times New Roman"/>
          <w:b/>
          <w:i/>
          <w:sz w:val="24"/>
          <w:u w:val="single"/>
        </w:rPr>
        <w:t>t/a</w:t>
      </w:r>
      <w:r w:rsidRPr="005E70E2">
        <w:rPr>
          <w:rFonts w:ascii="Times New Roman" w:hAnsi="Times New Roman"/>
          <w:b/>
          <w:i/>
          <w:sz w:val="24"/>
          <w:u w:val="single"/>
        </w:rPr>
        <w:t>、</w:t>
      </w:r>
      <w:r w:rsidRPr="005E70E2">
        <w:rPr>
          <w:rFonts w:ascii="Times New Roman" w:hAnsi="Times New Roman"/>
          <w:b/>
          <w:i/>
          <w:sz w:val="24"/>
          <w:u w:val="single"/>
        </w:rPr>
        <w:t>SS</w:t>
      </w:r>
      <w:r w:rsidRPr="005E70E2">
        <w:rPr>
          <w:rFonts w:ascii="Times New Roman" w:hAnsi="Times New Roman"/>
          <w:b/>
          <w:i/>
          <w:sz w:val="24"/>
          <w:u w:val="single"/>
        </w:rPr>
        <w:t>：</w:t>
      </w:r>
      <w:r w:rsidRPr="005E70E2">
        <w:rPr>
          <w:rFonts w:ascii="Times New Roman" w:hAnsi="Times New Roman"/>
          <w:b/>
          <w:i/>
          <w:sz w:val="24"/>
          <w:u w:val="single"/>
        </w:rPr>
        <w:t>4</w:t>
      </w:r>
      <w:r>
        <w:rPr>
          <w:rFonts w:ascii="Times New Roman" w:hAnsi="Times New Roman" w:hint="eastAsia"/>
          <w:b/>
          <w:i/>
          <w:sz w:val="24"/>
          <w:u w:val="single"/>
        </w:rPr>
        <w:t>5.814</w:t>
      </w:r>
      <w:r w:rsidRPr="005E70E2">
        <w:rPr>
          <w:rFonts w:ascii="Times New Roman" w:hAnsi="Times New Roman"/>
          <w:b/>
          <w:i/>
          <w:sz w:val="24"/>
          <w:u w:val="single"/>
        </w:rPr>
        <w:t>t/a</w:t>
      </w:r>
      <w:r w:rsidRPr="005E70E2">
        <w:rPr>
          <w:rFonts w:ascii="Times New Roman" w:hAnsi="Times New Roman"/>
          <w:b/>
          <w:i/>
          <w:sz w:val="24"/>
          <w:u w:val="single"/>
        </w:rPr>
        <w:t>、</w:t>
      </w:r>
      <w:r w:rsidRPr="005E70E2">
        <w:rPr>
          <w:rFonts w:ascii="Times New Roman" w:hAnsi="Times New Roman"/>
          <w:b/>
          <w:i/>
          <w:sz w:val="24"/>
          <w:u w:val="single"/>
        </w:rPr>
        <w:t>NH</w:t>
      </w:r>
      <w:r w:rsidRPr="005E70E2">
        <w:rPr>
          <w:rFonts w:ascii="Times New Roman" w:hAnsi="Times New Roman"/>
          <w:b/>
          <w:i/>
          <w:sz w:val="24"/>
          <w:u w:val="single"/>
          <w:vertAlign w:val="subscript"/>
        </w:rPr>
        <w:t>3</w:t>
      </w:r>
      <w:r w:rsidRPr="005E70E2">
        <w:rPr>
          <w:rFonts w:ascii="Times New Roman" w:hAnsi="Times New Roman"/>
          <w:b/>
          <w:i/>
          <w:sz w:val="24"/>
          <w:u w:val="single"/>
        </w:rPr>
        <w:t>-N</w:t>
      </w:r>
      <w:r w:rsidRPr="005E70E2">
        <w:rPr>
          <w:rFonts w:ascii="Times New Roman" w:hAnsi="Times New Roman"/>
          <w:b/>
          <w:i/>
          <w:sz w:val="24"/>
          <w:u w:val="single"/>
        </w:rPr>
        <w:t>：</w:t>
      </w:r>
      <w:r w:rsidRPr="005E70E2">
        <w:rPr>
          <w:rFonts w:ascii="Times New Roman" w:hAnsi="Times New Roman"/>
          <w:b/>
          <w:i/>
          <w:sz w:val="24"/>
          <w:u w:val="single"/>
        </w:rPr>
        <w:t>0.</w:t>
      </w:r>
      <w:r>
        <w:rPr>
          <w:rFonts w:ascii="Times New Roman" w:hAnsi="Times New Roman" w:hint="eastAsia"/>
          <w:b/>
          <w:i/>
          <w:sz w:val="24"/>
          <w:u w:val="single"/>
        </w:rPr>
        <w:t>480</w:t>
      </w:r>
      <w:r w:rsidRPr="005E70E2">
        <w:rPr>
          <w:rFonts w:ascii="Times New Roman" w:hAnsi="Times New Roman"/>
          <w:b/>
          <w:i/>
          <w:sz w:val="24"/>
          <w:u w:val="single"/>
        </w:rPr>
        <w:t>t/a</w:t>
      </w:r>
      <w:r w:rsidRPr="005E70E2">
        <w:rPr>
          <w:rFonts w:ascii="Times New Roman" w:hAnsi="Times New Roman"/>
          <w:b/>
          <w:i/>
          <w:sz w:val="24"/>
          <w:u w:val="single"/>
        </w:rPr>
        <w:t>。</w:t>
      </w:r>
    </w:p>
    <w:p w:rsidR="002D1343" w:rsidRPr="00821D3D" w:rsidRDefault="002D1343" w:rsidP="002D1343">
      <w:pPr>
        <w:adjustRightInd w:val="0"/>
        <w:snapToGrid w:val="0"/>
        <w:spacing w:line="520" w:lineRule="exact"/>
        <w:ind w:firstLineChars="200" w:firstLine="480"/>
        <w:rPr>
          <w:sz w:val="24"/>
        </w:rPr>
      </w:pPr>
      <w:r w:rsidRPr="00821D3D">
        <w:rPr>
          <w:sz w:val="24"/>
        </w:rPr>
        <w:t>升级改造后水污染物产排情况及防治措施见表</w:t>
      </w:r>
      <w:r w:rsidRPr="00821D3D">
        <w:rPr>
          <w:sz w:val="24"/>
        </w:rPr>
        <w:t xml:space="preserve"> 3.4-2</w:t>
      </w:r>
      <w:r w:rsidRPr="00821D3D">
        <w:rPr>
          <w:sz w:val="24"/>
        </w:rPr>
        <w:t>。</w:t>
      </w:r>
    </w:p>
    <w:p w:rsidR="007D63D9" w:rsidRDefault="007D63D9">
      <w:pPr>
        <w:widowControl/>
        <w:jc w:val="left"/>
        <w:rPr>
          <w:rFonts w:eastAsia="黑体"/>
          <w:color w:val="000000"/>
          <w:spacing w:val="2"/>
          <w:sz w:val="24"/>
        </w:rPr>
      </w:pPr>
      <w:r>
        <w:rPr>
          <w:rFonts w:eastAsia="黑体"/>
          <w:color w:val="000000"/>
          <w:spacing w:val="2"/>
          <w:sz w:val="24"/>
        </w:rPr>
        <w:br w:type="page"/>
      </w:r>
    </w:p>
    <w:p w:rsidR="002D1343" w:rsidRPr="003B1886" w:rsidRDefault="002D1343" w:rsidP="002D1343">
      <w:pPr>
        <w:widowControl/>
        <w:spacing w:line="520" w:lineRule="exact"/>
        <w:jc w:val="center"/>
        <w:rPr>
          <w:rFonts w:eastAsia="黑体"/>
          <w:color w:val="000000"/>
          <w:spacing w:val="2"/>
          <w:sz w:val="24"/>
        </w:rPr>
      </w:pPr>
      <w:r w:rsidRPr="003B1886">
        <w:rPr>
          <w:rFonts w:eastAsia="黑体"/>
          <w:color w:val="000000"/>
          <w:spacing w:val="2"/>
          <w:sz w:val="24"/>
        </w:rPr>
        <w:lastRenderedPageBreak/>
        <w:t>表</w:t>
      </w:r>
      <w:r w:rsidRPr="003B1886">
        <w:rPr>
          <w:rFonts w:eastAsia="黑体"/>
          <w:color w:val="000000"/>
          <w:spacing w:val="2"/>
          <w:sz w:val="24"/>
        </w:rPr>
        <w:t xml:space="preserve">3.4-2  </w:t>
      </w:r>
      <w:r w:rsidRPr="003B1886">
        <w:rPr>
          <w:rFonts w:eastAsia="黑体"/>
          <w:color w:val="000000"/>
          <w:spacing w:val="2"/>
          <w:sz w:val="24"/>
        </w:rPr>
        <w:t>升级改造后水污染物产排情况及防治措施一览表</w:t>
      </w:r>
    </w:p>
    <w:tbl>
      <w:tblPr>
        <w:tblW w:w="93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492"/>
        <w:gridCol w:w="683"/>
        <w:gridCol w:w="788"/>
        <w:gridCol w:w="993"/>
        <w:gridCol w:w="922"/>
        <w:gridCol w:w="2403"/>
        <w:gridCol w:w="1176"/>
        <w:gridCol w:w="1177"/>
        <w:gridCol w:w="683"/>
      </w:tblGrid>
      <w:tr w:rsidR="002D1343" w:rsidTr="000C4154">
        <w:trPr>
          <w:jc w:val="center"/>
        </w:trPr>
        <w:tc>
          <w:tcPr>
            <w:tcW w:w="492" w:type="dxa"/>
            <w:vMerge w:val="restart"/>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项目</w:t>
            </w:r>
          </w:p>
        </w:tc>
        <w:tc>
          <w:tcPr>
            <w:tcW w:w="683" w:type="dxa"/>
            <w:vMerge w:val="restart"/>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污染源</w:t>
            </w:r>
          </w:p>
        </w:tc>
        <w:tc>
          <w:tcPr>
            <w:tcW w:w="788" w:type="dxa"/>
            <w:vMerge w:val="restart"/>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污染因子</w:t>
            </w:r>
          </w:p>
        </w:tc>
        <w:tc>
          <w:tcPr>
            <w:tcW w:w="1915" w:type="dxa"/>
            <w:gridSpan w:val="2"/>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污染物产生情况</w:t>
            </w:r>
          </w:p>
        </w:tc>
        <w:tc>
          <w:tcPr>
            <w:tcW w:w="2403" w:type="dxa"/>
            <w:vMerge w:val="restart"/>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污染防治措施</w:t>
            </w:r>
          </w:p>
        </w:tc>
        <w:tc>
          <w:tcPr>
            <w:tcW w:w="2353" w:type="dxa"/>
            <w:gridSpan w:val="2"/>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采用治理措施后排放情况</w:t>
            </w:r>
          </w:p>
        </w:tc>
        <w:tc>
          <w:tcPr>
            <w:tcW w:w="683" w:type="dxa"/>
            <w:vMerge w:val="restart"/>
            <w:tcBorders>
              <w:tl2br w:val="nil"/>
              <w:tr2bl w:val="nil"/>
            </w:tcBorders>
            <w:vAlign w:val="center"/>
          </w:tcPr>
          <w:p w:rsidR="002D1343" w:rsidRDefault="002D1343" w:rsidP="000C4154">
            <w:pPr>
              <w:widowControl/>
              <w:spacing w:line="340" w:lineRule="exact"/>
              <w:jc w:val="left"/>
              <w:rPr>
                <w:color w:val="000000"/>
                <w:sz w:val="21"/>
                <w:szCs w:val="21"/>
              </w:rPr>
            </w:pPr>
            <w:r>
              <w:rPr>
                <w:color w:val="000000"/>
                <w:sz w:val="21"/>
                <w:szCs w:val="21"/>
              </w:rPr>
              <w:t>排放去向</w:t>
            </w:r>
          </w:p>
        </w:tc>
      </w:tr>
      <w:tr w:rsidR="002D1343" w:rsidTr="000C4154">
        <w:trPr>
          <w:jc w:val="center"/>
        </w:trPr>
        <w:tc>
          <w:tcPr>
            <w:tcW w:w="492"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788"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993"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浓度</w:t>
            </w:r>
          </w:p>
        </w:tc>
        <w:tc>
          <w:tcPr>
            <w:tcW w:w="922"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产生量</w:t>
            </w:r>
          </w:p>
        </w:tc>
        <w:tc>
          <w:tcPr>
            <w:tcW w:w="2403" w:type="dxa"/>
            <w:vMerge/>
            <w:tcBorders>
              <w:tl2br w:val="nil"/>
              <w:tr2bl w:val="nil"/>
            </w:tcBorders>
            <w:vAlign w:val="center"/>
          </w:tcPr>
          <w:p w:rsidR="002D1343" w:rsidRDefault="002D1343" w:rsidP="000C4154">
            <w:pPr>
              <w:spacing w:line="340" w:lineRule="exact"/>
              <w:jc w:val="center"/>
              <w:rPr>
                <w:color w:val="000000"/>
                <w:sz w:val="21"/>
                <w:szCs w:val="21"/>
              </w:rPr>
            </w:pPr>
          </w:p>
        </w:tc>
        <w:tc>
          <w:tcPr>
            <w:tcW w:w="1176"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浓度</w:t>
            </w:r>
          </w:p>
        </w:tc>
        <w:tc>
          <w:tcPr>
            <w:tcW w:w="1177"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排放量</w:t>
            </w: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r>
      <w:tr w:rsidR="002D1343" w:rsidTr="000C4154">
        <w:trPr>
          <w:trHeight w:val="931"/>
          <w:jc w:val="center"/>
        </w:trPr>
        <w:tc>
          <w:tcPr>
            <w:tcW w:w="492" w:type="dxa"/>
            <w:vMerge w:val="restart"/>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1</w:t>
            </w:r>
          </w:p>
        </w:tc>
        <w:tc>
          <w:tcPr>
            <w:tcW w:w="683" w:type="dxa"/>
            <w:vMerge w:val="restart"/>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矿井排水</w:t>
            </w:r>
          </w:p>
        </w:tc>
        <w:tc>
          <w:tcPr>
            <w:tcW w:w="788"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废水量</w:t>
            </w:r>
          </w:p>
        </w:tc>
        <w:tc>
          <w:tcPr>
            <w:tcW w:w="1915" w:type="dxa"/>
            <w:gridSpan w:val="2"/>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1</w:t>
            </w:r>
            <w:r>
              <w:rPr>
                <w:rFonts w:hint="eastAsia"/>
                <w:color w:val="000000"/>
                <w:sz w:val="21"/>
                <w:szCs w:val="21"/>
              </w:rPr>
              <w:t>699440</w:t>
            </w:r>
            <w:r>
              <w:rPr>
                <w:color w:val="000000"/>
                <w:sz w:val="21"/>
                <w:szCs w:val="21"/>
              </w:rPr>
              <w:t>m</w:t>
            </w:r>
            <w:r>
              <w:rPr>
                <w:color w:val="000000"/>
                <w:sz w:val="21"/>
                <w:szCs w:val="21"/>
                <w:vertAlign w:val="superscript"/>
              </w:rPr>
              <w:t>3</w:t>
            </w:r>
            <w:r>
              <w:rPr>
                <w:color w:val="000000"/>
                <w:sz w:val="21"/>
                <w:szCs w:val="21"/>
              </w:rPr>
              <w:t>/a</w:t>
            </w:r>
          </w:p>
        </w:tc>
        <w:tc>
          <w:tcPr>
            <w:tcW w:w="2403" w:type="dxa"/>
            <w:vMerge w:val="restart"/>
            <w:tcBorders>
              <w:tl2br w:val="nil"/>
              <w:tr2bl w:val="nil"/>
            </w:tcBorders>
            <w:vAlign w:val="center"/>
          </w:tcPr>
          <w:p w:rsidR="002D1343" w:rsidRDefault="002D1343" w:rsidP="000C4154">
            <w:pPr>
              <w:spacing w:line="340" w:lineRule="exact"/>
              <w:jc w:val="center"/>
              <w:rPr>
                <w:color w:val="000000"/>
                <w:sz w:val="21"/>
                <w:szCs w:val="21"/>
              </w:rPr>
            </w:pPr>
            <w:r w:rsidRPr="00165E70">
              <w:rPr>
                <w:color w:val="000000"/>
                <w:sz w:val="21"/>
                <w:szCs w:val="21"/>
              </w:rPr>
              <w:t>斜管沉淀</w:t>
            </w:r>
            <w:r w:rsidRPr="00165E70">
              <w:rPr>
                <w:color w:val="000000"/>
                <w:sz w:val="21"/>
                <w:szCs w:val="21"/>
              </w:rPr>
              <w:t>+</w:t>
            </w:r>
            <w:r w:rsidRPr="00165E70">
              <w:rPr>
                <w:color w:val="000000"/>
                <w:sz w:val="21"/>
                <w:szCs w:val="21"/>
              </w:rPr>
              <w:t>过滤</w:t>
            </w:r>
            <w:r w:rsidRPr="00165E70">
              <w:rPr>
                <w:color w:val="000000"/>
                <w:sz w:val="21"/>
                <w:szCs w:val="21"/>
              </w:rPr>
              <w:t>+</w:t>
            </w:r>
            <w:r w:rsidRPr="00165E70">
              <w:rPr>
                <w:color w:val="000000"/>
                <w:sz w:val="21"/>
                <w:szCs w:val="21"/>
              </w:rPr>
              <w:t>消毒等处理</w:t>
            </w:r>
            <w:r>
              <w:rPr>
                <w:rFonts w:hint="eastAsia"/>
                <w:color w:val="000000"/>
                <w:sz w:val="21"/>
                <w:szCs w:val="21"/>
              </w:rPr>
              <w:t>达标后，部分</w:t>
            </w:r>
            <w:r>
              <w:rPr>
                <w:color w:val="000000"/>
                <w:sz w:val="21"/>
                <w:szCs w:val="21"/>
              </w:rPr>
              <w:t>回用于生产用水，</w:t>
            </w:r>
            <w:r>
              <w:rPr>
                <w:rFonts w:hint="eastAsia"/>
                <w:color w:val="000000"/>
                <w:sz w:val="21"/>
                <w:szCs w:val="21"/>
              </w:rPr>
              <w:t>剩余</w:t>
            </w:r>
            <w:r w:rsidRPr="00165E70">
              <w:rPr>
                <w:rFonts w:hint="eastAsia"/>
                <w:color w:val="000000"/>
                <w:sz w:val="21"/>
                <w:szCs w:val="21"/>
              </w:rPr>
              <w:t>不能及时利用部分</w:t>
            </w:r>
            <w:r w:rsidRPr="00BE7011">
              <w:rPr>
                <w:rFonts w:hint="eastAsia"/>
                <w:color w:val="000000"/>
                <w:sz w:val="21"/>
                <w:szCs w:val="21"/>
              </w:rPr>
              <w:t>满足《煤炭工业污染物排放标准》（</w:t>
            </w:r>
            <w:r w:rsidRPr="00BE7011">
              <w:rPr>
                <w:color w:val="000000"/>
                <w:sz w:val="21"/>
                <w:szCs w:val="21"/>
              </w:rPr>
              <w:t>GB20426-2006</w:t>
            </w:r>
            <w:r w:rsidRPr="00BE7011">
              <w:rPr>
                <w:rFonts w:hint="eastAsia"/>
                <w:color w:val="000000"/>
                <w:sz w:val="21"/>
                <w:szCs w:val="21"/>
              </w:rPr>
              <w:t>）</w:t>
            </w:r>
            <w:r>
              <w:rPr>
                <w:rFonts w:hint="eastAsia"/>
                <w:color w:val="000000"/>
                <w:sz w:val="21"/>
                <w:szCs w:val="21"/>
              </w:rPr>
              <w:t>、</w:t>
            </w:r>
            <w:r w:rsidRPr="00BE7011">
              <w:rPr>
                <w:rFonts w:hint="eastAsia"/>
                <w:color w:val="000000"/>
                <w:sz w:val="21"/>
                <w:szCs w:val="21"/>
              </w:rPr>
              <w:t>《地表水环境质量标准》（</w:t>
            </w:r>
            <w:r w:rsidRPr="00BE7011">
              <w:rPr>
                <w:color w:val="000000"/>
                <w:sz w:val="21"/>
                <w:szCs w:val="21"/>
              </w:rPr>
              <w:t>GB3838-2002</w:t>
            </w:r>
            <w:r w:rsidRPr="00BE7011">
              <w:rPr>
                <w:rFonts w:hint="eastAsia"/>
                <w:color w:val="000000"/>
                <w:sz w:val="21"/>
                <w:szCs w:val="21"/>
              </w:rPr>
              <w:t>）Ⅲ类水质要求后</w:t>
            </w:r>
            <w:r>
              <w:rPr>
                <w:rFonts w:hint="eastAsia"/>
                <w:color w:val="000000"/>
                <w:sz w:val="21"/>
                <w:szCs w:val="21"/>
              </w:rPr>
              <w:t>外</w:t>
            </w:r>
            <w:r w:rsidRPr="00165E70">
              <w:rPr>
                <w:color w:val="000000"/>
                <w:sz w:val="21"/>
                <w:szCs w:val="21"/>
              </w:rPr>
              <w:t>排至赵沟河、纸坊水库后用于</w:t>
            </w:r>
            <w:r>
              <w:rPr>
                <w:rFonts w:hint="eastAsia"/>
                <w:color w:val="000000"/>
                <w:sz w:val="21"/>
                <w:szCs w:val="21"/>
              </w:rPr>
              <w:t>生态补水及</w:t>
            </w:r>
            <w:r w:rsidRPr="00165E70">
              <w:rPr>
                <w:color w:val="000000"/>
                <w:sz w:val="21"/>
                <w:szCs w:val="21"/>
              </w:rPr>
              <w:t>周边农田灌溉。</w:t>
            </w:r>
          </w:p>
        </w:tc>
        <w:tc>
          <w:tcPr>
            <w:tcW w:w="2353" w:type="dxa"/>
            <w:gridSpan w:val="2"/>
            <w:tcBorders>
              <w:tl2br w:val="nil"/>
              <w:tr2bl w:val="nil"/>
            </w:tcBorders>
            <w:vAlign w:val="center"/>
          </w:tcPr>
          <w:p w:rsidR="002D1343" w:rsidRDefault="002D1343" w:rsidP="000C4154">
            <w:pPr>
              <w:spacing w:line="340" w:lineRule="exact"/>
              <w:jc w:val="center"/>
              <w:rPr>
                <w:color w:val="000000"/>
                <w:sz w:val="21"/>
                <w:szCs w:val="21"/>
              </w:rPr>
            </w:pPr>
            <w:r w:rsidRPr="003B1886">
              <w:rPr>
                <w:rFonts w:hint="eastAsia"/>
                <w:color w:val="000000"/>
                <w:sz w:val="21"/>
                <w:szCs w:val="21"/>
              </w:rPr>
              <w:t>1527123</w:t>
            </w:r>
            <w:r w:rsidRPr="003B1886">
              <w:rPr>
                <w:color w:val="000000"/>
                <w:sz w:val="21"/>
                <w:szCs w:val="21"/>
              </w:rPr>
              <w:t>.5m</w:t>
            </w:r>
            <w:r w:rsidRPr="003B1886">
              <w:rPr>
                <w:color w:val="000000"/>
                <w:sz w:val="21"/>
                <w:szCs w:val="21"/>
                <w:vertAlign w:val="superscript"/>
              </w:rPr>
              <w:t>3</w:t>
            </w:r>
            <w:r w:rsidRPr="003B1886">
              <w:rPr>
                <w:color w:val="000000"/>
                <w:sz w:val="21"/>
                <w:szCs w:val="21"/>
              </w:rPr>
              <w:t>/a</w:t>
            </w:r>
          </w:p>
        </w:tc>
        <w:tc>
          <w:tcPr>
            <w:tcW w:w="683" w:type="dxa"/>
            <w:vMerge w:val="restart"/>
            <w:tcBorders>
              <w:tl2br w:val="nil"/>
              <w:tr2bl w:val="nil"/>
            </w:tcBorders>
            <w:vAlign w:val="center"/>
          </w:tcPr>
          <w:p w:rsidR="002D1343" w:rsidRDefault="002D1343" w:rsidP="000C4154">
            <w:pPr>
              <w:spacing w:line="340" w:lineRule="exact"/>
              <w:jc w:val="center"/>
              <w:rPr>
                <w:color w:val="000000"/>
                <w:sz w:val="21"/>
                <w:szCs w:val="21"/>
              </w:rPr>
            </w:pPr>
            <w:r w:rsidRPr="00BE7011">
              <w:rPr>
                <w:color w:val="000000"/>
                <w:sz w:val="21"/>
                <w:szCs w:val="21"/>
              </w:rPr>
              <w:t>赵沟河、纸坊水库</w:t>
            </w:r>
          </w:p>
        </w:tc>
      </w:tr>
      <w:tr w:rsidR="002D1343" w:rsidTr="000C4154">
        <w:trPr>
          <w:trHeight w:val="931"/>
          <w:jc w:val="center"/>
        </w:trPr>
        <w:tc>
          <w:tcPr>
            <w:tcW w:w="492"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788"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sidRPr="006873EF">
              <w:rPr>
                <w:b/>
                <w:i/>
                <w:color w:val="000000"/>
                <w:sz w:val="21"/>
                <w:szCs w:val="21"/>
                <w:u w:val="single"/>
              </w:rPr>
              <w:t>COD</w:t>
            </w:r>
          </w:p>
        </w:tc>
        <w:tc>
          <w:tcPr>
            <w:tcW w:w="993"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Pr>
                <w:rFonts w:hint="eastAsia"/>
                <w:b/>
                <w:i/>
                <w:color w:val="000000"/>
                <w:sz w:val="21"/>
                <w:szCs w:val="21"/>
                <w:u w:val="single"/>
              </w:rPr>
              <w:t>51</w:t>
            </w:r>
            <w:r w:rsidRPr="006873EF">
              <w:rPr>
                <w:b/>
                <w:i/>
                <w:color w:val="000000"/>
                <w:sz w:val="21"/>
                <w:szCs w:val="21"/>
                <w:u w:val="single"/>
              </w:rPr>
              <w:t>mg/L</w:t>
            </w:r>
          </w:p>
        </w:tc>
        <w:tc>
          <w:tcPr>
            <w:tcW w:w="922"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Pr>
                <w:rFonts w:hint="eastAsia"/>
                <w:b/>
                <w:i/>
                <w:color w:val="000000"/>
                <w:sz w:val="21"/>
                <w:szCs w:val="21"/>
                <w:u w:val="single"/>
              </w:rPr>
              <w:t>86.672</w:t>
            </w:r>
            <w:r w:rsidRPr="006873EF">
              <w:rPr>
                <w:b/>
                <w:i/>
                <w:color w:val="000000"/>
                <w:sz w:val="21"/>
                <w:szCs w:val="21"/>
                <w:u w:val="single"/>
              </w:rPr>
              <w:t>t/a</w:t>
            </w:r>
          </w:p>
        </w:tc>
        <w:tc>
          <w:tcPr>
            <w:tcW w:w="2403" w:type="dxa"/>
            <w:vMerge/>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p>
        </w:tc>
        <w:tc>
          <w:tcPr>
            <w:tcW w:w="1176"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sidRPr="006873EF">
              <w:rPr>
                <w:b/>
                <w:i/>
                <w:color w:val="000000"/>
                <w:sz w:val="21"/>
                <w:szCs w:val="21"/>
                <w:u w:val="single"/>
              </w:rPr>
              <w:t>20mg/L</w:t>
            </w:r>
          </w:p>
        </w:tc>
        <w:tc>
          <w:tcPr>
            <w:tcW w:w="1177"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Pr>
                <w:rFonts w:hint="eastAsia"/>
                <w:b/>
                <w:i/>
                <w:color w:val="000000"/>
                <w:sz w:val="21"/>
                <w:szCs w:val="21"/>
                <w:u w:val="single"/>
              </w:rPr>
              <w:t>30.543</w:t>
            </w:r>
            <w:r w:rsidRPr="006873EF">
              <w:rPr>
                <w:b/>
                <w:i/>
                <w:color w:val="000000"/>
                <w:sz w:val="21"/>
                <w:szCs w:val="21"/>
                <w:u w:val="single"/>
              </w:rPr>
              <w:t>/a</w:t>
            </w: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r>
      <w:tr w:rsidR="002D1343" w:rsidTr="000C4154">
        <w:trPr>
          <w:trHeight w:val="931"/>
          <w:jc w:val="center"/>
        </w:trPr>
        <w:tc>
          <w:tcPr>
            <w:tcW w:w="492"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788"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Pr>
                <w:rFonts w:hint="eastAsia"/>
                <w:b/>
                <w:i/>
                <w:color w:val="000000"/>
                <w:sz w:val="21"/>
                <w:szCs w:val="21"/>
                <w:u w:val="single"/>
              </w:rPr>
              <w:t>SS</w:t>
            </w:r>
          </w:p>
        </w:tc>
        <w:tc>
          <w:tcPr>
            <w:tcW w:w="993"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sidRPr="006873EF">
              <w:rPr>
                <w:rFonts w:hint="eastAsia"/>
                <w:b/>
                <w:i/>
                <w:color w:val="000000"/>
                <w:sz w:val="21"/>
                <w:szCs w:val="21"/>
                <w:u w:val="single"/>
              </w:rPr>
              <w:t>1</w:t>
            </w:r>
            <w:r>
              <w:rPr>
                <w:rFonts w:hint="eastAsia"/>
                <w:b/>
                <w:i/>
                <w:color w:val="000000"/>
                <w:sz w:val="21"/>
                <w:szCs w:val="21"/>
                <w:u w:val="single"/>
              </w:rPr>
              <w:t>24</w:t>
            </w:r>
            <w:r w:rsidRPr="006873EF">
              <w:rPr>
                <w:b/>
                <w:i/>
                <w:color w:val="000000"/>
                <w:sz w:val="21"/>
                <w:szCs w:val="21"/>
                <w:u w:val="single"/>
              </w:rPr>
              <w:t>mg/L</w:t>
            </w:r>
          </w:p>
        </w:tc>
        <w:tc>
          <w:tcPr>
            <w:tcW w:w="922"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Pr>
                <w:rFonts w:hint="eastAsia"/>
                <w:b/>
                <w:i/>
                <w:color w:val="000000"/>
                <w:sz w:val="21"/>
                <w:szCs w:val="21"/>
                <w:u w:val="single"/>
              </w:rPr>
              <w:t>210.731</w:t>
            </w:r>
            <w:r w:rsidRPr="006873EF">
              <w:rPr>
                <w:b/>
                <w:i/>
                <w:color w:val="000000"/>
                <w:sz w:val="21"/>
                <w:szCs w:val="21"/>
                <w:u w:val="single"/>
              </w:rPr>
              <w:t>t/a</w:t>
            </w:r>
          </w:p>
        </w:tc>
        <w:tc>
          <w:tcPr>
            <w:tcW w:w="2403" w:type="dxa"/>
            <w:vMerge/>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p>
        </w:tc>
        <w:tc>
          <w:tcPr>
            <w:tcW w:w="1176"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Pr>
                <w:rFonts w:hint="eastAsia"/>
                <w:b/>
                <w:i/>
                <w:color w:val="000000"/>
                <w:sz w:val="21"/>
                <w:szCs w:val="21"/>
                <w:u w:val="single"/>
              </w:rPr>
              <w:t>3</w:t>
            </w:r>
            <w:r w:rsidRPr="006873EF">
              <w:rPr>
                <w:b/>
                <w:i/>
                <w:color w:val="000000"/>
                <w:sz w:val="21"/>
                <w:szCs w:val="21"/>
                <w:u w:val="single"/>
              </w:rPr>
              <w:t>0mg/L</w:t>
            </w:r>
          </w:p>
        </w:tc>
        <w:tc>
          <w:tcPr>
            <w:tcW w:w="1177"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Pr>
                <w:rFonts w:hint="eastAsia"/>
                <w:b/>
                <w:i/>
                <w:color w:val="000000"/>
                <w:sz w:val="21"/>
                <w:szCs w:val="21"/>
                <w:u w:val="single"/>
              </w:rPr>
              <w:t>45.814</w:t>
            </w:r>
            <w:r w:rsidRPr="006873EF">
              <w:rPr>
                <w:b/>
                <w:i/>
                <w:color w:val="000000"/>
                <w:sz w:val="21"/>
                <w:szCs w:val="21"/>
                <w:u w:val="single"/>
              </w:rPr>
              <w:t>t/a</w:t>
            </w: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r>
      <w:tr w:rsidR="002D1343" w:rsidTr="000C4154">
        <w:trPr>
          <w:trHeight w:val="932"/>
          <w:jc w:val="center"/>
        </w:trPr>
        <w:tc>
          <w:tcPr>
            <w:tcW w:w="492"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788"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sidRPr="006873EF">
              <w:rPr>
                <w:b/>
                <w:i/>
                <w:color w:val="000000"/>
                <w:sz w:val="21"/>
                <w:szCs w:val="21"/>
                <w:u w:val="single"/>
              </w:rPr>
              <w:t>氨氮</w:t>
            </w:r>
          </w:p>
        </w:tc>
        <w:tc>
          <w:tcPr>
            <w:tcW w:w="993"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sidRPr="006873EF">
              <w:rPr>
                <w:b/>
                <w:i/>
                <w:color w:val="000000"/>
                <w:sz w:val="21"/>
                <w:szCs w:val="21"/>
                <w:u w:val="single"/>
              </w:rPr>
              <w:t>0.523mg/L</w:t>
            </w:r>
          </w:p>
        </w:tc>
        <w:tc>
          <w:tcPr>
            <w:tcW w:w="922"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sidRPr="006873EF">
              <w:rPr>
                <w:b/>
                <w:i/>
                <w:color w:val="000000"/>
                <w:sz w:val="21"/>
                <w:szCs w:val="21"/>
                <w:u w:val="single"/>
              </w:rPr>
              <w:t>0.8</w:t>
            </w:r>
            <w:r>
              <w:rPr>
                <w:rFonts w:hint="eastAsia"/>
                <w:b/>
                <w:i/>
                <w:color w:val="000000"/>
                <w:sz w:val="21"/>
                <w:szCs w:val="21"/>
                <w:u w:val="single"/>
              </w:rPr>
              <w:t>89</w:t>
            </w:r>
          </w:p>
        </w:tc>
        <w:tc>
          <w:tcPr>
            <w:tcW w:w="2403" w:type="dxa"/>
            <w:vMerge/>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p>
        </w:tc>
        <w:tc>
          <w:tcPr>
            <w:tcW w:w="1176"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sidRPr="006873EF">
              <w:rPr>
                <w:b/>
                <w:i/>
                <w:color w:val="000000"/>
                <w:sz w:val="21"/>
                <w:szCs w:val="21"/>
                <w:u w:val="single"/>
              </w:rPr>
              <w:t>0.314mg/L</w:t>
            </w:r>
          </w:p>
        </w:tc>
        <w:tc>
          <w:tcPr>
            <w:tcW w:w="1177" w:type="dxa"/>
            <w:tcBorders>
              <w:tl2br w:val="nil"/>
              <w:tr2bl w:val="nil"/>
            </w:tcBorders>
            <w:vAlign w:val="center"/>
          </w:tcPr>
          <w:p w:rsidR="002D1343" w:rsidRPr="006873EF" w:rsidRDefault="002D1343" w:rsidP="000C4154">
            <w:pPr>
              <w:spacing w:line="340" w:lineRule="exact"/>
              <w:jc w:val="center"/>
              <w:rPr>
                <w:b/>
                <w:i/>
                <w:color w:val="000000"/>
                <w:sz w:val="21"/>
                <w:szCs w:val="21"/>
                <w:u w:val="single"/>
              </w:rPr>
            </w:pPr>
            <w:r w:rsidRPr="006873EF">
              <w:rPr>
                <w:rFonts w:hint="eastAsia"/>
                <w:b/>
                <w:i/>
                <w:color w:val="000000"/>
                <w:sz w:val="21"/>
                <w:szCs w:val="21"/>
                <w:u w:val="single"/>
              </w:rPr>
              <w:t>0.</w:t>
            </w:r>
            <w:r>
              <w:rPr>
                <w:rFonts w:hint="eastAsia"/>
                <w:b/>
                <w:i/>
                <w:color w:val="000000"/>
                <w:sz w:val="21"/>
                <w:szCs w:val="21"/>
                <w:u w:val="single"/>
              </w:rPr>
              <w:t>480</w:t>
            </w:r>
            <w:r w:rsidRPr="006873EF">
              <w:rPr>
                <w:b/>
                <w:i/>
                <w:color w:val="000000"/>
                <w:sz w:val="21"/>
                <w:szCs w:val="21"/>
                <w:u w:val="single"/>
              </w:rPr>
              <w:t>t/a</w:t>
            </w: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r>
      <w:tr w:rsidR="002D1343" w:rsidTr="000C4154">
        <w:trPr>
          <w:jc w:val="center"/>
        </w:trPr>
        <w:tc>
          <w:tcPr>
            <w:tcW w:w="492" w:type="dxa"/>
            <w:vMerge w:val="restart"/>
            <w:tcBorders>
              <w:tl2br w:val="nil"/>
              <w:tr2bl w:val="nil"/>
            </w:tcBorders>
            <w:vAlign w:val="center"/>
          </w:tcPr>
          <w:p w:rsidR="002D1343" w:rsidRDefault="002D1343" w:rsidP="000C4154">
            <w:pPr>
              <w:widowControl/>
              <w:spacing w:line="340" w:lineRule="exact"/>
              <w:jc w:val="center"/>
              <w:rPr>
                <w:color w:val="000000"/>
                <w:sz w:val="21"/>
                <w:szCs w:val="21"/>
              </w:rPr>
            </w:pPr>
            <w:r>
              <w:rPr>
                <w:color w:val="000000"/>
                <w:sz w:val="21"/>
                <w:szCs w:val="21"/>
              </w:rPr>
              <w:t>2</w:t>
            </w:r>
          </w:p>
        </w:tc>
        <w:tc>
          <w:tcPr>
            <w:tcW w:w="683" w:type="dxa"/>
            <w:vMerge w:val="restart"/>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生活污水</w:t>
            </w:r>
          </w:p>
        </w:tc>
        <w:tc>
          <w:tcPr>
            <w:tcW w:w="788"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废水量</w:t>
            </w:r>
          </w:p>
        </w:tc>
        <w:tc>
          <w:tcPr>
            <w:tcW w:w="1915" w:type="dxa"/>
            <w:gridSpan w:val="2"/>
            <w:tcBorders>
              <w:tl2br w:val="nil"/>
              <w:tr2bl w:val="nil"/>
            </w:tcBorders>
            <w:vAlign w:val="center"/>
          </w:tcPr>
          <w:p w:rsidR="002D1343" w:rsidRDefault="002D1343" w:rsidP="000C4154">
            <w:pPr>
              <w:spacing w:line="340" w:lineRule="exact"/>
              <w:jc w:val="center"/>
              <w:rPr>
                <w:color w:val="000000"/>
                <w:sz w:val="21"/>
                <w:szCs w:val="21"/>
              </w:rPr>
            </w:pPr>
            <w:r>
              <w:rPr>
                <w:rFonts w:hint="eastAsia"/>
                <w:color w:val="000000"/>
                <w:sz w:val="21"/>
                <w:szCs w:val="21"/>
              </w:rPr>
              <w:t>21846</w:t>
            </w:r>
            <w:r>
              <w:rPr>
                <w:color w:val="000000"/>
                <w:sz w:val="21"/>
                <w:szCs w:val="21"/>
              </w:rPr>
              <w:t>m</w:t>
            </w:r>
            <w:r>
              <w:rPr>
                <w:color w:val="000000"/>
                <w:sz w:val="21"/>
                <w:szCs w:val="21"/>
                <w:vertAlign w:val="superscript"/>
              </w:rPr>
              <w:t>3</w:t>
            </w:r>
            <w:r>
              <w:rPr>
                <w:color w:val="000000"/>
                <w:sz w:val="21"/>
                <w:szCs w:val="21"/>
              </w:rPr>
              <w:t>/a</w:t>
            </w:r>
          </w:p>
        </w:tc>
        <w:tc>
          <w:tcPr>
            <w:tcW w:w="2403" w:type="dxa"/>
            <w:vMerge w:val="restart"/>
            <w:tcBorders>
              <w:tl2br w:val="nil"/>
              <w:tr2bl w:val="nil"/>
            </w:tcBorders>
            <w:vAlign w:val="center"/>
          </w:tcPr>
          <w:p w:rsidR="002D1343" w:rsidRDefault="002D1343" w:rsidP="000C4154">
            <w:pPr>
              <w:spacing w:line="340" w:lineRule="exact"/>
              <w:jc w:val="center"/>
              <w:rPr>
                <w:color w:val="FF0000"/>
                <w:sz w:val="21"/>
                <w:szCs w:val="21"/>
                <w:highlight w:val="yellow"/>
              </w:rPr>
            </w:pPr>
            <w:r>
              <w:rPr>
                <w:color w:val="000000"/>
                <w:sz w:val="21"/>
                <w:szCs w:val="21"/>
              </w:rPr>
              <w:t>生活污水经一体化综合处理设备处理达标后</w:t>
            </w:r>
            <w:r>
              <w:rPr>
                <w:rFonts w:hint="eastAsia"/>
                <w:color w:val="000000"/>
                <w:sz w:val="21"/>
                <w:szCs w:val="21"/>
              </w:rPr>
              <w:t>全部综合利用，不外排</w:t>
            </w:r>
            <w:r>
              <w:rPr>
                <w:color w:val="000000"/>
                <w:sz w:val="21"/>
                <w:szCs w:val="21"/>
              </w:rPr>
              <w:t>。</w:t>
            </w:r>
          </w:p>
        </w:tc>
        <w:tc>
          <w:tcPr>
            <w:tcW w:w="1176"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w:t>
            </w:r>
          </w:p>
        </w:tc>
        <w:tc>
          <w:tcPr>
            <w:tcW w:w="1177"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0</w:t>
            </w:r>
          </w:p>
        </w:tc>
        <w:tc>
          <w:tcPr>
            <w:tcW w:w="683" w:type="dxa"/>
            <w:vMerge w:val="restart"/>
            <w:tcBorders>
              <w:tl2br w:val="nil"/>
              <w:tr2bl w:val="nil"/>
            </w:tcBorders>
            <w:vAlign w:val="center"/>
          </w:tcPr>
          <w:p w:rsidR="002D1343" w:rsidRDefault="002D1343" w:rsidP="000C4154">
            <w:pPr>
              <w:spacing w:line="340" w:lineRule="exact"/>
              <w:jc w:val="center"/>
              <w:rPr>
                <w:sz w:val="21"/>
                <w:szCs w:val="21"/>
                <w:highlight w:val="yellow"/>
              </w:rPr>
            </w:pPr>
            <w:r>
              <w:rPr>
                <w:sz w:val="21"/>
                <w:szCs w:val="21"/>
              </w:rPr>
              <w:t>不外排</w:t>
            </w:r>
          </w:p>
        </w:tc>
      </w:tr>
      <w:tr w:rsidR="002D1343" w:rsidTr="000C4154">
        <w:trPr>
          <w:jc w:val="center"/>
        </w:trPr>
        <w:tc>
          <w:tcPr>
            <w:tcW w:w="492"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788"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COD</w:t>
            </w:r>
          </w:p>
        </w:tc>
        <w:tc>
          <w:tcPr>
            <w:tcW w:w="993"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128.3mg/L</w:t>
            </w:r>
          </w:p>
        </w:tc>
        <w:tc>
          <w:tcPr>
            <w:tcW w:w="922" w:type="dxa"/>
            <w:tcBorders>
              <w:tl2br w:val="nil"/>
              <w:tr2bl w:val="nil"/>
            </w:tcBorders>
            <w:vAlign w:val="center"/>
          </w:tcPr>
          <w:p w:rsidR="002D1343" w:rsidRDefault="002D1343" w:rsidP="000C4154">
            <w:pPr>
              <w:spacing w:line="340" w:lineRule="exact"/>
              <w:jc w:val="center"/>
              <w:rPr>
                <w:color w:val="000000"/>
                <w:sz w:val="21"/>
                <w:szCs w:val="21"/>
              </w:rPr>
            </w:pPr>
            <w:r>
              <w:rPr>
                <w:rFonts w:hint="eastAsia"/>
                <w:color w:val="000000"/>
                <w:sz w:val="21"/>
                <w:szCs w:val="21"/>
              </w:rPr>
              <w:t>2.803</w:t>
            </w:r>
            <w:r>
              <w:rPr>
                <w:color w:val="000000"/>
                <w:sz w:val="21"/>
                <w:szCs w:val="21"/>
              </w:rPr>
              <w:t>t/a</w:t>
            </w:r>
          </w:p>
        </w:tc>
        <w:tc>
          <w:tcPr>
            <w:tcW w:w="2403" w:type="dxa"/>
            <w:vMerge/>
            <w:tcBorders>
              <w:tl2br w:val="nil"/>
              <w:tr2bl w:val="nil"/>
            </w:tcBorders>
            <w:vAlign w:val="center"/>
          </w:tcPr>
          <w:p w:rsidR="002D1343" w:rsidRDefault="002D1343" w:rsidP="000C4154">
            <w:pPr>
              <w:spacing w:line="340" w:lineRule="exact"/>
              <w:jc w:val="center"/>
              <w:rPr>
                <w:color w:val="000000"/>
                <w:sz w:val="21"/>
                <w:szCs w:val="21"/>
              </w:rPr>
            </w:pPr>
          </w:p>
        </w:tc>
        <w:tc>
          <w:tcPr>
            <w:tcW w:w="1176"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66.3mg/L</w:t>
            </w:r>
          </w:p>
        </w:tc>
        <w:tc>
          <w:tcPr>
            <w:tcW w:w="1177"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0</w:t>
            </w:r>
          </w:p>
        </w:tc>
        <w:tc>
          <w:tcPr>
            <w:tcW w:w="683" w:type="dxa"/>
            <w:vMerge/>
            <w:tcBorders>
              <w:tl2br w:val="nil"/>
              <w:tr2bl w:val="nil"/>
            </w:tcBorders>
            <w:vAlign w:val="center"/>
          </w:tcPr>
          <w:p w:rsidR="002D1343" w:rsidRDefault="002D1343" w:rsidP="000C4154">
            <w:pPr>
              <w:widowControl/>
              <w:spacing w:line="340" w:lineRule="exact"/>
              <w:jc w:val="left"/>
              <w:rPr>
                <w:color w:val="FF0000"/>
                <w:sz w:val="21"/>
                <w:szCs w:val="21"/>
                <w:highlight w:val="yellow"/>
              </w:rPr>
            </w:pPr>
          </w:p>
        </w:tc>
      </w:tr>
      <w:tr w:rsidR="002D1343" w:rsidTr="000C4154">
        <w:trPr>
          <w:jc w:val="center"/>
        </w:trPr>
        <w:tc>
          <w:tcPr>
            <w:tcW w:w="492"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683" w:type="dxa"/>
            <w:vMerge/>
            <w:tcBorders>
              <w:tl2br w:val="nil"/>
              <w:tr2bl w:val="nil"/>
            </w:tcBorders>
            <w:vAlign w:val="center"/>
          </w:tcPr>
          <w:p w:rsidR="002D1343" w:rsidRDefault="002D1343" w:rsidP="000C4154">
            <w:pPr>
              <w:widowControl/>
              <w:spacing w:line="340" w:lineRule="exact"/>
              <w:jc w:val="left"/>
              <w:rPr>
                <w:color w:val="000000"/>
                <w:sz w:val="21"/>
                <w:szCs w:val="21"/>
              </w:rPr>
            </w:pPr>
          </w:p>
        </w:tc>
        <w:tc>
          <w:tcPr>
            <w:tcW w:w="788"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氨氮</w:t>
            </w:r>
          </w:p>
        </w:tc>
        <w:tc>
          <w:tcPr>
            <w:tcW w:w="993"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14.1mg/L</w:t>
            </w:r>
          </w:p>
        </w:tc>
        <w:tc>
          <w:tcPr>
            <w:tcW w:w="922"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0.</w:t>
            </w:r>
            <w:r>
              <w:rPr>
                <w:rFonts w:hint="eastAsia"/>
                <w:color w:val="000000"/>
                <w:sz w:val="21"/>
                <w:szCs w:val="21"/>
              </w:rPr>
              <w:t>308</w:t>
            </w:r>
            <w:r>
              <w:rPr>
                <w:color w:val="000000"/>
                <w:sz w:val="21"/>
                <w:szCs w:val="21"/>
              </w:rPr>
              <w:t>t/a</w:t>
            </w:r>
          </w:p>
        </w:tc>
        <w:tc>
          <w:tcPr>
            <w:tcW w:w="2403" w:type="dxa"/>
            <w:vMerge/>
            <w:tcBorders>
              <w:tl2br w:val="nil"/>
              <w:tr2bl w:val="nil"/>
            </w:tcBorders>
            <w:vAlign w:val="center"/>
          </w:tcPr>
          <w:p w:rsidR="002D1343" w:rsidRDefault="002D1343" w:rsidP="000C4154">
            <w:pPr>
              <w:spacing w:line="340" w:lineRule="exact"/>
              <w:jc w:val="center"/>
              <w:rPr>
                <w:color w:val="000000"/>
                <w:sz w:val="21"/>
                <w:szCs w:val="21"/>
              </w:rPr>
            </w:pPr>
          </w:p>
        </w:tc>
        <w:tc>
          <w:tcPr>
            <w:tcW w:w="1176"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8.41mg/L</w:t>
            </w:r>
          </w:p>
        </w:tc>
        <w:tc>
          <w:tcPr>
            <w:tcW w:w="1177" w:type="dxa"/>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0</w:t>
            </w:r>
          </w:p>
        </w:tc>
        <w:tc>
          <w:tcPr>
            <w:tcW w:w="683" w:type="dxa"/>
            <w:vMerge/>
            <w:tcBorders>
              <w:tl2br w:val="nil"/>
              <w:tr2bl w:val="nil"/>
            </w:tcBorders>
            <w:vAlign w:val="center"/>
          </w:tcPr>
          <w:p w:rsidR="002D1343" w:rsidRDefault="002D1343" w:rsidP="000C4154">
            <w:pPr>
              <w:widowControl/>
              <w:spacing w:line="340" w:lineRule="exact"/>
              <w:jc w:val="left"/>
              <w:rPr>
                <w:color w:val="FF0000"/>
                <w:sz w:val="21"/>
                <w:szCs w:val="21"/>
                <w:highlight w:val="yellow"/>
              </w:rPr>
            </w:pPr>
          </w:p>
        </w:tc>
      </w:tr>
      <w:tr w:rsidR="002D1343" w:rsidTr="000C4154">
        <w:trPr>
          <w:jc w:val="center"/>
        </w:trPr>
        <w:tc>
          <w:tcPr>
            <w:tcW w:w="492" w:type="dxa"/>
            <w:tcBorders>
              <w:tl2br w:val="nil"/>
              <w:tr2bl w:val="nil"/>
            </w:tcBorders>
            <w:vAlign w:val="center"/>
          </w:tcPr>
          <w:p w:rsidR="002D1343" w:rsidRDefault="002D1343" w:rsidP="000C4154">
            <w:pPr>
              <w:widowControl/>
              <w:spacing w:line="340" w:lineRule="exact"/>
              <w:jc w:val="center"/>
              <w:rPr>
                <w:color w:val="000000"/>
                <w:sz w:val="21"/>
                <w:szCs w:val="21"/>
              </w:rPr>
            </w:pPr>
            <w:r>
              <w:rPr>
                <w:color w:val="000000"/>
                <w:sz w:val="21"/>
                <w:szCs w:val="21"/>
              </w:rPr>
              <w:t>3</w:t>
            </w:r>
          </w:p>
        </w:tc>
        <w:tc>
          <w:tcPr>
            <w:tcW w:w="683" w:type="dxa"/>
            <w:tcBorders>
              <w:tl2br w:val="nil"/>
              <w:tr2bl w:val="nil"/>
            </w:tcBorders>
            <w:vAlign w:val="center"/>
          </w:tcPr>
          <w:p w:rsidR="002D1343" w:rsidRDefault="002D1343" w:rsidP="000C4154">
            <w:pPr>
              <w:widowControl/>
              <w:spacing w:line="340" w:lineRule="exact"/>
              <w:jc w:val="center"/>
              <w:rPr>
                <w:color w:val="000000"/>
                <w:sz w:val="21"/>
                <w:szCs w:val="21"/>
              </w:rPr>
            </w:pPr>
            <w:r>
              <w:rPr>
                <w:color w:val="000000"/>
                <w:sz w:val="21"/>
                <w:szCs w:val="21"/>
              </w:rPr>
              <w:t>初期雨水</w:t>
            </w:r>
          </w:p>
        </w:tc>
        <w:tc>
          <w:tcPr>
            <w:tcW w:w="7459" w:type="dxa"/>
            <w:gridSpan w:val="6"/>
            <w:tcBorders>
              <w:tl2br w:val="nil"/>
              <w:tr2bl w:val="nil"/>
            </w:tcBorders>
            <w:vAlign w:val="center"/>
          </w:tcPr>
          <w:p w:rsidR="002D1343" w:rsidRDefault="002D1343" w:rsidP="000C4154">
            <w:pPr>
              <w:spacing w:line="340" w:lineRule="exact"/>
              <w:jc w:val="center"/>
              <w:rPr>
                <w:color w:val="000000"/>
                <w:sz w:val="21"/>
                <w:szCs w:val="21"/>
              </w:rPr>
            </w:pPr>
            <w:r>
              <w:rPr>
                <w:color w:val="000000"/>
                <w:sz w:val="21"/>
                <w:szCs w:val="21"/>
              </w:rPr>
              <w:t>拟在工业广场东南角新建</w:t>
            </w:r>
            <w:r>
              <w:rPr>
                <w:color w:val="000000"/>
                <w:sz w:val="21"/>
                <w:szCs w:val="21"/>
              </w:rPr>
              <w:t>1</w:t>
            </w:r>
            <w:r>
              <w:rPr>
                <w:color w:val="000000"/>
                <w:sz w:val="21"/>
                <w:szCs w:val="21"/>
              </w:rPr>
              <w:t>座初期雨水收集池，容积</w:t>
            </w:r>
            <w:r>
              <w:rPr>
                <w:color w:val="000000"/>
                <w:sz w:val="21"/>
                <w:szCs w:val="21"/>
              </w:rPr>
              <w:t>150m</w:t>
            </w:r>
            <w:r>
              <w:rPr>
                <w:color w:val="000000"/>
                <w:sz w:val="21"/>
                <w:szCs w:val="21"/>
                <w:vertAlign w:val="superscript"/>
              </w:rPr>
              <w:t>3</w:t>
            </w:r>
            <w:r>
              <w:rPr>
                <w:color w:val="000000"/>
                <w:sz w:val="21"/>
                <w:szCs w:val="21"/>
              </w:rPr>
              <w:t>，初期雨水经收集后用于工业场地及运输道路洒水等，不外排。</w:t>
            </w:r>
          </w:p>
        </w:tc>
        <w:tc>
          <w:tcPr>
            <w:tcW w:w="683" w:type="dxa"/>
            <w:tcBorders>
              <w:tl2br w:val="nil"/>
              <w:tr2bl w:val="nil"/>
            </w:tcBorders>
            <w:vAlign w:val="center"/>
          </w:tcPr>
          <w:p w:rsidR="002D1343" w:rsidRDefault="002D1343" w:rsidP="000C4154">
            <w:pPr>
              <w:widowControl/>
              <w:spacing w:line="340" w:lineRule="exact"/>
              <w:jc w:val="center"/>
              <w:rPr>
                <w:sz w:val="21"/>
                <w:szCs w:val="21"/>
                <w:highlight w:val="yellow"/>
              </w:rPr>
            </w:pPr>
            <w:r>
              <w:rPr>
                <w:sz w:val="21"/>
                <w:szCs w:val="21"/>
              </w:rPr>
              <w:t>不外排</w:t>
            </w:r>
          </w:p>
        </w:tc>
      </w:tr>
    </w:tbl>
    <w:p w:rsidR="002D1343" w:rsidRDefault="002D1343" w:rsidP="002D1343">
      <w:pPr>
        <w:adjustRightInd w:val="0"/>
        <w:snapToGrid w:val="0"/>
        <w:spacing w:line="520" w:lineRule="exact"/>
        <w:ind w:firstLineChars="200" w:firstLine="488"/>
        <w:rPr>
          <w:spacing w:val="2"/>
          <w:sz w:val="24"/>
        </w:rPr>
      </w:pPr>
      <w:r>
        <w:rPr>
          <w:spacing w:val="2"/>
          <w:sz w:val="24"/>
        </w:rPr>
        <w:t>3</w:t>
      </w:r>
      <w:r>
        <w:rPr>
          <w:spacing w:val="2"/>
          <w:sz w:val="24"/>
        </w:rPr>
        <w:t>、固体废弃物</w:t>
      </w:r>
    </w:p>
    <w:p w:rsidR="002D1343" w:rsidRDefault="002D1343" w:rsidP="002D1343">
      <w:pPr>
        <w:adjustRightInd w:val="0"/>
        <w:snapToGrid w:val="0"/>
        <w:spacing w:line="520" w:lineRule="exact"/>
        <w:ind w:firstLineChars="200" w:firstLine="488"/>
        <w:rPr>
          <w:spacing w:val="2"/>
          <w:sz w:val="24"/>
        </w:rPr>
      </w:pPr>
      <w:r>
        <w:rPr>
          <w:spacing w:val="2"/>
          <w:sz w:val="24"/>
        </w:rPr>
        <w:t>升级改造后，工程产生的固体废物仍为煤矸石、少量生活垃圾</w:t>
      </w:r>
      <w:r>
        <w:rPr>
          <w:rFonts w:hint="eastAsia"/>
          <w:spacing w:val="2"/>
          <w:sz w:val="24"/>
        </w:rPr>
        <w:t>、</w:t>
      </w:r>
      <w:r w:rsidRPr="006873EF">
        <w:rPr>
          <w:rFonts w:hint="eastAsia"/>
          <w:spacing w:val="2"/>
          <w:sz w:val="24"/>
        </w:rPr>
        <w:t>矿井水处理产生的煤泥和机修车间维修设备产生的废油脂等少量危险废物</w:t>
      </w:r>
      <w:r>
        <w:rPr>
          <w:spacing w:val="2"/>
          <w:sz w:val="24"/>
        </w:rPr>
        <w:t>。</w:t>
      </w:r>
    </w:p>
    <w:p w:rsidR="002D1343" w:rsidRDefault="002D1343" w:rsidP="002D1343">
      <w:pPr>
        <w:adjustRightInd w:val="0"/>
        <w:snapToGrid w:val="0"/>
        <w:spacing w:line="520" w:lineRule="exact"/>
        <w:ind w:firstLineChars="200" w:firstLine="488"/>
        <w:rPr>
          <w:spacing w:val="2"/>
          <w:sz w:val="24"/>
        </w:rPr>
      </w:pPr>
      <w:r>
        <w:rPr>
          <w:spacing w:val="2"/>
          <w:sz w:val="24"/>
        </w:rPr>
        <w:t>（</w:t>
      </w:r>
      <w:r>
        <w:rPr>
          <w:spacing w:val="2"/>
          <w:sz w:val="24"/>
        </w:rPr>
        <w:t>1</w:t>
      </w:r>
      <w:r>
        <w:rPr>
          <w:spacing w:val="2"/>
          <w:sz w:val="24"/>
        </w:rPr>
        <w:t>）煤矸石</w:t>
      </w:r>
    </w:p>
    <w:p w:rsidR="002D1343" w:rsidRDefault="002D1343" w:rsidP="002D1343">
      <w:pPr>
        <w:pStyle w:val="ae"/>
        <w:spacing w:line="520" w:lineRule="exact"/>
        <w:ind w:firstLine="480"/>
        <w:rPr>
          <w:rFonts w:ascii="Times New Roman" w:hAnsi="Times New Roman"/>
          <w:sz w:val="24"/>
        </w:rPr>
      </w:pPr>
      <w:r>
        <w:rPr>
          <w:rFonts w:ascii="Times New Roman" w:hAnsi="Times New Roman"/>
          <w:spacing w:val="2"/>
          <w:sz w:val="24"/>
        </w:rPr>
        <w:t>生产期排矸量为</w:t>
      </w:r>
      <w:r>
        <w:rPr>
          <w:rFonts w:ascii="Times New Roman" w:hAnsi="Times New Roman"/>
          <w:spacing w:val="2"/>
          <w:sz w:val="24"/>
        </w:rPr>
        <w:t>2.4</w:t>
      </w:r>
      <w:r>
        <w:rPr>
          <w:rFonts w:ascii="Times New Roman" w:hAnsi="Times New Roman"/>
          <w:spacing w:val="2"/>
          <w:sz w:val="24"/>
        </w:rPr>
        <w:t>万</w:t>
      </w:r>
      <w:r>
        <w:rPr>
          <w:rFonts w:ascii="Times New Roman" w:hAnsi="Times New Roman"/>
          <w:spacing w:val="2"/>
          <w:sz w:val="24"/>
        </w:rPr>
        <w:t>t/a</w:t>
      </w:r>
      <w:r>
        <w:rPr>
          <w:rFonts w:ascii="Times New Roman" w:hAnsi="Times New Roman"/>
          <w:spacing w:val="2"/>
          <w:sz w:val="24"/>
        </w:rPr>
        <w:t>，根据</w:t>
      </w:r>
      <w:r>
        <w:rPr>
          <w:rFonts w:ascii="Times New Roman" w:hAnsi="Times New Roman"/>
          <w:spacing w:val="2"/>
          <w:sz w:val="24"/>
        </w:rPr>
        <w:t>2020</w:t>
      </w:r>
      <w:r>
        <w:rPr>
          <w:rFonts w:ascii="Times New Roman" w:hAnsi="Times New Roman"/>
          <w:spacing w:val="2"/>
          <w:sz w:val="24"/>
        </w:rPr>
        <w:t>年</w:t>
      </w:r>
      <w:r>
        <w:rPr>
          <w:rFonts w:ascii="Times New Roman" w:hAnsi="Times New Roman"/>
          <w:spacing w:val="2"/>
          <w:sz w:val="24"/>
        </w:rPr>
        <w:t>9</w:t>
      </w:r>
      <w:r>
        <w:rPr>
          <w:rFonts w:ascii="Times New Roman" w:hAnsi="Times New Roman"/>
          <w:spacing w:val="2"/>
          <w:sz w:val="24"/>
        </w:rPr>
        <w:t>月</w:t>
      </w:r>
      <w:r>
        <w:rPr>
          <w:rFonts w:ascii="Times New Roman" w:hAnsi="Times New Roman"/>
          <w:spacing w:val="2"/>
          <w:sz w:val="24"/>
        </w:rPr>
        <w:t>2</w:t>
      </w:r>
      <w:r>
        <w:rPr>
          <w:rFonts w:ascii="Times New Roman" w:hAnsi="Times New Roman"/>
          <w:spacing w:val="2"/>
          <w:sz w:val="24"/>
        </w:rPr>
        <w:t>日河南正捷检测技术有限公司</w:t>
      </w:r>
      <w:r>
        <w:rPr>
          <w:rFonts w:ascii="Times New Roman" w:hAnsi="Times New Roman"/>
          <w:sz w:val="24"/>
          <w:szCs w:val="24"/>
        </w:rPr>
        <w:t>对现有煤矸石浸出毒性实验结果（见表</w:t>
      </w:r>
      <w:r>
        <w:rPr>
          <w:rFonts w:ascii="Times New Roman" w:hAnsi="Times New Roman"/>
          <w:sz w:val="24"/>
          <w:szCs w:val="24"/>
        </w:rPr>
        <w:t>3.4-3</w:t>
      </w:r>
      <w:r>
        <w:rPr>
          <w:rFonts w:ascii="Times New Roman" w:hAnsi="Times New Roman"/>
          <w:sz w:val="24"/>
          <w:szCs w:val="24"/>
        </w:rPr>
        <w:t>）</w:t>
      </w:r>
      <w:r>
        <w:rPr>
          <w:rFonts w:ascii="Times New Roman" w:hAnsi="Times New Roman"/>
          <w:sz w:val="24"/>
        </w:rPr>
        <w:t>可知，矸石浸出液各项指标均低于《危险废物鉴别标准</w:t>
      </w:r>
      <w:r>
        <w:rPr>
          <w:rFonts w:ascii="Times New Roman" w:hAnsi="Times New Roman"/>
          <w:sz w:val="24"/>
        </w:rPr>
        <w:t>─</w:t>
      </w:r>
      <w:r>
        <w:rPr>
          <w:rFonts w:ascii="Times New Roman" w:hAnsi="Times New Roman"/>
          <w:sz w:val="24"/>
        </w:rPr>
        <w:t>浸出毒性鉴别》</w:t>
      </w:r>
      <w:r>
        <w:rPr>
          <w:rFonts w:ascii="Times New Roman" w:hAnsi="Times New Roman"/>
          <w:sz w:val="24"/>
        </w:rPr>
        <w:t>(GB5085.3-2007)</w:t>
      </w:r>
      <w:r>
        <w:rPr>
          <w:rFonts w:ascii="Times New Roman" w:hAnsi="Times New Roman"/>
          <w:sz w:val="24"/>
        </w:rPr>
        <w:t>的标准限值要求，也均未超过《污水综合排放标准》（</w:t>
      </w:r>
      <w:r>
        <w:rPr>
          <w:rFonts w:ascii="Times New Roman" w:hAnsi="Times New Roman"/>
          <w:sz w:val="24"/>
        </w:rPr>
        <w:t>GB8978-1996</w:t>
      </w:r>
      <w:r>
        <w:rPr>
          <w:rFonts w:ascii="Times New Roman" w:hAnsi="Times New Roman"/>
          <w:sz w:val="24"/>
        </w:rPr>
        <w:t>）最高允许浓度的要求，且</w:t>
      </w:r>
      <w:r>
        <w:rPr>
          <w:rFonts w:ascii="Times New Roman" w:hAnsi="Times New Roman"/>
          <w:sz w:val="24"/>
        </w:rPr>
        <w:t>pH</w:t>
      </w:r>
      <w:r>
        <w:rPr>
          <w:rFonts w:ascii="Times New Roman" w:hAnsi="Times New Roman"/>
          <w:sz w:val="24"/>
        </w:rPr>
        <w:t>值在</w:t>
      </w:r>
      <w:r>
        <w:rPr>
          <w:rFonts w:ascii="Times New Roman" w:hAnsi="Times New Roman"/>
          <w:sz w:val="24"/>
        </w:rPr>
        <w:t>6</w:t>
      </w:r>
      <w:r>
        <w:rPr>
          <w:rFonts w:ascii="Times New Roman" w:hAnsi="Times New Roman"/>
          <w:sz w:val="24"/>
        </w:rPr>
        <w:t>～</w:t>
      </w:r>
      <w:r>
        <w:rPr>
          <w:rFonts w:ascii="Times New Roman" w:hAnsi="Times New Roman"/>
          <w:sz w:val="24"/>
        </w:rPr>
        <w:t>9</w:t>
      </w:r>
      <w:r>
        <w:rPr>
          <w:rFonts w:ascii="Times New Roman" w:hAnsi="Times New Roman"/>
          <w:sz w:val="24"/>
        </w:rPr>
        <w:t>之间，根据《一般工业固体废物贮存、处置场污染控制标准》（</w:t>
      </w:r>
      <w:r>
        <w:rPr>
          <w:rFonts w:ascii="Times New Roman" w:hAnsi="Times New Roman"/>
          <w:sz w:val="24"/>
        </w:rPr>
        <w:t>GB18599-2001</w:t>
      </w:r>
      <w:r>
        <w:rPr>
          <w:rFonts w:ascii="Times New Roman" w:hAnsi="Times New Roman"/>
          <w:sz w:val="24"/>
        </w:rPr>
        <w:t>）中有关规定，矸石为第</w:t>
      </w:r>
      <w:r>
        <w:rPr>
          <w:rFonts w:ascii="Times New Roman" w:hAnsi="Times New Roman"/>
          <w:sz w:val="24"/>
        </w:rPr>
        <w:t>Ⅰ</w:t>
      </w:r>
      <w:r>
        <w:rPr>
          <w:rFonts w:ascii="Times New Roman" w:hAnsi="Times New Roman"/>
          <w:sz w:val="24"/>
        </w:rPr>
        <w:t>类一般工业固体废物。根据设计及业主提供的综合利用协议，矸石全部仍直接装车外运或在</w:t>
      </w:r>
      <w:r w:rsidR="00802A62">
        <w:rPr>
          <w:rFonts w:ascii="Times New Roman" w:hAnsi="Times New Roman"/>
          <w:sz w:val="24"/>
        </w:rPr>
        <w:t>储煤库</w:t>
      </w:r>
      <w:r>
        <w:rPr>
          <w:rFonts w:ascii="Times New Roman" w:hAnsi="Times New Roman"/>
          <w:sz w:val="24"/>
        </w:rPr>
        <w:t>内临时周转后外运供禹州市鸿畅镇三合新型建材厂制砖，综合利用率</w:t>
      </w:r>
      <w:r>
        <w:rPr>
          <w:rFonts w:ascii="Times New Roman" w:hAnsi="Times New Roman"/>
          <w:sz w:val="24"/>
        </w:rPr>
        <w:t>100</w:t>
      </w:r>
      <w:r>
        <w:rPr>
          <w:rFonts w:ascii="Times New Roman" w:hAnsi="Times New Roman"/>
          <w:sz w:val="24"/>
        </w:rPr>
        <w:t>﹪（煤矸石协议见附件）。三合新型建材厂位于工业场地东南</w:t>
      </w:r>
      <w:r>
        <w:rPr>
          <w:rFonts w:ascii="Times New Roman" w:hAnsi="Times New Roman"/>
          <w:sz w:val="24"/>
        </w:rPr>
        <w:t>20km</w:t>
      </w:r>
      <w:r>
        <w:rPr>
          <w:rFonts w:ascii="Times New Roman" w:hAnsi="Times New Roman"/>
          <w:sz w:val="24"/>
        </w:rPr>
        <w:t>的禹州市鸿畅镇王沟村，年生产煤矸石烧结多孔砖</w:t>
      </w:r>
      <w:r>
        <w:rPr>
          <w:rFonts w:ascii="Times New Roman" w:hAnsi="Times New Roman"/>
          <w:sz w:val="24"/>
        </w:rPr>
        <w:t>6000</w:t>
      </w:r>
      <w:r>
        <w:rPr>
          <w:rFonts w:ascii="Times New Roman" w:hAnsi="Times New Roman"/>
          <w:sz w:val="24"/>
        </w:rPr>
        <w:t>万</w:t>
      </w:r>
      <w:r>
        <w:rPr>
          <w:rFonts w:ascii="Times New Roman" w:hAnsi="Times New Roman"/>
          <w:sz w:val="24"/>
        </w:rPr>
        <w:lastRenderedPageBreak/>
        <w:t>块，所需原料主要为矸石和炉渣等，年需矸石</w:t>
      </w:r>
      <w:r>
        <w:rPr>
          <w:rFonts w:ascii="Times New Roman" w:hAnsi="Times New Roman"/>
          <w:sz w:val="24"/>
        </w:rPr>
        <w:t>8</w:t>
      </w:r>
      <w:r>
        <w:rPr>
          <w:rFonts w:ascii="Times New Roman" w:hAnsi="Times New Roman"/>
          <w:sz w:val="24"/>
        </w:rPr>
        <w:t>万吨～</w:t>
      </w:r>
      <w:r>
        <w:rPr>
          <w:rFonts w:ascii="Times New Roman" w:hAnsi="Times New Roman"/>
          <w:sz w:val="24"/>
        </w:rPr>
        <w:t>12</w:t>
      </w:r>
      <w:r>
        <w:rPr>
          <w:rFonts w:ascii="Times New Roman" w:hAnsi="Times New Roman"/>
          <w:sz w:val="24"/>
        </w:rPr>
        <w:t>万吨；煤矸石供给矸石砖厂制砖已经有非常成熟的工艺，在工艺上完全可行，且交通方便。本项目煤矸石年产量</w:t>
      </w:r>
      <w:r>
        <w:rPr>
          <w:rFonts w:ascii="Times New Roman" w:hAnsi="Times New Roman"/>
          <w:sz w:val="24"/>
        </w:rPr>
        <w:t>2.4</w:t>
      </w:r>
      <w:r>
        <w:rPr>
          <w:rFonts w:ascii="Times New Roman" w:hAnsi="Times New Roman"/>
          <w:sz w:val="24"/>
        </w:rPr>
        <w:t>万吨，能够完全供给三合新型建材厂制砖</w:t>
      </w:r>
      <w:r>
        <w:rPr>
          <w:rFonts w:ascii="Times New Roman" w:hAnsi="Times New Roman" w:hint="eastAsia"/>
          <w:sz w:val="24"/>
        </w:rPr>
        <w:t>，且</w:t>
      </w:r>
      <w:r>
        <w:rPr>
          <w:rFonts w:ascii="Times New Roman" w:hAnsi="Times New Roman"/>
          <w:sz w:val="24"/>
        </w:rPr>
        <w:t>三合新型建材厂</w:t>
      </w:r>
      <w:r>
        <w:rPr>
          <w:rFonts w:ascii="Times New Roman" w:hAnsi="Times New Roman" w:hint="eastAsia"/>
          <w:sz w:val="24"/>
        </w:rPr>
        <w:t>具有原料储存设施约能储存</w:t>
      </w:r>
      <w:r>
        <w:rPr>
          <w:rFonts w:ascii="Times New Roman" w:hAnsi="Times New Roman" w:hint="eastAsia"/>
          <w:sz w:val="24"/>
        </w:rPr>
        <w:t>08</w:t>
      </w:r>
      <w:r>
        <w:rPr>
          <w:rFonts w:ascii="Times New Roman" w:hAnsi="Times New Roman" w:hint="eastAsia"/>
          <w:sz w:val="24"/>
        </w:rPr>
        <w:t>万吨的原料量，本项目冬季约能产生</w:t>
      </w:r>
      <w:r>
        <w:rPr>
          <w:rFonts w:ascii="Times New Roman" w:hAnsi="Times New Roman" w:hint="eastAsia"/>
          <w:sz w:val="24"/>
        </w:rPr>
        <w:t>0.6</w:t>
      </w:r>
      <w:r>
        <w:rPr>
          <w:rFonts w:ascii="Times New Roman" w:hAnsi="Times New Roman" w:hint="eastAsia"/>
          <w:sz w:val="24"/>
        </w:rPr>
        <w:t>万吨矸石量，在</w:t>
      </w:r>
      <w:r w:rsidRPr="00165E70">
        <w:rPr>
          <w:rFonts w:ascii="Times New Roman" w:hAnsi="Times New Roman"/>
          <w:sz w:val="24"/>
        </w:rPr>
        <w:t>冬季砖厂应急停工时，</w:t>
      </w:r>
      <w:r>
        <w:rPr>
          <w:rFonts w:ascii="Times New Roman" w:hAnsi="Times New Roman" w:hint="eastAsia"/>
          <w:sz w:val="24"/>
        </w:rPr>
        <w:t>本项目矸石能够运至</w:t>
      </w:r>
      <w:r>
        <w:rPr>
          <w:rFonts w:ascii="Times New Roman" w:hAnsi="Times New Roman"/>
          <w:sz w:val="24"/>
        </w:rPr>
        <w:t>三合新型建材厂</w:t>
      </w:r>
      <w:r w:rsidRPr="00165E70">
        <w:rPr>
          <w:rFonts w:ascii="Times New Roman" w:hAnsi="Times New Roman"/>
          <w:sz w:val="24"/>
        </w:rPr>
        <w:t>暂存满足冬季攻坚要求</w:t>
      </w:r>
      <w:r>
        <w:rPr>
          <w:rFonts w:ascii="Times New Roman" w:hAnsi="Times New Roman"/>
          <w:sz w:val="24"/>
        </w:rPr>
        <w:t>。</w:t>
      </w:r>
    </w:p>
    <w:p w:rsidR="002D1343" w:rsidRDefault="002D1343" w:rsidP="002D1343">
      <w:pPr>
        <w:spacing w:line="520" w:lineRule="exact"/>
        <w:jc w:val="center"/>
        <w:rPr>
          <w:rFonts w:eastAsia="黑体"/>
          <w:sz w:val="21"/>
          <w:szCs w:val="21"/>
        </w:rPr>
      </w:pPr>
      <w:r>
        <w:rPr>
          <w:rFonts w:eastAsia="黑体"/>
          <w:sz w:val="24"/>
        </w:rPr>
        <w:t>表</w:t>
      </w:r>
      <w:r>
        <w:rPr>
          <w:rFonts w:eastAsia="黑体"/>
          <w:sz w:val="24"/>
        </w:rPr>
        <w:t xml:space="preserve">3.4-3  </w:t>
      </w:r>
      <w:r>
        <w:rPr>
          <w:rFonts w:eastAsia="黑体"/>
          <w:sz w:val="24"/>
        </w:rPr>
        <w:t>矸石浸出试验分析结果（</w:t>
      </w:r>
      <w:r>
        <w:rPr>
          <w:rFonts w:eastAsia="黑体"/>
          <w:sz w:val="21"/>
          <w:szCs w:val="21"/>
        </w:rPr>
        <w:t>单位：</w:t>
      </w:r>
      <w:r>
        <w:rPr>
          <w:rFonts w:eastAsia="黑体"/>
          <w:sz w:val="21"/>
          <w:szCs w:val="21"/>
        </w:rPr>
        <w:t>mg/l</w:t>
      </w:r>
      <w:r>
        <w:rPr>
          <w:rFonts w:eastAsia="黑体"/>
          <w:sz w:val="21"/>
          <w:szCs w:val="21"/>
        </w:rPr>
        <w:t>（</w:t>
      </w:r>
      <w:r>
        <w:rPr>
          <w:rFonts w:eastAsia="黑体"/>
          <w:sz w:val="21"/>
          <w:szCs w:val="21"/>
        </w:rPr>
        <w:t>pH</w:t>
      </w:r>
      <w:r>
        <w:rPr>
          <w:rFonts w:eastAsia="黑体"/>
          <w:sz w:val="21"/>
          <w:szCs w:val="21"/>
        </w:rPr>
        <w:t>无量纲）</w:t>
      </w:r>
      <w:r>
        <w:rPr>
          <w:rFonts w:eastAsia="黑体"/>
          <w:sz w:val="24"/>
        </w:rPr>
        <w:t>）</w:t>
      </w:r>
    </w:p>
    <w:tbl>
      <w:tblPr>
        <w:tblW w:w="5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35"/>
        <w:gridCol w:w="618"/>
        <w:gridCol w:w="618"/>
        <w:gridCol w:w="618"/>
        <w:gridCol w:w="618"/>
        <w:gridCol w:w="618"/>
        <w:gridCol w:w="618"/>
        <w:gridCol w:w="618"/>
        <w:gridCol w:w="618"/>
        <w:gridCol w:w="574"/>
        <w:gridCol w:w="663"/>
        <w:gridCol w:w="683"/>
        <w:gridCol w:w="553"/>
      </w:tblGrid>
      <w:tr w:rsidR="002D1343" w:rsidTr="000C4154">
        <w:trPr>
          <w:jc w:val="center"/>
        </w:trPr>
        <w:tc>
          <w:tcPr>
            <w:tcW w:w="763" w:type="pct"/>
            <w:tcBorders>
              <w:top w:val="single" w:sz="4" w:space="0" w:color="auto"/>
              <w:left w:val="single" w:sz="4" w:space="0" w:color="auto"/>
              <w:bottom w:val="single" w:sz="4" w:space="0" w:color="auto"/>
              <w:right w:val="single" w:sz="4" w:space="0" w:color="auto"/>
            </w:tcBorders>
            <w:vAlign w:val="center"/>
          </w:tcPr>
          <w:p w:rsidR="002D1343" w:rsidRDefault="00B95226" w:rsidP="000C4154">
            <w:pPr>
              <w:pStyle w:val="ae"/>
              <w:spacing w:line="320" w:lineRule="exact"/>
              <w:jc w:val="center"/>
              <w:rPr>
                <w:rFonts w:ascii="Times New Roman" w:hAnsi="Times New Roman"/>
                <w:spacing w:val="-10"/>
                <w:sz w:val="21"/>
                <w:szCs w:val="21"/>
              </w:rPr>
            </w:pPr>
            <w:r w:rsidRPr="00B95226">
              <w:rPr>
                <w:rFonts w:ascii="Times New Roman" w:hAnsi="Times New Roman"/>
                <w:noProof/>
                <w:color w:val="FF0000"/>
                <w:spacing w:val="-10"/>
                <w:sz w:val="21"/>
                <w:szCs w:val="21"/>
              </w:rPr>
              <w:pict>
                <v:shapetype id="_x0000_t32" coordsize="21600,21600" o:spt="32" o:oned="t" path="m,l21600,21600e" filled="f">
                  <v:path arrowok="t" fillok="f" o:connecttype="none"/>
                  <o:lock v:ext="edit" shapetype="t"/>
                </v:shapetype>
                <v:shape id="自选图形 1438" o:spid="_x0000_s3808" type="#_x0000_t32" style="position:absolute;left:0;text-align:left;margin-left:31.95pt;margin-top:.9pt;width:37.95pt;height:48.1pt;flip:x y;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"/>
              </w:pict>
            </w:r>
            <w:r w:rsidR="002D1343">
              <w:rPr>
                <w:rFonts w:ascii="Times New Roman" w:hAnsi="Times New Roman"/>
                <w:spacing w:val="-10"/>
                <w:sz w:val="21"/>
                <w:szCs w:val="21"/>
              </w:rPr>
              <w:t xml:space="preserve">          </w:t>
            </w:r>
            <w:r w:rsidR="002D1343">
              <w:rPr>
                <w:rFonts w:ascii="Times New Roman" w:hAnsi="Times New Roman"/>
                <w:spacing w:val="-10"/>
                <w:sz w:val="21"/>
                <w:szCs w:val="21"/>
              </w:rPr>
              <w:t>项目</w:t>
            </w:r>
          </w:p>
          <w:p w:rsidR="002D1343" w:rsidRDefault="00B95226" w:rsidP="000C4154">
            <w:pPr>
              <w:pStyle w:val="ae"/>
              <w:spacing w:line="320" w:lineRule="exact"/>
              <w:ind w:firstLineChars="200" w:firstLine="420"/>
              <w:rPr>
                <w:rFonts w:ascii="Times New Roman" w:hAnsi="Times New Roman"/>
                <w:spacing w:val="-10"/>
                <w:sz w:val="21"/>
                <w:szCs w:val="21"/>
              </w:rPr>
            </w:pPr>
            <w:r w:rsidRPr="00B95226">
              <w:rPr>
                <w:rFonts w:ascii="Times New Roman" w:hAnsi="Times New Roman"/>
                <w:noProof/>
                <w:color w:val="FF0000"/>
                <w:spacing w:val="-10"/>
                <w:sz w:val="21"/>
                <w:szCs w:val="21"/>
              </w:rPr>
              <w:pict>
                <v:shape id="自选图形 1439" o:spid="_x0000_s3809" type="#_x0000_t32" style="position:absolute;left:0;text-align:left;margin-left:1.5pt;margin-top:9.1pt;width:68.4pt;height:23.9pt;flip:x y;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"/>
              </w:pict>
            </w:r>
            <w:r w:rsidR="002D1343">
              <w:rPr>
                <w:rFonts w:ascii="Times New Roman" w:hAnsi="Times New Roman"/>
                <w:spacing w:val="-10"/>
                <w:sz w:val="21"/>
                <w:szCs w:val="21"/>
              </w:rPr>
              <w:t>浓度</w:t>
            </w:r>
          </w:p>
          <w:p w:rsidR="002D1343" w:rsidRDefault="002D1343" w:rsidP="000C4154">
            <w:pPr>
              <w:pStyle w:val="ae"/>
              <w:spacing w:line="320" w:lineRule="exact"/>
              <w:rPr>
                <w:rFonts w:ascii="Times New Roman" w:hAnsi="Times New Roman"/>
                <w:spacing w:val="-10"/>
                <w:sz w:val="21"/>
                <w:szCs w:val="21"/>
              </w:rPr>
            </w:pPr>
            <w:r>
              <w:rPr>
                <w:rFonts w:ascii="Times New Roman" w:hAnsi="Times New Roman"/>
                <w:spacing w:val="-10"/>
                <w:sz w:val="21"/>
                <w:szCs w:val="21"/>
              </w:rPr>
              <w:t>类别</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pH</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氟化物</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总铬</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六价铬</w:t>
            </w:r>
          </w:p>
          <w:p w:rsidR="002D1343" w:rsidRDefault="002D1343" w:rsidP="000C4154">
            <w:pPr>
              <w:pStyle w:val="ae"/>
              <w:spacing w:line="320" w:lineRule="exact"/>
              <w:jc w:val="center"/>
              <w:rPr>
                <w:rFonts w:ascii="Times New Roman" w:hAnsi="Times New Roman"/>
                <w:spacing w:val="-10"/>
                <w:sz w:val="21"/>
                <w:szCs w:val="21"/>
                <w:vertAlign w:val="superscript"/>
              </w:rPr>
            </w:pPr>
            <w:r>
              <w:rPr>
                <w:rFonts w:ascii="Times New Roman" w:hAnsi="Times New Roman"/>
                <w:spacing w:val="-10"/>
                <w:sz w:val="21"/>
                <w:szCs w:val="21"/>
              </w:rPr>
              <w:t>Cr</w:t>
            </w:r>
            <w:r>
              <w:rPr>
                <w:rFonts w:ascii="Times New Roman" w:hAnsi="Times New Roman"/>
                <w:spacing w:val="-10"/>
                <w:sz w:val="21"/>
                <w:szCs w:val="21"/>
                <w:vertAlign w:val="superscript"/>
              </w:rPr>
              <w:t>6+</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铅</w:t>
            </w:r>
          </w:p>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Pb</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铜</w:t>
            </w:r>
          </w:p>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Cu</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镉</w:t>
            </w:r>
          </w:p>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Cd</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镍</w:t>
            </w:r>
          </w:p>
        </w:tc>
        <w:tc>
          <w:tcPr>
            <w:tcW w:w="328"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锌</w:t>
            </w:r>
          </w:p>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Zn</w:t>
            </w:r>
          </w:p>
        </w:tc>
        <w:tc>
          <w:tcPr>
            <w:tcW w:w="379"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汞</w:t>
            </w:r>
            <w:r>
              <w:rPr>
                <w:rFonts w:ascii="Times New Roman" w:hAnsi="Times New Roman"/>
                <w:spacing w:val="-10"/>
                <w:sz w:val="21"/>
                <w:szCs w:val="21"/>
              </w:rPr>
              <w:t>Hg</w:t>
            </w:r>
          </w:p>
        </w:tc>
        <w:tc>
          <w:tcPr>
            <w:tcW w:w="390"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砷</w:t>
            </w:r>
          </w:p>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As</w:t>
            </w:r>
          </w:p>
        </w:tc>
        <w:tc>
          <w:tcPr>
            <w:tcW w:w="316"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银</w:t>
            </w:r>
          </w:p>
        </w:tc>
      </w:tr>
      <w:tr w:rsidR="002D1343" w:rsidTr="000C4154">
        <w:trPr>
          <w:jc w:val="center"/>
        </w:trPr>
        <w:tc>
          <w:tcPr>
            <w:tcW w:w="763" w:type="pct"/>
            <w:tcBorders>
              <w:top w:val="single" w:sz="4" w:space="0" w:color="auto"/>
              <w:left w:val="single" w:sz="4" w:space="0" w:color="auto"/>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隆庆煤矿煤矸石浸出液</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8.86</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0.37</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0.11</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未检出</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未检出</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未检出</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未检出</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未检出</w:t>
            </w:r>
          </w:p>
        </w:tc>
        <w:tc>
          <w:tcPr>
            <w:tcW w:w="328"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0.38</w:t>
            </w:r>
          </w:p>
        </w:tc>
        <w:tc>
          <w:tcPr>
            <w:tcW w:w="379"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0.00031</w:t>
            </w:r>
          </w:p>
        </w:tc>
        <w:tc>
          <w:tcPr>
            <w:tcW w:w="390"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0.00047</w:t>
            </w:r>
          </w:p>
        </w:tc>
        <w:tc>
          <w:tcPr>
            <w:tcW w:w="316"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未检出</w:t>
            </w:r>
          </w:p>
        </w:tc>
      </w:tr>
      <w:tr w:rsidR="002D1343" w:rsidTr="000C4154">
        <w:trPr>
          <w:jc w:val="center"/>
        </w:trPr>
        <w:tc>
          <w:tcPr>
            <w:tcW w:w="763" w:type="pct"/>
            <w:tcBorders>
              <w:top w:val="single" w:sz="4" w:space="0" w:color="auto"/>
              <w:left w:val="single" w:sz="4" w:space="0" w:color="auto"/>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GB5085.3-2007</w:t>
            </w:r>
            <w:r>
              <w:rPr>
                <w:rFonts w:ascii="Times New Roman" w:hAnsi="Times New Roman"/>
                <w:spacing w:val="-10"/>
                <w:kern w:val="10"/>
                <w:sz w:val="21"/>
                <w:szCs w:val="21"/>
              </w:rPr>
              <w:t>最高允许浓度</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100</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15</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5</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5</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100</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1</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5</w:t>
            </w:r>
          </w:p>
        </w:tc>
        <w:tc>
          <w:tcPr>
            <w:tcW w:w="328"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100</w:t>
            </w:r>
          </w:p>
        </w:tc>
        <w:tc>
          <w:tcPr>
            <w:tcW w:w="379"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0.1</w:t>
            </w:r>
          </w:p>
        </w:tc>
        <w:tc>
          <w:tcPr>
            <w:tcW w:w="390"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5</w:t>
            </w:r>
          </w:p>
        </w:tc>
        <w:tc>
          <w:tcPr>
            <w:tcW w:w="316"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5</w:t>
            </w:r>
          </w:p>
        </w:tc>
      </w:tr>
      <w:tr w:rsidR="002D1343" w:rsidTr="000C4154">
        <w:trPr>
          <w:jc w:val="center"/>
        </w:trPr>
        <w:tc>
          <w:tcPr>
            <w:tcW w:w="763" w:type="pct"/>
            <w:tcBorders>
              <w:top w:val="single" w:sz="4" w:space="0" w:color="auto"/>
              <w:left w:val="single" w:sz="4" w:space="0" w:color="auto"/>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GB8978-1996</w:t>
            </w:r>
            <w:r>
              <w:rPr>
                <w:rFonts w:ascii="Times New Roman" w:hAnsi="Times New Roman"/>
                <w:spacing w:val="-10"/>
                <w:sz w:val="21"/>
                <w:szCs w:val="21"/>
              </w:rPr>
              <w:t>最高允许浓度</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6</w:t>
            </w:r>
            <w:r>
              <w:rPr>
                <w:rFonts w:ascii="Times New Roman" w:hAnsi="Times New Roman"/>
                <w:spacing w:val="-10"/>
                <w:sz w:val="21"/>
                <w:szCs w:val="21"/>
              </w:rPr>
              <w:t>～</w:t>
            </w:r>
            <w:r>
              <w:rPr>
                <w:rFonts w:ascii="Times New Roman" w:hAnsi="Times New Roman"/>
                <w:spacing w:val="-10"/>
                <w:sz w:val="21"/>
                <w:szCs w:val="21"/>
              </w:rPr>
              <w:t>9</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10</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1.5</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0.5</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1.0</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0.5</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0.1</w:t>
            </w:r>
          </w:p>
        </w:tc>
        <w:tc>
          <w:tcPr>
            <w:tcW w:w="353"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1.0</w:t>
            </w:r>
          </w:p>
        </w:tc>
        <w:tc>
          <w:tcPr>
            <w:tcW w:w="328"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2.0</w:t>
            </w:r>
          </w:p>
        </w:tc>
        <w:tc>
          <w:tcPr>
            <w:tcW w:w="379"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0.05</w:t>
            </w:r>
          </w:p>
        </w:tc>
        <w:tc>
          <w:tcPr>
            <w:tcW w:w="390"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0.5</w:t>
            </w:r>
          </w:p>
        </w:tc>
        <w:tc>
          <w:tcPr>
            <w:tcW w:w="316" w:type="pct"/>
            <w:tcBorders>
              <w:top w:val="single" w:sz="4" w:space="0" w:color="auto"/>
              <w:left w:val="nil"/>
              <w:bottom w:val="single" w:sz="4" w:space="0" w:color="auto"/>
              <w:right w:val="single" w:sz="4" w:space="0" w:color="auto"/>
            </w:tcBorders>
            <w:vAlign w:val="center"/>
          </w:tcPr>
          <w:p w:rsidR="002D1343" w:rsidRDefault="002D1343" w:rsidP="000C4154">
            <w:pPr>
              <w:pStyle w:val="ae"/>
              <w:spacing w:line="320" w:lineRule="exact"/>
              <w:jc w:val="center"/>
              <w:rPr>
                <w:rFonts w:ascii="Times New Roman" w:hAnsi="Times New Roman"/>
                <w:spacing w:val="-10"/>
                <w:sz w:val="21"/>
                <w:szCs w:val="21"/>
              </w:rPr>
            </w:pPr>
            <w:r>
              <w:rPr>
                <w:rFonts w:ascii="Times New Roman" w:hAnsi="Times New Roman"/>
                <w:spacing w:val="-10"/>
                <w:sz w:val="21"/>
                <w:szCs w:val="21"/>
              </w:rPr>
              <w:t>0.5</w:t>
            </w:r>
          </w:p>
        </w:tc>
      </w:tr>
    </w:tbl>
    <w:p w:rsidR="002D1343" w:rsidRDefault="002D1343" w:rsidP="002D1343">
      <w:pPr>
        <w:adjustRightInd w:val="0"/>
        <w:snapToGrid w:val="0"/>
        <w:spacing w:line="520" w:lineRule="exact"/>
        <w:ind w:firstLineChars="200" w:firstLine="488"/>
        <w:rPr>
          <w:spacing w:val="2"/>
          <w:sz w:val="24"/>
        </w:rPr>
      </w:pPr>
      <w:r>
        <w:rPr>
          <w:spacing w:val="2"/>
          <w:sz w:val="24"/>
        </w:rPr>
        <w:t>（</w:t>
      </w:r>
      <w:r>
        <w:rPr>
          <w:spacing w:val="2"/>
          <w:sz w:val="24"/>
        </w:rPr>
        <w:t>2</w:t>
      </w:r>
      <w:r>
        <w:rPr>
          <w:spacing w:val="2"/>
          <w:sz w:val="24"/>
        </w:rPr>
        <w:t>）生活垃圾</w:t>
      </w:r>
    </w:p>
    <w:p w:rsidR="002D1343" w:rsidRDefault="002D1343" w:rsidP="002D1343">
      <w:pPr>
        <w:adjustRightInd w:val="0"/>
        <w:snapToGrid w:val="0"/>
        <w:spacing w:line="520" w:lineRule="exact"/>
        <w:ind w:firstLineChars="200" w:firstLine="488"/>
        <w:rPr>
          <w:spacing w:val="2"/>
          <w:sz w:val="24"/>
        </w:rPr>
      </w:pPr>
      <w:r>
        <w:rPr>
          <w:spacing w:val="2"/>
          <w:sz w:val="24"/>
        </w:rPr>
        <w:t>生活垃圾产生量</w:t>
      </w:r>
      <w:r>
        <w:rPr>
          <w:spacing w:val="2"/>
          <w:sz w:val="24"/>
        </w:rPr>
        <w:t>119t/a</w:t>
      </w:r>
      <w:r>
        <w:rPr>
          <w:spacing w:val="2"/>
          <w:sz w:val="24"/>
        </w:rPr>
        <w:t>，运至鸠山镇垃圾中转站处置。</w:t>
      </w:r>
    </w:p>
    <w:p w:rsidR="002D1343" w:rsidRPr="006873EF" w:rsidRDefault="002D1343" w:rsidP="002D1343">
      <w:pPr>
        <w:adjustRightInd w:val="0"/>
        <w:snapToGrid w:val="0"/>
        <w:spacing w:line="520" w:lineRule="exact"/>
        <w:ind w:firstLineChars="200" w:firstLine="488"/>
        <w:rPr>
          <w:spacing w:val="2"/>
          <w:sz w:val="24"/>
        </w:rPr>
      </w:pPr>
      <w:r>
        <w:rPr>
          <w:spacing w:val="2"/>
          <w:sz w:val="24"/>
        </w:rPr>
        <w:t>（</w:t>
      </w:r>
      <w:r>
        <w:rPr>
          <w:spacing w:val="2"/>
          <w:sz w:val="24"/>
        </w:rPr>
        <w:t>3</w:t>
      </w:r>
      <w:r>
        <w:rPr>
          <w:spacing w:val="2"/>
          <w:sz w:val="24"/>
        </w:rPr>
        <w:t>）</w:t>
      </w:r>
      <w:r w:rsidRPr="006873EF">
        <w:rPr>
          <w:rFonts w:hint="eastAsia"/>
          <w:spacing w:val="2"/>
          <w:sz w:val="24"/>
        </w:rPr>
        <w:t>矿井水处理站的煤泥</w:t>
      </w:r>
    </w:p>
    <w:p w:rsidR="002D1343" w:rsidRPr="006873EF" w:rsidRDefault="002D1343" w:rsidP="002D1343">
      <w:pPr>
        <w:adjustRightInd w:val="0"/>
        <w:snapToGrid w:val="0"/>
        <w:spacing w:line="520" w:lineRule="exact"/>
        <w:ind w:firstLineChars="200" w:firstLine="488"/>
        <w:rPr>
          <w:spacing w:val="2"/>
          <w:sz w:val="24"/>
        </w:rPr>
      </w:pPr>
      <w:r w:rsidRPr="006873EF">
        <w:rPr>
          <w:rFonts w:hint="eastAsia"/>
          <w:spacing w:val="2"/>
          <w:sz w:val="24"/>
        </w:rPr>
        <w:t>矿井水处理站少量污泥是煤泥，产生量约</w:t>
      </w:r>
      <w:r>
        <w:rPr>
          <w:rFonts w:hint="eastAsia"/>
          <w:spacing w:val="2"/>
          <w:sz w:val="24"/>
        </w:rPr>
        <w:t>20</w:t>
      </w:r>
      <w:r w:rsidRPr="006873EF">
        <w:rPr>
          <w:rFonts w:hint="eastAsia"/>
          <w:spacing w:val="2"/>
          <w:sz w:val="24"/>
        </w:rPr>
        <w:t>t/a</w:t>
      </w:r>
      <w:r w:rsidRPr="006873EF">
        <w:rPr>
          <w:rFonts w:hint="eastAsia"/>
          <w:spacing w:val="2"/>
          <w:sz w:val="24"/>
        </w:rPr>
        <w:t>。煤泥具有一定的热值，</w:t>
      </w:r>
      <w:r w:rsidRPr="003B1886">
        <w:rPr>
          <w:rFonts w:hint="eastAsia"/>
          <w:b/>
          <w:i/>
          <w:spacing w:val="2"/>
          <w:sz w:val="24"/>
          <w:u w:val="single"/>
        </w:rPr>
        <w:t>经板框压滤机压滤脱水后销售</w:t>
      </w:r>
      <w:r w:rsidRPr="006873EF">
        <w:rPr>
          <w:rFonts w:hint="eastAsia"/>
          <w:spacing w:val="2"/>
          <w:sz w:val="24"/>
        </w:rPr>
        <w:t>。</w:t>
      </w:r>
    </w:p>
    <w:p w:rsidR="002D1343" w:rsidRDefault="002D1343" w:rsidP="002D1343">
      <w:pPr>
        <w:adjustRightInd w:val="0"/>
        <w:snapToGrid w:val="0"/>
        <w:spacing w:line="520" w:lineRule="exact"/>
        <w:ind w:firstLineChars="200" w:firstLine="488"/>
        <w:rPr>
          <w:spacing w:val="2"/>
          <w:sz w:val="24"/>
        </w:rPr>
      </w:pPr>
      <w:r>
        <w:rPr>
          <w:rFonts w:hint="eastAsia"/>
          <w:spacing w:val="2"/>
          <w:sz w:val="24"/>
        </w:rPr>
        <w:t>（</w:t>
      </w:r>
      <w:r>
        <w:rPr>
          <w:rFonts w:hint="eastAsia"/>
          <w:spacing w:val="2"/>
          <w:sz w:val="24"/>
        </w:rPr>
        <w:t>4</w:t>
      </w:r>
      <w:r>
        <w:rPr>
          <w:rFonts w:hint="eastAsia"/>
          <w:spacing w:val="2"/>
          <w:sz w:val="24"/>
        </w:rPr>
        <w:t>）</w:t>
      </w:r>
      <w:r>
        <w:rPr>
          <w:spacing w:val="2"/>
          <w:sz w:val="24"/>
        </w:rPr>
        <w:t>危险废物</w:t>
      </w:r>
    </w:p>
    <w:p w:rsidR="002D1343" w:rsidRPr="006873EF" w:rsidRDefault="002D1343" w:rsidP="002D1343">
      <w:pPr>
        <w:adjustRightInd w:val="0"/>
        <w:snapToGrid w:val="0"/>
        <w:spacing w:line="520" w:lineRule="exact"/>
        <w:ind w:firstLineChars="200" w:firstLine="490"/>
        <w:rPr>
          <w:b/>
          <w:i/>
          <w:spacing w:val="2"/>
          <w:sz w:val="24"/>
          <w:u w:val="single"/>
        </w:rPr>
      </w:pPr>
      <w:r w:rsidRPr="006873EF">
        <w:rPr>
          <w:b/>
          <w:i/>
          <w:spacing w:val="2"/>
          <w:sz w:val="24"/>
          <w:u w:val="single"/>
        </w:rPr>
        <w:t>危险废物主要来自机修车间等场所，主要危险废物为</w:t>
      </w:r>
      <w:r w:rsidRPr="006873EF">
        <w:rPr>
          <w:rFonts w:hint="eastAsia"/>
          <w:b/>
          <w:i/>
          <w:spacing w:val="2"/>
          <w:sz w:val="24"/>
          <w:u w:val="single"/>
        </w:rPr>
        <w:t>废齿轮油、废液压油、废机油和其他废传动油等</w:t>
      </w:r>
      <w:r w:rsidRPr="006873EF">
        <w:rPr>
          <w:b/>
          <w:i/>
          <w:spacing w:val="2"/>
          <w:sz w:val="24"/>
          <w:u w:val="single"/>
        </w:rPr>
        <w:t>，年产生量约</w:t>
      </w:r>
      <w:r w:rsidRPr="006873EF">
        <w:rPr>
          <w:b/>
          <w:i/>
          <w:spacing w:val="2"/>
          <w:sz w:val="24"/>
          <w:u w:val="single"/>
        </w:rPr>
        <w:t>0.3t/a</w:t>
      </w:r>
      <w:r w:rsidRPr="006873EF">
        <w:rPr>
          <w:rFonts w:hint="eastAsia"/>
          <w:b/>
          <w:i/>
          <w:spacing w:val="2"/>
          <w:sz w:val="24"/>
          <w:u w:val="single"/>
        </w:rPr>
        <w:t>，根据《国家危险废物名录（</w:t>
      </w:r>
      <w:r w:rsidRPr="006873EF">
        <w:rPr>
          <w:rFonts w:hint="eastAsia"/>
          <w:b/>
          <w:i/>
          <w:spacing w:val="2"/>
          <w:sz w:val="24"/>
          <w:u w:val="single"/>
        </w:rPr>
        <w:t>2021</w:t>
      </w:r>
      <w:r w:rsidRPr="006873EF">
        <w:rPr>
          <w:rFonts w:hint="eastAsia"/>
          <w:b/>
          <w:i/>
          <w:spacing w:val="2"/>
          <w:sz w:val="24"/>
          <w:u w:val="single"/>
        </w:rPr>
        <w:t>年版）》，废机油</w:t>
      </w:r>
      <w:r w:rsidRPr="006873EF">
        <w:rPr>
          <w:b/>
          <w:i/>
          <w:spacing w:val="2"/>
          <w:sz w:val="24"/>
          <w:u w:val="single"/>
        </w:rPr>
        <w:t>属于</w:t>
      </w:r>
      <w:r w:rsidRPr="006873EF">
        <w:rPr>
          <w:rFonts w:hint="eastAsia"/>
          <w:b/>
          <w:i/>
          <w:spacing w:val="2"/>
          <w:sz w:val="24"/>
          <w:u w:val="single"/>
        </w:rPr>
        <w:t>“</w:t>
      </w:r>
      <w:r w:rsidRPr="006873EF">
        <w:rPr>
          <w:b/>
          <w:i/>
          <w:spacing w:val="2"/>
          <w:sz w:val="24"/>
          <w:u w:val="single"/>
        </w:rPr>
        <w:t>HW08</w:t>
      </w:r>
      <w:r w:rsidRPr="006873EF">
        <w:rPr>
          <w:rFonts w:hint="eastAsia"/>
          <w:b/>
          <w:i/>
          <w:spacing w:val="2"/>
          <w:sz w:val="24"/>
          <w:u w:val="single"/>
        </w:rPr>
        <w:t>废矿物油与含矿物油废物类、代码</w:t>
      </w:r>
      <w:r w:rsidRPr="006873EF">
        <w:rPr>
          <w:b/>
          <w:i/>
          <w:spacing w:val="2"/>
          <w:sz w:val="24"/>
          <w:u w:val="single"/>
        </w:rPr>
        <w:t>900-214-08</w:t>
      </w:r>
      <w:r w:rsidRPr="006873EF">
        <w:rPr>
          <w:rFonts w:hint="eastAsia"/>
          <w:b/>
          <w:i/>
          <w:spacing w:val="2"/>
          <w:sz w:val="24"/>
          <w:u w:val="single"/>
        </w:rPr>
        <w:t>”</w:t>
      </w:r>
      <w:r w:rsidRPr="006873EF">
        <w:rPr>
          <w:b/>
          <w:i/>
          <w:spacing w:val="2"/>
          <w:sz w:val="24"/>
          <w:u w:val="single"/>
        </w:rPr>
        <w:t>的危险废物</w:t>
      </w:r>
      <w:r w:rsidRPr="006873EF">
        <w:rPr>
          <w:rFonts w:hint="eastAsia"/>
          <w:b/>
          <w:i/>
          <w:spacing w:val="2"/>
          <w:sz w:val="24"/>
          <w:u w:val="single"/>
        </w:rPr>
        <w:t>。</w:t>
      </w:r>
    </w:p>
    <w:p w:rsidR="002D1343" w:rsidRDefault="002D1343" w:rsidP="002D1343">
      <w:pPr>
        <w:adjustRightInd w:val="0"/>
        <w:snapToGrid w:val="0"/>
        <w:spacing w:line="520" w:lineRule="exact"/>
        <w:ind w:firstLineChars="200" w:firstLine="488"/>
        <w:rPr>
          <w:sz w:val="24"/>
        </w:rPr>
      </w:pPr>
      <w:r>
        <w:rPr>
          <w:spacing w:val="2"/>
          <w:sz w:val="24"/>
        </w:rPr>
        <w:t>评价要求</w:t>
      </w:r>
      <w:r w:rsidRPr="006873EF">
        <w:rPr>
          <w:rFonts w:hint="eastAsia"/>
          <w:b/>
          <w:i/>
          <w:sz w:val="24"/>
          <w:u w:val="single"/>
        </w:rPr>
        <w:t>应按照《危险废物贮存污染控制标准</w:t>
      </w:r>
      <w:r w:rsidRPr="006873EF">
        <w:rPr>
          <w:rFonts w:hint="eastAsia"/>
          <w:b/>
          <w:i/>
          <w:sz w:val="24"/>
          <w:u w:val="single"/>
        </w:rPr>
        <w:t>(2013</w:t>
      </w:r>
      <w:r w:rsidRPr="006873EF">
        <w:rPr>
          <w:rFonts w:hint="eastAsia"/>
          <w:b/>
          <w:i/>
          <w:sz w:val="24"/>
          <w:u w:val="single"/>
        </w:rPr>
        <w:t>年修订</w:t>
      </w:r>
      <w:r w:rsidRPr="006873EF">
        <w:rPr>
          <w:rFonts w:hint="eastAsia"/>
          <w:b/>
          <w:i/>
          <w:sz w:val="24"/>
          <w:u w:val="single"/>
        </w:rPr>
        <w:t>)</w:t>
      </w:r>
      <w:r w:rsidRPr="006873EF">
        <w:rPr>
          <w:rFonts w:hint="eastAsia"/>
          <w:b/>
          <w:i/>
          <w:sz w:val="24"/>
          <w:u w:val="single"/>
        </w:rPr>
        <w:t>》和《</w:t>
      </w:r>
      <w:hyperlink r:id="rId18" w:history="1">
        <w:r w:rsidRPr="006873EF">
          <w:rPr>
            <w:rStyle w:val="aff2"/>
            <w:rFonts w:hint="eastAsia"/>
            <w:b/>
            <w:i/>
            <w:color w:val="auto"/>
            <w:sz w:val="24"/>
          </w:rPr>
          <w:t>危险废物收集</w:t>
        </w:r>
        <w:r w:rsidRPr="006873EF">
          <w:rPr>
            <w:rStyle w:val="aff2"/>
            <w:rFonts w:hint="eastAsia"/>
            <w:b/>
            <w:i/>
            <w:color w:val="auto"/>
            <w:sz w:val="24"/>
          </w:rPr>
          <w:t xml:space="preserve"> </w:t>
        </w:r>
        <w:r w:rsidRPr="006873EF">
          <w:rPr>
            <w:rStyle w:val="aff2"/>
            <w:rFonts w:hint="eastAsia"/>
            <w:b/>
            <w:i/>
            <w:color w:val="auto"/>
            <w:sz w:val="24"/>
          </w:rPr>
          <w:t>贮存</w:t>
        </w:r>
        <w:r w:rsidRPr="006873EF">
          <w:rPr>
            <w:rStyle w:val="aff2"/>
            <w:rFonts w:hint="eastAsia"/>
            <w:b/>
            <w:i/>
            <w:color w:val="auto"/>
            <w:sz w:val="24"/>
          </w:rPr>
          <w:t xml:space="preserve"> </w:t>
        </w:r>
        <w:r w:rsidRPr="006873EF">
          <w:rPr>
            <w:rStyle w:val="aff2"/>
            <w:rFonts w:hint="eastAsia"/>
            <w:b/>
            <w:i/>
            <w:color w:val="auto"/>
            <w:sz w:val="24"/>
          </w:rPr>
          <w:t>运输技术规范</w:t>
        </w:r>
        <w:r w:rsidRPr="006873EF">
          <w:rPr>
            <w:rStyle w:val="aff2"/>
            <w:rFonts w:hint="eastAsia"/>
            <w:b/>
            <w:i/>
            <w:color w:val="auto"/>
            <w:sz w:val="24"/>
          </w:rPr>
          <w:t>(HJ 2025-2012)</w:t>
        </w:r>
      </w:hyperlink>
      <w:r w:rsidRPr="006873EF">
        <w:rPr>
          <w:rFonts w:hint="eastAsia"/>
          <w:b/>
          <w:i/>
          <w:sz w:val="24"/>
          <w:u w:val="single"/>
        </w:rPr>
        <w:t>》设置危废暂存间，危废暂存间做到“三防”，即地面硬化，设</w:t>
      </w:r>
      <w:r w:rsidRPr="006873EF">
        <w:rPr>
          <w:rFonts w:hint="eastAsia"/>
          <w:b/>
          <w:i/>
          <w:sz w:val="24"/>
          <w:u w:val="single"/>
        </w:rPr>
        <w:t>2mm</w:t>
      </w:r>
      <w:r w:rsidRPr="006873EF">
        <w:rPr>
          <w:rFonts w:hint="eastAsia"/>
          <w:b/>
          <w:i/>
          <w:sz w:val="24"/>
          <w:u w:val="single"/>
        </w:rPr>
        <w:t>厚环氧树脂防渗层，暂存间内设溢流槽、收集坑等导</w:t>
      </w:r>
      <w:r w:rsidRPr="006873EF">
        <w:rPr>
          <w:rFonts w:hint="eastAsia"/>
          <w:b/>
          <w:i/>
          <w:sz w:val="24"/>
          <w:u w:val="single"/>
        </w:rPr>
        <w:lastRenderedPageBreak/>
        <w:t>排设施，暂存间门口设围堰，有危险废物贮存场所标识、危险废物警示标示、危险废物应急预案等标识，采用双人双锁、五联单管理制度</w:t>
      </w:r>
      <w:r w:rsidRPr="00077E83">
        <w:rPr>
          <w:rFonts w:hint="eastAsia"/>
          <w:sz w:val="24"/>
        </w:rPr>
        <w:t>。废矿物油、废油桶等危废</w:t>
      </w:r>
      <w:r>
        <w:rPr>
          <w:rFonts w:hint="eastAsia"/>
          <w:spacing w:val="2"/>
          <w:sz w:val="24"/>
        </w:rPr>
        <w:t>经</w:t>
      </w:r>
      <w:r>
        <w:rPr>
          <w:spacing w:val="2"/>
          <w:sz w:val="24"/>
        </w:rPr>
        <w:t>集中收集</w:t>
      </w:r>
      <w:r>
        <w:rPr>
          <w:rFonts w:hint="eastAsia"/>
          <w:spacing w:val="2"/>
          <w:sz w:val="24"/>
        </w:rPr>
        <w:t>至</w:t>
      </w:r>
      <w:r w:rsidRPr="00077E83">
        <w:rPr>
          <w:rFonts w:hint="eastAsia"/>
          <w:sz w:val="24"/>
        </w:rPr>
        <w:t>危废暂存间</w:t>
      </w:r>
      <w:r>
        <w:rPr>
          <w:rFonts w:hint="eastAsia"/>
          <w:sz w:val="24"/>
        </w:rPr>
        <w:t>暂存</w:t>
      </w:r>
      <w:r>
        <w:rPr>
          <w:spacing w:val="2"/>
          <w:sz w:val="24"/>
        </w:rPr>
        <w:t>后交由有危险废物处理处置资质的单位处理</w:t>
      </w:r>
      <w:r>
        <w:rPr>
          <w:rFonts w:hint="eastAsia"/>
          <w:spacing w:val="2"/>
          <w:sz w:val="24"/>
        </w:rPr>
        <w:t>，确保</w:t>
      </w:r>
      <w:r w:rsidRPr="002D4360">
        <w:rPr>
          <w:spacing w:val="2"/>
          <w:sz w:val="24"/>
        </w:rPr>
        <w:t>废机油、废油脂、废油桶等</w:t>
      </w:r>
      <w:r>
        <w:rPr>
          <w:rFonts w:hint="eastAsia"/>
          <w:spacing w:val="2"/>
          <w:sz w:val="24"/>
        </w:rPr>
        <w:t>得到</w:t>
      </w:r>
      <w:r w:rsidRPr="002D4360">
        <w:rPr>
          <w:spacing w:val="2"/>
          <w:sz w:val="24"/>
        </w:rPr>
        <w:t>安全处置，确保其不污染土壤和地下水环境。</w:t>
      </w:r>
    </w:p>
    <w:p w:rsidR="002D1343" w:rsidRDefault="002D1343" w:rsidP="002D1343">
      <w:pPr>
        <w:adjustRightInd w:val="0"/>
        <w:snapToGrid w:val="0"/>
        <w:spacing w:line="520" w:lineRule="exact"/>
        <w:ind w:firstLineChars="200" w:firstLine="488"/>
        <w:rPr>
          <w:spacing w:val="2"/>
          <w:sz w:val="24"/>
        </w:rPr>
      </w:pPr>
      <w:r>
        <w:rPr>
          <w:spacing w:val="2"/>
          <w:sz w:val="24"/>
        </w:rPr>
        <w:t>固体废弃物产生及排放情况见表</w:t>
      </w:r>
      <w:r>
        <w:rPr>
          <w:spacing w:val="2"/>
          <w:sz w:val="24"/>
        </w:rPr>
        <w:t>3.4-4</w:t>
      </w:r>
      <w:r>
        <w:rPr>
          <w:spacing w:val="2"/>
          <w:sz w:val="24"/>
        </w:rPr>
        <w:t>。</w:t>
      </w:r>
    </w:p>
    <w:p w:rsidR="002D1343" w:rsidRPr="007054B4" w:rsidRDefault="002D1343" w:rsidP="002D1343">
      <w:pPr>
        <w:spacing w:line="520" w:lineRule="exact"/>
        <w:jc w:val="center"/>
        <w:rPr>
          <w:rFonts w:eastAsia="黑体"/>
          <w:sz w:val="24"/>
        </w:rPr>
      </w:pPr>
      <w:r w:rsidRPr="007054B4">
        <w:rPr>
          <w:rFonts w:eastAsia="黑体"/>
          <w:sz w:val="24"/>
        </w:rPr>
        <w:t>表</w:t>
      </w:r>
      <w:r w:rsidRPr="007054B4">
        <w:rPr>
          <w:rFonts w:eastAsia="黑体"/>
          <w:sz w:val="24"/>
        </w:rPr>
        <w:t xml:space="preserve">3.4-4    </w:t>
      </w:r>
      <w:r w:rsidRPr="007054B4">
        <w:rPr>
          <w:rFonts w:eastAsia="黑体"/>
          <w:sz w:val="24"/>
        </w:rPr>
        <w:t>固体废物产生、排放及污染防治措施一览表</w:t>
      </w:r>
    </w:p>
    <w:tbl>
      <w:tblPr>
        <w:tblW w:w="5133"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left w:w="0" w:type="dxa"/>
          <w:right w:w="0" w:type="dxa"/>
        </w:tblCellMar>
        <w:tblLook w:val="04A0"/>
      </w:tblPr>
      <w:tblGrid>
        <w:gridCol w:w="1106"/>
        <w:gridCol w:w="2682"/>
        <w:gridCol w:w="1455"/>
        <w:gridCol w:w="1113"/>
        <w:gridCol w:w="2380"/>
      </w:tblGrid>
      <w:tr w:rsidR="002D1343" w:rsidTr="000C4154">
        <w:trPr>
          <w:trHeight w:val="83"/>
          <w:jc w:val="center"/>
        </w:trPr>
        <w:tc>
          <w:tcPr>
            <w:tcW w:w="2168" w:type="pct"/>
            <w:gridSpan w:val="2"/>
            <w:tcBorders>
              <w:tl2br w:val="nil"/>
              <w:tr2bl w:val="nil"/>
            </w:tcBorders>
            <w:vAlign w:val="center"/>
          </w:tcPr>
          <w:p w:rsidR="002D1343" w:rsidRDefault="002D1343" w:rsidP="000C4154">
            <w:pPr>
              <w:widowControl/>
              <w:jc w:val="center"/>
              <w:rPr>
                <w:color w:val="000000"/>
                <w:sz w:val="21"/>
                <w:szCs w:val="21"/>
              </w:rPr>
            </w:pPr>
            <w:r>
              <w:rPr>
                <w:color w:val="000000"/>
                <w:sz w:val="21"/>
                <w:szCs w:val="21"/>
              </w:rPr>
              <w:t>污染物种类</w:t>
            </w:r>
          </w:p>
        </w:tc>
        <w:tc>
          <w:tcPr>
            <w:tcW w:w="833" w:type="pct"/>
            <w:vMerge w:val="restar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固废属性</w:t>
            </w:r>
          </w:p>
        </w:tc>
        <w:tc>
          <w:tcPr>
            <w:tcW w:w="637" w:type="pct"/>
            <w:vMerge w:val="restar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产生量</w:t>
            </w:r>
          </w:p>
        </w:tc>
        <w:tc>
          <w:tcPr>
            <w:tcW w:w="1362" w:type="pct"/>
            <w:vMerge w:val="restar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污染防治措施</w:t>
            </w:r>
          </w:p>
        </w:tc>
      </w:tr>
      <w:tr w:rsidR="002D1343" w:rsidTr="000C4154">
        <w:trPr>
          <w:trHeight w:val="83"/>
          <w:jc w:val="center"/>
        </w:trPr>
        <w:tc>
          <w:tcPr>
            <w:tcW w:w="633" w:type="pct"/>
            <w:tcBorders>
              <w:tl2br w:val="nil"/>
              <w:tr2bl w:val="nil"/>
            </w:tcBorders>
            <w:vAlign w:val="center"/>
          </w:tcPr>
          <w:p w:rsidR="002D1343" w:rsidRDefault="002D1343" w:rsidP="000C4154">
            <w:pPr>
              <w:widowControl/>
              <w:jc w:val="center"/>
              <w:rPr>
                <w:color w:val="000000"/>
                <w:sz w:val="21"/>
                <w:szCs w:val="21"/>
              </w:rPr>
            </w:pPr>
            <w:r>
              <w:rPr>
                <w:color w:val="000000"/>
                <w:sz w:val="21"/>
                <w:szCs w:val="21"/>
              </w:rPr>
              <w:t>污染源</w:t>
            </w:r>
          </w:p>
        </w:tc>
        <w:tc>
          <w:tcPr>
            <w:tcW w:w="1535" w:type="pct"/>
            <w:tcBorders>
              <w:tl2br w:val="nil"/>
              <w:tr2bl w:val="nil"/>
            </w:tcBorders>
            <w:vAlign w:val="center"/>
          </w:tcPr>
          <w:p w:rsidR="002D1343" w:rsidRDefault="002D1343" w:rsidP="000C4154">
            <w:pPr>
              <w:widowControl/>
              <w:jc w:val="center"/>
              <w:rPr>
                <w:color w:val="000000"/>
                <w:sz w:val="21"/>
                <w:szCs w:val="21"/>
              </w:rPr>
            </w:pPr>
            <w:r>
              <w:rPr>
                <w:color w:val="000000"/>
                <w:sz w:val="21"/>
                <w:szCs w:val="21"/>
              </w:rPr>
              <w:t>污染物</w:t>
            </w:r>
          </w:p>
        </w:tc>
        <w:tc>
          <w:tcPr>
            <w:tcW w:w="833" w:type="pct"/>
            <w:vMerge/>
            <w:tcBorders>
              <w:tl2br w:val="nil"/>
              <w:tr2bl w:val="nil"/>
            </w:tcBorders>
            <w:vAlign w:val="center"/>
          </w:tcPr>
          <w:p w:rsidR="002D1343" w:rsidRDefault="002D1343" w:rsidP="000C4154">
            <w:pPr>
              <w:spacing w:line="280" w:lineRule="exact"/>
              <w:jc w:val="center"/>
              <w:rPr>
                <w:color w:val="000000"/>
                <w:sz w:val="21"/>
                <w:szCs w:val="21"/>
              </w:rPr>
            </w:pPr>
          </w:p>
        </w:tc>
        <w:tc>
          <w:tcPr>
            <w:tcW w:w="637" w:type="pct"/>
            <w:vMerge/>
            <w:tcBorders>
              <w:tl2br w:val="nil"/>
              <w:tr2bl w:val="nil"/>
            </w:tcBorders>
            <w:vAlign w:val="center"/>
          </w:tcPr>
          <w:p w:rsidR="002D1343" w:rsidRDefault="002D1343" w:rsidP="000C4154">
            <w:pPr>
              <w:spacing w:line="280" w:lineRule="exact"/>
              <w:jc w:val="center"/>
              <w:rPr>
                <w:color w:val="000000"/>
                <w:sz w:val="21"/>
                <w:szCs w:val="21"/>
              </w:rPr>
            </w:pPr>
          </w:p>
        </w:tc>
        <w:tc>
          <w:tcPr>
            <w:tcW w:w="1362" w:type="pct"/>
            <w:vMerge/>
            <w:tcBorders>
              <w:tl2br w:val="nil"/>
              <w:tr2bl w:val="nil"/>
            </w:tcBorders>
            <w:vAlign w:val="center"/>
          </w:tcPr>
          <w:p w:rsidR="002D1343" w:rsidRDefault="002D1343" w:rsidP="000C4154">
            <w:pPr>
              <w:spacing w:line="280" w:lineRule="exact"/>
              <w:jc w:val="center"/>
              <w:rPr>
                <w:color w:val="000000"/>
                <w:sz w:val="21"/>
                <w:szCs w:val="21"/>
              </w:rPr>
            </w:pPr>
          </w:p>
        </w:tc>
      </w:tr>
      <w:tr w:rsidR="002D1343" w:rsidTr="000C4154">
        <w:trPr>
          <w:trHeight w:val="659"/>
          <w:jc w:val="center"/>
        </w:trPr>
        <w:tc>
          <w:tcPr>
            <w:tcW w:w="6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井下采煤</w:t>
            </w:r>
          </w:p>
        </w:tc>
        <w:tc>
          <w:tcPr>
            <w:tcW w:w="1535"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矸石</w:t>
            </w:r>
          </w:p>
        </w:tc>
        <w:tc>
          <w:tcPr>
            <w:tcW w:w="8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第</w:t>
            </w:r>
            <w:r>
              <w:rPr>
                <w:color w:val="000000"/>
                <w:sz w:val="21"/>
                <w:szCs w:val="21"/>
              </w:rPr>
              <w:t>Ⅰ</w:t>
            </w:r>
            <w:r>
              <w:rPr>
                <w:color w:val="000000"/>
                <w:sz w:val="21"/>
                <w:szCs w:val="21"/>
              </w:rPr>
              <w:t>类一般工业固体废物</w:t>
            </w:r>
          </w:p>
        </w:tc>
        <w:tc>
          <w:tcPr>
            <w:tcW w:w="637"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2.4</w:t>
            </w:r>
            <w:r>
              <w:rPr>
                <w:color w:val="000000"/>
                <w:sz w:val="21"/>
                <w:szCs w:val="21"/>
              </w:rPr>
              <w:t>万</w:t>
            </w:r>
            <w:r>
              <w:rPr>
                <w:color w:val="000000"/>
                <w:sz w:val="21"/>
                <w:szCs w:val="21"/>
              </w:rPr>
              <w:t>t/a</w:t>
            </w:r>
          </w:p>
        </w:tc>
        <w:tc>
          <w:tcPr>
            <w:tcW w:w="1362"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运往矸石砖厂</w:t>
            </w:r>
          </w:p>
          <w:p w:rsidR="002D1343" w:rsidRDefault="002D1343" w:rsidP="000C4154">
            <w:pPr>
              <w:spacing w:line="280" w:lineRule="exact"/>
              <w:jc w:val="center"/>
              <w:rPr>
                <w:color w:val="000000"/>
                <w:sz w:val="21"/>
                <w:szCs w:val="21"/>
              </w:rPr>
            </w:pPr>
            <w:r>
              <w:rPr>
                <w:color w:val="000000"/>
                <w:sz w:val="21"/>
                <w:szCs w:val="21"/>
              </w:rPr>
              <w:t>综合利用</w:t>
            </w:r>
          </w:p>
        </w:tc>
      </w:tr>
      <w:tr w:rsidR="002D1343" w:rsidTr="000C4154">
        <w:trPr>
          <w:trHeight w:val="83"/>
          <w:jc w:val="center"/>
        </w:trPr>
        <w:tc>
          <w:tcPr>
            <w:tcW w:w="6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工业场地</w:t>
            </w:r>
          </w:p>
        </w:tc>
        <w:tc>
          <w:tcPr>
            <w:tcW w:w="1535"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生活垃圾</w:t>
            </w:r>
          </w:p>
        </w:tc>
        <w:tc>
          <w:tcPr>
            <w:tcW w:w="8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生活垃圾</w:t>
            </w:r>
          </w:p>
        </w:tc>
        <w:tc>
          <w:tcPr>
            <w:tcW w:w="637"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119t/a</w:t>
            </w:r>
          </w:p>
        </w:tc>
        <w:tc>
          <w:tcPr>
            <w:tcW w:w="1362"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统一收集后运至鸠山镇垃圾中转站妥善处置</w:t>
            </w:r>
          </w:p>
        </w:tc>
      </w:tr>
      <w:tr w:rsidR="002D1343" w:rsidTr="000C4154">
        <w:trPr>
          <w:trHeight w:val="83"/>
          <w:jc w:val="center"/>
        </w:trPr>
        <w:tc>
          <w:tcPr>
            <w:tcW w:w="6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矿井水处理站</w:t>
            </w:r>
          </w:p>
        </w:tc>
        <w:tc>
          <w:tcPr>
            <w:tcW w:w="1535"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污泥</w:t>
            </w:r>
          </w:p>
        </w:tc>
        <w:tc>
          <w:tcPr>
            <w:tcW w:w="8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第</w:t>
            </w:r>
            <w:r>
              <w:rPr>
                <w:color w:val="000000"/>
                <w:sz w:val="21"/>
                <w:szCs w:val="21"/>
              </w:rPr>
              <w:t>Ⅰ</w:t>
            </w:r>
            <w:r>
              <w:rPr>
                <w:color w:val="000000"/>
                <w:sz w:val="21"/>
                <w:szCs w:val="21"/>
              </w:rPr>
              <w:t>类一般工业固体废物</w:t>
            </w:r>
          </w:p>
        </w:tc>
        <w:tc>
          <w:tcPr>
            <w:tcW w:w="637"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20t/a</w:t>
            </w:r>
          </w:p>
        </w:tc>
        <w:tc>
          <w:tcPr>
            <w:tcW w:w="1362"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掺入原煤销售</w:t>
            </w:r>
          </w:p>
        </w:tc>
      </w:tr>
      <w:tr w:rsidR="002D1343" w:rsidTr="000C4154">
        <w:trPr>
          <w:trHeight w:val="83"/>
          <w:jc w:val="center"/>
        </w:trPr>
        <w:tc>
          <w:tcPr>
            <w:tcW w:w="6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生活污水处理站</w:t>
            </w:r>
          </w:p>
        </w:tc>
        <w:tc>
          <w:tcPr>
            <w:tcW w:w="1535"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污泥</w:t>
            </w:r>
          </w:p>
        </w:tc>
        <w:tc>
          <w:tcPr>
            <w:tcW w:w="8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生活垃圾</w:t>
            </w:r>
          </w:p>
        </w:tc>
        <w:tc>
          <w:tcPr>
            <w:tcW w:w="637"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0.52t/a</w:t>
            </w:r>
          </w:p>
        </w:tc>
        <w:tc>
          <w:tcPr>
            <w:tcW w:w="1362"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与生活垃圾一同处理</w:t>
            </w:r>
          </w:p>
        </w:tc>
      </w:tr>
      <w:tr w:rsidR="002D1343" w:rsidTr="000C4154">
        <w:trPr>
          <w:trHeight w:val="83"/>
          <w:jc w:val="center"/>
        </w:trPr>
        <w:tc>
          <w:tcPr>
            <w:tcW w:w="6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机修车间</w:t>
            </w:r>
          </w:p>
        </w:tc>
        <w:tc>
          <w:tcPr>
            <w:tcW w:w="1535" w:type="pct"/>
            <w:tcBorders>
              <w:tl2br w:val="nil"/>
              <w:tr2bl w:val="nil"/>
            </w:tcBorders>
            <w:vAlign w:val="center"/>
          </w:tcPr>
          <w:p w:rsidR="002D1343" w:rsidRPr="002D4360" w:rsidRDefault="002D1343" w:rsidP="000C4154">
            <w:pPr>
              <w:spacing w:line="280" w:lineRule="exact"/>
              <w:jc w:val="center"/>
              <w:rPr>
                <w:color w:val="000000"/>
                <w:sz w:val="21"/>
                <w:szCs w:val="21"/>
              </w:rPr>
            </w:pPr>
            <w:r>
              <w:rPr>
                <w:color w:val="000000"/>
                <w:sz w:val="21"/>
                <w:szCs w:val="21"/>
              </w:rPr>
              <w:t>废机油</w:t>
            </w:r>
            <w:r>
              <w:rPr>
                <w:rFonts w:hint="eastAsia"/>
                <w:color w:val="000000"/>
                <w:sz w:val="21"/>
                <w:szCs w:val="21"/>
              </w:rPr>
              <w:t>（类别：</w:t>
            </w:r>
            <w:r w:rsidRPr="0016532B">
              <w:rPr>
                <w:color w:val="000000"/>
                <w:sz w:val="21"/>
                <w:szCs w:val="21"/>
              </w:rPr>
              <w:t>HW08</w:t>
            </w:r>
            <w:r w:rsidRPr="0016532B">
              <w:rPr>
                <w:rFonts w:hint="eastAsia"/>
                <w:color w:val="000000"/>
                <w:sz w:val="21"/>
                <w:szCs w:val="21"/>
              </w:rPr>
              <w:t>废矿物油与含矿物油废物</w:t>
            </w:r>
            <w:r>
              <w:rPr>
                <w:rFonts w:hint="eastAsia"/>
                <w:color w:val="000000"/>
                <w:sz w:val="21"/>
                <w:szCs w:val="21"/>
              </w:rPr>
              <w:t>；</w:t>
            </w:r>
            <w:r w:rsidRPr="002D4360">
              <w:rPr>
                <w:rFonts w:hint="eastAsia"/>
                <w:color w:val="000000"/>
                <w:sz w:val="21"/>
                <w:szCs w:val="21"/>
              </w:rPr>
              <w:t>代码</w:t>
            </w:r>
            <w:r w:rsidRPr="002D4360">
              <w:rPr>
                <w:rFonts w:hint="eastAsia"/>
                <w:color w:val="000000"/>
                <w:sz w:val="21"/>
                <w:szCs w:val="21"/>
              </w:rPr>
              <w:t xml:space="preserve"> </w:t>
            </w:r>
          </w:p>
          <w:p w:rsidR="002D1343" w:rsidRDefault="002D1343" w:rsidP="000C4154">
            <w:pPr>
              <w:spacing w:line="280" w:lineRule="exact"/>
              <w:jc w:val="center"/>
              <w:rPr>
                <w:color w:val="000000"/>
                <w:sz w:val="21"/>
                <w:szCs w:val="21"/>
              </w:rPr>
            </w:pPr>
            <w:r w:rsidRPr="002D4360">
              <w:rPr>
                <w:color w:val="000000"/>
                <w:sz w:val="21"/>
                <w:szCs w:val="21"/>
              </w:rPr>
              <w:t>900-214-08</w:t>
            </w:r>
            <w:r w:rsidRPr="002D4360">
              <w:rPr>
                <w:rFonts w:hint="eastAsia"/>
                <w:color w:val="000000"/>
                <w:sz w:val="21"/>
                <w:szCs w:val="21"/>
              </w:rPr>
              <w:t>，</w:t>
            </w:r>
            <w:r>
              <w:rPr>
                <w:rFonts w:hint="eastAsia"/>
                <w:color w:val="000000"/>
                <w:sz w:val="21"/>
                <w:szCs w:val="21"/>
              </w:rPr>
              <w:t>）</w:t>
            </w:r>
          </w:p>
        </w:tc>
        <w:tc>
          <w:tcPr>
            <w:tcW w:w="833"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危险废物</w:t>
            </w:r>
          </w:p>
        </w:tc>
        <w:tc>
          <w:tcPr>
            <w:tcW w:w="637"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0.3t/a</w:t>
            </w:r>
          </w:p>
        </w:tc>
        <w:tc>
          <w:tcPr>
            <w:tcW w:w="1362" w:type="pct"/>
            <w:tcBorders>
              <w:tl2br w:val="nil"/>
              <w:tr2bl w:val="nil"/>
            </w:tcBorders>
            <w:vAlign w:val="center"/>
          </w:tcPr>
          <w:p w:rsidR="002D1343" w:rsidRDefault="002D1343" w:rsidP="000C4154">
            <w:pPr>
              <w:spacing w:line="280" w:lineRule="exact"/>
              <w:jc w:val="center"/>
              <w:rPr>
                <w:color w:val="000000"/>
                <w:sz w:val="21"/>
                <w:szCs w:val="21"/>
              </w:rPr>
            </w:pPr>
            <w:r>
              <w:rPr>
                <w:color w:val="000000"/>
                <w:sz w:val="21"/>
                <w:szCs w:val="21"/>
              </w:rPr>
              <w:t>危废暂存间收集后交由资质单位处置</w:t>
            </w:r>
          </w:p>
        </w:tc>
      </w:tr>
    </w:tbl>
    <w:p w:rsidR="002D1343" w:rsidRDefault="002D1343" w:rsidP="002D1343">
      <w:pPr>
        <w:adjustRightInd w:val="0"/>
        <w:snapToGrid w:val="0"/>
        <w:spacing w:line="520" w:lineRule="exact"/>
        <w:ind w:firstLineChars="200" w:firstLine="488"/>
        <w:rPr>
          <w:sz w:val="24"/>
        </w:rPr>
      </w:pPr>
      <w:r>
        <w:rPr>
          <w:spacing w:val="2"/>
          <w:sz w:val="24"/>
        </w:rPr>
        <w:t>4</w:t>
      </w:r>
      <w:r>
        <w:rPr>
          <w:spacing w:val="2"/>
          <w:sz w:val="24"/>
        </w:rPr>
        <w:t>、噪声污染源及治理措施</w:t>
      </w:r>
      <w:r>
        <w:rPr>
          <w:spacing w:val="2"/>
          <w:sz w:val="24"/>
        </w:rPr>
        <w:br/>
        <w:t xml:space="preserve">   </w:t>
      </w:r>
      <w:r>
        <w:rPr>
          <w:spacing w:val="2"/>
          <w:sz w:val="24"/>
        </w:rPr>
        <w:t>升级改造后</w:t>
      </w:r>
      <w:r>
        <w:rPr>
          <w:sz w:val="24"/>
        </w:rPr>
        <w:t>矿井地面主要噪声源</w:t>
      </w:r>
      <w:r>
        <w:rPr>
          <w:bCs/>
          <w:iCs/>
          <w:sz w:val="24"/>
        </w:rPr>
        <w:t>不</w:t>
      </w:r>
      <w:r>
        <w:rPr>
          <w:sz w:val="24"/>
        </w:rPr>
        <w:t>变，仍为通风机、主副井提升机、空压机等，这些设备噪声源大部分是宽频带的，且多为固定噪声源，根据《环境噪声与振动控制工程技术导则》并结合同类煤矿噪声源源强确定本项目各噪声设备（或设备组）声压级一般在</w:t>
      </w:r>
      <w:r>
        <w:rPr>
          <w:sz w:val="24"/>
        </w:rPr>
        <w:t xml:space="preserve"> 80-105dB(A)</w:t>
      </w:r>
      <w:r>
        <w:rPr>
          <w:sz w:val="24"/>
        </w:rPr>
        <w:t>之间，具体见表</w:t>
      </w:r>
      <w:r>
        <w:rPr>
          <w:sz w:val="24"/>
        </w:rPr>
        <w:t>3.4-5</w:t>
      </w:r>
      <w:r>
        <w:rPr>
          <w:sz w:val="24"/>
        </w:rPr>
        <w:t>。</w:t>
      </w:r>
    </w:p>
    <w:p w:rsidR="007D63D9" w:rsidRDefault="007D63D9">
      <w:pPr>
        <w:widowControl/>
        <w:jc w:val="left"/>
        <w:rPr>
          <w:rFonts w:eastAsia="黑体"/>
          <w:sz w:val="24"/>
        </w:rPr>
      </w:pPr>
      <w:r>
        <w:rPr>
          <w:rFonts w:eastAsia="黑体"/>
          <w:sz w:val="24"/>
        </w:rPr>
        <w:br w:type="page"/>
      </w:r>
    </w:p>
    <w:p w:rsidR="002D1343" w:rsidRDefault="002D1343" w:rsidP="002D1343">
      <w:pPr>
        <w:adjustRightInd w:val="0"/>
        <w:snapToGrid w:val="0"/>
        <w:spacing w:line="520" w:lineRule="exact"/>
        <w:ind w:firstLine="568"/>
        <w:jc w:val="center"/>
        <w:rPr>
          <w:rFonts w:eastAsia="黑体"/>
          <w:sz w:val="24"/>
        </w:rPr>
      </w:pPr>
      <w:r>
        <w:rPr>
          <w:rFonts w:eastAsia="黑体"/>
          <w:sz w:val="24"/>
        </w:rPr>
        <w:lastRenderedPageBreak/>
        <w:t>表</w:t>
      </w:r>
      <w:r>
        <w:rPr>
          <w:rFonts w:eastAsia="黑体"/>
          <w:sz w:val="24"/>
        </w:rPr>
        <w:t xml:space="preserve">3.4-5         </w:t>
      </w:r>
      <w:r>
        <w:rPr>
          <w:rFonts w:eastAsia="黑体"/>
          <w:sz w:val="24"/>
        </w:rPr>
        <w:t>矿井主要噪声源一览表</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32"/>
        <w:gridCol w:w="1722"/>
        <w:gridCol w:w="1417"/>
        <w:gridCol w:w="829"/>
        <w:gridCol w:w="3530"/>
        <w:gridCol w:w="1028"/>
      </w:tblGrid>
      <w:tr w:rsidR="002D1343" w:rsidTr="000C415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噪声源</w:t>
            </w:r>
          </w:p>
        </w:tc>
        <w:tc>
          <w:tcPr>
            <w:tcW w:w="172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产噪设备</w:t>
            </w:r>
            <w:r>
              <w:rPr>
                <w:sz w:val="21"/>
                <w:szCs w:val="21"/>
              </w:rPr>
              <w:t>/</w:t>
            </w:r>
            <w:r>
              <w:rPr>
                <w:sz w:val="21"/>
                <w:szCs w:val="21"/>
              </w:rPr>
              <w:t>台数</w:t>
            </w:r>
          </w:p>
        </w:tc>
        <w:tc>
          <w:tcPr>
            <w:tcW w:w="1417"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声学类别</w:t>
            </w:r>
          </w:p>
        </w:tc>
        <w:tc>
          <w:tcPr>
            <w:tcW w:w="829" w:type="dxa"/>
            <w:tcBorders>
              <w:top w:val="single" w:sz="4" w:space="0" w:color="auto"/>
              <w:left w:val="nil"/>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噪声源强</w:t>
            </w:r>
            <w:r>
              <w:rPr>
                <w:sz w:val="21"/>
                <w:szCs w:val="21"/>
              </w:rPr>
              <w:t>dB(A)</w:t>
            </w:r>
          </w:p>
        </w:tc>
        <w:tc>
          <w:tcPr>
            <w:tcW w:w="3530" w:type="dxa"/>
            <w:tcBorders>
              <w:top w:val="single" w:sz="4" w:space="0" w:color="auto"/>
              <w:left w:val="nil"/>
              <w:right w:val="single" w:sz="4" w:space="0" w:color="auto"/>
            </w:tcBorders>
            <w:vAlign w:val="center"/>
          </w:tcPr>
          <w:p w:rsidR="002D1343" w:rsidRDefault="002D1343" w:rsidP="000C4154">
            <w:pPr>
              <w:spacing w:line="320" w:lineRule="exact"/>
              <w:jc w:val="center"/>
              <w:rPr>
                <w:sz w:val="21"/>
                <w:szCs w:val="21"/>
              </w:rPr>
            </w:pPr>
            <w:r>
              <w:rPr>
                <w:sz w:val="21"/>
                <w:szCs w:val="21"/>
              </w:rPr>
              <w:t>污染防治措施</w:t>
            </w:r>
          </w:p>
        </w:tc>
        <w:tc>
          <w:tcPr>
            <w:tcW w:w="1028" w:type="dxa"/>
            <w:tcBorders>
              <w:top w:val="single" w:sz="4" w:space="0" w:color="auto"/>
              <w:left w:val="nil"/>
              <w:right w:val="single" w:sz="4" w:space="0" w:color="auto"/>
            </w:tcBorders>
            <w:vAlign w:val="center"/>
          </w:tcPr>
          <w:p w:rsidR="002D1343" w:rsidRDefault="002D1343" w:rsidP="000C4154">
            <w:pPr>
              <w:spacing w:line="320" w:lineRule="exact"/>
              <w:jc w:val="center"/>
              <w:rPr>
                <w:w w:val="90"/>
                <w:sz w:val="21"/>
                <w:szCs w:val="21"/>
              </w:rPr>
            </w:pPr>
            <w:r>
              <w:rPr>
                <w:w w:val="90"/>
                <w:sz w:val="21"/>
                <w:szCs w:val="21"/>
              </w:rPr>
              <w:t>降噪后噪声值（</w:t>
            </w:r>
            <w:r>
              <w:rPr>
                <w:w w:val="90"/>
                <w:sz w:val="21"/>
                <w:szCs w:val="21"/>
              </w:rPr>
              <w:t>dB(A)</w:t>
            </w:r>
            <w:r>
              <w:rPr>
                <w:w w:val="90"/>
                <w:sz w:val="21"/>
                <w:szCs w:val="21"/>
              </w:rPr>
              <w:t>）</w:t>
            </w:r>
          </w:p>
        </w:tc>
      </w:tr>
      <w:tr w:rsidR="002D1343" w:rsidTr="000C415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主井提升机房</w:t>
            </w:r>
          </w:p>
        </w:tc>
        <w:tc>
          <w:tcPr>
            <w:tcW w:w="172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2JK-2×1.1P</w:t>
            </w:r>
            <w:r>
              <w:rPr>
                <w:sz w:val="21"/>
                <w:szCs w:val="21"/>
              </w:rPr>
              <w:t>型双筒提升机</w:t>
            </w:r>
            <w:r>
              <w:rPr>
                <w:sz w:val="21"/>
                <w:szCs w:val="21"/>
              </w:rPr>
              <w:t>/1</w:t>
            </w:r>
            <w:r>
              <w:rPr>
                <w:sz w:val="21"/>
                <w:szCs w:val="21"/>
              </w:rPr>
              <w:t>台</w:t>
            </w:r>
          </w:p>
        </w:tc>
        <w:tc>
          <w:tcPr>
            <w:tcW w:w="1417"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机械振动</w:t>
            </w:r>
            <w:r>
              <w:rPr>
                <w:sz w:val="21"/>
                <w:szCs w:val="21"/>
              </w:rPr>
              <w:t>/</w:t>
            </w:r>
            <w:r>
              <w:rPr>
                <w:sz w:val="21"/>
                <w:szCs w:val="21"/>
              </w:rPr>
              <w:t>连续</w:t>
            </w:r>
          </w:p>
        </w:tc>
        <w:tc>
          <w:tcPr>
            <w:tcW w:w="829" w:type="dxa"/>
            <w:tcBorders>
              <w:top w:val="single" w:sz="4" w:space="0" w:color="auto"/>
              <w:left w:val="nil"/>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88</w:t>
            </w:r>
          </w:p>
        </w:tc>
        <w:tc>
          <w:tcPr>
            <w:tcW w:w="3530" w:type="dxa"/>
            <w:tcBorders>
              <w:left w:val="nil"/>
              <w:right w:val="single" w:sz="4" w:space="0" w:color="auto"/>
            </w:tcBorders>
            <w:vAlign w:val="center"/>
          </w:tcPr>
          <w:p w:rsidR="002D1343" w:rsidRDefault="002D1343" w:rsidP="000C4154">
            <w:pPr>
              <w:spacing w:line="320" w:lineRule="exact"/>
              <w:jc w:val="center"/>
              <w:rPr>
                <w:sz w:val="21"/>
                <w:szCs w:val="21"/>
              </w:rPr>
            </w:pPr>
            <w:r>
              <w:rPr>
                <w:sz w:val="21"/>
                <w:szCs w:val="21"/>
              </w:rPr>
              <w:t>设备基座减振</w:t>
            </w:r>
          </w:p>
        </w:tc>
        <w:tc>
          <w:tcPr>
            <w:tcW w:w="1028" w:type="dxa"/>
            <w:tcBorders>
              <w:left w:val="nil"/>
              <w:right w:val="single" w:sz="4" w:space="0" w:color="auto"/>
            </w:tcBorders>
            <w:vAlign w:val="center"/>
          </w:tcPr>
          <w:p w:rsidR="002D1343" w:rsidRDefault="002D1343" w:rsidP="000C4154">
            <w:pPr>
              <w:spacing w:line="320" w:lineRule="exact"/>
              <w:jc w:val="center"/>
              <w:rPr>
                <w:sz w:val="21"/>
                <w:szCs w:val="21"/>
              </w:rPr>
            </w:pPr>
            <w:r>
              <w:rPr>
                <w:sz w:val="21"/>
                <w:szCs w:val="21"/>
              </w:rPr>
              <w:t>70</w:t>
            </w:r>
          </w:p>
        </w:tc>
      </w:tr>
      <w:tr w:rsidR="002D1343" w:rsidTr="000C415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副井提升机房</w:t>
            </w:r>
          </w:p>
        </w:tc>
        <w:tc>
          <w:tcPr>
            <w:tcW w:w="172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2JK-2×1.0P</w:t>
            </w:r>
            <w:r>
              <w:rPr>
                <w:sz w:val="21"/>
                <w:szCs w:val="21"/>
              </w:rPr>
              <w:t>型双筒提升机</w:t>
            </w:r>
            <w:r>
              <w:rPr>
                <w:sz w:val="21"/>
                <w:szCs w:val="21"/>
              </w:rPr>
              <w:t>/1</w:t>
            </w:r>
            <w:r>
              <w:rPr>
                <w:sz w:val="21"/>
                <w:szCs w:val="21"/>
              </w:rPr>
              <w:t>台</w:t>
            </w:r>
          </w:p>
        </w:tc>
        <w:tc>
          <w:tcPr>
            <w:tcW w:w="1417"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机械振动</w:t>
            </w:r>
            <w:r>
              <w:rPr>
                <w:sz w:val="21"/>
                <w:szCs w:val="21"/>
              </w:rPr>
              <w:t>/</w:t>
            </w:r>
            <w:r>
              <w:rPr>
                <w:sz w:val="21"/>
                <w:szCs w:val="21"/>
              </w:rPr>
              <w:t>连续</w:t>
            </w:r>
          </w:p>
        </w:tc>
        <w:tc>
          <w:tcPr>
            <w:tcW w:w="829" w:type="dxa"/>
            <w:tcBorders>
              <w:top w:val="single" w:sz="4" w:space="0" w:color="auto"/>
              <w:left w:val="nil"/>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88</w:t>
            </w:r>
          </w:p>
        </w:tc>
        <w:tc>
          <w:tcPr>
            <w:tcW w:w="3530" w:type="dxa"/>
            <w:tcBorders>
              <w:left w:val="nil"/>
              <w:right w:val="single" w:sz="4" w:space="0" w:color="auto"/>
            </w:tcBorders>
            <w:vAlign w:val="center"/>
          </w:tcPr>
          <w:p w:rsidR="002D1343" w:rsidRDefault="002D1343" w:rsidP="000C4154">
            <w:pPr>
              <w:spacing w:line="320" w:lineRule="exact"/>
              <w:jc w:val="center"/>
              <w:rPr>
                <w:sz w:val="21"/>
                <w:szCs w:val="21"/>
              </w:rPr>
            </w:pPr>
            <w:r>
              <w:rPr>
                <w:sz w:val="21"/>
                <w:szCs w:val="21"/>
              </w:rPr>
              <w:t>设备基座减振</w:t>
            </w:r>
          </w:p>
        </w:tc>
        <w:tc>
          <w:tcPr>
            <w:tcW w:w="1028" w:type="dxa"/>
            <w:tcBorders>
              <w:left w:val="nil"/>
              <w:right w:val="single" w:sz="4" w:space="0" w:color="auto"/>
            </w:tcBorders>
            <w:vAlign w:val="center"/>
          </w:tcPr>
          <w:p w:rsidR="002D1343" w:rsidRDefault="002D1343" w:rsidP="000C4154">
            <w:pPr>
              <w:spacing w:line="320" w:lineRule="exact"/>
              <w:jc w:val="center"/>
              <w:rPr>
                <w:sz w:val="21"/>
                <w:szCs w:val="21"/>
              </w:rPr>
            </w:pPr>
            <w:r>
              <w:rPr>
                <w:sz w:val="21"/>
                <w:szCs w:val="21"/>
              </w:rPr>
              <w:t>70</w:t>
            </w:r>
          </w:p>
        </w:tc>
      </w:tr>
      <w:tr w:rsidR="002D1343" w:rsidTr="000C415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风机通风机房</w:t>
            </w:r>
          </w:p>
        </w:tc>
        <w:tc>
          <w:tcPr>
            <w:tcW w:w="172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FBCDZ-No20/2×220</w:t>
            </w:r>
            <w:r>
              <w:rPr>
                <w:sz w:val="21"/>
                <w:szCs w:val="21"/>
              </w:rPr>
              <w:t>型对旋轴流风机</w:t>
            </w:r>
            <w:r>
              <w:rPr>
                <w:sz w:val="21"/>
                <w:szCs w:val="21"/>
              </w:rPr>
              <w:t>/2</w:t>
            </w:r>
            <w:r>
              <w:rPr>
                <w:sz w:val="21"/>
                <w:szCs w:val="21"/>
              </w:rPr>
              <w:t>台（一用一备）</w:t>
            </w:r>
          </w:p>
        </w:tc>
        <w:tc>
          <w:tcPr>
            <w:tcW w:w="1417"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空气动力、机械</w:t>
            </w:r>
            <w:r>
              <w:rPr>
                <w:sz w:val="21"/>
                <w:szCs w:val="21"/>
              </w:rPr>
              <w:t>/</w:t>
            </w:r>
            <w:r>
              <w:rPr>
                <w:sz w:val="21"/>
                <w:szCs w:val="21"/>
              </w:rPr>
              <w:t>连续</w:t>
            </w:r>
          </w:p>
        </w:tc>
        <w:tc>
          <w:tcPr>
            <w:tcW w:w="829" w:type="dxa"/>
            <w:tcBorders>
              <w:top w:val="single" w:sz="4" w:space="0" w:color="auto"/>
              <w:left w:val="nil"/>
              <w:bottom w:val="single" w:sz="4" w:space="0" w:color="auto"/>
              <w:right w:val="single" w:sz="4" w:space="0" w:color="auto"/>
            </w:tcBorders>
            <w:vAlign w:val="center"/>
          </w:tcPr>
          <w:p w:rsidR="002D1343" w:rsidRDefault="002D1343" w:rsidP="00782CC1">
            <w:pPr>
              <w:spacing w:line="320" w:lineRule="exact"/>
              <w:jc w:val="center"/>
              <w:rPr>
                <w:sz w:val="21"/>
                <w:szCs w:val="21"/>
              </w:rPr>
            </w:pPr>
            <w:r>
              <w:rPr>
                <w:sz w:val="21"/>
                <w:szCs w:val="21"/>
              </w:rPr>
              <w:t>10</w:t>
            </w:r>
            <w:r w:rsidR="00782CC1">
              <w:rPr>
                <w:rFonts w:hint="eastAsia"/>
                <w:sz w:val="21"/>
                <w:szCs w:val="21"/>
              </w:rPr>
              <w:t>0</w:t>
            </w:r>
          </w:p>
        </w:tc>
        <w:tc>
          <w:tcPr>
            <w:tcW w:w="3530" w:type="dxa"/>
            <w:tcBorders>
              <w:left w:val="nil"/>
              <w:right w:val="single" w:sz="4" w:space="0" w:color="auto"/>
            </w:tcBorders>
            <w:vAlign w:val="center"/>
          </w:tcPr>
          <w:p w:rsidR="002D1343" w:rsidRDefault="002D1343" w:rsidP="00794AD4">
            <w:pPr>
              <w:spacing w:line="320" w:lineRule="exact"/>
              <w:jc w:val="center"/>
              <w:rPr>
                <w:sz w:val="21"/>
                <w:szCs w:val="21"/>
              </w:rPr>
            </w:pPr>
            <w:r>
              <w:rPr>
                <w:sz w:val="21"/>
                <w:szCs w:val="21"/>
              </w:rPr>
              <w:t>安装消声器，临近通风机一侧的围墙内衬吸声隔音设施。</w:t>
            </w:r>
          </w:p>
        </w:tc>
        <w:tc>
          <w:tcPr>
            <w:tcW w:w="1028" w:type="dxa"/>
            <w:tcBorders>
              <w:left w:val="nil"/>
              <w:right w:val="single" w:sz="4" w:space="0" w:color="auto"/>
            </w:tcBorders>
            <w:vAlign w:val="center"/>
          </w:tcPr>
          <w:p w:rsidR="002D1343" w:rsidRDefault="00782CC1" w:rsidP="00782CC1">
            <w:pPr>
              <w:spacing w:line="320" w:lineRule="exact"/>
              <w:jc w:val="center"/>
              <w:rPr>
                <w:sz w:val="21"/>
                <w:szCs w:val="21"/>
              </w:rPr>
            </w:pPr>
            <w:r>
              <w:rPr>
                <w:rFonts w:hint="eastAsia"/>
                <w:sz w:val="21"/>
                <w:szCs w:val="21"/>
              </w:rPr>
              <w:t>75</w:t>
            </w:r>
          </w:p>
        </w:tc>
      </w:tr>
      <w:tr w:rsidR="002D1343" w:rsidTr="000C415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空压机房</w:t>
            </w:r>
          </w:p>
        </w:tc>
        <w:tc>
          <w:tcPr>
            <w:tcW w:w="172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LGJ-22/8G</w:t>
            </w:r>
            <w:r>
              <w:rPr>
                <w:sz w:val="21"/>
                <w:szCs w:val="21"/>
              </w:rPr>
              <w:t>型螺杆压缩机</w:t>
            </w:r>
            <w:r>
              <w:rPr>
                <w:sz w:val="21"/>
                <w:szCs w:val="21"/>
              </w:rPr>
              <w:t>/2</w:t>
            </w:r>
            <w:r>
              <w:rPr>
                <w:sz w:val="21"/>
                <w:szCs w:val="21"/>
              </w:rPr>
              <w:t>台（一用一备）</w:t>
            </w:r>
          </w:p>
        </w:tc>
        <w:tc>
          <w:tcPr>
            <w:tcW w:w="1417"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气动力、机械</w:t>
            </w:r>
            <w:r>
              <w:rPr>
                <w:sz w:val="21"/>
                <w:szCs w:val="21"/>
              </w:rPr>
              <w:t>/</w:t>
            </w:r>
            <w:r>
              <w:rPr>
                <w:sz w:val="21"/>
                <w:szCs w:val="21"/>
              </w:rPr>
              <w:t>连续</w:t>
            </w:r>
          </w:p>
        </w:tc>
        <w:tc>
          <w:tcPr>
            <w:tcW w:w="829" w:type="dxa"/>
            <w:tcBorders>
              <w:top w:val="single" w:sz="4" w:space="0" w:color="auto"/>
              <w:left w:val="nil"/>
              <w:bottom w:val="single" w:sz="4" w:space="0" w:color="auto"/>
              <w:right w:val="single" w:sz="4" w:space="0" w:color="auto"/>
            </w:tcBorders>
            <w:vAlign w:val="center"/>
          </w:tcPr>
          <w:p w:rsidR="002D1343" w:rsidRDefault="00782CC1" w:rsidP="000C4154">
            <w:pPr>
              <w:spacing w:line="320" w:lineRule="exact"/>
              <w:jc w:val="center"/>
              <w:rPr>
                <w:sz w:val="21"/>
                <w:szCs w:val="21"/>
              </w:rPr>
            </w:pPr>
            <w:r>
              <w:rPr>
                <w:rFonts w:hint="eastAsia"/>
                <w:sz w:val="21"/>
                <w:szCs w:val="21"/>
              </w:rPr>
              <w:t>8</w:t>
            </w:r>
            <w:r w:rsidR="002D1343">
              <w:rPr>
                <w:sz w:val="21"/>
                <w:szCs w:val="21"/>
              </w:rPr>
              <w:t>5</w:t>
            </w:r>
          </w:p>
        </w:tc>
        <w:tc>
          <w:tcPr>
            <w:tcW w:w="3530" w:type="dxa"/>
            <w:tcBorders>
              <w:left w:val="nil"/>
              <w:right w:val="single" w:sz="4" w:space="0" w:color="auto"/>
            </w:tcBorders>
            <w:vAlign w:val="center"/>
          </w:tcPr>
          <w:p w:rsidR="002D1343" w:rsidRDefault="002D1343" w:rsidP="000C4154">
            <w:pPr>
              <w:spacing w:line="320" w:lineRule="exact"/>
              <w:jc w:val="center"/>
              <w:rPr>
                <w:sz w:val="21"/>
                <w:szCs w:val="21"/>
              </w:rPr>
            </w:pPr>
            <w:r>
              <w:rPr>
                <w:sz w:val="21"/>
                <w:szCs w:val="21"/>
              </w:rPr>
              <w:t>设备基座减振、空压机进排气口安装消声器、隔声门窗、建筑物隔声</w:t>
            </w:r>
          </w:p>
        </w:tc>
        <w:tc>
          <w:tcPr>
            <w:tcW w:w="1028" w:type="dxa"/>
            <w:tcBorders>
              <w:left w:val="nil"/>
              <w:right w:val="single" w:sz="4" w:space="0" w:color="auto"/>
            </w:tcBorders>
            <w:vAlign w:val="center"/>
          </w:tcPr>
          <w:p w:rsidR="002D1343" w:rsidRDefault="00782CC1" w:rsidP="000C4154">
            <w:pPr>
              <w:spacing w:line="320" w:lineRule="exact"/>
              <w:jc w:val="center"/>
              <w:rPr>
                <w:sz w:val="21"/>
                <w:szCs w:val="21"/>
              </w:rPr>
            </w:pPr>
            <w:r>
              <w:rPr>
                <w:rFonts w:hint="eastAsia"/>
                <w:sz w:val="21"/>
                <w:szCs w:val="21"/>
              </w:rPr>
              <w:t>6</w:t>
            </w:r>
            <w:r w:rsidR="002D1343">
              <w:rPr>
                <w:sz w:val="21"/>
                <w:szCs w:val="21"/>
              </w:rPr>
              <w:t>5</w:t>
            </w:r>
          </w:p>
        </w:tc>
      </w:tr>
      <w:tr w:rsidR="002D1343" w:rsidTr="000C4154">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机修车间</w:t>
            </w:r>
          </w:p>
        </w:tc>
        <w:tc>
          <w:tcPr>
            <w:tcW w:w="1722"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机修设备</w:t>
            </w:r>
            <w:r>
              <w:rPr>
                <w:sz w:val="21"/>
                <w:szCs w:val="21"/>
              </w:rPr>
              <w:t>/1</w:t>
            </w:r>
            <w:r>
              <w:rPr>
                <w:sz w:val="21"/>
                <w:szCs w:val="21"/>
              </w:rPr>
              <w:t>套</w:t>
            </w:r>
          </w:p>
        </w:tc>
        <w:tc>
          <w:tcPr>
            <w:tcW w:w="1417" w:type="dxa"/>
            <w:tcBorders>
              <w:top w:val="single" w:sz="4" w:space="0" w:color="auto"/>
              <w:left w:val="single" w:sz="4" w:space="0" w:color="auto"/>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机械振动</w:t>
            </w:r>
            <w:r>
              <w:rPr>
                <w:sz w:val="21"/>
                <w:szCs w:val="21"/>
              </w:rPr>
              <w:t>/</w:t>
            </w:r>
            <w:r>
              <w:rPr>
                <w:sz w:val="21"/>
                <w:szCs w:val="21"/>
              </w:rPr>
              <w:t>间断</w:t>
            </w:r>
          </w:p>
        </w:tc>
        <w:tc>
          <w:tcPr>
            <w:tcW w:w="829" w:type="dxa"/>
            <w:tcBorders>
              <w:top w:val="single" w:sz="4" w:space="0" w:color="auto"/>
              <w:left w:val="nil"/>
              <w:bottom w:val="single" w:sz="4" w:space="0" w:color="auto"/>
              <w:right w:val="single" w:sz="4" w:space="0" w:color="auto"/>
            </w:tcBorders>
            <w:vAlign w:val="center"/>
          </w:tcPr>
          <w:p w:rsidR="002D1343" w:rsidRDefault="002D1343" w:rsidP="000C4154">
            <w:pPr>
              <w:spacing w:line="320" w:lineRule="exact"/>
              <w:jc w:val="center"/>
              <w:rPr>
                <w:sz w:val="21"/>
                <w:szCs w:val="21"/>
              </w:rPr>
            </w:pPr>
            <w:r>
              <w:rPr>
                <w:sz w:val="21"/>
                <w:szCs w:val="21"/>
              </w:rPr>
              <w:t>95</w:t>
            </w:r>
          </w:p>
        </w:tc>
        <w:tc>
          <w:tcPr>
            <w:tcW w:w="3530" w:type="dxa"/>
            <w:tcBorders>
              <w:left w:val="nil"/>
              <w:right w:val="single" w:sz="4" w:space="0" w:color="auto"/>
            </w:tcBorders>
            <w:vAlign w:val="center"/>
          </w:tcPr>
          <w:p w:rsidR="002D1343" w:rsidRDefault="002D1343" w:rsidP="000C4154">
            <w:pPr>
              <w:spacing w:line="320" w:lineRule="exact"/>
              <w:jc w:val="center"/>
              <w:rPr>
                <w:sz w:val="21"/>
                <w:szCs w:val="21"/>
              </w:rPr>
            </w:pPr>
            <w:r>
              <w:rPr>
                <w:sz w:val="21"/>
                <w:szCs w:val="21"/>
              </w:rPr>
              <w:t>厂房设隔声门窗，夜间不开机</w:t>
            </w:r>
          </w:p>
        </w:tc>
        <w:tc>
          <w:tcPr>
            <w:tcW w:w="1028" w:type="dxa"/>
            <w:tcBorders>
              <w:left w:val="nil"/>
              <w:right w:val="single" w:sz="4" w:space="0" w:color="auto"/>
            </w:tcBorders>
            <w:vAlign w:val="center"/>
          </w:tcPr>
          <w:p w:rsidR="002D1343" w:rsidRDefault="002D1343" w:rsidP="000C4154">
            <w:pPr>
              <w:spacing w:line="320" w:lineRule="exact"/>
              <w:jc w:val="center"/>
              <w:rPr>
                <w:sz w:val="21"/>
                <w:szCs w:val="21"/>
              </w:rPr>
            </w:pPr>
            <w:r>
              <w:rPr>
                <w:sz w:val="21"/>
                <w:szCs w:val="21"/>
              </w:rPr>
              <w:t>75</w:t>
            </w:r>
          </w:p>
        </w:tc>
      </w:tr>
    </w:tbl>
    <w:p w:rsidR="002D1343" w:rsidRDefault="002D1343" w:rsidP="002D1343">
      <w:pPr>
        <w:adjustRightInd w:val="0"/>
        <w:snapToGrid w:val="0"/>
        <w:spacing w:line="520" w:lineRule="exact"/>
        <w:ind w:firstLineChars="200" w:firstLine="488"/>
        <w:rPr>
          <w:spacing w:val="2"/>
          <w:sz w:val="24"/>
        </w:rPr>
      </w:pPr>
      <w:r>
        <w:rPr>
          <w:spacing w:val="2"/>
          <w:sz w:val="24"/>
        </w:rPr>
        <w:t>目前，对高噪声设备采取的噪声防治措施主要为：</w:t>
      </w:r>
    </w:p>
    <w:p w:rsidR="002D1343" w:rsidRDefault="002D1343" w:rsidP="002D1343">
      <w:pPr>
        <w:adjustRightInd w:val="0"/>
        <w:snapToGrid w:val="0"/>
        <w:spacing w:line="520" w:lineRule="exact"/>
        <w:ind w:firstLineChars="200" w:firstLine="488"/>
        <w:rPr>
          <w:spacing w:val="2"/>
          <w:sz w:val="24"/>
        </w:rPr>
      </w:pPr>
      <w:r>
        <w:rPr>
          <w:spacing w:val="2"/>
          <w:sz w:val="24"/>
        </w:rPr>
        <w:t xml:space="preserve">a. </w:t>
      </w:r>
      <w:r>
        <w:rPr>
          <w:spacing w:val="2"/>
          <w:sz w:val="24"/>
        </w:rPr>
        <w:t>在设备选型上，尽量选用运行平稳可靠、噪声小的设备。</w:t>
      </w:r>
    </w:p>
    <w:p w:rsidR="002D1343" w:rsidRDefault="002D1343" w:rsidP="002D1343">
      <w:pPr>
        <w:adjustRightInd w:val="0"/>
        <w:snapToGrid w:val="0"/>
        <w:spacing w:line="520" w:lineRule="exact"/>
        <w:ind w:firstLineChars="200" w:firstLine="488"/>
        <w:rPr>
          <w:spacing w:val="2"/>
          <w:sz w:val="24"/>
        </w:rPr>
      </w:pPr>
      <w:r>
        <w:rPr>
          <w:spacing w:val="2"/>
          <w:sz w:val="24"/>
        </w:rPr>
        <w:t xml:space="preserve">b. </w:t>
      </w:r>
      <w:r>
        <w:rPr>
          <w:spacing w:val="2"/>
          <w:sz w:val="24"/>
        </w:rPr>
        <w:t>将设备置于车间内，设备与基座之间设置减振垫。</w:t>
      </w:r>
    </w:p>
    <w:p w:rsidR="002D1343" w:rsidRDefault="002D1343" w:rsidP="002D1343">
      <w:pPr>
        <w:adjustRightInd w:val="0"/>
        <w:snapToGrid w:val="0"/>
        <w:spacing w:line="520" w:lineRule="exact"/>
        <w:ind w:firstLineChars="200" w:firstLine="488"/>
        <w:rPr>
          <w:spacing w:val="2"/>
          <w:sz w:val="24"/>
        </w:rPr>
      </w:pPr>
      <w:r>
        <w:rPr>
          <w:spacing w:val="2"/>
          <w:sz w:val="24"/>
        </w:rPr>
        <w:t xml:space="preserve">c. </w:t>
      </w:r>
      <w:r>
        <w:rPr>
          <w:spacing w:val="2"/>
          <w:sz w:val="24"/>
        </w:rPr>
        <w:t>对换热站、日用供水泵房及污水处理设施的水泵基础采取减振、阻尼等降噪措施。</w:t>
      </w:r>
    </w:p>
    <w:p w:rsidR="002D1343" w:rsidRDefault="002D1343" w:rsidP="002D1343">
      <w:pPr>
        <w:pStyle w:val="a1"/>
        <w:spacing w:after="0" w:line="520" w:lineRule="exact"/>
        <w:ind w:firstLineChars="200" w:firstLine="480"/>
        <w:rPr>
          <w:sz w:val="24"/>
        </w:rPr>
      </w:pPr>
      <w:r>
        <w:rPr>
          <w:sz w:val="24"/>
        </w:rPr>
        <w:t>由于通风机房离南场界较近，本次升级改造工程拟对通风机安装消声器，临近通风机一侧的围墙内衬吸声</w:t>
      </w:r>
      <w:r>
        <w:rPr>
          <w:rFonts w:hint="eastAsia"/>
          <w:sz w:val="24"/>
        </w:rPr>
        <w:t>材料等</w:t>
      </w:r>
      <w:r>
        <w:rPr>
          <w:sz w:val="24"/>
        </w:rPr>
        <w:t>设施。</w:t>
      </w:r>
    </w:p>
    <w:p w:rsidR="002D1343" w:rsidRDefault="002D1343" w:rsidP="002D1343">
      <w:pPr>
        <w:adjustRightInd w:val="0"/>
        <w:snapToGrid w:val="0"/>
        <w:spacing w:line="520" w:lineRule="exact"/>
        <w:rPr>
          <w:spacing w:val="2"/>
          <w:sz w:val="24"/>
        </w:rPr>
      </w:pPr>
      <w:r>
        <w:rPr>
          <w:spacing w:val="2"/>
          <w:sz w:val="24"/>
        </w:rPr>
        <w:t xml:space="preserve">     5</w:t>
      </w:r>
      <w:r>
        <w:rPr>
          <w:spacing w:val="2"/>
          <w:sz w:val="24"/>
        </w:rPr>
        <w:t>、地表沉陷及生态影响分析</w:t>
      </w:r>
    </w:p>
    <w:p w:rsidR="002D1343" w:rsidRDefault="002D1343" w:rsidP="002D1343">
      <w:pPr>
        <w:adjustRightInd w:val="0"/>
        <w:snapToGrid w:val="0"/>
        <w:spacing w:line="520" w:lineRule="exact"/>
        <w:ind w:firstLine="560"/>
        <w:rPr>
          <w:spacing w:val="2"/>
          <w:sz w:val="24"/>
        </w:rPr>
      </w:pPr>
      <w:r>
        <w:rPr>
          <w:spacing w:val="2"/>
          <w:sz w:val="24"/>
        </w:rPr>
        <w:t>本次技改建设工程生态影响因素主要是井下建设产生的掘进矸石及工业场地地面生产系统建设过程中将引起水土流失量增加、生产期因井下开采而引起的地表变形和矿井排水导致的地下水疏排对井田范围内及附近居民饮用水的影响，生态环境的影响是煤炭生产的特有表现形式之一，也是本环境影响评价的重点之一。</w:t>
      </w:r>
    </w:p>
    <w:p w:rsidR="002D1343" w:rsidRDefault="002D1343" w:rsidP="002D1343">
      <w:pPr>
        <w:adjustRightInd w:val="0"/>
        <w:snapToGrid w:val="0"/>
        <w:spacing w:line="520" w:lineRule="exact"/>
        <w:ind w:firstLine="560"/>
        <w:rPr>
          <w:spacing w:val="2"/>
          <w:sz w:val="24"/>
        </w:rPr>
      </w:pPr>
      <w:r>
        <w:rPr>
          <w:spacing w:val="2"/>
          <w:sz w:val="24"/>
        </w:rPr>
        <w:t>（</w:t>
      </w:r>
      <w:r>
        <w:rPr>
          <w:spacing w:val="2"/>
          <w:sz w:val="24"/>
        </w:rPr>
        <w:t>1</w:t>
      </w:r>
      <w:r>
        <w:rPr>
          <w:spacing w:val="2"/>
          <w:sz w:val="24"/>
        </w:rPr>
        <w:t>）井下排水造成地下水水位下降、水资源流失</w:t>
      </w:r>
    </w:p>
    <w:p w:rsidR="002D1343" w:rsidRDefault="002D1343" w:rsidP="002D1343">
      <w:pPr>
        <w:adjustRightInd w:val="0"/>
        <w:snapToGrid w:val="0"/>
        <w:spacing w:line="520" w:lineRule="exact"/>
        <w:ind w:firstLine="560"/>
        <w:rPr>
          <w:spacing w:val="2"/>
          <w:sz w:val="24"/>
        </w:rPr>
      </w:pPr>
      <w:r>
        <w:rPr>
          <w:spacing w:val="2"/>
          <w:sz w:val="24"/>
        </w:rPr>
        <w:t>矿井井下长期排水将对采区煤层及其上伏地层的水文地质结构和地下水赋存状态产生一定影响。</w:t>
      </w:r>
    </w:p>
    <w:p w:rsidR="002D1343" w:rsidRDefault="002D1343" w:rsidP="002D1343">
      <w:pPr>
        <w:adjustRightInd w:val="0"/>
        <w:snapToGrid w:val="0"/>
        <w:spacing w:line="520" w:lineRule="exact"/>
        <w:ind w:firstLine="560"/>
        <w:rPr>
          <w:spacing w:val="2"/>
          <w:sz w:val="24"/>
        </w:rPr>
      </w:pPr>
      <w:r>
        <w:rPr>
          <w:spacing w:val="2"/>
          <w:sz w:val="24"/>
        </w:rPr>
        <w:lastRenderedPageBreak/>
        <w:t>（</w:t>
      </w:r>
      <w:r>
        <w:rPr>
          <w:spacing w:val="2"/>
          <w:sz w:val="24"/>
        </w:rPr>
        <w:t>2</w:t>
      </w:r>
      <w:r>
        <w:rPr>
          <w:spacing w:val="2"/>
          <w:sz w:val="24"/>
        </w:rPr>
        <w:t>）采空区地表沉陷影响分析</w:t>
      </w:r>
    </w:p>
    <w:p w:rsidR="002D1343" w:rsidRDefault="002D1343" w:rsidP="002D1343">
      <w:pPr>
        <w:adjustRightInd w:val="0"/>
        <w:snapToGrid w:val="0"/>
        <w:spacing w:line="520" w:lineRule="exact"/>
        <w:ind w:firstLine="560"/>
        <w:rPr>
          <w:spacing w:val="2"/>
          <w:sz w:val="24"/>
        </w:rPr>
      </w:pPr>
      <w:r>
        <w:rPr>
          <w:spacing w:val="2"/>
          <w:sz w:val="24"/>
        </w:rPr>
        <w:t>井下开采破坏了岩体内部原有的力学平衡状态，使地表产生变形，对井田内的地形、地貌、建筑物、道路、农业生产等产生一定程度的影响。</w:t>
      </w:r>
      <w:r w:rsidRPr="00D33A63">
        <w:rPr>
          <w:rFonts w:hint="eastAsia"/>
          <w:b/>
          <w:i/>
          <w:spacing w:val="2"/>
          <w:sz w:val="24"/>
          <w:u w:val="single"/>
        </w:rPr>
        <w:t>设计对</w:t>
      </w:r>
      <w:r w:rsidRPr="006E7171">
        <w:rPr>
          <w:b/>
          <w:i/>
          <w:spacing w:val="2"/>
          <w:sz w:val="24"/>
          <w:u w:val="single"/>
        </w:rPr>
        <w:t>井田内的</w:t>
      </w:r>
      <w:r w:rsidRPr="00D33A63">
        <w:rPr>
          <w:b/>
          <w:bCs/>
          <w:i/>
          <w:spacing w:val="2"/>
          <w:sz w:val="24"/>
          <w:u w:val="single"/>
        </w:rPr>
        <w:t>赵沟村、楼院村、楼院小学、连庄村</w:t>
      </w:r>
      <w:r w:rsidRPr="006E7171">
        <w:rPr>
          <w:b/>
          <w:i/>
          <w:spacing w:val="2"/>
          <w:sz w:val="24"/>
          <w:u w:val="single"/>
        </w:rPr>
        <w:t>等村庄和学校分期进行搬迁</w:t>
      </w:r>
      <w:r>
        <w:rPr>
          <w:rFonts w:hint="eastAsia"/>
          <w:b/>
          <w:i/>
          <w:spacing w:val="2"/>
          <w:sz w:val="24"/>
          <w:u w:val="single"/>
        </w:rPr>
        <w:t>，为工程搬迁</w:t>
      </w:r>
      <w:r w:rsidRPr="006E7171">
        <w:rPr>
          <w:b/>
          <w:i/>
          <w:spacing w:val="2"/>
          <w:sz w:val="24"/>
          <w:u w:val="single"/>
        </w:rPr>
        <w:t>。</w:t>
      </w:r>
    </w:p>
    <w:p w:rsidR="002D1343" w:rsidRDefault="002D1343" w:rsidP="002D1343">
      <w:pPr>
        <w:adjustRightInd w:val="0"/>
        <w:snapToGrid w:val="0"/>
        <w:spacing w:line="520" w:lineRule="exact"/>
        <w:ind w:firstLine="560"/>
        <w:rPr>
          <w:spacing w:val="2"/>
          <w:sz w:val="24"/>
        </w:rPr>
      </w:pPr>
      <w:r>
        <w:rPr>
          <w:spacing w:val="2"/>
          <w:sz w:val="24"/>
        </w:rPr>
        <w:t>（</w:t>
      </w:r>
      <w:r>
        <w:rPr>
          <w:spacing w:val="2"/>
          <w:sz w:val="24"/>
        </w:rPr>
        <w:t>3</w:t>
      </w:r>
      <w:r>
        <w:rPr>
          <w:spacing w:val="2"/>
          <w:sz w:val="24"/>
        </w:rPr>
        <w:t>）水土流失</w:t>
      </w:r>
    </w:p>
    <w:p w:rsidR="002D1343" w:rsidRDefault="002D1343" w:rsidP="002D1343">
      <w:pPr>
        <w:adjustRightInd w:val="0"/>
        <w:snapToGrid w:val="0"/>
        <w:spacing w:line="520" w:lineRule="exact"/>
        <w:ind w:firstLine="560"/>
        <w:rPr>
          <w:spacing w:val="2"/>
          <w:sz w:val="24"/>
        </w:rPr>
      </w:pPr>
      <w:r>
        <w:rPr>
          <w:spacing w:val="2"/>
          <w:sz w:val="24"/>
        </w:rPr>
        <w:t>本矿井建设影响水土流失的因素为地表移动变形和固体废物排弃。井下开采不可避免引起地表产生移动变形，从而增加部分区域的地面坡度、加剧井田范围内的水土流失程度；矸石等固体废物如果处置不当，一方面会侵占部分土地，另一方面它本身也会产生水土流失。</w:t>
      </w:r>
    </w:p>
    <w:p w:rsidR="002D1343" w:rsidRDefault="002D1343" w:rsidP="002D1343">
      <w:pPr>
        <w:spacing w:line="520" w:lineRule="exact"/>
        <w:ind w:firstLineChars="200" w:firstLine="488"/>
        <w:rPr>
          <w:sz w:val="24"/>
        </w:rPr>
      </w:pPr>
      <w:r>
        <w:rPr>
          <w:spacing w:val="2"/>
          <w:sz w:val="24"/>
        </w:rPr>
        <w:t>6</w:t>
      </w:r>
      <w:r>
        <w:rPr>
          <w:spacing w:val="2"/>
          <w:sz w:val="24"/>
        </w:rPr>
        <w:t>、</w:t>
      </w:r>
      <w:r>
        <w:rPr>
          <w:sz w:val="24"/>
        </w:rPr>
        <w:t>放射性环境影响分析</w:t>
      </w:r>
    </w:p>
    <w:p w:rsidR="002D1343" w:rsidRDefault="002D1343" w:rsidP="002D1343">
      <w:pPr>
        <w:spacing w:line="520" w:lineRule="exact"/>
        <w:ind w:firstLineChars="200" w:firstLine="480"/>
        <w:rPr>
          <w:sz w:val="24"/>
        </w:rPr>
      </w:pPr>
      <w:r>
        <w:rPr>
          <w:sz w:val="24"/>
        </w:rPr>
        <w:t>根据生态环境部公告</w:t>
      </w:r>
      <w:r>
        <w:rPr>
          <w:sz w:val="24"/>
        </w:rPr>
        <w:t>2020</w:t>
      </w:r>
      <w:r>
        <w:rPr>
          <w:sz w:val="24"/>
        </w:rPr>
        <w:t>年第</w:t>
      </w:r>
      <w:r>
        <w:rPr>
          <w:sz w:val="24"/>
        </w:rPr>
        <w:t>54</w:t>
      </w:r>
      <w:r>
        <w:rPr>
          <w:sz w:val="24"/>
        </w:rPr>
        <w:t>号关于发布《矿产资源开发利用辐射环境监督管理名录》的公告：依照《建设项目环境影响评价分类管理名录》环评类别为环境影响报告书（表）且已纳入《名录》中的矿产资源开发利用建设项目，建设单位应在环境影响报告书（表）中给出原矿、中间产品、尾矿、尾渣或者其他残留物中铀（钍）系单个核素活度浓度是否超过</w:t>
      </w:r>
      <w:r>
        <w:rPr>
          <w:sz w:val="24"/>
        </w:rPr>
        <w:t>1</w:t>
      </w:r>
      <w:r>
        <w:rPr>
          <w:sz w:val="24"/>
        </w:rPr>
        <w:t>贝可</w:t>
      </w:r>
      <w:r>
        <w:rPr>
          <w:sz w:val="24"/>
        </w:rPr>
        <w:t>/</w:t>
      </w:r>
      <w:r>
        <w:rPr>
          <w:sz w:val="24"/>
        </w:rPr>
        <w:t>克（</w:t>
      </w:r>
      <w:r>
        <w:rPr>
          <w:sz w:val="24"/>
        </w:rPr>
        <w:t>Bq/g</w:t>
      </w:r>
      <w:r>
        <w:rPr>
          <w:sz w:val="24"/>
        </w:rPr>
        <w:t>）的结论。该名录包含煤矿开采选矿。</w:t>
      </w:r>
    </w:p>
    <w:p w:rsidR="002D1343" w:rsidRDefault="002D1343" w:rsidP="002D1343">
      <w:pPr>
        <w:spacing w:line="520" w:lineRule="exact"/>
        <w:ind w:firstLineChars="200" w:firstLine="480"/>
        <w:rPr>
          <w:sz w:val="24"/>
        </w:rPr>
      </w:pPr>
      <w:r>
        <w:rPr>
          <w:sz w:val="24"/>
        </w:rPr>
        <w:t>本项目属于煤矿开采，且编制环境影响报告书。按照公告规定，建设单位于</w:t>
      </w:r>
      <w:r>
        <w:rPr>
          <w:sz w:val="24"/>
        </w:rPr>
        <w:t>2020</w:t>
      </w:r>
      <w:r>
        <w:rPr>
          <w:sz w:val="24"/>
        </w:rPr>
        <w:t>年</w:t>
      </w:r>
      <w:r>
        <w:rPr>
          <w:sz w:val="24"/>
        </w:rPr>
        <w:t>12</w:t>
      </w:r>
      <w:r>
        <w:rPr>
          <w:sz w:val="24"/>
        </w:rPr>
        <w:t>月</w:t>
      </w:r>
      <w:r>
        <w:rPr>
          <w:sz w:val="24"/>
        </w:rPr>
        <w:t>18</w:t>
      </w:r>
      <w:r>
        <w:rPr>
          <w:sz w:val="24"/>
        </w:rPr>
        <w:t>日委托河南省核工业放射性核素检测中心对项目的原煤、煤矸石进行了核素活度监测，其检测结果见表</w:t>
      </w:r>
      <w:r>
        <w:rPr>
          <w:sz w:val="24"/>
        </w:rPr>
        <w:t>3.4-6</w:t>
      </w:r>
      <w:r>
        <w:rPr>
          <w:sz w:val="24"/>
        </w:rPr>
        <w:t>。检测报告见附件</w:t>
      </w:r>
      <w:r>
        <w:rPr>
          <w:rFonts w:hint="eastAsia"/>
          <w:sz w:val="24"/>
        </w:rPr>
        <w:t>20</w:t>
      </w:r>
      <w:r>
        <w:rPr>
          <w:sz w:val="24"/>
        </w:rPr>
        <w:t>。</w:t>
      </w:r>
    </w:p>
    <w:p w:rsidR="002D1343" w:rsidRDefault="002D1343" w:rsidP="002D1343">
      <w:pPr>
        <w:spacing w:line="520" w:lineRule="exact"/>
        <w:jc w:val="center"/>
        <w:rPr>
          <w:b/>
          <w:sz w:val="24"/>
        </w:rPr>
      </w:pPr>
      <w:r>
        <w:rPr>
          <w:b/>
          <w:sz w:val="24"/>
        </w:rPr>
        <w:t>表</w:t>
      </w:r>
      <w:r>
        <w:rPr>
          <w:b/>
          <w:sz w:val="24"/>
        </w:rPr>
        <w:t xml:space="preserve">3.4-6  </w:t>
      </w:r>
      <w:r>
        <w:rPr>
          <w:b/>
          <w:sz w:val="24"/>
        </w:rPr>
        <w:t>项目放射性检测结果一览表</w:t>
      </w:r>
      <w:r>
        <w:rPr>
          <w:b/>
          <w:sz w:val="24"/>
        </w:rPr>
        <w:t xml:space="preserve">  </w:t>
      </w:r>
      <w:r>
        <w:rPr>
          <w:b/>
          <w:sz w:val="24"/>
        </w:rPr>
        <w:t>单位：</w:t>
      </w:r>
      <w:r>
        <w:rPr>
          <w:b/>
          <w:sz w:val="24"/>
        </w:rPr>
        <w:t>Bq/g</w:t>
      </w:r>
    </w:p>
    <w:tbl>
      <w:tblPr>
        <w:tblW w:w="50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3873"/>
        <w:gridCol w:w="1574"/>
        <w:gridCol w:w="1574"/>
        <w:gridCol w:w="1573"/>
      </w:tblGrid>
      <w:tr w:rsidR="002D1343" w:rsidTr="000C4154">
        <w:trPr>
          <w:cantSplit/>
          <w:trHeight w:val="461"/>
          <w:jc w:val="center"/>
        </w:trPr>
        <w:tc>
          <w:tcPr>
            <w:tcW w:w="2253" w:type="pct"/>
            <w:vAlign w:val="center"/>
          </w:tcPr>
          <w:p w:rsidR="002D1343" w:rsidRDefault="002D1343" w:rsidP="000C4154">
            <w:pPr>
              <w:spacing w:line="360" w:lineRule="exact"/>
              <w:jc w:val="center"/>
              <w:rPr>
                <w:bCs/>
                <w:sz w:val="21"/>
                <w:szCs w:val="21"/>
              </w:rPr>
            </w:pPr>
            <w:r>
              <w:rPr>
                <w:bCs/>
                <w:sz w:val="21"/>
                <w:szCs w:val="21"/>
              </w:rPr>
              <w:t>检测项目</w:t>
            </w:r>
          </w:p>
        </w:tc>
        <w:tc>
          <w:tcPr>
            <w:tcW w:w="916" w:type="pct"/>
            <w:vAlign w:val="center"/>
          </w:tcPr>
          <w:p w:rsidR="002D1343" w:rsidRDefault="002D1343" w:rsidP="000C4154">
            <w:pPr>
              <w:spacing w:line="360" w:lineRule="exact"/>
              <w:jc w:val="center"/>
              <w:rPr>
                <w:bCs/>
                <w:sz w:val="21"/>
                <w:szCs w:val="21"/>
              </w:rPr>
            </w:pPr>
            <w:r>
              <w:rPr>
                <w:bCs/>
                <w:sz w:val="21"/>
                <w:szCs w:val="21"/>
              </w:rPr>
              <w:t>铀</w:t>
            </w:r>
            <w:r>
              <w:rPr>
                <w:bCs/>
                <w:sz w:val="21"/>
                <w:szCs w:val="21"/>
              </w:rPr>
              <w:t>-238</w:t>
            </w:r>
          </w:p>
        </w:tc>
        <w:tc>
          <w:tcPr>
            <w:tcW w:w="916" w:type="pct"/>
            <w:vAlign w:val="center"/>
          </w:tcPr>
          <w:p w:rsidR="002D1343" w:rsidRDefault="002D1343" w:rsidP="000C4154">
            <w:pPr>
              <w:spacing w:line="360" w:lineRule="exact"/>
              <w:jc w:val="center"/>
              <w:rPr>
                <w:bCs/>
                <w:sz w:val="21"/>
                <w:szCs w:val="21"/>
              </w:rPr>
            </w:pPr>
            <w:r>
              <w:rPr>
                <w:bCs/>
                <w:sz w:val="21"/>
                <w:szCs w:val="21"/>
              </w:rPr>
              <w:t>钍</w:t>
            </w:r>
            <w:r>
              <w:rPr>
                <w:bCs/>
                <w:sz w:val="21"/>
                <w:szCs w:val="21"/>
              </w:rPr>
              <w:t>-232</w:t>
            </w:r>
          </w:p>
        </w:tc>
        <w:tc>
          <w:tcPr>
            <w:tcW w:w="916" w:type="pct"/>
            <w:vAlign w:val="center"/>
          </w:tcPr>
          <w:p w:rsidR="002D1343" w:rsidRDefault="002D1343" w:rsidP="000C4154">
            <w:pPr>
              <w:spacing w:line="360" w:lineRule="exact"/>
              <w:jc w:val="center"/>
              <w:rPr>
                <w:bCs/>
                <w:sz w:val="21"/>
                <w:szCs w:val="21"/>
              </w:rPr>
            </w:pPr>
            <w:r>
              <w:rPr>
                <w:bCs/>
                <w:sz w:val="21"/>
                <w:szCs w:val="21"/>
              </w:rPr>
              <w:t>镭</w:t>
            </w:r>
            <w:r>
              <w:rPr>
                <w:bCs/>
                <w:sz w:val="21"/>
                <w:szCs w:val="21"/>
              </w:rPr>
              <w:t>-226</w:t>
            </w:r>
          </w:p>
        </w:tc>
      </w:tr>
      <w:tr w:rsidR="002D1343" w:rsidTr="000C4154">
        <w:trPr>
          <w:cantSplit/>
          <w:trHeight w:val="442"/>
          <w:jc w:val="center"/>
        </w:trPr>
        <w:tc>
          <w:tcPr>
            <w:tcW w:w="2253" w:type="pct"/>
            <w:vAlign w:val="center"/>
          </w:tcPr>
          <w:p w:rsidR="002D1343" w:rsidRDefault="002D1343" w:rsidP="000C4154">
            <w:pPr>
              <w:spacing w:line="360" w:lineRule="exact"/>
              <w:jc w:val="center"/>
              <w:rPr>
                <w:sz w:val="21"/>
                <w:szCs w:val="21"/>
              </w:rPr>
            </w:pPr>
            <w:r>
              <w:rPr>
                <w:sz w:val="21"/>
                <w:szCs w:val="21"/>
              </w:rPr>
              <w:t>原煤</w:t>
            </w:r>
          </w:p>
        </w:tc>
        <w:tc>
          <w:tcPr>
            <w:tcW w:w="916" w:type="pct"/>
            <w:vAlign w:val="center"/>
          </w:tcPr>
          <w:p w:rsidR="002D1343" w:rsidRDefault="002D1343" w:rsidP="000C4154">
            <w:pPr>
              <w:spacing w:line="360" w:lineRule="exact"/>
              <w:jc w:val="center"/>
              <w:rPr>
                <w:sz w:val="21"/>
                <w:szCs w:val="21"/>
              </w:rPr>
            </w:pPr>
            <w:r>
              <w:rPr>
                <w:sz w:val="21"/>
                <w:szCs w:val="21"/>
              </w:rPr>
              <w:t>0.012</w:t>
            </w:r>
          </w:p>
        </w:tc>
        <w:tc>
          <w:tcPr>
            <w:tcW w:w="916" w:type="pct"/>
            <w:vAlign w:val="center"/>
          </w:tcPr>
          <w:p w:rsidR="002D1343" w:rsidRDefault="002D1343" w:rsidP="000C4154">
            <w:pPr>
              <w:spacing w:line="360" w:lineRule="exact"/>
              <w:jc w:val="center"/>
              <w:rPr>
                <w:sz w:val="21"/>
                <w:szCs w:val="21"/>
              </w:rPr>
            </w:pPr>
            <w:r>
              <w:rPr>
                <w:sz w:val="21"/>
                <w:szCs w:val="21"/>
              </w:rPr>
              <w:t>0.015</w:t>
            </w:r>
          </w:p>
        </w:tc>
        <w:tc>
          <w:tcPr>
            <w:tcW w:w="916" w:type="pct"/>
            <w:vAlign w:val="center"/>
          </w:tcPr>
          <w:p w:rsidR="002D1343" w:rsidRDefault="002D1343" w:rsidP="000C4154">
            <w:pPr>
              <w:spacing w:line="360" w:lineRule="exact"/>
              <w:jc w:val="center"/>
              <w:rPr>
                <w:sz w:val="21"/>
                <w:szCs w:val="21"/>
              </w:rPr>
            </w:pPr>
            <w:r>
              <w:rPr>
                <w:sz w:val="21"/>
                <w:szCs w:val="21"/>
              </w:rPr>
              <w:t>0.030</w:t>
            </w:r>
          </w:p>
        </w:tc>
      </w:tr>
      <w:tr w:rsidR="002D1343" w:rsidTr="000C4154">
        <w:trPr>
          <w:cantSplit/>
          <w:trHeight w:val="461"/>
          <w:jc w:val="center"/>
        </w:trPr>
        <w:tc>
          <w:tcPr>
            <w:tcW w:w="2253" w:type="pct"/>
            <w:vAlign w:val="center"/>
          </w:tcPr>
          <w:p w:rsidR="002D1343" w:rsidRDefault="002D1343" w:rsidP="000C4154">
            <w:pPr>
              <w:spacing w:line="360" w:lineRule="exact"/>
              <w:jc w:val="center"/>
              <w:rPr>
                <w:sz w:val="21"/>
                <w:szCs w:val="21"/>
              </w:rPr>
            </w:pPr>
            <w:r>
              <w:rPr>
                <w:sz w:val="21"/>
                <w:szCs w:val="21"/>
              </w:rPr>
              <w:t>煤矸石</w:t>
            </w:r>
          </w:p>
        </w:tc>
        <w:tc>
          <w:tcPr>
            <w:tcW w:w="916" w:type="pct"/>
            <w:vAlign w:val="center"/>
          </w:tcPr>
          <w:p w:rsidR="002D1343" w:rsidRDefault="002D1343" w:rsidP="000C4154">
            <w:pPr>
              <w:spacing w:line="360" w:lineRule="exact"/>
              <w:jc w:val="center"/>
              <w:rPr>
                <w:sz w:val="21"/>
                <w:szCs w:val="21"/>
              </w:rPr>
            </w:pPr>
            <w:r>
              <w:rPr>
                <w:sz w:val="21"/>
                <w:szCs w:val="21"/>
              </w:rPr>
              <w:t>0.031</w:t>
            </w:r>
          </w:p>
        </w:tc>
        <w:tc>
          <w:tcPr>
            <w:tcW w:w="916" w:type="pct"/>
            <w:vAlign w:val="center"/>
          </w:tcPr>
          <w:p w:rsidR="002D1343" w:rsidRDefault="002D1343" w:rsidP="000C4154">
            <w:pPr>
              <w:spacing w:line="360" w:lineRule="exact"/>
              <w:jc w:val="center"/>
              <w:rPr>
                <w:sz w:val="21"/>
                <w:szCs w:val="21"/>
              </w:rPr>
            </w:pPr>
            <w:r>
              <w:rPr>
                <w:sz w:val="21"/>
                <w:szCs w:val="21"/>
              </w:rPr>
              <w:t>0.061</w:t>
            </w:r>
          </w:p>
        </w:tc>
        <w:tc>
          <w:tcPr>
            <w:tcW w:w="916" w:type="pct"/>
            <w:vAlign w:val="center"/>
          </w:tcPr>
          <w:p w:rsidR="002D1343" w:rsidRDefault="002D1343" w:rsidP="000C4154">
            <w:pPr>
              <w:spacing w:line="360" w:lineRule="exact"/>
              <w:jc w:val="center"/>
              <w:rPr>
                <w:sz w:val="21"/>
                <w:szCs w:val="21"/>
              </w:rPr>
            </w:pPr>
            <w:r>
              <w:rPr>
                <w:sz w:val="21"/>
                <w:szCs w:val="21"/>
              </w:rPr>
              <w:t>0.050</w:t>
            </w:r>
          </w:p>
        </w:tc>
      </w:tr>
      <w:tr w:rsidR="002D1343" w:rsidTr="000C4154">
        <w:trPr>
          <w:cantSplit/>
          <w:trHeight w:val="922"/>
          <w:jc w:val="center"/>
        </w:trPr>
        <w:tc>
          <w:tcPr>
            <w:tcW w:w="2253" w:type="pct"/>
            <w:vAlign w:val="center"/>
          </w:tcPr>
          <w:p w:rsidR="002D1343" w:rsidRDefault="002D1343" w:rsidP="000C4154">
            <w:pPr>
              <w:spacing w:line="360" w:lineRule="exact"/>
              <w:jc w:val="center"/>
              <w:rPr>
                <w:sz w:val="21"/>
                <w:szCs w:val="21"/>
              </w:rPr>
            </w:pPr>
            <w:r>
              <w:rPr>
                <w:sz w:val="21"/>
                <w:szCs w:val="21"/>
              </w:rPr>
              <w:t>关于发布《矿产资源开发利用</w:t>
            </w:r>
          </w:p>
          <w:p w:rsidR="002D1343" w:rsidRDefault="002D1343" w:rsidP="000C4154">
            <w:pPr>
              <w:spacing w:line="360" w:lineRule="exact"/>
              <w:jc w:val="center"/>
              <w:rPr>
                <w:sz w:val="21"/>
                <w:szCs w:val="21"/>
              </w:rPr>
            </w:pPr>
            <w:r>
              <w:rPr>
                <w:sz w:val="21"/>
                <w:szCs w:val="21"/>
              </w:rPr>
              <w:t>辐射环境监督管理名录》的公告</w:t>
            </w:r>
          </w:p>
        </w:tc>
        <w:tc>
          <w:tcPr>
            <w:tcW w:w="2747" w:type="pct"/>
            <w:gridSpan w:val="3"/>
            <w:vAlign w:val="center"/>
          </w:tcPr>
          <w:p w:rsidR="002D1343" w:rsidRDefault="002D1343" w:rsidP="000C4154">
            <w:pPr>
              <w:spacing w:line="360" w:lineRule="exact"/>
              <w:jc w:val="center"/>
              <w:rPr>
                <w:sz w:val="21"/>
                <w:szCs w:val="21"/>
              </w:rPr>
            </w:pPr>
            <w:r>
              <w:rPr>
                <w:sz w:val="21"/>
                <w:szCs w:val="21"/>
              </w:rPr>
              <w:t>豁免值</w:t>
            </w:r>
            <w:r>
              <w:rPr>
                <w:sz w:val="21"/>
                <w:szCs w:val="21"/>
              </w:rPr>
              <w:t>≤1Bq/g</w:t>
            </w:r>
          </w:p>
        </w:tc>
      </w:tr>
      <w:tr w:rsidR="002D1343" w:rsidTr="000C4154">
        <w:trPr>
          <w:cantSplit/>
          <w:trHeight w:val="461"/>
          <w:jc w:val="center"/>
        </w:trPr>
        <w:tc>
          <w:tcPr>
            <w:tcW w:w="2253" w:type="pct"/>
            <w:vAlign w:val="center"/>
          </w:tcPr>
          <w:p w:rsidR="002D1343" w:rsidRDefault="002D1343" w:rsidP="000C4154">
            <w:pPr>
              <w:spacing w:line="360" w:lineRule="exact"/>
              <w:jc w:val="center"/>
              <w:rPr>
                <w:sz w:val="21"/>
                <w:szCs w:val="21"/>
              </w:rPr>
            </w:pPr>
            <w:r>
              <w:rPr>
                <w:sz w:val="21"/>
                <w:szCs w:val="21"/>
              </w:rPr>
              <w:t>评价结果</w:t>
            </w:r>
          </w:p>
        </w:tc>
        <w:tc>
          <w:tcPr>
            <w:tcW w:w="916" w:type="pct"/>
            <w:vAlign w:val="center"/>
          </w:tcPr>
          <w:p w:rsidR="002D1343" w:rsidRDefault="002D1343" w:rsidP="000C4154">
            <w:pPr>
              <w:spacing w:line="360" w:lineRule="exact"/>
              <w:jc w:val="center"/>
              <w:rPr>
                <w:sz w:val="21"/>
                <w:szCs w:val="21"/>
              </w:rPr>
            </w:pPr>
            <w:r>
              <w:rPr>
                <w:sz w:val="21"/>
                <w:szCs w:val="21"/>
              </w:rPr>
              <w:t>豁免</w:t>
            </w:r>
          </w:p>
        </w:tc>
        <w:tc>
          <w:tcPr>
            <w:tcW w:w="916" w:type="pct"/>
            <w:vAlign w:val="center"/>
          </w:tcPr>
          <w:p w:rsidR="002D1343" w:rsidRDefault="002D1343" w:rsidP="000C4154">
            <w:pPr>
              <w:spacing w:line="360" w:lineRule="exact"/>
              <w:jc w:val="center"/>
              <w:rPr>
                <w:sz w:val="21"/>
                <w:szCs w:val="21"/>
              </w:rPr>
            </w:pPr>
            <w:r>
              <w:rPr>
                <w:sz w:val="21"/>
                <w:szCs w:val="21"/>
              </w:rPr>
              <w:t>豁免</w:t>
            </w:r>
          </w:p>
        </w:tc>
        <w:tc>
          <w:tcPr>
            <w:tcW w:w="916" w:type="pct"/>
            <w:vAlign w:val="center"/>
          </w:tcPr>
          <w:p w:rsidR="002D1343" w:rsidRDefault="002D1343" w:rsidP="000C4154">
            <w:pPr>
              <w:spacing w:line="360" w:lineRule="exact"/>
              <w:jc w:val="center"/>
              <w:rPr>
                <w:sz w:val="21"/>
                <w:szCs w:val="21"/>
              </w:rPr>
            </w:pPr>
            <w:r>
              <w:rPr>
                <w:sz w:val="21"/>
                <w:szCs w:val="21"/>
              </w:rPr>
              <w:t>豁免</w:t>
            </w:r>
          </w:p>
        </w:tc>
      </w:tr>
    </w:tbl>
    <w:p w:rsidR="002D1343" w:rsidRDefault="002D1343" w:rsidP="002D1343">
      <w:pPr>
        <w:spacing w:line="520" w:lineRule="exact"/>
        <w:ind w:firstLineChars="200" w:firstLine="480"/>
        <w:rPr>
          <w:sz w:val="24"/>
        </w:rPr>
      </w:pPr>
      <w:r>
        <w:rPr>
          <w:sz w:val="24"/>
        </w:rPr>
        <w:t>根据放射性检测结果，项目原煤、煤矸石中铀（钍）系单个核素活度浓度均</w:t>
      </w:r>
      <w:r>
        <w:rPr>
          <w:sz w:val="24"/>
        </w:rPr>
        <w:lastRenderedPageBreak/>
        <w:t>小于</w:t>
      </w:r>
      <w:r>
        <w:rPr>
          <w:sz w:val="24"/>
        </w:rPr>
        <w:t>1</w:t>
      </w:r>
      <w:r>
        <w:rPr>
          <w:sz w:val="24"/>
        </w:rPr>
        <w:t>贝可</w:t>
      </w:r>
      <w:r>
        <w:rPr>
          <w:sz w:val="24"/>
        </w:rPr>
        <w:t>/</w:t>
      </w:r>
      <w:r>
        <w:rPr>
          <w:sz w:val="24"/>
        </w:rPr>
        <w:t>克（</w:t>
      </w:r>
      <w:r>
        <w:rPr>
          <w:sz w:val="24"/>
        </w:rPr>
        <w:t>Bq/g</w:t>
      </w:r>
      <w:r>
        <w:rPr>
          <w:sz w:val="24"/>
        </w:rPr>
        <w:t>），可不做辐射环境影响评价专篇。</w:t>
      </w:r>
    </w:p>
    <w:p w:rsidR="002D1343" w:rsidRDefault="002D1343" w:rsidP="009C5F33">
      <w:pPr>
        <w:pStyle w:val="30"/>
        <w:adjustRightInd w:val="0"/>
        <w:snapToGrid w:val="0"/>
        <w:spacing w:beforeLines="70" w:afterLines="30" w:line="240" w:lineRule="auto"/>
        <w:jc w:val="left"/>
        <w:rPr>
          <w:rFonts w:eastAsia="楷体"/>
          <w:sz w:val="28"/>
          <w:szCs w:val="28"/>
        </w:rPr>
      </w:pPr>
      <w:r>
        <w:rPr>
          <w:rFonts w:eastAsia="楷体"/>
          <w:sz w:val="28"/>
          <w:szCs w:val="28"/>
        </w:rPr>
        <w:t xml:space="preserve">3.4.3 </w:t>
      </w:r>
      <w:r>
        <w:rPr>
          <w:rFonts w:eastAsia="楷体"/>
          <w:sz w:val="28"/>
          <w:szCs w:val="28"/>
        </w:rPr>
        <w:t>矿井服务期满闭矿期环境影响因素分析</w:t>
      </w:r>
    </w:p>
    <w:p w:rsidR="002D1343" w:rsidRDefault="002D1343" w:rsidP="002D1343">
      <w:pPr>
        <w:adjustRightInd w:val="0"/>
        <w:snapToGrid w:val="0"/>
        <w:spacing w:line="520" w:lineRule="exact"/>
        <w:ind w:firstLine="585"/>
        <w:rPr>
          <w:spacing w:val="2"/>
          <w:sz w:val="24"/>
        </w:rPr>
      </w:pPr>
      <w:r>
        <w:rPr>
          <w:spacing w:val="2"/>
          <w:sz w:val="24"/>
        </w:rPr>
        <w:t>由于地表沉陷的产生要滞后于地下采空区的形成，并且延续时间较长，因此，在矿井地下开采工作结束后，地表变形及其对地形、地貌、植被等要素的影响将持续一段时间。矿井服务期满后，煤矿生产员工及其部分家属的迁移，在一定程度上将对社会环境、经济环境产生消极的影响。</w:t>
      </w:r>
    </w:p>
    <w:p w:rsidR="00240BCE" w:rsidRDefault="00AC0334" w:rsidP="009C5F33">
      <w:pPr>
        <w:pStyle w:val="2"/>
        <w:keepNext w:val="0"/>
        <w:keepLines w:val="0"/>
        <w:adjustRightInd w:val="0"/>
        <w:snapToGrid w:val="0"/>
        <w:spacing w:beforeLines="100" w:afterLines="50" w:line="240" w:lineRule="auto"/>
        <w:jc w:val="left"/>
        <w:rPr>
          <w:rFonts w:ascii="Times New Roman" w:eastAsia="宋体" w:hAnsi="Times New Roman"/>
          <w:bCs/>
          <w:spacing w:val="2"/>
          <w:szCs w:val="32"/>
        </w:rPr>
      </w:pPr>
      <w:bookmarkStart w:id="298" w:name="_Toc79668649"/>
      <w:bookmarkStart w:id="299" w:name="_Toc81934374"/>
      <w:bookmarkEnd w:id="294"/>
      <w:bookmarkEnd w:id="295"/>
      <w:r>
        <w:rPr>
          <w:rFonts w:ascii="Times New Roman" w:eastAsia="宋体" w:hAnsi="Times New Roman"/>
          <w:bCs/>
          <w:spacing w:val="2"/>
          <w:szCs w:val="32"/>
        </w:rPr>
        <w:t>3.5</w:t>
      </w:r>
      <w:r>
        <w:rPr>
          <w:rFonts w:ascii="Times New Roman" w:eastAsia="宋体" w:hAnsi="Times New Roman"/>
          <w:bCs/>
          <w:spacing w:val="2"/>
          <w:szCs w:val="32"/>
        </w:rPr>
        <w:t>升级改造前后污染源排放情况及</w:t>
      </w:r>
      <w:r>
        <w:rPr>
          <w:rFonts w:ascii="Times New Roman" w:eastAsia="宋体" w:hAnsi="Times New Roman"/>
          <w:bCs/>
          <w:spacing w:val="2"/>
          <w:szCs w:val="32"/>
        </w:rPr>
        <w:t>“</w:t>
      </w:r>
      <w:r>
        <w:rPr>
          <w:rFonts w:ascii="Times New Roman" w:eastAsia="宋体" w:hAnsi="Times New Roman"/>
          <w:bCs/>
          <w:spacing w:val="2"/>
          <w:szCs w:val="32"/>
        </w:rPr>
        <w:t>三本账</w:t>
      </w:r>
      <w:r>
        <w:rPr>
          <w:rFonts w:ascii="Times New Roman" w:eastAsia="宋体" w:hAnsi="Times New Roman"/>
          <w:bCs/>
          <w:spacing w:val="2"/>
          <w:szCs w:val="32"/>
        </w:rPr>
        <w:t>”</w:t>
      </w:r>
      <w:r>
        <w:rPr>
          <w:rFonts w:ascii="Times New Roman" w:eastAsia="宋体" w:hAnsi="Times New Roman"/>
          <w:bCs/>
          <w:spacing w:val="2"/>
          <w:szCs w:val="32"/>
        </w:rPr>
        <w:t>分析</w:t>
      </w:r>
      <w:bookmarkEnd w:id="298"/>
      <w:bookmarkEnd w:id="299"/>
    </w:p>
    <w:p w:rsidR="00240BCE" w:rsidRDefault="00AC0334" w:rsidP="009C5F33">
      <w:pPr>
        <w:pStyle w:val="30"/>
        <w:adjustRightInd w:val="0"/>
        <w:snapToGrid w:val="0"/>
        <w:spacing w:beforeLines="70" w:afterLines="30" w:line="240" w:lineRule="auto"/>
        <w:jc w:val="left"/>
        <w:rPr>
          <w:rFonts w:eastAsia="楷体"/>
          <w:sz w:val="28"/>
          <w:szCs w:val="28"/>
        </w:rPr>
      </w:pPr>
      <w:bookmarkStart w:id="300" w:name="_Toc79668650"/>
      <w:r>
        <w:rPr>
          <w:rFonts w:eastAsia="楷体"/>
          <w:sz w:val="28"/>
          <w:szCs w:val="28"/>
        </w:rPr>
        <w:t xml:space="preserve">3.5.1 </w:t>
      </w:r>
      <w:r>
        <w:rPr>
          <w:rFonts w:eastAsia="楷体"/>
          <w:sz w:val="28"/>
          <w:szCs w:val="28"/>
        </w:rPr>
        <w:t>升级改造前现有工程污染源排放状况表</w:t>
      </w:r>
      <w:bookmarkEnd w:id="300"/>
    </w:p>
    <w:p w:rsidR="00240BCE" w:rsidRDefault="00AC0334">
      <w:pPr>
        <w:spacing w:line="560" w:lineRule="exact"/>
        <w:ind w:firstLineChars="200" w:firstLine="480"/>
        <w:jc w:val="left"/>
        <w:rPr>
          <w:bCs/>
          <w:sz w:val="24"/>
        </w:rPr>
      </w:pPr>
      <w:r>
        <w:rPr>
          <w:bCs/>
          <w:sz w:val="24"/>
        </w:rPr>
        <w:t>根据</w:t>
      </w:r>
      <w:r>
        <w:rPr>
          <w:bCs/>
          <w:sz w:val="24"/>
        </w:rPr>
        <w:t>3.1</w:t>
      </w:r>
      <w:r>
        <w:rPr>
          <w:bCs/>
          <w:sz w:val="24"/>
        </w:rPr>
        <w:t>章节分析，汇总升级改造前现有工程污染物排放情况见表</w:t>
      </w:r>
      <w:r>
        <w:rPr>
          <w:bCs/>
          <w:sz w:val="24"/>
        </w:rPr>
        <w:t>3.5-1</w:t>
      </w:r>
      <w:r>
        <w:rPr>
          <w:bCs/>
          <w:sz w:val="24"/>
        </w:rPr>
        <w:t>。</w:t>
      </w:r>
    </w:p>
    <w:p w:rsidR="00240BCE" w:rsidRDefault="00AC0334" w:rsidP="00D33A63">
      <w:pPr>
        <w:widowControl/>
        <w:jc w:val="left"/>
        <w:rPr>
          <w:b/>
          <w:bCs/>
          <w:sz w:val="24"/>
        </w:rPr>
      </w:pPr>
      <w:r>
        <w:rPr>
          <w:b/>
          <w:bCs/>
          <w:sz w:val="24"/>
        </w:rPr>
        <w:t>表</w:t>
      </w:r>
      <w:r>
        <w:rPr>
          <w:b/>
          <w:bCs/>
          <w:sz w:val="24"/>
        </w:rPr>
        <w:t xml:space="preserve">3.5-1   </w:t>
      </w:r>
      <w:r w:rsidR="002F1597">
        <w:rPr>
          <w:rFonts w:hint="eastAsia"/>
          <w:b/>
          <w:bCs/>
          <w:sz w:val="24"/>
        </w:rPr>
        <w:t xml:space="preserve">      </w:t>
      </w:r>
      <w:r>
        <w:rPr>
          <w:b/>
          <w:bCs/>
          <w:sz w:val="24"/>
        </w:rPr>
        <w:t xml:space="preserve"> </w:t>
      </w:r>
      <w:r>
        <w:rPr>
          <w:b/>
          <w:bCs/>
          <w:sz w:val="24"/>
        </w:rPr>
        <w:t>升级改造前现有工程污染源排放状况表</w:t>
      </w:r>
    </w:p>
    <w:tbl>
      <w:tblPr>
        <w:tblW w:w="93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491"/>
        <w:gridCol w:w="682"/>
        <w:gridCol w:w="857"/>
        <w:gridCol w:w="1202"/>
        <w:gridCol w:w="1278"/>
        <w:gridCol w:w="1277"/>
        <w:gridCol w:w="869"/>
        <w:gridCol w:w="2644"/>
      </w:tblGrid>
      <w:tr w:rsidR="00D510BC" w:rsidTr="00D33A63">
        <w:trPr>
          <w:jc w:val="center"/>
        </w:trPr>
        <w:tc>
          <w:tcPr>
            <w:tcW w:w="491" w:type="dxa"/>
            <w:vMerge w:val="restart"/>
            <w:tcBorders>
              <w:top w:val="single" w:sz="12" w:space="0" w:color="auto"/>
              <w:left w:val="single" w:sz="12"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项目</w:t>
            </w:r>
          </w:p>
        </w:tc>
        <w:tc>
          <w:tcPr>
            <w:tcW w:w="682" w:type="dxa"/>
            <w:vMerge w:val="restart"/>
            <w:tcBorders>
              <w:top w:val="single" w:sz="12"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污染源</w:t>
            </w:r>
          </w:p>
        </w:tc>
        <w:tc>
          <w:tcPr>
            <w:tcW w:w="857" w:type="dxa"/>
            <w:vMerge w:val="restart"/>
            <w:tcBorders>
              <w:top w:val="single" w:sz="12"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污染因子</w:t>
            </w:r>
          </w:p>
        </w:tc>
        <w:tc>
          <w:tcPr>
            <w:tcW w:w="2480" w:type="dxa"/>
            <w:gridSpan w:val="2"/>
            <w:tcBorders>
              <w:top w:val="single" w:sz="12"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污染物浓度</w:t>
            </w:r>
          </w:p>
        </w:tc>
        <w:tc>
          <w:tcPr>
            <w:tcW w:w="2146" w:type="dxa"/>
            <w:gridSpan w:val="2"/>
            <w:tcBorders>
              <w:top w:val="single" w:sz="12"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产排量</w:t>
            </w:r>
          </w:p>
        </w:tc>
        <w:tc>
          <w:tcPr>
            <w:tcW w:w="2644" w:type="dxa"/>
            <w:vMerge w:val="restart"/>
            <w:tcBorders>
              <w:top w:val="single" w:sz="12" w:space="0" w:color="auto"/>
              <w:left w:val="single" w:sz="4" w:space="0" w:color="auto"/>
              <w:bottom w:val="single" w:sz="4" w:space="0" w:color="auto"/>
              <w:right w:val="single" w:sz="12" w:space="0" w:color="auto"/>
            </w:tcBorders>
            <w:vAlign w:val="center"/>
          </w:tcPr>
          <w:p w:rsidR="00D510BC" w:rsidRDefault="00D510BC" w:rsidP="002D538A">
            <w:pPr>
              <w:spacing w:line="280" w:lineRule="exact"/>
              <w:jc w:val="center"/>
              <w:rPr>
                <w:color w:val="000000"/>
                <w:sz w:val="21"/>
                <w:szCs w:val="21"/>
              </w:rPr>
            </w:pPr>
            <w:r>
              <w:rPr>
                <w:color w:val="000000"/>
                <w:sz w:val="21"/>
                <w:szCs w:val="21"/>
              </w:rPr>
              <w:t>治理及排放状况</w:t>
            </w:r>
          </w:p>
        </w:tc>
      </w:tr>
      <w:tr w:rsidR="00D510BC" w:rsidTr="00D33A63">
        <w:trPr>
          <w:jc w:val="center"/>
        </w:trPr>
        <w:tc>
          <w:tcPr>
            <w:tcW w:w="491" w:type="dxa"/>
            <w:vMerge/>
            <w:tcBorders>
              <w:top w:val="single" w:sz="12" w:space="0" w:color="auto"/>
              <w:left w:val="single" w:sz="12"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682" w:type="dxa"/>
            <w:vMerge/>
            <w:tcBorders>
              <w:top w:val="single" w:sz="12" w:space="0" w:color="auto"/>
              <w:left w:val="single" w:sz="4"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857" w:type="dxa"/>
            <w:vMerge/>
            <w:tcBorders>
              <w:top w:val="single" w:sz="12" w:space="0" w:color="auto"/>
              <w:left w:val="single" w:sz="4"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1202"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处理前</w:t>
            </w:r>
          </w:p>
        </w:tc>
        <w:tc>
          <w:tcPr>
            <w:tcW w:w="1278"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处理后</w:t>
            </w:r>
          </w:p>
        </w:tc>
        <w:tc>
          <w:tcPr>
            <w:tcW w:w="127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产生量</w:t>
            </w:r>
          </w:p>
        </w:tc>
        <w:tc>
          <w:tcPr>
            <w:tcW w:w="869"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排放量</w:t>
            </w:r>
          </w:p>
        </w:tc>
        <w:tc>
          <w:tcPr>
            <w:tcW w:w="2644" w:type="dxa"/>
            <w:vMerge/>
            <w:tcBorders>
              <w:top w:val="single" w:sz="12" w:space="0" w:color="auto"/>
              <w:left w:val="single" w:sz="4" w:space="0" w:color="auto"/>
              <w:bottom w:val="single" w:sz="4" w:space="0" w:color="auto"/>
              <w:right w:val="single" w:sz="12" w:space="0" w:color="auto"/>
            </w:tcBorders>
            <w:vAlign w:val="center"/>
          </w:tcPr>
          <w:p w:rsidR="00D510BC" w:rsidRDefault="00D510BC" w:rsidP="002D538A">
            <w:pPr>
              <w:widowControl/>
              <w:jc w:val="left"/>
              <w:rPr>
                <w:color w:val="000000"/>
                <w:sz w:val="21"/>
                <w:szCs w:val="21"/>
              </w:rPr>
            </w:pPr>
          </w:p>
        </w:tc>
      </w:tr>
      <w:tr w:rsidR="00D510BC" w:rsidTr="00D33A63">
        <w:trPr>
          <w:jc w:val="center"/>
        </w:trPr>
        <w:tc>
          <w:tcPr>
            <w:tcW w:w="491" w:type="dxa"/>
            <w:vMerge w:val="restart"/>
            <w:tcBorders>
              <w:top w:val="single" w:sz="4" w:space="0" w:color="auto"/>
              <w:left w:val="single" w:sz="12"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废水</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矿井排水</w:t>
            </w:r>
          </w:p>
        </w:tc>
        <w:tc>
          <w:tcPr>
            <w:tcW w:w="85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废水量</w:t>
            </w:r>
          </w:p>
        </w:tc>
        <w:tc>
          <w:tcPr>
            <w:tcW w:w="1202"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w:t>
            </w:r>
          </w:p>
        </w:tc>
        <w:tc>
          <w:tcPr>
            <w:tcW w:w="1278"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rFonts w:hint="eastAsia"/>
                <w:color w:val="000000"/>
                <w:sz w:val="21"/>
                <w:szCs w:val="21"/>
              </w:rPr>
              <w:t>17.52</w:t>
            </w:r>
            <w:r>
              <w:rPr>
                <w:color w:val="000000"/>
                <w:sz w:val="21"/>
                <w:szCs w:val="21"/>
              </w:rPr>
              <w:t>万</w:t>
            </w:r>
            <w:r>
              <w:rPr>
                <w:color w:val="000000"/>
                <w:sz w:val="21"/>
                <w:szCs w:val="21"/>
              </w:rPr>
              <w:t>m</w:t>
            </w:r>
            <w:r>
              <w:rPr>
                <w:color w:val="000000"/>
                <w:sz w:val="21"/>
                <w:szCs w:val="21"/>
                <w:vertAlign w:val="superscript"/>
              </w:rPr>
              <w:t>3</w:t>
            </w:r>
            <w:r>
              <w:rPr>
                <w:color w:val="000000"/>
                <w:sz w:val="21"/>
                <w:szCs w:val="21"/>
              </w:rPr>
              <w:t>/a</w:t>
            </w:r>
          </w:p>
        </w:tc>
        <w:tc>
          <w:tcPr>
            <w:tcW w:w="869"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rFonts w:hint="eastAsia"/>
                <w:color w:val="000000"/>
                <w:sz w:val="21"/>
                <w:szCs w:val="21"/>
              </w:rPr>
              <w:t>70737</w:t>
            </w:r>
          </w:p>
          <w:p w:rsidR="00D510BC" w:rsidRDefault="00D510BC" w:rsidP="002D538A">
            <w:pPr>
              <w:spacing w:line="280" w:lineRule="exact"/>
              <w:jc w:val="center"/>
              <w:rPr>
                <w:color w:val="000000"/>
                <w:sz w:val="21"/>
                <w:szCs w:val="21"/>
              </w:rPr>
            </w:pPr>
            <w:r>
              <w:rPr>
                <w:color w:val="000000"/>
                <w:sz w:val="21"/>
                <w:szCs w:val="21"/>
              </w:rPr>
              <w:t>m</w:t>
            </w:r>
            <w:r>
              <w:rPr>
                <w:color w:val="000000"/>
                <w:sz w:val="21"/>
                <w:szCs w:val="21"/>
                <w:vertAlign w:val="superscript"/>
              </w:rPr>
              <w:t>3</w:t>
            </w:r>
            <w:r>
              <w:rPr>
                <w:color w:val="000000"/>
                <w:sz w:val="21"/>
                <w:szCs w:val="21"/>
              </w:rPr>
              <w:t>/a</w:t>
            </w:r>
          </w:p>
        </w:tc>
        <w:tc>
          <w:tcPr>
            <w:tcW w:w="2644" w:type="dxa"/>
            <w:vMerge w:val="restart"/>
            <w:tcBorders>
              <w:top w:val="single" w:sz="4" w:space="0" w:color="auto"/>
              <w:left w:val="single" w:sz="4" w:space="0" w:color="auto"/>
              <w:bottom w:val="single" w:sz="4" w:space="0" w:color="auto"/>
              <w:right w:val="single" w:sz="12" w:space="0" w:color="auto"/>
            </w:tcBorders>
            <w:vAlign w:val="center"/>
          </w:tcPr>
          <w:p w:rsidR="00D510BC" w:rsidRDefault="00D510BC" w:rsidP="002D538A">
            <w:pPr>
              <w:spacing w:line="280" w:lineRule="exact"/>
              <w:jc w:val="center"/>
              <w:rPr>
                <w:color w:val="000000"/>
                <w:sz w:val="21"/>
                <w:szCs w:val="21"/>
              </w:rPr>
            </w:pPr>
            <w:r>
              <w:rPr>
                <w:rFonts w:hint="eastAsia"/>
                <w:color w:val="000000"/>
                <w:sz w:val="21"/>
                <w:szCs w:val="21"/>
              </w:rPr>
              <w:t>部分</w:t>
            </w:r>
            <w:r>
              <w:rPr>
                <w:color w:val="000000"/>
                <w:sz w:val="21"/>
                <w:szCs w:val="21"/>
              </w:rPr>
              <w:t>回用于井下洒水、</w:t>
            </w:r>
            <w:r w:rsidR="00802A62">
              <w:rPr>
                <w:color w:val="000000"/>
                <w:sz w:val="21"/>
                <w:szCs w:val="21"/>
              </w:rPr>
              <w:t>储煤库</w:t>
            </w:r>
            <w:r>
              <w:rPr>
                <w:color w:val="000000"/>
                <w:sz w:val="21"/>
                <w:szCs w:val="21"/>
              </w:rPr>
              <w:t>洒水、空压机补充水、运输道路防尘洒水等生产用水，剩余部分排至赵沟河、纸坊水库后用于周边农田灌溉</w:t>
            </w:r>
            <w:r>
              <w:rPr>
                <w:rFonts w:hint="eastAsia"/>
                <w:color w:val="000000"/>
                <w:sz w:val="21"/>
                <w:szCs w:val="21"/>
              </w:rPr>
              <w:t>及生态补水</w:t>
            </w:r>
            <w:r>
              <w:rPr>
                <w:color w:val="000000"/>
                <w:sz w:val="21"/>
                <w:szCs w:val="21"/>
              </w:rPr>
              <w:t>。</w:t>
            </w:r>
          </w:p>
        </w:tc>
      </w:tr>
      <w:tr w:rsidR="00D510BC" w:rsidTr="00D33A63">
        <w:trPr>
          <w:jc w:val="center"/>
        </w:trPr>
        <w:tc>
          <w:tcPr>
            <w:tcW w:w="491" w:type="dxa"/>
            <w:vMerge/>
            <w:tcBorders>
              <w:top w:val="single" w:sz="4" w:space="0" w:color="auto"/>
              <w:left w:val="single" w:sz="12"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682" w:type="dxa"/>
            <w:vMerge/>
            <w:tcBorders>
              <w:top w:val="single" w:sz="4" w:space="0" w:color="auto"/>
              <w:left w:val="single" w:sz="4"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COD</w:t>
            </w:r>
          </w:p>
        </w:tc>
        <w:tc>
          <w:tcPr>
            <w:tcW w:w="1202"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45.2mg/L</w:t>
            </w:r>
          </w:p>
        </w:tc>
        <w:tc>
          <w:tcPr>
            <w:tcW w:w="1278"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38.3mg/L</w:t>
            </w:r>
          </w:p>
        </w:tc>
        <w:tc>
          <w:tcPr>
            <w:tcW w:w="127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rFonts w:hint="eastAsia"/>
                <w:color w:val="000000"/>
                <w:sz w:val="21"/>
                <w:szCs w:val="21"/>
              </w:rPr>
              <w:t>7.919</w:t>
            </w:r>
            <w:r>
              <w:rPr>
                <w:color w:val="000000"/>
                <w:sz w:val="21"/>
                <w:szCs w:val="21"/>
              </w:rPr>
              <w:t>t/a</w:t>
            </w:r>
          </w:p>
        </w:tc>
        <w:tc>
          <w:tcPr>
            <w:tcW w:w="869"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rFonts w:hint="eastAsia"/>
                <w:color w:val="000000"/>
                <w:sz w:val="21"/>
                <w:szCs w:val="21"/>
              </w:rPr>
              <w:t>2.709</w:t>
            </w:r>
            <w:r>
              <w:rPr>
                <w:color w:val="000000"/>
                <w:sz w:val="21"/>
                <w:szCs w:val="21"/>
              </w:rPr>
              <w:t>t/a</w:t>
            </w:r>
          </w:p>
        </w:tc>
        <w:tc>
          <w:tcPr>
            <w:tcW w:w="2644" w:type="dxa"/>
            <w:vMerge/>
            <w:tcBorders>
              <w:top w:val="single" w:sz="4" w:space="0" w:color="auto"/>
              <w:left w:val="single" w:sz="4" w:space="0" w:color="auto"/>
              <w:bottom w:val="single" w:sz="4" w:space="0" w:color="auto"/>
              <w:right w:val="single" w:sz="12" w:space="0" w:color="auto"/>
            </w:tcBorders>
            <w:vAlign w:val="center"/>
          </w:tcPr>
          <w:p w:rsidR="00D510BC" w:rsidRDefault="00D510BC" w:rsidP="002D538A">
            <w:pPr>
              <w:widowControl/>
              <w:jc w:val="left"/>
              <w:rPr>
                <w:color w:val="000000"/>
                <w:sz w:val="21"/>
                <w:szCs w:val="21"/>
              </w:rPr>
            </w:pPr>
          </w:p>
        </w:tc>
      </w:tr>
      <w:tr w:rsidR="00D510BC" w:rsidTr="00D33A63">
        <w:trPr>
          <w:jc w:val="center"/>
        </w:trPr>
        <w:tc>
          <w:tcPr>
            <w:tcW w:w="491" w:type="dxa"/>
            <w:vMerge/>
            <w:tcBorders>
              <w:top w:val="single" w:sz="4" w:space="0" w:color="auto"/>
              <w:left w:val="single" w:sz="12"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682" w:type="dxa"/>
            <w:vMerge/>
            <w:tcBorders>
              <w:top w:val="single" w:sz="4" w:space="0" w:color="auto"/>
              <w:left w:val="single" w:sz="4"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氨氮</w:t>
            </w:r>
          </w:p>
        </w:tc>
        <w:tc>
          <w:tcPr>
            <w:tcW w:w="1202"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0.523mg/L</w:t>
            </w:r>
          </w:p>
        </w:tc>
        <w:tc>
          <w:tcPr>
            <w:tcW w:w="1278"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0.314mg/L</w:t>
            </w:r>
          </w:p>
        </w:tc>
        <w:tc>
          <w:tcPr>
            <w:tcW w:w="127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0.</w:t>
            </w:r>
            <w:r>
              <w:rPr>
                <w:rFonts w:hint="eastAsia"/>
                <w:color w:val="000000"/>
                <w:sz w:val="21"/>
                <w:szCs w:val="21"/>
              </w:rPr>
              <w:t>091</w:t>
            </w:r>
            <w:r>
              <w:rPr>
                <w:color w:val="000000"/>
                <w:sz w:val="21"/>
                <w:szCs w:val="21"/>
              </w:rPr>
              <w:t>t/a</w:t>
            </w:r>
          </w:p>
        </w:tc>
        <w:tc>
          <w:tcPr>
            <w:tcW w:w="869"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0</w:t>
            </w:r>
            <w:r>
              <w:rPr>
                <w:rFonts w:hint="eastAsia"/>
                <w:color w:val="000000"/>
                <w:sz w:val="21"/>
                <w:szCs w:val="21"/>
              </w:rPr>
              <w:t>.022t</w:t>
            </w:r>
            <w:r>
              <w:rPr>
                <w:color w:val="000000"/>
                <w:sz w:val="21"/>
                <w:szCs w:val="21"/>
              </w:rPr>
              <w:t>/a</w:t>
            </w:r>
          </w:p>
        </w:tc>
        <w:tc>
          <w:tcPr>
            <w:tcW w:w="2644" w:type="dxa"/>
            <w:vMerge/>
            <w:tcBorders>
              <w:top w:val="single" w:sz="4" w:space="0" w:color="auto"/>
              <w:left w:val="single" w:sz="4" w:space="0" w:color="auto"/>
              <w:bottom w:val="single" w:sz="4" w:space="0" w:color="auto"/>
              <w:right w:val="single" w:sz="12" w:space="0" w:color="auto"/>
            </w:tcBorders>
            <w:vAlign w:val="center"/>
          </w:tcPr>
          <w:p w:rsidR="00D510BC" w:rsidRDefault="00D510BC" w:rsidP="002D538A">
            <w:pPr>
              <w:widowControl/>
              <w:jc w:val="left"/>
              <w:rPr>
                <w:color w:val="000000"/>
                <w:sz w:val="21"/>
                <w:szCs w:val="21"/>
              </w:rPr>
            </w:pPr>
          </w:p>
        </w:tc>
      </w:tr>
      <w:tr w:rsidR="00D510BC" w:rsidTr="00D33A63">
        <w:trPr>
          <w:jc w:val="center"/>
        </w:trPr>
        <w:tc>
          <w:tcPr>
            <w:tcW w:w="491" w:type="dxa"/>
            <w:vMerge/>
            <w:tcBorders>
              <w:top w:val="single" w:sz="4" w:space="0" w:color="auto"/>
              <w:left w:val="single" w:sz="12"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682" w:type="dxa"/>
            <w:vMerge/>
            <w:tcBorders>
              <w:top w:val="single" w:sz="4" w:space="0" w:color="auto"/>
              <w:left w:val="single" w:sz="4"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SS</w:t>
            </w:r>
          </w:p>
        </w:tc>
        <w:tc>
          <w:tcPr>
            <w:tcW w:w="1202"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15.5mg/L</w:t>
            </w:r>
          </w:p>
        </w:tc>
        <w:tc>
          <w:tcPr>
            <w:tcW w:w="1278"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7.3mg/L</w:t>
            </w:r>
          </w:p>
        </w:tc>
        <w:tc>
          <w:tcPr>
            <w:tcW w:w="127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2.716</w:t>
            </w:r>
            <w:r>
              <w:rPr>
                <w:rFonts w:hint="eastAsia"/>
                <w:color w:val="000000"/>
                <w:sz w:val="21"/>
                <w:szCs w:val="21"/>
              </w:rPr>
              <w:t>t</w:t>
            </w:r>
            <w:r>
              <w:rPr>
                <w:color w:val="000000"/>
                <w:sz w:val="21"/>
                <w:szCs w:val="21"/>
              </w:rPr>
              <w:t>/a</w:t>
            </w:r>
          </w:p>
        </w:tc>
        <w:tc>
          <w:tcPr>
            <w:tcW w:w="869"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0</w:t>
            </w:r>
            <w:r>
              <w:rPr>
                <w:rFonts w:hint="eastAsia"/>
                <w:color w:val="000000"/>
                <w:sz w:val="21"/>
                <w:szCs w:val="21"/>
              </w:rPr>
              <w:t>.516t</w:t>
            </w:r>
            <w:r>
              <w:rPr>
                <w:color w:val="000000"/>
                <w:sz w:val="21"/>
                <w:szCs w:val="21"/>
              </w:rPr>
              <w:t>/a</w:t>
            </w:r>
          </w:p>
        </w:tc>
        <w:tc>
          <w:tcPr>
            <w:tcW w:w="2644" w:type="dxa"/>
            <w:vMerge/>
            <w:tcBorders>
              <w:top w:val="single" w:sz="4" w:space="0" w:color="auto"/>
              <w:left w:val="single" w:sz="4" w:space="0" w:color="auto"/>
              <w:bottom w:val="single" w:sz="4" w:space="0" w:color="auto"/>
              <w:right w:val="single" w:sz="12" w:space="0" w:color="auto"/>
            </w:tcBorders>
            <w:vAlign w:val="center"/>
          </w:tcPr>
          <w:p w:rsidR="00D510BC" w:rsidRDefault="00D510BC" w:rsidP="002D538A">
            <w:pPr>
              <w:widowControl/>
              <w:jc w:val="left"/>
              <w:rPr>
                <w:color w:val="000000"/>
                <w:sz w:val="21"/>
                <w:szCs w:val="21"/>
              </w:rPr>
            </w:pPr>
          </w:p>
        </w:tc>
      </w:tr>
      <w:tr w:rsidR="00D510BC" w:rsidTr="00D33A63">
        <w:trPr>
          <w:jc w:val="center"/>
        </w:trPr>
        <w:tc>
          <w:tcPr>
            <w:tcW w:w="491" w:type="dxa"/>
            <w:vMerge/>
            <w:tcBorders>
              <w:top w:val="single" w:sz="4" w:space="0" w:color="auto"/>
              <w:left w:val="single" w:sz="12"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生活污水</w:t>
            </w:r>
          </w:p>
        </w:tc>
        <w:tc>
          <w:tcPr>
            <w:tcW w:w="85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废水量</w:t>
            </w:r>
          </w:p>
        </w:tc>
        <w:tc>
          <w:tcPr>
            <w:tcW w:w="1202"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p>
        </w:tc>
        <w:tc>
          <w:tcPr>
            <w:tcW w:w="127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rFonts w:hint="eastAsia"/>
                <w:color w:val="000000"/>
                <w:sz w:val="21"/>
                <w:szCs w:val="21"/>
              </w:rPr>
              <w:t>1.402</w:t>
            </w:r>
            <w:r>
              <w:rPr>
                <w:color w:val="000000"/>
                <w:sz w:val="21"/>
                <w:szCs w:val="21"/>
              </w:rPr>
              <w:t>5</w:t>
            </w:r>
            <w:r>
              <w:rPr>
                <w:color w:val="000000"/>
                <w:sz w:val="21"/>
                <w:szCs w:val="21"/>
              </w:rPr>
              <w:t>万</w:t>
            </w:r>
            <w:r>
              <w:rPr>
                <w:color w:val="000000"/>
                <w:sz w:val="21"/>
                <w:szCs w:val="21"/>
              </w:rPr>
              <w:t>m</w:t>
            </w:r>
            <w:r>
              <w:rPr>
                <w:color w:val="000000"/>
                <w:sz w:val="21"/>
                <w:szCs w:val="21"/>
                <w:vertAlign w:val="superscript"/>
              </w:rPr>
              <w:t>3</w:t>
            </w:r>
            <w:r>
              <w:rPr>
                <w:color w:val="000000"/>
                <w:sz w:val="21"/>
                <w:szCs w:val="21"/>
              </w:rPr>
              <w:t>/a</w:t>
            </w:r>
          </w:p>
        </w:tc>
        <w:tc>
          <w:tcPr>
            <w:tcW w:w="869"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0</w:t>
            </w:r>
          </w:p>
        </w:tc>
        <w:tc>
          <w:tcPr>
            <w:tcW w:w="2644" w:type="dxa"/>
            <w:vMerge w:val="restart"/>
            <w:tcBorders>
              <w:top w:val="single" w:sz="4" w:space="0" w:color="auto"/>
              <w:left w:val="single" w:sz="4" w:space="0" w:color="auto"/>
              <w:bottom w:val="single" w:sz="4" w:space="0" w:color="auto"/>
              <w:right w:val="single" w:sz="12" w:space="0" w:color="auto"/>
            </w:tcBorders>
            <w:vAlign w:val="center"/>
          </w:tcPr>
          <w:p w:rsidR="00D510BC" w:rsidRDefault="00D510BC" w:rsidP="002D538A">
            <w:pPr>
              <w:spacing w:line="280" w:lineRule="exact"/>
              <w:jc w:val="center"/>
              <w:rPr>
                <w:color w:val="FF0000"/>
                <w:sz w:val="21"/>
                <w:szCs w:val="21"/>
                <w:highlight w:val="yellow"/>
              </w:rPr>
            </w:pPr>
            <w:r>
              <w:rPr>
                <w:color w:val="000000"/>
                <w:sz w:val="21"/>
                <w:szCs w:val="21"/>
              </w:rPr>
              <w:t>生活污水经一体化综合处理设备处理达标后</w:t>
            </w:r>
            <w:r>
              <w:rPr>
                <w:rFonts w:hint="eastAsia"/>
                <w:color w:val="000000"/>
                <w:sz w:val="21"/>
                <w:szCs w:val="21"/>
              </w:rPr>
              <w:t>全部综合利用，不外排</w:t>
            </w:r>
            <w:r>
              <w:rPr>
                <w:color w:val="000000"/>
                <w:sz w:val="21"/>
                <w:szCs w:val="21"/>
              </w:rPr>
              <w:t>。</w:t>
            </w:r>
          </w:p>
        </w:tc>
      </w:tr>
      <w:tr w:rsidR="00D510BC" w:rsidTr="00D33A63">
        <w:trPr>
          <w:jc w:val="center"/>
        </w:trPr>
        <w:tc>
          <w:tcPr>
            <w:tcW w:w="491" w:type="dxa"/>
            <w:vMerge/>
            <w:tcBorders>
              <w:top w:val="single" w:sz="4" w:space="0" w:color="auto"/>
              <w:left w:val="single" w:sz="12"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682" w:type="dxa"/>
            <w:vMerge/>
            <w:tcBorders>
              <w:top w:val="single" w:sz="4" w:space="0" w:color="auto"/>
              <w:left w:val="single" w:sz="4"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COD</w:t>
            </w:r>
          </w:p>
        </w:tc>
        <w:tc>
          <w:tcPr>
            <w:tcW w:w="1202"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128.3mg/L</w:t>
            </w:r>
          </w:p>
        </w:tc>
        <w:tc>
          <w:tcPr>
            <w:tcW w:w="1278"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66.3mg/L</w:t>
            </w:r>
          </w:p>
        </w:tc>
        <w:tc>
          <w:tcPr>
            <w:tcW w:w="127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rFonts w:hint="eastAsia"/>
                <w:color w:val="000000"/>
                <w:sz w:val="21"/>
                <w:szCs w:val="21"/>
              </w:rPr>
              <w:t>1.799</w:t>
            </w:r>
            <w:r>
              <w:rPr>
                <w:color w:val="000000"/>
                <w:sz w:val="21"/>
                <w:szCs w:val="21"/>
              </w:rPr>
              <w:t>t/a</w:t>
            </w:r>
          </w:p>
        </w:tc>
        <w:tc>
          <w:tcPr>
            <w:tcW w:w="869"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0</w:t>
            </w:r>
          </w:p>
        </w:tc>
        <w:tc>
          <w:tcPr>
            <w:tcW w:w="2644" w:type="dxa"/>
            <w:vMerge/>
            <w:tcBorders>
              <w:top w:val="single" w:sz="4" w:space="0" w:color="auto"/>
              <w:left w:val="single" w:sz="4" w:space="0" w:color="auto"/>
              <w:bottom w:val="single" w:sz="4" w:space="0" w:color="auto"/>
              <w:right w:val="single" w:sz="12" w:space="0" w:color="auto"/>
            </w:tcBorders>
            <w:vAlign w:val="center"/>
          </w:tcPr>
          <w:p w:rsidR="00D510BC" w:rsidRDefault="00D510BC" w:rsidP="002D538A">
            <w:pPr>
              <w:widowControl/>
              <w:jc w:val="left"/>
              <w:rPr>
                <w:color w:val="FF0000"/>
                <w:sz w:val="21"/>
                <w:szCs w:val="21"/>
                <w:highlight w:val="yellow"/>
              </w:rPr>
            </w:pPr>
          </w:p>
        </w:tc>
      </w:tr>
      <w:tr w:rsidR="00D510BC" w:rsidTr="00D33A63">
        <w:trPr>
          <w:jc w:val="center"/>
        </w:trPr>
        <w:tc>
          <w:tcPr>
            <w:tcW w:w="491" w:type="dxa"/>
            <w:vMerge/>
            <w:tcBorders>
              <w:top w:val="single" w:sz="4" w:space="0" w:color="auto"/>
              <w:left w:val="single" w:sz="12"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682" w:type="dxa"/>
            <w:vMerge/>
            <w:tcBorders>
              <w:top w:val="single" w:sz="4" w:space="0" w:color="auto"/>
              <w:left w:val="single" w:sz="4" w:space="0" w:color="auto"/>
              <w:bottom w:val="single" w:sz="4" w:space="0" w:color="auto"/>
              <w:right w:val="single" w:sz="4" w:space="0" w:color="auto"/>
            </w:tcBorders>
            <w:vAlign w:val="center"/>
          </w:tcPr>
          <w:p w:rsidR="00D510BC" w:rsidRDefault="00D510BC" w:rsidP="002D538A">
            <w:pPr>
              <w:widowControl/>
              <w:jc w:val="left"/>
              <w:rPr>
                <w:color w:val="000000"/>
                <w:sz w:val="21"/>
                <w:szCs w:val="21"/>
              </w:rPr>
            </w:pPr>
          </w:p>
        </w:tc>
        <w:tc>
          <w:tcPr>
            <w:tcW w:w="85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氨氮</w:t>
            </w:r>
          </w:p>
        </w:tc>
        <w:tc>
          <w:tcPr>
            <w:tcW w:w="1202"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14.1mg/L</w:t>
            </w:r>
          </w:p>
        </w:tc>
        <w:tc>
          <w:tcPr>
            <w:tcW w:w="1278"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8.41mg/L</w:t>
            </w:r>
          </w:p>
        </w:tc>
        <w:tc>
          <w:tcPr>
            <w:tcW w:w="1277"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0.</w:t>
            </w:r>
            <w:r>
              <w:rPr>
                <w:rFonts w:hint="eastAsia"/>
                <w:color w:val="000000"/>
                <w:sz w:val="21"/>
                <w:szCs w:val="21"/>
              </w:rPr>
              <w:t>198</w:t>
            </w:r>
            <w:r>
              <w:rPr>
                <w:color w:val="000000"/>
                <w:sz w:val="21"/>
                <w:szCs w:val="21"/>
              </w:rPr>
              <w:t>t/a</w:t>
            </w:r>
          </w:p>
        </w:tc>
        <w:tc>
          <w:tcPr>
            <w:tcW w:w="869" w:type="dxa"/>
            <w:tcBorders>
              <w:top w:val="single" w:sz="4" w:space="0" w:color="auto"/>
              <w:left w:val="single" w:sz="4" w:space="0" w:color="auto"/>
              <w:bottom w:val="single" w:sz="4" w:space="0" w:color="auto"/>
              <w:right w:val="single" w:sz="4" w:space="0" w:color="auto"/>
            </w:tcBorders>
            <w:vAlign w:val="center"/>
          </w:tcPr>
          <w:p w:rsidR="00D510BC" w:rsidRDefault="00D510BC" w:rsidP="002D538A">
            <w:pPr>
              <w:spacing w:line="280" w:lineRule="exact"/>
              <w:jc w:val="center"/>
              <w:rPr>
                <w:color w:val="000000"/>
                <w:sz w:val="21"/>
                <w:szCs w:val="21"/>
              </w:rPr>
            </w:pPr>
            <w:r>
              <w:rPr>
                <w:color w:val="000000"/>
                <w:sz w:val="21"/>
                <w:szCs w:val="21"/>
              </w:rPr>
              <w:t>0</w:t>
            </w:r>
          </w:p>
        </w:tc>
        <w:tc>
          <w:tcPr>
            <w:tcW w:w="2644" w:type="dxa"/>
            <w:vMerge/>
            <w:tcBorders>
              <w:top w:val="single" w:sz="4" w:space="0" w:color="auto"/>
              <w:left w:val="single" w:sz="4" w:space="0" w:color="auto"/>
              <w:bottom w:val="single" w:sz="4" w:space="0" w:color="auto"/>
              <w:right w:val="single" w:sz="12" w:space="0" w:color="auto"/>
            </w:tcBorders>
            <w:vAlign w:val="center"/>
          </w:tcPr>
          <w:p w:rsidR="00D510BC" w:rsidRDefault="00D510BC" w:rsidP="002D538A">
            <w:pPr>
              <w:widowControl/>
              <w:jc w:val="left"/>
              <w:rPr>
                <w:color w:val="FF0000"/>
                <w:sz w:val="21"/>
                <w:szCs w:val="21"/>
                <w:highlight w:val="yellow"/>
              </w:rPr>
            </w:pPr>
          </w:p>
        </w:tc>
      </w:tr>
      <w:tr w:rsidR="00281A8C" w:rsidTr="00281A8C">
        <w:trPr>
          <w:jc w:val="center"/>
        </w:trPr>
        <w:tc>
          <w:tcPr>
            <w:tcW w:w="491" w:type="dxa"/>
            <w:tcBorders>
              <w:top w:val="single" w:sz="4" w:space="0" w:color="auto"/>
              <w:left w:val="single" w:sz="12" w:space="0" w:color="auto"/>
              <w:bottom w:val="single" w:sz="4" w:space="0" w:color="auto"/>
              <w:right w:val="single" w:sz="4" w:space="0" w:color="auto"/>
            </w:tcBorders>
            <w:vAlign w:val="center"/>
          </w:tcPr>
          <w:p w:rsidR="00281A8C" w:rsidRPr="00281A8C" w:rsidRDefault="00281A8C" w:rsidP="002D538A">
            <w:pPr>
              <w:spacing w:line="280" w:lineRule="exact"/>
              <w:jc w:val="center"/>
              <w:rPr>
                <w:color w:val="000000"/>
                <w:sz w:val="21"/>
                <w:szCs w:val="21"/>
              </w:rPr>
            </w:pPr>
            <w:r w:rsidRPr="00281A8C">
              <w:rPr>
                <w:color w:val="000000"/>
                <w:sz w:val="21"/>
                <w:szCs w:val="21"/>
              </w:rPr>
              <w:t>废气</w:t>
            </w:r>
          </w:p>
        </w:tc>
        <w:tc>
          <w:tcPr>
            <w:tcW w:w="682" w:type="dxa"/>
            <w:tcBorders>
              <w:top w:val="single" w:sz="4" w:space="0" w:color="auto"/>
              <w:left w:val="single" w:sz="4" w:space="0" w:color="auto"/>
              <w:bottom w:val="single" w:sz="4" w:space="0" w:color="auto"/>
              <w:right w:val="single" w:sz="4" w:space="0" w:color="auto"/>
            </w:tcBorders>
            <w:vAlign w:val="center"/>
          </w:tcPr>
          <w:p w:rsidR="00281A8C" w:rsidRPr="00281A8C" w:rsidRDefault="00281A8C" w:rsidP="002D538A">
            <w:pPr>
              <w:spacing w:line="280" w:lineRule="exact"/>
              <w:jc w:val="center"/>
              <w:rPr>
                <w:color w:val="000000"/>
                <w:sz w:val="21"/>
                <w:szCs w:val="21"/>
              </w:rPr>
            </w:pPr>
            <w:r w:rsidRPr="00281A8C">
              <w:rPr>
                <w:color w:val="000000"/>
                <w:sz w:val="21"/>
                <w:szCs w:val="21"/>
              </w:rPr>
              <w:t>储煤库扬尘</w:t>
            </w:r>
          </w:p>
        </w:tc>
        <w:tc>
          <w:tcPr>
            <w:tcW w:w="857" w:type="dxa"/>
            <w:tcBorders>
              <w:top w:val="single" w:sz="4" w:space="0" w:color="auto"/>
              <w:left w:val="single" w:sz="4" w:space="0" w:color="auto"/>
              <w:bottom w:val="single" w:sz="4" w:space="0" w:color="auto"/>
              <w:right w:val="single" w:sz="4" w:space="0" w:color="auto"/>
            </w:tcBorders>
            <w:vAlign w:val="center"/>
          </w:tcPr>
          <w:p w:rsidR="00281A8C" w:rsidRPr="00281A8C" w:rsidRDefault="00281A8C" w:rsidP="002D538A">
            <w:pPr>
              <w:spacing w:line="280" w:lineRule="exact"/>
              <w:jc w:val="center"/>
              <w:rPr>
                <w:sz w:val="21"/>
                <w:szCs w:val="21"/>
              </w:rPr>
            </w:pPr>
            <w:r w:rsidRPr="00281A8C">
              <w:rPr>
                <w:sz w:val="21"/>
                <w:szCs w:val="21"/>
              </w:rPr>
              <w:t>颗粒物</w:t>
            </w:r>
          </w:p>
        </w:tc>
        <w:tc>
          <w:tcPr>
            <w:tcW w:w="1202" w:type="dxa"/>
            <w:tcBorders>
              <w:top w:val="single" w:sz="4" w:space="0" w:color="auto"/>
              <w:left w:val="single" w:sz="4" w:space="0" w:color="auto"/>
              <w:bottom w:val="single" w:sz="4" w:space="0" w:color="auto"/>
              <w:right w:val="single" w:sz="4" w:space="0" w:color="auto"/>
            </w:tcBorders>
            <w:vAlign w:val="center"/>
          </w:tcPr>
          <w:p w:rsidR="00281A8C" w:rsidRPr="00281A8C" w:rsidRDefault="00281A8C" w:rsidP="002D538A">
            <w:pPr>
              <w:spacing w:line="280" w:lineRule="exact"/>
              <w:jc w:val="center"/>
              <w:rPr>
                <w:sz w:val="21"/>
                <w:szCs w:val="21"/>
              </w:rPr>
            </w:pPr>
            <w:r w:rsidRPr="00281A8C">
              <w:rPr>
                <w:sz w:val="21"/>
                <w:szCs w:val="21"/>
              </w:rPr>
              <w:t>--</w:t>
            </w:r>
          </w:p>
        </w:tc>
        <w:tc>
          <w:tcPr>
            <w:tcW w:w="1278" w:type="dxa"/>
            <w:tcBorders>
              <w:top w:val="single" w:sz="4" w:space="0" w:color="auto"/>
              <w:left w:val="single" w:sz="4" w:space="0" w:color="auto"/>
              <w:bottom w:val="single" w:sz="4" w:space="0" w:color="auto"/>
              <w:right w:val="single" w:sz="4" w:space="0" w:color="auto"/>
            </w:tcBorders>
            <w:vAlign w:val="center"/>
          </w:tcPr>
          <w:p w:rsidR="00281A8C" w:rsidRPr="00281A8C" w:rsidRDefault="00281A8C" w:rsidP="002D538A">
            <w:pPr>
              <w:spacing w:line="280" w:lineRule="exact"/>
              <w:jc w:val="center"/>
              <w:rPr>
                <w:sz w:val="21"/>
                <w:szCs w:val="21"/>
              </w:rPr>
            </w:pPr>
            <w:r w:rsidRPr="00281A8C">
              <w:rPr>
                <w:sz w:val="21"/>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rsidR="00281A8C" w:rsidRDefault="00281A8C" w:rsidP="00A11E34">
            <w:pPr>
              <w:spacing w:line="280" w:lineRule="exact"/>
              <w:jc w:val="center"/>
              <w:rPr>
                <w:sz w:val="21"/>
                <w:szCs w:val="21"/>
              </w:rPr>
            </w:pPr>
            <w:r>
              <w:rPr>
                <w:rFonts w:hint="eastAsia"/>
                <w:sz w:val="21"/>
                <w:szCs w:val="21"/>
              </w:rPr>
              <w:t>13.2t/a</w:t>
            </w:r>
          </w:p>
        </w:tc>
        <w:tc>
          <w:tcPr>
            <w:tcW w:w="869" w:type="dxa"/>
            <w:tcBorders>
              <w:top w:val="single" w:sz="4" w:space="0" w:color="auto"/>
              <w:left w:val="single" w:sz="4" w:space="0" w:color="auto"/>
              <w:bottom w:val="single" w:sz="4" w:space="0" w:color="auto"/>
              <w:right w:val="single" w:sz="4" w:space="0" w:color="auto"/>
            </w:tcBorders>
            <w:vAlign w:val="center"/>
          </w:tcPr>
          <w:p w:rsidR="00281A8C" w:rsidRDefault="00281A8C" w:rsidP="00A11E34">
            <w:pPr>
              <w:spacing w:line="280" w:lineRule="exact"/>
              <w:jc w:val="center"/>
              <w:rPr>
                <w:sz w:val="21"/>
                <w:szCs w:val="21"/>
              </w:rPr>
            </w:pPr>
            <w:r>
              <w:rPr>
                <w:rFonts w:hint="eastAsia"/>
                <w:sz w:val="21"/>
                <w:szCs w:val="21"/>
              </w:rPr>
              <w:t>1.32t/a</w:t>
            </w:r>
          </w:p>
        </w:tc>
        <w:tc>
          <w:tcPr>
            <w:tcW w:w="2644" w:type="dxa"/>
            <w:tcBorders>
              <w:top w:val="single" w:sz="4" w:space="0" w:color="auto"/>
              <w:left w:val="single" w:sz="4" w:space="0" w:color="auto"/>
              <w:bottom w:val="single" w:sz="4" w:space="0" w:color="auto"/>
              <w:right w:val="single" w:sz="12" w:space="0" w:color="auto"/>
            </w:tcBorders>
            <w:vAlign w:val="center"/>
          </w:tcPr>
          <w:p w:rsidR="00281A8C" w:rsidRDefault="00281A8C" w:rsidP="002D538A">
            <w:pPr>
              <w:spacing w:line="280" w:lineRule="exact"/>
              <w:jc w:val="center"/>
              <w:rPr>
                <w:sz w:val="21"/>
                <w:szCs w:val="21"/>
              </w:rPr>
            </w:pPr>
            <w:r>
              <w:rPr>
                <w:sz w:val="21"/>
                <w:szCs w:val="21"/>
              </w:rPr>
              <w:t>储煤库全封闭，且落煤处设置洒水喷头</w:t>
            </w:r>
            <w:r>
              <w:rPr>
                <w:sz w:val="21"/>
                <w:szCs w:val="21"/>
              </w:rPr>
              <w:t>1</w:t>
            </w:r>
            <w:r>
              <w:rPr>
                <w:sz w:val="21"/>
                <w:szCs w:val="21"/>
              </w:rPr>
              <w:t>个，并在储煤库四周安装自动洒水喷头进行洒水降尘</w:t>
            </w:r>
          </w:p>
        </w:tc>
      </w:tr>
      <w:tr w:rsidR="00281A8C" w:rsidTr="00B92815">
        <w:trPr>
          <w:trHeight w:val="553"/>
          <w:jc w:val="center"/>
        </w:trPr>
        <w:tc>
          <w:tcPr>
            <w:tcW w:w="491" w:type="dxa"/>
            <w:vMerge w:val="restart"/>
            <w:tcBorders>
              <w:top w:val="single" w:sz="4" w:space="0" w:color="auto"/>
              <w:left w:val="single" w:sz="12"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固废</w:t>
            </w:r>
          </w:p>
        </w:tc>
        <w:tc>
          <w:tcPr>
            <w:tcW w:w="1539" w:type="dxa"/>
            <w:gridSpan w:val="2"/>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生产期煤矸石</w:t>
            </w:r>
          </w:p>
        </w:tc>
        <w:tc>
          <w:tcPr>
            <w:tcW w:w="1202" w:type="dxa"/>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w:t>
            </w:r>
          </w:p>
        </w:tc>
        <w:tc>
          <w:tcPr>
            <w:tcW w:w="1278" w:type="dxa"/>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1.2</w:t>
            </w:r>
            <w:r>
              <w:rPr>
                <w:color w:val="000000"/>
                <w:sz w:val="21"/>
                <w:szCs w:val="21"/>
              </w:rPr>
              <w:t>万</w:t>
            </w:r>
            <w:r>
              <w:rPr>
                <w:color w:val="000000"/>
                <w:sz w:val="21"/>
                <w:szCs w:val="21"/>
              </w:rPr>
              <w:t>t/a</w:t>
            </w:r>
          </w:p>
        </w:tc>
        <w:tc>
          <w:tcPr>
            <w:tcW w:w="869" w:type="dxa"/>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0</w:t>
            </w:r>
          </w:p>
        </w:tc>
        <w:tc>
          <w:tcPr>
            <w:tcW w:w="2644" w:type="dxa"/>
            <w:tcBorders>
              <w:top w:val="single" w:sz="4" w:space="0" w:color="auto"/>
              <w:left w:val="single" w:sz="4" w:space="0" w:color="auto"/>
              <w:bottom w:val="single" w:sz="4" w:space="0" w:color="auto"/>
              <w:right w:val="single" w:sz="12" w:space="0" w:color="auto"/>
            </w:tcBorders>
            <w:vAlign w:val="center"/>
          </w:tcPr>
          <w:p w:rsidR="00281A8C" w:rsidRDefault="00281A8C" w:rsidP="00D33A63">
            <w:pPr>
              <w:spacing w:line="280" w:lineRule="exact"/>
              <w:jc w:val="center"/>
              <w:rPr>
                <w:color w:val="000000"/>
                <w:sz w:val="21"/>
                <w:szCs w:val="21"/>
              </w:rPr>
            </w:pPr>
            <w:r>
              <w:rPr>
                <w:color w:val="000000"/>
                <w:sz w:val="21"/>
                <w:szCs w:val="21"/>
              </w:rPr>
              <w:t>运往矸石砖厂综合利用</w:t>
            </w:r>
          </w:p>
        </w:tc>
      </w:tr>
      <w:tr w:rsidR="00281A8C" w:rsidTr="00D33A63">
        <w:trPr>
          <w:jc w:val="center"/>
        </w:trPr>
        <w:tc>
          <w:tcPr>
            <w:tcW w:w="491" w:type="dxa"/>
            <w:vMerge/>
            <w:tcBorders>
              <w:top w:val="single" w:sz="4" w:space="0" w:color="auto"/>
              <w:left w:val="single" w:sz="12" w:space="0" w:color="auto"/>
              <w:bottom w:val="single" w:sz="4" w:space="0" w:color="auto"/>
              <w:right w:val="single" w:sz="4" w:space="0" w:color="auto"/>
            </w:tcBorders>
            <w:vAlign w:val="center"/>
          </w:tcPr>
          <w:p w:rsidR="00281A8C" w:rsidRDefault="00281A8C" w:rsidP="002D538A">
            <w:pPr>
              <w:widowControl/>
              <w:jc w:val="left"/>
              <w:rPr>
                <w:color w:val="000000"/>
                <w:sz w:val="21"/>
                <w:szCs w:val="21"/>
              </w:rPr>
            </w:pPr>
          </w:p>
        </w:tc>
        <w:tc>
          <w:tcPr>
            <w:tcW w:w="1539" w:type="dxa"/>
            <w:gridSpan w:val="2"/>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生活垃圾</w:t>
            </w:r>
          </w:p>
        </w:tc>
        <w:tc>
          <w:tcPr>
            <w:tcW w:w="1202" w:type="dxa"/>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w:t>
            </w:r>
          </w:p>
        </w:tc>
        <w:tc>
          <w:tcPr>
            <w:tcW w:w="1278" w:type="dxa"/>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w:t>
            </w:r>
          </w:p>
        </w:tc>
        <w:tc>
          <w:tcPr>
            <w:tcW w:w="1277" w:type="dxa"/>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rFonts w:hint="eastAsia"/>
                <w:color w:val="000000"/>
                <w:sz w:val="21"/>
                <w:szCs w:val="21"/>
              </w:rPr>
              <w:t>9</w:t>
            </w:r>
            <w:r>
              <w:rPr>
                <w:color w:val="000000"/>
                <w:sz w:val="21"/>
                <w:szCs w:val="21"/>
              </w:rPr>
              <w:t>9t/a</w:t>
            </w:r>
          </w:p>
        </w:tc>
        <w:tc>
          <w:tcPr>
            <w:tcW w:w="869" w:type="dxa"/>
            <w:tcBorders>
              <w:top w:val="single" w:sz="4" w:space="0" w:color="auto"/>
              <w:left w:val="single" w:sz="4" w:space="0" w:color="auto"/>
              <w:bottom w:val="single" w:sz="4" w:space="0" w:color="auto"/>
              <w:right w:val="single" w:sz="4" w:space="0" w:color="auto"/>
            </w:tcBorders>
            <w:vAlign w:val="center"/>
          </w:tcPr>
          <w:p w:rsidR="00281A8C" w:rsidRDefault="00281A8C" w:rsidP="002D538A">
            <w:pPr>
              <w:spacing w:line="280" w:lineRule="exact"/>
              <w:jc w:val="center"/>
              <w:rPr>
                <w:color w:val="000000"/>
                <w:sz w:val="21"/>
                <w:szCs w:val="21"/>
              </w:rPr>
            </w:pPr>
            <w:r>
              <w:rPr>
                <w:rFonts w:hint="eastAsia"/>
                <w:color w:val="000000"/>
                <w:sz w:val="21"/>
                <w:szCs w:val="21"/>
              </w:rPr>
              <w:t>0</w:t>
            </w:r>
          </w:p>
        </w:tc>
        <w:tc>
          <w:tcPr>
            <w:tcW w:w="2644" w:type="dxa"/>
            <w:tcBorders>
              <w:top w:val="single" w:sz="4" w:space="0" w:color="auto"/>
              <w:left w:val="single" w:sz="4" w:space="0" w:color="auto"/>
              <w:bottom w:val="single" w:sz="4" w:space="0" w:color="auto"/>
              <w:right w:val="single" w:sz="12" w:space="0" w:color="auto"/>
            </w:tcBorders>
            <w:vAlign w:val="center"/>
          </w:tcPr>
          <w:p w:rsidR="00281A8C" w:rsidRDefault="00281A8C" w:rsidP="000B7B82">
            <w:pPr>
              <w:spacing w:line="280" w:lineRule="exact"/>
              <w:jc w:val="center"/>
              <w:rPr>
                <w:color w:val="000000"/>
                <w:sz w:val="21"/>
                <w:szCs w:val="21"/>
              </w:rPr>
            </w:pPr>
            <w:r>
              <w:rPr>
                <w:color w:val="000000"/>
                <w:sz w:val="21"/>
                <w:szCs w:val="21"/>
              </w:rPr>
              <w:t>统一收集后运至鸠山镇垃圾中转站</w:t>
            </w:r>
            <w:r>
              <w:rPr>
                <w:rFonts w:hint="eastAsia"/>
                <w:color w:val="000000"/>
                <w:sz w:val="21"/>
                <w:szCs w:val="21"/>
              </w:rPr>
              <w:t>安全</w:t>
            </w:r>
            <w:r>
              <w:rPr>
                <w:color w:val="000000"/>
                <w:sz w:val="21"/>
                <w:szCs w:val="21"/>
              </w:rPr>
              <w:t>处置</w:t>
            </w:r>
          </w:p>
        </w:tc>
      </w:tr>
      <w:tr w:rsidR="00281A8C" w:rsidTr="00D33A63">
        <w:trPr>
          <w:jc w:val="center"/>
        </w:trPr>
        <w:tc>
          <w:tcPr>
            <w:tcW w:w="491" w:type="dxa"/>
            <w:tcBorders>
              <w:top w:val="single" w:sz="4" w:space="0" w:color="auto"/>
              <w:left w:val="single" w:sz="12" w:space="0" w:color="auto"/>
              <w:bottom w:val="single" w:sz="12"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噪声</w:t>
            </w:r>
          </w:p>
        </w:tc>
        <w:tc>
          <w:tcPr>
            <w:tcW w:w="1539" w:type="dxa"/>
            <w:gridSpan w:val="2"/>
            <w:tcBorders>
              <w:top w:val="single" w:sz="4" w:space="0" w:color="auto"/>
              <w:left w:val="single" w:sz="4" w:space="0" w:color="auto"/>
              <w:bottom w:val="single" w:sz="12"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高噪声设备</w:t>
            </w:r>
          </w:p>
        </w:tc>
        <w:tc>
          <w:tcPr>
            <w:tcW w:w="1202" w:type="dxa"/>
            <w:tcBorders>
              <w:top w:val="single" w:sz="4" w:space="0" w:color="auto"/>
              <w:left w:val="single" w:sz="4" w:space="0" w:color="auto"/>
              <w:bottom w:val="single" w:sz="12"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75</w:t>
            </w:r>
            <w:r>
              <w:rPr>
                <w:color w:val="000000"/>
                <w:sz w:val="21"/>
                <w:szCs w:val="21"/>
              </w:rPr>
              <w:t>～</w:t>
            </w:r>
            <w:r>
              <w:rPr>
                <w:color w:val="000000"/>
                <w:sz w:val="21"/>
                <w:szCs w:val="21"/>
              </w:rPr>
              <w:t>96dB</w:t>
            </w:r>
            <w:r>
              <w:rPr>
                <w:color w:val="000000"/>
                <w:sz w:val="21"/>
                <w:szCs w:val="21"/>
              </w:rPr>
              <w:t>（</w:t>
            </w:r>
            <w:r>
              <w:rPr>
                <w:color w:val="000000"/>
                <w:sz w:val="21"/>
                <w:szCs w:val="21"/>
              </w:rPr>
              <w:t>A</w:t>
            </w:r>
            <w:r>
              <w:rPr>
                <w:color w:val="000000"/>
                <w:sz w:val="21"/>
                <w:szCs w:val="21"/>
              </w:rPr>
              <w:t>）</w:t>
            </w:r>
          </w:p>
        </w:tc>
        <w:tc>
          <w:tcPr>
            <w:tcW w:w="1278" w:type="dxa"/>
            <w:tcBorders>
              <w:top w:val="single" w:sz="4" w:space="0" w:color="auto"/>
              <w:left w:val="single" w:sz="4" w:space="0" w:color="auto"/>
              <w:bottom w:val="single" w:sz="12"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60</w:t>
            </w:r>
            <w:r>
              <w:rPr>
                <w:color w:val="000000"/>
                <w:sz w:val="21"/>
                <w:szCs w:val="21"/>
              </w:rPr>
              <w:t>～</w:t>
            </w:r>
            <w:r>
              <w:rPr>
                <w:color w:val="000000"/>
                <w:sz w:val="21"/>
                <w:szCs w:val="21"/>
              </w:rPr>
              <w:t>81dB</w:t>
            </w:r>
            <w:r>
              <w:rPr>
                <w:color w:val="000000"/>
                <w:sz w:val="21"/>
                <w:szCs w:val="21"/>
              </w:rPr>
              <w:t>（</w:t>
            </w:r>
            <w:r>
              <w:rPr>
                <w:color w:val="000000"/>
                <w:sz w:val="21"/>
                <w:szCs w:val="21"/>
              </w:rPr>
              <w:t>A</w:t>
            </w:r>
            <w:r>
              <w:rPr>
                <w:color w:val="000000"/>
                <w:sz w:val="21"/>
                <w:szCs w:val="21"/>
              </w:rPr>
              <w:t>）</w:t>
            </w:r>
          </w:p>
        </w:tc>
        <w:tc>
          <w:tcPr>
            <w:tcW w:w="1277" w:type="dxa"/>
            <w:tcBorders>
              <w:top w:val="single" w:sz="4" w:space="0" w:color="auto"/>
              <w:left w:val="single" w:sz="4" w:space="0" w:color="auto"/>
              <w:bottom w:val="single" w:sz="12"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w:t>
            </w:r>
          </w:p>
        </w:tc>
        <w:tc>
          <w:tcPr>
            <w:tcW w:w="869" w:type="dxa"/>
            <w:tcBorders>
              <w:top w:val="single" w:sz="4" w:space="0" w:color="auto"/>
              <w:left w:val="single" w:sz="4" w:space="0" w:color="auto"/>
              <w:bottom w:val="single" w:sz="12" w:space="0" w:color="auto"/>
              <w:right w:val="single" w:sz="4" w:space="0" w:color="auto"/>
            </w:tcBorders>
            <w:vAlign w:val="center"/>
          </w:tcPr>
          <w:p w:rsidR="00281A8C" w:rsidRDefault="00281A8C" w:rsidP="002D538A">
            <w:pPr>
              <w:spacing w:line="280" w:lineRule="exact"/>
              <w:jc w:val="center"/>
              <w:rPr>
                <w:color w:val="000000"/>
                <w:sz w:val="21"/>
                <w:szCs w:val="21"/>
              </w:rPr>
            </w:pPr>
            <w:r>
              <w:rPr>
                <w:color w:val="000000"/>
                <w:sz w:val="21"/>
                <w:szCs w:val="21"/>
              </w:rPr>
              <w:t>-</w:t>
            </w:r>
          </w:p>
        </w:tc>
        <w:tc>
          <w:tcPr>
            <w:tcW w:w="2644" w:type="dxa"/>
            <w:tcBorders>
              <w:top w:val="single" w:sz="4" w:space="0" w:color="auto"/>
              <w:left w:val="single" w:sz="4" w:space="0" w:color="auto"/>
              <w:bottom w:val="single" w:sz="12" w:space="0" w:color="auto"/>
              <w:right w:val="single" w:sz="12" w:space="0" w:color="auto"/>
            </w:tcBorders>
            <w:vAlign w:val="center"/>
          </w:tcPr>
          <w:p w:rsidR="00281A8C" w:rsidRDefault="00281A8C" w:rsidP="002D538A">
            <w:pPr>
              <w:spacing w:line="280" w:lineRule="exact"/>
              <w:rPr>
                <w:color w:val="000000"/>
                <w:sz w:val="21"/>
                <w:szCs w:val="21"/>
              </w:rPr>
            </w:pPr>
            <w:r>
              <w:rPr>
                <w:color w:val="000000"/>
                <w:sz w:val="21"/>
                <w:szCs w:val="21"/>
              </w:rPr>
              <w:t>采用低噪声设备，并采取隔声、减振、消声、绿化等降噪措施</w:t>
            </w:r>
          </w:p>
        </w:tc>
      </w:tr>
    </w:tbl>
    <w:p w:rsidR="007D63D9" w:rsidRDefault="007D63D9" w:rsidP="007D63D9">
      <w:bookmarkStart w:id="301" w:name="_Toc79668651"/>
      <w:r>
        <w:br w:type="page"/>
      </w:r>
    </w:p>
    <w:p w:rsidR="00240BCE" w:rsidRDefault="00AC0334" w:rsidP="009C5F33">
      <w:pPr>
        <w:pStyle w:val="30"/>
        <w:adjustRightInd w:val="0"/>
        <w:snapToGrid w:val="0"/>
        <w:spacing w:beforeLines="70" w:afterLines="30" w:line="240" w:lineRule="auto"/>
        <w:jc w:val="left"/>
        <w:rPr>
          <w:rFonts w:eastAsia="楷体"/>
          <w:sz w:val="28"/>
          <w:szCs w:val="28"/>
        </w:rPr>
      </w:pPr>
      <w:r>
        <w:rPr>
          <w:rFonts w:eastAsia="楷体"/>
          <w:sz w:val="28"/>
          <w:szCs w:val="28"/>
        </w:rPr>
        <w:lastRenderedPageBreak/>
        <w:t xml:space="preserve">3.5.2 </w:t>
      </w:r>
      <w:r>
        <w:rPr>
          <w:rFonts w:eastAsia="楷体"/>
          <w:sz w:val="28"/>
          <w:szCs w:val="28"/>
        </w:rPr>
        <w:t>升级改造后污染源情况</w:t>
      </w:r>
      <w:bookmarkEnd w:id="301"/>
    </w:p>
    <w:p w:rsidR="00422B86" w:rsidRDefault="004F49E8" w:rsidP="00180A95">
      <w:pPr>
        <w:spacing w:line="520" w:lineRule="exact"/>
        <w:ind w:firstLine="585"/>
        <w:rPr>
          <w:spacing w:val="2"/>
          <w:sz w:val="24"/>
        </w:rPr>
      </w:pPr>
      <w:r>
        <w:rPr>
          <w:rFonts w:hint="eastAsia"/>
          <w:spacing w:val="2"/>
          <w:sz w:val="24"/>
        </w:rPr>
        <w:t>升级改造后</w:t>
      </w:r>
      <w:r w:rsidR="00180A95" w:rsidRPr="00180A95">
        <w:rPr>
          <w:rFonts w:hint="eastAsia"/>
          <w:spacing w:val="2"/>
          <w:sz w:val="24"/>
        </w:rPr>
        <w:t>污染物产排</w:t>
      </w:r>
      <w:r w:rsidR="00180A95" w:rsidRPr="00180A95">
        <w:rPr>
          <w:spacing w:val="2"/>
          <w:sz w:val="24"/>
        </w:rPr>
        <w:t>状况</w:t>
      </w:r>
      <w:r>
        <w:rPr>
          <w:rFonts w:hint="eastAsia"/>
          <w:spacing w:val="2"/>
          <w:sz w:val="24"/>
        </w:rPr>
        <w:t>及环保措施汇总</w:t>
      </w:r>
      <w:r w:rsidR="00180A95" w:rsidRPr="00180A95">
        <w:rPr>
          <w:spacing w:val="2"/>
          <w:sz w:val="24"/>
        </w:rPr>
        <w:t>见表</w:t>
      </w:r>
      <w:r w:rsidR="00422B86">
        <w:rPr>
          <w:rFonts w:hint="eastAsia"/>
          <w:spacing w:val="2"/>
          <w:sz w:val="24"/>
        </w:rPr>
        <w:t>3.5</w:t>
      </w:r>
      <w:r w:rsidR="00180A95" w:rsidRPr="00180A95">
        <w:rPr>
          <w:spacing w:val="2"/>
          <w:sz w:val="24"/>
        </w:rPr>
        <w:t>-</w:t>
      </w:r>
      <w:r w:rsidR="00180A95" w:rsidRPr="00180A95">
        <w:rPr>
          <w:rFonts w:hint="eastAsia"/>
          <w:spacing w:val="2"/>
          <w:sz w:val="24"/>
        </w:rPr>
        <w:t>2</w:t>
      </w:r>
      <w:r w:rsidR="00180A95" w:rsidRPr="00180A95">
        <w:rPr>
          <w:spacing w:val="2"/>
          <w:sz w:val="24"/>
        </w:rPr>
        <w:t>。</w:t>
      </w:r>
    </w:p>
    <w:p w:rsidR="00422B86" w:rsidRDefault="00422B86" w:rsidP="00422B86">
      <w:pPr>
        <w:pStyle w:val="xl44"/>
        <w:widowControl w:val="0"/>
        <w:pBdr>
          <w:left w:val="none" w:sz="0" w:space="0" w:color="auto"/>
          <w:bottom w:val="none" w:sz="0" w:space="0" w:color="auto"/>
          <w:right w:val="none" w:sz="0" w:space="0" w:color="auto"/>
        </w:pBdr>
        <w:spacing w:before="0" w:beforeAutospacing="0" w:after="0" w:afterAutospacing="0" w:line="520" w:lineRule="exact"/>
        <w:textAlignment w:val="auto"/>
        <w:rPr>
          <w:rFonts w:ascii="Times New Roman" w:eastAsia="黑体" w:hAnsi="Times New Roman"/>
          <w:color w:val="000000"/>
          <w:spacing w:val="2"/>
          <w:kern w:val="2"/>
        </w:rPr>
      </w:pPr>
      <w:r>
        <w:rPr>
          <w:rFonts w:ascii="Times New Roman" w:eastAsia="黑体" w:hAnsi="Times New Roman"/>
          <w:color w:val="000000"/>
          <w:spacing w:val="2"/>
          <w:szCs w:val="21"/>
        </w:rPr>
        <w:t>表</w:t>
      </w:r>
      <w:r>
        <w:rPr>
          <w:rFonts w:ascii="Times New Roman" w:eastAsia="黑体" w:hAnsi="Times New Roman"/>
          <w:color w:val="000000"/>
          <w:spacing w:val="2"/>
          <w:szCs w:val="21"/>
        </w:rPr>
        <w:t xml:space="preserve">3.5-2   </w:t>
      </w:r>
      <w:r>
        <w:rPr>
          <w:rFonts w:ascii="Times New Roman" w:eastAsia="黑体" w:hAnsi="Times New Roman"/>
          <w:color w:val="000000"/>
          <w:spacing w:val="2"/>
          <w:kern w:val="2"/>
        </w:rPr>
        <w:t>升级改造后污染源排放状况表</w:t>
      </w:r>
    </w:p>
    <w:tbl>
      <w:tblPr>
        <w:tblW w:w="92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488"/>
        <w:gridCol w:w="679"/>
        <w:gridCol w:w="853"/>
        <w:gridCol w:w="1196"/>
        <w:gridCol w:w="1272"/>
        <w:gridCol w:w="1275"/>
        <w:gridCol w:w="1126"/>
        <w:gridCol w:w="2366"/>
      </w:tblGrid>
      <w:tr w:rsidR="00240BCE" w:rsidTr="00D33A63">
        <w:trPr>
          <w:jc w:val="center"/>
        </w:trPr>
        <w:tc>
          <w:tcPr>
            <w:tcW w:w="488" w:type="dxa"/>
            <w:vMerge w:val="restart"/>
            <w:tcBorders>
              <w:top w:val="single" w:sz="12" w:space="0" w:color="auto"/>
              <w:left w:val="single" w:sz="12"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项目</w:t>
            </w:r>
          </w:p>
        </w:tc>
        <w:tc>
          <w:tcPr>
            <w:tcW w:w="679" w:type="dxa"/>
            <w:vMerge w:val="restart"/>
            <w:tcBorders>
              <w:top w:val="single" w:sz="12"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污染源</w:t>
            </w:r>
          </w:p>
        </w:tc>
        <w:tc>
          <w:tcPr>
            <w:tcW w:w="853" w:type="dxa"/>
            <w:vMerge w:val="restart"/>
            <w:tcBorders>
              <w:top w:val="single" w:sz="12"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污染因子</w:t>
            </w:r>
          </w:p>
        </w:tc>
        <w:tc>
          <w:tcPr>
            <w:tcW w:w="2468" w:type="dxa"/>
            <w:gridSpan w:val="2"/>
            <w:tcBorders>
              <w:top w:val="single" w:sz="12"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污染物浓度</w:t>
            </w:r>
          </w:p>
        </w:tc>
        <w:tc>
          <w:tcPr>
            <w:tcW w:w="2401" w:type="dxa"/>
            <w:gridSpan w:val="2"/>
            <w:tcBorders>
              <w:top w:val="single" w:sz="12"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产排量</w:t>
            </w:r>
          </w:p>
        </w:tc>
        <w:tc>
          <w:tcPr>
            <w:tcW w:w="2366" w:type="dxa"/>
            <w:vMerge w:val="restart"/>
            <w:tcBorders>
              <w:top w:val="single" w:sz="12" w:space="0" w:color="auto"/>
              <w:left w:val="single" w:sz="4" w:space="0" w:color="auto"/>
              <w:bottom w:val="single" w:sz="4" w:space="0" w:color="auto"/>
              <w:right w:val="single" w:sz="12" w:space="0" w:color="auto"/>
            </w:tcBorders>
            <w:vAlign w:val="center"/>
          </w:tcPr>
          <w:p w:rsidR="00240BCE" w:rsidRDefault="00AC0334">
            <w:pPr>
              <w:spacing w:line="280" w:lineRule="exact"/>
              <w:jc w:val="center"/>
              <w:rPr>
                <w:color w:val="000000"/>
                <w:sz w:val="21"/>
                <w:szCs w:val="21"/>
              </w:rPr>
            </w:pPr>
            <w:r>
              <w:rPr>
                <w:color w:val="000000"/>
                <w:sz w:val="21"/>
                <w:szCs w:val="21"/>
              </w:rPr>
              <w:t>治理及排放状况</w:t>
            </w:r>
          </w:p>
        </w:tc>
      </w:tr>
      <w:tr w:rsidR="00240BCE" w:rsidTr="00761316">
        <w:trPr>
          <w:jc w:val="center"/>
        </w:trPr>
        <w:tc>
          <w:tcPr>
            <w:tcW w:w="488" w:type="dxa"/>
            <w:vMerge/>
            <w:tcBorders>
              <w:top w:val="single" w:sz="12" w:space="0" w:color="auto"/>
              <w:left w:val="single" w:sz="12"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679" w:type="dxa"/>
            <w:vMerge/>
            <w:tcBorders>
              <w:top w:val="single" w:sz="12" w:space="0" w:color="auto"/>
              <w:left w:val="single" w:sz="4"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853" w:type="dxa"/>
            <w:vMerge/>
            <w:tcBorders>
              <w:top w:val="single" w:sz="12" w:space="0" w:color="auto"/>
              <w:left w:val="single" w:sz="4"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处理前</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处理后</w:t>
            </w:r>
          </w:p>
        </w:tc>
        <w:tc>
          <w:tcPr>
            <w:tcW w:w="1275"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产生量</w:t>
            </w:r>
          </w:p>
        </w:tc>
        <w:tc>
          <w:tcPr>
            <w:tcW w:w="112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排放量</w:t>
            </w:r>
          </w:p>
        </w:tc>
        <w:tc>
          <w:tcPr>
            <w:tcW w:w="2366" w:type="dxa"/>
            <w:vMerge/>
            <w:tcBorders>
              <w:top w:val="single" w:sz="12" w:space="0" w:color="auto"/>
              <w:left w:val="single" w:sz="4" w:space="0" w:color="auto"/>
              <w:bottom w:val="single" w:sz="4" w:space="0" w:color="auto"/>
              <w:right w:val="single" w:sz="12" w:space="0" w:color="auto"/>
            </w:tcBorders>
            <w:vAlign w:val="center"/>
          </w:tcPr>
          <w:p w:rsidR="00240BCE" w:rsidRDefault="00240BCE">
            <w:pPr>
              <w:widowControl/>
              <w:jc w:val="left"/>
              <w:rPr>
                <w:color w:val="000000"/>
                <w:sz w:val="21"/>
                <w:szCs w:val="21"/>
              </w:rPr>
            </w:pPr>
          </w:p>
        </w:tc>
      </w:tr>
      <w:tr w:rsidR="00240BCE" w:rsidTr="00761316">
        <w:trPr>
          <w:jc w:val="center"/>
        </w:trPr>
        <w:tc>
          <w:tcPr>
            <w:tcW w:w="488" w:type="dxa"/>
            <w:vMerge w:val="restart"/>
            <w:tcBorders>
              <w:top w:val="single" w:sz="4" w:space="0" w:color="auto"/>
              <w:left w:val="single" w:sz="12"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废水</w:t>
            </w:r>
          </w:p>
        </w:tc>
        <w:tc>
          <w:tcPr>
            <w:tcW w:w="679"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矿井排水</w:t>
            </w: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废水量</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240BCE" w:rsidRDefault="00180A95" w:rsidP="008B373A">
            <w:pPr>
              <w:spacing w:line="280" w:lineRule="exact"/>
              <w:jc w:val="center"/>
              <w:rPr>
                <w:color w:val="000000"/>
                <w:sz w:val="21"/>
                <w:szCs w:val="21"/>
              </w:rPr>
            </w:pPr>
            <w:r>
              <w:rPr>
                <w:color w:val="000000"/>
                <w:sz w:val="21"/>
                <w:szCs w:val="21"/>
              </w:rPr>
              <w:t>16</w:t>
            </w:r>
            <w:r w:rsidR="008B373A">
              <w:rPr>
                <w:rFonts w:hint="eastAsia"/>
                <w:color w:val="000000"/>
                <w:sz w:val="21"/>
                <w:szCs w:val="21"/>
              </w:rPr>
              <w:t>9</w:t>
            </w:r>
            <w:r>
              <w:rPr>
                <w:rFonts w:hint="eastAsia"/>
                <w:color w:val="000000"/>
                <w:sz w:val="21"/>
                <w:szCs w:val="21"/>
              </w:rPr>
              <w:t>.</w:t>
            </w:r>
            <w:r w:rsidR="008B373A">
              <w:rPr>
                <w:rFonts w:hint="eastAsia"/>
                <w:color w:val="000000"/>
                <w:sz w:val="21"/>
                <w:szCs w:val="21"/>
              </w:rPr>
              <w:t>9</w:t>
            </w:r>
            <w:r>
              <w:rPr>
                <w:rFonts w:hint="eastAsia"/>
                <w:color w:val="000000"/>
                <w:sz w:val="21"/>
                <w:szCs w:val="21"/>
              </w:rPr>
              <w:t>44</w:t>
            </w:r>
            <w:r>
              <w:rPr>
                <w:color w:val="000000"/>
                <w:sz w:val="21"/>
                <w:szCs w:val="21"/>
              </w:rPr>
              <w:t>万</w:t>
            </w:r>
            <w:r>
              <w:rPr>
                <w:color w:val="000000"/>
                <w:sz w:val="21"/>
                <w:szCs w:val="21"/>
              </w:rPr>
              <w:t>m</w:t>
            </w:r>
            <w:r>
              <w:rPr>
                <w:color w:val="000000"/>
                <w:sz w:val="21"/>
                <w:szCs w:val="21"/>
                <w:vertAlign w:val="superscript"/>
              </w:rPr>
              <w:t>3</w:t>
            </w:r>
            <w:r>
              <w:rPr>
                <w:color w:val="000000"/>
                <w:sz w:val="21"/>
                <w:szCs w:val="21"/>
              </w:rPr>
              <w:t>/a</w:t>
            </w:r>
          </w:p>
        </w:tc>
        <w:tc>
          <w:tcPr>
            <w:tcW w:w="1126" w:type="dxa"/>
            <w:tcBorders>
              <w:top w:val="single" w:sz="4" w:space="0" w:color="auto"/>
              <w:left w:val="single" w:sz="4" w:space="0" w:color="auto"/>
              <w:bottom w:val="single" w:sz="4" w:space="0" w:color="auto"/>
              <w:right w:val="single" w:sz="4" w:space="0" w:color="auto"/>
            </w:tcBorders>
            <w:vAlign w:val="center"/>
          </w:tcPr>
          <w:p w:rsidR="00240BCE" w:rsidRDefault="00180A95" w:rsidP="006479D3">
            <w:pPr>
              <w:spacing w:line="280" w:lineRule="exact"/>
              <w:jc w:val="center"/>
              <w:rPr>
                <w:color w:val="000000"/>
                <w:sz w:val="21"/>
                <w:szCs w:val="21"/>
              </w:rPr>
            </w:pPr>
            <w:r>
              <w:rPr>
                <w:rFonts w:hint="eastAsia"/>
                <w:color w:val="000000"/>
                <w:sz w:val="21"/>
                <w:szCs w:val="21"/>
              </w:rPr>
              <w:t>1</w:t>
            </w:r>
            <w:r w:rsidR="006479D3">
              <w:rPr>
                <w:rFonts w:hint="eastAsia"/>
                <w:color w:val="000000"/>
                <w:sz w:val="21"/>
                <w:szCs w:val="21"/>
              </w:rPr>
              <w:t>52.7123</w:t>
            </w:r>
            <w:r>
              <w:rPr>
                <w:rFonts w:hint="eastAsia"/>
                <w:color w:val="000000"/>
                <w:sz w:val="21"/>
                <w:szCs w:val="21"/>
              </w:rPr>
              <w:t>5</w:t>
            </w:r>
            <w:r>
              <w:rPr>
                <w:rFonts w:hint="eastAsia"/>
                <w:color w:val="000000"/>
                <w:sz w:val="21"/>
                <w:szCs w:val="21"/>
              </w:rPr>
              <w:t>万</w:t>
            </w:r>
            <w:r>
              <w:rPr>
                <w:color w:val="000000"/>
                <w:sz w:val="21"/>
                <w:szCs w:val="21"/>
              </w:rPr>
              <w:t>m</w:t>
            </w:r>
            <w:r>
              <w:rPr>
                <w:color w:val="000000"/>
                <w:sz w:val="21"/>
                <w:szCs w:val="21"/>
                <w:vertAlign w:val="superscript"/>
              </w:rPr>
              <w:t>3</w:t>
            </w:r>
            <w:r>
              <w:rPr>
                <w:color w:val="000000"/>
                <w:sz w:val="21"/>
                <w:szCs w:val="21"/>
              </w:rPr>
              <w:t>/a</w:t>
            </w:r>
          </w:p>
        </w:tc>
        <w:tc>
          <w:tcPr>
            <w:tcW w:w="2366" w:type="dxa"/>
            <w:vMerge w:val="restart"/>
            <w:tcBorders>
              <w:top w:val="single" w:sz="4" w:space="0" w:color="auto"/>
              <w:left w:val="single" w:sz="4" w:space="0" w:color="auto"/>
              <w:bottom w:val="single" w:sz="4" w:space="0" w:color="auto"/>
              <w:right w:val="single" w:sz="12" w:space="0" w:color="auto"/>
            </w:tcBorders>
            <w:vAlign w:val="center"/>
          </w:tcPr>
          <w:p w:rsidR="00240BCE" w:rsidRDefault="00165E70" w:rsidP="00BE7011">
            <w:pPr>
              <w:spacing w:line="280" w:lineRule="exact"/>
              <w:jc w:val="center"/>
              <w:rPr>
                <w:color w:val="000000"/>
                <w:sz w:val="21"/>
                <w:szCs w:val="21"/>
              </w:rPr>
            </w:pPr>
            <w:r w:rsidRPr="00165E70">
              <w:rPr>
                <w:color w:val="000000"/>
                <w:sz w:val="21"/>
                <w:szCs w:val="21"/>
              </w:rPr>
              <w:t>斜管沉淀</w:t>
            </w:r>
            <w:r w:rsidRPr="00165E70">
              <w:rPr>
                <w:color w:val="000000"/>
                <w:sz w:val="21"/>
                <w:szCs w:val="21"/>
              </w:rPr>
              <w:t>+</w:t>
            </w:r>
            <w:r w:rsidRPr="00165E70">
              <w:rPr>
                <w:color w:val="000000"/>
                <w:sz w:val="21"/>
                <w:szCs w:val="21"/>
              </w:rPr>
              <w:t>过滤</w:t>
            </w:r>
            <w:r w:rsidRPr="00165E70">
              <w:rPr>
                <w:color w:val="000000"/>
                <w:sz w:val="21"/>
                <w:szCs w:val="21"/>
              </w:rPr>
              <w:t>+</w:t>
            </w:r>
            <w:r w:rsidRPr="00165E70">
              <w:rPr>
                <w:color w:val="000000"/>
                <w:sz w:val="21"/>
                <w:szCs w:val="21"/>
              </w:rPr>
              <w:t>消毒等处理</w:t>
            </w:r>
            <w:r>
              <w:rPr>
                <w:rFonts w:hint="eastAsia"/>
                <w:color w:val="000000"/>
                <w:sz w:val="21"/>
                <w:szCs w:val="21"/>
              </w:rPr>
              <w:t>达标后，部分</w:t>
            </w:r>
            <w:r w:rsidR="00AC0334">
              <w:rPr>
                <w:color w:val="000000"/>
                <w:sz w:val="21"/>
                <w:szCs w:val="21"/>
              </w:rPr>
              <w:t>回用于生产用水，</w:t>
            </w:r>
            <w:r w:rsidR="00BE7011">
              <w:rPr>
                <w:rFonts w:hint="eastAsia"/>
                <w:color w:val="000000"/>
                <w:sz w:val="21"/>
                <w:szCs w:val="21"/>
              </w:rPr>
              <w:t>剩余</w:t>
            </w:r>
            <w:r w:rsidRPr="00165E70">
              <w:rPr>
                <w:rFonts w:hint="eastAsia"/>
                <w:color w:val="000000"/>
                <w:sz w:val="21"/>
                <w:szCs w:val="21"/>
              </w:rPr>
              <w:t>不能及时利用部分</w:t>
            </w:r>
            <w:r w:rsidR="00BE7011" w:rsidRPr="00BE7011">
              <w:rPr>
                <w:rFonts w:hint="eastAsia"/>
                <w:color w:val="000000"/>
                <w:sz w:val="21"/>
                <w:szCs w:val="21"/>
              </w:rPr>
              <w:t>满足《煤炭工业污染物排放标准》（</w:t>
            </w:r>
            <w:r w:rsidR="00BE7011" w:rsidRPr="00BE7011">
              <w:rPr>
                <w:color w:val="000000"/>
                <w:sz w:val="21"/>
                <w:szCs w:val="21"/>
              </w:rPr>
              <w:t>GB20426-2006</w:t>
            </w:r>
            <w:r w:rsidR="00BE7011" w:rsidRPr="00BE7011">
              <w:rPr>
                <w:rFonts w:hint="eastAsia"/>
                <w:color w:val="000000"/>
                <w:sz w:val="21"/>
                <w:szCs w:val="21"/>
              </w:rPr>
              <w:t>）</w:t>
            </w:r>
            <w:r w:rsidR="00BE7011">
              <w:rPr>
                <w:rFonts w:hint="eastAsia"/>
                <w:color w:val="000000"/>
                <w:sz w:val="21"/>
                <w:szCs w:val="21"/>
              </w:rPr>
              <w:t>、</w:t>
            </w:r>
            <w:r w:rsidR="00BE7011" w:rsidRPr="00BE7011">
              <w:rPr>
                <w:rFonts w:hint="eastAsia"/>
                <w:color w:val="000000"/>
                <w:sz w:val="21"/>
                <w:szCs w:val="21"/>
              </w:rPr>
              <w:t>《地表水环境质量标准》（</w:t>
            </w:r>
            <w:r w:rsidR="00BE7011" w:rsidRPr="00BE7011">
              <w:rPr>
                <w:color w:val="000000"/>
                <w:sz w:val="21"/>
                <w:szCs w:val="21"/>
              </w:rPr>
              <w:t>GB3838-2002</w:t>
            </w:r>
            <w:r w:rsidR="00BE7011" w:rsidRPr="00BE7011">
              <w:rPr>
                <w:rFonts w:hint="eastAsia"/>
                <w:color w:val="000000"/>
                <w:sz w:val="21"/>
                <w:szCs w:val="21"/>
              </w:rPr>
              <w:t>）Ⅲ类水质要求后</w:t>
            </w:r>
            <w:r w:rsidR="00BE7011">
              <w:rPr>
                <w:rFonts w:hint="eastAsia"/>
                <w:color w:val="000000"/>
                <w:sz w:val="21"/>
                <w:szCs w:val="21"/>
              </w:rPr>
              <w:t>外</w:t>
            </w:r>
            <w:r w:rsidRPr="00165E70">
              <w:rPr>
                <w:color w:val="000000"/>
                <w:sz w:val="21"/>
                <w:szCs w:val="21"/>
              </w:rPr>
              <w:t>排至赵沟河、纸坊水库后用于周边农田灌溉</w:t>
            </w:r>
            <w:r w:rsidR="00BE7011">
              <w:rPr>
                <w:rFonts w:hint="eastAsia"/>
                <w:color w:val="000000"/>
                <w:sz w:val="21"/>
                <w:szCs w:val="21"/>
              </w:rPr>
              <w:t>及生态补水</w:t>
            </w:r>
            <w:r w:rsidRPr="00165E70">
              <w:rPr>
                <w:color w:val="000000"/>
                <w:sz w:val="21"/>
                <w:szCs w:val="21"/>
              </w:rPr>
              <w:t>。</w:t>
            </w:r>
          </w:p>
        </w:tc>
      </w:tr>
      <w:tr w:rsidR="00240BCE"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COD</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4F49E8">
            <w:pPr>
              <w:spacing w:line="280" w:lineRule="exact"/>
              <w:jc w:val="center"/>
              <w:rPr>
                <w:color w:val="000000"/>
                <w:sz w:val="21"/>
                <w:szCs w:val="21"/>
              </w:rPr>
            </w:pPr>
            <w:r>
              <w:rPr>
                <w:rFonts w:hint="eastAsia"/>
                <w:color w:val="000000"/>
                <w:sz w:val="21"/>
                <w:szCs w:val="21"/>
              </w:rPr>
              <w:t>51</w:t>
            </w:r>
            <w:r w:rsidR="00AC0334">
              <w:rPr>
                <w:color w:val="000000"/>
                <w:sz w:val="21"/>
                <w:szCs w:val="21"/>
              </w:rPr>
              <w:t>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20mg/L</w:t>
            </w:r>
          </w:p>
        </w:tc>
        <w:tc>
          <w:tcPr>
            <w:tcW w:w="1275" w:type="dxa"/>
            <w:tcBorders>
              <w:top w:val="single" w:sz="4" w:space="0" w:color="auto"/>
              <w:left w:val="single" w:sz="4" w:space="0" w:color="auto"/>
              <w:bottom w:val="single" w:sz="4" w:space="0" w:color="auto"/>
              <w:right w:val="single" w:sz="4" w:space="0" w:color="auto"/>
            </w:tcBorders>
            <w:vAlign w:val="center"/>
          </w:tcPr>
          <w:p w:rsidR="00240BCE" w:rsidRDefault="006479D3" w:rsidP="008B373A">
            <w:pPr>
              <w:spacing w:line="280" w:lineRule="exact"/>
              <w:jc w:val="center"/>
              <w:rPr>
                <w:color w:val="000000"/>
                <w:sz w:val="21"/>
                <w:szCs w:val="21"/>
              </w:rPr>
            </w:pPr>
            <w:r>
              <w:rPr>
                <w:rFonts w:hint="eastAsia"/>
                <w:color w:val="000000"/>
                <w:sz w:val="21"/>
                <w:szCs w:val="21"/>
              </w:rPr>
              <w:t>86.672</w:t>
            </w:r>
            <w:r w:rsidR="00AC0334">
              <w:rPr>
                <w:color w:val="000000"/>
                <w:sz w:val="21"/>
                <w:szCs w:val="21"/>
              </w:rPr>
              <w:t>t/a</w:t>
            </w:r>
          </w:p>
        </w:tc>
        <w:tc>
          <w:tcPr>
            <w:tcW w:w="1126" w:type="dxa"/>
            <w:tcBorders>
              <w:top w:val="single" w:sz="4" w:space="0" w:color="auto"/>
              <w:left w:val="single" w:sz="4" w:space="0" w:color="auto"/>
              <w:bottom w:val="single" w:sz="4" w:space="0" w:color="auto"/>
              <w:right w:val="single" w:sz="4" w:space="0" w:color="auto"/>
            </w:tcBorders>
            <w:vAlign w:val="center"/>
          </w:tcPr>
          <w:p w:rsidR="00240BCE" w:rsidRDefault="005F71DD" w:rsidP="006479D3">
            <w:pPr>
              <w:spacing w:line="280" w:lineRule="exact"/>
              <w:jc w:val="center"/>
              <w:rPr>
                <w:color w:val="000000"/>
                <w:sz w:val="21"/>
                <w:szCs w:val="21"/>
              </w:rPr>
            </w:pPr>
            <w:r>
              <w:rPr>
                <w:rFonts w:hint="eastAsia"/>
                <w:color w:val="000000"/>
                <w:sz w:val="21"/>
                <w:szCs w:val="21"/>
              </w:rPr>
              <w:t>3</w:t>
            </w:r>
            <w:r w:rsidR="006479D3">
              <w:rPr>
                <w:rFonts w:hint="eastAsia"/>
                <w:color w:val="000000"/>
                <w:sz w:val="21"/>
                <w:szCs w:val="21"/>
              </w:rPr>
              <w:t>0.543</w:t>
            </w:r>
          </w:p>
        </w:tc>
        <w:tc>
          <w:tcPr>
            <w:tcW w:w="2366" w:type="dxa"/>
            <w:vMerge/>
            <w:tcBorders>
              <w:top w:val="single" w:sz="4" w:space="0" w:color="auto"/>
              <w:left w:val="single" w:sz="4" w:space="0" w:color="auto"/>
              <w:bottom w:val="single" w:sz="4" w:space="0" w:color="auto"/>
              <w:right w:val="single" w:sz="12" w:space="0" w:color="auto"/>
            </w:tcBorders>
            <w:vAlign w:val="center"/>
          </w:tcPr>
          <w:p w:rsidR="00240BCE" w:rsidRDefault="00240BCE">
            <w:pPr>
              <w:widowControl/>
              <w:jc w:val="left"/>
              <w:rPr>
                <w:color w:val="000000"/>
                <w:sz w:val="21"/>
                <w:szCs w:val="21"/>
              </w:rPr>
            </w:pPr>
          </w:p>
        </w:tc>
      </w:tr>
      <w:tr w:rsidR="00240BCE"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氨氮</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0.523mg/L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0.314mg/L</w:t>
            </w:r>
          </w:p>
        </w:tc>
        <w:tc>
          <w:tcPr>
            <w:tcW w:w="1275" w:type="dxa"/>
            <w:tcBorders>
              <w:top w:val="single" w:sz="4" w:space="0" w:color="auto"/>
              <w:left w:val="single" w:sz="4" w:space="0" w:color="auto"/>
              <w:bottom w:val="single" w:sz="4" w:space="0" w:color="auto"/>
              <w:right w:val="single" w:sz="4" w:space="0" w:color="auto"/>
            </w:tcBorders>
            <w:vAlign w:val="center"/>
          </w:tcPr>
          <w:p w:rsidR="00240BCE" w:rsidRDefault="00AC0334" w:rsidP="008B373A">
            <w:pPr>
              <w:spacing w:line="280" w:lineRule="exact"/>
              <w:jc w:val="center"/>
              <w:rPr>
                <w:color w:val="000000"/>
                <w:sz w:val="21"/>
                <w:szCs w:val="21"/>
              </w:rPr>
            </w:pPr>
            <w:r>
              <w:rPr>
                <w:color w:val="000000"/>
                <w:sz w:val="21"/>
                <w:szCs w:val="21"/>
              </w:rPr>
              <w:t>0.8</w:t>
            </w:r>
            <w:r w:rsidR="008B373A">
              <w:rPr>
                <w:rFonts w:hint="eastAsia"/>
                <w:color w:val="000000"/>
                <w:sz w:val="21"/>
                <w:szCs w:val="21"/>
              </w:rPr>
              <w:t>89</w:t>
            </w:r>
            <w:r>
              <w:rPr>
                <w:color w:val="000000"/>
                <w:sz w:val="21"/>
                <w:szCs w:val="21"/>
              </w:rPr>
              <w:t>t/a</w:t>
            </w:r>
          </w:p>
        </w:tc>
        <w:tc>
          <w:tcPr>
            <w:tcW w:w="1126" w:type="dxa"/>
            <w:tcBorders>
              <w:top w:val="single" w:sz="4" w:space="0" w:color="auto"/>
              <w:left w:val="single" w:sz="4" w:space="0" w:color="auto"/>
              <w:bottom w:val="single" w:sz="4" w:space="0" w:color="auto"/>
              <w:right w:val="single" w:sz="4" w:space="0" w:color="auto"/>
            </w:tcBorders>
            <w:vAlign w:val="center"/>
          </w:tcPr>
          <w:p w:rsidR="00240BCE" w:rsidRDefault="00AC0334" w:rsidP="006479D3">
            <w:pPr>
              <w:spacing w:line="280" w:lineRule="exact"/>
              <w:jc w:val="center"/>
              <w:rPr>
                <w:color w:val="000000"/>
                <w:sz w:val="21"/>
                <w:szCs w:val="21"/>
              </w:rPr>
            </w:pPr>
            <w:r>
              <w:rPr>
                <w:color w:val="000000"/>
                <w:sz w:val="21"/>
                <w:szCs w:val="21"/>
              </w:rPr>
              <w:t>0</w:t>
            </w:r>
            <w:r w:rsidR="005F71DD">
              <w:rPr>
                <w:rFonts w:hint="eastAsia"/>
                <w:color w:val="000000"/>
                <w:sz w:val="21"/>
                <w:szCs w:val="21"/>
              </w:rPr>
              <w:t>.</w:t>
            </w:r>
            <w:r w:rsidR="006479D3">
              <w:rPr>
                <w:rFonts w:hint="eastAsia"/>
                <w:color w:val="000000"/>
                <w:sz w:val="21"/>
                <w:szCs w:val="21"/>
              </w:rPr>
              <w:t>480</w:t>
            </w:r>
          </w:p>
        </w:tc>
        <w:tc>
          <w:tcPr>
            <w:tcW w:w="2366" w:type="dxa"/>
            <w:vMerge/>
            <w:tcBorders>
              <w:top w:val="single" w:sz="4" w:space="0" w:color="auto"/>
              <w:left w:val="single" w:sz="4" w:space="0" w:color="auto"/>
              <w:bottom w:val="single" w:sz="4" w:space="0" w:color="auto"/>
              <w:right w:val="single" w:sz="12" w:space="0" w:color="auto"/>
            </w:tcBorders>
            <w:vAlign w:val="center"/>
          </w:tcPr>
          <w:p w:rsidR="00240BCE" w:rsidRDefault="00240BCE">
            <w:pPr>
              <w:widowControl/>
              <w:jc w:val="left"/>
              <w:rPr>
                <w:color w:val="000000"/>
                <w:sz w:val="21"/>
                <w:szCs w:val="21"/>
              </w:rPr>
            </w:pPr>
          </w:p>
        </w:tc>
      </w:tr>
      <w:tr w:rsidR="00240BCE"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SS</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rsidP="004F49E8">
            <w:pPr>
              <w:spacing w:line="280" w:lineRule="exact"/>
              <w:jc w:val="center"/>
              <w:rPr>
                <w:color w:val="000000"/>
                <w:sz w:val="21"/>
                <w:szCs w:val="21"/>
              </w:rPr>
            </w:pPr>
            <w:r>
              <w:rPr>
                <w:color w:val="000000"/>
                <w:sz w:val="21"/>
                <w:szCs w:val="21"/>
              </w:rPr>
              <w:t>1</w:t>
            </w:r>
            <w:r w:rsidR="004F49E8">
              <w:rPr>
                <w:rFonts w:hint="eastAsia"/>
                <w:color w:val="000000"/>
                <w:sz w:val="21"/>
                <w:szCs w:val="21"/>
              </w:rPr>
              <w:t>24</w:t>
            </w:r>
            <w:r>
              <w:rPr>
                <w:color w:val="000000"/>
                <w:sz w:val="21"/>
                <w:szCs w:val="21"/>
              </w:rPr>
              <w:t>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30mg/L</w:t>
            </w:r>
          </w:p>
        </w:tc>
        <w:tc>
          <w:tcPr>
            <w:tcW w:w="1275" w:type="dxa"/>
            <w:tcBorders>
              <w:top w:val="single" w:sz="4" w:space="0" w:color="auto"/>
              <w:left w:val="single" w:sz="4" w:space="0" w:color="auto"/>
              <w:bottom w:val="single" w:sz="4" w:space="0" w:color="auto"/>
              <w:right w:val="single" w:sz="4" w:space="0" w:color="auto"/>
            </w:tcBorders>
            <w:vAlign w:val="center"/>
          </w:tcPr>
          <w:p w:rsidR="00240BCE" w:rsidRDefault="00AC0334" w:rsidP="006479D3">
            <w:pPr>
              <w:spacing w:line="280" w:lineRule="exact"/>
              <w:jc w:val="center"/>
              <w:rPr>
                <w:color w:val="000000"/>
                <w:sz w:val="21"/>
                <w:szCs w:val="21"/>
              </w:rPr>
            </w:pPr>
            <w:r>
              <w:rPr>
                <w:color w:val="000000"/>
                <w:sz w:val="21"/>
                <w:szCs w:val="21"/>
              </w:rPr>
              <w:t>2</w:t>
            </w:r>
            <w:r w:rsidR="006479D3">
              <w:rPr>
                <w:rFonts w:hint="eastAsia"/>
                <w:color w:val="000000"/>
                <w:sz w:val="21"/>
                <w:szCs w:val="21"/>
              </w:rPr>
              <w:t>10.731</w:t>
            </w:r>
            <w:r>
              <w:rPr>
                <w:color w:val="000000"/>
                <w:sz w:val="21"/>
                <w:szCs w:val="21"/>
              </w:rPr>
              <w:t>t/a</w:t>
            </w:r>
          </w:p>
        </w:tc>
        <w:tc>
          <w:tcPr>
            <w:tcW w:w="1126" w:type="dxa"/>
            <w:tcBorders>
              <w:top w:val="single" w:sz="4" w:space="0" w:color="auto"/>
              <w:left w:val="single" w:sz="4" w:space="0" w:color="auto"/>
              <w:bottom w:val="single" w:sz="4" w:space="0" w:color="auto"/>
              <w:right w:val="single" w:sz="4" w:space="0" w:color="auto"/>
            </w:tcBorders>
            <w:vAlign w:val="center"/>
          </w:tcPr>
          <w:p w:rsidR="00240BCE" w:rsidRDefault="005F71DD" w:rsidP="006479D3">
            <w:pPr>
              <w:spacing w:line="280" w:lineRule="exact"/>
              <w:jc w:val="center"/>
              <w:rPr>
                <w:color w:val="000000"/>
                <w:sz w:val="21"/>
                <w:szCs w:val="21"/>
              </w:rPr>
            </w:pPr>
            <w:r>
              <w:rPr>
                <w:rFonts w:hint="eastAsia"/>
                <w:color w:val="000000"/>
                <w:sz w:val="21"/>
                <w:szCs w:val="21"/>
              </w:rPr>
              <w:t>4</w:t>
            </w:r>
            <w:r w:rsidR="006479D3">
              <w:rPr>
                <w:rFonts w:hint="eastAsia"/>
                <w:color w:val="000000"/>
                <w:sz w:val="21"/>
                <w:szCs w:val="21"/>
              </w:rPr>
              <w:t>5.814</w:t>
            </w:r>
          </w:p>
        </w:tc>
        <w:tc>
          <w:tcPr>
            <w:tcW w:w="2366" w:type="dxa"/>
            <w:vMerge/>
            <w:tcBorders>
              <w:top w:val="single" w:sz="4" w:space="0" w:color="auto"/>
              <w:left w:val="single" w:sz="4" w:space="0" w:color="auto"/>
              <w:bottom w:val="single" w:sz="4" w:space="0" w:color="auto"/>
              <w:right w:val="single" w:sz="12" w:space="0" w:color="auto"/>
            </w:tcBorders>
            <w:vAlign w:val="center"/>
          </w:tcPr>
          <w:p w:rsidR="00240BCE" w:rsidRDefault="00240BCE">
            <w:pPr>
              <w:widowControl/>
              <w:jc w:val="left"/>
              <w:rPr>
                <w:color w:val="000000"/>
                <w:sz w:val="21"/>
                <w:szCs w:val="21"/>
              </w:rPr>
            </w:pPr>
          </w:p>
        </w:tc>
      </w:tr>
      <w:tr w:rsidR="00240BCE"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679"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生活污水</w:t>
            </w: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废水量</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240BCE">
            <w:pPr>
              <w:spacing w:line="280" w:lineRule="exact"/>
              <w:jc w:val="center"/>
              <w:rPr>
                <w:color w:val="000000"/>
                <w:sz w:val="21"/>
                <w:szCs w:val="21"/>
              </w:rPr>
            </w:pP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240BCE">
            <w:pPr>
              <w:spacing w:line="280" w:lineRule="exact"/>
              <w:jc w:val="center"/>
              <w:rPr>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240BCE" w:rsidRDefault="00BE7011">
            <w:pPr>
              <w:spacing w:line="280" w:lineRule="exact"/>
              <w:jc w:val="center"/>
              <w:rPr>
                <w:color w:val="000000"/>
                <w:sz w:val="21"/>
                <w:szCs w:val="21"/>
              </w:rPr>
            </w:pPr>
            <w:r>
              <w:rPr>
                <w:rFonts w:hint="eastAsia"/>
                <w:color w:val="000000"/>
                <w:sz w:val="21"/>
                <w:szCs w:val="21"/>
              </w:rPr>
              <w:t>21846</w:t>
            </w:r>
            <w:r w:rsidR="00AC0334">
              <w:rPr>
                <w:color w:val="000000"/>
                <w:sz w:val="21"/>
                <w:szCs w:val="21"/>
              </w:rPr>
              <w:t>m</w:t>
            </w:r>
            <w:r w:rsidR="00AC0334">
              <w:rPr>
                <w:color w:val="000000"/>
                <w:sz w:val="21"/>
                <w:szCs w:val="21"/>
                <w:vertAlign w:val="superscript"/>
              </w:rPr>
              <w:t>3</w:t>
            </w:r>
            <w:r w:rsidR="00AC0334">
              <w:rPr>
                <w:color w:val="000000"/>
                <w:sz w:val="21"/>
                <w:szCs w:val="21"/>
              </w:rPr>
              <w:t>/a</w:t>
            </w:r>
          </w:p>
        </w:tc>
        <w:tc>
          <w:tcPr>
            <w:tcW w:w="112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0</w:t>
            </w:r>
          </w:p>
        </w:tc>
        <w:tc>
          <w:tcPr>
            <w:tcW w:w="2366" w:type="dxa"/>
            <w:vMerge w:val="restart"/>
            <w:tcBorders>
              <w:top w:val="single" w:sz="4" w:space="0" w:color="auto"/>
              <w:left w:val="single" w:sz="4" w:space="0" w:color="auto"/>
              <w:bottom w:val="single" w:sz="4" w:space="0" w:color="auto"/>
              <w:right w:val="single" w:sz="12" w:space="0" w:color="auto"/>
            </w:tcBorders>
            <w:vAlign w:val="center"/>
          </w:tcPr>
          <w:p w:rsidR="00240BCE" w:rsidRDefault="00AC0334" w:rsidP="00BE7011">
            <w:pPr>
              <w:spacing w:line="280" w:lineRule="exact"/>
              <w:jc w:val="center"/>
              <w:rPr>
                <w:color w:val="FF0000"/>
                <w:sz w:val="21"/>
                <w:szCs w:val="21"/>
                <w:highlight w:val="yellow"/>
              </w:rPr>
            </w:pPr>
            <w:r>
              <w:rPr>
                <w:color w:val="000000"/>
                <w:sz w:val="21"/>
                <w:szCs w:val="21"/>
              </w:rPr>
              <w:t>生活污水经一体化综合处理设备处理达标后</w:t>
            </w:r>
            <w:r w:rsidR="00BE7011">
              <w:rPr>
                <w:rFonts w:hint="eastAsia"/>
                <w:color w:val="000000"/>
                <w:sz w:val="21"/>
                <w:szCs w:val="21"/>
              </w:rPr>
              <w:t>全部综合利用，不外排</w:t>
            </w:r>
            <w:r>
              <w:rPr>
                <w:color w:val="000000"/>
                <w:sz w:val="21"/>
                <w:szCs w:val="21"/>
              </w:rPr>
              <w:t>。</w:t>
            </w:r>
          </w:p>
        </w:tc>
      </w:tr>
      <w:tr w:rsidR="00240BCE"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COD</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128.3mg/L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66.3mg/L</w:t>
            </w:r>
          </w:p>
        </w:tc>
        <w:tc>
          <w:tcPr>
            <w:tcW w:w="1275" w:type="dxa"/>
            <w:tcBorders>
              <w:top w:val="single" w:sz="4" w:space="0" w:color="auto"/>
              <w:left w:val="single" w:sz="4" w:space="0" w:color="auto"/>
              <w:bottom w:val="single" w:sz="4" w:space="0" w:color="auto"/>
              <w:right w:val="single" w:sz="4" w:space="0" w:color="auto"/>
            </w:tcBorders>
            <w:vAlign w:val="center"/>
          </w:tcPr>
          <w:p w:rsidR="00240BCE" w:rsidRDefault="00BE7011">
            <w:pPr>
              <w:spacing w:line="280" w:lineRule="exact"/>
              <w:jc w:val="center"/>
              <w:rPr>
                <w:color w:val="000000"/>
                <w:sz w:val="21"/>
                <w:szCs w:val="21"/>
              </w:rPr>
            </w:pPr>
            <w:r>
              <w:rPr>
                <w:rFonts w:hint="eastAsia"/>
                <w:color w:val="000000"/>
                <w:sz w:val="21"/>
                <w:szCs w:val="21"/>
              </w:rPr>
              <w:t>2.803</w:t>
            </w:r>
            <w:r w:rsidR="00AC0334">
              <w:rPr>
                <w:color w:val="000000"/>
                <w:sz w:val="21"/>
                <w:szCs w:val="21"/>
              </w:rPr>
              <w:t>t/a</w:t>
            </w:r>
          </w:p>
        </w:tc>
        <w:tc>
          <w:tcPr>
            <w:tcW w:w="112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0</w:t>
            </w:r>
          </w:p>
        </w:tc>
        <w:tc>
          <w:tcPr>
            <w:tcW w:w="2366" w:type="dxa"/>
            <w:vMerge/>
            <w:tcBorders>
              <w:top w:val="single" w:sz="4" w:space="0" w:color="auto"/>
              <w:left w:val="single" w:sz="4" w:space="0" w:color="auto"/>
              <w:bottom w:val="single" w:sz="4" w:space="0" w:color="auto"/>
              <w:right w:val="single" w:sz="12" w:space="0" w:color="auto"/>
            </w:tcBorders>
            <w:vAlign w:val="center"/>
          </w:tcPr>
          <w:p w:rsidR="00240BCE" w:rsidRDefault="00240BCE">
            <w:pPr>
              <w:widowControl/>
              <w:jc w:val="left"/>
              <w:rPr>
                <w:color w:val="FF0000"/>
                <w:sz w:val="21"/>
                <w:szCs w:val="21"/>
                <w:highlight w:val="yellow"/>
              </w:rPr>
            </w:pPr>
          </w:p>
        </w:tc>
      </w:tr>
      <w:tr w:rsidR="00240BCE"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679" w:type="dxa"/>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jc w:val="left"/>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氨氮</w:t>
            </w:r>
          </w:p>
        </w:tc>
        <w:tc>
          <w:tcPr>
            <w:tcW w:w="119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14.1mg/L</w:t>
            </w:r>
          </w:p>
        </w:tc>
        <w:tc>
          <w:tcPr>
            <w:tcW w:w="1272"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8.41mg/L</w:t>
            </w:r>
          </w:p>
        </w:tc>
        <w:tc>
          <w:tcPr>
            <w:tcW w:w="1275" w:type="dxa"/>
            <w:tcBorders>
              <w:top w:val="single" w:sz="4" w:space="0" w:color="auto"/>
              <w:left w:val="single" w:sz="4" w:space="0" w:color="auto"/>
              <w:bottom w:val="single" w:sz="4" w:space="0" w:color="auto"/>
              <w:right w:val="single" w:sz="4" w:space="0" w:color="auto"/>
            </w:tcBorders>
            <w:vAlign w:val="center"/>
          </w:tcPr>
          <w:p w:rsidR="00240BCE" w:rsidRDefault="00AC0334" w:rsidP="00BE7011">
            <w:pPr>
              <w:spacing w:line="280" w:lineRule="exact"/>
              <w:jc w:val="center"/>
              <w:rPr>
                <w:color w:val="000000"/>
                <w:sz w:val="21"/>
                <w:szCs w:val="21"/>
              </w:rPr>
            </w:pPr>
            <w:r>
              <w:rPr>
                <w:color w:val="000000"/>
                <w:sz w:val="21"/>
                <w:szCs w:val="21"/>
              </w:rPr>
              <w:t>0.</w:t>
            </w:r>
            <w:r w:rsidR="00BE7011">
              <w:rPr>
                <w:rFonts w:hint="eastAsia"/>
                <w:color w:val="000000"/>
                <w:sz w:val="21"/>
                <w:szCs w:val="21"/>
              </w:rPr>
              <w:t>308</w:t>
            </w:r>
            <w:r>
              <w:rPr>
                <w:color w:val="000000"/>
                <w:sz w:val="21"/>
                <w:szCs w:val="21"/>
              </w:rPr>
              <w:t>t/a</w:t>
            </w:r>
          </w:p>
        </w:tc>
        <w:tc>
          <w:tcPr>
            <w:tcW w:w="112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80" w:lineRule="exact"/>
              <w:jc w:val="center"/>
              <w:rPr>
                <w:color w:val="000000"/>
                <w:sz w:val="21"/>
                <w:szCs w:val="21"/>
              </w:rPr>
            </w:pPr>
            <w:r>
              <w:rPr>
                <w:color w:val="000000"/>
                <w:sz w:val="21"/>
                <w:szCs w:val="21"/>
              </w:rPr>
              <w:t>0</w:t>
            </w:r>
          </w:p>
        </w:tc>
        <w:tc>
          <w:tcPr>
            <w:tcW w:w="2366" w:type="dxa"/>
            <w:vMerge/>
            <w:tcBorders>
              <w:top w:val="single" w:sz="4" w:space="0" w:color="auto"/>
              <w:left w:val="single" w:sz="4" w:space="0" w:color="auto"/>
              <w:bottom w:val="single" w:sz="4" w:space="0" w:color="auto"/>
              <w:right w:val="single" w:sz="12" w:space="0" w:color="auto"/>
            </w:tcBorders>
            <w:vAlign w:val="center"/>
          </w:tcPr>
          <w:p w:rsidR="00240BCE" w:rsidRDefault="00240BCE">
            <w:pPr>
              <w:widowControl/>
              <w:jc w:val="left"/>
              <w:rPr>
                <w:color w:val="FF0000"/>
                <w:sz w:val="21"/>
                <w:szCs w:val="21"/>
                <w:highlight w:val="yellow"/>
              </w:rPr>
            </w:pPr>
          </w:p>
        </w:tc>
      </w:tr>
      <w:tr w:rsidR="00F16FAA" w:rsidTr="00A11E34">
        <w:trPr>
          <w:trHeight w:val="692"/>
          <w:jc w:val="center"/>
        </w:trPr>
        <w:tc>
          <w:tcPr>
            <w:tcW w:w="488" w:type="dxa"/>
            <w:vMerge w:val="restart"/>
            <w:tcBorders>
              <w:top w:val="single" w:sz="4" w:space="0" w:color="auto"/>
              <w:left w:val="single" w:sz="12"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废气</w:t>
            </w:r>
          </w:p>
        </w:tc>
        <w:tc>
          <w:tcPr>
            <w:tcW w:w="679" w:type="dxa"/>
            <w:vMerge w:val="restart"/>
            <w:tcBorders>
              <w:top w:val="single" w:sz="4" w:space="0" w:color="auto"/>
              <w:left w:val="single" w:sz="4" w:space="0" w:color="auto"/>
              <w:right w:val="single" w:sz="4" w:space="0" w:color="auto"/>
            </w:tcBorders>
            <w:vAlign w:val="center"/>
          </w:tcPr>
          <w:p w:rsidR="00F16FAA" w:rsidRDefault="00F16FAA">
            <w:pPr>
              <w:spacing w:line="280" w:lineRule="exact"/>
              <w:jc w:val="center"/>
              <w:rPr>
                <w:color w:val="000000"/>
                <w:sz w:val="21"/>
                <w:szCs w:val="21"/>
              </w:rPr>
            </w:pPr>
            <w:r>
              <w:rPr>
                <w:rFonts w:hint="eastAsia"/>
                <w:color w:val="000000"/>
                <w:sz w:val="21"/>
                <w:szCs w:val="21"/>
              </w:rPr>
              <w:t>卸煤口</w:t>
            </w:r>
            <w:r>
              <w:rPr>
                <w:color w:val="000000"/>
                <w:sz w:val="21"/>
                <w:szCs w:val="21"/>
              </w:rPr>
              <w:t>扬尘</w:t>
            </w:r>
          </w:p>
        </w:tc>
        <w:tc>
          <w:tcPr>
            <w:tcW w:w="853"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sz w:val="21"/>
                <w:szCs w:val="21"/>
              </w:rPr>
            </w:pPr>
            <w:r>
              <w:rPr>
                <w:rFonts w:hint="eastAsia"/>
                <w:sz w:val="21"/>
                <w:szCs w:val="21"/>
              </w:rPr>
              <w:t>无组织</w:t>
            </w:r>
          </w:p>
          <w:p w:rsidR="00F16FAA" w:rsidRDefault="00F16FAA">
            <w:pPr>
              <w:spacing w:line="280" w:lineRule="exact"/>
              <w:jc w:val="center"/>
              <w:rPr>
                <w:sz w:val="21"/>
                <w:szCs w:val="21"/>
              </w:rPr>
            </w:pPr>
            <w:r>
              <w:rPr>
                <w:sz w:val="21"/>
                <w:szCs w:val="21"/>
              </w:rPr>
              <w:t>颗粒物</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sz w:val="21"/>
                <w:szCs w:val="21"/>
              </w:rPr>
            </w:pPr>
            <w:r>
              <w:rPr>
                <w:sz w:val="21"/>
                <w:szCs w:val="21"/>
              </w:rPr>
              <w:t>--</w:t>
            </w:r>
          </w:p>
        </w:tc>
        <w:tc>
          <w:tcPr>
            <w:tcW w:w="1272"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sz w:val="21"/>
                <w:szCs w:val="21"/>
              </w:rPr>
            </w:pPr>
            <w:r>
              <w:rPr>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sz w:val="21"/>
                <w:szCs w:val="21"/>
              </w:rPr>
            </w:pPr>
            <w:r>
              <w:rPr>
                <w:rFonts w:hint="eastAsia"/>
                <w:sz w:val="21"/>
                <w:szCs w:val="21"/>
              </w:rPr>
              <w:t>0.3t/a</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sz w:val="21"/>
                <w:szCs w:val="21"/>
              </w:rPr>
            </w:pPr>
            <w:r>
              <w:rPr>
                <w:rFonts w:hint="eastAsia"/>
                <w:sz w:val="21"/>
                <w:szCs w:val="21"/>
              </w:rPr>
              <w:t>0.3t/a</w:t>
            </w:r>
          </w:p>
        </w:tc>
        <w:tc>
          <w:tcPr>
            <w:tcW w:w="2366" w:type="dxa"/>
            <w:vMerge w:val="restart"/>
            <w:tcBorders>
              <w:top w:val="single" w:sz="4" w:space="0" w:color="auto"/>
              <w:left w:val="single" w:sz="4" w:space="0" w:color="auto"/>
              <w:right w:val="single" w:sz="12" w:space="0" w:color="auto"/>
            </w:tcBorders>
            <w:vAlign w:val="center"/>
          </w:tcPr>
          <w:p w:rsidR="00F16FAA" w:rsidRDefault="00F16FAA" w:rsidP="00761316">
            <w:pPr>
              <w:spacing w:line="280" w:lineRule="exact"/>
              <w:jc w:val="center"/>
              <w:rPr>
                <w:sz w:val="21"/>
                <w:szCs w:val="21"/>
              </w:rPr>
            </w:pPr>
            <w:r>
              <w:rPr>
                <w:sz w:val="21"/>
                <w:szCs w:val="21"/>
              </w:rPr>
              <w:t>采用全封闭式输煤皮带廊，井口卸煤点封闭，</w:t>
            </w:r>
            <w:r w:rsidRPr="00D91CB5">
              <w:rPr>
                <w:rFonts w:hint="eastAsia"/>
                <w:sz w:val="21"/>
                <w:szCs w:val="21"/>
              </w:rPr>
              <w:t>安装袋式除尘器</w:t>
            </w:r>
          </w:p>
        </w:tc>
      </w:tr>
      <w:tr w:rsidR="00F16FAA" w:rsidTr="00A11E34">
        <w:trPr>
          <w:trHeight w:val="526"/>
          <w:jc w:val="center"/>
        </w:trPr>
        <w:tc>
          <w:tcPr>
            <w:tcW w:w="488" w:type="dxa"/>
            <w:vMerge/>
            <w:tcBorders>
              <w:left w:val="single" w:sz="12" w:space="0" w:color="auto"/>
              <w:right w:val="single" w:sz="4" w:space="0" w:color="auto"/>
            </w:tcBorders>
            <w:vAlign w:val="center"/>
          </w:tcPr>
          <w:p w:rsidR="00F16FAA" w:rsidRDefault="00F16FAA">
            <w:pPr>
              <w:spacing w:line="280" w:lineRule="exact"/>
              <w:jc w:val="center"/>
              <w:rPr>
                <w:color w:val="000000"/>
                <w:sz w:val="21"/>
                <w:szCs w:val="21"/>
              </w:rPr>
            </w:pPr>
          </w:p>
        </w:tc>
        <w:tc>
          <w:tcPr>
            <w:tcW w:w="679" w:type="dxa"/>
            <w:vMerge/>
            <w:tcBorders>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F16FAA" w:rsidRDefault="00F16FAA" w:rsidP="00761316">
            <w:pPr>
              <w:spacing w:line="280" w:lineRule="exact"/>
              <w:jc w:val="center"/>
              <w:rPr>
                <w:sz w:val="21"/>
                <w:szCs w:val="21"/>
              </w:rPr>
            </w:pPr>
            <w:r>
              <w:rPr>
                <w:rFonts w:hint="eastAsia"/>
                <w:sz w:val="21"/>
                <w:szCs w:val="21"/>
              </w:rPr>
              <w:t>有组织</w:t>
            </w:r>
          </w:p>
          <w:p w:rsidR="00F16FAA" w:rsidRDefault="00F16FAA" w:rsidP="00761316">
            <w:pPr>
              <w:spacing w:line="280" w:lineRule="exact"/>
              <w:jc w:val="center"/>
              <w:rPr>
                <w:sz w:val="21"/>
                <w:szCs w:val="21"/>
              </w:rPr>
            </w:pPr>
            <w:r>
              <w:rPr>
                <w:rFonts w:hint="eastAsia"/>
                <w:sz w:val="21"/>
                <w:szCs w:val="21"/>
              </w:rPr>
              <w:t>颗粒物</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Default="00F16FAA" w:rsidP="00761316">
            <w:pPr>
              <w:spacing w:line="280" w:lineRule="exact"/>
              <w:jc w:val="center"/>
              <w:rPr>
                <w:sz w:val="21"/>
                <w:szCs w:val="21"/>
              </w:rPr>
            </w:pPr>
            <w:r>
              <w:rPr>
                <w:rFonts w:hint="eastAsia"/>
                <w:color w:val="000000"/>
                <w:sz w:val="21"/>
                <w:szCs w:val="21"/>
              </w:rPr>
              <w:t>681.8</w:t>
            </w:r>
            <w:r>
              <w:rPr>
                <w:color w:val="000000"/>
                <w:sz w:val="21"/>
                <w:szCs w:val="21"/>
              </w:rPr>
              <w:t>mg/m</w:t>
            </w:r>
            <w:r>
              <w:rPr>
                <w:color w:val="000000"/>
                <w:sz w:val="21"/>
                <w:szCs w:val="21"/>
                <w:vertAlign w:val="superscript"/>
              </w:rPr>
              <w:t>3</w:t>
            </w:r>
          </w:p>
        </w:tc>
        <w:tc>
          <w:tcPr>
            <w:tcW w:w="1272" w:type="dxa"/>
            <w:tcBorders>
              <w:top w:val="single" w:sz="4" w:space="0" w:color="auto"/>
              <w:left w:val="single" w:sz="4" w:space="0" w:color="auto"/>
              <w:bottom w:val="single" w:sz="4" w:space="0" w:color="auto"/>
              <w:right w:val="single" w:sz="4" w:space="0" w:color="auto"/>
            </w:tcBorders>
            <w:vAlign w:val="center"/>
          </w:tcPr>
          <w:p w:rsidR="00F16FAA" w:rsidRDefault="00F16FAA" w:rsidP="00761316">
            <w:pPr>
              <w:spacing w:line="280" w:lineRule="exact"/>
              <w:jc w:val="center"/>
              <w:rPr>
                <w:sz w:val="21"/>
                <w:szCs w:val="21"/>
              </w:rPr>
            </w:pPr>
            <w:r>
              <w:rPr>
                <w:rFonts w:hint="eastAsia"/>
                <w:color w:val="000000"/>
                <w:sz w:val="21"/>
                <w:szCs w:val="21"/>
              </w:rPr>
              <w:t>0.68</w:t>
            </w:r>
            <w:r>
              <w:rPr>
                <w:color w:val="000000"/>
                <w:sz w:val="21"/>
                <w:szCs w:val="21"/>
              </w:rPr>
              <w:t>mg/m</w:t>
            </w:r>
            <w:r>
              <w:rPr>
                <w:color w:val="000000"/>
                <w:sz w:val="21"/>
                <w:szCs w:val="21"/>
                <w:vertAlign w:val="superscript"/>
              </w:rPr>
              <w:t>3</w:t>
            </w:r>
          </w:p>
        </w:tc>
        <w:tc>
          <w:tcPr>
            <w:tcW w:w="1275"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sz w:val="21"/>
                <w:szCs w:val="21"/>
              </w:rPr>
            </w:pPr>
            <w:r>
              <w:rPr>
                <w:rFonts w:hint="eastAsia"/>
                <w:sz w:val="21"/>
                <w:szCs w:val="21"/>
              </w:rPr>
              <w:t>2.7t/a</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Default="00F16FAA" w:rsidP="00A11E34">
            <w:pPr>
              <w:spacing w:line="280" w:lineRule="exact"/>
              <w:jc w:val="center"/>
              <w:rPr>
                <w:sz w:val="21"/>
                <w:szCs w:val="21"/>
              </w:rPr>
            </w:pPr>
            <w:r>
              <w:rPr>
                <w:rFonts w:hint="eastAsia"/>
                <w:sz w:val="21"/>
                <w:szCs w:val="21"/>
              </w:rPr>
              <w:t>0.0027t/a</w:t>
            </w:r>
          </w:p>
        </w:tc>
        <w:tc>
          <w:tcPr>
            <w:tcW w:w="2366" w:type="dxa"/>
            <w:vMerge/>
            <w:tcBorders>
              <w:left w:val="single" w:sz="4" w:space="0" w:color="auto"/>
              <w:bottom w:val="single" w:sz="4" w:space="0" w:color="auto"/>
              <w:right w:val="single" w:sz="12" w:space="0" w:color="auto"/>
            </w:tcBorders>
            <w:vAlign w:val="center"/>
          </w:tcPr>
          <w:p w:rsidR="00F16FAA" w:rsidRDefault="00F16FAA" w:rsidP="00761316">
            <w:pPr>
              <w:spacing w:line="280" w:lineRule="exact"/>
              <w:jc w:val="center"/>
              <w:rPr>
                <w:sz w:val="21"/>
                <w:szCs w:val="21"/>
              </w:rPr>
            </w:pPr>
          </w:p>
        </w:tc>
      </w:tr>
      <w:tr w:rsidR="00F16FAA" w:rsidTr="00761316">
        <w:trPr>
          <w:trHeight w:val="712"/>
          <w:jc w:val="center"/>
        </w:trPr>
        <w:tc>
          <w:tcPr>
            <w:tcW w:w="488" w:type="dxa"/>
            <w:vMerge/>
            <w:tcBorders>
              <w:left w:val="single" w:sz="12" w:space="0" w:color="auto"/>
              <w:right w:val="single" w:sz="4" w:space="0" w:color="auto"/>
            </w:tcBorders>
            <w:vAlign w:val="center"/>
          </w:tcPr>
          <w:p w:rsidR="00F16FAA" w:rsidRDefault="00F16FAA">
            <w:pPr>
              <w:spacing w:line="280" w:lineRule="exact"/>
              <w:jc w:val="center"/>
              <w:rPr>
                <w:color w:val="000000"/>
                <w:sz w:val="21"/>
                <w:szCs w:val="21"/>
              </w:rPr>
            </w:pPr>
          </w:p>
        </w:tc>
        <w:tc>
          <w:tcPr>
            <w:tcW w:w="679" w:type="dxa"/>
            <w:tcBorders>
              <w:top w:val="single" w:sz="4" w:space="0" w:color="auto"/>
              <w:left w:val="single" w:sz="4" w:space="0" w:color="auto"/>
              <w:bottom w:val="single" w:sz="4" w:space="0" w:color="auto"/>
              <w:right w:val="single" w:sz="4" w:space="0" w:color="auto"/>
            </w:tcBorders>
            <w:vAlign w:val="center"/>
          </w:tcPr>
          <w:p w:rsidR="00F16FAA" w:rsidRDefault="00F16FAA" w:rsidP="00761316">
            <w:pPr>
              <w:spacing w:line="280" w:lineRule="exact"/>
              <w:jc w:val="center"/>
              <w:rPr>
                <w:color w:val="000000"/>
                <w:sz w:val="21"/>
                <w:szCs w:val="21"/>
              </w:rPr>
            </w:pPr>
            <w:r>
              <w:rPr>
                <w:color w:val="000000"/>
                <w:sz w:val="21"/>
                <w:szCs w:val="21"/>
              </w:rPr>
              <w:t>储煤库扬尘</w:t>
            </w:r>
          </w:p>
        </w:tc>
        <w:tc>
          <w:tcPr>
            <w:tcW w:w="853" w:type="dxa"/>
            <w:tcBorders>
              <w:top w:val="single" w:sz="4" w:space="0" w:color="auto"/>
              <w:left w:val="single" w:sz="4" w:space="0" w:color="auto"/>
              <w:bottom w:val="single" w:sz="4" w:space="0" w:color="auto"/>
              <w:right w:val="single" w:sz="4" w:space="0" w:color="auto"/>
            </w:tcBorders>
            <w:vAlign w:val="center"/>
          </w:tcPr>
          <w:p w:rsidR="00F16FAA" w:rsidRDefault="00F16FAA" w:rsidP="00761316">
            <w:pPr>
              <w:spacing w:line="280" w:lineRule="exact"/>
              <w:jc w:val="center"/>
              <w:rPr>
                <w:sz w:val="21"/>
                <w:szCs w:val="21"/>
              </w:rPr>
            </w:pPr>
            <w:r>
              <w:rPr>
                <w:rFonts w:hint="eastAsia"/>
                <w:sz w:val="21"/>
                <w:szCs w:val="21"/>
              </w:rPr>
              <w:t>无组织</w:t>
            </w:r>
          </w:p>
          <w:p w:rsidR="00F16FAA" w:rsidRDefault="00F16FAA" w:rsidP="00761316">
            <w:pPr>
              <w:spacing w:line="280" w:lineRule="exact"/>
              <w:jc w:val="center"/>
              <w:rPr>
                <w:sz w:val="21"/>
                <w:szCs w:val="21"/>
              </w:rPr>
            </w:pPr>
            <w:r>
              <w:rPr>
                <w:sz w:val="21"/>
                <w:szCs w:val="21"/>
              </w:rPr>
              <w:t>颗粒物</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Default="00F16FAA" w:rsidP="00A11E34">
            <w:pPr>
              <w:spacing w:line="280" w:lineRule="exact"/>
              <w:jc w:val="center"/>
              <w:rPr>
                <w:sz w:val="21"/>
                <w:szCs w:val="21"/>
              </w:rPr>
            </w:pPr>
            <w:r>
              <w:rPr>
                <w:sz w:val="21"/>
                <w:szCs w:val="21"/>
              </w:rPr>
              <w:t>--</w:t>
            </w:r>
          </w:p>
        </w:tc>
        <w:tc>
          <w:tcPr>
            <w:tcW w:w="1272" w:type="dxa"/>
            <w:tcBorders>
              <w:top w:val="single" w:sz="4" w:space="0" w:color="auto"/>
              <w:left w:val="single" w:sz="4" w:space="0" w:color="auto"/>
              <w:bottom w:val="single" w:sz="4" w:space="0" w:color="auto"/>
              <w:right w:val="single" w:sz="4" w:space="0" w:color="auto"/>
            </w:tcBorders>
            <w:vAlign w:val="center"/>
          </w:tcPr>
          <w:p w:rsidR="00F16FAA" w:rsidRDefault="00F16FAA" w:rsidP="00A11E34">
            <w:pPr>
              <w:spacing w:line="280" w:lineRule="exact"/>
              <w:jc w:val="center"/>
              <w:rPr>
                <w:sz w:val="21"/>
                <w:szCs w:val="21"/>
              </w:rPr>
            </w:pPr>
            <w:r>
              <w:rPr>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F16FAA" w:rsidRPr="002F1597" w:rsidRDefault="00F16FAA" w:rsidP="00761316">
            <w:pPr>
              <w:spacing w:line="280" w:lineRule="exact"/>
              <w:jc w:val="center"/>
              <w:rPr>
                <w:sz w:val="21"/>
                <w:szCs w:val="21"/>
                <w:highlight w:val="green"/>
              </w:rPr>
            </w:pPr>
            <w:r>
              <w:rPr>
                <w:rFonts w:hint="eastAsia"/>
                <w:sz w:val="21"/>
                <w:szCs w:val="21"/>
              </w:rPr>
              <w:t>3.3t/a</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Pr="002F1597" w:rsidRDefault="00F16FAA" w:rsidP="00761316">
            <w:pPr>
              <w:spacing w:line="280" w:lineRule="exact"/>
              <w:jc w:val="center"/>
              <w:rPr>
                <w:sz w:val="21"/>
                <w:szCs w:val="21"/>
                <w:highlight w:val="green"/>
              </w:rPr>
            </w:pPr>
            <w:r>
              <w:rPr>
                <w:rFonts w:hint="eastAsia"/>
                <w:sz w:val="21"/>
                <w:szCs w:val="21"/>
              </w:rPr>
              <w:t>0.33t/a</w:t>
            </w:r>
          </w:p>
        </w:tc>
        <w:tc>
          <w:tcPr>
            <w:tcW w:w="2366" w:type="dxa"/>
            <w:tcBorders>
              <w:top w:val="single" w:sz="4" w:space="0" w:color="auto"/>
              <w:left w:val="single" w:sz="4" w:space="0" w:color="auto"/>
              <w:bottom w:val="single" w:sz="4" w:space="0" w:color="auto"/>
              <w:right w:val="single" w:sz="12" w:space="0" w:color="auto"/>
            </w:tcBorders>
            <w:vAlign w:val="center"/>
          </w:tcPr>
          <w:p w:rsidR="00F16FAA" w:rsidRDefault="00F16FAA" w:rsidP="00761316">
            <w:pPr>
              <w:spacing w:line="280" w:lineRule="exact"/>
              <w:jc w:val="center"/>
              <w:rPr>
                <w:sz w:val="21"/>
                <w:szCs w:val="21"/>
              </w:rPr>
            </w:pPr>
            <w:r w:rsidRPr="0054528E">
              <w:rPr>
                <w:sz w:val="21"/>
                <w:szCs w:val="21"/>
              </w:rPr>
              <w:t>储煤库全封闭，且落煤处设置洒水喷头</w:t>
            </w:r>
            <w:r w:rsidRPr="0054528E">
              <w:rPr>
                <w:sz w:val="21"/>
                <w:szCs w:val="21"/>
              </w:rPr>
              <w:t>1</w:t>
            </w:r>
            <w:r w:rsidRPr="0054528E">
              <w:rPr>
                <w:sz w:val="21"/>
                <w:szCs w:val="21"/>
              </w:rPr>
              <w:t>个，并在储煤库四周安装自动洒水喷头进行洒水降尘</w:t>
            </w:r>
          </w:p>
        </w:tc>
      </w:tr>
      <w:tr w:rsidR="00F16FAA" w:rsidTr="00F16FAA">
        <w:trPr>
          <w:trHeight w:val="543"/>
          <w:jc w:val="center"/>
        </w:trPr>
        <w:tc>
          <w:tcPr>
            <w:tcW w:w="488" w:type="dxa"/>
            <w:vMerge/>
            <w:tcBorders>
              <w:left w:val="single" w:sz="12" w:space="0" w:color="auto"/>
              <w:right w:val="single" w:sz="4" w:space="0" w:color="auto"/>
            </w:tcBorders>
            <w:vAlign w:val="center"/>
          </w:tcPr>
          <w:p w:rsidR="00F16FAA" w:rsidRDefault="00F16FAA">
            <w:pPr>
              <w:spacing w:line="280" w:lineRule="exact"/>
              <w:jc w:val="center"/>
              <w:rPr>
                <w:color w:val="000000"/>
                <w:sz w:val="21"/>
                <w:szCs w:val="21"/>
              </w:rPr>
            </w:pPr>
          </w:p>
        </w:tc>
        <w:tc>
          <w:tcPr>
            <w:tcW w:w="679" w:type="dxa"/>
            <w:vMerge w:val="restart"/>
            <w:tcBorders>
              <w:top w:val="single" w:sz="4" w:space="0" w:color="auto"/>
              <w:left w:val="single" w:sz="4" w:space="0" w:color="auto"/>
              <w:right w:val="single" w:sz="4" w:space="0" w:color="auto"/>
            </w:tcBorders>
            <w:vAlign w:val="center"/>
          </w:tcPr>
          <w:p w:rsidR="00F16FAA" w:rsidRPr="001A6A92" w:rsidRDefault="00F16FAA" w:rsidP="00A11E34">
            <w:pPr>
              <w:spacing w:line="280" w:lineRule="exact"/>
              <w:jc w:val="center"/>
              <w:rPr>
                <w:sz w:val="21"/>
                <w:szCs w:val="21"/>
              </w:rPr>
            </w:pPr>
            <w:r w:rsidRPr="001A6A92">
              <w:rPr>
                <w:rFonts w:hint="eastAsia"/>
                <w:sz w:val="21"/>
                <w:szCs w:val="21"/>
              </w:rPr>
              <w:t>食堂油烟</w:t>
            </w:r>
          </w:p>
        </w:tc>
        <w:tc>
          <w:tcPr>
            <w:tcW w:w="853" w:type="dxa"/>
            <w:tcBorders>
              <w:top w:val="single" w:sz="4" w:space="0" w:color="auto"/>
              <w:left w:val="single" w:sz="4" w:space="0" w:color="auto"/>
              <w:bottom w:val="single" w:sz="4" w:space="0" w:color="auto"/>
              <w:right w:val="single" w:sz="4" w:space="0" w:color="auto"/>
            </w:tcBorders>
            <w:vAlign w:val="center"/>
          </w:tcPr>
          <w:p w:rsidR="00F16FAA" w:rsidRPr="001A6A92" w:rsidRDefault="00F16FAA" w:rsidP="00A11E34">
            <w:pPr>
              <w:jc w:val="center"/>
              <w:rPr>
                <w:spacing w:val="2"/>
                <w:sz w:val="21"/>
                <w:szCs w:val="21"/>
              </w:rPr>
            </w:pPr>
            <w:r w:rsidRPr="001A6A92">
              <w:rPr>
                <w:rFonts w:hint="eastAsia"/>
                <w:spacing w:val="2"/>
                <w:sz w:val="21"/>
                <w:szCs w:val="21"/>
              </w:rPr>
              <w:t>油烟</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Pr="001A6A92" w:rsidRDefault="00F16FAA" w:rsidP="00A11E34">
            <w:pPr>
              <w:jc w:val="center"/>
              <w:rPr>
                <w:spacing w:val="2"/>
                <w:sz w:val="21"/>
                <w:szCs w:val="21"/>
              </w:rPr>
            </w:pPr>
            <w:r w:rsidRPr="001A6A92">
              <w:rPr>
                <w:rFonts w:hint="eastAsia"/>
                <w:spacing w:val="2"/>
                <w:sz w:val="21"/>
                <w:szCs w:val="21"/>
              </w:rPr>
              <w:t>7.3</w:t>
            </w:r>
            <w:r w:rsidRPr="001A6A92">
              <w:rPr>
                <w:rFonts w:hint="eastAsia"/>
                <w:sz w:val="21"/>
                <w:szCs w:val="21"/>
              </w:rPr>
              <w:t>mg/m</w:t>
            </w:r>
            <w:r w:rsidRPr="001A6A92">
              <w:rPr>
                <w:rFonts w:hint="eastAsia"/>
                <w:sz w:val="21"/>
                <w:szCs w:val="21"/>
                <w:vertAlign w:val="superscript"/>
              </w:rPr>
              <w:t>3</w:t>
            </w:r>
          </w:p>
        </w:tc>
        <w:tc>
          <w:tcPr>
            <w:tcW w:w="1272" w:type="dxa"/>
            <w:tcBorders>
              <w:top w:val="single" w:sz="4" w:space="0" w:color="auto"/>
              <w:left w:val="single" w:sz="4" w:space="0" w:color="auto"/>
              <w:bottom w:val="single" w:sz="4" w:space="0" w:color="auto"/>
              <w:right w:val="single" w:sz="4" w:space="0" w:color="auto"/>
            </w:tcBorders>
            <w:vAlign w:val="center"/>
          </w:tcPr>
          <w:p w:rsidR="00F16FAA" w:rsidRPr="001A6A92" w:rsidRDefault="00F16FAA" w:rsidP="00A11E34">
            <w:pPr>
              <w:jc w:val="center"/>
              <w:rPr>
                <w:spacing w:val="2"/>
                <w:sz w:val="21"/>
                <w:szCs w:val="21"/>
              </w:rPr>
            </w:pPr>
            <w:r>
              <w:rPr>
                <w:rFonts w:hint="eastAsia"/>
                <w:spacing w:val="2"/>
                <w:sz w:val="21"/>
                <w:szCs w:val="21"/>
              </w:rPr>
              <w:t>0.37</w:t>
            </w:r>
            <w:r w:rsidRPr="001A6A92">
              <w:rPr>
                <w:rFonts w:hint="eastAsia"/>
                <w:sz w:val="21"/>
                <w:szCs w:val="21"/>
              </w:rPr>
              <w:t xml:space="preserve"> mg/m</w:t>
            </w:r>
            <w:r w:rsidRPr="001A6A92">
              <w:rPr>
                <w:rFonts w:hint="eastAsia"/>
                <w:sz w:val="21"/>
                <w:szCs w:val="21"/>
                <w:vertAlign w:val="superscript"/>
              </w:rPr>
              <w:t>3</w:t>
            </w:r>
          </w:p>
        </w:tc>
        <w:tc>
          <w:tcPr>
            <w:tcW w:w="1275" w:type="dxa"/>
            <w:tcBorders>
              <w:top w:val="single" w:sz="4" w:space="0" w:color="auto"/>
              <w:left w:val="single" w:sz="4" w:space="0" w:color="auto"/>
              <w:bottom w:val="single" w:sz="4" w:space="0" w:color="auto"/>
              <w:right w:val="single" w:sz="4" w:space="0" w:color="auto"/>
            </w:tcBorders>
            <w:vAlign w:val="center"/>
          </w:tcPr>
          <w:p w:rsidR="00F16FAA" w:rsidRPr="001A6A92" w:rsidRDefault="00F16FAA" w:rsidP="00A11E34">
            <w:pPr>
              <w:jc w:val="center"/>
              <w:rPr>
                <w:spacing w:val="2"/>
                <w:sz w:val="21"/>
                <w:szCs w:val="21"/>
              </w:rPr>
            </w:pPr>
            <w:r w:rsidRPr="001A6A92">
              <w:rPr>
                <w:rFonts w:hint="eastAsia"/>
                <w:spacing w:val="2"/>
                <w:sz w:val="21"/>
                <w:szCs w:val="21"/>
              </w:rPr>
              <w:t>0.168t/a</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Pr="001A6A92" w:rsidRDefault="00F16FAA" w:rsidP="00A11E34">
            <w:pPr>
              <w:jc w:val="center"/>
              <w:rPr>
                <w:spacing w:val="2"/>
                <w:sz w:val="21"/>
                <w:szCs w:val="21"/>
              </w:rPr>
            </w:pPr>
            <w:r w:rsidRPr="001A6A92">
              <w:rPr>
                <w:rFonts w:hint="eastAsia"/>
                <w:spacing w:val="2"/>
                <w:sz w:val="21"/>
                <w:szCs w:val="21"/>
              </w:rPr>
              <w:t>0.</w:t>
            </w:r>
            <w:r>
              <w:rPr>
                <w:rFonts w:hint="eastAsia"/>
                <w:spacing w:val="2"/>
                <w:sz w:val="21"/>
                <w:szCs w:val="21"/>
              </w:rPr>
              <w:t>0085</w:t>
            </w:r>
            <w:r w:rsidRPr="001A6A92">
              <w:rPr>
                <w:rFonts w:hint="eastAsia"/>
                <w:spacing w:val="2"/>
                <w:sz w:val="21"/>
                <w:szCs w:val="21"/>
              </w:rPr>
              <w:t>t/a</w:t>
            </w:r>
          </w:p>
        </w:tc>
        <w:tc>
          <w:tcPr>
            <w:tcW w:w="2366" w:type="dxa"/>
            <w:vMerge w:val="restart"/>
            <w:tcBorders>
              <w:top w:val="single" w:sz="4" w:space="0" w:color="auto"/>
              <w:left w:val="single" w:sz="4" w:space="0" w:color="auto"/>
              <w:right w:val="single" w:sz="12" w:space="0" w:color="auto"/>
            </w:tcBorders>
            <w:vAlign w:val="center"/>
          </w:tcPr>
          <w:p w:rsidR="00F16FAA" w:rsidRPr="001A6A92" w:rsidRDefault="00F16FAA" w:rsidP="00A11E34">
            <w:pPr>
              <w:spacing w:line="280" w:lineRule="exact"/>
              <w:jc w:val="center"/>
              <w:rPr>
                <w:sz w:val="21"/>
                <w:szCs w:val="21"/>
              </w:rPr>
            </w:pPr>
            <w:r w:rsidRPr="001A6A92">
              <w:rPr>
                <w:rFonts w:hint="eastAsia"/>
                <w:sz w:val="21"/>
                <w:szCs w:val="21"/>
              </w:rPr>
              <w:t>食堂油烟采用静电式油烟净化器进行处理后楼顶排放。油烟处理效率</w:t>
            </w:r>
            <w:r w:rsidRPr="001A6A92">
              <w:rPr>
                <w:rFonts w:hint="eastAsia"/>
                <w:sz w:val="21"/>
                <w:szCs w:val="21"/>
              </w:rPr>
              <w:t xml:space="preserve"> 95%</w:t>
            </w:r>
            <w:r w:rsidRPr="001A6A92">
              <w:rPr>
                <w:rFonts w:hint="eastAsia"/>
                <w:sz w:val="21"/>
                <w:szCs w:val="21"/>
              </w:rPr>
              <w:t>，非甲烷总烃处理效率</w:t>
            </w:r>
            <w:r w:rsidRPr="001A6A92">
              <w:rPr>
                <w:rFonts w:hint="eastAsia"/>
                <w:sz w:val="21"/>
                <w:szCs w:val="21"/>
              </w:rPr>
              <w:t xml:space="preserve"> 60%</w:t>
            </w:r>
          </w:p>
        </w:tc>
      </w:tr>
      <w:tr w:rsidR="00F16FAA" w:rsidTr="00A11E34">
        <w:trPr>
          <w:trHeight w:val="598"/>
          <w:jc w:val="center"/>
        </w:trPr>
        <w:tc>
          <w:tcPr>
            <w:tcW w:w="488" w:type="dxa"/>
            <w:vMerge/>
            <w:tcBorders>
              <w:left w:val="single" w:sz="12"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679" w:type="dxa"/>
            <w:vMerge/>
            <w:tcBorders>
              <w:left w:val="single" w:sz="4" w:space="0" w:color="auto"/>
              <w:bottom w:val="single" w:sz="4" w:space="0" w:color="auto"/>
              <w:right w:val="single" w:sz="4" w:space="0" w:color="auto"/>
            </w:tcBorders>
            <w:vAlign w:val="center"/>
          </w:tcPr>
          <w:p w:rsidR="00F16FAA" w:rsidRDefault="00F16FAA" w:rsidP="00761316">
            <w:pPr>
              <w:spacing w:line="280" w:lineRule="exact"/>
              <w:jc w:val="center"/>
              <w:rPr>
                <w:color w:val="000000"/>
                <w:sz w:val="21"/>
                <w:szCs w:val="21"/>
              </w:rPr>
            </w:pPr>
          </w:p>
        </w:tc>
        <w:tc>
          <w:tcPr>
            <w:tcW w:w="853" w:type="dxa"/>
            <w:tcBorders>
              <w:top w:val="single" w:sz="4" w:space="0" w:color="auto"/>
              <w:left w:val="single" w:sz="4" w:space="0" w:color="auto"/>
              <w:bottom w:val="single" w:sz="4" w:space="0" w:color="auto"/>
              <w:right w:val="single" w:sz="4" w:space="0" w:color="auto"/>
            </w:tcBorders>
            <w:vAlign w:val="center"/>
          </w:tcPr>
          <w:p w:rsidR="00F16FAA" w:rsidRDefault="00F16FAA" w:rsidP="00761316">
            <w:pPr>
              <w:spacing w:line="280" w:lineRule="exact"/>
              <w:jc w:val="center"/>
              <w:rPr>
                <w:sz w:val="21"/>
                <w:szCs w:val="21"/>
              </w:rPr>
            </w:pPr>
            <w:r w:rsidRPr="001A6A92">
              <w:rPr>
                <w:rFonts w:hint="eastAsia"/>
                <w:spacing w:val="2"/>
                <w:sz w:val="21"/>
                <w:szCs w:val="21"/>
              </w:rPr>
              <w:t>非甲烷总烃</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Pr="001A6A92" w:rsidRDefault="00F16FAA" w:rsidP="00A11E34">
            <w:pPr>
              <w:jc w:val="center"/>
              <w:rPr>
                <w:spacing w:val="2"/>
                <w:sz w:val="21"/>
                <w:szCs w:val="21"/>
              </w:rPr>
            </w:pPr>
            <w:r>
              <w:rPr>
                <w:rFonts w:hint="eastAsia"/>
                <w:spacing w:val="2"/>
                <w:sz w:val="21"/>
                <w:szCs w:val="21"/>
              </w:rPr>
              <w:t>13.3</w:t>
            </w:r>
            <w:r w:rsidRPr="001A6A92">
              <w:rPr>
                <w:rFonts w:hint="eastAsia"/>
                <w:sz w:val="21"/>
                <w:szCs w:val="21"/>
              </w:rPr>
              <w:t>mg/m</w:t>
            </w:r>
            <w:r w:rsidRPr="001A6A92">
              <w:rPr>
                <w:rFonts w:hint="eastAsia"/>
                <w:sz w:val="21"/>
                <w:szCs w:val="21"/>
                <w:vertAlign w:val="superscript"/>
              </w:rPr>
              <w:t>3</w:t>
            </w:r>
          </w:p>
        </w:tc>
        <w:tc>
          <w:tcPr>
            <w:tcW w:w="1272" w:type="dxa"/>
            <w:tcBorders>
              <w:top w:val="single" w:sz="4" w:space="0" w:color="auto"/>
              <w:left w:val="single" w:sz="4" w:space="0" w:color="auto"/>
              <w:bottom w:val="single" w:sz="4" w:space="0" w:color="auto"/>
              <w:right w:val="single" w:sz="4" w:space="0" w:color="auto"/>
            </w:tcBorders>
            <w:vAlign w:val="center"/>
          </w:tcPr>
          <w:p w:rsidR="00F16FAA" w:rsidRPr="001A6A92" w:rsidRDefault="00F16FAA" w:rsidP="00A11E34">
            <w:pPr>
              <w:jc w:val="center"/>
              <w:rPr>
                <w:spacing w:val="2"/>
                <w:sz w:val="21"/>
                <w:szCs w:val="21"/>
              </w:rPr>
            </w:pPr>
            <w:r w:rsidRPr="001A6A92">
              <w:rPr>
                <w:rFonts w:hint="eastAsia"/>
                <w:spacing w:val="2"/>
                <w:sz w:val="21"/>
                <w:szCs w:val="21"/>
              </w:rPr>
              <w:t>8</w:t>
            </w:r>
            <w:r w:rsidRPr="001A6A92">
              <w:rPr>
                <w:rFonts w:hint="eastAsia"/>
                <w:sz w:val="21"/>
                <w:szCs w:val="21"/>
              </w:rPr>
              <w:t>mg/m</w:t>
            </w:r>
            <w:r w:rsidRPr="001A6A92">
              <w:rPr>
                <w:rFonts w:hint="eastAsia"/>
                <w:sz w:val="21"/>
                <w:szCs w:val="21"/>
                <w:vertAlign w:val="superscript"/>
              </w:rPr>
              <w:t>3</w:t>
            </w:r>
          </w:p>
        </w:tc>
        <w:tc>
          <w:tcPr>
            <w:tcW w:w="1275" w:type="dxa"/>
            <w:tcBorders>
              <w:top w:val="single" w:sz="4" w:space="0" w:color="auto"/>
              <w:left w:val="single" w:sz="4" w:space="0" w:color="auto"/>
              <w:bottom w:val="single" w:sz="4" w:space="0" w:color="auto"/>
              <w:right w:val="single" w:sz="4" w:space="0" w:color="auto"/>
            </w:tcBorders>
            <w:vAlign w:val="center"/>
          </w:tcPr>
          <w:p w:rsidR="00F16FAA" w:rsidRPr="001A6A92" w:rsidRDefault="00F16FAA" w:rsidP="00A11E34">
            <w:pPr>
              <w:jc w:val="center"/>
              <w:rPr>
                <w:spacing w:val="2"/>
                <w:sz w:val="21"/>
                <w:szCs w:val="21"/>
              </w:rPr>
            </w:pPr>
            <w:r w:rsidRPr="001A6A92">
              <w:rPr>
                <w:rFonts w:hint="eastAsia"/>
                <w:spacing w:val="2"/>
                <w:sz w:val="21"/>
                <w:szCs w:val="21"/>
              </w:rPr>
              <w:t>0.</w:t>
            </w:r>
            <w:r>
              <w:rPr>
                <w:rFonts w:hint="eastAsia"/>
                <w:spacing w:val="2"/>
                <w:sz w:val="21"/>
                <w:szCs w:val="21"/>
              </w:rPr>
              <w:t>308</w:t>
            </w:r>
            <w:r w:rsidRPr="001A6A92">
              <w:rPr>
                <w:rFonts w:hint="eastAsia"/>
                <w:spacing w:val="2"/>
                <w:sz w:val="21"/>
                <w:szCs w:val="21"/>
              </w:rPr>
              <w:t xml:space="preserve">t/a </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Pr="001A6A92" w:rsidRDefault="00F16FAA" w:rsidP="00A11E34">
            <w:pPr>
              <w:jc w:val="center"/>
              <w:rPr>
                <w:spacing w:val="2"/>
                <w:sz w:val="21"/>
                <w:szCs w:val="21"/>
              </w:rPr>
            </w:pPr>
            <w:r w:rsidRPr="001A6A92">
              <w:rPr>
                <w:rFonts w:hint="eastAsia"/>
                <w:spacing w:val="2"/>
                <w:sz w:val="21"/>
                <w:szCs w:val="21"/>
              </w:rPr>
              <w:t>0.185t/a</w:t>
            </w:r>
          </w:p>
        </w:tc>
        <w:tc>
          <w:tcPr>
            <w:tcW w:w="2366" w:type="dxa"/>
            <w:vMerge/>
            <w:tcBorders>
              <w:left w:val="single" w:sz="4" w:space="0" w:color="auto"/>
              <w:bottom w:val="single" w:sz="4" w:space="0" w:color="auto"/>
              <w:right w:val="single" w:sz="12" w:space="0" w:color="auto"/>
            </w:tcBorders>
            <w:vAlign w:val="center"/>
          </w:tcPr>
          <w:p w:rsidR="00F16FAA" w:rsidRDefault="00F16FAA" w:rsidP="00761316">
            <w:pPr>
              <w:spacing w:line="280" w:lineRule="exact"/>
              <w:jc w:val="center"/>
              <w:rPr>
                <w:sz w:val="21"/>
                <w:szCs w:val="21"/>
              </w:rPr>
            </w:pPr>
          </w:p>
        </w:tc>
      </w:tr>
      <w:tr w:rsidR="00F16FAA" w:rsidTr="00761316">
        <w:trPr>
          <w:jc w:val="center"/>
        </w:trPr>
        <w:tc>
          <w:tcPr>
            <w:tcW w:w="488" w:type="dxa"/>
            <w:vMerge w:val="restart"/>
            <w:tcBorders>
              <w:top w:val="single" w:sz="4" w:space="0" w:color="auto"/>
              <w:left w:val="single" w:sz="12"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固废</w:t>
            </w: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生产期煤矸石</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w:t>
            </w:r>
          </w:p>
        </w:tc>
        <w:tc>
          <w:tcPr>
            <w:tcW w:w="1272"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2.4</w:t>
            </w:r>
            <w:r>
              <w:rPr>
                <w:color w:val="000000"/>
                <w:sz w:val="21"/>
                <w:szCs w:val="21"/>
              </w:rPr>
              <w:t>万</w:t>
            </w:r>
            <w:r>
              <w:rPr>
                <w:color w:val="000000"/>
                <w:sz w:val="21"/>
                <w:szCs w:val="21"/>
              </w:rPr>
              <w:t>t/a</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0</w:t>
            </w:r>
          </w:p>
        </w:tc>
        <w:tc>
          <w:tcPr>
            <w:tcW w:w="2366" w:type="dxa"/>
            <w:tcBorders>
              <w:top w:val="single" w:sz="4" w:space="0" w:color="auto"/>
              <w:left w:val="single" w:sz="4" w:space="0" w:color="auto"/>
              <w:bottom w:val="single" w:sz="4" w:space="0" w:color="auto"/>
              <w:right w:val="single" w:sz="12" w:space="0" w:color="auto"/>
            </w:tcBorders>
            <w:vAlign w:val="center"/>
          </w:tcPr>
          <w:p w:rsidR="00F16FAA" w:rsidRDefault="00F16FAA">
            <w:pPr>
              <w:spacing w:line="280" w:lineRule="exact"/>
              <w:jc w:val="center"/>
              <w:rPr>
                <w:color w:val="000000"/>
                <w:sz w:val="21"/>
                <w:szCs w:val="21"/>
              </w:rPr>
            </w:pPr>
            <w:r>
              <w:rPr>
                <w:color w:val="000000"/>
                <w:sz w:val="21"/>
                <w:szCs w:val="21"/>
              </w:rPr>
              <w:t>运往矸石砖厂</w:t>
            </w:r>
          </w:p>
          <w:p w:rsidR="00F16FAA" w:rsidRDefault="00F16FAA">
            <w:pPr>
              <w:spacing w:line="280" w:lineRule="exact"/>
              <w:jc w:val="center"/>
              <w:rPr>
                <w:color w:val="000000"/>
                <w:sz w:val="21"/>
                <w:szCs w:val="21"/>
              </w:rPr>
            </w:pPr>
            <w:r>
              <w:rPr>
                <w:color w:val="000000"/>
                <w:sz w:val="21"/>
                <w:szCs w:val="21"/>
              </w:rPr>
              <w:t>综合利用</w:t>
            </w:r>
          </w:p>
        </w:tc>
      </w:tr>
      <w:tr w:rsidR="00F16FAA"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生活垃圾</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w:t>
            </w:r>
          </w:p>
        </w:tc>
        <w:tc>
          <w:tcPr>
            <w:tcW w:w="1272"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w:t>
            </w:r>
          </w:p>
        </w:tc>
        <w:tc>
          <w:tcPr>
            <w:tcW w:w="1275"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119t/a</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rFonts w:hint="eastAsia"/>
                <w:color w:val="000000"/>
                <w:sz w:val="21"/>
                <w:szCs w:val="21"/>
              </w:rPr>
              <w:t>0</w:t>
            </w:r>
          </w:p>
        </w:tc>
        <w:tc>
          <w:tcPr>
            <w:tcW w:w="2366" w:type="dxa"/>
            <w:tcBorders>
              <w:top w:val="single" w:sz="4" w:space="0" w:color="auto"/>
              <w:left w:val="single" w:sz="4" w:space="0" w:color="auto"/>
              <w:bottom w:val="single" w:sz="4" w:space="0" w:color="auto"/>
              <w:right w:val="single" w:sz="12" w:space="0" w:color="auto"/>
            </w:tcBorders>
            <w:vAlign w:val="center"/>
          </w:tcPr>
          <w:p w:rsidR="00F16FAA" w:rsidRDefault="00F16FAA" w:rsidP="000B7B82">
            <w:pPr>
              <w:spacing w:line="280" w:lineRule="exact"/>
              <w:jc w:val="center"/>
              <w:rPr>
                <w:color w:val="000000"/>
                <w:sz w:val="21"/>
                <w:szCs w:val="21"/>
              </w:rPr>
            </w:pPr>
            <w:r>
              <w:rPr>
                <w:color w:val="000000"/>
                <w:sz w:val="21"/>
                <w:szCs w:val="21"/>
              </w:rPr>
              <w:t>统一收集后运至鸠山镇垃圾中转站</w:t>
            </w:r>
            <w:r>
              <w:rPr>
                <w:rFonts w:hint="eastAsia"/>
                <w:color w:val="000000"/>
                <w:sz w:val="21"/>
                <w:szCs w:val="21"/>
              </w:rPr>
              <w:t>安全</w:t>
            </w:r>
            <w:r>
              <w:rPr>
                <w:color w:val="000000"/>
                <w:sz w:val="21"/>
                <w:szCs w:val="21"/>
              </w:rPr>
              <w:t>处置</w:t>
            </w:r>
          </w:p>
        </w:tc>
      </w:tr>
      <w:tr w:rsidR="00F16FAA"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矿井水处理站污泥</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1272"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20t/a</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0</w:t>
            </w:r>
          </w:p>
        </w:tc>
        <w:tc>
          <w:tcPr>
            <w:tcW w:w="2366" w:type="dxa"/>
            <w:tcBorders>
              <w:top w:val="single" w:sz="4" w:space="0" w:color="auto"/>
              <w:left w:val="single" w:sz="4" w:space="0" w:color="auto"/>
              <w:bottom w:val="single" w:sz="4" w:space="0" w:color="auto"/>
              <w:right w:val="single" w:sz="12" w:space="0" w:color="auto"/>
            </w:tcBorders>
            <w:vAlign w:val="center"/>
          </w:tcPr>
          <w:p w:rsidR="00F16FAA" w:rsidRDefault="00F16FAA">
            <w:pPr>
              <w:spacing w:line="280" w:lineRule="exact"/>
              <w:jc w:val="center"/>
              <w:rPr>
                <w:color w:val="000000"/>
                <w:sz w:val="21"/>
                <w:szCs w:val="21"/>
              </w:rPr>
            </w:pPr>
            <w:r>
              <w:rPr>
                <w:rFonts w:hint="eastAsia"/>
                <w:color w:val="000000"/>
                <w:sz w:val="21"/>
                <w:szCs w:val="21"/>
              </w:rPr>
              <w:t>压滤后</w:t>
            </w:r>
            <w:r>
              <w:rPr>
                <w:color w:val="000000"/>
                <w:sz w:val="21"/>
                <w:szCs w:val="21"/>
              </w:rPr>
              <w:t>掺入原煤销售</w:t>
            </w:r>
          </w:p>
        </w:tc>
      </w:tr>
      <w:tr w:rsidR="00F16FAA"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生活污水处理站污泥</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1272"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0.52t/a</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0</w:t>
            </w:r>
          </w:p>
        </w:tc>
        <w:tc>
          <w:tcPr>
            <w:tcW w:w="2366" w:type="dxa"/>
            <w:tcBorders>
              <w:top w:val="single" w:sz="4" w:space="0" w:color="auto"/>
              <w:left w:val="single" w:sz="4" w:space="0" w:color="auto"/>
              <w:bottom w:val="single" w:sz="4" w:space="0" w:color="auto"/>
              <w:right w:val="single" w:sz="12" w:space="0" w:color="auto"/>
            </w:tcBorders>
            <w:vAlign w:val="center"/>
          </w:tcPr>
          <w:p w:rsidR="00F16FAA" w:rsidRDefault="00F16FAA">
            <w:pPr>
              <w:spacing w:line="280" w:lineRule="exact"/>
              <w:jc w:val="center"/>
              <w:rPr>
                <w:color w:val="000000"/>
                <w:sz w:val="21"/>
                <w:szCs w:val="21"/>
              </w:rPr>
            </w:pPr>
            <w:r>
              <w:rPr>
                <w:color w:val="000000"/>
                <w:sz w:val="21"/>
                <w:szCs w:val="21"/>
              </w:rPr>
              <w:t>与生活垃圾一同处理</w:t>
            </w:r>
          </w:p>
        </w:tc>
      </w:tr>
      <w:tr w:rsidR="00F16FAA" w:rsidTr="00761316">
        <w:trPr>
          <w:jc w:val="center"/>
        </w:trPr>
        <w:tc>
          <w:tcPr>
            <w:tcW w:w="488" w:type="dxa"/>
            <w:vMerge/>
            <w:tcBorders>
              <w:top w:val="single" w:sz="4" w:space="0" w:color="auto"/>
              <w:left w:val="single" w:sz="12" w:space="0" w:color="auto"/>
              <w:bottom w:val="single" w:sz="4" w:space="0" w:color="auto"/>
              <w:right w:val="single" w:sz="4" w:space="0" w:color="auto"/>
            </w:tcBorders>
            <w:vAlign w:val="center"/>
          </w:tcPr>
          <w:p w:rsidR="00F16FAA" w:rsidRDefault="00F16FAA">
            <w:pPr>
              <w:widowControl/>
              <w:jc w:val="left"/>
              <w:rPr>
                <w:color w:val="000000"/>
                <w:sz w:val="21"/>
                <w:szCs w:val="21"/>
              </w:rPr>
            </w:pPr>
          </w:p>
        </w:tc>
        <w:tc>
          <w:tcPr>
            <w:tcW w:w="1532" w:type="dxa"/>
            <w:gridSpan w:val="2"/>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废机油、含油抹</w:t>
            </w:r>
          </w:p>
          <w:p w:rsidR="00F16FAA" w:rsidRDefault="00F16FAA">
            <w:pPr>
              <w:spacing w:line="280" w:lineRule="exact"/>
              <w:jc w:val="center"/>
              <w:rPr>
                <w:color w:val="000000"/>
                <w:sz w:val="21"/>
                <w:szCs w:val="21"/>
              </w:rPr>
            </w:pPr>
            <w:r>
              <w:rPr>
                <w:color w:val="000000"/>
                <w:sz w:val="21"/>
                <w:szCs w:val="21"/>
              </w:rPr>
              <w:t>布及废棉纱等</w:t>
            </w:r>
          </w:p>
        </w:tc>
        <w:tc>
          <w:tcPr>
            <w:tcW w:w="119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1272"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0.3t/a</w:t>
            </w:r>
          </w:p>
        </w:tc>
        <w:tc>
          <w:tcPr>
            <w:tcW w:w="1126" w:type="dxa"/>
            <w:tcBorders>
              <w:top w:val="single" w:sz="4" w:space="0" w:color="auto"/>
              <w:left w:val="single" w:sz="4" w:space="0" w:color="auto"/>
              <w:bottom w:val="single" w:sz="4"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0</w:t>
            </w:r>
          </w:p>
        </w:tc>
        <w:tc>
          <w:tcPr>
            <w:tcW w:w="2366" w:type="dxa"/>
            <w:tcBorders>
              <w:top w:val="single" w:sz="4" w:space="0" w:color="auto"/>
              <w:left w:val="single" w:sz="4" w:space="0" w:color="auto"/>
              <w:bottom w:val="single" w:sz="4" w:space="0" w:color="auto"/>
              <w:right w:val="single" w:sz="12" w:space="0" w:color="auto"/>
            </w:tcBorders>
            <w:vAlign w:val="center"/>
          </w:tcPr>
          <w:p w:rsidR="00F16FAA" w:rsidRDefault="00F16FAA">
            <w:pPr>
              <w:spacing w:line="280" w:lineRule="exact"/>
              <w:jc w:val="center"/>
              <w:rPr>
                <w:color w:val="000000"/>
                <w:sz w:val="21"/>
                <w:szCs w:val="21"/>
              </w:rPr>
            </w:pPr>
            <w:r>
              <w:rPr>
                <w:color w:val="000000"/>
                <w:sz w:val="21"/>
                <w:szCs w:val="21"/>
              </w:rPr>
              <w:t>危废暂存间收集后交由资质单位处置</w:t>
            </w:r>
          </w:p>
        </w:tc>
      </w:tr>
      <w:tr w:rsidR="00F16FAA" w:rsidTr="00761316">
        <w:trPr>
          <w:jc w:val="center"/>
        </w:trPr>
        <w:tc>
          <w:tcPr>
            <w:tcW w:w="488" w:type="dxa"/>
            <w:tcBorders>
              <w:top w:val="single" w:sz="4" w:space="0" w:color="auto"/>
              <w:left w:val="single" w:sz="12" w:space="0" w:color="auto"/>
              <w:bottom w:val="single" w:sz="12"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噪声</w:t>
            </w:r>
          </w:p>
        </w:tc>
        <w:tc>
          <w:tcPr>
            <w:tcW w:w="1532" w:type="dxa"/>
            <w:gridSpan w:val="2"/>
            <w:tcBorders>
              <w:top w:val="single" w:sz="4" w:space="0" w:color="auto"/>
              <w:left w:val="single" w:sz="4" w:space="0" w:color="auto"/>
              <w:bottom w:val="single" w:sz="12"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高噪声设备</w:t>
            </w:r>
          </w:p>
        </w:tc>
        <w:tc>
          <w:tcPr>
            <w:tcW w:w="1196" w:type="dxa"/>
            <w:tcBorders>
              <w:top w:val="single" w:sz="4" w:space="0" w:color="auto"/>
              <w:left w:val="single" w:sz="4" w:space="0" w:color="auto"/>
              <w:bottom w:val="single" w:sz="12"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80</w:t>
            </w:r>
            <w:r>
              <w:rPr>
                <w:color w:val="000000"/>
                <w:sz w:val="21"/>
                <w:szCs w:val="21"/>
              </w:rPr>
              <w:t>～</w:t>
            </w:r>
            <w:r>
              <w:rPr>
                <w:color w:val="000000"/>
                <w:sz w:val="21"/>
                <w:szCs w:val="21"/>
              </w:rPr>
              <w:t>105dB</w:t>
            </w:r>
            <w:r>
              <w:rPr>
                <w:color w:val="000000"/>
                <w:sz w:val="21"/>
                <w:szCs w:val="21"/>
              </w:rPr>
              <w:t>（</w:t>
            </w:r>
            <w:r>
              <w:rPr>
                <w:color w:val="000000"/>
                <w:sz w:val="21"/>
                <w:szCs w:val="21"/>
              </w:rPr>
              <w:t>A</w:t>
            </w:r>
            <w:r>
              <w:rPr>
                <w:color w:val="000000"/>
                <w:sz w:val="21"/>
                <w:szCs w:val="21"/>
              </w:rPr>
              <w:t>）</w:t>
            </w:r>
          </w:p>
        </w:tc>
        <w:tc>
          <w:tcPr>
            <w:tcW w:w="1272" w:type="dxa"/>
            <w:tcBorders>
              <w:top w:val="single" w:sz="4" w:space="0" w:color="auto"/>
              <w:left w:val="single" w:sz="4" w:space="0" w:color="auto"/>
              <w:bottom w:val="single" w:sz="12"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60</w:t>
            </w:r>
            <w:r>
              <w:rPr>
                <w:color w:val="000000"/>
                <w:sz w:val="21"/>
                <w:szCs w:val="21"/>
              </w:rPr>
              <w:t>～</w:t>
            </w:r>
            <w:r>
              <w:rPr>
                <w:color w:val="000000"/>
                <w:sz w:val="21"/>
                <w:szCs w:val="21"/>
              </w:rPr>
              <w:t>81dB</w:t>
            </w:r>
            <w:r>
              <w:rPr>
                <w:color w:val="000000"/>
                <w:sz w:val="21"/>
                <w:szCs w:val="21"/>
              </w:rPr>
              <w:t>（</w:t>
            </w:r>
            <w:r>
              <w:rPr>
                <w:color w:val="000000"/>
                <w:sz w:val="21"/>
                <w:szCs w:val="21"/>
              </w:rPr>
              <w:t>A</w:t>
            </w:r>
            <w:r>
              <w:rPr>
                <w:color w:val="000000"/>
                <w:sz w:val="21"/>
                <w:szCs w:val="21"/>
              </w:rPr>
              <w:t>）</w:t>
            </w:r>
          </w:p>
        </w:tc>
        <w:tc>
          <w:tcPr>
            <w:tcW w:w="1275" w:type="dxa"/>
            <w:tcBorders>
              <w:top w:val="single" w:sz="4" w:space="0" w:color="auto"/>
              <w:left w:val="single" w:sz="4" w:space="0" w:color="auto"/>
              <w:bottom w:val="single" w:sz="12"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w:t>
            </w:r>
          </w:p>
        </w:tc>
        <w:tc>
          <w:tcPr>
            <w:tcW w:w="1126" w:type="dxa"/>
            <w:tcBorders>
              <w:top w:val="single" w:sz="4" w:space="0" w:color="auto"/>
              <w:left w:val="single" w:sz="4" w:space="0" w:color="auto"/>
              <w:bottom w:val="single" w:sz="12" w:space="0" w:color="auto"/>
              <w:right w:val="single" w:sz="4" w:space="0" w:color="auto"/>
            </w:tcBorders>
            <w:vAlign w:val="center"/>
          </w:tcPr>
          <w:p w:rsidR="00F16FAA" w:rsidRDefault="00F16FAA">
            <w:pPr>
              <w:spacing w:line="280" w:lineRule="exact"/>
              <w:jc w:val="center"/>
              <w:rPr>
                <w:color w:val="000000"/>
                <w:sz w:val="21"/>
                <w:szCs w:val="21"/>
              </w:rPr>
            </w:pPr>
            <w:r>
              <w:rPr>
                <w:color w:val="000000"/>
                <w:sz w:val="21"/>
                <w:szCs w:val="21"/>
              </w:rPr>
              <w:t>-</w:t>
            </w:r>
          </w:p>
        </w:tc>
        <w:tc>
          <w:tcPr>
            <w:tcW w:w="2366" w:type="dxa"/>
            <w:tcBorders>
              <w:top w:val="single" w:sz="4" w:space="0" w:color="auto"/>
              <w:left w:val="single" w:sz="4" w:space="0" w:color="auto"/>
              <w:bottom w:val="single" w:sz="12" w:space="0" w:color="auto"/>
              <w:right w:val="single" w:sz="12" w:space="0" w:color="auto"/>
            </w:tcBorders>
            <w:vAlign w:val="center"/>
          </w:tcPr>
          <w:p w:rsidR="00F16FAA" w:rsidRDefault="00F16FAA">
            <w:pPr>
              <w:spacing w:line="280" w:lineRule="exact"/>
              <w:rPr>
                <w:color w:val="000000"/>
                <w:sz w:val="21"/>
                <w:szCs w:val="21"/>
              </w:rPr>
            </w:pPr>
            <w:r>
              <w:rPr>
                <w:color w:val="000000"/>
                <w:sz w:val="21"/>
                <w:szCs w:val="21"/>
              </w:rPr>
              <w:t>采用低噪声设备，并采取隔声、减振、消声、绿化等降噪措施</w:t>
            </w: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302" w:name="_Toc79668652"/>
      <w:r>
        <w:rPr>
          <w:rFonts w:eastAsia="楷体"/>
          <w:sz w:val="28"/>
          <w:szCs w:val="28"/>
        </w:rPr>
        <w:lastRenderedPageBreak/>
        <w:t>3.5.3 “</w:t>
      </w:r>
      <w:r>
        <w:rPr>
          <w:rFonts w:eastAsia="楷体"/>
          <w:sz w:val="28"/>
          <w:szCs w:val="28"/>
        </w:rPr>
        <w:t>三本帐</w:t>
      </w:r>
      <w:r>
        <w:rPr>
          <w:rFonts w:eastAsia="楷体"/>
          <w:sz w:val="28"/>
          <w:szCs w:val="28"/>
        </w:rPr>
        <w:t>”</w:t>
      </w:r>
      <w:r>
        <w:rPr>
          <w:rFonts w:eastAsia="楷体"/>
          <w:sz w:val="28"/>
          <w:szCs w:val="28"/>
        </w:rPr>
        <w:t>分析</w:t>
      </w:r>
      <w:bookmarkEnd w:id="302"/>
    </w:p>
    <w:p w:rsidR="0044514A" w:rsidRPr="00F1793A" w:rsidRDefault="0044514A" w:rsidP="0044514A">
      <w:pPr>
        <w:spacing w:line="520" w:lineRule="exact"/>
        <w:ind w:firstLineChars="200" w:firstLine="482"/>
        <w:jc w:val="left"/>
        <w:rPr>
          <w:b/>
          <w:bCs/>
          <w:i/>
          <w:sz w:val="24"/>
          <w:u w:val="single"/>
        </w:rPr>
      </w:pPr>
      <w:r w:rsidRPr="00F1793A">
        <w:rPr>
          <w:rFonts w:hint="eastAsia"/>
          <w:b/>
          <w:bCs/>
          <w:i/>
          <w:sz w:val="24"/>
          <w:u w:val="single"/>
        </w:rPr>
        <w:t>本次</w:t>
      </w:r>
      <w:r w:rsidRPr="00F1793A">
        <w:rPr>
          <w:b/>
          <w:bCs/>
          <w:i/>
          <w:sz w:val="24"/>
          <w:u w:val="single"/>
        </w:rPr>
        <w:t>升级改造</w:t>
      </w:r>
      <w:r w:rsidRPr="00F1793A">
        <w:rPr>
          <w:rFonts w:hint="eastAsia"/>
          <w:b/>
          <w:bCs/>
          <w:i/>
          <w:sz w:val="24"/>
          <w:u w:val="single"/>
        </w:rPr>
        <w:t>后，项目升级改造前后污染物排放三笔账见表</w:t>
      </w:r>
      <w:r w:rsidRPr="00F1793A">
        <w:rPr>
          <w:b/>
          <w:bCs/>
          <w:i/>
          <w:sz w:val="24"/>
          <w:u w:val="single"/>
        </w:rPr>
        <w:t>3.5-</w:t>
      </w:r>
      <w:r w:rsidRPr="00F1793A">
        <w:rPr>
          <w:rFonts w:hint="eastAsia"/>
          <w:b/>
          <w:bCs/>
          <w:i/>
          <w:sz w:val="24"/>
          <w:u w:val="single"/>
        </w:rPr>
        <w:t>4</w:t>
      </w:r>
      <w:r w:rsidRPr="00F1793A">
        <w:rPr>
          <w:b/>
          <w:bCs/>
          <w:i/>
          <w:sz w:val="24"/>
          <w:u w:val="single"/>
        </w:rPr>
        <w:t>。</w:t>
      </w:r>
    </w:p>
    <w:p w:rsidR="0044514A" w:rsidRPr="00F1793A" w:rsidRDefault="0044514A" w:rsidP="0044514A">
      <w:pPr>
        <w:spacing w:line="520" w:lineRule="exact"/>
        <w:jc w:val="center"/>
        <w:rPr>
          <w:b/>
          <w:i/>
          <w:spacing w:val="2"/>
          <w:sz w:val="24"/>
          <w:u w:val="single"/>
        </w:rPr>
      </w:pPr>
      <w:r w:rsidRPr="00F1793A">
        <w:rPr>
          <w:b/>
          <w:i/>
          <w:spacing w:val="2"/>
          <w:sz w:val="24"/>
          <w:u w:val="single"/>
        </w:rPr>
        <w:t>表</w:t>
      </w:r>
      <w:r w:rsidRPr="00F1793A">
        <w:rPr>
          <w:b/>
          <w:i/>
          <w:spacing w:val="2"/>
          <w:sz w:val="24"/>
          <w:u w:val="single"/>
        </w:rPr>
        <w:t>3.5-</w:t>
      </w:r>
      <w:r w:rsidRPr="00F1793A">
        <w:rPr>
          <w:rFonts w:hint="eastAsia"/>
          <w:b/>
          <w:i/>
          <w:spacing w:val="2"/>
          <w:sz w:val="24"/>
          <w:u w:val="single"/>
        </w:rPr>
        <w:t>4</w:t>
      </w:r>
      <w:r w:rsidRPr="00F1793A">
        <w:rPr>
          <w:b/>
          <w:i/>
          <w:spacing w:val="2"/>
          <w:sz w:val="24"/>
          <w:u w:val="single"/>
        </w:rPr>
        <w:t xml:space="preserve"> </w:t>
      </w:r>
      <w:r w:rsidRPr="00F1793A">
        <w:rPr>
          <w:rFonts w:hint="eastAsia"/>
          <w:b/>
          <w:i/>
          <w:spacing w:val="2"/>
          <w:sz w:val="24"/>
          <w:u w:val="single"/>
        </w:rPr>
        <w:t>本次升级改造项目</w:t>
      </w:r>
      <w:r w:rsidRPr="00F1793A">
        <w:rPr>
          <w:b/>
          <w:i/>
          <w:spacing w:val="2"/>
          <w:sz w:val="24"/>
          <w:u w:val="single"/>
        </w:rPr>
        <w:t>污染物排放</w:t>
      </w:r>
      <w:r w:rsidRPr="00F1793A">
        <w:rPr>
          <w:b/>
          <w:i/>
          <w:spacing w:val="2"/>
          <w:sz w:val="24"/>
          <w:u w:val="single"/>
        </w:rPr>
        <w:t>“</w:t>
      </w:r>
      <w:r w:rsidRPr="00F1793A">
        <w:rPr>
          <w:b/>
          <w:i/>
          <w:spacing w:val="2"/>
          <w:sz w:val="24"/>
          <w:u w:val="single"/>
        </w:rPr>
        <w:t>三本账</w:t>
      </w:r>
      <w:r w:rsidRPr="00F1793A">
        <w:rPr>
          <w:b/>
          <w:i/>
          <w:spacing w:val="2"/>
          <w:sz w:val="24"/>
          <w:u w:val="single"/>
        </w:rPr>
        <w:t>”</w:t>
      </w:r>
      <w:r w:rsidRPr="00F1793A">
        <w:rPr>
          <w:rFonts w:hint="eastAsia"/>
          <w:b/>
          <w:i/>
          <w:spacing w:val="2"/>
          <w:sz w:val="24"/>
          <w:u w:val="single"/>
        </w:rPr>
        <w:t>一览表</w:t>
      </w:r>
    </w:p>
    <w:tbl>
      <w:tblPr>
        <w:tblW w:w="53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16"/>
        <w:gridCol w:w="1826"/>
        <w:gridCol w:w="2076"/>
        <w:gridCol w:w="2076"/>
        <w:gridCol w:w="2074"/>
      </w:tblGrid>
      <w:tr w:rsidR="009C5F33" w:rsidTr="009C5F33">
        <w:trPr>
          <w:trHeight w:val="636"/>
        </w:trPr>
        <w:tc>
          <w:tcPr>
            <w:tcW w:w="608" w:type="pct"/>
            <w:vAlign w:val="center"/>
          </w:tcPr>
          <w:p w:rsidR="009C5F33" w:rsidRDefault="009C5F33" w:rsidP="009C5F33">
            <w:pPr>
              <w:pStyle w:val="a1"/>
              <w:spacing w:after="0" w:line="360" w:lineRule="auto"/>
              <w:jc w:val="center"/>
              <w:rPr>
                <w:sz w:val="21"/>
                <w:szCs w:val="21"/>
              </w:rPr>
            </w:pPr>
            <w:r>
              <w:rPr>
                <w:sz w:val="21"/>
                <w:szCs w:val="21"/>
              </w:rPr>
              <w:t>项目</w:t>
            </w:r>
          </w:p>
        </w:tc>
        <w:tc>
          <w:tcPr>
            <w:tcW w:w="996" w:type="pct"/>
            <w:vAlign w:val="center"/>
          </w:tcPr>
          <w:p w:rsidR="009C5F33" w:rsidRDefault="009C5F33" w:rsidP="009C5F33">
            <w:pPr>
              <w:pStyle w:val="a1"/>
              <w:spacing w:after="0" w:line="360" w:lineRule="auto"/>
              <w:jc w:val="center"/>
              <w:rPr>
                <w:sz w:val="21"/>
                <w:szCs w:val="21"/>
              </w:rPr>
            </w:pPr>
            <w:r>
              <w:rPr>
                <w:sz w:val="21"/>
                <w:szCs w:val="21"/>
              </w:rPr>
              <w:t>污染物</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原</w:t>
            </w:r>
            <w:r>
              <w:rPr>
                <w:sz w:val="21"/>
                <w:szCs w:val="21"/>
              </w:rPr>
              <w:t>有工程排放量</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升级改造工程排放量</w:t>
            </w:r>
          </w:p>
        </w:tc>
        <w:tc>
          <w:tcPr>
            <w:tcW w:w="1131" w:type="pct"/>
            <w:vAlign w:val="center"/>
          </w:tcPr>
          <w:p w:rsidR="009C5F33" w:rsidRDefault="009C5F33" w:rsidP="009C5F33">
            <w:pPr>
              <w:pStyle w:val="a1"/>
              <w:spacing w:after="0" w:line="360" w:lineRule="auto"/>
              <w:jc w:val="center"/>
              <w:rPr>
                <w:sz w:val="21"/>
                <w:szCs w:val="21"/>
              </w:rPr>
            </w:pPr>
            <w:r>
              <w:rPr>
                <w:rFonts w:hint="eastAsia"/>
                <w:sz w:val="21"/>
                <w:szCs w:val="21"/>
              </w:rPr>
              <w:t>增减量变化</w:t>
            </w:r>
          </w:p>
        </w:tc>
      </w:tr>
      <w:tr w:rsidR="009C5F33" w:rsidTr="009C5F33">
        <w:trPr>
          <w:trHeight w:val="318"/>
        </w:trPr>
        <w:tc>
          <w:tcPr>
            <w:tcW w:w="608" w:type="pct"/>
            <w:vAlign w:val="center"/>
          </w:tcPr>
          <w:p w:rsidR="009C5F33" w:rsidRDefault="009C5F33" w:rsidP="009C5F33">
            <w:pPr>
              <w:pStyle w:val="a1"/>
              <w:spacing w:after="0" w:line="360" w:lineRule="auto"/>
              <w:jc w:val="center"/>
              <w:rPr>
                <w:sz w:val="21"/>
                <w:szCs w:val="21"/>
              </w:rPr>
            </w:pPr>
            <w:r>
              <w:rPr>
                <w:rFonts w:hint="eastAsia"/>
                <w:sz w:val="21"/>
                <w:szCs w:val="21"/>
              </w:rPr>
              <w:t>废气</w:t>
            </w:r>
          </w:p>
        </w:tc>
        <w:tc>
          <w:tcPr>
            <w:tcW w:w="996" w:type="pct"/>
            <w:vAlign w:val="center"/>
          </w:tcPr>
          <w:p w:rsidR="009C5F33" w:rsidRDefault="009C5F33" w:rsidP="009C5F33">
            <w:pPr>
              <w:pStyle w:val="a1"/>
              <w:spacing w:after="0" w:line="360" w:lineRule="auto"/>
              <w:jc w:val="center"/>
              <w:rPr>
                <w:sz w:val="21"/>
                <w:szCs w:val="21"/>
              </w:rPr>
            </w:pPr>
            <w:r>
              <w:rPr>
                <w:rFonts w:hint="eastAsia"/>
                <w:sz w:val="21"/>
                <w:szCs w:val="21"/>
              </w:rPr>
              <w:t>粉尘颗粒物</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1.32</w:t>
            </w:r>
            <w:r>
              <w:rPr>
                <w:sz w:val="21"/>
                <w:szCs w:val="21"/>
              </w:rPr>
              <w:t xml:space="preserve"> t/a</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0.63</w:t>
            </w:r>
            <w:r>
              <w:rPr>
                <w:sz w:val="21"/>
                <w:szCs w:val="21"/>
              </w:rPr>
              <w:t xml:space="preserve"> t/a</w:t>
            </w:r>
          </w:p>
        </w:tc>
        <w:tc>
          <w:tcPr>
            <w:tcW w:w="1131" w:type="pct"/>
            <w:vAlign w:val="center"/>
          </w:tcPr>
          <w:p w:rsidR="009C5F33" w:rsidRDefault="009C5F33" w:rsidP="009C5F33">
            <w:pPr>
              <w:pStyle w:val="a1"/>
              <w:spacing w:after="0" w:line="360" w:lineRule="auto"/>
              <w:jc w:val="center"/>
              <w:rPr>
                <w:sz w:val="21"/>
                <w:szCs w:val="21"/>
              </w:rPr>
            </w:pPr>
            <w:r>
              <w:rPr>
                <w:rFonts w:hint="eastAsia"/>
                <w:sz w:val="21"/>
                <w:szCs w:val="21"/>
              </w:rPr>
              <w:t>-0.69</w:t>
            </w:r>
            <w:r>
              <w:rPr>
                <w:sz w:val="21"/>
                <w:szCs w:val="21"/>
              </w:rPr>
              <w:t xml:space="preserve"> t/a</w:t>
            </w:r>
          </w:p>
        </w:tc>
      </w:tr>
      <w:tr w:rsidR="009C5F33" w:rsidTr="009C5F33">
        <w:trPr>
          <w:trHeight w:val="636"/>
        </w:trPr>
        <w:tc>
          <w:tcPr>
            <w:tcW w:w="608" w:type="pct"/>
            <w:vMerge w:val="restart"/>
            <w:vAlign w:val="center"/>
          </w:tcPr>
          <w:p w:rsidR="009C5F33" w:rsidRDefault="009C5F33" w:rsidP="009C5F33">
            <w:pPr>
              <w:pStyle w:val="a1"/>
              <w:spacing w:after="0" w:line="360" w:lineRule="auto"/>
              <w:jc w:val="center"/>
              <w:rPr>
                <w:sz w:val="21"/>
                <w:szCs w:val="21"/>
              </w:rPr>
            </w:pPr>
            <w:r>
              <w:rPr>
                <w:rFonts w:hint="eastAsia"/>
                <w:sz w:val="21"/>
                <w:szCs w:val="21"/>
              </w:rPr>
              <w:t>废水</w:t>
            </w:r>
          </w:p>
        </w:tc>
        <w:tc>
          <w:tcPr>
            <w:tcW w:w="996" w:type="pct"/>
            <w:vAlign w:val="center"/>
          </w:tcPr>
          <w:p w:rsidR="009C5F33" w:rsidRDefault="009C5F33" w:rsidP="009C5F33">
            <w:pPr>
              <w:pStyle w:val="a1"/>
              <w:spacing w:after="0" w:line="360" w:lineRule="auto"/>
              <w:jc w:val="center"/>
              <w:rPr>
                <w:sz w:val="21"/>
                <w:szCs w:val="21"/>
              </w:rPr>
            </w:pPr>
            <w:r>
              <w:rPr>
                <w:rFonts w:hint="eastAsia"/>
                <w:sz w:val="21"/>
                <w:szCs w:val="21"/>
              </w:rPr>
              <w:t>废水量</w:t>
            </w:r>
          </w:p>
        </w:tc>
        <w:tc>
          <w:tcPr>
            <w:tcW w:w="1132" w:type="pct"/>
            <w:vAlign w:val="center"/>
          </w:tcPr>
          <w:p w:rsidR="009C5F33" w:rsidRPr="00F1793A" w:rsidRDefault="009C5F33" w:rsidP="009C5F33">
            <w:pPr>
              <w:pStyle w:val="a1"/>
              <w:spacing w:after="0" w:line="360" w:lineRule="auto"/>
              <w:jc w:val="center"/>
              <w:rPr>
                <w:sz w:val="21"/>
                <w:szCs w:val="21"/>
              </w:rPr>
            </w:pPr>
            <w:r>
              <w:rPr>
                <w:rFonts w:hint="eastAsia"/>
                <w:sz w:val="21"/>
                <w:szCs w:val="21"/>
              </w:rPr>
              <w:t>7.0737</w:t>
            </w:r>
            <w:r>
              <w:rPr>
                <w:rFonts w:hint="eastAsia"/>
                <w:sz w:val="21"/>
                <w:szCs w:val="21"/>
              </w:rPr>
              <w:t>万</w:t>
            </w:r>
            <w:r>
              <w:rPr>
                <w:rFonts w:hint="eastAsia"/>
                <w:sz w:val="21"/>
                <w:szCs w:val="21"/>
              </w:rPr>
              <w:t>m</w:t>
            </w:r>
            <w:r>
              <w:rPr>
                <w:rFonts w:hint="eastAsia"/>
                <w:sz w:val="21"/>
                <w:szCs w:val="21"/>
                <w:vertAlign w:val="superscript"/>
              </w:rPr>
              <w:t>3</w:t>
            </w:r>
            <w:r>
              <w:rPr>
                <w:rFonts w:hint="eastAsia"/>
                <w:sz w:val="21"/>
                <w:szCs w:val="21"/>
              </w:rPr>
              <w:t>/a</w:t>
            </w:r>
          </w:p>
        </w:tc>
        <w:tc>
          <w:tcPr>
            <w:tcW w:w="1132" w:type="pct"/>
            <w:vAlign w:val="center"/>
          </w:tcPr>
          <w:p w:rsidR="009C5F33" w:rsidRDefault="009C5F33" w:rsidP="00DC5E33">
            <w:pPr>
              <w:pStyle w:val="a1"/>
              <w:spacing w:after="0" w:line="360" w:lineRule="auto"/>
              <w:jc w:val="center"/>
              <w:rPr>
                <w:sz w:val="21"/>
                <w:szCs w:val="21"/>
              </w:rPr>
            </w:pPr>
            <w:r>
              <w:rPr>
                <w:rFonts w:hint="eastAsia"/>
                <w:sz w:val="21"/>
                <w:szCs w:val="21"/>
              </w:rPr>
              <w:t>152.71235</w:t>
            </w:r>
            <w:r>
              <w:rPr>
                <w:rFonts w:hint="eastAsia"/>
                <w:sz w:val="21"/>
                <w:szCs w:val="21"/>
              </w:rPr>
              <w:t>万</w:t>
            </w:r>
            <w:r>
              <w:rPr>
                <w:rFonts w:hint="eastAsia"/>
                <w:sz w:val="21"/>
                <w:szCs w:val="21"/>
              </w:rPr>
              <w:t>m</w:t>
            </w:r>
            <w:r>
              <w:rPr>
                <w:rFonts w:hint="eastAsia"/>
                <w:sz w:val="21"/>
                <w:szCs w:val="21"/>
                <w:vertAlign w:val="superscript"/>
              </w:rPr>
              <w:t>3</w:t>
            </w:r>
            <w:r>
              <w:rPr>
                <w:rFonts w:hint="eastAsia"/>
                <w:sz w:val="21"/>
                <w:szCs w:val="21"/>
              </w:rPr>
              <w:t>/a</w:t>
            </w:r>
          </w:p>
        </w:tc>
        <w:tc>
          <w:tcPr>
            <w:tcW w:w="1131" w:type="pct"/>
            <w:vAlign w:val="center"/>
          </w:tcPr>
          <w:p w:rsidR="009C5F33" w:rsidRDefault="009C5F33" w:rsidP="00DC5E33">
            <w:pPr>
              <w:pStyle w:val="a1"/>
              <w:spacing w:after="0" w:line="360" w:lineRule="auto"/>
              <w:jc w:val="center"/>
              <w:rPr>
                <w:sz w:val="21"/>
                <w:szCs w:val="21"/>
              </w:rPr>
            </w:pPr>
            <w:r>
              <w:rPr>
                <w:rFonts w:hint="eastAsia"/>
                <w:sz w:val="21"/>
                <w:szCs w:val="21"/>
              </w:rPr>
              <w:t>+145.63865</w:t>
            </w:r>
            <w:r>
              <w:rPr>
                <w:rFonts w:hint="eastAsia"/>
                <w:sz w:val="21"/>
                <w:szCs w:val="21"/>
              </w:rPr>
              <w:t>万</w:t>
            </w:r>
            <w:r>
              <w:rPr>
                <w:rFonts w:hint="eastAsia"/>
                <w:sz w:val="21"/>
                <w:szCs w:val="21"/>
              </w:rPr>
              <w:t>m</w:t>
            </w:r>
            <w:r>
              <w:rPr>
                <w:rFonts w:hint="eastAsia"/>
                <w:sz w:val="21"/>
                <w:szCs w:val="21"/>
                <w:vertAlign w:val="superscript"/>
              </w:rPr>
              <w:t>3</w:t>
            </w:r>
            <w:r>
              <w:rPr>
                <w:rFonts w:hint="eastAsia"/>
                <w:sz w:val="21"/>
                <w:szCs w:val="21"/>
              </w:rPr>
              <w:t>/a</w:t>
            </w:r>
          </w:p>
        </w:tc>
      </w:tr>
      <w:tr w:rsidR="009C5F33" w:rsidTr="009C5F33">
        <w:trPr>
          <w:trHeight w:val="145"/>
        </w:trPr>
        <w:tc>
          <w:tcPr>
            <w:tcW w:w="608" w:type="pct"/>
            <w:vMerge/>
            <w:vAlign w:val="center"/>
          </w:tcPr>
          <w:p w:rsidR="009C5F33" w:rsidRDefault="009C5F33" w:rsidP="009C5F33">
            <w:pPr>
              <w:pStyle w:val="a1"/>
              <w:spacing w:after="0" w:line="360" w:lineRule="auto"/>
              <w:jc w:val="center"/>
              <w:rPr>
                <w:sz w:val="21"/>
                <w:szCs w:val="21"/>
              </w:rPr>
            </w:pPr>
          </w:p>
        </w:tc>
        <w:tc>
          <w:tcPr>
            <w:tcW w:w="996" w:type="pct"/>
            <w:vAlign w:val="center"/>
          </w:tcPr>
          <w:p w:rsidR="009C5F33" w:rsidRDefault="009C5F33" w:rsidP="009C5F33">
            <w:pPr>
              <w:pStyle w:val="a1"/>
              <w:spacing w:after="0" w:line="360" w:lineRule="auto"/>
              <w:jc w:val="center"/>
              <w:rPr>
                <w:sz w:val="21"/>
                <w:szCs w:val="21"/>
              </w:rPr>
            </w:pPr>
            <w:r>
              <w:rPr>
                <w:sz w:val="21"/>
                <w:szCs w:val="21"/>
              </w:rPr>
              <w:t>COD</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2.709</w:t>
            </w:r>
            <w:r>
              <w:rPr>
                <w:sz w:val="21"/>
                <w:szCs w:val="21"/>
              </w:rPr>
              <w:t xml:space="preserve"> t/a</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30.543</w:t>
            </w:r>
            <w:r>
              <w:rPr>
                <w:sz w:val="21"/>
                <w:szCs w:val="21"/>
              </w:rPr>
              <w:t xml:space="preserve"> t/a</w:t>
            </w:r>
          </w:p>
        </w:tc>
        <w:tc>
          <w:tcPr>
            <w:tcW w:w="1131" w:type="pct"/>
            <w:vAlign w:val="center"/>
          </w:tcPr>
          <w:p w:rsidR="009C5F33" w:rsidRDefault="009C5F33" w:rsidP="009C5F33">
            <w:pPr>
              <w:pStyle w:val="a1"/>
              <w:spacing w:after="0" w:line="360" w:lineRule="auto"/>
              <w:jc w:val="center"/>
              <w:rPr>
                <w:sz w:val="21"/>
                <w:szCs w:val="21"/>
              </w:rPr>
            </w:pPr>
            <w:r>
              <w:rPr>
                <w:rFonts w:hint="eastAsia"/>
                <w:sz w:val="21"/>
                <w:szCs w:val="21"/>
              </w:rPr>
              <w:t>+27.834</w:t>
            </w:r>
            <w:r>
              <w:rPr>
                <w:sz w:val="21"/>
                <w:szCs w:val="21"/>
              </w:rPr>
              <w:t xml:space="preserve"> t/a</w:t>
            </w:r>
          </w:p>
        </w:tc>
      </w:tr>
      <w:tr w:rsidR="009C5F33" w:rsidTr="009C5F33">
        <w:trPr>
          <w:trHeight w:val="145"/>
        </w:trPr>
        <w:tc>
          <w:tcPr>
            <w:tcW w:w="608" w:type="pct"/>
            <w:vMerge/>
            <w:vAlign w:val="center"/>
          </w:tcPr>
          <w:p w:rsidR="009C5F33" w:rsidRDefault="009C5F33" w:rsidP="009C5F33">
            <w:pPr>
              <w:pStyle w:val="a1"/>
              <w:spacing w:after="0" w:line="360" w:lineRule="auto"/>
              <w:jc w:val="center"/>
              <w:rPr>
                <w:sz w:val="21"/>
                <w:szCs w:val="21"/>
              </w:rPr>
            </w:pPr>
          </w:p>
        </w:tc>
        <w:tc>
          <w:tcPr>
            <w:tcW w:w="996" w:type="pct"/>
            <w:vAlign w:val="center"/>
          </w:tcPr>
          <w:p w:rsidR="009C5F33" w:rsidRDefault="009C5F33" w:rsidP="009C5F33">
            <w:pPr>
              <w:pStyle w:val="a1"/>
              <w:spacing w:after="0" w:line="360" w:lineRule="auto"/>
              <w:jc w:val="center"/>
              <w:rPr>
                <w:sz w:val="21"/>
                <w:szCs w:val="21"/>
              </w:rPr>
            </w:pPr>
            <w:r>
              <w:rPr>
                <w:sz w:val="21"/>
                <w:szCs w:val="21"/>
              </w:rPr>
              <w:t>氨氮</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0.022</w:t>
            </w:r>
            <w:r>
              <w:rPr>
                <w:sz w:val="21"/>
                <w:szCs w:val="21"/>
              </w:rPr>
              <w:t xml:space="preserve"> t/a</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0.480</w:t>
            </w:r>
            <w:r>
              <w:rPr>
                <w:sz w:val="21"/>
                <w:szCs w:val="21"/>
              </w:rPr>
              <w:t xml:space="preserve"> t/a</w:t>
            </w:r>
          </w:p>
        </w:tc>
        <w:tc>
          <w:tcPr>
            <w:tcW w:w="1131" w:type="pct"/>
            <w:vAlign w:val="center"/>
          </w:tcPr>
          <w:p w:rsidR="009C5F33" w:rsidRDefault="009C5F33" w:rsidP="009C5F33">
            <w:pPr>
              <w:pStyle w:val="a1"/>
              <w:spacing w:after="0" w:line="360" w:lineRule="auto"/>
              <w:jc w:val="center"/>
              <w:rPr>
                <w:sz w:val="21"/>
                <w:szCs w:val="21"/>
              </w:rPr>
            </w:pPr>
            <w:r>
              <w:rPr>
                <w:rFonts w:hint="eastAsia"/>
                <w:sz w:val="21"/>
                <w:szCs w:val="21"/>
              </w:rPr>
              <w:t>+0.458</w:t>
            </w:r>
            <w:r>
              <w:rPr>
                <w:sz w:val="21"/>
                <w:szCs w:val="21"/>
              </w:rPr>
              <w:t xml:space="preserve"> t/a</w:t>
            </w:r>
          </w:p>
        </w:tc>
      </w:tr>
      <w:tr w:rsidR="009C5F33" w:rsidTr="009C5F33">
        <w:trPr>
          <w:trHeight w:val="145"/>
        </w:trPr>
        <w:tc>
          <w:tcPr>
            <w:tcW w:w="608" w:type="pct"/>
            <w:vMerge/>
            <w:vAlign w:val="center"/>
          </w:tcPr>
          <w:p w:rsidR="009C5F33" w:rsidRDefault="009C5F33" w:rsidP="009C5F33">
            <w:pPr>
              <w:pStyle w:val="a1"/>
              <w:spacing w:after="0" w:line="360" w:lineRule="auto"/>
              <w:jc w:val="center"/>
              <w:rPr>
                <w:sz w:val="21"/>
                <w:szCs w:val="21"/>
              </w:rPr>
            </w:pPr>
          </w:p>
        </w:tc>
        <w:tc>
          <w:tcPr>
            <w:tcW w:w="996" w:type="pct"/>
            <w:vAlign w:val="center"/>
          </w:tcPr>
          <w:p w:rsidR="009C5F33" w:rsidRDefault="009C5F33" w:rsidP="009C5F33">
            <w:pPr>
              <w:pStyle w:val="a1"/>
              <w:spacing w:after="0" w:line="360" w:lineRule="auto"/>
              <w:jc w:val="center"/>
              <w:rPr>
                <w:sz w:val="21"/>
                <w:szCs w:val="21"/>
              </w:rPr>
            </w:pPr>
            <w:r>
              <w:rPr>
                <w:rFonts w:hint="eastAsia"/>
                <w:sz w:val="21"/>
                <w:szCs w:val="21"/>
              </w:rPr>
              <w:t>SS</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0.516</w:t>
            </w:r>
            <w:r>
              <w:rPr>
                <w:sz w:val="21"/>
                <w:szCs w:val="21"/>
              </w:rPr>
              <w:t xml:space="preserve"> t/a</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45.814</w:t>
            </w:r>
            <w:r>
              <w:rPr>
                <w:sz w:val="21"/>
                <w:szCs w:val="21"/>
              </w:rPr>
              <w:t xml:space="preserve"> t/a</w:t>
            </w:r>
          </w:p>
        </w:tc>
        <w:tc>
          <w:tcPr>
            <w:tcW w:w="1131" w:type="pct"/>
            <w:vAlign w:val="center"/>
          </w:tcPr>
          <w:p w:rsidR="009C5F33" w:rsidRDefault="009C5F33" w:rsidP="009C5F33">
            <w:pPr>
              <w:pStyle w:val="a1"/>
              <w:spacing w:after="0" w:line="360" w:lineRule="auto"/>
              <w:jc w:val="center"/>
              <w:rPr>
                <w:sz w:val="21"/>
                <w:szCs w:val="21"/>
              </w:rPr>
            </w:pPr>
            <w:r>
              <w:rPr>
                <w:rFonts w:hint="eastAsia"/>
                <w:sz w:val="21"/>
                <w:szCs w:val="21"/>
              </w:rPr>
              <w:t>+45.298</w:t>
            </w:r>
            <w:r>
              <w:rPr>
                <w:sz w:val="21"/>
                <w:szCs w:val="21"/>
              </w:rPr>
              <w:t xml:space="preserve"> t/a</w:t>
            </w:r>
          </w:p>
        </w:tc>
      </w:tr>
      <w:tr w:rsidR="009C5F33" w:rsidTr="009C5F33">
        <w:trPr>
          <w:trHeight w:val="318"/>
        </w:trPr>
        <w:tc>
          <w:tcPr>
            <w:tcW w:w="608" w:type="pct"/>
            <w:vMerge w:val="restart"/>
            <w:vAlign w:val="center"/>
          </w:tcPr>
          <w:p w:rsidR="009C5F33" w:rsidRDefault="009C5F33" w:rsidP="009C5F33">
            <w:pPr>
              <w:pStyle w:val="a1"/>
              <w:spacing w:after="0" w:line="360" w:lineRule="auto"/>
              <w:jc w:val="center"/>
              <w:rPr>
                <w:sz w:val="21"/>
                <w:szCs w:val="21"/>
              </w:rPr>
            </w:pPr>
            <w:r>
              <w:rPr>
                <w:rFonts w:hint="eastAsia"/>
                <w:sz w:val="21"/>
                <w:szCs w:val="21"/>
              </w:rPr>
              <w:t>固体</w:t>
            </w:r>
          </w:p>
          <w:p w:rsidR="009C5F33" w:rsidRDefault="009C5F33" w:rsidP="009C5F33">
            <w:pPr>
              <w:pStyle w:val="a1"/>
              <w:spacing w:after="0" w:line="360" w:lineRule="auto"/>
              <w:jc w:val="center"/>
              <w:rPr>
                <w:sz w:val="21"/>
                <w:szCs w:val="21"/>
              </w:rPr>
            </w:pPr>
            <w:r>
              <w:rPr>
                <w:rFonts w:hint="eastAsia"/>
                <w:sz w:val="21"/>
                <w:szCs w:val="21"/>
              </w:rPr>
              <w:t>废物</w:t>
            </w:r>
          </w:p>
        </w:tc>
        <w:tc>
          <w:tcPr>
            <w:tcW w:w="996" w:type="pct"/>
            <w:vAlign w:val="center"/>
          </w:tcPr>
          <w:p w:rsidR="009C5F33" w:rsidRDefault="009C5F33" w:rsidP="009C5F33">
            <w:pPr>
              <w:pStyle w:val="a1"/>
              <w:spacing w:after="0" w:line="360" w:lineRule="auto"/>
              <w:jc w:val="center"/>
              <w:rPr>
                <w:sz w:val="21"/>
                <w:szCs w:val="21"/>
              </w:rPr>
            </w:pPr>
            <w:r>
              <w:rPr>
                <w:sz w:val="21"/>
                <w:szCs w:val="21"/>
              </w:rPr>
              <w:t>矸石</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0</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0</w:t>
            </w:r>
          </w:p>
        </w:tc>
        <w:tc>
          <w:tcPr>
            <w:tcW w:w="1131" w:type="pct"/>
            <w:vAlign w:val="center"/>
          </w:tcPr>
          <w:p w:rsidR="009C5F33" w:rsidRDefault="009C5F33" w:rsidP="009C5F33">
            <w:pPr>
              <w:pStyle w:val="a1"/>
              <w:spacing w:after="0" w:line="360" w:lineRule="auto"/>
              <w:jc w:val="center"/>
              <w:rPr>
                <w:sz w:val="21"/>
                <w:szCs w:val="21"/>
              </w:rPr>
            </w:pPr>
            <w:r>
              <w:rPr>
                <w:rFonts w:hint="eastAsia"/>
                <w:sz w:val="21"/>
                <w:szCs w:val="21"/>
              </w:rPr>
              <w:t>0</w:t>
            </w:r>
          </w:p>
        </w:tc>
      </w:tr>
      <w:tr w:rsidR="009C5F33" w:rsidTr="009C5F33">
        <w:trPr>
          <w:trHeight w:val="145"/>
        </w:trPr>
        <w:tc>
          <w:tcPr>
            <w:tcW w:w="608" w:type="pct"/>
            <w:vMerge/>
            <w:vAlign w:val="center"/>
          </w:tcPr>
          <w:p w:rsidR="009C5F33" w:rsidRDefault="009C5F33" w:rsidP="009C5F33">
            <w:pPr>
              <w:pStyle w:val="a1"/>
              <w:spacing w:after="0" w:line="360" w:lineRule="auto"/>
              <w:jc w:val="center"/>
              <w:rPr>
                <w:sz w:val="21"/>
                <w:szCs w:val="21"/>
              </w:rPr>
            </w:pPr>
          </w:p>
        </w:tc>
        <w:tc>
          <w:tcPr>
            <w:tcW w:w="996" w:type="pct"/>
            <w:vAlign w:val="center"/>
          </w:tcPr>
          <w:p w:rsidR="009C5F33" w:rsidRDefault="009C5F33" w:rsidP="009C5F33">
            <w:pPr>
              <w:pStyle w:val="a1"/>
              <w:spacing w:after="0" w:line="360" w:lineRule="auto"/>
              <w:jc w:val="center"/>
              <w:rPr>
                <w:sz w:val="21"/>
                <w:szCs w:val="21"/>
              </w:rPr>
            </w:pPr>
            <w:r>
              <w:rPr>
                <w:sz w:val="21"/>
                <w:szCs w:val="21"/>
              </w:rPr>
              <w:t>生活垃圾</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0</w:t>
            </w:r>
          </w:p>
        </w:tc>
        <w:tc>
          <w:tcPr>
            <w:tcW w:w="1132" w:type="pct"/>
            <w:vAlign w:val="center"/>
          </w:tcPr>
          <w:p w:rsidR="009C5F33" w:rsidRDefault="009C5F33" w:rsidP="009C5F33">
            <w:pPr>
              <w:pStyle w:val="a1"/>
              <w:spacing w:after="0" w:line="360" w:lineRule="auto"/>
              <w:jc w:val="center"/>
              <w:rPr>
                <w:sz w:val="21"/>
                <w:szCs w:val="21"/>
              </w:rPr>
            </w:pPr>
            <w:r>
              <w:rPr>
                <w:rFonts w:hint="eastAsia"/>
                <w:sz w:val="21"/>
                <w:szCs w:val="21"/>
              </w:rPr>
              <w:t>0</w:t>
            </w:r>
          </w:p>
        </w:tc>
        <w:tc>
          <w:tcPr>
            <w:tcW w:w="1131" w:type="pct"/>
            <w:vAlign w:val="center"/>
          </w:tcPr>
          <w:p w:rsidR="009C5F33" w:rsidRDefault="009C5F33" w:rsidP="009C5F33">
            <w:pPr>
              <w:pStyle w:val="a1"/>
              <w:spacing w:after="0" w:line="360" w:lineRule="auto"/>
              <w:jc w:val="center"/>
              <w:rPr>
                <w:sz w:val="21"/>
                <w:szCs w:val="21"/>
              </w:rPr>
            </w:pPr>
            <w:r>
              <w:rPr>
                <w:rFonts w:hint="eastAsia"/>
                <w:sz w:val="21"/>
                <w:szCs w:val="21"/>
              </w:rPr>
              <w:t>0</w:t>
            </w:r>
          </w:p>
        </w:tc>
      </w:tr>
    </w:tbl>
    <w:p w:rsidR="00240BCE" w:rsidRDefault="00AC0334" w:rsidP="009C5F33">
      <w:pPr>
        <w:pStyle w:val="2"/>
        <w:keepNext w:val="0"/>
        <w:keepLines w:val="0"/>
        <w:adjustRightInd w:val="0"/>
        <w:snapToGrid w:val="0"/>
        <w:spacing w:beforeLines="100" w:afterLines="50" w:line="240" w:lineRule="auto"/>
        <w:jc w:val="left"/>
        <w:rPr>
          <w:rFonts w:ascii="Times New Roman" w:eastAsia="宋体" w:hAnsi="Times New Roman"/>
          <w:bCs/>
          <w:spacing w:val="2"/>
          <w:szCs w:val="32"/>
        </w:rPr>
      </w:pPr>
      <w:bookmarkStart w:id="303" w:name="_Toc59002442"/>
      <w:bookmarkStart w:id="304" w:name="_Toc79668653"/>
      <w:bookmarkStart w:id="305" w:name="_Toc81934375"/>
      <w:r>
        <w:rPr>
          <w:rFonts w:ascii="Times New Roman" w:eastAsia="宋体" w:hAnsi="Times New Roman"/>
          <w:bCs/>
          <w:spacing w:val="2"/>
          <w:szCs w:val="32"/>
        </w:rPr>
        <w:t>3.6</w:t>
      </w:r>
      <w:r>
        <w:rPr>
          <w:rFonts w:ascii="Times New Roman" w:eastAsia="宋体" w:hAnsi="Times New Roman"/>
          <w:bCs/>
          <w:spacing w:val="2"/>
          <w:szCs w:val="32"/>
        </w:rPr>
        <w:t>清洁生产</w:t>
      </w:r>
      <w:bookmarkEnd w:id="303"/>
      <w:bookmarkEnd w:id="304"/>
      <w:bookmarkEnd w:id="305"/>
    </w:p>
    <w:p w:rsidR="00240BCE" w:rsidRDefault="00AC0334" w:rsidP="009C5F33">
      <w:pPr>
        <w:pStyle w:val="30"/>
        <w:adjustRightInd w:val="0"/>
        <w:snapToGrid w:val="0"/>
        <w:spacing w:beforeLines="70" w:afterLines="30" w:line="240" w:lineRule="auto"/>
        <w:jc w:val="left"/>
        <w:rPr>
          <w:rFonts w:eastAsia="楷体"/>
          <w:sz w:val="28"/>
          <w:szCs w:val="28"/>
        </w:rPr>
      </w:pPr>
      <w:bookmarkStart w:id="306" w:name="_Toc79668654"/>
      <w:r>
        <w:rPr>
          <w:rFonts w:eastAsia="楷体"/>
          <w:sz w:val="28"/>
          <w:szCs w:val="28"/>
        </w:rPr>
        <w:t xml:space="preserve">3.6.1 </w:t>
      </w:r>
      <w:r>
        <w:rPr>
          <w:rFonts w:eastAsia="楷体"/>
          <w:sz w:val="28"/>
          <w:szCs w:val="28"/>
        </w:rPr>
        <w:t>项目工程特点</w:t>
      </w:r>
      <w:bookmarkEnd w:id="306"/>
    </w:p>
    <w:p w:rsidR="00240BCE" w:rsidRDefault="00AC0334">
      <w:pPr>
        <w:spacing w:line="500" w:lineRule="exact"/>
        <w:ind w:firstLineChars="200" w:firstLine="480"/>
        <w:rPr>
          <w:sz w:val="24"/>
        </w:rPr>
      </w:pPr>
      <w:r>
        <w:rPr>
          <w:sz w:val="24"/>
        </w:rPr>
        <w:t>升级改造后，本工程开采系统完善，项目从设备选型、各个生产环节、工艺布置以及相关配套工程均采取了节能措施，减少物耗、能耗。</w:t>
      </w:r>
    </w:p>
    <w:p w:rsidR="00240BCE" w:rsidRDefault="00AC0334" w:rsidP="009C5F33">
      <w:pPr>
        <w:pStyle w:val="30"/>
        <w:adjustRightInd w:val="0"/>
        <w:snapToGrid w:val="0"/>
        <w:spacing w:beforeLines="70" w:afterLines="30" w:line="360" w:lineRule="auto"/>
        <w:jc w:val="left"/>
        <w:rPr>
          <w:rFonts w:eastAsia="楷体"/>
          <w:sz w:val="28"/>
          <w:szCs w:val="28"/>
        </w:rPr>
      </w:pPr>
      <w:bookmarkStart w:id="307" w:name="_Toc79668655"/>
      <w:r>
        <w:rPr>
          <w:rFonts w:eastAsia="楷体"/>
          <w:sz w:val="28"/>
          <w:szCs w:val="28"/>
        </w:rPr>
        <w:t xml:space="preserve">3.6.2 </w:t>
      </w:r>
      <w:r>
        <w:rPr>
          <w:rFonts w:eastAsia="楷体"/>
          <w:sz w:val="28"/>
          <w:szCs w:val="28"/>
        </w:rPr>
        <w:t>清洁生产工艺</w:t>
      </w:r>
      <w:bookmarkEnd w:id="307"/>
    </w:p>
    <w:p w:rsidR="00240BCE" w:rsidRDefault="00AC0334" w:rsidP="007D63D9">
      <w:pPr>
        <w:spacing w:line="480" w:lineRule="exact"/>
        <w:ind w:firstLineChars="200" w:firstLine="480"/>
        <w:rPr>
          <w:sz w:val="24"/>
        </w:rPr>
      </w:pPr>
      <w:r>
        <w:rPr>
          <w:sz w:val="24"/>
        </w:rPr>
        <w:t>（</w:t>
      </w:r>
      <w:r>
        <w:rPr>
          <w:sz w:val="24"/>
        </w:rPr>
        <w:t>1</w:t>
      </w:r>
      <w:r>
        <w:rPr>
          <w:sz w:val="24"/>
        </w:rPr>
        <w:t>）开采工艺</w:t>
      </w:r>
    </w:p>
    <w:p w:rsidR="00240BCE" w:rsidRDefault="00AC0334" w:rsidP="007D63D9">
      <w:pPr>
        <w:spacing w:line="480" w:lineRule="exact"/>
        <w:ind w:firstLineChars="200" w:firstLine="482"/>
        <w:rPr>
          <w:sz w:val="24"/>
          <w:lang w:val="zh-CN"/>
        </w:rPr>
      </w:pPr>
      <w:r w:rsidRPr="00103121">
        <w:rPr>
          <w:b/>
          <w:i/>
          <w:sz w:val="24"/>
          <w:u w:val="single"/>
          <w:lang w:val="zh-CN"/>
        </w:rPr>
        <w:t>设计根据煤层赋存条件采用走向长壁综合机械化采煤方法，全部跨落法管理顶板；</w:t>
      </w:r>
      <w:r>
        <w:rPr>
          <w:sz w:val="24"/>
          <w:lang w:val="zh-CN"/>
        </w:rPr>
        <w:t>巷道布置系统简单，生产运输环节少，占用设备少，既安全可靠，又使能耗较低。井下主运输采用轨道运输，实现了运输的连续化，减少了运输环节，达到了节能目的。</w:t>
      </w:r>
    </w:p>
    <w:p w:rsidR="00240BCE" w:rsidRDefault="00AC0334" w:rsidP="007D63D9">
      <w:pPr>
        <w:spacing w:line="480" w:lineRule="exact"/>
        <w:ind w:firstLineChars="200" w:firstLine="480"/>
        <w:rPr>
          <w:sz w:val="24"/>
        </w:rPr>
      </w:pPr>
      <w:r>
        <w:rPr>
          <w:sz w:val="24"/>
        </w:rPr>
        <w:t>（</w:t>
      </w:r>
      <w:r>
        <w:rPr>
          <w:sz w:val="24"/>
        </w:rPr>
        <w:t>2</w:t>
      </w:r>
      <w:r>
        <w:rPr>
          <w:sz w:val="24"/>
        </w:rPr>
        <w:t>）采暖</w:t>
      </w:r>
    </w:p>
    <w:p w:rsidR="00240BCE" w:rsidRDefault="00AC0334" w:rsidP="007D63D9">
      <w:pPr>
        <w:spacing w:line="480" w:lineRule="exact"/>
        <w:ind w:firstLineChars="200" w:firstLine="496"/>
        <w:rPr>
          <w:spacing w:val="4"/>
          <w:sz w:val="24"/>
        </w:rPr>
      </w:pPr>
      <w:r>
        <w:rPr>
          <w:spacing w:val="4"/>
          <w:sz w:val="24"/>
        </w:rPr>
        <w:t>厂区供暖均采用分体空调器，浴室等供热采用空气源热泵机组提供洗浴热水，使用的能源均为清洁能源电能。</w:t>
      </w:r>
    </w:p>
    <w:p w:rsidR="00240BCE" w:rsidRDefault="00AC0334" w:rsidP="007D63D9">
      <w:pPr>
        <w:spacing w:line="480" w:lineRule="exact"/>
        <w:ind w:firstLineChars="200" w:firstLine="480"/>
        <w:rPr>
          <w:sz w:val="24"/>
        </w:rPr>
      </w:pPr>
      <w:r>
        <w:rPr>
          <w:sz w:val="24"/>
        </w:rPr>
        <w:t>采用主立井、副立井进风、风井回风的中央分列式通风系统，通风方式为机械抽出式。</w:t>
      </w:r>
    </w:p>
    <w:p w:rsidR="00240BCE" w:rsidRDefault="00AC0334" w:rsidP="007D63D9">
      <w:pPr>
        <w:spacing w:line="480" w:lineRule="exact"/>
        <w:ind w:firstLineChars="200" w:firstLine="480"/>
        <w:rPr>
          <w:sz w:val="24"/>
        </w:rPr>
      </w:pPr>
      <w:r>
        <w:rPr>
          <w:sz w:val="24"/>
        </w:rPr>
        <w:t>（</w:t>
      </w:r>
      <w:r>
        <w:rPr>
          <w:sz w:val="24"/>
        </w:rPr>
        <w:t>3</w:t>
      </w:r>
      <w:r>
        <w:rPr>
          <w:sz w:val="24"/>
        </w:rPr>
        <w:t>）废物综合利用及排放</w:t>
      </w:r>
    </w:p>
    <w:p w:rsidR="00240BCE" w:rsidRDefault="00AC0334" w:rsidP="007D63D9">
      <w:pPr>
        <w:spacing w:line="480" w:lineRule="exact"/>
        <w:ind w:firstLineChars="200" w:firstLine="480"/>
        <w:rPr>
          <w:sz w:val="24"/>
        </w:rPr>
      </w:pPr>
      <w:r>
        <w:rPr>
          <w:sz w:val="24"/>
        </w:rPr>
        <w:lastRenderedPageBreak/>
        <w:t>项目矿井涌水通过处理后回用于生活、生产，不能利用部分进入纸坊水库用于两岸农田灌溉以及生态补水。</w:t>
      </w:r>
    </w:p>
    <w:p w:rsidR="00240BCE" w:rsidRDefault="00AC0334" w:rsidP="007D63D9">
      <w:pPr>
        <w:spacing w:line="480" w:lineRule="exact"/>
        <w:ind w:firstLineChars="200" w:firstLine="480"/>
        <w:rPr>
          <w:sz w:val="24"/>
        </w:rPr>
      </w:pPr>
      <w:r>
        <w:rPr>
          <w:sz w:val="24"/>
        </w:rPr>
        <w:t>煤矿开采过程产生的煤矸石外售制砖，煤矸石利用率达到</w:t>
      </w:r>
      <w:r>
        <w:rPr>
          <w:sz w:val="24"/>
        </w:rPr>
        <w:t>100%</w:t>
      </w:r>
      <w:r>
        <w:rPr>
          <w:sz w:val="24"/>
        </w:rPr>
        <w:t>；生活垃圾分类集中收集后定期交由当地环卫部门处理。</w:t>
      </w:r>
    </w:p>
    <w:p w:rsidR="00240BCE" w:rsidRDefault="00AC0334" w:rsidP="007D63D9">
      <w:pPr>
        <w:spacing w:line="480" w:lineRule="exact"/>
        <w:ind w:firstLineChars="200" w:firstLine="480"/>
        <w:rPr>
          <w:sz w:val="24"/>
        </w:rPr>
      </w:pPr>
      <w:r>
        <w:rPr>
          <w:sz w:val="24"/>
        </w:rPr>
        <w:t>（</w:t>
      </w:r>
      <w:r>
        <w:rPr>
          <w:sz w:val="24"/>
        </w:rPr>
        <w:t>4</w:t>
      </w:r>
      <w:r>
        <w:rPr>
          <w:sz w:val="24"/>
        </w:rPr>
        <w:t>）生产管理</w:t>
      </w:r>
    </w:p>
    <w:p w:rsidR="00240BCE" w:rsidRDefault="00AC0334" w:rsidP="007D63D9">
      <w:pPr>
        <w:spacing w:line="480" w:lineRule="exact"/>
        <w:ind w:firstLineChars="200" w:firstLine="480"/>
        <w:rPr>
          <w:sz w:val="24"/>
        </w:rPr>
      </w:pPr>
      <w:r>
        <w:rPr>
          <w:sz w:val="24"/>
          <w:lang w:val="zh-CN"/>
        </w:rPr>
        <w:t>设有负责生产和环境管理专职人员，负责日常的设备运行监督工作，防止跑冒滴漏，提高设备的运转率。</w:t>
      </w:r>
    </w:p>
    <w:p w:rsidR="00240BCE" w:rsidRDefault="00AC0334" w:rsidP="009C5F33">
      <w:pPr>
        <w:keepNext/>
        <w:keepLines/>
        <w:adjustRightInd w:val="0"/>
        <w:snapToGrid w:val="0"/>
        <w:spacing w:beforeLines="70" w:afterLines="30" w:line="480" w:lineRule="exact"/>
        <w:jc w:val="left"/>
        <w:outlineLvl w:val="2"/>
        <w:rPr>
          <w:rFonts w:eastAsia="楷体"/>
          <w:b/>
          <w:bCs/>
          <w:szCs w:val="28"/>
        </w:rPr>
      </w:pPr>
      <w:r>
        <w:rPr>
          <w:rFonts w:eastAsia="楷体"/>
          <w:b/>
          <w:bCs/>
          <w:szCs w:val="28"/>
        </w:rPr>
        <w:t xml:space="preserve">3.6.3 </w:t>
      </w:r>
      <w:r>
        <w:rPr>
          <w:rFonts w:eastAsia="楷体"/>
          <w:b/>
          <w:bCs/>
          <w:szCs w:val="28"/>
        </w:rPr>
        <w:t>清洁生产指标分析</w:t>
      </w:r>
    </w:p>
    <w:p w:rsidR="00240BCE" w:rsidRDefault="00AC0334" w:rsidP="007D63D9">
      <w:pPr>
        <w:spacing w:line="480" w:lineRule="exact"/>
        <w:ind w:firstLineChars="200" w:firstLine="480"/>
        <w:rPr>
          <w:sz w:val="24"/>
          <w:lang w:val="zh-CN"/>
        </w:rPr>
      </w:pPr>
      <w:r>
        <w:rPr>
          <w:sz w:val="24"/>
          <w:lang w:val="zh-CN"/>
        </w:rPr>
        <w:t>2019</w:t>
      </w:r>
      <w:r>
        <w:rPr>
          <w:sz w:val="24"/>
          <w:lang w:val="zh-CN"/>
        </w:rPr>
        <w:t>年</w:t>
      </w:r>
      <w:r>
        <w:rPr>
          <w:sz w:val="24"/>
          <w:lang w:val="zh-CN"/>
        </w:rPr>
        <w:t>9</w:t>
      </w:r>
      <w:r>
        <w:rPr>
          <w:sz w:val="24"/>
          <w:lang w:val="zh-CN"/>
        </w:rPr>
        <w:t>月，国家发展和改革委员会、生态环境部、工业和信息化部联合发布了《煤炭采选业清洁生产评价指标体系》（</w:t>
      </w:r>
      <w:r>
        <w:rPr>
          <w:sz w:val="24"/>
          <w:lang w:val="zh-CN"/>
        </w:rPr>
        <w:t>2019</w:t>
      </w:r>
      <w:r>
        <w:rPr>
          <w:sz w:val="24"/>
          <w:lang w:val="zh-CN"/>
        </w:rPr>
        <w:t>年），评价指标体系将清洁生产指标分为五项，即生产工艺及装备指标、资源能源消耗指标、资源综合利用指标、生态环境指标和清洁生产管理指标。指标体系依据综合评价所得分值将清洁生产等级划分为三级，</w:t>
      </w:r>
      <w:r>
        <w:rPr>
          <w:sz w:val="24"/>
          <w:lang w:val="zh-CN"/>
        </w:rPr>
        <w:t>Ⅰ</w:t>
      </w:r>
      <w:r>
        <w:rPr>
          <w:sz w:val="24"/>
          <w:lang w:val="zh-CN"/>
        </w:rPr>
        <w:t>级为国际清洁生产领先水平；</w:t>
      </w:r>
      <w:r>
        <w:rPr>
          <w:sz w:val="24"/>
          <w:lang w:val="zh-CN"/>
        </w:rPr>
        <w:t>Ⅱ</w:t>
      </w:r>
      <w:r>
        <w:rPr>
          <w:sz w:val="24"/>
          <w:lang w:val="zh-CN"/>
        </w:rPr>
        <w:t>级为国内清洁生产先进水平；</w:t>
      </w:r>
      <w:r>
        <w:rPr>
          <w:sz w:val="24"/>
          <w:lang w:val="zh-CN"/>
        </w:rPr>
        <w:t>Ⅲ</w:t>
      </w:r>
      <w:r>
        <w:rPr>
          <w:sz w:val="24"/>
          <w:lang w:val="zh-CN"/>
        </w:rPr>
        <w:t>级为国内清洁生产一般水平。</w:t>
      </w:r>
    </w:p>
    <w:p w:rsidR="00240BCE" w:rsidRDefault="00AC0334" w:rsidP="007D63D9">
      <w:pPr>
        <w:spacing w:line="480" w:lineRule="exact"/>
        <w:ind w:firstLineChars="200" w:firstLine="480"/>
        <w:rPr>
          <w:sz w:val="24"/>
        </w:rPr>
      </w:pPr>
      <w:r>
        <w:rPr>
          <w:sz w:val="24"/>
        </w:rPr>
        <w:t>项目升级改造后各指标与煤炭采选业清洁生产的指标要求对比分析结果具体见表</w:t>
      </w:r>
      <w:r>
        <w:rPr>
          <w:sz w:val="24"/>
        </w:rPr>
        <w:t>3.6-1</w:t>
      </w:r>
      <w:r>
        <w:rPr>
          <w:sz w:val="24"/>
        </w:rPr>
        <w:t>。</w:t>
      </w:r>
    </w:p>
    <w:p w:rsidR="00240BCE" w:rsidRDefault="00240BCE">
      <w:pPr>
        <w:spacing w:line="500" w:lineRule="exact"/>
        <w:rPr>
          <w:sz w:val="24"/>
        </w:rPr>
        <w:sectPr w:rsidR="00240BCE">
          <w:pgSz w:w="11906" w:h="16838"/>
          <w:pgMar w:top="1440" w:right="1701" w:bottom="1558" w:left="1701" w:header="851" w:footer="992" w:gutter="0"/>
          <w:pgNumType w:start="1"/>
          <w:cols w:space="720"/>
          <w:docGrid w:linePitch="312"/>
        </w:sectPr>
      </w:pPr>
    </w:p>
    <w:p w:rsidR="00240BCE" w:rsidRDefault="00AC0334">
      <w:pPr>
        <w:spacing w:line="500" w:lineRule="exact"/>
        <w:jc w:val="center"/>
        <w:rPr>
          <w:b/>
          <w:sz w:val="24"/>
        </w:rPr>
      </w:pPr>
      <w:r>
        <w:rPr>
          <w:b/>
          <w:sz w:val="24"/>
        </w:rPr>
        <w:lastRenderedPageBreak/>
        <w:t>表</w:t>
      </w:r>
      <w:r>
        <w:rPr>
          <w:b/>
          <w:sz w:val="24"/>
        </w:rPr>
        <w:t xml:space="preserve">3.6-1  </w:t>
      </w:r>
      <w:r>
        <w:rPr>
          <w:b/>
          <w:sz w:val="24"/>
        </w:rPr>
        <w:t>项目清洁生产与《煤炭采选业清洁生产评价指标体系》（井工开采）对照一览表</w:t>
      </w:r>
    </w:p>
    <w:tbl>
      <w:tblPr>
        <w:tblW w:w="5053"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445"/>
        <w:gridCol w:w="852"/>
        <w:gridCol w:w="830"/>
        <w:gridCol w:w="706"/>
        <w:gridCol w:w="1601"/>
        <w:gridCol w:w="555"/>
        <w:gridCol w:w="698"/>
        <w:gridCol w:w="2506"/>
        <w:gridCol w:w="1937"/>
        <w:gridCol w:w="2016"/>
        <w:gridCol w:w="1318"/>
        <w:gridCol w:w="552"/>
      </w:tblGrid>
      <w:tr w:rsidR="00240BCE">
        <w:trPr>
          <w:jc w:val="center"/>
        </w:trPr>
        <w:tc>
          <w:tcPr>
            <w:tcW w:w="159" w:type="pct"/>
            <w:vAlign w:val="center"/>
          </w:tcPr>
          <w:p w:rsidR="00240BCE" w:rsidRDefault="00AC0334">
            <w:pPr>
              <w:spacing w:line="340" w:lineRule="exact"/>
              <w:jc w:val="center"/>
              <w:rPr>
                <w:b/>
                <w:bCs/>
                <w:spacing w:val="4"/>
                <w:sz w:val="21"/>
                <w:szCs w:val="21"/>
              </w:rPr>
            </w:pPr>
            <w:r>
              <w:rPr>
                <w:b/>
                <w:bCs/>
                <w:spacing w:val="4"/>
                <w:sz w:val="21"/>
                <w:szCs w:val="21"/>
              </w:rPr>
              <w:t>序号</w:t>
            </w:r>
          </w:p>
        </w:tc>
        <w:tc>
          <w:tcPr>
            <w:tcW w:w="304" w:type="pct"/>
            <w:vAlign w:val="center"/>
          </w:tcPr>
          <w:p w:rsidR="00240BCE" w:rsidRDefault="00AC0334">
            <w:pPr>
              <w:spacing w:line="340" w:lineRule="exact"/>
              <w:jc w:val="center"/>
              <w:rPr>
                <w:b/>
                <w:bCs/>
                <w:spacing w:val="4"/>
                <w:sz w:val="21"/>
                <w:szCs w:val="21"/>
              </w:rPr>
            </w:pPr>
            <w:r>
              <w:rPr>
                <w:b/>
                <w:bCs/>
                <w:spacing w:val="4"/>
                <w:sz w:val="21"/>
                <w:szCs w:val="21"/>
              </w:rPr>
              <w:t>一级指标指标项</w:t>
            </w:r>
          </w:p>
        </w:tc>
        <w:tc>
          <w:tcPr>
            <w:tcW w:w="296" w:type="pct"/>
            <w:vAlign w:val="center"/>
          </w:tcPr>
          <w:p w:rsidR="00240BCE" w:rsidRDefault="00AC0334">
            <w:pPr>
              <w:spacing w:line="340" w:lineRule="exact"/>
              <w:jc w:val="center"/>
              <w:rPr>
                <w:b/>
                <w:bCs/>
                <w:spacing w:val="4"/>
                <w:sz w:val="21"/>
                <w:szCs w:val="21"/>
              </w:rPr>
            </w:pPr>
            <w:r>
              <w:rPr>
                <w:b/>
                <w:bCs/>
                <w:spacing w:val="4"/>
                <w:sz w:val="21"/>
                <w:szCs w:val="21"/>
              </w:rPr>
              <w:t>一级指标权重值</w:t>
            </w:r>
          </w:p>
        </w:tc>
        <w:tc>
          <w:tcPr>
            <w:tcW w:w="823" w:type="pct"/>
            <w:gridSpan w:val="2"/>
            <w:vAlign w:val="center"/>
          </w:tcPr>
          <w:p w:rsidR="00240BCE" w:rsidRDefault="00AC0334">
            <w:pPr>
              <w:spacing w:line="340" w:lineRule="exact"/>
              <w:jc w:val="center"/>
              <w:rPr>
                <w:b/>
                <w:bCs/>
                <w:spacing w:val="4"/>
                <w:sz w:val="21"/>
                <w:szCs w:val="21"/>
              </w:rPr>
            </w:pPr>
            <w:r>
              <w:rPr>
                <w:b/>
                <w:bCs/>
                <w:spacing w:val="4"/>
                <w:sz w:val="21"/>
                <w:szCs w:val="21"/>
              </w:rPr>
              <w:t>二级指标指标项</w:t>
            </w:r>
          </w:p>
        </w:tc>
        <w:tc>
          <w:tcPr>
            <w:tcW w:w="198" w:type="pct"/>
            <w:vAlign w:val="center"/>
          </w:tcPr>
          <w:p w:rsidR="00240BCE" w:rsidRDefault="00AC0334">
            <w:pPr>
              <w:spacing w:line="340" w:lineRule="exact"/>
              <w:jc w:val="center"/>
              <w:rPr>
                <w:b/>
                <w:bCs/>
                <w:spacing w:val="4"/>
                <w:sz w:val="21"/>
                <w:szCs w:val="21"/>
              </w:rPr>
            </w:pPr>
            <w:r>
              <w:rPr>
                <w:b/>
                <w:bCs/>
                <w:spacing w:val="4"/>
                <w:sz w:val="21"/>
                <w:szCs w:val="21"/>
              </w:rPr>
              <w:t>单位</w:t>
            </w:r>
          </w:p>
        </w:tc>
        <w:tc>
          <w:tcPr>
            <w:tcW w:w="249" w:type="pct"/>
            <w:vAlign w:val="center"/>
          </w:tcPr>
          <w:p w:rsidR="00240BCE" w:rsidRDefault="00AC0334">
            <w:pPr>
              <w:spacing w:line="340" w:lineRule="exact"/>
              <w:jc w:val="center"/>
              <w:rPr>
                <w:b/>
                <w:bCs/>
                <w:spacing w:val="4"/>
                <w:sz w:val="21"/>
                <w:szCs w:val="21"/>
              </w:rPr>
            </w:pPr>
            <w:r>
              <w:rPr>
                <w:b/>
                <w:bCs/>
                <w:spacing w:val="4"/>
                <w:sz w:val="21"/>
                <w:szCs w:val="21"/>
              </w:rPr>
              <w:t>二级指标分权重值</w:t>
            </w:r>
          </w:p>
        </w:tc>
        <w:tc>
          <w:tcPr>
            <w:tcW w:w="894" w:type="pct"/>
            <w:vAlign w:val="center"/>
          </w:tcPr>
          <w:p w:rsidR="00240BCE" w:rsidRDefault="00AC0334">
            <w:pPr>
              <w:spacing w:line="340" w:lineRule="exact"/>
              <w:jc w:val="center"/>
              <w:rPr>
                <w:b/>
                <w:bCs/>
                <w:spacing w:val="4"/>
                <w:sz w:val="21"/>
                <w:szCs w:val="21"/>
              </w:rPr>
            </w:pPr>
            <w:r>
              <w:rPr>
                <w:b/>
                <w:bCs/>
                <w:spacing w:val="4"/>
                <w:sz w:val="21"/>
                <w:szCs w:val="21"/>
              </w:rPr>
              <w:t>Ⅰ</w:t>
            </w:r>
            <w:r>
              <w:rPr>
                <w:b/>
                <w:bCs/>
                <w:spacing w:val="4"/>
                <w:sz w:val="21"/>
                <w:szCs w:val="21"/>
              </w:rPr>
              <w:t>级基准值</w:t>
            </w:r>
          </w:p>
        </w:tc>
        <w:tc>
          <w:tcPr>
            <w:tcW w:w="691" w:type="pct"/>
            <w:vAlign w:val="center"/>
          </w:tcPr>
          <w:p w:rsidR="00240BCE" w:rsidRDefault="00AC0334">
            <w:pPr>
              <w:spacing w:line="340" w:lineRule="exact"/>
              <w:jc w:val="center"/>
              <w:rPr>
                <w:b/>
                <w:bCs/>
                <w:spacing w:val="4"/>
                <w:sz w:val="21"/>
                <w:szCs w:val="21"/>
              </w:rPr>
            </w:pPr>
            <w:r>
              <w:rPr>
                <w:b/>
                <w:bCs/>
                <w:spacing w:val="4"/>
                <w:sz w:val="21"/>
                <w:szCs w:val="21"/>
              </w:rPr>
              <w:t>Ⅱ</w:t>
            </w:r>
            <w:r>
              <w:rPr>
                <w:b/>
                <w:bCs/>
                <w:spacing w:val="4"/>
                <w:sz w:val="21"/>
                <w:szCs w:val="21"/>
              </w:rPr>
              <w:t>级基准值</w:t>
            </w:r>
          </w:p>
        </w:tc>
        <w:tc>
          <w:tcPr>
            <w:tcW w:w="719" w:type="pct"/>
            <w:vAlign w:val="center"/>
          </w:tcPr>
          <w:p w:rsidR="00240BCE" w:rsidRDefault="00AC0334">
            <w:pPr>
              <w:spacing w:line="340" w:lineRule="exact"/>
              <w:jc w:val="center"/>
              <w:rPr>
                <w:b/>
                <w:bCs/>
                <w:spacing w:val="4"/>
                <w:sz w:val="21"/>
                <w:szCs w:val="21"/>
              </w:rPr>
            </w:pPr>
            <w:r>
              <w:rPr>
                <w:b/>
                <w:bCs/>
                <w:spacing w:val="4"/>
                <w:sz w:val="21"/>
                <w:szCs w:val="21"/>
              </w:rPr>
              <w:t>Ⅲ</w:t>
            </w:r>
            <w:r>
              <w:rPr>
                <w:b/>
                <w:bCs/>
                <w:spacing w:val="4"/>
                <w:sz w:val="21"/>
                <w:szCs w:val="21"/>
              </w:rPr>
              <w:t>级基准值</w:t>
            </w:r>
          </w:p>
        </w:tc>
        <w:tc>
          <w:tcPr>
            <w:tcW w:w="470" w:type="pct"/>
            <w:vAlign w:val="center"/>
          </w:tcPr>
          <w:p w:rsidR="00240BCE" w:rsidRDefault="00AC0334">
            <w:pPr>
              <w:spacing w:line="340" w:lineRule="exact"/>
              <w:jc w:val="center"/>
              <w:rPr>
                <w:b/>
                <w:bCs/>
                <w:spacing w:val="4"/>
                <w:sz w:val="21"/>
                <w:szCs w:val="21"/>
              </w:rPr>
            </w:pPr>
            <w:r>
              <w:rPr>
                <w:b/>
                <w:bCs/>
                <w:spacing w:val="4"/>
                <w:sz w:val="21"/>
                <w:szCs w:val="21"/>
              </w:rPr>
              <w:t>本项目</w:t>
            </w:r>
          </w:p>
        </w:tc>
        <w:tc>
          <w:tcPr>
            <w:tcW w:w="197" w:type="pct"/>
            <w:vAlign w:val="center"/>
          </w:tcPr>
          <w:p w:rsidR="00240BCE" w:rsidRDefault="00AC0334">
            <w:pPr>
              <w:spacing w:line="340" w:lineRule="exact"/>
              <w:jc w:val="center"/>
              <w:rPr>
                <w:b/>
                <w:bCs/>
                <w:spacing w:val="4"/>
                <w:sz w:val="21"/>
                <w:szCs w:val="21"/>
              </w:rPr>
            </w:pPr>
            <w:r>
              <w:rPr>
                <w:b/>
                <w:bCs/>
                <w:spacing w:val="4"/>
                <w:sz w:val="21"/>
                <w:szCs w:val="21"/>
              </w:rPr>
              <w:t>分值</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1</w:t>
            </w:r>
          </w:p>
        </w:tc>
        <w:tc>
          <w:tcPr>
            <w:tcW w:w="304" w:type="pct"/>
            <w:vMerge w:val="restart"/>
            <w:vAlign w:val="center"/>
          </w:tcPr>
          <w:p w:rsidR="00240BCE" w:rsidRDefault="00AC0334">
            <w:pPr>
              <w:spacing w:line="340" w:lineRule="exact"/>
              <w:jc w:val="center"/>
              <w:rPr>
                <w:bCs/>
                <w:spacing w:val="4"/>
                <w:sz w:val="21"/>
                <w:szCs w:val="21"/>
              </w:rPr>
            </w:pPr>
            <w:r>
              <w:rPr>
                <w:bCs/>
                <w:spacing w:val="4"/>
                <w:sz w:val="21"/>
                <w:szCs w:val="21"/>
              </w:rPr>
              <w:t>（一）生产工艺及装备指标</w:t>
            </w:r>
          </w:p>
        </w:tc>
        <w:tc>
          <w:tcPr>
            <w:tcW w:w="296" w:type="pct"/>
            <w:vMerge w:val="restart"/>
            <w:vAlign w:val="center"/>
          </w:tcPr>
          <w:p w:rsidR="00240BCE" w:rsidRDefault="00AC0334">
            <w:pPr>
              <w:spacing w:line="340" w:lineRule="exact"/>
              <w:jc w:val="center"/>
              <w:rPr>
                <w:kern w:val="0"/>
                <w:sz w:val="21"/>
                <w:szCs w:val="21"/>
              </w:rPr>
            </w:pPr>
            <w:r>
              <w:rPr>
                <w:kern w:val="0"/>
                <w:sz w:val="21"/>
                <w:szCs w:val="21"/>
              </w:rPr>
              <w:t>0.25</w:t>
            </w:r>
          </w:p>
        </w:tc>
        <w:tc>
          <w:tcPr>
            <w:tcW w:w="823" w:type="pct"/>
            <w:gridSpan w:val="2"/>
            <w:vAlign w:val="center"/>
          </w:tcPr>
          <w:p w:rsidR="00240BCE" w:rsidRDefault="00AC0334">
            <w:pPr>
              <w:spacing w:line="340" w:lineRule="exact"/>
              <w:jc w:val="center"/>
              <w:rPr>
                <w:bCs/>
                <w:spacing w:val="4"/>
                <w:sz w:val="21"/>
                <w:szCs w:val="21"/>
              </w:rPr>
            </w:pPr>
            <w:r>
              <w:rPr>
                <w:rFonts w:eastAsia="TimesNewRomanPSMT"/>
                <w:kern w:val="0"/>
                <w:sz w:val="21"/>
                <w:szCs w:val="21"/>
              </w:rPr>
              <w:t>*</w:t>
            </w:r>
            <w:r>
              <w:rPr>
                <w:kern w:val="0"/>
                <w:sz w:val="21"/>
                <w:szCs w:val="21"/>
              </w:rPr>
              <w:t>煤矿机械化掘进比例</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0.13</w:t>
            </w:r>
          </w:p>
        </w:tc>
        <w:tc>
          <w:tcPr>
            <w:tcW w:w="894" w:type="pct"/>
            <w:vAlign w:val="center"/>
          </w:tcPr>
          <w:p w:rsidR="00240BCE" w:rsidRDefault="00AC0334">
            <w:pPr>
              <w:spacing w:line="340" w:lineRule="exact"/>
              <w:jc w:val="center"/>
              <w:rPr>
                <w:bCs/>
                <w:spacing w:val="4"/>
                <w:sz w:val="21"/>
                <w:szCs w:val="21"/>
              </w:rPr>
            </w:pPr>
            <w:r>
              <w:rPr>
                <w:bCs/>
                <w:spacing w:val="4"/>
                <w:sz w:val="21"/>
                <w:szCs w:val="21"/>
              </w:rPr>
              <w:t>≥90</w:t>
            </w:r>
          </w:p>
        </w:tc>
        <w:tc>
          <w:tcPr>
            <w:tcW w:w="691" w:type="pct"/>
            <w:vAlign w:val="center"/>
          </w:tcPr>
          <w:p w:rsidR="00240BCE" w:rsidRDefault="00AC0334">
            <w:pPr>
              <w:spacing w:line="340" w:lineRule="exact"/>
              <w:jc w:val="center"/>
              <w:rPr>
                <w:bCs/>
                <w:spacing w:val="4"/>
                <w:sz w:val="21"/>
                <w:szCs w:val="21"/>
              </w:rPr>
            </w:pPr>
            <w:r>
              <w:rPr>
                <w:bCs/>
                <w:spacing w:val="4"/>
                <w:sz w:val="21"/>
                <w:szCs w:val="21"/>
              </w:rPr>
              <w:t>≥85</w:t>
            </w:r>
          </w:p>
        </w:tc>
        <w:tc>
          <w:tcPr>
            <w:tcW w:w="719" w:type="pct"/>
            <w:vAlign w:val="center"/>
          </w:tcPr>
          <w:p w:rsidR="00240BCE" w:rsidRDefault="00AC0334">
            <w:pPr>
              <w:spacing w:line="340" w:lineRule="exact"/>
              <w:jc w:val="center"/>
              <w:rPr>
                <w:bCs/>
                <w:spacing w:val="4"/>
                <w:sz w:val="21"/>
                <w:szCs w:val="21"/>
              </w:rPr>
            </w:pPr>
            <w:r>
              <w:rPr>
                <w:bCs/>
                <w:spacing w:val="4"/>
                <w:sz w:val="21"/>
                <w:szCs w:val="21"/>
              </w:rPr>
              <w:t>≥80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90%</w:t>
            </w:r>
            <w:r>
              <w:rPr>
                <w:bCs/>
                <w:spacing w:val="4"/>
                <w:sz w:val="21"/>
                <w:szCs w:val="21"/>
              </w:rPr>
              <w:t>，</w:t>
            </w: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3.25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rFonts w:eastAsia="TimesNewRomanPSMT"/>
                <w:kern w:val="0"/>
                <w:sz w:val="21"/>
                <w:szCs w:val="21"/>
              </w:rPr>
              <w:t>*</w:t>
            </w:r>
            <w:r>
              <w:rPr>
                <w:bCs/>
                <w:spacing w:val="4"/>
                <w:sz w:val="21"/>
                <w:szCs w:val="21"/>
              </w:rPr>
              <w:t>煤矿机械化采煤比例</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0.13</w:t>
            </w:r>
          </w:p>
        </w:tc>
        <w:tc>
          <w:tcPr>
            <w:tcW w:w="894" w:type="pct"/>
            <w:vAlign w:val="center"/>
          </w:tcPr>
          <w:p w:rsidR="00240BCE" w:rsidRDefault="00AC0334">
            <w:pPr>
              <w:spacing w:line="340" w:lineRule="exact"/>
              <w:jc w:val="center"/>
              <w:rPr>
                <w:bCs/>
                <w:spacing w:val="4"/>
                <w:sz w:val="21"/>
                <w:szCs w:val="21"/>
              </w:rPr>
            </w:pPr>
            <w:r>
              <w:rPr>
                <w:bCs/>
                <w:spacing w:val="4"/>
                <w:sz w:val="21"/>
                <w:szCs w:val="21"/>
              </w:rPr>
              <w:t>≥95</w:t>
            </w:r>
          </w:p>
        </w:tc>
        <w:tc>
          <w:tcPr>
            <w:tcW w:w="691" w:type="pct"/>
            <w:vAlign w:val="center"/>
          </w:tcPr>
          <w:p w:rsidR="00240BCE" w:rsidRDefault="00AC0334">
            <w:pPr>
              <w:spacing w:line="340" w:lineRule="exact"/>
              <w:jc w:val="center"/>
              <w:rPr>
                <w:bCs/>
                <w:spacing w:val="4"/>
                <w:sz w:val="21"/>
                <w:szCs w:val="21"/>
              </w:rPr>
            </w:pPr>
            <w:r>
              <w:rPr>
                <w:bCs/>
                <w:spacing w:val="4"/>
                <w:sz w:val="21"/>
                <w:szCs w:val="21"/>
              </w:rPr>
              <w:t>≥90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85</w:t>
            </w:r>
          </w:p>
        </w:tc>
        <w:tc>
          <w:tcPr>
            <w:tcW w:w="470" w:type="pct"/>
            <w:vAlign w:val="center"/>
          </w:tcPr>
          <w:p w:rsidR="00240BCE" w:rsidRDefault="00AC0334">
            <w:pPr>
              <w:spacing w:line="340" w:lineRule="exact"/>
              <w:jc w:val="center"/>
              <w:rPr>
                <w:bCs/>
                <w:spacing w:val="4"/>
                <w:sz w:val="21"/>
                <w:szCs w:val="21"/>
              </w:rPr>
            </w:pPr>
            <w:r>
              <w:rPr>
                <w:bCs/>
                <w:spacing w:val="4"/>
                <w:sz w:val="21"/>
                <w:szCs w:val="21"/>
              </w:rPr>
              <w:t>90 %</w:t>
            </w:r>
            <w:r>
              <w:rPr>
                <w:bCs/>
                <w:spacing w:val="4"/>
                <w:sz w:val="21"/>
                <w:szCs w:val="21"/>
              </w:rPr>
              <w:t>，</w:t>
            </w:r>
            <w:r>
              <w:rPr>
                <w:bCs/>
                <w:spacing w:val="4"/>
                <w:sz w:val="21"/>
                <w:szCs w:val="21"/>
              </w:rPr>
              <w:t>Ⅱ</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3.25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3</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井下煤炭输送工艺及装备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0.06</w:t>
            </w:r>
          </w:p>
        </w:tc>
        <w:tc>
          <w:tcPr>
            <w:tcW w:w="894" w:type="pct"/>
          </w:tcPr>
          <w:p w:rsidR="00240BCE" w:rsidRPr="003D6D13" w:rsidRDefault="00AC0334">
            <w:pPr>
              <w:spacing w:line="340" w:lineRule="exact"/>
              <w:rPr>
                <w:bCs/>
                <w:w w:val="90"/>
                <w:kern w:val="0"/>
                <w:sz w:val="21"/>
                <w:szCs w:val="21"/>
              </w:rPr>
            </w:pPr>
            <w:r w:rsidRPr="003D6D13">
              <w:rPr>
                <w:bCs/>
                <w:w w:val="90"/>
                <w:kern w:val="0"/>
                <w:sz w:val="21"/>
                <w:szCs w:val="21"/>
              </w:rPr>
              <w:t>长距离井下至井口带式输送机连续运输（现集控）；立井采用机车牵引矿车运输实</w:t>
            </w:r>
          </w:p>
        </w:tc>
        <w:tc>
          <w:tcPr>
            <w:tcW w:w="691" w:type="pct"/>
          </w:tcPr>
          <w:p w:rsidR="00240BCE" w:rsidRDefault="00AC0334">
            <w:pPr>
              <w:spacing w:line="340" w:lineRule="exact"/>
              <w:rPr>
                <w:bCs/>
                <w:kern w:val="0"/>
                <w:sz w:val="21"/>
                <w:szCs w:val="21"/>
              </w:rPr>
            </w:pPr>
            <w:r>
              <w:rPr>
                <w:bCs/>
                <w:kern w:val="0"/>
                <w:sz w:val="21"/>
                <w:szCs w:val="21"/>
              </w:rPr>
              <w:t>采区采用带式输送机，井下大巷采用机车牵引矿车运输</w:t>
            </w:r>
          </w:p>
        </w:tc>
        <w:tc>
          <w:tcPr>
            <w:tcW w:w="719" w:type="pct"/>
          </w:tcPr>
          <w:p w:rsidR="00240BCE" w:rsidRDefault="00AC0334">
            <w:pPr>
              <w:spacing w:line="340" w:lineRule="exact"/>
              <w:rPr>
                <w:bCs/>
                <w:spacing w:val="4"/>
                <w:sz w:val="21"/>
                <w:szCs w:val="21"/>
              </w:rPr>
            </w:pPr>
            <w:r>
              <w:rPr>
                <w:bCs/>
                <w:spacing w:val="4"/>
                <w:sz w:val="21"/>
                <w:szCs w:val="21"/>
              </w:rPr>
              <w:t>采用以矿车为主的运输方式</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Ⅱ</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1.5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4</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井巷支护工艺</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0.06</w:t>
            </w:r>
          </w:p>
        </w:tc>
        <w:tc>
          <w:tcPr>
            <w:tcW w:w="894" w:type="pct"/>
          </w:tcPr>
          <w:p w:rsidR="00240BCE" w:rsidRDefault="00AC0334">
            <w:pPr>
              <w:spacing w:line="340" w:lineRule="exact"/>
              <w:rPr>
                <w:bCs/>
                <w:spacing w:val="4"/>
                <w:sz w:val="21"/>
                <w:szCs w:val="21"/>
              </w:rPr>
            </w:pPr>
            <w:r>
              <w:rPr>
                <w:kern w:val="0"/>
                <w:sz w:val="21"/>
                <w:szCs w:val="21"/>
              </w:rPr>
              <w:t>井筒岩巷光爆锚喷、锚杆、锚索等支护技术，煤巷采用锚网喷或锚网、锚索支护；斜井明槽开挖段及立井井筒采用砌壁支护</w:t>
            </w:r>
          </w:p>
        </w:tc>
        <w:tc>
          <w:tcPr>
            <w:tcW w:w="1410" w:type="pct"/>
            <w:gridSpan w:val="2"/>
          </w:tcPr>
          <w:p w:rsidR="00240BCE" w:rsidRDefault="00AC0334">
            <w:pPr>
              <w:spacing w:line="340" w:lineRule="exact"/>
              <w:rPr>
                <w:bCs/>
                <w:spacing w:val="4"/>
                <w:sz w:val="21"/>
                <w:szCs w:val="21"/>
              </w:rPr>
            </w:pPr>
            <w:r>
              <w:rPr>
                <w:kern w:val="0"/>
                <w:sz w:val="21"/>
                <w:szCs w:val="21"/>
              </w:rPr>
              <w:t>大部分井筒岩巷采用光爆锚喷、锚杆、锚索等支护技术，部分井筒及大巷采用砌壁支护，采区巷道采用锚杆、锚索、网喷支护或金属棚支护</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1.5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5</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采空区处理（防灾）</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0.13</w:t>
            </w:r>
          </w:p>
        </w:tc>
        <w:tc>
          <w:tcPr>
            <w:tcW w:w="894" w:type="pct"/>
          </w:tcPr>
          <w:p w:rsidR="00240BCE" w:rsidRDefault="00AC0334">
            <w:pPr>
              <w:spacing w:line="340" w:lineRule="exact"/>
              <w:rPr>
                <w:bCs/>
                <w:kern w:val="0"/>
                <w:sz w:val="21"/>
                <w:szCs w:val="21"/>
              </w:rPr>
            </w:pPr>
            <w:r>
              <w:rPr>
                <w:bCs/>
                <w:kern w:val="0"/>
                <w:sz w:val="21"/>
                <w:szCs w:val="21"/>
              </w:rPr>
              <w:t>对于重要的含水层通过充填开采或离层注浆等措施进行保护，并取得较好效果的。（防火、冲击地压）</w:t>
            </w:r>
          </w:p>
        </w:tc>
        <w:tc>
          <w:tcPr>
            <w:tcW w:w="1410" w:type="pct"/>
            <w:gridSpan w:val="2"/>
          </w:tcPr>
          <w:p w:rsidR="00240BCE" w:rsidRDefault="00AC0334">
            <w:pPr>
              <w:spacing w:line="340" w:lineRule="exact"/>
              <w:rPr>
                <w:bCs/>
                <w:spacing w:val="4"/>
                <w:sz w:val="21"/>
                <w:szCs w:val="21"/>
              </w:rPr>
            </w:pPr>
            <w:r>
              <w:rPr>
                <w:bCs/>
                <w:spacing w:val="4"/>
                <w:sz w:val="21"/>
                <w:szCs w:val="21"/>
              </w:rPr>
              <w:t>顶板垮落法管理采空区，对于重要的含水层通过充填开采或离层注浆等措施进行保护，并取得一般效果的。</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Ⅱ</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3.25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6</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贮煤设施工艺及装备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0.13</w:t>
            </w:r>
          </w:p>
        </w:tc>
        <w:tc>
          <w:tcPr>
            <w:tcW w:w="894" w:type="pct"/>
          </w:tcPr>
          <w:p w:rsidR="00240BCE" w:rsidRDefault="00AC0334">
            <w:pPr>
              <w:spacing w:line="340" w:lineRule="exact"/>
              <w:rPr>
                <w:bCs/>
                <w:spacing w:val="4"/>
                <w:sz w:val="21"/>
                <w:szCs w:val="21"/>
              </w:rPr>
            </w:pPr>
            <w:r>
              <w:rPr>
                <w:bCs/>
                <w:spacing w:val="4"/>
                <w:sz w:val="21"/>
                <w:szCs w:val="21"/>
              </w:rPr>
              <w:t>原煤进筒仓或全封闭的贮煤场</w:t>
            </w:r>
          </w:p>
        </w:tc>
        <w:tc>
          <w:tcPr>
            <w:tcW w:w="1410" w:type="pct"/>
            <w:gridSpan w:val="2"/>
          </w:tcPr>
          <w:p w:rsidR="00240BCE" w:rsidRDefault="00AC0334">
            <w:pPr>
              <w:spacing w:line="340" w:lineRule="exact"/>
              <w:rPr>
                <w:bCs/>
                <w:spacing w:val="4"/>
                <w:sz w:val="21"/>
                <w:szCs w:val="21"/>
              </w:rPr>
            </w:pPr>
            <w:r>
              <w:rPr>
                <w:bCs/>
                <w:spacing w:val="4"/>
                <w:sz w:val="21"/>
                <w:szCs w:val="21"/>
              </w:rPr>
              <w:t>贮煤场设有挡风抑尘措施和洒水喷淋装置，上层有棚顶或苫盖。</w:t>
            </w:r>
          </w:p>
        </w:tc>
        <w:tc>
          <w:tcPr>
            <w:tcW w:w="470" w:type="pct"/>
            <w:vAlign w:val="center"/>
          </w:tcPr>
          <w:p w:rsidR="00240BCE" w:rsidRPr="00103121" w:rsidRDefault="00AC0334">
            <w:pPr>
              <w:spacing w:line="340" w:lineRule="exact"/>
              <w:jc w:val="center"/>
              <w:rPr>
                <w:b/>
                <w:bCs/>
                <w:i/>
                <w:spacing w:val="4"/>
                <w:sz w:val="21"/>
                <w:szCs w:val="21"/>
                <w:u w:val="single"/>
              </w:rPr>
            </w:pPr>
            <w:r w:rsidRPr="00103121">
              <w:rPr>
                <w:b/>
                <w:bCs/>
                <w:i/>
                <w:spacing w:val="4"/>
                <w:sz w:val="21"/>
                <w:szCs w:val="21"/>
                <w:u w:val="single"/>
              </w:rPr>
              <w:t>封闭贮煤场，</w:t>
            </w:r>
            <w:r w:rsidRPr="00103121">
              <w:rPr>
                <w:b/>
                <w:bCs/>
                <w:i/>
                <w:spacing w:val="4"/>
                <w:sz w:val="21"/>
                <w:szCs w:val="21"/>
                <w:u w:val="single"/>
              </w:rPr>
              <w:t>Ⅰ</w:t>
            </w:r>
            <w:r w:rsidRPr="00103121">
              <w:rPr>
                <w:b/>
                <w:bCs/>
                <w:i/>
                <w:spacing w:val="4"/>
                <w:sz w:val="21"/>
                <w:szCs w:val="21"/>
                <w:u w:val="single"/>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3.25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7</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原煤入选率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FC530C">
            <w:pPr>
              <w:spacing w:line="340" w:lineRule="exact"/>
              <w:jc w:val="center"/>
              <w:rPr>
                <w:bCs/>
                <w:spacing w:val="4"/>
                <w:sz w:val="21"/>
                <w:szCs w:val="21"/>
              </w:rPr>
            </w:pPr>
            <w:r>
              <w:rPr>
                <w:rFonts w:hint="eastAsia"/>
                <w:bCs/>
                <w:spacing w:val="4"/>
                <w:sz w:val="21"/>
                <w:szCs w:val="21"/>
              </w:rPr>
              <w:t>0.1</w:t>
            </w:r>
          </w:p>
        </w:tc>
        <w:tc>
          <w:tcPr>
            <w:tcW w:w="894" w:type="pct"/>
            <w:vAlign w:val="center"/>
          </w:tcPr>
          <w:p w:rsidR="00240BCE" w:rsidRDefault="00AC0334">
            <w:pPr>
              <w:spacing w:line="340" w:lineRule="exact"/>
              <w:jc w:val="center"/>
              <w:rPr>
                <w:bCs/>
                <w:spacing w:val="4"/>
                <w:sz w:val="21"/>
                <w:szCs w:val="21"/>
              </w:rPr>
            </w:pPr>
            <w:r>
              <w:rPr>
                <w:bCs/>
                <w:spacing w:val="4"/>
                <w:sz w:val="21"/>
                <w:szCs w:val="21"/>
              </w:rPr>
              <w:t>100</w:t>
            </w:r>
          </w:p>
        </w:tc>
        <w:tc>
          <w:tcPr>
            <w:tcW w:w="691" w:type="pct"/>
            <w:vAlign w:val="center"/>
          </w:tcPr>
          <w:p w:rsidR="00240BCE" w:rsidRDefault="00AC0334">
            <w:pPr>
              <w:spacing w:line="340" w:lineRule="exact"/>
              <w:jc w:val="center"/>
              <w:rPr>
                <w:bCs/>
                <w:spacing w:val="4"/>
                <w:sz w:val="21"/>
                <w:szCs w:val="21"/>
              </w:rPr>
            </w:pPr>
            <w:r>
              <w:rPr>
                <w:bCs/>
                <w:spacing w:val="4"/>
                <w:sz w:val="21"/>
                <w:szCs w:val="21"/>
              </w:rPr>
              <w:t>≥90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≥80</w:t>
            </w:r>
          </w:p>
        </w:tc>
        <w:tc>
          <w:tcPr>
            <w:tcW w:w="470" w:type="pct"/>
            <w:vAlign w:val="center"/>
          </w:tcPr>
          <w:p w:rsidR="00240BCE" w:rsidRPr="00FC530C" w:rsidRDefault="00FC530C">
            <w:pPr>
              <w:spacing w:line="340" w:lineRule="exact"/>
              <w:jc w:val="center"/>
              <w:rPr>
                <w:b/>
                <w:bCs/>
                <w:i/>
                <w:spacing w:val="4"/>
                <w:sz w:val="21"/>
                <w:szCs w:val="21"/>
                <w:u w:val="single"/>
              </w:rPr>
            </w:pPr>
            <w:r w:rsidRPr="00FC530C">
              <w:rPr>
                <w:b/>
                <w:bCs/>
                <w:i/>
                <w:spacing w:val="4"/>
                <w:sz w:val="21"/>
                <w:szCs w:val="21"/>
                <w:u w:val="single"/>
              </w:rPr>
              <w:t>Ⅰ</w:t>
            </w:r>
            <w:r w:rsidRPr="00FC530C">
              <w:rPr>
                <w:b/>
                <w:bCs/>
                <w:i/>
                <w:spacing w:val="4"/>
                <w:sz w:val="21"/>
                <w:szCs w:val="21"/>
                <w:u w:val="single"/>
              </w:rPr>
              <w:t>级</w:t>
            </w:r>
          </w:p>
        </w:tc>
        <w:tc>
          <w:tcPr>
            <w:tcW w:w="197" w:type="pct"/>
            <w:vAlign w:val="center"/>
          </w:tcPr>
          <w:p w:rsidR="00240BCE" w:rsidRDefault="00FC530C">
            <w:pPr>
              <w:spacing w:line="340" w:lineRule="exact"/>
              <w:jc w:val="center"/>
              <w:rPr>
                <w:bCs/>
                <w:spacing w:val="4"/>
                <w:sz w:val="21"/>
                <w:szCs w:val="21"/>
              </w:rPr>
            </w:pPr>
            <w:r>
              <w:rPr>
                <w:rFonts w:hint="eastAsia"/>
                <w:bCs/>
                <w:spacing w:val="4"/>
                <w:sz w:val="21"/>
                <w:szCs w:val="21"/>
              </w:rPr>
              <w:t>2.5</w:t>
            </w:r>
          </w:p>
        </w:tc>
      </w:tr>
      <w:tr w:rsidR="00240BCE">
        <w:trPr>
          <w:jc w:val="center"/>
        </w:trPr>
        <w:tc>
          <w:tcPr>
            <w:tcW w:w="159" w:type="pct"/>
            <w:vMerge w:val="restart"/>
            <w:vAlign w:val="center"/>
          </w:tcPr>
          <w:p w:rsidR="00240BCE" w:rsidRDefault="00AC0334">
            <w:pPr>
              <w:spacing w:line="340" w:lineRule="exact"/>
              <w:jc w:val="center"/>
              <w:rPr>
                <w:bCs/>
                <w:spacing w:val="4"/>
                <w:sz w:val="21"/>
                <w:szCs w:val="21"/>
              </w:rPr>
            </w:pPr>
            <w:r>
              <w:rPr>
                <w:bCs/>
                <w:spacing w:val="4"/>
                <w:sz w:val="21"/>
                <w:szCs w:val="21"/>
              </w:rPr>
              <w:t>8</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252" w:type="pct"/>
            <w:vMerge w:val="restart"/>
            <w:vAlign w:val="center"/>
          </w:tcPr>
          <w:p w:rsidR="00240BCE" w:rsidRDefault="00AC0334">
            <w:pPr>
              <w:spacing w:line="340" w:lineRule="exact"/>
              <w:jc w:val="center"/>
              <w:rPr>
                <w:bCs/>
                <w:spacing w:val="4"/>
                <w:sz w:val="21"/>
                <w:szCs w:val="21"/>
              </w:rPr>
            </w:pPr>
            <w:r>
              <w:rPr>
                <w:bCs/>
                <w:spacing w:val="4"/>
                <w:sz w:val="21"/>
                <w:szCs w:val="21"/>
              </w:rPr>
              <w:t>原煤运输</w:t>
            </w:r>
          </w:p>
        </w:tc>
        <w:tc>
          <w:tcPr>
            <w:tcW w:w="571" w:type="pct"/>
            <w:vAlign w:val="center"/>
          </w:tcPr>
          <w:p w:rsidR="00240BCE" w:rsidRDefault="00AC0334">
            <w:pPr>
              <w:spacing w:line="340" w:lineRule="exact"/>
              <w:jc w:val="center"/>
              <w:rPr>
                <w:bCs/>
                <w:spacing w:val="4"/>
                <w:sz w:val="21"/>
                <w:szCs w:val="21"/>
              </w:rPr>
            </w:pPr>
            <w:r>
              <w:rPr>
                <w:bCs/>
                <w:spacing w:val="4"/>
                <w:sz w:val="21"/>
                <w:szCs w:val="21"/>
              </w:rPr>
              <w:t>矿井型选煤厂</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Merge w:val="restart"/>
            <w:vAlign w:val="center"/>
          </w:tcPr>
          <w:p w:rsidR="00240BCE" w:rsidRDefault="00AC0334">
            <w:pPr>
              <w:spacing w:line="340" w:lineRule="exact"/>
              <w:jc w:val="center"/>
              <w:rPr>
                <w:bCs/>
                <w:spacing w:val="4"/>
                <w:sz w:val="21"/>
                <w:szCs w:val="21"/>
              </w:rPr>
            </w:pPr>
            <w:r>
              <w:rPr>
                <w:bCs/>
                <w:spacing w:val="4"/>
                <w:sz w:val="21"/>
                <w:szCs w:val="21"/>
              </w:rPr>
              <w:t>/</w:t>
            </w:r>
          </w:p>
        </w:tc>
        <w:tc>
          <w:tcPr>
            <w:tcW w:w="1585" w:type="pct"/>
            <w:gridSpan w:val="2"/>
          </w:tcPr>
          <w:p w:rsidR="00240BCE" w:rsidRDefault="00AC0334">
            <w:pPr>
              <w:autoSpaceDE w:val="0"/>
              <w:autoSpaceDN w:val="0"/>
              <w:adjustRightInd w:val="0"/>
              <w:spacing w:line="340" w:lineRule="exact"/>
              <w:jc w:val="left"/>
              <w:rPr>
                <w:bCs/>
                <w:spacing w:val="4"/>
                <w:sz w:val="21"/>
                <w:szCs w:val="21"/>
              </w:rPr>
            </w:pPr>
            <w:r>
              <w:rPr>
                <w:bCs/>
                <w:spacing w:val="4"/>
                <w:sz w:val="21"/>
                <w:szCs w:val="21"/>
              </w:rPr>
              <w:t>由封闭皮带运输机将原煤直接运进矿井选煤厂全封闭的贮煤设施</w:t>
            </w:r>
          </w:p>
        </w:tc>
        <w:tc>
          <w:tcPr>
            <w:tcW w:w="719" w:type="pct"/>
          </w:tcPr>
          <w:p w:rsidR="00240BCE" w:rsidRDefault="00AC0334">
            <w:pPr>
              <w:spacing w:line="340" w:lineRule="exact"/>
              <w:rPr>
                <w:bCs/>
                <w:spacing w:val="4"/>
                <w:sz w:val="21"/>
                <w:szCs w:val="21"/>
              </w:rPr>
            </w:pPr>
            <w:r>
              <w:rPr>
                <w:bCs/>
                <w:spacing w:val="4"/>
                <w:sz w:val="21"/>
                <w:szCs w:val="21"/>
              </w:rPr>
              <w:t>由箱车或矿车将原煤运进矿井选煤厂全面防尘的贮煤设施</w:t>
            </w:r>
          </w:p>
        </w:tc>
        <w:tc>
          <w:tcPr>
            <w:tcW w:w="470" w:type="pct"/>
            <w:vAlign w:val="center"/>
          </w:tcPr>
          <w:p w:rsidR="00240BCE" w:rsidRDefault="00AC0334">
            <w:pPr>
              <w:spacing w:line="340" w:lineRule="exact"/>
              <w:jc w:val="center"/>
              <w:rPr>
                <w:bCs/>
                <w:spacing w:val="4"/>
                <w:sz w:val="21"/>
                <w:szCs w:val="21"/>
              </w:rPr>
            </w:pPr>
            <w:r>
              <w:rPr>
                <w:bCs/>
                <w:spacing w:val="4"/>
                <w:sz w:val="21"/>
                <w:szCs w:val="21"/>
              </w:rPr>
              <w:t>原煤外售</w:t>
            </w:r>
          </w:p>
        </w:tc>
        <w:tc>
          <w:tcPr>
            <w:tcW w:w="197" w:type="pc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Merge/>
            <w:vAlign w:val="center"/>
          </w:tcPr>
          <w:p w:rsidR="00240BCE" w:rsidRDefault="00240BCE">
            <w:pPr>
              <w:spacing w:line="340" w:lineRule="exact"/>
              <w:jc w:val="center"/>
              <w:rPr>
                <w:bCs/>
                <w:spacing w:val="4"/>
                <w:sz w:val="21"/>
                <w:szCs w:val="21"/>
              </w:rPr>
            </w:pP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252" w:type="pct"/>
            <w:vMerge/>
            <w:vAlign w:val="center"/>
          </w:tcPr>
          <w:p w:rsidR="00240BCE" w:rsidRDefault="00240BCE">
            <w:pPr>
              <w:spacing w:line="340" w:lineRule="exact"/>
              <w:jc w:val="center"/>
              <w:rPr>
                <w:bCs/>
                <w:spacing w:val="4"/>
                <w:sz w:val="21"/>
                <w:szCs w:val="21"/>
              </w:rPr>
            </w:pPr>
          </w:p>
        </w:tc>
        <w:tc>
          <w:tcPr>
            <w:tcW w:w="571" w:type="pct"/>
            <w:vAlign w:val="center"/>
          </w:tcPr>
          <w:p w:rsidR="00240BCE" w:rsidRDefault="00AC0334">
            <w:pPr>
              <w:spacing w:line="340" w:lineRule="exact"/>
              <w:jc w:val="center"/>
              <w:rPr>
                <w:bCs/>
                <w:spacing w:val="4"/>
                <w:sz w:val="21"/>
                <w:szCs w:val="21"/>
              </w:rPr>
            </w:pPr>
            <w:r>
              <w:rPr>
                <w:bCs/>
                <w:spacing w:val="4"/>
                <w:sz w:val="21"/>
                <w:szCs w:val="21"/>
              </w:rPr>
              <w:t>群矿（中心）选煤厂</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Merge/>
            <w:vAlign w:val="center"/>
          </w:tcPr>
          <w:p w:rsidR="00240BCE" w:rsidRDefault="00240BCE">
            <w:pPr>
              <w:spacing w:line="340" w:lineRule="exact"/>
              <w:jc w:val="center"/>
              <w:rPr>
                <w:bCs/>
                <w:spacing w:val="4"/>
                <w:sz w:val="21"/>
                <w:szCs w:val="21"/>
              </w:rPr>
            </w:pPr>
          </w:p>
        </w:tc>
        <w:tc>
          <w:tcPr>
            <w:tcW w:w="894" w:type="pct"/>
          </w:tcPr>
          <w:p w:rsidR="00240BCE" w:rsidRDefault="00AC0334">
            <w:pPr>
              <w:spacing w:line="340" w:lineRule="exact"/>
              <w:rPr>
                <w:bCs/>
                <w:spacing w:val="4"/>
                <w:sz w:val="21"/>
                <w:szCs w:val="21"/>
              </w:rPr>
            </w:pPr>
            <w:r>
              <w:rPr>
                <w:bCs/>
                <w:spacing w:val="4"/>
                <w:sz w:val="21"/>
                <w:szCs w:val="21"/>
              </w:rPr>
              <w:t>由铁路专用线将原煤运进选煤厂，采用翻车机的贮煤设施，运煤专用道路必须硬化</w:t>
            </w:r>
          </w:p>
        </w:tc>
        <w:tc>
          <w:tcPr>
            <w:tcW w:w="691" w:type="pct"/>
          </w:tcPr>
          <w:p w:rsidR="00240BCE" w:rsidRDefault="00AC0334">
            <w:pPr>
              <w:spacing w:line="340" w:lineRule="exact"/>
              <w:rPr>
                <w:bCs/>
                <w:spacing w:val="4"/>
                <w:sz w:val="21"/>
                <w:szCs w:val="21"/>
              </w:rPr>
            </w:pPr>
            <w:r>
              <w:rPr>
                <w:bCs/>
                <w:spacing w:val="4"/>
                <w:sz w:val="21"/>
                <w:szCs w:val="21"/>
              </w:rPr>
              <w:t>由箱式或自卸式货运汽车将原煤运进选煤厂的贮煤设施，运煤专用道路必须硬化</w:t>
            </w:r>
          </w:p>
        </w:tc>
        <w:tc>
          <w:tcPr>
            <w:tcW w:w="719" w:type="pct"/>
          </w:tcPr>
          <w:p w:rsidR="00240BCE" w:rsidRDefault="00AC0334">
            <w:pPr>
              <w:spacing w:line="340" w:lineRule="exact"/>
              <w:rPr>
                <w:bCs/>
                <w:spacing w:val="4"/>
                <w:sz w:val="21"/>
                <w:szCs w:val="21"/>
              </w:rPr>
            </w:pPr>
            <w:r>
              <w:rPr>
                <w:bCs/>
                <w:spacing w:val="4"/>
                <w:sz w:val="21"/>
                <w:szCs w:val="21"/>
              </w:rPr>
              <w:t>由汽车加遮苫将原煤运进选煤厂的贮煤设施；运煤专用道路必须硬化</w:t>
            </w:r>
          </w:p>
        </w:tc>
        <w:tc>
          <w:tcPr>
            <w:tcW w:w="470" w:type="pct"/>
            <w:vAlign w:val="center"/>
          </w:tcPr>
          <w:p w:rsidR="00240BCE" w:rsidRDefault="00AC0334">
            <w:pPr>
              <w:spacing w:line="340" w:lineRule="exact"/>
              <w:jc w:val="center"/>
              <w:rPr>
                <w:bCs/>
                <w:spacing w:val="4"/>
                <w:sz w:val="21"/>
                <w:szCs w:val="21"/>
              </w:rPr>
            </w:pPr>
            <w:r>
              <w:rPr>
                <w:bCs/>
                <w:spacing w:val="4"/>
                <w:sz w:val="21"/>
                <w:szCs w:val="21"/>
              </w:rPr>
              <w:t>/</w:t>
            </w:r>
          </w:p>
        </w:tc>
        <w:tc>
          <w:tcPr>
            <w:tcW w:w="197" w:type="pc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9</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粉尘控制</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0.16</w:t>
            </w:r>
          </w:p>
        </w:tc>
        <w:tc>
          <w:tcPr>
            <w:tcW w:w="894" w:type="pct"/>
          </w:tcPr>
          <w:p w:rsidR="00240BCE" w:rsidRDefault="00AC0334">
            <w:pPr>
              <w:spacing w:line="340" w:lineRule="exact"/>
              <w:rPr>
                <w:bCs/>
                <w:sz w:val="21"/>
                <w:szCs w:val="21"/>
              </w:rPr>
            </w:pPr>
            <w:r>
              <w:rPr>
                <w:bCs/>
                <w:sz w:val="21"/>
                <w:szCs w:val="21"/>
              </w:rPr>
              <w:t>原煤分级筛、破碎机等干法作业及相关转载环节全部封闭作业，并设有集尘系统，车间有机械通风措施</w:t>
            </w:r>
          </w:p>
        </w:tc>
        <w:tc>
          <w:tcPr>
            <w:tcW w:w="691" w:type="pct"/>
          </w:tcPr>
          <w:p w:rsidR="00240BCE" w:rsidRDefault="00AC0334">
            <w:pPr>
              <w:spacing w:line="340" w:lineRule="exact"/>
              <w:rPr>
                <w:bCs/>
                <w:spacing w:val="4"/>
                <w:sz w:val="21"/>
                <w:szCs w:val="21"/>
              </w:rPr>
            </w:pPr>
            <w:r>
              <w:rPr>
                <w:bCs/>
                <w:spacing w:val="4"/>
                <w:sz w:val="21"/>
                <w:szCs w:val="21"/>
              </w:rPr>
              <w:t>分级筛及相关转载环节设集尘罩，带式输送机设喷雾除尘系统</w:t>
            </w:r>
          </w:p>
        </w:tc>
        <w:tc>
          <w:tcPr>
            <w:tcW w:w="719" w:type="pct"/>
          </w:tcPr>
          <w:p w:rsidR="00240BCE" w:rsidRDefault="00AC0334">
            <w:pPr>
              <w:spacing w:line="340" w:lineRule="exact"/>
              <w:rPr>
                <w:bCs/>
                <w:spacing w:val="4"/>
                <w:sz w:val="21"/>
                <w:szCs w:val="21"/>
              </w:rPr>
            </w:pPr>
            <w:r>
              <w:rPr>
                <w:bCs/>
                <w:spacing w:val="4"/>
                <w:sz w:val="21"/>
                <w:szCs w:val="21"/>
              </w:rPr>
              <w:t>破碎机、带式输送机、转载点等设喷雾降尘系统</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Ⅲ</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4</w:t>
            </w:r>
          </w:p>
        </w:tc>
      </w:tr>
      <w:tr w:rsidR="00240BCE">
        <w:trPr>
          <w:jc w:val="center"/>
        </w:trPr>
        <w:tc>
          <w:tcPr>
            <w:tcW w:w="159" w:type="pct"/>
            <w:vMerge w:val="restart"/>
            <w:vAlign w:val="center"/>
          </w:tcPr>
          <w:p w:rsidR="00240BCE" w:rsidRDefault="00AC0334">
            <w:pPr>
              <w:spacing w:line="340" w:lineRule="exact"/>
              <w:jc w:val="center"/>
              <w:rPr>
                <w:bCs/>
                <w:spacing w:val="4"/>
                <w:sz w:val="21"/>
                <w:szCs w:val="21"/>
              </w:rPr>
            </w:pPr>
            <w:r>
              <w:rPr>
                <w:bCs/>
                <w:spacing w:val="4"/>
                <w:sz w:val="21"/>
                <w:szCs w:val="21"/>
              </w:rPr>
              <w:t>10</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252" w:type="pct"/>
            <w:vMerge w:val="restart"/>
            <w:vAlign w:val="center"/>
          </w:tcPr>
          <w:p w:rsidR="00240BCE" w:rsidRDefault="00AC0334">
            <w:pPr>
              <w:spacing w:line="340" w:lineRule="exact"/>
              <w:jc w:val="center"/>
              <w:rPr>
                <w:bCs/>
                <w:spacing w:val="4"/>
                <w:sz w:val="21"/>
                <w:szCs w:val="21"/>
              </w:rPr>
            </w:pPr>
            <w:r>
              <w:rPr>
                <w:bCs/>
                <w:spacing w:val="4"/>
                <w:sz w:val="21"/>
                <w:szCs w:val="21"/>
              </w:rPr>
              <w:t>产品的储运方式</w:t>
            </w:r>
          </w:p>
        </w:tc>
        <w:tc>
          <w:tcPr>
            <w:tcW w:w="571" w:type="pct"/>
            <w:vAlign w:val="center"/>
          </w:tcPr>
          <w:p w:rsidR="00240BCE" w:rsidRDefault="00AC0334">
            <w:pPr>
              <w:spacing w:line="340" w:lineRule="exact"/>
              <w:jc w:val="center"/>
              <w:rPr>
                <w:bCs/>
                <w:spacing w:val="4"/>
                <w:sz w:val="21"/>
                <w:szCs w:val="21"/>
              </w:rPr>
            </w:pPr>
            <w:r>
              <w:rPr>
                <w:bCs/>
                <w:spacing w:val="4"/>
                <w:sz w:val="21"/>
                <w:szCs w:val="21"/>
              </w:rPr>
              <w:t>精煤、中煤</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0.10</w:t>
            </w:r>
          </w:p>
        </w:tc>
        <w:tc>
          <w:tcPr>
            <w:tcW w:w="894" w:type="pct"/>
          </w:tcPr>
          <w:p w:rsidR="00240BCE" w:rsidRDefault="00AC0334">
            <w:pPr>
              <w:spacing w:line="340" w:lineRule="exact"/>
              <w:rPr>
                <w:bCs/>
                <w:spacing w:val="4"/>
                <w:sz w:val="21"/>
                <w:szCs w:val="21"/>
              </w:rPr>
            </w:pPr>
            <w:r>
              <w:rPr>
                <w:bCs/>
                <w:spacing w:val="4"/>
                <w:sz w:val="21"/>
                <w:szCs w:val="21"/>
              </w:rPr>
              <w:t>存于封闭的储存设施。运输有铁路专用线及铁路快速装车系统</w:t>
            </w:r>
          </w:p>
        </w:tc>
        <w:tc>
          <w:tcPr>
            <w:tcW w:w="1410" w:type="pct"/>
            <w:gridSpan w:val="2"/>
          </w:tcPr>
          <w:p w:rsidR="00240BCE" w:rsidRDefault="00AC0334">
            <w:pPr>
              <w:spacing w:line="340" w:lineRule="exact"/>
              <w:rPr>
                <w:bCs/>
                <w:spacing w:val="4"/>
                <w:sz w:val="21"/>
                <w:szCs w:val="21"/>
              </w:rPr>
            </w:pPr>
            <w:r>
              <w:rPr>
                <w:bCs/>
                <w:spacing w:val="4"/>
                <w:sz w:val="21"/>
                <w:szCs w:val="21"/>
              </w:rPr>
              <w:t>存于半封闭且配有洒水喷淋装置的储存场。运输有铁路专用线、铁路快速装车系统，汽车公路外运采用全封闭车厢</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Ⅱ</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2.5</w:t>
            </w:r>
          </w:p>
        </w:tc>
      </w:tr>
      <w:tr w:rsidR="00240BCE">
        <w:trPr>
          <w:jc w:val="center"/>
        </w:trPr>
        <w:tc>
          <w:tcPr>
            <w:tcW w:w="159" w:type="pct"/>
            <w:vMerge/>
            <w:vAlign w:val="center"/>
          </w:tcPr>
          <w:p w:rsidR="00240BCE" w:rsidRDefault="00240BCE">
            <w:pPr>
              <w:spacing w:line="340" w:lineRule="exact"/>
              <w:jc w:val="center"/>
              <w:rPr>
                <w:bCs/>
                <w:spacing w:val="4"/>
                <w:sz w:val="21"/>
                <w:szCs w:val="21"/>
              </w:rPr>
            </w:pP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252" w:type="pct"/>
            <w:vMerge/>
            <w:vAlign w:val="center"/>
          </w:tcPr>
          <w:p w:rsidR="00240BCE" w:rsidRDefault="00240BCE">
            <w:pPr>
              <w:spacing w:line="340" w:lineRule="exact"/>
              <w:jc w:val="center"/>
              <w:rPr>
                <w:bCs/>
                <w:spacing w:val="4"/>
                <w:sz w:val="21"/>
                <w:szCs w:val="21"/>
              </w:rPr>
            </w:pPr>
          </w:p>
        </w:tc>
        <w:tc>
          <w:tcPr>
            <w:tcW w:w="571" w:type="pct"/>
            <w:vAlign w:val="center"/>
          </w:tcPr>
          <w:p w:rsidR="00240BCE" w:rsidRDefault="00AC0334">
            <w:pPr>
              <w:spacing w:line="340" w:lineRule="exact"/>
              <w:jc w:val="center"/>
              <w:rPr>
                <w:bCs/>
                <w:spacing w:val="4"/>
                <w:sz w:val="21"/>
                <w:szCs w:val="21"/>
              </w:rPr>
            </w:pPr>
            <w:r>
              <w:rPr>
                <w:bCs/>
                <w:spacing w:val="4"/>
                <w:sz w:val="21"/>
                <w:szCs w:val="21"/>
              </w:rPr>
              <w:t>煤矸石、煤泥</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0.10</w:t>
            </w:r>
          </w:p>
        </w:tc>
        <w:tc>
          <w:tcPr>
            <w:tcW w:w="2304" w:type="pct"/>
            <w:gridSpan w:val="3"/>
          </w:tcPr>
          <w:p w:rsidR="00240BCE" w:rsidRDefault="00AC0334">
            <w:pPr>
              <w:spacing w:line="340" w:lineRule="exact"/>
              <w:rPr>
                <w:bCs/>
                <w:spacing w:val="4"/>
                <w:sz w:val="21"/>
                <w:szCs w:val="21"/>
              </w:rPr>
            </w:pPr>
            <w:r>
              <w:rPr>
                <w:bCs/>
                <w:spacing w:val="4"/>
                <w:sz w:val="21"/>
                <w:szCs w:val="21"/>
              </w:rPr>
              <w:t>首先考虑综合利用，不能利用的暂时存于封闭或半封闭的储存设施，地面不设立永久矸石山，煤矸石、煤泥外运采用全封闭车厢</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11</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选煤工艺装备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w:t>
            </w:r>
          </w:p>
        </w:tc>
        <w:tc>
          <w:tcPr>
            <w:tcW w:w="1585" w:type="pct"/>
            <w:gridSpan w:val="2"/>
          </w:tcPr>
          <w:p w:rsidR="00240BCE" w:rsidRDefault="00AC0334">
            <w:pPr>
              <w:spacing w:line="340" w:lineRule="exact"/>
              <w:rPr>
                <w:bCs/>
                <w:spacing w:val="4"/>
                <w:sz w:val="21"/>
                <w:szCs w:val="21"/>
              </w:rPr>
            </w:pPr>
            <w:r>
              <w:rPr>
                <w:bCs/>
                <w:spacing w:val="4"/>
                <w:sz w:val="21"/>
                <w:szCs w:val="21"/>
              </w:rPr>
              <w:t>采用先进的选煤工艺和设备，实现数量、质量自动监测控制和信息化管理</w:t>
            </w:r>
          </w:p>
        </w:tc>
        <w:tc>
          <w:tcPr>
            <w:tcW w:w="719" w:type="pct"/>
          </w:tcPr>
          <w:p w:rsidR="00240BCE" w:rsidRDefault="00AC0334">
            <w:pPr>
              <w:spacing w:line="340" w:lineRule="exact"/>
              <w:rPr>
                <w:bCs/>
                <w:kern w:val="0"/>
                <w:sz w:val="21"/>
                <w:szCs w:val="21"/>
              </w:rPr>
            </w:pPr>
            <w:r>
              <w:rPr>
                <w:bCs/>
                <w:kern w:val="0"/>
                <w:sz w:val="21"/>
                <w:szCs w:val="21"/>
              </w:rPr>
              <w:t>采用成熟的选煤工艺和设备，实现单元作业操作程序自动化，设有全过程自动控制手段</w:t>
            </w:r>
          </w:p>
        </w:tc>
        <w:tc>
          <w:tcPr>
            <w:tcW w:w="470" w:type="pct"/>
            <w:vAlign w:val="center"/>
          </w:tcPr>
          <w:p w:rsidR="00240BCE" w:rsidRDefault="00AC0334">
            <w:pPr>
              <w:spacing w:line="340" w:lineRule="exact"/>
              <w:jc w:val="center"/>
              <w:rPr>
                <w:bCs/>
                <w:spacing w:val="4"/>
                <w:sz w:val="21"/>
                <w:szCs w:val="21"/>
              </w:rPr>
            </w:pPr>
            <w:r>
              <w:rPr>
                <w:bCs/>
                <w:spacing w:val="4"/>
                <w:sz w:val="21"/>
                <w:szCs w:val="21"/>
              </w:rPr>
              <w:t>原煤外售</w:t>
            </w:r>
          </w:p>
        </w:tc>
        <w:tc>
          <w:tcPr>
            <w:tcW w:w="197" w:type="pc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12</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煤泥水管理</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w:t>
            </w:r>
          </w:p>
        </w:tc>
        <w:tc>
          <w:tcPr>
            <w:tcW w:w="2304" w:type="pct"/>
            <w:gridSpan w:val="3"/>
          </w:tcPr>
          <w:p w:rsidR="00240BCE" w:rsidRDefault="00AC0334">
            <w:pPr>
              <w:spacing w:line="340" w:lineRule="exact"/>
              <w:rPr>
                <w:bCs/>
                <w:spacing w:val="4"/>
                <w:sz w:val="21"/>
                <w:szCs w:val="21"/>
              </w:rPr>
            </w:pPr>
            <w:r>
              <w:rPr>
                <w:bCs/>
                <w:spacing w:val="4"/>
                <w:sz w:val="21"/>
                <w:szCs w:val="21"/>
              </w:rPr>
              <w:t>洗水一级闭路循环、煤泥全部利用或无害化处置</w:t>
            </w:r>
          </w:p>
        </w:tc>
        <w:tc>
          <w:tcPr>
            <w:tcW w:w="470" w:type="pct"/>
            <w:vAlign w:val="center"/>
          </w:tcPr>
          <w:p w:rsidR="00240BCE" w:rsidRDefault="00AC0334">
            <w:pPr>
              <w:spacing w:line="340" w:lineRule="exact"/>
              <w:jc w:val="center"/>
              <w:rPr>
                <w:bCs/>
                <w:spacing w:val="4"/>
                <w:sz w:val="21"/>
                <w:szCs w:val="21"/>
              </w:rPr>
            </w:pPr>
            <w:r>
              <w:rPr>
                <w:bCs/>
                <w:spacing w:val="4"/>
                <w:sz w:val="21"/>
                <w:szCs w:val="21"/>
              </w:rPr>
              <w:t>原煤外售</w:t>
            </w:r>
          </w:p>
        </w:tc>
        <w:tc>
          <w:tcPr>
            <w:tcW w:w="197" w:type="pc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13</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矿井瓦斯抽采要求</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w:t>
            </w:r>
          </w:p>
        </w:tc>
        <w:tc>
          <w:tcPr>
            <w:tcW w:w="2304" w:type="pct"/>
            <w:gridSpan w:val="3"/>
          </w:tcPr>
          <w:p w:rsidR="00240BCE" w:rsidRDefault="00AC0334">
            <w:pPr>
              <w:spacing w:line="340" w:lineRule="exact"/>
              <w:rPr>
                <w:bCs/>
                <w:spacing w:val="4"/>
                <w:sz w:val="21"/>
                <w:szCs w:val="21"/>
              </w:rPr>
            </w:pPr>
            <w:r>
              <w:rPr>
                <w:bCs/>
                <w:spacing w:val="4"/>
                <w:sz w:val="21"/>
                <w:szCs w:val="21"/>
              </w:rPr>
              <w:t>符合《煤矿瓦斯抽采达标暂行规定》等相关要求</w:t>
            </w:r>
          </w:p>
        </w:tc>
        <w:tc>
          <w:tcPr>
            <w:tcW w:w="470" w:type="pct"/>
            <w:vAlign w:val="center"/>
          </w:tcPr>
          <w:p w:rsidR="00240BCE" w:rsidRDefault="00AC0334">
            <w:pPr>
              <w:spacing w:line="340" w:lineRule="exact"/>
              <w:jc w:val="center"/>
              <w:rPr>
                <w:sz w:val="24"/>
              </w:rPr>
            </w:pPr>
            <w:r>
              <w:rPr>
                <w:bCs/>
                <w:spacing w:val="4"/>
                <w:sz w:val="21"/>
                <w:szCs w:val="21"/>
              </w:rPr>
              <w:t>/</w:t>
            </w:r>
          </w:p>
        </w:tc>
        <w:tc>
          <w:tcPr>
            <w:tcW w:w="197" w:type="pct"/>
            <w:vAlign w:val="center"/>
          </w:tcPr>
          <w:p w:rsidR="00240BCE" w:rsidRDefault="00AC0334">
            <w:pPr>
              <w:spacing w:line="340" w:lineRule="exact"/>
              <w:jc w:val="center"/>
              <w:rPr>
                <w:sz w:val="24"/>
              </w:rPr>
            </w:pPr>
            <w:r>
              <w:rPr>
                <w:bCs/>
                <w:spacing w:val="4"/>
                <w:sz w:val="21"/>
                <w:szCs w:val="21"/>
              </w:rPr>
              <w:t>/</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14</w:t>
            </w:r>
          </w:p>
        </w:tc>
        <w:tc>
          <w:tcPr>
            <w:tcW w:w="304" w:type="pct"/>
            <w:vMerge w:val="restart"/>
            <w:vAlign w:val="center"/>
          </w:tcPr>
          <w:p w:rsidR="00240BCE" w:rsidRDefault="00AC0334">
            <w:pPr>
              <w:spacing w:line="340" w:lineRule="exact"/>
              <w:jc w:val="center"/>
              <w:rPr>
                <w:bCs/>
                <w:spacing w:val="4"/>
                <w:sz w:val="21"/>
                <w:szCs w:val="21"/>
              </w:rPr>
            </w:pPr>
            <w:r>
              <w:rPr>
                <w:bCs/>
                <w:spacing w:val="4"/>
                <w:sz w:val="21"/>
                <w:szCs w:val="21"/>
              </w:rPr>
              <w:t>（二）资源能源消耗指标</w:t>
            </w:r>
          </w:p>
        </w:tc>
        <w:tc>
          <w:tcPr>
            <w:tcW w:w="296" w:type="pct"/>
            <w:vMerge w:val="restart"/>
            <w:vAlign w:val="center"/>
          </w:tcPr>
          <w:p w:rsidR="00240BCE" w:rsidRDefault="00AC0334">
            <w:pPr>
              <w:spacing w:line="340" w:lineRule="exact"/>
              <w:jc w:val="center"/>
              <w:rPr>
                <w:bCs/>
                <w:spacing w:val="4"/>
                <w:sz w:val="21"/>
                <w:szCs w:val="21"/>
              </w:rPr>
            </w:pPr>
            <w:r>
              <w:rPr>
                <w:bCs/>
                <w:spacing w:val="4"/>
                <w:sz w:val="21"/>
                <w:szCs w:val="21"/>
              </w:rPr>
              <w:t>0.2</w:t>
            </w:r>
          </w:p>
        </w:tc>
        <w:tc>
          <w:tcPr>
            <w:tcW w:w="823" w:type="pct"/>
            <w:gridSpan w:val="2"/>
            <w:vAlign w:val="center"/>
          </w:tcPr>
          <w:p w:rsidR="00240BCE" w:rsidRDefault="00AC0334">
            <w:pPr>
              <w:spacing w:line="340" w:lineRule="exact"/>
              <w:jc w:val="center"/>
              <w:rPr>
                <w:bCs/>
                <w:spacing w:val="4"/>
                <w:sz w:val="21"/>
                <w:szCs w:val="21"/>
              </w:rPr>
            </w:pPr>
            <w:r>
              <w:rPr>
                <w:rFonts w:eastAsia="TimesNewRomanPSMT"/>
                <w:kern w:val="0"/>
                <w:sz w:val="21"/>
                <w:szCs w:val="21"/>
              </w:rPr>
              <w:t>*</w:t>
            </w:r>
            <w:r>
              <w:rPr>
                <w:kern w:val="0"/>
                <w:sz w:val="21"/>
                <w:szCs w:val="21"/>
              </w:rPr>
              <w:t>采区回采率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0.4</w:t>
            </w:r>
          </w:p>
        </w:tc>
        <w:tc>
          <w:tcPr>
            <w:tcW w:w="2304" w:type="pct"/>
            <w:gridSpan w:val="3"/>
          </w:tcPr>
          <w:p w:rsidR="00240BCE" w:rsidRDefault="00AC0334">
            <w:pPr>
              <w:spacing w:line="340" w:lineRule="exact"/>
              <w:rPr>
                <w:bCs/>
                <w:spacing w:val="4"/>
                <w:sz w:val="21"/>
                <w:szCs w:val="21"/>
              </w:rPr>
            </w:pPr>
            <w:r>
              <w:rPr>
                <w:bCs/>
                <w:spacing w:val="4"/>
                <w:sz w:val="21"/>
                <w:szCs w:val="21"/>
              </w:rPr>
              <w:t>满足《生产煤矿回采率管理暂行规定》的要求</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8</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15</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rFonts w:eastAsia="TimesNewRomanPSMT"/>
                <w:kern w:val="0"/>
                <w:sz w:val="21"/>
                <w:szCs w:val="21"/>
              </w:rPr>
              <w:t>*</w:t>
            </w:r>
            <w:r>
              <w:rPr>
                <w:kern w:val="0"/>
                <w:sz w:val="21"/>
                <w:szCs w:val="21"/>
              </w:rPr>
              <w:t>原煤生产综合能耗</w:t>
            </w:r>
          </w:p>
        </w:tc>
        <w:tc>
          <w:tcPr>
            <w:tcW w:w="198" w:type="pct"/>
            <w:vAlign w:val="center"/>
          </w:tcPr>
          <w:p w:rsidR="00240BCE" w:rsidRDefault="00AC0334">
            <w:pPr>
              <w:spacing w:line="340" w:lineRule="exact"/>
              <w:jc w:val="center"/>
              <w:rPr>
                <w:bCs/>
                <w:w w:val="90"/>
                <w:sz w:val="21"/>
                <w:szCs w:val="21"/>
              </w:rPr>
            </w:pPr>
            <w:r>
              <w:rPr>
                <w:bCs/>
                <w:w w:val="90"/>
                <w:sz w:val="21"/>
                <w:szCs w:val="21"/>
              </w:rPr>
              <w:t>kgce/t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0.2</w:t>
            </w:r>
          </w:p>
        </w:tc>
        <w:tc>
          <w:tcPr>
            <w:tcW w:w="894" w:type="pct"/>
          </w:tcPr>
          <w:p w:rsidR="00240BCE" w:rsidRDefault="00AC0334">
            <w:pPr>
              <w:spacing w:line="340" w:lineRule="exact"/>
              <w:rPr>
                <w:bCs/>
                <w:spacing w:val="4"/>
                <w:sz w:val="21"/>
                <w:szCs w:val="21"/>
              </w:rPr>
            </w:pPr>
            <w:r>
              <w:rPr>
                <w:bCs/>
                <w:spacing w:val="4"/>
                <w:sz w:val="21"/>
                <w:szCs w:val="21"/>
              </w:rPr>
              <w:t>按</w:t>
            </w:r>
            <w:r>
              <w:rPr>
                <w:bCs/>
                <w:spacing w:val="4"/>
                <w:sz w:val="21"/>
                <w:szCs w:val="21"/>
              </w:rPr>
              <w:t xml:space="preserve">GB29444 </w:t>
            </w:r>
            <w:r>
              <w:rPr>
                <w:bCs/>
                <w:spacing w:val="4"/>
                <w:sz w:val="21"/>
                <w:szCs w:val="21"/>
              </w:rPr>
              <w:t>先进值要求</w:t>
            </w:r>
          </w:p>
        </w:tc>
        <w:tc>
          <w:tcPr>
            <w:tcW w:w="691" w:type="pct"/>
          </w:tcPr>
          <w:p w:rsidR="00240BCE" w:rsidRDefault="00AC0334">
            <w:pPr>
              <w:spacing w:line="340" w:lineRule="exact"/>
              <w:rPr>
                <w:bCs/>
                <w:spacing w:val="4"/>
                <w:sz w:val="21"/>
                <w:szCs w:val="21"/>
              </w:rPr>
            </w:pPr>
            <w:r>
              <w:rPr>
                <w:bCs/>
                <w:spacing w:val="4"/>
                <w:sz w:val="21"/>
                <w:szCs w:val="21"/>
              </w:rPr>
              <w:t>按</w:t>
            </w:r>
            <w:r>
              <w:rPr>
                <w:bCs/>
                <w:spacing w:val="4"/>
                <w:sz w:val="21"/>
                <w:szCs w:val="21"/>
              </w:rPr>
              <w:t xml:space="preserve">GB29444 </w:t>
            </w:r>
            <w:r>
              <w:rPr>
                <w:bCs/>
                <w:spacing w:val="4"/>
                <w:sz w:val="21"/>
                <w:szCs w:val="21"/>
              </w:rPr>
              <w:t>准入值要求</w:t>
            </w:r>
          </w:p>
        </w:tc>
        <w:tc>
          <w:tcPr>
            <w:tcW w:w="719" w:type="pct"/>
          </w:tcPr>
          <w:p w:rsidR="00240BCE" w:rsidRDefault="00AC0334">
            <w:pPr>
              <w:spacing w:line="340" w:lineRule="exact"/>
              <w:rPr>
                <w:bCs/>
                <w:spacing w:val="4"/>
                <w:sz w:val="21"/>
                <w:szCs w:val="21"/>
              </w:rPr>
            </w:pPr>
            <w:r>
              <w:rPr>
                <w:bCs/>
                <w:spacing w:val="4"/>
                <w:sz w:val="21"/>
                <w:szCs w:val="21"/>
              </w:rPr>
              <w:t>按</w:t>
            </w:r>
            <w:r>
              <w:rPr>
                <w:bCs/>
                <w:spacing w:val="4"/>
                <w:sz w:val="21"/>
                <w:szCs w:val="21"/>
              </w:rPr>
              <w:t xml:space="preserve">GB29444 </w:t>
            </w:r>
            <w:r>
              <w:rPr>
                <w:bCs/>
                <w:spacing w:val="4"/>
                <w:sz w:val="21"/>
                <w:szCs w:val="21"/>
              </w:rPr>
              <w:t>限定值要求</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Ⅱ</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4</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16</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原煤生产电耗</w:t>
            </w:r>
          </w:p>
        </w:tc>
        <w:tc>
          <w:tcPr>
            <w:tcW w:w="198" w:type="pct"/>
            <w:vAlign w:val="center"/>
          </w:tcPr>
          <w:p w:rsidR="00240BCE" w:rsidRDefault="00AC0334">
            <w:pPr>
              <w:spacing w:line="340" w:lineRule="exact"/>
              <w:jc w:val="center"/>
              <w:rPr>
                <w:bCs/>
                <w:w w:val="90"/>
                <w:sz w:val="21"/>
                <w:szCs w:val="21"/>
              </w:rPr>
            </w:pPr>
            <w:r>
              <w:rPr>
                <w:bCs/>
                <w:w w:val="90"/>
                <w:sz w:val="21"/>
                <w:szCs w:val="21"/>
              </w:rPr>
              <w:t>Kwh/t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0.2</w:t>
            </w:r>
          </w:p>
        </w:tc>
        <w:tc>
          <w:tcPr>
            <w:tcW w:w="894" w:type="pct"/>
            <w:vAlign w:val="center"/>
          </w:tcPr>
          <w:p w:rsidR="00240BCE" w:rsidRDefault="00AC0334">
            <w:pPr>
              <w:spacing w:line="340" w:lineRule="exact"/>
              <w:jc w:val="center"/>
              <w:rPr>
                <w:bCs/>
                <w:spacing w:val="4"/>
                <w:sz w:val="21"/>
                <w:szCs w:val="21"/>
              </w:rPr>
            </w:pPr>
            <w:r>
              <w:rPr>
                <w:bCs/>
                <w:spacing w:val="4"/>
                <w:sz w:val="21"/>
                <w:szCs w:val="21"/>
              </w:rPr>
              <w:t>≤18</w:t>
            </w:r>
          </w:p>
        </w:tc>
        <w:tc>
          <w:tcPr>
            <w:tcW w:w="691" w:type="pct"/>
            <w:vAlign w:val="center"/>
          </w:tcPr>
          <w:p w:rsidR="00240BCE" w:rsidRDefault="00AC0334">
            <w:pPr>
              <w:spacing w:line="340" w:lineRule="exact"/>
              <w:jc w:val="center"/>
              <w:rPr>
                <w:bCs/>
                <w:spacing w:val="4"/>
                <w:sz w:val="21"/>
                <w:szCs w:val="21"/>
              </w:rPr>
            </w:pPr>
            <w:r>
              <w:rPr>
                <w:bCs/>
                <w:spacing w:val="4"/>
                <w:sz w:val="21"/>
                <w:szCs w:val="21"/>
              </w:rPr>
              <w:t>≤22</w:t>
            </w:r>
          </w:p>
        </w:tc>
        <w:tc>
          <w:tcPr>
            <w:tcW w:w="719" w:type="pct"/>
            <w:vAlign w:val="center"/>
          </w:tcPr>
          <w:p w:rsidR="00240BCE" w:rsidRDefault="00AC0334">
            <w:pPr>
              <w:spacing w:line="340" w:lineRule="exact"/>
              <w:jc w:val="center"/>
              <w:rPr>
                <w:bCs/>
                <w:spacing w:val="4"/>
                <w:sz w:val="21"/>
                <w:szCs w:val="21"/>
              </w:rPr>
            </w:pPr>
            <w:r>
              <w:rPr>
                <w:bCs/>
                <w:spacing w:val="4"/>
                <w:sz w:val="21"/>
                <w:szCs w:val="21"/>
              </w:rPr>
              <w:t>≤25</w:t>
            </w:r>
          </w:p>
        </w:tc>
        <w:tc>
          <w:tcPr>
            <w:tcW w:w="470" w:type="pct"/>
            <w:vAlign w:val="center"/>
          </w:tcPr>
          <w:p w:rsidR="00240BCE" w:rsidRDefault="00AC0334">
            <w:pPr>
              <w:spacing w:line="340" w:lineRule="exact"/>
              <w:jc w:val="center"/>
              <w:rPr>
                <w:bCs/>
                <w:spacing w:val="4"/>
                <w:sz w:val="21"/>
                <w:szCs w:val="21"/>
              </w:rPr>
            </w:pPr>
            <w:r>
              <w:rPr>
                <w:bCs/>
                <w:spacing w:val="4"/>
                <w:sz w:val="21"/>
                <w:szCs w:val="21"/>
              </w:rPr>
              <w:t>35</w:t>
            </w:r>
            <w:r>
              <w:rPr>
                <w:bCs/>
                <w:spacing w:val="4"/>
                <w:sz w:val="21"/>
                <w:szCs w:val="21"/>
              </w:rPr>
              <w:t>，低于</w:t>
            </w:r>
            <w:r>
              <w:rPr>
                <w:bCs/>
                <w:spacing w:val="4"/>
                <w:sz w:val="21"/>
                <w:szCs w:val="21"/>
              </w:rPr>
              <w:t>Ⅲ</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0</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lastRenderedPageBreak/>
              <w:t>7</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原煤生产水耗</w:t>
            </w:r>
          </w:p>
        </w:tc>
        <w:tc>
          <w:tcPr>
            <w:tcW w:w="198" w:type="pct"/>
            <w:vAlign w:val="center"/>
          </w:tcPr>
          <w:p w:rsidR="00240BCE" w:rsidRDefault="00AC0334">
            <w:pPr>
              <w:spacing w:line="340" w:lineRule="exact"/>
              <w:jc w:val="center"/>
              <w:rPr>
                <w:bCs/>
                <w:w w:val="90"/>
                <w:sz w:val="21"/>
                <w:szCs w:val="21"/>
              </w:rPr>
            </w:pPr>
            <w:r>
              <w:rPr>
                <w:bCs/>
                <w:w w:val="90"/>
                <w:sz w:val="21"/>
                <w:szCs w:val="21"/>
              </w:rPr>
              <w:t>m</w:t>
            </w:r>
            <w:r>
              <w:rPr>
                <w:bCs/>
                <w:w w:val="90"/>
                <w:sz w:val="21"/>
                <w:szCs w:val="21"/>
                <w:vertAlign w:val="superscript"/>
              </w:rPr>
              <w:t>3</w:t>
            </w:r>
            <w:r>
              <w:rPr>
                <w:bCs/>
                <w:w w:val="90"/>
                <w:sz w:val="21"/>
                <w:szCs w:val="21"/>
              </w:rPr>
              <w:t>/t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0.2</w:t>
            </w:r>
          </w:p>
        </w:tc>
        <w:tc>
          <w:tcPr>
            <w:tcW w:w="894" w:type="pct"/>
            <w:vAlign w:val="center"/>
          </w:tcPr>
          <w:p w:rsidR="00240BCE" w:rsidRDefault="00AC0334">
            <w:pPr>
              <w:spacing w:line="340" w:lineRule="exact"/>
              <w:jc w:val="center"/>
              <w:rPr>
                <w:bCs/>
                <w:spacing w:val="4"/>
                <w:sz w:val="21"/>
                <w:szCs w:val="21"/>
              </w:rPr>
            </w:pPr>
            <w:r>
              <w:rPr>
                <w:bCs/>
                <w:spacing w:val="4"/>
                <w:sz w:val="21"/>
                <w:szCs w:val="21"/>
              </w:rPr>
              <w:t>≤0.1</w:t>
            </w:r>
          </w:p>
        </w:tc>
        <w:tc>
          <w:tcPr>
            <w:tcW w:w="691" w:type="pct"/>
            <w:vAlign w:val="center"/>
          </w:tcPr>
          <w:p w:rsidR="00240BCE" w:rsidRDefault="00AC0334">
            <w:pPr>
              <w:spacing w:line="340" w:lineRule="exact"/>
              <w:jc w:val="center"/>
              <w:rPr>
                <w:bCs/>
                <w:spacing w:val="4"/>
                <w:sz w:val="21"/>
                <w:szCs w:val="21"/>
              </w:rPr>
            </w:pPr>
            <w:r>
              <w:rPr>
                <w:bCs/>
                <w:spacing w:val="4"/>
                <w:sz w:val="21"/>
                <w:szCs w:val="21"/>
              </w:rPr>
              <w:t>≤0.2</w:t>
            </w:r>
          </w:p>
        </w:tc>
        <w:tc>
          <w:tcPr>
            <w:tcW w:w="719" w:type="pct"/>
            <w:vAlign w:val="center"/>
          </w:tcPr>
          <w:p w:rsidR="00240BCE" w:rsidRDefault="00AC0334">
            <w:pPr>
              <w:spacing w:line="340" w:lineRule="exact"/>
              <w:jc w:val="center"/>
              <w:rPr>
                <w:bCs/>
                <w:spacing w:val="4"/>
                <w:sz w:val="21"/>
                <w:szCs w:val="21"/>
              </w:rPr>
            </w:pPr>
            <w:r>
              <w:rPr>
                <w:bCs/>
                <w:spacing w:val="4"/>
                <w:sz w:val="21"/>
                <w:szCs w:val="21"/>
              </w:rPr>
              <w:t>≤0.3</w:t>
            </w:r>
          </w:p>
        </w:tc>
        <w:tc>
          <w:tcPr>
            <w:tcW w:w="470" w:type="pct"/>
            <w:vAlign w:val="center"/>
          </w:tcPr>
          <w:p w:rsidR="00240BCE" w:rsidRDefault="00AC0334">
            <w:pPr>
              <w:spacing w:line="340" w:lineRule="exact"/>
              <w:jc w:val="center"/>
              <w:rPr>
                <w:bCs/>
                <w:w w:val="90"/>
                <w:kern w:val="0"/>
                <w:sz w:val="21"/>
                <w:szCs w:val="21"/>
              </w:rPr>
            </w:pPr>
            <w:r>
              <w:rPr>
                <w:bCs/>
                <w:w w:val="90"/>
                <w:kern w:val="0"/>
                <w:sz w:val="21"/>
                <w:szCs w:val="21"/>
              </w:rPr>
              <w:t>0.60</w:t>
            </w:r>
            <w:r>
              <w:rPr>
                <w:bCs/>
                <w:w w:val="90"/>
                <w:kern w:val="0"/>
                <w:sz w:val="21"/>
                <w:szCs w:val="21"/>
              </w:rPr>
              <w:t>，低于</w:t>
            </w:r>
            <w:r>
              <w:rPr>
                <w:bCs/>
                <w:w w:val="90"/>
                <w:kern w:val="0"/>
                <w:sz w:val="21"/>
                <w:szCs w:val="21"/>
              </w:rPr>
              <w:t>Ⅲ</w:t>
            </w:r>
            <w:r>
              <w:rPr>
                <w:bCs/>
                <w:w w:val="90"/>
                <w:kern w:val="0"/>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0</w:t>
            </w:r>
          </w:p>
        </w:tc>
      </w:tr>
      <w:tr w:rsidR="00240BCE">
        <w:trPr>
          <w:jc w:val="center"/>
        </w:trPr>
        <w:tc>
          <w:tcPr>
            <w:tcW w:w="159" w:type="pct"/>
            <w:vMerge w:val="restart"/>
            <w:vAlign w:val="center"/>
          </w:tcPr>
          <w:p w:rsidR="00240BCE" w:rsidRDefault="00AC0334">
            <w:pPr>
              <w:spacing w:line="340" w:lineRule="exact"/>
              <w:jc w:val="center"/>
              <w:rPr>
                <w:bCs/>
                <w:spacing w:val="4"/>
                <w:sz w:val="21"/>
                <w:szCs w:val="21"/>
              </w:rPr>
            </w:pPr>
            <w:r>
              <w:rPr>
                <w:bCs/>
                <w:spacing w:val="4"/>
                <w:sz w:val="21"/>
                <w:szCs w:val="21"/>
              </w:rPr>
              <w:t>18</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252" w:type="pct"/>
            <w:vMerge w:val="restart"/>
            <w:vAlign w:val="center"/>
          </w:tcPr>
          <w:p w:rsidR="00240BCE" w:rsidRDefault="00AC0334">
            <w:pPr>
              <w:spacing w:line="340" w:lineRule="exact"/>
              <w:jc w:val="center"/>
              <w:rPr>
                <w:bCs/>
                <w:spacing w:val="4"/>
                <w:sz w:val="21"/>
                <w:szCs w:val="21"/>
              </w:rPr>
            </w:pPr>
            <w:r>
              <w:rPr>
                <w:bCs/>
                <w:spacing w:val="4"/>
                <w:sz w:val="21"/>
                <w:szCs w:val="21"/>
              </w:rPr>
              <w:t>选煤吨煤电耗</w:t>
            </w:r>
          </w:p>
        </w:tc>
        <w:tc>
          <w:tcPr>
            <w:tcW w:w="571" w:type="pct"/>
            <w:vAlign w:val="center"/>
          </w:tcPr>
          <w:p w:rsidR="00240BCE" w:rsidRDefault="00AC0334">
            <w:pPr>
              <w:spacing w:line="340" w:lineRule="exact"/>
              <w:jc w:val="center"/>
              <w:rPr>
                <w:bCs/>
                <w:spacing w:val="4"/>
                <w:sz w:val="21"/>
                <w:szCs w:val="21"/>
              </w:rPr>
            </w:pPr>
            <w:r>
              <w:rPr>
                <w:bCs/>
                <w:spacing w:val="4"/>
                <w:sz w:val="21"/>
                <w:szCs w:val="21"/>
              </w:rPr>
              <w:t>动力煤</w:t>
            </w:r>
          </w:p>
        </w:tc>
        <w:tc>
          <w:tcPr>
            <w:tcW w:w="198" w:type="pct"/>
            <w:vAlign w:val="center"/>
          </w:tcPr>
          <w:p w:rsidR="00240BCE" w:rsidRDefault="00AC0334">
            <w:pPr>
              <w:spacing w:line="340" w:lineRule="exact"/>
              <w:jc w:val="center"/>
              <w:rPr>
                <w:bCs/>
                <w:w w:val="90"/>
                <w:sz w:val="21"/>
                <w:szCs w:val="21"/>
              </w:rPr>
            </w:pPr>
            <w:r>
              <w:rPr>
                <w:bCs/>
                <w:w w:val="90"/>
                <w:sz w:val="21"/>
                <w:szCs w:val="21"/>
              </w:rPr>
              <w:t>Kwh/t</w:t>
            </w:r>
          </w:p>
        </w:tc>
        <w:tc>
          <w:tcPr>
            <w:tcW w:w="249" w:type="pct"/>
            <w:vMerge w:val="restart"/>
            <w:vAlign w:val="center"/>
          </w:tcPr>
          <w:p w:rsidR="00240BCE" w:rsidRDefault="00AC0334">
            <w:pPr>
              <w:spacing w:line="340" w:lineRule="exact"/>
              <w:jc w:val="center"/>
              <w:rPr>
                <w:bCs/>
                <w:spacing w:val="4"/>
                <w:sz w:val="21"/>
                <w:szCs w:val="21"/>
              </w:rPr>
            </w:pPr>
            <w:r>
              <w:rPr>
                <w:bCs/>
                <w:spacing w:val="4"/>
                <w:sz w:val="21"/>
                <w:szCs w:val="21"/>
              </w:rPr>
              <w:t>/</w:t>
            </w:r>
          </w:p>
        </w:tc>
        <w:tc>
          <w:tcPr>
            <w:tcW w:w="894" w:type="pct"/>
            <w:vMerge w:val="restart"/>
          </w:tcPr>
          <w:p w:rsidR="00240BCE" w:rsidRDefault="00AC0334">
            <w:pPr>
              <w:spacing w:line="340" w:lineRule="exact"/>
              <w:rPr>
                <w:bCs/>
                <w:spacing w:val="4"/>
                <w:sz w:val="21"/>
                <w:szCs w:val="21"/>
              </w:rPr>
            </w:pPr>
            <w:r>
              <w:rPr>
                <w:bCs/>
                <w:spacing w:val="4"/>
                <w:sz w:val="21"/>
                <w:szCs w:val="21"/>
              </w:rPr>
              <w:t>按</w:t>
            </w:r>
            <w:r>
              <w:rPr>
                <w:bCs/>
                <w:spacing w:val="4"/>
                <w:sz w:val="21"/>
                <w:szCs w:val="21"/>
              </w:rPr>
              <w:t xml:space="preserve">GB29446 </w:t>
            </w:r>
            <w:r>
              <w:rPr>
                <w:bCs/>
                <w:spacing w:val="4"/>
                <w:sz w:val="21"/>
                <w:szCs w:val="21"/>
              </w:rPr>
              <w:t>先进值要</w:t>
            </w:r>
          </w:p>
          <w:p w:rsidR="00240BCE" w:rsidRDefault="00AC0334">
            <w:pPr>
              <w:spacing w:line="340" w:lineRule="exact"/>
              <w:rPr>
                <w:bCs/>
                <w:spacing w:val="4"/>
                <w:sz w:val="21"/>
                <w:szCs w:val="21"/>
              </w:rPr>
            </w:pPr>
            <w:r>
              <w:rPr>
                <w:bCs/>
                <w:spacing w:val="4"/>
                <w:sz w:val="21"/>
                <w:szCs w:val="21"/>
              </w:rPr>
              <w:t>求</w:t>
            </w:r>
          </w:p>
        </w:tc>
        <w:tc>
          <w:tcPr>
            <w:tcW w:w="691" w:type="pct"/>
            <w:vMerge w:val="restart"/>
          </w:tcPr>
          <w:p w:rsidR="00240BCE" w:rsidRDefault="00AC0334">
            <w:pPr>
              <w:spacing w:line="340" w:lineRule="exact"/>
              <w:rPr>
                <w:bCs/>
                <w:spacing w:val="4"/>
                <w:sz w:val="21"/>
                <w:szCs w:val="21"/>
              </w:rPr>
            </w:pPr>
            <w:r>
              <w:rPr>
                <w:bCs/>
                <w:spacing w:val="4"/>
                <w:sz w:val="21"/>
                <w:szCs w:val="21"/>
              </w:rPr>
              <w:t>按</w:t>
            </w:r>
            <w:r>
              <w:rPr>
                <w:bCs/>
                <w:spacing w:val="4"/>
                <w:sz w:val="21"/>
                <w:szCs w:val="21"/>
              </w:rPr>
              <w:t xml:space="preserve">GB29446 </w:t>
            </w:r>
            <w:r>
              <w:rPr>
                <w:bCs/>
                <w:spacing w:val="4"/>
                <w:sz w:val="21"/>
                <w:szCs w:val="21"/>
              </w:rPr>
              <w:t>准入值要求</w:t>
            </w:r>
          </w:p>
        </w:tc>
        <w:tc>
          <w:tcPr>
            <w:tcW w:w="719" w:type="pct"/>
            <w:vMerge w:val="restart"/>
          </w:tcPr>
          <w:p w:rsidR="00240BCE" w:rsidRDefault="00AC0334">
            <w:pPr>
              <w:spacing w:line="340" w:lineRule="exact"/>
              <w:rPr>
                <w:bCs/>
                <w:spacing w:val="4"/>
                <w:sz w:val="21"/>
                <w:szCs w:val="21"/>
              </w:rPr>
            </w:pPr>
            <w:r>
              <w:rPr>
                <w:bCs/>
                <w:spacing w:val="4"/>
                <w:sz w:val="21"/>
                <w:szCs w:val="21"/>
              </w:rPr>
              <w:t xml:space="preserve">GB29446 </w:t>
            </w:r>
            <w:r>
              <w:rPr>
                <w:bCs/>
                <w:spacing w:val="4"/>
                <w:sz w:val="21"/>
                <w:szCs w:val="21"/>
              </w:rPr>
              <w:t>限定值要求</w:t>
            </w:r>
          </w:p>
        </w:tc>
        <w:tc>
          <w:tcPr>
            <w:tcW w:w="470" w:type="pct"/>
            <w:vMerge w:val="restart"/>
            <w:vAlign w:val="center"/>
          </w:tcPr>
          <w:p w:rsidR="00240BCE" w:rsidRDefault="00AC0334">
            <w:pPr>
              <w:spacing w:line="340" w:lineRule="exact"/>
              <w:jc w:val="center"/>
              <w:rPr>
                <w:bCs/>
                <w:spacing w:val="4"/>
                <w:sz w:val="21"/>
                <w:szCs w:val="21"/>
              </w:rPr>
            </w:pPr>
            <w:r>
              <w:rPr>
                <w:bCs/>
                <w:spacing w:val="4"/>
                <w:sz w:val="21"/>
                <w:szCs w:val="21"/>
              </w:rPr>
              <w:t>原煤外售</w:t>
            </w:r>
          </w:p>
        </w:tc>
        <w:tc>
          <w:tcPr>
            <w:tcW w:w="197" w:type="pct"/>
            <w:vMerge w:val="restar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Merge/>
            <w:vAlign w:val="center"/>
          </w:tcPr>
          <w:p w:rsidR="00240BCE" w:rsidRDefault="00240BCE">
            <w:pPr>
              <w:spacing w:line="340" w:lineRule="exact"/>
              <w:jc w:val="center"/>
              <w:rPr>
                <w:bCs/>
                <w:spacing w:val="4"/>
                <w:sz w:val="21"/>
                <w:szCs w:val="21"/>
              </w:rPr>
            </w:pP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252" w:type="pct"/>
            <w:vMerge/>
            <w:vAlign w:val="center"/>
          </w:tcPr>
          <w:p w:rsidR="00240BCE" w:rsidRDefault="00240BCE">
            <w:pPr>
              <w:spacing w:line="340" w:lineRule="exact"/>
              <w:jc w:val="center"/>
              <w:rPr>
                <w:bCs/>
                <w:spacing w:val="4"/>
                <w:sz w:val="21"/>
                <w:szCs w:val="21"/>
              </w:rPr>
            </w:pPr>
          </w:p>
        </w:tc>
        <w:tc>
          <w:tcPr>
            <w:tcW w:w="571" w:type="pct"/>
            <w:vAlign w:val="center"/>
          </w:tcPr>
          <w:p w:rsidR="00240BCE" w:rsidRDefault="00AC0334">
            <w:pPr>
              <w:spacing w:line="340" w:lineRule="exact"/>
              <w:jc w:val="center"/>
              <w:rPr>
                <w:bCs/>
                <w:spacing w:val="4"/>
                <w:sz w:val="21"/>
                <w:szCs w:val="21"/>
              </w:rPr>
            </w:pPr>
            <w:r>
              <w:rPr>
                <w:bCs/>
                <w:spacing w:val="4"/>
                <w:sz w:val="21"/>
                <w:szCs w:val="21"/>
              </w:rPr>
              <w:t>炼焦煤</w:t>
            </w:r>
          </w:p>
        </w:tc>
        <w:tc>
          <w:tcPr>
            <w:tcW w:w="198" w:type="pct"/>
            <w:vAlign w:val="center"/>
          </w:tcPr>
          <w:p w:rsidR="00240BCE" w:rsidRDefault="00AC0334">
            <w:pPr>
              <w:spacing w:line="340" w:lineRule="exact"/>
              <w:jc w:val="center"/>
              <w:rPr>
                <w:bCs/>
                <w:w w:val="90"/>
                <w:sz w:val="21"/>
                <w:szCs w:val="21"/>
              </w:rPr>
            </w:pPr>
            <w:r>
              <w:rPr>
                <w:bCs/>
                <w:w w:val="90"/>
                <w:sz w:val="21"/>
                <w:szCs w:val="21"/>
              </w:rPr>
              <w:t>Kwh/t</w:t>
            </w:r>
          </w:p>
        </w:tc>
        <w:tc>
          <w:tcPr>
            <w:tcW w:w="249" w:type="pct"/>
            <w:vMerge/>
            <w:vAlign w:val="center"/>
          </w:tcPr>
          <w:p w:rsidR="00240BCE" w:rsidRDefault="00240BCE">
            <w:pPr>
              <w:spacing w:line="340" w:lineRule="exact"/>
              <w:jc w:val="center"/>
              <w:rPr>
                <w:bCs/>
                <w:spacing w:val="4"/>
                <w:sz w:val="21"/>
                <w:szCs w:val="21"/>
              </w:rPr>
            </w:pPr>
          </w:p>
        </w:tc>
        <w:tc>
          <w:tcPr>
            <w:tcW w:w="894" w:type="pct"/>
            <w:vMerge/>
          </w:tcPr>
          <w:p w:rsidR="00240BCE" w:rsidRDefault="00240BCE">
            <w:pPr>
              <w:spacing w:line="340" w:lineRule="exact"/>
              <w:rPr>
                <w:bCs/>
                <w:spacing w:val="4"/>
                <w:sz w:val="21"/>
                <w:szCs w:val="21"/>
              </w:rPr>
            </w:pPr>
          </w:p>
        </w:tc>
        <w:tc>
          <w:tcPr>
            <w:tcW w:w="691" w:type="pct"/>
            <w:vMerge/>
          </w:tcPr>
          <w:p w:rsidR="00240BCE" w:rsidRDefault="00240BCE">
            <w:pPr>
              <w:spacing w:line="340" w:lineRule="exact"/>
              <w:rPr>
                <w:bCs/>
                <w:spacing w:val="4"/>
                <w:sz w:val="21"/>
                <w:szCs w:val="21"/>
              </w:rPr>
            </w:pPr>
          </w:p>
        </w:tc>
        <w:tc>
          <w:tcPr>
            <w:tcW w:w="719" w:type="pct"/>
            <w:vMerge/>
          </w:tcPr>
          <w:p w:rsidR="00240BCE" w:rsidRDefault="00240BCE">
            <w:pPr>
              <w:spacing w:line="340" w:lineRule="exact"/>
              <w:rPr>
                <w:bCs/>
                <w:spacing w:val="4"/>
                <w:sz w:val="21"/>
                <w:szCs w:val="21"/>
              </w:rPr>
            </w:pPr>
          </w:p>
        </w:tc>
        <w:tc>
          <w:tcPr>
            <w:tcW w:w="470" w:type="pct"/>
            <w:vMerge/>
          </w:tcPr>
          <w:p w:rsidR="00240BCE" w:rsidRDefault="00240BCE">
            <w:pPr>
              <w:spacing w:line="340" w:lineRule="exact"/>
              <w:rPr>
                <w:bCs/>
                <w:spacing w:val="4"/>
                <w:sz w:val="21"/>
                <w:szCs w:val="21"/>
              </w:rPr>
            </w:pPr>
          </w:p>
        </w:tc>
        <w:tc>
          <w:tcPr>
            <w:tcW w:w="197" w:type="pct"/>
            <w:vMerge/>
          </w:tcPr>
          <w:p w:rsidR="00240BCE" w:rsidRDefault="00240BCE">
            <w:pPr>
              <w:spacing w:line="340" w:lineRule="exact"/>
              <w:rPr>
                <w:bCs/>
                <w:spacing w:val="4"/>
                <w:sz w:val="21"/>
                <w:szCs w:val="21"/>
              </w:rPr>
            </w:pP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19</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单位入选原煤取水量</w:t>
            </w:r>
          </w:p>
        </w:tc>
        <w:tc>
          <w:tcPr>
            <w:tcW w:w="198" w:type="pct"/>
            <w:vAlign w:val="center"/>
          </w:tcPr>
          <w:p w:rsidR="00240BCE" w:rsidRDefault="00AC0334">
            <w:pPr>
              <w:spacing w:line="340" w:lineRule="exact"/>
              <w:jc w:val="center"/>
              <w:rPr>
                <w:bCs/>
                <w:w w:val="90"/>
                <w:sz w:val="21"/>
                <w:szCs w:val="21"/>
              </w:rPr>
            </w:pPr>
            <w:r>
              <w:rPr>
                <w:bCs/>
                <w:w w:val="90"/>
                <w:sz w:val="21"/>
                <w:szCs w:val="21"/>
              </w:rPr>
              <w:t>m</w:t>
            </w:r>
            <w:r>
              <w:rPr>
                <w:bCs/>
                <w:w w:val="90"/>
                <w:sz w:val="21"/>
                <w:szCs w:val="21"/>
                <w:vertAlign w:val="superscript"/>
              </w:rPr>
              <w:t>3</w:t>
            </w:r>
            <w:r>
              <w:rPr>
                <w:bCs/>
                <w:w w:val="90"/>
                <w:sz w:val="21"/>
                <w:szCs w:val="21"/>
              </w:rPr>
              <w:t>/t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w:t>
            </w:r>
          </w:p>
        </w:tc>
        <w:tc>
          <w:tcPr>
            <w:tcW w:w="2304" w:type="pct"/>
            <w:gridSpan w:val="3"/>
          </w:tcPr>
          <w:p w:rsidR="00240BCE" w:rsidRDefault="00AC0334">
            <w:pPr>
              <w:spacing w:line="340" w:lineRule="exact"/>
              <w:rPr>
                <w:bCs/>
                <w:spacing w:val="4"/>
                <w:sz w:val="21"/>
                <w:szCs w:val="21"/>
              </w:rPr>
            </w:pPr>
            <w:r>
              <w:rPr>
                <w:bCs/>
                <w:spacing w:val="4"/>
                <w:sz w:val="21"/>
                <w:szCs w:val="21"/>
              </w:rPr>
              <w:t>符合《</w:t>
            </w:r>
            <w:r>
              <w:rPr>
                <w:bCs/>
                <w:spacing w:val="4"/>
                <w:sz w:val="21"/>
                <w:szCs w:val="21"/>
              </w:rPr>
              <w:t>GB/T 18916.11</w:t>
            </w:r>
            <w:r>
              <w:rPr>
                <w:bCs/>
                <w:spacing w:val="4"/>
                <w:sz w:val="21"/>
                <w:szCs w:val="21"/>
              </w:rPr>
              <w:t>取水定额第</w:t>
            </w:r>
            <w:r>
              <w:rPr>
                <w:bCs/>
                <w:spacing w:val="4"/>
                <w:sz w:val="21"/>
                <w:szCs w:val="21"/>
              </w:rPr>
              <w:t xml:space="preserve">11 </w:t>
            </w:r>
            <w:r>
              <w:rPr>
                <w:bCs/>
                <w:spacing w:val="4"/>
                <w:sz w:val="21"/>
                <w:szCs w:val="21"/>
              </w:rPr>
              <w:t>部分：选煤》要求</w:t>
            </w:r>
          </w:p>
        </w:tc>
        <w:tc>
          <w:tcPr>
            <w:tcW w:w="470" w:type="pct"/>
            <w:vAlign w:val="center"/>
          </w:tcPr>
          <w:p w:rsidR="00240BCE" w:rsidRDefault="00AC0334">
            <w:pPr>
              <w:spacing w:line="340" w:lineRule="exact"/>
              <w:jc w:val="center"/>
              <w:rPr>
                <w:bCs/>
                <w:spacing w:val="4"/>
                <w:sz w:val="21"/>
                <w:szCs w:val="21"/>
              </w:rPr>
            </w:pPr>
            <w:r>
              <w:rPr>
                <w:bCs/>
                <w:spacing w:val="4"/>
                <w:sz w:val="21"/>
                <w:szCs w:val="21"/>
              </w:rPr>
              <w:t>原煤外售</w:t>
            </w:r>
          </w:p>
        </w:tc>
        <w:tc>
          <w:tcPr>
            <w:tcW w:w="197" w:type="pc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20</w:t>
            </w:r>
          </w:p>
        </w:tc>
        <w:tc>
          <w:tcPr>
            <w:tcW w:w="304" w:type="pct"/>
            <w:vMerge w:val="restart"/>
            <w:vAlign w:val="center"/>
          </w:tcPr>
          <w:p w:rsidR="00240BCE" w:rsidRDefault="00AC0334">
            <w:pPr>
              <w:spacing w:line="340" w:lineRule="exact"/>
              <w:jc w:val="center"/>
              <w:rPr>
                <w:bCs/>
                <w:spacing w:val="4"/>
                <w:sz w:val="21"/>
                <w:szCs w:val="21"/>
              </w:rPr>
            </w:pPr>
            <w:r>
              <w:rPr>
                <w:bCs/>
                <w:spacing w:val="4"/>
                <w:sz w:val="21"/>
                <w:szCs w:val="21"/>
              </w:rPr>
              <w:t>（三）资源综合利用指标</w:t>
            </w:r>
          </w:p>
        </w:tc>
        <w:tc>
          <w:tcPr>
            <w:tcW w:w="296" w:type="pct"/>
            <w:vMerge w:val="restart"/>
            <w:vAlign w:val="center"/>
          </w:tcPr>
          <w:p w:rsidR="00240BCE" w:rsidRDefault="00AC0334">
            <w:pPr>
              <w:spacing w:line="340" w:lineRule="exact"/>
              <w:jc w:val="center"/>
              <w:rPr>
                <w:bCs/>
                <w:spacing w:val="4"/>
                <w:sz w:val="21"/>
                <w:szCs w:val="21"/>
              </w:rPr>
            </w:pPr>
            <w:r>
              <w:rPr>
                <w:bCs/>
                <w:spacing w:val="4"/>
                <w:sz w:val="21"/>
                <w:szCs w:val="21"/>
              </w:rPr>
              <w:t>0.15</w:t>
            </w:r>
          </w:p>
        </w:tc>
        <w:tc>
          <w:tcPr>
            <w:tcW w:w="823" w:type="pct"/>
            <w:gridSpan w:val="2"/>
            <w:vAlign w:val="center"/>
          </w:tcPr>
          <w:p w:rsidR="00240BCE" w:rsidRDefault="00AC0334">
            <w:pPr>
              <w:spacing w:line="340" w:lineRule="exact"/>
              <w:jc w:val="center"/>
              <w:rPr>
                <w:bCs/>
                <w:spacing w:val="4"/>
                <w:sz w:val="21"/>
                <w:szCs w:val="21"/>
              </w:rPr>
            </w:pPr>
            <w:r>
              <w:rPr>
                <w:kern w:val="0"/>
                <w:sz w:val="21"/>
                <w:szCs w:val="21"/>
              </w:rPr>
              <w:t>*</w:t>
            </w:r>
            <w:r>
              <w:rPr>
                <w:kern w:val="0"/>
                <w:sz w:val="21"/>
                <w:szCs w:val="21"/>
              </w:rPr>
              <w:t>当年产生煤矸石综合利用率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0.375</w:t>
            </w:r>
          </w:p>
        </w:tc>
        <w:tc>
          <w:tcPr>
            <w:tcW w:w="894" w:type="pct"/>
            <w:vAlign w:val="center"/>
          </w:tcPr>
          <w:p w:rsidR="00240BCE" w:rsidRDefault="00AC0334">
            <w:pPr>
              <w:spacing w:line="340" w:lineRule="exact"/>
              <w:jc w:val="center"/>
              <w:rPr>
                <w:bCs/>
                <w:spacing w:val="4"/>
                <w:sz w:val="21"/>
                <w:szCs w:val="21"/>
              </w:rPr>
            </w:pPr>
            <w:r>
              <w:rPr>
                <w:bCs/>
                <w:spacing w:val="4"/>
                <w:sz w:val="21"/>
                <w:szCs w:val="21"/>
              </w:rPr>
              <w:t>≥85</w:t>
            </w:r>
          </w:p>
        </w:tc>
        <w:tc>
          <w:tcPr>
            <w:tcW w:w="691" w:type="pct"/>
            <w:vAlign w:val="center"/>
          </w:tcPr>
          <w:p w:rsidR="00240BCE" w:rsidRDefault="00AC0334">
            <w:pPr>
              <w:spacing w:line="340" w:lineRule="exact"/>
              <w:jc w:val="center"/>
              <w:rPr>
                <w:bCs/>
                <w:spacing w:val="4"/>
                <w:sz w:val="21"/>
                <w:szCs w:val="21"/>
              </w:rPr>
            </w:pPr>
            <w:r>
              <w:rPr>
                <w:bCs/>
                <w:spacing w:val="4"/>
                <w:sz w:val="21"/>
                <w:szCs w:val="21"/>
              </w:rPr>
              <w:t>≥80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≥75</w:t>
            </w:r>
          </w:p>
        </w:tc>
        <w:tc>
          <w:tcPr>
            <w:tcW w:w="470" w:type="pct"/>
            <w:vAlign w:val="center"/>
          </w:tcPr>
          <w:p w:rsidR="00240BCE" w:rsidRDefault="00AC0334">
            <w:pPr>
              <w:spacing w:line="340" w:lineRule="exact"/>
              <w:jc w:val="center"/>
              <w:rPr>
                <w:bCs/>
                <w:spacing w:val="4"/>
                <w:sz w:val="21"/>
                <w:szCs w:val="21"/>
              </w:rPr>
            </w:pPr>
            <w:r>
              <w:rPr>
                <w:bCs/>
                <w:spacing w:val="4"/>
                <w:sz w:val="21"/>
                <w:szCs w:val="21"/>
              </w:rPr>
              <w:t>100%</w:t>
            </w:r>
            <w:r>
              <w:rPr>
                <w:bCs/>
                <w:spacing w:val="4"/>
                <w:sz w:val="21"/>
                <w:szCs w:val="21"/>
              </w:rPr>
              <w:t>，</w:t>
            </w: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5.63</w:t>
            </w:r>
          </w:p>
        </w:tc>
      </w:tr>
      <w:tr w:rsidR="00240BCE">
        <w:trPr>
          <w:jc w:val="center"/>
        </w:trPr>
        <w:tc>
          <w:tcPr>
            <w:tcW w:w="159" w:type="pct"/>
            <w:vMerge w:val="restart"/>
            <w:vAlign w:val="center"/>
          </w:tcPr>
          <w:p w:rsidR="00240BCE" w:rsidRDefault="00AC0334">
            <w:pPr>
              <w:spacing w:line="340" w:lineRule="exact"/>
              <w:jc w:val="center"/>
              <w:rPr>
                <w:bCs/>
                <w:spacing w:val="4"/>
                <w:sz w:val="21"/>
                <w:szCs w:val="21"/>
              </w:rPr>
            </w:pPr>
            <w:r>
              <w:rPr>
                <w:bCs/>
                <w:spacing w:val="4"/>
                <w:sz w:val="21"/>
                <w:szCs w:val="21"/>
              </w:rPr>
              <w:t>21</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252" w:type="pct"/>
            <w:vMerge w:val="restart"/>
            <w:vAlign w:val="center"/>
          </w:tcPr>
          <w:p w:rsidR="00240BCE" w:rsidRDefault="00AC0334">
            <w:pPr>
              <w:spacing w:line="340" w:lineRule="exact"/>
              <w:jc w:val="center"/>
              <w:rPr>
                <w:bCs/>
                <w:spacing w:val="4"/>
                <w:sz w:val="21"/>
                <w:szCs w:val="21"/>
              </w:rPr>
            </w:pPr>
            <w:r>
              <w:rPr>
                <w:bCs/>
                <w:spacing w:val="4"/>
                <w:sz w:val="21"/>
                <w:szCs w:val="21"/>
              </w:rPr>
              <w:t>*</w:t>
            </w:r>
            <w:r>
              <w:rPr>
                <w:bCs/>
                <w:spacing w:val="4"/>
                <w:sz w:val="21"/>
                <w:szCs w:val="21"/>
              </w:rPr>
              <w:t>矿井水利用率</w:t>
            </w:r>
            <w:r>
              <w:rPr>
                <w:bCs/>
                <w:spacing w:val="4"/>
                <w:sz w:val="21"/>
                <w:szCs w:val="21"/>
                <w:vertAlign w:val="superscript"/>
              </w:rPr>
              <w:t>【注</w:t>
            </w:r>
          </w:p>
        </w:tc>
        <w:tc>
          <w:tcPr>
            <w:tcW w:w="571" w:type="pct"/>
            <w:vAlign w:val="center"/>
          </w:tcPr>
          <w:p w:rsidR="00240BCE" w:rsidRDefault="00AC0334">
            <w:pPr>
              <w:spacing w:line="340" w:lineRule="exact"/>
              <w:jc w:val="center"/>
              <w:rPr>
                <w:bCs/>
                <w:spacing w:val="4"/>
                <w:sz w:val="21"/>
                <w:szCs w:val="21"/>
              </w:rPr>
            </w:pPr>
            <w:r>
              <w:rPr>
                <w:bCs/>
                <w:spacing w:val="4"/>
                <w:sz w:val="21"/>
                <w:szCs w:val="21"/>
              </w:rPr>
              <w:t>水资源短缺矿区</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Merge w:val="restart"/>
            <w:vAlign w:val="center"/>
          </w:tcPr>
          <w:p w:rsidR="00240BCE" w:rsidRDefault="00AC0334">
            <w:pPr>
              <w:spacing w:line="340" w:lineRule="exact"/>
              <w:jc w:val="center"/>
              <w:rPr>
                <w:bCs/>
                <w:spacing w:val="4"/>
                <w:sz w:val="21"/>
                <w:szCs w:val="21"/>
              </w:rPr>
            </w:pPr>
            <w:r>
              <w:rPr>
                <w:bCs/>
                <w:spacing w:val="4"/>
                <w:sz w:val="21"/>
                <w:szCs w:val="21"/>
              </w:rPr>
              <w:t>0.375</w:t>
            </w:r>
          </w:p>
        </w:tc>
        <w:tc>
          <w:tcPr>
            <w:tcW w:w="894" w:type="pct"/>
            <w:vAlign w:val="center"/>
          </w:tcPr>
          <w:p w:rsidR="00240BCE" w:rsidRDefault="00AC0334">
            <w:pPr>
              <w:spacing w:line="340" w:lineRule="exact"/>
              <w:jc w:val="center"/>
              <w:rPr>
                <w:bCs/>
                <w:spacing w:val="4"/>
                <w:sz w:val="21"/>
                <w:szCs w:val="21"/>
              </w:rPr>
            </w:pPr>
            <w:r>
              <w:rPr>
                <w:bCs/>
                <w:spacing w:val="4"/>
                <w:sz w:val="21"/>
                <w:szCs w:val="21"/>
              </w:rPr>
              <w:t>≥95</w:t>
            </w:r>
          </w:p>
        </w:tc>
        <w:tc>
          <w:tcPr>
            <w:tcW w:w="691" w:type="pct"/>
            <w:vAlign w:val="center"/>
          </w:tcPr>
          <w:p w:rsidR="00240BCE" w:rsidRDefault="00AC0334">
            <w:pPr>
              <w:spacing w:line="340" w:lineRule="exact"/>
              <w:jc w:val="center"/>
              <w:rPr>
                <w:bCs/>
                <w:spacing w:val="4"/>
                <w:sz w:val="21"/>
                <w:szCs w:val="21"/>
              </w:rPr>
            </w:pPr>
            <w:r>
              <w:rPr>
                <w:bCs/>
                <w:spacing w:val="4"/>
                <w:sz w:val="21"/>
                <w:szCs w:val="21"/>
              </w:rPr>
              <w:t>≥80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≥85</w:t>
            </w:r>
          </w:p>
        </w:tc>
        <w:tc>
          <w:tcPr>
            <w:tcW w:w="470" w:type="pct"/>
            <w:vAlign w:val="center"/>
          </w:tcPr>
          <w:p w:rsidR="00240BCE" w:rsidRDefault="00AC0334">
            <w:pPr>
              <w:spacing w:line="340" w:lineRule="exact"/>
              <w:jc w:val="center"/>
              <w:rPr>
                <w:bCs/>
                <w:spacing w:val="4"/>
                <w:sz w:val="21"/>
                <w:szCs w:val="21"/>
              </w:rPr>
            </w:pPr>
            <w:r>
              <w:rPr>
                <w:bCs/>
                <w:spacing w:val="4"/>
                <w:sz w:val="21"/>
                <w:szCs w:val="21"/>
              </w:rPr>
              <w:t>/</w:t>
            </w:r>
          </w:p>
        </w:tc>
        <w:tc>
          <w:tcPr>
            <w:tcW w:w="197" w:type="pc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Merge/>
            <w:vAlign w:val="center"/>
          </w:tcPr>
          <w:p w:rsidR="00240BCE" w:rsidRDefault="00240BCE">
            <w:pPr>
              <w:spacing w:line="340" w:lineRule="exact"/>
              <w:jc w:val="center"/>
              <w:rPr>
                <w:bCs/>
                <w:spacing w:val="4"/>
                <w:sz w:val="21"/>
                <w:szCs w:val="21"/>
              </w:rPr>
            </w:pP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252" w:type="pct"/>
            <w:vMerge/>
            <w:vAlign w:val="center"/>
          </w:tcPr>
          <w:p w:rsidR="00240BCE" w:rsidRDefault="00240BCE">
            <w:pPr>
              <w:spacing w:line="340" w:lineRule="exact"/>
              <w:jc w:val="center"/>
              <w:rPr>
                <w:bCs/>
                <w:spacing w:val="4"/>
                <w:sz w:val="21"/>
                <w:szCs w:val="21"/>
              </w:rPr>
            </w:pPr>
          </w:p>
        </w:tc>
        <w:tc>
          <w:tcPr>
            <w:tcW w:w="571" w:type="pct"/>
            <w:vAlign w:val="center"/>
          </w:tcPr>
          <w:p w:rsidR="00240BCE" w:rsidRDefault="00AC0334">
            <w:pPr>
              <w:spacing w:line="340" w:lineRule="exact"/>
              <w:jc w:val="center"/>
              <w:rPr>
                <w:bCs/>
                <w:spacing w:val="4"/>
                <w:sz w:val="21"/>
                <w:szCs w:val="21"/>
              </w:rPr>
            </w:pPr>
            <w:r>
              <w:rPr>
                <w:bCs/>
                <w:spacing w:val="4"/>
                <w:sz w:val="21"/>
                <w:szCs w:val="21"/>
              </w:rPr>
              <w:t>一般水资源矿区</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Merge/>
            <w:vAlign w:val="center"/>
          </w:tcPr>
          <w:p w:rsidR="00240BCE" w:rsidRDefault="00240BCE">
            <w:pPr>
              <w:spacing w:line="340" w:lineRule="exact"/>
              <w:jc w:val="center"/>
              <w:rPr>
                <w:bCs/>
                <w:spacing w:val="4"/>
                <w:sz w:val="21"/>
                <w:szCs w:val="21"/>
              </w:rPr>
            </w:pPr>
          </w:p>
        </w:tc>
        <w:tc>
          <w:tcPr>
            <w:tcW w:w="894" w:type="pct"/>
            <w:vAlign w:val="center"/>
          </w:tcPr>
          <w:p w:rsidR="00240BCE" w:rsidRDefault="00AC0334">
            <w:pPr>
              <w:spacing w:line="340" w:lineRule="exact"/>
              <w:jc w:val="center"/>
              <w:rPr>
                <w:bCs/>
                <w:spacing w:val="4"/>
                <w:sz w:val="21"/>
                <w:szCs w:val="21"/>
              </w:rPr>
            </w:pPr>
            <w:r>
              <w:rPr>
                <w:bCs/>
                <w:spacing w:val="4"/>
                <w:sz w:val="21"/>
                <w:szCs w:val="21"/>
              </w:rPr>
              <w:t>≥85</w:t>
            </w:r>
          </w:p>
        </w:tc>
        <w:tc>
          <w:tcPr>
            <w:tcW w:w="691" w:type="pct"/>
            <w:vAlign w:val="center"/>
          </w:tcPr>
          <w:p w:rsidR="00240BCE" w:rsidRDefault="00AC0334">
            <w:pPr>
              <w:spacing w:line="340" w:lineRule="exact"/>
              <w:jc w:val="center"/>
              <w:rPr>
                <w:bCs/>
                <w:spacing w:val="4"/>
                <w:sz w:val="21"/>
                <w:szCs w:val="21"/>
              </w:rPr>
            </w:pPr>
            <w:r>
              <w:rPr>
                <w:bCs/>
                <w:spacing w:val="4"/>
                <w:sz w:val="21"/>
                <w:szCs w:val="21"/>
              </w:rPr>
              <w:t>≥75</w:t>
            </w:r>
          </w:p>
        </w:tc>
        <w:tc>
          <w:tcPr>
            <w:tcW w:w="719" w:type="pct"/>
            <w:vAlign w:val="center"/>
          </w:tcPr>
          <w:p w:rsidR="00240BCE" w:rsidRDefault="00AC0334">
            <w:pPr>
              <w:spacing w:line="340" w:lineRule="exact"/>
              <w:jc w:val="center"/>
              <w:rPr>
                <w:bCs/>
                <w:spacing w:val="4"/>
                <w:sz w:val="21"/>
                <w:szCs w:val="21"/>
              </w:rPr>
            </w:pPr>
            <w:r>
              <w:rPr>
                <w:bCs/>
                <w:spacing w:val="4"/>
                <w:sz w:val="21"/>
                <w:szCs w:val="21"/>
              </w:rPr>
              <w:t>≥70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100%</w:t>
            </w:r>
            <w:r>
              <w:rPr>
                <w:bCs/>
                <w:spacing w:val="4"/>
                <w:sz w:val="21"/>
                <w:szCs w:val="21"/>
              </w:rPr>
              <w:t>，</w:t>
            </w: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5.63</w:t>
            </w:r>
          </w:p>
        </w:tc>
      </w:tr>
      <w:tr w:rsidR="00240BCE">
        <w:trPr>
          <w:jc w:val="center"/>
        </w:trPr>
        <w:tc>
          <w:tcPr>
            <w:tcW w:w="159" w:type="pct"/>
            <w:vMerge/>
            <w:vAlign w:val="center"/>
          </w:tcPr>
          <w:p w:rsidR="00240BCE" w:rsidRDefault="00240BCE">
            <w:pPr>
              <w:spacing w:line="340" w:lineRule="exact"/>
              <w:jc w:val="center"/>
              <w:rPr>
                <w:bCs/>
                <w:spacing w:val="4"/>
                <w:sz w:val="21"/>
                <w:szCs w:val="21"/>
              </w:rPr>
            </w:pP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252" w:type="pct"/>
            <w:vMerge/>
            <w:tcBorders>
              <w:bottom w:val="single" w:sz="4" w:space="0" w:color="000000"/>
            </w:tcBorders>
            <w:vAlign w:val="center"/>
          </w:tcPr>
          <w:p w:rsidR="00240BCE" w:rsidRDefault="00240BCE">
            <w:pPr>
              <w:spacing w:line="340" w:lineRule="exact"/>
              <w:jc w:val="center"/>
              <w:rPr>
                <w:bCs/>
                <w:spacing w:val="4"/>
                <w:sz w:val="21"/>
                <w:szCs w:val="21"/>
              </w:rPr>
            </w:pPr>
          </w:p>
        </w:tc>
        <w:tc>
          <w:tcPr>
            <w:tcW w:w="571" w:type="pct"/>
            <w:tcBorders>
              <w:bottom w:val="single" w:sz="4" w:space="0" w:color="000000"/>
            </w:tcBorders>
            <w:vAlign w:val="center"/>
          </w:tcPr>
          <w:p w:rsidR="00240BCE" w:rsidRDefault="00AC0334">
            <w:pPr>
              <w:spacing w:line="340" w:lineRule="exact"/>
              <w:jc w:val="center"/>
              <w:rPr>
                <w:bCs/>
                <w:spacing w:val="4"/>
                <w:sz w:val="21"/>
                <w:szCs w:val="21"/>
              </w:rPr>
            </w:pPr>
            <w:r>
              <w:rPr>
                <w:bCs/>
                <w:spacing w:val="4"/>
                <w:sz w:val="21"/>
                <w:szCs w:val="21"/>
              </w:rPr>
              <w:t>水资源丰富矿区</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Merge/>
            <w:vAlign w:val="center"/>
          </w:tcPr>
          <w:p w:rsidR="00240BCE" w:rsidRDefault="00240BCE">
            <w:pPr>
              <w:spacing w:line="340" w:lineRule="exact"/>
              <w:jc w:val="center"/>
              <w:rPr>
                <w:bCs/>
                <w:spacing w:val="4"/>
                <w:sz w:val="21"/>
                <w:szCs w:val="21"/>
              </w:rPr>
            </w:pPr>
          </w:p>
        </w:tc>
        <w:tc>
          <w:tcPr>
            <w:tcW w:w="894" w:type="pct"/>
            <w:vAlign w:val="center"/>
          </w:tcPr>
          <w:p w:rsidR="00240BCE" w:rsidRDefault="00AC0334">
            <w:pPr>
              <w:spacing w:line="340" w:lineRule="exact"/>
              <w:jc w:val="center"/>
              <w:rPr>
                <w:b/>
                <w:bCs/>
                <w:spacing w:val="4"/>
                <w:sz w:val="21"/>
                <w:szCs w:val="21"/>
              </w:rPr>
            </w:pPr>
            <w:r>
              <w:rPr>
                <w:bCs/>
                <w:spacing w:val="4"/>
                <w:sz w:val="21"/>
                <w:szCs w:val="21"/>
              </w:rPr>
              <w:t>≥70</w:t>
            </w:r>
          </w:p>
        </w:tc>
        <w:tc>
          <w:tcPr>
            <w:tcW w:w="691" w:type="pct"/>
            <w:vAlign w:val="center"/>
          </w:tcPr>
          <w:p w:rsidR="00240BCE" w:rsidRDefault="00AC0334">
            <w:pPr>
              <w:spacing w:line="340" w:lineRule="exact"/>
              <w:jc w:val="center"/>
              <w:rPr>
                <w:bCs/>
                <w:spacing w:val="4"/>
                <w:sz w:val="21"/>
                <w:szCs w:val="21"/>
              </w:rPr>
            </w:pPr>
            <w:r>
              <w:rPr>
                <w:bCs/>
                <w:spacing w:val="4"/>
                <w:sz w:val="21"/>
                <w:szCs w:val="21"/>
              </w:rPr>
              <w:t>≥65</w:t>
            </w:r>
          </w:p>
        </w:tc>
        <w:tc>
          <w:tcPr>
            <w:tcW w:w="719" w:type="pct"/>
            <w:vAlign w:val="center"/>
          </w:tcPr>
          <w:p w:rsidR="00240BCE" w:rsidRDefault="00AC0334">
            <w:pPr>
              <w:spacing w:line="340" w:lineRule="exact"/>
              <w:jc w:val="center"/>
              <w:rPr>
                <w:bCs/>
                <w:spacing w:val="4"/>
                <w:sz w:val="21"/>
                <w:szCs w:val="21"/>
              </w:rPr>
            </w:pPr>
            <w:r>
              <w:rPr>
                <w:bCs/>
                <w:spacing w:val="4"/>
                <w:sz w:val="21"/>
                <w:szCs w:val="21"/>
              </w:rPr>
              <w:t>≥60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w:t>
            </w:r>
          </w:p>
        </w:tc>
        <w:tc>
          <w:tcPr>
            <w:tcW w:w="197" w:type="pc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22</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tcBorders>
              <w:top w:val="single" w:sz="4" w:space="0" w:color="000000"/>
              <w:bottom w:val="single" w:sz="4" w:space="0" w:color="000000"/>
            </w:tcBorders>
            <w:vAlign w:val="center"/>
          </w:tcPr>
          <w:p w:rsidR="00240BCE" w:rsidRDefault="00AC0334">
            <w:pPr>
              <w:spacing w:line="340" w:lineRule="exact"/>
              <w:jc w:val="center"/>
              <w:rPr>
                <w:bCs/>
                <w:w w:val="90"/>
                <w:kern w:val="0"/>
                <w:sz w:val="21"/>
                <w:szCs w:val="21"/>
              </w:rPr>
            </w:pPr>
            <w:r>
              <w:rPr>
                <w:bCs/>
                <w:w w:val="90"/>
                <w:kern w:val="0"/>
                <w:sz w:val="21"/>
                <w:szCs w:val="21"/>
              </w:rPr>
              <w:t>矿区生活污水综合利用率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0.25</w:t>
            </w:r>
          </w:p>
        </w:tc>
        <w:tc>
          <w:tcPr>
            <w:tcW w:w="894" w:type="pct"/>
            <w:vAlign w:val="center"/>
          </w:tcPr>
          <w:p w:rsidR="00240BCE" w:rsidRDefault="00AC0334">
            <w:pPr>
              <w:spacing w:line="340" w:lineRule="exact"/>
              <w:jc w:val="center"/>
              <w:rPr>
                <w:bCs/>
                <w:spacing w:val="4"/>
                <w:sz w:val="21"/>
                <w:szCs w:val="21"/>
              </w:rPr>
            </w:pPr>
            <w:r>
              <w:rPr>
                <w:bCs/>
                <w:spacing w:val="4"/>
                <w:sz w:val="21"/>
                <w:szCs w:val="21"/>
              </w:rPr>
              <w:t>≥85</w:t>
            </w:r>
          </w:p>
        </w:tc>
        <w:tc>
          <w:tcPr>
            <w:tcW w:w="691" w:type="pct"/>
            <w:vAlign w:val="center"/>
          </w:tcPr>
          <w:p w:rsidR="00240BCE" w:rsidRDefault="00AC0334">
            <w:pPr>
              <w:spacing w:line="340" w:lineRule="exact"/>
              <w:jc w:val="center"/>
              <w:rPr>
                <w:bCs/>
                <w:spacing w:val="4"/>
                <w:sz w:val="21"/>
                <w:szCs w:val="21"/>
              </w:rPr>
            </w:pPr>
            <w:r>
              <w:rPr>
                <w:bCs/>
                <w:spacing w:val="4"/>
                <w:sz w:val="21"/>
                <w:szCs w:val="21"/>
              </w:rPr>
              <w:t>≥70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≥60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100%</w:t>
            </w:r>
            <w:r>
              <w:rPr>
                <w:bCs/>
                <w:spacing w:val="4"/>
                <w:sz w:val="21"/>
                <w:szCs w:val="21"/>
              </w:rPr>
              <w:t>，</w:t>
            </w: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3.75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23</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tcBorders>
              <w:top w:val="single" w:sz="4" w:space="0" w:color="000000"/>
            </w:tcBorders>
            <w:vAlign w:val="center"/>
          </w:tcPr>
          <w:p w:rsidR="00240BCE" w:rsidRDefault="00AC0334">
            <w:pPr>
              <w:spacing w:line="340" w:lineRule="exact"/>
              <w:jc w:val="center"/>
              <w:rPr>
                <w:bCs/>
                <w:spacing w:val="4"/>
                <w:sz w:val="21"/>
                <w:szCs w:val="21"/>
              </w:rPr>
            </w:pPr>
            <w:r>
              <w:rPr>
                <w:bCs/>
                <w:spacing w:val="4"/>
                <w:sz w:val="21"/>
                <w:szCs w:val="21"/>
              </w:rPr>
              <w:t>高瓦斯矿井当年抽采瓦斯综合利用</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w:t>
            </w:r>
          </w:p>
        </w:tc>
        <w:tc>
          <w:tcPr>
            <w:tcW w:w="894" w:type="pct"/>
            <w:vAlign w:val="center"/>
          </w:tcPr>
          <w:p w:rsidR="00240BCE" w:rsidRDefault="00AC0334">
            <w:pPr>
              <w:spacing w:line="340" w:lineRule="exact"/>
              <w:jc w:val="center"/>
              <w:rPr>
                <w:bCs/>
                <w:spacing w:val="4"/>
                <w:sz w:val="21"/>
                <w:szCs w:val="21"/>
              </w:rPr>
            </w:pPr>
            <w:r>
              <w:rPr>
                <w:bCs/>
                <w:spacing w:val="4"/>
                <w:sz w:val="21"/>
                <w:szCs w:val="21"/>
              </w:rPr>
              <w:t>≥85</w:t>
            </w:r>
          </w:p>
        </w:tc>
        <w:tc>
          <w:tcPr>
            <w:tcW w:w="691" w:type="pct"/>
            <w:vAlign w:val="center"/>
          </w:tcPr>
          <w:p w:rsidR="00240BCE" w:rsidRDefault="00AC0334">
            <w:pPr>
              <w:spacing w:line="340" w:lineRule="exact"/>
              <w:jc w:val="center"/>
              <w:rPr>
                <w:bCs/>
                <w:spacing w:val="4"/>
                <w:sz w:val="21"/>
                <w:szCs w:val="21"/>
              </w:rPr>
            </w:pPr>
            <w:r>
              <w:rPr>
                <w:bCs/>
                <w:spacing w:val="4"/>
                <w:sz w:val="21"/>
                <w:szCs w:val="21"/>
              </w:rPr>
              <w:t>≥70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≥60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w:t>
            </w:r>
          </w:p>
        </w:tc>
        <w:tc>
          <w:tcPr>
            <w:tcW w:w="197" w:type="pc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24</w:t>
            </w:r>
          </w:p>
        </w:tc>
        <w:tc>
          <w:tcPr>
            <w:tcW w:w="304" w:type="pct"/>
            <w:vMerge w:val="restart"/>
            <w:vAlign w:val="center"/>
          </w:tcPr>
          <w:p w:rsidR="00240BCE" w:rsidRDefault="00AC0334">
            <w:pPr>
              <w:spacing w:line="340" w:lineRule="exact"/>
              <w:jc w:val="center"/>
              <w:rPr>
                <w:bCs/>
                <w:spacing w:val="4"/>
                <w:sz w:val="21"/>
                <w:szCs w:val="21"/>
              </w:rPr>
            </w:pPr>
            <w:r>
              <w:rPr>
                <w:bCs/>
                <w:spacing w:val="4"/>
                <w:sz w:val="21"/>
                <w:szCs w:val="21"/>
              </w:rPr>
              <w:t>（四）生态环境指标</w:t>
            </w:r>
          </w:p>
        </w:tc>
        <w:tc>
          <w:tcPr>
            <w:tcW w:w="296" w:type="pct"/>
            <w:vMerge w:val="restart"/>
            <w:vAlign w:val="center"/>
          </w:tcPr>
          <w:p w:rsidR="00240BCE" w:rsidRDefault="00AC0334">
            <w:pPr>
              <w:spacing w:line="340" w:lineRule="exact"/>
              <w:jc w:val="center"/>
              <w:rPr>
                <w:bCs/>
                <w:spacing w:val="4"/>
                <w:sz w:val="21"/>
                <w:szCs w:val="21"/>
              </w:rPr>
            </w:pPr>
            <w:r>
              <w:rPr>
                <w:bCs/>
                <w:spacing w:val="4"/>
                <w:sz w:val="21"/>
                <w:szCs w:val="21"/>
              </w:rPr>
              <w:t>0.15</w:t>
            </w: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煤矸石、煤泥、粉煤灰安全处置率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0.18</w:t>
            </w:r>
          </w:p>
        </w:tc>
        <w:tc>
          <w:tcPr>
            <w:tcW w:w="894" w:type="pct"/>
            <w:vAlign w:val="center"/>
          </w:tcPr>
          <w:p w:rsidR="00240BCE" w:rsidRDefault="00AC0334">
            <w:pPr>
              <w:spacing w:line="340" w:lineRule="exact"/>
              <w:jc w:val="center"/>
              <w:rPr>
                <w:bCs/>
                <w:spacing w:val="4"/>
                <w:sz w:val="21"/>
                <w:szCs w:val="21"/>
              </w:rPr>
            </w:pPr>
            <w:r>
              <w:rPr>
                <w:bCs/>
                <w:spacing w:val="4"/>
                <w:sz w:val="21"/>
                <w:szCs w:val="21"/>
              </w:rPr>
              <w:t>100</w:t>
            </w:r>
          </w:p>
        </w:tc>
        <w:tc>
          <w:tcPr>
            <w:tcW w:w="691" w:type="pct"/>
            <w:vAlign w:val="center"/>
          </w:tcPr>
          <w:p w:rsidR="00240BCE" w:rsidRDefault="00AC0334">
            <w:pPr>
              <w:spacing w:line="340" w:lineRule="exact"/>
              <w:jc w:val="center"/>
              <w:rPr>
                <w:bCs/>
                <w:spacing w:val="4"/>
                <w:sz w:val="21"/>
                <w:szCs w:val="21"/>
              </w:rPr>
            </w:pPr>
            <w:r>
              <w:rPr>
                <w:bCs/>
                <w:spacing w:val="4"/>
                <w:sz w:val="21"/>
                <w:szCs w:val="21"/>
              </w:rPr>
              <w:t>100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100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2.7</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25</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w w:val="90"/>
                <w:sz w:val="21"/>
                <w:szCs w:val="21"/>
              </w:rPr>
            </w:pPr>
            <w:r>
              <w:rPr>
                <w:bCs/>
                <w:w w:val="90"/>
                <w:sz w:val="21"/>
                <w:szCs w:val="21"/>
              </w:rPr>
              <w:t>停用矸石场地覆土绿化率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w:t>
            </w:r>
          </w:p>
        </w:tc>
        <w:tc>
          <w:tcPr>
            <w:tcW w:w="894" w:type="pct"/>
            <w:vAlign w:val="center"/>
          </w:tcPr>
          <w:p w:rsidR="00240BCE" w:rsidRDefault="00AC0334">
            <w:pPr>
              <w:spacing w:line="340" w:lineRule="exact"/>
              <w:jc w:val="center"/>
              <w:rPr>
                <w:bCs/>
                <w:spacing w:val="4"/>
                <w:sz w:val="21"/>
                <w:szCs w:val="21"/>
              </w:rPr>
            </w:pPr>
            <w:r>
              <w:rPr>
                <w:bCs/>
                <w:spacing w:val="4"/>
                <w:sz w:val="21"/>
                <w:szCs w:val="21"/>
              </w:rPr>
              <w:t>100</w:t>
            </w:r>
          </w:p>
        </w:tc>
        <w:tc>
          <w:tcPr>
            <w:tcW w:w="691" w:type="pct"/>
            <w:vAlign w:val="center"/>
          </w:tcPr>
          <w:p w:rsidR="00240BCE" w:rsidRDefault="00AC0334">
            <w:pPr>
              <w:spacing w:line="340" w:lineRule="exact"/>
              <w:jc w:val="center"/>
              <w:rPr>
                <w:bCs/>
                <w:spacing w:val="4"/>
                <w:sz w:val="21"/>
                <w:szCs w:val="21"/>
              </w:rPr>
            </w:pPr>
            <w:r>
              <w:rPr>
                <w:bCs/>
                <w:spacing w:val="4"/>
                <w:sz w:val="21"/>
                <w:szCs w:val="21"/>
              </w:rPr>
              <w:t>≥90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≥80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w:t>
            </w:r>
          </w:p>
        </w:tc>
        <w:tc>
          <w:tcPr>
            <w:tcW w:w="197" w:type="pct"/>
            <w:vAlign w:val="center"/>
          </w:tcPr>
          <w:p w:rsidR="00240BCE" w:rsidRDefault="00AC0334">
            <w:pPr>
              <w:spacing w:line="340" w:lineRule="exact"/>
              <w:jc w:val="center"/>
              <w:rPr>
                <w:bCs/>
                <w:spacing w:val="4"/>
                <w:sz w:val="21"/>
                <w:szCs w:val="21"/>
              </w:rPr>
            </w:pPr>
            <w:r>
              <w:rPr>
                <w:bCs/>
                <w:spacing w:val="4"/>
                <w:sz w:val="21"/>
                <w:szCs w:val="21"/>
              </w:rPr>
              <w:t>/</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25</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rFonts w:eastAsia="TimesNewRomanPSMT"/>
                <w:kern w:val="0"/>
                <w:sz w:val="21"/>
                <w:szCs w:val="21"/>
              </w:rPr>
              <w:t>*</w:t>
            </w:r>
            <w:r>
              <w:rPr>
                <w:kern w:val="0"/>
                <w:sz w:val="21"/>
                <w:szCs w:val="21"/>
              </w:rPr>
              <w:t>污染物排放总量符合率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0.23</w:t>
            </w:r>
          </w:p>
        </w:tc>
        <w:tc>
          <w:tcPr>
            <w:tcW w:w="894" w:type="pct"/>
            <w:vAlign w:val="center"/>
          </w:tcPr>
          <w:p w:rsidR="00240BCE" w:rsidRDefault="00AC0334">
            <w:pPr>
              <w:spacing w:line="340" w:lineRule="exact"/>
              <w:jc w:val="center"/>
              <w:rPr>
                <w:bCs/>
                <w:spacing w:val="4"/>
                <w:sz w:val="21"/>
                <w:szCs w:val="21"/>
              </w:rPr>
            </w:pPr>
            <w:r>
              <w:rPr>
                <w:bCs/>
                <w:spacing w:val="4"/>
                <w:sz w:val="21"/>
                <w:szCs w:val="21"/>
              </w:rPr>
              <w:t>100</w:t>
            </w:r>
          </w:p>
        </w:tc>
        <w:tc>
          <w:tcPr>
            <w:tcW w:w="691" w:type="pct"/>
            <w:vAlign w:val="center"/>
          </w:tcPr>
          <w:p w:rsidR="00240BCE" w:rsidRDefault="00AC0334">
            <w:pPr>
              <w:spacing w:line="340" w:lineRule="exact"/>
              <w:jc w:val="center"/>
              <w:rPr>
                <w:bCs/>
                <w:spacing w:val="4"/>
                <w:sz w:val="21"/>
                <w:szCs w:val="21"/>
              </w:rPr>
            </w:pPr>
            <w:r>
              <w:rPr>
                <w:bCs/>
                <w:spacing w:val="4"/>
                <w:sz w:val="21"/>
                <w:szCs w:val="21"/>
              </w:rPr>
              <w:t>100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100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3.45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26</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沉陷区治理率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0.18</w:t>
            </w:r>
          </w:p>
        </w:tc>
        <w:tc>
          <w:tcPr>
            <w:tcW w:w="894" w:type="pct"/>
            <w:vAlign w:val="center"/>
          </w:tcPr>
          <w:p w:rsidR="00240BCE" w:rsidRDefault="00AC0334">
            <w:pPr>
              <w:spacing w:line="340" w:lineRule="exact"/>
              <w:jc w:val="center"/>
              <w:rPr>
                <w:bCs/>
                <w:spacing w:val="4"/>
                <w:sz w:val="21"/>
                <w:szCs w:val="21"/>
              </w:rPr>
            </w:pPr>
            <w:r>
              <w:rPr>
                <w:bCs/>
                <w:spacing w:val="4"/>
                <w:sz w:val="21"/>
                <w:szCs w:val="21"/>
              </w:rPr>
              <w:t>90</w:t>
            </w:r>
          </w:p>
        </w:tc>
        <w:tc>
          <w:tcPr>
            <w:tcW w:w="691" w:type="pct"/>
            <w:vAlign w:val="center"/>
          </w:tcPr>
          <w:p w:rsidR="00240BCE" w:rsidRDefault="00AC0334">
            <w:pPr>
              <w:spacing w:line="340" w:lineRule="exact"/>
              <w:jc w:val="center"/>
              <w:rPr>
                <w:bCs/>
                <w:spacing w:val="4"/>
                <w:sz w:val="21"/>
                <w:szCs w:val="21"/>
              </w:rPr>
            </w:pPr>
            <w:r>
              <w:rPr>
                <w:bCs/>
                <w:spacing w:val="4"/>
                <w:sz w:val="21"/>
                <w:szCs w:val="21"/>
              </w:rPr>
              <w:t>80</w:t>
            </w:r>
          </w:p>
        </w:tc>
        <w:tc>
          <w:tcPr>
            <w:tcW w:w="719" w:type="pct"/>
            <w:vAlign w:val="center"/>
          </w:tcPr>
          <w:p w:rsidR="00240BCE" w:rsidRDefault="00AC0334">
            <w:pPr>
              <w:spacing w:line="340" w:lineRule="exact"/>
              <w:jc w:val="center"/>
              <w:rPr>
                <w:bCs/>
                <w:spacing w:val="4"/>
                <w:sz w:val="21"/>
                <w:szCs w:val="21"/>
              </w:rPr>
            </w:pPr>
            <w:r>
              <w:rPr>
                <w:bCs/>
                <w:spacing w:val="4"/>
                <w:sz w:val="21"/>
                <w:szCs w:val="21"/>
              </w:rPr>
              <w:t>70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2.7</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27</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塌陷稳定后土地复垦率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0.23</w:t>
            </w:r>
          </w:p>
        </w:tc>
        <w:tc>
          <w:tcPr>
            <w:tcW w:w="894" w:type="pct"/>
            <w:vAlign w:val="center"/>
          </w:tcPr>
          <w:p w:rsidR="00240BCE" w:rsidRDefault="00AC0334">
            <w:pPr>
              <w:spacing w:line="340" w:lineRule="exact"/>
              <w:jc w:val="center"/>
              <w:rPr>
                <w:bCs/>
                <w:spacing w:val="4"/>
                <w:sz w:val="21"/>
                <w:szCs w:val="21"/>
              </w:rPr>
            </w:pPr>
            <w:r>
              <w:rPr>
                <w:bCs/>
                <w:spacing w:val="4"/>
                <w:sz w:val="21"/>
                <w:szCs w:val="21"/>
              </w:rPr>
              <w:t>≥80</w:t>
            </w:r>
          </w:p>
        </w:tc>
        <w:tc>
          <w:tcPr>
            <w:tcW w:w="691" w:type="pct"/>
            <w:vAlign w:val="center"/>
          </w:tcPr>
          <w:p w:rsidR="00240BCE" w:rsidRDefault="00AC0334">
            <w:pPr>
              <w:spacing w:line="340" w:lineRule="exact"/>
              <w:jc w:val="center"/>
              <w:rPr>
                <w:bCs/>
                <w:spacing w:val="4"/>
                <w:sz w:val="21"/>
                <w:szCs w:val="21"/>
              </w:rPr>
            </w:pPr>
            <w:r>
              <w:rPr>
                <w:bCs/>
                <w:spacing w:val="4"/>
                <w:sz w:val="21"/>
                <w:szCs w:val="21"/>
              </w:rPr>
              <w:t>≥75</w:t>
            </w:r>
          </w:p>
        </w:tc>
        <w:tc>
          <w:tcPr>
            <w:tcW w:w="719" w:type="pct"/>
            <w:vAlign w:val="center"/>
          </w:tcPr>
          <w:p w:rsidR="00240BCE" w:rsidRDefault="00AC0334">
            <w:pPr>
              <w:spacing w:line="340" w:lineRule="exact"/>
              <w:jc w:val="center"/>
              <w:rPr>
                <w:bCs/>
                <w:spacing w:val="4"/>
                <w:sz w:val="21"/>
                <w:szCs w:val="21"/>
              </w:rPr>
            </w:pPr>
            <w:r>
              <w:rPr>
                <w:bCs/>
                <w:spacing w:val="4"/>
                <w:sz w:val="21"/>
                <w:szCs w:val="21"/>
              </w:rPr>
              <w:t>≥70</w:t>
            </w:r>
          </w:p>
        </w:tc>
        <w:tc>
          <w:tcPr>
            <w:tcW w:w="470" w:type="pct"/>
            <w:vAlign w:val="center"/>
          </w:tcPr>
          <w:p w:rsidR="00240BCE" w:rsidRDefault="00AC0334">
            <w:pPr>
              <w:spacing w:line="340" w:lineRule="exact"/>
              <w:jc w:val="center"/>
              <w:rPr>
                <w:bCs/>
                <w:spacing w:val="4"/>
                <w:sz w:val="21"/>
                <w:szCs w:val="21"/>
              </w:rPr>
            </w:pP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3.45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28</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工业广场绿化率</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0.18</w:t>
            </w:r>
          </w:p>
        </w:tc>
        <w:tc>
          <w:tcPr>
            <w:tcW w:w="894" w:type="pct"/>
            <w:vAlign w:val="center"/>
          </w:tcPr>
          <w:p w:rsidR="00240BCE" w:rsidRDefault="00AC0334">
            <w:pPr>
              <w:spacing w:line="340" w:lineRule="exact"/>
              <w:jc w:val="center"/>
              <w:rPr>
                <w:bCs/>
                <w:spacing w:val="4"/>
                <w:sz w:val="21"/>
                <w:szCs w:val="21"/>
              </w:rPr>
            </w:pPr>
            <w:r>
              <w:rPr>
                <w:bCs/>
                <w:spacing w:val="4"/>
                <w:sz w:val="21"/>
                <w:szCs w:val="21"/>
              </w:rPr>
              <w:t>≥30</w:t>
            </w:r>
          </w:p>
        </w:tc>
        <w:tc>
          <w:tcPr>
            <w:tcW w:w="691" w:type="pct"/>
            <w:vAlign w:val="center"/>
          </w:tcPr>
          <w:p w:rsidR="00240BCE" w:rsidRDefault="00AC0334">
            <w:pPr>
              <w:spacing w:line="340" w:lineRule="exact"/>
              <w:jc w:val="center"/>
              <w:rPr>
                <w:bCs/>
                <w:spacing w:val="4"/>
                <w:sz w:val="21"/>
                <w:szCs w:val="21"/>
              </w:rPr>
            </w:pPr>
            <w:r>
              <w:rPr>
                <w:bCs/>
                <w:spacing w:val="4"/>
                <w:sz w:val="21"/>
                <w:szCs w:val="21"/>
              </w:rPr>
              <w:t>≥25</w:t>
            </w:r>
          </w:p>
        </w:tc>
        <w:tc>
          <w:tcPr>
            <w:tcW w:w="719" w:type="pct"/>
            <w:vAlign w:val="center"/>
          </w:tcPr>
          <w:p w:rsidR="00240BCE" w:rsidRDefault="00AC0334">
            <w:pPr>
              <w:spacing w:line="340" w:lineRule="exact"/>
              <w:jc w:val="center"/>
              <w:rPr>
                <w:bCs/>
                <w:spacing w:val="4"/>
                <w:sz w:val="21"/>
                <w:szCs w:val="21"/>
              </w:rPr>
            </w:pPr>
            <w:r>
              <w:rPr>
                <w:bCs/>
                <w:spacing w:val="4"/>
                <w:sz w:val="21"/>
                <w:szCs w:val="21"/>
              </w:rPr>
              <w:t>≥20</w:t>
            </w:r>
          </w:p>
        </w:tc>
        <w:tc>
          <w:tcPr>
            <w:tcW w:w="470" w:type="pct"/>
            <w:vAlign w:val="center"/>
          </w:tcPr>
          <w:p w:rsidR="00240BCE" w:rsidRPr="00FC530C" w:rsidRDefault="00FC530C">
            <w:pPr>
              <w:spacing w:line="340" w:lineRule="exact"/>
              <w:jc w:val="center"/>
              <w:rPr>
                <w:b/>
                <w:bCs/>
                <w:i/>
                <w:spacing w:val="4"/>
                <w:sz w:val="21"/>
                <w:szCs w:val="21"/>
                <w:u w:val="single"/>
              </w:rPr>
            </w:pPr>
            <w:r w:rsidRPr="00FC530C">
              <w:rPr>
                <w:b/>
                <w:bCs/>
                <w:i/>
                <w:spacing w:val="4"/>
                <w:sz w:val="21"/>
                <w:szCs w:val="21"/>
                <w:u w:val="single"/>
              </w:rPr>
              <w:t>Ⅱ</w:t>
            </w:r>
            <w:r w:rsidRPr="00FC530C">
              <w:rPr>
                <w:b/>
                <w:bCs/>
                <w:i/>
                <w:spacing w:val="4"/>
                <w:sz w:val="21"/>
                <w:szCs w:val="21"/>
                <w:u w:val="single"/>
              </w:rPr>
              <w:t>级</w:t>
            </w:r>
          </w:p>
        </w:tc>
        <w:tc>
          <w:tcPr>
            <w:tcW w:w="197" w:type="pct"/>
            <w:vAlign w:val="center"/>
          </w:tcPr>
          <w:p w:rsidR="00240BCE" w:rsidRDefault="00FC530C">
            <w:pPr>
              <w:spacing w:line="340" w:lineRule="exact"/>
              <w:jc w:val="center"/>
              <w:rPr>
                <w:bCs/>
                <w:spacing w:val="4"/>
                <w:sz w:val="21"/>
                <w:szCs w:val="21"/>
              </w:rPr>
            </w:pPr>
            <w:r>
              <w:rPr>
                <w:rFonts w:hint="eastAsia"/>
                <w:bCs/>
                <w:spacing w:val="4"/>
                <w:sz w:val="21"/>
                <w:szCs w:val="21"/>
              </w:rPr>
              <w:t>2.7</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29</w:t>
            </w:r>
          </w:p>
        </w:tc>
        <w:tc>
          <w:tcPr>
            <w:tcW w:w="304" w:type="pct"/>
            <w:vMerge w:val="restart"/>
            <w:vAlign w:val="center"/>
          </w:tcPr>
          <w:p w:rsidR="00240BCE" w:rsidRDefault="00AC0334">
            <w:pPr>
              <w:spacing w:line="340" w:lineRule="exact"/>
              <w:jc w:val="center"/>
              <w:rPr>
                <w:bCs/>
                <w:spacing w:val="4"/>
                <w:sz w:val="21"/>
                <w:szCs w:val="21"/>
              </w:rPr>
            </w:pPr>
            <w:r>
              <w:rPr>
                <w:bCs/>
                <w:spacing w:val="4"/>
                <w:sz w:val="21"/>
                <w:szCs w:val="21"/>
              </w:rPr>
              <w:t>（五）清洁生产管理指标</w:t>
            </w:r>
          </w:p>
        </w:tc>
        <w:tc>
          <w:tcPr>
            <w:tcW w:w="296" w:type="pct"/>
            <w:vMerge w:val="restart"/>
            <w:vAlign w:val="center"/>
          </w:tcPr>
          <w:p w:rsidR="00240BCE" w:rsidRDefault="00AC0334">
            <w:pPr>
              <w:spacing w:line="340" w:lineRule="exact"/>
              <w:jc w:val="center"/>
              <w:rPr>
                <w:bCs/>
                <w:spacing w:val="4"/>
                <w:sz w:val="21"/>
                <w:szCs w:val="21"/>
              </w:rPr>
            </w:pPr>
            <w:r>
              <w:rPr>
                <w:bCs/>
                <w:spacing w:val="4"/>
                <w:sz w:val="21"/>
                <w:szCs w:val="21"/>
              </w:rPr>
              <w:t>0.25</w:t>
            </w:r>
          </w:p>
        </w:tc>
        <w:tc>
          <w:tcPr>
            <w:tcW w:w="823" w:type="pct"/>
            <w:gridSpan w:val="2"/>
            <w:vAlign w:val="center"/>
          </w:tcPr>
          <w:p w:rsidR="00240BCE" w:rsidRDefault="00AC0334">
            <w:pPr>
              <w:spacing w:line="340" w:lineRule="exact"/>
              <w:jc w:val="center"/>
              <w:rPr>
                <w:bCs/>
                <w:spacing w:val="4"/>
                <w:sz w:val="21"/>
                <w:szCs w:val="21"/>
              </w:rPr>
            </w:pPr>
            <w:r>
              <w:rPr>
                <w:rFonts w:eastAsia="TimesNewRomanPSMT"/>
                <w:kern w:val="0"/>
                <w:sz w:val="21"/>
                <w:szCs w:val="21"/>
              </w:rPr>
              <w:t>*</w:t>
            </w:r>
            <w:r>
              <w:rPr>
                <w:kern w:val="0"/>
                <w:sz w:val="21"/>
                <w:szCs w:val="21"/>
              </w:rPr>
              <w:t>环境法律法律标准政策符合性</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0.15</w:t>
            </w:r>
          </w:p>
        </w:tc>
        <w:tc>
          <w:tcPr>
            <w:tcW w:w="2304" w:type="pct"/>
            <w:gridSpan w:val="3"/>
          </w:tcPr>
          <w:p w:rsidR="00240BCE" w:rsidRDefault="00AC0334">
            <w:pPr>
              <w:spacing w:line="340" w:lineRule="exact"/>
              <w:rPr>
                <w:bCs/>
                <w:spacing w:val="4"/>
                <w:sz w:val="21"/>
                <w:szCs w:val="21"/>
              </w:rPr>
            </w:pPr>
            <w:r>
              <w:rPr>
                <w:bCs/>
                <w:spacing w:val="4"/>
                <w:sz w:val="21"/>
                <w:szCs w:val="21"/>
              </w:rPr>
              <w:t>符合国家、地方和行业有关法律、法规、规范、产业政策、技术标准要求，污染物排放达到国家、地方和行业排放标准、满足污染物总量控制和排污许可证管理要求。</w:t>
            </w:r>
          </w:p>
          <w:p w:rsidR="00240BCE" w:rsidRDefault="00AC0334">
            <w:pPr>
              <w:spacing w:line="340" w:lineRule="exact"/>
              <w:rPr>
                <w:bCs/>
                <w:spacing w:val="4"/>
                <w:sz w:val="21"/>
                <w:szCs w:val="21"/>
              </w:rPr>
            </w:pPr>
            <w:r>
              <w:rPr>
                <w:bCs/>
                <w:spacing w:val="4"/>
                <w:sz w:val="21"/>
                <w:szCs w:val="21"/>
              </w:rPr>
              <w:t>建设项目环保手续齐全，严格执行国家关于煤矿生产能力管理、淘汰落后产能的相关政策措施</w:t>
            </w:r>
          </w:p>
        </w:tc>
        <w:tc>
          <w:tcPr>
            <w:tcW w:w="470" w:type="pct"/>
            <w:vAlign w:val="center"/>
          </w:tcPr>
          <w:p w:rsidR="00240BCE" w:rsidRPr="00103121" w:rsidRDefault="00AC0334">
            <w:pPr>
              <w:spacing w:line="340" w:lineRule="exact"/>
              <w:jc w:val="center"/>
              <w:rPr>
                <w:b/>
                <w:bCs/>
                <w:i/>
                <w:spacing w:val="4"/>
                <w:sz w:val="21"/>
                <w:szCs w:val="21"/>
                <w:u w:val="single"/>
              </w:rPr>
            </w:pPr>
            <w:r w:rsidRPr="00103121">
              <w:rPr>
                <w:b/>
                <w:bCs/>
                <w:i/>
                <w:spacing w:val="4"/>
                <w:sz w:val="21"/>
                <w:szCs w:val="21"/>
                <w:u w:val="single"/>
              </w:rPr>
              <w:t>Ⅰ</w:t>
            </w:r>
            <w:r w:rsidRPr="00103121">
              <w:rPr>
                <w:b/>
                <w:bCs/>
                <w:i/>
                <w:spacing w:val="4"/>
                <w:sz w:val="21"/>
                <w:szCs w:val="21"/>
                <w:u w:val="single"/>
              </w:rPr>
              <w:t>级</w:t>
            </w:r>
          </w:p>
        </w:tc>
        <w:tc>
          <w:tcPr>
            <w:tcW w:w="197" w:type="pct"/>
            <w:vAlign w:val="center"/>
          </w:tcPr>
          <w:p w:rsidR="00240BCE" w:rsidRPr="00103121" w:rsidRDefault="00AC0334">
            <w:pPr>
              <w:spacing w:line="340" w:lineRule="exact"/>
              <w:jc w:val="center"/>
              <w:rPr>
                <w:b/>
                <w:bCs/>
                <w:i/>
                <w:spacing w:val="4"/>
                <w:sz w:val="21"/>
                <w:szCs w:val="21"/>
                <w:u w:val="single"/>
              </w:rPr>
            </w:pPr>
            <w:r w:rsidRPr="00103121">
              <w:rPr>
                <w:b/>
                <w:bCs/>
                <w:i/>
                <w:spacing w:val="4"/>
                <w:sz w:val="21"/>
                <w:szCs w:val="21"/>
                <w:u w:val="single"/>
              </w:rPr>
              <w:t>3.75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lastRenderedPageBreak/>
              <w:t>30</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清洁生产管理</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0.15</w:t>
            </w:r>
          </w:p>
        </w:tc>
        <w:tc>
          <w:tcPr>
            <w:tcW w:w="2304" w:type="pct"/>
            <w:gridSpan w:val="3"/>
          </w:tcPr>
          <w:p w:rsidR="00240BCE" w:rsidRDefault="00AC0334">
            <w:pPr>
              <w:spacing w:line="340" w:lineRule="exact"/>
              <w:rPr>
                <w:bCs/>
                <w:spacing w:val="4"/>
                <w:sz w:val="21"/>
                <w:szCs w:val="21"/>
              </w:rPr>
            </w:pPr>
            <w:r>
              <w:rPr>
                <w:bCs/>
                <w:spacing w:val="4"/>
                <w:sz w:val="21"/>
                <w:szCs w:val="21"/>
              </w:rPr>
              <w:t>建有负责清洁生产的领导机构，各成员单位及主管人员职责分工明确；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门备案）并定期演练。按行业无组织排放监管的相关政策要求，加强对无组织排放的防控措施，减少生产过程无组织排放。</w:t>
            </w:r>
          </w:p>
        </w:tc>
        <w:tc>
          <w:tcPr>
            <w:tcW w:w="470" w:type="pct"/>
            <w:vAlign w:val="center"/>
          </w:tcPr>
          <w:p w:rsidR="00240BCE" w:rsidRDefault="00AC0334">
            <w:pPr>
              <w:spacing w:line="340" w:lineRule="exact"/>
              <w:jc w:val="center"/>
              <w:rPr>
                <w:bCs/>
                <w:spacing w:val="4"/>
                <w:sz w:val="21"/>
                <w:szCs w:val="21"/>
              </w:rPr>
            </w:pPr>
            <w:r>
              <w:rPr>
                <w:bCs/>
                <w:spacing w:val="4"/>
                <w:sz w:val="21"/>
                <w:szCs w:val="21"/>
              </w:rPr>
              <w:t>按要求执行，</w:t>
            </w: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3.75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31</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清洁生产审核</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0.05</w:t>
            </w:r>
          </w:p>
        </w:tc>
        <w:tc>
          <w:tcPr>
            <w:tcW w:w="2304" w:type="pct"/>
            <w:gridSpan w:val="3"/>
            <w:vAlign w:val="center"/>
          </w:tcPr>
          <w:p w:rsidR="00240BCE" w:rsidRDefault="00AC0334">
            <w:pPr>
              <w:spacing w:line="340" w:lineRule="exact"/>
              <w:jc w:val="center"/>
              <w:rPr>
                <w:bCs/>
                <w:spacing w:val="4"/>
                <w:sz w:val="21"/>
                <w:szCs w:val="21"/>
              </w:rPr>
            </w:pPr>
            <w:r>
              <w:rPr>
                <w:bCs/>
                <w:spacing w:val="4"/>
                <w:sz w:val="21"/>
                <w:szCs w:val="21"/>
              </w:rPr>
              <w:t>按照国家和地方要求，定期开展清洁生产审核</w:t>
            </w:r>
          </w:p>
        </w:tc>
        <w:tc>
          <w:tcPr>
            <w:tcW w:w="470" w:type="pct"/>
            <w:vAlign w:val="center"/>
          </w:tcPr>
          <w:p w:rsidR="00240BCE" w:rsidRDefault="00AC0334">
            <w:pPr>
              <w:spacing w:line="340" w:lineRule="exact"/>
              <w:jc w:val="center"/>
              <w:rPr>
                <w:bCs/>
                <w:spacing w:val="4"/>
                <w:sz w:val="21"/>
                <w:szCs w:val="21"/>
              </w:rPr>
            </w:pPr>
            <w:r>
              <w:rPr>
                <w:bCs/>
                <w:spacing w:val="4"/>
                <w:sz w:val="21"/>
                <w:szCs w:val="21"/>
              </w:rPr>
              <w:t>按要求执行，</w:t>
            </w: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1.25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32</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固体废物处置</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0.05</w:t>
            </w:r>
          </w:p>
        </w:tc>
        <w:tc>
          <w:tcPr>
            <w:tcW w:w="2304" w:type="pct"/>
            <w:gridSpan w:val="3"/>
          </w:tcPr>
          <w:p w:rsidR="00240BCE" w:rsidRDefault="00AC0334">
            <w:pPr>
              <w:spacing w:line="340" w:lineRule="exact"/>
              <w:rPr>
                <w:bCs/>
                <w:spacing w:val="4"/>
                <w:sz w:val="21"/>
                <w:szCs w:val="21"/>
              </w:rPr>
            </w:pPr>
            <w:r>
              <w:rPr>
                <w:bCs/>
                <w:spacing w:val="4"/>
                <w:sz w:val="21"/>
                <w:szCs w:val="21"/>
              </w:rPr>
              <w:t>按照《中华人民共和国固体废物污染环境防治法》、《煤矸石综合利用管理办法》的有关要求，建立完善的标识、申报登记、源头分类、应急预案等管理制度，制定合理的煤矸石综合利用方案及安全处置措施。</w:t>
            </w:r>
          </w:p>
        </w:tc>
        <w:tc>
          <w:tcPr>
            <w:tcW w:w="470" w:type="pct"/>
            <w:vAlign w:val="center"/>
          </w:tcPr>
          <w:p w:rsidR="00240BCE" w:rsidRDefault="00AC0334">
            <w:pPr>
              <w:spacing w:line="340" w:lineRule="exact"/>
              <w:jc w:val="center"/>
              <w:rPr>
                <w:bCs/>
                <w:spacing w:val="4"/>
                <w:sz w:val="21"/>
                <w:szCs w:val="21"/>
              </w:rPr>
            </w:pPr>
            <w:r>
              <w:rPr>
                <w:bCs/>
                <w:spacing w:val="4"/>
                <w:sz w:val="21"/>
                <w:szCs w:val="21"/>
              </w:rPr>
              <w:t>按要求执行，</w:t>
            </w: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1.25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33</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宣传培训</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w:t>
            </w:r>
          </w:p>
        </w:tc>
        <w:tc>
          <w:tcPr>
            <w:tcW w:w="894" w:type="pct"/>
          </w:tcPr>
          <w:p w:rsidR="00240BCE" w:rsidRDefault="00AC0334">
            <w:pPr>
              <w:spacing w:line="340" w:lineRule="exact"/>
              <w:rPr>
                <w:bCs/>
                <w:kern w:val="0"/>
                <w:sz w:val="21"/>
                <w:szCs w:val="21"/>
              </w:rPr>
            </w:pPr>
            <w:r>
              <w:rPr>
                <w:bCs/>
                <w:kern w:val="0"/>
                <w:sz w:val="21"/>
                <w:szCs w:val="21"/>
              </w:rPr>
              <w:t>制定有绿色低碳宣传和节能环保培训年度计划，并付诸实施；在国家规定的重要节能环保日（周）开展宣传活动；每年开展节能环保专业培训不少于</w:t>
            </w:r>
            <w:r>
              <w:rPr>
                <w:bCs/>
                <w:kern w:val="0"/>
                <w:sz w:val="21"/>
                <w:szCs w:val="21"/>
              </w:rPr>
              <w:t xml:space="preserve">2 </w:t>
            </w:r>
            <w:r>
              <w:rPr>
                <w:bCs/>
                <w:kern w:val="0"/>
                <w:sz w:val="21"/>
                <w:szCs w:val="21"/>
              </w:rPr>
              <w:t>次，所有在岗人员进行过岗前培训，有岗位培训记录</w:t>
            </w:r>
          </w:p>
        </w:tc>
        <w:tc>
          <w:tcPr>
            <w:tcW w:w="691" w:type="pct"/>
          </w:tcPr>
          <w:p w:rsidR="00240BCE" w:rsidRDefault="00AC0334">
            <w:pPr>
              <w:spacing w:line="340" w:lineRule="exact"/>
              <w:rPr>
                <w:bCs/>
                <w:w w:val="95"/>
                <w:kern w:val="0"/>
                <w:sz w:val="21"/>
                <w:szCs w:val="21"/>
              </w:rPr>
            </w:pPr>
            <w:r>
              <w:rPr>
                <w:bCs/>
                <w:w w:val="95"/>
                <w:kern w:val="0"/>
                <w:sz w:val="21"/>
                <w:szCs w:val="21"/>
              </w:rPr>
              <w:t>定期开展绿色低碳宣传，在国家规定的重要节能环保日（周）开展宣传活动；每年开展节能环保专业培训不少于</w:t>
            </w:r>
            <w:r>
              <w:rPr>
                <w:bCs/>
                <w:w w:val="95"/>
                <w:kern w:val="0"/>
                <w:sz w:val="21"/>
                <w:szCs w:val="21"/>
              </w:rPr>
              <w:t xml:space="preserve">1 </w:t>
            </w:r>
            <w:r>
              <w:rPr>
                <w:bCs/>
                <w:w w:val="95"/>
                <w:kern w:val="0"/>
                <w:sz w:val="21"/>
                <w:szCs w:val="21"/>
              </w:rPr>
              <w:t>次，主要岗位人员进行过岗前培训，有岗位培训记录</w:t>
            </w:r>
          </w:p>
        </w:tc>
        <w:tc>
          <w:tcPr>
            <w:tcW w:w="719" w:type="pct"/>
          </w:tcPr>
          <w:p w:rsidR="00240BCE" w:rsidRDefault="00AC0334">
            <w:pPr>
              <w:spacing w:line="340" w:lineRule="exact"/>
              <w:rPr>
                <w:bCs/>
                <w:kern w:val="0"/>
                <w:sz w:val="21"/>
                <w:szCs w:val="21"/>
              </w:rPr>
            </w:pPr>
            <w:r>
              <w:rPr>
                <w:bCs/>
                <w:kern w:val="0"/>
                <w:sz w:val="21"/>
                <w:szCs w:val="21"/>
              </w:rPr>
              <w:t>定期开展绿色低碳宣传，在国家规定的重要节能环保日（周）开展宣传活动，每年开展节能环保专业培训不少于</w:t>
            </w:r>
            <w:r>
              <w:rPr>
                <w:bCs/>
                <w:kern w:val="0"/>
                <w:sz w:val="21"/>
                <w:szCs w:val="21"/>
              </w:rPr>
              <w:t xml:space="preserve">1 </w:t>
            </w:r>
            <w:r>
              <w:rPr>
                <w:bCs/>
                <w:kern w:val="0"/>
                <w:sz w:val="21"/>
                <w:szCs w:val="21"/>
              </w:rPr>
              <w:t>次</w:t>
            </w:r>
          </w:p>
        </w:tc>
        <w:tc>
          <w:tcPr>
            <w:tcW w:w="470" w:type="pct"/>
            <w:vAlign w:val="center"/>
          </w:tcPr>
          <w:p w:rsidR="00240BCE" w:rsidRDefault="00AC0334">
            <w:pPr>
              <w:spacing w:line="340" w:lineRule="exact"/>
              <w:jc w:val="center"/>
              <w:rPr>
                <w:bCs/>
                <w:spacing w:val="4"/>
                <w:sz w:val="21"/>
                <w:szCs w:val="21"/>
              </w:rPr>
            </w:pPr>
            <w:r>
              <w:rPr>
                <w:bCs/>
                <w:spacing w:val="4"/>
                <w:sz w:val="21"/>
                <w:szCs w:val="21"/>
              </w:rPr>
              <w:t>按</w:t>
            </w:r>
            <w:r>
              <w:rPr>
                <w:bCs/>
                <w:spacing w:val="4"/>
                <w:sz w:val="21"/>
                <w:szCs w:val="21"/>
              </w:rPr>
              <w:t>Ⅱ</w:t>
            </w:r>
            <w:r>
              <w:rPr>
                <w:bCs/>
                <w:spacing w:val="4"/>
                <w:sz w:val="21"/>
                <w:szCs w:val="21"/>
              </w:rPr>
              <w:t>级要求落实</w:t>
            </w:r>
          </w:p>
        </w:tc>
        <w:tc>
          <w:tcPr>
            <w:tcW w:w="197" w:type="pct"/>
            <w:vAlign w:val="center"/>
          </w:tcPr>
          <w:p w:rsidR="00240BCE" w:rsidRDefault="00AC0334">
            <w:pPr>
              <w:spacing w:line="340" w:lineRule="exact"/>
              <w:jc w:val="center"/>
              <w:rPr>
                <w:bCs/>
                <w:spacing w:val="4"/>
                <w:sz w:val="21"/>
                <w:szCs w:val="21"/>
              </w:rPr>
            </w:pPr>
            <w:r>
              <w:rPr>
                <w:bCs/>
                <w:spacing w:val="4"/>
                <w:sz w:val="21"/>
                <w:szCs w:val="21"/>
              </w:rPr>
              <w:t>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34</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建立健全环境管理体系</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0.05</w:t>
            </w:r>
          </w:p>
        </w:tc>
        <w:tc>
          <w:tcPr>
            <w:tcW w:w="894" w:type="pct"/>
          </w:tcPr>
          <w:p w:rsidR="00240BCE" w:rsidRDefault="00AC0334">
            <w:pPr>
              <w:spacing w:line="340" w:lineRule="exact"/>
              <w:rPr>
                <w:bCs/>
                <w:spacing w:val="4"/>
                <w:sz w:val="21"/>
                <w:szCs w:val="21"/>
              </w:rPr>
            </w:pPr>
            <w:r>
              <w:rPr>
                <w:bCs/>
                <w:spacing w:val="4"/>
                <w:sz w:val="21"/>
                <w:szCs w:val="21"/>
              </w:rPr>
              <w:t>建立有</w:t>
            </w:r>
            <w:r>
              <w:rPr>
                <w:bCs/>
                <w:spacing w:val="4"/>
                <w:sz w:val="21"/>
                <w:szCs w:val="21"/>
              </w:rPr>
              <w:t>GB/T 24001</w:t>
            </w:r>
            <w:r>
              <w:rPr>
                <w:bCs/>
                <w:spacing w:val="4"/>
                <w:sz w:val="21"/>
                <w:szCs w:val="21"/>
              </w:rPr>
              <w:t>环境管理体系，并取得认证，能有效运行；全部完成年度环境目标、指标和环境管</w:t>
            </w:r>
            <w:r>
              <w:rPr>
                <w:bCs/>
                <w:spacing w:val="4"/>
                <w:sz w:val="21"/>
                <w:szCs w:val="21"/>
              </w:rPr>
              <w:lastRenderedPageBreak/>
              <w:t>理方案，并达到环境持续改进的要求；环境管理手册、程序文件及作业文件齐备、有效。</w:t>
            </w:r>
          </w:p>
        </w:tc>
        <w:tc>
          <w:tcPr>
            <w:tcW w:w="691" w:type="pct"/>
          </w:tcPr>
          <w:p w:rsidR="00240BCE" w:rsidRDefault="00AC0334">
            <w:pPr>
              <w:spacing w:line="340" w:lineRule="exact"/>
              <w:rPr>
                <w:bCs/>
                <w:spacing w:val="4"/>
                <w:sz w:val="21"/>
                <w:szCs w:val="21"/>
              </w:rPr>
            </w:pPr>
            <w:r>
              <w:rPr>
                <w:bCs/>
                <w:spacing w:val="4"/>
                <w:sz w:val="21"/>
                <w:szCs w:val="21"/>
              </w:rPr>
              <w:lastRenderedPageBreak/>
              <w:t>建立有</w:t>
            </w:r>
            <w:r>
              <w:rPr>
                <w:bCs/>
                <w:spacing w:val="4"/>
                <w:sz w:val="21"/>
                <w:szCs w:val="21"/>
              </w:rPr>
              <w:t>GB/T 24001</w:t>
            </w:r>
            <w:r>
              <w:rPr>
                <w:bCs/>
                <w:spacing w:val="4"/>
                <w:sz w:val="21"/>
                <w:szCs w:val="21"/>
              </w:rPr>
              <w:t>环境管理体系，并能有效运行；完成年度环境目标、指标和环</w:t>
            </w:r>
            <w:r>
              <w:rPr>
                <w:bCs/>
                <w:spacing w:val="4"/>
                <w:sz w:val="21"/>
                <w:szCs w:val="21"/>
              </w:rPr>
              <w:lastRenderedPageBreak/>
              <w:t>境管理方案</w:t>
            </w:r>
            <w:r>
              <w:rPr>
                <w:bCs/>
                <w:spacing w:val="4"/>
                <w:sz w:val="21"/>
                <w:szCs w:val="21"/>
              </w:rPr>
              <w:t>≥80%</w:t>
            </w:r>
            <w:r>
              <w:rPr>
                <w:bCs/>
                <w:spacing w:val="4"/>
                <w:sz w:val="21"/>
                <w:szCs w:val="21"/>
              </w:rPr>
              <w:t>，达到环境持续改进的要求；环境管理手册、程序文件及作业文件齐备、有效。</w:t>
            </w:r>
          </w:p>
        </w:tc>
        <w:tc>
          <w:tcPr>
            <w:tcW w:w="719" w:type="pct"/>
          </w:tcPr>
          <w:p w:rsidR="00240BCE" w:rsidRDefault="00AC0334">
            <w:pPr>
              <w:spacing w:line="340" w:lineRule="exact"/>
              <w:rPr>
                <w:bCs/>
                <w:spacing w:val="4"/>
                <w:sz w:val="21"/>
                <w:szCs w:val="21"/>
              </w:rPr>
            </w:pPr>
            <w:r>
              <w:rPr>
                <w:bCs/>
                <w:spacing w:val="4"/>
                <w:sz w:val="21"/>
                <w:szCs w:val="21"/>
              </w:rPr>
              <w:lastRenderedPageBreak/>
              <w:t>建立有</w:t>
            </w:r>
            <w:r>
              <w:rPr>
                <w:bCs/>
                <w:spacing w:val="4"/>
                <w:sz w:val="21"/>
                <w:szCs w:val="21"/>
              </w:rPr>
              <w:t>GB/T 24001</w:t>
            </w:r>
            <w:r>
              <w:rPr>
                <w:bCs/>
                <w:spacing w:val="4"/>
                <w:sz w:val="21"/>
                <w:szCs w:val="21"/>
              </w:rPr>
              <w:t>环境管理体系，并能有效运行；完成年度环境目标、指标和环</w:t>
            </w:r>
            <w:r>
              <w:rPr>
                <w:bCs/>
                <w:spacing w:val="4"/>
                <w:sz w:val="21"/>
                <w:szCs w:val="21"/>
              </w:rPr>
              <w:lastRenderedPageBreak/>
              <w:t>境管理方案</w:t>
            </w:r>
            <w:r>
              <w:rPr>
                <w:bCs/>
                <w:spacing w:val="4"/>
                <w:sz w:val="21"/>
                <w:szCs w:val="21"/>
              </w:rPr>
              <w:t>≥60%</w:t>
            </w:r>
            <w:r>
              <w:rPr>
                <w:bCs/>
                <w:spacing w:val="4"/>
                <w:sz w:val="21"/>
                <w:szCs w:val="21"/>
              </w:rPr>
              <w:t>，部分达到环境持续改进的要求；环境管理手册、程序文件及作业文件齐备。</w:t>
            </w:r>
          </w:p>
        </w:tc>
        <w:tc>
          <w:tcPr>
            <w:tcW w:w="470" w:type="pct"/>
            <w:vAlign w:val="center"/>
          </w:tcPr>
          <w:p w:rsidR="00240BCE" w:rsidRDefault="00AC0334">
            <w:pPr>
              <w:spacing w:line="340" w:lineRule="exact"/>
              <w:jc w:val="center"/>
              <w:rPr>
                <w:bCs/>
                <w:spacing w:val="4"/>
                <w:sz w:val="21"/>
                <w:szCs w:val="21"/>
              </w:rPr>
            </w:pPr>
            <w:r>
              <w:rPr>
                <w:bCs/>
                <w:spacing w:val="4"/>
                <w:sz w:val="21"/>
                <w:szCs w:val="21"/>
              </w:rPr>
              <w:lastRenderedPageBreak/>
              <w:t>按</w:t>
            </w:r>
            <w:r>
              <w:rPr>
                <w:bCs/>
                <w:spacing w:val="4"/>
                <w:sz w:val="21"/>
                <w:szCs w:val="21"/>
              </w:rPr>
              <w:t>Ⅱ</w:t>
            </w:r>
            <w:r>
              <w:rPr>
                <w:bCs/>
                <w:spacing w:val="4"/>
                <w:sz w:val="21"/>
                <w:szCs w:val="21"/>
              </w:rPr>
              <w:t>级要求落实</w:t>
            </w:r>
          </w:p>
        </w:tc>
        <w:tc>
          <w:tcPr>
            <w:tcW w:w="197" w:type="pct"/>
            <w:vAlign w:val="center"/>
          </w:tcPr>
          <w:p w:rsidR="00240BCE" w:rsidRDefault="00AC0334">
            <w:pPr>
              <w:spacing w:line="340" w:lineRule="exact"/>
              <w:jc w:val="center"/>
              <w:rPr>
                <w:bCs/>
                <w:spacing w:val="4"/>
                <w:sz w:val="21"/>
                <w:szCs w:val="21"/>
              </w:rPr>
            </w:pPr>
            <w:r>
              <w:rPr>
                <w:bCs/>
                <w:spacing w:val="4"/>
                <w:sz w:val="21"/>
                <w:szCs w:val="21"/>
              </w:rPr>
              <w:t>1.25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lastRenderedPageBreak/>
              <w:t>35</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管理机构及环境管理制度</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w:t>
            </w:r>
          </w:p>
        </w:tc>
        <w:tc>
          <w:tcPr>
            <w:tcW w:w="1585" w:type="pct"/>
            <w:gridSpan w:val="2"/>
          </w:tcPr>
          <w:p w:rsidR="00240BCE" w:rsidRDefault="00AC0334">
            <w:pPr>
              <w:spacing w:line="340" w:lineRule="exact"/>
              <w:rPr>
                <w:bCs/>
                <w:spacing w:val="4"/>
                <w:sz w:val="21"/>
                <w:szCs w:val="21"/>
              </w:rPr>
            </w:pPr>
            <w:r>
              <w:rPr>
                <w:bCs/>
                <w:spacing w:val="4"/>
                <w:sz w:val="21"/>
                <w:szCs w:val="21"/>
              </w:rPr>
              <w:t>设有独立的节能环保管理职能部门，配有专职管理人员，环境管理制度健全、完善，并纳入日常管理</w:t>
            </w:r>
          </w:p>
        </w:tc>
        <w:tc>
          <w:tcPr>
            <w:tcW w:w="719" w:type="pct"/>
          </w:tcPr>
          <w:p w:rsidR="00240BCE" w:rsidRDefault="00AC0334">
            <w:pPr>
              <w:spacing w:line="340" w:lineRule="exact"/>
              <w:rPr>
                <w:bCs/>
                <w:spacing w:val="4"/>
                <w:sz w:val="21"/>
                <w:szCs w:val="21"/>
              </w:rPr>
            </w:pPr>
            <w:r>
              <w:rPr>
                <w:bCs/>
                <w:spacing w:val="4"/>
                <w:sz w:val="21"/>
                <w:szCs w:val="21"/>
              </w:rPr>
              <w:t>有明确的节能环保管理部门和人员，环境管理制度较完善，并纳入日常管理</w:t>
            </w:r>
          </w:p>
        </w:tc>
        <w:tc>
          <w:tcPr>
            <w:tcW w:w="470" w:type="pct"/>
            <w:vAlign w:val="center"/>
          </w:tcPr>
          <w:p w:rsidR="00240BCE" w:rsidRDefault="00AC0334">
            <w:pPr>
              <w:spacing w:line="340" w:lineRule="exact"/>
              <w:jc w:val="center"/>
              <w:rPr>
                <w:bCs/>
                <w:spacing w:val="4"/>
                <w:sz w:val="21"/>
                <w:szCs w:val="21"/>
              </w:rPr>
            </w:pPr>
            <w:r>
              <w:rPr>
                <w:bCs/>
                <w:spacing w:val="4"/>
                <w:sz w:val="21"/>
                <w:szCs w:val="21"/>
              </w:rPr>
              <w:t>按</w:t>
            </w:r>
            <w:r>
              <w:rPr>
                <w:bCs/>
                <w:spacing w:val="4"/>
                <w:sz w:val="21"/>
                <w:szCs w:val="21"/>
              </w:rPr>
              <w:t>Ⅱ</w:t>
            </w:r>
            <w:r>
              <w:rPr>
                <w:bCs/>
                <w:spacing w:val="4"/>
                <w:sz w:val="21"/>
                <w:szCs w:val="21"/>
              </w:rPr>
              <w:t>级要求落实</w:t>
            </w:r>
          </w:p>
        </w:tc>
        <w:tc>
          <w:tcPr>
            <w:tcW w:w="197" w:type="pct"/>
            <w:vAlign w:val="center"/>
          </w:tcPr>
          <w:p w:rsidR="00240BCE" w:rsidRDefault="00AC0334">
            <w:pPr>
              <w:spacing w:line="340" w:lineRule="exact"/>
              <w:jc w:val="center"/>
              <w:rPr>
                <w:bCs/>
                <w:spacing w:val="4"/>
                <w:sz w:val="21"/>
                <w:szCs w:val="21"/>
              </w:rPr>
            </w:pPr>
            <w:r>
              <w:rPr>
                <w:bCs/>
                <w:spacing w:val="4"/>
                <w:sz w:val="21"/>
                <w:szCs w:val="21"/>
              </w:rPr>
              <w:t>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36</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rFonts w:eastAsia="TimesNewRomanPSMT"/>
                <w:kern w:val="0"/>
                <w:sz w:val="21"/>
                <w:szCs w:val="21"/>
              </w:rPr>
              <w:t>*</w:t>
            </w:r>
            <w:r>
              <w:rPr>
                <w:kern w:val="0"/>
                <w:sz w:val="21"/>
                <w:szCs w:val="21"/>
              </w:rPr>
              <w:t>排污口规范化管理</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w:t>
            </w:r>
          </w:p>
        </w:tc>
        <w:tc>
          <w:tcPr>
            <w:tcW w:w="2304" w:type="pct"/>
            <w:gridSpan w:val="3"/>
          </w:tcPr>
          <w:p w:rsidR="00240BCE" w:rsidRDefault="00AC0334">
            <w:pPr>
              <w:spacing w:line="340" w:lineRule="exact"/>
              <w:rPr>
                <w:bCs/>
                <w:spacing w:val="4"/>
                <w:sz w:val="21"/>
                <w:szCs w:val="21"/>
              </w:rPr>
            </w:pPr>
            <w:r>
              <w:rPr>
                <w:bCs/>
                <w:spacing w:val="4"/>
                <w:sz w:val="21"/>
                <w:szCs w:val="21"/>
              </w:rPr>
              <w:t>排污口设置符合《排污口规范化整治技术要求（试行）》相关要求</w:t>
            </w:r>
          </w:p>
        </w:tc>
        <w:tc>
          <w:tcPr>
            <w:tcW w:w="470" w:type="pct"/>
            <w:vAlign w:val="center"/>
          </w:tcPr>
          <w:p w:rsidR="00240BCE" w:rsidRDefault="00AC0334">
            <w:pPr>
              <w:spacing w:line="340" w:lineRule="exact"/>
              <w:jc w:val="center"/>
              <w:rPr>
                <w:bCs/>
                <w:spacing w:val="4"/>
                <w:sz w:val="21"/>
                <w:szCs w:val="21"/>
              </w:rPr>
            </w:pPr>
            <w:r>
              <w:rPr>
                <w:bCs/>
                <w:spacing w:val="4"/>
                <w:sz w:val="21"/>
                <w:szCs w:val="21"/>
              </w:rPr>
              <w:t>按要求落实，</w:t>
            </w: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37</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生态环境管理规划</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w:t>
            </w:r>
          </w:p>
        </w:tc>
        <w:tc>
          <w:tcPr>
            <w:tcW w:w="894" w:type="pct"/>
          </w:tcPr>
          <w:p w:rsidR="00240BCE" w:rsidRDefault="00AC0334">
            <w:pPr>
              <w:spacing w:line="340" w:lineRule="exact"/>
              <w:rPr>
                <w:bCs/>
                <w:spacing w:val="4"/>
                <w:sz w:val="21"/>
                <w:szCs w:val="21"/>
              </w:rPr>
            </w:pPr>
            <w:r>
              <w:rPr>
                <w:bCs/>
                <w:spacing w:val="4"/>
                <w:sz w:val="21"/>
                <w:szCs w:val="21"/>
              </w:rPr>
              <w:t>制定有完整的矿区生产期和服务期满时的矿山生态环境修复计划、合理可行的节能环保近、远期规划，包括煤矸石、煤泥、矿井水、瓦斯气处置及综合利用、矿山生态恢复及闭矿后的恢复措施计划</w:t>
            </w:r>
          </w:p>
        </w:tc>
        <w:tc>
          <w:tcPr>
            <w:tcW w:w="691" w:type="pct"/>
          </w:tcPr>
          <w:p w:rsidR="00240BCE" w:rsidRDefault="00AC0334">
            <w:pPr>
              <w:spacing w:line="340" w:lineRule="exact"/>
              <w:rPr>
                <w:bCs/>
                <w:spacing w:val="4"/>
                <w:sz w:val="21"/>
                <w:szCs w:val="21"/>
              </w:rPr>
            </w:pPr>
            <w:r>
              <w:rPr>
                <w:bCs/>
                <w:spacing w:val="4"/>
                <w:sz w:val="21"/>
                <w:szCs w:val="21"/>
              </w:rPr>
              <w:t>制定有完整的矿区生产期和服务期满时的矿山生态环境修复计划、节能环保近、远期规划，措施可行，有一定的操作性</w:t>
            </w:r>
          </w:p>
        </w:tc>
        <w:tc>
          <w:tcPr>
            <w:tcW w:w="719" w:type="pct"/>
          </w:tcPr>
          <w:p w:rsidR="00240BCE" w:rsidRDefault="00AC0334">
            <w:pPr>
              <w:spacing w:line="340" w:lineRule="exact"/>
              <w:rPr>
                <w:bCs/>
                <w:spacing w:val="4"/>
                <w:sz w:val="21"/>
                <w:szCs w:val="21"/>
              </w:rPr>
            </w:pPr>
            <w:r>
              <w:rPr>
                <w:bCs/>
                <w:spacing w:val="4"/>
                <w:sz w:val="21"/>
                <w:szCs w:val="21"/>
              </w:rPr>
              <w:t>制定有较完整的矿区生产期和服务期满时的矿山生态环境修复计划、节能环保近期规划和远期规划或企业相关规划中节能环保篇章</w:t>
            </w:r>
          </w:p>
        </w:tc>
        <w:tc>
          <w:tcPr>
            <w:tcW w:w="470" w:type="pct"/>
            <w:vAlign w:val="center"/>
          </w:tcPr>
          <w:p w:rsidR="00240BCE" w:rsidRDefault="00AC0334">
            <w:pPr>
              <w:spacing w:line="340" w:lineRule="exact"/>
              <w:jc w:val="center"/>
              <w:rPr>
                <w:bCs/>
                <w:spacing w:val="4"/>
                <w:sz w:val="21"/>
                <w:szCs w:val="21"/>
              </w:rPr>
            </w:pPr>
            <w:r>
              <w:rPr>
                <w:bCs/>
                <w:spacing w:val="4"/>
                <w:sz w:val="21"/>
                <w:szCs w:val="21"/>
              </w:rPr>
              <w:t>按</w:t>
            </w:r>
            <w:r>
              <w:rPr>
                <w:bCs/>
                <w:spacing w:val="4"/>
                <w:sz w:val="21"/>
                <w:szCs w:val="21"/>
              </w:rPr>
              <w:t>Ⅱ</w:t>
            </w:r>
            <w:r>
              <w:rPr>
                <w:bCs/>
                <w:spacing w:val="4"/>
                <w:sz w:val="21"/>
                <w:szCs w:val="21"/>
              </w:rPr>
              <w:t>级要求落实</w:t>
            </w:r>
          </w:p>
        </w:tc>
        <w:tc>
          <w:tcPr>
            <w:tcW w:w="197" w:type="pct"/>
            <w:vAlign w:val="center"/>
          </w:tcPr>
          <w:p w:rsidR="00240BCE" w:rsidRDefault="00AC0334">
            <w:pPr>
              <w:spacing w:line="340" w:lineRule="exact"/>
              <w:jc w:val="center"/>
              <w:rPr>
                <w:bCs/>
                <w:spacing w:val="4"/>
                <w:sz w:val="21"/>
                <w:szCs w:val="21"/>
              </w:rPr>
            </w:pPr>
            <w:r>
              <w:rPr>
                <w:bCs/>
                <w:spacing w:val="4"/>
                <w:sz w:val="21"/>
                <w:szCs w:val="21"/>
              </w:rPr>
              <w:t>2.5</w:t>
            </w:r>
          </w:p>
        </w:tc>
      </w:tr>
      <w:tr w:rsidR="00240BCE">
        <w:trPr>
          <w:jc w:val="center"/>
        </w:trPr>
        <w:tc>
          <w:tcPr>
            <w:tcW w:w="159" w:type="pct"/>
            <w:vAlign w:val="center"/>
          </w:tcPr>
          <w:p w:rsidR="00240BCE" w:rsidRDefault="00AC0334">
            <w:pPr>
              <w:spacing w:line="340" w:lineRule="exact"/>
              <w:jc w:val="center"/>
              <w:rPr>
                <w:bCs/>
                <w:spacing w:val="4"/>
                <w:sz w:val="21"/>
                <w:szCs w:val="21"/>
              </w:rPr>
            </w:pPr>
            <w:r>
              <w:rPr>
                <w:bCs/>
                <w:spacing w:val="4"/>
                <w:sz w:val="21"/>
                <w:szCs w:val="21"/>
              </w:rPr>
              <w:t>38</w:t>
            </w:r>
          </w:p>
        </w:tc>
        <w:tc>
          <w:tcPr>
            <w:tcW w:w="304" w:type="pct"/>
            <w:vMerge/>
            <w:vAlign w:val="center"/>
          </w:tcPr>
          <w:p w:rsidR="00240BCE" w:rsidRDefault="00240BCE">
            <w:pPr>
              <w:spacing w:line="340" w:lineRule="exact"/>
              <w:jc w:val="center"/>
              <w:rPr>
                <w:bCs/>
                <w:spacing w:val="4"/>
                <w:sz w:val="21"/>
                <w:szCs w:val="21"/>
              </w:rPr>
            </w:pPr>
          </w:p>
        </w:tc>
        <w:tc>
          <w:tcPr>
            <w:tcW w:w="296" w:type="pct"/>
            <w:vMerge/>
            <w:vAlign w:val="center"/>
          </w:tcPr>
          <w:p w:rsidR="00240BCE" w:rsidRDefault="00240BCE">
            <w:pPr>
              <w:spacing w:line="340" w:lineRule="exact"/>
              <w:jc w:val="center"/>
              <w:rPr>
                <w:bCs/>
                <w:spacing w:val="4"/>
                <w:sz w:val="21"/>
                <w:szCs w:val="21"/>
              </w:rPr>
            </w:pPr>
          </w:p>
        </w:tc>
        <w:tc>
          <w:tcPr>
            <w:tcW w:w="823" w:type="pct"/>
            <w:gridSpan w:val="2"/>
            <w:vAlign w:val="center"/>
          </w:tcPr>
          <w:p w:rsidR="00240BCE" w:rsidRDefault="00AC0334">
            <w:pPr>
              <w:spacing w:line="340" w:lineRule="exact"/>
              <w:jc w:val="center"/>
              <w:rPr>
                <w:bCs/>
                <w:spacing w:val="4"/>
                <w:sz w:val="21"/>
                <w:szCs w:val="21"/>
              </w:rPr>
            </w:pPr>
            <w:r>
              <w:rPr>
                <w:bCs/>
                <w:spacing w:val="4"/>
                <w:sz w:val="21"/>
                <w:szCs w:val="21"/>
              </w:rPr>
              <w:t>环境信息公开</w:t>
            </w:r>
          </w:p>
        </w:tc>
        <w:tc>
          <w:tcPr>
            <w:tcW w:w="198" w:type="pct"/>
            <w:vAlign w:val="center"/>
          </w:tcPr>
          <w:p w:rsidR="00240BCE" w:rsidRDefault="00AC0334">
            <w:pPr>
              <w:spacing w:line="340" w:lineRule="exact"/>
              <w:jc w:val="center"/>
              <w:rPr>
                <w:bCs/>
                <w:spacing w:val="4"/>
                <w:sz w:val="21"/>
                <w:szCs w:val="21"/>
              </w:rPr>
            </w:pPr>
            <w:r>
              <w:rPr>
                <w:bCs/>
                <w:spacing w:val="4"/>
                <w:sz w:val="21"/>
                <w:szCs w:val="21"/>
              </w:rPr>
              <w:t>——</w:t>
            </w:r>
          </w:p>
        </w:tc>
        <w:tc>
          <w:tcPr>
            <w:tcW w:w="249" w:type="pct"/>
            <w:vAlign w:val="center"/>
          </w:tcPr>
          <w:p w:rsidR="00240BCE" w:rsidRDefault="00AC0334">
            <w:pPr>
              <w:spacing w:line="340" w:lineRule="exact"/>
              <w:jc w:val="center"/>
              <w:rPr>
                <w:bCs/>
                <w:spacing w:val="4"/>
                <w:sz w:val="21"/>
                <w:szCs w:val="21"/>
              </w:rPr>
            </w:pPr>
            <w:r>
              <w:rPr>
                <w:bCs/>
                <w:spacing w:val="4"/>
                <w:sz w:val="21"/>
                <w:szCs w:val="21"/>
              </w:rPr>
              <w:t>0.15</w:t>
            </w:r>
          </w:p>
        </w:tc>
        <w:tc>
          <w:tcPr>
            <w:tcW w:w="2304" w:type="pct"/>
            <w:gridSpan w:val="3"/>
          </w:tcPr>
          <w:p w:rsidR="00240BCE" w:rsidRDefault="00AC0334">
            <w:pPr>
              <w:spacing w:line="340" w:lineRule="exact"/>
              <w:rPr>
                <w:bCs/>
                <w:spacing w:val="4"/>
                <w:sz w:val="21"/>
                <w:szCs w:val="21"/>
              </w:rPr>
            </w:pPr>
            <w:r>
              <w:rPr>
                <w:bCs/>
                <w:spacing w:val="4"/>
                <w:sz w:val="21"/>
                <w:szCs w:val="21"/>
              </w:rPr>
              <w:t>按照国家有关要求公开环境相关信息，按照</w:t>
            </w:r>
            <w:r>
              <w:rPr>
                <w:bCs/>
                <w:spacing w:val="4"/>
                <w:sz w:val="21"/>
                <w:szCs w:val="21"/>
              </w:rPr>
              <w:t xml:space="preserve">HJ 617 </w:t>
            </w:r>
            <w:r>
              <w:rPr>
                <w:bCs/>
                <w:spacing w:val="4"/>
                <w:sz w:val="21"/>
                <w:szCs w:val="21"/>
              </w:rPr>
              <w:t>编写企业环境报告书</w:t>
            </w:r>
          </w:p>
        </w:tc>
        <w:tc>
          <w:tcPr>
            <w:tcW w:w="470" w:type="pct"/>
            <w:vAlign w:val="center"/>
          </w:tcPr>
          <w:p w:rsidR="00240BCE" w:rsidRDefault="00AC0334">
            <w:pPr>
              <w:spacing w:line="340" w:lineRule="exact"/>
              <w:jc w:val="center"/>
              <w:rPr>
                <w:bCs/>
                <w:spacing w:val="4"/>
                <w:sz w:val="21"/>
                <w:szCs w:val="21"/>
              </w:rPr>
            </w:pPr>
            <w:r>
              <w:rPr>
                <w:bCs/>
                <w:spacing w:val="4"/>
                <w:sz w:val="21"/>
                <w:szCs w:val="21"/>
              </w:rPr>
              <w:t>按要求落实，</w:t>
            </w:r>
            <w:r>
              <w:rPr>
                <w:bCs/>
                <w:spacing w:val="4"/>
                <w:sz w:val="21"/>
                <w:szCs w:val="21"/>
              </w:rPr>
              <w:t>Ⅰ</w:t>
            </w:r>
            <w:r>
              <w:rPr>
                <w:bCs/>
                <w:spacing w:val="4"/>
                <w:sz w:val="21"/>
                <w:szCs w:val="21"/>
              </w:rPr>
              <w:t>级</w:t>
            </w:r>
          </w:p>
        </w:tc>
        <w:tc>
          <w:tcPr>
            <w:tcW w:w="197" w:type="pct"/>
            <w:vAlign w:val="center"/>
          </w:tcPr>
          <w:p w:rsidR="00240BCE" w:rsidRDefault="00AC0334">
            <w:pPr>
              <w:spacing w:line="340" w:lineRule="exact"/>
              <w:jc w:val="center"/>
              <w:rPr>
                <w:bCs/>
                <w:spacing w:val="4"/>
                <w:sz w:val="21"/>
                <w:szCs w:val="21"/>
              </w:rPr>
            </w:pPr>
            <w:r>
              <w:rPr>
                <w:bCs/>
                <w:spacing w:val="4"/>
                <w:sz w:val="21"/>
                <w:szCs w:val="21"/>
              </w:rPr>
              <w:t>3.75</w:t>
            </w:r>
          </w:p>
        </w:tc>
      </w:tr>
    </w:tbl>
    <w:p w:rsidR="00240BCE" w:rsidRDefault="00AC0334">
      <w:pPr>
        <w:rPr>
          <w:b/>
          <w:sz w:val="21"/>
          <w:szCs w:val="21"/>
        </w:rPr>
      </w:pPr>
      <w:r>
        <w:rPr>
          <w:b/>
          <w:sz w:val="21"/>
          <w:szCs w:val="21"/>
        </w:rPr>
        <w:t>注：</w:t>
      </w:r>
      <w:r>
        <w:rPr>
          <w:b/>
          <w:sz w:val="21"/>
          <w:szCs w:val="21"/>
        </w:rPr>
        <w:t>1</w:t>
      </w:r>
      <w:r>
        <w:rPr>
          <w:b/>
          <w:sz w:val="21"/>
          <w:szCs w:val="21"/>
        </w:rPr>
        <w:t>、标注</w:t>
      </w:r>
      <w:r>
        <w:rPr>
          <w:b/>
          <w:sz w:val="21"/>
          <w:szCs w:val="21"/>
        </w:rPr>
        <w:t>*</w:t>
      </w:r>
      <w:r>
        <w:rPr>
          <w:b/>
          <w:sz w:val="21"/>
          <w:szCs w:val="21"/>
        </w:rPr>
        <w:t>的指标项为限定性指标；</w:t>
      </w:r>
    </w:p>
    <w:p w:rsidR="00240BCE" w:rsidRDefault="00AC0334">
      <w:pPr>
        <w:ind w:firstLineChars="200" w:firstLine="422"/>
        <w:rPr>
          <w:b/>
          <w:sz w:val="21"/>
          <w:szCs w:val="21"/>
          <w:lang w:val="zh-CN"/>
        </w:rPr>
      </w:pPr>
      <w:r>
        <w:rPr>
          <w:b/>
          <w:sz w:val="21"/>
          <w:szCs w:val="21"/>
        </w:rPr>
        <w:t>2</w:t>
      </w:r>
      <w:r>
        <w:rPr>
          <w:b/>
          <w:sz w:val="21"/>
          <w:szCs w:val="21"/>
        </w:rPr>
        <w:t>、本项目无选煤工艺、不属于高瓦斯矿井，实际生产过程中（一）、（二）、（三）、（四）一级指标项下二级指标项数少于表</w:t>
      </w:r>
      <w:r>
        <w:rPr>
          <w:b/>
          <w:sz w:val="21"/>
          <w:szCs w:val="21"/>
        </w:rPr>
        <w:t xml:space="preserve">1 </w:t>
      </w:r>
      <w:r>
        <w:rPr>
          <w:b/>
          <w:sz w:val="21"/>
          <w:szCs w:val="21"/>
        </w:rPr>
        <w:t>中相同一级指标项下二级指标项数，需对（一）、（二）、（三）、（四）一级指标项下各二级指标分权重值进行调整，上表中（一）、（二）、（三）、（四）一级指标项下各二级指标分权重值已按</w:t>
      </w:r>
      <w:r>
        <w:rPr>
          <w:b/>
          <w:sz w:val="21"/>
          <w:szCs w:val="21"/>
          <w:lang w:val="zh-CN"/>
        </w:rPr>
        <w:t>《煤炭采选业清洁生产评价指标体系》（</w:t>
      </w:r>
      <w:r>
        <w:rPr>
          <w:b/>
          <w:sz w:val="21"/>
          <w:szCs w:val="21"/>
          <w:lang w:val="zh-CN"/>
        </w:rPr>
        <w:t>2019</w:t>
      </w:r>
      <w:r>
        <w:rPr>
          <w:b/>
          <w:sz w:val="21"/>
          <w:szCs w:val="21"/>
          <w:lang w:val="zh-CN"/>
        </w:rPr>
        <w:t>年）中</w:t>
      </w:r>
      <w:r>
        <w:rPr>
          <w:b/>
          <w:sz w:val="21"/>
          <w:szCs w:val="21"/>
          <w:lang w:val="zh-CN"/>
        </w:rPr>
        <w:t>5.2</w:t>
      </w:r>
      <w:r>
        <w:rPr>
          <w:b/>
          <w:sz w:val="21"/>
          <w:szCs w:val="21"/>
          <w:lang w:val="zh-CN"/>
        </w:rPr>
        <w:t>节公式</w:t>
      </w:r>
      <w:r>
        <w:rPr>
          <w:b/>
          <w:sz w:val="21"/>
          <w:szCs w:val="21"/>
          <w:lang w:val="zh-CN"/>
        </w:rPr>
        <w:t>5-3</w:t>
      </w:r>
      <w:r>
        <w:rPr>
          <w:b/>
          <w:sz w:val="21"/>
          <w:szCs w:val="21"/>
          <w:lang w:val="zh-CN"/>
        </w:rPr>
        <w:t>进行了调整。</w:t>
      </w:r>
    </w:p>
    <w:p w:rsidR="00240BCE" w:rsidRDefault="00AC0334">
      <w:pPr>
        <w:ind w:firstLineChars="200" w:firstLine="422"/>
        <w:rPr>
          <w:b/>
          <w:sz w:val="21"/>
          <w:szCs w:val="21"/>
        </w:rPr>
      </w:pPr>
      <w:r>
        <w:rPr>
          <w:b/>
          <w:sz w:val="21"/>
          <w:szCs w:val="21"/>
          <w:lang w:val="zh-CN"/>
        </w:rPr>
        <w:t>3</w:t>
      </w:r>
      <w:r>
        <w:rPr>
          <w:b/>
          <w:sz w:val="21"/>
          <w:szCs w:val="21"/>
          <w:lang w:val="zh-CN"/>
        </w:rPr>
        <w:t>、项目矿井正常涌水量为</w:t>
      </w:r>
      <w:r>
        <w:rPr>
          <w:b/>
          <w:sz w:val="21"/>
          <w:szCs w:val="21"/>
        </w:rPr>
        <w:t>1</w:t>
      </w:r>
      <w:r w:rsidR="00FC530C">
        <w:rPr>
          <w:rFonts w:hint="eastAsia"/>
          <w:b/>
          <w:sz w:val="21"/>
          <w:szCs w:val="21"/>
        </w:rPr>
        <w:t>9</w:t>
      </w:r>
      <w:r>
        <w:rPr>
          <w:b/>
          <w:sz w:val="21"/>
          <w:szCs w:val="21"/>
        </w:rPr>
        <w:t>4m</w:t>
      </w:r>
      <w:r>
        <w:rPr>
          <w:b/>
          <w:sz w:val="21"/>
          <w:szCs w:val="21"/>
          <w:vertAlign w:val="superscript"/>
        </w:rPr>
        <w:t>3</w:t>
      </w:r>
      <w:r>
        <w:rPr>
          <w:b/>
          <w:sz w:val="21"/>
          <w:szCs w:val="21"/>
        </w:rPr>
        <w:t>/h</w:t>
      </w:r>
      <w:r>
        <w:rPr>
          <w:b/>
          <w:sz w:val="21"/>
          <w:szCs w:val="21"/>
        </w:rPr>
        <w:t>，属于一般水资源矿区。</w:t>
      </w:r>
    </w:p>
    <w:p w:rsidR="00240BCE" w:rsidRDefault="00240BCE">
      <w:pPr>
        <w:spacing w:line="500" w:lineRule="exact"/>
        <w:rPr>
          <w:sz w:val="24"/>
        </w:rPr>
        <w:sectPr w:rsidR="00240BCE">
          <w:pgSz w:w="16838" w:h="11906" w:orient="landscape"/>
          <w:pgMar w:top="1558" w:right="1440" w:bottom="1701" w:left="1559" w:header="851" w:footer="992" w:gutter="0"/>
          <w:cols w:space="720"/>
          <w:docGrid w:linePitch="312"/>
        </w:sectPr>
      </w:pPr>
    </w:p>
    <w:p w:rsidR="00240BCE" w:rsidRDefault="00AC0334">
      <w:pPr>
        <w:spacing w:line="480" w:lineRule="exact"/>
        <w:ind w:firstLine="482"/>
        <w:rPr>
          <w:sz w:val="24"/>
        </w:rPr>
      </w:pPr>
      <w:r>
        <w:rPr>
          <w:sz w:val="24"/>
        </w:rPr>
        <w:lastRenderedPageBreak/>
        <w:t>对照</w:t>
      </w:r>
      <w:r>
        <w:rPr>
          <w:sz w:val="24"/>
          <w:lang w:val="zh-CN"/>
        </w:rPr>
        <w:t>《煤炭采选业清洁生产评价指标体系》（</w:t>
      </w:r>
      <w:r>
        <w:rPr>
          <w:sz w:val="24"/>
          <w:lang w:val="zh-CN"/>
        </w:rPr>
        <w:t>2019</w:t>
      </w:r>
      <w:r>
        <w:rPr>
          <w:sz w:val="24"/>
          <w:lang w:val="zh-CN"/>
        </w:rPr>
        <w:t>年），</w:t>
      </w:r>
      <w:r>
        <w:rPr>
          <w:sz w:val="24"/>
        </w:rPr>
        <w:t>采用限定性指标评价和指标分级加权评价相结合的方法。在限定性指标达到</w:t>
      </w:r>
      <w:r>
        <w:rPr>
          <w:sz w:val="24"/>
        </w:rPr>
        <w:t>Ⅲ</w:t>
      </w:r>
      <w:r>
        <w:rPr>
          <w:sz w:val="24"/>
        </w:rPr>
        <w:t>级水平的基础上，采用指标分级加权评价方法，计算行业清洁生产综合评价指数。根据综合评价指数，确定清洁生产水平等级。</w:t>
      </w:r>
    </w:p>
    <w:p w:rsidR="00240BCE" w:rsidRDefault="00AC0334">
      <w:pPr>
        <w:spacing w:line="480" w:lineRule="exact"/>
        <w:ind w:firstLine="482"/>
        <w:rPr>
          <w:sz w:val="24"/>
        </w:rPr>
      </w:pPr>
      <w:r>
        <w:rPr>
          <w:sz w:val="24"/>
        </w:rPr>
        <w:t>对煤炭采选企业清洁生产水平的评价，是以其清洁生产综合评价指数为依据的，对达到一定综合评价指数的企业，分别评定为清洁生产领先企业、清洁生产先进企业或清洁生产基本水平企业。</w:t>
      </w:r>
    </w:p>
    <w:p w:rsidR="00240BCE" w:rsidRDefault="00AC0334">
      <w:pPr>
        <w:spacing w:line="480" w:lineRule="exact"/>
        <w:jc w:val="center"/>
        <w:rPr>
          <w:b/>
          <w:sz w:val="24"/>
        </w:rPr>
      </w:pPr>
      <w:r>
        <w:rPr>
          <w:b/>
          <w:sz w:val="24"/>
        </w:rPr>
        <w:t>表</w:t>
      </w:r>
      <w:r>
        <w:rPr>
          <w:b/>
          <w:sz w:val="24"/>
        </w:rPr>
        <w:t xml:space="preserve">3.5-2     </w:t>
      </w:r>
      <w:r>
        <w:rPr>
          <w:b/>
          <w:sz w:val="24"/>
        </w:rPr>
        <w:t>煤炭采选不同等级清洁生产企业综合评价指数</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306"/>
        <w:gridCol w:w="5861"/>
      </w:tblGrid>
      <w:tr w:rsidR="00240BCE">
        <w:tc>
          <w:tcPr>
            <w:tcW w:w="1803" w:type="pct"/>
            <w:vAlign w:val="center"/>
          </w:tcPr>
          <w:p w:rsidR="00240BCE" w:rsidRDefault="00AC0334">
            <w:pPr>
              <w:tabs>
                <w:tab w:val="right" w:leader="middleDot" w:pos="8640"/>
              </w:tabs>
              <w:spacing w:line="360" w:lineRule="exact"/>
              <w:jc w:val="center"/>
              <w:rPr>
                <w:b/>
                <w:spacing w:val="4"/>
                <w:sz w:val="21"/>
                <w:szCs w:val="21"/>
              </w:rPr>
            </w:pPr>
            <w:r>
              <w:rPr>
                <w:b/>
                <w:spacing w:val="4"/>
                <w:sz w:val="21"/>
                <w:szCs w:val="21"/>
              </w:rPr>
              <w:t>企业清洁生产水平</w:t>
            </w:r>
          </w:p>
        </w:tc>
        <w:tc>
          <w:tcPr>
            <w:tcW w:w="3197" w:type="pct"/>
            <w:vAlign w:val="center"/>
          </w:tcPr>
          <w:p w:rsidR="00240BCE" w:rsidRDefault="00AC0334">
            <w:pPr>
              <w:tabs>
                <w:tab w:val="right" w:leader="middleDot" w:pos="8640"/>
              </w:tabs>
              <w:spacing w:line="360" w:lineRule="exact"/>
              <w:jc w:val="center"/>
              <w:rPr>
                <w:b/>
                <w:spacing w:val="4"/>
                <w:sz w:val="21"/>
                <w:szCs w:val="21"/>
              </w:rPr>
            </w:pPr>
            <w:r>
              <w:rPr>
                <w:b/>
                <w:spacing w:val="4"/>
                <w:sz w:val="21"/>
                <w:szCs w:val="21"/>
              </w:rPr>
              <w:t>评定条件</w:t>
            </w:r>
          </w:p>
        </w:tc>
      </w:tr>
      <w:tr w:rsidR="00240BCE">
        <w:tc>
          <w:tcPr>
            <w:tcW w:w="1803" w:type="pct"/>
            <w:vAlign w:val="center"/>
          </w:tcPr>
          <w:p w:rsidR="00240BCE" w:rsidRDefault="00AC0334">
            <w:pPr>
              <w:tabs>
                <w:tab w:val="right" w:leader="middleDot" w:pos="8640"/>
              </w:tabs>
              <w:spacing w:line="360" w:lineRule="exact"/>
              <w:jc w:val="center"/>
              <w:rPr>
                <w:spacing w:val="4"/>
                <w:sz w:val="21"/>
                <w:szCs w:val="21"/>
              </w:rPr>
            </w:pPr>
            <w:r>
              <w:rPr>
                <w:spacing w:val="4"/>
                <w:sz w:val="21"/>
                <w:szCs w:val="21"/>
              </w:rPr>
              <w:t>Ⅰ</w:t>
            </w:r>
            <w:r>
              <w:rPr>
                <w:spacing w:val="4"/>
                <w:sz w:val="21"/>
                <w:szCs w:val="21"/>
              </w:rPr>
              <w:t>级（国际清洁生产领先水平）</w:t>
            </w:r>
          </w:p>
        </w:tc>
        <w:tc>
          <w:tcPr>
            <w:tcW w:w="3197" w:type="pct"/>
            <w:vAlign w:val="center"/>
          </w:tcPr>
          <w:p w:rsidR="00240BCE" w:rsidRDefault="00AC0334">
            <w:pPr>
              <w:tabs>
                <w:tab w:val="right" w:leader="middleDot" w:pos="8640"/>
              </w:tabs>
              <w:spacing w:line="360" w:lineRule="exact"/>
              <w:jc w:val="center"/>
              <w:rPr>
                <w:spacing w:val="4"/>
                <w:sz w:val="21"/>
                <w:szCs w:val="21"/>
              </w:rPr>
            </w:pPr>
            <w:r>
              <w:rPr>
                <w:spacing w:val="4"/>
                <w:sz w:val="21"/>
                <w:szCs w:val="21"/>
              </w:rPr>
              <w:t>同时满足：</w:t>
            </w:r>
          </w:p>
          <w:p w:rsidR="00240BCE" w:rsidRDefault="00AC0334">
            <w:pPr>
              <w:tabs>
                <w:tab w:val="right" w:leader="middleDot" w:pos="8640"/>
              </w:tabs>
              <w:spacing w:line="360" w:lineRule="exact"/>
              <w:ind w:firstLineChars="100" w:firstLine="218"/>
              <w:jc w:val="center"/>
              <w:rPr>
                <w:spacing w:val="4"/>
                <w:sz w:val="21"/>
                <w:szCs w:val="21"/>
              </w:rPr>
            </w:pPr>
            <w:r>
              <w:rPr>
                <w:spacing w:val="4"/>
                <w:sz w:val="21"/>
                <w:szCs w:val="21"/>
              </w:rPr>
              <w:t>Y</w:t>
            </w:r>
            <w:r>
              <w:rPr>
                <w:spacing w:val="4"/>
                <w:sz w:val="21"/>
                <w:szCs w:val="21"/>
                <w:vertAlign w:val="subscript"/>
              </w:rPr>
              <w:t>Ⅰ</w:t>
            </w:r>
            <w:r>
              <w:rPr>
                <w:spacing w:val="4"/>
                <w:sz w:val="21"/>
                <w:szCs w:val="21"/>
              </w:rPr>
              <w:t>≥85</w:t>
            </w:r>
            <w:r>
              <w:rPr>
                <w:spacing w:val="4"/>
                <w:sz w:val="21"/>
                <w:szCs w:val="21"/>
              </w:rPr>
              <w:t>；限定性指标全部满足</w:t>
            </w:r>
            <w:r>
              <w:rPr>
                <w:spacing w:val="4"/>
                <w:sz w:val="21"/>
                <w:szCs w:val="21"/>
              </w:rPr>
              <w:t>Ⅰ</w:t>
            </w:r>
            <w:r>
              <w:rPr>
                <w:spacing w:val="4"/>
                <w:sz w:val="21"/>
                <w:szCs w:val="21"/>
              </w:rPr>
              <w:t>级基准值要求。</w:t>
            </w:r>
          </w:p>
        </w:tc>
      </w:tr>
      <w:tr w:rsidR="00240BCE">
        <w:tc>
          <w:tcPr>
            <w:tcW w:w="1803" w:type="pct"/>
            <w:vAlign w:val="center"/>
          </w:tcPr>
          <w:p w:rsidR="00240BCE" w:rsidRDefault="00AC0334">
            <w:pPr>
              <w:tabs>
                <w:tab w:val="right" w:leader="middleDot" w:pos="8640"/>
              </w:tabs>
              <w:spacing w:line="360" w:lineRule="exact"/>
              <w:jc w:val="center"/>
              <w:rPr>
                <w:spacing w:val="4"/>
                <w:sz w:val="21"/>
                <w:szCs w:val="21"/>
              </w:rPr>
            </w:pPr>
            <w:r>
              <w:rPr>
                <w:spacing w:val="4"/>
                <w:sz w:val="21"/>
                <w:szCs w:val="21"/>
              </w:rPr>
              <w:t>Ⅱ</w:t>
            </w:r>
            <w:r>
              <w:rPr>
                <w:spacing w:val="4"/>
                <w:sz w:val="21"/>
                <w:szCs w:val="21"/>
              </w:rPr>
              <w:t>级（国内清洁生产先进水平）</w:t>
            </w:r>
          </w:p>
        </w:tc>
        <w:tc>
          <w:tcPr>
            <w:tcW w:w="3197" w:type="pct"/>
            <w:vAlign w:val="center"/>
          </w:tcPr>
          <w:p w:rsidR="00240BCE" w:rsidRDefault="00AC0334">
            <w:pPr>
              <w:tabs>
                <w:tab w:val="right" w:leader="middleDot" w:pos="8640"/>
              </w:tabs>
              <w:spacing w:line="360" w:lineRule="exact"/>
              <w:jc w:val="center"/>
              <w:rPr>
                <w:spacing w:val="4"/>
                <w:sz w:val="21"/>
                <w:szCs w:val="21"/>
              </w:rPr>
            </w:pPr>
            <w:r>
              <w:rPr>
                <w:spacing w:val="4"/>
                <w:sz w:val="21"/>
                <w:szCs w:val="21"/>
              </w:rPr>
              <w:t>同时满足：</w:t>
            </w:r>
          </w:p>
          <w:p w:rsidR="00240BCE" w:rsidRDefault="00AC0334">
            <w:pPr>
              <w:tabs>
                <w:tab w:val="right" w:leader="middleDot" w:pos="8640"/>
              </w:tabs>
              <w:spacing w:line="360" w:lineRule="exact"/>
              <w:ind w:firstLineChars="100" w:firstLine="218"/>
              <w:jc w:val="center"/>
              <w:rPr>
                <w:spacing w:val="4"/>
                <w:sz w:val="21"/>
                <w:szCs w:val="21"/>
              </w:rPr>
            </w:pPr>
            <w:r>
              <w:rPr>
                <w:spacing w:val="4"/>
                <w:sz w:val="21"/>
                <w:szCs w:val="21"/>
              </w:rPr>
              <w:t>Y</w:t>
            </w:r>
            <w:r>
              <w:rPr>
                <w:spacing w:val="4"/>
                <w:sz w:val="21"/>
                <w:szCs w:val="21"/>
                <w:vertAlign w:val="subscript"/>
              </w:rPr>
              <w:t>Ⅱ</w:t>
            </w:r>
            <w:r>
              <w:rPr>
                <w:spacing w:val="4"/>
                <w:sz w:val="21"/>
                <w:szCs w:val="21"/>
              </w:rPr>
              <w:t>≥85</w:t>
            </w:r>
            <w:r>
              <w:rPr>
                <w:spacing w:val="4"/>
                <w:sz w:val="21"/>
                <w:szCs w:val="21"/>
              </w:rPr>
              <w:t>；限定性指标全部满足</w:t>
            </w:r>
            <w:r>
              <w:rPr>
                <w:spacing w:val="4"/>
                <w:sz w:val="21"/>
                <w:szCs w:val="21"/>
              </w:rPr>
              <w:t>Ⅱ</w:t>
            </w:r>
            <w:r>
              <w:rPr>
                <w:spacing w:val="4"/>
                <w:sz w:val="21"/>
                <w:szCs w:val="21"/>
              </w:rPr>
              <w:t>级基准值要求及以上</w:t>
            </w:r>
          </w:p>
        </w:tc>
      </w:tr>
      <w:tr w:rsidR="00240BCE">
        <w:tc>
          <w:tcPr>
            <w:tcW w:w="1803" w:type="pct"/>
            <w:vAlign w:val="center"/>
          </w:tcPr>
          <w:p w:rsidR="00240BCE" w:rsidRDefault="00AC0334">
            <w:pPr>
              <w:tabs>
                <w:tab w:val="right" w:leader="middleDot" w:pos="8640"/>
              </w:tabs>
              <w:spacing w:line="360" w:lineRule="exact"/>
              <w:jc w:val="center"/>
              <w:rPr>
                <w:spacing w:val="4"/>
                <w:sz w:val="21"/>
                <w:szCs w:val="21"/>
              </w:rPr>
            </w:pPr>
            <w:r>
              <w:rPr>
                <w:spacing w:val="4"/>
                <w:sz w:val="21"/>
                <w:szCs w:val="21"/>
              </w:rPr>
              <w:t>Ⅲ</w:t>
            </w:r>
            <w:r>
              <w:rPr>
                <w:spacing w:val="4"/>
                <w:sz w:val="21"/>
                <w:szCs w:val="21"/>
              </w:rPr>
              <w:t>级（国内清洁生产基本水平）</w:t>
            </w:r>
          </w:p>
        </w:tc>
        <w:tc>
          <w:tcPr>
            <w:tcW w:w="3197" w:type="pct"/>
            <w:vAlign w:val="center"/>
          </w:tcPr>
          <w:p w:rsidR="00240BCE" w:rsidRDefault="00AC0334">
            <w:pPr>
              <w:tabs>
                <w:tab w:val="right" w:leader="middleDot" w:pos="8640"/>
              </w:tabs>
              <w:spacing w:line="360" w:lineRule="exact"/>
              <w:jc w:val="center"/>
              <w:rPr>
                <w:spacing w:val="4"/>
                <w:sz w:val="21"/>
                <w:szCs w:val="21"/>
              </w:rPr>
            </w:pPr>
            <w:r>
              <w:rPr>
                <w:spacing w:val="4"/>
                <w:sz w:val="21"/>
                <w:szCs w:val="21"/>
              </w:rPr>
              <w:t>同时满足：</w:t>
            </w:r>
          </w:p>
          <w:p w:rsidR="00240BCE" w:rsidRDefault="00AC0334">
            <w:pPr>
              <w:tabs>
                <w:tab w:val="right" w:leader="middleDot" w:pos="8640"/>
              </w:tabs>
              <w:spacing w:line="360" w:lineRule="exact"/>
              <w:ind w:firstLineChars="100" w:firstLine="218"/>
              <w:jc w:val="center"/>
              <w:rPr>
                <w:spacing w:val="4"/>
                <w:sz w:val="21"/>
                <w:szCs w:val="21"/>
              </w:rPr>
            </w:pPr>
            <w:r>
              <w:rPr>
                <w:spacing w:val="4"/>
                <w:sz w:val="21"/>
                <w:szCs w:val="21"/>
              </w:rPr>
              <w:t>Y</w:t>
            </w:r>
            <w:r>
              <w:rPr>
                <w:spacing w:val="4"/>
                <w:sz w:val="21"/>
                <w:szCs w:val="21"/>
                <w:vertAlign w:val="subscript"/>
              </w:rPr>
              <w:t>Ⅲ</w:t>
            </w:r>
            <w:r>
              <w:rPr>
                <w:spacing w:val="4"/>
                <w:sz w:val="21"/>
                <w:szCs w:val="21"/>
              </w:rPr>
              <w:t>=100</w:t>
            </w:r>
            <w:r>
              <w:rPr>
                <w:spacing w:val="4"/>
                <w:sz w:val="21"/>
                <w:szCs w:val="21"/>
              </w:rPr>
              <w:t>；限定性指标全部满足</w:t>
            </w:r>
            <w:r>
              <w:rPr>
                <w:spacing w:val="4"/>
                <w:sz w:val="21"/>
                <w:szCs w:val="21"/>
              </w:rPr>
              <w:t>Ⅲ</w:t>
            </w:r>
            <w:r>
              <w:rPr>
                <w:spacing w:val="4"/>
                <w:sz w:val="21"/>
                <w:szCs w:val="21"/>
              </w:rPr>
              <w:t>级基准值要求及以上</w:t>
            </w:r>
          </w:p>
        </w:tc>
      </w:tr>
    </w:tbl>
    <w:p w:rsidR="00240BCE" w:rsidRDefault="00AC0334">
      <w:pPr>
        <w:adjustRightInd w:val="0"/>
        <w:snapToGrid w:val="0"/>
        <w:spacing w:line="520" w:lineRule="exact"/>
        <w:ind w:firstLineChars="200" w:firstLine="480"/>
        <w:rPr>
          <w:sz w:val="24"/>
        </w:rPr>
      </w:pPr>
      <w:r>
        <w:rPr>
          <w:sz w:val="24"/>
        </w:rPr>
        <w:t>本项目限定性指标部分不满足</w:t>
      </w:r>
      <w:r>
        <w:rPr>
          <w:sz w:val="24"/>
        </w:rPr>
        <w:t>Ⅰ</w:t>
      </w:r>
      <w:r>
        <w:rPr>
          <w:sz w:val="24"/>
        </w:rPr>
        <w:t>级基准值要求，但全部满足</w:t>
      </w:r>
      <w:r>
        <w:rPr>
          <w:sz w:val="24"/>
        </w:rPr>
        <w:t>Ⅱ</w:t>
      </w:r>
      <w:r>
        <w:rPr>
          <w:sz w:val="24"/>
        </w:rPr>
        <w:t>级基准值要求及以上，进入第二步计算，经计算，</w:t>
      </w:r>
      <w:r>
        <w:rPr>
          <w:sz w:val="24"/>
        </w:rPr>
        <w:t>Y</w:t>
      </w:r>
      <w:r>
        <w:rPr>
          <w:sz w:val="24"/>
          <w:vertAlign w:val="subscript"/>
        </w:rPr>
        <w:t>Ⅱ</w:t>
      </w:r>
      <w:r>
        <w:rPr>
          <w:sz w:val="24"/>
        </w:rPr>
        <w:t>=89.</w:t>
      </w:r>
      <w:r w:rsidR="00FC530C">
        <w:rPr>
          <w:rFonts w:hint="eastAsia"/>
          <w:sz w:val="24"/>
        </w:rPr>
        <w:t>8</w:t>
      </w:r>
      <w:r>
        <w:rPr>
          <w:sz w:val="24"/>
        </w:rPr>
        <w:t>，</w:t>
      </w:r>
      <w:r>
        <w:rPr>
          <w:sz w:val="24"/>
        </w:rPr>
        <w:t>Y</w:t>
      </w:r>
      <w:r>
        <w:rPr>
          <w:sz w:val="24"/>
          <w:vertAlign w:val="subscript"/>
        </w:rPr>
        <w:t>Ⅱ</w:t>
      </w:r>
      <w:r>
        <w:rPr>
          <w:sz w:val="24"/>
        </w:rPr>
        <w:t>≥85</w:t>
      </w:r>
      <w:r>
        <w:rPr>
          <w:sz w:val="24"/>
        </w:rPr>
        <w:t>，本项目清洁生产水平达到国内清洁生产先进水平。</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3.5.4 </w:t>
      </w:r>
      <w:r>
        <w:rPr>
          <w:rFonts w:eastAsia="楷体"/>
          <w:b/>
          <w:bCs/>
          <w:szCs w:val="28"/>
        </w:rPr>
        <w:t>清洁生产结论</w:t>
      </w:r>
    </w:p>
    <w:p w:rsidR="00240BCE" w:rsidRDefault="00AC0334">
      <w:pPr>
        <w:spacing w:line="500" w:lineRule="exact"/>
        <w:ind w:firstLineChars="200" w:firstLine="480"/>
        <w:rPr>
          <w:sz w:val="24"/>
        </w:rPr>
      </w:pPr>
      <w:r>
        <w:rPr>
          <w:sz w:val="24"/>
        </w:rPr>
        <w:t>综上所述，本项目符合国家产业政策和环保政策要求；开拓方式和开采工艺通用成熟，生产效率较高；各项废物均采取有效的治理措施及综合利用措施，效果较好；生态保护与恢复措施可行，效果较好。加强项目实施过程中的生产管理与设备维护，保证各项环保设施正常运行及生态保护措施的实施，采取节能措施后节约吨煤消耗电量、提供水资源利用率、提高厂区绿化率，在此前提下，</w:t>
      </w:r>
      <w:r w:rsidRPr="00103121">
        <w:rPr>
          <w:b/>
          <w:i/>
          <w:sz w:val="24"/>
          <w:u w:val="single"/>
        </w:rPr>
        <w:t>本项目的清洁生产水平可以达到国内清洁生产先进水平。</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3.5.5 </w:t>
      </w:r>
      <w:r>
        <w:rPr>
          <w:rFonts w:eastAsia="楷体"/>
          <w:b/>
          <w:bCs/>
          <w:szCs w:val="28"/>
        </w:rPr>
        <w:t>持续清洁生产及管理建议</w:t>
      </w:r>
    </w:p>
    <w:p w:rsidR="00240BCE" w:rsidRDefault="00AC0334">
      <w:pPr>
        <w:spacing w:line="500" w:lineRule="exact"/>
        <w:ind w:firstLineChars="200" w:firstLine="480"/>
        <w:rPr>
          <w:sz w:val="24"/>
        </w:rPr>
      </w:pPr>
      <w:r>
        <w:rPr>
          <w:sz w:val="24"/>
        </w:rPr>
        <w:t>企业应不断进行改进和提高，降低电耗、水耗等；推行企业清洁生产审核，寻找</w:t>
      </w:r>
      <w:r>
        <w:rPr>
          <w:sz w:val="24"/>
        </w:rPr>
        <w:lastRenderedPageBreak/>
        <w:t>各个生产环节清洁生产潜力，不断改进和提高。</w:t>
      </w:r>
    </w:p>
    <w:p w:rsidR="00240BCE" w:rsidRDefault="00AC0334">
      <w:pPr>
        <w:spacing w:line="500" w:lineRule="exact"/>
        <w:ind w:firstLineChars="200" w:firstLine="480"/>
        <w:rPr>
          <w:sz w:val="24"/>
        </w:rPr>
      </w:pPr>
      <w:r>
        <w:rPr>
          <w:sz w:val="24"/>
        </w:rPr>
        <w:t>要实现生产的清洁生产，除了采取先进的生产技术与装备外，还要建立有效的环节管理与清洁生产管理制度。</w:t>
      </w:r>
    </w:p>
    <w:p w:rsidR="00240BCE" w:rsidRDefault="00AC0334">
      <w:pPr>
        <w:spacing w:line="500" w:lineRule="exact"/>
        <w:jc w:val="center"/>
        <w:rPr>
          <w:b/>
          <w:sz w:val="24"/>
        </w:rPr>
      </w:pPr>
      <w:r>
        <w:rPr>
          <w:b/>
          <w:sz w:val="24"/>
        </w:rPr>
        <w:t>表</w:t>
      </w:r>
      <w:r>
        <w:rPr>
          <w:b/>
          <w:sz w:val="24"/>
        </w:rPr>
        <w:t xml:space="preserve">3.5-3  </w:t>
      </w:r>
      <w:r>
        <w:rPr>
          <w:b/>
          <w:sz w:val="24"/>
        </w:rPr>
        <w:t>清洁生产环境管理要求一览表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914"/>
        <w:gridCol w:w="3118"/>
        <w:gridCol w:w="4824"/>
      </w:tblGrid>
      <w:tr w:rsidR="00240BCE">
        <w:trPr>
          <w:trHeight w:val="44"/>
          <w:jc w:val="center"/>
        </w:trPr>
        <w:tc>
          <w:tcPr>
            <w:tcW w:w="4032" w:type="dxa"/>
            <w:gridSpan w:val="2"/>
            <w:vAlign w:val="center"/>
          </w:tcPr>
          <w:p w:rsidR="00240BCE" w:rsidRDefault="00AC0334">
            <w:pPr>
              <w:widowControl/>
              <w:spacing w:line="360" w:lineRule="exact"/>
              <w:jc w:val="center"/>
              <w:rPr>
                <w:b/>
                <w:kern w:val="0"/>
                <w:sz w:val="21"/>
                <w:szCs w:val="21"/>
              </w:rPr>
            </w:pPr>
            <w:r>
              <w:rPr>
                <w:b/>
                <w:kern w:val="0"/>
                <w:sz w:val="21"/>
                <w:szCs w:val="21"/>
              </w:rPr>
              <w:t>指标</w:t>
            </w:r>
          </w:p>
        </w:tc>
        <w:tc>
          <w:tcPr>
            <w:tcW w:w="4824" w:type="dxa"/>
            <w:vAlign w:val="center"/>
          </w:tcPr>
          <w:p w:rsidR="00240BCE" w:rsidRDefault="00AC0334">
            <w:pPr>
              <w:widowControl/>
              <w:spacing w:line="360" w:lineRule="exact"/>
              <w:jc w:val="center"/>
              <w:rPr>
                <w:b/>
                <w:kern w:val="0"/>
                <w:sz w:val="21"/>
                <w:szCs w:val="21"/>
              </w:rPr>
            </w:pPr>
            <w:r>
              <w:rPr>
                <w:b/>
                <w:kern w:val="0"/>
                <w:sz w:val="21"/>
                <w:szCs w:val="21"/>
              </w:rPr>
              <w:t>要求</w:t>
            </w:r>
          </w:p>
        </w:tc>
      </w:tr>
      <w:tr w:rsidR="00240BCE">
        <w:trPr>
          <w:trHeight w:val="183"/>
          <w:jc w:val="center"/>
        </w:trPr>
        <w:tc>
          <w:tcPr>
            <w:tcW w:w="4032" w:type="dxa"/>
            <w:gridSpan w:val="2"/>
            <w:vAlign w:val="center"/>
          </w:tcPr>
          <w:p w:rsidR="00240BCE" w:rsidRDefault="00AC0334">
            <w:pPr>
              <w:widowControl/>
              <w:spacing w:line="360" w:lineRule="exact"/>
              <w:rPr>
                <w:kern w:val="0"/>
                <w:sz w:val="21"/>
                <w:szCs w:val="21"/>
              </w:rPr>
            </w:pPr>
            <w:r>
              <w:rPr>
                <w:kern w:val="0"/>
                <w:sz w:val="21"/>
                <w:szCs w:val="21"/>
              </w:rPr>
              <w:t>环保法律、法规和标准指标</w:t>
            </w:r>
          </w:p>
        </w:tc>
        <w:tc>
          <w:tcPr>
            <w:tcW w:w="4824" w:type="dxa"/>
            <w:vAlign w:val="center"/>
          </w:tcPr>
          <w:p w:rsidR="00240BCE" w:rsidRDefault="00AC0334">
            <w:pPr>
              <w:widowControl/>
              <w:spacing w:line="360" w:lineRule="exact"/>
              <w:rPr>
                <w:kern w:val="0"/>
                <w:sz w:val="21"/>
                <w:szCs w:val="21"/>
              </w:rPr>
            </w:pPr>
            <w:r>
              <w:rPr>
                <w:kern w:val="0"/>
                <w:sz w:val="21"/>
                <w:szCs w:val="21"/>
              </w:rPr>
              <w:t>符合国家、地方环境法律、法规，污染物排放达到排放标准、总量控制指标和排污许可证管理要求</w:t>
            </w:r>
          </w:p>
        </w:tc>
      </w:tr>
      <w:tr w:rsidR="00240BCE">
        <w:trPr>
          <w:trHeight w:val="59"/>
          <w:jc w:val="center"/>
        </w:trPr>
        <w:tc>
          <w:tcPr>
            <w:tcW w:w="914" w:type="dxa"/>
            <w:vMerge w:val="restart"/>
            <w:vAlign w:val="center"/>
          </w:tcPr>
          <w:p w:rsidR="00240BCE" w:rsidRDefault="00AC0334">
            <w:pPr>
              <w:widowControl/>
              <w:spacing w:line="360" w:lineRule="exact"/>
              <w:rPr>
                <w:kern w:val="0"/>
                <w:sz w:val="21"/>
                <w:szCs w:val="21"/>
              </w:rPr>
            </w:pPr>
            <w:r>
              <w:rPr>
                <w:kern w:val="0"/>
                <w:sz w:val="21"/>
                <w:szCs w:val="21"/>
              </w:rPr>
              <w:t>生产过程环境管理指标</w:t>
            </w:r>
          </w:p>
        </w:tc>
        <w:tc>
          <w:tcPr>
            <w:tcW w:w="3118" w:type="dxa"/>
            <w:vAlign w:val="center"/>
          </w:tcPr>
          <w:p w:rsidR="00240BCE" w:rsidRDefault="00AC0334">
            <w:pPr>
              <w:widowControl/>
              <w:spacing w:line="360" w:lineRule="exact"/>
              <w:rPr>
                <w:kern w:val="0"/>
                <w:sz w:val="21"/>
                <w:szCs w:val="21"/>
              </w:rPr>
            </w:pPr>
            <w:r>
              <w:rPr>
                <w:kern w:val="0"/>
                <w:sz w:val="21"/>
                <w:szCs w:val="21"/>
              </w:rPr>
              <w:t>开展清洁生产基础和技能培训</w:t>
            </w:r>
          </w:p>
        </w:tc>
        <w:tc>
          <w:tcPr>
            <w:tcW w:w="4824" w:type="dxa"/>
            <w:vAlign w:val="center"/>
          </w:tcPr>
          <w:p w:rsidR="00240BCE" w:rsidRDefault="00AC0334">
            <w:pPr>
              <w:widowControl/>
              <w:spacing w:line="360" w:lineRule="exact"/>
              <w:rPr>
                <w:kern w:val="0"/>
                <w:sz w:val="21"/>
                <w:szCs w:val="21"/>
              </w:rPr>
            </w:pPr>
            <w:r>
              <w:rPr>
                <w:kern w:val="0"/>
                <w:sz w:val="21"/>
                <w:szCs w:val="21"/>
              </w:rPr>
              <w:t>建立员工的清洁生产与环保意识，提高员工落实清洁生产措施的素质</w:t>
            </w:r>
          </w:p>
        </w:tc>
      </w:tr>
      <w:tr w:rsidR="00240BCE">
        <w:trPr>
          <w:trHeight w:val="59"/>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制定清洁生产操作规程</w:t>
            </w:r>
          </w:p>
        </w:tc>
        <w:tc>
          <w:tcPr>
            <w:tcW w:w="4824" w:type="dxa"/>
            <w:vAlign w:val="center"/>
          </w:tcPr>
          <w:p w:rsidR="00240BCE" w:rsidRDefault="00AC0334">
            <w:pPr>
              <w:widowControl/>
              <w:spacing w:line="360" w:lineRule="exact"/>
              <w:rPr>
                <w:kern w:val="0"/>
                <w:sz w:val="21"/>
                <w:szCs w:val="21"/>
              </w:rPr>
            </w:pPr>
            <w:r>
              <w:rPr>
                <w:kern w:val="0"/>
                <w:sz w:val="21"/>
                <w:szCs w:val="21"/>
              </w:rPr>
              <w:t>参照环境管理体系作业文件及同类企业管理经验，规范操作</w:t>
            </w:r>
          </w:p>
        </w:tc>
      </w:tr>
      <w:tr w:rsidR="00240BCE">
        <w:trPr>
          <w:trHeight w:val="397"/>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健全清洁生产管理规章制度</w:t>
            </w:r>
          </w:p>
        </w:tc>
        <w:tc>
          <w:tcPr>
            <w:tcW w:w="4824" w:type="dxa"/>
            <w:vAlign w:val="center"/>
          </w:tcPr>
          <w:p w:rsidR="00240BCE" w:rsidRDefault="00AC0334">
            <w:pPr>
              <w:widowControl/>
              <w:spacing w:line="360" w:lineRule="exact"/>
              <w:rPr>
                <w:kern w:val="0"/>
                <w:sz w:val="21"/>
                <w:szCs w:val="21"/>
              </w:rPr>
            </w:pPr>
            <w:r>
              <w:rPr>
                <w:kern w:val="0"/>
                <w:sz w:val="21"/>
                <w:szCs w:val="21"/>
              </w:rPr>
              <w:t>严格岗位责任制，实施节奖超罚的管理制度</w:t>
            </w:r>
          </w:p>
        </w:tc>
      </w:tr>
      <w:tr w:rsidR="00240BCE">
        <w:trPr>
          <w:trHeight w:val="397"/>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生产设备的使用、维护、检修管理制度</w:t>
            </w:r>
          </w:p>
        </w:tc>
        <w:tc>
          <w:tcPr>
            <w:tcW w:w="4824" w:type="dxa"/>
            <w:vAlign w:val="center"/>
          </w:tcPr>
          <w:p w:rsidR="00240BCE" w:rsidRDefault="00AC0334">
            <w:pPr>
              <w:widowControl/>
              <w:spacing w:line="360" w:lineRule="exact"/>
              <w:rPr>
                <w:kern w:val="0"/>
                <w:sz w:val="21"/>
                <w:szCs w:val="21"/>
              </w:rPr>
            </w:pPr>
            <w:r>
              <w:rPr>
                <w:kern w:val="0"/>
                <w:sz w:val="21"/>
                <w:szCs w:val="21"/>
              </w:rPr>
              <w:t>建立并严格执行完善的管理制度，提高设备利用和使用效果</w:t>
            </w:r>
          </w:p>
        </w:tc>
      </w:tr>
      <w:tr w:rsidR="00240BCE">
        <w:trPr>
          <w:trHeight w:val="397"/>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生产工艺用水、电、气管理</w:t>
            </w:r>
          </w:p>
        </w:tc>
        <w:tc>
          <w:tcPr>
            <w:tcW w:w="4824" w:type="dxa"/>
            <w:vAlign w:val="center"/>
          </w:tcPr>
          <w:p w:rsidR="00240BCE" w:rsidRDefault="00AC0334">
            <w:pPr>
              <w:widowControl/>
              <w:spacing w:line="360" w:lineRule="exact"/>
              <w:rPr>
                <w:kern w:val="0"/>
                <w:sz w:val="21"/>
                <w:szCs w:val="21"/>
              </w:rPr>
            </w:pPr>
            <w:r>
              <w:rPr>
                <w:kern w:val="0"/>
                <w:sz w:val="21"/>
                <w:szCs w:val="21"/>
              </w:rPr>
              <w:t>安装计量仪表，制定严格的定量考核制度</w:t>
            </w:r>
          </w:p>
        </w:tc>
      </w:tr>
      <w:tr w:rsidR="00240BCE">
        <w:trPr>
          <w:trHeight w:val="397"/>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事故、非正常生产状况应急管理</w:t>
            </w:r>
          </w:p>
        </w:tc>
        <w:tc>
          <w:tcPr>
            <w:tcW w:w="4824" w:type="dxa"/>
            <w:vAlign w:val="center"/>
          </w:tcPr>
          <w:p w:rsidR="00240BCE" w:rsidRDefault="00AC0334">
            <w:pPr>
              <w:widowControl/>
              <w:spacing w:line="360" w:lineRule="exact"/>
              <w:rPr>
                <w:kern w:val="0"/>
                <w:sz w:val="21"/>
                <w:szCs w:val="21"/>
              </w:rPr>
            </w:pPr>
            <w:r>
              <w:rPr>
                <w:kern w:val="0"/>
                <w:sz w:val="21"/>
                <w:szCs w:val="21"/>
              </w:rPr>
              <w:t>有具体的应急预案</w:t>
            </w:r>
          </w:p>
        </w:tc>
      </w:tr>
      <w:tr w:rsidR="00240BCE">
        <w:trPr>
          <w:trHeight w:val="397"/>
          <w:jc w:val="center"/>
        </w:trPr>
        <w:tc>
          <w:tcPr>
            <w:tcW w:w="914" w:type="dxa"/>
            <w:vMerge w:val="restart"/>
            <w:vAlign w:val="center"/>
          </w:tcPr>
          <w:p w:rsidR="00240BCE" w:rsidRDefault="00AC0334">
            <w:pPr>
              <w:widowControl/>
              <w:spacing w:line="360" w:lineRule="exact"/>
              <w:rPr>
                <w:kern w:val="0"/>
                <w:sz w:val="21"/>
                <w:szCs w:val="21"/>
              </w:rPr>
            </w:pPr>
            <w:r>
              <w:rPr>
                <w:kern w:val="0"/>
                <w:sz w:val="21"/>
                <w:szCs w:val="21"/>
              </w:rPr>
              <w:t>环境管理机构制度指标</w:t>
            </w:r>
          </w:p>
        </w:tc>
        <w:tc>
          <w:tcPr>
            <w:tcW w:w="3118" w:type="dxa"/>
            <w:vAlign w:val="center"/>
          </w:tcPr>
          <w:p w:rsidR="00240BCE" w:rsidRDefault="00AC0334">
            <w:pPr>
              <w:widowControl/>
              <w:spacing w:line="360" w:lineRule="exact"/>
              <w:rPr>
                <w:kern w:val="0"/>
                <w:sz w:val="21"/>
                <w:szCs w:val="21"/>
              </w:rPr>
            </w:pPr>
            <w:r>
              <w:rPr>
                <w:kern w:val="0"/>
                <w:sz w:val="21"/>
                <w:szCs w:val="21"/>
              </w:rPr>
              <w:t>环境管理机构</w:t>
            </w:r>
          </w:p>
        </w:tc>
        <w:tc>
          <w:tcPr>
            <w:tcW w:w="4824" w:type="dxa"/>
            <w:vAlign w:val="center"/>
          </w:tcPr>
          <w:p w:rsidR="00240BCE" w:rsidRDefault="00AC0334">
            <w:pPr>
              <w:widowControl/>
              <w:spacing w:line="360" w:lineRule="exact"/>
              <w:rPr>
                <w:kern w:val="0"/>
                <w:sz w:val="21"/>
                <w:szCs w:val="21"/>
              </w:rPr>
            </w:pPr>
            <w:r>
              <w:rPr>
                <w:kern w:val="0"/>
                <w:sz w:val="21"/>
                <w:szCs w:val="21"/>
              </w:rPr>
              <w:t>设专门的环境管理机构和专职管理人员</w:t>
            </w:r>
          </w:p>
        </w:tc>
      </w:tr>
      <w:tr w:rsidR="00240BCE">
        <w:trPr>
          <w:trHeight w:val="397"/>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环境管理制度</w:t>
            </w:r>
          </w:p>
        </w:tc>
        <w:tc>
          <w:tcPr>
            <w:tcW w:w="4824" w:type="dxa"/>
            <w:vAlign w:val="center"/>
          </w:tcPr>
          <w:p w:rsidR="00240BCE" w:rsidRDefault="00AC0334">
            <w:pPr>
              <w:widowControl/>
              <w:spacing w:line="360" w:lineRule="exact"/>
              <w:rPr>
                <w:kern w:val="0"/>
                <w:sz w:val="21"/>
                <w:szCs w:val="21"/>
              </w:rPr>
            </w:pPr>
            <w:r>
              <w:rPr>
                <w:kern w:val="0"/>
                <w:sz w:val="21"/>
                <w:szCs w:val="21"/>
              </w:rPr>
              <w:t>按照</w:t>
            </w:r>
            <w:r>
              <w:rPr>
                <w:kern w:val="0"/>
                <w:sz w:val="21"/>
                <w:szCs w:val="21"/>
              </w:rPr>
              <w:t>ISO14001</w:t>
            </w:r>
            <w:r>
              <w:rPr>
                <w:kern w:val="0"/>
                <w:sz w:val="21"/>
                <w:szCs w:val="21"/>
              </w:rPr>
              <w:t>建立并运行环境管理体系，环境管理手册、程序文件及作业文件齐备</w:t>
            </w:r>
          </w:p>
        </w:tc>
      </w:tr>
      <w:tr w:rsidR="00240BCE">
        <w:trPr>
          <w:trHeight w:val="397"/>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环境管理计划及规划</w:t>
            </w:r>
          </w:p>
        </w:tc>
        <w:tc>
          <w:tcPr>
            <w:tcW w:w="4824" w:type="dxa"/>
            <w:vAlign w:val="center"/>
          </w:tcPr>
          <w:p w:rsidR="00240BCE" w:rsidRDefault="00AC0334">
            <w:pPr>
              <w:widowControl/>
              <w:spacing w:line="360" w:lineRule="exact"/>
              <w:rPr>
                <w:kern w:val="0"/>
                <w:sz w:val="21"/>
                <w:szCs w:val="21"/>
              </w:rPr>
            </w:pPr>
            <w:r>
              <w:rPr>
                <w:kern w:val="0"/>
                <w:sz w:val="21"/>
                <w:szCs w:val="21"/>
              </w:rPr>
              <w:t>制定近、远期管理计划、水土保持规划、土地复垦规划和矿山关闭规划，并监督实施</w:t>
            </w:r>
          </w:p>
        </w:tc>
      </w:tr>
      <w:tr w:rsidR="00240BCE">
        <w:trPr>
          <w:trHeight w:val="397"/>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环保设施的运行管理</w:t>
            </w:r>
          </w:p>
        </w:tc>
        <w:tc>
          <w:tcPr>
            <w:tcW w:w="4824" w:type="dxa"/>
            <w:vAlign w:val="center"/>
          </w:tcPr>
          <w:p w:rsidR="00240BCE" w:rsidRDefault="00AC0334">
            <w:pPr>
              <w:widowControl/>
              <w:spacing w:line="360" w:lineRule="exact"/>
              <w:rPr>
                <w:kern w:val="0"/>
                <w:sz w:val="21"/>
                <w:szCs w:val="21"/>
              </w:rPr>
            </w:pPr>
            <w:r>
              <w:rPr>
                <w:kern w:val="0"/>
                <w:sz w:val="21"/>
                <w:szCs w:val="21"/>
              </w:rPr>
              <w:t>记录运行数据，并建立环保档案</w:t>
            </w:r>
          </w:p>
        </w:tc>
      </w:tr>
      <w:tr w:rsidR="00240BCE">
        <w:trPr>
          <w:trHeight w:val="397"/>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污染源监测系统</w:t>
            </w:r>
          </w:p>
        </w:tc>
        <w:tc>
          <w:tcPr>
            <w:tcW w:w="4824" w:type="dxa"/>
            <w:vAlign w:val="center"/>
          </w:tcPr>
          <w:p w:rsidR="00240BCE" w:rsidRDefault="00AC0334">
            <w:pPr>
              <w:widowControl/>
              <w:spacing w:line="360" w:lineRule="exact"/>
              <w:rPr>
                <w:kern w:val="0"/>
                <w:sz w:val="21"/>
                <w:szCs w:val="21"/>
              </w:rPr>
            </w:pPr>
            <w:r>
              <w:rPr>
                <w:kern w:val="0"/>
                <w:sz w:val="21"/>
                <w:szCs w:val="21"/>
              </w:rPr>
              <w:t>对水、气、声等主要污染源、主要污染物均应具备监测手段</w:t>
            </w:r>
          </w:p>
        </w:tc>
      </w:tr>
      <w:tr w:rsidR="00240BCE">
        <w:trPr>
          <w:trHeight w:val="397"/>
          <w:jc w:val="center"/>
        </w:trPr>
        <w:tc>
          <w:tcPr>
            <w:tcW w:w="914" w:type="dxa"/>
            <w:vMerge/>
            <w:vAlign w:val="center"/>
          </w:tcPr>
          <w:p w:rsidR="00240BCE" w:rsidRDefault="00240BCE">
            <w:pPr>
              <w:spacing w:line="360" w:lineRule="exact"/>
              <w:ind w:firstLine="516"/>
              <w:rPr>
                <w:spacing w:val="24"/>
                <w:sz w:val="21"/>
                <w:szCs w:val="21"/>
              </w:rPr>
            </w:pPr>
          </w:p>
        </w:tc>
        <w:tc>
          <w:tcPr>
            <w:tcW w:w="3118" w:type="dxa"/>
            <w:vAlign w:val="center"/>
          </w:tcPr>
          <w:p w:rsidR="00240BCE" w:rsidRDefault="00AC0334">
            <w:pPr>
              <w:widowControl/>
              <w:spacing w:line="360" w:lineRule="exact"/>
              <w:rPr>
                <w:kern w:val="0"/>
                <w:sz w:val="21"/>
                <w:szCs w:val="21"/>
              </w:rPr>
            </w:pPr>
            <w:r>
              <w:rPr>
                <w:kern w:val="0"/>
                <w:sz w:val="21"/>
                <w:szCs w:val="21"/>
              </w:rPr>
              <w:t>信息交流</w:t>
            </w:r>
          </w:p>
        </w:tc>
        <w:tc>
          <w:tcPr>
            <w:tcW w:w="4824" w:type="dxa"/>
            <w:vAlign w:val="center"/>
          </w:tcPr>
          <w:p w:rsidR="00240BCE" w:rsidRDefault="00AC0334">
            <w:pPr>
              <w:widowControl/>
              <w:spacing w:line="360" w:lineRule="exact"/>
              <w:rPr>
                <w:kern w:val="0"/>
                <w:sz w:val="21"/>
                <w:szCs w:val="21"/>
              </w:rPr>
            </w:pPr>
            <w:r>
              <w:rPr>
                <w:kern w:val="0"/>
                <w:sz w:val="21"/>
                <w:szCs w:val="21"/>
              </w:rPr>
              <w:t>具备计算机网络化管理系统</w:t>
            </w:r>
          </w:p>
        </w:tc>
      </w:tr>
      <w:tr w:rsidR="00240BCE">
        <w:trPr>
          <w:trHeight w:val="397"/>
          <w:jc w:val="center"/>
        </w:trPr>
        <w:tc>
          <w:tcPr>
            <w:tcW w:w="914" w:type="dxa"/>
            <w:vAlign w:val="center"/>
          </w:tcPr>
          <w:p w:rsidR="00240BCE" w:rsidRDefault="00AC0334">
            <w:pPr>
              <w:widowControl/>
              <w:spacing w:line="360" w:lineRule="exact"/>
              <w:rPr>
                <w:kern w:val="0"/>
                <w:sz w:val="21"/>
                <w:szCs w:val="21"/>
              </w:rPr>
            </w:pPr>
            <w:r>
              <w:rPr>
                <w:kern w:val="0"/>
                <w:sz w:val="21"/>
                <w:szCs w:val="21"/>
              </w:rPr>
              <w:t>相关环境管理指标</w:t>
            </w:r>
          </w:p>
        </w:tc>
        <w:tc>
          <w:tcPr>
            <w:tcW w:w="3118" w:type="dxa"/>
            <w:vAlign w:val="center"/>
          </w:tcPr>
          <w:p w:rsidR="00240BCE" w:rsidRDefault="00AC0334">
            <w:pPr>
              <w:widowControl/>
              <w:spacing w:line="360" w:lineRule="exact"/>
              <w:rPr>
                <w:kern w:val="0"/>
                <w:sz w:val="21"/>
                <w:szCs w:val="21"/>
              </w:rPr>
            </w:pPr>
            <w:r>
              <w:rPr>
                <w:kern w:val="0"/>
                <w:sz w:val="21"/>
                <w:szCs w:val="21"/>
              </w:rPr>
              <w:t>原辅料供应方、协作方、服务方</w:t>
            </w:r>
          </w:p>
        </w:tc>
        <w:tc>
          <w:tcPr>
            <w:tcW w:w="4824" w:type="dxa"/>
            <w:vAlign w:val="center"/>
          </w:tcPr>
          <w:p w:rsidR="00240BCE" w:rsidRDefault="00AC0334">
            <w:pPr>
              <w:widowControl/>
              <w:spacing w:line="360" w:lineRule="exact"/>
              <w:rPr>
                <w:kern w:val="0"/>
                <w:sz w:val="21"/>
                <w:szCs w:val="21"/>
              </w:rPr>
            </w:pPr>
            <w:r>
              <w:rPr>
                <w:kern w:val="0"/>
                <w:sz w:val="21"/>
                <w:szCs w:val="21"/>
              </w:rPr>
              <w:t>服务协议中要明确原辅料的包装、运输、装卸等过程中的安全环保要求</w:t>
            </w:r>
          </w:p>
        </w:tc>
      </w:tr>
    </w:tbl>
    <w:p w:rsidR="00240BCE" w:rsidRDefault="00240BCE">
      <w:pPr>
        <w:spacing w:line="500" w:lineRule="exact"/>
        <w:ind w:firstLineChars="200" w:firstLine="480"/>
        <w:rPr>
          <w:sz w:val="24"/>
        </w:rPr>
      </w:pPr>
    </w:p>
    <w:p w:rsidR="00240BCE" w:rsidRDefault="00AC0334">
      <w:pPr>
        <w:pStyle w:val="1"/>
        <w:spacing w:before="120" w:after="120" w:line="360" w:lineRule="auto"/>
        <w:jc w:val="center"/>
        <w:rPr>
          <w:rFonts w:eastAsia="黑体"/>
          <w:b w:val="0"/>
          <w:bCs w:val="0"/>
          <w:spacing w:val="2"/>
          <w:sz w:val="36"/>
          <w:szCs w:val="36"/>
        </w:rPr>
      </w:pPr>
      <w:r>
        <w:rPr>
          <w:spacing w:val="2"/>
          <w:sz w:val="36"/>
          <w:szCs w:val="36"/>
        </w:rPr>
        <w:br w:type="page"/>
      </w:r>
      <w:bookmarkStart w:id="308" w:name="_Toc143941661"/>
      <w:bookmarkStart w:id="309" w:name="_Toc148262248"/>
      <w:bookmarkStart w:id="310" w:name="_Toc79668656"/>
      <w:bookmarkStart w:id="311" w:name="_Toc81934376"/>
      <w:r>
        <w:rPr>
          <w:rFonts w:eastAsia="黑体"/>
          <w:b w:val="0"/>
          <w:bCs w:val="0"/>
          <w:sz w:val="36"/>
          <w:szCs w:val="36"/>
        </w:rPr>
        <w:lastRenderedPageBreak/>
        <w:t xml:space="preserve">4 </w:t>
      </w:r>
      <w:r>
        <w:rPr>
          <w:rFonts w:eastAsia="黑体"/>
          <w:b w:val="0"/>
          <w:bCs w:val="0"/>
          <w:sz w:val="36"/>
          <w:szCs w:val="36"/>
        </w:rPr>
        <w:t>建设项目区域环境概况</w:t>
      </w:r>
      <w:bookmarkEnd w:id="308"/>
      <w:bookmarkEnd w:id="309"/>
      <w:bookmarkEnd w:id="310"/>
      <w:bookmarkEnd w:id="311"/>
    </w:p>
    <w:p w:rsidR="00240BCE" w:rsidRDefault="00AC0334" w:rsidP="009C5F33">
      <w:pPr>
        <w:pStyle w:val="22CharTimesNewRoman12"/>
        <w:adjustRightInd w:val="0"/>
        <w:snapToGrid w:val="0"/>
        <w:spacing w:beforeLines="100" w:line="240" w:lineRule="auto"/>
        <w:rPr>
          <w:rFonts w:cs="Times New Roman"/>
          <w:sz w:val="32"/>
          <w:szCs w:val="32"/>
        </w:rPr>
      </w:pPr>
      <w:bookmarkStart w:id="312" w:name="_Toc143941662"/>
      <w:bookmarkStart w:id="313" w:name="_Toc148262249"/>
      <w:bookmarkStart w:id="314" w:name="_Toc79668657"/>
      <w:bookmarkStart w:id="315" w:name="_Toc81934377"/>
      <w:r>
        <w:rPr>
          <w:rFonts w:cs="Times New Roman"/>
          <w:sz w:val="32"/>
          <w:szCs w:val="32"/>
        </w:rPr>
        <w:t xml:space="preserve">4.1 </w:t>
      </w:r>
      <w:r>
        <w:rPr>
          <w:rFonts w:cs="Times New Roman"/>
          <w:sz w:val="32"/>
          <w:szCs w:val="32"/>
        </w:rPr>
        <w:t>区域自然环境</w:t>
      </w:r>
      <w:bookmarkEnd w:id="312"/>
      <w:bookmarkEnd w:id="313"/>
      <w:r>
        <w:rPr>
          <w:rFonts w:cs="Times New Roman"/>
          <w:sz w:val="32"/>
          <w:szCs w:val="32"/>
        </w:rPr>
        <w:t>概况</w:t>
      </w:r>
      <w:bookmarkEnd w:id="314"/>
      <w:bookmarkEnd w:id="315"/>
    </w:p>
    <w:p w:rsidR="00240BCE" w:rsidRDefault="00AC0334" w:rsidP="009C5F33">
      <w:pPr>
        <w:pStyle w:val="30"/>
        <w:adjustRightInd w:val="0"/>
        <w:snapToGrid w:val="0"/>
        <w:spacing w:beforeLines="70" w:afterLines="30" w:line="240" w:lineRule="auto"/>
        <w:jc w:val="left"/>
        <w:rPr>
          <w:rFonts w:eastAsia="楷体"/>
          <w:sz w:val="28"/>
          <w:szCs w:val="28"/>
        </w:rPr>
      </w:pPr>
      <w:bookmarkStart w:id="316" w:name="_Toc143941663"/>
      <w:bookmarkStart w:id="317" w:name="_Toc148262250"/>
      <w:bookmarkStart w:id="318" w:name="_Toc79668658"/>
      <w:r>
        <w:rPr>
          <w:rFonts w:eastAsia="楷体"/>
          <w:sz w:val="28"/>
          <w:szCs w:val="28"/>
        </w:rPr>
        <w:t xml:space="preserve">4.1.1 </w:t>
      </w:r>
      <w:bookmarkEnd w:id="316"/>
      <w:bookmarkEnd w:id="317"/>
      <w:r>
        <w:rPr>
          <w:rFonts w:eastAsia="楷体"/>
          <w:sz w:val="28"/>
          <w:szCs w:val="28"/>
        </w:rPr>
        <w:t>地形地貌</w:t>
      </w:r>
      <w:bookmarkEnd w:id="318"/>
    </w:p>
    <w:p w:rsidR="00240BCE" w:rsidRDefault="00AC0334">
      <w:pPr>
        <w:spacing w:line="520" w:lineRule="exact"/>
        <w:ind w:firstLineChars="200" w:firstLine="480"/>
        <w:rPr>
          <w:sz w:val="24"/>
        </w:rPr>
      </w:pPr>
      <w:r>
        <w:rPr>
          <w:sz w:val="24"/>
        </w:rPr>
        <w:t>禹州市处于伏牛山余脉与豫东南平原的交接部位，北部、西部为山地丘陵，中部和东南部为冲积平原，整个地势由西北向东南倾斜。境内海拔最高点</w:t>
      </w:r>
      <w:r>
        <w:rPr>
          <w:sz w:val="24"/>
        </w:rPr>
        <w:t>(</w:t>
      </w:r>
      <w:r>
        <w:rPr>
          <w:sz w:val="24"/>
        </w:rPr>
        <w:t>西大洪寨山</w:t>
      </w:r>
      <w:r>
        <w:rPr>
          <w:sz w:val="24"/>
        </w:rPr>
        <w:t>)1150.6m</w:t>
      </w:r>
      <w:r>
        <w:rPr>
          <w:sz w:val="24"/>
        </w:rPr>
        <w:t>，最低点</w:t>
      </w:r>
      <w:r>
        <w:rPr>
          <w:sz w:val="24"/>
        </w:rPr>
        <w:t>(</w:t>
      </w:r>
      <w:hyperlink r:id="rId19" w:history="1">
        <w:r>
          <w:rPr>
            <w:rStyle w:val="15f"/>
            <w:color w:val="auto"/>
            <w:sz w:val="24"/>
            <w:u w:val="none"/>
          </w:rPr>
          <w:t>范坡镇</w:t>
        </w:r>
      </w:hyperlink>
      <w:r>
        <w:rPr>
          <w:sz w:val="24"/>
        </w:rPr>
        <w:t>新前一带</w:t>
      </w:r>
      <w:r>
        <w:rPr>
          <w:sz w:val="24"/>
        </w:rPr>
        <w:t>)92.3m</w:t>
      </w:r>
      <w:r>
        <w:rPr>
          <w:sz w:val="24"/>
        </w:rPr>
        <w:t>。地貌类型主要有山地、丘陵、岗地和平原。其中平原占</w:t>
      </w:r>
      <w:r>
        <w:rPr>
          <w:sz w:val="24"/>
        </w:rPr>
        <w:t>40.8%</w:t>
      </w:r>
      <w:r>
        <w:rPr>
          <w:sz w:val="24"/>
        </w:rPr>
        <w:t>，岗地占</w:t>
      </w:r>
      <w:r>
        <w:rPr>
          <w:sz w:val="24"/>
        </w:rPr>
        <w:t>30.6%</w:t>
      </w:r>
      <w:r>
        <w:rPr>
          <w:sz w:val="24"/>
        </w:rPr>
        <w:t>，丘陵占</w:t>
      </w:r>
      <w:r>
        <w:rPr>
          <w:sz w:val="24"/>
        </w:rPr>
        <w:t>14.7%</w:t>
      </w:r>
      <w:r>
        <w:rPr>
          <w:sz w:val="24"/>
        </w:rPr>
        <w:t>，山地占</w:t>
      </w:r>
      <w:r>
        <w:rPr>
          <w:sz w:val="24"/>
        </w:rPr>
        <w:t>13.9%</w:t>
      </w:r>
      <w:r>
        <w:rPr>
          <w:sz w:val="24"/>
        </w:rPr>
        <w:t>。</w:t>
      </w:r>
    </w:p>
    <w:p w:rsidR="00240BCE" w:rsidRDefault="00AC0334">
      <w:pPr>
        <w:spacing w:line="520" w:lineRule="exact"/>
        <w:ind w:firstLineChars="200" w:firstLine="480"/>
        <w:rPr>
          <w:bCs/>
          <w:color w:val="000000"/>
          <w:sz w:val="24"/>
        </w:rPr>
      </w:pPr>
      <w:r>
        <w:rPr>
          <w:bCs/>
          <w:color w:val="000000"/>
          <w:sz w:val="24"/>
        </w:rPr>
        <w:t>矿区属丘陵地貌。总体地势为北西、南东高，中间低，最高点位于井田范围</w:t>
      </w:r>
      <w:r>
        <w:rPr>
          <w:bCs/>
          <w:color w:val="000000"/>
          <w:sz w:val="24"/>
        </w:rPr>
        <w:t>8</w:t>
      </w:r>
      <w:r>
        <w:rPr>
          <w:bCs/>
          <w:color w:val="000000"/>
          <w:sz w:val="24"/>
        </w:rPr>
        <w:t>号拐点西，标高</w:t>
      </w:r>
      <w:r>
        <w:rPr>
          <w:bCs/>
          <w:color w:val="000000"/>
          <w:sz w:val="24"/>
        </w:rPr>
        <w:t>+422.50m</w:t>
      </w:r>
      <w:r>
        <w:rPr>
          <w:bCs/>
          <w:color w:val="000000"/>
          <w:sz w:val="24"/>
        </w:rPr>
        <w:t>，最低点位于本区东边界的河床中，标高</w:t>
      </w:r>
      <w:r>
        <w:rPr>
          <w:bCs/>
          <w:color w:val="000000"/>
          <w:sz w:val="24"/>
        </w:rPr>
        <w:t>+260m</w:t>
      </w:r>
      <w:r>
        <w:rPr>
          <w:bCs/>
          <w:color w:val="000000"/>
          <w:sz w:val="24"/>
        </w:rPr>
        <w:t>，相对高差</w:t>
      </w:r>
      <w:r>
        <w:rPr>
          <w:bCs/>
          <w:color w:val="000000"/>
          <w:sz w:val="24"/>
        </w:rPr>
        <w:t>+162.50m</w:t>
      </w:r>
      <w:r>
        <w:rPr>
          <w:bCs/>
          <w:color w:val="000000"/>
          <w:sz w:val="24"/>
        </w:rPr>
        <w:t>。区内除南东边界附近海拔达</w:t>
      </w:r>
      <w:r>
        <w:rPr>
          <w:bCs/>
          <w:color w:val="000000"/>
          <w:sz w:val="24"/>
        </w:rPr>
        <w:t>400m</w:t>
      </w:r>
      <w:r>
        <w:rPr>
          <w:bCs/>
          <w:color w:val="000000"/>
          <w:sz w:val="24"/>
        </w:rPr>
        <w:t>外，其余一般海拔</w:t>
      </w:r>
      <w:r>
        <w:rPr>
          <w:bCs/>
          <w:color w:val="000000"/>
          <w:sz w:val="24"/>
        </w:rPr>
        <w:t>280m</w:t>
      </w:r>
      <w:r>
        <w:rPr>
          <w:bCs/>
          <w:color w:val="000000"/>
          <w:sz w:val="24"/>
        </w:rPr>
        <w:t>左右，地势较平坦。</w:t>
      </w:r>
    </w:p>
    <w:p w:rsidR="00240BCE" w:rsidRDefault="00AC0334" w:rsidP="009C5F33">
      <w:pPr>
        <w:pStyle w:val="30"/>
        <w:adjustRightInd w:val="0"/>
        <w:snapToGrid w:val="0"/>
        <w:spacing w:beforeLines="70" w:afterLines="30" w:line="240" w:lineRule="auto"/>
        <w:jc w:val="left"/>
        <w:rPr>
          <w:rFonts w:eastAsia="楷体"/>
          <w:sz w:val="28"/>
          <w:szCs w:val="28"/>
        </w:rPr>
      </w:pPr>
      <w:bookmarkStart w:id="319" w:name="_Toc143941665"/>
      <w:bookmarkStart w:id="320" w:name="_Toc148262252"/>
      <w:bookmarkStart w:id="321" w:name="_Toc79668659"/>
      <w:r>
        <w:rPr>
          <w:rFonts w:eastAsia="楷体"/>
          <w:sz w:val="28"/>
          <w:szCs w:val="28"/>
        </w:rPr>
        <w:t xml:space="preserve">4.1.2 </w:t>
      </w:r>
      <w:r>
        <w:rPr>
          <w:rFonts w:eastAsia="楷体"/>
          <w:sz w:val="28"/>
          <w:szCs w:val="28"/>
        </w:rPr>
        <w:t>地表水系</w:t>
      </w:r>
      <w:bookmarkEnd w:id="319"/>
      <w:bookmarkEnd w:id="320"/>
      <w:bookmarkEnd w:id="321"/>
    </w:p>
    <w:p w:rsidR="00240BCE" w:rsidRDefault="00AC0334">
      <w:pPr>
        <w:spacing w:line="520" w:lineRule="exact"/>
        <w:ind w:firstLineChars="200" w:firstLine="480"/>
        <w:rPr>
          <w:sz w:val="24"/>
        </w:rPr>
      </w:pPr>
      <w:r>
        <w:rPr>
          <w:sz w:val="24"/>
        </w:rPr>
        <w:t>禹州市属淮河流域沙颍河水系，颍河是流经禹州境内的最大河流，发源于登封，经白沙水库流入禹州市境，干流自西北向东南贯穿全境中部，流经花石、顺店、火龙、朱阁、城关、褚河、范坡等乡镇，在范坡乡董庄村注入襄城县境。禹州境内河流长度</w:t>
      </w:r>
      <w:r>
        <w:rPr>
          <w:sz w:val="24"/>
        </w:rPr>
        <w:t>59.5km</w:t>
      </w:r>
      <w:r>
        <w:rPr>
          <w:sz w:val="24"/>
        </w:rPr>
        <w:t>，流域面积</w:t>
      </w:r>
      <w:r>
        <w:rPr>
          <w:sz w:val="24"/>
        </w:rPr>
        <w:t>869km</w:t>
      </w:r>
      <w:r>
        <w:rPr>
          <w:sz w:val="24"/>
          <w:vertAlign w:val="superscript"/>
        </w:rPr>
        <w:t>2</w:t>
      </w:r>
      <w:r>
        <w:rPr>
          <w:sz w:val="24"/>
        </w:rPr>
        <w:t>，其主要支流有磨河、龙潭河、书堂河、下宋河、</w:t>
      </w:r>
      <w:r>
        <w:rPr>
          <w:b/>
          <w:bCs/>
          <w:sz w:val="24"/>
        </w:rPr>
        <w:t>涌泉河</w:t>
      </w:r>
      <w:r>
        <w:rPr>
          <w:sz w:val="24"/>
        </w:rPr>
        <w:t>、潘家河等</w:t>
      </w:r>
      <w:r>
        <w:rPr>
          <w:sz w:val="24"/>
        </w:rPr>
        <w:t xml:space="preserve">6 </w:t>
      </w:r>
      <w:r>
        <w:rPr>
          <w:sz w:val="24"/>
        </w:rPr>
        <w:t>条河流；属北汝河支流的有兰河、肖河、青龙河等</w:t>
      </w:r>
      <w:r>
        <w:rPr>
          <w:sz w:val="24"/>
        </w:rPr>
        <w:t xml:space="preserve"> 3 </w:t>
      </w:r>
      <w:r>
        <w:rPr>
          <w:sz w:val="24"/>
        </w:rPr>
        <w:t>条河流，此外还有小泥河、石粱河等。</w:t>
      </w:r>
    </w:p>
    <w:p w:rsidR="00240BCE" w:rsidRDefault="00AC0334">
      <w:pPr>
        <w:spacing w:line="520" w:lineRule="exact"/>
        <w:ind w:firstLineChars="200" w:firstLine="480"/>
        <w:rPr>
          <w:sz w:val="24"/>
        </w:rPr>
      </w:pPr>
      <w:r>
        <w:rPr>
          <w:sz w:val="24"/>
        </w:rPr>
        <w:t>涌泉河为</w:t>
      </w:r>
      <w:hyperlink r:id="rId20" w:tgtFrame="_blank" w:history="1">
        <w:r>
          <w:rPr>
            <w:sz w:val="24"/>
          </w:rPr>
          <w:t>禹州</w:t>
        </w:r>
      </w:hyperlink>
      <w:r>
        <w:rPr>
          <w:sz w:val="24"/>
        </w:rPr>
        <w:t>市境第二大</w:t>
      </w:r>
      <w:hyperlink r:id="rId21" w:tgtFrame="_blank" w:history="1">
        <w:r>
          <w:rPr>
            <w:sz w:val="24"/>
          </w:rPr>
          <w:t>河流</w:t>
        </w:r>
      </w:hyperlink>
      <w:r>
        <w:rPr>
          <w:sz w:val="24"/>
        </w:rPr>
        <w:t>，发源于河南省禹州市</w:t>
      </w:r>
      <w:hyperlink r:id="rId22" w:tgtFrame="_blank" w:history="1">
        <w:r>
          <w:rPr>
            <w:sz w:val="24"/>
          </w:rPr>
          <w:t>鸠山镇</w:t>
        </w:r>
      </w:hyperlink>
      <w:r>
        <w:rPr>
          <w:sz w:val="24"/>
        </w:rPr>
        <w:t>西大洪寨（</w:t>
      </w:r>
      <w:hyperlink r:id="rId23" w:tgtFrame="_blank" w:history="1">
        <w:r>
          <w:rPr>
            <w:sz w:val="24"/>
          </w:rPr>
          <w:t>大鸿寨</w:t>
        </w:r>
      </w:hyperlink>
      <w:r>
        <w:rPr>
          <w:sz w:val="24"/>
        </w:rPr>
        <w:t>）山南界岭，自西向东流经鸠山乡注入纸坊水库，再东流经马楼、南袁庄，在谷水河注颍河。全长</w:t>
      </w:r>
      <w:r>
        <w:rPr>
          <w:sz w:val="24"/>
        </w:rPr>
        <w:t>32</w:t>
      </w:r>
      <w:r>
        <w:rPr>
          <w:sz w:val="24"/>
        </w:rPr>
        <w:t>公里，流域面积</w:t>
      </w:r>
      <w:r>
        <w:rPr>
          <w:sz w:val="24"/>
        </w:rPr>
        <w:t>188.7</w:t>
      </w:r>
      <w:r>
        <w:rPr>
          <w:sz w:val="24"/>
        </w:rPr>
        <w:t>平方公里。</w:t>
      </w:r>
    </w:p>
    <w:p w:rsidR="00240BCE" w:rsidRDefault="00AC0334">
      <w:pPr>
        <w:spacing w:line="520" w:lineRule="exact"/>
        <w:ind w:firstLineChars="200" w:firstLine="480"/>
        <w:rPr>
          <w:sz w:val="24"/>
        </w:rPr>
      </w:pPr>
      <w:r>
        <w:rPr>
          <w:sz w:val="24"/>
        </w:rPr>
        <w:t>纸坊水库位于涌泉河上，水库于</w:t>
      </w:r>
      <w:r>
        <w:rPr>
          <w:sz w:val="24"/>
        </w:rPr>
        <w:t>1959</w:t>
      </w:r>
      <w:r>
        <w:rPr>
          <w:sz w:val="24"/>
        </w:rPr>
        <w:t>年建成，由大坝、溢洪道、输水洞等组成，最大坝高</w:t>
      </w:r>
      <w:r>
        <w:rPr>
          <w:sz w:val="24"/>
        </w:rPr>
        <w:t>41.5m</w:t>
      </w:r>
      <w:r>
        <w:rPr>
          <w:sz w:val="24"/>
        </w:rPr>
        <w:t>，总库容</w:t>
      </w:r>
      <w:r>
        <w:rPr>
          <w:sz w:val="24"/>
        </w:rPr>
        <w:t>4425.5</w:t>
      </w:r>
      <w:r>
        <w:rPr>
          <w:sz w:val="24"/>
        </w:rPr>
        <w:t>万</w:t>
      </w:r>
      <w:r>
        <w:rPr>
          <w:sz w:val="24"/>
        </w:rPr>
        <w:t>m</w:t>
      </w:r>
      <w:r>
        <w:rPr>
          <w:sz w:val="24"/>
          <w:vertAlign w:val="superscript"/>
        </w:rPr>
        <w:t>3</w:t>
      </w:r>
      <w:r>
        <w:rPr>
          <w:sz w:val="24"/>
        </w:rPr>
        <w:t>，是一座以防洪、灌溉为主的中型水库。</w:t>
      </w:r>
    </w:p>
    <w:p w:rsidR="00240BCE" w:rsidRDefault="00AC0334">
      <w:pPr>
        <w:spacing w:line="520" w:lineRule="exact"/>
        <w:ind w:firstLineChars="200" w:firstLine="480"/>
        <w:rPr>
          <w:sz w:val="21"/>
          <w:szCs w:val="21"/>
        </w:rPr>
      </w:pPr>
      <w:r>
        <w:rPr>
          <w:sz w:val="24"/>
        </w:rPr>
        <w:lastRenderedPageBreak/>
        <w:t>项目所在区域内的主要河流为涌泉河及其支流赵沟河，属于颍河支流，均为季节性河流。本项目排水去向为：工业广场总排口</w:t>
      </w:r>
      <w:r>
        <w:rPr>
          <w:sz w:val="24"/>
        </w:rPr>
        <w:t>→251m</w:t>
      </w:r>
      <w:r>
        <w:rPr>
          <w:sz w:val="24"/>
        </w:rPr>
        <w:t>排水沟</w:t>
      </w:r>
      <w:r>
        <w:rPr>
          <w:sz w:val="24"/>
        </w:rPr>
        <w:t>→</w:t>
      </w:r>
      <w:r>
        <w:rPr>
          <w:sz w:val="24"/>
        </w:rPr>
        <w:t>赵沟河</w:t>
      </w:r>
      <w:r>
        <w:rPr>
          <w:sz w:val="24"/>
        </w:rPr>
        <w:t>2.1km→</w:t>
      </w:r>
      <w:r>
        <w:rPr>
          <w:sz w:val="24"/>
        </w:rPr>
        <w:t>涌泉河</w:t>
      </w:r>
      <w:r>
        <w:rPr>
          <w:sz w:val="24"/>
        </w:rPr>
        <w:t>3.0km→</w:t>
      </w:r>
      <w:r>
        <w:rPr>
          <w:sz w:val="24"/>
        </w:rPr>
        <w:t>纸坊水库</w:t>
      </w:r>
      <w:r>
        <w:rPr>
          <w:sz w:val="24"/>
        </w:rPr>
        <w:t>→</w:t>
      </w:r>
      <w:r>
        <w:rPr>
          <w:sz w:val="24"/>
        </w:rPr>
        <w:t>涌泉河</w:t>
      </w:r>
      <w:r>
        <w:rPr>
          <w:sz w:val="24"/>
        </w:rPr>
        <w:t>→</w:t>
      </w:r>
      <w:r>
        <w:rPr>
          <w:sz w:val="24"/>
        </w:rPr>
        <w:t>颍河。区域地表水系见附图</w:t>
      </w:r>
      <w:r>
        <w:rPr>
          <w:sz w:val="24"/>
        </w:rPr>
        <w:t>6</w:t>
      </w:r>
      <w:r>
        <w:rPr>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322" w:name="_Toc143941664"/>
      <w:bookmarkStart w:id="323" w:name="_Toc148262251"/>
      <w:bookmarkStart w:id="324" w:name="_Toc79668660"/>
      <w:r>
        <w:rPr>
          <w:rFonts w:eastAsia="楷体"/>
          <w:sz w:val="28"/>
          <w:szCs w:val="28"/>
        </w:rPr>
        <w:t xml:space="preserve">4.1.3 </w:t>
      </w:r>
      <w:r>
        <w:rPr>
          <w:rFonts w:eastAsia="楷体"/>
          <w:sz w:val="28"/>
          <w:szCs w:val="28"/>
        </w:rPr>
        <w:t>气象特征</w:t>
      </w:r>
      <w:bookmarkEnd w:id="322"/>
      <w:bookmarkEnd w:id="323"/>
      <w:bookmarkEnd w:id="324"/>
    </w:p>
    <w:p w:rsidR="00240BCE" w:rsidRDefault="00AC0334">
      <w:pPr>
        <w:spacing w:line="520" w:lineRule="exact"/>
        <w:ind w:firstLineChars="200" w:firstLine="480"/>
        <w:rPr>
          <w:sz w:val="24"/>
        </w:rPr>
      </w:pPr>
      <w:r>
        <w:rPr>
          <w:sz w:val="24"/>
        </w:rPr>
        <w:t>禹州市属暖温带大陆性季风气候，气候温和，光照条件好，雨量充沛，四季分明，无霜期长。根据禹州市近</w:t>
      </w:r>
      <w:r>
        <w:rPr>
          <w:sz w:val="24"/>
        </w:rPr>
        <w:t>20</w:t>
      </w:r>
      <w:r>
        <w:rPr>
          <w:sz w:val="24"/>
        </w:rPr>
        <w:t>年的气象资料，禹州市多年平均气温</w:t>
      </w:r>
      <w:r>
        <w:rPr>
          <w:sz w:val="24"/>
        </w:rPr>
        <w:t>15.1℃</w:t>
      </w:r>
      <w:r>
        <w:rPr>
          <w:sz w:val="24"/>
        </w:rPr>
        <w:t>，极端最高气温</w:t>
      </w:r>
      <w:r>
        <w:rPr>
          <w:sz w:val="24"/>
        </w:rPr>
        <w:t>38.9℃</w:t>
      </w:r>
      <w:r>
        <w:rPr>
          <w:sz w:val="24"/>
        </w:rPr>
        <w:t>，极端最低气温</w:t>
      </w:r>
      <w:r>
        <w:rPr>
          <w:sz w:val="24"/>
        </w:rPr>
        <w:t>-9.5℃</w:t>
      </w:r>
      <w:r>
        <w:rPr>
          <w:sz w:val="24"/>
        </w:rPr>
        <w:t>；无霜期平均</w:t>
      </w:r>
      <w:r>
        <w:rPr>
          <w:sz w:val="24"/>
        </w:rPr>
        <w:t>218</w:t>
      </w:r>
      <w:r>
        <w:rPr>
          <w:sz w:val="24"/>
        </w:rPr>
        <w:t>天，最长</w:t>
      </w:r>
      <w:r>
        <w:rPr>
          <w:sz w:val="24"/>
        </w:rPr>
        <w:t>248</w:t>
      </w:r>
      <w:r>
        <w:rPr>
          <w:sz w:val="24"/>
        </w:rPr>
        <w:t>天；多年平均降雨量</w:t>
      </w:r>
      <w:r>
        <w:rPr>
          <w:sz w:val="24"/>
        </w:rPr>
        <w:t>663.1mm</w:t>
      </w:r>
      <w:r>
        <w:rPr>
          <w:sz w:val="24"/>
        </w:rPr>
        <w:t>；多年平均蒸发量为</w:t>
      </w:r>
      <w:r>
        <w:rPr>
          <w:sz w:val="24"/>
        </w:rPr>
        <w:t>946.2mm</w:t>
      </w:r>
      <w:r>
        <w:rPr>
          <w:sz w:val="24"/>
        </w:rPr>
        <w:t>；全年日照时数为</w:t>
      </w:r>
      <w:r>
        <w:rPr>
          <w:sz w:val="24"/>
        </w:rPr>
        <w:t>2420</w:t>
      </w:r>
      <w:r>
        <w:rPr>
          <w:sz w:val="24"/>
        </w:rPr>
        <w:t>小时；多年平均风速</w:t>
      </w:r>
      <w:r w:rsidR="00202855">
        <w:rPr>
          <w:rFonts w:hint="eastAsia"/>
          <w:sz w:val="24"/>
        </w:rPr>
        <w:t>2.5</w:t>
      </w:r>
      <w:r>
        <w:rPr>
          <w:sz w:val="24"/>
        </w:rPr>
        <w:t>m/s</w:t>
      </w:r>
      <w:r>
        <w:rPr>
          <w:sz w:val="24"/>
        </w:rPr>
        <w:t>，平均相对湿度</w:t>
      </w:r>
      <w:r>
        <w:rPr>
          <w:sz w:val="24"/>
        </w:rPr>
        <w:t>67.6%</w:t>
      </w:r>
      <w:r>
        <w:rPr>
          <w:sz w:val="24"/>
        </w:rPr>
        <w:t>，多年主导风向</w:t>
      </w:r>
      <w:r>
        <w:rPr>
          <w:sz w:val="24"/>
        </w:rPr>
        <w:t>NE</w:t>
      </w:r>
      <w:r>
        <w:rPr>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325" w:name="_Toc148262253"/>
      <w:bookmarkStart w:id="326" w:name="_Toc79668661"/>
      <w:r>
        <w:rPr>
          <w:rFonts w:eastAsia="楷体"/>
          <w:sz w:val="28"/>
          <w:szCs w:val="28"/>
        </w:rPr>
        <w:t xml:space="preserve">4.1.4 </w:t>
      </w:r>
      <w:bookmarkEnd w:id="325"/>
      <w:r>
        <w:rPr>
          <w:rFonts w:eastAsia="楷体"/>
          <w:sz w:val="28"/>
          <w:szCs w:val="28"/>
        </w:rPr>
        <w:t>自然资源</w:t>
      </w:r>
      <w:bookmarkEnd w:id="326"/>
    </w:p>
    <w:p w:rsidR="00240BCE" w:rsidRDefault="00AC0334">
      <w:pPr>
        <w:spacing w:line="520" w:lineRule="exact"/>
        <w:ind w:firstLineChars="200" w:firstLine="480"/>
        <w:rPr>
          <w:sz w:val="24"/>
        </w:rPr>
      </w:pPr>
      <w:r>
        <w:rPr>
          <w:sz w:val="24"/>
        </w:rPr>
        <w:t>禹州资源丰富，能源充沛。境内富藏煤炭、石灰石、铝矾土、陶土等矿产资源</w:t>
      </w:r>
      <w:r>
        <w:rPr>
          <w:sz w:val="24"/>
        </w:rPr>
        <w:t>30</w:t>
      </w:r>
      <w:r>
        <w:rPr>
          <w:sz w:val="24"/>
        </w:rPr>
        <w:t>余种，其中煤炭保有储量</w:t>
      </w:r>
      <w:r>
        <w:rPr>
          <w:sz w:val="24"/>
        </w:rPr>
        <w:t>34</w:t>
      </w:r>
      <w:r>
        <w:rPr>
          <w:sz w:val="24"/>
        </w:rPr>
        <w:t>亿吨、远景储量</w:t>
      </w:r>
      <w:r>
        <w:rPr>
          <w:sz w:val="24"/>
        </w:rPr>
        <w:t>90</w:t>
      </w:r>
      <w:r>
        <w:rPr>
          <w:sz w:val="24"/>
        </w:rPr>
        <w:t>亿吨，原煤年产量</w:t>
      </w:r>
      <w:r>
        <w:rPr>
          <w:sz w:val="24"/>
        </w:rPr>
        <w:t>600</w:t>
      </w:r>
      <w:r>
        <w:rPr>
          <w:sz w:val="24"/>
        </w:rPr>
        <w:t>万吨，是全国重点产煤县（市）和商品煤生产基地之一，被国务院列入全国成长类资源型城市。水泥灰岩储量</w:t>
      </w:r>
      <w:r>
        <w:rPr>
          <w:sz w:val="24"/>
        </w:rPr>
        <w:t>45.91</w:t>
      </w:r>
      <w:r>
        <w:rPr>
          <w:sz w:val="24"/>
        </w:rPr>
        <w:t>亿吨；铝矾土矿蕴藏量约</w:t>
      </w:r>
      <w:r>
        <w:rPr>
          <w:sz w:val="24"/>
        </w:rPr>
        <w:t>2</w:t>
      </w:r>
      <w:r>
        <w:rPr>
          <w:sz w:val="24"/>
        </w:rPr>
        <w:t>亿吨。电力能源充足，火电装机容量达</w:t>
      </w:r>
      <w:r>
        <w:rPr>
          <w:sz w:val="24"/>
        </w:rPr>
        <w:t>202</w:t>
      </w:r>
      <w:r>
        <w:rPr>
          <w:sz w:val="24"/>
        </w:rPr>
        <w:t>万千瓦；水资源丰富，有大、中、小型水库</w:t>
      </w:r>
      <w:r>
        <w:rPr>
          <w:sz w:val="24"/>
        </w:rPr>
        <w:t>35</w:t>
      </w:r>
      <w:r>
        <w:rPr>
          <w:sz w:val="24"/>
        </w:rPr>
        <w:t>座，总库容</w:t>
      </w:r>
      <w:r>
        <w:rPr>
          <w:sz w:val="24"/>
        </w:rPr>
        <w:t>3.72</w:t>
      </w:r>
      <w:r>
        <w:rPr>
          <w:sz w:val="24"/>
        </w:rPr>
        <w:t>亿立方米，南水北调中线工程每年为禹州分配水量</w:t>
      </w:r>
      <w:r>
        <w:rPr>
          <w:sz w:val="24"/>
        </w:rPr>
        <w:t>3780</w:t>
      </w:r>
      <w:r>
        <w:rPr>
          <w:sz w:val="24"/>
        </w:rPr>
        <w:t>万立方米，沙陀湖调蓄工程列入国家南水北调中线在线调蓄规划；西气东输一线、二线工程途径禹州，燃气供应充足。</w:t>
      </w:r>
    </w:p>
    <w:p w:rsidR="00240BCE" w:rsidRDefault="00AC0334" w:rsidP="009C5F33">
      <w:pPr>
        <w:pStyle w:val="30"/>
        <w:adjustRightInd w:val="0"/>
        <w:snapToGrid w:val="0"/>
        <w:spacing w:beforeLines="70" w:afterLines="30" w:line="240" w:lineRule="auto"/>
        <w:jc w:val="left"/>
        <w:rPr>
          <w:rFonts w:eastAsia="楷体"/>
          <w:sz w:val="28"/>
          <w:szCs w:val="28"/>
        </w:rPr>
      </w:pPr>
      <w:bookmarkStart w:id="327" w:name="_Toc79668662"/>
      <w:r>
        <w:rPr>
          <w:rFonts w:eastAsia="楷体"/>
          <w:sz w:val="28"/>
          <w:szCs w:val="28"/>
        </w:rPr>
        <w:t xml:space="preserve">4.1.5 </w:t>
      </w:r>
      <w:r>
        <w:rPr>
          <w:rFonts w:eastAsia="楷体"/>
          <w:sz w:val="28"/>
          <w:szCs w:val="28"/>
        </w:rPr>
        <w:t>土壤、植被</w:t>
      </w:r>
      <w:bookmarkEnd w:id="327"/>
      <w:r>
        <w:rPr>
          <w:rFonts w:eastAsia="楷体"/>
          <w:sz w:val="28"/>
          <w:szCs w:val="28"/>
        </w:rPr>
        <w:t xml:space="preserve"> </w:t>
      </w:r>
    </w:p>
    <w:p w:rsidR="00240BCE" w:rsidRDefault="00AC0334">
      <w:pPr>
        <w:spacing w:line="520" w:lineRule="exact"/>
        <w:ind w:firstLineChars="200" w:firstLine="480"/>
        <w:rPr>
          <w:sz w:val="24"/>
        </w:rPr>
      </w:pPr>
      <w:r>
        <w:rPr>
          <w:sz w:val="24"/>
        </w:rPr>
        <w:t>项目位于禹州市鸠山镇。禹州市境内土壤划分为褐土、砂姜黑土、潮土、棕壤等</w:t>
      </w:r>
      <w:r>
        <w:rPr>
          <w:sz w:val="24"/>
        </w:rPr>
        <w:t>4</w:t>
      </w:r>
      <w:r>
        <w:rPr>
          <w:sz w:val="24"/>
        </w:rPr>
        <w:t>个土类，包括</w:t>
      </w:r>
      <w:r>
        <w:rPr>
          <w:sz w:val="24"/>
        </w:rPr>
        <w:t>8</w:t>
      </w:r>
      <w:r>
        <w:rPr>
          <w:sz w:val="24"/>
        </w:rPr>
        <w:t>个亚类、</w:t>
      </w:r>
      <w:r>
        <w:rPr>
          <w:sz w:val="24"/>
        </w:rPr>
        <w:t>19</w:t>
      </w:r>
      <w:r>
        <w:rPr>
          <w:sz w:val="24"/>
        </w:rPr>
        <w:t>个土属，</w:t>
      </w:r>
      <w:r>
        <w:rPr>
          <w:sz w:val="24"/>
        </w:rPr>
        <w:t>43</w:t>
      </w:r>
      <w:r>
        <w:rPr>
          <w:sz w:val="24"/>
        </w:rPr>
        <w:t>个土种，适宜小麦、玉米等粮食作物和芝麻、油菜、花生、大豆、棉花等经济作物生长。</w:t>
      </w:r>
    </w:p>
    <w:p w:rsidR="00240BCE" w:rsidRDefault="00AC0334">
      <w:pPr>
        <w:spacing w:line="520" w:lineRule="exact"/>
        <w:ind w:firstLineChars="200" w:firstLine="480"/>
        <w:rPr>
          <w:sz w:val="24"/>
        </w:rPr>
      </w:pPr>
      <w:r>
        <w:rPr>
          <w:sz w:val="24"/>
        </w:rPr>
        <w:t>该区域植被属华北落叶阔叶林类型，以阔叶林为主，植物垂直带明显，具有种类多、分布广、南北区兼容并蓄特色。项目所在地处于大陆性半干旱气候区，气候和土壤特点决定了该区的地带性植被为落叶阔叶林分布区。该区土壤肥力、有机质含量均</w:t>
      </w:r>
      <w:r>
        <w:rPr>
          <w:sz w:val="24"/>
        </w:rPr>
        <w:lastRenderedPageBreak/>
        <w:t>较低，植被及覆盖物稀少，植物群落较为简单。由于人为活动的影响，原生植被受到一定的干扰，周边林种主要为速生柏、杨树、刺槐等；灌木类有荆条、酸枣等；草本植物有蒿、白草、茅草、芥草等，粮食作物主要有小麦、玉米、花生等。</w:t>
      </w:r>
    </w:p>
    <w:p w:rsidR="00240BCE" w:rsidRDefault="00AC0334" w:rsidP="009C5F33">
      <w:pPr>
        <w:pStyle w:val="30"/>
        <w:adjustRightInd w:val="0"/>
        <w:snapToGrid w:val="0"/>
        <w:spacing w:beforeLines="70" w:afterLines="30" w:line="240" w:lineRule="auto"/>
        <w:jc w:val="left"/>
        <w:rPr>
          <w:rFonts w:eastAsia="楷体"/>
          <w:sz w:val="28"/>
          <w:szCs w:val="28"/>
        </w:rPr>
      </w:pPr>
      <w:bookmarkStart w:id="328" w:name="_Toc143941666"/>
      <w:bookmarkStart w:id="329" w:name="_Toc148262254"/>
      <w:bookmarkStart w:id="330" w:name="_Toc79668663"/>
      <w:r>
        <w:rPr>
          <w:rFonts w:eastAsia="楷体"/>
          <w:sz w:val="28"/>
          <w:szCs w:val="28"/>
        </w:rPr>
        <w:t xml:space="preserve">4.1.6 </w:t>
      </w:r>
      <w:r>
        <w:rPr>
          <w:rFonts w:eastAsia="楷体"/>
          <w:sz w:val="28"/>
          <w:szCs w:val="28"/>
        </w:rPr>
        <w:t>文物和风景名胜</w:t>
      </w:r>
      <w:bookmarkEnd w:id="328"/>
      <w:bookmarkEnd w:id="329"/>
      <w:bookmarkEnd w:id="330"/>
    </w:p>
    <w:p w:rsidR="00240BCE" w:rsidRDefault="00AC0334">
      <w:pPr>
        <w:spacing w:line="520" w:lineRule="exact"/>
        <w:ind w:firstLineChars="200" w:firstLine="480"/>
        <w:rPr>
          <w:sz w:val="24"/>
        </w:rPr>
      </w:pPr>
      <w:r>
        <w:rPr>
          <w:sz w:val="24"/>
        </w:rPr>
        <w:t>禹州市历史悠久，为省级历史文化名城，市区内有国家级、省级文物古迹各一处，市级文物古迹一处，主要有禹王锁蛟井、均台窑遗址、瓦店遗址等，评价区域内未发现文物古迹等。经调查，评价区域内无国家及省级重点文物保护单位等名胜古迹分布。</w:t>
      </w:r>
    </w:p>
    <w:p w:rsidR="00240BCE" w:rsidRDefault="00AC0334" w:rsidP="009C5F33">
      <w:pPr>
        <w:pStyle w:val="30"/>
        <w:adjustRightInd w:val="0"/>
        <w:snapToGrid w:val="0"/>
        <w:spacing w:beforeLines="70" w:afterLines="30" w:line="240" w:lineRule="auto"/>
        <w:jc w:val="left"/>
        <w:rPr>
          <w:rFonts w:eastAsia="楷体"/>
          <w:sz w:val="28"/>
          <w:szCs w:val="28"/>
        </w:rPr>
      </w:pPr>
      <w:bookmarkStart w:id="331" w:name="_Toc143941667"/>
      <w:bookmarkStart w:id="332" w:name="_Toc148262255"/>
      <w:bookmarkStart w:id="333" w:name="_Toc79668664"/>
      <w:r>
        <w:rPr>
          <w:rFonts w:eastAsia="楷体"/>
          <w:sz w:val="28"/>
          <w:szCs w:val="28"/>
        </w:rPr>
        <w:t xml:space="preserve">4.1.7 </w:t>
      </w:r>
      <w:r>
        <w:rPr>
          <w:rFonts w:eastAsia="楷体"/>
          <w:sz w:val="28"/>
          <w:szCs w:val="28"/>
        </w:rPr>
        <w:t>地震</w:t>
      </w:r>
      <w:bookmarkEnd w:id="331"/>
      <w:bookmarkEnd w:id="332"/>
      <w:bookmarkEnd w:id="333"/>
    </w:p>
    <w:p w:rsidR="00240BCE" w:rsidRDefault="00AC0334">
      <w:pPr>
        <w:spacing w:line="540" w:lineRule="exact"/>
        <w:ind w:firstLineChars="200" w:firstLine="480"/>
        <w:rPr>
          <w:sz w:val="24"/>
        </w:rPr>
      </w:pPr>
      <w:r>
        <w:rPr>
          <w:sz w:val="24"/>
        </w:rPr>
        <w:t>根据《中国地震动参数区划图》（</w:t>
      </w:r>
      <w:r>
        <w:rPr>
          <w:sz w:val="24"/>
        </w:rPr>
        <w:t>GB18306-2001</w:t>
      </w:r>
      <w:r>
        <w:rPr>
          <w:sz w:val="24"/>
        </w:rPr>
        <w:t>），本区地震烈度为</w:t>
      </w:r>
      <w:r>
        <w:rPr>
          <w:sz w:val="24"/>
        </w:rPr>
        <w:t>Ⅶ</w:t>
      </w:r>
      <w:r>
        <w:rPr>
          <w:sz w:val="24"/>
        </w:rPr>
        <w:t>度。</w:t>
      </w:r>
    </w:p>
    <w:p w:rsidR="00240BCE" w:rsidRDefault="00AC0334" w:rsidP="009C5F33">
      <w:pPr>
        <w:pStyle w:val="30"/>
        <w:adjustRightInd w:val="0"/>
        <w:snapToGrid w:val="0"/>
        <w:spacing w:beforeLines="70" w:afterLines="30" w:line="240" w:lineRule="auto"/>
        <w:jc w:val="left"/>
        <w:rPr>
          <w:rFonts w:eastAsia="楷体"/>
          <w:sz w:val="28"/>
          <w:szCs w:val="28"/>
        </w:rPr>
      </w:pPr>
      <w:bookmarkStart w:id="334" w:name="_Toc79668665"/>
      <w:r>
        <w:rPr>
          <w:rFonts w:eastAsia="楷体"/>
          <w:sz w:val="28"/>
          <w:szCs w:val="28"/>
        </w:rPr>
        <w:t xml:space="preserve">4.1.8 </w:t>
      </w:r>
      <w:r>
        <w:rPr>
          <w:rFonts w:eastAsia="楷体"/>
          <w:sz w:val="28"/>
          <w:szCs w:val="28"/>
        </w:rPr>
        <w:t>评价区主要污染源</w:t>
      </w:r>
      <w:bookmarkEnd w:id="334"/>
    </w:p>
    <w:p w:rsidR="00240BCE" w:rsidRDefault="00AC0334">
      <w:pPr>
        <w:pStyle w:val="01"/>
        <w:snapToGrid w:val="0"/>
        <w:spacing w:line="520" w:lineRule="exact"/>
        <w:ind w:firstLine="480"/>
        <w:jc w:val="both"/>
        <w:rPr>
          <w:rFonts w:ascii="Times New Roman" w:hAnsi="Times New Roman"/>
          <w:color w:val="000000"/>
        </w:rPr>
      </w:pPr>
      <w:bookmarkStart w:id="335" w:name="_Toc180680442"/>
      <w:bookmarkStart w:id="336" w:name="_Toc181088784"/>
      <w:bookmarkStart w:id="337" w:name="_Toc181089190"/>
      <w:bookmarkStart w:id="338" w:name="_Toc181090469"/>
      <w:bookmarkStart w:id="339" w:name="_Toc183091418"/>
      <w:bookmarkStart w:id="340" w:name="_Toc187038698"/>
      <w:bookmarkEnd w:id="335"/>
      <w:bookmarkEnd w:id="336"/>
      <w:bookmarkEnd w:id="337"/>
      <w:bookmarkEnd w:id="338"/>
      <w:bookmarkEnd w:id="339"/>
      <w:r>
        <w:rPr>
          <w:rFonts w:ascii="Times New Roman" w:hAnsi="Times New Roman"/>
          <w:color w:val="000000"/>
        </w:rPr>
        <w:t>目前，矿区地处山区，没有较大的工业污染源。</w:t>
      </w:r>
      <w:bookmarkEnd w:id="340"/>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341" w:name="_Toc148262260"/>
      <w:bookmarkStart w:id="342" w:name="_Toc79668666"/>
      <w:bookmarkStart w:id="343" w:name="_Toc81934378"/>
      <w:r>
        <w:rPr>
          <w:rFonts w:ascii="Times New Roman" w:eastAsia="宋体" w:hAnsi="Times New Roman"/>
          <w:bCs/>
          <w:szCs w:val="32"/>
        </w:rPr>
        <w:t xml:space="preserve">4.2 </w:t>
      </w:r>
      <w:r>
        <w:rPr>
          <w:rFonts w:ascii="Times New Roman" w:eastAsia="宋体" w:hAnsi="Times New Roman"/>
          <w:bCs/>
          <w:szCs w:val="32"/>
        </w:rPr>
        <w:t>社会环境</w:t>
      </w:r>
      <w:bookmarkEnd w:id="341"/>
      <w:bookmarkEnd w:id="342"/>
      <w:bookmarkEnd w:id="343"/>
    </w:p>
    <w:p w:rsidR="00240BCE" w:rsidRDefault="00AC0334" w:rsidP="009C5F33">
      <w:pPr>
        <w:pStyle w:val="30"/>
        <w:adjustRightInd w:val="0"/>
        <w:snapToGrid w:val="0"/>
        <w:spacing w:beforeLines="70" w:afterLines="30" w:line="240" w:lineRule="auto"/>
        <w:jc w:val="left"/>
        <w:rPr>
          <w:rFonts w:eastAsia="楷体"/>
          <w:sz w:val="28"/>
          <w:szCs w:val="28"/>
        </w:rPr>
      </w:pPr>
      <w:bookmarkStart w:id="344" w:name="_Toc148262261"/>
      <w:bookmarkStart w:id="345" w:name="_Toc79668667"/>
      <w:r>
        <w:rPr>
          <w:rFonts w:eastAsia="楷体"/>
          <w:sz w:val="28"/>
          <w:szCs w:val="28"/>
        </w:rPr>
        <w:t xml:space="preserve">4.2.1 </w:t>
      </w:r>
      <w:r>
        <w:rPr>
          <w:rFonts w:eastAsia="楷体"/>
          <w:sz w:val="28"/>
          <w:szCs w:val="28"/>
        </w:rPr>
        <w:t>行政区划、人口</w:t>
      </w:r>
      <w:bookmarkEnd w:id="344"/>
      <w:bookmarkEnd w:id="345"/>
    </w:p>
    <w:p w:rsidR="00240BCE" w:rsidRDefault="00AC0334">
      <w:pPr>
        <w:spacing w:line="520" w:lineRule="exact"/>
        <w:ind w:firstLineChars="200" w:firstLine="520"/>
        <w:rPr>
          <w:spacing w:val="10"/>
          <w:sz w:val="24"/>
        </w:rPr>
      </w:pPr>
      <w:r>
        <w:rPr>
          <w:spacing w:val="10"/>
          <w:sz w:val="24"/>
        </w:rPr>
        <w:t>禹州市辖</w:t>
      </w:r>
      <w:r>
        <w:rPr>
          <w:spacing w:val="10"/>
          <w:sz w:val="24"/>
        </w:rPr>
        <w:t xml:space="preserve"> 18 </w:t>
      </w:r>
      <w:r>
        <w:rPr>
          <w:spacing w:val="10"/>
          <w:sz w:val="24"/>
        </w:rPr>
        <w:t>镇</w:t>
      </w:r>
      <w:r>
        <w:rPr>
          <w:spacing w:val="10"/>
          <w:sz w:val="24"/>
        </w:rPr>
        <w:t xml:space="preserve"> 4 </w:t>
      </w:r>
      <w:r>
        <w:rPr>
          <w:spacing w:val="10"/>
          <w:sz w:val="24"/>
        </w:rPr>
        <w:t>乡</w:t>
      </w:r>
      <w:r>
        <w:rPr>
          <w:spacing w:val="10"/>
          <w:sz w:val="24"/>
        </w:rPr>
        <w:t xml:space="preserve"> 4 </w:t>
      </w:r>
      <w:r>
        <w:rPr>
          <w:spacing w:val="10"/>
          <w:sz w:val="24"/>
        </w:rPr>
        <w:t>个办事处，</w:t>
      </w:r>
      <w:r>
        <w:rPr>
          <w:spacing w:val="10"/>
          <w:sz w:val="24"/>
        </w:rPr>
        <w:t xml:space="preserve"> 26 </w:t>
      </w:r>
      <w:r>
        <w:rPr>
          <w:spacing w:val="10"/>
          <w:sz w:val="24"/>
        </w:rPr>
        <w:t>个乡镇办分别为颍川、夏都、韩城、钧台</w:t>
      </w:r>
      <w:r>
        <w:rPr>
          <w:spacing w:val="10"/>
          <w:sz w:val="24"/>
        </w:rPr>
        <w:t xml:space="preserve">4 </w:t>
      </w:r>
      <w:r>
        <w:rPr>
          <w:spacing w:val="10"/>
          <w:sz w:val="24"/>
        </w:rPr>
        <w:t>个建制街道；神后、方山、顺店、无梁、鸿畅、梁北、古城、火龙、文殊、鸠山、褚河、郭连、范坡、朱阁、浅井、花石、方岗、张得</w:t>
      </w:r>
      <w:r>
        <w:rPr>
          <w:spacing w:val="10"/>
          <w:sz w:val="24"/>
        </w:rPr>
        <w:t xml:space="preserve"> 18 </w:t>
      </w:r>
      <w:r>
        <w:rPr>
          <w:spacing w:val="10"/>
          <w:sz w:val="24"/>
        </w:rPr>
        <w:t>个镇；苌庄、小吕、磨街、山货</w:t>
      </w:r>
      <w:r>
        <w:rPr>
          <w:spacing w:val="10"/>
          <w:sz w:val="24"/>
        </w:rPr>
        <w:t>4</w:t>
      </w:r>
      <w:r>
        <w:rPr>
          <w:spacing w:val="10"/>
          <w:sz w:val="24"/>
        </w:rPr>
        <w:t>个乡。</w:t>
      </w:r>
      <w:r>
        <w:rPr>
          <w:spacing w:val="10"/>
          <w:sz w:val="24"/>
        </w:rPr>
        <w:t>2017</w:t>
      </w:r>
      <w:r>
        <w:rPr>
          <w:spacing w:val="10"/>
          <w:sz w:val="24"/>
        </w:rPr>
        <w:t>年年末全市总户数</w:t>
      </w:r>
      <w:r>
        <w:rPr>
          <w:spacing w:val="10"/>
          <w:sz w:val="24"/>
        </w:rPr>
        <w:t>32.63</w:t>
      </w:r>
      <w:r>
        <w:rPr>
          <w:spacing w:val="10"/>
          <w:sz w:val="24"/>
        </w:rPr>
        <w:t>万户，总人口</w:t>
      </w:r>
      <w:r>
        <w:rPr>
          <w:spacing w:val="10"/>
          <w:sz w:val="24"/>
        </w:rPr>
        <w:t>129.09</w:t>
      </w:r>
      <w:r>
        <w:rPr>
          <w:spacing w:val="10"/>
          <w:sz w:val="24"/>
        </w:rPr>
        <w:t>万人；常住人口</w:t>
      </w:r>
      <w:r>
        <w:rPr>
          <w:spacing w:val="10"/>
          <w:sz w:val="24"/>
        </w:rPr>
        <w:t>114.87</w:t>
      </w:r>
      <w:r>
        <w:rPr>
          <w:spacing w:val="10"/>
          <w:sz w:val="24"/>
        </w:rPr>
        <w:t>万人，其中城镇人口</w:t>
      </w:r>
      <w:r>
        <w:rPr>
          <w:spacing w:val="10"/>
          <w:sz w:val="24"/>
        </w:rPr>
        <w:t xml:space="preserve"> 51.98 </w:t>
      </w:r>
      <w:r>
        <w:rPr>
          <w:spacing w:val="10"/>
          <w:sz w:val="24"/>
        </w:rPr>
        <w:t>万人，乡村人口</w:t>
      </w:r>
      <w:r>
        <w:rPr>
          <w:spacing w:val="10"/>
          <w:sz w:val="24"/>
        </w:rPr>
        <w:t xml:space="preserve"> 62.89 </w:t>
      </w:r>
      <w:r>
        <w:rPr>
          <w:spacing w:val="10"/>
          <w:sz w:val="24"/>
        </w:rPr>
        <w:t>万人。</w:t>
      </w:r>
    </w:p>
    <w:p w:rsidR="00240BCE" w:rsidRDefault="00AC0334">
      <w:pPr>
        <w:spacing w:line="520" w:lineRule="exact"/>
        <w:ind w:firstLineChars="200" w:firstLine="520"/>
        <w:rPr>
          <w:spacing w:val="10"/>
          <w:sz w:val="24"/>
        </w:rPr>
      </w:pPr>
      <w:r>
        <w:rPr>
          <w:spacing w:val="10"/>
          <w:sz w:val="24"/>
        </w:rPr>
        <w:t>本项目位于禹州市鸠山镇，辖</w:t>
      </w:r>
      <w:r>
        <w:rPr>
          <w:spacing w:val="10"/>
          <w:sz w:val="24"/>
        </w:rPr>
        <w:t>31</w:t>
      </w:r>
      <w:r>
        <w:rPr>
          <w:spacing w:val="10"/>
          <w:sz w:val="24"/>
        </w:rPr>
        <w:t>个</w:t>
      </w:r>
      <w:hyperlink r:id="rId24" w:history="1">
        <w:r>
          <w:rPr>
            <w:rStyle w:val="aff2"/>
            <w:color w:val="auto"/>
            <w:spacing w:val="10"/>
            <w:sz w:val="24"/>
            <w:u w:val="none"/>
          </w:rPr>
          <w:t>行政村</w:t>
        </w:r>
      </w:hyperlink>
      <w:r>
        <w:rPr>
          <w:spacing w:val="10"/>
          <w:sz w:val="24"/>
        </w:rPr>
        <w:t>，</w:t>
      </w:r>
      <w:r>
        <w:rPr>
          <w:spacing w:val="10"/>
          <w:sz w:val="24"/>
        </w:rPr>
        <w:t>132</w:t>
      </w:r>
      <w:r>
        <w:rPr>
          <w:spacing w:val="10"/>
          <w:sz w:val="24"/>
        </w:rPr>
        <w:t>个自然村，</w:t>
      </w:r>
      <w:r>
        <w:rPr>
          <w:spacing w:val="10"/>
          <w:sz w:val="24"/>
        </w:rPr>
        <w:t>249</w:t>
      </w:r>
      <w:r>
        <w:rPr>
          <w:spacing w:val="10"/>
          <w:sz w:val="24"/>
        </w:rPr>
        <w:t>个村民组，总人口</w:t>
      </w:r>
      <w:r>
        <w:rPr>
          <w:spacing w:val="10"/>
          <w:sz w:val="24"/>
        </w:rPr>
        <w:t>3.6</w:t>
      </w:r>
      <w:r>
        <w:rPr>
          <w:spacing w:val="10"/>
          <w:sz w:val="24"/>
        </w:rPr>
        <w:t>万人。</w:t>
      </w:r>
    </w:p>
    <w:p w:rsidR="00240BCE" w:rsidRDefault="00AC0334" w:rsidP="009C5F33">
      <w:pPr>
        <w:pStyle w:val="30"/>
        <w:adjustRightInd w:val="0"/>
        <w:snapToGrid w:val="0"/>
        <w:spacing w:beforeLines="70" w:afterLines="30" w:line="240" w:lineRule="auto"/>
        <w:jc w:val="left"/>
        <w:rPr>
          <w:rFonts w:eastAsia="楷体"/>
          <w:sz w:val="28"/>
          <w:szCs w:val="28"/>
        </w:rPr>
      </w:pPr>
      <w:bookmarkStart w:id="346" w:name="_Toc148262262"/>
      <w:bookmarkStart w:id="347" w:name="_Toc79668668"/>
      <w:r>
        <w:rPr>
          <w:rFonts w:eastAsia="楷体"/>
          <w:sz w:val="28"/>
          <w:szCs w:val="28"/>
        </w:rPr>
        <w:t>4.2.2</w:t>
      </w:r>
      <w:bookmarkEnd w:id="346"/>
      <w:r>
        <w:rPr>
          <w:rFonts w:eastAsia="楷体"/>
          <w:sz w:val="28"/>
          <w:szCs w:val="28"/>
        </w:rPr>
        <w:t xml:space="preserve"> </w:t>
      </w:r>
      <w:r>
        <w:rPr>
          <w:rFonts w:eastAsia="楷体"/>
          <w:sz w:val="28"/>
          <w:szCs w:val="28"/>
        </w:rPr>
        <w:t>社会经济</w:t>
      </w:r>
      <w:bookmarkEnd w:id="347"/>
    </w:p>
    <w:p w:rsidR="00240BCE" w:rsidRDefault="00AC0334" w:rsidP="00DB51A2">
      <w:pPr>
        <w:pStyle w:val="ae"/>
        <w:spacing w:line="520" w:lineRule="exact"/>
        <w:ind w:leftChars="50" w:left="140" w:firstLineChars="187" w:firstLine="449"/>
        <w:rPr>
          <w:rFonts w:ascii="Times New Roman" w:hAnsi="Times New Roman"/>
          <w:sz w:val="24"/>
        </w:rPr>
      </w:pPr>
      <w:r>
        <w:rPr>
          <w:rFonts w:ascii="Times New Roman" w:hAnsi="Times New Roman"/>
          <w:sz w:val="24"/>
        </w:rPr>
        <w:t>2019</w:t>
      </w:r>
      <w:r>
        <w:rPr>
          <w:rFonts w:ascii="Times New Roman" w:hAnsi="Times New Roman"/>
          <w:sz w:val="24"/>
        </w:rPr>
        <w:t>年，禹州市全市生产总值完成</w:t>
      </w:r>
      <w:r>
        <w:rPr>
          <w:rFonts w:ascii="Times New Roman" w:hAnsi="Times New Roman"/>
          <w:sz w:val="24"/>
        </w:rPr>
        <w:t>833.2</w:t>
      </w:r>
      <w:r>
        <w:rPr>
          <w:rFonts w:ascii="Times New Roman" w:hAnsi="Times New Roman"/>
          <w:sz w:val="24"/>
        </w:rPr>
        <w:t>亿元，增长</w:t>
      </w:r>
      <w:r>
        <w:rPr>
          <w:rFonts w:ascii="Times New Roman" w:hAnsi="Times New Roman"/>
          <w:sz w:val="24"/>
        </w:rPr>
        <w:t>7.8%</w:t>
      </w:r>
      <w:r>
        <w:rPr>
          <w:rFonts w:ascii="Times New Roman" w:hAnsi="Times New Roman"/>
          <w:sz w:val="24"/>
        </w:rPr>
        <w:t>；一般公共预算收入完</w:t>
      </w:r>
      <w:r>
        <w:rPr>
          <w:rFonts w:ascii="Times New Roman" w:hAnsi="Times New Roman"/>
          <w:sz w:val="24"/>
        </w:rPr>
        <w:lastRenderedPageBreak/>
        <w:t>成</w:t>
      </w:r>
      <w:r>
        <w:rPr>
          <w:rFonts w:ascii="Times New Roman" w:hAnsi="Times New Roman"/>
          <w:sz w:val="24"/>
        </w:rPr>
        <w:t>23</w:t>
      </w:r>
      <w:r>
        <w:rPr>
          <w:rFonts w:ascii="Times New Roman" w:hAnsi="Times New Roman"/>
          <w:sz w:val="24"/>
        </w:rPr>
        <w:t>亿元，增长</w:t>
      </w:r>
      <w:r>
        <w:rPr>
          <w:rFonts w:ascii="Times New Roman" w:hAnsi="Times New Roman"/>
          <w:sz w:val="24"/>
        </w:rPr>
        <w:t>10.3%</w:t>
      </w:r>
      <w:r>
        <w:rPr>
          <w:rFonts w:ascii="Times New Roman" w:hAnsi="Times New Roman"/>
          <w:sz w:val="24"/>
        </w:rPr>
        <w:t>；固定资产投资增长</w:t>
      </w:r>
      <w:r>
        <w:rPr>
          <w:rFonts w:ascii="Times New Roman" w:hAnsi="Times New Roman"/>
          <w:sz w:val="24"/>
        </w:rPr>
        <w:t>8.6%</w:t>
      </w:r>
      <w:r>
        <w:rPr>
          <w:rFonts w:ascii="Times New Roman" w:hAnsi="Times New Roman"/>
          <w:sz w:val="24"/>
        </w:rPr>
        <w:t>；规模以上工业增加值增长</w:t>
      </w:r>
      <w:r>
        <w:rPr>
          <w:rFonts w:ascii="Times New Roman" w:hAnsi="Times New Roman"/>
          <w:sz w:val="24"/>
        </w:rPr>
        <w:t>8.7%</w:t>
      </w:r>
      <w:r>
        <w:rPr>
          <w:rFonts w:ascii="Times New Roman" w:hAnsi="Times New Roman"/>
          <w:sz w:val="24"/>
        </w:rPr>
        <w:t>；社会消费品零售总额</w:t>
      </w:r>
      <w:r>
        <w:rPr>
          <w:rFonts w:ascii="Times New Roman" w:hAnsi="Times New Roman"/>
          <w:sz w:val="24"/>
        </w:rPr>
        <w:t>249.1</w:t>
      </w:r>
      <w:r>
        <w:rPr>
          <w:rFonts w:ascii="Times New Roman" w:hAnsi="Times New Roman"/>
          <w:sz w:val="24"/>
        </w:rPr>
        <w:t>亿元，增长</w:t>
      </w:r>
      <w:r>
        <w:rPr>
          <w:rFonts w:ascii="Times New Roman" w:hAnsi="Times New Roman"/>
          <w:sz w:val="24"/>
        </w:rPr>
        <w:t>10.6%</w:t>
      </w:r>
      <w:r>
        <w:rPr>
          <w:rFonts w:ascii="Times New Roman" w:hAnsi="Times New Roman"/>
          <w:sz w:val="24"/>
        </w:rPr>
        <w:t>；城镇居民人均可支配收入</w:t>
      </w:r>
      <w:r>
        <w:rPr>
          <w:rFonts w:ascii="Times New Roman" w:hAnsi="Times New Roman"/>
          <w:sz w:val="24"/>
        </w:rPr>
        <w:t>34757</w:t>
      </w:r>
      <w:r>
        <w:rPr>
          <w:rFonts w:ascii="Times New Roman" w:hAnsi="Times New Roman"/>
          <w:sz w:val="24"/>
        </w:rPr>
        <w:t>元、增长</w:t>
      </w:r>
      <w:r>
        <w:rPr>
          <w:rFonts w:ascii="Times New Roman" w:hAnsi="Times New Roman"/>
          <w:sz w:val="24"/>
        </w:rPr>
        <w:t>7.8%</w:t>
      </w:r>
      <w:r>
        <w:rPr>
          <w:rFonts w:ascii="Times New Roman" w:hAnsi="Times New Roman"/>
          <w:sz w:val="24"/>
        </w:rPr>
        <w:t>，农村居民人均可支配收入</w:t>
      </w:r>
      <w:r>
        <w:rPr>
          <w:rFonts w:ascii="Times New Roman" w:hAnsi="Times New Roman"/>
          <w:sz w:val="24"/>
        </w:rPr>
        <w:t>19220</w:t>
      </w:r>
      <w:r>
        <w:rPr>
          <w:rFonts w:ascii="Times New Roman" w:hAnsi="Times New Roman"/>
          <w:sz w:val="24"/>
        </w:rPr>
        <w:t>元、增长</w:t>
      </w:r>
      <w:r>
        <w:rPr>
          <w:rFonts w:ascii="Times New Roman" w:hAnsi="Times New Roman"/>
          <w:sz w:val="24"/>
        </w:rPr>
        <w:t>9.4%</w:t>
      </w:r>
      <w:r>
        <w:rPr>
          <w:rFonts w:ascii="Times New Roman" w:hAnsi="Times New Roman"/>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348" w:name="_Toc79668669"/>
      <w:r>
        <w:rPr>
          <w:rFonts w:eastAsia="楷体"/>
          <w:sz w:val="28"/>
          <w:szCs w:val="28"/>
        </w:rPr>
        <w:t xml:space="preserve">4.2.3 </w:t>
      </w:r>
      <w:r>
        <w:rPr>
          <w:rFonts w:eastAsia="楷体"/>
          <w:sz w:val="28"/>
          <w:szCs w:val="28"/>
        </w:rPr>
        <w:t>交通运输</w:t>
      </w:r>
      <w:bookmarkEnd w:id="348"/>
    </w:p>
    <w:p w:rsidR="00240BCE" w:rsidRDefault="00AC0334">
      <w:pPr>
        <w:spacing w:line="520" w:lineRule="exact"/>
        <w:ind w:firstLineChars="250" w:firstLine="600"/>
        <w:rPr>
          <w:sz w:val="24"/>
        </w:rPr>
      </w:pPr>
      <w:r>
        <w:rPr>
          <w:sz w:val="24"/>
        </w:rPr>
        <w:t>禹州市境内交通发达，郑尧高速与永登高速在境内交汇；郑南公路和许洛公路、彭花公路贯穿全境，并通过公路与京深铁路、陇海铁路相接。</w:t>
      </w:r>
    </w:p>
    <w:p w:rsidR="00240BCE" w:rsidRDefault="00AC0334" w:rsidP="009C5F33">
      <w:pPr>
        <w:pStyle w:val="020"/>
        <w:adjustRightInd w:val="0"/>
        <w:snapToGrid w:val="0"/>
        <w:spacing w:beforeLines="100" w:afterLines="50" w:line="240" w:lineRule="auto"/>
        <w:rPr>
          <w:color w:val="000000"/>
        </w:rPr>
      </w:pPr>
      <w:bookmarkStart w:id="349" w:name="_Toc162358807"/>
      <w:bookmarkStart w:id="350" w:name="_Toc180680441"/>
      <w:bookmarkStart w:id="351" w:name="_Toc181088783"/>
      <w:bookmarkStart w:id="352" w:name="_Toc181089189"/>
      <w:bookmarkStart w:id="353" w:name="_Toc180680443"/>
      <w:bookmarkStart w:id="354" w:name="_Toc181088785"/>
      <w:bookmarkStart w:id="355" w:name="_Toc181089191"/>
      <w:bookmarkStart w:id="356" w:name="_Toc37253442"/>
      <w:bookmarkStart w:id="357" w:name="_Toc162358815"/>
      <w:bookmarkStart w:id="358" w:name="_Toc79668670"/>
      <w:bookmarkStart w:id="359" w:name="_Toc81934379"/>
      <w:bookmarkEnd w:id="349"/>
      <w:bookmarkEnd w:id="350"/>
      <w:bookmarkEnd w:id="351"/>
      <w:bookmarkEnd w:id="352"/>
      <w:bookmarkEnd w:id="353"/>
      <w:bookmarkEnd w:id="354"/>
      <w:bookmarkEnd w:id="355"/>
      <w:bookmarkEnd w:id="356"/>
      <w:r>
        <w:rPr>
          <w:color w:val="000000"/>
        </w:rPr>
        <w:t>4.3</w:t>
      </w:r>
      <w:r>
        <w:rPr>
          <w:color w:val="000000"/>
        </w:rPr>
        <w:t>环境质量现状调查与评价</w:t>
      </w:r>
      <w:bookmarkEnd w:id="357"/>
      <w:bookmarkEnd w:id="358"/>
      <w:bookmarkEnd w:id="359"/>
    </w:p>
    <w:p w:rsidR="00240BCE" w:rsidRDefault="00AC0334" w:rsidP="009C5F33">
      <w:pPr>
        <w:pStyle w:val="03"/>
        <w:adjustRightInd w:val="0"/>
        <w:snapToGrid w:val="0"/>
        <w:spacing w:beforeLines="70" w:afterLines="30" w:afterAutospacing="0" w:line="240" w:lineRule="auto"/>
        <w:rPr>
          <w:rFonts w:ascii="Times New Roman" w:eastAsia="楷体" w:hAnsi="Times New Roman"/>
          <w:color w:val="000000"/>
        </w:rPr>
      </w:pPr>
      <w:bookmarkStart w:id="360" w:name="_Toc181088786"/>
      <w:bookmarkStart w:id="361" w:name="_Toc180680444"/>
      <w:bookmarkStart w:id="362" w:name="_Toc181089192"/>
      <w:bookmarkEnd w:id="360"/>
      <w:bookmarkEnd w:id="361"/>
      <w:r>
        <w:rPr>
          <w:rFonts w:ascii="Times New Roman" w:eastAsia="楷体" w:hAnsi="Times New Roman"/>
          <w:color w:val="000000"/>
        </w:rPr>
        <w:t xml:space="preserve">4.3.1 </w:t>
      </w:r>
      <w:r>
        <w:rPr>
          <w:rFonts w:ascii="Times New Roman" w:eastAsia="楷体" w:hAnsi="Times New Roman"/>
          <w:color w:val="000000"/>
        </w:rPr>
        <w:t>环境空气质量现状调查与评价</w:t>
      </w:r>
      <w:bookmarkEnd w:id="362"/>
      <w:r>
        <w:rPr>
          <w:rFonts w:ascii="Times New Roman" w:eastAsia="楷体" w:hAnsi="Times New Roman"/>
          <w:color w:val="000000"/>
        </w:rPr>
        <w:tab/>
      </w:r>
    </w:p>
    <w:p w:rsidR="00240BCE" w:rsidRDefault="00AC0334">
      <w:pPr>
        <w:pStyle w:val="01"/>
        <w:snapToGrid w:val="0"/>
        <w:spacing w:line="520" w:lineRule="exact"/>
        <w:ind w:firstLineChars="0" w:firstLine="0"/>
        <w:rPr>
          <w:rFonts w:ascii="Times New Roman" w:hAnsi="Times New Roman"/>
          <w:color w:val="000000"/>
        </w:rPr>
      </w:pPr>
      <w:r>
        <w:rPr>
          <w:rFonts w:ascii="Times New Roman" w:hAnsi="Times New Roman"/>
          <w:color w:val="000000"/>
        </w:rPr>
        <w:t>4.3.1.1</w:t>
      </w:r>
      <w:r>
        <w:rPr>
          <w:rFonts w:ascii="Times New Roman" w:hAnsi="Times New Roman"/>
          <w:color w:val="000000"/>
        </w:rPr>
        <w:t>区域环境空气质量现状</w:t>
      </w:r>
    </w:p>
    <w:p w:rsidR="00240BCE" w:rsidRDefault="00AC0334">
      <w:pPr>
        <w:pStyle w:val="01"/>
        <w:snapToGrid w:val="0"/>
        <w:spacing w:line="520" w:lineRule="exact"/>
        <w:ind w:firstLine="480"/>
        <w:rPr>
          <w:rFonts w:ascii="Times New Roman" w:hAnsi="Times New Roman"/>
          <w:color w:val="000000"/>
          <w:lang w:val="en-US"/>
        </w:rPr>
      </w:pPr>
      <w:r>
        <w:rPr>
          <w:rFonts w:ascii="Times New Roman" w:hAnsi="Times New Roman"/>
          <w:color w:val="000000"/>
        </w:rPr>
        <w:t>本次评价环境空气常规因子引用许昌市</w:t>
      </w:r>
      <w:r>
        <w:rPr>
          <w:rFonts w:ascii="Times New Roman" w:hAnsi="Times New Roman"/>
          <w:color w:val="000000"/>
        </w:rPr>
        <w:t>“</w:t>
      </w:r>
      <w:r>
        <w:rPr>
          <w:rFonts w:ascii="Times New Roman" w:hAnsi="Times New Roman"/>
          <w:color w:val="000000"/>
        </w:rPr>
        <w:t>环境空气质量自动监控系统</w:t>
      </w:r>
      <w:r>
        <w:rPr>
          <w:rFonts w:ascii="Times New Roman" w:hAnsi="Times New Roman"/>
          <w:color w:val="000000"/>
        </w:rPr>
        <w:t>”</w:t>
      </w:r>
      <w:r>
        <w:rPr>
          <w:rFonts w:ascii="Times New Roman" w:hAnsi="Times New Roman"/>
          <w:color w:val="000000"/>
        </w:rPr>
        <w:t>发布的禹州市环境空气质量数据（</w:t>
      </w:r>
      <w:r>
        <w:rPr>
          <w:rFonts w:ascii="Times New Roman" w:hAnsi="Times New Roman"/>
          <w:color w:val="000000"/>
        </w:rPr>
        <w:t xml:space="preserve">2020 </w:t>
      </w:r>
      <w:r>
        <w:rPr>
          <w:rFonts w:ascii="Times New Roman" w:hAnsi="Times New Roman"/>
          <w:color w:val="000000"/>
        </w:rPr>
        <w:t>年</w:t>
      </w:r>
      <w:r>
        <w:rPr>
          <w:rFonts w:ascii="Times New Roman" w:hAnsi="Times New Roman"/>
          <w:color w:val="000000"/>
        </w:rPr>
        <w:t xml:space="preserve"> 1 </w:t>
      </w:r>
      <w:r>
        <w:rPr>
          <w:rFonts w:ascii="Times New Roman" w:hAnsi="Times New Roman"/>
          <w:color w:val="000000"/>
        </w:rPr>
        <w:t>月</w:t>
      </w:r>
      <w:r>
        <w:rPr>
          <w:rFonts w:ascii="Times New Roman" w:hAnsi="Times New Roman"/>
          <w:color w:val="000000"/>
        </w:rPr>
        <w:t xml:space="preserve"> 1 </w:t>
      </w:r>
      <w:r>
        <w:rPr>
          <w:rFonts w:ascii="Times New Roman" w:hAnsi="Times New Roman"/>
          <w:color w:val="000000"/>
        </w:rPr>
        <w:t>日</w:t>
      </w:r>
      <w:r>
        <w:rPr>
          <w:rFonts w:ascii="Times New Roman" w:hAnsi="Times New Roman"/>
          <w:color w:val="000000"/>
        </w:rPr>
        <w:t xml:space="preserve">~2020 </w:t>
      </w:r>
      <w:r>
        <w:rPr>
          <w:rFonts w:ascii="Times New Roman" w:hAnsi="Times New Roman"/>
          <w:color w:val="000000"/>
        </w:rPr>
        <w:t>年</w:t>
      </w:r>
      <w:r>
        <w:rPr>
          <w:rFonts w:ascii="Times New Roman" w:hAnsi="Times New Roman"/>
          <w:color w:val="000000"/>
        </w:rPr>
        <w:t xml:space="preserve"> 12 </w:t>
      </w:r>
      <w:r>
        <w:rPr>
          <w:rFonts w:ascii="Times New Roman" w:hAnsi="Times New Roman"/>
          <w:color w:val="000000"/>
        </w:rPr>
        <w:t>月</w:t>
      </w:r>
      <w:r>
        <w:rPr>
          <w:rFonts w:ascii="Times New Roman" w:hAnsi="Times New Roman"/>
          <w:color w:val="000000"/>
        </w:rPr>
        <w:t xml:space="preserve"> 31 </w:t>
      </w:r>
      <w:r>
        <w:rPr>
          <w:rFonts w:ascii="Times New Roman" w:hAnsi="Times New Roman"/>
          <w:color w:val="000000"/>
        </w:rPr>
        <w:t>日），主要环境因子包括</w:t>
      </w:r>
      <w:r>
        <w:rPr>
          <w:rFonts w:ascii="Times New Roman" w:hAnsi="Times New Roman"/>
          <w:color w:val="000000"/>
        </w:rPr>
        <w:t>SO</w:t>
      </w:r>
      <w:r>
        <w:rPr>
          <w:rFonts w:ascii="Times New Roman" w:hAnsi="Times New Roman"/>
          <w:color w:val="000000"/>
          <w:vertAlign w:val="subscript"/>
        </w:rPr>
        <w:t>2</w:t>
      </w:r>
      <w:r>
        <w:rPr>
          <w:rFonts w:ascii="Times New Roman" w:hAnsi="Times New Roman"/>
          <w:color w:val="000000"/>
        </w:rPr>
        <w:t>、</w:t>
      </w:r>
      <w:r>
        <w:rPr>
          <w:rFonts w:ascii="Times New Roman" w:hAnsi="Times New Roman"/>
          <w:color w:val="000000"/>
        </w:rPr>
        <w:t>NO</w:t>
      </w:r>
      <w:r>
        <w:rPr>
          <w:rFonts w:ascii="Times New Roman" w:hAnsi="Times New Roman"/>
          <w:color w:val="000000"/>
          <w:vertAlign w:val="subscript"/>
        </w:rPr>
        <w:t>2</w:t>
      </w:r>
      <w:r>
        <w:rPr>
          <w:rFonts w:ascii="Times New Roman" w:hAnsi="Times New Roman"/>
          <w:color w:val="000000"/>
        </w:rPr>
        <w:t>、</w:t>
      </w:r>
      <w:r>
        <w:rPr>
          <w:rFonts w:ascii="Times New Roman" w:hAnsi="Times New Roman"/>
          <w:color w:val="000000"/>
        </w:rPr>
        <w:t>PM</w:t>
      </w:r>
      <w:r>
        <w:rPr>
          <w:rFonts w:ascii="Times New Roman" w:hAnsi="Times New Roman"/>
          <w:color w:val="000000"/>
          <w:vertAlign w:val="subscript"/>
        </w:rPr>
        <w:t>10</w:t>
      </w:r>
      <w:r>
        <w:rPr>
          <w:rFonts w:ascii="Times New Roman" w:hAnsi="Times New Roman"/>
          <w:color w:val="000000"/>
        </w:rPr>
        <w:t>、</w:t>
      </w:r>
      <w:r>
        <w:rPr>
          <w:rFonts w:ascii="Times New Roman" w:hAnsi="Times New Roman"/>
          <w:color w:val="000000"/>
        </w:rPr>
        <w:t>PM</w:t>
      </w:r>
      <w:r>
        <w:rPr>
          <w:rFonts w:ascii="Times New Roman" w:hAnsi="Times New Roman"/>
          <w:color w:val="000000"/>
          <w:vertAlign w:val="subscript"/>
        </w:rPr>
        <w:t>2.5</w:t>
      </w:r>
      <w:r>
        <w:rPr>
          <w:rFonts w:ascii="Times New Roman" w:hAnsi="Times New Roman"/>
          <w:color w:val="000000"/>
        </w:rPr>
        <w:t>、</w:t>
      </w:r>
      <w:r>
        <w:rPr>
          <w:rFonts w:ascii="Times New Roman" w:hAnsi="Times New Roman"/>
          <w:color w:val="000000"/>
        </w:rPr>
        <w:t>CO</w:t>
      </w:r>
      <w:r>
        <w:rPr>
          <w:rFonts w:ascii="Times New Roman" w:hAnsi="Times New Roman"/>
          <w:color w:val="000000"/>
        </w:rPr>
        <w:t>和</w:t>
      </w:r>
      <w:r>
        <w:rPr>
          <w:rFonts w:ascii="Times New Roman" w:hAnsi="Times New Roman"/>
          <w:color w:val="000000"/>
        </w:rPr>
        <w:t>O</w:t>
      </w:r>
      <w:r>
        <w:rPr>
          <w:rFonts w:ascii="Times New Roman" w:hAnsi="Times New Roman"/>
          <w:color w:val="000000"/>
          <w:vertAlign w:val="subscript"/>
        </w:rPr>
        <w:t>3</w:t>
      </w:r>
      <w:r>
        <w:rPr>
          <w:rFonts w:ascii="Times New Roman" w:hAnsi="Times New Roman"/>
          <w:color w:val="000000"/>
        </w:rPr>
        <w:t>。</w:t>
      </w:r>
      <w:r>
        <w:rPr>
          <w:rFonts w:ascii="Times New Roman" w:hAnsi="Times New Roman"/>
          <w:color w:val="000000"/>
        </w:rPr>
        <w:t>20</w:t>
      </w:r>
      <w:r>
        <w:rPr>
          <w:rFonts w:ascii="Times New Roman" w:hAnsi="Times New Roman" w:hint="eastAsia"/>
          <w:color w:val="000000"/>
          <w:lang w:val="en-US"/>
        </w:rPr>
        <w:t>20</w:t>
      </w:r>
      <w:r>
        <w:rPr>
          <w:rFonts w:ascii="Times New Roman" w:hAnsi="Times New Roman"/>
          <w:color w:val="000000"/>
        </w:rPr>
        <w:t xml:space="preserve"> </w:t>
      </w:r>
      <w:r>
        <w:rPr>
          <w:rFonts w:ascii="Times New Roman" w:hAnsi="Times New Roman"/>
          <w:color w:val="000000"/>
        </w:rPr>
        <w:t>年禹州市环境空气质量评价结果见下</w:t>
      </w:r>
      <w:r>
        <w:rPr>
          <w:rFonts w:ascii="Times New Roman" w:hAnsi="Times New Roman"/>
          <w:color w:val="000000"/>
          <w:lang w:val="en-US"/>
        </w:rPr>
        <w:t>表</w:t>
      </w:r>
      <w:r>
        <w:rPr>
          <w:rFonts w:ascii="Times New Roman" w:hAnsi="Times New Roman"/>
          <w:color w:val="000000"/>
          <w:lang w:val="en-US"/>
        </w:rPr>
        <w:t xml:space="preserve"> 4.3-1</w:t>
      </w:r>
      <w:r>
        <w:rPr>
          <w:rFonts w:ascii="Times New Roman" w:hAnsi="Times New Roman"/>
          <w:color w:val="000000"/>
          <w:lang w:val="en-US"/>
        </w:rPr>
        <w:t>。</w:t>
      </w:r>
      <w:r>
        <w:rPr>
          <w:rFonts w:ascii="Times New Roman" w:hAnsi="Times New Roman"/>
          <w:color w:val="000000"/>
          <w:lang w:val="en-US"/>
        </w:rPr>
        <w:t xml:space="preserve"> </w:t>
      </w:r>
    </w:p>
    <w:p w:rsidR="00240BCE" w:rsidRDefault="00AC0334">
      <w:pPr>
        <w:pStyle w:val="01"/>
        <w:snapToGrid w:val="0"/>
        <w:spacing w:line="520" w:lineRule="exact"/>
        <w:ind w:firstLineChars="0" w:firstLine="0"/>
        <w:jc w:val="center"/>
        <w:rPr>
          <w:rFonts w:ascii="Times New Roman" w:hAnsi="Times New Roman"/>
          <w:b/>
          <w:bCs/>
          <w:color w:val="000000"/>
          <w:lang w:val="en-US"/>
        </w:rPr>
      </w:pPr>
      <w:r>
        <w:rPr>
          <w:rFonts w:ascii="Times New Roman" w:hAnsi="Times New Roman"/>
          <w:b/>
          <w:bCs/>
          <w:color w:val="000000"/>
          <w:lang w:val="en-US"/>
        </w:rPr>
        <w:t>表</w:t>
      </w:r>
      <w:r>
        <w:rPr>
          <w:rFonts w:ascii="Times New Roman" w:hAnsi="Times New Roman"/>
          <w:b/>
          <w:bCs/>
          <w:color w:val="000000"/>
          <w:lang w:val="en-US"/>
        </w:rPr>
        <w:t xml:space="preserve">4.3-1 </w:t>
      </w:r>
      <w:r>
        <w:rPr>
          <w:rFonts w:ascii="Times New Roman" w:hAnsi="Times New Roman"/>
          <w:b/>
          <w:bCs/>
          <w:color w:val="000000"/>
          <w:lang w:val="en-US"/>
        </w:rPr>
        <w:t>项目区域环境空气质量现状评价表</w:t>
      </w:r>
      <w:r>
        <w:rPr>
          <w:rFonts w:ascii="Times New Roman" w:hAnsi="Times New Roman"/>
          <w:b/>
          <w:bCs/>
          <w:color w:val="000000"/>
          <w:sz w:val="21"/>
          <w:szCs w:val="21"/>
          <w:lang w:val="en-US"/>
        </w:rPr>
        <w:t>（单位：</w:t>
      </w:r>
      <w:r>
        <w:rPr>
          <w:rFonts w:ascii="Times New Roman" w:hAnsi="Times New Roman"/>
          <w:b/>
          <w:bCs/>
          <w:color w:val="000000"/>
          <w:sz w:val="21"/>
          <w:szCs w:val="21"/>
          <w:lang w:val="en-US"/>
        </w:rPr>
        <w:t>CO</w:t>
      </w:r>
      <w:r>
        <w:rPr>
          <w:rFonts w:ascii="Times New Roman" w:hAnsi="Times New Roman"/>
          <w:b/>
          <w:bCs/>
          <w:color w:val="000000"/>
          <w:sz w:val="21"/>
          <w:szCs w:val="21"/>
          <w:lang w:val="en-US"/>
        </w:rPr>
        <w:t>为</w:t>
      </w:r>
      <w:r>
        <w:rPr>
          <w:rFonts w:ascii="Times New Roman" w:hAnsi="Times New Roman"/>
          <w:color w:val="000000"/>
          <w:sz w:val="21"/>
          <w:szCs w:val="21"/>
          <w:lang w:val="en-US"/>
        </w:rPr>
        <w:t>mg/m</w:t>
      </w:r>
      <w:r>
        <w:rPr>
          <w:rFonts w:ascii="Times New Roman" w:hAnsi="Times New Roman"/>
          <w:color w:val="000000"/>
          <w:sz w:val="21"/>
          <w:szCs w:val="21"/>
          <w:vertAlign w:val="superscript"/>
          <w:lang w:val="en-US"/>
        </w:rPr>
        <w:t>3</w:t>
      </w:r>
      <w:r>
        <w:rPr>
          <w:rFonts w:ascii="Times New Roman" w:hAnsi="Times New Roman"/>
          <w:color w:val="000000"/>
          <w:sz w:val="21"/>
          <w:szCs w:val="21"/>
          <w:lang w:val="en-US"/>
        </w:rPr>
        <w:t>，其余均为</w:t>
      </w:r>
      <w:r>
        <w:rPr>
          <w:rFonts w:ascii="Times New Roman" w:hAnsi="Times New Roman"/>
          <w:color w:val="000000"/>
          <w:sz w:val="21"/>
          <w:szCs w:val="21"/>
          <w:lang w:val="en-US"/>
        </w:rPr>
        <w:t>μg/m</w:t>
      </w:r>
      <w:r>
        <w:rPr>
          <w:rFonts w:ascii="Times New Roman" w:hAnsi="Times New Roman"/>
          <w:color w:val="000000"/>
          <w:sz w:val="21"/>
          <w:szCs w:val="21"/>
          <w:vertAlign w:val="superscript"/>
          <w:lang w:val="en-US"/>
        </w:rPr>
        <w:t>3</w:t>
      </w:r>
      <w:r>
        <w:rPr>
          <w:rFonts w:ascii="Times New Roman" w:hAnsi="Times New Roman"/>
          <w:b/>
          <w:bCs/>
          <w:color w:val="000000"/>
          <w:sz w:val="21"/>
          <w:szCs w:val="21"/>
          <w:lang w:val="en-US"/>
        </w:rPr>
        <w:t>）</w:t>
      </w:r>
    </w:p>
    <w:tbl>
      <w:tblPr>
        <w:tblW w:w="89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6"/>
        <w:gridCol w:w="3118"/>
        <w:gridCol w:w="1030"/>
        <w:gridCol w:w="1314"/>
        <w:gridCol w:w="1314"/>
        <w:gridCol w:w="1314"/>
      </w:tblGrid>
      <w:tr w:rsidR="00240BCE">
        <w:tc>
          <w:tcPr>
            <w:tcW w:w="856"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污染物</w:t>
            </w:r>
          </w:p>
        </w:tc>
        <w:tc>
          <w:tcPr>
            <w:tcW w:w="3118"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年评价指标</w:t>
            </w:r>
          </w:p>
        </w:tc>
        <w:tc>
          <w:tcPr>
            <w:tcW w:w="1030"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浓度现状</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标准值</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占标率（％）</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达标情况</w:t>
            </w:r>
          </w:p>
        </w:tc>
      </w:tr>
      <w:tr w:rsidR="00240BCE">
        <w:tc>
          <w:tcPr>
            <w:tcW w:w="856"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PM</w:t>
            </w:r>
            <w:r>
              <w:rPr>
                <w:rFonts w:ascii="Times New Roman" w:hAnsi="Times New Roman"/>
                <w:bCs/>
                <w:color w:val="000000"/>
                <w:sz w:val="21"/>
                <w:szCs w:val="21"/>
                <w:vertAlign w:val="subscript"/>
                <w:lang w:val="en-US"/>
              </w:rPr>
              <w:t>2.5</w:t>
            </w:r>
          </w:p>
        </w:tc>
        <w:tc>
          <w:tcPr>
            <w:tcW w:w="3118"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年均值</w:t>
            </w:r>
          </w:p>
        </w:tc>
        <w:tc>
          <w:tcPr>
            <w:tcW w:w="1030"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hint="eastAsia"/>
                <w:bCs/>
                <w:color w:val="000000"/>
                <w:sz w:val="21"/>
                <w:szCs w:val="21"/>
                <w:lang w:val="en-US"/>
              </w:rPr>
              <w:t>54</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35</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1</w:t>
            </w:r>
            <w:r>
              <w:rPr>
                <w:rFonts w:ascii="Times New Roman" w:hAnsi="Times New Roman" w:hint="eastAsia"/>
                <w:bCs/>
                <w:color w:val="000000"/>
                <w:sz w:val="21"/>
                <w:szCs w:val="21"/>
                <w:lang w:val="en-US"/>
              </w:rPr>
              <w:t>54</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不达标</w:t>
            </w:r>
          </w:p>
        </w:tc>
      </w:tr>
      <w:tr w:rsidR="00240BCE">
        <w:tc>
          <w:tcPr>
            <w:tcW w:w="856"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PM</w:t>
            </w:r>
            <w:r>
              <w:rPr>
                <w:rFonts w:ascii="Times New Roman" w:hAnsi="Times New Roman"/>
                <w:bCs/>
                <w:color w:val="000000"/>
                <w:sz w:val="21"/>
                <w:szCs w:val="21"/>
                <w:vertAlign w:val="subscript"/>
                <w:lang w:val="en-US"/>
              </w:rPr>
              <w:t>10</w:t>
            </w:r>
          </w:p>
        </w:tc>
        <w:tc>
          <w:tcPr>
            <w:tcW w:w="3118"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年均值</w:t>
            </w:r>
          </w:p>
        </w:tc>
        <w:tc>
          <w:tcPr>
            <w:tcW w:w="1030"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hint="eastAsia"/>
                <w:bCs/>
                <w:color w:val="000000"/>
                <w:sz w:val="21"/>
                <w:szCs w:val="21"/>
                <w:lang w:val="en-US"/>
              </w:rPr>
              <w:t>98</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70</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hint="eastAsia"/>
                <w:bCs/>
                <w:color w:val="000000"/>
                <w:sz w:val="21"/>
                <w:szCs w:val="21"/>
                <w:lang w:val="en-US"/>
              </w:rPr>
              <w:t>140</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不达标</w:t>
            </w:r>
          </w:p>
        </w:tc>
      </w:tr>
      <w:tr w:rsidR="00240BCE">
        <w:tc>
          <w:tcPr>
            <w:tcW w:w="856"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CO</w:t>
            </w:r>
          </w:p>
        </w:tc>
        <w:tc>
          <w:tcPr>
            <w:tcW w:w="3118"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 xml:space="preserve">24 </w:t>
            </w:r>
            <w:r>
              <w:rPr>
                <w:rFonts w:ascii="Times New Roman" w:hAnsi="Times New Roman"/>
                <w:bCs/>
                <w:color w:val="000000"/>
                <w:sz w:val="21"/>
                <w:szCs w:val="21"/>
                <w:lang w:val="en-US"/>
              </w:rPr>
              <w:t>小时平均第</w:t>
            </w:r>
            <w:r>
              <w:rPr>
                <w:rFonts w:ascii="Times New Roman" w:hAnsi="Times New Roman"/>
                <w:bCs/>
                <w:color w:val="000000"/>
                <w:sz w:val="21"/>
                <w:szCs w:val="21"/>
                <w:lang w:val="en-US"/>
              </w:rPr>
              <w:t>95</w:t>
            </w:r>
            <w:r>
              <w:rPr>
                <w:rFonts w:ascii="Times New Roman" w:hAnsi="Times New Roman"/>
                <w:bCs/>
                <w:color w:val="000000"/>
                <w:sz w:val="21"/>
                <w:szCs w:val="21"/>
                <w:lang w:val="en-US"/>
              </w:rPr>
              <w:t>百分位数</w:t>
            </w:r>
          </w:p>
        </w:tc>
        <w:tc>
          <w:tcPr>
            <w:tcW w:w="1030"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1.</w:t>
            </w:r>
            <w:r>
              <w:rPr>
                <w:rFonts w:ascii="Times New Roman" w:hAnsi="Times New Roman" w:hint="eastAsia"/>
                <w:bCs/>
                <w:color w:val="000000"/>
                <w:sz w:val="21"/>
                <w:szCs w:val="21"/>
                <w:lang w:val="en-US"/>
              </w:rPr>
              <w:t>5</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4</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hint="eastAsia"/>
                <w:bCs/>
                <w:color w:val="000000"/>
                <w:sz w:val="21"/>
                <w:szCs w:val="21"/>
                <w:lang w:val="en-US"/>
              </w:rPr>
              <w:t>37.5</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达标</w:t>
            </w:r>
          </w:p>
        </w:tc>
      </w:tr>
      <w:tr w:rsidR="00240BCE">
        <w:tc>
          <w:tcPr>
            <w:tcW w:w="856"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NO</w:t>
            </w:r>
            <w:r>
              <w:rPr>
                <w:rFonts w:ascii="Times New Roman" w:hAnsi="Times New Roman"/>
                <w:bCs/>
                <w:color w:val="000000"/>
                <w:sz w:val="21"/>
                <w:szCs w:val="21"/>
                <w:vertAlign w:val="subscript"/>
                <w:lang w:val="en-US"/>
              </w:rPr>
              <w:t>2</w:t>
            </w:r>
          </w:p>
        </w:tc>
        <w:tc>
          <w:tcPr>
            <w:tcW w:w="3118"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年均值</w:t>
            </w:r>
          </w:p>
        </w:tc>
        <w:tc>
          <w:tcPr>
            <w:tcW w:w="1030"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hint="eastAsia"/>
                <w:bCs/>
                <w:color w:val="000000"/>
                <w:sz w:val="21"/>
                <w:szCs w:val="21"/>
                <w:lang w:val="en-US"/>
              </w:rPr>
              <w:t>28</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40</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hint="eastAsia"/>
                <w:bCs/>
                <w:color w:val="000000"/>
                <w:sz w:val="21"/>
                <w:szCs w:val="21"/>
                <w:lang w:val="en-US"/>
              </w:rPr>
              <w:t>70</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达标</w:t>
            </w:r>
          </w:p>
        </w:tc>
      </w:tr>
      <w:tr w:rsidR="00240BCE">
        <w:tc>
          <w:tcPr>
            <w:tcW w:w="856"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O</w:t>
            </w:r>
            <w:r>
              <w:rPr>
                <w:rFonts w:ascii="Times New Roman" w:hAnsi="Times New Roman"/>
                <w:bCs/>
                <w:color w:val="000000"/>
                <w:sz w:val="21"/>
                <w:szCs w:val="21"/>
                <w:vertAlign w:val="subscript"/>
                <w:lang w:val="en-US"/>
              </w:rPr>
              <w:t>3</w:t>
            </w:r>
          </w:p>
        </w:tc>
        <w:tc>
          <w:tcPr>
            <w:tcW w:w="3118"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rPr>
              <w:t>日最大</w:t>
            </w:r>
            <w:r>
              <w:rPr>
                <w:rFonts w:ascii="Times New Roman" w:hAnsi="Times New Roman"/>
                <w:bCs/>
                <w:color w:val="000000"/>
                <w:sz w:val="21"/>
                <w:szCs w:val="21"/>
              </w:rPr>
              <w:t>8</w:t>
            </w:r>
            <w:r>
              <w:rPr>
                <w:rFonts w:ascii="Times New Roman" w:hAnsi="Times New Roman"/>
                <w:bCs/>
                <w:color w:val="000000"/>
                <w:sz w:val="21"/>
                <w:szCs w:val="21"/>
              </w:rPr>
              <w:t>小时平均值第</w:t>
            </w:r>
            <w:r>
              <w:rPr>
                <w:rFonts w:ascii="Times New Roman" w:hAnsi="Times New Roman"/>
                <w:bCs/>
                <w:color w:val="000000"/>
                <w:sz w:val="21"/>
                <w:szCs w:val="21"/>
              </w:rPr>
              <w:t>90</w:t>
            </w:r>
            <w:r>
              <w:rPr>
                <w:rFonts w:ascii="Times New Roman" w:hAnsi="Times New Roman"/>
                <w:bCs/>
                <w:color w:val="000000"/>
                <w:sz w:val="21"/>
                <w:szCs w:val="21"/>
              </w:rPr>
              <w:t>百分位</w:t>
            </w:r>
            <w:r>
              <w:rPr>
                <w:rFonts w:ascii="Times New Roman" w:hAnsi="Times New Roman"/>
                <w:bCs/>
                <w:color w:val="000000"/>
                <w:sz w:val="21"/>
                <w:szCs w:val="21"/>
                <w:lang w:val="en-US"/>
              </w:rPr>
              <w:t>数</w:t>
            </w:r>
          </w:p>
        </w:tc>
        <w:tc>
          <w:tcPr>
            <w:tcW w:w="1030"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1</w:t>
            </w:r>
            <w:r>
              <w:rPr>
                <w:rFonts w:ascii="Times New Roman" w:hAnsi="Times New Roman" w:hint="eastAsia"/>
                <w:bCs/>
                <w:color w:val="000000"/>
                <w:sz w:val="21"/>
                <w:szCs w:val="21"/>
                <w:lang w:val="en-US"/>
              </w:rPr>
              <w:t>66</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160</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hint="eastAsia"/>
                <w:bCs/>
                <w:color w:val="000000"/>
                <w:sz w:val="21"/>
                <w:szCs w:val="21"/>
                <w:lang w:val="en-US"/>
              </w:rPr>
              <w:t>103.7</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不达标</w:t>
            </w:r>
          </w:p>
        </w:tc>
      </w:tr>
      <w:tr w:rsidR="00240BCE">
        <w:tc>
          <w:tcPr>
            <w:tcW w:w="856"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vertAlign w:val="subscript"/>
                <w:lang w:val="en-US"/>
              </w:rPr>
            </w:pPr>
            <w:r>
              <w:rPr>
                <w:rFonts w:ascii="Times New Roman" w:hAnsi="Times New Roman"/>
                <w:bCs/>
                <w:color w:val="000000"/>
                <w:sz w:val="21"/>
                <w:szCs w:val="21"/>
                <w:lang w:val="en-US"/>
              </w:rPr>
              <w:t>SO</w:t>
            </w:r>
            <w:r>
              <w:rPr>
                <w:rFonts w:ascii="Times New Roman" w:hAnsi="Times New Roman"/>
                <w:bCs/>
                <w:color w:val="000000"/>
                <w:sz w:val="21"/>
                <w:szCs w:val="21"/>
                <w:vertAlign w:val="subscript"/>
                <w:lang w:val="en-US"/>
              </w:rPr>
              <w:t>2</w:t>
            </w:r>
          </w:p>
        </w:tc>
        <w:tc>
          <w:tcPr>
            <w:tcW w:w="3118"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年均值</w:t>
            </w:r>
          </w:p>
        </w:tc>
        <w:tc>
          <w:tcPr>
            <w:tcW w:w="1030"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1</w:t>
            </w:r>
            <w:r>
              <w:rPr>
                <w:rFonts w:ascii="Times New Roman" w:hAnsi="Times New Roman" w:hint="eastAsia"/>
                <w:bCs/>
                <w:color w:val="000000"/>
                <w:sz w:val="21"/>
                <w:szCs w:val="21"/>
                <w:lang w:val="en-US"/>
              </w:rPr>
              <w:t>3</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60</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hint="eastAsia"/>
                <w:bCs/>
                <w:color w:val="000000"/>
                <w:sz w:val="21"/>
                <w:szCs w:val="21"/>
                <w:lang w:val="en-US"/>
              </w:rPr>
              <w:t>21.7</w:t>
            </w:r>
          </w:p>
        </w:tc>
        <w:tc>
          <w:tcPr>
            <w:tcW w:w="1314" w:type="dxa"/>
            <w:vAlign w:val="center"/>
          </w:tcPr>
          <w:p w:rsidR="00240BCE" w:rsidRDefault="00AC0334">
            <w:pPr>
              <w:pStyle w:val="01"/>
              <w:snapToGrid w:val="0"/>
              <w:spacing w:line="340" w:lineRule="exact"/>
              <w:ind w:firstLineChars="0" w:firstLine="0"/>
              <w:jc w:val="center"/>
              <w:rPr>
                <w:rFonts w:ascii="Times New Roman" w:hAnsi="Times New Roman"/>
                <w:bCs/>
                <w:color w:val="000000"/>
                <w:sz w:val="21"/>
                <w:szCs w:val="21"/>
                <w:lang w:val="en-US"/>
              </w:rPr>
            </w:pPr>
            <w:r>
              <w:rPr>
                <w:rFonts w:ascii="Times New Roman" w:hAnsi="Times New Roman"/>
                <w:bCs/>
                <w:color w:val="000000"/>
                <w:sz w:val="21"/>
                <w:szCs w:val="21"/>
                <w:lang w:val="en-US"/>
              </w:rPr>
              <w:t>达标</w:t>
            </w:r>
          </w:p>
        </w:tc>
      </w:tr>
    </w:tbl>
    <w:p w:rsidR="00240BCE" w:rsidRDefault="00AC0334">
      <w:pPr>
        <w:pStyle w:val="01"/>
        <w:snapToGrid w:val="0"/>
        <w:spacing w:line="520" w:lineRule="exact"/>
        <w:ind w:firstLine="480"/>
        <w:rPr>
          <w:rFonts w:ascii="Times New Roman" w:hAnsi="Times New Roman"/>
          <w:bCs/>
          <w:color w:val="000000"/>
          <w:lang w:val="en-US"/>
        </w:rPr>
      </w:pPr>
      <w:r>
        <w:rPr>
          <w:rFonts w:ascii="Times New Roman" w:hAnsi="Times New Roman"/>
          <w:bCs/>
          <w:color w:val="000000"/>
          <w:lang w:val="en-US"/>
        </w:rPr>
        <w:t>由上表数据可知，项目所在地</w:t>
      </w:r>
      <w:r>
        <w:rPr>
          <w:rFonts w:ascii="Times New Roman" w:hAnsi="Times New Roman"/>
          <w:bCs/>
          <w:color w:val="000000"/>
          <w:lang w:val="en-US"/>
        </w:rPr>
        <w:t>20</w:t>
      </w:r>
      <w:r>
        <w:rPr>
          <w:rFonts w:ascii="Times New Roman" w:hAnsi="Times New Roman" w:hint="eastAsia"/>
          <w:bCs/>
          <w:color w:val="000000"/>
          <w:lang w:val="en-US"/>
        </w:rPr>
        <w:t>20</w:t>
      </w:r>
      <w:r>
        <w:rPr>
          <w:rFonts w:ascii="Times New Roman" w:hAnsi="Times New Roman"/>
          <w:bCs/>
          <w:color w:val="000000"/>
          <w:lang w:val="en-US"/>
        </w:rPr>
        <w:t>年</w:t>
      </w:r>
      <w:r>
        <w:rPr>
          <w:rFonts w:ascii="Times New Roman" w:hAnsi="Times New Roman"/>
          <w:bCs/>
          <w:color w:val="000000"/>
          <w:lang w:val="en-US"/>
        </w:rPr>
        <w:t>NO</w:t>
      </w:r>
      <w:r>
        <w:rPr>
          <w:rFonts w:ascii="Times New Roman" w:hAnsi="Times New Roman"/>
          <w:bCs/>
          <w:color w:val="000000"/>
          <w:vertAlign w:val="subscript"/>
          <w:lang w:val="en-US"/>
        </w:rPr>
        <w:t>2</w:t>
      </w:r>
      <w:r>
        <w:rPr>
          <w:rFonts w:ascii="Times New Roman" w:hAnsi="Times New Roman"/>
          <w:bCs/>
          <w:color w:val="000000"/>
          <w:lang w:val="en-US"/>
        </w:rPr>
        <w:t>、</w:t>
      </w:r>
      <w:r>
        <w:rPr>
          <w:rFonts w:ascii="Times New Roman" w:hAnsi="Times New Roman"/>
          <w:bCs/>
          <w:color w:val="000000"/>
          <w:lang w:val="en-US"/>
        </w:rPr>
        <w:t>CO</w:t>
      </w:r>
      <w:r>
        <w:rPr>
          <w:rFonts w:ascii="Times New Roman" w:hAnsi="Times New Roman"/>
          <w:bCs/>
          <w:color w:val="000000"/>
          <w:lang w:val="en-US"/>
        </w:rPr>
        <w:t>、</w:t>
      </w:r>
      <w:r>
        <w:rPr>
          <w:rFonts w:ascii="Times New Roman" w:hAnsi="Times New Roman"/>
          <w:bCs/>
          <w:color w:val="000000"/>
          <w:lang w:val="en-US"/>
        </w:rPr>
        <w:t>SO</w:t>
      </w:r>
      <w:r>
        <w:rPr>
          <w:rFonts w:ascii="Times New Roman" w:hAnsi="Times New Roman"/>
          <w:bCs/>
          <w:color w:val="000000"/>
          <w:vertAlign w:val="subscript"/>
          <w:lang w:val="en-US"/>
        </w:rPr>
        <w:t>2</w:t>
      </w:r>
      <w:r>
        <w:rPr>
          <w:rFonts w:ascii="Times New Roman" w:hAnsi="Times New Roman"/>
          <w:bCs/>
          <w:color w:val="000000"/>
          <w:lang w:val="en-US"/>
        </w:rPr>
        <w:t>均能达到《环境空气质量标准》（</w:t>
      </w:r>
      <w:r>
        <w:rPr>
          <w:rFonts w:ascii="Times New Roman" w:hAnsi="Times New Roman"/>
          <w:bCs/>
          <w:color w:val="000000"/>
          <w:lang w:val="en-US"/>
        </w:rPr>
        <w:t>GB3095-2012</w:t>
      </w:r>
      <w:r>
        <w:rPr>
          <w:rFonts w:ascii="Times New Roman" w:hAnsi="Times New Roman"/>
          <w:bCs/>
          <w:color w:val="000000"/>
          <w:lang w:val="en-US"/>
        </w:rPr>
        <w:t>）二级标准。</w:t>
      </w:r>
      <w:r>
        <w:rPr>
          <w:rFonts w:ascii="Times New Roman" w:hAnsi="Times New Roman"/>
          <w:bCs/>
          <w:color w:val="000000"/>
          <w:lang w:val="en-US"/>
        </w:rPr>
        <w:t>PM</w:t>
      </w:r>
      <w:r>
        <w:rPr>
          <w:rFonts w:ascii="Times New Roman" w:hAnsi="Times New Roman"/>
          <w:bCs/>
          <w:color w:val="000000"/>
          <w:vertAlign w:val="subscript"/>
          <w:lang w:val="en-US"/>
        </w:rPr>
        <w:t>2.5</w:t>
      </w:r>
      <w:r>
        <w:rPr>
          <w:rFonts w:ascii="Times New Roman" w:hAnsi="Times New Roman"/>
          <w:bCs/>
          <w:color w:val="000000"/>
          <w:lang w:val="en-US"/>
        </w:rPr>
        <w:t>、</w:t>
      </w:r>
      <w:r>
        <w:rPr>
          <w:rFonts w:ascii="Times New Roman" w:hAnsi="Times New Roman"/>
          <w:bCs/>
          <w:color w:val="000000"/>
          <w:lang w:val="en-US"/>
        </w:rPr>
        <w:t>PM</w:t>
      </w:r>
      <w:r>
        <w:rPr>
          <w:rFonts w:ascii="Times New Roman" w:hAnsi="Times New Roman"/>
          <w:bCs/>
          <w:color w:val="000000"/>
          <w:vertAlign w:val="subscript"/>
          <w:lang w:val="en-US"/>
        </w:rPr>
        <w:t>10</w:t>
      </w:r>
      <w:r>
        <w:rPr>
          <w:rFonts w:ascii="Times New Roman" w:hAnsi="Times New Roman"/>
          <w:bCs/>
          <w:color w:val="000000"/>
          <w:lang w:val="en-US"/>
        </w:rPr>
        <w:t>、</w:t>
      </w:r>
      <w:r>
        <w:rPr>
          <w:rFonts w:ascii="Times New Roman" w:hAnsi="Times New Roman"/>
          <w:bCs/>
          <w:color w:val="000000"/>
          <w:lang w:val="en-US"/>
        </w:rPr>
        <w:t>O</w:t>
      </w:r>
      <w:r>
        <w:rPr>
          <w:rFonts w:ascii="Times New Roman" w:hAnsi="Times New Roman"/>
          <w:bCs/>
          <w:color w:val="000000"/>
          <w:vertAlign w:val="subscript"/>
          <w:lang w:val="en-US"/>
        </w:rPr>
        <w:t>3</w:t>
      </w:r>
      <w:r>
        <w:rPr>
          <w:rFonts w:ascii="Times New Roman" w:hAnsi="Times New Roman"/>
          <w:bCs/>
          <w:color w:val="000000"/>
          <w:lang w:val="en-US"/>
        </w:rPr>
        <w:t>存在超标现象。因此，判断项目所在区域属于不达标区。</w:t>
      </w:r>
      <w:r>
        <w:rPr>
          <w:rFonts w:ascii="Times New Roman" w:hAnsi="Times New Roman"/>
          <w:bCs/>
          <w:color w:val="000000"/>
          <w:lang w:val="en-US"/>
        </w:rPr>
        <w:t xml:space="preserve"> </w:t>
      </w:r>
      <w:r>
        <w:rPr>
          <w:rFonts w:ascii="Times New Roman" w:hAnsi="Times New Roman"/>
          <w:bCs/>
          <w:color w:val="000000"/>
          <w:lang w:val="en-US"/>
        </w:rPr>
        <w:t>超标原因为北方地区冬春季风砂较大，且工业的快速发展、能源消耗、机动车使用量的快速增成长废气污染物排放的影响。</w:t>
      </w:r>
    </w:p>
    <w:p w:rsidR="00240BCE" w:rsidRDefault="00AC0334">
      <w:pPr>
        <w:pStyle w:val="01"/>
        <w:snapToGrid w:val="0"/>
        <w:spacing w:line="520" w:lineRule="exact"/>
        <w:ind w:firstLine="480"/>
        <w:rPr>
          <w:rFonts w:ascii="Times New Roman" w:hAnsi="Times New Roman"/>
          <w:bCs/>
          <w:color w:val="000000"/>
          <w:lang w:val="en-US"/>
        </w:rPr>
      </w:pPr>
      <w:r>
        <w:rPr>
          <w:rFonts w:ascii="Times New Roman" w:hAnsi="Times New Roman"/>
          <w:bCs/>
          <w:color w:val="000000"/>
          <w:lang w:val="en-US"/>
        </w:rPr>
        <w:t>禹州市人民政府正在实施《</w:t>
      </w:r>
      <w:r w:rsidR="0000043F" w:rsidRPr="0000043F">
        <w:rPr>
          <w:rFonts w:ascii="Times New Roman" w:hAnsi="Times New Roman"/>
          <w:bCs/>
          <w:color w:val="000000"/>
          <w:lang w:val="en-US"/>
        </w:rPr>
        <w:t>河南省</w:t>
      </w:r>
      <w:r w:rsidR="0000043F" w:rsidRPr="0000043F">
        <w:rPr>
          <w:rFonts w:ascii="Times New Roman" w:hAnsi="Times New Roman"/>
          <w:bCs/>
          <w:color w:val="000000"/>
          <w:lang w:val="en-US"/>
        </w:rPr>
        <w:t>202</w:t>
      </w:r>
      <w:r w:rsidR="0000043F" w:rsidRPr="0000043F">
        <w:rPr>
          <w:rFonts w:ascii="Times New Roman" w:hAnsi="Times New Roman" w:hint="eastAsia"/>
          <w:bCs/>
          <w:color w:val="000000"/>
          <w:lang w:val="en-US"/>
        </w:rPr>
        <w:t>1</w:t>
      </w:r>
      <w:r w:rsidR="0000043F" w:rsidRPr="0000043F">
        <w:rPr>
          <w:rFonts w:ascii="Times New Roman" w:hAnsi="Times New Roman"/>
          <w:bCs/>
          <w:color w:val="000000"/>
          <w:lang w:val="en-US"/>
        </w:rPr>
        <w:t>年大气、水、土壤污染防治攻坚战实施方案</w:t>
      </w:r>
      <w:r>
        <w:rPr>
          <w:rFonts w:ascii="Times New Roman" w:hAnsi="Times New Roman"/>
          <w:bCs/>
          <w:color w:val="000000"/>
          <w:lang w:val="en-US"/>
        </w:rPr>
        <w:t>》（豫环攻坚政办</w:t>
      </w:r>
      <w:r>
        <w:rPr>
          <w:rFonts w:ascii="Times New Roman" w:hAnsi="Times New Roman"/>
          <w:bCs/>
          <w:color w:val="000000"/>
          <w:lang w:val="en-US"/>
        </w:rPr>
        <w:t xml:space="preserve">[2021]20 </w:t>
      </w:r>
      <w:r>
        <w:rPr>
          <w:rFonts w:ascii="Times New Roman" w:hAnsi="Times New Roman"/>
          <w:bCs/>
          <w:color w:val="000000"/>
          <w:lang w:val="en-US"/>
        </w:rPr>
        <w:t>号）、《许昌市污染防治攻坚战领导小组办公室关于印发许</w:t>
      </w:r>
      <w:r>
        <w:rPr>
          <w:rFonts w:ascii="Times New Roman" w:hAnsi="Times New Roman"/>
          <w:bCs/>
          <w:color w:val="000000"/>
          <w:lang w:val="en-US"/>
        </w:rPr>
        <w:lastRenderedPageBreak/>
        <w:t>昌市</w:t>
      </w:r>
      <w:r>
        <w:rPr>
          <w:rFonts w:ascii="Times New Roman" w:hAnsi="Times New Roman"/>
          <w:bCs/>
          <w:color w:val="000000"/>
          <w:lang w:val="en-US"/>
        </w:rPr>
        <w:t xml:space="preserve"> 2021 </w:t>
      </w:r>
      <w:r>
        <w:rPr>
          <w:rFonts w:ascii="Times New Roman" w:hAnsi="Times New Roman"/>
          <w:bCs/>
          <w:color w:val="000000"/>
          <w:lang w:val="en-US"/>
        </w:rPr>
        <w:t>年大气、水、土壤污染防治攻坚战及农业农村污染治理攻坚战实施方案的通知》（许环攻坚办〔</w:t>
      </w:r>
      <w:r>
        <w:rPr>
          <w:rFonts w:ascii="Times New Roman" w:hAnsi="Times New Roman"/>
          <w:bCs/>
          <w:color w:val="000000"/>
          <w:lang w:val="en-US"/>
        </w:rPr>
        <w:t>2021</w:t>
      </w:r>
      <w:r>
        <w:rPr>
          <w:rFonts w:ascii="Times New Roman" w:hAnsi="Times New Roman"/>
          <w:bCs/>
          <w:color w:val="000000"/>
          <w:lang w:val="en-US"/>
        </w:rPr>
        <w:t>〕</w:t>
      </w:r>
      <w:r>
        <w:rPr>
          <w:rFonts w:ascii="Times New Roman" w:hAnsi="Times New Roman"/>
          <w:bCs/>
          <w:color w:val="000000"/>
          <w:lang w:val="en-US"/>
        </w:rPr>
        <w:t>36</w:t>
      </w:r>
      <w:r>
        <w:rPr>
          <w:rFonts w:ascii="Times New Roman" w:hAnsi="Times New Roman"/>
          <w:bCs/>
          <w:color w:val="000000"/>
          <w:lang w:val="en-US"/>
        </w:rPr>
        <w:t>号），河南省</w:t>
      </w:r>
      <w:r>
        <w:rPr>
          <w:rFonts w:ascii="Times New Roman" w:hAnsi="Times New Roman"/>
          <w:bCs/>
          <w:color w:val="000000"/>
          <w:lang w:val="en-US"/>
        </w:rPr>
        <w:t xml:space="preserve"> 2021 </w:t>
      </w:r>
      <w:r>
        <w:rPr>
          <w:rFonts w:ascii="Times New Roman" w:hAnsi="Times New Roman"/>
          <w:bCs/>
          <w:color w:val="000000"/>
          <w:lang w:val="en-US"/>
        </w:rPr>
        <w:t>年年度目标：全省细颗粒物</w:t>
      </w:r>
      <w:r>
        <w:rPr>
          <w:rFonts w:ascii="Times New Roman" w:hAnsi="Times New Roman"/>
          <w:bCs/>
          <w:color w:val="000000"/>
          <w:lang w:val="en-US"/>
        </w:rPr>
        <w:t>(PM 2.5 )</w:t>
      </w:r>
      <w:r>
        <w:rPr>
          <w:rFonts w:ascii="Times New Roman" w:hAnsi="Times New Roman"/>
          <w:bCs/>
          <w:color w:val="000000"/>
          <w:lang w:val="en-US"/>
        </w:rPr>
        <w:t>平均浓度控制在</w:t>
      </w:r>
      <w:r>
        <w:rPr>
          <w:rFonts w:ascii="Times New Roman" w:hAnsi="Times New Roman"/>
          <w:bCs/>
          <w:color w:val="000000"/>
          <w:lang w:val="en-US"/>
        </w:rPr>
        <w:t xml:space="preserve"> 53 </w:t>
      </w:r>
      <w:r>
        <w:rPr>
          <w:rFonts w:ascii="Times New Roman" w:hAnsi="Times New Roman"/>
          <w:bCs/>
          <w:color w:val="000000"/>
          <w:lang w:val="en-US"/>
        </w:rPr>
        <w:t>微克</w:t>
      </w:r>
      <w:r>
        <w:rPr>
          <w:rFonts w:ascii="Times New Roman" w:hAnsi="Times New Roman"/>
          <w:bCs/>
          <w:color w:val="000000"/>
          <w:lang w:val="en-US"/>
        </w:rPr>
        <w:t>/</w:t>
      </w:r>
      <w:r>
        <w:rPr>
          <w:rFonts w:ascii="Times New Roman" w:hAnsi="Times New Roman"/>
          <w:bCs/>
          <w:color w:val="000000"/>
          <w:lang w:val="en-US"/>
        </w:rPr>
        <w:t>立方米以下，可吸入颗粒物</w:t>
      </w:r>
      <w:r>
        <w:rPr>
          <w:rFonts w:ascii="Times New Roman" w:hAnsi="Times New Roman"/>
          <w:bCs/>
          <w:color w:val="000000"/>
          <w:lang w:val="en-US"/>
        </w:rPr>
        <w:t>(PM10)</w:t>
      </w:r>
      <w:r>
        <w:rPr>
          <w:rFonts w:ascii="Times New Roman" w:hAnsi="Times New Roman"/>
          <w:bCs/>
          <w:color w:val="000000"/>
          <w:lang w:val="en-US"/>
        </w:rPr>
        <w:t>平均浓度控制在</w:t>
      </w:r>
      <w:r>
        <w:rPr>
          <w:rFonts w:ascii="Times New Roman" w:hAnsi="Times New Roman"/>
          <w:bCs/>
          <w:color w:val="000000"/>
          <w:lang w:val="en-US"/>
        </w:rPr>
        <w:t xml:space="preserve"> 87 </w:t>
      </w:r>
      <w:r>
        <w:rPr>
          <w:rFonts w:ascii="Times New Roman" w:hAnsi="Times New Roman"/>
          <w:bCs/>
          <w:color w:val="000000"/>
          <w:lang w:val="en-US"/>
        </w:rPr>
        <w:t>微克</w:t>
      </w:r>
      <w:r>
        <w:rPr>
          <w:rFonts w:ascii="Times New Roman" w:hAnsi="Times New Roman"/>
          <w:bCs/>
          <w:color w:val="000000"/>
          <w:lang w:val="en-US"/>
        </w:rPr>
        <w:t>/</w:t>
      </w:r>
      <w:r>
        <w:rPr>
          <w:rFonts w:ascii="Times New Roman" w:hAnsi="Times New Roman"/>
          <w:bCs/>
          <w:color w:val="000000"/>
          <w:lang w:val="en-US"/>
        </w:rPr>
        <w:t>立方米以下</w:t>
      </w:r>
      <w:r>
        <w:rPr>
          <w:rFonts w:ascii="Times New Roman" w:hAnsi="Times New Roman" w:hint="eastAsia"/>
          <w:bCs/>
          <w:color w:val="000000"/>
          <w:lang w:val="en-US"/>
        </w:rPr>
        <w:t>，</w:t>
      </w:r>
      <w:r>
        <w:rPr>
          <w:rFonts w:ascii="Times New Roman" w:hAnsi="Times New Roman"/>
          <w:bCs/>
          <w:color w:val="000000"/>
          <w:lang w:val="en-US"/>
        </w:rPr>
        <w:t>臭氧超标率控制在</w:t>
      </w:r>
      <w:r>
        <w:rPr>
          <w:rFonts w:ascii="Times New Roman" w:hAnsi="Times New Roman"/>
          <w:bCs/>
          <w:color w:val="000000"/>
          <w:lang w:val="en-US"/>
        </w:rPr>
        <w:t xml:space="preserve"> 15%</w:t>
      </w:r>
      <w:r>
        <w:rPr>
          <w:rFonts w:ascii="Times New Roman" w:hAnsi="Times New Roman"/>
          <w:bCs/>
          <w:color w:val="000000"/>
          <w:lang w:val="en-US"/>
        </w:rPr>
        <w:t>以下，环境空气质量优良天数比例不低于</w:t>
      </w:r>
      <w:r>
        <w:rPr>
          <w:rFonts w:ascii="Times New Roman" w:hAnsi="Times New Roman"/>
          <w:bCs/>
          <w:color w:val="000000"/>
          <w:lang w:val="en-US"/>
        </w:rPr>
        <w:t xml:space="preserve"> 65%</w:t>
      </w:r>
      <w:r>
        <w:rPr>
          <w:rFonts w:ascii="Times New Roman" w:hAnsi="Times New Roman" w:hint="eastAsia"/>
          <w:bCs/>
          <w:color w:val="000000"/>
          <w:lang w:val="en-US"/>
        </w:rPr>
        <w:t>，</w:t>
      </w:r>
      <w:r>
        <w:rPr>
          <w:rFonts w:ascii="Times New Roman" w:hAnsi="Times New Roman"/>
          <w:bCs/>
          <w:color w:val="000000"/>
          <w:lang w:val="en-US"/>
        </w:rPr>
        <w:t>重污染天数比例控制在</w:t>
      </w:r>
      <w:r>
        <w:rPr>
          <w:rFonts w:ascii="Times New Roman" w:hAnsi="Times New Roman"/>
          <w:bCs/>
          <w:color w:val="000000"/>
          <w:lang w:val="en-US"/>
        </w:rPr>
        <w:t xml:space="preserve"> 4%</w:t>
      </w:r>
      <w:r>
        <w:rPr>
          <w:rFonts w:ascii="Times New Roman" w:hAnsi="Times New Roman"/>
          <w:bCs/>
          <w:color w:val="000000"/>
          <w:lang w:val="en-US"/>
        </w:rPr>
        <w:t>以下。</w:t>
      </w:r>
    </w:p>
    <w:p w:rsidR="00240BCE" w:rsidRDefault="00AC0334">
      <w:pPr>
        <w:pStyle w:val="01"/>
        <w:snapToGrid w:val="0"/>
        <w:spacing w:line="520" w:lineRule="exact"/>
        <w:ind w:firstLine="480"/>
        <w:rPr>
          <w:rFonts w:ascii="Times New Roman" w:hAnsi="Times New Roman"/>
          <w:bCs/>
          <w:color w:val="000000"/>
          <w:lang w:val="en-US"/>
        </w:rPr>
      </w:pPr>
      <w:r>
        <w:rPr>
          <w:rFonts w:ascii="Times New Roman" w:hAnsi="Times New Roman"/>
          <w:bCs/>
          <w:color w:val="000000"/>
          <w:lang w:val="en-US"/>
        </w:rPr>
        <w:t>阶段目标：第一阶段</w:t>
      </w:r>
      <w:r>
        <w:rPr>
          <w:rFonts w:ascii="Times New Roman" w:hAnsi="Times New Roman"/>
          <w:bCs/>
          <w:color w:val="000000"/>
          <w:lang w:val="en-US"/>
        </w:rPr>
        <w:t xml:space="preserve"> 1-3 </w:t>
      </w:r>
      <w:r>
        <w:rPr>
          <w:rFonts w:ascii="Times New Roman" w:hAnsi="Times New Roman"/>
          <w:bCs/>
          <w:color w:val="000000"/>
          <w:lang w:val="en-US"/>
        </w:rPr>
        <w:t>月</w:t>
      </w:r>
      <w:r>
        <w:rPr>
          <w:rFonts w:ascii="Times New Roman" w:hAnsi="Times New Roman"/>
          <w:bCs/>
          <w:color w:val="000000"/>
          <w:lang w:val="en-US"/>
        </w:rPr>
        <w:t xml:space="preserve"> PM 2.5 </w:t>
      </w:r>
      <w:r>
        <w:rPr>
          <w:rFonts w:ascii="Times New Roman" w:hAnsi="Times New Roman"/>
          <w:bCs/>
          <w:color w:val="000000"/>
          <w:lang w:val="en-US"/>
        </w:rPr>
        <w:t>平均浓度控制在</w:t>
      </w:r>
      <w:r>
        <w:rPr>
          <w:rFonts w:ascii="Times New Roman" w:hAnsi="Times New Roman"/>
          <w:bCs/>
          <w:color w:val="000000"/>
          <w:lang w:val="en-US"/>
        </w:rPr>
        <w:t xml:space="preserve"> 78 </w:t>
      </w:r>
      <w:r>
        <w:rPr>
          <w:rFonts w:ascii="Times New Roman" w:hAnsi="Times New Roman"/>
          <w:bCs/>
          <w:color w:val="000000"/>
          <w:lang w:val="en-US"/>
        </w:rPr>
        <w:t>微克</w:t>
      </w:r>
      <w:r>
        <w:rPr>
          <w:rFonts w:ascii="Times New Roman" w:hAnsi="Times New Roman"/>
          <w:bCs/>
          <w:color w:val="000000"/>
          <w:lang w:val="en-US"/>
        </w:rPr>
        <w:t>/</w:t>
      </w:r>
      <w:r>
        <w:rPr>
          <w:rFonts w:ascii="Times New Roman" w:hAnsi="Times New Roman"/>
          <w:bCs/>
          <w:color w:val="000000"/>
          <w:lang w:val="en-US"/>
        </w:rPr>
        <w:t>立方米以下；第二阶段</w:t>
      </w:r>
      <w:r>
        <w:rPr>
          <w:rFonts w:ascii="Times New Roman" w:hAnsi="Times New Roman"/>
          <w:bCs/>
          <w:color w:val="000000"/>
          <w:lang w:val="en-US"/>
        </w:rPr>
        <w:t xml:space="preserve"> 5-9 </w:t>
      </w:r>
      <w:r>
        <w:rPr>
          <w:rFonts w:ascii="Times New Roman" w:hAnsi="Times New Roman"/>
          <w:bCs/>
          <w:color w:val="000000"/>
          <w:lang w:val="en-US"/>
        </w:rPr>
        <w:t>月臭氧超标天数不超过</w:t>
      </w:r>
      <w:r>
        <w:rPr>
          <w:rFonts w:ascii="Times New Roman" w:hAnsi="Times New Roman"/>
          <w:bCs/>
          <w:color w:val="000000"/>
          <w:lang w:val="en-US"/>
        </w:rPr>
        <w:t xml:space="preserve"> 54 </w:t>
      </w:r>
      <w:r>
        <w:rPr>
          <w:rFonts w:ascii="Times New Roman" w:hAnsi="Times New Roman"/>
          <w:bCs/>
          <w:color w:val="000000"/>
          <w:lang w:val="en-US"/>
        </w:rPr>
        <w:t>天；第三阶段</w:t>
      </w:r>
      <w:r>
        <w:rPr>
          <w:rFonts w:ascii="Times New Roman" w:hAnsi="Times New Roman"/>
          <w:bCs/>
          <w:color w:val="000000"/>
          <w:lang w:val="en-US"/>
        </w:rPr>
        <w:t xml:space="preserve"> 10-12 </w:t>
      </w:r>
      <w:r>
        <w:rPr>
          <w:rFonts w:ascii="Times New Roman" w:hAnsi="Times New Roman"/>
          <w:bCs/>
          <w:color w:val="000000"/>
          <w:lang w:val="en-US"/>
        </w:rPr>
        <w:t>月</w:t>
      </w:r>
      <w:r>
        <w:rPr>
          <w:rFonts w:ascii="Times New Roman" w:hAnsi="Times New Roman"/>
          <w:bCs/>
          <w:color w:val="000000"/>
          <w:lang w:val="en-US"/>
        </w:rPr>
        <w:t xml:space="preserve"> PM 2.5 </w:t>
      </w:r>
      <w:r>
        <w:rPr>
          <w:rFonts w:ascii="Times New Roman" w:hAnsi="Times New Roman"/>
          <w:bCs/>
          <w:color w:val="000000"/>
          <w:lang w:val="en-US"/>
        </w:rPr>
        <w:t>平均浓度控制在</w:t>
      </w:r>
      <w:r>
        <w:rPr>
          <w:rFonts w:ascii="Times New Roman" w:hAnsi="Times New Roman"/>
          <w:bCs/>
          <w:color w:val="000000"/>
          <w:lang w:val="en-US"/>
        </w:rPr>
        <w:t xml:space="preserve"> 65 </w:t>
      </w:r>
      <w:r>
        <w:rPr>
          <w:rFonts w:ascii="Times New Roman" w:hAnsi="Times New Roman"/>
          <w:bCs/>
          <w:color w:val="000000"/>
          <w:lang w:val="en-US"/>
        </w:rPr>
        <w:t>微克</w:t>
      </w:r>
      <w:r>
        <w:rPr>
          <w:rFonts w:ascii="Times New Roman" w:hAnsi="Times New Roman"/>
          <w:bCs/>
          <w:color w:val="000000"/>
          <w:lang w:val="en-US"/>
        </w:rPr>
        <w:t>/</w:t>
      </w:r>
      <w:r>
        <w:rPr>
          <w:rFonts w:ascii="Times New Roman" w:hAnsi="Times New Roman"/>
          <w:bCs/>
          <w:color w:val="000000"/>
          <w:lang w:val="en-US"/>
        </w:rPr>
        <w:t>立方米以下。</w:t>
      </w:r>
    </w:p>
    <w:p w:rsidR="00240BCE" w:rsidRDefault="00AC0334">
      <w:pPr>
        <w:pStyle w:val="01"/>
        <w:snapToGrid w:val="0"/>
        <w:spacing w:line="520" w:lineRule="exact"/>
        <w:ind w:firstLineChars="0" w:firstLine="0"/>
        <w:rPr>
          <w:rFonts w:ascii="Times New Roman" w:hAnsi="Times New Roman"/>
          <w:color w:val="000000"/>
        </w:rPr>
      </w:pPr>
      <w:r>
        <w:rPr>
          <w:rFonts w:ascii="Times New Roman" w:hAnsi="Times New Roman"/>
          <w:color w:val="000000"/>
        </w:rPr>
        <w:t>4.3.1.2</w:t>
      </w:r>
      <w:r>
        <w:rPr>
          <w:rFonts w:ascii="Times New Roman" w:hAnsi="Times New Roman"/>
          <w:color w:val="000000"/>
        </w:rPr>
        <w:t>评价区环境空气质量</w:t>
      </w:r>
    </w:p>
    <w:p w:rsidR="00240BCE" w:rsidRDefault="00AC0334">
      <w:pPr>
        <w:pStyle w:val="01"/>
        <w:snapToGrid w:val="0"/>
        <w:spacing w:line="520" w:lineRule="exact"/>
        <w:ind w:firstLine="480"/>
        <w:rPr>
          <w:rFonts w:ascii="Times New Roman" w:hAnsi="Times New Roman"/>
          <w:color w:val="000000"/>
        </w:rPr>
      </w:pPr>
      <w:r>
        <w:rPr>
          <w:rFonts w:ascii="Times New Roman" w:hAnsi="Times New Roman"/>
          <w:color w:val="000000"/>
        </w:rPr>
        <w:t>为调查评价范围内的环境质量现状，建设单位委托河南正捷检测技术有限公司对评价区环境空气质量现状进行了补充监测。</w:t>
      </w:r>
    </w:p>
    <w:p w:rsidR="00240BCE" w:rsidRDefault="00AC0334">
      <w:pPr>
        <w:spacing w:line="520" w:lineRule="exact"/>
        <w:ind w:firstLineChars="200" w:firstLine="482"/>
        <w:rPr>
          <w:b/>
          <w:bCs/>
          <w:color w:val="000000"/>
          <w:sz w:val="24"/>
        </w:rPr>
      </w:pPr>
      <w:r>
        <w:rPr>
          <w:b/>
          <w:bCs/>
          <w:color w:val="000000"/>
          <w:sz w:val="24"/>
        </w:rPr>
        <w:t>1</w:t>
      </w:r>
      <w:r>
        <w:rPr>
          <w:b/>
          <w:bCs/>
          <w:color w:val="000000"/>
          <w:sz w:val="24"/>
        </w:rPr>
        <w:t>、监测点位</w:t>
      </w:r>
    </w:p>
    <w:p w:rsidR="00240BCE" w:rsidRDefault="00AC0334">
      <w:pPr>
        <w:spacing w:line="520" w:lineRule="exact"/>
        <w:ind w:firstLineChars="200" w:firstLine="480"/>
        <w:rPr>
          <w:color w:val="000000"/>
          <w:sz w:val="24"/>
        </w:rPr>
      </w:pPr>
      <w:r>
        <w:rPr>
          <w:color w:val="000000"/>
          <w:sz w:val="24"/>
        </w:rPr>
        <w:t>考虑项目所处环境特点，环境空气质量现状监测布点布设</w:t>
      </w:r>
      <w:r>
        <w:rPr>
          <w:color w:val="000000"/>
          <w:sz w:val="24"/>
        </w:rPr>
        <w:t>2</w:t>
      </w:r>
      <w:r>
        <w:rPr>
          <w:color w:val="000000"/>
          <w:sz w:val="24"/>
        </w:rPr>
        <w:t>个，具体位置见表</w:t>
      </w:r>
      <w:r>
        <w:rPr>
          <w:color w:val="000000"/>
          <w:sz w:val="24"/>
        </w:rPr>
        <w:t>4.3-2</w:t>
      </w:r>
      <w:r>
        <w:rPr>
          <w:color w:val="000000"/>
          <w:sz w:val="24"/>
        </w:rPr>
        <w:t>。项目监测布点图见</w:t>
      </w:r>
      <w:r>
        <w:rPr>
          <w:sz w:val="24"/>
        </w:rPr>
        <w:t>附图</w:t>
      </w:r>
      <w:r>
        <w:rPr>
          <w:sz w:val="24"/>
        </w:rPr>
        <w:t>10</w:t>
      </w:r>
      <w:r>
        <w:rPr>
          <w:color w:val="000000"/>
          <w:sz w:val="24"/>
        </w:rPr>
        <w:t>。</w:t>
      </w:r>
    </w:p>
    <w:p w:rsidR="00240BCE" w:rsidRDefault="00AC0334">
      <w:pPr>
        <w:spacing w:line="520" w:lineRule="exact"/>
        <w:jc w:val="center"/>
        <w:rPr>
          <w:color w:val="000000"/>
          <w:spacing w:val="-2"/>
          <w:sz w:val="24"/>
        </w:rPr>
      </w:pPr>
      <w:r>
        <w:rPr>
          <w:color w:val="000000"/>
          <w:spacing w:val="-2"/>
          <w:sz w:val="24"/>
        </w:rPr>
        <w:t>表</w:t>
      </w:r>
      <w:r>
        <w:rPr>
          <w:color w:val="000000"/>
          <w:spacing w:val="-2"/>
          <w:sz w:val="24"/>
        </w:rPr>
        <w:t xml:space="preserve">4.3-2    </w:t>
      </w:r>
      <w:r>
        <w:rPr>
          <w:color w:val="000000"/>
          <w:spacing w:val="-2"/>
          <w:sz w:val="24"/>
        </w:rPr>
        <w:t>环境空气监测点位一览表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2442"/>
        <w:gridCol w:w="1678"/>
        <w:gridCol w:w="4323"/>
      </w:tblGrid>
      <w:tr w:rsidR="00240BCE">
        <w:tc>
          <w:tcPr>
            <w:tcW w:w="395" w:type="pct"/>
            <w:tcBorders>
              <w:top w:val="single" w:sz="4" w:space="0" w:color="auto"/>
              <w:left w:val="single" w:sz="4" w:space="0" w:color="auto"/>
              <w:bottom w:val="single" w:sz="4" w:space="0" w:color="auto"/>
              <w:right w:val="single" w:sz="4" w:space="0" w:color="auto"/>
            </w:tcBorders>
            <w:vAlign w:val="center"/>
          </w:tcPr>
          <w:p w:rsidR="00240BCE" w:rsidRDefault="00AC0334">
            <w:pPr>
              <w:adjustRightInd w:val="0"/>
              <w:snapToGrid w:val="0"/>
              <w:spacing w:line="360" w:lineRule="exact"/>
              <w:jc w:val="center"/>
              <w:rPr>
                <w:color w:val="000000"/>
                <w:kern w:val="0"/>
                <w:sz w:val="21"/>
                <w:szCs w:val="21"/>
              </w:rPr>
            </w:pPr>
            <w:r>
              <w:rPr>
                <w:color w:val="000000"/>
                <w:kern w:val="0"/>
                <w:sz w:val="21"/>
                <w:szCs w:val="21"/>
              </w:rPr>
              <w:t>序号</w:t>
            </w:r>
          </w:p>
        </w:tc>
        <w:tc>
          <w:tcPr>
            <w:tcW w:w="1332" w:type="pct"/>
            <w:tcBorders>
              <w:top w:val="single" w:sz="4" w:space="0" w:color="auto"/>
              <w:left w:val="nil"/>
              <w:bottom w:val="single" w:sz="4" w:space="0" w:color="auto"/>
              <w:right w:val="single" w:sz="4" w:space="0" w:color="auto"/>
            </w:tcBorders>
            <w:vAlign w:val="center"/>
          </w:tcPr>
          <w:p w:rsidR="00240BCE" w:rsidRDefault="00AC0334">
            <w:pPr>
              <w:adjustRightInd w:val="0"/>
              <w:snapToGrid w:val="0"/>
              <w:spacing w:line="360" w:lineRule="exact"/>
              <w:jc w:val="center"/>
              <w:rPr>
                <w:color w:val="000000"/>
                <w:kern w:val="0"/>
                <w:sz w:val="21"/>
                <w:szCs w:val="21"/>
              </w:rPr>
            </w:pPr>
            <w:r>
              <w:rPr>
                <w:color w:val="000000"/>
                <w:kern w:val="0"/>
                <w:sz w:val="21"/>
                <w:szCs w:val="21"/>
              </w:rPr>
              <w:t>监测点名称</w:t>
            </w:r>
          </w:p>
        </w:tc>
        <w:tc>
          <w:tcPr>
            <w:tcW w:w="915" w:type="pct"/>
            <w:tcBorders>
              <w:top w:val="single" w:sz="4" w:space="0" w:color="auto"/>
              <w:left w:val="nil"/>
              <w:bottom w:val="single" w:sz="4" w:space="0" w:color="auto"/>
              <w:right w:val="single" w:sz="4" w:space="0" w:color="auto"/>
            </w:tcBorders>
            <w:vAlign w:val="center"/>
          </w:tcPr>
          <w:p w:rsidR="00240BCE" w:rsidRDefault="00AC0334">
            <w:pPr>
              <w:adjustRightInd w:val="0"/>
              <w:snapToGrid w:val="0"/>
              <w:spacing w:line="360" w:lineRule="exact"/>
              <w:jc w:val="center"/>
              <w:rPr>
                <w:color w:val="000000"/>
                <w:kern w:val="0"/>
                <w:sz w:val="21"/>
                <w:szCs w:val="21"/>
              </w:rPr>
            </w:pPr>
            <w:r>
              <w:rPr>
                <w:color w:val="000000"/>
                <w:kern w:val="0"/>
                <w:sz w:val="21"/>
                <w:szCs w:val="21"/>
              </w:rPr>
              <w:t>监测点功能</w:t>
            </w:r>
          </w:p>
        </w:tc>
        <w:tc>
          <w:tcPr>
            <w:tcW w:w="2358" w:type="pct"/>
            <w:tcBorders>
              <w:top w:val="single" w:sz="4" w:space="0" w:color="auto"/>
              <w:left w:val="nil"/>
              <w:bottom w:val="single" w:sz="4" w:space="0" w:color="auto"/>
              <w:right w:val="single" w:sz="4" w:space="0" w:color="auto"/>
            </w:tcBorders>
            <w:vAlign w:val="center"/>
          </w:tcPr>
          <w:p w:rsidR="00240BCE" w:rsidRDefault="00AC0334">
            <w:pPr>
              <w:adjustRightInd w:val="0"/>
              <w:snapToGrid w:val="0"/>
              <w:spacing w:line="360" w:lineRule="exact"/>
              <w:jc w:val="center"/>
              <w:rPr>
                <w:color w:val="000000"/>
                <w:kern w:val="0"/>
                <w:sz w:val="21"/>
                <w:szCs w:val="21"/>
                <w:highlight w:val="yellow"/>
              </w:rPr>
            </w:pPr>
            <w:r>
              <w:rPr>
                <w:color w:val="000000"/>
                <w:kern w:val="0"/>
                <w:sz w:val="21"/>
                <w:szCs w:val="21"/>
              </w:rPr>
              <w:t>相对方位</w:t>
            </w:r>
          </w:p>
        </w:tc>
      </w:tr>
      <w:tr w:rsidR="00240BCE">
        <w:trPr>
          <w:trHeight w:val="60"/>
        </w:trPr>
        <w:tc>
          <w:tcPr>
            <w:tcW w:w="395" w:type="pct"/>
            <w:tcBorders>
              <w:top w:val="single" w:sz="4" w:space="0" w:color="auto"/>
              <w:left w:val="single" w:sz="4" w:space="0" w:color="auto"/>
              <w:bottom w:val="single" w:sz="4" w:space="0" w:color="auto"/>
              <w:right w:val="single" w:sz="4" w:space="0" w:color="auto"/>
            </w:tcBorders>
            <w:vAlign w:val="center"/>
          </w:tcPr>
          <w:p w:rsidR="00240BCE" w:rsidRDefault="00AC0334">
            <w:pPr>
              <w:adjustRightInd w:val="0"/>
              <w:snapToGrid w:val="0"/>
              <w:spacing w:line="360" w:lineRule="exact"/>
              <w:jc w:val="center"/>
              <w:rPr>
                <w:color w:val="000000"/>
                <w:kern w:val="0"/>
                <w:sz w:val="21"/>
                <w:szCs w:val="21"/>
              </w:rPr>
            </w:pPr>
            <w:r>
              <w:rPr>
                <w:color w:val="000000"/>
                <w:kern w:val="0"/>
                <w:sz w:val="21"/>
                <w:szCs w:val="21"/>
              </w:rPr>
              <w:t>1#</w:t>
            </w:r>
          </w:p>
        </w:tc>
        <w:tc>
          <w:tcPr>
            <w:tcW w:w="1332" w:type="pct"/>
            <w:tcBorders>
              <w:top w:val="single" w:sz="4" w:space="0" w:color="auto"/>
              <w:left w:val="nil"/>
              <w:bottom w:val="single" w:sz="4" w:space="0" w:color="auto"/>
              <w:right w:val="single" w:sz="4" w:space="0" w:color="auto"/>
            </w:tcBorders>
            <w:vAlign w:val="center"/>
          </w:tcPr>
          <w:p w:rsidR="00240BCE" w:rsidRDefault="00AC0334">
            <w:pPr>
              <w:widowControl/>
              <w:spacing w:line="340" w:lineRule="exact"/>
              <w:jc w:val="center"/>
              <w:rPr>
                <w:kern w:val="0"/>
                <w:sz w:val="21"/>
                <w:szCs w:val="21"/>
              </w:rPr>
            </w:pPr>
            <w:r>
              <w:rPr>
                <w:kern w:val="0"/>
                <w:sz w:val="21"/>
                <w:szCs w:val="21"/>
              </w:rPr>
              <w:t>工业广场中心</w:t>
            </w:r>
          </w:p>
        </w:tc>
        <w:tc>
          <w:tcPr>
            <w:tcW w:w="915" w:type="pct"/>
            <w:tcBorders>
              <w:top w:val="single" w:sz="4" w:space="0" w:color="auto"/>
              <w:left w:val="nil"/>
              <w:bottom w:val="single" w:sz="4" w:space="0" w:color="auto"/>
              <w:right w:val="single" w:sz="4" w:space="0" w:color="auto"/>
            </w:tcBorders>
            <w:vAlign w:val="center"/>
          </w:tcPr>
          <w:p w:rsidR="00240BCE" w:rsidRDefault="00AC0334">
            <w:pPr>
              <w:adjustRightInd w:val="0"/>
              <w:snapToGrid w:val="0"/>
              <w:spacing w:line="360" w:lineRule="exact"/>
              <w:jc w:val="center"/>
              <w:rPr>
                <w:color w:val="000000"/>
                <w:kern w:val="0"/>
                <w:sz w:val="21"/>
                <w:szCs w:val="21"/>
              </w:rPr>
            </w:pPr>
            <w:r>
              <w:rPr>
                <w:color w:val="000000"/>
                <w:kern w:val="0"/>
                <w:sz w:val="21"/>
                <w:szCs w:val="21"/>
              </w:rPr>
              <w:t>背景值</w:t>
            </w:r>
          </w:p>
        </w:tc>
        <w:tc>
          <w:tcPr>
            <w:tcW w:w="2358" w:type="pct"/>
            <w:tcBorders>
              <w:top w:val="single" w:sz="4" w:space="0" w:color="auto"/>
              <w:left w:val="nil"/>
              <w:bottom w:val="single" w:sz="4" w:space="0" w:color="auto"/>
              <w:right w:val="single" w:sz="4" w:space="0" w:color="auto"/>
            </w:tcBorders>
            <w:vAlign w:val="center"/>
          </w:tcPr>
          <w:p w:rsidR="00240BCE" w:rsidRDefault="00AC0334">
            <w:pPr>
              <w:snapToGrid w:val="0"/>
              <w:spacing w:line="360" w:lineRule="exact"/>
              <w:jc w:val="center"/>
              <w:rPr>
                <w:sz w:val="21"/>
                <w:szCs w:val="21"/>
              </w:rPr>
            </w:pPr>
            <w:r>
              <w:rPr>
                <w:sz w:val="21"/>
                <w:szCs w:val="21"/>
              </w:rPr>
              <w:t>项目位置</w:t>
            </w:r>
          </w:p>
        </w:tc>
      </w:tr>
      <w:tr w:rsidR="00240BCE">
        <w:tc>
          <w:tcPr>
            <w:tcW w:w="395" w:type="pct"/>
            <w:tcBorders>
              <w:top w:val="single" w:sz="4" w:space="0" w:color="auto"/>
              <w:left w:val="single" w:sz="4" w:space="0" w:color="auto"/>
              <w:bottom w:val="single" w:sz="4" w:space="0" w:color="auto"/>
              <w:right w:val="single" w:sz="4" w:space="0" w:color="auto"/>
            </w:tcBorders>
            <w:vAlign w:val="center"/>
          </w:tcPr>
          <w:p w:rsidR="00240BCE" w:rsidRDefault="00AC0334">
            <w:pPr>
              <w:adjustRightInd w:val="0"/>
              <w:snapToGrid w:val="0"/>
              <w:spacing w:line="360" w:lineRule="exact"/>
              <w:jc w:val="center"/>
              <w:rPr>
                <w:color w:val="000000"/>
                <w:kern w:val="0"/>
                <w:sz w:val="21"/>
                <w:szCs w:val="21"/>
              </w:rPr>
            </w:pPr>
            <w:r>
              <w:rPr>
                <w:color w:val="000000"/>
                <w:kern w:val="0"/>
                <w:sz w:val="21"/>
                <w:szCs w:val="21"/>
              </w:rPr>
              <w:t>2#</w:t>
            </w:r>
          </w:p>
        </w:tc>
        <w:tc>
          <w:tcPr>
            <w:tcW w:w="1332" w:type="pct"/>
            <w:tcBorders>
              <w:top w:val="single" w:sz="4" w:space="0" w:color="auto"/>
              <w:left w:val="nil"/>
              <w:bottom w:val="single" w:sz="4" w:space="0" w:color="auto"/>
              <w:right w:val="single" w:sz="4" w:space="0" w:color="auto"/>
            </w:tcBorders>
            <w:vAlign w:val="center"/>
          </w:tcPr>
          <w:p w:rsidR="00240BCE" w:rsidRDefault="00AC0334">
            <w:pPr>
              <w:widowControl/>
              <w:spacing w:line="340" w:lineRule="exact"/>
              <w:jc w:val="center"/>
              <w:rPr>
                <w:kern w:val="0"/>
                <w:sz w:val="21"/>
                <w:szCs w:val="21"/>
              </w:rPr>
            </w:pPr>
            <w:r>
              <w:rPr>
                <w:kern w:val="0"/>
                <w:sz w:val="21"/>
                <w:szCs w:val="21"/>
              </w:rPr>
              <w:t>赵沟村</w:t>
            </w:r>
          </w:p>
        </w:tc>
        <w:tc>
          <w:tcPr>
            <w:tcW w:w="915" w:type="pct"/>
            <w:tcBorders>
              <w:top w:val="single" w:sz="4" w:space="0" w:color="auto"/>
              <w:left w:val="nil"/>
              <w:bottom w:val="single" w:sz="4" w:space="0" w:color="auto"/>
              <w:right w:val="single" w:sz="4" w:space="0" w:color="auto"/>
            </w:tcBorders>
            <w:vAlign w:val="center"/>
          </w:tcPr>
          <w:p w:rsidR="00240BCE" w:rsidRDefault="00AC0334">
            <w:pPr>
              <w:adjustRightInd w:val="0"/>
              <w:snapToGrid w:val="0"/>
              <w:spacing w:line="360" w:lineRule="exact"/>
              <w:jc w:val="center"/>
              <w:rPr>
                <w:color w:val="000000"/>
                <w:kern w:val="0"/>
                <w:sz w:val="21"/>
                <w:szCs w:val="21"/>
              </w:rPr>
            </w:pPr>
            <w:r>
              <w:rPr>
                <w:color w:val="000000"/>
                <w:kern w:val="0"/>
                <w:sz w:val="21"/>
                <w:szCs w:val="21"/>
              </w:rPr>
              <w:t>敏感点背景值</w:t>
            </w:r>
          </w:p>
        </w:tc>
        <w:tc>
          <w:tcPr>
            <w:tcW w:w="2358" w:type="pct"/>
            <w:tcBorders>
              <w:top w:val="single" w:sz="4" w:space="0" w:color="auto"/>
              <w:left w:val="nil"/>
              <w:bottom w:val="single" w:sz="4" w:space="0" w:color="auto"/>
              <w:right w:val="single" w:sz="4" w:space="0" w:color="auto"/>
            </w:tcBorders>
            <w:vAlign w:val="center"/>
          </w:tcPr>
          <w:p w:rsidR="00240BCE" w:rsidRDefault="00AC0334">
            <w:pPr>
              <w:snapToGrid w:val="0"/>
              <w:spacing w:line="360" w:lineRule="exact"/>
              <w:jc w:val="center"/>
              <w:rPr>
                <w:sz w:val="21"/>
                <w:szCs w:val="21"/>
              </w:rPr>
            </w:pPr>
            <w:r>
              <w:rPr>
                <w:sz w:val="21"/>
                <w:szCs w:val="21"/>
              </w:rPr>
              <w:t>区域下风向</w:t>
            </w:r>
          </w:p>
        </w:tc>
      </w:tr>
    </w:tbl>
    <w:p w:rsidR="00240BCE" w:rsidRDefault="00AC0334">
      <w:pPr>
        <w:spacing w:line="520" w:lineRule="exact"/>
        <w:ind w:firstLineChars="200" w:firstLine="482"/>
        <w:rPr>
          <w:b/>
          <w:bCs/>
          <w:color w:val="000000"/>
          <w:sz w:val="24"/>
        </w:rPr>
      </w:pPr>
      <w:r>
        <w:rPr>
          <w:b/>
          <w:bCs/>
          <w:color w:val="000000"/>
          <w:sz w:val="24"/>
        </w:rPr>
        <w:t>2</w:t>
      </w:r>
      <w:r>
        <w:rPr>
          <w:b/>
          <w:bCs/>
          <w:color w:val="000000"/>
          <w:sz w:val="24"/>
        </w:rPr>
        <w:t>、监测因子</w:t>
      </w:r>
    </w:p>
    <w:p w:rsidR="00240BCE" w:rsidRDefault="00AC0334">
      <w:pPr>
        <w:spacing w:line="520" w:lineRule="exact"/>
        <w:ind w:firstLineChars="200" w:firstLine="472"/>
        <w:rPr>
          <w:color w:val="000000"/>
          <w:spacing w:val="-2"/>
          <w:sz w:val="24"/>
        </w:rPr>
      </w:pPr>
      <w:r>
        <w:rPr>
          <w:color w:val="000000"/>
          <w:spacing w:val="-2"/>
          <w:sz w:val="24"/>
        </w:rPr>
        <w:t>本次环境</w:t>
      </w:r>
      <w:r>
        <w:rPr>
          <w:color w:val="000000"/>
          <w:sz w:val="24"/>
        </w:rPr>
        <w:t>空气</w:t>
      </w:r>
      <w:r>
        <w:rPr>
          <w:color w:val="000000"/>
          <w:spacing w:val="-2"/>
          <w:sz w:val="24"/>
        </w:rPr>
        <w:t>质量监测因子为</w:t>
      </w:r>
      <w:r>
        <w:rPr>
          <w:color w:val="000000"/>
          <w:spacing w:val="-2"/>
          <w:sz w:val="24"/>
        </w:rPr>
        <w:t>TSP</w:t>
      </w:r>
      <w:r>
        <w:rPr>
          <w:color w:val="000000"/>
          <w:spacing w:val="-2"/>
          <w:sz w:val="24"/>
        </w:rPr>
        <w:t>、</w:t>
      </w:r>
      <w:r>
        <w:rPr>
          <w:color w:val="000000"/>
          <w:spacing w:val="-2"/>
          <w:sz w:val="24"/>
        </w:rPr>
        <w:t>PM</w:t>
      </w:r>
      <w:r>
        <w:rPr>
          <w:color w:val="000000"/>
          <w:spacing w:val="-2"/>
          <w:sz w:val="24"/>
          <w:vertAlign w:val="subscript"/>
        </w:rPr>
        <w:t>10</w:t>
      </w:r>
      <w:r>
        <w:rPr>
          <w:color w:val="000000"/>
          <w:spacing w:val="-2"/>
          <w:sz w:val="24"/>
        </w:rPr>
        <w:t>、</w:t>
      </w:r>
      <w:r>
        <w:rPr>
          <w:color w:val="000000"/>
          <w:spacing w:val="-2"/>
          <w:sz w:val="24"/>
        </w:rPr>
        <w:t>PM</w:t>
      </w:r>
      <w:r>
        <w:rPr>
          <w:color w:val="000000"/>
          <w:spacing w:val="-2"/>
          <w:sz w:val="24"/>
          <w:vertAlign w:val="subscript"/>
        </w:rPr>
        <w:t>2.5</w:t>
      </w:r>
      <w:r>
        <w:rPr>
          <w:color w:val="000000"/>
          <w:spacing w:val="-2"/>
          <w:sz w:val="24"/>
        </w:rPr>
        <w:t>共</w:t>
      </w:r>
      <w:r>
        <w:rPr>
          <w:color w:val="000000"/>
          <w:spacing w:val="-2"/>
          <w:sz w:val="24"/>
        </w:rPr>
        <w:t>3</w:t>
      </w:r>
      <w:r>
        <w:rPr>
          <w:color w:val="000000"/>
          <w:spacing w:val="-2"/>
          <w:sz w:val="24"/>
        </w:rPr>
        <w:t>项。</w:t>
      </w:r>
    </w:p>
    <w:p w:rsidR="00240BCE" w:rsidRDefault="00AC0334">
      <w:pPr>
        <w:spacing w:line="520" w:lineRule="exact"/>
        <w:ind w:firstLine="480"/>
        <w:rPr>
          <w:b/>
          <w:bCs/>
          <w:color w:val="000000"/>
          <w:sz w:val="24"/>
        </w:rPr>
      </w:pPr>
      <w:r>
        <w:rPr>
          <w:b/>
          <w:bCs/>
          <w:color w:val="000000"/>
          <w:sz w:val="24"/>
        </w:rPr>
        <w:t>3</w:t>
      </w:r>
      <w:r>
        <w:rPr>
          <w:b/>
          <w:bCs/>
          <w:color w:val="000000"/>
          <w:sz w:val="24"/>
        </w:rPr>
        <w:t>、</w:t>
      </w:r>
      <w:r>
        <w:rPr>
          <w:b/>
          <w:bCs/>
          <w:spacing w:val="5"/>
          <w:sz w:val="24"/>
        </w:rPr>
        <w:t>监测时段与频率</w:t>
      </w:r>
    </w:p>
    <w:p w:rsidR="00240BCE" w:rsidRDefault="00AC0334">
      <w:pPr>
        <w:spacing w:line="520" w:lineRule="exact"/>
        <w:ind w:firstLineChars="200" w:firstLine="472"/>
        <w:rPr>
          <w:color w:val="000000"/>
          <w:spacing w:val="-2"/>
          <w:sz w:val="24"/>
        </w:rPr>
      </w:pPr>
      <w:r>
        <w:rPr>
          <w:color w:val="000000"/>
          <w:spacing w:val="-2"/>
          <w:sz w:val="24"/>
        </w:rPr>
        <w:t>2020</w:t>
      </w:r>
      <w:r>
        <w:rPr>
          <w:color w:val="000000"/>
          <w:spacing w:val="-2"/>
          <w:sz w:val="24"/>
        </w:rPr>
        <w:t>年</w:t>
      </w:r>
      <w:r>
        <w:rPr>
          <w:color w:val="000000"/>
          <w:spacing w:val="-2"/>
          <w:sz w:val="24"/>
        </w:rPr>
        <w:t>8</w:t>
      </w:r>
      <w:r>
        <w:rPr>
          <w:color w:val="000000"/>
          <w:spacing w:val="-2"/>
          <w:sz w:val="24"/>
        </w:rPr>
        <w:t>月</w:t>
      </w:r>
      <w:r>
        <w:rPr>
          <w:color w:val="000000"/>
          <w:spacing w:val="-2"/>
          <w:sz w:val="24"/>
        </w:rPr>
        <w:t>27</w:t>
      </w:r>
      <w:r>
        <w:rPr>
          <w:color w:val="000000"/>
          <w:spacing w:val="-2"/>
          <w:sz w:val="24"/>
        </w:rPr>
        <w:t>日至</w:t>
      </w:r>
      <w:r>
        <w:rPr>
          <w:color w:val="000000"/>
          <w:spacing w:val="-2"/>
          <w:sz w:val="24"/>
        </w:rPr>
        <w:t>9</w:t>
      </w:r>
      <w:r>
        <w:rPr>
          <w:color w:val="000000"/>
          <w:spacing w:val="-2"/>
          <w:sz w:val="24"/>
        </w:rPr>
        <w:t>月</w:t>
      </w:r>
      <w:r>
        <w:rPr>
          <w:color w:val="000000"/>
          <w:spacing w:val="-2"/>
          <w:sz w:val="24"/>
        </w:rPr>
        <w:t>2</w:t>
      </w:r>
      <w:r>
        <w:rPr>
          <w:color w:val="000000"/>
          <w:spacing w:val="-2"/>
          <w:sz w:val="24"/>
        </w:rPr>
        <w:t>日连续</w:t>
      </w:r>
      <w:r>
        <w:rPr>
          <w:color w:val="000000"/>
          <w:spacing w:val="-2"/>
          <w:sz w:val="24"/>
        </w:rPr>
        <w:t>7</w:t>
      </w:r>
      <w:r>
        <w:rPr>
          <w:color w:val="000000"/>
          <w:spacing w:val="-2"/>
          <w:sz w:val="24"/>
        </w:rPr>
        <w:t>天实施监测</w:t>
      </w:r>
      <w:r>
        <w:rPr>
          <w:color w:val="000000"/>
          <w:kern w:val="0"/>
          <w:sz w:val="24"/>
        </w:rPr>
        <w:t>。</w:t>
      </w:r>
      <w:r>
        <w:rPr>
          <w:color w:val="000000"/>
          <w:spacing w:val="-2"/>
          <w:sz w:val="24"/>
        </w:rPr>
        <w:t>各监测因子的监测频率见表</w:t>
      </w:r>
      <w:r>
        <w:rPr>
          <w:color w:val="000000"/>
          <w:spacing w:val="-2"/>
          <w:sz w:val="24"/>
        </w:rPr>
        <w:t>4.3-3</w:t>
      </w:r>
      <w:r>
        <w:rPr>
          <w:color w:val="000000"/>
          <w:spacing w:val="-2"/>
          <w:sz w:val="24"/>
        </w:rPr>
        <w:t>。</w:t>
      </w:r>
    </w:p>
    <w:p w:rsidR="00240BCE" w:rsidRDefault="00AC0334">
      <w:pPr>
        <w:spacing w:line="520" w:lineRule="exact"/>
        <w:jc w:val="center"/>
        <w:rPr>
          <w:color w:val="000000"/>
          <w:spacing w:val="-2"/>
          <w:sz w:val="24"/>
        </w:rPr>
      </w:pPr>
      <w:r>
        <w:rPr>
          <w:color w:val="000000"/>
          <w:spacing w:val="-2"/>
          <w:sz w:val="24"/>
        </w:rPr>
        <w:t>表</w:t>
      </w:r>
      <w:r>
        <w:rPr>
          <w:color w:val="000000"/>
          <w:spacing w:val="-2"/>
          <w:sz w:val="24"/>
        </w:rPr>
        <w:t xml:space="preserve">4.3-3     </w:t>
      </w:r>
      <w:r>
        <w:rPr>
          <w:color w:val="000000"/>
          <w:spacing w:val="-2"/>
          <w:sz w:val="24"/>
        </w:rPr>
        <w:t>空气因子监测频率表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6"/>
        <w:gridCol w:w="4508"/>
        <w:gridCol w:w="1373"/>
      </w:tblGrid>
      <w:tr w:rsidR="00240BCE">
        <w:trPr>
          <w:trHeight w:val="340"/>
        </w:trPr>
        <w:tc>
          <w:tcPr>
            <w:tcW w:w="1792" w:type="pct"/>
            <w:tcBorders>
              <w:top w:val="single" w:sz="4" w:space="0" w:color="000000"/>
              <w:left w:val="single" w:sz="4" w:space="0" w:color="000000"/>
              <w:bottom w:val="single" w:sz="4" w:space="0" w:color="000000"/>
              <w:right w:val="single" w:sz="4" w:space="0" w:color="000000"/>
            </w:tcBorders>
            <w:vAlign w:val="center"/>
          </w:tcPr>
          <w:p w:rsidR="00240BCE" w:rsidRDefault="00AC0334">
            <w:pPr>
              <w:adjustRightInd w:val="0"/>
              <w:snapToGrid w:val="0"/>
              <w:spacing w:line="320" w:lineRule="exact"/>
              <w:jc w:val="center"/>
              <w:rPr>
                <w:color w:val="000000"/>
                <w:kern w:val="0"/>
                <w:sz w:val="21"/>
                <w:szCs w:val="21"/>
              </w:rPr>
            </w:pPr>
            <w:r>
              <w:rPr>
                <w:color w:val="000000"/>
                <w:kern w:val="0"/>
                <w:sz w:val="21"/>
                <w:szCs w:val="21"/>
              </w:rPr>
              <w:t>监测因子</w:t>
            </w:r>
          </w:p>
        </w:tc>
        <w:tc>
          <w:tcPr>
            <w:tcW w:w="2459"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kern w:val="0"/>
                <w:sz w:val="21"/>
                <w:szCs w:val="21"/>
              </w:rPr>
            </w:pPr>
            <w:r>
              <w:rPr>
                <w:kern w:val="0"/>
                <w:sz w:val="21"/>
                <w:szCs w:val="21"/>
              </w:rPr>
              <w:t>监测频次</w:t>
            </w:r>
          </w:p>
        </w:tc>
        <w:tc>
          <w:tcPr>
            <w:tcW w:w="749"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kern w:val="0"/>
                <w:sz w:val="21"/>
                <w:szCs w:val="21"/>
              </w:rPr>
            </w:pPr>
            <w:r>
              <w:rPr>
                <w:kern w:val="0"/>
                <w:sz w:val="21"/>
                <w:szCs w:val="21"/>
              </w:rPr>
              <w:t>监测时间</w:t>
            </w:r>
          </w:p>
        </w:tc>
      </w:tr>
      <w:tr w:rsidR="00240BCE">
        <w:trPr>
          <w:trHeight w:val="340"/>
        </w:trPr>
        <w:tc>
          <w:tcPr>
            <w:tcW w:w="1792" w:type="pct"/>
            <w:tcBorders>
              <w:top w:val="single" w:sz="4" w:space="0" w:color="000000"/>
              <w:left w:val="single" w:sz="4" w:space="0" w:color="000000"/>
              <w:bottom w:val="single" w:sz="4" w:space="0" w:color="000000"/>
              <w:right w:val="single" w:sz="4" w:space="0" w:color="000000"/>
            </w:tcBorders>
            <w:vAlign w:val="center"/>
          </w:tcPr>
          <w:p w:rsidR="00240BCE" w:rsidRDefault="00AC0334">
            <w:pPr>
              <w:adjustRightInd w:val="0"/>
              <w:snapToGrid w:val="0"/>
              <w:spacing w:line="320" w:lineRule="exact"/>
              <w:jc w:val="center"/>
              <w:rPr>
                <w:sz w:val="21"/>
                <w:szCs w:val="21"/>
              </w:rPr>
            </w:pPr>
            <w:r>
              <w:rPr>
                <w:sz w:val="21"/>
                <w:szCs w:val="21"/>
              </w:rPr>
              <w:t>PM</w:t>
            </w:r>
            <w:r>
              <w:rPr>
                <w:sz w:val="21"/>
                <w:szCs w:val="21"/>
                <w:vertAlign w:val="subscript"/>
              </w:rPr>
              <w:t>10</w:t>
            </w:r>
            <w:r>
              <w:rPr>
                <w:sz w:val="21"/>
                <w:szCs w:val="21"/>
              </w:rPr>
              <w:t>、</w:t>
            </w:r>
            <w:r>
              <w:rPr>
                <w:sz w:val="21"/>
                <w:szCs w:val="21"/>
              </w:rPr>
              <w:t>PM</w:t>
            </w:r>
            <w:r>
              <w:rPr>
                <w:sz w:val="21"/>
                <w:szCs w:val="21"/>
                <w:vertAlign w:val="subscript"/>
              </w:rPr>
              <w:t>2.5</w:t>
            </w:r>
          </w:p>
        </w:tc>
        <w:tc>
          <w:tcPr>
            <w:tcW w:w="2459" w:type="pct"/>
            <w:tcBorders>
              <w:top w:val="single" w:sz="4" w:space="0" w:color="000000"/>
              <w:left w:val="nil"/>
              <w:bottom w:val="single" w:sz="4" w:space="0" w:color="000000"/>
              <w:right w:val="single" w:sz="4" w:space="0" w:color="000000"/>
            </w:tcBorders>
            <w:vAlign w:val="center"/>
          </w:tcPr>
          <w:p w:rsidR="00240BCE" w:rsidRDefault="00AC0334">
            <w:pPr>
              <w:adjustRightInd w:val="0"/>
              <w:snapToGrid w:val="0"/>
              <w:spacing w:line="320" w:lineRule="exact"/>
              <w:jc w:val="center"/>
              <w:rPr>
                <w:sz w:val="21"/>
                <w:szCs w:val="21"/>
              </w:rPr>
            </w:pPr>
            <w:r>
              <w:rPr>
                <w:sz w:val="21"/>
                <w:szCs w:val="21"/>
              </w:rPr>
              <w:t>连续监测</w:t>
            </w:r>
            <w:r>
              <w:rPr>
                <w:sz w:val="21"/>
                <w:szCs w:val="21"/>
              </w:rPr>
              <w:t>7</w:t>
            </w:r>
            <w:r>
              <w:rPr>
                <w:sz w:val="21"/>
                <w:szCs w:val="21"/>
              </w:rPr>
              <w:t>天；每天至少</w:t>
            </w:r>
            <w:r>
              <w:rPr>
                <w:sz w:val="21"/>
                <w:szCs w:val="21"/>
              </w:rPr>
              <w:t>20h</w:t>
            </w:r>
            <w:r>
              <w:rPr>
                <w:sz w:val="21"/>
                <w:szCs w:val="21"/>
              </w:rPr>
              <w:t>的采样时间</w:t>
            </w:r>
          </w:p>
        </w:tc>
        <w:tc>
          <w:tcPr>
            <w:tcW w:w="749" w:type="pct"/>
            <w:vMerge w:val="restart"/>
            <w:tcBorders>
              <w:top w:val="nil"/>
              <w:left w:val="nil"/>
              <w:bottom w:val="single" w:sz="4" w:space="0" w:color="000000"/>
              <w:right w:val="single" w:sz="4" w:space="0" w:color="000000"/>
            </w:tcBorders>
            <w:vAlign w:val="center"/>
          </w:tcPr>
          <w:p w:rsidR="00240BCE" w:rsidRDefault="00AC0334">
            <w:pPr>
              <w:adjustRightInd w:val="0"/>
              <w:snapToGrid w:val="0"/>
              <w:spacing w:line="320" w:lineRule="exact"/>
              <w:jc w:val="center"/>
              <w:rPr>
                <w:sz w:val="21"/>
                <w:szCs w:val="21"/>
              </w:rPr>
            </w:pPr>
            <w:r>
              <w:rPr>
                <w:sz w:val="21"/>
                <w:szCs w:val="21"/>
              </w:rPr>
              <w:t>24</w:t>
            </w:r>
            <w:r>
              <w:rPr>
                <w:sz w:val="21"/>
                <w:szCs w:val="21"/>
              </w:rPr>
              <w:t>小时平均</w:t>
            </w:r>
          </w:p>
        </w:tc>
      </w:tr>
      <w:tr w:rsidR="00240BCE">
        <w:trPr>
          <w:trHeight w:val="340"/>
        </w:trPr>
        <w:tc>
          <w:tcPr>
            <w:tcW w:w="1792" w:type="pct"/>
            <w:tcBorders>
              <w:top w:val="single" w:sz="4" w:space="0" w:color="000000"/>
              <w:left w:val="single" w:sz="4" w:space="0" w:color="000000"/>
              <w:bottom w:val="single" w:sz="4" w:space="0" w:color="000000"/>
              <w:right w:val="single" w:sz="4" w:space="0" w:color="000000"/>
            </w:tcBorders>
            <w:vAlign w:val="center"/>
          </w:tcPr>
          <w:p w:rsidR="00240BCE" w:rsidRDefault="00AC0334">
            <w:pPr>
              <w:adjustRightInd w:val="0"/>
              <w:snapToGrid w:val="0"/>
              <w:spacing w:line="320" w:lineRule="exact"/>
              <w:jc w:val="center"/>
              <w:rPr>
                <w:sz w:val="21"/>
                <w:szCs w:val="21"/>
              </w:rPr>
            </w:pPr>
            <w:r>
              <w:rPr>
                <w:sz w:val="21"/>
                <w:szCs w:val="21"/>
              </w:rPr>
              <w:t>TSP</w:t>
            </w:r>
          </w:p>
        </w:tc>
        <w:tc>
          <w:tcPr>
            <w:tcW w:w="2459" w:type="pct"/>
            <w:tcBorders>
              <w:top w:val="single" w:sz="4" w:space="0" w:color="000000"/>
              <w:left w:val="nil"/>
              <w:bottom w:val="single" w:sz="4" w:space="0" w:color="000000"/>
              <w:right w:val="single" w:sz="4" w:space="0" w:color="000000"/>
            </w:tcBorders>
            <w:vAlign w:val="center"/>
          </w:tcPr>
          <w:p w:rsidR="00240BCE" w:rsidRDefault="00AC0334">
            <w:pPr>
              <w:adjustRightInd w:val="0"/>
              <w:snapToGrid w:val="0"/>
              <w:spacing w:line="320" w:lineRule="exact"/>
              <w:jc w:val="center"/>
              <w:rPr>
                <w:sz w:val="21"/>
                <w:szCs w:val="21"/>
              </w:rPr>
            </w:pPr>
            <w:r>
              <w:rPr>
                <w:sz w:val="21"/>
                <w:szCs w:val="21"/>
              </w:rPr>
              <w:t>连续监测</w:t>
            </w:r>
            <w:r>
              <w:rPr>
                <w:sz w:val="21"/>
                <w:szCs w:val="21"/>
              </w:rPr>
              <w:t>7</w:t>
            </w:r>
            <w:r>
              <w:rPr>
                <w:sz w:val="21"/>
                <w:szCs w:val="21"/>
              </w:rPr>
              <w:t>天；每天</w:t>
            </w:r>
            <w:r>
              <w:rPr>
                <w:sz w:val="21"/>
                <w:szCs w:val="21"/>
              </w:rPr>
              <w:t>24h</w:t>
            </w:r>
            <w:r>
              <w:rPr>
                <w:sz w:val="21"/>
                <w:szCs w:val="21"/>
              </w:rPr>
              <w:t>的采样时间</w:t>
            </w:r>
          </w:p>
        </w:tc>
        <w:tc>
          <w:tcPr>
            <w:tcW w:w="749" w:type="pct"/>
            <w:vMerge/>
            <w:tcBorders>
              <w:top w:val="nil"/>
              <w:left w:val="nil"/>
              <w:bottom w:val="single" w:sz="4" w:space="0" w:color="000000"/>
              <w:right w:val="single" w:sz="4" w:space="0" w:color="000000"/>
            </w:tcBorders>
            <w:vAlign w:val="center"/>
          </w:tcPr>
          <w:p w:rsidR="00240BCE" w:rsidRDefault="00240BCE">
            <w:pPr>
              <w:widowControl/>
              <w:jc w:val="left"/>
              <w:rPr>
                <w:sz w:val="21"/>
                <w:szCs w:val="21"/>
              </w:rPr>
            </w:pPr>
          </w:p>
        </w:tc>
      </w:tr>
    </w:tbl>
    <w:p w:rsidR="00240BCE" w:rsidRDefault="00AC0334">
      <w:pPr>
        <w:spacing w:line="520" w:lineRule="exact"/>
        <w:ind w:firstLineChars="200" w:firstLine="482"/>
        <w:rPr>
          <w:b/>
          <w:bCs/>
          <w:color w:val="000000"/>
          <w:sz w:val="24"/>
        </w:rPr>
      </w:pPr>
      <w:r>
        <w:rPr>
          <w:b/>
          <w:bCs/>
          <w:color w:val="000000"/>
          <w:sz w:val="24"/>
        </w:rPr>
        <w:lastRenderedPageBreak/>
        <w:t>4</w:t>
      </w:r>
      <w:r>
        <w:rPr>
          <w:b/>
          <w:bCs/>
          <w:color w:val="000000"/>
          <w:sz w:val="24"/>
        </w:rPr>
        <w:t>、监测分析方法</w:t>
      </w:r>
    </w:p>
    <w:p w:rsidR="00240BCE" w:rsidRDefault="00AC0334">
      <w:pPr>
        <w:spacing w:line="520" w:lineRule="exact"/>
        <w:ind w:firstLineChars="200" w:firstLine="472"/>
        <w:rPr>
          <w:spacing w:val="-2"/>
          <w:sz w:val="24"/>
        </w:rPr>
      </w:pPr>
      <w:r>
        <w:rPr>
          <w:spacing w:val="-2"/>
          <w:sz w:val="24"/>
        </w:rPr>
        <w:t>环境空气质量</w:t>
      </w:r>
      <w:r>
        <w:rPr>
          <w:color w:val="000000"/>
          <w:sz w:val="24"/>
        </w:rPr>
        <w:t>监测</w:t>
      </w:r>
      <w:r>
        <w:rPr>
          <w:spacing w:val="-2"/>
          <w:sz w:val="24"/>
        </w:rPr>
        <w:t>按</w:t>
      </w:r>
      <w:r>
        <w:rPr>
          <w:spacing w:val="-2"/>
          <w:sz w:val="24"/>
        </w:rPr>
        <w:t>GB3095-2012</w:t>
      </w:r>
      <w:r>
        <w:rPr>
          <w:spacing w:val="-2"/>
          <w:sz w:val="24"/>
        </w:rPr>
        <w:t>中规定进行。具体采样及分析方法见表</w:t>
      </w:r>
      <w:r>
        <w:rPr>
          <w:spacing w:val="-2"/>
          <w:sz w:val="24"/>
        </w:rPr>
        <w:t>4.3-4</w:t>
      </w:r>
      <w:r>
        <w:rPr>
          <w:spacing w:val="-2"/>
          <w:sz w:val="24"/>
        </w:rPr>
        <w:t>。</w:t>
      </w:r>
    </w:p>
    <w:p w:rsidR="00240BCE" w:rsidRDefault="00AC0334">
      <w:pPr>
        <w:spacing w:line="520" w:lineRule="exact"/>
        <w:jc w:val="center"/>
        <w:rPr>
          <w:spacing w:val="-2"/>
          <w:sz w:val="24"/>
        </w:rPr>
      </w:pPr>
      <w:r>
        <w:rPr>
          <w:spacing w:val="-2"/>
          <w:sz w:val="24"/>
        </w:rPr>
        <w:t>表</w:t>
      </w:r>
      <w:r>
        <w:rPr>
          <w:spacing w:val="-2"/>
          <w:sz w:val="24"/>
        </w:rPr>
        <w:t xml:space="preserve">4.3-4    </w:t>
      </w:r>
      <w:r>
        <w:rPr>
          <w:spacing w:val="-2"/>
          <w:sz w:val="24"/>
        </w:rPr>
        <w:t>空气监测分析方法一览表</w:t>
      </w:r>
    </w:p>
    <w:tbl>
      <w:tblPr>
        <w:tblW w:w="50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973"/>
        <w:gridCol w:w="3924"/>
        <w:gridCol w:w="2060"/>
        <w:gridCol w:w="2151"/>
      </w:tblGrid>
      <w:tr w:rsidR="00240BCE">
        <w:trPr>
          <w:jc w:val="center"/>
        </w:trPr>
        <w:tc>
          <w:tcPr>
            <w:tcW w:w="534" w:type="pct"/>
            <w:tcBorders>
              <w:top w:val="single" w:sz="4" w:space="0" w:color="000000"/>
              <w:left w:val="single" w:sz="4" w:space="0" w:color="000000"/>
              <w:bottom w:val="single" w:sz="4" w:space="0" w:color="000000"/>
              <w:right w:val="single" w:sz="4" w:space="0" w:color="000000"/>
            </w:tcBorders>
            <w:vAlign w:val="center"/>
          </w:tcPr>
          <w:p w:rsidR="00240BCE" w:rsidRDefault="00AC0334">
            <w:pPr>
              <w:jc w:val="center"/>
              <w:rPr>
                <w:sz w:val="21"/>
                <w:szCs w:val="21"/>
              </w:rPr>
            </w:pPr>
            <w:r>
              <w:rPr>
                <w:sz w:val="21"/>
                <w:szCs w:val="21"/>
              </w:rPr>
              <w:t>检测项目</w:t>
            </w:r>
          </w:p>
        </w:tc>
        <w:tc>
          <w:tcPr>
            <w:tcW w:w="2154"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检测方法</w:t>
            </w:r>
          </w:p>
        </w:tc>
        <w:tc>
          <w:tcPr>
            <w:tcW w:w="1131"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检测仪器</w:t>
            </w:r>
          </w:p>
        </w:tc>
        <w:tc>
          <w:tcPr>
            <w:tcW w:w="1181"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检出限</w:t>
            </w:r>
          </w:p>
        </w:tc>
      </w:tr>
      <w:tr w:rsidR="00240BCE">
        <w:trPr>
          <w:jc w:val="center"/>
        </w:trPr>
        <w:tc>
          <w:tcPr>
            <w:tcW w:w="534" w:type="pct"/>
            <w:tcBorders>
              <w:top w:val="single" w:sz="4" w:space="0" w:color="000000"/>
              <w:left w:val="single" w:sz="4" w:space="0" w:color="000000"/>
              <w:bottom w:val="single" w:sz="4" w:space="0" w:color="000000"/>
              <w:right w:val="single" w:sz="4" w:space="0" w:color="000000"/>
            </w:tcBorders>
            <w:vAlign w:val="center"/>
          </w:tcPr>
          <w:p w:rsidR="00240BCE" w:rsidRDefault="00AC0334">
            <w:pPr>
              <w:jc w:val="center"/>
              <w:rPr>
                <w:sz w:val="21"/>
                <w:szCs w:val="21"/>
              </w:rPr>
            </w:pPr>
            <w:r>
              <w:rPr>
                <w:sz w:val="21"/>
                <w:szCs w:val="21"/>
              </w:rPr>
              <w:t>TSP</w:t>
            </w:r>
          </w:p>
        </w:tc>
        <w:tc>
          <w:tcPr>
            <w:tcW w:w="2154"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环境空气</w:t>
            </w:r>
            <w:r>
              <w:rPr>
                <w:sz w:val="21"/>
                <w:szCs w:val="21"/>
              </w:rPr>
              <w:t xml:space="preserve"> </w:t>
            </w:r>
            <w:r>
              <w:rPr>
                <w:sz w:val="21"/>
                <w:szCs w:val="21"/>
              </w:rPr>
              <w:t>总悬浮颗粒物的测定</w:t>
            </w:r>
            <w:r>
              <w:rPr>
                <w:sz w:val="21"/>
                <w:szCs w:val="21"/>
              </w:rPr>
              <w:t xml:space="preserve"> </w:t>
            </w:r>
            <w:r>
              <w:rPr>
                <w:sz w:val="21"/>
                <w:szCs w:val="21"/>
              </w:rPr>
              <w:t>重量法</w:t>
            </w:r>
            <w:r>
              <w:rPr>
                <w:sz w:val="21"/>
                <w:szCs w:val="21"/>
              </w:rPr>
              <w:t> GB/T 15432-1995</w:t>
            </w:r>
            <w:r>
              <w:rPr>
                <w:sz w:val="21"/>
                <w:szCs w:val="21"/>
              </w:rPr>
              <w:t>及其修改单</w:t>
            </w:r>
          </w:p>
        </w:tc>
        <w:tc>
          <w:tcPr>
            <w:tcW w:w="1131"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电子分析天平</w:t>
            </w:r>
            <w:r>
              <w:rPr>
                <w:sz w:val="21"/>
                <w:szCs w:val="21"/>
              </w:rPr>
              <w:t>ES-E120BⅡ</w:t>
            </w:r>
          </w:p>
        </w:tc>
        <w:tc>
          <w:tcPr>
            <w:tcW w:w="1181"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0.001mg/m3</w:t>
            </w:r>
          </w:p>
        </w:tc>
      </w:tr>
      <w:tr w:rsidR="00240BCE">
        <w:trPr>
          <w:jc w:val="center"/>
        </w:trPr>
        <w:tc>
          <w:tcPr>
            <w:tcW w:w="534" w:type="pct"/>
            <w:tcBorders>
              <w:top w:val="single" w:sz="4" w:space="0" w:color="000000"/>
              <w:left w:val="single" w:sz="4" w:space="0" w:color="000000"/>
              <w:bottom w:val="single" w:sz="4" w:space="0" w:color="000000"/>
              <w:right w:val="single" w:sz="4" w:space="0" w:color="000000"/>
            </w:tcBorders>
            <w:vAlign w:val="center"/>
          </w:tcPr>
          <w:p w:rsidR="00240BCE" w:rsidRDefault="00AC0334">
            <w:pPr>
              <w:jc w:val="center"/>
              <w:rPr>
                <w:sz w:val="21"/>
                <w:szCs w:val="21"/>
              </w:rPr>
            </w:pPr>
            <w:r>
              <w:rPr>
                <w:sz w:val="21"/>
                <w:szCs w:val="21"/>
              </w:rPr>
              <w:t>PM</w:t>
            </w:r>
            <w:r>
              <w:rPr>
                <w:rStyle w:val="15f"/>
                <w:color w:val="auto"/>
                <w:sz w:val="21"/>
                <w:szCs w:val="21"/>
                <w:u w:val="none"/>
                <w:vertAlign w:val="subscript"/>
              </w:rPr>
              <w:t>10</w:t>
            </w:r>
          </w:p>
        </w:tc>
        <w:tc>
          <w:tcPr>
            <w:tcW w:w="2154" w:type="pct"/>
            <w:vMerge w:val="restart"/>
            <w:tcBorders>
              <w:top w:val="nil"/>
              <w:left w:val="nil"/>
              <w:bottom w:val="single" w:sz="4" w:space="0" w:color="000000"/>
              <w:right w:val="single" w:sz="4" w:space="0" w:color="000000"/>
            </w:tcBorders>
            <w:vAlign w:val="center"/>
          </w:tcPr>
          <w:p w:rsidR="00240BCE" w:rsidRDefault="00AC0334">
            <w:pPr>
              <w:jc w:val="center"/>
              <w:rPr>
                <w:sz w:val="21"/>
                <w:szCs w:val="21"/>
              </w:rPr>
            </w:pPr>
            <w:r>
              <w:rPr>
                <w:sz w:val="21"/>
                <w:szCs w:val="21"/>
              </w:rPr>
              <w:t>环境空气</w:t>
            </w:r>
            <w:r>
              <w:rPr>
                <w:sz w:val="21"/>
                <w:szCs w:val="21"/>
              </w:rPr>
              <w:t xml:space="preserve"> PM10</w:t>
            </w:r>
            <w:r>
              <w:rPr>
                <w:sz w:val="21"/>
                <w:szCs w:val="21"/>
              </w:rPr>
              <w:t>和</w:t>
            </w:r>
            <w:r>
              <w:rPr>
                <w:sz w:val="21"/>
                <w:szCs w:val="21"/>
              </w:rPr>
              <w:t>PM2.5</w:t>
            </w:r>
            <w:r>
              <w:rPr>
                <w:sz w:val="21"/>
                <w:szCs w:val="21"/>
              </w:rPr>
              <w:t>的测定</w:t>
            </w:r>
            <w:r>
              <w:rPr>
                <w:sz w:val="21"/>
                <w:szCs w:val="21"/>
              </w:rPr>
              <w:t xml:space="preserve"> </w:t>
            </w:r>
            <w:r>
              <w:rPr>
                <w:sz w:val="21"/>
                <w:szCs w:val="21"/>
              </w:rPr>
              <w:t>重量法</w:t>
            </w:r>
            <w:r>
              <w:rPr>
                <w:sz w:val="21"/>
                <w:szCs w:val="21"/>
              </w:rPr>
              <w:t> HJ 618-2011</w:t>
            </w:r>
            <w:r>
              <w:rPr>
                <w:sz w:val="21"/>
                <w:szCs w:val="21"/>
              </w:rPr>
              <w:t>及其修改单</w:t>
            </w:r>
          </w:p>
        </w:tc>
        <w:tc>
          <w:tcPr>
            <w:tcW w:w="1131"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电子分析天平</w:t>
            </w:r>
            <w:r>
              <w:rPr>
                <w:sz w:val="21"/>
                <w:szCs w:val="21"/>
              </w:rPr>
              <w:t>ES-E120BⅡ</w:t>
            </w:r>
          </w:p>
        </w:tc>
        <w:tc>
          <w:tcPr>
            <w:tcW w:w="1181"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0.010mg/m3</w:t>
            </w:r>
          </w:p>
        </w:tc>
      </w:tr>
      <w:tr w:rsidR="00240BCE">
        <w:trPr>
          <w:jc w:val="center"/>
        </w:trPr>
        <w:tc>
          <w:tcPr>
            <w:tcW w:w="534" w:type="pct"/>
            <w:tcBorders>
              <w:top w:val="single" w:sz="4" w:space="0" w:color="000000"/>
              <w:left w:val="single" w:sz="4" w:space="0" w:color="000000"/>
              <w:bottom w:val="single" w:sz="4" w:space="0" w:color="000000"/>
              <w:right w:val="single" w:sz="4" w:space="0" w:color="000000"/>
            </w:tcBorders>
            <w:vAlign w:val="center"/>
          </w:tcPr>
          <w:p w:rsidR="00240BCE" w:rsidRDefault="00AC0334">
            <w:pPr>
              <w:jc w:val="center"/>
              <w:rPr>
                <w:sz w:val="21"/>
                <w:szCs w:val="21"/>
              </w:rPr>
            </w:pPr>
            <w:r>
              <w:rPr>
                <w:sz w:val="21"/>
                <w:szCs w:val="21"/>
              </w:rPr>
              <w:t>PM</w:t>
            </w:r>
            <w:r>
              <w:rPr>
                <w:rStyle w:val="15f"/>
                <w:color w:val="auto"/>
                <w:sz w:val="21"/>
                <w:szCs w:val="21"/>
                <w:u w:val="none"/>
                <w:vertAlign w:val="subscript"/>
              </w:rPr>
              <w:t>2.5</w:t>
            </w:r>
          </w:p>
        </w:tc>
        <w:tc>
          <w:tcPr>
            <w:tcW w:w="0" w:type="auto"/>
            <w:vMerge/>
            <w:tcBorders>
              <w:top w:val="nil"/>
              <w:left w:val="nil"/>
              <w:bottom w:val="single" w:sz="4" w:space="0" w:color="000000"/>
              <w:right w:val="single" w:sz="4" w:space="0" w:color="000000"/>
            </w:tcBorders>
            <w:vAlign w:val="center"/>
          </w:tcPr>
          <w:p w:rsidR="00240BCE" w:rsidRDefault="00240BCE">
            <w:pPr>
              <w:widowControl/>
              <w:jc w:val="left"/>
              <w:rPr>
                <w:sz w:val="21"/>
                <w:szCs w:val="21"/>
              </w:rPr>
            </w:pPr>
          </w:p>
        </w:tc>
        <w:tc>
          <w:tcPr>
            <w:tcW w:w="1131"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电子分析天平</w:t>
            </w:r>
            <w:r>
              <w:rPr>
                <w:sz w:val="21"/>
                <w:szCs w:val="21"/>
              </w:rPr>
              <w:t>ES-E120BⅡ</w:t>
            </w:r>
          </w:p>
        </w:tc>
        <w:tc>
          <w:tcPr>
            <w:tcW w:w="1181" w:type="pct"/>
            <w:tcBorders>
              <w:top w:val="single" w:sz="4" w:space="0" w:color="000000"/>
              <w:left w:val="nil"/>
              <w:bottom w:val="single" w:sz="4" w:space="0" w:color="000000"/>
              <w:right w:val="single" w:sz="4" w:space="0" w:color="000000"/>
            </w:tcBorders>
            <w:vAlign w:val="center"/>
          </w:tcPr>
          <w:p w:rsidR="00240BCE" w:rsidRDefault="00AC0334">
            <w:pPr>
              <w:jc w:val="center"/>
              <w:rPr>
                <w:sz w:val="21"/>
                <w:szCs w:val="21"/>
              </w:rPr>
            </w:pPr>
            <w:r>
              <w:rPr>
                <w:sz w:val="21"/>
                <w:szCs w:val="21"/>
              </w:rPr>
              <w:t>0.010mg/m3</w:t>
            </w:r>
          </w:p>
        </w:tc>
      </w:tr>
    </w:tbl>
    <w:p w:rsidR="00240BCE" w:rsidRDefault="00AC0334">
      <w:pPr>
        <w:spacing w:line="520" w:lineRule="exact"/>
        <w:ind w:firstLineChars="200" w:firstLine="466"/>
        <w:rPr>
          <w:b/>
          <w:bCs/>
          <w:color w:val="000000"/>
          <w:spacing w:val="-4"/>
          <w:sz w:val="24"/>
        </w:rPr>
      </w:pPr>
      <w:r>
        <w:rPr>
          <w:b/>
          <w:bCs/>
          <w:color w:val="000000"/>
          <w:spacing w:val="-4"/>
          <w:sz w:val="24"/>
        </w:rPr>
        <w:t>5</w:t>
      </w:r>
      <w:r>
        <w:rPr>
          <w:b/>
          <w:bCs/>
          <w:color w:val="000000"/>
          <w:spacing w:val="-4"/>
          <w:sz w:val="24"/>
        </w:rPr>
        <w:t>、评价标准</w:t>
      </w:r>
    </w:p>
    <w:p w:rsidR="00240BCE" w:rsidRDefault="00AC0334">
      <w:pPr>
        <w:spacing w:line="520" w:lineRule="exact"/>
        <w:ind w:firstLineChars="200" w:firstLine="472"/>
        <w:rPr>
          <w:spacing w:val="-2"/>
          <w:sz w:val="24"/>
        </w:rPr>
      </w:pPr>
      <w:r>
        <w:rPr>
          <w:spacing w:val="-2"/>
          <w:sz w:val="24"/>
        </w:rPr>
        <w:t>根据禹州市环境保护局对本项目环境影响执行标准的意见，本次环评执行《环境空气质量标准》（</w:t>
      </w:r>
      <w:r>
        <w:rPr>
          <w:spacing w:val="-2"/>
          <w:sz w:val="24"/>
        </w:rPr>
        <w:t>GB3095—2012</w:t>
      </w:r>
      <w:r>
        <w:rPr>
          <w:spacing w:val="-2"/>
          <w:sz w:val="24"/>
        </w:rPr>
        <w:t>）中的二类标准，具体标准限值见表</w:t>
      </w:r>
      <w:r>
        <w:rPr>
          <w:spacing w:val="-2"/>
          <w:sz w:val="24"/>
        </w:rPr>
        <w:t>4.3-5</w:t>
      </w:r>
      <w:r>
        <w:rPr>
          <w:spacing w:val="-2"/>
          <w:sz w:val="24"/>
        </w:rPr>
        <w:t>。</w:t>
      </w:r>
    </w:p>
    <w:p w:rsidR="00240BCE" w:rsidRDefault="00AC0334">
      <w:pPr>
        <w:spacing w:line="520" w:lineRule="exact"/>
        <w:jc w:val="center"/>
        <w:rPr>
          <w:color w:val="000000"/>
          <w:spacing w:val="-2"/>
          <w:sz w:val="24"/>
        </w:rPr>
      </w:pPr>
      <w:r>
        <w:rPr>
          <w:color w:val="000000"/>
          <w:spacing w:val="-2"/>
          <w:sz w:val="24"/>
        </w:rPr>
        <w:t>表</w:t>
      </w:r>
      <w:r>
        <w:rPr>
          <w:color w:val="000000"/>
          <w:spacing w:val="-2"/>
          <w:sz w:val="24"/>
        </w:rPr>
        <w:t xml:space="preserve">4.3-5   </w:t>
      </w:r>
      <w:r>
        <w:rPr>
          <w:color w:val="000000"/>
          <w:spacing w:val="-2"/>
          <w:sz w:val="24"/>
        </w:rPr>
        <w:t>空气质量评价标准表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5"/>
        <w:gridCol w:w="3515"/>
        <w:gridCol w:w="3097"/>
      </w:tblGrid>
      <w:tr w:rsidR="00240BCE">
        <w:tc>
          <w:tcPr>
            <w:tcW w:w="1394" w:type="pct"/>
            <w:tcBorders>
              <w:top w:val="single" w:sz="4" w:space="0" w:color="000000"/>
              <w:left w:val="single" w:sz="4" w:space="0" w:color="000000"/>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评价因子</w:t>
            </w:r>
          </w:p>
        </w:tc>
        <w:tc>
          <w:tcPr>
            <w:tcW w:w="1917"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平均时间</w:t>
            </w:r>
          </w:p>
        </w:tc>
        <w:tc>
          <w:tcPr>
            <w:tcW w:w="1689"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标准限值</w:t>
            </w:r>
            <w:r>
              <w:rPr>
                <w:spacing w:val="-2"/>
                <w:sz w:val="21"/>
                <w:szCs w:val="21"/>
              </w:rPr>
              <w:t>µg/m</w:t>
            </w:r>
            <w:r>
              <w:rPr>
                <w:spacing w:val="-2"/>
                <w:sz w:val="21"/>
                <w:szCs w:val="21"/>
                <w:vertAlign w:val="superscript"/>
              </w:rPr>
              <w:t>3</w:t>
            </w:r>
          </w:p>
        </w:tc>
      </w:tr>
      <w:tr w:rsidR="00240BCE">
        <w:tc>
          <w:tcPr>
            <w:tcW w:w="1394" w:type="pct"/>
            <w:tcBorders>
              <w:top w:val="single" w:sz="4" w:space="0" w:color="000000"/>
              <w:left w:val="single" w:sz="4" w:space="0" w:color="000000"/>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TSP</w:t>
            </w:r>
          </w:p>
        </w:tc>
        <w:tc>
          <w:tcPr>
            <w:tcW w:w="1917"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24</w:t>
            </w:r>
            <w:r>
              <w:rPr>
                <w:spacing w:val="-2"/>
                <w:sz w:val="21"/>
                <w:szCs w:val="21"/>
              </w:rPr>
              <w:t>小时平均</w:t>
            </w:r>
          </w:p>
        </w:tc>
        <w:tc>
          <w:tcPr>
            <w:tcW w:w="1689"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300</w:t>
            </w:r>
          </w:p>
        </w:tc>
      </w:tr>
      <w:tr w:rsidR="00240BCE">
        <w:tc>
          <w:tcPr>
            <w:tcW w:w="1394" w:type="pct"/>
            <w:tcBorders>
              <w:top w:val="single" w:sz="4" w:space="0" w:color="000000"/>
              <w:left w:val="single" w:sz="4" w:space="0" w:color="000000"/>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z w:val="21"/>
                <w:szCs w:val="21"/>
              </w:rPr>
              <w:t>PM</w:t>
            </w:r>
            <w:r>
              <w:rPr>
                <w:sz w:val="21"/>
                <w:szCs w:val="21"/>
                <w:vertAlign w:val="subscript"/>
              </w:rPr>
              <w:t>10</w:t>
            </w:r>
          </w:p>
        </w:tc>
        <w:tc>
          <w:tcPr>
            <w:tcW w:w="1917"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24</w:t>
            </w:r>
            <w:r>
              <w:rPr>
                <w:spacing w:val="-2"/>
                <w:sz w:val="21"/>
                <w:szCs w:val="21"/>
              </w:rPr>
              <w:t>小时平均</w:t>
            </w:r>
          </w:p>
        </w:tc>
        <w:tc>
          <w:tcPr>
            <w:tcW w:w="1689"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150</w:t>
            </w:r>
          </w:p>
        </w:tc>
      </w:tr>
      <w:tr w:rsidR="00240BCE">
        <w:tc>
          <w:tcPr>
            <w:tcW w:w="1394" w:type="pct"/>
            <w:tcBorders>
              <w:top w:val="single" w:sz="4" w:space="0" w:color="000000"/>
              <w:left w:val="single" w:sz="4" w:space="0" w:color="000000"/>
              <w:bottom w:val="single" w:sz="4" w:space="0" w:color="000000"/>
              <w:right w:val="single" w:sz="4" w:space="0" w:color="000000"/>
            </w:tcBorders>
            <w:vAlign w:val="center"/>
          </w:tcPr>
          <w:p w:rsidR="00240BCE" w:rsidRDefault="00AC0334">
            <w:pPr>
              <w:snapToGrid w:val="0"/>
              <w:spacing w:line="320" w:lineRule="exact"/>
              <w:jc w:val="center"/>
              <w:rPr>
                <w:sz w:val="21"/>
                <w:szCs w:val="21"/>
              </w:rPr>
            </w:pPr>
            <w:r>
              <w:rPr>
                <w:sz w:val="21"/>
                <w:szCs w:val="21"/>
              </w:rPr>
              <w:t>PM</w:t>
            </w:r>
            <w:r>
              <w:rPr>
                <w:sz w:val="21"/>
                <w:szCs w:val="21"/>
                <w:vertAlign w:val="subscript"/>
              </w:rPr>
              <w:t>2.5</w:t>
            </w:r>
          </w:p>
        </w:tc>
        <w:tc>
          <w:tcPr>
            <w:tcW w:w="1917"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24</w:t>
            </w:r>
            <w:r>
              <w:rPr>
                <w:spacing w:val="-2"/>
                <w:sz w:val="21"/>
                <w:szCs w:val="21"/>
              </w:rPr>
              <w:t>小时平均</w:t>
            </w:r>
          </w:p>
        </w:tc>
        <w:tc>
          <w:tcPr>
            <w:tcW w:w="1689"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20" w:lineRule="exact"/>
              <w:jc w:val="center"/>
              <w:rPr>
                <w:spacing w:val="-2"/>
                <w:sz w:val="21"/>
                <w:szCs w:val="21"/>
              </w:rPr>
            </w:pPr>
            <w:r>
              <w:rPr>
                <w:spacing w:val="-2"/>
                <w:sz w:val="21"/>
                <w:szCs w:val="21"/>
              </w:rPr>
              <w:t>75</w:t>
            </w:r>
          </w:p>
        </w:tc>
      </w:tr>
    </w:tbl>
    <w:p w:rsidR="00240BCE" w:rsidRDefault="00AC0334">
      <w:pPr>
        <w:spacing w:line="520" w:lineRule="exact"/>
        <w:ind w:firstLineChars="200" w:firstLine="474"/>
        <w:rPr>
          <w:b/>
          <w:bCs/>
          <w:color w:val="000000"/>
          <w:spacing w:val="-2"/>
          <w:sz w:val="24"/>
        </w:rPr>
      </w:pPr>
      <w:r>
        <w:rPr>
          <w:b/>
          <w:bCs/>
          <w:color w:val="000000"/>
          <w:spacing w:val="-2"/>
          <w:sz w:val="24"/>
        </w:rPr>
        <w:t>6</w:t>
      </w:r>
      <w:r>
        <w:rPr>
          <w:b/>
          <w:bCs/>
          <w:color w:val="000000"/>
          <w:spacing w:val="-2"/>
          <w:sz w:val="24"/>
        </w:rPr>
        <w:t>、环境空气质量</w:t>
      </w:r>
      <w:r>
        <w:rPr>
          <w:b/>
          <w:bCs/>
          <w:color w:val="000000"/>
          <w:sz w:val="24"/>
        </w:rPr>
        <w:t>监测</w:t>
      </w:r>
      <w:r>
        <w:rPr>
          <w:b/>
          <w:bCs/>
          <w:color w:val="000000"/>
          <w:spacing w:val="-2"/>
          <w:sz w:val="24"/>
        </w:rPr>
        <w:t>结果及评价</w:t>
      </w:r>
    </w:p>
    <w:p w:rsidR="00240BCE" w:rsidRDefault="00AC0334">
      <w:pPr>
        <w:spacing w:line="520" w:lineRule="exact"/>
        <w:ind w:firstLineChars="200" w:firstLine="472"/>
        <w:rPr>
          <w:color w:val="000000"/>
          <w:spacing w:val="-2"/>
          <w:sz w:val="24"/>
        </w:rPr>
      </w:pPr>
      <w:r>
        <w:rPr>
          <w:color w:val="000000"/>
          <w:spacing w:val="-2"/>
          <w:sz w:val="24"/>
        </w:rPr>
        <w:t>（</w:t>
      </w:r>
      <w:r>
        <w:rPr>
          <w:color w:val="000000"/>
          <w:spacing w:val="-2"/>
          <w:sz w:val="24"/>
        </w:rPr>
        <w:t>1</w:t>
      </w:r>
      <w:r>
        <w:rPr>
          <w:color w:val="000000"/>
          <w:spacing w:val="-2"/>
          <w:sz w:val="24"/>
        </w:rPr>
        <w:t>）单因子评价指数</w:t>
      </w:r>
    </w:p>
    <w:p w:rsidR="00240BCE" w:rsidRDefault="00AC0334">
      <w:pPr>
        <w:spacing w:line="520" w:lineRule="exact"/>
        <w:ind w:firstLineChars="200" w:firstLine="472"/>
        <w:rPr>
          <w:color w:val="000000"/>
          <w:spacing w:val="-2"/>
          <w:sz w:val="24"/>
        </w:rPr>
      </w:pPr>
      <w:r>
        <w:rPr>
          <w:color w:val="000000"/>
          <w:spacing w:val="-2"/>
          <w:sz w:val="24"/>
        </w:rPr>
        <w:t>采用单因子评价指数法进行评价，计算公式如下：</w:t>
      </w:r>
    </w:p>
    <w:p w:rsidR="00240BCE" w:rsidRDefault="00AC0334">
      <w:pPr>
        <w:spacing w:line="520" w:lineRule="exact"/>
        <w:ind w:firstLine="480"/>
        <w:rPr>
          <w:color w:val="000000"/>
          <w:spacing w:val="-2"/>
          <w:sz w:val="24"/>
        </w:rPr>
      </w:pPr>
      <w:r>
        <w:rPr>
          <w:color w:val="000000"/>
          <w:spacing w:val="-2"/>
          <w:sz w:val="24"/>
        </w:rPr>
        <w:t>P</w:t>
      </w:r>
      <w:r>
        <w:rPr>
          <w:color w:val="000000"/>
          <w:spacing w:val="-2"/>
          <w:sz w:val="24"/>
          <w:vertAlign w:val="subscript"/>
        </w:rPr>
        <w:t>i</w:t>
      </w:r>
      <w:r>
        <w:rPr>
          <w:color w:val="000000"/>
          <w:spacing w:val="-2"/>
          <w:sz w:val="24"/>
        </w:rPr>
        <w:t>=</w:t>
      </w:r>
      <w:r>
        <w:rPr>
          <w:spacing w:val="5"/>
          <w:sz w:val="24"/>
        </w:rPr>
        <w:t>C</w:t>
      </w:r>
      <w:r>
        <w:rPr>
          <w:spacing w:val="5"/>
          <w:sz w:val="24"/>
          <w:vertAlign w:val="subscript"/>
        </w:rPr>
        <w:t>i</w:t>
      </w:r>
      <w:r>
        <w:rPr>
          <w:color w:val="000000"/>
          <w:spacing w:val="-2"/>
          <w:sz w:val="24"/>
        </w:rPr>
        <w:t>/S</w:t>
      </w:r>
      <w:r>
        <w:rPr>
          <w:color w:val="000000"/>
          <w:spacing w:val="-2"/>
          <w:sz w:val="24"/>
          <w:vertAlign w:val="subscript"/>
        </w:rPr>
        <w:t>i</w:t>
      </w:r>
    </w:p>
    <w:p w:rsidR="00240BCE" w:rsidRDefault="00AC0334">
      <w:pPr>
        <w:spacing w:line="520" w:lineRule="exact"/>
        <w:ind w:firstLineChars="200" w:firstLine="472"/>
        <w:rPr>
          <w:color w:val="000000"/>
          <w:spacing w:val="-2"/>
          <w:sz w:val="24"/>
        </w:rPr>
      </w:pPr>
      <w:r>
        <w:rPr>
          <w:color w:val="000000"/>
          <w:spacing w:val="-2"/>
          <w:sz w:val="24"/>
        </w:rPr>
        <w:t>式中：</w:t>
      </w:r>
      <w:r>
        <w:rPr>
          <w:color w:val="000000"/>
          <w:spacing w:val="-2"/>
          <w:sz w:val="24"/>
        </w:rPr>
        <w:t>P</w:t>
      </w:r>
      <w:r>
        <w:rPr>
          <w:color w:val="000000"/>
          <w:spacing w:val="-2"/>
          <w:sz w:val="24"/>
          <w:vertAlign w:val="subscript"/>
        </w:rPr>
        <w:t>i</w:t>
      </w:r>
      <w:r>
        <w:rPr>
          <w:color w:val="000000"/>
          <w:spacing w:val="-2"/>
          <w:sz w:val="24"/>
        </w:rPr>
        <w:t>——i</w:t>
      </w:r>
      <w:r>
        <w:rPr>
          <w:color w:val="000000"/>
          <w:spacing w:val="-2"/>
          <w:sz w:val="24"/>
        </w:rPr>
        <w:t>种污染物的单因子指数；</w:t>
      </w:r>
    </w:p>
    <w:p w:rsidR="00240BCE" w:rsidRDefault="00AC0334">
      <w:pPr>
        <w:spacing w:line="520" w:lineRule="exact"/>
        <w:ind w:firstLineChars="500" w:firstLine="1180"/>
        <w:rPr>
          <w:color w:val="000000"/>
          <w:spacing w:val="-2"/>
          <w:sz w:val="24"/>
        </w:rPr>
      </w:pPr>
      <w:r>
        <w:rPr>
          <w:color w:val="000000"/>
          <w:spacing w:val="-2"/>
          <w:sz w:val="24"/>
        </w:rPr>
        <w:t>C</w:t>
      </w:r>
      <w:r>
        <w:rPr>
          <w:color w:val="000000"/>
          <w:spacing w:val="-2"/>
          <w:sz w:val="24"/>
          <w:vertAlign w:val="subscript"/>
        </w:rPr>
        <w:t>i</w:t>
      </w:r>
      <w:r>
        <w:rPr>
          <w:color w:val="000000"/>
          <w:spacing w:val="-2"/>
          <w:sz w:val="24"/>
        </w:rPr>
        <w:t>——i</w:t>
      </w:r>
      <w:r>
        <w:rPr>
          <w:color w:val="000000"/>
          <w:spacing w:val="-2"/>
          <w:sz w:val="24"/>
        </w:rPr>
        <w:t>种污染物的实测浓度，</w:t>
      </w:r>
      <w:r>
        <w:rPr>
          <w:color w:val="000000"/>
          <w:spacing w:val="2"/>
        </w:rPr>
        <w:t>µ</w:t>
      </w:r>
      <w:r>
        <w:rPr>
          <w:color w:val="000000"/>
          <w:spacing w:val="-2"/>
          <w:sz w:val="24"/>
        </w:rPr>
        <w:t>g/Nm</w:t>
      </w:r>
      <w:r>
        <w:rPr>
          <w:color w:val="000000"/>
          <w:spacing w:val="-2"/>
          <w:sz w:val="24"/>
          <w:vertAlign w:val="superscript"/>
        </w:rPr>
        <w:t>3</w:t>
      </w:r>
      <w:r>
        <w:rPr>
          <w:color w:val="000000"/>
          <w:spacing w:val="-2"/>
          <w:sz w:val="24"/>
        </w:rPr>
        <w:t>；</w:t>
      </w:r>
    </w:p>
    <w:p w:rsidR="00240BCE" w:rsidRDefault="00AC0334">
      <w:pPr>
        <w:spacing w:line="520" w:lineRule="exact"/>
        <w:ind w:firstLineChars="500" w:firstLine="1180"/>
        <w:rPr>
          <w:color w:val="000000"/>
          <w:spacing w:val="-2"/>
          <w:sz w:val="24"/>
        </w:rPr>
      </w:pPr>
      <w:r>
        <w:rPr>
          <w:color w:val="000000"/>
          <w:spacing w:val="-2"/>
          <w:sz w:val="24"/>
        </w:rPr>
        <w:t>S</w:t>
      </w:r>
      <w:r>
        <w:rPr>
          <w:color w:val="000000"/>
          <w:spacing w:val="-2"/>
          <w:sz w:val="24"/>
          <w:vertAlign w:val="subscript"/>
        </w:rPr>
        <w:t>i</w:t>
      </w:r>
      <w:r>
        <w:rPr>
          <w:color w:val="000000"/>
          <w:spacing w:val="-2"/>
          <w:sz w:val="24"/>
        </w:rPr>
        <w:t>——i</w:t>
      </w:r>
      <w:r>
        <w:rPr>
          <w:color w:val="000000"/>
          <w:spacing w:val="-2"/>
          <w:sz w:val="24"/>
        </w:rPr>
        <w:t>种污染物的评价标准，</w:t>
      </w:r>
      <w:r>
        <w:rPr>
          <w:color w:val="000000"/>
          <w:spacing w:val="2"/>
        </w:rPr>
        <w:t>µ</w:t>
      </w:r>
      <w:r>
        <w:rPr>
          <w:color w:val="000000"/>
          <w:spacing w:val="-2"/>
          <w:sz w:val="24"/>
        </w:rPr>
        <w:t>g/Nm</w:t>
      </w:r>
      <w:r>
        <w:rPr>
          <w:color w:val="000000"/>
          <w:spacing w:val="-2"/>
          <w:sz w:val="24"/>
          <w:vertAlign w:val="superscript"/>
        </w:rPr>
        <w:t>3</w:t>
      </w:r>
      <w:r>
        <w:rPr>
          <w:color w:val="000000"/>
          <w:spacing w:val="-2"/>
          <w:sz w:val="24"/>
        </w:rPr>
        <w:t>。</w:t>
      </w:r>
    </w:p>
    <w:p w:rsidR="00240BCE" w:rsidRDefault="00AC0334">
      <w:pPr>
        <w:spacing w:line="520" w:lineRule="exact"/>
        <w:ind w:firstLineChars="200" w:firstLine="472"/>
        <w:rPr>
          <w:color w:val="000000"/>
          <w:spacing w:val="-2"/>
          <w:sz w:val="24"/>
        </w:rPr>
      </w:pPr>
      <w:r>
        <w:rPr>
          <w:color w:val="000000"/>
          <w:spacing w:val="-2"/>
          <w:sz w:val="24"/>
        </w:rPr>
        <w:t>（</w:t>
      </w:r>
      <w:r>
        <w:rPr>
          <w:color w:val="000000"/>
          <w:spacing w:val="-2"/>
          <w:sz w:val="24"/>
        </w:rPr>
        <w:t>2</w:t>
      </w:r>
      <w:r>
        <w:rPr>
          <w:color w:val="000000"/>
          <w:spacing w:val="-2"/>
          <w:sz w:val="24"/>
        </w:rPr>
        <w:t>）超标率和最大值超标倍数</w:t>
      </w:r>
    </w:p>
    <w:p w:rsidR="00240BCE" w:rsidRDefault="00AC0334">
      <w:pPr>
        <w:spacing w:line="520" w:lineRule="exact"/>
        <w:ind w:firstLineChars="200" w:firstLine="472"/>
        <w:rPr>
          <w:color w:val="000000"/>
          <w:spacing w:val="-2"/>
          <w:sz w:val="24"/>
        </w:rPr>
      </w:pPr>
      <w:r>
        <w:rPr>
          <w:color w:val="000000"/>
          <w:spacing w:val="-2"/>
          <w:sz w:val="24"/>
        </w:rPr>
        <w:t>超标率和最大值超标倍数计算公式如下：</w:t>
      </w:r>
    </w:p>
    <w:p w:rsidR="00240BCE" w:rsidRDefault="00AC0334">
      <w:pPr>
        <w:ind w:firstLineChars="950" w:firstLine="2660"/>
        <w:rPr>
          <w:color w:val="000000"/>
          <w:sz w:val="24"/>
        </w:rPr>
      </w:pPr>
      <w:r>
        <w:rPr>
          <w:noProof/>
        </w:rPr>
        <w:drawing>
          <wp:inline distT="0" distB="0" distL="114300" distR="114300">
            <wp:extent cx="875030" cy="323850"/>
            <wp:effectExtent l="0" t="0" r="1270" b="0"/>
            <wp:docPr id="159"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descr="wps1"/>
                    <pic:cNvPicPr>
                      <a:picLocks noChangeAspect="1"/>
                    </pic:cNvPicPr>
                  </pic:nvPicPr>
                  <pic:blipFill>
                    <a:blip r:embed="rId25" cstate="print"/>
                    <a:stretch>
                      <a:fillRect/>
                    </a:stretch>
                  </pic:blipFill>
                  <pic:spPr>
                    <a:xfrm>
                      <a:off x="0" y="0"/>
                      <a:ext cx="875030" cy="323850"/>
                    </a:xfrm>
                    <a:prstGeom prst="rect">
                      <a:avLst/>
                    </a:prstGeom>
                    <a:noFill/>
                    <a:ln>
                      <a:noFill/>
                    </a:ln>
                  </pic:spPr>
                </pic:pic>
              </a:graphicData>
            </a:graphic>
          </wp:inline>
        </w:drawing>
      </w:r>
    </w:p>
    <w:p w:rsidR="00240BCE" w:rsidRDefault="00AC0334">
      <w:pPr>
        <w:spacing w:line="520" w:lineRule="exact"/>
        <w:ind w:firstLineChars="200" w:firstLine="480"/>
        <w:rPr>
          <w:color w:val="000000"/>
          <w:sz w:val="24"/>
        </w:rPr>
      </w:pPr>
      <w:r>
        <w:rPr>
          <w:color w:val="000000"/>
          <w:sz w:val="24"/>
        </w:rPr>
        <w:t>式中：</w:t>
      </w:r>
      <w:r>
        <w:rPr>
          <w:color w:val="000000"/>
          <w:sz w:val="24"/>
        </w:rPr>
        <w:t>α—</w:t>
      </w:r>
      <w:r>
        <w:rPr>
          <w:color w:val="000000"/>
          <w:sz w:val="24"/>
        </w:rPr>
        <w:t>超标率，</w:t>
      </w:r>
      <w:r>
        <w:rPr>
          <w:color w:val="000000"/>
          <w:sz w:val="24"/>
        </w:rPr>
        <w:t>%</w:t>
      </w:r>
      <w:r>
        <w:rPr>
          <w:color w:val="000000"/>
          <w:sz w:val="24"/>
        </w:rPr>
        <w:t>；</w:t>
      </w:r>
    </w:p>
    <w:p w:rsidR="00240BCE" w:rsidRDefault="00AC0334">
      <w:pPr>
        <w:spacing w:line="520" w:lineRule="exact"/>
        <w:ind w:firstLineChars="546" w:firstLine="1310"/>
        <w:rPr>
          <w:color w:val="000000"/>
          <w:sz w:val="24"/>
        </w:rPr>
      </w:pPr>
      <w:r>
        <w:rPr>
          <w:color w:val="000000"/>
          <w:sz w:val="24"/>
        </w:rPr>
        <w:lastRenderedPageBreak/>
        <w:t>m—</w:t>
      </w:r>
      <w:r>
        <w:rPr>
          <w:color w:val="000000"/>
          <w:sz w:val="24"/>
        </w:rPr>
        <w:t>超过标准限值的监测数据个数；</w:t>
      </w:r>
    </w:p>
    <w:p w:rsidR="00240BCE" w:rsidRDefault="00AC0334">
      <w:pPr>
        <w:spacing w:line="520" w:lineRule="exact"/>
        <w:ind w:firstLineChars="546" w:firstLine="1310"/>
        <w:rPr>
          <w:color w:val="000000"/>
          <w:sz w:val="24"/>
        </w:rPr>
      </w:pPr>
      <w:r>
        <w:rPr>
          <w:color w:val="000000"/>
          <w:sz w:val="24"/>
        </w:rPr>
        <w:t>n—</w:t>
      </w:r>
      <w:r>
        <w:rPr>
          <w:color w:val="000000"/>
          <w:sz w:val="24"/>
        </w:rPr>
        <w:t>监测数据总个数。</w:t>
      </w:r>
    </w:p>
    <w:p w:rsidR="00240BCE" w:rsidRDefault="00AC0334">
      <w:pPr>
        <w:ind w:firstLineChars="900" w:firstLine="2520"/>
        <w:rPr>
          <w:color w:val="000000"/>
          <w:sz w:val="24"/>
        </w:rPr>
      </w:pPr>
      <w:r>
        <w:rPr>
          <w:noProof/>
        </w:rPr>
        <w:drawing>
          <wp:inline distT="0" distB="0" distL="114300" distR="114300">
            <wp:extent cx="666750" cy="370205"/>
            <wp:effectExtent l="0" t="0" r="0" b="10795"/>
            <wp:docPr id="160"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 descr="wps2"/>
                    <pic:cNvPicPr>
                      <a:picLocks noChangeAspect="1"/>
                    </pic:cNvPicPr>
                  </pic:nvPicPr>
                  <pic:blipFill>
                    <a:blip r:embed="rId26" cstate="print"/>
                    <a:stretch>
                      <a:fillRect/>
                    </a:stretch>
                  </pic:blipFill>
                  <pic:spPr>
                    <a:xfrm>
                      <a:off x="0" y="0"/>
                      <a:ext cx="666750" cy="370205"/>
                    </a:xfrm>
                    <a:prstGeom prst="rect">
                      <a:avLst/>
                    </a:prstGeom>
                    <a:noFill/>
                    <a:ln>
                      <a:noFill/>
                    </a:ln>
                  </pic:spPr>
                </pic:pic>
              </a:graphicData>
            </a:graphic>
          </wp:inline>
        </w:drawing>
      </w:r>
    </w:p>
    <w:p w:rsidR="00240BCE" w:rsidRDefault="00AC0334">
      <w:pPr>
        <w:spacing w:line="520" w:lineRule="exact"/>
        <w:ind w:firstLineChars="200" w:firstLine="480"/>
        <w:rPr>
          <w:color w:val="000000"/>
          <w:sz w:val="24"/>
        </w:rPr>
      </w:pPr>
      <w:r>
        <w:rPr>
          <w:color w:val="000000"/>
          <w:sz w:val="24"/>
        </w:rPr>
        <w:t>式中：</w:t>
      </w:r>
      <w:r>
        <w:rPr>
          <w:color w:val="000000"/>
          <w:sz w:val="24"/>
        </w:rPr>
        <w:t>β—</w:t>
      </w:r>
      <w:r>
        <w:rPr>
          <w:color w:val="000000"/>
          <w:sz w:val="24"/>
        </w:rPr>
        <w:t>最大值超标倍数（倍）；</w:t>
      </w:r>
    </w:p>
    <w:p w:rsidR="00240BCE" w:rsidRDefault="00AC0334">
      <w:pPr>
        <w:spacing w:line="520" w:lineRule="exact"/>
        <w:ind w:firstLineChars="500" w:firstLine="1200"/>
        <w:rPr>
          <w:color w:val="000000"/>
          <w:sz w:val="24"/>
        </w:rPr>
      </w:pPr>
      <w:r>
        <w:rPr>
          <w:color w:val="000000"/>
          <w:sz w:val="24"/>
        </w:rPr>
        <w:t>C</w:t>
      </w:r>
      <w:r>
        <w:rPr>
          <w:color w:val="000000"/>
          <w:sz w:val="24"/>
          <w:vertAlign w:val="subscript"/>
        </w:rPr>
        <w:t>imax</w:t>
      </w:r>
      <w:r>
        <w:rPr>
          <w:color w:val="000000"/>
          <w:sz w:val="24"/>
        </w:rPr>
        <w:t>—i</w:t>
      </w:r>
      <w:r>
        <w:rPr>
          <w:spacing w:val="5"/>
          <w:sz w:val="24"/>
        </w:rPr>
        <w:t>污染物最大监测值</w:t>
      </w:r>
      <w:r>
        <w:rPr>
          <w:color w:val="000000"/>
          <w:sz w:val="24"/>
        </w:rPr>
        <w:t>，</w:t>
      </w:r>
      <w:r>
        <w:rPr>
          <w:color w:val="000000"/>
          <w:spacing w:val="2"/>
        </w:rPr>
        <w:t>µ</w:t>
      </w:r>
      <w:r>
        <w:rPr>
          <w:color w:val="000000"/>
          <w:sz w:val="24"/>
        </w:rPr>
        <w:t>g/m</w:t>
      </w:r>
      <w:r>
        <w:rPr>
          <w:color w:val="000000"/>
          <w:sz w:val="24"/>
          <w:vertAlign w:val="superscript"/>
        </w:rPr>
        <w:t>3</w:t>
      </w:r>
      <w:r>
        <w:rPr>
          <w:color w:val="000000"/>
          <w:sz w:val="24"/>
        </w:rPr>
        <w:t>；</w:t>
      </w:r>
    </w:p>
    <w:p w:rsidR="00240BCE" w:rsidRDefault="00AC0334">
      <w:pPr>
        <w:spacing w:line="520" w:lineRule="exact"/>
        <w:ind w:firstLineChars="500" w:firstLine="1200"/>
        <w:rPr>
          <w:color w:val="000000"/>
          <w:sz w:val="24"/>
        </w:rPr>
      </w:pPr>
      <w:r>
        <w:rPr>
          <w:color w:val="000000"/>
          <w:sz w:val="24"/>
        </w:rPr>
        <w:t>C</w:t>
      </w:r>
      <w:r>
        <w:rPr>
          <w:color w:val="000000"/>
          <w:sz w:val="24"/>
          <w:vertAlign w:val="subscript"/>
        </w:rPr>
        <w:t>oi</w:t>
      </w:r>
      <w:r>
        <w:rPr>
          <w:color w:val="000000"/>
          <w:sz w:val="24"/>
        </w:rPr>
        <w:t>—i</w:t>
      </w:r>
      <w:r>
        <w:rPr>
          <w:spacing w:val="5"/>
          <w:sz w:val="24"/>
        </w:rPr>
        <w:t>污染物评价标准限值</w:t>
      </w:r>
      <w:r>
        <w:rPr>
          <w:color w:val="000000"/>
          <w:sz w:val="24"/>
        </w:rPr>
        <w:t>，</w:t>
      </w:r>
      <w:r>
        <w:rPr>
          <w:color w:val="000000"/>
          <w:spacing w:val="2"/>
        </w:rPr>
        <w:t>µ</w:t>
      </w:r>
      <w:r>
        <w:rPr>
          <w:color w:val="000000"/>
          <w:sz w:val="24"/>
        </w:rPr>
        <w:t>g/m</w:t>
      </w:r>
      <w:r>
        <w:rPr>
          <w:color w:val="000000"/>
          <w:sz w:val="24"/>
          <w:vertAlign w:val="superscript"/>
        </w:rPr>
        <w:t>3</w:t>
      </w:r>
      <w:r>
        <w:rPr>
          <w:color w:val="000000"/>
          <w:sz w:val="24"/>
        </w:rPr>
        <w:t>。</w:t>
      </w:r>
    </w:p>
    <w:p w:rsidR="00240BCE" w:rsidRDefault="00AC0334">
      <w:pPr>
        <w:spacing w:line="520" w:lineRule="exact"/>
        <w:ind w:firstLineChars="200" w:firstLine="472"/>
        <w:rPr>
          <w:color w:val="000000"/>
          <w:spacing w:val="-2"/>
          <w:sz w:val="24"/>
        </w:rPr>
      </w:pPr>
      <w:r>
        <w:rPr>
          <w:color w:val="000000"/>
          <w:spacing w:val="-2"/>
          <w:sz w:val="24"/>
        </w:rPr>
        <w:t>根据各测点污染物的实测浓度、评价标准和前述评价方法进行统计计算，各检测点</w:t>
      </w:r>
      <w:r>
        <w:rPr>
          <w:color w:val="000000"/>
          <w:spacing w:val="-2"/>
          <w:sz w:val="24"/>
        </w:rPr>
        <w:t>PM</w:t>
      </w:r>
      <w:r>
        <w:rPr>
          <w:color w:val="000000"/>
          <w:spacing w:val="-2"/>
          <w:sz w:val="24"/>
          <w:vertAlign w:val="subscript"/>
        </w:rPr>
        <w:t>10</w:t>
      </w:r>
      <w:r>
        <w:rPr>
          <w:color w:val="000000"/>
          <w:spacing w:val="-2"/>
          <w:sz w:val="24"/>
        </w:rPr>
        <w:t>、</w:t>
      </w:r>
      <w:r>
        <w:rPr>
          <w:color w:val="000000"/>
          <w:spacing w:val="-2"/>
          <w:sz w:val="24"/>
        </w:rPr>
        <w:t>PM</w:t>
      </w:r>
      <w:r>
        <w:rPr>
          <w:color w:val="000000"/>
          <w:spacing w:val="-2"/>
          <w:sz w:val="24"/>
          <w:vertAlign w:val="subscript"/>
        </w:rPr>
        <w:t>2.5</w:t>
      </w:r>
      <w:r>
        <w:rPr>
          <w:color w:val="000000"/>
          <w:spacing w:val="-2"/>
          <w:sz w:val="24"/>
        </w:rPr>
        <w:t>、</w:t>
      </w:r>
      <w:r>
        <w:rPr>
          <w:color w:val="000000"/>
          <w:spacing w:val="-2"/>
          <w:sz w:val="24"/>
        </w:rPr>
        <w:t>TSP</w:t>
      </w:r>
      <w:r>
        <w:rPr>
          <w:color w:val="000000"/>
          <w:sz w:val="24"/>
        </w:rPr>
        <w:t>24h</w:t>
      </w:r>
      <w:r>
        <w:rPr>
          <w:color w:val="000000"/>
          <w:sz w:val="24"/>
        </w:rPr>
        <w:t>平</w:t>
      </w:r>
      <w:r>
        <w:rPr>
          <w:color w:val="000000"/>
          <w:spacing w:val="-2"/>
          <w:sz w:val="24"/>
        </w:rPr>
        <w:t>均浓度监测统计结果见表</w:t>
      </w:r>
      <w:r>
        <w:rPr>
          <w:color w:val="000000"/>
          <w:spacing w:val="-2"/>
          <w:sz w:val="24"/>
        </w:rPr>
        <w:t>4.3-6</w:t>
      </w:r>
      <w:r>
        <w:rPr>
          <w:color w:val="000000"/>
          <w:spacing w:val="-2"/>
          <w:sz w:val="24"/>
        </w:rPr>
        <w:t>。</w:t>
      </w:r>
    </w:p>
    <w:p w:rsidR="00240BCE" w:rsidRDefault="00AC0334">
      <w:pPr>
        <w:pStyle w:val="01"/>
        <w:snapToGrid w:val="0"/>
        <w:spacing w:line="520" w:lineRule="exact"/>
        <w:ind w:firstLine="472"/>
        <w:jc w:val="both"/>
        <w:rPr>
          <w:rFonts w:ascii="Times New Roman" w:hAnsi="Times New Roman"/>
          <w:color w:val="000000"/>
        </w:rPr>
      </w:pPr>
      <w:r>
        <w:rPr>
          <w:rFonts w:ascii="Times New Roman" w:hAnsi="Times New Roman"/>
          <w:color w:val="000000"/>
          <w:spacing w:val="-2"/>
        </w:rPr>
        <w:t>从表</w:t>
      </w:r>
      <w:r>
        <w:rPr>
          <w:rFonts w:ascii="Times New Roman" w:hAnsi="Times New Roman"/>
          <w:color w:val="000000"/>
          <w:spacing w:val="-2"/>
        </w:rPr>
        <w:t>4.3-6</w:t>
      </w:r>
      <w:r>
        <w:rPr>
          <w:rFonts w:ascii="Times New Roman" w:hAnsi="Times New Roman"/>
          <w:color w:val="000000"/>
          <w:spacing w:val="-2"/>
        </w:rPr>
        <w:t>结果可知，该评价区域内监测的点位，各监测因子浓度均</w:t>
      </w:r>
      <w:r>
        <w:rPr>
          <w:rFonts w:ascii="Times New Roman" w:hAnsi="Times New Roman"/>
          <w:color w:val="000000"/>
        </w:rPr>
        <w:t>满足《环境空气质量标准》</w:t>
      </w:r>
      <w:r>
        <w:rPr>
          <w:rFonts w:ascii="Times New Roman" w:hAnsi="Times New Roman"/>
          <w:color w:val="000000"/>
          <w:spacing w:val="-2"/>
        </w:rPr>
        <w:t>GB3095-2012</w:t>
      </w:r>
      <w:r>
        <w:rPr>
          <w:rFonts w:ascii="Times New Roman" w:hAnsi="Times New Roman"/>
          <w:color w:val="000000"/>
          <w:spacing w:val="-2"/>
        </w:rPr>
        <w:t>中二级标准要求。</w:t>
      </w:r>
      <w:r>
        <w:rPr>
          <w:rFonts w:ascii="Times New Roman" w:hAnsi="Times New Roman"/>
          <w:color w:val="000000"/>
        </w:rPr>
        <w:t>说明评价区域内环境空气质量状况良好。</w:t>
      </w:r>
    </w:p>
    <w:p w:rsidR="00240BCE" w:rsidRDefault="00AC0334">
      <w:pPr>
        <w:spacing w:line="520" w:lineRule="exact"/>
        <w:jc w:val="center"/>
        <w:rPr>
          <w:color w:val="000000"/>
          <w:spacing w:val="-2"/>
          <w:sz w:val="24"/>
        </w:rPr>
      </w:pPr>
      <w:r>
        <w:rPr>
          <w:color w:val="000000"/>
          <w:spacing w:val="-2"/>
          <w:sz w:val="24"/>
        </w:rPr>
        <w:t>表</w:t>
      </w:r>
      <w:r>
        <w:rPr>
          <w:color w:val="000000"/>
          <w:spacing w:val="-2"/>
          <w:sz w:val="24"/>
        </w:rPr>
        <w:t xml:space="preserve">4.3-6   </w:t>
      </w:r>
      <w:r>
        <w:rPr>
          <w:color w:val="000000"/>
          <w:spacing w:val="-2"/>
          <w:sz w:val="24"/>
        </w:rPr>
        <w:t>环境空气现状质量监测结果表</w:t>
      </w:r>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878"/>
        <w:gridCol w:w="2036"/>
        <w:gridCol w:w="2401"/>
        <w:gridCol w:w="1825"/>
        <w:gridCol w:w="1825"/>
      </w:tblGrid>
      <w:tr w:rsidR="00240BCE">
        <w:trPr>
          <w:trHeight w:val="388"/>
        </w:trPr>
        <w:tc>
          <w:tcPr>
            <w:tcW w:w="489" w:type="pct"/>
            <w:vMerge w:val="restart"/>
            <w:tcBorders>
              <w:top w:val="single" w:sz="4" w:space="0" w:color="000000"/>
              <w:left w:val="single" w:sz="4" w:space="0" w:color="000000"/>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监测点位</w:t>
            </w:r>
          </w:p>
        </w:tc>
        <w:tc>
          <w:tcPr>
            <w:tcW w:w="1134" w:type="pct"/>
            <w:vMerge w:val="restar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项目名称</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TSP</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PM</w:t>
            </w:r>
            <w:r>
              <w:rPr>
                <w:spacing w:val="-2"/>
                <w:sz w:val="21"/>
                <w:szCs w:val="21"/>
                <w:vertAlign w:val="subscript"/>
              </w:rPr>
              <w:t>10</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PM</w:t>
            </w:r>
            <w:r>
              <w:rPr>
                <w:spacing w:val="-2"/>
                <w:sz w:val="21"/>
                <w:szCs w:val="21"/>
                <w:vertAlign w:val="subscript"/>
              </w:rPr>
              <w:t>2.5</w:t>
            </w:r>
          </w:p>
        </w:tc>
      </w:tr>
      <w:tr w:rsidR="00240BCE">
        <w:trPr>
          <w:trHeight w:val="388"/>
        </w:trPr>
        <w:tc>
          <w:tcPr>
            <w:tcW w:w="489" w:type="pct"/>
            <w:vMerge/>
            <w:tcBorders>
              <w:top w:val="single" w:sz="4" w:space="0" w:color="000000"/>
              <w:left w:val="single" w:sz="4" w:space="0" w:color="000000"/>
              <w:bottom w:val="single" w:sz="4" w:space="0" w:color="000000"/>
              <w:right w:val="single" w:sz="4" w:space="0" w:color="000000"/>
            </w:tcBorders>
            <w:vAlign w:val="center"/>
          </w:tcPr>
          <w:p w:rsidR="00240BCE" w:rsidRDefault="00240BCE">
            <w:pPr>
              <w:widowControl/>
              <w:jc w:val="left"/>
              <w:rPr>
                <w:spacing w:val="-2"/>
                <w:sz w:val="21"/>
                <w:szCs w:val="21"/>
              </w:rPr>
            </w:pPr>
          </w:p>
        </w:tc>
        <w:tc>
          <w:tcPr>
            <w:tcW w:w="1134" w:type="pct"/>
            <w:vMerge/>
            <w:tcBorders>
              <w:top w:val="single" w:sz="4" w:space="0" w:color="000000"/>
              <w:left w:val="nil"/>
              <w:bottom w:val="single" w:sz="4" w:space="0" w:color="000000"/>
              <w:right w:val="single" w:sz="4" w:space="0" w:color="000000"/>
            </w:tcBorders>
            <w:vAlign w:val="center"/>
          </w:tcPr>
          <w:p w:rsidR="00240BCE" w:rsidRDefault="00240BCE">
            <w:pPr>
              <w:widowControl/>
              <w:jc w:val="left"/>
              <w:rPr>
                <w:spacing w:val="-2"/>
                <w:sz w:val="21"/>
                <w:szCs w:val="21"/>
              </w:rPr>
            </w:pP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z w:val="21"/>
                <w:szCs w:val="21"/>
              </w:rPr>
            </w:pPr>
            <w:r>
              <w:rPr>
                <w:rFonts w:cs="Times New Roman"/>
                <w:sz w:val="21"/>
                <w:szCs w:val="21"/>
              </w:rPr>
              <w:t>24h</w:t>
            </w:r>
            <w:r>
              <w:rPr>
                <w:rFonts w:cs="Times New Roman"/>
                <w:sz w:val="21"/>
                <w:szCs w:val="21"/>
              </w:rPr>
              <w:t>平均</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z w:val="21"/>
                <w:szCs w:val="21"/>
              </w:rPr>
            </w:pPr>
            <w:r>
              <w:rPr>
                <w:rFonts w:cs="Times New Roman"/>
                <w:sz w:val="21"/>
                <w:szCs w:val="21"/>
              </w:rPr>
              <w:t>24h</w:t>
            </w:r>
            <w:r>
              <w:rPr>
                <w:rFonts w:cs="Times New Roman"/>
                <w:sz w:val="21"/>
                <w:szCs w:val="21"/>
              </w:rPr>
              <w:t>平均</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z w:val="21"/>
                <w:szCs w:val="21"/>
              </w:rPr>
            </w:pPr>
            <w:r>
              <w:rPr>
                <w:sz w:val="21"/>
                <w:szCs w:val="21"/>
              </w:rPr>
              <w:t>24h</w:t>
            </w:r>
            <w:r>
              <w:rPr>
                <w:sz w:val="21"/>
                <w:szCs w:val="21"/>
              </w:rPr>
              <w:t>平均</w:t>
            </w:r>
          </w:p>
        </w:tc>
      </w:tr>
      <w:tr w:rsidR="00240BCE">
        <w:trPr>
          <w:trHeight w:val="388"/>
        </w:trPr>
        <w:tc>
          <w:tcPr>
            <w:tcW w:w="1624" w:type="pct"/>
            <w:gridSpan w:val="2"/>
            <w:tcBorders>
              <w:top w:val="single" w:sz="4" w:space="0" w:color="000000"/>
              <w:left w:val="single" w:sz="4" w:space="0" w:color="000000"/>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标准值（</w:t>
            </w:r>
            <w:r>
              <w:rPr>
                <w:rFonts w:cs="Times New Roman"/>
                <w:spacing w:val="-2"/>
                <w:sz w:val="21"/>
                <w:szCs w:val="21"/>
              </w:rPr>
              <w:t>mg/m</w:t>
            </w:r>
            <w:r>
              <w:rPr>
                <w:rFonts w:cs="Times New Roman"/>
                <w:spacing w:val="-2"/>
                <w:sz w:val="21"/>
                <w:szCs w:val="21"/>
                <w:vertAlign w:val="superscript"/>
              </w:rPr>
              <w:t>3</w:t>
            </w:r>
            <w:r>
              <w:rPr>
                <w:rFonts w:cs="Times New Roman"/>
                <w:spacing w:val="-2"/>
                <w:sz w:val="21"/>
                <w:szCs w:val="21"/>
              </w:rPr>
              <w:t>）</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0.3</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0.15</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0.075</w:t>
            </w:r>
          </w:p>
        </w:tc>
      </w:tr>
      <w:tr w:rsidR="00240BCE">
        <w:trPr>
          <w:trHeight w:val="388"/>
        </w:trPr>
        <w:tc>
          <w:tcPr>
            <w:tcW w:w="489" w:type="pct"/>
            <w:vMerge w:val="restart"/>
            <w:tcBorders>
              <w:top w:val="nil"/>
              <w:left w:val="single" w:sz="4" w:space="0" w:color="000000"/>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工业广场中心</w:t>
            </w:r>
          </w:p>
        </w:tc>
        <w:tc>
          <w:tcPr>
            <w:tcW w:w="1134"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测值范围（</w:t>
            </w:r>
            <w:r>
              <w:rPr>
                <w:rFonts w:cs="Times New Roman"/>
                <w:spacing w:val="-2"/>
                <w:sz w:val="21"/>
                <w:szCs w:val="21"/>
              </w:rPr>
              <w:t>µg/m</w:t>
            </w:r>
            <w:r>
              <w:rPr>
                <w:rFonts w:cs="Times New Roman"/>
                <w:spacing w:val="-2"/>
                <w:sz w:val="21"/>
                <w:szCs w:val="21"/>
                <w:vertAlign w:val="superscript"/>
              </w:rPr>
              <w:t>3</w:t>
            </w:r>
            <w:r>
              <w:rPr>
                <w:rFonts w:cs="Times New Roman"/>
                <w:spacing w:val="-2"/>
                <w:sz w:val="21"/>
                <w:szCs w:val="21"/>
              </w:rPr>
              <w:t>）</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highlight w:val="yellow"/>
              </w:rPr>
            </w:pPr>
            <w:r>
              <w:rPr>
                <w:rFonts w:cs="Times New Roman"/>
                <w:spacing w:val="-2"/>
                <w:sz w:val="21"/>
                <w:szCs w:val="21"/>
              </w:rPr>
              <w:t>0.110~0.143</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0.082~0.104</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0.028~0.050</w:t>
            </w:r>
          </w:p>
        </w:tc>
      </w:tr>
      <w:tr w:rsidR="00240BCE">
        <w:trPr>
          <w:trHeight w:val="388"/>
        </w:trPr>
        <w:tc>
          <w:tcPr>
            <w:tcW w:w="489" w:type="pct"/>
            <w:vMerge/>
            <w:tcBorders>
              <w:top w:val="nil"/>
              <w:left w:val="single" w:sz="4" w:space="0" w:color="000000"/>
              <w:bottom w:val="single" w:sz="4" w:space="0" w:color="000000"/>
              <w:right w:val="single" w:sz="4" w:space="0" w:color="000000"/>
            </w:tcBorders>
            <w:vAlign w:val="center"/>
          </w:tcPr>
          <w:p w:rsidR="00240BCE" w:rsidRDefault="00240BCE">
            <w:pPr>
              <w:widowControl/>
              <w:jc w:val="left"/>
              <w:rPr>
                <w:spacing w:val="-2"/>
                <w:sz w:val="21"/>
                <w:szCs w:val="21"/>
              </w:rPr>
            </w:pPr>
          </w:p>
        </w:tc>
        <w:tc>
          <w:tcPr>
            <w:tcW w:w="1134"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Pi</w:t>
            </w:r>
            <w:r>
              <w:rPr>
                <w:rFonts w:cs="Times New Roman"/>
                <w:spacing w:val="-2"/>
                <w:sz w:val="21"/>
                <w:szCs w:val="21"/>
              </w:rPr>
              <w:t>范围</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highlight w:val="yellow"/>
              </w:rPr>
            </w:pPr>
            <w:r>
              <w:rPr>
                <w:rFonts w:cs="Times New Roman"/>
                <w:spacing w:val="-2"/>
                <w:sz w:val="21"/>
                <w:szCs w:val="21"/>
              </w:rPr>
              <w:t>0.37~0.48</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0.55~0.69</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0.37~0.67</w:t>
            </w:r>
          </w:p>
        </w:tc>
      </w:tr>
      <w:tr w:rsidR="00240BCE">
        <w:trPr>
          <w:trHeight w:val="388"/>
        </w:trPr>
        <w:tc>
          <w:tcPr>
            <w:tcW w:w="489" w:type="pct"/>
            <w:vMerge/>
            <w:tcBorders>
              <w:top w:val="nil"/>
              <w:left w:val="single" w:sz="4" w:space="0" w:color="000000"/>
              <w:bottom w:val="single" w:sz="4" w:space="0" w:color="000000"/>
              <w:right w:val="single" w:sz="4" w:space="0" w:color="000000"/>
            </w:tcBorders>
            <w:vAlign w:val="center"/>
          </w:tcPr>
          <w:p w:rsidR="00240BCE" w:rsidRDefault="00240BCE">
            <w:pPr>
              <w:widowControl/>
              <w:jc w:val="left"/>
              <w:rPr>
                <w:spacing w:val="-2"/>
                <w:sz w:val="21"/>
                <w:szCs w:val="21"/>
              </w:rPr>
            </w:pPr>
          </w:p>
        </w:tc>
        <w:tc>
          <w:tcPr>
            <w:tcW w:w="1134"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超标率（</w:t>
            </w:r>
            <w:r>
              <w:rPr>
                <w:rFonts w:cs="Times New Roman"/>
                <w:spacing w:val="-2"/>
                <w:sz w:val="21"/>
                <w:szCs w:val="21"/>
              </w:rPr>
              <w:t>%</w:t>
            </w:r>
            <w:r>
              <w:rPr>
                <w:rFonts w:cs="Times New Roman"/>
                <w:spacing w:val="-2"/>
                <w:sz w:val="21"/>
                <w:szCs w:val="21"/>
              </w:rPr>
              <w:t>）</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w:t>
            </w:r>
          </w:p>
        </w:tc>
      </w:tr>
      <w:tr w:rsidR="00240BCE">
        <w:trPr>
          <w:trHeight w:val="388"/>
        </w:trPr>
        <w:tc>
          <w:tcPr>
            <w:tcW w:w="489" w:type="pct"/>
            <w:vMerge/>
            <w:tcBorders>
              <w:top w:val="nil"/>
              <w:left w:val="single" w:sz="4" w:space="0" w:color="000000"/>
              <w:bottom w:val="single" w:sz="4" w:space="0" w:color="000000"/>
              <w:right w:val="single" w:sz="4" w:space="0" w:color="000000"/>
            </w:tcBorders>
            <w:vAlign w:val="center"/>
          </w:tcPr>
          <w:p w:rsidR="00240BCE" w:rsidRDefault="00240BCE">
            <w:pPr>
              <w:widowControl/>
              <w:jc w:val="left"/>
              <w:rPr>
                <w:spacing w:val="-2"/>
                <w:sz w:val="21"/>
                <w:szCs w:val="21"/>
              </w:rPr>
            </w:pPr>
          </w:p>
        </w:tc>
        <w:tc>
          <w:tcPr>
            <w:tcW w:w="1134"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最大值超标倍数</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w:t>
            </w:r>
          </w:p>
        </w:tc>
      </w:tr>
      <w:tr w:rsidR="00240BCE">
        <w:trPr>
          <w:trHeight w:val="388"/>
        </w:trPr>
        <w:tc>
          <w:tcPr>
            <w:tcW w:w="489" w:type="pct"/>
            <w:vMerge w:val="restart"/>
            <w:tcBorders>
              <w:top w:val="nil"/>
              <w:left w:val="single" w:sz="4" w:space="0" w:color="000000"/>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赵沟村</w:t>
            </w:r>
          </w:p>
        </w:tc>
        <w:tc>
          <w:tcPr>
            <w:tcW w:w="1134"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测值范围（</w:t>
            </w:r>
            <w:r>
              <w:rPr>
                <w:rFonts w:cs="Times New Roman"/>
                <w:spacing w:val="-2"/>
                <w:sz w:val="21"/>
                <w:szCs w:val="21"/>
              </w:rPr>
              <w:t>µg/m</w:t>
            </w:r>
            <w:r>
              <w:rPr>
                <w:rFonts w:cs="Times New Roman"/>
                <w:spacing w:val="-2"/>
                <w:sz w:val="21"/>
                <w:szCs w:val="21"/>
                <w:vertAlign w:val="superscript"/>
              </w:rPr>
              <w:t>3</w:t>
            </w:r>
            <w:r>
              <w:rPr>
                <w:rFonts w:cs="Times New Roman"/>
                <w:spacing w:val="-2"/>
                <w:sz w:val="21"/>
                <w:szCs w:val="21"/>
              </w:rPr>
              <w:t>）</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0.128~0.155</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0.072~0.111</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highlight w:val="yellow"/>
              </w:rPr>
            </w:pPr>
            <w:r>
              <w:rPr>
                <w:rFonts w:cs="Times New Roman"/>
                <w:spacing w:val="-2"/>
                <w:sz w:val="21"/>
                <w:szCs w:val="21"/>
              </w:rPr>
              <w:t>0.030~0.046</w:t>
            </w:r>
          </w:p>
        </w:tc>
      </w:tr>
      <w:tr w:rsidR="00240BCE">
        <w:trPr>
          <w:trHeight w:val="388"/>
        </w:trPr>
        <w:tc>
          <w:tcPr>
            <w:tcW w:w="489" w:type="pct"/>
            <w:vMerge/>
            <w:tcBorders>
              <w:top w:val="nil"/>
              <w:left w:val="single" w:sz="4" w:space="0" w:color="000000"/>
              <w:bottom w:val="single" w:sz="4" w:space="0" w:color="000000"/>
              <w:right w:val="single" w:sz="4" w:space="0" w:color="000000"/>
            </w:tcBorders>
            <w:vAlign w:val="center"/>
          </w:tcPr>
          <w:p w:rsidR="00240BCE" w:rsidRDefault="00240BCE">
            <w:pPr>
              <w:widowControl/>
              <w:jc w:val="left"/>
              <w:rPr>
                <w:spacing w:val="-2"/>
                <w:sz w:val="21"/>
                <w:szCs w:val="21"/>
              </w:rPr>
            </w:pPr>
          </w:p>
        </w:tc>
        <w:tc>
          <w:tcPr>
            <w:tcW w:w="1134"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Pi</w:t>
            </w:r>
            <w:r>
              <w:rPr>
                <w:rFonts w:cs="Times New Roman"/>
                <w:spacing w:val="-2"/>
                <w:sz w:val="21"/>
                <w:szCs w:val="21"/>
              </w:rPr>
              <w:t>范围</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0.43~0.52</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rPr>
            </w:pPr>
            <w:r>
              <w:rPr>
                <w:spacing w:val="-2"/>
                <w:sz w:val="21"/>
                <w:szCs w:val="21"/>
              </w:rPr>
              <w:t>0.48~0.74</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60" w:lineRule="exact"/>
              <w:jc w:val="center"/>
              <w:rPr>
                <w:spacing w:val="-2"/>
                <w:sz w:val="21"/>
                <w:szCs w:val="21"/>
                <w:highlight w:val="yellow"/>
              </w:rPr>
            </w:pPr>
            <w:r>
              <w:rPr>
                <w:spacing w:val="-2"/>
                <w:sz w:val="21"/>
                <w:szCs w:val="21"/>
              </w:rPr>
              <w:t>0.4~0.61</w:t>
            </w:r>
          </w:p>
        </w:tc>
      </w:tr>
      <w:tr w:rsidR="00240BCE">
        <w:trPr>
          <w:trHeight w:val="388"/>
        </w:trPr>
        <w:tc>
          <w:tcPr>
            <w:tcW w:w="489" w:type="pct"/>
            <w:vMerge/>
            <w:tcBorders>
              <w:top w:val="nil"/>
              <w:left w:val="single" w:sz="4" w:space="0" w:color="000000"/>
              <w:bottom w:val="single" w:sz="4" w:space="0" w:color="000000"/>
              <w:right w:val="single" w:sz="4" w:space="0" w:color="000000"/>
            </w:tcBorders>
            <w:vAlign w:val="center"/>
          </w:tcPr>
          <w:p w:rsidR="00240BCE" w:rsidRDefault="00240BCE">
            <w:pPr>
              <w:widowControl/>
              <w:jc w:val="left"/>
              <w:rPr>
                <w:spacing w:val="-2"/>
                <w:sz w:val="21"/>
                <w:szCs w:val="21"/>
              </w:rPr>
            </w:pPr>
          </w:p>
        </w:tc>
        <w:tc>
          <w:tcPr>
            <w:tcW w:w="1134"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超标率（</w:t>
            </w:r>
            <w:r>
              <w:rPr>
                <w:rFonts w:cs="Times New Roman"/>
                <w:spacing w:val="-2"/>
                <w:sz w:val="21"/>
                <w:szCs w:val="21"/>
              </w:rPr>
              <w:t>%</w:t>
            </w:r>
            <w:r>
              <w:rPr>
                <w:rFonts w:cs="Times New Roman"/>
                <w:spacing w:val="-2"/>
                <w:sz w:val="21"/>
                <w:szCs w:val="21"/>
              </w:rPr>
              <w:t>）</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0</w:t>
            </w:r>
          </w:p>
        </w:tc>
      </w:tr>
      <w:tr w:rsidR="00240BCE">
        <w:trPr>
          <w:trHeight w:val="398"/>
        </w:trPr>
        <w:tc>
          <w:tcPr>
            <w:tcW w:w="489" w:type="pct"/>
            <w:vMerge/>
            <w:tcBorders>
              <w:top w:val="nil"/>
              <w:left w:val="single" w:sz="4" w:space="0" w:color="000000"/>
              <w:bottom w:val="single" w:sz="4" w:space="0" w:color="000000"/>
              <w:right w:val="single" w:sz="4" w:space="0" w:color="000000"/>
            </w:tcBorders>
            <w:vAlign w:val="center"/>
          </w:tcPr>
          <w:p w:rsidR="00240BCE" w:rsidRDefault="00240BCE">
            <w:pPr>
              <w:widowControl/>
              <w:jc w:val="left"/>
              <w:rPr>
                <w:spacing w:val="-2"/>
                <w:sz w:val="21"/>
                <w:szCs w:val="21"/>
              </w:rPr>
            </w:pPr>
          </w:p>
        </w:tc>
        <w:tc>
          <w:tcPr>
            <w:tcW w:w="1134"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最大值超标倍数</w:t>
            </w:r>
          </w:p>
        </w:tc>
        <w:tc>
          <w:tcPr>
            <w:tcW w:w="133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w:t>
            </w:r>
          </w:p>
        </w:tc>
        <w:tc>
          <w:tcPr>
            <w:tcW w:w="1018" w:type="pct"/>
            <w:tcBorders>
              <w:top w:val="single" w:sz="4" w:space="0" w:color="000000"/>
              <w:left w:val="nil"/>
              <w:bottom w:val="single" w:sz="4" w:space="0" w:color="000000"/>
              <w:right w:val="single" w:sz="4" w:space="0" w:color="000000"/>
            </w:tcBorders>
            <w:vAlign w:val="center"/>
          </w:tcPr>
          <w:p w:rsidR="00240BCE" w:rsidRDefault="00AC0334">
            <w:pPr>
              <w:pStyle w:val="afffffffffff9"/>
              <w:spacing w:line="360" w:lineRule="exact"/>
              <w:rPr>
                <w:rFonts w:cs="Times New Roman"/>
                <w:spacing w:val="-2"/>
                <w:sz w:val="21"/>
                <w:szCs w:val="21"/>
              </w:rPr>
            </w:pPr>
            <w:r>
              <w:rPr>
                <w:rFonts w:cs="Times New Roman"/>
                <w:spacing w:val="-2"/>
                <w:sz w:val="21"/>
                <w:szCs w:val="21"/>
              </w:rPr>
              <w:t>/</w:t>
            </w:r>
          </w:p>
        </w:tc>
      </w:tr>
    </w:tbl>
    <w:p w:rsidR="00240BCE" w:rsidRDefault="00AC0334">
      <w:pPr>
        <w:pStyle w:val="01"/>
        <w:snapToGrid w:val="0"/>
        <w:spacing w:line="520" w:lineRule="exact"/>
        <w:ind w:firstLine="480"/>
        <w:jc w:val="both"/>
        <w:rPr>
          <w:rFonts w:ascii="Times New Roman" w:hAnsi="Times New Roman"/>
          <w:color w:val="000000"/>
        </w:rPr>
      </w:pPr>
      <w:r>
        <w:rPr>
          <w:rFonts w:ascii="Times New Roman" w:hAnsi="Times New Roman"/>
          <w:color w:val="000000"/>
        </w:rPr>
        <w:t>从表</w:t>
      </w:r>
      <w:r>
        <w:rPr>
          <w:rFonts w:ascii="Times New Roman" w:hAnsi="Times New Roman"/>
          <w:color w:val="000000"/>
        </w:rPr>
        <w:t>4.3-6</w:t>
      </w:r>
      <w:r>
        <w:rPr>
          <w:rFonts w:ascii="Times New Roman" w:hAnsi="Times New Roman"/>
          <w:color w:val="000000"/>
        </w:rPr>
        <w:t>结果可知，该评价区域内监测的各点位，</w:t>
      </w:r>
      <w:r>
        <w:rPr>
          <w:rFonts w:ascii="Times New Roman" w:hAnsi="Times New Roman"/>
          <w:color w:val="000000"/>
        </w:rPr>
        <w:t xml:space="preserve"> PM</w:t>
      </w:r>
      <w:r>
        <w:rPr>
          <w:rFonts w:ascii="Times New Roman" w:hAnsi="Times New Roman"/>
          <w:color w:val="000000"/>
          <w:vertAlign w:val="subscript"/>
        </w:rPr>
        <w:t>2.5</w:t>
      </w:r>
      <w:r>
        <w:rPr>
          <w:rFonts w:ascii="Times New Roman" w:hAnsi="Times New Roman"/>
          <w:color w:val="000000"/>
        </w:rPr>
        <w:t>、</w:t>
      </w:r>
      <w:r>
        <w:rPr>
          <w:rFonts w:ascii="Times New Roman" w:hAnsi="Times New Roman"/>
          <w:color w:val="000000"/>
        </w:rPr>
        <w:t>PM</w:t>
      </w:r>
      <w:r>
        <w:rPr>
          <w:rFonts w:ascii="Times New Roman" w:hAnsi="Times New Roman"/>
          <w:color w:val="000000"/>
          <w:vertAlign w:val="subscript"/>
        </w:rPr>
        <w:t>10</w:t>
      </w:r>
      <w:r>
        <w:rPr>
          <w:rFonts w:ascii="Times New Roman" w:hAnsi="Times New Roman"/>
          <w:color w:val="000000"/>
        </w:rPr>
        <w:t>、</w:t>
      </w:r>
      <w:r>
        <w:rPr>
          <w:rFonts w:ascii="Times New Roman" w:hAnsi="Times New Roman"/>
          <w:color w:val="000000"/>
        </w:rPr>
        <w:t>TSP24</w:t>
      </w:r>
      <w:r>
        <w:rPr>
          <w:rFonts w:ascii="Times New Roman" w:hAnsi="Times New Roman"/>
          <w:color w:val="000000"/>
        </w:rPr>
        <w:t>小时平均浓度均低于</w:t>
      </w:r>
      <w:r>
        <w:rPr>
          <w:rFonts w:ascii="Times New Roman" w:hAnsi="Times New Roman"/>
          <w:color w:val="000000"/>
        </w:rPr>
        <w:t>(GB3095-2012)</w:t>
      </w:r>
      <w:r>
        <w:rPr>
          <w:rFonts w:ascii="Times New Roman" w:hAnsi="Times New Roman"/>
          <w:color w:val="000000"/>
        </w:rPr>
        <w:t>中二级标准要求。说明评价区域内环境空气质量状况良好。</w:t>
      </w:r>
    </w:p>
    <w:p w:rsidR="00240BCE" w:rsidRDefault="00AC0334" w:rsidP="009C5F33">
      <w:pPr>
        <w:pStyle w:val="03"/>
        <w:adjustRightInd w:val="0"/>
        <w:snapToGrid w:val="0"/>
        <w:spacing w:beforeLines="70" w:afterLines="30" w:afterAutospacing="0" w:line="240" w:lineRule="auto"/>
        <w:rPr>
          <w:rFonts w:ascii="Times New Roman" w:eastAsia="楷体" w:hAnsi="Times New Roman"/>
          <w:color w:val="000000"/>
        </w:rPr>
      </w:pPr>
      <w:r>
        <w:rPr>
          <w:rFonts w:ascii="Times New Roman" w:eastAsia="楷体" w:hAnsi="Times New Roman"/>
          <w:color w:val="000000"/>
        </w:rPr>
        <w:t xml:space="preserve">4.3.2 </w:t>
      </w:r>
      <w:r>
        <w:rPr>
          <w:rFonts w:ascii="Times New Roman" w:eastAsia="楷体" w:hAnsi="Times New Roman"/>
          <w:color w:val="000000"/>
        </w:rPr>
        <w:t>地表水环境质量现状调查与评价</w:t>
      </w:r>
    </w:p>
    <w:p w:rsidR="00240BCE" w:rsidRDefault="00AC0334">
      <w:pPr>
        <w:spacing w:line="520" w:lineRule="exact"/>
        <w:ind w:firstLineChars="200" w:firstLine="480"/>
        <w:rPr>
          <w:spacing w:val="2"/>
          <w:sz w:val="24"/>
        </w:rPr>
      </w:pPr>
      <w:r>
        <w:rPr>
          <w:sz w:val="24"/>
        </w:rPr>
        <w:t>根</w:t>
      </w:r>
      <w:r>
        <w:rPr>
          <w:sz w:val="24"/>
          <w:lang w:val="zh-CN"/>
        </w:rPr>
        <w:t>据现场调查，项目区域地表水体主要为涌泉河（纸坊水库）及其支流赵沟河，结合项目特点以及导则要求，本次评价拟在评价区域内设置纸坊水库中心、涌泉河汇</w:t>
      </w:r>
      <w:r>
        <w:rPr>
          <w:sz w:val="24"/>
          <w:lang w:val="zh-CN"/>
        </w:rPr>
        <w:lastRenderedPageBreak/>
        <w:t>入颍河前</w:t>
      </w:r>
      <w:r>
        <w:rPr>
          <w:sz w:val="24"/>
          <w:lang w:val="zh-CN"/>
        </w:rPr>
        <w:t>500m</w:t>
      </w:r>
      <w:r>
        <w:rPr>
          <w:sz w:val="24"/>
          <w:lang w:val="zh-CN"/>
        </w:rPr>
        <w:t>、颍河（涌泉河汇入处）上游</w:t>
      </w:r>
      <w:r>
        <w:rPr>
          <w:sz w:val="24"/>
          <w:lang w:val="zh-CN"/>
        </w:rPr>
        <w:t>500m</w:t>
      </w:r>
      <w:r>
        <w:rPr>
          <w:sz w:val="24"/>
          <w:lang w:val="zh-CN"/>
        </w:rPr>
        <w:t>、颍河（涌泉河汇入处）下游</w:t>
      </w:r>
      <w:r>
        <w:rPr>
          <w:sz w:val="24"/>
          <w:lang w:val="zh-CN"/>
        </w:rPr>
        <w:t>1000m</w:t>
      </w:r>
      <w:r>
        <w:rPr>
          <w:sz w:val="24"/>
          <w:lang w:val="zh-CN"/>
        </w:rPr>
        <w:t>处共</w:t>
      </w:r>
      <w:r>
        <w:rPr>
          <w:sz w:val="24"/>
          <w:lang w:val="zh-CN"/>
        </w:rPr>
        <w:t>4</w:t>
      </w:r>
      <w:r>
        <w:rPr>
          <w:sz w:val="24"/>
          <w:lang w:val="zh-CN"/>
        </w:rPr>
        <w:t>个地表水水质监测断面。为调查区域地表水环境质量现状，委托河南正捷检测技术有限公司进行了地表水环境质量现状监测，监测期间，纸坊水库、涌泉河及颍河均无水。为了解区域地表水环境质量现状，本次评价引用《许昌市地表水环境责任目标断面监测通报</w:t>
      </w:r>
      <w:r>
        <w:rPr>
          <w:sz w:val="24"/>
          <w:lang w:val="zh-CN"/>
        </w:rPr>
        <w:t xml:space="preserve"> 2020</w:t>
      </w:r>
      <w:r>
        <w:rPr>
          <w:sz w:val="24"/>
          <w:lang w:val="zh-CN"/>
        </w:rPr>
        <w:t>年第</w:t>
      </w:r>
      <w:r>
        <w:rPr>
          <w:rFonts w:hint="eastAsia"/>
          <w:sz w:val="24"/>
        </w:rPr>
        <w:t>16~</w:t>
      </w:r>
      <w:r>
        <w:rPr>
          <w:sz w:val="24"/>
          <w:lang w:val="zh-CN"/>
        </w:rPr>
        <w:t>19</w:t>
      </w:r>
      <w:r>
        <w:rPr>
          <w:sz w:val="24"/>
          <w:lang w:val="zh-CN"/>
        </w:rPr>
        <w:t>期</w:t>
      </w:r>
      <w:r>
        <w:rPr>
          <w:spacing w:val="2"/>
          <w:sz w:val="24"/>
        </w:rPr>
        <w:t>》中颍河</w:t>
      </w:r>
      <w:r>
        <w:rPr>
          <w:rFonts w:hint="eastAsia"/>
          <w:spacing w:val="2"/>
          <w:sz w:val="24"/>
        </w:rPr>
        <w:t>化庄</w:t>
      </w:r>
      <w:r>
        <w:rPr>
          <w:spacing w:val="2"/>
          <w:sz w:val="24"/>
        </w:rPr>
        <w:t>桥常规断面监测数据，监测结果统计见表</w:t>
      </w:r>
      <w:r>
        <w:rPr>
          <w:spacing w:val="2"/>
          <w:sz w:val="24"/>
        </w:rPr>
        <w:t>4.3-7</w:t>
      </w:r>
      <w:r>
        <w:rPr>
          <w:spacing w:val="2"/>
          <w:sz w:val="24"/>
        </w:rPr>
        <w:t>。</w:t>
      </w:r>
    </w:p>
    <w:p w:rsidR="00240BCE" w:rsidRDefault="00AC0334">
      <w:pPr>
        <w:spacing w:line="520" w:lineRule="exact"/>
        <w:jc w:val="center"/>
        <w:rPr>
          <w:snapToGrid w:val="0"/>
          <w:kern w:val="0"/>
          <w:sz w:val="24"/>
        </w:rPr>
      </w:pPr>
      <w:r>
        <w:rPr>
          <w:rFonts w:eastAsia="黑体"/>
          <w:sz w:val="24"/>
        </w:rPr>
        <w:t>表</w:t>
      </w:r>
      <w:r>
        <w:rPr>
          <w:rFonts w:eastAsia="黑体"/>
          <w:sz w:val="24"/>
        </w:rPr>
        <w:t>4.3-7 20</w:t>
      </w:r>
      <w:r w:rsidR="008A68DC">
        <w:rPr>
          <w:rFonts w:eastAsia="黑体"/>
          <w:sz w:val="24"/>
        </w:rPr>
        <w:t xml:space="preserve">20 </w:t>
      </w:r>
      <w:r>
        <w:rPr>
          <w:rFonts w:eastAsia="黑体"/>
          <w:sz w:val="24"/>
        </w:rPr>
        <w:t>年颍河</w:t>
      </w:r>
      <w:r w:rsidR="008A68DC">
        <w:rPr>
          <w:rFonts w:eastAsia="黑体" w:hint="eastAsia"/>
          <w:sz w:val="24"/>
        </w:rPr>
        <w:t>化庄</w:t>
      </w:r>
      <w:r>
        <w:rPr>
          <w:rFonts w:eastAsia="黑体"/>
          <w:sz w:val="24"/>
        </w:rPr>
        <w:t>桥常规断面监测结果一览表</w:t>
      </w:r>
      <w:r>
        <w:rPr>
          <w:snapToGrid w:val="0"/>
          <w:kern w:val="0"/>
          <w:sz w:val="21"/>
          <w:szCs w:val="21"/>
        </w:rPr>
        <w:t>（单位：</w:t>
      </w:r>
      <w:r>
        <w:rPr>
          <w:snapToGrid w:val="0"/>
          <w:kern w:val="0"/>
          <w:sz w:val="21"/>
          <w:szCs w:val="21"/>
        </w:rPr>
        <w:t>mg/m</w:t>
      </w:r>
      <w:r>
        <w:rPr>
          <w:snapToGrid w:val="0"/>
          <w:kern w:val="0"/>
          <w:sz w:val="21"/>
          <w:szCs w:val="21"/>
          <w:vertAlign w:val="superscript"/>
        </w:rPr>
        <w:t>3</w:t>
      </w:r>
      <w:r>
        <w:rPr>
          <w:snapToGrid w:val="0"/>
          <w:kern w:val="0"/>
          <w:sz w:val="21"/>
          <w:szCs w:val="21"/>
        </w:rPr>
        <w:t>，</w:t>
      </w:r>
      <w:r>
        <w:rPr>
          <w:snapToGrid w:val="0"/>
          <w:kern w:val="0"/>
          <w:sz w:val="21"/>
          <w:szCs w:val="21"/>
        </w:rPr>
        <w:t>pH</w:t>
      </w:r>
      <w:r>
        <w:rPr>
          <w:snapToGrid w:val="0"/>
          <w:kern w:val="0"/>
          <w:sz w:val="21"/>
          <w:szCs w:val="21"/>
        </w:rPr>
        <w:t>无量纲）</w:t>
      </w: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91"/>
        <w:gridCol w:w="1647"/>
        <w:gridCol w:w="1571"/>
        <w:gridCol w:w="1800"/>
        <w:gridCol w:w="2001"/>
      </w:tblGrid>
      <w:tr w:rsidR="00240BCE">
        <w:trPr>
          <w:trHeight w:val="440"/>
          <w:jc w:val="center"/>
        </w:trPr>
        <w:tc>
          <w:tcPr>
            <w:tcW w:w="1147" w:type="pct"/>
            <w:vMerge w:val="restart"/>
            <w:vAlign w:val="center"/>
          </w:tcPr>
          <w:p w:rsidR="00240BCE" w:rsidRDefault="00AC0334">
            <w:pPr>
              <w:adjustRightInd w:val="0"/>
              <w:snapToGrid w:val="0"/>
              <w:spacing w:line="300" w:lineRule="exact"/>
              <w:jc w:val="center"/>
              <w:rPr>
                <w:color w:val="000000"/>
                <w:kern w:val="0"/>
                <w:sz w:val="21"/>
                <w:szCs w:val="21"/>
              </w:rPr>
            </w:pPr>
            <w:r>
              <w:rPr>
                <w:color w:val="000000"/>
                <w:kern w:val="0"/>
                <w:sz w:val="21"/>
                <w:szCs w:val="21"/>
              </w:rPr>
              <w:t>断面名称</w:t>
            </w:r>
          </w:p>
        </w:tc>
        <w:tc>
          <w:tcPr>
            <w:tcW w:w="3852" w:type="pct"/>
            <w:gridSpan w:val="4"/>
            <w:vAlign w:val="center"/>
          </w:tcPr>
          <w:p w:rsidR="00240BCE" w:rsidRDefault="00AC0334">
            <w:pPr>
              <w:adjustRightInd w:val="0"/>
              <w:snapToGrid w:val="0"/>
              <w:spacing w:line="300" w:lineRule="exact"/>
              <w:jc w:val="center"/>
              <w:rPr>
                <w:color w:val="000000"/>
                <w:kern w:val="0"/>
                <w:sz w:val="21"/>
                <w:szCs w:val="21"/>
              </w:rPr>
            </w:pPr>
            <w:r>
              <w:rPr>
                <w:color w:val="000000"/>
                <w:kern w:val="0"/>
                <w:sz w:val="21"/>
                <w:szCs w:val="21"/>
              </w:rPr>
              <w:t>监测因子</w:t>
            </w:r>
          </w:p>
        </w:tc>
      </w:tr>
      <w:tr w:rsidR="00240BCE">
        <w:trPr>
          <w:trHeight w:val="373"/>
          <w:jc w:val="center"/>
        </w:trPr>
        <w:tc>
          <w:tcPr>
            <w:tcW w:w="1147" w:type="pct"/>
            <w:vMerge/>
            <w:vAlign w:val="center"/>
          </w:tcPr>
          <w:p w:rsidR="00240BCE" w:rsidRDefault="00240BCE">
            <w:pPr>
              <w:adjustRightInd w:val="0"/>
              <w:snapToGrid w:val="0"/>
              <w:spacing w:line="300" w:lineRule="exact"/>
              <w:jc w:val="center"/>
              <w:rPr>
                <w:color w:val="000000"/>
                <w:kern w:val="0"/>
                <w:sz w:val="21"/>
                <w:szCs w:val="21"/>
              </w:rPr>
            </w:pPr>
          </w:p>
        </w:tc>
        <w:tc>
          <w:tcPr>
            <w:tcW w:w="904" w:type="pct"/>
            <w:vAlign w:val="center"/>
          </w:tcPr>
          <w:p w:rsidR="00240BCE" w:rsidRDefault="00AC0334">
            <w:pPr>
              <w:adjustRightInd w:val="0"/>
              <w:snapToGrid w:val="0"/>
              <w:spacing w:line="300" w:lineRule="exact"/>
              <w:jc w:val="center"/>
              <w:rPr>
                <w:color w:val="000000"/>
                <w:kern w:val="0"/>
                <w:sz w:val="21"/>
                <w:szCs w:val="21"/>
              </w:rPr>
            </w:pPr>
            <w:r>
              <w:rPr>
                <w:kern w:val="0"/>
                <w:sz w:val="21"/>
                <w:szCs w:val="21"/>
              </w:rPr>
              <w:t>pH</w:t>
            </w:r>
          </w:p>
        </w:tc>
        <w:tc>
          <w:tcPr>
            <w:tcW w:w="862" w:type="pct"/>
            <w:vAlign w:val="center"/>
          </w:tcPr>
          <w:p w:rsidR="00240BCE" w:rsidRDefault="00AC0334">
            <w:pPr>
              <w:adjustRightInd w:val="0"/>
              <w:snapToGrid w:val="0"/>
              <w:spacing w:line="300" w:lineRule="exact"/>
              <w:jc w:val="center"/>
              <w:rPr>
                <w:color w:val="000000"/>
                <w:kern w:val="0"/>
                <w:sz w:val="21"/>
                <w:szCs w:val="21"/>
              </w:rPr>
            </w:pPr>
            <w:r>
              <w:rPr>
                <w:kern w:val="0"/>
                <w:sz w:val="21"/>
                <w:szCs w:val="21"/>
              </w:rPr>
              <w:t>COD</w:t>
            </w:r>
          </w:p>
        </w:tc>
        <w:tc>
          <w:tcPr>
            <w:tcW w:w="988" w:type="pct"/>
            <w:vAlign w:val="center"/>
          </w:tcPr>
          <w:p w:rsidR="00240BCE" w:rsidRDefault="00AC0334">
            <w:pPr>
              <w:adjustRightInd w:val="0"/>
              <w:snapToGrid w:val="0"/>
              <w:spacing w:line="300" w:lineRule="exact"/>
              <w:jc w:val="center"/>
              <w:rPr>
                <w:color w:val="000000"/>
                <w:kern w:val="0"/>
                <w:sz w:val="21"/>
                <w:szCs w:val="21"/>
              </w:rPr>
            </w:pPr>
            <w:r>
              <w:rPr>
                <w:kern w:val="0"/>
                <w:sz w:val="21"/>
                <w:szCs w:val="21"/>
              </w:rPr>
              <w:t>氨氮</w:t>
            </w:r>
          </w:p>
        </w:tc>
        <w:tc>
          <w:tcPr>
            <w:tcW w:w="1096" w:type="pct"/>
            <w:vAlign w:val="center"/>
          </w:tcPr>
          <w:p w:rsidR="00240BCE" w:rsidRDefault="00AC0334">
            <w:pPr>
              <w:adjustRightInd w:val="0"/>
              <w:snapToGrid w:val="0"/>
              <w:spacing w:line="300" w:lineRule="exact"/>
              <w:jc w:val="center"/>
              <w:rPr>
                <w:kern w:val="0"/>
                <w:sz w:val="21"/>
                <w:szCs w:val="21"/>
              </w:rPr>
            </w:pPr>
            <w:r>
              <w:rPr>
                <w:kern w:val="0"/>
                <w:sz w:val="21"/>
                <w:szCs w:val="21"/>
              </w:rPr>
              <w:t>总磷</w:t>
            </w:r>
          </w:p>
        </w:tc>
      </w:tr>
      <w:tr w:rsidR="00240BCE">
        <w:trPr>
          <w:trHeight w:val="830"/>
          <w:jc w:val="center"/>
        </w:trPr>
        <w:tc>
          <w:tcPr>
            <w:tcW w:w="1147" w:type="pct"/>
            <w:vAlign w:val="center"/>
          </w:tcPr>
          <w:p w:rsidR="00240BCE" w:rsidRDefault="00AC0334">
            <w:pPr>
              <w:adjustRightInd w:val="0"/>
              <w:snapToGrid w:val="0"/>
              <w:spacing w:line="300" w:lineRule="exact"/>
              <w:jc w:val="center"/>
              <w:rPr>
                <w:kern w:val="0"/>
                <w:sz w:val="21"/>
                <w:szCs w:val="21"/>
              </w:rPr>
            </w:pPr>
            <w:r>
              <w:rPr>
                <w:kern w:val="0"/>
                <w:sz w:val="21"/>
                <w:szCs w:val="21"/>
              </w:rPr>
              <w:t>颍河</w:t>
            </w:r>
            <w:r>
              <w:rPr>
                <w:rFonts w:hint="eastAsia"/>
                <w:kern w:val="0"/>
                <w:sz w:val="21"/>
                <w:szCs w:val="21"/>
              </w:rPr>
              <w:t>化庄</w:t>
            </w:r>
            <w:r>
              <w:rPr>
                <w:kern w:val="0"/>
                <w:sz w:val="21"/>
                <w:szCs w:val="21"/>
              </w:rPr>
              <w:t>桥断面</w:t>
            </w:r>
          </w:p>
          <w:p w:rsidR="00240BCE" w:rsidRDefault="00AC0334">
            <w:pPr>
              <w:adjustRightInd w:val="0"/>
              <w:snapToGrid w:val="0"/>
              <w:spacing w:line="300" w:lineRule="exact"/>
              <w:jc w:val="center"/>
            </w:pPr>
            <w:r>
              <w:rPr>
                <w:rFonts w:hint="eastAsia"/>
                <w:kern w:val="0"/>
                <w:sz w:val="21"/>
                <w:szCs w:val="21"/>
              </w:rPr>
              <w:t>（</w:t>
            </w:r>
            <w:r>
              <w:rPr>
                <w:rFonts w:hint="eastAsia"/>
                <w:kern w:val="0"/>
                <w:sz w:val="21"/>
                <w:szCs w:val="21"/>
              </w:rPr>
              <w:t>2020.10.10</w:t>
            </w:r>
            <w:r>
              <w:rPr>
                <w:rFonts w:hint="eastAsia"/>
                <w:kern w:val="0"/>
                <w:sz w:val="21"/>
                <w:szCs w:val="21"/>
              </w:rPr>
              <w:t>）</w:t>
            </w:r>
          </w:p>
        </w:tc>
        <w:tc>
          <w:tcPr>
            <w:tcW w:w="904" w:type="pct"/>
            <w:vAlign w:val="center"/>
          </w:tcPr>
          <w:p w:rsidR="00240BCE" w:rsidRDefault="00AC0334">
            <w:pPr>
              <w:adjustRightInd w:val="0"/>
              <w:snapToGrid w:val="0"/>
              <w:spacing w:line="300" w:lineRule="exact"/>
              <w:jc w:val="center"/>
              <w:rPr>
                <w:kern w:val="0"/>
                <w:sz w:val="21"/>
                <w:szCs w:val="21"/>
              </w:rPr>
            </w:pPr>
            <w:r>
              <w:rPr>
                <w:color w:val="000000"/>
                <w:sz w:val="21"/>
                <w:szCs w:val="21"/>
              </w:rPr>
              <w:t>8.</w:t>
            </w:r>
            <w:r>
              <w:rPr>
                <w:rFonts w:hint="eastAsia"/>
                <w:color w:val="000000"/>
                <w:sz w:val="21"/>
                <w:szCs w:val="21"/>
              </w:rPr>
              <w:t>2</w:t>
            </w:r>
          </w:p>
        </w:tc>
        <w:tc>
          <w:tcPr>
            <w:tcW w:w="862"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16</w:t>
            </w:r>
          </w:p>
        </w:tc>
        <w:tc>
          <w:tcPr>
            <w:tcW w:w="988"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0.047</w:t>
            </w:r>
          </w:p>
        </w:tc>
        <w:tc>
          <w:tcPr>
            <w:tcW w:w="1096"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0.01</w:t>
            </w:r>
          </w:p>
        </w:tc>
      </w:tr>
      <w:tr w:rsidR="00240BCE">
        <w:trPr>
          <w:trHeight w:val="830"/>
          <w:jc w:val="center"/>
        </w:trPr>
        <w:tc>
          <w:tcPr>
            <w:tcW w:w="1147" w:type="pct"/>
            <w:vAlign w:val="center"/>
          </w:tcPr>
          <w:p w:rsidR="00240BCE" w:rsidRDefault="00AC0334">
            <w:pPr>
              <w:adjustRightInd w:val="0"/>
              <w:snapToGrid w:val="0"/>
              <w:spacing w:line="300" w:lineRule="exact"/>
              <w:jc w:val="center"/>
              <w:rPr>
                <w:kern w:val="0"/>
                <w:sz w:val="21"/>
                <w:szCs w:val="21"/>
              </w:rPr>
            </w:pPr>
            <w:r>
              <w:rPr>
                <w:kern w:val="0"/>
                <w:sz w:val="21"/>
                <w:szCs w:val="21"/>
              </w:rPr>
              <w:t>颍河</w:t>
            </w:r>
            <w:r>
              <w:rPr>
                <w:rFonts w:hint="eastAsia"/>
                <w:kern w:val="0"/>
                <w:sz w:val="21"/>
                <w:szCs w:val="21"/>
              </w:rPr>
              <w:t>化庄</w:t>
            </w:r>
            <w:r>
              <w:rPr>
                <w:kern w:val="0"/>
                <w:sz w:val="21"/>
                <w:szCs w:val="21"/>
              </w:rPr>
              <w:t>桥断面</w:t>
            </w:r>
          </w:p>
          <w:p w:rsidR="00240BCE" w:rsidRDefault="00AC0334">
            <w:pPr>
              <w:adjustRightInd w:val="0"/>
              <w:snapToGrid w:val="0"/>
              <w:spacing w:line="300" w:lineRule="exact"/>
              <w:jc w:val="center"/>
            </w:pPr>
            <w:r>
              <w:rPr>
                <w:rFonts w:hint="eastAsia"/>
                <w:kern w:val="0"/>
                <w:sz w:val="21"/>
                <w:szCs w:val="21"/>
              </w:rPr>
              <w:t>（</w:t>
            </w:r>
            <w:r>
              <w:rPr>
                <w:rFonts w:hint="eastAsia"/>
                <w:kern w:val="0"/>
                <w:sz w:val="21"/>
                <w:szCs w:val="21"/>
              </w:rPr>
              <w:t>2020.09.17</w:t>
            </w:r>
            <w:r>
              <w:rPr>
                <w:rFonts w:hint="eastAsia"/>
                <w:kern w:val="0"/>
                <w:sz w:val="21"/>
                <w:szCs w:val="21"/>
              </w:rPr>
              <w:t>）</w:t>
            </w:r>
          </w:p>
        </w:tc>
        <w:tc>
          <w:tcPr>
            <w:tcW w:w="904" w:type="pct"/>
            <w:vAlign w:val="center"/>
          </w:tcPr>
          <w:p w:rsidR="00240BCE" w:rsidRDefault="00AC0334">
            <w:pPr>
              <w:adjustRightInd w:val="0"/>
              <w:snapToGrid w:val="0"/>
              <w:spacing w:line="300" w:lineRule="exact"/>
              <w:jc w:val="center"/>
              <w:rPr>
                <w:kern w:val="0"/>
                <w:sz w:val="21"/>
                <w:szCs w:val="21"/>
              </w:rPr>
            </w:pPr>
            <w:r>
              <w:rPr>
                <w:rFonts w:hint="eastAsia"/>
                <w:color w:val="000000"/>
                <w:sz w:val="21"/>
                <w:szCs w:val="21"/>
              </w:rPr>
              <w:t>7.4</w:t>
            </w:r>
          </w:p>
        </w:tc>
        <w:tc>
          <w:tcPr>
            <w:tcW w:w="862"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13</w:t>
            </w:r>
          </w:p>
        </w:tc>
        <w:tc>
          <w:tcPr>
            <w:tcW w:w="988"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0.515</w:t>
            </w:r>
          </w:p>
        </w:tc>
        <w:tc>
          <w:tcPr>
            <w:tcW w:w="1096"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0.08</w:t>
            </w:r>
          </w:p>
        </w:tc>
      </w:tr>
      <w:tr w:rsidR="00240BCE">
        <w:trPr>
          <w:trHeight w:val="830"/>
          <w:jc w:val="center"/>
        </w:trPr>
        <w:tc>
          <w:tcPr>
            <w:tcW w:w="1147" w:type="pct"/>
            <w:vAlign w:val="center"/>
          </w:tcPr>
          <w:p w:rsidR="00240BCE" w:rsidRDefault="00AC0334">
            <w:pPr>
              <w:adjustRightInd w:val="0"/>
              <w:snapToGrid w:val="0"/>
              <w:spacing w:line="300" w:lineRule="exact"/>
              <w:jc w:val="center"/>
              <w:rPr>
                <w:kern w:val="0"/>
                <w:sz w:val="21"/>
                <w:szCs w:val="21"/>
              </w:rPr>
            </w:pPr>
            <w:r>
              <w:rPr>
                <w:kern w:val="0"/>
                <w:sz w:val="21"/>
                <w:szCs w:val="21"/>
              </w:rPr>
              <w:t>颍河</w:t>
            </w:r>
            <w:r>
              <w:rPr>
                <w:rFonts w:hint="eastAsia"/>
                <w:kern w:val="0"/>
                <w:sz w:val="21"/>
                <w:szCs w:val="21"/>
              </w:rPr>
              <w:t>化庄</w:t>
            </w:r>
            <w:r>
              <w:rPr>
                <w:kern w:val="0"/>
                <w:sz w:val="21"/>
                <w:szCs w:val="21"/>
              </w:rPr>
              <w:t>桥断面</w:t>
            </w:r>
          </w:p>
          <w:p w:rsidR="00240BCE" w:rsidRDefault="00AC0334">
            <w:pPr>
              <w:adjustRightInd w:val="0"/>
              <w:snapToGrid w:val="0"/>
              <w:spacing w:line="300" w:lineRule="exact"/>
              <w:jc w:val="center"/>
            </w:pPr>
            <w:r>
              <w:rPr>
                <w:rFonts w:hint="eastAsia"/>
                <w:kern w:val="0"/>
                <w:sz w:val="21"/>
                <w:szCs w:val="21"/>
              </w:rPr>
              <w:t>（</w:t>
            </w:r>
            <w:r>
              <w:rPr>
                <w:rFonts w:hint="eastAsia"/>
                <w:kern w:val="0"/>
                <w:sz w:val="21"/>
                <w:szCs w:val="21"/>
              </w:rPr>
              <w:t>2020.09.02</w:t>
            </w:r>
            <w:r>
              <w:rPr>
                <w:rFonts w:hint="eastAsia"/>
                <w:kern w:val="0"/>
                <w:sz w:val="21"/>
                <w:szCs w:val="21"/>
              </w:rPr>
              <w:t>）</w:t>
            </w:r>
          </w:p>
        </w:tc>
        <w:tc>
          <w:tcPr>
            <w:tcW w:w="904" w:type="pct"/>
            <w:vAlign w:val="center"/>
          </w:tcPr>
          <w:p w:rsidR="00240BCE" w:rsidRDefault="00AC0334">
            <w:pPr>
              <w:adjustRightInd w:val="0"/>
              <w:snapToGrid w:val="0"/>
              <w:spacing w:line="300" w:lineRule="exact"/>
              <w:jc w:val="center"/>
              <w:rPr>
                <w:kern w:val="0"/>
                <w:sz w:val="21"/>
                <w:szCs w:val="21"/>
              </w:rPr>
            </w:pPr>
            <w:r>
              <w:rPr>
                <w:rFonts w:hint="eastAsia"/>
                <w:color w:val="000000"/>
                <w:sz w:val="21"/>
                <w:szCs w:val="21"/>
              </w:rPr>
              <w:t>7.6</w:t>
            </w:r>
          </w:p>
        </w:tc>
        <w:tc>
          <w:tcPr>
            <w:tcW w:w="862"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19</w:t>
            </w:r>
          </w:p>
        </w:tc>
        <w:tc>
          <w:tcPr>
            <w:tcW w:w="988"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0.118</w:t>
            </w:r>
          </w:p>
        </w:tc>
        <w:tc>
          <w:tcPr>
            <w:tcW w:w="1096"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0.02</w:t>
            </w:r>
          </w:p>
        </w:tc>
      </w:tr>
      <w:tr w:rsidR="00240BCE">
        <w:trPr>
          <w:trHeight w:val="830"/>
          <w:jc w:val="center"/>
        </w:trPr>
        <w:tc>
          <w:tcPr>
            <w:tcW w:w="1147" w:type="pct"/>
            <w:vAlign w:val="center"/>
          </w:tcPr>
          <w:p w:rsidR="00240BCE" w:rsidRDefault="00AC0334">
            <w:pPr>
              <w:adjustRightInd w:val="0"/>
              <w:snapToGrid w:val="0"/>
              <w:spacing w:line="300" w:lineRule="exact"/>
              <w:jc w:val="center"/>
              <w:rPr>
                <w:kern w:val="0"/>
                <w:sz w:val="21"/>
                <w:szCs w:val="21"/>
              </w:rPr>
            </w:pPr>
            <w:r>
              <w:rPr>
                <w:kern w:val="0"/>
                <w:sz w:val="21"/>
                <w:szCs w:val="21"/>
              </w:rPr>
              <w:t>颍河</w:t>
            </w:r>
            <w:r>
              <w:rPr>
                <w:rFonts w:hint="eastAsia"/>
                <w:kern w:val="0"/>
                <w:sz w:val="21"/>
                <w:szCs w:val="21"/>
              </w:rPr>
              <w:t>化庄</w:t>
            </w:r>
            <w:r>
              <w:rPr>
                <w:kern w:val="0"/>
                <w:sz w:val="21"/>
                <w:szCs w:val="21"/>
              </w:rPr>
              <w:t>桥断面</w:t>
            </w:r>
          </w:p>
          <w:p w:rsidR="00240BCE" w:rsidRDefault="00AC0334">
            <w:pPr>
              <w:adjustRightInd w:val="0"/>
              <w:snapToGrid w:val="0"/>
              <w:spacing w:line="300" w:lineRule="exact"/>
              <w:jc w:val="center"/>
              <w:rPr>
                <w:kern w:val="0"/>
                <w:sz w:val="21"/>
                <w:szCs w:val="21"/>
              </w:rPr>
            </w:pPr>
            <w:r>
              <w:rPr>
                <w:rFonts w:hint="eastAsia"/>
                <w:kern w:val="0"/>
                <w:sz w:val="21"/>
                <w:szCs w:val="21"/>
              </w:rPr>
              <w:t>（</w:t>
            </w:r>
            <w:r>
              <w:rPr>
                <w:rFonts w:hint="eastAsia"/>
                <w:kern w:val="0"/>
                <w:sz w:val="21"/>
                <w:szCs w:val="21"/>
              </w:rPr>
              <w:t>2020.08.19</w:t>
            </w:r>
            <w:r>
              <w:rPr>
                <w:rFonts w:hint="eastAsia"/>
                <w:kern w:val="0"/>
                <w:sz w:val="21"/>
                <w:szCs w:val="21"/>
              </w:rPr>
              <w:t>）</w:t>
            </w:r>
          </w:p>
        </w:tc>
        <w:tc>
          <w:tcPr>
            <w:tcW w:w="904" w:type="pct"/>
            <w:vAlign w:val="center"/>
          </w:tcPr>
          <w:p w:rsidR="00240BCE" w:rsidRDefault="00AC0334">
            <w:pPr>
              <w:adjustRightInd w:val="0"/>
              <w:snapToGrid w:val="0"/>
              <w:spacing w:line="300" w:lineRule="exact"/>
              <w:jc w:val="center"/>
              <w:rPr>
                <w:kern w:val="0"/>
                <w:sz w:val="21"/>
                <w:szCs w:val="21"/>
              </w:rPr>
            </w:pPr>
            <w:r>
              <w:rPr>
                <w:rFonts w:hint="eastAsia"/>
                <w:color w:val="000000"/>
                <w:sz w:val="21"/>
                <w:szCs w:val="21"/>
              </w:rPr>
              <w:t>7.6</w:t>
            </w:r>
          </w:p>
        </w:tc>
        <w:tc>
          <w:tcPr>
            <w:tcW w:w="862"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20</w:t>
            </w:r>
          </w:p>
        </w:tc>
        <w:tc>
          <w:tcPr>
            <w:tcW w:w="988"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0.16</w:t>
            </w:r>
          </w:p>
        </w:tc>
        <w:tc>
          <w:tcPr>
            <w:tcW w:w="1096" w:type="pct"/>
            <w:vAlign w:val="center"/>
          </w:tcPr>
          <w:p w:rsidR="00240BCE" w:rsidRDefault="00AC0334">
            <w:pPr>
              <w:adjustRightInd w:val="0"/>
              <w:snapToGrid w:val="0"/>
              <w:spacing w:line="300" w:lineRule="exact"/>
              <w:jc w:val="center"/>
              <w:rPr>
                <w:kern w:val="0"/>
                <w:sz w:val="21"/>
                <w:szCs w:val="21"/>
              </w:rPr>
            </w:pPr>
            <w:r>
              <w:rPr>
                <w:rFonts w:hint="eastAsia"/>
                <w:kern w:val="0"/>
                <w:sz w:val="21"/>
                <w:szCs w:val="21"/>
              </w:rPr>
              <w:t>0.05</w:t>
            </w:r>
          </w:p>
        </w:tc>
      </w:tr>
      <w:tr w:rsidR="00240BCE">
        <w:trPr>
          <w:jc w:val="center"/>
        </w:trPr>
        <w:tc>
          <w:tcPr>
            <w:tcW w:w="1147" w:type="pct"/>
            <w:vAlign w:val="center"/>
          </w:tcPr>
          <w:p w:rsidR="00240BCE" w:rsidRDefault="00AC0334">
            <w:pPr>
              <w:adjustRightInd w:val="0"/>
              <w:snapToGrid w:val="0"/>
              <w:spacing w:line="300" w:lineRule="exact"/>
              <w:jc w:val="center"/>
              <w:rPr>
                <w:color w:val="000000"/>
                <w:kern w:val="0"/>
                <w:sz w:val="21"/>
                <w:szCs w:val="21"/>
              </w:rPr>
            </w:pPr>
            <w:r>
              <w:rPr>
                <w:kern w:val="0"/>
                <w:sz w:val="21"/>
                <w:szCs w:val="21"/>
              </w:rPr>
              <w:t>《地表水环境质量标准》（</w:t>
            </w:r>
            <w:r>
              <w:rPr>
                <w:kern w:val="0"/>
                <w:sz w:val="21"/>
                <w:szCs w:val="21"/>
              </w:rPr>
              <w:t>GB3838-2002</w:t>
            </w:r>
            <w:r>
              <w:rPr>
                <w:kern w:val="0"/>
                <w:sz w:val="21"/>
                <w:szCs w:val="21"/>
              </w:rPr>
              <w:t>）</w:t>
            </w:r>
            <w:r>
              <w:rPr>
                <w:kern w:val="0"/>
                <w:sz w:val="21"/>
                <w:szCs w:val="21"/>
              </w:rPr>
              <w:t xml:space="preserve">III </w:t>
            </w:r>
            <w:r>
              <w:rPr>
                <w:kern w:val="0"/>
                <w:sz w:val="21"/>
                <w:szCs w:val="21"/>
              </w:rPr>
              <w:t>类标准</w:t>
            </w:r>
          </w:p>
        </w:tc>
        <w:tc>
          <w:tcPr>
            <w:tcW w:w="904" w:type="pct"/>
            <w:vAlign w:val="center"/>
          </w:tcPr>
          <w:p w:rsidR="00240BCE" w:rsidRDefault="00AC0334">
            <w:pPr>
              <w:adjustRightInd w:val="0"/>
              <w:snapToGrid w:val="0"/>
              <w:spacing w:line="300" w:lineRule="exact"/>
              <w:jc w:val="center"/>
              <w:rPr>
                <w:kern w:val="0"/>
                <w:sz w:val="21"/>
                <w:szCs w:val="21"/>
              </w:rPr>
            </w:pPr>
            <w:r>
              <w:rPr>
                <w:kern w:val="0"/>
                <w:sz w:val="21"/>
                <w:szCs w:val="21"/>
              </w:rPr>
              <w:t>6</w:t>
            </w:r>
            <w:r>
              <w:rPr>
                <w:kern w:val="0"/>
                <w:sz w:val="21"/>
                <w:szCs w:val="21"/>
              </w:rPr>
              <w:t>～</w:t>
            </w:r>
            <w:r>
              <w:rPr>
                <w:kern w:val="0"/>
                <w:sz w:val="21"/>
                <w:szCs w:val="21"/>
              </w:rPr>
              <w:t>9</w:t>
            </w:r>
          </w:p>
        </w:tc>
        <w:tc>
          <w:tcPr>
            <w:tcW w:w="862" w:type="pct"/>
            <w:vAlign w:val="center"/>
          </w:tcPr>
          <w:p w:rsidR="00240BCE" w:rsidRDefault="00AC0334">
            <w:pPr>
              <w:adjustRightInd w:val="0"/>
              <w:snapToGrid w:val="0"/>
              <w:spacing w:line="300" w:lineRule="exact"/>
              <w:jc w:val="center"/>
              <w:rPr>
                <w:kern w:val="0"/>
                <w:sz w:val="21"/>
                <w:szCs w:val="21"/>
              </w:rPr>
            </w:pPr>
            <w:r>
              <w:rPr>
                <w:kern w:val="0"/>
                <w:sz w:val="21"/>
                <w:szCs w:val="21"/>
              </w:rPr>
              <w:t>≤20</w:t>
            </w:r>
          </w:p>
        </w:tc>
        <w:tc>
          <w:tcPr>
            <w:tcW w:w="988" w:type="pct"/>
            <w:vAlign w:val="center"/>
          </w:tcPr>
          <w:p w:rsidR="00240BCE" w:rsidRDefault="00AC0334">
            <w:pPr>
              <w:adjustRightInd w:val="0"/>
              <w:snapToGrid w:val="0"/>
              <w:spacing w:line="300" w:lineRule="exact"/>
              <w:jc w:val="center"/>
              <w:rPr>
                <w:kern w:val="0"/>
                <w:sz w:val="21"/>
                <w:szCs w:val="21"/>
              </w:rPr>
            </w:pPr>
            <w:r>
              <w:rPr>
                <w:kern w:val="0"/>
                <w:sz w:val="21"/>
                <w:szCs w:val="21"/>
              </w:rPr>
              <w:t>≤1.0</w:t>
            </w:r>
          </w:p>
        </w:tc>
        <w:tc>
          <w:tcPr>
            <w:tcW w:w="1096" w:type="pct"/>
            <w:vAlign w:val="center"/>
          </w:tcPr>
          <w:p w:rsidR="00240BCE" w:rsidRDefault="00AC0334">
            <w:pPr>
              <w:adjustRightInd w:val="0"/>
              <w:snapToGrid w:val="0"/>
              <w:spacing w:line="300" w:lineRule="exact"/>
              <w:jc w:val="center"/>
              <w:rPr>
                <w:kern w:val="0"/>
                <w:sz w:val="21"/>
                <w:szCs w:val="21"/>
              </w:rPr>
            </w:pPr>
            <w:r>
              <w:rPr>
                <w:kern w:val="0"/>
                <w:sz w:val="21"/>
                <w:szCs w:val="21"/>
              </w:rPr>
              <w:t>≤0.2</w:t>
            </w:r>
          </w:p>
        </w:tc>
      </w:tr>
    </w:tbl>
    <w:p w:rsidR="00240BCE" w:rsidRDefault="00AC0334">
      <w:pPr>
        <w:spacing w:line="520" w:lineRule="exact"/>
        <w:ind w:firstLineChars="200" w:firstLine="480"/>
        <w:rPr>
          <w:sz w:val="24"/>
        </w:rPr>
      </w:pPr>
      <w:r>
        <w:rPr>
          <w:sz w:val="24"/>
        </w:rPr>
        <w:t>由表</w:t>
      </w:r>
      <w:r>
        <w:rPr>
          <w:sz w:val="24"/>
        </w:rPr>
        <w:t>4.3-7</w:t>
      </w:r>
      <w:r>
        <w:rPr>
          <w:sz w:val="24"/>
        </w:rPr>
        <w:t>可知，</w:t>
      </w:r>
      <w:r>
        <w:rPr>
          <w:color w:val="000000"/>
          <w:sz w:val="24"/>
        </w:rPr>
        <w:t>颍河</w:t>
      </w:r>
      <w:r>
        <w:rPr>
          <w:rFonts w:hint="eastAsia"/>
          <w:color w:val="000000"/>
          <w:sz w:val="24"/>
        </w:rPr>
        <w:t>化庄</w:t>
      </w:r>
      <w:r>
        <w:rPr>
          <w:color w:val="000000"/>
          <w:sz w:val="24"/>
        </w:rPr>
        <w:t>桥断面主要水质监测因子中</w:t>
      </w:r>
      <w:r>
        <w:rPr>
          <w:color w:val="000000"/>
          <w:sz w:val="24"/>
        </w:rPr>
        <w:t>pH</w:t>
      </w:r>
      <w:r>
        <w:rPr>
          <w:color w:val="000000"/>
          <w:sz w:val="24"/>
        </w:rPr>
        <w:t>、</w:t>
      </w:r>
      <w:r>
        <w:rPr>
          <w:color w:val="000000"/>
          <w:sz w:val="24"/>
        </w:rPr>
        <w:t>COD</w:t>
      </w:r>
      <w:r>
        <w:rPr>
          <w:color w:val="000000"/>
          <w:sz w:val="24"/>
        </w:rPr>
        <w:t>、氨</w:t>
      </w:r>
      <w:r>
        <w:rPr>
          <w:color w:val="000000"/>
          <w:kern w:val="0"/>
          <w:sz w:val="24"/>
        </w:rPr>
        <w:t>氮、总磷满足《地表水环境质量标准》（</w:t>
      </w:r>
      <w:r>
        <w:rPr>
          <w:color w:val="000000"/>
          <w:kern w:val="0"/>
          <w:sz w:val="24"/>
        </w:rPr>
        <w:t>GB3838-2002</w:t>
      </w:r>
      <w:r>
        <w:rPr>
          <w:color w:val="000000"/>
          <w:kern w:val="0"/>
          <w:sz w:val="24"/>
        </w:rPr>
        <w:t>）</w:t>
      </w:r>
      <w:r>
        <w:rPr>
          <w:color w:val="000000"/>
          <w:kern w:val="0"/>
          <w:sz w:val="24"/>
        </w:rPr>
        <w:t>III</w:t>
      </w:r>
      <w:r>
        <w:rPr>
          <w:color w:val="000000"/>
          <w:kern w:val="0"/>
          <w:sz w:val="24"/>
        </w:rPr>
        <w:t>类标准要求。</w:t>
      </w:r>
    </w:p>
    <w:p w:rsidR="00240BCE" w:rsidRDefault="00AC0334" w:rsidP="009C5F33">
      <w:pPr>
        <w:pStyle w:val="03"/>
        <w:adjustRightInd w:val="0"/>
        <w:snapToGrid w:val="0"/>
        <w:spacing w:beforeLines="70" w:afterLines="30" w:afterAutospacing="0" w:line="240" w:lineRule="auto"/>
        <w:rPr>
          <w:rFonts w:ascii="Times New Roman" w:eastAsia="楷体" w:hAnsi="Times New Roman"/>
          <w:color w:val="000000"/>
        </w:rPr>
      </w:pPr>
      <w:r>
        <w:rPr>
          <w:rFonts w:ascii="Times New Roman" w:eastAsia="楷体" w:hAnsi="Times New Roman"/>
          <w:color w:val="000000"/>
        </w:rPr>
        <w:t xml:space="preserve">4.3.3 </w:t>
      </w:r>
      <w:r>
        <w:rPr>
          <w:rFonts w:ascii="Times New Roman" w:eastAsia="楷体" w:hAnsi="Times New Roman"/>
          <w:color w:val="000000"/>
        </w:rPr>
        <w:t>地下水环境质量现状监测与评价</w:t>
      </w:r>
    </w:p>
    <w:p w:rsidR="00240BCE" w:rsidRDefault="00AC0334">
      <w:pPr>
        <w:spacing w:line="520" w:lineRule="exact"/>
        <w:rPr>
          <w:color w:val="000000"/>
          <w:sz w:val="24"/>
        </w:rPr>
      </w:pPr>
      <w:r>
        <w:rPr>
          <w:color w:val="000000"/>
          <w:sz w:val="24"/>
        </w:rPr>
        <w:t>4.3.3.1</w:t>
      </w:r>
      <w:r>
        <w:rPr>
          <w:color w:val="000000"/>
          <w:sz w:val="24"/>
        </w:rPr>
        <w:t>地下水污染源现状调查</w:t>
      </w:r>
    </w:p>
    <w:p w:rsidR="00240BCE" w:rsidRDefault="00AC0334">
      <w:pPr>
        <w:spacing w:line="520" w:lineRule="exact"/>
        <w:ind w:firstLineChars="200" w:firstLine="480"/>
        <w:rPr>
          <w:color w:val="000000"/>
          <w:sz w:val="24"/>
        </w:rPr>
      </w:pPr>
      <w:r>
        <w:rPr>
          <w:color w:val="000000"/>
          <w:sz w:val="24"/>
        </w:rPr>
        <w:t>为了调查现有工程的地下水环境影响现状，河南正捷检测技术有限公司</w:t>
      </w:r>
      <w:r>
        <w:rPr>
          <w:sz w:val="24"/>
        </w:rPr>
        <w:t>于</w:t>
      </w:r>
      <w:r>
        <w:rPr>
          <w:sz w:val="24"/>
        </w:rPr>
        <w:t>2020</w:t>
      </w:r>
      <w:r>
        <w:rPr>
          <w:sz w:val="24"/>
        </w:rPr>
        <w:t>年</w:t>
      </w:r>
      <w:r>
        <w:rPr>
          <w:sz w:val="24"/>
        </w:rPr>
        <w:t>9</w:t>
      </w:r>
      <w:r>
        <w:rPr>
          <w:sz w:val="24"/>
        </w:rPr>
        <w:t>月</w:t>
      </w:r>
      <w:r>
        <w:rPr>
          <w:sz w:val="24"/>
        </w:rPr>
        <w:t>2</w:t>
      </w:r>
      <w:r>
        <w:rPr>
          <w:color w:val="000000"/>
          <w:sz w:val="24"/>
        </w:rPr>
        <w:t>对现有工程的矸石周转场上、下游进行了包气带污染现状监测，</w:t>
      </w:r>
      <w:r>
        <w:rPr>
          <w:sz w:val="24"/>
        </w:rPr>
        <w:t>监测点位、监测因子及监测频率等见表</w:t>
      </w:r>
      <w:r>
        <w:rPr>
          <w:sz w:val="24"/>
        </w:rPr>
        <w:t>4.3-8</w:t>
      </w:r>
      <w:r>
        <w:rPr>
          <w:sz w:val="24"/>
        </w:rPr>
        <w:t>，附图</w:t>
      </w:r>
      <w:r>
        <w:rPr>
          <w:sz w:val="24"/>
        </w:rPr>
        <w:t>10</w:t>
      </w:r>
      <w:r>
        <w:rPr>
          <w:sz w:val="24"/>
        </w:rPr>
        <w:t>。监测结果及分析统计见表</w:t>
      </w:r>
      <w:r>
        <w:rPr>
          <w:color w:val="000000"/>
          <w:sz w:val="24"/>
        </w:rPr>
        <w:t>4.3-9</w:t>
      </w:r>
      <w:r>
        <w:rPr>
          <w:sz w:val="24"/>
        </w:rPr>
        <w:t>。</w:t>
      </w:r>
    </w:p>
    <w:p w:rsidR="00240BCE" w:rsidRDefault="00AC0334">
      <w:pPr>
        <w:spacing w:line="520" w:lineRule="exact"/>
        <w:jc w:val="center"/>
        <w:rPr>
          <w:b/>
          <w:bCs/>
          <w:sz w:val="24"/>
        </w:rPr>
      </w:pPr>
      <w:r>
        <w:rPr>
          <w:rFonts w:eastAsia="黑体"/>
          <w:color w:val="000000"/>
          <w:sz w:val="24"/>
        </w:rPr>
        <w:lastRenderedPageBreak/>
        <w:t>表</w:t>
      </w:r>
      <w:r>
        <w:rPr>
          <w:color w:val="000000"/>
          <w:sz w:val="24"/>
        </w:rPr>
        <w:t xml:space="preserve">4.3-8  </w:t>
      </w:r>
      <w:r>
        <w:rPr>
          <w:rFonts w:eastAsia="黑体"/>
          <w:color w:val="000000"/>
          <w:sz w:val="24"/>
        </w:rPr>
        <w:t>包气带监测点及监测因子</w:t>
      </w:r>
    </w:p>
    <w:tbl>
      <w:tblPr>
        <w:tblW w:w="5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00"/>
        <w:gridCol w:w="412"/>
        <w:gridCol w:w="1162"/>
        <w:gridCol w:w="1057"/>
        <w:gridCol w:w="1946"/>
        <w:gridCol w:w="2411"/>
        <w:gridCol w:w="1699"/>
      </w:tblGrid>
      <w:tr w:rsidR="00240BCE">
        <w:trPr>
          <w:trHeight w:val="396"/>
          <w:jc w:val="center"/>
        </w:trPr>
        <w:tc>
          <w:tcPr>
            <w:tcW w:w="499" w:type="dxa"/>
            <w:tcBorders>
              <w:top w:val="single" w:sz="4" w:space="0" w:color="auto"/>
              <w:left w:val="single" w:sz="4" w:space="0" w:color="auto"/>
              <w:bottom w:val="single" w:sz="4" w:space="0" w:color="auto"/>
              <w:right w:val="single" w:sz="4" w:space="0" w:color="auto"/>
            </w:tcBorders>
            <w:vAlign w:val="center"/>
          </w:tcPr>
          <w:p w:rsidR="00240BCE" w:rsidRDefault="00AC0334">
            <w:pPr>
              <w:widowControl/>
              <w:spacing w:line="340" w:lineRule="exact"/>
              <w:jc w:val="center"/>
              <w:rPr>
                <w:kern w:val="0"/>
                <w:sz w:val="21"/>
                <w:szCs w:val="21"/>
              </w:rPr>
            </w:pPr>
            <w:r>
              <w:rPr>
                <w:kern w:val="0"/>
                <w:sz w:val="21"/>
                <w:szCs w:val="21"/>
              </w:rPr>
              <w:t>名称</w:t>
            </w:r>
          </w:p>
        </w:tc>
        <w:tc>
          <w:tcPr>
            <w:tcW w:w="1573" w:type="dxa"/>
            <w:gridSpan w:val="2"/>
            <w:tcBorders>
              <w:top w:val="single" w:sz="4" w:space="0" w:color="auto"/>
              <w:left w:val="nil"/>
              <w:bottom w:val="single" w:sz="4" w:space="0" w:color="auto"/>
              <w:right w:val="single" w:sz="4" w:space="0" w:color="auto"/>
            </w:tcBorders>
            <w:vAlign w:val="center"/>
          </w:tcPr>
          <w:p w:rsidR="00240BCE" w:rsidRDefault="00AC0334">
            <w:pPr>
              <w:widowControl/>
              <w:spacing w:line="340" w:lineRule="exact"/>
              <w:jc w:val="center"/>
              <w:rPr>
                <w:kern w:val="0"/>
                <w:sz w:val="21"/>
                <w:szCs w:val="21"/>
              </w:rPr>
            </w:pPr>
            <w:r>
              <w:rPr>
                <w:kern w:val="0"/>
                <w:sz w:val="21"/>
                <w:szCs w:val="21"/>
              </w:rPr>
              <w:t>监测点位</w:t>
            </w:r>
          </w:p>
        </w:tc>
        <w:tc>
          <w:tcPr>
            <w:tcW w:w="1056" w:type="dxa"/>
            <w:tcBorders>
              <w:top w:val="single" w:sz="4" w:space="0" w:color="auto"/>
              <w:left w:val="nil"/>
              <w:bottom w:val="single" w:sz="4" w:space="0" w:color="auto"/>
              <w:right w:val="single" w:sz="4" w:space="0" w:color="auto"/>
            </w:tcBorders>
            <w:vAlign w:val="center"/>
          </w:tcPr>
          <w:p w:rsidR="00240BCE" w:rsidRDefault="00AC0334">
            <w:pPr>
              <w:widowControl/>
              <w:spacing w:line="340" w:lineRule="exact"/>
              <w:jc w:val="center"/>
              <w:rPr>
                <w:kern w:val="0"/>
                <w:sz w:val="21"/>
                <w:szCs w:val="21"/>
              </w:rPr>
            </w:pPr>
            <w:r>
              <w:rPr>
                <w:kern w:val="0"/>
                <w:sz w:val="21"/>
                <w:szCs w:val="21"/>
              </w:rPr>
              <w:t>点位功能</w:t>
            </w:r>
          </w:p>
        </w:tc>
        <w:tc>
          <w:tcPr>
            <w:tcW w:w="1944" w:type="dxa"/>
            <w:tcBorders>
              <w:top w:val="single" w:sz="4" w:space="0" w:color="auto"/>
              <w:left w:val="nil"/>
              <w:bottom w:val="single" w:sz="4" w:space="0" w:color="auto"/>
              <w:right w:val="single" w:sz="4" w:space="0" w:color="auto"/>
            </w:tcBorders>
            <w:vAlign w:val="center"/>
          </w:tcPr>
          <w:p w:rsidR="00240BCE" w:rsidRDefault="00AC0334">
            <w:pPr>
              <w:widowControl/>
              <w:spacing w:line="340" w:lineRule="exact"/>
              <w:jc w:val="center"/>
              <w:rPr>
                <w:kern w:val="0"/>
                <w:sz w:val="21"/>
                <w:szCs w:val="21"/>
              </w:rPr>
            </w:pPr>
            <w:r>
              <w:rPr>
                <w:kern w:val="0"/>
                <w:sz w:val="21"/>
                <w:szCs w:val="21"/>
              </w:rPr>
              <w:t>监测因子</w:t>
            </w:r>
          </w:p>
        </w:tc>
        <w:tc>
          <w:tcPr>
            <w:tcW w:w="2409" w:type="dxa"/>
            <w:tcBorders>
              <w:top w:val="single" w:sz="4" w:space="0" w:color="auto"/>
              <w:left w:val="nil"/>
              <w:bottom w:val="single" w:sz="4" w:space="0" w:color="auto"/>
              <w:right w:val="single" w:sz="4" w:space="0" w:color="auto"/>
            </w:tcBorders>
            <w:vAlign w:val="center"/>
          </w:tcPr>
          <w:p w:rsidR="00240BCE" w:rsidRDefault="00AC0334">
            <w:pPr>
              <w:widowControl/>
              <w:spacing w:line="340" w:lineRule="exact"/>
              <w:jc w:val="center"/>
              <w:rPr>
                <w:kern w:val="0"/>
                <w:sz w:val="21"/>
                <w:szCs w:val="21"/>
              </w:rPr>
            </w:pPr>
            <w:r>
              <w:rPr>
                <w:kern w:val="0"/>
                <w:sz w:val="21"/>
                <w:szCs w:val="21"/>
              </w:rPr>
              <w:t>监测时段及频率</w:t>
            </w:r>
          </w:p>
        </w:tc>
        <w:tc>
          <w:tcPr>
            <w:tcW w:w="1697" w:type="dxa"/>
            <w:tcBorders>
              <w:top w:val="single" w:sz="4" w:space="0" w:color="auto"/>
              <w:left w:val="nil"/>
              <w:bottom w:val="single" w:sz="4" w:space="0" w:color="auto"/>
              <w:right w:val="single" w:sz="4" w:space="0" w:color="auto"/>
            </w:tcBorders>
            <w:vAlign w:val="center"/>
          </w:tcPr>
          <w:p w:rsidR="00240BCE" w:rsidRDefault="00AC0334">
            <w:pPr>
              <w:widowControl/>
              <w:spacing w:line="340" w:lineRule="exact"/>
              <w:jc w:val="center"/>
              <w:rPr>
                <w:kern w:val="0"/>
                <w:sz w:val="21"/>
                <w:szCs w:val="21"/>
              </w:rPr>
            </w:pPr>
            <w:r>
              <w:rPr>
                <w:kern w:val="0"/>
                <w:sz w:val="21"/>
                <w:szCs w:val="21"/>
              </w:rPr>
              <w:t>采样及分析方法</w:t>
            </w:r>
          </w:p>
        </w:tc>
      </w:tr>
      <w:tr w:rsidR="00240BCE">
        <w:trPr>
          <w:trHeight w:val="1369"/>
          <w:jc w:val="center"/>
        </w:trPr>
        <w:tc>
          <w:tcPr>
            <w:tcW w:w="499" w:type="dxa"/>
            <w:vMerge w:val="restart"/>
            <w:tcBorders>
              <w:top w:val="nil"/>
              <w:left w:val="single" w:sz="4" w:space="0" w:color="auto"/>
              <w:bottom w:val="single" w:sz="4" w:space="0" w:color="auto"/>
              <w:right w:val="single" w:sz="4" w:space="0" w:color="auto"/>
            </w:tcBorders>
            <w:vAlign w:val="center"/>
          </w:tcPr>
          <w:p w:rsidR="00240BCE" w:rsidRDefault="00AC0334">
            <w:pPr>
              <w:widowControl/>
              <w:spacing w:line="300" w:lineRule="exact"/>
              <w:jc w:val="center"/>
              <w:rPr>
                <w:kern w:val="0"/>
                <w:sz w:val="21"/>
                <w:szCs w:val="21"/>
              </w:rPr>
            </w:pPr>
            <w:r>
              <w:rPr>
                <w:kern w:val="0"/>
                <w:sz w:val="21"/>
                <w:szCs w:val="21"/>
              </w:rPr>
              <w:t>包气带污染现状调查</w:t>
            </w:r>
          </w:p>
        </w:tc>
        <w:tc>
          <w:tcPr>
            <w:tcW w:w="412" w:type="dxa"/>
            <w:tcBorders>
              <w:top w:val="single" w:sz="4" w:space="0" w:color="auto"/>
              <w:left w:val="nil"/>
              <w:bottom w:val="single" w:sz="4" w:space="0" w:color="auto"/>
              <w:right w:val="single" w:sz="4" w:space="0" w:color="auto"/>
            </w:tcBorders>
            <w:noWrap/>
            <w:vAlign w:val="center"/>
          </w:tcPr>
          <w:p w:rsidR="00240BCE" w:rsidRDefault="00AC0334">
            <w:pPr>
              <w:widowControl/>
              <w:spacing w:line="300" w:lineRule="exact"/>
              <w:jc w:val="center"/>
              <w:rPr>
                <w:kern w:val="0"/>
                <w:sz w:val="21"/>
                <w:szCs w:val="21"/>
              </w:rPr>
            </w:pPr>
            <w:r>
              <w:rPr>
                <w:kern w:val="0"/>
                <w:sz w:val="21"/>
                <w:szCs w:val="21"/>
              </w:rPr>
              <w:t>1#</w:t>
            </w:r>
          </w:p>
        </w:tc>
        <w:tc>
          <w:tcPr>
            <w:tcW w:w="1161" w:type="dxa"/>
            <w:tcBorders>
              <w:top w:val="single" w:sz="4" w:space="0" w:color="auto"/>
              <w:left w:val="nil"/>
              <w:bottom w:val="single" w:sz="4" w:space="0" w:color="auto"/>
              <w:right w:val="single" w:sz="4" w:space="0" w:color="auto"/>
            </w:tcBorders>
            <w:vAlign w:val="center"/>
          </w:tcPr>
          <w:p w:rsidR="00240BCE" w:rsidRDefault="00AC0334">
            <w:pPr>
              <w:widowControl/>
              <w:spacing w:line="300" w:lineRule="exact"/>
              <w:jc w:val="center"/>
              <w:rPr>
                <w:color w:val="000000"/>
                <w:kern w:val="0"/>
                <w:sz w:val="21"/>
                <w:szCs w:val="21"/>
              </w:rPr>
            </w:pPr>
            <w:r>
              <w:rPr>
                <w:color w:val="000000"/>
                <w:kern w:val="0"/>
                <w:sz w:val="21"/>
                <w:szCs w:val="21"/>
              </w:rPr>
              <w:t>矸石周转场（上游）西</w:t>
            </w:r>
            <w:r>
              <w:rPr>
                <w:color w:val="000000"/>
                <w:kern w:val="0"/>
                <w:sz w:val="21"/>
                <w:szCs w:val="21"/>
              </w:rPr>
              <w:t>250m</w:t>
            </w:r>
            <w:r>
              <w:rPr>
                <w:color w:val="000000"/>
                <w:kern w:val="0"/>
                <w:sz w:val="21"/>
                <w:szCs w:val="21"/>
              </w:rPr>
              <w:t>土壤表层</w:t>
            </w:r>
          </w:p>
        </w:tc>
        <w:tc>
          <w:tcPr>
            <w:tcW w:w="1056" w:type="dxa"/>
            <w:tcBorders>
              <w:top w:val="single" w:sz="4" w:space="0" w:color="auto"/>
              <w:left w:val="nil"/>
              <w:bottom w:val="single" w:sz="4" w:space="0" w:color="auto"/>
              <w:right w:val="single" w:sz="4" w:space="0" w:color="auto"/>
            </w:tcBorders>
            <w:vAlign w:val="center"/>
          </w:tcPr>
          <w:p w:rsidR="00240BCE" w:rsidRDefault="00AC0334">
            <w:pPr>
              <w:spacing w:line="300" w:lineRule="exact"/>
              <w:jc w:val="center"/>
              <w:rPr>
                <w:spacing w:val="2"/>
                <w:sz w:val="21"/>
                <w:szCs w:val="21"/>
              </w:rPr>
            </w:pPr>
            <w:r>
              <w:rPr>
                <w:spacing w:val="2"/>
                <w:sz w:val="21"/>
                <w:szCs w:val="21"/>
              </w:rPr>
              <w:t>背景值（浸溶试验）</w:t>
            </w:r>
          </w:p>
        </w:tc>
        <w:tc>
          <w:tcPr>
            <w:tcW w:w="1944" w:type="dxa"/>
            <w:vMerge w:val="restart"/>
            <w:tcBorders>
              <w:top w:val="nil"/>
              <w:left w:val="nil"/>
              <w:bottom w:val="single" w:sz="4" w:space="0" w:color="auto"/>
              <w:right w:val="single" w:sz="4" w:space="0" w:color="auto"/>
            </w:tcBorders>
            <w:vAlign w:val="center"/>
          </w:tcPr>
          <w:p w:rsidR="00240BCE" w:rsidRDefault="00AC0334">
            <w:pPr>
              <w:spacing w:line="300" w:lineRule="exact"/>
              <w:jc w:val="left"/>
              <w:rPr>
                <w:kern w:val="0"/>
                <w:sz w:val="21"/>
                <w:szCs w:val="21"/>
              </w:rPr>
            </w:pPr>
            <w:r>
              <w:rPr>
                <w:rFonts w:eastAsia="仿宋_GB2312"/>
                <w:kern w:val="0"/>
                <w:sz w:val="21"/>
                <w:szCs w:val="21"/>
              </w:rPr>
              <w:t>Hg</w:t>
            </w:r>
            <w:r>
              <w:rPr>
                <w:rFonts w:eastAsia="仿宋_GB2312"/>
                <w:kern w:val="0"/>
                <w:sz w:val="21"/>
                <w:szCs w:val="21"/>
              </w:rPr>
              <w:t>、</w:t>
            </w:r>
            <w:r>
              <w:rPr>
                <w:rFonts w:eastAsia="仿宋_GB2312"/>
                <w:kern w:val="0"/>
                <w:sz w:val="21"/>
                <w:szCs w:val="21"/>
              </w:rPr>
              <w:t>Pb</w:t>
            </w:r>
            <w:r>
              <w:rPr>
                <w:rFonts w:eastAsia="仿宋_GB2312"/>
                <w:kern w:val="0"/>
                <w:sz w:val="21"/>
                <w:szCs w:val="21"/>
              </w:rPr>
              <w:t>、</w:t>
            </w:r>
            <w:r>
              <w:rPr>
                <w:rFonts w:eastAsia="仿宋_GB2312"/>
                <w:kern w:val="0"/>
                <w:sz w:val="21"/>
                <w:szCs w:val="21"/>
              </w:rPr>
              <w:t>Cd</w:t>
            </w:r>
            <w:r>
              <w:rPr>
                <w:rFonts w:eastAsia="仿宋_GB2312"/>
                <w:kern w:val="0"/>
                <w:sz w:val="21"/>
                <w:szCs w:val="21"/>
              </w:rPr>
              <w:t>、总铬、</w:t>
            </w:r>
            <w:r>
              <w:rPr>
                <w:rFonts w:eastAsia="仿宋_GB2312"/>
                <w:kern w:val="0"/>
                <w:sz w:val="21"/>
                <w:szCs w:val="21"/>
              </w:rPr>
              <w:t>Cr</w:t>
            </w:r>
            <w:r>
              <w:rPr>
                <w:rFonts w:eastAsia="仿宋_GB2312"/>
                <w:kern w:val="0"/>
                <w:sz w:val="21"/>
                <w:szCs w:val="21"/>
                <w:vertAlign w:val="superscript"/>
              </w:rPr>
              <w:t>6+</w:t>
            </w:r>
            <w:r>
              <w:rPr>
                <w:rFonts w:eastAsia="仿宋_GB2312"/>
                <w:kern w:val="0"/>
                <w:sz w:val="21"/>
                <w:szCs w:val="21"/>
              </w:rPr>
              <w:t>、</w:t>
            </w:r>
            <w:r>
              <w:rPr>
                <w:rFonts w:eastAsia="仿宋_GB2312"/>
                <w:kern w:val="0"/>
                <w:sz w:val="21"/>
                <w:szCs w:val="21"/>
              </w:rPr>
              <w:t>Cu</w:t>
            </w:r>
            <w:r>
              <w:rPr>
                <w:rFonts w:eastAsia="仿宋_GB2312"/>
                <w:kern w:val="0"/>
                <w:sz w:val="21"/>
                <w:szCs w:val="21"/>
              </w:rPr>
              <w:t>、</w:t>
            </w:r>
            <w:r>
              <w:rPr>
                <w:rFonts w:eastAsia="仿宋_GB2312"/>
                <w:kern w:val="0"/>
                <w:sz w:val="21"/>
                <w:szCs w:val="21"/>
              </w:rPr>
              <w:t>Zn</w:t>
            </w:r>
            <w:r>
              <w:rPr>
                <w:rFonts w:eastAsia="仿宋_GB2312"/>
                <w:kern w:val="0"/>
                <w:sz w:val="21"/>
                <w:szCs w:val="21"/>
              </w:rPr>
              <w:t>、</w:t>
            </w:r>
            <w:r>
              <w:rPr>
                <w:rFonts w:eastAsia="仿宋_GB2312"/>
                <w:kern w:val="0"/>
                <w:sz w:val="21"/>
                <w:szCs w:val="21"/>
              </w:rPr>
              <w:t>As</w:t>
            </w:r>
            <w:r>
              <w:rPr>
                <w:rFonts w:eastAsia="仿宋_GB2312"/>
                <w:kern w:val="0"/>
                <w:sz w:val="21"/>
                <w:szCs w:val="21"/>
              </w:rPr>
              <w:t>、</w:t>
            </w:r>
            <w:r>
              <w:rPr>
                <w:rFonts w:eastAsia="仿宋_GB2312"/>
                <w:kern w:val="0"/>
                <w:sz w:val="21"/>
                <w:szCs w:val="21"/>
              </w:rPr>
              <w:t>F</w:t>
            </w:r>
            <w:r>
              <w:rPr>
                <w:rFonts w:eastAsia="仿宋_GB2312"/>
                <w:kern w:val="0"/>
                <w:sz w:val="21"/>
                <w:szCs w:val="21"/>
                <w:vertAlign w:val="superscript"/>
              </w:rPr>
              <w:t>-</w:t>
            </w:r>
            <w:r>
              <w:rPr>
                <w:rFonts w:eastAsia="仿宋_GB2312"/>
                <w:kern w:val="0"/>
                <w:sz w:val="21"/>
                <w:szCs w:val="21"/>
              </w:rPr>
              <w:t>、镍、</w:t>
            </w:r>
            <w:r>
              <w:rPr>
                <w:rFonts w:eastAsia="仿宋_GB2312"/>
                <w:kern w:val="0"/>
                <w:sz w:val="21"/>
                <w:szCs w:val="21"/>
              </w:rPr>
              <w:t>pH</w:t>
            </w:r>
            <w:r>
              <w:rPr>
                <w:rFonts w:eastAsia="仿宋_GB2312"/>
                <w:kern w:val="0"/>
                <w:sz w:val="21"/>
                <w:szCs w:val="21"/>
              </w:rPr>
              <w:t>等</w:t>
            </w:r>
            <w:r>
              <w:rPr>
                <w:rFonts w:eastAsia="仿宋_GB2312"/>
                <w:kern w:val="0"/>
                <w:sz w:val="21"/>
                <w:szCs w:val="21"/>
              </w:rPr>
              <w:t>11</w:t>
            </w:r>
            <w:r>
              <w:rPr>
                <w:rFonts w:eastAsia="仿宋_GB2312"/>
                <w:kern w:val="0"/>
                <w:sz w:val="21"/>
                <w:szCs w:val="21"/>
              </w:rPr>
              <w:t>项因子</w:t>
            </w:r>
          </w:p>
        </w:tc>
        <w:tc>
          <w:tcPr>
            <w:tcW w:w="4106" w:type="dxa"/>
            <w:gridSpan w:val="2"/>
            <w:vMerge w:val="restart"/>
            <w:tcBorders>
              <w:top w:val="nil"/>
              <w:left w:val="nil"/>
              <w:bottom w:val="single" w:sz="4" w:space="0" w:color="auto"/>
              <w:right w:val="single" w:sz="4" w:space="0" w:color="auto"/>
            </w:tcBorders>
            <w:vAlign w:val="center"/>
          </w:tcPr>
          <w:p w:rsidR="00240BCE" w:rsidRDefault="00AC0334">
            <w:pPr>
              <w:spacing w:line="300" w:lineRule="exact"/>
              <w:rPr>
                <w:kern w:val="0"/>
                <w:sz w:val="21"/>
                <w:szCs w:val="21"/>
              </w:rPr>
            </w:pPr>
            <w:r>
              <w:rPr>
                <w:kern w:val="0"/>
                <w:sz w:val="21"/>
                <w:szCs w:val="21"/>
              </w:rPr>
              <w:t>采样</w:t>
            </w:r>
            <w:r>
              <w:rPr>
                <w:kern w:val="0"/>
                <w:sz w:val="21"/>
                <w:szCs w:val="21"/>
              </w:rPr>
              <w:t>1</w:t>
            </w:r>
            <w:r>
              <w:rPr>
                <w:kern w:val="0"/>
                <w:sz w:val="21"/>
                <w:szCs w:val="21"/>
              </w:rPr>
              <w:t>次，在现有工程矸石周转场上、下游进行包气带污染现状监测；采样与制样按照</w:t>
            </w:r>
            <w:r>
              <w:rPr>
                <w:kern w:val="0"/>
                <w:sz w:val="21"/>
                <w:szCs w:val="21"/>
              </w:rPr>
              <w:t>HJ/T 298</w:t>
            </w:r>
            <w:r>
              <w:rPr>
                <w:kern w:val="0"/>
                <w:sz w:val="21"/>
                <w:szCs w:val="21"/>
              </w:rPr>
              <w:t>和</w:t>
            </w:r>
            <w:r>
              <w:rPr>
                <w:kern w:val="0"/>
                <w:sz w:val="21"/>
                <w:szCs w:val="21"/>
              </w:rPr>
              <w:t>HJ/T 20</w:t>
            </w:r>
            <w:r>
              <w:rPr>
                <w:kern w:val="0"/>
                <w:sz w:val="21"/>
                <w:szCs w:val="21"/>
              </w:rPr>
              <w:t>的相关规定要求进行样品的采集和保存，按照《固体废物浸出毒性浸出方法水平振荡法》</w:t>
            </w:r>
            <w:r>
              <w:rPr>
                <w:kern w:val="0"/>
                <w:sz w:val="21"/>
                <w:szCs w:val="21"/>
              </w:rPr>
              <w:t>(HJ 557-2010)</w:t>
            </w:r>
            <w:r>
              <w:rPr>
                <w:kern w:val="0"/>
                <w:sz w:val="21"/>
                <w:szCs w:val="21"/>
              </w:rPr>
              <w:t>进行毒性浸出与浸出液测定分析。</w:t>
            </w:r>
          </w:p>
        </w:tc>
      </w:tr>
      <w:tr w:rsidR="00240BCE">
        <w:trPr>
          <w:trHeight w:val="1381"/>
          <w:jc w:val="center"/>
        </w:trPr>
        <w:tc>
          <w:tcPr>
            <w:tcW w:w="499" w:type="dxa"/>
            <w:vMerge/>
            <w:tcBorders>
              <w:top w:val="nil"/>
              <w:left w:val="single" w:sz="4" w:space="0" w:color="auto"/>
              <w:bottom w:val="single" w:sz="4" w:space="0" w:color="auto"/>
              <w:right w:val="single" w:sz="4" w:space="0" w:color="auto"/>
            </w:tcBorders>
            <w:vAlign w:val="center"/>
          </w:tcPr>
          <w:p w:rsidR="00240BCE" w:rsidRDefault="00240BCE">
            <w:pPr>
              <w:widowControl/>
              <w:jc w:val="left"/>
              <w:rPr>
                <w:kern w:val="0"/>
                <w:sz w:val="21"/>
                <w:szCs w:val="21"/>
              </w:rPr>
            </w:pPr>
          </w:p>
        </w:tc>
        <w:tc>
          <w:tcPr>
            <w:tcW w:w="412" w:type="dxa"/>
            <w:tcBorders>
              <w:top w:val="single" w:sz="4" w:space="0" w:color="auto"/>
              <w:left w:val="nil"/>
              <w:bottom w:val="single" w:sz="4" w:space="0" w:color="auto"/>
              <w:right w:val="single" w:sz="4" w:space="0" w:color="auto"/>
            </w:tcBorders>
            <w:noWrap/>
            <w:vAlign w:val="center"/>
          </w:tcPr>
          <w:p w:rsidR="00240BCE" w:rsidRDefault="00AC0334">
            <w:pPr>
              <w:spacing w:line="360" w:lineRule="exact"/>
              <w:jc w:val="center"/>
              <w:rPr>
                <w:kern w:val="0"/>
                <w:sz w:val="21"/>
                <w:szCs w:val="21"/>
              </w:rPr>
            </w:pPr>
            <w:r>
              <w:rPr>
                <w:kern w:val="0"/>
                <w:sz w:val="21"/>
                <w:szCs w:val="21"/>
              </w:rPr>
              <w:t>2#</w:t>
            </w:r>
          </w:p>
        </w:tc>
        <w:tc>
          <w:tcPr>
            <w:tcW w:w="1161" w:type="dxa"/>
            <w:tcBorders>
              <w:top w:val="single" w:sz="4" w:space="0" w:color="auto"/>
              <w:left w:val="nil"/>
              <w:bottom w:val="single" w:sz="4" w:space="0" w:color="auto"/>
              <w:right w:val="single" w:sz="4" w:space="0" w:color="auto"/>
            </w:tcBorders>
            <w:vAlign w:val="center"/>
          </w:tcPr>
          <w:p w:rsidR="00240BCE" w:rsidRDefault="00AC0334">
            <w:pPr>
              <w:widowControl/>
              <w:spacing w:line="300" w:lineRule="exact"/>
              <w:jc w:val="center"/>
              <w:rPr>
                <w:color w:val="000000"/>
                <w:kern w:val="0"/>
                <w:sz w:val="21"/>
                <w:szCs w:val="21"/>
              </w:rPr>
            </w:pPr>
            <w:r>
              <w:rPr>
                <w:color w:val="000000"/>
                <w:kern w:val="0"/>
                <w:sz w:val="21"/>
                <w:szCs w:val="21"/>
              </w:rPr>
              <w:t>矸石周转场（下游）东</w:t>
            </w:r>
            <w:r>
              <w:rPr>
                <w:color w:val="000000"/>
                <w:kern w:val="0"/>
                <w:sz w:val="21"/>
                <w:szCs w:val="21"/>
              </w:rPr>
              <w:t>50m</w:t>
            </w:r>
            <w:r>
              <w:rPr>
                <w:color w:val="000000"/>
                <w:kern w:val="0"/>
                <w:sz w:val="21"/>
                <w:szCs w:val="21"/>
              </w:rPr>
              <w:t>土壤表层</w:t>
            </w:r>
          </w:p>
        </w:tc>
        <w:tc>
          <w:tcPr>
            <w:tcW w:w="1056" w:type="dxa"/>
            <w:tcBorders>
              <w:top w:val="single" w:sz="4" w:space="0" w:color="auto"/>
              <w:left w:val="nil"/>
              <w:bottom w:val="single" w:sz="4" w:space="0" w:color="auto"/>
              <w:right w:val="single" w:sz="4" w:space="0" w:color="auto"/>
            </w:tcBorders>
            <w:vAlign w:val="center"/>
          </w:tcPr>
          <w:p w:rsidR="00240BCE" w:rsidRDefault="00AC0334">
            <w:pPr>
              <w:widowControl/>
              <w:spacing w:line="340" w:lineRule="exact"/>
              <w:jc w:val="center"/>
              <w:rPr>
                <w:kern w:val="0"/>
                <w:sz w:val="21"/>
                <w:szCs w:val="21"/>
              </w:rPr>
            </w:pPr>
            <w:r>
              <w:rPr>
                <w:spacing w:val="2"/>
                <w:sz w:val="21"/>
                <w:szCs w:val="21"/>
              </w:rPr>
              <w:t>现状值（浸溶试验）</w:t>
            </w:r>
          </w:p>
        </w:tc>
        <w:tc>
          <w:tcPr>
            <w:tcW w:w="1944" w:type="dxa"/>
            <w:vMerge/>
            <w:tcBorders>
              <w:top w:val="nil"/>
              <w:left w:val="nil"/>
              <w:bottom w:val="single" w:sz="4" w:space="0" w:color="auto"/>
              <w:right w:val="single" w:sz="4" w:space="0" w:color="auto"/>
            </w:tcBorders>
            <w:vAlign w:val="center"/>
          </w:tcPr>
          <w:p w:rsidR="00240BCE" w:rsidRDefault="00240BCE">
            <w:pPr>
              <w:widowControl/>
              <w:jc w:val="left"/>
              <w:rPr>
                <w:kern w:val="0"/>
                <w:sz w:val="21"/>
                <w:szCs w:val="21"/>
              </w:rPr>
            </w:pPr>
          </w:p>
        </w:tc>
        <w:tc>
          <w:tcPr>
            <w:tcW w:w="4106" w:type="dxa"/>
            <w:gridSpan w:val="2"/>
            <w:vMerge/>
            <w:tcBorders>
              <w:top w:val="nil"/>
              <w:left w:val="nil"/>
              <w:bottom w:val="single" w:sz="4" w:space="0" w:color="auto"/>
              <w:right w:val="single" w:sz="4" w:space="0" w:color="auto"/>
            </w:tcBorders>
            <w:vAlign w:val="center"/>
          </w:tcPr>
          <w:p w:rsidR="00240BCE" w:rsidRDefault="00240BCE">
            <w:pPr>
              <w:widowControl/>
              <w:jc w:val="left"/>
              <w:rPr>
                <w:kern w:val="0"/>
                <w:sz w:val="21"/>
                <w:szCs w:val="21"/>
              </w:rPr>
            </w:pPr>
          </w:p>
        </w:tc>
      </w:tr>
    </w:tbl>
    <w:p w:rsidR="00240BCE" w:rsidRDefault="00AC0334">
      <w:pPr>
        <w:spacing w:line="520" w:lineRule="exact"/>
        <w:jc w:val="center"/>
        <w:rPr>
          <w:sz w:val="24"/>
        </w:rPr>
      </w:pPr>
      <w:r>
        <w:rPr>
          <w:rFonts w:eastAsia="黑体"/>
          <w:sz w:val="24"/>
        </w:rPr>
        <w:t>表</w:t>
      </w:r>
      <w:r>
        <w:rPr>
          <w:rFonts w:eastAsia="黑体"/>
          <w:sz w:val="24"/>
        </w:rPr>
        <w:t xml:space="preserve">4.3-9  </w:t>
      </w:r>
      <w:r>
        <w:rPr>
          <w:rFonts w:eastAsia="黑体"/>
          <w:sz w:val="24"/>
        </w:rPr>
        <w:t>包气带检测结果表</w:t>
      </w:r>
      <w:r>
        <w:rPr>
          <w:sz w:val="21"/>
          <w:szCs w:val="21"/>
        </w:rPr>
        <w:t>（</w:t>
      </w:r>
      <w:r>
        <w:rPr>
          <w:rFonts w:eastAsia="黑体"/>
          <w:kern w:val="24"/>
          <w:sz w:val="21"/>
          <w:szCs w:val="21"/>
          <w:lang w:val="de-DE"/>
        </w:rPr>
        <w:t>单位：</w:t>
      </w:r>
      <w:r>
        <w:rPr>
          <w:rFonts w:eastAsia="黑体"/>
          <w:kern w:val="24"/>
          <w:sz w:val="21"/>
          <w:szCs w:val="21"/>
          <w:lang w:val="de-DE"/>
        </w:rPr>
        <w:t>mg/L</w:t>
      </w:r>
      <w:r>
        <w:rPr>
          <w:rFonts w:eastAsia="黑体"/>
          <w:kern w:val="24"/>
          <w:sz w:val="21"/>
          <w:szCs w:val="21"/>
          <w:lang w:val="de-DE"/>
        </w:rPr>
        <w:t>（</w:t>
      </w:r>
      <w:r>
        <w:rPr>
          <w:rFonts w:eastAsia="黑体"/>
          <w:kern w:val="24"/>
          <w:sz w:val="21"/>
          <w:szCs w:val="21"/>
          <w:lang w:val="de-DE"/>
        </w:rPr>
        <w:t>pH</w:t>
      </w:r>
      <w:r>
        <w:rPr>
          <w:rFonts w:eastAsia="黑体"/>
          <w:kern w:val="24"/>
          <w:sz w:val="21"/>
          <w:szCs w:val="21"/>
          <w:lang w:val="de-DE"/>
        </w:rPr>
        <w:t>除外）</w:t>
      </w:r>
      <w:r>
        <w:rPr>
          <w:sz w:val="21"/>
          <w:szCs w:val="21"/>
        </w:rPr>
        <w:t>）</w:t>
      </w:r>
    </w:p>
    <w:tbl>
      <w:tblPr>
        <w:tblW w:w="50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7"/>
        <w:gridCol w:w="849"/>
        <w:gridCol w:w="2274"/>
        <w:gridCol w:w="2278"/>
        <w:gridCol w:w="2590"/>
      </w:tblGrid>
      <w:tr w:rsidR="00240BCE">
        <w:trPr>
          <w:trHeight w:val="345"/>
        </w:trPr>
        <w:tc>
          <w:tcPr>
            <w:tcW w:w="555" w:type="pct"/>
            <w:vMerge w:val="restart"/>
            <w:vAlign w:val="center"/>
          </w:tcPr>
          <w:p w:rsidR="00240BCE" w:rsidRDefault="00AC0334">
            <w:pPr>
              <w:ind w:right="-108"/>
              <w:jc w:val="center"/>
              <w:rPr>
                <w:bCs/>
                <w:sz w:val="21"/>
                <w:szCs w:val="21"/>
              </w:rPr>
            </w:pPr>
            <w:r>
              <w:rPr>
                <w:bCs/>
                <w:sz w:val="21"/>
                <w:szCs w:val="21"/>
              </w:rPr>
              <w:t>检测因子</w:t>
            </w:r>
          </w:p>
        </w:tc>
        <w:tc>
          <w:tcPr>
            <w:tcW w:w="473" w:type="pct"/>
            <w:vMerge w:val="restart"/>
            <w:vAlign w:val="center"/>
          </w:tcPr>
          <w:p w:rsidR="00240BCE" w:rsidRDefault="00AC0334">
            <w:pPr>
              <w:ind w:right="-108"/>
              <w:jc w:val="center"/>
              <w:rPr>
                <w:bCs/>
                <w:sz w:val="21"/>
                <w:szCs w:val="21"/>
              </w:rPr>
            </w:pPr>
            <w:r>
              <w:rPr>
                <w:bCs/>
                <w:sz w:val="21"/>
                <w:szCs w:val="21"/>
              </w:rPr>
              <w:t>单位</w:t>
            </w:r>
          </w:p>
        </w:tc>
        <w:tc>
          <w:tcPr>
            <w:tcW w:w="2530" w:type="pct"/>
            <w:gridSpan w:val="2"/>
            <w:vAlign w:val="center"/>
          </w:tcPr>
          <w:p w:rsidR="00240BCE" w:rsidRDefault="00AC0334">
            <w:pPr>
              <w:adjustRightInd w:val="0"/>
              <w:snapToGrid w:val="0"/>
              <w:jc w:val="center"/>
              <w:rPr>
                <w:sz w:val="21"/>
                <w:szCs w:val="21"/>
              </w:rPr>
            </w:pPr>
            <w:r>
              <w:rPr>
                <w:sz w:val="21"/>
                <w:szCs w:val="21"/>
              </w:rPr>
              <w:t>检测结果</w:t>
            </w:r>
          </w:p>
        </w:tc>
        <w:tc>
          <w:tcPr>
            <w:tcW w:w="1440" w:type="pct"/>
            <w:vMerge w:val="restart"/>
            <w:vAlign w:val="center"/>
          </w:tcPr>
          <w:p w:rsidR="00240BCE" w:rsidRDefault="00AC0334">
            <w:pPr>
              <w:adjustRightInd w:val="0"/>
              <w:snapToGrid w:val="0"/>
              <w:jc w:val="center"/>
              <w:rPr>
                <w:sz w:val="21"/>
                <w:szCs w:val="21"/>
              </w:rPr>
            </w:pPr>
            <w:r>
              <w:rPr>
                <w:sz w:val="21"/>
                <w:szCs w:val="21"/>
              </w:rPr>
              <w:t>GB8978-1996</w:t>
            </w:r>
            <w:r>
              <w:rPr>
                <w:sz w:val="21"/>
                <w:szCs w:val="21"/>
              </w:rPr>
              <w:t>最高允许排放浓度</w:t>
            </w:r>
          </w:p>
        </w:tc>
      </w:tr>
      <w:tr w:rsidR="00240BCE">
        <w:trPr>
          <w:trHeight w:val="345"/>
        </w:trPr>
        <w:tc>
          <w:tcPr>
            <w:tcW w:w="555" w:type="pct"/>
            <w:vMerge/>
            <w:vAlign w:val="center"/>
          </w:tcPr>
          <w:p w:rsidR="00240BCE" w:rsidRDefault="00240BCE">
            <w:pPr>
              <w:ind w:right="-108"/>
              <w:jc w:val="center"/>
              <w:rPr>
                <w:bCs/>
                <w:sz w:val="21"/>
                <w:szCs w:val="21"/>
              </w:rPr>
            </w:pPr>
          </w:p>
        </w:tc>
        <w:tc>
          <w:tcPr>
            <w:tcW w:w="473" w:type="pct"/>
            <w:vMerge/>
            <w:vAlign w:val="center"/>
          </w:tcPr>
          <w:p w:rsidR="00240BCE" w:rsidRDefault="00240BCE">
            <w:pPr>
              <w:ind w:right="-108"/>
              <w:jc w:val="center"/>
              <w:rPr>
                <w:bCs/>
                <w:sz w:val="21"/>
                <w:szCs w:val="21"/>
              </w:rPr>
            </w:pPr>
          </w:p>
        </w:tc>
        <w:tc>
          <w:tcPr>
            <w:tcW w:w="1264" w:type="pct"/>
            <w:vAlign w:val="center"/>
          </w:tcPr>
          <w:p w:rsidR="00240BCE" w:rsidRDefault="00AC0334">
            <w:pPr>
              <w:adjustRightInd w:val="0"/>
              <w:snapToGrid w:val="0"/>
              <w:jc w:val="center"/>
              <w:rPr>
                <w:sz w:val="21"/>
                <w:szCs w:val="21"/>
              </w:rPr>
            </w:pPr>
            <w:r>
              <w:rPr>
                <w:sz w:val="21"/>
                <w:szCs w:val="21"/>
              </w:rPr>
              <w:t>1#</w:t>
            </w:r>
            <w:r>
              <w:rPr>
                <w:sz w:val="21"/>
                <w:szCs w:val="21"/>
              </w:rPr>
              <w:t>（矸石周转场上游）</w:t>
            </w:r>
          </w:p>
        </w:tc>
        <w:tc>
          <w:tcPr>
            <w:tcW w:w="1265" w:type="pct"/>
            <w:vAlign w:val="center"/>
          </w:tcPr>
          <w:p w:rsidR="00240BCE" w:rsidRDefault="00AC0334">
            <w:pPr>
              <w:adjustRightInd w:val="0"/>
              <w:snapToGrid w:val="0"/>
              <w:jc w:val="center"/>
              <w:rPr>
                <w:sz w:val="21"/>
                <w:szCs w:val="21"/>
              </w:rPr>
            </w:pPr>
            <w:r>
              <w:rPr>
                <w:sz w:val="21"/>
                <w:szCs w:val="21"/>
              </w:rPr>
              <w:t>2#</w:t>
            </w:r>
            <w:r>
              <w:rPr>
                <w:sz w:val="21"/>
                <w:szCs w:val="21"/>
              </w:rPr>
              <w:t>（矸石周转场下游）</w:t>
            </w:r>
          </w:p>
        </w:tc>
        <w:tc>
          <w:tcPr>
            <w:tcW w:w="1440" w:type="pct"/>
            <w:vMerge/>
            <w:vAlign w:val="center"/>
          </w:tcPr>
          <w:p w:rsidR="00240BCE" w:rsidRDefault="00240BCE">
            <w:pPr>
              <w:adjustRightInd w:val="0"/>
              <w:snapToGrid w:val="0"/>
              <w:jc w:val="center"/>
              <w:rPr>
                <w:sz w:val="21"/>
                <w:szCs w:val="21"/>
              </w:rPr>
            </w:pPr>
          </w:p>
        </w:tc>
      </w:tr>
      <w:tr w:rsidR="00240BCE">
        <w:trPr>
          <w:trHeight w:val="345"/>
        </w:trPr>
        <w:tc>
          <w:tcPr>
            <w:tcW w:w="555" w:type="pct"/>
            <w:vAlign w:val="center"/>
          </w:tcPr>
          <w:p w:rsidR="00240BCE" w:rsidRDefault="00AC0334">
            <w:pPr>
              <w:jc w:val="center"/>
              <w:textAlignment w:val="center"/>
              <w:rPr>
                <w:bCs/>
                <w:sz w:val="21"/>
                <w:szCs w:val="21"/>
              </w:rPr>
            </w:pPr>
            <w:r>
              <w:rPr>
                <w:bCs/>
                <w:sz w:val="21"/>
                <w:szCs w:val="21"/>
              </w:rPr>
              <w:t>pH</w:t>
            </w:r>
            <w:r>
              <w:rPr>
                <w:bCs/>
                <w:sz w:val="21"/>
                <w:szCs w:val="21"/>
              </w:rPr>
              <w:t>值</w:t>
            </w:r>
          </w:p>
        </w:tc>
        <w:tc>
          <w:tcPr>
            <w:tcW w:w="473" w:type="pct"/>
            <w:vAlign w:val="center"/>
          </w:tcPr>
          <w:p w:rsidR="00240BCE" w:rsidRDefault="00AC0334">
            <w:pPr>
              <w:jc w:val="center"/>
              <w:textAlignment w:val="center"/>
              <w:rPr>
                <w:sz w:val="21"/>
                <w:szCs w:val="21"/>
              </w:rPr>
            </w:pPr>
            <w:r>
              <w:rPr>
                <w:sz w:val="21"/>
                <w:szCs w:val="21"/>
              </w:rPr>
              <w:t>无量纲</w:t>
            </w:r>
          </w:p>
        </w:tc>
        <w:tc>
          <w:tcPr>
            <w:tcW w:w="1264" w:type="pct"/>
            <w:vAlign w:val="center"/>
          </w:tcPr>
          <w:p w:rsidR="00240BCE" w:rsidRDefault="00AC0334">
            <w:pPr>
              <w:jc w:val="center"/>
              <w:rPr>
                <w:sz w:val="21"/>
                <w:szCs w:val="21"/>
              </w:rPr>
            </w:pPr>
            <w:r>
              <w:rPr>
                <w:sz w:val="21"/>
                <w:szCs w:val="21"/>
              </w:rPr>
              <w:t>8.23</w:t>
            </w:r>
          </w:p>
        </w:tc>
        <w:tc>
          <w:tcPr>
            <w:tcW w:w="1265" w:type="pct"/>
            <w:vAlign w:val="center"/>
          </w:tcPr>
          <w:p w:rsidR="00240BCE" w:rsidRDefault="00AC0334">
            <w:pPr>
              <w:jc w:val="center"/>
              <w:rPr>
                <w:sz w:val="21"/>
                <w:szCs w:val="21"/>
              </w:rPr>
            </w:pPr>
            <w:r>
              <w:rPr>
                <w:sz w:val="21"/>
                <w:szCs w:val="21"/>
              </w:rPr>
              <w:t>7.90</w:t>
            </w:r>
          </w:p>
        </w:tc>
        <w:tc>
          <w:tcPr>
            <w:tcW w:w="1440" w:type="pct"/>
            <w:vAlign w:val="center"/>
          </w:tcPr>
          <w:p w:rsidR="00240BCE" w:rsidRDefault="00AC0334">
            <w:pPr>
              <w:adjustRightInd w:val="0"/>
              <w:snapToGrid w:val="0"/>
              <w:jc w:val="center"/>
              <w:rPr>
                <w:sz w:val="21"/>
                <w:szCs w:val="21"/>
              </w:rPr>
            </w:pPr>
            <w:r>
              <w:rPr>
                <w:sz w:val="21"/>
                <w:szCs w:val="21"/>
              </w:rPr>
              <w:t>6~9</w:t>
            </w:r>
          </w:p>
        </w:tc>
      </w:tr>
      <w:tr w:rsidR="00240BCE">
        <w:trPr>
          <w:trHeight w:val="345"/>
        </w:trPr>
        <w:tc>
          <w:tcPr>
            <w:tcW w:w="555" w:type="pct"/>
            <w:vAlign w:val="center"/>
          </w:tcPr>
          <w:p w:rsidR="00240BCE" w:rsidRDefault="00AC0334">
            <w:pPr>
              <w:widowControl/>
              <w:jc w:val="center"/>
              <w:textAlignment w:val="center"/>
              <w:rPr>
                <w:bCs/>
                <w:sz w:val="21"/>
                <w:szCs w:val="21"/>
              </w:rPr>
            </w:pPr>
            <w:r>
              <w:rPr>
                <w:bCs/>
                <w:sz w:val="21"/>
                <w:szCs w:val="21"/>
              </w:rPr>
              <w:t>氟化物</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z w:val="21"/>
                <w:szCs w:val="21"/>
              </w:rPr>
            </w:pPr>
            <w:r>
              <w:rPr>
                <w:sz w:val="21"/>
                <w:szCs w:val="21"/>
              </w:rPr>
              <w:t>0.38</w:t>
            </w:r>
          </w:p>
        </w:tc>
        <w:tc>
          <w:tcPr>
            <w:tcW w:w="1265" w:type="pct"/>
            <w:vAlign w:val="center"/>
          </w:tcPr>
          <w:p w:rsidR="00240BCE" w:rsidRDefault="00AC0334">
            <w:pPr>
              <w:jc w:val="center"/>
              <w:rPr>
                <w:sz w:val="21"/>
                <w:szCs w:val="21"/>
              </w:rPr>
            </w:pPr>
            <w:r>
              <w:rPr>
                <w:sz w:val="21"/>
                <w:szCs w:val="21"/>
              </w:rPr>
              <w:t>0.44</w:t>
            </w:r>
          </w:p>
        </w:tc>
        <w:tc>
          <w:tcPr>
            <w:tcW w:w="1440" w:type="pct"/>
            <w:vAlign w:val="center"/>
          </w:tcPr>
          <w:p w:rsidR="00240BCE" w:rsidRDefault="00AC0334">
            <w:pPr>
              <w:widowControl/>
              <w:jc w:val="center"/>
              <w:textAlignment w:val="center"/>
              <w:rPr>
                <w:kern w:val="0"/>
                <w:sz w:val="21"/>
                <w:szCs w:val="21"/>
              </w:rPr>
            </w:pPr>
            <w:r>
              <w:rPr>
                <w:kern w:val="0"/>
                <w:sz w:val="21"/>
                <w:szCs w:val="21"/>
              </w:rPr>
              <w:t>10</w:t>
            </w:r>
          </w:p>
        </w:tc>
      </w:tr>
      <w:tr w:rsidR="00240BCE">
        <w:trPr>
          <w:trHeight w:val="345"/>
        </w:trPr>
        <w:tc>
          <w:tcPr>
            <w:tcW w:w="555" w:type="pct"/>
            <w:vAlign w:val="center"/>
          </w:tcPr>
          <w:p w:rsidR="00240BCE" w:rsidRDefault="00AC0334">
            <w:pPr>
              <w:widowControl/>
              <w:jc w:val="center"/>
              <w:textAlignment w:val="center"/>
              <w:rPr>
                <w:bCs/>
                <w:sz w:val="21"/>
                <w:szCs w:val="21"/>
              </w:rPr>
            </w:pPr>
            <w:r>
              <w:rPr>
                <w:bCs/>
                <w:sz w:val="21"/>
                <w:szCs w:val="21"/>
              </w:rPr>
              <w:t>铬</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pacing w:val="4"/>
                <w:sz w:val="21"/>
                <w:szCs w:val="21"/>
              </w:rPr>
            </w:pPr>
            <w:r>
              <w:rPr>
                <w:spacing w:val="4"/>
                <w:sz w:val="21"/>
                <w:szCs w:val="21"/>
              </w:rPr>
              <w:t>0.08</w:t>
            </w:r>
          </w:p>
        </w:tc>
        <w:tc>
          <w:tcPr>
            <w:tcW w:w="1265" w:type="pct"/>
            <w:vAlign w:val="center"/>
          </w:tcPr>
          <w:p w:rsidR="00240BCE" w:rsidRDefault="00AC0334">
            <w:pPr>
              <w:jc w:val="center"/>
              <w:rPr>
                <w:spacing w:val="4"/>
                <w:sz w:val="21"/>
                <w:szCs w:val="21"/>
              </w:rPr>
            </w:pPr>
            <w:r>
              <w:rPr>
                <w:spacing w:val="4"/>
                <w:sz w:val="21"/>
                <w:szCs w:val="21"/>
              </w:rPr>
              <w:t>0.11</w:t>
            </w:r>
          </w:p>
        </w:tc>
        <w:tc>
          <w:tcPr>
            <w:tcW w:w="1440" w:type="pct"/>
            <w:vAlign w:val="center"/>
          </w:tcPr>
          <w:p w:rsidR="00240BCE" w:rsidRDefault="00AC0334">
            <w:pPr>
              <w:snapToGrid w:val="0"/>
              <w:jc w:val="center"/>
              <w:rPr>
                <w:sz w:val="21"/>
                <w:szCs w:val="21"/>
              </w:rPr>
            </w:pPr>
            <w:r>
              <w:rPr>
                <w:sz w:val="21"/>
                <w:szCs w:val="21"/>
              </w:rPr>
              <w:t>1.5</w:t>
            </w:r>
          </w:p>
        </w:tc>
      </w:tr>
      <w:tr w:rsidR="00240BCE">
        <w:trPr>
          <w:trHeight w:val="345"/>
        </w:trPr>
        <w:tc>
          <w:tcPr>
            <w:tcW w:w="555" w:type="pct"/>
            <w:vAlign w:val="center"/>
          </w:tcPr>
          <w:p w:rsidR="00240BCE" w:rsidRDefault="00AC0334">
            <w:pPr>
              <w:widowControl/>
              <w:jc w:val="center"/>
              <w:textAlignment w:val="center"/>
              <w:rPr>
                <w:bCs/>
                <w:sz w:val="21"/>
                <w:szCs w:val="21"/>
              </w:rPr>
            </w:pPr>
            <w:r>
              <w:rPr>
                <w:bCs/>
                <w:sz w:val="21"/>
                <w:szCs w:val="21"/>
              </w:rPr>
              <w:t>六价铬</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pacing w:val="4"/>
                <w:sz w:val="21"/>
                <w:szCs w:val="21"/>
              </w:rPr>
            </w:pPr>
            <w:r>
              <w:rPr>
                <w:spacing w:val="4"/>
                <w:sz w:val="21"/>
                <w:szCs w:val="21"/>
              </w:rPr>
              <w:t>未检出</w:t>
            </w:r>
          </w:p>
        </w:tc>
        <w:tc>
          <w:tcPr>
            <w:tcW w:w="1265" w:type="pct"/>
            <w:vAlign w:val="center"/>
          </w:tcPr>
          <w:p w:rsidR="00240BCE" w:rsidRDefault="00AC0334">
            <w:pPr>
              <w:jc w:val="center"/>
              <w:rPr>
                <w:spacing w:val="4"/>
                <w:sz w:val="21"/>
                <w:szCs w:val="21"/>
              </w:rPr>
            </w:pPr>
            <w:r>
              <w:rPr>
                <w:spacing w:val="4"/>
                <w:sz w:val="21"/>
                <w:szCs w:val="21"/>
              </w:rPr>
              <w:t>未检出</w:t>
            </w:r>
          </w:p>
        </w:tc>
        <w:tc>
          <w:tcPr>
            <w:tcW w:w="1440" w:type="pct"/>
            <w:vAlign w:val="center"/>
          </w:tcPr>
          <w:p w:rsidR="00240BCE" w:rsidRDefault="00AC0334">
            <w:pPr>
              <w:widowControl/>
              <w:jc w:val="center"/>
              <w:textAlignment w:val="center"/>
              <w:rPr>
                <w:kern w:val="0"/>
                <w:sz w:val="21"/>
                <w:szCs w:val="21"/>
              </w:rPr>
            </w:pPr>
            <w:r>
              <w:rPr>
                <w:kern w:val="0"/>
                <w:sz w:val="21"/>
                <w:szCs w:val="21"/>
              </w:rPr>
              <w:t>0.5</w:t>
            </w:r>
          </w:p>
        </w:tc>
      </w:tr>
      <w:tr w:rsidR="00240BCE">
        <w:trPr>
          <w:trHeight w:val="345"/>
        </w:trPr>
        <w:tc>
          <w:tcPr>
            <w:tcW w:w="555" w:type="pct"/>
            <w:vAlign w:val="center"/>
          </w:tcPr>
          <w:p w:rsidR="00240BCE" w:rsidRDefault="00AC0334">
            <w:pPr>
              <w:widowControl/>
              <w:jc w:val="center"/>
              <w:textAlignment w:val="center"/>
              <w:rPr>
                <w:bCs/>
                <w:sz w:val="21"/>
                <w:szCs w:val="21"/>
              </w:rPr>
            </w:pPr>
            <w:r>
              <w:rPr>
                <w:bCs/>
                <w:sz w:val="21"/>
                <w:szCs w:val="21"/>
              </w:rPr>
              <w:t>铅</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pacing w:val="4"/>
                <w:sz w:val="21"/>
                <w:szCs w:val="21"/>
              </w:rPr>
            </w:pPr>
            <w:r>
              <w:rPr>
                <w:spacing w:val="4"/>
                <w:sz w:val="21"/>
                <w:szCs w:val="21"/>
              </w:rPr>
              <w:t>未检出</w:t>
            </w:r>
          </w:p>
        </w:tc>
        <w:tc>
          <w:tcPr>
            <w:tcW w:w="1265" w:type="pct"/>
            <w:vAlign w:val="center"/>
          </w:tcPr>
          <w:p w:rsidR="00240BCE" w:rsidRDefault="00AC0334">
            <w:pPr>
              <w:jc w:val="center"/>
              <w:rPr>
                <w:spacing w:val="4"/>
                <w:sz w:val="21"/>
                <w:szCs w:val="21"/>
              </w:rPr>
            </w:pPr>
            <w:r>
              <w:rPr>
                <w:spacing w:val="4"/>
                <w:sz w:val="21"/>
                <w:szCs w:val="21"/>
              </w:rPr>
              <w:t>未检出</w:t>
            </w:r>
          </w:p>
        </w:tc>
        <w:tc>
          <w:tcPr>
            <w:tcW w:w="1440" w:type="pct"/>
            <w:vAlign w:val="center"/>
          </w:tcPr>
          <w:p w:rsidR="00240BCE" w:rsidRDefault="00AC0334">
            <w:pPr>
              <w:snapToGrid w:val="0"/>
              <w:jc w:val="center"/>
              <w:rPr>
                <w:sz w:val="21"/>
                <w:szCs w:val="21"/>
              </w:rPr>
            </w:pPr>
            <w:r>
              <w:rPr>
                <w:sz w:val="21"/>
                <w:szCs w:val="21"/>
              </w:rPr>
              <w:t>1.0</w:t>
            </w:r>
          </w:p>
        </w:tc>
      </w:tr>
      <w:tr w:rsidR="00240BCE">
        <w:trPr>
          <w:trHeight w:val="345"/>
        </w:trPr>
        <w:tc>
          <w:tcPr>
            <w:tcW w:w="555" w:type="pct"/>
            <w:vAlign w:val="center"/>
          </w:tcPr>
          <w:p w:rsidR="00240BCE" w:rsidRDefault="00AC0334">
            <w:pPr>
              <w:widowControl/>
              <w:jc w:val="center"/>
              <w:textAlignment w:val="center"/>
              <w:rPr>
                <w:bCs/>
                <w:sz w:val="21"/>
                <w:szCs w:val="21"/>
              </w:rPr>
            </w:pPr>
            <w:r>
              <w:rPr>
                <w:bCs/>
                <w:sz w:val="21"/>
                <w:szCs w:val="21"/>
              </w:rPr>
              <w:t>铜</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pacing w:val="4"/>
                <w:sz w:val="21"/>
                <w:szCs w:val="21"/>
              </w:rPr>
            </w:pPr>
            <w:r>
              <w:rPr>
                <w:spacing w:val="4"/>
                <w:sz w:val="21"/>
                <w:szCs w:val="21"/>
              </w:rPr>
              <w:t>未检出</w:t>
            </w:r>
          </w:p>
        </w:tc>
        <w:tc>
          <w:tcPr>
            <w:tcW w:w="1265" w:type="pct"/>
            <w:vAlign w:val="center"/>
          </w:tcPr>
          <w:p w:rsidR="00240BCE" w:rsidRDefault="00AC0334">
            <w:pPr>
              <w:jc w:val="center"/>
              <w:rPr>
                <w:spacing w:val="4"/>
                <w:sz w:val="21"/>
                <w:szCs w:val="21"/>
              </w:rPr>
            </w:pPr>
            <w:r>
              <w:rPr>
                <w:spacing w:val="4"/>
                <w:sz w:val="21"/>
                <w:szCs w:val="21"/>
              </w:rPr>
              <w:t>未检出</w:t>
            </w:r>
          </w:p>
        </w:tc>
        <w:tc>
          <w:tcPr>
            <w:tcW w:w="1440" w:type="pct"/>
            <w:vAlign w:val="center"/>
          </w:tcPr>
          <w:p w:rsidR="00240BCE" w:rsidRDefault="00AC0334">
            <w:pPr>
              <w:widowControl/>
              <w:jc w:val="center"/>
              <w:textAlignment w:val="center"/>
              <w:rPr>
                <w:kern w:val="0"/>
                <w:sz w:val="21"/>
                <w:szCs w:val="21"/>
              </w:rPr>
            </w:pPr>
            <w:r>
              <w:rPr>
                <w:kern w:val="0"/>
                <w:sz w:val="21"/>
                <w:szCs w:val="21"/>
              </w:rPr>
              <w:t>0.5</w:t>
            </w:r>
          </w:p>
        </w:tc>
      </w:tr>
      <w:tr w:rsidR="00240BCE">
        <w:trPr>
          <w:trHeight w:val="345"/>
        </w:trPr>
        <w:tc>
          <w:tcPr>
            <w:tcW w:w="555" w:type="pct"/>
            <w:vAlign w:val="center"/>
          </w:tcPr>
          <w:p w:rsidR="00240BCE" w:rsidRDefault="00AC0334">
            <w:pPr>
              <w:widowControl/>
              <w:jc w:val="center"/>
              <w:textAlignment w:val="center"/>
              <w:rPr>
                <w:bCs/>
                <w:sz w:val="21"/>
                <w:szCs w:val="21"/>
              </w:rPr>
            </w:pPr>
            <w:r>
              <w:rPr>
                <w:bCs/>
                <w:sz w:val="21"/>
                <w:szCs w:val="21"/>
              </w:rPr>
              <w:t>镉</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pacing w:val="4"/>
                <w:sz w:val="21"/>
                <w:szCs w:val="21"/>
              </w:rPr>
            </w:pPr>
            <w:r>
              <w:rPr>
                <w:spacing w:val="4"/>
                <w:sz w:val="21"/>
                <w:szCs w:val="21"/>
              </w:rPr>
              <w:t>未检出</w:t>
            </w:r>
          </w:p>
        </w:tc>
        <w:tc>
          <w:tcPr>
            <w:tcW w:w="1265" w:type="pct"/>
            <w:vAlign w:val="center"/>
          </w:tcPr>
          <w:p w:rsidR="00240BCE" w:rsidRDefault="00AC0334">
            <w:pPr>
              <w:jc w:val="center"/>
              <w:rPr>
                <w:spacing w:val="4"/>
                <w:sz w:val="21"/>
                <w:szCs w:val="21"/>
              </w:rPr>
            </w:pPr>
            <w:r>
              <w:rPr>
                <w:spacing w:val="4"/>
                <w:sz w:val="21"/>
                <w:szCs w:val="21"/>
              </w:rPr>
              <w:t>未检出</w:t>
            </w:r>
          </w:p>
        </w:tc>
        <w:tc>
          <w:tcPr>
            <w:tcW w:w="1440" w:type="pct"/>
            <w:vAlign w:val="center"/>
          </w:tcPr>
          <w:p w:rsidR="00240BCE" w:rsidRDefault="00AC0334">
            <w:pPr>
              <w:snapToGrid w:val="0"/>
              <w:jc w:val="center"/>
              <w:rPr>
                <w:sz w:val="21"/>
                <w:szCs w:val="21"/>
              </w:rPr>
            </w:pPr>
            <w:r>
              <w:rPr>
                <w:sz w:val="21"/>
                <w:szCs w:val="21"/>
              </w:rPr>
              <w:t>0.1</w:t>
            </w:r>
          </w:p>
        </w:tc>
      </w:tr>
      <w:tr w:rsidR="00240BCE">
        <w:trPr>
          <w:trHeight w:val="345"/>
        </w:trPr>
        <w:tc>
          <w:tcPr>
            <w:tcW w:w="555" w:type="pct"/>
            <w:vAlign w:val="center"/>
          </w:tcPr>
          <w:p w:rsidR="00240BCE" w:rsidRDefault="00AC0334">
            <w:pPr>
              <w:jc w:val="center"/>
              <w:textAlignment w:val="center"/>
              <w:rPr>
                <w:bCs/>
                <w:sz w:val="21"/>
                <w:szCs w:val="21"/>
              </w:rPr>
            </w:pPr>
            <w:r>
              <w:rPr>
                <w:bCs/>
                <w:sz w:val="21"/>
                <w:szCs w:val="21"/>
              </w:rPr>
              <w:t>镍</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pacing w:val="4"/>
                <w:sz w:val="21"/>
                <w:szCs w:val="21"/>
              </w:rPr>
            </w:pPr>
            <w:r>
              <w:rPr>
                <w:spacing w:val="4"/>
                <w:sz w:val="21"/>
                <w:szCs w:val="21"/>
              </w:rPr>
              <w:t>未检出</w:t>
            </w:r>
          </w:p>
        </w:tc>
        <w:tc>
          <w:tcPr>
            <w:tcW w:w="1265" w:type="pct"/>
            <w:vAlign w:val="center"/>
          </w:tcPr>
          <w:p w:rsidR="00240BCE" w:rsidRDefault="00AC0334">
            <w:pPr>
              <w:jc w:val="center"/>
              <w:rPr>
                <w:spacing w:val="4"/>
                <w:sz w:val="21"/>
                <w:szCs w:val="21"/>
              </w:rPr>
            </w:pPr>
            <w:r>
              <w:rPr>
                <w:spacing w:val="4"/>
                <w:sz w:val="21"/>
                <w:szCs w:val="21"/>
              </w:rPr>
              <w:t>未检出</w:t>
            </w:r>
          </w:p>
        </w:tc>
        <w:tc>
          <w:tcPr>
            <w:tcW w:w="1440" w:type="pct"/>
            <w:vAlign w:val="center"/>
          </w:tcPr>
          <w:p w:rsidR="00240BCE" w:rsidRDefault="00AC0334">
            <w:pPr>
              <w:adjustRightInd w:val="0"/>
              <w:snapToGrid w:val="0"/>
              <w:jc w:val="center"/>
              <w:rPr>
                <w:sz w:val="21"/>
                <w:szCs w:val="21"/>
              </w:rPr>
            </w:pPr>
            <w:r>
              <w:rPr>
                <w:sz w:val="21"/>
                <w:szCs w:val="21"/>
              </w:rPr>
              <w:t>1.0</w:t>
            </w:r>
          </w:p>
        </w:tc>
      </w:tr>
      <w:tr w:rsidR="00240BCE">
        <w:trPr>
          <w:trHeight w:val="345"/>
        </w:trPr>
        <w:tc>
          <w:tcPr>
            <w:tcW w:w="555" w:type="pct"/>
            <w:vAlign w:val="center"/>
          </w:tcPr>
          <w:p w:rsidR="00240BCE" w:rsidRDefault="00AC0334">
            <w:pPr>
              <w:jc w:val="center"/>
              <w:textAlignment w:val="center"/>
              <w:rPr>
                <w:bCs/>
                <w:sz w:val="21"/>
                <w:szCs w:val="21"/>
              </w:rPr>
            </w:pPr>
            <w:r>
              <w:rPr>
                <w:bCs/>
                <w:sz w:val="21"/>
                <w:szCs w:val="21"/>
              </w:rPr>
              <w:t>锌</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pacing w:val="4"/>
                <w:sz w:val="21"/>
                <w:szCs w:val="21"/>
              </w:rPr>
            </w:pPr>
            <w:r>
              <w:rPr>
                <w:spacing w:val="4"/>
                <w:sz w:val="21"/>
                <w:szCs w:val="21"/>
              </w:rPr>
              <w:t>0.20</w:t>
            </w:r>
          </w:p>
        </w:tc>
        <w:tc>
          <w:tcPr>
            <w:tcW w:w="1265" w:type="pct"/>
            <w:vAlign w:val="center"/>
          </w:tcPr>
          <w:p w:rsidR="00240BCE" w:rsidRDefault="00AC0334">
            <w:pPr>
              <w:jc w:val="center"/>
              <w:rPr>
                <w:spacing w:val="4"/>
                <w:sz w:val="21"/>
                <w:szCs w:val="21"/>
              </w:rPr>
            </w:pPr>
            <w:r>
              <w:rPr>
                <w:spacing w:val="4"/>
                <w:sz w:val="21"/>
                <w:szCs w:val="21"/>
              </w:rPr>
              <w:t>0.33</w:t>
            </w:r>
          </w:p>
        </w:tc>
        <w:tc>
          <w:tcPr>
            <w:tcW w:w="1440" w:type="pct"/>
            <w:vAlign w:val="center"/>
          </w:tcPr>
          <w:p w:rsidR="00240BCE" w:rsidRDefault="00AC0334">
            <w:pPr>
              <w:adjustRightInd w:val="0"/>
              <w:snapToGrid w:val="0"/>
              <w:jc w:val="center"/>
              <w:rPr>
                <w:sz w:val="21"/>
                <w:szCs w:val="21"/>
              </w:rPr>
            </w:pPr>
            <w:r>
              <w:rPr>
                <w:sz w:val="21"/>
                <w:szCs w:val="21"/>
              </w:rPr>
              <w:t>2.0</w:t>
            </w:r>
          </w:p>
        </w:tc>
      </w:tr>
      <w:tr w:rsidR="00240BCE">
        <w:trPr>
          <w:trHeight w:val="345"/>
        </w:trPr>
        <w:tc>
          <w:tcPr>
            <w:tcW w:w="555" w:type="pct"/>
            <w:vAlign w:val="center"/>
          </w:tcPr>
          <w:p w:rsidR="00240BCE" w:rsidRDefault="00AC0334">
            <w:pPr>
              <w:widowControl/>
              <w:jc w:val="center"/>
              <w:textAlignment w:val="center"/>
              <w:rPr>
                <w:bCs/>
                <w:sz w:val="21"/>
                <w:szCs w:val="21"/>
              </w:rPr>
            </w:pPr>
            <w:r>
              <w:rPr>
                <w:bCs/>
                <w:sz w:val="21"/>
                <w:szCs w:val="21"/>
              </w:rPr>
              <w:t>汞</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pacing w:val="4"/>
                <w:sz w:val="21"/>
                <w:szCs w:val="21"/>
              </w:rPr>
            </w:pPr>
            <w:r>
              <w:rPr>
                <w:spacing w:val="4"/>
                <w:sz w:val="21"/>
                <w:szCs w:val="21"/>
              </w:rPr>
              <w:t>0.00016</w:t>
            </w:r>
          </w:p>
        </w:tc>
        <w:tc>
          <w:tcPr>
            <w:tcW w:w="1265" w:type="pct"/>
            <w:vAlign w:val="center"/>
          </w:tcPr>
          <w:p w:rsidR="00240BCE" w:rsidRDefault="00AC0334">
            <w:pPr>
              <w:jc w:val="center"/>
              <w:rPr>
                <w:spacing w:val="4"/>
                <w:sz w:val="21"/>
                <w:szCs w:val="21"/>
              </w:rPr>
            </w:pPr>
            <w:r>
              <w:rPr>
                <w:spacing w:val="4"/>
                <w:sz w:val="21"/>
                <w:szCs w:val="21"/>
              </w:rPr>
              <w:t>0.00030</w:t>
            </w:r>
          </w:p>
        </w:tc>
        <w:tc>
          <w:tcPr>
            <w:tcW w:w="1440" w:type="pct"/>
            <w:vAlign w:val="center"/>
          </w:tcPr>
          <w:p w:rsidR="00240BCE" w:rsidRDefault="00AC0334">
            <w:pPr>
              <w:widowControl/>
              <w:jc w:val="center"/>
              <w:textAlignment w:val="center"/>
              <w:rPr>
                <w:kern w:val="0"/>
                <w:sz w:val="21"/>
                <w:szCs w:val="21"/>
              </w:rPr>
            </w:pPr>
            <w:r>
              <w:rPr>
                <w:kern w:val="0"/>
                <w:sz w:val="21"/>
                <w:szCs w:val="21"/>
              </w:rPr>
              <w:t>0.05</w:t>
            </w:r>
          </w:p>
        </w:tc>
      </w:tr>
      <w:tr w:rsidR="00240BCE">
        <w:trPr>
          <w:trHeight w:val="358"/>
        </w:trPr>
        <w:tc>
          <w:tcPr>
            <w:tcW w:w="555" w:type="pct"/>
            <w:vAlign w:val="center"/>
          </w:tcPr>
          <w:p w:rsidR="00240BCE" w:rsidRDefault="00AC0334">
            <w:pPr>
              <w:jc w:val="center"/>
              <w:textAlignment w:val="center"/>
              <w:rPr>
                <w:bCs/>
                <w:sz w:val="21"/>
                <w:szCs w:val="21"/>
              </w:rPr>
            </w:pPr>
            <w:r>
              <w:rPr>
                <w:bCs/>
                <w:sz w:val="21"/>
                <w:szCs w:val="21"/>
              </w:rPr>
              <w:t>砷</w:t>
            </w:r>
          </w:p>
        </w:tc>
        <w:tc>
          <w:tcPr>
            <w:tcW w:w="473" w:type="pct"/>
            <w:vAlign w:val="center"/>
          </w:tcPr>
          <w:p w:rsidR="00240BCE" w:rsidRDefault="00AC0334">
            <w:pPr>
              <w:jc w:val="center"/>
              <w:textAlignment w:val="center"/>
              <w:rPr>
                <w:sz w:val="21"/>
                <w:szCs w:val="21"/>
              </w:rPr>
            </w:pPr>
            <w:r>
              <w:rPr>
                <w:sz w:val="21"/>
                <w:szCs w:val="21"/>
              </w:rPr>
              <w:t>mg/L</w:t>
            </w:r>
          </w:p>
        </w:tc>
        <w:tc>
          <w:tcPr>
            <w:tcW w:w="1264" w:type="pct"/>
            <w:vAlign w:val="center"/>
          </w:tcPr>
          <w:p w:rsidR="00240BCE" w:rsidRDefault="00AC0334">
            <w:pPr>
              <w:jc w:val="center"/>
              <w:rPr>
                <w:spacing w:val="4"/>
                <w:sz w:val="21"/>
                <w:szCs w:val="21"/>
              </w:rPr>
            </w:pPr>
            <w:r>
              <w:rPr>
                <w:spacing w:val="4"/>
                <w:sz w:val="21"/>
                <w:szCs w:val="21"/>
              </w:rPr>
              <w:t>0.00137</w:t>
            </w:r>
          </w:p>
        </w:tc>
        <w:tc>
          <w:tcPr>
            <w:tcW w:w="1265" w:type="pct"/>
            <w:vAlign w:val="center"/>
          </w:tcPr>
          <w:p w:rsidR="00240BCE" w:rsidRDefault="00AC0334">
            <w:pPr>
              <w:jc w:val="center"/>
              <w:rPr>
                <w:spacing w:val="4"/>
                <w:sz w:val="21"/>
                <w:szCs w:val="21"/>
              </w:rPr>
            </w:pPr>
            <w:r>
              <w:rPr>
                <w:spacing w:val="4"/>
                <w:sz w:val="21"/>
                <w:szCs w:val="21"/>
              </w:rPr>
              <w:t>0.00311</w:t>
            </w:r>
          </w:p>
        </w:tc>
        <w:tc>
          <w:tcPr>
            <w:tcW w:w="1440" w:type="pct"/>
            <w:vAlign w:val="center"/>
          </w:tcPr>
          <w:p w:rsidR="00240BCE" w:rsidRDefault="00AC0334">
            <w:pPr>
              <w:adjustRightInd w:val="0"/>
              <w:snapToGrid w:val="0"/>
              <w:jc w:val="center"/>
              <w:rPr>
                <w:sz w:val="21"/>
                <w:szCs w:val="21"/>
              </w:rPr>
            </w:pPr>
            <w:r>
              <w:rPr>
                <w:sz w:val="21"/>
                <w:szCs w:val="21"/>
              </w:rPr>
              <w:t>0.5</w:t>
            </w:r>
          </w:p>
        </w:tc>
      </w:tr>
    </w:tbl>
    <w:p w:rsidR="00240BCE" w:rsidRDefault="00AC0334">
      <w:pPr>
        <w:spacing w:line="520" w:lineRule="exact"/>
        <w:ind w:firstLineChars="200" w:firstLine="480"/>
      </w:pPr>
      <w:r>
        <w:rPr>
          <w:color w:val="000000"/>
          <w:sz w:val="24"/>
        </w:rPr>
        <w:t>由表</w:t>
      </w:r>
      <w:r>
        <w:rPr>
          <w:color w:val="000000"/>
          <w:sz w:val="24"/>
        </w:rPr>
        <w:t>4.3-9</w:t>
      </w:r>
      <w:r>
        <w:rPr>
          <w:color w:val="000000"/>
          <w:sz w:val="24"/>
        </w:rPr>
        <w:t>知：现有工程的矸石周转场上、下游的包气带污染现状监测中，各项检测因子均能满足《污水综合排放标准》（</w:t>
      </w:r>
      <w:r>
        <w:rPr>
          <w:color w:val="000000"/>
          <w:sz w:val="24"/>
        </w:rPr>
        <w:t>GB8978-1996</w:t>
      </w:r>
      <w:r>
        <w:rPr>
          <w:color w:val="000000"/>
          <w:sz w:val="24"/>
        </w:rPr>
        <w:t>）最高允许排放浓度要求，说明现有工程的矸石周转场附近的包气带未受污染。</w:t>
      </w:r>
    </w:p>
    <w:p w:rsidR="00240BCE" w:rsidRDefault="00AC0334">
      <w:pPr>
        <w:spacing w:line="520" w:lineRule="exact"/>
        <w:rPr>
          <w:rFonts w:eastAsia="楷体"/>
          <w:color w:val="000000"/>
          <w:sz w:val="24"/>
        </w:rPr>
      </w:pPr>
      <w:r>
        <w:rPr>
          <w:rFonts w:eastAsia="楷体"/>
          <w:color w:val="000000"/>
          <w:szCs w:val="28"/>
        </w:rPr>
        <w:t>4.3.3.2</w:t>
      </w:r>
      <w:r>
        <w:rPr>
          <w:rFonts w:eastAsia="楷体"/>
          <w:color w:val="000000"/>
          <w:szCs w:val="28"/>
        </w:rPr>
        <w:t>地下水环境质量现状监测与评价</w:t>
      </w:r>
    </w:p>
    <w:p w:rsidR="00240BCE" w:rsidRDefault="00AC0334">
      <w:pPr>
        <w:spacing w:line="520" w:lineRule="exact"/>
        <w:ind w:firstLineChars="200" w:firstLine="480"/>
        <w:rPr>
          <w:color w:val="000000"/>
          <w:sz w:val="24"/>
        </w:rPr>
      </w:pPr>
      <w:r>
        <w:rPr>
          <w:color w:val="000000"/>
          <w:sz w:val="24"/>
        </w:rPr>
        <w:t>1</w:t>
      </w:r>
      <w:r>
        <w:rPr>
          <w:color w:val="000000"/>
          <w:sz w:val="24"/>
        </w:rPr>
        <w:t>、地下水水质监测点及监测因子</w:t>
      </w:r>
    </w:p>
    <w:p w:rsidR="00240BCE" w:rsidRDefault="00AC0334">
      <w:pPr>
        <w:spacing w:line="520" w:lineRule="exact"/>
        <w:ind w:firstLineChars="200" w:firstLine="480"/>
        <w:rPr>
          <w:sz w:val="24"/>
        </w:rPr>
      </w:pPr>
      <w:r>
        <w:rPr>
          <w:color w:val="000000"/>
          <w:sz w:val="24"/>
        </w:rPr>
        <w:t>本次地下水环境质量现状评价采用河南正捷检测技术有限公司</w:t>
      </w:r>
      <w:r>
        <w:rPr>
          <w:sz w:val="24"/>
        </w:rPr>
        <w:t>于</w:t>
      </w:r>
      <w:r>
        <w:rPr>
          <w:sz w:val="24"/>
        </w:rPr>
        <w:t>2020</w:t>
      </w:r>
      <w:r>
        <w:rPr>
          <w:sz w:val="24"/>
        </w:rPr>
        <w:t>年</w:t>
      </w:r>
      <w:r>
        <w:rPr>
          <w:sz w:val="24"/>
        </w:rPr>
        <w:t>8</w:t>
      </w:r>
      <w:r>
        <w:rPr>
          <w:sz w:val="24"/>
        </w:rPr>
        <w:t>月</w:t>
      </w:r>
      <w:r>
        <w:rPr>
          <w:sz w:val="24"/>
        </w:rPr>
        <w:t>30</w:t>
      </w:r>
      <w:r>
        <w:rPr>
          <w:sz w:val="24"/>
        </w:rPr>
        <w:t>日～</w:t>
      </w:r>
      <w:r>
        <w:rPr>
          <w:sz w:val="24"/>
        </w:rPr>
        <w:t>9</w:t>
      </w:r>
      <w:r>
        <w:rPr>
          <w:sz w:val="24"/>
        </w:rPr>
        <w:t>月</w:t>
      </w:r>
      <w:r>
        <w:rPr>
          <w:sz w:val="24"/>
        </w:rPr>
        <w:t>1</w:t>
      </w:r>
      <w:r>
        <w:rPr>
          <w:sz w:val="24"/>
        </w:rPr>
        <w:t>日进行的监测数据。监测点位及监测因子见表</w:t>
      </w:r>
      <w:r>
        <w:rPr>
          <w:sz w:val="24"/>
        </w:rPr>
        <w:t>4.3-10</w:t>
      </w:r>
      <w:r>
        <w:rPr>
          <w:sz w:val="24"/>
        </w:rPr>
        <w:t>，附图</w:t>
      </w:r>
      <w:r>
        <w:rPr>
          <w:sz w:val="24"/>
        </w:rPr>
        <w:t>10</w:t>
      </w:r>
      <w:r>
        <w:rPr>
          <w:sz w:val="24"/>
        </w:rPr>
        <w:t>。</w:t>
      </w:r>
    </w:p>
    <w:p w:rsidR="00240BCE" w:rsidRDefault="00AC0334">
      <w:pPr>
        <w:spacing w:line="520" w:lineRule="exact"/>
        <w:jc w:val="center"/>
        <w:rPr>
          <w:rFonts w:eastAsia="黑体"/>
          <w:color w:val="000000"/>
          <w:sz w:val="24"/>
        </w:rPr>
      </w:pPr>
      <w:r>
        <w:rPr>
          <w:rFonts w:eastAsia="黑体"/>
          <w:color w:val="000000"/>
          <w:sz w:val="24"/>
        </w:rPr>
        <w:lastRenderedPageBreak/>
        <w:t>表</w:t>
      </w:r>
      <w:r>
        <w:rPr>
          <w:color w:val="000000"/>
          <w:sz w:val="24"/>
        </w:rPr>
        <w:t xml:space="preserve">4.3-10   </w:t>
      </w:r>
      <w:r>
        <w:rPr>
          <w:rFonts w:eastAsia="黑体"/>
          <w:color w:val="000000"/>
          <w:sz w:val="24"/>
        </w:rPr>
        <w:t>地下水监测点及监测因子</w:t>
      </w:r>
    </w:p>
    <w:tbl>
      <w:tblPr>
        <w:tblW w:w="500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4A0"/>
      </w:tblPr>
      <w:tblGrid>
        <w:gridCol w:w="609"/>
        <w:gridCol w:w="1603"/>
        <w:gridCol w:w="2036"/>
        <w:gridCol w:w="3783"/>
        <w:gridCol w:w="985"/>
      </w:tblGrid>
      <w:tr w:rsidR="00240BCE">
        <w:trPr>
          <w:trHeight w:val="477"/>
          <w:jc w:val="center"/>
        </w:trPr>
        <w:tc>
          <w:tcPr>
            <w:tcW w:w="338" w:type="pct"/>
            <w:tcBorders>
              <w:top w:val="single" w:sz="6" w:space="0" w:color="000000"/>
              <w:left w:val="single" w:sz="6" w:space="0" w:color="000000"/>
              <w:bottom w:val="single" w:sz="6" w:space="0" w:color="000000"/>
              <w:right w:val="single" w:sz="6" w:space="0" w:color="000000"/>
            </w:tcBorders>
            <w:vAlign w:val="center"/>
          </w:tcPr>
          <w:p w:rsidR="00240BCE" w:rsidRDefault="00AC0334">
            <w:pPr>
              <w:spacing w:line="340" w:lineRule="exact"/>
              <w:jc w:val="center"/>
              <w:rPr>
                <w:sz w:val="21"/>
                <w:szCs w:val="21"/>
              </w:rPr>
            </w:pPr>
            <w:r>
              <w:rPr>
                <w:sz w:val="21"/>
                <w:szCs w:val="21"/>
              </w:rPr>
              <w:t>序号</w:t>
            </w:r>
          </w:p>
        </w:tc>
        <w:tc>
          <w:tcPr>
            <w:tcW w:w="888" w:type="pct"/>
            <w:tcBorders>
              <w:top w:val="single" w:sz="6" w:space="0" w:color="000000"/>
              <w:left w:val="nil"/>
              <w:bottom w:val="single" w:sz="6" w:space="0" w:color="000000"/>
              <w:right w:val="single" w:sz="6" w:space="0" w:color="000000"/>
            </w:tcBorders>
            <w:vAlign w:val="center"/>
          </w:tcPr>
          <w:p w:rsidR="00240BCE" w:rsidRDefault="00AC0334">
            <w:pPr>
              <w:spacing w:line="340" w:lineRule="exact"/>
              <w:jc w:val="center"/>
              <w:rPr>
                <w:sz w:val="21"/>
                <w:szCs w:val="21"/>
              </w:rPr>
            </w:pPr>
            <w:r>
              <w:rPr>
                <w:sz w:val="21"/>
                <w:szCs w:val="21"/>
              </w:rPr>
              <w:t>监测点</w:t>
            </w:r>
            <w:r>
              <w:rPr>
                <w:sz w:val="21"/>
                <w:szCs w:val="21"/>
              </w:rPr>
              <w:t>/</w:t>
            </w:r>
            <w:r>
              <w:rPr>
                <w:sz w:val="21"/>
                <w:szCs w:val="21"/>
              </w:rPr>
              <w:t>位置</w:t>
            </w:r>
          </w:p>
        </w:tc>
        <w:tc>
          <w:tcPr>
            <w:tcW w:w="1128" w:type="pct"/>
            <w:tcBorders>
              <w:top w:val="single" w:sz="6" w:space="0" w:color="000000"/>
              <w:left w:val="nil"/>
              <w:bottom w:val="single" w:sz="6" w:space="0" w:color="000000"/>
              <w:right w:val="single" w:sz="6" w:space="0" w:color="000000"/>
            </w:tcBorders>
            <w:vAlign w:val="center"/>
          </w:tcPr>
          <w:p w:rsidR="00240BCE" w:rsidRDefault="00AC0334">
            <w:pPr>
              <w:spacing w:line="340" w:lineRule="exact"/>
              <w:jc w:val="center"/>
              <w:rPr>
                <w:sz w:val="21"/>
                <w:szCs w:val="21"/>
              </w:rPr>
            </w:pPr>
            <w:r>
              <w:rPr>
                <w:sz w:val="21"/>
                <w:szCs w:val="21"/>
              </w:rPr>
              <w:t>点位功能</w:t>
            </w:r>
          </w:p>
        </w:tc>
        <w:tc>
          <w:tcPr>
            <w:tcW w:w="2097" w:type="pct"/>
            <w:tcBorders>
              <w:top w:val="single" w:sz="6" w:space="0" w:color="000000"/>
              <w:left w:val="nil"/>
              <w:bottom w:val="single" w:sz="6" w:space="0" w:color="000000"/>
              <w:right w:val="single" w:sz="6" w:space="0" w:color="000000"/>
            </w:tcBorders>
            <w:vAlign w:val="center"/>
          </w:tcPr>
          <w:p w:rsidR="00240BCE" w:rsidRDefault="00AC0334">
            <w:pPr>
              <w:spacing w:line="340" w:lineRule="exact"/>
              <w:jc w:val="center"/>
              <w:rPr>
                <w:sz w:val="21"/>
                <w:szCs w:val="21"/>
              </w:rPr>
            </w:pPr>
            <w:r>
              <w:rPr>
                <w:sz w:val="21"/>
                <w:szCs w:val="21"/>
              </w:rPr>
              <w:t>监测因子和频次</w:t>
            </w:r>
          </w:p>
        </w:tc>
        <w:tc>
          <w:tcPr>
            <w:tcW w:w="546" w:type="pct"/>
            <w:tcBorders>
              <w:top w:val="single" w:sz="6" w:space="0" w:color="000000"/>
              <w:left w:val="single" w:sz="4" w:space="0" w:color="auto"/>
              <w:bottom w:val="single" w:sz="6" w:space="0" w:color="000000"/>
              <w:right w:val="single" w:sz="6" w:space="0" w:color="000000"/>
            </w:tcBorders>
            <w:vAlign w:val="center"/>
          </w:tcPr>
          <w:p w:rsidR="00240BCE" w:rsidRDefault="00AC0334">
            <w:pPr>
              <w:spacing w:line="340" w:lineRule="exact"/>
              <w:jc w:val="center"/>
              <w:rPr>
                <w:sz w:val="21"/>
                <w:szCs w:val="21"/>
              </w:rPr>
            </w:pPr>
            <w:r>
              <w:rPr>
                <w:sz w:val="21"/>
                <w:szCs w:val="21"/>
              </w:rPr>
              <w:t>监测频率</w:t>
            </w:r>
          </w:p>
        </w:tc>
      </w:tr>
      <w:tr w:rsidR="00240BCE">
        <w:trPr>
          <w:trHeight w:val="477"/>
          <w:jc w:val="center"/>
        </w:trPr>
        <w:tc>
          <w:tcPr>
            <w:tcW w:w="338" w:type="pct"/>
            <w:tcBorders>
              <w:top w:val="single" w:sz="6" w:space="0" w:color="000000"/>
              <w:left w:val="single" w:sz="6" w:space="0" w:color="000000"/>
              <w:bottom w:val="single" w:sz="6" w:space="0" w:color="000000"/>
              <w:right w:val="single" w:sz="6" w:space="0" w:color="000000"/>
            </w:tcBorders>
            <w:vAlign w:val="center"/>
          </w:tcPr>
          <w:p w:rsidR="00240BCE" w:rsidRDefault="00AC0334">
            <w:pPr>
              <w:spacing w:line="340" w:lineRule="exact"/>
              <w:jc w:val="center"/>
              <w:rPr>
                <w:sz w:val="21"/>
                <w:szCs w:val="21"/>
              </w:rPr>
            </w:pPr>
            <w:r>
              <w:rPr>
                <w:sz w:val="21"/>
                <w:szCs w:val="21"/>
              </w:rPr>
              <w:t>1#</w:t>
            </w:r>
          </w:p>
        </w:tc>
        <w:tc>
          <w:tcPr>
            <w:tcW w:w="888" w:type="pct"/>
            <w:tcBorders>
              <w:top w:val="single" w:sz="6" w:space="0" w:color="000000"/>
              <w:left w:val="nil"/>
              <w:bottom w:val="single" w:sz="6" w:space="0" w:color="000000"/>
              <w:right w:val="single" w:sz="6" w:space="0" w:color="000000"/>
            </w:tcBorders>
            <w:vAlign w:val="center"/>
          </w:tcPr>
          <w:p w:rsidR="00240BCE" w:rsidRDefault="00AC0334">
            <w:pPr>
              <w:adjustRightInd w:val="0"/>
              <w:snapToGrid w:val="0"/>
              <w:spacing w:line="340" w:lineRule="exact"/>
              <w:jc w:val="center"/>
              <w:rPr>
                <w:sz w:val="21"/>
                <w:szCs w:val="21"/>
              </w:rPr>
            </w:pPr>
            <w:r>
              <w:rPr>
                <w:color w:val="000000"/>
                <w:kern w:val="0"/>
                <w:sz w:val="21"/>
                <w:szCs w:val="21"/>
              </w:rPr>
              <w:t>赵沟村</w:t>
            </w:r>
          </w:p>
        </w:tc>
        <w:tc>
          <w:tcPr>
            <w:tcW w:w="1128" w:type="pct"/>
            <w:tcBorders>
              <w:top w:val="single" w:sz="6" w:space="0" w:color="000000"/>
              <w:left w:val="nil"/>
              <w:bottom w:val="single" w:sz="6" w:space="0" w:color="000000"/>
              <w:right w:val="single" w:sz="6" w:space="0" w:color="000000"/>
            </w:tcBorders>
            <w:vAlign w:val="center"/>
          </w:tcPr>
          <w:p w:rsidR="00240BCE" w:rsidRDefault="00AC0334">
            <w:pPr>
              <w:widowControl/>
              <w:spacing w:line="340" w:lineRule="exact"/>
              <w:jc w:val="center"/>
              <w:rPr>
                <w:kern w:val="0"/>
                <w:sz w:val="21"/>
                <w:szCs w:val="21"/>
              </w:rPr>
            </w:pPr>
            <w:r>
              <w:rPr>
                <w:kern w:val="0"/>
                <w:sz w:val="21"/>
                <w:szCs w:val="21"/>
              </w:rPr>
              <w:t>水质、水位</w:t>
            </w:r>
          </w:p>
        </w:tc>
        <w:tc>
          <w:tcPr>
            <w:tcW w:w="2097" w:type="pct"/>
            <w:vMerge w:val="restart"/>
            <w:tcBorders>
              <w:top w:val="nil"/>
              <w:left w:val="nil"/>
              <w:bottom w:val="single" w:sz="6" w:space="0" w:color="000000"/>
              <w:right w:val="single" w:sz="6" w:space="0" w:color="000000"/>
            </w:tcBorders>
            <w:vAlign w:val="center"/>
          </w:tcPr>
          <w:p w:rsidR="00240BCE" w:rsidRDefault="00AC0334">
            <w:pPr>
              <w:spacing w:line="340" w:lineRule="exact"/>
              <w:rPr>
                <w:sz w:val="21"/>
                <w:szCs w:val="21"/>
              </w:rPr>
            </w:pPr>
            <w:r>
              <w:rPr>
                <w:sz w:val="21"/>
                <w:szCs w:val="21"/>
              </w:rPr>
              <w:t>Ka</w:t>
            </w:r>
            <w:r>
              <w:rPr>
                <w:sz w:val="21"/>
                <w:szCs w:val="21"/>
                <w:vertAlign w:val="superscript"/>
              </w:rPr>
              <w:t>+</w:t>
            </w:r>
            <w:r>
              <w:rPr>
                <w:sz w:val="21"/>
                <w:szCs w:val="21"/>
              </w:rPr>
              <w:t>+Na</w:t>
            </w:r>
            <w:r>
              <w:rPr>
                <w:sz w:val="21"/>
                <w:szCs w:val="21"/>
                <w:vertAlign w:val="superscript"/>
              </w:rPr>
              <w:t>+</w:t>
            </w:r>
            <w:r>
              <w:rPr>
                <w:sz w:val="21"/>
                <w:szCs w:val="21"/>
              </w:rPr>
              <w:t>、</w:t>
            </w:r>
            <w:r>
              <w:rPr>
                <w:sz w:val="21"/>
                <w:szCs w:val="21"/>
              </w:rPr>
              <w:t>Ca</w:t>
            </w:r>
            <w:r>
              <w:rPr>
                <w:sz w:val="21"/>
                <w:szCs w:val="21"/>
                <w:vertAlign w:val="superscript"/>
              </w:rPr>
              <w:t>2+</w:t>
            </w:r>
            <w:r>
              <w:rPr>
                <w:sz w:val="21"/>
                <w:szCs w:val="21"/>
              </w:rPr>
              <w:t>、</w:t>
            </w:r>
            <w:r>
              <w:rPr>
                <w:sz w:val="21"/>
                <w:szCs w:val="21"/>
              </w:rPr>
              <w:t>Mg</w:t>
            </w:r>
            <w:r>
              <w:rPr>
                <w:sz w:val="21"/>
                <w:szCs w:val="21"/>
                <w:vertAlign w:val="superscript"/>
              </w:rPr>
              <w:t>2+</w:t>
            </w:r>
            <w:r>
              <w:rPr>
                <w:sz w:val="21"/>
                <w:szCs w:val="21"/>
              </w:rPr>
              <w:t>、</w:t>
            </w:r>
            <w:r>
              <w:rPr>
                <w:sz w:val="21"/>
                <w:szCs w:val="21"/>
              </w:rPr>
              <w:t>SO</w:t>
            </w:r>
            <w:r>
              <w:rPr>
                <w:sz w:val="21"/>
                <w:szCs w:val="21"/>
                <w:vertAlign w:val="subscript"/>
              </w:rPr>
              <w:t>4</w:t>
            </w:r>
            <w:r>
              <w:rPr>
                <w:sz w:val="21"/>
                <w:szCs w:val="21"/>
                <w:vertAlign w:val="superscript"/>
              </w:rPr>
              <w:t>2+</w:t>
            </w:r>
            <w:r>
              <w:rPr>
                <w:sz w:val="21"/>
                <w:szCs w:val="21"/>
              </w:rPr>
              <w:t>、</w:t>
            </w:r>
            <w:r>
              <w:rPr>
                <w:sz w:val="21"/>
                <w:szCs w:val="21"/>
              </w:rPr>
              <w:t>HCO</w:t>
            </w:r>
            <w:r>
              <w:rPr>
                <w:sz w:val="21"/>
                <w:szCs w:val="21"/>
                <w:vertAlign w:val="subscript"/>
              </w:rPr>
              <w:t>3</w:t>
            </w:r>
            <w:r>
              <w:rPr>
                <w:sz w:val="21"/>
                <w:szCs w:val="21"/>
              </w:rPr>
              <w:t>-</w:t>
            </w:r>
            <w:r>
              <w:rPr>
                <w:sz w:val="21"/>
                <w:szCs w:val="21"/>
              </w:rPr>
              <w:t>、</w:t>
            </w:r>
            <w:r>
              <w:rPr>
                <w:sz w:val="21"/>
                <w:szCs w:val="21"/>
              </w:rPr>
              <w:t>CO</w:t>
            </w:r>
            <w:r>
              <w:rPr>
                <w:sz w:val="21"/>
                <w:szCs w:val="21"/>
                <w:vertAlign w:val="subscript"/>
              </w:rPr>
              <w:t>3</w:t>
            </w:r>
            <w:r>
              <w:rPr>
                <w:sz w:val="21"/>
                <w:szCs w:val="21"/>
                <w:vertAlign w:val="superscript"/>
              </w:rPr>
              <w:t>2-</w:t>
            </w:r>
            <w:r>
              <w:rPr>
                <w:sz w:val="21"/>
                <w:szCs w:val="21"/>
              </w:rPr>
              <w:t>、</w:t>
            </w:r>
            <w:r>
              <w:rPr>
                <w:sz w:val="21"/>
                <w:szCs w:val="21"/>
              </w:rPr>
              <w:t>Cl</w:t>
            </w:r>
            <w:r>
              <w:rPr>
                <w:sz w:val="21"/>
                <w:szCs w:val="21"/>
                <w:vertAlign w:val="superscript"/>
              </w:rPr>
              <w:t>-</w:t>
            </w:r>
            <w:r>
              <w:rPr>
                <w:sz w:val="21"/>
                <w:szCs w:val="21"/>
              </w:rPr>
              <w:t>以及</w:t>
            </w:r>
            <w:r>
              <w:rPr>
                <w:sz w:val="21"/>
                <w:szCs w:val="21"/>
              </w:rPr>
              <w:t>pH</w:t>
            </w:r>
            <w:r>
              <w:rPr>
                <w:sz w:val="21"/>
                <w:szCs w:val="21"/>
              </w:rPr>
              <w:t>、氨氮、硝酸盐、亚硝酸盐、砷、汞、六价铬、铅、总硬度、铅、氟化物、镉、铁、溶解性总固体、耗氧量、总大肠菌群，同时记录井口标高、井深、水位埋深、水位标高。</w:t>
            </w:r>
          </w:p>
        </w:tc>
        <w:tc>
          <w:tcPr>
            <w:tcW w:w="546" w:type="pct"/>
            <w:vMerge w:val="restart"/>
            <w:tcBorders>
              <w:top w:val="nil"/>
              <w:left w:val="single" w:sz="4" w:space="0" w:color="auto"/>
              <w:bottom w:val="single" w:sz="6" w:space="0" w:color="000000"/>
              <w:right w:val="single" w:sz="6" w:space="0" w:color="000000"/>
            </w:tcBorders>
            <w:vAlign w:val="center"/>
          </w:tcPr>
          <w:p w:rsidR="00240BCE" w:rsidRDefault="00AC0334">
            <w:pPr>
              <w:adjustRightInd w:val="0"/>
              <w:snapToGrid w:val="0"/>
              <w:spacing w:line="340" w:lineRule="exact"/>
              <w:jc w:val="center"/>
              <w:rPr>
                <w:spacing w:val="2"/>
                <w:sz w:val="21"/>
                <w:szCs w:val="21"/>
              </w:rPr>
            </w:pPr>
            <w:r>
              <w:rPr>
                <w:spacing w:val="2"/>
                <w:sz w:val="21"/>
                <w:szCs w:val="21"/>
              </w:rPr>
              <w:t>连续监测</w:t>
            </w:r>
            <w:r>
              <w:rPr>
                <w:spacing w:val="2"/>
                <w:sz w:val="21"/>
                <w:szCs w:val="21"/>
              </w:rPr>
              <w:t>2</w:t>
            </w:r>
            <w:r>
              <w:rPr>
                <w:spacing w:val="2"/>
                <w:sz w:val="21"/>
                <w:szCs w:val="21"/>
              </w:rPr>
              <w:t>天，每天取样一次</w:t>
            </w:r>
          </w:p>
        </w:tc>
      </w:tr>
      <w:tr w:rsidR="00240BCE">
        <w:trPr>
          <w:trHeight w:val="477"/>
          <w:jc w:val="center"/>
        </w:trPr>
        <w:tc>
          <w:tcPr>
            <w:tcW w:w="338" w:type="pct"/>
            <w:tcBorders>
              <w:top w:val="single" w:sz="6" w:space="0" w:color="000000"/>
              <w:left w:val="single" w:sz="6" w:space="0" w:color="000000"/>
              <w:bottom w:val="single" w:sz="4" w:space="0" w:color="auto"/>
              <w:right w:val="single" w:sz="6" w:space="0" w:color="000000"/>
            </w:tcBorders>
            <w:vAlign w:val="center"/>
          </w:tcPr>
          <w:p w:rsidR="00240BCE" w:rsidRDefault="00AC0334">
            <w:pPr>
              <w:spacing w:line="340" w:lineRule="exact"/>
              <w:jc w:val="center"/>
              <w:rPr>
                <w:sz w:val="21"/>
                <w:szCs w:val="21"/>
              </w:rPr>
            </w:pPr>
            <w:r>
              <w:rPr>
                <w:sz w:val="21"/>
                <w:szCs w:val="21"/>
              </w:rPr>
              <w:t>2#</w:t>
            </w:r>
          </w:p>
        </w:tc>
        <w:tc>
          <w:tcPr>
            <w:tcW w:w="888" w:type="pct"/>
            <w:tcBorders>
              <w:top w:val="single" w:sz="6" w:space="0" w:color="000000"/>
              <w:left w:val="nil"/>
              <w:bottom w:val="single" w:sz="4" w:space="0" w:color="auto"/>
              <w:right w:val="single" w:sz="6" w:space="0" w:color="000000"/>
            </w:tcBorders>
            <w:vAlign w:val="center"/>
          </w:tcPr>
          <w:p w:rsidR="00240BCE" w:rsidRDefault="00AC0334">
            <w:pPr>
              <w:adjustRightInd w:val="0"/>
              <w:snapToGrid w:val="0"/>
              <w:spacing w:line="340" w:lineRule="exact"/>
              <w:jc w:val="center"/>
              <w:rPr>
                <w:sz w:val="21"/>
                <w:szCs w:val="21"/>
              </w:rPr>
            </w:pPr>
            <w:r>
              <w:rPr>
                <w:color w:val="000000"/>
                <w:kern w:val="0"/>
                <w:sz w:val="21"/>
                <w:szCs w:val="21"/>
              </w:rPr>
              <w:t>楼院村</w:t>
            </w:r>
          </w:p>
        </w:tc>
        <w:tc>
          <w:tcPr>
            <w:tcW w:w="1128" w:type="pct"/>
            <w:tcBorders>
              <w:top w:val="single" w:sz="6" w:space="0" w:color="000000"/>
              <w:left w:val="nil"/>
              <w:bottom w:val="single" w:sz="4" w:space="0" w:color="auto"/>
              <w:right w:val="single" w:sz="6" w:space="0" w:color="000000"/>
            </w:tcBorders>
            <w:vAlign w:val="center"/>
          </w:tcPr>
          <w:p w:rsidR="00240BCE" w:rsidRDefault="00AC0334">
            <w:pPr>
              <w:widowControl/>
              <w:spacing w:line="340" w:lineRule="exact"/>
              <w:jc w:val="center"/>
              <w:rPr>
                <w:kern w:val="0"/>
                <w:sz w:val="21"/>
                <w:szCs w:val="21"/>
              </w:rPr>
            </w:pPr>
            <w:r>
              <w:rPr>
                <w:kern w:val="0"/>
                <w:sz w:val="21"/>
                <w:szCs w:val="21"/>
              </w:rPr>
              <w:t>水质、水位</w:t>
            </w:r>
          </w:p>
        </w:tc>
        <w:tc>
          <w:tcPr>
            <w:tcW w:w="2097" w:type="pct"/>
            <w:vMerge/>
            <w:tcBorders>
              <w:top w:val="nil"/>
              <w:left w:val="nil"/>
              <w:bottom w:val="single" w:sz="6" w:space="0" w:color="000000"/>
              <w:right w:val="single" w:sz="6" w:space="0" w:color="000000"/>
            </w:tcBorders>
            <w:vAlign w:val="center"/>
          </w:tcPr>
          <w:p w:rsidR="00240BCE" w:rsidRDefault="00240BCE">
            <w:pPr>
              <w:widowControl/>
              <w:spacing w:line="340" w:lineRule="exact"/>
              <w:jc w:val="left"/>
              <w:rPr>
                <w:sz w:val="21"/>
                <w:szCs w:val="21"/>
              </w:rPr>
            </w:pPr>
          </w:p>
        </w:tc>
        <w:tc>
          <w:tcPr>
            <w:tcW w:w="546" w:type="pct"/>
            <w:vMerge/>
            <w:tcBorders>
              <w:top w:val="nil"/>
              <w:left w:val="single" w:sz="4" w:space="0" w:color="auto"/>
              <w:bottom w:val="single" w:sz="6" w:space="0" w:color="000000"/>
              <w:right w:val="single" w:sz="6" w:space="0" w:color="000000"/>
            </w:tcBorders>
            <w:vAlign w:val="center"/>
          </w:tcPr>
          <w:p w:rsidR="00240BCE" w:rsidRDefault="00240BCE">
            <w:pPr>
              <w:widowControl/>
              <w:spacing w:line="340" w:lineRule="exact"/>
              <w:jc w:val="left"/>
              <w:rPr>
                <w:spacing w:val="2"/>
                <w:sz w:val="21"/>
                <w:szCs w:val="21"/>
              </w:rPr>
            </w:pPr>
          </w:p>
        </w:tc>
      </w:tr>
      <w:tr w:rsidR="00240BCE">
        <w:trPr>
          <w:trHeight w:val="477"/>
          <w:jc w:val="center"/>
        </w:trPr>
        <w:tc>
          <w:tcPr>
            <w:tcW w:w="338" w:type="pct"/>
            <w:tcBorders>
              <w:top w:val="single" w:sz="6" w:space="0" w:color="000000"/>
              <w:left w:val="single" w:sz="6" w:space="0" w:color="000000"/>
              <w:bottom w:val="single" w:sz="4" w:space="0" w:color="auto"/>
              <w:right w:val="single" w:sz="6" w:space="0" w:color="000000"/>
            </w:tcBorders>
            <w:vAlign w:val="center"/>
          </w:tcPr>
          <w:p w:rsidR="00240BCE" w:rsidRDefault="00AC0334">
            <w:pPr>
              <w:spacing w:line="340" w:lineRule="exact"/>
              <w:jc w:val="center"/>
              <w:rPr>
                <w:sz w:val="21"/>
                <w:szCs w:val="21"/>
              </w:rPr>
            </w:pPr>
            <w:r>
              <w:rPr>
                <w:sz w:val="21"/>
                <w:szCs w:val="21"/>
              </w:rPr>
              <w:t>3#</w:t>
            </w:r>
          </w:p>
        </w:tc>
        <w:tc>
          <w:tcPr>
            <w:tcW w:w="888" w:type="pct"/>
            <w:tcBorders>
              <w:top w:val="single" w:sz="6" w:space="0" w:color="000000"/>
              <w:left w:val="nil"/>
              <w:bottom w:val="single" w:sz="4" w:space="0" w:color="auto"/>
              <w:right w:val="single" w:sz="6" w:space="0" w:color="000000"/>
            </w:tcBorders>
            <w:vAlign w:val="center"/>
          </w:tcPr>
          <w:p w:rsidR="00240BCE" w:rsidRDefault="00AC0334">
            <w:pPr>
              <w:adjustRightInd w:val="0"/>
              <w:snapToGrid w:val="0"/>
              <w:spacing w:line="340" w:lineRule="exact"/>
              <w:jc w:val="center"/>
              <w:rPr>
                <w:color w:val="000000"/>
                <w:sz w:val="21"/>
                <w:szCs w:val="21"/>
              </w:rPr>
            </w:pPr>
            <w:r>
              <w:rPr>
                <w:color w:val="000000"/>
                <w:kern w:val="0"/>
                <w:sz w:val="21"/>
                <w:szCs w:val="21"/>
              </w:rPr>
              <w:t>连庄村</w:t>
            </w:r>
          </w:p>
        </w:tc>
        <w:tc>
          <w:tcPr>
            <w:tcW w:w="1128" w:type="pct"/>
            <w:tcBorders>
              <w:top w:val="single" w:sz="6" w:space="0" w:color="000000"/>
              <w:left w:val="nil"/>
              <w:bottom w:val="single" w:sz="4" w:space="0" w:color="auto"/>
              <w:right w:val="single" w:sz="6" w:space="0" w:color="000000"/>
            </w:tcBorders>
            <w:vAlign w:val="center"/>
          </w:tcPr>
          <w:p w:rsidR="00240BCE" w:rsidRDefault="00AC0334">
            <w:pPr>
              <w:widowControl/>
              <w:spacing w:line="340" w:lineRule="exact"/>
              <w:jc w:val="center"/>
              <w:rPr>
                <w:kern w:val="0"/>
                <w:sz w:val="21"/>
                <w:szCs w:val="21"/>
              </w:rPr>
            </w:pPr>
            <w:r>
              <w:rPr>
                <w:kern w:val="0"/>
                <w:sz w:val="21"/>
                <w:szCs w:val="21"/>
              </w:rPr>
              <w:t>水质、水位</w:t>
            </w:r>
          </w:p>
        </w:tc>
        <w:tc>
          <w:tcPr>
            <w:tcW w:w="2097" w:type="pct"/>
            <w:vMerge/>
            <w:tcBorders>
              <w:top w:val="nil"/>
              <w:left w:val="nil"/>
              <w:bottom w:val="single" w:sz="6" w:space="0" w:color="000000"/>
              <w:right w:val="single" w:sz="6" w:space="0" w:color="000000"/>
            </w:tcBorders>
            <w:vAlign w:val="center"/>
          </w:tcPr>
          <w:p w:rsidR="00240BCE" w:rsidRDefault="00240BCE">
            <w:pPr>
              <w:widowControl/>
              <w:spacing w:line="340" w:lineRule="exact"/>
              <w:jc w:val="left"/>
              <w:rPr>
                <w:sz w:val="21"/>
                <w:szCs w:val="21"/>
              </w:rPr>
            </w:pPr>
          </w:p>
        </w:tc>
        <w:tc>
          <w:tcPr>
            <w:tcW w:w="546" w:type="pct"/>
            <w:vMerge/>
            <w:tcBorders>
              <w:top w:val="nil"/>
              <w:left w:val="single" w:sz="4" w:space="0" w:color="auto"/>
              <w:bottom w:val="single" w:sz="6" w:space="0" w:color="000000"/>
              <w:right w:val="single" w:sz="6" w:space="0" w:color="000000"/>
            </w:tcBorders>
            <w:vAlign w:val="center"/>
          </w:tcPr>
          <w:p w:rsidR="00240BCE" w:rsidRDefault="00240BCE">
            <w:pPr>
              <w:widowControl/>
              <w:spacing w:line="340" w:lineRule="exact"/>
              <w:jc w:val="left"/>
              <w:rPr>
                <w:spacing w:val="2"/>
                <w:sz w:val="21"/>
                <w:szCs w:val="21"/>
              </w:rPr>
            </w:pPr>
          </w:p>
        </w:tc>
      </w:tr>
      <w:tr w:rsidR="00240BCE">
        <w:trPr>
          <w:trHeight w:val="477"/>
          <w:jc w:val="center"/>
        </w:trPr>
        <w:tc>
          <w:tcPr>
            <w:tcW w:w="338" w:type="pct"/>
            <w:tcBorders>
              <w:top w:val="single" w:sz="6" w:space="0" w:color="000000"/>
              <w:left w:val="single" w:sz="6" w:space="0" w:color="000000"/>
              <w:bottom w:val="single" w:sz="4" w:space="0" w:color="auto"/>
              <w:right w:val="single" w:sz="6" w:space="0" w:color="000000"/>
            </w:tcBorders>
            <w:vAlign w:val="center"/>
          </w:tcPr>
          <w:p w:rsidR="00240BCE" w:rsidRDefault="00AC0334">
            <w:pPr>
              <w:spacing w:line="340" w:lineRule="exact"/>
              <w:jc w:val="center"/>
              <w:rPr>
                <w:sz w:val="21"/>
                <w:szCs w:val="21"/>
              </w:rPr>
            </w:pPr>
            <w:r>
              <w:rPr>
                <w:sz w:val="21"/>
                <w:szCs w:val="21"/>
              </w:rPr>
              <w:t>4#</w:t>
            </w:r>
          </w:p>
        </w:tc>
        <w:tc>
          <w:tcPr>
            <w:tcW w:w="888" w:type="pct"/>
            <w:tcBorders>
              <w:top w:val="single" w:sz="6" w:space="0" w:color="000000"/>
              <w:left w:val="nil"/>
              <w:bottom w:val="single" w:sz="4" w:space="0" w:color="auto"/>
              <w:right w:val="single" w:sz="6" w:space="0" w:color="000000"/>
            </w:tcBorders>
            <w:vAlign w:val="center"/>
          </w:tcPr>
          <w:p w:rsidR="00240BCE" w:rsidRDefault="00AC0334">
            <w:pPr>
              <w:adjustRightInd w:val="0"/>
              <w:snapToGrid w:val="0"/>
              <w:spacing w:line="340" w:lineRule="exact"/>
              <w:jc w:val="center"/>
              <w:rPr>
                <w:color w:val="000000"/>
                <w:sz w:val="21"/>
                <w:szCs w:val="21"/>
              </w:rPr>
            </w:pPr>
            <w:r>
              <w:rPr>
                <w:color w:val="000000"/>
                <w:kern w:val="0"/>
                <w:sz w:val="21"/>
                <w:szCs w:val="21"/>
              </w:rPr>
              <w:t>官庄窑村</w:t>
            </w:r>
          </w:p>
        </w:tc>
        <w:tc>
          <w:tcPr>
            <w:tcW w:w="1128" w:type="pct"/>
            <w:tcBorders>
              <w:top w:val="single" w:sz="6" w:space="0" w:color="000000"/>
              <w:left w:val="nil"/>
              <w:bottom w:val="single" w:sz="4" w:space="0" w:color="auto"/>
              <w:right w:val="single" w:sz="6" w:space="0" w:color="000000"/>
            </w:tcBorders>
            <w:vAlign w:val="center"/>
          </w:tcPr>
          <w:p w:rsidR="00240BCE" w:rsidRDefault="00AC0334">
            <w:pPr>
              <w:widowControl/>
              <w:spacing w:line="340" w:lineRule="exact"/>
              <w:jc w:val="center"/>
              <w:rPr>
                <w:kern w:val="0"/>
                <w:sz w:val="21"/>
                <w:szCs w:val="21"/>
              </w:rPr>
            </w:pPr>
            <w:r>
              <w:rPr>
                <w:kern w:val="0"/>
                <w:sz w:val="21"/>
                <w:szCs w:val="21"/>
              </w:rPr>
              <w:t>水质、水位</w:t>
            </w:r>
          </w:p>
        </w:tc>
        <w:tc>
          <w:tcPr>
            <w:tcW w:w="2097" w:type="pct"/>
            <w:vMerge/>
            <w:tcBorders>
              <w:top w:val="nil"/>
              <w:left w:val="nil"/>
              <w:bottom w:val="single" w:sz="6" w:space="0" w:color="000000"/>
              <w:right w:val="single" w:sz="6" w:space="0" w:color="000000"/>
            </w:tcBorders>
            <w:vAlign w:val="center"/>
          </w:tcPr>
          <w:p w:rsidR="00240BCE" w:rsidRDefault="00240BCE">
            <w:pPr>
              <w:widowControl/>
              <w:spacing w:line="340" w:lineRule="exact"/>
              <w:jc w:val="left"/>
              <w:rPr>
                <w:sz w:val="21"/>
                <w:szCs w:val="21"/>
              </w:rPr>
            </w:pPr>
          </w:p>
        </w:tc>
        <w:tc>
          <w:tcPr>
            <w:tcW w:w="546" w:type="pct"/>
            <w:vMerge/>
            <w:tcBorders>
              <w:top w:val="nil"/>
              <w:left w:val="single" w:sz="4" w:space="0" w:color="auto"/>
              <w:bottom w:val="single" w:sz="6" w:space="0" w:color="000000"/>
              <w:right w:val="single" w:sz="6" w:space="0" w:color="000000"/>
            </w:tcBorders>
            <w:vAlign w:val="center"/>
          </w:tcPr>
          <w:p w:rsidR="00240BCE" w:rsidRDefault="00240BCE">
            <w:pPr>
              <w:widowControl/>
              <w:spacing w:line="340" w:lineRule="exact"/>
              <w:jc w:val="left"/>
              <w:rPr>
                <w:spacing w:val="2"/>
                <w:sz w:val="21"/>
                <w:szCs w:val="21"/>
              </w:rPr>
            </w:pPr>
          </w:p>
        </w:tc>
      </w:tr>
      <w:tr w:rsidR="00240BCE">
        <w:trPr>
          <w:trHeight w:val="507"/>
          <w:jc w:val="center"/>
        </w:trPr>
        <w:tc>
          <w:tcPr>
            <w:tcW w:w="338" w:type="pct"/>
            <w:tcBorders>
              <w:top w:val="single" w:sz="4" w:space="0" w:color="auto"/>
              <w:left w:val="single" w:sz="6" w:space="0" w:color="000000"/>
              <w:bottom w:val="single" w:sz="4" w:space="0" w:color="auto"/>
              <w:right w:val="single" w:sz="6" w:space="0" w:color="000000"/>
            </w:tcBorders>
            <w:vAlign w:val="center"/>
          </w:tcPr>
          <w:p w:rsidR="00240BCE" w:rsidRDefault="00AC0334">
            <w:pPr>
              <w:spacing w:line="340" w:lineRule="exact"/>
              <w:jc w:val="center"/>
              <w:rPr>
                <w:sz w:val="21"/>
                <w:szCs w:val="21"/>
              </w:rPr>
            </w:pPr>
            <w:r>
              <w:rPr>
                <w:sz w:val="21"/>
                <w:szCs w:val="21"/>
              </w:rPr>
              <w:t>5#</w:t>
            </w:r>
          </w:p>
        </w:tc>
        <w:tc>
          <w:tcPr>
            <w:tcW w:w="888" w:type="pct"/>
            <w:tcBorders>
              <w:top w:val="single" w:sz="4" w:space="0" w:color="auto"/>
              <w:left w:val="nil"/>
              <w:bottom w:val="single" w:sz="4" w:space="0" w:color="auto"/>
              <w:right w:val="single" w:sz="6" w:space="0" w:color="000000"/>
            </w:tcBorders>
            <w:vAlign w:val="center"/>
          </w:tcPr>
          <w:p w:rsidR="00240BCE" w:rsidRDefault="00AC0334">
            <w:pPr>
              <w:adjustRightInd w:val="0"/>
              <w:snapToGrid w:val="0"/>
              <w:spacing w:line="340" w:lineRule="exact"/>
              <w:jc w:val="center"/>
              <w:rPr>
                <w:color w:val="000000"/>
                <w:kern w:val="0"/>
                <w:sz w:val="21"/>
                <w:szCs w:val="21"/>
              </w:rPr>
            </w:pPr>
            <w:r>
              <w:rPr>
                <w:color w:val="000000"/>
                <w:kern w:val="0"/>
                <w:sz w:val="21"/>
                <w:szCs w:val="21"/>
              </w:rPr>
              <w:t>楚黄庄村</w:t>
            </w:r>
          </w:p>
        </w:tc>
        <w:tc>
          <w:tcPr>
            <w:tcW w:w="1128" w:type="pct"/>
            <w:tcBorders>
              <w:top w:val="single" w:sz="4" w:space="0" w:color="auto"/>
              <w:left w:val="nil"/>
              <w:bottom w:val="single" w:sz="4" w:space="0" w:color="auto"/>
              <w:right w:val="single" w:sz="6" w:space="0" w:color="000000"/>
            </w:tcBorders>
            <w:vAlign w:val="center"/>
          </w:tcPr>
          <w:p w:rsidR="00240BCE" w:rsidRDefault="00AC0334">
            <w:pPr>
              <w:widowControl/>
              <w:spacing w:line="340" w:lineRule="exact"/>
              <w:jc w:val="center"/>
              <w:rPr>
                <w:kern w:val="0"/>
                <w:sz w:val="21"/>
                <w:szCs w:val="21"/>
              </w:rPr>
            </w:pPr>
            <w:r>
              <w:rPr>
                <w:kern w:val="0"/>
                <w:sz w:val="21"/>
                <w:szCs w:val="21"/>
              </w:rPr>
              <w:t>水质、水位</w:t>
            </w:r>
          </w:p>
        </w:tc>
        <w:tc>
          <w:tcPr>
            <w:tcW w:w="2097" w:type="pct"/>
            <w:vMerge/>
            <w:tcBorders>
              <w:top w:val="nil"/>
              <w:left w:val="nil"/>
              <w:bottom w:val="single" w:sz="6" w:space="0" w:color="000000"/>
              <w:right w:val="single" w:sz="6" w:space="0" w:color="000000"/>
            </w:tcBorders>
            <w:vAlign w:val="center"/>
          </w:tcPr>
          <w:p w:rsidR="00240BCE" w:rsidRDefault="00240BCE">
            <w:pPr>
              <w:widowControl/>
              <w:spacing w:line="340" w:lineRule="exact"/>
              <w:jc w:val="left"/>
              <w:rPr>
                <w:sz w:val="21"/>
                <w:szCs w:val="21"/>
              </w:rPr>
            </w:pPr>
          </w:p>
        </w:tc>
        <w:tc>
          <w:tcPr>
            <w:tcW w:w="546" w:type="pct"/>
            <w:vMerge/>
            <w:tcBorders>
              <w:top w:val="nil"/>
              <w:left w:val="single" w:sz="4" w:space="0" w:color="auto"/>
              <w:bottom w:val="single" w:sz="6" w:space="0" w:color="000000"/>
              <w:right w:val="single" w:sz="6" w:space="0" w:color="000000"/>
            </w:tcBorders>
            <w:vAlign w:val="center"/>
          </w:tcPr>
          <w:p w:rsidR="00240BCE" w:rsidRDefault="00240BCE">
            <w:pPr>
              <w:widowControl/>
              <w:spacing w:line="340" w:lineRule="exact"/>
              <w:jc w:val="left"/>
              <w:rPr>
                <w:spacing w:val="2"/>
                <w:sz w:val="21"/>
                <w:szCs w:val="21"/>
              </w:rPr>
            </w:pPr>
          </w:p>
        </w:tc>
      </w:tr>
    </w:tbl>
    <w:p w:rsidR="00240BCE" w:rsidRDefault="00AC0334">
      <w:pPr>
        <w:spacing w:line="520" w:lineRule="exact"/>
        <w:ind w:firstLineChars="200" w:firstLine="480"/>
        <w:rPr>
          <w:color w:val="000000"/>
          <w:sz w:val="24"/>
        </w:rPr>
      </w:pPr>
      <w:r>
        <w:rPr>
          <w:color w:val="000000"/>
          <w:sz w:val="24"/>
        </w:rPr>
        <w:t>2</w:t>
      </w:r>
      <w:r>
        <w:rPr>
          <w:color w:val="000000"/>
          <w:sz w:val="24"/>
        </w:rPr>
        <w:t>、监测时间及监测频率</w:t>
      </w:r>
    </w:p>
    <w:p w:rsidR="00240BCE" w:rsidRDefault="00AC0334">
      <w:pPr>
        <w:spacing w:line="520" w:lineRule="exact"/>
        <w:ind w:firstLineChars="200" w:firstLine="480"/>
        <w:rPr>
          <w:color w:val="000000"/>
          <w:sz w:val="24"/>
        </w:rPr>
      </w:pPr>
      <w:r>
        <w:rPr>
          <w:color w:val="000000"/>
          <w:sz w:val="24"/>
        </w:rPr>
        <w:t>地下水质量现状监测时间为</w:t>
      </w:r>
      <w:r>
        <w:rPr>
          <w:color w:val="000000"/>
          <w:sz w:val="24"/>
        </w:rPr>
        <w:t>2020</w:t>
      </w:r>
      <w:r>
        <w:rPr>
          <w:color w:val="000000"/>
          <w:sz w:val="24"/>
        </w:rPr>
        <w:t>年</w:t>
      </w:r>
      <w:r>
        <w:rPr>
          <w:color w:val="000000"/>
          <w:sz w:val="24"/>
        </w:rPr>
        <w:t>8</w:t>
      </w:r>
      <w:r>
        <w:rPr>
          <w:color w:val="000000"/>
          <w:sz w:val="24"/>
        </w:rPr>
        <w:t>月</w:t>
      </w:r>
      <w:r>
        <w:rPr>
          <w:color w:val="000000"/>
          <w:sz w:val="24"/>
        </w:rPr>
        <w:t>30</w:t>
      </w:r>
      <w:r>
        <w:rPr>
          <w:color w:val="000000"/>
          <w:sz w:val="24"/>
        </w:rPr>
        <w:t>日～</w:t>
      </w:r>
      <w:r>
        <w:rPr>
          <w:color w:val="000000"/>
          <w:sz w:val="24"/>
        </w:rPr>
        <w:t>9</w:t>
      </w:r>
      <w:r>
        <w:rPr>
          <w:color w:val="000000"/>
          <w:sz w:val="24"/>
        </w:rPr>
        <w:t>月</w:t>
      </w:r>
      <w:r>
        <w:rPr>
          <w:color w:val="000000"/>
          <w:sz w:val="24"/>
        </w:rPr>
        <w:t>1</w:t>
      </w:r>
      <w:r>
        <w:rPr>
          <w:color w:val="000000"/>
          <w:sz w:val="24"/>
        </w:rPr>
        <w:t>日，连续监测</w:t>
      </w:r>
      <w:r>
        <w:rPr>
          <w:color w:val="000000"/>
          <w:sz w:val="24"/>
        </w:rPr>
        <w:t>3</w:t>
      </w:r>
      <w:r>
        <w:rPr>
          <w:color w:val="000000"/>
          <w:sz w:val="24"/>
        </w:rPr>
        <w:t>天，每天采样一次。</w:t>
      </w:r>
    </w:p>
    <w:p w:rsidR="00240BCE" w:rsidRDefault="00AC0334">
      <w:pPr>
        <w:spacing w:line="520" w:lineRule="exact"/>
        <w:ind w:firstLineChars="200" w:firstLine="480"/>
        <w:rPr>
          <w:color w:val="000000"/>
          <w:sz w:val="24"/>
        </w:rPr>
      </w:pPr>
      <w:r>
        <w:rPr>
          <w:color w:val="000000"/>
          <w:sz w:val="24"/>
        </w:rPr>
        <w:t>3</w:t>
      </w:r>
      <w:r>
        <w:rPr>
          <w:color w:val="000000"/>
          <w:sz w:val="24"/>
        </w:rPr>
        <w:t>、监测分析方法</w:t>
      </w:r>
    </w:p>
    <w:p w:rsidR="00240BCE" w:rsidRDefault="00AC0334">
      <w:pPr>
        <w:spacing w:line="520" w:lineRule="exact"/>
        <w:ind w:firstLineChars="200" w:firstLine="480"/>
        <w:rPr>
          <w:color w:val="000000"/>
          <w:sz w:val="24"/>
        </w:rPr>
      </w:pPr>
      <w:r>
        <w:rPr>
          <w:color w:val="000000"/>
          <w:sz w:val="24"/>
        </w:rPr>
        <w:t>地下水监测分析方法按《地下水环境监测技术规范》等规定的有关要求进行，监测分析全过程实行质量控制，监测分析方法见表</w:t>
      </w:r>
      <w:r>
        <w:rPr>
          <w:color w:val="000000"/>
          <w:sz w:val="24"/>
        </w:rPr>
        <w:t>4.3-11</w:t>
      </w:r>
      <w:r>
        <w:rPr>
          <w:color w:val="000000"/>
          <w:sz w:val="24"/>
        </w:rPr>
        <w:t>。</w:t>
      </w:r>
    </w:p>
    <w:p w:rsidR="00240BCE" w:rsidRDefault="00AC0334">
      <w:pPr>
        <w:spacing w:line="440" w:lineRule="exact"/>
        <w:jc w:val="center"/>
        <w:rPr>
          <w:rFonts w:eastAsia="黑体"/>
          <w:sz w:val="24"/>
        </w:rPr>
      </w:pPr>
      <w:r>
        <w:rPr>
          <w:rFonts w:eastAsia="黑体"/>
          <w:sz w:val="24"/>
        </w:rPr>
        <w:t>表</w:t>
      </w:r>
      <w:r>
        <w:rPr>
          <w:color w:val="000000"/>
          <w:sz w:val="24"/>
        </w:rPr>
        <w:t xml:space="preserve">4.3-11  </w:t>
      </w:r>
      <w:r>
        <w:rPr>
          <w:rFonts w:eastAsia="黑体"/>
          <w:sz w:val="24"/>
        </w:rPr>
        <w:t>地下水监测分析方法</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1"/>
        <w:gridCol w:w="1128"/>
        <w:gridCol w:w="4566"/>
        <w:gridCol w:w="1786"/>
        <w:gridCol w:w="1195"/>
      </w:tblGrid>
      <w:tr w:rsidR="00240BCE">
        <w:trPr>
          <w:trHeight w:val="379"/>
          <w:jc w:val="center"/>
        </w:trPr>
        <w:tc>
          <w:tcPr>
            <w:tcW w:w="308" w:type="pct"/>
            <w:vAlign w:val="center"/>
          </w:tcPr>
          <w:p w:rsidR="00240BCE" w:rsidRDefault="00AC0334">
            <w:pPr>
              <w:spacing w:line="340" w:lineRule="exact"/>
              <w:jc w:val="center"/>
              <w:rPr>
                <w:sz w:val="21"/>
                <w:szCs w:val="21"/>
              </w:rPr>
            </w:pPr>
            <w:r>
              <w:rPr>
                <w:sz w:val="21"/>
                <w:szCs w:val="21"/>
              </w:rPr>
              <w:t>序号</w:t>
            </w:r>
          </w:p>
        </w:tc>
        <w:tc>
          <w:tcPr>
            <w:tcW w:w="610" w:type="pct"/>
            <w:vAlign w:val="center"/>
          </w:tcPr>
          <w:p w:rsidR="00240BCE" w:rsidRDefault="00AC0334">
            <w:pPr>
              <w:spacing w:line="340" w:lineRule="exact"/>
              <w:jc w:val="center"/>
              <w:rPr>
                <w:sz w:val="21"/>
                <w:szCs w:val="21"/>
              </w:rPr>
            </w:pPr>
            <w:r>
              <w:rPr>
                <w:sz w:val="21"/>
                <w:szCs w:val="21"/>
              </w:rPr>
              <w:t>监测项目</w:t>
            </w:r>
          </w:p>
        </w:tc>
        <w:tc>
          <w:tcPr>
            <w:tcW w:w="2468" w:type="pct"/>
            <w:vAlign w:val="center"/>
          </w:tcPr>
          <w:p w:rsidR="00240BCE" w:rsidRDefault="00AC0334">
            <w:pPr>
              <w:spacing w:line="340" w:lineRule="exact"/>
              <w:jc w:val="center"/>
              <w:rPr>
                <w:sz w:val="21"/>
                <w:szCs w:val="21"/>
              </w:rPr>
            </w:pPr>
            <w:r>
              <w:rPr>
                <w:sz w:val="21"/>
                <w:szCs w:val="21"/>
              </w:rPr>
              <w:t>方法标准</w:t>
            </w:r>
          </w:p>
        </w:tc>
        <w:tc>
          <w:tcPr>
            <w:tcW w:w="965" w:type="pct"/>
            <w:vAlign w:val="center"/>
          </w:tcPr>
          <w:p w:rsidR="00240BCE" w:rsidRDefault="00AC0334">
            <w:pPr>
              <w:spacing w:line="340" w:lineRule="exact"/>
              <w:jc w:val="center"/>
              <w:rPr>
                <w:sz w:val="21"/>
                <w:szCs w:val="21"/>
              </w:rPr>
            </w:pPr>
            <w:r>
              <w:rPr>
                <w:sz w:val="21"/>
                <w:szCs w:val="21"/>
              </w:rPr>
              <w:t>仪器设备</w:t>
            </w:r>
          </w:p>
        </w:tc>
        <w:tc>
          <w:tcPr>
            <w:tcW w:w="646" w:type="pct"/>
            <w:vAlign w:val="center"/>
          </w:tcPr>
          <w:p w:rsidR="00240BCE" w:rsidRDefault="00AC0334">
            <w:pPr>
              <w:spacing w:line="340" w:lineRule="exact"/>
              <w:jc w:val="center"/>
              <w:rPr>
                <w:sz w:val="21"/>
                <w:szCs w:val="21"/>
              </w:rPr>
            </w:pPr>
            <w:r>
              <w:rPr>
                <w:sz w:val="21"/>
                <w:szCs w:val="21"/>
              </w:rPr>
              <w:t>检出限</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1</w:t>
            </w:r>
          </w:p>
        </w:tc>
        <w:tc>
          <w:tcPr>
            <w:tcW w:w="610" w:type="pct"/>
            <w:vAlign w:val="center"/>
          </w:tcPr>
          <w:p w:rsidR="00240BCE" w:rsidRDefault="00AC0334">
            <w:pPr>
              <w:jc w:val="center"/>
              <w:rPr>
                <w:color w:val="000000"/>
                <w:sz w:val="21"/>
                <w:szCs w:val="21"/>
              </w:rPr>
            </w:pPr>
            <w:r>
              <w:rPr>
                <w:sz w:val="21"/>
                <w:szCs w:val="21"/>
              </w:rPr>
              <w:t>Na</w:t>
            </w:r>
            <w:r>
              <w:rPr>
                <w:sz w:val="21"/>
                <w:szCs w:val="21"/>
                <w:vertAlign w:val="superscript"/>
              </w:rPr>
              <w:t>+</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金属指标火焰原子吸收分光光度法</w:t>
            </w:r>
            <w:r>
              <w:rPr>
                <w:sz w:val="21"/>
                <w:szCs w:val="21"/>
              </w:rPr>
              <w:t>GB/T 5750.6-2006</w:t>
            </w:r>
          </w:p>
        </w:tc>
        <w:tc>
          <w:tcPr>
            <w:tcW w:w="965" w:type="pct"/>
            <w:vAlign w:val="center"/>
          </w:tcPr>
          <w:p w:rsidR="00240BCE" w:rsidRDefault="00AC0334">
            <w:pPr>
              <w:jc w:val="center"/>
              <w:textAlignment w:val="center"/>
              <w:rPr>
                <w:color w:val="000000"/>
                <w:sz w:val="21"/>
                <w:szCs w:val="21"/>
              </w:rPr>
            </w:pPr>
            <w:r>
              <w:rPr>
                <w:sz w:val="21"/>
                <w:szCs w:val="21"/>
              </w:rPr>
              <w:t>原子吸收分光光度计</w:t>
            </w:r>
            <w:r>
              <w:rPr>
                <w:sz w:val="21"/>
                <w:szCs w:val="21"/>
              </w:rPr>
              <w:t xml:space="preserve"> TAS-990AFG</w:t>
            </w:r>
          </w:p>
        </w:tc>
        <w:tc>
          <w:tcPr>
            <w:tcW w:w="646" w:type="pct"/>
            <w:vAlign w:val="center"/>
          </w:tcPr>
          <w:p w:rsidR="00240BCE" w:rsidRDefault="00AC0334">
            <w:pPr>
              <w:jc w:val="center"/>
              <w:textAlignment w:val="center"/>
              <w:rPr>
                <w:color w:val="000000"/>
                <w:sz w:val="21"/>
                <w:szCs w:val="21"/>
              </w:rPr>
            </w:pPr>
            <w:r>
              <w:rPr>
                <w:sz w:val="21"/>
                <w:szCs w:val="21"/>
              </w:rPr>
              <w:t>0.01mg/L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2</w:t>
            </w:r>
          </w:p>
        </w:tc>
        <w:tc>
          <w:tcPr>
            <w:tcW w:w="610" w:type="pct"/>
            <w:vAlign w:val="center"/>
          </w:tcPr>
          <w:p w:rsidR="00240BCE" w:rsidRDefault="00AC0334">
            <w:pPr>
              <w:jc w:val="center"/>
              <w:rPr>
                <w:color w:val="000000"/>
                <w:sz w:val="21"/>
                <w:szCs w:val="21"/>
              </w:rPr>
            </w:pPr>
            <w:r>
              <w:rPr>
                <w:sz w:val="21"/>
                <w:szCs w:val="21"/>
              </w:rPr>
              <w:t>K</w:t>
            </w:r>
            <w:r>
              <w:rPr>
                <w:sz w:val="21"/>
                <w:szCs w:val="21"/>
                <w:vertAlign w:val="superscript"/>
              </w:rPr>
              <w:t>+</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金属指标火焰原子吸收分光光度法</w:t>
            </w:r>
            <w:r>
              <w:rPr>
                <w:sz w:val="21"/>
                <w:szCs w:val="21"/>
              </w:rPr>
              <w:t>GB/T 5750.6-2006</w:t>
            </w:r>
          </w:p>
        </w:tc>
        <w:tc>
          <w:tcPr>
            <w:tcW w:w="965" w:type="pct"/>
            <w:vAlign w:val="center"/>
          </w:tcPr>
          <w:p w:rsidR="00240BCE" w:rsidRDefault="00AC0334">
            <w:pPr>
              <w:jc w:val="center"/>
              <w:textAlignment w:val="center"/>
              <w:rPr>
                <w:color w:val="000000"/>
                <w:sz w:val="21"/>
                <w:szCs w:val="21"/>
              </w:rPr>
            </w:pPr>
            <w:r>
              <w:rPr>
                <w:sz w:val="21"/>
                <w:szCs w:val="21"/>
              </w:rPr>
              <w:t>原子吸收分光光度计</w:t>
            </w:r>
            <w:r>
              <w:rPr>
                <w:sz w:val="21"/>
                <w:szCs w:val="21"/>
              </w:rPr>
              <w:t xml:space="preserve"> TAS-990AFG</w:t>
            </w:r>
          </w:p>
        </w:tc>
        <w:tc>
          <w:tcPr>
            <w:tcW w:w="646" w:type="pct"/>
            <w:vAlign w:val="center"/>
          </w:tcPr>
          <w:p w:rsidR="00240BCE" w:rsidRDefault="00AC0334">
            <w:pPr>
              <w:jc w:val="center"/>
              <w:textAlignment w:val="center"/>
              <w:rPr>
                <w:color w:val="000000"/>
                <w:sz w:val="21"/>
                <w:szCs w:val="21"/>
              </w:rPr>
            </w:pPr>
            <w:r>
              <w:rPr>
                <w:color w:val="000000"/>
                <w:sz w:val="21"/>
                <w:szCs w:val="21"/>
              </w:rPr>
              <w:t>0.05mg/L</w:t>
            </w:r>
          </w:p>
        </w:tc>
      </w:tr>
      <w:tr w:rsidR="00240BCE">
        <w:trPr>
          <w:trHeight w:val="379"/>
          <w:jc w:val="center"/>
        </w:trPr>
        <w:tc>
          <w:tcPr>
            <w:tcW w:w="308" w:type="pct"/>
            <w:vAlign w:val="center"/>
          </w:tcPr>
          <w:p w:rsidR="00240BCE" w:rsidRDefault="00AC0334">
            <w:pPr>
              <w:spacing w:line="340" w:lineRule="exact"/>
              <w:jc w:val="center"/>
              <w:rPr>
                <w:sz w:val="21"/>
                <w:szCs w:val="21"/>
              </w:rPr>
            </w:pPr>
            <w:r>
              <w:rPr>
                <w:sz w:val="21"/>
                <w:szCs w:val="21"/>
              </w:rPr>
              <w:t>3</w:t>
            </w:r>
          </w:p>
        </w:tc>
        <w:tc>
          <w:tcPr>
            <w:tcW w:w="610" w:type="pct"/>
            <w:vAlign w:val="center"/>
          </w:tcPr>
          <w:p w:rsidR="00240BCE" w:rsidRDefault="00AC0334">
            <w:pPr>
              <w:jc w:val="center"/>
              <w:rPr>
                <w:color w:val="000000"/>
                <w:sz w:val="21"/>
                <w:szCs w:val="21"/>
              </w:rPr>
            </w:pPr>
            <w:r>
              <w:rPr>
                <w:sz w:val="21"/>
                <w:szCs w:val="21"/>
              </w:rPr>
              <w:t>Ca</w:t>
            </w:r>
            <w:r>
              <w:rPr>
                <w:sz w:val="21"/>
                <w:szCs w:val="21"/>
                <w:vertAlign w:val="superscript"/>
              </w:rPr>
              <w:t>2+</w:t>
            </w:r>
          </w:p>
        </w:tc>
        <w:tc>
          <w:tcPr>
            <w:tcW w:w="2468" w:type="pct"/>
            <w:vMerge w:val="restart"/>
            <w:vAlign w:val="center"/>
          </w:tcPr>
          <w:p w:rsidR="00240BCE" w:rsidRDefault="00AC0334">
            <w:pPr>
              <w:adjustRightInd w:val="0"/>
              <w:snapToGrid w:val="0"/>
              <w:jc w:val="center"/>
              <w:rPr>
                <w:color w:val="000000"/>
                <w:sz w:val="21"/>
                <w:szCs w:val="21"/>
              </w:rPr>
            </w:pPr>
            <w:r>
              <w:rPr>
                <w:sz w:val="21"/>
                <w:szCs w:val="21"/>
              </w:rPr>
              <w:t>水质</w:t>
            </w:r>
            <w:r>
              <w:rPr>
                <w:sz w:val="21"/>
                <w:szCs w:val="21"/>
              </w:rPr>
              <w:t xml:space="preserve"> </w:t>
            </w:r>
            <w:r>
              <w:rPr>
                <w:sz w:val="21"/>
                <w:szCs w:val="21"/>
              </w:rPr>
              <w:t>钙和镁的测定</w:t>
            </w:r>
            <w:r>
              <w:rPr>
                <w:sz w:val="21"/>
                <w:szCs w:val="21"/>
              </w:rPr>
              <w:t xml:space="preserve"> </w:t>
            </w:r>
            <w:r>
              <w:rPr>
                <w:sz w:val="21"/>
                <w:szCs w:val="21"/>
              </w:rPr>
              <w:t>原子吸收分光光度法</w:t>
            </w:r>
            <w:r>
              <w:rPr>
                <w:sz w:val="21"/>
                <w:szCs w:val="21"/>
              </w:rPr>
              <w:t>GB 11905-1989</w:t>
            </w:r>
          </w:p>
        </w:tc>
        <w:tc>
          <w:tcPr>
            <w:tcW w:w="965" w:type="pct"/>
            <w:vMerge w:val="restart"/>
            <w:vAlign w:val="center"/>
          </w:tcPr>
          <w:p w:rsidR="00240BCE" w:rsidRDefault="00AC0334">
            <w:pPr>
              <w:jc w:val="center"/>
              <w:textAlignment w:val="center"/>
              <w:rPr>
                <w:color w:val="000000"/>
                <w:sz w:val="21"/>
                <w:szCs w:val="21"/>
              </w:rPr>
            </w:pPr>
            <w:r>
              <w:rPr>
                <w:sz w:val="21"/>
                <w:szCs w:val="21"/>
              </w:rPr>
              <w:t>原子吸收分光光度计</w:t>
            </w:r>
            <w:r>
              <w:rPr>
                <w:sz w:val="21"/>
                <w:szCs w:val="21"/>
              </w:rPr>
              <w:t xml:space="preserve"> TAS-990AFG</w:t>
            </w:r>
          </w:p>
        </w:tc>
        <w:tc>
          <w:tcPr>
            <w:tcW w:w="646" w:type="pct"/>
            <w:vAlign w:val="center"/>
          </w:tcPr>
          <w:p w:rsidR="00240BCE" w:rsidRDefault="00AC0334">
            <w:pPr>
              <w:pStyle w:val="affffc"/>
              <w:overflowPunct w:val="0"/>
              <w:topLinePunct/>
              <w:snapToGrid w:val="0"/>
              <w:rPr>
                <w:color w:val="000000"/>
                <w:szCs w:val="21"/>
              </w:rPr>
            </w:pPr>
            <w:r>
              <w:rPr>
                <w:color w:val="000000"/>
                <w:szCs w:val="21"/>
              </w:rPr>
              <w:t>0.02mg/L</w:t>
            </w:r>
          </w:p>
        </w:tc>
      </w:tr>
      <w:tr w:rsidR="00240BCE">
        <w:trPr>
          <w:trHeight w:val="379"/>
          <w:jc w:val="center"/>
        </w:trPr>
        <w:tc>
          <w:tcPr>
            <w:tcW w:w="308" w:type="pct"/>
            <w:vAlign w:val="center"/>
          </w:tcPr>
          <w:p w:rsidR="00240BCE" w:rsidRDefault="00AC0334">
            <w:pPr>
              <w:spacing w:line="340" w:lineRule="exact"/>
              <w:jc w:val="center"/>
              <w:rPr>
                <w:sz w:val="21"/>
                <w:szCs w:val="21"/>
              </w:rPr>
            </w:pPr>
            <w:r>
              <w:rPr>
                <w:sz w:val="21"/>
                <w:szCs w:val="21"/>
              </w:rPr>
              <w:t>4</w:t>
            </w:r>
          </w:p>
        </w:tc>
        <w:tc>
          <w:tcPr>
            <w:tcW w:w="610" w:type="pct"/>
            <w:vAlign w:val="center"/>
          </w:tcPr>
          <w:p w:rsidR="00240BCE" w:rsidRDefault="00AC0334">
            <w:pPr>
              <w:jc w:val="center"/>
              <w:rPr>
                <w:color w:val="000000"/>
                <w:sz w:val="21"/>
                <w:szCs w:val="21"/>
              </w:rPr>
            </w:pPr>
            <w:r>
              <w:rPr>
                <w:sz w:val="21"/>
                <w:szCs w:val="21"/>
              </w:rPr>
              <w:t>Mg</w:t>
            </w:r>
            <w:r>
              <w:rPr>
                <w:sz w:val="21"/>
                <w:szCs w:val="21"/>
                <w:vertAlign w:val="superscript"/>
              </w:rPr>
              <w:t>2+</w:t>
            </w:r>
          </w:p>
        </w:tc>
        <w:tc>
          <w:tcPr>
            <w:tcW w:w="0" w:type="auto"/>
            <w:vMerge/>
            <w:vAlign w:val="center"/>
          </w:tcPr>
          <w:p w:rsidR="00240BCE" w:rsidRDefault="00240BCE">
            <w:pPr>
              <w:widowControl/>
              <w:jc w:val="left"/>
              <w:rPr>
                <w:color w:val="000000"/>
                <w:sz w:val="21"/>
                <w:szCs w:val="21"/>
              </w:rPr>
            </w:pPr>
          </w:p>
        </w:tc>
        <w:tc>
          <w:tcPr>
            <w:tcW w:w="0" w:type="auto"/>
            <w:vMerge/>
            <w:vAlign w:val="center"/>
          </w:tcPr>
          <w:p w:rsidR="00240BCE" w:rsidRDefault="00240BCE">
            <w:pPr>
              <w:widowControl/>
              <w:jc w:val="left"/>
              <w:rPr>
                <w:color w:val="000000"/>
                <w:sz w:val="21"/>
                <w:szCs w:val="21"/>
              </w:rPr>
            </w:pPr>
          </w:p>
        </w:tc>
        <w:tc>
          <w:tcPr>
            <w:tcW w:w="646" w:type="pct"/>
            <w:vAlign w:val="center"/>
          </w:tcPr>
          <w:p w:rsidR="00240BCE" w:rsidRDefault="00AC0334">
            <w:pPr>
              <w:pStyle w:val="affffc"/>
              <w:overflowPunct w:val="0"/>
              <w:topLinePunct/>
              <w:snapToGrid w:val="0"/>
              <w:rPr>
                <w:color w:val="000000"/>
                <w:szCs w:val="21"/>
              </w:rPr>
            </w:pPr>
            <w:r>
              <w:rPr>
                <w:color w:val="000000"/>
                <w:szCs w:val="21"/>
              </w:rPr>
              <w:t>0.002mg/L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5</w:t>
            </w:r>
          </w:p>
        </w:tc>
        <w:tc>
          <w:tcPr>
            <w:tcW w:w="610" w:type="pct"/>
            <w:vAlign w:val="center"/>
          </w:tcPr>
          <w:p w:rsidR="00240BCE" w:rsidRDefault="00AC0334">
            <w:pPr>
              <w:jc w:val="center"/>
              <w:rPr>
                <w:color w:val="000000"/>
                <w:sz w:val="21"/>
                <w:szCs w:val="21"/>
              </w:rPr>
            </w:pPr>
            <w:r>
              <w:rPr>
                <w:sz w:val="21"/>
                <w:szCs w:val="21"/>
              </w:rPr>
              <w:t>CO</w:t>
            </w:r>
            <w:r>
              <w:rPr>
                <w:sz w:val="21"/>
                <w:szCs w:val="21"/>
                <w:vertAlign w:val="subscript"/>
              </w:rPr>
              <w:t>3</w:t>
            </w:r>
            <w:r>
              <w:rPr>
                <w:sz w:val="21"/>
                <w:szCs w:val="21"/>
                <w:vertAlign w:val="superscript"/>
              </w:rPr>
              <w:t>2-</w:t>
            </w:r>
          </w:p>
        </w:tc>
        <w:tc>
          <w:tcPr>
            <w:tcW w:w="2468" w:type="pct"/>
            <w:vAlign w:val="center"/>
          </w:tcPr>
          <w:p w:rsidR="00240BCE" w:rsidRDefault="00AC0334">
            <w:pPr>
              <w:jc w:val="center"/>
              <w:textAlignment w:val="center"/>
              <w:rPr>
                <w:color w:val="000000"/>
                <w:sz w:val="21"/>
                <w:szCs w:val="21"/>
              </w:rPr>
            </w:pPr>
            <w:r>
              <w:rPr>
                <w:sz w:val="21"/>
                <w:szCs w:val="21"/>
              </w:rPr>
              <w:t>《水和废水监测分析方法》（第四版增补版）酸碱指示剂滴定法</w:t>
            </w:r>
          </w:p>
        </w:tc>
        <w:tc>
          <w:tcPr>
            <w:tcW w:w="965" w:type="pct"/>
            <w:vAlign w:val="center"/>
          </w:tcPr>
          <w:p w:rsidR="00240BCE" w:rsidRDefault="00AC0334">
            <w:pPr>
              <w:jc w:val="center"/>
              <w:textAlignment w:val="center"/>
              <w:rPr>
                <w:color w:val="000000"/>
                <w:sz w:val="21"/>
                <w:szCs w:val="21"/>
              </w:rPr>
            </w:pPr>
            <w:r>
              <w:rPr>
                <w:sz w:val="21"/>
                <w:szCs w:val="21"/>
              </w:rPr>
              <w:t>滴定管</w:t>
            </w:r>
            <w:r>
              <w:rPr>
                <w:sz w:val="21"/>
                <w:szCs w:val="21"/>
              </w:rPr>
              <w:t>25mL</w:t>
            </w:r>
          </w:p>
        </w:tc>
        <w:tc>
          <w:tcPr>
            <w:tcW w:w="646" w:type="pct"/>
            <w:vAlign w:val="center"/>
          </w:tcPr>
          <w:p w:rsidR="00240BCE" w:rsidRDefault="00AC0334">
            <w:pPr>
              <w:jc w:val="center"/>
              <w:textAlignment w:val="center"/>
              <w:rPr>
                <w:color w:val="000000"/>
                <w:sz w:val="21"/>
                <w:szCs w:val="21"/>
              </w:rPr>
            </w:pPr>
            <w:r>
              <w:rPr>
                <w:sz w:val="21"/>
                <w:szCs w:val="21"/>
              </w:rPr>
              <w:t>0.08mmol/L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6</w:t>
            </w:r>
          </w:p>
        </w:tc>
        <w:tc>
          <w:tcPr>
            <w:tcW w:w="610" w:type="pct"/>
            <w:vAlign w:val="center"/>
          </w:tcPr>
          <w:p w:rsidR="00240BCE" w:rsidRDefault="00AC0334">
            <w:pPr>
              <w:jc w:val="center"/>
              <w:rPr>
                <w:color w:val="000000"/>
                <w:sz w:val="21"/>
                <w:szCs w:val="21"/>
              </w:rPr>
            </w:pPr>
            <w:r>
              <w:rPr>
                <w:sz w:val="21"/>
                <w:szCs w:val="21"/>
              </w:rPr>
              <w:t>HCO</w:t>
            </w:r>
            <w:r>
              <w:rPr>
                <w:sz w:val="21"/>
                <w:szCs w:val="21"/>
                <w:vertAlign w:val="subscript"/>
              </w:rPr>
              <w:t>3</w:t>
            </w:r>
            <w:r>
              <w:rPr>
                <w:sz w:val="21"/>
                <w:szCs w:val="21"/>
                <w:vertAlign w:val="superscript"/>
              </w:rPr>
              <w:t>-</w:t>
            </w:r>
          </w:p>
        </w:tc>
        <w:tc>
          <w:tcPr>
            <w:tcW w:w="2468" w:type="pct"/>
            <w:vAlign w:val="center"/>
          </w:tcPr>
          <w:p w:rsidR="00240BCE" w:rsidRDefault="00AC0334">
            <w:pPr>
              <w:jc w:val="center"/>
              <w:textAlignment w:val="center"/>
              <w:rPr>
                <w:color w:val="000000"/>
                <w:sz w:val="21"/>
                <w:szCs w:val="21"/>
              </w:rPr>
            </w:pPr>
            <w:r>
              <w:rPr>
                <w:sz w:val="21"/>
                <w:szCs w:val="21"/>
              </w:rPr>
              <w:t>《水和废水监测分析方法》（第四版增补版）酸碱指示剂滴定法</w:t>
            </w:r>
          </w:p>
        </w:tc>
        <w:tc>
          <w:tcPr>
            <w:tcW w:w="965" w:type="pct"/>
            <w:vAlign w:val="center"/>
          </w:tcPr>
          <w:p w:rsidR="00240BCE" w:rsidRDefault="00AC0334">
            <w:pPr>
              <w:jc w:val="center"/>
              <w:textAlignment w:val="center"/>
              <w:rPr>
                <w:color w:val="000000"/>
                <w:sz w:val="21"/>
                <w:szCs w:val="21"/>
              </w:rPr>
            </w:pPr>
            <w:r>
              <w:rPr>
                <w:sz w:val="21"/>
                <w:szCs w:val="21"/>
              </w:rPr>
              <w:t>滴定管</w:t>
            </w:r>
            <w:r>
              <w:rPr>
                <w:sz w:val="21"/>
                <w:szCs w:val="21"/>
              </w:rPr>
              <w:t>25mL</w:t>
            </w:r>
          </w:p>
        </w:tc>
        <w:tc>
          <w:tcPr>
            <w:tcW w:w="646" w:type="pct"/>
            <w:vAlign w:val="center"/>
          </w:tcPr>
          <w:p w:rsidR="00240BCE" w:rsidRDefault="00AC0334">
            <w:pPr>
              <w:jc w:val="center"/>
              <w:textAlignment w:val="center"/>
              <w:rPr>
                <w:color w:val="000000"/>
                <w:sz w:val="21"/>
                <w:szCs w:val="21"/>
              </w:rPr>
            </w:pPr>
            <w:r>
              <w:rPr>
                <w:sz w:val="21"/>
                <w:szCs w:val="21"/>
              </w:rPr>
              <w:t>0.08mmol/L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7</w:t>
            </w:r>
          </w:p>
        </w:tc>
        <w:tc>
          <w:tcPr>
            <w:tcW w:w="610" w:type="pct"/>
            <w:vAlign w:val="center"/>
          </w:tcPr>
          <w:p w:rsidR="00240BCE" w:rsidRDefault="00AC0334">
            <w:pPr>
              <w:jc w:val="center"/>
              <w:rPr>
                <w:color w:val="000000"/>
                <w:sz w:val="21"/>
                <w:szCs w:val="21"/>
              </w:rPr>
            </w:pPr>
            <w:r>
              <w:rPr>
                <w:sz w:val="21"/>
                <w:szCs w:val="21"/>
              </w:rPr>
              <w:t>Cl</w:t>
            </w:r>
            <w:r>
              <w:rPr>
                <w:sz w:val="21"/>
                <w:szCs w:val="21"/>
                <w:vertAlign w:val="superscript"/>
              </w:rPr>
              <w:t>-</w:t>
            </w:r>
          </w:p>
        </w:tc>
        <w:tc>
          <w:tcPr>
            <w:tcW w:w="2468" w:type="pct"/>
            <w:vMerge w:val="restart"/>
            <w:vAlign w:val="center"/>
          </w:tcPr>
          <w:p w:rsidR="00240BCE" w:rsidRDefault="00AC0334">
            <w:pPr>
              <w:jc w:val="center"/>
              <w:textAlignment w:val="center"/>
              <w:rPr>
                <w:color w:val="000000"/>
                <w:sz w:val="21"/>
                <w:szCs w:val="21"/>
              </w:rPr>
            </w:pPr>
            <w:r>
              <w:rPr>
                <w:sz w:val="21"/>
                <w:szCs w:val="21"/>
              </w:rPr>
              <w:t>水质</w:t>
            </w:r>
            <w:r>
              <w:rPr>
                <w:sz w:val="21"/>
                <w:szCs w:val="21"/>
              </w:rPr>
              <w:t xml:space="preserve"> </w:t>
            </w:r>
            <w:r>
              <w:rPr>
                <w:sz w:val="21"/>
                <w:szCs w:val="21"/>
              </w:rPr>
              <w:t>无机阴离子（</w:t>
            </w:r>
            <w:r>
              <w:rPr>
                <w:sz w:val="21"/>
                <w:szCs w:val="21"/>
              </w:rPr>
              <w:t>F</w:t>
            </w:r>
            <w:r>
              <w:rPr>
                <w:sz w:val="21"/>
                <w:szCs w:val="21"/>
                <w:vertAlign w:val="superscript"/>
              </w:rPr>
              <w:t>-</w:t>
            </w:r>
            <w:r>
              <w:rPr>
                <w:sz w:val="21"/>
                <w:szCs w:val="21"/>
              </w:rPr>
              <w:t>、</w:t>
            </w:r>
            <w:r>
              <w:rPr>
                <w:sz w:val="21"/>
                <w:szCs w:val="21"/>
              </w:rPr>
              <w:t>Cl</w:t>
            </w:r>
            <w:r>
              <w:rPr>
                <w:sz w:val="21"/>
                <w:szCs w:val="21"/>
                <w:vertAlign w:val="superscript"/>
              </w:rPr>
              <w:t>-</w:t>
            </w:r>
            <w:r>
              <w:rPr>
                <w:sz w:val="21"/>
                <w:szCs w:val="21"/>
              </w:rPr>
              <w:t>、</w:t>
            </w:r>
            <w:r>
              <w:rPr>
                <w:sz w:val="21"/>
                <w:szCs w:val="21"/>
              </w:rPr>
              <w:t>NO</w:t>
            </w:r>
            <w:r>
              <w:rPr>
                <w:sz w:val="21"/>
                <w:szCs w:val="21"/>
                <w:vertAlign w:val="subscript"/>
              </w:rPr>
              <w:t>2</w:t>
            </w:r>
            <w:r>
              <w:rPr>
                <w:sz w:val="21"/>
                <w:szCs w:val="21"/>
                <w:vertAlign w:val="superscript"/>
              </w:rPr>
              <w:t>-</w:t>
            </w:r>
            <w:r>
              <w:rPr>
                <w:sz w:val="21"/>
                <w:szCs w:val="21"/>
              </w:rPr>
              <w:t>、</w:t>
            </w:r>
            <w:r>
              <w:rPr>
                <w:sz w:val="21"/>
                <w:szCs w:val="21"/>
              </w:rPr>
              <w:t>Br</w:t>
            </w:r>
            <w:r>
              <w:rPr>
                <w:sz w:val="21"/>
                <w:szCs w:val="21"/>
                <w:vertAlign w:val="superscript"/>
              </w:rPr>
              <w:t>-</w:t>
            </w:r>
            <w:r>
              <w:rPr>
                <w:sz w:val="21"/>
                <w:szCs w:val="21"/>
              </w:rPr>
              <w:t>、</w:t>
            </w:r>
            <w:r>
              <w:rPr>
                <w:sz w:val="21"/>
                <w:szCs w:val="21"/>
              </w:rPr>
              <w:t>NO</w:t>
            </w:r>
            <w:r>
              <w:rPr>
                <w:sz w:val="21"/>
                <w:szCs w:val="21"/>
                <w:vertAlign w:val="subscript"/>
              </w:rPr>
              <w:t>3</w:t>
            </w:r>
            <w:r>
              <w:rPr>
                <w:sz w:val="21"/>
                <w:szCs w:val="21"/>
                <w:vertAlign w:val="superscript"/>
              </w:rPr>
              <w:t>-</w:t>
            </w:r>
            <w:r>
              <w:rPr>
                <w:sz w:val="21"/>
                <w:szCs w:val="21"/>
              </w:rPr>
              <w:t>、</w:t>
            </w:r>
            <w:r>
              <w:rPr>
                <w:sz w:val="21"/>
                <w:szCs w:val="21"/>
              </w:rPr>
              <w:t>PO</w:t>
            </w:r>
            <w:r>
              <w:rPr>
                <w:sz w:val="21"/>
                <w:szCs w:val="21"/>
                <w:vertAlign w:val="subscript"/>
              </w:rPr>
              <w:t>4</w:t>
            </w:r>
            <w:r>
              <w:rPr>
                <w:sz w:val="21"/>
                <w:szCs w:val="21"/>
                <w:vertAlign w:val="superscript"/>
              </w:rPr>
              <w:t>3-</w:t>
            </w:r>
            <w:r>
              <w:rPr>
                <w:sz w:val="21"/>
                <w:szCs w:val="21"/>
              </w:rPr>
              <w:t>、</w:t>
            </w:r>
            <w:r>
              <w:rPr>
                <w:sz w:val="21"/>
                <w:szCs w:val="21"/>
              </w:rPr>
              <w:t>SO</w:t>
            </w:r>
            <w:r>
              <w:rPr>
                <w:sz w:val="21"/>
                <w:szCs w:val="21"/>
                <w:vertAlign w:val="subscript"/>
              </w:rPr>
              <w:t>3</w:t>
            </w:r>
            <w:r>
              <w:rPr>
                <w:sz w:val="21"/>
                <w:szCs w:val="21"/>
                <w:vertAlign w:val="superscript"/>
              </w:rPr>
              <w:t>2-</w:t>
            </w:r>
            <w:r>
              <w:rPr>
                <w:sz w:val="21"/>
                <w:szCs w:val="21"/>
              </w:rPr>
              <w:t>、</w:t>
            </w:r>
            <w:r>
              <w:rPr>
                <w:sz w:val="21"/>
                <w:szCs w:val="21"/>
              </w:rPr>
              <w:t>SO</w:t>
            </w:r>
            <w:r>
              <w:rPr>
                <w:sz w:val="21"/>
                <w:szCs w:val="21"/>
                <w:vertAlign w:val="subscript"/>
              </w:rPr>
              <w:t>4</w:t>
            </w:r>
            <w:r>
              <w:rPr>
                <w:sz w:val="21"/>
                <w:szCs w:val="21"/>
                <w:vertAlign w:val="superscript"/>
              </w:rPr>
              <w:t>2-</w:t>
            </w:r>
            <w:r>
              <w:rPr>
                <w:sz w:val="21"/>
                <w:szCs w:val="21"/>
              </w:rPr>
              <w:t>）的测定离子色谱法</w:t>
            </w:r>
            <w:r>
              <w:rPr>
                <w:sz w:val="21"/>
                <w:szCs w:val="21"/>
              </w:rPr>
              <w:t>HJ 84-2016</w:t>
            </w:r>
          </w:p>
          <w:p w:rsidR="00240BCE" w:rsidRDefault="00AC0334">
            <w:pPr>
              <w:jc w:val="center"/>
              <w:textAlignment w:val="center"/>
              <w:rPr>
                <w:color w:val="000000"/>
                <w:sz w:val="21"/>
                <w:szCs w:val="21"/>
              </w:rPr>
            </w:pPr>
            <w:r>
              <w:rPr>
                <w:sz w:val="21"/>
                <w:szCs w:val="21"/>
              </w:rPr>
              <w:t>水质</w:t>
            </w:r>
            <w:r>
              <w:rPr>
                <w:sz w:val="21"/>
                <w:szCs w:val="21"/>
              </w:rPr>
              <w:t xml:space="preserve"> </w:t>
            </w:r>
            <w:r>
              <w:rPr>
                <w:sz w:val="21"/>
                <w:szCs w:val="21"/>
              </w:rPr>
              <w:t>无机阴离子（</w:t>
            </w:r>
            <w:r>
              <w:rPr>
                <w:sz w:val="21"/>
                <w:szCs w:val="21"/>
              </w:rPr>
              <w:t>F</w:t>
            </w:r>
            <w:r>
              <w:rPr>
                <w:sz w:val="21"/>
                <w:szCs w:val="21"/>
                <w:vertAlign w:val="superscript"/>
              </w:rPr>
              <w:t>-</w:t>
            </w:r>
            <w:r>
              <w:rPr>
                <w:sz w:val="21"/>
                <w:szCs w:val="21"/>
              </w:rPr>
              <w:t>、</w:t>
            </w:r>
            <w:r>
              <w:rPr>
                <w:sz w:val="21"/>
                <w:szCs w:val="21"/>
              </w:rPr>
              <w:t>Cl</w:t>
            </w:r>
            <w:r>
              <w:rPr>
                <w:sz w:val="21"/>
                <w:szCs w:val="21"/>
                <w:vertAlign w:val="superscript"/>
              </w:rPr>
              <w:t>-</w:t>
            </w:r>
            <w:r>
              <w:rPr>
                <w:sz w:val="21"/>
                <w:szCs w:val="21"/>
              </w:rPr>
              <w:t>、</w:t>
            </w:r>
            <w:r>
              <w:rPr>
                <w:sz w:val="21"/>
                <w:szCs w:val="21"/>
              </w:rPr>
              <w:t>NO</w:t>
            </w:r>
            <w:r>
              <w:rPr>
                <w:sz w:val="21"/>
                <w:szCs w:val="21"/>
                <w:vertAlign w:val="subscript"/>
              </w:rPr>
              <w:t>2</w:t>
            </w:r>
            <w:r>
              <w:rPr>
                <w:sz w:val="21"/>
                <w:szCs w:val="21"/>
                <w:vertAlign w:val="superscript"/>
              </w:rPr>
              <w:t>-</w:t>
            </w:r>
            <w:r>
              <w:rPr>
                <w:sz w:val="21"/>
                <w:szCs w:val="21"/>
              </w:rPr>
              <w:t>、</w:t>
            </w:r>
            <w:r>
              <w:rPr>
                <w:sz w:val="21"/>
                <w:szCs w:val="21"/>
              </w:rPr>
              <w:t>Br</w:t>
            </w:r>
            <w:r>
              <w:rPr>
                <w:sz w:val="21"/>
                <w:szCs w:val="21"/>
                <w:vertAlign w:val="superscript"/>
              </w:rPr>
              <w:t>-</w:t>
            </w:r>
            <w:r>
              <w:rPr>
                <w:sz w:val="21"/>
                <w:szCs w:val="21"/>
              </w:rPr>
              <w:t>、</w:t>
            </w:r>
            <w:r>
              <w:rPr>
                <w:sz w:val="21"/>
                <w:szCs w:val="21"/>
              </w:rPr>
              <w:t>NO</w:t>
            </w:r>
            <w:r>
              <w:rPr>
                <w:sz w:val="21"/>
                <w:szCs w:val="21"/>
                <w:vertAlign w:val="subscript"/>
              </w:rPr>
              <w:t>3</w:t>
            </w:r>
            <w:r>
              <w:rPr>
                <w:sz w:val="21"/>
                <w:szCs w:val="21"/>
                <w:vertAlign w:val="superscript"/>
              </w:rPr>
              <w:t>-</w:t>
            </w:r>
            <w:r>
              <w:rPr>
                <w:sz w:val="21"/>
                <w:szCs w:val="21"/>
              </w:rPr>
              <w:t>、</w:t>
            </w:r>
            <w:r>
              <w:rPr>
                <w:sz w:val="21"/>
                <w:szCs w:val="21"/>
              </w:rPr>
              <w:t>PO</w:t>
            </w:r>
            <w:r>
              <w:rPr>
                <w:sz w:val="21"/>
                <w:szCs w:val="21"/>
                <w:vertAlign w:val="subscript"/>
              </w:rPr>
              <w:t>4</w:t>
            </w:r>
            <w:r>
              <w:rPr>
                <w:sz w:val="21"/>
                <w:szCs w:val="21"/>
                <w:vertAlign w:val="superscript"/>
              </w:rPr>
              <w:t>3-</w:t>
            </w:r>
            <w:r>
              <w:rPr>
                <w:sz w:val="21"/>
                <w:szCs w:val="21"/>
              </w:rPr>
              <w:t>、</w:t>
            </w:r>
            <w:r>
              <w:rPr>
                <w:sz w:val="21"/>
                <w:szCs w:val="21"/>
              </w:rPr>
              <w:t>SO</w:t>
            </w:r>
            <w:r>
              <w:rPr>
                <w:sz w:val="21"/>
                <w:szCs w:val="21"/>
                <w:vertAlign w:val="subscript"/>
              </w:rPr>
              <w:t>3</w:t>
            </w:r>
            <w:r>
              <w:rPr>
                <w:sz w:val="21"/>
                <w:szCs w:val="21"/>
                <w:vertAlign w:val="superscript"/>
              </w:rPr>
              <w:t>2-</w:t>
            </w:r>
            <w:r>
              <w:rPr>
                <w:sz w:val="21"/>
                <w:szCs w:val="21"/>
              </w:rPr>
              <w:t>、</w:t>
            </w:r>
            <w:r>
              <w:rPr>
                <w:sz w:val="21"/>
                <w:szCs w:val="21"/>
              </w:rPr>
              <w:t>SO</w:t>
            </w:r>
            <w:r>
              <w:rPr>
                <w:sz w:val="21"/>
                <w:szCs w:val="21"/>
                <w:vertAlign w:val="subscript"/>
              </w:rPr>
              <w:t>4</w:t>
            </w:r>
            <w:r>
              <w:rPr>
                <w:sz w:val="21"/>
                <w:szCs w:val="21"/>
                <w:vertAlign w:val="superscript"/>
              </w:rPr>
              <w:t>2-</w:t>
            </w:r>
            <w:r>
              <w:rPr>
                <w:sz w:val="21"/>
                <w:szCs w:val="21"/>
              </w:rPr>
              <w:t>）的测定离子色谱法</w:t>
            </w:r>
            <w:r>
              <w:rPr>
                <w:sz w:val="21"/>
                <w:szCs w:val="21"/>
              </w:rPr>
              <w:t>HJ 84-2016</w:t>
            </w:r>
          </w:p>
        </w:tc>
        <w:tc>
          <w:tcPr>
            <w:tcW w:w="965" w:type="pct"/>
            <w:vAlign w:val="center"/>
          </w:tcPr>
          <w:p w:rsidR="00240BCE" w:rsidRDefault="00AC0334">
            <w:pPr>
              <w:jc w:val="center"/>
              <w:textAlignment w:val="center"/>
              <w:rPr>
                <w:sz w:val="21"/>
                <w:szCs w:val="21"/>
              </w:rPr>
            </w:pPr>
            <w:r>
              <w:rPr>
                <w:rStyle w:val="15f"/>
                <w:color w:val="auto"/>
                <w:sz w:val="21"/>
                <w:szCs w:val="21"/>
                <w:u w:val="none"/>
              </w:rPr>
              <w:t>离子色谱仪</w:t>
            </w:r>
            <w:r>
              <w:rPr>
                <w:rStyle w:val="15f"/>
                <w:color w:val="auto"/>
                <w:sz w:val="21"/>
                <w:szCs w:val="21"/>
                <w:u w:val="none"/>
              </w:rPr>
              <w:t xml:space="preserve"> CIC-D100</w:t>
            </w:r>
            <w:r>
              <w:rPr>
                <w:rStyle w:val="15f"/>
                <w:color w:val="auto"/>
                <w:sz w:val="21"/>
                <w:szCs w:val="21"/>
                <w:u w:val="none"/>
              </w:rPr>
              <w:t>型</w:t>
            </w:r>
          </w:p>
        </w:tc>
        <w:tc>
          <w:tcPr>
            <w:tcW w:w="646" w:type="pct"/>
            <w:vAlign w:val="center"/>
          </w:tcPr>
          <w:p w:rsidR="00240BCE" w:rsidRDefault="00AC0334">
            <w:pPr>
              <w:jc w:val="center"/>
              <w:textAlignment w:val="center"/>
              <w:rPr>
                <w:color w:val="000000"/>
                <w:sz w:val="21"/>
                <w:szCs w:val="21"/>
              </w:rPr>
            </w:pPr>
            <w:r>
              <w:rPr>
                <w:sz w:val="21"/>
                <w:szCs w:val="21"/>
              </w:rPr>
              <w:t>0.007mg/L</w:t>
            </w:r>
          </w:p>
        </w:tc>
      </w:tr>
      <w:tr w:rsidR="00240BCE">
        <w:trPr>
          <w:trHeight w:val="748"/>
          <w:jc w:val="center"/>
        </w:trPr>
        <w:tc>
          <w:tcPr>
            <w:tcW w:w="308" w:type="pct"/>
            <w:vAlign w:val="center"/>
          </w:tcPr>
          <w:p w:rsidR="00240BCE" w:rsidRDefault="00AC0334">
            <w:pPr>
              <w:spacing w:line="340" w:lineRule="exact"/>
              <w:jc w:val="center"/>
              <w:rPr>
                <w:sz w:val="21"/>
                <w:szCs w:val="21"/>
              </w:rPr>
            </w:pPr>
            <w:r>
              <w:rPr>
                <w:sz w:val="21"/>
                <w:szCs w:val="21"/>
              </w:rPr>
              <w:t>8</w:t>
            </w:r>
          </w:p>
        </w:tc>
        <w:tc>
          <w:tcPr>
            <w:tcW w:w="610" w:type="pct"/>
            <w:vAlign w:val="center"/>
          </w:tcPr>
          <w:p w:rsidR="00240BCE" w:rsidRDefault="00AC0334">
            <w:pPr>
              <w:spacing w:line="340" w:lineRule="exact"/>
              <w:jc w:val="center"/>
              <w:rPr>
                <w:sz w:val="21"/>
                <w:szCs w:val="21"/>
              </w:rPr>
            </w:pPr>
            <w:r>
              <w:rPr>
                <w:sz w:val="21"/>
                <w:szCs w:val="21"/>
              </w:rPr>
              <w:t>SO</w:t>
            </w:r>
            <w:r>
              <w:rPr>
                <w:sz w:val="21"/>
                <w:szCs w:val="21"/>
                <w:vertAlign w:val="subscript"/>
              </w:rPr>
              <w:t>4</w:t>
            </w:r>
            <w:r>
              <w:rPr>
                <w:sz w:val="21"/>
                <w:szCs w:val="21"/>
                <w:vertAlign w:val="superscript"/>
              </w:rPr>
              <w:t>2-</w:t>
            </w:r>
          </w:p>
        </w:tc>
        <w:tc>
          <w:tcPr>
            <w:tcW w:w="0" w:type="auto"/>
            <w:vMerge/>
            <w:vAlign w:val="center"/>
          </w:tcPr>
          <w:p w:rsidR="00240BCE" w:rsidRDefault="00240BCE">
            <w:pPr>
              <w:widowControl/>
              <w:jc w:val="left"/>
              <w:rPr>
                <w:color w:val="000000"/>
                <w:sz w:val="21"/>
                <w:szCs w:val="21"/>
              </w:rPr>
            </w:pPr>
          </w:p>
        </w:tc>
        <w:tc>
          <w:tcPr>
            <w:tcW w:w="965" w:type="pct"/>
            <w:vAlign w:val="center"/>
          </w:tcPr>
          <w:p w:rsidR="00240BCE" w:rsidRDefault="00AC0334">
            <w:pPr>
              <w:spacing w:line="340" w:lineRule="exact"/>
              <w:jc w:val="center"/>
              <w:rPr>
                <w:sz w:val="21"/>
                <w:szCs w:val="21"/>
              </w:rPr>
            </w:pPr>
            <w:r>
              <w:rPr>
                <w:sz w:val="21"/>
                <w:szCs w:val="21"/>
              </w:rPr>
              <w:t>离子色谱仪</w:t>
            </w:r>
            <w:r>
              <w:rPr>
                <w:sz w:val="21"/>
                <w:szCs w:val="21"/>
              </w:rPr>
              <w:t xml:space="preserve"> CIC-D100</w:t>
            </w:r>
            <w:r>
              <w:rPr>
                <w:sz w:val="21"/>
                <w:szCs w:val="21"/>
              </w:rPr>
              <w:t>型</w:t>
            </w:r>
          </w:p>
        </w:tc>
        <w:tc>
          <w:tcPr>
            <w:tcW w:w="646" w:type="pct"/>
            <w:vAlign w:val="center"/>
          </w:tcPr>
          <w:p w:rsidR="00240BCE" w:rsidRDefault="00AC0334">
            <w:pPr>
              <w:spacing w:line="340" w:lineRule="exact"/>
              <w:jc w:val="center"/>
              <w:rPr>
                <w:sz w:val="21"/>
                <w:szCs w:val="21"/>
              </w:rPr>
            </w:pPr>
            <w:r>
              <w:rPr>
                <w:sz w:val="21"/>
                <w:szCs w:val="21"/>
              </w:rPr>
              <w:t>0.018mg/L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9</w:t>
            </w:r>
          </w:p>
        </w:tc>
        <w:tc>
          <w:tcPr>
            <w:tcW w:w="610" w:type="pct"/>
            <w:vAlign w:val="center"/>
          </w:tcPr>
          <w:p w:rsidR="00240BCE" w:rsidRDefault="00AC0334">
            <w:pPr>
              <w:jc w:val="center"/>
              <w:textAlignment w:val="center"/>
              <w:rPr>
                <w:color w:val="000000"/>
                <w:sz w:val="21"/>
                <w:szCs w:val="21"/>
              </w:rPr>
            </w:pPr>
            <w:r>
              <w:rPr>
                <w:sz w:val="21"/>
                <w:szCs w:val="21"/>
              </w:rPr>
              <w:t>pH</w:t>
            </w:r>
            <w:r>
              <w:rPr>
                <w:sz w:val="21"/>
                <w:szCs w:val="21"/>
              </w:rPr>
              <w:t>值</w:t>
            </w:r>
          </w:p>
        </w:tc>
        <w:tc>
          <w:tcPr>
            <w:tcW w:w="2468" w:type="pct"/>
            <w:vAlign w:val="center"/>
          </w:tcPr>
          <w:p w:rsidR="00240BCE" w:rsidRDefault="00AC0334">
            <w:pPr>
              <w:jc w:val="center"/>
              <w:textAlignment w:val="center"/>
              <w:rPr>
                <w:color w:val="000000"/>
                <w:sz w:val="21"/>
                <w:szCs w:val="21"/>
              </w:rPr>
            </w:pPr>
            <w:r>
              <w:rPr>
                <w:sz w:val="21"/>
                <w:szCs w:val="21"/>
              </w:rPr>
              <w:t>《水和废水监测分析方法》（第四版增补版）第三篇</w:t>
            </w:r>
            <w:r>
              <w:rPr>
                <w:sz w:val="21"/>
                <w:szCs w:val="21"/>
              </w:rPr>
              <w:t xml:space="preserve"> </w:t>
            </w:r>
            <w:r>
              <w:rPr>
                <w:sz w:val="21"/>
                <w:szCs w:val="21"/>
              </w:rPr>
              <w:t>第一章</w:t>
            </w:r>
            <w:r>
              <w:rPr>
                <w:sz w:val="21"/>
                <w:szCs w:val="21"/>
              </w:rPr>
              <w:t xml:space="preserve"> </w:t>
            </w:r>
            <w:r>
              <w:rPr>
                <w:sz w:val="21"/>
                <w:szCs w:val="21"/>
              </w:rPr>
              <w:t>六</w:t>
            </w:r>
            <w:r>
              <w:rPr>
                <w:sz w:val="21"/>
                <w:szCs w:val="21"/>
              </w:rPr>
              <w:t>(</w:t>
            </w:r>
            <w:r>
              <w:rPr>
                <w:sz w:val="21"/>
                <w:szCs w:val="21"/>
              </w:rPr>
              <w:t>便携式</w:t>
            </w:r>
            <w:r>
              <w:rPr>
                <w:sz w:val="21"/>
                <w:szCs w:val="21"/>
              </w:rPr>
              <w:t>pH</w:t>
            </w:r>
            <w:r>
              <w:rPr>
                <w:sz w:val="21"/>
                <w:szCs w:val="21"/>
              </w:rPr>
              <w:t>计法）</w:t>
            </w:r>
          </w:p>
        </w:tc>
        <w:tc>
          <w:tcPr>
            <w:tcW w:w="965" w:type="pct"/>
            <w:vAlign w:val="center"/>
          </w:tcPr>
          <w:p w:rsidR="00240BCE" w:rsidRDefault="00AC0334">
            <w:pPr>
              <w:jc w:val="center"/>
              <w:textAlignment w:val="center"/>
              <w:rPr>
                <w:color w:val="000000"/>
                <w:sz w:val="21"/>
                <w:szCs w:val="21"/>
              </w:rPr>
            </w:pPr>
            <w:r>
              <w:rPr>
                <w:sz w:val="21"/>
                <w:szCs w:val="21"/>
              </w:rPr>
              <w:t>便携式</w:t>
            </w:r>
            <w:r>
              <w:rPr>
                <w:sz w:val="21"/>
                <w:szCs w:val="21"/>
              </w:rPr>
              <w:t>pH</w:t>
            </w:r>
            <w:r>
              <w:rPr>
                <w:sz w:val="21"/>
                <w:szCs w:val="21"/>
              </w:rPr>
              <w:t>计</w:t>
            </w:r>
            <w:r>
              <w:rPr>
                <w:sz w:val="21"/>
                <w:szCs w:val="21"/>
              </w:rPr>
              <w:t>PHBJ-261L</w:t>
            </w:r>
          </w:p>
        </w:tc>
        <w:tc>
          <w:tcPr>
            <w:tcW w:w="646" w:type="pct"/>
            <w:vAlign w:val="center"/>
          </w:tcPr>
          <w:p w:rsidR="00240BCE" w:rsidRDefault="00AC0334">
            <w:pPr>
              <w:jc w:val="center"/>
              <w:textAlignment w:val="center"/>
              <w:rPr>
                <w:color w:val="000000"/>
                <w:sz w:val="21"/>
                <w:szCs w:val="21"/>
              </w:rPr>
            </w:pPr>
            <w:r>
              <w:rPr>
                <w:sz w:val="21"/>
                <w:szCs w:val="21"/>
              </w:rPr>
              <w:t>/</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lastRenderedPageBreak/>
              <w:t>10</w:t>
            </w:r>
          </w:p>
        </w:tc>
        <w:tc>
          <w:tcPr>
            <w:tcW w:w="610" w:type="pct"/>
            <w:vAlign w:val="center"/>
          </w:tcPr>
          <w:p w:rsidR="00240BCE" w:rsidRDefault="00AC0334">
            <w:pPr>
              <w:jc w:val="center"/>
              <w:textAlignment w:val="center"/>
              <w:rPr>
                <w:color w:val="000000"/>
                <w:sz w:val="21"/>
                <w:szCs w:val="21"/>
              </w:rPr>
            </w:pPr>
            <w:r>
              <w:rPr>
                <w:sz w:val="21"/>
                <w:szCs w:val="21"/>
              </w:rPr>
              <w:t>氨氮</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无机非金属指标纳氏试剂分光光度法</w:t>
            </w:r>
            <w:r>
              <w:rPr>
                <w:sz w:val="21"/>
                <w:szCs w:val="21"/>
              </w:rPr>
              <w:t>GB/T 5750.5-2006</w:t>
            </w:r>
          </w:p>
        </w:tc>
        <w:tc>
          <w:tcPr>
            <w:tcW w:w="965" w:type="pct"/>
            <w:vAlign w:val="center"/>
          </w:tcPr>
          <w:p w:rsidR="00240BCE" w:rsidRDefault="00AC0334">
            <w:pPr>
              <w:jc w:val="center"/>
              <w:textAlignment w:val="center"/>
              <w:rPr>
                <w:color w:val="000000"/>
                <w:sz w:val="21"/>
                <w:szCs w:val="21"/>
              </w:rPr>
            </w:pPr>
            <w:r>
              <w:rPr>
                <w:sz w:val="21"/>
                <w:szCs w:val="21"/>
              </w:rPr>
              <w:t>紫外可见分光光度计</w:t>
            </w:r>
            <w:r>
              <w:rPr>
                <w:sz w:val="21"/>
                <w:szCs w:val="21"/>
              </w:rPr>
              <w:t xml:space="preserve"> TU-1810</w:t>
            </w:r>
          </w:p>
        </w:tc>
        <w:tc>
          <w:tcPr>
            <w:tcW w:w="646" w:type="pct"/>
            <w:vAlign w:val="center"/>
          </w:tcPr>
          <w:p w:rsidR="00240BCE" w:rsidRDefault="00AC0334">
            <w:pPr>
              <w:jc w:val="center"/>
              <w:textAlignment w:val="center"/>
              <w:rPr>
                <w:color w:val="000000"/>
                <w:sz w:val="21"/>
                <w:szCs w:val="21"/>
              </w:rPr>
            </w:pPr>
            <w:r>
              <w:rPr>
                <w:sz w:val="21"/>
                <w:szCs w:val="21"/>
              </w:rPr>
              <w:t>0.02mg/L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11</w:t>
            </w:r>
          </w:p>
        </w:tc>
        <w:tc>
          <w:tcPr>
            <w:tcW w:w="610" w:type="pct"/>
            <w:vAlign w:val="center"/>
          </w:tcPr>
          <w:p w:rsidR="00240BCE" w:rsidRDefault="00AC0334">
            <w:pPr>
              <w:jc w:val="center"/>
              <w:textAlignment w:val="center"/>
              <w:rPr>
                <w:color w:val="000000"/>
                <w:sz w:val="21"/>
                <w:szCs w:val="21"/>
              </w:rPr>
            </w:pPr>
            <w:r>
              <w:rPr>
                <w:sz w:val="21"/>
                <w:szCs w:val="21"/>
              </w:rPr>
              <w:t>氟化物</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无机非金属指标离子选择电极法</w:t>
            </w:r>
            <w:r>
              <w:rPr>
                <w:sz w:val="21"/>
                <w:szCs w:val="21"/>
              </w:rPr>
              <w:t>GB/T 5750.5-2006</w:t>
            </w:r>
          </w:p>
        </w:tc>
        <w:tc>
          <w:tcPr>
            <w:tcW w:w="965" w:type="pct"/>
            <w:vAlign w:val="center"/>
          </w:tcPr>
          <w:p w:rsidR="00240BCE" w:rsidRDefault="00AC0334">
            <w:pPr>
              <w:jc w:val="center"/>
              <w:textAlignment w:val="center"/>
              <w:rPr>
                <w:color w:val="000000"/>
                <w:sz w:val="21"/>
                <w:szCs w:val="21"/>
              </w:rPr>
            </w:pPr>
            <w:r>
              <w:rPr>
                <w:sz w:val="21"/>
                <w:szCs w:val="21"/>
              </w:rPr>
              <w:t>酸度计</w:t>
            </w:r>
            <w:r>
              <w:rPr>
                <w:sz w:val="21"/>
                <w:szCs w:val="21"/>
              </w:rPr>
              <w:t>PHS-3C</w:t>
            </w:r>
          </w:p>
        </w:tc>
        <w:tc>
          <w:tcPr>
            <w:tcW w:w="646" w:type="pct"/>
            <w:vAlign w:val="center"/>
          </w:tcPr>
          <w:p w:rsidR="00240BCE" w:rsidRDefault="00AC0334">
            <w:pPr>
              <w:jc w:val="center"/>
              <w:textAlignment w:val="center"/>
              <w:rPr>
                <w:color w:val="000000"/>
                <w:sz w:val="21"/>
                <w:szCs w:val="21"/>
              </w:rPr>
            </w:pPr>
            <w:r>
              <w:rPr>
                <w:sz w:val="21"/>
                <w:szCs w:val="21"/>
              </w:rPr>
              <w:t>0.2mg/L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12</w:t>
            </w:r>
          </w:p>
        </w:tc>
        <w:tc>
          <w:tcPr>
            <w:tcW w:w="610" w:type="pct"/>
            <w:vAlign w:val="center"/>
          </w:tcPr>
          <w:p w:rsidR="00240BCE" w:rsidRDefault="00AC0334">
            <w:pPr>
              <w:adjustRightInd w:val="0"/>
              <w:snapToGrid w:val="0"/>
              <w:jc w:val="center"/>
              <w:rPr>
                <w:color w:val="000000"/>
                <w:sz w:val="21"/>
                <w:szCs w:val="21"/>
              </w:rPr>
            </w:pPr>
            <w:r>
              <w:rPr>
                <w:sz w:val="21"/>
                <w:szCs w:val="21"/>
              </w:rPr>
              <w:t>硝酸盐</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无机非金属指标麝香草酚分光光度法</w:t>
            </w:r>
            <w:r>
              <w:rPr>
                <w:sz w:val="21"/>
                <w:szCs w:val="21"/>
              </w:rPr>
              <w:t>GB/T 5750.5-2006</w:t>
            </w:r>
          </w:p>
        </w:tc>
        <w:tc>
          <w:tcPr>
            <w:tcW w:w="965" w:type="pct"/>
            <w:vAlign w:val="center"/>
          </w:tcPr>
          <w:p w:rsidR="00240BCE" w:rsidRDefault="00AC0334">
            <w:pPr>
              <w:jc w:val="center"/>
              <w:textAlignment w:val="center"/>
              <w:rPr>
                <w:color w:val="000000"/>
                <w:sz w:val="21"/>
                <w:szCs w:val="21"/>
              </w:rPr>
            </w:pPr>
            <w:r>
              <w:rPr>
                <w:sz w:val="21"/>
                <w:szCs w:val="21"/>
              </w:rPr>
              <w:t>紫外可见分光光度计</w:t>
            </w:r>
            <w:r>
              <w:rPr>
                <w:sz w:val="21"/>
                <w:szCs w:val="21"/>
              </w:rPr>
              <w:t xml:space="preserve">   T6</w:t>
            </w:r>
            <w:r>
              <w:rPr>
                <w:sz w:val="21"/>
                <w:szCs w:val="21"/>
              </w:rPr>
              <w:t>新世纪</w:t>
            </w:r>
          </w:p>
        </w:tc>
        <w:tc>
          <w:tcPr>
            <w:tcW w:w="646" w:type="pct"/>
            <w:vAlign w:val="center"/>
          </w:tcPr>
          <w:p w:rsidR="00240BCE" w:rsidRDefault="00AC0334">
            <w:pPr>
              <w:jc w:val="center"/>
              <w:textAlignment w:val="center"/>
              <w:rPr>
                <w:color w:val="000000"/>
                <w:sz w:val="21"/>
                <w:szCs w:val="21"/>
              </w:rPr>
            </w:pPr>
            <w:r>
              <w:rPr>
                <w:sz w:val="21"/>
                <w:szCs w:val="21"/>
              </w:rPr>
              <w:t>0.5mg/L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13</w:t>
            </w:r>
          </w:p>
        </w:tc>
        <w:tc>
          <w:tcPr>
            <w:tcW w:w="610" w:type="pct"/>
            <w:vAlign w:val="center"/>
          </w:tcPr>
          <w:p w:rsidR="00240BCE" w:rsidRDefault="00AC0334">
            <w:pPr>
              <w:adjustRightInd w:val="0"/>
              <w:snapToGrid w:val="0"/>
              <w:jc w:val="center"/>
              <w:rPr>
                <w:color w:val="000000"/>
                <w:sz w:val="21"/>
                <w:szCs w:val="21"/>
              </w:rPr>
            </w:pPr>
            <w:r>
              <w:rPr>
                <w:sz w:val="21"/>
                <w:szCs w:val="21"/>
              </w:rPr>
              <w:t>亚硝酸盐</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无机非金属指标重氮偶合分光光度法</w:t>
            </w:r>
            <w:r>
              <w:rPr>
                <w:sz w:val="21"/>
                <w:szCs w:val="21"/>
              </w:rPr>
              <w:t>GB/T 5750.5-2006</w:t>
            </w:r>
          </w:p>
        </w:tc>
        <w:tc>
          <w:tcPr>
            <w:tcW w:w="965" w:type="pct"/>
            <w:vAlign w:val="center"/>
          </w:tcPr>
          <w:p w:rsidR="00240BCE" w:rsidRDefault="00AC0334">
            <w:pPr>
              <w:jc w:val="center"/>
              <w:textAlignment w:val="center"/>
              <w:rPr>
                <w:color w:val="000000"/>
                <w:sz w:val="21"/>
                <w:szCs w:val="21"/>
              </w:rPr>
            </w:pPr>
            <w:r>
              <w:rPr>
                <w:sz w:val="21"/>
                <w:szCs w:val="21"/>
              </w:rPr>
              <w:t>紫外可见分光光度计</w:t>
            </w:r>
            <w:r>
              <w:rPr>
                <w:sz w:val="21"/>
                <w:szCs w:val="21"/>
              </w:rPr>
              <w:t xml:space="preserve"> TU1810</w:t>
            </w:r>
          </w:p>
        </w:tc>
        <w:tc>
          <w:tcPr>
            <w:tcW w:w="646" w:type="pct"/>
            <w:vAlign w:val="center"/>
          </w:tcPr>
          <w:p w:rsidR="00240BCE" w:rsidRDefault="00AC0334">
            <w:pPr>
              <w:jc w:val="center"/>
              <w:textAlignment w:val="center"/>
              <w:rPr>
                <w:color w:val="000000"/>
                <w:sz w:val="21"/>
                <w:szCs w:val="21"/>
              </w:rPr>
            </w:pPr>
            <w:r>
              <w:rPr>
                <w:sz w:val="21"/>
                <w:szCs w:val="21"/>
              </w:rPr>
              <w:t>0.001mg/L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14</w:t>
            </w:r>
          </w:p>
        </w:tc>
        <w:tc>
          <w:tcPr>
            <w:tcW w:w="610" w:type="pct"/>
            <w:vAlign w:val="center"/>
          </w:tcPr>
          <w:p w:rsidR="00240BCE" w:rsidRDefault="00AC0334">
            <w:pPr>
              <w:jc w:val="center"/>
              <w:textAlignment w:val="center"/>
              <w:rPr>
                <w:color w:val="000000"/>
                <w:sz w:val="21"/>
                <w:szCs w:val="21"/>
              </w:rPr>
            </w:pPr>
            <w:r>
              <w:rPr>
                <w:sz w:val="21"/>
                <w:szCs w:val="21"/>
              </w:rPr>
              <w:t>砷</w:t>
            </w:r>
          </w:p>
        </w:tc>
        <w:tc>
          <w:tcPr>
            <w:tcW w:w="2468" w:type="pct"/>
            <w:vAlign w:val="center"/>
          </w:tcPr>
          <w:p w:rsidR="00240BCE" w:rsidRDefault="00AC0334">
            <w:pPr>
              <w:jc w:val="center"/>
              <w:textAlignment w:val="center"/>
              <w:rPr>
                <w:sz w:val="21"/>
                <w:szCs w:val="21"/>
              </w:rPr>
            </w:pPr>
            <w:r>
              <w:rPr>
                <w:sz w:val="21"/>
                <w:szCs w:val="21"/>
              </w:rPr>
              <w:t>生活饮用水标准检验方法</w:t>
            </w:r>
            <w:r>
              <w:rPr>
                <w:sz w:val="21"/>
                <w:szCs w:val="21"/>
              </w:rPr>
              <w:t xml:space="preserve"> </w:t>
            </w:r>
            <w:r>
              <w:rPr>
                <w:sz w:val="21"/>
                <w:szCs w:val="21"/>
              </w:rPr>
              <w:t>金属指标氢化物原子荧光法</w:t>
            </w:r>
            <w:r>
              <w:rPr>
                <w:sz w:val="21"/>
                <w:szCs w:val="21"/>
              </w:rPr>
              <w:t>GB/T 5750.6-2006</w:t>
            </w:r>
          </w:p>
        </w:tc>
        <w:tc>
          <w:tcPr>
            <w:tcW w:w="965" w:type="pct"/>
            <w:vAlign w:val="center"/>
          </w:tcPr>
          <w:p w:rsidR="00240BCE" w:rsidRDefault="00AC0334">
            <w:pPr>
              <w:jc w:val="center"/>
              <w:textAlignment w:val="center"/>
              <w:rPr>
                <w:sz w:val="21"/>
                <w:szCs w:val="21"/>
              </w:rPr>
            </w:pPr>
            <w:r>
              <w:rPr>
                <w:sz w:val="21"/>
                <w:szCs w:val="21"/>
              </w:rPr>
              <w:t>原子荧光光度计</w:t>
            </w:r>
            <w:r>
              <w:rPr>
                <w:sz w:val="21"/>
                <w:szCs w:val="21"/>
              </w:rPr>
              <w:t>PF31</w:t>
            </w:r>
          </w:p>
        </w:tc>
        <w:tc>
          <w:tcPr>
            <w:tcW w:w="646" w:type="pct"/>
            <w:vAlign w:val="center"/>
          </w:tcPr>
          <w:p w:rsidR="00240BCE" w:rsidRDefault="00AC0334">
            <w:pPr>
              <w:jc w:val="center"/>
              <w:textAlignment w:val="center"/>
              <w:rPr>
                <w:sz w:val="21"/>
                <w:szCs w:val="21"/>
              </w:rPr>
            </w:pPr>
            <w:r>
              <w:rPr>
                <w:sz w:val="21"/>
                <w:szCs w:val="21"/>
              </w:rPr>
              <w:t>1.0μg/L</w:t>
            </w:r>
          </w:p>
        </w:tc>
      </w:tr>
      <w:tr w:rsidR="00240BCE">
        <w:trPr>
          <w:trHeight w:val="567"/>
          <w:jc w:val="center"/>
        </w:trPr>
        <w:tc>
          <w:tcPr>
            <w:tcW w:w="308" w:type="pct"/>
            <w:vAlign w:val="center"/>
          </w:tcPr>
          <w:p w:rsidR="00240BCE" w:rsidRDefault="00AC0334">
            <w:pPr>
              <w:spacing w:line="340" w:lineRule="exact"/>
              <w:jc w:val="center"/>
              <w:rPr>
                <w:sz w:val="21"/>
                <w:szCs w:val="21"/>
              </w:rPr>
            </w:pPr>
            <w:r>
              <w:rPr>
                <w:sz w:val="21"/>
                <w:szCs w:val="21"/>
              </w:rPr>
              <w:t>15</w:t>
            </w:r>
          </w:p>
        </w:tc>
        <w:tc>
          <w:tcPr>
            <w:tcW w:w="610" w:type="pct"/>
            <w:vAlign w:val="center"/>
          </w:tcPr>
          <w:p w:rsidR="00240BCE" w:rsidRDefault="00AC0334">
            <w:pPr>
              <w:spacing w:line="340" w:lineRule="exact"/>
              <w:jc w:val="center"/>
              <w:rPr>
                <w:sz w:val="21"/>
                <w:szCs w:val="21"/>
              </w:rPr>
            </w:pPr>
            <w:r>
              <w:rPr>
                <w:sz w:val="21"/>
                <w:szCs w:val="21"/>
              </w:rPr>
              <w:t>汞</w:t>
            </w:r>
          </w:p>
        </w:tc>
        <w:tc>
          <w:tcPr>
            <w:tcW w:w="2468" w:type="pct"/>
            <w:vAlign w:val="center"/>
          </w:tcPr>
          <w:p w:rsidR="00240BCE" w:rsidRDefault="00AC0334">
            <w:pPr>
              <w:jc w:val="center"/>
              <w:textAlignment w:val="center"/>
              <w:rPr>
                <w:sz w:val="21"/>
                <w:szCs w:val="21"/>
              </w:rPr>
            </w:pPr>
            <w:r>
              <w:rPr>
                <w:sz w:val="21"/>
                <w:szCs w:val="21"/>
              </w:rPr>
              <w:t>生活饮用水标准检验方法</w:t>
            </w:r>
            <w:r>
              <w:rPr>
                <w:sz w:val="21"/>
                <w:szCs w:val="21"/>
              </w:rPr>
              <w:t xml:space="preserve"> </w:t>
            </w:r>
            <w:r>
              <w:rPr>
                <w:sz w:val="21"/>
                <w:szCs w:val="21"/>
              </w:rPr>
              <w:t>金属指标原子荧光法</w:t>
            </w:r>
            <w:r>
              <w:rPr>
                <w:sz w:val="21"/>
                <w:szCs w:val="21"/>
              </w:rPr>
              <w:t>GB/T 5750.6-2006</w:t>
            </w:r>
          </w:p>
        </w:tc>
        <w:tc>
          <w:tcPr>
            <w:tcW w:w="965" w:type="pct"/>
            <w:vAlign w:val="center"/>
          </w:tcPr>
          <w:p w:rsidR="00240BCE" w:rsidRDefault="00AC0334">
            <w:pPr>
              <w:jc w:val="center"/>
              <w:textAlignment w:val="center"/>
              <w:rPr>
                <w:sz w:val="21"/>
                <w:szCs w:val="21"/>
              </w:rPr>
            </w:pPr>
            <w:r>
              <w:rPr>
                <w:sz w:val="21"/>
                <w:szCs w:val="21"/>
              </w:rPr>
              <w:t>原子荧光光度计</w:t>
            </w:r>
            <w:r>
              <w:rPr>
                <w:sz w:val="21"/>
                <w:szCs w:val="21"/>
              </w:rPr>
              <w:t>PF31</w:t>
            </w:r>
          </w:p>
        </w:tc>
        <w:tc>
          <w:tcPr>
            <w:tcW w:w="646" w:type="pct"/>
            <w:vAlign w:val="center"/>
          </w:tcPr>
          <w:p w:rsidR="00240BCE" w:rsidRDefault="00AC0334">
            <w:pPr>
              <w:jc w:val="center"/>
              <w:textAlignment w:val="center"/>
              <w:rPr>
                <w:sz w:val="21"/>
                <w:szCs w:val="21"/>
              </w:rPr>
            </w:pPr>
            <w:r>
              <w:rPr>
                <w:sz w:val="21"/>
                <w:szCs w:val="21"/>
              </w:rPr>
              <w:t>0.1μg/L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16</w:t>
            </w:r>
          </w:p>
        </w:tc>
        <w:tc>
          <w:tcPr>
            <w:tcW w:w="610" w:type="pct"/>
            <w:vAlign w:val="center"/>
          </w:tcPr>
          <w:p w:rsidR="00240BCE" w:rsidRDefault="00AC0334">
            <w:pPr>
              <w:spacing w:line="340" w:lineRule="exact"/>
              <w:jc w:val="center"/>
              <w:rPr>
                <w:sz w:val="21"/>
                <w:szCs w:val="21"/>
              </w:rPr>
            </w:pPr>
            <w:r>
              <w:rPr>
                <w:sz w:val="21"/>
                <w:szCs w:val="21"/>
              </w:rPr>
              <w:t>六价铬</w:t>
            </w:r>
          </w:p>
        </w:tc>
        <w:tc>
          <w:tcPr>
            <w:tcW w:w="2468" w:type="pct"/>
            <w:vAlign w:val="center"/>
          </w:tcPr>
          <w:p w:rsidR="00240BCE" w:rsidRDefault="00AC0334">
            <w:pPr>
              <w:jc w:val="center"/>
              <w:textAlignment w:val="center"/>
              <w:rPr>
                <w:sz w:val="21"/>
                <w:szCs w:val="21"/>
              </w:rPr>
            </w:pPr>
            <w:r>
              <w:rPr>
                <w:sz w:val="21"/>
                <w:szCs w:val="21"/>
              </w:rPr>
              <w:t>生活饮用水标准检验方法</w:t>
            </w:r>
            <w:r>
              <w:rPr>
                <w:sz w:val="21"/>
                <w:szCs w:val="21"/>
              </w:rPr>
              <w:t xml:space="preserve"> </w:t>
            </w:r>
            <w:r>
              <w:rPr>
                <w:sz w:val="21"/>
                <w:szCs w:val="21"/>
              </w:rPr>
              <w:t>金属指标二苯碳酰二肼分光光度法</w:t>
            </w:r>
            <w:r>
              <w:rPr>
                <w:sz w:val="21"/>
                <w:szCs w:val="21"/>
              </w:rPr>
              <w:t>GB/T 5750.6-2006</w:t>
            </w:r>
          </w:p>
        </w:tc>
        <w:tc>
          <w:tcPr>
            <w:tcW w:w="965" w:type="pct"/>
            <w:vAlign w:val="center"/>
          </w:tcPr>
          <w:p w:rsidR="00240BCE" w:rsidRDefault="00AC0334">
            <w:pPr>
              <w:jc w:val="center"/>
              <w:textAlignment w:val="center"/>
              <w:rPr>
                <w:sz w:val="21"/>
                <w:szCs w:val="21"/>
              </w:rPr>
            </w:pPr>
            <w:r>
              <w:rPr>
                <w:sz w:val="21"/>
                <w:szCs w:val="21"/>
              </w:rPr>
              <w:t>紫外可见分光光度计</w:t>
            </w:r>
            <w:r>
              <w:rPr>
                <w:sz w:val="21"/>
                <w:szCs w:val="21"/>
              </w:rPr>
              <w:t xml:space="preserve"> TU1810</w:t>
            </w:r>
          </w:p>
        </w:tc>
        <w:tc>
          <w:tcPr>
            <w:tcW w:w="646" w:type="pct"/>
            <w:vAlign w:val="center"/>
          </w:tcPr>
          <w:p w:rsidR="00240BCE" w:rsidRDefault="00AC0334">
            <w:pPr>
              <w:jc w:val="center"/>
              <w:textAlignment w:val="center"/>
              <w:rPr>
                <w:sz w:val="21"/>
                <w:szCs w:val="21"/>
              </w:rPr>
            </w:pPr>
            <w:r>
              <w:rPr>
                <w:sz w:val="21"/>
                <w:szCs w:val="21"/>
              </w:rPr>
              <w:t>0.004mg/L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17</w:t>
            </w:r>
          </w:p>
        </w:tc>
        <w:tc>
          <w:tcPr>
            <w:tcW w:w="610" w:type="pct"/>
            <w:vAlign w:val="center"/>
          </w:tcPr>
          <w:p w:rsidR="00240BCE" w:rsidRDefault="00AC0334">
            <w:pPr>
              <w:spacing w:line="340" w:lineRule="exact"/>
              <w:jc w:val="center"/>
              <w:rPr>
                <w:sz w:val="21"/>
                <w:szCs w:val="21"/>
              </w:rPr>
            </w:pPr>
            <w:r>
              <w:rPr>
                <w:sz w:val="21"/>
                <w:szCs w:val="21"/>
              </w:rPr>
              <w:t>铅</w:t>
            </w:r>
          </w:p>
        </w:tc>
        <w:tc>
          <w:tcPr>
            <w:tcW w:w="2468" w:type="pct"/>
            <w:vAlign w:val="center"/>
          </w:tcPr>
          <w:p w:rsidR="00240BCE" w:rsidRDefault="00AC0334">
            <w:pPr>
              <w:jc w:val="center"/>
              <w:textAlignment w:val="center"/>
              <w:rPr>
                <w:sz w:val="21"/>
                <w:szCs w:val="21"/>
              </w:rPr>
            </w:pPr>
            <w:r>
              <w:rPr>
                <w:sz w:val="21"/>
                <w:szCs w:val="21"/>
              </w:rPr>
              <w:t>生活饮用水标准检验方法</w:t>
            </w:r>
            <w:r>
              <w:rPr>
                <w:sz w:val="21"/>
                <w:szCs w:val="21"/>
              </w:rPr>
              <w:t xml:space="preserve"> </w:t>
            </w:r>
            <w:r>
              <w:rPr>
                <w:sz w:val="21"/>
                <w:szCs w:val="21"/>
              </w:rPr>
              <w:t>金属指标无火焰原子吸收分光光度法</w:t>
            </w:r>
            <w:r>
              <w:rPr>
                <w:sz w:val="21"/>
                <w:szCs w:val="21"/>
              </w:rPr>
              <w:t>GB/T 5750.6-2006</w:t>
            </w:r>
          </w:p>
        </w:tc>
        <w:tc>
          <w:tcPr>
            <w:tcW w:w="965" w:type="pct"/>
            <w:vAlign w:val="center"/>
          </w:tcPr>
          <w:p w:rsidR="00240BCE" w:rsidRDefault="00AC0334">
            <w:pPr>
              <w:jc w:val="center"/>
              <w:textAlignment w:val="center"/>
              <w:rPr>
                <w:sz w:val="21"/>
                <w:szCs w:val="21"/>
              </w:rPr>
            </w:pPr>
            <w:r>
              <w:rPr>
                <w:sz w:val="21"/>
                <w:szCs w:val="21"/>
              </w:rPr>
              <w:t>原子吸收分光光度计</w:t>
            </w:r>
            <w:r>
              <w:rPr>
                <w:sz w:val="21"/>
                <w:szCs w:val="21"/>
              </w:rPr>
              <w:t xml:space="preserve"> TAS-990AFG</w:t>
            </w:r>
          </w:p>
        </w:tc>
        <w:tc>
          <w:tcPr>
            <w:tcW w:w="646" w:type="pct"/>
            <w:vAlign w:val="center"/>
          </w:tcPr>
          <w:p w:rsidR="00240BCE" w:rsidRDefault="00AC0334">
            <w:pPr>
              <w:jc w:val="center"/>
              <w:textAlignment w:val="center"/>
              <w:rPr>
                <w:sz w:val="21"/>
                <w:szCs w:val="21"/>
              </w:rPr>
            </w:pPr>
            <w:r>
              <w:rPr>
                <w:sz w:val="21"/>
                <w:szCs w:val="21"/>
              </w:rPr>
              <w:t>2.5μg/L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18</w:t>
            </w:r>
          </w:p>
        </w:tc>
        <w:tc>
          <w:tcPr>
            <w:tcW w:w="610" w:type="pct"/>
            <w:vAlign w:val="center"/>
          </w:tcPr>
          <w:p w:rsidR="00240BCE" w:rsidRDefault="00AC0334">
            <w:pPr>
              <w:jc w:val="center"/>
              <w:textAlignment w:val="center"/>
              <w:rPr>
                <w:color w:val="000000"/>
                <w:sz w:val="21"/>
                <w:szCs w:val="21"/>
              </w:rPr>
            </w:pPr>
            <w:r>
              <w:rPr>
                <w:sz w:val="21"/>
                <w:szCs w:val="21"/>
              </w:rPr>
              <w:t>总硬度</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感官性状和物理指标乙二胺四乙酸二钠滴定法</w:t>
            </w:r>
            <w:r>
              <w:rPr>
                <w:sz w:val="21"/>
                <w:szCs w:val="21"/>
              </w:rPr>
              <w:t>GB/T 5750.4-2006</w:t>
            </w:r>
          </w:p>
        </w:tc>
        <w:tc>
          <w:tcPr>
            <w:tcW w:w="965" w:type="pct"/>
            <w:vAlign w:val="center"/>
          </w:tcPr>
          <w:p w:rsidR="00240BCE" w:rsidRDefault="00AC0334">
            <w:pPr>
              <w:jc w:val="center"/>
              <w:textAlignment w:val="center"/>
              <w:rPr>
                <w:color w:val="000000"/>
                <w:sz w:val="21"/>
                <w:szCs w:val="21"/>
              </w:rPr>
            </w:pPr>
            <w:r>
              <w:rPr>
                <w:sz w:val="21"/>
                <w:szCs w:val="21"/>
              </w:rPr>
              <w:t>滴定管</w:t>
            </w:r>
            <w:r>
              <w:rPr>
                <w:sz w:val="21"/>
                <w:szCs w:val="21"/>
              </w:rPr>
              <w:t>25mL</w:t>
            </w:r>
          </w:p>
        </w:tc>
        <w:tc>
          <w:tcPr>
            <w:tcW w:w="646" w:type="pct"/>
            <w:vAlign w:val="center"/>
          </w:tcPr>
          <w:p w:rsidR="00240BCE" w:rsidRDefault="00AC0334">
            <w:pPr>
              <w:jc w:val="center"/>
              <w:textAlignment w:val="center"/>
              <w:rPr>
                <w:color w:val="000000"/>
                <w:sz w:val="21"/>
                <w:szCs w:val="21"/>
              </w:rPr>
            </w:pPr>
            <w:r>
              <w:rPr>
                <w:sz w:val="21"/>
                <w:szCs w:val="21"/>
              </w:rPr>
              <w:t>1.0mg/L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19</w:t>
            </w:r>
          </w:p>
        </w:tc>
        <w:tc>
          <w:tcPr>
            <w:tcW w:w="610" w:type="pct"/>
            <w:vAlign w:val="center"/>
          </w:tcPr>
          <w:p w:rsidR="00240BCE" w:rsidRDefault="00AC0334">
            <w:pPr>
              <w:jc w:val="center"/>
              <w:textAlignment w:val="center"/>
              <w:rPr>
                <w:color w:val="000000"/>
                <w:sz w:val="21"/>
                <w:szCs w:val="21"/>
              </w:rPr>
            </w:pPr>
            <w:r>
              <w:rPr>
                <w:sz w:val="21"/>
                <w:szCs w:val="21"/>
              </w:rPr>
              <w:t>氰化物</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无机非金属指标异烟酸</w:t>
            </w:r>
            <w:r>
              <w:rPr>
                <w:sz w:val="21"/>
                <w:szCs w:val="21"/>
              </w:rPr>
              <w:t>-</w:t>
            </w:r>
            <w:r>
              <w:rPr>
                <w:sz w:val="21"/>
                <w:szCs w:val="21"/>
              </w:rPr>
              <w:t>吡唑酮分光光度法</w:t>
            </w:r>
            <w:r>
              <w:rPr>
                <w:sz w:val="21"/>
                <w:szCs w:val="21"/>
              </w:rPr>
              <w:t>GB/T 5750.5-2006</w:t>
            </w:r>
          </w:p>
        </w:tc>
        <w:tc>
          <w:tcPr>
            <w:tcW w:w="965" w:type="pct"/>
            <w:vAlign w:val="center"/>
          </w:tcPr>
          <w:p w:rsidR="00240BCE" w:rsidRDefault="00AC0334">
            <w:pPr>
              <w:jc w:val="center"/>
              <w:textAlignment w:val="center"/>
              <w:rPr>
                <w:color w:val="000000"/>
                <w:sz w:val="21"/>
                <w:szCs w:val="21"/>
              </w:rPr>
            </w:pPr>
            <w:r>
              <w:rPr>
                <w:sz w:val="21"/>
                <w:szCs w:val="21"/>
              </w:rPr>
              <w:t>紫外可见分光光度计</w:t>
            </w:r>
            <w:r>
              <w:rPr>
                <w:sz w:val="21"/>
                <w:szCs w:val="21"/>
              </w:rPr>
              <w:t xml:space="preserve">  T6</w:t>
            </w:r>
            <w:r>
              <w:rPr>
                <w:sz w:val="21"/>
                <w:szCs w:val="21"/>
              </w:rPr>
              <w:t>新世纪</w:t>
            </w:r>
          </w:p>
        </w:tc>
        <w:tc>
          <w:tcPr>
            <w:tcW w:w="646" w:type="pct"/>
            <w:vAlign w:val="center"/>
          </w:tcPr>
          <w:p w:rsidR="00240BCE" w:rsidRDefault="00AC0334">
            <w:pPr>
              <w:jc w:val="center"/>
              <w:textAlignment w:val="center"/>
              <w:rPr>
                <w:color w:val="000000"/>
                <w:sz w:val="21"/>
                <w:szCs w:val="21"/>
              </w:rPr>
            </w:pPr>
            <w:r>
              <w:rPr>
                <w:sz w:val="21"/>
                <w:szCs w:val="21"/>
              </w:rPr>
              <w:t>0.002mg/L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20</w:t>
            </w:r>
          </w:p>
        </w:tc>
        <w:tc>
          <w:tcPr>
            <w:tcW w:w="610" w:type="pct"/>
            <w:vAlign w:val="center"/>
          </w:tcPr>
          <w:p w:rsidR="00240BCE" w:rsidRDefault="00AC0334">
            <w:pPr>
              <w:jc w:val="center"/>
              <w:textAlignment w:val="center"/>
              <w:rPr>
                <w:color w:val="000000"/>
                <w:sz w:val="21"/>
                <w:szCs w:val="21"/>
              </w:rPr>
            </w:pPr>
            <w:r>
              <w:rPr>
                <w:sz w:val="21"/>
                <w:szCs w:val="21"/>
              </w:rPr>
              <w:t>镉</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金属指标无火焰原子吸收分光光度法</w:t>
            </w:r>
            <w:r>
              <w:rPr>
                <w:sz w:val="21"/>
                <w:szCs w:val="21"/>
              </w:rPr>
              <w:t>GB/T 5750.6-2006</w:t>
            </w:r>
          </w:p>
        </w:tc>
        <w:tc>
          <w:tcPr>
            <w:tcW w:w="965" w:type="pct"/>
            <w:vAlign w:val="center"/>
          </w:tcPr>
          <w:p w:rsidR="00240BCE" w:rsidRDefault="00AC0334">
            <w:pPr>
              <w:jc w:val="center"/>
              <w:textAlignment w:val="center"/>
              <w:rPr>
                <w:color w:val="000000"/>
                <w:sz w:val="21"/>
                <w:szCs w:val="21"/>
              </w:rPr>
            </w:pPr>
            <w:r>
              <w:rPr>
                <w:sz w:val="21"/>
                <w:szCs w:val="21"/>
              </w:rPr>
              <w:t>原子吸收分光光度计</w:t>
            </w:r>
            <w:r>
              <w:rPr>
                <w:sz w:val="21"/>
                <w:szCs w:val="21"/>
              </w:rPr>
              <w:t xml:space="preserve"> TAS-990AFG</w:t>
            </w:r>
          </w:p>
        </w:tc>
        <w:tc>
          <w:tcPr>
            <w:tcW w:w="646" w:type="pct"/>
            <w:vAlign w:val="center"/>
          </w:tcPr>
          <w:p w:rsidR="00240BCE" w:rsidRDefault="00AC0334">
            <w:pPr>
              <w:jc w:val="center"/>
              <w:textAlignment w:val="center"/>
              <w:rPr>
                <w:color w:val="000000"/>
                <w:sz w:val="21"/>
                <w:szCs w:val="21"/>
              </w:rPr>
            </w:pPr>
            <w:r>
              <w:rPr>
                <w:sz w:val="21"/>
                <w:szCs w:val="21"/>
              </w:rPr>
              <w:t>0.5μg/L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21</w:t>
            </w:r>
          </w:p>
        </w:tc>
        <w:tc>
          <w:tcPr>
            <w:tcW w:w="610" w:type="pct"/>
            <w:vAlign w:val="center"/>
          </w:tcPr>
          <w:p w:rsidR="00240BCE" w:rsidRDefault="00AC0334">
            <w:pPr>
              <w:jc w:val="center"/>
              <w:textAlignment w:val="center"/>
              <w:rPr>
                <w:color w:val="000000"/>
                <w:sz w:val="21"/>
                <w:szCs w:val="21"/>
              </w:rPr>
            </w:pPr>
            <w:r>
              <w:rPr>
                <w:sz w:val="21"/>
                <w:szCs w:val="21"/>
              </w:rPr>
              <w:t>铁</w:t>
            </w:r>
          </w:p>
        </w:tc>
        <w:tc>
          <w:tcPr>
            <w:tcW w:w="2468" w:type="pct"/>
            <w:vAlign w:val="center"/>
          </w:tcPr>
          <w:p w:rsidR="00240BCE" w:rsidRDefault="00AC0334">
            <w:pPr>
              <w:jc w:val="center"/>
              <w:textAlignment w:val="center"/>
              <w:rPr>
                <w:color w:val="000000"/>
                <w:sz w:val="21"/>
                <w:szCs w:val="21"/>
              </w:rPr>
            </w:pPr>
            <w:r>
              <w:rPr>
                <w:sz w:val="21"/>
                <w:szCs w:val="21"/>
              </w:rPr>
              <w:t>水质</w:t>
            </w:r>
            <w:r>
              <w:rPr>
                <w:sz w:val="21"/>
                <w:szCs w:val="21"/>
              </w:rPr>
              <w:t xml:space="preserve"> </w:t>
            </w:r>
            <w:r>
              <w:rPr>
                <w:sz w:val="21"/>
                <w:szCs w:val="21"/>
              </w:rPr>
              <w:t>铁、锰的测定</w:t>
            </w:r>
            <w:r>
              <w:rPr>
                <w:sz w:val="21"/>
                <w:szCs w:val="21"/>
              </w:rPr>
              <w:t xml:space="preserve"> </w:t>
            </w:r>
            <w:r>
              <w:rPr>
                <w:sz w:val="21"/>
                <w:szCs w:val="21"/>
              </w:rPr>
              <w:t>火焰原子吸收分光光度法</w:t>
            </w:r>
            <w:r>
              <w:rPr>
                <w:sz w:val="21"/>
                <w:szCs w:val="21"/>
              </w:rPr>
              <w:t>GB 11911-1989</w:t>
            </w:r>
          </w:p>
        </w:tc>
        <w:tc>
          <w:tcPr>
            <w:tcW w:w="965" w:type="pct"/>
            <w:vAlign w:val="center"/>
          </w:tcPr>
          <w:p w:rsidR="00240BCE" w:rsidRDefault="00AC0334">
            <w:pPr>
              <w:jc w:val="center"/>
              <w:textAlignment w:val="center"/>
              <w:rPr>
                <w:color w:val="000000"/>
                <w:sz w:val="21"/>
                <w:szCs w:val="21"/>
              </w:rPr>
            </w:pPr>
            <w:r>
              <w:rPr>
                <w:sz w:val="21"/>
                <w:szCs w:val="21"/>
              </w:rPr>
              <w:t>原子吸收分光光度计</w:t>
            </w:r>
            <w:r>
              <w:rPr>
                <w:sz w:val="21"/>
                <w:szCs w:val="21"/>
              </w:rPr>
              <w:t>TAS-990AFG</w:t>
            </w:r>
          </w:p>
        </w:tc>
        <w:tc>
          <w:tcPr>
            <w:tcW w:w="646" w:type="pct"/>
            <w:vAlign w:val="center"/>
          </w:tcPr>
          <w:p w:rsidR="00240BCE" w:rsidRDefault="00AC0334">
            <w:pPr>
              <w:jc w:val="center"/>
              <w:textAlignment w:val="center"/>
              <w:rPr>
                <w:color w:val="000000"/>
                <w:sz w:val="21"/>
                <w:szCs w:val="21"/>
              </w:rPr>
            </w:pPr>
            <w:r>
              <w:rPr>
                <w:sz w:val="21"/>
                <w:szCs w:val="21"/>
              </w:rPr>
              <w:t>0.03mg/L</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22</w:t>
            </w:r>
          </w:p>
        </w:tc>
        <w:tc>
          <w:tcPr>
            <w:tcW w:w="610" w:type="pct"/>
            <w:vAlign w:val="center"/>
          </w:tcPr>
          <w:p w:rsidR="00240BCE" w:rsidRDefault="00AC0334">
            <w:pPr>
              <w:jc w:val="center"/>
              <w:textAlignment w:val="center"/>
              <w:rPr>
                <w:color w:val="000000"/>
                <w:sz w:val="21"/>
                <w:szCs w:val="21"/>
              </w:rPr>
            </w:pPr>
            <w:r>
              <w:rPr>
                <w:sz w:val="21"/>
                <w:szCs w:val="21"/>
              </w:rPr>
              <w:t>溶解性总固体</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感官性状和物理指标称量法</w:t>
            </w:r>
            <w:r>
              <w:rPr>
                <w:sz w:val="21"/>
                <w:szCs w:val="21"/>
              </w:rPr>
              <w:t>GB/T 5750.4-2006</w:t>
            </w:r>
          </w:p>
        </w:tc>
        <w:tc>
          <w:tcPr>
            <w:tcW w:w="965" w:type="pct"/>
            <w:vAlign w:val="center"/>
          </w:tcPr>
          <w:p w:rsidR="00240BCE" w:rsidRDefault="00AC0334">
            <w:pPr>
              <w:jc w:val="center"/>
              <w:textAlignment w:val="center"/>
              <w:rPr>
                <w:color w:val="000000"/>
                <w:sz w:val="21"/>
                <w:szCs w:val="21"/>
              </w:rPr>
            </w:pPr>
            <w:r>
              <w:rPr>
                <w:sz w:val="21"/>
                <w:szCs w:val="21"/>
              </w:rPr>
              <w:t>电子分析天平</w:t>
            </w:r>
            <w:r>
              <w:rPr>
                <w:sz w:val="21"/>
                <w:szCs w:val="21"/>
              </w:rPr>
              <w:t>ES-E120BⅡ</w:t>
            </w:r>
          </w:p>
        </w:tc>
        <w:tc>
          <w:tcPr>
            <w:tcW w:w="646" w:type="pct"/>
            <w:vAlign w:val="center"/>
          </w:tcPr>
          <w:p w:rsidR="00240BCE" w:rsidRDefault="00AC0334">
            <w:pPr>
              <w:jc w:val="center"/>
              <w:textAlignment w:val="center"/>
              <w:rPr>
                <w:color w:val="000000"/>
                <w:sz w:val="21"/>
                <w:szCs w:val="21"/>
              </w:rPr>
            </w:pPr>
            <w:r>
              <w:rPr>
                <w:sz w:val="21"/>
                <w:szCs w:val="21"/>
              </w:rPr>
              <w:t>/</w:t>
            </w:r>
          </w:p>
        </w:tc>
      </w:tr>
      <w:tr w:rsidR="00240BCE">
        <w:trPr>
          <w:trHeight w:val="600"/>
          <w:jc w:val="center"/>
        </w:trPr>
        <w:tc>
          <w:tcPr>
            <w:tcW w:w="308" w:type="pct"/>
            <w:vAlign w:val="center"/>
          </w:tcPr>
          <w:p w:rsidR="00240BCE" w:rsidRDefault="00AC0334">
            <w:pPr>
              <w:spacing w:line="340" w:lineRule="exact"/>
              <w:jc w:val="center"/>
              <w:rPr>
                <w:sz w:val="21"/>
                <w:szCs w:val="21"/>
              </w:rPr>
            </w:pPr>
            <w:r>
              <w:rPr>
                <w:sz w:val="21"/>
                <w:szCs w:val="21"/>
              </w:rPr>
              <w:t>23</w:t>
            </w:r>
          </w:p>
        </w:tc>
        <w:tc>
          <w:tcPr>
            <w:tcW w:w="610" w:type="pct"/>
            <w:vAlign w:val="center"/>
          </w:tcPr>
          <w:p w:rsidR="00240BCE" w:rsidRDefault="00AC0334">
            <w:pPr>
              <w:jc w:val="center"/>
              <w:textAlignment w:val="center"/>
              <w:rPr>
                <w:color w:val="000000"/>
                <w:sz w:val="21"/>
                <w:szCs w:val="21"/>
              </w:rPr>
            </w:pPr>
            <w:r>
              <w:rPr>
                <w:sz w:val="21"/>
                <w:szCs w:val="21"/>
              </w:rPr>
              <w:t>耗氧量</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有机物综合指标酸性高锰酸钾滴定法</w:t>
            </w:r>
            <w:r>
              <w:rPr>
                <w:sz w:val="21"/>
                <w:szCs w:val="21"/>
              </w:rPr>
              <w:t>GB/T 5750.7-2006</w:t>
            </w:r>
          </w:p>
        </w:tc>
        <w:tc>
          <w:tcPr>
            <w:tcW w:w="965" w:type="pct"/>
            <w:vAlign w:val="center"/>
          </w:tcPr>
          <w:p w:rsidR="00240BCE" w:rsidRDefault="00AC0334">
            <w:pPr>
              <w:jc w:val="center"/>
              <w:textAlignment w:val="center"/>
              <w:rPr>
                <w:color w:val="000000"/>
                <w:sz w:val="21"/>
                <w:szCs w:val="21"/>
              </w:rPr>
            </w:pPr>
            <w:r>
              <w:rPr>
                <w:sz w:val="21"/>
                <w:szCs w:val="21"/>
              </w:rPr>
              <w:t>滴定管</w:t>
            </w:r>
          </w:p>
        </w:tc>
        <w:tc>
          <w:tcPr>
            <w:tcW w:w="646" w:type="pct"/>
            <w:vAlign w:val="center"/>
          </w:tcPr>
          <w:p w:rsidR="00240BCE" w:rsidRDefault="00AC0334">
            <w:pPr>
              <w:jc w:val="center"/>
              <w:textAlignment w:val="center"/>
              <w:rPr>
                <w:color w:val="000000"/>
                <w:sz w:val="21"/>
                <w:szCs w:val="21"/>
              </w:rPr>
            </w:pPr>
            <w:r>
              <w:rPr>
                <w:sz w:val="21"/>
                <w:szCs w:val="21"/>
              </w:rPr>
              <w:t>0.05mg/L</w:t>
            </w:r>
          </w:p>
        </w:tc>
      </w:tr>
      <w:tr w:rsidR="00240BCE">
        <w:trPr>
          <w:trHeight w:val="577"/>
          <w:jc w:val="center"/>
        </w:trPr>
        <w:tc>
          <w:tcPr>
            <w:tcW w:w="308" w:type="pct"/>
            <w:vAlign w:val="center"/>
          </w:tcPr>
          <w:p w:rsidR="00240BCE" w:rsidRDefault="00AC0334">
            <w:pPr>
              <w:spacing w:line="340" w:lineRule="exact"/>
              <w:jc w:val="center"/>
              <w:rPr>
                <w:sz w:val="21"/>
                <w:szCs w:val="21"/>
              </w:rPr>
            </w:pPr>
            <w:r>
              <w:rPr>
                <w:sz w:val="21"/>
                <w:szCs w:val="21"/>
              </w:rPr>
              <w:t>24</w:t>
            </w:r>
          </w:p>
        </w:tc>
        <w:tc>
          <w:tcPr>
            <w:tcW w:w="610" w:type="pct"/>
            <w:vAlign w:val="center"/>
          </w:tcPr>
          <w:p w:rsidR="00240BCE" w:rsidRDefault="00AC0334">
            <w:pPr>
              <w:jc w:val="center"/>
              <w:textAlignment w:val="center"/>
              <w:rPr>
                <w:color w:val="000000"/>
                <w:sz w:val="21"/>
                <w:szCs w:val="21"/>
              </w:rPr>
            </w:pPr>
            <w:r>
              <w:rPr>
                <w:sz w:val="21"/>
                <w:szCs w:val="21"/>
              </w:rPr>
              <w:t>总大肠菌群</w:t>
            </w:r>
          </w:p>
        </w:tc>
        <w:tc>
          <w:tcPr>
            <w:tcW w:w="2468" w:type="pct"/>
            <w:vAlign w:val="center"/>
          </w:tcPr>
          <w:p w:rsidR="00240BCE" w:rsidRDefault="00AC0334">
            <w:pPr>
              <w:jc w:val="center"/>
              <w:textAlignment w:val="center"/>
              <w:rPr>
                <w:color w:val="000000"/>
                <w:sz w:val="21"/>
                <w:szCs w:val="21"/>
              </w:rPr>
            </w:pPr>
            <w:r>
              <w:rPr>
                <w:sz w:val="21"/>
                <w:szCs w:val="21"/>
              </w:rPr>
              <w:t>生活饮用水标准检验方法</w:t>
            </w:r>
            <w:r>
              <w:rPr>
                <w:sz w:val="21"/>
                <w:szCs w:val="21"/>
              </w:rPr>
              <w:t xml:space="preserve"> </w:t>
            </w:r>
            <w:r>
              <w:rPr>
                <w:sz w:val="21"/>
                <w:szCs w:val="21"/>
              </w:rPr>
              <w:t>微生物指标滤膜法</w:t>
            </w:r>
            <w:r>
              <w:rPr>
                <w:sz w:val="21"/>
                <w:szCs w:val="21"/>
              </w:rPr>
              <w:t>GB/T 5750.12-2006</w:t>
            </w:r>
          </w:p>
        </w:tc>
        <w:tc>
          <w:tcPr>
            <w:tcW w:w="965" w:type="pct"/>
            <w:vAlign w:val="center"/>
          </w:tcPr>
          <w:p w:rsidR="00240BCE" w:rsidRDefault="00AC0334">
            <w:pPr>
              <w:jc w:val="center"/>
              <w:textAlignment w:val="center"/>
              <w:rPr>
                <w:color w:val="000000"/>
                <w:sz w:val="21"/>
                <w:szCs w:val="21"/>
              </w:rPr>
            </w:pPr>
            <w:r>
              <w:rPr>
                <w:sz w:val="21"/>
                <w:szCs w:val="21"/>
              </w:rPr>
              <w:t>电热恒温培养箱</w:t>
            </w:r>
            <w:r>
              <w:rPr>
                <w:sz w:val="21"/>
                <w:szCs w:val="21"/>
              </w:rPr>
              <w:t>DHP-9162B</w:t>
            </w:r>
          </w:p>
        </w:tc>
        <w:tc>
          <w:tcPr>
            <w:tcW w:w="646" w:type="pct"/>
            <w:vAlign w:val="center"/>
          </w:tcPr>
          <w:p w:rsidR="00240BCE" w:rsidRDefault="00AC0334">
            <w:pPr>
              <w:jc w:val="center"/>
              <w:textAlignment w:val="center"/>
              <w:rPr>
                <w:color w:val="000000"/>
                <w:sz w:val="21"/>
                <w:szCs w:val="21"/>
              </w:rPr>
            </w:pPr>
            <w:r>
              <w:rPr>
                <w:sz w:val="21"/>
                <w:szCs w:val="21"/>
              </w:rPr>
              <w:t>/</w:t>
            </w:r>
          </w:p>
        </w:tc>
      </w:tr>
    </w:tbl>
    <w:p w:rsidR="00240BCE" w:rsidRDefault="00AC0334">
      <w:pPr>
        <w:spacing w:line="520" w:lineRule="exact"/>
        <w:ind w:firstLineChars="200" w:firstLine="480"/>
        <w:rPr>
          <w:color w:val="000000"/>
          <w:sz w:val="24"/>
        </w:rPr>
      </w:pPr>
      <w:r>
        <w:rPr>
          <w:color w:val="000000"/>
          <w:sz w:val="24"/>
        </w:rPr>
        <w:t>4</w:t>
      </w:r>
      <w:r>
        <w:rPr>
          <w:color w:val="000000"/>
          <w:sz w:val="24"/>
        </w:rPr>
        <w:t>、评价标准</w:t>
      </w:r>
    </w:p>
    <w:p w:rsidR="00240BCE" w:rsidRDefault="00AC0334">
      <w:pPr>
        <w:spacing w:line="520" w:lineRule="exact"/>
        <w:ind w:firstLineChars="200" w:firstLine="480"/>
        <w:rPr>
          <w:color w:val="000000"/>
          <w:sz w:val="24"/>
        </w:rPr>
      </w:pPr>
      <w:r>
        <w:rPr>
          <w:color w:val="000000"/>
          <w:sz w:val="24"/>
        </w:rPr>
        <w:t>根据禹州市环境保护局禹环评【</w:t>
      </w:r>
      <w:r>
        <w:rPr>
          <w:color w:val="000000"/>
          <w:sz w:val="24"/>
        </w:rPr>
        <w:t>2020</w:t>
      </w:r>
      <w:r>
        <w:rPr>
          <w:color w:val="000000"/>
          <w:sz w:val="24"/>
        </w:rPr>
        <w:t>】</w:t>
      </w:r>
      <w:r>
        <w:rPr>
          <w:color w:val="000000"/>
          <w:sz w:val="24"/>
        </w:rPr>
        <w:t>5006</w:t>
      </w:r>
      <w:r>
        <w:rPr>
          <w:color w:val="000000"/>
          <w:sz w:val="24"/>
        </w:rPr>
        <w:t>号关于本项目环境影响评价执行标准的函，本次评价地下水执行《地下水质量标准》（</w:t>
      </w:r>
      <w:r>
        <w:rPr>
          <w:color w:val="000000"/>
          <w:sz w:val="24"/>
        </w:rPr>
        <w:t>GB/T14848-2017</w:t>
      </w:r>
      <w:r>
        <w:rPr>
          <w:color w:val="000000"/>
          <w:sz w:val="24"/>
        </w:rPr>
        <w:t>）</w:t>
      </w:r>
      <w:r>
        <w:rPr>
          <w:color w:val="000000"/>
          <w:sz w:val="24"/>
        </w:rPr>
        <w:t>Ⅲ</w:t>
      </w:r>
      <w:r>
        <w:rPr>
          <w:color w:val="000000"/>
          <w:sz w:val="24"/>
        </w:rPr>
        <w:t>类标准，见表</w:t>
      </w:r>
      <w:r>
        <w:rPr>
          <w:color w:val="000000"/>
          <w:sz w:val="24"/>
        </w:rPr>
        <w:t>4.3-12</w:t>
      </w:r>
      <w:r>
        <w:rPr>
          <w:color w:val="000000"/>
          <w:sz w:val="24"/>
        </w:rPr>
        <w:t>。</w:t>
      </w:r>
    </w:p>
    <w:p w:rsidR="00240BCE" w:rsidRDefault="00AC0334">
      <w:pPr>
        <w:spacing w:line="520" w:lineRule="exact"/>
        <w:ind w:firstLineChars="200" w:firstLine="480"/>
        <w:jc w:val="center"/>
        <w:rPr>
          <w:rFonts w:eastAsia="黑体"/>
          <w:sz w:val="24"/>
        </w:rPr>
      </w:pPr>
      <w:r>
        <w:rPr>
          <w:rFonts w:eastAsia="黑体"/>
          <w:sz w:val="24"/>
        </w:rPr>
        <w:br w:type="page"/>
      </w:r>
      <w:r>
        <w:rPr>
          <w:rFonts w:eastAsia="黑体"/>
          <w:sz w:val="24"/>
        </w:rPr>
        <w:lastRenderedPageBreak/>
        <w:t>表</w:t>
      </w:r>
      <w:r>
        <w:rPr>
          <w:color w:val="000000"/>
          <w:sz w:val="24"/>
        </w:rPr>
        <w:t xml:space="preserve">4.3-12   </w:t>
      </w:r>
      <w:r>
        <w:rPr>
          <w:rFonts w:eastAsia="黑体"/>
          <w:sz w:val="24"/>
        </w:rPr>
        <w:t>地下水环境质量标准</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166"/>
        <w:gridCol w:w="2833"/>
        <w:gridCol w:w="3168"/>
      </w:tblGrid>
      <w:tr w:rsidR="00240BCE">
        <w:trPr>
          <w:jc w:val="center"/>
        </w:trPr>
        <w:tc>
          <w:tcPr>
            <w:tcW w:w="1727" w:type="pct"/>
            <w:tcBorders>
              <w:top w:val="single" w:sz="6" w:space="0" w:color="000000"/>
              <w:left w:val="single" w:sz="6" w:space="0" w:color="000000"/>
              <w:bottom w:val="single" w:sz="6" w:space="0" w:color="000000"/>
              <w:right w:val="single" w:sz="6" w:space="0" w:color="000000"/>
            </w:tcBorders>
            <w:vAlign w:val="center"/>
          </w:tcPr>
          <w:p w:rsidR="00240BCE" w:rsidRDefault="00AC0334">
            <w:pPr>
              <w:jc w:val="center"/>
              <w:rPr>
                <w:sz w:val="21"/>
                <w:szCs w:val="21"/>
              </w:rPr>
            </w:pPr>
            <w:r>
              <w:rPr>
                <w:sz w:val="21"/>
                <w:szCs w:val="21"/>
              </w:rPr>
              <w:t>项目</w:t>
            </w:r>
          </w:p>
        </w:tc>
        <w:tc>
          <w:tcPr>
            <w:tcW w:w="1545" w:type="pct"/>
            <w:tcBorders>
              <w:top w:val="single" w:sz="6" w:space="0" w:color="000000"/>
              <w:left w:val="nil"/>
              <w:bottom w:val="single" w:sz="6" w:space="0" w:color="000000"/>
              <w:right w:val="single" w:sz="6" w:space="0" w:color="000000"/>
            </w:tcBorders>
            <w:vAlign w:val="center"/>
          </w:tcPr>
          <w:p w:rsidR="00240BCE" w:rsidRDefault="00AC0334">
            <w:pPr>
              <w:jc w:val="center"/>
              <w:rPr>
                <w:sz w:val="21"/>
                <w:szCs w:val="21"/>
              </w:rPr>
            </w:pPr>
            <w:r>
              <w:rPr>
                <w:sz w:val="21"/>
                <w:szCs w:val="21"/>
              </w:rPr>
              <w:t>单位</w:t>
            </w:r>
          </w:p>
        </w:tc>
        <w:tc>
          <w:tcPr>
            <w:tcW w:w="1728" w:type="pct"/>
            <w:tcBorders>
              <w:top w:val="single" w:sz="6" w:space="0" w:color="000000"/>
              <w:left w:val="nil"/>
              <w:bottom w:val="single" w:sz="6" w:space="0" w:color="000000"/>
              <w:right w:val="single" w:sz="6" w:space="0" w:color="000000"/>
            </w:tcBorders>
            <w:vAlign w:val="center"/>
          </w:tcPr>
          <w:p w:rsidR="00240BCE" w:rsidRDefault="00AC0334">
            <w:pPr>
              <w:jc w:val="center"/>
              <w:rPr>
                <w:sz w:val="21"/>
                <w:szCs w:val="21"/>
              </w:rPr>
            </w:pPr>
            <w:r>
              <w:rPr>
                <w:sz w:val="21"/>
                <w:szCs w:val="21"/>
              </w:rPr>
              <w:t>数值</w:t>
            </w:r>
          </w:p>
        </w:tc>
      </w:tr>
      <w:tr w:rsidR="00240BCE">
        <w:trPr>
          <w:jc w:val="center"/>
        </w:trPr>
        <w:tc>
          <w:tcPr>
            <w:tcW w:w="1727" w:type="pct"/>
            <w:tcBorders>
              <w:top w:val="single" w:sz="6" w:space="0" w:color="000000"/>
              <w:left w:val="single" w:sz="6" w:space="0" w:color="000000"/>
              <w:bottom w:val="single" w:sz="4" w:space="0" w:color="auto"/>
              <w:right w:val="single" w:sz="6" w:space="0" w:color="000000"/>
            </w:tcBorders>
            <w:vAlign w:val="center"/>
          </w:tcPr>
          <w:p w:rsidR="00240BCE" w:rsidRDefault="00AC0334">
            <w:pPr>
              <w:jc w:val="center"/>
              <w:rPr>
                <w:sz w:val="21"/>
                <w:szCs w:val="21"/>
              </w:rPr>
            </w:pPr>
            <w:r>
              <w:rPr>
                <w:sz w:val="21"/>
                <w:szCs w:val="21"/>
              </w:rPr>
              <w:t>pH</w:t>
            </w:r>
            <w:r>
              <w:rPr>
                <w:sz w:val="21"/>
                <w:szCs w:val="21"/>
              </w:rPr>
              <w:t>值</w:t>
            </w:r>
          </w:p>
        </w:tc>
        <w:tc>
          <w:tcPr>
            <w:tcW w:w="1545"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无量纲</w:t>
            </w:r>
          </w:p>
        </w:tc>
        <w:tc>
          <w:tcPr>
            <w:tcW w:w="1728"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6.5</w:t>
            </w:r>
            <w:r>
              <w:rPr>
                <w:sz w:val="21"/>
                <w:szCs w:val="21"/>
              </w:rPr>
              <w:t>～</w:t>
            </w:r>
            <w:r>
              <w:rPr>
                <w:sz w:val="21"/>
                <w:szCs w:val="21"/>
              </w:rPr>
              <w:t>8.5</w:t>
            </w:r>
          </w:p>
        </w:tc>
      </w:tr>
      <w:tr w:rsidR="00240BCE">
        <w:trPr>
          <w:jc w:val="center"/>
        </w:trPr>
        <w:tc>
          <w:tcPr>
            <w:tcW w:w="1727" w:type="pct"/>
            <w:tcBorders>
              <w:top w:val="single" w:sz="6" w:space="0" w:color="000000"/>
              <w:left w:val="single" w:sz="6" w:space="0" w:color="000000"/>
              <w:bottom w:val="single" w:sz="4" w:space="0" w:color="auto"/>
              <w:right w:val="single" w:sz="6" w:space="0" w:color="000000"/>
            </w:tcBorders>
            <w:vAlign w:val="center"/>
          </w:tcPr>
          <w:p w:rsidR="00240BCE" w:rsidRDefault="00AC0334">
            <w:pPr>
              <w:jc w:val="center"/>
              <w:rPr>
                <w:sz w:val="21"/>
                <w:szCs w:val="21"/>
              </w:rPr>
            </w:pPr>
            <w:r>
              <w:rPr>
                <w:sz w:val="21"/>
                <w:szCs w:val="21"/>
              </w:rPr>
              <w:t>氨氮</w:t>
            </w:r>
          </w:p>
        </w:tc>
        <w:tc>
          <w:tcPr>
            <w:tcW w:w="1545"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0.5</w:t>
            </w:r>
          </w:p>
        </w:tc>
      </w:tr>
      <w:tr w:rsidR="00240BCE">
        <w:trPr>
          <w:jc w:val="center"/>
        </w:trPr>
        <w:tc>
          <w:tcPr>
            <w:tcW w:w="1727" w:type="pct"/>
            <w:tcBorders>
              <w:top w:val="single" w:sz="6" w:space="0" w:color="000000"/>
              <w:left w:val="single" w:sz="6" w:space="0" w:color="000000"/>
              <w:bottom w:val="single" w:sz="4" w:space="0" w:color="auto"/>
              <w:right w:val="single" w:sz="6" w:space="0" w:color="000000"/>
            </w:tcBorders>
            <w:vAlign w:val="center"/>
          </w:tcPr>
          <w:p w:rsidR="00240BCE" w:rsidRDefault="00AC0334">
            <w:pPr>
              <w:jc w:val="center"/>
              <w:rPr>
                <w:sz w:val="21"/>
                <w:szCs w:val="21"/>
              </w:rPr>
            </w:pPr>
            <w:r>
              <w:rPr>
                <w:sz w:val="21"/>
                <w:szCs w:val="21"/>
              </w:rPr>
              <w:t>亚硝酸盐</w:t>
            </w:r>
          </w:p>
        </w:tc>
        <w:tc>
          <w:tcPr>
            <w:tcW w:w="1545"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1.0</w:t>
            </w:r>
          </w:p>
        </w:tc>
      </w:tr>
      <w:tr w:rsidR="00240BCE">
        <w:trPr>
          <w:jc w:val="center"/>
        </w:trPr>
        <w:tc>
          <w:tcPr>
            <w:tcW w:w="1727" w:type="pct"/>
            <w:tcBorders>
              <w:top w:val="single" w:sz="6" w:space="0" w:color="000000"/>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硝酸盐</w:t>
            </w:r>
          </w:p>
        </w:tc>
        <w:tc>
          <w:tcPr>
            <w:tcW w:w="1545"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20</w:t>
            </w:r>
          </w:p>
        </w:tc>
      </w:tr>
      <w:tr w:rsidR="00240BCE">
        <w:trPr>
          <w:jc w:val="center"/>
        </w:trPr>
        <w:tc>
          <w:tcPr>
            <w:tcW w:w="1727" w:type="pct"/>
            <w:tcBorders>
              <w:top w:val="single" w:sz="6" w:space="0" w:color="000000"/>
              <w:left w:val="single" w:sz="6" w:space="0" w:color="000000"/>
              <w:bottom w:val="single" w:sz="4" w:space="0" w:color="auto"/>
              <w:right w:val="single" w:sz="6" w:space="0" w:color="000000"/>
            </w:tcBorders>
            <w:vAlign w:val="center"/>
          </w:tcPr>
          <w:p w:rsidR="00240BCE" w:rsidRDefault="00AC0334">
            <w:pPr>
              <w:jc w:val="center"/>
              <w:rPr>
                <w:sz w:val="21"/>
                <w:szCs w:val="21"/>
              </w:rPr>
            </w:pPr>
            <w:r>
              <w:rPr>
                <w:sz w:val="21"/>
                <w:szCs w:val="21"/>
              </w:rPr>
              <w:t>总硬度</w:t>
            </w:r>
          </w:p>
        </w:tc>
        <w:tc>
          <w:tcPr>
            <w:tcW w:w="1545"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450</w:t>
            </w:r>
          </w:p>
        </w:tc>
      </w:tr>
      <w:tr w:rsidR="00240BCE">
        <w:trPr>
          <w:jc w:val="center"/>
        </w:trPr>
        <w:tc>
          <w:tcPr>
            <w:tcW w:w="1727" w:type="pct"/>
            <w:tcBorders>
              <w:top w:val="single" w:sz="6" w:space="0" w:color="000000"/>
              <w:left w:val="single" w:sz="6" w:space="0" w:color="000000"/>
              <w:bottom w:val="single" w:sz="4" w:space="0" w:color="auto"/>
              <w:right w:val="single" w:sz="6" w:space="0" w:color="000000"/>
            </w:tcBorders>
            <w:vAlign w:val="center"/>
          </w:tcPr>
          <w:p w:rsidR="00240BCE" w:rsidRDefault="00AC0334">
            <w:pPr>
              <w:jc w:val="center"/>
              <w:rPr>
                <w:sz w:val="21"/>
                <w:szCs w:val="21"/>
              </w:rPr>
            </w:pPr>
            <w:r>
              <w:rPr>
                <w:sz w:val="21"/>
                <w:szCs w:val="21"/>
              </w:rPr>
              <w:t>溶解性总固体</w:t>
            </w:r>
          </w:p>
        </w:tc>
        <w:tc>
          <w:tcPr>
            <w:tcW w:w="1545"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6" w:space="0" w:color="000000"/>
              <w:left w:val="nil"/>
              <w:bottom w:val="single" w:sz="4" w:space="0" w:color="auto"/>
              <w:right w:val="single" w:sz="6" w:space="0" w:color="000000"/>
            </w:tcBorders>
            <w:vAlign w:val="center"/>
          </w:tcPr>
          <w:p w:rsidR="00240BCE" w:rsidRDefault="00AC0334">
            <w:pPr>
              <w:jc w:val="center"/>
              <w:rPr>
                <w:sz w:val="21"/>
                <w:szCs w:val="21"/>
              </w:rPr>
            </w:pPr>
            <w:r>
              <w:rPr>
                <w:sz w:val="21"/>
                <w:szCs w:val="21"/>
              </w:rPr>
              <w:t>1000</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硫酸盐</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250</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jc w:val="center"/>
              <w:rPr>
                <w:sz w:val="21"/>
                <w:szCs w:val="21"/>
              </w:rPr>
            </w:pPr>
            <w:r>
              <w:rPr>
                <w:sz w:val="21"/>
                <w:szCs w:val="21"/>
              </w:rPr>
              <w:t>耗氧量</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3.0</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砷</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0.01</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jc w:val="center"/>
              <w:rPr>
                <w:sz w:val="21"/>
                <w:szCs w:val="21"/>
              </w:rPr>
            </w:pPr>
            <w:r>
              <w:rPr>
                <w:sz w:val="21"/>
                <w:szCs w:val="21"/>
              </w:rPr>
              <w:t>汞</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0.001</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铬（六价）</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0.05</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pStyle w:val="1ffb"/>
              <w:spacing w:before="30" w:after="30"/>
            </w:pPr>
            <w:r>
              <w:t>铅</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0.01</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镉</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0.005</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铁</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0.3</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氟化物</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1.0</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氯化物</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mg/L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250</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菌落总数</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CFU/mL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100</w:t>
            </w:r>
          </w:p>
        </w:tc>
      </w:tr>
      <w:tr w:rsidR="00240BCE">
        <w:trPr>
          <w:jc w:val="center"/>
        </w:trPr>
        <w:tc>
          <w:tcPr>
            <w:tcW w:w="1727" w:type="pct"/>
            <w:tcBorders>
              <w:top w:val="single" w:sz="4" w:space="0" w:color="auto"/>
              <w:left w:val="single" w:sz="6" w:space="0" w:color="000000"/>
              <w:bottom w:val="single" w:sz="4" w:space="0" w:color="auto"/>
              <w:right w:val="single" w:sz="6" w:space="0" w:color="000000"/>
            </w:tcBorders>
            <w:vAlign w:val="center"/>
          </w:tcPr>
          <w:p w:rsidR="00240BCE" w:rsidRDefault="00AC0334">
            <w:pPr>
              <w:adjustRightInd w:val="0"/>
              <w:snapToGrid w:val="0"/>
              <w:jc w:val="center"/>
              <w:textAlignment w:val="center"/>
              <w:rPr>
                <w:sz w:val="21"/>
                <w:szCs w:val="21"/>
              </w:rPr>
            </w:pPr>
            <w:r>
              <w:rPr>
                <w:sz w:val="21"/>
                <w:szCs w:val="21"/>
              </w:rPr>
              <w:t>总大肠菌群</w:t>
            </w:r>
          </w:p>
        </w:tc>
        <w:tc>
          <w:tcPr>
            <w:tcW w:w="1545"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MPN/100mL</w:t>
            </w:r>
          </w:p>
        </w:tc>
        <w:tc>
          <w:tcPr>
            <w:tcW w:w="1728" w:type="pct"/>
            <w:tcBorders>
              <w:top w:val="single" w:sz="4" w:space="0" w:color="auto"/>
              <w:left w:val="nil"/>
              <w:bottom w:val="single" w:sz="4" w:space="0" w:color="auto"/>
              <w:right w:val="single" w:sz="6" w:space="0" w:color="000000"/>
            </w:tcBorders>
            <w:vAlign w:val="center"/>
          </w:tcPr>
          <w:p w:rsidR="00240BCE" w:rsidRDefault="00AC0334">
            <w:pPr>
              <w:jc w:val="center"/>
              <w:rPr>
                <w:sz w:val="21"/>
                <w:szCs w:val="21"/>
              </w:rPr>
            </w:pPr>
            <w:r>
              <w:rPr>
                <w:sz w:val="21"/>
                <w:szCs w:val="21"/>
              </w:rPr>
              <w:t>3</w:t>
            </w:r>
          </w:p>
        </w:tc>
      </w:tr>
    </w:tbl>
    <w:p w:rsidR="00240BCE" w:rsidRDefault="00AC0334">
      <w:pPr>
        <w:spacing w:line="520" w:lineRule="exact"/>
        <w:ind w:firstLineChars="200" w:firstLine="480"/>
        <w:rPr>
          <w:color w:val="000000"/>
          <w:sz w:val="24"/>
        </w:rPr>
      </w:pPr>
      <w:r>
        <w:rPr>
          <w:color w:val="000000"/>
          <w:sz w:val="24"/>
        </w:rPr>
        <w:t>5</w:t>
      </w:r>
      <w:r>
        <w:rPr>
          <w:color w:val="000000"/>
          <w:sz w:val="24"/>
        </w:rPr>
        <w:t>、评价方法</w:t>
      </w:r>
    </w:p>
    <w:p w:rsidR="00240BCE" w:rsidRDefault="00AC0334">
      <w:pPr>
        <w:spacing w:line="520" w:lineRule="exact"/>
        <w:ind w:firstLineChars="200" w:firstLine="480"/>
        <w:rPr>
          <w:color w:val="000000"/>
          <w:sz w:val="24"/>
        </w:rPr>
      </w:pPr>
      <w:r>
        <w:rPr>
          <w:color w:val="000000"/>
          <w:sz w:val="24"/>
        </w:rPr>
        <w:t>地下水质量评价采用单项组份评价。</w:t>
      </w:r>
    </w:p>
    <w:p w:rsidR="00240BCE" w:rsidRDefault="00AC0334">
      <w:pPr>
        <w:spacing w:line="520" w:lineRule="exact"/>
        <w:ind w:firstLineChars="200" w:firstLine="480"/>
        <w:rPr>
          <w:color w:val="000000"/>
          <w:sz w:val="24"/>
          <w:vertAlign w:val="subscript"/>
        </w:rPr>
      </w:pPr>
      <w:r>
        <w:rPr>
          <w:color w:val="000000"/>
          <w:sz w:val="24"/>
        </w:rPr>
        <w:t>（</w:t>
      </w:r>
      <w:r>
        <w:rPr>
          <w:color w:val="000000"/>
          <w:sz w:val="24"/>
        </w:rPr>
        <w:t>1</w:t>
      </w:r>
      <w:r>
        <w:rPr>
          <w:color w:val="000000"/>
          <w:sz w:val="24"/>
        </w:rPr>
        <w:t>）对于一般污染物：</w:t>
      </w:r>
      <w:r>
        <w:rPr>
          <w:color w:val="000000"/>
          <w:sz w:val="24"/>
        </w:rPr>
        <w:t>S</w:t>
      </w:r>
      <w:r>
        <w:rPr>
          <w:color w:val="000000"/>
          <w:sz w:val="24"/>
          <w:vertAlign w:val="subscript"/>
        </w:rPr>
        <w:t>i</w:t>
      </w:r>
      <w:r>
        <w:rPr>
          <w:rFonts w:hint="eastAsia"/>
          <w:color w:val="000000"/>
          <w:sz w:val="24"/>
          <w:vertAlign w:val="subscript"/>
        </w:rPr>
        <w:t>，</w:t>
      </w:r>
      <w:r>
        <w:rPr>
          <w:color w:val="000000"/>
          <w:sz w:val="24"/>
          <w:vertAlign w:val="subscript"/>
        </w:rPr>
        <w:t>j</w:t>
      </w:r>
      <w:r>
        <w:rPr>
          <w:color w:val="000000"/>
          <w:sz w:val="24"/>
        </w:rPr>
        <w:t>=C</w:t>
      </w:r>
      <w:r>
        <w:rPr>
          <w:color w:val="000000"/>
          <w:sz w:val="24"/>
          <w:vertAlign w:val="subscript"/>
        </w:rPr>
        <w:t>i</w:t>
      </w:r>
      <w:r>
        <w:rPr>
          <w:rFonts w:hint="eastAsia"/>
          <w:color w:val="000000"/>
          <w:sz w:val="24"/>
          <w:vertAlign w:val="subscript"/>
        </w:rPr>
        <w:t>，</w:t>
      </w:r>
      <w:r>
        <w:rPr>
          <w:color w:val="000000"/>
          <w:sz w:val="24"/>
          <w:vertAlign w:val="subscript"/>
        </w:rPr>
        <w:t>j</w:t>
      </w:r>
      <w:r>
        <w:rPr>
          <w:color w:val="000000"/>
          <w:sz w:val="24"/>
        </w:rPr>
        <w:t>/C</w:t>
      </w:r>
      <w:r>
        <w:rPr>
          <w:color w:val="000000"/>
          <w:sz w:val="24"/>
          <w:vertAlign w:val="subscript"/>
        </w:rPr>
        <w:t>s</w:t>
      </w:r>
      <w:r>
        <w:rPr>
          <w:rFonts w:hint="eastAsia"/>
          <w:color w:val="000000"/>
          <w:sz w:val="24"/>
          <w:vertAlign w:val="subscript"/>
        </w:rPr>
        <w:t>，</w:t>
      </w:r>
      <w:r>
        <w:rPr>
          <w:color w:val="000000"/>
          <w:sz w:val="24"/>
          <w:vertAlign w:val="subscript"/>
        </w:rPr>
        <w:t>j</w:t>
      </w:r>
    </w:p>
    <w:p w:rsidR="00240BCE" w:rsidRDefault="00AC0334">
      <w:pPr>
        <w:spacing w:line="520" w:lineRule="exact"/>
        <w:ind w:firstLineChars="200" w:firstLine="480"/>
        <w:rPr>
          <w:color w:val="000000"/>
          <w:sz w:val="24"/>
        </w:rPr>
      </w:pPr>
      <w:r>
        <w:rPr>
          <w:color w:val="000000"/>
          <w:sz w:val="24"/>
        </w:rPr>
        <w:t>式中：</w:t>
      </w:r>
      <w:r>
        <w:rPr>
          <w:color w:val="000000"/>
          <w:sz w:val="24"/>
        </w:rPr>
        <w:t>S</w:t>
      </w:r>
      <w:r>
        <w:rPr>
          <w:color w:val="000000"/>
          <w:sz w:val="24"/>
          <w:vertAlign w:val="subscript"/>
        </w:rPr>
        <w:t>i</w:t>
      </w:r>
      <w:r>
        <w:rPr>
          <w:rFonts w:hint="eastAsia"/>
          <w:color w:val="000000"/>
          <w:sz w:val="24"/>
          <w:vertAlign w:val="subscript"/>
        </w:rPr>
        <w:t>，</w:t>
      </w:r>
      <w:r>
        <w:rPr>
          <w:color w:val="000000"/>
          <w:sz w:val="24"/>
          <w:vertAlign w:val="subscript"/>
        </w:rPr>
        <w:t>j</w:t>
      </w:r>
      <w:r>
        <w:rPr>
          <w:color w:val="000000"/>
          <w:sz w:val="24"/>
        </w:rPr>
        <w:t>——</w:t>
      </w:r>
      <w:r>
        <w:rPr>
          <w:color w:val="000000"/>
          <w:sz w:val="24"/>
        </w:rPr>
        <w:t>标准指数；</w:t>
      </w:r>
    </w:p>
    <w:p w:rsidR="00240BCE" w:rsidRDefault="00AC0334">
      <w:pPr>
        <w:spacing w:line="520" w:lineRule="exact"/>
        <w:ind w:firstLineChars="200" w:firstLine="480"/>
        <w:rPr>
          <w:color w:val="000000"/>
          <w:sz w:val="24"/>
        </w:rPr>
      </w:pPr>
      <w:r>
        <w:rPr>
          <w:color w:val="000000"/>
          <w:sz w:val="24"/>
        </w:rPr>
        <w:t xml:space="preserve">      C</w:t>
      </w:r>
      <w:r>
        <w:rPr>
          <w:color w:val="000000"/>
          <w:sz w:val="24"/>
          <w:vertAlign w:val="subscript"/>
        </w:rPr>
        <w:t>i</w:t>
      </w:r>
      <w:r>
        <w:rPr>
          <w:rFonts w:hint="eastAsia"/>
          <w:color w:val="000000"/>
          <w:sz w:val="24"/>
          <w:vertAlign w:val="subscript"/>
        </w:rPr>
        <w:t>，</w:t>
      </w:r>
      <w:r>
        <w:rPr>
          <w:color w:val="000000"/>
          <w:sz w:val="24"/>
          <w:vertAlign w:val="subscript"/>
        </w:rPr>
        <w:t>j</w:t>
      </w:r>
      <w:r>
        <w:rPr>
          <w:color w:val="000000"/>
          <w:sz w:val="24"/>
        </w:rPr>
        <w:t>——</w:t>
      </w:r>
      <w:r>
        <w:rPr>
          <w:color w:val="000000"/>
          <w:sz w:val="24"/>
        </w:rPr>
        <w:t>评价因子</w:t>
      </w:r>
      <w:r>
        <w:rPr>
          <w:color w:val="000000"/>
          <w:sz w:val="24"/>
        </w:rPr>
        <w:t>i</w:t>
      </w:r>
      <w:r>
        <w:rPr>
          <w:color w:val="000000"/>
          <w:sz w:val="24"/>
        </w:rPr>
        <w:t>在</w:t>
      </w:r>
      <w:r>
        <w:rPr>
          <w:color w:val="000000"/>
          <w:sz w:val="24"/>
        </w:rPr>
        <w:t>j</w:t>
      </w:r>
      <w:r>
        <w:rPr>
          <w:color w:val="000000"/>
          <w:sz w:val="24"/>
        </w:rPr>
        <w:t>点的实测统计代表值，</w:t>
      </w:r>
      <w:r>
        <w:rPr>
          <w:color w:val="000000"/>
          <w:sz w:val="24"/>
        </w:rPr>
        <w:t>mg/L</w:t>
      </w:r>
      <w:r>
        <w:rPr>
          <w:color w:val="000000"/>
          <w:sz w:val="24"/>
        </w:rPr>
        <w:t>；</w:t>
      </w:r>
    </w:p>
    <w:p w:rsidR="00240BCE" w:rsidRDefault="00AC0334">
      <w:pPr>
        <w:spacing w:line="520" w:lineRule="exact"/>
        <w:ind w:firstLineChars="500" w:firstLine="1200"/>
        <w:rPr>
          <w:color w:val="000000"/>
          <w:sz w:val="24"/>
        </w:rPr>
      </w:pPr>
      <w:r>
        <w:rPr>
          <w:color w:val="000000"/>
          <w:sz w:val="24"/>
        </w:rPr>
        <w:t>C</w:t>
      </w:r>
      <w:r>
        <w:rPr>
          <w:color w:val="000000"/>
          <w:sz w:val="24"/>
          <w:vertAlign w:val="subscript"/>
        </w:rPr>
        <w:t>s</w:t>
      </w:r>
      <w:r>
        <w:rPr>
          <w:rFonts w:hint="eastAsia"/>
          <w:color w:val="000000"/>
          <w:sz w:val="24"/>
          <w:vertAlign w:val="subscript"/>
        </w:rPr>
        <w:t>，</w:t>
      </w:r>
      <w:r>
        <w:rPr>
          <w:color w:val="000000"/>
          <w:sz w:val="24"/>
          <w:vertAlign w:val="subscript"/>
        </w:rPr>
        <w:t>j</w:t>
      </w:r>
      <w:r>
        <w:rPr>
          <w:color w:val="000000"/>
          <w:sz w:val="24"/>
        </w:rPr>
        <w:t>——</w:t>
      </w:r>
      <w:r>
        <w:rPr>
          <w:color w:val="000000"/>
          <w:sz w:val="24"/>
        </w:rPr>
        <w:t>评价因子</w:t>
      </w:r>
      <w:r>
        <w:rPr>
          <w:color w:val="000000"/>
          <w:sz w:val="24"/>
        </w:rPr>
        <w:t>i</w:t>
      </w:r>
      <w:r>
        <w:rPr>
          <w:color w:val="000000"/>
          <w:sz w:val="24"/>
        </w:rPr>
        <w:t>的评价标准限值，</w:t>
      </w:r>
      <w:r>
        <w:rPr>
          <w:color w:val="000000"/>
          <w:sz w:val="24"/>
        </w:rPr>
        <w:t>mg/L</w:t>
      </w:r>
      <w:r>
        <w:rPr>
          <w:color w:val="000000"/>
          <w:sz w:val="24"/>
        </w:rPr>
        <w:t>；</w:t>
      </w:r>
    </w:p>
    <w:p w:rsidR="00240BCE" w:rsidRDefault="00AC0334">
      <w:pPr>
        <w:spacing w:line="520" w:lineRule="exact"/>
        <w:ind w:firstLineChars="200" w:firstLine="480"/>
        <w:rPr>
          <w:b/>
          <w:bCs/>
          <w:color w:val="000000"/>
          <w:sz w:val="24"/>
        </w:rPr>
      </w:pPr>
      <w:r>
        <w:rPr>
          <w:color w:val="000000"/>
          <w:sz w:val="24"/>
        </w:rPr>
        <w:t>（</w:t>
      </w:r>
      <w:r>
        <w:rPr>
          <w:color w:val="000000"/>
          <w:sz w:val="24"/>
        </w:rPr>
        <w:t>2</w:t>
      </w:r>
      <w:r>
        <w:rPr>
          <w:color w:val="000000"/>
          <w:sz w:val="24"/>
        </w:rPr>
        <w:t>）对于</w:t>
      </w:r>
      <w:r>
        <w:rPr>
          <w:color w:val="000000"/>
          <w:sz w:val="24"/>
        </w:rPr>
        <w:t>pH</w:t>
      </w:r>
      <w:r>
        <w:rPr>
          <w:color w:val="000000"/>
          <w:sz w:val="24"/>
        </w:rPr>
        <w:t>：</w:t>
      </w:r>
      <w:r>
        <w:rPr>
          <w:b/>
          <w:bCs/>
          <w:color w:val="000000"/>
          <w:sz w:val="24"/>
        </w:rPr>
        <w:t>S</w:t>
      </w:r>
      <w:r>
        <w:rPr>
          <w:b/>
          <w:bCs/>
          <w:color w:val="000000"/>
          <w:sz w:val="24"/>
          <w:vertAlign w:val="subscript"/>
        </w:rPr>
        <w:t>pHj</w:t>
      </w:r>
      <w:r>
        <w:rPr>
          <w:b/>
          <w:bCs/>
          <w:color w:val="000000"/>
          <w:sz w:val="24"/>
        </w:rPr>
        <w:t>=(7.0-pH</w:t>
      </w:r>
      <w:r>
        <w:rPr>
          <w:b/>
          <w:bCs/>
          <w:color w:val="000000"/>
          <w:sz w:val="24"/>
          <w:vertAlign w:val="subscript"/>
        </w:rPr>
        <w:t>j</w:t>
      </w:r>
      <w:r>
        <w:rPr>
          <w:b/>
          <w:bCs/>
          <w:color w:val="000000"/>
          <w:sz w:val="24"/>
        </w:rPr>
        <w:t>)/(7.0-pH</w:t>
      </w:r>
      <w:r>
        <w:rPr>
          <w:b/>
          <w:bCs/>
          <w:color w:val="000000"/>
          <w:sz w:val="24"/>
          <w:vertAlign w:val="subscript"/>
        </w:rPr>
        <w:t>sd</w:t>
      </w:r>
      <w:r>
        <w:rPr>
          <w:b/>
          <w:bCs/>
          <w:color w:val="000000"/>
          <w:sz w:val="24"/>
        </w:rPr>
        <w:t>)   pH</w:t>
      </w:r>
      <w:r>
        <w:rPr>
          <w:b/>
          <w:bCs/>
          <w:color w:val="000000"/>
          <w:sz w:val="24"/>
          <w:vertAlign w:val="subscript"/>
        </w:rPr>
        <w:t>j</w:t>
      </w:r>
      <w:r>
        <w:rPr>
          <w:b/>
          <w:bCs/>
          <w:color w:val="000000"/>
          <w:sz w:val="24"/>
        </w:rPr>
        <w:t>≤7.0</w:t>
      </w:r>
    </w:p>
    <w:p w:rsidR="00240BCE" w:rsidRDefault="00AC0334">
      <w:pPr>
        <w:spacing w:line="520" w:lineRule="exact"/>
        <w:ind w:firstLineChars="900" w:firstLine="2168"/>
        <w:rPr>
          <w:b/>
          <w:bCs/>
          <w:color w:val="000000"/>
          <w:sz w:val="24"/>
        </w:rPr>
      </w:pPr>
      <w:r>
        <w:rPr>
          <w:b/>
          <w:bCs/>
          <w:color w:val="000000"/>
          <w:sz w:val="24"/>
        </w:rPr>
        <w:t>S</w:t>
      </w:r>
      <w:r>
        <w:rPr>
          <w:b/>
          <w:bCs/>
          <w:color w:val="000000"/>
          <w:sz w:val="24"/>
          <w:vertAlign w:val="subscript"/>
        </w:rPr>
        <w:t>pHj</w:t>
      </w:r>
      <w:r>
        <w:rPr>
          <w:b/>
          <w:bCs/>
          <w:color w:val="000000"/>
          <w:sz w:val="24"/>
        </w:rPr>
        <w:t>=( pH</w:t>
      </w:r>
      <w:r>
        <w:rPr>
          <w:b/>
          <w:bCs/>
          <w:color w:val="000000"/>
          <w:sz w:val="24"/>
          <w:vertAlign w:val="subscript"/>
        </w:rPr>
        <w:t>j</w:t>
      </w:r>
      <w:r>
        <w:rPr>
          <w:b/>
          <w:bCs/>
          <w:color w:val="000000"/>
          <w:sz w:val="24"/>
        </w:rPr>
        <w:t>-7.0)/( pH</w:t>
      </w:r>
      <w:r>
        <w:rPr>
          <w:b/>
          <w:bCs/>
          <w:color w:val="000000"/>
          <w:sz w:val="24"/>
          <w:vertAlign w:val="subscript"/>
        </w:rPr>
        <w:t>su</w:t>
      </w:r>
      <w:r>
        <w:rPr>
          <w:b/>
          <w:bCs/>
          <w:color w:val="000000"/>
          <w:sz w:val="24"/>
        </w:rPr>
        <w:t>-7.0)   pH</w:t>
      </w:r>
      <w:r>
        <w:rPr>
          <w:b/>
          <w:bCs/>
          <w:color w:val="000000"/>
          <w:sz w:val="24"/>
          <w:vertAlign w:val="subscript"/>
        </w:rPr>
        <w:t>j</w:t>
      </w:r>
      <w:r>
        <w:rPr>
          <w:b/>
          <w:bCs/>
          <w:color w:val="000000"/>
          <w:sz w:val="24"/>
        </w:rPr>
        <w:t>＞</w:t>
      </w:r>
      <w:r>
        <w:rPr>
          <w:b/>
          <w:bCs/>
          <w:color w:val="000000"/>
          <w:sz w:val="24"/>
        </w:rPr>
        <w:t>7.0</w:t>
      </w:r>
    </w:p>
    <w:p w:rsidR="00240BCE" w:rsidRDefault="00AC0334">
      <w:pPr>
        <w:spacing w:line="520" w:lineRule="exact"/>
        <w:ind w:firstLineChars="200" w:firstLine="480"/>
        <w:rPr>
          <w:color w:val="000000"/>
          <w:sz w:val="24"/>
        </w:rPr>
      </w:pPr>
      <w:r>
        <w:rPr>
          <w:color w:val="000000"/>
          <w:sz w:val="24"/>
        </w:rPr>
        <w:t>式中：</w:t>
      </w:r>
      <w:r>
        <w:rPr>
          <w:color w:val="000000"/>
          <w:sz w:val="24"/>
        </w:rPr>
        <w:t>S</w:t>
      </w:r>
      <w:r>
        <w:rPr>
          <w:color w:val="000000"/>
          <w:sz w:val="24"/>
          <w:vertAlign w:val="subscript"/>
        </w:rPr>
        <w:t>pHj j</w:t>
      </w:r>
      <w:r>
        <w:rPr>
          <w:color w:val="000000"/>
          <w:sz w:val="24"/>
        </w:rPr>
        <w:t>——pH</w:t>
      </w:r>
      <w:r>
        <w:rPr>
          <w:color w:val="000000"/>
          <w:sz w:val="24"/>
        </w:rPr>
        <w:t>的标准指数；</w:t>
      </w:r>
    </w:p>
    <w:p w:rsidR="00240BCE" w:rsidRDefault="00AC0334">
      <w:pPr>
        <w:spacing w:line="520" w:lineRule="exact"/>
        <w:ind w:firstLineChars="200" w:firstLine="480"/>
        <w:rPr>
          <w:color w:val="000000"/>
          <w:sz w:val="24"/>
        </w:rPr>
      </w:pPr>
      <w:r>
        <w:rPr>
          <w:color w:val="000000"/>
          <w:sz w:val="24"/>
        </w:rPr>
        <w:t xml:space="preserve">      pH</w:t>
      </w:r>
      <w:r>
        <w:rPr>
          <w:color w:val="000000"/>
          <w:sz w:val="24"/>
          <w:vertAlign w:val="subscript"/>
        </w:rPr>
        <w:t>j</w:t>
      </w:r>
      <w:r>
        <w:rPr>
          <w:color w:val="000000"/>
          <w:sz w:val="24"/>
        </w:rPr>
        <w:t>——pH</w:t>
      </w:r>
      <w:r>
        <w:rPr>
          <w:color w:val="000000"/>
          <w:sz w:val="24"/>
        </w:rPr>
        <w:t>的在</w:t>
      </w:r>
      <w:r>
        <w:rPr>
          <w:color w:val="000000"/>
          <w:sz w:val="24"/>
        </w:rPr>
        <w:t>j</w:t>
      </w:r>
      <w:r>
        <w:rPr>
          <w:color w:val="000000"/>
          <w:sz w:val="24"/>
        </w:rPr>
        <w:t>点的实测统计代表值；</w:t>
      </w:r>
    </w:p>
    <w:p w:rsidR="00240BCE" w:rsidRDefault="00AC0334">
      <w:pPr>
        <w:spacing w:line="520" w:lineRule="exact"/>
        <w:ind w:firstLineChars="200" w:firstLine="480"/>
        <w:rPr>
          <w:color w:val="000000"/>
          <w:sz w:val="24"/>
        </w:rPr>
      </w:pPr>
      <w:r>
        <w:rPr>
          <w:color w:val="000000"/>
          <w:sz w:val="24"/>
        </w:rPr>
        <w:t xml:space="preserve">      pH</w:t>
      </w:r>
      <w:r>
        <w:rPr>
          <w:color w:val="000000"/>
          <w:sz w:val="24"/>
          <w:vertAlign w:val="subscript"/>
        </w:rPr>
        <w:t>sd</w:t>
      </w:r>
      <w:r>
        <w:rPr>
          <w:color w:val="000000"/>
          <w:sz w:val="24"/>
        </w:rPr>
        <w:t>——</w:t>
      </w:r>
      <w:r>
        <w:rPr>
          <w:color w:val="000000"/>
          <w:sz w:val="24"/>
        </w:rPr>
        <w:t>评价标准中</w:t>
      </w:r>
      <w:r>
        <w:rPr>
          <w:color w:val="000000"/>
          <w:sz w:val="24"/>
        </w:rPr>
        <w:t>pH</w:t>
      </w:r>
      <w:r>
        <w:rPr>
          <w:color w:val="000000"/>
          <w:sz w:val="24"/>
        </w:rPr>
        <w:t>的下限值；</w:t>
      </w:r>
    </w:p>
    <w:p w:rsidR="00240BCE" w:rsidRDefault="00AC0334">
      <w:pPr>
        <w:spacing w:line="520" w:lineRule="exact"/>
        <w:ind w:firstLineChars="200" w:firstLine="480"/>
        <w:rPr>
          <w:b/>
          <w:bCs/>
          <w:color w:val="000000"/>
          <w:sz w:val="24"/>
        </w:rPr>
      </w:pPr>
      <w:r>
        <w:rPr>
          <w:color w:val="000000"/>
          <w:sz w:val="24"/>
        </w:rPr>
        <w:t xml:space="preserve">      pH</w:t>
      </w:r>
      <w:r>
        <w:rPr>
          <w:color w:val="000000"/>
          <w:sz w:val="24"/>
          <w:vertAlign w:val="subscript"/>
        </w:rPr>
        <w:t>su</w:t>
      </w:r>
      <w:r>
        <w:rPr>
          <w:color w:val="000000"/>
          <w:sz w:val="24"/>
        </w:rPr>
        <w:t>——</w:t>
      </w:r>
      <w:r>
        <w:rPr>
          <w:color w:val="000000"/>
          <w:sz w:val="24"/>
        </w:rPr>
        <w:t>评价标准中</w:t>
      </w:r>
      <w:r>
        <w:rPr>
          <w:color w:val="000000"/>
          <w:sz w:val="24"/>
        </w:rPr>
        <w:t>pH</w:t>
      </w:r>
      <w:r>
        <w:rPr>
          <w:color w:val="000000"/>
          <w:sz w:val="24"/>
        </w:rPr>
        <w:t>的上限值。</w:t>
      </w:r>
    </w:p>
    <w:p w:rsidR="00240BCE" w:rsidRDefault="00AC0334">
      <w:pPr>
        <w:spacing w:line="520" w:lineRule="exact"/>
        <w:ind w:firstLineChars="200" w:firstLine="480"/>
        <w:rPr>
          <w:color w:val="000000"/>
          <w:sz w:val="24"/>
        </w:rPr>
      </w:pPr>
      <w:r>
        <w:rPr>
          <w:color w:val="000000"/>
          <w:sz w:val="24"/>
        </w:rPr>
        <w:t>6</w:t>
      </w:r>
      <w:r>
        <w:rPr>
          <w:color w:val="000000"/>
          <w:sz w:val="24"/>
        </w:rPr>
        <w:t>、监测结果统计及评价</w:t>
      </w:r>
    </w:p>
    <w:p w:rsidR="00240BCE" w:rsidRDefault="00AC0334">
      <w:pPr>
        <w:spacing w:line="520" w:lineRule="exact"/>
        <w:ind w:firstLineChars="200" w:firstLine="480"/>
        <w:rPr>
          <w:sz w:val="24"/>
        </w:rPr>
      </w:pPr>
      <w:r>
        <w:rPr>
          <w:sz w:val="24"/>
        </w:rPr>
        <w:lastRenderedPageBreak/>
        <w:t>地下水监测结果及分析统计见表</w:t>
      </w:r>
      <w:r>
        <w:rPr>
          <w:color w:val="000000"/>
          <w:sz w:val="24"/>
        </w:rPr>
        <w:t>4.3-13</w:t>
      </w:r>
      <w:r>
        <w:rPr>
          <w:sz w:val="24"/>
        </w:rPr>
        <w:t>。</w:t>
      </w:r>
    </w:p>
    <w:p w:rsidR="00240BCE" w:rsidRDefault="00AC0334">
      <w:pPr>
        <w:spacing w:line="520" w:lineRule="exact"/>
        <w:jc w:val="center"/>
        <w:rPr>
          <w:rFonts w:eastAsia="黑体"/>
          <w:sz w:val="24"/>
        </w:rPr>
      </w:pPr>
      <w:r>
        <w:rPr>
          <w:rFonts w:eastAsia="黑体"/>
          <w:sz w:val="24"/>
        </w:rPr>
        <w:t>表</w:t>
      </w:r>
      <w:r>
        <w:rPr>
          <w:color w:val="000000"/>
          <w:sz w:val="24"/>
        </w:rPr>
        <w:t>4.3-13</w:t>
      </w:r>
      <w:r>
        <w:rPr>
          <w:rFonts w:eastAsia="黑体"/>
          <w:sz w:val="24"/>
        </w:rPr>
        <w:t xml:space="preserve">   </w:t>
      </w:r>
      <w:r>
        <w:rPr>
          <w:rFonts w:eastAsia="黑体"/>
          <w:sz w:val="24"/>
        </w:rPr>
        <w:t>地下水现状监测结果</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998"/>
        <w:gridCol w:w="1812"/>
        <w:gridCol w:w="1224"/>
        <w:gridCol w:w="1226"/>
        <w:gridCol w:w="1226"/>
        <w:gridCol w:w="1226"/>
        <w:gridCol w:w="1249"/>
      </w:tblGrid>
      <w:tr w:rsidR="00240BCE">
        <w:trPr>
          <w:jc w:val="center"/>
        </w:trPr>
        <w:tc>
          <w:tcPr>
            <w:tcW w:w="557" w:type="pct"/>
            <w:vMerge w:val="restart"/>
            <w:tcBorders>
              <w:top w:val="single" w:sz="4" w:space="0" w:color="000000"/>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检测因子</w:t>
            </w:r>
          </w:p>
        </w:tc>
        <w:tc>
          <w:tcPr>
            <w:tcW w:w="1011" w:type="pct"/>
            <w:vMerge w:val="restar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数据统计</w:t>
            </w:r>
          </w:p>
        </w:tc>
        <w:tc>
          <w:tcPr>
            <w:tcW w:w="3432" w:type="pct"/>
            <w:gridSpan w:val="5"/>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检测点位</w:t>
            </w:r>
          </w:p>
        </w:tc>
      </w:tr>
      <w:tr w:rsidR="00240BC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0" w:type="auto"/>
            <w:vMerge/>
            <w:tcBorders>
              <w:top w:val="single" w:sz="4" w:space="0" w:color="000000"/>
              <w:left w:val="nil"/>
              <w:bottom w:val="single" w:sz="4" w:space="0" w:color="000000"/>
              <w:right w:val="single" w:sz="4" w:space="0" w:color="000000"/>
            </w:tcBorders>
            <w:vAlign w:val="center"/>
          </w:tcPr>
          <w:p w:rsidR="00240BCE" w:rsidRDefault="00240BCE">
            <w:pPr>
              <w:widowControl/>
              <w:jc w:val="left"/>
              <w:rPr>
                <w:color w:val="000000"/>
                <w:sz w:val="21"/>
                <w:szCs w:val="21"/>
              </w:rPr>
            </w:pP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1#</w:t>
            </w:r>
            <w:r>
              <w:rPr>
                <w:sz w:val="21"/>
                <w:szCs w:val="21"/>
              </w:rPr>
              <w:t>赵沟村民用水井</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adjustRightInd w:val="0"/>
              <w:snapToGrid w:val="0"/>
              <w:spacing w:line="320" w:lineRule="exact"/>
              <w:jc w:val="center"/>
              <w:rPr>
                <w:color w:val="000000"/>
                <w:sz w:val="21"/>
                <w:szCs w:val="21"/>
              </w:rPr>
            </w:pPr>
            <w:r>
              <w:rPr>
                <w:sz w:val="21"/>
                <w:szCs w:val="21"/>
              </w:rPr>
              <w:t>2#</w:t>
            </w:r>
            <w:r>
              <w:rPr>
                <w:sz w:val="21"/>
                <w:szCs w:val="21"/>
              </w:rPr>
              <w:t>楼院村民用水井</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adjustRightInd w:val="0"/>
              <w:snapToGrid w:val="0"/>
              <w:spacing w:line="320" w:lineRule="exact"/>
              <w:jc w:val="center"/>
              <w:rPr>
                <w:color w:val="000000"/>
                <w:sz w:val="21"/>
                <w:szCs w:val="21"/>
              </w:rPr>
            </w:pPr>
            <w:r>
              <w:rPr>
                <w:sz w:val="21"/>
                <w:szCs w:val="21"/>
              </w:rPr>
              <w:t>3#</w:t>
            </w:r>
            <w:r>
              <w:rPr>
                <w:sz w:val="21"/>
                <w:szCs w:val="21"/>
              </w:rPr>
              <w:t>连庄村民用水井</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adjustRightInd w:val="0"/>
              <w:snapToGrid w:val="0"/>
              <w:spacing w:line="320" w:lineRule="exact"/>
              <w:jc w:val="center"/>
              <w:rPr>
                <w:color w:val="000000"/>
                <w:sz w:val="21"/>
                <w:szCs w:val="21"/>
              </w:rPr>
            </w:pPr>
            <w:r>
              <w:rPr>
                <w:sz w:val="21"/>
                <w:szCs w:val="21"/>
              </w:rPr>
              <w:t>4#</w:t>
            </w:r>
            <w:r>
              <w:rPr>
                <w:sz w:val="21"/>
                <w:szCs w:val="21"/>
              </w:rPr>
              <w:t>官庄窑村民用水井</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adjustRightInd w:val="0"/>
              <w:snapToGrid w:val="0"/>
              <w:spacing w:line="320" w:lineRule="exact"/>
              <w:jc w:val="center"/>
              <w:rPr>
                <w:color w:val="000000"/>
                <w:sz w:val="21"/>
                <w:szCs w:val="21"/>
              </w:rPr>
            </w:pPr>
            <w:r>
              <w:rPr>
                <w:sz w:val="21"/>
                <w:szCs w:val="21"/>
              </w:rPr>
              <w:t>5#</w:t>
            </w:r>
            <w:r>
              <w:rPr>
                <w:sz w:val="21"/>
                <w:szCs w:val="21"/>
              </w:rPr>
              <w:t>楚黄庄村民用水井</w:t>
            </w:r>
          </w:p>
        </w:tc>
      </w:tr>
      <w:tr w:rsidR="00240BCE">
        <w:trPr>
          <w:jc w:val="center"/>
        </w:trPr>
        <w:tc>
          <w:tcPr>
            <w:tcW w:w="557" w:type="pct"/>
            <w:tcBorders>
              <w:top w:val="single" w:sz="4" w:space="0" w:color="000000"/>
              <w:left w:val="single" w:sz="4" w:space="0" w:color="000000"/>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K</w:t>
            </w:r>
            <w:r>
              <w:rPr>
                <w:sz w:val="21"/>
                <w:szCs w:val="21"/>
                <w:vertAlign w:val="superscript"/>
              </w:rPr>
              <w:t>+</w:t>
            </w:r>
          </w:p>
        </w:tc>
        <w:tc>
          <w:tcPr>
            <w:tcW w:w="1011" w:type="pct"/>
            <w:tcBorders>
              <w:top w:val="single" w:sz="4" w:space="0" w:color="000000"/>
              <w:left w:val="nil"/>
              <w:bottom w:val="single" w:sz="4" w:space="0" w:color="000000"/>
              <w:right w:val="single" w:sz="4" w:space="0" w:color="000000"/>
            </w:tcBorders>
            <w:vAlign w:val="center"/>
          </w:tcPr>
          <w:p w:rsidR="00240BCE" w:rsidRDefault="00AC0334" w:rsidP="00EA27AD">
            <w:pPr>
              <w:spacing w:before="100" w:beforeAutospacing="1" w:after="100" w:afterAutospacing="1" w:line="360" w:lineRule="auto"/>
              <w:jc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rsidP="00EA27AD">
            <w:pPr>
              <w:widowControl/>
              <w:spacing w:line="360" w:lineRule="auto"/>
              <w:jc w:val="center"/>
              <w:rPr>
                <w:sz w:val="21"/>
                <w:szCs w:val="21"/>
              </w:rPr>
            </w:pPr>
            <w:r>
              <w:rPr>
                <w:kern w:val="0"/>
                <w:sz w:val="21"/>
                <w:szCs w:val="21"/>
              </w:rPr>
              <w:t>3.65</w:t>
            </w:r>
            <w:r>
              <w:rPr>
                <w:kern w:val="0"/>
                <w:sz w:val="21"/>
                <w:szCs w:val="21"/>
              </w:rPr>
              <w:t>～</w:t>
            </w:r>
            <w:r>
              <w:rPr>
                <w:sz w:val="21"/>
                <w:szCs w:val="21"/>
              </w:rPr>
              <w:t>3.90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6.54</w:t>
            </w:r>
            <w:r>
              <w:rPr>
                <w:spacing w:val="-2"/>
                <w:sz w:val="21"/>
                <w:szCs w:val="21"/>
              </w:rPr>
              <w:t>~</w:t>
            </w:r>
            <w:r>
              <w:rPr>
                <w:sz w:val="21"/>
                <w:szCs w:val="21"/>
              </w:rPr>
              <w:t>6.96</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3.10</w:t>
            </w:r>
            <w:r>
              <w:rPr>
                <w:spacing w:val="-2"/>
                <w:sz w:val="21"/>
                <w:szCs w:val="21"/>
              </w:rPr>
              <w:t>~3.30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8.16</w:t>
            </w:r>
            <w:r>
              <w:rPr>
                <w:spacing w:val="-2"/>
                <w:sz w:val="21"/>
                <w:szCs w:val="21"/>
              </w:rPr>
              <w:t>~</w:t>
            </w:r>
            <w:r>
              <w:rPr>
                <w:sz w:val="21"/>
                <w:szCs w:val="21"/>
              </w:rPr>
              <w:t>8.50</w:t>
            </w:r>
          </w:p>
        </w:tc>
        <w:tc>
          <w:tcPr>
            <w:tcW w:w="697"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1.52</w:t>
            </w:r>
            <w:r>
              <w:rPr>
                <w:spacing w:val="-2"/>
                <w:sz w:val="21"/>
                <w:szCs w:val="21"/>
              </w:rPr>
              <w:t>~1.65</w:t>
            </w:r>
          </w:p>
        </w:tc>
      </w:tr>
      <w:tr w:rsidR="00240BCE">
        <w:trPr>
          <w:jc w:val="center"/>
        </w:trPr>
        <w:tc>
          <w:tcPr>
            <w:tcW w:w="557" w:type="pct"/>
            <w:tcBorders>
              <w:top w:val="single" w:sz="4" w:space="0" w:color="000000"/>
              <w:left w:val="single" w:sz="4" w:space="0" w:color="000000"/>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Na</w:t>
            </w:r>
            <w:r>
              <w:rPr>
                <w:sz w:val="21"/>
                <w:szCs w:val="21"/>
                <w:vertAlign w:val="superscript"/>
              </w:rPr>
              <w:t>+</w:t>
            </w:r>
          </w:p>
        </w:tc>
        <w:tc>
          <w:tcPr>
            <w:tcW w:w="1011" w:type="pct"/>
            <w:tcBorders>
              <w:top w:val="single" w:sz="4" w:space="0" w:color="000000"/>
              <w:left w:val="nil"/>
              <w:bottom w:val="single" w:sz="4" w:space="0" w:color="000000"/>
              <w:right w:val="single" w:sz="4" w:space="0" w:color="000000"/>
            </w:tcBorders>
            <w:vAlign w:val="center"/>
          </w:tcPr>
          <w:p w:rsidR="00240BCE" w:rsidRDefault="00AC0334" w:rsidP="00EA27AD">
            <w:pPr>
              <w:spacing w:before="100" w:beforeAutospacing="1" w:after="100" w:afterAutospacing="1" w:line="360" w:lineRule="auto"/>
              <w:jc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sz w:val="21"/>
                <w:szCs w:val="21"/>
              </w:rPr>
            </w:pPr>
            <w:r>
              <w:rPr>
                <w:sz w:val="21"/>
                <w:szCs w:val="21"/>
              </w:rPr>
              <w:t>24.4</w:t>
            </w:r>
            <w:r>
              <w:rPr>
                <w:sz w:val="21"/>
                <w:szCs w:val="21"/>
              </w:rPr>
              <w:t>～</w:t>
            </w:r>
            <w:r>
              <w:rPr>
                <w:sz w:val="21"/>
                <w:szCs w:val="21"/>
              </w:rPr>
              <w:t>25.0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24.2</w:t>
            </w:r>
            <w:r>
              <w:rPr>
                <w:spacing w:val="-2"/>
                <w:sz w:val="21"/>
                <w:szCs w:val="21"/>
              </w:rPr>
              <w:t>~</w:t>
            </w:r>
            <w:r>
              <w:rPr>
                <w:sz w:val="21"/>
                <w:szCs w:val="21"/>
              </w:rPr>
              <w:t>25.9</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15.8</w:t>
            </w:r>
            <w:r>
              <w:rPr>
                <w:spacing w:val="-2"/>
                <w:sz w:val="21"/>
                <w:szCs w:val="21"/>
              </w:rPr>
              <w:t>~16.1</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65.9</w:t>
            </w:r>
            <w:r>
              <w:rPr>
                <w:spacing w:val="-2"/>
                <w:sz w:val="21"/>
                <w:szCs w:val="21"/>
              </w:rPr>
              <w:t>~</w:t>
            </w:r>
            <w:r>
              <w:rPr>
                <w:sz w:val="21"/>
                <w:szCs w:val="21"/>
              </w:rPr>
              <w:t>68.6</w:t>
            </w:r>
          </w:p>
        </w:tc>
        <w:tc>
          <w:tcPr>
            <w:tcW w:w="697"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13.8</w:t>
            </w:r>
            <w:r>
              <w:rPr>
                <w:spacing w:val="-2"/>
                <w:sz w:val="21"/>
                <w:szCs w:val="21"/>
              </w:rPr>
              <w:t>~14.4</w:t>
            </w:r>
          </w:p>
        </w:tc>
      </w:tr>
      <w:tr w:rsidR="00240BCE">
        <w:trPr>
          <w:jc w:val="center"/>
        </w:trPr>
        <w:tc>
          <w:tcPr>
            <w:tcW w:w="557" w:type="pct"/>
            <w:tcBorders>
              <w:top w:val="single" w:sz="4" w:space="0" w:color="000000"/>
              <w:left w:val="single" w:sz="4" w:space="0" w:color="000000"/>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Ca</w:t>
            </w:r>
            <w:r>
              <w:rPr>
                <w:sz w:val="21"/>
                <w:szCs w:val="21"/>
                <w:vertAlign w:val="superscript"/>
              </w:rPr>
              <w:t>2+</w:t>
            </w:r>
          </w:p>
        </w:tc>
        <w:tc>
          <w:tcPr>
            <w:tcW w:w="1011" w:type="pct"/>
            <w:tcBorders>
              <w:top w:val="single" w:sz="4" w:space="0" w:color="000000"/>
              <w:left w:val="nil"/>
              <w:bottom w:val="single" w:sz="4" w:space="0" w:color="000000"/>
              <w:right w:val="single" w:sz="4" w:space="0" w:color="000000"/>
            </w:tcBorders>
            <w:vAlign w:val="center"/>
          </w:tcPr>
          <w:p w:rsidR="00240BCE" w:rsidRDefault="00AC0334" w:rsidP="00EA27AD">
            <w:pPr>
              <w:spacing w:before="100" w:beforeAutospacing="1" w:after="100" w:afterAutospacing="1" w:line="360" w:lineRule="auto"/>
              <w:jc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sz w:val="21"/>
                <w:szCs w:val="21"/>
              </w:rPr>
            </w:pPr>
            <w:r>
              <w:rPr>
                <w:sz w:val="21"/>
                <w:szCs w:val="21"/>
              </w:rPr>
              <w:t>52.2</w:t>
            </w:r>
            <w:r>
              <w:rPr>
                <w:sz w:val="21"/>
                <w:szCs w:val="21"/>
              </w:rPr>
              <w:t>～</w:t>
            </w:r>
            <w:r>
              <w:rPr>
                <w:sz w:val="21"/>
                <w:szCs w:val="21"/>
              </w:rPr>
              <w:t>58.2</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81.8</w:t>
            </w:r>
            <w:r>
              <w:rPr>
                <w:spacing w:val="-2"/>
                <w:sz w:val="21"/>
                <w:szCs w:val="21"/>
              </w:rPr>
              <w:t>~</w:t>
            </w:r>
            <w:r>
              <w:rPr>
                <w:sz w:val="21"/>
                <w:szCs w:val="21"/>
              </w:rPr>
              <w:t>88.1</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31.0</w:t>
            </w:r>
            <w:r>
              <w:rPr>
                <w:spacing w:val="-2"/>
                <w:sz w:val="21"/>
                <w:szCs w:val="21"/>
              </w:rPr>
              <w:t>~</w:t>
            </w:r>
            <w:r>
              <w:rPr>
                <w:sz w:val="21"/>
                <w:szCs w:val="21"/>
              </w:rPr>
              <w:t>33.6</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12.3</w:t>
            </w:r>
            <w:r>
              <w:rPr>
                <w:spacing w:val="-2"/>
                <w:sz w:val="21"/>
                <w:szCs w:val="21"/>
              </w:rPr>
              <w:t>~</w:t>
            </w:r>
            <w:r>
              <w:rPr>
                <w:sz w:val="21"/>
                <w:szCs w:val="21"/>
              </w:rPr>
              <w:t>12.9</w:t>
            </w:r>
          </w:p>
        </w:tc>
        <w:tc>
          <w:tcPr>
            <w:tcW w:w="697"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33.7</w:t>
            </w:r>
            <w:r>
              <w:rPr>
                <w:spacing w:val="-2"/>
                <w:sz w:val="21"/>
                <w:szCs w:val="21"/>
              </w:rPr>
              <w:t>~</w:t>
            </w:r>
            <w:r>
              <w:rPr>
                <w:sz w:val="21"/>
                <w:szCs w:val="21"/>
              </w:rPr>
              <w:t>35.2</w:t>
            </w:r>
          </w:p>
        </w:tc>
      </w:tr>
      <w:tr w:rsidR="00240BCE">
        <w:trPr>
          <w:jc w:val="center"/>
        </w:trPr>
        <w:tc>
          <w:tcPr>
            <w:tcW w:w="557" w:type="pct"/>
            <w:tcBorders>
              <w:top w:val="single" w:sz="4" w:space="0" w:color="000000"/>
              <w:left w:val="single" w:sz="4" w:space="0" w:color="000000"/>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Mg</w:t>
            </w:r>
            <w:r>
              <w:rPr>
                <w:sz w:val="21"/>
                <w:szCs w:val="21"/>
                <w:vertAlign w:val="superscript"/>
              </w:rPr>
              <w:t>2+</w:t>
            </w:r>
          </w:p>
        </w:tc>
        <w:tc>
          <w:tcPr>
            <w:tcW w:w="1011" w:type="pct"/>
            <w:tcBorders>
              <w:top w:val="single" w:sz="4" w:space="0" w:color="000000"/>
              <w:left w:val="nil"/>
              <w:bottom w:val="single" w:sz="4" w:space="0" w:color="000000"/>
              <w:right w:val="single" w:sz="4" w:space="0" w:color="000000"/>
            </w:tcBorders>
            <w:vAlign w:val="center"/>
          </w:tcPr>
          <w:p w:rsidR="00240BCE" w:rsidRDefault="00AC0334" w:rsidP="00EA27AD">
            <w:pPr>
              <w:spacing w:before="100" w:beforeAutospacing="1" w:after="100" w:afterAutospacing="1" w:line="360" w:lineRule="auto"/>
              <w:jc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rsidP="00EA27AD">
            <w:pPr>
              <w:widowControl/>
              <w:spacing w:line="360" w:lineRule="auto"/>
              <w:jc w:val="center"/>
              <w:rPr>
                <w:sz w:val="21"/>
                <w:szCs w:val="21"/>
              </w:rPr>
            </w:pPr>
            <w:r>
              <w:rPr>
                <w:kern w:val="0"/>
                <w:sz w:val="21"/>
                <w:szCs w:val="21"/>
              </w:rPr>
              <w:t>23.0</w:t>
            </w:r>
            <w:r>
              <w:rPr>
                <w:kern w:val="0"/>
                <w:sz w:val="21"/>
                <w:szCs w:val="21"/>
              </w:rPr>
              <w:t>～</w:t>
            </w:r>
            <w:r>
              <w:rPr>
                <w:sz w:val="21"/>
                <w:szCs w:val="21"/>
              </w:rPr>
              <w:t>24.2</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34.0</w:t>
            </w:r>
            <w:r>
              <w:rPr>
                <w:spacing w:val="-2"/>
                <w:sz w:val="21"/>
                <w:szCs w:val="21"/>
              </w:rPr>
              <w:t>~</w:t>
            </w:r>
            <w:r>
              <w:rPr>
                <w:sz w:val="21"/>
                <w:szCs w:val="21"/>
              </w:rPr>
              <w:t>36.2</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33.1</w:t>
            </w:r>
            <w:r>
              <w:rPr>
                <w:spacing w:val="-2"/>
                <w:sz w:val="21"/>
                <w:szCs w:val="21"/>
              </w:rPr>
              <w:t>~34.2</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59.8</w:t>
            </w:r>
            <w:r>
              <w:rPr>
                <w:spacing w:val="-2"/>
                <w:sz w:val="21"/>
                <w:szCs w:val="21"/>
              </w:rPr>
              <w:t>~63.7</w:t>
            </w:r>
          </w:p>
        </w:tc>
        <w:tc>
          <w:tcPr>
            <w:tcW w:w="697"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25.5</w:t>
            </w:r>
            <w:r>
              <w:rPr>
                <w:spacing w:val="-2"/>
                <w:sz w:val="21"/>
                <w:szCs w:val="21"/>
              </w:rPr>
              <w:t>~27.4</w:t>
            </w:r>
          </w:p>
        </w:tc>
      </w:tr>
      <w:tr w:rsidR="00240BCE">
        <w:trPr>
          <w:jc w:val="center"/>
        </w:trPr>
        <w:tc>
          <w:tcPr>
            <w:tcW w:w="557" w:type="pct"/>
            <w:tcBorders>
              <w:top w:val="single" w:sz="4" w:space="0" w:color="000000"/>
              <w:left w:val="single" w:sz="4" w:space="0" w:color="000000"/>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CO</w:t>
            </w:r>
            <w:r>
              <w:rPr>
                <w:sz w:val="21"/>
                <w:szCs w:val="21"/>
                <w:vertAlign w:val="subscript"/>
              </w:rPr>
              <w:t>3</w:t>
            </w:r>
            <w:r>
              <w:rPr>
                <w:sz w:val="21"/>
                <w:szCs w:val="21"/>
                <w:vertAlign w:val="superscript"/>
              </w:rPr>
              <w:t>2-</w:t>
            </w:r>
          </w:p>
        </w:tc>
        <w:tc>
          <w:tcPr>
            <w:tcW w:w="1011" w:type="pct"/>
            <w:tcBorders>
              <w:top w:val="single" w:sz="4" w:space="0" w:color="000000"/>
              <w:left w:val="nil"/>
              <w:bottom w:val="single" w:sz="4" w:space="0" w:color="000000"/>
              <w:right w:val="single" w:sz="4" w:space="0" w:color="000000"/>
            </w:tcBorders>
            <w:vAlign w:val="center"/>
          </w:tcPr>
          <w:p w:rsidR="00240BCE" w:rsidRDefault="00AC0334" w:rsidP="00EA27AD">
            <w:pPr>
              <w:spacing w:before="100" w:beforeAutospacing="1" w:after="100" w:afterAutospacing="1" w:line="360" w:lineRule="auto"/>
              <w:jc w:val="center"/>
              <w:rPr>
                <w:color w:val="000000"/>
                <w:sz w:val="21"/>
                <w:szCs w:val="21"/>
              </w:rPr>
            </w:pPr>
            <w:r>
              <w:rPr>
                <w:sz w:val="21"/>
                <w:szCs w:val="21"/>
              </w:rPr>
              <w:t>监测结果（</w:t>
            </w:r>
            <w:r>
              <w:rPr>
                <w:sz w:val="21"/>
                <w:szCs w:val="21"/>
              </w:rPr>
              <w:t>mmol/L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rsidP="00EA27AD">
            <w:pPr>
              <w:widowControl/>
              <w:spacing w:line="360" w:lineRule="auto"/>
              <w:jc w:val="center"/>
              <w:rPr>
                <w:sz w:val="21"/>
                <w:szCs w:val="21"/>
              </w:rPr>
            </w:pPr>
            <w:r>
              <w:rPr>
                <w:kern w:val="0"/>
                <w:sz w:val="21"/>
                <w:szCs w:val="21"/>
              </w:rPr>
              <w:t>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0</w:t>
            </w:r>
          </w:p>
        </w:tc>
        <w:tc>
          <w:tcPr>
            <w:tcW w:w="697"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0</w:t>
            </w:r>
          </w:p>
        </w:tc>
      </w:tr>
      <w:tr w:rsidR="00240BCE">
        <w:trPr>
          <w:jc w:val="center"/>
        </w:trPr>
        <w:tc>
          <w:tcPr>
            <w:tcW w:w="557" w:type="pct"/>
            <w:tcBorders>
              <w:top w:val="single" w:sz="4" w:space="0" w:color="000000"/>
              <w:left w:val="single" w:sz="4" w:space="0" w:color="000000"/>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HCO</w:t>
            </w:r>
            <w:r>
              <w:rPr>
                <w:sz w:val="21"/>
                <w:szCs w:val="21"/>
                <w:vertAlign w:val="subscript"/>
              </w:rPr>
              <w:t>3</w:t>
            </w:r>
            <w:r>
              <w:rPr>
                <w:sz w:val="21"/>
                <w:szCs w:val="21"/>
                <w:vertAlign w:val="superscript"/>
              </w:rPr>
              <w:t>-</w:t>
            </w:r>
          </w:p>
        </w:tc>
        <w:tc>
          <w:tcPr>
            <w:tcW w:w="1011" w:type="pct"/>
            <w:tcBorders>
              <w:top w:val="single" w:sz="4" w:space="0" w:color="000000"/>
              <w:left w:val="nil"/>
              <w:bottom w:val="single" w:sz="4" w:space="0" w:color="000000"/>
              <w:right w:val="single" w:sz="4" w:space="0" w:color="000000"/>
            </w:tcBorders>
            <w:vAlign w:val="center"/>
          </w:tcPr>
          <w:p w:rsidR="00240BCE" w:rsidRDefault="00AC0334" w:rsidP="00EA27AD">
            <w:pPr>
              <w:spacing w:before="100" w:beforeAutospacing="1" w:after="100" w:afterAutospacing="1" w:line="360" w:lineRule="auto"/>
              <w:jc w:val="center"/>
              <w:rPr>
                <w:color w:val="000000"/>
                <w:sz w:val="21"/>
                <w:szCs w:val="21"/>
              </w:rPr>
            </w:pPr>
            <w:r>
              <w:rPr>
                <w:sz w:val="21"/>
                <w:szCs w:val="21"/>
              </w:rPr>
              <w:t>监测结果（</w:t>
            </w:r>
            <w:r>
              <w:rPr>
                <w:sz w:val="21"/>
                <w:szCs w:val="21"/>
              </w:rPr>
              <w:t>mmol/L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sz w:val="21"/>
                <w:szCs w:val="21"/>
              </w:rPr>
            </w:pPr>
            <w:r>
              <w:rPr>
                <w:sz w:val="21"/>
                <w:szCs w:val="21"/>
              </w:rPr>
              <w:t>333</w:t>
            </w:r>
            <w:r>
              <w:rPr>
                <w:sz w:val="21"/>
                <w:szCs w:val="21"/>
              </w:rPr>
              <w:t>～</w:t>
            </w:r>
            <w:r>
              <w:rPr>
                <w:sz w:val="21"/>
                <w:szCs w:val="21"/>
              </w:rPr>
              <w:t>374</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343</w:t>
            </w:r>
            <w:r>
              <w:rPr>
                <w:spacing w:val="-2"/>
                <w:sz w:val="21"/>
                <w:szCs w:val="21"/>
              </w:rPr>
              <w:t>~368</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382</w:t>
            </w:r>
            <w:r>
              <w:rPr>
                <w:spacing w:val="-2"/>
                <w:sz w:val="21"/>
                <w:szCs w:val="21"/>
              </w:rPr>
              <w:t>~</w:t>
            </w:r>
            <w:r>
              <w:rPr>
                <w:sz w:val="21"/>
                <w:szCs w:val="21"/>
              </w:rPr>
              <w:t>426</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496</w:t>
            </w:r>
            <w:r>
              <w:rPr>
                <w:spacing w:val="-2"/>
                <w:sz w:val="21"/>
                <w:szCs w:val="21"/>
              </w:rPr>
              <w:t>~</w:t>
            </w:r>
            <w:r>
              <w:rPr>
                <w:sz w:val="21"/>
                <w:szCs w:val="21"/>
              </w:rPr>
              <w:t>568</w:t>
            </w:r>
          </w:p>
        </w:tc>
        <w:tc>
          <w:tcPr>
            <w:tcW w:w="697"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278</w:t>
            </w:r>
            <w:r>
              <w:rPr>
                <w:spacing w:val="-2"/>
                <w:sz w:val="21"/>
                <w:szCs w:val="21"/>
              </w:rPr>
              <w:t>~</w:t>
            </w:r>
            <w:r>
              <w:rPr>
                <w:sz w:val="21"/>
                <w:szCs w:val="21"/>
              </w:rPr>
              <w:t>326</w:t>
            </w:r>
          </w:p>
        </w:tc>
      </w:tr>
      <w:tr w:rsidR="00240BCE">
        <w:trPr>
          <w:jc w:val="center"/>
        </w:trPr>
        <w:tc>
          <w:tcPr>
            <w:tcW w:w="557" w:type="pct"/>
            <w:tcBorders>
              <w:top w:val="single" w:sz="4" w:space="0" w:color="000000"/>
              <w:left w:val="single" w:sz="4" w:space="0" w:color="000000"/>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Cl</w:t>
            </w:r>
            <w:r>
              <w:rPr>
                <w:sz w:val="21"/>
                <w:szCs w:val="21"/>
                <w:vertAlign w:val="superscript"/>
              </w:rPr>
              <w:t>-</w:t>
            </w:r>
          </w:p>
        </w:tc>
        <w:tc>
          <w:tcPr>
            <w:tcW w:w="1011" w:type="pct"/>
            <w:tcBorders>
              <w:top w:val="single" w:sz="4" w:space="0" w:color="000000"/>
              <w:left w:val="nil"/>
              <w:bottom w:val="single" w:sz="4" w:space="0" w:color="000000"/>
              <w:right w:val="single" w:sz="4" w:space="0" w:color="000000"/>
            </w:tcBorders>
            <w:vAlign w:val="center"/>
          </w:tcPr>
          <w:p w:rsidR="00240BCE" w:rsidRDefault="00AC0334" w:rsidP="00EA27AD">
            <w:pPr>
              <w:spacing w:before="100" w:beforeAutospacing="1" w:after="100" w:afterAutospacing="1" w:line="360" w:lineRule="auto"/>
              <w:jc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sz w:val="21"/>
                <w:szCs w:val="21"/>
              </w:rPr>
            </w:pPr>
            <w:r>
              <w:rPr>
                <w:sz w:val="21"/>
                <w:szCs w:val="21"/>
              </w:rPr>
              <w:t>17.8</w:t>
            </w:r>
            <w:r>
              <w:rPr>
                <w:sz w:val="21"/>
                <w:szCs w:val="21"/>
              </w:rPr>
              <w:t>～</w:t>
            </w:r>
            <w:r>
              <w:rPr>
                <w:kern w:val="0"/>
                <w:sz w:val="21"/>
                <w:szCs w:val="21"/>
              </w:rPr>
              <w:t>18.0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17.8</w:t>
            </w:r>
            <w:r>
              <w:rPr>
                <w:spacing w:val="-2"/>
                <w:sz w:val="21"/>
                <w:szCs w:val="21"/>
              </w:rPr>
              <w:t>~18.0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31.1</w:t>
            </w:r>
            <w:r>
              <w:rPr>
                <w:spacing w:val="-2"/>
                <w:sz w:val="21"/>
                <w:szCs w:val="21"/>
              </w:rPr>
              <w:t>~31.4</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52.0</w:t>
            </w:r>
            <w:r>
              <w:rPr>
                <w:spacing w:val="-2"/>
                <w:sz w:val="21"/>
                <w:szCs w:val="21"/>
              </w:rPr>
              <w:t>~</w:t>
            </w:r>
            <w:r>
              <w:rPr>
                <w:sz w:val="21"/>
                <w:szCs w:val="21"/>
              </w:rPr>
              <w:t>52.4</w:t>
            </w:r>
          </w:p>
        </w:tc>
        <w:tc>
          <w:tcPr>
            <w:tcW w:w="697"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10.9</w:t>
            </w:r>
            <w:r>
              <w:rPr>
                <w:spacing w:val="-2"/>
                <w:sz w:val="21"/>
                <w:szCs w:val="21"/>
              </w:rPr>
              <w:t>~</w:t>
            </w:r>
            <w:r>
              <w:rPr>
                <w:sz w:val="21"/>
                <w:szCs w:val="21"/>
              </w:rPr>
              <w:t>11.1</w:t>
            </w:r>
          </w:p>
        </w:tc>
      </w:tr>
      <w:tr w:rsidR="00240BCE">
        <w:trPr>
          <w:jc w:val="center"/>
        </w:trPr>
        <w:tc>
          <w:tcPr>
            <w:tcW w:w="557" w:type="pct"/>
            <w:tcBorders>
              <w:top w:val="single" w:sz="4" w:space="0" w:color="000000"/>
              <w:left w:val="single" w:sz="4" w:space="0" w:color="000000"/>
              <w:bottom w:val="single" w:sz="4" w:space="0" w:color="000000"/>
              <w:right w:val="single" w:sz="4" w:space="0" w:color="000000"/>
            </w:tcBorders>
            <w:vAlign w:val="center"/>
          </w:tcPr>
          <w:p w:rsidR="00240BCE" w:rsidRDefault="00AC0334" w:rsidP="00EA27AD">
            <w:pPr>
              <w:spacing w:line="360" w:lineRule="auto"/>
              <w:jc w:val="center"/>
              <w:rPr>
                <w:color w:val="000000"/>
                <w:sz w:val="21"/>
                <w:szCs w:val="21"/>
              </w:rPr>
            </w:pPr>
            <w:r>
              <w:rPr>
                <w:sz w:val="21"/>
                <w:szCs w:val="21"/>
              </w:rPr>
              <w:t>SO</w:t>
            </w:r>
            <w:r>
              <w:rPr>
                <w:sz w:val="21"/>
                <w:szCs w:val="21"/>
                <w:vertAlign w:val="subscript"/>
              </w:rPr>
              <w:t>4</w:t>
            </w:r>
            <w:r>
              <w:rPr>
                <w:sz w:val="21"/>
                <w:szCs w:val="21"/>
                <w:vertAlign w:val="superscript"/>
              </w:rPr>
              <w:t>2-</w:t>
            </w:r>
          </w:p>
        </w:tc>
        <w:tc>
          <w:tcPr>
            <w:tcW w:w="1011" w:type="pct"/>
            <w:tcBorders>
              <w:top w:val="single" w:sz="4" w:space="0" w:color="000000"/>
              <w:left w:val="nil"/>
              <w:bottom w:val="single" w:sz="4" w:space="0" w:color="000000"/>
              <w:right w:val="single" w:sz="4" w:space="0" w:color="000000"/>
            </w:tcBorders>
            <w:vAlign w:val="center"/>
          </w:tcPr>
          <w:p w:rsidR="00240BCE" w:rsidRDefault="00AC0334" w:rsidP="00EA27AD">
            <w:pPr>
              <w:spacing w:before="100" w:beforeAutospacing="1" w:after="100" w:afterAutospacing="1" w:line="360" w:lineRule="auto"/>
              <w:jc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rPr>
                <w:sz w:val="21"/>
                <w:szCs w:val="21"/>
              </w:rPr>
            </w:pPr>
            <w:r>
              <w:rPr>
                <w:sz w:val="21"/>
                <w:szCs w:val="21"/>
              </w:rPr>
              <w:t>40.2</w:t>
            </w:r>
            <w:r>
              <w:rPr>
                <w:sz w:val="21"/>
                <w:szCs w:val="21"/>
              </w:rPr>
              <w:t>～</w:t>
            </w:r>
            <w:r>
              <w:rPr>
                <w:kern w:val="0"/>
                <w:sz w:val="21"/>
                <w:szCs w:val="21"/>
              </w:rPr>
              <w:t>41.0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40.2</w:t>
            </w:r>
            <w:r>
              <w:rPr>
                <w:spacing w:val="-2"/>
                <w:sz w:val="21"/>
                <w:szCs w:val="21"/>
              </w:rPr>
              <w:t>~</w:t>
            </w:r>
            <w:r>
              <w:rPr>
                <w:sz w:val="21"/>
                <w:szCs w:val="21"/>
              </w:rPr>
              <w:t>41.0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74.8</w:t>
            </w:r>
            <w:r>
              <w:rPr>
                <w:spacing w:val="-2"/>
                <w:sz w:val="21"/>
                <w:szCs w:val="21"/>
              </w:rPr>
              <w:t>~</w:t>
            </w:r>
            <w:r>
              <w:rPr>
                <w:sz w:val="21"/>
                <w:szCs w:val="21"/>
              </w:rPr>
              <w:t>76.0</w:t>
            </w:r>
          </w:p>
        </w:tc>
        <w:tc>
          <w:tcPr>
            <w:tcW w:w="684"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17.7</w:t>
            </w:r>
            <w:r>
              <w:rPr>
                <w:spacing w:val="-2"/>
                <w:sz w:val="21"/>
                <w:szCs w:val="21"/>
              </w:rPr>
              <w:t>~</w:t>
            </w:r>
            <w:r>
              <w:rPr>
                <w:sz w:val="21"/>
                <w:szCs w:val="21"/>
              </w:rPr>
              <w:t>18.6</w:t>
            </w:r>
          </w:p>
        </w:tc>
        <w:tc>
          <w:tcPr>
            <w:tcW w:w="697" w:type="pct"/>
            <w:tcBorders>
              <w:top w:val="single" w:sz="4" w:space="0" w:color="000000"/>
              <w:left w:val="nil"/>
              <w:bottom w:val="single" w:sz="4" w:space="0" w:color="000000"/>
              <w:right w:val="single" w:sz="4" w:space="0" w:color="000000"/>
            </w:tcBorders>
            <w:vAlign w:val="center"/>
          </w:tcPr>
          <w:p w:rsidR="00240BCE" w:rsidRDefault="00AC0334" w:rsidP="00EA27AD">
            <w:pPr>
              <w:spacing w:line="360" w:lineRule="auto"/>
              <w:jc w:val="center"/>
              <w:textAlignment w:val="center"/>
              <w:rPr>
                <w:color w:val="000000"/>
                <w:sz w:val="21"/>
                <w:szCs w:val="21"/>
              </w:rPr>
            </w:pPr>
            <w:r>
              <w:rPr>
                <w:sz w:val="21"/>
                <w:szCs w:val="21"/>
              </w:rPr>
              <w:t>45.3</w:t>
            </w:r>
            <w:r>
              <w:rPr>
                <w:spacing w:val="-2"/>
                <w:sz w:val="21"/>
                <w:szCs w:val="21"/>
              </w:rPr>
              <w:t>~</w:t>
            </w:r>
            <w:r>
              <w:rPr>
                <w:sz w:val="21"/>
                <w:szCs w:val="21"/>
              </w:rPr>
              <w:t>46.5</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pH</w:t>
            </w:r>
            <w:r>
              <w:rPr>
                <w:sz w:val="21"/>
                <w:szCs w:val="21"/>
              </w:rPr>
              <w:t>值</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监测结果</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widowControl/>
              <w:jc w:val="center"/>
              <w:rPr>
                <w:sz w:val="21"/>
                <w:szCs w:val="21"/>
              </w:rPr>
            </w:pPr>
            <w:r>
              <w:rPr>
                <w:kern w:val="0"/>
                <w:sz w:val="21"/>
                <w:szCs w:val="21"/>
              </w:rPr>
              <w:t>7.31</w:t>
            </w:r>
            <w:r>
              <w:rPr>
                <w:kern w:val="0"/>
                <w:sz w:val="21"/>
                <w:szCs w:val="21"/>
              </w:rPr>
              <w:t>～</w:t>
            </w:r>
            <w:r>
              <w:rPr>
                <w:sz w:val="21"/>
                <w:szCs w:val="21"/>
              </w:rPr>
              <w:t>7.36</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7.40</w:t>
            </w:r>
            <w:r>
              <w:rPr>
                <w:spacing w:val="-2"/>
                <w:sz w:val="21"/>
                <w:szCs w:val="21"/>
              </w:rPr>
              <w:t>~7.45</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7.30</w:t>
            </w:r>
            <w:r>
              <w:rPr>
                <w:spacing w:val="-2"/>
                <w:sz w:val="21"/>
                <w:szCs w:val="21"/>
              </w:rPr>
              <w:t>~</w:t>
            </w:r>
            <w:r>
              <w:rPr>
                <w:sz w:val="21"/>
                <w:szCs w:val="21"/>
              </w:rPr>
              <w:t>7.36</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7.41</w:t>
            </w:r>
            <w:r>
              <w:rPr>
                <w:spacing w:val="-2"/>
                <w:sz w:val="21"/>
                <w:szCs w:val="21"/>
              </w:rPr>
              <w:t>~</w:t>
            </w:r>
            <w:r>
              <w:rPr>
                <w:sz w:val="21"/>
                <w:szCs w:val="21"/>
              </w:rPr>
              <w:t>7.47</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7.21</w:t>
            </w:r>
            <w:r>
              <w:rPr>
                <w:spacing w:val="-2"/>
                <w:sz w:val="21"/>
                <w:szCs w:val="21"/>
              </w:rPr>
              <w:t>~</w:t>
            </w:r>
            <w:r>
              <w:rPr>
                <w:sz w:val="21"/>
                <w:szCs w:val="21"/>
              </w:rPr>
              <w:t>7.31</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0.21</w:t>
            </w:r>
            <w:r>
              <w:rPr>
                <w:spacing w:val="-2"/>
                <w:sz w:val="21"/>
                <w:szCs w:val="21"/>
              </w:rPr>
              <w:t>~0.24</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0.27</w:t>
            </w:r>
            <w:r>
              <w:rPr>
                <w:spacing w:val="-2"/>
                <w:sz w:val="21"/>
                <w:szCs w:val="21"/>
              </w:rPr>
              <w:t>~0.3</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0.2</w:t>
            </w:r>
            <w:r>
              <w:rPr>
                <w:spacing w:val="-2"/>
                <w:sz w:val="21"/>
                <w:szCs w:val="21"/>
              </w:rPr>
              <w:t>~0.24</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0.27</w:t>
            </w:r>
            <w:r>
              <w:rPr>
                <w:spacing w:val="-2"/>
                <w:sz w:val="21"/>
                <w:szCs w:val="21"/>
              </w:rPr>
              <w:t>~0.31</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0.14</w:t>
            </w:r>
            <w:r>
              <w:rPr>
                <w:spacing w:val="-2"/>
                <w:sz w:val="21"/>
                <w:szCs w:val="21"/>
              </w:rPr>
              <w:t>~0.21</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氨氮</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0" w:type="auto"/>
            <w:vMerge w:val="restart"/>
            <w:tcBorders>
              <w:top w:val="nil"/>
              <w:left w:val="single" w:sz="4" w:space="0" w:color="000000"/>
              <w:right w:val="single" w:sz="4" w:space="0" w:color="000000"/>
            </w:tcBorders>
            <w:vAlign w:val="center"/>
          </w:tcPr>
          <w:p w:rsidR="00240BCE" w:rsidRDefault="00AC0334">
            <w:pPr>
              <w:adjustRightInd w:val="0"/>
              <w:snapToGrid w:val="0"/>
              <w:spacing w:line="320" w:lineRule="exact"/>
              <w:jc w:val="center"/>
              <w:rPr>
                <w:color w:val="000000"/>
                <w:sz w:val="21"/>
                <w:szCs w:val="21"/>
              </w:rPr>
            </w:pPr>
            <w:r>
              <w:rPr>
                <w:sz w:val="21"/>
                <w:szCs w:val="21"/>
              </w:rPr>
              <w:t>亚硝酸盐</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r>
      <w:tr w:rsidR="00240BCE">
        <w:trPr>
          <w:jc w:val="center"/>
        </w:trPr>
        <w:tc>
          <w:tcPr>
            <w:tcW w:w="0" w:type="auto"/>
            <w:vMerge/>
            <w:tcBorders>
              <w:left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0" w:type="auto"/>
            <w:vMerge/>
            <w:tcBorders>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adjustRightInd w:val="0"/>
              <w:snapToGrid w:val="0"/>
              <w:spacing w:line="320" w:lineRule="exact"/>
              <w:jc w:val="center"/>
              <w:rPr>
                <w:color w:val="000000"/>
                <w:sz w:val="21"/>
                <w:szCs w:val="21"/>
              </w:rPr>
            </w:pPr>
            <w:r>
              <w:rPr>
                <w:sz w:val="21"/>
                <w:szCs w:val="21"/>
              </w:rPr>
              <w:t>硝酸盐</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18</w:t>
            </w:r>
            <w:r>
              <w:rPr>
                <w:spacing w:val="-2"/>
                <w:sz w:val="21"/>
                <w:szCs w:val="21"/>
              </w:rPr>
              <w:t>~</w:t>
            </w:r>
            <w:r>
              <w:rPr>
                <w:sz w:val="21"/>
                <w:szCs w:val="21"/>
              </w:rPr>
              <w:t>18.6</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5.84</w:t>
            </w:r>
            <w:r>
              <w:rPr>
                <w:spacing w:val="-2"/>
                <w:sz w:val="21"/>
                <w:szCs w:val="21"/>
              </w:rPr>
              <w:t>~5.86</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10.8</w:t>
            </w:r>
            <w:r>
              <w:rPr>
                <w:spacing w:val="-2"/>
                <w:sz w:val="21"/>
                <w:szCs w:val="21"/>
              </w:rPr>
              <w:t>~10.9</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0.592</w:t>
            </w:r>
            <w:r>
              <w:rPr>
                <w:spacing w:val="-2"/>
                <w:sz w:val="21"/>
                <w:szCs w:val="21"/>
              </w:rPr>
              <w:t>~</w:t>
            </w:r>
            <w:r>
              <w:rPr>
                <w:sz w:val="21"/>
                <w:szCs w:val="21"/>
              </w:rPr>
              <w:t>0.621</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7.30</w:t>
            </w:r>
            <w:r>
              <w:rPr>
                <w:spacing w:val="-2"/>
                <w:sz w:val="21"/>
                <w:szCs w:val="21"/>
              </w:rPr>
              <w:t>~</w:t>
            </w:r>
            <w:r>
              <w:rPr>
                <w:sz w:val="21"/>
                <w:szCs w:val="21"/>
              </w:rPr>
              <w:t>7.36</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0.9</w:t>
            </w:r>
            <w:r>
              <w:rPr>
                <w:spacing w:val="-2"/>
                <w:sz w:val="21"/>
                <w:szCs w:val="21"/>
              </w:rPr>
              <w:t>~0.93</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0.29</w:t>
            </w:r>
            <w:r>
              <w:rPr>
                <w:spacing w:val="-2"/>
                <w:sz w:val="21"/>
                <w:szCs w:val="21"/>
              </w:rPr>
              <w:t>~0.293</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0.54</w:t>
            </w:r>
            <w:r>
              <w:rPr>
                <w:spacing w:val="-2"/>
                <w:sz w:val="21"/>
                <w:szCs w:val="21"/>
              </w:rPr>
              <w:t>~0.55</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0.03</w:t>
            </w:r>
            <w:r>
              <w:rPr>
                <w:spacing w:val="-2"/>
                <w:sz w:val="21"/>
                <w:szCs w:val="21"/>
              </w:rPr>
              <w:t>~0.031</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0.365</w:t>
            </w:r>
            <w:r>
              <w:rPr>
                <w:spacing w:val="-2"/>
                <w:sz w:val="21"/>
                <w:szCs w:val="21"/>
              </w:rPr>
              <w:t>~0.368</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砷</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汞</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六价铬</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总硬度</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384</w:t>
            </w:r>
            <w:r>
              <w:rPr>
                <w:spacing w:val="-2"/>
                <w:sz w:val="21"/>
                <w:szCs w:val="21"/>
              </w:rPr>
              <w:t>~</w:t>
            </w:r>
            <w:r>
              <w:rPr>
                <w:sz w:val="21"/>
                <w:szCs w:val="21"/>
              </w:rPr>
              <w:t>394</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425</w:t>
            </w:r>
            <w:r>
              <w:rPr>
                <w:spacing w:val="-2"/>
                <w:sz w:val="21"/>
                <w:szCs w:val="21"/>
              </w:rPr>
              <w:t>~438</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365</w:t>
            </w:r>
            <w:r>
              <w:rPr>
                <w:spacing w:val="-2"/>
                <w:sz w:val="21"/>
                <w:szCs w:val="21"/>
              </w:rPr>
              <w:t>~398</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373</w:t>
            </w:r>
            <w:r>
              <w:rPr>
                <w:spacing w:val="-2"/>
                <w:sz w:val="21"/>
                <w:szCs w:val="21"/>
              </w:rPr>
              <w:t>~393</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340</w:t>
            </w:r>
            <w:r>
              <w:rPr>
                <w:spacing w:val="-2"/>
                <w:sz w:val="21"/>
                <w:szCs w:val="21"/>
              </w:rPr>
              <w:t>~363</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0.85</w:t>
            </w:r>
            <w:r>
              <w:rPr>
                <w:spacing w:val="-2"/>
                <w:sz w:val="21"/>
                <w:szCs w:val="21"/>
              </w:rPr>
              <w:t>~0.88</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0.94</w:t>
            </w:r>
            <w:r>
              <w:rPr>
                <w:spacing w:val="-2"/>
                <w:sz w:val="21"/>
                <w:szCs w:val="21"/>
              </w:rPr>
              <w:t>~0.97</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0.81</w:t>
            </w:r>
            <w:r>
              <w:rPr>
                <w:spacing w:val="-2"/>
                <w:sz w:val="21"/>
                <w:szCs w:val="21"/>
              </w:rPr>
              <w:t>~0.88</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0.83</w:t>
            </w:r>
            <w:r>
              <w:rPr>
                <w:spacing w:val="-2"/>
                <w:sz w:val="21"/>
                <w:szCs w:val="21"/>
              </w:rPr>
              <w:t>~0.87</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0.76</w:t>
            </w:r>
            <w:r>
              <w:rPr>
                <w:spacing w:val="-2"/>
                <w:sz w:val="21"/>
                <w:szCs w:val="21"/>
              </w:rPr>
              <w:t>~0.81</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铅</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氟化物</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0.374</w:t>
            </w:r>
            <w:r>
              <w:rPr>
                <w:spacing w:val="-2"/>
                <w:sz w:val="21"/>
                <w:szCs w:val="21"/>
              </w:rPr>
              <w:t>~0.454</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0.282</w:t>
            </w:r>
            <w:r>
              <w:rPr>
                <w:spacing w:val="-2"/>
                <w:sz w:val="21"/>
                <w:szCs w:val="21"/>
              </w:rPr>
              <w:t>~0.298</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0.285</w:t>
            </w:r>
            <w:r>
              <w:rPr>
                <w:spacing w:val="-2"/>
                <w:sz w:val="21"/>
                <w:szCs w:val="21"/>
              </w:rPr>
              <w:t>~</w:t>
            </w:r>
            <w:r>
              <w:rPr>
                <w:sz w:val="21"/>
                <w:szCs w:val="21"/>
              </w:rPr>
              <w:t>0.303</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0.355</w:t>
            </w:r>
            <w:r>
              <w:rPr>
                <w:spacing w:val="-2"/>
                <w:sz w:val="21"/>
                <w:szCs w:val="21"/>
              </w:rPr>
              <w:t>~0.376</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0.365</w:t>
            </w:r>
            <w:r>
              <w:rPr>
                <w:spacing w:val="-2"/>
                <w:sz w:val="21"/>
                <w:szCs w:val="21"/>
              </w:rPr>
              <w:t>~0.431</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0.37</w:t>
            </w:r>
            <w:r>
              <w:rPr>
                <w:spacing w:val="-2"/>
                <w:sz w:val="21"/>
                <w:szCs w:val="21"/>
              </w:rPr>
              <w:t>~0.45</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0.28</w:t>
            </w:r>
            <w:r>
              <w:rPr>
                <w:spacing w:val="-2"/>
                <w:sz w:val="21"/>
                <w:szCs w:val="21"/>
              </w:rPr>
              <w:t>~0.298</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0.29</w:t>
            </w:r>
            <w:r>
              <w:rPr>
                <w:spacing w:val="-2"/>
                <w:sz w:val="21"/>
                <w:szCs w:val="21"/>
              </w:rPr>
              <w:t>~</w:t>
            </w:r>
            <w:r>
              <w:rPr>
                <w:sz w:val="21"/>
                <w:szCs w:val="21"/>
              </w:rPr>
              <w:t>0.3</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0.36</w:t>
            </w:r>
            <w:r>
              <w:rPr>
                <w:spacing w:val="-2"/>
                <w:sz w:val="21"/>
                <w:szCs w:val="21"/>
              </w:rPr>
              <w:t>~0.38</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0.365</w:t>
            </w:r>
            <w:r>
              <w:rPr>
                <w:spacing w:val="-2"/>
                <w:sz w:val="21"/>
                <w:szCs w:val="21"/>
              </w:rPr>
              <w:t>~0.431</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镉</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未检出</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铁</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0.223</w:t>
            </w:r>
            <w:r>
              <w:rPr>
                <w:sz w:val="21"/>
                <w:szCs w:val="21"/>
              </w:rPr>
              <w:t>～</w:t>
            </w:r>
            <w:r>
              <w:rPr>
                <w:sz w:val="21"/>
                <w:szCs w:val="21"/>
              </w:rPr>
              <w:t>0.228</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0.213</w:t>
            </w:r>
            <w:r>
              <w:rPr>
                <w:sz w:val="21"/>
                <w:szCs w:val="21"/>
              </w:rPr>
              <w:t>～</w:t>
            </w:r>
            <w:r>
              <w:rPr>
                <w:sz w:val="21"/>
                <w:szCs w:val="21"/>
              </w:rPr>
              <w:t>0.218</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0.238</w:t>
            </w:r>
            <w:r>
              <w:rPr>
                <w:sz w:val="21"/>
                <w:szCs w:val="21"/>
              </w:rPr>
              <w:t>～</w:t>
            </w:r>
            <w:r>
              <w:rPr>
                <w:sz w:val="21"/>
                <w:szCs w:val="21"/>
              </w:rPr>
              <w:t>0.242</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0.245</w:t>
            </w:r>
            <w:r>
              <w:rPr>
                <w:sz w:val="21"/>
                <w:szCs w:val="21"/>
              </w:rPr>
              <w:t>～</w:t>
            </w:r>
            <w:r>
              <w:rPr>
                <w:sz w:val="21"/>
                <w:szCs w:val="21"/>
              </w:rPr>
              <w:t>0.258</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0.208</w:t>
            </w:r>
            <w:r>
              <w:rPr>
                <w:sz w:val="21"/>
                <w:szCs w:val="21"/>
              </w:rPr>
              <w:t>～</w:t>
            </w:r>
            <w:r>
              <w:rPr>
                <w:sz w:val="21"/>
                <w:szCs w:val="21"/>
              </w:rPr>
              <w:t>0.212</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0.74</w:t>
            </w:r>
            <w:r>
              <w:rPr>
                <w:spacing w:val="-2"/>
                <w:sz w:val="21"/>
                <w:szCs w:val="21"/>
              </w:rPr>
              <w:t>~0.76</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0.71</w:t>
            </w:r>
            <w:r>
              <w:rPr>
                <w:spacing w:val="-2"/>
                <w:sz w:val="21"/>
                <w:szCs w:val="21"/>
              </w:rPr>
              <w:t>~0.73</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0.79</w:t>
            </w:r>
            <w:r>
              <w:rPr>
                <w:sz w:val="21"/>
                <w:szCs w:val="21"/>
              </w:rPr>
              <w:t>～</w:t>
            </w:r>
            <w:r>
              <w:rPr>
                <w:sz w:val="21"/>
                <w:szCs w:val="21"/>
              </w:rPr>
              <w:t>81</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0.82</w:t>
            </w:r>
            <w:r>
              <w:rPr>
                <w:sz w:val="21"/>
                <w:szCs w:val="21"/>
              </w:rPr>
              <w:t>～</w:t>
            </w:r>
            <w:r>
              <w:rPr>
                <w:sz w:val="21"/>
                <w:szCs w:val="21"/>
              </w:rPr>
              <w:t>86</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0.69</w:t>
            </w:r>
            <w:r>
              <w:rPr>
                <w:sz w:val="21"/>
                <w:szCs w:val="21"/>
              </w:rPr>
              <w:t>～</w:t>
            </w:r>
            <w:r>
              <w:rPr>
                <w:sz w:val="21"/>
                <w:szCs w:val="21"/>
              </w:rPr>
              <w:t>71</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溶解性总固体</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913</w:t>
            </w:r>
            <w:r>
              <w:rPr>
                <w:spacing w:val="-2"/>
                <w:sz w:val="21"/>
                <w:szCs w:val="21"/>
              </w:rPr>
              <w:t>~956</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490</w:t>
            </w:r>
            <w:r>
              <w:rPr>
                <w:spacing w:val="-2"/>
                <w:sz w:val="21"/>
                <w:szCs w:val="21"/>
              </w:rPr>
              <w:t>~511</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667</w:t>
            </w:r>
            <w:r>
              <w:rPr>
                <w:spacing w:val="-2"/>
                <w:sz w:val="21"/>
                <w:szCs w:val="21"/>
              </w:rPr>
              <w:t>~705</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723</w:t>
            </w:r>
            <w:r>
              <w:rPr>
                <w:spacing w:val="-2"/>
                <w:sz w:val="21"/>
                <w:szCs w:val="21"/>
              </w:rPr>
              <w:t>~790</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475</w:t>
            </w:r>
            <w:r>
              <w:rPr>
                <w:spacing w:val="-2"/>
                <w:sz w:val="21"/>
                <w:szCs w:val="21"/>
              </w:rPr>
              <w:t>~</w:t>
            </w:r>
            <w:r>
              <w:rPr>
                <w:sz w:val="21"/>
                <w:szCs w:val="21"/>
              </w:rPr>
              <w:t>502</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color w:val="000000"/>
                <w:sz w:val="21"/>
                <w:szCs w:val="21"/>
              </w:rPr>
            </w:pPr>
            <w:r>
              <w:rPr>
                <w:sz w:val="21"/>
                <w:szCs w:val="21"/>
              </w:rPr>
              <w:t>0.91</w:t>
            </w:r>
            <w:r>
              <w:rPr>
                <w:spacing w:val="-2"/>
                <w:sz w:val="21"/>
                <w:szCs w:val="21"/>
              </w:rPr>
              <w:t>~0.96</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0.49</w:t>
            </w:r>
            <w:r>
              <w:rPr>
                <w:spacing w:val="-2"/>
                <w:sz w:val="21"/>
                <w:szCs w:val="21"/>
              </w:rPr>
              <w:t>~0.51</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0.67</w:t>
            </w:r>
            <w:r>
              <w:rPr>
                <w:spacing w:val="-2"/>
                <w:sz w:val="21"/>
                <w:szCs w:val="21"/>
              </w:rPr>
              <w:t>~0.71</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0.72</w:t>
            </w:r>
            <w:r>
              <w:rPr>
                <w:spacing w:val="-2"/>
                <w:sz w:val="21"/>
                <w:szCs w:val="21"/>
              </w:rPr>
              <w:t>~0.79</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0.475</w:t>
            </w:r>
            <w:r>
              <w:rPr>
                <w:spacing w:val="-2"/>
                <w:sz w:val="21"/>
                <w:szCs w:val="21"/>
              </w:rPr>
              <w:t>~0.</w:t>
            </w:r>
            <w:r>
              <w:rPr>
                <w:sz w:val="21"/>
                <w:szCs w:val="21"/>
              </w:rPr>
              <w:t>502</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耗氧量</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监测结果（</w:t>
            </w:r>
            <w:r>
              <w:rPr>
                <w:sz w:val="21"/>
                <w:szCs w:val="21"/>
              </w:rPr>
              <w:t>mg/L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before="100" w:beforeAutospacing="1" w:after="100" w:afterAutospacing="1" w:line="320" w:lineRule="exact"/>
              <w:jc w:val="center"/>
              <w:rPr>
                <w:color w:val="000000"/>
                <w:sz w:val="21"/>
                <w:szCs w:val="21"/>
              </w:rPr>
            </w:pPr>
            <w:r>
              <w:rPr>
                <w:sz w:val="21"/>
                <w:szCs w:val="21"/>
              </w:rPr>
              <w:t>0.6</w:t>
            </w:r>
            <w:r>
              <w:rPr>
                <w:spacing w:val="-2"/>
                <w:sz w:val="21"/>
                <w:szCs w:val="21"/>
              </w:rPr>
              <w:t>~</w:t>
            </w:r>
            <w:r>
              <w:rPr>
                <w:sz w:val="21"/>
                <w:szCs w:val="21"/>
              </w:rPr>
              <w:t>1.0</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0.7</w:t>
            </w:r>
            <w:r>
              <w:rPr>
                <w:spacing w:val="-2"/>
                <w:sz w:val="21"/>
                <w:szCs w:val="21"/>
              </w:rPr>
              <w:t>~</w:t>
            </w:r>
            <w:r>
              <w:rPr>
                <w:sz w:val="21"/>
                <w:szCs w:val="21"/>
              </w:rPr>
              <w:t>0.9</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0.7</w:t>
            </w:r>
            <w:r>
              <w:rPr>
                <w:spacing w:val="-2"/>
                <w:sz w:val="21"/>
                <w:szCs w:val="21"/>
              </w:rPr>
              <w:t>~1.1</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0.5</w:t>
            </w:r>
            <w:r>
              <w:rPr>
                <w:spacing w:val="-2"/>
                <w:sz w:val="21"/>
                <w:szCs w:val="21"/>
              </w:rPr>
              <w:t>~</w:t>
            </w:r>
            <w:r>
              <w:rPr>
                <w:sz w:val="21"/>
                <w:szCs w:val="21"/>
              </w:rPr>
              <w:t>0.9</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0.6</w:t>
            </w:r>
            <w:r>
              <w:rPr>
                <w:spacing w:val="-2"/>
                <w:sz w:val="21"/>
                <w:szCs w:val="21"/>
              </w:rPr>
              <w:t>~</w:t>
            </w:r>
            <w:r>
              <w:rPr>
                <w:sz w:val="21"/>
                <w:szCs w:val="21"/>
              </w:rPr>
              <w:t>0.8</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before="100" w:beforeAutospacing="1" w:after="100" w:afterAutospacing="1" w:line="320" w:lineRule="exact"/>
              <w:jc w:val="center"/>
              <w:rPr>
                <w:sz w:val="21"/>
                <w:szCs w:val="21"/>
              </w:rPr>
            </w:pPr>
            <w:r>
              <w:rPr>
                <w:sz w:val="21"/>
                <w:szCs w:val="21"/>
              </w:rPr>
              <w:t>0.2</w:t>
            </w:r>
            <w:r>
              <w:rPr>
                <w:spacing w:val="-2"/>
                <w:sz w:val="21"/>
                <w:szCs w:val="21"/>
              </w:rPr>
              <w:t>~0.33</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0.23</w:t>
            </w:r>
            <w:r>
              <w:rPr>
                <w:spacing w:val="-2"/>
                <w:sz w:val="21"/>
                <w:szCs w:val="21"/>
              </w:rPr>
              <w:t>~0.3</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0.23</w:t>
            </w:r>
            <w:r>
              <w:rPr>
                <w:spacing w:val="-2"/>
                <w:sz w:val="21"/>
                <w:szCs w:val="21"/>
              </w:rPr>
              <w:t>~0.37</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0.17</w:t>
            </w:r>
            <w:r>
              <w:rPr>
                <w:spacing w:val="-2"/>
                <w:sz w:val="21"/>
                <w:szCs w:val="21"/>
              </w:rPr>
              <w:t>~0.3</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0.2</w:t>
            </w:r>
            <w:r>
              <w:rPr>
                <w:spacing w:val="-2"/>
                <w:sz w:val="21"/>
                <w:szCs w:val="21"/>
              </w:rPr>
              <w:t>~0.27</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557" w:type="pct"/>
            <w:vMerge w:val="restart"/>
            <w:tcBorders>
              <w:top w:val="nil"/>
              <w:left w:val="single" w:sz="4" w:space="0" w:color="000000"/>
              <w:bottom w:val="single" w:sz="4" w:space="0" w:color="000000"/>
              <w:right w:val="single" w:sz="4" w:space="0" w:color="000000"/>
            </w:tcBorders>
            <w:vAlign w:val="center"/>
          </w:tcPr>
          <w:p w:rsidR="00240BCE" w:rsidRDefault="00AC0334">
            <w:pPr>
              <w:spacing w:line="320" w:lineRule="exact"/>
              <w:jc w:val="center"/>
              <w:textAlignment w:val="center"/>
              <w:rPr>
                <w:color w:val="000000"/>
                <w:sz w:val="21"/>
                <w:szCs w:val="21"/>
              </w:rPr>
            </w:pPr>
            <w:r>
              <w:rPr>
                <w:sz w:val="21"/>
                <w:szCs w:val="21"/>
              </w:rPr>
              <w:t>总大肠菌群</w:t>
            </w:r>
          </w:p>
        </w:tc>
        <w:tc>
          <w:tcPr>
            <w:tcW w:w="1011" w:type="pct"/>
            <w:tcBorders>
              <w:top w:val="single" w:sz="4" w:space="0" w:color="000000"/>
              <w:left w:val="nil"/>
              <w:bottom w:val="single" w:sz="4" w:space="0" w:color="000000"/>
              <w:right w:val="single" w:sz="4" w:space="0" w:color="000000"/>
            </w:tcBorders>
            <w:vAlign w:val="center"/>
          </w:tcPr>
          <w:p w:rsidR="00240BCE" w:rsidRDefault="00AC0334">
            <w:pPr>
              <w:spacing w:before="100" w:beforeAutospacing="1" w:after="100" w:afterAutospacing="1" w:line="320" w:lineRule="exact"/>
              <w:jc w:val="center"/>
              <w:rPr>
                <w:color w:val="000000"/>
                <w:sz w:val="21"/>
                <w:szCs w:val="21"/>
              </w:rPr>
            </w:pPr>
            <w:r>
              <w:rPr>
                <w:sz w:val="21"/>
                <w:szCs w:val="21"/>
              </w:rPr>
              <w:t>监测结果（</w:t>
            </w:r>
            <w:r>
              <w:rPr>
                <w:sz w:val="21"/>
                <w:szCs w:val="21"/>
              </w:rPr>
              <w:t>CFU/100mL</w:t>
            </w:r>
            <w:r>
              <w:rPr>
                <w:sz w:val="21"/>
                <w:szCs w:val="21"/>
              </w:rPr>
              <w:t>）</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before="100" w:beforeAutospacing="1" w:after="100" w:afterAutospacing="1" w:line="320" w:lineRule="exact"/>
              <w:jc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before="100" w:beforeAutospacing="1" w:after="100" w:afterAutospacing="1" w:line="320" w:lineRule="exact"/>
              <w:jc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before="100" w:beforeAutospacing="1" w:after="100" w:afterAutospacing="1" w:line="320" w:lineRule="exact"/>
              <w:jc w:val="center"/>
              <w:rPr>
                <w:color w:val="000000"/>
                <w:sz w:val="21"/>
                <w:szCs w:val="21"/>
              </w:rPr>
            </w:pPr>
            <w:r>
              <w:rPr>
                <w:sz w:val="21"/>
                <w:szCs w:val="21"/>
              </w:rPr>
              <w:t>未检出</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before="100" w:beforeAutospacing="1" w:after="100" w:afterAutospacing="1" w:line="320" w:lineRule="exact"/>
              <w:jc w:val="center"/>
              <w:rPr>
                <w:color w:val="000000"/>
                <w:sz w:val="21"/>
                <w:szCs w:val="21"/>
              </w:rPr>
            </w:pPr>
            <w:r>
              <w:rPr>
                <w:sz w:val="21"/>
                <w:szCs w:val="21"/>
              </w:rPr>
              <w:t>未检出</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before="100" w:beforeAutospacing="1" w:after="100" w:afterAutospacing="1" w:line="320" w:lineRule="exact"/>
              <w:jc w:val="center"/>
              <w:rPr>
                <w:color w:val="000000"/>
                <w:sz w:val="21"/>
                <w:szCs w:val="21"/>
              </w:rPr>
            </w:pPr>
            <w:r>
              <w:rPr>
                <w:sz w:val="21"/>
                <w:szCs w:val="21"/>
              </w:rPr>
              <w:t>未检出</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标准指数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r w:rsidR="00240BCE">
        <w:trPr>
          <w:jc w:val="center"/>
        </w:trPr>
        <w:tc>
          <w:tcPr>
            <w:tcW w:w="0" w:type="auto"/>
            <w:vMerge/>
            <w:tcBorders>
              <w:top w:val="nil"/>
              <w:left w:val="single" w:sz="4" w:space="0" w:color="000000"/>
              <w:bottom w:val="single" w:sz="4" w:space="0" w:color="000000"/>
              <w:right w:val="single" w:sz="4" w:space="0" w:color="000000"/>
            </w:tcBorders>
            <w:vAlign w:val="center"/>
          </w:tcPr>
          <w:p w:rsidR="00240BCE" w:rsidRDefault="00240BCE">
            <w:pPr>
              <w:widowControl/>
              <w:jc w:val="left"/>
              <w:rPr>
                <w:color w:val="000000"/>
                <w:sz w:val="21"/>
                <w:szCs w:val="21"/>
              </w:rPr>
            </w:pPr>
          </w:p>
        </w:tc>
        <w:tc>
          <w:tcPr>
            <w:tcW w:w="1011" w:type="pct"/>
            <w:tcBorders>
              <w:top w:val="single" w:sz="4" w:space="0" w:color="000000"/>
              <w:left w:val="nil"/>
              <w:bottom w:val="single" w:sz="4" w:space="0" w:color="000000"/>
              <w:right w:val="single" w:sz="4" w:space="0" w:color="000000"/>
            </w:tcBorders>
            <w:vAlign w:val="center"/>
          </w:tcPr>
          <w:p w:rsidR="00240BCE" w:rsidRDefault="00AC0334">
            <w:pPr>
              <w:snapToGrid w:val="0"/>
              <w:spacing w:line="310" w:lineRule="exact"/>
              <w:jc w:val="center"/>
              <w:rPr>
                <w:sz w:val="21"/>
                <w:szCs w:val="21"/>
              </w:rPr>
            </w:pPr>
            <w:r>
              <w:rPr>
                <w:sz w:val="21"/>
                <w:szCs w:val="21"/>
              </w:rPr>
              <w:t>最大超标倍数</w:t>
            </w:r>
          </w:p>
        </w:tc>
        <w:tc>
          <w:tcPr>
            <w:tcW w:w="683"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84"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c>
          <w:tcPr>
            <w:tcW w:w="697" w:type="pct"/>
            <w:tcBorders>
              <w:top w:val="single" w:sz="4" w:space="0" w:color="000000"/>
              <w:left w:val="nil"/>
              <w:bottom w:val="single" w:sz="4" w:space="0" w:color="000000"/>
              <w:right w:val="single" w:sz="4" w:space="0" w:color="000000"/>
            </w:tcBorders>
            <w:vAlign w:val="center"/>
          </w:tcPr>
          <w:p w:rsidR="00240BCE" w:rsidRDefault="00AC0334">
            <w:pPr>
              <w:spacing w:line="320" w:lineRule="exact"/>
              <w:jc w:val="center"/>
              <w:textAlignment w:val="center"/>
              <w:rPr>
                <w:sz w:val="21"/>
                <w:szCs w:val="21"/>
              </w:rPr>
            </w:pPr>
            <w:r>
              <w:rPr>
                <w:sz w:val="21"/>
                <w:szCs w:val="21"/>
              </w:rPr>
              <w:t>/</w:t>
            </w:r>
          </w:p>
        </w:tc>
      </w:tr>
    </w:tbl>
    <w:p w:rsidR="00EA27AD" w:rsidRDefault="00EA27AD">
      <w:pPr>
        <w:spacing w:line="520" w:lineRule="exact"/>
        <w:jc w:val="center"/>
        <w:rPr>
          <w:color w:val="000000"/>
          <w:sz w:val="24"/>
        </w:rPr>
      </w:pPr>
    </w:p>
    <w:p w:rsidR="00EA27AD" w:rsidRDefault="00EA27AD" w:rsidP="00EA27AD">
      <w:pPr>
        <w:pStyle w:val="a1"/>
      </w:pPr>
      <w:r>
        <w:br w:type="page"/>
      </w:r>
    </w:p>
    <w:p w:rsidR="00240BCE" w:rsidRDefault="00AC0334">
      <w:pPr>
        <w:spacing w:line="520" w:lineRule="exact"/>
        <w:jc w:val="center"/>
        <w:rPr>
          <w:color w:val="000000"/>
          <w:sz w:val="24"/>
        </w:rPr>
      </w:pPr>
      <w:r>
        <w:rPr>
          <w:color w:val="000000"/>
          <w:sz w:val="24"/>
        </w:rPr>
        <w:lastRenderedPageBreak/>
        <w:t>表</w:t>
      </w:r>
      <w:r>
        <w:rPr>
          <w:color w:val="000000"/>
          <w:sz w:val="24"/>
        </w:rPr>
        <w:t xml:space="preserve">4.3-14    </w:t>
      </w:r>
      <w:r>
        <w:rPr>
          <w:color w:val="000000"/>
          <w:sz w:val="24"/>
        </w:rPr>
        <w:t>地下水水位调查统计结果</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503"/>
        <w:gridCol w:w="1016"/>
        <w:gridCol w:w="1135"/>
        <w:gridCol w:w="1276"/>
        <w:gridCol w:w="1276"/>
        <w:gridCol w:w="1986"/>
        <w:gridCol w:w="975"/>
      </w:tblGrid>
      <w:tr w:rsidR="005279D3" w:rsidTr="005279D3">
        <w:trPr>
          <w:jc w:val="center"/>
        </w:trPr>
        <w:tc>
          <w:tcPr>
            <w:tcW w:w="820" w:type="pct"/>
            <w:vMerge w:val="restart"/>
            <w:tcBorders>
              <w:left w:val="single" w:sz="8" w:space="0" w:color="auto"/>
              <w:right w:val="single" w:sz="6" w:space="0" w:color="auto"/>
            </w:tcBorders>
            <w:vAlign w:val="center"/>
          </w:tcPr>
          <w:p w:rsidR="005279D3" w:rsidRDefault="005279D3">
            <w:pPr>
              <w:widowControl/>
              <w:spacing w:line="340" w:lineRule="exact"/>
              <w:jc w:val="center"/>
              <w:rPr>
                <w:kern w:val="0"/>
                <w:sz w:val="21"/>
                <w:szCs w:val="21"/>
              </w:rPr>
            </w:pPr>
            <w:r>
              <w:rPr>
                <w:spacing w:val="-11"/>
                <w:sz w:val="21"/>
                <w:szCs w:val="21"/>
              </w:rPr>
              <w:t>监测点位</w:t>
            </w:r>
          </w:p>
        </w:tc>
        <w:tc>
          <w:tcPr>
            <w:tcW w:w="3647" w:type="pct"/>
            <w:gridSpan w:val="5"/>
            <w:tcBorders>
              <w:top w:val="single" w:sz="6" w:space="0" w:color="auto"/>
              <w:left w:val="nil"/>
              <w:bottom w:val="single" w:sz="6" w:space="0" w:color="auto"/>
              <w:right w:val="single" w:sz="6" w:space="0" w:color="auto"/>
            </w:tcBorders>
            <w:vAlign w:val="center"/>
          </w:tcPr>
          <w:p w:rsidR="005279D3" w:rsidRDefault="005279D3" w:rsidP="005279D3">
            <w:pPr>
              <w:jc w:val="center"/>
              <w:rPr>
                <w:spacing w:val="-17"/>
                <w:sz w:val="21"/>
                <w:szCs w:val="21"/>
              </w:rPr>
            </w:pPr>
            <w:r>
              <w:rPr>
                <w:spacing w:val="-11"/>
                <w:sz w:val="21"/>
                <w:szCs w:val="21"/>
              </w:rPr>
              <w:t>2020.09.02</w:t>
            </w:r>
          </w:p>
        </w:tc>
        <w:tc>
          <w:tcPr>
            <w:tcW w:w="533" w:type="pct"/>
            <w:vMerge w:val="restart"/>
            <w:tcBorders>
              <w:top w:val="single" w:sz="6" w:space="0" w:color="auto"/>
              <w:left w:val="nil"/>
              <w:right w:val="single" w:sz="6" w:space="0" w:color="auto"/>
            </w:tcBorders>
            <w:vAlign w:val="center"/>
          </w:tcPr>
          <w:p w:rsidR="005279D3" w:rsidRDefault="005279D3">
            <w:pPr>
              <w:jc w:val="center"/>
              <w:rPr>
                <w:spacing w:val="-17"/>
                <w:sz w:val="21"/>
                <w:szCs w:val="21"/>
              </w:rPr>
            </w:pPr>
            <w:r>
              <w:rPr>
                <w:spacing w:val="-17"/>
                <w:sz w:val="21"/>
                <w:szCs w:val="21"/>
              </w:rPr>
              <w:t>备注</w:t>
            </w:r>
          </w:p>
        </w:tc>
      </w:tr>
      <w:tr w:rsidR="005279D3" w:rsidTr="005279D3">
        <w:trPr>
          <w:jc w:val="center"/>
        </w:trPr>
        <w:tc>
          <w:tcPr>
            <w:tcW w:w="820" w:type="pct"/>
            <w:vMerge/>
            <w:tcBorders>
              <w:left w:val="single" w:sz="8" w:space="0" w:color="auto"/>
              <w:bottom w:val="single" w:sz="6" w:space="0" w:color="auto"/>
              <w:right w:val="single" w:sz="6" w:space="0" w:color="auto"/>
            </w:tcBorders>
            <w:vAlign w:val="center"/>
          </w:tcPr>
          <w:p w:rsidR="005279D3" w:rsidRDefault="005279D3">
            <w:pPr>
              <w:widowControl/>
              <w:spacing w:line="340" w:lineRule="exact"/>
              <w:jc w:val="left"/>
              <w:rPr>
                <w:kern w:val="0"/>
                <w:sz w:val="21"/>
                <w:szCs w:val="21"/>
              </w:rPr>
            </w:pPr>
          </w:p>
        </w:tc>
        <w:tc>
          <w:tcPr>
            <w:tcW w:w="554" w:type="pct"/>
            <w:tcBorders>
              <w:top w:val="single" w:sz="6" w:space="0" w:color="auto"/>
              <w:left w:val="nil"/>
              <w:bottom w:val="single" w:sz="6" w:space="0" w:color="auto"/>
              <w:right w:val="single" w:sz="6" w:space="0" w:color="auto"/>
            </w:tcBorders>
            <w:vAlign w:val="center"/>
          </w:tcPr>
          <w:p w:rsidR="005279D3" w:rsidRDefault="005279D3">
            <w:pPr>
              <w:widowControl/>
              <w:spacing w:line="340" w:lineRule="exact"/>
              <w:jc w:val="center"/>
              <w:rPr>
                <w:spacing w:val="-17"/>
                <w:sz w:val="21"/>
                <w:szCs w:val="21"/>
              </w:rPr>
            </w:pPr>
            <w:r>
              <w:rPr>
                <w:spacing w:val="-17"/>
                <w:sz w:val="21"/>
                <w:szCs w:val="21"/>
              </w:rPr>
              <w:t>井深（</w:t>
            </w:r>
            <w:r>
              <w:rPr>
                <w:spacing w:val="-17"/>
                <w:sz w:val="21"/>
                <w:szCs w:val="21"/>
              </w:rPr>
              <w:t>m</w:t>
            </w:r>
            <w:r>
              <w:rPr>
                <w:spacing w:val="-17"/>
                <w:sz w:val="21"/>
                <w:szCs w:val="21"/>
              </w:rPr>
              <w:t>）</w:t>
            </w:r>
          </w:p>
        </w:tc>
        <w:tc>
          <w:tcPr>
            <w:tcW w:w="619" w:type="pct"/>
            <w:tcBorders>
              <w:top w:val="single" w:sz="6" w:space="0" w:color="auto"/>
              <w:left w:val="nil"/>
              <w:right w:val="single" w:sz="6" w:space="0" w:color="auto"/>
            </w:tcBorders>
            <w:vAlign w:val="center"/>
          </w:tcPr>
          <w:p w:rsidR="005279D3" w:rsidRDefault="005279D3">
            <w:pPr>
              <w:widowControl/>
              <w:spacing w:line="340" w:lineRule="exact"/>
              <w:jc w:val="center"/>
              <w:rPr>
                <w:sz w:val="21"/>
                <w:szCs w:val="21"/>
              </w:rPr>
            </w:pPr>
            <w:r>
              <w:rPr>
                <w:spacing w:val="-17"/>
                <w:sz w:val="21"/>
                <w:szCs w:val="21"/>
              </w:rPr>
              <w:t>井口标高（</w:t>
            </w:r>
            <w:r>
              <w:rPr>
                <w:spacing w:val="-17"/>
                <w:sz w:val="21"/>
                <w:szCs w:val="21"/>
              </w:rPr>
              <w:t>m</w:t>
            </w:r>
            <w:r>
              <w:rPr>
                <w:spacing w:val="-17"/>
                <w:sz w:val="21"/>
                <w:szCs w:val="21"/>
              </w:rPr>
              <w:t>）</w:t>
            </w:r>
          </w:p>
        </w:tc>
        <w:tc>
          <w:tcPr>
            <w:tcW w:w="696" w:type="pct"/>
            <w:tcBorders>
              <w:top w:val="single" w:sz="6" w:space="0" w:color="auto"/>
              <w:left w:val="nil"/>
              <w:right w:val="single" w:sz="6" w:space="0" w:color="auto"/>
            </w:tcBorders>
            <w:vAlign w:val="center"/>
          </w:tcPr>
          <w:p w:rsidR="005279D3" w:rsidRDefault="005279D3">
            <w:pPr>
              <w:jc w:val="center"/>
              <w:rPr>
                <w:sz w:val="21"/>
                <w:szCs w:val="21"/>
              </w:rPr>
            </w:pPr>
            <w:r>
              <w:rPr>
                <w:spacing w:val="-17"/>
                <w:sz w:val="21"/>
                <w:szCs w:val="21"/>
              </w:rPr>
              <w:t>水位埋深（</w:t>
            </w:r>
            <w:r>
              <w:rPr>
                <w:spacing w:val="-17"/>
                <w:sz w:val="21"/>
                <w:szCs w:val="21"/>
              </w:rPr>
              <w:t>m</w:t>
            </w:r>
            <w:r>
              <w:rPr>
                <w:spacing w:val="-17"/>
                <w:sz w:val="21"/>
                <w:szCs w:val="21"/>
              </w:rPr>
              <w:t>）</w:t>
            </w:r>
          </w:p>
        </w:tc>
        <w:tc>
          <w:tcPr>
            <w:tcW w:w="696" w:type="pct"/>
            <w:tcBorders>
              <w:top w:val="single" w:sz="6" w:space="0" w:color="auto"/>
              <w:left w:val="nil"/>
              <w:right w:val="single" w:sz="4" w:space="0" w:color="auto"/>
            </w:tcBorders>
            <w:vAlign w:val="center"/>
          </w:tcPr>
          <w:p w:rsidR="005279D3" w:rsidRDefault="005279D3">
            <w:pPr>
              <w:jc w:val="center"/>
              <w:rPr>
                <w:spacing w:val="-17"/>
                <w:sz w:val="21"/>
                <w:szCs w:val="21"/>
              </w:rPr>
            </w:pPr>
            <w:r>
              <w:rPr>
                <w:spacing w:val="-17"/>
                <w:sz w:val="21"/>
                <w:szCs w:val="21"/>
              </w:rPr>
              <w:t>水位标高（</w:t>
            </w:r>
            <w:r>
              <w:rPr>
                <w:spacing w:val="-17"/>
                <w:sz w:val="21"/>
                <w:szCs w:val="21"/>
              </w:rPr>
              <w:t>m</w:t>
            </w:r>
            <w:r>
              <w:rPr>
                <w:spacing w:val="-17"/>
                <w:sz w:val="21"/>
                <w:szCs w:val="21"/>
              </w:rPr>
              <w:t>）</w:t>
            </w:r>
          </w:p>
        </w:tc>
        <w:tc>
          <w:tcPr>
            <w:tcW w:w="1083" w:type="pct"/>
            <w:tcBorders>
              <w:top w:val="single" w:sz="6" w:space="0" w:color="auto"/>
              <w:left w:val="single" w:sz="4" w:space="0" w:color="auto"/>
              <w:right w:val="single" w:sz="6" w:space="0" w:color="auto"/>
            </w:tcBorders>
            <w:vAlign w:val="center"/>
          </w:tcPr>
          <w:p w:rsidR="005279D3" w:rsidRDefault="005279D3" w:rsidP="005279D3">
            <w:pPr>
              <w:jc w:val="center"/>
              <w:rPr>
                <w:spacing w:val="-17"/>
                <w:sz w:val="21"/>
                <w:szCs w:val="21"/>
              </w:rPr>
            </w:pPr>
            <w:r>
              <w:rPr>
                <w:rFonts w:hint="eastAsia"/>
                <w:spacing w:val="-17"/>
                <w:sz w:val="21"/>
                <w:szCs w:val="21"/>
              </w:rPr>
              <w:t>井口坐标</w:t>
            </w:r>
          </w:p>
        </w:tc>
        <w:tc>
          <w:tcPr>
            <w:tcW w:w="533" w:type="pct"/>
            <w:vMerge/>
            <w:tcBorders>
              <w:left w:val="nil"/>
              <w:right w:val="single" w:sz="6" w:space="0" w:color="auto"/>
            </w:tcBorders>
            <w:vAlign w:val="center"/>
          </w:tcPr>
          <w:p w:rsidR="005279D3" w:rsidRDefault="005279D3">
            <w:pPr>
              <w:jc w:val="center"/>
              <w:rPr>
                <w:spacing w:val="-17"/>
                <w:sz w:val="21"/>
                <w:szCs w:val="21"/>
              </w:rPr>
            </w:pPr>
          </w:p>
        </w:tc>
      </w:tr>
      <w:tr w:rsidR="005279D3" w:rsidTr="005279D3">
        <w:trPr>
          <w:jc w:val="center"/>
        </w:trPr>
        <w:tc>
          <w:tcPr>
            <w:tcW w:w="820" w:type="pct"/>
            <w:tcBorders>
              <w:top w:val="single" w:sz="6" w:space="0" w:color="auto"/>
              <w:left w:val="single" w:sz="8" w:space="0" w:color="auto"/>
              <w:bottom w:val="single" w:sz="6" w:space="0" w:color="auto"/>
              <w:right w:val="single" w:sz="6" w:space="0" w:color="auto"/>
            </w:tcBorders>
            <w:vAlign w:val="center"/>
          </w:tcPr>
          <w:p w:rsidR="005279D3" w:rsidRDefault="005279D3">
            <w:pPr>
              <w:adjustRightInd w:val="0"/>
              <w:snapToGrid w:val="0"/>
              <w:spacing w:line="340" w:lineRule="exact"/>
              <w:jc w:val="center"/>
              <w:rPr>
                <w:sz w:val="21"/>
                <w:szCs w:val="21"/>
              </w:rPr>
            </w:pPr>
            <w:r>
              <w:rPr>
                <w:color w:val="000000"/>
                <w:kern w:val="0"/>
                <w:sz w:val="21"/>
                <w:szCs w:val="21"/>
              </w:rPr>
              <w:t>1#</w:t>
            </w:r>
            <w:r>
              <w:rPr>
                <w:color w:val="000000"/>
                <w:kern w:val="0"/>
                <w:sz w:val="21"/>
                <w:szCs w:val="21"/>
              </w:rPr>
              <w:t>赵沟村</w:t>
            </w:r>
          </w:p>
        </w:tc>
        <w:tc>
          <w:tcPr>
            <w:tcW w:w="554" w:type="pct"/>
            <w:tcBorders>
              <w:top w:val="single" w:sz="6" w:space="0" w:color="auto"/>
              <w:left w:val="nil"/>
              <w:bottom w:val="single" w:sz="6" w:space="0" w:color="auto"/>
              <w:right w:val="single" w:sz="6" w:space="0" w:color="auto"/>
            </w:tcBorders>
            <w:vAlign w:val="center"/>
          </w:tcPr>
          <w:p w:rsidR="005279D3" w:rsidRDefault="005279D3">
            <w:pPr>
              <w:jc w:val="center"/>
              <w:rPr>
                <w:sz w:val="21"/>
                <w:szCs w:val="21"/>
              </w:rPr>
            </w:pPr>
            <w:r>
              <w:rPr>
                <w:sz w:val="21"/>
                <w:szCs w:val="21"/>
              </w:rPr>
              <w:t>390</w:t>
            </w:r>
          </w:p>
        </w:tc>
        <w:tc>
          <w:tcPr>
            <w:tcW w:w="619" w:type="pct"/>
            <w:tcBorders>
              <w:left w:val="nil"/>
              <w:right w:val="single" w:sz="6" w:space="0" w:color="auto"/>
            </w:tcBorders>
            <w:vAlign w:val="center"/>
          </w:tcPr>
          <w:p w:rsidR="005279D3" w:rsidRDefault="005279D3">
            <w:pPr>
              <w:jc w:val="center"/>
              <w:rPr>
                <w:sz w:val="21"/>
                <w:szCs w:val="21"/>
              </w:rPr>
            </w:pPr>
            <w:r>
              <w:rPr>
                <w:sz w:val="21"/>
                <w:szCs w:val="21"/>
              </w:rPr>
              <w:t>287</w:t>
            </w:r>
          </w:p>
        </w:tc>
        <w:tc>
          <w:tcPr>
            <w:tcW w:w="696" w:type="pct"/>
            <w:tcBorders>
              <w:left w:val="nil"/>
              <w:right w:val="single" w:sz="6" w:space="0" w:color="auto"/>
            </w:tcBorders>
            <w:vAlign w:val="center"/>
          </w:tcPr>
          <w:p w:rsidR="005279D3" w:rsidRDefault="005279D3">
            <w:pPr>
              <w:jc w:val="center"/>
              <w:rPr>
                <w:sz w:val="21"/>
                <w:szCs w:val="21"/>
              </w:rPr>
            </w:pPr>
            <w:r>
              <w:rPr>
                <w:sz w:val="21"/>
                <w:szCs w:val="21"/>
              </w:rPr>
              <w:t>150</w:t>
            </w:r>
          </w:p>
        </w:tc>
        <w:tc>
          <w:tcPr>
            <w:tcW w:w="696" w:type="pct"/>
            <w:tcBorders>
              <w:left w:val="nil"/>
              <w:right w:val="single" w:sz="4" w:space="0" w:color="auto"/>
            </w:tcBorders>
            <w:vAlign w:val="center"/>
          </w:tcPr>
          <w:p w:rsidR="005279D3" w:rsidRDefault="005279D3">
            <w:pPr>
              <w:jc w:val="center"/>
              <w:rPr>
                <w:sz w:val="21"/>
                <w:szCs w:val="21"/>
              </w:rPr>
            </w:pPr>
            <w:r>
              <w:rPr>
                <w:sz w:val="21"/>
                <w:szCs w:val="21"/>
              </w:rPr>
              <w:t>137</w:t>
            </w:r>
          </w:p>
        </w:tc>
        <w:tc>
          <w:tcPr>
            <w:tcW w:w="1083" w:type="pct"/>
            <w:tcBorders>
              <w:left w:val="single" w:sz="4"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113.155934216</w:t>
            </w:r>
          </w:p>
          <w:p w:rsidR="005279D3" w:rsidRDefault="004A646B" w:rsidP="004A646B">
            <w:pPr>
              <w:jc w:val="left"/>
              <w:rPr>
                <w:sz w:val="21"/>
                <w:szCs w:val="21"/>
              </w:rPr>
            </w:pPr>
            <w:r>
              <w:rPr>
                <w:rFonts w:hint="eastAsia"/>
                <w:sz w:val="21"/>
                <w:szCs w:val="21"/>
              </w:rPr>
              <w:t>纬度</w:t>
            </w:r>
            <w:r w:rsidR="005279D3" w:rsidRPr="005279D3">
              <w:rPr>
                <w:sz w:val="21"/>
                <w:szCs w:val="21"/>
              </w:rPr>
              <w:t>34.211218763</w:t>
            </w:r>
          </w:p>
        </w:tc>
        <w:tc>
          <w:tcPr>
            <w:tcW w:w="533" w:type="pct"/>
            <w:tcBorders>
              <w:left w:val="nil"/>
              <w:right w:val="single" w:sz="6" w:space="0" w:color="auto"/>
            </w:tcBorders>
            <w:vAlign w:val="center"/>
          </w:tcPr>
          <w:p w:rsidR="005279D3" w:rsidRDefault="005279D3">
            <w:pPr>
              <w:jc w:val="center"/>
              <w:rPr>
                <w:sz w:val="21"/>
                <w:szCs w:val="21"/>
              </w:rPr>
            </w:pPr>
          </w:p>
        </w:tc>
      </w:tr>
      <w:tr w:rsidR="005279D3" w:rsidTr="005279D3">
        <w:trPr>
          <w:jc w:val="center"/>
        </w:trPr>
        <w:tc>
          <w:tcPr>
            <w:tcW w:w="820" w:type="pct"/>
            <w:tcBorders>
              <w:top w:val="single" w:sz="6" w:space="0" w:color="auto"/>
              <w:left w:val="single" w:sz="8" w:space="0" w:color="auto"/>
              <w:bottom w:val="single" w:sz="6" w:space="0" w:color="auto"/>
              <w:right w:val="single" w:sz="6" w:space="0" w:color="auto"/>
            </w:tcBorders>
            <w:vAlign w:val="center"/>
          </w:tcPr>
          <w:p w:rsidR="005279D3" w:rsidRDefault="005279D3">
            <w:pPr>
              <w:adjustRightInd w:val="0"/>
              <w:snapToGrid w:val="0"/>
              <w:spacing w:line="340" w:lineRule="exact"/>
              <w:jc w:val="center"/>
              <w:rPr>
                <w:sz w:val="21"/>
                <w:szCs w:val="21"/>
              </w:rPr>
            </w:pPr>
            <w:r>
              <w:rPr>
                <w:color w:val="000000"/>
                <w:kern w:val="0"/>
                <w:sz w:val="21"/>
                <w:szCs w:val="21"/>
              </w:rPr>
              <w:t>2#</w:t>
            </w:r>
            <w:r>
              <w:rPr>
                <w:color w:val="000000"/>
                <w:kern w:val="0"/>
                <w:sz w:val="21"/>
                <w:szCs w:val="21"/>
              </w:rPr>
              <w:t>楼院村</w:t>
            </w:r>
          </w:p>
        </w:tc>
        <w:tc>
          <w:tcPr>
            <w:tcW w:w="554" w:type="pct"/>
            <w:tcBorders>
              <w:top w:val="single" w:sz="6" w:space="0" w:color="auto"/>
              <w:left w:val="nil"/>
              <w:bottom w:val="single" w:sz="6" w:space="0" w:color="auto"/>
              <w:right w:val="single" w:sz="6" w:space="0" w:color="auto"/>
            </w:tcBorders>
            <w:vAlign w:val="center"/>
          </w:tcPr>
          <w:p w:rsidR="005279D3" w:rsidRDefault="005279D3">
            <w:pPr>
              <w:jc w:val="center"/>
              <w:rPr>
                <w:sz w:val="21"/>
                <w:szCs w:val="21"/>
              </w:rPr>
            </w:pPr>
            <w:r>
              <w:rPr>
                <w:sz w:val="21"/>
                <w:szCs w:val="21"/>
              </w:rPr>
              <w:t>390</w:t>
            </w:r>
          </w:p>
        </w:tc>
        <w:tc>
          <w:tcPr>
            <w:tcW w:w="619" w:type="pct"/>
            <w:tcBorders>
              <w:left w:val="nil"/>
              <w:right w:val="single" w:sz="6" w:space="0" w:color="auto"/>
            </w:tcBorders>
            <w:vAlign w:val="center"/>
          </w:tcPr>
          <w:p w:rsidR="005279D3" w:rsidRDefault="005279D3">
            <w:pPr>
              <w:jc w:val="center"/>
              <w:rPr>
                <w:sz w:val="21"/>
                <w:szCs w:val="21"/>
              </w:rPr>
            </w:pPr>
            <w:r>
              <w:rPr>
                <w:sz w:val="21"/>
                <w:szCs w:val="21"/>
              </w:rPr>
              <w:t>298</w:t>
            </w:r>
          </w:p>
        </w:tc>
        <w:tc>
          <w:tcPr>
            <w:tcW w:w="696" w:type="pct"/>
            <w:tcBorders>
              <w:left w:val="nil"/>
              <w:right w:val="single" w:sz="6" w:space="0" w:color="auto"/>
            </w:tcBorders>
            <w:vAlign w:val="center"/>
          </w:tcPr>
          <w:p w:rsidR="005279D3" w:rsidRDefault="005279D3">
            <w:pPr>
              <w:jc w:val="center"/>
              <w:rPr>
                <w:sz w:val="21"/>
                <w:szCs w:val="21"/>
              </w:rPr>
            </w:pPr>
            <w:r>
              <w:rPr>
                <w:sz w:val="21"/>
                <w:szCs w:val="21"/>
              </w:rPr>
              <w:t>160</w:t>
            </w:r>
          </w:p>
        </w:tc>
        <w:tc>
          <w:tcPr>
            <w:tcW w:w="696" w:type="pct"/>
            <w:tcBorders>
              <w:left w:val="nil"/>
              <w:right w:val="single" w:sz="4" w:space="0" w:color="auto"/>
            </w:tcBorders>
            <w:vAlign w:val="center"/>
          </w:tcPr>
          <w:p w:rsidR="005279D3" w:rsidRDefault="005279D3">
            <w:pPr>
              <w:jc w:val="center"/>
              <w:rPr>
                <w:sz w:val="21"/>
                <w:szCs w:val="21"/>
              </w:rPr>
            </w:pPr>
            <w:r>
              <w:rPr>
                <w:sz w:val="21"/>
                <w:szCs w:val="21"/>
              </w:rPr>
              <w:t>138</w:t>
            </w:r>
          </w:p>
        </w:tc>
        <w:tc>
          <w:tcPr>
            <w:tcW w:w="1083" w:type="pct"/>
            <w:tcBorders>
              <w:left w:val="single" w:sz="4"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113.159885110</w:t>
            </w:r>
          </w:p>
          <w:p w:rsidR="005279D3" w:rsidRDefault="004A646B" w:rsidP="004A646B">
            <w:pPr>
              <w:jc w:val="left"/>
              <w:rPr>
                <w:sz w:val="21"/>
                <w:szCs w:val="21"/>
              </w:rPr>
            </w:pPr>
            <w:r>
              <w:rPr>
                <w:rFonts w:hint="eastAsia"/>
                <w:sz w:val="21"/>
                <w:szCs w:val="21"/>
              </w:rPr>
              <w:t>纬度</w:t>
            </w:r>
            <w:r w:rsidR="005279D3" w:rsidRPr="005279D3">
              <w:rPr>
                <w:sz w:val="21"/>
                <w:szCs w:val="21"/>
              </w:rPr>
              <w:t>34.202777851</w:t>
            </w:r>
          </w:p>
        </w:tc>
        <w:tc>
          <w:tcPr>
            <w:tcW w:w="533" w:type="pct"/>
            <w:tcBorders>
              <w:left w:val="nil"/>
              <w:right w:val="single" w:sz="6" w:space="0" w:color="auto"/>
            </w:tcBorders>
            <w:vAlign w:val="center"/>
          </w:tcPr>
          <w:p w:rsidR="005279D3" w:rsidRDefault="005279D3">
            <w:pPr>
              <w:jc w:val="center"/>
              <w:rPr>
                <w:sz w:val="21"/>
                <w:szCs w:val="21"/>
              </w:rPr>
            </w:pPr>
          </w:p>
        </w:tc>
      </w:tr>
      <w:tr w:rsidR="005279D3" w:rsidTr="005279D3">
        <w:trPr>
          <w:jc w:val="center"/>
        </w:trPr>
        <w:tc>
          <w:tcPr>
            <w:tcW w:w="820" w:type="pct"/>
            <w:tcBorders>
              <w:top w:val="single" w:sz="6" w:space="0" w:color="auto"/>
              <w:left w:val="single" w:sz="8" w:space="0" w:color="auto"/>
              <w:bottom w:val="single" w:sz="6" w:space="0" w:color="auto"/>
              <w:right w:val="single" w:sz="6" w:space="0" w:color="auto"/>
            </w:tcBorders>
            <w:vAlign w:val="center"/>
          </w:tcPr>
          <w:p w:rsidR="005279D3" w:rsidRDefault="005279D3">
            <w:pPr>
              <w:adjustRightInd w:val="0"/>
              <w:snapToGrid w:val="0"/>
              <w:spacing w:line="340" w:lineRule="exact"/>
              <w:jc w:val="center"/>
              <w:rPr>
                <w:color w:val="000000"/>
                <w:sz w:val="21"/>
                <w:szCs w:val="21"/>
              </w:rPr>
            </w:pPr>
            <w:r>
              <w:rPr>
                <w:color w:val="000000"/>
                <w:kern w:val="0"/>
                <w:sz w:val="21"/>
                <w:szCs w:val="21"/>
              </w:rPr>
              <w:t>3#</w:t>
            </w:r>
            <w:r>
              <w:rPr>
                <w:color w:val="000000"/>
                <w:kern w:val="0"/>
                <w:sz w:val="21"/>
                <w:szCs w:val="21"/>
              </w:rPr>
              <w:t>连庄村</w:t>
            </w:r>
          </w:p>
        </w:tc>
        <w:tc>
          <w:tcPr>
            <w:tcW w:w="554" w:type="pct"/>
            <w:tcBorders>
              <w:top w:val="single" w:sz="6" w:space="0" w:color="auto"/>
              <w:left w:val="nil"/>
              <w:bottom w:val="single" w:sz="6" w:space="0" w:color="auto"/>
              <w:right w:val="single" w:sz="6" w:space="0" w:color="auto"/>
            </w:tcBorders>
            <w:vAlign w:val="center"/>
          </w:tcPr>
          <w:p w:rsidR="005279D3" w:rsidRDefault="005279D3">
            <w:pPr>
              <w:jc w:val="center"/>
              <w:rPr>
                <w:sz w:val="21"/>
                <w:szCs w:val="21"/>
              </w:rPr>
            </w:pPr>
            <w:r>
              <w:rPr>
                <w:sz w:val="21"/>
                <w:szCs w:val="21"/>
              </w:rPr>
              <w:t>400</w:t>
            </w:r>
          </w:p>
        </w:tc>
        <w:tc>
          <w:tcPr>
            <w:tcW w:w="619" w:type="pct"/>
            <w:tcBorders>
              <w:left w:val="nil"/>
              <w:right w:val="single" w:sz="6" w:space="0" w:color="auto"/>
            </w:tcBorders>
            <w:vAlign w:val="center"/>
          </w:tcPr>
          <w:p w:rsidR="005279D3" w:rsidRDefault="005279D3">
            <w:pPr>
              <w:jc w:val="center"/>
              <w:rPr>
                <w:sz w:val="21"/>
                <w:szCs w:val="21"/>
              </w:rPr>
            </w:pPr>
            <w:r>
              <w:rPr>
                <w:sz w:val="21"/>
                <w:szCs w:val="21"/>
              </w:rPr>
              <w:t>287</w:t>
            </w:r>
          </w:p>
        </w:tc>
        <w:tc>
          <w:tcPr>
            <w:tcW w:w="696" w:type="pct"/>
            <w:tcBorders>
              <w:left w:val="nil"/>
              <w:right w:val="single" w:sz="6" w:space="0" w:color="auto"/>
            </w:tcBorders>
            <w:vAlign w:val="center"/>
          </w:tcPr>
          <w:p w:rsidR="005279D3" w:rsidRDefault="005279D3">
            <w:pPr>
              <w:jc w:val="center"/>
              <w:rPr>
                <w:sz w:val="21"/>
                <w:szCs w:val="21"/>
              </w:rPr>
            </w:pPr>
            <w:r>
              <w:rPr>
                <w:sz w:val="21"/>
                <w:szCs w:val="21"/>
              </w:rPr>
              <w:t>155</w:t>
            </w:r>
          </w:p>
        </w:tc>
        <w:tc>
          <w:tcPr>
            <w:tcW w:w="696" w:type="pct"/>
            <w:tcBorders>
              <w:left w:val="nil"/>
              <w:right w:val="single" w:sz="4" w:space="0" w:color="auto"/>
            </w:tcBorders>
            <w:vAlign w:val="center"/>
          </w:tcPr>
          <w:p w:rsidR="005279D3" w:rsidRDefault="005279D3">
            <w:pPr>
              <w:jc w:val="center"/>
              <w:rPr>
                <w:sz w:val="21"/>
                <w:szCs w:val="21"/>
              </w:rPr>
            </w:pPr>
            <w:r>
              <w:rPr>
                <w:sz w:val="21"/>
                <w:szCs w:val="21"/>
              </w:rPr>
              <w:t>132</w:t>
            </w:r>
          </w:p>
        </w:tc>
        <w:tc>
          <w:tcPr>
            <w:tcW w:w="1083" w:type="pct"/>
            <w:tcBorders>
              <w:left w:val="single" w:sz="4"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113.176348509</w:t>
            </w:r>
          </w:p>
          <w:p w:rsidR="005279D3" w:rsidRDefault="004A646B" w:rsidP="004A646B">
            <w:pPr>
              <w:jc w:val="left"/>
              <w:rPr>
                <w:sz w:val="21"/>
                <w:szCs w:val="21"/>
              </w:rPr>
            </w:pPr>
            <w:r>
              <w:rPr>
                <w:rFonts w:hint="eastAsia"/>
                <w:sz w:val="21"/>
                <w:szCs w:val="21"/>
              </w:rPr>
              <w:t>纬度</w:t>
            </w:r>
            <w:r w:rsidR="005279D3" w:rsidRPr="005279D3">
              <w:rPr>
                <w:sz w:val="21"/>
                <w:szCs w:val="21"/>
              </w:rPr>
              <w:t>34.211267042</w:t>
            </w:r>
          </w:p>
        </w:tc>
        <w:tc>
          <w:tcPr>
            <w:tcW w:w="533" w:type="pct"/>
            <w:tcBorders>
              <w:left w:val="nil"/>
              <w:right w:val="single" w:sz="6" w:space="0" w:color="auto"/>
            </w:tcBorders>
            <w:vAlign w:val="center"/>
          </w:tcPr>
          <w:p w:rsidR="005279D3" w:rsidRDefault="005279D3">
            <w:pPr>
              <w:jc w:val="center"/>
              <w:rPr>
                <w:sz w:val="21"/>
                <w:szCs w:val="21"/>
              </w:rPr>
            </w:pPr>
          </w:p>
        </w:tc>
      </w:tr>
      <w:tr w:rsidR="005279D3" w:rsidTr="005279D3">
        <w:trPr>
          <w:jc w:val="center"/>
        </w:trPr>
        <w:tc>
          <w:tcPr>
            <w:tcW w:w="820" w:type="pct"/>
            <w:tcBorders>
              <w:top w:val="single" w:sz="6" w:space="0" w:color="auto"/>
              <w:left w:val="single" w:sz="8" w:space="0" w:color="auto"/>
              <w:bottom w:val="single" w:sz="6" w:space="0" w:color="auto"/>
              <w:right w:val="single" w:sz="6" w:space="0" w:color="auto"/>
            </w:tcBorders>
            <w:vAlign w:val="center"/>
          </w:tcPr>
          <w:p w:rsidR="005279D3" w:rsidRDefault="005279D3">
            <w:pPr>
              <w:adjustRightInd w:val="0"/>
              <w:snapToGrid w:val="0"/>
              <w:spacing w:line="340" w:lineRule="exact"/>
              <w:jc w:val="center"/>
              <w:rPr>
                <w:color w:val="000000"/>
                <w:sz w:val="21"/>
                <w:szCs w:val="21"/>
              </w:rPr>
            </w:pPr>
            <w:r>
              <w:rPr>
                <w:color w:val="000000"/>
                <w:kern w:val="0"/>
                <w:sz w:val="21"/>
                <w:szCs w:val="21"/>
              </w:rPr>
              <w:t>4#</w:t>
            </w:r>
            <w:r>
              <w:rPr>
                <w:color w:val="000000"/>
                <w:kern w:val="0"/>
                <w:sz w:val="21"/>
                <w:szCs w:val="21"/>
              </w:rPr>
              <w:t>官庄窑村</w:t>
            </w:r>
          </w:p>
        </w:tc>
        <w:tc>
          <w:tcPr>
            <w:tcW w:w="554" w:type="pct"/>
            <w:tcBorders>
              <w:top w:val="single" w:sz="6" w:space="0" w:color="auto"/>
              <w:left w:val="nil"/>
              <w:bottom w:val="single" w:sz="6" w:space="0" w:color="auto"/>
              <w:right w:val="single" w:sz="6" w:space="0" w:color="auto"/>
            </w:tcBorders>
            <w:vAlign w:val="center"/>
          </w:tcPr>
          <w:p w:rsidR="005279D3" w:rsidRDefault="005279D3">
            <w:pPr>
              <w:jc w:val="center"/>
              <w:rPr>
                <w:sz w:val="21"/>
                <w:szCs w:val="21"/>
              </w:rPr>
            </w:pPr>
            <w:r>
              <w:rPr>
                <w:sz w:val="21"/>
                <w:szCs w:val="21"/>
              </w:rPr>
              <w:t>395</w:t>
            </w:r>
          </w:p>
        </w:tc>
        <w:tc>
          <w:tcPr>
            <w:tcW w:w="619" w:type="pct"/>
            <w:tcBorders>
              <w:left w:val="nil"/>
              <w:right w:val="single" w:sz="6" w:space="0" w:color="auto"/>
            </w:tcBorders>
            <w:vAlign w:val="center"/>
          </w:tcPr>
          <w:p w:rsidR="005279D3" w:rsidRDefault="005279D3">
            <w:pPr>
              <w:jc w:val="center"/>
              <w:rPr>
                <w:sz w:val="21"/>
                <w:szCs w:val="21"/>
              </w:rPr>
            </w:pPr>
            <w:r>
              <w:rPr>
                <w:sz w:val="21"/>
                <w:szCs w:val="21"/>
              </w:rPr>
              <w:t>305</w:t>
            </w:r>
          </w:p>
        </w:tc>
        <w:tc>
          <w:tcPr>
            <w:tcW w:w="696" w:type="pct"/>
            <w:tcBorders>
              <w:left w:val="nil"/>
              <w:right w:val="single" w:sz="6" w:space="0" w:color="auto"/>
            </w:tcBorders>
            <w:vAlign w:val="center"/>
          </w:tcPr>
          <w:p w:rsidR="005279D3" w:rsidRDefault="005279D3">
            <w:pPr>
              <w:jc w:val="center"/>
              <w:rPr>
                <w:sz w:val="21"/>
                <w:szCs w:val="21"/>
              </w:rPr>
            </w:pPr>
            <w:r>
              <w:rPr>
                <w:sz w:val="21"/>
                <w:szCs w:val="21"/>
              </w:rPr>
              <w:t>150</w:t>
            </w:r>
          </w:p>
        </w:tc>
        <w:tc>
          <w:tcPr>
            <w:tcW w:w="696" w:type="pct"/>
            <w:tcBorders>
              <w:left w:val="nil"/>
              <w:right w:val="single" w:sz="4" w:space="0" w:color="auto"/>
            </w:tcBorders>
            <w:vAlign w:val="center"/>
          </w:tcPr>
          <w:p w:rsidR="005279D3" w:rsidRDefault="005279D3">
            <w:pPr>
              <w:jc w:val="center"/>
              <w:rPr>
                <w:sz w:val="21"/>
                <w:szCs w:val="21"/>
              </w:rPr>
            </w:pPr>
            <w:r>
              <w:rPr>
                <w:sz w:val="21"/>
                <w:szCs w:val="21"/>
              </w:rPr>
              <w:t>155</w:t>
            </w:r>
          </w:p>
        </w:tc>
        <w:tc>
          <w:tcPr>
            <w:tcW w:w="1083" w:type="pct"/>
            <w:tcBorders>
              <w:left w:val="single" w:sz="4"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113.157374562</w:t>
            </w:r>
          </w:p>
          <w:p w:rsidR="005279D3" w:rsidRDefault="004A646B" w:rsidP="004A646B">
            <w:pPr>
              <w:jc w:val="left"/>
              <w:rPr>
                <w:sz w:val="21"/>
                <w:szCs w:val="21"/>
              </w:rPr>
            </w:pPr>
            <w:r>
              <w:rPr>
                <w:rFonts w:hint="eastAsia"/>
                <w:sz w:val="21"/>
                <w:szCs w:val="21"/>
              </w:rPr>
              <w:t>纬度</w:t>
            </w:r>
            <w:r w:rsidR="005279D3" w:rsidRPr="005279D3">
              <w:rPr>
                <w:sz w:val="21"/>
                <w:szCs w:val="21"/>
              </w:rPr>
              <w:t>34.196783114</w:t>
            </w:r>
          </w:p>
        </w:tc>
        <w:tc>
          <w:tcPr>
            <w:tcW w:w="533" w:type="pct"/>
            <w:tcBorders>
              <w:left w:val="nil"/>
              <w:right w:val="single" w:sz="6" w:space="0" w:color="auto"/>
            </w:tcBorders>
            <w:vAlign w:val="center"/>
          </w:tcPr>
          <w:p w:rsidR="005279D3" w:rsidRDefault="005279D3">
            <w:pPr>
              <w:jc w:val="center"/>
              <w:rPr>
                <w:sz w:val="21"/>
                <w:szCs w:val="21"/>
              </w:rPr>
            </w:pPr>
          </w:p>
        </w:tc>
      </w:tr>
      <w:tr w:rsidR="005279D3" w:rsidTr="005279D3">
        <w:trPr>
          <w:jc w:val="center"/>
        </w:trPr>
        <w:tc>
          <w:tcPr>
            <w:tcW w:w="820" w:type="pct"/>
            <w:tcBorders>
              <w:top w:val="single" w:sz="6" w:space="0" w:color="auto"/>
              <w:left w:val="single" w:sz="8" w:space="0" w:color="auto"/>
              <w:bottom w:val="single" w:sz="6" w:space="0" w:color="auto"/>
              <w:right w:val="single" w:sz="6" w:space="0" w:color="auto"/>
            </w:tcBorders>
            <w:vAlign w:val="center"/>
          </w:tcPr>
          <w:p w:rsidR="005279D3" w:rsidRDefault="005279D3">
            <w:pPr>
              <w:adjustRightInd w:val="0"/>
              <w:snapToGrid w:val="0"/>
              <w:spacing w:line="340" w:lineRule="exact"/>
              <w:jc w:val="center"/>
              <w:rPr>
                <w:color w:val="000000"/>
                <w:kern w:val="0"/>
                <w:sz w:val="21"/>
                <w:szCs w:val="21"/>
              </w:rPr>
            </w:pPr>
            <w:r>
              <w:rPr>
                <w:color w:val="000000"/>
                <w:kern w:val="0"/>
                <w:sz w:val="21"/>
                <w:szCs w:val="21"/>
              </w:rPr>
              <w:t>5#</w:t>
            </w:r>
            <w:r>
              <w:rPr>
                <w:color w:val="000000"/>
                <w:kern w:val="0"/>
                <w:sz w:val="21"/>
                <w:szCs w:val="21"/>
              </w:rPr>
              <w:t>楚黄庄村</w:t>
            </w:r>
          </w:p>
        </w:tc>
        <w:tc>
          <w:tcPr>
            <w:tcW w:w="554" w:type="pct"/>
            <w:tcBorders>
              <w:top w:val="single" w:sz="6" w:space="0" w:color="auto"/>
              <w:left w:val="nil"/>
              <w:bottom w:val="single" w:sz="6" w:space="0" w:color="auto"/>
              <w:right w:val="single" w:sz="6" w:space="0" w:color="auto"/>
            </w:tcBorders>
            <w:vAlign w:val="center"/>
          </w:tcPr>
          <w:p w:rsidR="005279D3" w:rsidRDefault="005279D3">
            <w:pPr>
              <w:jc w:val="center"/>
              <w:rPr>
                <w:sz w:val="21"/>
                <w:szCs w:val="21"/>
              </w:rPr>
            </w:pPr>
            <w:r>
              <w:rPr>
                <w:sz w:val="21"/>
                <w:szCs w:val="21"/>
              </w:rPr>
              <w:t>400</w:t>
            </w:r>
          </w:p>
        </w:tc>
        <w:tc>
          <w:tcPr>
            <w:tcW w:w="619" w:type="pct"/>
            <w:tcBorders>
              <w:left w:val="nil"/>
              <w:right w:val="single" w:sz="6" w:space="0" w:color="auto"/>
            </w:tcBorders>
            <w:vAlign w:val="center"/>
          </w:tcPr>
          <w:p w:rsidR="005279D3" w:rsidRDefault="005279D3">
            <w:pPr>
              <w:jc w:val="center"/>
              <w:rPr>
                <w:sz w:val="21"/>
                <w:szCs w:val="21"/>
              </w:rPr>
            </w:pPr>
            <w:r>
              <w:rPr>
                <w:sz w:val="21"/>
                <w:szCs w:val="21"/>
              </w:rPr>
              <w:t>297</w:t>
            </w:r>
          </w:p>
        </w:tc>
        <w:tc>
          <w:tcPr>
            <w:tcW w:w="696" w:type="pct"/>
            <w:tcBorders>
              <w:left w:val="nil"/>
              <w:right w:val="single" w:sz="6" w:space="0" w:color="auto"/>
            </w:tcBorders>
            <w:vAlign w:val="center"/>
          </w:tcPr>
          <w:p w:rsidR="005279D3" w:rsidRDefault="005279D3">
            <w:pPr>
              <w:jc w:val="center"/>
              <w:rPr>
                <w:sz w:val="21"/>
                <w:szCs w:val="21"/>
              </w:rPr>
            </w:pPr>
            <w:r>
              <w:rPr>
                <w:sz w:val="21"/>
                <w:szCs w:val="21"/>
              </w:rPr>
              <w:t>160</w:t>
            </w:r>
          </w:p>
        </w:tc>
        <w:tc>
          <w:tcPr>
            <w:tcW w:w="696" w:type="pct"/>
            <w:tcBorders>
              <w:left w:val="nil"/>
              <w:right w:val="single" w:sz="4" w:space="0" w:color="auto"/>
            </w:tcBorders>
            <w:vAlign w:val="center"/>
          </w:tcPr>
          <w:p w:rsidR="005279D3" w:rsidRDefault="005279D3">
            <w:pPr>
              <w:jc w:val="center"/>
              <w:rPr>
                <w:sz w:val="21"/>
                <w:szCs w:val="21"/>
              </w:rPr>
            </w:pPr>
            <w:r>
              <w:rPr>
                <w:sz w:val="21"/>
                <w:szCs w:val="21"/>
              </w:rPr>
              <w:t>137</w:t>
            </w:r>
          </w:p>
        </w:tc>
        <w:tc>
          <w:tcPr>
            <w:tcW w:w="1083" w:type="pct"/>
            <w:tcBorders>
              <w:left w:val="single" w:sz="4"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113.151764723</w:t>
            </w:r>
          </w:p>
          <w:p w:rsidR="005279D3" w:rsidRDefault="004A646B" w:rsidP="004A646B">
            <w:pPr>
              <w:jc w:val="left"/>
              <w:rPr>
                <w:sz w:val="21"/>
                <w:szCs w:val="21"/>
              </w:rPr>
            </w:pPr>
            <w:r>
              <w:rPr>
                <w:rFonts w:hint="eastAsia"/>
                <w:sz w:val="21"/>
                <w:szCs w:val="21"/>
              </w:rPr>
              <w:t>纬度</w:t>
            </w:r>
            <w:r w:rsidR="005279D3" w:rsidRPr="005279D3">
              <w:rPr>
                <w:sz w:val="21"/>
                <w:szCs w:val="21"/>
              </w:rPr>
              <w:t>34.203783679</w:t>
            </w:r>
          </w:p>
        </w:tc>
        <w:tc>
          <w:tcPr>
            <w:tcW w:w="533" w:type="pct"/>
            <w:tcBorders>
              <w:left w:val="nil"/>
              <w:right w:val="single" w:sz="6" w:space="0" w:color="auto"/>
            </w:tcBorders>
            <w:vAlign w:val="center"/>
          </w:tcPr>
          <w:p w:rsidR="005279D3" w:rsidRDefault="005279D3">
            <w:pPr>
              <w:jc w:val="center"/>
              <w:rPr>
                <w:sz w:val="21"/>
                <w:szCs w:val="21"/>
              </w:rPr>
            </w:pPr>
          </w:p>
        </w:tc>
      </w:tr>
      <w:tr w:rsidR="005279D3" w:rsidTr="005279D3">
        <w:trPr>
          <w:jc w:val="center"/>
        </w:trPr>
        <w:tc>
          <w:tcPr>
            <w:tcW w:w="820" w:type="pct"/>
            <w:tcBorders>
              <w:top w:val="single" w:sz="6" w:space="0" w:color="auto"/>
              <w:left w:val="single" w:sz="8" w:space="0" w:color="auto"/>
              <w:bottom w:val="single" w:sz="6" w:space="0" w:color="auto"/>
              <w:right w:val="single" w:sz="6" w:space="0" w:color="auto"/>
            </w:tcBorders>
            <w:vAlign w:val="center"/>
          </w:tcPr>
          <w:p w:rsidR="005279D3" w:rsidRDefault="005279D3">
            <w:pPr>
              <w:jc w:val="center"/>
              <w:rPr>
                <w:color w:val="000000"/>
                <w:sz w:val="21"/>
                <w:szCs w:val="21"/>
              </w:rPr>
            </w:pPr>
            <w:r>
              <w:rPr>
                <w:sz w:val="21"/>
                <w:szCs w:val="21"/>
              </w:rPr>
              <w:t>6#</w:t>
            </w:r>
          </w:p>
        </w:tc>
        <w:tc>
          <w:tcPr>
            <w:tcW w:w="554" w:type="pct"/>
            <w:tcBorders>
              <w:top w:val="single" w:sz="6" w:space="0" w:color="auto"/>
              <w:left w:val="nil"/>
              <w:bottom w:val="single" w:sz="6" w:space="0" w:color="auto"/>
              <w:right w:val="single" w:sz="6" w:space="0" w:color="auto"/>
            </w:tcBorders>
            <w:vAlign w:val="center"/>
          </w:tcPr>
          <w:p w:rsidR="005279D3" w:rsidRDefault="005279D3">
            <w:pPr>
              <w:jc w:val="center"/>
              <w:rPr>
                <w:sz w:val="21"/>
                <w:szCs w:val="21"/>
              </w:rPr>
            </w:pPr>
            <w:r>
              <w:rPr>
                <w:sz w:val="21"/>
                <w:szCs w:val="21"/>
              </w:rPr>
              <w:t>170</w:t>
            </w:r>
          </w:p>
        </w:tc>
        <w:tc>
          <w:tcPr>
            <w:tcW w:w="619" w:type="pct"/>
            <w:tcBorders>
              <w:left w:val="nil"/>
              <w:right w:val="single" w:sz="6" w:space="0" w:color="auto"/>
            </w:tcBorders>
            <w:vAlign w:val="center"/>
          </w:tcPr>
          <w:p w:rsidR="005279D3" w:rsidRDefault="005279D3">
            <w:pPr>
              <w:jc w:val="center"/>
              <w:rPr>
                <w:sz w:val="21"/>
                <w:szCs w:val="21"/>
              </w:rPr>
            </w:pPr>
            <w:r>
              <w:rPr>
                <w:sz w:val="21"/>
                <w:szCs w:val="21"/>
              </w:rPr>
              <w:t>285</w:t>
            </w:r>
          </w:p>
        </w:tc>
        <w:tc>
          <w:tcPr>
            <w:tcW w:w="696" w:type="pct"/>
            <w:tcBorders>
              <w:left w:val="nil"/>
              <w:right w:val="single" w:sz="6" w:space="0" w:color="auto"/>
            </w:tcBorders>
            <w:vAlign w:val="center"/>
          </w:tcPr>
          <w:p w:rsidR="005279D3" w:rsidRDefault="005279D3">
            <w:pPr>
              <w:jc w:val="center"/>
              <w:rPr>
                <w:sz w:val="21"/>
                <w:szCs w:val="21"/>
              </w:rPr>
            </w:pPr>
            <w:r>
              <w:rPr>
                <w:sz w:val="21"/>
                <w:szCs w:val="21"/>
              </w:rPr>
              <w:t>149</w:t>
            </w:r>
          </w:p>
        </w:tc>
        <w:tc>
          <w:tcPr>
            <w:tcW w:w="696" w:type="pct"/>
            <w:tcBorders>
              <w:left w:val="nil"/>
              <w:right w:val="single" w:sz="4" w:space="0" w:color="auto"/>
            </w:tcBorders>
            <w:vAlign w:val="center"/>
          </w:tcPr>
          <w:p w:rsidR="005279D3" w:rsidRDefault="005279D3">
            <w:pPr>
              <w:jc w:val="center"/>
              <w:rPr>
                <w:sz w:val="21"/>
                <w:szCs w:val="21"/>
              </w:rPr>
            </w:pPr>
            <w:r>
              <w:rPr>
                <w:sz w:val="21"/>
                <w:szCs w:val="21"/>
              </w:rPr>
              <w:t>136</w:t>
            </w:r>
          </w:p>
        </w:tc>
        <w:tc>
          <w:tcPr>
            <w:tcW w:w="1083" w:type="pct"/>
            <w:tcBorders>
              <w:left w:val="single" w:sz="4"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113.160516100</w:t>
            </w:r>
          </w:p>
          <w:p w:rsidR="005279D3" w:rsidRDefault="005279D3" w:rsidP="004A646B">
            <w:pPr>
              <w:jc w:val="left"/>
              <w:rPr>
                <w:sz w:val="21"/>
                <w:szCs w:val="21"/>
              </w:rPr>
            </w:pPr>
            <w:r>
              <w:rPr>
                <w:rFonts w:hint="eastAsia"/>
                <w:sz w:val="21"/>
                <w:szCs w:val="21"/>
              </w:rPr>
              <w:t>纬度</w:t>
            </w:r>
            <w:r w:rsidRPr="005279D3">
              <w:rPr>
                <w:sz w:val="21"/>
                <w:szCs w:val="21"/>
              </w:rPr>
              <w:t>34.206599999</w:t>
            </w:r>
          </w:p>
        </w:tc>
        <w:tc>
          <w:tcPr>
            <w:tcW w:w="533" w:type="pct"/>
            <w:vMerge w:val="restart"/>
            <w:tcBorders>
              <w:left w:val="nil"/>
              <w:right w:val="single" w:sz="6" w:space="0" w:color="auto"/>
            </w:tcBorders>
            <w:vAlign w:val="center"/>
          </w:tcPr>
          <w:p w:rsidR="005279D3" w:rsidRDefault="005279D3">
            <w:pPr>
              <w:jc w:val="center"/>
              <w:rPr>
                <w:sz w:val="21"/>
                <w:szCs w:val="21"/>
              </w:rPr>
            </w:pPr>
            <w:r>
              <w:rPr>
                <w:sz w:val="21"/>
                <w:szCs w:val="21"/>
              </w:rPr>
              <w:t>已废弃，没有供水意义</w:t>
            </w:r>
          </w:p>
        </w:tc>
      </w:tr>
      <w:tr w:rsidR="005279D3" w:rsidTr="005279D3">
        <w:trPr>
          <w:jc w:val="center"/>
        </w:trPr>
        <w:tc>
          <w:tcPr>
            <w:tcW w:w="820" w:type="pct"/>
            <w:tcBorders>
              <w:top w:val="single" w:sz="6" w:space="0" w:color="auto"/>
              <w:left w:val="single" w:sz="8" w:space="0" w:color="auto"/>
              <w:bottom w:val="single" w:sz="6" w:space="0" w:color="auto"/>
              <w:right w:val="single" w:sz="6" w:space="0" w:color="auto"/>
            </w:tcBorders>
            <w:vAlign w:val="center"/>
          </w:tcPr>
          <w:p w:rsidR="005279D3" w:rsidRDefault="005279D3">
            <w:pPr>
              <w:jc w:val="center"/>
              <w:rPr>
                <w:color w:val="000000"/>
                <w:sz w:val="21"/>
                <w:szCs w:val="21"/>
              </w:rPr>
            </w:pPr>
            <w:r>
              <w:rPr>
                <w:sz w:val="21"/>
                <w:szCs w:val="21"/>
              </w:rPr>
              <w:t>7#</w:t>
            </w:r>
          </w:p>
        </w:tc>
        <w:tc>
          <w:tcPr>
            <w:tcW w:w="554" w:type="pct"/>
            <w:tcBorders>
              <w:top w:val="single" w:sz="6" w:space="0" w:color="auto"/>
              <w:left w:val="nil"/>
              <w:bottom w:val="single" w:sz="6" w:space="0" w:color="auto"/>
              <w:right w:val="single" w:sz="6" w:space="0" w:color="auto"/>
            </w:tcBorders>
            <w:vAlign w:val="center"/>
          </w:tcPr>
          <w:p w:rsidR="005279D3" w:rsidRDefault="005279D3">
            <w:pPr>
              <w:jc w:val="center"/>
              <w:rPr>
                <w:sz w:val="21"/>
                <w:szCs w:val="21"/>
              </w:rPr>
            </w:pPr>
            <w:r>
              <w:rPr>
                <w:sz w:val="21"/>
                <w:szCs w:val="21"/>
              </w:rPr>
              <w:t>170</w:t>
            </w:r>
          </w:p>
        </w:tc>
        <w:tc>
          <w:tcPr>
            <w:tcW w:w="619" w:type="pct"/>
            <w:tcBorders>
              <w:left w:val="nil"/>
              <w:right w:val="single" w:sz="6" w:space="0" w:color="auto"/>
            </w:tcBorders>
            <w:vAlign w:val="center"/>
          </w:tcPr>
          <w:p w:rsidR="005279D3" w:rsidRDefault="005279D3">
            <w:pPr>
              <w:jc w:val="center"/>
              <w:rPr>
                <w:sz w:val="21"/>
                <w:szCs w:val="21"/>
              </w:rPr>
            </w:pPr>
            <w:r>
              <w:rPr>
                <w:sz w:val="21"/>
                <w:szCs w:val="21"/>
              </w:rPr>
              <w:t>295</w:t>
            </w:r>
          </w:p>
        </w:tc>
        <w:tc>
          <w:tcPr>
            <w:tcW w:w="696" w:type="pct"/>
            <w:tcBorders>
              <w:left w:val="nil"/>
              <w:right w:val="single" w:sz="6" w:space="0" w:color="auto"/>
            </w:tcBorders>
            <w:vAlign w:val="center"/>
          </w:tcPr>
          <w:p w:rsidR="005279D3" w:rsidRDefault="005279D3">
            <w:pPr>
              <w:jc w:val="center"/>
              <w:rPr>
                <w:sz w:val="21"/>
                <w:szCs w:val="21"/>
              </w:rPr>
            </w:pPr>
            <w:r>
              <w:rPr>
                <w:sz w:val="21"/>
                <w:szCs w:val="21"/>
              </w:rPr>
              <w:t>158</w:t>
            </w:r>
          </w:p>
        </w:tc>
        <w:tc>
          <w:tcPr>
            <w:tcW w:w="696" w:type="pct"/>
            <w:tcBorders>
              <w:left w:val="nil"/>
              <w:right w:val="single" w:sz="4" w:space="0" w:color="auto"/>
            </w:tcBorders>
            <w:vAlign w:val="center"/>
          </w:tcPr>
          <w:p w:rsidR="005279D3" w:rsidRDefault="005279D3">
            <w:pPr>
              <w:jc w:val="center"/>
              <w:rPr>
                <w:sz w:val="21"/>
                <w:szCs w:val="21"/>
              </w:rPr>
            </w:pPr>
            <w:r>
              <w:rPr>
                <w:sz w:val="21"/>
                <w:szCs w:val="21"/>
              </w:rPr>
              <w:t>137</w:t>
            </w:r>
          </w:p>
        </w:tc>
        <w:tc>
          <w:tcPr>
            <w:tcW w:w="1083" w:type="pct"/>
            <w:tcBorders>
              <w:left w:val="single" w:sz="4"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113.163262682</w:t>
            </w:r>
          </w:p>
          <w:p w:rsidR="005279D3" w:rsidRDefault="004A646B" w:rsidP="004A646B">
            <w:pPr>
              <w:jc w:val="left"/>
              <w:rPr>
                <w:sz w:val="21"/>
                <w:szCs w:val="21"/>
              </w:rPr>
            </w:pPr>
            <w:r>
              <w:rPr>
                <w:rFonts w:hint="eastAsia"/>
                <w:sz w:val="21"/>
                <w:szCs w:val="21"/>
              </w:rPr>
              <w:t>纬度</w:t>
            </w:r>
            <w:r w:rsidR="005279D3" w:rsidRPr="005279D3">
              <w:rPr>
                <w:sz w:val="21"/>
                <w:szCs w:val="21"/>
              </w:rPr>
              <w:t>34.204159189</w:t>
            </w:r>
          </w:p>
        </w:tc>
        <w:tc>
          <w:tcPr>
            <w:tcW w:w="533" w:type="pct"/>
            <w:vMerge/>
            <w:tcBorders>
              <w:left w:val="nil"/>
              <w:right w:val="single" w:sz="6" w:space="0" w:color="auto"/>
            </w:tcBorders>
            <w:vAlign w:val="center"/>
          </w:tcPr>
          <w:p w:rsidR="005279D3" w:rsidRDefault="005279D3">
            <w:pPr>
              <w:jc w:val="center"/>
              <w:rPr>
                <w:sz w:val="21"/>
                <w:szCs w:val="21"/>
              </w:rPr>
            </w:pPr>
          </w:p>
        </w:tc>
      </w:tr>
      <w:tr w:rsidR="005279D3" w:rsidTr="005279D3">
        <w:trPr>
          <w:jc w:val="center"/>
        </w:trPr>
        <w:tc>
          <w:tcPr>
            <w:tcW w:w="820" w:type="pct"/>
            <w:tcBorders>
              <w:top w:val="single" w:sz="6" w:space="0" w:color="auto"/>
              <w:left w:val="single" w:sz="8" w:space="0" w:color="auto"/>
              <w:bottom w:val="single" w:sz="6" w:space="0" w:color="auto"/>
              <w:right w:val="single" w:sz="6" w:space="0" w:color="auto"/>
            </w:tcBorders>
            <w:vAlign w:val="center"/>
          </w:tcPr>
          <w:p w:rsidR="005279D3" w:rsidRDefault="005279D3">
            <w:pPr>
              <w:jc w:val="center"/>
              <w:rPr>
                <w:color w:val="000000"/>
                <w:sz w:val="21"/>
                <w:szCs w:val="21"/>
              </w:rPr>
            </w:pPr>
            <w:r>
              <w:rPr>
                <w:sz w:val="21"/>
                <w:szCs w:val="21"/>
              </w:rPr>
              <w:t>8#</w:t>
            </w:r>
          </w:p>
        </w:tc>
        <w:tc>
          <w:tcPr>
            <w:tcW w:w="554" w:type="pct"/>
            <w:tcBorders>
              <w:top w:val="single" w:sz="6" w:space="0" w:color="auto"/>
              <w:left w:val="nil"/>
              <w:bottom w:val="single" w:sz="6" w:space="0" w:color="auto"/>
              <w:right w:val="single" w:sz="6" w:space="0" w:color="auto"/>
            </w:tcBorders>
            <w:vAlign w:val="center"/>
          </w:tcPr>
          <w:p w:rsidR="005279D3" w:rsidRDefault="005279D3">
            <w:pPr>
              <w:jc w:val="center"/>
              <w:rPr>
                <w:sz w:val="21"/>
                <w:szCs w:val="21"/>
              </w:rPr>
            </w:pPr>
            <w:r>
              <w:rPr>
                <w:sz w:val="21"/>
                <w:szCs w:val="21"/>
              </w:rPr>
              <w:t>182</w:t>
            </w:r>
          </w:p>
        </w:tc>
        <w:tc>
          <w:tcPr>
            <w:tcW w:w="619" w:type="pct"/>
            <w:tcBorders>
              <w:left w:val="nil"/>
              <w:right w:val="single" w:sz="6" w:space="0" w:color="auto"/>
            </w:tcBorders>
            <w:vAlign w:val="center"/>
          </w:tcPr>
          <w:p w:rsidR="005279D3" w:rsidRDefault="005279D3">
            <w:pPr>
              <w:jc w:val="center"/>
              <w:rPr>
                <w:sz w:val="21"/>
                <w:szCs w:val="21"/>
              </w:rPr>
            </w:pPr>
            <w:r>
              <w:rPr>
                <w:sz w:val="21"/>
                <w:szCs w:val="21"/>
              </w:rPr>
              <w:t>289</w:t>
            </w:r>
          </w:p>
        </w:tc>
        <w:tc>
          <w:tcPr>
            <w:tcW w:w="696" w:type="pct"/>
            <w:tcBorders>
              <w:left w:val="nil"/>
              <w:right w:val="single" w:sz="6" w:space="0" w:color="auto"/>
            </w:tcBorders>
            <w:vAlign w:val="center"/>
          </w:tcPr>
          <w:p w:rsidR="005279D3" w:rsidRDefault="005279D3">
            <w:pPr>
              <w:jc w:val="center"/>
              <w:rPr>
                <w:sz w:val="21"/>
                <w:szCs w:val="21"/>
              </w:rPr>
            </w:pPr>
            <w:r>
              <w:rPr>
                <w:sz w:val="21"/>
                <w:szCs w:val="21"/>
              </w:rPr>
              <w:t>156</w:t>
            </w:r>
          </w:p>
        </w:tc>
        <w:tc>
          <w:tcPr>
            <w:tcW w:w="696" w:type="pct"/>
            <w:tcBorders>
              <w:left w:val="nil"/>
              <w:right w:val="single" w:sz="4" w:space="0" w:color="auto"/>
            </w:tcBorders>
            <w:vAlign w:val="center"/>
          </w:tcPr>
          <w:p w:rsidR="005279D3" w:rsidRDefault="005279D3">
            <w:pPr>
              <w:jc w:val="center"/>
              <w:rPr>
                <w:sz w:val="21"/>
                <w:szCs w:val="21"/>
              </w:rPr>
            </w:pPr>
            <w:r>
              <w:rPr>
                <w:sz w:val="21"/>
                <w:szCs w:val="21"/>
              </w:rPr>
              <w:t>133</w:t>
            </w:r>
          </w:p>
        </w:tc>
        <w:tc>
          <w:tcPr>
            <w:tcW w:w="1083" w:type="pct"/>
            <w:tcBorders>
              <w:left w:val="single" w:sz="4"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113.169120626</w:t>
            </w:r>
          </w:p>
          <w:p w:rsidR="005279D3" w:rsidRDefault="004A646B" w:rsidP="004A646B">
            <w:pPr>
              <w:jc w:val="left"/>
              <w:rPr>
                <w:sz w:val="21"/>
                <w:szCs w:val="21"/>
              </w:rPr>
            </w:pPr>
            <w:r>
              <w:rPr>
                <w:rFonts w:hint="eastAsia"/>
                <w:sz w:val="21"/>
                <w:szCs w:val="21"/>
              </w:rPr>
              <w:t>纬度</w:t>
            </w:r>
            <w:r w:rsidR="005279D3" w:rsidRPr="005279D3">
              <w:rPr>
                <w:sz w:val="21"/>
                <w:szCs w:val="21"/>
              </w:rPr>
              <w:t>34.208820868</w:t>
            </w:r>
          </w:p>
        </w:tc>
        <w:tc>
          <w:tcPr>
            <w:tcW w:w="533" w:type="pct"/>
            <w:vMerge/>
            <w:tcBorders>
              <w:left w:val="nil"/>
              <w:right w:val="single" w:sz="6" w:space="0" w:color="auto"/>
            </w:tcBorders>
            <w:vAlign w:val="center"/>
          </w:tcPr>
          <w:p w:rsidR="005279D3" w:rsidRDefault="005279D3">
            <w:pPr>
              <w:jc w:val="center"/>
              <w:rPr>
                <w:sz w:val="21"/>
                <w:szCs w:val="21"/>
              </w:rPr>
            </w:pPr>
          </w:p>
        </w:tc>
      </w:tr>
      <w:tr w:rsidR="005279D3" w:rsidTr="005279D3">
        <w:trPr>
          <w:jc w:val="center"/>
        </w:trPr>
        <w:tc>
          <w:tcPr>
            <w:tcW w:w="820" w:type="pct"/>
            <w:tcBorders>
              <w:top w:val="single" w:sz="6" w:space="0" w:color="auto"/>
              <w:left w:val="single" w:sz="8" w:space="0" w:color="auto"/>
              <w:bottom w:val="single" w:sz="6" w:space="0" w:color="auto"/>
              <w:right w:val="single" w:sz="6" w:space="0" w:color="auto"/>
            </w:tcBorders>
            <w:vAlign w:val="center"/>
          </w:tcPr>
          <w:p w:rsidR="005279D3" w:rsidRDefault="005279D3">
            <w:pPr>
              <w:jc w:val="center"/>
              <w:rPr>
                <w:color w:val="000000"/>
                <w:sz w:val="21"/>
                <w:szCs w:val="21"/>
              </w:rPr>
            </w:pPr>
            <w:r>
              <w:rPr>
                <w:sz w:val="21"/>
                <w:szCs w:val="21"/>
              </w:rPr>
              <w:t>9#</w:t>
            </w:r>
          </w:p>
        </w:tc>
        <w:tc>
          <w:tcPr>
            <w:tcW w:w="554" w:type="pct"/>
            <w:tcBorders>
              <w:top w:val="single" w:sz="6" w:space="0" w:color="auto"/>
              <w:left w:val="nil"/>
              <w:bottom w:val="single" w:sz="6" w:space="0" w:color="auto"/>
              <w:right w:val="single" w:sz="6" w:space="0" w:color="auto"/>
            </w:tcBorders>
            <w:vAlign w:val="center"/>
          </w:tcPr>
          <w:p w:rsidR="005279D3" w:rsidRDefault="005279D3">
            <w:pPr>
              <w:jc w:val="center"/>
              <w:rPr>
                <w:sz w:val="21"/>
                <w:szCs w:val="21"/>
              </w:rPr>
            </w:pPr>
            <w:r>
              <w:rPr>
                <w:sz w:val="21"/>
                <w:szCs w:val="21"/>
              </w:rPr>
              <w:t>180</w:t>
            </w:r>
          </w:p>
        </w:tc>
        <w:tc>
          <w:tcPr>
            <w:tcW w:w="619" w:type="pct"/>
            <w:tcBorders>
              <w:left w:val="nil"/>
              <w:right w:val="single" w:sz="6" w:space="0" w:color="auto"/>
            </w:tcBorders>
            <w:vAlign w:val="center"/>
          </w:tcPr>
          <w:p w:rsidR="005279D3" w:rsidRDefault="005279D3">
            <w:pPr>
              <w:jc w:val="center"/>
              <w:rPr>
                <w:sz w:val="21"/>
                <w:szCs w:val="21"/>
              </w:rPr>
            </w:pPr>
            <w:r>
              <w:rPr>
                <w:sz w:val="21"/>
                <w:szCs w:val="21"/>
              </w:rPr>
              <w:t>304</w:t>
            </w:r>
          </w:p>
        </w:tc>
        <w:tc>
          <w:tcPr>
            <w:tcW w:w="696" w:type="pct"/>
            <w:tcBorders>
              <w:left w:val="nil"/>
              <w:right w:val="single" w:sz="6" w:space="0" w:color="auto"/>
            </w:tcBorders>
            <w:vAlign w:val="center"/>
          </w:tcPr>
          <w:p w:rsidR="005279D3" w:rsidRDefault="005279D3">
            <w:pPr>
              <w:jc w:val="center"/>
              <w:rPr>
                <w:sz w:val="21"/>
                <w:szCs w:val="21"/>
              </w:rPr>
            </w:pPr>
            <w:r>
              <w:rPr>
                <w:sz w:val="21"/>
                <w:szCs w:val="21"/>
              </w:rPr>
              <w:t>151</w:t>
            </w:r>
          </w:p>
        </w:tc>
        <w:tc>
          <w:tcPr>
            <w:tcW w:w="696" w:type="pct"/>
            <w:tcBorders>
              <w:left w:val="nil"/>
              <w:right w:val="single" w:sz="4" w:space="0" w:color="auto"/>
            </w:tcBorders>
            <w:vAlign w:val="center"/>
          </w:tcPr>
          <w:p w:rsidR="005279D3" w:rsidRDefault="005279D3">
            <w:pPr>
              <w:jc w:val="center"/>
              <w:rPr>
                <w:sz w:val="21"/>
                <w:szCs w:val="21"/>
              </w:rPr>
            </w:pPr>
            <w:r>
              <w:rPr>
                <w:sz w:val="21"/>
                <w:szCs w:val="21"/>
              </w:rPr>
              <w:t>153</w:t>
            </w:r>
          </w:p>
        </w:tc>
        <w:tc>
          <w:tcPr>
            <w:tcW w:w="1083" w:type="pct"/>
            <w:tcBorders>
              <w:left w:val="single" w:sz="4"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113.173465805</w:t>
            </w:r>
          </w:p>
          <w:p w:rsidR="005279D3" w:rsidRDefault="004A646B" w:rsidP="004A646B">
            <w:pPr>
              <w:jc w:val="left"/>
              <w:rPr>
                <w:sz w:val="21"/>
                <w:szCs w:val="21"/>
              </w:rPr>
            </w:pPr>
            <w:r>
              <w:rPr>
                <w:rFonts w:hint="eastAsia"/>
                <w:sz w:val="21"/>
                <w:szCs w:val="21"/>
              </w:rPr>
              <w:t>纬度</w:t>
            </w:r>
            <w:r w:rsidR="005279D3" w:rsidRPr="005279D3">
              <w:rPr>
                <w:sz w:val="21"/>
                <w:szCs w:val="21"/>
              </w:rPr>
              <w:t>34.210955906</w:t>
            </w:r>
          </w:p>
        </w:tc>
        <w:tc>
          <w:tcPr>
            <w:tcW w:w="533" w:type="pct"/>
            <w:vMerge/>
            <w:tcBorders>
              <w:left w:val="nil"/>
              <w:right w:val="single" w:sz="6" w:space="0" w:color="auto"/>
            </w:tcBorders>
            <w:vAlign w:val="center"/>
          </w:tcPr>
          <w:p w:rsidR="005279D3" w:rsidRDefault="005279D3">
            <w:pPr>
              <w:jc w:val="center"/>
              <w:rPr>
                <w:sz w:val="21"/>
                <w:szCs w:val="21"/>
              </w:rPr>
            </w:pPr>
          </w:p>
        </w:tc>
      </w:tr>
      <w:tr w:rsidR="005279D3" w:rsidTr="005279D3">
        <w:trPr>
          <w:jc w:val="center"/>
        </w:trPr>
        <w:tc>
          <w:tcPr>
            <w:tcW w:w="820" w:type="pct"/>
            <w:tcBorders>
              <w:top w:val="single" w:sz="6" w:space="0" w:color="auto"/>
              <w:left w:val="single" w:sz="8" w:space="0" w:color="auto"/>
              <w:bottom w:val="single" w:sz="8" w:space="0" w:color="auto"/>
              <w:right w:val="single" w:sz="6" w:space="0" w:color="auto"/>
            </w:tcBorders>
            <w:vAlign w:val="center"/>
          </w:tcPr>
          <w:p w:rsidR="005279D3" w:rsidRDefault="005279D3">
            <w:pPr>
              <w:jc w:val="center"/>
              <w:rPr>
                <w:color w:val="000000"/>
                <w:sz w:val="21"/>
                <w:szCs w:val="21"/>
              </w:rPr>
            </w:pPr>
            <w:r>
              <w:rPr>
                <w:sz w:val="21"/>
                <w:szCs w:val="21"/>
              </w:rPr>
              <w:t>10#</w:t>
            </w:r>
          </w:p>
        </w:tc>
        <w:tc>
          <w:tcPr>
            <w:tcW w:w="554" w:type="pct"/>
            <w:tcBorders>
              <w:top w:val="single" w:sz="6" w:space="0" w:color="auto"/>
              <w:left w:val="nil"/>
              <w:bottom w:val="single" w:sz="8" w:space="0" w:color="auto"/>
              <w:right w:val="single" w:sz="6" w:space="0" w:color="auto"/>
            </w:tcBorders>
            <w:vAlign w:val="center"/>
          </w:tcPr>
          <w:p w:rsidR="005279D3" w:rsidRDefault="005279D3">
            <w:pPr>
              <w:jc w:val="center"/>
              <w:rPr>
                <w:sz w:val="21"/>
                <w:szCs w:val="21"/>
              </w:rPr>
            </w:pPr>
            <w:r>
              <w:rPr>
                <w:sz w:val="21"/>
                <w:szCs w:val="21"/>
              </w:rPr>
              <w:t>170</w:t>
            </w:r>
          </w:p>
        </w:tc>
        <w:tc>
          <w:tcPr>
            <w:tcW w:w="619" w:type="pct"/>
            <w:tcBorders>
              <w:left w:val="nil"/>
              <w:bottom w:val="single" w:sz="8" w:space="0" w:color="auto"/>
              <w:right w:val="single" w:sz="6" w:space="0" w:color="auto"/>
            </w:tcBorders>
            <w:vAlign w:val="center"/>
          </w:tcPr>
          <w:p w:rsidR="005279D3" w:rsidRDefault="005279D3">
            <w:pPr>
              <w:jc w:val="center"/>
              <w:rPr>
                <w:sz w:val="21"/>
                <w:szCs w:val="21"/>
              </w:rPr>
            </w:pPr>
            <w:r>
              <w:rPr>
                <w:sz w:val="21"/>
                <w:szCs w:val="21"/>
              </w:rPr>
              <w:t>297</w:t>
            </w:r>
          </w:p>
        </w:tc>
        <w:tc>
          <w:tcPr>
            <w:tcW w:w="696" w:type="pct"/>
            <w:tcBorders>
              <w:left w:val="nil"/>
              <w:bottom w:val="single" w:sz="8" w:space="0" w:color="auto"/>
              <w:right w:val="single" w:sz="6" w:space="0" w:color="auto"/>
            </w:tcBorders>
            <w:vAlign w:val="center"/>
          </w:tcPr>
          <w:p w:rsidR="005279D3" w:rsidRDefault="005279D3">
            <w:pPr>
              <w:jc w:val="center"/>
              <w:rPr>
                <w:sz w:val="21"/>
                <w:szCs w:val="21"/>
              </w:rPr>
            </w:pPr>
            <w:r>
              <w:rPr>
                <w:sz w:val="21"/>
                <w:szCs w:val="21"/>
              </w:rPr>
              <w:t>162</w:t>
            </w:r>
          </w:p>
        </w:tc>
        <w:tc>
          <w:tcPr>
            <w:tcW w:w="696" w:type="pct"/>
            <w:tcBorders>
              <w:left w:val="nil"/>
              <w:bottom w:val="single" w:sz="8" w:space="0" w:color="auto"/>
              <w:right w:val="single" w:sz="4" w:space="0" w:color="auto"/>
            </w:tcBorders>
            <w:vAlign w:val="center"/>
          </w:tcPr>
          <w:p w:rsidR="005279D3" w:rsidRDefault="005279D3">
            <w:pPr>
              <w:jc w:val="center"/>
              <w:rPr>
                <w:sz w:val="21"/>
                <w:szCs w:val="21"/>
              </w:rPr>
            </w:pPr>
            <w:r>
              <w:rPr>
                <w:sz w:val="21"/>
                <w:szCs w:val="21"/>
              </w:rPr>
              <w:t>135</w:t>
            </w:r>
          </w:p>
        </w:tc>
        <w:tc>
          <w:tcPr>
            <w:tcW w:w="1083" w:type="pct"/>
            <w:tcBorders>
              <w:left w:val="single" w:sz="4" w:space="0" w:color="auto"/>
              <w:bottom w:val="single" w:sz="8" w:space="0" w:color="auto"/>
              <w:right w:val="single" w:sz="6" w:space="0" w:color="auto"/>
            </w:tcBorders>
            <w:vAlign w:val="center"/>
          </w:tcPr>
          <w:p w:rsidR="005279D3" w:rsidRDefault="005279D3" w:rsidP="004A646B">
            <w:pPr>
              <w:jc w:val="left"/>
              <w:rPr>
                <w:sz w:val="21"/>
                <w:szCs w:val="21"/>
              </w:rPr>
            </w:pPr>
            <w:r>
              <w:rPr>
                <w:rFonts w:hint="eastAsia"/>
                <w:sz w:val="21"/>
                <w:szCs w:val="21"/>
              </w:rPr>
              <w:t>经度</w:t>
            </w:r>
            <w:r w:rsidRPr="005279D3">
              <w:rPr>
                <w:sz w:val="21"/>
                <w:szCs w:val="21"/>
              </w:rPr>
              <w:t>113.154325561</w:t>
            </w:r>
          </w:p>
          <w:p w:rsidR="005279D3" w:rsidRDefault="004A646B" w:rsidP="004A646B">
            <w:pPr>
              <w:jc w:val="left"/>
              <w:rPr>
                <w:sz w:val="21"/>
                <w:szCs w:val="21"/>
              </w:rPr>
            </w:pPr>
            <w:r>
              <w:rPr>
                <w:rFonts w:hint="eastAsia"/>
                <w:sz w:val="21"/>
                <w:szCs w:val="21"/>
              </w:rPr>
              <w:t>纬度</w:t>
            </w:r>
            <w:r w:rsidR="005279D3" w:rsidRPr="005279D3">
              <w:rPr>
                <w:sz w:val="21"/>
                <w:szCs w:val="21"/>
              </w:rPr>
              <w:t>34.205248166</w:t>
            </w:r>
          </w:p>
        </w:tc>
        <w:tc>
          <w:tcPr>
            <w:tcW w:w="533" w:type="pct"/>
            <w:vMerge/>
            <w:tcBorders>
              <w:left w:val="nil"/>
              <w:bottom w:val="single" w:sz="8" w:space="0" w:color="auto"/>
              <w:right w:val="single" w:sz="6" w:space="0" w:color="auto"/>
            </w:tcBorders>
            <w:vAlign w:val="center"/>
          </w:tcPr>
          <w:p w:rsidR="005279D3" w:rsidRDefault="005279D3">
            <w:pPr>
              <w:jc w:val="center"/>
              <w:rPr>
                <w:sz w:val="21"/>
                <w:szCs w:val="21"/>
              </w:rPr>
            </w:pPr>
          </w:p>
        </w:tc>
      </w:tr>
    </w:tbl>
    <w:p w:rsidR="00240BCE" w:rsidRDefault="00AC0334">
      <w:pPr>
        <w:adjustRightInd w:val="0"/>
        <w:snapToGrid w:val="0"/>
        <w:spacing w:line="520" w:lineRule="exact"/>
        <w:ind w:firstLineChars="200" w:firstLine="480"/>
        <w:rPr>
          <w:sz w:val="24"/>
        </w:rPr>
      </w:pPr>
      <w:r>
        <w:rPr>
          <w:color w:val="000000"/>
          <w:sz w:val="24"/>
        </w:rPr>
        <w:t>由表</w:t>
      </w:r>
      <w:r>
        <w:rPr>
          <w:color w:val="000000"/>
          <w:sz w:val="24"/>
        </w:rPr>
        <w:t>4.3-11</w:t>
      </w:r>
      <w:r>
        <w:rPr>
          <w:color w:val="000000"/>
          <w:sz w:val="24"/>
        </w:rPr>
        <w:t>可知：地下水监测点位中，各监测因子均能满足《地下水质量标准》（</w:t>
      </w:r>
      <w:r>
        <w:rPr>
          <w:color w:val="000000"/>
          <w:sz w:val="24"/>
        </w:rPr>
        <w:t>GB/T14848-2017</w:t>
      </w:r>
      <w:r>
        <w:rPr>
          <w:color w:val="000000"/>
          <w:sz w:val="24"/>
        </w:rPr>
        <w:t>）</w:t>
      </w:r>
      <w:r>
        <w:rPr>
          <w:color w:val="000000"/>
          <w:sz w:val="24"/>
        </w:rPr>
        <w:t>Ⅲ</w:t>
      </w:r>
      <w:r>
        <w:rPr>
          <w:color w:val="000000"/>
          <w:sz w:val="24"/>
        </w:rPr>
        <w:t>类标准要求。</w:t>
      </w:r>
    </w:p>
    <w:p w:rsidR="00240BCE" w:rsidRDefault="00AC0334" w:rsidP="009C5F33">
      <w:pPr>
        <w:pStyle w:val="03"/>
        <w:adjustRightInd w:val="0"/>
        <w:snapToGrid w:val="0"/>
        <w:spacing w:beforeLines="70" w:afterLines="30" w:afterAutospacing="0" w:line="240" w:lineRule="auto"/>
        <w:rPr>
          <w:rFonts w:ascii="Times New Roman" w:eastAsia="楷体" w:hAnsi="Times New Roman"/>
          <w:color w:val="000000"/>
        </w:rPr>
      </w:pPr>
      <w:r>
        <w:rPr>
          <w:rFonts w:ascii="Times New Roman" w:eastAsia="楷体" w:hAnsi="Times New Roman"/>
          <w:color w:val="000000"/>
        </w:rPr>
        <w:t xml:space="preserve">4.3.4 </w:t>
      </w:r>
      <w:r>
        <w:rPr>
          <w:rFonts w:ascii="Times New Roman" w:eastAsia="楷体" w:hAnsi="Times New Roman"/>
          <w:color w:val="000000"/>
        </w:rPr>
        <w:t>声环境现状监测与评价</w:t>
      </w:r>
    </w:p>
    <w:p w:rsidR="00240BCE" w:rsidRDefault="00AC0334">
      <w:pPr>
        <w:rPr>
          <w:rFonts w:eastAsia="楷体"/>
          <w:b/>
          <w:bCs/>
          <w:color w:val="000000"/>
          <w:szCs w:val="28"/>
        </w:rPr>
      </w:pPr>
      <w:r>
        <w:rPr>
          <w:rFonts w:eastAsia="楷体"/>
          <w:b/>
          <w:bCs/>
          <w:color w:val="000000"/>
          <w:szCs w:val="28"/>
        </w:rPr>
        <w:t>4.3.4.1</w:t>
      </w:r>
      <w:r>
        <w:rPr>
          <w:rFonts w:eastAsia="楷体"/>
          <w:b/>
          <w:bCs/>
          <w:color w:val="000000"/>
          <w:szCs w:val="28"/>
        </w:rPr>
        <w:t>声环境现状质量监测</w:t>
      </w:r>
    </w:p>
    <w:p w:rsidR="00240BCE" w:rsidRDefault="00AC0334">
      <w:pPr>
        <w:pStyle w:val="affffffb"/>
        <w:ind w:firstLine="480"/>
        <w:rPr>
          <w:color w:val="auto"/>
        </w:rPr>
      </w:pPr>
      <w:r>
        <w:rPr>
          <w:color w:val="auto"/>
        </w:rPr>
        <w:t>（</w:t>
      </w:r>
      <w:r>
        <w:rPr>
          <w:color w:val="auto"/>
        </w:rPr>
        <w:t>1</w:t>
      </w:r>
      <w:r>
        <w:rPr>
          <w:color w:val="auto"/>
        </w:rPr>
        <w:t>）监测布点：本次评价在评价范围内共布设</w:t>
      </w:r>
      <w:r>
        <w:rPr>
          <w:color w:val="auto"/>
        </w:rPr>
        <w:t>1</w:t>
      </w:r>
      <w:r>
        <w:rPr>
          <w:color w:val="auto"/>
        </w:rPr>
        <w:t>个声环境质量现状监测点位，其具体位置及功能详见表</w:t>
      </w:r>
      <w:r>
        <w:rPr>
          <w:color w:val="auto"/>
        </w:rPr>
        <w:t>4.3-15</w:t>
      </w:r>
      <w:r>
        <w:rPr>
          <w:color w:val="auto"/>
        </w:rPr>
        <w:t>及见附图</w:t>
      </w:r>
      <w:r>
        <w:rPr>
          <w:color w:val="auto"/>
        </w:rPr>
        <w:t>10</w:t>
      </w:r>
      <w:r>
        <w:rPr>
          <w:color w:val="auto"/>
        </w:rPr>
        <w:t>。</w:t>
      </w:r>
    </w:p>
    <w:p w:rsidR="00240BCE" w:rsidRDefault="00AC0334">
      <w:pPr>
        <w:spacing w:line="520" w:lineRule="exact"/>
        <w:ind w:firstLineChars="200" w:firstLine="480"/>
        <w:jc w:val="center"/>
        <w:rPr>
          <w:rFonts w:eastAsia="黑体"/>
          <w:sz w:val="24"/>
        </w:rPr>
      </w:pPr>
      <w:r>
        <w:rPr>
          <w:rFonts w:eastAsia="黑体"/>
          <w:sz w:val="24"/>
        </w:rPr>
        <w:t>表</w:t>
      </w:r>
      <w:r>
        <w:rPr>
          <w:rFonts w:eastAsia="黑体"/>
          <w:sz w:val="24"/>
        </w:rPr>
        <w:t xml:space="preserve">4.3-15  </w:t>
      </w:r>
      <w:r>
        <w:rPr>
          <w:rFonts w:eastAsia="黑体"/>
          <w:sz w:val="24"/>
        </w:rPr>
        <w:t>声环境监测情况一览表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1"/>
        <w:gridCol w:w="2317"/>
        <w:gridCol w:w="1134"/>
        <w:gridCol w:w="1982"/>
        <w:gridCol w:w="3007"/>
      </w:tblGrid>
      <w:tr w:rsidR="00240BCE">
        <w:trPr>
          <w:jc w:val="center"/>
        </w:trPr>
        <w:tc>
          <w:tcPr>
            <w:tcW w:w="29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序号</w:t>
            </w:r>
          </w:p>
        </w:tc>
        <w:tc>
          <w:tcPr>
            <w:tcW w:w="1293" w:type="pct"/>
            <w:tcBorders>
              <w:top w:val="single" w:sz="4" w:space="0" w:color="auto"/>
              <w:left w:val="nil"/>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监测点名称</w:t>
            </w:r>
          </w:p>
        </w:tc>
        <w:tc>
          <w:tcPr>
            <w:tcW w:w="633" w:type="pct"/>
            <w:tcBorders>
              <w:top w:val="single" w:sz="4" w:space="0" w:color="auto"/>
              <w:left w:val="nil"/>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监测因子</w:t>
            </w:r>
          </w:p>
        </w:tc>
        <w:tc>
          <w:tcPr>
            <w:tcW w:w="1106" w:type="pct"/>
            <w:tcBorders>
              <w:top w:val="single" w:sz="4" w:space="0" w:color="auto"/>
              <w:left w:val="nil"/>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监测方法</w:t>
            </w:r>
          </w:p>
        </w:tc>
        <w:tc>
          <w:tcPr>
            <w:tcW w:w="1678" w:type="pct"/>
            <w:tcBorders>
              <w:top w:val="single" w:sz="4" w:space="0" w:color="auto"/>
              <w:left w:val="nil"/>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监测时间与频率</w:t>
            </w:r>
          </w:p>
        </w:tc>
      </w:tr>
      <w:tr w:rsidR="00240BCE">
        <w:trPr>
          <w:jc w:val="center"/>
        </w:trPr>
        <w:tc>
          <w:tcPr>
            <w:tcW w:w="290" w:type="pct"/>
            <w:tcBorders>
              <w:top w:val="single" w:sz="4" w:space="0" w:color="auto"/>
              <w:left w:val="single" w:sz="4" w:space="0" w:color="auto"/>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1#</w:t>
            </w:r>
          </w:p>
        </w:tc>
        <w:tc>
          <w:tcPr>
            <w:tcW w:w="1293" w:type="pct"/>
            <w:tcBorders>
              <w:top w:val="single" w:sz="4" w:space="0" w:color="auto"/>
              <w:left w:val="nil"/>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赵沟村柿树行组</w:t>
            </w:r>
          </w:p>
        </w:tc>
        <w:tc>
          <w:tcPr>
            <w:tcW w:w="633" w:type="pct"/>
            <w:tcBorders>
              <w:top w:val="single" w:sz="4" w:space="0" w:color="auto"/>
              <w:left w:val="nil"/>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等效连续声级</w:t>
            </w:r>
            <w:r>
              <w:rPr>
                <w:sz w:val="21"/>
                <w:szCs w:val="21"/>
              </w:rPr>
              <w:t>dB</w:t>
            </w:r>
            <w:r>
              <w:rPr>
                <w:sz w:val="21"/>
                <w:szCs w:val="21"/>
              </w:rPr>
              <w:t>（</w:t>
            </w:r>
            <w:r>
              <w:rPr>
                <w:sz w:val="21"/>
                <w:szCs w:val="21"/>
              </w:rPr>
              <w:t>A</w:t>
            </w:r>
            <w:r>
              <w:rPr>
                <w:sz w:val="21"/>
                <w:szCs w:val="21"/>
              </w:rPr>
              <w:t>）</w:t>
            </w:r>
          </w:p>
        </w:tc>
        <w:tc>
          <w:tcPr>
            <w:tcW w:w="1106" w:type="pct"/>
            <w:tcBorders>
              <w:top w:val="single" w:sz="4" w:space="0" w:color="auto"/>
              <w:left w:val="nil"/>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按照</w:t>
            </w:r>
            <w:r>
              <w:rPr>
                <w:sz w:val="21"/>
                <w:szCs w:val="21"/>
              </w:rPr>
              <w:t>GB3096-2008</w:t>
            </w:r>
            <w:r>
              <w:rPr>
                <w:sz w:val="21"/>
                <w:szCs w:val="21"/>
              </w:rPr>
              <w:t>执行</w:t>
            </w:r>
          </w:p>
        </w:tc>
        <w:tc>
          <w:tcPr>
            <w:tcW w:w="1678" w:type="pct"/>
            <w:tcBorders>
              <w:top w:val="single" w:sz="4" w:space="0" w:color="auto"/>
              <w:left w:val="nil"/>
              <w:bottom w:val="single" w:sz="4" w:space="0" w:color="auto"/>
              <w:right w:val="single" w:sz="4" w:space="0" w:color="auto"/>
            </w:tcBorders>
            <w:vAlign w:val="center"/>
          </w:tcPr>
          <w:p w:rsidR="00240BCE" w:rsidRDefault="00AC0334">
            <w:pPr>
              <w:spacing w:line="360" w:lineRule="exact"/>
              <w:rPr>
                <w:sz w:val="21"/>
                <w:szCs w:val="21"/>
              </w:rPr>
            </w:pPr>
            <w:r>
              <w:rPr>
                <w:sz w:val="21"/>
                <w:szCs w:val="21"/>
              </w:rPr>
              <w:t>2020</w:t>
            </w:r>
            <w:r>
              <w:rPr>
                <w:sz w:val="21"/>
                <w:szCs w:val="21"/>
              </w:rPr>
              <w:t>年</w:t>
            </w:r>
            <w:r>
              <w:rPr>
                <w:sz w:val="21"/>
                <w:szCs w:val="21"/>
              </w:rPr>
              <w:t>8</w:t>
            </w:r>
            <w:r>
              <w:rPr>
                <w:sz w:val="21"/>
                <w:szCs w:val="21"/>
              </w:rPr>
              <w:t>月</w:t>
            </w:r>
            <w:r>
              <w:rPr>
                <w:sz w:val="21"/>
                <w:szCs w:val="21"/>
              </w:rPr>
              <w:t>30</w:t>
            </w:r>
            <w:r>
              <w:rPr>
                <w:sz w:val="21"/>
                <w:szCs w:val="21"/>
              </w:rPr>
              <w:t>日～</w:t>
            </w:r>
            <w:r>
              <w:rPr>
                <w:sz w:val="21"/>
                <w:szCs w:val="21"/>
              </w:rPr>
              <w:t>8</w:t>
            </w:r>
            <w:r>
              <w:rPr>
                <w:sz w:val="21"/>
                <w:szCs w:val="21"/>
              </w:rPr>
              <w:t>月</w:t>
            </w:r>
            <w:r>
              <w:rPr>
                <w:sz w:val="21"/>
                <w:szCs w:val="21"/>
              </w:rPr>
              <w:t>31</w:t>
            </w:r>
            <w:r>
              <w:rPr>
                <w:sz w:val="21"/>
                <w:szCs w:val="21"/>
              </w:rPr>
              <w:t>日，连续监测</w:t>
            </w:r>
            <w:r>
              <w:rPr>
                <w:sz w:val="21"/>
                <w:szCs w:val="21"/>
              </w:rPr>
              <w:t>2</w:t>
            </w:r>
            <w:r>
              <w:rPr>
                <w:sz w:val="21"/>
                <w:szCs w:val="21"/>
              </w:rPr>
              <w:t>天，昼夜各一次</w:t>
            </w:r>
          </w:p>
        </w:tc>
      </w:tr>
    </w:tbl>
    <w:p w:rsidR="00240BCE" w:rsidRDefault="00AC0334">
      <w:pPr>
        <w:pStyle w:val="affffffb"/>
        <w:ind w:firstLine="480"/>
        <w:rPr>
          <w:color w:val="auto"/>
        </w:rPr>
      </w:pPr>
      <w:r>
        <w:rPr>
          <w:color w:val="auto"/>
        </w:rPr>
        <w:t>（</w:t>
      </w:r>
      <w:r>
        <w:rPr>
          <w:color w:val="auto"/>
        </w:rPr>
        <w:t>2</w:t>
      </w:r>
      <w:r>
        <w:rPr>
          <w:color w:val="auto"/>
        </w:rPr>
        <w:t>）监测项目：监测其等效声级</w:t>
      </w:r>
    </w:p>
    <w:p w:rsidR="00240BCE" w:rsidRDefault="00AC0334">
      <w:pPr>
        <w:pStyle w:val="affffffb"/>
        <w:ind w:firstLine="480"/>
        <w:rPr>
          <w:color w:val="auto"/>
        </w:rPr>
      </w:pPr>
      <w:r>
        <w:rPr>
          <w:color w:val="auto"/>
        </w:rPr>
        <w:t>（</w:t>
      </w:r>
      <w:r>
        <w:rPr>
          <w:color w:val="auto"/>
        </w:rPr>
        <w:t>3</w:t>
      </w:r>
      <w:r>
        <w:rPr>
          <w:color w:val="auto"/>
        </w:rPr>
        <w:t>）监测时间及频率：声环境监测于</w:t>
      </w:r>
      <w:r>
        <w:rPr>
          <w:color w:val="auto"/>
        </w:rPr>
        <w:t>2020</w:t>
      </w:r>
      <w:r>
        <w:rPr>
          <w:color w:val="auto"/>
        </w:rPr>
        <w:t>年</w:t>
      </w:r>
      <w:r>
        <w:rPr>
          <w:color w:val="auto"/>
        </w:rPr>
        <w:t>8</w:t>
      </w:r>
      <w:r>
        <w:rPr>
          <w:color w:val="auto"/>
        </w:rPr>
        <w:t>月</w:t>
      </w:r>
      <w:r>
        <w:rPr>
          <w:color w:val="auto"/>
        </w:rPr>
        <w:t>30</w:t>
      </w:r>
      <w:r>
        <w:rPr>
          <w:color w:val="auto"/>
        </w:rPr>
        <w:t>日～</w:t>
      </w:r>
      <w:r>
        <w:rPr>
          <w:color w:val="auto"/>
        </w:rPr>
        <w:t>8</w:t>
      </w:r>
      <w:r>
        <w:rPr>
          <w:color w:val="auto"/>
        </w:rPr>
        <w:t>月</w:t>
      </w:r>
      <w:r>
        <w:rPr>
          <w:color w:val="auto"/>
        </w:rPr>
        <w:t>31</w:t>
      </w:r>
      <w:r>
        <w:rPr>
          <w:color w:val="auto"/>
        </w:rPr>
        <w:t>日进行，一次性连续</w:t>
      </w:r>
      <w:r>
        <w:rPr>
          <w:color w:val="auto"/>
        </w:rPr>
        <w:lastRenderedPageBreak/>
        <w:t>监测</w:t>
      </w:r>
      <w:r>
        <w:rPr>
          <w:color w:val="auto"/>
        </w:rPr>
        <w:t>2</w:t>
      </w:r>
      <w:r>
        <w:rPr>
          <w:color w:val="auto"/>
        </w:rPr>
        <w:t>天，每天昼夜各一次。</w:t>
      </w:r>
    </w:p>
    <w:p w:rsidR="00240BCE" w:rsidRDefault="00AC0334">
      <w:pPr>
        <w:spacing w:line="520" w:lineRule="exact"/>
        <w:ind w:firstLineChars="200" w:firstLine="480"/>
        <w:rPr>
          <w:color w:val="FF0000"/>
          <w:sz w:val="24"/>
        </w:rPr>
      </w:pPr>
      <w:r>
        <w:rPr>
          <w:sz w:val="24"/>
        </w:rPr>
        <w:t>（</w:t>
      </w:r>
      <w:r>
        <w:rPr>
          <w:sz w:val="24"/>
        </w:rPr>
        <w:t>4</w:t>
      </w:r>
      <w:r>
        <w:rPr>
          <w:sz w:val="24"/>
        </w:rPr>
        <w:t>）监测方法：按《声环境质量标准》（</w:t>
      </w:r>
      <w:r>
        <w:rPr>
          <w:sz w:val="24"/>
        </w:rPr>
        <w:t>GB3096-2008</w:t>
      </w:r>
      <w:r>
        <w:rPr>
          <w:sz w:val="24"/>
        </w:rPr>
        <w:t>）进行；根据监测结果，统计等效</w:t>
      </w:r>
      <w:r>
        <w:rPr>
          <w:sz w:val="24"/>
        </w:rPr>
        <w:t>A</w:t>
      </w:r>
      <w:r>
        <w:rPr>
          <w:sz w:val="24"/>
        </w:rPr>
        <w:t>声级值。</w:t>
      </w:r>
    </w:p>
    <w:p w:rsidR="00240BCE" w:rsidRDefault="00AC0334">
      <w:pPr>
        <w:rPr>
          <w:rFonts w:eastAsia="楷体"/>
          <w:b/>
          <w:bCs/>
          <w:color w:val="000000"/>
          <w:szCs w:val="28"/>
        </w:rPr>
      </w:pPr>
      <w:r>
        <w:rPr>
          <w:rFonts w:eastAsia="楷体"/>
          <w:b/>
          <w:bCs/>
          <w:color w:val="000000"/>
          <w:szCs w:val="28"/>
        </w:rPr>
        <w:t>4.3.4.2</w:t>
      </w:r>
      <w:r>
        <w:rPr>
          <w:rFonts w:eastAsia="楷体"/>
          <w:b/>
          <w:bCs/>
          <w:color w:val="000000"/>
          <w:szCs w:val="28"/>
        </w:rPr>
        <w:t>声环境质量现状评价</w:t>
      </w:r>
    </w:p>
    <w:p w:rsidR="00240BCE" w:rsidRDefault="00AC0334">
      <w:pPr>
        <w:pStyle w:val="affffffb"/>
        <w:spacing w:line="480" w:lineRule="exact"/>
        <w:ind w:firstLine="480"/>
        <w:rPr>
          <w:color w:val="auto"/>
        </w:rPr>
      </w:pPr>
      <w:bookmarkStart w:id="363" w:name="_Toc180680456"/>
      <w:bookmarkStart w:id="364" w:name="_Toc181088798"/>
      <w:bookmarkStart w:id="365" w:name="_Toc181089204"/>
      <w:bookmarkStart w:id="366" w:name="_Toc181090483"/>
      <w:bookmarkStart w:id="367" w:name="_Toc183091432"/>
      <w:bookmarkStart w:id="368" w:name="_Toc187038707"/>
      <w:r>
        <w:rPr>
          <w:color w:val="auto"/>
        </w:rPr>
        <w:t>1</w:t>
      </w:r>
      <w:r>
        <w:rPr>
          <w:color w:val="auto"/>
        </w:rPr>
        <w:t>、评价方法</w:t>
      </w:r>
      <w:bookmarkEnd w:id="363"/>
      <w:bookmarkEnd w:id="364"/>
      <w:bookmarkEnd w:id="365"/>
      <w:bookmarkEnd w:id="366"/>
      <w:bookmarkEnd w:id="367"/>
      <w:bookmarkEnd w:id="368"/>
    </w:p>
    <w:p w:rsidR="00240BCE" w:rsidRDefault="00AC0334">
      <w:pPr>
        <w:pStyle w:val="affffffb"/>
        <w:spacing w:line="480" w:lineRule="exact"/>
        <w:ind w:firstLine="480"/>
        <w:rPr>
          <w:color w:val="auto"/>
        </w:rPr>
      </w:pPr>
      <w:r>
        <w:rPr>
          <w:color w:val="auto"/>
        </w:rPr>
        <w:t>声环境现状评价采用各点监测的等效声级与评价标准比较的方法进行。</w:t>
      </w:r>
    </w:p>
    <w:p w:rsidR="00240BCE" w:rsidRDefault="00AC0334">
      <w:pPr>
        <w:pStyle w:val="affffffb"/>
        <w:spacing w:line="480" w:lineRule="exact"/>
        <w:ind w:firstLine="480"/>
        <w:rPr>
          <w:color w:val="auto"/>
        </w:rPr>
      </w:pPr>
      <w:bookmarkStart w:id="369" w:name="_Toc180680457"/>
      <w:bookmarkStart w:id="370" w:name="_Toc187038708"/>
      <w:bookmarkStart w:id="371" w:name="_Toc183091433"/>
      <w:bookmarkStart w:id="372" w:name="_Toc181090484"/>
      <w:bookmarkStart w:id="373" w:name="_Toc181089205"/>
      <w:bookmarkStart w:id="374" w:name="_Toc181088799"/>
      <w:r>
        <w:rPr>
          <w:color w:val="auto"/>
        </w:rPr>
        <w:t>2</w:t>
      </w:r>
      <w:r>
        <w:rPr>
          <w:color w:val="auto"/>
        </w:rPr>
        <w:t>、评价标准</w:t>
      </w:r>
      <w:bookmarkEnd w:id="369"/>
      <w:bookmarkEnd w:id="370"/>
      <w:bookmarkEnd w:id="371"/>
      <w:bookmarkEnd w:id="372"/>
      <w:bookmarkEnd w:id="373"/>
      <w:bookmarkEnd w:id="374"/>
    </w:p>
    <w:p w:rsidR="00240BCE" w:rsidRDefault="00AC0334">
      <w:pPr>
        <w:pStyle w:val="affffffb"/>
        <w:spacing w:line="480" w:lineRule="exact"/>
        <w:ind w:firstLine="480"/>
        <w:rPr>
          <w:color w:val="auto"/>
        </w:rPr>
      </w:pPr>
      <w:r>
        <w:rPr>
          <w:color w:val="auto"/>
        </w:rPr>
        <w:t>根据《声环境质量标准》（</w:t>
      </w:r>
      <w:r>
        <w:rPr>
          <w:color w:val="auto"/>
        </w:rPr>
        <w:t>GB3096-2008</w:t>
      </w:r>
      <w:r>
        <w:rPr>
          <w:color w:val="auto"/>
        </w:rPr>
        <w:t>）的规定和声环境功能区划分，本次评价敏感点执行其中的</w:t>
      </w:r>
      <w:r>
        <w:rPr>
          <w:color w:val="auto"/>
        </w:rPr>
        <w:t>2</w:t>
      </w:r>
      <w:r>
        <w:rPr>
          <w:color w:val="auto"/>
        </w:rPr>
        <w:t>类标准，即昼间</w:t>
      </w:r>
      <w:r>
        <w:rPr>
          <w:color w:val="auto"/>
        </w:rPr>
        <w:t>60dB</w:t>
      </w:r>
      <w:r>
        <w:rPr>
          <w:color w:val="auto"/>
        </w:rPr>
        <w:t>（</w:t>
      </w:r>
      <w:r>
        <w:rPr>
          <w:color w:val="auto"/>
        </w:rPr>
        <w:t>A</w:t>
      </w:r>
      <w:r>
        <w:rPr>
          <w:color w:val="auto"/>
        </w:rPr>
        <w:t>），夜间</w:t>
      </w:r>
      <w:r>
        <w:rPr>
          <w:color w:val="auto"/>
        </w:rPr>
        <w:t>50dB</w:t>
      </w:r>
      <w:r>
        <w:rPr>
          <w:color w:val="auto"/>
        </w:rPr>
        <w:t>（</w:t>
      </w:r>
      <w:r>
        <w:rPr>
          <w:color w:val="auto"/>
        </w:rPr>
        <w:t>A</w:t>
      </w:r>
      <w:r>
        <w:rPr>
          <w:color w:val="auto"/>
        </w:rPr>
        <w:t>）。</w:t>
      </w:r>
    </w:p>
    <w:p w:rsidR="00240BCE" w:rsidRDefault="00AC0334">
      <w:pPr>
        <w:pStyle w:val="086151"/>
        <w:spacing w:line="480" w:lineRule="exact"/>
        <w:rPr>
          <w:rFonts w:cs="Times New Roman"/>
          <w:color w:val="auto"/>
          <w:kern w:val="0"/>
        </w:rPr>
      </w:pPr>
      <w:r>
        <w:rPr>
          <w:rFonts w:cs="Times New Roman"/>
          <w:color w:val="auto"/>
          <w:kern w:val="0"/>
        </w:rPr>
        <w:t>3</w:t>
      </w:r>
      <w:r>
        <w:rPr>
          <w:rFonts w:cs="Times New Roman"/>
          <w:color w:val="auto"/>
          <w:kern w:val="0"/>
        </w:rPr>
        <w:t>、声环境现状评价</w:t>
      </w:r>
    </w:p>
    <w:p w:rsidR="00240BCE" w:rsidRDefault="00AC0334">
      <w:pPr>
        <w:pStyle w:val="affffffb"/>
        <w:spacing w:line="480" w:lineRule="exact"/>
        <w:ind w:firstLine="480"/>
        <w:rPr>
          <w:color w:val="auto"/>
        </w:rPr>
      </w:pPr>
      <w:r>
        <w:rPr>
          <w:color w:val="auto"/>
        </w:rPr>
        <w:t>声环境现状评价结果见表</w:t>
      </w:r>
      <w:r>
        <w:rPr>
          <w:color w:val="auto"/>
        </w:rPr>
        <w:t>4.3-16</w:t>
      </w:r>
      <w:r>
        <w:rPr>
          <w:color w:val="auto"/>
        </w:rPr>
        <w:t>。</w:t>
      </w:r>
    </w:p>
    <w:p w:rsidR="00240BCE" w:rsidRDefault="00AC0334">
      <w:pPr>
        <w:pStyle w:val="affffffb"/>
        <w:spacing w:line="480" w:lineRule="exact"/>
        <w:ind w:firstLineChars="83" w:firstLine="199"/>
        <w:jc w:val="center"/>
        <w:rPr>
          <w:color w:val="auto"/>
        </w:rPr>
      </w:pPr>
      <w:r>
        <w:rPr>
          <w:color w:val="auto"/>
        </w:rPr>
        <w:t>表</w:t>
      </w:r>
      <w:r>
        <w:rPr>
          <w:color w:val="auto"/>
        </w:rPr>
        <w:t xml:space="preserve">4.3-16  </w:t>
      </w:r>
      <w:r>
        <w:rPr>
          <w:color w:val="auto"/>
        </w:rPr>
        <w:t>声环境现状监测结果表单位：</w:t>
      </w:r>
      <w:r>
        <w:rPr>
          <w:color w:val="auto"/>
        </w:rPr>
        <w:t>dB</w:t>
      </w:r>
      <w:r>
        <w:rPr>
          <w:color w:val="auto"/>
        </w:rPr>
        <w:t>（</w:t>
      </w:r>
      <w:r>
        <w:rPr>
          <w:color w:val="auto"/>
        </w:rPr>
        <w:t>A</w:t>
      </w:r>
      <w:r>
        <w:rPr>
          <w:color w:val="auto"/>
        </w:rPr>
        <w:t>）</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58"/>
        <w:gridCol w:w="1077"/>
        <w:gridCol w:w="3402"/>
        <w:gridCol w:w="3191"/>
      </w:tblGrid>
      <w:tr w:rsidR="00240BCE">
        <w:trPr>
          <w:jc w:val="center"/>
        </w:trPr>
        <w:tc>
          <w:tcPr>
            <w:tcW w:w="2235" w:type="dxa"/>
            <w:gridSpan w:val="2"/>
            <w:tcBorders>
              <w:tl2br w:val="single" w:sz="4" w:space="0" w:color="auto"/>
            </w:tcBorders>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 xml:space="preserve">     </w:t>
            </w:r>
            <w:r>
              <w:rPr>
                <w:rFonts w:ascii="Times New Roman" w:eastAsia="宋体" w:hAnsi="Times New Roman"/>
                <w:kern w:val="0"/>
                <w:sz w:val="21"/>
                <w:szCs w:val="24"/>
              </w:rPr>
              <w:t>监测点位置</w:t>
            </w:r>
          </w:p>
          <w:p w:rsidR="00240BCE" w:rsidRDefault="00AC0334">
            <w:pPr>
              <w:pStyle w:val="81"/>
              <w:spacing w:line="300" w:lineRule="exact"/>
              <w:rPr>
                <w:rFonts w:ascii="Times New Roman" w:eastAsia="宋体" w:hAnsi="Times New Roman"/>
                <w:kern w:val="0"/>
                <w:sz w:val="21"/>
                <w:szCs w:val="24"/>
              </w:rPr>
            </w:pPr>
            <w:r>
              <w:rPr>
                <w:rFonts w:ascii="Times New Roman" w:eastAsia="宋体" w:hAnsi="Times New Roman"/>
                <w:kern w:val="0"/>
                <w:sz w:val="21"/>
                <w:szCs w:val="24"/>
              </w:rPr>
              <w:t>监测时间</w:t>
            </w:r>
          </w:p>
        </w:tc>
        <w:tc>
          <w:tcPr>
            <w:tcW w:w="3402"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噪声监测结果</w:t>
            </w:r>
            <w:r>
              <w:rPr>
                <w:rFonts w:ascii="Times New Roman" w:eastAsia="宋体" w:hAnsi="Times New Roman"/>
                <w:kern w:val="0"/>
                <w:sz w:val="21"/>
                <w:szCs w:val="24"/>
              </w:rPr>
              <w:t>L</w:t>
            </w:r>
            <w:r>
              <w:rPr>
                <w:rFonts w:ascii="Times New Roman" w:eastAsia="宋体" w:hAnsi="Times New Roman"/>
                <w:kern w:val="0"/>
                <w:sz w:val="21"/>
                <w:szCs w:val="24"/>
                <w:vertAlign w:val="subscript"/>
              </w:rPr>
              <w:t>Aeq</w:t>
            </w:r>
            <w:r>
              <w:rPr>
                <w:rFonts w:ascii="Times New Roman" w:eastAsia="宋体" w:hAnsi="Times New Roman"/>
                <w:kern w:val="0"/>
                <w:sz w:val="21"/>
                <w:szCs w:val="24"/>
              </w:rPr>
              <w:t xml:space="preserve"> [dB(A)]</w:t>
            </w:r>
          </w:p>
        </w:tc>
        <w:tc>
          <w:tcPr>
            <w:tcW w:w="3191"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评价标准</w:t>
            </w:r>
          </w:p>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w:t>
            </w:r>
            <w:r>
              <w:rPr>
                <w:rFonts w:ascii="Times New Roman" w:eastAsia="宋体" w:hAnsi="Times New Roman"/>
                <w:kern w:val="0"/>
                <w:sz w:val="21"/>
                <w:szCs w:val="24"/>
              </w:rPr>
              <w:t>GB3096-2008</w:t>
            </w:r>
            <w:r>
              <w:rPr>
                <w:rFonts w:ascii="Times New Roman" w:eastAsia="宋体" w:hAnsi="Times New Roman"/>
                <w:kern w:val="0"/>
                <w:sz w:val="21"/>
                <w:szCs w:val="24"/>
              </w:rPr>
              <w:t>）中</w:t>
            </w:r>
            <w:r>
              <w:rPr>
                <w:rFonts w:ascii="Times New Roman" w:eastAsia="宋体" w:hAnsi="Times New Roman"/>
                <w:kern w:val="0"/>
                <w:sz w:val="21"/>
                <w:szCs w:val="24"/>
              </w:rPr>
              <w:t>2</w:t>
            </w:r>
            <w:r>
              <w:rPr>
                <w:rFonts w:ascii="Times New Roman" w:eastAsia="宋体" w:hAnsi="Times New Roman"/>
                <w:kern w:val="0"/>
                <w:sz w:val="21"/>
                <w:szCs w:val="24"/>
              </w:rPr>
              <w:t>类</w:t>
            </w:r>
          </w:p>
        </w:tc>
      </w:tr>
      <w:tr w:rsidR="00240BCE">
        <w:trPr>
          <w:jc w:val="center"/>
        </w:trPr>
        <w:tc>
          <w:tcPr>
            <w:tcW w:w="1158" w:type="dxa"/>
            <w:vMerge w:val="restart"/>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2020.08.30</w:t>
            </w:r>
          </w:p>
        </w:tc>
        <w:tc>
          <w:tcPr>
            <w:tcW w:w="1077"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昼间</w:t>
            </w:r>
          </w:p>
        </w:tc>
        <w:tc>
          <w:tcPr>
            <w:tcW w:w="3402"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54</w:t>
            </w:r>
          </w:p>
        </w:tc>
        <w:tc>
          <w:tcPr>
            <w:tcW w:w="3191"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60</w:t>
            </w:r>
          </w:p>
        </w:tc>
      </w:tr>
      <w:tr w:rsidR="00240BCE">
        <w:trPr>
          <w:jc w:val="center"/>
        </w:trPr>
        <w:tc>
          <w:tcPr>
            <w:tcW w:w="1158" w:type="dxa"/>
            <w:vMerge/>
            <w:vAlign w:val="center"/>
          </w:tcPr>
          <w:p w:rsidR="00240BCE" w:rsidRDefault="00240BCE">
            <w:pPr>
              <w:pStyle w:val="81"/>
              <w:spacing w:line="300" w:lineRule="exact"/>
              <w:jc w:val="center"/>
              <w:rPr>
                <w:rFonts w:ascii="Times New Roman" w:eastAsia="宋体" w:hAnsi="Times New Roman"/>
                <w:kern w:val="0"/>
                <w:sz w:val="21"/>
                <w:szCs w:val="24"/>
              </w:rPr>
            </w:pPr>
          </w:p>
        </w:tc>
        <w:tc>
          <w:tcPr>
            <w:tcW w:w="1077"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夜间</w:t>
            </w:r>
          </w:p>
        </w:tc>
        <w:tc>
          <w:tcPr>
            <w:tcW w:w="3402"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43</w:t>
            </w:r>
          </w:p>
        </w:tc>
        <w:tc>
          <w:tcPr>
            <w:tcW w:w="3191"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50</w:t>
            </w:r>
          </w:p>
        </w:tc>
      </w:tr>
      <w:tr w:rsidR="00240BCE">
        <w:trPr>
          <w:jc w:val="center"/>
        </w:trPr>
        <w:tc>
          <w:tcPr>
            <w:tcW w:w="1158" w:type="dxa"/>
            <w:vMerge w:val="restart"/>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2020.08.31</w:t>
            </w:r>
          </w:p>
        </w:tc>
        <w:tc>
          <w:tcPr>
            <w:tcW w:w="1077"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昼间</w:t>
            </w:r>
          </w:p>
        </w:tc>
        <w:tc>
          <w:tcPr>
            <w:tcW w:w="3402"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54</w:t>
            </w:r>
          </w:p>
        </w:tc>
        <w:tc>
          <w:tcPr>
            <w:tcW w:w="3191"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60</w:t>
            </w:r>
          </w:p>
        </w:tc>
      </w:tr>
      <w:tr w:rsidR="00240BCE">
        <w:trPr>
          <w:jc w:val="center"/>
        </w:trPr>
        <w:tc>
          <w:tcPr>
            <w:tcW w:w="1158" w:type="dxa"/>
            <w:vMerge/>
            <w:vAlign w:val="center"/>
          </w:tcPr>
          <w:p w:rsidR="00240BCE" w:rsidRDefault="00240BCE">
            <w:pPr>
              <w:pStyle w:val="81"/>
              <w:spacing w:line="300" w:lineRule="exact"/>
              <w:jc w:val="center"/>
              <w:rPr>
                <w:rFonts w:ascii="Times New Roman" w:eastAsia="宋体" w:hAnsi="Times New Roman"/>
                <w:kern w:val="0"/>
                <w:sz w:val="21"/>
                <w:szCs w:val="24"/>
              </w:rPr>
            </w:pPr>
          </w:p>
        </w:tc>
        <w:tc>
          <w:tcPr>
            <w:tcW w:w="1077"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夜间</w:t>
            </w:r>
          </w:p>
        </w:tc>
        <w:tc>
          <w:tcPr>
            <w:tcW w:w="3402"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44</w:t>
            </w:r>
          </w:p>
        </w:tc>
        <w:tc>
          <w:tcPr>
            <w:tcW w:w="3191" w:type="dxa"/>
            <w:vAlign w:val="center"/>
          </w:tcPr>
          <w:p w:rsidR="00240BCE" w:rsidRDefault="00AC0334">
            <w:pPr>
              <w:pStyle w:val="81"/>
              <w:spacing w:line="300" w:lineRule="exact"/>
              <w:jc w:val="center"/>
              <w:rPr>
                <w:rFonts w:ascii="Times New Roman" w:eastAsia="宋体" w:hAnsi="Times New Roman"/>
                <w:kern w:val="0"/>
                <w:sz w:val="21"/>
                <w:szCs w:val="24"/>
              </w:rPr>
            </w:pPr>
            <w:r>
              <w:rPr>
                <w:rFonts w:ascii="Times New Roman" w:eastAsia="宋体" w:hAnsi="Times New Roman"/>
                <w:kern w:val="0"/>
                <w:sz w:val="21"/>
                <w:szCs w:val="24"/>
              </w:rPr>
              <w:t>50</w:t>
            </w:r>
          </w:p>
        </w:tc>
      </w:tr>
    </w:tbl>
    <w:p w:rsidR="00240BCE" w:rsidRDefault="00AC0334">
      <w:pPr>
        <w:spacing w:line="520" w:lineRule="exact"/>
        <w:ind w:firstLineChars="200" w:firstLine="480"/>
        <w:rPr>
          <w:sz w:val="24"/>
        </w:rPr>
      </w:pPr>
      <w:r>
        <w:rPr>
          <w:sz w:val="24"/>
        </w:rPr>
        <w:t>由表中可以看出，评价区域内敏感点昼间、夜间噪声监测值均能满足《声环境质量标准》（</w:t>
      </w:r>
      <w:r>
        <w:rPr>
          <w:sz w:val="24"/>
        </w:rPr>
        <w:t>GB3096-2008</w:t>
      </w:r>
      <w:r>
        <w:rPr>
          <w:sz w:val="24"/>
        </w:rPr>
        <w:t>）中</w:t>
      </w:r>
      <w:r>
        <w:rPr>
          <w:sz w:val="24"/>
        </w:rPr>
        <w:t>2</w:t>
      </w:r>
      <w:r>
        <w:rPr>
          <w:sz w:val="24"/>
        </w:rPr>
        <w:t>类标准要求，说明评价区域声环境质量状况良好。</w:t>
      </w:r>
    </w:p>
    <w:p w:rsidR="00240BCE" w:rsidRDefault="00AC0334" w:rsidP="009C5F33">
      <w:pPr>
        <w:pStyle w:val="03"/>
        <w:adjustRightInd w:val="0"/>
        <w:snapToGrid w:val="0"/>
        <w:spacing w:beforeLines="70" w:afterLines="30" w:afterAutospacing="0" w:line="240" w:lineRule="auto"/>
        <w:rPr>
          <w:rFonts w:ascii="Times New Roman" w:eastAsia="楷体" w:hAnsi="Times New Roman"/>
          <w:color w:val="000000"/>
        </w:rPr>
      </w:pPr>
      <w:r>
        <w:rPr>
          <w:rFonts w:ascii="Times New Roman" w:eastAsia="楷体" w:hAnsi="Times New Roman"/>
          <w:color w:val="000000"/>
        </w:rPr>
        <w:t xml:space="preserve">4.3.5 </w:t>
      </w:r>
      <w:r>
        <w:rPr>
          <w:rFonts w:ascii="Times New Roman" w:eastAsia="楷体" w:hAnsi="Times New Roman"/>
          <w:color w:val="000000"/>
        </w:rPr>
        <w:t>土壤环境质量现状评价</w:t>
      </w:r>
    </w:p>
    <w:p w:rsidR="00240BCE" w:rsidRDefault="00AC0334">
      <w:pPr>
        <w:spacing w:line="520" w:lineRule="exact"/>
        <w:ind w:firstLineChars="200" w:firstLine="480"/>
        <w:rPr>
          <w:sz w:val="24"/>
        </w:rPr>
      </w:pPr>
      <w:r>
        <w:rPr>
          <w:sz w:val="24"/>
        </w:rPr>
        <w:t>本次评价土壤环境质量现状采用河南正捷检测技术有限公司于</w:t>
      </w:r>
      <w:r>
        <w:rPr>
          <w:sz w:val="24"/>
        </w:rPr>
        <w:t>2020</w:t>
      </w:r>
      <w:r>
        <w:rPr>
          <w:sz w:val="24"/>
        </w:rPr>
        <w:t>年</w:t>
      </w:r>
      <w:r>
        <w:rPr>
          <w:sz w:val="24"/>
        </w:rPr>
        <w:t>9</w:t>
      </w:r>
      <w:r>
        <w:rPr>
          <w:sz w:val="24"/>
        </w:rPr>
        <w:t>月</w:t>
      </w:r>
      <w:r>
        <w:rPr>
          <w:sz w:val="24"/>
        </w:rPr>
        <w:t>2</w:t>
      </w:r>
      <w:r>
        <w:rPr>
          <w:sz w:val="24"/>
        </w:rPr>
        <w:t>日的监测数据。</w:t>
      </w:r>
    </w:p>
    <w:p w:rsidR="00240BCE" w:rsidRDefault="00AC0334">
      <w:pPr>
        <w:spacing w:line="520" w:lineRule="exact"/>
        <w:rPr>
          <w:sz w:val="24"/>
        </w:rPr>
      </w:pPr>
      <w:r>
        <w:rPr>
          <w:sz w:val="24"/>
        </w:rPr>
        <w:t>4.3.5.1</w:t>
      </w:r>
      <w:r>
        <w:rPr>
          <w:sz w:val="24"/>
        </w:rPr>
        <w:t>土壤质量监测点及监测因子等</w:t>
      </w:r>
    </w:p>
    <w:p w:rsidR="00240BCE" w:rsidRDefault="00AC0334">
      <w:pPr>
        <w:spacing w:line="520" w:lineRule="exact"/>
        <w:ind w:firstLineChars="200" w:firstLine="480"/>
        <w:rPr>
          <w:sz w:val="24"/>
        </w:rPr>
      </w:pPr>
      <w:bookmarkStart w:id="375" w:name="_Toc11339306"/>
      <w:r>
        <w:rPr>
          <w:sz w:val="24"/>
        </w:rPr>
        <w:t>（</w:t>
      </w:r>
      <w:r>
        <w:rPr>
          <w:sz w:val="24"/>
        </w:rPr>
        <w:t>1</w:t>
      </w:r>
      <w:r>
        <w:rPr>
          <w:sz w:val="24"/>
        </w:rPr>
        <w:t>）监测</w:t>
      </w:r>
      <w:bookmarkStart w:id="376" w:name="_Toc533690788"/>
      <w:bookmarkEnd w:id="375"/>
      <w:r>
        <w:rPr>
          <w:sz w:val="24"/>
        </w:rPr>
        <w:t>点位</w:t>
      </w:r>
      <w:bookmarkEnd w:id="376"/>
      <w:r>
        <w:rPr>
          <w:sz w:val="24"/>
        </w:rPr>
        <w:t>、监测因子</w:t>
      </w:r>
      <w:bookmarkStart w:id="377" w:name="_Toc533690789"/>
    </w:p>
    <w:p w:rsidR="00240BCE" w:rsidRDefault="00AC0334">
      <w:pPr>
        <w:spacing w:line="520" w:lineRule="exact"/>
        <w:ind w:firstLineChars="200" w:firstLine="480"/>
        <w:rPr>
          <w:sz w:val="24"/>
        </w:rPr>
      </w:pPr>
      <w:r>
        <w:rPr>
          <w:sz w:val="24"/>
        </w:rPr>
        <w:t>根据土壤环境导则、项目特点及周围土地利用情况，本次土壤环境质量现状调查共布设</w:t>
      </w:r>
      <w:r>
        <w:rPr>
          <w:sz w:val="24"/>
        </w:rPr>
        <w:t>9</w:t>
      </w:r>
      <w:r>
        <w:rPr>
          <w:sz w:val="24"/>
        </w:rPr>
        <w:t>个监测点位。具体监测点及监测因子见表</w:t>
      </w:r>
      <w:r>
        <w:rPr>
          <w:sz w:val="24"/>
        </w:rPr>
        <w:t>4.3-17</w:t>
      </w:r>
      <w:r>
        <w:rPr>
          <w:sz w:val="24"/>
        </w:rPr>
        <w:t>，土壤监测点分布见附图</w:t>
      </w:r>
      <w:r>
        <w:rPr>
          <w:sz w:val="24"/>
        </w:rPr>
        <w:t>11</w:t>
      </w:r>
      <w:r>
        <w:rPr>
          <w:sz w:val="24"/>
        </w:rPr>
        <w:t>。</w:t>
      </w:r>
    </w:p>
    <w:p w:rsidR="00EA27AD" w:rsidRDefault="00EA27AD">
      <w:pPr>
        <w:widowControl/>
        <w:jc w:val="left"/>
        <w:rPr>
          <w:sz w:val="24"/>
        </w:rPr>
      </w:pPr>
      <w:r>
        <w:rPr>
          <w:sz w:val="24"/>
        </w:rPr>
        <w:br w:type="page"/>
      </w:r>
    </w:p>
    <w:p w:rsidR="00240BCE" w:rsidRDefault="00AC0334">
      <w:pPr>
        <w:spacing w:line="520" w:lineRule="exact"/>
        <w:jc w:val="center"/>
        <w:rPr>
          <w:sz w:val="24"/>
        </w:rPr>
      </w:pPr>
      <w:r>
        <w:rPr>
          <w:sz w:val="24"/>
        </w:rPr>
        <w:lastRenderedPageBreak/>
        <w:t>表</w:t>
      </w:r>
      <w:r>
        <w:rPr>
          <w:sz w:val="24"/>
        </w:rPr>
        <w:t xml:space="preserve">4.3-17   </w:t>
      </w:r>
      <w:r>
        <w:rPr>
          <w:sz w:val="24"/>
        </w:rPr>
        <w:t>土壤环境现状监测布点一览表</w:t>
      </w: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48"/>
        <w:gridCol w:w="456"/>
        <w:gridCol w:w="547"/>
        <w:gridCol w:w="365"/>
        <w:gridCol w:w="1545"/>
        <w:gridCol w:w="800"/>
        <w:gridCol w:w="2113"/>
        <w:gridCol w:w="2902"/>
      </w:tblGrid>
      <w:tr w:rsidR="00240BCE">
        <w:trPr>
          <w:jc w:val="center"/>
        </w:trPr>
        <w:tc>
          <w:tcPr>
            <w:tcW w:w="295" w:type="pct"/>
            <w:vAlign w:val="center"/>
          </w:tcPr>
          <w:p w:rsidR="00240BCE" w:rsidRDefault="00AC0334">
            <w:pPr>
              <w:widowControl/>
              <w:spacing w:line="320" w:lineRule="exact"/>
              <w:jc w:val="center"/>
              <w:rPr>
                <w:color w:val="000000"/>
                <w:kern w:val="0"/>
                <w:sz w:val="21"/>
                <w:szCs w:val="21"/>
              </w:rPr>
            </w:pPr>
            <w:r>
              <w:rPr>
                <w:color w:val="000000"/>
                <w:kern w:val="0"/>
                <w:sz w:val="21"/>
                <w:szCs w:val="21"/>
              </w:rPr>
              <w:t>环境要素</w:t>
            </w:r>
          </w:p>
        </w:tc>
        <w:tc>
          <w:tcPr>
            <w:tcW w:w="737" w:type="pct"/>
            <w:gridSpan w:val="3"/>
            <w:vAlign w:val="center"/>
          </w:tcPr>
          <w:p w:rsidR="00240BCE" w:rsidRDefault="00AC0334">
            <w:pPr>
              <w:widowControl/>
              <w:spacing w:line="320" w:lineRule="exact"/>
              <w:jc w:val="center"/>
              <w:rPr>
                <w:color w:val="000000"/>
                <w:kern w:val="0"/>
                <w:sz w:val="21"/>
                <w:szCs w:val="21"/>
              </w:rPr>
            </w:pPr>
            <w:r>
              <w:rPr>
                <w:color w:val="000000"/>
                <w:kern w:val="0"/>
                <w:sz w:val="21"/>
                <w:szCs w:val="21"/>
              </w:rPr>
              <w:t>编号</w:t>
            </w:r>
          </w:p>
        </w:tc>
        <w:tc>
          <w:tcPr>
            <w:tcW w:w="833" w:type="pct"/>
            <w:vAlign w:val="center"/>
          </w:tcPr>
          <w:p w:rsidR="00240BCE" w:rsidRDefault="00AC0334">
            <w:pPr>
              <w:widowControl/>
              <w:spacing w:line="320" w:lineRule="exact"/>
              <w:jc w:val="center"/>
              <w:rPr>
                <w:color w:val="000000"/>
                <w:kern w:val="0"/>
                <w:sz w:val="21"/>
                <w:szCs w:val="21"/>
              </w:rPr>
            </w:pPr>
            <w:r>
              <w:rPr>
                <w:color w:val="000000"/>
                <w:kern w:val="0"/>
                <w:sz w:val="21"/>
                <w:szCs w:val="21"/>
              </w:rPr>
              <w:t>监测点位位置（给出坐标）</w:t>
            </w:r>
          </w:p>
        </w:tc>
        <w:tc>
          <w:tcPr>
            <w:tcW w:w="431" w:type="pct"/>
            <w:vAlign w:val="center"/>
          </w:tcPr>
          <w:p w:rsidR="00240BCE" w:rsidRDefault="00AC0334">
            <w:pPr>
              <w:widowControl/>
              <w:spacing w:line="320" w:lineRule="exact"/>
              <w:jc w:val="center"/>
              <w:rPr>
                <w:color w:val="000000"/>
                <w:kern w:val="0"/>
                <w:sz w:val="21"/>
                <w:szCs w:val="21"/>
              </w:rPr>
            </w:pPr>
            <w:r>
              <w:rPr>
                <w:color w:val="000000"/>
                <w:kern w:val="0"/>
                <w:sz w:val="21"/>
                <w:szCs w:val="21"/>
              </w:rPr>
              <w:t>点位功能</w:t>
            </w:r>
          </w:p>
        </w:tc>
        <w:tc>
          <w:tcPr>
            <w:tcW w:w="1139" w:type="pct"/>
            <w:vAlign w:val="center"/>
          </w:tcPr>
          <w:p w:rsidR="00240BCE" w:rsidRDefault="00AC0334">
            <w:pPr>
              <w:widowControl/>
              <w:spacing w:line="320" w:lineRule="exact"/>
              <w:jc w:val="center"/>
              <w:rPr>
                <w:color w:val="000000"/>
                <w:kern w:val="0"/>
                <w:sz w:val="21"/>
                <w:szCs w:val="21"/>
              </w:rPr>
            </w:pPr>
            <w:r>
              <w:rPr>
                <w:color w:val="000000"/>
                <w:kern w:val="0"/>
                <w:sz w:val="21"/>
                <w:szCs w:val="21"/>
              </w:rPr>
              <w:t>监测因子</w:t>
            </w:r>
          </w:p>
        </w:tc>
        <w:tc>
          <w:tcPr>
            <w:tcW w:w="1566" w:type="pct"/>
          </w:tcPr>
          <w:p w:rsidR="00240BCE" w:rsidRDefault="00AC0334">
            <w:pPr>
              <w:widowControl/>
              <w:spacing w:line="320" w:lineRule="exact"/>
              <w:jc w:val="center"/>
              <w:rPr>
                <w:color w:val="000000"/>
                <w:kern w:val="0"/>
                <w:sz w:val="21"/>
                <w:szCs w:val="21"/>
              </w:rPr>
            </w:pPr>
            <w:r>
              <w:rPr>
                <w:color w:val="000000"/>
                <w:kern w:val="0"/>
                <w:sz w:val="21"/>
                <w:szCs w:val="21"/>
              </w:rPr>
              <w:t>备注</w:t>
            </w:r>
          </w:p>
        </w:tc>
      </w:tr>
      <w:tr w:rsidR="00240BCE">
        <w:trPr>
          <w:jc w:val="center"/>
        </w:trPr>
        <w:tc>
          <w:tcPr>
            <w:tcW w:w="295"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土壤质量</w:t>
            </w:r>
          </w:p>
        </w:tc>
        <w:tc>
          <w:tcPr>
            <w:tcW w:w="246"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工业广场</w:t>
            </w:r>
            <w:r>
              <w:rPr>
                <w:color w:val="000000"/>
                <w:kern w:val="0"/>
                <w:sz w:val="21"/>
                <w:szCs w:val="21"/>
              </w:rPr>
              <w:t>(</w:t>
            </w:r>
            <w:r>
              <w:rPr>
                <w:color w:val="000000"/>
                <w:kern w:val="0"/>
                <w:sz w:val="21"/>
                <w:szCs w:val="21"/>
              </w:rPr>
              <w:t>污染型</w:t>
            </w:r>
            <w:r>
              <w:rPr>
                <w:color w:val="000000"/>
                <w:kern w:val="0"/>
                <w:sz w:val="21"/>
                <w:szCs w:val="21"/>
              </w:rPr>
              <w:t xml:space="preserve">) </w:t>
            </w:r>
          </w:p>
        </w:tc>
        <w:tc>
          <w:tcPr>
            <w:tcW w:w="294"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占地范围内</w:t>
            </w: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1#</w:t>
            </w:r>
          </w:p>
        </w:tc>
        <w:tc>
          <w:tcPr>
            <w:tcW w:w="833" w:type="pct"/>
            <w:vAlign w:val="center"/>
          </w:tcPr>
          <w:p w:rsidR="00240BCE" w:rsidRDefault="00AC0334">
            <w:pPr>
              <w:spacing w:line="320" w:lineRule="exact"/>
              <w:jc w:val="center"/>
              <w:rPr>
                <w:color w:val="000000"/>
                <w:kern w:val="0"/>
                <w:sz w:val="21"/>
                <w:szCs w:val="21"/>
              </w:rPr>
            </w:pPr>
            <w:r>
              <w:rPr>
                <w:color w:val="000000"/>
                <w:kern w:val="0"/>
                <w:sz w:val="21"/>
                <w:szCs w:val="21"/>
              </w:rPr>
              <w:t>储煤场东</w:t>
            </w:r>
            <w:r>
              <w:rPr>
                <w:color w:val="000000"/>
                <w:kern w:val="0"/>
                <w:sz w:val="21"/>
                <w:szCs w:val="21"/>
              </w:rPr>
              <w:t>5m</w:t>
            </w:r>
            <w:r>
              <w:rPr>
                <w:color w:val="000000"/>
                <w:kern w:val="0"/>
                <w:sz w:val="21"/>
                <w:szCs w:val="21"/>
              </w:rPr>
              <w:t>，柱状</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Align w:val="center"/>
          </w:tcPr>
          <w:p w:rsidR="00240BCE" w:rsidRDefault="00AC0334">
            <w:pPr>
              <w:spacing w:line="320" w:lineRule="exact"/>
              <w:jc w:val="center"/>
              <w:rPr>
                <w:kern w:val="0"/>
                <w:sz w:val="21"/>
                <w:szCs w:val="21"/>
              </w:rPr>
            </w:pPr>
            <w:r>
              <w:rPr>
                <w:kern w:val="0"/>
                <w:sz w:val="21"/>
                <w:szCs w:val="21"/>
              </w:rPr>
              <w:t>柱状样点，监测</w:t>
            </w:r>
            <w:r>
              <w:rPr>
                <w:kern w:val="0"/>
                <w:sz w:val="21"/>
                <w:szCs w:val="21"/>
              </w:rPr>
              <w:t>45</w:t>
            </w:r>
            <w:r>
              <w:rPr>
                <w:kern w:val="0"/>
                <w:sz w:val="21"/>
                <w:szCs w:val="21"/>
              </w:rPr>
              <w:t>项基本因子和</w:t>
            </w:r>
            <w:r>
              <w:rPr>
                <w:kern w:val="0"/>
                <w:sz w:val="21"/>
                <w:szCs w:val="21"/>
              </w:rPr>
              <w:t>PH</w:t>
            </w:r>
            <w:r>
              <w:rPr>
                <w:kern w:val="0"/>
                <w:sz w:val="21"/>
                <w:szCs w:val="21"/>
              </w:rPr>
              <w:t>、铁、氟化物</w:t>
            </w:r>
          </w:p>
        </w:tc>
        <w:tc>
          <w:tcPr>
            <w:tcW w:w="1566"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表层样点位于</w:t>
            </w:r>
            <w:r>
              <w:rPr>
                <w:color w:val="000000"/>
                <w:kern w:val="0"/>
                <w:sz w:val="21"/>
                <w:szCs w:val="21"/>
              </w:rPr>
              <w:t>0~0.2m</w:t>
            </w:r>
            <w:r>
              <w:rPr>
                <w:color w:val="000000"/>
                <w:kern w:val="0"/>
                <w:sz w:val="21"/>
                <w:szCs w:val="21"/>
              </w:rPr>
              <w:t>，柱状样点分别在</w:t>
            </w:r>
            <w:r>
              <w:rPr>
                <w:color w:val="000000"/>
                <w:kern w:val="0"/>
                <w:sz w:val="21"/>
                <w:szCs w:val="21"/>
              </w:rPr>
              <w:t>0~0.2m</w:t>
            </w:r>
            <w:r>
              <w:rPr>
                <w:color w:val="000000"/>
                <w:kern w:val="0"/>
                <w:sz w:val="21"/>
                <w:szCs w:val="21"/>
              </w:rPr>
              <w:t>、</w:t>
            </w:r>
            <w:r>
              <w:rPr>
                <w:color w:val="000000"/>
                <w:kern w:val="0"/>
                <w:sz w:val="21"/>
                <w:szCs w:val="21"/>
              </w:rPr>
              <w:t>0.5~1.5m</w:t>
            </w:r>
            <w:r>
              <w:rPr>
                <w:color w:val="000000"/>
                <w:kern w:val="0"/>
                <w:sz w:val="21"/>
                <w:szCs w:val="21"/>
              </w:rPr>
              <w:t>、</w:t>
            </w:r>
            <w:r>
              <w:rPr>
                <w:color w:val="000000"/>
                <w:kern w:val="0"/>
                <w:sz w:val="21"/>
                <w:szCs w:val="21"/>
              </w:rPr>
              <w:t>1.5~3m</w:t>
            </w:r>
            <w:r>
              <w:rPr>
                <w:color w:val="000000"/>
                <w:kern w:val="0"/>
                <w:sz w:val="21"/>
                <w:szCs w:val="21"/>
              </w:rPr>
              <w:t>；按《土壤环境监测技术规范》和《土壤环境质量</w:t>
            </w:r>
            <w:r>
              <w:rPr>
                <w:color w:val="000000"/>
                <w:kern w:val="0"/>
                <w:sz w:val="21"/>
                <w:szCs w:val="21"/>
              </w:rPr>
              <w:t xml:space="preserve"> </w:t>
            </w:r>
            <w:r>
              <w:rPr>
                <w:color w:val="000000"/>
                <w:kern w:val="0"/>
                <w:sz w:val="21"/>
                <w:szCs w:val="21"/>
              </w:rPr>
              <w:t>建设用地土壤污染风险管控标准</w:t>
            </w:r>
            <w:r>
              <w:rPr>
                <w:color w:val="000000"/>
                <w:kern w:val="0"/>
                <w:sz w:val="21"/>
                <w:szCs w:val="21"/>
              </w:rPr>
              <w:t xml:space="preserve"> </w:t>
            </w:r>
            <w:r>
              <w:rPr>
                <w:color w:val="000000"/>
                <w:kern w:val="0"/>
                <w:sz w:val="21"/>
                <w:szCs w:val="21"/>
              </w:rPr>
              <w:t>试行》（</w:t>
            </w:r>
            <w:r>
              <w:rPr>
                <w:color w:val="000000"/>
                <w:kern w:val="0"/>
                <w:sz w:val="21"/>
                <w:szCs w:val="21"/>
              </w:rPr>
              <w:t>GB36600-2018</w:t>
            </w:r>
            <w:r>
              <w:rPr>
                <w:color w:val="000000"/>
                <w:kern w:val="0"/>
                <w:sz w:val="21"/>
                <w:szCs w:val="21"/>
              </w:rPr>
              <w:t>）的规定执行。表层样监测点和土壤剖面的土壤监测取样参照</w:t>
            </w:r>
            <w:r>
              <w:rPr>
                <w:color w:val="000000"/>
                <w:kern w:val="0"/>
                <w:sz w:val="21"/>
                <w:szCs w:val="21"/>
              </w:rPr>
              <w:t>HJ/T166</w:t>
            </w:r>
            <w:r>
              <w:rPr>
                <w:color w:val="000000"/>
                <w:kern w:val="0"/>
                <w:sz w:val="21"/>
                <w:szCs w:val="21"/>
              </w:rPr>
              <w:t>执行，柱状样监测点和现有工业场地土壤监测取样方法参照</w:t>
            </w:r>
            <w:r>
              <w:rPr>
                <w:color w:val="000000"/>
                <w:kern w:val="0"/>
                <w:sz w:val="21"/>
                <w:szCs w:val="21"/>
              </w:rPr>
              <w:t>HJ25.1</w:t>
            </w:r>
            <w:r>
              <w:rPr>
                <w:color w:val="000000"/>
                <w:kern w:val="0"/>
                <w:sz w:val="21"/>
                <w:szCs w:val="21"/>
              </w:rPr>
              <w:t>、</w:t>
            </w:r>
            <w:r>
              <w:rPr>
                <w:color w:val="000000"/>
                <w:kern w:val="0"/>
                <w:sz w:val="21"/>
                <w:szCs w:val="21"/>
              </w:rPr>
              <w:t>HJ25.2</w:t>
            </w:r>
            <w:r>
              <w:rPr>
                <w:color w:val="000000"/>
                <w:kern w:val="0"/>
                <w:sz w:val="21"/>
                <w:szCs w:val="21"/>
              </w:rPr>
              <w:t>执行。</w:t>
            </w: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246" w:type="pct"/>
            <w:vMerge/>
            <w:vAlign w:val="center"/>
          </w:tcPr>
          <w:p w:rsidR="00240BCE" w:rsidRDefault="00240BCE">
            <w:pPr>
              <w:spacing w:line="320" w:lineRule="exact"/>
              <w:jc w:val="center"/>
              <w:rPr>
                <w:color w:val="000000"/>
                <w:kern w:val="0"/>
                <w:sz w:val="21"/>
                <w:szCs w:val="21"/>
              </w:rPr>
            </w:pPr>
          </w:p>
        </w:tc>
        <w:tc>
          <w:tcPr>
            <w:tcW w:w="294" w:type="pct"/>
            <w:vMerge/>
            <w:vAlign w:val="center"/>
          </w:tcPr>
          <w:p w:rsidR="00240BCE" w:rsidRDefault="00240BCE">
            <w:pPr>
              <w:spacing w:line="320" w:lineRule="exact"/>
              <w:jc w:val="center"/>
              <w:rPr>
                <w:color w:val="000000"/>
                <w:kern w:val="0"/>
                <w:sz w:val="21"/>
                <w:szCs w:val="21"/>
              </w:rPr>
            </w:pP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2#</w:t>
            </w:r>
          </w:p>
        </w:tc>
        <w:tc>
          <w:tcPr>
            <w:tcW w:w="833" w:type="pct"/>
            <w:vAlign w:val="center"/>
          </w:tcPr>
          <w:p w:rsidR="00240BCE" w:rsidRDefault="00AC0334">
            <w:pPr>
              <w:spacing w:line="320" w:lineRule="exact"/>
              <w:jc w:val="center"/>
              <w:rPr>
                <w:color w:val="000000"/>
                <w:kern w:val="0"/>
                <w:sz w:val="21"/>
                <w:szCs w:val="21"/>
              </w:rPr>
            </w:pPr>
            <w:r>
              <w:rPr>
                <w:color w:val="000000"/>
                <w:kern w:val="0"/>
                <w:sz w:val="21"/>
                <w:szCs w:val="21"/>
              </w:rPr>
              <w:t>储煤场东北</w:t>
            </w:r>
            <w:r>
              <w:rPr>
                <w:color w:val="000000"/>
                <w:kern w:val="0"/>
                <w:sz w:val="21"/>
                <w:szCs w:val="21"/>
              </w:rPr>
              <w:t>20m</w:t>
            </w:r>
            <w:r>
              <w:rPr>
                <w:color w:val="000000"/>
                <w:kern w:val="0"/>
                <w:sz w:val="21"/>
                <w:szCs w:val="21"/>
              </w:rPr>
              <w:t>，柱状</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Merge w:val="restart"/>
            <w:vAlign w:val="center"/>
          </w:tcPr>
          <w:p w:rsidR="00240BCE" w:rsidRDefault="00AC0334">
            <w:pPr>
              <w:spacing w:line="320" w:lineRule="exact"/>
              <w:jc w:val="center"/>
              <w:rPr>
                <w:kern w:val="0"/>
                <w:sz w:val="21"/>
                <w:szCs w:val="21"/>
              </w:rPr>
            </w:pPr>
            <w:r>
              <w:rPr>
                <w:kern w:val="0"/>
                <w:sz w:val="21"/>
                <w:szCs w:val="21"/>
              </w:rPr>
              <w:t>柱状样点，监测特征因子</w:t>
            </w:r>
            <w:r>
              <w:rPr>
                <w:kern w:val="0"/>
                <w:sz w:val="21"/>
                <w:szCs w:val="21"/>
              </w:rPr>
              <w:t>PH</w:t>
            </w:r>
            <w:r>
              <w:rPr>
                <w:kern w:val="0"/>
                <w:sz w:val="21"/>
                <w:szCs w:val="21"/>
              </w:rPr>
              <w:t>、砷、铁、镉、氟化物</w:t>
            </w:r>
          </w:p>
        </w:tc>
        <w:tc>
          <w:tcPr>
            <w:tcW w:w="1566" w:type="pct"/>
            <w:vMerge/>
            <w:vAlign w:val="center"/>
          </w:tcPr>
          <w:p w:rsidR="00240BCE" w:rsidRDefault="00240BCE">
            <w:pPr>
              <w:spacing w:line="320" w:lineRule="exact"/>
              <w:jc w:val="center"/>
              <w:rPr>
                <w:color w:val="000000"/>
                <w:kern w:val="0"/>
                <w:sz w:val="21"/>
                <w:szCs w:val="21"/>
              </w:rPr>
            </w:pP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246" w:type="pct"/>
            <w:vMerge/>
            <w:vAlign w:val="center"/>
          </w:tcPr>
          <w:p w:rsidR="00240BCE" w:rsidRDefault="00240BCE">
            <w:pPr>
              <w:spacing w:line="320" w:lineRule="exact"/>
              <w:jc w:val="center"/>
              <w:rPr>
                <w:color w:val="000000"/>
                <w:kern w:val="0"/>
                <w:sz w:val="21"/>
                <w:szCs w:val="21"/>
              </w:rPr>
            </w:pPr>
          </w:p>
        </w:tc>
        <w:tc>
          <w:tcPr>
            <w:tcW w:w="294" w:type="pct"/>
            <w:vMerge/>
            <w:vAlign w:val="center"/>
          </w:tcPr>
          <w:p w:rsidR="00240BCE" w:rsidRDefault="00240BCE">
            <w:pPr>
              <w:spacing w:line="320" w:lineRule="exact"/>
              <w:jc w:val="center"/>
              <w:rPr>
                <w:color w:val="000000"/>
                <w:kern w:val="0"/>
                <w:sz w:val="21"/>
                <w:szCs w:val="21"/>
              </w:rPr>
            </w:pP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3#</w:t>
            </w:r>
          </w:p>
        </w:tc>
        <w:tc>
          <w:tcPr>
            <w:tcW w:w="833" w:type="pct"/>
            <w:vAlign w:val="center"/>
          </w:tcPr>
          <w:p w:rsidR="00240BCE" w:rsidRDefault="00AC0334">
            <w:pPr>
              <w:spacing w:line="320" w:lineRule="exact"/>
              <w:jc w:val="center"/>
              <w:rPr>
                <w:color w:val="000000"/>
                <w:kern w:val="0"/>
                <w:sz w:val="21"/>
                <w:szCs w:val="21"/>
              </w:rPr>
            </w:pPr>
            <w:r>
              <w:rPr>
                <w:color w:val="000000"/>
                <w:kern w:val="0"/>
                <w:sz w:val="21"/>
                <w:szCs w:val="21"/>
              </w:rPr>
              <w:t>储煤场东</w:t>
            </w:r>
            <w:r>
              <w:rPr>
                <w:color w:val="000000"/>
                <w:kern w:val="0"/>
                <w:sz w:val="21"/>
                <w:szCs w:val="21"/>
              </w:rPr>
              <w:t>50m</w:t>
            </w:r>
            <w:r>
              <w:rPr>
                <w:color w:val="000000"/>
                <w:kern w:val="0"/>
                <w:sz w:val="21"/>
                <w:szCs w:val="21"/>
              </w:rPr>
              <w:t>，柱状</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Merge/>
            <w:vAlign w:val="center"/>
          </w:tcPr>
          <w:p w:rsidR="00240BCE" w:rsidRDefault="00240BCE">
            <w:pPr>
              <w:spacing w:line="320" w:lineRule="exact"/>
              <w:jc w:val="center"/>
              <w:rPr>
                <w:kern w:val="0"/>
                <w:sz w:val="21"/>
                <w:szCs w:val="21"/>
              </w:rPr>
            </w:pPr>
          </w:p>
        </w:tc>
        <w:tc>
          <w:tcPr>
            <w:tcW w:w="1566" w:type="pct"/>
            <w:vMerge/>
            <w:vAlign w:val="center"/>
          </w:tcPr>
          <w:p w:rsidR="00240BCE" w:rsidRDefault="00240BCE">
            <w:pPr>
              <w:spacing w:line="320" w:lineRule="exact"/>
              <w:jc w:val="center"/>
              <w:rPr>
                <w:color w:val="000000"/>
                <w:kern w:val="0"/>
                <w:sz w:val="21"/>
                <w:szCs w:val="21"/>
              </w:rPr>
            </w:pP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246" w:type="pct"/>
            <w:vMerge/>
            <w:vAlign w:val="center"/>
          </w:tcPr>
          <w:p w:rsidR="00240BCE" w:rsidRDefault="00240BCE">
            <w:pPr>
              <w:spacing w:line="320" w:lineRule="exact"/>
              <w:jc w:val="center"/>
              <w:rPr>
                <w:color w:val="000000"/>
                <w:kern w:val="0"/>
                <w:sz w:val="21"/>
                <w:szCs w:val="21"/>
              </w:rPr>
            </w:pPr>
          </w:p>
        </w:tc>
        <w:tc>
          <w:tcPr>
            <w:tcW w:w="294" w:type="pct"/>
            <w:vMerge/>
            <w:vAlign w:val="center"/>
          </w:tcPr>
          <w:p w:rsidR="00240BCE" w:rsidRDefault="00240BCE">
            <w:pPr>
              <w:spacing w:line="320" w:lineRule="exact"/>
              <w:jc w:val="center"/>
              <w:rPr>
                <w:color w:val="000000"/>
                <w:kern w:val="0"/>
                <w:sz w:val="21"/>
                <w:szCs w:val="21"/>
              </w:rPr>
            </w:pP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4#</w:t>
            </w:r>
          </w:p>
        </w:tc>
        <w:tc>
          <w:tcPr>
            <w:tcW w:w="833" w:type="pct"/>
            <w:vAlign w:val="center"/>
          </w:tcPr>
          <w:p w:rsidR="00240BCE" w:rsidRDefault="00AC0334">
            <w:pPr>
              <w:spacing w:line="320" w:lineRule="exact"/>
              <w:jc w:val="center"/>
              <w:rPr>
                <w:color w:val="000000"/>
                <w:kern w:val="0"/>
                <w:sz w:val="21"/>
                <w:szCs w:val="21"/>
              </w:rPr>
            </w:pPr>
            <w:r>
              <w:rPr>
                <w:color w:val="000000"/>
                <w:kern w:val="0"/>
                <w:sz w:val="21"/>
                <w:szCs w:val="21"/>
              </w:rPr>
              <w:t>储煤场西</w:t>
            </w:r>
            <w:r>
              <w:rPr>
                <w:color w:val="000000"/>
                <w:kern w:val="0"/>
                <w:sz w:val="21"/>
                <w:szCs w:val="21"/>
              </w:rPr>
              <w:t>35m</w:t>
            </w:r>
            <w:r>
              <w:rPr>
                <w:color w:val="000000"/>
                <w:kern w:val="0"/>
                <w:sz w:val="21"/>
                <w:szCs w:val="21"/>
              </w:rPr>
              <w:t>，表层</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Align w:val="center"/>
          </w:tcPr>
          <w:p w:rsidR="00240BCE" w:rsidRDefault="00AC0334">
            <w:pPr>
              <w:spacing w:line="320" w:lineRule="exact"/>
              <w:jc w:val="center"/>
              <w:rPr>
                <w:kern w:val="0"/>
                <w:sz w:val="21"/>
                <w:szCs w:val="21"/>
              </w:rPr>
            </w:pPr>
            <w:r>
              <w:rPr>
                <w:kern w:val="0"/>
                <w:sz w:val="21"/>
                <w:szCs w:val="21"/>
              </w:rPr>
              <w:t>表层样点，监测特征因子</w:t>
            </w:r>
            <w:r>
              <w:rPr>
                <w:kern w:val="0"/>
                <w:sz w:val="21"/>
                <w:szCs w:val="21"/>
              </w:rPr>
              <w:t>PH</w:t>
            </w:r>
            <w:r>
              <w:rPr>
                <w:kern w:val="0"/>
                <w:sz w:val="21"/>
                <w:szCs w:val="21"/>
              </w:rPr>
              <w:t>、砷、铁、镉、氟化物</w:t>
            </w:r>
          </w:p>
        </w:tc>
        <w:tc>
          <w:tcPr>
            <w:tcW w:w="1566" w:type="pct"/>
            <w:vMerge/>
            <w:vAlign w:val="center"/>
          </w:tcPr>
          <w:p w:rsidR="00240BCE" w:rsidRDefault="00240BCE">
            <w:pPr>
              <w:spacing w:line="320" w:lineRule="exact"/>
              <w:jc w:val="center"/>
              <w:rPr>
                <w:color w:val="000000"/>
                <w:kern w:val="0"/>
                <w:sz w:val="21"/>
                <w:szCs w:val="21"/>
              </w:rPr>
            </w:pP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246" w:type="pct"/>
            <w:vMerge/>
            <w:vAlign w:val="center"/>
          </w:tcPr>
          <w:p w:rsidR="00240BCE" w:rsidRDefault="00240BCE">
            <w:pPr>
              <w:spacing w:line="320" w:lineRule="exact"/>
              <w:jc w:val="center"/>
              <w:rPr>
                <w:color w:val="000000"/>
                <w:kern w:val="0"/>
                <w:sz w:val="21"/>
                <w:szCs w:val="21"/>
              </w:rPr>
            </w:pPr>
          </w:p>
        </w:tc>
        <w:tc>
          <w:tcPr>
            <w:tcW w:w="294"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占地范围外</w:t>
            </w: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5#</w:t>
            </w:r>
          </w:p>
        </w:tc>
        <w:tc>
          <w:tcPr>
            <w:tcW w:w="833" w:type="pct"/>
            <w:vAlign w:val="center"/>
          </w:tcPr>
          <w:p w:rsidR="00240BCE" w:rsidRDefault="00AC0334">
            <w:pPr>
              <w:spacing w:line="320" w:lineRule="exact"/>
              <w:jc w:val="center"/>
              <w:rPr>
                <w:color w:val="000000"/>
                <w:kern w:val="0"/>
                <w:sz w:val="21"/>
                <w:szCs w:val="21"/>
              </w:rPr>
            </w:pPr>
            <w:r>
              <w:rPr>
                <w:color w:val="000000"/>
                <w:kern w:val="0"/>
                <w:sz w:val="21"/>
                <w:szCs w:val="21"/>
              </w:rPr>
              <w:t>工业广场东</w:t>
            </w:r>
            <w:r>
              <w:rPr>
                <w:color w:val="000000"/>
                <w:kern w:val="0"/>
                <w:sz w:val="21"/>
                <w:szCs w:val="21"/>
              </w:rPr>
              <w:t>100m</w:t>
            </w:r>
            <w:r>
              <w:rPr>
                <w:color w:val="000000"/>
                <w:kern w:val="0"/>
                <w:sz w:val="21"/>
                <w:szCs w:val="21"/>
              </w:rPr>
              <w:t>，表层</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Merge w:val="restart"/>
            <w:vAlign w:val="center"/>
          </w:tcPr>
          <w:p w:rsidR="00240BCE" w:rsidRDefault="00AC0334">
            <w:pPr>
              <w:spacing w:line="320" w:lineRule="exact"/>
              <w:jc w:val="center"/>
              <w:rPr>
                <w:kern w:val="0"/>
                <w:sz w:val="21"/>
                <w:szCs w:val="21"/>
              </w:rPr>
            </w:pPr>
            <w:r>
              <w:rPr>
                <w:kern w:val="0"/>
                <w:sz w:val="21"/>
                <w:szCs w:val="21"/>
              </w:rPr>
              <w:t>表层样点，监测特征因子</w:t>
            </w:r>
            <w:r>
              <w:rPr>
                <w:kern w:val="0"/>
                <w:sz w:val="21"/>
                <w:szCs w:val="21"/>
              </w:rPr>
              <w:t>PH</w:t>
            </w:r>
            <w:r>
              <w:rPr>
                <w:kern w:val="0"/>
                <w:sz w:val="21"/>
                <w:szCs w:val="21"/>
              </w:rPr>
              <w:t>、砷、铁、镉、氟化物、土壤含盐量（</w:t>
            </w:r>
            <w:r>
              <w:rPr>
                <w:kern w:val="0"/>
                <w:sz w:val="21"/>
                <w:szCs w:val="21"/>
              </w:rPr>
              <w:t>g/kg</w:t>
            </w:r>
            <w:r>
              <w:rPr>
                <w:kern w:val="0"/>
                <w:sz w:val="21"/>
                <w:szCs w:val="21"/>
              </w:rPr>
              <w:t>）</w:t>
            </w:r>
          </w:p>
        </w:tc>
        <w:tc>
          <w:tcPr>
            <w:tcW w:w="1566"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表层样点位于</w:t>
            </w:r>
            <w:r>
              <w:rPr>
                <w:color w:val="000000"/>
                <w:kern w:val="0"/>
                <w:sz w:val="21"/>
                <w:szCs w:val="21"/>
              </w:rPr>
              <w:t>0~0.2m</w:t>
            </w:r>
            <w:r>
              <w:rPr>
                <w:color w:val="000000"/>
                <w:kern w:val="0"/>
                <w:sz w:val="21"/>
                <w:szCs w:val="21"/>
              </w:rPr>
              <w:t>，按《土壤环境监测技术规范》和《土壤环境质量</w:t>
            </w:r>
            <w:r>
              <w:rPr>
                <w:color w:val="000000"/>
                <w:kern w:val="0"/>
                <w:sz w:val="21"/>
                <w:szCs w:val="21"/>
              </w:rPr>
              <w:t xml:space="preserve"> </w:t>
            </w:r>
            <w:r>
              <w:rPr>
                <w:color w:val="000000"/>
                <w:kern w:val="0"/>
                <w:sz w:val="21"/>
                <w:szCs w:val="21"/>
              </w:rPr>
              <w:t>农用地土壤污染风险管控标准</w:t>
            </w:r>
            <w:r>
              <w:rPr>
                <w:color w:val="000000"/>
                <w:kern w:val="0"/>
                <w:sz w:val="21"/>
                <w:szCs w:val="21"/>
              </w:rPr>
              <w:t xml:space="preserve"> </w:t>
            </w:r>
            <w:r>
              <w:rPr>
                <w:color w:val="000000"/>
                <w:kern w:val="0"/>
                <w:sz w:val="21"/>
                <w:szCs w:val="21"/>
              </w:rPr>
              <w:t>试行》（</w:t>
            </w:r>
            <w:r>
              <w:rPr>
                <w:color w:val="000000"/>
                <w:kern w:val="0"/>
                <w:sz w:val="21"/>
                <w:szCs w:val="21"/>
              </w:rPr>
              <w:t>GB15618-2018</w:t>
            </w:r>
            <w:r>
              <w:rPr>
                <w:color w:val="000000"/>
                <w:kern w:val="0"/>
                <w:sz w:val="21"/>
                <w:szCs w:val="21"/>
              </w:rPr>
              <w:t>）的规定执行。表层样土壤监测取样参照</w:t>
            </w:r>
            <w:r>
              <w:rPr>
                <w:color w:val="000000"/>
                <w:kern w:val="0"/>
                <w:sz w:val="21"/>
                <w:szCs w:val="21"/>
              </w:rPr>
              <w:t>HJ/T166</w:t>
            </w:r>
            <w:r>
              <w:rPr>
                <w:color w:val="000000"/>
                <w:kern w:val="0"/>
                <w:sz w:val="21"/>
                <w:szCs w:val="21"/>
              </w:rPr>
              <w:t>执行。</w:t>
            </w: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246" w:type="pct"/>
            <w:vMerge/>
            <w:vAlign w:val="center"/>
          </w:tcPr>
          <w:p w:rsidR="00240BCE" w:rsidRDefault="00240BCE">
            <w:pPr>
              <w:spacing w:line="320" w:lineRule="exact"/>
              <w:jc w:val="center"/>
              <w:rPr>
                <w:color w:val="000000"/>
                <w:kern w:val="0"/>
                <w:sz w:val="21"/>
                <w:szCs w:val="21"/>
              </w:rPr>
            </w:pPr>
          </w:p>
        </w:tc>
        <w:tc>
          <w:tcPr>
            <w:tcW w:w="294" w:type="pct"/>
            <w:vMerge/>
            <w:vAlign w:val="center"/>
          </w:tcPr>
          <w:p w:rsidR="00240BCE" w:rsidRDefault="00240BCE">
            <w:pPr>
              <w:spacing w:line="320" w:lineRule="exact"/>
              <w:jc w:val="center"/>
              <w:rPr>
                <w:color w:val="000000"/>
                <w:kern w:val="0"/>
                <w:sz w:val="21"/>
                <w:szCs w:val="21"/>
              </w:rPr>
            </w:pP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6#</w:t>
            </w:r>
          </w:p>
        </w:tc>
        <w:tc>
          <w:tcPr>
            <w:tcW w:w="833" w:type="pct"/>
            <w:vAlign w:val="center"/>
          </w:tcPr>
          <w:p w:rsidR="00240BCE" w:rsidRDefault="00AC0334">
            <w:pPr>
              <w:spacing w:line="320" w:lineRule="exact"/>
              <w:jc w:val="center"/>
              <w:rPr>
                <w:color w:val="000000"/>
                <w:kern w:val="0"/>
                <w:sz w:val="21"/>
                <w:szCs w:val="21"/>
              </w:rPr>
            </w:pPr>
            <w:r>
              <w:rPr>
                <w:color w:val="000000"/>
                <w:kern w:val="0"/>
                <w:sz w:val="21"/>
                <w:szCs w:val="21"/>
              </w:rPr>
              <w:t>工业场地西南</w:t>
            </w:r>
            <w:r>
              <w:rPr>
                <w:color w:val="000000"/>
                <w:kern w:val="0"/>
                <w:sz w:val="21"/>
                <w:szCs w:val="21"/>
              </w:rPr>
              <w:t>100m</w:t>
            </w:r>
            <w:r>
              <w:rPr>
                <w:color w:val="000000"/>
                <w:kern w:val="0"/>
                <w:sz w:val="21"/>
                <w:szCs w:val="21"/>
              </w:rPr>
              <w:t>，表层</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Merge/>
            <w:vAlign w:val="center"/>
          </w:tcPr>
          <w:p w:rsidR="00240BCE" w:rsidRDefault="00240BCE">
            <w:pPr>
              <w:spacing w:line="320" w:lineRule="exact"/>
              <w:jc w:val="center"/>
              <w:rPr>
                <w:kern w:val="0"/>
                <w:sz w:val="21"/>
                <w:szCs w:val="21"/>
              </w:rPr>
            </w:pPr>
          </w:p>
        </w:tc>
        <w:tc>
          <w:tcPr>
            <w:tcW w:w="1566" w:type="pct"/>
            <w:vMerge/>
            <w:vAlign w:val="center"/>
          </w:tcPr>
          <w:p w:rsidR="00240BCE" w:rsidRDefault="00240BCE">
            <w:pPr>
              <w:spacing w:line="320" w:lineRule="exact"/>
              <w:jc w:val="center"/>
              <w:rPr>
                <w:color w:val="000000"/>
                <w:kern w:val="0"/>
                <w:sz w:val="21"/>
                <w:szCs w:val="21"/>
              </w:rPr>
            </w:pP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246"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开采区（生态型）</w:t>
            </w:r>
          </w:p>
        </w:tc>
        <w:tc>
          <w:tcPr>
            <w:tcW w:w="294" w:type="pct"/>
            <w:vAlign w:val="center"/>
          </w:tcPr>
          <w:p w:rsidR="00240BCE" w:rsidRDefault="00AC0334">
            <w:pPr>
              <w:spacing w:line="320" w:lineRule="exact"/>
              <w:jc w:val="center"/>
              <w:rPr>
                <w:color w:val="000000"/>
                <w:kern w:val="0"/>
                <w:sz w:val="21"/>
                <w:szCs w:val="21"/>
              </w:rPr>
            </w:pPr>
            <w:r>
              <w:rPr>
                <w:color w:val="000000"/>
                <w:kern w:val="0"/>
                <w:sz w:val="21"/>
                <w:szCs w:val="21"/>
              </w:rPr>
              <w:t>占地范围内</w:t>
            </w: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7#</w:t>
            </w:r>
          </w:p>
        </w:tc>
        <w:tc>
          <w:tcPr>
            <w:tcW w:w="833" w:type="pct"/>
            <w:vAlign w:val="center"/>
          </w:tcPr>
          <w:p w:rsidR="00240BCE" w:rsidRDefault="00AC0334">
            <w:pPr>
              <w:spacing w:line="320" w:lineRule="exact"/>
              <w:jc w:val="center"/>
              <w:rPr>
                <w:color w:val="000000"/>
                <w:kern w:val="0"/>
                <w:sz w:val="21"/>
                <w:szCs w:val="21"/>
              </w:rPr>
            </w:pPr>
            <w:r>
              <w:rPr>
                <w:color w:val="000000"/>
                <w:kern w:val="0"/>
                <w:sz w:val="21"/>
                <w:szCs w:val="21"/>
              </w:rPr>
              <w:t>矿区中部，表层</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Merge/>
            <w:vAlign w:val="center"/>
          </w:tcPr>
          <w:p w:rsidR="00240BCE" w:rsidRDefault="00240BCE">
            <w:pPr>
              <w:spacing w:line="320" w:lineRule="exact"/>
              <w:jc w:val="center"/>
              <w:rPr>
                <w:kern w:val="0"/>
                <w:sz w:val="21"/>
                <w:szCs w:val="21"/>
              </w:rPr>
            </w:pPr>
          </w:p>
        </w:tc>
        <w:tc>
          <w:tcPr>
            <w:tcW w:w="1566" w:type="pct"/>
            <w:vMerge/>
            <w:vAlign w:val="center"/>
          </w:tcPr>
          <w:p w:rsidR="00240BCE" w:rsidRDefault="00240BCE">
            <w:pPr>
              <w:spacing w:line="320" w:lineRule="exact"/>
              <w:jc w:val="center"/>
              <w:rPr>
                <w:color w:val="000000"/>
                <w:kern w:val="0"/>
                <w:sz w:val="21"/>
                <w:szCs w:val="21"/>
              </w:rPr>
            </w:pP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246" w:type="pct"/>
            <w:vMerge/>
            <w:vAlign w:val="center"/>
          </w:tcPr>
          <w:p w:rsidR="00240BCE" w:rsidRDefault="00240BCE">
            <w:pPr>
              <w:spacing w:line="320" w:lineRule="exact"/>
              <w:jc w:val="center"/>
              <w:rPr>
                <w:color w:val="000000"/>
                <w:kern w:val="0"/>
                <w:sz w:val="21"/>
                <w:szCs w:val="21"/>
              </w:rPr>
            </w:pPr>
          </w:p>
        </w:tc>
        <w:tc>
          <w:tcPr>
            <w:tcW w:w="294"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占地范围外</w:t>
            </w: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8#</w:t>
            </w:r>
          </w:p>
        </w:tc>
        <w:tc>
          <w:tcPr>
            <w:tcW w:w="833" w:type="pct"/>
            <w:vAlign w:val="center"/>
          </w:tcPr>
          <w:p w:rsidR="00240BCE" w:rsidRDefault="00AC0334">
            <w:pPr>
              <w:spacing w:line="320" w:lineRule="exact"/>
              <w:jc w:val="center"/>
              <w:rPr>
                <w:color w:val="000000"/>
                <w:kern w:val="0"/>
                <w:sz w:val="21"/>
                <w:szCs w:val="21"/>
              </w:rPr>
            </w:pPr>
            <w:r>
              <w:rPr>
                <w:color w:val="000000"/>
                <w:kern w:val="0"/>
                <w:sz w:val="21"/>
                <w:szCs w:val="21"/>
              </w:rPr>
              <w:t>矿区边界东</w:t>
            </w:r>
            <w:r>
              <w:rPr>
                <w:color w:val="000000"/>
                <w:kern w:val="0"/>
                <w:sz w:val="21"/>
                <w:szCs w:val="21"/>
              </w:rPr>
              <w:t>100m</w:t>
            </w:r>
            <w:r>
              <w:rPr>
                <w:color w:val="000000"/>
                <w:kern w:val="0"/>
                <w:sz w:val="21"/>
                <w:szCs w:val="21"/>
              </w:rPr>
              <w:t>，表层</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Merge/>
            <w:vAlign w:val="center"/>
          </w:tcPr>
          <w:p w:rsidR="00240BCE" w:rsidRDefault="00240BCE">
            <w:pPr>
              <w:spacing w:line="320" w:lineRule="exact"/>
              <w:jc w:val="center"/>
              <w:rPr>
                <w:kern w:val="0"/>
                <w:sz w:val="21"/>
                <w:szCs w:val="21"/>
              </w:rPr>
            </w:pPr>
          </w:p>
        </w:tc>
        <w:tc>
          <w:tcPr>
            <w:tcW w:w="1566" w:type="pct"/>
            <w:vMerge/>
            <w:vAlign w:val="center"/>
          </w:tcPr>
          <w:p w:rsidR="00240BCE" w:rsidRDefault="00240BCE">
            <w:pPr>
              <w:spacing w:line="320" w:lineRule="exact"/>
              <w:jc w:val="center"/>
              <w:rPr>
                <w:color w:val="000000"/>
                <w:kern w:val="0"/>
                <w:sz w:val="21"/>
                <w:szCs w:val="21"/>
              </w:rPr>
            </w:pP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246" w:type="pct"/>
            <w:vMerge/>
            <w:vAlign w:val="center"/>
          </w:tcPr>
          <w:p w:rsidR="00240BCE" w:rsidRDefault="00240BCE">
            <w:pPr>
              <w:spacing w:line="320" w:lineRule="exact"/>
              <w:jc w:val="center"/>
              <w:rPr>
                <w:color w:val="000000"/>
                <w:kern w:val="0"/>
                <w:sz w:val="21"/>
                <w:szCs w:val="21"/>
              </w:rPr>
            </w:pPr>
          </w:p>
        </w:tc>
        <w:tc>
          <w:tcPr>
            <w:tcW w:w="294" w:type="pct"/>
            <w:vMerge/>
            <w:vAlign w:val="center"/>
          </w:tcPr>
          <w:p w:rsidR="00240BCE" w:rsidRDefault="00240BCE">
            <w:pPr>
              <w:spacing w:line="320" w:lineRule="exact"/>
              <w:jc w:val="center"/>
              <w:rPr>
                <w:color w:val="000000"/>
                <w:kern w:val="0"/>
                <w:sz w:val="21"/>
                <w:szCs w:val="21"/>
              </w:rPr>
            </w:pP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9#</w:t>
            </w:r>
          </w:p>
        </w:tc>
        <w:tc>
          <w:tcPr>
            <w:tcW w:w="833" w:type="pct"/>
            <w:vAlign w:val="center"/>
          </w:tcPr>
          <w:p w:rsidR="00240BCE" w:rsidRDefault="00AC0334">
            <w:pPr>
              <w:spacing w:line="320" w:lineRule="exact"/>
              <w:jc w:val="center"/>
              <w:rPr>
                <w:color w:val="000000"/>
                <w:kern w:val="0"/>
                <w:sz w:val="21"/>
                <w:szCs w:val="21"/>
              </w:rPr>
            </w:pPr>
            <w:r>
              <w:rPr>
                <w:color w:val="000000"/>
                <w:kern w:val="0"/>
                <w:sz w:val="21"/>
                <w:szCs w:val="21"/>
              </w:rPr>
              <w:t>矿区边界东南</w:t>
            </w:r>
            <w:r>
              <w:rPr>
                <w:color w:val="000000"/>
                <w:kern w:val="0"/>
                <w:sz w:val="21"/>
                <w:szCs w:val="21"/>
              </w:rPr>
              <w:t>100m</w:t>
            </w:r>
            <w:r>
              <w:rPr>
                <w:color w:val="000000"/>
                <w:kern w:val="0"/>
                <w:sz w:val="21"/>
                <w:szCs w:val="21"/>
              </w:rPr>
              <w:t>，表层</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Align w:val="center"/>
          </w:tcPr>
          <w:p w:rsidR="00240BCE" w:rsidRDefault="00AC0334">
            <w:pPr>
              <w:spacing w:line="320" w:lineRule="exact"/>
              <w:jc w:val="center"/>
              <w:rPr>
                <w:kern w:val="0"/>
                <w:sz w:val="21"/>
                <w:szCs w:val="21"/>
              </w:rPr>
            </w:pPr>
            <w:r>
              <w:rPr>
                <w:kern w:val="0"/>
                <w:sz w:val="21"/>
                <w:szCs w:val="21"/>
              </w:rPr>
              <w:t>表层样点，监测</w:t>
            </w:r>
            <w:r>
              <w:rPr>
                <w:kern w:val="0"/>
                <w:sz w:val="21"/>
                <w:szCs w:val="21"/>
              </w:rPr>
              <w:t>8</w:t>
            </w:r>
            <w:r>
              <w:rPr>
                <w:kern w:val="0"/>
                <w:sz w:val="21"/>
                <w:szCs w:val="21"/>
              </w:rPr>
              <w:t>项基本因子和</w:t>
            </w:r>
            <w:r>
              <w:rPr>
                <w:kern w:val="0"/>
                <w:sz w:val="21"/>
                <w:szCs w:val="21"/>
              </w:rPr>
              <w:t>PH</w:t>
            </w:r>
            <w:r>
              <w:rPr>
                <w:kern w:val="0"/>
                <w:sz w:val="21"/>
                <w:szCs w:val="21"/>
              </w:rPr>
              <w:t>、铁、氟化物、土壤含盐量（</w:t>
            </w:r>
            <w:r>
              <w:rPr>
                <w:kern w:val="0"/>
                <w:sz w:val="21"/>
                <w:szCs w:val="21"/>
              </w:rPr>
              <w:t>g/kg</w:t>
            </w:r>
            <w:r>
              <w:rPr>
                <w:kern w:val="0"/>
                <w:sz w:val="21"/>
                <w:szCs w:val="21"/>
              </w:rPr>
              <w:t>）</w:t>
            </w:r>
          </w:p>
        </w:tc>
        <w:tc>
          <w:tcPr>
            <w:tcW w:w="1566" w:type="pct"/>
            <w:vMerge/>
            <w:vAlign w:val="center"/>
          </w:tcPr>
          <w:p w:rsidR="00240BCE" w:rsidRDefault="00240BCE">
            <w:pPr>
              <w:spacing w:line="320" w:lineRule="exact"/>
              <w:jc w:val="center"/>
              <w:rPr>
                <w:color w:val="000000"/>
                <w:kern w:val="0"/>
                <w:sz w:val="21"/>
                <w:szCs w:val="21"/>
              </w:rPr>
            </w:pPr>
          </w:p>
        </w:tc>
      </w:tr>
      <w:tr w:rsidR="00240BCE">
        <w:trPr>
          <w:jc w:val="center"/>
        </w:trPr>
        <w:tc>
          <w:tcPr>
            <w:tcW w:w="295"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土壤理性特征</w:t>
            </w:r>
          </w:p>
        </w:tc>
        <w:tc>
          <w:tcPr>
            <w:tcW w:w="541" w:type="pct"/>
            <w:gridSpan w:val="2"/>
            <w:vMerge w:val="restart"/>
            <w:vAlign w:val="center"/>
          </w:tcPr>
          <w:p w:rsidR="00240BCE" w:rsidRDefault="00AC0334">
            <w:pPr>
              <w:spacing w:line="320" w:lineRule="exact"/>
              <w:jc w:val="center"/>
              <w:rPr>
                <w:color w:val="000000"/>
                <w:kern w:val="0"/>
                <w:sz w:val="21"/>
                <w:szCs w:val="21"/>
              </w:rPr>
            </w:pPr>
            <w:r>
              <w:rPr>
                <w:color w:val="000000"/>
                <w:kern w:val="0"/>
                <w:sz w:val="21"/>
                <w:szCs w:val="21"/>
              </w:rPr>
              <w:t>占地范围内</w:t>
            </w: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4#</w:t>
            </w:r>
          </w:p>
        </w:tc>
        <w:tc>
          <w:tcPr>
            <w:tcW w:w="833"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同上</w:t>
            </w: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土壤含盐量、阳离子交换量、氧化还原电位、饱和导水率、土壤容重、孔隙率、有机质，土体构型、地下水位埋深等</w:t>
            </w:r>
          </w:p>
        </w:tc>
        <w:tc>
          <w:tcPr>
            <w:tcW w:w="1566" w:type="pct"/>
            <w:vMerge w:val="restart"/>
            <w:vAlign w:val="center"/>
          </w:tcPr>
          <w:p w:rsidR="00240BCE" w:rsidRDefault="00AC0334">
            <w:pPr>
              <w:spacing w:line="320" w:lineRule="exact"/>
              <w:jc w:val="center"/>
              <w:rPr>
                <w:color w:val="000000"/>
                <w:kern w:val="0"/>
                <w:sz w:val="21"/>
                <w:szCs w:val="21"/>
              </w:rPr>
            </w:pPr>
            <w:r>
              <w:rPr>
                <w:color w:val="000000"/>
                <w:kern w:val="0"/>
                <w:sz w:val="21"/>
                <w:szCs w:val="21"/>
              </w:rPr>
              <w:t>按《环境影响评价技术导则</w:t>
            </w:r>
            <w:r>
              <w:rPr>
                <w:color w:val="000000"/>
                <w:kern w:val="0"/>
                <w:sz w:val="21"/>
                <w:szCs w:val="21"/>
              </w:rPr>
              <w:t xml:space="preserve"> </w:t>
            </w:r>
            <w:r>
              <w:rPr>
                <w:color w:val="000000"/>
                <w:kern w:val="0"/>
                <w:sz w:val="21"/>
                <w:szCs w:val="21"/>
              </w:rPr>
              <w:t>土壤环境（试行）》（</w:t>
            </w:r>
            <w:r>
              <w:rPr>
                <w:color w:val="000000"/>
                <w:kern w:val="0"/>
                <w:sz w:val="21"/>
                <w:szCs w:val="21"/>
              </w:rPr>
              <w:t>HJ964-2018</w:t>
            </w:r>
            <w:r>
              <w:rPr>
                <w:color w:val="000000"/>
                <w:kern w:val="0"/>
                <w:sz w:val="21"/>
                <w:szCs w:val="21"/>
              </w:rPr>
              <w:t>）的规定执行，填写土壤理性调查表</w:t>
            </w: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541" w:type="pct"/>
            <w:gridSpan w:val="2"/>
            <w:vMerge/>
            <w:vAlign w:val="center"/>
          </w:tcPr>
          <w:p w:rsidR="00240BCE" w:rsidRDefault="00240BCE">
            <w:pPr>
              <w:spacing w:line="320" w:lineRule="exact"/>
              <w:jc w:val="center"/>
              <w:rPr>
                <w:color w:val="000000"/>
                <w:kern w:val="0"/>
                <w:sz w:val="21"/>
                <w:szCs w:val="21"/>
              </w:rPr>
            </w:pP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7#</w:t>
            </w:r>
          </w:p>
        </w:tc>
        <w:tc>
          <w:tcPr>
            <w:tcW w:w="833" w:type="pct"/>
            <w:vMerge/>
            <w:vAlign w:val="center"/>
          </w:tcPr>
          <w:p w:rsidR="00240BCE" w:rsidRDefault="00240BCE">
            <w:pPr>
              <w:spacing w:line="320" w:lineRule="exact"/>
              <w:jc w:val="center"/>
              <w:rPr>
                <w:color w:val="000000"/>
                <w:kern w:val="0"/>
                <w:sz w:val="21"/>
                <w:szCs w:val="21"/>
              </w:rPr>
            </w:pP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Merge/>
            <w:vAlign w:val="center"/>
          </w:tcPr>
          <w:p w:rsidR="00240BCE" w:rsidRDefault="00240BCE">
            <w:pPr>
              <w:spacing w:line="320" w:lineRule="exact"/>
              <w:jc w:val="center"/>
              <w:rPr>
                <w:color w:val="000000"/>
                <w:kern w:val="0"/>
                <w:sz w:val="21"/>
                <w:szCs w:val="21"/>
              </w:rPr>
            </w:pPr>
          </w:p>
        </w:tc>
        <w:tc>
          <w:tcPr>
            <w:tcW w:w="1566" w:type="pct"/>
            <w:vMerge/>
            <w:vAlign w:val="center"/>
          </w:tcPr>
          <w:p w:rsidR="00240BCE" w:rsidRDefault="00240BCE">
            <w:pPr>
              <w:spacing w:line="320" w:lineRule="exact"/>
              <w:jc w:val="center"/>
              <w:rPr>
                <w:color w:val="000000"/>
                <w:kern w:val="0"/>
                <w:sz w:val="21"/>
                <w:szCs w:val="21"/>
              </w:rPr>
            </w:pPr>
          </w:p>
        </w:tc>
      </w:tr>
      <w:tr w:rsidR="00240BCE">
        <w:trPr>
          <w:jc w:val="center"/>
        </w:trPr>
        <w:tc>
          <w:tcPr>
            <w:tcW w:w="295" w:type="pct"/>
            <w:vMerge/>
            <w:vAlign w:val="center"/>
          </w:tcPr>
          <w:p w:rsidR="00240BCE" w:rsidRDefault="00240BCE">
            <w:pPr>
              <w:spacing w:line="320" w:lineRule="exact"/>
              <w:jc w:val="center"/>
              <w:rPr>
                <w:color w:val="000000"/>
                <w:kern w:val="0"/>
                <w:sz w:val="21"/>
                <w:szCs w:val="21"/>
              </w:rPr>
            </w:pPr>
          </w:p>
        </w:tc>
        <w:tc>
          <w:tcPr>
            <w:tcW w:w="541" w:type="pct"/>
            <w:gridSpan w:val="2"/>
            <w:vAlign w:val="center"/>
          </w:tcPr>
          <w:p w:rsidR="00240BCE" w:rsidRDefault="00AC0334">
            <w:pPr>
              <w:spacing w:line="320" w:lineRule="exact"/>
              <w:jc w:val="center"/>
              <w:rPr>
                <w:color w:val="000000"/>
                <w:kern w:val="0"/>
                <w:sz w:val="21"/>
                <w:szCs w:val="21"/>
              </w:rPr>
            </w:pPr>
            <w:r>
              <w:rPr>
                <w:color w:val="000000"/>
                <w:kern w:val="0"/>
                <w:sz w:val="21"/>
                <w:szCs w:val="21"/>
              </w:rPr>
              <w:t>占地范围外</w:t>
            </w:r>
          </w:p>
        </w:tc>
        <w:tc>
          <w:tcPr>
            <w:tcW w:w="197" w:type="pct"/>
            <w:vAlign w:val="center"/>
          </w:tcPr>
          <w:p w:rsidR="00240BCE" w:rsidRDefault="00AC0334">
            <w:pPr>
              <w:spacing w:line="320" w:lineRule="exact"/>
              <w:jc w:val="center"/>
              <w:rPr>
                <w:color w:val="000000"/>
                <w:kern w:val="0"/>
                <w:sz w:val="21"/>
                <w:szCs w:val="21"/>
              </w:rPr>
            </w:pPr>
            <w:r>
              <w:rPr>
                <w:color w:val="000000"/>
                <w:kern w:val="0"/>
                <w:sz w:val="21"/>
                <w:szCs w:val="21"/>
              </w:rPr>
              <w:t>9#</w:t>
            </w:r>
          </w:p>
        </w:tc>
        <w:tc>
          <w:tcPr>
            <w:tcW w:w="833" w:type="pct"/>
            <w:vMerge/>
            <w:vAlign w:val="center"/>
          </w:tcPr>
          <w:p w:rsidR="00240BCE" w:rsidRDefault="00240BCE">
            <w:pPr>
              <w:spacing w:line="320" w:lineRule="exact"/>
              <w:jc w:val="center"/>
              <w:rPr>
                <w:color w:val="000000"/>
                <w:kern w:val="0"/>
                <w:sz w:val="21"/>
                <w:szCs w:val="21"/>
              </w:rPr>
            </w:pPr>
          </w:p>
        </w:tc>
        <w:tc>
          <w:tcPr>
            <w:tcW w:w="431" w:type="pct"/>
            <w:vAlign w:val="center"/>
          </w:tcPr>
          <w:p w:rsidR="00240BCE" w:rsidRDefault="00AC0334">
            <w:pPr>
              <w:spacing w:line="320" w:lineRule="exact"/>
              <w:jc w:val="center"/>
              <w:rPr>
                <w:color w:val="000000"/>
                <w:kern w:val="0"/>
                <w:sz w:val="21"/>
                <w:szCs w:val="21"/>
              </w:rPr>
            </w:pPr>
            <w:r>
              <w:rPr>
                <w:color w:val="000000"/>
                <w:kern w:val="0"/>
                <w:sz w:val="21"/>
                <w:szCs w:val="21"/>
              </w:rPr>
              <w:t>现状值</w:t>
            </w:r>
          </w:p>
        </w:tc>
        <w:tc>
          <w:tcPr>
            <w:tcW w:w="1139" w:type="pct"/>
            <w:vMerge/>
            <w:vAlign w:val="center"/>
          </w:tcPr>
          <w:p w:rsidR="00240BCE" w:rsidRDefault="00240BCE">
            <w:pPr>
              <w:spacing w:line="320" w:lineRule="exact"/>
              <w:jc w:val="center"/>
              <w:rPr>
                <w:color w:val="000000"/>
                <w:kern w:val="0"/>
                <w:sz w:val="21"/>
                <w:szCs w:val="21"/>
              </w:rPr>
            </w:pPr>
          </w:p>
        </w:tc>
        <w:tc>
          <w:tcPr>
            <w:tcW w:w="1566" w:type="pct"/>
            <w:vMerge/>
            <w:vAlign w:val="center"/>
          </w:tcPr>
          <w:p w:rsidR="00240BCE" w:rsidRDefault="00240BCE">
            <w:pPr>
              <w:spacing w:line="320" w:lineRule="exact"/>
              <w:jc w:val="center"/>
              <w:rPr>
                <w:color w:val="000000"/>
                <w:kern w:val="0"/>
                <w:sz w:val="21"/>
                <w:szCs w:val="21"/>
              </w:rPr>
            </w:pPr>
          </w:p>
        </w:tc>
      </w:tr>
      <w:tr w:rsidR="00240BCE">
        <w:trPr>
          <w:jc w:val="center"/>
        </w:trPr>
        <w:tc>
          <w:tcPr>
            <w:tcW w:w="295" w:type="pct"/>
            <w:vAlign w:val="center"/>
          </w:tcPr>
          <w:p w:rsidR="00240BCE" w:rsidRDefault="00AC0334">
            <w:pPr>
              <w:spacing w:line="320" w:lineRule="exact"/>
              <w:jc w:val="center"/>
              <w:rPr>
                <w:color w:val="000000"/>
                <w:kern w:val="0"/>
                <w:sz w:val="21"/>
                <w:szCs w:val="21"/>
              </w:rPr>
            </w:pPr>
            <w:r>
              <w:rPr>
                <w:color w:val="000000"/>
                <w:kern w:val="0"/>
                <w:sz w:val="21"/>
                <w:szCs w:val="21"/>
              </w:rPr>
              <w:t>备注</w:t>
            </w:r>
          </w:p>
        </w:tc>
        <w:tc>
          <w:tcPr>
            <w:tcW w:w="4705" w:type="pct"/>
            <w:gridSpan w:val="7"/>
            <w:vAlign w:val="center"/>
          </w:tcPr>
          <w:p w:rsidR="00240BCE" w:rsidRDefault="00AC0334">
            <w:pPr>
              <w:spacing w:line="320" w:lineRule="exact"/>
              <w:jc w:val="center"/>
              <w:rPr>
                <w:color w:val="000000"/>
                <w:kern w:val="0"/>
                <w:sz w:val="21"/>
                <w:szCs w:val="21"/>
              </w:rPr>
            </w:pPr>
            <w:r>
              <w:rPr>
                <w:color w:val="000000"/>
                <w:kern w:val="0"/>
                <w:sz w:val="21"/>
                <w:szCs w:val="21"/>
              </w:rPr>
              <w:t>既是特征因子又是基本因子的，按特征因子对待</w:t>
            </w:r>
          </w:p>
        </w:tc>
      </w:tr>
    </w:tbl>
    <w:p w:rsidR="00240BCE" w:rsidRDefault="00AC0334">
      <w:pPr>
        <w:spacing w:line="520" w:lineRule="exact"/>
        <w:ind w:firstLineChars="200" w:firstLine="480"/>
        <w:rPr>
          <w:sz w:val="24"/>
        </w:rPr>
      </w:pPr>
      <w:bookmarkStart w:id="378" w:name="_Toc533690796"/>
      <w:bookmarkEnd w:id="377"/>
      <w:r>
        <w:rPr>
          <w:sz w:val="24"/>
        </w:rPr>
        <w:t>（</w:t>
      </w:r>
      <w:r>
        <w:rPr>
          <w:sz w:val="24"/>
        </w:rPr>
        <w:t>2</w:t>
      </w:r>
      <w:r>
        <w:rPr>
          <w:sz w:val="24"/>
        </w:rPr>
        <w:t>）监测时间及监测频次</w:t>
      </w:r>
      <w:bookmarkEnd w:id="378"/>
    </w:p>
    <w:p w:rsidR="00240BCE" w:rsidRDefault="00AC0334">
      <w:pPr>
        <w:spacing w:line="520" w:lineRule="exact"/>
        <w:ind w:firstLineChars="200" w:firstLine="480"/>
        <w:rPr>
          <w:sz w:val="24"/>
        </w:rPr>
      </w:pPr>
      <w:bookmarkStart w:id="379" w:name="_Toc533690797"/>
      <w:r>
        <w:rPr>
          <w:sz w:val="24"/>
        </w:rPr>
        <w:t>采样时间</w:t>
      </w:r>
      <w:r>
        <w:rPr>
          <w:sz w:val="24"/>
        </w:rPr>
        <w:t>2020</w:t>
      </w:r>
      <w:r>
        <w:rPr>
          <w:sz w:val="24"/>
        </w:rPr>
        <w:t>年</w:t>
      </w:r>
      <w:r>
        <w:rPr>
          <w:sz w:val="24"/>
        </w:rPr>
        <w:t>9</w:t>
      </w:r>
      <w:r>
        <w:rPr>
          <w:sz w:val="24"/>
        </w:rPr>
        <w:t>月</w:t>
      </w:r>
      <w:r>
        <w:rPr>
          <w:sz w:val="24"/>
        </w:rPr>
        <w:t>2</w:t>
      </w:r>
      <w:r>
        <w:rPr>
          <w:sz w:val="24"/>
        </w:rPr>
        <w:t>日，取样一次。</w:t>
      </w:r>
    </w:p>
    <w:p w:rsidR="00240BCE" w:rsidRDefault="00AC0334">
      <w:pPr>
        <w:spacing w:line="520" w:lineRule="exact"/>
        <w:ind w:firstLineChars="200" w:firstLine="480"/>
        <w:rPr>
          <w:sz w:val="24"/>
        </w:rPr>
      </w:pPr>
      <w:bookmarkStart w:id="380" w:name="_Toc533690798"/>
      <w:bookmarkEnd w:id="379"/>
      <w:r>
        <w:rPr>
          <w:sz w:val="24"/>
        </w:rPr>
        <w:t>（</w:t>
      </w:r>
      <w:r>
        <w:rPr>
          <w:sz w:val="24"/>
        </w:rPr>
        <w:t>3</w:t>
      </w:r>
      <w:r>
        <w:rPr>
          <w:sz w:val="24"/>
        </w:rPr>
        <w:t>）监测分析方法</w:t>
      </w:r>
      <w:bookmarkEnd w:id="380"/>
    </w:p>
    <w:p w:rsidR="00240BCE" w:rsidRDefault="00AC0334">
      <w:pPr>
        <w:spacing w:line="520" w:lineRule="exact"/>
        <w:ind w:firstLineChars="200" w:firstLine="480"/>
        <w:rPr>
          <w:sz w:val="24"/>
        </w:rPr>
      </w:pPr>
      <w:bookmarkStart w:id="381" w:name="_Toc533690799"/>
      <w:r>
        <w:rPr>
          <w:sz w:val="24"/>
        </w:rPr>
        <w:t>监测方法按《土壤环境质量</w:t>
      </w:r>
      <w:r>
        <w:rPr>
          <w:sz w:val="24"/>
        </w:rPr>
        <w:t xml:space="preserve"> </w:t>
      </w:r>
      <w:r>
        <w:rPr>
          <w:sz w:val="24"/>
        </w:rPr>
        <w:t>建设用地土壤污染风险管控标准（试行）》</w:t>
      </w:r>
      <w:r>
        <w:rPr>
          <w:sz w:val="24"/>
        </w:rPr>
        <w:lastRenderedPageBreak/>
        <w:t>（</w:t>
      </w:r>
      <w:r>
        <w:rPr>
          <w:sz w:val="24"/>
        </w:rPr>
        <w:t>GB36600-2018</w:t>
      </w:r>
      <w:r>
        <w:rPr>
          <w:sz w:val="24"/>
        </w:rPr>
        <w:t>）中相关规定进行。</w:t>
      </w:r>
      <w:bookmarkEnd w:id="381"/>
    </w:p>
    <w:p w:rsidR="00240BCE" w:rsidRDefault="00AC0334">
      <w:pPr>
        <w:spacing w:line="520" w:lineRule="exact"/>
        <w:jc w:val="center"/>
        <w:rPr>
          <w:sz w:val="24"/>
        </w:rPr>
      </w:pPr>
      <w:bookmarkStart w:id="382" w:name="_Toc533690800"/>
      <w:r>
        <w:rPr>
          <w:sz w:val="24"/>
        </w:rPr>
        <w:t>表</w:t>
      </w:r>
      <w:r>
        <w:rPr>
          <w:sz w:val="24"/>
        </w:rPr>
        <w:t xml:space="preserve">4.3-18  </w:t>
      </w:r>
      <w:r>
        <w:rPr>
          <w:sz w:val="24"/>
        </w:rPr>
        <w:t>土壤检测分析方法一览表</w:t>
      </w:r>
      <w:bookmarkEnd w:id="382"/>
    </w:p>
    <w:tbl>
      <w:tblPr>
        <w:tblW w:w="924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563"/>
        <w:gridCol w:w="4713"/>
        <w:gridCol w:w="1951"/>
        <w:gridCol w:w="1015"/>
      </w:tblGrid>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检测项目</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方法标准</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仪器设备</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检出限</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土壤质量</w:t>
            </w:r>
            <w:r>
              <w:rPr>
                <w:sz w:val="21"/>
                <w:szCs w:val="21"/>
              </w:rPr>
              <w:t xml:space="preserve"> </w:t>
            </w:r>
            <w:r>
              <w:rPr>
                <w:sz w:val="21"/>
                <w:szCs w:val="21"/>
              </w:rPr>
              <w:t>总汞、总砷、总铅的测定</w:t>
            </w:r>
            <w:r>
              <w:rPr>
                <w:sz w:val="21"/>
                <w:szCs w:val="21"/>
              </w:rPr>
              <w:t xml:space="preserve"> </w:t>
            </w:r>
            <w:r>
              <w:rPr>
                <w:sz w:val="21"/>
                <w:szCs w:val="21"/>
              </w:rPr>
              <w:t>原子荧光法</w:t>
            </w:r>
            <w:r>
              <w:rPr>
                <w:sz w:val="21"/>
                <w:szCs w:val="21"/>
              </w:rPr>
              <w:t xml:space="preserve"> </w:t>
            </w:r>
            <w:r>
              <w:rPr>
                <w:sz w:val="21"/>
                <w:szCs w:val="21"/>
              </w:rPr>
              <w:t>第</w:t>
            </w:r>
            <w:r>
              <w:rPr>
                <w:sz w:val="21"/>
                <w:szCs w:val="21"/>
              </w:rPr>
              <w:t>2</w:t>
            </w:r>
            <w:r>
              <w:rPr>
                <w:sz w:val="21"/>
                <w:szCs w:val="21"/>
              </w:rPr>
              <w:t>部分：土壤中总砷的测定</w:t>
            </w:r>
            <w:r>
              <w:rPr>
                <w:sz w:val="21"/>
                <w:szCs w:val="21"/>
              </w:rPr>
              <w:t>GB/T 22105.2-2008</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原子荧光分光光度计</w:t>
            </w:r>
            <w:r>
              <w:rPr>
                <w:sz w:val="21"/>
                <w:szCs w:val="21"/>
              </w:rPr>
              <w:t>AFS-2202E/Z1-003</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0.01mg/kg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汞</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土壤质量</w:t>
            </w:r>
            <w:r>
              <w:rPr>
                <w:sz w:val="21"/>
                <w:szCs w:val="21"/>
              </w:rPr>
              <w:t xml:space="preserve"> </w:t>
            </w:r>
            <w:r>
              <w:rPr>
                <w:sz w:val="21"/>
                <w:szCs w:val="21"/>
              </w:rPr>
              <w:t>总汞、总砷、总铅的测定</w:t>
            </w:r>
            <w:r>
              <w:rPr>
                <w:sz w:val="21"/>
                <w:szCs w:val="21"/>
              </w:rPr>
              <w:t xml:space="preserve"> </w:t>
            </w:r>
            <w:r>
              <w:rPr>
                <w:sz w:val="21"/>
                <w:szCs w:val="21"/>
              </w:rPr>
              <w:t>原子荧光法</w:t>
            </w:r>
            <w:r>
              <w:rPr>
                <w:sz w:val="21"/>
                <w:szCs w:val="21"/>
              </w:rPr>
              <w:t xml:space="preserve"> </w:t>
            </w:r>
            <w:r>
              <w:rPr>
                <w:sz w:val="21"/>
                <w:szCs w:val="21"/>
              </w:rPr>
              <w:t>第</w:t>
            </w:r>
            <w:r>
              <w:rPr>
                <w:sz w:val="21"/>
                <w:szCs w:val="21"/>
              </w:rPr>
              <w:t>2</w:t>
            </w:r>
            <w:r>
              <w:rPr>
                <w:sz w:val="21"/>
                <w:szCs w:val="21"/>
              </w:rPr>
              <w:t>部分：土壤中总砷的测定</w:t>
            </w:r>
            <w:r>
              <w:rPr>
                <w:sz w:val="21"/>
                <w:szCs w:val="21"/>
              </w:rPr>
              <w:t>GB/T 22105.2-2008</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原子荧光分光光度计</w:t>
            </w:r>
            <w:r>
              <w:rPr>
                <w:sz w:val="21"/>
                <w:szCs w:val="21"/>
              </w:rPr>
              <w:t>AFS-2202E/Z1-003</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0.002mg/kg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六价铬</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六价铬的测定</w:t>
            </w:r>
            <w:r>
              <w:rPr>
                <w:sz w:val="21"/>
                <w:szCs w:val="21"/>
              </w:rPr>
              <w:t xml:space="preserve"> </w:t>
            </w:r>
            <w:r>
              <w:rPr>
                <w:sz w:val="21"/>
                <w:szCs w:val="21"/>
              </w:rPr>
              <w:t>碱溶液提取</w:t>
            </w:r>
            <w:r>
              <w:rPr>
                <w:sz w:val="21"/>
                <w:szCs w:val="21"/>
              </w:rPr>
              <w:t>-</w:t>
            </w:r>
            <w:r>
              <w:rPr>
                <w:sz w:val="21"/>
                <w:szCs w:val="21"/>
              </w:rPr>
              <w:t>火焰原子吸收分光光度法</w:t>
            </w:r>
            <w:r>
              <w:rPr>
                <w:sz w:val="21"/>
                <w:szCs w:val="21"/>
              </w:rPr>
              <w:t xml:space="preserve"> HJ 1082-2019</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原子吸收分光光度计</w:t>
            </w:r>
            <w:r>
              <w:rPr>
                <w:sz w:val="21"/>
                <w:szCs w:val="21"/>
              </w:rPr>
              <w:t xml:space="preserve"> TAS-990AFG/Z1-002</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0.5mg/kg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镉</w:t>
            </w:r>
          </w:p>
        </w:tc>
        <w:tc>
          <w:tcPr>
            <w:tcW w:w="4713" w:type="dxa"/>
            <w:vMerge w:val="restart"/>
            <w:tcBorders>
              <w:top w:val="single" w:sz="4" w:space="0" w:color="auto"/>
              <w:left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12</w:t>
            </w:r>
            <w:r>
              <w:rPr>
                <w:sz w:val="21"/>
                <w:szCs w:val="21"/>
              </w:rPr>
              <w:t>种金属元素的测定</w:t>
            </w:r>
            <w:r>
              <w:rPr>
                <w:sz w:val="21"/>
                <w:szCs w:val="21"/>
              </w:rPr>
              <w:t xml:space="preserve"> </w:t>
            </w:r>
            <w:r>
              <w:rPr>
                <w:sz w:val="21"/>
                <w:szCs w:val="21"/>
              </w:rPr>
              <w:t>火王水提取</w:t>
            </w:r>
            <w:r>
              <w:rPr>
                <w:sz w:val="21"/>
                <w:szCs w:val="21"/>
              </w:rPr>
              <w:t>-</w:t>
            </w:r>
            <w:r>
              <w:rPr>
                <w:sz w:val="21"/>
                <w:szCs w:val="21"/>
              </w:rPr>
              <w:t>电感耦合等离子体质谱法</w:t>
            </w:r>
            <w:r>
              <w:rPr>
                <w:sz w:val="21"/>
                <w:szCs w:val="21"/>
              </w:rPr>
              <w:t>HJ 803-2016</w:t>
            </w:r>
          </w:p>
        </w:tc>
        <w:tc>
          <w:tcPr>
            <w:tcW w:w="1951" w:type="dxa"/>
            <w:vMerge w:val="restart"/>
            <w:tcBorders>
              <w:top w:val="single" w:sz="4" w:space="0" w:color="auto"/>
              <w:left w:val="single" w:sz="4" w:space="0" w:color="auto"/>
              <w:right w:val="single" w:sz="4" w:space="0" w:color="auto"/>
            </w:tcBorders>
            <w:vAlign w:val="center"/>
          </w:tcPr>
          <w:p w:rsidR="00240BCE" w:rsidRDefault="00AC0334">
            <w:pPr>
              <w:rPr>
                <w:sz w:val="21"/>
                <w:szCs w:val="21"/>
              </w:rPr>
            </w:pPr>
            <w:r>
              <w:rPr>
                <w:sz w:val="21"/>
                <w:szCs w:val="21"/>
              </w:rPr>
              <w:t>电感耦合等离子体质谱仪</w:t>
            </w:r>
            <w:r>
              <w:rPr>
                <w:sz w:val="21"/>
                <w:szCs w:val="21"/>
              </w:rPr>
              <w:t>/ICAP-RQ/Z1-001</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0.07mg/kg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铜</w:t>
            </w:r>
          </w:p>
        </w:tc>
        <w:tc>
          <w:tcPr>
            <w:tcW w:w="4713" w:type="dxa"/>
            <w:vMerge/>
            <w:tcBorders>
              <w:left w:val="single" w:sz="4" w:space="0" w:color="auto"/>
              <w:right w:val="single" w:sz="4" w:space="0" w:color="auto"/>
            </w:tcBorders>
            <w:vAlign w:val="center"/>
          </w:tcPr>
          <w:p w:rsidR="00240BCE" w:rsidRDefault="00240BCE">
            <w:pPr>
              <w:rPr>
                <w:sz w:val="21"/>
                <w:szCs w:val="21"/>
              </w:rPr>
            </w:pPr>
          </w:p>
        </w:tc>
        <w:tc>
          <w:tcPr>
            <w:tcW w:w="1951" w:type="dxa"/>
            <w:vMerge/>
            <w:tcBorders>
              <w:left w:val="single" w:sz="4" w:space="0" w:color="auto"/>
              <w:right w:val="single" w:sz="4" w:space="0" w:color="auto"/>
            </w:tcBorders>
            <w:vAlign w:val="center"/>
          </w:tcPr>
          <w:p w:rsidR="00240BCE" w:rsidRDefault="00240BCE">
            <w:pPr>
              <w:rPr>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0.5mg/kg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铅</w:t>
            </w:r>
          </w:p>
        </w:tc>
        <w:tc>
          <w:tcPr>
            <w:tcW w:w="4713" w:type="dxa"/>
            <w:vMerge/>
            <w:tcBorders>
              <w:left w:val="single" w:sz="4" w:space="0" w:color="auto"/>
              <w:right w:val="single" w:sz="4" w:space="0" w:color="auto"/>
            </w:tcBorders>
            <w:vAlign w:val="center"/>
          </w:tcPr>
          <w:p w:rsidR="00240BCE" w:rsidRDefault="00240BCE">
            <w:pPr>
              <w:rPr>
                <w:sz w:val="21"/>
                <w:szCs w:val="21"/>
              </w:rPr>
            </w:pPr>
          </w:p>
        </w:tc>
        <w:tc>
          <w:tcPr>
            <w:tcW w:w="1951" w:type="dxa"/>
            <w:vMerge/>
            <w:tcBorders>
              <w:left w:val="single" w:sz="4" w:space="0" w:color="auto"/>
              <w:right w:val="single" w:sz="4" w:space="0" w:color="auto"/>
            </w:tcBorders>
            <w:vAlign w:val="center"/>
          </w:tcPr>
          <w:p w:rsidR="00240BCE" w:rsidRDefault="00240BCE">
            <w:pPr>
              <w:rPr>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2mg/kg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镍</w:t>
            </w:r>
          </w:p>
        </w:tc>
        <w:tc>
          <w:tcPr>
            <w:tcW w:w="4713" w:type="dxa"/>
            <w:vMerge/>
            <w:tcBorders>
              <w:left w:val="single" w:sz="4" w:space="0" w:color="auto"/>
              <w:right w:val="single" w:sz="4" w:space="0" w:color="auto"/>
            </w:tcBorders>
            <w:vAlign w:val="center"/>
          </w:tcPr>
          <w:p w:rsidR="00240BCE" w:rsidRDefault="00240BCE">
            <w:pPr>
              <w:rPr>
                <w:sz w:val="21"/>
                <w:szCs w:val="21"/>
              </w:rPr>
            </w:pPr>
          </w:p>
        </w:tc>
        <w:tc>
          <w:tcPr>
            <w:tcW w:w="1951" w:type="dxa"/>
            <w:vMerge/>
            <w:tcBorders>
              <w:left w:val="single" w:sz="4" w:space="0" w:color="auto"/>
              <w:right w:val="single" w:sz="4" w:space="0" w:color="auto"/>
            </w:tcBorders>
            <w:vAlign w:val="center"/>
          </w:tcPr>
          <w:p w:rsidR="00240BCE" w:rsidRDefault="00240BCE">
            <w:pPr>
              <w:rPr>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2mg/kg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铬</w:t>
            </w:r>
          </w:p>
        </w:tc>
        <w:tc>
          <w:tcPr>
            <w:tcW w:w="4713" w:type="dxa"/>
            <w:vMerge/>
            <w:tcBorders>
              <w:left w:val="single" w:sz="4" w:space="0" w:color="auto"/>
              <w:right w:val="single" w:sz="4" w:space="0" w:color="auto"/>
            </w:tcBorders>
            <w:vAlign w:val="center"/>
          </w:tcPr>
          <w:p w:rsidR="00240BCE" w:rsidRDefault="00240BCE">
            <w:pPr>
              <w:rPr>
                <w:sz w:val="21"/>
                <w:szCs w:val="21"/>
              </w:rPr>
            </w:pPr>
          </w:p>
        </w:tc>
        <w:tc>
          <w:tcPr>
            <w:tcW w:w="1951" w:type="dxa"/>
            <w:vMerge/>
            <w:tcBorders>
              <w:left w:val="single" w:sz="4" w:space="0" w:color="auto"/>
              <w:right w:val="single" w:sz="4" w:space="0" w:color="auto"/>
            </w:tcBorders>
            <w:vAlign w:val="center"/>
          </w:tcPr>
          <w:p w:rsidR="00240BCE" w:rsidRDefault="00240BCE">
            <w:pPr>
              <w:rPr>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2mg/kg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锌</w:t>
            </w:r>
          </w:p>
        </w:tc>
        <w:tc>
          <w:tcPr>
            <w:tcW w:w="4713" w:type="dxa"/>
            <w:vMerge/>
            <w:tcBorders>
              <w:left w:val="single" w:sz="4" w:space="0" w:color="auto"/>
              <w:bottom w:val="single" w:sz="4" w:space="0" w:color="auto"/>
              <w:right w:val="single" w:sz="4" w:space="0" w:color="auto"/>
            </w:tcBorders>
            <w:vAlign w:val="center"/>
          </w:tcPr>
          <w:p w:rsidR="00240BCE" w:rsidRDefault="00240BCE">
            <w:pPr>
              <w:rPr>
                <w:sz w:val="21"/>
                <w:szCs w:val="21"/>
              </w:rPr>
            </w:pPr>
          </w:p>
        </w:tc>
        <w:tc>
          <w:tcPr>
            <w:tcW w:w="1951" w:type="dxa"/>
            <w:vMerge/>
            <w:tcBorders>
              <w:left w:val="single" w:sz="4" w:space="0" w:color="auto"/>
              <w:bottom w:val="single" w:sz="4" w:space="0" w:color="auto"/>
              <w:right w:val="single" w:sz="4" w:space="0" w:color="auto"/>
            </w:tcBorders>
            <w:vAlign w:val="center"/>
          </w:tcPr>
          <w:p w:rsidR="00240BCE" w:rsidRDefault="00240BCE">
            <w:pPr>
              <w:rPr>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7mg/kg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四氯化碳</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2.1µg/kg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氯仿</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1.5µg/kg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氯甲烷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吹扫补集气相色谱</w:t>
            </w:r>
            <w:r>
              <w:rPr>
                <w:sz w:val="21"/>
                <w:szCs w:val="21"/>
              </w:rPr>
              <w:t>-</w:t>
            </w:r>
            <w:r>
              <w:rPr>
                <w:sz w:val="21"/>
                <w:szCs w:val="21"/>
              </w:rPr>
              <w:t>质谱法</w:t>
            </w:r>
            <w:r>
              <w:rPr>
                <w:sz w:val="21"/>
                <w:szCs w:val="21"/>
              </w:rPr>
              <w:t xml:space="preserve"> HJ 605-2011</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1.0µg/kg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1-</w:t>
            </w:r>
            <w:r>
              <w:rPr>
                <w:sz w:val="21"/>
                <w:szCs w:val="21"/>
              </w:rPr>
              <w:t>二氯乙烷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1.6µg/kg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2-</w:t>
            </w:r>
            <w:r>
              <w:rPr>
                <w:sz w:val="21"/>
                <w:szCs w:val="21"/>
              </w:rPr>
              <w:t>二氯乙烷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1.3µg/kg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1-</w:t>
            </w:r>
            <w:r>
              <w:rPr>
                <w:sz w:val="21"/>
                <w:szCs w:val="21"/>
              </w:rPr>
              <w:t>二氯乙烯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0.8µg/kg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顺</w:t>
            </w:r>
            <w:r>
              <w:rPr>
                <w:sz w:val="21"/>
                <w:szCs w:val="21"/>
              </w:rPr>
              <w:t>-1</w:t>
            </w:r>
            <w:r>
              <w:rPr>
                <w:rFonts w:hint="eastAsia"/>
                <w:sz w:val="21"/>
                <w:szCs w:val="21"/>
              </w:rPr>
              <w:t>，</w:t>
            </w:r>
            <w:r>
              <w:rPr>
                <w:sz w:val="21"/>
                <w:szCs w:val="21"/>
              </w:rPr>
              <w:t>2-</w:t>
            </w:r>
            <w:r>
              <w:rPr>
                <w:sz w:val="21"/>
                <w:szCs w:val="21"/>
              </w:rPr>
              <w:t>二氯乙烯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0.9µg/kg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反</w:t>
            </w:r>
            <w:r>
              <w:rPr>
                <w:sz w:val="21"/>
                <w:szCs w:val="21"/>
              </w:rPr>
              <w:t>-1</w:t>
            </w:r>
            <w:r>
              <w:rPr>
                <w:rFonts w:hint="eastAsia"/>
                <w:sz w:val="21"/>
                <w:szCs w:val="21"/>
              </w:rPr>
              <w:t>，</w:t>
            </w:r>
            <w:r>
              <w:rPr>
                <w:sz w:val="21"/>
                <w:szCs w:val="21"/>
              </w:rPr>
              <w:t>2-</w:t>
            </w:r>
            <w:r>
              <w:rPr>
                <w:sz w:val="21"/>
                <w:szCs w:val="21"/>
              </w:rPr>
              <w:t>二氯乙烯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0.9µg/kg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二氯甲烷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2.6µg/kg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2-</w:t>
            </w:r>
            <w:r>
              <w:rPr>
                <w:sz w:val="21"/>
                <w:szCs w:val="21"/>
              </w:rPr>
              <w:t>二氯丙烷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1.9µg/kg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1</w:t>
            </w:r>
            <w:r>
              <w:rPr>
                <w:rFonts w:hint="eastAsia"/>
                <w:sz w:val="21"/>
                <w:szCs w:val="21"/>
              </w:rPr>
              <w:t>，</w:t>
            </w:r>
            <w:r>
              <w:rPr>
                <w:sz w:val="21"/>
                <w:szCs w:val="21"/>
              </w:rPr>
              <w:t>1</w:t>
            </w:r>
            <w:r>
              <w:rPr>
                <w:rFonts w:hint="eastAsia"/>
                <w:sz w:val="21"/>
                <w:szCs w:val="21"/>
              </w:rPr>
              <w:t>，</w:t>
            </w:r>
            <w:r>
              <w:rPr>
                <w:sz w:val="21"/>
                <w:szCs w:val="21"/>
              </w:rPr>
              <w:t>2-</w:t>
            </w:r>
            <w:r>
              <w:rPr>
                <w:sz w:val="21"/>
                <w:szCs w:val="21"/>
              </w:rPr>
              <w:t>四氯乙烷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1.0µg/kg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1</w:t>
            </w:r>
            <w:r>
              <w:rPr>
                <w:rFonts w:hint="eastAsia"/>
                <w:sz w:val="21"/>
                <w:szCs w:val="21"/>
              </w:rPr>
              <w:t>，</w:t>
            </w:r>
            <w:r>
              <w:rPr>
                <w:sz w:val="21"/>
                <w:szCs w:val="21"/>
              </w:rPr>
              <w:t>2</w:t>
            </w:r>
            <w:r>
              <w:rPr>
                <w:rFonts w:hint="eastAsia"/>
                <w:sz w:val="21"/>
                <w:szCs w:val="21"/>
              </w:rPr>
              <w:t>，</w:t>
            </w:r>
            <w:r>
              <w:rPr>
                <w:sz w:val="21"/>
                <w:szCs w:val="21"/>
              </w:rPr>
              <w:t>2-</w:t>
            </w:r>
            <w:r>
              <w:rPr>
                <w:sz w:val="21"/>
                <w:szCs w:val="21"/>
              </w:rPr>
              <w:t>四氯乙烷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1.0µg/kg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四氯乙烯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0.8µg/kg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1</w:t>
            </w:r>
            <w:r>
              <w:rPr>
                <w:rFonts w:hint="eastAsia"/>
                <w:sz w:val="21"/>
                <w:szCs w:val="21"/>
              </w:rPr>
              <w:t>，</w:t>
            </w:r>
            <w:r>
              <w:rPr>
                <w:sz w:val="21"/>
                <w:szCs w:val="21"/>
              </w:rPr>
              <w:t>1-</w:t>
            </w:r>
            <w:r>
              <w:rPr>
                <w:sz w:val="21"/>
                <w:szCs w:val="21"/>
              </w:rPr>
              <w:t>三氯乙烷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1.1µg/kg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lastRenderedPageBreak/>
              <w:t>1</w:t>
            </w:r>
            <w:r>
              <w:rPr>
                <w:rFonts w:hint="eastAsia"/>
                <w:sz w:val="21"/>
                <w:szCs w:val="21"/>
              </w:rPr>
              <w:t>，</w:t>
            </w:r>
            <w:r>
              <w:rPr>
                <w:sz w:val="21"/>
                <w:szCs w:val="21"/>
              </w:rPr>
              <w:t>1</w:t>
            </w:r>
            <w:r>
              <w:rPr>
                <w:rFonts w:hint="eastAsia"/>
                <w:sz w:val="21"/>
                <w:szCs w:val="21"/>
              </w:rPr>
              <w:t>，</w:t>
            </w:r>
            <w:r>
              <w:rPr>
                <w:sz w:val="21"/>
                <w:szCs w:val="21"/>
              </w:rPr>
              <w:t>2-</w:t>
            </w:r>
            <w:r>
              <w:rPr>
                <w:sz w:val="21"/>
                <w:szCs w:val="21"/>
              </w:rPr>
              <w:t>三氯乙烷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1.4µg/kg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三氯乙烯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0.9µg/kg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2</w:t>
            </w:r>
            <w:r>
              <w:rPr>
                <w:rFonts w:hint="eastAsia"/>
                <w:sz w:val="21"/>
                <w:szCs w:val="21"/>
              </w:rPr>
              <w:t>，</w:t>
            </w:r>
            <w:r>
              <w:rPr>
                <w:sz w:val="21"/>
                <w:szCs w:val="21"/>
              </w:rPr>
              <w:t>3-</w:t>
            </w:r>
            <w:r>
              <w:rPr>
                <w:sz w:val="21"/>
                <w:szCs w:val="21"/>
              </w:rPr>
              <w:t>三氯丙烷</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1.0µg/kg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氯乙烯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1.5µg/kg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1.6µg/kg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氯苯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1.1µg/kg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2-</w:t>
            </w:r>
            <w:r>
              <w:rPr>
                <w:sz w:val="21"/>
                <w:szCs w:val="21"/>
              </w:rPr>
              <w:t>二氯苯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1.0µg/kg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1</w:t>
            </w:r>
            <w:r>
              <w:rPr>
                <w:rFonts w:hint="eastAsia"/>
                <w:sz w:val="21"/>
                <w:szCs w:val="21"/>
              </w:rPr>
              <w:t>，</w:t>
            </w:r>
            <w:r>
              <w:rPr>
                <w:sz w:val="21"/>
                <w:szCs w:val="21"/>
              </w:rPr>
              <w:t>4-</w:t>
            </w:r>
            <w:r>
              <w:rPr>
                <w:sz w:val="21"/>
                <w:szCs w:val="21"/>
              </w:rPr>
              <w:t>二氯苯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1.2µg/kg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乙苯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1.2µg/kg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苯乙烯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1.6µg/kg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甲苯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2.0µg/kg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间二甲苯</w:t>
            </w:r>
            <w:r>
              <w:rPr>
                <w:sz w:val="21"/>
                <w:szCs w:val="21"/>
              </w:rPr>
              <w:t>+</w:t>
            </w:r>
            <w:r>
              <w:rPr>
                <w:sz w:val="21"/>
                <w:szCs w:val="21"/>
              </w:rPr>
              <w:t>对二甲苯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3.6µg/kg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邻二甲苯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挥发性有机物的测定</w:t>
            </w:r>
            <w:r>
              <w:rPr>
                <w:sz w:val="21"/>
                <w:szCs w:val="21"/>
              </w:rPr>
              <w:t xml:space="preserve"> </w:t>
            </w:r>
            <w:r>
              <w:rPr>
                <w:sz w:val="21"/>
                <w:szCs w:val="21"/>
              </w:rPr>
              <w:t>顶空</w:t>
            </w:r>
            <w:r>
              <w:rPr>
                <w:sz w:val="21"/>
                <w:szCs w:val="21"/>
              </w:rPr>
              <w:t>/</w:t>
            </w:r>
            <w:r>
              <w:rPr>
                <w:sz w:val="21"/>
                <w:szCs w:val="21"/>
              </w:rPr>
              <w:t>气相色谱</w:t>
            </w:r>
            <w:r>
              <w:rPr>
                <w:sz w:val="21"/>
                <w:szCs w:val="21"/>
              </w:rPr>
              <w:t>-</w:t>
            </w:r>
            <w:r>
              <w:rPr>
                <w:sz w:val="21"/>
                <w:szCs w:val="21"/>
              </w:rPr>
              <w:t>质谱法</w:t>
            </w:r>
            <w:r>
              <w:rPr>
                <w:sz w:val="21"/>
                <w:szCs w:val="21"/>
              </w:rPr>
              <w:t xml:space="preserve"> HJ 642-2013</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1.3µg/kg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硝基苯</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0.09mg/kg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苯胺</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2-</w:t>
            </w:r>
            <w:r>
              <w:rPr>
                <w:sz w:val="21"/>
                <w:szCs w:val="21"/>
              </w:rPr>
              <w:t>氯酚</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0.06mg/kg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苯并</w:t>
            </w:r>
            <w:r>
              <w:rPr>
                <w:sz w:val="21"/>
                <w:szCs w:val="21"/>
              </w:rPr>
              <w:t>[a]</w:t>
            </w:r>
            <w:r>
              <w:rPr>
                <w:sz w:val="21"/>
                <w:szCs w:val="21"/>
              </w:rPr>
              <w:t>蒽</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0.1mg/kg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苯并</w:t>
            </w:r>
            <w:r>
              <w:rPr>
                <w:sz w:val="21"/>
                <w:szCs w:val="21"/>
              </w:rPr>
              <w:t>[a]</w:t>
            </w:r>
            <w:r>
              <w:rPr>
                <w:sz w:val="21"/>
                <w:szCs w:val="21"/>
              </w:rPr>
              <w:t>芘</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0.1mg/kg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苯并</w:t>
            </w:r>
            <w:r>
              <w:rPr>
                <w:sz w:val="21"/>
                <w:szCs w:val="21"/>
              </w:rPr>
              <w:t>[b]</w:t>
            </w:r>
            <w:r>
              <w:rPr>
                <w:sz w:val="21"/>
                <w:szCs w:val="21"/>
              </w:rPr>
              <w:t>荧蒽</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0.2mg/kg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苯并</w:t>
            </w:r>
            <w:r>
              <w:rPr>
                <w:sz w:val="21"/>
                <w:szCs w:val="21"/>
              </w:rPr>
              <w:t>[k]</w:t>
            </w:r>
            <w:r>
              <w:rPr>
                <w:sz w:val="21"/>
                <w:szCs w:val="21"/>
              </w:rPr>
              <w:t>荧蒽</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0.1mg/kg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䓛</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0.1mg/kg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二苯并</w:t>
            </w:r>
            <w:r>
              <w:rPr>
                <w:sz w:val="21"/>
                <w:szCs w:val="21"/>
              </w:rPr>
              <w:t>[a</w:t>
            </w:r>
            <w:r>
              <w:rPr>
                <w:sz w:val="21"/>
                <w:szCs w:val="21"/>
              </w:rPr>
              <w:t>，</w:t>
            </w:r>
            <w:r>
              <w:rPr>
                <w:sz w:val="21"/>
                <w:szCs w:val="21"/>
              </w:rPr>
              <w:t>h]</w:t>
            </w:r>
            <w:r>
              <w:rPr>
                <w:sz w:val="21"/>
                <w:szCs w:val="21"/>
              </w:rPr>
              <w:t>蒽</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0.1mg/kg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茚并</w:t>
            </w:r>
            <w:r>
              <w:rPr>
                <w:sz w:val="21"/>
                <w:szCs w:val="21"/>
              </w:rPr>
              <w:t>[1</w:t>
            </w:r>
            <w:r>
              <w:rPr>
                <w:rFonts w:hint="eastAsia"/>
                <w:sz w:val="21"/>
                <w:szCs w:val="21"/>
              </w:rPr>
              <w:t>，</w:t>
            </w:r>
            <w:r>
              <w:rPr>
                <w:sz w:val="21"/>
                <w:szCs w:val="21"/>
              </w:rPr>
              <w:t>2</w:t>
            </w:r>
            <w:r>
              <w:rPr>
                <w:rFonts w:hint="eastAsia"/>
                <w:sz w:val="21"/>
                <w:szCs w:val="21"/>
              </w:rPr>
              <w:t>，</w:t>
            </w:r>
            <w:r>
              <w:rPr>
                <w:sz w:val="21"/>
                <w:szCs w:val="21"/>
              </w:rPr>
              <w:t>3-cd]</w:t>
            </w:r>
            <w:r>
              <w:rPr>
                <w:sz w:val="21"/>
                <w:szCs w:val="21"/>
              </w:rPr>
              <w:t>芘</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0.1mg/kg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lastRenderedPageBreak/>
              <w:t>萘</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土壤和沉积物</w:t>
            </w:r>
            <w:r>
              <w:rPr>
                <w:sz w:val="21"/>
                <w:szCs w:val="21"/>
              </w:rPr>
              <w:t xml:space="preserve"> </w:t>
            </w:r>
            <w:r>
              <w:rPr>
                <w:sz w:val="21"/>
                <w:szCs w:val="21"/>
              </w:rPr>
              <w:t>半挥发性有机物的测定</w:t>
            </w:r>
            <w:r>
              <w:rPr>
                <w:sz w:val="21"/>
                <w:szCs w:val="21"/>
              </w:rPr>
              <w:t xml:space="preserve"> </w:t>
            </w:r>
            <w:r>
              <w:rPr>
                <w:sz w:val="21"/>
                <w:szCs w:val="21"/>
              </w:rPr>
              <w:t>气相色谱</w:t>
            </w:r>
            <w:r>
              <w:rPr>
                <w:sz w:val="21"/>
                <w:szCs w:val="21"/>
              </w:rPr>
              <w:t>-</w:t>
            </w:r>
            <w:r>
              <w:rPr>
                <w:sz w:val="21"/>
                <w:szCs w:val="21"/>
              </w:rPr>
              <w:t>质谱法</w:t>
            </w:r>
            <w:r>
              <w:rPr>
                <w:sz w:val="21"/>
                <w:szCs w:val="21"/>
              </w:rPr>
              <w:t>HJ 834-2017</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气相色谱质谱联用仪</w:t>
            </w:r>
          </w:p>
          <w:p w:rsidR="00240BCE" w:rsidRDefault="00AC0334">
            <w:pPr>
              <w:rPr>
                <w:sz w:val="21"/>
                <w:szCs w:val="21"/>
              </w:rPr>
            </w:pPr>
            <w:r>
              <w:rPr>
                <w:sz w:val="21"/>
                <w:szCs w:val="21"/>
              </w:rPr>
              <w:t>7890B/M7-300EI</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0.09mg/kg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氟化物</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B95226">
            <w:pPr>
              <w:rPr>
                <w:sz w:val="21"/>
                <w:szCs w:val="21"/>
              </w:rPr>
            </w:pPr>
            <w:hyperlink r:id="rId27" w:history="1">
              <w:r w:rsidR="00AC0334">
                <w:rPr>
                  <w:sz w:val="21"/>
                  <w:szCs w:val="21"/>
                </w:rPr>
                <w:t>土壤</w:t>
              </w:r>
              <w:r w:rsidR="00AC0334">
                <w:rPr>
                  <w:sz w:val="21"/>
                  <w:szCs w:val="21"/>
                </w:rPr>
                <w:t xml:space="preserve"> </w:t>
              </w:r>
              <w:r w:rsidR="00AC0334">
                <w:rPr>
                  <w:sz w:val="21"/>
                  <w:szCs w:val="21"/>
                </w:rPr>
                <w:t>水溶性氟化物和总氟化物的测定</w:t>
              </w:r>
              <w:r w:rsidR="00AC0334">
                <w:rPr>
                  <w:sz w:val="21"/>
                  <w:szCs w:val="21"/>
                </w:rPr>
                <w:t xml:space="preserve"> </w:t>
              </w:r>
              <w:r w:rsidR="00AC0334">
                <w:rPr>
                  <w:sz w:val="21"/>
                  <w:szCs w:val="21"/>
                </w:rPr>
                <w:t>离子选择电极法（</w:t>
              </w:r>
              <w:r w:rsidR="00AC0334">
                <w:rPr>
                  <w:sz w:val="21"/>
                  <w:szCs w:val="21"/>
                </w:rPr>
                <w:t>HJ 873-2017</w:t>
              </w:r>
              <w:r w:rsidR="00AC0334">
                <w:rPr>
                  <w:sz w:val="21"/>
                  <w:szCs w:val="21"/>
                </w:rPr>
                <w:t>）</w:t>
              </w:r>
            </w:hyperlink>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酸度计</w:t>
            </w:r>
            <w:r>
              <w:rPr>
                <w:sz w:val="21"/>
                <w:szCs w:val="21"/>
              </w:rPr>
              <w:t>PHS-3C</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0.7mg/kg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pH</w:t>
            </w:r>
            <w:r>
              <w:rPr>
                <w:sz w:val="21"/>
                <w:szCs w:val="21"/>
              </w:rPr>
              <w:t>值</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w:t>
            </w:r>
            <w:r>
              <w:rPr>
                <w:sz w:val="21"/>
                <w:szCs w:val="21"/>
              </w:rPr>
              <w:t xml:space="preserve"> pH</w:t>
            </w:r>
            <w:r>
              <w:rPr>
                <w:sz w:val="21"/>
                <w:szCs w:val="21"/>
              </w:rPr>
              <w:t>值的测定</w:t>
            </w:r>
            <w:r>
              <w:rPr>
                <w:sz w:val="21"/>
                <w:szCs w:val="21"/>
              </w:rPr>
              <w:t xml:space="preserve"> </w:t>
            </w:r>
            <w:r>
              <w:rPr>
                <w:sz w:val="21"/>
                <w:szCs w:val="21"/>
              </w:rPr>
              <w:t>电位法</w:t>
            </w:r>
            <w:r>
              <w:rPr>
                <w:sz w:val="21"/>
                <w:szCs w:val="21"/>
              </w:rPr>
              <w:t xml:space="preserve"> HJ 962-2018</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酸度计</w:t>
            </w:r>
            <w:r>
              <w:rPr>
                <w:sz w:val="21"/>
                <w:szCs w:val="21"/>
              </w:rPr>
              <w:t>PHS-3C</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阳离子交换量</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w:t>
            </w:r>
            <w:r>
              <w:rPr>
                <w:sz w:val="21"/>
                <w:szCs w:val="21"/>
              </w:rPr>
              <w:t xml:space="preserve"> </w:t>
            </w:r>
            <w:r>
              <w:rPr>
                <w:sz w:val="21"/>
                <w:szCs w:val="21"/>
              </w:rPr>
              <w:t>阳离子交换量的测定</w:t>
            </w:r>
            <w:r>
              <w:rPr>
                <w:sz w:val="21"/>
                <w:szCs w:val="21"/>
              </w:rPr>
              <w:t xml:space="preserve"> </w:t>
            </w:r>
            <w:r>
              <w:rPr>
                <w:sz w:val="21"/>
                <w:szCs w:val="21"/>
              </w:rPr>
              <w:t>三氯化六氨合钴浸提</w:t>
            </w:r>
            <w:r>
              <w:rPr>
                <w:sz w:val="21"/>
                <w:szCs w:val="21"/>
              </w:rPr>
              <w:t>-</w:t>
            </w:r>
            <w:r>
              <w:rPr>
                <w:sz w:val="21"/>
                <w:szCs w:val="21"/>
              </w:rPr>
              <w:t>分光光度法（</w:t>
            </w:r>
            <w:r>
              <w:rPr>
                <w:sz w:val="21"/>
                <w:szCs w:val="21"/>
              </w:rPr>
              <w:t>HJ 889-2017</w:t>
            </w:r>
            <w:r>
              <w:rPr>
                <w:sz w:val="21"/>
                <w:szCs w:val="21"/>
              </w:rPr>
              <w:t>）</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紫外可见分光光度计</w:t>
            </w:r>
            <w:r>
              <w:rPr>
                <w:sz w:val="21"/>
                <w:szCs w:val="21"/>
              </w:rPr>
              <w:t xml:space="preserve"> T6</w:t>
            </w:r>
            <w:r>
              <w:rPr>
                <w:sz w:val="21"/>
                <w:szCs w:val="21"/>
              </w:rPr>
              <w:t>新世纪</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0.8cmol/kg</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氧化还原电位</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w:t>
            </w:r>
            <w:r>
              <w:rPr>
                <w:sz w:val="21"/>
                <w:szCs w:val="21"/>
              </w:rPr>
              <w:t xml:space="preserve"> </w:t>
            </w:r>
            <w:r>
              <w:rPr>
                <w:sz w:val="21"/>
                <w:szCs w:val="21"/>
              </w:rPr>
              <w:t>氧化还原电位的测定</w:t>
            </w:r>
            <w:r>
              <w:rPr>
                <w:sz w:val="21"/>
                <w:szCs w:val="21"/>
              </w:rPr>
              <w:t xml:space="preserve"> </w:t>
            </w:r>
            <w:r>
              <w:rPr>
                <w:sz w:val="21"/>
                <w:szCs w:val="21"/>
              </w:rPr>
              <w:t>电位法</w:t>
            </w:r>
            <w:r>
              <w:rPr>
                <w:sz w:val="21"/>
                <w:szCs w:val="21"/>
              </w:rPr>
              <w:t>HJ 746-2015</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酸度计</w:t>
            </w:r>
            <w:r>
              <w:rPr>
                <w:sz w:val="21"/>
                <w:szCs w:val="21"/>
              </w:rPr>
              <w:t xml:space="preserve"> PHS-3C</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1mV</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土壤容重</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土壤检测</w:t>
            </w:r>
            <w:r>
              <w:rPr>
                <w:sz w:val="21"/>
                <w:szCs w:val="21"/>
              </w:rPr>
              <w:t xml:space="preserve"> </w:t>
            </w:r>
            <w:r>
              <w:rPr>
                <w:sz w:val="21"/>
                <w:szCs w:val="21"/>
              </w:rPr>
              <w:t>第</w:t>
            </w:r>
            <w:r>
              <w:rPr>
                <w:sz w:val="21"/>
                <w:szCs w:val="21"/>
              </w:rPr>
              <w:t>4</w:t>
            </w:r>
            <w:r>
              <w:rPr>
                <w:sz w:val="21"/>
                <w:szCs w:val="21"/>
              </w:rPr>
              <w:t>部分：土壤容重的测定</w:t>
            </w:r>
            <w:r>
              <w:rPr>
                <w:sz w:val="21"/>
                <w:szCs w:val="21"/>
              </w:rPr>
              <w:t xml:space="preserve"> NY/T 1121.4-2006</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电子天平</w:t>
            </w:r>
            <w:r>
              <w:rPr>
                <w:sz w:val="21"/>
                <w:szCs w:val="21"/>
              </w:rPr>
              <w:t>FA2004B</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饱和导水率</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森林土壤渗滤率的测定</w:t>
            </w:r>
            <w:r>
              <w:rPr>
                <w:sz w:val="21"/>
                <w:szCs w:val="21"/>
              </w:rPr>
              <w:t xml:space="preserve"> LY/T 1218-1999</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500mL</w:t>
            </w:r>
            <w:r>
              <w:rPr>
                <w:sz w:val="21"/>
                <w:szCs w:val="21"/>
              </w:rPr>
              <w:t>量筒</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w:t>
            </w:r>
          </w:p>
        </w:tc>
      </w:tr>
      <w:tr w:rsidR="00240BCE">
        <w:trPr>
          <w:cantSplit/>
        </w:trPr>
        <w:tc>
          <w:tcPr>
            <w:tcW w:w="1563"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21"/>
                <w:szCs w:val="21"/>
              </w:rPr>
            </w:pPr>
            <w:r>
              <w:rPr>
                <w:sz w:val="21"/>
                <w:szCs w:val="21"/>
              </w:rPr>
              <w:t>全盐量</w:t>
            </w:r>
          </w:p>
        </w:tc>
        <w:tc>
          <w:tcPr>
            <w:tcW w:w="4713"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土壤检测</w:t>
            </w:r>
            <w:r>
              <w:rPr>
                <w:sz w:val="21"/>
                <w:szCs w:val="21"/>
              </w:rPr>
              <w:t xml:space="preserve"> </w:t>
            </w:r>
            <w:r>
              <w:rPr>
                <w:sz w:val="21"/>
                <w:szCs w:val="21"/>
              </w:rPr>
              <w:t>第</w:t>
            </w:r>
            <w:r>
              <w:rPr>
                <w:sz w:val="21"/>
                <w:szCs w:val="21"/>
              </w:rPr>
              <w:t>16</w:t>
            </w:r>
            <w:r>
              <w:rPr>
                <w:sz w:val="21"/>
                <w:szCs w:val="21"/>
              </w:rPr>
              <w:t>部分：土壤水溶性盐总量的测定</w:t>
            </w:r>
            <w:r>
              <w:rPr>
                <w:sz w:val="21"/>
                <w:szCs w:val="21"/>
              </w:rPr>
              <w:t>NY/T 1121.16-2006</w:t>
            </w:r>
          </w:p>
        </w:tc>
        <w:tc>
          <w:tcPr>
            <w:tcW w:w="1951"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电子分析天平</w:t>
            </w:r>
          </w:p>
          <w:p w:rsidR="00240BCE" w:rsidRDefault="00AC0334">
            <w:pPr>
              <w:rPr>
                <w:sz w:val="21"/>
                <w:szCs w:val="21"/>
              </w:rPr>
            </w:pPr>
            <w:r>
              <w:rPr>
                <w:sz w:val="21"/>
                <w:szCs w:val="21"/>
              </w:rPr>
              <w:t>ES-E120BⅡ</w:t>
            </w:r>
          </w:p>
        </w:tc>
        <w:tc>
          <w:tcPr>
            <w:tcW w:w="1015" w:type="dxa"/>
            <w:tcBorders>
              <w:top w:val="single" w:sz="4" w:space="0" w:color="auto"/>
              <w:left w:val="single" w:sz="4" w:space="0" w:color="auto"/>
              <w:bottom w:val="single" w:sz="4" w:space="0" w:color="auto"/>
              <w:right w:val="single" w:sz="4" w:space="0" w:color="auto"/>
            </w:tcBorders>
            <w:vAlign w:val="center"/>
          </w:tcPr>
          <w:p w:rsidR="00240BCE" w:rsidRDefault="00AC0334">
            <w:pPr>
              <w:rPr>
                <w:sz w:val="21"/>
                <w:szCs w:val="21"/>
              </w:rPr>
            </w:pPr>
            <w:r>
              <w:rPr>
                <w:sz w:val="21"/>
                <w:szCs w:val="21"/>
              </w:rPr>
              <w:t>/</w:t>
            </w:r>
          </w:p>
        </w:tc>
      </w:tr>
    </w:tbl>
    <w:p w:rsidR="00240BCE" w:rsidRDefault="00AC0334">
      <w:pPr>
        <w:spacing w:line="520" w:lineRule="exact"/>
        <w:rPr>
          <w:b/>
          <w:sz w:val="24"/>
        </w:rPr>
      </w:pPr>
      <w:bookmarkStart w:id="383" w:name="_Toc11339309"/>
      <w:r>
        <w:rPr>
          <w:b/>
          <w:sz w:val="24"/>
        </w:rPr>
        <w:t>4.3.5.2</w:t>
      </w:r>
      <w:r>
        <w:rPr>
          <w:b/>
          <w:sz w:val="24"/>
        </w:rPr>
        <w:t>土壤监测结果评价</w:t>
      </w:r>
      <w:bookmarkEnd w:id="383"/>
    </w:p>
    <w:p w:rsidR="00240BCE" w:rsidRDefault="00AC0334">
      <w:pPr>
        <w:spacing w:line="520" w:lineRule="exact"/>
        <w:ind w:firstLineChars="200" w:firstLine="480"/>
        <w:rPr>
          <w:sz w:val="24"/>
        </w:rPr>
      </w:pPr>
      <w:bookmarkStart w:id="384" w:name="_Toc533690839"/>
      <w:r>
        <w:rPr>
          <w:sz w:val="24"/>
        </w:rPr>
        <w:t>本次调查主要按照工矿用地的功能分区筛选场地内的特征污染物，对照《土壤环境质量</w:t>
      </w:r>
      <w:r>
        <w:rPr>
          <w:sz w:val="24"/>
        </w:rPr>
        <w:t xml:space="preserve"> </w:t>
      </w:r>
      <w:r>
        <w:rPr>
          <w:sz w:val="24"/>
        </w:rPr>
        <w:t>建设用地土壤污染风险管控标准（试行）》（</w:t>
      </w:r>
      <w:r>
        <w:rPr>
          <w:sz w:val="24"/>
        </w:rPr>
        <w:t>GB36600-2018</w:t>
      </w:r>
      <w:r>
        <w:rPr>
          <w:sz w:val="24"/>
        </w:rPr>
        <w:t>）、土壤环境质量</w:t>
      </w:r>
      <w:r>
        <w:rPr>
          <w:sz w:val="24"/>
        </w:rPr>
        <w:t xml:space="preserve"> </w:t>
      </w:r>
      <w:r>
        <w:rPr>
          <w:sz w:val="24"/>
        </w:rPr>
        <w:t>农用地土壤污染风险管控标准（试行）》（</w:t>
      </w:r>
      <w:r>
        <w:rPr>
          <w:sz w:val="24"/>
        </w:rPr>
        <w:t>CB15618-2018</w:t>
      </w:r>
      <w:r>
        <w:rPr>
          <w:sz w:val="24"/>
        </w:rPr>
        <w:t>）进行达标性分析，对于无标准的因子不予评价，仅为了解土壤环境中该污染物的背景值。</w:t>
      </w:r>
      <w:bookmarkEnd w:id="384"/>
      <w:r>
        <w:rPr>
          <w:sz w:val="24"/>
        </w:rPr>
        <w:t>土壤环境质量监测结果见表</w:t>
      </w:r>
      <w:r>
        <w:rPr>
          <w:sz w:val="24"/>
        </w:rPr>
        <w:t>4.3-19</w:t>
      </w:r>
      <w:r>
        <w:rPr>
          <w:sz w:val="24"/>
        </w:rPr>
        <w:t>及表</w:t>
      </w:r>
      <w:r>
        <w:rPr>
          <w:sz w:val="24"/>
        </w:rPr>
        <w:t>4.3-20</w:t>
      </w:r>
      <w:r>
        <w:rPr>
          <w:sz w:val="24"/>
        </w:rPr>
        <w:t>。</w:t>
      </w:r>
    </w:p>
    <w:p w:rsidR="00240BCE" w:rsidRDefault="00240BCE">
      <w:pPr>
        <w:spacing w:line="520" w:lineRule="exact"/>
        <w:jc w:val="center"/>
        <w:rPr>
          <w:sz w:val="24"/>
        </w:rPr>
        <w:sectPr w:rsidR="00240BCE">
          <w:headerReference w:type="default" r:id="rId28"/>
          <w:footerReference w:type="default" r:id="rId29"/>
          <w:pgSz w:w="12240" w:h="15840"/>
          <w:pgMar w:top="1440" w:right="1588" w:bottom="1440" w:left="1701" w:header="720" w:footer="720" w:gutter="0"/>
          <w:cols w:space="720"/>
        </w:sectPr>
      </w:pPr>
    </w:p>
    <w:p w:rsidR="00240BCE" w:rsidRDefault="00AC0334">
      <w:pPr>
        <w:spacing w:line="520" w:lineRule="exact"/>
        <w:jc w:val="center"/>
        <w:rPr>
          <w:sz w:val="24"/>
        </w:rPr>
      </w:pPr>
      <w:r>
        <w:rPr>
          <w:sz w:val="24"/>
        </w:rPr>
        <w:lastRenderedPageBreak/>
        <w:t>表</w:t>
      </w:r>
      <w:r>
        <w:rPr>
          <w:sz w:val="24"/>
        </w:rPr>
        <w:t xml:space="preserve">4.3-19  </w:t>
      </w:r>
      <w:r>
        <w:rPr>
          <w:sz w:val="24"/>
        </w:rPr>
        <w:t>占地范围内建设用地土壤环境现状监测结果一览表</w:t>
      </w:r>
    </w:p>
    <w:tbl>
      <w:tblPr>
        <w:tblW w:w="5000" w:type="pct"/>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289"/>
        <w:gridCol w:w="2486"/>
        <w:gridCol w:w="810"/>
        <w:gridCol w:w="809"/>
        <w:gridCol w:w="812"/>
        <w:gridCol w:w="809"/>
        <w:gridCol w:w="809"/>
        <w:gridCol w:w="809"/>
        <w:gridCol w:w="809"/>
        <w:gridCol w:w="809"/>
        <w:gridCol w:w="809"/>
        <w:gridCol w:w="1198"/>
        <w:gridCol w:w="1139"/>
        <w:gridCol w:w="573"/>
      </w:tblGrid>
      <w:tr w:rsidR="00240BCE">
        <w:trPr>
          <w:cantSplit/>
        </w:trPr>
        <w:tc>
          <w:tcPr>
            <w:tcW w:w="1069" w:type="pct"/>
            <w:gridSpan w:val="2"/>
            <w:vMerge w:val="restart"/>
            <w:tcBorders>
              <w:top w:val="single" w:sz="4" w:space="0" w:color="auto"/>
              <w:left w:val="single" w:sz="4" w:space="0" w:color="auto"/>
              <w:right w:val="single" w:sz="4" w:space="0" w:color="auto"/>
            </w:tcBorders>
            <w:vAlign w:val="center"/>
          </w:tcPr>
          <w:p w:rsidR="00240BCE" w:rsidRDefault="00AC0334">
            <w:pPr>
              <w:spacing w:line="296" w:lineRule="exact"/>
              <w:jc w:val="center"/>
              <w:rPr>
                <w:sz w:val="21"/>
                <w:szCs w:val="21"/>
              </w:rPr>
            </w:pPr>
            <w:r>
              <w:rPr>
                <w:sz w:val="21"/>
                <w:szCs w:val="21"/>
              </w:rPr>
              <w:t>检测项目</w:t>
            </w:r>
          </w:p>
        </w:tc>
        <w:tc>
          <w:tcPr>
            <w:tcW w:w="937" w:type="pct"/>
            <w:gridSpan w:val="3"/>
            <w:tcBorders>
              <w:top w:val="single" w:sz="4" w:space="0" w:color="auto"/>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1#</w:t>
            </w:r>
            <w:r>
              <w:rPr>
                <w:sz w:val="21"/>
                <w:szCs w:val="21"/>
              </w:rPr>
              <w:t>（</w:t>
            </w:r>
            <w:r>
              <w:rPr>
                <w:color w:val="000000"/>
                <w:kern w:val="0"/>
                <w:sz w:val="21"/>
                <w:szCs w:val="21"/>
              </w:rPr>
              <w:t>储煤场东</w:t>
            </w:r>
            <w:r>
              <w:rPr>
                <w:color w:val="000000"/>
                <w:kern w:val="0"/>
                <w:sz w:val="21"/>
                <w:szCs w:val="21"/>
              </w:rPr>
              <w:t>5m</w:t>
            </w:r>
            <w:r>
              <w:rPr>
                <w:sz w:val="21"/>
                <w:szCs w:val="21"/>
              </w:rPr>
              <w:t>）</w:t>
            </w:r>
          </w:p>
        </w:tc>
        <w:tc>
          <w:tcPr>
            <w:tcW w:w="936" w:type="pct"/>
            <w:gridSpan w:val="3"/>
            <w:tcBorders>
              <w:top w:val="single" w:sz="4" w:space="0" w:color="auto"/>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2#</w:t>
            </w:r>
            <w:r>
              <w:rPr>
                <w:sz w:val="21"/>
                <w:szCs w:val="21"/>
              </w:rPr>
              <w:t>（储煤场东北</w:t>
            </w:r>
            <w:r>
              <w:rPr>
                <w:sz w:val="21"/>
                <w:szCs w:val="21"/>
              </w:rPr>
              <w:t>20m</w:t>
            </w:r>
            <w:r>
              <w:rPr>
                <w:sz w:val="21"/>
                <w:szCs w:val="21"/>
              </w:rPr>
              <w:t>）</w:t>
            </w:r>
          </w:p>
        </w:tc>
        <w:tc>
          <w:tcPr>
            <w:tcW w:w="936" w:type="pct"/>
            <w:gridSpan w:val="3"/>
            <w:tcBorders>
              <w:top w:val="single" w:sz="4" w:space="0" w:color="auto"/>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3#</w:t>
            </w:r>
            <w:r>
              <w:rPr>
                <w:sz w:val="21"/>
                <w:szCs w:val="21"/>
              </w:rPr>
              <w:t>（储煤场东</w:t>
            </w:r>
            <w:r>
              <w:rPr>
                <w:sz w:val="21"/>
                <w:szCs w:val="21"/>
              </w:rPr>
              <w:t>50m</w:t>
            </w:r>
            <w:r>
              <w:rPr>
                <w:sz w:val="21"/>
                <w:szCs w:val="21"/>
              </w:rPr>
              <w:t>）</w:t>
            </w:r>
          </w:p>
        </w:tc>
        <w:tc>
          <w:tcPr>
            <w:tcW w:w="462" w:type="pct"/>
            <w:vMerge w:val="restart"/>
            <w:tcBorders>
              <w:top w:val="single" w:sz="4" w:space="0" w:color="auto"/>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4#</w:t>
            </w:r>
            <w:r>
              <w:rPr>
                <w:sz w:val="21"/>
                <w:szCs w:val="21"/>
              </w:rPr>
              <w:t>（储煤场西</w:t>
            </w:r>
            <w:r>
              <w:rPr>
                <w:sz w:val="21"/>
                <w:szCs w:val="21"/>
              </w:rPr>
              <w:t>35m</w:t>
            </w:r>
            <w:r>
              <w:rPr>
                <w:sz w:val="21"/>
                <w:szCs w:val="21"/>
              </w:rPr>
              <w:t>，表层）</w:t>
            </w:r>
          </w:p>
        </w:tc>
        <w:tc>
          <w:tcPr>
            <w:tcW w:w="439" w:type="pct"/>
            <w:vMerge w:val="restart"/>
            <w:tcBorders>
              <w:top w:val="single" w:sz="4" w:space="0" w:color="auto"/>
              <w:left w:val="single" w:sz="4" w:space="0" w:color="auto"/>
              <w:right w:val="single" w:sz="4" w:space="0" w:color="auto"/>
            </w:tcBorders>
            <w:vAlign w:val="center"/>
          </w:tcPr>
          <w:p w:rsidR="00240BCE" w:rsidRDefault="00AC0334">
            <w:pPr>
              <w:spacing w:line="296" w:lineRule="exact"/>
              <w:jc w:val="center"/>
              <w:rPr>
                <w:sz w:val="21"/>
                <w:szCs w:val="21"/>
              </w:rPr>
            </w:pPr>
            <w:r>
              <w:rPr>
                <w:sz w:val="21"/>
                <w:szCs w:val="21"/>
              </w:rPr>
              <w:t>GB36600</w:t>
            </w:r>
            <w:r>
              <w:rPr>
                <w:sz w:val="21"/>
                <w:szCs w:val="21"/>
              </w:rPr>
              <w:t>二类用地标准</w:t>
            </w:r>
          </w:p>
        </w:tc>
        <w:tc>
          <w:tcPr>
            <w:tcW w:w="222" w:type="pct"/>
            <w:vMerge w:val="restart"/>
            <w:tcBorders>
              <w:top w:val="single" w:sz="4" w:space="0" w:color="auto"/>
              <w:left w:val="single"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达标情况</w:t>
            </w:r>
          </w:p>
        </w:tc>
      </w:tr>
      <w:tr w:rsidR="00240BCE">
        <w:trPr>
          <w:cantSplit/>
        </w:trPr>
        <w:tc>
          <w:tcPr>
            <w:tcW w:w="1069" w:type="pct"/>
            <w:gridSpan w:val="2"/>
            <w:vMerge/>
            <w:tcBorders>
              <w:left w:val="single" w:sz="4" w:space="0" w:color="auto"/>
              <w:bottom w:val="single" w:sz="6" w:space="0" w:color="000000"/>
              <w:right w:val="single" w:sz="4" w:space="0" w:color="auto"/>
            </w:tcBorders>
            <w:vAlign w:val="center"/>
          </w:tcPr>
          <w:p w:rsidR="00240BCE" w:rsidRDefault="00240BCE">
            <w:pPr>
              <w:spacing w:line="296" w:lineRule="exact"/>
              <w:rPr>
                <w:sz w:val="21"/>
                <w:szCs w:val="21"/>
              </w:rPr>
            </w:pPr>
          </w:p>
        </w:tc>
        <w:tc>
          <w:tcPr>
            <w:tcW w:w="312" w:type="pct"/>
            <w:tcBorders>
              <w:top w:val="single" w:sz="4" w:space="0" w:color="auto"/>
              <w:left w:val="single" w:sz="4" w:space="0" w:color="auto"/>
              <w:right w:val="single" w:sz="4" w:space="0" w:color="auto"/>
            </w:tcBorders>
            <w:vAlign w:val="center"/>
          </w:tcPr>
          <w:p w:rsidR="00240BCE" w:rsidRDefault="00AC0334">
            <w:pPr>
              <w:spacing w:line="296" w:lineRule="exact"/>
              <w:jc w:val="center"/>
              <w:rPr>
                <w:w w:val="90"/>
                <w:sz w:val="21"/>
                <w:szCs w:val="21"/>
              </w:rPr>
            </w:pPr>
            <w:r>
              <w:rPr>
                <w:w w:val="90"/>
                <w:sz w:val="21"/>
                <w:szCs w:val="21"/>
              </w:rPr>
              <w:t>0~0.5m</w:t>
            </w:r>
          </w:p>
        </w:tc>
        <w:tc>
          <w:tcPr>
            <w:tcW w:w="312" w:type="pct"/>
            <w:tcBorders>
              <w:top w:val="single" w:sz="4" w:space="0" w:color="auto"/>
              <w:left w:val="single" w:sz="4" w:space="0" w:color="auto"/>
              <w:right w:val="single" w:sz="4" w:space="0" w:color="auto"/>
            </w:tcBorders>
            <w:vAlign w:val="center"/>
          </w:tcPr>
          <w:p w:rsidR="00240BCE" w:rsidRDefault="00AC0334">
            <w:pPr>
              <w:spacing w:line="296" w:lineRule="exact"/>
              <w:jc w:val="center"/>
              <w:rPr>
                <w:w w:val="90"/>
                <w:sz w:val="21"/>
                <w:szCs w:val="21"/>
              </w:rPr>
            </w:pPr>
            <w:r>
              <w:rPr>
                <w:w w:val="90"/>
                <w:sz w:val="21"/>
                <w:szCs w:val="21"/>
              </w:rPr>
              <w:t>0.5~1.5m</w:t>
            </w:r>
          </w:p>
        </w:tc>
        <w:tc>
          <w:tcPr>
            <w:tcW w:w="313" w:type="pct"/>
            <w:tcBorders>
              <w:top w:val="single" w:sz="4" w:space="0" w:color="auto"/>
              <w:left w:val="single" w:sz="4" w:space="0" w:color="auto"/>
              <w:right w:val="single" w:sz="4" w:space="0" w:color="auto"/>
            </w:tcBorders>
            <w:vAlign w:val="center"/>
          </w:tcPr>
          <w:p w:rsidR="00240BCE" w:rsidRDefault="00AC0334">
            <w:pPr>
              <w:spacing w:line="296" w:lineRule="exact"/>
              <w:jc w:val="center"/>
              <w:rPr>
                <w:w w:val="90"/>
                <w:sz w:val="21"/>
                <w:szCs w:val="21"/>
              </w:rPr>
            </w:pPr>
            <w:r>
              <w:rPr>
                <w:w w:val="90"/>
                <w:sz w:val="21"/>
                <w:szCs w:val="21"/>
              </w:rPr>
              <w:t>1.5~3.0m</w:t>
            </w:r>
          </w:p>
        </w:tc>
        <w:tc>
          <w:tcPr>
            <w:tcW w:w="312" w:type="pct"/>
            <w:tcBorders>
              <w:top w:val="single" w:sz="4" w:space="0" w:color="auto"/>
              <w:left w:val="single" w:sz="4" w:space="0" w:color="auto"/>
              <w:right w:val="single" w:sz="4" w:space="0" w:color="auto"/>
            </w:tcBorders>
            <w:vAlign w:val="center"/>
          </w:tcPr>
          <w:p w:rsidR="00240BCE" w:rsidRDefault="00AC0334">
            <w:pPr>
              <w:spacing w:line="296" w:lineRule="exact"/>
              <w:jc w:val="center"/>
              <w:rPr>
                <w:w w:val="90"/>
                <w:sz w:val="21"/>
                <w:szCs w:val="21"/>
              </w:rPr>
            </w:pPr>
            <w:r>
              <w:rPr>
                <w:w w:val="90"/>
                <w:sz w:val="21"/>
                <w:szCs w:val="21"/>
              </w:rPr>
              <w:t>0~0.5m</w:t>
            </w:r>
          </w:p>
        </w:tc>
        <w:tc>
          <w:tcPr>
            <w:tcW w:w="312" w:type="pct"/>
            <w:tcBorders>
              <w:top w:val="single" w:sz="4" w:space="0" w:color="auto"/>
              <w:left w:val="single" w:sz="4" w:space="0" w:color="auto"/>
              <w:right w:val="single" w:sz="4" w:space="0" w:color="auto"/>
            </w:tcBorders>
            <w:vAlign w:val="center"/>
          </w:tcPr>
          <w:p w:rsidR="00240BCE" w:rsidRDefault="00AC0334">
            <w:pPr>
              <w:spacing w:line="296" w:lineRule="exact"/>
              <w:jc w:val="center"/>
              <w:rPr>
                <w:w w:val="90"/>
                <w:sz w:val="21"/>
                <w:szCs w:val="21"/>
              </w:rPr>
            </w:pPr>
            <w:r>
              <w:rPr>
                <w:w w:val="90"/>
                <w:sz w:val="21"/>
                <w:szCs w:val="21"/>
              </w:rPr>
              <w:t>0.5~1.5m</w:t>
            </w:r>
          </w:p>
        </w:tc>
        <w:tc>
          <w:tcPr>
            <w:tcW w:w="312" w:type="pct"/>
            <w:tcBorders>
              <w:top w:val="single" w:sz="4" w:space="0" w:color="auto"/>
              <w:left w:val="single" w:sz="4" w:space="0" w:color="auto"/>
              <w:right w:val="single" w:sz="4" w:space="0" w:color="auto"/>
            </w:tcBorders>
            <w:vAlign w:val="center"/>
          </w:tcPr>
          <w:p w:rsidR="00240BCE" w:rsidRDefault="00AC0334">
            <w:pPr>
              <w:spacing w:line="296" w:lineRule="exact"/>
              <w:jc w:val="center"/>
              <w:rPr>
                <w:w w:val="90"/>
                <w:sz w:val="21"/>
                <w:szCs w:val="21"/>
              </w:rPr>
            </w:pPr>
            <w:r>
              <w:rPr>
                <w:w w:val="90"/>
                <w:sz w:val="21"/>
                <w:szCs w:val="21"/>
              </w:rPr>
              <w:t>1.5~3.0m</w:t>
            </w:r>
          </w:p>
        </w:tc>
        <w:tc>
          <w:tcPr>
            <w:tcW w:w="312" w:type="pct"/>
            <w:tcBorders>
              <w:top w:val="single" w:sz="4" w:space="0" w:color="auto"/>
              <w:left w:val="single" w:sz="4" w:space="0" w:color="auto"/>
              <w:right w:val="single" w:sz="4" w:space="0" w:color="auto"/>
            </w:tcBorders>
            <w:vAlign w:val="center"/>
          </w:tcPr>
          <w:p w:rsidR="00240BCE" w:rsidRDefault="00AC0334">
            <w:pPr>
              <w:spacing w:line="296" w:lineRule="exact"/>
              <w:jc w:val="center"/>
              <w:rPr>
                <w:w w:val="90"/>
                <w:kern w:val="0"/>
                <w:sz w:val="21"/>
                <w:szCs w:val="21"/>
              </w:rPr>
            </w:pPr>
            <w:r>
              <w:rPr>
                <w:w w:val="90"/>
                <w:kern w:val="0"/>
                <w:sz w:val="21"/>
                <w:szCs w:val="21"/>
              </w:rPr>
              <w:t>0~0.5m</w:t>
            </w:r>
          </w:p>
        </w:tc>
        <w:tc>
          <w:tcPr>
            <w:tcW w:w="312" w:type="pct"/>
            <w:tcBorders>
              <w:top w:val="single" w:sz="4" w:space="0" w:color="auto"/>
              <w:left w:val="single" w:sz="4" w:space="0" w:color="auto"/>
              <w:right w:val="single" w:sz="4" w:space="0" w:color="auto"/>
            </w:tcBorders>
            <w:vAlign w:val="center"/>
          </w:tcPr>
          <w:p w:rsidR="00240BCE" w:rsidRDefault="00AC0334">
            <w:pPr>
              <w:spacing w:line="296" w:lineRule="exact"/>
              <w:jc w:val="center"/>
              <w:rPr>
                <w:w w:val="90"/>
                <w:kern w:val="0"/>
                <w:sz w:val="21"/>
                <w:szCs w:val="21"/>
              </w:rPr>
            </w:pPr>
            <w:r>
              <w:rPr>
                <w:w w:val="90"/>
                <w:kern w:val="0"/>
                <w:sz w:val="21"/>
                <w:szCs w:val="21"/>
              </w:rPr>
              <w:t>0.5~1.5m</w:t>
            </w:r>
          </w:p>
        </w:tc>
        <w:tc>
          <w:tcPr>
            <w:tcW w:w="312" w:type="pct"/>
            <w:tcBorders>
              <w:top w:val="single" w:sz="4" w:space="0" w:color="auto"/>
              <w:left w:val="single" w:sz="4" w:space="0" w:color="auto"/>
              <w:right w:val="single" w:sz="4" w:space="0" w:color="auto"/>
            </w:tcBorders>
            <w:vAlign w:val="center"/>
          </w:tcPr>
          <w:p w:rsidR="00240BCE" w:rsidRDefault="00AC0334">
            <w:pPr>
              <w:spacing w:line="296" w:lineRule="exact"/>
              <w:jc w:val="center"/>
              <w:rPr>
                <w:w w:val="90"/>
                <w:kern w:val="0"/>
                <w:sz w:val="21"/>
                <w:szCs w:val="21"/>
              </w:rPr>
            </w:pPr>
            <w:r>
              <w:rPr>
                <w:w w:val="90"/>
                <w:kern w:val="0"/>
                <w:sz w:val="21"/>
                <w:szCs w:val="21"/>
              </w:rPr>
              <w:t>1.5~3.0m</w:t>
            </w:r>
          </w:p>
        </w:tc>
        <w:tc>
          <w:tcPr>
            <w:tcW w:w="462" w:type="pct"/>
            <w:vMerge/>
            <w:tcBorders>
              <w:left w:val="single" w:sz="4" w:space="0" w:color="auto"/>
              <w:right w:val="single" w:sz="4" w:space="0" w:color="auto"/>
            </w:tcBorders>
            <w:vAlign w:val="center"/>
          </w:tcPr>
          <w:p w:rsidR="00240BCE" w:rsidRDefault="00240BCE">
            <w:pPr>
              <w:adjustRightInd w:val="0"/>
              <w:snapToGrid w:val="0"/>
              <w:spacing w:line="296" w:lineRule="exact"/>
              <w:jc w:val="center"/>
              <w:rPr>
                <w:sz w:val="21"/>
                <w:szCs w:val="21"/>
              </w:rPr>
            </w:pPr>
          </w:p>
        </w:tc>
        <w:tc>
          <w:tcPr>
            <w:tcW w:w="439" w:type="pct"/>
            <w:vMerge/>
            <w:tcBorders>
              <w:left w:val="single" w:sz="4" w:space="0" w:color="auto"/>
              <w:bottom w:val="single" w:sz="6" w:space="0" w:color="000000"/>
              <w:right w:val="single" w:sz="4" w:space="0" w:color="auto"/>
            </w:tcBorders>
            <w:vAlign w:val="center"/>
          </w:tcPr>
          <w:p w:rsidR="00240BCE" w:rsidRDefault="00240BCE">
            <w:pPr>
              <w:spacing w:line="296" w:lineRule="exact"/>
              <w:jc w:val="center"/>
              <w:rPr>
                <w:sz w:val="21"/>
                <w:szCs w:val="21"/>
              </w:rPr>
            </w:pPr>
          </w:p>
        </w:tc>
        <w:tc>
          <w:tcPr>
            <w:tcW w:w="222" w:type="pct"/>
            <w:vMerge/>
            <w:tcBorders>
              <w:left w:val="single" w:sz="4" w:space="0" w:color="auto"/>
              <w:bottom w:val="single" w:sz="6" w:space="0" w:color="000000"/>
              <w:right w:val="single" w:sz="4" w:space="0" w:color="auto"/>
            </w:tcBorders>
            <w:vAlign w:val="center"/>
          </w:tcPr>
          <w:p w:rsidR="00240BCE" w:rsidRDefault="00240BCE">
            <w:pPr>
              <w:spacing w:line="296" w:lineRule="exact"/>
              <w:jc w:val="center"/>
              <w:rPr>
                <w:sz w:val="21"/>
                <w:szCs w:val="21"/>
              </w:rPr>
            </w:pPr>
          </w:p>
        </w:tc>
      </w:tr>
      <w:tr w:rsidR="00240BCE">
        <w:trPr>
          <w:cantSplit/>
        </w:trPr>
        <w:tc>
          <w:tcPr>
            <w:tcW w:w="111" w:type="pct"/>
            <w:vMerge w:val="restart"/>
            <w:tcBorders>
              <w:top w:val="single" w:sz="6" w:space="0" w:color="000000"/>
              <w:left w:val="single" w:sz="4" w:space="0" w:color="auto"/>
              <w:right w:val="single" w:sz="4" w:space="0" w:color="auto"/>
            </w:tcBorders>
            <w:vAlign w:val="center"/>
          </w:tcPr>
          <w:p w:rsidR="00240BCE" w:rsidRDefault="00AC0334">
            <w:pPr>
              <w:spacing w:line="296" w:lineRule="exact"/>
              <w:rPr>
                <w:sz w:val="21"/>
                <w:szCs w:val="21"/>
              </w:rPr>
            </w:pPr>
            <w:r>
              <w:rPr>
                <w:sz w:val="21"/>
                <w:szCs w:val="21"/>
              </w:rPr>
              <w:t>理化性质</w:t>
            </w:r>
          </w:p>
        </w:tc>
        <w:tc>
          <w:tcPr>
            <w:tcW w:w="957" w:type="pct"/>
            <w:tcBorders>
              <w:top w:val="single" w:sz="6" w:space="0" w:color="000000"/>
              <w:left w:val="single" w:sz="4" w:space="0" w:color="auto"/>
              <w:bottom w:val="dashed" w:sz="4" w:space="0" w:color="auto"/>
              <w:right w:val="single" w:sz="4" w:space="0" w:color="auto"/>
            </w:tcBorders>
            <w:vAlign w:val="center"/>
          </w:tcPr>
          <w:p w:rsidR="00240BCE" w:rsidRDefault="00AC0334">
            <w:pPr>
              <w:spacing w:line="296" w:lineRule="exact"/>
              <w:jc w:val="center"/>
              <w:rPr>
                <w:color w:val="000000"/>
                <w:sz w:val="21"/>
                <w:szCs w:val="21"/>
              </w:rPr>
            </w:pPr>
            <w:r>
              <w:rPr>
                <w:sz w:val="21"/>
                <w:szCs w:val="21"/>
              </w:rPr>
              <w:t>pH</w:t>
            </w:r>
            <w:r>
              <w:rPr>
                <w:sz w:val="21"/>
                <w:szCs w:val="21"/>
              </w:rPr>
              <w:t>（无量纲）</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8.46</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8.09</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7.98</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7.93</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8.04</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8.27</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7.53</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7.60</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8.37</w:t>
            </w:r>
          </w:p>
        </w:tc>
        <w:tc>
          <w:tcPr>
            <w:tcW w:w="462" w:type="pct"/>
            <w:tcBorders>
              <w:left w:val="single" w:sz="4" w:space="0" w:color="auto"/>
              <w:right w:val="single" w:sz="4" w:space="0" w:color="auto"/>
            </w:tcBorders>
            <w:vAlign w:val="center"/>
          </w:tcPr>
          <w:p w:rsidR="00240BCE" w:rsidRDefault="00AC0334">
            <w:pPr>
              <w:widowControl/>
              <w:spacing w:line="296" w:lineRule="exact"/>
              <w:jc w:val="center"/>
              <w:textAlignment w:val="center"/>
              <w:rPr>
                <w:kern w:val="0"/>
                <w:sz w:val="21"/>
                <w:szCs w:val="21"/>
              </w:rPr>
            </w:pPr>
            <w:r>
              <w:rPr>
                <w:kern w:val="0"/>
                <w:sz w:val="21"/>
                <w:szCs w:val="21"/>
              </w:rPr>
              <w:t>7.8</w:t>
            </w:r>
          </w:p>
        </w:tc>
        <w:tc>
          <w:tcPr>
            <w:tcW w:w="439" w:type="pct"/>
            <w:tcBorders>
              <w:top w:val="single" w:sz="6" w:space="0" w:color="000000"/>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w:t>
            </w:r>
          </w:p>
        </w:tc>
        <w:tc>
          <w:tcPr>
            <w:tcW w:w="222" w:type="pct"/>
            <w:tcBorders>
              <w:top w:val="single" w:sz="6" w:space="0" w:color="000000"/>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r>
      <w:tr w:rsidR="00240BCE">
        <w:trPr>
          <w:cantSplit/>
        </w:trPr>
        <w:tc>
          <w:tcPr>
            <w:tcW w:w="111" w:type="pct"/>
            <w:vMerge/>
            <w:tcBorders>
              <w:top w:val="single" w:sz="6" w:space="0" w:color="000000"/>
              <w:left w:val="single" w:sz="4" w:space="0" w:color="auto"/>
              <w:right w:val="single" w:sz="4" w:space="0" w:color="auto"/>
            </w:tcBorders>
            <w:vAlign w:val="center"/>
          </w:tcPr>
          <w:p w:rsidR="00240BCE" w:rsidRDefault="00240BCE">
            <w:pPr>
              <w:spacing w:line="296" w:lineRule="exact"/>
              <w:rPr>
                <w:sz w:val="21"/>
                <w:szCs w:val="21"/>
              </w:rPr>
            </w:pPr>
          </w:p>
        </w:tc>
        <w:tc>
          <w:tcPr>
            <w:tcW w:w="957" w:type="pct"/>
            <w:tcBorders>
              <w:top w:val="single" w:sz="6" w:space="0" w:color="000000"/>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阳离子交换量，</w:t>
            </w:r>
            <w:r>
              <w:rPr>
                <w:sz w:val="21"/>
                <w:szCs w:val="21"/>
              </w:rPr>
              <w:t>mol(+)/kg</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3" w:type="pct"/>
            <w:tcBorders>
              <w:left w:val="single" w:sz="4" w:space="0" w:color="auto"/>
              <w:right w:val="single" w:sz="4" w:space="0" w:color="auto"/>
            </w:tcBorders>
            <w:vAlign w:val="center"/>
          </w:tcPr>
          <w:p w:rsidR="00240BCE" w:rsidRDefault="00240BCE">
            <w:pPr>
              <w:widowControl/>
              <w:spacing w:line="296" w:lineRule="exact"/>
              <w:jc w:val="center"/>
              <w:textAlignment w:val="center"/>
              <w:rPr>
                <w:kern w:val="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widowControl/>
              <w:spacing w:line="296" w:lineRule="exact"/>
              <w:jc w:val="center"/>
              <w:textAlignment w:val="center"/>
              <w:rPr>
                <w:kern w:val="0"/>
                <w:sz w:val="21"/>
                <w:szCs w:val="21"/>
              </w:rPr>
            </w:pPr>
          </w:p>
        </w:tc>
        <w:tc>
          <w:tcPr>
            <w:tcW w:w="312" w:type="pct"/>
            <w:tcBorders>
              <w:left w:val="single" w:sz="4" w:space="0" w:color="auto"/>
              <w:right w:val="single" w:sz="4" w:space="0" w:color="auto"/>
            </w:tcBorders>
            <w:vAlign w:val="center"/>
          </w:tcPr>
          <w:p w:rsidR="00240BCE" w:rsidRDefault="00240BCE">
            <w:pPr>
              <w:widowControl/>
              <w:spacing w:line="296" w:lineRule="exact"/>
              <w:jc w:val="center"/>
              <w:textAlignment w:val="center"/>
              <w:rPr>
                <w:kern w:val="0"/>
                <w:sz w:val="21"/>
                <w:szCs w:val="21"/>
              </w:rPr>
            </w:pPr>
          </w:p>
        </w:tc>
        <w:tc>
          <w:tcPr>
            <w:tcW w:w="312" w:type="pct"/>
            <w:tcBorders>
              <w:left w:val="single" w:sz="4" w:space="0" w:color="auto"/>
              <w:right w:val="single" w:sz="4" w:space="0" w:color="auto"/>
            </w:tcBorders>
            <w:vAlign w:val="center"/>
          </w:tcPr>
          <w:p w:rsidR="00240BCE" w:rsidRDefault="00240BCE">
            <w:pPr>
              <w:widowControl/>
              <w:spacing w:line="296" w:lineRule="exact"/>
              <w:jc w:val="center"/>
              <w:textAlignment w:val="center"/>
              <w:rPr>
                <w:kern w:val="0"/>
                <w:sz w:val="21"/>
                <w:szCs w:val="21"/>
              </w:rPr>
            </w:pPr>
          </w:p>
        </w:tc>
        <w:tc>
          <w:tcPr>
            <w:tcW w:w="312" w:type="pct"/>
            <w:tcBorders>
              <w:left w:val="single" w:sz="4" w:space="0" w:color="auto"/>
              <w:right w:val="single" w:sz="4" w:space="0" w:color="auto"/>
            </w:tcBorders>
            <w:vAlign w:val="center"/>
          </w:tcPr>
          <w:p w:rsidR="00240BCE" w:rsidRDefault="00240BCE">
            <w:pPr>
              <w:widowControl/>
              <w:spacing w:line="296" w:lineRule="exact"/>
              <w:jc w:val="center"/>
              <w:textAlignment w:val="center"/>
              <w:rPr>
                <w:kern w:val="0"/>
                <w:sz w:val="21"/>
                <w:szCs w:val="21"/>
              </w:rPr>
            </w:pPr>
          </w:p>
        </w:tc>
        <w:tc>
          <w:tcPr>
            <w:tcW w:w="312" w:type="pct"/>
            <w:tcBorders>
              <w:left w:val="single" w:sz="4" w:space="0" w:color="auto"/>
              <w:right w:val="single" w:sz="4" w:space="0" w:color="auto"/>
            </w:tcBorders>
            <w:vAlign w:val="center"/>
          </w:tcPr>
          <w:p w:rsidR="00240BCE" w:rsidRDefault="00240BCE">
            <w:pPr>
              <w:widowControl/>
              <w:spacing w:line="296" w:lineRule="exact"/>
              <w:jc w:val="center"/>
              <w:textAlignment w:val="center"/>
              <w:rPr>
                <w:kern w:val="0"/>
                <w:sz w:val="21"/>
                <w:szCs w:val="21"/>
              </w:rPr>
            </w:pPr>
          </w:p>
        </w:tc>
        <w:tc>
          <w:tcPr>
            <w:tcW w:w="462" w:type="pct"/>
            <w:tcBorders>
              <w:left w:val="single" w:sz="4" w:space="0" w:color="auto"/>
              <w:right w:val="single" w:sz="4" w:space="0" w:color="auto"/>
            </w:tcBorders>
            <w:vAlign w:val="center"/>
          </w:tcPr>
          <w:p w:rsidR="00240BCE" w:rsidRDefault="00AC0334">
            <w:pPr>
              <w:spacing w:line="296" w:lineRule="exact"/>
              <w:jc w:val="center"/>
              <w:rPr>
                <w:sz w:val="21"/>
                <w:szCs w:val="21"/>
              </w:rPr>
            </w:pPr>
            <w:r>
              <w:rPr>
                <w:sz w:val="21"/>
                <w:szCs w:val="21"/>
              </w:rPr>
              <w:t>11.2</w:t>
            </w:r>
          </w:p>
        </w:tc>
        <w:tc>
          <w:tcPr>
            <w:tcW w:w="439" w:type="pct"/>
            <w:tcBorders>
              <w:top w:val="single" w:sz="6" w:space="0" w:color="000000"/>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w:t>
            </w:r>
          </w:p>
        </w:tc>
        <w:tc>
          <w:tcPr>
            <w:tcW w:w="222" w:type="pct"/>
            <w:tcBorders>
              <w:top w:val="single" w:sz="6" w:space="0" w:color="000000"/>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r>
      <w:tr w:rsidR="00240BCE">
        <w:trPr>
          <w:cantSplit/>
        </w:trPr>
        <w:tc>
          <w:tcPr>
            <w:tcW w:w="111" w:type="pct"/>
            <w:vMerge/>
            <w:tcBorders>
              <w:left w:val="single" w:sz="4" w:space="0" w:color="auto"/>
              <w:right w:val="single" w:sz="4" w:space="0" w:color="auto"/>
            </w:tcBorders>
            <w:vAlign w:val="center"/>
          </w:tcPr>
          <w:p w:rsidR="00240BCE" w:rsidRDefault="00240BCE">
            <w:pPr>
              <w:spacing w:line="296" w:lineRule="exact"/>
              <w:rPr>
                <w:sz w:val="21"/>
                <w:szCs w:val="21"/>
              </w:rPr>
            </w:pPr>
          </w:p>
        </w:tc>
        <w:tc>
          <w:tcPr>
            <w:tcW w:w="957"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氧化还原电位，</w:t>
            </w:r>
            <w:r>
              <w:rPr>
                <w:sz w:val="21"/>
                <w:szCs w:val="21"/>
              </w:rPr>
              <w:t>mV</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3"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AC0334">
            <w:pPr>
              <w:spacing w:line="296" w:lineRule="exact"/>
              <w:jc w:val="center"/>
              <w:rPr>
                <w:sz w:val="21"/>
                <w:szCs w:val="21"/>
              </w:rPr>
            </w:pPr>
            <w:r>
              <w:rPr>
                <w:sz w:val="21"/>
                <w:szCs w:val="21"/>
              </w:rPr>
              <w:t>386</w:t>
            </w: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r>
      <w:tr w:rsidR="00240BCE">
        <w:trPr>
          <w:cantSplit/>
        </w:trPr>
        <w:tc>
          <w:tcPr>
            <w:tcW w:w="111" w:type="pct"/>
            <w:vMerge/>
            <w:tcBorders>
              <w:left w:val="single" w:sz="4" w:space="0" w:color="auto"/>
              <w:right w:val="single" w:sz="4" w:space="0" w:color="auto"/>
            </w:tcBorders>
            <w:vAlign w:val="center"/>
          </w:tcPr>
          <w:p w:rsidR="00240BCE" w:rsidRDefault="00240BCE">
            <w:pPr>
              <w:spacing w:line="296" w:lineRule="exact"/>
              <w:rPr>
                <w:sz w:val="21"/>
                <w:szCs w:val="21"/>
              </w:rPr>
            </w:pPr>
          </w:p>
        </w:tc>
        <w:tc>
          <w:tcPr>
            <w:tcW w:w="957"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饱和导水率（</w:t>
            </w:r>
            <w:r>
              <w:rPr>
                <w:sz w:val="21"/>
                <w:szCs w:val="21"/>
              </w:rPr>
              <w:t>cm/s</w:t>
            </w:r>
            <w:r>
              <w:rPr>
                <w:sz w:val="21"/>
                <w:szCs w:val="21"/>
              </w:rPr>
              <w:t>）</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3"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AC0334">
            <w:pPr>
              <w:spacing w:line="296" w:lineRule="exact"/>
              <w:jc w:val="center"/>
              <w:rPr>
                <w:sz w:val="21"/>
                <w:szCs w:val="21"/>
              </w:rPr>
            </w:pPr>
            <w:r>
              <w:rPr>
                <w:sz w:val="21"/>
                <w:szCs w:val="21"/>
              </w:rPr>
              <w:t>1.25</w:t>
            </w: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r>
      <w:tr w:rsidR="00240BCE">
        <w:trPr>
          <w:cantSplit/>
        </w:trPr>
        <w:tc>
          <w:tcPr>
            <w:tcW w:w="111" w:type="pct"/>
            <w:vMerge/>
            <w:tcBorders>
              <w:left w:val="single" w:sz="4" w:space="0" w:color="auto"/>
              <w:right w:val="single" w:sz="4" w:space="0" w:color="auto"/>
            </w:tcBorders>
            <w:vAlign w:val="center"/>
          </w:tcPr>
          <w:p w:rsidR="00240BCE" w:rsidRDefault="00240BCE">
            <w:pPr>
              <w:spacing w:line="296" w:lineRule="exact"/>
              <w:rPr>
                <w:sz w:val="21"/>
                <w:szCs w:val="21"/>
              </w:rPr>
            </w:pPr>
          </w:p>
        </w:tc>
        <w:tc>
          <w:tcPr>
            <w:tcW w:w="957"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土壤容重，</w:t>
            </w:r>
            <w:r>
              <w:rPr>
                <w:sz w:val="21"/>
                <w:szCs w:val="21"/>
              </w:rPr>
              <w:t>g/cm3</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3"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462" w:type="pct"/>
            <w:tcBorders>
              <w:left w:val="single" w:sz="4" w:space="0" w:color="auto"/>
              <w:right w:val="single" w:sz="4" w:space="0" w:color="auto"/>
            </w:tcBorders>
            <w:vAlign w:val="center"/>
          </w:tcPr>
          <w:p w:rsidR="00240BCE" w:rsidRDefault="00AC0334">
            <w:pPr>
              <w:spacing w:line="296" w:lineRule="exact"/>
              <w:jc w:val="center"/>
              <w:rPr>
                <w:sz w:val="21"/>
                <w:szCs w:val="21"/>
              </w:rPr>
            </w:pPr>
            <w:r>
              <w:rPr>
                <w:sz w:val="21"/>
                <w:szCs w:val="21"/>
              </w:rPr>
              <w:t>1.05</w:t>
            </w: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r>
      <w:tr w:rsidR="00240BCE">
        <w:trPr>
          <w:cantSplit/>
        </w:trPr>
        <w:tc>
          <w:tcPr>
            <w:tcW w:w="111" w:type="pct"/>
            <w:vMerge/>
            <w:tcBorders>
              <w:left w:val="single" w:sz="4" w:space="0" w:color="auto"/>
              <w:right w:val="single" w:sz="4" w:space="0" w:color="auto"/>
            </w:tcBorders>
            <w:vAlign w:val="center"/>
          </w:tcPr>
          <w:p w:rsidR="00240BCE" w:rsidRDefault="00240BCE">
            <w:pPr>
              <w:spacing w:line="296" w:lineRule="exact"/>
              <w:rPr>
                <w:sz w:val="21"/>
                <w:szCs w:val="21"/>
              </w:rPr>
            </w:pPr>
          </w:p>
        </w:tc>
        <w:tc>
          <w:tcPr>
            <w:tcW w:w="957" w:type="pct"/>
            <w:tcBorders>
              <w:top w:val="dashed" w:sz="4" w:space="0" w:color="auto"/>
              <w:left w:val="single" w:sz="4" w:space="0" w:color="auto"/>
              <w:bottom w:val="dashed" w:sz="4" w:space="0" w:color="auto"/>
              <w:right w:val="single" w:sz="4" w:space="0" w:color="auto"/>
            </w:tcBorders>
            <w:vAlign w:val="center"/>
          </w:tcPr>
          <w:p w:rsidR="00240BCE" w:rsidRDefault="00AC0334">
            <w:pPr>
              <w:snapToGrid w:val="0"/>
              <w:spacing w:line="300" w:lineRule="exact"/>
              <w:jc w:val="center"/>
              <w:rPr>
                <w:bCs/>
                <w:kern w:val="0"/>
                <w:sz w:val="21"/>
                <w:szCs w:val="21"/>
              </w:rPr>
            </w:pPr>
            <w:r>
              <w:rPr>
                <w:bCs/>
                <w:kern w:val="0"/>
                <w:sz w:val="21"/>
                <w:szCs w:val="21"/>
              </w:rPr>
              <w:t>*</w:t>
            </w:r>
            <w:r>
              <w:rPr>
                <w:bCs/>
                <w:kern w:val="0"/>
                <w:sz w:val="21"/>
                <w:szCs w:val="21"/>
              </w:rPr>
              <w:t>孔隙度（</w:t>
            </w:r>
            <w:r>
              <w:rPr>
                <w:bCs/>
                <w:kern w:val="0"/>
                <w:sz w:val="21"/>
                <w:szCs w:val="21"/>
              </w:rPr>
              <w:t>%</w:t>
            </w:r>
            <w:r>
              <w:rPr>
                <w:bCs/>
                <w:kern w:val="0"/>
                <w:sz w:val="21"/>
                <w:szCs w:val="21"/>
              </w:rPr>
              <w:t>）</w:t>
            </w:r>
          </w:p>
        </w:tc>
        <w:tc>
          <w:tcPr>
            <w:tcW w:w="312" w:type="pct"/>
            <w:tcBorders>
              <w:left w:val="single" w:sz="4" w:space="0" w:color="auto"/>
              <w:right w:val="single" w:sz="4" w:space="0" w:color="auto"/>
            </w:tcBorders>
            <w:vAlign w:val="center"/>
          </w:tcPr>
          <w:p w:rsidR="00240BCE" w:rsidRDefault="00240BCE">
            <w:pPr>
              <w:widowControl/>
              <w:jc w:val="center"/>
              <w:textAlignment w:val="center"/>
              <w:rPr>
                <w:bCs/>
                <w:kern w:val="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3"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462" w:type="pct"/>
            <w:tcBorders>
              <w:left w:val="single" w:sz="4" w:space="0" w:color="auto"/>
              <w:right w:val="single" w:sz="4" w:space="0" w:color="auto"/>
            </w:tcBorders>
            <w:vAlign w:val="center"/>
          </w:tcPr>
          <w:p w:rsidR="00240BCE" w:rsidRDefault="00AC0334">
            <w:pPr>
              <w:widowControl/>
              <w:jc w:val="center"/>
              <w:textAlignment w:val="center"/>
              <w:rPr>
                <w:bCs/>
                <w:kern w:val="0"/>
                <w:sz w:val="21"/>
                <w:szCs w:val="21"/>
              </w:rPr>
            </w:pPr>
            <w:r>
              <w:rPr>
                <w:color w:val="000000"/>
                <w:kern w:val="0"/>
                <w:sz w:val="21"/>
                <w:szCs w:val="21"/>
              </w:rPr>
              <w:t>47.1</w:t>
            </w: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r>
      <w:tr w:rsidR="00240BCE">
        <w:trPr>
          <w:cantSplit/>
        </w:trPr>
        <w:tc>
          <w:tcPr>
            <w:tcW w:w="1069" w:type="pct"/>
            <w:gridSpan w:val="2"/>
            <w:tcBorders>
              <w:left w:val="single" w:sz="4" w:space="0" w:color="auto"/>
              <w:right w:val="single" w:sz="4" w:space="0" w:color="auto"/>
            </w:tcBorders>
            <w:vAlign w:val="center"/>
          </w:tcPr>
          <w:p w:rsidR="00240BCE" w:rsidRDefault="00AC0334">
            <w:pPr>
              <w:widowControl/>
              <w:spacing w:line="296" w:lineRule="exact"/>
              <w:jc w:val="center"/>
              <w:textAlignment w:val="center"/>
              <w:rPr>
                <w:bCs/>
                <w:sz w:val="21"/>
                <w:szCs w:val="21"/>
              </w:rPr>
            </w:pPr>
            <w:r>
              <w:rPr>
                <w:kern w:val="0"/>
                <w:sz w:val="21"/>
                <w:szCs w:val="21"/>
              </w:rPr>
              <w:t>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13.3</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14.7</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14.2</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17.5</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15.3</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15.5</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14.9</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16.0</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17.4</w:t>
            </w:r>
          </w:p>
        </w:tc>
        <w:tc>
          <w:tcPr>
            <w:tcW w:w="46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11.6</w:t>
            </w: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60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left w:val="single" w:sz="4" w:space="0" w:color="auto"/>
              <w:right w:val="single" w:sz="4" w:space="0" w:color="auto"/>
            </w:tcBorders>
            <w:vAlign w:val="center"/>
          </w:tcPr>
          <w:p w:rsidR="00240BCE" w:rsidRDefault="00AC0334">
            <w:pPr>
              <w:widowControl/>
              <w:spacing w:line="296" w:lineRule="exact"/>
              <w:jc w:val="center"/>
              <w:textAlignment w:val="center"/>
              <w:rPr>
                <w:bCs/>
                <w:sz w:val="21"/>
                <w:szCs w:val="21"/>
              </w:rPr>
            </w:pPr>
            <w:r>
              <w:rPr>
                <w:kern w:val="0"/>
                <w:sz w:val="21"/>
                <w:szCs w:val="21"/>
              </w:rPr>
              <w:t>汞，</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0.028</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0.021</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0.020</w:t>
            </w: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312" w:type="pct"/>
            <w:tcBorders>
              <w:left w:val="single" w:sz="4" w:space="0" w:color="auto"/>
              <w:right w:val="single" w:sz="4" w:space="0" w:color="auto"/>
            </w:tcBorders>
            <w:vAlign w:val="center"/>
          </w:tcPr>
          <w:p w:rsidR="00240BCE" w:rsidRDefault="00240BCE">
            <w:pPr>
              <w:jc w:val="center"/>
              <w:rPr>
                <w:sz w:val="21"/>
                <w:szCs w:val="21"/>
              </w:rPr>
            </w:pPr>
          </w:p>
        </w:tc>
        <w:tc>
          <w:tcPr>
            <w:tcW w:w="462" w:type="pct"/>
            <w:tcBorders>
              <w:left w:val="single" w:sz="4" w:space="0" w:color="auto"/>
              <w:right w:val="single" w:sz="4" w:space="0" w:color="auto"/>
            </w:tcBorders>
            <w:vAlign w:val="center"/>
          </w:tcPr>
          <w:p w:rsidR="00240BCE" w:rsidRDefault="00240BCE">
            <w:pPr>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38</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left w:val="single" w:sz="4" w:space="0" w:color="auto"/>
              <w:right w:val="single" w:sz="4" w:space="0" w:color="auto"/>
            </w:tcBorders>
            <w:vAlign w:val="center"/>
          </w:tcPr>
          <w:p w:rsidR="00240BCE" w:rsidRDefault="00AC0334">
            <w:pPr>
              <w:spacing w:line="296" w:lineRule="exact"/>
              <w:jc w:val="center"/>
              <w:rPr>
                <w:sz w:val="21"/>
                <w:szCs w:val="21"/>
              </w:rPr>
            </w:pPr>
            <w:r>
              <w:rPr>
                <w:sz w:val="21"/>
                <w:szCs w:val="21"/>
              </w:rPr>
              <w:t>铬（六价），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5.7</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left w:val="single" w:sz="4" w:space="0" w:color="auto"/>
              <w:right w:val="single" w:sz="4" w:space="0" w:color="auto"/>
            </w:tcBorders>
            <w:vAlign w:val="center"/>
          </w:tcPr>
          <w:p w:rsidR="00240BCE" w:rsidRDefault="00AC0334">
            <w:pPr>
              <w:widowControl/>
              <w:spacing w:line="296" w:lineRule="exact"/>
              <w:jc w:val="center"/>
              <w:textAlignment w:val="center"/>
              <w:rPr>
                <w:bCs/>
                <w:sz w:val="21"/>
                <w:szCs w:val="21"/>
              </w:rPr>
            </w:pPr>
            <w:r>
              <w:rPr>
                <w:kern w:val="0"/>
                <w:sz w:val="21"/>
                <w:szCs w:val="21"/>
              </w:rPr>
              <w:t>镉，</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0.15</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0.20</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0.25</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0.21</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0.17</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0.18</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0.19</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0.21</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0.22</w:t>
            </w:r>
          </w:p>
        </w:tc>
        <w:tc>
          <w:tcPr>
            <w:tcW w:w="462" w:type="pct"/>
            <w:tcBorders>
              <w:left w:val="single" w:sz="4" w:space="0" w:color="auto"/>
              <w:right w:val="single" w:sz="4" w:space="0" w:color="auto"/>
            </w:tcBorders>
            <w:vAlign w:val="center"/>
          </w:tcPr>
          <w:p w:rsidR="00240BCE" w:rsidRDefault="00AC0334">
            <w:pPr>
              <w:snapToGrid w:val="0"/>
              <w:spacing w:line="296" w:lineRule="exact"/>
              <w:jc w:val="center"/>
              <w:rPr>
                <w:sz w:val="21"/>
                <w:szCs w:val="21"/>
              </w:rPr>
            </w:pPr>
            <w:r>
              <w:rPr>
                <w:sz w:val="21"/>
                <w:szCs w:val="21"/>
              </w:rPr>
              <w:t>0.20</w:t>
            </w: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65</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left w:val="single" w:sz="4" w:space="0" w:color="auto"/>
              <w:right w:val="single" w:sz="4" w:space="0" w:color="auto"/>
            </w:tcBorders>
            <w:vAlign w:val="center"/>
          </w:tcPr>
          <w:p w:rsidR="00240BCE" w:rsidRDefault="00AC0334">
            <w:pPr>
              <w:widowControl/>
              <w:spacing w:line="296" w:lineRule="exact"/>
              <w:jc w:val="center"/>
              <w:textAlignment w:val="center"/>
              <w:rPr>
                <w:bCs/>
                <w:sz w:val="21"/>
                <w:szCs w:val="21"/>
              </w:rPr>
            </w:pPr>
            <w:r>
              <w:rPr>
                <w:kern w:val="0"/>
                <w:sz w:val="21"/>
                <w:szCs w:val="21"/>
              </w:rPr>
              <w:t>铜，</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20.0</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19.9</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19.7</w:t>
            </w: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18000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left w:val="single" w:sz="4" w:space="0" w:color="auto"/>
              <w:right w:val="single" w:sz="4" w:space="0" w:color="auto"/>
            </w:tcBorders>
            <w:vAlign w:val="center"/>
          </w:tcPr>
          <w:p w:rsidR="00240BCE" w:rsidRDefault="00AC0334">
            <w:pPr>
              <w:widowControl/>
              <w:spacing w:line="296" w:lineRule="exact"/>
              <w:jc w:val="center"/>
              <w:textAlignment w:val="center"/>
              <w:rPr>
                <w:bCs/>
                <w:sz w:val="21"/>
                <w:szCs w:val="21"/>
              </w:rPr>
            </w:pPr>
            <w:r>
              <w:rPr>
                <w:kern w:val="0"/>
                <w:sz w:val="21"/>
                <w:szCs w:val="21"/>
              </w:rPr>
              <w:t>铅，</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33</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39</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38</w:t>
            </w: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napToGrid w:val="0"/>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800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left w:val="single" w:sz="4" w:space="0" w:color="auto"/>
              <w:right w:val="single" w:sz="4" w:space="0" w:color="auto"/>
            </w:tcBorders>
            <w:vAlign w:val="center"/>
          </w:tcPr>
          <w:p w:rsidR="00240BCE" w:rsidRDefault="00AC0334">
            <w:pPr>
              <w:widowControl/>
              <w:spacing w:line="296" w:lineRule="exact"/>
              <w:jc w:val="center"/>
              <w:textAlignment w:val="center"/>
              <w:rPr>
                <w:bCs/>
                <w:sz w:val="21"/>
                <w:szCs w:val="21"/>
              </w:rPr>
            </w:pPr>
            <w:r>
              <w:rPr>
                <w:kern w:val="0"/>
                <w:sz w:val="21"/>
                <w:szCs w:val="21"/>
              </w:rPr>
              <w:t>镍，</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26</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26</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26</w:t>
            </w:r>
          </w:p>
        </w:tc>
        <w:tc>
          <w:tcPr>
            <w:tcW w:w="312" w:type="pct"/>
            <w:tcBorders>
              <w:left w:val="single" w:sz="4" w:space="0" w:color="auto"/>
              <w:right w:val="single" w:sz="4" w:space="0" w:color="auto"/>
            </w:tcBorders>
            <w:vAlign w:val="center"/>
          </w:tcPr>
          <w:p w:rsidR="00240BCE" w:rsidRDefault="00240BCE">
            <w:pPr>
              <w:widowControl/>
              <w:spacing w:line="296" w:lineRule="exact"/>
              <w:jc w:val="center"/>
              <w:textAlignment w:val="center"/>
              <w:rPr>
                <w:kern w:val="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color w:val="000000"/>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900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left w:val="single" w:sz="4" w:space="0" w:color="auto"/>
              <w:right w:val="single" w:sz="4" w:space="0" w:color="auto"/>
            </w:tcBorders>
            <w:vAlign w:val="center"/>
          </w:tcPr>
          <w:p w:rsidR="00240BCE" w:rsidRDefault="00AC0334">
            <w:pPr>
              <w:spacing w:line="296" w:lineRule="exact"/>
              <w:jc w:val="center"/>
              <w:rPr>
                <w:sz w:val="21"/>
                <w:szCs w:val="21"/>
              </w:rPr>
            </w:pPr>
            <w:r>
              <w:rPr>
                <w:sz w:val="21"/>
                <w:szCs w:val="21"/>
              </w:rPr>
              <w:t>氟化物</w:t>
            </w:r>
            <w:r>
              <w:rPr>
                <w:color w:val="000000"/>
                <w:sz w:val="21"/>
                <w:szCs w:val="21"/>
              </w:rPr>
              <w:t>，</w:t>
            </w:r>
            <w:r>
              <w:rPr>
                <w:color w:val="000000"/>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11.0</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14.4</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8.6</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9.6</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12.8</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14.5</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10.7</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9.7</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9.0</w:t>
            </w:r>
          </w:p>
        </w:tc>
        <w:tc>
          <w:tcPr>
            <w:tcW w:w="46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6.2</w:t>
            </w: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四氯化碳，</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adjustRightInd w:val="0"/>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9</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氯仿，</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adjustRightInd w:val="0"/>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0.9</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氯甲烷，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adjustRightInd w:val="0"/>
              <w:snapToGrid w:val="0"/>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37</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1-</w:t>
            </w:r>
            <w:r>
              <w:rPr>
                <w:sz w:val="21"/>
                <w:szCs w:val="21"/>
              </w:rPr>
              <w:t>二氯乙烷，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9</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2-</w:t>
            </w:r>
            <w:r>
              <w:rPr>
                <w:sz w:val="21"/>
                <w:szCs w:val="21"/>
              </w:rPr>
              <w:t>二氯乙烷，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5</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1-</w:t>
            </w:r>
            <w:r>
              <w:rPr>
                <w:sz w:val="21"/>
                <w:szCs w:val="21"/>
              </w:rPr>
              <w:t>二氯乙烯，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66</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顺式</w:t>
            </w:r>
            <w:r>
              <w:rPr>
                <w:sz w:val="21"/>
                <w:szCs w:val="21"/>
              </w:rPr>
              <w:t>-1</w:t>
            </w:r>
            <w:r>
              <w:rPr>
                <w:rFonts w:hint="eastAsia"/>
                <w:sz w:val="21"/>
                <w:szCs w:val="21"/>
              </w:rPr>
              <w:t>，</w:t>
            </w:r>
            <w:r>
              <w:rPr>
                <w:sz w:val="21"/>
                <w:szCs w:val="21"/>
              </w:rPr>
              <w:t>2-</w:t>
            </w:r>
            <w:r>
              <w:rPr>
                <w:sz w:val="21"/>
                <w:szCs w:val="21"/>
              </w:rPr>
              <w:t>二氯乙烯，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596</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反式</w:t>
            </w:r>
            <w:r>
              <w:rPr>
                <w:sz w:val="21"/>
                <w:szCs w:val="21"/>
              </w:rPr>
              <w:t>-1</w:t>
            </w:r>
            <w:r>
              <w:rPr>
                <w:rFonts w:hint="eastAsia"/>
                <w:sz w:val="21"/>
                <w:szCs w:val="21"/>
              </w:rPr>
              <w:t>，</w:t>
            </w:r>
            <w:r>
              <w:rPr>
                <w:sz w:val="21"/>
                <w:szCs w:val="21"/>
              </w:rPr>
              <w:t>2-</w:t>
            </w:r>
            <w:r>
              <w:rPr>
                <w:sz w:val="21"/>
                <w:szCs w:val="21"/>
              </w:rPr>
              <w:t>二氯乙烯，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54</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二氯甲烷，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616</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2-</w:t>
            </w:r>
            <w:r>
              <w:rPr>
                <w:sz w:val="21"/>
                <w:szCs w:val="21"/>
              </w:rPr>
              <w:t>二氯丙烷，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5</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1</w:t>
            </w:r>
            <w:r>
              <w:rPr>
                <w:rFonts w:hint="eastAsia"/>
                <w:sz w:val="21"/>
                <w:szCs w:val="21"/>
              </w:rPr>
              <w:t>，</w:t>
            </w:r>
            <w:r>
              <w:rPr>
                <w:sz w:val="21"/>
                <w:szCs w:val="21"/>
              </w:rPr>
              <w:t>1</w:t>
            </w:r>
            <w:r>
              <w:rPr>
                <w:rFonts w:hint="eastAsia"/>
                <w:sz w:val="21"/>
                <w:szCs w:val="21"/>
              </w:rPr>
              <w:t>，</w:t>
            </w:r>
            <w:r>
              <w:rPr>
                <w:sz w:val="21"/>
                <w:szCs w:val="21"/>
              </w:rPr>
              <w:t>2-</w:t>
            </w:r>
            <w:r>
              <w:rPr>
                <w:sz w:val="21"/>
                <w:szCs w:val="21"/>
              </w:rPr>
              <w:t>四氯乙烷，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single" w:sz="6" w:space="0" w:color="000000"/>
              <w:right w:val="single" w:sz="4" w:space="0" w:color="auto"/>
            </w:tcBorders>
            <w:vAlign w:val="center"/>
          </w:tcPr>
          <w:p w:rsidR="00240BCE" w:rsidRDefault="00AC0334">
            <w:pPr>
              <w:spacing w:line="296" w:lineRule="exact"/>
              <w:jc w:val="center"/>
              <w:rPr>
                <w:sz w:val="21"/>
                <w:szCs w:val="21"/>
              </w:rPr>
            </w:pPr>
            <w:r>
              <w:rPr>
                <w:sz w:val="21"/>
                <w:szCs w:val="21"/>
              </w:rPr>
              <w:lastRenderedPageBreak/>
              <w:t>1</w:t>
            </w:r>
            <w:r>
              <w:rPr>
                <w:rFonts w:hint="eastAsia"/>
                <w:sz w:val="21"/>
                <w:szCs w:val="21"/>
              </w:rPr>
              <w:t>，</w:t>
            </w:r>
            <w:r>
              <w:rPr>
                <w:sz w:val="21"/>
                <w:szCs w:val="21"/>
              </w:rPr>
              <w:t>1</w:t>
            </w:r>
            <w:r>
              <w:rPr>
                <w:rFonts w:hint="eastAsia"/>
                <w:sz w:val="21"/>
                <w:szCs w:val="21"/>
              </w:rPr>
              <w:t>，</w:t>
            </w:r>
            <w:r>
              <w:rPr>
                <w:sz w:val="21"/>
                <w:szCs w:val="21"/>
              </w:rPr>
              <w:t>2</w:t>
            </w:r>
            <w:r>
              <w:rPr>
                <w:rFonts w:hint="eastAsia"/>
                <w:sz w:val="21"/>
                <w:szCs w:val="21"/>
              </w:rPr>
              <w:t>，</w:t>
            </w:r>
            <w:r>
              <w:rPr>
                <w:sz w:val="21"/>
                <w:szCs w:val="21"/>
              </w:rPr>
              <w:t>2-</w:t>
            </w:r>
            <w:r>
              <w:rPr>
                <w:sz w:val="21"/>
                <w:szCs w:val="21"/>
              </w:rPr>
              <w:t>四氯乙烷，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single" w:sz="6" w:space="0" w:color="000000"/>
              <w:right w:val="single" w:sz="4" w:space="0" w:color="auto"/>
            </w:tcBorders>
            <w:vAlign w:val="center"/>
          </w:tcPr>
          <w:p w:rsidR="00240BCE" w:rsidRDefault="00AC0334">
            <w:pPr>
              <w:spacing w:line="296" w:lineRule="exact"/>
              <w:jc w:val="center"/>
              <w:rPr>
                <w:sz w:val="21"/>
                <w:szCs w:val="21"/>
              </w:rPr>
            </w:pPr>
            <w:r>
              <w:rPr>
                <w:sz w:val="21"/>
                <w:szCs w:val="21"/>
              </w:rPr>
              <w:t>6.8</w:t>
            </w:r>
          </w:p>
        </w:tc>
        <w:tc>
          <w:tcPr>
            <w:tcW w:w="222" w:type="pct"/>
            <w:tcBorders>
              <w:top w:val="dashed" w:sz="4" w:space="0" w:color="auto"/>
              <w:left w:val="single" w:sz="4" w:space="0" w:color="auto"/>
              <w:bottom w:val="single" w:sz="6" w:space="0" w:color="000000"/>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四氯乙烯，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53</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1</w:t>
            </w:r>
            <w:r>
              <w:rPr>
                <w:rFonts w:hint="eastAsia"/>
                <w:sz w:val="21"/>
                <w:szCs w:val="21"/>
              </w:rPr>
              <w:t>，</w:t>
            </w:r>
            <w:r>
              <w:rPr>
                <w:sz w:val="21"/>
                <w:szCs w:val="21"/>
              </w:rPr>
              <w:t>1-</w:t>
            </w:r>
            <w:r>
              <w:rPr>
                <w:sz w:val="21"/>
                <w:szCs w:val="21"/>
              </w:rPr>
              <w:t>三氯乙烷，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6" w:space="0" w:color="000000"/>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840</w:t>
            </w:r>
          </w:p>
        </w:tc>
        <w:tc>
          <w:tcPr>
            <w:tcW w:w="222" w:type="pct"/>
            <w:tcBorders>
              <w:top w:val="dashed" w:sz="4" w:space="0" w:color="auto"/>
              <w:left w:val="single" w:sz="6" w:space="0" w:color="000000"/>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1</w:t>
            </w:r>
            <w:r>
              <w:rPr>
                <w:rFonts w:hint="eastAsia"/>
                <w:sz w:val="21"/>
                <w:szCs w:val="21"/>
              </w:rPr>
              <w:t>，</w:t>
            </w:r>
            <w:r>
              <w:rPr>
                <w:sz w:val="21"/>
                <w:szCs w:val="21"/>
              </w:rPr>
              <w:t>2-</w:t>
            </w:r>
            <w:r>
              <w:rPr>
                <w:sz w:val="21"/>
                <w:szCs w:val="21"/>
              </w:rPr>
              <w:t>三氯乙烷，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6" w:space="0" w:color="000000"/>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2.8</w:t>
            </w:r>
          </w:p>
        </w:tc>
        <w:tc>
          <w:tcPr>
            <w:tcW w:w="222" w:type="pct"/>
            <w:tcBorders>
              <w:top w:val="dashed" w:sz="4" w:space="0" w:color="auto"/>
              <w:left w:val="single" w:sz="6" w:space="0" w:color="000000"/>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三氯乙烯，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2.8</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2</w:t>
            </w:r>
            <w:r>
              <w:rPr>
                <w:rFonts w:hint="eastAsia"/>
                <w:sz w:val="21"/>
                <w:szCs w:val="21"/>
              </w:rPr>
              <w:t>，</w:t>
            </w:r>
            <w:r>
              <w:rPr>
                <w:sz w:val="21"/>
                <w:szCs w:val="21"/>
              </w:rPr>
              <w:t>3-</w:t>
            </w:r>
            <w:r>
              <w:rPr>
                <w:sz w:val="21"/>
                <w:szCs w:val="21"/>
              </w:rPr>
              <w:t>三氯丙烷，</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widowControl/>
              <w:spacing w:line="296" w:lineRule="exact"/>
              <w:jc w:val="center"/>
              <w:textAlignment w:val="center"/>
              <w:rPr>
                <w:kern w:val="0"/>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0.5</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氯乙烯，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widowControl/>
              <w:spacing w:line="296" w:lineRule="exact"/>
              <w:jc w:val="center"/>
              <w:textAlignment w:val="center"/>
              <w:rPr>
                <w:kern w:val="0"/>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0.43</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4</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氯苯，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270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2-</w:t>
            </w:r>
            <w:r>
              <w:rPr>
                <w:sz w:val="21"/>
                <w:szCs w:val="21"/>
              </w:rPr>
              <w:t>二氯苯，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560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w:t>
            </w:r>
            <w:r>
              <w:rPr>
                <w:rFonts w:hint="eastAsia"/>
                <w:sz w:val="21"/>
                <w:szCs w:val="21"/>
              </w:rPr>
              <w:t>，</w:t>
            </w:r>
            <w:r>
              <w:rPr>
                <w:sz w:val="21"/>
                <w:szCs w:val="21"/>
              </w:rPr>
              <w:t>4-</w:t>
            </w:r>
            <w:r>
              <w:rPr>
                <w:sz w:val="21"/>
                <w:szCs w:val="21"/>
              </w:rPr>
              <w:t>二氯苯，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widowControl/>
              <w:spacing w:line="296" w:lineRule="exact"/>
              <w:jc w:val="center"/>
              <w:textAlignment w:val="center"/>
              <w:rPr>
                <w:kern w:val="0"/>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20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乙苯，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28</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苯乙烯，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1290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甲苯，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1200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间二甲苯</w:t>
            </w:r>
            <w:r>
              <w:rPr>
                <w:sz w:val="21"/>
                <w:szCs w:val="21"/>
              </w:rPr>
              <w:t>+</w:t>
            </w:r>
            <w:r>
              <w:rPr>
                <w:sz w:val="21"/>
                <w:szCs w:val="21"/>
              </w:rPr>
              <w:t>对二甲苯，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570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邻</w:t>
            </w:r>
            <w:r>
              <w:rPr>
                <w:sz w:val="21"/>
                <w:szCs w:val="21"/>
              </w:rPr>
              <w:t>-</w:t>
            </w:r>
            <w:r>
              <w:rPr>
                <w:sz w:val="21"/>
                <w:szCs w:val="21"/>
              </w:rPr>
              <w:t>二甲苯，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640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硝基苯，</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76</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苯胺，</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adjustRightInd w:val="0"/>
              <w:snapToGrid w:val="0"/>
              <w:spacing w:line="296" w:lineRule="exact"/>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260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2-</w:t>
            </w:r>
            <w:r>
              <w:rPr>
                <w:sz w:val="21"/>
                <w:szCs w:val="21"/>
              </w:rPr>
              <w:t>氯酚，</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2256</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苯并（</w:t>
            </w:r>
            <w:r>
              <w:rPr>
                <w:sz w:val="21"/>
                <w:szCs w:val="21"/>
              </w:rPr>
              <w:t>a</w:t>
            </w:r>
            <w:r>
              <w:rPr>
                <w:sz w:val="21"/>
                <w:szCs w:val="21"/>
              </w:rPr>
              <w:t>）蒽，</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15</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苯并（</w:t>
            </w:r>
            <w:r>
              <w:rPr>
                <w:sz w:val="21"/>
                <w:szCs w:val="21"/>
              </w:rPr>
              <w:t>a</w:t>
            </w:r>
            <w:r>
              <w:rPr>
                <w:sz w:val="21"/>
                <w:szCs w:val="21"/>
              </w:rPr>
              <w:t>）芘，</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1.5</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苯并（</w:t>
            </w:r>
            <w:r>
              <w:rPr>
                <w:sz w:val="21"/>
                <w:szCs w:val="21"/>
              </w:rPr>
              <w:t>b</w:t>
            </w:r>
            <w:r>
              <w:rPr>
                <w:sz w:val="21"/>
                <w:szCs w:val="21"/>
              </w:rPr>
              <w:t>）荧蒽，</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15</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苯并（</w:t>
            </w:r>
            <w:r>
              <w:rPr>
                <w:sz w:val="21"/>
                <w:szCs w:val="21"/>
              </w:rPr>
              <w:t>k</w:t>
            </w:r>
            <w:r>
              <w:rPr>
                <w:sz w:val="21"/>
                <w:szCs w:val="21"/>
              </w:rPr>
              <w:t>）荧蒽，</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151</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䓛，</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1293</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二苯并（</w:t>
            </w:r>
            <w:r>
              <w:rPr>
                <w:sz w:val="21"/>
                <w:szCs w:val="21"/>
              </w:rPr>
              <w:t>a</w:t>
            </w:r>
            <w:r>
              <w:rPr>
                <w:rFonts w:hint="eastAsia"/>
                <w:sz w:val="21"/>
                <w:szCs w:val="21"/>
              </w:rPr>
              <w:t>，</w:t>
            </w:r>
            <w:r>
              <w:rPr>
                <w:sz w:val="21"/>
                <w:szCs w:val="21"/>
              </w:rPr>
              <w:t>h</w:t>
            </w:r>
            <w:r>
              <w:rPr>
                <w:sz w:val="21"/>
                <w:szCs w:val="21"/>
              </w:rPr>
              <w:t>）蒽，</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1.5</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茚并（</w:t>
            </w:r>
            <w:r>
              <w:rPr>
                <w:sz w:val="21"/>
                <w:szCs w:val="21"/>
              </w:rPr>
              <w:t>1</w:t>
            </w:r>
            <w:r>
              <w:rPr>
                <w:rFonts w:hint="eastAsia"/>
                <w:sz w:val="21"/>
                <w:szCs w:val="21"/>
              </w:rPr>
              <w:t>，</w:t>
            </w:r>
            <w:r>
              <w:rPr>
                <w:sz w:val="21"/>
                <w:szCs w:val="21"/>
              </w:rPr>
              <w:t>2</w:t>
            </w:r>
            <w:r>
              <w:rPr>
                <w:rFonts w:hint="eastAsia"/>
                <w:sz w:val="21"/>
                <w:szCs w:val="21"/>
              </w:rPr>
              <w:t>，</w:t>
            </w:r>
            <w:r>
              <w:rPr>
                <w:sz w:val="21"/>
                <w:szCs w:val="21"/>
              </w:rPr>
              <w:t>3-c</w:t>
            </w:r>
            <w:r>
              <w:rPr>
                <w:rFonts w:hint="eastAsia"/>
                <w:sz w:val="21"/>
                <w:szCs w:val="21"/>
              </w:rPr>
              <w:t>，</w:t>
            </w:r>
            <w:r>
              <w:rPr>
                <w:sz w:val="21"/>
                <w:szCs w:val="21"/>
              </w:rPr>
              <w:t>d</w:t>
            </w:r>
            <w:r>
              <w:rPr>
                <w:sz w:val="21"/>
                <w:szCs w:val="21"/>
              </w:rPr>
              <w:t>）芘，</w:t>
            </w:r>
            <w:r>
              <w:rPr>
                <w:sz w:val="21"/>
                <w:szCs w:val="21"/>
              </w:rPr>
              <w:t>mg/kg</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15</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r w:rsidR="00240BCE">
        <w:trPr>
          <w:cantSplit/>
        </w:trPr>
        <w:tc>
          <w:tcPr>
            <w:tcW w:w="1069" w:type="pct"/>
            <w:gridSpan w:val="2"/>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萘，</w:t>
            </w:r>
            <w:r>
              <w:rPr>
                <w:sz w:val="21"/>
                <w:szCs w:val="21"/>
              </w:rPr>
              <w:t>mg/kg</w:t>
            </w:r>
          </w:p>
        </w:tc>
        <w:tc>
          <w:tcPr>
            <w:tcW w:w="312" w:type="pct"/>
            <w:tcBorders>
              <w:left w:val="single" w:sz="4" w:space="0" w:color="auto"/>
              <w:bottom w:val="dashed"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bottom w:val="dashed"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3" w:type="pct"/>
            <w:tcBorders>
              <w:left w:val="single" w:sz="4" w:space="0" w:color="auto"/>
              <w:bottom w:val="dashed" w:sz="4" w:space="0" w:color="auto"/>
              <w:right w:val="single" w:sz="4" w:space="0" w:color="auto"/>
            </w:tcBorders>
            <w:vAlign w:val="center"/>
          </w:tcPr>
          <w:p w:rsidR="00240BCE" w:rsidRDefault="00AC0334">
            <w:pPr>
              <w:jc w:val="center"/>
              <w:rPr>
                <w:sz w:val="21"/>
                <w:szCs w:val="21"/>
              </w:rPr>
            </w:pPr>
            <w:r>
              <w:rPr>
                <w:sz w:val="21"/>
                <w:szCs w:val="21"/>
              </w:rPr>
              <w:t>未检出</w:t>
            </w:r>
          </w:p>
        </w:tc>
        <w:tc>
          <w:tcPr>
            <w:tcW w:w="312" w:type="pct"/>
            <w:tcBorders>
              <w:left w:val="single" w:sz="4" w:space="0" w:color="auto"/>
              <w:bottom w:val="dashed" w:sz="4" w:space="0" w:color="auto"/>
              <w:right w:val="single" w:sz="4" w:space="0" w:color="auto"/>
            </w:tcBorders>
            <w:vAlign w:val="center"/>
          </w:tcPr>
          <w:p w:rsidR="00240BCE" w:rsidRDefault="00AC0334">
            <w:pPr>
              <w:spacing w:line="296" w:lineRule="exact"/>
              <w:ind w:right="-108"/>
              <w:jc w:val="center"/>
              <w:rPr>
                <w:sz w:val="21"/>
                <w:szCs w:val="21"/>
              </w:rPr>
            </w:pPr>
            <w:r>
              <w:rPr>
                <w:sz w:val="21"/>
                <w:szCs w:val="21"/>
              </w:rPr>
              <w:t>未检出</w:t>
            </w:r>
          </w:p>
        </w:tc>
        <w:tc>
          <w:tcPr>
            <w:tcW w:w="312" w:type="pct"/>
            <w:tcBorders>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c>
          <w:tcPr>
            <w:tcW w:w="312" w:type="pct"/>
            <w:tcBorders>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c>
          <w:tcPr>
            <w:tcW w:w="462" w:type="pct"/>
            <w:tcBorders>
              <w:left w:val="single" w:sz="4" w:space="0" w:color="auto"/>
              <w:bottom w:val="dashed" w:sz="4" w:space="0" w:color="auto"/>
              <w:right w:val="single" w:sz="4" w:space="0" w:color="auto"/>
            </w:tcBorders>
            <w:vAlign w:val="center"/>
          </w:tcPr>
          <w:p w:rsidR="00240BCE" w:rsidRDefault="00240BCE">
            <w:pPr>
              <w:spacing w:line="296" w:lineRule="exact"/>
              <w:jc w:val="center"/>
              <w:rPr>
                <w:sz w:val="21"/>
                <w:szCs w:val="21"/>
              </w:rPr>
            </w:pPr>
          </w:p>
        </w:tc>
        <w:tc>
          <w:tcPr>
            <w:tcW w:w="439"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70</w:t>
            </w:r>
          </w:p>
        </w:tc>
        <w:tc>
          <w:tcPr>
            <w:tcW w:w="222" w:type="pct"/>
            <w:tcBorders>
              <w:top w:val="dashed" w:sz="4" w:space="0" w:color="auto"/>
              <w:left w:val="single" w:sz="4" w:space="0" w:color="auto"/>
              <w:bottom w:val="dashed" w:sz="4" w:space="0" w:color="auto"/>
              <w:right w:val="single" w:sz="4" w:space="0" w:color="auto"/>
            </w:tcBorders>
            <w:vAlign w:val="center"/>
          </w:tcPr>
          <w:p w:rsidR="00240BCE" w:rsidRDefault="00AC0334">
            <w:pPr>
              <w:spacing w:line="296" w:lineRule="exact"/>
              <w:jc w:val="center"/>
              <w:rPr>
                <w:sz w:val="21"/>
                <w:szCs w:val="21"/>
              </w:rPr>
            </w:pPr>
            <w:r>
              <w:rPr>
                <w:sz w:val="21"/>
                <w:szCs w:val="21"/>
              </w:rPr>
              <w:t>达标</w:t>
            </w:r>
          </w:p>
        </w:tc>
      </w:tr>
    </w:tbl>
    <w:p w:rsidR="00240BCE" w:rsidRDefault="00240BCE">
      <w:pPr>
        <w:spacing w:line="520" w:lineRule="exact"/>
        <w:jc w:val="center"/>
        <w:rPr>
          <w:sz w:val="24"/>
        </w:rPr>
        <w:sectPr w:rsidR="00240BCE">
          <w:pgSz w:w="15840" w:h="12240" w:orient="landscape"/>
          <w:pgMar w:top="1588" w:right="1440" w:bottom="1701" w:left="1440" w:header="720" w:footer="720" w:gutter="0"/>
          <w:cols w:space="720"/>
        </w:sectPr>
      </w:pPr>
      <w:bookmarkStart w:id="385" w:name="_Toc533690840"/>
    </w:p>
    <w:p w:rsidR="00240BCE" w:rsidRDefault="00AC0334">
      <w:pPr>
        <w:spacing w:line="520" w:lineRule="exact"/>
        <w:jc w:val="center"/>
        <w:rPr>
          <w:sz w:val="24"/>
        </w:rPr>
      </w:pPr>
      <w:r>
        <w:rPr>
          <w:sz w:val="24"/>
        </w:rPr>
        <w:lastRenderedPageBreak/>
        <w:t>表</w:t>
      </w:r>
      <w:r>
        <w:rPr>
          <w:sz w:val="24"/>
        </w:rPr>
        <w:t xml:space="preserve">4.3-20   </w:t>
      </w:r>
      <w:r>
        <w:rPr>
          <w:sz w:val="24"/>
        </w:rPr>
        <w:t>占地范围外农用地土壤环境现状监测结果一览表</w:t>
      </w:r>
    </w:p>
    <w:tbl>
      <w:tblPr>
        <w:tblW w:w="499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35"/>
        <w:gridCol w:w="828"/>
        <w:gridCol w:w="1050"/>
        <w:gridCol w:w="1052"/>
        <w:gridCol w:w="1052"/>
        <w:gridCol w:w="1052"/>
        <w:gridCol w:w="1052"/>
        <w:gridCol w:w="1246"/>
        <w:gridCol w:w="570"/>
      </w:tblGrid>
      <w:tr w:rsidR="00240BCE">
        <w:tc>
          <w:tcPr>
            <w:tcW w:w="478" w:type="pct"/>
            <w:vMerge w:val="restart"/>
            <w:vAlign w:val="center"/>
          </w:tcPr>
          <w:p w:rsidR="00240BCE" w:rsidRDefault="00AC0334">
            <w:pPr>
              <w:ind w:right="-108"/>
              <w:jc w:val="center"/>
              <w:rPr>
                <w:bCs/>
                <w:sz w:val="21"/>
                <w:szCs w:val="21"/>
              </w:rPr>
            </w:pPr>
            <w:r>
              <w:rPr>
                <w:bCs/>
                <w:sz w:val="21"/>
                <w:szCs w:val="21"/>
              </w:rPr>
              <w:t>检测因子</w:t>
            </w:r>
          </w:p>
        </w:tc>
        <w:tc>
          <w:tcPr>
            <w:tcW w:w="474" w:type="pct"/>
            <w:vMerge w:val="restart"/>
            <w:vAlign w:val="center"/>
          </w:tcPr>
          <w:p w:rsidR="00240BCE" w:rsidRDefault="00AC0334">
            <w:pPr>
              <w:ind w:right="-108"/>
              <w:jc w:val="center"/>
              <w:rPr>
                <w:bCs/>
                <w:sz w:val="21"/>
                <w:szCs w:val="21"/>
              </w:rPr>
            </w:pPr>
            <w:r>
              <w:rPr>
                <w:bCs/>
                <w:sz w:val="21"/>
                <w:szCs w:val="21"/>
              </w:rPr>
              <w:t>单位</w:t>
            </w:r>
          </w:p>
        </w:tc>
        <w:tc>
          <w:tcPr>
            <w:tcW w:w="3008" w:type="pct"/>
            <w:gridSpan w:val="5"/>
            <w:vAlign w:val="center"/>
          </w:tcPr>
          <w:p w:rsidR="00240BCE" w:rsidRDefault="00AC0334">
            <w:pPr>
              <w:adjustRightInd w:val="0"/>
              <w:snapToGrid w:val="0"/>
              <w:jc w:val="center"/>
              <w:rPr>
                <w:sz w:val="21"/>
                <w:szCs w:val="21"/>
              </w:rPr>
            </w:pPr>
            <w:r>
              <w:rPr>
                <w:sz w:val="21"/>
                <w:szCs w:val="21"/>
              </w:rPr>
              <w:t>检测结果</w:t>
            </w:r>
          </w:p>
        </w:tc>
        <w:tc>
          <w:tcPr>
            <w:tcW w:w="713" w:type="pct"/>
            <w:vMerge w:val="restart"/>
            <w:vAlign w:val="center"/>
          </w:tcPr>
          <w:p w:rsidR="00240BCE" w:rsidRDefault="00AC0334">
            <w:pPr>
              <w:jc w:val="center"/>
              <w:rPr>
                <w:w w:val="90"/>
                <w:sz w:val="21"/>
                <w:szCs w:val="21"/>
              </w:rPr>
            </w:pPr>
            <w:r>
              <w:rPr>
                <w:w w:val="90"/>
                <w:sz w:val="21"/>
                <w:szCs w:val="21"/>
              </w:rPr>
              <w:t>GB15618-2018</w:t>
            </w:r>
            <w:r>
              <w:rPr>
                <w:w w:val="90"/>
                <w:sz w:val="21"/>
                <w:szCs w:val="21"/>
              </w:rPr>
              <w:t>风险筛选值</w:t>
            </w:r>
          </w:p>
        </w:tc>
        <w:tc>
          <w:tcPr>
            <w:tcW w:w="326" w:type="pct"/>
            <w:vMerge w:val="restart"/>
            <w:vAlign w:val="center"/>
          </w:tcPr>
          <w:p w:rsidR="00240BCE" w:rsidRDefault="00AC0334">
            <w:pPr>
              <w:jc w:val="center"/>
              <w:rPr>
                <w:sz w:val="21"/>
                <w:szCs w:val="21"/>
              </w:rPr>
            </w:pPr>
            <w:r>
              <w:rPr>
                <w:sz w:val="21"/>
                <w:szCs w:val="21"/>
              </w:rPr>
              <w:t>达标情况</w:t>
            </w:r>
          </w:p>
        </w:tc>
      </w:tr>
      <w:tr w:rsidR="00240BCE">
        <w:tc>
          <w:tcPr>
            <w:tcW w:w="478" w:type="pct"/>
            <w:vMerge/>
            <w:vAlign w:val="center"/>
          </w:tcPr>
          <w:p w:rsidR="00240BCE" w:rsidRDefault="00240BCE">
            <w:pPr>
              <w:ind w:right="-108"/>
              <w:jc w:val="center"/>
              <w:rPr>
                <w:bCs/>
                <w:sz w:val="21"/>
                <w:szCs w:val="21"/>
              </w:rPr>
            </w:pPr>
          </w:p>
        </w:tc>
        <w:tc>
          <w:tcPr>
            <w:tcW w:w="474" w:type="pct"/>
            <w:vMerge/>
            <w:vAlign w:val="center"/>
          </w:tcPr>
          <w:p w:rsidR="00240BCE" w:rsidRDefault="00240BCE">
            <w:pPr>
              <w:ind w:right="-108"/>
              <w:jc w:val="center"/>
              <w:rPr>
                <w:bCs/>
                <w:sz w:val="21"/>
                <w:szCs w:val="21"/>
              </w:rPr>
            </w:pPr>
          </w:p>
        </w:tc>
        <w:tc>
          <w:tcPr>
            <w:tcW w:w="601" w:type="pct"/>
            <w:vAlign w:val="center"/>
          </w:tcPr>
          <w:p w:rsidR="00240BCE" w:rsidRDefault="00AC0334">
            <w:pPr>
              <w:adjustRightInd w:val="0"/>
              <w:snapToGrid w:val="0"/>
              <w:jc w:val="center"/>
              <w:rPr>
                <w:color w:val="000000"/>
                <w:sz w:val="21"/>
                <w:szCs w:val="21"/>
              </w:rPr>
            </w:pPr>
            <w:r>
              <w:rPr>
                <w:sz w:val="21"/>
                <w:szCs w:val="21"/>
              </w:rPr>
              <w:t>5#</w:t>
            </w:r>
            <w:r>
              <w:rPr>
                <w:color w:val="000000"/>
                <w:sz w:val="21"/>
                <w:szCs w:val="21"/>
              </w:rPr>
              <w:t xml:space="preserve"> </w:t>
            </w:r>
          </w:p>
        </w:tc>
        <w:tc>
          <w:tcPr>
            <w:tcW w:w="602" w:type="pct"/>
            <w:vAlign w:val="center"/>
          </w:tcPr>
          <w:p w:rsidR="00240BCE" w:rsidRDefault="00AC0334">
            <w:pPr>
              <w:adjustRightInd w:val="0"/>
              <w:snapToGrid w:val="0"/>
              <w:jc w:val="center"/>
              <w:rPr>
                <w:sz w:val="21"/>
                <w:szCs w:val="21"/>
              </w:rPr>
            </w:pPr>
            <w:r>
              <w:rPr>
                <w:sz w:val="21"/>
                <w:szCs w:val="21"/>
              </w:rPr>
              <w:t xml:space="preserve">6# </w:t>
            </w:r>
          </w:p>
        </w:tc>
        <w:tc>
          <w:tcPr>
            <w:tcW w:w="602" w:type="pct"/>
            <w:vAlign w:val="center"/>
          </w:tcPr>
          <w:p w:rsidR="00240BCE" w:rsidRDefault="00AC0334">
            <w:pPr>
              <w:adjustRightInd w:val="0"/>
              <w:snapToGrid w:val="0"/>
              <w:jc w:val="center"/>
              <w:rPr>
                <w:sz w:val="21"/>
                <w:szCs w:val="21"/>
              </w:rPr>
            </w:pPr>
            <w:r>
              <w:rPr>
                <w:sz w:val="21"/>
                <w:szCs w:val="21"/>
              </w:rPr>
              <w:t>7#</w:t>
            </w:r>
          </w:p>
        </w:tc>
        <w:tc>
          <w:tcPr>
            <w:tcW w:w="602" w:type="pct"/>
            <w:vAlign w:val="center"/>
          </w:tcPr>
          <w:p w:rsidR="00240BCE" w:rsidRDefault="00AC0334">
            <w:pPr>
              <w:adjustRightInd w:val="0"/>
              <w:snapToGrid w:val="0"/>
              <w:jc w:val="center"/>
              <w:rPr>
                <w:sz w:val="21"/>
                <w:szCs w:val="21"/>
              </w:rPr>
            </w:pPr>
            <w:r>
              <w:rPr>
                <w:sz w:val="21"/>
                <w:szCs w:val="21"/>
              </w:rPr>
              <w:t>8#</w:t>
            </w:r>
          </w:p>
        </w:tc>
        <w:tc>
          <w:tcPr>
            <w:tcW w:w="602" w:type="pct"/>
            <w:vAlign w:val="center"/>
          </w:tcPr>
          <w:p w:rsidR="00240BCE" w:rsidRDefault="00AC0334">
            <w:pPr>
              <w:adjustRightInd w:val="0"/>
              <w:snapToGrid w:val="0"/>
              <w:jc w:val="center"/>
              <w:rPr>
                <w:sz w:val="21"/>
                <w:szCs w:val="21"/>
              </w:rPr>
            </w:pPr>
            <w:r>
              <w:rPr>
                <w:sz w:val="21"/>
                <w:szCs w:val="21"/>
              </w:rPr>
              <w:t>9#</w:t>
            </w:r>
          </w:p>
        </w:tc>
        <w:tc>
          <w:tcPr>
            <w:tcW w:w="713" w:type="pct"/>
            <w:vMerge/>
            <w:vAlign w:val="center"/>
          </w:tcPr>
          <w:p w:rsidR="00240BCE" w:rsidRDefault="00240BCE">
            <w:pPr>
              <w:adjustRightInd w:val="0"/>
              <w:snapToGrid w:val="0"/>
              <w:jc w:val="center"/>
              <w:rPr>
                <w:sz w:val="21"/>
                <w:szCs w:val="21"/>
              </w:rPr>
            </w:pPr>
          </w:p>
        </w:tc>
        <w:tc>
          <w:tcPr>
            <w:tcW w:w="326" w:type="pct"/>
            <w:vMerge/>
            <w:vAlign w:val="center"/>
          </w:tcPr>
          <w:p w:rsidR="00240BCE" w:rsidRDefault="00240BCE">
            <w:pPr>
              <w:adjustRightInd w:val="0"/>
              <w:snapToGrid w:val="0"/>
              <w:jc w:val="center"/>
              <w:rPr>
                <w:sz w:val="21"/>
                <w:szCs w:val="21"/>
              </w:rPr>
            </w:pPr>
          </w:p>
        </w:tc>
      </w:tr>
      <w:tr w:rsidR="00240BCE">
        <w:tc>
          <w:tcPr>
            <w:tcW w:w="478" w:type="pct"/>
            <w:vAlign w:val="center"/>
          </w:tcPr>
          <w:p w:rsidR="00240BCE" w:rsidRDefault="00AC0334">
            <w:pPr>
              <w:ind w:right="-108"/>
              <w:jc w:val="center"/>
              <w:rPr>
                <w:bCs/>
                <w:sz w:val="21"/>
                <w:szCs w:val="21"/>
              </w:rPr>
            </w:pPr>
            <w:r>
              <w:rPr>
                <w:bCs/>
                <w:sz w:val="21"/>
                <w:szCs w:val="21"/>
              </w:rPr>
              <w:t>pH</w:t>
            </w:r>
            <w:r>
              <w:rPr>
                <w:bCs/>
                <w:sz w:val="21"/>
                <w:szCs w:val="21"/>
              </w:rPr>
              <w:t>值</w:t>
            </w:r>
          </w:p>
        </w:tc>
        <w:tc>
          <w:tcPr>
            <w:tcW w:w="474" w:type="pct"/>
            <w:vAlign w:val="center"/>
          </w:tcPr>
          <w:p w:rsidR="00240BCE" w:rsidRDefault="00AC0334">
            <w:pPr>
              <w:ind w:right="-108"/>
              <w:jc w:val="center"/>
              <w:rPr>
                <w:bCs/>
                <w:sz w:val="21"/>
                <w:szCs w:val="21"/>
              </w:rPr>
            </w:pPr>
            <w:r>
              <w:rPr>
                <w:bCs/>
                <w:sz w:val="21"/>
                <w:szCs w:val="21"/>
              </w:rPr>
              <w:t>/</w:t>
            </w:r>
          </w:p>
        </w:tc>
        <w:tc>
          <w:tcPr>
            <w:tcW w:w="601" w:type="pct"/>
            <w:vAlign w:val="center"/>
          </w:tcPr>
          <w:p w:rsidR="00240BCE" w:rsidRDefault="00AC0334">
            <w:pPr>
              <w:jc w:val="center"/>
              <w:rPr>
                <w:sz w:val="21"/>
                <w:szCs w:val="21"/>
              </w:rPr>
            </w:pPr>
            <w:r>
              <w:rPr>
                <w:sz w:val="21"/>
                <w:szCs w:val="21"/>
              </w:rPr>
              <w:t>8.15</w:t>
            </w:r>
          </w:p>
        </w:tc>
        <w:tc>
          <w:tcPr>
            <w:tcW w:w="602" w:type="pct"/>
            <w:vAlign w:val="center"/>
          </w:tcPr>
          <w:p w:rsidR="00240BCE" w:rsidRDefault="00AC0334">
            <w:pPr>
              <w:jc w:val="center"/>
              <w:rPr>
                <w:sz w:val="21"/>
                <w:szCs w:val="21"/>
              </w:rPr>
            </w:pPr>
            <w:r>
              <w:rPr>
                <w:sz w:val="21"/>
                <w:szCs w:val="21"/>
              </w:rPr>
              <w:t>7.84</w:t>
            </w:r>
          </w:p>
        </w:tc>
        <w:tc>
          <w:tcPr>
            <w:tcW w:w="602" w:type="pct"/>
            <w:vAlign w:val="center"/>
          </w:tcPr>
          <w:p w:rsidR="00240BCE" w:rsidRDefault="00AC0334">
            <w:pPr>
              <w:jc w:val="center"/>
              <w:rPr>
                <w:sz w:val="21"/>
                <w:szCs w:val="21"/>
              </w:rPr>
            </w:pPr>
            <w:r>
              <w:rPr>
                <w:sz w:val="21"/>
                <w:szCs w:val="21"/>
              </w:rPr>
              <w:t>8.15</w:t>
            </w:r>
          </w:p>
        </w:tc>
        <w:tc>
          <w:tcPr>
            <w:tcW w:w="602" w:type="pct"/>
            <w:vAlign w:val="center"/>
          </w:tcPr>
          <w:p w:rsidR="00240BCE" w:rsidRDefault="00AC0334">
            <w:pPr>
              <w:jc w:val="center"/>
              <w:rPr>
                <w:sz w:val="21"/>
                <w:szCs w:val="21"/>
              </w:rPr>
            </w:pPr>
            <w:r>
              <w:rPr>
                <w:sz w:val="21"/>
                <w:szCs w:val="21"/>
              </w:rPr>
              <w:t>7.70</w:t>
            </w:r>
          </w:p>
        </w:tc>
        <w:tc>
          <w:tcPr>
            <w:tcW w:w="602" w:type="pct"/>
            <w:vAlign w:val="center"/>
          </w:tcPr>
          <w:p w:rsidR="00240BCE" w:rsidRDefault="00AC0334">
            <w:pPr>
              <w:jc w:val="center"/>
              <w:rPr>
                <w:sz w:val="21"/>
                <w:szCs w:val="21"/>
              </w:rPr>
            </w:pPr>
            <w:r>
              <w:rPr>
                <w:sz w:val="21"/>
                <w:szCs w:val="21"/>
              </w:rPr>
              <w:t>7.92</w:t>
            </w:r>
          </w:p>
        </w:tc>
        <w:tc>
          <w:tcPr>
            <w:tcW w:w="713" w:type="pct"/>
            <w:vAlign w:val="center"/>
          </w:tcPr>
          <w:p w:rsidR="00240BCE" w:rsidRDefault="00AC0334">
            <w:pPr>
              <w:widowControl/>
              <w:jc w:val="center"/>
              <w:textAlignment w:val="center"/>
              <w:rPr>
                <w:kern w:val="0"/>
                <w:sz w:val="21"/>
                <w:szCs w:val="21"/>
              </w:rPr>
            </w:pPr>
            <w:r>
              <w:rPr>
                <w:kern w:val="0"/>
                <w:sz w:val="21"/>
                <w:szCs w:val="21"/>
              </w:rPr>
              <w:t>pH&gt;7.5</w:t>
            </w:r>
          </w:p>
        </w:tc>
        <w:tc>
          <w:tcPr>
            <w:tcW w:w="326" w:type="pct"/>
            <w:vAlign w:val="center"/>
          </w:tcPr>
          <w:p w:rsidR="00240BCE" w:rsidRDefault="00AC0334">
            <w:pPr>
              <w:widowControl/>
              <w:jc w:val="center"/>
              <w:textAlignment w:val="center"/>
              <w:rPr>
                <w:kern w:val="0"/>
                <w:sz w:val="21"/>
                <w:szCs w:val="21"/>
              </w:rPr>
            </w:pPr>
            <w:r>
              <w:rPr>
                <w:kern w:val="0"/>
                <w:sz w:val="21"/>
                <w:szCs w:val="21"/>
              </w:rPr>
              <w:t>/</w:t>
            </w:r>
          </w:p>
        </w:tc>
      </w:tr>
      <w:tr w:rsidR="00240BCE">
        <w:tc>
          <w:tcPr>
            <w:tcW w:w="478" w:type="pct"/>
            <w:vAlign w:val="center"/>
          </w:tcPr>
          <w:p w:rsidR="00240BCE" w:rsidRDefault="00AC0334">
            <w:pPr>
              <w:jc w:val="center"/>
              <w:textAlignment w:val="center"/>
              <w:rPr>
                <w:bCs/>
                <w:sz w:val="21"/>
                <w:szCs w:val="21"/>
              </w:rPr>
            </w:pPr>
            <w:r>
              <w:rPr>
                <w:bCs/>
                <w:sz w:val="21"/>
                <w:szCs w:val="21"/>
              </w:rPr>
              <w:t>氟化物</w:t>
            </w:r>
          </w:p>
        </w:tc>
        <w:tc>
          <w:tcPr>
            <w:tcW w:w="474" w:type="pct"/>
            <w:vAlign w:val="center"/>
          </w:tcPr>
          <w:p w:rsidR="00240BCE" w:rsidRDefault="00AC0334">
            <w:pPr>
              <w:widowControl/>
              <w:jc w:val="center"/>
              <w:textAlignment w:val="center"/>
              <w:rPr>
                <w:bCs/>
                <w:sz w:val="21"/>
                <w:szCs w:val="21"/>
              </w:rPr>
            </w:pPr>
            <w:r>
              <w:rPr>
                <w:bCs/>
                <w:sz w:val="21"/>
                <w:szCs w:val="21"/>
              </w:rPr>
              <w:t>mg/kg</w:t>
            </w:r>
          </w:p>
        </w:tc>
        <w:tc>
          <w:tcPr>
            <w:tcW w:w="601" w:type="pct"/>
            <w:vAlign w:val="center"/>
          </w:tcPr>
          <w:p w:rsidR="00240BCE" w:rsidRDefault="00AC0334">
            <w:pPr>
              <w:jc w:val="center"/>
              <w:rPr>
                <w:sz w:val="21"/>
                <w:szCs w:val="21"/>
              </w:rPr>
            </w:pPr>
            <w:r>
              <w:rPr>
                <w:sz w:val="21"/>
                <w:szCs w:val="21"/>
              </w:rPr>
              <w:t>6.4</w:t>
            </w:r>
          </w:p>
        </w:tc>
        <w:tc>
          <w:tcPr>
            <w:tcW w:w="602" w:type="pct"/>
            <w:vAlign w:val="center"/>
          </w:tcPr>
          <w:p w:rsidR="00240BCE" w:rsidRDefault="00AC0334">
            <w:pPr>
              <w:jc w:val="center"/>
              <w:rPr>
                <w:sz w:val="21"/>
                <w:szCs w:val="21"/>
              </w:rPr>
            </w:pPr>
            <w:r>
              <w:rPr>
                <w:sz w:val="21"/>
                <w:szCs w:val="21"/>
              </w:rPr>
              <w:t>7.6</w:t>
            </w:r>
          </w:p>
        </w:tc>
        <w:tc>
          <w:tcPr>
            <w:tcW w:w="602" w:type="pct"/>
            <w:vAlign w:val="center"/>
          </w:tcPr>
          <w:p w:rsidR="00240BCE" w:rsidRDefault="00AC0334">
            <w:pPr>
              <w:jc w:val="center"/>
              <w:rPr>
                <w:sz w:val="21"/>
                <w:szCs w:val="21"/>
              </w:rPr>
            </w:pPr>
            <w:r>
              <w:rPr>
                <w:sz w:val="21"/>
                <w:szCs w:val="21"/>
              </w:rPr>
              <w:t>5.6</w:t>
            </w:r>
          </w:p>
        </w:tc>
        <w:tc>
          <w:tcPr>
            <w:tcW w:w="602" w:type="pct"/>
            <w:vAlign w:val="center"/>
          </w:tcPr>
          <w:p w:rsidR="00240BCE" w:rsidRDefault="00AC0334">
            <w:pPr>
              <w:jc w:val="center"/>
              <w:rPr>
                <w:sz w:val="21"/>
                <w:szCs w:val="21"/>
              </w:rPr>
            </w:pPr>
            <w:r>
              <w:rPr>
                <w:sz w:val="21"/>
                <w:szCs w:val="21"/>
              </w:rPr>
              <w:t>6.8</w:t>
            </w:r>
          </w:p>
        </w:tc>
        <w:tc>
          <w:tcPr>
            <w:tcW w:w="602" w:type="pct"/>
            <w:vAlign w:val="center"/>
          </w:tcPr>
          <w:p w:rsidR="00240BCE" w:rsidRDefault="00AC0334">
            <w:pPr>
              <w:jc w:val="center"/>
              <w:rPr>
                <w:sz w:val="21"/>
                <w:szCs w:val="21"/>
              </w:rPr>
            </w:pPr>
            <w:r>
              <w:rPr>
                <w:sz w:val="21"/>
                <w:szCs w:val="21"/>
              </w:rPr>
              <w:t>10.4</w:t>
            </w:r>
          </w:p>
        </w:tc>
        <w:tc>
          <w:tcPr>
            <w:tcW w:w="713" w:type="pct"/>
            <w:vAlign w:val="center"/>
          </w:tcPr>
          <w:p w:rsidR="00240BCE" w:rsidRDefault="00AC0334">
            <w:pPr>
              <w:adjustRightInd w:val="0"/>
              <w:snapToGrid w:val="0"/>
              <w:jc w:val="center"/>
              <w:rPr>
                <w:sz w:val="21"/>
                <w:szCs w:val="21"/>
              </w:rPr>
            </w:pPr>
            <w:r>
              <w:rPr>
                <w:sz w:val="21"/>
                <w:szCs w:val="21"/>
              </w:rPr>
              <w:t>/</w:t>
            </w:r>
          </w:p>
        </w:tc>
        <w:tc>
          <w:tcPr>
            <w:tcW w:w="326" w:type="pct"/>
            <w:vAlign w:val="center"/>
          </w:tcPr>
          <w:p w:rsidR="00240BCE" w:rsidRDefault="00240BCE">
            <w:pPr>
              <w:adjustRightInd w:val="0"/>
              <w:snapToGrid w:val="0"/>
              <w:jc w:val="center"/>
              <w:rPr>
                <w:sz w:val="21"/>
                <w:szCs w:val="21"/>
              </w:rPr>
            </w:pPr>
          </w:p>
        </w:tc>
      </w:tr>
      <w:tr w:rsidR="00240BCE">
        <w:tc>
          <w:tcPr>
            <w:tcW w:w="478" w:type="pct"/>
            <w:vAlign w:val="center"/>
          </w:tcPr>
          <w:p w:rsidR="00240BCE" w:rsidRDefault="00AC0334">
            <w:pPr>
              <w:ind w:right="-108"/>
              <w:jc w:val="center"/>
              <w:rPr>
                <w:bCs/>
                <w:sz w:val="21"/>
                <w:szCs w:val="21"/>
              </w:rPr>
            </w:pPr>
            <w:r>
              <w:rPr>
                <w:bCs/>
                <w:sz w:val="21"/>
                <w:szCs w:val="21"/>
              </w:rPr>
              <w:t>砷</w:t>
            </w:r>
          </w:p>
        </w:tc>
        <w:tc>
          <w:tcPr>
            <w:tcW w:w="474" w:type="pct"/>
            <w:vAlign w:val="center"/>
          </w:tcPr>
          <w:p w:rsidR="00240BCE" w:rsidRDefault="00AC0334">
            <w:pPr>
              <w:ind w:right="-108"/>
              <w:jc w:val="center"/>
              <w:rPr>
                <w:bCs/>
                <w:sz w:val="21"/>
                <w:szCs w:val="21"/>
              </w:rPr>
            </w:pPr>
            <w:r>
              <w:rPr>
                <w:bCs/>
                <w:sz w:val="21"/>
                <w:szCs w:val="21"/>
              </w:rPr>
              <w:t>mg/kg</w:t>
            </w:r>
          </w:p>
        </w:tc>
        <w:tc>
          <w:tcPr>
            <w:tcW w:w="601" w:type="pct"/>
            <w:vAlign w:val="center"/>
          </w:tcPr>
          <w:p w:rsidR="00240BCE" w:rsidRDefault="00AC0334">
            <w:pPr>
              <w:jc w:val="center"/>
              <w:rPr>
                <w:sz w:val="21"/>
                <w:szCs w:val="21"/>
              </w:rPr>
            </w:pPr>
            <w:r>
              <w:rPr>
                <w:sz w:val="21"/>
                <w:szCs w:val="21"/>
              </w:rPr>
              <w:t>10.8</w:t>
            </w:r>
          </w:p>
        </w:tc>
        <w:tc>
          <w:tcPr>
            <w:tcW w:w="602" w:type="pct"/>
            <w:vAlign w:val="center"/>
          </w:tcPr>
          <w:p w:rsidR="00240BCE" w:rsidRDefault="00AC0334">
            <w:pPr>
              <w:jc w:val="center"/>
              <w:rPr>
                <w:sz w:val="21"/>
                <w:szCs w:val="21"/>
              </w:rPr>
            </w:pPr>
            <w:r>
              <w:rPr>
                <w:sz w:val="21"/>
                <w:szCs w:val="21"/>
              </w:rPr>
              <w:t>17.4</w:t>
            </w:r>
          </w:p>
        </w:tc>
        <w:tc>
          <w:tcPr>
            <w:tcW w:w="602" w:type="pct"/>
            <w:vAlign w:val="center"/>
          </w:tcPr>
          <w:p w:rsidR="00240BCE" w:rsidRDefault="00AC0334">
            <w:pPr>
              <w:jc w:val="center"/>
              <w:rPr>
                <w:sz w:val="21"/>
                <w:szCs w:val="21"/>
              </w:rPr>
            </w:pPr>
            <w:r>
              <w:rPr>
                <w:sz w:val="21"/>
                <w:szCs w:val="21"/>
              </w:rPr>
              <w:t>15.3</w:t>
            </w:r>
          </w:p>
        </w:tc>
        <w:tc>
          <w:tcPr>
            <w:tcW w:w="602" w:type="pct"/>
            <w:vAlign w:val="center"/>
          </w:tcPr>
          <w:p w:rsidR="00240BCE" w:rsidRDefault="00AC0334">
            <w:pPr>
              <w:jc w:val="center"/>
              <w:rPr>
                <w:sz w:val="21"/>
                <w:szCs w:val="21"/>
              </w:rPr>
            </w:pPr>
            <w:r>
              <w:rPr>
                <w:sz w:val="21"/>
                <w:szCs w:val="21"/>
              </w:rPr>
              <w:t>15.6</w:t>
            </w:r>
          </w:p>
        </w:tc>
        <w:tc>
          <w:tcPr>
            <w:tcW w:w="602" w:type="pct"/>
            <w:vAlign w:val="center"/>
          </w:tcPr>
          <w:p w:rsidR="00240BCE" w:rsidRDefault="00AC0334">
            <w:pPr>
              <w:jc w:val="center"/>
              <w:rPr>
                <w:spacing w:val="4"/>
                <w:sz w:val="21"/>
                <w:szCs w:val="21"/>
              </w:rPr>
            </w:pPr>
            <w:r>
              <w:rPr>
                <w:sz w:val="21"/>
                <w:szCs w:val="21"/>
              </w:rPr>
              <w:t>15.2</w:t>
            </w:r>
          </w:p>
        </w:tc>
        <w:tc>
          <w:tcPr>
            <w:tcW w:w="713" w:type="pct"/>
            <w:vAlign w:val="center"/>
          </w:tcPr>
          <w:p w:rsidR="00240BCE" w:rsidRDefault="00AC0334">
            <w:pPr>
              <w:snapToGrid w:val="0"/>
              <w:jc w:val="center"/>
              <w:rPr>
                <w:sz w:val="21"/>
                <w:szCs w:val="21"/>
              </w:rPr>
            </w:pPr>
            <w:r>
              <w:rPr>
                <w:sz w:val="21"/>
                <w:szCs w:val="21"/>
              </w:rPr>
              <w:t>25</w:t>
            </w:r>
          </w:p>
        </w:tc>
        <w:tc>
          <w:tcPr>
            <w:tcW w:w="326" w:type="pct"/>
            <w:vAlign w:val="center"/>
          </w:tcPr>
          <w:p w:rsidR="00240BCE" w:rsidRDefault="00AC0334">
            <w:pPr>
              <w:snapToGrid w:val="0"/>
              <w:jc w:val="center"/>
              <w:rPr>
                <w:sz w:val="21"/>
                <w:szCs w:val="21"/>
              </w:rPr>
            </w:pPr>
            <w:r>
              <w:rPr>
                <w:kern w:val="0"/>
                <w:sz w:val="21"/>
                <w:szCs w:val="21"/>
              </w:rPr>
              <w:t>达标</w:t>
            </w:r>
          </w:p>
        </w:tc>
      </w:tr>
      <w:tr w:rsidR="00240BCE">
        <w:tc>
          <w:tcPr>
            <w:tcW w:w="478" w:type="pct"/>
            <w:vAlign w:val="center"/>
          </w:tcPr>
          <w:p w:rsidR="00240BCE" w:rsidRDefault="00AC0334">
            <w:pPr>
              <w:widowControl/>
              <w:jc w:val="center"/>
              <w:textAlignment w:val="center"/>
              <w:rPr>
                <w:bCs/>
                <w:sz w:val="21"/>
                <w:szCs w:val="21"/>
              </w:rPr>
            </w:pPr>
            <w:r>
              <w:rPr>
                <w:bCs/>
                <w:sz w:val="21"/>
                <w:szCs w:val="21"/>
              </w:rPr>
              <w:t>汞</w:t>
            </w:r>
          </w:p>
        </w:tc>
        <w:tc>
          <w:tcPr>
            <w:tcW w:w="474" w:type="pct"/>
            <w:vAlign w:val="center"/>
          </w:tcPr>
          <w:p w:rsidR="00240BCE" w:rsidRDefault="00AC0334">
            <w:pPr>
              <w:widowControl/>
              <w:jc w:val="center"/>
              <w:textAlignment w:val="center"/>
              <w:rPr>
                <w:bCs/>
                <w:sz w:val="21"/>
                <w:szCs w:val="21"/>
              </w:rPr>
            </w:pPr>
            <w:r>
              <w:rPr>
                <w:bCs/>
                <w:sz w:val="21"/>
                <w:szCs w:val="21"/>
              </w:rPr>
              <w:t>mg/kg</w:t>
            </w:r>
          </w:p>
        </w:tc>
        <w:tc>
          <w:tcPr>
            <w:tcW w:w="601" w:type="pct"/>
            <w:vAlign w:val="center"/>
          </w:tcPr>
          <w:p w:rsidR="00240BCE" w:rsidRDefault="00240BCE">
            <w:pPr>
              <w:adjustRightInd w:val="0"/>
              <w:snapToGrid w:val="0"/>
              <w:jc w:val="center"/>
              <w:rPr>
                <w:color w:val="000000"/>
                <w:sz w:val="21"/>
                <w:szCs w:val="21"/>
              </w:rPr>
            </w:pPr>
          </w:p>
        </w:tc>
        <w:tc>
          <w:tcPr>
            <w:tcW w:w="602" w:type="pct"/>
            <w:vAlign w:val="center"/>
          </w:tcPr>
          <w:p w:rsidR="00240BCE" w:rsidRDefault="00240BCE">
            <w:pPr>
              <w:widowControl/>
              <w:jc w:val="center"/>
              <w:textAlignment w:val="center"/>
              <w:rPr>
                <w:kern w:val="0"/>
                <w:sz w:val="21"/>
                <w:szCs w:val="21"/>
              </w:rPr>
            </w:pPr>
          </w:p>
        </w:tc>
        <w:tc>
          <w:tcPr>
            <w:tcW w:w="602" w:type="pct"/>
            <w:vAlign w:val="center"/>
          </w:tcPr>
          <w:p w:rsidR="00240BCE" w:rsidRDefault="00240BCE">
            <w:pPr>
              <w:widowControl/>
              <w:jc w:val="center"/>
              <w:textAlignment w:val="center"/>
              <w:rPr>
                <w:kern w:val="0"/>
                <w:sz w:val="21"/>
                <w:szCs w:val="21"/>
              </w:rPr>
            </w:pPr>
          </w:p>
        </w:tc>
        <w:tc>
          <w:tcPr>
            <w:tcW w:w="602" w:type="pct"/>
            <w:vAlign w:val="center"/>
          </w:tcPr>
          <w:p w:rsidR="00240BCE" w:rsidRDefault="00240BCE">
            <w:pPr>
              <w:widowControl/>
              <w:jc w:val="center"/>
              <w:textAlignment w:val="center"/>
              <w:rPr>
                <w:kern w:val="0"/>
                <w:sz w:val="21"/>
                <w:szCs w:val="21"/>
              </w:rPr>
            </w:pPr>
          </w:p>
        </w:tc>
        <w:tc>
          <w:tcPr>
            <w:tcW w:w="602" w:type="pct"/>
            <w:vAlign w:val="center"/>
          </w:tcPr>
          <w:p w:rsidR="00240BCE" w:rsidRDefault="00AC0334">
            <w:pPr>
              <w:jc w:val="center"/>
              <w:rPr>
                <w:spacing w:val="4"/>
                <w:sz w:val="21"/>
                <w:szCs w:val="21"/>
              </w:rPr>
            </w:pPr>
            <w:r>
              <w:rPr>
                <w:sz w:val="21"/>
                <w:szCs w:val="21"/>
              </w:rPr>
              <w:t>0.026</w:t>
            </w:r>
          </w:p>
        </w:tc>
        <w:tc>
          <w:tcPr>
            <w:tcW w:w="713" w:type="pct"/>
            <w:vAlign w:val="center"/>
          </w:tcPr>
          <w:p w:rsidR="00240BCE" w:rsidRDefault="00AC0334">
            <w:pPr>
              <w:widowControl/>
              <w:jc w:val="center"/>
              <w:textAlignment w:val="center"/>
              <w:rPr>
                <w:kern w:val="0"/>
                <w:sz w:val="21"/>
                <w:szCs w:val="21"/>
              </w:rPr>
            </w:pPr>
            <w:r>
              <w:rPr>
                <w:kern w:val="0"/>
                <w:sz w:val="21"/>
                <w:szCs w:val="21"/>
              </w:rPr>
              <w:t>3.4</w:t>
            </w:r>
          </w:p>
        </w:tc>
        <w:tc>
          <w:tcPr>
            <w:tcW w:w="326" w:type="pct"/>
            <w:vAlign w:val="center"/>
          </w:tcPr>
          <w:p w:rsidR="00240BCE" w:rsidRDefault="00AC0334">
            <w:pPr>
              <w:widowControl/>
              <w:jc w:val="center"/>
              <w:textAlignment w:val="center"/>
              <w:rPr>
                <w:kern w:val="0"/>
                <w:sz w:val="21"/>
                <w:szCs w:val="21"/>
              </w:rPr>
            </w:pPr>
            <w:r>
              <w:rPr>
                <w:kern w:val="0"/>
                <w:sz w:val="21"/>
                <w:szCs w:val="21"/>
              </w:rPr>
              <w:t>达标</w:t>
            </w:r>
          </w:p>
        </w:tc>
      </w:tr>
      <w:tr w:rsidR="00240BCE">
        <w:tc>
          <w:tcPr>
            <w:tcW w:w="478" w:type="pct"/>
            <w:vAlign w:val="center"/>
          </w:tcPr>
          <w:p w:rsidR="00240BCE" w:rsidRDefault="00AC0334">
            <w:pPr>
              <w:widowControl/>
              <w:jc w:val="center"/>
              <w:textAlignment w:val="center"/>
              <w:rPr>
                <w:bCs/>
                <w:sz w:val="21"/>
                <w:szCs w:val="21"/>
              </w:rPr>
            </w:pPr>
            <w:r>
              <w:rPr>
                <w:bCs/>
                <w:sz w:val="21"/>
                <w:szCs w:val="21"/>
              </w:rPr>
              <w:t>铅</w:t>
            </w:r>
          </w:p>
        </w:tc>
        <w:tc>
          <w:tcPr>
            <w:tcW w:w="474" w:type="pct"/>
            <w:vAlign w:val="center"/>
          </w:tcPr>
          <w:p w:rsidR="00240BCE" w:rsidRDefault="00AC0334">
            <w:pPr>
              <w:widowControl/>
              <w:jc w:val="center"/>
              <w:textAlignment w:val="center"/>
              <w:rPr>
                <w:bCs/>
                <w:sz w:val="21"/>
                <w:szCs w:val="21"/>
              </w:rPr>
            </w:pPr>
            <w:r>
              <w:rPr>
                <w:bCs/>
                <w:sz w:val="21"/>
                <w:szCs w:val="21"/>
              </w:rPr>
              <w:t>mg/kg</w:t>
            </w:r>
          </w:p>
        </w:tc>
        <w:tc>
          <w:tcPr>
            <w:tcW w:w="601" w:type="pct"/>
            <w:vAlign w:val="center"/>
          </w:tcPr>
          <w:p w:rsidR="00240BCE" w:rsidRDefault="00240BCE">
            <w:pPr>
              <w:snapToGrid w:val="0"/>
              <w:jc w:val="center"/>
              <w:rPr>
                <w:kern w:val="0"/>
                <w:sz w:val="21"/>
                <w:szCs w:val="21"/>
              </w:rPr>
            </w:pPr>
          </w:p>
        </w:tc>
        <w:tc>
          <w:tcPr>
            <w:tcW w:w="602" w:type="pct"/>
            <w:vAlign w:val="center"/>
          </w:tcPr>
          <w:p w:rsidR="00240BCE" w:rsidRDefault="00240BCE">
            <w:pPr>
              <w:snapToGrid w:val="0"/>
              <w:jc w:val="center"/>
              <w:rPr>
                <w:sz w:val="21"/>
                <w:szCs w:val="21"/>
              </w:rPr>
            </w:pPr>
          </w:p>
        </w:tc>
        <w:tc>
          <w:tcPr>
            <w:tcW w:w="602" w:type="pct"/>
            <w:vAlign w:val="center"/>
          </w:tcPr>
          <w:p w:rsidR="00240BCE" w:rsidRDefault="00240BCE">
            <w:pPr>
              <w:snapToGrid w:val="0"/>
              <w:jc w:val="center"/>
              <w:rPr>
                <w:sz w:val="21"/>
                <w:szCs w:val="21"/>
              </w:rPr>
            </w:pPr>
          </w:p>
        </w:tc>
        <w:tc>
          <w:tcPr>
            <w:tcW w:w="602" w:type="pct"/>
            <w:vAlign w:val="center"/>
          </w:tcPr>
          <w:p w:rsidR="00240BCE" w:rsidRDefault="00240BCE">
            <w:pPr>
              <w:snapToGrid w:val="0"/>
              <w:jc w:val="center"/>
              <w:rPr>
                <w:sz w:val="21"/>
                <w:szCs w:val="21"/>
              </w:rPr>
            </w:pPr>
          </w:p>
        </w:tc>
        <w:tc>
          <w:tcPr>
            <w:tcW w:w="602" w:type="pct"/>
            <w:vAlign w:val="center"/>
          </w:tcPr>
          <w:p w:rsidR="00240BCE" w:rsidRDefault="00AC0334">
            <w:pPr>
              <w:jc w:val="center"/>
              <w:rPr>
                <w:spacing w:val="4"/>
                <w:sz w:val="21"/>
                <w:szCs w:val="21"/>
              </w:rPr>
            </w:pPr>
            <w:r>
              <w:rPr>
                <w:spacing w:val="4"/>
                <w:sz w:val="21"/>
                <w:szCs w:val="21"/>
              </w:rPr>
              <w:t>46</w:t>
            </w:r>
          </w:p>
        </w:tc>
        <w:tc>
          <w:tcPr>
            <w:tcW w:w="713" w:type="pct"/>
            <w:vAlign w:val="center"/>
          </w:tcPr>
          <w:p w:rsidR="00240BCE" w:rsidRDefault="00AC0334">
            <w:pPr>
              <w:snapToGrid w:val="0"/>
              <w:jc w:val="center"/>
              <w:rPr>
                <w:sz w:val="21"/>
                <w:szCs w:val="21"/>
              </w:rPr>
            </w:pPr>
            <w:r>
              <w:rPr>
                <w:sz w:val="21"/>
                <w:szCs w:val="21"/>
              </w:rPr>
              <w:t>170</w:t>
            </w:r>
          </w:p>
        </w:tc>
        <w:tc>
          <w:tcPr>
            <w:tcW w:w="326" w:type="pct"/>
            <w:vAlign w:val="center"/>
          </w:tcPr>
          <w:p w:rsidR="00240BCE" w:rsidRDefault="00AC0334">
            <w:pPr>
              <w:snapToGrid w:val="0"/>
              <w:jc w:val="center"/>
              <w:rPr>
                <w:sz w:val="21"/>
                <w:szCs w:val="21"/>
              </w:rPr>
            </w:pPr>
            <w:r>
              <w:rPr>
                <w:kern w:val="0"/>
                <w:sz w:val="21"/>
                <w:szCs w:val="21"/>
              </w:rPr>
              <w:t>达标</w:t>
            </w:r>
          </w:p>
        </w:tc>
      </w:tr>
      <w:tr w:rsidR="00240BCE">
        <w:tc>
          <w:tcPr>
            <w:tcW w:w="478" w:type="pct"/>
            <w:vAlign w:val="center"/>
          </w:tcPr>
          <w:p w:rsidR="00240BCE" w:rsidRDefault="00AC0334">
            <w:pPr>
              <w:widowControl/>
              <w:jc w:val="center"/>
              <w:textAlignment w:val="center"/>
              <w:rPr>
                <w:bCs/>
                <w:sz w:val="21"/>
                <w:szCs w:val="21"/>
              </w:rPr>
            </w:pPr>
            <w:r>
              <w:rPr>
                <w:bCs/>
                <w:sz w:val="21"/>
                <w:szCs w:val="21"/>
              </w:rPr>
              <w:t>铜</w:t>
            </w:r>
          </w:p>
        </w:tc>
        <w:tc>
          <w:tcPr>
            <w:tcW w:w="474" w:type="pct"/>
            <w:vAlign w:val="center"/>
          </w:tcPr>
          <w:p w:rsidR="00240BCE" w:rsidRDefault="00AC0334">
            <w:pPr>
              <w:widowControl/>
              <w:jc w:val="center"/>
              <w:textAlignment w:val="center"/>
              <w:rPr>
                <w:bCs/>
                <w:sz w:val="21"/>
                <w:szCs w:val="21"/>
              </w:rPr>
            </w:pPr>
            <w:r>
              <w:rPr>
                <w:bCs/>
                <w:sz w:val="21"/>
                <w:szCs w:val="21"/>
              </w:rPr>
              <w:t>mg/kg</w:t>
            </w:r>
          </w:p>
        </w:tc>
        <w:tc>
          <w:tcPr>
            <w:tcW w:w="601" w:type="pct"/>
            <w:vAlign w:val="center"/>
          </w:tcPr>
          <w:p w:rsidR="00240BCE" w:rsidRDefault="00240BCE">
            <w:pPr>
              <w:widowControl/>
              <w:jc w:val="center"/>
              <w:textAlignment w:val="center"/>
              <w:rPr>
                <w:kern w:val="0"/>
                <w:sz w:val="21"/>
                <w:szCs w:val="21"/>
              </w:rPr>
            </w:pPr>
          </w:p>
        </w:tc>
        <w:tc>
          <w:tcPr>
            <w:tcW w:w="602" w:type="pct"/>
            <w:vAlign w:val="center"/>
          </w:tcPr>
          <w:p w:rsidR="00240BCE" w:rsidRDefault="00240BCE">
            <w:pPr>
              <w:widowControl/>
              <w:jc w:val="center"/>
              <w:textAlignment w:val="center"/>
              <w:rPr>
                <w:kern w:val="0"/>
                <w:sz w:val="21"/>
                <w:szCs w:val="21"/>
              </w:rPr>
            </w:pPr>
          </w:p>
        </w:tc>
        <w:tc>
          <w:tcPr>
            <w:tcW w:w="602" w:type="pct"/>
            <w:vAlign w:val="center"/>
          </w:tcPr>
          <w:p w:rsidR="00240BCE" w:rsidRDefault="00240BCE">
            <w:pPr>
              <w:widowControl/>
              <w:jc w:val="center"/>
              <w:textAlignment w:val="center"/>
              <w:rPr>
                <w:kern w:val="0"/>
                <w:sz w:val="21"/>
                <w:szCs w:val="21"/>
              </w:rPr>
            </w:pPr>
          </w:p>
        </w:tc>
        <w:tc>
          <w:tcPr>
            <w:tcW w:w="602" w:type="pct"/>
            <w:vAlign w:val="center"/>
          </w:tcPr>
          <w:p w:rsidR="00240BCE" w:rsidRDefault="00240BCE">
            <w:pPr>
              <w:widowControl/>
              <w:jc w:val="center"/>
              <w:textAlignment w:val="center"/>
              <w:rPr>
                <w:kern w:val="0"/>
                <w:sz w:val="21"/>
                <w:szCs w:val="21"/>
              </w:rPr>
            </w:pPr>
          </w:p>
        </w:tc>
        <w:tc>
          <w:tcPr>
            <w:tcW w:w="602" w:type="pct"/>
            <w:vAlign w:val="center"/>
          </w:tcPr>
          <w:p w:rsidR="00240BCE" w:rsidRDefault="00AC0334">
            <w:pPr>
              <w:widowControl/>
              <w:jc w:val="center"/>
              <w:textAlignment w:val="center"/>
              <w:rPr>
                <w:kern w:val="0"/>
                <w:sz w:val="21"/>
                <w:szCs w:val="21"/>
              </w:rPr>
            </w:pPr>
            <w:r>
              <w:rPr>
                <w:spacing w:val="4"/>
                <w:sz w:val="21"/>
                <w:szCs w:val="21"/>
              </w:rPr>
              <w:t>16.2</w:t>
            </w:r>
          </w:p>
        </w:tc>
        <w:tc>
          <w:tcPr>
            <w:tcW w:w="713" w:type="pct"/>
            <w:vAlign w:val="center"/>
          </w:tcPr>
          <w:p w:rsidR="00240BCE" w:rsidRDefault="00AC0334">
            <w:pPr>
              <w:snapToGrid w:val="0"/>
              <w:jc w:val="center"/>
              <w:rPr>
                <w:kern w:val="0"/>
                <w:sz w:val="21"/>
                <w:szCs w:val="21"/>
              </w:rPr>
            </w:pPr>
            <w:r>
              <w:rPr>
                <w:kern w:val="0"/>
                <w:sz w:val="21"/>
                <w:szCs w:val="21"/>
              </w:rPr>
              <w:t>100</w:t>
            </w:r>
          </w:p>
        </w:tc>
        <w:tc>
          <w:tcPr>
            <w:tcW w:w="326" w:type="pct"/>
            <w:vAlign w:val="center"/>
          </w:tcPr>
          <w:p w:rsidR="00240BCE" w:rsidRDefault="00AC0334">
            <w:pPr>
              <w:snapToGrid w:val="0"/>
              <w:jc w:val="center"/>
              <w:rPr>
                <w:kern w:val="0"/>
                <w:sz w:val="21"/>
                <w:szCs w:val="21"/>
              </w:rPr>
            </w:pPr>
            <w:r>
              <w:rPr>
                <w:kern w:val="0"/>
                <w:sz w:val="21"/>
                <w:szCs w:val="21"/>
              </w:rPr>
              <w:t>达标</w:t>
            </w:r>
          </w:p>
        </w:tc>
      </w:tr>
      <w:tr w:rsidR="00240BCE">
        <w:tc>
          <w:tcPr>
            <w:tcW w:w="478" w:type="pct"/>
            <w:vAlign w:val="center"/>
          </w:tcPr>
          <w:p w:rsidR="00240BCE" w:rsidRDefault="00AC0334">
            <w:pPr>
              <w:jc w:val="center"/>
              <w:rPr>
                <w:bCs/>
                <w:sz w:val="21"/>
                <w:szCs w:val="21"/>
              </w:rPr>
            </w:pPr>
            <w:r>
              <w:rPr>
                <w:bCs/>
                <w:sz w:val="21"/>
                <w:szCs w:val="21"/>
              </w:rPr>
              <w:t>镉</w:t>
            </w:r>
          </w:p>
        </w:tc>
        <w:tc>
          <w:tcPr>
            <w:tcW w:w="474" w:type="pct"/>
            <w:vAlign w:val="center"/>
          </w:tcPr>
          <w:p w:rsidR="00240BCE" w:rsidRDefault="00AC0334">
            <w:pPr>
              <w:ind w:right="-108"/>
              <w:jc w:val="center"/>
              <w:rPr>
                <w:bCs/>
                <w:sz w:val="21"/>
                <w:szCs w:val="21"/>
              </w:rPr>
            </w:pPr>
            <w:r>
              <w:rPr>
                <w:bCs/>
                <w:sz w:val="21"/>
                <w:szCs w:val="21"/>
              </w:rPr>
              <w:t>mg/kg</w:t>
            </w:r>
          </w:p>
        </w:tc>
        <w:tc>
          <w:tcPr>
            <w:tcW w:w="601" w:type="pct"/>
            <w:vAlign w:val="center"/>
          </w:tcPr>
          <w:p w:rsidR="00240BCE" w:rsidRDefault="00AC0334">
            <w:pPr>
              <w:jc w:val="center"/>
              <w:rPr>
                <w:sz w:val="21"/>
                <w:szCs w:val="21"/>
              </w:rPr>
            </w:pPr>
            <w:r>
              <w:rPr>
                <w:sz w:val="21"/>
                <w:szCs w:val="21"/>
              </w:rPr>
              <w:t>0.28</w:t>
            </w:r>
          </w:p>
        </w:tc>
        <w:tc>
          <w:tcPr>
            <w:tcW w:w="602" w:type="pct"/>
            <w:vAlign w:val="center"/>
          </w:tcPr>
          <w:p w:rsidR="00240BCE" w:rsidRDefault="00AC0334">
            <w:pPr>
              <w:jc w:val="center"/>
              <w:rPr>
                <w:sz w:val="21"/>
                <w:szCs w:val="21"/>
              </w:rPr>
            </w:pPr>
            <w:r>
              <w:rPr>
                <w:sz w:val="21"/>
                <w:szCs w:val="21"/>
              </w:rPr>
              <w:t>0.24</w:t>
            </w:r>
          </w:p>
        </w:tc>
        <w:tc>
          <w:tcPr>
            <w:tcW w:w="602" w:type="pct"/>
            <w:vAlign w:val="center"/>
          </w:tcPr>
          <w:p w:rsidR="00240BCE" w:rsidRDefault="00AC0334">
            <w:pPr>
              <w:jc w:val="center"/>
              <w:rPr>
                <w:sz w:val="21"/>
                <w:szCs w:val="21"/>
              </w:rPr>
            </w:pPr>
            <w:r>
              <w:rPr>
                <w:sz w:val="21"/>
                <w:szCs w:val="21"/>
              </w:rPr>
              <w:t>0.21</w:t>
            </w:r>
          </w:p>
        </w:tc>
        <w:tc>
          <w:tcPr>
            <w:tcW w:w="602" w:type="pct"/>
            <w:vAlign w:val="center"/>
          </w:tcPr>
          <w:p w:rsidR="00240BCE" w:rsidRDefault="00AC0334">
            <w:pPr>
              <w:jc w:val="center"/>
              <w:rPr>
                <w:sz w:val="21"/>
                <w:szCs w:val="21"/>
              </w:rPr>
            </w:pPr>
            <w:r>
              <w:rPr>
                <w:sz w:val="21"/>
                <w:szCs w:val="21"/>
              </w:rPr>
              <w:t>0.30</w:t>
            </w:r>
          </w:p>
        </w:tc>
        <w:tc>
          <w:tcPr>
            <w:tcW w:w="602" w:type="pct"/>
            <w:vAlign w:val="center"/>
          </w:tcPr>
          <w:p w:rsidR="00240BCE" w:rsidRDefault="00AC0334">
            <w:pPr>
              <w:jc w:val="center"/>
              <w:rPr>
                <w:spacing w:val="4"/>
                <w:sz w:val="21"/>
                <w:szCs w:val="21"/>
              </w:rPr>
            </w:pPr>
            <w:r>
              <w:rPr>
                <w:spacing w:val="4"/>
                <w:sz w:val="21"/>
                <w:szCs w:val="21"/>
              </w:rPr>
              <w:t>0.26</w:t>
            </w:r>
          </w:p>
        </w:tc>
        <w:tc>
          <w:tcPr>
            <w:tcW w:w="713" w:type="pct"/>
            <w:vAlign w:val="center"/>
          </w:tcPr>
          <w:p w:rsidR="00240BCE" w:rsidRDefault="00AC0334">
            <w:pPr>
              <w:widowControl/>
              <w:jc w:val="center"/>
              <w:textAlignment w:val="center"/>
              <w:rPr>
                <w:kern w:val="0"/>
                <w:sz w:val="21"/>
                <w:szCs w:val="21"/>
              </w:rPr>
            </w:pPr>
            <w:r>
              <w:rPr>
                <w:kern w:val="0"/>
                <w:sz w:val="21"/>
                <w:szCs w:val="21"/>
              </w:rPr>
              <w:t>0.6</w:t>
            </w:r>
          </w:p>
        </w:tc>
        <w:tc>
          <w:tcPr>
            <w:tcW w:w="326" w:type="pct"/>
            <w:vAlign w:val="center"/>
          </w:tcPr>
          <w:p w:rsidR="00240BCE" w:rsidRDefault="00AC0334">
            <w:pPr>
              <w:widowControl/>
              <w:jc w:val="center"/>
              <w:textAlignment w:val="center"/>
              <w:rPr>
                <w:kern w:val="0"/>
                <w:sz w:val="21"/>
                <w:szCs w:val="21"/>
              </w:rPr>
            </w:pPr>
            <w:r>
              <w:rPr>
                <w:kern w:val="0"/>
                <w:sz w:val="21"/>
                <w:szCs w:val="21"/>
              </w:rPr>
              <w:t>达标</w:t>
            </w:r>
          </w:p>
        </w:tc>
      </w:tr>
      <w:tr w:rsidR="00240BCE">
        <w:tc>
          <w:tcPr>
            <w:tcW w:w="478" w:type="pct"/>
            <w:vAlign w:val="center"/>
          </w:tcPr>
          <w:p w:rsidR="00240BCE" w:rsidRDefault="00AC0334">
            <w:pPr>
              <w:jc w:val="center"/>
              <w:textAlignment w:val="center"/>
              <w:rPr>
                <w:bCs/>
                <w:sz w:val="21"/>
                <w:szCs w:val="21"/>
              </w:rPr>
            </w:pPr>
            <w:r>
              <w:rPr>
                <w:bCs/>
                <w:sz w:val="21"/>
                <w:szCs w:val="21"/>
              </w:rPr>
              <w:t>镍</w:t>
            </w:r>
          </w:p>
        </w:tc>
        <w:tc>
          <w:tcPr>
            <w:tcW w:w="474" w:type="pct"/>
            <w:vAlign w:val="center"/>
          </w:tcPr>
          <w:p w:rsidR="00240BCE" w:rsidRDefault="00AC0334">
            <w:pPr>
              <w:widowControl/>
              <w:jc w:val="center"/>
              <w:textAlignment w:val="center"/>
              <w:rPr>
                <w:bCs/>
                <w:sz w:val="21"/>
                <w:szCs w:val="21"/>
              </w:rPr>
            </w:pPr>
            <w:r>
              <w:rPr>
                <w:bCs/>
                <w:sz w:val="21"/>
                <w:szCs w:val="21"/>
              </w:rPr>
              <w:t>mg/kg</w:t>
            </w:r>
          </w:p>
        </w:tc>
        <w:tc>
          <w:tcPr>
            <w:tcW w:w="601" w:type="pct"/>
            <w:vAlign w:val="center"/>
          </w:tcPr>
          <w:p w:rsidR="00240BCE" w:rsidRDefault="00240BCE">
            <w:pPr>
              <w:adjustRightInd w:val="0"/>
              <w:snapToGrid w:val="0"/>
              <w:jc w:val="center"/>
              <w:rPr>
                <w:sz w:val="21"/>
                <w:szCs w:val="21"/>
              </w:rPr>
            </w:pPr>
          </w:p>
        </w:tc>
        <w:tc>
          <w:tcPr>
            <w:tcW w:w="602" w:type="pct"/>
            <w:vAlign w:val="center"/>
          </w:tcPr>
          <w:p w:rsidR="00240BCE" w:rsidRDefault="00240BCE">
            <w:pPr>
              <w:adjustRightInd w:val="0"/>
              <w:snapToGrid w:val="0"/>
              <w:jc w:val="center"/>
              <w:rPr>
                <w:sz w:val="21"/>
                <w:szCs w:val="21"/>
              </w:rPr>
            </w:pPr>
          </w:p>
        </w:tc>
        <w:tc>
          <w:tcPr>
            <w:tcW w:w="602" w:type="pct"/>
            <w:vAlign w:val="center"/>
          </w:tcPr>
          <w:p w:rsidR="00240BCE" w:rsidRDefault="00240BCE">
            <w:pPr>
              <w:adjustRightInd w:val="0"/>
              <w:snapToGrid w:val="0"/>
              <w:jc w:val="center"/>
              <w:rPr>
                <w:sz w:val="21"/>
                <w:szCs w:val="21"/>
              </w:rPr>
            </w:pPr>
          </w:p>
        </w:tc>
        <w:tc>
          <w:tcPr>
            <w:tcW w:w="602" w:type="pct"/>
            <w:vAlign w:val="center"/>
          </w:tcPr>
          <w:p w:rsidR="00240BCE" w:rsidRDefault="00240BCE">
            <w:pPr>
              <w:adjustRightInd w:val="0"/>
              <w:snapToGrid w:val="0"/>
              <w:jc w:val="center"/>
              <w:rPr>
                <w:sz w:val="21"/>
                <w:szCs w:val="21"/>
              </w:rPr>
            </w:pPr>
          </w:p>
        </w:tc>
        <w:tc>
          <w:tcPr>
            <w:tcW w:w="602" w:type="pct"/>
            <w:vAlign w:val="center"/>
          </w:tcPr>
          <w:p w:rsidR="00240BCE" w:rsidRDefault="00AC0334">
            <w:pPr>
              <w:adjustRightInd w:val="0"/>
              <w:snapToGrid w:val="0"/>
              <w:jc w:val="center"/>
              <w:rPr>
                <w:sz w:val="21"/>
                <w:szCs w:val="21"/>
              </w:rPr>
            </w:pPr>
            <w:r>
              <w:rPr>
                <w:spacing w:val="4"/>
                <w:sz w:val="21"/>
                <w:szCs w:val="21"/>
              </w:rPr>
              <w:t>20</w:t>
            </w:r>
          </w:p>
        </w:tc>
        <w:tc>
          <w:tcPr>
            <w:tcW w:w="713" w:type="pct"/>
            <w:vAlign w:val="center"/>
          </w:tcPr>
          <w:p w:rsidR="00240BCE" w:rsidRDefault="00AC0334">
            <w:pPr>
              <w:adjustRightInd w:val="0"/>
              <w:snapToGrid w:val="0"/>
              <w:jc w:val="center"/>
              <w:rPr>
                <w:sz w:val="21"/>
                <w:szCs w:val="21"/>
              </w:rPr>
            </w:pPr>
            <w:r>
              <w:rPr>
                <w:sz w:val="21"/>
                <w:szCs w:val="21"/>
              </w:rPr>
              <w:t>190</w:t>
            </w:r>
          </w:p>
        </w:tc>
        <w:tc>
          <w:tcPr>
            <w:tcW w:w="326" w:type="pct"/>
            <w:vAlign w:val="center"/>
          </w:tcPr>
          <w:p w:rsidR="00240BCE" w:rsidRDefault="00AC0334">
            <w:pPr>
              <w:adjustRightInd w:val="0"/>
              <w:snapToGrid w:val="0"/>
              <w:jc w:val="center"/>
              <w:rPr>
                <w:sz w:val="21"/>
                <w:szCs w:val="21"/>
              </w:rPr>
            </w:pPr>
            <w:r>
              <w:rPr>
                <w:kern w:val="0"/>
                <w:sz w:val="21"/>
                <w:szCs w:val="21"/>
              </w:rPr>
              <w:t>达标</w:t>
            </w:r>
          </w:p>
        </w:tc>
      </w:tr>
      <w:tr w:rsidR="00240BCE">
        <w:tc>
          <w:tcPr>
            <w:tcW w:w="478" w:type="pct"/>
            <w:vAlign w:val="center"/>
          </w:tcPr>
          <w:p w:rsidR="00240BCE" w:rsidRDefault="00AC0334">
            <w:pPr>
              <w:jc w:val="center"/>
              <w:textAlignment w:val="center"/>
              <w:rPr>
                <w:bCs/>
                <w:sz w:val="21"/>
                <w:szCs w:val="21"/>
              </w:rPr>
            </w:pPr>
            <w:r>
              <w:rPr>
                <w:bCs/>
                <w:sz w:val="21"/>
                <w:szCs w:val="21"/>
              </w:rPr>
              <w:t>锌</w:t>
            </w:r>
          </w:p>
        </w:tc>
        <w:tc>
          <w:tcPr>
            <w:tcW w:w="474" w:type="pct"/>
            <w:vAlign w:val="center"/>
          </w:tcPr>
          <w:p w:rsidR="00240BCE" w:rsidRDefault="00AC0334">
            <w:pPr>
              <w:widowControl/>
              <w:jc w:val="center"/>
              <w:textAlignment w:val="center"/>
              <w:rPr>
                <w:bCs/>
                <w:sz w:val="21"/>
                <w:szCs w:val="21"/>
              </w:rPr>
            </w:pPr>
            <w:r>
              <w:rPr>
                <w:bCs/>
                <w:sz w:val="21"/>
                <w:szCs w:val="21"/>
              </w:rPr>
              <w:t>mg/kg</w:t>
            </w:r>
          </w:p>
        </w:tc>
        <w:tc>
          <w:tcPr>
            <w:tcW w:w="601" w:type="pct"/>
            <w:vAlign w:val="center"/>
          </w:tcPr>
          <w:p w:rsidR="00240BCE" w:rsidRDefault="00240BCE">
            <w:pPr>
              <w:adjustRightInd w:val="0"/>
              <w:snapToGrid w:val="0"/>
              <w:jc w:val="center"/>
              <w:rPr>
                <w:sz w:val="21"/>
                <w:szCs w:val="21"/>
              </w:rPr>
            </w:pPr>
          </w:p>
        </w:tc>
        <w:tc>
          <w:tcPr>
            <w:tcW w:w="602" w:type="pct"/>
            <w:vAlign w:val="center"/>
          </w:tcPr>
          <w:p w:rsidR="00240BCE" w:rsidRDefault="00240BCE">
            <w:pPr>
              <w:adjustRightInd w:val="0"/>
              <w:snapToGrid w:val="0"/>
              <w:jc w:val="center"/>
              <w:rPr>
                <w:sz w:val="21"/>
                <w:szCs w:val="21"/>
              </w:rPr>
            </w:pPr>
          </w:p>
        </w:tc>
        <w:tc>
          <w:tcPr>
            <w:tcW w:w="602" w:type="pct"/>
            <w:vAlign w:val="center"/>
          </w:tcPr>
          <w:p w:rsidR="00240BCE" w:rsidRDefault="00240BCE">
            <w:pPr>
              <w:adjustRightInd w:val="0"/>
              <w:snapToGrid w:val="0"/>
              <w:jc w:val="center"/>
              <w:rPr>
                <w:sz w:val="21"/>
                <w:szCs w:val="21"/>
              </w:rPr>
            </w:pPr>
          </w:p>
        </w:tc>
        <w:tc>
          <w:tcPr>
            <w:tcW w:w="602" w:type="pct"/>
            <w:vAlign w:val="center"/>
          </w:tcPr>
          <w:p w:rsidR="00240BCE" w:rsidRDefault="00240BCE">
            <w:pPr>
              <w:adjustRightInd w:val="0"/>
              <w:snapToGrid w:val="0"/>
              <w:jc w:val="center"/>
              <w:rPr>
                <w:sz w:val="21"/>
                <w:szCs w:val="21"/>
              </w:rPr>
            </w:pPr>
          </w:p>
        </w:tc>
        <w:tc>
          <w:tcPr>
            <w:tcW w:w="602" w:type="pct"/>
            <w:vAlign w:val="center"/>
          </w:tcPr>
          <w:p w:rsidR="00240BCE" w:rsidRDefault="00AC0334">
            <w:pPr>
              <w:jc w:val="center"/>
              <w:rPr>
                <w:spacing w:val="4"/>
                <w:sz w:val="21"/>
                <w:szCs w:val="21"/>
              </w:rPr>
            </w:pPr>
            <w:r>
              <w:rPr>
                <w:spacing w:val="4"/>
                <w:sz w:val="21"/>
                <w:szCs w:val="21"/>
              </w:rPr>
              <w:t>47</w:t>
            </w:r>
          </w:p>
        </w:tc>
        <w:tc>
          <w:tcPr>
            <w:tcW w:w="713" w:type="pct"/>
            <w:vAlign w:val="center"/>
          </w:tcPr>
          <w:p w:rsidR="00240BCE" w:rsidRDefault="00AC0334">
            <w:pPr>
              <w:adjustRightInd w:val="0"/>
              <w:snapToGrid w:val="0"/>
              <w:jc w:val="center"/>
              <w:rPr>
                <w:sz w:val="21"/>
                <w:szCs w:val="21"/>
              </w:rPr>
            </w:pPr>
            <w:r>
              <w:rPr>
                <w:sz w:val="21"/>
                <w:szCs w:val="21"/>
              </w:rPr>
              <w:t>300</w:t>
            </w:r>
          </w:p>
        </w:tc>
        <w:tc>
          <w:tcPr>
            <w:tcW w:w="326" w:type="pct"/>
            <w:vAlign w:val="center"/>
          </w:tcPr>
          <w:p w:rsidR="00240BCE" w:rsidRDefault="00AC0334">
            <w:pPr>
              <w:adjustRightInd w:val="0"/>
              <w:snapToGrid w:val="0"/>
              <w:jc w:val="center"/>
              <w:rPr>
                <w:sz w:val="21"/>
                <w:szCs w:val="21"/>
              </w:rPr>
            </w:pPr>
            <w:r>
              <w:rPr>
                <w:kern w:val="0"/>
                <w:sz w:val="21"/>
                <w:szCs w:val="21"/>
              </w:rPr>
              <w:t>达标</w:t>
            </w:r>
          </w:p>
        </w:tc>
      </w:tr>
      <w:tr w:rsidR="00240BCE">
        <w:tc>
          <w:tcPr>
            <w:tcW w:w="478" w:type="pct"/>
            <w:vAlign w:val="center"/>
          </w:tcPr>
          <w:p w:rsidR="00240BCE" w:rsidRDefault="00AC0334">
            <w:pPr>
              <w:widowControl/>
              <w:jc w:val="center"/>
              <w:textAlignment w:val="center"/>
              <w:rPr>
                <w:bCs/>
                <w:sz w:val="21"/>
                <w:szCs w:val="21"/>
              </w:rPr>
            </w:pPr>
            <w:r>
              <w:rPr>
                <w:bCs/>
                <w:sz w:val="21"/>
                <w:szCs w:val="21"/>
              </w:rPr>
              <w:t>铬</w:t>
            </w:r>
          </w:p>
        </w:tc>
        <w:tc>
          <w:tcPr>
            <w:tcW w:w="474" w:type="pct"/>
            <w:vAlign w:val="center"/>
          </w:tcPr>
          <w:p w:rsidR="00240BCE" w:rsidRDefault="00AC0334">
            <w:pPr>
              <w:widowControl/>
              <w:jc w:val="center"/>
              <w:textAlignment w:val="center"/>
              <w:rPr>
                <w:bCs/>
                <w:sz w:val="21"/>
                <w:szCs w:val="21"/>
              </w:rPr>
            </w:pPr>
            <w:r>
              <w:rPr>
                <w:bCs/>
                <w:sz w:val="21"/>
                <w:szCs w:val="21"/>
              </w:rPr>
              <w:t>mg/kg</w:t>
            </w:r>
          </w:p>
        </w:tc>
        <w:tc>
          <w:tcPr>
            <w:tcW w:w="601" w:type="pct"/>
            <w:vAlign w:val="center"/>
          </w:tcPr>
          <w:p w:rsidR="00240BCE" w:rsidRDefault="00240BCE">
            <w:pPr>
              <w:snapToGrid w:val="0"/>
              <w:jc w:val="center"/>
              <w:rPr>
                <w:kern w:val="0"/>
                <w:sz w:val="21"/>
                <w:szCs w:val="21"/>
              </w:rPr>
            </w:pPr>
          </w:p>
        </w:tc>
        <w:tc>
          <w:tcPr>
            <w:tcW w:w="602" w:type="pct"/>
            <w:vAlign w:val="center"/>
          </w:tcPr>
          <w:p w:rsidR="00240BCE" w:rsidRDefault="00240BCE">
            <w:pPr>
              <w:snapToGrid w:val="0"/>
              <w:jc w:val="center"/>
              <w:rPr>
                <w:kern w:val="0"/>
                <w:sz w:val="21"/>
                <w:szCs w:val="21"/>
              </w:rPr>
            </w:pPr>
          </w:p>
        </w:tc>
        <w:tc>
          <w:tcPr>
            <w:tcW w:w="602" w:type="pct"/>
            <w:vAlign w:val="center"/>
          </w:tcPr>
          <w:p w:rsidR="00240BCE" w:rsidRDefault="00240BCE">
            <w:pPr>
              <w:snapToGrid w:val="0"/>
              <w:jc w:val="center"/>
              <w:rPr>
                <w:kern w:val="0"/>
                <w:sz w:val="21"/>
                <w:szCs w:val="21"/>
              </w:rPr>
            </w:pPr>
          </w:p>
        </w:tc>
        <w:tc>
          <w:tcPr>
            <w:tcW w:w="602" w:type="pct"/>
            <w:vAlign w:val="center"/>
          </w:tcPr>
          <w:p w:rsidR="00240BCE" w:rsidRDefault="00240BCE">
            <w:pPr>
              <w:snapToGrid w:val="0"/>
              <w:jc w:val="center"/>
              <w:rPr>
                <w:kern w:val="0"/>
                <w:sz w:val="21"/>
                <w:szCs w:val="21"/>
              </w:rPr>
            </w:pPr>
          </w:p>
        </w:tc>
        <w:tc>
          <w:tcPr>
            <w:tcW w:w="602" w:type="pct"/>
            <w:vAlign w:val="center"/>
          </w:tcPr>
          <w:p w:rsidR="00240BCE" w:rsidRDefault="00AC0334">
            <w:pPr>
              <w:jc w:val="center"/>
              <w:rPr>
                <w:spacing w:val="4"/>
                <w:sz w:val="21"/>
                <w:szCs w:val="21"/>
              </w:rPr>
            </w:pPr>
            <w:r>
              <w:rPr>
                <w:spacing w:val="4"/>
                <w:sz w:val="21"/>
                <w:szCs w:val="21"/>
              </w:rPr>
              <w:t>45</w:t>
            </w:r>
          </w:p>
        </w:tc>
        <w:tc>
          <w:tcPr>
            <w:tcW w:w="713" w:type="pct"/>
            <w:vAlign w:val="center"/>
          </w:tcPr>
          <w:p w:rsidR="00240BCE" w:rsidRDefault="00AC0334">
            <w:pPr>
              <w:adjustRightInd w:val="0"/>
              <w:snapToGrid w:val="0"/>
              <w:jc w:val="center"/>
              <w:rPr>
                <w:sz w:val="21"/>
                <w:szCs w:val="21"/>
              </w:rPr>
            </w:pPr>
            <w:r>
              <w:rPr>
                <w:sz w:val="21"/>
                <w:szCs w:val="21"/>
              </w:rPr>
              <w:t>250</w:t>
            </w:r>
          </w:p>
        </w:tc>
        <w:tc>
          <w:tcPr>
            <w:tcW w:w="326" w:type="pct"/>
            <w:vAlign w:val="center"/>
          </w:tcPr>
          <w:p w:rsidR="00240BCE" w:rsidRDefault="00AC0334">
            <w:pPr>
              <w:adjustRightInd w:val="0"/>
              <w:snapToGrid w:val="0"/>
              <w:jc w:val="center"/>
              <w:rPr>
                <w:sz w:val="21"/>
                <w:szCs w:val="21"/>
              </w:rPr>
            </w:pPr>
            <w:r>
              <w:rPr>
                <w:sz w:val="21"/>
                <w:szCs w:val="21"/>
              </w:rPr>
              <w:t>达标</w:t>
            </w:r>
          </w:p>
        </w:tc>
      </w:tr>
    </w:tbl>
    <w:p w:rsidR="00240BCE" w:rsidRDefault="00AC0334">
      <w:pPr>
        <w:spacing w:line="520" w:lineRule="exact"/>
        <w:ind w:firstLineChars="200" w:firstLine="480"/>
        <w:rPr>
          <w:sz w:val="24"/>
        </w:rPr>
      </w:pPr>
      <w:r>
        <w:rPr>
          <w:sz w:val="24"/>
        </w:rPr>
        <w:t>由上表可以看出，各土壤监测点位（非农用地）各重金属和无机物污染物监测结果均能够满足《土壤环境质量建设用地土壤污染风险管控标准（试行）》（</w:t>
      </w:r>
      <w:r>
        <w:rPr>
          <w:sz w:val="24"/>
        </w:rPr>
        <w:t>GB36600-2018</w:t>
      </w:r>
      <w:r>
        <w:rPr>
          <w:sz w:val="24"/>
        </w:rPr>
        <w:t>）第二类用地筛选值，农用地土壤监测点各监测结果均能够满足《土壤环境质量</w:t>
      </w:r>
      <w:r>
        <w:rPr>
          <w:sz w:val="24"/>
        </w:rPr>
        <w:t xml:space="preserve"> </w:t>
      </w:r>
      <w:r>
        <w:rPr>
          <w:sz w:val="24"/>
        </w:rPr>
        <w:t>农用地土壤污染风险管控标准</w:t>
      </w:r>
      <w:r>
        <w:rPr>
          <w:sz w:val="24"/>
        </w:rPr>
        <w:t>(</w:t>
      </w:r>
      <w:r>
        <w:rPr>
          <w:sz w:val="24"/>
        </w:rPr>
        <w:t>试行</w:t>
      </w:r>
      <w:r>
        <w:rPr>
          <w:sz w:val="24"/>
        </w:rPr>
        <w:t>)</w:t>
      </w:r>
      <w:r>
        <w:rPr>
          <w:sz w:val="24"/>
        </w:rPr>
        <w:t>》</w:t>
      </w:r>
      <w:r>
        <w:rPr>
          <w:sz w:val="24"/>
        </w:rPr>
        <w:t>(GB15618-2018)</w:t>
      </w:r>
      <w:r>
        <w:rPr>
          <w:sz w:val="24"/>
        </w:rPr>
        <w:t>风险筛选值要求。</w:t>
      </w:r>
      <w:bookmarkEnd w:id="385"/>
      <w:r>
        <w:rPr>
          <w:sz w:val="24"/>
        </w:rPr>
        <w:t>根据《工矿用地土壤环境管理办法（试行）》（部令第</w:t>
      </w:r>
      <w:r>
        <w:rPr>
          <w:sz w:val="24"/>
        </w:rPr>
        <w:t>3</w:t>
      </w:r>
      <w:r>
        <w:rPr>
          <w:sz w:val="24"/>
        </w:rPr>
        <w:t>号）规定，至调查期为止未发现污染场地。</w:t>
      </w:r>
    </w:p>
    <w:p w:rsidR="00240BCE" w:rsidRDefault="00240BCE">
      <w:pPr>
        <w:spacing w:line="520" w:lineRule="exact"/>
        <w:ind w:firstLineChars="200" w:firstLine="480"/>
        <w:rPr>
          <w:sz w:val="24"/>
        </w:rPr>
      </w:pPr>
    </w:p>
    <w:p w:rsidR="00240BCE" w:rsidRDefault="00240BCE">
      <w:pPr>
        <w:spacing w:line="520" w:lineRule="exact"/>
        <w:ind w:firstLineChars="200" w:firstLine="480"/>
        <w:rPr>
          <w:sz w:val="24"/>
        </w:rPr>
      </w:pPr>
    </w:p>
    <w:p w:rsidR="00240BCE" w:rsidRDefault="00240BCE">
      <w:pPr>
        <w:spacing w:line="520" w:lineRule="exact"/>
        <w:ind w:firstLineChars="200" w:firstLine="560"/>
        <w:rPr>
          <w:szCs w:val="28"/>
        </w:rPr>
      </w:pPr>
    </w:p>
    <w:p w:rsidR="00240BCE" w:rsidRDefault="00240BCE">
      <w:pPr>
        <w:spacing w:line="520" w:lineRule="exact"/>
        <w:ind w:firstLineChars="200" w:firstLine="488"/>
        <w:rPr>
          <w:bCs/>
          <w:spacing w:val="2"/>
          <w:sz w:val="24"/>
        </w:rPr>
      </w:pPr>
    </w:p>
    <w:p w:rsidR="00240BCE" w:rsidRDefault="00AC0334">
      <w:pPr>
        <w:pStyle w:val="1"/>
        <w:spacing w:before="120" w:after="120" w:line="360" w:lineRule="auto"/>
        <w:jc w:val="center"/>
        <w:rPr>
          <w:rFonts w:eastAsia="黑体"/>
          <w:sz w:val="36"/>
          <w:szCs w:val="36"/>
        </w:rPr>
      </w:pPr>
      <w:r>
        <w:rPr>
          <w:bCs w:val="0"/>
          <w:spacing w:val="2"/>
          <w:sz w:val="36"/>
          <w:szCs w:val="36"/>
        </w:rPr>
        <w:br w:type="page"/>
      </w:r>
      <w:bookmarkStart w:id="386" w:name="_Toc151179027"/>
      <w:bookmarkStart w:id="387" w:name="_Toc158524635"/>
      <w:bookmarkStart w:id="388" w:name="_Toc79668671"/>
      <w:bookmarkStart w:id="389" w:name="_Toc81934380"/>
      <w:r>
        <w:rPr>
          <w:rFonts w:eastAsia="黑体"/>
          <w:b w:val="0"/>
          <w:bCs w:val="0"/>
          <w:sz w:val="36"/>
          <w:szCs w:val="36"/>
        </w:rPr>
        <w:lastRenderedPageBreak/>
        <w:t>5</w:t>
      </w:r>
      <w:bookmarkEnd w:id="386"/>
      <w:bookmarkEnd w:id="387"/>
      <w:r>
        <w:rPr>
          <w:rFonts w:eastAsia="黑体"/>
          <w:b w:val="0"/>
          <w:bCs w:val="0"/>
          <w:sz w:val="36"/>
          <w:szCs w:val="36"/>
        </w:rPr>
        <w:t xml:space="preserve"> </w:t>
      </w:r>
      <w:r>
        <w:rPr>
          <w:rFonts w:eastAsia="黑体"/>
          <w:b w:val="0"/>
          <w:bCs w:val="0"/>
          <w:sz w:val="36"/>
          <w:szCs w:val="36"/>
        </w:rPr>
        <w:t>地表沉陷预测及生态影响评价</w:t>
      </w:r>
      <w:bookmarkEnd w:id="388"/>
      <w:bookmarkEnd w:id="389"/>
    </w:p>
    <w:p w:rsidR="00240BCE" w:rsidRDefault="00AC0334" w:rsidP="009C5F33">
      <w:pPr>
        <w:pStyle w:val="22CharTimesNewRoman12"/>
        <w:adjustRightInd w:val="0"/>
        <w:snapToGrid w:val="0"/>
        <w:spacing w:beforeLines="100" w:line="240" w:lineRule="auto"/>
        <w:rPr>
          <w:rFonts w:cs="Times New Roman"/>
          <w:sz w:val="32"/>
          <w:szCs w:val="32"/>
        </w:rPr>
      </w:pPr>
      <w:bookmarkStart w:id="390" w:name="_Toc151179028"/>
      <w:bookmarkStart w:id="391" w:name="_Toc158524636"/>
      <w:bookmarkStart w:id="392" w:name="_Toc79668672"/>
      <w:bookmarkStart w:id="393" w:name="_Toc81934381"/>
      <w:r>
        <w:rPr>
          <w:rFonts w:cs="Times New Roman"/>
          <w:sz w:val="32"/>
          <w:szCs w:val="32"/>
        </w:rPr>
        <w:t xml:space="preserve">5.1 </w:t>
      </w:r>
      <w:bookmarkEnd w:id="390"/>
      <w:bookmarkEnd w:id="391"/>
      <w:r>
        <w:rPr>
          <w:rFonts w:cs="Times New Roman"/>
          <w:sz w:val="32"/>
          <w:szCs w:val="32"/>
        </w:rPr>
        <w:t>生态现状调查与评价</w:t>
      </w:r>
      <w:bookmarkEnd w:id="392"/>
      <w:bookmarkEnd w:id="393"/>
    </w:p>
    <w:p w:rsidR="00240BCE" w:rsidRDefault="00AC0334" w:rsidP="009C5F33">
      <w:pPr>
        <w:pStyle w:val="30"/>
        <w:adjustRightInd w:val="0"/>
        <w:snapToGrid w:val="0"/>
        <w:spacing w:beforeLines="70" w:afterLines="30" w:line="240" w:lineRule="auto"/>
        <w:jc w:val="left"/>
        <w:rPr>
          <w:rFonts w:eastAsia="楷体"/>
          <w:sz w:val="28"/>
          <w:szCs w:val="28"/>
        </w:rPr>
      </w:pPr>
      <w:bookmarkStart w:id="394" w:name="_Toc142391845"/>
      <w:bookmarkStart w:id="395" w:name="_Toc142393158"/>
      <w:bookmarkStart w:id="396" w:name="_Toc142443105"/>
      <w:bookmarkStart w:id="397" w:name="_Toc142443692"/>
      <w:bookmarkStart w:id="398" w:name="_Toc143479244"/>
      <w:bookmarkStart w:id="399" w:name="_Toc158524759"/>
      <w:bookmarkStart w:id="400" w:name="_Toc79668673"/>
      <w:r>
        <w:rPr>
          <w:rFonts w:eastAsia="楷体"/>
          <w:sz w:val="28"/>
          <w:szCs w:val="28"/>
        </w:rPr>
        <w:t>5.1.1</w:t>
      </w:r>
      <w:bookmarkEnd w:id="394"/>
      <w:bookmarkEnd w:id="395"/>
      <w:bookmarkEnd w:id="396"/>
      <w:bookmarkEnd w:id="397"/>
      <w:bookmarkEnd w:id="398"/>
      <w:bookmarkEnd w:id="399"/>
      <w:r>
        <w:rPr>
          <w:rFonts w:eastAsia="楷体"/>
          <w:sz w:val="28"/>
          <w:szCs w:val="28"/>
        </w:rPr>
        <w:t xml:space="preserve"> </w:t>
      </w:r>
      <w:r>
        <w:rPr>
          <w:rFonts w:eastAsia="楷体"/>
          <w:sz w:val="28"/>
          <w:szCs w:val="28"/>
        </w:rPr>
        <w:t>调查内容及调查方法</w:t>
      </w:r>
      <w:bookmarkEnd w:id="400"/>
    </w:p>
    <w:p w:rsidR="00240BCE" w:rsidRDefault="00AC0334">
      <w:pPr>
        <w:spacing w:line="520" w:lineRule="exact"/>
        <w:ind w:firstLineChars="200" w:firstLine="480"/>
        <w:rPr>
          <w:bCs/>
          <w:color w:val="000000"/>
          <w:sz w:val="24"/>
        </w:rPr>
      </w:pPr>
      <w:r>
        <w:rPr>
          <w:bCs/>
          <w:color w:val="000000"/>
          <w:sz w:val="24"/>
        </w:rPr>
        <w:t>1</w:t>
      </w:r>
      <w:r>
        <w:rPr>
          <w:bCs/>
          <w:color w:val="000000"/>
          <w:sz w:val="24"/>
        </w:rPr>
        <w:t>、调查内容</w:t>
      </w:r>
    </w:p>
    <w:p w:rsidR="00240BCE" w:rsidRDefault="00AC0334">
      <w:pPr>
        <w:spacing w:line="520" w:lineRule="exact"/>
        <w:ind w:firstLineChars="200" w:firstLine="480"/>
        <w:rPr>
          <w:bCs/>
          <w:color w:val="000000"/>
          <w:sz w:val="24"/>
        </w:rPr>
      </w:pPr>
      <w:r>
        <w:rPr>
          <w:bCs/>
          <w:color w:val="000000"/>
          <w:sz w:val="24"/>
        </w:rPr>
        <w:t>调查评价区自然环境状况、生态系统的类型、特点、结构及环境服务功能；植物种群及分布、植被覆盖状况、动物种群及分布；土地利用状况、水土流失及土壤侵蚀程度；居民分布、生活生产方式、经济结构；农业资源、植物资源、矿产资源的储藏及开发状况。</w:t>
      </w:r>
      <w:bookmarkStart w:id="401" w:name="_Toc230234482"/>
      <w:bookmarkStart w:id="402" w:name="_Toc230236109"/>
    </w:p>
    <w:p w:rsidR="00240BCE" w:rsidRDefault="00AC0334">
      <w:pPr>
        <w:spacing w:line="520" w:lineRule="exact"/>
        <w:ind w:firstLineChars="200" w:firstLine="480"/>
        <w:rPr>
          <w:bCs/>
          <w:color w:val="000000"/>
          <w:sz w:val="24"/>
        </w:rPr>
      </w:pPr>
      <w:r>
        <w:rPr>
          <w:bCs/>
          <w:color w:val="000000"/>
          <w:sz w:val="24"/>
        </w:rPr>
        <w:t>2</w:t>
      </w:r>
      <w:r>
        <w:rPr>
          <w:bCs/>
          <w:color w:val="000000"/>
          <w:sz w:val="24"/>
        </w:rPr>
        <w:t>、调查分析方法</w:t>
      </w:r>
      <w:bookmarkEnd w:id="401"/>
      <w:bookmarkEnd w:id="402"/>
    </w:p>
    <w:p w:rsidR="00240BCE" w:rsidRDefault="00AC0334">
      <w:pPr>
        <w:spacing w:line="520" w:lineRule="exact"/>
        <w:ind w:firstLineChars="200" w:firstLine="480"/>
        <w:rPr>
          <w:bCs/>
          <w:color w:val="000000"/>
          <w:sz w:val="24"/>
        </w:rPr>
      </w:pPr>
      <w:r>
        <w:rPr>
          <w:bCs/>
          <w:color w:val="000000"/>
          <w:sz w:val="24"/>
        </w:rPr>
        <w:t>本次评价生态环境现状调查主要采用资料收集和现场调查两种方法。其中资料收集是本次评价的主要方法之一，将从农、林、牧、渔等管理部门及专业研究机构收集生态和资源方面资料。在现有资料不能满足需要的情况下，对于生态资源和生态结构等方面的内容采用现场勘查的调查方式收集补充并进行综合分析。</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03" w:name="_Toc79668674"/>
      <w:r>
        <w:rPr>
          <w:rFonts w:eastAsia="楷体"/>
          <w:sz w:val="28"/>
          <w:szCs w:val="28"/>
        </w:rPr>
        <w:t xml:space="preserve">5.1.2 </w:t>
      </w:r>
      <w:r>
        <w:rPr>
          <w:rFonts w:eastAsia="楷体"/>
          <w:sz w:val="28"/>
          <w:szCs w:val="28"/>
        </w:rPr>
        <w:t>地形地貌现状调查</w:t>
      </w:r>
      <w:bookmarkEnd w:id="403"/>
    </w:p>
    <w:p w:rsidR="00240BCE" w:rsidRDefault="00AC0334">
      <w:pPr>
        <w:spacing w:line="520" w:lineRule="exact"/>
        <w:ind w:firstLineChars="200" w:firstLine="480"/>
        <w:rPr>
          <w:sz w:val="24"/>
        </w:rPr>
      </w:pPr>
      <w:r>
        <w:rPr>
          <w:bCs/>
          <w:color w:val="000000"/>
          <w:sz w:val="24"/>
        </w:rPr>
        <w:t>矿区属丘陵地貌。总体地势为北西、南东高，中间低，最高点位于井田范围</w:t>
      </w:r>
      <w:r>
        <w:rPr>
          <w:bCs/>
          <w:color w:val="000000"/>
          <w:sz w:val="24"/>
        </w:rPr>
        <w:t>8</w:t>
      </w:r>
      <w:r>
        <w:rPr>
          <w:bCs/>
          <w:color w:val="000000"/>
          <w:sz w:val="24"/>
        </w:rPr>
        <w:t>号拐点西，标高</w:t>
      </w:r>
      <w:r>
        <w:rPr>
          <w:bCs/>
          <w:color w:val="000000"/>
          <w:sz w:val="24"/>
        </w:rPr>
        <w:t>+422.50m</w:t>
      </w:r>
      <w:r>
        <w:rPr>
          <w:bCs/>
          <w:color w:val="000000"/>
          <w:sz w:val="24"/>
        </w:rPr>
        <w:t>，最低点位于本区东边界的河床中，标高</w:t>
      </w:r>
      <w:r>
        <w:rPr>
          <w:bCs/>
          <w:color w:val="000000"/>
          <w:sz w:val="24"/>
        </w:rPr>
        <w:t>+260m</w:t>
      </w:r>
      <w:r>
        <w:rPr>
          <w:bCs/>
          <w:color w:val="000000"/>
          <w:sz w:val="24"/>
        </w:rPr>
        <w:t>，相对高差</w:t>
      </w:r>
      <w:r>
        <w:rPr>
          <w:bCs/>
          <w:color w:val="000000"/>
          <w:sz w:val="24"/>
        </w:rPr>
        <w:t>+162.50m</w:t>
      </w:r>
      <w:r>
        <w:rPr>
          <w:bCs/>
          <w:color w:val="000000"/>
          <w:sz w:val="24"/>
        </w:rPr>
        <w:t>。区内除南东边界附近海拔达</w:t>
      </w:r>
      <w:r>
        <w:rPr>
          <w:bCs/>
          <w:color w:val="000000"/>
          <w:sz w:val="24"/>
        </w:rPr>
        <w:t>400m</w:t>
      </w:r>
      <w:r>
        <w:rPr>
          <w:bCs/>
          <w:color w:val="000000"/>
          <w:sz w:val="24"/>
        </w:rPr>
        <w:t>外，其余一般海拔</w:t>
      </w:r>
      <w:r>
        <w:rPr>
          <w:bCs/>
          <w:color w:val="000000"/>
          <w:sz w:val="24"/>
        </w:rPr>
        <w:t>280m</w:t>
      </w:r>
      <w:r>
        <w:rPr>
          <w:bCs/>
          <w:color w:val="000000"/>
          <w:sz w:val="24"/>
        </w:rPr>
        <w:t>左右，地势较平坦。</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04" w:name="_Toc79668675"/>
      <w:r>
        <w:rPr>
          <w:rFonts w:eastAsia="楷体"/>
          <w:sz w:val="28"/>
          <w:szCs w:val="28"/>
        </w:rPr>
        <w:t xml:space="preserve">5.1.3 </w:t>
      </w:r>
      <w:r>
        <w:rPr>
          <w:rFonts w:eastAsia="楷体"/>
          <w:sz w:val="28"/>
          <w:szCs w:val="28"/>
        </w:rPr>
        <w:t>土地利用现状调查与评价</w:t>
      </w:r>
      <w:bookmarkEnd w:id="404"/>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本次评价的土地利用采用《土地利用现状分类》（</w:t>
      </w:r>
      <w:r>
        <w:rPr>
          <w:rFonts w:ascii="Times New Roman" w:hAnsi="Times New Roman"/>
          <w:sz w:val="24"/>
          <w:szCs w:val="24"/>
        </w:rPr>
        <w:t>GB/T21010-2007</w:t>
      </w:r>
      <w:r>
        <w:rPr>
          <w:rFonts w:ascii="Times New Roman" w:hAnsi="Times New Roman"/>
          <w:sz w:val="24"/>
          <w:szCs w:val="24"/>
        </w:rPr>
        <w:t>）规定的分类体系。参照全国土地利用现状调查技术规程及鸠山镇土地利用现状资料，根据实地调查，评价区及井田范围内土地利用现状统计数据见表</w:t>
      </w:r>
      <w:r>
        <w:rPr>
          <w:rFonts w:ascii="Times New Roman" w:hAnsi="Times New Roman"/>
          <w:sz w:val="24"/>
          <w:szCs w:val="24"/>
        </w:rPr>
        <w:t>5.1-1</w:t>
      </w:r>
      <w:r>
        <w:rPr>
          <w:rFonts w:ascii="Times New Roman" w:hAnsi="Times New Roman"/>
          <w:sz w:val="24"/>
          <w:szCs w:val="24"/>
        </w:rPr>
        <w:t>、附图</w:t>
      </w:r>
      <w:r>
        <w:rPr>
          <w:rFonts w:ascii="Times New Roman" w:hAnsi="Times New Roman"/>
          <w:sz w:val="24"/>
          <w:szCs w:val="24"/>
        </w:rPr>
        <w:t>7</w:t>
      </w:r>
      <w:r>
        <w:rPr>
          <w:rFonts w:ascii="Times New Roman" w:hAnsi="Times New Roman"/>
          <w:sz w:val="24"/>
          <w:szCs w:val="24"/>
        </w:rPr>
        <w:t>。</w:t>
      </w:r>
    </w:p>
    <w:p w:rsidR="00240BCE" w:rsidRDefault="00240BCE">
      <w:pPr>
        <w:pStyle w:val="ae"/>
        <w:spacing w:line="520" w:lineRule="exact"/>
        <w:ind w:firstLineChars="200" w:firstLine="480"/>
        <w:rPr>
          <w:rFonts w:ascii="Times New Roman" w:hAnsi="Times New Roman"/>
          <w:sz w:val="24"/>
          <w:szCs w:val="24"/>
        </w:rPr>
      </w:pPr>
    </w:p>
    <w:p w:rsidR="00240BCE" w:rsidRDefault="00AC0334">
      <w:pPr>
        <w:pStyle w:val="ae"/>
        <w:spacing w:line="520" w:lineRule="exact"/>
        <w:ind w:firstLineChars="100" w:firstLine="240"/>
        <w:jc w:val="center"/>
        <w:rPr>
          <w:rFonts w:ascii="Times New Roman" w:eastAsia="黑体" w:hAnsi="Times New Roman"/>
          <w:sz w:val="24"/>
          <w:szCs w:val="24"/>
        </w:rPr>
      </w:pPr>
      <w:r>
        <w:rPr>
          <w:rFonts w:ascii="Times New Roman" w:eastAsia="黑体" w:hAnsi="Times New Roman"/>
          <w:sz w:val="24"/>
          <w:szCs w:val="24"/>
        </w:rPr>
        <w:lastRenderedPageBreak/>
        <w:t>表</w:t>
      </w:r>
      <w:r>
        <w:rPr>
          <w:rFonts w:ascii="Times New Roman" w:eastAsia="黑体" w:hAnsi="Times New Roman"/>
          <w:sz w:val="24"/>
          <w:szCs w:val="24"/>
        </w:rPr>
        <w:t xml:space="preserve">5.1-1   </w:t>
      </w:r>
      <w:r>
        <w:rPr>
          <w:rFonts w:ascii="Times New Roman" w:eastAsia="黑体" w:hAnsi="Times New Roman"/>
          <w:sz w:val="24"/>
          <w:szCs w:val="24"/>
        </w:rPr>
        <w:t>评价区土地利用分类及其面积和特征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16"/>
        <w:gridCol w:w="942"/>
        <w:gridCol w:w="1409"/>
        <w:gridCol w:w="3973"/>
      </w:tblGrid>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土地利用类型</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面积（</w:t>
            </w:r>
            <w:r>
              <w:rPr>
                <w:rFonts w:ascii="Times New Roman" w:hAnsi="Times New Roman"/>
                <w:sz w:val="21"/>
                <w:szCs w:val="21"/>
              </w:rPr>
              <w:t>hm</w:t>
            </w:r>
            <w:r>
              <w:rPr>
                <w:rFonts w:ascii="Times New Roman" w:hAnsi="Times New Roman"/>
                <w:sz w:val="21"/>
                <w:szCs w:val="21"/>
                <w:vertAlign w:val="superscript"/>
              </w:rPr>
              <w:t>2</w:t>
            </w:r>
            <w:r>
              <w:rPr>
                <w:rFonts w:ascii="Times New Roman" w:hAnsi="Times New Roman"/>
                <w:sz w:val="21"/>
                <w:szCs w:val="21"/>
              </w:rPr>
              <w:t>）</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占评价区比例（％）</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特征</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耕地</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213.57</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50.61</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大面积分布于评价区内</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园地</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4.30</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1.02</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成斑状散布于评价区内</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林地</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9.92</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2.35</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成斑状散布于评价区内</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草地</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20.77</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4.92</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分布于山坡、山岭等处</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工矿仓储用地</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15.70</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3.72</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工业场地占地</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住宅用地</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146.90</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34.81</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主要为村庄</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公共管理与公共服务用地</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4.89</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1.16</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主要指学校用地</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交通运输用地</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2.24</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0.53</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呈线状分布。</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水域及水利设施用地</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3.71</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0.88</w:t>
            </w:r>
          </w:p>
        </w:tc>
        <w:tc>
          <w:tcPr>
            <w:tcW w:w="2273" w:type="pct"/>
            <w:vAlign w:val="center"/>
          </w:tcPr>
          <w:p w:rsidR="00240BCE" w:rsidRDefault="00AC0334">
            <w:pPr>
              <w:pStyle w:val="ae"/>
              <w:spacing w:line="320" w:lineRule="exact"/>
              <w:rPr>
                <w:rFonts w:ascii="Times New Roman" w:hAnsi="Times New Roman"/>
                <w:sz w:val="21"/>
                <w:szCs w:val="21"/>
              </w:rPr>
            </w:pPr>
            <w:r>
              <w:rPr>
                <w:rFonts w:ascii="Times New Roman" w:hAnsi="Times New Roman"/>
                <w:sz w:val="21"/>
                <w:szCs w:val="21"/>
              </w:rPr>
              <w:t>主要是池塘、季节性积水的河沟</w:t>
            </w:r>
          </w:p>
        </w:tc>
      </w:tr>
      <w:tr w:rsidR="00240BCE">
        <w:trPr>
          <w:jc w:val="center"/>
        </w:trPr>
        <w:tc>
          <w:tcPr>
            <w:tcW w:w="1382"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合计</w:t>
            </w:r>
          </w:p>
        </w:tc>
        <w:tc>
          <w:tcPr>
            <w:tcW w:w="539"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422</w:t>
            </w:r>
          </w:p>
        </w:tc>
        <w:tc>
          <w:tcPr>
            <w:tcW w:w="806" w:type="pct"/>
            <w:vAlign w:val="center"/>
          </w:tcPr>
          <w:p w:rsidR="00240BCE" w:rsidRDefault="00AC0334">
            <w:pPr>
              <w:pStyle w:val="ae"/>
              <w:spacing w:line="320" w:lineRule="exact"/>
              <w:jc w:val="center"/>
              <w:rPr>
                <w:rFonts w:ascii="Times New Roman" w:hAnsi="Times New Roman"/>
                <w:sz w:val="21"/>
                <w:szCs w:val="21"/>
              </w:rPr>
            </w:pPr>
            <w:r>
              <w:rPr>
                <w:rFonts w:ascii="Times New Roman" w:hAnsi="Times New Roman"/>
                <w:sz w:val="21"/>
                <w:szCs w:val="21"/>
              </w:rPr>
              <w:t>100</w:t>
            </w:r>
          </w:p>
        </w:tc>
        <w:tc>
          <w:tcPr>
            <w:tcW w:w="2273" w:type="pct"/>
            <w:vAlign w:val="center"/>
          </w:tcPr>
          <w:p w:rsidR="00240BCE" w:rsidRDefault="00240BCE">
            <w:pPr>
              <w:pStyle w:val="ae"/>
              <w:spacing w:line="320" w:lineRule="exact"/>
              <w:rPr>
                <w:rFonts w:ascii="Times New Roman" w:hAnsi="Times New Roman"/>
                <w:sz w:val="21"/>
                <w:szCs w:val="21"/>
              </w:rPr>
            </w:pPr>
          </w:p>
        </w:tc>
      </w:tr>
    </w:tbl>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、耕地</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由于评价区为农业区，评价区耕地广泛分布于评价区内，总面积</w:t>
      </w:r>
      <w:r>
        <w:rPr>
          <w:rFonts w:ascii="Times New Roman" w:hAnsi="Times New Roman"/>
          <w:sz w:val="24"/>
          <w:szCs w:val="24"/>
        </w:rPr>
        <w:t>213.57hm</w:t>
      </w:r>
      <w:r>
        <w:rPr>
          <w:rFonts w:ascii="Times New Roman" w:hAnsi="Times New Roman"/>
          <w:sz w:val="24"/>
          <w:szCs w:val="24"/>
          <w:vertAlign w:val="superscript"/>
        </w:rPr>
        <w:t>2</w:t>
      </w:r>
      <w:r>
        <w:rPr>
          <w:rFonts w:ascii="Times New Roman" w:hAnsi="Times New Roman"/>
          <w:sz w:val="24"/>
          <w:szCs w:val="24"/>
        </w:rPr>
        <w:t>，占评价区总面积的</w:t>
      </w:r>
      <w:r>
        <w:rPr>
          <w:rFonts w:ascii="Times New Roman" w:hAnsi="Times New Roman"/>
          <w:sz w:val="24"/>
          <w:szCs w:val="24"/>
        </w:rPr>
        <w:t>50.61</w:t>
      </w:r>
      <w:r>
        <w:rPr>
          <w:rFonts w:ascii="Times New Roman" w:hAnsi="Times New Roman"/>
          <w:sz w:val="24"/>
          <w:szCs w:val="24"/>
        </w:rPr>
        <w:t>％。耕地主要为旱地。作物主要有小麦、薯类、豆类等，由于缺乏灌溉条件，完全依赖于自然气候，因而产量不太稳定，作物平均产量为</w:t>
      </w:r>
      <w:r>
        <w:rPr>
          <w:rFonts w:ascii="Times New Roman" w:hAnsi="Times New Roman"/>
          <w:sz w:val="24"/>
          <w:szCs w:val="24"/>
        </w:rPr>
        <w:t>250</w:t>
      </w:r>
      <w:r>
        <w:rPr>
          <w:rFonts w:ascii="Times New Roman" w:hAnsi="Times New Roman"/>
          <w:sz w:val="24"/>
          <w:szCs w:val="24"/>
        </w:rPr>
        <w:t>～</w:t>
      </w:r>
      <w:r>
        <w:rPr>
          <w:rFonts w:ascii="Times New Roman" w:hAnsi="Times New Roman"/>
          <w:sz w:val="24"/>
          <w:szCs w:val="24"/>
        </w:rPr>
        <w:t>400kg/</w:t>
      </w:r>
      <w:r>
        <w:rPr>
          <w:rFonts w:ascii="Times New Roman" w:hAnsi="Times New Roman"/>
          <w:sz w:val="24"/>
          <w:szCs w:val="24"/>
        </w:rPr>
        <w:t>亩。</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、园地</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主要为果园和其它园地，呈斑状分布。面积</w:t>
      </w:r>
      <w:r>
        <w:rPr>
          <w:rFonts w:ascii="Times New Roman" w:hAnsi="Times New Roman"/>
          <w:sz w:val="24"/>
          <w:szCs w:val="24"/>
        </w:rPr>
        <w:t>4.30hm</w:t>
      </w:r>
      <w:r>
        <w:rPr>
          <w:rFonts w:ascii="Times New Roman" w:hAnsi="Times New Roman"/>
          <w:sz w:val="24"/>
          <w:szCs w:val="24"/>
          <w:vertAlign w:val="superscript"/>
        </w:rPr>
        <w:t>2</w:t>
      </w:r>
      <w:r>
        <w:rPr>
          <w:rFonts w:ascii="Times New Roman" w:hAnsi="Times New Roman"/>
          <w:sz w:val="24"/>
          <w:szCs w:val="24"/>
        </w:rPr>
        <w:t>，占评价区总面积的</w:t>
      </w:r>
      <w:r>
        <w:rPr>
          <w:rFonts w:ascii="Times New Roman" w:hAnsi="Times New Roman"/>
          <w:sz w:val="24"/>
          <w:szCs w:val="24"/>
        </w:rPr>
        <w:t>1.02</w:t>
      </w:r>
      <w:r>
        <w:rPr>
          <w:rFonts w:ascii="Times New Roman" w:hAnsi="Times New Roman"/>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、林地</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评价区林地主要为有林地，总面积为</w:t>
      </w:r>
      <w:r>
        <w:rPr>
          <w:rFonts w:ascii="Times New Roman" w:hAnsi="Times New Roman"/>
          <w:sz w:val="24"/>
          <w:szCs w:val="24"/>
        </w:rPr>
        <w:t>9.92hm</w:t>
      </w:r>
      <w:r>
        <w:rPr>
          <w:rFonts w:ascii="Times New Roman" w:hAnsi="Times New Roman"/>
          <w:sz w:val="24"/>
          <w:szCs w:val="24"/>
          <w:vertAlign w:val="superscript"/>
        </w:rPr>
        <w:t>2</w:t>
      </w:r>
      <w:r>
        <w:rPr>
          <w:rFonts w:ascii="Times New Roman" w:hAnsi="Times New Roman"/>
          <w:sz w:val="24"/>
          <w:szCs w:val="24"/>
        </w:rPr>
        <w:t>，占评价区总面积的</w:t>
      </w:r>
      <w:r>
        <w:rPr>
          <w:rFonts w:ascii="Times New Roman" w:hAnsi="Times New Roman"/>
          <w:sz w:val="24"/>
          <w:szCs w:val="24"/>
        </w:rPr>
        <w:t>2.35</w:t>
      </w:r>
      <w:r>
        <w:rPr>
          <w:rFonts w:ascii="Times New Roman" w:hAnsi="Times New Roman"/>
          <w:sz w:val="24"/>
          <w:szCs w:val="24"/>
        </w:rPr>
        <w:t>％。呈斑块点状分布于评价区内，树种主要有杨、柳、榆、泡桐、苹果、梨树等落叶阔叶树种，基本为人工种植。</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、草地</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评价区内的草地主要分布于山坡、山岭等处。面积</w:t>
      </w:r>
      <w:r>
        <w:rPr>
          <w:rFonts w:ascii="Times New Roman" w:hAnsi="Times New Roman"/>
          <w:sz w:val="24"/>
          <w:szCs w:val="24"/>
        </w:rPr>
        <w:t>20.77hm</w:t>
      </w:r>
      <w:r>
        <w:rPr>
          <w:rFonts w:ascii="Times New Roman" w:hAnsi="Times New Roman"/>
          <w:sz w:val="24"/>
          <w:szCs w:val="24"/>
          <w:vertAlign w:val="superscript"/>
        </w:rPr>
        <w:t>2</w:t>
      </w:r>
      <w:r>
        <w:rPr>
          <w:rFonts w:ascii="Times New Roman" w:hAnsi="Times New Roman"/>
          <w:sz w:val="24"/>
          <w:szCs w:val="24"/>
        </w:rPr>
        <w:t>，占评价区总面积的</w:t>
      </w:r>
      <w:r>
        <w:rPr>
          <w:rFonts w:ascii="Times New Roman" w:hAnsi="Times New Roman"/>
          <w:sz w:val="24"/>
          <w:szCs w:val="24"/>
        </w:rPr>
        <w:t>4.92</w:t>
      </w:r>
      <w:r>
        <w:rPr>
          <w:rFonts w:ascii="Times New Roman" w:hAnsi="Times New Roman"/>
          <w:sz w:val="24"/>
          <w:szCs w:val="24"/>
        </w:rPr>
        <w:t>％。主要类型有白羊草、狗尾草、</w:t>
      </w:r>
      <w:r>
        <w:rPr>
          <w:rFonts w:ascii="Times New Roman" w:hAnsi="Times New Roman"/>
          <w:sz w:val="24"/>
          <w:szCs w:val="24"/>
        </w:rPr>
        <w:t xml:space="preserve"> </w:t>
      </w:r>
      <w:r>
        <w:rPr>
          <w:rFonts w:ascii="Times New Roman" w:hAnsi="Times New Roman"/>
          <w:sz w:val="24"/>
          <w:szCs w:val="24"/>
        </w:rPr>
        <w:t>刺苋等。由于地形和人为因素的影响，这些草地生产力较低。</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、工矿仓储用地</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lastRenderedPageBreak/>
        <w:t>主要为采矿用地，点状分布于评价区内。面积</w:t>
      </w:r>
      <w:r>
        <w:rPr>
          <w:rFonts w:ascii="Times New Roman" w:hAnsi="Times New Roman"/>
          <w:sz w:val="24"/>
          <w:szCs w:val="24"/>
        </w:rPr>
        <w:t>15.70hm</w:t>
      </w:r>
      <w:r>
        <w:rPr>
          <w:rFonts w:ascii="Times New Roman" w:hAnsi="Times New Roman"/>
          <w:sz w:val="24"/>
          <w:szCs w:val="24"/>
          <w:vertAlign w:val="superscript"/>
        </w:rPr>
        <w:t>2</w:t>
      </w:r>
      <w:r>
        <w:rPr>
          <w:rFonts w:ascii="Times New Roman" w:hAnsi="Times New Roman"/>
          <w:sz w:val="24"/>
          <w:szCs w:val="24"/>
        </w:rPr>
        <w:t>，占评价区总面积的</w:t>
      </w:r>
      <w:r>
        <w:rPr>
          <w:rFonts w:ascii="Times New Roman" w:hAnsi="Times New Roman"/>
          <w:sz w:val="24"/>
          <w:szCs w:val="24"/>
        </w:rPr>
        <w:t>3.72</w:t>
      </w:r>
      <w:r>
        <w:rPr>
          <w:rFonts w:ascii="Times New Roman" w:hAnsi="Times New Roman"/>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、住宅用地</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主要为农村宅基地，呈块状分布于评价区内，面积</w:t>
      </w:r>
      <w:r>
        <w:rPr>
          <w:rFonts w:ascii="Times New Roman" w:hAnsi="Times New Roman"/>
          <w:sz w:val="24"/>
          <w:szCs w:val="24"/>
        </w:rPr>
        <w:t>146.9hm</w:t>
      </w:r>
      <w:r>
        <w:rPr>
          <w:rFonts w:ascii="Times New Roman" w:hAnsi="Times New Roman"/>
          <w:sz w:val="24"/>
          <w:szCs w:val="24"/>
          <w:vertAlign w:val="superscript"/>
        </w:rPr>
        <w:t>2</w:t>
      </w:r>
      <w:r>
        <w:rPr>
          <w:rFonts w:ascii="Times New Roman" w:hAnsi="Times New Roman"/>
          <w:sz w:val="24"/>
          <w:szCs w:val="24"/>
        </w:rPr>
        <w:t>，占评价区总面积的</w:t>
      </w:r>
      <w:r>
        <w:rPr>
          <w:rFonts w:ascii="Times New Roman" w:hAnsi="Times New Roman"/>
          <w:sz w:val="24"/>
          <w:szCs w:val="24"/>
        </w:rPr>
        <w:t>34.81</w:t>
      </w:r>
      <w:r>
        <w:rPr>
          <w:rFonts w:ascii="Times New Roman" w:hAnsi="Times New Roman"/>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、公共管理与公共服务用地</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主要为小学等科教用地及通信设施等公共设施用地，呈点状分布于评价区内，面积</w:t>
      </w:r>
      <w:r>
        <w:rPr>
          <w:rFonts w:ascii="Times New Roman" w:hAnsi="Times New Roman"/>
          <w:sz w:val="24"/>
          <w:szCs w:val="24"/>
        </w:rPr>
        <w:t>4.89hm</w:t>
      </w:r>
      <w:r>
        <w:rPr>
          <w:rFonts w:ascii="Times New Roman" w:hAnsi="Times New Roman"/>
          <w:sz w:val="24"/>
          <w:szCs w:val="24"/>
          <w:vertAlign w:val="superscript"/>
        </w:rPr>
        <w:t>2</w:t>
      </w:r>
      <w:r>
        <w:rPr>
          <w:rFonts w:ascii="Times New Roman" w:hAnsi="Times New Roman"/>
          <w:sz w:val="24"/>
          <w:szCs w:val="24"/>
        </w:rPr>
        <w:t>，占评价区总面积的</w:t>
      </w:r>
      <w:r>
        <w:rPr>
          <w:rFonts w:ascii="Times New Roman" w:hAnsi="Times New Roman"/>
          <w:sz w:val="24"/>
          <w:szCs w:val="24"/>
        </w:rPr>
        <w:t>1.16</w:t>
      </w:r>
      <w:r>
        <w:rPr>
          <w:rFonts w:ascii="Times New Roman" w:hAnsi="Times New Roman"/>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、其它用地</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评价区内的其它用地包括交通用地（包括各级公路、乡村道路）、水域（水域及水利设施等），面积分别为</w:t>
      </w:r>
      <w:r>
        <w:rPr>
          <w:rFonts w:ascii="Times New Roman" w:hAnsi="Times New Roman"/>
          <w:sz w:val="24"/>
          <w:szCs w:val="24"/>
        </w:rPr>
        <w:t>2.24hm</w:t>
      </w:r>
      <w:r>
        <w:rPr>
          <w:rFonts w:ascii="Times New Roman" w:hAnsi="Times New Roman"/>
          <w:sz w:val="24"/>
          <w:szCs w:val="24"/>
          <w:vertAlign w:val="superscript"/>
        </w:rPr>
        <w:t>2</w:t>
      </w:r>
      <w:r>
        <w:rPr>
          <w:rFonts w:ascii="Times New Roman" w:hAnsi="Times New Roman"/>
          <w:sz w:val="24"/>
          <w:szCs w:val="24"/>
        </w:rPr>
        <w:t>和</w:t>
      </w:r>
      <w:r>
        <w:rPr>
          <w:rFonts w:ascii="Times New Roman" w:hAnsi="Times New Roman"/>
          <w:sz w:val="24"/>
          <w:szCs w:val="24"/>
        </w:rPr>
        <w:t>3.71hm</w:t>
      </w:r>
      <w:r>
        <w:rPr>
          <w:rFonts w:ascii="Times New Roman" w:hAnsi="Times New Roman"/>
          <w:sz w:val="24"/>
          <w:szCs w:val="24"/>
          <w:vertAlign w:val="superscript"/>
        </w:rPr>
        <w:t>2</w:t>
      </w:r>
      <w:r>
        <w:rPr>
          <w:rFonts w:ascii="Times New Roman" w:hAnsi="Times New Roman"/>
          <w:sz w:val="24"/>
          <w:szCs w:val="24"/>
        </w:rPr>
        <w:t>，分别占评价区总面积的</w:t>
      </w:r>
      <w:r>
        <w:rPr>
          <w:rFonts w:ascii="Times New Roman" w:hAnsi="Times New Roman"/>
          <w:sz w:val="24"/>
          <w:szCs w:val="24"/>
        </w:rPr>
        <w:t>0.53</w:t>
      </w:r>
      <w:r>
        <w:rPr>
          <w:rFonts w:ascii="Times New Roman" w:hAnsi="Times New Roman"/>
          <w:sz w:val="24"/>
          <w:szCs w:val="24"/>
        </w:rPr>
        <w:t>％、</w:t>
      </w:r>
      <w:r>
        <w:rPr>
          <w:rFonts w:ascii="Times New Roman" w:hAnsi="Times New Roman"/>
          <w:sz w:val="24"/>
          <w:szCs w:val="24"/>
        </w:rPr>
        <w:t>0.88</w:t>
      </w:r>
      <w:r>
        <w:rPr>
          <w:rFonts w:ascii="Times New Roman" w:hAnsi="Times New Roman"/>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总之，评价区土地利用总体现状是：</w:t>
      </w:r>
      <w:r w:rsidR="00B95226">
        <w:rPr>
          <w:rFonts w:ascii="Times New Roman" w:hAnsi="Times New Roman"/>
          <w:sz w:val="24"/>
          <w:szCs w:val="24"/>
        </w:rPr>
        <w:fldChar w:fldCharType="begin"/>
      </w:r>
      <w:r>
        <w:rPr>
          <w:rFonts w:ascii="Times New Roman" w:hAnsi="Times New Roman"/>
          <w:sz w:val="24"/>
          <w:szCs w:val="24"/>
        </w:rPr>
        <w:instrText xml:space="preserve"> = 1 \* GB3 </w:instrText>
      </w:r>
      <w:r w:rsidR="00B95226">
        <w:rPr>
          <w:rFonts w:ascii="Times New Roman" w:hAnsi="Times New Roman"/>
          <w:sz w:val="24"/>
          <w:szCs w:val="24"/>
        </w:rPr>
        <w:fldChar w:fldCharType="separate"/>
      </w:r>
      <w:r>
        <w:rPr>
          <w:rFonts w:ascii="Times New Roman" w:hAnsi="Times New Roman"/>
          <w:sz w:val="24"/>
          <w:szCs w:val="24"/>
        </w:rPr>
        <w:t>①</w:t>
      </w:r>
      <w:r w:rsidR="00B95226">
        <w:rPr>
          <w:rFonts w:ascii="Times New Roman" w:hAnsi="Times New Roman"/>
          <w:sz w:val="24"/>
          <w:szCs w:val="24"/>
        </w:rPr>
        <w:fldChar w:fldCharType="end"/>
      </w:r>
      <w:r>
        <w:rPr>
          <w:rFonts w:ascii="Times New Roman" w:hAnsi="Times New Roman"/>
          <w:sz w:val="24"/>
          <w:szCs w:val="24"/>
        </w:rPr>
        <w:t>土地类型多，以耕地为主；</w:t>
      </w:r>
      <w:r w:rsidR="00B95226">
        <w:rPr>
          <w:rFonts w:ascii="Times New Roman" w:hAnsi="Times New Roman"/>
          <w:sz w:val="24"/>
          <w:szCs w:val="24"/>
        </w:rPr>
        <w:fldChar w:fldCharType="begin"/>
      </w:r>
      <w:r>
        <w:rPr>
          <w:rFonts w:ascii="Times New Roman" w:hAnsi="Times New Roman"/>
          <w:sz w:val="24"/>
          <w:szCs w:val="24"/>
        </w:rPr>
        <w:instrText xml:space="preserve"> = 2 \* GB3 </w:instrText>
      </w:r>
      <w:r w:rsidR="00B95226">
        <w:rPr>
          <w:rFonts w:ascii="Times New Roman" w:hAnsi="Times New Roman"/>
          <w:sz w:val="24"/>
          <w:szCs w:val="24"/>
        </w:rPr>
        <w:fldChar w:fldCharType="separate"/>
      </w:r>
      <w:r>
        <w:rPr>
          <w:rFonts w:ascii="Times New Roman" w:hAnsi="Times New Roman"/>
          <w:sz w:val="24"/>
          <w:szCs w:val="24"/>
        </w:rPr>
        <w:t>②</w:t>
      </w:r>
      <w:r w:rsidR="00B95226">
        <w:rPr>
          <w:rFonts w:ascii="Times New Roman" w:hAnsi="Times New Roman"/>
          <w:sz w:val="24"/>
          <w:szCs w:val="24"/>
        </w:rPr>
        <w:fldChar w:fldCharType="end"/>
      </w:r>
      <w:r>
        <w:rPr>
          <w:rFonts w:ascii="Times New Roman" w:hAnsi="Times New Roman"/>
          <w:sz w:val="24"/>
          <w:szCs w:val="24"/>
        </w:rPr>
        <w:t>土地资源丰富，生产力一般；</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05" w:name="_Toc142391846"/>
      <w:bookmarkStart w:id="406" w:name="_Toc142393159"/>
      <w:bookmarkStart w:id="407" w:name="_Toc142443106"/>
      <w:bookmarkStart w:id="408" w:name="_Toc142443693"/>
      <w:bookmarkStart w:id="409" w:name="_Toc143479245"/>
      <w:bookmarkStart w:id="410" w:name="_Toc158524760"/>
      <w:bookmarkStart w:id="411" w:name="_Toc79668676"/>
      <w:r>
        <w:rPr>
          <w:rFonts w:eastAsia="楷体"/>
          <w:sz w:val="28"/>
          <w:szCs w:val="28"/>
        </w:rPr>
        <w:t xml:space="preserve">5.1.4 </w:t>
      </w:r>
      <w:r>
        <w:rPr>
          <w:rFonts w:eastAsia="楷体"/>
          <w:sz w:val="28"/>
          <w:szCs w:val="28"/>
        </w:rPr>
        <w:t>植被现状</w:t>
      </w:r>
      <w:bookmarkEnd w:id="405"/>
      <w:bookmarkEnd w:id="406"/>
      <w:bookmarkEnd w:id="407"/>
      <w:bookmarkEnd w:id="408"/>
      <w:bookmarkEnd w:id="409"/>
      <w:bookmarkEnd w:id="410"/>
      <w:r>
        <w:rPr>
          <w:rFonts w:eastAsia="楷体"/>
          <w:sz w:val="28"/>
          <w:szCs w:val="28"/>
        </w:rPr>
        <w:t>调查</w:t>
      </w:r>
      <w:bookmarkEnd w:id="411"/>
    </w:p>
    <w:p w:rsidR="00240BCE" w:rsidRDefault="00AC0334">
      <w:pPr>
        <w:pStyle w:val="ae"/>
        <w:spacing w:line="520" w:lineRule="exact"/>
        <w:ind w:firstLineChars="200" w:firstLine="480"/>
        <w:rPr>
          <w:rFonts w:ascii="Times New Roman" w:hAnsi="Times New Roman"/>
          <w:sz w:val="24"/>
          <w:szCs w:val="24"/>
        </w:rPr>
      </w:pPr>
      <w:bookmarkStart w:id="412" w:name="_Toc142391849"/>
      <w:bookmarkStart w:id="413" w:name="_Toc142392164"/>
      <w:bookmarkStart w:id="414" w:name="_Toc142393162"/>
      <w:r>
        <w:rPr>
          <w:rFonts w:ascii="Times New Roman" w:hAnsi="Times New Roman"/>
          <w:sz w:val="24"/>
          <w:szCs w:val="24"/>
        </w:rPr>
        <w:t>对评价区范围内的植物种类进行调查，结果表明，由于长期的人类活动，野生植物种类较少，多为农作物区及人类居住区常见种，主要为人工种植的用材绿化树种、经济树种及其伴生或自然生长的灌木、草本。评价范围内调查的主要种类如下：</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主要用材及村落绿化树种有速生杨、榆、柳、泡桐、椿、槐等；</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主要果木树种有红枣、苹果、桃、杏、梨、柿树等；</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主要灌木种类有小叶黄杨、小叶女贞冬青、紫穗槐、酸枣、花椒、腊梅、月季等；</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主要野生及农田杂草有灰灰菜、艾蒿、茵陈蒿、看麦娘、雀麦、常见蓼、野苋、野燕麦、狗牙根、荠菜、狗尾草、结缕草、碱蓬、刺黎、小蓟、马唐、米口袋、牵牛、猪秧秧、猪毛菜、王不留行、米瓦罐、莎草、芦苇、蒺藜、稗子、紫花苜蓿、早熟禾、紫菀、蒲公英、野大豆、中华芨芨草等；</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主要水生植物有浮萍、金鱼藻、紫萍、菖蒲、眼子菜等；</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lastRenderedPageBreak/>
        <w:t>主要粮食作物有小麦、玉米、红薯等；</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主要经济作物及蔬菜有棉花、大豆、花生、白菜、萝卜、胡萝卜、韭菜、葱、菠菜、莴苣、番茄、茄、辣椒、黄瓜、西葫芦、丝瓜等。</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15" w:name="_Toc79668677"/>
      <w:r>
        <w:rPr>
          <w:rFonts w:eastAsia="楷体"/>
          <w:sz w:val="28"/>
          <w:szCs w:val="28"/>
        </w:rPr>
        <w:t xml:space="preserve">5.1.5 </w:t>
      </w:r>
      <w:r>
        <w:rPr>
          <w:rFonts w:eastAsia="楷体"/>
          <w:sz w:val="28"/>
          <w:szCs w:val="28"/>
        </w:rPr>
        <w:t>野生动物现状</w:t>
      </w:r>
      <w:bookmarkEnd w:id="415"/>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根据调查，目前评价区野生动物组成比较简单，种类较少，大中型动物少，目前现有的野生动物以野兔、野鸡、鼠和其它小型动物为主，鸟类有树麻雀、山麻雀、喜鹊等。爬行类主要有蛇、壁虎等，两栖类主要有蟾蜍。昆虫类主要有小麦蚜虫、红蜘蛛等。全区优势种为鼠类，常见的有褐家鼠和小家鼠。由于人为活动干扰，动物种群和数量分布极不稳定，很难形成稳定的种群。经过走访当地住户和现场调查以及查阅有关资料，评价区内无国家重点保护珍稀野生动物。</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16" w:name="_Toc79668678"/>
      <w:r>
        <w:rPr>
          <w:rFonts w:eastAsia="楷体"/>
          <w:sz w:val="28"/>
          <w:szCs w:val="28"/>
        </w:rPr>
        <w:t xml:space="preserve">5.1.6 </w:t>
      </w:r>
      <w:r>
        <w:rPr>
          <w:rFonts w:eastAsia="楷体"/>
          <w:sz w:val="28"/>
          <w:szCs w:val="28"/>
        </w:rPr>
        <w:t>土壤侵蚀与水土流失现状</w:t>
      </w:r>
      <w:bookmarkEnd w:id="416"/>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rPr>
        <w:t>项目地处低山丘陵区，在开发建设过程中容易造成人为的水土流失。根据《全国水土保持规划（</w:t>
      </w:r>
      <w:r>
        <w:rPr>
          <w:rFonts w:ascii="Times New Roman" w:hAnsi="Times New Roman"/>
          <w:sz w:val="24"/>
        </w:rPr>
        <w:t>2015-2030</w:t>
      </w:r>
      <w:r>
        <w:rPr>
          <w:rFonts w:ascii="Times New Roman" w:hAnsi="Times New Roman"/>
          <w:sz w:val="24"/>
        </w:rPr>
        <w:t>年）》和《河南省水土保持规划（</w:t>
      </w:r>
      <w:r>
        <w:rPr>
          <w:rFonts w:ascii="Times New Roman" w:hAnsi="Times New Roman"/>
          <w:sz w:val="24"/>
        </w:rPr>
        <w:t xml:space="preserve">2016-2030 </w:t>
      </w:r>
      <w:r>
        <w:rPr>
          <w:rFonts w:ascii="Times New Roman" w:hAnsi="Times New Roman"/>
          <w:sz w:val="24"/>
        </w:rPr>
        <w:t>年）》，该项目在河南省划分的</w:t>
      </w:r>
      <w:r>
        <w:rPr>
          <w:rFonts w:ascii="Times New Roman" w:hAnsi="Times New Roman"/>
          <w:sz w:val="24"/>
        </w:rPr>
        <w:t>“</w:t>
      </w:r>
      <w:r>
        <w:rPr>
          <w:rFonts w:ascii="Times New Roman" w:hAnsi="Times New Roman"/>
          <w:sz w:val="24"/>
        </w:rPr>
        <w:t>伏牛山中条山省级水土流失重点治理区</w:t>
      </w:r>
      <w:r>
        <w:rPr>
          <w:rFonts w:ascii="Times New Roman" w:hAnsi="Times New Roman"/>
          <w:sz w:val="24"/>
        </w:rPr>
        <w:t>”</w:t>
      </w:r>
      <w:r>
        <w:rPr>
          <w:rFonts w:ascii="Times New Roman" w:hAnsi="Times New Roman"/>
          <w:sz w:val="24"/>
        </w:rPr>
        <w:t>。根据</w:t>
      </w:r>
      <w:r>
        <w:rPr>
          <w:rFonts w:ascii="Times New Roman" w:hAnsi="Times New Roman"/>
          <w:sz w:val="24"/>
        </w:rPr>
        <w:t>2000</w:t>
      </w:r>
      <w:r>
        <w:rPr>
          <w:rFonts w:ascii="Times New Roman" w:hAnsi="Times New Roman"/>
          <w:sz w:val="24"/>
        </w:rPr>
        <w:t>年河南省土壤侵蚀遥感调查成果，结合对项目建设区实地勘察观测结果，项目建设区水土流失类型以水力侵蚀为主，为轻度侵蚀，属全国水力侵蚀区划中的北方土石山区，土壤侵蚀模数容许值为</w:t>
      </w:r>
      <w:r>
        <w:rPr>
          <w:rFonts w:ascii="Times New Roman" w:hAnsi="Times New Roman"/>
          <w:sz w:val="24"/>
        </w:rPr>
        <w:t xml:space="preserve"> 200t/</w:t>
      </w:r>
      <w:r>
        <w:rPr>
          <w:rFonts w:ascii="Times New Roman" w:hAnsi="Times New Roman"/>
          <w:sz w:val="24"/>
        </w:rPr>
        <w:t>（</w:t>
      </w:r>
      <w:r>
        <w:rPr>
          <w:rFonts w:ascii="Times New Roman" w:hAnsi="Times New Roman"/>
          <w:sz w:val="24"/>
        </w:rPr>
        <w:t>km</w:t>
      </w:r>
      <w:r>
        <w:rPr>
          <w:rFonts w:ascii="Times New Roman" w:hAnsi="Times New Roman"/>
          <w:sz w:val="24"/>
          <w:vertAlign w:val="superscript"/>
        </w:rPr>
        <w:t>2</w:t>
      </w:r>
      <w:r>
        <w:rPr>
          <w:rFonts w:ascii="Times New Roman" w:hAnsi="Times New Roman"/>
          <w:sz w:val="24"/>
        </w:rPr>
        <w:t>·a</w:t>
      </w:r>
      <w:r>
        <w:rPr>
          <w:rFonts w:ascii="Times New Roman" w:hAnsi="Times New Roman"/>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17" w:name="_Toc79668679"/>
      <w:r>
        <w:rPr>
          <w:rFonts w:eastAsia="楷体"/>
          <w:sz w:val="28"/>
          <w:szCs w:val="28"/>
        </w:rPr>
        <w:t xml:space="preserve">5.1.7 </w:t>
      </w:r>
      <w:r>
        <w:rPr>
          <w:rFonts w:eastAsia="楷体"/>
          <w:sz w:val="28"/>
          <w:szCs w:val="28"/>
        </w:rPr>
        <w:t>土壤类型</w:t>
      </w:r>
      <w:bookmarkEnd w:id="417"/>
    </w:p>
    <w:p w:rsidR="00240BCE" w:rsidRDefault="00AC0334">
      <w:pPr>
        <w:pStyle w:val="ae"/>
        <w:spacing w:line="520" w:lineRule="exact"/>
        <w:ind w:firstLine="495"/>
        <w:rPr>
          <w:rFonts w:ascii="Times New Roman" w:hAnsi="Times New Roman"/>
          <w:sz w:val="24"/>
          <w:szCs w:val="24"/>
        </w:rPr>
      </w:pPr>
      <w:r>
        <w:rPr>
          <w:rFonts w:ascii="Times New Roman" w:hAnsi="Times New Roman"/>
          <w:sz w:val="24"/>
          <w:szCs w:val="24"/>
        </w:rPr>
        <w:t>禹州市土壤种类繁多，禹州市境内土壤划分为褐土、砂姜黑土、潮土、棕壤等</w:t>
      </w:r>
      <w:r>
        <w:rPr>
          <w:rFonts w:ascii="Times New Roman" w:hAnsi="Times New Roman"/>
          <w:sz w:val="24"/>
          <w:szCs w:val="24"/>
        </w:rPr>
        <w:t>4</w:t>
      </w:r>
      <w:r>
        <w:rPr>
          <w:rFonts w:ascii="Times New Roman" w:hAnsi="Times New Roman"/>
          <w:sz w:val="24"/>
          <w:szCs w:val="24"/>
        </w:rPr>
        <w:t>个土类，包括</w:t>
      </w:r>
      <w:r>
        <w:rPr>
          <w:rFonts w:ascii="Times New Roman" w:hAnsi="Times New Roman"/>
          <w:sz w:val="24"/>
          <w:szCs w:val="24"/>
        </w:rPr>
        <w:t>8</w:t>
      </w:r>
      <w:r>
        <w:rPr>
          <w:rFonts w:ascii="Times New Roman" w:hAnsi="Times New Roman"/>
          <w:sz w:val="24"/>
          <w:szCs w:val="24"/>
        </w:rPr>
        <w:t>个亚类、</w:t>
      </w:r>
      <w:r>
        <w:rPr>
          <w:rFonts w:ascii="Times New Roman" w:hAnsi="Times New Roman"/>
          <w:sz w:val="24"/>
          <w:szCs w:val="24"/>
        </w:rPr>
        <w:t>19</w:t>
      </w:r>
      <w:r>
        <w:rPr>
          <w:rFonts w:ascii="Times New Roman" w:hAnsi="Times New Roman"/>
          <w:sz w:val="24"/>
          <w:szCs w:val="24"/>
        </w:rPr>
        <w:t>个土属，</w:t>
      </w:r>
      <w:r>
        <w:rPr>
          <w:rFonts w:ascii="Times New Roman" w:hAnsi="Times New Roman"/>
          <w:sz w:val="24"/>
          <w:szCs w:val="24"/>
        </w:rPr>
        <w:t>43</w:t>
      </w:r>
      <w:r>
        <w:rPr>
          <w:rFonts w:ascii="Times New Roman" w:hAnsi="Times New Roman"/>
          <w:sz w:val="24"/>
          <w:szCs w:val="24"/>
        </w:rPr>
        <w:t>个土种。根据土壤颜色划分可分为淡棕土、棕色土、灰棕土、红棕土及灰色土等。表层土厚</w:t>
      </w:r>
      <w:r>
        <w:rPr>
          <w:rFonts w:ascii="Times New Roman" w:hAnsi="Times New Roman"/>
          <w:sz w:val="24"/>
          <w:szCs w:val="24"/>
        </w:rPr>
        <w:t>0.35m-0.45m</w:t>
      </w:r>
      <w:r>
        <w:rPr>
          <w:rFonts w:ascii="Times New Roman" w:hAnsi="Times New Roman"/>
          <w:sz w:val="24"/>
          <w:szCs w:val="24"/>
        </w:rPr>
        <w:t>。土壤有机质含量为</w:t>
      </w:r>
      <w:r>
        <w:rPr>
          <w:rFonts w:ascii="Times New Roman" w:hAnsi="Times New Roman"/>
          <w:sz w:val="24"/>
          <w:szCs w:val="24"/>
        </w:rPr>
        <w:t>1.28%</w:t>
      </w:r>
      <w:r>
        <w:rPr>
          <w:rFonts w:ascii="Times New Roman" w:hAnsi="Times New Roman"/>
          <w:sz w:val="24"/>
          <w:szCs w:val="24"/>
        </w:rPr>
        <w:t>，全氮</w:t>
      </w:r>
      <w:r>
        <w:rPr>
          <w:rFonts w:ascii="Times New Roman" w:hAnsi="Times New Roman"/>
          <w:sz w:val="24"/>
          <w:szCs w:val="24"/>
        </w:rPr>
        <w:t>0.083%</w:t>
      </w:r>
      <w:r>
        <w:rPr>
          <w:rFonts w:ascii="Times New Roman" w:hAnsi="Times New Roman"/>
          <w:sz w:val="24"/>
          <w:szCs w:val="24"/>
        </w:rPr>
        <w:t>，速效磷</w:t>
      </w:r>
      <w:r>
        <w:rPr>
          <w:rFonts w:ascii="Times New Roman" w:hAnsi="Times New Roman"/>
          <w:sz w:val="24"/>
          <w:szCs w:val="24"/>
        </w:rPr>
        <w:t>11mg/kg</w:t>
      </w:r>
      <w:r>
        <w:rPr>
          <w:rFonts w:ascii="Times New Roman" w:hAnsi="Times New Roman"/>
          <w:sz w:val="24"/>
          <w:szCs w:val="24"/>
        </w:rPr>
        <w:t>，速效钾</w:t>
      </w:r>
      <w:r>
        <w:rPr>
          <w:rFonts w:ascii="Times New Roman" w:hAnsi="Times New Roman"/>
          <w:sz w:val="24"/>
          <w:szCs w:val="24"/>
        </w:rPr>
        <w:t>150mg/kg</w:t>
      </w:r>
      <w:r>
        <w:rPr>
          <w:rFonts w:ascii="Times New Roman" w:hAnsi="Times New Roman"/>
          <w:sz w:val="24"/>
          <w:szCs w:val="24"/>
        </w:rPr>
        <w:t>。属弱～中等透水，抗渗能力一般～较差。土壤可蚀性一般。适宜小麦、玉米、红薯、烟草、棉花、大豆等多种农作物的生长近几年来，随着农业土地的改良，农田生产力水平有了较大的提</w:t>
      </w:r>
      <w:r>
        <w:rPr>
          <w:rFonts w:ascii="Times New Roman" w:hAnsi="Times New Roman"/>
          <w:sz w:val="24"/>
          <w:szCs w:val="24"/>
        </w:rPr>
        <w:lastRenderedPageBreak/>
        <w:t>高，土壤相对比较肥沃。</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18" w:name="_Toc79668680"/>
      <w:r>
        <w:rPr>
          <w:rFonts w:eastAsia="楷体"/>
          <w:sz w:val="28"/>
          <w:szCs w:val="28"/>
        </w:rPr>
        <w:t xml:space="preserve">5.1.8 </w:t>
      </w:r>
      <w:r>
        <w:rPr>
          <w:rFonts w:eastAsia="楷体"/>
          <w:sz w:val="28"/>
          <w:szCs w:val="28"/>
        </w:rPr>
        <w:t>生态系统类型及特征</w:t>
      </w:r>
      <w:bookmarkEnd w:id="418"/>
    </w:p>
    <w:p w:rsidR="00240BCE" w:rsidRDefault="00AC0334">
      <w:pPr>
        <w:spacing w:line="520" w:lineRule="exact"/>
        <w:rPr>
          <w:sz w:val="24"/>
        </w:rPr>
      </w:pPr>
      <w:r>
        <w:rPr>
          <w:sz w:val="24"/>
        </w:rPr>
        <w:t xml:space="preserve">5.1.8.1 </w:t>
      </w:r>
      <w:r>
        <w:rPr>
          <w:sz w:val="24"/>
        </w:rPr>
        <w:t>生态系统类型</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根据实地调查，评价区共有</w:t>
      </w:r>
      <w:r>
        <w:rPr>
          <w:rFonts w:ascii="Times New Roman" w:hAnsi="Times New Roman"/>
          <w:sz w:val="24"/>
          <w:szCs w:val="24"/>
        </w:rPr>
        <w:t>7</w:t>
      </w:r>
      <w:r>
        <w:rPr>
          <w:rFonts w:ascii="Times New Roman" w:hAnsi="Times New Roman"/>
          <w:sz w:val="24"/>
          <w:szCs w:val="24"/>
        </w:rPr>
        <w:t>种生态系统类型，主要为农田生态系统，广泛分布于评价区之内。评价区内生态系统类型及特征见表</w:t>
      </w:r>
      <w:r>
        <w:rPr>
          <w:rFonts w:ascii="Times New Roman" w:hAnsi="Times New Roman"/>
          <w:sz w:val="24"/>
          <w:szCs w:val="24"/>
        </w:rPr>
        <w:t>5.1-2</w:t>
      </w:r>
      <w:r>
        <w:rPr>
          <w:rFonts w:ascii="Times New Roman" w:hAnsi="Times New Roman"/>
          <w:sz w:val="24"/>
          <w:szCs w:val="24"/>
        </w:rPr>
        <w:t>。</w:t>
      </w:r>
    </w:p>
    <w:p w:rsidR="00240BCE" w:rsidRDefault="00AC0334">
      <w:pPr>
        <w:pStyle w:val="ae"/>
        <w:spacing w:line="520" w:lineRule="exact"/>
        <w:jc w:val="center"/>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 xml:space="preserve">5.1-2   </w:t>
      </w:r>
      <w:r>
        <w:rPr>
          <w:rFonts w:ascii="Times New Roman" w:eastAsia="黑体" w:hAnsi="Times New Roman"/>
          <w:sz w:val="24"/>
          <w:szCs w:val="24"/>
        </w:rPr>
        <w:t>评价区生态系统类型及特征表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620"/>
        <w:gridCol w:w="3780"/>
        <w:gridCol w:w="3060"/>
      </w:tblGrid>
      <w:tr w:rsidR="00240BCE">
        <w:tc>
          <w:tcPr>
            <w:tcW w:w="648"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序号</w:t>
            </w:r>
          </w:p>
        </w:tc>
        <w:tc>
          <w:tcPr>
            <w:tcW w:w="162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生态系统类型</w:t>
            </w:r>
          </w:p>
        </w:tc>
        <w:tc>
          <w:tcPr>
            <w:tcW w:w="378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主要物种</w:t>
            </w:r>
          </w:p>
        </w:tc>
        <w:tc>
          <w:tcPr>
            <w:tcW w:w="306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分布</w:t>
            </w:r>
          </w:p>
        </w:tc>
      </w:tr>
      <w:tr w:rsidR="00240BCE">
        <w:tc>
          <w:tcPr>
            <w:tcW w:w="648"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1</w:t>
            </w:r>
          </w:p>
        </w:tc>
        <w:tc>
          <w:tcPr>
            <w:tcW w:w="162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农田生态系统</w:t>
            </w:r>
          </w:p>
        </w:tc>
        <w:tc>
          <w:tcPr>
            <w:tcW w:w="378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小麦、玉米、豆类、蔬菜、谷子、红薯、棉花、芝麻等。</w:t>
            </w:r>
          </w:p>
        </w:tc>
        <w:tc>
          <w:tcPr>
            <w:tcW w:w="306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呈不规则斑块状散布于评价区内。</w:t>
            </w:r>
          </w:p>
        </w:tc>
      </w:tr>
      <w:tr w:rsidR="00240BCE">
        <w:tc>
          <w:tcPr>
            <w:tcW w:w="648"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2</w:t>
            </w:r>
          </w:p>
        </w:tc>
        <w:tc>
          <w:tcPr>
            <w:tcW w:w="162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园地生态系统</w:t>
            </w:r>
          </w:p>
        </w:tc>
        <w:tc>
          <w:tcPr>
            <w:tcW w:w="378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果园及菜园，樱桃、枣、蔬菜等</w:t>
            </w:r>
          </w:p>
        </w:tc>
        <w:tc>
          <w:tcPr>
            <w:tcW w:w="306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呈斑块状分布于评价区内</w:t>
            </w:r>
          </w:p>
        </w:tc>
      </w:tr>
      <w:tr w:rsidR="00240BCE">
        <w:tc>
          <w:tcPr>
            <w:tcW w:w="648"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3</w:t>
            </w:r>
          </w:p>
        </w:tc>
        <w:tc>
          <w:tcPr>
            <w:tcW w:w="162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林地生态系统</w:t>
            </w:r>
          </w:p>
        </w:tc>
        <w:tc>
          <w:tcPr>
            <w:tcW w:w="378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杨、榆、柳、槐、泡桐、柿等乔木以及酸枣丛等灌木。</w:t>
            </w:r>
          </w:p>
        </w:tc>
        <w:tc>
          <w:tcPr>
            <w:tcW w:w="306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呈大面积分布于评价区各处。</w:t>
            </w:r>
          </w:p>
        </w:tc>
      </w:tr>
      <w:tr w:rsidR="00240BCE">
        <w:tc>
          <w:tcPr>
            <w:tcW w:w="648"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4</w:t>
            </w:r>
          </w:p>
        </w:tc>
        <w:tc>
          <w:tcPr>
            <w:tcW w:w="162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草地生态系统</w:t>
            </w:r>
          </w:p>
        </w:tc>
        <w:tc>
          <w:tcPr>
            <w:tcW w:w="378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白羊草、狗尾、刺苋等。</w:t>
            </w:r>
          </w:p>
        </w:tc>
        <w:tc>
          <w:tcPr>
            <w:tcW w:w="306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主要分布于评价区内的荒地。</w:t>
            </w:r>
          </w:p>
        </w:tc>
      </w:tr>
      <w:tr w:rsidR="00240BCE">
        <w:tc>
          <w:tcPr>
            <w:tcW w:w="648"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5</w:t>
            </w:r>
          </w:p>
        </w:tc>
        <w:tc>
          <w:tcPr>
            <w:tcW w:w="162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村镇生态系统</w:t>
            </w:r>
          </w:p>
        </w:tc>
        <w:tc>
          <w:tcPr>
            <w:tcW w:w="378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人与绿色植物</w:t>
            </w:r>
          </w:p>
        </w:tc>
        <w:tc>
          <w:tcPr>
            <w:tcW w:w="306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呈斑块状散布于评价区内。</w:t>
            </w:r>
          </w:p>
        </w:tc>
      </w:tr>
      <w:tr w:rsidR="00240BCE">
        <w:tc>
          <w:tcPr>
            <w:tcW w:w="648"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6</w:t>
            </w:r>
          </w:p>
        </w:tc>
        <w:tc>
          <w:tcPr>
            <w:tcW w:w="162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路际生态系统</w:t>
            </w:r>
          </w:p>
        </w:tc>
        <w:tc>
          <w:tcPr>
            <w:tcW w:w="378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人与绿色植物</w:t>
            </w:r>
          </w:p>
        </w:tc>
        <w:tc>
          <w:tcPr>
            <w:tcW w:w="306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乡村道路</w:t>
            </w:r>
          </w:p>
        </w:tc>
      </w:tr>
      <w:tr w:rsidR="00240BCE">
        <w:tc>
          <w:tcPr>
            <w:tcW w:w="648"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7</w:t>
            </w:r>
          </w:p>
        </w:tc>
        <w:tc>
          <w:tcPr>
            <w:tcW w:w="162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水域生态系统</w:t>
            </w:r>
          </w:p>
        </w:tc>
        <w:tc>
          <w:tcPr>
            <w:tcW w:w="378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水生生物</w:t>
            </w:r>
          </w:p>
        </w:tc>
        <w:tc>
          <w:tcPr>
            <w:tcW w:w="3060" w:type="dxa"/>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集水沟、坑塘，呈斑块状分布。</w:t>
            </w: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419" w:name="_Toc79668681"/>
      <w:r>
        <w:rPr>
          <w:rFonts w:eastAsia="楷体"/>
          <w:sz w:val="28"/>
          <w:szCs w:val="28"/>
        </w:rPr>
        <w:t xml:space="preserve">5.1.9 </w:t>
      </w:r>
      <w:r>
        <w:rPr>
          <w:rFonts w:eastAsia="楷体"/>
          <w:sz w:val="28"/>
          <w:szCs w:val="28"/>
        </w:rPr>
        <w:t>现有工程生态环境影响现状调查</w:t>
      </w:r>
      <w:bookmarkEnd w:id="419"/>
    </w:p>
    <w:p w:rsidR="00240BCE" w:rsidRDefault="00AC0334">
      <w:pPr>
        <w:spacing w:line="520" w:lineRule="exact"/>
        <w:ind w:firstLineChars="200" w:firstLine="480"/>
        <w:rPr>
          <w:sz w:val="24"/>
        </w:rPr>
      </w:pPr>
      <w:r>
        <w:rPr>
          <w:sz w:val="24"/>
        </w:rPr>
        <w:t>现有工程生态环境影响现状调查包括</w:t>
      </w:r>
      <w:r>
        <w:rPr>
          <w:b/>
          <w:bCs/>
          <w:sz w:val="24"/>
        </w:rPr>
        <w:t>资源整合前生态环境影响回顾调查</w:t>
      </w:r>
      <w:r>
        <w:rPr>
          <w:sz w:val="24"/>
        </w:rPr>
        <w:t>及</w:t>
      </w:r>
      <w:r>
        <w:rPr>
          <w:b/>
          <w:bCs/>
          <w:sz w:val="24"/>
        </w:rPr>
        <w:t>资源整合后</w:t>
      </w:r>
      <w:r>
        <w:rPr>
          <w:b/>
          <w:bCs/>
          <w:sz w:val="24"/>
        </w:rPr>
        <w:t>0.15Mt/a</w:t>
      </w:r>
      <w:r>
        <w:rPr>
          <w:b/>
          <w:bCs/>
          <w:sz w:val="24"/>
        </w:rPr>
        <w:t>现有工程生态环境影响调查</w:t>
      </w:r>
      <w:r>
        <w:rPr>
          <w:sz w:val="24"/>
        </w:rPr>
        <w:t>两部分。</w:t>
      </w:r>
    </w:p>
    <w:p w:rsidR="00240BCE" w:rsidRDefault="00AC0334">
      <w:pPr>
        <w:spacing w:line="520" w:lineRule="exact"/>
        <w:ind w:firstLineChars="200" w:firstLine="480"/>
        <w:rPr>
          <w:sz w:val="24"/>
        </w:rPr>
      </w:pPr>
      <w:r>
        <w:rPr>
          <w:sz w:val="24"/>
        </w:rPr>
        <w:t>1</w:t>
      </w:r>
      <w:r>
        <w:rPr>
          <w:sz w:val="24"/>
        </w:rPr>
        <w:t>、资源整合前生态环境影响回顾调查</w:t>
      </w:r>
    </w:p>
    <w:p w:rsidR="00240BCE" w:rsidRDefault="00AC0334">
      <w:pPr>
        <w:spacing w:line="520" w:lineRule="exact"/>
        <w:ind w:firstLineChars="200" w:firstLine="480"/>
        <w:rPr>
          <w:sz w:val="24"/>
        </w:rPr>
      </w:pPr>
      <w:r>
        <w:rPr>
          <w:sz w:val="24"/>
        </w:rPr>
        <w:t>根据调查，现有工程前身为禹州市大山煤业有限公司，由原禹州市鸠山乡东明煤矿、禹州市黄庄一矿及赵沟联办煤矿整合而成。</w:t>
      </w:r>
      <w:r w:rsidR="00B95226">
        <w:rPr>
          <w:sz w:val="24"/>
        </w:rPr>
        <w:fldChar w:fldCharType="begin"/>
      </w:r>
      <w:r>
        <w:rPr>
          <w:sz w:val="24"/>
        </w:rPr>
        <w:instrText xml:space="preserve"> = 1 \* GB3 </w:instrText>
      </w:r>
      <w:r w:rsidR="00B95226">
        <w:rPr>
          <w:sz w:val="24"/>
        </w:rPr>
        <w:fldChar w:fldCharType="separate"/>
      </w:r>
      <w:r>
        <w:rPr>
          <w:sz w:val="24"/>
        </w:rPr>
        <w:t>①</w:t>
      </w:r>
      <w:r w:rsidR="00B95226">
        <w:rPr>
          <w:sz w:val="24"/>
        </w:rPr>
        <w:fldChar w:fldCharType="end"/>
      </w:r>
      <w:r>
        <w:rPr>
          <w:sz w:val="24"/>
        </w:rPr>
        <w:t>资源整合前原禹州市鸠山乡东明煤矿采用竖井开拓，设有工业场地及主井、副井两个井筒等，已采原煤约</w:t>
      </w:r>
      <w:r>
        <w:rPr>
          <w:sz w:val="24"/>
        </w:rPr>
        <w:t>56.1</w:t>
      </w:r>
      <w:r>
        <w:rPr>
          <w:sz w:val="24"/>
        </w:rPr>
        <w:t>万吨，采空区约</w:t>
      </w:r>
      <w:r>
        <w:rPr>
          <w:sz w:val="24"/>
        </w:rPr>
        <w:t>9.46hm</w:t>
      </w:r>
      <w:r>
        <w:rPr>
          <w:sz w:val="24"/>
          <w:vertAlign w:val="superscript"/>
        </w:rPr>
        <w:t>2</w:t>
      </w:r>
      <w:r>
        <w:rPr>
          <w:sz w:val="24"/>
        </w:rPr>
        <w:t>，目前采空区已稳定，且资源整合后仍利用原禹州市鸠山乡东明煤矿遗留的工业场地及井筒，并在此基础上技术改造，因此原禹州市鸠山乡东明煤矿基本没有遗留问题；</w:t>
      </w:r>
      <w:r w:rsidR="00B95226">
        <w:rPr>
          <w:sz w:val="24"/>
        </w:rPr>
        <w:fldChar w:fldCharType="begin"/>
      </w:r>
      <w:r>
        <w:rPr>
          <w:sz w:val="24"/>
        </w:rPr>
        <w:instrText xml:space="preserve"> = 2 \* GB3 </w:instrText>
      </w:r>
      <w:r w:rsidR="00B95226">
        <w:rPr>
          <w:sz w:val="24"/>
        </w:rPr>
        <w:fldChar w:fldCharType="separate"/>
      </w:r>
      <w:r>
        <w:rPr>
          <w:sz w:val="24"/>
        </w:rPr>
        <w:t>②</w:t>
      </w:r>
      <w:r w:rsidR="00B95226">
        <w:rPr>
          <w:sz w:val="24"/>
        </w:rPr>
        <w:fldChar w:fldCharType="end"/>
      </w:r>
      <w:r>
        <w:rPr>
          <w:sz w:val="24"/>
        </w:rPr>
        <w:t>原禹州市黄庄一矿开采二</w:t>
      </w:r>
      <w:r>
        <w:rPr>
          <w:sz w:val="24"/>
          <w:vertAlign w:val="subscript"/>
        </w:rPr>
        <w:t>1</w:t>
      </w:r>
      <w:r>
        <w:rPr>
          <w:sz w:val="24"/>
        </w:rPr>
        <w:t>煤，采用立井开拓，设置有工业场地及主井、副井两个井筒等，已采原煤约</w:t>
      </w:r>
      <w:r>
        <w:rPr>
          <w:sz w:val="24"/>
        </w:rPr>
        <w:t>5.3</w:t>
      </w:r>
      <w:r>
        <w:rPr>
          <w:sz w:val="24"/>
        </w:rPr>
        <w:t>万吨，采空区约</w:t>
      </w:r>
      <w:r>
        <w:rPr>
          <w:sz w:val="24"/>
        </w:rPr>
        <w:t>0.89hm</w:t>
      </w:r>
      <w:r>
        <w:rPr>
          <w:sz w:val="24"/>
          <w:vertAlign w:val="superscript"/>
        </w:rPr>
        <w:t>2</w:t>
      </w:r>
      <w:r>
        <w:rPr>
          <w:sz w:val="24"/>
        </w:rPr>
        <w:t>，目前采</w:t>
      </w:r>
      <w:r>
        <w:rPr>
          <w:sz w:val="24"/>
        </w:rPr>
        <w:lastRenderedPageBreak/>
        <w:t>空区已稳定，井筒均已封填，工业场地已拆除并进行了生态恢复；</w:t>
      </w:r>
      <w:r w:rsidR="00B95226">
        <w:rPr>
          <w:sz w:val="24"/>
        </w:rPr>
        <w:fldChar w:fldCharType="begin"/>
      </w:r>
      <w:r>
        <w:rPr>
          <w:sz w:val="24"/>
        </w:rPr>
        <w:instrText xml:space="preserve"> = 3 \* GB3 </w:instrText>
      </w:r>
      <w:r w:rsidR="00B95226">
        <w:rPr>
          <w:sz w:val="24"/>
        </w:rPr>
        <w:fldChar w:fldCharType="separate"/>
      </w:r>
      <w:r>
        <w:rPr>
          <w:sz w:val="24"/>
        </w:rPr>
        <w:t>③</w:t>
      </w:r>
      <w:r w:rsidR="00B95226">
        <w:rPr>
          <w:sz w:val="24"/>
        </w:rPr>
        <w:fldChar w:fldCharType="end"/>
      </w:r>
      <w:r>
        <w:rPr>
          <w:sz w:val="24"/>
        </w:rPr>
        <w:t>原赵沟联办煤矿开采四</w:t>
      </w:r>
      <w:r>
        <w:rPr>
          <w:sz w:val="24"/>
          <w:vertAlign w:val="subscript"/>
        </w:rPr>
        <w:t>1</w:t>
      </w:r>
      <w:r>
        <w:rPr>
          <w:sz w:val="24"/>
        </w:rPr>
        <w:t>煤，采用斜井开拓，设有工业场地及主斜井、副井两个井筒，已采原煤约</w:t>
      </w:r>
      <w:r>
        <w:rPr>
          <w:sz w:val="24"/>
        </w:rPr>
        <w:t>3.6</w:t>
      </w:r>
      <w:r>
        <w:rPr>
          <w:sz w:val="24"/>
        </w:rPr>
        <w:t>万吨，采空区约</w:t>
      </w:r>
      <w:r>
        <w:rPr>
          <w:sz w:val="24"/>
        </w:rPr>
        <w:t>1.5hm</w:t>
      </w:r>
      <w:r>
        <w:rPr>
          <w:sz w:val="24"/>
          <w:vertAlign w:val="superscript"/>
        </w:rPr>
        <w:t>2</w:t>
      </w:r>
      <w:r>
        <w:rPr>
          <w:sz w:val="24"/>
        </w:rPr>
        <w:t>，目前井筒均已封填，工业场地已拆除并进行了生态恢复。</w:t>
      </w:r>
    </w:p>
    <w:p w:rsidR="00240BCE" w:rsidRDefault="00AC0334">
      <w:pPr>
        <w:spacing w:line="520" w:lineRule="exact"/>
        <w:ind w:firstLineChars="200" w:firstLine="480"/>
        <w:rPr>
          <w:sz w:val="24"/>
        </w:rPr>
      </w:pPr>
      <w:r>
        <w:rPr>
          <w:sz w:val="24"/>
        </w:rPr>
        <w:t>2</w:t>
      </w:r>
      <w:r>
        <w:rPr>
          <w:sz w:val="24"/>
        </w:rPr>
        <w:t>、资源整合后</w:t>
      </w:r>
      <w:r>
        <w:rPr>
          <w:sz w:val="24"/>
        </w:rPr>
        <w:t>0.15Mt/a</w:t>
      </w:r>
      <w:r>
        <w:rPr>
          <w:sz w:val="24"/>
        </w:rPr>
        <w:t>现有工程生态环境影响现状调查</w:t>
      </w:r>
    </w:p>
    <w:p w:rsidR="00240BCE" w:rsidRDefault="00AC0334">
      <w:pPr>
        <w:spacing w:line="520" w:lineRule="exact"/>
        <w:ind w:firstLineChars="200" w:firstLine="480"/>
        <w:rPr>
          <w:sz w:val="24"/>
        </w:rPr>
      </w:pPr>
      <w:r>
        <w:rPr>
          <w:sz w:val="24"/>
        </w:rPr>
        <w:t>根据调查，升级改造前，现有工程共划分</w:t>
      </w:r>
      <w:r>
        <w:rPr>
          <w:sz w:val="24"/>
        </w:rPr>
        <w:t>2</w:t>
      </w:r>
      <w:r>
        <w:rPr>
          <w:sz w:val="24"/>
        </w:rPr>
        <w:t>个采区，</w:t>
      </w:r>
      <w:r>
        <w:rPr>
          <w:sz w:val="24"/>
        </w:rPr>
        <w:t xml:space="preserve"> -100m</w:t>
      </w:r>
      <w:r>
        <w:rPr>
          <w:sz w:val="24"/>
        </w:rPr>
        <w:t>水平以浅为</w:t>
      </w:r>
      <w:r>
        <w:rPr>
          <w:sz w:val="24"/>
        </w:rPr>
        <w:t>21</w:t>
      </w:r>
      <w:r>
        <w:rPr>
          <w:sz w:val="24"/>
        </w:rPr>
        <w:t>采区，</w:t>
      </w:r>
      <w:r>
        <w:rPr>
          <w:sz w:val="24"/>
        </w:rPr>
        <w:t>-100m</w:t>
      </w:r>
      <w:r>
        <w:rPr>
          <w:sz w:val="24"/>
        </w:rPr>
        <w:t>水平以深为</w:t>
      </w:r>
      <w:r>
        <w:rPr>
          <w:sz w:val="24"/>
        </w:rPr>
        <w:t>22</w:t>
      </w:r>
      <w:r>
        <w:rPr>
          <w:sz w:val="24"/>
        </w:rPr>
        <w:t>采区，先</w:t>
      </w:r>
      <w:r>
        <w:rPr>
          <w:sz w:val="24"/>
        </w:rPr>
        <w:t>21</w:t>
      </w:r>
      <w:r>
        <w:rPr>
          <w:sz w:val="24"/>
        </w:rPr>
        <w:t>采区，后</w:t>
      </w:r>
      <w:r>
        <w:rPr>
          <w:sz w:val="24"/>
        </w:rPr>
        <w:t>22</w:t>
      </w:r>
      <w:r>
        <w:rPr>
          <w:sz w:val="24"/>
        </w:rPr>
        <w:t>采区。目前井下已开采的采区为</w:t>
      </w:r>
      <w:r>
        <w:rPr>
          <w:sz w:val="24"/>
        </w:rPr>
        <w:t>21</w:t>
      </w:r>
      <w:r>
        <w:rPr>
          <w:sz w:val="24"/>
        </w:rPr>
        <w:t>采区，根据现场调查，现有工程（</w:t>
      </w:r>
      <w:r>
        <w:rPr>
          <w:sz w:val="24"/>
        </w:rPr>
        <w:t>0.15Mt/a</w:t>
      </w:r>
      <w:r>
        <w:rPr>
          <w:sz w:val="24"/>
        </w:rPr>
        <w:t>）仍处于技术改造中，目前隆庆煤矿开采区域较小，开采形成的采空区的面积约</w:t>
      </w:r>
      <w:r>
        <w:rPr>
          <w:sz w:val="24"/>
        </w:rPr>
        <w:t>3.2hm</w:t>
      </w:r>
      <w:r>
        <w:rPr>
          <w:sz w:val="24"/>
          <w:vertAlign w:val="superscript"/>
        </w:rPr>
        <w:t>2</w:t>
      </w:r>
      <w:r>
        <w:rPr>
          <w:sz w:val="24"/>
        </w:rPr>
        <w:t>，地表沉陷面积约为</w:t>
      </w:r>
      <w:r>
        <w:rPr>
          <w:sz w:val="24"/>
        </w:rPr>
        <w:t>4.5hm</w:t>
      </w:r>
      <w:r>
        <w:rPr>
          <w:sz w:val="24"/>
          <w:vertAlign w:val="superscript"/>
        </w:rPr>
        <w:t>2</w:t>
      </w:r>
      <w:r>
        <w:rPr>
          <w:sz w:val="24"/>
        </w:rPr>
        <w:t>，沉陷深度为</w:t>
      </w:r>
      <w:r>
        <w:rPr>
          <w:sz w:val="24"/>
        </w:rPr>
        <w:t>0.1m</w:t>
      </w:r>
      <w:r>
        <w:rPr>
          <w:sz w:val="24"/>
        </w:rPr>
        <w:t>～</w:t>
      </w:r>
      <w:r>
        <w:rPr>
          <w:sz w:val="24"/>
        </w:rPr>
        <w:t>0.5m</w:t>
      </w:r>
      <w:r>
        <w:rPr>
          <w:sz w:val="24"/>
        </w:rPr>
        <w:t>，沉陷区域主要为耕地、果园等，根据现场调查，由于项目地处浅山丘陵区，且开采面积较小，井下开采引起的地表沉陷不明显，没有明显的裂缝，没有改变土地利用结构，基本不影响耕种和植被的生长。</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20" w:name="_Toc79668682"/>
      <w:r>
        <w:rPr>
          <w:rFonts w:eastAsia="楷体"/>
          <w:sz w:val="28"/>
          <w:szCs w:val="28"/>
        </w:rPr>
        <w:t xml:space="preserve">5.1.10 </w:t>
      </w:r>
      <w:r>
        <w:rPr>
          <w:rFonts w:eastAsia="楷体"/>
          <w:sz w:val="28"/>
          <w:szCs w:val="28"/>
        </w:rPr>
        <w:t>生态环境现状评价结论</w:t>
      </w:r>
      <w:bookmarkEnd w:id="420"/>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、评价区共有</w:t>
      </w:r>
      <w:r>
        <w:rPr>
          <w:rFonts w:ascii="Times New Roman" w:hAnsi="Times New Roman"/>
          <w:sz w:val="24"/>
          <w:szCs w:val="24"/>
        </w:rPr>
        <w:t>7</w:t>
      </w:r>
      <w:r>
        <w:rPr>
          <w:rFonts w:ascii="Times New Roman" w:hAnsi="Times New Roman"/>
          <w:sz w:val="24"/>
          <w:szCs w:val="24"/>
        </w:rPr>
        <w:t>种生态系统类型，即农田生态系统、园地生态系统、林地生态系统、草地生态系统、村镇生态系统、路际生态系统、水域生态系统。其中以农田生态系统为主，分布广，遍布评价区各地。</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、评价区地处暖温带华北区，兼有较多亚热带华中区系成份。因人类活动频繁，天然植被大部分被破坏。除农田耕作地带外，现存的主要植被类型主要是落叶阔叶林、落叶阔叶灌丛、草地等。</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、评价区内没有珍稀濒危和保护植物分布。</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、目前该区的野生动物组成比较简单，种类较少。评价区内无国家级保护动物。</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、评价区土地利用现状可划分为</w:t>
      </w:r>
      <w:r>
        <w:rPr>
          <w:rFonts w:ascii="Times New Roman" w:hAnsi="Times New Roman"/>
          <w:sz w:val="24"/>
          <w:szCs w:val="24"/>
        </w:rPr>
        <w:t>9</w:t>
      </w:r>
      <w:r>
        <w:rPr>
          <w:rFonts w:ascii="Times New Roman" w:hAnsi="Times New Roman"/>
          <w:sz w:val="24"/>
          <w:szCs w:val="24"/>
        </w:rPr>
        <w:t>个类型，分别为耕地、园地、林地、草地、工矿仓储用地、住宅用地、公共管理与公共服务用地、交通运输用地、水域及水利设施用地，其中以耕地为主，广泛分布于评价区内。</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421" w:name="_Toc154205357"/>
      <w:bookmarkStart w:id="422" w:name="_Toc158524766"/>
      <w:bookmarkStart w:id="423" w:name="_Toc79668683"/>
      <w:bookmarkStart w:id="424" w:name="_Toc81934382"/>
      <w:bookmarkEnd w:id="412"/>
      <w:bookmarkEnd w:id="413"/>
      <w:bookmarkEnd w:id="414"/>
      <w:r>
        <w:rPr>
          <w:rFonts w:ascii="Times New Roman" w:eastAsia="宋体" w:hAnsi="Times New Roman"/>
          <w:bCs/>
          <w:szCs w:val="32"/>
        </w:rPr>
        <w:lastRenderedPageBreak/>
        <w:t>5.2</w:t>
      </w:r>
      <w:bookmarkEnd w:id="421"/>
      <w:bookmarkEnd w:id="422"/>
      <w:r>
        <w:rPr>
          <w:rFonts w:ascii="Times New Roman" w:eastAsia="宋体" w:hAnsi="Times New Roman"/>
          <w:bCs/>
          <w:szCs w:val="32"/>
        </w:rPr>
        <w:t>建设期生态生态影响分析与保护措施</w:t>
      </w:r>
      <w:bookmarkEnd w:id="423"/>
      <w:bookmarkEnd w:id="424"/>
    </w:p>
    <w:p w:rsidR="00240BCE" w:rsidRDefault="00AC0334">
      <w:pPr>
        <w:spacing w:line="520" w:lineRule="exact"/>
        <w:ind w:firstLineChars="200" w:firstLine="480"/>
        <w:rPr>
          <w:sz w:val="24"/>
        </w:rPr>
      </w:pPr>
      <w:bookmarkStart w:id="425" w:name="_Toc145151489"/>
      <w:bookmarkStart w:id="426" w:name="_Toc145154867"/>
      <w:bookmarkStart w:id="427" w:name="_Toc145155229"/>
      <w:bookmarkStart w:id="428" w:name="_Toc145246745"/>
      <w:bookmarkStart w:id="429" w:name="_Toc149322517"/>
      <w:bookmarkStart w:id="430" w:name="_Toc154205360"/>
      <w:bookmarkStart w:id="431" w:name="_Toc156386461"/>
      <w:bookmarkStart w:id="432" w:name="_Toc157574137"/>
      <w:bookmarkStart w:id="433" w:name="_Toc158524769"/>
      <w:bookmarkStart w:id="434" w:name="_Toc163748868"/>
      <w:bookmarkStart w:id="435" w:name="_Toc163749246"/>
      <w:bookmarkStart w:id="436" w:name="_Toc164245941"/>
      <w:bookmarkStart w:id="437" w:name="_Toc166899924"/>
      <w:bookmarkStart w:id="438" w:name="_Toc168978530"/>
      <w:bookmarkStart w:id="439" w:name="_Toc169520033"/>
      <w:r>
        <w:rPr>
          <w:sz w:val="24"/>
        </w:rPr>
        <w:t>建设期生态环境影响较为简单，主要包括两方面：一是项目永久及临时占地对土地资源的占用和原地貌植被破坏，二是项目施工过程中造成的水土流失。</w:t>
      </w:r>
    </w:p>
    <w:p w:rsidR="00240BCE" w:rsidRDefault="00AC0334">
      <w:pPr>
        <w:spacing w:line="520" w:lineRule="exact"/>
        <w:ind w:firstLineChars="200" w:firstLine="480"/>
        <w:rPr>
          <w:sz w:val="24"/>
        </w:rPr>
      </w:pPr>
      <w:r>
        <w:rPr>
          <w:sz w:val="24"/>
        </w:rPr>
        <w:t>本项目为升级改造工程，主要为井下工程，地面无新增占地。因此本项目建设期对生态环境影响很小。</w:t>
      </w:r>
    </w:p>
    <w:p w:rsidR="00240BCE" w:rsidRDefault="00AC0334" w:rsidP="009C5F33">
      <w:pPr>
        <w:pStyle w:val="2"/>
        <w:adjustRightInd w:val="0"/>
        <w:snapToGrid w:val="0"/>
        <w:spacing w:beforeLines="100" w:afterLines="50" w:line="240" w:lineRule="auto"/>
        <w:jc w:val="left"/>
        <w:rPr>
          <w:rFonts w:ascii="Times New Roman" w:eastAsia="宋体" w:hAnsi="Times New Roman"/>
          <w:bCs/>
          <w:spacing w:val="2"/>
          <w:szCs w:val="32"/>
        </w:rPr>
      </w:pPr>
      <w:bookmarkStart w:id="440" w:name="_Toc151179030"/>
      <w:bookmarkStart w:id="441" w:name="_Toc158524638"/>
      <w:bookmarkStart w:id="442" w:name="_Toc79668684"/>
      <w:bookmarkStart w:id="443" w:name="_Toc81934383"/>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Pr>
          <w:rFonts w:ascii="Times New Roman" w:eastAsia="宋体" w:hAnsi="Times New Roman"/>
          <w:bCs/>
          <w:spacing w:val="2"/>
          <w:szCs w:val="32"/>
        </w:rPr>
        <w:t xml:space="preserve">5.3 </w:t>
      </w:r>
      <w:bookmarkEnd w:id="440"/>
      <w:bookmarkEnd w:id="441"/>
      <w:r>
        <w:rPr>
          <w:rFonts w:ascii="Times New Roman" w:eastAsia="宋体" w:hAnsi="Times New Roman"/>
          <w:bCs/>
          <w:spacing w:val="2"/>
          <w:szCs w:val="32"/>
        </w:rPr>
        <w:t>地表沉陷预测与评价</w:t>
      </w:r>
      <w:bookmarkEnd w:id="442"/>
      <w:bookmarkEnd w:id="443"/>
    </w:p>
    <w:p w:rsidR="00240BCE" w:rsidRDefault="00AC0334" w:rsidP="009C5F33">
      <w:pPr>
        <w:pStyle w:val="30"/>
        <w:adjustRightInd w:val="0"/>
        <w:snapToGrid w:val="0"/>
        <w:spacing w:beforeLines="70" w:afterLines="30" w:line="240" w:lineRule="auto"/>
        <w:jc w:val="left"/>
        <w:rPr>
          <w:rFonts w:eastAsia="楷体"/>
          <w:sz w:val="28"/>
          <w:szCs w:val="28"/>
        </w:rPr>
      </w:pPr>
      <w:bookmarkStart w:id="444" w:name="_Toc79668685"/>
      <w:r>
        <w:rPr>
          <w:rFonts w:eastAsia="楷体"/>
          <w:sz w:val="28"/>
          <w:szCs w:val="28"/>
        </w:rPr>
        <w:t xml:space="preserve">5.3.1 </w:t>
      </w:r>
      <w:r>
        <w:rPr>
          <w:rFonts w:eastAsia="楷体"/>
          <w:sz w:val="28"/>
          <w:szCs w:val="28"/>
        </w:rPr>
        <w:t>井田开拓与开采</w:t>
      </w:r>
      <w:bookmarkEnd w:id="444"/>
    </w:p>
    <w:p w:rsidR="00240BCE" w:rsidRDefault="00AC0334">
      <w:pPr>
        <w:spacing w:line="520" w:lineRule="exact"/>
        <w:ind w:firstLineChars="200" w:firstLine="480"/>
        <w:rPr>
          <w:sz w:val="24"/>
        </w:rPr>
      </w:pPr>
      <w:r>
        <w:rPr>
          <w:sz w:val="24"/>
        </w:rPr>
        <w:t>1</w:t>
      </w:r>
      <w:r>
        <w:rPr>
          <w:sz w:val="24"/>
        </w:rPr>
        <w:t>、井田开拓与开采</w:t>
      </w:r>
    </w:p>
    <w:p w:rsidR="00240BCE" w:rsidRDefault="00AC0334">
      <w:pPr>
        <w:spacing w:line="520" w:lineRule="exact"/>
        <w:ind w:firstLineChars="200" w:firstLine="480"/>
        <w:rPr>
          <w:sz w:val="24"/>
        </w:rPr>
      </w:pPr>
      <w:r>
        <w:rPr>
          <w:sz w:val="24"/>
        </w:rPr>
        <w:t>隆庆煤矿井田东西走向长约</w:t>
      </w:r>
      <w:r>
        <w:rPr>
          <w:sz w:val="24"/>
        </w:rPr>
        <w:t>1.75</w:t>
      </w:r>
      <w:r>
        <w:rPr>
          <w:sz w:val="24"/>
        </w:rPr>
        <w:t>～</w:t>
      </w:r>
      <w:r>
        <w:rPr>
          <w:sz w:val="24"/>
        </w:rPr>
        <w:t>2.50km</w:t>
      </w:r>
      <w:r>
        <w:rPr>
          <w:sz w:val="24"/>
        </w:rPr>
        <w:t>，宽约</w:t>
      </w:r>
      <w:r>
        <w:rPr>
          <w:sz w:val="24"/>
        </w:rPr>
        <w:t>0.57</w:t>
      </w:r>
      <w:r>
        <w:rPr>
          <w:sz w:val="24"/>
        </w:rPr>
        <w:t>～</w:t>
      </w:r>
      <w:r>
        <w:rPr>
          <w:sz w:val="24"/>
        </w:rPr>
        <w:t>1.81km</w:t>
      </w:r>
      <w:r>
        <w:rPr>
          <w:sz w:val="24"/>
        </w:rPr>
        <w:t>，井田面积</w:t>
      </w:r>
      <w:r>
        <w:rPr>
          <w:sz w:val="24"/>
        </w:rPr>
        <w:t>2.2726km</w:t>
      </w:r>
      <w:r>
        <w:rPr>
          <w:sz w:val="24"/>
          <w:vertAlign w:val="superscript"/>
        </w:rPr>
        <w:t>2</w:t>
      </w:r>
      <w:r>
        <w:rPr>
          <w:sz w:val="24"/>
        </w:rPr>
        <w:t>，设计采用三立井单水平下山开拓方式，全井田共布置</w:t>
      </w:r>
      <w:r>
        <w:rPr>
          <w:sz w:val="24"/>
        </w:rPr>
        <w:t>2</w:t>
      </w:r>
      <w:r>
        <w:rPr>
          <w:sz w:val="24"/>
        </w:rPr>
        <w:t>个采区，均为下山采区；</w:t>
      </w:r>
      <w:r>
        <w:rPr>
          <w:sz w:val="24"/>
        </w:rPr>
        <w:t>-100m</w:t>
      </w:r>
      <w:r>
        <w:rPr>
          <w:sz w:val="24"/>
        </w:rPr>
        <w:t>水平以浅为</w:t>
      </w:r>
      <w:r>
        <w:rPr>
          <w:sz w:val="24"/>
        </w:rPr>
        <w:t>21</w:t>
      </w:r>
      <w:r>
        <w:rPr>
          <w:sz w:val="24"/>
        </w:rPr>
        <w:t>采区，</w:t>
      </w:r>
      <w:r>
        <w:rPr>
          <w:sz w:val="24"/>
        </w:rPr>
        <w:t>-100m</w:t>
      </w:r>
      <w:r>
        <w:rPr>
          <w:sz w:val="24"/>
        </w:rPr>
        <w:t>水平以深为</w:t>
      </w:r>
      <w:r>
        <w:rPr>
          <w:sz w:val="24"/>
        </w:rPr>
        <w:t>22</w:t>
      </w:r>
      <w:r>
        <w:rPr>
          <w:sz w:val="24"/>
        </w:rPr>
        <w:t>采区。采区开采顺序为初期先开采</w:t>
      </w:r>
      <w:r>
        <w:rPr>
          <w:sz w:val="24"/>
        </w:rPr>
        <w:t>21</w:t>
      </w:r>
      <w:r>
        <w:rPr>
          <w:sz w:val="24"/>
        </w:rPr>
        <w:t>采区，</w:t>
      </w:r>
      <w:r>
        <w:rPr>
          <w:sz w:val="24"/>
        </w:rPr>
        <w:t xml:space="preserve"> 22</w:t>
      </w:r>
      <w:r>
        <w:rPr>
          <w:sz w:val="24"/>
        </w:rPr>
        <w:t>采区接替。</w:t>
      </w:r>
    </w:p>
    <w:p w:rsidR="00240BCE" w:rsidRDefault="00AC0334">
      <w:pPr>
        <w:spacing w:line="520" w:lineRule="exact"/>
        <w:ind w:firstLineChars="200" w:firstLine="480"/>
        <w:rPr>
          <w:sz w:val="24"/>
        </w:rPr>
      </w:pPr>
      <w:r>
        <w:rPr>
          <w:sz w:val="24"/>
        </w:rPr>
        <w:t>首采区</w:t>
      </w:r>
      <w:r>
        <w:rPr>
          <w:sz w:val="24"/>
        </w:rPr>
        <w:t>21</w:t>
      </w:r>
      <w:r>
        <w:rPr>
          <w:sz w:val="24"/>
        </w:rPr>
        <w:t>采区走向长</w:t>
      </w:r>
      <w:r>
        <w:rPr>
          <w:sz w:val="24"/>
        </w:rPr>
        <w:t>1.4km</w:t>
      </w:r>
      <w:r>
        <w:rPr>
          <w:sz w:val="24"/>
        </w:rPr>
        <w:t>，倾斜宽约</w:t>
      </w:r>
      <w:r>
        <w:rPr>
          <w:sz w:val="24"/>
        </w:rPr>
        <w:t>0.6km</w:t>
      </w:r>
      <w:r>
        <w:rPr>
          <w:sz w:val="24"/>
        </w:rPr>
        <w:t>，面积约</w:t>
      </w:r>
      <w:r>
        <w:rPr>
          <w:sz w:val="24"/>
        </w:rPr>
        <w:t>0.81km</w:t>
      </w:r>
      <w:r>
        <w:rPr>
          <w:sz w:val="24"/>
          <w:vertAlign w:val="superscript"/>
        </w:rPr>
        <w:t>2</w:t>
      </w:r>
      <w:r>
        <w:rPr>
          <w:sz w:val="24"/>
        </w:rPr>
        <w:t>，二</w:t>
      </w:r>
      <w:r>
        <w:rPr>
          <w:sz w:val="24"/>
          <w:vertAlign w:val="subscript"/>
        </w:rPr>
        <w:t>1</w:t>
      </w:r>
      <w:r>
        <w:rPr>
          <w:sz w:val="24"/>
        </w:rPr>
        <w:t>煤层煤厚</w:t>
      </w:r>
      <w:r>
        <w:rPr>
          <w:sz w:val="24"/>
        </w:rPr>
        <w:t>0.72</w:t>
      </w:r>
      <w:r>
        <w:rPr>
          <w:sz w:val="24"/>
        </w:rPr>
        <w:t>～</w:t>
      </w:r>
      <w:r>
        <w:rPr>
          <w:sz w:val="24"/>
        </w:rPr>
        <w:t>5.15m</w:t>
      </w:r>
      <w:r>
        <w:rPr>
          <w:sz w:val="24"/>
        </w:rPr>
        <w:t>，平均煤厚</w:t>
      </w:r>
      <w:r>
        <w:rPr>
          <w:sz w:val="24"/>
        </w:rPr>
        <w:t>2.93m</w:t>
      </w:r>
      <w:r>
        <w:rPr>
          <w:sz w:val="24"/>
        </w:rPr>
        <w:t>，倾角</w:t>
      </w:r>
      <w:r>
        <w:rPr>
          <w:sz w:val="24"/>
        </w:rPr>
        <w:t>24°~32°</w:t>
      </w:r>
      <w:r>
        <w:rPr>
          <w:sz w:val="24"/>
        </w:rPr>
        <w:t>，层位稳定，全区可采。可采储量约</w:t>
      </w:r>
      <w:r>
        <w:rPr>
          <w:sz w:val="24"/>
        </w:rPr>
        <w:t>235.6</w:t>
      </w:r>
      <w:r>
        <w:rPr>
          <w:sz w:val="24"/>
        </w:rPr>
        <w:t>万</w:t>
      </w:r>
      <w:r>
        <w:rPr>
          <w:sz w:val="24"/>
        </w:rPr>
        <w:t>t</w:t>
      </w:r>
      <w:r>
        <w:rPr>
          <w:sz w:val="24"/>
        </w:rPr>
        <w:t>，生产能力按</w:t>
      </w:r>
      <w:r>
        <w:rPr>
          <w:sz w:val="24"/>
        </w:rPr>
        <w:t>0.30Mt/a</w:t>
      </w:r>
      <w:r>
        <w:rPr>
          <w:sz w:val="24"/>
        </w:rPr>
        <w:t>计算，服务年限</w:t>
      </w:r>
      <w:r>
        <w:rPr>
          <w:sz w:val="24"/>
        </w:rPr>
        <w:t>6.0</w:t>
      </w:r>
      <w:r>
        <w:rPr>
          <w:sz w:val="24"/>
        </w:rPr>
        <w:t>年。</w:t>
      </w:r>
    </w:p>
    <w:p w:rsidR="00240BCE" w:rsidRDefault="00AC0334">
      <w:pPr>
        <w:spacing w:line="520" w:lineRule="exact"/>
        <w:ind w:firstLineChars="200" w:firstLine="480"/>
        <w:rPr>
          <w:sz w:val="24"/>
        </w:rPr>
      </w:pPr>
      <w:r>
        <w:rPr>
          <w:sz w:val="24"/>
        </w:rPr>
        <w:t>开拓方式见附图</w:t>
      </w:r>
      <w:r>
        <w:rPr>
          <w:sz w:val="24"/>
        </w:rPr>
        <w:t>5</w:t>
      </w:r>
      <w:r>
        <w:rPr>
          <w:sz w:val="24"/>
        </w:rPr>
        <w:t>。井田开拓与开采内容详见第</w:t>
      </w:r>
      <w:r>
        <w:rPr>
          <w:sz w:val="24"/>
        </w:rPr>
        <w:t>3</w:t>
      </w:r>
      <w:r>
        <w:rPr>
          <w:sz w:val="24"/>
        </w:rPr>
        <w:t>章。</w:t>
      </w:r>
    </w:p>
    <w:p w:rsidR="00240BCE" w:rsidRDefault="00AC0334">
      <w:pPr>
        <w:spacing w:line="520" w:lineRule="exact"/>
        <w:ind w:firstLineChars="200" w:firstLine="480"/>
        <w:rPr>
          <w:sz w:val="24"/>
        </w:rPr>
      </w:pPr>
      <w:r>
        <w:rPr>
          <w:sz w:val="24"/>
        </w:rPr>
        <w:t>2</w:t>
      </w:r>
      <w:r>
        <w:rPr>
          <w:sz w:val="24"/>
        </w:rPr>
        <w:t>、保护煤柱留设情况</w:t>
      </w:r>
    </w:p>
    <w:p w:rsidR="00240BCE" w:rsidRDefault="00AC0334">
      <w:pPr>
        <w:spacing w:line="520" w:lineRule="exact"/>
        <w:ind w:firstLineChars="200" w:firstLine="536"/>
        <w:rPr>
          <w:bCs/>
          <w:color w:val="000000"/>
          <w:spacing w:val="14"/>
          <w:sz w:val="24"/>
        </w:rPr>
      </w:pPr>
      <w:r>
        <w:rPr>
          <w:bCs/>
          <w:color w:val="000000"/>
          <w:spacing w:val="14"/>
          <w:sz w:val="24"/>
        </w:rPr>
        <w:t>（</w:t>
      </w:r>
      <w:r>
        <w:rPr>
          <w:bCs/>
          <w:color w:val="000000"/>
          <w:spacing w:val="14"/>
          <w:sz w:val="24"/>
        </w:rPr>
        <w:t>1</w:t>
      </w:r>
      <w:r>
        <w:rPr>
          <w:bCs/>
          <w:color w:val="000000"/>
          <w:spacing w:val="14"/>
          <w:sz w:val="24"/>
        </w:rPr>
        <w:t>）断层煤柱</w:t>
      </w:r>
    </w:p>
    <w:p w:rsidR="00240BCE" w:rsidRDefault="00AC0334">
      <w:pPr>
        <w:snapToGrid w:val="0"/>
        <w:spacing w:line="520" w:lineRule="exact"/>
        <w:ind w:firstLineChars="200" w:firstLine="480"/>
        <w:rPr>
          <w:bCs/>
          <w:color w:val="000000"/>
          <w:sz w:val="24"/>
        </w:rPr>
      </w:pPr>
      <w:r>
        <w:rPr>
          <w:bCs/>
          <w:color w:val="000000"/>
          <w:sz w:val="24"/>
        </w:rPr>
        <w:t>设计断层防水煤柱宽度为</w:t>
      </w:r>
      <w:r>
        <w:rPr>
          <w:bCs/>
          <w:color w:val="000000"/>
          <w:sz w:val="24"/>
        </w:rPr>
        <w:t>30m</w:t>
      </w:r>
      <w:r>
        <w:rPr>
          <w:bCs/>
          <w:color w:val="000000"/>
          <w:sz w:val="24"/>
        </w:rPr>
        <w:t>。</w:t>
      </w:r>
    </w:p>
    <w:p w:rsidR="00240BCE" w:rsidRDefault="00AC0334">
      <w:pPr>
        <w:spacing w:line="520" w:lineRule="exact"/>
        <w:ind w:firstLineChars="200" w:firstLine="536"/>
        <w:rPr>
          <w:bCs/>
          <w:color w:val="000000"/>
          <w:spacing w:val="14"/>
          <w:sz w:val="24"/>
        </w:rPr>
      </w:pPr>
      <w:r>
        <w:rPr>
          <w:bCs/>
          <w:color w:val="000000"/>
          <w:spacing w:val="14"/>
          <w:sz w:val="24"/>
        </w:rPr>
        <w:t>（</w:t>
      </w:r>
      <w:r>
        <w:rPr>
          <w:bCs/>
          <w:color w:val="000000"/>
          <w:spacing w:val="14"/>
          <w:sz w:val="24"/>
        </w:rPr>
        <w:t>2</w:t>
      </w:r>
      <w:r>
        <w:rPr>
          <w:bCs/>
          <w:color w:val="000000"/>
          <w:spacing w:val="14"/>
          <w:sz w:val="24"/>
        </w:rPr>
        <w:t>）井田边界煤柱</w:t>
      </w:r>
    </w:p>
    <w:p w:rsidR="00240BCE" w:rsidRDefault="00AC0334">
      <w:pPr>
        <w:spacing w:line="520" w:lineRule="exact"/>
        <w:ind w:firstLineChars="200" w:firstLine="536"/>
        <w:rPr>
          <w:bCs/>
          <w:color w:val="000000"/>
          <w:spacing w:val="14"/>
          <w:sz w:val="24"/>
        </w:rPr>
      </w:pPr>
      <w:r>
        <w:rPr>
          <w:bCs/>
          <w:color w:val="000000"/>
          <w:spacing w:val="14"/>
          <w:sz w:val="24"/>
        </w:rPr>
        <w:t>设计井田边界煤柱按</w:t>
      </w:r>
      <w:r>
        <w:rPr>
          <w:bCs/>
          <w:color w:val="000000"/>
          <w:spacing w:val="14"/>
          <w:sz w:val="24"/>
        </w:rPr>
        <w:t>20</w:t>
      </w:r>
      <w:r>
        <w:rPr>
          <w:bCs/>
          <w:color w:val="000000"/>
          <w:spacing w:val="14"/>
          <w:sz w:val="24"/>
        </w:rPr>
        <w:t>～</w:t>
      </w:r>
      <w:r>
        <w:rPr>
          <w:bCs/>
          <w:color w:val="000000"/>
          <w:spacing w:val="14"/>
          <w:sz w:val="24"/>
        </w:rPr>
        <w:t>35m</w:t>
      </w:r>
      <w:r>
        <w:rPr>
          <w:bCs/>
          <w:color w:val="000000"/>
          <w:spacing w:val="14"/>
          <w:sz w:val="24"/>
        </w:rPr>
        <w:t>留设。</w:t>
      </w:r>
    </w:p>
    <w:p w:rsidR="00240BCE" w:rsidRDefault="00AC0334">
      <w:pPr>
        <w:spacing w:line="520" w:lineRule="exact"/>
        <w:ind w:firstLineChars="200" w:firstLine="536"/>
        <w:rPr>
          <w:bCs/>
          <w:color w:val="000000"/>
          <w:spacing w:val="14"/>
          <w:sz w:val="24"/>
        </w:rPr>
      </w:pPr>
      <w:r>
        <w:rPr>
          <w:bCs/>
          <w:color w:val="000000"/>
          <w:spacing w:val="14"/>
          <w:sz w:val="24"/>
        </w:rPr>
        <w:t>（</w:t>
      </w:r>
      <w:r>
        <w:rPr>
          <w:bCs/>
          <w:color w:val="000000"/>
          <w:spacing w:val="14"/>
          <w:sz w:val="24"/>
        </w:rPr>
        <w:t>3</w:t>
      </w:r>
      <w:r>
        <w:rPr>
          <w:bCs/>
          <w:color w:val="000000"/>
          <w:spacing w:val="14"/>
          <w:sz w:val="24"/>
        </w:rPr>
        <w:t>）村庄保护煤柱留设</w:t>
      </w:r>
    </w:p>
    <w:p w:rsidR="00240BCE" w:rsidRDefault="00AC0334">
      <w:pPr>
        <w:spacing w:line="520" w:lineRule="exact"/>
        <w:ind w:firstLineChars="200" w:firstLine="536"/>
        <w:rPr>
          <w:bCs/>
          <w:color w:val="000000"/>
          <w:spacing w:val="14"/>
          <w:sz w:val="24"/>
        </w:rPr>
      </w:pPr>
      <w:r>
        <w:rPr>
          <w:bCs/>
          <w:color w:val="000000"/>
          <w:spacing w:val="14"/>
          <w:sz w:val="24"/>
        </w:rPr>
        <w:t>井田内的村庄多而密集，主要有连庄村、赵沟村、楼院村、楼院小学等，设计为了增加矿井可采储量，延长矿井服务年限，结合矿方意见，</w:t>
      </w:r>
      <w:r>
        <w:rPr>
          <w:rFonts w:hint="eastAsia"/>
          <w:bCs/>
          <w:color w:val="000000"/>
          <w:spacing w:val="14"/>
          <w:sz w:val="24"/>
        </w:rPr>
        <w:t>设计</w:t>
      </w:r>
      <w:r>
        <w:rPr>
          <w:bCs/>
          <w:color w:val="000000"/>
          <w:spacing w:val="14"/>
          <w:sz w:val="24"/>
        </w:rPr>
        <w:t>对井</w:t>
      </w:r>
      <w:r>
        <w:rPr>
          <w:bCs/>
          <w:color w:val="000000"/>
          <w:spacing w:val="14"/>
          <w:sz w:val="24"/>
        </w:rPr>
        <w:lastRenderedPageBreak/>
        <w:t>田内的连庄村、赵沟村、楼院村、楼院小学等分期进行搬迁，矿方与上述村庄和学校签订搬迁协议，村庄未搬迁之前，严禁开采村庄下压煤。</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45" w:name="_Toc79668686"/>
      <w:r>
        <w:rPr>
          <w:rFonts w:eastAsia="楷体"/>
          <w:sz w:val="28"/>
          <w:szCs w:val="28"/>
        </w:rPr>
        <w:t xml:space="preserve">5.3.2 </w:t>
      </w:r>
      <w:r>
        <w:rPr>
          <w:rFonts w:eastAsia="楷体"/>
          <w:sz w:val="28"/>
          <w:szCs w:val="28"/>
        </w:rPr>
        <w:t>地表沉陷预测模型</w:t>
      </w:r>
      <w:bookmarkEnd w:id="445"/>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采煤沉陷区的预测采用概率积分法，概率积分法在国内已有广泛的应用，获得了较成熟经验，具有广泛的适用性。煤炭工业局《建筑物、水体、铁路及主要巷道煤柱留设与压煤开采规程》中推荐了该计算方法。</w:t>
      </w:r>
    </w:p>
    <w:p w:rsidR="00240BCE" w:rsidRDefault="00AC0334">
      <w:pPr>
        <w:pStyle w:val="ae"/>
        <w:spacing w:line="520" w:lineRule="exact"/>
        <w:rPr>
          <w:rFonts w:ascii="Times New Roman" w:hAnsi="Times New Roman"/>
          <w:sz w:val="24"/>
          <w:szCs w:val="24"/>
        </w:rPr>
      </w:pPr>
      <w:r>
        <w:rPr>
          <w:rFonts w:ascii="Times New Roman" w:hAnsi="Times New Roman"/>
          <w:sz w:val="24"/>
          <w:szCs w:val="24"/>
        </w:rPr>
        <w:t xml:space="preserve">　　对于开采倾斜煤层，根据下沉迭加原理，开采面积的水平投影内各开采单元开采对地表任意点造成的下沉影响之和即为该点的下沉值。</w:t>
      </w:r>
      <w:r>
        <w:rPr>
          <w:rFonts w:ascii="Times New Roman" w:hAnsi="Times New Roman"/>
          <w:sz w:val="24"/>
          <w:szCs w:val="24"/>
        </w:rPr>
        <w:t xml:space="preserve"> </w:t>
      </w:r>
    </w:p>
    <w:p w:rsidR="00240BCE" w:rsidRDefault="00AC0334">
      <w:pPr>
        <w:spacing w:line="500" w:lineRule="exact"/>
        <w:ind w:firstLine="560"/>
        <w:rPr>
          <w:sz w:val="24"/>
        </w:rPr>
      </w:pPr>
      <w:r>
        <w:rPr>
          <w:sz w:val="24"/>
        </w:rPr>
        <w:t xml:space="preserve">    </w:t>
      </w:r>
      <w:r>
        <w:rPr>
          <w:sz w:val="24"/>
        </w:rPr>
        <w:t>计算任意点</w:t>
      </w:r>
      <w:r>
        <w:rPr>
          <w:sz w:val="24"/>
        </w:rPr>
        <w:t>P(X</w:t>
      </w:r>
      <w:r>
        <w:rPr>
          <w:rFonts w:hint="eastAsia"/>
          <w:sz w:val="24"/>
        </w:rPr>
        <w:t>，</w:t>
      </w:r>
      <w:r>
        <w:rPr>
          <w:sz w:val="24"/>
        </w:rPr>
        <w:t>Y)</w:t>
      </w:r>
      <w:r>
        <w:rPr>
          <w:sz w:val="24"/>
        </w:rPr>
        <w:t>的下沉时，表达式为：</w:t>
      </w:r>
    </w:p>
    <w:p w:rsidR="00240BCE" w:rsidRDefault="00AC0334">
      <w:pPr>
        <w:spacing w:line="740" w:lineRule="exact"/>
        <w:ind w:firstLine="560"/>
        <w:rPr>
          <w:szCs w:val="28"/>
        </w:rPr>
      </w:pPr>
      <w:r>
        <w:rPr>
          <w:szCs w:val="28"/>
        </w:rPr>
        <w:t xml:space="preserve">    </w:t>
      </w:r>
      <w:r w:rsidRPr="00CA16C7">
        <w:rPr>
          <w:position w:val="-16"/>
          <w:szCs w:val="28"/>
        </w:rPr>
        <w:object w:dxaOrig="25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1pt" o:ole="">
            <v:imagedata r:id="rId30" o:title=""/>
          </v:shape>
          <o:OLEObject Type="Embed" ProgID="Equations" ShapeID="_x0000_i1025" DrawAspect="Content" ObjectID="_1695746888" r:id="rId31"/>
        </w:object>
      </w:r>
    </w:p>
    <w:p w:rsidR="00240BCE" w:rsidRDefault="00B95226" w:rsidP="009C5F33">
      <w:pPr>
        <w:spacing w:afterLines="100" w:line="740" w:lineRule="exact"/>
        <w:ind w:firstLineChars="280" w:firstLine="784"/>
        <w:rPr>
          <w:szCs w:val="28"/>
        </w:rPr>
      </w:pPr>
      <w:r>
        <w:rPr>
          <w:szCs w:val="28"/>
        </w:rPr>
        <w:pict>
          <v:shape id="_x0000_s2044" type="#_x0000_t75" style="position:absolute;left:0;text-align:left;margin-left:0;margin-top:0;width:9pt;height:17.25pt;z-index:251603968;mso-position-horizontal:left">
            <v:imagedata r:id="rId32" o:title=""/>
            <w10:wrap type="square" side="right"/>
          </v:shape>
          <o:OLEObject Type="Embed" ProgID="Equations" ShapeID="_x0000_s2044" DrawAspect="Content" ObjectID="_1695746947" r:id="rId33"/>
        </w:pict>
      </w:r>
      <w:r w:rsidR="00AC0334" w:rsidRPr="00CA16C7">
        <w:rPr>
          <w:position w:val="-24"/>
          <w:szCs w:val="28"/>
        </w:rPr>
        <w:object w:dxaOrig="3320" w:dyaOrig="495">
          <v:shape id="_x0000_i1026" type="#_x0000_t75" style="width:165pt;height:26.25pt" o:ole="">
            <v:imagedata r:id="rId34" o:title=""/>
          </v:shape>
          <o:OLEObject Type="Embed" ProgID="Equation.3" ShapeID="_x0000_i1026" DrawAspect="Content" ObjectID="_1695746889" r:id="rId35"/>
        </w:object>
      </w:r>
    </w:p>
    <w:p w:rsidR="00240BCE" w:rsidRDefault="00AC0334">
      <w:pPr>
        <w:spacing w:line="520" w:lineRule="exact"/>
        <w:ind w:firstLineChars="280" w:firstLine="672"/>
        <w:rPr>
          <w:sz w:val="24"/>
        </w:rPr>
      </w:pPr>
      <w:r>
        <w:rPr>
          <w:sz w:val="24"/>
        </w:rPr>
        <w:t>式中：</w:t>
      </w:r>
      <w:r>
        <w:rPr>
          <w:sz w:val="24"/>
        </w:rPr>
        <w:t>W</w:t>
      </w:r>
      <w:r>
        <w:rPr>
          <w:sz w:val="24"/>
          <w:vertAlign w:val="subscript"/>
        </w:rPr>
        <w:t>0</w:t>
      </w:r>
      <w:r>
        <w:rPr>
          <w:spacing w:val="-40"/>
          <w:sz w:val="24"/>
        </w:rPr>
        <w:t>――</w:t>
      </w:r>
      <w:r>
        <w:rPr>
          <w:sz w:val="24"/>
        </w:rPr>
        <w:t>完全充分采动时的最大下沉值；</w:t>
      </w:r>
    </w:p>
    <w:p w:rsidR="00240BCE" w:rsidRDefault="00AC0334">
      <w:pPr>
        <w:spacing w:line="520" w:lineRule="exact"/>
        <w:ind w:firstLineChars="580" w:firstLine="1392"/>
        <w:rPr>
          <w:sz w:val="24"/>
        </w:rPr>
      </w:pPr>
      <w:r>
        <w:rPr>
          <w:sz w:val="24"/>
        </w:rPr>
        <w:t>r</w:t>
      </w:r>
      <w:r>
        <w:rPr>
          <w:spacing w:val="-40"/>
          <w:sz w:val="24"/>
        </w:rPr>
        <w:t>――</w:t>
      </w:r>
      <w:r>
        <w:rPr>
          <w:sz w:val="24"/>
        </w:rPr>
        <w:t>主要影响半径，</w:t>
      </w:r>
      <w:r>
        <w:rPr>
          <w:sz w:val="24"/>
        </w:rPr>
        <w:t>r=H/tgβ</w:t>
      </w:r>
      <w:r>
        <w:rPr>
          <w:sz w:val="24"/>
        </w:rPr>
        <w:t>；</w:t>
      </w:r>
    </w:p>
    <w:p w:rsidR="00240BCE" w:rsidRDefault="00AC0334">
      <w:pPr>
        <w:spacing w:line="520" w:lineRule="exact"/>
        <w:ind w:firstLineChars="580" w:firstLine="1392"/>
        <w:rPr>
          <w:sz w:val="24"/>
        </w:rPr>
      </w:pPr>
      <w:r>
        <w:rPr>
          <w:sz w:val="24"/>
        </w:rPr>
        <w:t>H</w:t>
      </w:r>
      <w:r>
        <w:rPr>
          <w:spacing w:val="-40"/>
          <w:sz w:val="24"/>
        </w:rPr>
        <w:t>――</w:t>
      </w:r>
      <w:r>
        <w:rPr>
          <w:sz w:val="24"/>
        </w:rPr>
        <w:t>P(x</w:t>
      </w:r>
      <w:r>
        <w:rPr>
          <w:rFonts w:hint="eastAsia"/>
          <w:sz w:val="24"/>
        </w:rPr>
        <w:t>，</w:t>
      </w:r>
      <w:r>
        <w:rPr>
          <w:sz w:val="24"/>
        </w:rPr>
        <w:t>y)</w:t>
      </w:r>
      <w:r>
        <w:rPr>
          <w:sz w:val="24"/>
        </w:rPr>
        <w:t>点开采深度；</w:t>
      </w:r>
    </w:p>
    <w:p w:rsidR="00240BCE" w:rsidRDefault="00AC0334">
      <w:pPr>
        <w:spacing w:line="520" w:lineRule="exact"/>
        <w:ind w:firstLineChars="580" w:firstLine="1392"/>
        <w:rPr>
          <w:sz w:val="24"/>
        </w:rPr>
      </w:pPr>
      <w:r>
        <w:rPr>
          <w:sz w:val="24"/>
        </w:rPr>
        <w:t>tgβ</w:t>
      </w:r>
      <w:r>
        <w:rPr>
          <w:spacing w:val="-40"/>
          <w:sz w:val="24"/>
        </w:rPr>
        <w:t>――</w:t>
      </w:r>
      <w:r>
        <w:rPr>
          <w:sz w:val="24"/>
        </w:rPr>
        <w:t>主要影响角正切值。</w:t>
      </w:r>
    </w:p>
    <w:p w:rsidR="00240BCE" w:rsidRDefault="00AC0334">
      <w:pPr>
        <w:spacing w:line="520" w:lineRule="exact"/>
        <w:ind w:firstLineChars="200" w:firstLine="480"/>
        <w:textAlignment w:val="top"/>
        <w:rPr>
          <w:sz w:val="24"/>
        </w:rPr>
      </w:pPr>
      <w:r>
        <w:rPr>
          <w:sz w:val="24"/>
        </w:rPr>
        <w:t>其中：</w:t>
      </w:r>
      <w:r>
        <w:rPr>
          <w:sz w:val="24"/>
        </w:rPr>
        <w:t>tanβ</w:t>
      </w:r>
      <w:r>
        <w:rPr>
          <w:sz w:val="24"/>
        </w:rPr>
        <w:t>＝（１－</w:t>
      </w:r>
      <w:r>
        <w:rPr>
          <w:sz w:val="24"/>
        </w:rPr>
        <w:t>0.0038α</w:t>
      </w:r>
      <w:r>
        <w:rPr>
          <w:sz w:val="24"/>
        </w:rPr>
        <w:t>）（</w:t>
      </w:r>
      <w:r>
        <w:rPr>
          <w:sz w:val="24"/>
        </w:rPr>
        <w:t>D</w:t>
      </w:r>
      <w:r>
        <w:rPr>
          <w:sz w:val="24"/>
        </w:rPr>
        <w:t>＋</w:t>
      </w:r>
      <w:r>
        <w:rPr>
          <w:sz w:val="24"/>
        </w:rPr>
        <w:t>0.0032H</w:t>
      </w:r>
      <w:r>
        <w:rPr>
          <w:sz w:val="24"/>
        </w:rPr>
        <w:t>）</w:t>
      </w:r>
    </w:p>
    <w:p w:rsidR="00240BCE" w:rsidRDefault="00AC0334">
      <w:pPr>
        <w:spacing w:line="520" w:lineRule="exact"/>
        <w:ind w:firstLineChars="200" w:firstLine="480"/>
        <w:textAlignment w:val="top"/>
        <w:rPr>
          <w:sz w:val="24"/>
        </w:rPr>
      </w:pPr>
      <w:r>
        <w:rPr>
          <w:sz w:val="24"/>
        </w:rPr>
        <w:t>式中：</w:t>
      </w:r>
      <w:r>
        <w:rPr>
          <w:sz w:val="24"/>
        </w:rPr>
        <w:t>D</w:t>
      </w:r>
      <w:r>
        <w:rPr>
          <w:spacing w:val="-40"/>
          <w:sz w:val="24"/>
        </w:rPr>
        <w:t xml:space="preserve">——  </w:t>
      </w:r>
      <w:r>
        <w:rPr>
          <w:sz w:val="24"/>
        </w:rPr>
        <w:t>岩性综合评价系数；</w:t>
      </w:r>
    </w:p>
    <w:p w:rsidR="00240BCE" w:rsidRDefault="00AC0334">
      <w:pPr>
        <w:spacing w:line="520" w:lineRule="exact"/>
        <w:ind w:firstLineChars="200" w:firstLine="480"/>
        <w:textAlignment w:val="top"/>
        <w:rPr>
          <w:sz w:val="24"/>
        </w:rPr>
      </w:pPr>
      <w:r>
        <w:rPr>
          <w:sz w:val="24"/>
        </w:rPr>
        <w:t xml:space="preserve">      H</w:t>
      </w:r>
      <w:r>
        <w:rPr>
          <w:spacing w:val="-40"/>
          <w:sz w:val="24"/>
        </w:rPr>
        <w:t xml:space="preserve">——   </w:t>
      </w:r>
      <w:r>
        <w:rPr>
          <w:sz w:val="24"/>
        </w:rPr>
        <w:t>煤层埋深，</w:t>
      </w:r>
      <w:r>
        <w:rPr>
          <w:sz w:val="24"/>
        </w:rPr>
        <w:t>m</w:t>
      </w:r>
      <w:r>
        <w:rPr>
          <w:sz w:val="24"/>
        </w:rPr>
        <w:t>；</w:t>
      </w:r>
    </w:p>
    <w:p w:rsidR="00240BCE" w:rsidRDefault="00AC0334">
      <w:pPr>
        <w:spacing w:line="520" w:lineRule="exact"/>
        <w:ind w:firstLineChars="200" w:firstLine="480"/>
        <w:textAlignment w:val="top"/>
        <w:rPr>
          <w:sz w:val="24"/>
        </w:rPr>
      </w:pPr>
      <w:r>
        <w:rPr>
          <w:sz w:val="24"/>
        </w:rPr>
        <w:t xml:space="preserve">      α</w:t>
      </w:r>
      <w:r>
        <w:rPr>
          <w:spacing w:val="-40"/>
          <w:sz w:val="24"/>
        </w:rPr>
        <w:t xml:space="preserve">——   </w:t>
      </w:r>
      <w:r>
        <w:rPr>
          <w:sz w:val="24"/>
        </w:rPr>
        <w:t>煤层倾角，度</w:t>
      </w:r>
    </w:p>
    <w:p w:rsidR="00240BCE" w:rsidRDefault="00AC0334" w:rsidP="009C5F33">
      <w:pPr>
        <w:spacing w:afterLines="100" w:line="500" w:lineRule="exact"/>
        <w:ind w:firstLine="561"/>
        <w:rPr>
          <w:sz w:val="24"/>
        </w:rPr>
      </w:pPr>
      <w:r>
        <w:rPr>
          <w:sz w:val="24"/>
        </w:rPr>
        <w:t>在煤层的倾斜方向上，由于煤层覆岩的倾斜，煤层采空后，开采影响的传播产生了偏移，克诺特影响函数变为：</w:t>
      </w:r>
    </w:p>
    <w:p w:rsidR="00240BCE" w:rsidRDefault="00AC0334">
      <w:pPr>
        <w:spacing w:line="600" w:lineRule="exact"/>
        <w:ind w:firstLine="561"/>
        <w:rPr>
          <w:szCs w:val="28"/>
        </w:rPr>
      </w:pPr>
      <w:r>
        <w:rPr>
          <w:szCs w:val="28"/>
        </w:rPr>
        <w:t xml:space="preserve">    </w:t>
      </w:r>
      <w:r w:rsidRPr="00CA16C7">
        <w:rPr>
          <w:position w:val="-10"/>
          <w:szCs w:val="28"/>
        </w:rPr>
        <w:object w:dxaOrig="180" w:dyaOrig="340">
          <v:shape id="_x0000_i1027" type="#_x0000_t75" style="width:9.75pt;height:17.25pt" o:ole="">
            <v:imagedata r:id="rId32" o:title=""/>
          </v:shape>
          <o:OLEObject Type="Embed" ProgID="Equations" ShapeID="_x0000_i1027" DrawAspect="Content" ObjectID="_1695746890" r:id="rId36"/>
        </w:object>
      </w:r>
      <w:r w:rsidRPr="00CA16C7">
        <w:rPr>
          <w:position w:val="-44"/>
          <w:szCs w:val="28"/>
        </w:rPr>
        <w:object w:dxaOrig="3840" w:dyaOrig="999">
          <v:shape id="_x0000_i1028" type="#_x0000_t75" style="width:191.25pt;height:51pt" o:ole="">
            <v:imagedata r:id="rId37" o:title=""/>
          </v:shape>
          <o:OLEObject Type="Embed" ProgID="Equations" ShapeID="_x0000_i1028" DrawAspect="Content" ObjectID="_1695746891" r:id="rId38"/>
        </w:object>
      </w:r>
    </w:p>
    <w:p w:rsidR="00240BCE" w:rsidRDefault="00AC0334">
      <w:pPr>
        <w:spacing w:line="500" w:lineRule="exact"/>
        <w:ind w:firstLineChars="240" w:firstLine="576"/>
        <w:rPr>
          <w:sz w:val="24"/>
        </w:rPr>
      </w:pPr>
      <w:r>
        <w:rPr>
          <w:sz w:val="24"/>
        </w:rPr>
        <w:t>式中：</w:t>
      </w:r>
      <w:r>
        <w:rPr>
          <w:sz w:val="24"/>
        </w:rPr>
        <w:t xml:space="preserve">  d=H/tgθ</w:t>
      </w:r>
      <w:r>
        <w:rPr>
          <w:sz w:val="24"/>
        </w:rPr>
        <w:t>；</w:t>
      </w:r>
    </w:p>
    <w:p w:rsidR="00240BCE" w:rsidRDefault="00AC0334">
      <w:pPr>
        <w:spacing w:line="500" w:lineRule="exact"/>
        <w:ind w:firstLineChars="240" w:firstLine="576"/>
        <w:rPr>
          <w:sz w:val="24"/>
        </w:rPr>
      </w:pPr>
      <w:r>
        <w:rPr>
          <w:sz w:val="24"/>
        </w:rPr>
        <w:lastRenderedPageBreak/>
        <w:t xml:space="preserve">        θ=90º-Ka</w:t>
      </w:r>
    </w:p>
    <w:p w:rsidR="00240BCE" w:rsidRDefault="00AC0334">
      <w:pPr>
        <w:spacing w:line="500" w:lineRule="exact"/>
        <w:ind w:firstLineChars="240" w:firstLine="576"/>
        <w:rPr>
          <w:sz w:val="24"/>
        </w:rPr>
      </w:pPr>
      <w:r>
        <w:rPr>
          <w:sz w:val="24"/>
        </w:rPr>
        <w:t xml:space="preserve">    θ</w:t>
      </w:r>
      <w:r>
        <w:rPr>
          <w:spacing w:val="-40"/>
          <w:sz w:val="24"/>
        </w:rPr>
        <w:t>――</w:t>
      </w:r>
      <w:r>
        <w:rPr>
          <w:sz w:val="24"/>
        </w:rPr>
        <w:t>开采影响传播角；</w:t>
      </w:r>
    </w:p>
    <w:p w:rsidR="00240BCE" w:rsidRDefault="00AC0334">
      <w:pPr>
        <w:spacing w:line="500" w:lineRule="exact"/>
        <w:ind w:firstLineChars="240" w:firstLine="576"/>
        <w:rPr>
          <w:sz w:val="24"/>
        </w:rPr>
      </w:pPr>
      <w:r>
        <w:rPr>
          <w:sz w:val="24"/>
        </w:rPr>
        <w:t xml:space="preserve">     K</w:t>
      </w:r>
      <w:r>
        <w:rPr>
          <w:spacing w:val="-40"/>
          <w:sz w:val="24"/>
        </w:rPr>
        <w:t>――</w:t>
      </w:r>
      <w:r>
        <w:rPr>
          <w:sz w:val="24"/>
        </w:rPr>
        <w:t>开采影响传播系数；</w:t>
      </w:r>
    </w:p>
    <w:p w:rsidR="00240BCE" w:rsidRDefault="00AC0334">
      <w:pPr>
        <w:spacing w:line="500" w:lineRule="exact"/>
        <w:ind w:firstLineChars="240" w:firstLine="576"/>
        <w:rPr>
          <w:sz w:val="24"/>
        </w:rPr>
      </w:pPr>
      <w:r>
        <w:rPr>
          <w:sz w:val="24"/>
        </w:rPr>
        <w:t xml:space="preserve">     a</w:t>
      </w:r>
      <w:r>
        <w:rPr>
          <w:spacing w:val="-40"/>
          <w:sz w:val="24"/>
        </w:rPr>
        <w:t>――</w:t>
      </w:r>
      <w:r>
        <w:rPr>
          <w:sz w:val="24"/>
        </w:rPr>
        <w:t>煤层倾角。</w:t>
      </w:r>
    </w:p>
    <w:p w:rsidR="00240BCE" w:rsidRDefault="00AC0334">
      <w:pPr>
        <w:spacing w:line="500" w:lineRule="exact"/>
        <w:ind w:firstLineChars="240" w:firstLine="576"/>
        <w:rPr>
          <w:szCs w:val="28"/>
        </w:rPr>
      </w:pPr>
      <w:r>
        <w:rPr>
          <w:sz w:val="24"/>
        </w:rPr>
        <w:t>设某一微元的上山方位角为</w:t>
      </w:r>
      <w:r>
        <w:rPr>
          <w:sz w:val="24"/>
        </w:rPr>
        <w:t>ф</w:t>
      </w:r>
      <w:r>
        <w:rPr>
          <w:sz w:val="24"/>
        </w:rPr>
        <w:t>，坐标系沿</w:t>
      </w:r>
      <w:r>
        <w:rPr>
          <w:sz w:val="24"/>
        </w:rPr>
        <w:t>ф</w:t>
      </w:r>
      <w:r>
        <w:rPr>
          <w:sz w:val="24"/>
        </w:rPr>
        <w:t>方向旋转后的坐标轴</w:t>
      </w:r>
      <w:r>
        <w:rPr>
          <w:sz w:val="24"/>
        </w:rPr>
        <w:t>x’</w:t>
      </w:r>
      <w:r>
        <w:rPr>
          <w:rFonts w:hint="eastAsia"/>
          <w:sz w:val="24"/>
        </w:rPr>
        <w:t>，</w:t>
      </w:r>
      <w:r>
        <w:rPr>
          <w:sz w:val="24"/>
        </w:rPr>
        <w:t>y’</w:t>
      </w:r>
      <w:r>
        <w:rPr>
          <w:sz w:val="24"/>
        </w:rPr>
        <w:t>，其中</w:t>
      </w:r>
      <w:r>
        <w:rPr>
          <w:sz w:val="24"/>
        </w:rPr>
        <w:t>x’</w:t>
      </w:r>
      <w:r>
        <w:rPr>
          <w:sz w:val="24"/>
        </w:rPr>
        <w:t>轴与微元的倾向平行，</w:t>
      </w:r>
      <w:r>
        <w:rPr>
          <w:sz w:val="24"/>
        </w:rPr>
        <w:t>y’</w:t>
      </w:r>
      <w:r>
        <w:rPr>
          <w:sz w:val="24"/>
        </w:rPr>
        <w:t>轴与微元的走向平行，则沿</w:t>
      </w:r>
      <w:r>
        <w:rPr>
          <w:sz w:val="24"/>
        </w:rPr>
        <w:t>x</w:t>
      </w:r>
      <w:r>
        <w:rPr>
          <w:sz w:val="24"/>
        </w:rPr>
        <w:t>、</w:t>
      </w:r>
      <w:r>
        <w:rPr>
          <w:sz w:val="24"/>
        </w:rPr>
        <w:t>y</w:t>
      </w:r>
      <w:r>
        <w:rPr>
          <w:sz w:val="24"/>
        </w:rPr>
        <w:t>轴的倾斜值为</w:t>
      </w:r>
      <w:r>
        <w:rPr>
          <w:szCs w:val="28"/>
        </w:rPr>
        <w:t>：</w:t>
      </w:r>
    </w:p>
    <w:p w:rsidR="00240BCE" w:rsidRDefault="00AC0334">
      <w:pPr>
        <w:spacing w:line="900" w:lineRule="exact"/>
        <w:ind w:firstLineChars="240" w:firstLine="672"/>
        <w:rPr>
          <w:szCs w:val="28"/>
        </w:rPr>
      </w:pPr>
      <w:r w:rsidRPr="00CA16C7">
        <w:rPr>
          <w:position w:val="-46"/>
          <w:szCs w:val="28"/>
        </w:rPr>
        <w:object w:dxaOrig="3760" w:dyaOrig="1040">
          <v:shape id="_x0000_i1029" type="#_x0000_t75" style="width:187.5pt;height:52.5pt" o:ole="">
            <v:imagedata r:id="rId39" o:title=""/>
          </v:shape>
          <o:OLEObject Type="Embed" ProgID="Equations" ShapeID="_x0000_i1029" DrawAspect="Content" ObjectID="_1695746892" r:id="rId40"/>
        </w:object>
      </w:r>
    </w:p>
    <w:p w:rsidR="00240BCE" w:rsidRDefault="00AC0334">
      <w:pPr>
        <w:spacing w:line="900" w:lineRule="exact"/>
        <w:ind w:firstLineChars="240" w:firstLine="672"/>
        <w:rPr>
          <w:szCs w:val="28"/>
        </w:rPr>
      </w:pPr>
      <w:r w:rsidRPr="00CA16C7">
        <w:rPr>
          <w:position w:val="-46"/>
          <w:szCs w:val="28"/>
        </w:rPr>
        <w:object w:dxaOrig="3760" w:dyaOrig="1040">
          <v:shape id="_x0000_i1030" type="#_x0000_t75" style="width:187.5pt;height:52.5pt" o:ole="">
            <v:imagedata r:id="rId41" o:title=""/>
          </v:shape>
          <o:OLEObject Type="Embed" ProgID="Equations" ShapeID="_x0000_i1030" DrawAspect="Content" ObjectID="_1695746893" r:id="rId42"/>
        </w:object>
      </w:r>
    </w:p>
    <w:p w:rsidR="00240BCE" w:rsidRDefault="00AC0334">
      <w:pPr>
        <w:spacing w:line="600" w:lineRule="exact"/>
        <w:rPr>
          <w:sz w:val="24"/>
        </w:rPr>
      </w:pPr>
      <w:r>
        <w:rPr>
          <w:sz w:val="24"/>
        </w:rPr>
        <w:t>曲率为：</w:t>
      </w:r>
    </w:p>
    <w:p w:rsidR="00240BCE" w:rsidRDefault="00AC0334">
      <w:pPr>
        <w:spacing w:line="900" w:lineRule="exact"/>
        <w:ind w:firstLineChars="240" w:firstLine="672"/>
        <w:rPr>
          <w:szCs w:val="28"/>
        </w:rPr>
      </w:pPr>
      <w:r w:rsidRPr="00CA16C7">
        <w:rPr>
          <w:position w:val="-48"/>
          <w:szCs w:val="28"/>
        </w:rPr>
        <w:object w:dxaOrig="5899" w:dyaOrig="1080">
          <v:shape id="_x0000_i1031" type="#_x0000_t75" style="width:294pt;height:54.75pt" o:ole="">
            <v:imagedata r:id="rId43" o:title=""/>
          </v:shape>
          <o:OLEObject Type="Embed" ProgID="Equations" ShapeID="_x0000_i1031" DrawAspect="Content" ObjectID="_1695746894" r:id="rId44"/>
        </w:object>
      </w:r>
    </w:p>
    <w:p w:rsidR="00240BCE" w:rsidRDefault="00AC0334">
      <w:pPr>
        <w:spacing w:line="900" w:lineRule="exact"/>
        <w:ind w:firstLineChars="240" w:firstLine="672"/>
        <w:rPr>
          <w:szCs w:val="28"/>
        </w:rPr>
      </w:pPr>
      <w:r w:rsidRPr="00CA16C7">
        <w:rPr>
          <w:position w:val="-48"/>
          <w:szCs w:val="28"/>
        </w:rPr>
        <w:object w:dxaOrig="5899" w:dyaOrig="1080">
          <v:shape id="_x0000_i1032" type="#_x0000_t75" style="width:294pt;height:54.75pt" o:ole="">
            <v:imagedata r:id="rId45" o:title=""/>
          </v:shape>
          <o:OLEObject Type="Embed" ProgID="Equations" ShapeID="_x0000_i1032" DrawAspect="Content" ObjectID="_1695746895" r:id="rId46"/>
        </w:object>
      </w:r>
    </w:p>
    <w:p w:rsidR="00240BCE" w:rsidRDefault="00AC0334">
      <w:pPr>
        <w:tabs>
          <w:tab w:val="left" w:pos="720"/>
        </w:tabs>
        <w:spacing w:line="600" w:lineRule="exact"/>
        <w:rPr>
          <w:sz w:val="24"/>
        </w:rPr>
      </w:pPr>
      <w:r>
        <w:rPr>
          <w:sz w:val="24"/>
        </w:rPr>
        <w:t>式中：</w:t>
      </w:r>
      <w:r w:rsidRPr="00CA16C7">
        <w:rPr>
          <w:position w:val="-12"/>
          <w:sz w:val="24"/>
        </w:rPr>
        <w:object w:dxaOrig="800" w:dyaOrig="360">
          <v:shape id="_x0000_i1033" type="#_x0000_t75" style="width:39.75pt;height:18.75pt" o:ole="">
            <v:imagedata r:id="rId47" o:title=""/>
          </v:shape>
          <o:OLEObject Type="Embed" ProgID="Equations" ShapeID="_x0000_i1033" DrawAspect="Content" ObjectID="_1695746896" r:id="rId48"/>
        </w:object>
      </w:r>
      <w:r>
        <w:rPr>
          <w:spacing w:val="-40"/>
          <w:sz w:val="24"/>
        </w:rPr>
        <w:t>――</w:t>
      </w:r>
      <w:r>
        <w:rPr>
          <w:sz w:val="24"/>
        </w:rPr>
        <w:t>沿</w:t>
      </w:r>
      <w:r>
        <w:rPr>
          <w:sz w:val="24"/>
        </w:rPr>
        <w:t>x</w:t>
      </w:r>
      <w:r>
        <w:rPr>
          <w:sz w:val="24"/>
        </w:rPr>
        <w:t>方向倾斜值；</w:t>
      </w:r>
      <w:r>
        <w:rPr>
          <w:sz w:val="24"/>
        </w:rPr>
        <w:tab/>
      </w:r>
    </w:p>
    <w:p w:rsidR="00240BCE" w:rsidRDefault="00AC0334">
      <w:pPr>
        <w:spacing w:line="600" w:lineRule="exact"/>
        <w:ind w:firstLine="560"/>
        <w:rPr>
          <w:sz w:val="24"/>
        </w:rPr>
      </w:pPr>
      <w:r>
        <w:rPr>
          <w:sz w:val="24"/>
        </w:rPr>
        <w:t xml:space="preserve">   </w:t>
      </w:r>
      <w:r w:rsidRPr="00CA16C7">
        <w:rPr>
          <w:position w:val="-14"/>
          <w:sz w:val="24"/>
        </w:rPr>
        <w:object w:dxaOrig="820" w:dyaOrig="380">
          <v:shape id="_x0000_i1034" type="#_x0000_t75" style="width:41.25pt;height:17.25pt" o:ole="">
            <v:imagedata r:id="rId49" o:title=""/>
          </v:shape>
          <o:OLEObject Type="Embed" ProgID="Equations" ShapeID="_x0000_i1034" DrawAspect="Content" ObjectID="_1695746897" r:id="rId50"/>
        </w:object>
      </w:r>
      <w:r>
        <w:rPr>
          <w:spacing w:val="-40"/>
          <w:sz w:val="24"/>
        </w:rPr>
        <w:t>――</w:t>
      </w:r>
      <w:r>
        <w:rPr>
          <w:sz w:val="24"/>
        </w:rPr>
        <w:t>沿</w:t>
      </w:r>
      <w:r>
        <w:rPr>
          <w:sz w:val="24"/>
        </w:rPr>
        <w:t>y</w:t>
      </w:r>
      <w:r>
        <w:rPr>
          <w:sz w:val="24"/>
        </w:rPr>
        <w:t>方向倾斜值；</w:t>
      </w:r>
    </w:p>
    <w:p w:rsidR="00240BCE" w:rsidRDefault="00AC0334">
      <w:pPr>
        <w:spacing w:line="600" w:lineRule="exact"/>
        <w:rPr>
          <w:sz w:val="24"/>
        </w:rPr>
      </w:pPr>
      <w:r>
        <w:rPr>
          <w:sz w:val="24"/>
        </w:rPr>
        <w:t xml:space="preserve">       </w:t>
      </w:r>
      <w:r w:rsidRPr="00CA16C7">
        <w:rPr>
          <w:position w:val="-12"/>
          <w:sz w:val="24"/>
        </w:rPr>
        <w:object w:dxaOrig="880" w:dyaOrig="360">
          <v:shape id="_x0000_i1035" type="#_x0000_t75" style="width:43.5pt;height:18.75pt" o:ole="">
            <v:imagedata r:id="rId51" o:title=""/>
          </v:shape>
          <o:OLEObject Type="Embed" ProgID="Equations" ShapeID="_x0000_i1035" DrawAspect="Content" ObjectID="_1695746898" r:id="rId52"/>
        </w:object>
      </w:r>
      <w:r>
        <w:rPr>
          <w:spacing w:val="-40"/>
          <w:sz w:val="24"/>
        </w:rPr>
        <w:t>――</w:t>
      </w:r>
      <w:r>
        <w:rPr>
          <w:sz w:val="24"/>
        </w:rPr>
        <w:t>沿</w:t>
      </w:r>
      <w:r>
        <w:rPr>
          <w:sz w:val="24"/>
        </w:rPr>
        <w:t>x</w:t>
      </w:r>
      <w:r>
        <w:rPr>
          <w:sz w:val="24"/>
        </w:rPr>
        <w:t>方向曲率值；</w:t>
      </w:r>
      <w:r>
        <w:rPr>
          <w:sz w:val="24"/>
        </w:rPr>
        <w:tab/>
      </w:r>
    </w:p>
    <w:p w:rsidR="00240BCE" w:rsidRDefault="00AC0334">
      <w:pPr>
        <w:spacing w:line="600" w:lineRule="exact"/>
        <w:ind w:firstLineChars="350" w:firstLine="840"/>
        <w:rPr>
          <w:szCs w:val="28"/>
        </w:rPr>
      </w:pPr>
      <w:r w:rsidRPr="00CA16C7">
        <w:rPr>
          <w:position w:val="-14"/>
          <w:sz w:val="24"/>
        </w:rPr>
        <w:object w:dxaOrig="880" w:dyaOrig="380">
          <v:shape id="_x0000_i1036" type="#_x0000_t75" style="width:43.5pt;height:17.25pt" o:ole="">
            <v:imagedata r:id="rId53" o:title=""/>
          </v:shape>
          <o:OLEObject Type="Embed" ProgID="Equations" ShapeID="_x0000_i1036" DrawAspect="Content" ObjectID="_1695746899" r:id="rId54"/>
        </w:object>
      </w:r>
      <w:r>
        <w:rPr>
          <w:spacing w:val="-40"/>
          <w:sz w:val="24"/>
        </w:rPr>
        <w:t>――</w:t>
      </w:r>
      <w:r>
        <w:rPr>
          <w:sz w:val="24"/>
        </w:rPr>
        <w:t>沿</w:t>
      </w:r>
      <w:r>
        <w:rPr>
          <w:sz w:val="24"/>
        </w:rPr>
        <w:t>y</w:t>
      </w:r>
      <w:r>
        <w:rPr>
          <w:sz w:val="24"/>
        </w:rPr>
        <w:t>方向曲率值；</w:t>
      </w:r>
    </w:p>
    <w:p w:rsidR="00240BCE" w:rsidRDefault="00AC0334">
      <w:pPr>
        <w:spacing w:line="600" w:lineRule="exact"/>
        <w:rPr>
          <w:sz w:val="24"/>
        </w:rPr>
      </w:pPr>
      <w:r>
        <w:rPr>
          <w:sz w:val="24"/>
        </w:rPr>
        <w:t>水平移动公式：</w:t>
      </w:r>
      <w:r>
        <w:rPr>
          <w:sz w:val="24"/>
        </w:rPr>
        <w:t xml:space="preserve"> </w:t>
      </w:r>
    </w:p>
    <w:p w:rsidR="00240BCE" w:rsidRDefault="00AC0334">
      <w:pPr>
        <w:spacing w:line="900" w:lineRule="exact"/>
        <w:ind w:firstLine="561"/>
        <w:rPr>
          <w:szCs w:val="28"/>
        </w:rPr>
      </w:pPr>
      <w:r w:rsidRPr="00CA16C7">
        <w:rPr>
          <w:position w:val="-46"/>
          <w:szCs w:val="28"/>
        </w:rPr>
        <w:object w:dxaOrig="5220" w:dyaOrig="1040">
          <v:shape id="_x0000_i1037" type="#_x0000_t75" style="width:263.25pt;height:52.5pt" o:ole="">
            <v:imagedata r:id="rId55" o:title=""/>
          </v:shape>
          <o:OLEObject Type="Embed" ProgID="Equations" ShapeID="_x0000_i1037" DrawAspect="Content" ObjectID="_1695746900" r:id="rId56"/>
        </w:object>
      </w:r>
    </w:p>
    <w:p w:rsidR="00240BCE" w:rsidRDefault="00AC0334">
      <w:pPr>
        <w:spacing w:line="900" w:lineRule="exact"/>
        <w:ind w:firstLine="561"/>
        <w:rPr>
          <w:szCs w:val="28"/>
        </w:rPr>
      </w:pPr>
      <w:r w:rsidRPr="00CA16C7">
        <w:rPr>
          <w:position w:val="-46"/>
          <w:szCs w:val="28"/>
        </w:rPr>
        <w:object w:dxaOrig="5240" w:dyaOrig="1040">
          <v:shape id="_x0000_i1038" type="#_x0000_t75" style="width:261.75pt;height:52.5pt" o:ole="">
            <v:imagedata r:id="rId57" o:title=""/>
          </v:shape>
          <o:OLEObject Type="Embed" ProgID="Equations" ShapeID="_x0000_i1038" DrawAspect="Content" ObjectID="_1695746901" r:id="rId58"/>
        </w:object>
      </w:r>
    </w:p>
    <w:p w:rsidR="00240BCE" w:rsidRDefault="00AC0334">
      <w:pPr>
        <w:tabs>
          <w:tab w:val="left" w:pos="720"/>
          <w:tab w:val="left" w:pos="1080"/>
        </w:tabs>
        <w:spacing w:line="600" w:lineRule="exact"/>
        <w:rPr>
          <w:sz w:val="24"/>
        </w:rPr>
      </w:pPr>
      <w:r>
        <w:rPr>
          <w:sz w:val="24"/>
        </w:rPr>
        <w:t>水平变形值为水平移动的一阶导数，其计算公式为：</w:t>
      </w:r>
    </w:p>
    <w:p w:rsidR="00240BCE" w:rsidRDefault="00AC0334">
      <w:pPr>
        <w:tabs>
          <w:tab w:val="left" w:pos="720"/>
          <w:tab w:val="left" w:pos="1080"/>
        </w:tabs>
        <w:spacing w:line="900" w:lineRule="exact"/>
        <w:rPr>
          <w:sz w:val="24"/>
        </w:rPr>
      </w:pPr>
      <w:r w:rsidRPr="00CA16C7">
        <w:rPr>
          <w:position w:val="-50"/>
          <w:szCs w:val="28"/>
        </w:rPr>
        <w:object w:dxaOrig="9020" w:dyaOrig="1120">
          <v:shape id="_x0000_i1039" type="#_x0000_t75" style="width:453pt;height:55.5pt" o:ole="">
            <v:imagedata r:id="rId59" o:title=""/>
          </v:shape>
          <o:OLEObject Type="Embed" ProgID="Equations" ShapeID="_x0000_i1039" DrawAspect="Content" ObjectID="_1695746902" r:id="rId60"/>
        </w:object>
      </w:r>
      <w:r w:rsidRPr="00CA16C7">
        <w:rPr>
          <w:position w:val="-50"/>
          <w:szCs w:val="28"/>
        </w:rPr>
        <w:object w:dxaOrig="9160" w:dyaOrig="1120">
          <v:shape id="_x0000_i1040" type="#_x0000_t75" style="width:459pt;height:55.5pt" o:ole="">
            <v:imagedata r:id="rId61" o:title=""/>
          </v:shape>
          <o:OLEObject Type="Embed" ProgID="Equations" ShapeID="_x0000_i1040" DrawAspect="Content" ObjectID="_1695746903" r:id="rId62"/>
        </w:object>
      </w:r>
      <w:r>
        <w:rPr>
          <w:szCs w:val="28"/>
        </w:rPr>
        <w:t xml:space="preserve"> </w:t>
      </w:r>
      <w:r>
        <w:rPr>
          <w:sz w:val="24"/>
        </w:rPr>
        <w:t xml:space="preserve"> </w:t>
      </w:r>
      <w:r>
        <w:rPr>
          <w:sz w:val="24"/>
        </w:rPr>
        <w:t>以上各式中：</w:t>
      </w:r>
      <w:r w:rsidRPr="00CA16C7">
        <w:rPr>
          <w:position w:val="-12"/>
          <w:sz w:val="24"/>
        </w:rPr>
        <w:object w:dxaOrig="859" w:dyaOrig="360">
          <v:shape id="_x0000_i1041" type="#_x0000_t75" style="width:43.5pt;height:18.75pt" o:ole="">
            <v:imagedata r:id="rId63" o:title=""/>
          </v:shape>
          <o:OLEObject Type="Embed" ProgID="Equations" ShapeID="_x0000_i1041" DrawAspect="Content" ObjectID="_1695746904" r:id="rId64"/>
        </w:object>
      </w:r>
      <w:r>
        <w:rPr>
          <w:spacing w:val="-40"/>
          <w:sz w:val="24"/>
        </w:rPr>
        <w:t>――</w:t>
      </w:r>
      <w:r>
        <w:rPr>
          <w:sz w:val="24"/>
        </w:rPr>
        <w:t>沿</w:t>
      </w:r>
      <w:r>
        <w:rPr>
          <w:sz w:val="24"/>
        </w:rPr>
        <w:t>x</w:t>
      </w:r>
      <w:r>
        <w:rPr>
          <w:sz w:val="24"/>
        </w:rPr>
        <w:t>轴方向水平移动；</w:t>
      </w:r>
    </w:p>
    <w:p w:rsidR="00240BCE" w:rsidRDefault="00AC0334">
      <w:pPr>
        <w:tabs>
          <w:tab w:val="left" w:pos="1080"/>
        </w:tabs>
        <w:spacing w:line="500" w:lineRule="exact"/>
        <w:ind w:firstLineChars="371" w:firstLine="890"/>
        <w:rPr>
          <w:sz w:val="24"/>
        </w:rPr>
      </w:pPr>
      <w:r w:rsidRPr="00CA16C7">
        <w:rPr>
          <w:position w:val="-14"/>
          <w:sz w:val="24"/>
        </w:rPr>
        <w:object w:dxaOrig="880" w:dyaOrig="380">
          <v:shape id="_x0000_i1042" type="#_x0000_t75" style="width:43.5pt;height:17.25pt" o:ole="">
            <v:imagedata r:id="rId65" o:title=""/>
          </v:shape>
          <o:OLEObject Type="Embed" ProgID="Equations" ShapeID="_x0000_i1042" DrawAspect="Content" ObjectID="_1695746905" r:id="rId66"/>
        </w:object>
      </w:r>
      <w:r>
        <w:rPr>
          <w:spacing w:val="-40"/>
          <w:sz w:val="24"/>
        </w:rPr>
        <w:t>――</w:t>
      </w:r>
      <w:r>
        <w:rPr>
          <w:sz w:val="24"/>
        </w:rPr>
        <w:t>沿</w:t>
      </w:r>
      <w:r>
        <w:rPr>
          <w:sz w:val="24"/>
        </w:rPr>
        <w:t>y</w:t>
      </w:r>
      <w:r>
        <w:rPr>
          <w:sz w:val="24"/>
        </w:rPr>
        <w:t>轴方向水平移动；</w:t>
      </w:r>
      <w:r>
        <w:rPr>
          <w:sz w:val="24"/>
        </w:rPr>
        <w:t xml:space="preserve">      </w:t>
      </w:r>
      <w:r>
        <w:rPr>
          <w:sz w:val="24"/>
        </w:rPr>
        <w:tab/>
      </w:r>
    </w:p>
    <w:p w:rsidR="00240BCE" w:rsidRDefault="00AC0334">
      <w:pPr>
        <w:spacing w:line="500" w:lineRule="exact"/>
        <w:ind w:firstLineChars="371" w:firstLine="890"/>
        <w:rPr>
          <w:sz w:val="24"/>
        </w:rPr>
      </w:pPr>
      <w:r w:rsidRPr="00CA16C7">
        <w:rPr>
          <w:position w:val="-12"/>
          <w:sz w:val="24"/>
        </w:rPr>
        <w:object w:dxaOrig="859" w:dyaOrig="360">
          <v:shape id="_x0000_i1043" type="#_x0000_t75" style="width:43.5pt;height:18.75pt" o:ole="">
            <v:imagedata r:id="rId67" o:title=""/>
          </v:shape>
          <o:OLEObject Type="Embed" ProgID="Equations" ShapeID="_x0000_i1043" DrawAspect="Content" ObjectID="_1695746906" r:id="rId68"/>
        </w:object>
      </w:r>
      <w:r>
        <w:rPr>
          <w:spacing w:val="-40"/>
          <w:sz w:val="24"/>
        </w:rPr>
        <w:t>――</w:t>
      </w:r>
      <w:r>
        <w:rPr>
          <w:sz w:val="24"/>
        </w:rPr>
        <w:t>沿</w:t>
      </w:r>
      <w:r>
        <w:rPr>
          <w:sz w:val="24"/>
        </w:rPr>
        <w:t>x</w:t>
      </w:r>
      <w:r>
        <w:rPr>
          <w:sz w:val="24"/>
        </w:rPr>
        <w:t>轴方向水平变形；</w:t>
      </w:r>
      <w:r>
        <w:rPr>
          <w:sz w:val="24"/>
        </w:rPr>
        <w:t xml:space="preserve"> </w:t>
      </w:r>
    </w:p>
    <w:p w:rsidR="00240BCE" w:rsidRDefault="00AC0334">
      <w:pPr>
        <w:spacing w:line="500" w:lineRule="exact"/>
        <w:ind w:firstLineChars="400" w:firstLine="960"/>
        <w:rPr>
          <w:sz w:val="24"/>
        </w:rPr>
      </w:pPr>
      <w:r w:rsidRPr="00CA16C7">
        <w:rPr>
          <w:position w:val="-14"/>
          <w:sz w:val="24"/>
        </w:rPr>
        <w:object w:dxaOrig="859" w:dyaOrig="380">
          <v:shape id="_x0000_i1044" type="#_x0000_t75" style="width:43.5pt;height:17.25pt" o:ole="">
            <v:imagedata r:id="rId69" o:title=""/>
          </v:shape>
          <o:OLEObject Type="Embed" ProgID="Equations" ShapeID="_x0000_i1044" DrawAspect="Content" ObjectID="_1695746907" r:id="rId70"/>
        </w:object>
      </w:r>
      <w:r>
        <w:rPr>
          <w:spacing w:val="-40"/>
          <w:sz w:val="24"/>
        </w:rPr>
        <w:t>――</w:t>
      </w:r>
      <w:r>
        <w:rPr>
          <w:sz w:val="24"/>
        </w:rPr>
        <w:t>沿</w:t>
      </w:r>
      <w:r>
        <w:rPr>
          <w:sz w:val="24"/>
        </w:rPr>
        <w:t>y</w:t>
      </w:r>
      <w:r>
        <w:rPr>
          <w:sz w:val="24"/>
        </w:rPr>
        <w:t>轴方向水平变形；</w:t>
      </w:r>
    </w:p>
    <w:p w:rsidR="00240BCE" w:rsidRDefault="00AC0334">
      <w:pPr>
        <w:spacing w:line="500" w:lineRule="exact"/>
        <w:ind w:firstLineChars="371" w:firstLine="890"/>
        <w:rPr>
          <w:sz w:val="24"/>
        </w:rPr>
      </w:pPr>
      <w:r>
        <w:rPr>
          <w:sz w:val="24"/>
        </w:rPr>
        <w:t xml:space="preserve"> b――</w:t>
      </w:r>
      <w:r>
        <w:rPr>
          <w:sz w:val="24"/>
        </w:rPr>
        <w:t>水平移动系数。</w:t>
      </w:r>
    </w:p>
    <w:p w:rsidR="00240BCE" w:rsidRDefault="00AC0334">
      <w:pPr>
        <w:spacing w:line="500" w:lineRule="exact"/>
        <w:ind w:firstLine="560"/>
        <w:rPr>
          <w:sz w:val="24"/>
        </w:rPr>
      </w:pPr>
      <w:r>
        <w:rPr>
          <w:sz w:val="24"/>
        </w:rPr>
        <w:t>地表最大移动与变形的计算式为：</w:t>
      </w:r>
    </w:p>
    <w:p w:rsidR="00240BCE" w:rsidRDefault="00AC0334">
      <w:pPr>
        <w:spacing w:line="500" w:lineRule="exact"/>
        <w:ind w:firstLineChars="200" w:firstLine="480"/>
        <w:rPr>
          <w:szCs w:val="28"/>
        </w:rPr>
      </w:pPr>
      <w:r>
        <w:rPr>
          <w:sz w:val="24"/>
        </w:rPr>
        <w:t>最大下沉值：</w:t>
      </w:r>
      <w:r>
        <w:rPr>
          <w:sz w:val="24"/>
        </w:rPr>
        <w:t xml:space="preserve"> </w:t>
      </w:r>
      <w:r>
        <w:rPr>
          <w:sz w:val="24"/>
        </w:rPr>
        <w:t xml:space="preserve">　　</w:t>
      </w:r>
      <w:r>
        <w:rPr>
          <w:sz w:val="24"/>
        </w:rPr>
        <w:t xml:space="preserve"> </w:t>
      </w:r>
      <w:r w:rsidRPr="00CA16C7">
        <w:rPr>
          <w:position w:val="-12"/>
          <w:szCs w:val="28"/>
        </w:rPr>
        <w:object w:dxaOrig="1440" w:dyaOrig="360">
          <v:shape id="_x0000_i1045" type="#_x0000_t75" style="width:1in;height:18.75pt" o:ole="">
            <v:imagedata r:id="rId71" o:title=""/>
          </v:shape>
          <o:OLEObject Type="Embed" ProgID="Equations" ShapeID="_x0000_i1045" DrawAspect="Content" ObjectID="_1695746908" r:id="rId72"/>
        </w:object>
      </w:r>
    </w:p>
    <w:p w:rsidR="00240BCE" w:rsidRDefault="00AC0334">
      <w:pPr>
        <w:spacing w:line="600" w:lineRule="exact"/>
        <w:ind w:firstLineChars="200" w:firstLine="480"/>
        <w:rPr>
          <w:szCs w:val="28"/>
        </w:rPr>
      </w:pPr>
      <w:r>
        <w:rPr>
          <w:sz w:val="24"/>
        </w:rPr>
        <w:t xml:space="preserve">最大倾斜值：　　</w:t>
      </w:r>
      <w:r>
        <w:rPr>
          <w:sz w:val="24"/>
        </w:rPr>
        <w:t xml:space="preserve">  </w:t>
      </w:r>
      <w:r w:rsidRPr="00CA16C7">
        <w:rPr>
          <w:position w:val="-12"/>
          <w:szCs w:val="28"/>
        </w:rPr>
        <w:object w:dxaOrig="1080" w:dyaOrig="360">
          <v:shape id="_x0000_i1046" type="#_x0000_t75" style="width:54.75pt;height:18.75pt" o:ole="">
            <v:imagedata r:id="rId73" o:title=""/>
          </v:shape>
          <o:OLEObject Type="Embed" ProgID="Equations" ShapeID="_x0000_i1046" DrawAspect="Content" ObjectID="_1695746909" r:id="rId74"/>
        </w:object>
      </w:r>
    </w:p>
    <w:p w:rsidR="00240BCE" w:rsidRDefault="00AC0334">
      <w:pPr>
        <w:spacing w:line="600" w:lineRule="exact"/>
        <w:ind w:firstLineChars="200" w:firstLine="480"/>
        <w:rPr>
          <w:szCs w:val="28"/>
        </w:rPr>
      </w:pPr>
      <w:r>
        <w:rPr>
          <w:sz w:val="24"/>
        </w:rPr>
        <w:t xml:space="preserve">最大曲率值：　　　</w:t>
      </w:r>
      <w:r w:rsidRPr="00CA16C7">
        <w:rPr>
          <w:position w:val="-12"/>
          <w:szCs w:val="28"/>
        </w:rPr>
        <w:object w:dxaOrig="1640" w:dyaOrig="380">
          <v:shape id="_x0000_i1047" type="#_x0000_t75" style="width:81.75pt;height:17.25pt" o:ole="">
            <v:imagedata r:id="rId75" o:title=""/>
          </v:shape>
          <o:OLEObject Type="Embed" ProgID="Equations" ShapeID="_x0000_i1047" DrawAspect="Content" ObjectID="_1695746910" r:id="rId76"/>
        </w:object>
      </w:r>
    </w:p>
    <w:p w:rsidR="00240BCE" w:rsidRDefault="00AC0334">
      <w:pPr>
        <w:spacing w:line="600" w:lineRule="exact"/>
        <w:ind w:firstLineChars="200" w:firstLine="480"/>
        <w:rPr>
          <w:szCs w:val="28"/>
        </w:rPr>
      </w:pPr>
      <w:r>
        <w:rPr>
          <w:sz w:val="24"/>
        </w:rPr>
        <w:t xml:space="preserve">最大水平移动：　　</w:t>
      </w:r>
      <w:r w:rsidRPr="00CA16C7">
        <w:rPr>
          <w:position w:val="-12"/>
          <w:szCs w:val="28"/>
        </w:rPr>
        <w:object w:dxaOrig="999" w:dyaOrig="360">
          <v:shape id="_x0000_i1048" type="#_x0000_t75" style="width:51pt;height:18.75pt" o:ole="">
            <v:imagedata r:id="rId77" o:title=""/>
          </v:shape>
          <o:OLEObject Type="Embed" ProgID="Equations" ShapeID="_x0000_i1048" DrawAspect="Content" ObjectID="_1695746911" r:id="rId78"/>
        </w:object>
      </w:r>
    </w:p>
    <w:p w:rsidR="00240BCE" w:rsidRDefault="00AC0334">
      <w:pPr>
        <w:spacing w:line="600" w:lineRule="exact"/>
        <w:ind w:firstLineChars="200" w:firstLine="480"/>
        <w:rPr>
          <w:szCs w:val="28"/>
        </w:rPr>
      </w:pPr>
      <w:r>
        <w:rPr>
          <w:sz w:val="24"/>
        </w:rPr>
        <w:t>最大水平变形</w:t>
      </w:r>
      <w:r>
        <w:rPr>
          <w:sz w:val="24"/>
        </w:rPr>
        <w:t>:</w:t>
      </w:r>
      <w:r>
        <w:rPr>
          <w:sz w:val="24"/>
        </w:rPr>
        <w:t xml:space="preserve">　　　</w:t>
      </w:r>
      <w:r w:rsidRPr="00CA16C7">
        <w:rPr>
          <w:position w:val="-12"/>
          <w:szCs w:val="28"/>
        </w:rPr>
        <w:object w:dxaOrig="1660" w:dyaOrig="360">
          <v:shape id="_x0000_i1049" type="#_x0000_t75" style="width:81.75pt;height:18.75pt" o:ole="">
            <v:imagedata r:id="rId79" o:title=""/>
          </v:shape>
          <o:OLEObject Type="Embed" ProgID="Equations" ShapeID="_x0000_i1049" DrawAspect="Content" ObjectID="_1695746912" r:id="rId80"/>
        </w:object>
      </w:r>
    </w:p>
    <w:p w:rsidR="00240BCE" w:rsidRDefault="00AC0334">
      <w:pPr>
        <w:spacing w:line="520" w:lineRule="exact"/>
        <w:ind w:firstLineChars="200" w:firstLine="480"/>
        <w:rPr>
          <w:sz w:val="24"/>
        </w:rPr>
      </w:pPr>
      <w:r>
        <w:rPr>
          <w:sz w:val="24"/>
        </w:rPr>
        <w:t>以上所指的最大移动与变形值均指在双向充分采动的情况下，可能出现的最大移动与变形值。</w:t>
      </w:r>
    </w:p>
    <w:p w:rsidR="00240BCE" w:rsidRDefault="00AC0334">
      <w:pPr>
        <w:spacing w:line="520" w:lineRule="exact"/>
        <w:ind w:firstLineChars="200" w:firstLine="480"/>
        <w:rPr>
          <w:sz w:val="24"/>
        </w:rPr>
      </w:pPr>
      <w:r>
        <w:rPr>
          <w:sz w:val="24"/>
        </w:rPr>
        <w:t>其中：</w:t>
      </w:r>
      <w:r>
        <w:rPr>
          <w:sz w:val="24"/>
        </w:rPr>
        <w:t>η</w:t>
      </w:r>
      <w:r>
        <w:rPr>
          <w:spacing w:val="-40"/>
          <w:sz w:val="24"/>
        </w:rPr>
        <w:t>――</w:t>
      </w:r>
      <w:r>
        <w:rPr>
          <w:sz w:val="24"/>
        </w:rPr>
        <w:t>沉陷系数；</w:t>
      </w:r>
    </w:p>
    <w:p w:rsidR="00240BCE" w:rsidRDefault="00AC0334">
      <w:pPr>
        <w:spacing w:line="520" w:lineRule="exact"/>
        <w:ind w:firstLineChars="200" w:firstLine="480"/>
        <w:rPr>
          <w:sz w:val="24"/>
        </w:rPr>
      </w:pPr>
      <w:r>
        <w:rPr>
          <w:sz w:val="24"/>
        </w:rPr>
        <w:t>m</w:t>
      </w:r>
      <w:r>
        <w:rPr>
          <w:spacing w:val="-40"/>
          <w:sz w:val="24"/>
        </w:rPr>
        <w:t>――</w:t>
      </w:r>
      <w:r>
        <w:rPr>
          <w:sz w:val="24"/>
        </w:rPr>
        <w:t>煤层法线厚度，（</w:t>
      </w:r>
      <w:r>
        <w:rPr>
          <w:sz w:val="24"/>
        </w:rPr>
        <w:t>m</w:t>
      </w:r>
      <w:r>
        <w:rPr>
          <w:sz w:val="24"/>
        </w:rPr>
        <w:t>）；</w:t>
      </w:r>
    </w:p>
    <w:p w:rsidR="00240BCE" w:rsidRDefault="00AC0334">
      <w:pPr>
        <w:spacing w:line="520" w:lineRule="exact"/>
        <w:ind w:firstLineChars="200" w:firstLine="480"/>
        <w:rPr>
          <w:sz w:val="24"/>
        </w:rPr>
      </w:pPr>
      <w:r>
        <w:rPr>
          <w:sz w:val="24"/>
        </w:rPr>
        <w:t>b</w:t>
      </w:r>
      <w:r>
        <w:rPr>
          <w:spacing w:val="-40"/>
          <w:sz w:val="24"/>
        </w:rPr>
        <w:t>――</w:t>
      </w:r>
      <w:r>
        <w:rPr>
          <w:sz w:val="24"/>
        </w:rPr>
        <w:t>水平移动系数；</w:t>
      </w:r>
    </w:p>
    <w:p w:rsidR="00240BCE" w:rsidRDefault="00AC0334">
      <w:pPr>
        <w:spacing w:line="520" w:lineRule="exact"/>
        <w:ind w:firstLineChars="200" w:firstLine="480"/>
        <w:rPr>
          <w:sz w:val="24"/>
        </w:rPr>
      </w:pPr>
      <w:r>
        <w:rPr>
          <w:sz w:val="24"/>
        </w:rPr>
        <w:t>r</w:t>
      </w:r>
      <w:r>
        <w:rPr>
          <w:sz w:val="24"/>
        </w:rPr>
        <w:t>：主要影响半径，</w:t>
      </w:r>
      <w:r>
        <w:rPr>
          <w:sz w:val="24"/>
        </w:rPr>
        <w:t>m</w:t>
      </w:r>
      <w:r>
        <w:rPr>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46" w:name="_Toc79668687"/>
      <w:r>
        <w:rPr>
          <w:rFonts w:eastAsia="楷体"/>
          <w:sz w:val="28"/>
          <w:szCs w:val="28"/>
        </w:rPr>
        <w:t xml:space="preserve">5.3.3 </w:t>
      </w:r>
      <w:r>
        <w:rPr>
          <w:rFonts w:eastAsia="楷体"/>
          <w:sz w:val="28"/>
          <w:szCs w:val="28"/>
        </w:rPr>
        <w:t>地表沉陷预测参数选取与阶段划分</w:t>
      </w:r>
      <w:bookmarkEnd w:id="446"/>
    </w:p>
    <w:p w:rsidR="00240BCE" w:rsidRDefault="00AC0334">
      <w:pPr>
        <w:spacing w:line="520" w:lineRule="exact"/>
        <w:ind w:firstLine="514"/>
        <w:rPr>
          <w:sz w:val="24"/>
        </w:rPr>
      </w:pPr>
      <w:r>
        <w:rPr>
          <w:sz w:val="24"/>
        </w:rPr>
        <w:t>1</w:t>
      </w:r>
      <w:r>
        <w:rPr>
          <w:sz w:val="24"/>
        </w:rPr>
        <w:t>、参数选取</w:t>
      </w:r>
    </w:p>
    <w:p w:rsidR="00240BCE" w:rsidRDefault="00AC0334">
      <w:pPr>
        <w:spacing w:line="520" w:lineRule="exact"/>
        <w:ind w:firstLine="514"/>
        <w:rPr>
          <w:sz w:val="24"/>
        </w:rPr>
      </w:pPr>
      <w:r>
        <w:rPr>
          <w:sz w:val="24"/>
        </w:rPr>
        <w:t>本沉陷预测预报系统要求的地表移动变形参数主要有下沉系数</w:t>
      </w:r>
      <w:r>
        <w:rPr>
          <w:sz w:val="24"/>
        </w:rPr>
        <w:t>q</w:t>
      </w:r>
      <w:r>
        <w:rPr>
          <w:sz w:val="24"/>
        </w:rPr>
        <w:t>、水平移动系</w:t>
      </w:r>
      <w:r>
        <w:rPr>
          <w:sz w:val="24"/>
        </w:rPr>
        <w:lastRenderedPageBreak/>
        <w:t>数</w:t>
      </w:r>
      <w:r>
        <w:rPr>
          <w:sz w:val="24"/>
        </w:rPr>
        <w:t>b</w:t>
      </w:r>
      <w:r>
        <w:rPr>
          <w:sz w:val="24"/>
        </w:rPr>
        <w:t>、最大下沉角</w:t>
      </w:r>
      <w:r>
        <w:rPr>
          <w:sz w:val="24"/>
        </w:rPr>
        <w:t>θ</w:t>
      </w:r>
      <w:r>
        <w:rPr>
          <w:sz w:val="24"/>
        </w:rPr>
        <w:t>、主要影响正切角</w:t>
      </w:r>
      <w:r>
        <w:rPr>
          <w:sz w:val="24"/>
        </w:rPr>
        <w:t>tgβ</w:t>
      </w:r>
      <w:r>
        <w:rPr>
          <w:sz w:val="24"/>
        </w:rPr>
        <w:t>等。这些参数取值的大小主要与开采方法、顶板管理方法、上覆岩层性质、冲积层厚度、工作面宽度及回采速度、采深比以及重复开采等因素有关。参数的确定方法主要有两种，一种是利用经验公式求算，另一种是根据地质条件和开采方法类似的井田的实测值类比确定。</w:t>
      </w:r>
    </w:p>
    <w:p w:rsidR="00240BCE" w:rsidRDefault="00AC0334">
      <w:pPr>
        <w:spacing w:line="520" w:lineRule="exact"/>
        <w:ind w:firstLine="514"/>
        <w:rPr>
          <w:sz w:val="24"/>
        </w:rPr>
      </w:pPr>
      <w:r>
        <w:rPr>
          <w:sz w:val="24"/>
        </w:rPr>
        <w:t>本次预测参考其它矿区与本井田煤层赋存条件相似开采条件下的实测参数、</w:t>
      </w:r>
      <w:r>
        <w:rPr>
          <w:sz w:val="24"/>
        </w:rPr>
        <w:t>“</w:t>
      </w:r>
      <w:r>
        <w:rPr>
          <w:sz w:val="24"/>
        </w:rPr>
        <w:t>三下</w:t>
      </w:r>
      <w:r>
        <w:rPr>
          <w:sz w:val="24"/>
        </w:rPr>
        <w:t>”</w:t>
      </w:r>
      <w:r>
        <w:rPr>
          <w:sz w:val="24"/>
        </w:rPr>
        <w:t>采煤规程的建议值，结合本矿井地质条件，采用类比法确定各参数如下：</w:t>
      </w:r>
    </w:p>
    <w:p w:rsidR="00240BCE" w:rsidRDefault="00AC0334">
      <w:pPr>
        <w:spacing w:line="520" w:lineRule="exact"/>
        <w:ind w:firstLine="480"/>
        <w:rPr>
          <w:sz w:val="24"/>
        </w:rPr>
      </w:pPr>
      <w:r>
        <w:rPr>
          <w:sz w:val="24"/>
        </w:rPr>
        <w:t>下沉系数：</w:t>
      </w:r>
      <w:r>
        <w:rPr>
          <w:sz w:val="24"/>
        </w:rPr>
        <w:t>η=0.75</w:t>
      </w:r>
      <w:r>
        <w:rPr>
          <w:sz w:val="24"/>
        </w:rPr>
        <w:t>；</w:t>
      </w:r>
      <w:r>
        <w:rPr>
          <w:sz w:val="24"/>
        </w:rPr>
        <w:t xml:space="preserve"> </w:t>
      </w:r>
    </w:p>
    <w:p w:rsidR="00240BCE" w:rsidRDefault="00AC0334">
      <w:pPr>
        <w:spacing w:line="520" w:lineRule="exact"/>
        <w:ind w:firstLine="480"/>
        <w:rPr>
          <w:sz w:val="24"/>
        </w:rPr>
      </w:pPr>
      <w:r>
        <w:rPr>
          <w:sz w:val="24"/>
        </w:rPr>
        <w:t>水平移动系数：</w:t>
      </w:r>
      <w:r>
        <w:rPr>
          <w:sz w:val="24"/>
        </w:rPr>
        <w:t>b=0.3</w:t>
      </w:r>
      <w:r>
        <w:rPr>
          <w:sz w:val="24"/>
        </w:rPr>
        <w:t>；</w:t>
      </w:r>
    </w:p>
    <w:p w:rsidR="00240BCE" w:rsidRDefault="00AC0334">
      <w:pPr>
        <w:spacing w:line="520" w:lineRule="exact"/>
        <w:ind w:firstLine="480"/>
        <w:rPr>
          <w:sz w:val="24"/>
        </w:rPr>
      </w:pPr>
      <w:r>
        <w:rPr>
          <w:sz w:val="24"/>
        </w:rPr>
        <w:t>主要影响角正切：</w:t>
      </w:r>
      <w:r>
        <w:rPr>
          <w:sz w:val="24"/>
        </w:rPr>
        <w:t>tgβ=2.1</w:t>
      </w:r>
    </w:p>
    <w:p w:rsidR="00240BCE" w:rsidRDefault="00AC0334">
      <w:pPr>
        <w:pStyle w:val="a1"/>
        <w:spacing w:after="0" w:line="520" w:lineRule="exact"/>
        <w:ind w:firstLineChars="200" w:firstLine="480"/>
        <w:rPr>
          <w:sz w:val="24"/>
        </w:rPr>
      </w:pPr>
      <w:r>
        <w:rPr>
          <w:sz w:val="24"/>
        </w:rPr>
        <w:t>2</w:t>
      </w:r>
      <w:r>
        <w:rPr>
          <w:sz w:val="24"/>
        </w:rPr>
        <w:t>、预测方案划分</w:t>
      </w:r>
    </w:p>
    <w:p w:rsidR="00240BCE" w:rsidRDefault="00AC0334">
      <w:pPr>
        <w:pStyle w:val="a1"/>
        <w:spacing w:after="0" w:line="520" w:lineRule="exact"/>
        <w:ind w:firstLineChars="200" w:firstLine="480"/>
        <w:rPr>
          <w:sz w:val="24"/>
        </w:rPr>
      </w:pPr>
      <w:r>
        <w:rPr>
          <w:sz w:val="24"/>
        </w:rPr>
        <w:t>根据井田开拓接续计划，本着</w:t>
      </w:r>
      <w:r>
        <w:rPr>
          <w:sz w:val="24"/>
        </w:rPr>
        <w:t>“</w:t>
      </w:r>
      <w:r>
        <w:rPr>
          <w:sz w:val="24"/>
        </w:rPr>
        <w:t>远粗近细</w:t>
      </w:r>
      <w:r>
        <w:rPr>
          <w:sz w:val="24"/>
        </w:rPr>
        <w:t>”</w:t>
      </w:r>
      <w:r>
        <w:rPr>
          <w:sz w:val="24"/>
        </w:rPr>
        <w:t>的生态影响评价原则，本次环评按以下地表沉陷预测方案预测隆庆煤矿采煤地表沉陷生态环境影响：</w:t>
      </w:r>
    </w:p>
    <w:p w:rsidR="00240BCE" w:rsidRDefault="00AC0334">
      <w:pPr>
        <w:pStyle w:val="a1"/>
        <w:spacing w:after="0" w:line="520" w:lineRule="exact"/>
        <w:ind w:firstLineChars="200" w:firstLine="480"/>
        <w:rPr>
          <w:sz w:val="24"/>
        </w:rPr>
      </w:pPr>
      <w:r>
        <w:rPr>
          <w:sz w:val="24"/>
        </w:rPr>
        <w:t>（</w:t>
      </w:r>
      <w:r>
        <w:rPr>
          <w:sz w:val="24"/>
        </w:rPr>
        <w:t>1</w:t>
      </w:r>
      <w:r>
        <w:rPr>
          <w:sz w:val="24"/>
        </w:rPr>
        <w:t>）首采区（</w:t>
      </w:r>
      <w:r>
        <w:rPr>
          <w:sz w:val="24"/>
        </w:rPr>
        <w:t>21</w:t>
      </w:r>
      <w:r>
        <w:rPr>
          <w:sz w:val="24"/>
        </w:rPr>
        <w:t>采区）煤层开采后地表沉陷特征；</w:t>
      </w:r>
    </w:p>
    <w:p w:rsidR="00240BCE" w:rsidRDefault="00AC0334">
      <w:pPr>
        <w:pStyle w:val="a1"/>
        <w:spacing w:after="0" w:line="520" w:lineRule="exact"/>
        <w:ind w:firstLineChars="200" w:firstLine="480"/>
        <w:rPr>
          <w:sz w:val="24"/>
        </w:rPr>
      </w:pPr>
      <w:r>
        <w:rPr>
          <w:sz w:val="24"/>
        </w:rPr>
        <w:t>（</w:t>
      </w:r>
      <w:r>
        <w:rPr>
          <w:sz w:val="24"/>
        </w:rPr>
        <w:t>2</w:t>
      </w:r>
      <w:r>
        <w:rPr>
          <w:sz w:val="24"/>
        </w:rPr>
        <w:t>）预测全井田（</w:t>
      </w:r>
      <w:r>
        <w:rPr>
          <w:sz w:val="24"/>
        </w:rPr>
        <w:t>21</w:t>
      </w:r>
      <w:r>
        <w:rPr>
          <w:sz w:val="24"/>
        </w:rPr>
        <w:t>采区、</w:t>
      </w:r>
      <w:r>
        <w:rPr>
          <w:sz w:val="24"/>
        </w:rPr>
        <w:t>22</w:t>
      </w:r>
      <w:r>
        <w:rPr>
          <w:sz w:val="24"/>
        </w:rPr>
        <w:t>采区）开采完后地表沉陷特征；</w:t>
      </w:r>
    </w:p>
    <w:p w:rsidR="00240BCE" w:rsidRDefault="00AC0334">
      <w:pPr>
        <w:pStyle w:val="a1"/>
        <w:spacing w:after="0" w:line="520" w:lineRule="exact"/>
        <w:ind w:firstLineChars="200" w:firstLine="480"/>
        <w:rPr>
          <w:sz w:val="24"/>
        </w:rPr>
      </w:pPr>
      <w:r>
        <w:rPr>
          <w:sz w:val="24"/>
        </w:rPr>
        <w:t>预测方案划分情况见表</w:t>
      </w:r>
      <w:r>
        <w:rPr>
          <w:sz w:val="24"/>
        </w:rPr>
        <w:t>5.3-1</w:t>
      </w:r>
      <w:r>
        <w:rPr>
          <w:sz w:val="24"/>
        </w:rPr>
        <w:t>。</w:t>
      </w:r>
    </w:p>
    <w:p w:rsidR="00240BCE" w:rsidRDefault="00AC0334">
      <w:pPr>
        <w:pStyle w:val="a1"/>
        <w:spacing w:after="0" w:line="520" w:lineRule="exact"/>
        <w:jc w:val="center"/>
        <w:rPr>
          <w:rFonts w:eastAsia="黑体"/>
          <w:sz w:val="24"/>
        </w:rPr>
      </w:pPr>
      <w:r>
        <w:rPr>
          <w:rFonts w:eastAsia="黑体"/>
          <w:sz w:val="24"/>
        </w:rPr>
        <w:t>表</w:t>
      </w:r>
      <w:r>
        <w:rPr>
          <w:rFonts w:eastAsia="黑体"/>
          <w:sz w:val="24"/>
        </w:rPr>
        <w:t xml:space="preserve">5.3-1  </w:t>
      </w:r>
      <w:r>
        <w:rPr>
          <w:rFonts w:eastAsia="黑体"/>
          <w:sz w:val="24"/>
        </w:rPr>
        <w:t>地表沉陷预测方案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4"/>
        <w:gridCol w:w="2215"/>
        <w:gridCol w:w="1336"/>
        <w:gridCol w:w="1349"/>
        <w:gridCol w:w="1594"/>
        <w:gridCol w:w="1108"/>
      </w:tblGrid>
      <w:tr w:rsidR="00240BCE">
        <w:tc>
          <w:tcPr>
            <w:tcW w:w="1384" w:type="dxa"/>
            <w:vAlign w:val="center"/>
          </w:tcPr>
          <w:p w:rsidR="00240BCE" w:rsidRDefault="00AC0334">
            <w:pPr>
              <w:pStyle w:val="a1"/>
              <w:spacing w:after="0" w:line="340" w:lineRule="exact"/>
              <w:jc w:val="center"/>
              <w:rPr>
                <w:sz w:val="21"/>
                <w:szCs w:val="21"/>
              </w:rPr>
            </w:pPr>
            <w:r>
              <w:rPr>
                <w:sz w:val="21"/>
                <w:szCs w:val="21"/>
              </w:rPr>
              <w:t>阶段划分</w:t>
            </w:r>
          </w:p>
        </w:tc>
        <w:tc>
          <w:tcPr>
            <w:tcW w:w="2285" w:type="dxa"/>
            <w:vAlign w:val="center"/>
          </w:tcPr>
          <w:p w:rsidR="00240BCE" w:rsidRDefault="00AC0334">
            <w:pPr>
              <w:pStyle w:val="a1"/>
              <w:spacing w:after="0" w:line="340" w:lineRule="exact"/>
              <w:jc w:val="center"/>
              <w:rPr>
                <w:sz w:val="21"/>
                <w:szCs w:val="21"/>
              </w:rPr>
            </w:pPr>
            <w:r>
              <w:rPr>
                <w:sz w:val="21"/>
                <w:szCs w:val="21"/>
              </w:rPr>
              <w:t>开采采区</w:t>
            </w:r>
          </w:p>
        </w:tc>
        <w:tc>
          <w:tcPr>
            <w:tcW w:w="1376" w:type="dxa"/>
            <w:vAlign w:val="center"/>
          </w:tcPr>
          <w:p w:rsidR="00240BCE" w:rsidRDefault="00AC0334">
            <w:pPr>
              <w:pStyle w:val="a1"/>
              <w:spacing w:after="0" w:line="340" w:lineRule="exact"/>
              <w:jc w:val="center"/>
              <w:rPr>
                <w:sz w:val="21"/>
                <w:szCs w:val="21"/>
              </w:rPr>
            </w:pPr>
            <w:r>
              <w:rPr>
                <w:sz w:val="21"/>
                <w:szCs w:val="21"/>
              </w:rPr>
              <w:t>开采煤层</w:t>
            </w:r>
          </w:p>
        </w:tc>
        <w:tc>
          <w:tcPr>
            <w:tcW w:w="1376" w:type="dxa"/>
            <w:vAlign w:val="center"/>
          </w:tcPr>
          <w:p w:rsidR="00240BCE" w:rsidRDefault="00AC0334">
            <w:pPr>
              <w:pStyle w:val="a1"/>
              <w:spacing w:after="0" w:line="340" w:lineRule="exact"/>
              <w:jc w:val="center"/>
              <w:rPr>
                <w:sz w:val="21"/>
                <w:szCs w:val="21"/>
              </w:rPr>
            </w:pPr>
            <w:r>
              <w:rPr>
                <w:sz w:val="21"/>
                <w:szCs w:val="21"/>
              </w:rPr>
              <w:t>采厚（煤厚）</w:t>
            </w:r>
          </w:p>
        </w:tc>
        <w:tc>
          <w:tcPr>
            <w:tcW w:w="1625" w:type="dxa"/>
            <w:vAlign w:val="center"/>
          </w:tcPr>
          <w:p w:rsidR="00240BCE" w:rsidRDefault="00AC0334">
            <w:pPr>
              <w:pStyle w:val="a1"/>
              <w:spacing w:after="0" w:line="340" w:lineRule="exact"/>
              <w:jc w:val="center"/>
              <w:rPr>
                <w:sz w:val="21"/>
                <w:szCs w:val="21"/>
              </w:rPr>
            </w:pPr>
            <w:r>
              <w:rPr>
                <w:sz w:val="21"/>
                <w:szCs w:val="21"/>
              </w:rPr>
              <w:t>埋深（</w:t>
            </w:r>
            <w:r>
              <w:rPr>
                <w:sz w:val="21"/>
                <w:szCs w:val="21"/>
              </w:rPr>
              <w:t>H</w:t>
            </w:r>
            <w:r>
              <w:rPr>
                <w:sz w:val="21"/>
                <w:szCs w:val="21"/>
              </w:rPr>
              <w:t>）</w:t>
            </w:r>
          </w:p>
        </w:tc>
        <w:tc>
          <w:tcPr>
            <w:tcW w:w="1128" w:type="dxa"/>
            <w:vAlign w:val="center"/>
          </w:tcPr>
          <w:p w:rsidR="00240BCE" w:rsidRDefault="00AC0334">
            <w:pPr>
              <w:pStyle w:val="a1"/>
              <w:spacing w:after="0" w:line="340" w:lineRule="exact"/>
              <w:jc w:val="center"/>
              <w:rPr>
                <w:sz w:val="21"/>
                <w:szCs w:val="21"/>
              </w:rPr>
            </w:pPr>
            <w:r>
              <w:rPr>
                <w:sz w:val="21"/>
                <w:szCs w:val="21"/>
              </w:rPr>
              <w:t>开采时段</w:t>
            </w:r>
          </w:p>
        </w:tc>
      </w:tr>
      <w:tr w:rsidR="00240BCE">
        <w:tc>
          <w:tcPr>
            <w:tcW w:w="1384" w:type="dxa"/>
            <w:vAlign w:val="center"/>
          </w:tcPr>
          <w:p w:rsidR="00240BCE" w:rsidRDefault="00AC0334">
            <w:pPr>
              <w:pStyle w:val="a1"/>
              <w:spacing w:after="0" w:line="340" w:lineRule="exact"/>
              <w:jc w:val="center"/>
              <w:rPr>
                <w:sz w:val="21"/>
                <w:szCs w:val="21"/>
              </w:rPr>
            </w:pPr>
            <w:r>
              <w:rPr>
                <w:sz w:val="21"/>
                <w:szCs w:val="21"/>
              </w:rPr>
              <w:t>第一阶段</w:t>
            </w:r>
          </w:p>
        </w:tc>
        <w:tc>
          <w:tcPr>
            <w:tcW w:w="2285" w:type="dxa"/>
            <w:vAlign w:val="center"/>
          </w:tcPr>
          <w:p w:rsidR="00240BCE" w:rsidRDefault="00AC0334">
            <w:pPr>
              <w:pStyle w:val="a1"/>
              <w:spacing w:after="0" w:line="340" w:lineRule="exact"/>
              <w:jc w:val="center"/>
              <w:rPr>
                <w:sz w:val="21"/>
                <w:szCs w:val="21"/>
              </w:rPr>
            </w:pPr>
            <w:r>
              <w:rPr>
                <w:sz w:val="21"/>
                <w:szCs w:val="21"/>
              </w:rPr>
              <w:t>21</w:t>
            </w:r>
            <w:r>
              <w:rPr>
                <w:sz w:val="21"/>
                <w:szCs w:val="21"/>
              </w:rPr>
              <w:t>采区</w:t>
            </w:r>
          </w:p>
        </w:tc>
        <w:tc>
          <w:tcPr>
            <w:tcW w:w="1376" w:type="dxa"/>
            <w:vAlign w:val="center"/>
          </w:tcPr>
          <w:p w:rsidR="00240BCE" w:rsidRDefault="00AC0334">
            <w:pPr>
              <w:pStyle w:val="a1"/>
              <w:spacing w:after="0" w:line="340" w:lineRule="exact"/>
              <w:jc w:val="center"/>
              <w:rPr>
                <w:sz w:val="21"/>
                <w:szCs w:val="21"/>
              </w:rPr>
            </w:pPr>
            <w:r>
              <w:rPr>
                <w:sz w:val="21"/>
                <w:szCs w:val="21"/>
              </w:rPr>
              <w:t>二</w:t>
            </w:r>
            <w:r>
              <w:rPr>
                <w:sz w:val="21"/>
                <w:szCs w:val="21"/>
                <w:vertAlign w:val="subscript"/>
              </w:rPr>
              <w:t>1</w:t>
            </w:r>
            <w:r>
              <w:rPr>
                <w:sz w:val="21"/>
                <w:szCs w:val="21"/>
              </w:rPr>
              <w:t>煤层</w:t>
            </w:r>
          </w:p>
        </w:tc>
        <w:tc>
          <w:tcPr>
            <w:tcW w:w="1376" w:type="dxa"/>
            <w:vAlign w:val="center"/>
          </w:tcPr>
          <w:p w:rsidR="00240BCE" w:rsidRDefault="00AC0334">
            <w:pPr>
              <w:pStyle w:val="a1"/>
              <w:spacing w:after="0" w:line="340" w:lineRule="exact"/>
              <w:jc w:val="center"/>
              <w:rPr>
                <w:sz w:val="21"/>
                <w:szCs w:val="21"/>
              </w:rPr>
            </w:pPr>
            <w:r>
              <w:rPr>
                <w:sz w:val="21"/>
                <w:szCs w:val="21"/>
              </w:rPr>
              <w:t>2.93m</w:t>
            </w:r>
          </w:p>
        </w:tc>
        <w:tc>
          <w:tcPr>
            <w:tcW w:w="1625" w:type="dxa"/>
            <w:vAlign w:val="center"/>
          </w:tcPr>
          <w:p w:rsidR="00240BCE" w:rsidRDefault="00AC0334">
            <w:pPr>
              <w:pStyle w:val="a1"/>
              <w:spacing w:after="0" w:line="340" w:lineRule="exact"/>
              <w:jc w:val="center"/>
              <w:rPr>
                <w:sz w:val="21"/>
                <w:szCs w:val="21"/>
              </w:rPr>
            </w:pPr>
            <w:r>
              <w:rPr>
                <w:sz w:val="21"/>
                <w:szCs w:val="21"/>
              </w:rPr>
              <w:t>189m</w:t>
            </w:r>
            <w:r>
              <w:rPr>
                <w:sz w:val="21"/>
                <w:szCs w:val="21"/>
              </w:rPr>
              <w:t>～</w:t>
            </w:r>
            <w:r>
              <w:rPr>
                <w:sz w:val="21"/>
                <w:szCs w:val="21"/>
              </w:rPr>
              <w:t>389m</w:t>
            </w:r>
          </w:p>
        </w:tc>
        <w:tc>
          <w:tcPr>
            <w:tcW w:w="1128" w:type="dxa"/>
            <w:vAlign w:val="center"/>
          </w:tcPr>
          <w:p w:rsidR="00240BCE" w:rsidRDefault="00AC0334">
            <w:pPr>
              <w:pStyle w:val="a1"/>
              <w:spacing w:after="0" w:line="340" w:lineRule="exact"/>
              <w:jc w:val="center"/>
              <w:rPr>
                <w:sz w:val="21"/>
                <w:szCs w:val="21"/>
              </w:rPr>
            </w:pPr>
            <w:r>
              <w:rPr>
                <w:sz w:val="21"/>
                <w:szCs w:val="21"/>
              </w:rPr>
              <w:t>1</w:t>
            </w:r>
            <w:r>
              <w:rPr>
                <w:sz w:val="21"/>
                <w:szCs w:val="21"/>
              </w:rPr>
              <w:t>～</w:t>
            </w:r>
            <w:r>
              <w:rPr>
                <w:sz w:val="21"/>
                <w:szCs w:val="21"/>
              </w:rPr>
              <w:t>6.0a</w:t>
            </w:r>
          </w:p>
        </w:tc>
      </w:tr>
      <w:tr w:rsidR="00240BCE">
        <w:tc>
          <w:tcPr>
            <w:tcW w:w="1384" w:type="dxa"/>
            <w:vAlign w:val="center"/>
          </w:tcPr>
          <w:p w:rsidR="00240BCE" w:rsidRDefault="00AC0334">
            <w:pPr>
              <w:pStyle w:val="a1"/>
              <w:spacing w:after="0" w:line="340" w:lineRule="exact"/>
              <w:jc w:val="center"/>
              <w:rPr>
                <w:sz w:val="21"/>
                <w:szCs w:val="21"/>
              </w:rPr>
            </w:pPr>
            <w:r>
              <w:rPr>
                <w:sz w:val="21"/>
                <w:szCs w:val="21"/>
              </w:rPr>
              <w:t>第二阶段</w:t>
            </w:r>
          </w:p>
        </w:tc>
        <w:tc>
          <w:tcPr>
            <w:tcW w:w="2285" w:type="dxa"/>
            <w:vAlign w:val="center"/>
          </w:tcPr>
          <w:p w:rsidR="00240BCE" w:rsidRDefault="00AC0334">
            <w:pPr>
              <w:pStyle w:val="a1"/>
              <w:spacing w:after="0" w:line="340" w:lineRule="exact"/>
              <w:jc w:val="center"/>
              <w:rPr>
                <w:sz w:val="21"/>
                <w:szCs w:val="21"/>
              </w:rPr>
            </w:pPr>
            <w:r>
              <w:rPr>
                <w:sz w:val="21"/>
                <w:szCs w:val="21"/>
              </w:rPr>
              <w:t>22</w:t>
            </w:r>
            <w:r>
              <w:rPr>
                <w:sz w:val="21"/>
                <w:szCs w:val="21"/>
              </w:rPr>
              <w:t>采区开采完毕，即全井田设计开采完毕</w:t>
            </w:r>
          </w:p>
        </w:tc>
        <w:tc>
          <w:tcPr>
            <w:tcW w:w="1376" w:type="dxa"/>
            <w:vAlign w:val="center"/>
          </w:tcPr>
          <w:p w:rsidR="00240BCE" w:rsidRDefault="00AC0334">
            <w:pPr>
              <w:pStyle w:val="a1"/>
              <w:spacing w:after="0" w:line="340" w:lineRule="exact"/>
              <w:jc w:val="center"/>
              <w:rPr>
                <w:sz w:val="21"/>
                <w:szCs w:val="21"/>
              </w:rPr>
            </w:pPr>
            <w:r>
              <w:rPr>
                <w:sz w:val="21"/>
                <w:szCs w:val="21"/>
              </w:rPr>
              <w:t>二</w:t>
            </w:r>
            <w:r>
              <w:rPr>
                <w:sz w:val="21"/>
                <w:szCs w:val="21"/>
                <w:vertAlign w:val="subscript"/>
              </w:rPr>
              <w:t>1</w:t>
            </w:r>
            <w:r>
              <w:rPr>
                <w:sz w:val="21"/>
                <w:szCs w:val="21"/>
              </w:rPr>
              <w:t>煤层</w:t>
            </w:r>
          </w:p>
        </w:tc>
        <w:tc>
          <w:tcPr>
            <w:tcW w:w="1376" w:type="dxa"/>
            <w:vAlign w:val="center"/>
          </w:tcPr>
          <w:p w:rsidR="00240BCE" w:rsidRDefault="00AC0334">
            <w:pPr>
              <w:pStyle w:val="a1"/>
              <w:spacing w:after="0" w:line="340" w:lineRule="exact"/>
              <w:jc w:val="center"/>
              <w:rPr>
                <w:sz w:val="21"/>
                <w:szCs w:val="21"/>
              </w:rPr>
            </w:pPr>
            <w:r>
              <w:rPr>
                <w:sz w:val="21"/>
                <w:szCs w:val="21"/>
              </w:rPr>
              <w:t>2.93m</w:t>
            </w:r>
          </w:p>
        </w:tc>
        <w:tc>
          <w:tcPr>
            <w:tcW w:w="1625" w:type="dxa"/>
            <w:vAlign w:val="center"/>
          </w:tcPr>
          <w:p w:rsidR="00240BCE" w:rsidRDefault="00AC0334">
            <w:pPr>
              <w:pStyle w:val="a1"/>
              <w:spacing w:after="0" w:line="340" w:lineRule="exact"/>
              <w:jc w:val="center"/>
              <w:rPr>
                <w:sz w:val="21"/>
                <w:szCs w:val="21"/>
              </w:rPr>
            </w:pPr>
            <w:r>
              <w:rPr>
                <w:sz w:val="21"/>
                <w:szCs w:val="21"/>
              </w:rPr>
              <w:t>385m</w:t>
            </w:r>
            <w:r>
              <w:rPr>
                <w:sz w:val="21"/>
                <w:szCs w:val="21"/>
              </w:rPr>
              <w:t>～</w:t>
            </w:r>
            <w:r>
              <w:rPr>
                <w:sz w:val="21"/>
                <w:szCs w:val="21"/>
              </w:rPr>
              <w:t>750m</w:t>
            </w:r>
          </w:p>
        </w:tc>
        <w:tc>
          <w:tcPr>
            <w:tcW w:w="1128" w:type="dxa"/>
            <w:vAlign w:val="center"/>
          </w:tcPr>
          <w:p w:rsidR="00240BCE" w:rsidRDefault="00AC0334">
            <w:pPr>
              <w:pStyle w:val="a1"/>
              <w:spacing w:after="0" w:line="340" w:lineRule="exact"/>
              <w:jc w:val="center"/>
              <w:rPr>
                <w:sz w:val="21"/>
                <w:szCs w:val="21"/>
              </w:rPr>
            </w:pPr>
            <w:r>
              <w:rPr>
                <w:sz w:val="21"/>
                <w:szCs w:val="21"/>
              </w:rPr>
              <w:t>1</w:t>
            </w:r>
            <w:r>
              <w:rPr>
                <w:sz w:val="21"/>
                <w:szCs w:val="21"/>
              </w:rPr>
              <w:t>～</w:t>
            </w:r>
            <w:r>
              <w:rPr>
                <w:sz w:val="21"/>
                <w:szCs w:val="21"/>
              </w:rPr>
              <w:t>11.6a</w:t>
            </w: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447" w:name="_Toc79668688"/>
      <w:r>
        <w:rPr>
          <w:rFonts w:eastAsia="楷体"/>
          <w:sz w:val="28"/>
          <w:szCs w:val="28"/>
        </w:rPr>
        <w:t xml:space="preserve">5.3.4 </w:t>
      </w:r>
      <w:r>
        <w:rPr>
          <w:rFonts w:eastAsia="楷体"/>
          <w:sz w:val="28"/>
          <w:szCs w:val="28"/>
        </w:rPr>
        <w:t>地表沉陷预测结果</w:t>
      </w:r>
      <w:bookmarkEnd w:id="447"/>
    </w:p>
    <w:p w:rsidR="00240BCE" w:rsidRDefault="00AC0334">
      <w:pPr>
        <w:pStyle w:val="a1"/>
        <w:spacing w:after="0" w:line="520" w:lineRule="exact"/>
        <w:ind w:firstLineChars="200" w:firstLine="480"/>
        <w:rPr>
          <w:sz w:val="24"/>
        </w:rPr>
      </w:pPr>
      <w:r>
        <w:rPr>
          <w:sz w:val="24"/>
        </w:rPr>
        <w:t>根据本井田可采区范围及井上下开采条件，全井田划分为</w:t>
      </w:r>
      <w:r>
        <w:rPr>
          <w:sz w:val="24"/>
        </w:rPr>
        <w:t>2</w:t>
      </w:r>
      <w:r>
        <w:rPr>
          <w:sz w:val="24"/>
        </w:rPr>
        <w:t>个采区，即</w:t>
      </w:r>
      <w:r>
        <w:rPr>
          <w:sz w:val="24"/>
        </w:rPr>
        <w:t>21</w:t>
      </w:r>
      <w:r>
        <w:rPr>
          <w:sz w:val="24"/>
        </w:rPr>
        <w:t>采区、</w:t>
      </w:r>
      <w:r>
        <w:rPr>
          <w:sz w:val="24"/>
        </w:rPr>
        <w:t>22</w:t>
      </w:r>
      <w:r>
        <w:rPr>
          <w:sz w:val="24"/>
        </w:rPr>
        <w:t>采区。首采区是</w:t>
      </w:r>
      <w:r>
        <w:rPr>
          <w:sz w:val="24"/>
        </w:rPr>
        <w:t>21</w:t>
      </w:r>
      <w:r>
        <w:rPr>
          <w:sz w:val="24"/>
        </w:rPr>
        <w:t>采区，采区接替顺序为</w:t>
      </w:r>
      <w:r>
        <w:rPr>
          <w:sz w:val="24"/>
        </w:rPr>
        <w:t>21</w:t>
      </w:r>
      <w:r>
        <w:rPr>
          <w:sz w:val="24"/>
        </w:rPr>
        <w:t>采区</w:t>
      </w:r>
      <w:r>
        <w:rPr>
          <w:sz w:val="24"/>
        </w:rPr>
        <w:t>→22</w:t>
      </w:r>
      <w:r>
        <w:rPr>
          <w:sz w:val="24"/>
        </w:rPr>
        <w:t>采区。</w:t>
      </w:r>
    </w:p>
    <w:p w:rsidR="00240BCE" w:rsidRDefault="00AC0334">
      <w:pPr>
        <w:pStyle w:val="a1"/>
        <w:spacing w:after="0" w:line="520" w:lineRule="exact"/>
        <w:ind w:firstLineChars="200" w:firstLine="480"/>
        <w:rPr>
          <w:sz w:val="24"/>
        </w:rPr>
      </w:pPr>
      <w:r>
        <w:rPr>
          <w:sz w:val="24"/>
        </w:rPr>
        <w:t>1</w:t>
      </w:r>
      <w:r>
        <w:rPr>
          <w:sz w:val="24"/>
        </w:rPr>
        <w:t>、首采区地表沉陷预测结果</w:t>
      </w:r>
    </w:p>
    <w:p w:rsidR="00240BCE" w:rsidRDefault="00AC0334">
      <w:pPr>
        <w:pStyle w:val="a1"/>
        <w:spacing w:after="0" w:line="520" w:lineRule="exact"/>
        <w:ind w:firstLineChars="200" w:firstLine="480"/>
        <w:rPr>
          <w:sz w:val="24"/>
        </w:rPr>
      </w:pPr>
      <w:r>
        <w:rPr>
          <w:sz w:val="24"/>
        </w:rPr>
        <w:t>根据以上参数，结合本矿井设计实际和上述煤柱留设情况，首采区开采后地表主要移动变形情况预测结果见表</w:t>
      </w:r>
      <w:r>
        <w:rPr>
          <w:sz w:val="24"/>
        </w:rPr>
        <w:t>5.3-2</w:t>
      </w:r>
      <w:r>
        <w:rPr>
          <w:sz w:val="24"/>
        </w:rPr>
        <w:t>，首采区地表沉陷等值线图见附图</w:t>
      </w:r>
      <w:r>
        <w:rPr>
          <w:sz w:val="24"/>
        </w:rPr>
        <w:t>8</w:t>
      </w:r>
      <w:r>
        <w:rPr>
          <w:sz w:val="24"/>
        </w:rPr>
        <w:t>。</w:t>
      </w:r>
    </w:p>
    <w:p w:rsidR="00240BCE" w:rsidRDefault="00AC0334">
      <w:pPr>
        <w:autoSpaceDE w:val="0"/>
        <w:autoSpaceDN w:val="0"/>
        <w:adjustRightInd w:val="0"/>
        <w:spacing w:line="400" w:lineRule="exact"/>
        <w:jc w:val="center"/>
        <w:rPr>
          <w:rFonts w:eastAsia="黑体"/>
          <w:sz w:val="24"/>
          <w:lang w:val="zh-CN"/>
        </w:rPr>
      </w:pPr>
      <w:r>
        <w:rPr>
          <w:rFonts w:eastAsia="黑体"/>
          <w:sz w:val="24"/>
          <w:lang w:val="zh-CN"/>
        </w:rPr>
        <w:lastRenderedPageBreak/>
        <w:t>表</w:t>
      </w:r>
      <w:r>
        <w:rPr>
          <w:rFonts w:eastAsia="黑体"/>
          <w:sz w:val="24"/>
          <w:lang w:val="zh-CN"/>
        </w:rPr>
        <w:t xml:space="preserve">5.3-2   </w:t>
      </w:r>
      <w:r>
        <w:rPr>
          <w:rFonts w:eastAsia="黑体"/>
          <w:sz w:val="24"/>
          <w:lang w:val="zh-CN"/>
        </w:rPr>
        <w:t>首采区地表移动与变形最大值表</w:t>
      </w:r>
    </w:p>
    <w:tbl>
      <w:tblPr>
        <w:tblW w:w="5000" w:type="pct"/>
        <w:tblInd w:w="-8" w:type="dxa"/>
        <w:tblCellMar>
          <w:left w:w="0" w:type="dxa"/>
          <w:right w:w="0" w:type="dxa"/>
        </w:tblCellMar>
        <w:tblLook w:val="04A0"/>
      </w:tblPr>
      <w:tblGrid>
        <w:gridCol w:w="1214"/>
        <w:gridCol w:w="1256"/>
        <w:gridCol w:w="1256"/>
        <w:gridCol w:w="1256"/>
        <w:gridCol w:w="1256"/>
        <w:gridCol w:w="1256"/>
        <w:gridCol w:w="1252"/>
      </w:tblGrid>
      <w:tr w:rsidR="00240BCE">
        <w:tc>
          <w:tcPr>
            <w:tcW w:w="694"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名称</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最大下沉值</w:t>
            </w:r>
          </w:p>
          <w:p w:rsidR="00240BCE" w:rsidRDefault="00AC0334">
            <w:pPr>
              <w:autoSpaceDE w:val="0"/>
              <w:autoSpaceDN w:val="0"/>
              <w:adjustRightInd w:val="0"/>
              <w:spacing w:line="360" w:lineRule="exact"/>
              <w:jc w:val="center"/>
              <w:rPr>
                <w:sz w:val="21"/>
                <w:szCs w:val="21"/>
                <w:lang w:val="zh-CN"/>
              </w:rPr>
            </w:pPr>
            <w:r>
              <w:rPr>
                <w:sz w:val="21"/>
                <w:szCs w:val="21"/>
                <w:lang w:val="zh-CN"/>
              </w:rPr>
              <w:t>W</w:t>
            </w:r>
            <w:r>
              <w:rPr>
                <w:sz w:val="21"/>
                <w:szCs w:val="21"/>
                <w:vertAlign w:val="subscript"/>
                <w:lang w:val="zh-CN"/>
              </w:rPr>
              <w:t>o</w:t>
            </w:r>
            <w:r>
              <w:rPr>
                <w:sz w:val="21"/>
                <w:szCs w:val="21"/>
                <w:lang w:val="zh-CN"/>
              </w:rPr>
              <w:t>(mm)</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最大倾斜值</w:t>
            </w:r>
            <w:r>
              <w:rPr>
                <w:sz w:val="21"/>
                <w:szCs w:val="21"/>
                <w:lang w:val="zh-CN"/>
              </w:rPr>
              <w:t>I</w:t>
            </w:r>
            <w:r>
              <w:rPr>
                <w:sz w:val="21"/>
                <w:szCs w:val="21"/>
                <w:vertAlign w:val="subscript"/>
                <w:lang w:val="zh-CN"/>
              </w:rPr>
              <w:t>o</w:t>
            </w:r>
            <w:r>
              <w:rPr>
                <w:sz w:val="21"/>
                <w:szCs w:val="21"/>
                <w:lang w:val="zh-CN"/>
              </w:rPr>
              <w:t>(mm/m)</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最大曲率值</w:t>
            </w:r>
            <w:r>
              <w:rPr>
                <w:sz w:val="21"/>
                <w:szCs w:val="21"/>
                <w:lang w:val="zh-CN"/>
              </w:rPr>
              <w:t>K</w:t>
            </w:r>
            <w:r>
              <w:rPr>
                <w:sz w:val="21"/>
                <w:szCs w:val="21"/>
                <w:vertAlign w:val="subscript"/>
                <w:lang w:val="zh-CN"/>
              </w:rPr>
              <w:t>o</w:t>
            </w:r>
            <w:r>
              <w:rPr>
                <w:sz w:val="21"/>
                <w:szCs w:val="21"/>
                <w:lang w:val="zh-CN"/>
              </w:rPr>
              <w:t xml:space="preserve"> (10</w:t>
            </w:r>
            <w:r>
              <w:rPr>
                <w:sz w:val="21"/>
                <w:szCs w:val="21"/>
                <w:vertAlign w:val="superscript"/>
                <w:lang w:val="zh-CN"/>
              </w:rPr>
              <w:t>-3</w:t>
            </w:r>
            <w:r>
              <w:rPr>
                <w:sz w:val="21"/>
                <w:szCs w:val="21"/>
                <w:lang w:val="zh-CN"/>
              </w:rPr>
              <w:t>/m)</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最大水平移动值</w:t>
            </w:r>
            <w:r>
              <w:rPr>
                <w:sz w:val="21"/>
                <w:szCs w:val="21"/>
                <w:lang w:val="zh-CN"/>
              </w:rPr>
              <w:t>U</w:t>
            </w:r>
            <w:r>
              <w:rPr>
                <w:sz w:val="21"/>
                <w:szCs w:val="21"/>
                <w:vertAlign w:val="subscript"/>
                <w:lang w:val="zh-CN"/>
              </w:rPr>
              <w:t>o</w:t>
            </w:r>
            <w:r>
              <w:rPr>
                <w:sz w:val="21"/>
                <w:szCs w:val="21"/>
                <w:lang w:val="zh-CN"/>
              </w:rPr>
              <w:t>(mm/m)</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最大水平变形值</w:t>
            </w:r>
            <w:r>
              <w:rPr>
                <w:sz w:val="21"/>
                <w:szCs w:val="21"/>
                <w:lang w:val="zh-CN"/>
              </w:rPr>
              <w:t>E</w:t>
            </w:r>
            <w:r>
              <w:rPr>
                <w:sz w:val="21"/>
                <w:szCs w:val="21"/>
                <w:vertAlign w:val="subscript"/>
                <w:lang w:val="zh-CN"/>
              </w:rPr>
              <w:t>o</w:t>
            </w:r>
            <w:r>
              <w:rPr>
                <w:sz w:val="21"/>
                <w:szCs w:val="21"/>
                <w:lang w:val="zh-CN"/>
              </w:rPr>
              <w:t>(mm/m)</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主要影响半径</w:t>
            </w:r>
            <w:r>
              <w:rPr>
                <w:sz w:val="21"/>
                <w:szCs w:val="21"/>
                <w:lang w:val="zh-CN"/>
              </w:rPr>
              <w:t>r</w:t>
            </w:r>
            <w:r>
              <w:rPr>
                <w:sz w:val="21"/>
                <w:szCs w:val="21"/>
                <w:lang w:val="zh-CN"/>
              </w:rPr>
              <w:t>（</w:t>
            </w:r>
            <w:r>
              <w:rPr>
                <w:sz w:val="21"/>
                <w:szCs w:val="21"/>
                <w:lang w:val="zh-CN"/>
              </w:rPr>
              <w:t>m</w:t>
            </w:r>
            <w:r>
              <w:rPr>
                <w:sz w:val="21"/>
                <w:szCs w:val="21"/>
                <w:lang w:val="zh-CN"/>
              </w:rPr>
              <w:t>）</w:t>
            </w:r>
          </w:p>
        </w:tc>
      </w:tr>
      <w:tr w:rsidR="00240BCE">
        <w:tc>
          <w:tcPr>
            <w:tcW w:w="694"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首采区</w:t>
            </w:r>
          </w:p>
          <w:p w:rsidR="00240BCE" w:rsidRDefault="00AC0334">
            <w:pPr>
              <w:autoSpaceDE w:val="0"/>
              <w:autoSpaceDN w:val="0"/>
              <w:adjustRightInd w:val="0"/>
              <w:spacing w:line="360" w:lineRule="exact"/>
              <w:jc w:val="center"/>
              <w:rPr>
                <w:sz w:val="21"/>
                <w:szCs w:val="21"/>
              </w:rPr>
            </w:pPr>
            <w:r>
              <w:rPr>
                <w:sz w:val="21"/>
                <w:szCs w:val="21"/>
                <w:lang w:val="zh-CN"/>
              </w:rPr>
              <w:t>（</w:t>
            </w:r>
            <w:r>
              <w:rPr>
                <w:sz w:val="21"/>
                <w:szCs w:val="21"/>
                <w:lang w:val="zh-CN"/>
              </w:rPr>
              <w:t>21</w:t>
            </w:r>
            <w:r>
              <w:rPr>
                <w:sz w:val="21"/>
                <w:szCs w:val="21"/>
                <w:lang w:val="zh-CN"/>
              </w:rPr>
              <w:t>采区）</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2007.52</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22.31</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0.38</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602.26</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10.17</w:t>
            </w:r>
          </w:p>
        </w:tc>
        <w:tc>
          <w:tcPr>
            <w:tcW w:w="718"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90</w:t>
            </w:r>
            <w:r>
              <w:rPr>
                <w:sz w:val="21"/>
                <w:szCs w:val="21"/>
              </w:rPr>
              <w:t>～</w:t>
            </w:r>
            <w:r>
              <w:rPr>
                <w:sz w:val="21"/>
                <w:szCs w:val="21"/>
              </w:rPr>
              <w:t>185.2</w:t>
            </w:r>
          </w:p>
        </w:tc>
      </w:tr>
    </w:tbl>
    <w:p w:rsidR="00240BCE" w:rsidRDefault="00AC0334">
      <w:pPr>
        <w:pStyle w:val="a1"/>
        <w:spacing w:after="0" w:line="520" w:lineRule="exact"/>
        <w:ind w:firstLineChars="200" w:firstLine="480"/>
        <w:rPr>
          <w:sz w:val="24"/>
          <w:lang w:val="zh-CN"/>
        </w:rPr>
      </w:pPr>
      <w:r>
        <w:rPr>
          <w:sz w:val="24"/>
        </w:rPr>
        <w:t>由表</w:t>
      </w:r>
      <w:r>
        <w:rPr>
          <w:sz w:val="24"/>
        </w:rPr>
        <w:t>5.3-2</w:t>
      </w:r>
      <w:r>
        <w:rPr>
          <w:sz w:val="24"/>
        </w:rPr>
        <w:t>、附图</w:t>
      </w:r>
      <w:r>
        <w:rPr>
          <w:sz w:val="24"/>
        </w:rPr>
        <w:t>8</w:t>
      </w:r>
      <w:r>
        <w:rPr>
          <w:sz w:val="24"/>
        </w:rPr>
        <w:t>可知，首采区开采后形成的地表最大下沉值为</w:t>
      </w:r>
      <w:r>
        <w:rPr>
          <w:sz w:val="24"/>
        </w:rPr>
        <w:t>2007.52mm</w:t>
      </w:r>
      <w:r>
        <w:rPr>
          <w:sz w:val="24"/>
        </w:rPr>
        <w:t>，最大倾斜值为</w:t>
      </w:r>
      <w:r>
        <w:rPr>
          <w:sz w:val="24"/>
        </w:rPr>
        <w:t>22.31mm/m</w:t>
      </w:r>
      <w:r>
        <w:rPr>
          <w:sz w:val="24"/>
        </w:rPr>
        <w:t>，最大曲率变形值为</w:t>
      </w:r>
      <w:r>
        <w:rPr>
          <w:sz w:val="24"/>
        </w:rPr>
        <w:t>0.38×10</w:t>
      </w:r>
      <w:r>
        <w:rPr>
          <w:sz w:val="24"/>
          <w:vertAlign w:val="superscript"/>
        </w:rPr>
        <w:t>-3</w:t>
      </w:r>
      <w:r>
        <w:rPr>
          <w:sz w:val="24"/>
        </w:rPr>
        <w:t>/m</w:t>
      </w:r>
      <w:r>
        <w:rPr>
          <w:sz w:val="24"/>
        </w:rPr>
        <w:t>，最大水平变形值为</w:t>
      </w:r>
      <w:r>
        <w:rPr>
          <w:sz w:val="24"/>
        </w:rPr>
        <w:t>10.17mm/m</w:t>
      </w:r>
      <w:r>
        <w:rPr>
          <w:sz w:val="24"/>
        </w:rPr>
        <w:t>，且地表变形最大值随着开采深度的增加而逐渐减小，主要影响半径随着开采深度的增加而逐渐扩大。</w:t>
      </w:r>
      <w:r>
        <w:rPr>
          <w:sz w:val="24"/>
          <w:lang w:val="zh-CN"/>
        </w:rPr>
        <w:t>首采区地表沉陷面积为</w:t>
      </w:r>
      <w:r>
        <w:rPr>
          <w:sz w:val="24"/>
          <w:lang w:val="zh-CN"/>
        </w:rPr>
        <w:t>0.87km</w:t>
      </w:r>
      <w:r>
        <w:rPr>
          <w:sz w:val="24"/>
          <w:vertAlign w:val="superscript"/>
          <w:lang w:val="zh-CN"/>
        </w:rPr>
        <w:t>2</w:t>
      </w:r>
      <w:r>
        <w:rPr>
          <w:sz w:val="24"/>
          <w:lang w:val="zh-CN"/>
        </w:rPr>
        <w:t>。</w:t>
      </w:r>
    </w:p>
    <w:p w:rsidR="00240BCE" w:rsidRDefault="00AC0334">
      <w:pPr>
        <w:pStyle w:val="a1"/>
        <w:spacing w:after="0" w:line="520" w:lineRule="exact"/>
        <w:ind w:firstLineChars="200" w:firstLine="480"/>
        <w:rPr>
          <w:sz w:val="24"/>
          <w:lang w:val="zh-CN"/>
        </w:rPr>
      </w:pPr>
      <w:r>
        <w:rPr>
          <w:sz w:val="24"/>
          <w:lang w:val="zh-CN"/>
        </w:rPr>
        <w:t>2</w:t>
      </w:r>
      <w:r>
        <w:rPr>
          <w:sz w:val="24"/>
          <w:lang w:val="zh-CN"/>
        </w:rPr>
        <w:t>、全井田地表沉陷预测结果</w:t>
      </w:r>
    </w:p>
    <w:p w:rsidR="00240BCE" w:rsidRDefault="00AC0334">
      <w:pPr>
        <w:pStyle w:val="a1"/>
        <w:spacing w:after="0" w:line="520" w:lineRule="exact"/>
        <w:ind w:firstLineChars="200" w:firstLine="480"/>
        <w:rPr>
          <w:sz w:val="24"/>
          <w:lang w:val="zh-CN"/>
        </w:rPr>
      </w:pPr>
      <w:r>
        <w:rPr>
          <w:sz w:val="24"/>
        </w:rPr>
        <w:t>全井田开采后地表主要移动变形情况预测结果见表</w:t>
      </w:r>
      <w:r>
        <w:rPr>
          <w:sz w:val="24"/>
        </w:rPr>
        <w:t>5.3-3</w:t>
      </w:r>
      <w:r>
        <w:rPr>
          <w:sz w:val="24"/>
        </w:rPr>
        <w:t>，全井田地表沉陷等值线图见附图</w:t>
      </w:r>
      <w:r>
        <w:rPr>
          <w:sz w:val="24"/>
        </w:rPr>
        <w:t>9</w:t>
      </w:r>
      <w:r>
        <w:rPr>
          <w:sz w:val="24"/>
        </w:rPr>
        <w:t>。</w:t>
      </w:r>
    </w:p>
    <w:p w:rsidR="00240BCE" w:rsidRDefault="00AC0334">
      <w:pPr>
        <w:autoSpaceDE w:val="0"/>
        <w:autoSpaceDN w:val="0"/>
        <w:adjustRightInd w:val="0"/>
        <w:spacing w:line="400" w:lineRule="exact"/>
        <w:jc w:val="center"/>
        <w:rPr>
          <w:rFonts w:eastAsia="黑体"/>
          <w:sz w:val="24"/>
          <w:lang w:val="zh-CN"/>
        </w:rPr>
      </w:pPr>
      <w:r>
        <w:rPr>
          <w:rFonts w:eastAsia="黑体"/>
          <w:sz w:val="24"/>
          <w:lang w:val="zh-CN"/>
        </w:rPr>
        <w:t>表</w:t>
      </w:r>
      <w:r>
        <w:rPr>
          <w:rFonts w:eastAsia="黑体"/>
          <w:sz w:val="24"/>
          <w:lang w:val="zh-CN"/>
        </w:rPr>
        <w:t xml:space="preserve">5.3-3   </w:t>
      </w:r>
      <w:r>
        <w:rPr>
          <w:rFonts w:eastAsia="黑体"/>
          <w:sz w:val="24"/>
          <w:lang w:val="zh-CN"/>
        </w:rPr>
        <w:t>全井田地表移动与变形最大值表</w:t>
      </w:r>
    </w:p>
    <w:tbl>
      <w:tblPr>
        <w:tblW w:w="4975" w:type="pct"/>
        <w:jc w:val="center"/>
        <w:tblCellMar>
          <w:left w:w="0" w:type="dxa"/>
          <w:right w:w="0" w:type="dxa"/>
        </w:tblCellMar>
        <w:tblLook w:val="04A0"/>
      </w:tblPr>
      <w:tblGrid>
        <w:gridCol w:w="1066"/>
        <w:gridCol w:w="1255"/>
        <w:gridCol w:w="1255"/>
        <w:gridCol w:w="1255"/>
        <w:gridCol w:w="1255"/>
        <w:gridCol w:w="1255"/>
        <w:gridCol w:w="1361"/>
      </w:tblGrid>
      <w:tr w:rsidR="00240BCE">
        <w:trPr>
          <w:jc w:val="center"/>
        </w:trPr>
        <w:tc>
          <w:tcPr>
            <w:tcW w:w="613"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名称</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最大下沉值</w:t>
            </w:r>
          </w:p>
          <w:p w:rsidR="00240BCE" w:rsidRDefault="00AC0334">
            <w:pPr>
              <w:autoSpaceDE w:val="0"/>
              <w:autoSpaceDN w:val="0"/>
              <w:adjustRightInd w:val="0"/>
              <w:spacing w:line="360" w:lineRule="exact"/>
              <w:jc w:val="center"/>
              <w:rPr>
                <w:sz w:val="21"/>
                <w:szCs w:val="21"/>
                <w:lang w:val="zh-CN"/>
              </w:rPr>
            </w:pPr>
            <w:r>
              <w:rPr>
                <w:sz w:val="21"/>
                <w:szCs w:val="21"/>
                <w:lang w:val="zh-CN"/>
              </w:rPr>
              <w:t>W</w:t>
            </w:r>
            <w:r>
              <w:rPr>
                <w:sz w:val="21"/>
                <w:szCs w:val="21"/>
                <w:vertAlign w:val="subscript"/>
                <w:lang w:val="zh-CN"/>
              </w:rPr>
              <w:t>o</w:t>
            </w:r>
            <w:r>
              <w:rPr>
                <w:sz w:val="21"/>
                <w:szCs w:val="21"/>
                <w:lang w:val="zh-CN"/>
              </w:rPr>
              <w:t>(mm)</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最大倾斜值</w:t>
            </w:r>
            <w:r>
              <w:rPr>
                <w:sz w:val="21"/>
                <w:szCs w:val="21"/>
                <w:lang w:val="zh-CN"/>
              </w:rPr>
              <w:t>I</w:t>
            </w:r>
            <w:r>
              <w:rPr>
                <w:sz w:val="21"/>
                <w:szCs w:val="21"/>
                <w:vertAlign w:val="subscript"/>
                <w:lang w:val="zh-CN"/>
              </w:rPr>
              <w:t>o</w:t>
            </w:r>
            <w:r>
              <w:rPr>
                <w:sz w:val="21"/>
                <w:szCs w:val="21"/>
                <w:lang w:val="zh-CN"/>
              </w:rPr>
              <w:t>(mm/m)</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最大曲率值</w:t>
            </w:r>
            <w:r>
              <w:rPr>
                <w:sz w:val="21"/>
                <w:szCs w:val="21"/>
                <w:lang w:val="zh-CN"/>
              </w:rPr>
              <w:t>K</w:t>
            </w:r>
            <w:r>
              <w:rPr>
                <w:sz w:val="21"/>
                <w:szCs w:val="21"/>
                <w:vertAlign w:val="subscript"/>
                <w:lang w:val="zh-CN"/>
              </w:rPr>
              <w:t>o</w:t>
            </w:r>
            <w:r>
              <w:rPr>
                <w:sz w:val="21"/>
                <w:szCs w:val="21"/>
                <w:lang w:val="zh-CN"/>
              </w:rPr>
              <w:t xml:space="preserve"> (10</w:t>
            </w:r>
            <w:r>
              <w:rPr>
                <w:sz w:val="21"/>
                <w:szCs w:val="21"/>
                <w:vertAlign w:val="superscript"/>
                <w:lang w:val="zh-CN"/>
              </w:rPr>
              <w:t>-3</w:t>
            </w:r>
            <w:r>
              <w:rPr>
                <w:sz w:val="21"/>
                <w:szCs w:val="21"/>
                <w:lang w:val="zh-CN"/>
              </w:rPr>
              <w:t>/m)</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最大水平移动值</w:t>
            </w:r>
            <w:r>
              <w:rPr>
                <w:sz w:val="21"/>
                <w:szCs w:val="21"/>
                <w:lang w:val="zh-CN"/>
              </w:rPr>
              <w:t>U</w:t>
            </w:r>
            <w:r>
              <w:rPr>
                <w:sz w:val="21"/>
                <w:szCs w:val="21"/>
                <w:vertAlign w:val="subscript"/>
                <w:lang w:val="zh-CN"/>
              </w:rPr>
              <w:t>o</w:t>
            </w:r>
            <w:r>
              <w:rPr>
                <w:sz w:val="21"/>
                <w:szCs w:val="21"/>
                <w:lang w:val="zh-CN"/>
              </w:rPr>
              <w:t>(mm/m)</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最大水平变形值</w:t>
            </w:r>
            <w:r>
              <w:rPr>
                <w:sz w:val="21"/>
                <w:szCs w:val="21"/>
                <w:lang w:val="zh-CN"/>
              </w:rPr>
              <w:t>E</w:t>
            </w:r>
            <w:r>
              <w:rPr>
                <w:sz w:val="21"/>
                <w:szCs w:val="21"/>
                <w:vertAlign w:val="subscript"/>
                <w:lang w:val="zh-CN"/>
              </w:rPr>
              <w:t>o</w:t>
            </w:r>
            <w:r>
              <w:rPr>
                <w:sz w:val="21"/>
                <w:szCs w:val="21"/>
                <w:lang w:val="zh-CN"/>
              </w:rPr>
              <w:t>(mm/m)</w:t>
            </w:r>
          </w:p>
        </w:tc>
        <w:tc>
          <w:tcPr>
            <w:tcW w:w="78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主要影响半径</w:t>
            </w:r>
            <w:r>
              <w:rPr>
                <w:sz w:val="21"/>
                <w:szCs w:val="21"/>
                <w:lang w:val="zh-CN"/>
              </w:rPr>
              <w:t>r</w:t>
            </w:r>
            <w:r>
              <w:rPr>
                <w:sz w:val="21"/>
                <w:szCs w:val="21"/>
                <w:lang w:val="zh-CN"/>
              </w:rPr>
              <w:t>（</w:t>
            </w:r>
            <w:r>
              <w:rPr>
                <w:sz w:val="21"/>
                <w:szCs w:val="21"/>
                <w:lang w:val="zh-CN"/>
              </w:rPr>
              <w:t>m</w:t>
            </w:r>
            <w:r>
              <w:rPr>
                <w:sz w:val="21"/>
                <w:szCs w:val="21"/>
                <w:lang w:val="zh-CN"/>
              </w:rPr>
              <w:t>）</w:t>
            </w:r>
          </w:p>
        </w:tc>
      </w:tr>
      <w:tr w:rsidR="00240BCE">
        <w:trPr>
          <w:jc w:val="center"/>
        </w:trPr>
        <w:tc>
          <w:tcPr>
            <w:tcW w:w="613"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首采区</w:t>
            </w:r>
          </w:p>
          <w:p w:rsidR="00240BCE" w:rsidRDefault="00AC0334">
            <w:pPr>
              <w:autoSpaceDE w:val="0"/>
              <w:autoSpaceDN w:val="0"/>
              <w:adjustRightInd w:val="0"/>
              <w:spacing w:line="360" w:lineRule="exact"/>
              <w:jc w:val="center"/>
              <w:rPr>
                <w:sz w:val="21"/>
                <w:szCs w:val="21"/>
              </w:rPr>
            </w:pPr>
            <w:r>
              <w:rPr>
                <w:sz w:val="21"/>
                <w:szCs w:val="21"/>
                <w:lang w:val="zh-CN"/>
              </w:rPr>
              <w:t>（</w:t>
            </w:r>
            <w:r>
              <w:rPr>
                <w:sz w:val="21"/>
                <w:szCs w:val="21"/>
                <w:lang w:val="zh-CN"/>
              </w:rPr>
              <w:t>21</w:t>
            </w:r>
            <w:r>
              <w:rPr>
                <w:sz w:val="21"/>
                <w:szCs w:val="21"/>
                <w:lang w:val="zh-CN"/>
              </w:rPr>
              <w:t>采区）</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2007.52</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22.31</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0.38</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602.26</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10.17</w:t>
            </w:r>
          </w:p>
        </w:tc>
        <w:tc>
          <w:tcPr>
            <w:tcW w:w="78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90</w:t>
            </w:r>
            <w:r>
              <w:rPr>
                <w:sz w:val="21"/>
                <w:szCs w:val="21"/>
              </w:rPr>
              <w:t>～</w:t>
            </w:r>
            <w:r>
              <w:rPr>
                <w:sz w:val="21"/>
                <w:szCs w:val="21"/>
              </w:rPr>
              <w:t>185.2</w:t>
            </w:r>
          </w:p>
        </w:tc>
      </w:tr>
      <w:tr w:rsidR="00240BCE">
        <w:trPr>
          <w:jc w:val="center"/>
        </w:trPr>
        <w:tc>
          <w:tcPr>
            <w:tcW w:w="613"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22</w:t>
            </w:r>
            <w:r>
              <w:rPr>
                <w:sz w:val="21"/>
                <w:szCs w:val="21"/>
                <w:lang w:val="zh-CN"/>
              </w:rPr>
              <w:t>采区</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2006.75</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10.95</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0.09</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602.26</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4.99</w:t>
            </w:r>
          </w:p>
        </w:tc>
        <w:tc>
          <w:tcPr>
            <w:tcW w:w="78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183.3</w:t>
            </w:r>
            <w:r>
              <w:rPr>
                <w:sz w:val="21"/>
                <w:szCs w:val="21"/>
              </w:rPr>
              <w:t>～</w:t>
            </w:r>
            <w:r>
              <w:rPr>
                <w:sz w:val="21"/>
                <w:szCs w:val="21"/>
              </w:rPr>
              <w:t>357.1</w:t>
            </w:r>
          </w:p>
        </w:tc>
      </w:tr>
      <w:tr w:rsidR="00240BCE">
        <w:trPr>
          <w:jc w:val="center"/>
        </w:trPr>
        <w:tc>
          <w:tcPr>
            <w:tcW w:w="613"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lang w:val="zh-CN"/>
              </w:rPr>
            </w:pPr>
            <w:r>
              <w:rPr>
                <w:sz w:val="21"/>
                <w:szCs w:val="21"/>
                <w:lang w:val="zh-CN"/>
              </w:rPr>
              <w:t>全井田</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2007.52</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22.31</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0.38</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602.26</w:t>
            </w:r>
          </w:p>
        </w:tc>
        <w:tc>
          <w:tcPr>
            <w:tcW w:w="72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10.17</w:t>
            </w:r>
          </w:p>
        </w:tc>
        <w:tc>
          <w:tcPr>
            <w:tcW w:w="781"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60" w:lineRule="exact"/>
              <w:jc w:val="center"/>
              <w:rPr>
                <w:sz w:val="21"/>
                <w:szCs w:val="21"/>
              </w:rPr>
            </w:pPr>
            <w:r>
              <w:rPr>
                <w:sz w:val="21"/>
                <w:szCs w:val="21"/>
              </w:rPr>
              <w:t>90</w:t>
            </w:r>
            <w:r>
              <w:rPr>
                <w:sz w:val="21"/>
                <w:szCs w:val="21"/>
              </w:rPr>
              <w:t>～</w:t>
            </w:r>
            <w:r>
              <w:rPr>
                <w:sz w:val="21"/>
                <w:szCs w:val="21"/>
              </w:rPr>
              <w:t>357.1</w:t>
            </w:r>
          </w:p>
        </w:tc>
      </w:tr>
      <w:tr w:rsidR="00240BCE" w:rsidTr="004863C5">
        <w:trPr>
          <w:trHeight w:val="626"/>
          <w:jc w:val="center"/>
        </w:trPr>
        <w:tc>
          <w:tcPr>
            <w:tcW w:w="613" w:type="pct"/>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20" w:lineRule="exact"/>
              <w:jc w:val="center"/>
              <w:rPr>
                <w:sz w:val="21"/>
                <w:szCs w:val="21"/>
                <w:lang w:val="zh-CN"/>
              </w:rPr>
            </w:pPr>
            <w:r>
              <w:rPr>
                <w:sz w:val="21"/>
                <w:szCs w:val="21"/>
                <w:lang w:val="zh-CN"/>
              </w:rPr>
              <w:t>备注</w:t>
            </w:r>
          </w:p>
        </w:tc>
        <w:tc>
          <w:tcPr>
            <w:tcW w:w="4387" w:type="pct"/>
            <w:gridSpan w:val="6"/>
            <w:tcBorders>
              <w:top w:val="single" w:sz="6" w:space="0" w:color="auto"/>
              <w:left w:val="single" w:sz="6" w:space="0" w:color="auto"/>
              <w:bottom w:val="single" w:sz="6" w:space="0" w:color="auto"/>
              <w:right w:val="single" w:sz="6" w:space="0" w:color="auto"/>
            </w:tcBorders>
            <w:vAlign w:val="center"/>
          </w:tcPr>
          <w:p w:rsidR="00240BCE" w:rsidRDefault="00AC0334">
            <w:pPr>
              <w:autoSpaceDE w:val="0"/>
              <w:autoSpaceDN w:val="0"/>
              <w:adjustRightInd w:val="0"/>
              <w:spacing w:line="320" w:lineRule="exact"/>
              <w:jc w:val="center"/>
              <w:rPr>
                <w:sz w:val="21"/>
                <w:szCs w:val="21"/>
              </w:rPr>
            </w:pPr>
            <w:r>
              <w:rPr>
                <w:sz w:val="21"/>
                <w:szCs w:val="21"/>
              </w:rPr>
              <w:t>全井田包括首采区</w:t>
            </w:r>
            <w:r>
              <w:rPr>
                <w:sz w:val="21"/>
                <w:szCs w:val="21"/>
              </w:rPr>
              <w:t>21</w:t>
            </w:r>
            <w:r>
              <w:rPr>
                <w:sz w:val="21"/>
                <w:szCs w:val="21"/>
              </w:rPr>
              <w:t>采区和接替采区</w:t>
            </w:r>
            <w:r>
              <w:rPr>
                <w:sz w:val="21"/>
                <w:szCs w:val="21"/>
              </w:rPr>
              <w:t>22</w:t>
            </w:r>
            <w:r>
              <w:rPr>
                <w:sz w:val="21"/>
                <w:szCs w:val="21"/>
              </w:rPr>
              <w:t>采区。</w:t>
            </w:r>
          </w:p>
        </w:tc>
      </w:tr>
    </w:tbl>
    <w:p w:rsidR="00240BCE" w:rsidRDefault="00AC0334">
      <w:pPr>
        <w:pStyle w:val="a1"/>
        <w:spacing w:after="0" w:line="520" w:lineRule="exact"/>
        <w:ind w:firstLineChars="200" w:firstLine="480"/>
        <w:rPr>
          <w:sz w:val="24"/>
          <w:lang w:val="zh-CN"/>
        </w:rPr>
      </w:pPr>
      <w:r>
        <w:rPr>
          <w:sz w:val="24"/>
        </w:rPr>
        <w:t>由表</w:t>
      </w:r>
      <w:r>
        <w:rPr>
          <w:sz w:val="24"/>
        </w:rPr>
        <w:t>5.3-3</w:t>
      </w:r>
      <w:r>
        <w:rPr>
          <w:sz w:val="24"/>
        </w:rPr>
        <w:t>、附图</w:t>
      </w:r>
      <w:r>
        <w:rPr>
          <w:sz w:val="24"/>
        </w:rPr>
        <w:t>9</w:t>
      </w:r>
      <w:r>
        <w:rPr>
          <w:sz w:val="24"/>
        </w:rPr>
        <w:t>可知，全井田</w:t>
      </w:r>
      <w:r>
        <w:rPr>
          <w:sz w:val="24"/>
          <w:lang w:val="zh-CN"/>
        </w:rPr>
        <w:t>二</w:t>
      </w:r>
      <w:r>
        <w:rPr>
          <w:sz w:val="24"/>
          <w:lang w:val="zh-CN"/>
        </w:rPr>
        <w:t>1</w:t>
      </w:r>
      <w:r>
        <w:rPr>
          <w:sz w:val="24"/>
          <w:lang w:val="zh-CN"/>
        </w:rPr>
        <w:t>煤煤层</w:t>
      </w:r>
      <w:r>
        <w:rPr>
          <w:sz w:val="24"/>
        </w:rPr>
        <w:t>开采完毕后形成的地表最大下沉值为</w:t>
      </w:r>
      <w:r>
        <w:rPr>
          <w:sz w:val="24"/>
        </w:rPr>
        <w:t>2007.52mm</w:t>
      </w:r>
      <w:r>
        <w:rPr>
          <w:sz w:val="24"/>
        </w:rPr>
        <w:t>，最大倾斜值为</w:t>
      </w:r>
      <w:r>
        <w:rPr>
          <w:sz w:val="24"/>
        </w:rPr>
        <w:t>22.31mm/m</w:t>
      </w:r>
      <w:r>
        <w:rPr>
          <w:sz w:val="24"/>
        </w:rPr>
        <w:t>，最大曲率变形值为</w:t>
      </w:r>
      <w:r>
        <w:rPr>
          <w:sz w:val="24"/>
        </w:rPr>
        <w:t xml:space="preserve"> 0.38×10</w:t>
      </w:r>
      <w:r>
        <w:rPr>
          <w:sz w:val="24"/>
          <w:vertAlign w:val="superscript"/>
        </w:rPr>
        <w:t>-3</w:t>
      </w:r>
      <w:r>
        <w:rPr>
          <w:sz w:val="24"/>
        </w:rPr>
        <w:t>/m</w:t>
      </w:r>
      <w:r>
        <w:rPr>
          <w:sz w:val="24"/>
        </w:rPr>
        <w:t>，最大水平变形值为</w:t>
      </w:r>
      <w:r>
        <w:rPr>
          <w:sz w:val="24"/>
        </w:rPr>
        <w:t>10.17mm/m</w:t>
      </w:r>
      <w:r>
        <w:rPr>
          <w:sz w:val="24"/>
        </w:rPr>
        <w:t>，且地表变形最大值随着开采深度的增加而逐渐减小，主要影响半径随着开采深度的增加而逐渐扩大。</w:t>
      </w:r>
      <w:r>
        <w:rPr>
          <w:sz w:val="24"/>
          <w:lang w:val="zh-CN"/>
        </w:rPr>
        <w:t>全井田地表沉陷面积为</w:t>
      </w:r>
      <w:r>
        <w:rPr>
          <w:sz w:val="24"/>
          <w:lang w:val="zh-CN"/>
        </w:rPr>
        <w:t>2.35km</w:t>
      </w:r>
      <w:r>
        <w:rPr>
          <w:sz w:val="24"/>
          <w:vertAlign w:val="superscript"/>
          <w:lang w:val="zh-CN"/>
        </w:rPr>
        <w:t>2</w:t>
      </w:r>
      <w:r>
        <w:rPr>
          <w:sz w:val="24"/>
          <w:lang w:val="zh-CN"/>
        </w:rPr>
        <w:t>。</w:t>
      </w:r>
    </w:p>
    <w:p w:rsidR="00240BCE" w:rsidRDefault="00AC0334">
      <w:pPr>
        <w:pStyle w:val="a1"/>
        <w:spacing w:after="0" w:line="520" w:lineRule="exact"/>
        <w:ind w:firstLineChars="200" w:firstLine="480"/>
        <w:rPr>
          <w:sz w:val="24"/>
        </w:rPr>
      </w:pPr>
      <w:r>
        <w:rPr>
          <w:sz w:val="24"/>
        </w:rPr>
        <w:t>3</w:t>
      </w:r>
      <w:r>
        <w:rPr>
          <w:sz w:val="24"/>
        </w:rPr>
        <w:t>、</w:t>
      </w:r>
      <w:r>
        <w:rPr>
          <w:sz w:val="24"/>
        </w:rPr>
        <w:t xml:space="preserve"> </w:t>
      </w:r>
      <w:r>
        <w:rPr>
          <w:sz w:val="24"/>
        </w:rPr>
        <w:t>地表移动变形时间</w:t>
      </w:r>
    </w:p>
    <w:p w:rsidR="00240BCE" w:rsidRDefault="00AC0334">
      <w:pPr>
        <w:spacing w:line="520" w:lineRule="exact"/>
        <w:ind w:firstLine="480"/>
        <w:rPr>
          <w:sz w:val="24"/>
        </w:rPr>
      </w:pPr>
      <w:bookmarkStart w:id="448" w:name="_Toc158524783"/>
      <w:r>
        <w:rPr>
          <w:sz w:val="24"/>
        </w:rPr>
        <w:t>井下开采引起地表发生移动变形，到最终形成稳定的沉陷盆地，这一过程是渐</w:t>
      </w:r>
      <w:r>
        <w:rPr>
          <w:sz w:val="24"/>
        </w:rPr>
        <w:lastRenderedPageBreak/>
        <w:t>进而相对缓慢的，采煤工作面回采时，上覆岩层移动不会立即波及地表。地表的移动是在工作面推进一定距离后才发生的。随着采煤工作面的推进，在上覆岩层中依次形成冒落带、裂隙带、弯曲下沉带并传递到地表，使地表产生移动变形。这一过程所需的时间与采深和工作面推进速度有关，其关系可用如下经验公式表示：</w:t>
      </w:r>
    </w:p>
    <w:p w:rsidR="00240BCE" w:rsidRDefault="00AC0334" w:rsidP="009C5F33">
      <w:pPr>
        <w:spacing w:afterLines="50" w:line="520" w:lineRule="exact"/>
        <w:ind w:firstLine="482"/>
        <w:rPr>
          <w:sz w:val="24"/>
        </w:rPr>
      </w:pPr>
      <w:r w:rsidRPr="00CA16C7">
        <w:rPr>
          <w:position w:val="-28"/>
          <w:sz w:val="24"/>
        </w:rPr>
        <w:object w:dxaOrig="1719" w:dyaOrig="680">
          <v:shape id="_x0000_i1050" type="#_x0000_t75" style="width:85.5pt;height:34.5pt" o:ole="">
            <v:imagedata r:id="rId81" o:title=""/>
          </v:shape>
          <o:OLEObject Type="Embed" ProgID="Equations" ShapeID="_x0000_i1050" DrawAspect="Content" ObjectID="_1695746913" r:id="rId82"/>
        </w:object>
      </w:r>
    </w:p>
    <w:p w:rsidR="00240BCE" w:rsidRDefault="00AC0334">
      <w:pPr>
        <w:spacing w:line="520" w:lineRule="exact"/>
        <w:ind w:firstLineChars="200" w:firstLine="480"/>
        <w:rPr>
          <w:sz w:val="24"/>
        </w:rPr>
      </w:pPr>
      <w:r>
        <w:rPr>
          <w:sz w:val="24"/>
        </w:rPr>
        <w:t>式中：</w:t>
      </w:r>
      <w:r>
        <w:rPr>
          <w:sz w:val="24"/>
        </w:rPr>
        <w:t>T—</w:t>
      </w:r>
      <w:r>
        <w:rPr>
          <w:sz w:val="24"/>
        </w:rPr>
        <w:t>工作面开始回采至地表开始产生移动变形所需时间，月；</w:t>
      </w:r>
    </w:p>
    <w:p w:rsidR="00240BCE" w:rsidRDefault="00AC0334">
      <w:pPr>
        <w:spacing w:line="520" w:lineRule="exact"/>
        <w:ind w:firstLineChars="500" w:firstLine="1200"/>
        <w:rPr>
          <w:sz w:val="24"/>
        </w:rPr>
      </w:pPr>
      <w:r>
        <w:rPr>
          <w:sz w:val="24"/>
        </w:rPr>
        <w:t>H</w:t>
      </w:r>
      <w:r>
        <w:rPr>
          <w:sz w:val="24"/>
          <w:vertAlign w:val="subscript"/>
        </w:rPr>
        <w:t>0</w:t>
      </w:r>
      <w:r>
        <w:rPr>
          <w:sz w:val="24"/>
        </w:rPr>
        <w:t>—</w:t>
      </w:r>
      <w:r>
        <w:rPr>
          <w:sz w:val="24"/>
        </w:rPr>
        <w:t>工作面平均开采深度，</w:t>
      </w:r>
      <w:r>
        <w:rPr>
          <w:sz w:val="24"/>
        </w:rPr>
        <w:t>m</w:t>
      </w:r>
      <w:r>
        <w:rPr>
          <w:sz w:val="24"/>
        </w:rPr>
        <w:t>；</w:t>
      </w:r>
    </w:p>
    <w:p w:rsidR="00240BCE" w:rsidRDefault="00AC0334">
      <w:pPr>
        <w:spacing w:line="520" w:lineRule="exact"/>
        <w:ind w:firstLineChars="500" w:firstLine="1200"/>
        <w:rPr>
          <w:sz w:val="24"/>
        </w:rPr>
      </w:pPr>
      <w:r>
        <w:rPr>
          <w:sz w:val="24"/>
        </w:rPr>
        <w:t>V—</w:t>
      </w:r>
      <w:r>
        <w:rPr>
          <w:sz w:val="24"/>
        </w:rPr>
        <w:t>工作面推进速度，</w:t>
      </w:r>
      <w:r>
        <w:rPr>
          <w:sz w:val="24"/>
        </w:rPr>
        <w:t>m/a</w:t>
      </w:r>
      <w:r>
        <w:rPr>
          <w:sz w:val="24"/>
        </w:rPr>
        <w:t>。</w:t>
      </w:r>
    </w:p>
    <w:p w:rsidR="00240BCE" w:rsidRDefault="00AC0334">
      <w:pPr>
        <w:spacing w:line="520" w:lineRule="exact"/>
        <w:ind w:firstLineChars="200" w:firstLine="480"/>
        <w:rPr>
          <w:sz w:val="24"/>
        </w:rPr>
      </w:pPr>
      <w:r>
        <w:rPr>
          <w:sz w:val="24"/>
        </w:rPr>
        <w:t>首采区的开采深度为</w:t>
      </w:r>
      <w:r>
        <w:rPr>
          <w:sz w:val="24"/>
        </w:rPr>
        <w:t>189</w:t>
      </w:r>
      <w:r>
        <w:rPr>
          <w:sz w:val="24"/>
        </w:rPr>
        <w:t>～</w:t>
      </w:r>
      <w:r>
        <w:rPr>
          <w:sz w:val="24"/>
        </w:rPr>
        <w:t>390m</w:t>
      </w:r>
      <w:r>
        <w:rPr>
          <w:sz w:val="24"/>
        </w:rPr>
        <w:t>，工作面推进速度</w:t>
      </w:r>
      <w:r>
        <w:rPr>
          <w:sz w:val="24"/>
        </w:rPr>
        <w:t>300m/a</w:t>
      </w:r>
      <w:r>
        <w:rPr>
          <w:sz w:val="24"/>
        </w:rPr>
        <w:t>，经计算，地表移动变形时间见表</w:t>
      </w:r>
      <w:r>
        <w:rPr>
          <w:sz w:val="24"/>
        </w:rPr>
        <w:t>5.3-4</w:t>
      </w:r>
      <w:r>
        <w:rPr>
          <w:sz w:val="24"/>
        </w:rPr>
        <w:t>。</w:t>
      </w:r>
    </w:p>
    <w:p w:rsidR="00240BCE" w:rsidRDefault="00AC0334">
      <w:pPr>
        <w:spacing w:line="420" w:lineRule="exact"/>
        <w:jc w:val="center"/>
        <w:rPr>
          <w:rFonts w:eastAsia="黑体"/>
          <w:bCs/>
          <w:sz w:val="24"/>
        </w:rPr>
      </w:pPr>
      <w:r>
        <w:rPr>
          <w:rFonts w:eastAsia="黑体"/>
          <w:bCs/>
          <w:sz w:val="24"/>
        </w:rPr>
        <w:t>表</w:t>
      </w:r>
      <w:r>
        <w:rPr>
          <w:rFonts w:eastAsia="黑体"/>
          <w:bCs/>
          <w:sz w:val="24"/>
        </w:rPr>
        <w:t xml:space="preserve">5.3-4   </w:t>
      </w:r>
      <w:r>
        <w:rPr>
          <w:rFonts w:eastAsia="黑体"/>
          <w:bCs/>
          <w:sz w:val="24"/>
        </w:rPr>
        <w:t>地表开始移动变形时间预计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9"/>
        <w:gridCol w:w="1598"/>
        <w:gridCol w:w="1600"/>
        <w:gridCol w:w="1598"/>
        <w:gridCol w:w="1601"/>
      </w:tblGrid>
      <w:tr w:rsidR="00240BCE">
        <w:trPr>
          <w:cantSplit/>
          <w:jc w:val="center"/>
        </w:trPr>
        <w:tc>
          <w:tcPr>
            <w:tcW w:w="1425" w:type="pct"/>
            <w:vAlign w:val="center"/>
          </w:tcPr>
          <w:p w:rsidR="00240BCE" w:rsidRDefault="00AC0334">
            <w:pPr>
              <w:spacing w:line="340" w:lineRule="exact"/>
              <w:jc w:val="center"/>
              <w:rPr>
                <w:sz w:val="21"/>
                <w:szCs w:val="21"/>
              </w:rPr>
            </w:pPr>
            <w:r>
              <w:rPr>
                <w:sz w:val="21"/>
                <w:szCs w:val="21"/>
              </w:rPr>
              <w:t>采区</w:t>
            </w:r>
          </w:p>
        </w:tc>
        <w:tc>
          <w:tcPr>
            <w:tcW w:w="3575" w:type="pct"/>
            <w:gridSpan w:val="4"/>
            <w:vAlign w:val="center"/>
          </w:tcPr>
          <w:p w:rsidR="00240BCE" w:rsidRDefault="00AC0334">
            <w:pPr>
              <w:spacing w:line="340" w:lineRule="exact"/>
              <w:jc w:val="center"/>
              <w:rPr>
                <w:sz w:val="21"/>
                <w:szCs w:val="21"/>
              </w:rPr>
            </w:pPr>
            <w:r>
              <w:rPr>
                <w:sz w:val="21"/>
                <w:szCs w:val="21"/>
              </w:rPr>
              <w:t>首采区</w:t>
            </w:r>
          </w:p>
        </w:tc>
      </w:tr>
      <w:tr w:rsidR="00240BCE">
        <w:trPr>
          <w:cantSplit/>
          <w:jc w:val="center"/>
        </w:trPr>
        <w:tc>
          <w:tcPr>
            <w:tcW w:w="1425" w:type="pct"/>
            <w:vAlign w:val="center"/>
          </w:tcPr>
          <w:p w:rsidR="00240BCE" w:rsidRDefault="00AC0334">
            <w:pPr>
              <w:spacing w:line="340" w:lineRule="exact"/>
              <w:jc w:val="center"/>
              <w:rPr>
                <w:sz w:val="21"/>
                <w:szCs w:val="21"/>
              </w:rPr>
            </w:pPr>
            <w:r>
              <w:rPr>
                <w:sz w:val="21"/>
                <w:szCs w:val="21"/>
              </w:rPr>
              <w:t>采深（</w:t>
            </w:r>
            <w:r>
              <w:rPr>
                <w:sz w:val="21"/>
                <w:szCs w:val="21"/>
              </w:rPr>
              <w:t>m</w:t>
            </w:r>
            <w:r>
              <w:rPr>
                <w:sz w:val="21"/>
                <w:szCs w:val="21"/>
              </w:rPr>
              <w:t>）</w:t>
            </w:r>
          </w:p>
        </w:tc>
        <w:tc>
          <w:tcPr>
            <w:tcW w:w="893" w:type="pct"/>
            <w:vAlign w:val="center"/>
          </w:tcPr>
          <w:p w:rsidR="00240BCE" w:rsidRDefault="00AC0334">
            <w:pPr>
              <w:spacing w:line="340" w:lineRule="exact"/>
              <w:jc w:val="center"/>
              <w:rPr>
                <w:sz w:val="21"/>
                <w:szCs w:val="21"/>
              </w:rPr>
            </w:pPr>
            <w:r>
              <w:rPr>
                <w:sz w:val="21"/>
                <w:szCs w:val="21"/>
              </w:rPr>
              <w:t>190</w:t>
            </w:r>
          </w:p>
        </w:tc>
        <w:tc>
          <w:tcPr>
            <w:tcW w:w="894" w:type="pct"/>
            <w:vAlign w:val="center"/>
          </w:tcPr>
          <w:p w:rsidR="00240BCE" w:rsidRDefault="00AC0334">
            <w:pPr>
              <w:spacing w:line="340" w:lineRule="exact"/>
              <w:jc w:val="center"/>
              <w:rPr>
                <w:sz w:val="21"/>
                <w:szCs w:val="21"/>
              </w:rPr>
            </w:pPr>
            <w:r>
              <w:rPr>
                <w:sz w:val="21"/>
                <w:szCs w:val="21"/>
              </w:rPr>
              <w:t>260</w:t>
            </w:r>
          </w:p>
        </w:tc>
        <w:tc>
          <w:tcPr>
            <w:tcW w:w="893" w:type="pct"/>
            <w:vAlign w:val="center"/>
          </w:tcPr>
          <w:p w:rsidR="00240BCE" w:rsidRDefault="00AC0334">
            <w:pPr>
              <w:spacing w:line="340" w:lineRule="exact"/>
              <w:jc w:val="center"/>
              <w:rPr>
                <w:sz w:val="21"/>
                <w:szCs w:val="21"/>
              </w:rPr>
            </w:pPr>
            <w:r>
              <w:rPr>
                <w:sz w:val="21"/>
                <w:szCs w:val="21"/>
              </w:rPr>
              <w:t>330</w:t>
            </w:r>
          </w:p>
        </w:tc>
        <w:tc>
          <w:tcPr>
            <w:tcW w:w="894" w:type="pct"/>
            <w:vAlign w:val="center"/>
          </w:tcPr>
          <w:p w:rsidR="00240BCE" w:rsidRDefault="00AC0334">
            <w:pPr>
              <w:spacing w:line="340" w:lineRule="exact"/>
              <w:jc w:val="center"/>
              <w:rPr>
                <w:sz w:val="21"/>
                <w:szCs w:val="21"/>
              </w:rPr>
            </w:pPr>
            <w:r>
              <w:rPr>
                <w:sz w:val="21"/>
                <w:szCs w:val="21"/>
              </w:rPr>
              <w:t>390</w:t>
            </w:r>
          </w:p>
        </w:tc>
      </w:tr>
      <w:tr w:rsidR="00240BCE">
        <w:trPr>
          <w:cantSplit/>
          <w:jc w:val="center"/>
        </w:trPr>
        <w:tc>
          <w:tcPr>
            <w:tcW w:w="1425" w:type="pct"/>
            <w:vAlign w:val="center"/>
          </w:tcPr>
          <w:p w:rsidR="00240BCE" w:rsidRDefault="00AC0334">
            <w:pPr>
              <w:spacing w:line="340" w:lineRule="exact"/>
              <w:jc w:val="center"/>
              <w:rPr>
                <w:sz w:val="21"/>
                <w:szCs w:val="21"/>
              </w:rPr>
            </w:pPr>
            <w:r>
              <w:rPr>
                <w:sz w:val="21"/>
                <w:szCs w:val="21"/>
              </w:rPr>
              <w:t>最早开始时间（月）</w:t>
            </w:r>
          </w:p>
        </w:tc>
        <w:tc>
          <w:tcPr>
            <w:tcW w:w="893" w:type="pct"/>
            <w:vAlign w:val="center"/>
          </w:tcPr>
          <w:p w:rsidR="00240BCE" w:rsidRDefault="00AC0334">
            <w:pPr>
              <w:spacing w:line="340" w:lineRule="exact"/>
              <w:jc w:val="center"/>
              <w:rPr>
                <w:sz w:val="21"/>
                <w:szCs w:val="21"/>
              </w:rPr>
            </w:pPr>
            <w:r>
              <w:rPr>
                <w:sz w:val="21"/>
                <w:szCs w:val="21"/>
              </w:rPr>
              <w:t>0.95</w:t>
            </w:r>
          </w:p>
        </w:tc>
        <w:tc>
          <w:tcPr>
            <w:tcW w:w="894" w:type="pct"/>
            <w:vAlign w:val="center"/>
          </w:tcPr>
          <w:p w:rsidR="00240BCE" w:rsidRDefault="00AC0334">
            <w:pPr>
              <w:spacing w:line="340" w:lineRule="exact"/>
              <w:jc w:val="center"/>
              <w:rPr>
                <w:sz w:val="21"/>
                <w:szCs w:val="21"/>
              </w:rPr>
            </w:pPr>
            <w:r>
              <w:rPr>
                <w:sz w:val="21"/>
                <w:szCs w:val="21"/>
              </w:rPr>
              <w:t>1.3</w:t>
            </w:r>
          </w:p>
        </w:tc>
        <w:tc>
          <w:tcPr>
            <w:tcW w:w="893" w:type="pct"/>
            <w:vAlign w:val="center"/>
          </w:tcPr>
          <w:p w:rsidR="00240BCE" w:rsidRDefault="00AC0334">
            <w:pPr>
              <w:spacing w:line="340" w:lineRule="exact"/>
              <w:jc w:val="center"/>
              <w:rPr>
                <w:sz w:val="21"/>
                <w:szCs w:val="21"/>
              </w:rPr>
            </w:pPr>
            <w:r>
              <w:rPr>
                <w:sz w:val="21"/>
                <w:szCs w:val="21"/>
              </w:rPr>
              <w:t>1.65</w:t>
            </w:r>
          </w:p>
        </w:tc>
        <w:tc>
          <w:tcPr>
            <w:tcW w:w="894" w:type="pct"/>
            <w:vAlign w:val="center"/>
          </w:tcPr>
          <w:p w:rsidR="00240BCE" w:rsidRDefault="00AC0334">
            <w:pPr>
              <w:spacing w:line="340" w:lineRule="exact"/>
              <w:jc w:val="center"/>
              <w:rPr>
                <w:sz w:val="21"/>
                <w:szCs w:val="21"/>
              </w:rPr>
            </w:pPr>
            <w:r>
              <w:rPr>
                <w:sz w:val="21"/>
                <w:szCs w:val="21"/>
              </w:rPr>
              <w:t>1.95</w:t>
            </w:r>
          </w:p>
        </w:tc>
      </w:tr>
      <w:tr w:rsidR="00240BCE">
        <w:trPr>
          <w:cantSplit/>
          <w:jc w:val="center"/>
        </w:trPr>
        <w:tc>
          <w:tcPr>
            <w:tcW w:w="1425" w:type="pct"/>
            <w:vAlign w:val="center"/>
          </w:tcPr>
          <w:p w:rsidR="00240BCE" w:rsidRDefault="00AC0334">
            <w:pPr>
              <w:spacing w:line="340" w:lineRule="exact"/>
              <w:jc w:val="center"/>
              <w:rPr>
                <w:sz w:val="21"/>
                <w:szCs w:val="21"/>
              </w:rPr>
            </w:pPr>
            <w:r>
              <w:rPr>
                <w:sz w:val="21"/>
                <w:szCs w:val="21"/>
              </w:rPr>
              <w:t>最晚开始时间（月）</w:t>
            </w:r>
          </w:p>
        </w:tc>
        <w:tc>
          <w:tcPr>
            <w:tcW w:w="893" w:type="pct"/>
            <w:vAlign w:val="center"/>
          </w:tcPr>
          <w:p w:rsidR="00240BCE" w:rsidRDefault="00AC0334">
            <w:pPr>
              <w:spacing w:line="340" w:lineRule="exact"/>
              <w:jc w:val="center"/>
              <w:rPr>
                <w:sz w:val="21"/>
                <w:szCs w:val="21"/>
              </w:rPr>
            </w:pPr>
            <w:r>
              <w:rPr>
                <w:sz w:val="21"/>
                <w:szCs w:val="21"/>
              </w:rPr>
              <w:t>3.8</w:t>
            </w:r>
          </w:p>
        </w:tc>
        <w:tc>
          <w:tcPr>
            <w:tcW w:w="894" w:type="pct"/>
            <w:vAlign w:val="center"/>
          </w:tcPr>
          <w:p w:rsidR="00240BCE" w:rsidRDefault="00AC0334">
            <w:pPr>
              <w:spacing w:line="340" w:lineRule="exact"/>
              <w:jc w:val="center"/>
              <w:rPr>
                <w:sz w:val="21"/>
                <w:szCs w:val="21"/>
              </w:rPr>
            </w:pPr>
            <w:r>
              <w:rPr>
                <w:sz w:val="21"/>
                <w:szCs w:val="21"/>
              </w:rPr>
              <w:t>5.2</w:t>
            </w:r>
          </w:p>
        </w:tc>
        <w:tc>
          <w:tcPr>
            <w:tcW w:w="893" w:type="pct"/>
            <w:vAlign w:val="center"/>
          </w:tcPr>
          <w:p w:rsidR="00240BCE" w:rsidRDefault="00AC0334">
            <w:pPr>
              <w:spacing w:line="340" w:lineRule="exact"/>
              <w:jc w:val="center"/>
              <w:rPr>
                <w:sz w:val="21"/>
                <w:szCs w:val="21"/>
              </w:rPr>
            </w:pPr>
            <w:r>
              <w:rPr>
                <w:sz w:val="21"/>
                <w:szCs w:val="21"/>
              </w:rPr>
              <w:t>6.6</w:t>
            </w:r>
          </w:p>
        </w:tc>
        <w:tc>
          <w:tcPr>
            <w:tcW w:w="894" w:type="pct"/>
            <w:vAlign w:val="center"/>
          </w:tcPr>
          <w:p w:rsidR="00240BCE" w:rsidRDefault="00AC0334">
            <w:pPr>
              <w:spacing w:line="340" w:lineRule="exact"/>
              <w:jc w:val="center"/>
              <w:rPr>
                <w:sz w:val="21"/>
                <w:szCs w:val="21"/>
              </w:rPr>
            </w:pPr>
            <w:r>
              <w:rPr>
                <w:sz w:val="21"/>
                <w:szCs w:val="21"/>
              </w:rPr>
              <w:t>7.8</w:t>
            </w: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449" w:name="_Toc79668689"/>
      <w:r>
        <w:rPr>
          <w:rFonts w:eastAsia="楷体"/>
          <w:sz w:val="28"/>
          <w:szCs w:val="28"/>
        </w:rPr>
        <w:t xml:space="preserve">5.3.5 </w:t>
      </w:r>
      <w:r>
        <w:rPr>
          <w:rFonts w:eastAsia="楷体"/>
          <w:sz w:val="28"/>
          <w:szCs w:val="28"/>
        </w:rPr>
        <w:t>地表沉陷影响评价</w:t>
      </w:r>
      <w:bookmarkEnd w:id="448"/>
      <w:bookmarkEnd w:id="449"/>
    </w:p>
    <w:p w:rsidR="00240BCE" w:rsidRDefault="00AC0334">
      <w:pPr>
        <w:spacing w:line="520" w:lineRule="exact"/>
        <w:rPr>
          <w:sz w:val="24"/>
        </w:rPr>
      </w:pPr>
      <w:bookmarkStart w:id="450" w:name="_Toc156386477"/>
      <w:bookmarkStart w:id="451" w:name="_Toc157574153"/>
      <w:bookmarkStart w:id="452" w:name="_Toc158524785"/>
      <w:bookmarkStart w:id="453" w:name="_Toc163749262"/>
      <w:bookmarkStart w:id="454" w:name="_Toc164245957"/>
      <w:bookmarkStart w:id="455" w:name="_Toc166899940"/>
      <w:bookmarkStart w:id="456" w:name="_Toc168978546"/>
      <w:bookmarkStart w:id="457" w:name="_Toc169520049"/>
      <w:r>
        <w:rPr>
          <w:sz w:val="24"/>
        </w:rPr>
        <w:t>5.3.5.1</w:t>
      </w:r>
      <w:r>
        <w:rPr>
          <w:sz w:val="24"/>
        </w:rPr>
        <w:t>地表沉陷对地表形态、地形地貌影响分析</w:t>
      </w:r>
      <w:bookmarkEnd w:id="450"/>
      <w:bookmarkEnd w:id="451"/>
      <w:bookmarkEnd w:id="452"/>
      <w:bookmarkEnd w:id="453"/>
      <w:bookmarkEnd w:id="454"/>
      <w:bookmarkEnd w:id="455"/>
      <w:bookmarkEnd w:id="456"/>
      <w:bookmarkEnd w:id="457"/>
    </w:p>
    <w:p w:rsidR="00240BCE" w:rsidRDefault="00AC0334">
      <w:pPr>
        <w:spacing w:line="520" w:lineRule="exact"/>
        <w:ind w:firstLine="482"/>
        <w:rPr>
          <w:sz w:val="24"/>
        </w:rPr>
      </w:pPr>
      <w:r>
        <w:rPr>
          <w:sz w:val="24"/>
        </w:rPr>
        <w:t>井田地处低山丘陵区，</w:t>
      </w:r>
      <w:r>
        <w:rPr>
          <w:bCs/>
          <w:sz w:val="24"/>
        </w:rPr>
        <w:t>总体地势为北西、南东高，中间低，最高点位于井田范围</w:t>
      </w:r>
      <w:r>
        <w:rPr>
          <w:bCs/>
          <w:sz w:val="24"/>
        </w:rPr>
        <w:t>8</w:t>
      </w:r>
      <w:r>
        <w:rPr>
          <w:bCs/>
          <w:sz w:val="24"/>
        </w:rPr>
        <w:t>号拐点西，标高</w:t>
      </w:r>
      <w:r>
        <w:rPr>
          <w:bCs/>
          <w:sz w:val="24"/>
        </w:rPr>
        <w:t>+422.50m</w:t>
      </w:r>
      <w:r>
        <w:rPr>
          <w:bCs/>
          <w:sz w:val="24"/>
        </w:rPr>
        <w:t>，最低点位于本区东边界的河床中，标高</w:t>
      </w:r>
      <w:r>
        <w:rPr>
          <w:bCs/>
          <w:sz w:val="24"/>
        </w:rPr>
        <w:t>+260m</w:t>
      </w:r>
      <w:r>
        <w:rPr>
          <w:bCs/>
          <w:sz w:val="24"/>
        </w:rPr>
        <w:t>，相对高差</w:t>
      </w:r>
      <w:r>
        <w:rPr>
          <w:bCs/>
          <w:sz w:val="24"/>
        </w:rPr>
        <w:t>+162.50m</w:t>
      </w:r>
      <w:r>
        <w:rPr>
          <w:bCs/>
          <w:sz w:val="24"/>
        </w:rPr>
        <w:t>。区内除南东边界附近海拔达</w:t>
      </w:r>
      <w:r>
        <w:rPr>
          <w:bCs/>
          <w:sz w:val="24"/>
        </w:rPr>
        <w:t>400m</w:t>
      </w:r>
      <w:r>
        <w:rPr>
          <w:bCs/>
          <w:sz w:val="24"/>
        </w:rPr>
        <w:t>外，其余一般海拔</w:t>
      </w:r>
      <w:r>
        <w:rPr>
          <w:bCs/>
          <w:sz w:val="24"/>
        </w:rPr>
        <w:t>280m</w:t>
      </w:r>
      <w:r>
        <w:rPr>
          <w:bCs/>
          <w:sz w:val="24"/>
        </w:rPr>
        <w:t>左右，地势较平坦。</w:t>
      </w:r>
    </w:p>
    <w:p w:rsidR="00240BCE" w:rsidRDefault="00AC0334">
      <w:pPr>
        <w:spacing w:line="520" w:lineRule="exact"/>
        <w:ind w:firstLine="482"/>
        <w:rPr>
          <w:sz w:val="24"/>
        </w:rPr>
      </w:pPr>
      <w:r>
        <w:rPr>
          <w:sz w:val="24"/>
        </w:rPr>
        <w:t>由地表沉陷预测可知，二</w:t>
      </w:r>
      <w:r>
        <w:rPr>
          <w:sz w:val="24"/>
        </w:rPr>
        <w:t>1</w:t>
      </w:r>
      <w:r>
        <w:rPr>
          <w:sz w:val="24"/>
        </w:rPr>
        <w:t>煤层开采后，全井田最大下沉值</w:t>
      </w:r>
      <w:r>
        <w:rPr>
          <w:sz w:val="24"/>
        </w:rPr>
        <w:t>2007.52mm</w:t>
      </w:r>
      <w:r>
        <w:rPr>
          <w:sz w:val="24"/>
        </w:rPr>
        <w:t>，由此可知矿井开采对地表形态会产生一定的影响，但由于井田地处低山丘陵区，且井田整个区域都会相继下沉，因此总体上矿井开采对地表形态和地形标高会产生一定的影响，地表沉陷对井田区域总体地貌类型影响不大。</w:t>
      </w:r>
      <w:bookmarkStart w:id="458" w:name="_Toc156386478"/>
      <w:bookmarkStart w:id="459" w:name="_Toc157574154"/>
      <w:bookmarkStart w:id="460" w:name="_Toc158524786"/>
      <w:bookmarkStart w:id="461" w:name="_Toc163749263"/>
      <w:bookmarkStart w:id="462" w:name="_Toc164245958"/>
      <w:bookmarkStart w:id="463" w:name="_Toc166899941"/>
      <w:bookmarkStart w:id="464" w:name="_Toc168978547"/>
      <w:bookmarkStart w:id="465" w:name="_Toc169520050"/>
    </w:p>
    <w:p w:rsidR="00240BCE" w:rsidRDefault="00AC0334">
      <w:pPr>
        <w:spacing w:line="520" w:lineRule="exact"/>
        <w:rPr>
          <w:sz w:val="24"/>
        </w:rPr>
      </w:pPr>
      <w:r>
        <w:rPr>
          <w:sz w:val="24"/>
        </w:rPr>
        <w:t>5.3.5.2</w:t>
      </w:r>
      <w:r>
        <w:rPr>
          <w:sz w:val="24"/>
        </w:rPr>
        <w:t>地表沉陷对地面建筑物（构筑物）的影响</w:t>
      </w:r>
      <w:bookmarkStart w:id="466" w:name="_Toc156386479"/>
      <w:bookmarkStart w:id="467" w:name="_Toc157574155"/>
      <w:bookmarkStart w:id="468" w:name="_Toc158524787"/>
      <w:bookmarkStart w:id="469" w:name="_Toc163749264"/>
      <w:bookmarkStart w:id="470" w:name="_Toc164245959"/>
      <w:bookmarkStart w:id="471" w:name="_Toc166899942"/>
      <w:bookmarkStart w:id="472" w:name="_Toc168978548"/>
      <w:bookmarkStart w:id="473" w:name="_Toc169520051"/>
      <w:bookmarkEnd w:id="458"/>
      <w:bookmarkEnd w:id="459"/>
      <w:bookmarkEnd w:id="460"/>
      <w:bookmarkEnd w:id="461"/>
      <w:bookmarkEnd w:id="462"/>
      <w:bookmarkEnd w:id="463"/>
      <w:bookmarkEnd w:id="464"/>
      <w:bookmarkEnd w:id="465"/>
    </w:p>
    <w:p w:rsidR="00240BCE" w:rsidRDefault="00AC0334">
      <w:pPr>
        <w:spacing w:line="520" w:lineRule="exact"/>
        <w:ind w:firstLine="482"/>
        <w:rPr>
          <w:sz w:val="24"/>
        </w:rPr>
      </w:pPr>
      <w:r>
        <w:rPr>
          <w:sz w:val="24"/>
        </w:rPr>
        <w:lastRenderedPageBreak/>
        <w:t>1</w:t>
      </w:r>
      <w:r>
        <w:rPr>
          <w:sz w:val="24"/>
        </w:rPr>
        <w:t>、建筑物采动损害等级划分及处理原则</w:t>
      </w:r>
      <w:bookmarkStart w:id="474" w:name="_Toc156386480"/>
      <w:bookmarkStart w:id="475" w:name="_Toc157574156"/>
      <w:bookmarkStart w:id="476" w:name="_Toc158524788"/>
      <w:bookmarkStart w:id="477" w:name="_Toc163749265"/>
      <w:bookmarkStart w:id="478" w:name="_Toc164245960"/>
      <w:bookmarkStart w:id="479" w:name="_Toc166899943"/>
      <w:bookmarkStart w:id="480" w:name="_Toc168978549"/>
      <w:bookmarkStart w:id="481" w:name="_Toc169520052"/>
      <w:bookmarkEnd w:id="466"/>
      <w:bookmarkEnd w:id="467"/>
      <w:bookmarkEnd w:id="468"/>
      <w:bookmarkEnd w:id="469"/>
      <w:bookmarkEnd w:id="470"/>
      <w:bookmarkEnd w:id="471"/>
      <w:bookmarkEnd w:id="472"/>
      <w:bookmarkEnd w:id="473"/>
    </w:p>
    <w:p w:rsidR="00240BCE" w:rsidRDefault="00AC0334">
      <w:pPr>
        <w:spacing w:line="520" w:lineRule="exact"/>
        <w:ind w:firstLine="482"/>
        <w:rPr>
          <w:sz w:val="24"/>
        </w:rPr>
      </w:pPr>
      <w:r>
        <w:rPr>
          <w:sz w:val="24"/>
        </w:rPr>
        <w:t>我国《建筑物、水体、铁路及主要井巷煤柱留设与压煤开采规程》规定的砖混（石）结构的建筑物破坏（保护）等级标准见表</w:t>
      </w:r>
      <w:r>
        <w:rPr>
          <w:sz w:val="24"/>
        </w:rPr>
        <w:t>5.3-5</w:t>
      </w:r>
      <w:r>
        <w:rPr>
          <w:sz w:val="24"/>
        </w:rPr>
        <w:t>。</w:t>
      </w:r>
      <w:bookmarkEnd w:id="474"/>
      <w:bookmarkEnd w:id="475"/>
      <w:bookmarkEnd w:id="476"/>
      <w:bookmarkEnd w:id="477"/>
      <w:bookmarkEnd w:id="478"/>
      <w:bookmarkEnd w:id="479"/>
      <w:bookmarkEnd w:id="480"/>
      <w:bookmarkEnd w:id="481"/>
    </w:p>
    <w:p w:rsidR="00240BCE" w:rsidRDefault="00AC0334">
      <w:pPr>
        <w:spacing w:line="380" w:lineRule="exact"/>
        <w:jc w:val="center"/>
        <w:rPr>
          <w:rFonts w:eastAsia="黑体"/>
          <w:sz w:val="24"/>
        </w:rPr>
      </w:pPr>
      <w:r>
        <w:rPr>
          <w:rFonts w:eastAsia="黑体"/>
          <w:sz w:val="24"/>
        </w:rPr>
        <w:t>表</w:t>
      </w:r>
      <w:r>
        <w:rPr>
          <w:rFonts w:eastAsia="黑体"/>
          <w:sz w:val="24"/>
        </w:rPr>
        <w:t xml:space="preserve">5.3-5  </w:t>
      </w:r>
      <w:r>
        <w:rPr>
          <w:rFonts w:eastAsia="黑体"/>
          <w:sz w:val="24"/>
        </w:rPr>
        <w:t>砖混结构建筑物损坏等级</w:t>
      </w: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5"/>
        <w:gridCol w:w="3785"/>
        <w:gridCol w:w="1059"/>
        <w:gridCol w:w="1059"/>
        <w:gridCol w:w="825"/>
        <w:gridCol w:w="1102"/>
        <w:gridCol w:w="542"/>
      </w:tblGrid>
      <w:tr w:rsidR="00240BCE">
        <w:trPr>
          <w:cantSplit/>
          <w:trHeight w:val="362"/>
          <w:jc w:val="center"/>
        </w:trPr>
        <w:tc>
          <w:tcPr>
            <w:tcW w:w="565" w:type="dxa"/>
            <w:vMerge w:val="restart"/>
            <w:vAlign w:val="center"/>
          </w:tcPr>
          <w:p w:rsidR="00240BCE" w:rsidRDefault="00AC0334">
            <w:pPr>
              <w:spacing w:line="320" w:lineRule="exact"/>
              <w:jc w:val="center"/>
              <w:rPr>
                <w:sz w:val="21"/>
                <w:szCs w:val="21"/>
              </w:rPr>
            </w:pPr>
            <w:r>
              <w:rPr>
                <w:sz w:val="21"/>
                <w:szCs w:val="21"/>
              </w:rPr>
              <w:t>损坏等级</w:t>
            </w:r>
          </w:p>
        </w:tc>
        <w:tc>
          <w:tcPr>
            <w:tcW w:w="3785" w:type="dxa"/>
            <w:vMerge w:val="restart"/>
            <w:vAlign w:val="center"/>
          </w:tcPr>
          <w:p w:rsidR="00240BCE" w:rsidRDefault="00AC0334">
            <w:pPr>
              <w:spacing w:line="320" w:lineRule="exact"/>
              <w:jc w:val="center"/>
              <w:rPr>
                <w:sz w:val="21"/>
                <w:szCs w:val="21"/>
              </w:rPr>
            </w:pPr>
            <w:r>
              <w:rPr>
                <w:sz w:val="21"/>
                <w:szCs w:val="21"/>
              </w:rPr>
              <w:t>建筑物损坏程度</w:t>
            </w:r>
          </w:p>
        </w:tc>
        <w:tc>
          <w:tcPr>
            <w:tcW w:w="2943" w:type="dxa"/>
            <w:gridSpan w:val="3"/>
            <w:vAlign w:val="center"/>
          </w:tcPr>
          <w:p w:rsidR="00240BCE" w:rsidRDefault="00AC0334">
            <w:pPr>
              <w:spacing w:line="320" w:lineRule="exact"/>
              <w:jc w:val="center"/>
              <w:rPr>
                <w:sz w:val="21"/>
                <w:szCs w:val="21"/>
              </w:rPr>
            </w:pPr>
            <w:r>
              <w:rPr>
                <w:sz w:val="21"/>
                <w:szCs w:val="21"/>
              </w:rPr>
              <w:t>地表变形值</w:t>
            </w:r>
          </w:p>
        </w:tc>
        <w:tc>
          <w:tcPr>
            <w:tcW w:w="1102" w:type="dxa"/>
            <w:vMerge w:val="restart"/>
            <w:vAlign w:val="center"/>
          </w:tcPr>
          <w:p w:rsidR="00240BCE" w:rsidRDefault="00AC0334">
            <w:pPr>
              <w:spacing w:line="320" w:lineRule="exact"/>
              <w:jc w:val="center"/>
              <w:rPr>
                <w:sz w:val="21"/>
                <w:szCs w:val="21"/>
              </w:rPr>
            </w:pPr>
            <w:r>
              <w:rPr>
                <w:sz w:val="21"/>
                <w:szCs w:val="21"/>
              </w:rPr>
              <w:t>损坏分类</w:t>
            </w:r>
          </w:p>
        </w:tc>
        <w:tc>
          <w:tcPr>
            <w:tcW w:w="542" w:type="dxa"/>
            <w:vMerge w:val="restart"/>
            <w:vAlign w:val="center"/>
          </w:tcPr>
          <w:p w:rsidR="00240BCE" w:rsidRDefault="00AC0334">
            <w:pPr>
              <w:spacing w:line="320" w:lineRule="exact"/>
              <w:jc w:val="center"/>
              <w:rPr>
                <w:sz w:val="21"/>
                <w:szCs w:val="21"/>
              </w:rPr>
            </w:pPr>
            <w:r>
              <w:rPr>
                <w:sz w:val="21"/>
                <w:szCs w:val="21"/>
              </w:rPr>
              <w:t>结构处理</w:t>
            </w:r>
          </w:p>
        </w:tc>
      </w:tr>
      <w:tr w:rsidR="00240BCE">
        <w:trPr>
          <w:cantSplit/>
          <w:trHeight w:val="714"/>
          <w:jc w:val="center"/>
        </w:trPr>
        <w:tc>
          <w:tcPr>
            <w:tcW w:w="565" w:type="dxa"/>
            <w:vMerge/>
            <w:vAlign w:val="center"/>
          </w:tcPr>
          <w:p w:rsidR="00240BCE" w:rsidRDefault="00240BCE">
            <w:pPr>
              <w:spacing w:line="320" w:lineRule="exact"/>
              <w:jc w:val="center"/>
              <w:rPr>
                <w:sz w:val="21"/>
                <w:szCs w:val="21"/>
              </w:rPr>
            </w:pPr>
          </w:p>
        </w:tc>
        <w:tc>
          <w:tcPr>
            <w:tcW w:w="3785" w:type="dxa"/>
            <w:vMerge/>
            <w:vAlign w:val="center"/>
          </w:tcPr>
          <w:p w:rsidR="00240BCE" w:rsidRDefault="00240BCE">
            <w:pPr>
              <w:spacing w:line="320" w:lineRule="exact"/>
              <w:rPr>
                <w:sz w:val="21"/>
                <w:szCs w:val="21"/>
              </w:rPr>
            </w:pPr>
          </w:p>
        </w:tc>
        <w:tc>
          <w:tcPr>
            <w:tcW w:w="1059" w:type="dxa"/>
            <w:vAlign w:val="center"/>
          </w:tcPr>
          <w:p w:rsidR="00240BCE" w:rsidRDefault="00AC0334">
            <w:pPr>
              <w:spacing w:line="320" w:lineRule="exact"/>
              <w:jc w:val="center"/>
              <w:rPr>
                <w:sz w:val="21"/>
                <w:szCs w:val="21"/>
              </w:rPr>
            </w:pPr>
            <w:r>
              <w:rPr>
                <w:sz w:val="21"/>
                <w:szCs w:val="21"/>
              </w:rPr>
              <w:t>水平变形</w:t>
            </w:r>
            <w:r>
              <w:rPr>
                <w:sz w:val="21"/>
                <w:szCs w:val="21"/>
              </w:rPr>
              <w:t>E(mm/m</w:t>
            </w:r>
            <w:r>
              <w:rPr>
                <w:sz w:val="21"/>
                <w:szCs w:val="21"/>
              </w:rPr>
              <w:t>）</w:t>
            </w:r>
          </w:p>
        </w:tc>
        <w:tc>
          <w:tcPr>
            <w:tcW w:w="1059" w:type="dxa"/>
            <w:vAlign w:val="center"/>
          </w:tcPr>
          <w:p w:rsidR="00240BCE" w:rsidRDefault="00AC0334">
            <w:pPr>
              <w:spacing w:line="320" w:lineRule="exact"/>
              <w:jc w:val="center"/>
              <w:rPr>
                <w:sz w:val="21"/>
                <w:szCs w:val="21"/>
              </w:rPr>
            </w:pPr>
            <w:r>
              <w:rPr>
                <w:sz w:val="21"/>
                <w:szCs w:val="21"/>
              </w:rPr>
              <w:t>曲率</w:t>
            </w:r>
            <w:r>
              <w:rPr>
                <w:sz w:val="21"/>
                <w:szCs w:val="21"/>
              </w:rPr>
              <w:t>K</w:t>
            </w:r>
          </w:p>
          <w:p w:rsidR="00240BCE" w:rsidRDefault="00AC0334">
            <w:pPr>
              <w:spacing w:line="320" w:lineRule="exact"/>
              <w:jc w:val="center"/>
              <w:rPr>
                <w:sz w:val="21"/>
                <w:szCs w:val="21"/>
              </w:rPr>
            </w:pPr>
            <w:r>
              <w:rPr>
                <w:sz w:val="21"/>
                <w:szCs w:val="21"/>
              </w:rPr>
              <w:t>(10</w:t>
            </w:r>
            <w:r>
              <w:rPr>
                <w:sz w:val="21"/>
                <w:szCs w:val="21"/>
                <w:vertAlign w:val="superscript"/>
              </w:rPr>
              <w:t>-3</w:t>
            </w:r>
            <w:r>
              <w:rPr>
                <w:sz w:val="21"/>
                <w:szCs w:val="21"/>
              </w:rPr>
              <w:t>/m</w:t>
            </w:r>
            <w:r>
              <w:rPr>
                <w:sz w:val="21"/>
                <w:szCs w:val="21"/>
              </w:rPr>
              <w:t>）</w:t>
            </w:r>
          </w:p>
        </w:tc>
        <w:tc>
          <w:tcPr>
            <w:tcW w:w="825" w:type="dxa"/>
            <w:vAlign w:val="center"/>
          </w:tcPr>
          <w:p w:rsidR="00240BCE" w:rsidRDefault="00AC0334">
            <w:pPr>
              <w:spacing w:line="320" w:lineRule="exact"/>
              <w:jc w:val="center"/>
              <w:rPr>
                <w:sz w:val="21"/>
                <w:szCs w:val="21"/>
              </w:rPr>
            </w:pPr>
            <w:r>
              <w:rPr>
                <w:sz w:val="21"/>
                <w:szCs w:val="21"/>
              </w:rPr>
              <w:t>倾斜</w:t>
            </w:r>
            <w:r>
              <w:rPr>
                <w:sz w:val="21"/>
                <w:szCs w:val="21"/>
              </w:rPr>
              <w:t>I</w:t>
            </w:r>
          </w:p>
          <w:p w:rsidR="00240BCE" w:rsidRDefault="00AC0334">
            <w:pPr>
              <w:spacing w:line="320" w:lineRule="exact"/>
              <w:jc w:val="center"/>
              <w:rPr>
                <w:sz w:val="21"/>
                <w:szCs w:val="21"/>
              </w:rPr>
            </w:pPr>
            <w:r>
              <w:rPr>
                <w:sz w:val="21"/>
                <w:szCs w:val="21"/>
              </w:rPr>
              <w:t>(mm/m)</w:t>
            </w:r>
          </w:p>
        </w:tc>
        <w:tc>
          <w:tcPr>
            <w:tcW w:w="1102" w:type="dxa"/>
            <w:vMerge/>
            <w:vAlign w:val="center"/>
          </w:tcPr>
          <w:p w:rsidR="00240BCE" w:rsidRDefault="00240BCE">
            <w:pPr>
              <w:spacing w:line="320" w:lineRule="exact"/>
              <w:jc w:val="center"/>
              <w:rPr>
                <w:sz w:val="21"/>
                <w:szCs w:val="21"/>
              </w:rPr>
            </w:pPr>
          </w:p>
        </w:tc>
        <w:tc>
          <w:tcPr>
            <w:tcW w:w="542" w:type="dxa"/>
            <w:vMerge/>
            <w:vAlign w:val="center"/>
          </w:tcPr>
          <w:p w:rsidR="00240BCE" w:rsidRDefault="00240BCE">
            <w:pPr>
              <w:spacing w:line="320" w:lineRule="exact"/>
              <w:jc w:val="center"/>
              <w:rPr>
                <w:sz w:val="21"/>
                <w:szCs w:val="21"/>
              </w:rPr>
            </w:pPr>
          </w:p>
        </w:tc>
      </w:tr>
      <w:tr w:rsidR="00240BCE">
        <w:trPr>
          <w:cantSplit/>
          <w:trHeight w:val="362"/>
          <w:jc w:val="center"/>
        </w:trPr>
        <w:tc>
          <w:tcPr>
            <w:tcW w:w="565" w:type="dxa"/>
            <w:vMerge w:val="restart"/>
            <w:vAlign w:val="center"/>
          </w:tcPr>
          <w:p w:rsidR="00240BCE" w:rsidRDefault="00AC0334">
            <w:pPr>
              <w:spacing w:line="320" w:lineRule="exact"/>
              <w:jc w:val="center"/>
              <w:rPr>
                <w:sz w:val="21"/>
                <w:szCs w:val="21"/>
              </w:rPr>
            </w:pPr>
            <w:r>
              <w:rPr>
                <w:sz w:val="21"/>
                <w:szCs w:val="21"/>
              </w:rPr>
              <w:t>Ⅰ</w:t>
            </w:r>
          </w:p>
        </w:tc>
        <w:tc>
          <w:tcPr>
            <w:tcW w:w="3785" w:type="dxa"/>
            <w:vAlign w:val="center"/>
          </w:tcPr>
          <w:p w:rsidR="00240BCE" w:rsidRDefault="00AC0334">
            <w:pPr>
              <w:spacing w:line="320" w:lineRule="exact"/>
              <w:rPr>
                <w:sz w:val="21"/>
                <w:szCs w:val="21"/>
              </w:rPr>
            </w:pPr>
            <w:r>
              <w:rPr>
                <w:sz w:val="21"/>
                <w:szCs w:val="21"/>
              </w:rPr>
              <w:t>自然间砖墙上出现宽度</w:t>
            </w:r>
            <w:r>
              <w:rPr>
                <w:sz w:val="21"/>
                <w:szCs w:val="21"/>
              </w:rPr>
              <w:t>1</w:t>
            </w:r>
            <w:r>
              <w:rPr>
                <w:sz w:val="21"/>
                <w:szCs w:val="21"/>
              </w:rPr>
              <w:t>～</w:t>
            </w:r>
            <w:r>
              <w:rPr>
                <w:sz w:val="21"/>
                <w:szCs w:val="21"/>
              </w:rPr>
              <w:t>2mm</w:t>
            </w:r>
            <w:r>
              <w:rPr>
                <w:sz w:val="21"/>
                <w:szCs w:val="21"/>
              </w:rPr>
              <w:t>的裂缝</w:t>
            </w:r>
          </w:p>
        </w:tc>
        <w:tc>
          <w:tcPr>
            <w:tcW w:w="1059" w:type="dxa"/>
            <w:vMerge w:val="restart"/>
            <w:vAlign w:val="center"/>
          </w:tcPr>
          <w:p w:rsidR="00240BCE" w:rsidRDefault="00AC0334">
            <w:pPr>
              <w:spacing w:line="320" w:lineRule="exact"/>
              <w:jc w:val="center"/>
              <w:rPr>
                <w:sz w:val="21"/>
                <w:szCs w:val="21"/>
              </w:rPr>
            </w:pPr>
            <w:r>
              <w:rPr>
                <w:sz w:val="21"/>
                <w:szCs w:val="21"/>
              </w:rPr>
              <w:t>≤2.0</w:t>
            </w:r>
          </w:p>
        </w:tc>
        <w:tc>
          <w:tcPr>
            <w:tcW w:w="1059" w:type="dxa"/>
            <w:vMerge w:val="restart"/>
            <w:vAlign w:val="center"/>
          </w:tcPr>
          <w:p w:rsidR="00240BCE" w:rsidRDefault="00AC0334">
            <w:pPr>
              <w:spacing w:line="320" w:lineRule="exact"/>
              <w:jc w:val="center"/>
              <w:rPr>
                <w:sz w:val="21"/>
                <w:szCs w:val="21"/>
              </w:rPr>
            </w:pPr>
            <w:r>
              <w:rPr>
                <w:sz w:val="21"/>
                <w:szCs w:val="21"/>
              </w:rPr>
              <w:t>≤0.2</w:t>
            </w:r>
          </w:p>
        </w:tc>
        <w:tc>
          <w:tcPr>
            <w:tcW w:w="825" w:type="dxa"/>
            <w:vMerge w:val="restart"/>
            <w:vAlign w:val="center"/>
          </w:tcPr>
          <w:p w:rsidR="00240BCE" w:rsidRDefault="00AC0334">
            <w:pPr>
              <w:spacing w:line="320" w:lineRule="exact"/>
              <w:jc w:val="center"/>
              <w:rPr>
                <w:sz w:val="21"/>
                <w:szCs w:val="21"/>
              </w:rPr>
            </w:pPr>
            <w:r>
              <w:rPr>
                <w:sz w:val="21"/>
                <w:szCs w:val="21"/>
              </w:rPr>
              <w:t>≤3.0</w:t>
            </w:r>
          </w:p>
        </w:tc>
        <w:tc>
          <w:tcPr>
            <w:tcW w:w="1102" w:type="dxa"/>
            <w:vAlign w:val="center"/>
          </w:tcPr>
          <w:p w:rsidR="00240BCE" w:rsidRDefault="00AC0334">
            <w:pPr>
              <w:spacing w:line="320" w:lineRule="exact"/>
              <w:jc w:val="center"/>
              <w:rPr>
                <w:sz w:val="21"/>
                <w:szCs w:val="21"/>
              </w:rPr>
            </w:pPr>
            <w:r>
              <w:rPr>
                <w:sz w:val="21"/>
                <w:szCs w:val="21"/>
              </w:rPr>
              <w:t>极轻微损坏</w:t>
            </w:r>
          </w:p>
        </w:tc>
        <w:tc>
          <w:tcPr>
            <w:tcW w:w="542" w:type="dxa"/>
            <w:vAlign w:val="center"/>
          </w:tcPr>
          <w:p w:rsidR="00240BCE" w:rsidRDefault="00AC0334">
            <w:pPr>
              <w:spacing w:line="320" w:lineRule="exact"/>
              <w:jc w:val="center"/>
              <w:rPr>
                <w:sz w:val="21"/>
                <w:szCs w:val="21"/>
              </w:rPr>
            </w:pPr>
            <w:r>
              <w:rPr>
                <w:sz w:val="21"/>
                <w:szCs w:val="21"/>
              </w:rPr>
              <w:t>不修</w:t>
            </w:r>
          </w:p>
        </w:tc>
      </w:tr>
      <w:tr w:rsidR="00240BCE">
        <w:trPr>
          <w:cantSplit/>
          <w:trHeight w:val="714"/>
          <w:jc w:val="center"/>
        </w:trPr>
        <w:tc>
          <w:tcPr>
            <w:tcW w:w="565" w:type="dxa"/>
            <w:vMerge/>
            <w:vAlign w:val="center"/>
          </w:tcPr>
          <w:p w:rsidR="00240BCE" w:rsidRDefault="00240BCE">
            <w:pPr>
              <w:spacing w:line="320" w:lineRule="exact"/>
              <w:jc w:val="center"/>
              <w:rPr>
                <w:sz w:val="21"/>
                <w:szCs w:val="21"/>
              </w:rPr>
            </w:pPr>
          </w:p>
        </w:tc>
        <w:tc>
          <w:tcPr>
            <w:tcW w:w="3785" w:type="dxa"/>
            <w:vAlign w:val="center"/>
          </w:tcPr>
          <w:p w:rsidR="00240BCE" w:rsidRDefault="00AC0334">
            <w:pPr>
              <w:spacing w:line="320" w:lineRule="exact"/>
              <w:rPr>
                <w:sz w:val="21"/>
                <w:szCs w:val="21"/>
              </w:rPr>
            </w:pPr>
            <w:r>
              <w:rPr>
                <w:sz w:val="21"/>
                <w:szCs w:val="21"/>
              </w:rPr>
              <w:t>自然间砖墙上出现宽度小于</w:t>
            </w:r>
            <w:r>
              <w:rPr>
                <w:sz w:val="21"/>
                <w:szCs w:val="21"/>
              </w:rPr>
              <w:t>4mm</w:t>
            </w:r>
            <w:r>
              <w:rPr>
                <w:sz w:val="21"/>
                <w:szCs w:val="21"/>
              </w:rPr>
              <w:t>的裂缝；多条裂缝总宽度小于</w:t>
            </w:r>
            <w:r>
              <w:rPr>
                <w:sz w:val="21"/>
                <w:szCs w:val="21"/>
              </w:rPr>
              <w:t>10mm</w:t>
            </w:r>
          </w:p>
        </w:tc>
        <w:tc>
          <w:tcPr>
            <w:tcW w:w="1059" w:type="dxa"/>
            <w:vMerge/>
            <w:vAlign w:val="center"/>
          </w:tcPr>
          <w:p w:rsidR="00240BCE" w:rsidRDefault="00240BCE">
            <w:pPr>
              <w:spacing w:line="320" w:lineRule="exact"/>
              <w:jc w:val="center"/>
              <w:rPr>
                <w:sz w:val="21"/>
                <w:szCs w:val="21"/>
              </w:rPr>
            </w:pPr>
          </w:p>
        </w:tc>
        <w:tc>
          <w:tcPr>
            <w:tcW w:w="1059" w:type="dxa"/>
            <w:vMerge/>
            <w:vAlign w:val="center"/>
          </w:tcPr>
          <w:p w:rsidR="00240BCE" w:rsidRDefault="00240BCE">
            <w:pPr>
              <w:spacing w:line="320" w:lineRule="exact"/>
              <w:jc w:val="center"/>
              <w:rPr>
                <w:sz w:val="21"/>
                <w:szCs w:val="21"/>
              </w:rPr>
            </w:pPr>
          </w:p>
        </w:tc>
        <w:tc>
          <w:tcPr>
            <w:tcW w:w="825" w:type="dxa"/>
            <w:vMerge/>
            <w:vAlign w:val="center"/>
          </w:tcPr>
          <w:p w:rsidR="00240BCE" w:rsidRDefault="00240BCE">
            <w:pPr>
              <w:spacing w:line="320" w:lineRule="exact"/>
              <w:jc w:val="center"/>
              <w:rPr>
                <w:sz w:val="21"/>
                <w:szCs w:val="21"/>
              </w:rPr>
            </w:pPr>
          </w:p>
        </w:tc>
        <w:tc>
          <w:tcPr>
            <w:tcW w:w="1102" w:type="dxa"/>
            <w:vAlign w:val="center"/>
          </w:tcPr>
          <w:p w:rsidR="00240BCE" w:rsidRDefault="00AC0334">
            <w:pPr>
              <w:spacing w:line="320" w:lineRule="exact"/>
              <w:jc w:val="center"/>
              <w:rPr>
                <w:sz w:val="21"/>
                <w:szCs w:val="21"/>
              </w:rPr>
            </w:pPr>
            <w:r>
              <w:rPr>
                <w:sz w:val="21"/>
                <w:szCs w:val="21"/>
              </w:rPr>
              <w:t>轻微损坏</w:t>
            </w:r>
          </w:p>
        </w:tc>
        <w:tc>
          <w:tcPr>
            <w:tcW w:w="542" w:type="dxa"/>
            <w:vAlign w:val="center"/>
          </w:tcPr>
          <w:p w:rsidR="00240BCE" w:rsidRDefault="00AC0334">
            <w:pPr>
              <w:spacing w:line="320" w:lineRule="exact"/>
              <w:jc w:val="center"/>
              <w:rPr>
                <w:sz w:val="21"/>
                <w:szCs w:val="21"/>
              </w:rPr>
            </w:pPr>
            <w:r>
              <w:rPr>
                <w:sz w:val="21"/>
                <w:szCs w:val="21"/>
              </w:rPr>
              <w:t>简单维修</w:t>
            </w:r>
          </w:p>
        </w:tc>
      </w:tr>
      <w:tr w:rsidR="00240BCE">
        <w:trPr>
          <w:cantSplit/>
          <w:trHeight w:val="1769"/>
          <w:jc w:val="center"/>
        </w:trPr>
        <w:tc>
          <w:tcPr>
            <w:tcW w:w="565" w:type="dxa"/>
            <w:vAlign w:val="center"/>
          </w:tcPr>
          <w:p w:rsidR="00240BCE" w:rsidRDefault="00AC0334">
            <w:pPr>
              <w:spacing w:line="320" w:lineRule="exact"/>
              <w:jc w:val="center"/>
              <w:rPr>
                <w:sz w:val="21"/>
                <w:szCs w:val="21"/>
              </w:rPr>
            </w:pPr>
            <w:r>
              <w:rPr>
                <w:sz w:val="21"/>
                <w:szCs w:val="21"/>
              </w:rPr>
              <w:t>Ⅱ</w:t>
            </w:r>
          </w:p>
        </w:tc>
        <w:tc>
          <w:tcPr>
            <w:tcW w:w="3785" w:type="dxa"/>
            <w:vAlign w:val="center"/>
          </w:tcPr>
          <w:p w:rsidR="00240BCE" w:rsidRDefault="00AC0334">
            <w:pPr>
              <w:spacing w:line="320" w:lineRule="exact"/>
              <w:rPr>
                <w:sz w:val="21"/>
                <w:szCs w:val="21"/>
              </w:rPr>
            </w:pPr>
            <w:r>
              <w:rPr>
                <w:sz w:val="21"/>
                <w:szCs w:val="21"/>
              </w:rPr>
              <w:t>自然间砖墙上出现宽度</w:t>
            </w:r>
            <w:r>
              <w:rPr>
                <w:sz w:val="21"/>
                <w:szCs w:val="21"/>
              </w:rPr>
              <w:t>15mm</w:t>
            </w:r>
            <w:r>
              <w:rPr>
                <w:sz w:val="21"/>
                <w:szCs w:val="21"/>
              </w:rPr>
              <w:t>的裂缝；多条裂缝总宽度小于</w:t>
            </w:r>
            <w:r>
              <w:rPr>
                <w:sz w:val="21"/>
                <w:szCs w:val="21"/>
              </w:rPr>
              <w:t>30mm</w:t>
            </w:r>
            <w:r>
              <w:rPr>
                <w:sz w:val="21"/>
                <w:szCs w:val="21"/>
              </w:rPr>
              <w:t>；钢筋混凝土梁柱上裂缝长度小于</w:t>
            </w:r>
            <w:r>
              <w:rPr>
                <w:sz w:val="21"/>
                <w:szCs w:val="21"/>
              </w:rPr>
              <w:t>1/3</w:t>
            </w:r>
            <w:r>
              <w:rPr>
                <w:sz w:val="21"/>
                <w:szCs w:val="21"/>
              </w:rPr>
              <w:t>截面高度；梁端抽出小于</w:t>
            </w:r>
            <w:r>
              <w:rPr>
                <w:sz w:val="21"/>
                <w:szCs w:val="21"/>
              </w:rPr>
              <w:t>20mm</w:t>
            </w:r>
            <w:r>
              <w:rPr>
                <w:sz w:val="21"/>
                <w:szCs w:val="21"/>
              </w:rPr>
              <w:t>；砖柱上出现水平裂缝；缝长大于</w:t>
            </w:r>
            <w:r>
              <w:rPr>
                <w:sz w:val="21"/>
                <w:szCs w:val="21"/>
              </w:rPr>
              <w:t>1/2</w:t>
            </w:r>
            <w:r>
              <w:rPr>
                <w:sz w:val="21"/>
                <w:szCs w:val="21"/>
              </w:rPr>
              <w:t>截面边长；门窗略有歪斜。</w:t>
            </w:r>
          </w:p>
        </w:tc>
        <w:tc>
          <w:tcPr>
            <w:tcW w:w="1059" w:type="dxa"/>
            <w:vAlign w:val="center"/>
          </w:tcPr>
          <w:p w:rsidR="00240BCE" w:rsidRDefault="00AC0334">
            <w:pPr>
              <w:spacing w:line="320" w:lineRule="exact"/>
              <w:jc w:val="center"/>
              <w:rPr>
                <w:sz w:val="21"/>
                <w:szCs w:val="21"/>
              </w:rPr>
            </w:pPr>
            <w:r>
              <w:rPr>
                <w:sz w:val="21"/>
                <w:szCs w:val="21"/>
              </w:rPr>
              <w:t>≤4.0</w:t>
            </w:r>
          </w:p>
        </w:tc>
        <w:tc>
          <w:tcPr>
            <w:tcW w:w="1059" w:type="dxa"/>
            <w:vAlign w:val="center"/>
          </w:tcPr>
          <w:p w:rsidR="00240BCE" w:rsidRDefault="00AC0334">
            <w:pPr>
              <w:spacing w:line="320" w:lineRule="exact"/>
              <w:jc w:val="center"/>
              <w:rPr>
                <w:sz w:val="21"/>
                <w:szCs w:val="21"/>
              </w:rPr>
            </w:pPr>
            <w:r>
              <w:rPr>
                <w:sz w:val="21"/>
                <w:szCs w:val="21"/>
              </w:rPr>
              <w:t>≤0.4</w:t>
            </w:r>
          </w:p>
        </w:tc>
        <w:tc>
          <w:tcPr>
            <w:tcW w:w="825" w:type="dxa"/>
            <w:vAlign w:val="center"/>
          </w:tcPr>
          <w:p w:rsidR="00240BCE" w:rsidRDefault="00AC0334">
            <w:pPr>
              <w:spacing w:line="320" w:lineRule="exact"/>
              <w:jc w:val="center"/>
              <w:rPr>
                <w:sz w:val="21"/>
                <w:szCs w:val="21"/>
              </w:rPr>
            </w:pPr>
            <w:r>
              <w:rPr>
                <w:sz w:val="21"/>
                <w:szCs w:val="21"/>
              </w:rPr>
              <w:t>≤6.0</w:t>
            </w:r>
          </w:p>
        </w:tc>
        <w:tc>
          <w:tcPr>
            <w:tcW w:w="1102" w:type="dxa"/>
            <w:vAlign w:val="center"/>
          </w:tcPr>
          <w:p w:rsidR="00240BCE" w:rsidRDefault="00AC0334">
            <w:pPr>
              <w:spacing w:line="320" w:lineRule="exact"/>
              <w:jc w:val="center"/>
              <w:rPr>
                <w:sz w:val="21"/>
                <w:szCs w:val="21"/>
              </w:rPr>
            </w:pPr>
            <w:r>
              <w:rPr>
                <w:sz w:val="21"/>
                <w:szCs w:val="21"/>
              </w:rPr>
              <w:t>轻度损坏</w:t>
            </w:r>
          </w:p>
        </w:tc>
        <w:tc>
          <w:tcPr>
            <w:tcW w:w="542" w:type="dxa"/>
            <w:vAlign w:val="center"/>
          </w:tcPr>
          <w:p w:rsidR="00240BCE" w:rsidRDefault="00AC0334">
            <w:pPr>
              <w:spacing w:line="320" w:lineRule="exact"/>
              <w:jc w:val="center"/>
              <w:rPr>
                <w:sz w:val="21"/>
                <w:szCs w:val="21"/>
              </w:rPr>
            </w:pPr>
            <w:r>
              <w:rPr>
                <w:sz w:val="21"/>
                <w:szCs w:val="21"/>
              </w:rPr>
              <w:t>小修</w:t>
            </w:r>
          </w:p>
        </w:tc>
      </w:tr>
      <w:tr w:rsidR="00240BCE">
        <w:trPr>
          <w:cantSplit/>
          <w:trHeight w:val="1769"/>
          <w:jc w:val="center"/>
        </w:trPr>
        <w:tc>
          <w:tcPr>
            <w:tcW w:w="565" w:type="dxa"/>
            <w:vAlign w:val="center"/>
          </w:tcPr>
          <w:p w:rsidR="00240BCE" w:rsidRDefault="00AC0334">
            <w:pPr>
              <w:spacing w:line="320" w:lineRule="exact"/>
              <w:jc w:val="center"/>
              <w:rPr>
                <w:sz w:val="21"/>
                <w:szCs w:val="21"/>
              </w:rPr>
            </w:pPr>
            <w:r>
              <w:rPr>
                <w:sz w:val="21"/>
                <w:szCs w:val="21"/>
              </w:rPr>
              <w:t>Ⅲ</w:t>
            </w:r>
          </w:p>
        </w:tc>
        <w:tc>
          <w:tcPr>
            <w:tcW w:w="3785" w:type="dxa"/>
            <w:vAlign w:val="center"/>
          </w:tcPr>
          <w:p w:rsidR="00240BCE" w:rsidRDefault="00AC0334">
            <w:pPr>
              <w:spacing w:line="320" w:lineRule="exact"/>
              <w:rPr>
                <w:sz w:val="21"/>
                <w:szCs w:val="21"/>
              </w:rPr>
            </w:pPr>
            <w:r>
              <w:rPr>
                <w:sz w:val="21"/>
                <w:szCs w:val="21"/>
              </w:rPr>
              <w:t>自然间砖墙上出现宽度小于</w:t>
            </w:r>
            <w:r>
              <w:rPr>
                <w:sz w:val="21"/>
                <w:szCs w:val="21"/>
              </w:rPr>
              <w:t>30mm</w:t>
            </w:r>
            <w:r>
              <w:rPr>
                <w:sz w:val="21"/>
                <w:szCs w:val="21"/>
              </w:rPr>
              <w:t>的裂缝；多条裂缝总宽度小于</w:t>
            </w:r>
            <w:r>
              <w:rPr>
                <w:sz w:val="21"/>
                <w:szCs w:val="21"/>
              </w:rPr>
              <w:t>50mm</w:t>
            </w:r>
            <w:r>
              <w:rPr>
                <w:sz w:val="21"/>
                <w:szCs w:val="21"/>
              </w:rPr>
              <w:t>；钢筋混凝土梁柱上裂缝长度小于</w:t>
            </w:r>
            <w:r>
              <w:rPr>
                <w:sz w:val="21"/>
                <w:szCs w:val="21"/>
              </w:rPr>
              <w:t>1/2</w:t>
            </w:r>
            <w:r>
              <w:rPr>
                <w:sz w:val="21"/>
                <w:szCs w:val="21"/>
              </w:rPr>
              <w:t>截面高度；梁端抽出小于</w:t>
            </w:r>
            <w:r>
              <w:rPr>
                <w:sz w:val="21"/>
                <w:szCs w:val="21"/>
              </w:rPr>
              <w:t>50mm</w:t>
            </w:r>
            <w:r>
              <w:rPr>
                <w:sz w:val="21"/>
                <w:szCs w:val="21"/>
              </w:rPr>
              <w:t>；砖柱上出现小于</w:t>
            </w:r>
            <w:r>
              <w:rPr>
                <w:sz w:val="21"/>
                <w:szCs w:val="21"/>
              </w:rPr>
              <w:t>50mm</w:t>
            </w:r>
            <w:r>
              <w:rPr>
                <w:sz w:val="21"/>
                <w:szCs w:val="21"/>
              </w:rPr>
              <w:t>的水平错动；门窗严重变形。</w:t>
            </w:r>
          </w:p>
        </w:tc>
        <w:tc>
          <w:tcPr>
            <w:tcW w:w="1059" w:type="dxa"/>
            <w:vAlign w:val="center"/>
          </w:tcPr>
          <w:p w:rsidR="00240BCE" w:rsidRDefault="00AC0334">
            <w:pPr>
              <w:spacing w:line="320" w:lineRule="exact"/>
              <w:jc w:val="center"/>
              <w:rPr>
                <w:sz w:val="21"/>
                <w:szCs w:val="21"/>
              </w:rPr>
            </w:pPr>
            <w:r>
              <w:rPr>
                <w:sz w:val="21"/>
                <w:szCs w:val="21"/>
              </w:rPr>
              <w:t>≤6.0</w:t>
            </w:r>
          </w:p>
        </w:tc>
        <w:tc>
          <w:tcPr>
            <w:tcW w:w="1059" w:type="dxa"/>
            <w:vAlign w:val="center"/>
          </w:tcPr>
          <w:p w:rsidR="00240BCE" w:rsidRDefault="00AC0334">
            <w:pPr>
              <w:spacing w:line="320" w:lineRule="exact"/>
              <w:jc w:val="center"/>
              <w:rPr>
                <w:sz w:val="21"/>
                <w:szCs w:val="21"/>
              </w:rPr>
            </w:pPr>
            <w:r>
              <w:rPr>
                <w:sz w:val="21"/>
                <w:szCs w:val="21"/>
              </w:rPr>
              <w:t>≤0.6</w:t>
            </w:r>
          </w:p>
        </w:tc>
        <w:tc>
          <w:tcPr>
            <w:tcW w:w="825" w:type="dxa"/>
            <w:vAlign w:val="center"/>
          </w:tcPr>
          <w:p w:rsidR="00240BCE" w:rsidRDefault="00AC0334">
            <w:pPr>
              <w:spacing w:line="320" w:lineRule="exact"/>
              <w:jc w:val="center"/>
              <w:rPr>
                <w:sz w:val="21"/>
                <w:szCs w:val="21"/>
              </w:rPr>
            </w:pPr>
            <w:r>
              <w:rPr>
                <w:sz w:val="21"/>
                <w:szCs w:val="21"/>
              </w:rPr>
              <w:t>≤10.0</w:t>
            </w:r>
          </w:p>
        </w:tc>
        <w:tc>
          <w:tcPr>
            <w:tcW w:w="1102" w:type="dxa"/>
            <w:vAlign w:val="center"/>
          </w:tcPr>
          <w:p w:rsidR="00240BCE" w:rsidRDefault="00AC0334">
            <w:pPr>
              <w:spacing w:line="320" w:lineRule="exact"/>
              <w:jc w:val="center"/>
              <w:rPr>
                <w:sz w:val="21"/>
                <w:szCs w:val="21"/>
              </w:rPr>
            </w:pPr>
            <w:r>
              <w:rPr>
                <w:sz w:val="21"/>
                <w:szCs w:val="21"/>
              </w:rPr>
              <w:t>中度损坏</w:t>
            </w:r>
          </w:p>
        </w:tc>
        <w:tc>
          <w:tcPr>
            <w:tcW w:w="542" w:type="dxa"/>
            <w:vAlign w:val="center"/>
          </w:tcPr>
          <w:p w:rsidR="00240BCE" w:rsidRDefault="00AC0334">
            <w:pPr>
              <w:spacing w:line="320" w:lineRule="exact"/>
              <w:jc w:val="center"/>
              <w:rPr>
                <w:sz w:val="21"/>
                <w:szCs w:val="21"/>
              </w:rPr>
            </w:pPr>
            <w:r>
              <w:rPr>
                <w:sz w:val="21"/>
                <w:szCs w:val="21"/>
              </w:rPr>
              <w:t>中修</w:t>
            </w:r>
          </w:p>
        </w:tc>
      </w:tr>
      <w:tr w:rsidR="00240BCE">
        <w:trPr>
          <w:cantSplit/>
          <w:trHeight w:val="1417"/>
          <w:jc w:val="center"/>
        </w:trPr>
        <w:tc>
          <w:tcPr>
            <w:tcW w:w="565" w:type="dxa"/>
            <w:vMerge w:val="restart"/>
            <w:vAlign w:val="center"/>
          </w:tcPr>
          <w:p w:rsidR="00240BCE" w:rsidRDefault="00AC0334">
            <w:pPr>
              <w:spacing w:line="320" w:lineRule="exact"/>
              <w:jc w:val="center"/>
              <w:rPr>
                <w:sz w:val="21"/>
                <w:szCs w:val="21"/>
              </w:rPr>
            </w:pPr>
            <w:r>
              <w:rPr>
                <w:sz w:val="21"/>
                <w:szCs w:val="21"/>
              </w:rPr>
              <w:t>Ⅳ</w:t>
            </w:r>
          </w:p>
        </w:tc>
        <w:tc>
          <w:tcPr>
            <w:tcW w:w="3785" w:type="dxa"/>
            <w:vAlign w:val="center"/>
          </w:tcPr>
          <w:p w:rsidR="00240BCE" w:rsidRDefault="00AC0334">
            <w:pPr>
              <w:spacing w:line="320" w:lineRule="exact"/>
              <w:rPr>
                <w:sz w:val="21"/>
                <w:szCs w:val="21"/>
              </w:rPr>
            </w:pPr>
            <w:r>
              <w:rPr>
                <w:sz w:val="21"/>
                <w:szCs w:val="21"/>
              </w:rPr>
              <w:t>自然间砖墙上出现宽度大于</w:t>
            </w:r>
            <w:r>
              <w:rPr>
                <w:sz w:val="21"/>
                <w:szCs w:val="21"/>
              </w:rPr>
              <w:t>30mm</w:t>
            </w:r>
            <w:r>
              <w:rPr>
                <w:sz w:val="21"/>
                <w:szCs w:val="21"/>
              </w:rPr>
              <w:t>的裂缝；多条裂缝总宽度小于</w:t>
            </w:r>
            <w:r>
              <w:rPr>
                <w:sz w:val="21"/>
                <w:szCs w:val="21"/>
              </w:rPr>
              <w:t>50mm</w:t>
            </w:r>
            <w:r>
              <w:rPr>
                <w:sz w:val="21"/>
                <w:szCs w:val="21"/>
              </w:rPr>
              <w:t>；梁端抽出小于</w:t>
            </w:r>
            <w:r>
              <w:rPr>
                <w:sz w:val="21"/>
                <w:szCs w:val="21"/>
              </w:rPr>
              <w:t>60mm</w:t>
            </w:r>
            <w:r>
              <w:rPr>
                <w:sz w:val="21"/>
                <w:szCs w:val="21"/>
              </w:rPr>
              <w:t>；砖柱上出现小于</w:t>
            </w:r>
            <w:r>
              <w:rPr>
                <w:sz w:val="21"/>
                <w:szCs w:val="21"/>
              </w:rPr>
              <w:t>25mm</w:t>
            </w:r>
            <w:r>
              <w:rPr>
                <w:sz w:val="21"/>
                <w:szCs w:val="21"/>
              </w:rPr>
              <w:t>的水平错动。</w:t>
            </w:r>
          </w:p>
        </w:tc>
        <w:tc>
          <w:tcPr>
            <w:tcW w:w="1059" w:type="dxa"/>
            <w:vMerge w:val="restart"/>
            <w:vAlign w:val="center"/>
          </w:tcPr>
          <w:p w:rsidR="00240BCE" w:rsidRDefault="00AC0334">
            <w:pPr>
              <w:spacing w:line="320" w:lineRule="exact"/>
              <w:jc w:val="center"/>
              <w:rPr>
                <w:sz w:val="21"/>
                <w:szCs w:val="21"/>
              </w:rPr>
            </w:pPr>
            <w:r>
              <w:rPr>
                <w:sz w:val="21"/>
                <w:szCs w:val="21"/>
              </w:rPr>
              <w:t>＞</w:t>
            </w:r>
            <w:r>
              <w:rPr>
                <w:sz w:val="21"/>
                <w:szCs w:val="21"/>
              </w:rPr>
              <w:t>6.0</w:t>
            </w:r>
          </w:p>
        </w:tc>
        <w:tc>
          <w:tcPr>
            <w:tcW w:w="1059" w:type="dxa"/>
            <w:vMerge w:val="restart"/>
            <w:vAlign w:val="center"/>
          </w:tcPr>
          <w:p w:rsidR="00240BCE" w:rsidRDefault="00AC0334">
            <w:pPr>
              <w:spacing w:line="320" w:lineRule="exact"/>
              <w:jc w:val="center"/>
              <w:rPr>
                <w:sz w:val="21"/>
                <w:szCs w:val="21"/>
              </w:rPr>
            </w:pPr>
            <w:r>
              <w:rPr>
                <w:sz w:val="21"/>
                <w:szCs w:val="21"/>
              </w:rPr>
              <w:t>＞</w:t>
            </w:r>
            <w:r>
              <w:rPr>
                <w:sz w:val="21"/>
                <w:szCs w:val="21"/>
              </w:rPr>
              <w:t>0.6</w:t>
            </w:r>
          </w:p>
        </w:tc>
        <w:tc>
          <w:tcPr>
            <w:tcW w:w="825" w:type="dxa"/>
            <w:vMerge w:val="restart"/>
            <w:vAlign w:val="center"/>
          </w:tcPr>
          <w:p w:rsidR="00240BCE" w:rsidRDefault="00AC0334">
            <w:pPr>
              <w:spacing w:line="320" w:lineRule="exact"/>
              <w:jc w:val="center"/>
              <w:rPr>
                <w:sz w:val="21"/>
                <w:szCs w:val="21"/>
              </w:rPr>
            </w:pPr>
            <w:r>
              <w:rPr>
                <w:sz w:val="21"/>
                <w:szCs w:val="21"/>
              </w:rPr>
              <w:t>＞</w:t>
            </w:r>
            <w:r>
              <w:rPr>
                <w:sz w:val="21"/>
                <w:szCs w:val="21"/>
              </w:rPr>
              <w:t>10.0</w:t>
            </w:r>
          </w:p>
        </w:tc>
        <w:tc>
          <w:tcPr>
            <w:tcW w:w="1102" w:type="dxa"/>
            <w:vAlign w:val="center"/>
          </w:tcPr>
          <w:p w:rsidR="00240BCE" w:rsidRDefault="00AC0334">
            <w:pPr>
              <w:spacing w:line="320" w:lineRule="exact"/>
              <w:jc w:val="center"/>
              <w:rPr>
                <w:sz w:val="21"/>
                <w:szCs w:val="21"/>
              </w:rPr>
            </w:pPr>
            <w:r>
              <w:rPr>
                <w:sz w:val="21"/>
                <w:szCs w:val="21"/>
              </w:rPr>
              <w:t>严重损坏</w:t>
            </w:r>
          </w:p>
        </w:tc>
        <w:tc>
          <w:tcPr>
            <w:tcW w:w="542" w:type="dxa"/>
            <w:vAlign w:val="center"/>
          </w:tcPr>
          <w:p w:rsidR="00240BCE" w:rsidRDefault="00AC0334">
            <w:pPr>
              <w:spacing w:line="320" w:lineRule="exact"/>
              <w:jc w:val="center"/>
              <w:rPr>
                <w:sz w:val="21"/>
                <w:szCs w:val="21"/>
              </w:rPr>
            </w:pPr>
            <w:r>
              <w:rPr>
                <w:sz w:val="21"/>
                <w:szCs w:val="21"/>
              </w:rPr>
              <w:t>大修</w:t>
            </w:r>
          </w:p>
        </w:tc>
      </w:tr>
      <w:tr w:rsidR="00240BCE">
        <w:trPr>
          <w:cantSplit/>
          <w:trHeight w:val="725"/>
          <w:jc w:val="center"/>
        </w:trPr>
        <w:tc>
          <w:tcPr>
            <w:tcW w:w="565" w:type="dxa"/>
            <w:vMerge/>
            <w:vAlign w:val="center"/>
          </w:tcPr>
          <w:p w:rsidR="00240BCE" w:rsidRDefault="00240BCE">
            <w:pPr>
              <w:spacing w:line="320" w:lineRule="exact"/>
              <w:jc w:val="center"/>
              <w:rPr>
                <w:sz w:val="21"/>
                <w:szCs w:val="21"/>
              </w:rPr>
            </w:pPr>
          </w:p>
        </w:tc>
        <w:tc>
          <w:tcPr>
            <w:tcW w:w="3785" w:type="dxa"/>
            <w:vAlign w:val="center"/>
          </w:tcPr>
          <w:p w:rsidR="00240BCE" w:rsidRDefault="00AC0334">
            <w:pPr>
              <w:spacing w:line="320" w:lineRule="exact"/>
              <w:rPr>
                <w:sz w:val="21"/>
                <w:szCs w:val="21"/>
              </w:rPr>
            </w:pPr>
            <w:r>
              <w:rPr>
                <w:sz w:val="21"/>
                <w:szCs w:val="21"/>
              </w:rPr>
              <w:t>自然间砖墙上出现严重交叉裂缝、上下贯通裂缝，以及墙体。</w:t>
            </w:r>
          </w:p>
        </w:tc>
        <w:tc>
          <w:tcPr>
            <w:tcW w:w="1059" w:type="dxa"/>
            <w:vMerge/>
            <w:vAlign w:val="center"/>
          </w:tcPr>
          <w:p w:rsidR="00240BCE" w:rsidRDefault="00240BCE">
            <w:pPr>
              <w:spacing w:line="320" w:lineRule="exact"/>
              <w:jc w:val="center"/>
              <w:rPr>
                <w:sz w:val="21"/>
                <w:szCs w:val="21"/>
              </w:rPr>
            </w:pPr>
          </w:p>
        </w:tc>
        <w:tc>
          <w:tcPr>
            <w:tcW w:w="1059" w:type="dxa"/>
            <w:vMerge/>
            <w:vAlign w:val="center"/>
          </w:tcPr>
          <w:p w:rsidR="00240BCE" w:rsidRDefault="00240BCE">
            <w:pPr>
              <w:spacing w:line="320" w:lineRule="exact"/>
              <w:jc w:val="center"/>
              <w:rPr>
                <w:sz w:val="21"/>
                <w:szCs w:val="21"/>
              </w:rPr>
            </w:pPr>
          </w:p>
        </w:tc>
        <w:tc>
          <w:tcPr>
            <w:tcW w:w="825" w:type="dxa"/>
            <w:vMerge/>
            <w:vAlign w:val="center"/>
          </w:tcPr>
          <w:p w:rsidR="00240BCE" w:rsidRDefault="00240BCE">
            <w:pPr>
              <w:spacing w:line="320" w:lineRule="exact"/>
              <w:jc w:val="center"/>
              <w:rPr>
                <w:sz w:val="21"/>
                <w:szCs w:val="21"/>
              </w:rPr>
            </w:pPr>
          </w:p>
        </w:tc>
        <w:tc>
          <w:tcPr>
            <w:tcW w:w="1102" w:type="dxa"/>
            <w:vAlign w:val="center"/>
          </w:tcPr>
          <w:p w:rsidR="00240BCE" w:rsidRDefault="00AC0334">
            <w:pPr>
              <w:spacing w:line="320" w:lineRule="exact"/>
              <w:jc w:val="center"/>
              <w:rPr>
                <w:sz w:val="21"/>
                <w:szCs w:val="21"/>
              </w:rPr>
            </w:pPr>
            <w:r>
              <w:rPr>
                <w:sz w:val="21"/>
                <w:szCs w:val="21"/>
              </w:rPr>
              <w:t>极度严重损坏</w:t>
            </w:r>
          </w:p>
        </w:tc>
        <w:tc>
          <w:tcPr>
            <w:tcW w:w="542" w:type="dxa"/>
            <w:vAlign w:val="center"/>
          </w:tcPr>
          <w:p w:rsidR="00240BCE" w:rsidRDefault="00AC0334">
            <w:pPr>
              <w:spacing w:line="320" w:lineRule="exact"/>
              <w:jc w:val="center"/>
              <w:rPr>
                <w:sz w:val="21"/>
                <w:szCs w:val="21"/>
              </w:rPr>
            </w:pPr>
            <w:r>
              <w:rPr>
                <w:sz w:val="21"/>
                <w:szCs w:val="21"/>
              </w:rPr>
              <w:t>拆建</w:t>
            </w:r>
          </w:p>
        </w:tc>
      </w:tr>
    </w:tbl>
    <w:p w:rsidR="00240BCE" w:rsidRDefault="00AC0334">
      <w:pPr>
        <w:spacing w:line="520" w:lineRule="exact"/>
        <w:ind w:firstLineChars="200" w:firstLine="480"/>
        <w:rPr>
          <w:sz w:val="24"/>
        </w:rPr>
      </w:pPr>
      <w:r>
        <w:rPr>
          <w:sz w:val="24"/>
        </w:rPr>
        <w:t>2</w:t>
      </w:r>
      <w:r>
        <w:rPr>
          <w:sz w:val="24"/>
        </w:rPr>
        <w:t>、井田范围内及周边地表建筑物分布情况</w:t>
      </w:r>
    </w:p>
    <w:p w:rsidR="00240BCE" w:rsidRDefault="00AC0334">
      <w:pPr>
        <w:spacing w:line="520" w:lineRule="exact"/>
        <w:ind w:firstLine="480"/>
        <w:rPr>
          <w:bCs/>
          <w:sz w:val="24"/>
        </w:rPr>
      </w:pPr>
      <w:r>
        <w:rPr>
          <w:bCs/>
          <w:sz w:val="24"/>
        </w:rPr>
        <w:t>井田范围内共有连庄村、赵沟村、楼院村</w:t>
      </w:r>
      <w:r>
        <w:rPr>
          <w:sz w:val="24"/>
        </w:rPr>
        <w:t>等</w:t>
      </w:r>
      <w:r>
        <w:rPr>
          <w:sz w:val="24"/>
        </w:rPr>
        <w:t>3</w:t>
      </w:r>
      <w:r>
        <w:rPr>
          <w:sz w:val="24"/>
        </w:rPr>
        <w:t>个村庄</w:t>
      </w:r>
      <w:r>
        <w:rPr>
          <w:bCs/>
          <w:sz w:val="24"/>
        </w:rPr>
        <w:t>及楼院小学，矿区周边有楚黄庄村、官庄窑村及鸠山中学，统计结果见表</w:t>
      </w:r>
      <w:r>
        <w:rPr>
          <w:bCs/>
          <w:sz w:val="24"/>
        </w:rPr>
        <w:t>5.3-6</w:t>
      </w:r>
      <w:r>
        <w:rPr>
          <w:bCs/>
          <w:sz w:val="24"/>
        </w:rPr>
        <w:t>。</w:t>
      </w:r>
    </w:p>
    <w:p w:rsidR="00240BCE" w:rsidRDefault="00240BCE">
      <w:pPr>
        <w:pStyle w:val="a1"/>
        <w:rPr>
          <w:bCs/>
          <w:sz w:val="24"/>
        </w:rPr>
      </w:pPr>
    </w:p>
    <w:p w:rsidR="00240BCE" w:rsidRDefault="00240BCE">
      <w:pPr>
        <w:pStyle w:val="a1"/>
        <w:rPr>
          <w:bCs/>
          <w:sz w:val="24"/>
        </w:rPr>
      </w:pPr>
    </w:p>
    <w:p w:rsidR="00240BCE" w:rsidRDefault="00240BCE">
      <w:pPr>
        <w:pStyle w:val="a1"/>
        <w:rPr>
          <w:bCs/>
          <w:sz w:val="24"/>
        </w:rPr>
      </w:pPr>
    </w:p>
    <w:p w:rsidR="00240BCE" w:rsidRDefault="00240BCE">
      <w:pPr>
        <w:pStyle w:val="a1"/>
        <w:rPr>
          <w:bCs/>
          <w:sz w:val="24"/>
        </w:rPr>
      </w:pPr>
    </w:p>
    <w:p w:rsidR="00240BCE" w:rsidRDefault="00240BCE">
      <w:pPr>
        <w:pStyle w:val="a1"/>
        <w:rPr>
          <w:bCs/>
          <w:sz w:val="24"/>
        </w:rPr>
      </w:pPr>
    </w:p>
    <w:p w:rsidR="00240BCE" w:rsidRDefault="00AC0334">
      <w:pPr>
        <w:spacing w:line="360" w:lineRule="exact"/>
        <w:jc w:val="center"/>
        <w:rPr>
          <w:rFonts w:eastAsia="黑体"/>
          <w:sz w:val="24"/>
        </w:rPr>
      </w:pPr>
      <w:r>
        <w:rPr>
          <w:rFonts w:eastAsia="黑体"/>
          <w:sz w:val="24"/>
        </w:rPr>
        <w:t>表</w:t>
      </w:r>
      <w:r>
        <w:rPr>
          <w:rFonts w:eastAsia="黑体"/>
          <w:sz w:val="24"/>
        </w:rPr>
        <w:t xml:space="preserve">5.3-6  </w:t>
      </w:r>
      <w:r>
        <w:rPr>
          <w:rFonts w:eastAsia="黑体"/>
          <w:sz w:val="24"/>
        </w:rPr>
        <w:t>井田范围内及边界外主要村庄及学校统计表</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57"/>
        <w:gridCol w:w="2592"/>
        <w:gridCol w:w="1417"/>
        <w:gridCol w:w="993"/>
        <w:gridCol w:w="3118"/>
      </w:tblGrid>
      <w:tr w:rsidR="00240BCE">
        <w:trPr>
          <w:cantSplit/>
          <w:jc w:val="center"/>
        </w:trPr>
        <w:tc>
          <w:tcPr>
            <w:tcW w:w="1157" w:type="dxa"/>
            <w:vAlign w:val="center"/>
          </w:tcPr>
          <w:p w:rsidR="00240BCE" w:rsidRDefault="00AC0334">
            <w:pPr>
              <w:spacing w:line="300" w:lineRule="exact"/>
              <w:jc w:val="center"/>
              <w:rPr>
                <w:spacing w:val="2"/>
                <w:sz w:val="21"/>
                <w:szCs w:val="21"/>
              </w:rPr>
            </w:pPr>
            <w:r>
              <w:rPr>
                <w:spacing w:val="2"/>
                <w:sz w:val="21"/>
                <w:szCs w:val="21"/>
              </w:rPr>
              <w:t>村庄等名称</w:t>
            </w:r>
          </w:p>
        </w:tc>
        <w:tc>
          <w:tcPr>
            <w:tcW w:w="2592" w:type="dxa"/>
            <w:vAlign w:val="center"/>
          </w:tcPr>
          <w:p w:rsidR="00240BCE" w:rsidRDefault="00AC0334">
            <w:pPr>
              <w:spacing w:line="300" w:lineRule="exact"/>
              <w:jc w:val="center"/>
              <w:rPr>
                <w:spacing w:val="2"/>
                <w:sz w:val="21"/>
                <w:szCs w:val="21"/>
              </w:rPr>
            </w:pPr>
            <w:r>
              <w:rPr>
                <w:spacing w:val="2"/>
                <w:sz w:val="21"/>
                <w:szCs w:val="21"/>
              </w:rPr>
              <w:t>方位、距离</w:t>
            </w:r>
          </w:p>
        </w:tc>
        <w:tc>
          <w:tcPr>
            <w:tcW w:w="1417" w:type="dxa"/>
            <w:vAlign w:val="center"/>
          </w:tcPr>
          <w:p w:rsidR="00240BCE" w:rsidRDefault="00AC0334">
            <w:pPr>
              <w:spacing w:line="300" w:lineRule="exact"/>
              <w:jc w:val="center"/>
              <w:rPr>
                <w:spacing w:val="2"/>
                <w:sz w:val="21"/>
                <w:szCs w:val="21"/>
              </w:rPr>
            </w:pPr>
            <w:r>
              <w:rPr>
                <w:spacing w:val="2"/>
                <w:sz w:val="21"/>
                <w:szCs w:val="21"/>
              </w:rPr>
              <w:t>特征</w:t>
            </w:r>
          </w:p>
        </w:tc>
        <w:tc>
          <w:tcPr>
            <w:tcW w:w="993" w:type="dxa"/>
            <w:vAlign w:val="center"/>
          </w:tcPr>
          <w:p w:rsidR="00240BCE" w:rsidRDefault="00AC0334">
            <w:pPr>
              <w:spacing w:line="300" w:lineRule="exact"/>
              <w:jc w:val="center"/>
              <w:rPr>
                <w:spacing w:val="2"/>
                <w:sz w:val="21"/>
                <w:szCs w:val="21"/>
              </w:rPr>
            </w:pPr>
            <w:r>
              <w:rPr>
                <w:spacing w:val="2"/>
                <w:sz w:val="21"/>
                <w:szCs w:val="21"/>
              </w:rPr>
              <w:t>房屋结构</w:t>
            </w:r>
          </w:p>
        </w:tc>
        <w:tc>
          <w:tcPr>
            <w:tcW w:w="3118" w:type="dxa"/>
            <w:vAlign w:val="center"/>
          </w:tcPr>
          <w:p w:rsidR="00240BCE" w:rsidRDefault="00AC0334">
            <w:pPr>
              <w:spacing w:line="300" w:lineRule="exact"/>
              <w:jc w:val="center"/>
              <w:rPr>
                <w:spacing w:val="2"/>
                <w:sz w:val="21"/>
                <w:szCs w:val="21"/>
              </w:rPr>
            </w:pPr>
            <w:r>
              <w:rPr>
                <w:spacing w:val="2"/>
                <w:sz w:val="21"/>
                <w:szCs w:val="21"/>
              </w:rPr>
              <w:t>所处采区</w:t>
            </w:r>
          </w:p>
        </w:tc>
      </w:tr>
      <w:tr w:rsidR="00240BCE">
        <w:trPr>
          <w:cantSplit/>
          <w:jc w:val="center"/>
        </w:trPr>
        <w:tc>
          <w:tcPr>
            <w:tcW w:w="1157" w:type="dxa"/>
            <w:vAlign w:val="center"/>
          </w:tcPr>
          <w:p w:rsidR="00240BCE" w:rsidRDefault="00AC0334">
            <w:pPr>
              <w:spacing w:line="300" w:lineRule="exact"/>
              <w:ind w:right="-26"/>
              <w:jc w:val="center"/>
              <w:rPr>
                <w:spacing w:val="2"/>
                <w:sz w:val="21"/>
                <w:szCs w:val="21"/>
              </w:rPr>
            </w:pPr>
            <w:r>
              <w:rPr>
                <w:spacing w:val="2"/>
                <w:sz w:val="21"/>
                <w:szCs w:val="21"/>
              </w:rPr>
              <w:t>工业场地</w:t>
            </w:r>
          </w:p>
        </w:tc>
        <w:tc>
          <w:tcPr>
            <w:tcW w:w="2592" w:type="dxa"/>
            <w:vAlign w:val="center"/>
          </w:tcPr>
          <w:p w:rsidR="00240BCE" w:rsidRDefault="00AC0334">
            <w:pPr>
              <w:spacing w:line="300" w:lineRule="exact"/>
              <w:jc w:val="center"/>
              <w:rPr>
                <w:spacing w:val="2"/>
                <w:sz w:val="21"/>
                <w:szCs w:val="21"/>
              </w:rPr>
            </w:pPr>
            <w:r>
              <w:rPr>
                <w:spacing w:val="2"/>
                <w:sz w:val="21"/>
                <w:szCs w:val="21"/>
              </w:rPr>
              <w:t>/</w:t>
            </w:r>
          </w:p>
        </w:tc>
        <w:tc>
          <w:tcPr>
            <w:tcW w:w="1417" w:type="dxa"/>
            <w:vAlign w:val="center"/>
          </w:tcPr>
          <w:p w:rsidR="00240BCE" w:rsidRDefault="00240BCE">
            <w:pPr>
              <w:spacing w:line="300" w:lineRule="exact"/>
              <w:jc w:val="center"/>
              <w:rPr>
                <w:spacing w:val="2"/>
                <w:sz w:val="21"/>
                <w:szCs w:val="21"/>
              </w:rPr>
            </w:pPr>
          </w:p>
        </w:tc>
        <w:tc>
          <w:tcPr>
            <w:tcW w:w="993" w:type="dxa"/>
            <w:vAlign w:val="center"/>
          </w:tcPr>
          <w:p w:rsidR="00240BCE" w:rsidRDefault="00AC0334">
            <w:pPr>
              <w:spacing w:line="300" w:lineRule="exact"/>
              <w:jc w:val="center"/>
              <w:rPr>
                <w:spacing w:val="2"/>
                <w:sz w:val="21"/>
                <w:szCs w:val="21"/>
              </w:rPr>
            </w:pPr>
            <w:r>
              <w:rPr>
                <w:spacing w:val="2"/>
                <w:sz w:val="21"/>
                <w:szCs w:val="21"/>
              </w:rPr>
              <w:t>砖混</w:t>
            </w:r>
          </w:p>
        </w:tc>
        <w:tc>
          <w:tcPr>
            <w:tcW w:w="3118" w:type="dxa"/>
            <w:vAlign w:val="center"/>
          </w:tcPr>
          <w:p w:rsidR="00240BCE" w:rsidRDefault="00AC0334">
            <w:pPr>
              <w:spacing w:line="300" w:lineRule="exact"/>
              <w:jc w:val="center"/>
              <w:rPr>
                <w:spacing w:val="2"/>
                <w:sz w:val="21"/>
                <w:szCs w:val="21"/>
              </w:rPr>
            </w:pPr>
            <w:r>
              <w:rPr>
                <w:spacing w:val="2"/>
                <w:sz w:val="21"/>
                <w:szCs w:val="21"/>
              </w:rPr>
              <w:t>/</w:t>
            </w:r>
          </w:p>
        </w:tc>
      </w:tr>
      <w:tr w:rsidR="00240BCE">
        <w:trPr>
          <w:cantSplit/>
          <w:jc w:val="center"/>
        </w:trPr>
        <w:tc>
          <w:tcPr>
            <w:tcW w:w="1157" w:type="dxa"/>
            <w:vAlign w:val="center"/>
          </w:tcPr>
          <w:p w:rsidR="00240BCE" w:rsidRDefault="00AC0334">
            <w:pPr>
              <w:spacing w:line="300" w:lineRule="exact"/>
              <w:ind w:right="-26"/>
              <w:jc w:val="center"/>
              <w:rPr>
                <w:spacing w:val="2"/>
                <w:sz w:val="21"/>
                <w:szCs w:val="21"/>
              </w:rPr>
            </w:pPr>
            <w:r>
              <w:rPr>
                <w:spacing w:val="2"/>
                <w:sz w:val="21"/>
                <w:szCs w:val="21"/>
              </w:rPr>
              <w:t>柿树行组</w:t>
            </w:r>
          </w:p>
        </w:tc>
        <w:tc>
          <w:tcPr>
            <w:tcW w:w="2592" w:type="dxa"/>
            <w:vAlign w:val="center"/>
          </w:tcPr>
          <w:p w:rsidR="00240BCE" w:rsidRDefault="00AC0334">
            <w:pPr>
              <w:spacing w:line="300" w:lineRule="exact"/>
              <w:jc w:val="center"/>
              <w:rPr>
                <w:spacing w:val="2"/>
                <w:sz w:val="21"/>
                <w:szCs w:val="21"/>
              </w:rPr>
            </w:pPr>
            <w:r>
              <w:rPr>
                <w:spacing w:val="2"/>
                <w:sz w:val="21"/>
                <w:szCs w:val="21"/>
              </w:rPr>
              <w:t>工业场地西北</w:t>
            </w:r>
            <w:r>
              <w:rPr>
                <w:spacing w:val="2"/>
                <w:sz w:val="21"/>
                <w:szCs w:val="21"/>
              </w:rPr>
              <w:t>10m</w:t>
            </w:r>
            <w:r>
              <w:rPr>
                <w:spacing w:val="2"/>
                <w:sz w:val="21"/>
                <w:szCs w:val="21"/>
              </w:rPr>
              <w:t>～</w:t>
            </w:r>
            <w:r>
              <w:rPr>
                <w:spacing w:val="2"/>
                <w:sz w:val="21"/>
                <w:szCs w:val="21"/>
              </w:rPr>
              <w:t>565m</w:t>
            </w:r>
          </w:p>
        </w:tc>
        <w:tc>
          <w:tcPr>
            <w:tcW w:w="1417" w:type="dxa"/>
            <w:vAlign w:val="center"/>
          </w:tcPr>
          <w:p w:rsidR="00240BCE" w:rsidRDefault="00AC0334">
            <w:pPr>
              <w:spacing w:line="300" w:lineRule="exact"/>
              <w:jc w:val="center"/>
              <w:rPr>
                <w:spacing w:val="2"/>
                <w:sz w:val="21"/>
                <w:szCs w:val="21"/>
              </w:rPr>
            </w:pPr>
            <w:r>
              <w:rPr>
                <w:spacing w:val="2"/>
                <w:sz w:val="21"/>
                <w:szCs w:val="21"/>
              </w:rPr>
              <w:t>32</w:t>
            </w:r>
            <w:r>
              <w:rPr>
                <w:spacing w:val="2"/>
                <w:sz w:val="21"/>
                <w:szCs w:val="21"/>
              </w:rPr>
              <w:t>户</w:t>
            </w:r>
            <w:r>
              <w:rPr>
                <w:spacing w:val="2"/>
                <w:sz w:val="21"/>
                <w:szCs w:val="21"/>
              </w:rPr>
              <w:t>122</w:t>
            </w:r>
            <w:r>
              <w:rPr>
                <w:spacing w:val="2"/>
                <w:sz w:val="21"/>
                <w:szCs w:val="21"/>
              </w:rPr>
              <w:t>人</w:t>
            </w:r>
          </w:p>
        </w:tc>
        <w:tc>
          <w:tcPr>
            <w:tcW w:w="993" w:type="dxa"/>
            <w:vAlign w:val="center"/>
          </w:tcPr>
          <w:p w:rsidR="00240BCE" w:rsidRDefault="00AC0334">
            <w:pPr>
              <w:spacing w:line="300" w:lineRule="exact"/>
              <w:jc w:val="center"/>
              <w:rPr>
                <w:spacing w:val="2"/>
                <w:sz w:val="21"/>
                <w:szCs w:val="21"/>
              </w:rPr>
            </w:pPr>
            <w:r>
              <w:rPr>
                <w:spacing w:val="2"/>
                <w:sz w:val="21"/>
                <w:szCs w:val="21"/>
              </w:rPr>
              <w:t>砖混</w:t>
            </w:r>
          </w:p>
        </w:tc>
        <w:tc>
          <w:tcPr>
            <w:tcW w:w="3118" w:type="dxa"/>
            <w:vAlign w:val="center"/>
          </w:tcPr>
          <w:p w:rsidR="00240BCE" w:rsidRDefault="00AC0334">
            <w:pPr>
              <w:spacing w:line="300" w:lineRule="exact"/>
              <w:jc w:val="center"/>
              <w:rPr>
                <w:spacing w:val="2"/>
                <w:sz w:val="21"/>
                <w:szCs w:val="21"/>
              </w:rPr>
            </w:pPr>
            <w:r>
              <w:rPr>
                <w:spacing w:val="2"/>
                <w:sz w:val="21"/>
                <w:szCs w:val="21"/>
              </w:rPr>
              <w:t>大部分位于井田范围外，</w:t>
            </w:r>
            <w:r>
              <w:rPr>
                <w:spacing w:val="2"/>
                <w:sz w:val="21"/>
                <w:szCs w:val="21"/>
              </w:rPr>
              <w:t>3</w:t>
            </w:r>
            <w:r>
              <w:rPr>
                <w:spacing w:val="2"/>
                <w:sz w:val="21"/>
                <w:szCs w:val="21"/>
              </w:rPr>
              <w:t>户位于采空区及工业场地保护煤柱内</w:t>
            </w:r>
          </w:p>
        </w:tc>
      </w:tr>
      <w:tr w:rsidR="00240BCE">
        <w:trPr>
          <w:cantSplit/>
          <w:jc w:val="center"/>
        </w:trPr>
        <w:tc>
          <w:tcPr>
            <w:tcW w:w="1157" w:type="dxa"/>
            <w:vAlign w:val="center"/>
          </w:tcPr>
          <w:p w:rsidR="00240BCE" w:rsidRDefault="00AC0334">
            <w:pPr>
              <w:spacing w:line="300" w:lineRule="exact"/>
              <w:ind w:right="-26"/>
              <w:jc w:val="center"/>
              <w:rPr>
                <w:spacing w:val="2"/>
                <w:sz w:val="21"/>
                <w:szCs w:val="21"/>
              </w:rPr>
            </w:pPr>
            <w:r>
              <w:rPr>
                <w:bCs/>
                <w:spacing w:val="2"/>
                <w:sz w:val="21"/>
                <w:szCs w:val="21"/>
              </w:rPr>
              <w:t>赵沟村</w:t>
            </w:r>
          </w:p>
        </w:tc>
        <w:tc>
          <w:tcPr>
            <w:tcW w:w="2592" w:type="dxa"/>
            <w:vAlign w:val="center"/>
          </w:tcPr>
          <w:p w:rsidR="00240BCE" w:rsidRDefault="00AC0334">
            <w:pPr>
              <w:spacing w:line="300" w:lineRule="exact"/>
              <w:jc w:val="center"/>
              <w:rPr>
                <w:spacing w:val="2"/>
                <w:sz w:val="21"/>
                <w:szCs w:val="21"/>
              </w:rPr>
            </w:pPr>
            <w:r>
              <w:rPr>
                <w:spacing w:val="2"/>
                <w:sz w:val="21"/>
                <w:szCs w:val="21"/>
              </w:rPr>
              <w:t>工业场地南、东南</w:t>
            </w:r>
            <w:r>
              <w:rPr>
                <w:spacing w:val="2"/>
                <w:sz w:val="21"/>
                <w:szCs w:val="21"/>
              </w:rPr>
              <w:t>270m</w:t>
            </w:r>
            <w:r>
              <w:rPr>
                <w:spacing w:val="2"/>
                <w:sz w:val="21"/>
                <w:szCs w:val="21"/>
              </w:rPr>
              <w:t>～</w:t>
            </w:r>
            <w:r>
              <w:rPr>
                <w:spacing w:val="2"/>
                <w:sz w:val="21"/>
                <w:szCs w:val="21"/>
              </w:rPr>
              <w:t>860m</w:t>
            </w:r>
          </w:p>
        </w:tc>
        <w:tc>
          <w:tcPr>
            <w:tcW w:w="1417" w:type="dxa"/>
            <w:vAlign w:val="center"/>
          </w:tcPr>
          <w:p w:rsidR="00240BCE" w:rsidRDefault="00AC0334">
            <w:pPr>
              <w:spacing w:line="300" w:lineRule="exact"/>
              <w:jc w:val="center"/>
              <w:rPr>
                <w:spacing w:val="2"/>
                <w:sz w:val="21"/>
                <w:szCs w:val="21"/>
              </w:rPr>
            </w:pPr>
            <w:r>
              <w:rPr>
                <w:spacing w:val="2"/>
                <w:sz w:val="21"/>
                <w:szCs w:val="21"/>
              </w:rPr>
              <w:t>256</w:t>
            </w:r>
            <w:r>
              <w:rPr>
                <w:spacing w:val="2"/>
                <w:sz w:val="21"/>
                <w:szCs w:val="21"/>
              </w:rPr>
              <w:t>户</w:t>
            </w:r>
            <w:r>
              <w:rPr>
                <w:spacing w:val="2"/>
                <w:sz w:val="21"/>
                <w:szCs w:val="21"/>
              </w:rPr>
              <w:t>989</w:t>
            </w:r>
            <w:r>
              <w:rPr>
                <w:spacing w:val="2"/>
                <w:sz w:val="21"/>
                <w:szCs w:val="21"/>
              </w:rPr>
              <w:t>人</w:t>
            </w:r>
          </w:p>
        </w:tc>
        <w:tc>
          <w:tcPr>
            <w:tcW w:w="993" w:type="dxa"/>
            <w:vAlign w:val="center"/>
          </w:tcPr>
          <w:p w:rsidR="00240BCE" w:rsidRDefault="00AC0334">
            <w:pPr>
              <w:spacing w:line="300" w:lineRule="exact"/>
              <w:jc w:val="center"/>
              <w:rPr>
                <w:spacing w:val="2"/>
                <w:sz w:val="21"/>
                <w:szCs w:val="21"/>
              </w:rPr>
            </w:pPr>
            <w:r>
              <w:rPr>
                <w:spacing w:val="2"/>
                <w:sz w:val="21"/>
                <w:szCs w:val="21"/>
              </w:rPr>
              <w:t>砖混</w:t>
            </w:r>
          </w:p>
        </w:tc>
        <w:tc>
          <w:tcPr>
            <w:tcW w:w="3118" w:type="dxa"/>
            <w:vAlign w:val="center"/>
          </w:tcPr>
          <w:p w:rsidR="00240BCE" w:rsidRDefault="00AC0334">
            <w:pPr>
              <w:spacing w:line="300" w:lineRule="exact"/>
              <w:jc w:val="center"/>
              <w:rPr>
                <w:spacing w:val="2"/>
                <w:sz w:val="21"/>
                <w:szCs w:val="21"/>
              </w:rPr>
            </w:pPr>
            <w:r>
              <w:rPr>
                <w:spacing w:val="2"/>
                <w:sz w:val="21"/>
                <w:szCs w:val="21"/>
              </w:rPr>
              <w:t>首采区</w:t>
            </w:r>
            <w:r>
              <w:rPr>
                <w:rFonts w:hint="eastAsia"/>
                <w:spacing w:val="2"/>
                <w:sz w:val="21"/>
                <w:szCs w:val="21"/>
              </w:rPr>
              <w:t>，</w:t>
            </w:r>
            <w:r>
              <w:rPr>
                <w:spacing w:val="2"/>
                <w:sz w:val="21"/>
                <w:szCs w:val="21"/>
              </w:rPr>
              <w:t>位于首采区</w:t>
            </w:r>
            <w:r>
              <w:rPr>
                <w:spacing w:val="2"/>
                <w:sz w:val="21"/>
                <w:szCs w:val="21"/>
              </w:rPr>
              <w:t>21010</w:t>
            </w:r>
            <w:r>
              <w:rPr>
                <w:spacing w:val="2"/>
                <w:sz w:val="21"/>
                <w:szCs w:val="21"/>
              </w:rPr>
              <w:t>、</w:t>
            </w:r>
            <w:r>
              <w:rPr>
                <w:spacing w:val="2"/>
                <w:sz w:val="21"/>
                <w:szCs w:val="21"/>
              </w:rPr>
              <w:t>21020</w:t>
            </w:r>
            <w:r>
              <w:rPr>
                <w:spacing w:val="2"/>
                <w:sz w:val="21"/>
                <w:szCs w:val="21"/>
              </w:rPr>
              <w:t>工作面</w:t>
            </w:r>
          </w:p>
        </w:tc>
      </w:tr>
      <w:tr w:rsidR="00240BCE">
        <w:trPr>
          <w:cantSplit/>
          <w:jc w:val="center"/>
        </w:trPr>
        <w:tc>
          <w:tcPr>
            <w:tcW w:w="1157" w:type="dxa"/>
            <w:vAlign w:val="center"/>
          </w:tcPr>
          <w:p w:rsidR="00240BCE" w:rsidRDefault="00AC0334">
            <w:pPr>
              <w:spacing w:line="300" w:lineRule="exact"/>
              <w:ind w:right="-26"/>
              <w:jc w:val="center"/>
              <w:rPr>
                <w:spacing w:val="2"/>
                <w:sz w:val="21"/>
                <w:szCs w:val="21"/>
              </w:rPr>
            </w:pPr>
            <w:r>
              <w:rPr>
                <w:bCs/>
                <w:spacing w:val="2"/>
                <w:sz w:val="21"/>
                <w:szCs w:val="21"/>
              </w:rPr>
              <w:t>楼院村</w:t>
            </w:r>
          </w:p>
        </w:tc>
        <w:tc>
          <w:tcPr>
            <w:tcW w:w="2592" w:type="dxa"/>
            <w:vAlign w:val="center"/>
          </w:tcPr>
          <w:p w:rsidR="00240BCE" w:rsidRDefault="00AC0334">
            <w:pPr>
              <w:spacing w:line="300" w:lineRule="exact"/>
              <w:jc w:val="center"/>
              <w:rPr>
                <w:spacing w:val="2"/>
                <w:sz w:val="21"/>
                <w:szCs w:val="21"/>
              </w:rPr>
            </w:pPr>
            <w:r>
              <w:rPr>
                <w:spacing w:val="2"/>
                <w:sz w:val="21"/>
                <w:szCs w:val="21"/>
              </w:rPr>
              <w:t>工业场地南</w:t>
            </w:r>
            <w:r>
              <w:rPr>
                <w:spacing w:val="2"/>
                <w:sz w:val="21"/>
                <w:szCs w:val="21"/>
              </w:rPr>
              <w:t>400m</w:t>
            </w:r>
            <w:r>
              <w:rPr>
                <w:spacing w:val="2"/>
                <w:sz w:val="21"/>
                <w:szCs w:val="21"/>
              </w:rPr>
              <w:t>～</w:t>
            </w:r>
            <w:r>
              <w:rPr>
                <w:spacing w:val="2"/>
                <w:sz w:val="21"/>
                <w:szCs w:val="21"/>
              </w:rPr>
              <w:t>1085m</w:t>
            </w:r>
          </w:p>
        </w:tc>
        <w:tc>
          <w:tcPr>
            <w:tcW w:w="1417" w:type="dxa"/>
            <w:vAlign w:val="center"/>
          </w:tcPr>
          <w:p w:rsidR="00240BCE" w:rsidRDefault="00AC0334">
            <w:pPr>
              <w:spacing w:line="300" w:lineRule="exact"/>
              <w:jc w:val="center"/>
              <w:rPr>
                <w:spacing w:val="2"/>
                <w:sz w:val="21"/>
                <w:szCs w:val="21"/>
              </w:rPr>
            </w:pPr>
            <w:r>
              <w:rPr>
                <w:spacing w:val="2"/>
                <w:sz w:val="21"/>
                <w:szCs w:val="21"/>
              </w:rPr>
              <w:t>240</w:t>
            </w:r>
            <w:r>
              <w:rPr>
                <w:spacing w:val="2"/>
                <w:sz w:val="21"/>
                <w:szCs w:val="21"/>
              </w:rPr>
              <w:t>户</w:t>
            </w:r>
            <w:r>
              <w:rPr>
                <w:spacing w:val="2"/>
                <w:sz w:val="21"/>
                <w:szCs w:val="21"/>
              </w:rPr>
              <w:t>959</w:t>
            </w:r>
            <w:r>
              <w:rPr>
                <w:spacing w:val="2"/>
                <w:sz w:val="21"/>
                <w:szCs w:val="21"/>
              </w:rPr>
              <w:t>人</w:t>
            </w:r>
          </w:p>
        </w:tc>
        <w:tc>
          <w:tcPr>
            <w:tcW w:w="993" w:type="dxa"/>
            <w:vAlign w:val="center"/>
          </w:tcPr>
          <w:p w:rsidR="00240BCE" w:rsidRDefault="00AC0334">
            <w:pPr>
              <w:spacing w:line="300" w:lineRule="exact"/>
              <w:jc w:val="center"/>
              <w:rPr>
                <w:spacing w:val="2"/>
                <w:sz w:val="21"/>
                <w:szCs w:val="21"/>
              </w:rPr>
            </w:pPr>
            <w:r>
              <w:rPr>
                <w:spacing w:val="2"/>
                <w:sz w:val="21"/>
                <w:szCs w:val="21"/>
              </w:rPr>
              <w:t>砖混</w:t>
            </w:r>
          </w:p>
        </w:tc>
        <w:tc>
          <w:tcPr>
            <w:tcW w:w="3118" w:type="dxa"/>
            <w:vAlign w:val="center"/>
          </w:tcPr>
          <w:p w:rsidR="00240BCE" w:rsidRDefault="00AC0334">
            <w:pPr>
              <w:spacing w:line="300" w:lineRule="exact"/>
              <w:jc w:val="center"/>
              <w:rPr>
                <w:spacing w:val="2"/>
                <w:sz w:val="21"/>
                <w:szCs w:val="21"/>
              </w:rPr>
            </w:pPr>
            <w:r>
              <w:rPr>
                <w:spacing w:val="2"/>
                <w:sz w:val="21"/>
                <w:szCs w:val="21"/>
              </w:rPr>
              <w:t>首采区，位于首采区</w:t>
            </w:r>
            <w:r>
              <w:rPr>
                <w:spacing w:val="2"/>
                <w:sz w:val="21"/>
                <w:szCs w:val="21"/>
              </w:rPr>
              <w:t>21040</w:t>
            </w:r>
            <w:r>
              <w:rPr>
                <w:spacing w:val="2"/>
                <w:sz w:val="21"/>
                <w:szCs w:val="21"/>
              </w:rPr>
              <w:t>～</w:t>
            </w:r>
            <w:r>
              <w:rPr>
                <w:spacing w:val="2"/>
                <w:sz w:val="21"/>
                <w:szCs w:val="21"/>
              </w:rPr>
              <w:t>21060</w:t>
            </w:r>
            <w:r>
              <w:rPr>
                <w:spacing w:val="2"/>
                <w:sz w:val="21"/>
                <w:szCs w:val="21"/>
              </w:rPr>
              <w:t>工作面</w:t>
            </w:r>
          </w:p>
        </w:tc>
      </w:tr>
      <w:tr w:rsidR="00240BCE">
        <w:trPr>
          <w:cantSplit/>
          <w:jc w:val="center"/>
        </w:trPr>
        <w:tc>
          <w:tcPr>
            <w:tcW w:w="1157" w:type="dxa"/>
            <w:vAlign w:val="center"/>
          </w:tcPr>
          <w:p w:rsidR="00240BCE" w:rsidRDefault="00AC0334">
            <w:pPr>
              <w:spacing w:line="300" w:lineRule="exact"/>
              <w:ind w:right="-26"/>
              <w:jc w:val="center"/>
              <w:rPr>
                <w:bCs/>
                <w:spacing w:val="2"/>
                <w:sz w:val="21"/>
                <w:szCs w:val="21"/>
              </w:rPr>
            </w:pPr>
            <w:r>
              <w:rPr>
                <w:bCs/>
                <w:spacing w:val="2"/>
                <w:sz w:val="21"/>
                <w:szCs w:val="21"/>
              </w:rPr>
              <w:t>楼院小学</w:t>
            </w:r>
          </w:p>
        </w:tc>
        <w:tc>
          <w:tcPr>
            <w:tcW w:w="2592" w:type="dxa"/>
            <w:vAlign w:val="center"/>
          </w:tcPr>
          <w:p w:rsidR="00240BCE" w:rsidRDefault="00AC0334">
            <w:pPr>
              <w:spacing w:line="300" w:lineRule="exact"/>
              <w:jc w:val="center"/>
              <w:rPr>
                <w:spacing w:val="2"/>
                <w:sz w:val="21"/>
                <w:szCs w:val="21"/>
              </w:rPr>
            </w:pPr>
            <w:r>
              <w:rPr>
                <w:spacing w:val="2"/>
                <w:sz w:val="21"/>
                <w:szCs w:val="21"/>
              </w:rPr>
              <w:t>工业场地南</w:t>
            </w:r>
            <w:r>
              <w:rPr>
                <w:spacing w:val="2"/>
                <w:sz w:val="21"/>
                <w:szCs w:val="21"/>
              </w:rPr>
              <w:t>650m</w:t>
            </w:r>
          </w:p>
        </w:tc>
        <w:tc>
          <w:tcPr>
            <w:tcW w:w="1417" w:type="dxa"/>
            <w:vAlign w:val="center"/>
          </w:tcPr>
          <w:p w:rsidR="00240BCE" w:rsidRDefault="00AC0334">
            <w:pPr>
              <w:spacing w:line="300" w:lineRule="exact"/>
              <w:jc w:val="center"/>
              <w:rPr>
                <w:spacing w:val="2"/>
                <w:sz w:val="21"/>
                <w:szCs w:val="21"/>
              </w:rPr>
            </w:pPr>
            <w:r>
              <w:rPr>
                <w:spacing w:val="2"/>
                <w:sz w:val="21"/>
                <w:szCs w:val="21"/>
              </w:rPr>
              <w:t>小学，</w:t>
            </w:r>
            <w:r>
              <w:rPr>
                <w:spacing w:val="2"/>
                <w:sz w:val="21"/>
                <w:szCs w:val="21"/>
              </w:rPr>
              <w:t>6</w:t>
            </w:r>
            <w:r>
              <w:rPr>
                <w:spacing w:val="2"/>
                <w:sz w:val="21"/>
                <w:szCs w:val="21"/>
              </w:rPr>
              <w:t>个班</w:t>
            </w:r>
          </w:p>
        </w:tc>
        <w:tc>
          <w:tcPr>
            <w:tcW w:w="993" w:type="dxa"/>
            <w:vAlign w:val="center"/>
          </w:tcPr>
          <w:p w:rsidR="00240BCE" w:rsidRDefault="00AC0334">
            <w:pPr>
              <w:spacing w:line="300" w:lineRule="exact"/>
              <w:jc w:val="center"/>
              <w:rPr>
                <w:spacing w:val="2"/>
                <w:sz w:val="21"/>
                <w:szCs w:val="21"/>
              </w:rPr>
            </w:pPr>
            <w:r>
              <w:rPr>
                <w:spacing w:val="2"/>
                <w:sz w:val="21"/>
                <w:szCs w:val="21"/>
              </w:rPr>
              <w:t>砖混</w:t>
            </w:r>
          </w:p>
        </w:tc>
        <w:tc>
          <w:tcPr>
            <w:tcW w:w="3118" w:type="dxa"/>
            <w:vAlign w:val="center"/>
          </w:tcPr>
          <w:p w:rsidR="00240BCE" w:rsidRDefault="00AC0334">
            <w:pPr>
              <w:spacing w:line="300" w:lineRule="exact"/>
              <w:jc w:val="center"/>
              <w:rPr>
                <w:spacing w:val="2"/>
                <w:sz w:val="21"/>
                <w:szCs w:val="21"/>
              </w:rPr>
            </w:pPr>
            <w:r>
              <w:rPr>
                <w:spacing w:val="2"/>
                <w:sz w:val="21"/>
                <w:szCs w:val="21"/>
              </w:rPr>
              <w:t>首采区，位于首采区</w:t>
            </w:r>
            <w:r>
              <w:rPr>
                <w:spacing w:val="2"/>
                <w:sz w:val="21"/>
                <w:szCs w:val="21"/>
              </w:rPr>
              <w:t>21040</w:t>
            </w:r>
            <w:r>
              <w:rPr>
                <w:spacing w:val="2"/>
                <w:sz w:val="21"/>
                <w:szCs w:val="21"/>
              </w:rPr>
              <w:t>工作面</w:t>
            </w:r>
          </w:p>
        </w:tc>
      </w:tr>
      <w:tr w:rsidR="00240BCE">
        <w:trPr>
          <w:cantSplit/>
          <w:jc w:val="center"/>
        </w:trPr>
        <w:tc>
          <w:tcPr>
            <w:tcW w:w="1157" w:type="dxa"/>
            <w:vAlign w:val="center"/>
          </w:tcPr>
          <w:p w:rsidR="00240BCE" w:rsidRDefault="00AC0334">
            <w:pPr>
              <w:spacing w:line="300" w:lineRule="exact"/>
              <w:ind w:right="-26"/>
              <w:jc w:val="center"/>
              <w:rPr>
                <w:spacing w:val="2"/>
                <w:sz w:val="21"/>
                <w:szCs w:val="21"/>
              </w:rPr>
            </w:pPr>
            <w:r>
              <w:rPr>
                <w:bCs/>
                <w:spacing w:val="2"/>
                <w:sz w:val="21"/>
                <w:szCs w:val="21"/>
              </w:rPr>
              <w:t>连庄村</w:t>
            </w:r>
          </w:p>
        </w:tc>
        <w:tc>
          <w:tcPr>
            <w:tcW w:w="2592" w:type="dxa"/>
            <w:vAlign w:val="center"/>
          </w:tcPr>
          <w:p w:rsidR="00240BCE" w:rsidRDefault="00AC0334">
            <w:pPr>
              <w:spacing w:line="300" w:lineRule="exact"/>
              <w:jc w:val="center"/>
              <w:rPr>
                <w:spacing w:val="2"/>
                <w:sz w:val="21"/>
                <w:szCs w:val="21"/>
              </w:rPr>
            </w:pPr>
            <w:r>
              <w:rPr>
                <w:sz w:val="21"/>
                <w:szCs w:val="21"/>
              </w:rPr>
              <w:t>工业场地东</w:t>
            </w:r>
            <w:r>
              <w:rPr>
                <w:sz w:val="21"/>
                <w:szCs w:val="21"/>
              </w:rPr>
              <w:t>275m</w:t>
            </w:r>
            <w:r>
              <w:rPr>
                <w:sz w:val="21"/>
                <w:szCs w:val="21"/>
              </w:rPr>
              <w:t>～</w:t>
            </w:r>
            <w:r>
              <w:rPr>
                <w:sz w:val="21"/>
                <w:szCs w:val="21"/>
              </w:rPr>
              <w:t>1185m</w:t>
            </w:r>
          </w:p>
        </w:tc>
        <w:tc>
          <w:tcPr>
            <w:tcW w:w="1417" w:type="dxa"/>
            <w:vAlign w:val="center"/>
          </w:tcPr>
          <w:p w:rsidR="00240BCE" w:rsidRDefault="00AC0334">
            <w:pPr>
              <w:spacing w:line="300" w:lineRule="exact"/>
              <w:jc w:val="center"/>
              <w:rPr>
                <w:spacing w:val="2"/>
                <w:sz w:val="21"/>
                <w:szCs w:val="21"/>
              </w:rPr>
            </w:pPr>
            <w:r>
              <w:rPr>
                <w:spacing w:val="2"/>
                <w:sz w:val="21"/>
                <w:szCs w:val="21"/>
              </w:rPr>
              <w:t>250</w:t>
            </w:r>
            <w:r>
              <w:rPr>
                <w:spacing w:val="2"/>
                <w:sz w:val="21"/>
                <w:szCs w:val="21"/>
              </w:rPr>
              <w:t>户</w:t>
            </w:r>
            <w:r>
              <w:rPr>
                <w:spacing w:val="2"/>
                <w:sz w:val="21"/>
                <w:szCs w:val="21"/>
              </w:rPr>
              <w:t>950</w:t>
            </w:r>
            <w:r>
              <w:rPr>
                <w:spacing w:val="2"/>
                <w:sz w:val="21"/>
                <w:szCs w:val="21"/>
              </w:rPr>
              <w:t>人</w:t>
            </w:r>
          </w:p>
        </w:tc>
        <w:tc>
          <w:tcPr>
            <w:tcW w:w="993" w:type="dxa"/>
            <w:vAlign w:val="center"/>
          </w:tcPr>
          <w:p w:rsidR="00240BCE" w:rsidRDefault="00AC0334">
            <w:pPr>
              <w:spacing w:line="300" w:lineRule="exact"/>
              <w:jc w:val="center"/>
              <w:rPr>
                <w:spacing w:val="2"/>
                <w:sz w:val="21"/>
                <w:szCs w:val="21"/>
              </w:rPr>
            </w:pPr>
            <w:r>
              <w:rPr>
                <w:spacing w:val="2"/>
                <w:sz w:val="21"/>
                <w:szCs w:val="21"/>
              </w:rPr>
              <w:t>砖混</w:t>
            </w:r>
          </w:p>
        </w:tc>
        <w:tc>
          <w:tcPr>
            <w:tcW w:w="3118" w:type="dxa"/>
            <w:vAlign w:val="center"/>
          </w:tcPr>
          <w:p w:rsidR="00240BCE" w:rsidRDefault="00AC0334">
            <w:pPr>
              <w:spacing w:line="300" w:lineRule="exact"/>
              <w:jc w:val="center"/>
              <w:rPr>
                <w:spacing w:val="2"/>
                <w:sz w:val="21"/>
                <w:szCs w:val="21"/>
              </w:rPr>
            </w:pPr>
            <w:r>
              <w:rPr>
                <w:spacing w:val="2"/>
                <w:sz w:val="21"/>
                <w:szCs w:val="21"/>
              </w:rPr>
              <w:t>22</w:t>
            </w:r>
            <w:r>
              <w:rPr>
                <w:spacing w:val="2"/>
                <w:sz w:val="21"/>
                <w:szCs w:val="21"/>
              </w:rPr>
              <w:t>采区</w:t>
            </w:r>
          </w:p>
        </w:tc>
      </w:tr>
      <w:tr w:rsidR="00240BCE">
        <w:trPr>
          <w:cantSplit/>
          <w:jc w:val="center"/>
        </w:trPr>
        <w:tc>
          <w:tcPr>
            <w:tcW w:w="1157" w:type="dxa"/>
            <w:vAlign w:val="center"/>
          </w:tcPr>
          <w:p w:rsidR="00240BCE" w:rsidRDefault="00AC0334">
            <w:pPr>
              <w:jc w:val="center"/>
              <w:rPr>
                <w:sz w:val="21"/>
                <w:szCs w:val="21"/>
              </w:rPr>
            </w:pPr>
            <w:r>
              <w:rPr>
                <w:sz w:val="21"/>
                <w:szCs w:val="21"/>
              </w:rPr>
              <w:t>官庄窑村</w:t>
            </w:r>
          </w:p>
        </w:tc>
        <w:tc>
          <w:tcPr>
            <w:tcW w:w="2592" w:type="dxa"/>
            <w:vAlign w:val="center"/>
          </w:tcPr>
          <w:p w:rsidR="00240BCE" w:rsidRDefault="00AC0334">
            <w:pPr>
              <w:pStyle w:val="184"/>
              <w:spacing w:line="270" w:lineRule="exact"/>
              <w:rPr>
                <w:rFonts w:hAnsi="Times New Roman" w:cs="Times New Roman"/>
                <w:color w:val="auto"/>
                <w:szCs w:val="21"/>
              </w:rPr>
            </w:pPr>
            <w:r>
              <w:rPr>
                <w:rFonts w:hAnsi="Times New Roman" w:cs="Times New Roman"/>
                <w:color w:val="auto"/>
                <w:szCs w:val="21"/>
              </w:rPr>
              <w:t>工业场地南</w:t>
            </w:r>
            <w:r>
              <w:rPr>
                <w:rFonts w:hAnsi="Times New Roman" w:cs="Times New Roman"/>
                <w:color w:val="auto"/>
                <w:szCs w:val="21"/>
              </w:rPr>
              <w:t>1260m</w:t>
            </w:r>
            <w:r>
              <w:rPr>
                <w:rFonts w:hAnsi="Times New Roman" w:cs="Times New Roman"/>
                <w:color w:val="auto"/>
                <w:szCs w:val="21"/>
              </w:rPr>
              <w:t>～</w:t>
            </w:r>
            <w:r>
              <w:rPr>
                <w:rFonts w:hAnsi="Times New Roman" w:cs="Times New Roman"/>
                <w:color w:val="auto"/>
                <w:szCs w:val="21"/>
              </w:rPr>
              <w:t>1950m</w:t>
            </w:r>
          </w:p>
        </w:tc>
        <w:tc>
          <w:tcPr>
            <w:tcW w:w="1417" w:type="dxa"/>
            <w:vAlign w:val="center"/>
          </w:tcPr>
          <w:p w:rsidR="00240BCE" w:rsidRDefault="00AC0334">
            <w:pPr>
              <w:spacing w:line="300" w:lineRule="exact"/>
              <w:jc w:val="center"/>
              <w:rPr>
                <w:spacing w:val="2"/>
                <w:sz w:val="21"/>
                <w:szCs w:val="21"/>
              </w:rPr>
            </w:pPr>
            <w:r>
              <w:rPr>
                <w:sz w:val="21"/>
                <w:szCs w:val="21"/>
              </w:rPr>
              <w:t>253</w:t>
            </w:r>
            <w:r>
              <w:rPr>
                <w:sz w:val="21"/>
                <w:szCs w:val="21"/>
              </w:rPr>
              <w:t>户</w:t>
            </w:r>
            <w:r>
              <w:rPr>
                <w:sz w:val="21"/>
                <w:szCs w:val="21"/>
              </w:rPr>
              <w:t>861</w:t>
            </w:r>
            <w:r>
              <w:rPr>
                <w:sz w:val="21"/>
                <w:szCs w:val="21"/>
              </w:rPr>
              <w:t>人</w:t>
            </w:r>
          </w:p>
        </w:tc>
        <w:tc>
          <w:tcPr>
            <w:tcW w:w="993" w:type="dxa"/>
            <w:vAlign w:val="center"/>
          </w:tcPr>
          <w:p w:rsidR="00240BCE" w:rsidRDefault="00AC0334">
            <w:pPr>
              <w:spacing w:line="300" w:lineRule="exact"/>
              <w:jc w:val="center"/>
              <w:rPr>
                <w:spacing w:val="2"/>
                <w:sz w:val="21"/>
                <w:szCs w:val="21"/>
              </w:rPr>
            </w:pPr>
            <w:r>
              <w:rPr>
                <w:spacing w:val="2"/>
                <w:sz w:val="21"/>
                <w:szCs w:val="21"/>
              </w:rPr>
              <w:t>砖混</w:t>
            </w:r>
          </w:p>
        </w:tc>
        <w:tc>
          <w:tcPr>
            <w:tcW w:w="3118" w:type="dxa"/>
            <w:vAlign w:val="center"/>
          </w:tcPr>
          <w:p w:rsidR="00240BCE" w:rsidRDefault="00AC0334">
            <w:pPr>
              <w:spacing w:line="300" w:lineRule="exact"/>
              <w:jc w:val="center"/>
              <w:rPr>
                <w:spacing w:val="2"/>
                <w:sz w:val="21"/>
                <w:szCs w:val="21"/>
              </w:rPr>
            </w:pPr>
            <w:r>
              <w:rPr>
                <w:spacing w:val="2"/>
                <w:sz w:val="21"/>
                <w:szCs w:val="21"/>
              </w:rPr>
              <w:t>大部分位于井田范围外，约</w:t>
            </w:r>
            <w:r>
              <w:rPr>
                <w:spacing w:val="2"/>
                <w:sz w:val="21"/>
                <w:szCs w:val="21"/>
              </w:rPr>
              <w:t>25</w:t>
            </w:r>
            <w:r>
              <w:rPr>
                <w:spacing w:val="2"/>
                <w:sz w:val="21"/>
                <w:szCs w:val="21"/>
              </w:rPr>
              <w:t>户位于井田西南部无煤带</w:t>
            </w:r>
          </w:p>
        </w:tc>
      </w:tr>
      <w:tr w:rsidR="00240BCE">
        <w:trPr>
          <w:cantSplit/>
          <w:jc w:val="center"/>
        </w:trPr>
        <w:tc>
          <w:tcPr>
            <w:tcW w:w="1157" w:type="dxa"/>
            <w:vAlign w:val="center"/>
          </w:tcPr>
          <w:p w:rsidR="00240BCE" w:rsidRDefault="00AC0334">
            <w:pPr>
              <w:jc w:val="center"/>
              <w:rPr>
                <w:sz w:val="21"/>
                <w:szCs w:val="21"/>
              </w:rPr>
            </w:pPr>
            <w:r>
              <w:rPr>
                <w:sz w:val="21"/>
                <w:szCs w:val="21"/>
              </w:rPr>
              <w:t>楚黄庄村</w:t>
            </w:r>
          </w:p>
        </w:tc>
        <w:tc>
          <w:tcPr>
            <w:tcW w:w="2592" w:type="dxa"/>
            <w:vAlign w:val="center"/>
          </w:tcPr>
          <w:p w:rsidR="00240BCE" w:rsidRDefault="00AC0334">
            <w:pPr>
              <w:pStyle w:val="184"/>
              <w:spacing w:line="270" w:lineRule="exact"/>
              <w:rPr>
                <w:rFonts w:hAnsi="Times New Roman" w:cs="Times New Roman"/>
                <w:color w:val="auto"/>
                <w:szCs w:val="21"/>
              </w:rPr>
            </w:pPr>
            <w:r>
              <w:rPr>
                <w:rFonts w:hAnsi="Times New Roman" w:cs="Times New Roman"/>
                <w:color w:val="auto"/>
                <w:szCs w:val="21"/>
              </w:rPr>
              <w:t>工业场地西南</w:t>
            </w:r>
            <w:r>
              <w:rPr>
                <w:rFonts w:hAnsi="Times New Roman" w:cs="Times New Roman"/>
                <w:color w:val="auto"/>
                <w:szCs w:val="21"/>
              </w:rPr>
              <w:t>1100m</w:t>
            </w:r>
            <w:r>
              <w:rPr>
                <w:rFonts w:hAnsi="Times New Roman" w:cs="Times New Roman"/>
                <w:color w:val="auto"/>
                <w:szCs w:val="21"/>
              </w:rPr>
              <w:t>～</w:t>
            </w:r>
            <w:r>
              <w:rPr>
                <w:rFonts w:hAnsi="Times New Roman" w:cs="Times New Roman"/>
                <w:color w:val="auto"/>
                <w:szCs w:val="21"/>
              </w:rPr>
              <w:t>1950m</w:t>
            </w:r>
          </w:p>
        </w:tc>
        <w:tc>
          <w:tcPr>
            <w:tcW w:w="1417" w:type="dxa"/>
            <w:vAlign w:val="center"/>
          </w:tcPr>
          <w:p w:rsidR="00240BCE" w:rsidRDefault="00AC0334">
            <w:pPr>
              <w:spacing w:line="300" w:lineRule="exact"/>
              <w:jc w:val="center"/>
              <w:rPr>
                <w:spacing w:val="2"/>
                <w:sz w:val="21"/>
                <w:szCs w:val="21"/>
              </w:rPr>
            </w:pPr>
            <w:r>
              <w:rPr>
                <w:sz w:val="21"/>
                <w:szCs w:val="21"/>
              </w:rPr>
              <w:t>278</w:t>
            </w:r>
            <w:r>
              <w:rPr>
                <w:sz w:val="21"/>
                <w:szCs w:val="21"/>
              </w:rPr>
              <w:t>户</w:t>
            </w:r>
            <w:r>
              <w:rPr>
                <w:sz w:val="21"/>
                <w:szCs w:val="21"/>
              </w:rPr>
              <w:t>1013</w:t>
            </w:r>
            <w:r>
              <w:rPr>
                <w:sz w:val="21"/>
                <w:szCs w:val="21"/>
              </w:rPr>
              <w:t>人</w:t>
            </w:r>
          </w:p>
        </w:tc>
        <w:tc>
          <w:tcPr>
            <w:tcW w:w="993" w:type="dxa"/>
            <w:vAlign w:val="center"/>
          </w:tcPr>
          <w:p w:rsidR="00240BCE" w:rsidRDefault="00AC0334">
            <w:pPr>
              <w:spacing w:line="300" w:lineRule="exact"/>
              <w:jc w:val="center"/>
              <w:rPr>
                <w:spacing w:val="2"/>
                <w:sz w:val="21"/>
                <w:szCs w:val="21"/>
              </w:rPr>
            </w:pPr>
            <w:r>
              <w:rPr>
                <w:spacing w:val="2"/>
                <w:sz w:val="21"/>
                <w:szCs w:val="21"/>
              </w:rPr>
              <w:t>砖混</w:t>
            </w:r>
          </w:p>
        </w:tc>
        <w:tc>
          <w:tcPr>
            <w:tcW w:w="3118" w:type="dxa"/>
            <w:vAlign w:val="center"/>
          </w:tcPr>
          <w:p w:rsidR="00240BCE" w:rsidRDefault="00AC0334">
            <w:pPr>
              <w:spacing w:line="300" w:lineRule="exact"/>
              <w:jc w:val="center"/>
              <w:rPr>
                <w:spacing w:val="2"/>
                <w:sz w:val="21"/>
                <w:szCs w:val="21"/>
              </w:rPr>
            </w:pPr>
            <w:r>
              <w:rPr>
                <w:spacing w:val="2"/>
                <w:sz w:val="21"/>
                <w:szCs w:val="21"/>
              </w:rPr>
              <w:t>大部分位于井田范围外，约</w:t>
            </w:r>
            <w:r>
              <w:rPr>
                <w:spacing w:val="2"/>
                <w:sz w:val="21"/>
                <w:szCs w:val="21"/>
              </w:rPr>
              <w:t>25</w:t>
            </w:r>
            <w:r>
              <w:rPr>
                <w:spacing w:val="2"/>
                <w:sz w:val="21"/>
                <w:szCs w:val="21"/>
              </w:rPr>
              <w:t>户位于井田南部无煤带</w:t>
            </w:r>
          </w:p>
        </w:tc>
      </w:tr>
      <w:tr w:rsidR="00240BCE">
        <w:trPr>
          <w:cantSplit/>
          <w:jc w:val="center"/>
        </w:trPr>
        <w:tc>
          <w:tcPr>
            <w:tcW w:w="9277" w:type="dxa"/>
            <w:gridSpan w:val="5"/>
            <w:vAlign w:val="center"/>
          </w:tcPr>
          <w:p w:rsidR="00240BCE" w:rsidRDefault="00AC0334">
            <w:pPr>
              <w:spacing w:line="300" w:lineRule="exact"/>
              <w:jc w:val="center"/>
              <w:rPr>
                <w:spacing w:val="2"/>
                <w:sz w:val="21"/>
                <w:szCs w:val="21"/>
              </w:rPr>
            </w:pPr>
            <w:r>
              <w:rPr>
                <w:spacing w:val="2"/>
                <w:sz w:val="21"/>
                <w:szCs w:val="21"/>
              </w:rPr>
              <w:t>注：方位、距离均为相对工业广场中心的方位、距离</w:t>
            </w:r>
          </w:p>
        </w:tc>
      </w:tr>
    </w:tbl>
    <w:p w:rsidR="00240BCE" w:rsidRDefault="00AC0334">
      <w:pPr>
        <w:spacing w:line="520" w:lineRule="exact"/>
        <w:ind w:firstLineChars="200" w:firstLine="480"/>
        <w:rPr>
          <w:sz w:val="24"/>
        </w:rPr>
      </w:pPr>
      <w:r>
        <w:rPr>
          <w:sz w:val="24"/>
        </w:rPr>
        <w:t>3</w:t>
      </w:r>
      <w:r>
        <w:rPr>
          <w:sz w:val="24"/>
        </w:rPr>
        <w:t>、地表沉陷对地表建筑物的影响分析</w:t>
      </w:r>
    </w:p>
    <w:p w:rsidR="00240BCE" w:rsidRDefault="00AC0334">
      <w:pPr>
        <w:spacing w:line="520" w:lineRule="exact"/>
        <w:ind w:firstLineChars="200" w:firstLine="480"/>
        <w:rPr>
          <w:sz w:val="24"/>
        </w:rPr>
      </w:pPr>
      <w:r>
        <w:rPr>
          <w:sz w:val="24"/>
        </w:rPr>
        <w:t>根据《建筑物、水体、铁路及主要井巷煤柱留设与压煤开采规程》推荐的概率积分法地表变形移动公式预测井田内及周边村庄等建构筑屋损害程度见表</w:t>
      </w:r>
      <w:r>
        <w:rPr>
          <w:sz w:val="24"/>
        </w:rPr>
        <w:t>5.3-7</w:t>
      </w:r>
      <w:r>
        <w:rPr>
          <w:sz w:val="24"/>
        </w:rPr>
        <w:t>。</w:t>
      </w:r>
    </w:p>
    <w:p w:rsidR="00240BCE" w:rsidRDefault="00AC0334">
      <w:pPr>
        <w:jc w:val="center"/>
        <w:rPr>
          <w:rFonts w:eastAsia="黑体"/>
          <w:sz w:val="24"/>
        </w:rPr>
      </w:pPr>
      <w:r>
        <w:rPr>
          <w:rFonts w:eastAsia="黑体"/>
          <w:sz w:val="24"/>
        </w:rPr>
        <w:t xml:space="preserve">5.3-7 </w:t>
      </w:r>
      <w:r>
        <w:rPr>
          <w:rFonts w:eastAsia="黑体" w:hint="eastAsia"/>
          <w:sz w:val="24"/>
        </w:rPr>
        <w:t xml:space="preserve">   </w:t>
      </w:r>
      <w:r>
        <w:rPr>
          <w:rFonts w:eastAsia="黑体"/>
          <w:sz w:val="24"/>
        </w:rPr>
        <w:t>地表沉陷对村庄的影响情况</w:t>
      </w:r>
    </w:p>
    <w:tbl>
      <w:tblPr>
        <w:tblW w:w="49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14"/>
        <w:gridCol w:w="941"/>
        <w:gridCol w:w="941"/>
        <w:gridCol w:w="979"/>
        <w:gridCol w:w="1034"/>
        <w:gridCol w:w="849"/>
        <w:gridCol w:w="851"/>
        <w:gridCol w:w="844"/>
        <w:gridCol w:w="1385"/>
      </w:tblGrid>
      <w:tr w:rsidR="00240BCE">
        <w:trPr>
          <w:trHeight w:val="900"/>
        </w:trPr>
        <w:tc>
          <w:tcPr>
            <w:tcW w:w="526" w:type="pct"/>
            <w:vAlign w:val="center"/>
          </w:tcPr>
          <w:p w:rsidR="00240BCE" w:rsidRDefault="00AC0334">
            <w:pPr>
              <w:spacing w:line="300" w:lineRule="exact"/>
              <w:jc w:val="center"/>
              <w:rPr>
                <w:sz w:val="21"/>
                <w:szCs w:val="21"/>
              </w:rPr>
            </w:pPr>
            <w:r>
              <w:rPr>
                <w:sz w:val="21"/>
                <w:szCs w:val="21"/>
              </w:rPr>
              <w:t>村庄</w:t>
            </w:r>
          </w:p>
          <w:p w:rsidR="00240BCE" w:rsidRDefault="00AC0334">
            <w:pPr>
              <w:spacing w:line="300" w:lineRule="exact"/>
              <w:jc w:val="center"/>
              <w:rPr>
                <w:sz w:val="21"/>
                <w:szCs w:val="21"/>
              </w:rPr>
            </w:pPr>
            <w:r>
              <w:rPr>
                <w:sz w:val="21"/>
                <w:szCs w:val="21"/>
              </w:rPr>
              <w:t>名称</w:t>
            </w:r>
          </w:p>
        </w:tc>
        <w:tc>
          <w:tcPr>
            <w:tcW w:w="541" w:type="pct"/>
            <w:vAlign w:val="center"/>
          </w:tcPr>
          <w:p w:rsidR="00240BCE" w:rsidRDefault="00AC0334">
            <w:pPr>
              <w:spacing w:line="300" w:lineRule="exact"/>
              <w:jc w:val="center"/>
              <w:rPr>
                <w:sz w:val="21"/>
                <w:szCs w:val="21"/>
              </w:rPr>
            </w:pPr>
            <w:r>
              <w:rPr>
                <w:sz w:val="21"/>
                <w:szCs w:val="21"/>
              </w:rPr>
              <w:t>沉陷值（</w:t>
            </w:r>
            <w:r>
              <w:rPr>
                <w:sz w:val="21"/>
                <w:szCs w:val="21"/>
              </w:rPr>
              <w:t>mm</w:t>
            </w:r>
            <w:r>
              <w:rPr>
                <w:sz w:val="21"/>
                <w:szCs w:val="21"/>
              </w:rPr>
              <w:t>）</w:t>
            </w:r>
          </w:p>
        </w:tc>
        <w:tc>
          <w:tcPr>
            <w:tcW w:w="541" w:type="pct"/>
            <w:vAlign w:val="center"/>
          </w:tcPr>
          <w:p w:rsidR="00240BCE" w:rsidRDefault="00AC0334">
            <w:pPr>
              <w:spacing w:line="300" w:lineRule="exact"/>
              <w:jc w:val="center"/>
              <w:rPr>
                <w:sz w:val="21"/>
                <w:szCs w:val="21"/>
              </w:rPr>
            </w:pPr>
            <w:r>
              <w:rPr>
                <w:sz w:val="21"/>
                <w:szCs w:val="21"/>
              </w:rPr>
              <w:t>最大倾斜值（</w:t>
            </w:r>
            <w:r>
              <w:rPr>
                <w:sz w:val="21"/>
                <w:szCs w:val="21"/>
              </w:rPr>
              <w:t>mm</w:t>
            </w:r>
            <w:r>
              <w:rPr>
                <w:sz w:val="21"/>
                <w:szCs w:val="21"/>
              </w:rPr>
              <w:t>）</w:t>
            </w:r>
          </w:p>
        </w:tc>
        <w:tc>
          <w:tcPr>
            <w:tcW w:w="541" w:type="pct"/>
            <w:vAlign w:val="center"/>
          </w:tcPr>
          <w:p w:rsidR="00240BCE" w:rsidRDefault="00AC0334">
            <w:pPr>
              <w:spacing w:line="300" w:lineRule="exact"/>
              <w:jc w:val="center"/>
              <w:rPr>
                <w:sz w:val="21"/>
                <w:szCs w:val="21"/>
              </w:rPr>
            </w:pPr>
            <w:r>
              <w:rPr>
                <w:sz w:val="21"/>
                <w:szCs w:val="21"/>
              </w:rPr>
              <w:t>最大曲率值（</w:t>
            </w:r>
            <w:r>
              <w:rPr>
                <w:sz w:val="21"/>
                <w:szCs w:val="21"/>
              </w:rPr>
              <w:t>10</w:t>
            </w:r>
            <w:r>
              <w:rPr>
                <w:sz w:val="21"/>
                <w:szCs w:val="21"/>
                <w:vertAlign w:val="superscript"/>
              </w:rPr>
              <w:t>-3</w:t>
            </w:r>
            <w:r>
              <w:rPr>
                <w:sz w:val="21"/>
                <w:szCs w:val="21"/>
              </w:rPr>
              <w:t>/m</w:t>
            </w:r>
            <w:r>
              <w:rPr>
                <w:sz w:val="21"/>
                <w:szCs w:val="21"/>
              </w:rPr>
              <w:t>）</w:t>
            </w:r>
          </w:p>
        </w:tc>
        <w:tc>
          <w:tcPr>
            <w:tcW w:w="594" w:type="pct"/>
            <w:vAlign w:val="center"/>
          </w:tcPr>
          <w:p w:rsidR="00240BCE" w:rsidRDefault="00AC0334">
            <w:pPr>
              <w:spacing w:line="300" w:lineRule="exact"/>
              <w:jc w:val="center"/>
              <w:rPr>
                <w:sz w:val="21"/>
                <w:szCs w:val="21"/>
              </w:rPr>
            </w:pPr>
            <w:r>
              <w:rPr>
                <w:sz w:val="21"/>
                <w:szCs w:val="21"/>
              </w:rPr>
              <w:t>最大水平变形（</w:t>
            </w:r>
            <w:r>
              <w:rPr>
                <w:sz w:val="21"/>
                <w:szCs w:val="21"/>
              </w:rPr>
              <w:t>mm/m</w:t>
            </w:r>
            <w:r>
              <w:rPr>
                <w:sz w:val="21"/>
                <w:szCs w:val="21"/>
              </w:rPr>
              <w:t>）</w:t>
            </w:r>
          </w:p>
        </w:tc>
        <w:tc>
          <w:tcPr>
            <w:tcW w:w="488" w:type="pct"/>
            <w:vAlign w:val="center"/>
          </w:tcPr>
          <w:p w:rsidR="00240BCE" w:rsidRDefault="00AC0334">
            <w:pPr>
              <w:spacing w:line="300" w:lineRule="exact"/>
              <w:jc w:val="center"/>
              <w:rPr>
                <w:sz w:val="21"/>
                <w:szCs w:val="21"/>
              </w:rPr>
            </w:pPr>
            <w:r>
              <w:rPr>
                <w:sz w:val="21"/>
                <w:szCs w:val="21"/>
              </w:rPr>
              <w:t>预测损坏等级</w:t>
            </w:r>
          </w:p>
        </w:tc>
        <w:tc>
          <w:tcPr>
            <w:tcW w:w="489" w:type="pct"/>
            <w:vAlign w:val="center"/>
          </w:tcPr>
          <w:p w:rsidR="00240BCE" w:rsidRDefault="00AC0334">
            <w:pPr>
              <w:spacing w:line="300" w:lineRule="exact"/>
              <w:jc w:val="center"/>
              <w:rPr>
                <w:sz w:val="21"/>
                <w:szCs w:val="21"/>
              </w:rPr>
            </w:pPr>
            <w:r>
              <w:rPr>
                <w:sz w:val="21"/>
                <w:szCs w:val="21"/>
              </w:rPr>
              <w:t>确定损坏等级</w:t>
            </w:r>
          </w:p>
        </w:tc>
        <w:tc>
          <w:tcPr>
            <w:tcW w:w="485" w:type="pct"/>
            <w:vAlign w:val="center"/>
          </w:tcPr>
          <w:p w:rsidR="00240BCE" w:rsidRDefault="00AC0334">
            <w:pPr>
              <w:spacing w:line="300" w:lineRule="exact"/>
              <w:jc w:val="center"/>
              <w:rPr>
                <w:sz w:val="21"/>
                <w:szCs w:val="21"/>
              </w:rPr>
            </w:pPr>
            <w:r>
              <w:rPr>
                <w:sz w:val="21"/>
                <w:szCs w:val="21"/>
              </w:rPr>
              <w:t>处理方式</w:t>
            </w:r>
          </w:p>
        </w:tc>
        <w:tc>
          <w:tcPr>
            <w:tcW w:w="795" w:type="pct"/>
            <w:vAlign w:val="center"/>
          </w:tcPr>
          <w:p w:rsidR="00240BCE" w:rsidRDefault="00AC0334">
            <w:pPr>
              <w:spacing w:line="300" w:lineRule="exact"/>
              <w:jc w:val="center"/>
              <w:rPr>
                <w:sz w:val="21"/>
                <w:szCs w:val="21"/>
              </w:rPr>
            </w:pPr>
            <w:r>
              <w:rPr>
                <w:sz w:val="21"/>
                <w:szCs w:val="21"/>
              </w:rPr>
              <w:t>特征</w:t>
            </w:r>
          </w:p>
        </w:tc>
      </w:tr>
      <w:tr w:rsidR="00240BCE">
        <w:tc>
          <w:tcPr>
            <w:tcW w:w="526" w:type="pct"/>
            <w:vAlign w:val="center"/>
          </w:tcPr>
          <w:p w:rsidR="00240BCE" w:rsidRDefault="00AC0334">
            <w:pPr>
              <w:spacing w:line="300" w:lineRule="exact"/>
              <w:ind w:right="-26"/>
              <w:jc w:val="center"/>
              <w:rPr>
                <w:spacing w:val="2"/>
                <w:sz w:val="21"/>
                <w:szCs w:val="21"/>
              </w:rPr>
            </w:pPr>
            <w:r>
              <w:rPr>
                <w:spacing w:val="2"/>
                <w:sz w:val="21"/>
                <w:szCs w:val="21"/>
              </w:rPr>
              <w:t>工业场地</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94" w:type="pct"/>
            <w:vAlign w:val="center"/>
          </w:tcPr>
          <w:p w:rsidR="00240BCE" w:rsidRDefault="00AC0334">
            <w:pPr>
              <w:spacing w:line="300" w:lineRule="exact"/>
              <w:jc w:val="center"/>
              <w:rPr>
                <w:spacing w:val="2"/>
                <w:sz w:val="21"/>
                <w:szCs w:val="21"/>
              </w:rPr>
            </w:pPr>
            <w:r>
              <w:rPr>
                <w:spacing w:val="2"/>
                <w:sz w:val="21"/>
                <w:szCs w:val="21"/>
              </w:rPr>
              <w:t>――</w:t>
            </w:r>
          </w:p>
        </w:tc>
        <w:tc>
          <w:tcPr>
            <w:tcW w:w="977" w:type="pct"/>
            <w:gridSpan w:val="2"/>
            <w:vAlign w:val="center"/>
          </w:tcPr>
          <w:p w:rsidR="00240BCE" w:rsidRDefault="00AC0334">
            <w:pPr>
              <w:spacing w:line="300" w:lineRule="exact"/>
              <w:jc w:val="center"/>
              <w:rPr>
                <w:sz w:val="21"/>
                <w:szCs w:val="21"/>
              </w:rPr>
            </w:pPr>
            <w:r>
              <w:rPr>
                <w:sz w:val="21"/>
                <w:szCs w:val="21"/>
              </w:rPr>
              <w:t>不受影响</w:t>
            </w:r>
          </w:p>
        </w:tc>
        <w:tc>
          <w:tcPr>
            <w:tcW w:w="485" w:type="pct"/>
            <w:vAlign w:val="center"/>
          </w:tcPr>
          <w:p w:rsidR="00240BCE" w:rsidRDefault="00AC0334">
            <w:pPr>
              <w:spacing w:line="300" w:lineRule="exact"/>
              <w:jc w:val="center"/>
              <w:rPr>
                <w:sz w:val="21"/>
                <w:szCs w:val="21"/>
              </w:rPr>
            </w:pPr>
            <w:r>
              <w:rPr>
                <w:sz w:val="21"/>
                <w:szCs w:val="21"/>
              </w:rPr>
              <w:t>保护煤柱</w:t>
            </w:r>
          </w:p>
        </w:tc>
        <w:tc>
          <w:tcPr>
            <w:tcW w:w="795" w:type="pct"/>
            <w:vAlign w:val="center"/>
          </w:tcPr>
          <w:p w:rsidR="00240BCE" w:rsidRDefault="00240BCE">
            <w:pPr>
              <w:spacing w:line="300" w:lineRule="exact"/>
              <w:jc w:val="center"/>
              <w:rPr>
                <w:sz w:val="21"/>
                <w:szCs w:val="21"/>
              </w:rPr>
            </w:pPr>
          </w:p>
        </w:tc>
      </w:tr>
      <w:tr w:rsidR="00240BCE">
        <w:tc>
          <w:tcPr>
            <w:tcW w:w="526" w:type="pct"/>
            <w:vAlign w:val="center"/>
          </w:tcPr>
          <w:p w:rsidR="00240BCE" w:rsidRDefault="00AC0334">
            <w:pPr>
              <w:spacing w:line="300" w:lineRule="exact"/>
              <w:ind w:right="-26"/>
              <w:jc w:val="center"/>
              <w:rPr>
                <w:spacing w:val="2"/>
                <w:sz w:val="21"/>
                <w:szCs w:val="21"/>
              </w:rPr>
            </w:pPr>
            <w:r>
              <w:rPr>
                <w:spacing w:val="2"/>
                <w:sz w:val="21"/>
                <w:szCs w:val="21"/>
              </w:rPr>
              <w:t>柿树行组</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94" w:type="pct"/>
            <w:vAlign w:val="center"/>
          </w:tcPr>
          <w:p w:rsidR="00240BCE" w:rsidRDefault="00AC0334">
            <w:pPr>
              <w:spacing w:line="300" w:lineRule="exact"/>
              <w:jc w:val="center"/>
              <w:rPr>
                <w:spacing w:val="2"/>
                <w:sz w:val="21"/>
                <w:szCs w:val="21"/>
              </w:rPr>
            </w:pPr>
            <w:r>
              <w:rPr>
                <w:spacing w:val="2"/>
                <w:sz w:val="21"/>
                <w:szCs w:val="21"/>
              </w:rPr>
              <w:t>――</w:t>
            </w:r>
          </w:p>
        </w:tc>
        <w:tc>
          <w:tcPr>
            <w:tcW w:w="1462" w:type="pct"/>
            <w:gridSpan w:val="3"/>
            <w:vAlign w:val="center"/>
          </w:tcPr>
          <w:p w:rsidR="00240BCE" w:rsidRDefault="00AC0334">
            <w:pPr>
              <w:spacing w:line="300" w:lineRule="exact"/>
              <w:jc w:val="center"/>
              <w:rPr>
                <w:sz w:val="21"/>
                <w:szCs w:val="21"/>
              </w:rPr>
            </w:pPr>
            <w:r>
              <w:rPr>
                <w:sz w:val="21"/>
                <w:szCs w:val="21"/>
              </w:rPr>
              <w:t>沉陷范围外，不受影响</w:t>
            </w:r>
          </w:p>
        </w:tc>
        <w:tc>
          <w:tcPr>
            <w:tcW w:w="795" w:type="pct"/>
            <w:vAlign w:val="center"/>
          </w:tcPr>
          <w:p w:rsidR="00240BCE" w:rsidRDefault="00AC0334">
            <w:pPr>
              <w:spacing w:line="300" w:lineRule="exact"/>
              <w:jc w:val="center"/>
              <w:rPr>
                <w:spacing w:val="2"/>
                <w:sz w:val="21"/>
                <w:szCs w:val="21"/>
              </w:rPr>
            </w:pPr>
            <w:r>
              <w:rPr>
                <w:spacing w:val="2"/>
                <w:sz w:val="21"/>
                <w:szCs w:val="21"/>
              </w:rPr>
              <w:t>32</w:t>
            </w:r>
            <w:r>
              <w:rPr>
                <w:spacing w:val="2"/>
                <w:sz w:val="21"/>
                <w:szCs w:val="21"/>
              </w:rPr>
              <w:t>户</w:t>
            </w:r>
            <w:r>
              <w:rPr>
                <w:spacing w:val="2"/>
                <w:sz w:val="21"/>
                <w:szCs w:val="21"/>
              </w:rPr>
              <w:t>122</w:t>
            </w:r>
            <w:r>
              <w:rPr>
                <w:spacing w:val="2"/>
                <w:sz w:val="21"/>
                <w:szCs w:val="21"/>
              </w:rPr>
              <w:t>人</w:t>
            </w:r>
          </w:p>
        </w:tc>
      </w:tr>
      <w:tr w:rsidR="00240BCE">
        <w:tc>
          <w:tcPr>
            <w:tcW w:w="526" w:type="pct"/>
            <w:vAlign w:val="center"/>
          </w:tcPr>
          <w:p w:rsidR="00240BCE" w:rsidRDefault="00AC0334">
            <w:pPr>
              <w:spacing w:line="300" w:lineRule="exact"/>
              <w:ind w:right="-26"/>
              <w:jc w:val="center"/>
              <w:rPr>
                <w:spacing w:val="2"/>
                <w:sz w:val="21"/>
                <w:szCs w:val="21"/>
              </w:rPr>
            </w:pPr>
            <w:r>
              <w:rPr>
                <w:bCs/>
                <w:spacing w:val="2"/>
                <w:sz w:val="21"/>
                <w:szCs w:val="21"/>
              </w:rPr>
              <w:t>赵沟村</w:t>
            </w:r>
          </w:p>
        </w:tc>
        <w:tc>
          <w:tcPr>
            <w:tcW w:w="541" w:type="pct"/>
            <w:vAlign w:val="center"/>
          </w:tcPr>
          <w:p w:rsidR="00240BCE" w:rsidRDefault="00AC0334">
            <w:pPr>
              <w:autoSpaceDE w:val="0"/>
              <w:autoSpaceDN w:val="0"/>
              <w:adjustRightInd w:val="0"/>
              <w:spacing w:line="360" w:lineRule="exact"/>
              <w:jc w:val="center"/>
              <w:rPr>
                <w:sz w:val="21"/>
                <w:szCs w:val="21"/>
              </w:rPr>
            </w:pPr>
            <w:r>
              <w:rPr>
                <w:sz w:val="21"/>
                <w:szCs w:val="21"/>
              </w:rPr>
              <w:t>2007.52</w:t>
            </w:r>
          </w:p>
        </w:tc>
        <w:tc>
          <w:tcPr>
            <w:tcW w:w="541" w:type="pct"/>
            <w:vAlign w:val="center"/>
          </w:tcPr>
          <w:p w:rsidR="00240BCE" w:rsidRDefault="00AC0334">
            <w:pPr>
              <w:autoSpaceDE w:val="0"/>
              <w:autoSpaceDN w:val="0"/>
              <w:adjustRightInd w:val="0"/>
              <w:spacing w:line="360" w:lineRule="exact"/>
              <w:jc w:val="center"/>
              <w:rPr>
                <w:sz w:val="21"/>
                <w:szCs w:val="21"/>
              </w:rPr>
            </w:pPr>
            <w:r>
              <w:rPr>
                <w:sz w:val="21"/>
                <w:szCs w:val="21"/>
              </w:rPr>
              <w:t>22.31</w:t>
            </w:r>
          </w:p>
        </w:tc>
        <w:tc>
          <w:tcPr>
            <w:tcW w:w="541" w:type="pct"/>
            <w:vAlign w:val="center"/>
          </w:tcPr>
          <w:p w:rsidR="00240BCE" w:rsidRDefault="00AC0334">
            <w:pPr>
              <w:autoSpaceDE w:val="0"/>
              <w:autoSpaceDN w:val="0"/>
              <w:adjustRightInd w:val="0"/>
              <w:spacing w:line="360" w:lineRule="exact"/>
              <w:jc w:val="center"/>
              <w:rPr>
                <w:sz w:val="21"/>
                <w:szCs w:val="21"/>
              </w:rPr>
            </w:pPr>
            <w:r>
              <w:rPr>
                <w:sz w:val="21"/>
                <w:szCs w:val="21"/>
              </w:rPr>
              <w:t>0.38</w:t>
            </w:r>
          </w:p>
        </w:tc>
        <w:tc>
          <w:tcPr>
            <w:tcW w:w="594" w:type="pct"/>
            <w:vAlign w:val="center"/>
          </w:tcPr>
          <w:p w:rsidR="00240BCE" w:rsidRDefault="00AC0334">
            <w:pPr>
              <w:spacing w:line="300" w:lineRule="exact"/>
              <w:jc w:val="center"/>
              <w:rPr>
                <w:sz w:val="21"/>
                <w:szCs w:val="21"/>
              </w:rPr>
            </w:pPr>
            <w:r>
              <w:rPr>
                <w:spacing w:val="2"/>
                <w:sz w:val="21"/>
                <w:szCs w:val="21"/>
              </w:rPr>
              <w:t>10.17</w:t>
            </w:r>
          </w:p>
        </w:tc>
        <w:tc>
          <w:tcPr>
            <w:tcW w:w="488" w:type="pct"/>
            <w:vAlign w:val="center"/>
          </w:tcPr>
          <w:p w:rsidR="00240BCE" w:rsidRDefault="00AC0334">
            <w:pPr>
              <w:spacing w:line="300" w:lineRule="exact"/>
              <w:jc w:val="center"/>
              <w:rPr>
                <w:sz w:val="21"/>
                <w:szCs w:val="21"/>
              </w:rPr>
            </w:pPr>
            <w:r>
              <w:rPr>
                <w:sz w:val="21"/>
                <w:szCs w:val="21"/>
              </w:rPr>
              <w:t>Ⅳ</w:t>
            </w:r>
          </w:p>
        </w:tc>
        <w:tc>
          <w:tcPr>
            <w:tcW w:w="489" w:type="pct"/>
            <w:vAlign w:val="center"/>
          </w:tcPr>
          <w:p w:rsidR="00240BCE" w:rsidRDefault="00AC0334">
            <w:pPr>
              <w:spacing w:line="300" w:lineRule="exact"/>
              <w:jc w:val="center"/>
              <w:rPr>
                <w:sz w:val="21"/>
                <w:szCs w:val="21"/>
              </w:rPr>
            </w:pPr>
            <w:r>
              <w:rPr>
                <w:sz w:val="21"/>
                <w:szCs w:val="21"/>
              </w:rPr>
              <w:t>Ⅳ</w:t>
            </w:r>
          </w:p>
        </w:tc>
        <w:tc>
          <w:tcPr>
            <w:tcW w:w="485" w:type="pct"/>
            <w:vAlign w:val="center"/>
          </w:tcPr>
          <w:p w:rsidR="00240BCE" w:rsidRDefault="00AC0334">
            <w:pPr>
              <w:spacing w:line="300" w:lineRule="exact"/>
              <w:jc w:val="center"/>
              <w:rPr>
                <w:sz w:val="21"/>
                <w:szCs w:val="21"/>
              </w:rPr>
            </w:pPr>
            <w:r>
              <w:rPr>
                <w:sz w:val="21"/>
                <w:szCs w:val="21"/>
              </w:rPr>
              <w:t>搬迁</w:t>
            </w:r>
          </w:p>
        </w:tc>
        <w:tc>
          <w:tcPr>
            <w:tcW w:w="795" w:type="pct"/>
            <w:vAlign w:val="center"/>
          </w:tcPr>
          <w:p w:rsidR="00240BCE" w:rsidRDefault="00AC0334">
            <w:pPr>
              <w:spacing w:line="300" w:lineRule="exact"/>
              <w:jc w:val="center"/>
              <w:rPr>
                <w:spacing w:val="2"/>
                <w:sz w:val="21"/>
                <w:szCs w:val="21"/>
              </w:rPr>
            </w:pPr>
            <w:r>
              <w:rPr>
                <w:spacing w:val="2"/>
                <w:sz w:val="21"/>
                <w:szCs w:val="21"/>
              </w:rPr>
              <w:t>256</w:t>
            </w:r>
            <w:r>
              <w:rPr>
                <w:spacing w:val="2"/>
                <w:sz w:val="21"/>
                <w:szCs w:val="21"/>
              </w:rPr>
              <w:t>户</w:t>
            </w:r>
            <w:r>
              <w:rPr>
                <w:spacing w:val="2"/>
                <w:sz w:val="21"/>
                <w:szCs w:val="21"/>
              </w:rPr>
              <w:t>989</w:t>
            </w:r>
            <w:r>
              <w:rPr>
                <w:spacing w:val="2"/>
                <w:sz w:val="21"/>
                <w:szCs w:val="21"/>
              </w:rPr>
              <w:t>人</w:t>
            </w:r>
          </w:p>
        </w:tc>
      </w:tr>
      <w:tr w:rsidR="00240BCE">
        <w:tc>
          <w:tcPr>
            <w:tcW w:w="526" w:type="pct"/>
            <w:vAlign w:val="center"/>
          </w:tcPr>
          <w:p w:rsidR="00240BCE" w:rsidRDefault="00AC0334">
            <w:pPr>
              <w:spacing w:line="300" w:lineRule="exact"/>
              <w:ind w:right="-26"/>
              <w:jc w:val="center"/>
              <w:rPr>
                <w:spacing w:val="2"/>
                <w:sz w:val="21"/>
                <w:szCs w:val="21"/>
              </w:rPr>
            </w:pPr>
            <w:r>
              <w:rPr>
                <w:bCs/>
                <w:spacing w:val="2"/>
                <w:sz w:val="21"/>
                <w:szCs w:val="21"/>
              </w:rPr>
              <w:t>楼院村</w:t>
            </w:r>
          </w:p>
        </w:tc>
        <w:tc>
          <w:tcPr>
            <w:tcW w:w="541" w:type="pct"/>
            <w:vAlign w:val="center"/>
          </w:tcPr>
          <w:p w:rsidR="00240BCE" w:rsidRDefault="00AC0334">
            <w:pPr>
              <w:spacing w:line="300" w:lineRule="exact"/>
              <w:jc w:val="center"/>
              <w:rPr>
                <w:spacing w:val="2"/>
                <w:sz w:val="21"/>
                <w:szCs w:val="21"/>
              </w:rPr>
            </w:pPr>
            <w:r>
              <w:rPr>
                <w:sz w:val="21"/>
                <w:szCs w:val="21"/>
              </w:rPr>
              <w:t>1973.35</w:t>
            </w:r>
          </w:p>
        </w:tc>
        <w:tc>
          <w:tcPr>
            <w:tcW w:w="541" w:type="pct"/>
            <w:vAlign w:val="center"/>
          </w:tcPr>
          <w:p w:rsidR="00240BCE" w:rsidRDefault="00AC0334">
            <w:pPr>
              <w:spacing w:line="300" w:lineRule="exact"/>
              <w:jc w:val="center"/>
              <w:rPr>
                <w:spacing w:val="2"/>
                <w:sz w:val="21"/>
                <w:szCs w:val="21"/>
              </w:rPr>
            </w:pPr>
            <w:r>
              <w:rPr>
                <w:spacing w:val="2"/>
                <w:sz w:val="21"/>
                <w:szCs w:val="21"/>
              </w:rPr>
              <w:t>15.40</w:t>
            </w:r>
          </w:p>
        </w:tc>
        <w:tc>
          <w:tcPr>
            <w:tcW w:w="541" w:type="pct"/>
            <w:vAlign w:val="center"/>
          </w:tcPr>
          <w:p w:rsidR="00240BCE" w:rsidRDefault="00AC0334">
            <w:pPr>
              <w:spacing w:line="300" w:lineRule="exact"/>
              <w:jc w:val="center"/>
              <w:rPr>
                <w:spacing w:val="2"/>
                <w:sz w:val="21"/>
                <w:szCs w:val="21"/>
              </w:rPr>
            </w:pPr>
            <w:r>
              <w:rPr>
                <w:spacing w:val="2"/>
                <w:sz w:val="21"/>
                <w:szCs w:val="21"/>
              </w:rPr>
              <w:t>0.18</w:t>
            </w:r>
          </w:p>
        </w:tc>
        <w:tc>
          <w:tcPr>
            <w:tcW w:w="594" w:type="pct"/>
            <w:vAlign w:val="center"/>
          </w:tcPr>
          <w:p w:rsidR="00240BCE" w:rsidRDefault="00AC0334">
            <w:pPr>
              <w:spacing w:line="300" w:lineRule="exact"/>
              <w:jc w:val="center"/>
              <w:rPr>
                <w:spacing w:val="2"/>
                <w:sz w:val="21"/>
                <w:szCs w:val="21"/>
              </w:rPr>
            </w:pPr>
            <w:r>
              <w:rPr>
                <w:spacing w:val="2"/>
                <w:sz w:val="21"/>
                <w:szCs w:val="21"/>
              </w:rPr>
              <w:t>7.02</w:t>
            </w:r>
          </w:p>
        </w:tc>
        <w:tc>
          <w:tcPr>
            <w:tcW w:w="488" w:type="pct"/>
            <w:vAlign w:val="center"/>
          </w:tcPr>
          <w:p w:rsidR="00240BCE" w:rsidRDefault="00AC0334">
            <w:pPr>
              <w:spacing w:line="300" w:lineRule="exact"/>
              <w:jc w:val="center"/>
              <w:rPr>
                <w:sz w:val="21"/>
                <w:szCs w:val="21"/>
              </w:rPr>
            </w:pPr>
            <w:r>
              <w:rPr>
                <w:sz w:val="21"/>
                <w:szCs w:val="21"/>
              </w:rPr>
              <w:t>Ⅳ</w:t>
            </w:r>
          </w:p>
        </w:tc>
        <w:tc>
          <w:tcPr>
            <w:tcW w:w="489" w:type="pct"/>
            <w:vAlign w:val="center"/>
          </w:tcPr>
          <w:p w:rsidR="00240BCE" w:rsidRDefault="00AC0334">
            <w:pPr>
              <w:spacing w:line="300" w:lineRule="exact"/>
              <w:jc w:val="center"/>
              <w:rPr>
                <w:sz w:val="21"/>
                <w:szCs w:val="21"/>
              </w:rPr>
            </w:pPr>
            <w:r>
              <w:rPr>
                <w:sz w:val="21"/>
                <w:szCs w:val="21"/>
              </w:rPr>
              <w:t>Ⅳ</w:t>
            </w:r>
          </w:p>
        </w:tc>
        <w:tc>
          <w:tcPr>
            <w:tcW w:w="485" w:type="pct"/>
            <w:vAlign w:val="center"/>
          </w:tcPr>
          <w:p w:rsidR="00240BCE" w:rsidRDefault="00AC0334">
            <w:pPr>
              <w:spacing w:line="300" w:lineRule="exact"/>
              <w:jc w:val="center"/>
              <w:rPr>
                <w:sz w:val="21"/>
                <w:szCs w:val="21"/>
              </w:rPr>
            </w:pPr>
            <w:r>
              <w:rPr>
                <w:sz w:val="21"/>
                <w:szCs w:val="21"/>
              </w:rPr>
              <w:t>搬迁</w:t>
            </w:r>
          </w:p>
        </w:tc>
        <w:tc>
          <w:tcPr>
            <w:tcW w:w="795" w:type="pct"/>
            <w:vAlign w:val="center"/>
          </w:tcPr>
          <w:p w:rsidR="00240BCE" w:rsidRDefault="00AC0334">
            <w:pPr>
              <w:spacing w:line="300" w:lineRule="exact"/>
              <w:jc w:val="center"/>
              <w:rPr>
                <w:spacing w:val="2"/>
                <w:sz w:val="21"/>
                <w:szCs w:val="21"/>
              </w:rPr>
            </w:pPr>
            <w:r>
              <w:rPr>
                <w:spacing w:val="2"/>
                <w:sz w:val="21"/>
                <w:szCs w:val="21"/>
              </w:rPr>
              <w:t>240</w:t>
            </w:r>
            <w:r>
              <w:rPr>
                <w:spacing w:val="2"/>
                <w:sz w:val="21"/>
                <w:szCs w:val="21"/>
              </w:rPr>
              <w:t>户</w:t>
            </w:r>
            <w:r>
              <w:rPr>
                <w:spacing w:val="2"/>
                <w:sz w:val="21"/>
                <w:szCs w:val="21"/>
              </w:rPr>
              <w:t>959</w:t>
            </w:r>
            <w:r>
              <w:rPr>
                <w:spacing w:val="2"/>
                <w:sz w:val="21"/>
                <w:szCs w:val="21"/>
              </w:rPr>
              <w:t>人</w:t>
            </w:r>
          </w:p>
        </w:tc>
      </w:tr>
      <w:tr w:rsidR="00240BCE">
        <w:tc>
          <w:tcPr>
            <w:tcW w:w="526" w:type="pct"/>
            <w:vAlign w:val="center"/>
          </w:tcPr>
          <w:p w:rsidR="00240BCE" w:rsidRDefault="00AC0334">
            <w:pPr>
              <w:spacing w:line="300" w:lineRule="exact"/>
              <w:ind w:right="-26"/>
              <w:jc w:val="center"/>
              <w:rPr>
                <w:bCs/>
                <w:spacing w:val="2"/>
                <w:sz w:val="21"/>
                <w:szCs w:val="21"/>
              </w:rPr>
            </w:pPr>
            <w:r>
              <w:rPr>
                <w:bCs/>
                <w:spacing w:val="2"/>
                <w:sz w:val="21"/>
                <w:szCs w:val="21"/>
              </w:rPr>
              <w:t>楼院小学</w:t>
            </w:r>
          </w:p>
        </w:tc>
        <w:tc>
          <w:tcPr>
            <w:tcW w:w="541" w:type="pct"/>
            <w:vAlign w:val="center"/>
          </w:tcPr>
          <w:p w:rsidR="00240BCE" w:rsidRDefault="00AC0334">
            <w:pPr>
              <w:spacing w:line="300" w:lineRule="exact"/>
              <w:jc w:val="center"/>
              <w:rPr>
                <w:spacing w:val="2"/>
                <w:sz w:val="21"/>
                <w:szCs w:val="21"/>
              </w:rPr>
            </w:pPr>
            <w:r>
              <w:rPr>
                <w:sz w:val="21"/>
                <w:szCs w:val="21"/>
              </w:rPr>
              <w:t>1965.11</w:t>
            </w:r>
          </w:p>
        </w:tc>
        <w:tc>
          <w:tcPr>
            <w:tcW w:w="541" w:type="pct"/>
            <w:vAlign w:val="center"/>
          </w:tcPr>
          <w:p w:rsidR="00240BCE" w:rsidRDefault="00AC0334">
            <w:pPr>
              <w:spacing w:line="300" w:lineRule="exact"/>
              <w:jc w:val="center"/>
              <w:rPr>
                <w:spacing w:val="2"/>
                <w:sz w:val="21"/>
                <w:szCs w:val="21"/>
              </w:rPr>
            </w:pPr>
            <w:r>
              <w:rPr>
                <w:spacing w:val="2"/>
                <w:sz w:val="21"/>
                <w:szCs w:val="21"/>
              </w:rPr>
              <w:t>12.55</w:t>
            </w:r>
          </w:p>
        </w:tc>
        <w:tc>
          <w:tcPr>
            <w:tcW w:w="541" w:type="pct"/>
            <w:vAlign w:val="center"/>
          </w:tcPr>
          <w:p w:rsidR="00240BCE" w:rsidRDefault="00AC0334">
            <w:pPr>
              <w:spacing w:line="300" w:lineRule="exact"/>
              <w:jc w:val="center"/>
              <w:rPr>
                <w:spacing w:val="2"/>
                <w:sz w:val="21"/>
                <w:szCs w:val="21"/>
              </w:rPr>
            </w:pPr>
            <w:r>
              <w:rPr>
                <w:spacing w:val="2"/>
                <w:sz w:val="21"/>
                <w:szCs w:val="21"/>
              </w:rPr>
              <w:t>0.12</w:t>
            </w:r>
          </w:p>
        </w:tc>
        <w:tc>
          <w:tcPr>
            <w:tcW w:w="594" w:type="pct"/>
            <w:vAlign w:val="center"/>
          </w:tcPr>
          <w:p w:rsidR="00240BCE" w:rsidRDefault="00AC0334">
            <w:pPr>
              <w:spacing w:line="300" w:lineRule="exact"/>
              <w:jc w:val="center"/>
              <w:rPr>
                <w:spacing w:val="2"/>
                <w:sz w:val="21"/>
                <w:szCs w:val="21"/>
              </w:rPr>
            </w:pPr>
            <w:r>
              <w:rPr>
                <w:spacing w:val="2"/>
                <w:sz w:val="21"/>
                <w:szCs w:val="21"/>
              </w:rPr>
              <w:t>5.72</w:t>
            </w:r>
          </w:p>
        </w:tc>
        <w:tc>
          <w:tcPr>
            <w:tcW w:w="488" w:type="pct"/>
            <w:vAlign w:val="center"/>
          </w:tcPr>
          <w:p w:rsidR="00240BCE" w:rsidRDefault="00AC0334">
            <w:pPr>
              <w:spacing w:line="300" w:lineRule="exact"/>
              <w:jc w:val="center"/>
              <w:rPr>
                <w:sz w:val="21"/>
                <w:szCs w:val="21"/>
              </w:rPr>
            </w:pPr>
            <w:r>
              <w:rPr>
                <w:sz w:val="21"/>
                <w:szCs w:val="21"/>
              </w:rPr>
              <w:t>Ⅳ</w:t>
            </w:r>
          </w:p>
        </w:tc>
        <w:tc>
          <w:tcPr>
            <w:tcW w:w="489" w:type="pct"/>
            <w:vAlign w:val="center"/>
          </w:tcPr>
          <w:p w:rsidR="00240BCE" w:rsidRDefault="00AC0334">
            <w:pPr>
              <w:spacing w:line="300" w:lineRule="exact"/>
              <w:jc w:val="center"/>
              <w:rPr>
                <w:sz w:val="21"/>
                <w:szCs w:val="21"/>
              </w:rPr>
            </w:pPr>
            <w:r>
              <w:rPr>
                <w:sz w:val="21"/>
                <w:szCs w:val="21"/>
              </w:rPr>
              <w:t>Ⅳ</w:t>
            </w:r>
          </w:p>
        </w:tc>
        <w:tc>
          <w:tcPr>
            <w:tcW w:w="485" w:type="pct"/>
            <w:vAlign w:val="center"/>
          </w:tcPr>
          <w:p w:rsidR="00240BCE" w:rsidRDefault="00AC0334">
            <w:pPr>
              <w:spacing w:line="300" w:lineRule="exact"/>
              <w:jc w:val="center"/>
              <w:rPr>
                <w:sz w:val="21"/>
                <w:szCs w:val="21"/>
              </w:rPr>
            </w:pPr>
            <w:r>
              <w:rPr>
                <w:sz w:val="21"/>
                <w:szCs w:val="21"/>
              </w:rPr>
              <w:t>搬迁</w:t>
            </w:r>
          </w:p>
        </w:tc>
        <w:tc>
          <w:tcPr>
            <w:tcW w:w="795" w:type="pct"/>
            <w:vAlign w:val="center"/>
          </w:tcPr>
          <w:p w:rsidR="00240BCE" w:rsidRDefault="00AC0334">
            <w:pPr>
              <w:spacing w:line="300" w:lineRule="exact"/>
              <w:jc w:val="center"/>
              <w:rPr>
                <w:spacing w:val="2"/>
                <w:sz w:val="21"/>
                <w:szCs w:val="21"/>
              </w:rPr>
            </w:pPr>
            <w:r>
              <w:rPr>
                <w:spacing w:val="2"/>
                <w:sz w:val="21"/>
                <w:szCs w:val="21"/>
              </w:rPr>
              <w:t>小学，</w:t>
            </w:r>
            <w:r>
              <w:rPr>
                <w:spacing w:val="2"/>
                <w:sz w:val="21"/>
                <w:szCs w:val="21"/>
              </w:rPr>
              <w:t>6</w:t>
            </w:r>
            <w:r>
              <w:rPr>
                <w:spacing w:val="2"/>
                <w:sz w:val="21"/>
                <w:szCs w:val="21"/>
              </w:rPr>
              <w:t>个班</w:t>
            </w:r>
          </w:p>
        </w:tc>
      </w:tr>
      <w:tr w:rsidR="00240BCE">
        <w:tc>
          <w:tcPr>
            <w:tcW w:w="526" w:type="pct"/>
            <w:vAlign w:val="center"/>
          </w:tcPr>
          <w:p w:rsidR="00240BCE" w:rsidRDefault="00AC0334">
            <w:pPr>
              <w:spacing w:line="300" w:lineRule="exact"/>
              <w:ind w:right="-26"/>
              <w:jc w:val="center"/>
              <w:rPr>
                <w:spacing w:val="2"/>
                <w:sz w:val="21"/>
                <w:szCs w:val="21"/>
              </w:rPr>
            </w:pPr>
            <w:r>
              <w:rPr>
                <w:bCs/>
                <w:spacing w:val="2"/>
                <w:sz w:val="21"/>
                <w:szCs w:val="21"/>
              </w:rPr>
              <w:t>连庄村</w:t>
            </w:r>
          </w:p>
        </w:tc>
        <w:tc>
          <w:tcPr>
            <w:tcW w:w="541" w:type="pct"/>
            <w:vAlign w:val="center"/>
          </w:tcPr>
          <w:p w:rsidR="00240BCE" w:rsidRDefault="00AC0334">
            <w:pPr>
              <w:spacing w:line="300" w:lineRule="exact"/>
              <w:jc w:val="center"/>
              <w:rPr>
                <w:spacing w:val="2"/>
                <w:sz w:val="21"/>
                <w:szCs w:val="21"/>
              </w:rPr>
            </w:pPr>
            <w:r>
              <w:rPr>
                <w:spacing w:val="2"/>
                <w:sz w:val="21"/>
                <w:szCs w:val="21"/>
              </w:rPr>
              <w:t>2007.52</w:t>
            </w:r>
          </w:p>
        </w:tc>
        <w:tc>
          <w:tcPr>
            <w:tcW w:w="541" w:type="pct"/>
            <w:vAlign w:val="center"/>
          </w:tcPr>
          <w:p w:rsidR="00240BCE" w:rsidRDefault="00AC0334">
            <w:pPr>
              <w:spacing w:line="300" w:lineRule="exact"/>
              <w:jc w:val="center"/>
              <w:rPr>
                <w:spacing w:val="2"/>
                <w:sz w:val="21"/>
                <w:szCs w:val="21"/>
              </w:rPr>
            </w:pPr>
            <w:r>
              <w:rPr>
                <w:spacing w:val="2"/>
                <w:sz w:val="21"/>
                <w:szCs w:val="21"/>
              </w:rPr>
              <w:t>10.31</w:t>
            </w:r>
          </w:p>
        </w:tc>
        <w:tc>
          <w:tcPr>
            <w:tcW w:w="541" w:type="pct"/>
            <w:vAlign w:val="center"/>
          </w:tcPr>
          <w:p w:rsidR="00240BCE" w:rsidRDefault="00AC0334">
            <w:pPr>
              <w:spacing w:line="300" w:lineRule="exact"/>
              <w:jc w:val="center"/>
              <w:rPr>
                <w:sz w:val="21"/>
                <w:szCs w:val="21"/>
              </w:rPr>
            </w:pPr>
            <w:r>
              <w:rPr>
                <w:sz w:val="21"/>
                <w:szCs w:val="21"/>
              </w:rPr>
              <w:t>0.08</w:t>
            </w:r>
          </w:p>
        </w:tc>
        <w:tc>
          <w:tcPr>
            <w:tcW w:w="594" w:type="pct"/>
            <w:vAlign w:val="center"/>
          </w:tcPr>
          <w:p w:rsidR="00240BCE" w:rsidRDefault="00AC0334">
            <w:pPr>
              <w:spacing w:line="300" w:lineRule="exact"/>
              <w:jc w:val="center"/>
              <w:rPr>
                <w:sz w:val="21"/>
                <w:szCs w:val="21"/>
              </w:rPr>
            </w:pPr>
            <w:r>
              <w:rPr>
                <w:sz w:val="21"/>
                <w:szCs w:val="21"/>
              </w:rPr>
              <w:t>4.70</w:t>
            </w:r>
          </w:p>
        </w:tc>
        <w:tc>
          <w:tcPr>
            <w:tcW w:w="488" w:type="pct"/>
            <w:vAlign w:val="center"/>
          </w:tcPr>
          <w:p w:rsidR="00240BCE" w:rsidRDefault="00AC0334">
            <w:pPr>
              <w:spacing w:line="300" w:lineRule="exact"/>
              <w:jc w:val="center"/>
              <w:rPr>
                <w:sz w:val="21"/>
                <w:szCs w:val="21"/>
              </w:rPr>
            </w:pPr>
            <w:r>
              <w:rPr>
                <w:sz w:val="21"/>
                <w:szCs w:val="21"/>
              </w:rPr>
              <w:t>Ⅳ</w:t>
            </w:r>
          </w:p>
        </w:tc>
        <w:tc>
          <w:tcPr>
            <w:tcW w:w="489" w:type="pct"/>
            <w:vAlign w:val="center"/>
          </w:tcPr>
          <w:p w:rsidR="00240BCE" w:rsidRDefault="00AC0334">
            <w:pPr>
              <w:spacing w:line="300" w:lineRule="exact"/>
              <w:jc w:val="center"/>
              <w:rPr>
                <w:sz w:val="21"/>
                <w:szCs w:val="21"/>
              </w:rPr>
            </w:pPr>
            <w:r>
              <w:rPr>
                <w:sz w:val="21"/>
                <w:szCs w:val="21"/>
              </w:rPr>
              <w:t>Ⅳ</w:t>
            </w:r>
          </w:p>
        </w:tc>
        <w:tc>
          <w:tcPr>
            <w:tcW w:w="485" w:type="pct"/>
            <w:vAlign w:val="center"/>
          </w:tcPr>
          <w:p w:rsidR="00240BCE" w:rsidRDefault="00AC0334">
            <w:pPr>
              <w:spacing w:line="300" w:lineRule="exact"/>
              <w:jc w:val="center"/>
              <w:rPr>
                <w:sz w:val="21"/>
                <w:szCs w:val="21"/>
              </w:rPr>
            </w:pPr>
            <w:r>
              <w:rPr>
                <w:sz w:val="21"/>
                <w:szCs w:val="21"/>
              </w:rPr>
              <w:t>搬迁</w:t>
            </w:r>
          </w:p>
        </w:tc>
        <w:tc>
          <w:tcPr>
            <w:tcW w:w="795" w:type="pct"/>
            <w:vAlign w:val="center"/>
          </w:tcPr>
          <w:p w:rsidR="00240BCE" w:rsidRDefault="00AC0334">
            <w:pPr>
              <w:spacing w:line="300" w:lineRule="exact"/>
              <w:jc w:val="center"/>
              <w:rPr>
                <w:spacing w:val="2"/>
                <w:sz w:val="21"/>
                <w:szCs w:val="21"/>
              </w:rPr>
            </w:pPr>
            <w:r>
              <w:rPr>
                <w:spacing w:val="2"/>
                <w:sz w:val="21"/>
                <w:szCs w:val="21"/>
              </w:rPr>
              <w:t>250</w:t>
            </w:r>
            <w:r>
              <w:rPr>
                <w:spacing w:val="2"/>
                <w:sz w:val="21"/>
                <w:szCs w:val="21"/>
              </w:rPr>
              <w:t>户</w:t>
            </w:r>
            <w:r>
              <w:rPr>
                <w:spacing w:val="2"/>
                <w:sz w:val="21"/>
                <w:szCs w:val="21"/>
              </w:rPr>
              <w:t>950</w:t>
            </w:r>
            <w:r>
              <w:rPr>
                <w:spacing w:val="2"/>
                <w:sz w:val="21"/>
                <w:szCs w:val="21"/>
              </w:rPr>
              <w:t>人</w:t>
            </w:r>
          </w:p>
        </w:tc>
      </w:tr>
      <w:tr w:rsidR="00240BCE">
        <w:tc>
          <w:tcPr>
            <w:tcW w:w="526" w:type="pct"/>
            <w:vAlign w:val="center"/>
          </w:tcPr>
          <w:p w:rsidR="00240BCE" w:rsidRDefault="00AC0334">
            <w:pPr>
              <w:jc w:val="center"/>
              <w:rPr>
                <w:bCs/>
                <w:spacing w:val="2"/>
                <w:sz w:val="21"/>
                <w:szCs w:val="21"/>
              </w:rPr>
            </w:pPr>
            <w:r>
              <w:rPr>
                <w:bCs/>
                <w:spacing w:val="2"/>
                <w:sz w:val="21"/>
                <w:szCs w:val="21"/>
              </w:rPr>
              <w:t>官庄窑村</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94" w:type="pct"/>
            <w:vAlign w:val="center"/>
          </w:tcPr>
          <w:p w:rsidR="00240BCE" w:rsidRDefault="00AC0334">
            <w:pPr>
              <w:spacing w:line="300" w:lineRule="exact"/>
              <w:jc w:val="center"/>
              <w:rPr>
                <w:spacing w:val="2"/>
                <w:sz w:val="21"/>
                <w:szCs w:val="21"/>
              </w:rPr>
            </w:pPr>
            <w:r>
              <w:rPr>
                <w:spacing w:val="2"/>
                <w:sz w:val="21"/>
                <w:szCs w:val="21"/>
              </w:rPr>
              <w:t>――</w:t>
            </w:r>
          </w:p>
        </w:tc>
        <w:tc>
          <w:tcPr>
            <w:tcW w:w="1462" w:type="pct"/>
            <w:gridSpan w:val="3"/>
            <w:vMerge w:val="restart"/>
            <w:vAlign w:val="center"/>
          </w:tcPr>
          <w:p w:rsidR="00240BCE" w:rsidRDefault="00AC0334">
            <w:pPr>
              <w:spacing w:line="300" w:lineRule="exact"/>
              <w:jc w:val="center"/>
              <w:rPr>
                <w:sz w:val="21"/>
                <w:szCs w:val="21"/>
              </w:rPr>
            </w:pPr>
            <w:r>
              <w:rPr>
                <w:sz w:val="21"/>
                <w:szCs w:val="21"/>
              </w:rPr>
              <w:t>沉陷范围外，不受影响</w:t>
            </w:r>
          </w:p>
        </w:tc>
        <w:tc>
          <w:tcPr>
            <w:tcW w:w="795" w:type="pct"/>
            <w:vAlign w:val="center"/>
          </w:tcPr>
          <w:p w:rsidR="00240BCE" w:rsidRDefault="00AC0334">
            <w:pPr>
              <w:spacing w:line="300" w:lineRule="exact"/>
              <w:jc w:val="center"/>
              <w:rPr>
                <w:spacing w:val="2"/>
                <w:sz w:val="21"/>
                <w:szCs w:val="21"/>
              </w:rPr>
            </w:pPr>
            <w:r>
              <w:rPr>
                <w:rFonts w:eastAsia="仿宋"/>
                <w:sz w:val="21"/>
                <w:szCs w:val="21"/>
              </w:rPr>
              <w:t>253</w:t>
            </w:r>
            <w:r>
              <w:rPr>
                <w:rFonts w:eastAsia="仿宋"/>
                <w:sz w:val="21"/>
                <w:szCs w:val="21"/>
              </w:rPr>
              <w:t>户</w:t>
            </w:r>
            <w:r>
              <w:rPr>
                <w:rFonts w:eastAsia="仿宋"/>
                <w:sz w:val="21"/>
                <w:szCs w:val="21"/>
              </w:rPr>
              <w:t>861</w:t>
            </w:r>
            <w:r>
              <w:rPr>
                <w:rFonts w:eastAsia="仿宋"/>
                <w:sz w:val="21"/>
                <w:szCs w:val="21"/>
              </w:rPr>
              <w:t>人</w:t>
            </w:r>
          </w:p>
        </w:tc>
      </w:tr>
      <w:tr w:rsidR="00240BCE">
        <w:tc>
          <w:tcPr>
            <w:tcW w:w="526" w:type="pct"/>
            <w:vAlign w:val="center"/>
          </w:tcPr>
          <w:p w:rsidR="00240BCE" w:rsidRDefault="00AC0334">
            <w:pPr>
              <w:jc w:val="center"/>
              <w:rPr>
                <w:bCs/>
                <w:spacing w:val="2"/>
                <w:sz w:val="21"/>
                <w:szCs w:val="21"/>
              </w:rPr>
            </w:pPr>
            <w:r>
              <w:rPr>
                <w:bCs/>
                <w:spacing w:val="2"/>
                <w:sz w:val="21"/>
                <w:szCs w:val="21"/>
              </w:rPr>
              <w:t>楚黄庄村</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41" w:type="pct"/>
            <w:vAlign w:val="center"/>
          </w:tcPr>
          <w:p w:rsidR="00240BCE" w:rsidRDefault="00AC0334">
            <w:pPr>
              <w:spacing w:line="300" w:lineRule="exact"/>
              <w:jc w:val="center"/>
              <w:rPr>
                <w:spacing w:val="2"/>
                <w:sz w:val="21"/>
                <w:szCs w:val="21"/>
              </w:rPr>
            </w:pPr>
            <w:r>
              <w:rPr>
                <w:spacing w:val="2"/>
                <w:sz w:val="21"/>
                <w:szCs w:val="21"/>
              </w:rPr>
              <w:t>――</w:t>
            </w:r>
          </w:p>
        </w:tc>
        <w:tc>
          <w:tcPr>
            <w:tcW w:w="594" w:type="pct"/>
            <w:vAlign w:val="center"/>
          </w:tcPr>
          <w:p w:rsidR="00240BCE" w:rsidRDefault="00AC0334">
            <w:pPr>
              <w:spacing w:line="300" w:lineRule="exact"/>
              <w:jc w:val="center"/>
              <w:rPr>
                <w:spacing w:val="2"/>
                <w:sz w:val="21"/>
                <w:szCs w:val="21"/>
              </w:rPr>
            </w:pPr>
            <w:r>
              <w:rPr>
                <w:spacing w:val="2"/>
                <w:sz w:val="21"/>
                <w:szCs w:val="21"/>
              </w:rPr>
              <w:t>――</w:t>
            </w:r>
          </w:p>
        </w:tc>
        <w:tc>
          <w:tcPr>
            <w:tcW w:w="1462" w:type="pct"/>
            <w:gridSpan w:val="3"/>
            <w:vMerge/>
            <w:vAlign w:val="center"/>
          </w:tcPr>
          <w:p w:rsidR="00240BCE" w:rsidRDefault="00240BCE">
            <w:pPr>
              <w:spacing w:line="300" w:lineRule="exact"/>
              <w:jc w:val="center"/>
              <w:rPr>
                <w:sz w:val="21"/>
                <w:szCs w:val="21"/>
              </w:rPr>
            </w:pPr>
          </w:p>
        </w:tc>
        <w:tc>
          <w:tcPr>
            <w:tcW w:w="795" w:type="pct"/>
            <w:vAlign w:val="center"/>
          </w:tcPr>
          <w:p w:rsidR="00240BCE" w:rsidRDefault="00AC0334">
            <w:pPr>
              <w:spacing w:line="300" w:lineRule="exact"/>
              <w:jc w:val="center"/>
              <w:rPr>
                <w:spacing w:val="2"/>
                <w:sz w:val="21"/>
                <w:szCs w:val="21"/>
              </w:rPr>
            </w:pPr>
            <w:r>
              <w:rPr>
                <w:rFonts w:eastAsia="仿宋"/>
                <w:sz w:val="21"/>
                <w:szCs w:val="21"/>
              </w:rPr>
              <w:t>278</w:t>
            </w:r>
            <w:r>
              <w:rPr>
                <w:rFonts w:eastAsia="仿宋"/>
                <w:sz w:val="21"/>
                <w:szCs w:val="21"/>
              </w:rPr>
              <w:t>户</w:t>
            </w:r>
            <w:r>
              <w:rPr>
                <w:rFonts w:eastAsia="仿宋"/>
                <w:sz w:val="21"/>
                <w:szCs w:val="21"/>
              </w:rPr>
              <w:t>1013</w:t>
            </w:r>
            <w:r>
              <w:rPr>
                <w:rFonts w:eastAsia="仿宋"/>
                <w:sz w:val="21"/>
                <w:szCs w:val="21"/>
              </w:rPr>
              <w:t>人</w:t>
            </w:r>
          </w:p>
        </w:tc>
      </w:tr>
    </w:tbl>
    <w:p w:rsidR="00240BCE" w:rsidRDefault="00AC0334">
      <w:pPr>
        <w:spacing w:line="520" w:lineRule="exact"/>
        <w:ind w:firstLineChars="200" w:firstLine="480"/>
        <w:rPr>
          <w:sz w:val="24"/>
        </w:rPr>
      </w:pPr>
      <w:r>
        <w:rPr>
          <w:sz w:val="24"/>
        </w:rPr>
        <w:t>从表</w:t>
      </w:r>
      <w:r>
        <w:rPr>
          <w:sz w:val="24"/>
        </w:rPr>
        <w:t>5.3-7</w:t>
      </w:r>
      <w:r>
        <w:rPr>
          <w:sz w:val="24"/>
        </w:rPr>
        <w:t>中可知，工业场地及井田周边的柿树行组、官庄窑村、楚黄庄村位于沉陷范围外，不受开采地表沉陷影响；</w:t>
      </w:r>
      <w:r>
        <w:rPr>
          <w:bCs/>
          <w:sz w:val="24"/>
        </w:rPr>
        <w:t>赵沟村、楼院村、楼院小学、连庄村</w:t>
      </w:r>
      <w:r>
        <w:rPr>
          <w:sz w:val="24"/>
        </w:rPr>
        <w:t>受地表沉陷影响破坏程度达到</w:t>
      </w:r>
      <w:r>
        <w:rPr>
          <w:sz w:val="24"/>
        </w:rPr>
        <w:t>Ⅳ</w:t>
      </w:r>
      <w:r>
        <w:rPr>
          <w:sz w:val="24"/>
        </w:rPr>
        <w:t>级，需要整体搬迁，涉及搬迁户数</w:t>
      </w:r>
      <w:r>
        <w:rPr>
          <w:sz w:val="24"/>
        </w:rPr>
        <w:t>746</w:t>
      </w:r>
      <w:r>
        <w:rPr>
          <w:sz w:val="24"/>
        </w:rPr>
        <w:t>户，共计</w:t>
      </w:r>
      <w:r>
        <w:rPr>
          <w:sz w:val="24"/>
        </w:rPr>
        <w:t>2898</w:t>
      </w:r>
      <w:r>
        <w:rPr>
          <w:sz w:val="24"/>
        </w:rPr>
        <w:t>人，其中赵沟村位于首采区</w:t>
      </w:r>
      <w:r>
        <w:rPr>
          <w:sz w:val="24"/>
        </w:rPr>
        <w:t>21010</w:t>
      </w:r>
      <w:r>
        <w:rPr>
          <w:sz w:val="24"/>
        </w:rPr>
        <w:t>、</w:t>
      </w:r>
      <w:r>
        <w:rPr>
          <w:sz w:val="24"/>
        </w:rPr>
        <w:t>21020</w:t>
      </w:r>
      <w:r>
        <w:rPr>
          <w:sz w:val="24"/>
        </w:rPr>
        <w:t>工作面，属于首采区的首采工作面，建设单位</w:t>
      </w:r>
      <w:r>
        <w:rPr>
          <w:sz w:val="24"/>
        </w:rPr>
        <w:lastRenderedPageBreak/>
        <w:t>应在投产前予以整体搬迁；</w:t>
      </w:r>
      <w:r>
        <w:rPr>
          <w:bCs/>
          <w:sz w:val="24"/>
        </w:rPr>
        <w:t>楼院村、楼院小学</w:t>
      </w:r>
      <w:r>
        <w:rPr>
          <w:sz w:val="24"/>
        </w:rPr>
        <w:t>位于首采区</w:t>
      </w:r>
      <w:r>
        <w:rPr>
          <w:sz w:val="24"/>
        </w:rPr>
        <w:t>21040</w:t>
      </w:r>
      <w:r>
        <w:rPr>
          <w:sz w:val="24"/>
        </w:rPr>
        <w:t>、</w:t>
      </w:r>
      <w:r>
        <w:rPr>
          <w:sz w:val="24"/>
        </w:rPr>
        <w:t>21060</w:t>
      </w:r>
      <w:r>
        <w:rPr>
          <w:sz w:val="24"/>
        </w:rPr>
        <w:t>工作面，属于接替工作面，约在开采</w:t>
      </w:r>
      <w:r>
        <w:rPr>
          <w:sz w:val="24"/>
        </w:rPr>
        <w:t>3.1a</w:t>
      </w:r>
      <w:r>
        <w:rPr>
          <w:sz w:val="24"/>
        </w:rPr>
        <w:t>时开采受到沉陷影响，建设单位应根据开采进度逐渐搬迁</w:t>
      </w:r>
      <w:r>
        <w:rPr>
          <w:bCs/>
          <w:sz w:val="24"/>
        </w:rPr>
        <w:t>楼院村、楼院小学</w:t>
      </w:r>
      <w:r>
        <w:rPr>
          <w:sz w:val="24"/>
        </w:rPr>
        <w:t>，确保在开采前整体搬迁；连庄村位于</w:t>
      </w:r>
      <w:r>
        <w:rPr>
          <w:sz w:val="24"/>
        </w:rPr>
        <w:t>22</w:t>
      </w:r>
      <w:r>
        <w:rPr>
          <w:sz w:val="24"/>
        </w:rPr>
        <w:t>采区，属于接替采区，约在开采</w:t>
      </w:r>
      <w:r>
        <w:rPr>
          <w:sz w:val="24"/>
        </w:rPr>
        <w:t>6.2a</w:t>
      </w:r>
      <w:r>
        <w:rPr>
          <w:sz w:val="24"/>
        </w:rPr>
        <w:t>时受到开采沉陷影响，需在</w:t>
      </w:r>
      <w:r>
        <w:rPr>
          <w:sz w:val="24"/>
        </w:rPr>
        <w:t>22</w:t>
      </w:r>
      <w:r>
        <w:rPr>
          <w:sz w:val="24"/>
        </w:rPr>
        <w:t>采区投产前整体搬迁。</w:t>
      </w:r>
    </w:p>
    <w:p w:rsidR="00240BCE" w:rsidRDefault="00AC0334">
      <w:pPr>
        <w:spacing w:line="520" w:lineRule="exact"/>
        <w:ind w:firstLineChars="200" w:firstLine="480"/>
        <w:rPr>
          <w:sz w:val="24"/>
        </w:rPr>
      </w:pPr>
      <w:r>
        <w:rPr>
          <w:sz w:val="24"/>
        </w:rPr>
        <w:t>因此建设单位应在项目投产前制定搬迁计划及搬迁方案，根据开采进度及时予以整体搬迁，建设单位应协调好搬迁村庄居民的关系，使受到影响的村民及时得到合理补偿。建设单位已于</w:t>
      </w:r>
      <w:r>
        <w:rPr>
          <w:sz w:val="24"/>
        </w:rPr>
        <w:t>2019</w:t>
      </w:r>
      <w:r>
        <w:rPr>
          <w:sz w:val="24"/>
        </w:rPr>
        <w:t>年</w:t>
      </w:r>
      <w:r>
        <w:rPr>
          <w:sz w:val="24"/>
        </w:rPr>
        <w:t>3</w:t>
      </w:r>
      <w:r>
        <w:rPr>
          <w:sz w:val="24"/>
        </w:rPr>
        <w:t>月与位于首采工作面的赵沟村村委会签订了搬迁协议书</w:t>
      </w:r>
      <w:r w:rsidR="00FB62CA">
        <w:rPr>
          <w:rFonts w:hint="eastAsia"/>
          <w:sz w:val="24"/>
        </w:rPr>
        <w:t>（</w:t>
      </w:r>
      <w:r w:rsidR="00FB62CA">
        <w:rPr>
          <w:sz w:val="24"/>
        </w:rPr>
        <w:t>附件</w:t>
      </w:r>
      <w:r w:rsidR="00FB62CA">
        <w:rPr>
          <w:sz w:val="24"/>
        </w:rPr>
        <w:t>14</w:t>
      </w:r>
      <w:r w:rsidR="00FB62CA">
        <w:rPr>
          <w:rFonts w:hint="eastAsia"/>
          <w:sz w:val="24"/>
        </w:rPr>
        <w:t>）</w:t>
      </w:r>
      <w:r>
        <w:rPr>
          <w:sz w:val="24"/>
        </w:rPr>
        <w:t>，并于</w:t>
      </w:r>
      <w:r>
        <w:rPr>
          <w:sz w:val="24"/>
        </w:rPr>
        <w:t>2021</w:t>
      </w:r>
      <w:r>
        <w:rPr>
          <w:sz w:val="24"/>
        </w:rPr>
        <w:t>年</w:t>
      </w:r>
      <w:r>
        <w:rPr>
          <w:sz w:val="24"/>
        </w:rPr>
        <w:t>8</w:t>
      </w:r>
      <w:r>
        <w:rPr>
          <w:sz w:val="24"/>
        </w:rPr>
        <w:t>月与禹州市鸠山镇人民政府</w:t>
      </w:r>
      <w:r>
        <w:rPr>
          <w:rFonts w:hint="eastAsia"/>
          <w:sz w:val="24"/>
        </w:rPr>
        <w:t>共同制定</w:t>
      </w:r>
      <w:r>
        <w:rPr>
          <w:sz w:val="24"/>
        </w:rPr>
        <w:t>了搬迁</w:t>
      </w:r>
      <w:r>
        <w:rPr>
          <w:rFonts w:hint="eastAsia"/>
          <w:sz w:val="24"/>
        </w:rPr>
        <w:t>安置方案</w:t>
      </w:r>
      <w:r w:rsidR="00FB62CA">
        <w:rPr>
          <w:rFonts w:hint="eastAsia"/>
          <w:sz w:val="24"/>
        </w:rPr>
        <w:t>（</w:t>
      </w:r>
      <w:r w:rsidR="00FB62CA">
        <w:rPr>
          <w:sz w:val="24"/>
        </w:rPr>
        <w:t>附件</w:t>
      </w:r>
      <w:r w:rsidR="00FB62CA">
        <w:rPr>
          <w:rFonts w:hint="eastAsia"/>
          <w:sz w:val="24"/>
        </w:rPr>
        <w:t>15</w:t>
      </w:r>
      <w:r w:rsidR="00FB62CA">
        <w:rPr>
          <w:rFonts w:hint="eastAsia"/>
          <w:sz w:val="24"/>
        </w:rPr>
        <w:t>）</w:t>
      </w:r>
      <w:r>
        <w:rPr>
          <w:sz w:val="24"/>
        </w:rPr>
        <w:t>。</w:t>
      </w:r>
      <w:r>
        <w:rPr>
          <w:rFonts w:hint="eastAsia"/>
          <w:sz w:val="24"/>
        </w:rPr>
        <w:t>搬迁</w:t>
      </w:r>
      <w:r>
        <w:rPr>
          <w:sz w:val="24"/>
        </w:rPr>
        <w:t>协议</w:t>
      </w:r>
      <w:r>
        <w:rPr>
          <w:rFonts w:hint="eastAsia"/>
          <w:sz w:val="24"/>
        </w:rPr>
        <w:t>及安置方案</w:t>
      </w:r>
      <w:r>
        <w:rPr>
          <w:sz w:val="24"/>
        </w:rPr>
        <w:t>中对搬迁工作的落实进行了约定，后期建设单位将与搬迁户逐户签订细节协议。</w:t>
      </w:r>
    </w:p>
    <w:p w:rsidR="00240BCE" w:rsidRDefault="00AC0334">
      <w:pPr>
        <w:spacing w:line="520" w:lineRule="exact"/>
        <w:ind w:firstLineChars="200" w:firstLine="480"/>
        <w:rPr>
          <w:sz w:val="24"/>
        </w:rPr>
      </w:pPr>
      <w:r>
        <w:rPr>
          <w:sz w:val="24"/>
        </w:rPr>
        <w:t>1</w:t>
      </w:r>
      <w:r>
        <w:rPr>
          <w:sz w:val="24"/>
        </w:rPr>
        <w:t>）搬迁安置的基本原则</w:t>
      </w:r>
    </w:p>
    <w:p w:rsidR="00240BCE" w:rsidRDefault="00AC0334">
      <w:pPr>
        <w:spacing w:line="520" w:lineRule="exact"/>
        <w:ind w:firstLineChars="200" w:firstLine="480"/>
        <w:rPr>
          <w:sz w:val="24"/>
        </w:rPr>
      </w:pPr>
      <w:r>
        <w:rPr>
          <w:sz w:val="24"/>
        </w:rPr>
        <w:t>A</w:t>
      </w:r>
      <w:r>
        <w:rPr>
          <w:sz w:val="24"/>
        </w:rPr>
        <w:t>、需搬迁的村庄考虑就近一次性整体搬迁，具体的搬迁时间应根据开采计划和实际沉陷情况确定，原则上在预计受沉陷影响前</w:t>
      </w:r>
      <w:r>
        <w:rPr>
          <w:sz w:val="24"/>
        </w:rPr>
        <w:t>1</w:t>
      </w:r>
      <w:r>
        <w:rPr>
          <w:sz w:val="24"/>
        </w:rPr>
        <w:t>年完成整体搬迁；</w:t>
      </w:r>
    </w:p>
    <w:p w:rsidR="00240BCE" w:rsidRDefault="00AC0334">
      <w:pPr>
        <w:spacing w:line="520" w:lineRule="exact"/>
        <w:ind w:firstLineChars="200" w:firstLine="480"/>
        <w:rPr>
          <w:sz w:val="24"/>
        </w:rPr>
      </w:pPr>
      <w:r>
        <w:rPr>
          <w:sz w:val="24"/>
        </w:rPr>
        <w:t>B</w:t>
      </w:r>
      <w:r>
        <w:rPr>
          <w:sz w:val="24"/>
        </w:rPr>
        <w:t>、对于村庄迁入地的选择，为了农民耕种的方便和生活环境不发生明显的变化，原则上迁入较近的鸠山镇；具体的迁入地由村庄及其所在乡镇政府根据当地规划具体安排；</w:t>
      </w:r>
    </w:p>
    <w:p w:rsidR="00240BCE" w:rsidRDefault="00AC0334">
      <w:pPr>
        <w:spacing w:line="520" w:lineRule="exact"/>
        <w:ind w:firstLineChars="200" w:firstLine="480"/>
        <w:rPr>
          <w:sz w:val="24"/>
        </w:rPr>
      </w:pPr>
      <w:r>
        <w:rPr>
          <w:sz w:val="24"/>
        </w:rPr>
        <w:t>C</w:t>
      </w:r>
      <w:r>
        <w:rPr>
          <w:sz w:val="24"/>
        </w:rPr>
        <w:t>、保证搬迁居民的生活水平在现有的基础上有所提高，不能因搬迁而降低生活水平；</w:t>
      </w:r>
    </w:p>
    <w:p w:rsidR="00240BCE" w:rsidRDefault="00AC0334">
      <w:pPr>
        <w:spacing w:line="520" w:lineRule="exact"/>
        <w:ind w:firstLineChars="200" w:firstLine="480"/>
        <w:rPr>
          <w:sz w:val="24"/>
        </w:rPr>
      </w:pPr>
      <w:r>
        <w:rPr>
          <w:sz w:val="24"/>
        </w:rPr>
        <w:t>D</w:t>
      </w:r>
      <w:r>
        <w:rPr>
          <w:sz w:val="24"/>
        </w:rPr>
        <w:t>、从建立和谐社会的要求出发，建设单位应妥善处理同搬迁居民之间的关系，不能因搬迁而引发同井田内居民的矛盾。</w:t>
      </w:r>
    </w:p>
    <w:p w:rsidR="00240BCE" w:rsidRDefault="00AC0334">
      <w:pPr>
        <w:spacing w:line="520" w:lineRule="exact"/>
        <w:ind w:firstLineChars="200" w:firstLine="480"/>
        <w:rPr>
          <w:sz w:val="24"/>
        </w:rPr>
      </w:pPr>
      <w:r>
        <w:rPr>
          <w:sz w:val="24"/>
        </w:rPr>
        <w:t>2</w:t>
      </w:r>
      <w:r>
        <w:rPr>
          <w:sz w:val="24"/>
        </w:rPr>
        <w:t>）搬迁计划</w:t>
      </w:r>
    </w:p>
    <w:p w:rsidR="00240BCE" w:rsidRDefault="00AC0334">
      <w:pPr>
        <w:spacing w:line="520" w:lineRule="exact"/>
        <w:ind w:firstLineChars="200" w:firstLine="480"/>
        <w:rPr>
          <w:sz w:val="24"/>
        </w:rPr>
      </w:pPr>
      <w:r>
        <w:rPr>
          <w:sz w:val="24"/>
        </w:rPr>
        <w:t>全井田开采结束后共有</w:t>
      </w:r>
      <w:r>
        <w:rPr>
          <w:sz w:val="24"/>
        </w:rPr>
        <w:t xml:space="preserve"> 3</w:t>
      </w:r>
      <w:r>
        <w:rPr>
          <w:sz w:val="24"/>
        </w:rPr>
        <w:t>个村庄、</w:t>
      </w:r>
      <w:r>
        <w:rPr>
          <w:sz w:val="24"/>
        </w:rPr>
        <w:t>1</w:t>
      </w:r>
      <w:r>
        <w:rPr>
          <w:sz w:val="24"/>
        </w:rPr>
        <w:t>所小学需搬迁安置。</w:t>
      </w:r>
    </w:p>
    <w:p w:rsidR="00240BCE" w:rsidRDefault="00AC0334">
      <w:pPr>
        <w:spacing w:line="520" w:lineRule="exact"/>
        <w:ind w:firstLineChars="200" w:firstLine="480"/>
        <w:rPr>
          <w:sz w:val="24"/>
        </w:rPr>
      </w:pPr>
      <w:r>
        <w:rPr>
          <w:sz w:val="24"/>
        </w:rPr>
        <w:t xml:space="preserve">① </w:t>
      </w:r>
      <w:r>
        <w:rPr>
          <w:sz w:val="24"/>
        </w:rPr>
        <w:t>评价要求对沉陷影响范围内的村庄加强观测，对可能受</w:t>
      </w:r>
      <w:r>
        <w:rPr>
          <w:sz w:val="24"/>
        </w:rPr>
        <w:t>Ⅳ</w:t>
      </w:r>
      <w:r>
        <w:rPr>
          <w:sz w:val="24"/>
        </w:rPr>
        <w:t>级破坏的村庄，应提前采取搬迁保护措施，确保居民生活质量不降低。</w:t>
      </w:r>
    </w:p>
    <w:p w:rsidR="00240BCE" w:rsidRDefault="00AC0334">
      <w:pPr>
        <w:spacing w:line="520" w:lineRule="exact"/>
        <w:ind w:firstLineChars="200" w:firstLine="480"/>
        <w:rPr>
          <w:sz w:val="24"/>
        </w:rPr>
      </w:pPr>
      <w:r>
        <w:rPr>
          <w:sz w:val="24"/>
        </w:rPr>
        <w:t xml:space="preserve">② </w:t>
      </w:r>
      <w:r>
        <w:rPr>
          <w:sz w:val="24"/>
        </w:rPr>
        <w:t>对于需要搬迁的村庄，须结合地方发展规划，并与地方政府协调统一安置，</w:t>
      </w:r>
      <w:r>
        <w:rPr>
          <w:sz w:val="24"/>
        </w:rPr>
        <w:lastRenderedPageBreak/>
        <w:t>本次评价阶段依照</w:t>
      </w:r>
      <w:r>
        <w:rPr>
          <w:sz w:val="24"/>
        </w:rPr>
        <w:t>“</w:t>
      </w:r>
      <w:r>
        <w:rPr>
          <w:sz w:val="24"/>
        </w:rPr>
        <w:t>就近、集中、避免二次搬迁</w:t>
      </w:r>
      <w:r>
        <w:rPr>
          <w:sz w:val="24"/>
        </w:rPr>
        <w:t>”</w:t>
      </w:r>
      <w:r>
        <w:rPr>
          <w:sz w:val="24"/>
        </w:rPr>
        <w:t>的原则对村庄提出意向性初步搬迁规划。</w:t>
      </w:r>
    </w:p>
    <w:p w:rsidR="00240BCE" w:rsidRDefault="00AC0334">
      <w:pPr>
        <w:spacing w:line="520" w:lineRule="exact"/>
        <w:ind w:firstLineChars="200" w:firstLine="480"/>
        <w:rPr>
          <w:sz w:val="24"/>
        </w:rPr>
      </w:pPr>
      <w:r>
        <w:rPr>
          <w:sz w:val="24"/>
        </w:rPr>
        <w:t>经统计，共需搬迁约</w:t>
      </w:r>
      <w:r>
        <w:rPr>
          <w:sz w:val="24"/>
        </w:rPr>
        <w:t>746</w:t>
      </w:r>
      <w:r>
        <w:rPr>
          <w:sz w:val="24"/>
        </w:rPr>
        <w:t>户，</w:t>
      </w:r>
      <w:r>
        <w:rPr>
          <w:sz w:val="24"/>
        </w:rPr>
        <w:t>2898</w:t>
      </w:r>
      <w:r>
        <w:rPr>
          <w:sz w:val="24"/>
        </w:rPr>
        <w:t>人。参照搬迁所需资金标准约为</w:t>
      </w:r>
      <w:r>
        <w:rPr>
          <w:sz w:val="24"/>
        </w:rPr>
        <w:t xml:space="preserve"> 10 </w:t>
      </w:r>
      <w:r>
        <w:rPr>
          <w:sz w:val="24"/>
        </w:rPr>
        <w:t>万元</w:t>
      </w:r>
      <w:r>
        <w:rPr>
          <w:sz w:val="24"/>
        </w:rPr>
        <w:t>/</w:t>
      </w:r>
      <w:r>
        <w:rPr>
          <w:sz w:val="24"/>
        </w:rPr>
        <w:t>人。本次搬迁所需资金约为</w:t>
      </w:r>
      <w:r>
        <w:rPr>
          <w:sz w:val="24"/>
        </w:rPr>
        <w:t xml:space="preserve"> 28980</w:t>
      </w:r>
      <w:r>
        <w:rPr>
          <w:sz w:val="24"/>
        </w:rPr>
        <w:t>万元。</w:t>
      </w:r>
    </w:p>
    <w:p w:rsidR="00240BCE" w:rsidRDefault="00AC0334">
      <w:pPr>
        <w:spacing w:line="520" w:lineRule="exact"/>
        <w:ind w:firstLineChars="200" w:firstLine="480"/>
        <w:rPr>
          <w:sz w:val="24"/>
        </w:rPr>
      </w:pPr>
      <w:r>
        <w:rPr>
          <w:sz w:val="24"/>
        </w:rPr>
        <w:t>3</w:t>
      </w:r>
      <w:r>
        <w:rPr>
          <w:sz w:val="24"/>
        </w:rPr>
        <w:t>）搬迁工作的组织</w:t>
      </w:r>
    </w:p>
    <w:p w:rsidR="00240BCE" w:rsidRDefault="00AC0334">
      <w:pPr>
        <w:spacing w:line="520" w:lineRule="exact"/>
        <w:ind w:firstLineChars="200" w:firstLine="480"/>
        <w:rPr>
          <w:sz w:val="24"/>
        </w:rPr>
      </w:pPr>
      <w:r>
        <w:rPr>
          <w:sz w:val="24"/>
        </w:rPr>
        <w:t>村庄搬迁由村庄所在乡镇政府统一组织安排。实际搬迁过程中，当地政府可结合当地建设发展规划情况对村庄搬迁地作出调整和统一规划。</w:t>
      </w:r>
    </w:p>
    <w:p w:rsidR="00240BCE" w:rsidRDefault="00AC0334">
      <w:pPr>
        <w:spacing w:line="520" w:lineRule="exact"/>
        <w:ind w:firstLineChars="200" w:firstLine="480"/>
        <w:rPr>
          <w:sz w:val="24"/>
        </w:rPr>
      </w:pPr>
      <w:r>
        <w:rPr>
          <w:sz w:val="24"/>
        </w:rPr>
        <w:t>村庄的搬迁补偿费用由隆庆煤矿承担，地方政府组织落实，费用从隆庆煤矿建设投资与生产经营费用中列支。搬迁时结合当年当地政府规定，根据实际情况核实搬迁费用，确保搬迁居民生活质量不降低。</w:t>
      </w:r>
    </w:p>
    <w:p w:rsidR="00240BCE" w:rsidRDefault="00AC0334">
      <w:pPr>
        <w:spacing w:line="520" w:lineRule="exact"/>
        <w:ind w:firstLineChars="200" w:firstLine="480"/>
        <w:rPr>
          <w:sz w:val="24"/>
        </w:rPr>
      </w:pPr>
      <w:r>
        <w:rPr>
          <w:sz w:val="24"/>
        </w:rPr>
        <w:t>4</w:t>
      </w:r>
      <w:r>
        <w:rPr>
          <w:sz w:val="24"/>
        </w:rPr>
        <w:t>）资金安排</w:t>
      </w:r>
    </w:p>
    <w:p w:rsidR="00240BCE" w:rsidRDefault="00AC0334">
      <w:pPr>
        <w:spacing w:line="520" w:lineRule="exact"/>
        <w:ind w:firstLineChars="200" w:firstLine="480"/>
        <w:rPr>
          <w:sz w:val="24"/>
        </w:rPr>
      </w:pPr>
      <w:r>
        <w:rPr>
          <w:sz w:val="24"/>
        </w:rPr>
        <w:t>本项目村庄搬迁所需资金约为</w:t>
      </w:r>
      <w:r>
        <w:rPr>
          <w:sz w:val="24"/>
        </w:rPr>
        <w:t>28980</w:t>
      </w:r>
      <w:r>
        <w:rPr>
          <w:sz w:val="24"/>
        </w:rPr>
        <w:t>万元。达产前的补偿安置费用纳入项目建设总投资中，在工程建设其他费中列支；达产后项目运营期发生的补偿安置费用由吨煤成本中计取。</w:t>
      </w:r>
    </w:p>
    <w:p w:rsidR="00240BCE" w:rsidRDefault="00AC0334">
      <w:pPr>
        <w:spacing w:line="520" w:lineRule="exact"/>
        <w:rPr>
          <w:sz w:val="24"/>
        </w:rPr>
      </w:pPr>
      <w:r>
        <w:rPr>
          <w:sz w:val="24"/>
        </w:rPr>
        <w:t>5.3.5.3</w:t>
      </w:r>
      <w:r>
        <w:rPr>
          <w:sz w:val="24"/>
        </w:rPr>
        <w:t>对农田及植被的影响分析</w:t>
      </w:r>
    </w:p>
    <w:p w:rsidR="00240BCE" w:rsidRDefault="00AC0334">
      <w:pPr>
        <w:pStyle w:val="a1"/>
        <w:spacing w:after="0" w:line="520" w:lineRule="exact"/>
        <w:ind w:firstLineChars="200" w:firstLine="480"/>
        <w:rPr>
          <w:sz w:val="24"/>
        </w:rPr>
      </w:pPr>
      <w:r>
        <w:rPr>
          <w:sz w:val="24"/>
        </w:rPr>
        <w:t>该区基本以农业生产为主，主要农作物有小麦、玉米、大豆等。根据预测可知，全井田地表沉陷影响范围为</w:t>
      </w:r>
      <w:r>
        <w:rPr>
          <w:sz w:val="24"/>
        </w:rPr>
        <w:t>2.35km</w:t>
      </w:r>
      <w:r>
        <w:rPr>
          <w:sz w:val="24"/>
          <w:vertAlign w:val="superscript"/>
        </w:rPr>
        <w:t>2</w:t>
      </w:r>
      <w:r>
        <w:rPr>
          <w:sz w:val="24"/>
        </w:rPr>
        <w:t>，沉降幅度在</w:t>
      </w:r>
      <w:r>
        <w:rPr>
          <w:sz w:val="24"/>
        </w:rPr>
        <w:t>10~2007.52mm</w:t>
      </w:r>
      <w:r>
        <w:rPr>
          <w:sz w:val="24"/>
        </w:rPr>
        <w:t>之间。目前，井田范围内的土地利用类型主要为耕地。地表沉陷对土地、农田造成破坏原因是地表移动变形产生的沉陷盆地、裂缝。地表裂缝主要使土地、农田被分割而破碎毁坏，影响耕种，庄稼、树木、植被不能正常生长。地表裂缝对地表土层原始内聚力和附着力产生了</w:t>
      </w:r>
      <w:r>
        <w:rPr>
          <w:sz w:val="24"/>
        </w:rPr>
        <w:t>“</w:t>
      </w:r>
      <w:r>
        <w:rPr>
          <w:sz w:val="24"/>
        </w:rPr>
        <w:t>质</w:t>
      </w:r>
      <w:r>
        <w:rPr>
          <w:sz w:val="24"/>
        </w:rPr>
        <w:t>”</w:t>
      </w:r>
      <w:r>
        <w:rPr>
          <w:sz w:val="24"/>
        </w:rPr>
        <w:t>的改变，使得在原有侵蚀力不变的情况下，侵蚀模数将加大，加剧了水土流失的强度，加速水、土、肥的流失，使土地、农田变得贫瘠。对土地、农田等造成一定程度的破坏，影响农作物及树木等地表植被正常生长。</w:t>
      </w:r>
    </w:p>
    <w:p w:rsidR="00240BCE" w:rsidRDefault="00AC0334">
      <w:pPr>
        <w:pStyle w:val="a1"/>
        <w:spacing w:after="0" w:line="520" w:lineRule="exact"/>
        <w:ind w:firstLineChars="200" w:firstLine="480"/>
        <w:rPr>
          <w:sz w:val="24"/>
        </w:rPr>
      </w:pPr>
      <w:r>
        <w:rPr>
          <w:sz w:val="24"/>
        </w:rPr>
        <w:t>在采空区的边界地带，以及不同塌陷深度的过渡带上，由于坡度增加，伴随出现地表裂缝，裂缝造成地表水、土壤肥力流失，影响农业生产等，对于宽度小于</w:t>
      </w:r>
      <w:r>
        <w:rPr>
          <w:sz w:val="24"/>
        </w:rPr>
        <w:t xml:space="preserve">50mm </w:t>
      </w:r>
      <w:r>
        <w:rPr>
          <w:sz w:val="24"/>
        </w:rPr>
        <w:lastRenderedPageBreak/>
        <w:t>的裂缝区，以自然恢复为主，借助人工耕作等恢复原有的耕作条件，就近挖取土直接充填地表裂缝；对于宽度大于</w:t>
      </w:r>
      <w:r>
        <w:rPr>
          <w:sz w:val="24"/>
        </w:rPr>
        <w:t>50mm</w:t>
      </w:r>
      <w:r>
        <w:rPr>
          <w:sz w:val="24"/>
        </w:rPr>
        <w:t>的地表裂缝区，主要以人工恢复为主，对裂缝区进行封堵，对土地进行整治，尽量提高表层土的肥力，减少对农业生产的影响。</w:t>
      </w:r>
    </w:p>
    <w:p w:rsidR="00240BCE" w:rsidRDefault="00AC0334">
      <w:pPr>
        <w:pStyle w:val="a1"/>
        <w:spacing w:line="520" w:lineRule="exact"/>
        <w:ind w:firstLineChars="200" w:firstLine="480"/>
        <w:rPr>
          <w:sz w:val="24"/>
        </w:rPr>
      </w:pPr>
      <w:r>
        <w:rPr>
          <w:sz w:val="24"/>
        </w:rPr>
        <w:t>根据对隆庆煤矿原有开采的调查及区域煤矿开采的调查可知，由于项目地处浅山丘陵区，矿井开采造成的沉陷不明显，矿井开采造成的耕地损害对当地农作物产量影响较小。实际上采煤过程中，随着土地复垦措施的实施，受损耕地可以及时得到恢复，预测矿井采煤对区域农业生产力的影响会小于假定情景的影响。</w:t>
      </w:r>
    </w:p>
    <w:p w:rsidR="00240BCE" w:rsidRDefault="00AC0334">
      <w:pPr>
        <w:spacing w:line="520" w:lineRule="exact"/>
        <w:rPr>
          <w:sz w:val="24"/>
        </w:rPr>
      </w:pPr>
      <w:r>
        <w:rPr>
          <w:sz w:val="24"/>
        </w:rPr>
        <w:t>5.3.5.4</w:t>
      </w:r>
      <w:r>
        <w:rPr>
          <w:sz w:val="24"/>
        </w:rPr>
        <w:t>地表沉陷对道路的影响分析</w:t>
      </w:r>
    </w:p>
    <w:p w:rsidR="00240BCE" w:rsidRDefault="00AC0334">
      <w:pPr>
        <w:spacing w:line="520" w:lineRule="exact"/>
        <w:ind w:firstLineChars="200" w:firstLine="480"/>
        <w:rPr>
          <w:sz w:val="24"/>
        </w:rPr>
      </w:pPr>
      <w:r>
        <w:rPr>
          <w:sz w:val="24"/>
        </w:rPr>
        <w:t>（</w:t>
      </w:r>
      <w:r>
        <w:rPr>
          <w:sz w:val="24"/>
        </w:rPr>
        <w:t>1</w:t>
      </w:r>
      <w:r>
        <w:rPr>
          <w:sz w:val="24"/>
        </w:rPr>
        <w:t>）对</w:t>
      </w:r>
      <w:r>
        <w:rPr>
          <w:sz w:val="24"/>
        </w:rPr>
        <w:t>S325</w:t>
      </w:r>
      <w:r>
        <w:rPr>
          <w:sz w:val="24"/>
        </w:rPr>
        <w:t>省道的影响</w:t>
      </w:r>
    </w:p>
    <w:p w:rsidR="00240BCE" w:rsidRDefault="00AC0334">
      <w:pPr>
        <w:spacing w:line="520" w:lineRule="exact"/>
        <w:ind w:firstLineChars="200" w:firstLine="480"/>
        <w:rPr>
          <w:sz w:val="24"/>
        </w:rPr>
      </w:pPr>
      <w:r>
        <w:rPr>
          <w:sz w:val="24"/>
        </w:rPr>
        <w:t>S325</w:t>
      </w:r>
      <w:r>
        <w:rPr>
          <w:sz w:val="24"/>
        </w:rPr>
        <w:t>省道在井田北部边界外约</w:t>
      </w:r>
      <w:r>
        <w:rPr>
          <w:sz w:val="24"/>
        </w:rPr>
        <w:t>90m</w:t>
      </w:r>
      <w:r>
        <w:rPr>
          <w:sz w:val="24"/>
        </w:rPr>
        <w:t>～</w:t>
      </w:r>
      <w:r>
        <w:rPr>
          <w:sz w:val="24"/>
        </w:rPr>
        <w:t>500m</w:t>
      </w:r>
      <w:r>
        <w:rPr>
          <w:sz w:val="24"/>
        </w:rPr>
        <w:t>，首采区开采时不受地表沉陷影响，后期</w:t>
      </w:r>
      <w:r>
        <w:rPr>
          <w:sz w:val="24"/>
        </w:rPr>
        <w:t>22</w:t>
      </w:r>
      <w:r>
        <w:rPr>
          <w:sz w:val="24"/>
        </w:rPr>
        <w:t>采区开采时有部分路段受开采地表沉陷影响，受影响路段总长约</w:t>
      </w:r>
      <w:r>
        <w:rPr>
          <w:sz w:val="24"/>
        </w:rPr>
        <w:t>1030m</w:t>
      </w:r>
      <w:r>
        <w:rPr>
          <w:sz w:val="24"/>
        </w:rPr>
        <w:t>，下沉量在</w:t>
      </w:r>
      <w:r>
        <w:rPr>
          <w:sz w:val="24"/>
        </w:rPr>
        <w:t>10-50mm</w:t>
      </w:r>
      <w:r>
        <w:rPr>
          <w:sz w:val="24"/>
        </w:rPr>
        <w:t>之间，地表沉陷影响很小。</w:t>
      </w:r>
    </w:p>
    <w:p w:rsidR="00240BCE" w:rsidRDefault="00AC0334">
      <w:pPr>
        <w:spacing w:line="520" w:lineRule="exact"/>
        <w:ind w:firstLineChars="200" w:firstLine="480"/>
        <w:rPr>
          <w:sz w:val="24"/>
        </w:rPr>
      </w:pPr>
      <w:r>
        <w:rPr>
          <w:sz w:val="24"/>
        </w:rPr>
        <w:t>（</w:t>
      </w:r>
      <w:r>
        <w:rPr>
          <w:sz w:val="24"/>
        </w:rPr>
        <w:t>2</w:t>
      </w:r>
      <w:r>
        <w:rPr>
          <w:sz w:val="24"/>
        </w:rPr>
        <w:t>）对乡村公路的影响</w:t>
      </w:r>
    </w:p>
    <w:p w:rsidR="00240BCE" w:rsidRDefault="00AC0334">
      <w:pPr>
        <w:spacing w:line="520" w:lineRule="exact"/>
        <w:ind w:firstLineChars="200" w:firstLine="480"/>
        <w:rPr>
          <w:sz w:val="24"/>
        </w:rPr>
      </w:pPr>
      <w:r>
        <w:rPr>
          <w:sz w:val="24"/>
        </w:rPr>
        <w:t>地表沉陷对乡村间道路的影响主要表现在地表下沉造成路面低凹不平、开裂等路面损坏。对于等级公路，一般留设保护煤柱；对于其它公路，国内许多矿区的实践证明，及时维护后一般不会影响正常交通，通常的维护措施为垫高路基，垫高夯实，路基垫高可采用矿井排出的矸石。可以采取随沉随填、填后夯实的措施保持原来的高度和强度。</w:t>
      </w:r>
    </w:p>
    <w:p w:rsidR="00240BCE" w:rsidRDefault="00AC0334">
      <w:pPr>
        <w:spacing w:line="520" w:lineRule="exact"/>
        <w:rPr>
          <w:sz w:val="24"/>
        </w:rPr>
      </w:pPr>
      <w:r>
        <w:rPr>
          <w:sz w:val="24"/>
        </w:rPr>
        <w:t>5.3.5.5</w:t>
      </w:r>
      <w:r>
        <w:rPr>
          <w:sz w:val="24"/>
        </w:rPr>
        <w:t>地表沉陷对地表水体的影响</w:t>
      </w:r>
    </w:p>
    <w:p w:rsidR="00240BCE" w:rsidRDefault="00AC0334">
      <w:pPr>
        <w:spacing w:line="520" w:lineRule="exact"/>
        <w:ind w:firstLineChars="200" w:firstLine="480"/>
        <w:rPr>
          <w:sz w:val="24"/>
        </w:rPr>
      </w:pPr>
      <w:r>
        <w:rPr>
          <w:sz w:val="24"/>
        </w:rPr>
        <w:t>赵沟河为季节性河流，一般情况下无水，位于井田中部，近东西</w:t>
      </w:r>
      <w:r>
        <w:rPr>
          <w:rFonts w:hint="eastAsia"/>
          <w:sz w:val="24"/>
        </w:rPr>
        <w:t>向</w:t>
      </w:r>
      <w:r>
        <w:rPr>
          <w:sz w:val="24"/>
        </w:rPr>
        <w:t>穿越井田</w:t>
      </w:r>
      <w:r>
        <w:rPr>
          <w:rFonts w:hint="eastAsia"/>
          <w:sz w:val="24"/>
        </w:rPr>
        <w:t>段</w:t>
      </w:r>
      <w:r>
        <w:rPr>
          <w:sz w:val="24"/>
        </w:rPr>
        <w:t>2.75km</w:t>
      </w:r>
      <w:r>
        <w:rPr>
          <w:sz w:val="24"/>
        </w:rPr>
        <w:t>，根据地表沉陷预测结果，开采将会对项目区的季节性冲沟赵沟河造成影响，当采煤沉陷区最终稳定后，影响长度约</w:t>
      </w:r>
      <w:r>
        <w:rPr>
          <w:sz w:val="24"/>
        </w:rPr>
        <w:t>3.35km</w:t>
      </w:r>
      <w:r>
        <w:rPr>
          <w:sz w:val="24"/>
        </w:rPr>
        <w:t>，下沉值在</w:t>
      </w:r>
      <w:r>
        <w:rPr>
          <w:sz w:val="24"/>
        </w:rPr>
        <w:t>10mm</w:t>
      </w:r>
      <w:r>
        <w:rPr>
          <w:sz w:val="24"/>
        </w:rPr>
        <w:t>～</w:t>
      </w:r>
      <w:r>
        <w:rPr>
          <w:sz w:val="24"/>
        </w:rPr>
        <w:t>1.5m</w:t>
      </w:r>
      <w:r>
        <w:rPr>
          <w:sz w:val="24"/>
        </w:rPr>
        <w:t>之间，由于赵沟河为山间季节性冲沟，主要为泄洪排水，目前常年无水，沉陷后不会影响到其泄洪功能，因此对其影响较小。</w:t>
      </w:r>
    </w:p>
    <w:p w:rsidR="00240BCE" w:rsidRDefault="00AC0334">
      <w:pPr>
        <w:spacing w:line="520" w:lineRule="exact"/>
        <w:rPr>
          <w:sz w:val="24"/>
        </w:rPr>
      </w:pPr>
      <w:r>
        <w:rPr>
          <w:sz w:val="24"/>
        </w:rPr>
        <w:t>5.3.5.6</w:t>
      </w:r>
      <w:r>
        <w:rPr>
          <w:sz w:val="24"/>
        </w:rPr>
        <w:t>地表沉陷对土地利用的影响分析</w:t>
      </w:r>
    </w:p>
    <w:p w:rsidR="00240BCE" w:rsidRDefault="00AC0334">
      <w:pPr>
        <w:spacing w:line="520" w:lineRule="exact"/>
        <w:ind w:firstLineChars="200" w:firstLine="480"/>
        <w:rPr>
          <w:sz w:val="24"/>
        </w:rPr>
      </w:pPr>
      <w:r>
        <w:rPr>
          <w:sz w:val="24"/>
        </w:rPr>
        <w:lastRenderedPageBreak/>
        <w:t>根据预测结果，全井田地表沉陷影响范围为</w:t>
      </w:r>
      <w:r>
        <w:rPr>
          <w:sz w:val="24"/>
        </w:rPr>
        <w:t>2.35km</w:t>
      </w:r>
      <w:r>
        <w:rPr>
          <w:sz w:val="24"/>
          <w:vertAlign w:val="superscript"/>
        </w:rPr>
        <w:t>2</w:t>
      </w:r>
      <w:r>
        <w:rPr>
          <w:sz w:val="24"/>
        </w:rPr>
        <w:t>。目前，井田范围内的土地利用类型主要为耕地及村镇等建设用地，此外，还有一部分道路用地和林地等，地表沉陷虽然会对耕地产生轻微的不利影响，但是不会影响耕地的继续使用。对本井田而言，各类用地比例变化很小。</w:t>
      </w:r>
    </w:p>
    <w:p w:rsidR="00240BCE" w:rsidRDefault="00AC0334">
      <w:pPr>
        <w:spacing w:line="520" w:lineRule="exact"/>
        <w:ind w:firstLineChars="200" w:firstLine="480"/>
        <w:rPr>
          <w:sz w:val="24"/>
        </w:rPr>
      </w:pPr>
      <w:r>
        <w:rPr>
          <w:sz w:val="24"/>
        </w:rPr>
        <w:t>经以上分析可知，地面沉陷对区域生态环境和农业局部短时有影响，复垦后对土地利用影响不大。</w:t>
      </w:r>
    </w:p>
    <w:p w:rsidR="00240BCE" w:rsidRDefault="00AC0334" w:rsidP="009C5F33">
      <w:pPr>
        <w:pStyle w:val="2"/>
        <w:adjustRightInd w:val="0"/>
        <w:snapToGrid w:val="0"/>
        <w:spacing w:beforeLines="100" w:afterLines="50" w:line="240" w:lineRule="auto"/>
        <w:jc w:val="left"/>
        <w:rPr>
          <w:rFonts w:ascii="Times New Roman" w:eastAsia="宋体" w:hAnsi="Times New Roman"/>
          <w:bCs/>
          <w:spacing w:val="2"/>
          <w:szCs w:val="32"/>
        </w:rPr>
      </w:pPr>
      <w:bookmarkStart w:id="482" w:name="_Toc151179032"/>
      <w:bookmarkStart w:id="483" w:name="_Toc158524640"/>
      <w:bookmarkStart w:id="484" w:name="_Toc79668690"/>
      <w:bookmarkStart w:id="485" w:name="_Toc81934384"/>
      <w:r>
        <w:rPr>
          <w:rFonts w:ascii="Times New Roman" w:eastAsia="宋体" w:hAnsi="Times New Roman"/>
          <w:bCs/>
          <w:spacing w:val="2"/>
          <w:szCs w:val="32"/>
        </w:rPr>
        <w:t xml:space="preserve">5.4 </w:t>
      </w:r>
      <w:bookmarkEnd w:id="482"/>
      <w:bookmarkEnd w:id="483"/>
      <w:r>
        <w:rPr>
          <w:rFonts w:ascii="Times New Roman" w:eastAsia="宋体" w:hAnsi="Times New Roman"/>
          <w:bCs/>
          <w:spacing w:val="2"/>
          <w:szCs w:val="32"/>
        </w:rPr>
        <w:t>生态环境影响评价</w:t>
      </w:r>
      <w:bookmarkEnd w:id="484"/>
      <w:bookmarkEnd w:id="485"/>
    </w:p>
    <w:p w:rsidR="00240BCE" w:rsidRDefault="00AC0334" w:rsidP="009C5F33">
      <w:pPr>
        <w:pStyle w:val="30"/>
        <w:adjustRightInd w:val="0"/>
        <w:snapToGrid w:val="0"/>
        <w:spacing w:beforeLines="70" w:afterLines="30" w:line="240" w:lineRule="auto"/>
        <w:jc w:val="left"/>
        <w:rPr>
          <w:rFonts w:eastAsia="楷体"/>
          <w:sz w:val="28"/>
          <w:szCs w:val="28"/>
        </w:rPr>
      </w:pPr>
      <w:bookmarkStart w:id="486" w:name="_Toc79668691"/>
      <w:r>
        <w:rPr>
          <w:rFonts w:eastAsia="楷体"/>
          <w:sz w:val="28"/>
          <w:szCs w:val="28"/>
        </w:rPr>
        <w:t xml:space="preserve">5.4.1 </w:t>
      </w:r>
      <w:r>
        <w:rPr>
          <w:rFonts w:eastAsia="楷体"/>
          <w:sz w:val="28"/>
          <w:szCs w:val="28"/>
        </w:rPr>
        <w:t>对自然景观的影响分析</w:t>
      </w:r>
      <w:bookmarkEnd w:id="486"/>
    </w:p>
    <w:p w:rsidR="00240BCE" w:rsidRDefault="00AC0334">
      <w:pPr>
        <w:spacing w:line="520" w:lineRule="exact"/>
        <w:ind w:firstLine="573"/>
        <w:rPr>
          <w:color w:val="000000"/>
        </w:rPr>
      </w:pPr>
      <w:r>
        <w:rPr>
          <w:color w:val="000000"/>
          <w:sz w:val="24"/>
        </w:rPr>
        <w:t>项目建设将会在很大程度上改变项目直接实施区域内原有的自然景观，例如：矿井的开采，对原地表形态、地层层序、植被等发生直接的破坏，挖掘产生的的废弃岩土直接堆置于原地貌上，将使施工区域内的自然景观遭受到完全破坏；开采沉陷区的产生，造成地面波状起伏；对土地的永久占用，使原有的自然景观类型变为容纳生产设施及其辅助设施的工业场地；项目建成后会对原有景观进行分割，造成景观生态系统在空间上的不连续性，对原有的景观产生影响。</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87" w:name="_Toc79668692"/>
      <w:r>
        <w:rPr>
          <w:rFonts w:eastAsia="楷体"/>
          <w:sz w:val="28"/>
          <w:szCs w:val="28"/>
        </w:rPr>
        <w:t xml:space="preserve">5.4.2 </w:t>
      </w:r>
      <w:r>
        <w:rPr>
          <w:rFonts w:eastAsia="楷体"/>
          <w:sz w:val="28"/>
          <w:szCs w:val="28"/>
        </w:rPr>
        <w:t>对植被的影响分析</w:t>
      </w:r>
      <w:bookmarkEnd w:id="487"/>
    </w:p>
    <w:p w:rsidR="00240BCE" w:rsidRDefault="00AC0334">
      <w:pPr>
        <w:spacing w:line="520" w:lineRule="exact"/>
        <w:ind w:firstLine="570"/>
        <w:rPr>
          <w:color w:val="000000"/>
          <w:sz w:val="24"/>
        </w:rPr>
      </w:pPr>
      <w:r>
        <w:rPr>
          <w:color w:val="000000"/>
          <w:sz w:val="24"/>
        </w:rPr>
        <w:t>由于本项目为升级改造项目，仍利用原有工业广场，因此项目实施对植被的影响主要由煤炭开采过程中的地表沉陷造成的。</w:t>
      </w:r>
    </w:p>
    <w:p w:rsidR="00240BCE" w:rsidRDefault="00AC0334">
      <w:pPr>
        <w:spacing w:line="520" w:lineRule="exact"/>
        <w:ind w:firstLine="570"/>
        <w:rPr>
          <w:color w:val="000000"/>
          <w:sz w:val="24"/>
        </w:rPr>
      </w:pPr>
      <w:r>
        <w:rPr>
          <w:color w:val="000000"/>
          <w:sz w:val="24"/>
        </w:rPr>
        <w:t>煤炭开采过程会形成沉陷区，沉陷区地表变形会产生地表裂缝，使原有土质疏松、涵养水降低，这些地段的植被生长受到影响，在自然陡坡地段，原本植物自然定居、生长困难，因沉陷影响后的多年生植物需要较长的时间才能够自然恢复，一些一年生的植物来年雨季即可恢复。</w:t>
      </w:r>
    </w:p>
    <w:p w:rsidR="00240BCE" w:rsidRDefault="00AC0334">
      <w:pPr>
        <w:spacing w:line="520" w:lineRule="exact"/>
        <w:ind w:firstLine="570"/>
        <w:rPr>
          <w:color w:val="000000"/>
          <w:sz w:val="24"/>
        </w:rPr>
      </w:pPr>
      <w:r>
        <w:rPr>
          <w:color w:val="000000"/>
          <w:sz w:val="24"/>
        </w:rPr>
        <w:t>评价区内的植物，均为广布种和常见种。尽管项目建设会使原有植被遭到局部损失，但不会使整个评价区植物群落的种类组成发生明显变化，也不会造成某一植物种的消失。</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88" w:name="_Toc79668693"/>
      <w:r>
        <w:rPr>
          <w:rFonts w:eastAsia="楷体"/>
          <w:sz w:val="28"/>
          <w:szCs w:val="28"/>
        </w:rPr>
        <w:lastRenderedPageBreak/>
        <w:t xml:space="preserve">5.4.3 </w:t>
      </w:r>
      <w:r>
        <w:rPr>
          <w:rFonts w:eastAsia="楷体"/>
          <w:sz w:val="28"/>
          <w:szCs w:val="28"/>
        </w:rPr>
        <w:t>对动物资源的影响分析</w:t>
      </w:r>
      <w:bookmarkEnd w:id="488"/>
    </w:p>
    <w:p w:rsidR="00240BCE" w:rsidRDefault="00AC0334">
      <w:pPr>
        <w:spacing w:line="520" w:lineRule="exact"/>
        <w:ind w:firstLine="570"/>
        <w:rPr>
          <w:color w:val="000000"/>
          <w:sz w:val="24"/>
        </w:rPr>
      </w:pPr>
      <w:r>
        <w:rPr>
          <w:color w:val="000000"/>
          <w:sz w:val="24"/>
        </w:rPr>
        <w:t>矿井开发人为活动主要在地下，工业场地和辅助设施布置集中，动物活动区域人为干扰较少，对野生动物种类和数量影响很小。</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89" w:name="_Toc79668694"/>
      <w:r>
        <w:rPr>
          <w:rFonts w:eastAsia="楷体"/>
          <w:sz w:val="28"/>
          <w:szCs w:val="28"/>
        </w:rPr>
        <w:t xml:space="preserve">5.4.4 </w:t>
      </w:r>
      <w:r>
        <w:rPr>
          <w:rFonts w:eastAsia="楷体"/>
          <w:sz w:val="28"/>
          <w:szCs w:val="28"/>
        </w:rPr>
        <w:t>对土地利用的影响分析</w:t>
      </w:r>
      <w:bookmarkEnd w:id="489"/>
    </w:p>
    <w:p w:rsidR="00240BCE" w:rsidRDefault="00AC0334">
      <w:pPr>
        <w:spacing w:line="520" w:lineRule="exact"/>
        <w:ind w:firstLine="570"/>
        <w:rPr>
          <w:sz w:val="24"/>
        </w:rPr>
      </w:pPr>
      <w:r>
        <w:rPr>
          <w:sz w:val="24"/>
        </w:rPr>
        <w:t>评价区在地貌上属低山丘陵区，大部分区域以耕地为主，其次为村庄建设用地、林地及园地等。</w:t>
      </w:r>
    </w:p>
    <w:p w:rsidR="00240BCE" w:rsidRDefault="00AC0334">
      <w:pPr>
        <w:spacing w:line="520" w:lineRule="exact"/>
        <w:ind w:firstLine="570"/>
        <w:rPr>
          <w:color w:val="000000"/>
          <w:sz w:val="24"/>
        </w:rPr>
      </w:pPr>
      <w:r>
        <w:rPr>
          <w:color w:val="000000"/>
          <w:sz w:val="24"/>
        </w:rPr>
        <w:t>由于本项目为技改项目，仍利用原有工业广场，因此项目实施对土地利用的影响主要由煤炭开采过程中的地表沉陷造成的。</w:t>
      </w:r>
    </w:p>
    <w:p w:rsidR="00240BCE" w:rsidRDefault="00AC0334">
      <w:pPr>
        <w:pStyle w:val="ae"/>
        <w:spacing w:line="520" w:lineRule="exact"/>
        <w:ind w:firstLineChars="200" w:firstLine="480"/>
        <w:rPr>
          <w:rFonts w:ascii="Times New Roman" w:hAnsi="Times New Roman"/>
          <w:color w:val="000000"/>
          <w:sz w:val="24"/>
        </w:rPr>
      </w:pPr>
      <w:r>
        <w:rPr>
          <w:rFonts w:ascii="Times New Roman" w:hAnsi="Times New Roman"/>
          <w:sz w:val="24"/>
        </w:rPr>
        <w:t>根据地表沉陷预测，全井田地表沉陷面积为</w:t>
      </w:r>
      <w:r>
        <w:rPr>
          <w:rFonts w:ascii="Times New Roman" w:hAnsi="Times New Roman"/>
          <w:sz w:val="24"/>
        </w:rPr>
        <w:t>2.35km</w:t>
      </w:r>
      <w:r>
        <w:rPr>
          <w:rFonts w:ascii="Times New Roman" w:hAnsi="Times New Roman"/>
          <w:sz w:val="24"/>
          <w:vertAlign w:val="superscript"/>
        </w:rPr>
        <w:t>2</w:t>
      </w:r>
      <w:r>
        <w:rPr>
          <w:rFonts w:ascii="Times New Roman" w:hAnsi="Times New Roman"/>
          <w:sz w:val="24"/>
        </w:rPr>
        <w:t>，最大下沉值</w:t>
      </w:r>
      <w:r>
        <w:rPr>
          <w:rFonts w:ascii="Times New Roman" w:hAnsi="Times New Roman"/>
          <w:sz w:val="24"/>
        </w:rPr>
        <w:t>2007.52mm</w:t>
      </w:r>
      <w:r>
        <w:rPr>
          <w:rFonts w:ascii="Times New Roman" w:hAnsi="Times New Roman"/>
          <w:sz w:val="24"/>
        </w:rPr>
        <w:t>。地表变形会使地面少数土地出现塌陷现象或裂缝，由于项目地处浅山丘陵区，沉陷不会形成积水区，地表塌陷或裂缝稍加平整即可恢复土地利用性质，因此，项目实施后不会造成区域土地利用的变化</w:t>
      </w:r>
      <w:r>
        <w:rPr>
          <w:rFonts w:ascii="Times New Roman" w:hAnsi="Times New Roman"/>
          <w:color w:val="000000"/>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490" w:name="_Toc79668695"/>
      <w:r>
        <w:rPr>
          <w:rFonts w:eastAsia="楷体"/>
          <w:sz w:val="28"/>
          <w:szCs w:val="28"/>
        </w:rPr>
        <w:t xml:space="preserve">5.4.5 </w:t>
      </w:r>
      <w:r>
        <w:rPr>
          <w:rFonts w:eastAsia="楷体"/>
          <w:sz w:val="28"/>
          <w:szCs w:val="28"/>
        </w:rPr>
        <w:t>生态环境总体变化趋势</w:t>
      </w:r>
      <w:bookmarkEnd w:id="490"/>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由以上各项分析可以看出，项目在开发后生态环境的总体变化将表现出如下趋势：</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）有利影响主要表现在社会经济方面，如区域工业产值比重的加大、居民收入的提高、人员素质的逐步提高等</w:t>
      </w:r>
      <w:r>
        <w:rPr>
          <w:rFonts w:ascii="Times New Roman" w:hAnsi="Times New Roman" w:hint="eastAsia"/>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）项目开发总体上不会引起评价区生物多样性的变化，但在局部（如工业场地周围、运输道路两侧）会使人工生态环境的比重有所加大</w:t>
      </w:r>
      <w:r>
        <w:rPr>
          <w:rFonts w:ascii="Times New Roman" w:hAnsi="Times New Roman" w:hint="eastAsia"/>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）采煤引起的地表沉陷和局部地段的地表裂缝会对土壤的涵养水产生一定的影响，会导致井田内局地农田生态系统、林草地生态系统出现不利影响，其表现为植物正常生长受阻</w:t>
      </w:r>
      <w:r>
        <w:rPr>
          <w:rFonts w:ascii="Times New Roman" w:hAnsi="Times New Roman" w:hint="eastAsia"/>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）工程建设和运行不会使评价区耕地减少</w:t>
      </w:r>
      <w:r>
        <w:rPr>
          <w:rFonts w:ascii="Times New Roman" w:hAnsi="Times New Roman" w:hint="eastAsia"/>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）工程建设和运行不利影响在人工措施到位的前提下大多是轻微的、可逆的，有利影响是长远的、深层次的，且与矿区的开发强度呈正相关。</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rPr>
        <w:t>6</w:t>
      </w:r>
      <w:r>
        <w:rPr>
          <w:rFonts w:ascii="Times New Roman" w:hAnsi="Times New Roman"/>
          <w:sz w:val="24"/>
          <w:szCs w:val="24"/>
        </w:rPr>
        <w:t>）矿井煤炭开采过程中应加强沉陷区土地复垦工作，使项目开发对当地农业经济与生态环境的负面影响得到有效控制，维持生态系统的完整性与稳定性，实现区域可持续发展。</w:t>
      </w:r>
    </w:p>
    <w:p w:rsidR="00240BCE" w:rsidRDefault="00240BCE">
      <w:pPr>
        <w:pStyle w:val="a1"/>
      </w:pPr>
    </w:p>
    <w:p w:rsidR="00240BCE" w:rsidRDefault="00AC0334">
      <w:pPr>
        <w:pStyle w:val="1"/>
        <w:spacing w:before="120" w:after="120" w:line="360" w:lineRule="auto"/>
        <w:jc w:val="center"/>
        <w:rPr>
          <w:rFonts w:eastAsia="黑体"/>
          <w:b w:val="0"/>
          <w:sz w:val="36"/>
          <w:szCs w:val="36"/>
        </w:rPr>
      </w:pPr>
      <w:bookmarkStart w:id="491" w:name="_Toc79668696"/>
      <w:bookmarkStart w:id="492" w:name="_Toc29814_WPSOffice_Level1"/>
      <w:r>
        <w:rPr>
          <w:rFonts w:eastAsia="黑体"/>
          <w:b w:val="0"/>
          <w:sz w:val="36"/>
          <w:szCs w:val="36"/>
        </w:rPr>
        <w:br w:type="page"/>
      </w:r>
      <w:bookmarkStart w:id="493" w:name="_Toc81934385"/>
      <w:r>
        <w:rPr>
          <w:rFonts w:eastAsia="黑体"/>
          <w:b w:val="0"/>
          <w:sz w:val="36"/>
          <w:szCs w:val="36"/>
        </w:rPr>
        <w:lastRenderedPageBreak/>
        <w:t>6</w:t>
      </w:r>
      <w:r>
        <w:rPr>
          <w:rFonts w:eastAsia="黑体"/>
          <w:b w:val="0"/>
          <w:sz w:val="36"/>
          <w:szCs w:val="36"/>
        </w:rPr>
        <w:t>环境影响预测与评价</w:t>
      </w:r>
      <w:bookmarkEnd w:id="491"/>
      <w:bookmarkEnd w:id="492"/>
      <w:bookmarkEnd w:id="493"/>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494" w:name="_Toc79668697"/>
      <w:bookmarkStart w:id="495" w:name="_Toc25422_WPSOffice_Level2"/>
      <w:bookmarkStart w:id="496" w:name="_Toc81934386"/>
      <w:bookmarkStart w:id="497" w:name="_Toc225911250"/>
      <w:r>
        <w:rPr>
          <w:rFonts w:ascii="Times New Roman" w:eastAsia="宋体" w:hAnsi="Times New Roman"/>
          <w:bCs/>
          <w:szCs w:val="32"/>
        </w:rPr>
        <w:t xml:space="preserve">6.1 </w:t>
      </w:r>
      <w:r>
        <w:rPr>
          <w:rFonts w:ascii="Times New Roman" w:eastAsia="宋体" w:hAnsi="Times New Roman"/>
          <w:bCs/>
          <w:szCs w:val="32"/>
        </w:rPr>
        <w:t>大气环境影响预测与评价</w:t>
      </w:r>
      <w:bookmarkEnd w:id="494"/>
      <w:bookmarkEnd w:id="495"/>
      <w:bookmarkEnd w:id="496"/>
    </w:p>
    <w:p w:rsidR="00240BCE" w:rsidRDefault="00AC0334" w:rsidP="009C5F33">
      <w:pPr>
        <w:pStyle w:val="30"/>
        <w:adjustRightInd w:val="0"/>
        <w:snapToGrid w:val="0"/>
        <w:spacing w:beforeLines="70" w:afterLines="30" w:line="240" w:lineRule="auto"/>
        <w:jc w:val="left"/>
        <w:rPr>
          <w:rFonts w:eastAsia="楷体"/>
          <w:color w:val="000000"/>
          <w:spacing w:val="4"/>
          <w:sz w:val="28"/>
          <w:szCs w:val="28"/>
        </w:rPr>
      </w:pPr>
      <w:bookmarkStart w:id="498" w:name="_Toc79668698"/>
      <w:bookmarkStart w:id="499" w:name="_Toc12611_WPSOffice_Level3"/>
      <w:r>
        <w:rPr>
          <w:rFonts w:eastAsia="楷体"/>
          <w:sz w:val="28"/>
          <w:szCs w:val="28"/>
        </w:rPr>
        <w:t xml:space="preserve">6.1.1 </w:t>
      </w:r>
      <w:r>
        <w:rPr>
          <w:rFonts w:eastAsia="楷体"/>
          <w:sz w:val="28"/>
          <w:szCs w:val="28"/>
        </w:rPr>
        <w:t>建设期大气环境影响分析</w:t>
      </w:r>
      <w:bookmarkEnd w:id="498"/>
      <w:bookmarkEnd w:id="499"/>
    </w:p>
    <w:p w:rsidR="00240BCE" w:rsidRDefault="00AC0334">
      <w:pPr>
        <w:pStyle w:val="01"/>
        <w:spacing w:line="520" w:lineRule="exact"/>
        <w:ind w:firstLine="480"/>
        <w:rPr>
          <w:rFonts w:ascii="Times New Roman" w:hAnsi="Times New Roman"/>
          <w:color w:val="000000"/>
        </w:rPr>
      </w:pPr>
      <w:bookmarkStart w:id="500" w:name="_Toc162358820"/>
      <w:bookmarkStart w:id="501" w:name="_Toc180680464"/>
      <w:bookmarkStart w:id="502" w:name="_Toc181088802"/>
      <w:bookmarkStart w:id="503" w:name="_Toc181089208"/>
      <w:bookmarkEnd w:id="500"/>
      <w:bookmarkEnd w:id="501"/>
      <w:bookmarkEnd w:id="502"/>
      <w:bookmarkEnd w:id="503"/>
      <w:r>
        <w:rPr>
          <w:rFonts w:ascii="Times New Roman" w:hAnsi="Times New Roman"/>
          <w:color w:val="000000"/>
          <w:lang w:val="en-US"/>
        </w:rPr>
        <w:t>本项目为升级改造项目，利用现有工业场地、井筒、井下巷道及其设施等，建设期地面工程主要是矿井水处理站升级改造，建设期大气环境影响主要是矿井水处理站升级改造施工过程中可能产生的少量风蚀扬尘，由于矿井水处理站升级改造主要是新增无阀滤池及对斜管沉淀池的改造，时间</w:t>
      </w:r>
      <w:r>
        <w:rPr>
          <w:rFonts w:ascii="Times New Roman" w:hAnsi="Times New Roman" w:hint="eastAsia"/>
          <w:color w:val="000000"/>
          <w:lang w:val="en-US"/>
        </w:rPr>
        <w:t>较</w:t>
      </w:r>
      <w:r>
        <w:rPr>
          <w:rFonts w:ascii="Times New Roman" w:hAnsi="Times New Roman"/>
          <w:color w:val="000000"/>
          <w:lang w:val="en-US"/>
        </w:rPr>
        <w:t>短，基本没有开挖，施工过程中产生的扬尘很少，且污染物均为无组织排放，难以定量。本次要求项目</w:t>
      </w:r>
      <w:r>
        <w:rPr>
          <w:rFonts w:ascii="Times New Roman" w:hAnsi="Times New Roman"/>
          <w:color w:val="000000"/>
        </w:rPr>
        <w:t>在施工过程中</w:t>
      </w:r>
      <w:r>
        <w:rPr>
          <w:rFonts w:ascii="Times New Roman" w:hAnsi="Times New Roman"/>
          <w:color w:val="000000"/>
        </w:rPr>
        <w:t>①</w:t>
      </w:r>
      <w:r>
        <w:rPr>
          <w:rFonts w:ascii="Times New Roman" w:hAnsi="Times New Roman"/>
          <w:color w:val="000000"/>
        </w:rPr>
        <w:t>选择有经验、有资质的施工单位，做到文明施工，施工过程中及时洒水，将施工扬尘降到最低程度；</w:t>
      </w:r>
      <w:r>
        <w:rPr>
          <w:rFonts w:ascii="Times New Roman" w:hAnsi="Times New Roman"/>
          <w:color w:val="000000"/>
        </w:rPr>
        <w:t>②</w:t>
      </w:r>
      <w:r>
        <w:rPr>
          <w:rFonts w:ascii="Times New Roman" w:hAnsi="Times New Roman"/>
          <w:color w:val="000000"/>
        </w:rPr>
        <w:t>施工过程中使用的水泥等易飞扬的散装物料密闭存放，洒落的施工材料要及时清理，运输时应加盖篷布，防止漏洒和飞扬；</w:t>
      </w:r>
      <w:r>
        <w:rPr>
          <w:rFonts w:ascii="Times New Roman" w:hAnsi="Times New Roman"/>
          <w:color w:val="000000"/>
        </w:rPr>
        <w:t>③</w:t>
      </w:r>
      <w:r>
        <w:rPr>
          <w:rFonts w:ascii="Times New Roman" w:hAnsi="Times New Roman"/>
          <w:color w:val="000000"/>
        </w:rPr>
        <w:t>施工过程中应对施工场地定期洒水抑尘，进驻施工现场的车辆设置车辆冲洗设施；</w:t>
      </w:r>
      <w:r>
        <w:rPr>
          <w:rFonts w:ascii="Times New Roman" w:hAnsi="Times New Roman"/>
          <w:color w:val="000000"/>
        </w:rPr>
        <w:t>④</w:t>
      </w:r>
      <w:r>
        <w:rPr>
          <w:rFonts w:ascii="Times New Roman" w:hAnsi="Times New Roman"/>
          <w:color w:val="000000"/>
        </w:rPr>
        <w:t>运输物料的车辆进行限速、不得超载，并对运输道路进行定期清扫、洒水；</w:t>
      </w:r>
      <w:r>
        <w:rPr>
          <w:rFonts w:ascii="Times New Roman" w:hAnsi="Times New Roman"/>
          <w:color w:val="000000"/>
        </w:rPr>
        <w:t>⑤</w:t>
      </w:r>
      <w:r>
        <w:rPr>
          <w:rFonts w:ascii="Times New Roman" w:hAnsi="Times New Roman"/>
          <w:color w:val="000000"/>
        </w:rPr>
        <w:t>加强环境管理，责任落实到个人。采取上述措施后，可有效减少扬尘量的产生，减轻扬尘对周围环境的影响，加之矿区地势空旷，施工扬尘易于扩散，造成的大气污染影响是局部的、短期的，工程完成之后这种影响就会消失。因此建设期施工扬尘对环境影响不大。</w:t>
      </w:r>
    </w:p>
    <w:p w:rsidR="00240BCE" w:rsidRDefault="00AC0334" w:rsidP="009C5F33">
      <w:pPr>
        <w:pStyle w:val="30"/>
        <w:adjustRightInd w:val="0"/>
        <w:snapToGrid w:val="0"/>
        <w:spacing w:beforeLines="70" w:afterLines="30" w:line="240" w:lineRule="auto"/>
        <w:jc w:val="left"/>
        <w:rPr>
          <w:rFonts w:eastAsia="楷体"/>
          <w:sz w:val="28"/>
          <w:szCs w:val="28"/>
        </w:rPr>
      </w:pPr>
      <w:bookmarkStart w:id="504" w:name="_Toc79668699"/>
      <w:bookmarkStart w:id="505" w:name="_Toc10585_WPSOffice_Level3"/>
      <w:r>
        <w:rPr>
          <w:rFonts w:eastAsia="楷体"/>
          <w:sz w:val="28"/>
          <w:szCs w:val="28"/>
        </w:rPr>
        <w:t xml:space="preserve">6.1.2 </w:t>
      </w:r>
      <w:r>
        <w:rPr>
          <w:rFonts w:eastAsia="楷体"/>
          <w:sz w:val="28"/>
          <w:szCs w:val="28"/>
        </w:rPr>
        <w:t>运营期大气环境影响分析</w:t>
      </w:r>
      <w:bookmarkEnd w:id="504"/>
      <w:bookmarkEnd w:id="505"/>
    </w:p>
    <w:p w:rsidR="001D1891" w:rsidRPr="001D1891" w:rsidRDefault="001D1891" w:rsidP="001D1891">
      <w:pPr>
        <w:pStyle w:val="08516"/>
        <w:ind w:firstLine="488"/>
        <w:rPr>
          <w:szCs w:val="24"/>
        </w:rPr>
      </w:pPr>
      <w:bookmarkStart w:id="506" w:name="_Toc18147_WPSOffice_Level3"/>
      <w:r w:rsidRPr="001D1891">
        <w:rPr>
          <w:rFonts w:hAnsi="宋体" w:hint="eastAsia"/>
          <w:szCs w:val="24"/>
        </w:rPr>
        <w:t>根据工程分析，项目营运期大气污染包括</w:t>
      </w:r>
      <w:r w:rsidRPr="001D1891">
        <w:rPr>
          <w:rFonts w:hint="eastAsia"/>
          <w:szCs w:val="24"/>
        </w:rPr>
        <w:t>井下开采过程产生的扬尘以及风井回风产生的废气、储煤库产生的粉尘、原煤输送及转载点产生的粉尘、车辆运输产生的粉尘等。</w:t>
      </w:r>
    </w:p>
    <w:p w:rsidR="009C2DF0" w:rsidRPr="00021E23" w:rsidRDefault="009C2DF0" w:rsidP="009C2DF0">
      <w:pPr>
        <w:pStyle w:val="ae"/>
        <w:ind w:firstLineChars="200" w:firstLine="480"/>
        <w:rPr>
          <w:sz w:val="24"/>
        </w:rPr>
      </w:pPr>
      <w:r>
        <w:rPr>
          <w:rFonts w:hint="eastAsia"/>
          <w:sz w:val="24"/>
        </w:rPr>
        <w:t>一、</w:t>
      </w:r>
      <w:r w:rsidRPr="00021E23">
        <w:rPr>
          <w:rFonts w:hint="eastAsia"/>
          <w:sz w:val="24"/>
        </w:rPr>
        <w:t>大气污染源排放强度</w:t>
      </w:r>
    </w:p>
    <w:p w:rsidR="001D1891" w:rsidRPr="001D1891" w:rsidRDefault="009C2DF0" w:rsidP="001D1891">
      <w:pPr>
        <w:pStyle w:val="ae"/>
        <w:spacing w:line="520" w:lineRule="exact"/>
        <w:ind w:firstLineChars="200" w:firstLine="480"/>
        <w:rPr>
          <w:sz w:val="24"/>
          <w:szCs w:val="24"/>
        </w:rPr>
      </w:pPr>
      <w:r>
        <w:rPr>
          <w:rFonts w:hint="eastAsia"/>
          <w:kern w:val="0"/>
          <w:sz w:val="24"/>
          <w:szCs w:val="24"/>
        </w:rPr>
        <w:t>（</w:t>
      </w:r>
      <w:r w:rsidR="001D1891" w:rsidRPr="001D1891">
        <w:rPr>
          <w:rFonts w:hint="eastAsia"/>
          <w:kern w:val="0"/>
          <w:sz w:val="24"/>
          <w:szCs w:val="24"/>
        </w:rPr>
        <w:t>1</w:t>
      </w:r>
      <w:r>
        <w:rPr>
          <w:rFonts w:hint="eastAsia"/>
          <w:kern w:val="0"/>
          <w:sz w:val="24"/>
          <w:szCs w:val="24"/>
        </w:rPr>
        <w:t>）</w:t>
      </w:r>
      <w:r w:rsidR="001D1891" w:rsidRPr="001D1891">
        <w:rPr>
          <w:rFonts w:hint="eastAsia"/>
          <w:sz w:val="24"/>
          <w:szCs w:val="24"/>
        </w:rPr>
        <w:t>井下作业产生的粉尘以及风井回风产生的废气</w:t>
      </w:r>
    </w:p>
    <w:p w:rsidR="001D1891" w:rsidRPr="001D1891" w:rsidRDefault="001D1891" w:rsidP="001D1891">
      <w:pPr>
        <w:pStyle w:val="ae"/>
        <w:spacing w:line="520" w:lineRule="exact"/>
        <w:ind w:firstLineChars="200" w:firstLine="480"/>
        <w:rPr>
          <w:rFonts w:ascii="Times New Roman" w:hAnsi="Times New Roman"/>
          <w:sz w:val="24"/>
          <w:szCs w:val="24"/>
        </w:rPr>
      </w:pPr>
      <w:r w:rsidRPr="001D1891">
        <w:rPr>
          <w:rFonts w:ascii="Times New Roman" w:hAnsi="Times New Roman" w:hint="eastAsia"/>
          <w:sz w:val="24"/>
          <w:szCs w:val="24"/>
        </w:rPr>
        <w:t>井下作业采煤过程会产生粉尘，这部分粉尘主要是对井下环境产生影响，对地面环境影响轻微。</w:t>
      </w:r>
      <w:r w:rsidR="00AC3D0F">
        <w:rPr>
          <w:rFonts w:ascii="Times New Roman" w:hAnsi="Times New Roman" w:hint="eastAsia"/>
          <w:sz w:val="24"/>
          <w:szCs w:val="24"/>
        </w:rPr>
        <w:t>本项目</w:t>
      </w:r>
      <w:r w:rsidRPr="001D1891">
        <w:rPr>
          <w:rFonts w:ascii="Times New Roman" w:hAnsi="Times New Roman" w:hint="eastAsia"/>
          <w:sz w:val="24"/>
          <w:szCs w:val="24"/>
        </w:rPr>
        <w:t>井下建立有防尘洒水系统，对采煤的各装转点设有喷雾洒</w:t>
      </w:r>
      <w:r w:rsidRPr="001D1891">
        <w:rPr>
          <w:rFonts w:ascii="Times New Roman" w:hAnsi="Times New Roman" w:hint="eastAsia"/>
          <w:sz w:val="24"/>
          <w:szCs w:val="24"/>
        </w:rPr>
        <w:lastRenderedPageBreak/>
        <w:t>水装置，输送机巷和主要通风巷等处均设置净化水幕，作业时开启；井下风钻，煤电钻均采用湿式打眼；对于易积存煤尘地点，定期进行清扫冲洗。采取上述措施后降尘率能够达到</w:t>
      </w:r>
      <w:r w:rsidRPr="001D1891">
        <w:rPr>
          <w:rFonts w:ascii="Times New Roman" w:hAnsi="Times New Roman"/>
          <w:sz w:val="24"/>
          <w:szCs w:val="24"/>
        </w:rPr>
        <w:t>95%</w:t>
      </w:r>
      <w:r w:rsidRPr="001D1891">
        <w:rPr>
          <w:rFonts w:ascii="Times New Roman" w:hAnsi="Times New Roman" w:hint="eastAsia"/>
          <w:sz w:val="24"/>
          <w:szCs w:val="24"/>
        </w:rPr>
        <w:t>以上，可以有效抑制井下粉尘产生，处理后井下粉尘浓度能够小于</w:t>
      </w:r>
      <w:r w:rsidRPr="001D1891">
        <w:rPr>
          <w:rFonts w:ascii="Times New Roman" w:hAnsi="Times New Roman"/>
          <w:sz w:val="24"/>
          <w:szCs w:val="24"/>
        </w:rPr>
        <w:t>4mg/m</w:t>
      </w:r>
      <w:r w:rsidRPr="001D1891">
        <w:rPr>
          <w:rFonts w:ascii="Times New Roman" w:hAnsi="Times New Roman"/>
          <w:sz w:val="24"/>
          <w:szCs w:val="24"/>
          <w:vertAlign w:val="superscript"/>
        </w:rPr>
        <w:t>3</w:t>
      </w:r>
      <w:r w:rsidRPr="001D1891">
        <w:rPr>
          <w:rFonts w:ascii="Times New Roman" w:hAnsi="Times New Roman" w:hint="eastAsia"/>
          <w:sz w:val="24"/>
          <w:szCs w:val="24"/>
        </w:rPr>
        <w:t>。</w:t>
      </w:r>
    </w:p>
    <w:p w:rsidR="001D1891" w:rsidRPr="001D1891" w:rsidRDefault="001D1891" w:rsidP="001D1891">
      <w:pPr>
        <w:spacing w:line="520" w:lineRule="exact"/>
        <w:ind w:firstLineChars="200" w:firstLine="480"/>
        <w:rPr>
          <w:sz w:val="24"/>
        </w:rPr>
      </w:pPr>
      <w:r w:rsidRPr="001D1891">
        <w:rPr>
          <w:rFonts w:hint="eastAsia"/>
          <w:sz w:val="24"/>
        </w:rPr>
        <w:t>根据初步设计，通过风巷水幕净化、风道空气稀释，风井出口风量大，粉尘颗粒物浓度极低，无组织排放量很少，对环境影响轻微。</w:t>
      </w:r>
    </w:p>
    <w:p w:rsidR="00AC3D0F" w:rsidRPr="004863C5" w:rsidRDefault="009C2DF0" w:rsidP="00AC3D0F">
      <w:pPr>
        <w:pStyle w:val="08516"/>
        <w:ind w:firstLine="488"/>
        <w:rPr>
          <w:rFonts w:cs="Times New Roman"/>
          <w:kern w:val="0"/>
          <w:szCs w:val="21"/>
        </w:rPr>
      </w:pPr>
      <w:r>
        <w:rPr>
          <w:rFonts w:hint="eastAsia"/>
          <w:kern w:val="0"/>
          <w:szCs w:val="24"/>
        </w:rPr>
        <w:t>（</w:t>
      </w:r>
      <w:r>
        <w:rPr>
          <w:rFonts w:hint="eastAsia"/>
          <w:kern w:val="0"/>
          <w:szCs w:val="24"/>
        </w:rPr>
        <w:t>2</w:t>
      </w:r>
      <w:r>
        <w:rPr>
          <w:rFonts w:hint="eastAsia"/>
          <w:kern w:val="0"/>
          <w:szCs w:val="24"/>
        </w:rPr>
        <w:t>）</w:t>
      </w:r>
      <w:r w:rsidR="002D673D">
        <w:rPr>
          <w:rFonts w:hint="eastAsia"/>
          <w:kern w:val="0"/>
          <w:szCs w:val="24"/>
        </w:rPr>
        <w:t>卸煤口、</w:t>
      </w:r>
      <w:r w:rsidR="00AC3D0F" w:rsidRPr="004863C5">
        <w:rPr>
          <w:rFonts w:cs="Times New Roman"/>
          <w:kern w:val="0"/>
          <w:szCs w:val="21"/>
        </w:rPr>
        <w:t>输煤无组织粉尘污染影响分析</w:t>
      </w:r>
    </w:p>
    <w:p w:rsidR="00AC3D0F" w:rsidRDefault="00AC3D0F" w:rsidP="00AC3D0F">
      <w:pPr>
        <w:pStyle w:val="08516"/>
        <w:ind w:firstLine="488"/>
        <w:rPr>
          <w:rFonts w:cs="Times New Roman"/>
          <w:kern w:val="0"/>
          <w:szCs w:val="21"/>
        </w:rPr>
      </w:pPr>
      <w:r w:rsidRPr="004863C5">
        <w:rPr>
          <w:rFonts w:cs="Times New Roman"/>
          <w:kern w:val="0"/>
          <w:szCs w:val="21"/>
        </w:rPr>
        <w:t>井下原煤由立井箕斗提出地面后，将煤卸入主井受煤楼内受煤仓，通过受煤仓下带式给料机上料至带式输送机，经封闭输煤栈桥输送至</w:t>
      </w:r>
      <w:r>
        <w:rPr>
          <w:rFonts w:cs="Times New Roman"/>
          <w:kern w:val="0"/>
          <w:szCs w:val="21"/>
        </w:rPr>
        <w:t>储煤库</w:t>
      </w:r>
      <w:r w:rsidRPr="004863C5">
        <w:rPr>
          <w:rFonts w:cs="Times New Roman"/>
          <w:kern w:val="0"/>
          <w:szCs w:val="21"/>
        </w:rPr>
        <w:t>。</w:t>
      </w:r>
    </w:p>
    <w:p w:rsidR="00AC3D0F" w:rsidRPr="001D1891" w:rsidRDefault="00825C75" w:rsidP="00AC3D0F">
      <w:pPr>
        <w:pStyle w:val="08516"/>
        <w:ind w:firstLine="488"/>
        <w:rPr>
          <w:spacing w:val="2"/>
          <w:szCs w:val="24"/>
        </w:rPr>
      </w:pPr>
      <w:r>
        <w:rPr>
          <w:rFonts w:hint="eastAsia"/>
          <w:szCs w:val="24"/>
        </w:rPr>
        <w:t>参考</w:t>
      </w:r>
      <w:r w:rsidR="00AC3D0F" w:rsidRPr="001D1891">
        <w:rPr>
          <w:rFonts w:hint="eastAsia"/>
          <w:szCs w:val="24"/>
        </w:rPr>
        <w:t>《逸散性工业粉尘控制技术》（中国环境科学出版社），</w:t>
      </w:r>
      <w:r>
        <w:rPr>
          <w:rFonts w:hint="eastAsia"/>
          <w:szCs w:val="24"/>
        </w:rPr>
        <w:t>在</w:t>
      </w:r>
      <w:r w:rsidR="00AC3D0F" w:rsidRPr="001D1891">
        <w:rPr>
          <w:rFonts w:hint="eastAsia"/>
          <w:szCs w:val="24"/>
        </w:rPr>
        <w:t>无任何防护措施下，</w:t>
      </w:r>
      <w:r w:rsidR="00AC3D0F">
        <w:rPr>
          <w:rFonts w:hint="eastAsia"/>
          <w:szCs w:val="24"/>
        </w:rPr>
        <w:t>主井卸煤</w:t>
      </w:r>
      <w:r w:rsidR="00AC3D0F" w:rsidRPr="001D1891">
        <w:rPr>
          <w:rFonts w:hint="eastAsia"/>
          <w:szCs w:val="24"/>
        </w:rPr>
        <w:t>口处粉尘颗粒物产生系数为</w:t>
      </w:r>
      <w:r w:rsidR="00AC3D0F" w:rsidRPr="001D1891">
        <w:rPr>
          <w:szCs w:val="24"/>
        </w:rPr>
        <w:t>0.0</w:t>
      </w:r>
      <w:r w:rsidR="00027034">
        <w:rPr>
          <w:rFonts w:hint="eastAsia"/>
          <w:szCs w:val="24"/>
        </w:rPr>
        <w:t>1</w:t>
      </w:r>
      <w:r w:rsidR="00AC3D0F" w:rsidRPr="001D1891">
        <w:rPr>
          <w:szCs w:val="24"/>
        </w:rPr>
        <w:t>kg/t</w:t>
      </w:r>
      <w:r w:rsidR="00AC3D0F" w:rsidRPr="001D1891">
        <w:rPr>
          <w:rFonts w:hint="eastAsia"/>
          <w:szCs w:val="24"/>
        </w:rPr>
        <w:t>，原煤量为</w:t>
      </w:r>
      <w:r w:rsidR="00AC3D0F" w:rsidRPr="001D1891">
        <w:rPr>
          <w:rFonts w:hint="eastAsia"/>
          <w:szCs w:val="24"/>
        </w:rPr>
        <w:t>30</w:t>
      </w:r>
      <w:r w:rsidR="00AC3D0F" w:rsidRPr="001D1891">
        <w:rPr>
          <w:rFonts w:hint="eastAsia"/>
          <w:szCs w:val="24"/>
        </w:rPr>
        <w:t>万</w:t>
      </w:r>
      <w:r w:rsidR="00AC3D0F" w:rsidRPr="001D1891">
        <w:rPr>
          <w:rFonts w:hint="eastAsia"/>
          <w:szCs w:val="24"/>
        </w:rPr>
        <w:t>t/a</w:t>
      </w:r>
      <w:r w:rsidR="00AC3D0F" w:rsidRPr="001D1891">
        <w:rPr>
          <w:rFonts w:hint="eastAsia"/>
          <w:szCs w:val="24"/>
        </w:rPr>
        <w:t>，则粉尘的产生量为</w:t>
      </w:r>
      <w:r w:rsidR="00AC3D0F" w:rsidRPr="001D1891">
        <w:rPr>
          <w:rFonts w:hint="eastAsia"/>
          <w:szCs w:val="24"/>
        </w:rPr>
        <w:t>3t/a</w:t>
      </w:r>
      <w:r w:rsidR="00AC3D0F" w:rsidRPr="005E3411">
        <w:rPr>
          <w:rFonts w:hint="eastAsia"/>
          <w:color w:val="000000" w:themeColor="text1"/>
          <w:szCs w:val="24"/>
        </w:rPr>
        <w:t>。</w:t>
      </w:r>
      <w:r w:rsidR="005E3411" w:rsidRPr="005E3411">
        <w:rPr>
          <w:rFonts w:hint="eastAsia"/>
          <w:color w:val="000000" w:themeColor="text1"/>
          <w:szCs w:val="24"/>
        </w:rPr>
        <w:t>本次工程在主井</w:t>
      </w:r>
      <w:r w:rsidRPr="005E3411">
        <w:rPr>
          <w:rFonts w:hint="eastAsia"/>
          <w:color w:val="000000" w:themeColor="text1"/>
          <w:szCs w:val="24"/>
        </w:rPr>
        <w:t>卸煤口</w:t>
      </w:r>
      <w:r w:rsidR="00AC3D0F" w:rsidRPr="005E3411">
        <w:rPr>
          <w:rFonts w:hint="eastAsia"/>
          <w:color w:val="000000" w:themeColor="text1"/>
          <w:szCs w:val="24"/>
        </w:rPr>
        <w:t>处设置</w:t>
      </w:r>
      <w:r w:rsidR="00AC3D0F" w:rsidRPr="001D1891">
        <w:rPr>
          <w:rFonts w:hint="eastAsia"/>
          <w:szCs w:val="24"/>
        </w:rPr>
        <w:t>集气罩，并配套袋式除尘器处理粉尘颗粒物。集气罩收集效率为</w:t>
      </w:r>
      <w:r w:rsidR="00AC3D0F" w:rsidRPr="001D1891">
        <w:rPr>
          <w:rFonts w:hint="eastAsia"/>
          <w:szCs w:val="24"/>
        </w:rPr>
        <w:t>90%</w:t>
      </w:r>
      <w:r w:rsidR="00AC3D0F" w:rsidRPr="001D1891">
        <w:rPr>
          <w:rFonts w:hint="eastAsia"/>
          <w:szCs w:val="24"/>
        </w:rPr>
        <w:t>以上，袋式除尘器的去除效率为</w:t>
      </w:r>
      <w:r w:rsidR="00AC3D0F" w:rsidRPr="001D1891">
        <w:rPr>
          <w:rFonts w:hint="eastAsia"/>
          <w:szCs w:val="24"/>
        </w:rPr>
        <w:t>99.9%</w:t>
      </w:r>
      <w:r w:rsidR="00AC3D0F" w:rsidRPr="001D1891">
        <w:rPr>
          <w:rFonts w:hint="eastAsia"/>
          <w:szCs w:val="24"/>
        </w:rPr>
        <w:t>。则无组织产排量为</w:t>
      </w:r>
      <w:r w:rsidR="00AC3D0F" w:rsidRPr="001D1891">
        <w:rPr>
          <w:rFonts w:hint="eastAsia"/>
          <w:szCs w:val="24"/>
        </w:rPr>
        <w:t>0.3t/a</w:t>
      </w:r>
      <w:r w:rsidR="005E3411">
        <w:rPr>
          <w:rFonts w:hint="eastAsia"/>
          <w:szCs w:val="24"/>
        </w:rPr>
        <w:t>；</w:t>
      </w:r>
      <w:r w:rsidR="00AC3D0F" w:rsidRPr="001D1891">
        <w:rPr>
          <w:rFonts w:hint="eastAsia"/>
          <w:szCs w:val="24"/>
        </w:rPr>
        <w:t>有组织粉尘的产生量为</w:t>
      </w:r>
      <w:r w:rsidR="00AC3D0F" w:rsidRPr="001D1891">
        <w:rPr>
          <w:rFonts w:hint="eastAsia"/>
          <w:szCs w:val="24"/>
        </w:rPr>
        <w:t>2.7t/a</w:t>
      </w:r>
      <w:r w:rsidR="00AC3D0F" w:rsidRPr="001D1891">
        <w:rPr>
          <w:rFonts w:hint="eastAsia"/>
          <w:szCs w:val="24"/>
        </w:rPr>
        <w:t>，产生浓度为</w:t>
      </w:r>
      <w:r w:rsidR="00AC3D0F" w:rsidRPr="001D1891">
        <w:rPr>
          <w:rFonts w:hint="eastAsia"/>
          <w:szCs w:val="24"/>
        </w:rPr>
        <w:t>681</w:t>
      </w:r>
      <w:r w:rsidR="00F80F6A">
        <w:rPr>
          <w:rFonts w:hint="eastAsia"/>
          <w:szCs w:val="24"/>
        </w:rPr>
        <w:t>.</w:t>
      </w:r>
      <w:r w:rsidR="00AC3D0F" w:rsidRPr="001D1891">
        <w:rPr>
          <w:rFonts w:hint="eastAsia"/>
          <w:szCs w:val="24"/>
        </w:rPr>
        <w:t>8</w:t>
      </w:r>
      <w:r w:rsidR="00AC3D0F" w:rsidRPr="001D1891">
        <w:rPr>
          <w:szCs w:val="24"/>
        </w:rPr>
        <w:t>mg/m</w:t>
      </w:r>
      <w:r w:rsidR="00AC3D0F" w:rsidRPr="001D1891">
        <w:rPr>
          <w:rFonts w:hint="eastAsia"/>
          <w:szCs w:val="24"/>
          <w:vertAlign w:val="superscript"/>
        </w:rPr>
        <w:t>3</w:t>
      </w:r>
      <w:r w:rsidR="00AC3D0F" w:rsidRPr="001D1891">
        <w:rPr>
          <w:rFonts w:hint="eastAsia"/>
          <w:szCs w:val="24"/>
        </w:rPr>
        <w:t>，经过袋式除尘器处理后通过</w:t>
      </w:r>
      <w:r w:rsidR="00AC3D0F" w:rsidRPr="001D1891">
        <w:rPr>
          <w:rFonts w:hint="eastAsia"/>
          <w:szCs w:val="24"/>
        </w:rPr>
        <w:t>15m</w:t>
      </w:r>
      <w:r w:rsidR="00AC3D0F" w:rsidRPr="001D1891">
        <w:rPr>
          <w:rFonts w:hint="eastAsia"/>
          <w:szCs w:val="24"/>
        </w:rPr>
        <w:t>高排气筒有组织排放，</w:t>
      </w:r>
      <w:r w:rsidR="00157C53" w:rsidRPr="001D1891">
        <w:rPr>
          <w:rFonts w:hint="eastAsia"/>
          <w:szCs w:val="24"/>
        </w:rPr>
        <w:t>有组织</w:t>
      </w:r>
      <w:r w:rsidR="00AC3D0F" w:rsidRPr="001D1891">
        <w:rPr>
          <w:rFonts w:hint="eastAsia"/>
          <w:szCs w:val="24"/>
        </w:rPr>
        <w:t>颗粒物的排放量为</w:t>
      </w:r>
      <w:r w:rsidR="00AC3D0F" w:rsidRPr="001D1891">
        <w:rPr>
          <w:rFonts w:hint="eastAsia"/>
          <w:szCs w:val="24"/>
        </w:rPr>
        <w:t>0.0</w:t>
      </w:r>
      <w:r w:rsidR="00157C53">
        <w:rPr>
          <w:rFonts w:hint="eastAsia"/>
          <w:szCs w:val="24"/>
        </w:rPr>
        <w:t>0</w:t>
      </w:r>
      <w:r w:rsidR="00AC3D0F" w:rsidRPr="001D1891">
        <w:rPr>
          <w:rFonts w:hint="eastAsia"/>
          <w:szCs w:val="24"/>
        </w:rPr>
        <w:t>27t/a</w:t>
      </w:r>
      <w:r w:rsidR="00AC3D0F" w:rsidRPr="001D1891">
        <w:rPr>
          <w:rFonts w:hint="eastAsia"/>
          <w:szCs w:val="24"/>
        </w:rPr>
        <w:t>，颗粒物的排放浓度为</w:t>
      </w:r>
      <w:r w:rsidR="00AC3D0F" w:rsidRPr="001D1891">
        <w:rPr>
          <w:rFonts w:hint="eastAsia"/>
          <w:szCs w:val="24"/>
        </w:rPr>
        <w:t>0.68</w:t>
      </w:r>
      <w:r w:rsidR="00AC3D0F" w:rsidRPr="001D1891">
        <w:rPr>
          <w:szCs w:val="24"/>
        </w:rPr>
        <w:t>mg/m</w:t>
      </w:r>
      <w:r w:rsidR="00AC3D0F" w:rsidRPr="001D1891">
        <w:rPr>
          <w:rFonts w:hint="eastAsia"/>
          <w:szCs w:val="24"/>
          <w:vertAlign w:val="superscript"/>
        </w:rPr>
        <w:t>3</w:t>
      </w:r>
      <w:r w:rsidR="00AC3D0F" w:rsidRPr="001D1891">
        <w:rPr>
          <w:rFonts w:hint="eastAsia"/>
          <w:szCs w:val="24"/>
        </w:rPr>
        <w:t>。粉尘颗粒物的去除效率和排放浓度均满足《煤炭工业污染物排放标准》（</w:t>
      </w:r>
      <w:r w:rsidR="00AC3D0F" w:rsidRPr="001D1891">
        <w:rPr>
          <w:szCs w:val="24"/>
        </w:rPr>
        <w:t>GB20426-2006</w:t>
      </w:r>
      <w:r w:rsidR="00AC3D0F" w:rsidRPr="001D1891">
        <w:rPr>
          <w:rFonts w:hint="eastAsia"/>
          <w:szCs w:val="24"/>
        </w:rPr>
        <w:t>）表</w:t>
      </w:r>
      <w:r w:rsidR="00AC3D0F" w:rsidRPr="001D1891">
        <w:rPr>
          <w:rFonts w:hint="eastAsia"/>
          <w:szCs w:val="24"/>
        </w:rPr>
        <w:t>4</w:t>
      </w:r>
      <w:r w:rsidR="00AC3D0F" w:rsidRPr="001D1891">
        <w:rPr>
          <w:rFonts w:hint="eastAsia"/>
          <w:szCs w:val="24"/>
        </w:rPr>
        <w:t>排放限值要求：原煤</w:t>
      </w:r>
      <w:r w:rsidR="00AC3D0F" w:rsidRPr="001D1891">
        <w:rPr>
          <w:rFonts w:hint="eastAsia"/>
          <w:spacing w:val="2"/>
          <w:szCs w:val="24"/>
        </w:rPr>
        <w:t>筛分、破碎、转载点等除尘设备：</w:t>
      </w:r>
      <w:r w:rsidR="00AC3D0F" w:rsidRPr="001D1891">
        <w:rPr>
          <w:rFonts w:hint="eastAsia"/>
          <w:spacing w:val="2"/>
          <w:szCs w:val="24"/>
        </w:rPr>
        <w:t>80.</w:t>
      </w:r>
      <w:r w:rsidR="00AC3D0F" w:rsidRPr="001D1891">
        <w:rPr>
          <w:spacing w:val="2"/>
          <w:szCs w:val="24"/>
        </w:rPr>
        <w:t>0mg/m</w:t>
      </w:r>
      <w:r w:rsidR="00AC3D0F" w:rsidRPr="001D1891">
        <w:rPr>
          <w:spacing w:val="2"/>
          <w:szCs w:val="24"/>
          <w:vertAlign w:val="superscript"/>
        </w:rPr>
        <w:t>3</w:t>
      </w:r>
      <w:r w:rsidR="00AC3D0F" w:rsidRPr="001D1891">
        <w:rPr>
          <w:rFonts w:hint="eastAsia"/>
          <w:spacing w:val="2"/>
          <w:szCs w:val="24"/>
        </w:rPr>
        <w:t>或设备去除效率＞</w:t>
      </w:r>
      <w:r w:rsidR="00AC3D0F" w:rsidRPr="001D1891">
        <w:rPr>
          <w:rFonts w:hint="eastAsia"/>
          <w:spacing w:val="2"/>
          <w:szCs w:val="24"/>
        </w:rPr>
        <w:t>98%</w:t>
      </w:r>
      <w:r w:rsidR="00AC3D0F" w:rsidRPr="001D1891">
        <w:rPr>
          <w:rFonts w:hint="eastAsia"/>
          <w:spacing w:val="2"/>
          <w:szCs w:val="24"/>
        </w:rPr>
        <w:t>。</w:t>
      </w:r>
    </w:p>
    <w:p w:rsidR="00AC3D0F" w:rsidRPr="004863C5" w:rsidRDefault="00AC3D0F" w:rsidP="00AC3D0F">
      <w:pPr>
        <w:pStyle w:val="08516"/>
        <w:ind w:firstLine="488"/>
        <w:rPr>
          <w:rFonts w:cs="Times New Roman"/>
          <w:kern w:val="0"/>
          <w:szCs w:val="21"/>
        </w:rPr>
      </w:pPr>
      <w:r w:rsidRPr="004863C5">
        <w:rPr>
          <w:rFonts w:cs="Times New Roman"/>
          <w:kern w:val="0"/>
          <w:szCs w:val="21"/>
        </w:rPr>
        <w:t>采取</w:t>
      </w:r>
      <w:r w:rsidR="00157C53">
        <w:rPr>
          <w:rFonts w:cs="Times New Roman" w:hint="eastAsia"/>
          <w:kern w:val="0"/>
          <w:szCs w:val="21"/>
        </w:rPr>
        <w:t>以上</w:t>
      </w:r>
      <w:r w:rsidRPr="004863C5">
        <w:rPr>
          <w:rFonts w:cs="Times New Roman"/>
          <w:kern w:val="0"/>
          <w:szCs w:val="21"/>
        </w:rPr>
        <w:t>措施后，原煤输送系统对外环境基本无影响。</w:t>
      </w:r>
    </w:p>
    <w:p w:rsidR="009C2DF0" w:rsidRDefault="009C2DF0" w:rsidP="009614A0">
      <w:pPr>
        <w:pStyle w:val="08516"/>
        <w:ind w:firstLine="488"/>
        <w:rPr>
          <w:rFonts w:cs="Times New Roman"/>
          <w:kern w:val="0"/>
          <w:szCs w:val="21"/>
        </w:rPr>
      </w:pPr>
      <w:bookmarkStart w:id="507" w:name="_Toc6614_WPSOffice_Level3"/>
      <w:bookmarkEnd w:id="506"/>
      <w:r>
        <w:rPr>
          <w:rFonts w:hint="eastAsia"/>
          <w:kern w:val="0"/>
          <w:szCs w:val="24"/>
        </w:rPr>
        <w:t>（</w:t>
      </w:r>
      <w:r>
        <w:rPr>
          <w:rFonts w:hint="eastAsia"/>
          <w:kern w:val="0"/>
          <w:szCs w:val="24"/>
        </w:rPr>
        <w:t>3</w:t>
      </w:r>
      <w:r>
        <w:rPr>
          <w:rFonts w:hint="eastAsia"/>
          <w:kern w:val="0"/>
          <w:szCs w:val="24"/>
        </w:rPr>
        <w:t>）</w:t>
      </w:r>
      <w:r>
        <w:rPr>
          <w:rFonts w:cs="Times New Roman"/>
          <w:kern w:val="0"/>
          <w:szCs w:val="21"/>
        </w:rPr>
        <w:t>储煤库</w:t>
      </w:r>
      <w:r w:rsidRPr="004863C5">
        <w:rPr>
          <w:rFonts w:cs="Times New Roman"/>
          <w:kern w:val="0"/>
          <w:szCs w:val="21"/>
        </w:rPr>
        <w:t>（含矸石临时周转场）扬尘</w:t>
      </w:r>
    </w:p>
    <w:p w:rsidR="009C2DF0" w:rsidRDefault="009C2DF0" w:rsidP="009614A0">
      <w:pPr>
        <w:pStyle w:val="08516"/>
        <w:ind w:firstLine="488"/>
        <w:rPr>
          <w:rFonts w:hAnsi="宋体" w:cs="Times New Roman"/>
        </w:rPr>
      </w:pPr>
      <w:r w:rsidRPr="004863C5">
        <w:rPr>
          <w:rFonts w:cs="Times New Roman"/>
          <w:kern w:val="0"/>
          <w:szCs w:val="21"/>
        </w:rPr>
        <w:t>升级改造后，</w:t>
      </w:r>
      <w:r w:rsidRPr="004863C5">
        <w:rPr>
          <w:rFonts w:cs="Times New Roman"/>
          <w:spacing w:val="2"/>
        </w:rPr>
        <w:t>仍</w:t>
      </w:r>
      <w:r w:rsidRPr="004863C5">
        <w:rPr>
          <w:rFonts w:hAnsi="宋体" w:cs="Times New Roman"/>
          <w:color w:val="000000"/>
        </w:rPr>
        <w:t>利用原有</w:t>
      </w:r>
      <w:r>
        <w:rPr>
          <w:rFonts w:hAnsi="宋体" w:cs="Times New Roman"/>
          <w:color w:val="000000"/>
        </w:rPr>
        <w:t>储煤库</w:t>
      </w:r>
      <w:r w:rsidRPr="004863C5">
        <w:rPr>
          <w:rFonts w:hAnsi="宋体" w:cs="Times New Roman"/>
          <w:color w:val="000000"/>
        </w:rPr>
        <w:t>，面积</w:t>
      </w:r>
      <w:r w:rsidRPr="004863C5">
        <w:rPr>
          <w:rFonts w:cs="Times New Roman"/>
          <w:color w:val="000000"/>
        </w:rPr>
        <w:t>1200m</w:t>
      </w:r>
      <w:r w:rsidRPr="004863C5">
        <w:rPr>
          <w:rFonts w:cs="Times New Roman"/>
          <w:color w:val="000000"/>
          <w:vertAlign w:val="superscript"/>
        </w:rPr>
        <w:t>2</w:t>
      </w:r>
      <w:r w:rsidRPr="004863C5">
        <w:rPr>
          <w:rFonts w:hAnsi="宋体" w:cs="Times New Roman"/>
          <w:color w:val="000000"/>
        </w:rPr>
        <w:t>，最大可堆存量为</w:t>
      </w:r>
      <w:r w:rsidRPr="004863C5">
        <w:rPr>
          <w:rFonts w:cs="Times New Roman"/>
          <w:color w:val="000000"/>
        </w:rPr>
        <w:t>0.5</w:t>
      </w:r>
      <w:r w:rsidRPr="004863C5">
        <w:rPr>
          <w:rFonts w:hAnsi="宋体" w:cs="Times New Roman"/>
          <w:color w:val="000000"/>
        </w:rPr>
        <w:t>万</w:t>
      </w:r>
      <w:r w:rsidRPr="004863C5">
        <w:rPr>
          <w:rFonts w:cs="Times New Roman"/>
          <w:color w:val="000000"/>
        </w:rPr>
        <w:t>t</w:t>
      </w:r>
      <w:r w:rsidRPr="004863C5">
        <w:rPr>
          <w:rFonts w:hAnsi="宋体" w:cs="Times New Roman"/>
          <w:color w:val="000000"/>
        </w:rPr>
        <w:t>，</w:t>
      </w:r>
      <w:r w:rsidRPr="004863C5">
        <w:rPr>
          <w:rFonts w:cs="Times New Roman"/>
          <w:kern w:val="0"/>
          <w:szCs w:val="21"/>
        </w:rPr>
        <w:t>用于分区暂存原煤、矸石。</w:t>
      </w:r>
      <w:r w:rsidRPr="004863C5">
        <w:rPr>
          <w:rFonts w:hAnsi="宋体" w:cs="Times New Roman"/>
          <w:color w:val="000000"/>
        </w:rPr>
        <w:t>根据本报告书</w:t>
      </w:r>
      <w:r w:rsidRPr="004863C5">
        <w:rPr>
          <w:rFonts w:cs="Times New Roman"/>
          <w:color w:val="000000"/>
        </w:rPr>
        <w:t>3.4.2.2</w:t>
      </w:r>
      <w:r w:rsidRPr="004863C5">
        <w:rPr>
          <w:rFonts w:hAnsi="宋体" w:cs="Times New Roman"/>
          <w:color w:val="000000"/>
        </w:rPr>
        <w:t>章节工程分析，根据清华大学在霍州电厂储煤场现场试验模式估算储煤场起尘量可知，升级改造后储煤场起尘量为</w:t>
      </w:r>
      <w:r w:rsidRPr="004863C5">
        <w:rPr>
          <w:rFonts w:cs="Times New Roman"/>
          <w:color w:val="000000"/>
        </w:rPr>
        <w:t>9.041kg/d</w:t>
      </w:r>
      <w:r w:rsidRPr="004863C5">
        <w:rPr>
          <w:rFonts w:hAnsi="宋体" w:cs="Times New Roman"/>
          <w:color w:val="000000"/>
        </w:rPr>
        <w:t>（</w:t>
      </w:r>
      <w:r w:rsidRPr="004863C5">
        <w:rPr>
          <w:rFonts w:cs="Times New Roman"/>
          <w:color w:val="000000"/>
        </w:rPr>
        <w:t>3.3t/a</w:t>
      </w:r>
      <w:r w:rsidRPr="004863C5">
        <w:rPr>
          <w:rFonts w:hAnsi="宋体" w:cs="Times New Roman"/>
          <w:color w:val="000000"/>
        </w:rPr>
        <w:t>），根据初步设计和现场查看，储煤棚、皮带廊道全部密闭作业，储煤棚全部密闭且顶棚设计安装一套喷淋雾化装置，在作业时保持湿度，防治粉尘。</w:t>
      </w:r>
      <w:r w:rsidRPr="004863C5">
        <w:rPr>
          <w:rFonts w:hAnsi="宋体" w:cs="Times New Roman"/>
          <w:color w:val="000000"/>
        </w:rPr>
        <w:lastRenderedPageBreak/>
        <w:t>储煤库大门采用卷帘保持密闭作业，皮带廊道全部密闭作业。喷雾洒水湿法作业的降尘效率在</w:t>
      </w:r>
      <w:r w:rsidRPr="004863C5">
        <w:rPr>
          <w:rFonts w:cs="Times New Roman"/>
          <w:color w:val="000000"/>
        </w:rPr>
        <w:t>90%</w:t>
      </w:r>
      <w:r w:rsidRPr="004863C5">
        <w:rPr>
          <w:rFonts w:hAnsi="宋体" w:cs="Times New Roman"/>
          <w:color w:val="000000"/>
        </w:rPr>
        <w:t>以</w:t>
      </w:r>
      <w:r w:rsidRPr="004863C5">
        <w:rPr>
          <w:rFonts w:hAnsi="宋体" w:cs="Times New Roman"/>
        </w:rPr>
        <w:t>上，因此储煤棚粉尘颗粒物的排放量为</w:t>
      </w:r>
      <w:r w:rsidRPr="004863C5">
        <w:rPr>
          <w:rFonts w:cs="Times New Roman"/>
          <w:color w:val="000000"/>
        </w:rPr>
        <w:t>0.9041kg/d</w:t>
      </w:r>
      <w:r w:rsidRPr="004863C5">
        <w:rPr>
          <w:rFonts w:hAnsi="宋体" w:cs="Times New Roman"/>
          <w:color w:val="000000"/>
        </w:rPr>
        <w:t>（</w:t>
      </w:r>
      <w:r w:rsidRPr="004863C5">
        <w:rPr>
          <w:rFonts w:cs="Times New Roman"/>
          <w:color w:val="000000"/>
        </w:rPr>
        <w:t>0.33t/a</w:t>
      </w:r>
      <w:r w:rsidRPr="004863C5">
        <w:rPr>
          <w:rFonts w:hAnsi="宋体" w:cs="Times New Roman"/>
          <w:color w:val="000000"/>
        </w:rPr>
        <w:t>）</w:t>
      </w:r>
      <w:r w:rsidRPr="004863C5">
        <w:rPr>
          <w:rFonts w:hAnsi="宋体" w:cs="Times New Roman"/>
        </w:rPr>
        <w:t>，</w:t>
      </w:r>
      <w:r>
        <w:rPr>
          <w:rFonts w:hAnsi="宋体" w:cs="Times New Roman" w:hint="eastAsia"/>
        </w:rPr>
        <w:t>为</w:t>
      </w:r>
      <w:r w:rsidRPr="004863C5">
        <w:rPr>
          <w:rFonts w:hAnsi="宋体" w:cs="Times New Roman"/>
        </w:rPr>
        <w:t>无组织排放。</w:t>
      </w:r>
    </w:p>
    <w:p w:rsidR="000C0CB1" w:rsidRPr="003C6A78" w:rsidRDefault="000C0CB1" w:rsidP="000C0CB1">
      <w:pPr>
        <w:spacing w:line="500" w:lineRule="exact"/>
        <w:ind w:firstLineChars="200" w:firstLine="480"/>
        <w:rPr>
          <w:sz w:val="24"/>
        </w:rPr>
      </w:pPr>
      <w:r w:rsidRPr="003C6A78">
        <w:rPr>
          <w:rFonts w:hint="eastAsia"/>
          <w:kern w:val="0"/>
          <w:sz w:val="24"/>
        </w:rPr>
        <w:t>（</w:t>
      </w:r>
      <w:r w:rsidRPr="003C6A78">
        <w:rPr>
          <w:rFonts w:hint="eastAsia"/>
          <w:kern w:val="0"/>
          <w:sz w:val="24"/>
        </w:rPr>
        <w:t>4</w:t>
      </w:r>
      <w:r w:rsidRPr="003C6A78">
        <w:rPr>
          <w:rFonts w:hint="eastAsia"/>
          <w:kern w:val="0"/>
          <w:sz w:val="24"/>
        </w:rPr>
        <w:t>）</w:t>
      </w:r>
      <w:r w:rsidRPr="003C6A78">
        <w:rPr>
          <w:rFonts w:hint="eastAsia"/>
          <w:sz w:val="24"/>
        </w:rPr>
        <w:t>食堂油烟</w:t>
      </w:r>
    </w:p>
    <w:p w:rsidR="000C0CB1" w:rsidRDefault="000C0CB1" w:rsidP="000C0CB1">
      <w:pPr>
        <w:spacing w:line="500" w:lineRule="exact"/>
        <w:ind w:firstLineChars="200" w:firstLine="480"/>
        <w:rPr>
          <w:sz w:val="24"/>
        </w:rPr>
      </w:pPr>
      <w:r>
        <w:rPr>
          <w:rFonts w:hint="eastAsia"/>
          <w:sz w:val="24"/>
        </w:rPr>
        <w:t>职工食堂燃料采用清洁能源液化石油气，</w:t>
      </w:r>
      <w:r w:rsidRPr="00EA4293">
        <w:rPr>
          <w:sz w:val="24"/>
        </w:rPr>
        <w:t>生活废气主要来自生活炉灶产生的烟气</w:t>
      </w:r>
      <w:r>
        <w:rPr>
          <w:rFonts w:hint="eastAsia"/>
          <w:sz w:val="24"/>
        </w:rPr>
        <w:t>，</w:t>
      </w:r>
      <w:r w:rsidRPr="00EA4293">
        <w:rPr>
          <w:sz w:val="24"/>
        </w:rPr>
        <w:t>烟气中主要污染物为油烟</w:t>
      </w:r>
      <w:r w:rsidRPr="00EA4293">
        <w:rPr>
          <w:rFonts w:hint="eastAsia"/>
          <w:sz w:val="24"/>
        </w:rPr>
        <w:t>、非甲烷总烃</w:t>
      </w:r>
      <w:r w:rsidRPr="00EA4293">
        <w:rPr>
          <w:sz w:val="24"/>
        </w:rPr>
        <w:t>。</w:t>
      </w:r>
      <w:r>
        <w:rPr>
          <w:rFonts w:hint="eastAsia"/>
          <w:sz w:val="24"/>
        </w:rPr>
        <w:t>油烟</w:t>
      </w:r>
      <w:r w:rsidRPr="00FE3D05">
        <w:rPr>
          <w:rFonts w:hint="eastAsia"/>
          <w:sz w:val="24"/>
        </w:rPr>
        <w:t>安装</w:t>
      </w:r>
      <w:r>
        <w:rPr>
          <w:rFonts w:hint="eastAsia"/>
          <w:sz w:val="24"/>
        </w:rPr>
        <w:t>有</w:t>
      </w:r>
      <w:r w:rsidRPr="00FE3D05">
        <w:rPr>
          <w:rFonts w:hint="eastAsia"/>
          <w:sz w:val="24"/>
        </w:rPr>
        <w:t>油烟净化器。</w:t>
      </w:r>
      <w:r w:rsidRPr="00EA4293">
        <w:rPr>
          <w:sz w:val="24"/>
        </w:rPr>
        <w:t>根据对有关统计资料的类比分析，</w:t>
      </w:r>
      <w:r w:rsidRPr="00EA4293">
        <w:rPr>
          <w:rFonts w:hint="eastAsia"/>
          <w:sz w:val="24"/>
        </w:rPr>
        <w:t>食用油用量平均按</w:t>
      </w:r>
      <w:r w:rsidRPr="00EA4293">
        <w:rPr>
          <w:rFonts w:hint="eastAsia"/>
          <w:sz w:val="24"/>
        </w:rPr>
        <w:t>0.03kg/</w:t>
      </w:r>
      <w:r w:rsidRPr="00EA4293">
        <w:rPr>
          <w:rFonts w:hint="eastAsia"/>
          <w:sz w:val="24"/>
        </w:rPr>
        <w:t>人</w:t>
      </w:r>
      <w:r w:rsidRPr="00EA4293">
        <w:rPr>
          <w:b/>
          <w:bCs/>
          <w:sz w:val="24"/>
        </w:rPr>
        <w:t>·</w:t>
      </w:r>
      <w:r w:rsidRPr="00EA4293">
        <w:rPr>
          <w:rFonts w:hint="eastAsia"/>
          <w:sz w:val="24"/>
        </w:rPr>
        <w:t>天计</w:t>
      </w:r>
      <w:r>
        <w:rPr>
          <w:rFonts w:hint="eastAsia"/>
          <w:sz w:val="24"/>
        </w:rPr>
        <w:t>，</w:t>
      </w:r>
      <w:r w:rsidRPr="00EA4293">
        <w:rPr>
          <w:rFonts w:hint="eastAsia"/>
          <w:sz w:val="24"/>
        </w:rPr>
        <w:t>就餐人数</w:t>
      </w:r>
      <w:r>
        <w:rPr>
          <w:rFonts w:hint="eastAsia"/>
          <w:sz w:val="24"/>
        </w:rPr>
        <w:t>按</w:t>
      </w:r>
      <w:r>
        <w:rPr>
          <w:rFonts w:hint="eastAsia"/>
          <w:sz w:val="24"/>
        </w:rPr>
        <w:t>598</w:t>
      </w:r>
      <w:r>
        <w:rPr>
          <w:rFonts w:hint="eastAsia"/>
          <w:sz w:val="24"/>
        </w:rPr>
        <w:t>人计</w:t>
      </w:r>
      <w:r w:rsidRPr="00EA4293">
        <w:rPr>
          <w:rFonts w:hint="eastAsia"/>
          <w:sz w:val="24"/>
        </w:rPr>
        <w:t>，则日耗油量为</w:t>
      </w:r>
      <w:r w:rsidRPr="00EA4293">
        <w:rPr>
          <w:rFonts w:hint="eastAsia"/>
          <w:sz w:val="24"/>
        </w:rPr>
        <w:t>217.94kg/d</w:t>
      </w:r>
      <w:r w:rsidRPr="00EA4293">
        <w:rPr>
          <w:rFonts w:hint="eastAsia"/>
          <w:sz w:val="24"/>
        </w:rPr>
        <w:t>，年耗油量为</w:t>
      </w:r>
      <w:r w:rsidRPr="00EA4293">
        <w:rPr>
          <w:rFonts w:hint="eastAsia"/>
          <w:sz w:val="24"/>
        </w:rPr>
        <w:t>5.92t/a</w:t>
      </w:r>
      <w:r w:rsidRPr="00EA4293">
        <w:rPr>
          <w:rFonts w:hint="eastAsia"/>
          <w:sz w:val="24"/>
        </w:rPr>
        <w:t>。据类比调查，不同的烧炸工况，油烟气中烟气浓度及挥发量均有所不同，油的平均挥发量为总耗油量的</w:t>
      </w:r>
      <w:r w:rsidRPr="00EA4293">
        <w:rPr>
          <w:rFonts w:hint="eastAsia"/>
          <w:sz w:val="24"/>
        </w:rPr>
        <w:t>2.83%</w:t>
      </w:r>
      <w:r w:rsidRPr="00EA4293">
        <w:rPr>
          <w:rFonts w:hint="eastAsia"/>
          <w:sz w:val="24"/>
        </w:rPr>
        <w:t>，经核算，油烟产生量为</w:t>
      </w:r>
      <w:r w:rsidRPr="00EA4293">
        <w:rPr>
          <w:rFonts w:hint="eastAsia"/>
          <w:sz w:val="24"/>
        </w:rPr>
        <w:t>0.508kg/d</w:t>
      </w:r>
      <w:r w:rsidRPr="00EA4293">
        <w:rPr>
          <w:rFonts w:hint="eastAsia"/>
          <w:sz w:val="24"/>
        </w:rPr>
        <w:t>，年产生油烟量为</w:t>
      </w:r>
      <w:r w:rsidRPr="00EA4293">
        <w:rPr>
          <w:rFonts w:hint="eastAsia"/>
          <w:sz w:val="24"/>
        </w:rPr>
        <w:t>0.168t/a</w:t>
      </w:r>
      <w:r w:rsidRPr="00EA4293">
        <w:rPr>
          <w:rFonts w:hint="eastAsia"/>
          <w:sz w:val="24"/>
        </w:rPr>
        <w:t>。烹饪时间按</w:t>
      </w:r>
      <w:r w:rsidRPr="00EA4293">
        <w:rPr>
          <w:rFonts w:hint="eastAsia"/>
          <w:sz w:val="24"/>
        </w:rPr>
        <w:t>7h/d</w:t>
      </w:r>
      <w:r w:rsidRPr="00EA4293">
        <w:rPr>
          <w:rFonts w:hint="eastAsia"/>
          <w:sz w:val="24"/>
        </w:rPr>
        <w:t>计算，则该项目所产生油烟量为</w:t>
      </w:r>
      <w:r w:rsidRPr="00EA4293">
        <w:rPr>
          <w:rFonts w:hint="eastAsia"/>
          <w:sz w:val="24"/>
        </w:rPr>
        <w:t>0.073kg/h</w:t>
      </w:r>
      <w:r w:rsidRPr="00EA4293">
        <w:rPr>
          <w:rFonts w:hint="eastAsia"/>
          <w:sz w:val="24"/>
        </w:rPr>
        <w:t>。单个基准灶头风机风量按</w:t>
      </w:r>
      <w:r w:rsidRPr="00EA4293">
        <w:rPr>
          <w:rFonts w:hint="eastAsia"/>
          <w:sz w:val="24"/>
        </w:rPr>
        <w:t>2000m</w:t>
      </w:r>
      <w:r w:rsidRPr="00EA4293">
        <w:rPr>
          <w:rFonts w:hint="eastAsia"/>
          <w:sz w:val="24"/>
          <w:vertAlign w:val="superscript"/>
        </w:rPr>
        <w:t>3</w:t>
      </w:r>
      <w:r w:rsidRPr="00EA4293">
        <w:rPr>
          <w:rFonts w:hint="eastAsia"/>
          <w:sz w:val="24"/>
        </w:rPr>
        <w:t xml:space="preserve">/h </w:t>
      </w:r>
      <w:r w:rsidRPr="00EA4293">
        <w:rPr>
          <w:rFonts w:hint="eastAsia"/>
          <w:sz w:val="24"/>
        </w:rPr>
        <w:t>计，灶头数量为</w:t>
      </w:r>
      <w:r w:rsidRPr="00EA4293">
        <w:rPr>
          <w:rFonts w:hint="eastAsia"/>
          <w:sz w:val="24"/>
        </w:rPr>
        <w:t>5</w:t>
      </w:r>
      <w:r w:rsidRPr="00EA4293">
        <w:rPr>
          <w:rFonts w:hint="eastAsia"/>
          <w:sz w:val="24"/>
        </w:rPr>
        <w:t>个，则项目油烟产生浓度约为</w:t>
      </w:r>
      <w:r w:rsidRPr="00EA4293">
        <w:rPr>
          <w:rFonts w:hint="eastAsia"/>
          <w:sz w:val="24"/>
        </w:rPr>
        <w:t>7.3mg/m</w:t>
      </w:r>
      <w:r w:rsidRPr="00EA4293">
        <w:rPr>
          <w:rFonts w:hint="eastAsia"/>
          <w:sz w:val="24"/>
          <w:vertAlign w:val="superscript"/>
        </w:rPr>
        <w:t>3</w:t>
      </w:r>
      <w:r w:rsidRPr="00EA4293">
        <w:rPr>
          <w:rFonts w:hint="eastAsia"/>
          <w:sz w:val="24"/>
        </w:rPr>
        <w:t>。采用静电式油烟净化器进行处理后楼顶排放。该净化设施对油烟处理效率可达</w:t>
      </w:r>
      <w:r w:rsidRPr="00EA4293">
        <w:rPr>
          <w:rFonts w:hint="eastAsia"/>
          <w:sz w:val="24"/>
        </w:rPr>
        <w:t xml:space="preserve"> 95%</w:t>
      </w:r>
      <w:r w:rsidRPr="00EA4293">
        <w:rPr>
          <w:rFonts w:hint="eastAsia"/>
          <w:sz w:val="24"/>
        </w:rPr>
        <w:t>以上，对非甲烷总烃处理效率达</w:t>
      </w:r>
      <w:r w:rsidRPr="00EA4293">
        <w:rPr>
          <w:rFonts w:hint="eastAsia"/>
          <w:sz w:val="24"/>
        </w:rPr>
        <w:t xml:space="preserve"> 60%</w:t>
      </w:r>
      <w:r w:rsidRPr="00EA4293">
        <w:rPr>
          <w:rFonts w:hint="eastAsia"/>
          <w:sz w:val="24"/>
        </w:rPr>
        <w:t>以上。则经净化处理后油烟排放浓度</w:t>
      </w:r>
      <w:r w:rsidRPr="00EA4293">
        <w:rPr>
          <w:rFonts w:hint="eastAsia"/>
          <w:sz w:val="24"/>
        </w:rPr>
        <w:t>0.37mg/m</w:t>
      </w:r>
      <w:r w:rsidRPr="00EA4293">
        <w:rPr>
          <w:rFonts w:hint="eastAsia"/>
          <w:sz w:val="24"/>
        </w:rPr>
        <w:t>³，排放量为</w:t>
      </w:r>
      <w:r>
        <w:rPr>
          <w:rFonts w:hint="eastAsia"/>
          <w:sz w:val="24"/>
        </w:rPr>
        <w:t>8.547</w:t>
      </w:r>
      <w:r w:rsidRPr="00EA4293">
        <w:rPr>
          <w:rFonts w:hint="eastAsia"/>
          <w:sz w:val="24"/>
        </w:rPr>
        <w:t>kg/a</w:t>
      </w:r>
      <w:r w:rsidRPr="00EA4293">
        <w:rPr>
          <w:rFonts w:hint="eastAsia"/>
          <w:sz w:val="24"/>
        </w:rPr>
        <w:t>；非甲烷总烃排放浓度为</w:t>
      </w:r>
      <w:r w:rsidRPr="00EA4293">
        <w:rPr>
          <w:rFonts w:hint="eastAsia"/>
          <w:sz w:val="24"/>
        </w:rPr>
        <w:t>8mg/m</w:t>
      </w:r>
      <w:r w:rsidRPr="00EA4293">
        <w:rPr>
          <w:rFonts w:hint="eastAsia"/>
          <w:sz w:val="24"/>
          <w:vertAlign w:val="superscript"/>
        </w:rPr>
        <w:t>3</w:t>
      </w:r>
      <w:r w:rsidRPr="00EA4293">
        <w:rPr>
          <w:rFonts w:hint="eastAsia"/>
          <w:sz w:val="24"/>
        </w:rPr>
        <w:t>，排放量为</w:t>
      </w:r>
      <w:r>
        <w:rPr>
          <w:rFonts w:hint="eastAsia"/>
          <w:sz w:val="24"/>
        </w:rPr>
        <w:t>184</w:t>
      </w:r>
      <w:r w:rsidRPr="00EA4293">
        <w:rPr>
          <w:rFonts w:hint="eastAsia"/>
          <w:sz w:val="24"/>
        </w:rPr>
        <w:t>.8kg/a</w:t>
      </w:r>
      <w:r w:rsidRPr="00EA4293">
        <w:rPr>
          <w:rFonts w:hint="eastAsia"/>
          <w:sz w:val="24"/>
        </w:rPr>
        <w:t>。能够满足河南省地方标准《餐饮业油烟污染物排放标准》（</w:t>
      </w:r>
      <w:r w:rsidRPr="00EA4293">
        <w:rPr>
          <w:rFonts w:hint="eastAsia"/>
          <w:sz w:val="24"/>
        </w:rPr>
        <w:t>DB41/1604-2018</w:t>
      </w:r>
      <w:r w:rsidRPr="00EA4293">
        <w:rPr>
          <w:rFonts w:hint="eastAsia"/>
          <w:sz w:val="24"/>
        </w:rPr>
        <w:t>）中表</w:t>
      </w:r>
      <w:r w:rsidRPr="00EA4293">
        <w:rPr>
          <w:rFonts w:hint="eastAsia"/>
          <w:sz w:val="24"/>
        </w:rPr>
        <w:t>1</w:t>
      </w:r>
      <w:r w:rsidRPr="00EA4293">
        <w:rPr>
          <w:rFonts w:hint="eastAsia"/>
          <w:sz w:val="24"/>
        </w:rPr>
        <w:t>大型：油烟排放浓度≤</w:t>
      </w:r>
      <w:r w:rsidRPr="00EA4293">
        <w:rPr>
          <w:rFonts w:hint="eastAsia"/>
          <w:sz w:val="24"/>
        </w:rPr>
        <w:t>1.0mg/m</w:t>
      </w:r>
      <w:r w:rsidRPr="00EA4293">
        <w:rPr>
          <w:rFonts w:hint="eastAsia"/>
          <w:sz w:val="24"/>
          <w:vertAlign w:val="superscript"/>
        </w:rPr>
        <w:t>3</w:t>
      </w:r>
      <w:r w:rsidRPr="00EA4293">
        <w:rPr>
          <w:rFonts w:hint="eastAsia"/>
          <w:sz w:val="24"/>
        </w:rPr>
        <w:t xml:space="preserve"> </w:t>
      </w:r>
      <w:r w:rsidRPr="00EA4293">
        <w:rPr>
          <w:rFonts w:hint="eastAsia"/>
          <w:sz w:val="24"/>
        </w:rPr>
        <w:t>，非甲烷总烃排放浓度≤</w:t>
      </w:r>
      <w:r w:rsidRPr="00EA4293">
        <w:rPr>
          <w:rFonts w:hint="eastAsia"/>
          <w:sz w:val="24"/>
        </w:rPr>
        <w:t>10mg/m</w:t>
      </w:r>
      <w:r w:rsidRPr="00EA4293">
        <w:rPr>
          <w:rFonts w:hint="eastAsia"/>
          <w:sz w:val="24"/>
          <w:vertAlign w:val="superscript"/>
        </w:rPr>
        <w:t>3</w:t>
      </w:r>
      <w:r w:rsidRPr="00EA4293">
        <w:rPr>
          <w:rFonts w:hint="eastAsia"/>
          <w:sz w:val="24"/>
        </w:rPr>
        <w:t xml:space="preserve"> </w:t>
      </w:r>
      <w:r w:rsidRPr="00EA4293">
        <w:rPr>
          <w:rFonts w:hint="eastAsia"/>
          <w:sz w:val="24"/>
        </w:rPr>
        <w:t>，油烟去除率≥</w:t>
      </w:r>
      <w:r w:rsidRPr="00EA4293">
        <w:rPr>
          <w:rFonts w:hint="eastAsia"/>
          <w:sz w:val="24"/>
        </w:rPr>
        <w:t>95%</w:t>
      </w:r>
      <w:r w:rsidRPr="00EA4293">
        <w:rPr>
          <w:rFonts w:hint="eastAsia"/>
          <w:sz w:val="24"/>
        </w:rPr>
        <w:t>的要求。</w:t>
      </w:r>
    </w:p>
    <w:p w:rsidR="00CC5955" w:rsidRPr="00CC5955" w:rsidRDefault="00AE7BF8" w:rsidP="00CC5955">
      <w:pPr>
        <w:spacing w:line="500" w:lineRule="exact"/>
        <w:ind w:firstLineChars="200" w:firstLine="480"/>
        <w:rPr>
          <w:kern w:val="0"/>
          <w:sz w:val="24"/>
        </w:rPr>
      </w:pPr>
      <w:r>
        <w:rPr>
          <w:rFonts w:hint="eastAsia"/>
          <w:kern w:val="0"/>
          <w:sz w:val="24"/>
        </w:rPr>
        <w:t>二、</w:t>
      </w:r>
      <w:r w:rsidR="00CC5955" w:rsidRPr="00CC5955">
        <w:rPr>
          <w:rFonts w:hint="eastAsia"/>
          <w:kern w:val="0"/>
          <w:sz w:val="24"/>
        </w:rPr>
        <w:t>污染物排放量核算</w:t>
      </w:r>
    </w:p>
    <w:p w:rsidR="00CC5955" w:rsidRPr="00CC5955" w:rsidRDefault="00CC5955" w:rsidP="00CC5955">
      <w:pPr>
        <w:spacing w:line="500" w:lineRule="exact"/>
        <w:ind w:firstLineChars="200" w:firstLine="480"/>
        <w:rPr>
          <w:kern w:val="0"/>
          <w:sz w:val="24"/>
        </w:rPr>
      </w:pPr>
      <w:r w:rsidRPr="00CC5955">
        <w:rPr>
          <w:rFonts w:hint="eastAsia"/>
          <w:kern w:val="0"/>
          <w:sz w:val="24"/>
        </w:rPr>
        <w:t>本项目污染物排放主要为无组织排放粉尘颗粒物，有组织排放量核算见表</w:t>
      </w:r>
      <w:r w:rsidR="00114B89">
        <w:rPr>
          <w:rFonts w:hint="eastAsia"/>
          <w:kern w:val="0"/>
          <w:sz w:val="24"/>
        </w:rPr>
        <w:t>6</w:t>
      </w:r>
      <w:r w:rsidRPr="00CC5955">
        <w:rPr>
          <w:rFonts w:hint="eastAsia"/>
          <w:kern w:val="0"/>
          <w:sz w:val="24"/>
        </w:rPr>
        <w:t>.</w:t>
      </w:r>
      <w:r w:rsidR="00114B89">
        <w:rPr>
          <w:rFonts w:hint="eastAsia"/>
          <w:kern w:val="0"/>
          <w:sz w:val="24"/>
        </w:rPr>
        <w:t>1-1</w:t>
      </w:r>
      <w:r w:rsidRPr="00CC5955">
        <w:rPr>
          <w:rFonts w:hint="eastAsia"/>
          <w:kern w:val="0"/>
          <w:sz w:val="24"/>
        </w:rPr>
        <w:t>，无组织排放量核算见表</w:t>
      </w:r>
      <w:r w:rsidR="00114B89">
        <w:rPr>
          <w:rFonts w:hint="eastAsia"/>
          <w:kern w:val="0"/>
          <w:sz w:val="24"/>
        </w:rPr>
        <w:t>6</w:t>
      </w:r>
      <w:r w:rsidR="00114B89" w:rsidRPr="00CC5955">
        <w:rPr>
          <w:rFonts w:hint="eastAsia"/>
          <w:kern w:val="0"/>
          <w:sz w:val="24"/>
        </w:rPr>
        <w:t>.</w:t>
      </w:r>
      <w:r w:rsidR="00114B89">
        <w:rPr>
          <w:rFonts w:hint="eastAsia"/>
          <w:kern w:val="0"/>
          <w:sz w:val="24"/>
        </w:rPr>
        <w:t>1-2</w:t>
      </w:r>
      <w:r w:rsidRPr="00CC5955">
        <w:rPr>
          <w:rFonts w:hint="eastAsia"/>
          <w:kern w:val="0"/>
          <w:sz w:val="24"/>
        </w:rPr>
        <w:t>，项目整体大气污染物年排放量核算见表</w:t>
      </w:r>
      <w:r w:rsidR="00114B89">
        <w:rPr>
          <w:rFonts w:hint="eastAsia"/>
          <w:kern w:val="0"/>
          <w:sz w:val="24"/>
        </w:rPr>
        <w:t>6</w:t>
      </w:r>
      <w:r w:rsidR="00114B89" w:rsidRPr="00CC5955">
        <w:rPr>
          <w:rFonts w:hint="eastAsia"/>
          <w:kern w:val="0"/>
          <w:sz w:val="24"/>
        </w:rPr>
        <w:t>.</w:t>
      </w:r>
      <w:r w:rsidR="00114B89">
        <w:rPr>
          <w:rFonts w:hint="eastAsia"/>
          <w:kern w:val="0"/>
          <w:sz w:val="24"/>
        </w:rPr>
        <w:t>1-3</w:t>
      </w:r>
      <w:r w:rsidRPr="00CC5955">
        <w:rPr>
          <w:rFonts w:hint="eastAsia"/>
          <w:kern w:val="0"/>
          <w:sz w:val="24"/>
        </w:rPr>
        <w:t>。</w:t>
      </w:r>
    </w:p>
    <w:p w:rsidR="00AE7BF8" w:rsidRDefault="00AE7BF8">
      <w:pPr>
        <w:widowControl/>
        <w:jc w:val="left"/>
        <w:rPr>
          <w:kern w:val="0"/>
          <w:sz w:val="24"/>
        </w:rPr>
      </w:pPr>
      <w:r>
        <w:rPr>
          <w:kern w:val="0"/>
          <w:sz w:val="24"/>
        </w:rPr>
        <w:br w:type="page"/>
      </w:r>
    </w:p>
    <w:p w:rsidR="00CC5955" w:rsidRPr="00CC5955" w:rsidRDefault="00CC5955" w:rsidP="00CC5955">
      <w:pPr>
        <w:spacing w:line="500" w:lineRule="exact"/>
        <w:jc w:val="center"/>
        <w:rPr>
          <w:kern w:val="0"/>
          <w:sz w:val="24"/>
        </w:rPr>
      </w:pPr>
      <w:r w:rsidRPr="00CC5955">
        <w:rPr>
          <w:kern w:val="0"/>
          <w:sz w:val="24"/>
        </w:rPr>
        <w:lastRenderedPageBreak/>
        <w:t>表</w:t>
      </w:r>
      <w:r w:rsidR="00114B89">
        <w:rPr>
          <w:rFonts w:hint="eastAsia"/>
          <w:kern w:val="0"/>
          <w:sz w:val="24"/>
        </w:rPr>
        <w:t>6</w:t>
      </w:r>
      <w:r w:rsidRPr="00CC5955">
        <w:rPr>
          <w:kern w:val="0"/>
          <w:sz w:val="24"/>
        </w:rPr>
        <w:t>.</w:t>
      </w:r>
      <w:r w:rsidR="00114B89">
        <w:rPr>
          <w:rFonts w:hint="eastAsia"/>
          <w:kern w:val="0"/>
          <w:sz w:val="24"/>
        </w:rPr>
        <w:t>1</w:t>
      </w:r>
      <w:r w:rsidRPr="00CC5955">
        <w:rPr>
          <w:kern w:val="0"/>
          <w:sz w:val="24"/>
        </w:rPr>
        <w:t>-</w:t>
      </w:r>
      <w:r w:rsidR="00114B89">
        <w:rPr>
          <w:rFonts w:hint="eastAsia"/>
          <w:kern w:val="0"/>
          <w:sz w:val="24"/>
        </w:rPr>
        <w:t>1</w:t>
      </w:r>
      <w:r w:rsidRPr="00CC5955">
        <w:rPr>
          <w:kern w:val="0"/>
          <w:sz w:val="24"/>
        </w:rPr>
        <w:t xml:space="preserve">  </w:t>
      </w:r>
      <w:r w:rsidRPr="00CC5955">
        <w:rPr>
          <w:kern w:val="0"/>
          <w:sz w:val="24"/>
        </w:rPr>
        <w:t>大气污染物有组织</w:t>
      </w:r>
      <w:r w:rsidRPr="00CC5955">
        <w:rPr>
          <w:rFonts w:hint="eastAsia"/>
          <w:kern w:val="0"/>
          <w:sz w:val="24"/>
        </w:rPr>
        <w:t>排放量核算表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83"/>
        <w:gridCol w:w="1388"/>
        <w:gridCol w:w="1124"/>
        <w:gridCol w:w="1625"/>
        <w:gridCol w:w="2070"/>
        <w:gridCol w:w="2056"/>
      </w:tblGrid>
      <w:tr w:rsidR="00CC5955" w:rsidRPr="00021E23" w:rsidTr="00A11E34">
        <w:tc>
          <w:tcPr>
            <w:tcW w:w="382" w:type="pct"/>
            <w:shd w:val="clear" w:color="auto" w:fill="auto"/>
            <w:vAlign w:val="center"/>
          </w:tcPr>
          <w:p w:rsidR="00CC5955" w:rsidRPr="00021E23" w:rsidRDefault="00CC5955" w:rsidP="00A11E34">
            <w:pPr>
              <w:spacing w:line="360" w:lineRule="exact"/>
              <w:jc w:val="center"/>
              <w:rPr>
                <w:b/>
                <w:bCs/>
                <w:sz w:val="21"/>
                <w:szCs w:val="21"/>
              </w:rPr>
            </w:pPr>
            <w:r w:rsidRPr="00021E23">
              <w:rPr>
                <w:rFonts w:hAnsi="宋体"/>
                <w:b/>
                <w:bCs/>
                <w:sz w:val="21"/>
                <w:szCs w:val="21"/>
              </w:rPr>
              <w:t>序号</w:t>
            </w:r>
          </w:p>
        </w:tc>
        <w:tc>
          <w:tcPr>
            <w:tcW w:w="776" w:type="pct"/>
            <w:shd w:val="clear" w:color="auto" w:fill="auto"/>
            <w:vAlign w:val="center"/>
          </w:tcPr>
          <w:p w:rsidR="00CC5955" w:rsidRPr="00021E23" w:rsidRDefault="00CC5955" w:rsidP="00A11E34">
            <w:pPr>
              <w:spacing w:line="360" w:lineRule="exact"/>
              <w:jc w:val="center"/>
              <w:rPr>
                <w:b/>
                <w:bCs/>
                <w:sz w:val="21"/>
                <w:szCs w:val="21"/>
              </w:rPr>
            </w:pPr>
            <w:r w:rsidRPr="00021E23">
              <w:rPr>
                <w:rFonts w:hAnsi="宋体"/>
                <w:b/>
                <w:bCs/>
                <w:sz w:val="21"/>
                <w:szCs w:val="21"/>
              </w:rPr>
              <w:t>排放口编号</w:t>
            </w:r>
          </w:p>
        </w:tc>
        <w:tc>
          <w:tcPr>
            <w:tcW w:w="628" w:type="pct"/>
            <w:shd w:val="clear" w:color="auto" w:fill="auto"/>
            <w:vAlign w:val="center"/>
          </w:tcPr>
          <w:p w:rsidR="00CC5955" w:rsidRPr="00021E23" w:rsidRDefault="00CC5955" w:rsidP="00A11E34">
            <w:pPr>
              <w:spacing w:line="360" w:lineRule="exact"/>
              <w:jc w:val="center"/>
              <w:rPr>
                <w:b/>
                <w:bCs/>
                <w:sz w:val="21"/>
                <w:szCs w:val="21"/>
              </w:rPr>
            </w:pPr>
            <w:r w:rsidRPr="00021E23">
              <w:rPr>
                <w:rFonts w:hAnsi="宋体"/>
                <w:b/>
                <w:bCs/>
                <w:sz w:val="21"/>
                <w:szCs w:val="21"/>
              </w:rPr>
              <w:t>污染物</w:t>
            </w:r>
          </w:p>
        </w:tc>
        <w:tc>
          <w:tcPr>
            <w:tcW w:w="908" w:type="pct"/>
            <w:shd w:val="clear" w:color="auto" w:fill="auto"/>
            <w:vAlign w:val="center"/>
          </w:tcPr>
          <w:p w:rsidR="00CC5955" w:rsidRPr="00021E23" w:rsidRDefault="00CC5955" w:rsidP="00A11E34">
            <w:pPr>
              <w:spacing w:line="360" w:lineRule="exact"/>
              <w:jc w:val="center"/>
              <w:rPr>
                <w:b/>
                <w:bCs/>
                <w:sz w:val="21"/>
                <w:szCs w:val="21"/>
              </w:rPr>
            </w:pPr>
            <w:r w:rsidRPr="00021E23">
              <w:rPr>
                <w:rFonts w:hAnsi="宋体"/>
                <w:b/>
                <w:bCs/>
                <w:sz w:val="21"/>
                <w:szCs w:val="21"/>
              </w:rPr>
              <w:t>核算排放浓度</w:t>
            </w:r>
          </w:p>
          <w:p w:rsidR="00CC5955" w:rsidRPr="00021E23" w:rsidRDefault="00CC5955" w:rsidP="00A11E34">
            <w:pPr>
              <w:spacing w:line="360" w:lineRule="exact"/>
              <w:jc w:val="center"/>
              <w:rPr>
                <w:b/>
                <w:bCs/>
                <w:sz w:val="21"/>
                <w:szCs w:val="21"/>
              </w:rPr>
            </w:pPr>
            <w:r w:rsidRPr="00021E23">
              <w:rPr>
                <w:rFonts w:hAnsi="宋体"/>
                <w:b/>
                <w:bCs/>
                <w:sz w:val="21"/>
                <w:szCs w:val="21"/>
              </w:rPr>
              <w:t>（</w:t>
            </w:r>
            <w:r w:rsidRPr="00021E23">
              <w:rPr>
                <w:b/>
                <w:bCs/>
                <w:sz w:val="21"/>
                <w:szCs w:val="21"/>
              </w:rPr>
              <w:t>μg/m</w:t>
            </w:r>
            <w:r w:rsidRPr="00021E23">
              <w:rPr>
                <w:b/>
                <w:bCs/>
                <w:sz w:val="21"/>
                <w:szCs w:val="21"/>
                <w:vertAlign w:val="superscript"/>
              </w:rPr>
              <w:t>3</w:t>
            </w:r>
            <w:r w:rsidRPr="00021E23">
              <w:rPr>
                <w:rFonts w:hAnsi="宋体"/>
                <w:b/>
                <w:bCs/>
                <w:sz w:val="21"/>
                <w:szCs w:val="21"/>
              </w:rPr>
              <w:t>）</w:t>
            </w:r>
          </w:p>
        </w:tc>
        <w:tc>
          <w:tcPr>
            <w:tcW w:w="1157" w:type="pct"/>
            <w:shd w:val="clear" w:color="auto" w:fill="auto"/>
            <w:vAlign w:val="center"/>
          </w:tcPr>
          <w:p w:rsidR="00CC5955" w:rsidRPr="00021E23" w:rsidRDefault="00CC5955" w:rsidP="00A11E34">
            <w:pPr>
              <w:spacing w:line="360" w:lineRule="exact"/>
              <w:jc w:val="center"/>
              <w:rPr>
                <w:b/>
                <w:bCs/>
                <w:sz w:val="21"/>
                <w:szCs w:val="21"/>
              </w:rPr>
            </w:pPr>
            <w:r w:rsidRPr="00021E23">
              <w:rPr>
                <w:rFonts w:hAnsi="宋体"/>
                <w:b/>
                <w:bCs/>
                <w:sz w:val="21"/>
                <w:szCs w:val="21"/>
              </w:rPr>
              <w:t>排放速率（</w:t>
            </w:r>
            <w:r w:rsidRPr="00021E23">
              <w:rPr>
                <w:b/>
                <w:bCs/>
                <w:sz w:val="21"/>
                <w:szCs w:val="21"/>
              </w:rPr>
              <w:t>kg/h</w:t>
            </w:r>
            <w:r w:rsidRPr="00021E23">
              <w:rPr>
                <w:rFonts w:hAnsi="宋体"/>
                <w:b/>
                <w:bCs/>
                <w:sz w:val="21"/>
                <w:szCs w:val="21"/>
              </w:rPr>
              <w:t>）</w:t>
            </w:r>
          </w:p>
        </w:tc>
        <w:tc>
          <w:tcPr>
            <w:tcW w:w="1149" w:type="pct"/>
            <w:shd w:val="clear" w:color="auto" w:fill="auto"/>
            <w:vAlign w:val="center"/>
          </w:tcPr>
          <w:p w:rsidR="00CC5955" w:rsidRPr="00021E23" w:rsidRDefault="00CC5955" w:rsidP="00A11E34">
            <w:pPr>
              <w:spacing w:line="360" w:lineRule="exact"/>
              <w:jc w:val="center"/>
              <w:rPr>
                <w:b/>
                <w:bCs/>
                <w:sz w:val="21"/>
                <w:szCs w:val="21"/>
              </w:rPr>
            </w:pPr>
            <w:r w:rsidRPr="00021E23">
              <w:rPr>
                <w:rFonts w:hAnsi="宋体"/>
                <w:b/>
                <w:bCs/>
                <w:sz w:val="21"/>
                <w:szCs w:val="21"/>
              </w:rPr>
              <w:t>年排放量（</w:t>
            </w:r>
            <w:r w:rsidRPr="00021E23">
              <w:rPr>
                <w:b/>
                <w:bCs/>
                <w:sz w:val="21"/>
                <w:szCs w:val="21"/>
              </w:rPr>
              <w:t>t/a</w:t>
            </w:r>
            <w:r w:rsidRPr="00021E23">
              <w:rPr>
                <w:rFonts w:hAnsi="宋体"/>
                <w:b/>
                <w:bCs/>
                <w:sz w:val="21"/>
                <w:szCs w:val="21"/>
              </w:rPr>
              <w:t>）</w:t>
            </w:r>
          </w:p>
        </w:tc>
      </w:tr>
      <w:tr w:rsidR="00CC5955" w:rsidRPr="00021E23" w:rsidTr="00A11E34">
        <w:tc>
          <w:tcPr>
            <w:tcW w:w="382" w:type="pct"/>
            <w:shd w:val="clear" w:color="auto" w:fill="auto"/>
            <w:vAlign w:val="center"/>
          </w:tcPr>
          <w:p w:rsidR="00CC5955" w:rsidRPr="00021E23" w:rsidRDefault="00CC5955" w:rsidP="00A11E34">
            <w:pPr>
              <w:spacing w:line="360" w:lineRule="exact"/>
              <w:jc w:val="center"/>
              <w:rPr>
                <w:sz w:val="21"/>
                <w:szCs w:val="21"/>
              </w:rPr>
            </w:pPr>
            <w:r w:rsidRPr="00021E23">
              <w:rPr>
                <w:sz w:val="21"/>
                <w:szCs w:val="21"/>
              </w:rPr>
              <w:t>1</w:t>
            </w:r>
          </w:p>
        </w:tc>
        <w:tc>
          <w:tcPr>
            <w:tcW w:w="776" w:type="pct"/>
            <w:shd w:val="clear" w:color="auto" w:fill="auto"/>
            <w:vAlign w:val="center"/>
          </w:tcPr>
          <w:p w:rsidR="00CC5955" w:rsidRPr="00021E23" w:rsidRDefault="00CC5955" w:rsidP="000318C0">
            <w:pPr>
              <w:jc w:val="center"/>
              <w:rPr>
                <w:sz w:val="21"/>
                <w:szCs w:val="21"/>
              </w:rPr>
            </w:pPr>
            <w:r w:rsidRPr="00021E23">
              <w:rPr>
                <w:sz w:val="21"/>
                <w:szCs w:val="21"/>
              </w:rPr>
              <w:t>1#</w:t>
            </w:r>
            <w:r w:rsidRPr="00021E23">
              <w:rPr>
                <w:sz w:val="21"/>
                <w:szCs w:val="21"/>
              </w:rPr>
              <w:t>（</w:t>
            </w:r>
            <w:r w:rsidR="000318C0">
              <w:rPr>
                <w:rFonts w:hint="eastAsia"/>
                <w:sz w:val="21"/>
                <w:szCs w:val="21"/>
              </w:rPr>
              <w:t>主井卸煤</w:t>
            </w:r>
            <w:r w:rsidRPr="00021E23">
              <w:rPr>
                <w:sz w:val="21"/>
                <w:szCs w:val="21"/>
              </w:rPr>
              <w:t>口处排气筒）</w:t>
            </w:r>
          </w:p>
        </w:tc>
        <w:tc>
          <w:tcPr>
            <w:tcW w:w="628" w:type="pct"/>
            <w:shd w:val="clear" w:color="auto" w:fill="auto"/>
            <w:vAlign w:val="center"/>
          </w:tcPr>
          <w:p w:rsidR="00CC5955" w:rsidRPr="00021E23" w:rsidRDefault="00CC5955" w:rsidP="00A11E34">
            <w:pPr>
              <w:spacing w:line="360" w:lineRule="exact"/>
              <w:jc w:val="center"/>
              <w:rPr>
                <w:sz w:val="21"/>
                <w:szCs w:val="21"/>
              </w:rPr>
            </w:pPr>
            <w:r w:rsidRPr="00021E23">
              <w:rPr>
                <w:rFonts w:hAnsi="宋体"/>
                <w:sz w:val="21"/>
                <w:szCs w:val="21"/>
              </w:rPr>
              <w:t>颗粒物</w:t>
            </w:r>
          </w:p>
          <w:p w:rsidR="00CC5955" w:rsidRPr="00021E23" w:rsidRDefault="00CC5955" w:rsidP="00A11E34">
            <w:pPr>
              <w:spacing w:line="360" w:lineRule="exact"/>
              <w:jc w:val="center"/>
              <w:rPr>
                <w:sz w:val="21"/>
                <w:szCs w:val="21"/>
              </w:rPr>
            </w:pPr>
            <w:r w:rsidRPr="00021E23">
              <w:rPr>
                <w:rFonts w:hAnsi="宋体"/>
                <w:sz w:val="21"/>
                <w:szCs w:val="21"/>
              </w:rPr>
              <w:t>（</w:t>
            </w:r>
            <w:r w:rsidRPr="00021E23">
              <w:rPr>
                <w:sz w:val="21"/>
                <w:szCs w:val="21"/>
              </w:rPr>
              <w:t>PM</w:t>
            </w:r>
            <w:r w:rsidRPr="00021E23">
              <w:rPr>
                <w:sz w:val="21"/>
                <w:szCs w:val="21"/>
                <w:vertAlign w:val="subscript"/>
              </w:rPr>
              <w:t>10</w:t>
            </w:r>
            <w:r w:rsidRPr="00021E23">
              <w:rPr>
                <w:rFonts w:hAnsi="宋体"/>
                <w:sz w:val="21"/>
                <w:szCs w:val="21"/>
              </w:rPr>
              <w:t>）</w:t>
            </w:r>
          </w:p>
        </w:tc>
        <w:tc>
          <w:tcPr>
            <w:tcW w:w="908"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680</w:t>
            </w:r>
          </w:p>
        </w:tc>
        <w:tc>
          <w:tcPr>
            <w:tcW w:w="1157" w:type="pct"/>
            <w:shd w:val="clear" w:color="auto" w:fill="auto"/>
            <w:vAlign w:val="center"/>
          </w:tcPr>
          <w:p w:rsidR="00CC5955" w:rsidRPr="00021E23" w:rsidRDefault="00CC5955" w:rsidP="000318C0">
            <w:pPr>
              <w:spacing w:line="360" w:lineRule="exact"/>
              <w:jc w:val="center"/>
              <w:rPr>
                <w:sz w:val="21"/>
                <w:szCs w:val="21"/>
              </w:rPr>
            </w:pPr>
            <w:r w:rsidRPr="00021E23">
              <w:rPr>
                <w:sz w:val="21"/>
                <w:szCs w:val="21"/>
              </w:rPr>
              <w:t>0.00</w:t>
            </w:r>
            <w:r w:rsidR="000318C0">
              <w:rPr>
                <w:rFonts w:hint="eastAsia"/>
                <w:sz w:val="21"/>
                <w:szCs w:val="21"/>
              </w:rPr>
              <w:t>045</w:t>
            </w:r>
          </w:p>
        </w:tc>
        <w:tc>
          <w:tcPr>
            <w:tcW w:w="1149" w:type="pct"/>
            <w:shd w:val="clear" w:color="auto" w:fill="auto"/>
            <w:vAlign w:val="center"/>
          </w:tcPr>
          <w:p w:rsidR="00CC5955" w:rsidRPr="00021E23" w:rsidRDefault="00CC5955" w:rsidP="00A11E34">
            <w:pPr>
              <w:spacing w:line="360" w:lineRule="exact"/>
              <w:jc w:val="center"/>
              <w:rPr>
                <w:sz w:val="21"/>
                <w:szCs w:val="21"/>
              </w:rPr>
            </w:pPr>
            <w:r w:rsidRPr="00021E23">
              <w:rPr>
                <w:sz w:val="21"/>
                <w:szCs w:val="21"/>
              </w:rPr>
              <w:t>0.0</w:t>
            </w:r>
            <w:r w:rsidR="000318C0">
              <w:rPr>
                <w:rFonts w:hint="eastAsia"/>
                <w:sz w:val="21"/>
                <w:szCs w:val="21"/>
              </w:rPr>
              <w:t>0</w:t>
            </w:r>
            <w:r w:rsidRPr="00021E23">
              <w:rPr>
                <w:rFonts w:hint="eastAsia"/>
                <w:sz w:val="21"/>
                <w:szCs w:val="21"/>
              </w:rPr>
              <w:t>27</w:t>
            </w:r>
          </w:p>
        </w:tc>
      </w:tr>
      <w:tr w:rsidR="00CC5955" w:rsidRPr="00021E23" w:rsidTr="00A11E34">
        <w:tc>
          <w:tcPr>
            <w:tcW w:w="1158" w:type="pct"/>
            <w:gridSpan w:val="2"/>
            <w:vMerge w:val="restart"/>
            <w:shd w:val="clear" w:color="auto" w:fill="auto"/>
            <w:vAlign w:val="center"/>
          </w:tcPr>
          <w:p w:rsidR="00CC5955" w:rsidRPr="00021E23" w:rsidRDefault="00CC5955" w:rsidP="00A11E34">
            <w:pPr>
              <w:spacing w:line="360" w:lineRule="exact"/>
              <w:jc w:val="center"/>
              <w:rPr>
                <w:sz w:val="21"/>
                <w:szCs w:val="21"/>
              </w:rPr>
            </w:pPr>
            <w:r w:rsidRPr="00021E23">
              <w:rPr>
                <w:rFonts w:hAnsi="宋体"/>
                <w:sz w:val="21"/>
                <w:szCs w:val="21"/>
              </w:rPr>
              <w:t>有组织排放合计</w:t>
            </w:r>
          </w:p>
        </w:tc>
        <w:tc>
          <w:tcPr>
            <w:tcW w:w="2693" w:type="pct"/>
            <w:gridSpan w:val="3"/>
            <w:shd w:val="clear" w:color="auto" w:fill="auto"/>
            <w:vAlign w:val="center"/>
          </w:tcPr>
          <w:p w:rsidR="00CC5955" w:rsidRPr="00021E23" w:rsidRDefault="00CC5955" w:rsidP="00A11E34">
            <w:pPr>
              <w:spacing w:line="360" w:lineRule="exact"/>
              <w:jc w:val="center"/>
              <w:rPr>
                <w:sz w:val="21"/>
                <w:szCs w:val="21"/>
              </w:rPr>
            </w:pPr>
            <w:r w:rsidRPr="00021E23">
              <w:rPr>
                <w:sz w:val="21"/>
                <w:szCs w:val="21"/>
              </w:rPr>
              <w:t>SO</w:t>
            </w:r>
            <w:r w:rsidRPr="00021E23">
              <w:rPr>
                <w:sz w:val="21"/>
                <w:szCs w:val="21"/>
                <w:vertAlign w:val="subscript"/>
              </w:rPr>
              <w:t>2</w:t>
            </w:r>
          </w:p>
        </w:tc>
        <w:tc>
          <w:tcPr>
            <w:tcW w:w="1149" w:type="pct"/>
            <w:shd w:val="clear" w:color="auto" w:fill="auto"/>
            <w:vAlign w:val="center"/>
          </w:tcPr>
          <w:p w:rsidR="00CC5955" w:rsidRPr="00021E23" w:rsidRDefault="00CC5955" w:rsidP="00A11E34">
            <w:pPr>
              <w:spacing w:line="360" w:lineRule="exact"/>
              <w:jc w:val="center"/>
              <w:rPr>
                <w:sz w:val="21"/>
                <w:szCs w:val="21"/>
              </w:rPr>
            </w:pPr>
            <w:r w:rsidRPr="00021E23">
              <w:rPr>
                <w:sz w:val="21"/>
                <w:szCs w:val="21"/>
              </w:rPr>
              <w:t>0</w:t>
            </w:r>
          </w:p>
        </w:tc>
      </w:tr>
      <w:tr w:rsidR="00CC5955" w:rsidRPr="00021E23" w:rsidTr="00A11E34">
        <w:tc>
          <w:tcPr>
            <w:tcW w:w="1158" w:type="pct"/>
            <w:gridSpan w:val="2"/>
            <w:vMerge/>
            <w:shd w:val="clear" w:color="auto" w:fill="auto"/>
            <w:vAlign w:val="center"/>
          </w:tcPr>
          <w:p w:rsidR="00CC5955" w:rsidRPr="00021E23" w:rsidRDefault="00CC5955" w:rsidP="00A11E34">
            <w:pPr>
              <w:widowControl/>
              <w:jc w:val="left"/>
              <w:rPr>
                <w:sz w:val="21"/>
                <w:szCs w:val="21"/>
              </w:rPr>
            </w:pPr>
          </w:p>
        </w:tc>
        <w:tc>
          <w:tcPr>
            <w:tcW w:w="2693" w:type="pct"/>
            <w:gridSpan w:val="3"/>
            <w:shd w:val="clear" w:color="auto" w:fill="auto"/>
            <w:vAlign w:val="center"/>
          </w:tcPr>
          <w:p w:rsidR="00CC5955" w:rsidRPr="00021E23" w:rsidRDefault="00CC5955" w:rsidP="00A11E34">
            <w:pPr>
              <w:spacing w:line="360" w:lineRule="exact"/>
              <w:jc w:val="center"/>
              <w:rPr>
                <w:sz w:val="21"/>
                <w:szCs w:val="21"/>
              </w:rPr>
            </w:pPr>
            <w:r w:rsidRPr="00021E23">
              <w:rPr>
                <w:sz w:val="21"/>
                <w:szCs w:val="21"/>
              </w:rPr>
              <w:t>NOx</w:t>
            </w:r>
          </w:p>
        </w:tc>
        <w:tc>
          <w:tcPr>
            <w:tcW w:w="1149" w:type="pct"/>
            <w:shd w:val="clear" w:color="auto" w:fill="auto"/>
            <w:vAlign w:val="center"/>
          </w:tcPr>
          <w:p w:rsidR="00CC5955" w:rsidRPr="00021E23" w:rsidRDefault="00CC5955" w:rsidP="00A11E34">
            <w:pPr>
              <w:spacing w:line="360" w:lineRule="exact"/>
              <w:jc w:val="center"/>
              <w:rPr>
                <w:sz w:val="21"/>
                <w:szCs w:val="21"/>
              </w:rPr>
            </w:pPr>
            <w:r w:rsidRPr="00021E23">
              <w:rPr>
                <w:sz w:val="21"/>
                <w:szCs w:val="21"/>
              </w:rPr>
              <w:t>0</w:t>
            </w:r>
          </w:p>
        </w:tc>
      </w:tr>
      <w:tr w:rsidR="00CC5955" w:rsidRPr="00021E23" w:rsidTr="00A11E34">
        <w:tc>
          <w:tcPr>
            <w:tcW w:w="1158" w:type="pct"/>
            <w:gridSpan w:val="2"/>
            <w:vMerge/>
            <w:shd w:val="clear" w:color="auto" w:fill="auto"/>
            <w:vAlign w:val="center"/>
          </w:tcPr>
          <w:p w:rsidR="00CC5955" w:rsidRPr="00021E23" w:rsidRDefault="00CC5955" w:rsidP="00A11E34">
            <w:pPr>
              <w:widowControl/>
              <w:jc w:val="left"/>
              <w:rPr>
                <w:sz w:val="21"/>
                <w:szCs w:val="21"/>
              </w:rPr>
            </w:pPr>
          </w:p>
        </w:tc>
        <w:tc>
          <w:tcPr>
            <w:tcW w:w="2693" w:type="pct"/>
            <w:gridSpan w:val="3"/>
            <w:shd w:val="clear" w:color="auto" w:fill="auto"/>
            <w:vAlign w:val="center"/>
          </w:tcPr>
          <w:p w:rsidR="00CC5955" w:rsidRPr="00021E23" w:rsidRDefault="00CC5955" w:rsidP="00A11E34">
            <w:pPr>
              <w:spacing w:line="360" w:lineRule="exact"/>
              <w:jc w:val="center"/>
              <w:rPr>
                <w:sz w:val="21"/>
                <w:szCs w:val="21"/>
              </w:rPr>
            </w:pPr>
            <w:r w:rsidRPr="00021E23">
              <w:rPr>
                <w:rFonts w:hAnsi="宋体"/>
                <w:sz w:val="21"/>
                <w:szCs w:val="21"/>
              </w:rPr>
              <w:t>颗粒物</w:t>
            </w:r>
          </w:p>
        </w:tc>
        <w:tc>
          <w:tcPr>
            <w:tcW w:w="1149" w:type="pct"/>
            <w:shd w:val="clear" w:color="auto" w:fill="auto"/>
            <w:vAlign w:val="center"/>
          </w:tcPr>
          <w:p w:rsidR="00CC5955" w:rsidRPr="00021E23" w:rsidRDefault="00CC5955" w:rsidP="00A11E34">
            <w:pPr>
              <w:spacing w:line="360" w:lineRule="exact"/>
              <w:jc w:val="center"/>
              <w:rPr>
                <w:sz w:val="21"/>
                <w:szCs w:val="21"/>
              </w:rPr>
            </w:pPr>
            <w:r w:rsidRPr="00021E23">
              <w:rPr>
                <w:sz w:val="21"/>
                <w:szCs w:val="21"/>
              </w:rPr>
              <w:t>0.0</w:t>
            </w:r>
            <w:r w:rsidR="000318C0">
              <w:rPr>
                <w:rFonts w:hint="eastAsia"/>
                <w:sz w:val="21"/>
                <w:szCs w:val="21"/>
              </w:rPr>
              <w:t>0</w:t>
            </w:r>
            <w:r w:rsidRPr="00021E23">
              <w:rPr>
                <w:rFonts w:hint="eastAsia"/>
                <w:sz w:val="21"/>
                <w:szCs w:val="21"/>
              </w:rPr>
              <w:t>27</w:t>
            </w:r>
          </w:p>
        </w:tc>
      </w:tr>
    </w:tbl>
    <w:p w:rsidR="00CC5955" w:rsidRPr="00AE7BF8" w:rsidRDefault="00CC5955" w:rsidP="00AE7BF8">
      <w:pPr>
        <w:spacing w:line="500" w:lineRule="exact"/>
        <w:jc w:val="center"/>
        <w:rPr>
          <w:kern w:val="0"/>
          <w:sz w:val="24"/>
        </w:rPr>
      </w:pPr>
      <w:r w:rsidRPr="00AE7BF8">
        <w:rPr>
          <w:rFonts w:hint="eastAsia"/>
          <w:kern w:val="0"/>
          <w:sz w:val="24"/>
        </w:rPr>
        <w:t>表</w:t>
      </w:r>
      <w:r w:rsidR="00114B89">
        <w:rPr>
          <w:rFonts w:hint="eastAsia"/>
          <w:kern w:val="0"/>
          <w:sz w:val="24"/>
        </w:rPr>
        <w:t>6</w:t>
      </w:r>
      <w:r w:rsidRPr="00AE7BF8">
        <w:rPr>
          <w:rFonts w:hint="eastAsia"/>
          <w:kern w:val="0"/>
          <w:sz w:val="24"/>
        </w:rPr>
        <w:t>.</w:t>
      </w:r>
      <w:r w:rsidR="00114B89">
        <w:rPr>
          <w:rFonts w:hint="eastAsia"/>
          <w:kern w:val="0"/>
          <w:sz w:val="24"/>
        </w:rPr>
        <w:t>1</w:t>
      </w:r>
      <w:r w:rsidRPr="00AE7BF8">
        <w:rPr>
          <w:rFonts w:hint="eastAsia"/>
          <w:kern w:val="0"/>
          <w:sz w:val="24"/>
        </w:rPr>
        <w:t>-</w:t>
      </w:r>
      <w:r w:rsidR="00114B89">
        <w:rPr>
          <w:rFonts w:hint="eastAsia"/>
          <w:kern w:val="0"/>
          <w:sz w:val="24"/>
        </w:rPr>
        <w:t>2</w:t>
      </w:r>
      <w:r w:rsidRPr="00AE7BF8">
        <w:rPr>
          <w:rFonts w:hint="eastAsia"/>
          <w:kern w:val="0"/>
          <w:sz w:val="24"/>
        </w:rPr>
        <w:t xml:space="preserve">  </w:t>
      </w:r>
      <w:r w:rsidRPr="00AE7BF8">
        <w:rPr>
          <w:rFonts w:hint="eastAsia"/>
          <w:kern w:val="0"/>
          <w:sz w:val="24"/>
        </w:rPr>
        <w:t>大气污染物无组织排放量核算表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466"/>
        <w:gridCol w:w="883"/>
        <w:gridCol w:w="794"/>
        <w:gridCol w:w="632"/>
        <w:gridCol w:w="1990"/>
        <w:gridCol w:w="1993"/>
        <w:gridCol w:w="1295"/>
        <w:gridCol w:w="893"/>
      </w:tblGrid>
      <w:tr w:rsidR="00CC5955" w:rsidRPr="00021E23" w:rsidTr="00A11E34">
        <w:trPr>
          <w:trHeight w:val="510"/>
        </w:trPr>
        <w:tc>
          <w:tcPr>
            <w:tcW w:w="260" w:type="pct"/>
            <w:vMerge w:val="restar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序号</w:t>
            </w:r>
          </w:p>
        </w:tc>
        <w:tc>
          <w:tcPr>
            <w:tcW w:w="493" w:type="pct"/>
            <w:vMerge w:val="restar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排放口编号</w:t>
            </w:r>
          </w:p>
        </w:tc>
        <w:tc>
          <w:tcPr>
            <w:tcW w:w="444" w:type="pct"/>
            <w:vMerge w:val="restar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产污环节</w:t>
            </w:r>
          </w:p>
        </w:tc>
        <w:tc>
          <w:tcPr>
            <w:tcW w:w="353" w:type="pct"/>
            <w:vMerge w:val="restar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污染物</w:t>
            </w:r>
          </w:p>
        </w:tc>
        <w:tc>
          <w:tcPr>
            <w:tcW w:w="1112" w:type="pct"/>
            <w:vMerge w:val="restar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主要防治措施</w:t>
            </w:r>
          </w:p>
        </w:tc>
        <w:tc>
          <w:tcPr>
            <w:tcW w:w="1838" w:type="pct"/>
            <w:gridSpan w:val="2"/>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排放标准</w:t>
            </w:r>
          </w:p>
        </w:tc>
        <w:tc>
          <w:tcPr>
            <w:tcW w:w="499" w:type="pct"/>
            <w:vMerge w:val="restar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核算年排放量（</w:t>
            </w:r>
            <w:r w:rsidRPr="00021E23">
              <w:rPr>
                <w:rFonts w:hint="eastAsia"/>
                <w:b/>
                <w:sz w:val="21"/>
                <w:szCs w:val="21"/>
              </w:rPr>
              <w:t>t/a</w:t>
            </w:r>
            <w:r w:rsidRPr="00021E23">
              <w:rPr>
                <w:rFonts w:hint="eastAsia"/>
                <w:b/>
                <w:sz w:val="21"/>
                <w:szCs w:val="21"/>
              </w:rPr>
              <w:t>）</w:t>
            </w:r>
          </w:p>
        </w:tc>
      </w:tr>
      <w:tr w:rsidR="00CC5955" w:rsidRPr="00021E23" w:rsidTr="00A11E34">
        <w:trPr>
          <w:trHeight w:val="570"/>
        </w:trPr>
        <w:tc>
          <w:tcPr>
            <w:tcW w:w="260" w:type="pct"/>
            <w:vMerge/>
            <w:shd w:val="clear" w:color="auto" w:fill="auto"/>
            <w:vAlign w:val="center"/>
          </w:tcPr>
          <w:p w:rsidR="00CC5955" w:rsidRPr="00021E23" w:rsidRDefault="00CC5955" w:rsidP="00A11E34">
            <w:pPr>
              <w:spacing w:line="360" w:lineRule="exact"/>
              <w:jc w:val="center"/>
              <w:rPr>
                <w:b/>
                <w:sz w:val="21"/>
                <w:szCs w:val="21"/>
              </w:rPr>
            </w:pPr>
          </w:p>
        </w:tc>
        <w:tc>
          <w:tcPr>
            <w:tcW w:w="493" w:type="pct"/>
            <w:vMerge/>
            <w:shd w:val="clear" w:color="auto" w:fill="auto"/>
            <w:vAlign w:val="center"/>
          </w:tcPr>
          <w:p w:rsidR="00CC5955" w:rsidRPr="00021E23" w:rsidRDefault="00CC5955" w:rsidP="00A11E34">
            <w:pPr>
              <w:spacing w:line="360" w:lineRule="exact"/>
              <w:jc w:val="center"/>
              <w:rPr>
                <w:b/>
                <w:sz w:val="21"/>
                <w:szCs w:val="21"/>
              </w:rPr>
            </w:pPr>
          </w:p>
        </w:tc>
        <w:tc>
          <w:tcPr>
            <w:tcW w:w="444" w:type="pct"/>
            <w:vMerge/>
            <w:shd w:val="clear" w:color="auto" w:fill="auto"/>
            <w:vAlign w:val="center"/>
          </w:tcPr>
          <w:p w:rsidR="00CC5955" w:rsidRPr="00021E23" w:rsidRDefault="00CC5955" w:rsidP="00A11E34">
            <w:pPr>
              <w:spacing w:line="360" w:lineRule="exact"/>
              <w:jc w:val="center"/>
              <w:rPr>
                <w:b/>
                <w:sz w:val="21"/>
                <w:szCs w:val="21"/>
              </w:rPr>
            </w:pPr>
          </w:p>
        </w:tc>
        <w:tc>
          <w:tcPr>
            <w:tcW w:w="353" w:type="pct"/>
            <w:vMerge/>
            <w:shd w:val="clear" w:color="auto" w:fill="auto"/>
            <w:vAlign w:val="center"/>
          </w:tcPr>
          <w:p w:rsidR="00CC5955" w:rsidRPr="00021E23" w:rsidRDefault="00CC5955" w:rsidP="00A11E34">
            <w:pPr>
              <w:spacing w:line="360" w:lineRule="exact"/>
              <w:jc w:val="center"/>
              <w:rPr>
                <w:b/>
                <w:sz w:val="21"/>
                <w:szCs w:val="21"/>
              </w:rPr>
            </w:pPr>
          </w:p>
        </w:tc>
        <w:tc>
          <w:tcPr>
            <w:tcW w:w="1112" w:type="pct"/>
            <w:vMerge/>
            <w:shd w:val="clear" w:color="auto" w:fill="auto"/>
            <w:vAlign w:val="center"/>
          </w:tcPr>
          <w:p w:rsidR="00CC5955" w:rsidRPr="00021E23" w:rsidRDefault="00CC5955" w:rsidP="00A11E34">
            <w:pPr>
              <w:spacing w:line="360" w:lineRule="exact"/>
              <w:jc w:val="center"/>
              <w:rPr>
                <w:b/>
                <w:sz w:val="21"/>
                <w:szCs w:val="21"/>
              </w:rPr>
            </w:pPr>
          </w:p>
        </w:tc>
        <w:tc>
          <w:tcPr>
            <w:tcW w:w="1114" w:type="pc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标准名称</w:t>
            </w:r>
          </w:p>
        </w:tc>
        <w:tc>
          <w:tcPr>
            <w:tcW w:w="724" w:type="pc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浓度限值（</w:t>
            </w:r>
            <w:r w:rsidRPr="00021E23">
              <w:rPr>
                <w:rFonts w:hint="eastAsia"/>
                <w:b/>
                <w:sz w:val="21"/>
                <w:szCs w:val="21"/>
              </w:rPr>
              <w:t>m</w:t>
            </w:r>
            <w:r w:rsidRPr="00021E23">
              <w:rPr>
                <w:b/>
                <w:sz w:val="21"/>
                <w:szCs w:val="21"/>
              </w:rPr>
              <w:t>g/m</w:t>
            </w:r>
            <w:r w:rsidRPr="00021E23">
              <w:rPr>
                <w:b/>
                <w:sz w:val="21"/>
                <w:szCs w:val="21"/>
                <w:vertAlign w:val="superscript"/>
              </w:rPr>
              <w:t>3</w:t>
            </w:r>
            <w:r w:rsidRPr="00021E23">
              <w:rPr>
                <w:rFonts w:hint="eastAsia"/>
                <w:b/>
                <w:sz w:val="21"/>
                <w:szCs w:val="21"/>
              </w:rPr>
              <w:t>）</w:t>
            </w:r>
          </w:p>
        </w:tc>
        <w:tc>
          <w:tcPr>
            <w:tcW w:w="499" w:type="pct"/>
            <w:vMerge/>
            <w:shd w:val="clear" w:color="auto" w:fill="auto"/>
            <w:vAlign w:val="center"/>
          </w:tcPr>
          <w:p w:rsidR="00CC5955" w:rsidRPr="00021E23" w:rsidRDefault="00CC5955" w:rsidP="00A11E34">
            <w:pPr>
              <w:spacing w:line="360" w:lineRule="exact"/>
              <w:jc w:val="center"/>
              <w:rPr>
                <w:b/>
                <w:sz w:val="21"/>
                <w:szCs w:val="21"/>
              </w:rPr>
            </w:pPr>
          </w:p>
        </w:tc>
      </w:tr>
      <w:tr w:rsidR="000318C0" w:rsidRPr="00021E23" w:rsidTr="00A11E34">
        <w:trPr>
          <w:trHeight w:val="570"/>
        </w:trPr>
        <w:tc>
          <w:tcPr>
            <w:tcW w:w="260" w:type="pct"/>
            <w:shd w:val="clear" w:color="auto" w:fill="auto"/>
            <w:vAlign w:val="center"/>
          </w:tcPr>
          <w:p w:rsidR="000318C0" w:rsidRPr="00021E23" w:rsidRDefault="000318C0" w:rsidP="00A11E34">
            <w:pPr>
              <w:spacing w:line="360" w:lineRule="exact"/>
              <w:jc w:val="center"/>
              <w:rPr>
                <w:b/>
                <w:sz w:val="21"/>
                <w:szCs w:val="21"/>
              </w:rPr>
            </w:pPr>
            <w:r>
              <w:rPr>
                <w:rFonts w:hint="eastAsia"/>
                <w:b/>
                <w:sz w:val="21"/>
                <w:szCs w:val="21"/>
              </w:rPr>
              <w:t>1</w:t>
            </w:r>
          </w:p>
        </w:tc>
        <w:tc>
          <w:tcPr>
            <w:tcW w:w="493" w:type="pct"/>
            <w:shd w:val="clear" w:color="auto" w:fill="auto"/>
            <w:vAlign w:val="center"/>
          </w:tcPr>
          <w:p w:rsidR="000318C0" w:rsidRPr="000318C0" w:rsidRDefault="000318C0" w:rsidP="00A11E34">
            <w:pPr>
              <w:spacing w:line="360" w:lineRule="exact"/>
              <w:jc w:val="center"/>
              <w:rPr>
                <w:sz w:val="21"/>
                <w:szCs w:val="21"/>
              </w:rPr>
            </w:pPr>
            <w:r w:rsidRPr="000318C0">
              <w:rPr>
                <w:rFonts w:hint="eastAsia"/>
                <w:sz w:val="21"/>
                <w:szCs w:val="21"/>
              </w:rPr>
              <w:t>主井卸煤</w:t>
            </w:r>
            <w:r w:rsidRPr="000318C0">
              <w:rPr>
                <w:sz w:val="21"/>
                <w:szCs w:val="21"/>
              </w:rPr>
              <w:t>口</w:t>
            </w:r>
          </w:p>
        </w:tc>
        <w:tc>
          <w:tcPr>
            <w:tcW w:w="444" w:type="pct"/>
            <w:shd w:val="clear" w:color="auto" w:fill="auto"/>
            <w:vAlign w:val="center"/>
          </w:tcPr>
          <w:p w:rsidR="000318C0" w:rsidRPr="000318C0" w:rsidRDefault="000318C0" w:rsidP="00A11E34">
            <w:pPr>
              <w:spacing w:line="360" w:lineRule="exact"/>
              <w:jc w:val="center"/>
              <w:rPr>
                <w:sz w:val="21"/>
                <w:szCs w:val="21"/>
              </w:rPr>
            </w:pPr>
            <w:r w:rsidRPr="000318C0">
              <w:rPr>
                <w:rFonts w:hint="eastAsia"/>
                <w:sz w:val="21"/>
                <w:szCs w:val="21"/>
              </w:rPr>
              <w:t>输煤转载</w:t>
            </w:r>
          </w:p>
        </w:tc>
        <w:tc>
          <w:tcPr>
            <w:tcW w:w="353" w:type="pct"/>
            <w:shd w:val="clear" w:color="auto" w:fill="auto"/>
            <w:vAlign w:val="center"/>
          </w:tcPr>
          <w:p w:rsidR="000318C0" w:rsidRPr="000318C0" w:rsidRDefault="000318C0" w:rsidP="00A11E34">
            <w:pPr>
              <w:spacing w:line="360" w:lineRule="exact"/>
              <w:jc w:val="center"/>
              <w:rPr>
                <w:sz w:val="21"/>
                <w:szCs w:val="21"/>
              </w:rPr>
            </w:pPr>
            <w:r w:rsidRPr="000318C0">
              <w:rPr>
                <w:rFonts w:hint="eastAsia"/>
                <w:sz w:val="21"/>
                <w:szCs w:val="21"/>
              </w:rPr>
              <w:t>TSP</w:t>
            </w:r>
          </w:p>
        </w:tc>
        <w:tc>
          <w:tcPr>
            <w:tcW w:w="1112" w:type="pct"/>
            <w:shd w:val="clear" w:color="auto" w:fill="auto"/>
            <w:vAlign w:val="center"/>
          </w:tcPr>
          <w:p w:rsidR="000318C0" w:rsidRPr="000318C0" w:rsidRDefault="000318C0" w:rsidP="00A11E34">
            <w:pPr>
              <w:spacing w:line="360" w:lineRule="exact"/>
              <w:jc w:val="center"/>
              <w:rPr>
                <w:sz w:val="21"/>
                <w:szCs w:val="21"/>
              </w:rPr>
            </w:pPr>
            <w:r w:rsidRPr="000318C0">
              <w:rPr>
                <w:rFonts w:hint="eastAsia"/>
                <w:color w:val="000000" w:themeColor="text1"/>
                <w:sz w:val="21"/>
                <w:szCs w:val="21"/>
              </w:rPr>
              <w:t>主井卸煤口处设置</w:t>
            </w:r>
            <w:r w:rsidRPr="000318C0">
              <w:rPr>
                <w:rFonts w:hint="eastAsia"/>
                <w:sz w:val="21"/>
                <w:szCs w:val="21"/>
              </w:rPr>
              <w:t>集气罩，并配套袋式除尘器</w:t>
            </w:r>
          </w:p>
        </w:tc>
        <w:tc>
          <w:tcPr>
            <w:tcW w:w="1114" w:type="pct"/>
            <w:shd w:val="clear" w:color="auto" w:fill="auto"/>
            <w:vAlign w:val="center"/>
          </w:tcPr>
          <w:p w:rsidR="000318C0" w:rsidRPr="000318C0" w:rsidRDefault="000318C0" w:rsidP="00A11E34">
            <w:pPr>
              <w:spacing w:line="360" w:lineRule="exact"/>
              <w:jc w:val="center"/>
              <w:rPr>
                <w:sz w:val="21"/>
                <w:szCs w:val="21"/>
              </w:rPr>
            </w:pPr>
            <w:r w:rsidRPr="000318C0">
              <w:rPr>
                <w:rFonts w:hint="eastAsia"/>
                <w:sz w:val="21"/>
                <w:szCs w:val="21"/>
              </w:rPr>
              <w:t>《煤炭工业污染物排放标准》（</w:t>
            </w:r>
            <w:r w:rsidRPr="000318C0">
              <w:rPr>
                <w:sz w:val="21"/>
                <w:szCs w:val="21"/>
              </w:rPr>
              <w:t>GB20426-2006</w:t>
            </w:r>
            <w:r w:rsidRPr="000318C0">
              <w:rPr>
                <w:rFonts w:hint="eastAsia"/>
                <w:sz w:val="21"/>
                <w:szCs w:val="21"/>
              </w:rPr>
              <w:t>）</w:t>
            </w:r>
          </w:p>
        </w:tc>
        <w:tc>
          <w:tcPr>
            <w:tcW w:w="724" w:type="pct"/>
            <w:shd w:val="clear" w:color="auto" w:fill="auto"/>
            <w:vAlign w:val="center"/>
          </w:tcPr>
          <w:p w:rsidR="000318C0" w:rsidRPr="000318C0" w:rsidRDefault="000318C0" w:rsidP="00A11E34">
            <w:pPr>
              <w:spacing w:line="360" w:lineRule="exact"/>
              <w:jc w:val="center"/>
              <w:rPr>
                <w:sz w:val="21"/>
                <w:szCs w:val="21"/>
              </w:rPr>
            </w:pPr>
            <w:r w:rsidRPr="000318C0">
              <w:rPr>
                <w:rFonts w:hint="eastAsia"/>
                <w:spacing w:val="2"/>
                <w:sz w:val="21"/>
                <w:szCs w:val="21"/>
              </w:rPr>
              <w:t>80.</w:t>
            </w:r>
            <w:r w:rsidRPr="000318C0">
              <w:rPr>
                <w:spacing w:val="2"/>
                <w:sz w:val="21"/>
                <w:szCs w:val="21"/>
              </w:rPr>
              <w:t>0mg/m</w:t>
            </w:r>
            <w:r w:rsidRPr="000318C0">
              <w:rPr>
                <w:spacing w:val="2"/>
                <w:sz w:val="21"/>
                <w:szCs w:val="21"/>
                <w:vertAlign w:val="superscript"/>
              </w:rPr>
              <w:t>3</w:t>
            </w:r>
          </w:p>
        </w:tc>
        <w:tc>
          <w:tcPr>
            <w:tcW w:w="499" w:type="pct"/>
            <w:shd w:val="clear" w:color="auto" w:fill="auto"/>
            <w:vAlign w:val="center"/>
          </w:tcPr>
          <w:p w:rsidR="000318C0" w:rsidRPr="000318C0" w:rsidRDefault="000318C0" w:rsidP="00A11E34">
            <w:pPr>
              <w:spacing w:line="360" w:lineRule="exact"/>
              <w:jc w:val="center"/>
              <w:rPr>
                <w:sz w:val="21"/>
                <w:szCs w:val="21"/>
              </w:rPr>
            </w:pPr>
            <w:r w:rsidRPr="000318C0">
              <w:rPr>
                <w:rFonts w:hint="eastAsia"/>
                <w:sz w:val="21"/>
                <w:szCs w:val="21"/>
              </w:rPr>
              <w:t>0.3</w:t>
            </w:r>
          </w:p>
        </w:tc>
      </w:tr>
      <w:tr w:rsidR="00CC5955" w:rsidRPr="00021E23" w:rsidTr="00D26253">
        <w:trPr>
          <w:trHeight w:val="3084"/>
        </w:trPr>
        <w:tc>
          <w:tcPr>
            <w:tcW w:w="260"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1</w:t>
            </w:r>
          </w:p>
        </w:tc>
        <w:tc>
          <w:tcPr>
            <w:tcW w:w="493"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储煤库</w:t>
            </w:r>
          </w:p>
        </w:tc>
        <w:tc>
          <w:tcPr>
            <w:tcW w:w="444" w:type="pct"/>
            <w:shd w:val="clear" w:color="auto" w:fill="auto"/>
            <w:vAlign w:val="center"/>
          </w:tcPr>
          <w:p w:rsidR="00CC5955" w:rsidRPr="00021E23" w:rsidRDefault="00CC5955" w:rsidP="00176F38">
            <w:pPr>
              <w:spacing w:line="360" w:lineRule="exact"/>
              <w:jc w:val="center"/>
              <w:rPr>
                <w:sz w:val="21"/>
                <w:szCs w:val="21"/>
              </w:rPr>
            </w:pPr>
            <w:r w:rsidRPr="00021E23">
              <w:rPr>
                <w:rFonts w:hint="eastAsia"/>
                <w:sz w:val="21"/>
                <w:szCs w:val="21"/>
              </w:rPr>
              <w:t>煤炭转运、</w:t>
            </w:r>
            <w:r w:rsidR="00176F38">
              <w:rPr>
                <w:rFonts w:hint="eastAsia"/>
                <w:sz w:val="21"/>
                <w:szCs w:val="21"/>
              </w:rPr>
              <w:t>储存</w:t>
            </w:r>
          </w:p>
        </w:tc>
        <w:tc>
          <w:tcPr>
            <w:tcW w:w="353"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TSP</w:t>
            </w:r>
          </w:p>
        </w:tc>
        <w:tc>
          <w:tcPr>
            <w:tcW w:w="1112" w:type="pct"/>
            <w:shd w:val="clear" w:color="auto" w:fill="auto"/>
            <w:vAlign w:val="center"/>
          </w:tcPr>
          <w:p w:rsidR="00CC5955" w:rsidRPr="00021E23" w:rsidRDefault="00CC5955" w:rsidP="00D26253">
            <w:pPr>
              <w:jc w:val="center"/>
              <w:rPr>
                <w:sz w:val="21"/>
                <w:szCs w:val="21"/>
              </w:rPr>
            </w:pPr>
            <w:r w:rsidRPr="00021E23">
              <w:rPr>
                <w:rFonts w:hint="eastAsia"/>
                <w:sz w:val="21"/>
                <w:szCs w:val="21"/>
              </w:rPr>
              <w:t>储煤库、矸石周转场全部密闭且顶棚设计安装一套喷干雾装置，储煤库内的皮带廊道全部进行二次密闭，在作业时洒水保持湿度，安装硬质门，在无车辆出入时保证密闭，防治粉尘</w:t>
            </w:r>
          </w:p>
        </w:tc>
        <w:tc>
          <w:tcPr>
            <w:tcW w:w="1114" w:type="pct"/>
            <w:shd w:val="clear" w:color="auto" w:fill="auto"/>
            <w:vAlign w:val="center"/>
          </w:tcPr>
          <w:p w:rsidR="00CC5955" w:rsidRPr="000318C0" w:rsidRDefault="00CC5955" w:rsidP="00A11E34">
            <w:pPr>
              <w:spacing w:line="360" w:lineRule="exact"/>
              <w:jc w:val="center"/>
              <w:rPr>
                <w:sz w:val="21"/>
                <w:szCs w:val="21"/>
              </w:rPr>
            </w:pPr>
            <w:r w:rsidRPr="000318C0">
              <w:rPr>
                <w:rFonts w:hint="eastAsia"/>
                <w:sz w:val="21"/>
                <w:szCs w:val="21"/>
              </w:rPr>
              <w:t>《煤炭工业污染物排放标准》（</w:t>
            </w:r>
            <w:r w:rsidRPr="000318C0">
              <w:rPr>
                <w:sz w:val="21"/>
                <w:szCs w:val="21"/>
              </w:rPr>
              <w:t>GB20426-2006</w:t>
            </w:r>
            <w:r w:rsidRPr="000318C0">
              <w:rPr>
                <w:rFonts w:hint="eastAsia"/>
                <w:sz w:val="21"/>
                <w:szCs w:val="21"/>
              </w:rPr>
              <w:t>）</w:t>
            </w:r>
          </w:p>
        </w:tc>
        <w:tc>
          <w:tcPr>
            <w:tcW w:w="724" w:type="pct"/>
            <w:shd w:val="clear" w:color="auto" w:fill="auto"/>
            <w:vAlign w:val="center"/>
          </w:tcPr>
          <w:p w:rsidR="00CC5955" w:rsidRPr="000318C0" w:rsidRDefault="000318C0" w:rsidP="00A11E34">
            <w:pPr>
              <w:spacing w:line="360" w:lineRule="exact"/>
              <w:jc w:val="center"/>
              <w:rPr>
                <w:sz w:val="21"/>
                <w:szCs w:val="21"/>
              </w:rPr>
            </w:pPr>
            <w:r w:rsidRPr="000318C0">
              <w:rPr>
                <w:rStyle w:val="markedcontent"/>
                <w:rFonts w:ascii="Arial" w:hAnsi="Arial" w:cs="Arial"/>
                <w:sz w:val="21"/>
                <w:szCs w:val="21"/>
              </w:rPr>
              <w:t>无组织排放限</w:t>
            </w:r>
            <w:r w:rsidRPr="000318C0">
              <w:rPr>
                <w:rStyle w:val="markedcontent"/>
                <w:rFonts w:ascii="Arial" w:hAnsi="Arial" w:cs="Arial" w:hint="eastAsia"/>
                <w:sz w:val="21"/>
                <w:szCs w:val="21"/>
              </w:rPr>
              <w:t>值</w:t>
            </w:r>
            <w:r w:rsidR="00CC5955" w:rsidRPr="000318C0">
              <w:rPr>
                <w:rFonts w:hint="eastAsia"/>
                <w:sz w:val="21"/>
                <w:szCs w:val="21"/>
              </w:rPr>
              <w:t>1.0</w:t>
            </w:r>
            <w:r w:rsidRPr="000318C0">
              <w:rPr>
                <w:rFonts w:hint="eastAsia"/>
                <w:sz w:val="21"/>
                <w:szCs w:val="21"/>
              </w:rPr>
              <w:t xml:space="preserve"> m</w:t>
            </w:r>
            <w:r w:rsidRPr="000318C0">
              <w:rPr>
                <w:sz w:val="21"/>
                <w:szCs w:val="21"/>
              </w:rPr>
              <w:t>g/m</w:t>
            </w:r>
            <w:r w:rsidRPr="000318C0">
              <w:rPr>
                <w:sz w:val="21"/>
                <w:szCs w:val="21"/>
                <w:vertAlign w:val="superscript"/>
              </w:rPr>
              <w:t>3</w:t>
            </w:r>
            <w:r w:rsidRPr="000318C0">
              <w:rPr>
                <w:rStyle w:val="markedcontent"/>
                <w:rFonts w:ascii="Arial" w:hAnsi="Arial" w:cs="Arial"/>
                <w:sz w:val="21"/>
                <w:szCs w:val="21"/>
              </w:rPr>
              <w:t>（监控点与参考点浓度差值</w:t>
            </w:r>
            <w:r w:rsidR="00771CD8">
              <w:rPr>
                <w:rStyle w:val="markedcontent"/>
                <w:rFonts w:ascii="Arial" w:hAnsi="Arial" w:cs="Arial" w:hint="eastAsia"/>
                <w:sz w:val="21"/>
                <w:szCs w:val="21"/>
              </w:rPr>
              <w:t>）</w:t>
            </w:r>
          </w:p>
        </w:tc>
        <w:tc>
          <w:tcPr>
            <w:tcW w:w="499" w:type="pct"/>
            <w:shd w:val="clear" w:color="auto" w:fill="auto"/>
            <w:vAlign w:val="center"/>
          </w:tcPr>
          <w:p w:rsidR="00CC5955" w:rsidRPr="00021E23" w:rsidRDefault="000318C0" w:rsidP="00A11E34">
            <w:pPr>
              <w:spacing w:line="360" w:lineRule="exact"/>
              <w:jc w:val="center"/>
              <w:rPr>
                <w:sz w:val="21"/>
                <w:szCs w:val="21"/>
              </w:rPr>
            </w:pPr>
            <w:r>
              <w:rPr>
                <w:rFonts w:hint="eastAsia"/>
                <w:sz w:val="21"/>
                <w:szCs w:val="21"/>
              </w:rPr>
              <w:t>0.33</w:t>
            </w:r>
          </w:p>
        </w:tc>
      </w:tr>
      <w:tr w:rsidR="00CC5955" w:rsidRPr="00021E23" w:rsidTr="00A11E34">
        <w:tc>
          <w:tcPr>
            <w:tcW w:w="753" w:type="pct"/>
            <w:gridSpan w:val="2"/>
            <w:vMerge w:val="restar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无组织排放合计</w:t>
            </w:r>
          </w:p>
        </w:tc>
        <w:tc>
          <w:tcPr>
            <w:tcW w:w="3747" w:type="pct"/>
            <w:gridSpan w:val="5"/>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SO</w:t>
            </w:r>
            <w:r w:rsidRPr="00021E23">
              <w:rPr>
                <w:rFonts w:hint="eastAsia"/>
                <w:sz w:val="21"/>
                <w:szCs w:val="21"/>
                <w:vertAlign w:val="subscript"/>
              </w:rPr>
              <w:t>2</w:t>
            </w:r>
          </w:p>
        </w:tc>
        <w:tc>
          <w:tcPr>
            <w:tcW w:w="499"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0</w:t>
            </w:r>
          </w:p>
        </w:tc>
      </w:tr>
      <w:tr w:rsidR="00CC5955" w:rsidRPr="00021E23" w:rsidTr="00A11E34">
        <w:tc>
          <w:tcPr>
            <w:tcW w:w="753" w:type="pct"/>
            <w:gridSpan w:val="2"/>
            <w:vMerge/>
            <w:shd w:val="clear" w:color="auto" w:fill="auto"/>
            <w:vAlign w:val="center"/>
          </w:tcPr>
          <w:p w:rsidR="00CC5955" w:rsidRPr="00021E23" w:rsidRDefault="00CC5955" w:rsidP="00A11E34">
            <w:pPr>
              <w:spacing w:line="360" w:lineRule="exact"/>
              <w:jc w:val="center"/>
              <w:rPr>
                <w:sz w:val="21"/>
                <w:szCs w:val="21"/>
              </w:rPr>
            </w:pPr>
          </w:p>
        </w:tc>
        <w:tc>
          <w:tcPr>
            <w:tcW w:w="3747" w:type="pct"/>
            <w:gridSpan w:val="5"/>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NOx</w:t>
            </w:r>
          </w:p>
        </w:tc>
        <w:tc>
          <w:tcPr>
            <w:tcW w:w="499"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0</w:t>
            </w:r>
          </w:p>
        </w:tc>
      </w:tr>
      <w:tr w:rsidR="00CC5955" w:rsidRPr="00021E23" w:rsidTr="00A11E34">
        <w:tc>
          <w:tcPr>
            <w:tcW w:w="753" w:type="pct"/>
            <w:gridSpan w:val="2"/>
            <w:vMerge/>
            <w:shd w:val="clear" w:color="auto" w:fill="auto"/>
            <w:vAlign w:val="center"/>
          </w:tcPr>
          <w:p w:rsidR="00CC5955" w:rsidRPr="00021E23" w:rsidRDefault="00CC5955" w:rsidP="00A11E34">
            <w:pPr>
              <w:spacing w:line="360" w:lineRule="exact"/>
              <w:jc w:val="center"/>
              <w:rPr>
                <w:sz w:val="21"/>
                <w:szCs w:val="21"/>
              </w:rPr>
            </w:pPr>
          </w:p>
        </w:tc>
        <w:tc>
          <w:tcPr>
            <w:tcW w:w="3747" w:type="pct"/>
            <w:gridSpan w:val="5"/>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颗粒物</w:t>
            </w:r>
          </w:p>
        </w:tc>
        <w:tc>
          <w:tcPr>
            <w:tcW w:w="499" w:type="pct"/>
            <w:shd w:val="clear" w:color="auto" w:fill="auto"/>
            <w:vAlign w:val="center"/>
          </w:tcPr>
          <w:p w:rsidR="00CC5955" w:rsidRPr="00021E23" w:rsidRDefault="000318C0" w:rsidP="000318C0">
            <w:pPr>
              <w:spacing w:line="360" w:lineRule="exact"/>
              <w:jc w:val="center"/>
              <w:rPr>
                <w:sz w:val="21"/>
                <w:szCs w:val="21"/>
              </w:rPr>
            </w:pPr>
            <w:r>
              <w:rPr>
                <w:rFonts w:hint="eastAsia"/>
                <w:sz w:val="21"/>
                <w:szCs w:val="21"/>
              </w:rPr>
              <w:t>0</w:t>
            </w:r>
            <w:r w:rsidR="00CC5955" w:rsidRPr="00021E23">
              <w:rPr>
                <w:rFonts w:hint="eastAsia"/>
                <w:sz w:val="21"/>
                <w:szCs w:val="21"/>
              </w:rPr>
              <w:t>.</w:t>
            </w:r>
            <w:r w:rsidR="00CC5955" w:rsidRPr="00021E23">
              <w:rPr>
                <w:sz w:val="21"/>
                <w:szCs w:val="21"/>
              </w:rPr>
              <w:t>6</w:t>
            </w:r>
            <w:r>
              <w:rPr>
                <w:rFonts w:hint="eastAsia"/>
                <w:sz w:val="21"/>
                <w:szCs w:val="21"/>
              </w:rPr>
              <w:t>3</w:t>
            </w:r>
          </w:p>
        </w:tc>
      </w:tr>
      <w:tr w:rsidR="00CC5955" w:rsidRPr="00021E23" w:rsidTr="00A11E34">
        <w:tc>
          <w:tcPr>
            <w:tcW w:w="753" w:type="pct"/>
            <w:gridSpan w:val="2"/>
            <w:vMerge/>
            <w:shd w:val="clear" w:color="auto" w:fill="auto"/>
            <w:vAlign w:val="center"/>
          </w:tcPr>
          <w:p w:rsidR="00CC5955" w:rsidRPr="00021E23" w:rsidRDefault="00CC5955" w:rsidP="00A11E34">
            <w:pPr>
              <w:spacing w:line="360" w:lineRule="exact"/>
              <w:jc w:val="center"/>
              <w:rPr>
                <w:sz w:val="21"/>
                <w:szCs w:val="21"/>
              </w:rPr>
            </w:pPr>
          </w:p>
        </w:tc>
        <w:tc>
          <w:tcPr>
            <w:tcW w:w="3747" w:type="pct"/>
            <w:gridSpan w:val="5"/>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VOCs</w:t>
            </w:r>
          </w:p>
        </w:tc>
        <w:tc>
          <w:tcPr>
            <w:tcW w:w="499"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0</w:t>
            </w:r>
          </w:p>
        </w:tc>
      </w:tr>
    </w:tbl>
    <w:p w:rsidR="00CC5955" w:rsidRPr="00AE7BF8" w:rsidRDefault="00CC5955" w:rsidP="00AE7BF8">
      <w:pPr>
        <w:spacing w:line="500" w:lineRule="exact"/>
        <w:jc w:val="center"/>
        <w:rPr>
          <w:kern w:val="0"/>
          <w:sz w:val="24"/>
        </w:rPr>
      </w:pPr>
      <w:r w:rsidRPr="00AE7BF8">
        <w:rPr>
          <w:rFonts w:hint="eastAsia"/>
          <w:kern w:val="0"/>
          <w:sz w:val="24"/>
        </w:rPr>
        <w:t>表</w:t>
      </w:r>
      <w:r w:rsidR="00114B89">
        <w:rPr>
          <w:rFonts w:hint="eastAsia"/>
          <w:kern w:val="0"/>
          <w:sz w:val="24"/>
        </w:rPr>
        <w:t>6</w:t>
      </w:r>
      <w:r w:rsidRPr="00AE7BF8">
        <w:rPr>
          <w:rFonts w:hint="eastAsia"/>
          <w:kern w:val="0"/>
          <w:sz w:val="24"/>
        </w:rPr>
        <w:t>.</w:t>
      </w:r>
      <w:r w:rsidR="00114B89">
        <w:rPr>
          <w:rFonts w:hint="eastAsia"/>
          <w:kern w:val="0"/>
          <w:sz w:val="24"/>
        </w:rPr>
        <w:t>1</w:t>
      </w:r>
      <w:r w:rsidRPr="00AE7BF8">
        <w:rPr>
          <w:rFonts w:hint="eastAsia"/>
          <w:kern w:val="0"/>
          <w:sz w:val="24"/>
        </w:rPr>
        <w:t>-</w:t>
      </w:r>
      <w:r w:rsidR="00114B89">
        <w:rPr>
          <w:rFonts w:hint="eastAsia"/>
          <w:kern w:val="0"/>
          <w:sz w:val="24"/>
        </w:rPr>
        <w:t>3</w:t>
      </w:r>
      <w:r w:rsidRPr="00AE7BF8">
        <w:rPr>
          <w:rFonts w:hint="eastAsia"/>
          <w:kern w:val="0"/>
          <w:sz w:val="24"/>
        </w:rPr>
        <w:t xml:space="preserve">  </w:t>
      </w:r>
      <w:r w:rsidRPr="00AE7BF8">
        <w:rPr>
          <w:rFonts w:hint="eastAsia"/>
          <w:kern w:val="0"/>
          <w:sz w:val="24"/>
        </w:rPr>
        <w:t>大气污染物年排放量核算表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241"/>
        <w:gridCol w:w="2983"/>
        <w:gridCol w:w="3722"/>
      </w:tblGrid>
      <w:tr w:rsidR="00CC5955" w:rsidRPr="00021E23" w:rsidTr="00A11E34">
        <w:tc>
          <w:tcPr>
            <w:tcW w:w="1253" w:type="pc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序号</w:t>
            </w:r>
          </w:p>
        </w:tc>
        <w:tc>
          <w:tcPr>
            <w:tcW w:w="1667" w:type="pc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污染物</w:t>
            </w:r>
          </w:p>
        </w:tc>
        <w:tc>
          <w:tcPr>
            <w:tcW w:w="2080" w:type="pct"/>
            <w:shd w:val="clear" w:color="auto" w:fill="auto"/>
            <w:vAlign w:val="center"/>
          </w:tcPr>
          <w:p w:rsidR="00CC5955" w:rsidRPr="00021E23" w:rsidRDefault="00CC5955" w:rsidP="00A11E34">
            <w:pPr>
              <w:spacing w:line="360" w:lineRule="exact"/>
              <w:jc w:val="center"/>
              <w:rPr>
                <w:b/>
                <w:sz w:val="21"/>
                <w:szCs w:val="21"/>
              </w:rPr>
            </w:pPr>
            <w:r w:rsidRPr="00021E23">
              <w:rPr>
                <w:rFonts w:hint="eastAsia"/>
                <w:b/>
                <w:sz w:val="21"/>
                <w:szCs w:val="21"/>
              </w:rPr>
              <w:t>年排放量（</w:t>
            </w:r>
            <w:r w:rsidRPr="00021E23">
              <w:rPr>
                <w:rFonts w:hint="eastAsia"/>
                <w:b/>
                <w:sz w:val="21"/>
                <w:szCs w:val="21"/>
              </w:rPr>
              <w:t>t/a</w:t>
            </w:r>
            <w:r w:rsidRPr="00021E23">
              <w:rPr>
                <w:rFonts w:hint="eastAsia"/>
                <w:b/>
                <w:sz w:val="21"/>
                <w:szCs w:val="21"/>
              </w:rPr>
              <w:t>）</w:t>
            </w:r>
          </w:p>
        </w:tc>
      </w:tr>
      <w:tr w:rsidR="00CC5955" w:rsidRPr="00021E23" w:rsidTr="00A11E34">
        <w:tc>
          <w:tcPr>
            <w:tcW w:w="1253"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1</w:t>
            </w:r>
          </w:p>
        </w:tc>
        <w:tc>
          <w:tcPr>
            <w:tcW w:w="1667"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SO</w:t>
            </w:r>
            <w:r w:rsidRPr="00021E23">
              <w:rPr>
                <w:rFonts w:hint="eastAsia"/>
                <w:sz w:val="21"/>
                <w:szCs w:val="21"/>
                <w:vertAlign w:val="subscript"/>
              </w:rPr>
              <w:t>2</w:t>
            </w:r>
          </w:p>
        </w:tc>
        <w:tc>
          <w:tcPr>
            <w:tcW w:w="2080"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0</w:t>
            </w:r>
          </w:p>
        </w:tc>
      </w:tr>
      <w:tr w:rsidR="00CC5955" w:rsidRPr="00021E23" w:rsidTr="00A11E34">
        <w:tc>
          <w:tcPr>
            <w:tcW w:w="1253"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2</w:t>
            </w:r>
          </w:p>
        </w:tc>
        <w:tc>
          <w:tcPr>
            <w:tcW w:w="1667"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NOx</w:t>
            </w:r>
          </w:p>
        </w:tc>
        <w:tc>
          <w:tcPr>
            <w:tcW w:w="2080"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0</w:t>
            </w:r>
          </w:p>
        </w:tc>
      </w:tr>
      <w:tr w:rsidR="00CC5955" w:rsidRPr="00021E23" w:rsidTr="00A11E34">
        <w:tc>
          <w:tcPr>
            <w:tcW w:w="1253"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3</w:t>
            </w:r>
          </w:p>
        </w:tc>
        <w:tc>
          <w:tcPr>
            <w:tcW w:w="1667"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颗粒物</w:t>
            </w:r>
          </w:p>
        </w:tc>
        <w:tc>
          <w:tcPr>
            <w:tcW w:w="2080" w:type="pct"/>
            <w:shd w:val="clear" w:color="auto" w:fill="auto"/>
            <w:vAlign w:val="center"/>
          </w:tcPr>
          <w:p w:rsidR="00CC5955" w:rsidRPr="00021E23" w:rsidRDefault="00771CD8" w:rsidP="00771CD8">
            <w:pPr>
              <w:spacing w:line="360" w:lineRule="exact"/>
              <w:jc w:val="center"/>
              <w:rPr>
                <w:sz w:val="21"/>
                <w:szCs w:val="21"/>
              </w:rPr>
            </w:pPr>
            <w:r>
              <w:rPr>
                <w:rFonts w:hint="eastAsia"/>
                <w:sz w:val="21"/>
                <w:szCs w:val="21"/>
              </w:rPr>
              <w:t>0</w:t>
            </w:r>
            <w:r w:rsidR="00CC5955" w:rsidRPr="00021E23">
              <w:rPr>
                <w:sz w:val="21"/>
                <w:szCs w:val="21"/>
              </w:rPr>
              <w:t>.6</w:t>
            </w:r>
            <w:r>
              <w:rPr>
                <w:rFonts w:hint="eastAsia"/>
                <w:sz w:val="21"/>
                <w:szCs w:val="21"/>
              </w:rPr>
              <w:t>327</w:t>
            </w:r>
          </w:p>
        </w:tc>
      </w:tr>
      <w:tr w:rsidR="00CC5955" w:rsidRPr="00021E23" w:rsidTr="00A11E34">
        <w:tc>
          <w:tcPr>
            <w:tcW w:w="1253"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4</w:t>
            </w:r>
          </w:p>
        </w:tc>
        <w:tc>
          <w:tcPr>
            <w:tcW w:w="1667"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VOCs</w:t>
            </w:r>
          </w:p>
        </w:tc>
        <w:tc>
          <w:tcPr>
            <w:tcW w:w="2080" w:type="pct"/>
            <w:shd w:val="clear" w:color="auto" w:fill="auto"/>
            <w:vAlign w:val="center"/>
          </w:tcPr>
          <w:p w:rsidR="00CC5955" w:rsidRPr="00021E23" w:rsidRDefault="00CC5955" w:rsidP="00A11E34">
            <w:pPr>
              <w:spacing w:line="360" w:lineRule="exact"/>
              <w:jc w:val="center"/>
              <w:rPr>
                <w:sz w:val="21"/>
                <w:szCs w:val="21"/>
              </w:rPr>
            </w:pPr>
            <w:r w:rsidRPr="00021E23">
              <w:rPr>
                <w:rFonts w:hint="eastAsia"/>
                <w:sz w:val="21"/>
                <w:szCs w:val="21"/>
              </w:rPr>
              <w:t>0</w:t>
            </w:r>
          </w:p>
        </w:tc>
      </w:tr>
    </w:tbl>
    <w:p w:rsidR="000C0CB1" w:rsidRPr="000C0CB1" w:rsidRDefault="008659CD" w:rsidP="000C0CB1">
      <w:pPr>
        <w:pStyle w:val="08516"/>
        <w:ind w:firstLine="488"/>
        <w:rPr>
          <w:rFonts w:cs="Times New Roman"/>
          <w:kern w:val="0"/>
          <w:szCs w:val="21"/>
        </w:rPr>
      </w:pPr>
      <w:r>
        <w:rPr>
          <w:rFonts w:cs="Times New Roman" w:hint="eastAsia"/>
          <w:kern w:val="0"/>
          <w:szCs w:val="21"/>
        </w:rPr>
        <w:lastRenderedPageBreak/>
        <w:t>三</w:t>
      </w:r>
      <w:r w:rsidR="000C0CB1" w:rsidRPr="000C0CB1">
        <w:rPr>
          <w:rFonts w:cs="Times New Roman" w:hint="eastAsia"/>
          <w:kern w:val="0"/>
          <w:szCs w:val="21"/>
        </w:rPr>
        <w:t>、</w:t>
      </w:r>
      <w:r w:rsidR="00114B89">
        <w:rPr>
          <w:rFonts w:cs="Times New Roman" w:hint="eastAsia"/>
          <w:kern w:val="0"/>
          <w:szCs w:val="21"/>
        </w:rPr>
        <w:t>储煤库</w:t>
      </w:r>
      <w:r w:rsidR="000C0CB1" w:rsidRPr="000C0CB1">
        <w:rPr>
          <w:rFonts w:cs="Times New Roman"/>
          <w:kern w:val="0"/>
          <w:szCs w:val="21"/>
        </w:rPr>
        <w:t>环境空气预测分析与评价</w:t>
      </w:r>
    </w:p>
    <w:p w:rsidR="00D81CD3" w:rsidRPr="004863C5" w:rsidRDefault="000C0CB1" w:rsidP="00FA2952">
      <w:pPr>
        <w:pStyle w:val="08516"/>
        <w:ind w:firstLine="488"/>
        <w:rPr>
          <w:rFonts w:cs="Times New Roman"/>
          <w:szCs w:val="22"/>
        </w:rPr>
      </w:pPr>
      <w:r w:rsidRPr="000C0CB1">
        <w:rPr>
          <w:rFonts w:cs="Times New Roman"/>
          <w:kern w:val="0"/>
          <w:szCs w:val="21"/>
        </w:rPr>
        <w:t>根据上述分析，本项目</w:t>
      </w:r>
      <w:r w:rsidRPr="000C0CB1">
        <w:rPr>
          <w:rFonts w:cs="Times New Roman" w:hint="eastAsia"/>
          <w:kern w:val="0"/>
          <w:szCs w:val="21"/>
        </w:rPr>
        <w:t>废气污染物主要为</w:t>
      </w:r>
      <w:r w:rsidRPr="000C0CB1">
        <w:rPr>
          <w:rFonts w:cs="Times New Roman"/>
          <w:kern w:val="0"/>
          <w:szCs w:val="21"/>
        </w:rPr>
        <w:t>储煤库粉尘</w:t>
      </w:r>
      <w:r w:rsidRPr="000C0CB1">
        <w:rPr>
          <w:rFonts w:cs="Times New Roman" w:hint="eastAsia"/>
          <w:kern w:val="0"/>
          <w:szCs w:val="21"/>
        </w:rPr>
        <w:t>颗粒物</w:t>
      </w:r>
      <w:r w:rsidRPr="000C0CB1">
        <w:rPr>
          <w:rFonts w:cs="Times New Roman"/>
          <w:kern w:val="0"/>
          <w:szCs w:val="21"/>
        </w:rPr>
        <w:t>，评价选取储煤库</w:t>
      </w:r>
      <w:r w:rsidRPr="000C0CB1">
        <w:rPr>
          <w:rFonts w:cs="Times New Roman"/>
          <w:kern w:val="0"/>
          <w:szCs w:val="21"/>
        </w:rPr>
        <w:t>TSP</w:t>
      </w:r>
      <w:r w:rsidRPr="000C0CB1">
        <w:rPr>
          <w:rFonts w:cs="Times New Roman"/>
          <w:kern w:val="0"/>
          <w:szCs w:val="21"/>
        </w:rPr>
        <w:t>污染因子的作为预测因子。储煤库为矩形面源，</w:t>
      </w:r>
      <w:bookmarkEnd w:id="507"/>
      <w:r w:rsidR="00FA2952">
        <w:rPr>
          <w:rFonts w:cs="Times New Roman" w:hint="eastAsia"/>
          <w:szCs w:val="22"/>
        </w:rPr>
        <w:t>其</w:t>
      </w:r>
      <w:r w:rsidR="00D81CD3" w:rsidRPr="004863C5">
        <w:rPr>
          <w:rFonts w:cs="Times New Roman"/>
          <w:szCs w:val="22"/>
        </w:rPr>
        <w:t>无组织排放参数情况见表</w:t>
      </w:r>
      <w:r w:rsidR="00D81CD3" w:rsidRPr="004863C5">
        <w:rPr>
          <w:rFonts w:cs="Times New Roman"/>
          <w:szCs w:val="22"/>
        </w:rPr>
        <w:t>6.1-</w:t>
      </w:r>
      <w:r w:rsidR="00114B89">
        <w:rPr>
          <w:rFonts w:cs="Times New Roman" w:hint="eastAsia"/>
          <w:szCs w:val="22"/>
        </w:rPr>
        <w:t>4</w:t>
      </w:r>
      <w:r w:rsidR="00D81CD3" w:rsidRPr="004863C5">
        <w:rPr>
          <w:rFonts w:cs="Times New Roman"/>
          <w:szCs w:val="22"/>
        </w:rPr>
        <w:t>。</w:t>
      </w:r>
    </w:p>
    <w:p w:rsidR="00D81CD3" w:rsidRPr="004863C5" w:rsidRDefault="00D81CD3" w:rsidP="00D81CD3">
      <w:pPr>
        <w:spacing w:line="520" w:lineRule="exact"/>
        <w:jc w:val="center"/>
        <w:rPr>
          <w:b/>
          <w:sz w:val="24"/>
        </w:rPr>
      </w:pPr>
      <w:r w:rsidRPr="004863C5">
        <w:rPr>
          <w:b/>
          <w:sz w:val="24"/>
        </w:rPr>
        <w:t>表</w:t>
      </w:r>
      <w:r w:rsidRPr="004863C5">
        <w:rPr>
          <w:b/>
          <w:sz w:val="24"/>
        </w:rPr>
        <w:t>6.1-</w:t>
      </w:r>
      <w:r w:rsidR="00114B89">
        <w:rPr>
          <w:rFonts w:hint="eastAsia"/>
          <w:b/>
          <w:sz w:val="24"/>
        </w:rPr>
        <w:t>4</w:t>
      </w:r>
      <w:r w:rsidRPr="004863C5">
        <w:rPr>
          <w:b/>
          <w:sz w:val="24"/>
        </w:rPr>
        <w:t xml:space="preserve"> </w:t>
      </w:r>
      <w:r w:rsidR="00802A62">
        <w:rPr>
          <w:b/>
          <w:sz w:val="24"/>
        </w:rPr>
        <w:t>储煤库</w:t>
      </w:r>
      <w:r w:rsidRPr="004863C5">
        <w:rPr>
          <w:b/>
          <w:sz w:val="24"/>
        </w:rPr>
        <w:t>无组织大气污染源面源的排放情况一览表</w:t>
      </w:r>
    </w:p>
    <w:tbl>
      <w:tblPr>
        <w:tblW w:w="89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609"/>
        <w:gridCol w:w="1099"/>
        <w:gridCol w:w="1099"/>
        <w:gridCol w:w="851"/>
        <w:gridCol w:w="852"/>
        <w:gridCol w:w="857"/>
        <w:gridCol w:w="1064"/>
        <w:gridCol w:w="729"/>
        <w:gridCol w:w="734"/>
        <w:gridCol w:w="1066"/>
      </w:tblGrid>
      <w:tr w:rsidR="00D81CD3" w:rsidRPr="004863C5" w:rsidTr="009614A0">
        <w:trPr>
          <w:trHeight w:val="654"/>
          <w:jc w:val="center"/>
        </w:trPr>
        <w:tc>
          <w:tcPr>
            <w:tcW w:w="609" w:type="dxa"/>
            <w:vMerge w:val="restart"/>
            <w:vAlign w:val="center"/>
          </w:tcPr>
          <w:p w:rsidR="00D81CD3" w:rsidRPr="004863C5" w:rsidRDefault="00D81CD3" w:rsidP="00705836">
            <w:pPr>
              <w:spacing w:line="320" w:lineRule="exact"/>
              <w:jc w:val="center"/>
              <w:rPr>
                <w:b/>
                <w:sz w:val="21"/>
                <w:szCs w:val="21"/>
              </w:rPr>
            </w:pPr>
            <w:r w:rsidRPr="004863C5">
              <w:rPr>
                <w:b/>
                <w:sz w:val="21"/>
                <w:szCs w:val="21"/>
              </w:rPr>
              <w:t>污染源</w:t>
            </w:r>
          </w:p>
        </w:tc>
        <w:tc>
          <w:tcPr>
            <w:tcW w:w="2198" w:type="dxa"/>
            <w:gridSpan w:val="2"/>
            <w:vMerge w:val="restart"/>
            <w:vAlign w:val="center"/>
          </w:tcPr>
          <w:p w:rsidR="00D81CD3" w:rsidRPr="004863C5" w:rsidRDefault="00D81CD3" w:rsidP="00705836">
            <w:pPr>
              <w:spacing w:line="320" w:lineRule="exact"/>
              <w:jc w:val="center"/>
              <w:rPr>
                <w:b/>
                <w:sz w:val="21"/>
                <w:szCs w:val="21"/>
              </w:rPr>
            </w:pPr>
            <w:r w:rsidRPr="004863C5">
              <w:rPr>
                <w:b/>
                <w:sz w:val="21"/>
                <w:szCs w:val="21"/>
              </w:rPr>
              <w:t>起始点坐标</w:t>
            </w:r>
          </w:p>
        </w:tc>
        <w:tc>
          <w:tcPr>
            <w:tcW w:w="851" w:type="dxa"/>
            <w:vMerge w:val="restart"/>
            <w:vAlign w:val="center"/>
          </w:tcPr>
          <w:p w:rsidR="00D81CD3" w:rsidRPr="004863C5" w:rsidRDefault="00D81CD3" w:rsidP="00705836">
            <w:pPr>
              <w:spacing w:line="320" w:lineRule="exact"/>
              <w:jc w:val="center"/>
              <w:rPr>
                <w:b/>
                <w:sz w:val="21"/>
                <w:szCs w:val="21"/>
              </w:rPr>
            </w:pPr>
            <w:r w:rsidRPr="004863C5">
              <w:rPr>
                <w:b/>
                <w:sz w:val="21"/>
                <w:szCs w:val="21"/>
              </w:rPr>
              <w:t>面源</w:t>
            </w:r>
          </w:p>
          <w:p w:rsidR="00D81CD3" w:rsidRPr="004863C5" w:rsidRDefault="00D81CD3" w:rsidP="00705836">
            <w:pPr>
              <w:spacing w:line="320" w:lineRule="exact"/>
              <w:jc w:val="center"/>
              <w:rPr>
                <w:b/>
                <w:sz w:val="21"/>
                <w:szCs w:val="21"/>
              </w:rPr>
            </w:pPr>
            <w:r w:rsidRPr="004863C5">
              <w:rPr>
                <w:b/>
                <w:sz w:val="21"/>
                <w:szCs w:val="21"/>
              </w:rPr>
              <w:t>长度</w:t>
            </w:r>
          </w:p>
        </w:tc>
        <w:tc>
          <w:tcPr>
            <w:tcW w:w="852" w:type="dxa"/>
            <w:vMerge w:val="restart"/>
            <w:vAlign w:val="center"/>
          </w:tcPr>
          <w:p w:rsidR="00D81CD3" w:rsidRPr="004863C5" w:rsidRDefault="00D81CD3" w:rsidP="00705836">
            <w:pPr>
              <w:spacing w:line="320" w:lineRule="exact"/>
              <w:jc w:val="center"/>
              <w:rPr>
                <w:b/>
                <w:sz w:val="21"/>
                <w:szCs w:val="21"/>
              </w:rPr>
            </w:pPr>
            <w:r w:rsidRPr="004863C5">
              <w:rPr>
                <w:b/>
                <w:sz w:val="21"/>
                <w:szCs w:val="21"/>
              </w:rPr>
              <w:t>面源</w:t>
            </w:r>
          </w:p>
          <w:p w:rsidR="00D81CD3" w:rsidRPr="004863C5" w:rsidRDefault="00D81CD3" w:rsidP="00705836">
            <w:pPr>
              <w:spacing w:line="320" w:lineRule="exact"/>
              <w:jc w:val="center"/>
              <w:rPr>
                <w:b/>
                <w:sz w:val="21"/>
                <w:szCs w:val="21"/>
              </w:rPr>
            </w:pPr>
            <w:r w:rsidRPr="004863C5">
              <w:rPr>
                <w:b/>
                <w:sz w:val="21"/>
                <w:szCs w:val="21"/>
              </w:rPr>
              <w:t>宽度</w:t>
            </w:r>
          </w:p>
        </w:tc>
        <w:tc>
          <w:tcPr>
            <w:tcW w:w="857" w:type="dxa"/>
            <w:vMerge w:val="restart"/>
            <w:vAlign w:val="center"/>
          </w:tcPr>
          <w:p w:rsidR="00D81CD3" w:rsidRPr="004863C5" w:rsidRDefault="00D81CD3" w:rsidP="00705836">
            <w:pPr>
              <w:spacing w:line="320" w:lineRule="exact"/>
              <w:jc w:val="center"/>
              <w:rPr>
                <w:b/>
                <w:sz w:val="21"/>
                <w:szCs w:val="21"/>
              </w:rPr>
            </w:pPr>
            <w:r w:rsidRPr="004863C5">
              <w:rPr>
                <w:b/>
                <w:sz w:val="21"/>
                <w:szCs w:val="21"/>
              </w:rPr>
              <w:t>与正北</w:t>
            </w:r>
          </w:p>
          <w:p w:rsidR="00D81CD3" w:rsidRPr="004863C5" w:rsidRDefault="00D81CD3" w:rsidP="00705836">
            <w:pPr>
              <w:spacing w:line="320" w:lineRule="exact"/>
              <w:jc w:val="center"/>
              <w:rPr>
                <w:b/>
                <w:sz w:val="21"/>
                <w:szCs w:val="21"/>
              </w:rPr>
            </w:pPr>
            <w:r w:rsidRPr="004863C5">
              <w:rPr>
                <w:b/>
                <w:sz w:val="21"/>
                <w:szCs w:val="21"/>
              </w:rPr>
              <w:t>方向夹角</w:t>
            </w:r>
          </w:p>
        </w:tc>
        <w:tc>
          <w:tcPr>
            <w:tcW w:w="1064" w:type="dxa"/>
            <w:vMerge w:val="restart"/>
            <w:vAlign w:val="center"/>
          </w:tcPr>
          <w:p w:rsidR="00D81CD3" w:rsidRPr="004863C5" w:rsidRDefault="00D81CD3" w:rsidP="00705836">
            <w:pPr>
              <w:spacing w:line="320" w:lineRule="exact"/>
              <w:jc w:val="center"/>
              <w:rPr>
                <w:b/>
                <w:sz w:val="21"/>
                <w:szCs w:val="21"/>
              </w:rPr>
            </w:pPr>
            <w:r w:rsidRPr="004863C5">
              <w:rPr>
                <w:b/>
                <w:sz w:val="21"/>
                <w:szCs w:val="21"/>
              </w:rPr>
              <w:t>面源有效排放高度</w:t>
            </w:r>
          </w:p>
        </w:tc>
        <w:tc>
          <w:tcPr>
            <w:tcW w:w="729" w:type="dxa"/>
            <w:vMerge w:val="restart"/>
            <w:vAlign w:val="center"/>
          </w:tcPr>
          <w:p w:rsidR="00D81CD3" w:rsidRPr="004863C5" w:rsidRDefault="00D81CD3" w:rsidP="00705836">
            <w:pPr>
              <w:spacing w:line="320" w:lineRule="exact"/>
              <w:jc w:val="center"/>
              <w:rPr>
                <w:b/>
                <w:sz w:val="21"/>
                <w:szCs w:val="21"/>
              </w:rPr>
            </w:pPr>
            <w:r w:rsidRPr="004863C5">
              <w:rPr>
                <w:b/>
                <w:sz w:val="21"/>
                <w:szCs w:val="21"/>
              </w:rPr>
              <w:t>年排放</w:t>
            </w:r>
          </w:p>
          <w:p w:rsidR="00D81CD3" w:rsidRPr="004863C5" w:rsidRDefault="00D81CD3" w:rsidP="00705836">
            <w:pPr>
              <w:spacing w:line="320" w:lineRule="exact"/>
              <w:jc w:val="center"/>
              <w:rPr>
                <w:b/>
                <w:sz w:val="21"/>
                <w:szCs w:val="21"/>
              </w:rPr>
            </w:pPr>
            <w:r w:rsidRPr="004863C5">
              <w:rPr>
                <w:b/>
                <w:sz w:val="21"/>
                <w:szCs w:val="21"/>
              </w:rPr>
              <w:t>小时数</w:t>
            </w:r>
          </w:p>
        </w:tc>
        <w:tc>
          <w:tcPr>
            <w:tcW w:w="734" w:type="dxa"/>
            <w:vMerge w:val="restart"/>
            <w:vAlign w:val="center"/>
          </w:tcPr>
          <w:p w:rsidR="00D81CD3" w:rsidRPr="004863C5" w:rsidRDefault="00D81CD3" w:rsidP="00705836">
            <w:pPr>
              <w:spacing w:line="320" w:lineRule="exact"/>
              <w:jc w:val="center"/>
              <w:rPr>
                <w:b/>
                <w:sz w:val="21"/>
                <w:szCs w:val="21"/>
              </w:rPr>
            </w:pPr>
            <w:r w:rsidRPr="004863C5">
              <w:rPr>
                <w:b/>
                <w:sz w:val="21"/>
                <w:szCs w:val="21"/>
              </w:rPr>
              <w:t>排放工况</w:t>
            </w:r>
          </w:p>
        </w:tc>
        <w:tc>
          <w:tcPr>
            <w:tcW w:w="1066" w:type="dxa"/>
            <w:vAlign w:val="center"/>
          </w:tcPr>
          <w:p w:rsidR="00D81CD3" w:rsidRPr="004863C5" w:rsidRDefault="00D81CD3" w:rsidP="00705836">
            <w:pPr>
              <w:spacing w:line="320" w:lineRule="exact"/>
              <w:jc w:val="center"/>
              <w:rPr>
                <w:b/>
                <w:sz w:val="21"/>
                <w:szCs w:val="21"/>
              </w:rPr>
            </w:pPr>
            <w:r w:rsidRPr="004863C5">
              <w:rPr>
                <w:b/>
                <w:sz w:val="21"/>
                <w:szCs w:val="21"/>
              </w:rPr>
              <w:t>污染物排放速率</w:t>
            </w:r>
          </w:p>
        </w:tc>
      </w:tr>
      <w:tr w:rsidR="00D81CD3" w:rsidRPr="004863C5" w:rsidTr="009614A0">
        <w:trPr>
          <w:trHeight w:val="90"/>
          <w:jc w:val="center"/>
        </w:trPr>
        <w:tc>
          <w:tcPr>
            <w:tcW w:w="609" w:type="dxa"/>
            <w:vMerge/>
            <w:vAlign w:val="center"/>
          </w:tcPr>
          <w:p w:rsidR="00D81CD3" w:rsidRPr="004863C5" w:rsidRDefault="00D81CD3" w:rsidP="00705836">
            <w:pPr>
              <w:spacing w:line="320" w:lineRule="exact"/>
              <w:jc w:val="center"/>
              <w:rPr>
                <w:sz w:val="21"/>
                <w:szCs w:val="21"/>
              </w:rPr>
            </w:pPr>
          </w:p>
        </w:tc>
        <w:tc>
          <w:tcPr>
            <w:tcW w:w="2198" w:type="dxa"/>
            <w:gridSpan w:val="2"/>
            <w:vMerge/>
            <w:vAlign w:val="center"/>
          </w:tcPr>
          <w:p w:rsidR="00D81CD3" w:rsidRPr="004863C5" w:rsidRDefault="00D81CD3" w:rsidP="00705836">
            <w:pPr>
              <w:spacing w:line="320" w:lineRule="exact"/>
              <w:jc w:val="center"/>
              <w:rPr>
                <w:sz w:val="21"/>
                <w:szCs w:val="21"/>
              </w:rPr>
            </w:pPr>
          </w:p>
        </w:tc>
        <w:tc>
          <w:tcPr>
            <w:tcW w:w="851" w:type="dxa"/>
            <w:vMerge/>
            <w:vAlign w:val="center"/>
          </w:tcPr>
          <w:p w:rsidR="00D81CD3" w:rsidRPr="004863C5" w:rsidRDefault="00D81CD3" w:rsidP="00705836">
            <w:pPr>
              <w:spacing w:line="320" w:lineRule="exact"/>
              <w:jc w:val="center"/>
              <w:rPr>
                <w:sz w:val="21"/>
                <w:szCs w:val="21"/>
              </w:rPr>
            </w:pPr>
          </w:p>
        </w:tc>
        <w:tc>
          <w:tcPr>
            <w:tcW w:w="852" w:type="dxa"/>
            <w:vMerge/>
            <w:vAlign w:val="center"/>
          </w:tcPr>
          <w:p w:rsidR="00D81CD3" w:rsidRPr="004863C5" w:rsidRDefault="00D81CD3" w:rsidP="00705836">
            <w:pPr>
              <w:spacing w:line="320" w:lineRule="exact"/>
              <w:jc w:val="center"/>
              <w:rPr>
                <w:sz w:val="21"/>
                <w:szCs w:val="21"/>
              </w:rPr>
            </w:pPr>
          </w:p>
        </w:tc>
        <w:tc>
          <w:tcPr>
            <w:tcW w:w="857" w:type="dxa"/>
            <w:vMerge/>
            <w:vAlign w:val="center"/>
          </w:tcPr>
          <w:p w:rsidR="00D81CD3" w:rsidRPr="004863C5" w:rsidRDefault="00D81CD3" w:rsidP="00705836">
            <w:pPr>
              <w:spacing w:line="320" w:lineRule="exact"/>
              <w:jc w:val="center"/>
              <w:rPr>
                <w:sz w:val="21"/>
                <w:szCs w:val="21"/>
              </w:rPr>
            </w:pPr>
          </w:p>
        </w:tc>
        <w:tc>
          <w:tcPr>
            <w:tcW w:w="1064" w:type="dxa"/>
            <w:vMerge/>
            <w:vAlign w:val="center"/>
          </w:tcPr>
          <w:p w:rsidR="00D81CD3" w:rsidRPr="004863C5" w:rsidRDefault="00D81CD3" w:rsidP="00705836">
            <w:pPr>
              <w:spacing w:line="320" w:lineRule="exact"/>
              <w:jc w:val="center"/>
              <w:rPr>
                <w:sz w:val="21"/>
                <w:szCs w:val="21"/>
              </w:rPr>
            </w:pPr>
          </w:p>
        </w:tc>
        <w:tc>
          <w:tcPr>
            <w:tcW w:w="729" w:type="dxa"/>
            <w:vMerge/>
            <w:vAlign w:val="center"/>
          </w:tcPr>
          <w:p w:rsidR="00D81CD3" w:rsidRPr="004863C5" w:rsidRDefault="00D81CD3" w:rsidP="00705836">
            <w:pPr>
              <w:spacing w:line="320" w:lineRule="exact"/>
              <w:jc w:val="center"/>
              <w:rPr>
                <w:sz w:val="21"/>
                <w:szCs w:val="21"/>
              </w:rPr>
            </w:pPr>
          </w:p>
        </w:tc>
        <w:tc>
          <w:tcPr>
            <w:tcW w:w="734" w:type="dxa"/>
            <w:vMerge/>
            <w:vAlign w:val="center"/>
          </w:tcPr>
          <w:p w:rsidR="00D81CD3" w:rsidRPr="004863C5" w:rsidRDefault="00D81CD3" w:rsidP="00705836">
            <w:pPr>
              <w:spacing w:line="320" w:lineRule="exact"/>
              <w:jc w:val="center"/>
              <w:rPr>
                <w:sz w:val="21"/>
                <w:szCs w:val="21"/>
              </w:rPr>
            </w:pPr>
          </w:p>
        </w:tc>
        <w:tc>
          <w:tcPr>
            <w:tcW w:w="1066" w:type="dxa"/>
            <w:vAlign w:val="center"/>
          </w:tcPr>
          <w:p w:rsidR="00D81CD3" w:rsidRPr="004863C5" w:rsidRDefault="00D81CD3" w:rsidP="00705836">
            <w:pPr>
              <w:spacing w:line="320" w:lineRule="exact"/>
              <w:jc w:val="center"/>
              <w:rPr>
                <w:sz w:val="21"/>
                <w:szCs w:val="21"/>
                <w:vertAlign w:val="subscript"/>
              </w:rPr>
            </w:pPr>
            <w:r w:rsidRPr="004863C5">
              <w:rPr>
                <w:sz w:val="21"/>
                <w:szCs w:val="21"/>
              </w:rPr>
              <w:t>TSP</w:t>
            </w:r>
          </w:p>
        </w:tc>
      </w:tr>
      <w:tr w:rsidR="00D81CD3" w:rsidRPr="004863C5" w:rsidTr="009614A0">
        <w:trPr>
          <w:trHeight w:val="579"/>
          <w:jc w:val="center"/>
        </w:trPr>
        <w:tc>
          <w:tcPr>
            <w:tcW w:w="609" w:type="dxa"/>
            <w:vMerge/>
            <w:vAlign w:val="center"/>
          </w:tcPr>
          <w:p w:rsidR="00D81CD3" w:rsidRPr="004863C5" w:rsidRDefault="00D81CD3" w:rsidP="00705836">
            <w:pPr>
              <w:spacing w:line="320" w:lineRule="exact"/>
              <w:jc w:val="center"/>
              <w:rPr>
                <w:sz w:val="21"/>
                <w:szCs w:val="21"/>
              </w:rPr>
            </w:pPr>
          </w:p>
        </w:tc>
        <w:tc>
          <w:tcPr>
            <w:tcW w:w="1099" w:type="dxa"/>
            <w:vAlign w:val="center"/>
          </w:tcPr>
          <w:p w:rsidR="00D81CD3" w:rsidRPr="004863C5" w:rsidRDefault="00D81CD3" w:rsidP="00705836">
            <w:pPr>
              <w:spacing w:line="320" w:lineRule="exact"/>
              <w:jc w:val="center"/>
              <w:rPr>
                <w:sz w:val="21"/>
                <w:szCs w:val="21"/>
              </w:rPr>
            </w:pPr>
            <w:r w:rsidRPr="004863C5">
              <w:rPr>
                <w:sz w:val="21"/>
                <w:szCs w:val="21"/>
              </w:rPr>
              <w:t>X</w:t>
            </w:r>
          </w:p>
        </w:tc>
        <w:tc>
          <w:tcPr>
            <w:tcW w:w="1099" w:type="dxa"/>
            <w:vAlign w:val="center"/>
          </w:tcPr>
          <w:p w:rsidR="00D81CD3" w:rsidRPr="004863C5" w:rsidRDefault="00D81CD3" w:rsidP="00705836">
            <w:pPr>
              <w:spacing w:line="320" w:lineRule="exact"/>
              <w:jc w:val="center"/>
              <w:rPr>
                <w:sz w:val="21"/>
                <w:szCs w:val="21"/>
              </w:rPr>
            </w:pPr>
            <w:r w:rsidRPr="004863C5">
              <w:rPr>
                <w:sz w:val="21"/>
                <w:szCs w:val="21"/>
              </w:rPr>
              <w:t>Y</w:t>
            </w:r>
          </w:p>
        </w:tc>
        <w:tc>
          <w:tcPr>
            <w:tcW w:w="851" w:type="dxa"/>
            <w:vAlign w:val="center"/>
          </w:tcPr>
          <w:p w:rsidR="00D81CD3" w:rsidRPr="004863C5" w:rsidRDefault="00D81CD3" w:rsidP="00705836">
            <w:pPr>
              <w:spacing w:line="320" w:lineRule="exact"/>
              <w:jc w:val="center"/>
              <w:rPr>
                <w:sz w:val="21"/>
                <w:szCs w:val="21"/>
              </w:rPr>
            </w:pPr>
            <w:r w:rsidRPr="004863C5">
              <w:rPr>
                <w:sz w:val="21"/>
                <w:szCs w:val="21"/>
              </w:rPr>
              <w:t>m</w:t>
            </w:r>
          </w:p>
        </w:tc>
        <w:tc>
          <w:tcPr>
            <w:tcW w:w="852" w:type="dxa"/>
            <w:vAlign w:val="center"/>
          </w:tcPr>
          <w:p w:rsidR="00D81CD3" w:rsidRPr="004863C5" w:rsidRDefault="00D81CD3" w:rsidP="00705836">
            <w:pPr>
              <w:spacing w:line="320" w:lineRule="exact"/>
              <w:jc w:val="center"/>
              <w:rPr>
                <w:sz w:val="21"/>
                <w:szCs w:val="21"/>
              </w:rPr>
            </w:pPr>
            <w:r w:rsidRPr="004863C5">
              <w:rPr>
                <w:sz w:val="21"/>
                <w:szCs w:val="21"/>
              </w:rPr>
              <w:t>m</w:t>
            </w:r>
          </w:p>
        </w:tc>
        <w:tc>
          <w:tcPr>
            <w:tcW w:w="857" w:type="dxa"/>
            <w:vAlign w:val="center"/>
          </w:tcPr>
          <w:p w:rsidR="00D81CD3" w:rsidRPr="004863C5" w:rsidRDefault="00D81CD3" w:rsidP="00705836">
            <w:pPr>
              <w:spacing w:line="320" w:lineRule="exact"/>
              <w:jc w:val="center"/>
              <w:rPr>
                <w:sz w:val="21"/>
                <w:szCs w:val="21"/>
              </w:rPr>
            </w:pPr>
            <w:r w:rsidRPr="004863C5">
              <w:rPr>
                <w:sz w:val="21"/>
                <w:szCs w:val="21"/>
              </w:rPr>
              <w:t>度</w:t>
            </w:r>
          </w:p>
        </w:tc>
        <w:tc>
          <w:tcPr>
            <w:tcW w:w="1064" w:type="dxa"/>
            <w:vAlign w:val="center"/>
          </w:tcPr>
          <w:p w:rsidR="00D81CD3" w:rsidRPr="004863C5" w:rsidRDefault="00D81CD3" w:rsidP="00705836">
            <w:pPr>
              <w:spacing w:line="320" w:lineRule="exact"/>
              <w:jc w:val="center"/>
              <w:rPr>
                <w:sz w:val="21"/>
                <w:szCs w:val="21"/>
              </w:rPr>
            </w:pPr>
            <w:r w:rsidRPr="004863C5">
              <w:rPr>
                <w:sz w:val="21"/>
                <w:szCs w:val="21"/>
              </w:rPr>
              <w:t>m</w:t>
            </w:r>
          </w:p>
        </w:tc>
        <w:tc>
          <w:tcPr>
            <w:tcW w:w="729" w:type="dxa"/>
            <w:vAlign w:val="center"/>
          </w:tcPr>
          <w:p w:rsidR="00D81CD3" w:rsidRPr="004863C5" w:rsidRDefault="00D81CD3" w:rsidP="00705836">
            <w:pPr>
              <w:spacing w:line="320" w:lineRule="exact"/>
              <w:jc w:val="center"/>
              <w:rPr>
                <w:sz w:val="21"/>
                <w:szCs w:val="21"/>
              </w:rPr>
            </w:pPr>
            <w:r w:rsidRPr="004863C5">
              <w:rPr>
                <w:sz w:val="21"/>
                <w:szCs w:val="21"/>
              </w:rPr>
              <w:t>h</w:t>
            </w:r>
          </w:p>
        </w:tc>
        <w:tc>
          <w:tcPr>
            <w:tcW w:w="734" w:type="dxa"/>
            <w:vAlign w:val="center"/>
          </w:tcPr>
          <w:p w:rsidR="00D81CD3" w:rsidRPr="004863C5" w:rsidRDefault="00D81CD3" w:rsidP="00705836">
            <w:pPr>
              <w:spacing w:line="320" w:lineRule="exact"/>
              <w:jc w:val="center"/>
              <w:rPr>
                <w:sz w:val="21"/>
                <w:szCs w:val="21"/>
              </w:rPr>
            </w:pPr>
            <w:r w:rsidRPr="004863C5">
              <w:rPr>
                <w:sz w:val="21"/>
                <w:szCs w:val="21"/>
              </w:rPr>
              <w:t>h/d</w:t>
            </w:r>
          </w:p>
        </w:tc>
        <w:tc>
          <w:tcPr>
            <w:tcW w:w="1066" w:type="dxa"/>
            <w:vAlign w:val="center"/>
          </w:tcPr>
          <w:p w:rsidR="00D81CD3" w:rsidRPr="004863C5" w:rsidRDefault="00D81CD3" w:rsidP="00705836">
            <w:pPr>
              <w:spacing w:line="320" w:lineRule="exact"/>
              <w:jc w:val="center"/>
              <w:rPr>
                <w:sz w:val="21"/>
                <w:szCs w:val="21"/>
              </w:rPr>
            </w:pPr>
            <w:r w:rsidRPr="004863C5">
              <w:rPr>
                <w:sz w:val="21"/>
                <w:szCs w:val="21"/>
              </w:rPr>
              <w:t>kg/h</w:t>
            </w:r>
          </w:p>
        </w:tc>
      </w:tr>
      <w:tr w:rsidR="00D81CD3" w:rsidRPr="004863C5" w:rsidTr="009614A0">
        <w:trPr>
          <w:trHeight w:val="1126"/>
          <w:jc w:val="center"/>
        </w:trPr>
        <w:tc>
          <w:tcPr>
            <w:tcW w:w="609" w:type="dxa"/>
            <w:vAlign w:val="center"/>
          </w:tcPr>
          <w:p w:rsidR="00D81CD3" w:rsidRPr="004863C5" w:rsidRDefault="00D81CD3" w:rsidP="00705836">
            <w:pPr>
              <w:spacing w:line="320" w:lineRule="exact"/>
              <w:jc w:val="center"/>
              <w:rPr>
                <w:sz w:val="21"/>
                <w:szCs w:val="21"/>
              </w:rPr>
            </w:pPr>
            <w:r w:rsidRPr="004863C5">
              <w:rPr>
                <w:sz w:val="21"/>
                <w:szCs w:val="21"/>
              </w:rPr>
              <w:t>储煤棚</w:t>
            </w:r>
          </w:p>
        </w:tc>
        <w:tc>
          <w:tcPr>
            <w:tcW w:w="1099" w:type="dxa"/>
            <w:vAlign w:val="center"/>
          </w:tcPr>
          <w:p w:rsidR="00D81CD3" w:rsidRPr="004863C5" w:rsidRDefault="00D81CD3" w:rsidP="00705836">
            <w:pPr>
              <w:spacing w:line="320" w:lineRule="exact"/>
              <w:jc w:val="center"/>
              <w:rPr>
                <w:sz w:val="21"/>
                <w:szCs w:val="21"/>
              </w:rPr>
            </w:pPr>
            <w:r w:rsidRPr="004863C5">
              <w:rPr>
                <w:rFonts w:eastAsiaTheme="minorEastAsia"/>
                <w:sz w:val="21"/>
                <w:szCs w:val="21"/>
              </w:rPr>
              <w:t>113.17086875</w:t>
            </w:r>
            <w:r w:rsidRPr="004863C5">
              <w:rPr>
                <w:sz w:val="21"/>
                <w:szCs w:val="21"/>
              </w:rPr>
              <w:t>°</w:t>
            </w:r>
          </w:p>
        </w:tc>
        <w:tc>
          <w:tcPr>
            <w:tcW w:w="1099" w:type="dxa"/>
            <w:vAlign w:val="center"/>
          </w:tcPr>
          <w:p w:rsidR="00D81CD3" w:rsidRPr="004863C5" w:rsidRDefault="00D81CD3" w:rsidP="00705836">
            <w:pPr>
              <w:spacing w:line="320" w:lineRule="exact"/>
              <w:jc w:val="center"/>
              <w:rPr>
                <w:sz w:val="21"/>
                <w:szCs w:val="21"/>
              </w:rPr>
            </w:pPr>
            <w:r w:rsidRPr="004863C5">
              <w:rPr>
                <w:rFonts w:eastAsiaTheme="minorEastAsia"/>
                <w:sz w:val="21"/>
                <w:szCs w:val="21"/>
              </w:rPr>
              <w:t>34.21035595</w:t>
            </w:r>
            <w:r w:rsidRPr="004863C5">
              <w:rPr>
                <w:sz w:val="21"/>
                <w:szCs w:val="21"/>
              </w:rPr>
              <w:t>°</w:t>
            </w:r>
          </w:p>
        </w:tc>
        <w:tc>
          <w:tcPr>
            <w:tcW w:w="851" w:type="dxa"/>
            <w:vAlign w:val="center"/>
          </w:tcPr>
          <w:p w:rsidR="00D81CD3" w:rsidRPr="004863C5" w:rsidRDefault="00D81CD3" w:rsidP="00705836">
            <w:pPr>
              <w:spacing w:line="320" w:lineRule="exact"/>
              <w:jc w:val="center"/>
              <w:rPr>
                <w:sz w:val="21"/>
                <w:szCs w:val="21"/>
              </w:rPr>
            </w:pPr>
            <w:r w:rsidRPr="004863C5">
              <w:rPr>
                <w:sz w:val="21"/>
                <w:szCs w:val="21"/>
              </w:rPr>
              <w:t>40</w:t>
            </w:r>
          </w:p>
        </w:tc>
        <w:tc>
          <w:tcPr>
            <w:tcW w:w="852" w:type="dxa"/>
            <w:vAlign w:val="center"/>
          </w:tcPr>
          <w:p w:rsidR="00D81CD3" w:rsidRPr="004863C5" w:rsidRDefault="00D81CD3" w:rsidP="00D81CD3">
            <w:pPr>
              <w:spacing w:line="320" w:lineRule="exact"/>
              <w:jc w:val="center"/>
              <w:rPr>
                <w:sz w:val="21"/>
                <w:szCs w:val="21"/>
              </w:rPr>
            </w:pPr>
            <w:r w:rsidRPr="004863C5">
              <w:rPr>
                <w:sz w:val="21"/>
                <w:szCs w:val="21"/>
              </w:rPr>
              <w:t>30</w:t>
            </w:r>
          </w:p>
        </w:tc>
        <w:tc>
          <w:tcPr>
            <w:tcW w:w="857" w:type="dxa"/>
            <w:vAlign w:val="center"/>
          </w:tcPr>
          <w:p w:rsidR="00D81CD3" w:rsidRPr="004863C5" w:rsidRDefault="00D81CD3" w:rsidP="00705836">
            <w:pPr>
              <w:spacing w:line="320" w:lineRule="exact"/>
              <w:jc w:val="center"/>
              <w:rPr>
                <w:sz w:val="21"/>
                <w:szCs w:val="21"/>
              </w:rPr>
            </w:pPr>
            <w:r w:rsidRPr="004863C5">
              <w:rPr>
                <w:sz w:val="21"/>
                <w:szCs w:val="21"/>
              </w:rPr>
              <w:t>30</w:t>
            </w:r>
          </w:p>
        </w:tc>
        <w:tc>
          <w:tcPr>
            <w:tcW w:w="1064" w:type="dxa"/>
            <w:vAlign w:val="center"/>
          </w:tcPr>
          <w:p w:rsidR="00D81CD3" w:rsidRPr="004863C5" w:rsidRDefault="00D81CD3" w:rsidP="00705836">
            <w:pPr>
              <w:spacing w:line="320" w:lineRule="exact"/>
              <w:jc w:val="center"/>
              <w:rPr>
                <w:sz w:val="21"/>
                <w:szCs w:val="21"/>
              </w:rPr>
            </w:pPr>
            <w:r w:rsidRPr="004863C5">
              <w:rPr>
                <w:sz w:val="21"/>
                <w:szCs w:val="21"/>
              </w:rPr>
              <w:t>15</w:t>
            </w:r>
          </w:p>
        </w:tc>
        <w:tc>
          <w:tcPr>
            <w:tcW w:w="729" w:type="dxa"/>
            <w:vAlign w:val="center"/>
          </w:tcPr>
          <w:p w:rsidR="00D81CD3" w:rsidRPr="004863C5" w:rsidRDefault="00D81CD3" w:rsidP="00705836">
            <w:pPr>
              <w:spacing w:line="320" w:lineRule="exact"/>
              <w:jc w:val="center"/>
              <w:rPr>
                <w:sz w:val="21"/>
                <w:szCs w:val="21"/>
              </w:rPr>
            </w:pPr>
            <w:r w:rsidRPr="004863C5">
              <w:rPr>
                <w:sz w:val="21"/>
                <w:szCs w:val="21"/>
              </w:rPr>
              <w:t>7920</w:t>
            </w:r>
          </w:p>
        </w:tc>
        <w:tc>
          <w:tcPr>
            <w:tcW w:w="734" w:type="dxa"/>
            <w:vAlign w:val="center"/>
          </w:tcPr>
          <w:p w:rsidR="00D81CD3" w:rsidRPr="004863C5" w:rsidRDefault="00D81CD3" w:rsidP="00705836">
            <w:pPr>
              <w:spacing w:line="320" w:lineRule="exact"/>
              <w:jc w:val="center"/>
              <w:rPr>
                <w:sz w:val="21"/>
                <w:szCs w:val="21"/>
              </w:rPr>
            </w:pPr>
            <w:r w:rsidRPr="004863C5">
              <w:rPr>
                <w:sz w:val="21"/>
                <w:szCs w:val="21"/>
              </w:rPr>
              <w:t>24</w:t>
            </w:r>
          </w:p>
        </w:tc>
        <w:tc>
          <w:tcPr>
            <w:tcW w:w="1066" w:type="dxa"/>
            <w:vAlign w:val="center"/>
          </w:tcPr>
          <w:p w:rsidR="00D81CD3" w:rsidRPr="004863C5" w:rsidRDefault="00D81CD3" w:rsidP="00D81CD3">
            <w:pPr>
              <w:spacing w:line="320" w:lineRule="exact"/>
              <w:jc w:val="center"/>
              <w:rPr>
                <w:sz w:val="21"/>
                <w:szCs w:val="21"/>
              </w:rPr>
            </w:pPr>
            <w:r w:rsidRPr="004863C5">
              <w:rPr>
                <w:sz w:val="21"/>
                <w:szCs w:val="21"/>
              </w:rPr>
              <w:t>0.03767</w:t>
            </w:r>
          </w:p>
        </w:tc>
      </w:tr>
    </w:tbl>
    <w:p w:rsidR="00D81CD3" w:rsidRPr="004863C5" w:rsidRDefault="00D81CD3" w:rsidP="00D81CD3">
      <w:pPr>
        <w:adjustRightInd w:val="0"/>
        <w:snapToGrid w:val="0"/>
        <w:spacing w:line="520" w:lineRule="exact"/>
        <w:ind w:firstLineChars="200" w:firstLine="480"/>
        <w:rPr>
          <w:sz w:val="24"/>
        </w:rPr>
      </w:pPr>
      <w:r w:rsidRPr="004863C5">
        <w:rPr>
          <w:sz w:val="24"/>
        </w:rPr>
        <w:t>本次评价采用《环境影响评价技术导则大气环境》（</w:t>
      </w:r>
      <w:r w:rsidRPr="004863C5">
        <w:rPr>
          <w:sz w:val="24"/>
        </w:rPr>
        <w:t>HJ 2.2-2018</w:t>
      </w:r>
      <w:r w:rsidRPr="004863C5">
        <w:rPr>
          <w:sz w:val="24"/>
        </w:rPr>
        <w:t>）推荐的</w:t>
      </w:r>
      <w:r w:rsidRPr="004863C5">
        <w:rPr>
          <w:sz w:val="24"/>
        </w:rPr>
        <w:t>AERSCREEN</w:t>
      </w:r>
      <w:r w:rsidRPr="004863C5">
        <w:rPr>
          <w:sz w:val="24"/>
        </w:rPr>
        <w:t>估算模式计算本次工程大气污染物最大落地浓度及其出现距离。</w:t>
      </w:r>
    </w:p>
    <w:p w:rsidR="00D81CD3" w:rsidRPr="004863C5" w:rsidRDefault="00D81CD3" w:rsidP="00D81CD3">
      <w:pPr>
        <w:spacing w:line="520" w:lineRule="exact"/>
        <w:ind w:firstLineChars="200" w:firstLine="480"/>
        <w:rPr>
          <w:sz w:val="24"/>
        </w:rPr>
      </w:pPr>
      <w:r w:rsidRPr="004863C5">
        <w:rPr>
          <w:sz w:val="24"/>
        </w:rPr>
        <w:t>AERSCREEN</w:t>
      </w:r>
      <w:r w:rsidRPr="004863C5">
        <w:rPr>
          <w:sz w:val="24"/>
        </w:rPr>
        <w:t>估算模式计算所需参数见表</w:t>
      </w:r>
      <w:r w:rsidRPr="004863C5">
        <w:rPr>
          <w:sz w:val="24"/>
        </w:rPr>
        <w:t>6.</w:t>
      </w:r>
      <w:r w:rsidR="00FB2CAE" w:rsidRPr="004863C5">
        <w:rPr>
          <w:sz w:val="24"/>
        </w:rPr>
        <w:t>1-</w:t>
      </w:r>
      <w:r w:rsidR="00114B89">
        <w:rPr>
          <w:rFonts w:hint="eastAsia"/>
          <w:sz w:val="24"/>
        </w:rPr>
        <w:t>5</w:t>
      </w:r>
      <w:r w:rsidRPr="004863C5">
        <w:rPr>
          <w:sz w:val="24"/>
        </w:rPr>
        <w:t>。</w:t>
      </w:r>
    </w:p>
    <w:p w:rsidR="00D81CD3" w:rsidRPr="004863C5" w:rsidRDefault="00D81CD3" w:rsidP="00D81CD3">
      <w:pPr>
        <w:pStyle w:val="afffff9"/>
      </w:pPr>
      <w:r w:rsidRPr="004863C5">
        <w:t>表</w:t>
      </w:r>
      <w:r w:rsidRPr="004863C5">
        <w:t>6.</w:t>
      </w:r>
      <w:r w:rsidR="00FB2CAE" w:rsidRPr="004863C5">
        <w:t>1-</w:t>
      </w:r>
      <w:r w:rsidR="00114B89">
        <w:rPr>
          <w:rFonts w:hint="eastAsia"/>
        </w:rPr>
        <w:t>5</w:t>
      </w:r>
      <w:r w:rsidRPr="004863C5">
        <w:t>估算模式所需要参数表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tblPr>
      <w:tblGrid>
        <w:gridCol w:w="3398"/>
        <w:gridCol w:w="2639"/>
        <w:gridCol w:w="2807"/>
      </w:tblGrid>
      <w:tr w:rsidR="006448FB" w:rsidRPr="004863C5" w:rsidTr="00705836">
        <w:trPr>
          <w:trHeight w:val="313"/>
          <w:jc w:val="center"/>
        </w:trPr>
        <w:tc>
          <w:tcPr>
            <w:tcW w:w="3413" w:type="pct"/>
            <w:gridSpan w:val="2"/>
            <w:vAlign w:val="center"/>
          </w:tcPr>
          <w:p w:rsidR="006448FB" w:rsidRPr="004863C5" w:rsidRDefault="006448FB" w:rsidP="00705836">
            <w:pPr>
              <w:spacing w:line="360" w:lineRule="exact"/>
              <w:jc w:val="center"/>
              <w:rPr>
                <w:b/>
                <w:sz w:val="21"/>
                <w:szCs w:val="21"/>
              </w:rPr>
            </w:pPr>
            <w:r w:rsidRPr="004863C5">
              <w:rPr>
                <w:b/>
                <w:sz w:val="21"/>
                <w:szCs w:val="21"/>
              </w:rPr>
              <w:t>参数</w:t>
            </w:r>
          </w:p>
        </w:tc>
        <w:tc>
          <w:tcPr>
            <w:tcW w:w="1587" w:type="pct"/>
          </w:tcPr>
          <w:p w:rsidR="006448FB" w:rsidRPr="004863C5" w:rsidRDefault="006448FB" w:rsidP="00705836">
            <w:pPr>
              <w:spacing w:line="360" w:lineRule="exact"/>
              <w:jc w:val="center"/>
              <w:rPr>
                <w:b/>
                <w:sz w:val="21"/>
                <w:szCs w:val="21"/>
              </w:rPr>
            </w:pPr>
            <w:r w:rsidRPr="004863C5">
              <w:rPr>
                <w:b/>
                <w:sz w:val="21"/>
                <w:szCs w:val="21"/>
              </w:rPr>
              <w:t>取值</w:t>
            </w:r>
          </w:p>
        </w:tc>
      </w:tr>
      <w:tr w:rsidR="006448FB" w:rsidRPr="004863C5" w:rsidTr="00705836">
        <w:trPr>
          <w:trHeight w:val="313"/>
          <w:jc w:val="center"/>
        </w:trPr>
        <w:tc>
          <w:tcPr>
            <w:tcW w:w="1921" w:type="pct"/>
            <w:vMerge w:val="restart"/>
            <w:vAlign w:val="center"/>
          </w:tcPr>
          <w:p w:rsidR="006448FB" w:rsidRPr="004863C5" w:rsidRDefault="006448FB" w:rsidP="00705836">
            <w:pPr>
              <w:spacing w:line="360" w:lineRule="exact"/>
              <w:jc w:val="center"/>
              <w:rPr>
                <w:spacing w:val="-17"/>
                <w:kern w:val="0"/>
                <w:sz w:val="21"/>
                <w:szCs w:val="21"/>
              </w:rPr>
            </w:pPr>
            <w:r w:rsidRPr="004863C5">
              <w:rPr>
                <w:spacing w:val="-17"/>
                <w:kern w:val="0"/>
                <w:sz w:val="21"/>
                <w:szCs w:val="21"/>
              </w:rPr>
              <w:t>城市</w:t>
            </w:r>
            <w:r w:rsidRPr="004863C5">
              <w:rPr>
                <w:spacing w:val="-17"/>
                <w:kern w:val="0"/>
                <w:sz w:val="21"/>
                <w:szCs w:val="21"/>
              </w:rPr>
              <w:t xml:space="preserve"> / </w:t>
            </w:r>
            <w:r w:rsidRPr="004863C5">
              <w:rPr>
                <w:spacing w:val="-17"/>
                <w:kern w:val="0"/>
                <w:sz w:val="21"/>
                <w:szCs w:val="21"/>
              </w:rPr>
              <w:t>农村选项</w:t>
            </w:r>
          </w:p>
        </w:tc>
        <w:tc>
          <w:tcPr>
            <w:tcW w:w="1492" w:type="pct"/>
          </w:tcPr>
          <w:p w:rsidR="006448FB" w:rsidRPr="004863C5" w:rsidRDefault="006448FB" w:rsidP="00705836">
            <w:pPr>
              <w:spacing w:line="360" w:lineRule="exact"/>
              <w:jc w:val="center"/>
              <w:rPr>
                <w:sz w:val="21"/>
                <w:szCs w:val="21"/>
              </w:rPr>
            </w:pPr>
            <w:r w:rsidRPr="004863C5">
              <w:rPr>
                <w:spacing w:val="-17"/>
                <w:kern w:val="0"/>
                <w:sz w:val="21"/>
                <w:szCs w:val="21"/>
              </w:rPr>
              <w:t>城市</w:t>
            </w:r>
            <w:r w:rsidRPr="004863C5">
              <w:rPr>
                <w:spacing w:val="-17"/>
                <w:kern w:val="0"/>
                <w:sz w:val="21"/>
                <w:szCs w:val="21"/>
              </w:rPr>
              <w:t xml:space="preserve"> / </w:t>
            </w:r>
            <w:r w:rsidRPr="004863C5">
              <w:rPr>
                <w:spacing w:val="-17"/>
                <w:kern w:val="0"/>
                <w:sz w:val="21"/>
                <w:szCs w:val="21"/>
              </w:rPr>
              <w:t>农村</w:t>
            </w:r>
          </w:p>
        </w:tc>
        <w:tc>
          <w:tcPr>
            <w:tcW w:w="1587" w:type="pct"/>
          </w:tcPr>
          <w:p w:rsidR="006448FB" w:rsidRPr="004863C5" w:rsidRDefault="006448FB" w:rsidP="00705836">
            <w:pPr>
              <w:spacing w:line="360" w:lineRule="exact"/>
              <w:jc w:val="center"/>
              <w:rPr>
                <w:sz w:val="21"/>
                <w:szCs w:val="21"/>
              </w:rPr>
            </w:pPr>
            <w:r w:rsidRPr="004863C5">
              <w:rPr>
                <w:sz w:val="21"/>
                <w:szCs w:val="21"/>
              </w:rPr>
              <w:t>农村</w:t>
            </w:r>
          </w:p>
        </w:tc>
      </w:tr>
      <w:tr w:rsidR="006448FB" w:rsidRPr="004863C5" w:rsidTr="00705836">
        <w:trPr>
          <w:trHeight w:val="313"/>
          <w:jc w:val="center"/>
        </w:trPr>
        <w:tc>
          <w:tcPr>
            <w:tcW w:w="1921" w:type="pct"/>
            <w:vMerge/>
            <w:vAlign w:val="center"/>
          </w:tcPr>
          <w:p w:rsidR="006448FB" w:rsidRPr="004863C5" w:rsidRDefault="006448FB" w:rsidP="00705836">
            <w:pPr>
              <w:widowControl/>
              <w:spacing w:line="360" w:lineRule="exact"/>
              <w:jc w:val="center"/>
              <w:rPr>
                <w:spacing w:val="-17"/>
                <w:kern w:val="0"/>
                <w:sz w:val="21"/>
                <w:szCs w:val="21"/>
              </w:rPr>
            </w:pPr>
          </w:p>
        </w:tc>
        <w:tc>
          <w:tcPr>
            <w:tcW w:w="1492" w:type="pct"/>
          </w:tcPr>
          <w:p w:rsidR="006448FB" w:rsidRPr="004863C5" w:rsidRDefault="006448FB" w:rsidP="00705836">
            <w:pPr>
              <w:spacing w:line="360" w:lineRule="exact"/>
              <w:jc w:val="center"/>
              <w:rPr>
                <w:sz w:val="21"/>
                <w:szCs w:val="21"/>
              </w:rPr>
            </w:pPr>
            <w:r w:rsidRPr="004863C5">
              <w:rPr>
                <w:sz w:val="21"/>
                <w:szCs w:val="21"/>
              </w:rPr>
              <w:t>人口数（城市选项时）</w:t>
            </w:r>
          </w:p>
        </w:tc>
        <w:tc>
          <w:tcPr>
            <w:tcW w:w="1587" w:type="pct"/>
          </w:tcPr>
          <w:p w:rsidR="006448FB" w:rsidRPr="004863C5" w:rsidRDefault="006448FB" w:rsidP="00705836">
            <w:pPr>
              <w:spacing w:line="360" w:lineRule="exact"/>
              <w:jc w:val="center"/>
              <w:rPr>
                <w:sz w:val="21"/>
                <w:szCs w:val="21"/>
              </w:rPr>
            </w:pPr>
            <w:r w:rsidRPr="004863C5">
              <w:rPr>
                <w:sz w:val="21"/>
                <w:szCs w:val="21"/>
              </w:rPr>
              <w:t>/</w:t>
            </w:r>
          </w:p>
        </w:tc>
      </w:tr>
      <w:tr w:rsidR="006448FB" w:rsidRPr="004863C5" w:rsidTr="00705836">
        <w:trPr>
          <w:trHeight w:val="313"/>
          <w:jc w:val="center"/>
        </w:trPr>
        <w:tc>
          <w:tcPr>
            <w:tcW w:w="3413" w:type="pct"/>
            <w:gridSpan w:val="2"/>
            <w:vAlign w:val="center"/>
          </w:tcPr>
          <w:p w:rsidR="006448FB" w:rsidRPr="004863C5" w:rsidRDefault="006448FB" w:rsidP="00705836">
            <w:pPr>
              <w:spacing w:line="360" w:lineRule="exact"/>
              <w:jc w:val="center"/>
              <w:rPr>
                <w:sz w:val="21"/>
                <w:szCs w:val="21"/>
              </w:rPr>
            </w:pPr>
            <w:r w:rsidRPr="004863C5">
              <w:rPr>
                <w:sz w:val="21"/>
                <w:szCs w:val="21"/>
              </w:rPr>
              <w:t>最高环境温度</w:t>
            </w:r>
            <w:r w:rsidRPr="004863C5">
              <w:rPr>
                <w:sz w:val="21"/>
                <w:szCs w:val="21"/>
              </w:rPr>
              <w:t xml:space="preserve"> / ℃</w:t>
            </w:r>
          </w:p>
        </w:tc>
        <w:tc>
          <w:tcPr>
            <w:tcW w:w="1587" w:type="pct"/>
          </w:tcPr>
          <w:p w:rsidR="006448FB" w:rsidRPr="004863C5" w:rsidRDefault="006448FB" w:rsidP="00705836">
            <w:pPr>
              <w:spacing w:line="360" w:lineRule="exact"/>
              <w:jc w:val="center"/>
              <w:rPr>
                <w:sz w:val="21"/>
                <w:szCs w:val="21"/>
              </w:rPr>
            </w:pPr>
            <w:r w:rsidRPr="004863C5">
              <w:rPr>
                <w:sz w:val="21"/>
                <w:szCs w:val="21"/>
              </w:rPr>
              <w:t>42.9</w:t>
            </w:r>
          </w:p>
        </w:tc>
      </w:tr>
      <w:tr w:rsidR="006448FB" w:rsidRPr="004863C5" w:rsidTr="00705836">
        <w:trPr>
          <w:trHeight w:val="313"/>
          <w:jc w:val="center"/>
        </w:trPr>
        <w:tc>
          <w:tcPr>
            <w:tcW w:w="3413" w:type="pct"/>
            <w:gridSpan w:val="2"/>
            <w:vAlign w:val="center"/>
          </w:tcPr>
          <w:p w:rsidR="006448FB" w:rsidRPr="004863C5" w:rsidRDefault="006448FB" w:rsidP="00705836">
            <w:pPr>
              <w:spacing w:line="360" w:lineRule="exact"/>
              <w:jc w:val="center"/>
              <w:rPr>
                <w:sz w:val="21"/>
                <w:szCs w:val="21"/>
              </w:rPr>
            </w:pPr>
            <w:r w:rsidRPr="004863C5">
              <w:rPr>
                <w:sz w:val="21"/>
                <w:szCs w:val="21"/>
              </w:rPr>
              <w:t>最低环境温度</w:t>
            </w:r>
            <w:r w:rsidRPr="004863C5">
              <w:rPr>
                <w:sz w:val="21"/>
                <w:szCs w:val="21"/>
              </w:rPr>
              <w:t xml:space="preserve"> / ℃</w:t>
            </w:r>
          </w:p>
        </w:tc>
        <w:tc>
          <w:tcPr>
            <w:tcW w:w="1587" w:type="pct"/>
          </w:tcPr>
          <w:p w:rsidR="006448FB" w:rsidRPr="004863C5" w:rsidRDefault="006448FB" w:rsidP="00705836">
            <w:pPr>
              <w:spacing w:line="360" w:lineRule="exact"/>
              <w:jc w:val="center"/>
              <w:rPr>
                <w:sz w:val="21"/>
                <w:szCs w:val="21"/>
              </w:rPr>
            </w:pPr>
            <w:r w:rsidRPr="004863C5">
              <w:rPr>
                <w:sz w:val="21"/>
                <w:szCs w:val="21"/>
              </w:rPr>
              <w:t>-13.9</w:t>
            </w:r>
          </w:p>
        </w:tc>
      </w:tr>
      <w:tr w:rsidR="006448FB" w:rsidRPr="004863C5" w:rsidTr="00705836">
        <w:trPr>
          <w:trHeight w:val="313"/>
          <w:jc w:val="center"/>
        </w:trPr>
        <w:tc>
          <w:tcPr>
            <w:tcW w:w="3413" w:type="pct"/>
            <w:gridSpan w:val="2"/>
            <w:vAlign w:val="center"/>
          </w:tcPr>
          <w:p w:rsidR="006448FB" w:rsidRPr="004863C5" w:rsidRDefault="006448FB" w:rsidP="00705836">
            <w:pPr>
              <w:spacing w:line="360" w:lineRule="exact"/>
              <w:jc w:val="center"/>
              <w:rPr>
                <w:sz w:val="21"/>
                <w:szCs w:val="21"/>
              </w:rPr>
            </w:pPr>
            <w:r w:rsidRPr="004863C5">
              <w:rPr>
                <w:sz w:val="21"/>
                <w:szCs w:val="21"/>
              </w:rPr>
              <w:t>土地利用类型</w:t>
            </w:r>
          </w:p>
        </w:tc>
        <w:tc>
          <w:tcPr>
            <w:tcW w:w="1587" w:type="pct"/>
          </w:tcPr>
          <w:p w:rsidR="006448FB" w:rsidRPr="004863C5" w:rsidRDefault="006448FB" w:rsidP="00705836">
            <w:pPr>
              <w:spacing w:line="360" w:lineRule="exact"/>
              <w:jc w:val="center"/>
              <w:rPr>
                <w:sz w:val="21"/>
                <w:szCs w:val="21"/>
              </w:rPr>
            </w:pPr>
            <w:r w:rsidRPr="004863C5">
              <w:rPr>
                <w:sz w:val="21"/>
                <w:szCs w:val="21"/>
              </w:rPr>
              <w:t>农用地</w:t>
            </w:r>
          </w:p>
        </w:tc>
      </w:tr>
      <w:tr w:rsidR="006448FB" w:rsidRPr="004863C5" w:rsidTr="00705836">
        <w:trPr>
          <w:trHeight w:val="313"/>
          <w:jc w:val="center"/>
        </w:trPr>
        <w:tc>
          <w:tcPr>
            <w:tcW w:w="3413" w:type="pct"/>
            <w:gridSpan w:val="2"/>
            <w:vAlign w:val="center"/>
          </w:tcPr>
          <w:p w:rsidR="006448FB" w:rsidRPr="004863C5" w:rsidRDefault="006448FB" w:rsidP="00705836">
            <w:pPr>
              <w:spacing w:line="360" w:lineRule="exact"/>
              <w:jc w:val="center"/>
              <w:rPr>
                <w:sz w:val="21"/>
                <w:szCs w:val="21"/>
              </w:rPr>
            </w:pPr>
            <w:r w:rsidRPr="004863C5">
              <w:rPr>
                <w:sz w:val="21"/>
                <w:szCs w:val="21"/>
              </w:rPr>
              <w:t>区域湿度条件</w:t>
            </w:r>
          </w:p>
        </w:tc>
        <w:tc>
          <w:tcPr>
            <w:tcW w:w="1587" w:type="pct"/>
          </w:tcPr>
          <w:p w:rsidR="006448FB" w:rsidRPr="004863C5" w:rsidRDefault="001702DD" w:rsidP="001702DD">
            <w:pPr>
              <w:spacing w:line="360" w:lineRule="exact"/>
              <w:jc w:val="center"/>
              <w:rPr>
                <w:sz w:val="21"/>
                <w:szCs w:val="21"/>
              </w:rPr>
            </w:pPr>
            <w:r>
              <w:rPr>
                <w:rFonts w:hint="eastAsia"/>
                <w:sz w:val="21"/>
                <w:szCs w:val="21"/>
              </w:rPr>
              <w:t>半</w:t>
            </w:r>
            <w:r w:rsidR="00A11E34">
              <w:rPr>
                <w:rFonts w:hint="eastAsia"/>
                <w:sz w:val="21"/>
                <w:szCs w:val="21"/>
              </w:rPr>
              <w:t>湿润</w:t>
            </w:r>
            <w:r>
              <w:rPr>
                <w:rFonts w:hint="eastAsia"/>
                <w:sz w:val="21"/>
                <w:szCs w:val="21"/>
              </w:rPr>
              <w:t>气候</w:t>
            </w:r>
          </w:p>
        </w:tc>
      </w:tr>
      <w:tr w:rsidR="006448FB" w:rsidRPr="004863C5" w:rsidTr="00705836">
        <w:trPr>
          <w:trHeight w:val="313"/>
          <w:jc w:val="center"/>
        </w:trPr>
        <w:tc>
          <w:tcPr>
            <w:tcW w:w="1921" w:type="pct"/>
            <w:vMerge w:val="restart"/>
            <w:vAlign w:val="center"/>
          </w:tcPr>
          <w:p w:rsidR="006448FB" w:rsidRPr="004863C5" w:rsidRDefault="006448FB" w:rsidP="00705836">
            <w:pPr>
              <w:spacing w:line="360" w:lineRule="exact"/>
              <w:jc w:val="center"/>
              <w:rPr>
                <w:kern w:val="0"/>
                <w:sz w:val="21"/>
                <w:szCs w:val="21"/>
              </w:rPr>
            </w:pPr>
            <w:r w:rsidRPr="004863C5">
              <w:rPr>
                <w:kern w:val="0"/>
                <w:sz w:val="21"/>
                <w:szCs w:val="21"/>
              </w:rPr>
              <w:t>是否考虑地形</w:t>
            </w:r>
          </w:p>
        </w:tc>
        <w:tc>
          <w:tcPr>
            <w:tcW w:w="1492" w:type="pct"/>
            <w:vAlign w:val="center"/>
          </w:tcPr>
          <w:p w:rsidR="006448FB" w:rsidRPr="004863C5" w:rsidRDefault="006448FB" w:rsidP="00705836">
            <w:pPr>
              <w:spacing w:line="360" w:lineRule="exact"/>
              <w:jc w:val="center"/>
              <w:rPr>
                <w:sz w:val="21"/>
                <w:szCs w:val="21"/>
              </w:rPr>
            </w:pPr>
            <w:r w:rsidRPr="004863C5">
              <w:rPr>
                <w:sz w:val="21"/>
                <w:szCs w:val="21"/>
              </w:rPr>
              <w:t>考虑地形</w:t>
            </w:r>
          </w:p>
        </w:tc>
        <w:tc>
          <w:tcPr>
            <w:tcW w:w="1587" w:type="pct"/>
            <w:vAlign w:val="center"/>
          </w:tcPr>
          <w:p w:rsidR="006448FB" w:rsidRPr="004863C5" w:rsidRDefault="006448FB" w:rsidP="00705836">
            <w:pPr>
              <w:spacing w:line="360" w:lineRule="exact"/>
              <w:jc w:val="center"/>
              <w:rPr>
                <w:sz w:val="21"/>
                <w:szCs w:val="21"/>
              </w:rPr>
            </w:pPr>
            <w:r w:rsidRPr="004863C5">
              <w:rPr>
                <w:b/>
                <w:sz w:val="18"/>
                <w:szCs w:val="18"/>
              </w:rPr>
              <w:t>■</w:t>
            </w:r>
            <w:r w:rsidRPr="004863C5">
              <w:rPr>
                <w:rFonts w:hAnsi="宋体"/>
                <w:b/>
                <w:sz w:val="18"/>
                <w:szCs w:val="18"/>
              </w:rPr>
              <w:t>是</w:t>
            </w:r>
            <w:r w:rsidRPr="004863C5">
              <w:rPr>
                <w:b/>
                <w:sz w:val="18"/>
                <w:szCs w:val="18"/>
              </w:rPr>
              <w:t xml:space="preserve">   □</w:t>
            </w:r>
            <w:r w:rsidRPr="004863C5">
              <w:rPr>
                <w:rFonts w:hAnsi="宋体"/>
                <w:b/>
                <w:sz w:val="18"/>
                <w:szCs w:val="18"/>
              </w:rPr>
              <w:t>否</w:t>
            </w:r>
          </w:p>
        </w:tc>
      </w:tr>
      <w:tr w:rsidR="006448FB" w:rsidRPr="004863C5" w:rsidTr="00705836">
        <w:trPr>
          <w:trHeight w:val="313"/>
          <w:jc w:val="center"/>
        </w:trPr>
        <w:tc>
          <w:tcPr>
            <w:tcW w:w="1921" w:type="pct"/>
            <w:vMerge/>
            <w:vAlign w:val="center"/>
          </w:tcPr>
          <w:p w:rsidR="006448FB" w:rsidRPr="004863C5" w:rsidRDefault="006448FB" w:rsidP="00705836">
            <w:pPr>
              <w:widowControl/>
              <w:spacing w:line="360" w:lineRule="exact"/>
              <w:jc w:val="center"/>
              <w:rPr>
                <w:kern w:val="0"/>
                <w:sz w:val="21"/>
                <w:szCs w:val="21"/>
              </w:rPr>
            </w:pPr>
          </w:p>
        </w:tc>
        <w:tc>
          <w:tcPr>
            <w:tcW w:w="1492" w:type="pct"/>
            <w:vAlign w:val="center"/>
          </w:tcPr>
          <w:p w:rsidR="006448FB" w:rsidRPr="004863C5" w:rsidRDefault="006448FB" w:rsidP="00705836">
            <w:pPr>
              <w:spacing w:line="360" w:lineRule="exact"/>
              <w:jc w:val="center"/>
              <w:rPr>
                <w:sz w:val="21"/>
                <w:szCs w:val="21"/>
              </w:rPr>
            </w:pPr>
            <w:r w:rsidRPr="004863C5">
              <w:rPr>
                <w:sz w:val="21"/>
                <w:szCs w:val="21"/>
              </w:rPr>
              <w:t>地形数据分辨率</w:t>
            </w:r>
          </w:p>
        </w:tc>
        <w:tc>
          <w:tcPr>
            <w:tcW w:w="1587" w:type="pct"/>
            <w:vAlign w:val="center"/>
          </w:tcPr>
          <w:p w:rsidR="006448FB" w:rsidRPr="004863C5" w:rsidRDefault="006448FB" w:rsidP="00705836">
            <w:pPr>
              <w:spacing w:line="360" w:lineRule="exact"/>
              <w:jc w:val="center"/>
              <w:rPr>
                <w:sz w:val="21"/>
                <w:szCs w:val="21"/>
              </w:rPr>
            </w:pPr>
            <w:r w:rsidRPr="004863C5">
              <w:rPr>
                <w:sz w:val="21"/>
                <w:szCs w:val="21"/>
              </w:rPr>
              <w:t>90m</w:t>
            </w:r>
          </w:p>
        </w:tc>
      </w:tr>
      <w:tr w:rsidR="006448FB" w:rsidRPr="004863C5" w:rsidTr="00705836">
        <w:trPr>
          <w:trHeight w:val="313"/>
          <w:jc w:val="center"/>
        </w:trPr>
        <w:tc>
          <w:tcPr>
            <w:tcW w:w="1921" w:type="pct"/>
            <w:vMerge w:val="restart"/>
            <w:vAlign w:val="center"/>
          </w:tcPr>
          <w:p w:rsidR="006448FB" w:rsidRPr="004863C5" w:rsidRDefault="006448FB" w:rsidP="00705836">
            <w:pPr>
              <w:spacing w:line="360" w:lineRule="exact"/>
              <w:jc w:val="center"/>
              <w:rPr>
                <w:kern w:val="0"/>
                <w:sz w:val="21"/>
                <w:szCs w:val="21"/>
              </w:rPr>
            </w:pPr>
            <w:r w:rsidRPr="004863C5">
              <w:rPr>
                <w:kern w:val="0"/>
                <w:sz w:val="21"/>
                <w:szCs w:val="21"/>
              </w:rPr>
              <w:t>是否考虑岸线熏烟</w:t>
            </w:r>
          </w:p>
        </w:tc>
        <w:tc>
          <w:tcPr>
            <w:tcW w:w="1492" w:type="pct"/>
            <w:vAlign w:val="center"/>
          </w:tcPr>
          <w:p w:rsidR="006448FB" w:rsidRPr="004863C5" w:rsidRDefault="006448FB" w:rsidP="00705836">
            <w:pPr>
              <w:spacing w:line="360" w:lineRule="exact"/>
              <w:jc w:val="center"/>
              <w:rPr>
                <w:sz w:val="21"/>
                <w:szCs w:val="21"/>
              </w:rPr>
            </w:pPr>
            <w:r w:rsidRPr="004863C5">
              <w:rPr>
                <w:kern w:val="0"/>
                <w:sz w:val="21"/>
                <w:szCs w:val="21"/>
              </w:rPr>
              <w:t>考虑岸线熏烟</w:t>
            </w:r>
          </w:p>
        </w:tc>
        <w:tc>
          <w:tcPr>
            <w:tcW w:w="1587" w:type="pct"/>
            <w:vAlign w:val="center"/>
          </w:tcPr>
          <w:p w:rsidR="006448FB" w:rsidRPr="004863C5" w:rsidRDefault="006448FB" w:rsidP="00705836">
            <w:pPr>
              <w:spacing w:line="360" w:lineRule="exact"/>
              <w:jc w:val="center"/>
              <w:rPr>
                <w:sz w:val="21"/>
                <w:szCs w:val="21"/>
              </w:rPr>
            </w:pPr>
            <w:r w:rsidRPr="004863C5">
              <w:rPr>
                <w:b/>
                <w:sz w:val="18"/>
                <w:szCs w:val="18"/>
              </w:rPr>
              <w:t>□</w:t>
            </w:r>
            <w:r w:rsidRPr="004863C5">
              <w:rPr>
                <w:rFonts w:hAnsi="宋体"/>
                <w:b/>
                <w:sz w:val="18"/>
                <w:szCs w:val="18"/>
              </w:rPr>
              <w:t>是</w:t>
            </w:r>
            <w:r w:rsidRPr="004863C5">
              <w:rPr>
                <w:b/>
                <w:sz w:val="18"/>
                <w:szCs w:val="18"/>
              </w:rPr>
              <w:t xml:space="preserve">   ■</w:t>
            </w:r>
            <w:r w:rsidRPr="004863C5">
              <w:rPr>
                <w:rFonts w:hAnsi="宋体"/>
                <w:b/>
                <w:sz w:val="18"/>
                <w:szCs w:val="18"/>
              </w:rPr>
              <w:t>否</w:t>
            </w:r>
          </w:p>
        </w:tc>
      </w:tr>
      <w:tr w:rsidR="006448FB" w:rsidRPr="004863C5" w:rsidTr="00705836">
        <w:trPr>
          <w:trHeight w:val="313"/>
          <w:jc w:val="center"/>
        </w:trPr>
        <w:tc>
          <w:tcPr>
            <w:tcW w:w="1921" w:type="pct"/>
            <w:vMerge/>
            <w:vAlign w:val="center"/>
          </w:tcPr>
          <w:p w:rsidR="006448FB" w:rsidRPr="004863C5" w:rsidRDefault="006448FB" w:rsidP="00705836">
            <w:pPr>
              <w:spacing w:line="360" w:lineRule="exact"/>
              <w:jc w:val="center"/>
              <w:rPr>
                <w:kern w:val="0"/>
                <w:sz w:val="21"/>
                <w:szCs w:val="21"/>
              </w:rPr>
            </w:pPr>
          </w:p>
        </w:tc>
        <w:tc>
          <w:tcPr>
            <w:tcW w:w="1492" w:type="pct"/>
            <w:vAlign w:val="center"/>
          </w:tcPr>
          <w:p w:rsidR="006448FB" w:rsidRPr="004863C5" w:rsidRDefault="006448FB" w:rsidP="00705836">
            <w:pPr>
              <w:spacing w:line="360" w:lineRule="exact"/>
              <w:jc w:val="center"/>
              <w:rPr>
                <w:sz w:val="21"/>
                <w:szCs w:val="21"/>
              </w:rPr>
            </w:pPr>
            <w:r w:rsidRPr="004863C5">
              <w:rPr>
                <w:sz w:val="21"/>
                <w:szCs w:val="21"/>
              </w:rPr>
              <w:t>岸线距离</w:t>
            </w:r>
            <w:r w:rsidRPr="004863C5">
              <w:rPr>
                <w:sz w:val="21"/>
                <w:szCs w:val="21"/>
              </w:rPr>
              <w:t xml:space="preserve"> / km</w:t>
            </w:r>
          </w:p>
        </w:tc>
        <w:tc>
          <w:tcPr>
            <w:tcW w:w="1587" w:type="pct"/>
            <w:vAlign w:val="center"/>
          </w:tcPr>
          <w:p w:rsidR="006448FB" w:rsidRPr="004863C5" w:rsidRDefault="006448FB" w:rsidP="00705836">
            <w:pPr>
              <w:spacing w:line="360" w:lineRule="exact"/>
              <w:jc w:val="center"/>
              <w:rPr>
                <w:sz w:val="21"/>
                <w:szCs w:val="21"/>
              </w:rPr>
            </w:pPr>
            <w:r w:rsidRPr="004863C5">
              <w:rPr>
                <w:sz w:val="21"/>
                <w:szCs w:val="21"/>
              </w:rPr>
              <w:t>/</w:t>
            </w:r>
          </w:p>
        </w:tc>
      </w:tr>
      <w:tr w:rsidR="006448FB" w:rsidRPr="004863C5" w:rsidTr="00705836">
        <w:trPr>
          <w:trHeight w:val="313"/>
          <w:jc w:val="center"/>
        </w:trPr>
        <w:tc>
          <w:tcPr>
            <w:tcW w:w="1921" w:type="pct"/>
            <w:vMerge/>
            <w:vAlign w:val="center"/>
          </w:tcPr>
          <w:p w:rsidR="006448FB" w:rsidRPr="004863C5" w:rsidRDefault="006448FB" w:rsidP="00705836">
            <w:pPr>
              <w:widowControl/>
              <w:spacing w:line="360" w:lineRule="exact"/>
              <w:jc w:val="center"/>
              <w:rPr>
                <w:kern w:val="0"/>
                <w:sz w:val="21"/>
                <w:szCs w:val="21"/>
              </w:rPr>
            </w:pPr>
          </w:p>
        </w:tc>
        <w:tc>
          <w:tcPr>
            <w:tcW w:w="1492" w:type="pct"/>
            <w:vAlign w:val="center"/>
          </w:tcPr>
          <w:p w:rsidR="006448FB" w:rsidRPr="004863C5" w:rsidRDefault="006448FB" w:rsidP="00705836">
            <w:pPr>
              <w:spacing w:line="360" w:lineRule="exact"/>
              <w:jc w:val="center"/>
              <w:rPr>
                <w:sz w:val="21"/>
                <w:szCs w:val="21"/>
              </w:rPr>
            </w:pPr>
            <w:r w:rsidRPr="004863C5">
              <w:rPr>
                <w:sz w:val="21"/>
                <w:szCs w:val="21"/>
              </w:rPr>
              <w:t>岸线方向</w:t>
            </w:r>
            <w:r w:rsidRPr="004863C5">
              <w:rPr>
                <w:sz w:val="21"/>
                <w:szCs w:val="21"/>
              </w:rPr>
              <w:t xml:space="preserve"> / ° </w:t>
            </w:r>
          </w:p>
        </w:tc>
        <w:tc>
          <w:tcPr>
            <w:tcW w:w="1587" w:type="pct"/>
            <w:vAlign w:val="center"/>
          </w:tcPr>
          <w:p w:rsidR="006448FB" w:rsidRPr="004863C5" w:rsidRDefault="006448FB" w:rsidP="00705836">
            <w:pPr>
              <w:spacing w:line="360" w:lineRule="exact"/>
              <w:jc w:val="center"/>
              <w:rPr>
                <w:sz w:val="21"/>
                <w:szCs w:val="21"/>
              </w:rPr>
            </w:pPr>
            <w:r w:rsidRPr="004863C5">
              <w:rPr>
                <w:sz w:val="21"/>
                <w:szCs w:val="21"/>
              </w:rPr>
              <w:t>/</w:t>
            </w:r>
          </w:p>
        </w:tc>
      </w:tr>
    </w:tbl>
    <w:p w:rsidR="00D81CD3" w:rsidRDefault="00D81CD3" w:rsidP="00D81CD3">
      <w:pPr>
        <w:adjustRightInd w:val="0"/>
        <w:snapToGrid w:val="0"/>
        <w:spacing w:line="520" w:lineRule="exact"/>
        <w:ind w:firstLineChars="200" w:firstLine="480"/>
        <w:rPr>
          <w:sz w:val="24"/>
        </w:rPr>
      </w:pPr>
      <w:r w:rsidRPr="004863C5">
        <w:rPr>
          <w:sz w:val="24"/>
        </w:rPr>
        <w:t>本项目面源预测结果见表</w:t>
      </w:r>
      <w:r w:rsidRPr="004863C5">
        <w:rPr>
          <w:sz w:val="24"/>
        </w:rPr>
        <w:t>6.</w:t>
      </w:r>
      <w:r w:rsidR="006448FB" w:rsidRPr="004863C5">
        <w:rPr>
          <w:sz w:val="24"/>
        </w:rPr>
        <w:t>1-</w:t>
      </w:r>
      <w:r w:rsidR="00114B89">
        <w:rPr>
          <w:rFonts w:hint="eastAsia"/>
          <w:sz w:val="24"/>
        </w:rPr>
        <w:t>6</w:t>
      </w:r>
      <w:r w:rsidRPr="004863C5">
        <w:rPr>
          <w:sz w:val="24"/>
        </w:rPr>
        <w:t>。</w:t>
      </w:r>
    </w:p>
    <w:p w:rsidR="00114B89" w:rsidRPr="00114B89" w:rsidRDefault="00114B89" w:rsidP="00114B89">
      <w:pPr>
        <w:pStyle w:val="a1"/>
      </w:pPr>
    </w:p>
    <w:p w:rsidR="00D26253" w:rsidRDefault="00D26253" w:rsidP="00D81CD3">
      <w:pPr>
        <w:spacing w:line="560" w:lineRule="exact"/>
        <w:jc w:val="center"/>
        <w:rPr>
          <w:rFonts w:eastAsia="黑体" w:hAnsi="黑体"/>
          <w:sz w:val="24"/>
        </w:rPr>
      </w:pPr>
    </w:p>
    <w:p w:rsidR="00D81CD3" w:rsidRPr="004863C5" w:rsidRDefault="00D81CD3" w:rsidP="00D81CD3">
      <w:pPr>
        <w:spacing w:line="560" w:lineRule="exact"/>
        <w:jc w:val="center"/>
        <w:rPr>
          <w:rFonts w:eastAsia="黑体"/>
          <w:sz w:val="24"/>
        </w:rPr>
      </w:pPr>
      <w:r w:rsidRPr="004863C5">
        <w:rPr>
          <w:rFonts w:eastAsia="黑体" w:hAnsi="黑体"/>
          <w:sz w:val="24"/>
        </w:rPr>
        <w:lastRenderedPageBreak/>
        <w:t>表</w:t>
      </w:r>
      <w:r w:rsidRPr="004863C5">
        <w:rPr>
          <w:rFonts w:eastAsia="黑体"/>
          <w:sz w:val="24"/>
        </w:rPr>
        <w:t>6.</w:t>
      </w:r>
      <w:r w:rsidR="006448FB" w:rsidRPr="004863C5">
        <w:rPr>
          <w:rFonts w:eastAsia="黑体"/>
          <w:sz w:val="24"/>
        </w:rPr>
        <w:t>1-</w:t>
      </w:r>
      <w:r w:rsidR="00114B89">
        <w:rPr>
          <w:rFonts w:eastAsia="黑体" w:hint="eastAsia"/>
          <w:sz w:val="24"/>
        </w:rPr>
        <w:t>6</w:t>
      </w:r>
      <w:r w:rsidRPr="004863C5">
        <w:rPr>
          <w:rFonts w:eastAsia="黑体"/>
          <w:sz w:val="24"/>
        </w:rPr>
        <w:t xml:space="preserve">    </w:t>
      </w:r>
      <w:r w:rsidRPr="004863C5">
        <w:rPr>
          <w:rFonts w:eastAsia="黑体" w:hAnsi="黑体"/>
          <w:sz w:val="24"/>
        </w:rPr>
        <w:t>运营期扬尘预测结果情况一览表</w:t>
      </w:r>
    </w:p>
    <w:tbl>
      <w:tblPr>
        <w:tblW w:w="9007" w:type="dxa"/>
        <w:jc w:val="center"/>
        <w:tblInd w:w="8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24"/>
        <w:gridCol w:w="626"/>
        <w:gridCol w:w="746"/>
        <w:gridCol w:w="789"/>
        <w:gridCol w:w="859"/>
        <w:gridCol w:w="2632"/>
        <w:gridCol w:w="1674"/>
        <w:gridCol w:w="1057"/>
      </w:tblGrid>
      <w:tr w:rsidR="00D81CD3" w:rsidRPr="004863C5" w:rsidTr="009614A0">
        <w:trPr>
          <w:trHeight w:val="356"/>
          <w:tblHeader/>
          <w:jc w:val="center"/>
        </w:trPr>
        <w:tc>
          <w:tcPr>
            <w:tcW w:w="0" w:type="auto"/>
            <w:vMerge w:val="restart"/>
            <w:vAlign w:val="center"/>
          </w:tcPr>
          <w:p w:rsidR="00D81CD3" w:rsidRPr="004863C5" w:rsidRDefault="00D81CD3" w:rsidP="00705836">
            <w:pPr>
              <w:pStyle w:val="18-"/>
              <w:rPr>
                <w:rFonts w:hAnsi="Times New Roman"/>
              </w:rPr>
            </w:pPr>
            <w:r w:rsidRPr="004863C5">
              <w:rPr>
                <w:rFonts w:hAnsi="Times New Roman"/>
              </w:rPr>
              <w:t>污染物</w:t>
            </w:r>
          </w:p>
        </w:tc>
        <w:tc>
          <w:tcPr>
            <w:tcW w:w="0" w:type="auto"/>
            <w:gridSpan w:val="3"/>
            <w:tcBorders>
              <w:bottom w:val="single" w:sz="4" w:space="0" w:color="auto"/>
            </w:tcBorders>
            <w:shd w:val="clear" w:color="auto" w:fill="auto"/>
            <w:vAlign w:val="center"/>
          </w:tcPr>
          <w:p w:rsidR="00D81CD3" w:rsidRPr="004863C5" w:rsidRDefault="00D81CD3" w:rsidP="00705836">
            <w:pPr>
              <w:pStyle w:val="18-"/>
              <w:rPr>
                <w:rFonts w:hAnsi="Times New Roman"/>
              </w:rPr>
            </w:pPr>
            <w:r w:rsidRPr="004863C5">
              <w:rPr>
                <w:rFonts w:hAnsi="Times New Roman"/>
              </w:rPr>
              <w:t>排放源</w:t>
            </w:r>
          </w:p>
        </w:tc>
        <w:tc>
          <w:tcPr>
            <w:tcW w:w="0" w:type="auto"/>
            <w:vMerge w:val="restart"/>
            <w:tcBorders>
              <w:left w:val="single" w:sz="4" w:space="0" w:color="auto"/>
            </w:tcBorders>
            <w:shd w:val="clear" w:color="auto" w:fill="auto"/>
            <w:vAlign w:val="center"/>
          </w:tcPr>
          <w:p w:rsidR="00D81CD3" w:rsidRPr="004863C5" w:rsidRDefault="00D81CD3" w:rsidP="00705836">
            <w:pPr>
              <w:pStyle w:val="18-"/>
              <w:rPr>
                <w:rFonts w:hAnsi="Times New Roman"/>
              </w:rPr>
            </w:pPr>
            <w:r w:rsidRPr="004863C5">
              <w:rPr>
                <w:rFonts w:hAnsi="Times New Roman"/>
              </w:rPr>
              <w:t>排放速率</w:t>
            </w:r>
          </w:p>
        </w:tc>
        <w:tc>
          <w:tcPr>
            <w:tcW w:w="0" w:type="auto"/>
            <w:vMerge w:val="restart"/>
            <w:tcBorders>
              <w:left w:val="single" w:sz="4" w:space="0" w:color="auto"/>
            </w:tcBorders>
            <w:vAlign w:val="center"/>
          </w:tcPr>
          <w:p w:rsidR="00D81CD3" w:rsidRPr="004863C5" w:rsidRDefault="00D81CD3" w:rsidP="00705836">
            <w:pPr>
              <w:pStyle w:val="18-"/>
              <w:rPr>
                <w:rFonts w:hAnsi="Times New Roman"/>
              </w:rPr>
            </w:pPr>
            <w:r w:rsidRPr="004863C5">
              <w:rPr>
                <w:rFonts w:hAnsi="Times New Roman"/>
              </w:rPr>
              <w:t>最大地面浓度出现的下风距离</w:t>
            </w:r>
          </w:p>
        </w:tc>
        <w:tc>
          <w:tcPr>
            <w:tcW w:w="0" w:type="auto"/>
            <w:vMerge w:val="restart"/>
            <w:tcBorders>
              <w:left w:val="single" w:sz="4" w:space="0" w:color="auto"/>
            </w:tcBorders>
            <w:vAlign w:val="center"/>
          </w:tcPr>
          <w:p w:rsidR="00D81CD3" w:rsidRPr="004863C5" w:rsidRDefault="00D81CD3" w:rsidP="00705836">
            <w:pPr>
              <w:pStyle w:val="18-"/>
              <w:rPr>
                <w:rFonts w:hAnsi="Times New Roman"/>
              </w:rPr>
            </w:pPr>
            <w:r w:rsidRPr="004863C5">
              <w:rPr>
                <w:rFonts w:hAnsi="Times New Roman"/>
              </w:rPr>
              <w:t>单个最大地面浓度</w:t>
            </w:r>
          </w:p>
        </w:tc>
        <w:tc>
          <w:tcPr>
            <w:tcW w:w="0" w:type="auto"/>
            <w:vMerge w:val="restart"/>
            <w:tcBorders>
              <w:left w:val="single" w:sz="4" w:space="0" w:color="auto"/>
            </w:tcBorders>
            <w:vAlign w:val="center"/>
          </w:tcPr>
          <w:p w:rsidR="00D81CD3" w:rsidRPr="004863C5" w:rsidRDefault="00D81CD3" w:rsidP="00705836">
            <w:pPr>
              <w:pStyle w:val="18-"/>
              <w:rPr>
                <w:rFonts w:hAnsi="Times New Roman"/>
              </w:rPr>
            </w:pPr>
            <w:r w:rsidRPr="004863C5">
              <w:rPr>
                <w:rFonts w:hAnsi="Times New Roman"/>
              </w:rPr>
              <w:t>最大占标率</w:t>
            </w:r>
          </w:p>
        </w:tc>
      </w:tr>
      <w:tr w:rsidR="00D81CD3" w:rsidRPr="004863C5" w:rsidTr="009614A0">
        <w:trPr>
          <w:trHeight w:val="431"/>
          <w:tblHeader/>
          <w:jc w:val="center"/>
        </w:trPr>
        <w:tc>
          <w:tcPr>
            <w:tcW w:w="0" w:type="auto"/>
            <w:vMerge/>
            <w:vAlign w:val="center"/>
          </w:tcPr>
          <w:p w:rsidR="00D81CD3" w:rsidRPr="004863C5" w:rsidRDefault="00D81CD3" w:rsidP="00705836">
            <w:pPr>
              <w:pStyle w:val="18-"/>
              <w:rPr>
                <w:rFonts w:hAnsi="Times New Roman"/>
              </w:rPr>
            </w:pPr>
          </w:p>
        </w:tc>
        <w:tc>
          <w:tcPr>
            <w:tcW w:w="0" w:type="auto"/>
            <w:vMerge w:val="restart"/>
            <w:tcBorders>
              <w:top w:val="single" w:sz="4" w:space="0" w:color="auto"/>
              <w:right w:val="single" w:sz="4" w:space="0" w:color="auto"/>
            </w:tcBorders>
            <w:shd w:val="clear" w:color="auto" w:fill="auto"/>
            <w:vAlign w:val="center"/>
          </w:tcPr>
          <w:p w:rsidR="00D81CD3" w:rsidRPr="004863C5" w:rsidRDefault="00D81CD3" w:rsidP="00705836">
            <w:pPr>
              <w:pStyle w:val="18-"/>
              <w:rPr>
                <w:rFonts w:hAnsi="Times New Roman"/>
              </w:rPr>
            </w:pPr>
            <w:r w:rsidRPr="004863C5">
              <w:rPr>
                <w:rFonts w:hAnsi="Times New Roman"/>
              </w:rPr>
              <w:t>排放源</w:t>
            </w:r>
          </w:p>
        </w:tc>
        <w:tc>
          <w:tcPr>
            <w:tcW w:w="0" w:type="auto"/>
            <w:gridSpan w:val="2"/>
            <w:tcBorders>
              <w:top w:val="single" w:sz="4" w:space="0" w:color="auto"/>
              <w:left w:val="single" w:sz="4" w:space="0" w:color="auto"/>
            </w:tcBorders>
            <w:shd w:val="clear" w:color="auto" w:fill="auto"/>
            <w:vAlign w:val="center"/>
          </w:tcPr>
          <w:p w:rsidR="00D81CD3" w:rsidRPr="004863C5" w:rsidRDefault="00D81CD3" w:rsidP="00705836">
            <w:pPr>
              <w:pStyle w:val="18-"/>
              <w:rPr>
                <w:rFonts w:hAnsi="Times New Roman"/>
              </w:rPr>
            </w:pPr>
            <w:r w:rsidRPr="004863C5">
              <w:rPr>
                <w:rFonts w:hAnsi="Times New Roman"/>
              </w:rPr>
              <w:t>排放源参数</w:t>
            </w:r>
          </w:p>
        </w:tc>
        <w:tc>
          <w:tcPr>
            <w:tcW w:w="0" w:type="auto"/>
            <w:vMerge/>
            <w:tcBorders>
              <w:left w:val="single" w:sz="4" w:space="0" w:color="auto"/>
            </w:tcBorders>
            <w:shd w:val="clear" w:color="auto" w:fill="auto"/>
            <w:vAlign w:val="center"/>
          </w:tcPr>
          <w:p w:rsidR="00D81CD3" w:rsidRPr="004863C5" w:rsidRDefault="00D81CD3" w:rsidP="00705836">
            <w:pPr>
              <w:pStyle w:val="18-"/>
              <w:rPr>
                <w:rFonts w:hAnsi="Times New Roman"/>
              </w:rPr>
            </w:pPr>
          </w:p>
        </w:tc>
        <w:tc>
          <w:tcPr>
            <w:tcW w:w="0" w:type="auto"/>
            <w:vMerge/>
            <w:tcBorders>
              <w:left w:val="single" w:sz="4" w:space="0" w:color="auto"/>
            </w:tcBorders>
          </w:tcPr>
          <w:p w:rsidR="00D81CD3" w:rsidRPr="004863C5" w:rsidRDefault="00D81CD3" w:rsidP="00705836">
            <w:pPr>
              <w:pStyle w:val="18-"/>
              <w:rPr>
                <w:rFonts w:hAnsi="Times New Roman"/>
              </w:rPr>
            </w:pPr>
          </w:p>
        </w:tc>
        <w:tc>
          <w:tcPr>
            <w:tcW w:w="0" w:type="auto"/>
            <w:vMerge/>
            <w:tcBorders>
              <w:left w:val="single" w:sz="4" w:space="0" w:color="auto"/>
            </w:tcBorders>
          </w:tcPr>
          <w:p w:rsidR="00D81CD3" w:rsidRPr="004863C5" w:rsidRDefault="00D81CD3" w:rsidP="00705836">
            <w:pPr>
              <w:pStyle w:val="18-"/>
              <w:rPr>
                <w:rFonts w:hAnsi="Times New Roman"/>
              </w:rPr>
            </w:pPr>
          </w:p>
        </w:tc>
        <w:tc>
          <w:tcPr>
            <w:tcW w:w="0" w:type="auto"/>
            <w:vMerge/>
            <w:tcBorders>
              <w:left w:val="single" w:sz="4" w:space="0" w:color="auto"/>
            </w:tcBorders>
          </w:tcPr>
          <w:p w:rsidR="00D81CD3" w:rsidRPr="004863C5" w:rsidRDefault="00D81CD3" w:rsidP="00705836">
            <w:pPr>
              <w:pStyle w:val="18-"/>
              <w:rPr>
                <w:rFonts w:hAnsi="Times New Roman"/>
              </w:rPr>
            </w:pPr>
          </w:p>
        </w:tc>
      </w:tr>
      <w:tr w:rsidR="00D81CD3" w:rsidRPr="004863C5" w:rsidTr="00E26ACD">
        <w:trPr>
          <w:trHeight w:val="457"/>
          <w:tblHeader/>
          <w:jc w:val="center"/>
        </w:trPr>
        <w:tc>
          <w:tcPr>
            <w:tcW w:w="0" w:type="auto"/>
            <w:vMerge/>
            <w:vAlign w:val="center"/>
          </w:tcPr>
          <w:p w:rsidR="00D81CD3" w:rsidRPr="004863C5" w:rsidRDefault="00D81CD3" w:rsidP="00705836">
            <w:pPr>
              <w:pStyle w:val="18-"/>
              <w:rPr>
                <w:rFonts w:hAnsi="Times New Roman"/>
              </w:rPr>
            </w:pPr>
          </w:p>
        </w:tc>
        <w:tc>
          <w:tcPr>
            <w:tcW w:w="0" w:type="auto"/>
            <w:vMerge/>
            <w:tcBorders>
              <w:right w:val="single" w:sz="4" w:space="0" w:color="auto"/>
            </w:tcBorders>
            <w:shd w:val="clear" w:color="auto" w:fill="auto"/>
            <w:vAlign w:val="center"/>
          </w:tcPr>
          <w:p w:rsidR="00D81CD3" w:rsidRPr="004863C5" w:rsidRDefault="00D81CD3" w:rsidP="00705836">
            <w:pPr>
              <w:pStyle w:val="18-"/>
              <w:rPr>
                <w:rFonts w:hAnsi="Times New Roman"/>
              </w:rPr>
            </w:pPr>
          </w:p>
        </w:tc>
        <w:tc>
          <w:tcPr>
            <w:tcW w:w="0" w:type="auto"/>
            <w:tcBorders>
              <w:left w:val="single" w:sz="4" w:space="0" w:color="auto"/>
              <w:right w:val="single" w:sz="4" w:space="0" w:color="auto"/>
            </w:tcBorders>
            <w:shd w:val="clear" w:color="auto" w:fill="auto"/>
            <w:vAlign w:val="center"/>
          </w:tcPr>
          <w:p w:rsidR="00D81CD3" w:rsidRPr="004863C5" w:rsidRDefault="00D81CD3" w:rsidP="00E26ACD">
            <w:pPr>
              <w:pStyle w:val="18-"/>
              <w:rPr>
                <w:rFonts w:hAnsi="Times New Roman"/>
              </w:rPr>
            </w:pPr>
            <w:r w:rsidRPr="004863C5">
              <w:rPr>
                <w:rFonts w:hAnsi="Times New Roman"/>
              </w:rPr>
              <w:t>H</w:t>
            </w:r>
            <w:r w:rsidRPr="004863C5">
              <w:rPr>
                <w:rFonts w:hAnsi="Times New Roman"/>
              </w:rPr>
              <w:t>（</w:t>
            </w:r>
            <w:r w:rsidRPr="004863C5">
              <w:rPr>
                <w:rFonts w:hAnsi="Times New Roman"/>
              </w:rPr>
              <w:t>m</w:t>
            </w:r>
            <w:r w:rsidRPr="004863C5">
              <w:rPr>
                <w:rFonts w:hAnsi="Times New Roman"/>
              </w:rPr>
              <w:t>）</w:t>
            </w:r>
          </w:p>
        </w:tc>
        <w:tc>
          <w:tcPr>
            <w:tcW w:w="0" w:type="auto"/>
            <w:tcBorders>
              <w:left w:val="single" w:sz="4" w:space="0" w:color="auto"/>
            </w:tcBorders>
            <w:shd w:val="clear" w:color="auto" w:fill="auto"/>
            <w:vAlign w:val="center"/>
          </w:tcPr>
          <w:p w:rsidR="00D81CD3" w:rsidRPr="004863C5" w:rsidRDefault="00D81CD3" w:rsidP="00E26ACD">
            <w:pPr>
              <w:pStyle w:val="18-"/>
              <w:rPr>
                <w:rFonts w:hAnsi="Times New Roman"/>
              </w:rPr>
            </w:pPr>
            <w:r w:rsidRPr="004863C5">
              <w:rPr>
                <w:rFonts w:hAnsi="Times New Roman"/>
              </w:rPr>
              <w:t>S</w:t>
            </w:r>
            <w:r w:rsidRPr="004863C5">
              <w:rPr>
                <w:rFonts w:hAnsi="Times New Roman"/>
              </w:rPr>
              <w:t>（</w:t>
            </w:r>
            <w:r w:rsidRPr="004863C5">
              <w:rPr>
                <w:rFonts w:hAnsi="Times New Roman"/>
              </w:rPr>
              <w:t>m</w:t>
            </w:r>
            <w:r w:rsidRPr="004863C5">
              <w:rPr>
                <w:rFonts w:hAnsi="Times New Roman"/>
                <w:vertAlign w:val="superscript"/>
              </w:rPr>
              <w:t>2</w:t>
            </w:r>
            <w:r w:rsidRPr="004863C5">
              <w:rPr>
                <w:rFonts w:hAnsi="Times New Roman"/>
              </w:rPr>
              <w:t>）</w:t>
            </w:r>
          </w:p>
        </w:tc>
        <w:tc>
          <w:tcPr>
            <w:tcW w:w="0" w:type="auto"/>
            <w:tcBorders>
              <w:left w:val="single" w:sz="4" w:space="0" w:color="auto"/>
              <w:right w:val="single" w:sz="4" w:space="0" w:color="auto"/>
            </w:tcBorders>
            <w:vAlign w:val="center"/>
          </w:tcPr>
          <w:p w:rsidR="00D81CD3" w:rsidRPr="004863C5" w:rsidRDefault="00D81CD3" w:rsidP="00E26ACD">
            <w:pPr>
              <w:pStyle w:val="18-"/>
              <w:rPr>
                <w:rFonts w:hAnsi="Times New Roman"/>
              </w:rPr>
            </w:pPr>
            <w:r w:rsidRPr="004863C5">
              <w:rPr>
                <w:rFonts w:hAnsi="Times New Roman"/>
              </w:rPr>
              <w:t>g/s</w:t>
            </w:r>
          </w:p>
        </w:tc>
        <w:tc>
          <w:tcPr>
            <w:tcW w:w="0" w:type="auto"/>
            <w:tcBorders>
              <w:left w:val="single" w:sz="4" w:space="0" w:color="auto"/>
            </w:tcBorders>
            <w:vAlign w:val="center"/>
          </w:tcPr>
          <w:p w:rsidR="00D81CD3" w:rsidRPr="004863C5" w:rsidRDefault="00D81CD3" w:rsidP="00E26ACD">
            <w:pPr>
              <w:pStyle w:val="18-"/>
              <w:rPr>
                <w:rFonts w:hAnsi="Times New Roman"/>
              </w:rPr>
            </w:pPr>
            <w:r w:rsidRPr="004863C5">
              <w:rPr>
                <w:rFonts w:hAnsi="Times New Roman"/>
              </w:rPr>
              <w:t>（</w:t>
            </w:r>
            <w:r w:rsidRPr="004863C5">
              <w:rPr>
                <w:rFonts w:hAnsi="Times New Roman"/>
              </w:rPr>
              <w:t>m</w:t>
            </w:r>
            <w:r w:rsidRPr="004863C5">
              <w:rPr>
                <w:rFonts w:hAnsi="Times New Roman"/>
              </w:rPr>
              <w:t>）</w:t>
            </w:r>
          </w:p>
        </w:tc>
        <w:tc>
          <w:tcPr>
            <w:tcW w:w="0" w:type="auto"/>
            <w:tcBorders>
              <w:left w:val="single" w:sz="4" w:space="0" w:color="auto"/>
            </w:tcBorders>
            <w:shd w:val="clear" w:color="auto" w:fill="auto"/>
            <w:vAlign w:val="center"/>
          </w:tcPr>
          <w:p w:rsidR="00D81CD3" w:rsidRPr="004863C5" w:rsidRDefault="00D81CD3" w:rsidP="00E26ACD">
            <w:pPr>
              <w:pStyle w:val="18-"/>
              <w:rPr>
                <w:rFonts w:hAnsi="Times New Roman"/>
              </w:rPr>
            </w:pPr>
            <w:r w:rsidRPr="004863C5">
              <w:rPr>
                <w:rFonts w:hAnsi="Times New Roman"/>
              </w:rPr>
              <w:t>（</w:t>
            </w:r>
            <w:r w:rsidR="006448FB" w:rsidRPr="004863C5">
              <w:rPr>
                <w:rFonts w:hAnsi="Times New Roman"/>
              </w:rPr>
              <w:t>m</w:t>
            </w:r>
            <w:r w:rsidRPr="004863C5">
              <w:rPr>
                <w:rFonts w:hAnsi="Times New Roman"/>
              </w:rPr>
              <w:t>g/m</w:t>
            </w:r>
            <w:r w:rsidRPr="004863C5">
              <w:rPr>
                <w:rFonts w:hAnsi="Times New Roman"/>
                <w:vertAlign w:val="superscript"/>
              </w:rPr>
              <w:t>3</w:t>
            </w:r>
            <w:r w:rsidRPr="004863C5">
              <w:rPr>
                <w:rFonts w:hAnsi="Times New Roman"/>
              </w:rPr>
              <w:t>）</w:t>
            </w:r>
          </w:p>
        </w:tc>
        <w:tc>
          <w:tcPr>
            <w:tcW w:w="0" w:type="auto"/>
            <w:tcBorders>
              <w:left w:val="single" w:sz="4" w:space="0" w:color="auto"/>
            </w:tcBorders>
            <w:vAlign w:val="center"/>
          </w:tcPr>
          <w:p w:rsidR="00D81CD3" w:rsidRPr="004863C5" w:rsidRDefault="00D81CD3" w:rsidP="00E26ACD">
            <w:pPr>
              <w:pStyle w:val="18-"/>
              <w:rPr>
                <w:rFonts w:hAnsi="Times New Roman"/>
              </w:rPr>
            </w:pPr>
            <w:r w:rsidRPr="004863C5">
              <w:rPr>
                <w:rFonts w:hAnsi="Times New Roman"/>
              </w:rPr>
              <w:t>Pmax %</w:t>
            </w:r>
          </w:p>
        </w:tc>
      </w:tr>
      <w:tr w:rsidR="00D81CD3" w:rsidRPr="004863C5" w:rsidTr="009614A0">
        <w:trPr>
          <w:trHeight w:val="179"/>
          <w:jc w:val="center"/>
        </w:trPr>
        <w:tc>
          <w:tcPr>
            <w:tcW w:w="0" w:type="auto"/>
            <w:tcBorders>
              <w:top w:val="single" w:sz="4" w:space="0" w:color="auto"/>
            </w:tcBorders>
            <w:vAlign w:val="center"/>
          </w:tcPr>
          <w:p w:rsidR="00D81CD3" w:rsidRPr="004863C5" w:rsidRDefault="00D81CD3" w:rsidP="00705836">
            <w:pPr>
              <w:pStyle w:val="18-"/>
              <w:rPr>
                <w:rFonts w:hAnsi="Times New Roman"/>
              </w:rPr>
            </w:pPr>
            <w:r w:rsidRPr="004863C5">
              <w:rPr>
                <w:rFonts w:hAnsi="Times New Roman"/>
              </w:rPr>
              <w:t>颗粒物</w:t>
            </w:r>
          </w:p>
        </w:tc>
        <w:tc>
          <w:tcPr>
            <w:tcW w:w="0" w:type="auto"/>
            <w:tcBorders>
              <w:top w:val="single" w:sz="4" w:space="0" w:color="auto"/>
            </w:tcBorders>
            <w:shd w:val="clear" w:color="auto" w:fill="auto"/>
            <w:vAlign w:val="center"/>
          </w:tcPr>
          <w:p w:rsidR="00D81CD3" w:rsidRPr="004863C5" w:rsidRDefault="00802A62" w:rsidP="00705836">
            <w:pPr>
              <w:jc w:val="center"/>
              <w:rPr>
                <w:spacing w:val="2"/>
                <w:sz w:val="21"/>
                <w:szCs w:val="21"/>
              </w:rPr>
            </w:pPr>
            <w:r>
              <w:rPr>
                <w:rFonts w:hAnsi="宋体"/>
                <w:spacing w:val="2"/>
                <w:sz w:val="21"/>
                <w:szCs w:val="21"/>
              </w:rPr>
              <w:t>储煤库</w:t>
            </w:r>
          </w:p>
        </w:tc>
        <w:tc>
          <w:tcPr>
            <w:tcW w:w="0" w:type="auto"/>
            <w:tcBorders>
              <w:right w:val="single" w:sz="4" w:space="0" w:color="auto"/>
            </w:tcBorders>
            <w:shd w:val="clear" w:color="auto" w:fill="auto"/>
            <w:vAlign w:val="center"/>
          </w:tcPr>
          <w:p w:rsidR="00D81CD3" w:rsidRPr="004863C5" w:rsidRDefault="00D81CD3" w:rsidP="00705836">
            <w:pPr>
              <w:jc w:val="center"/>
              <w:rPr>
                <w:spacing w:val="2"/>
                <w:sz w:val="21"/>
                <w:szCs w:val="21"/>
              </w:rPr>
            </w:pPr>
            <w:r w:rsidRPr="004863C5">
              <w:rPr>
                <w:spacing w:val="2"/>
                <w:sz w:val="21"/>
                <w:szCs w:val="21"/>
              </w:rPr>
              <w:t>15</w:t>
            </w:r>
          </w:p>
        </w:tc>
        <w:tc>
          <w:tcPr>
            <w:tcW w:w="0" w:type="auto"/>
            <w:tcBorders>
              <w:left w:val="single" w:sz="4" w:space="0" w:color="auto"/>
            </w:tcBorders>
            <w:shd w:val="clear" w:color="auto" w:fill="auto"/>
            <w:vAlign w:val="center"/>
          </w:tcPr>
          <w:p w:rsidR="00D81CD3" w:rsidRPr="004863C5" w:rsidRDefault="006448FB" w:rsidP="00705836">
            <w:pPr>
              <w:jc w:val="center"/>
              <w:rPr>
                <w:spacing w:val="2"/>
                <w:sz w:val="21"/>
                <w:szCs w:val="21"/>
              </w:rPr>
            </w:pPr>
            <w:r w:rsidRPr="004863C5">
              <w:rPr>
                <w:spacing w:val="2"/>
                <w:sz w:val="21"/>
                <w:szCs w:val="21"/>
              </w:rPr>
              <w:t>12</w:t>
            </w:r>
            <w:r w:rsidR="00D81CD3" w:rsidRPr="004863C5">
              <w:rPr>
                <w:spacing w:val="2"/>
                <w:sz w:val="21"/>
                <w:szCs w:val="21"/>
              </w:rPr>
              <w:t>00</w:t>
            </w:r>
          </w:p>
        </w:tc>
        <w:tc>
          <w:tcPr>
            <w:tcW w:w="0" w:type="auto"/>
            <w:tcBorders>
              <w:left w:val="single" w:sz="4" w:space="0" w:color="auto"/>
              <w:right w:val="single" w:sz="4" w:space="0" w:color="auto"/>
            </w:tcBorders>
            <w:vAlign w:val="center"/>
          </w:tcPr>
          <w:p w:rsidR="00D81CD3" w:rsidRPr="004863C5" w:rsidRDefault="00D81CD3" w:rsidP="006448FB">
            <w:pPr>
              <w:widowControl/>
              <w:jc w:val="center"/>
              <w:rPr>
                <w:kern w:val="0"/>
                <w:sz w:val="21"/>
                <w:szCs w:val="21"/>
              </w:rPr>
            </w:pPr>
            <w:r w:rsidRPr="004863C5">
              <w:rPr>
                <w:sz w:val="21"/>
                <w:szCs w:val="21"/>
              </w:rPr>
              <w:t>0.0</w:t>
            </w:r>
            <w:r w:rsidR="006448FB" w:rsidRPr="004863C5">
              <w:rPr>
                <w:sz w:val="21"/>
                <w:szCs w:val="21"/>
              </w:rPr>
              <w:t>1046</w:t>
            </w:r>
          </w:p>
        </w:tc>
        <w:tc>
          <w:tcPr>
            <w:tcW w:w="0" w:type="auto"/>
            <w:tcBorders>
              <w:left w:val="single" w:sz="4" w:space="0" w:color="auto"/>
            </w:tcBorders>
            <w:vAlign w:val="center"/>
          </w:tcPr>
          <w:p w:rsidR="00D81CD3" w:rsidRPr="004863C5" w:rsidRDefault="006448FB" w:rsidP="00705836">
            <w:pPr>
              <w:pStyle w:val="18-"/>
              <w:rPr>
                <w:rFonts w:hAnsi="Times New Roman"/>
              </w:rPr>
            </w:pPr>
            <w:r w:rsidRPr="004863C5">
              <w:rPr>
                <w:rFonts w:hAnsi="Times New Roman"/>
              </w:rPr>
              <w:t>43</w:t>
            </w:r>
          </w:p>
        </w:tc>
        <w:tc>
          <w:tcPr>
            <w:tcW w:w="0" w:type="auto"/>
            <w:tcBorders>
              <w:left w:val="single" w:sz="4" w:space="0" w:color="auto"/>
            </w:tcBorders>
            <w:shd w:val="clear" w:color="auto" w:fill="auto"/>
            <w:vAlign w:val="center"/>
          </w:tcPr>
          <w:p w:rsidR="00D81CD3" w:rsidRPr="004863C5" w:rsidRDefault="006448FB" w:rsidP="006448FB">
            <w:pPr>
              <w:pStyle w:val="18-"/>
              <w:rPr>
                <w:rFonts w:hAnsi="Times New Roman"/>
              </w:rPr>
            </w:pPr>
            <w:r w:rsidRPr="004863C5">
              <w:rPr>
                <w:rFonts w:hAnsi="Times New Roman"/>
              </w:rPr>
              <w:t>0.021365</w:t>
            </w:r>
          </w:p>
        </w:tc>
        <w:tc>
          <w:tcPr>
            <w:tcW w:w="0" w:type="auto"/>
            <w:tcBorders>
              <w:left w:val="single" w:sz="4" w:space="0" w:color="auto"/>
            </w:tcBorders>
            <w:vAlign w:val="center"/>
          </w:tcPr>
          <w:p w:rsidR="00D81CD3" w:rsidRPr="004863C5" w:rsidRDefault="006448FB" w:rsidP="00705836">
            <w:pPr>
              <w:pStyle w:val="18-"/>
              <w:rPr>
                <w:rFonts w:hAnsi="Times New Roman"/>
              </w:rPr>
            </w:pPr>
            <w:r w:rsidRPr="004863C5">
              <w:rPr>
                <w:rFonts w:hAnsi="Times New Roman"/>
              </w:rPr>
              <w:t>2.37</w:t>
            </w:r>
          </w:p>
        </w:tc>
      </w:tr>
    </w:tbl>
    <w:p w:rsidR="00114B89" w:rsidRPr="00114B89" w:rsidRDefault="00D81CD3" w:rsidP="00D81CD3">
      <w:pPr>
        <w:spacing w:line="520" w:lineRule="exact"/>
        <w:ind w:firstLineChars="200" w:firstLine="480"/>
        <w:rPr>
          <w:sz w:val="24"/>
        </w:rPr>
      </w:pPr>
      <w:r w:rsidRPr="00114B89">
        <w:rPr>
          <w:rFonts w:hAnsiTheme="minorEastAsia"/>
          <w:sz w:val="24"/>
        </w:rPr>
        <w:t>由表</w:t>
      </w:r>
      <w:r w:rsidRPr="00114B89">
        <w:rPr>
          <w:sz w:val="24"/>
        </w:rPr>
        <w:t>6.</w:t>
      </w:r>
      <w:r w:rsidR="006448FB" w:rsidRPr="00114B89">
        <w:rPr>
          <w:sz w:val="24"/>
        </w:rPr>
        <w:t>1-3</w:t>
      </w:r>
      <w:r w:rsidRPr="00114B89">
        <w:rPr>
          <w:rFonts w:hAnsiTheme="minorEastAsia"/>
          <w:sz w:val="24"/>
        </w:rPr>
        <w:t>可知，本项目</w:t>
      </w:r>
      <w:r w:rsidR="00802A62" w:rsidRPr="00114B89">
        <w:rPr>
          <w:rFonts w:hAnsiTheme="minorEastAsia"/>
          <w:sz w:val="24"/>
        </w:rPr>
        <w:t>储煤库</w:t>
      </w:r>
      <w:r w:rsidR="006448FB" w:rsidRPr="00114B89">
        <w:rPr>
          <w:rFonts w:hAnsiTheme="minorEastAsia"/>
          <w:sz w:val="24"/>
        </w:rPr>
        <w:t>无组织</w:t>
      </w:r>
      <w:r w:rsidRPr="00114B89">
        <w:rPr>
          <w:rFonts w:hAnsiTheme="minorEastAsia"/>
          <w:sz w:val="24"/>
        </w:rPr>
        <w:t>扬尘对周边区域最大地面浓度贡献值为</w:t>
      </w:r>
      <w:r w:rsidR="006448FB" w:rsidRPr="00114B89">
        <w:rPr>
          <w:sz w:val="24"/>
        </w:rPr>
        <w:t>0.021365m</w:t>
      </w:r>
      <w:r w:rsidRPr="00114B89">
        <w:rPr>
          <w:sz w:val="24"/>
        </w:rPr>
        <w:t>g/m</w:t>
      </w:r>
      <w:r w:rsidRPr="00114B89">
        <w:rPr>
          <w:sz w:val="24"/>
          <w:vertAlign w:val="superscript"/>
        </w:rPr>
        <w:t>3</w:t>
      </w:r>
      <w:r w:rsidRPr="00114B89">
        <w:rPr>
          <w:rFonts w:hAnsiTheme="minorEastAsia"/>
          <w:sz w:val="24"/>
        </w:rPr>
        <w:t>，</w:t>
      </w:r>
      <w:r w:rsidR="00114B89" w:rsidRPr="00114B89">
        <w:rPr>
          <w:rFonts w:hint="eastAsia"/>
          <w:sz w:val="24"/>
        </w:rPr>
        <w:t>最大占标率</w:t>
      </w:r>
      <w:r w:rsidR="00114B89" w:rsidRPr="00114B89">
        <w:rPr>
          <w:rFonts w:hint="eastAsia"/>
          <w:sz w:val="24"/>
        </w:rPr>
        <w:t>Pi</w:t>
      </w:r>
      <w:r w:rsidR="00114B89" w:rsidRPr="00114B89">
        <w:rPr>
          <w:rFonts w:hint="eastAsia"/>
          <w:sz w:val="24"/>
        </w:rPr>
        <w:t>为</w:t>
      </w:r>
      <w:r w:rsidR="00114B89" w:rsidRPr="00114B89">
        <w:rPr>
          <w:rFonts w:hint="eastAsia"/>
          <w:sz w:val="24"/>
        </w:rPr>
        <w:t>2.37%</w:t>
      </w:r>
      <w:r w:rsidR="00114B89" w:rsidRPr="00114B89">
        <w:rPr>
          <w:rFonts w:hint="eastAsia"/>
          <w:sz w:val="24"/>
        </w:rPr>
        <w:t>，下风向最大浓度的出现距离为</w:t>
      </w:r>
      <w:r w:rsidR="00114B89" w:rsidRPr="00114B89">
        <w:rPr>
          <w:rFonts w:hint="eastAsia"/>
          <w:sz w:val="24"/>
        </w:rPr>
        <w:t>4</w:t>
      </w:r>
      <w:r w:rsidR="00114B89" w:rsidRPr="00114B89">
        <w:rPr>
          <w:sz w:val="24"/>
        </w:rPr>
        <w:t>3</w:t>
      </w:r>
      <w:r w:rsidR="00114B89" w:rsidRPr="00114B89">
        <w:rPr>
          <w:rFonts w:hint="eastAsia"/>
          <w:sz w:val="24"/>
        </w:rPr>
        <w:t>m</w:t>
      </w:r>
      <w:r w:rsidR="00114B89" w:rsidRPr="00114B89">
        <w:rPr>
          <w:rFonts w:hint="eastAsia"/>
          <w:sz w:val="24"/>
        </w:rPr>
        <w:t>。</w:t>
      </w:r>
    </w:p>
    <w:p w:rsidR="00D81CD3" w:rsidRPr="00114B89" w:rsidRDefault="00114B89" w:rsidP="00114B89">
      <w:pPr>
        <w:spacing w:line="520" w:lineRule="exact"/>
        <w:ind w:firstLineChars="200" w:firstLine="480"/>
        <w:rPr>
          <w:color w:val="000000"/>
          <w:sz w:val="24"/>
        </w:rPr>
      </w:pPr>
      <w:r w:rsidRPr="00114B89">
        <w:rPr>
          <w:rFonts w:hint="eastAsia"/>
          <w:sz w:val="24"/>
        </w:rPr>
        <w:t>储煤库粉尘颗粒物排放下风向落地浓度预测值满足</w:t>
      </w:r>
      <w:r w:rsidRPr="00114B89">
        <w:rPr>
          <w:sz w:val="24"/>
        </w:rPr>
        <w:t>《大气污染物综合排放标准》（</w:t>
      </w:r>
      <w:r w:rsidRPr="00114B89">
        <w:rPr>
          <w:sz w:val="24"/>
        </w:rPr>
        <w:t>GB16297-1996</w:t>
      </w:r>
      <w:r w:rsidRPr="00114B89">
        <w:rPr>
          <w:sz w:val="24"/>
        </w:rPr>
        <w:t>）表</w:t>
      </w:r>
      <w:r w:rsidRPr="00114B89">
        <w:rPr>
          <w:sz w:val="24"/>
        </w:rPr>
        <w:t>2</w:t>
      </w:r>
      <w:r w:rsidRPr="00114B89">
        <w:rPr>
          <w:sz w:val="24"/>
        </w:rPr>
        <w:t>的二级标准</w:t>
      </w:r>
      <w:r w:rsidRPr="00114B89">
        <w:rPr>
          <w:rFonts w:hint="eastAsia"/>
          <w:sz w:val="24"/>
        </w:rPr>
        <w:t>颗粒物无组织排放浓度</w:t>
      </w:r>
      <w:r w:rsidRPr="00114B89">
        <w:rPr>
          <w:rFonts w:hint="eastAsia"/>
          <w:sz w:val="24"/>
        </w:rPr>
        <w:t>1.0 mg/m</w:t>
      </w:r>
      <w:r w:rsidRPr="00114B89">
        <w:rPr>
          <w:rFonts w:hint="eastAsia"/>
          <w:sz w:val="24"/>
          <w:vertAlign w:val="superscript"/>
        </w:rPr>
        <w:t>3</w:t>
      </w:r>
      <w:r w:rsidRPr="00114B89">
        <w:rPr>
          <w:rFonts w:hint="eastAsia"/>
          <w:sz w:val="24"/>
        </w:rPr>
        <w:t>的标准限值。</w:t>
      </w:r>
    </w:p>
    <w:p w:rsidR="00847CE3" w:rsidRPr="00847CE3" w:rsidRDefault="00847CE3" w:rsidP="00847CE3">
      <w:pPr>
        <w:spacing w:line="520" w:lineRule="exact"/>
        <w:ind w:firstLineChars="200" w:firstLine="480"/>
        <w:rPr>
          <w:sz w:val="24"/>
        </w:rPr>
      </w:pPr>
      <w:r w:rsidRPr="00847CE3">
        <w:rPr>
          <w:rFonts w:hint="eastAsia"/>
          <w:sz w:val="24"/>
        </w:rPr>
        <w:t>根据预测，本项目大气环境保护距离均显示“无超标点”，无需设置大气环境防护距离。</w:t>
      </w:r>
    </w:p>
    <w:p w:rsidR="00791632" w:rsidRDefault="00847CE3" w:rsidP="00791632">
      <w:pPr>
        <w:tabs>
          <w:tab w:val="left" w:pos="0"/>
        </w:tabs>
        <w:snapToGrid w:val="0"/>
        <w:spacing w:line="500" w:lineRule="exact"/>
        <w:ind w:firstLineChars="200" w:firstLine="480"/>
        <w:rPr>
          <w:sz w:val="24"/>
        </w:rPr>
      </w:pPr>
      <w:r>
        <w:rPr>
          <w:rFonts w:hint="eastAsia"/>
          <w:sz w:val="24"/>
        </w:rPr>
        <w:t>综上所述，</w:t>
      </w:r>
      <w:r w:rsidR="00791632">
        <w:rPr>
          <w:rFonts w:ascii="宋体" w:hAnsi="宋体" w:hint="eastAsia"/>
          <w:sz w:val="24"/>
        </w:rPr>
        <w:t>本次</w:t>
      </w:r>
      <w:r w:rsidR="00BB7C29">
        <w:rPr>
          <w:rFonts w:ascii="宋体" w:hAnsi="宋体" w:hint="eastAsia"/>
          <w:sz w:val="24"/>
        </w:rPr>
        <w:t>升级改造后仍</w:t>
      </w:r>
      <w:r w:rsidR="00791632">
        <w:rPr>
          <w:rFonts w:ascii="宋体" w:hAnsi="宋体" w:hint="eastAsia"/>
          <w:sz w:val="24"/>
        </w:rPr>
        <w:t>利用原</w:t>
      </w:r>
      <w:r w:rsidR="00802A62">
        <w:rPr>
          <w:rFonts w:ascii="宋体" w:hAnsi="宋体" w:hint="eastAsia"/>
          <w:sz w:val="24"/>
        </w:rPr>
        <w:t>储煤库</w:t>
      </w:r>
      <w:r w:rsidR="00791632">
        <w:rPr>
          <w:rFonts w:ascii="宋体" w:hAnsi="宋体" w:hint="eastAsia"/>
          <w:sz w:val="24"/>
        </w:rPr>
        <w:t>，</w:t>
      </w:r>
      <w:r w:rsidRPr="00847CE3">
        <w:rPr>
          <w:rFonts w:ascii="宋体" w:hAnsi="宋体" w:hint="eastAsia"/>
          <w:sz w:val="24"/>
        </w:rPr>
        <w:t>根据预测分析，项目运营期</w:t>
      </w:r>
      <w:r w:rsidR="00802A62">
        <w:rPr>
          <w:rFonts w:ascii="宋体" w:hAnsi="宋体" w:hint="eastAsia"/>
          <w:sz w:val="24"/>
        </w:rPr>
        <w:t>储煤库</w:t>
      </w:r>
      <w:r>
        <w:rPr>
          <w:rFonts w:ascii="宋体" w:hAnsi="宋体" w:hint="eastAsia"/>
          <w:sz w:val="24"/>
        </w:rPr>
        <w:t>无组织排放</w:t>
      </w:r>
      <w:r w:rsidRPr="00847CE3">
        <w:rPr>
          <w:rFonts w:ascii="宋体" w:hAnsi="宋体" w:hint="eastAsia"/>
          <w:sz w:val="24"/>
        </w:rPr>
        <w:t>污染物</w:t>
      </w:r>
      <w:r>
        <w:rPr>
          <w:rFonts w:ascii="宋体" w:hAnsi="宋体" w:hint="eastAsia"/>
          <w:sz w:val="24"/>
        </w:rPr>
        <w:t>对大气环境影响不大</w:t>
      </w:r>
      <w:r w:rsidRPr="00847CE3">
        <w:rPr>
          <w:rFonts w:ascii="宋体" w:hAnsi="宋体" w:hint="eastAsia"/>
          <w:sz w:val="24"/>
        </w:rPr>
        <w:t>。</w:t>
      </w:r>
      <w:r>
        <w:rPr>
          <w:rFonts w:ascii="宋体" w:hAnsi="宋体" w:hint="eastAsia"/>
          <w:sz w:val="24"/>
        </w:rPr>
        <w:t>另外本</w:t>
      </w:r>
      <w:r w:rsidR="00BB7C29" w:rsidRPr="00EB537E">
        <w:rPr>
          <w:rFonts w:hint="eastAsia"/>
          <w:spacing w:val="2"/>
          <w:sz w:val="24"/>
        </w:rPr>
        <w:t>次评价</w:t>
      </w:r>
      <w:r w:rsidR="00BB7C29">
        <w:rPr>
          <w:rFonts w:hint="eastAsia"/>
          <w:spacing w:val="2"/>
          <w:sz w:val="24"/>
        </w:rPr>
        <w:t>采用</w:t>
      </w:r>
      <w:r w:rsidR="00BB7C29" w:rsidRPr="00EB537E">
        <w:rPr>
          <w:rFonts w:hint="eastAsia"/>
          <w:spacing w:val="2"/>
          <w:sz w:val="24"/>
        </w:rPr>
        <w:t>河南正捷检测技术有限公司于</w:t>
      </w:r>
      <w:r w:rsidR="00BB7C29" w:rsidRPr="00EB537E">
        <w:rPr>
          <w:rFonts w:hint="eastAsia"/>
          <w:spacing w:val="2"/>
          <w:sz w:val="24"/>
        </w:rPr>
        <w:t>2020</w:t>
      </w:r>
      <w:r w:rsidR="00BB7C29" w:rsidRPr="00EB537E">
        <w:rPr>
          <w:rFonts w:hint="eastAsia"/>
          <w:spacing w:val="2"/>
          <w:sz w:val="24"/>
        </w:rPr>
        <w:t>年</w:t>
      </w:r>
      <w:r w:rsidR="00BB7C29">
        <w:rPr>
          <w:rFonts w:hint="eastAsia"/>
          <w:spacing w:val="2"/>
          <w:sz w:val="24"/>
        </w:rPr>
        <w:t>8</w:t>
      </w:r>
      <w:r w:rsidR="00BB7C29" w:rsidRPr="00EB537E">
        <w:rPr>
          <w:rFonts w:hint="eastAsia"/>
          <w:spacing w:val="2"/>
          <w:sz w:val="24"/>
        </w:rPr>
        <w:t>月</w:t>
      </w:r>
      <w:r w:rsidR="00BB7C29">
        <w:rPr>
          <w:rFonts w:hint="eastAsia"/>
          <w:spacing w:val="2"/>
          <w:sz w:val="24"/>
        </w:rPr>
        <w:t>30</w:t>
      </w:r>
      <w:r w:rsidR="00BB7C29" w:rsidRPr="00EB537E">
        <w:rPr>
          <w:rFonts w:hint="eastAsia"/>
          <w:spacing w:val="2"/>
          <w:sz w:val="24"/>
        </w:rPr>
        <w:t>日</w:t>
      </w:r>
      <w:r w:rsidR="00BB7C29" w:rsidRPr="00EB537E">
        <w:rPr>
          <w:rFonts w:hint="eastAsia"/>
          <w:spacing w:val="2"/>
          <w:sz w:val="24"/>
        </w:rPr>
        <w:t>~</w:t>
      </w:r>
      <w:r w:rsidR="00BB7C29">
        <w:rPr>
          <w:rFonts w:hint="eastAsia"/>
          <w:spacing w:val="2"/>
          <w:sz w:val="24"/>
        </w:rPr>
        <w:t>31</w:t>
      </w:r>
      <w:r w:rsidR="00BB7C29" w:rsidRPr="00EB537E">
        <w:rPr>
          <w:rFonts w:hint="eastAsia"/>
          <w:spacing w:val="2"/>
          <w:sz w:val="24"/>
        </w:rPr>
        <w:t>日对该</w:t>
      </w:r>
      <w:r w:rsidR="00802A62">
        <w:rPr>
          <w:rFonts w:hint="eastAsia"/>
          <w:spacing w:val="2"/>
          <w:sz w:val="24"/>
        </w:rPr>
        <w:t>储煤库</w:t>
      </w:r>
      <w:r w:rsidR="00BB7C29" w:rsidRPr="00EB537E">
        <w:rPr>
          <w:rFonts w:hint="eastAsia"/>
          <w:spacing w:val="2"/>
          <w:sz w:val="24"/>
        </w:rPr>
        <w:t>上下风向的无组织颗粒物</w:t>
      </w:r>
      <w:r w:rsidR="00BB7C29">
        <w:rPr>
          <w:rFonts w:hint="eastAsia"/>
          <w:spacing w:val="2"/>
          <w:sz w:val="24"/>
        </w:rPr>
        <w:t>的</w:t>
      </w:r>
      <w:r w:rsidR="00BB7C29" w:rsidRPr="00EB537E">
        <w:rPr>
          <w:rFonts w:hint="eastAsia"/>
          <w:spacing w:val="2"/>
          <w:sz w:val="24"/>
        </w:rPr>
        <w:t>监测结果（详见表</w:t>
      </w:r>
      <w:r w:rsidR="00BB7C29">
        <w:rPr>
          <w:rFonts w:hint="eastAsia"/>
          <w:spacing w:val="2"/>
          <w:sz w:val="24"/>
        </w:rPr>
        <w:t>3.1-3</w:t>
      </w:r>
      <w:r w:rsidR="00BB7C29" w:rsidRPr="00EB537E">
        <w:rPr>
          <w:rFonts w:hint="eastAsia"/>
          <w:spacing w:val="2"/>
          <w:sz w:val="24"/>
        </w:rPr>
        <w:t>）可知，</w:t>
      </w:r>
      <w:r w:rsidR="00802A62">
        <w:rPr>
          <w:rFonts w:hint="eastAsia"/>
          <w:spacing w:val="2"/>
          <w:sz w:val="24"/>
        </w:rPr>
        <w:t>储煤库</w:t>
      </w:r>
      <w:r w:rsidR="00BB7C29" w:rsidRPr="00EB537E">
        <w:rPr>
          <w:rFonts w:hint="eastAsia"/>
          <w:spacing w:val="2"/>
          <w:sz w:val="24"/>
        </w:rPr>
        <w:t>无组织颗粒物排放满足《煤炭工业污染物排放标准》（</w:t>
      </w:r>
      <w:r w:rsidR="00BB7C29" w:rsidRPr="00EB537E">
        <w:rPr>
          <w:rFonts w:hint="eastAsia"/>
          <w:spacing w:val="2"/>
          <w:sz w:val="24"/>
        </w:rPr>
        <w:t>GB20426-2006</w:t>
      </w:r>
      <w:r w:rsidR="00BB7C29" w:rsidRPr="00EB537E">
        <w:rPr>
          <w:rFonts w:hint="eastAsia"/>
          <w:spacing w:val="2"/>
          <w:sz w:val="24"/>
        </w:rPr>
        <w:t>）要求。</w:t>
      </w:r>
      <w:r w:rsidR="00BB7C29">
        <w:rPr>
          <w:rFonts w:hint="eastAsia"/>
          <w:spacing w:val="2"/>
          <w:sz w:val="24"/>
        </w:rPr>
        <w:t>说明</w:t>
      </w:r>
      <w:r w:rsidR="00BB7C29" w:rsidRPr="00EB537E">
        <w:rPr>
          <w:rFonts w:hint="eastAsia"/>
          <w:spacing w:val="2"/>
          <w:sz w:val="24"/>
        </w:rPr>
        <w:t>采取降尘措施后，可基本上抑制煤尘污染</w:t>
      </w:r>
      <w:r w:rsidR="00BB7C29">
        <w:rPr>
          <w:rFonts w:hint="eastAsia"/>
          <w:spacing w:val="2"/>
          <w:sz w:val="24"/>
        </w:rPr>
        <w:t>，相比升级改造前加强了大气污染防治措施</w:t>
      </w:r>
      <w:r w:rsidR="00791632">
        <w:rPr>
          <w:rFonts w:hint="eastAsia"/>
          <w:sz w:val="24"/>
        </w:rPr>
        <w:t>，对区域大气环境的影响略有减轻。</w:t>
      </w:r>
    </w:p>
    <w:p w:rsidR="00240BCE" w:rsidRDefault="007C2958">
      <w:pPr>
        <w:spacing w:line="520" w:lineRule="exact"/>
        <w:ind w:firstLineChars="200" w:firstLine="480"/>
        <w:rPr>
          <w:sz w:val="24"/>
        </w:rPr>
      </w:pPr>
      <w:bookmarkStart w:id="508" w:name="_Toc10106_WPSOffice_Level3"/>
      <w:r>
        <w:rPr>
          <w:rFonts w:hint="eastAsia"/>
          <w:sz w:val="24"/>
        </w:rPr>
        <w:t>四、</w:t>
      </w:r>
      <w:r w:rsidR="00AC0334">
        <w:rPr>
          <w:sz w:val="24"/>
        </w:rPr>
        <w:t>运输道路扬尘</w:t>
      </w:r>
      <w:bookmarkEnd w:id="508"/>
    </w:p>
    <w:p w:rsidR="00240BCE" w:rsidRDefault="00AC0334">
      <w:pPr>
        <w:spacing w:line="520" w:lineRule="exact"/>
        <w:ind w:firstLineChars="200" w:firstLine="480"/>
        <w:rPr>
          <w:sz w:val="24"/>
        </w:rPr>
      </w:pPr>
      <w:r>
        <w:rPr>
          <w:sz w:val="24"/>
        </w:rPr>
        <w:t>本矿井煤炭采用公路运输方式，工业广场紧邻已有乡村道路，产品先经约</w:t>
      </w:r>
      <w:r>
        <w:rPr>
          <w:sz w:val="24"/>
        </w:rPr>
        <w:t>500m</w:t>
      </w:r>
      <w:r>
        <w:rPr>
          <w:sz w:val="24"/>
        </w:rPr>
        <w:t>乡道后运至</w:t>
      </w:r>
      <w:r>
        <w:rPr>
          <w:sz w:val="24"/>
        </w:rPr>
        <w:t>S325</w:t>
      </w:r>
      <w:r>
        <w:rPr>
          <w:sz w:val="24"/>
        </w:rPr>
        <w:t>省道。运煤道路为水泥路面，运输道路沿线的敏感点为赵沟村，与道路中心线的距离为</w:t>
      </w:r>
      <w:r>
        <w:rPr>
          <w:sz w:val="24"/>
        </w:rPr>
        <w:t>23m</w:t>
      </w:r>
      <w:r>
        <w:rPr>
          <w:sz w:val="24"/>
        </w:rPr>
        <w:t>。技改后煤炭运输量为</w:t>
      </w:r>
      <w:r>
        <w:rPr>
          <w:sz w:val="24"/>
        </w:rPr>
        <w:t>909t/d</w:t>
      </w:r>
      <w:r>
        <w:rPr>
          <w:sz w:val="24"/>
        </w:rPr>
        <w:t>，车辆载重为</w:t>
      </w:r>
      <w:r>
        <w:rPr>
          <w:sz w:val="24"/>
        </w:rPr>
        <w:t>30t</w:t>
      </w:r>
      <w:r>
        <w:rPr>
          <w:sz w:val="24"/>
        </w:rPr>
        <w:t>，车流量</w:t>
      </w:r>
      <w:r>
        <w:rPr>
          <w:sz w:val="24"/>
        </w:rPr>
        <w:t>8</w:t>
      </w:r>
      <w:r>
        <w:rPr>
          <w:sz w:val="24"/>
        </w:rPr>
        <w:t>辆</w:t>
      </w:r>
      <w:r>
        <w:rPr>
          <w:sz w:val="24"/>
        </w:rPr>
        <w:t>/h</w:t>
      </w:r>
      <w:r>
        <w:rPr>
          <w:sz w:val="24"/>
        </w:rPr>
        <w:t>，平均车速</w:t>
      </w:r>
      <w:r>
        <w:rPr>
          <w:sz w:val="24"/>
        </w:rPr>
        <w:t>20km/h</w:t>
      </w:r>
      <w:r>
        <w:rPr>
          <w:sz w:val="24"/>
        </w:rPr>
        <w:t>。</w:t>
      </w:r>
    </w:p>
    <w:p w:rsidR="00240BCE" w:rsidRDefault="00AC0334">
      <w:pPr>
        <w:spacing w:line="520" w:lineRule="exact"/>
        <w:ind w:firstLine="573"/>
        <w:rPr>
          <w:sz w:val="24"/>
        </w:rPr>
      </w:pPr>
      <w:r>
        <w:rPr>
          <w:sz w:val="24"/>
        </w:rPr>
        <w:t>根据汽车道路扬尘扩散规律，当风速小于</w:t>
      </w:r>
      <w:r>
        <w:rPr>
          <w:sz w:val="24"/>
        </w:rPr>
        <w:t>4m/s</w:t>
      </w:r>
      <w:r>
        <w:rPr>
          <w:sz w:val="24"/>
        </w:rPr>
        <w:t>时，风速对载煤汽车在道路上行使时引起的扬尘量几乎无影响；当风速大于</w:t>
      </w:r>
      <w:r>
        <w:rPr>
          <w:sz w:val="24"/>
        </w:rPr>
        <w:t>4m/s</w:t>
      </w:r>
      <w:r>
        <w:rPr>
          <w:sz w:val="24"/>
        </w:rPr>
        <w:t>时，由于风也能引起扬尘，所以风速对汽车扬尘量有明显影响。在大气干燥和地面风速大于</w:t>
      </w:r>
      <w:r>
        <w:rPr>
          <w:sz w:val="24"/>
        </w:rPr>
        <w:t>4m/s</w:t>
      </w:r>
      <w:r>
        <w:rPr>
          <w:sz w:val="24"/>
        </w:rPr>
        <w:t>条件下，载煤汽车行</w:t>
      </w:r>
      <w:r>
        <w:rPr>
          <w:sz w:val="24"/>
        </w:rPr>
        <w:lastRenderedPageBreak/>
        <w:t>驶时引起的路面扬尘量与汽车速度成正比，与汽车质量成正比，与道路表面烟尘量成正比，其汽车扬尘量预测经验公式为：</w:t>
      </w:r>
    </w:p>
    <w:p w:rsidR="00240BCE" w:rsidRDefault="00AC0334">
      <w:pPr>
        <w:pStyle w:val="a1"/>
      </w:pPr>
      <w:r>
        <w:rPr>
          <w:noProof/>
        </w:rPr>
        <w:drawing>
          <wp:anchor distT="0" distB="0" distL="114300" distR="114300" simplePos="0" relativeHeight="251572224" behindDoc="0" locked="0" layoutInCell="1" allowOverlap="1">
            <wp:simplePos x="0" y="0"/>
            <wp:positionH relativeFrom="column">
              <wp:posOffset>634365</wp:posOffset>
            </wp:positionH>
            <wp:positionV relativeFrom="paragraph">
              <wp:posOffset>130810</wp:posOffset>
            </wp:positionV>
            <wp:extent cx="2533650" cy="495300"/>
            <wp:effectExtent l="0" t="0" r="0" b="0"/>
            <wp:wrapNone/>
            <wp:docPr id="111" name="图片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184"/>
                    <pic:cNvPicPr>
                      <a:picLocks noChangeAspect="1"/>
                    </pic:cNvPicPr>
                  </pic:nvPicPr>
                  <pic:blipFill>
                    <a:blip r:embed="rId83" cstate="print"/>
                    <a:stretch>
                      <a:fillRect/>
                    </a:stretch>
                  </pic:blipFill>
                  <pic:spPr>
                    <a:xfrm>
                      <a:off x="0" y="0"/>
                      <a:ext cx="2533650" cy="495300"/>
                    </a:xfrm>
                    <a:prstGeom prst="rect">
                      <a:avLst/>
                    </a:prstGeom>
                    <a:noFill/>
                    <a:ln>
                      <a:noFill/>
                    </a:ln>
                  </pic:spPr>
                </pic:pic>
              </a:graphicData>
            </a:graphic>
          </wp:anchor>
        </w:drawing>
      </w:r>
    </w:p>
    <w:p w:rsidR="00240BCE" w:rsidRDefault="00AC0334" w:rsidP="009C5F33">
      <w:pPr>
        <w:spacing w:afterLines="50" w:line="480" w:lineRule="auto"/>
        <w:ind w:firstLineChars="200" w:firstLine="480"/>
        <w:rPr>
          <w:sz w:val="24"/>
        </w:rPr>
      </w:pPr>
      <w:r>
        <w:rPr>
          <w:sz w:val="24"/>
        </w:rPr>
        <w:t>C</w:t>
      </w:r>
      <w:r>
        <w:rPr>
          <w:sz w:val="24"/>
        </w:rPr>
        <w:t>＝</w:t>
      </w:r>
    </w:p>
    <w:p w:rsidR="00240BCE" w:rsidRDefault="00AC0334">
      <w:pPr>
        <w:spacing w:line="360" w:lineRule="auto"/>
        <w:ind w:firstLineChars="200" w:firstLine="480"/>
        <w:rPr>
          <w:sz w:val="24"/>
        </w:rPr>
      </w:pPr>
      <w:r>
        <w:rPr>
          <w:sz w:val="24"/>
        </w:rPr>
        <w:t>式中：</w:t>
      </w:r>
      <w:r>
        <w:rPr>
          <w:sz w:val="24"/>
        </w:rPr>
        <w:t>C——</w:t>
      </w:r>
      <w:r>
        <w:rPr>
          <w:sz w:val="24"/>
        </w:rPr>
        <w:t>下风向</w:t>
      </w:r>
      <w:r>
        <w:rPr>
          <w:sz w:val="24"/>
        </w:rPr>
        <w:t>TSP</w:t>
      </w:r>
      <w:r>
        <w:rPr>
          <w:sz w:val="24"/>
        </w:rPr>
        <w:t>地面瞬时浓度（</w:t>
      </w:r>
      <w:r>
        <w:rPr>
          <w:sz w:val="24"/>
        </w:rPr>
        <w:t>mg/Nm</w:t>
      </w:r>
      <w:r>
        <w:rPr>
          <w:sz w:val="24"/>
          <w:vertAlign w:val="superscript"/>
        </w:rPr>
        <w:t>3</w:t>
      </w:r>
      <w:r>
        <w:rPr>
          <w:sz w:val="24"/>
        </w:rPr>
        <w:t>）</w:t>
      </w:r>
    </w:p>
    <w:p w:rsidR="00240BCE" w:rsidRDefault="00AC0334">
      <w:pPr>
        <w:spacing w:line="520" w:lineRule="exact"/>
        <w:ind w:firstLineChars="500" w:firstLine="1200"/>
        <w:rPr>
          <w:sz w:val="24"/>
        </w:rPr>
      </w:pPr>
      <w:r>
        <w:rPr>
          <w:sz w:val="24"/>
        </w:rPr>
        <w:t>N——</w:t>
      </w:r>
      <w:r>
        <w:rPr>
          <w:sz w:val="24"/>
        </w:rPr>
        <w:t>车流量（辆</w:t>
      </w:r>
      <w:r>
        <w:rPr>
          <w:sz w:val="24"/>
        </w:rPr>
        <w:t>/h</w:t>
      </w:r>
      <w:r>
        <w:rPr>
          <w:sz w:val="24"/>
        </w:rPr>
        <w:t>）</w:t>
      </w:r>
    </w:p>
    <w:p w:rsidR="00240BCE" w:rsidRDefault="00AC0334">
      <w:pPr>
        <w:spacing w:line="520" w:lineRule="exact"/>
        <w:ind w:firstLineChars="500" w:firstLine="1200"/>
        <w:rPr>
          <w:sz w:val="24"/>
        </w:rPr>
      </w:pPr>
      <w:r>
        <w:rPr>
          <w:sz w:val="24"/>
        </w:rPr>
        <w:t>V——</w:t>
      </w:r>
      <w:r>
        <w:rPr>
          <w:sz w:val="24"/>
        </w:rPr>
        <w:t>平均车速（</w:t>
      </w:r>
      <w:r>
        <w:rPr>
          <w:sz w:val="24"/>
        </w:rPr>
        <w:t>km/h</w:t>
      </w:r>
      <w:r>
        <w:rPr>
          <w:sz w:val="24"/>
        </w:rPr>
        <w:t>）</w:t>
      </w:r>
    </w:p>
    <w:p w:rsidR="00240BCE" w:rsidRDefault="00AC0334">
      <w:pPr>
        <w:spacing w:line="520" w:lineRule="exact"/>
        <w:ind w:firstLineChars="500" w:firstLine="1200"/>
        <w:rPr>
          <w:sz w:val="24"/>
        </w:rPr>
      </w:pPr>
      <w:r>
        <w:rPr>
          <w:sz w:val="24"/>
        </w:rPr>
        <w:t>Q——</w:t>
      </w:r>
      <w:r>
        <w:rPr>
          <w:sz w:val="24"/>
        </w:rPr>
        <w:t>路面灰尘覆盖量，（</w:t>
      </w:r>
      <w:r>
        <w:rPr>
          <w:sz w:val="24"/>
        </w:rPr>
        <w:t>g/m</w:t>
      </w:r>
      <w:r>
        <w:rPr>
          <w:sz w:val="24"/>
          <w:vertAlign w:val="superscript"/>
        </w:rPr>
        <w:t>2</w:t>
      </w:r>
      <w:r>
        <w:rPr>
          <w:sz w:val="24"/>
        </w:rPr>
        <w:t>）</w:t>
      </w:r>
    </w:p>
    <w:p w:rsidR="00240BCE" w:rsidRDefault="00AC0334">
      <w:pPr>
        <w:spacing w:line="520" w:lineRule="exact"/>
        <w:ind w:firstLineChars="500" w:firstLine="1200"/>
        <w:rPr>
          <w:sz w:val="24"/>
        </w:rPr>
      </w:pPr>
      <w:r>
        <w:rPr>
          <w:sz w:val="24"/>
        </w:rPr>
        <w:t>b——</w:t>
      </w:r>
      <w:r>
        <w:rPr>
          <w:sz w:val="24"/>
        </w:rPr>
        <w:t>路宽（</w:t>
      </w:r>
      <w:r>
        <w:rPr>
          <w:sz w:val="24"/>
        </w:rPr>
        <w:t>m</w:t>
      </w:r>
      <w:r>
        <w:rPr>
          <w:sz w:val="24"/>
        </w:rPr>
        <w:t>）</w:t>
      </w:r>
    </w:p>
    <w:p w:rsidR="00240BCE" w:rsidRDefault="00AC0334">
      <w:pPr>
        <w:spacing w:line="520" w:lineRule="exact"/>
        <w:ind w:firstLineChars="500" w:firstLine="1200"/>
        <w:rPr>
          <w:sz w:val="24"/>
        </w:rPr>
      </w:pPr>
      <w:r>
        <w:rPr>
          <w:sz w:val="24"/>
        </w:rPr>
        <w:t>Y——</w:t>
      </w:r>
      <w:r>
        <w:rPr>
          <w:sz w:val="24"/>
        </w:rPr>
        <w:t>降水系数</w:t>
      </w:r>
    </w:p>
    <w:p w:rsidR="00240BCE" w:rsidRDefault="00AC0334">
      <w:pPr>
        <w:spacing w:line="520" w:lineRule="exact"/>
        <w:ind w:firstLineChars="500" w:firstLine="1200"/>
        <w:rPr>
          <w:sz w:val="24"/>
        </w:rPr>
      </w:pPr>
      <w:r>
        <w:rPr>
          <w:sz w:val="24"/>
        </w:rPr>
        <w:t>f——</w:t>
      </w:r>
      <w:r>
        <w:rPr>
          <w:sz w:val="24"/>
        </w:rPr>
        <w:t>绿化覆盖率（</w:t>
      </w:r>
      <w:r>
        <w:rPr>
          <w:sz w:val="24"/>
        </w:rPr>
        <w:t>%</w:t>
      </w:r>
      <w:r>
        <w:rPr>
          <w:sz w:val="24"/>
        </w:rPr>
        <w:t>）</w:t>
      </w:r>
    </w:p>
    <w:p w:rsidR="00240BCE" w:rsidRDefault="00AC0334">
      <w:pPr>
        <w:spacing w:line="520" w:lineRule="exact"/>
        <w:ind w:firstLineChars="500" w:firstLine="1200"/>
        <w:rPr>
          <w:sz w:val="24"/>
        </w:rPr>
      </w:pPr>
      <w:r>
        <w:rPr>
          <w:sz w:val="24"/>
        </w:rPr>
        <w:t>L——</w:t>
      </w:r>
      <w:r>
        <w:rPr>
          <w:sz w:val="24"/>
        </w:rPr>
        <w:t>下风向距离（</w:t>
      </w:r>
      <w:r>
        <w:rPr>
          <w:sz w:val="24"/>
        </w:rPr>
        <w:t>m</w:t>
      </w:r>
      <w:r>
        <w:rPr>
          <w:sz w:val="24"/>
        </w:rPr>
        <w:t>）</w:t>
      </w:r>
    </w:p>
    <w:p w:rsidR="00240BCE" w:rsidRDefault="00AC0334">
      <w:pPr>
        <w:spacing w:line="520" w:lineRule="exact"/>
        <w:ind w:firstLineChars="200" w:firstLine="480"/>
        <w:rPr>
          <w:sz w:val="24"/>
        </w:rPr>
      </w:pPr>
      <w:r>
        <w:rPr>
          <w:sz w:val="24"/>
        </w:rPr>
        <w:t>参数选取：车流量</w:t>
      </w:r>
      <w:r>
        <w:rPr>
          <w:sz w:val="24"/>
        </w:rPr>
        <w:t>8</w:t>
      </w:r>
      <w:r>
        <w:rPr>
          <w:sz w:val="24"/>
        </w:rPr>
        <w:t>辆</w:t>
      </w:r>
      <w:r>
        <w:rPr>
          <w:sz w:val="24"/>
        </w:rPr>
        <w:t>/h</w:t>
      </w:r>
      <w:r>
        <w:rPr>
          <w:sz w:val="24"/>
        </w:rPr>
        <w:t>，平均车速</w:t>
      </w:r>
      <w:r>
        <w:rPr>
          <w:sz w:val="24"/>
        </w:rPr>
        <w:t>20km/h</w:t>
      </w:r>
      <w:r>
        <w:rPr>
          <w:sz w:val="24"/>
        </w:rPr>
        <w:t>，路面灰尘覆盖量按</w:t>
      </w:r>
      <w:r>
        <w:rPr>
          <w:sz w:val="24"/>
        </w:rPr>
        <w:t>0.091kg/m</w:t>
      </w:r>
      <w:r>
        <w:rPr>
          <w:sz w:val="24"/>
          <w:vertAlign w:val="superscript"/>
        </w:rPr>
        <w:t>2</w:t>
      </w:r>
      <w:r>
        <w:rPr>
          <w:sz w:val="24"/>
        </w:rPr>
        <w:t>选取（根据南开大学环境科学与工程学院陈小华、薛永华等人的《中国城市道路扬尘污染研究》，于</w:t>
      </w:r>
      <w:r>
        <w:rPr>
          <w:sz w:val="24"/>
        </w:rPr>
        <w:t>2003—2004</w:t>
      </w:r>
      <w:r>
        <w:rPr>
          <w:sz w:val="24"/>
        </w:rPr>
        <w:t>年期间，测定了石家庄、济南、青岛和邯郸等城市的铺装道路的积尘量在</w:t>
      </w:r>
      <w:r>
        <w:rPr>
          <w:sz w:val="24"/>
        </w:rPr>
        <w:t>0.017~0.091kg/m</w:t>
      </w:r>
      <w:r>
        <w:rPr>
          <w:sz w:val="24"/>
          <w:vertAlign w:val="superscript"/>
        </w:rPr>
        <w:t>2</w:t>
      </w:r>
      <w:r>
        <w:rPr>
          <w:sz w:val="24"/>
        </w:rPr>
        <w:t>，本项目按最平均值考虑取值为</w:t>
      </w:r>
      <w:r>
        <w:rPr>
          <w:sz w:val="24"/>
        </w:rPr>
        <w:t>0.054kg/m</w:t>
      </w:r>
      <w:r>
        <w:rPr>
          <w:sz w:val="24"/>
          <w:vertAlign w:val="superscript"/>
        </w:rPr>
        <w:t>2</w:t>
      </w:r>
      <w:r>
        <w:rPr>
          <w:sz w:val="24"/>
        </w:rPr>
        <w:t>），路宽</w:t>
      </w:r>
      <w:r>
        <w:rPr>
          <w:sz w:val="24"/>
        </w:rPr>
        <w:t>6m</w:t>
      </w:r>
      <w:r>
        <w:rPr>
          <w:sz w:val="24"/>
        </w:rPr>
        <w:t>。降水系数</w:t>
      </w:r>
      <w:r>
        <w:rPr>
          <w:sz w:val="24"/>
        </w:rPr>
        <w:t>0.5</w:t>
      </w:r>
      <w:r>
        <w:rPr>
          <w:sz w:val="24"/>
        </w:rPr>
        <w:t>，绿化覆盖率</w:t>
      </w:r>
      <w:r>
        <w:rPr>
          <w:sz w:val="24"/>
        </w:rPr>
        <w:t>0.3</w:t>
      </w:r>
      <w:r>
        <w:rPr>
          <w:sz w:val="24"/>
        </w:rPr>
        <w:t>。</w:t>
      </w:r>
    </w:p>
    <w:p w:rsidR="00240BCE" w:rsidRDefault="00AC0334">
      <w:pPr>
        <w:spacing w:line="520" w:lineRule="exact"/>
        <w:ind w:firstLine="570"/>
        <w:rPr>
          <w:sz w:val="24"/>
        </w:rPr>
      </w:pPr>
      <w:r>
        <w:rPr>
          <w:sz w:val="24"/>
        </w:rPr>
        <w:t>由上述计算公式，预测出汽车行驶过程中扬尘量的预测值见表</w:t>
      </w:r>
      <w:r>
        <w:rPr>
          <w:sz w:val="24"/>
        </w:rPr>
        <w:t>6.1-1</w:t>
      </w:r>
      <w:r>
        <w:rPr>
          <w:sz w:val="24"/>
        </w:rPr>
        <w:t>。</w:t>
      </w:r>
    </w:p>
    <w:p w:rsidR="00FC3EC6" w:rsidRDefault="00FC3EC6">
      <w:pPr>
        <w:widowControl/>
        <w:jc w:val="left"/>
        <w:rPr>
          <w:sz w:val="24"/>
        </w:rPr>
      </w:pPr>
      <w:r>
        <w:rPr>
          <w:sz w:val="24"/>
        </w:rPr>
        <w:br w:type="page"/>
      </w:r>
    </w:p>
    <w:p w:rsidR="00240BCE" w:rsidRDefault="00AC0334">
      <w:pPr>
        <w:spacing w:line="520" w:lineRule="exact"/>
        <w:jc w:val="center"/>
        <w:rPr>
          <w:sz w:val="24"/>
        </w:rPr>
      </w:pPr>
      <w:r>
        <w:rPr>
          <w:sz w:val="24"/>
        </w:rPr>
        <w:lastRenderedPageBreak/>
        <w:t>表</w:t>
      </w:r>
      <w:r>
        <w:rPr>
          <w:sz w:val="24"/>
        </w:rPr>
        <w:t xml:space="preserve">6.1-1  </w:t>
      </w:r>
      <w:r>
        <w:rPr>
          <w:sz w:val="24"/>
        </w:rPr>
        <w:t>汽车扬尘量预测结果表</w:t>
      </w:r>
    </w:p>
    <w:tbl>
      <w:tblPr>
        <w:tblW w:w="536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981"/>
        <w:gridCol w:w="2740"/>
        <w:gridCol w:w="723"/>
        <w:gridCol w:w="587"/>
        <w:gridCol w:w="723"/>
        <w:gridCol w:w="723"/>
        <w:gridCol w:w="723"/>
        <w:gridCol w:w="690"/>
        <w:gridCol w:w="756"/>
        <w:gridCol w:w="745"/>
      </w:tblGrid>
      <w:tr w:rsidR="00240BCE" w:rsidTr="009614A0">
        <w:trPr>
          <w:trHeight w:val="354"/>
          <w:jc w:val="center"/>
        </w:trPr>
        <w:tc>
          <w:tcPr>
            <w:tcW w:w="980" w:type="dxa"/>
            <w:vAlign w:val="center"/>
          </w:tcPr>
          <w:p w:rsidR="00240BCE" w:rsidRDefault="00AC0334" w:rsidP="009614A0">
            <w:pPr>
              <w:spacing w:line="360" w:lineRule="auto"/>
              <w:jc w:val="center"/>
              <w:rPr>
                <w:sz w:val="21"/>
                <w:szCs w:val="21"/>
              </w:rPr>
            </w:pPr>
            <w:r>
              <w:rPr>
                <w:sz w:val="21"/>
                <w:szCs w:val="21"/>
              </w:rPr>
              <w:t>垂直于路面距离</w:t>
            </w:r>
            <w:r>
              <w:rPr>
                <w:sz w:val="21"/>
                <w:szCs w:val="21"/>
              </w:rPr>
              <w:t>(m)</w:t>
            </w:r>
          </w:p>
        </w:tc>
        <w:tc>
          <w:tcPr>
            <w:tcW w:w="2740" w:type="dxa"/>
            <w:vAlign w:val="center"/>
          </w:tcPr>
          <w:p w:rsidR="00240BCE" w:rsidRDefault="00AC0334" w:rsidP="009614A0">
            <w:pPr>
              <w:spacing w:line="360" w:lineRule="auto"/>
              <w:jc w:val="center"/>
              <w:rPr>
                <w:sz w:val="21"/>
                <w:szCs w:val="21"/>
              </w:rPr>
            </w:pPr>
            <w:r>
              <w:rPr>
                <w:sz w:val="21"/>
                <w:szCs w:val="21"/>
              </w:rPr>
              <w:t>距离（</w:t>
            </w:r>
            <w:r>
              <w:rPr>
                <w:sz w:val="21"/>
                <w:szCs w:val="21"/>
              </w:rPr>
              <w:t>m</w:t>
            </w:r>
            <w:r>
              <w:rPr>
                <w:sz w:val="21"/>
                <w:szCs w:val="21"/>
              </w:rPr>
              <w:t>）</w:t>
            </w:r>
          </w:p>
        </w:tc>
        <w:tc>
          <w:tcPr>
            <w:tcW w:w="723" w:type="dxa"/>
            <w:vAlign w:val="center"/>
          </w:tcPr>
          <w:p w:rsidR="00240BCE" w:rsidRDefault="00AC0334" w:rsidP="009614A0">
            <w:pPr>
              <w:spacing w:line="360" w:lineRule="auto"/>
              <w:jc w:val="center"/>
              <w:rPr>
                <w:sz w:val="21"/>
                <w:szCs w:val="21"/>
              </w:rPr>
            </w:pPr>
            <w:r>
              <w:rPr>
                <w:sz w:val="21"/>
                <w:szCs w:val="21"/>
              </w:rPr>
              <w:t>5.5</w:t>
            </w:r>
          </w:p>
        </w:tc>
        <w:tc>
          <w:tcPr>
            <w:tcW w:w="587" w:type="dxa"/>
            <w:vAlign w:val="center"/>
          </w:tcPr>
          <w:p w:rsidR="00240BCE" w:rsidRDefault="00AC0334" w:rsidP="009614A0">
            <w:pPr>
              <w:spacing w:line="360" w:lineRule="auto"/>
              <w:jc w:val="center"/>
              <w:rPr>
                <w:sz w:val="21"/>
                <w:szCs w:val="21"/>
              </w:rPr>
            </w:pPr>
            <w:r>
              <w:rPr>
                <w:sz w:val="21"/>
                <w:szCs w:val="21"/>
              </w:rPr>
              <w:t>10</w:t>
            </w:r>
          </w:p>
        </w:tc>
        <w:tc>
          <w:tcPr>
            <w:tcW w:w="723" w:type="dxa"/>
            <w:vAlign w:val="center"/>
          </w:tcPr>
          <w:p w:rsidR="00240BCE" w:rsidRDefault="00AC0334" w:rsidP="009614A0">
            <w:pPr>
              <w:spacing w:line="360" w:lineRule="auto"/>
              <w:jc w:val="center"/>
              <w:rPr>
                <w:sz w:val="21"/>
                <w:szCs w:val="21"/>
              </w:rPr>
            </w:pPr>
            <w:r>
              <w:rPr>
                <w:sz w:val="21"/>
                <w:szCs w:val="21"/>
              </w:rPr>
              <w:t>15</w:t>
            </w:r>
          </w:p>
        </w:tc>
        <w:tc>
          <w:tcPr>
            <w:tcW w:w="723" w:type="dxa"/>
            <w:vAlign w:val="center"/>
          </w:tcPr>
          <w:p w:rsidR="00240BCE" w:rsidRDefault="00AC0334" w:rsidP="009614A0">
            <w:pPr>
              <w:spacing w:line="360" w:lineRule="auto"/>
              <w:jc w:val="center"/>
              <w:rPr>
                <w:sz w:val="21"/>
                <w:szCs w:val="21"/>
              </w:rPr>
            </w:pPr>
            <w:r>
              <w:rPr>
                <w:sz w:val="21"/>
                <w:szCs w:val="21"/>
              </w:rPr>
              <w:t>30</w:t>
            </w:r>
          </w:p>
        </w:tc>
        <w:tc>
          <w:tcPr>
            <w:tcW w:w="723" w:type="dxa"/>
            <w:vAlign w:val="center"/>
          </w:tcPr>
          <w:p w:rsidR="00240BCE" w:rsidRDefault="00AC0334" w:rsidP="009614A0">
            <w:pPr>
              <w:spacing w:line="360" w:lineRule="auto"/>
              <w:jc w:val="center"/>
              <w:rPr>
                <w:sz w:val="21"/>
                <w:szCs w:val="21"/>
              </w:rPr>
            </w:pPr>
            <w:r>
              <w:rPr>
                <w:sz w:val="21"/>
                <w:szCs w:val="21"/>
              </w:rPr>
              <w:t>50</w:t>
            </w:r>
          </w:p>
        </w:tc>
        <w:tc>
          <w:tcPr>
            <w:tcW w:w="690" w:type="dxa"/>
            <w:vAlign w:val="center"/>
          </w:tcPr>
          <w:p w:rsidR="00240BCE" w:rsidRDefault="00AC0334" w:rsidP="009614A0">
            <w:pPr>
              <w:spacing w:line="360" w:lineRule="auto"/>
              <w:jc w:val="center"/>
              <w:rPr>
                <w:sz w:val="21"/>
                <w:szCs w:val="21"/>
              </w:rPr>
            </w:pPr>
            <w:r>
              <w:rPr>
                <w:sz w:val="21"/>
                <w:szCs w:val="21"/>
              </w:rPr>
              <w:t>60</w:t>
            </w:r>
          </w:p>
        </w:tc>
        <w:tc>
          <w:tcPr>
            <w:tcW w:w="756" w:type="dxa"/>
            <w:vAlign w:val="center"/>
          </w:tcPr>
          <w:p w:rsidR="00240BCE" w:rsidRDefault="00AC0334" w:rsidP="009614A0">
            <w:pPr>
              <w:spacing w:line="360" w:lineRule="auto"/>
              <w:jc w:val="center"/>
              <w:rPr>
                <w:sz w:val="21"/>
                <w:szCs w:val="21"/>
              </w:rPr>
            </w:pPr>
            <w:r>
              <w:rPr>
                <w:sz w:val="21"/>
                <w:szCs w:val="21"/>
              </w:rPr>
              <w:t>100</w:t>
            </w:r>
          </w:p>
        </w:tc>
        <w:tc>
          <w:tcPr>
            <w:tcW w:w="744" w:type="dxa"/>
            <w:vAlign w:val="center"/>
          </w:tcPr>
          <w:p w:rsidR="00240BCE" w:rsidRDefault="00AC0334" w:rsidP="009614A0">
            <w:pPr>
              <w:spacing w:line="360" w:lineRule="auto"/>
              <w:jc w:val="center"/>
              <w:rPr>
                <w:sz w:val="21"/>
                <w:szCs w:val="21"/>
              </w:rPr>
            </w:pPr>
            <w:r>
              <w:rPr>
                <w:sz w:val="21"/>
                <w:szCs w:val="21"/>
              </w:rPr>
              <w:t>170</w:t>
            </w:r>
          </w:p>
        </w:tc>
      </w:tr>
      <w:tr w:rsidR="00240BCE" w:rsidTr="009614A0">
        <w:trPr>
          <w:trHeight w:val="480"/>
          <w:jc w:val="center"/>
        </w:trPr>
        <w:tc>
          <w:tcPr>
            <w:tcW w:w="980" w:type="dxa"/>
            <w:vMerge w:val="restart"/>
            <w:vAlign w:val="center"/>
          </w:tcPr>
          <w:p w:rsidR="00240BCE" w:rsidRDefault="00AC0334" w:rsidP="009614A0">
            <w:pPr>
              <w:spacing w:line="360" w:lineRule="auto"/>
              <w:jc w:val="center"/>
              <w:rPr>
                <w:sz w:val="21"/>
                <w:szCs w:val="21"/>
              </w:rPr>
            </w:pPr>
            <w:r>
              <w:rPr>
                <w:sz w:val="21"/>
                <w:szCs w:val="21"/>
              </w:rPr>
              <w:t>TSP</w:t>
            </w:r>
            <w:r>
              <w:rPr>
                <w:sz w:val="21"/>
                <w:szCs w:val="21"/>
              </w:rPr>
              <w:t>浓度</w:t>
            </w:r>
            <w:r>
              <w:rPr>
                <w:sz w:val="21"/>
                <w:szCs w:val="21"/>
              </w:rPr>
              <w:t>(mg/m</w:t>
            </w:r>
            <w:r>
              <w:rPr>
                <w:sz w:val="21"/>
                <w:szCs w:val="21"/>
                <w:vertAlign w:val="superscript"/>
              </w:rPr>
              <w:t>3</w:t>
            </w:r>
            <w:r>
              <w:rPr>
                <w:sz w:val="21"/>
                <w:szCs w:val="21"/>
              </w:rPr>
              <w:t>)</w:t>
            </w:r>
          </w:p>
        </w:tc>
        <w:tc>
          <w:tcPr>
            <w:tcW w:w="2740" w:type="dxa"/>
            <w:vAlign w:val="center"/>
          </w:tcPr>
          <w:p w:rsidR="00240BCE" w:rsidRDefault="00AC0334" w:rsidP="009614A0">
            <w:pPr>
              <w:spacing w:line="360" w:lineRule="auto"/>
              <w:jc w:val="center"/>
              <w:rPr>
                <w:sz w:val="21"/>
                <w:szCs w:val="21"/>
              </w:rPr>
            </w:pPr>
            <w:r>
              <w:rPr>
                <w:sz w:val="21"/>
                <w:szCs w:val="21"/>
              </w:rPr>
              <w:t>不采取措施时贡献值</w:t>
            </w:r>
          </w:p>
        </w:tc>
        <w:tc>
          <w:tcPr>
            <w:tcW w:w="723" w:type="dxa"/>
            <w:vAlign w:val="center"/>
          </w:tcPr>
          <w:p w:rsidR="00240BCE" w:rsidRDefault="00AC0334" w:rsidP="009614A0">
            <w:pPr>
              <w:spacing w:line="360" w:lineRule="auto"/>
              <w:jc w:val="center"/>
              <w:rPr>
                <w:sz w:val="21"/>
                <w:szCs w:val="21"/>
              </w:rPr>
            </w:pPr>
            <w:r>
              <w:rPr>
                <w:sz w:val="21"/>
                <w:szCs w:val="21"/>
              </w:rPr>
              <w:t>1.29</w:t>
            </w:r>
          </w:p>
        </w:tc>
        <w:tc>
          <w:tcPr>
            <w:tcW w:w="587" w:type="dxa"/>
            <w:vAlign w:val="center"/>
          </w:tcPr>
          <w:p w:rsidR="00240BCE" w:rsidRDefault="00AC0334" w:rsidP="009614A0">
            <w:pPr>
              <w:spacing w:line="360" w:lineRule="auto"/>
              <w:jc w:val="center"/>
              <w:rPr>
                <w:sz w:val="21"/>
                <w:szCs w:val="21"/>
              </w:rPr>
            </w:pPr>
            <w:r>
              <w:rPr>
                <w:sz w:val="21"/>
                <w:szCs w:val="21"/>
              </w:rPr>
              <w:t>0.87</w:t>
            </w:r>
          </w:p>
        </w:tc>
        <w:tc>
          <w:tcPr>
            <w:tcW w:w="723" w:type="dxa"/>
            <w:vAlign w:val="center"/>
          </w:tcPr>
          <w:p w:rsidR="00240BCE" w:rsidRDefault="00AC0334" w:rsidP="009614A0">
            <w:pPr>
              <w:spacing w:line="360" w:lineRule="auto"/>
              <w:jc w:val="center"/>
              <w:rPr>
                <w:sz w:val="21"/>
                <w:szCs w:val="21"/>
              </w:rPr>
            </w:pPr>
            <w:r>
              <w:rPr>
                <w:sz w:val="21"/>
                <w:szCs w:val="21"/>
              </w:rPr>
              <w:t>0.66</w:t>
            </w:r>
          </w:p>
        </w:tc>
        <w:tc>
          <w:tcPr>
            <w:tcW w:w="723" w:type="dxa"/>
            <w:vAlign w:val="center"/>
          </w:tcPr>
          <w:p w:rsidR="00240BCE" w:rsidRDefault="00AC0334" w:rsidP="009614A0">
            <w:pPr>
              <w:spacing w:line="360" w:lineRule="auto"/>
              <w:jc w:val="center"/>
              <w:rPr>
                <w:sz w:val="21"/>
                <w:szCs w:val="21"/>
              </w:rPr>
            </w:pPr>
            <w:r>
              <w:rPr>
                <w:sz w:val="21"/>
                <w:szCs w:val="21"/>
              </w:rPr>
              <w:t>0.42</w:t>
            </w:r>
          </w:p>
        </w:tc>
        <w:tc>
          <w:tcPr>
            <w:tcW w:w="723" w:type="dxa"/>
            <w:vAlign w:val="center"/>
          </w:tcPr>
          <w:p w:rsidR="00240BCE" w:rsidRDefault="00AC0334" w:rsidP="009614A0">
            <w:pPr>
              <w:spacing w:line="360" w:lineRule="auto"/>
              <w:jc w:val="center"/>
              <w:rPr>
                <w:sz w:val="21"/>
                <w:szCs w:val="21"/>
              </w:rPr>
            </w:pPr>
            <w:r>
              <w:rPr>
                <w:sz w:val="21"/>
                <w:szCs w:val="21"/>
              </w:rPr>
              <w:t>0.30</w:t>
            </w:r>
          </w:p>
        </w:tc>
        <w:tc>
          <w:tcPr>
            <w:tcW w:w="690" w:type="dxa"/>
            <w:vAlign w:val="center"/>
          </w:tcPr>
          <w:p w:rsidR="00240BCE" w:rsidRDefault="00AC0334" w:rsidP="009614A0">
            <w:pPr>
              <w:spacing w:line="360" w:lineRule="auto"/>
              <w:jc w:val="center"/>
              <w:rPr>
                <w:sz w:val="21"/>
                <w:szCs w:val="21"/>
              </w:rPr>
            </w:pPr>
            <w:r>
              <w:rPr>
                <w:sz w:val="21"/>
                <w:szCs w:val="21"/>
              </w:rPr>
              <w:t>0.26</w:t>
            </w:r>
          </w:p>
        </w:tc>
        <w:tc>
          <w:tcPr>
            <w:tcW w:w="756" w:type="dxa"/>
            <w:vAlign w:val="center"/>
          </w:tcPr>
          <w:p w:rsidR="00240BCE" w:rsidRDefault="00AC0334" w:rsidP="009614A0">
            <w:pPr>
              <w:spacing w:line="360" w:lineRule="auto"/>
              <w:jc w:val="center"/>
              <w:rPr>
                <w:sz w:val="21"/>
                <w:szCs w:val="21"/>
              </w:rPr>
            </w:pPr>
            <w:r>
              <w:rPr>
                <w:sz w:val="21"/>
                <w:szCs w:val="21"/>
              </w:rPr>
              <w:t>0.19</w:t>
            </w:r>
          </w:p>
        </w:tc>
        <w:tc>
          <w:tcPr>
            <w:tcW w:w="744" w:type="dxa"/>
            <w:vAlign w:val="center"/>
          </w:tcPr>
          <w:p w:rsidR="00240BCE" w:rsidRDefault="00AC0334" w:rsidP="009614A0">
            <w:pPr>
              <w:spacing w:line="360" w:lineRule="auto"/>
              <w:jc w:val="center"/>
              <w:rPr>
                <w:sz w:val="21"/>
                <w:szCs w:val="21"/>
              </w:rPr>
            </w:pPr>
            <w:r>
              <w:rPr>
                <w:sz w:val="21"/>
                <w:szCs w:val="21"/>
              </w:rPr>
              <w:t>0.13</w:t>
            </w:r>
          </w:p>
        </w:tc>
      </w:tr>
      <w:tr w:rsidR="00240BCE" w:rsidTr="009614A0">
        <w:trPr>
          <w:trHeight w:val="480"/>
          <w:jc w:val="center"/>
        </w:trPr>
        <w:tc>
          <w:tcPr>
            <w:tcW w:w="980" w:type="dxa"/>
            <w:vMerge/>
            <w:vAlign w:val="center"/>
          </w:tcPr>
          <w:p w:rsidR="00240BCE" w:rsidRDefault="00240BCE" w:rsidP="009614A0">
            <w:pPr>
              <w:spacing w:line="360" w:lineRule="auto"/>
              <w:jc w:val="center"/>
              <w:rPr>
                <w:sz w:val="21"/>
                <w:szCs w:val="21"/>
              </w:rPr>
            </w:pPr>
          </w:p>
        </w:tc>
        <w:tc>
          <w:tcPr>
            <w:tcW w:w="2740" w:type="dxa"/>
            <w:vAlign w:val="center"/>
          </w:tcPr>
          <w:p w:rsidR="00240BCE" w:rsidRDefault="00AC0334" w:rsidP="009614A0">
            <w:pPr>
              <w:spacing w:line="360" w:lineRule="auto"/>
              <w:jc w:val="center"/>
              <w:rPr>
                <w:sz w:val="21"/>
                <w:szCs w:val="21"/>
              </w:rPr>
            </w:pPr>
            <w:r>
              <w:rPr>
                <w:sz w:val="21"/>
                <w:szCs w:val="21"/>
              </w:rPr>
              <w:t>采取运煤车辆轮胎冲洗、洒水、密闭式运输车，对运煤车辆限速等措施后贡献值</w:t>
            </w:r>
          </w:p>
        </w:tc>
        <w:tc>
          <w:tcPr>
            <w:tcW w:w="723" w:type="dxa"/>
            <w:vAlign w:val="center"/>
          </w:tcPr>
          <w:p w:rsidR="00240BCE" w:rsidRDefault="00AC0334" w:rsidP="009614A0">
            <w:pPr>
              <w:spacing w:line="360" w:lineRule="auto"/>
              <w:jc w:val="center"/>
              <w:rPr>
                <w:sz w:val="21"/>
                <w:szCs w:val="21"/>
              </w:rPr>
            </w:pPr>
            <w:r>
              <w:rPr>
                <w:sz w:val="21"/>
                <w:szCs w:val="21"/>
              </w:rPr>
              <w:t>0.26</w:t>
            </w:r>
          </w:p>
        </w:tc>
        <w:tc>
          <w:tcPr>
            <w:tcW w:w="587" w:type="dxa"/>
            <w:vAlign w:val="center"/>
          </w:tcPr>
          <w:p w:rsidR="00240BCE" w:rsidRDefault="00AC0334" w:rsidP="009614A0">
            <w:pPr>
              <w:spacing w:line="360" w:lineRule="auto"/>
              <w:jc w:val="center"/>
              <w:rPr>
                <w:sz w:val="21"/>
                <w:szCs w:val="21"/>
              </w:rPr>
            </w:pPr>
            <w:r>
              <w:rPr>
                <w:sz w:val="21"/>
                <w:szCs w:val="21"/>
              </w:rPr>
              <w:t>0.17</w:t>
            </w:r>
          </w:p>
        </w:tc>
        <w:tc>
          <w:tcPr>
            <w:tcW w:w="723" w:type="dxa"/>
            <w:vAlign w:val="center"/>
          </w:tcPr>
          <w:p w:rsidR="00240BCE" w:rsidRDefault="00AC0334" w:rsidP="009614A0">
            <w:pPr>
              <w:spacing w:line="360" w:lineRule="auto"/>
              <w:jc w:val="center"/>
              <w:rPr>
                <w:sz w:val="21"/>
                <w:szCs w:val="21"/>
              </w:rPr>
            </w:pPr>
            <w:r>
              <w:rPr>
                <w:sz w:val="21"/>
                <w:szCs w:val="21"/>
              </w:rPr>
              <w:t>0.13</w:t>
            </w:r>
          </w:p>
        </w:tc>
        <w:tc>
          <w:tcPr>
            <w:tcW w:w="723" w:type="dxa"/>
            <w:vAlign w:val="center"/>
          </w:tcPr>
          <w:p w:rsidR="00240BCE" w:rsidRDefault="00AC0334" w:rsidP="009614A0">
            <w:pPr>
              <w:spacing w:line="360" w:lineRule="auto"/>
              <w:jc w:val="center"/>
              <w:rPr>
                <w:sz w:val="21"/>
                <w:szCs w:val="21"/>
              </w:rPr>
            </w:pPr>
            <w:r>
              <w:rPr>
                <w:sz w:val="21"/>
                <w:szCs w:val="21"/>
              </w:rPr>
              <w:t>0.08</w:t>
            </w:r>
          </w:p>
        </w:tc>
        <w:tc>
          <w:tcPr>
            <w:tcW w:w="723" w:type="dxa"/>
            <w:vAlign w:val="center"/>
          </w:tcPr>
          <w:p w:rsidR="00240BCE" w:rsidRDefault="00AC0334" w:rsidP="009614A0">
            <w:pPr>
              <w:spacing w:line="360" w:lineRule="auto"/>
              <w:jc w:val="center"/>
              <w:rPr>
                <w:sz w:val="21"/>
                <w:szCs w:val="21"/>
              </w:rPr>
            </w:pPr>
            <w:r>
              <w:rPr>
                <w:sz w:val="21"/>
                <w:szCs w:val="21"/>
              </w:rPr>
              <w:t>0.06</w:t>
            </w:r>
          </w:p>
        </w:tc>
        <w:tc>
          <w:tcPr>
            <w:tcW w:w="690" w:type="dxa"/>
            <w:vAlign w:val="center"/>
          </w:tcPr>
          <w:p w:rsidR="00240BCE" w:rsidRDefault="00AC0334" w:rsidP="009614A0">
            <w:pPr>
              <w:spacing w:line="360" w:lineRule="auto"/>
              <w:jc w:val="center"/>
              <w:rPr>
                <w:sz w:val="21"/>
                <w:szCs w:val="21"/>
              </w:rPr>
            </w:pPr>
            <w:r>
              <w:rPr>
                <w:sz w:val="21"/>
                <w:szCs w:val="21"/>
              </w:rPr>
              <w:t>0.05</w:t>
            </w:r>
          </w:p>
        </w:tc>
        <w:tc>
          <w:tcPr>
            <w:tcW w:w="756" w:type="dxa"/>
            <w:vAlign w:val="center"/>
          </w:tcPr>
          <w:p w:rsidR="00240BCE" w:rsidRDefault="00AC0334" w:rsidP="009614A0">
            <w:pPr>
              <w:spacing w:line="360" w:lineRule="auto"/>
              <w:jc w:val="center"/>
              <w:rPr>
                <w:sz w:val="21"/>
                <w:szCs w:val="21"/>
              </w:rPr>
            </w:pPr>
            <w:r>
              <w:rPr>
                <w:sz w:val="21"/>
                <w:szCs w:val="21"/>
              </w:rPr>
              <w:t>0.04</w:t>
            </w:r>
          </w:p>
        </w:tc>
        <w:tc>
          <w:tcPr>
            <w:tcW w:w="744" w:type="dxa"/>
            <w:vAlign w:val="center"/>
          </w:tcPr>
          <w:p w:rsidR="00240BCE" w:rsidRDefault="00AC0334" w:rsidP="009614A0">
            <w:pPr>
              <w:spacing w:line="360" w:lineRule="auto"/>
              <w:jc w:val="center"/>
              <w:rPr>
                <w:sz w:val="21"/>
                <w:szCs w:val="21"/>
              </w:rPr>
            </w:pPr>
            <w:r>
              <w:rPr>
                <w:sz w:val="21"/>
                <w:szCs w:val="21"/>
              </w:rPr>
              <w:t>0.03</w:t>
            </w:r>
          </w:p>
        </w:tc>
      </w:tr>
      <w:tr w:rsidR="00240BCE" w:rsidTr="009614A0">
        <w:trPr>
          <w:trHeight w:val="480"/>
          <w:jc w:val="center"/>
        </w:trPr>
        <w:tc>
          <w:tcPr>
            <w:tcW w:w="980" w:type="dxa"/>
            <w:vMerge/>
            <w:vAlign w:val="center"/>
          </w:tcPr>
          <w:p w:rsidR="00240BCE" w:rsidRDefault="00240BCE" w:rsidP="009614A0">
            <w:pPr>
              <w:spacing w:line="360" w:lineRule="auto"/>
              <w:jc w:val="center"/>
              <w:rPr>
                <w:sz w:val="21"/>
                <w:szCs w:val="21"/>
              </w:rPr>
            </w:pPr>
          </w:p>
        </w:tc>
        <w:tc>
          <w:tcPr>
            <w:tcW w:w="2740" w:type="dxa"/>
            <w:vAlign w:val="center"/>
          </w:tcPr>
          <w:p w:rsidR="00240BCE" w:rsidRDefault="00AC0334" w:rsidP="009614A0">
            <w:pPr>
              <w:spacing w:line="360" w:lineRule="auto"/>
              <w:jc w:val="center"/>
              <w:rPr>
                <w:sz w:val="21"/>
                <w:szCs w:val="21"/>
              </w:rPr>
            </w:pPr>
            <w:r>
              <w:rPr>
                <w:sz w:val="21"/>
                <w:szCs w:val="21"/>
              </w:rPr>
              <w:t>未采取措施预测值</w:t>
            </w:r>
          </w:p>
        </w:tc>
        <w:tc>
          <w:tcPr>
            <w:tcW w:w="723" w:type="dxa"/>
            <w:vAlign w:val="center"/>
          </w:tcPr>
          <w:p w:rsidR="00240BCE" w:rsidRDefault="00AC0334" w:rsidP="009614A0">
            <w:pPr>
              <w:spacing w:line="360" w:lineRule="auto"/>
              <w:jc w:val="center"/>
              <w:rPr>
                <w:sz w:val="21"/>
                <w:szCs w:val="21"/>
              </w:rPr>
            </w:pPr>
            <w:r>
              <w:rPr>
                <w:sz w:val="21"/>
                <w:szCs w:val="21"/>
              </w:rPr>
              <w:t>1.445</w:t>
            </w:r>
          </w:p>
        </w:tc>
        <w:tc>
          <w:tcPr>
            <w:tcW w:w="587" w:type="dxa"/>
            <w:vAlign w:val="center"/>
          </w:tcPr>
          <w:p w:rsidR="00240BCE" w:rsidRDefault="00AC0334" w:rsidP="009614A0">
            <w:pPr>
              <w:spacing w:line="360" w:lineRule="auto"/>
              <w:jc w:val="center"/>
              <w:rPr>
                <w:sz w:val="21"/>
                <w:szCs w:val="21"/>
              </w:rPr>
            </w:pPr>
            <w:r>
              <w:rPr>
                <w:sz w:val="21"/>
                <w:szCs w:val="21"/>
              </w:rPr>
              <w:t>1.025</w:t>
            </w:r>
          </w:p>
        </w:tc>
        <w:tc>
          <w:tcPr>
            <w:tcW w:w="723" w:type="dxa"/>
            <w:vAlign w:val="center"/>
          </w:tcPr>
          <w:p w:rsidR="00240BCE" w:rsidRDefault="00AC0334" w:rsidP="009614A0">
            <w:pPr>
              <w:spacing w:line="360" w:lineRule="auto"/>
              <w:jc w:val="center"/>
              <w:rPr>
                <w:sz w:val="21"/>
                <w:szCs w:val="21"/>
              </w:rPr>
            </w:pPr>
            <w:r>
              <w:rPr>
                <w:sz w:val="21"/>
                <w:szCs w:val="21"/>
              </w:rPr>
              <w:t>0.815</w:t>
            </w:r>
          </w:p>
        </w:tc>
        <w:tc>
          <w:tcPr>
            <w:tcW w:w="723" w:type="dxa"/>
            <w:vAlign w:val="center"/>
          </w:tcPr>
          <w:p w:rsidR="00240BCE" w:rsidRDefault="00AC0334" w:rsidP="009614A0">
            <w:pPr>
              <w:spacing w:line="360" w:lineRule="auto"/>
              <w:jc w:val="center"/>
              <w:rPr>
                <w:sz w:val="21"/>
                <w:szCs w:val="21"/>
              </w:rPr>
            </w:pPr>
            <w:r>
              <w:rPr>
                <w:sz w:val="21"/>
                <w:szCs w:val="21"/>
              </w:rPr>
              <w:t>0.575</w:t>
            </w:r>
          </w:p>
        </w:tc>
        <w:tc>
          <w:tcPr>
            <w:tcW w:w="723" w:type="dxa"/>
            <w:vAlign w:val="center"/>
          </w:tcPr>
          <w:p w:rsidR="00240BCE" w:rsidRDefault="00AC0334" w:rsidP="009614A0">
            <w:pPr>
              <w:spacing w:line="360" w:lineRule="auto"/>
              <w:jc w:val="center"/>
              <w:rPr>
                <w:sz w:val="21"/>
                <w:szCs w:val="21"/>
              </w:rPr>
            </w:pPr>
            <w:r>
              <w:rPr>
                <w:sz w:val="21"/>
                <w:szCs w:val="21"/>
              </w:rPr>
              <w:t>0.455</w:t>
            </w:r>
          </w:p>
        </w:tc>
        <w:tc>
          <w:tcPr>
            <w:tcW w:w="690" w:type="dxa"/>
            <w:vAlign w:val="center"/>
          </w:tcPr>
          <w:p w:rsidR="00240BCE" w:rsidRDefault="00AC0334" w:rsidP="009614A0">
            <w:pPr>
              <w:spacing w:line="360" w:lineRule="auto"/>
              <w:jc w:val="center"/>
              <w:rPr>
                <w:sz w:val="21"/>
                <w:szCs w:val="21"/>
              </w:rPr>
            </w:pPr>
            <w:r>
              <w:rPr>
                <w:sz w:val="21"/>
                <w:szCs w:val="21"/>
              </w:rPr>
              <w:t>0.415</w:t>
            </w:r>
          </w:p>
        </w:tc>
        <w:tc>
          <w:tcPr>
            <w:tcW w:w="756" w:type="dxa"/>
            <w:vAlign w:val="center"/>
          </w:tcPr>
          <w:p w:rsidR="00240BCE" w:rsidRDefault="00AC0334" w:rsidP="009614A0">
            <w:pPr>
              <w:spacing w:line="360" w:lineRule="auto"/>
              <w:jc w:val="center"/>
              <w:rPr>
                <w:sz w:val="21"/>
                <w:szCs w:val="21"/>
              </w:rPr>
            </w:pPr>
            <w:r>
              <w:rPr>
                <w:sz w:val="21"/>
                <w:szCs w:val="21"/>
              </w:rPr>
              <w:t>0.345</w:t>
            </w:r>
          </w:p>
        </w:tc>
        <w:tc>
          <w:tcPr>
            <w:tcW w:w="744" w:type="dxa"/>
            <w:vAlign w:val="center"/>
          </w:tcPr>
          <w:p w:rsidR="00240BCE" w:rsidRDefault="00AC0334" w:rsidP="009614A0">
            <w:pPr>
              <w:spacing w:line="360" w:lineRule="auto"/>
              <w:jc w:val="center"/>
              <w:rPr>
                <w:sz w:val="21"/>
                <w:szCs w:val="21"/>
              </w:rPr>
            </w:pPr>
            <w:r>
              <w:rPr>
                <w:sz w:val="21"/>
                <w:szCs w:val="21"/>
              </w:rPr>
              <w:t>0.285</w:t>
            </w:r>
          </w:p>
        </w:tc>
      </w:tr>
      <w:tr w:rsidR="00240BCE" w:rsidTr="009614A0">
        <w:trPr>
          <w:trHeight w:val="480"/>
          <w:jc w:val="center"/>
        </w:trPr>
        <w:tc>
          <w:tcPr>
            <w:tcW w:w="980" w:type="dxa"/>
            <w:vMerge/>
            <w:vAlign w:val="center"/>
          </w:tcPr>
          <w:p w:rsidR="00240BCE" w:rsidRDefault="00240BCE" w:rsidP="009614A0">
            <w:pPr>
              <w:spacing w:line="360" w:lineRule="auto"/>
              <w:jc w:val="center"/>
              <w:rPr>
                <w:sz w:val="21"/>
                <w:szCs w:val="21"/>
              </w:rPr>
            </w:pPr>
          </w:p>
        </w:tc>
        <w:tc>
          <w:tcPr>
            <w:tcW w:w="2740" w:type="dxa"/>
            <w:vAlign w:val="center"/>
          </w:tcPr>
          <w:p w:rsidR="00240BCE" w:rsidRDefault="00AC0334" w:rsidP="009614A0">
            <w:pPr>
              <w:spacing w:line="360" w:lineRule="auto"/>
              <w:jc w:val="center"/>
              <w:rPr>
                <w:sz w:val="21"/>
                <w:szCs w:val="21"/>
              </w:rPr>
            </w:pPr>
            <w:r>
              <w:rPr>
                <w:sz w:val="21"/>
                <w:szCs w:val="21"/>
              </w:rPr>
              <w:t>采取措施后预测值</w:t>
            </w:r>
          </w:p>
        </w:tc>
        <w:tc>
          <w:tcPr>
            <w:tcW w:w="723" w:type="dxa"/>
            <w:vAlign w:val="center"/>
          </w:tcPr>
          <w:p w:rsidR="00240BCE" w:rsidRDefault="00AC0334" w:rsidP="009614A0">
            <w:pPr>
              <w:spacing w:line="360" w:lineRule="auto"/>
              <w:jc w:val="center"/>
              <w:rPr>
                <w:sz w:val="21"/>
                <w:szCs w:val="21"/>
              </w:rPr>
            </w:pPr>
            <w:r>
              <w:rPr>
                <w:sz w:val="21"/>
                <w:szCs w:val="21"/>
              </w:rPr>
              <w:t>0.415</w:t>
            </w:r>
          </w:p>
        </w:tc>
        <w:tc>
          <w:tcPr>
            <w:tcW w:w="587" w:type="dxa"/>
            <w:vAlign w:val="center"/>
          </w:tcPr>
          <w:p w:rsidR="00240BCE" w:rsidRDefault="00AC0334" w:rsidP="009614A0">
            <w:pPr>
              <w:spacing w:line="360" w:lineRule="auto"/>
              <w:jc w:val="center"/>
              <w:rPr>
                <w:sz w:val="21"/>
                <w:szCs w:val="21"/>
              </w:rPr>
            </w:pPr>
            <w:r>
              <w:rPr>
                <w:sz w:val="21"/>
                <w:szCs w:val="21"/>
              </w:rPr>
              <w:t>0.325</w:t>
            </w:r>
          </w:p>
        </w:tc>
        <w:tc>
          <w:tcPr>
            <w:tcW w:w="723" w:type="dxa"/>
            <w:vAlign w:val="center"/>
          </w:tcPr>
          <w:p w:rsidR="00240BCE" w:rsidRDefault="00AC0334" w:rsidP="009614A0">
            <w:pPr>
              <w:spacing w:line="360" w:lineRule="auto"/>
              <w:jc w:val="center"/>
              <w:rPr>
                <w:sz w:val="21"/>
                <w:szCs w:val="21"/>
              </w:rPr>
            </w:pPr>
            <w:r>
              <w:rPr>
                <w:sz w:val="21"/>
                <w:szCs w:val="21"/>
              </w:rPr>
              <w:t>0.285</w:t>
            </w:r>
          </w:p>
        </w:tc>
        <w:tc>
          <w:tcPr>
            <w:tcW w:w="723" w:type="dxa"/>
            <w:vAlign w:val="center"/>
          </w:tcPr>
          <w:p w:rsidR="00240BCE" w:rsidRDefault="00AC0334" w:rsidP="009614A0">
            <w:pPr>
              <w:spacing w:line="360" w:lineRule="auto"/>
              <w:jc w:val="center"/>
              <w:rPr>
                <w:sz w:val="21"/>
                <w:szCs w:val="21"/>
              </w:rPr>
            </w:pPr>
            <w:r>
              <w:rPr>
                <w:sz w:val="21"/>
                <w:szCs w:val="21"/>
              </w:rPr>
              <w:t>0.235</w:t>
            </w:r>
          </w:p>
        </w:tc>
        <w:tc>
          <w:tcPr>
            <w:tcW w:w="723" w:type="dxa"/>
            <w:vAlign w:val="center"/>
          </w:tcPr>
          <w:p w:rsidR="00240BCE" w:rsidRDefault="00AC0334" w:rsidP="009614A0">
            <w:pPr>
              <w:spacing w:line="360" w:lineRule="auto"/>
              <w:jc w:val="center"/>
              <w:rPr>
                <w:sz w:val="21"/>
                <w:szCs w:val="21"/>
              </w:rPr>
            </w:pPr>
            <w:r>
              <w:rPr>
                <w:sz w:val="21"/>
                <w:szCs w:val="21"/>
              </w:rPr>
              <w:t>0.215</w:t>
            </w:r>
          </w:p>
        </w:tc>
        <w:tc>
          <w:tcPr>
            <w:tcW w:w="690" w:type="dxa"/>
            <w:vAlign w:val="center"/>
          </w:tcPr>
          <w:p w:rsidR="00240BCE" w:rsidRDefault="00AC0334" w:rsidP="009614A0">
            <w:pPr>
              <w:spacing w:line="360" w:lineRule="auto"/>
              <w:jc w:val="center"/>
              <w:rPr>
                <w:sz w:val="21"/>
                <w:szCs w:val="21"/>
              </w:rPr>
            </w:pPr>
            <w:r>
              <w:rPr>
                <w:sz w:val="21"/>
                <w:szCs w:val="21"/>
              </w:rPr>
              <w:t>0.205</w:t>
            </w:r>
          </w:p>
        </w:tc>
        <w:tc>
          <w:tcPr>
            <w:tcW w:w="756" w:type="dxa"/>
            <w:vAlign w:val="center"/>
          </w:tcPr>
          <w:p w:rsidR="00240BCE" w:rsidRDefault="00AC0334" w:rsidP="009614A0">
            <w:pPr>
              <w:spacing w:line="360" w:lineRule="auto"/>
              <w:jc w:val="center"/>
              <w:rPr>
                <w:sz w:val="21"/>
                <w:szCs w:val="21"/>
              </w:rPr>
            </w:pPr>
            <w:r>
              <w:rPr>
                <w:sz w:val="21"/>
                <w:szCs w:val="21"/>
              </w:rPr>
              <w:t>0.195</w:t>
            </w:r>
          </w:p>
        </w:tc>
        <w:tc>
          <w:tcPr>
            <w:tcW w:w="744" w:type="dxa"/>
            <w:vAlign w:val="center"/>
          </w:tcPr>
          <w:p w:rsidR="00240BCE" w:rsidRDefault="00AC0334" w:rsidP="009614A0">
            <w:pPr>
              <w:spacing w:line="360" w:lineRule="auto"/>
              <w:jc w:val="center"/>
              <w:rPr>
                <w:sz w:val="21"/>
                <w:szCs w:val="21"/>
              </w:rPr>
            </w:pPr>
            <w:r>
              <w:rPr>
                <w:sz w:val="21"/>
                <w:szCs w:val="21"/>
              </w:rPr>
              <w:t>0.185</w:t>
            </w:r>
          </w:p>
        </w:tc>
      </w:tr>
      <w:tr w:rsidR="00240BCE" w:rsidTr="009614A0">
        <w:trPr>
          <w:trHeight w:val="394"/>
          <w:jc w:val="center"/>
        </w:trPr>
        <w:tc>
          <w:tcPr>
            <w:tcW w:w="980" w:type="dxa"/>
            <w:vAlign w:val="center"/>
          </w:tcPr>
          <w:p w:rsidR="00240BCE" w:rsidRDefault="00AC0334" w:rsidP="009614A0">
            <w:pPr>
              <w:spacing w:line="360" w:lineRule="auto"/>
              <w:jc w:val="center"/>
              <w:rPr>
                <w:sz w:val="21"/>
                <w:szCs w:val="21"/>
              </w:rPr>
            </w:pPr>
            <w:r>
              <w:rPr>
                <w:sz w:val="21"/>
                <w:szCs w:val="21"/>
              </w:rPr>
              <w:t>标准值</w:t>
            </w:r>
          </w:p>
        </w:tc>
        <w:tc>
          <w:tcPr>
            <w:tcW w:w="8410" w:type="dxa"/>
            <w:gridSpan w:val="9"/>
            <w:vAlign w:val="center"/>
          </w:tcPr>
          <w:p w:rsidR="00240BCE" w:rsidRDefault="00AC0334" w:rsidP="009614A0">
            <w:pPr>
              <w:spacing w:line="360" w:lineRule="auto"/>
              <w:jc w:val="center"/>
              <w:rPr>
                <w:sz w:val="21"/>
                <w:szCs w:val="21"/>
              </w:rPr>
            </w:pPr>
            <w:r>
              <w:rPr>
                <w:sz w:val="21"/>
                <w:szCs w:val="21"/>
              </w:rPr>
              <w:t>GB3095</w:t>
            </w:r>
            <w:r>
              <w:rPr>
                <w:sz w:val="21"/>
                <w:szCs w:val="21"/>
              </w:rPr>
              <w:t>－</w:t>
            </w:r>
            <w:r>
              <w:rPr>
                <w:sz w:val="21"/>
                <w:szCs w:val="21"/>
              </w:rPr>
              <w:t>2012</w:t>
            </w:r>
            <w:r>
              <w:rPr>
                <w:sz w:val="21"/>
                <w:szCs w:val="21"/>
              </w:rPr>
              <w:t>二级标准：</w:t>
            </w:r>
            <w:r>
              <w:rPr>
                <w:sz w:val="21"/>
                <w:szCs w:val="21"/>
              </w:rPr>
              <w:t>TSP</w:t>
            </w:r>
            <w:r>
              <w:rPr>
                <w:sz w:val="21"/>
                <w:szCs w:val="21"/>
              </w:rPr>
              <w:t>日均浓度：</w:t>
            </w:r>
            <w:r>
              <w:rPr>
                <w:sz w:val="21"/>
                <w:szCs w:val="21"/>
              </w:rPr>
              <w:t>0.30</w:t>
            </w:r>
            <w:r>
              <w:rPr>
                <w:sz w:val="21"/>
                <w:szCs w:val="21"/>
              </w:rPr>
              <w:t>，背景值</w:t>
            </w:r>
            <w:r>
              <w:rPr>
                <w:sz w:val="21"/>
                <w:szCs w:val="21"/>
              </w:rPr>
              <w:t>0.155mg/m</w:t>
            </w:r>
            <w:r>
              <w:rPr>
                <w:sz w:val="21"/>
                <w:szCs w:val="21"/>
                <w:vertAlign w:val="superscript"/>
              </w:rPr>
              <w:t>3</w:t>
            </w:r>
          </w:p>
        </w:tc>
      </w:tr>
    </w:tbl>
    <w:p w:rsidR="00240BCE" w:rsidRDefault="00AC0334" w:rsidP="00DB51A2">
      <w:pPr>
        <w:spacing w:line="520" w:lineRule="exact"/>
        <w:ind w:firstLineChars="192" w:firstLine="461"/>
        <w:rPr>
          <w:sz w:val="24"/>
        </w:rPr>
      </w:pPr>
      <w:r>
        <w:rPr>
          <w:sz w:val="24"/>
        </w:rPr>
        <w:t>由表</w:t>
      </w:r>
      <w:r>
        <w:rPr>
          <w:sz w:val="24"/>
        </w:rPr>
        <w:t>6.1-1</w:t>
      </w:r>
      <w:r>
        <w:rPr>
          <w:sz w:val="24"/>
        </w:rPr>
        <w:t>的结果可以看出，不采取措施的情况下，道路下风向距离</w:t>
      </w:r>
      <w:r>
        <w:rPr>
          <w:sz w:val="24"/>
        </w:rPr>
        <w:t>170m</w:t>
      </w:r>
      <w:r>
        <w:rPr>
          <w:sz w:val="24"/>
        </w:rPr>
        <w:t>外的扬尘浓度满足《环境空气质量标准》</w:t>
      </w:r>
      <w:r>
        <w:rPr>
          <w:sz w:val="24"/>
        </w:rPr>
        <w:t>GB3095</w:t>
      </w:r>
      <w:r>
        <w:rPr>
          <w:sz w:val="24"/>
        </w:rPr>
        <w:t>－</w:t>
      </w:r>
      <w:r>
        <w:rPr>
          <w:sz w:val="24"/>
        </w:rPr>
        <w:t>2012</w:t>
      </w:r>
      <w:r>
        <w:rPr>
          <w:sz w:val="24"/>
        </w:rPr>
        <w:t>二级标准要求，因此，在不采取措施情况下，道路扬尘主要是沿线</w:t>
      </w:r>
      <w:r>
        <w:rPr>
          <w:sz w:val="24"/>
        </w:rPr>
        <w:t>170m</w:t>
      </w:r>
      <w:r>
        <w:rPr>
          <w:sz w:val="24"/>
        </w:rPr>
        <w:t>范围内的局部带状污染。</w:t>
      </w:r>
    </w:p>
    <w:p w:rsidR="00240BCE" w:rsidRDefault="00AC0334" w:rsidP="00DB51A2">
      <w:pPr>
        <w:spacing w:line="520" w:lineRule="exact"/>
        <w:ind w:firstLineChars="192" w:firstLine="461"/>
        <w:rPr>
          <w:sz w:val="24"/>
          <w:szCs w:val="28"/>
        </w:rPr>
      </w:pPr>
      <w:r>
        <w:rPr>
          <w:sz w:val="24"/>
          <w:szCs w:val="28"/>
        </w:rPr>
        <w:t>本次评价要求在磅房处设车辆泥尘冲洗系统，冲洗泥水经收集后全部用于工业场地洒水降尘，不外排。并设专人清扫路面，并配备洒水车</w:t>
      </w:r>
      <w:r>
        <w:rPr>
          <w:sz w:val="24"/>
          <w:szCs w:val="28"/>
        </w:rPr>
        <w:t>1</w:t>
      </w:r>
      <w:r>
        <w:rPr>
          <w:sz w:val="24"/>
          <w:szCs w:val="28"/>
        </w:rPr>
        <w:t>辆，对道路定时洒水。在煤炭运输时严格运煤车辆管理，不超载，装车时煤炭压实并进行表面洒水，对运煤的车辆限速、限载，并按照国家有关规定，采用密闭式运输车，防止物料飞扬、抛洒，以此减少路面扬尘和运煤车辆对环境的影响。</w:t>
      </w:r>
    </w:p>
    <w:p w:rsidR="00240BCE" w:rsidRDefault="00AC0334" w:rsidP="00DB51A2">
      <w:pPr>
        <w:spacing w:line="520" w:lineRule="exact"/>
        <w:ind w:firstLineChars="192" w:firstLine="461"/>
        <w:rPr>
          <w:sz w:val="24"/>
          <w:highlight w:val="yellow"/>
        </w:rPr>
      </w:pPr>
      <w:r>
        <w:rPr>
          <w:sz w:val="24"/>
        </w:rPr>
        <w:t>根据预测结果：在采取措施的情况下，道路下风向距离</w:t>
      </w:r>
      <w:r>
        <w:rPr>
          <w:sz w:val="24"/>
        </w:rPr>
        <w:t>15m</w:t>
      </w:r>
      <w:r>
        <w:rPr>
          <w:sz w:val="24"/>
        </w:rPr>
        <w:t>处的扬尘浓度满足《环境空气质量标准》</w:t>
      </w:r>
      <w:r>
        <w:rPr>
          <w:sz w:val="24"/>
        </w:rPr>
        <w:t>GB3095</w:t>
      </w:r>
      <w:r>
        <w:rPr>
          <w:sz w:val="24"/>
        </w:rPr>
        <w:t>－</w:t>
      </w:r>
      <w:r>
        <w:rPr>
          <w:sz w:val="24"/>
        </w:rPr>
        <w:t>2012</w:t>
      </w:r>
      <w:r>
        <w:rPr>
          <w:sz w:val="24"/>
        </w:rPr>
        <w:t>二级标准的要求，因此，在采取措施的情况下，道路扬尘主要是</w:t>
      </w:r>
      <w:r>
        <w:rPr>
          <w:sz w:val="24"/>
        </w:rPr>
        <w:t>15m</w:t>
      </w:r>
      <w:r>
        <w:rPr>
          <w:sz w:val="24"/>
        </w:rPr>
        <w:t>范围内的局部沿线带状污染。</w:t>
      </w:r>
    </w:p>
    <w:p w:rsidR="00240BCE" w:rsidRDefault="00AC0334" w:rsidP="00DB51A2">
      <w:pPr>
        <w:spacing w:line="520" w:lineRule="exact"/>
        <w:ind w:firstLineChars="192" w:firstLine="461"/>
        <w:rPr>
          <w:sz w:val="24"/>
        </w:rPr>
      </w:pPr>
      <w:r>
        <w:rPr>
          <w:sz w:val="24"/>
        </w:rPr>
        <w:t>据现场调查可知，本项目运输道路沿线两侧主要为赵沟村柿树行组，与道路中心线的距离为</w:t>
      </w:r>
      <w:r>
        <w:rPr>
          <w:sz w:val="24"/>
        </w:rPr>
        <w:t>23m</w:t>
      </w:r>
      <w:r>
        <w:rPr>
          <w:sz w:val="24"/>
        </w:rPr>
        <w:t>，</w:t>
      </w:r>
      <w:r>
        <w:rPr>
          <w:sz w:val="24"/>
          <w:szCs w:val="28"/>
        </w:rPr>
        <w:t>满足</w:t>
      </w:r>
      <w:r>
        <w:rPr>
          <w:sz w:val="24"/>
        </w:rPr>
        <w:t>《环境空气质量标准》</w:t>
      </w:r>
      <w:r>
        <w:rPr>
          <w:sz w:val="24"/>
        </w:rPr>
        <w:t>GB3095</w:t>
      </w:r>
      <w:r>
        <w:rPr>
          <w:sz w:val="24"/>
        </w:rPr>
        <w:t>－</w:t>
      </w:r>
      <w:r>
        <w:rPr>
          <w:sz w:val="24"/>
        </w:rPr>
        <w:t>2012</w:t>
      </w:r>
      <w:r>
        <w:rPr>
          <w:sz w:val="24"/>
        </w:rPr>
        <w:t>二级标准的要求，</w:t>
      </w:r>
    </w:p>
    <w:p w:rsidR="00240BCE" w:rsidRDefault="00AC0334">
      <w:pPr>
        <w:pStyle w:val="01"/>
        <w:spacing w:line="520" w:lineRule="exact"/>
        <w:ind w:firstLine="480"/>
        <w:rPr>
          <w:rFonts w:ascii="Times New Roman" w:hAnsi="Times New Roman"/>
          <w:bCs/>
          <w:iCs/>
        </w:rPr>
      </w:pPr>
      <w:r>
        <w:rPr>
          <w:rFonts w:ascii="Times New Roman" w:hAnsi="Times New Roman"/>
          <w:bCs/>
          <w:iCs/>
        </w:rPr>
        <w:t>但为进一步降低运输车辆扬尘对运输沿线敏感点的影响，评价要求建设单位在运输时采取</w:t>
      </w:r>
      <w:r>
        <w:rPr>
          <w:rFonts w:ascii="Times New Roman" w:hAnsi="Times New Roman"/>
          <w:bCs/>
          <w:iCs/>
        </w:rPr>
        <w:t>“①</w:t>
      </w:r>
      <w:r>
        <w:rPr>
          <w:rFonts w:ascii="Times New Roman" w:hAnsi="Times New Roman"/>
          <w:bCs/>
          <w:iCs/>
        </w:rPr>
        <w:t>严禁超高运输，降低装载高度，保证装料高度不超过车厢边沿，并在装矿完毕后洒水增湿料而，最后加盖蓬布，避免运输过程中产生大的扬尘；</w:t>
      </w:r>
      <w:r>
        <w:rPr>
          <w:rFonts w:ascii="Times New Roman" w:hAnsi="Times New Roman"/>
          <w:bCs/>
          <w:iCs/>
        </w:rPr>
        <w:t>②</w:t>
      </w:r>
      <w:r>
        <w:rPr>
          <w:rFonts w:ascii="Times New Roman" w:hAnsi="Times New Roman"/>
          <w:bCs/>
          <w:iCs/>
        </w:rPr>
        <w:t>运输</w:t>
      </w:r>
      <w:r>
        <w:rPr>
          <w:rFonts w:ascii="Times New Roman" w:hAnsi="Times New Roman"/>
          <w:bCs/>
          <w:iCs/>
        </w:rPr>
        <w:lastRenderedPageBreak/>
        <w:t>道路配备洒水车对运输所经的路面进行定期洒水，每日不少于</w:t>
      </w:r>
      <w:r>
        <w:rPr>
          <w:rFonts w:ascii="Times New Roman" w:hAnsi="Times New Roman"/>
          <w:bCs/>
          <w:iCs/>
        </w:rPr>
        <w:t>4</w:t>
      </w:r>
      <w:r>
        <w:rPr>
          <w:rFonts w:ascii="Times New Roman" w:hAnsi="Times New Roman"/>
          <w:bCs/>
          <w:iCs/>
        </w:rPr>
        <w:t>次；运输车辆进出采场前，冲洗车轮，并对车轮进行喷水湿润，避免车辆带泥上路，以减轻运输车辆产生的粉尘影响；</w:t>
      </w:r>
      <w:r>
        <w:rPr>
          <w:rFonts w:ascii="Times New Roman" w:hAnsi="Times New Roman"/>
          <w:bCs/>
          <w:iCs/>
        </w:rPr>
        <w:t>③</w:t>
      </w:r>
      <w:r>
        <w:rPr>
          <w:rFonts w:ascii="Times New Roman" w:hAnsi="Times New Roman"/>
          <w:bCs/>
          <w:iCs/>
        </w:rPr>
        <w:t>加强运输道路监管与维护工作，对滑落到道路边的物料进行及时清理，对于破损路面及时进行修复；</w:t>
      </w:r>
      <w:r>
        <w:rPr>
          <w:rFonts w:ascii="Times New Roman" w:hAnsi="Times New Roman"/>
          <w:bCs/>
          <w:iCs/>
        </w:rPr>
        <w:t>④</w:t>
      </w:r>
      <w:r>
        <w:rPr>
          <w:rFonts w:ascii="Times New Roman" w:hAnsi="Times New Roman"/>
          <w:bCs/>
          <w:iCs/>
        </w:rPr>
        <w:t>控制汽车行驶车速，降低车轮产生的交通扬尘；</w:t>
      </w:r>
      <w:r>
        <w:rPr>
          <w:rFonts w:ascii="Times New Roman" w:hAnsi="Times New Roman"/>
          <w:bCs/>
          <w:iCs/>
        </w:rPr>
        <w:t>⑤</w:t>
      </w:r>
      <w:r>
        <w:rPr>
          <w:rFonts w:ascii="Times New Roman" w:hAnsi="Times New Roman"/>
          <w:bCs/>
          <w:iCs/>
        </w:rPr>
        <w:t>加强汽车维修保养，并设专人对路面平整维护；经过村庄等敏感点时减速慢行；在村庄较密集处设限速标志等措施，以最大限度的减少运输车辆扬尘对沿线敏感点的影响。</w:t>
      </w:r>
    </w:p>
    <w:p w:rsidR="00240BCE" w:rsidRDefault="00AC0334">
      <w:pPr>
        <w:pStyle w:val="01"/>
        <w:spacing w:line="520" w:lineRule="exact"/>
        <w:ind w:firstLine="480"/>
        <w:rPr>
          <w:rFonts w:ascii="Times New Roman" w:hAnsi="Times New Roman"/>
        </w:rPr>
      </w:pPr>
      <w:r>
        <w:rPr>
          <w:rFonts w:ascii="Times New Roman" w:hAnsi="Times New Roman"/>
        </w:rPr>
        <w:t>上述措施简单易行，关键在于管理，厂方应制定严格的管理措施和监控计划，派专人加强监督管理和实施。</w:t>
      </w:r>
    </w:p>
    <w:p w:rsidR="009614A0" w:rsidRDefault="009614A0">
      <w:pPr>
        <w:widowControl/>
        <w:jc w:val="left"/>
        <w:rPr>
          <w:rFonts w:eastAsia="楷体"/>
          <w:b/>
          <w:bCs/>
          <w:i/>
          <w:szCs w:val="28"/>
        </w:rPr>
      </w:pPr>
      <w:bookmarkStart w:id="509" w:name="_Toc79668700"/>
      <w:bookmarkStart w:id="510" w:name="_Toc3971_WPSOffice_Level3"/>
      <w:r>
        <w:rPr>
          <w:rFonts w:eastAsia="楷体"/>
          <w:i/>
          <w:szCs w:val="28"/>
        </w:rPr>
        <w:br w:type="page"/>
      </w:r>
    </w:p>
    <w:p w:rsidR="00240BCE" w:rsidRDefault="00AC0334" w:rsidP="009C5F33">
      <w:pPr>
        <w:pStyle w:val="30"/>
        <w:adjustRightInd w:val="0"/>
        <w:snapToGrid w:val="0"/>
        <w:spacing w:beforeLines="70" w:afterLines="30" w:line="240" w:lineRule="auto"/>
        <w:jc w:val="left"/>
        <w:rPr>
          <w:rFonts w:eastAsia="楷体"/>
          <w:i/>
          <w:sz w:val="28"/>
          <w:szCs w:val="28"/>
        </w:rPr>
      </w:pPr>
      <w:r>
        <w:rPr>
          <w:rFonts w:eastAsia="楷体"/>
          <w:i/>
          <w:sz w:val="28"/>
          <w:szCs w:val="28"/>
        </w:rPr>
        <w:lastRenderedPageBreak/>
        <w:t xml:space="preserve">6.1.3 </w:t>
      </w:r>
      <w:r>
        <w:rPr>
          <w:rFonts w:eastAsia="楷体"/>
          <w:i/>
          <w:sz w:val="28"/>
          <w:szCs w:val="28"/>
        </w:rPr>
        <w:t>大气环境影响评价自查表</w:t>
      </w:r>
      <w:bookmarkEnd w:id="509"/>
      <w:bookmarkEnd w:id="510"/>
    </w:p>
    <w:p w:rsidR="00240BCE" w:rsidRDefault="00AC0334">
      <w:pPr>
        <w:pStyle w:val="01"/>
        <w:snapToGrid w:val="0"/>
        <w:spacing w:line="520" w:lineRule="exact"/>
        <w:ind w:firstLineChars="0" w:firstLine="0"/>
        <w:jc w:val="center"/>
        <w:rPr>
          <w:rFonts w:ascii="Times New Roman" w:hAnsi="Times New Roman"/>
          <w:color w:val="000000"/>
        </w:rPr>
      </w:pPr>
      <w:r>
        <w:rPr>
          <w:rFonts w:ascii="Times New Roman" w:hAnsi="Times New Roman"/>
          <w:color w:val="000000"/>
        </w:rPr>
        <w:t>表</w:t>
      </w:r>
      <w:r>
        <w:rPr>
          <w:rFonts w:ascii="Times New Roman" w:hAnsi="Times New Roman"/>
          <w:color w:val="000000"/>
        </w:rPr>
        <w:t xml:space="preserve">6.1-2   </w:t>
      </w:r>
      <w:r>
        <w:rPr>
          <w:rFonts w:ascii="Times New Roman" w:hAnsi="Times New Roman"/>
          <w:color w:val="000000"/>
        </w:rPr>
        <w:t>大气环境影响评价自查表</w:t>
      </w:r>
    </w:p>
    <w:tbl>
      <w:tblPr>
        <w:tblW w:w="90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85"/>
        <w:gridCol w:w="1550"/>
        <w:gridCol w:w="952"/>
        <w:gridCol w:w="124"/>
        <w:gridCol w:w="436"/>
        <w:gridCol w:w="99"/>
        <w:gridCol w:w="164"/>
        <w:gridCol w:w="45"/>
        <w:gridCol w:w="142"/>
        <w:gridCol w:w="141"/>
        <w:gridCol w:w="564"/>
        <w:gridCol w:w="393"/>
        <w:gridCol w:w="33"/>
        <w:gridCol w:w="109"/>
        <w:gridCol w:w="141"/>
        <w:gridCol w:w="36"/>
        <w:gridCol w:w="989"/>
        <w:gridCol w:w="125"/>
        <w:gridCol w:w="104"/>
        <w:gridCol w:w="483"/>
        <w:gridCol w:w="187"/>
        <w:gridCol w:w="94"/>
        <w:gridCol w:w="661"/>
        <w:gridCol w:w="584"/>
      </w:tblGrid>
      <w:tr w:rsidR="00240BCE">
        <w:tc>
          <w:tcPr>
            <w:tcW w:w="2438" w:type="dxa"/>
            <w:gridSpan w:val="2"/>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工作内容</w:t>
            </w:r>
          </w:p>
        </w:tc>
        <w:tc>
          <w:tcPr>
            <w:tcW w:w="6603" w:type="dxa"/>
            <w:gridSpan w:val="22"/>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自查项目</w:t>
            </w:r>
          </w:p>
        </w:tc>
      </w:tr>
      <w:tr w:rsidR="00240BCE">
        <w:tc>
          <w:tcPr>
            <w:tcW w:w="886" w:type="dxa"/>
            <w:vMerge w:val="restart"/>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评价等级与范围</w:t>
            </w: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评价等级</w:t>
            </w:r>
          </w:p>
        </w:tc>
        <w:tc>
          <w:tcPr>
            <w:tcW w:w="1611" w:type="dxa"/>
            <w:gridSpan w:val="4"/>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一级</w:t>
            </w:r>
            <w:r>
              <w:rPr>
                <w:rFonts w:ascii="Times New Roman" w:eastAsia="Times New Roman" w:hAnsi="Times New Roman" w:cs="Times New Roman"/>
                <w:sz w:val="21"/>
              </w:rPr>
              <w:t>□</w:t>
            </w:r>
          </w:p>
        </w:tc>
        <w:tc>
          <w:tcPr>
            <w:tcW w:w="2986" w:type="dxa"/>
            <w:gridSpan w:val="13"/>
            <w:vAlign w:val="center"/>
          </w:tcPr>
          <w:p w:rsidR="00240BCE" w:rsidRDefault="00AC0334" w:rsidP="00B97108">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二级</w:t>
            </w:r>
            <w:r w:rsidR="00B97108">
              <w:rPr>
                <w:rFonts w:ascii="Times New Roman" w:eastAsia="Times New Roman" w:hAnsi="Times New Roman" w:cs="Times New Roman"/>
                <w:sz w:val="21"/>
              </w:rPr>
              <w:t>√</w:t>
            </w:r>
          </w:p>
        </w:tc>
        <w:tc>
          <w:tcPr>
            <w:tcW w:w="2006" w:type="dxa"/>
            <w:gridSpan w:val="5"/>
            <w:vAlign w:val="center"/>
          </w:tcPr>
          <w:p w:rsidR="00240BCE" w:rsidRDefault="00AC0334" w:rsidP="00B97108">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三级</w:t>
            </w:r>
            <w:r w:rsidR="00B97108">
              <w:rPr>
                <w:rFonts w:ascii="Times New Roman" w:eastAsia="Times New Roman" w:hAnsi="Times New Roman" w:cs="Times New Roman"/>
                <w:sz w:val="21"/>
              </w:rPr>
              <w:t>□</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评价范围</w:t>
            </w:r>
          </w:p>
        </w:tc>
        <w:tc>
          <w:tcPr>
            <w:tcW w:w="1611" w:type="dxa"/>
            <w:gridSpan w:val="4"/>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边长</w:t>
            </w:r>
            <w:r>
              <w:rPr>
                <w:rFonts w:ascii="Times New Roman" w:eastAsia="Times New Roman" w:hAnsi="Times New Roman" w:cs="Times New Roman"/>
                <w:sz w:val="21"/>
              </w:rPr>
              <w:t>=50km□</w:t>
            </w:r>
          </w:p>
        </w:tc>
        <w:tc>
          <w:tcPr>
            <w:tcW w:w="2986" w:type="dxa"/>
            <w:gridSpan w:val="13"/>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边长</w:t>
            </w:r>
            <w:r>
              <w:rPr>
                <w:rFonts w:ascii="Times New Roman" w:hAnsi="Times New Roman" w:cs="Times New Roman"/>
                <w:sz w:val="21"/>
              </w:rPr>
              <w:t xml:space="preserve"> </w:t>
            </w:r>
            <w:r>
              <w:rPr>
                <w:rFonts w:ascii="Times New Roman" w:eastAsia="Times New Roman" w:hAnsi="Times New Roman" w:cs="Times New Roman"/>
                <w:sz w:val="21"/>
              </w:rPr>
              <w:t>5</w:t>
            </w:r>
            <w:r>
              <w:rPr>
                <w:rFonts w:ascii="Times New Roman" w:hAnsi="Times New Roman" w:cs="Times New Roman"/>
                <w:sz w:val="21"/>
              </w:rPr>
              <w:t>～</w:t>
            </w:r>
            <w:r>
              <w:rPr>
                <w:rFonts w:ascii="Times New Roman" w:eastAsia="Times New Roman" w:hAnsi="Times New Roman" w:cs="Times New Roman"/>
                <w:sz w:val="21"/>
              </w:rPr>
              <w:t>50km□</w:t>
            </w:r>
          </w:p>
        </w:tc>
        <w:tc>
          <w:tcPr>
            <w:tcW w:w="2006" w:type="dxa"/>
            <w:gridSpan w:val="5"/>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边长</w:t>
            </w:r>
            <w:r>
              <w:rPr>
                <w:rFonts w:ascii="Times New Roman" w:eastAsia="Times New Roman" w:hAnsi="Times New Roman" w:cs="Times New Roman"/>
                <w:sz w:val="21"/>
              </w:rPr>
              <w:t>=5 km√</w:t>
            </w:r>
          </w:p>
        </w:tc>
      </w:tr>
      <w:tr w:rsidR="00240BCE">
        <w:tc>
          <w:tcPr>
            <w:tcW w:w="886" w:type="dxa"/>
            <w:vMerge w:val="restart"/>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评价因子</w:t>
            </w: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eastAsia="Times New Roman" w:hAnsi="Times New Roman" w:cs="Times New Roman"/>
                <w:sz w:val="21"/>
              </w:rPr>
              <w:t>SO</w:t>
            </w:r>
            <w:r>
              <w:rPr>
                <w:rFonts w:ascii="Times New Roman" w:eastAsia="Times New Roman" w:hAnsi="Times New Roman" w:cs="Times New Roman"/>
                <w:sz w:val="21"/>
                <w:vertAlign w:val="subscript"/>
              </w:rPr>
              <w:t>2</w:t>
            </w:r>
            <w:r>
              <w:rPr>
                <w:rFonts w:ascii="Times New Roman" w:eastAsia="Times New Roman" w:hAnsi="Times New Roman" w:cs="Times New Roman"/>
                <w:sz w:val="21"/>
              </w:rPr>
              <w:t>+NO</w:t>
            </w:r>
            <w:r>
              <w:rPr>
                <w:rFonts w:ascii="Times New Roman" w:eastAsia="Times New Roman" w:hAnsi="Times New Roman" w:cs="Times New Roman"/>
                <w:sz w:val="21"/>
                <w:vertAlign w:val="subscript"/>
              </w:rPr>
              <w:t>X</w:t>
            </w:r>
            <w:r>
              <w:rPr>
                <w:rFonts w:ascii="Times New Roman" w:hAnsi="Times New Roman" w:cs="Times New Roman"/>
                <w:sz w:val="21"/>
              </w:rPr>
              <w:t>排放量</w:t>
            </w:r>
          </w:p>
        </w:tc>
        <w:tc>
          <w:tcPr>
            <w:tcW w:w="1611" w:type="dxa"/>
            <w:gridSpan w:val="4"/>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 2000t/a</w:t>
            </w:r>
            <w:r>
              <w:rPr>
                <w:rFonts w:ascii="Times New Roman" w:hAnsi="Times New Roman" w:cs="Times New Roman"/>
                <w:sz w:val="21"/>
              </w:rPr>
              <w:sym w:font="Wingdings 2" w:char="00A3"/>
            </w:r>
          </w:p>
        </w:tc>
        <w:tc>
          <w:tcPr>
            <w:tcW w:w="2986" w:type="dxa"/>
            <w:gridSpan w:val="13"/>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500 ~ 2000t/a□</w:t>
            </w:r>
          </w:p>
        </w:tc>
        <w:tc>
          <w:tcPr>
            <w:tcW w:w="2006" w:type="dxa"/>
            <w:gridSpan w:val="5"/>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w:t>
            </w:r>
            <w:r>
              <w:rPr>
                <w:rFonts w:ascii="Times New Roman" w:eastAsia="Times New Roman" w:hAnsi="Times New Roman" w:cs="Times New Roman"/>
                <w:sz w:val="21"/>
              </w:rPr>
              <w:t>500 t/a</w:t>
            </w:r>
            <w:r>
              <w:rPr>
                <w:rFonts w:ascii="Times New Roman" w:eastAsia="Times New Roman" w:hAnsi="Times New Roman" w:cs="Times New Roman"/>
                <w:sz w:val="21"/>
                <w:lang w:val="en-US"/>
              </w:rPr>
              <w:t xml:space="preserve"> </w:t>
            </w:r>
            <w:r>
              <w:rPr>
                <w:rFonts w:ascii="Times New Roman" w:eastAsia="Times New Roman" w:hAnsi="Times New Roman" w:cs="Times New Roman"/>
                <w:sz w:val="21"/>
              </w:rPr>
              <w:t>√</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评价因子</w:t>
            </w:r>
          </w:p>
        </w:tc>
        <w:tc>
          <w:tcPr>
            <w:tcW w:w="3202" w:type="dxa"/>
            <w:gridSpan w:val="12"/>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基本污染物</w:t>
            </w:r>
            <w:r>
              <w:rPr>
                <w:rFonts w:ascii="Times New Roman" w:hAnsi="Times New Roman" w:cs="Times New Roman"/>
                <w:sz w:val="21"/>
              </w:rPr>
              <w:t xml:space="preserve"> </w:t>
            </w:r>
            <w:r>
              <w:rPr>
                <w:rFonts w:ascii="Times New Roman" w:eastAsia="Times New Roman" w:hAnsi="Times New Roman" w:cs="Times New Roman"/>
                <w:sz w:val="21"/>
              </w:rPr>
              <w:t>(SO</w:t>
            </w:r>
            <w:r>
              <w:rPr>
                <w:rFonts w:ascii="Times New Roman" w:eastAsia="Times New Roman" w:hAnsi="Times New Roman" w:cs="Times New Roman"/>
                <w:sz w:val="21"/>
                <w:vertAlign w:val="subscript"/>
              </w:rPr>
              <w:t>2</w:t>
            </w:r>
            <w:r>
              <w:rPr>
                <w:rFonts w:ascii="Times New Roman" w:hAnsi="Times New Roman" w:cs="Times New Roman"/>
                <w:sz w:val="21"/>
              </w:rPr>
              <w:t>、</w:t>
            </w:r>
            <w:r>
              <w:rPr>
                <w:rFonts w:ascii="Times New Roman" w:eastAsia="Times New Roman" w:hAnsi="Times New Roman" w:cs="Times New Roman"/>
                <w:sz w:val="21"/>
              </w:rPr>
              <w:t>NO</w:t>
            </w:r>
            <w:r>
              <w:rPr>
                <w:rFonts w:ascii="Times New Roman" w:eastAsia="Times New Roman" w:hAnsi="Times New Roman" w:cs="Times New Roman"/>
                <w:sz w:val="21"/>
                <w:vertAlign w:val="subscript"/>
              </w:rPr>
              <w:t>2</w:t>
            </w:r>
            <w:r>
              <w:rPr>
                <w:rFonts w:ascii="Times New Roman" w:hAnsi="Times New Roman" w:cs="Times New Roman"/>
                <w:sz w:val="21"/>
              </w:rPr>
              <w:t>、</w:t>
            </w:r>
            <w:r>
              <w:rPr>
                <w:rFonts w:ascii="Times New Roman" w:eastAsia="Times New Roman" w:hAnsi="Times New Roman" w:cs="Times New Roman"/>
                <w:sz w:val="21"/>
              </w:rPr>
              <w:t>PM</w:t>
            </w:r>
            <w:r>
              <w:rPr>
                <w:rFonts w:ascii="Times New Roman" w:eastAsia="Times New Roman" w:hAnsi="Times New Roman" w:cs="Times New Roman"/>
                <w:sz w:val="21"/>
                <w:vertAlign w:val="subscript"/>
              </w:rPr>
              <w:t>10</w:t>
            </w:r>
            <w:r>
              <w:rPr>
                <w:rFonts w:ascii="Times New Roman" w:hAnsi="Times New Roman" w:cs="Times New Roman"/>
                <w:sz w:val="21"/>
              </w:rPr>
              <w:t>、</w:t>
            </w:r>
            <w:r>
              <w:rPr>
                <w:rFonts w:ascii="Times New Roman" w:eastAsia="Times New Roman" w:hAnsi="Times New Roman" w:cs="Times New Roman"/>
                <w:sz w:val="21"/>
              </w:rPr>
              <w:t>PM</w:t>
            </w:r>
            <w:r>
              <w:rPr>
                <w:rFonts w:ascii="Times New Roman" w:eastAsia="Times New Roman" w:hAnsi="Times New Roman" w:cs="Times New Roman"/>
                <w:sz w:val="21"/>
                <w:vertAlign w:val="subscript"/>
              </w:rPr>
              <w:t>2.5</w:t>
            </w:r>
            <w:r>
              <w:rPr>
                <w:rFonts w:ascii="Times New Roman" w:hAnsi="Times New Roman" w:cs="Times New Roman"/>
                <w:sz w:val="21"/>
              </w:rPr>
              <w:t>、</w:t>
            </w:r>
            <w:r>
              <w:rPr>
                <w:rFonts w:ascii="Times New Roman" w:eastAsia="Times New Roman" w:hAnsi="Times New Roman" w:cs="Times New Roman"/>
                <w:sz w:val="21"/>
              </w:rPr>
              <w:t>CO</w:t>
            </w:r>
            <w:r>
              <w:rPr>
                <w:rFonts w:ascii="Times New Roman" w:hAnsi="Times New Roman" w:cs="Times New Roman"/>
                <w:sz w:val="21"/>
              </w:rPr>
              <w:t>、</w:t>
            </w:r>
            <w:r>
              <w:rPr>
                <w:rFonts w:ascii="Times New Roman" w:eastAsia="Times New Roman" w:hAnsi="Times New Roman" w:cs="Times New Roman"/>
                <w:sz w:val="21"/>
              </w:rPr>
              <w:t>O</w:t>
            </w:r>
            <w:r>
              <w:rPr>
                <w:rFonts w:ascii="Times New Roman" w:eastAsia="Times New Roman" w:hAnsi="Times New Roman" w:cs="Times New Roman"/>
                <w:sz w:val="21"/>
                <w:vertAlign w:val="subscript"/>
              </w:rPr>
              <w:t>3</w:t>
            </w:r>
            <w:r>
              <w:rPr>
                <w:rFonts w:ascii="Times New Roman" w:eastAsia="Times New Roman" w:hAnsi="Times New Roman" w:cs="Times New Roman"/>
                <w:sz w:val="21"/>
              </w:rPr>
              <w:t>)</w:t>
            </w:r>
          </w:p>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其他污染物</w:t>
            </w:r>
            <w:r>
              <w:rPr>
                <w:rFonts w:ascii="Times New Roman" w:hAnsi="Times New Roman" w:cs="Times New Roman"/>
                <w:sz w:val="21"/>
              </w:rPr>
              <w:t xml:space="preserve"> </w:t>
            </w:r>
            <w:r>
              <w:rPr>
                <w:rFonts w:ascii="Times New Roman" w:eastAsia="Times New Roman" w:hAnsi="Times New Roman" w:cs="Times New Roman"/>
                <w:sz w:val="21"/>
              </w:rPr>
              <w:t>(TSP)</w:t>
            </w:r>
          </w:p>
        </w:tc>
        <w:tc>
          <w:tcPr>
            <w:tcW w:w="3401" w:type="dxa"/>
            <w:gridSpan w:val="10"/>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包括二次</w:t>
            </w:r>
            <w:r>
              <w:rPr>
                <w:rFonts w:ascii="Times New Roman" w:eastAsia="Times New Roman" w:hAnsi="Times New Roman" w:cs="Times New Roman"/>
                <w:sz w:val="21"/>
              </w:rPr>
              <w:t xml:space="preserve">PM2.5□ </w:t>
            </w:r>
            <w:r>
              <w:rPr>
                <w:rFonts w:ascii="Times New Roman" w:hAnsi="Times New Roman" w:cs="Times New Roman"/>
                <w:sz w:val="21"/>
              </w:rPr>
              <w:t>不包括二次</w:t>
            </w:r>
            <w:r>
              <w:rPr>
                <w:rFonts w:ascii="Times New Roman" w:eastAsia="Times New Roman" w:hAnsi="Times New Roman" w:cs="Times New Roman"/>
                <w:sz w:val="21"/>
              </w:rPr>
              <w:t>PM2.5</w:t>
            </w:r>
          </w:p>
        </w:tc>
      </w:tr>
      <w:tr w:rsidR="00240BCE">
        <w:tc>
          <w:tcPr>
            <w:tcW w:w="886"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评价标准</w:t>
            </w: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评价标准</w:t>
            </w:r>
          </w:p>
        </w:tc>
        <w:tc>
          <w:tcPr>
            <w:tcW w:w="1820" w:type="dxa"/>
            <w:gridSpan w:val="6"/>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国家标准</w:t>
            </w:r>
            <w:r>
              <w:rPr>
                <w:rFonts w:ascii="Times New Roman" w:eastAsia="Times New Roman" w:hAnsi="Times New Roman" w:cs="Times New Roman"/>
                <w:sz w:val="21"/>
              </w:rPr>
              <w:t>√</w:t>
            </w:r>
          </w:p>
        </w:tc>
        <w:tc>
          <w:tcPr>
            <w:tcW w:w="1382" w:type="dxa"/>
            <w:gridSpan w:val="6"/>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地方标准</w:t>
            </w:r>
            <w:r>
              <w:rPr>
                <w:rFonts w:ascii="Times New Roman" w:eastAsia="Times New Roman" w:hAnsi="Times New Roman" w:cs="Times New Roman"/>
                <w:sz w:val="21"/>
              </w:rPr>
              <w:sym w:font="Wingdings 2" w:char="00A3"/>
            </w:r>
          </w:p>
        </w:tc>
        <w:tc>
          <w:tcPr>
            <w:tcW w:w="1875" w:type="dxa"/>
            <w:gridSpan w:val="6"/>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附录</w:t>
            </w:r>
            <w:r>
              <w:rPr>
                <w:rFonts w:ascii="Times New Roman" w:hAnsi="Times New Roman" w:cs="Times New Roman"/>
                <w:sz w:val="21"/>
              </w:rPr>
              <w:t xml:space="preserve"> </w:t>
            </w:r>
            <w:r>
              <w:rPr>
                <w:rFonts w:ascii="Times New Roman" w:eastAsia="Times New Roman" w:hAnsi="Times New Roman" w:cs="Times New Roman"/>
                <w:sz w:val="21"/>
              </w:rPr>
              <w:t>D □</w:t>
            </w:r>
          </w:p>
        </w:tc>
        <w:tc>
          <w:tcPr>
            <w:tcW w:w="1526" w:type="dxa"/>
            <w:gridSpan w:val="4"/>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其他标准</w:t>
            </w:r>
            <w:r>
              <w:rPr>
                <w:rFonts w:ascii="Times New Roman" w:hAnsi="Times New Roman" w:cs="Times New Roman"/>
                <w:sz w:val="21"/>
              </w:rPr>
              <w:t xml:space="preserve"> </w:t>
            </w:r>
            <w:r>
              <w:rPr>
                <w:rFonts w:ascii="Times New Roman" w:eastAsia="Times New Roman" w:hAnsi="Times New Roman" w:cs="Times New Roman"/>
                <w:sz w:val="21"/>
              </w:rPr>
              <w:t>□</w:t>
            </w:r>
          </w:p>
        </w:tc>
      </w:tr>
      <w:tr w:rsidR="00240BCE">
        <w:tc>
          <w:tcPr>
            <w:tcW w:w="886" w:type="dxa"/>
            <w:vMerge w:val="restart"/>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现状评价</w:t>
            </w: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环境功能区</w:t>
            </w:r>
          </w:p>
        </w:tc>
        <w:tc>
          <w:tcPr>
            <w:tcW w:w="1820" w:type="dxa"/>
            <w:gridSpan w:val="6"/>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一类区</w:t>
            </w:r>
            <w:r>
              <w:rPr>
                <w:rFonts w:ascii="Times New Roman" w:eastAsia="Times New Roman" w:hAnsi="Times New Roman" w:cs="Times New Roman"/>
                <w:sz w:val="21"/>
              </w:rPr>
              <w:t>□</w:t>
            </w:r>
          </w:p>
        </w:tc>
        <w:tc>
          <w:tcPr>
            <w:tcW w:w="2777" w:type="dxa"/>
            <w:gridSpan w:val="11"/>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二类区</w:t>
            </w:r>
            <w:r>
              <w:rPr>
                <w:rFonts w:ascii="Times New Roman" w:eastAsia="Times New Roman" w:hAnsi="Times New Roman" w:cs="Times New Roman"/>
                <w:sz w:val="21"/>
              </w:rPr>
              <w:t>√</w:t>
            </w:r>
          </w:p>
        </w:tc>
        <w:tc>
          <w:tcPr>
            <w:tcW w:w="2006" w:type="dxa"/>
            <w:gridSpan w:val="5"/>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一类区和二类区</w:t>
            </w:r>
            <w:r>
              <w:rPr>
                <w:rFonts w:ascii="Times New Roman" w:eastAsia="Times New Roman" w:hAnsi="Times New Roman" w:cs="Times New Roman"/>
                <w:sz w:val="21"/>
              </w:rPr>
              <w:t>□</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评价基准年</w:t>
            </w:r>
          </w:p>
        </w:tc>
        <w:tc>
          <w:tcPr>
            <w:tcW w:w="6603" w:type="dxa"/>
            <w:gridSpan w:val="22"/>
            <w:vAlign w:val="center"/>
          </w:tcPr>
          <w:p w:rsidR="00240BCE" w:rsidRPr="00B97108" w:rsidRDefault="00AC0334" w:rsidP="00B97108">
            <w:pPr>
              <w:pStyle w:val="TableParagraph"/>
              <w:spacing w:line="300" w:lineRule="exact"/>
              <w:jc w:val="both"/>
              <w:rPr>
                <w:rFonts w:ascii="Times New Roman" w:hAnsi="Times New Roman" w:cs="Times New Roman"/>
                <w:b/>
                <w:sz w:val="21"/>
              </w:rPr>
            </w:pPr>
            <w:r w:rsidRPr="00B97108">
              <w:rPr>
                <w:rFonts w:ascii="Times New Roman" w:eastAsia="Times New Roman" w:hAnsi="Times New Roman" w:cs="Times New Roman"/>
                <w:b/>
                <w:sz w:val="21"/>
              </w:rPr>
              <w:t>20</w:t>
            </w:r>
            <w:r w:rsidR="00B97108">
              <w:rPr>
                <w:rFonts w:ascii="Times New Roman" w:eastAsiaTheme="minorEastAsia" w:hAnsi="Times New Roman" w:cs="Times New Roman" w:hint="eastAsia"/>
                <w:b/>
                <w:sz w:val="21"/>
              </w:rPr>
              <w:t>20</w:t>
            </w:r>
            <w:r w:rsidRPr="00B97108">
              <w:rPr>
                <w:rFonts w:ascii="Times New Roman" w:eastAsia="Times New Roman" w:hAnsi="Times New Roman" w:cs="Times New Roman"/>
                <w:b/>
                <w:sz w:val="21"/>
              </w:rPr>
              <w:t xml:space="preserve"> </w:t>
            </w:r>
            <w:r w:rsidRPr="00B97108">
              <w:rPr>
                <w:rFonts w:ascii="Times New Roman" w:hAnsi="Times New Roman" w:cs="Times New Roman"/>
                <w:b/>
                <w:sz w:val="21"/>
              </w:rPr>
              <w:t>年</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rPr>
                <w:rFonts w:ascii="Times New Roman" w:hAnsi="Times New Roman" w:cs="Times New Roman"/>
                <w:sz w:val="21"/>
              </w:rPr>
            </w:pPr>
            <w:r>
              <w:rPr>
                <w:rFonts w:ascii="Times New Roman" w:hAnsi="Times New Roman" w:cs="Times New Roman"/>
                <w:sz w:val="21"/>
              </w:rPr>
              <w:t>环境空气质量</w:t>
            </w:r>
            <w:r>
              <w:rPr>
                <w:rFonts w:ascii="Times New Roman" w:hAnsi="Times New Roman" w:cs="Times New Roman"/>
                <w:spacing w:val="-3"/>
                <w:sz w:val="21"/>
              </w:rPr>
              <w:t>现状调查数据来</w:t>
            </w:r>
            <w:r>
              <w:rPr>
                <w:rFonts w:ascii="Times New Roman" w:hAnsi="Times New Roman" w:cs="Times New Roman"/>
                <w:sz w:val="21"/>
              </w:rPr>
              <w:t>源</w:t>
            </w:r>
          </w:p>
        </w:tc>
        <w:tc>
          <w:tcPr>
            <w:tcW w:w="1820" w:type="dxa"/>
            <w:gridSpan w:val="6"/>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长期例行监测数据</w:t>
            </w:r>
            <w:r>
              <w:rPr>
                <w:rFonts w:ascii="Times New Roman" w:eastAsia="Times New Roman" w:hAnsi="Times New Roman" w:cs="Times New Roman"/>
                <w:sz w:val="21"/>
              </w:rPr>
              <w:t>□</w:t>
            </w:r>
          </w:p>
        </w:tc>
        <w:tc>
          <w:tcPr>
            <w:tcW w:w="2777" w:type="dxa"/>
            <w:gridSpan w:val="11"/>
            <w:vAlign w:val="center"/>
          </w:tcPr>
          <w:p w:rsidR="00240BCE" w:rsidRPr="00B97108" w:rsidRDefault="00AC0334" w:rsidP="00B97108">
            <w:pPr>
              <w:pStyle w:val="TableParagraph"/>
              <w:spacing w:line="300" w:lineRule="exact"/>
              <w:jc w:val="both"/>
              <w:rPr>
                <w:rFonts w:ascii="Times New Roman" w:eastAsia="Times New Roman" w:hAnsi="Times New Roman" w:cs="Times New Roman"/>
                <w:b/>
                <w:sz w:val="21"/>
              </w:rPr>
            </w:pPr>
            <w:r w:rsidRPr="00B97108">
              <w:rPr>
                <w:rFonts w:ascii="Times New Roman" w:hAnsi="Times New Roman" w:cs="Times New Roman"/>
                <w:b/>
                <w:sz w:val="21"/>
              </w:rPr>
              <w:t>主管部门发布的数据</w:t>
            </w:r>
            <w:r w:rsidR="00B97108" w:rsidRPr="00B97108">
              <w:rPr>
                <w:rFonts w:ascii="Times New Roman" w:eastAsia="Times New Roman" w:hAnsi="Times New Roman" w:cs="Times New Roman"/>
                <w:b/>
                <w:sz w:val="21"/>
              </w:rPr>
              <w:t>√</w:t>
            </w:r>
          </w:p>
        </w:tc>
        <w:tc>
          <w:tcPr>
            <w:tcW w:w="2006" w:type="dxa"/>
            <w:gridSpan w:val="5"/>
            <w:vAlign w:val="center"/>
          </w:tcPr>
          <w:p w:rsidR="00240BCE" w:rsidRPr="00B97108" w:rsidRDefault="00AC0334">
            <w:pPr>
              <w:pStyle w:val="TableParagraph"/>
              <w:spacing w:line="300" w:lineRule="exact"/>
              <w:jc w:val="both"/>
              <w:rPr>
                <w:rFonts w:ascii="Times New Roman" w:eastAsia="Times New Roman" w:hAnsi="Times New Roman" w:cs="Times New Roman"/>
                <w:b/>
                <w:sz w:val="21"/>
              </w:rPr>
            </w:pPr>
            <w:r w:rsidRPr="00B97108">
              <w:rPr>
                <w:rFonts w:ascii="Times New Roman" w:hAnsi="Times New Roman" w:cs="Times New Roman"/>
                <w:b/>
                <w:sz w:val="21"/>
              </w:rPr>
              <w:t>现状补充监测</w:t>
            </w:r>
            <w:r w:rsidRPr="00B97108">
              <w:rPr>
                <w:rFonts w:ascii="Times New Roman" w:eastAsia="Times New Roman" w:hAnsi="Times New Roman" w:cs="Times New Roman"/>
                <w:b/>
                <w:sz w:val="21"/>
              </w:rPr>
              <w:t>√</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现状评价</w:t>
            </w:r>
          </w:p>
        </w:tc>
        <w:tc>
          <w:tcPr>
            <w:tcW w:w="3376" w:type="dxa"/>
            <w:gridSpan w:val="14"/>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达标区</w:t>
            </w:r>
            <w:r>
              <w:rPr>
                <w:rFonts w:ascii="Times New Roman" w:eastAsia="Times New Roman" w:hAnsi="Times New Roman" w:cs="Times New Roman"/>
                <w:sz w:val="21"/>
              </w:rPr>
              <w:t>□</w:t>
            </w:r>
          </w:p>
        </w:tc>
        <w:tc>
          <w:tcPr>
            <w:tcW w:w="3227" w:type="dxa"/>
            <w:gridSpan w:val="8"/>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不达标区</w:t>
            </w:r>
            <w:r>
              <w:rPr>
                <w:rFonts w:ascii="Times New Roman" w:eastAsia="Times New Roman" w:hAnsi="Times New Roman" w:cs="Times New Roman"/>
                <w:sz w:val="21"/>
              </w:rPr>
              <w:t>√</w:t>
            </w:r>
          </w:p>
        </w:tc>
      </w:tr>
      <w:tr w:rsidR="00240BCE">
        <w:tc>
          <w:tcPr>
            <w:tcW w:w="886" w:type="dxa"/>
            <w:vAlign w:val="center"/>
          </w:tcPr>
          <w:p w:rsidR="00240BCE" w:rsidRDefault="00AC0334">
            <w:pPr>
              <w:pStyle w:val="TableParagraph"/>
              <w:spacing w:line="300" w:lineRule="exact"/>
              <w:rPr>
                <w:rFonts w:ascii="Times New Roman" w:hAnsi="Times New Roman" w:cs="Times New Roman"/>
                <w:sz w:val="21"/>
              </w:rPr>
            </w:pPr>
            <w:r>
              <w:rPr>
                <w:rFonts w:ascii="Times New Roman" w:hAnsi="Times New Roman" w:cs="Times New Roman"/>
                <w:sz w:val="21"/>
              </w:rPr>
              <w:t>污染源调查</w:t>
            </w: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调查内容</w:t>
            </w:r>
          </w:p>
        </w:tc>
        <w:tc>
          <w:tcPr>
            <w:tcW w:w="2100" w:type="dxa"/>
            <w:gridSpan w:val="8"/>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本项目正常排放源</w:t>
            </w:r>
            <w:r>
              <w:rPr>
                <w:rFonts w:ascii="Times New Roman" w:eastAsia="Times New Roman" w:hAnsi="Times New Roman" w:cs="Times New Roman"/>
                <w:sz w:val="21"/>
              </w:rPr>
              <w:t xml:space="preserve">√ </w:t>
            </w:r>
          </w:p>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本项目非正常排放源</w:t>
            </w:r>
            <w:r>
              <w:rPr>
                <w:rFonts w:ascii="Times New Roman" w:hAnsi="Times New Roman" w:cs="Times New Roman"/>
                <w:sz w:val="21"/>
              </w:rPr>
              <w:t>□</w:t>
            </w:r>
          </w:p>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现有污染源</w:t>
            </w:r>
            <w:r>
              <w:rPr>
                <w:rFonts w:ascii="Times New Roman" w:hAnsi="Times New Roman" w:cs="Times New Roman"/>
                <w:sz w:val="21"/>
              </w:rPr>
              <w:t xml:space="preserve"> </w:t>
            </w:r>
            <w:r>
              <w:rPr>
                <w:rFonts w:ascii="Times New Roman" w:eastAsia="Times New Roman" w:hAnsi="Times New Roman" w:cs="Times New Roman"/>
                <w:sz w:val="21"/>
              </w:rPr>
              <w:t>□</w:t>
            </w:r>
          </w:p>
        </w:tc>
        <w:tc>
          <w:tcPr>
            <w:tcW w:w="1276" w:type="dxa"/>
            <w:gridSpan w:val="6"/>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拟替代的污染源</w:t>
            </w:r>
            <w:r>
              <w:rPr>
                <w:rFonts w:ascii="Times New Roman" w:eastAsia="Times New Roman" w:hAnsi="Times New Roman" w:cs="Times New Roman"/>
                <w:sz w:val="21"/>
              </w:rPr>
              <w:t>□</w:t>
            </w:r>
          </w:p>
        </w:tc>
        <w:tc>
          <w:tcPr>
            <w:tcW w:w="1701" w:type="dxa"/>
            <w:gridSpan w:val="4"/>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其他在建、拟建项目污染源</w:t>
            </w:r>
            <w:r>
              <w:rPr>
                <w:rFonts w:ascii="Times New Roman" w:eastAsia="Times New Roman" w:hAnsi="Times New Roman" w:cs="Times New Roman"/>
                <w:sz w:val="21"/>
              </w:rPr>
              <w:t>□</w:t>
            </w:r>
          </w:p>
        </w:tc>
        <w:tc>
          <w:tcPr>
            <w:tcW w:w="1526" w:type="dxa"/>
            <w:gridSpan w:val="4"/>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区域污染源</w:t>
            </w:r>
            <w:r>
              <w:rPr>
                <w:rFonts w:ascii="Times New Roman" w:eastAsia="Times New Roman" w:hAnsi="Times New Roman" w:cs="Times New Roman"/>
                <w:sz w:val="21"/>
              </w:rPr>
              <w:t>□</w:t>
            </w:r>
          </w:p>
        </w:tc>
      </w:tr>
      <w:tr w:rsidR="00240BCE">
        <w:tc>
          <w:tcPr>
            <w:tcW w:w="886" w:type="dxa"/>
            <w:vMerge w:val="restart"/>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大气环境影响预测与评价</w:t>
            </w: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预测模型</w:t>
            </w:r>
          </w:p>
        </w:tc>
        <w:tc>
          <w:tcPr>
            <w:tcW w:w="1076" w:type="dxa"/>
            <w:gridSpan w:val="2"/>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AERMOD</w:t>
            </w:r>
          </w:p>
          <w:p w:rsidR="00240BCE" w:rsidRDefault="00AC0334">
            <w:pPr>
              <w:pStyle w:val="TableParagraph"/>
              <w:spacing w:line="300" w:lineRule="exact"/>
              <w:jc w:val="both"/>
              <w:rPr>
                <w:rFonts w:ascii="Times New Roman" w:hAnsi="Times New Roman" w:cs="Times New Roman"/>
                <w:sz w:val="21"/>
              </w:rPr>
            </w:pPr>
            <w:r>
              <w:rPr>
                <w:rFonts w:ascii="Times New Roman" w:eastAsia="Times New Roman" w:hAnsi="Times New Roman" w:cs="Times New Roman"/>
                <w:sz w:val="21"/>
              </w:rPr>
              <w:t>√</w:t>
            </w:r>
          </w:p>
        </w:tc>
        <w:tc>
          <w:tcPr>
            <w:tcW w:w="699" w:type="dxa"/>
            <w:gridSpan w:val="3"/>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ADMS</w:t>
            </w:r>
          </w:p>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w:t>
            </w:r>
          </w:p>
        </w:tc>
        <w:tc>
          <w:tcPr>
            <w:tcW w:w="1318" w:type="dxa"/>
            <w:gridSpan w:val="6"/>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AUSTAL2000</w:t>
            </w:r>
          </w:p>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w:t>
            </w:r>
          </w:p>
        </w:tc>
        <w:tc>
          <w:tcPr>
            <w:tcW w:w="1275" w:type="dxa"/>
            <w:gridSpan w:val="4"/>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EDMS/AEDT</w:t>
            </w:r>
          </w:p>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w:t>
            </w:r>
          </w:p>
        </w:tc>
        <w:tc>
          <w:tcPr>
            <w:tcW w:w="993" w:type="dxa"/>
            <w:gridSpan w:val="5"/>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CALPUFF</w:t>
            </w:r>
          </w:p>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w:t>
            </w:r>
          </w:p>
        </w:tc>
        <w:tc>
          <w:tcPr>
            <w:tcW w:w="661"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网格模型</w:t>
            </w:r>
            <w:r>
              <w:rPr>
                <w:rFonts w:ascii="Times New Roman" w:hAnsi="Times New Roman" w:cs="Times New Roman"/>
                <w:sz w:val="21"/>
              </w:rPr>
              <w:t>□</w:t>
            </w:r>
          </w:p>
        </w:tc>
        <w:tc>
          <w:tcPr>
            <w:tcW w:w="581"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其他</w:t>
            </w:r>
          </w:p>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预测范围</w:t>
            </w:r>
          </w:p>
        </w:tc>
        <w:tc>
          <w:tcPr>
            <w:tcW w:w="1775" w:type="dxa"/>
            <w:gridSpan w:val="5"/>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边长</w:t>
            </w:r>
            <w:r>
              <w:rPr>
                <w:rFonts w:ascii="Times New Roman" w:eastAsia="Times New Roman" w:hAnsi="Times New Roman" w:cs="Times New Roman"/>
                <w:sz w:val="21"/>
              </w:rPr>
              <w:t>≥ 50km□</w:t>
            </w:r>
          </w:p>
        </w:tc>
        <w:tc>
          <w:tcPr>
            <w:tcW w:w="2593" w:type="dxa"/>
            <w:gridSpan w:val="10"/>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边长</w:t>
            </w:r>
            <w:r>
              <w:rPr>
                <w:rFonts w:ascii="Times New Roman" w:hAnsi="Times New Roman" w:cs="Times New Roman"/>
                <w:sz w:val="21"/>
              </w:rPr>
              <w:t xml:space="preserve"> </w:t>
            </w:r>
            <w:r>
              <w:rPr>
                <w:rFonts w:ascii="Times New Roman" w:eastAsia="Times New Roman" w:hAnsi="Times New Roman" w:cs="Times New Roman"/>
                <w:sz w:val="21"/>
              </w:rPr>
              <w:t>5</w:t>
            </w:r>
            <w:r>
              <w:rPr>
                <w:rFonts w:ascii="Times New Roman" w:hAnsi="Times New Roman" w:cs="Times New Roman"/>
                <w:sz w:val="21"/>
              </w:rPr>
              <w:t>～</w:t>
            </w:r>
            <w:r>
              <w:rPr>
                <w:rFonts w:ascii="Times New Roman" w:eastAsia="Times New Roman" w:hAnsi="Times New Roman" w:cs="Times New Roman"/>
                <w:sz w:val="21"/>
              </w:rPr>
              <w:t>50km □</w:t>
            </w:r>
          </w:p>
        </w:tc>
        <w:tc>
          <w:tcPr>
            <w:tcW w:w="2235" w:type="dxa"/>
            <w:gridSpan w:val="7"/>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边长</w:t>
            </w:r>
            <w:r>
              <w:rPr>
                <w:rFonts w:ascii="Times New Roman" w:hAnsi="Times New Roman" w:cs="Times New Roman"/>
                <w:sz w:val="21"/>
              </w:rPr>
              <w:t xml:space="preserve"> </w:t>
            </w:r>
            <w:r>
              <w:rPr>
                <w:rFonts w:ascii="Times New Roman" w:eastAsia="Times New Roman" w:hAnsi="Times New Roman" w:cs="Times New Roman"/>
                <w:sz w:val="21"/>
              </w:rPr>
              <w:t>= 5 km √</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预测因子</w:t>
            </w:r>
          </w:p>
        </w:tc>
        <w:tc>
          <w:tcPr>
            <w:tcW w:w="3343" w:type="dxa"/>
            <w:gridSpan w:val="13"/>
            <w:vAlign w:val="center"/>
          </w:tcPr>
          <w:p w:rsidR="00240BCE" w:rsidRDefault="00AC0334">
            <w:pPr>
              <w:pStyle w:val="TableParagraph"/>
              <w:tabs>
                <w:tab w:val="left" w:pos="2209"/>
              </w:tabs>
              <w:spacing w:line="300" w:lineRule="exact"/>
              <w:jc w:val="both"/>
              <w:rPr>
                <w:rFonts w:ascii="Times New Roman" w:eastAsia="Times New Roman" w:hAnsi="Times New Roman" w:cs="Times New Roman"/>
                <w:sz w:val="21"/>
              </w:rPr>
            </w:pPr>
            <w:r>
              <w:rPr>
                <w:rFonts w:ascii="Times New Roman" w:hAnsi="Times New Roman" w:cs="Times New Roman"/>
                <w:sz w:val="21"/>
              </w:rPr>
              <w:t>预测因子</w:t>
            </w:r>
            <w:r>
              <w:rPr>
                <w:rFonts w:ascii="Times New Roman" w:eastAsia="Times New Roman" w:hAnsi="Times New Roman" w:cs="Times New Roman"/>
                <w:sz w:val="21"/>
              </w:rPr>
              <w:t>(</w:t>
            </w:r>
            <w:r>
              <w:rPr>
                <w:rFonts w:ascii="Times New Roman" w:hAnsi="Times New Roman" w:cs="Times New Roman"/>
                <w:sz w:val="21"/>
              </w:rPr>
              <w:t xml:space="preserve">   </w:t>
            </w:r>
            <w:r>
              <w:rPr>
                <w:rFonts w:ascii="Times New Roman" w:hAnsi="Times New Roman" w:cs="Times New Roman"/>
                <w:sz w:val="21"/>
              </w:rPr>
              <w:t>颗粒物</w:t>
            </w:r>
            <w:r>
              <w:rPr>
                <w:rFonts w:ascii="Times New Roman" w:eastAsia="Times New Roman" w:hAnsi="Times New Roman" w:cs="Times New Roman"/>
                <w:sz w:val="21"/>
              </w:rPr>
              <w:tab/>
              <w:t>)</w:t>
            </w:r>
          </w:p>
        </w:tc>
        <w:tc>
          <w:tcPr>
            <w:tcW w:w="3260" w:type="dxa"/>
            <w:gridSpan w:val="9"/>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包括二次</w:t>
            </w:r>
            <w:r>
              <w:rPr>
                <w:rFonts w:ascii="Times New Roman" w:hAnsi="Times New Roman" w:cs="Times New Roman"/>
                <w:sz w:val="21"/>
              </w:rPr>
              <w:t xml:space="preserve"> </w:t>
            </w:r>
            <w:r>
              <w:rPr>
                <w:rFonts w:ascii="Times New Roman" w:eastAsia="Times New Roman" w:hAnsi="Times New Roman" w:cs="Times New Roman"/>
                <w:sz w:val="21"/>
              </w:rPr>
              <w:t>PM</w:t>
            </w:r>
            <w:r>
              <w:rPr>
                <w:rFonts w:ascii="Times New Roman" w:eastAsia="Times New Roman" w:hAnsi="Times New Roman" w:cs="Times New Roman"/>
                <w:sz w:val="21"/>
                <w:vertAlign w:val="subscript"/>
              </w:rPr>
              <w:t>2.5</w:t>
            </w:r>
            <w:r>
              <w:rPr>
                <w:rFonts w:ascii="Times New Roman" w:eastAsia="Times New Roman" w:hAnsi="Times New Roman" w:cs="Times New Roman"/>
                <w:sz w:val="21"/>
              </w:rPr>
              <w:t xml:space="preserve"> □ </w:t>
            </w:r>
          </w:p>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不包括二次</w:t>
            </w:r>
            <w:r>
              <w:rPr>
                <w:rFonts w:ascii="Times New Roman" w:hAnsi="Times New Roman" w:cs="Times New Roman"/>
                <w:sz w:val="21"/>
              </w:rPr>
              <w:t>PM</w:t>
            </w:r>
            <w:r>
              <w:rPr>
                <w:rFonts w:ascii="Times New Roman" w:hAnsi="Times New Roman" w:cs="Times New Roman"/>
                <w:sz w:val="21"/>
                <w:vertAlign w:val="subscript"/>
              </w:rPr>
              <w:t>2.5</w:t>
            </w:r>
            <w:r>
              <w:rPr>
                <w:rFonts w:ascii="Times New Roman" w:eastAsia="Times New Roman" w:hAnsi="Times New Roman" w:cs="Times New Roman"/>
                <w:sz w:val="21"/>
              </w:rPr>
              <w:t>√</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rPr>
                <w:rFonts w:ascii="Times New Roman" w:hAnsi="Times New Roman" w:cs="Times New Roman"/>
                <w:sz w:val="21"/>
              </w:rPr>
            </w:pPr>
            <w:r>
              <w:rPr>
                <w:rFonts w:ascii="Times New Roman" w:hAnsi="Times New Roman" w:cs="Times New Roman"/>
                <w:sz w:val="21"/>
              </w:rPr>
              <w:t>正常排放</w:t>
            </w:r>
          </w:p>
          <w:p w:rsidR="00240BCE" w:rsidRDefault="00AC0334">
            <w:pPr>
              <w:pStyle w:val="TableParagraph"/>
              <w:spacing w:line="300" w:lineRule="exact"/>
              <w:rPr>
                <w:rFonts w:ascii="Times New Roman" w:hAnsi="Times New Roman" w:cs="Times New Roman"/>
                <w:sz w:val="21"/>
              </w:rPr>
            </w:pPr>
            <w:r>
              <w:rPr>
                <w:rFonts w:ascii="Times New Roman" w:hAnsi="Times New Roman" w:cs="Times New Roman"/>
                <w:sz w:val="21"/>
              </w:rPr>
              <w:t>短期浓度贡献值</w:t>
            </w:r>
          </w:p>
        </w:tc>
        <w:tc>
          <w:tcPr>
            <w:tcW w:w="3343" w:type="dxa"/>
            <w:gridSpan w:val="13"/>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本项目</w:t>
            </w:r>
            <w:r>
              <w:rPr>
                <w:rFonts w:ascii="Times New Roman" w:hAnsi="Times New Roman" w:cs="Times New Roman"/>
                <w:position w:val="1"/>
                <w:sz w:val="21"/>
              </w:rPr>
              <w:t>最大占标率</w:t>
            </w:r>
            <w:r>
              <w:rPr>
                <w:rFonts w:ascii="Times New Roman" w:eastAsia="Times New Roman" w:hAnsi="Times New Roman" w:cs="Times New Roman"/>
                <w:position w:val="1"/>
                <w:sz w:val="21"/>
              </w:rPr>
              <w:t>≤100%</w:t>
            </w:r>
            <w:r>
              <w:rPr>
                <w:rFonts w:ascii="Times New Roman" w:eastAsia="Times New Roman" w:hAnsi="Times New Roman" w:cs="Times New Roman"/>
                <w:sz w:val="21"/>
              </w:rPr>
              <w:t>√</w:t>
            </w:r>
          </w:p>
        </w:tc>
        <w:tc>
          <w:tcPr>
            <w:tcW w:w="3260" w:type="dxa"/>
            <w:gridSpan w:val="9"/>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本项目</w:t>
            </w:r>
            <w:r>
              <w:rPr>
                <w:rFonts w:ascii="Times New Roman" w:hAnsi="Times New Roman" w:cs="Times New Roman"/>
                <w:position w:val="1"/>
                <w:sz w:val="21"/>
              </w:rPr>
              <w:t>最大占标率＞</w:t>
            </w:r>
            <w:r>
              <w:rPr>
                <w:rFonts w:ascii="Times New Roman" w:eastAsia="Times New Roman" w:hAnsi="Times New Roman" w:cs="Times New Roman"/>
                <w:position w:val="1"/>
                <w:sz w:val="21"/>
              </w:rPr>
              <w:t>100% □</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Merge w:val="restart"/>
            <w:vAlign w:val="center"/>
          </w:tcPr>
          <w:p w:rsidR="00240BCE" w:rsidRDefault="00AC0334">
            <w:pPr>
              <w:pStyle w:val="TableParagraph"/>
              <w:spacing w:line="300" w:lineRule="exact"/>
              <w:rPr>
                <w:rFonts w:ascii="Times New Roman" w:hAnsi="Times New Roman" w:cs="Times New Roman"/>
                <w:sz w:val="21"/>
              </w:rPr>
            </w:pPr>
            <w:r>
              <w:rPr>
                <w:rFonts w:ascii="Times New Roman" w:hAnsi="Times New Roman" w:cs="Times New Roman"/>
                <w:sz w:val="21"/>
              </w:rPr>
              <w:t>正常排放</w:t>
            </w:r>
          </w:p>
          <w:p w:rsidR="00240BCE" w:rsidRDefault="00AC0334">
            <w:pPr>
              <w:pStyle w:val="TableParagraph"/>
              <w:spacing w:line="300" w:lineRule="exact"/>
              <w:rPr>
                <w:rFonts w:ascii="Times New Roman" w:hAnsi="Times New Roman" w:cs="Times New Roman"/>
                <w:sz w:val="21"/>
              </w:rPr>
            </w:pPr>
            <w:r>
              <w:rPr>
                <w:rFonts w:ascii="Times New Roman" w:hAnsi="Times New Roman" w:cs="Times New Roman"/>
                <w:sz w:val="21"/>
              </w:rPr>
              <w:t>年均浓度贡献值</w:t>
            </w:r>
          </w:p>
        </w:tc>
        <w:tc>
          <w:tcPr>
            <w:tcW w:w="9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一类区</w:t>
            </w:r>
          </w:p>
        </w:tc>
        <w:tc>
          <w:tcPr>
            <w:tcW w:w="2391" w:type="dxa"/>
            <w:gridSpan w:val="12"/>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本项目</w:t>
            </w:r>
            <w:r>
              <w:rPr>
                <w:rFonts w:ascii="Times New Roman" w:hAnsi="Times New Roman" w:cs="Times New Roman"/>
                <w:position w:val="1"/>
                <w:sz w:val="21"/>
              </w:rPr>
              <w:t>最大占标率</w:t>
            </w:r>
            <w:r>
              <w:rPr>
                <w:rFonts w:ascii="Times New Roman" w:eastAsia="Times New Roman" w:hAnsi="Times New Roman" w:cs="Times New Roman"/>
                <w:position w:val="1"/>
                <w:sz w:val="21"/>
              </w:rPr>
              <w:t>≤10%□</w:t>
            </w:r>
          </w:p>
        </w:tc>
        <w:tc>
          <w:tcPr>
            <w:tcW w:w="3260" w:type="dxa"/>
            <w:gridSpan w:val="9"/>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本项目</w:t>
            </w:r>
            <w:r>
              <w:rPr>
                <w:rFonts w:ascii="Times New Roman" w:hAnsi="Times New Roman" w:cs="Times New Roman"/>
                <w:position w:val="1"/>
                <w:sz w:val="21"/>
              </w:rPr>
              <w:t>最大标率＞</w:t>
            </w:r>
            <w:r>
              <w:rPr>
                <w:rFonts w:ascii="Times New Roman" w:eastAsia="Times New Roman" w:hAnsi="Times New Roman" w:cs="Times New Roman"/>
                <w:position w:val="1"/>
                <w:sz w:val="21"/>
              </w:rPr>
              <w:t>10% □</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Merge/>
            <w:tcBorders>
              <w:top w:val="nil"/>
            </w:tcBorders>
            <w:vAlign w:val="center"/>
          </w:tcPr>
          <w:p w:rsidR="00240BCE" w:rsidRDefault="00240BCE">
            <w:pPr>
              <w:spacing w:line="300" w:lineRule="exact"/>
              <w:rPr>
                <w:sz w:val="2"/>
                <w:szCs w:val="2"/>
              </w:rPr>
            </w:pPr>
          </w:p>
        </w:tc>
        <w:tc>
          <w:tcPr>
            <w:tcW w:w="9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二类区</w:t>
            </w:r>
          </w:p>
        </w:tc>
        <w:tc>
          <w:tcPr>
            <w:tcW w:w="2391" w:type="dxa"/>
            <w:gridSpan w:val="12"/>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本项目</w:t>
            </w:r>
            <w:r>
              <w:rPr>
                <w:rFonts w:ascii="Times New Roman" w:hAnsi="Times New Roman" w:cs="Times New Roman"/>
                <w:position w:val="1"/>
                <w:sz w:val="21"/>
              </w:rPr>
              <w:t>最大占标率</w:t>
            </w:r>
            <w:r>
              <w:rPr>
                <w:rFonts w:ascii="Times New Roman" w:eastAsia="Times New Roman" w:hAnsi="Times New Roman" w:cs="Times New Roman"/>
                <w:position w:val="1"/>
                <w:sz w:val="21"/>
              </w:rPr>
              <w:t>≤30%□</w:t>
            </w:r>
          </w:p>
        </w:tc>
        <w:tc>
          <w:tcPr>
            <w:tcW w:w="3260" w:type="dxa"/>
            <w:gridSpan w:val="9"/>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本项目</w:t>
            </w:r>
            <w:r>
              <w:rPr>
                <w:rFonts w:ascii="Times New Roman" w:hAnsi="Times New Roman" w:cs="Times New Roman"/>
                <w:position w:val="1"/>
                <w:sz w:val="21"/>
              </w:rPr>
              <w:t>最大标率＞</w:t>
            </w:r>
            <w:r>
              <w:rPr>
                <w:rFonts w:ascii="Times New Roman" w:eastAsia="Times New Roman" w:hAnsi="Times New Roman" w:cs="Times New Roman"/>
                <w:position w:val="1"/>
                <w:sz w:val="21"/>
              </w:rPr>
              <w:t>30% □</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rPr>
                <w:rFonts w:ascii="Times New Roman" w:hAnsi="Times New Roman" w:cs="Times New Roman"/>
                <w:sz w:val="21"/>
              </w:rPr>
            </w:pPr>
            <w:r>
              <w:rPr>
                <w:rFonts w:ascii="Times New Roman" w:hAnsi="Times New Roman" w:cs="Times New Roman"/>
                <w:sz w:val="21"/>
              </w:rPr>
              <w:t>非正常排放</w:t>
            </w:r>
          </w:p>
          <w:p w:rsidR="00240BCE" w:rsidRDefault="00AC0334">
            <w:pPr>
              <w:pStyle w:val="TableParagraph"/>
              <w:spacing w:line="300" w:lineRule="exact"/>
              <w:rPr>
                <w:rFonts w:ascii="Times New Roman" w:hAnsi="Times New Roman" w:cs="Times New Roman"/>
                <w:sz w:val="21"/>
              </w:rPr>
            </w:pPr>
            <w:r>
              <w:rPr>
                <w:rFonts w:ascii="Times New Roman" w:eastAsia="Times New Roman" w:hAnsi="Times New Roman" w:cs="Times New Roman"/>
                <w:spacing w:val="-1"/>
                <w:sz w:val="21"/>
              </w:rPr>
              <w:t>1h</w:t>
            </w:r>
            <w:r>
              <w:rPr>
                <w:rFonts w:ascii="Times New Roman" w:hAnsi="Times New Roman" w:cs="Times New Roman"/>
                <w:sz w:val="21"/>
              </w:rPr>
              <w:t>浓度贡献值</w:t>
            </w:r>
          </w:p>
        </w:tc>
        <w:tc>
          <w:tcPr>
            <w:tcW w:w="1962" w:type="dxa"/>
            <w:gridSpan w:val="7"/>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非正常持续时长（）</w:t>
            </w:r>
            <w:r>
              <w:rPr>
                <w:rFonts w:ascii="Times New Roman" w:eastAsia="Times New Roman" w:hAnsi="Times New Roman" w:cs="Times New Roman"/>
                <w:sz w:val="21"/>
              </w:rPr>
              <w:t>h</w:t>
            </w:r>
          </w:p>
        </w:tc>
        <w:tc>
          <w:tcPr>
            <w:tcW w:w="2531" w:type="dxa"/>
            <w:gridSpan w:val="9"/>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非正常</w:t>
            </w:r>
            <w:r>
              <w:rPr>
                <w:rFonts w:ascii="Times New Roman" w:hAnsi="Times New Roman" w:cs="Times New Roman"/>
                <w:position w:val="1"/>
                <w:sz w:val="21"/>
              </w:rPr>
              <w:t>占标率</w:t>
            </w:r>
            <w:r>
              <w:rPr>
                <w:rFonts w:ascii="Times New Roman" w:eastAsia="Times New Roman" w:hAnsi="Times New Roman" w:cs="Times New Roman"/>
                <w:position w:val="1"/>
                <w:sz w:val="21"/>
              </w:rPr>
              <w:t>≤100% □</w:t>
            </w:r>
          </w:p>
        </w:tc>
        <w:tc>
          <w:tcPr>
            <w:tcW w:w="2110" w:type="dxa"/>
            <w:gridSpan w:val="6"/>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非正常</w:t>
            </w:r>
            <w:r>
              <w:rPr>
                <w:rFonts w:ascii="Times New Roman" w:hAnsi="Times New Roman" w:cs="Times New Roman"/>
                <w:position w:val="1"/>
                <w:sz w:val="21"/>
              </w:rPr>
              <w:t>占标率＞</w:t>
            </w:r>
            <w:r>
              <w:rPr>
                <w:rFonts w:ascii="Times New Roman" w:eastAsia="Times New Roman" w:hAnsi="Times New Roman" w:cs="Times New Roman"/>
                <w:position w:val="1"/>
                <w:sz w:val="21"/>
              </w:rPr>
              <w:t>100%□</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rPr>
                <w:rFonts w:ascii="Times New Roman" w:hAnsi="Times New Roman" w:cs="Times New Roman"/>
                <w:w w:val="80"/>
                <w:sz w:val="21"/>
              </w:rPr>
            </w:pPr>
            <w:r>
              <w:rPr>
                <w:rFonts w:ascii="Times New Roman" w:hAnsi="Times New Roman" w:cs="Times New Roman"/>
                <w:w w:val="80"/>
                <w:sz w:val="21"/>
              </w:rPr>
              <w:t>保证率日平均浓度和年平均浓度叠加值</w:t>
            </w:r>
          </w:p>
        </w:tc>
        <w:tc>
          <w:tcPr>
            <w:tcW w:w="2667" w:type="dxa"/>
            <w:gridSpan w:val="9"/>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叠加</w:t>
            </w:r>
            <w:r>
              <w:rPr>
                <w:rFonts w:ascii="Times New Roman" w:hAnsi="Times New Roman" w:cs="Times New Roman"/>
                <w:position w:val="1"/>
                <w:sz w:val="21"/>
              </w:rPr>
              <w:t>达标</w:t>
            </w:r>
            <w:r>
              <w:rPr>
                <w:rFonts w:ascii="Times New Roman" w:hAnsi="Times New Roman" w:cs="Times New Roman"/>
                <w:position w:val="1"/>
                <w:sz w:val="21"/>
              </w:rPr>
              <w:t xml:space="preserve"> </w:t>
            </w:r>
            <w:r>
              <w:rPr>
                <w:rFonts w:ascii="Times New Roman" w:eastAsia="Times New Roman" w:hAnsi="Times New Roman" w:cs="Times New Roman"/>
                <w:position w:val="1"/>
                <w:sz w:val="21"/>
              </w:rPr>
              <w:t>□</w:t>
            </w:r>
          </w:p>
        </w:tc>
        <w:tc>
          <w:tcPr>
            <w:tcW w:w="3936" w:type="dxa"/>
            <w:gridSpan w:val="13"/>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position w:val="1"/>
                <w:sz w:val="21"/>
              </w:rPr>
              <w:t xml:space="preserve">C </w:t>
            </w:r>
            <w:r>
              <w:rPr>
                <w:rFonts w:ascii="Times New Roman" w:hAnsi="Times New Roman" w:cs="Times New Roman"/>
                <w:sz w:val="11"/>
              </w:rPr>
              <w:t>叠加</w:t>
            </w:r>
            <w:r>
              <w:rPr>
                <w:rFonts w:ascii="Times New Roman" w:hAnsi="Times New Roman" w:cs="Times New Roman"/>
                <w:position w:val="1"/>
                <w:sz w:val="21"/>
              </w:rPr>
              <w:t>不达标</w:t>
            </w:r>
            <w:r>
              <w:rPr>
                <w:rFonts w:ascii="Times New Roman" w:hAnsi="Times New Roman" w:cs="Times New Roman"/>
                <w:position w:val="1"/>
                <w:sz w:val="21"/>
              </w:rPr>
              <w:t xml:space="preserve"> </w:t>
            </w:r>
            <w:r>
              <w:rPr>
                <w:rFonts w:ascii="Times New Roman" w:eastAsia="Times New Roman" w:hAnsi="Times New Roman" w:cs="Times New Roman"/>
                <w:position w:val="1"/>
                <w:sz w:val="21"/>
              </w:rPr>
              <w:t>□</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区域环境质量的</w:t>
            </w:r>
          </w:p>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整体变化情况</w:t>
            </w:r>
          </w:p>
        </w:tc>
        <w:tc>
          <w:tcPr>
            <w:tcW w:w="2667" w:type="dxa"/>
            <w:gridSpan w:val="9"/>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i/>
                <w:sz w:val="21"/>
              </w:rPr>
              <w:t xml:space="preserve">k </w:t>
            </w:r>
            <w:r>
              <w:rPr>
                <w:rFonts w:ascii="Times New Roman" w:hAnsi="Times New Roman" w:cs="Times New Roman"/>
                <w:sz w:val="21"/>
              </w:rPr>
              <w:t>≤-20% □</w:t>
            </w:r>
          </w:p>
        </w:tc>
        <w:tc>
          <w:tcPr>
            <w:tcW w:w="3936" w:type="dxa"/>
            <w:gridSpan w:val="13"/>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i/>
                <w:sz w:val="21"/>
              </w:rPr>
              <w:t>k</w:t>
            </w:r>
            <w:r>
              <w:rPr>
                <w:rFonts w:ascii="Times New Roman" w:hAnsi="Times New Roman" w:cs="Times New Roman"/>
                <w:sz w:val="21"/>
              </w:rPr>
              <w:t>＞</w:t>
            </w:r>
            <w:r>
              <w:rPr>
                <w:rFonts w:ascii="Times New Roman" w:eastAsia="Times New Roman" w:hAnsi="Times New Roman" w:cs="Times New Roman"/>
                <w:sz w:val="21"/>
              </w:rPr>
              <w:t>-20% □</w:t>
            </w:r>
          </w:p>
        </w:tc>
      </w:tr>
      <w:tr w:rsidR="00240BCE">
        <w:tc>
          <w:tcPr>
            <w:tcW w:w="886" w:type="dxa"/>
            <w:vMerge w:val="restart"/>
            <w:vAlign w:val="center"/>
          </w:tcPr>
          <w:p w:rsidR="00240BCE" w:rsidRDefault="00AC0334">
            <w:pPr>
              <w:pStyle w:val="TableParagraph"/>
              <w:spacing w:line="300" w:lineRule="exact"/>
              <w:rPr>
                <w:rFonts w:ascii="Times New Roman" w:hAnsi="Times New Roman" w:cs="Times New Roman"/>
                <w:sz w:val="21"/>
              </w:rPr>
            </w:pPr>
            <w:r>
              <w:rPr>
                <w:rFonts w:ascii="Times New Roman" w:hAnsi="Times New Roman" w:cs="Times New Roman"/>
                <w:sz w:val="21"/>
              </w:rPr>
              <w:t>环境监测计划</w:t>
            </w: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污染源监测</w:t>
            </w:r>
          </w:p>
        </w:tc>
        <w:tc>
          <w:tcPr>
            <w:tcW w:w="2103" w:type="dxa"/>
            <w:gridSpan w:val="8"/>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监测因子</w:t>
            </w:r>
            <w:r>
              <w:rPr>
                <w:rFonts w:ascii="Times New Roman" w:hAnsi="Times New Roman" w:cs="Times New Roman"/>
                <w:spacing w:val="-192"/>
                <w:sz w:val="21"/>
              </w:rPr>
              <w:t>：</w:t>
            </w:r>
            <w:r>
              <w:rPr>
                <w:rFonts w:ascii="Times New Roman" w:hAnsi="Times New Roman" w:cs="Times New Roman"/>
                <w:sz w:val="21"/>
              </w:rPr>
              <w:t>（</w:t>
            </w:r>
            <w:r>
              <w:rPr>
                <w:rFonts w:ascii="Times New Roman" w:eastAsia="Times New Roman" w:hAnsi="Times New Roman" w:cs="Times New Roman"/>
                <w:sz w:val="21"/>
              </w:rPr>
              <w:t>PM</w:t>
            </w:r>
            <w:r>
              <w:rPr>
                <w:rFonts w:ascii="Times New Roman" w:eastAsia="Times New Roman" w:hAnsi="Times New Roman" w:cs="Times New Roman"/>
                <w:spacing w:val="-1"/>
                <w:w w:val="97"/>
                <w:sz w:val="21"/>
                <w:vertAlign w:val="subscript"/>
              </w:rPr>
              <w:t>10</w:t>
            </w:r>
            <w:r>
              <w:rPr>
                <w:rFonts w:ascii="Times New Roman" w:hAnsi="Times New Roman" w:cs="Times New Roman"/>
                <w:spacing w:val="-1"/>
                <w:w w:val="97"/>
                <w:sz w:val="21"/>
              </w:rPr>
              <w:t>、</w:t>
            </w:r>
            <w:r>
              <w:rPr>
                <w:rFonts w:ascii="Times New Roman" w:eastAsia="Times New Roman" w:hAnsi="Times New Roman" w:cs="Times New Roman"/>
                <w:sz w:val="21"/>
              </w:rPr>
              <w:t>TSP</w:t>
            </w:r>
            <w:r>
              <w:rPr>
                <w:rFonts w:ascii="Times New Roman" w:hAnsi="Times New Roman" w:cs="Times New Roman"/>
                <w:sz w:val="21"/>
              </w:rPr>
              <w:t>）</w:t>
            </w:r>
          </w:p>
        </w:tc>
        <w:tc>
          <w:tcPr>
            <w:tcW w:w="2390" w:type="dxa"/>
            <w:gridSpan w:val="8"/>
            <w:vAlign w:val="center"/>
          </w:tcPr>
          <w:p w:rsidR="00240BCE" w:rsidRDefault="00AC0334">
            <w:pPr>
              <w:pStyle w:val="TableParagraph"/>
              <w:tabs>
                <w:tab w:val="left" w:pos="524"/>
              </w:tabs>
              <w:spacing w:line="300" w:lineRule="exact"/>
              <w:jc w:val="both"/>
              <w:rPr>
                <w:rFonts w:ascii="Times New Roman" w:eastAsia="Times New Roman" w:hAnsi="Times New Roman" w:cs="Times New Roman"/>
                <w:sz w:val="21"/>
              </w:rPr>
            </w:pPr>
            <w:r>
              <w:rPr>
                <w:rFonts w:ascii="Times New Roman" w:hAnsi="Times New Roman" w:cs="Times New Roman"/>
                <w:sz w:val="21"/>
              </w:rPr>
              <w:t>有组织废气监测</w:t>
            </w:r>
            <w:r>
              <w:rPr>
                <w:rFonts w:ascii="Times New Roman" w:hAnsi="Times New Roman" w:cs="Times New Roman"/>
                <w:sz w:val="21"/>
              </w:rPr>
              <w:t xml:space="preserve"> </w:t>
            </w:r>
            <w:r>
              <w:rPr>
                <w:rFonts w:ascii="Times New Roman" w:eastAsia="Times New Roman" w:hAnsi="Times New Roman" w:cs="Times New Roman"/>
                <w:sz w:val="21"/>
              </w:rPr>
              <w:t>□</w:t>
            </w:r>
          </w:p>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无组织废气监测</w:t>
            </w:r>
            <w:r>
              <w:rPr>
                <w:rFonts w:ascii="Times New Roman" w:hAnsi="Times New Roman" w:cs="Times New Roman"/>
                <w:sz w:val="21"/>
              </w:rPr>
              <w:t xml:space="preserve"> </w:t>
            </w:r>
            <w:r>
              <w:rPr>
                <w:rFonts w:ascii="Times New Roman" w:eastAsia="Times New Roman" w:hAnsi="Times New Roman" w:cs="Times New Roman"/>
                <w:sz w:val="21"/>
              </w:rPr>
              <w:t>√</w:t>
            </w:r>
          </w:p>
        </w:tc>
        <w:tc>
          <w:tcPr>
            <w:tcW w:w="2110" w:type="dxa"/>
            <w:gridSpan w:val="6"/>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无监测</w:t>
            </w:r>
            <w:r>
              <w:rPr>
                <w:rFonts w:ascii="Times New Roman" w:eastAsia="Times New Roman" w:hAnsi="Times New Roman" w:cs="Times New Roman"/>
                <w:sz w:val="21"/>
              </w:rPr>
              <w:t>□</w:t>
            </w:r>
          </w:p>
        </w:tc>
      </w:tr>
      <w:tr w:rsidR="00240BCE">
        <w:tc>
          <w:tcPr>
            <w:tcW w:w="886" w:type="dxa"/>
            <w:vMerge/>
            <w:tcBorders>
              <w:top w:val="nil"/>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环境质量监测</w:t>
            </w:r>
          </w:p>
        </w:tc>
        <w:tc>
          <w:tcPr>
            <w:tcW w:w="2103" w:type="dxa"/>
            <w:gridSpan w:val="8"/>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监测因子</w:t>
            </w:r>
            <w:r>
              <w:rPr>
                <w:rFonts w:ascii="Times New Roman" w:hAnsi="Times New Roman" w:cs="Times New Roman"/>
                <w:spacing w:val="-192"/>
                <w:sz w:val="21"/>
              </w:rPr>
              <w:t>：</w:t>
            </w:r>
            <w:r>
              <w:rPr>
                <w:rFonts w:ascii="Times New Roman" w:hAnsi="Times New Roman" w:cs="Times New Roman"/>
                <w:sz w:val="21"/>
              </w:rPr>
              <w:t>（</w:t>
            </w:r>
            <w:r>
              <w:rPr>
                <w:rFonts w:ascii="Times New Roman" w:eastAsia="Times New Roman" w:hAnsi="Times New Roman" w:cs="Times New Roman"/>
                <w:sz w:val="21"/>
              </w:rPr>
              <w:t>PM</w:t>
            </w:r>
            <w:r>
              <w:rPr>
                <w:rFonts w:ascii="Times New Roman" w:eastAsia="Times New Roman" w:hAnsi="Times New Roman" w:cs="Times New Roman"/>
                <w:spacing w:val="-1"/>
                <w:w w:val="97"/>
                <w:sz w:val="21"/>
                <w:vertAlign w:val="subscript"/>
              </w:rPr>
              <w:t>10</w:t>
            </w:r>
            <w:r>
              <w:rPr>
                <w:rFonts w:ascii="Times New Roman" w:hAnsi="Times New Roman" w:cs="Times New Roman"/>
                <w:spacing w:val="-1"/>
                <w:w w:val="97"/>
                <w:sz w:val="21"/>
              </w:rPr>
              <w:t>、</w:t>
            </w:r>
            <w:r>
              <w:rPr>
                <w:rFonts w:ascii="Times New Roman" w:eastAsia="Times New Roman" w:hAnsi="Times New Roman" w:cs="Times New Roman"/>
                <w:sz w:val="21"/>
              </w:rPr>
              <w:t>TSP</w:t>
            </w:r>
            <w:r>
              <w:rPr>
                <w:rFonts w:ascii="Times New Roman" w:hAnsi="Times New Roman" w:cs="Times New Roman"/>
                <w:sz w:val="21"/>
              </w:rPr>
              <w:t>）</w:t>
            </w:r>
          </w:p>
        </w:tc>
        <w:tc>
          <w:tcPr>
            <w:tcW w:w="2390" w:type="dxa"/>
            <w:gridSpan w:val="8"/>
            <w:vAlign w:val="center"/>
          </w:tcPr>
          <w:p w:rsidR="00240BCE" w:rsidRDefault="00AC0334">
            <w:pPr>
              <w:pStyle w:val="TableParagraph"/>
              <w:tabs>
                <w:tab w:val="left" w:pos="582"/>
              </w:tabs>
              <w:spacing w:line="300" w:lineRule="exact"/>
              <w:jc w:val="both"/>
              <w:rPr>
                <w:rFonts w:ascii="Times New Roman" w:hAnsi="Times New Roman" w:cs="Times New Roman"/>
                <w:sz w:val="21"/>
              </w:rPr>
            </w:pPr>
            <w:r>
              <w:rPr>
                <w:rFonts w:ascii="Times New Roman" w:hAnsi="Times New Roman" w:cs="Times New Roman"/>
                <w:position w:val="14"/>
                <w:sz w:val="21"/>
              </w:rPr>
              <w:t>、</w:t>
            </w:r>
            <w:r>
              <w:rPr>
                <w:rFonts w:ascii="Times New Roman" w:hAnsi="Times New Roman" w:cs="Times New Roman"/>
                <w:sz w:val="21"/>
              </w:rPr>
              <w:t>监测点位数（</w:t>
            </w:r>
            <w:r>
              <w:rPr>
                <w:rFonts w:ascii="Times New Roman" w:eastAsia="Times New Roman" w:hAnsi="Times New Roman" w:cs="Times New Roman"/>
                <w:sz w:val="21"/>
              </w:rPr>
              <w:t>2</w:t>
            </w:r>
            <w:r>
              <w:rPr>
                <w:rFonts w:ascii="Times New Roman" w:hAnsi="Times New Roman" w:cs="Times New Roman"/>
                <w:sz w:val="21"/>
              </w:rPr>
              <w:t>）</w:t>
            </w:r>
          </w:p>
        </w:tc>
        <w:tc>
          <w:tcPr>
            <w:tcW w:w="2110" w:type="dxa"/>
            <w:gridSpan w:val="6"/>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无监测</w:t>
            </w:r>
            <w:r>
              <w:rPr>
                <w:rFonts w:ascii="Times New Roman" w:eastAsia="Times New Roman" w:hAnsi="Times New Roman" w:cs="Times New Roman"/>
                <w:sz w:val="21"/>
              </w:rPr>
              <w:t>□</w:t>
            </w:r>
          </w:p>
        </w:tc>
      </w:tr>
      <w:tr w:rsidR="00240BCE">
        <w:tc>
          <w:tcPr>
            <w:tcW w:w="886" w:type="dxa"/>
            <w:vMerge w:val="restart"/>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评价结论</w:t>
            </w: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环境影响</w:t>
            </w:r>
          </w:p>
        </w:tc>
        <w:tc>
          <w:tcPr>
            <w:tcW w:w="6603" w:type="dxa"/>
            <w:gridSpan w:val="22"/>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可以接受</w:t>
            </w:r>
            <w:r>
              <w:rPr>
                <w:rFonts w:ascii="Times New Roman" w:eastAsia="Times New Roman" w:hAnsi="Times New Roman" w:cs="Times New Roman"/>
                <w:sz w:val="21"/>
              </w:rPr>
              <w:t>√</w:t>
            </w:r>
            <w:r>
              <w:rPr>
                <w:rFonts w:ascii="Times New Roman" w:hAnsi="Times New Roman" w:cs="Times New Roman"/>
                <w:sz w:val="21"/>
              </w:rPr>
              <w:t xml:space="preserve">     </w:t>
            </w:r>
            <w:r>
              <w:rPr>
                <w:rFonts w:ascii="Times New Roman" w:hAnsi="Times New Roman" w:cs="Times New Roman"/>
                <w:sz w:val="21"/>
              </w:rPr>
              <w:t>不可以接受</w:t>
            </w:r>
            <w:r>
              <w:rPr>
                <w:rFonts w:ascii="Times New Roman" w:hAnsi="Times New Roman" w:cs="Times New Roman"/>
                <w:sz w:val="21"/>
              </w:rPr>
              <w:t xml:space="preserve"> </w:t>
            </w:r>
            <w:r>
              <w:rPr>
                <w:rFonts w:ascii="Times New Roman" w:eastAsia="Times New Roman" w:hAnsi="Times New Roman" w:cs="Times New Roman"/>
                <w:sz w:val="21"/>
              </w:rPr>
              <w:t>□</w:t>
            </w:r>
          </w:p>
        </w:tc>
      </w:tr>
      <w:tr w:rsidR="00240BCE">
        <w:tc>
          <w:tcPr>
            <w:tcW w:w="886" w:type="dxa"/>
            <w:vMerge/>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大气环境防护距离</w:t>
            </w:r>
          </w:p>
        </w:tc>
        <w:tc>
          <w:tcPr>
            <w:tcW w:w="6603" w:type="dxa"/>
            <w:gridSpan w:val="22"/>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距（）厂界最远（）</w:t>
            </w:r>
            <w:r>
              <w:rPr>
                <w:rFonts w:ascii="Times New Roman" w:eastAsia="Times New Roman" w:hAnsi="Times New Roman" w:cs="Times New Roman"/>
                <w:sz w:val="21"/>
              </w:rPr>
              <w:t>m</w:t>
            </w:r>
          </w:p>
        </w:tc>
      </w:tr>
      <w:tr w:rsidR="00240BCE">
        <w:tc>
          <w:tcPr>
            <w:tcW w:w="886" w:type="dxa"/>
            <w:vMerge/>
            <w:tcBorders>
              <w:bottom w:val="single" w:sz="4" w:space="0" w:color="000000"/>
            </w:tcBorders>
            <w:vAlign w:val="center"/>
          </w:tcPr>
          <w:p w:rsidR="00240BCE" w:rsidRDefault="00240BCE">
            <w:pPr>
              <w:spacing w:line="300" w:lineRule="exact"/>
              <w:rPr>
                <w:sz w:val="2"/>
                <w:szCs w:val="2"/>
              </w:rPr>
            </w:pPr>
          </w:p>
        </w:tc>
        <w:tc>
          <w:tcPr>
            <w:tcW w:w="1552" w:type="dxa"/>
            <w:vAlign w:val="center"/>
          </w:tcPr>
          <w:p w:rsidR="00240BCE" w:rsidRDefault="00AC0334">
            <w:pPr>
              <w:pStyle w:val="TableParagraph"/>
              <w:spacing w:line="300" w:lineRule="exact"/>
              <w:jc w:val="both"/>
              <w:rPr>
                <w:rFonts w:ascii="Times New Roman" w:hAnsi="Times New Roman" w:cs="Times New Roman"/>
                <w:sz w:val="21"/>
              </w:rPr>
            </w:pPr>
            <w:r>
              <w:rPr>
                <w:rFonts w:ascii="Times New Roman" w:hAnsi="Times New Roman" w:cs="Times New Roman"/>
                <w:sz w:val="21"/>
              </w:rPr>
              <w:t>污染源年排放量</w:t>
            </w:r>
          </w:p>
        </w:tc>
        <w:tc>
          <w:tcPr>
            <w:tcW w:w="1512" w:type="dxa"/>
            <w:gridSpan w:val="3"/>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sz w:val="21"/>
              </w:rPr>
              <w:t>SO</w:t>
            </w:r>
            <w:r>
              <w:rPr>
                <w:rFonts w:ascii="Times New Roman" w:eastAsia="Times New Roman" w:hAnsi="Times New Roman" w:cs="Times New Roman"/>
                <w:sz w:val="21"/>
                <w:vertAlign w:val="subscript"/>
              </w:rPr>
              <w:t>2</w:t>
            </w:r>
            <w:r>
              <w:rPr>
                <w:rFonts w:ascii="Times New Roman" w:eastAsia="Times New Roman" w:hAnsi="Times New Roman" w:cs="Times New Roman"/>
                <w:sz w:val="21"/>
              </w:rPr>
              <w:t>:</w:t>
            </w:r>
            <w:r>
              <w:rPr>
                <w:rFonts w:ascii="Times New Roman" w:hAnsi="Times New Roman" w:cs="Times New Roman"/>
                <w:sz w:val="21"/>
              </w:rPr>
              <w:t>（）</w:t>
            </w:r>
            <w:r>
              <w:rPr>
                <w:rFonts w:ascii="Times New Roman" w:eastAsia="Times New Roman" w:hAnsi="Times New Roman" w:cs="Times New Roman"/>
                <w:sz w:val="21"/>
              </w:rPr>
              <w:t>t/a</w:t>
            </w:r>
          </w:p>
        </w:tc>
        <w:tc>
          <w:tcPr>
            <w:tcW w:w="1548" w:type="dxa"/>
            <w:gridSpan w:val="7"/>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sz w:val="21"/>
              </w:rPr>
              <w:t>NO</w:t>
            </w:r>
            <w:r>
              <w:rPr>
                <w:rFonts w:ascii="Times New Roman" w:eastAsia="Times New Roman" w:hAnsi="Times New Roman" w:cs="Times New Roman"/>
                <w:sz w:val="21"/>
                <w:vertAlign w:val="subscript"/>
              </w:rPr>
              <w:t>x</w:t>
            </w:r>
            <w:r>
              <w:rPr>
                <w:rFonts w:ascii="Times New Roman" w:eastAsia="Times New Roman" w:hAnsi="Times New Roman" w:cs="Times New Roman"/>
                <w:sz w:val="21"/>
              </w:rPr>
              <w:t>:</w:t>
            </w:r>
            <w:r>
              <w:rPr>
                <w:rFonts w:ascii="Times New Roman" w:hAnsi="Times New Roman" w:cs="Times New Roman"/>
                <w:sz w:val="21"/>
              </w:rPr>
              <w:t>（）</w:t>
            </w:r>
            <w:r>
              <w:rPr>
                <w:rFonts w:ascii="Times New Roman" w:eastAsia="Times New Roman" w:hAnsi="Times New Roman" w:cs="Times New Roman"/>
                <w:sz w:val="21"/>
              </w:rPr>
              <w:t>t/a</w:t>
            </w:r>
          </w:p>
        </w:tc>
        <w:tc>
          <w:tcPr>
            <w:tcW w:w="2207" w:type="dxa"/>
            <w:gridSpan w:val="9"/>
            <w:vAlign w:val="center"/>
          </w:tcPr>
          <w:p w:rsidR="00240BCE" w:rsidRDefault="00AC0334" w:rsidP="0023239D">
            <w:pPr>
              <w:pStyle w:val="TableParagraph"/>
              <w:spacing w:line="300" w:lineRule="exact"/>
              <w:jc w:val="both"/>
              <w:rPr>
                <w:rFonts w:ascii="Times New Roman" w:eastAsia="Times New Roman" w:hAnsi="Times New Roman" w:cs="Times New Roman"/>
                <w:sz w:val="21"/>
              </w:rPr>
            </w:pPr>
            <w:r>
              <w:rPr>
                <w:rFonts w:ascii="Times New Roman" w:hAnsi="Times New Roman" w:cs="Times New Roman"/>
                <w:sz w:val="21"/>
              </w:rPr>
              <w:t>颗粒</w:t>
            </w:r>
            <w:r w:rsidRPr="0023239D">
              <w:rPr>
                <w:rFonts w:ascii="Times New Roman" w:hAnsi="Times New Roman" w:cs="Times New Roman"/>
                <w:color w:val="000000" w:themeColor="text1"/>
                <w:sz w:val="21"/>
              </w:rPr>
              <w:t>物</w:t>
            </w:r>
            <w:r w:rsidRPr="0023239D">
              <w:rPr>
                <w:rFonts w:ascii="Times New Roman" w:eastAsia="Times New Roman" w:hAnsi="Times New Roman" w:cs="Times New Roman"/>
                <w:color w:val="000000" w:themeColor="text1"/>
                <w:sz w:val="21"/>
              </w:rPr>
              <w:t>:</w:t>
            </w:r>
            <w:r w:rsidRPr="0023239D">
              <w:rPr>
                <w:rFonts w:ascii="Times New Roman" w:hAnsi="Times New Roman" w:cs="Times New Roman"/>
                <w:color w:val="000000" w:themeColor="text1"/>
                <w:sz w:val="21"/>
              </w:rPr>
              <w:t>（</w:t>
            </w:r>
            <w:r w:rsidR="0023239D" w:rsidRPr="0023239D">
              <w:rPr>
                <w:rFonts w:ascii="Times New Roman" w:hAnsi="Times New Roman" w:cs="Times New Roman" w:hint="eastAsia"/>
                <w:color w:val="000000" w:themeColor="text1"/>
                <w:sz w:val="21"/>
              </w:rPr>
              <w:t>0.6327</w:t>
            </w:r>
            <w:r w:rsidRPr="0023239D">
              <w:rPr>
                <w:rFonts w:ascii="Times New Roman" w:hAnsi="Times New Roman" w:cs="Times New Roman"/>
                <w:color w:val="000000" w:themeColor="text1"/>
                <w:sz w:val="21"/>
              </w:rPr>
              <w:t>）</w:t>
            </w:r>
            <w:r w:rsidRPr="0023239D">
              <w:rPr>
                <w:rFonts w:ascii="Times New Roman" w:eastAsia="Times New Roman" w:hAnsi="Times New Roman" w:cs="Times New Roman"/>
                <w:color w:val="000000" w:themeColor="text1"/>
                <w:sz w:val="21"/>
              </w:rPr>
              <w:t>t/a</w:t>
            </w:r>
          </w:p>
        </w:tc>
        <w:tc>
          <w:tcPr>
            <w:tcW w:w="1336" w:type="dxa"/>
            <w:gridSpan w:val="3"/>
            <w:vAlign w:val="center"/>
          </w:tcPr>
          <w:p w:rsidR="00240BCE" w:rsidRDefault="00AC0334">
            <w:pPr>
              <w:pStyle w:val="TableParagraph"/>
              <w:spacing w:line="300" w:lineRule="exact"/>
              <w:jc w:val="both"/>
              <w:rPr>
                <w:rFonts w:ascii="Times New Roman" w:eastAsia="Times New Roman" w:hAnsi="Times New Roman" w:cs="Times New Roman"/>
                <w:sz w:val="21"/>
              </w:rPr>
            </w:pPr>
            <w:r>
              <w:rPr>
                <w:rFonts w:ascii="Times New Roman" w:eastAsia="Times New Roman" w:hAnsi="Times New Roman" w:cs="Times New Roman"/>
                <w:sz w:val="21"/>
              </w:rPr>
              <w:t>VOCs:</w:t>
            </w:r>
            <w:r>
              <w:rPr>
                <w:rFonts w:ascii="Times New Roman" w:hAnsi="Times New Roman" w:cs="Times New Roman"/>
                <w:sz w:val="21"/>
              </w:rPr>
              <w:t>（）</w:t>
            </w:r>
            <w:r>
              <w:rPr>
                <w:rFonts w:ascii="Times New Roman" w:eastAsia="Times New Roman" w:hAnsi="Times New Roman" w:cs="Times New Roman"/>
                <w:sz w:val="21"/>
              </w:rPr>
              <w:t>t/a</w:t>
            </w:r>
          </w:p>
        </w:tc>
      </w:tr>
      <w:tr w:rsidR="00240BCE">
        <w:tc>
          <w:tcPr>
            <w:tcW w:w="9041" w:type="dxa"/>
            <w:gridSpan w:val="24"/>
            <w:tcBorders>
              <w:top w:val="single" w:sz="4" w:space="0" w:color="000000"/>
            </w:tcBorders>
            <w:vAlign w:val="center"/>
          </w:tcPr>
          <w:p w:rsidR="00240BCE" w:rsidRDefault="00AC0334">
            <w:pPr>
              <w:tabs>
                <w:tab w:val="left" w:pos="2635"/>
              </w:tabs>
              <w:spacing w:line="300" w:lineRule="exact"/>
              <w:jc w:val="left"/>
              <w:rPr>
                <w:rFonts w:eastAsia="Times New Roman"/>
                <w:sz w:val="21"/>
              </w:rPr>
            </w:pPr>
            <w:r>
              <w:rPr>
                <w:sz w:val="21"/>
              </w:rPr>
              <w:t>注：</w:t>
            </w:r>
            <w:r>
              <w:rPr>
                <w:rFonts w:eastAsia="Times New Roman"/>
                <w:sz w:val="21"/>
              </w:rPr>
              <w:t xml:space="preserve">“□”  </w:t>
            </w:r>
            <w:r>
              <w:rPr>
                <w:sz w:val="21"/>
              </w:rPr>
              <w:t>为勾选项，填</w:t>
            </w:r>
            <w:r>
              <w:rPr>
                <w:rFonts w:eastAsia="Times New Roman"/>
                <w:sz w:val="21"/>
              </w:rPr>
              <w:t>“√”</w:t>
            </w:r>
            <w:r>
              <w:rPr>
                <w:rFonts w:eastAsia="Times New Roman"/>
                <w:sz w:val="21"/>
              </w:rPr>
              <w:tab/>
            </w:r>
            <w:r>
              <w:rPr>
                <w:sz w:val="21"/>
              </w:rPr>
              <w:t>；</w:t>
            </w:r>
            <w:r>
              <w:rPr>
                <w:rFonts w:eastAsia="Times New Roman"/>
                <w:sz w:val="21"/>
              </w:rPr>
              <w:t>“</w:t>
            </w:r>
            <w:r>
              <w:rPr>
                <w:sz w:val="21"/>
              </w:rPr>
              <w:t>（）</w:t>
            </w:r>
            <w:r>
              <w:rPr>
                <w:rFonts w:eastAsia="Times New Roman"/>
                <w:sz w:val="21"/>
              </w:rPr>
              <w:t>”</w:t>
            </w:r>
            <w:r>
              <w:rPr>
                <w:rFonts w:eastAsia="Times New Roman"/>
                <w:spacing w:val="1"/>
                <w:sz w:val="21"/>
              </w:rPr>
              <w:t xml:space="preserve"> </w:t>
            </w:r>
            <w:r>
              <w:rPr>
                <w:sz w:val="21"/>
              </w:rPr>
              <w:t>为内容填写项目</w:t>
            </w:r>
          </w:p>
        </w:tc>
      </w:tr>
    </w:tbl>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511" w:name="_Toc181088807"/>
      <w:bookmarkStart w:id="512" w:name="_Toc180680469"/>
      <w:bookmarkStart w:id="513" w:name="_Toc162358823"/>
      <w:bookmarkStart w:id="514" w:name="_Toc181089213"/>
      <w:bookmarkStart w:id="515" w:name="_Toc30522_WPSOffice_Level2"/>
      <w:bookmarkStart w:id="516" w:name="_Toc79668701"/>
      <w:bookmarkStart w:id="517" w:name="_Toc81934387"/>
      <w:bookmarkEnd w:id="511"/>
      <w:bookmarkEnd w:id="512"/>
      <w:bookmarkEnd w:id="513"/>
      <w:r>
        <w:rPr>
          <w:rFonts w:ascii="Times New Roman" w:eastAsia="宋体" w:hAnsi="Times New Roman"/>
          <w:bCs/>
          <w:szCs w:val="32"/>
        </w:rPr>
        <w:lastRenderedPageBreak/>
        <w:t>6.2</w:t>
      </w:r>
      <w:r>
        <w:rPr>
          <w:rFonts w:ascii="Times New Roman" w:eastAsia="宋体" w:hAnsi="Times New Roman"/>
          <w:bCs/>
          <w:szCs w:val="32"/>
        </w:rPr>
        <w:t>地表水环境影响</w:t>
      </w:r>
      <w:bookmarkEnd w:id="514"/>
      <w:r>
        <w:rPr>
          <w:rFonts w:ascii="Times New Roman" w:eastAsia="宋体" w:hAnsi="Times New Roman"/>
          <w:bCs/>
          <w:szCs w:val="32"/>
        </w:rPr>
        <w:t>预测与评价</w:t>
      </w:r>
      <w:bookmarkEnd w:id="515"/>
      <w:bookmarkEnd w:id="516"/>
      <w:bookmarkEnd w:id="517"/>
    </w:p>
    <w:p w:rsidR="00240BCE" w:rsidRDefault="00AC0334" w:rsidP="009C5F33">
      <w:pPr>
        <w:pStyle w:val="30"/>
        <w:adjustRightInd w:val="0"/>
        <w:snapToGrid w:val="0"/>
        <w:spacing w:beforeLines="70" w:afterLines="30" w:line="240" w:lineRule="auto"/>
        <w:jc w:val="left"/>
        <w:rPr>
          <w:rFonts w:eastAsia="楷体"/>
          <w:sz w:val="28"/>
          <w:szCs w:val="28"/>
        </w:rPr>
      </w:pPr>
      <w:bookmarkStart w:id="518" w:name="_Toc10386_WPSOffice_Level3"/>
      <w:bookmarkStart w:id="519" w:name="_Toc79668702"/>
      <w:r>
        <w:rPr>
          <w:rFonts w:eastAsia="楷体"/>
          <w:sz w:val="28"/>
          <w:szCs w:val="28"/>
        </w:rPr>
        <w:t xml:space="preserve">6.2.1 </w:t>
      </w:r>
      <w:r>
        <w:rPr>
          <w:rFonts w:eastAsia="楷体"/>
          <w:sz w:val="28"/>
          <w:szCs w:val="28"/>
        </w:rPr>
        <w:t>建设期地表水环境影响分析</w:t>
      </w:r>
      <w:bookmarkEnd w:id="518"/>
      <w:bookmarkEnd w:id="519"/>
    </w:p>
    <w:p w:rsidR="00240BCE" w:rsidRDefault="00AC0334">
      <w:pPr>
        <w:spacing w:line="520" w:lineRule="exact"/>
        <w:ind w:firstLine="480"/>
        <w:rPr>
          <w:sz w:val="24"/>
        </w:rPr>
      </w:pPr>
      <w:r>
        <w:rPr>
          <w:sz w:val="24"/>
        </w:rPr>
        <w:t>由于本工程多为平硐及巷道等井下工程施工，地面施工项目简单，工业场地的建设工程量和施工场面都较小，且施工场地不</w:t>
      </w:r>
      <w:r>
        <w:rPr>
          <w:rFonts w:hint="eastAsia"/>
          <w:sz w:val="24"/>
        </w:rPr>
        <w:t>单独</w:t>
      </w:r>
      <w:r>
        <w:rPr>
          <w:sz w:val="24"/>
        </w:rPr>
        <w:t>设置食堂，因此建设期水污染源主要为生活洗漱污水及施工时的少量泥浆水等。生活污水产生量约</w:t>
      </w:r>
      <w:r>
        <w:rPr>
          <w:sz w:val="24"/>
        </w:rPr>
        <w:t>1.6m</w:t>
      </w:r>
      <w:r>
        <w:rPr>
          <w:sz w:val="24"/>
          <w:vertAlign w:val="superscript"/>
        </w:rPr>
        <w:t>3</w:t>
      </w:r>
      <w:r>
        <w:rPr>
          <w:sz w:val="24"/>
        </w:rPr>
        <w:t>/d</w:t>
      </w:r>
      <w:r>
        <w:rPr>
          <w:sz w:val="24"/>
        </w:rPr>
        <w:t>，主要为洗漱水，主要污染物为</w:t>
      </w:r>
      <w:r>
        <w:rPr>
          <w:sz w:val="24"/>
        </w:rPr>
        <w:t>SS</w:t>
      </w:r>
      <w:r>
        <w:rPr>
          <w:sz w:val="24"/>
        </w:rPr>
        <w:t>、</w:t>
      </w:r>
      <w:r>
        <w:rPr>
          <w:sz w:val="24"/>
        </w:rPr>
        <w:t>BOD</w:t>
      </w:r>
      <w:r>
        <w:rPr>
          <w:sz w:val="24"/>
          <w:vertAlign w:val="subscript"/>
        </w:rPr>
        <w:t>5</w:t>
      </w:r>
      <w:r>
        <w:rPr>
          <w:sz w:val="24"/>
        </w:rPr>
        <w:t>、</w:t>
      </w:r>
      <w:r>
        <w:rPr>
          <w:sz w:val="24"/>
        </w:rPr>
        <w:t>COD</w:t>
      </w:r>
      <w:r>
        <w:rPr>
          <w:sz w:val="24"/>
        </w:rPr>
        <w:t>等，经</w:t>
      </w:r>
      <w:r>
        <w:rPr>
          <w:sz w:val="24"/>
        </w:rPr>
        <w:t>10m</w:t>
      </w:r>
      <w:r>
        <w:rPr>
          <w:sz w:val="24"/>
          <w:vertAlign w:val="superscript"/>
        </w:rPr>
        <w:t>3</w:t>
      </w:r>
      <w:r>
        <w:rPr>
          <w:sz w:val="24"/>
        </w:rPr>
        <w:t>生活污水收集池收集后用于场地泼洒降尘，不外排；泥浆水产生量约</w:t>
      </w:r>
      <w:r>
        <w:rPr>
          <w:sz w:val="24"/>
        </w:rPr>
        <w:t>5.0m</w:t>
      </w:r>
      <w:r>
        <w:rPr>
          <w:sz w:val="24"/>
          <w:vertAlign w:val="superscript"/>
        </w:rPr>
        <w:t>3</w:t>
      </w:r>
      <w:r>
        <w:rPr>
          <w:sz w:val="24"/>
        </w:rPr>
        <w:t>，主要污染物为</w:t>
      </w:r>
      <w:r>
        <w:rPr>
          <w:sz w:val="24"/>
        </w:rPr>
        <w:t>SS</w:t>
      </w:r>
      <w:r>
        <w:rPr>
          <w:sz w:val="24"/>
        </w:rPr>
        <w:t>，经工业场地内沉淀池收集后用于场地及道路洒水等，不外排。</w:t>
      </w:r>
    </w:p>
    <w:p w:rsidR="00240BCE" w:rsidRDefault="00AC0334">
      <w:pPr>
        <w:pStyle w:val="01"/>
        <w:snapToGrid w:val="0"/>
        <w:spacing w:line="520" w:lineRule="exact"/>
        <w:ind w:firstLine="480"/>
        <w:rPr>
          <w:rFonts w:ascii="Times New Roman" w:hAnsi="Times New Roman"/>
          <w:color w:val="000000"/>
        </w:rPr>
      </w:pPr>
      <w:r>
        <w:rPr>
          <w:rFonts w:ascii="Times New Roman" w:hAnsi="Times New Roman"/>
          <w:color w:val="000000"/>
        </w:rPr>
        <w:t>项目施工期各类废水均预处理后全部用于场地洒水降尘不外排，不会对周边水环境产生不良影响。</w:t>
      </w:r>
    </w:p>
    <w:p w:rsidR="00240BCE" w:rsidRDefault="00AC0334" w:rsidP="009C5F33">
      <w:pPr>
        <w:pStyle w:val="30"/>
        <w:adjustRightInd w:val="0"/>
        <w:snapToGrid w:val="0"/>
        <w:spacing w:beforeLines="70" w:afterLines="30" w:line="240" w:lineRule="auto"/>
        <w:jc w:val="left"/>
        <w:rPr>
          <w:rFonts w:eastAsia="楷体"/>
          <w:sz w:val="28"/>
          <w:szCs w:val="28"/>
        </w:rPr>
      </w:pPr>
      <w:bookmarkStart w:id="520" w:name="_Toc17219_WPSOffice_Level3"/>
      <w:bookmarkStart w:id="521" w:name="_Toc79668703"/>
      <w:r>
        <w:rPr>
          <w:rFonts w:eastAsia="楷体"/>
          <w:sz w:val="28"/>
          <w:szCs w:val="28"/>
        </w:rPr>
        <w:t xml:space="preserve">6.2.2 </w:t>
      </w:r>
      <w:r>
        <w:rPr>
          <w:rFonts w:eastAsia="楷体"/>
          <w:sz w:val="28"/>
          <w:szCs w:val="28"/>
        </w:rPr>
        <w:t>营运期地表水环境</w:t>
      </w:r>
      <w:bookmarkEnd w:id="520"/>
      <w:bookmarkEnd w:id="521"/>
      <w:r w:rsidR="00D510BC">
        <w:rPr>
          <w:rFonts w:eastAsia="楷体" w:hint="eastAsia"/>
          <w:sz w:val="28"/>
          <w:szCs w:val="28"/>
        </w:rPr>
        <w:t>预测与评价</w:t>
      </w:r>
    </w:p>
    <w:p w:rsidR="00CF1E6F" w:rsidRPr="00103121" w:rsidRDefault="00AC0334" w:rsidP="00103121">
      <w:pPr>
        <w:adjustRightInd w:val="0"/>
        <w:snapToGrid w:val="0"/>
        <w:spacing w:line="520" w:lineRule="exact"/>
        <w:ind w:firstLineChars="200" w:firstLine="490"/>
        <w:rPr>
          <w:b/>
          <w:i/>
          <w:spacing w:val="2"/>
          <w:sz w:val="24"/>
          <w:u w:val="single"/>
        </w:rPr>
      </w:pPr>
      <w:r w:rsidRPr="00103121">
        <w:rPr>
          <w:b/>
          <w:i/>
          <w:spacing w:val="2"/>
          <w:sz w:val="24"/>
          <w:u w:val="single"/>
        </w:rPr>
        <w:t>升级改造后水污染源包括矿井排水、工业场地生产、生活污水及初期雨水。矿井排水处理达标后部分（</w:t>
      </w:r>
      <w:r w:rsidR="00B171A8">
        <w:rPr>
          <w:rFonts w:hint="eastAsia"/>
          <w:b/>
          <w:i/>
          <w:spacing w:val="2"/>
          <w:sz w:val="24"/>
          <w:u w:val="single"/>
        </w:rPr>
        <w:t>472.1</w:t>
      </w:r>
      <w:r w:rsidRPr="00103121">
        <w:rPr>
          <w:b/>
          <w:i/>
          <w:spacing w:val="2"/>
          <w:sz w:val="24"/>
          <w:u w:val="single"/>
        </w:rPr>
        <w:t>m</w:t>
      </w:r>
      <w:r w:rsidRPr="00103121">
        <w:rPr>
          <w:b/>
          <w:i/>
          <w:spacing w:val="2"/>
          <w:sz w:val="24"/>
          <w:u w:val="single"/>
          <w:vertAlign w:val="superscript"/>
        </w:rPr>
        <w:t>3</w:t>
      </w:r>
      <w:r w:rsidRPr="00103121">
        <w:rPr>
          <w:b/>
          <w:i/>
          <w:spacing w:val="2"/>
          <w:sz w:val="24"/>
          <w:u w:val="single"/>
        </w:rPr>
        <w:t>/d</w:t>
      </w:r>
      <w:r w:rsidRPr="00103121">
        <w:rPr>
          <w:b/>
          <w:i/>
          <w:spacing w:val="2"/>
          <w:sz w:val="24"/>
          <w:u w:val="single"/>
        </w:rPr>
        <w:t>）回用于井下洒水、</w:t>
      </w:r>
      <w:r w:rsidR="00802A62">
        <w:rPr>
          <w:b/>
          <w:i/>
          <w:spacing w:val="2"/>
          <w:sz w:val="24"/>
          <w:u w:val="single"/>
        </w:rPr>
        <w:t>储煤库</w:t>
      </w:r>
      <w:r w:rsidRPr="00103121">
        <w:rPr>
          <w:b/>
          <w:i/>
          <w:spacing w:val="2"/>
          <w:sz w:val="24"/>
          <w:u w:val="single"/>
        </w:rPr>
        <w:t>洒水、空压机补充水、运输道路防尘洒水等生产用水，剩余部分（</w:t>
      </w:r>
      <w:r w:rsidR="00103121" w:rsidRPr="00103121">
        <w:rPr>
          <w:b/>
          <w:i/>
          <w:spacing w:val="2"/>
          <w:sz w:val="24"/>
          <w:u w:val="single"/>
        </w:rPr>
        <w:t>4</w:t>
      </w:r>
      <w:r w:rsidR="00B171A8">
        <w:rPr>
          <w:rFonts w:hint="eastAsia"/>
          <w:b/>
          <w:i/>
          <w:spacing w:val="2"/>
          <w:sz w:val="24"/>
          <w:u w:val="single"/>
        </w:rPr>
        <w:t>183.9</w:t>
      </w:r>
      <w:r w:rsidR="00103121" w:rsidRPr="00103121">
        <w:rPr>
          <w:b/>
          <w:i/>
          <w:spacing w:val="2"/>
          <w:sz w:val="24"/>
          <w:u w:val="single"/>
        </w:rPr>
        <w:t>m</w:t>
      </w:r>
      <w:r w:rsidR="00103121" w:rsidRPr="00103121">
        <w:rPr>
          <w:b/>
          <w:i/>
          <w:spacing w:val="2"/>
          <w:sz w:val="24"/>
          <w:u w:val="single"/>
          <w:vertAlign w:val="superscript"/>
        </w:rPr>
        <w:t>3</w:t>
      </w:r>
      <w:r w:rsidR="00103121" w:rsidRPr="00103121">
        <w:rPr>
          <w:b/>
          <w:i/>
          <w:spacing w:val="2"/>
          <w:sz w:val="24"/>
          <w:u w:val="single"/>
        </w:rPr>
        <w:t>/d</w:t>
      </w:r>
      <w:r w:rsidRPr="00103121">
        <w:rPr>
          <w:b/>
          <w:i/>
          <w:spacing w:val="2"/>
          <w:sz w:val="24"/>
          <w:u w:val="single"/>
        </w:rPr>
        <w:t>）</w:t>
      </w:r>
      <w:r w:rsidR="00103121" w:rsidRPr="00103121">
        <w:rPr>
          <w:b/>
          <w:i/>
          <w:sz w:val="24"/>
          <w:u w:val="single"/>
        </w:rPr>
        <w:t>满足《煤炭工业污染物排放标准》（</w:t>
      </w:r>
      <w:r w:rsidR="00103121" w:rsidRPr="00103121">
        <w:rPr>
          <w:b/>
          <w:i/>
          <w:sz w:val="24"/>
          <w:u w:val="single"/>
        </w:rPr>
        <w:t>GB20426-2006</w:t>
      </w:r>
      <w:r w:rsidR="00103121" w:rsidRPr="00103121">
        <w:rPr>
          <w:b/>
          <w:i/>
          <w:sz w:val="24"/>
          <w:u w:val="single"/>
        </w:rPr>
        <w:t>）表</w:t>
      </w:r>
      <w:r w:rsidR="00103121" w:rsidRPr="00103121">
        <w:rPr>
          <w:b/>
          <w:i/>
          <w:sz w:val="24"/>
          <w:u w:val="single"/>
        </w:rPr>
        <w:t>1</w:t>
      </w:r>
      <w:r w:rsidR="00103121" w:rsidRPr="00103121">
        <w:rPr>
          <w:b/>
          <w:i/>
          <w:sz w:val="24"/>
          <w:u w:val="single"/>
        </w:rPr>
        <w:t>，表</w:t>
      </w:r>
      <w:r w:rsidR="00103121" w:rsidRPr="00103121">
        <w:rPr>
          <w:b/>
          <w:i/>
          <w:sz w:val="24"/>
          <w:u w:val="single"/>
        </w:rPr>
        <w:t>2</w:t>
      </w:r>
      <w:r w:rsidR="00103121" w:rsidRPr="00103121">
        <w:rPr>
          <w:b/>
          <w:i/>
          <w:sz w:val="24"/>
          <w:u w:val="single"/>
        </w:rPr>
        <w:t>采煤废水排放限值并且满足</w:t>
      </w:r>
      <w:r w:rsidR="00103121" w:rsidRPr="00103121">
        <w:rPr>
          <w:rFonts w:hAnsi="宋体"/>
          <w:b/>
          <w:i/>
          <w:snapToGrid w:val="0"/>
          <w:sz w:val="24"/>
          <w:u w:val="single"/>
        </w:rPr>
        <w:t>《</w:t>
      </w:r>
      <w:r w:rsidR="00103121" w:rsidRPr="00103121">
        <w:rPr>
          <w:b/>
          <w:i/>
          <w:sz w:val="24"/>
          <w:u w:val="single"/>
        </w:rPr>
        <w:t>地表水环境质量标准</w:t>
      </w:r>
      <w:r w:rsidR="00103121" w:rsidRPr="00103121">
        <w:rPr>
          <w:rFonts w:hAnsi="宋体"/>
          <w:b/>
          <w:i/>
          <w:snapToGrid w:val="0"/>
          <w:sz w:val="24"/>
          <w:u w:val="single"/>
        </w:rPr>
        <w:t>》</w:t>
      </w:r>
      <w:r w:rsidR="00103121" w:rsidRPr="00103121">
        <w:rPr>
          <w:b/>
          <w:i/>
          <w:sz w:val="24"/>
          <w:u w:val="single"/>
        </w:rPr>
        <w:t>（</w:t>
      </w:r>
      <w:r w:rsidR="00103121" w:rsidRPr="00103121">
        <w:rPr>
          <w:b/>
          <w:i/>
          <w:sz w:val="24"/>
          <w:u w:val="single"/>
        </w:rPr>
        <w:t>GB3838-2002</w:t>
      </w:r>
      <w:r w:rsidR="00103121" w:rsidRPr="00103121">
        <w:rPr>
          <w:b/>
          <w:i/>
          <w:sz w:val="24"/>
          <w:u w:val="single"/>
        </w:rPr>
        <w:t>）</w:t>
      </w:r>
      <w:r w:rsidR="00103121" w:rsidRPr="00103121">
        <w:rPr>
          <w:b/>
          <w:i/>
          <w:sz w:val="24"/>
          <w:u w:val="single"/>
        </w:rPr>
        <w:t>Ⅲ</w:t>
      </w:r>
      <w:r w:rsidR="00103121" w:rsidRPr="00103121">
        <w:rPr>
          <w:b/>
          <w:i/>
          <w:sz w:val="24"/>
          <w:u w:val="single"/>
        </w:rPr>
        <w:t>类水质要求后外排至赵沟河、纸坊水库用于生态补水及周边农田灌溉。</w:t>
      </w:r>
      <w:r w:rsidRPr="00103121">
        <w:rPr>
          <w:b/>
          <w:i/>
          <w:spacing w:val="2"/>
          <w:sz w:val="24"/>
          <w:u w:val="single"/>
        </w:rPr>
        <w:t>；生活污水处理达标后部分（</w:t>
      </w:r>
      <w:r w:rsidRPr="00103121">
        <w:rPr>
          <w:b/>
          <w:i/>
          <w:spacing w:val="2"/>
          <w:sz w:val="24"/>
          <w:u w:val="single"/>
        </w:rPr>
        <w:t>3.6m</w:t>
      </w:r>
      <w:r w:rsidRPr="00103121">
        <w:rPr>
          <w:b/>
          <w:i/>
          <w:spacing w:val="2"/>
          <w:sz w:val="24"/>
          <w:u w:val="single"/>
          <w:vertAlign w:val="superscript"/>
        </w:rPr>
        <w:t>3</w:t>
      </w:r>
      <w:r w:rsidRPr="00103121">
        <w:rPr>
          <w:b/>
          <w:i/>
          <w:spacing w:val="2"/>
          <w:sz w:val="24"/>
          <w:u w:val="single"/>
        </w:rPr>
        <w:t>/d</w:t>
      </w:r>
      <w:r w:rsidRPr="00103121">
        <w:rPr>
          <w:b/>
          <w:i/>
          <w:spacing w:val="2"/>
          <w:sz w:val="24"/>
          <w:u w:val="single"/>
        </w:rPr>
        <w:t>）用于工业场地绿化用水，剩余部分（</w:t>
      </w:r>
      <w:r w:rsidRPr="00103121">
        <w:rPr>
          <w:b/>
          <w:i/>
          <w:spacing w:val="2"/>
          <w:sz w:val="24"/>
          <w:u w:val="single"/>
        </w:rPr>
        <w:t>82.85m</w:t>
      </w:r>
      <w:r w:rsidRPr="00103121">
        <w:rPr>
          <w:b/>
          <w:i/>
          <w:spacing w:val="2"/>
          <w:sz w:val="24"/>
          <w:u w:val="single"/>
          <w:vertAlign w:val="superscript"/>
        </w:rPr>
        <w:t>3</w:t>
      </w:r>
      <w:r w:rsidRPr="00103121">
        <w:rPr>
          <w:b/>
          <w:i/>
          <w:spacing w:val="2"/>
          <w:sz w:val="24"/>
          <w:u w:val="single"/>
        </w:rPr>
        <w:t>/d</w:t>
      </w:r>
      <w:r w:rsidRPr="00103121">
        <w:rPr>
          <w:b/>
          <w:i/>
          <w:spacing w:val="2"/>
          <w:sz w:val="24"/>
          <w:u w:val="single"/>
        </w:rPr>
        <w:t>）和矿井水一并用于周边农田灌溉，不外排；初期雨水经收集后用于工业场地及运输道路洒水等，不外排。</w:t>
      </w:r>
    </w:p>
    <w:p w:rsidR="00AA5BDA" w:rsidRDefault="00CF1E6F" w:rsidP="00AA5BDA">
      <w:pPr>
        <w:adjustRightInd w:val="0"/>
        <w:snapToGrid w:val="0"/>
        <w:spacing w:line="520" w:lineRule="exact"/>
        <w:ind w:firstLineChars="200" w:firstLine="488"/>
        <w:rPr>
          <w:sz w:val="24"/>
        </w:rPr>
      </w:pPr>
      <w:r>
        <w:rPr>
          <w:rFonts w:hint="eastAsia"/>
          <w:spacing w:val="2"/>
          <w:sz w:val="24"/>
        </w:rPr>
        <w:t>目前</w:t>
      </w:r>
      <w:r>
        <w:rPr>
          <w:sz w:val="24"/>
        </w:rPr>
        <w:t>赵沟河上有当地村委会拦挡修建的水塘及灌溉设施，纸坊水库最大坝高</w:t>
      </w:r>
      <w:r>
        <w:rPr>
          <w:sz w:val="24"/>
        </w:rPr>
        <w:t>41.5m</w:t>
      </w:r>
      <w:r>
        <w:rPr>
          <w:sz w:val="24"/>
        </w:rPr>
        <w:t>，总库容</w:t>
      </w:r>
      <w:r>
        <w:rPr>
          <w:sz w:val="24"/>
        </w:rPr>
        <w:t>4425.5</w:t>
      </w:r>
      <w:r>
        <w:rPr>
          <w:sz w:val="24"/>
        </w:rPr>
        <w:t>万</w:t>
      </w:r>
      <w:r>
        <w:rPr>
          <w:sz w:val="24"/>
        </w:rPr>
        <w:t>m</w:t>
      </w:r>
      <w:r>
        <w:rPr>
          <w:sz w:val="24"/>
          <w:vertAlign w:val="superscript"/>
        </w:rPr>
        <w:t>3</w:t>
      </w:r>
      <w:r>
        <w:rPr>
          <w:sz w:val="24"/>
        </w:rPr>
        <w:t>，是一座以防洪、灌溉为主的中型水库，现状无水，</w:t>
      </w:r>
      <w:r>
        <w:rPr>
          <w:rFonts w:hint="eastAsia"/>
          <w:sz w:val="24"/>
        </w:rPr>
        <w:t>不考虑下渗及其它来水情况下，</w:t>
      </w:r>
      <w:r>
        <w:rPr>
          <w:sz w:val="24"/>
        </w:rPr>
        <w:t>能容纳本项目</w:t>
      </w:r>
      <w:r>
        <w:rPr>
          <w:sz w:val="24"/>
        </w:rPr>
        <w:t>26.6a</w:t>
      </w:r>
      <w:r>
        <w:rPr>
          <w:sz w:val="24"/>
        </w:rPr>
        <w:t>的排水量，且纸坊水库配套有灌溉渠及灌溉设施</w:t>
      </w:r>
      <w:r>
        <w:rPr>
          <w:rFonts w:hint="eastAsia"/>
          <w:sz w:val="24"/>
        </w:rPr>
        <w:t>，能保证本项目矿井水进入后不外排，用于周边灌溉（具体分析内容见</w:t>
      </w:r>
      <w:r w:rsidRPr="002214ED">
        <w:rPr>
          <w:sz w:val="24"/>
        </w:rPr>
        <w:t>7.3.2.3</w:t>
      </w:r>
      <w:r w:rsidRPr="002214ED">
        <w:rPr>
          <w:sz w:val="24"/>
        </w:rPr>
        <w:t>矿井水综合利用可行性分析</w:t>
      </w:r>
      <w:r>
        <w:rPr>
          <w:rFonts w:hint="eastAsia"/>
          <w:sz w:val="24"/>
        </w:rPr>
        <w:t>）</w:t>
      </w:r>
      <w:r>
        <w:rPr>
          <w:sz w:val="24"/>
        </w:rPr>
        <w:t>。</w:t>
      </w:r>
    </w:p>
    <w:p w:rsidR="00F1395C" w:rsidRDefault="00F1395C" w:rsidP="00AA5BDA">
      <w:pPr>
        <w:adjustRightInd w:val="0"/>
        <w:snapToGrid w:val="0"/>
        <w:spacing w:line="520" w:lineRule="exact"/>
        <w:rPr>
          <w:sz w:val="24"/>
        </w:rPr>
      </w:pPr>
      <w:r>
        <w:rPr>
          <w:rFonts w:hint="eastAsia"/>
          <w:sz w:val="24"/>
        </w:rPr>
        <w:t xml:space="preserve">6.2.2.1 </w:t>
      </w:r>
      <w:r>
        <w:rPr>
          <w:rFonts w:hint="eastAsia"/>
          <w:sz w:val="24"/>
        </w:rPr>
        <w:t>污染源分析</w:t>
      </w:r>
    </w:p>
    <w:p w:rsidR="00F1395C" w:rsidRDefault="00F1395C" w:rsidP="00F1395C">
      <w:pPr>
        <w:spacing w:line="540" w:lineRule="exact"/>
        <w:ind w:firstLineChars="200" w:firstLine="488"/>
        <w:rPr>
          <w:rFonts w:ascii="宋体" w:hAnsi="宋体"/>
          <w:sz w:val="24"/>
        </w:rPr>
      </w:pPr>
      <w:r>
        <w:rPr>
          <w:rFonts w:ascii="宋体" w:hAnsi="宋体" w:hint="eastAsia"/>
          <w:color w:val="000000"/>
          <w:spacing w:val="2"/>
          <w:sz w:val="24"/>
        </w:rPr>
        <w:lastRenderedPageBreak/>
        <w:t>本矿污废水主要包括矿井水和工业场地生产、生活废污水等。</w:t>
      </w:r>
    </w:p>
    <w:p w:rsidR="00F1395C" w:rsidRPr="008A2EDB" w:rsidRDefault="00F1395C" w:rsidP="00F1395C">
      <w:pPr>
        <w:spacing w:line="540" w:lineRule="exact"/>
        <w:ind w:firstLineChars="200" w:firstLine="482"/>
        <w:rPr>
          <w:b/>
          <w:sz w:val="24"/>
        </w:rPr>
      </w:pPr>
      <w:r w:rsidRPr="008A2EDB">
        <w:rPr>
          <w:b/>
          <w:sz w:val="24"/>
        </w:rPr>
        <w:t>1</w:t>
      </w:r>
      <w:r w:rsidRPr="008A2EDB">
        <w:rPr>
          <w:rFonts w:hAnsi="宋体"/>
          <w:b/>
          <w:sz w:val="24"/>
        </w:rPr>
        <w:t>、正常情况下的污染源：</w:t>
      </w:r>
    </w:p>
    <w:p w:rsidR="00F1395C" w:rsidRPr="008A2EDB" w:rsidRDefault="00F1395C" w:rsidP="00F1395C">
      <w:pPr>
        <w:spacing w:line="520" w:lineRule="exact"/>
        <w:ind w:firstLineChars="200" w:firstLine="480"/>
        <w:rPr>
          <w:sz w:val="24"/>
        </w:rPr>
      </w:pPr>
      <w:r w:rsidRPr="008A2EDB">
        <w:rPr>
          <w:rFonts w:hAnsi="宋体"/>
          <w:sz w:val="24"/>
        </w:rPr>
        <w:t>（</w:t>
      </w:r>
      <w:r w:rsidRPr="008A2EDB">
        <w:rPr>
          <w:sz w:val="24"/>
        </w:rPr>
        <w:t>1</w:t>
      </w:r>
      <w:r w:rsidRPr="008A2EDB">
        <w:rPr>
          <w:rFonts w:hAnsi="宋体"/>
          <w:sz w:val="24"/>
        </w:rPr>
        <w:t>）矿井水</w:t>
      </w:r>
    </w:p>
    <w:p w:rsidR="00AA5BDA" w:rsidRPr="008A2EDB" w:rsidRDefault="00F1395C" w:rsidP="00AA5BDA">
      <w:pPr>
        <w:pStyle w:val="ae"/>
        <w:spacing w:line="520" w:lineRule="exact"/>
        <w:ind w:firstLineChars="200" w:firstLine="480"/>
        <w:rPr>
          <w:rFonts w:ascii="Times New Roman" w:hAnsi="Times New Roman"/>
          <w:sz w:val="24"/>
        </w:rPr>
      </w:pPr>
      <w:r w:rsidRPr="008A2EDB">
        <w:rPr>
          <w:rFonts w:ascii="Times New Roman" w:hAnsi="宋体"/>
          <w:sz w:val="24"/>
        </w:rPr>
        <w:t>根据工程分析，</w:t>
      </w:r>
      <w:r w:rsidR="00AA5BDA" w:rsidRPr="008A2EDB">
        <w:rPr>
          <w:rFonts w:ascii="Times New Roman" w:hAnsi="Times New Roman"/>
          <w:spacing w:val="2"/>
          <w:sz w:val="24"/>
        </w:rPr>
        <w:t>处理达标后的矿井水部分（</w:t>
      </w:r>
      <w:r w:rsidR="00B171A8">
        <w:rPr>
          <w:rFonts w:ascii="Times New Roman" w:hAnsi="Times New Roman" w:hint="eastAsia"/>
          <w:spacing w:val="2"/>
          <w:sz w:val="24"/>
        </w:rPr>
        <w:t>472.1</w:t>
      </w:r>
      <w:r w:rsidR="00AA5BDA" w:rsidRPr="008A2EDB">
        <w:rPr>
          <w:rFonts w:ascii="Times New Roman" w:hAnsi="Times New Roman"/>
          <w:spacing w:val="2"/>
          <w:sz w:val="24"/>
        </w:rPr>
        <w:t>m</w:t>
      </w:r>
      <w:r w:rsidR="00AA5BDA" w:rsidRPr="008A2EDB">
        <w:rPr>
          <w:rFonts w:ascii="Times New Roman" w:hAnsi="Times New Roman"/>
          <w:spacing w:val="2"/>
          <w:sz w:val="24"/>
          <w:vertAlign w:val="superscript"/>
        </w:rPr>
        <w:t>3</w:t>
      </w:r>
      <w:r w:rsidR="00AA5BDA" w:rsidRPr="008A2EDB">
        <w:rPr>
          <w:rFonts w:ascii="Times New Roman" w:hAnsi="Times New Roman"/>
          <w:spacing w:val="2"/>
          <w:sz w:val="24"/>
        </w:rPr>
        <w:t>/d</w:t>
      </w:r>
      <w:r w:rsidR="00AA5BDA" w:rsidRPr="008A2EDB">
        <w:rPr>
          <w:rFonts w:ascii="Times New Roman" w:hAnsi="Times New Roman"/>
          <w:spacing w:val="2"/>
          <w:sz w:val="24"/>
        </w:rPr>
        <w:t>）回用于井下洒水、</w:t>
      </w:r>
      <w:r w:rsidR="00802A62">
        <w:rPr>
          <w:rFonts w:ascii="Times New Roman" w:hAnsi="Times New Roman"/>
          <w:spacing w:val="2"/>
          <w:sz w:val="24"/>
        </w:rPr>
        <w:t>储煤库</w:t>
      </w:r>
      <w:r w:rsidR="00AA5BDA" w:rsidRPr="008A2EDB">
        <w:rPr>
          <w:rFonts w:ascii="Times New Roman" w:hAnsi="Times New Roman"/>
          <w:spacing w:val="2"/>
          <w:sz w:val="24"/>
        </w:rPr>
        <w:t>洒水、空压机补充水、车辆冲洗补充水等生产用水，剩余</w:t>
      </w:r>
      <w:r w:rsidR="00AA5BDA" w:rsidRPr="008A2EDB">
        <w:rPr>
          <w:rFonts w:ascii="Times New Roman" w:hAnsi="Times New Roman"/>
          <w:sz w:val="24"/>
          <w:szCs w:val="24"/>
        </w:rPr>
        <w:t>不能充分利用</w:t>
      </w:r>
      <w:r w:rsidR="00AA5BDA" w:rsidRPr="008A2EDB">
        <w:rPr>
          <w:rFonts w:ascii="Times New Roman" w:hAnsi="Times New Roman"/>
          <w:spacing w:val="2"/>
          <w:sz w:val="24"/>
        </w:rPr>
        <w:t>（</w:t>
      </w:r>
      <w:r w:rsidR="00AA5BDA" w:rsidRPr="008A2EDB">
        <w:rPr>
          <w:rFonts w:ascii="Times New Roman" w:hAnsi="Times New Roman"/>
          <w:spacing w:val="2"/>
          <w:sz w:val="24"/>
        </w:rPr>
        <w:t>4</w:t>
      </w:r>
      <w:r w:rsidR="00B171A8">
        <w:rPr>
          <w:rFonts w:ascii="Times New Roman" w:hAnsi="Times New Roman" w:hint="eastAsia"/>
          <w:spacing w:val="2"/>
          <w:sz w:val="24"/>
        </w:rPr>
        <w:t>183.9</w:t>
      </w:r>
      <w:r w:rsidR="00AA5BDA" w:rsidRPr="008A2EDB">
        <w:rPr>
          <w:rFonts w:ascii="Times New Roman" w:hAnsi="Times New Roman"/>
          <w:spacing w:val="2"/>
          <w:sz w:val="24"/>
        </w:rPr>
        <w:t>m</w:t>
      </w:r>
      <w:r w:rsidR="00AA5BDA" w:rsidRPr="008A2EDB">
        <w:rPr>
          <w:rFonts w:ascii="Times New Roman" w:hAnsi="Times New Roman"/>
          <w:spacing w:val="2"/>
          <w:sz w:val="24"/>
          <w:vertAlign w:val="superscript"/>
        </w:rPr>
        <w:t>3</w:t>
      </w:r>
      <w:r w:rsidR="00AA5BDA" w:rsidRPr="008A2EDB">
        <w:rPr>
          <w:rFonts w:ascii="Times New Roman" w:hAnsi="Times New Roman"/>
          <w:spacing w:val="2"/>
          <w:sz w:val="24"/>
        </w:rPr>
        <w:t>/d</w:t>
      </w:r>
      <w:r w:rsidR="00AA5BDA" w:rsidRPr="008A2EDB">
        <w:rPr>
          <w:rFonts w:ascii="Times New Roman" w:hAnsi="Times New Roman"/>
          <w:spacing w:val="2"/>
          <w:sz w:val="24"/>
        </w:rPr>
        <w:t>）</w:t>
      </w:r>
      <w:r w:rsidR="00AA5BDA" w:rsidRPr="008A2EDB">
        <w:rPr>
          <w:rFonts w:ascii="Times New Roman" w:hAnsi="Times New Roman"/>
          <w:sz w:val="24"/>
          <w:szCs w:val="24"/>
        </w:rPr>
        <w:t>满足《煤炭工业污染物排放标准》（</w:t>
      </w:r>
      <w:r w:rsidR="00AA5BDA" w:rsidRPr="008A2EDB">
        <w:rPr>
          <w:rFonts w:ascii="Times New Roman" w:hAnsi="Times New Roman"/>
          <w:sz w:val="24"/>
          <w:szCs w:val="24"/>
        </w:rPr>
        <w:t>GB20426-2006</w:t>
      </w:r>
      <w:r w:rsidR="00AA5BDA" w:rsidRPr="008A2EDB">
        <w:rPr>
          <w:rFonts w:ascii="Times New Roman" w:hAnsi="Times New Roman"/>
          <w:sz w:val="24"/>
          <w:szCs w:val="24"/>
        </w:rPr>
        <w:t>）表</w:t>
      </w:r>
      <w:r w:rsidR="00AA5BDA" w:rsidRPr="008A2EDB">
        <w:rPr>
          <w:rFonts w:ascii="Times New Roman" w:hAnsi="Times New Roman"/>
          <w:sz w:val="24"/>
          <w:szCs w:val="24"/>
        </w:rPr>
        <w:t>1</w:t>
      </w:r>
      <w:r w:rsidR="00AA5BDA" w:rsidRPr="008A2EDB">
        <w:rPr>
          <w:rFonts w:ascii="Times New Roman" w:hAnsi="Times New Roman"/>
          <w:sz w:val="24"/>
          <w:szCs w:val="24"/>
        </w:rPr>
        <w:t>，表</w:t>
      </w:r>
      <w:r w:rsidR="00AA5BDA" w:rsidRPr="008A2EDB">
        <w:rPr>
          <w:rFonts w:ascii="Times New Roman" w:hAnsi="Times New Roman"/>
          <w:sz w:val="24"/>
          <w:szCs w:val="24"/>
        </w:rPr>
        <w:t>2</w:t>
      </w:r>
      <w:r w:rsidR="00AA5BDA" w:rsidRPr="008A2EDB">
        <w:rPr>
          <w:rFonts w:ascii="Times New Roman" w:hAnsi="Times New Roman"/>
          <w:sz w:val="24"/>
          <w:szCs w:val="24"/>
        </w:rPr>
        <w:t>采煤废水排放限值并且满足</w:t>
      </w:r>
      <w:r w:rsidR="00AA5BDA" w:rsidRPr="008A2EDB">
        <w:rPr>
          <w:rFonts w:ascii="Times New Roman" w:hAnsi="宋体"/>
          <w:snapToGrid w:val="0"/>
          <w:sz w:val="24"/>
          <w:szCs w:val="24"/>
        </w:rPr>
        <w:t>《</w:t>
      </w:r>
      <w:r w:rsidR="00AA5BDA" w:rsidRPr="008A2EDB">
        <w:rPr>
          <w:rFonts w:ascii="Times New Roman" w:hAnsi="Times New Roman"/>
          <w:sz w:val="24"/>
          <w:szCs w:val="24"/>
        </w:rPr>
        <w:t>地表水环境质量标准</w:t>
      </w:r>
      <w:r w:rsidR="00AA5BDA" w:rsidRPr="008A2EDB">
        <w:rPr>
          <w:rFonts w:ascii="Times New Roman" w:hAnsi="宋体"/>
          <w:snapToGrid w:val="0"/>
          <w:sz w:val="24"/>
          <w:szCs w:val="24"/>
        </w:rPr>
        <w:t>》</w:t>
      </w:r>
      <w:r w:rsidR="00AA5BDA" w:rsidRPr="008A2EDB">
        <w:rPr>
          <w:rFonts w:ascii="Times New Roman" w:hAnsi="Times New Roman"/>
          <w:sz w:val="24"/>
          <w:szCs w:val="24"/>
        </w:rPr>
        <w:t>（</w:t>
      </w:r>
      <w:r w:rsidR="00AA5BDA" w:rsidRPr="008A2EDB">
        <w:rPr>
          <w:rFonts w:ascii="Times New Roman" w:hAnsi="Times New Roman"/>
          <w:sz w:val="24"/>
          <w:szCs w:val="24"/>
        </w:rPr>
        <w:t>GB3838-2002</w:t>
      </w:r>
      <w:r w:rsidR="00AA5BDA" w:rsidRPr="008A2EDB">
        <w:rPr>
          <w:rFonts w:ascii="Times New Roman" w:hAnsi="Times New Roman"/>
          <w:sz w:val="24"/>
          <w:szCs w:val="24"/>
        </w:rPr>
        <w:t>）</w:t>
      </w:r>
      <w:r w:rsidR="00AA5BDA" w:rsidRPr="008A2EDB">
        <w:rPr>
          <w:rFonts w:ascii="Times New Roman" w:hAnsi="Times New Roman"/>
          <w:sz w:val="24"/>
          <w:szCs w:val="24"/>
        </w:rPr>
        <w:t>Ⅲ</w:t>
      </w:r>
      <w:r w:rsidR="00AA5BDA" w:rsidRPr="008A2EDB">
        <w:rPr>
          <w:rFonts w:ascii="Times New Roman" w:hAnsi="Times New Roman"/>
          <w:sz w:val="24"/>
          <w:szCs w:val="24"/>
        </w:rPr>
        <w:t>类水质要求</w:t>
      </w:r>
      <w:r w:rsidR="00AA5BDA" w:rsidRPr="008A2EDB">
        <w:rPr>
          <w:rFonts w:ascii="Times New Roman" w:hAnsi="Times New Roman"/>
          <w:sz w:val="24"/>
        </w:rPr>
        <w:t>后向东北</w:t>
      </w:r>
      <w:r w:rsidR="00AA5BDA" w:rsidRPr="008A2EDB">
        <w:rPr>
          <w:rFonts w:ascii="Times New Roman" w:hAnsi="Times New Roman"/>
          <w:sz w:val="24"/>
          <w:szCs w:val="24"/>
        </w:rPr>
        <w:t>外排</w:t>
      </w:r>
      <w:r w:rsidR="00AA5BDA" w:rsidRPr="008A2EDB">
        <w:rPr>
          <w:rFonts w:ascii="Times New Roman" w:hAnsi="Times New Roman"/>
          <w:sz w:val="24"/>
        </w:rPr>
        <w:t>至赵沟河</w:t>
      </w:r>
      <w:r w:rsidR="00AA5BDA" w:rsidRPr="008A2EDB">
        <w:rPr>
          <w:rFonts w:ascii="Times New Roman" w:hAnsi="Times New Roman"/>
          <w:sz w:val="24"/>
          <w:szCs w:val="24"/>
        </w:rPr>
        <w:t>2.1km→</w:t>
      </w:r>
      <w:r w:rsidR="00AA5BDA" w:rsidRPr="008A2EDB">
        <w:rPr>
          <w:rFonts w:ascii="Times New Roman" w:hAnsi="Times New Roman"/>
          <w:sz w:val="24"/>
          <w:szCs w:val="24"/>
        </w:rPr>
        <w:t>涌泉河</w:t>
      </w:r>
      <w:r w:rsidR="00AA5BDA" w:rsidRPr="008A2EDB">
        <w:rPr>
          <w:rFonts w:ascii="Times New Roman" w:hAnsi="Times New Roman"/>
          <w:sz w:val="24"/>
          <w:szCs w:val="24"/>
        </w:rPr>
        <w:t>3.0km→</w:t>
      </w:r>
      <w:r w:rsidR="00AA5BDA" w:rsidRPr="008A2EDB">
        <w:rPr>
          <w:rFonts w:ascii="Times New Roman" w:hAnsi="Times New Roman"/>
          <w:sz w:val="24"/>
          <w:szCs w:val="24"/>
        </w:rPr>
        <w:t>纸坊水库</w:t>
      </w:r>
      <w:r w:rsidR="00AA5BDA" w:rsidRPr="008A2EDB">
        <w:rPr>
          <w:rFonts w:ascii="Times New Roman" w:hAnsi="Times New Roman"/>
          <w:sz w:val="24"/>
        </w:rPr>
        <w:t>后用于周边农田灌溉及生态补水。</w:t>
      </w:r>
    </w:p>
    <w:p w:rsidR="00F1395C" w:rsidRPr="008A2EDB" w:rsidRDefault="00AA5BDA" w:rsidP="00F1395C">
      <w:pPr>
        <w:spacing w:line="520" w:lineRule="exact"/>
        <w:ind w:firstLineChars="200" w:firstLine="480"/>
        <w:rPr>
          <w:sz w:val="24"/>
        </w:rPr>
      </w:pPr>
      <w:r w:rsidRPr="008A2EDB">
        <w:rPr>
          <w:sz w:val="24"/>
        </w:rPr>
        <w:t>纸坊水库最大坝高</w:t>
      </w:r>
      <w:r w:rsidRPr="008A2EDB">
        <w:rPr>
          <w:sz w:val="24"/>
        </w:rPr>
        <w:t>41.5m</w:t>
      </w:r>
      <w:r w:rsidRPr="008A2EDB">
        <w:rPr>
          <w:sz w:val="24"/>
        </w:rPr>
        <w:t>，总库容</w:t>
      </w:r>
      <w:r w:rsidRPr="008A2EDB">
        <w:rPr>
          <w:sz w:val="24"/>
        </w:rPr>
        <w:t>4425.5</w:t>
      </w:r>
      <w:r w:rsidRPr="008A2EDB">
        <w:rPr>
          <w:sz w:val="24"/>
        </w:rPr>
        <w:t>万</w:t>
      </w:r>
      <w:r w:rsidRPr="008A2EDB">
        <w:rPr>
          <w:sz w:val="24"/>
        </w:rPr>
        <w:t>m</w:t>
      </w:r>
      <w:r w:rsidRPr="008A2EDB">
        <w:rPr>
          <w:sz w:val="24"/>
          <w:vertAlign w:val="superscript"/>
        </w:rPr>
        <w:t>3</w:t>
      </w:r>
      <w:r w:rsidRPr="008A2EDB">
        <w:rPr>
          <w:sz w:val="24"/>
        </w:rPr>
        <w:t>，是一座以防洪、灌溉为主的中型水库，现状无水，不考虑下渗及其它来水情况下，能容纳本项目</w:t>
      </w:r>
      <w:r w:rsidRPr="008A2EDB">
        <w:rPr>
          <w:sz w:val="24"/>
        </w:rPr>
        <w:t>26.6a</w:t>
      </w:r>
      <w:r w:rsidRPr="008A2EDB">
        <w:rPr>
          <w:sz w:val="24"/>
        </w:rPr>
        <w:t>的排水量，且纸坊水库配套有灌溉渠及灌溉设施，能保证综合利用不外排。</w:t>
      </w:r>
    </w:p>
    <w:p w:rsidR="00F1395C" w:rsidRPr="008A2EDB" w:rsidRDefault="00F1395C" w:rsidP="00F1395C">
      <w:pPr>
        <w:spacing w:line="520" w:lineRule="exact"/>
        <w:ind w:firstLineChars="200" w:firstLine="480"/>
        <w:rPr>
          <w:sz w:val="24"/>
        </w:rPr>
      </w:pPr>
      <w:r w:rsidRPr="008A2EDB">
        <w:rPr>
          <w:rFonts w:hAnsi="宋体"/>
          <w:sz w:val="24"/>
        </w:rPr>
        <w:t>（</w:t>
      </w:r>
      <w:r w:rsidRPr="008A2EDB">
        <w:rPr>
          <w:sz w:val="24"/>
        </w:rPr>
        <w:t>2</w:t>
      </w:r>
      <w:r w:rsidRPr="008A2EDB">
        <w:rPr>
          <w:rFonts w:hAnsi="宋体"/>
          <w:sz w:val="24"/>
        </w:rPr>
        <w:t>）生产生活废污水</w:t>
      </w:r>
    </w:p>
    <w:p w:rsidR="002A3FC5" w:rsidRPr="008A2EDB" w:rsidRDefault="00F1395C" w:rsidP="002A3FC5">
      <w:pPr>
        <w:spacing w:line="520" w:lineRule="exact"/>
        <w:ind w:firstLineChars="200" w:firstLine="480"/>
        <w:rPr>
          <w:sz w:val="24"/>
        </w:rPr>
      </w:pPr>
      <w:r w:rsidRPr="008A2EDB">
        <w:rPr>
          <w:rFonts w:hAnsi="宋体"/>
          <w:sz w:val="24"/>
        </w:rPr>
        <w:t>根据工程分析</w:t>
      </w:r>
      <w:r w:rsidR="002A3FC5" w:rsidRPr="008A2EDB">
        <w:rPr>
          <w:rFonts w:hAnsi="宋体"/>
          <w:sz w:val="24"/>
        </w:rPr>
        <w:t>，技改后设计工业场地生活污水产生量为</w:t>
      </w:r>
      <w:r w:rsidR="002A3FC5" w:rsidRPr="008A2EDB">
        <w:rPr>
          <w:sz w:val="24"/>
        </w:rPr>
        <w:t>66.2m</w:t>
      </w:r>
      <w:r w:rsidR="002A3FC5" w:rsidRPr="008A2EDB">
        <w:rPr>
          <w:sz w:val="24"/>
          <w:vertAlign w:val="superscript"/>
        </w:rPr>
        <w:t>3</w:t>
      </w:r>
      <w:r w:rsidR="002A3FC5" w:rsidRPr="008A2EDB">
        <w:rPr>
          <w:sz w:val="24"/>
        </w:rPr>
        <w:t>/d</w:t>
      </w:r>
      <w:r w:rsidR="002A3FC5" w:rsidRPr="008A2EDB">
        <w:rPr>
          <w:rFonts w:hAnsi="宋体"/>
          <w:sz w:val="24"/>
        </w:rPr>
        <w:t>，经处理后满足《污水综合排放标准》（</w:t>
      </w:r>
      <w:r w:rsidR="002A3FC5" w:rsidRPr="008A2EDB">
        <w:rPr>
          <w:sz w:val="24"/>
        </w:rPr>
        <w:t>GB8978-1996</w:t>
      </w:r>
      <w:r w:rsidR="002A3FC5" w:rsidRPr="008A2EDB">
        <w:rPr>
          <w:rFonts w:hAnsi="宋体"/>
          <w:sz w:val="24"/>
        </w:rPr>
        <w:t>）一级标准，同时满足《城市污水再生利用</w:t>
      </w:r>
      <w:r w:rsidR="002A3FC5" w:rsidRPr="008A2EDB">
        <w:rPr>
          <w:sz w:val="24"/>
        </w:rPr>
        <w:t xml:space="preserve"> </w:t>
      </w:r>
      <w:r w:rsidR="002A3FC5" w:rsidRPr="008A2EDB">
        <w:rPr>
          <w:rFonts w:hAnsi="宋体"/>
          <w:sz w:val="24"/>
        </w:rPr>
        <w:t>城市杂用水水质》（</w:t>
      </w:r>
      <w:r w:rsidR="002A3FC5" w:rsidRPr="008A2EDB">
        <w:rPr>
          <w:sz w:val="24"/>
        </w:rPr>
        <w:t>GB/T18920-2020</w:t>
      </w:r>
      <w:r w:rsidR="002A3FC5" w:rsidRPr="008A2EDB">
        <w:rPr>
          <w:rFonts w:hAnsi="宋体"/>
          <w:sz w:val="24"/>
        </w:rPr>
        <w:t>）标准要求后进行综合利用，不外排。</w:t>
      </w:r>
    </w:p>
    <w:p w:rsidR="002A3FC5" w:rsidRPr="008A2EDB" w:rsidRDefault="002A3FC5" w:rsidP="002A3FC5">
      <w:pPr>
        <w:spacing w:line="520" w:lineRule="exact"/>
        <w:ind w:firstLineChars="200" w:firstLine="480"/>
      </w:pPr>
      <w:r w:rsidRPr="008A2EDB">
        <w:rPr>
          <w:rFonts w:hAnsi="宋体"/>
          <w:sz w:val="24"/>
        </w:rPr>
        <w:t>综上，正常情况下，</w:t>
      </w:r>
      <w:r w:rsidRPr="008A2EDB">
        <w:rPr>
          <w:sz w:val="24"/>
        </w:rPr>
        <w:t>项目废水排放总量为</w:t>
      </w:r>
      <w:r w:rsidR="002D1343" w:rsidRPr="003F0B84">
        <w:rPr>
          <w:rFonts w:hint="eastAsia"/>
          <w:b/>
          <w:i/>
          <w:sz w:val="24"/>
          <w:u w:val="single"/>
        </w:rPr>
        <w:t>4183.9</w:t>
      </w:r>
      <w:r w:rsidR="002D1343" w:rsidRPr="003F0B84">
        <w:rPr>
          <w:b/>
          <w:i/>
          <w:sz w:val="24"/>
          <w:u w:val="single"/>
        </w:rPr>
        <w:t>m</w:t>
      </w:r>
      <w:r w:rsidR="002D1343" w:rsidRPr="003F0B84">
        <w:rPr>
          <w:b/>
          <w:i/>
          <w:sz w:val="24"/>
          <w:u w:val="single"/>
          <w:vertAlign w:val="superscript"/>
        </w:rPr>
        <w:t>3</w:t>
      </w:r>
      <w:r w:rsidR="002D1343" w:rsidRPr="003F0B84">
        <w:rPr>
          <w:b/>
          <w:i/>
          <w:sz w:val="24"/>
          <w:u w:val="single"/>
        </w:rPr>
        <w:t>/d</w:t>
      </w:r>
      <w:r w:rsidR="002D1343" w:rsidRPr="003F0B84">
        <w:rPr>
          <w:b/>
          <w:i/>
          <w:sz w:val="24"/>
          <w:u w:val="single"/>
        </w:rPr>
        <w:t>（</w:t>
      </w:r>
      <w:r w:rsidR="002D1343" w:rsidRPr="003F0B84">
        <w:rPr>
          <w:rFonts w:hint="eastAsia"/>
          <w:b/>
          <w:i/>
          <w:sz w:val="24"/>
          <w:u w:val="single"/>
        </w:rPr>
        <w:t>1527123</w:t>
      </w:r>
      <w:r w:rsidR="002D1343" w:rsidRPr="003F0B84">
        <w:rPr>
          <w:b/>
          <w:i/>
          <w:sz w:val="24"/>
          <w:u w:val="single"/>
        </w:rPr>
        <w:t>.5m</w:t>
      </w:r>
      <w:r w:rsidR="002D1343" w:rsidRPr="003F0B84">
        <w:rPr>
          <w:b/>
          <w:i/>
          <w:sz w:val="24"/>
          <w:u w:val="single"/>
          <w:vertAlign w:val="superscript"/>
        </w:rPr>
        <w:t>3</w:t>
      </w:r>
      <w:r w:rsidR="002D1343" w:rsidRPr="003F0B84">
        <w:rPr>
          <w:b/>
          <w:i/>
          <w:sz w:val="24"/>
          <w:u w:val="single"/>
        </w:rPr>
        <w:t>/a</w:t>
      </w:r>
      <w:r w:rsidR="002D1343" w:rsidRPr="003F0B84">
        <w:rPr>
          <w:b/>
          <w:i/>
          <w:sz w:val="24"/>
          <w:u w:val="single"/>
        </w:rPr>
        <w:t>）</w:t>
      </w:r>
      <w:r w:rsidR="002D1343" w:rsidRPr="005E70E2">
        <w:rPr>
          <w:b/>
          <w:i/>
          <w:sz w:val="24"/>
          <w:u w:val="single"/>
        </w:rPr>
        <w:t>，</w:t>
      </w:r>
      <w:r w:rsidR="002D1343" w:rsidRPr="00B171A8">
        <w:rPr>
          <w:b/>
          <w:i/>
          <w:sz w:val="24"/>
          <w:u w:val="single"/>
        </w:rPr>
        <w:t>全部为矿井水，外排矿井水污染物的浓度分别为</w:t>
      </w:r>
      <w:r w:rsidR="002D1343" w:rsidRPr="00B171A8">
        <w:rPr>
          <w:b/>
          <w:i/>
          <w:sz w:val="24"/>
          <w:u w:val="single"/>
        </w:rPr>
        <w:t>COD</w:t>
      </w:r>
      <w:r w:rsidR="002D1343" w:rsidRPr="00B171A8">
        <w:rPr>
          <w:b/>
          <w:i/>
          <w:sz w:val="24"/>
          <w:u w:val="single"/>
        </w:rPr>
        <w:t>：</w:t>
      </w:r>
      <w:r w:rsidR="002D1343" w:rsidRPr="00B171A8">
        <w:rPr>
          <w:b/>
          <w:i/>
          <w:sz w:val="24"/>
          <w:u w:val="single"/>
        </w:rPr>
        <w:t>20</w:t>
      </w:r>
      <w:r w:rsidR="002D1343" w:rsidRPr="00B171A8">
        <w:rPr>
          <w:rFonts w:hint="eastAsia"/>
          <w:b/>
          <w:i/>
          <w:sz w:val="24"/>
          <w:u w:val="single"/>
        </w:rPr>
        <w:t>mg</w:t>
      </w:r>
      <w:r w:rsidR="002D1343" w:rsidRPr="00B171A8">
        <w:rPr>
          <w:b/>
          <w:i/>
          <w:sz w:val="24"/>
          <w:u w:val="single"/>
        </w:rPr>
        <w:t>/L</w:t>
      </w:r>
      <w:r w:rsidR="002D1343" w:rsidRPr="00B171A8">
        <w:rPr>
          <w:b/>
          <w:i/>
          <w:sz w:val="24"/>
          <w:u w:val="single"/>
        </w:rPr>
        <w:t>、</w:t>
      </w:r>
      <w:r w:rsidR="002D1343" w:rsidRPr="00B171A8">
        <w:rPr>
          <w:b/>
          <w:i/>
          <w:sz w:val="24"/>
          <w:u w:val="single"/>
        </w:rPr>
        <w:t>SS</w:t>
      </w:r>
      <w:r w:rsidR="002D1343" w:rsidRPr="00B171A8">
        <w:rPr>
          <w:b/>
          <w:i/>
          <w:sz w:val="24"/>
          <w:u w:val="single"/>
        </w:rPr>
        <w:t>：</w:t>
      </w:r>
      <w:r w:rsidR="002D1343" w:rsidRPr="00B171A8">
        <w:rPr>
          <w:b/>
          <w:i/>
          <w:sz w:val="24"/>
          <w:u w:val="single"/>
        </w:rPr>
        <w:t>30</w:t>
      </w:r>
      <w:r w:rsidR="002D1343" w:rsidRPr="00B171A8">
        <w:rPr>
          <w:rFonts w:hint="eastAsia"/>
          <w:b/>
          <w:i/>
          <w:sz w:val="24"/>
          <w:u w:val="single"/>
        </w:rPr>
        <w:t>mg</w:t>
      </w:r>
      <w:r w:rsidR="002D1343" w:rsidRPr="00B171A8">
        <w:rPr>
          <w:b/>
          <w:i/>
          <w:sz w:val="24"/>
          <w:u w:val="single"/>
        </w:rPr>
        <w:t>/L</w:t>
      </w:r>
      <w:r w:rsidR="002D1343" w:rsidRPr="00B171A8">
        <w:rPr>
          <w:b/>
          <w:i/>
          <w:sz w:val="24"/>
          <w:u w:val="single"/>
        </w:rPr>
        <w:t>、</w:t>
      </w:r>
      <w:r w:rsidR="002D1343" w:rsidRPr="00B171A8">
        <w:rPr>
          <w:b/>
          <w:i/>
          <w:sz w:val="24"/>
          <w:u w:val="single"/>
        </w:rPr>
        <w:t>NH</w:t>
      </w:r>
      <w:r w:rsidR="002D1343" w:rsidRPr="00B171A8">
        <w:rPr>
          <w:b/>
          <w:i/>
          <w:sz w:val="24"/>
          <w:u w:val="single"/>
          <w:vertAlign w:val="subscript"/>
        </w:rPr>
        <w:t>3</w:t>
      </w:r>
      <w:r w:rsidR="002D1343" w:rsidRPr="00B171A8">
        <w:rPr>
          <w:b/>
          <w:i/>
          <w:sz w:val="24"/>
          <w:u w:val="single"/>
        </w:rPr>
        <w:t>-N</w:t>
      </w:r>
      <w:r w:rsidR="002D1343" w:rsidRPr="00B171A8">
        <w:rPr>
          <w:b/>
          <w:i/>
          <w:sz w:val="24"/>
          <w:u w:val="single"/>
        </w:rPr>
        <w:t>：</w:t>
      </w:r>
      <w:r w:rsidR="002D1343" w:rsidRPr="00B171A8">
        <w:rPr>
          <w:b/>
          <w:i/>
          <w:sz w:val="24"/>
          <w:u w:val="single"/>
        </w:rPr>
        <w:t>0.314</w:t>
      </w:r>
      <w:r w:rsidR="002D1343" w:rsidRPr="00B171A8">
        <w:rPr>
          <w:rFonts w:hint="eastAsia"/>
          <w:b/>
          <w:i/>
          <w:sz w:val="24"/>
          <w:u w:val="single"/>
        </w:rPr>
        <w:t xml:space="preserve"> mg</w:t>
      </w:r>
      <w:r w:rsidR="002D1343" w:rsidRPr="00B171A8">
        <w:rPr>
          <w:b/>
          <w:i/>
          <w:sz w:val="24"/>
          <w:u w:val="single"/>
        </w:rPr>
        <w:t>/L</w:t>
      </w:r>
      <w:r w:rsidR="002D1343" w:rsidRPr="00B171A8">
        <w:rPr>
          <w:b/>
          <w:i/>
          <w:sz w:val="24"/>
          <w:u w:val="single"/>
        </w:rPr>
        <w:t>，污染物的排放总量为：</w:t>
      </w:r>
      <w:r w:rsidR="002D1343" w:rsidRPr="00B171A8">
        <w:rPr>
          <w:b/>
          <w:i/>
          <w:sz w:val="24"/>
          <w:u w:val="single"/>
        </w:rPr>
        <w:t>COD</w:t>
      </w:r>
      <w:r w:rsidR="002D1343" w:rsidRPr="00B171A8">
        <w:rPr>
          <w:b/>
          <w:i/>
          <w:sz w:val="24"/>
          <w:u w:val="single"/>
        </w:rPr>
        <w:t>：</w:t>
      </w:r>
      <w:r w:rsidR="002D1343" w:rsidRPr="005E70E2">
        <w:rPr>
          <w:b/>
          <w:i/>
          <w:sz w:val="24"/>
          <w:u w:val="single"/>
        </w:rPr>
        <w:t>COD</w:t>
      </w:r>
      <w:r w:rsidR="002D1343" w:rsidRPr="005E70E2">
        <w:rPr>
          <w:b/>
          <w:i/>
          <w:sz w:val="24"/>
          <w:u w:val="single"/>
        </w:rPr>
        <w:t>：</w:t>
      </w:r>
      <w:r w:rsidR="002D1343" w:rsidRPr="005E70E2">
        <w:rPr>
          <w:b/>
          <w:i/>
          <w:sz w:val="24"/>
          <w:u w:val="single"/>
        </w:rPr>
        <w:t>3</w:t>
      </w:r>
      <w:r w:rsidR="002D1343">
        <w:rPr>
          <w:rFonts w:hint="eastAsia"/>
          <w:b/>
          <w:i/>
          <w:sz w:val="24"/>
          <w:u w:val="single"/>
        </w:rPr>
        <w:t>0.543</w:t>
      </w:r>
      <w:r w:rsidR="002D1343" w:rsidRPr="005E70E2">
        <w:rPr>
          <w:b/>
          <w:i/>
          <w:sz w:val="24"/>
          <w:u w:val="single"/>
        </w:rPr>
        <w:t>t/a</w:t>
      </w:r>
      <w:r w:rsidR="002D1343" w:rsidRPr="005E70E2">
        <w:rPr>
          <w:b/>
          <w:i/>
          <w:sz w:val="24"/>
          <w:u w:val="single"/>
        </w:rPr>
        <w:t>、</w:t>
      </w:r>
      <w:r w:rsidR="002D1343" w:rsidRPr="005E70E2">
        <w:rPr>
          <w:b/>
          <w:i/>
          <w:sz w:val="24"/>
          <w:u w:val="single"/>
        </w:rPr>
        <w:t>SS</w:t>
      </w:r>
      <w:r w:rsidR="002D1343" w:rsidRPr="005E70E2">
        <w:rPr>
          <w:b/>
          <w:i/>
          <w:sz w:val="24"/>
          <w:u w:val="single"/>
        </w:rPr>
        <w:t>：</w:t>
      </w:r>
      <w:r w:rsidR="002D1343" w:rsidRPr="005E70E2">
        <w:rPr>
          <w:b/>
          <w:i/>
          <w:sz w:val="24"/>
          <w:u w:val="single"/>
        </w:rPr>
        <w:t>4</w:t>
      </w:r>
      <w:r w:rsidR="002D1343">
        <w:rPr>
          <w:rFonts w:hint="eastAsia"/>
          <w:b/>
          <w:i/>
          <w:sz w:val="24"/>
          <w:u w:val="single"/>
        </w:rPr>
        <w:t>5.814</w:t>
      </w:r>
      <w:r w:rsidR="002D1343" w:rsidRPr="005E70E2">
        <w:rPr>
          <w:b/>
          <w:i/>
          <w:sz w:val="24"/>
          <w:u w:val="single"/>
        </w:rPr>
        <w:t>t/a</w:t>
      </w:r>
      <w:r w:rsidR="002D1343" w:rsidRPr="005E70E2">
        <w:rPr>
          <w:b/>
          <w:i/>
          <w:sz w:val="24"/>
          <w:u w:val="single"/>
        </w:rPr>
        <w:t>、</w:t>
      </w:r>
      <w:r w:rsidR="002D1343" w:rsidRPr="005E70E2">
        <w:rPr>
          <w:b/>
          <w:i/>
          <w:sz w:val="24"/>
          <w:u w:val="single"/>
        </w:rPr>
        <w:t>NH</w:t>
      </w:r>
      <w:r w:rsidR="002D1343" w:rsidRPr="005E70E2">
        <w:rPr>
          <w:b/>
          <w:i/>
          <w:sz w:val="24"/>
          <w:u w:val="single"/>
          <w:vertAlign w:val="subscript"/>
        </w:rPr>
        <w:t>3</w:t>
      </w:r>
      <w:r w:rsidR="002D1343" w:rsidRPr="005E70E2">
        <w:rPr>
          <w:b/>
          <w:i/>
          <w:sz w:val="24"/>
          <w:u w:val="single"/>
        </w:rPr>
        <w:t>-N</w:t>
      </w:r>
      <w:r w:rsidR="002D1343" w:rsidRPr="005E70E2">
        <w:rPr>
          <w:b/>
          <w:i/>
          <w:sz w:val="24"/>
          <w:u w:val="single"/>
        </w:rPr>
        <w:t>：</w:t>
      </w:r>
      <w:r w:rsidR="002D1343" w:rsidRPr="005E70E2">
        <w:rPr>
          <w:b/>
          <w:i/>
          <w:sz w:val="24"/>
          <w:u w:val="single"/>
        </w:rPr>
        <w:t>0.</w:t>
      </w:r>
      <w:r w:rsidR="002D1343">
        <w:rPr>
          <w:rFonts w:hint="eastAsia"/>
          <w:b/>
          <w:i/>
          <w:sz w:val="24"/>
          <w:u w:val="single"/>
        </w:rPr>
        <w:t>480</w:t>
      </w:r>
      <w:r w:rsidR="002D1343" w:rsidRPr="005E70E2">
        <w:rPr>
          <w:b/>
          <w:i/>
          <w:sz w:val="24"/>
          <w:u w:val="single"/>
        </w:rPr>
        <w:t>t/a</w:t>
      </w:r>
      <w:r w:rsidR="002D1343" w:rsidRPr="005E70E2">
        <w:rPr>
          <w:b/>
          <w:i/>
          <w:sz w:val="24"/>
          <w:u w:val="single"/>
        </w:rPr>
        <w:t>。</w:t>
      </w:r>
    </w:p>
    <w:p w:rsidR="00F1395C" w:rsidRPr="00B56224" w:rsidRDefault="00F1395C" w:rsidP="00B56224">
      <w:pPr>
        <w:spacing w:line="540" w:lineRule="exact"/>
        <w:ind w:firstLineChars="200" w:firstLine="482"/>
        <w:rPr>
          <w:rFonts w:ascii="宋体" w:hAnsi="宋体"/>
          <w:b/>
          <w:i/>
          <w:sz w:val="24"/>
          <w:u w:val="single"/>
        </w:rPr>
      </w:pPr>
      <w:r w:rsidRPr="00B56224">
        <w:rPr>
          <w:rFonts w:ascii="宋体" w:hAnsi="宋体" w:hint="eastAsia"/>
          <w:b/>
          <w:i/>
          <w:sz w:val="24"/>
          <w:u w:val="single"/>
        </w:rPr>
        <w:t>2、非正常情况状态下的污染源</w:t>
      </w:r>
    </w:p>
    <w:p w:rsidR="002A3FC5" w:rsidRPr="00B56224" w:rsidRDefault="002A3FC5" w:rsidP="00B56224">
      <w:pPr>
        <w:spacing w:line="520" w:lineRule="exact"/>
        <w:ind w:firstLineChars="200" w:firstLine="482"/>
        <w:rPr>
          <w:rFonts w:ascii="宋体" w:hAnsi="宋体"/>
          <w:b/>
          <w:i/>
          <w:color w:val="000000"/>
          <w:sz w:val="24"/>
          <w:u w:val="single"/>
        </w:rPr>
      </w:pPr>
      <w:r w:rsidRPr="00B56224">
        <w:rPr>
          <w:rFonts w:hint="eastAsia"/>
          <w:b/>
          <w:i/>
          <w:color w:val="000000"/>
          <w:sz w:val="24"/>
          <w:u w:val="single"/>
        </w:rPr>
        <w:t>非正常情况下，</w:t>
      </w:r>
      <w:r w:rsidR="00F1395C" w:rsidRPr="00B56224">
        <w:rPr>
          <w:rFonts w:hint="eastAsia"/>
          <w:b/>
          <w:i/>
          <w:color w:val="000000"/>
          <w:sz w:val="24"/>
          <w:u w:val="single"/>
        </w:rPr>
        <w:t>即</w:t>
      </w:r>
      <w:r w:rsidRPr="00B56224">
        <w:rPr>
          <w:rFonts w:hint="eastAsia"/>
          <w:b/>
          <w:i/>
          <w:color w:val="000000"/>
          <w:sz w:val="24"/>
          <w:u w:val="single"/>
        </w:rPr>
        <w:t>生活污水、</w:t>
      </w:r>
      <w:r w:rsidR="00F1395C" w:rsidRPr="00B56224">
        <w:rPr>
          <w:rFonts w:hint="eastAsia"/>
          <w:b/>
          <w:i/>
          <w:color w:val="000000"/>
          <w:sz w:val="24"/>
          <w:u w:val="single"/>
        </w:rPr>
        <w:t>矿井涌水处理设施出现异常，达不到应有效率，处理效率为</w:t>
      </w:r>
      <w:r w:rsidR="00F1395C" w:rsidRPr="00B56224">
        <w:rPr>
          <w:rFonts w:hint="eastAsia"/>
          <w:b/>
          <w:i/>
          <w:color w:val="000000"/>
          <w:sz w:val="24"/>
          <w:u w:val="single"/>
        </w:rPr>
        <w:t>0</w:t>
      </w:r>
      <w:r w:rsidR="00F1395C" w:rsidRPr="00B56224">
        <w:rPr>
          <w:rFonts w:hint="eastAsia"/>
          <w:b/>
          <w:i/>
          <w:color w:val="000000"/>
          <w:sz w:val="24"/>
          <w:u w:val="single"/>
        </w:rPr>
        <w:t>直接排放时对环境影响最大。</w:t>
      </w:r>
      <w:r w:rsidRPr="00B56224">
        <w:rPr>
          <w:rFonts w:hint="eastAsia"/>
          <w:b/>
          <w:i/>
          <w:color w:val="000000"/>
          <w:sz w:val="24"/>
          <w:u w:val="single"/>
        </w:rPr>
        <w:t>当生活污水、矿井水处理站均出现事故情况下，生活污水进入工业场地东</w:t>
      </w:r>
      <w:r w:rsidR="009971B5" w:rsidRPr="00B56224">
        <w:rPr>
          <w:rFonts w:hint="eastAsia"/>
          <w:b/>
          <w:i/>
          <w:color w:val="000000"/>
          <w:sz w:val="24"/>
          <w:u w:val="single"/>
        </w:rPr>
        <w:t>南</w:t>
      </w:r>
      <w:r w:rsidRPr="00B56224">
        <w:rPr>
          <w:rFonts w:hint="eastAsia"/>
          <w:b/>
          <w:i/>
          <w:color w:val="000000"/>
          <w:sz w:val="24"/>
          <w:u w:val="single"/>
        </w:rPr>
        <w:t>角</w:t>
      </w:r>
      <w:r w:rsidRPr="00B56224">
        <w:rPr>
          <w:rFonts w:hint="eastAsia"/>
          <w:b/>
          <w:i/>
          <w:color w:val="000000"/>
          <w:sz w:val="24"/>
          <w:u w:val="single"/>
        </w:rPr>
        <w:t>3000m</w:t>
      </w:r>
      <w:r w:rsidRPr="00B56224">
        <w:rPr>
          <w:rFonts w:hint="eastAsia"/>
          <w:b/>
          <w:i/>
          <w:color w:val="000000"/>
          <w:sz w:val="24"/>
          <w:u w:val="single"/>
          <w:vertAlign w:val="superscript"/>
        </w:rPr>
        <w:t>3</w:t>
      </w:r>
      <w:r w:rsidRPr="00B56224">
        <w:rPr>
          <w:rFonts w:hint="eastAsia"/>
          <w:b/>
          <w:i/>
          <w:color w:val="000000"/>
          <w:sz w:val="24"/>
          <w:u w:val="single"/>
        </w:rPr>
        <w:t>事故水池，能容纳</w:t>
      </w:r>
      <w:r w:rsidRPr="00B56224">
        <w:rPr>
          <w:rFonts w:hint="eastAsia"/>
          <w:b/>
          <w:i/>
          <w:color w:val="000000"/>
          <w:sz w:val="24"/>
          <w:u w:val="single"/>
        </w:rPr>
        <w:t>45.3d</w:t>
      </w:r>
      <w:r w:rsidRPr="00B56224">
        <w:rPr>
          <w:rFonts w:hint="eastAsia"/>
          <w:b/>
          <w:i/>
          <w:color w:val="000000"/>
          <w:sz w:val="24"/>
          <w:u w:val="single"/>
        </w:rPr>
        <w:t>的生活污水量，在此期间，维修生活污水处理站不会发生生活污水排放的情况；矿井水处理站出现事故后，由于矿井水量大，考虑矿井水</w:t>
      </w:r>
      <w:r w:rsidRPr="00B56224">
        <w:rPr>
          <w:rFonts w:ascii="宋体" w:hAnsi="宋体" w:hint="eastAsia"/>
          <w:b/>
          <w:i/>
          <w:color w:val="000000"/>
          <w:sz w:val="24"/>
          <w:u w:val="single"/>
        </w:rPr>
        <w:t>全部排入地表水体。</w:t>
      </w:r>
    </w:p>
    <w:p w:rsidR="00F1395C" w:rsidRDefault="002A3FC5" w:rsidP="00B56224">
      <w:pPr>
        <w:spacing w:line="520" w:lineRule="exact"/>
        <w:ind w:firstLineChars="200" w:firstLine="482"/>
        <w:rPr>
          <w:rFonts w:ascii="宋体" w:hAnsi="宋体"/>
          <w:color w:val="000000"/>
          <w:sz w:val="24"/>
        </w:rPr>
      </w:pPr>
      <w:r w:rsidRPr="00B56224">
        <w:rPr>
          <w:rFonts w:ascii="宋体" w:hAnsi="宋体" w:hint="eastAsia"/>
          <w:b/>
          <w:i/>
          <w:color w:val="000000"/>
          <w:sz w:val="24"/>
          <w:u w:val="single"/>
        </w:rPr>
        <w:t>因此事故情况下，即</w:t>
      </w:r>
      <w:r w:rsidR="00F1395C" w:rsidRPr="00B56224">
        <w:rPr>
          <w:rFonts w:ascii="宋体" w:hAnsi="宋体" w:hint="eastAsia"/>
          <w:b/>
          <w:i/>
          <w:color w:val="000000"/>
          <w:sz w:val="24"/>
          <w:u w:val="single"/>
        </w:rPr>
        <w:t>矿井水</w:t>
      </w:r>
      <w:r w:rsidRPr="00B56224">
        <w:rPr>
          <w:rFonts w:hint="eastAsia"/>
          <w:b/>
          <w:i/>
          <w:sz w:val="24"/>
          <w:u w:val="single"/>
        </w:rPr>
        <w:t>4</w:t>
      </w:r>
      <w:r w:rsidR="002D1343">
        <w:rPr>
          <w:rFonts w:hint="eastAsia"/>
          <w:b/>
          <w:i/>
          <w:sz w:val="24"/>
          <w:u w:val="single"/>
        </w:rPr>
        <w:t>65</w:t>
      </w:r>
      <w:r w:rsidRPr="00B56224">
        <w:rPr>
          <w:rFonts w:hint="eastAsia"/>
          <w:b/>
          <w:i/>
          <w:sz w:val="24"/>
          <w:u w:val="single"/>
        </w:rPr>
        <w:t>6</w:t>
      </w:r>
      <w:r w:rsidRPr="00B56224">
        <w:rPr>
          <w:b/>
          <w:i/>
          <w:sz w:val="24"/>
          <w:u w:val="single"/>
        </w:rPr>
        <w:t>m</w:t>
      </w:r>
      <w:r w:rsidRPr="00B56224">
        <w:rPr>
          <w:b/>
          <w:i/>
          <w:sz w:val="24"/>
          <w:u w:val="single"/>
          <w:vertAlign w:val="superscript"/>
        </w:rPr>
        <w:t>3</w:t>
      </w:r>
      <w:r w:rsidRPr="00B56224">
        <w:rPr>
          <w:b/>
          <w:i/>
          <w:sz w:val="24"/>
          <w:u w:val="single"/>
        </w:rPr>
        <w:t>/</w:t>
      </w:r>
      <w:r w:rsidRPr="00B56224">
        <w:rPr>
          <w:rFonts w:hint="eastAsia"/>
          <w:b/>
          <w:i/>
          <w:sz w:val="24"/>
          <w:u w:val="single"/>
        </w:rPr>
        <w:t>d</w:t>
      </w:r>
      <w:r w:rsidR="00F1395C" w:rsidRPr="00B56224">
        <w:rPr>
          <w:rFonts w:ascii="宋体" w:hAnsi="宋体" w:hint="eastAsia"/>
          <w:b/>
          <w:i/>
          <w:color w:val="000000"/>
          <w:sz w:val="24"/>
          <w:u w:val="single"/>
        </w:rPr>
        <w:t>全部排入地表水体，排水水质</w:t>
      </w:r>
      <w:r w:rsidR="00F1395C">
        <w:rPr>
          <w:rFonts w:ascii="宋体" w:hAnsi="宋体" w:hint="eastAsia"/>
          <w:color w:val="000000"/>
          <w:sz w:val="24"/>
        </w:rPr>
        <w:t>：</w:t>
      </w:r>
      <w:r w:rsidR="00F1395C">
        <w:rPr>
          <w:rFonts w:hint="eastAsia"/>
          <w:color w:val="000000"/>
          <w:sz w:val="24"/>
        </w:rPr>
        <w:lastRenderedPageBreak/>
        <w:t>COD</w:t>
      </w:r>
      <w:r>
        <w:rPr>
          <w:rFonts w:hint="eastAsia"/>
          <w:color w:val="000000"/>
          <w:sz w:val="24"/>
        </w:rPr>
        <w:t>45.2</w:t>
      </w:r>
      <w:r w:rsidR="00F1395C">
        <w:rPr>
          <w:rFonts w:hint="eastAsia"/>
          <w:color w:val="000000"/>
          <w:sz w:val="24"/>
        </w:rPr>
        <w:t>mg/L</w:t>
      </w:r>
      <w:r w:rsidR="00F1395C">
        <w:rPr>
          <w:rFonts w:hint="eastAsia"/>
          <w:color w:val="000000"/>
          <w:sz w:val="24"/>
        </w:rPr>
        <w:t>、氨氮</w:t>
      </w:r>
      <w:r w:rsidR="00F1395C">
        <w:rPr>
          <w:rFonts w:hint="eastAsia"/>
          <w:color w:val="000000"/>
          <w:sz w:val="24"/>
        </w:rPr>
        <w:t>0.</w:t>
      </w:r>
      <w:r>
        <w:rPr>
          <w:rFonts w:hint="eastAsia"/>
          <w:color w:val="000000"/>
          <w:sz w:val="24"/>
        </w:rPr>
        <w:t>523</w:t>
      </w:r>
      <w:r w:rsidR="00F1395C">
        <w:rPr>
          <w:rFonts w:hint="eastAsia"/>
          <w:color w:val="000000"/>
          <w:sz w:val="24"/>
        </w:rPr>
        <w:t>mg/L</w:t>
      </w:r>
      <w:r w:rsidR="00F1395C">
        <w:rPr>
          <w:rFonts w:ascii="宋体" w:hAnsi="宋体" w:hint="eastAsia"/>
          <w:color w:val="000000"/>
          <w:sz w:val="24"/>
        </w:rPr>
        <w:t>。</w:t>
      </w:r>
    </w:p>
    <w:p w:rsidR="00F1395C" w:rsidRDefault="00F1395C" w:rsidP="00F1395C">
      <w:pPr>
        <w:spacing w:line="520" w:lineRule="exact"/>
        <w:ind w:firstLineChars="200" w:firstLine="480"/>
        <w:rPr>
          <w:rFonts w:ascii="宋体" w:hAnsi="宋体"/>
          <w:color w:val="000000"/>
          <w:sz w:val="24"/>
        </w:rPr>
      </w:pPr>
      <w:r>
        <w:rPr>
          <w:rFonts w:ascii="宋体" w:hAnsi="宋体" w:hint="eastAsia"/>
          <w:color w:val="000000"/>
          <w:sz w:val="24"/>
        </w:rPr>
        <w:t>废水污染物排放信息表见6.2-</w:t>
      </w:r>
      <w:r w:rsidR="002A3FC5">
        <w:rPr>
          <w:rFonts w:ascii="宋体" w:hAnsi="宋体" w:hint="eastAsia"/>
          <w:color w:val="000000"/>
          <w:sz w:val="24"/>
        </w:rPr>
        <w:t>1</w:t>
      </w:r>
      <w:r>
        <w:rPr>
          <w:rFonts w:ascii="宋体" w:hAnsi="宋体" w:hint="eastAsia"/>
          <w:color w:val="000000"/>
          <w:sz w:val="24"/>
        </w:rPr>
        <w:t>。</w:t>
      </w:r>
    </w:p>
    <w:p w:rsidR="00F1395C" w:rsidRDefault="00F1395C" w:rsidP="00F1395C">
      <w:pPr>
        <w:tabs>
          <w:tab w:val="left" w:pos="3565"/>
        </w:tabs>
        <w:spacing w:line="520" w:lineRule="exact"/>
        <w:jc w:val="center"/>
        <w:rPr>
          <w:rFonts w:hAnsi="宋体"/>
          <w:b/>
        </w:rPr>
      </w:pPr>
      <w:r>
        <w:rPr>
          <w:rFonts w:hAnsi="宋体" w:hint="eastAsia"/>
          <w:b/>
        </w:rPr>
        <w:t>表</w:t>
      </w:r>
      <w:r>
        <w:rPr>
          <w:rFonts w:hAnsi="宋体" w:hint="eastAsia"/>
          <w:b/>
        </w:rPr>
        <w:t>6.2-</w:t>
      </w:r>
      <w:r w:rsidR="002A3FC5">
        <w:rPr>
          <w:rFonts w:hAnsi="宋体" w:hint="eastAsia"/>
          <w:b/>
        </w:rPr>
        <w:t>1</w:t>
      </w:r>
      <w:r>
        <w:rPr>
          <w:rFonts w:hAnsi="宋体" w:hint="eastAsia"/>
          <w:b/>
        </w:rPr>
        <w:t xml:space="preserve">  </w:t>
      </w:r>
      <w:r>
        <w:rPr>
          <w:rFonts w:hAnsi="宋体" w:hint="eastAsia"/>
          <w:b/>
        </w:rPr>
        <w:t>废水污染物排放信息表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228"/>
        <w:gridCol w:w="1982"/>
        <w:gridCol w:w="2183"/>
        <w:gridCol w:w="1553"/>
      </w:tblGrid>
      <w:tr w:rsidR="00F1395C" w:rsidRPr="005E7F4F" w:rsidTr="002A3FC5">
        <w:trPr>
          <w:trHeight w:val="340"/>
          <w:jc w:val="center"/>
        </w:trPr>
        <w:tc>
          <w:tcPr>
            <w:tcW w:w="1804" w:type="pct"/>
            <w:vMerge w:val="restart"/>
            <w:tcBorders>
              <w:top w:val="single" w:sz="12" w:space="0" w:color="auto"/>
              <w:left w:val="single" w:sz="12" w:space="0" w:color="auto"/>
              <w:bottom w:val="single" w:sz="4" w:space="0" w:color="auto"/>
              <w:right w:val="single" w:sz="4" w:space="0" w:color="auto"/>
            </w:tcBorders>
            <w:vAlign w:val="center"/>
          </w:tcPr>
          <w:p w:rsidR="00F1395C" w:rsidRPr="005E7F4F" w:rsidRDefault="00F1395C" w:rsidP="002D538A">
            <w:pPr>
              <w:spacing w:line="360" w:lineRule="exact"/>
              <w:jc w:val="center"/>
              <w:rPr>
                <w:sz w:val="21"/>
                <w:szCs w:val="21"/>
              </w:rPr>
            </w:pPr>
            <w:r w:rsidRPr="005E7F4F">
              <w:rPr>
                <w:rFonts w:hAnsi="宋体" w:hint="eastAsia"/>
                <w:sz w:val="21"/>
                <w:szCs w:val="21"/>
              </w:rPr>
              <w:t>项</w:t>
            </w:r>
            <w:r w:rsidRPr="005E7F4F">
              <w:rPr>
                <w:sz w:val="21"/>
                <w:szCs w:val="21"/>
              </w:rPr>
              <w:t xml:space="preserve"> </w:t>
            </w:r>
            <w:r w:rsidRPr="005E7F4F">
              <w:rPr>
                <w:rFonts w:hAnsi="宋体" w:hint="eastAsia"/>
                <w:sz w:val="21"/>
                <w:szCs w:val="21"/>
              </w:rPr>
              <w:t>目</w:t>
            </w:r>
          </w:p>
        </w:tc>
        <w:tc>
          <w:tcPr>
            <w:tcW w:w="2328" w:type="pct"/>
            <w:gridSpan w:val="2"/>
            <w:tcBorders>
              <w:top w:val="single" w:sz="12" w:space="0" w:color="auto"/>
              <w:left w:val="single" w:sz="4" w:space="0" w:color="auto"/>
              <w:bottom w:val="single" w:sz="4" w:space="0" w:color="auto"/>
              <w:right w:val="single" w:sz="4" w:space="0" w:color="auto"/>
            </w:tcBorders>
            <w:vAlign w:val="center"/>
          </w:tcPr>
          <w:p w:rsidR="00F1395C" w:rsidRPr="005E7F4F" w:rsidRDefault="00F1395C" w:rsidP="002D538A">
            <w:pPr>
              <w:spacing w:line="360" w:lineRule="exact"/>
              <w:jc w:val="center"/>
              <w:rPr>
                <w:sz w:val="21"/>
                <w:szCs w:val="21"/>
              </w:rPr>
            </w:pPr>
            <w:r w:rsidRPr="005E7F4F">
              <w:rPr>
                <w:rFonts w:hAnsi="宋体" w:hint="eastAsia"/>
                <w:sz w:val="21"/>
                <w:szCs w:val="21"/>
              </w:rPr>
              <w:t>废水污染物浓度</w:t>
            </w:r>
            <w:r w:rsidRPr="005E7F4F">
              <w:rPr>
                <w:sz w:val="21"/>
                <w:szCs w:val="21"/>
              </w:rPr>
              <w:t>(mg/L)</w:t>
            </w:r>
          </w:p>
        </w:tc>
        <w:tc>
          <w:tcPr>
            <w:tcW w:w="868" w:type="pct"/>
            <w:vMerge w:val="restart"/>
            <w:tcBorders>
              <w:top w:val="single" w:sz="12" w:space="0" w:color="auto"/>
              <w:left w:val="single" w:sz="4" w:space="0" w:color="auto"/>
              <w:bottom w:val="single" w:sz="4" w:space="0" w:color="auto"/>
              <w:right w:val="single" w:sz="12" w:space="0" w:color="auto"/>
            </w:tcBorders>
            <w:vAlign w:val="center"/>
          </w:tcPr>
          <w:p w:rsidR="00F1395C" w:rsidRPr="005E7F4F" w:rsidRDefault="00F1395C" w:rsidP="002D538A">
            <w:pPr>
              <w:spacing w:line="360" w:lineRule="exact"/>
              <w:jc w:val="center"/>
              <w:rPr>
                <w:sz w:val="21"/>
                <w:szCs w:val="21"/>
              </w:rPr>
            </w:pPr>
            <w:r w:rsidRPr="005E7F4F">
              <w:rPr>
                <w:rFonts w:hAnsi="宋体" w:hint="eastAsia"/>
                <w:sz w:val="21"/>
                <w:szCs w:val="21"/>
              </w:rPr>
              <w:t>排放量</w:t>
            </w:r>
          </w:p>
          <w:p w:rsidR="00F1395C" w:rsidRPr="005E7F4F" w:rsidRDefault="00F1395C" w:rsidP="00EB2D6C">
            <w:pPr>
              <w:spacing w:line="360" w:lineRule="exact"/>
              <w:jc w:val="center"/>
              <w:rPr>
                <w:sz w:val="21"/>
                <w:szCs w:val="21"/>
              </w:rPr>
            </w:pPr>
            <w:r w:rsidRPr="005E7F4F">
              <w:rPr>
                <w:rFonts w:hAnsi="宋体" w:hint="eastAsia"/>
                <w:sz w:val="21"/>
                <w:szCs w:val="21"/>
              </w:rPr>
              <w:t>（</w:t>
            </w:r>
            <w:r w:rsidRPr="005E7F4F">
              <w:rPr>
                <w:sz w:val="21"/>
                <w:szCs w:val="21"/>
              </w:rPr>
              <w:t>m</w:t>
            </w:r>
            <w:r w:rsidRPr="005E7F4F">
              <w:rPr>
                <w:sz w:val="21"/>
                <w:szCs w:val="21"/>
                <w:vertAlign w:val="superscript"/>
              </w:rPr>
              <w:t>3</w:t>
            </w:r>
            <w:r w:rsidRPr="005E7F4F">
              <w:rPr>
                <w:sz w:val="21"/>
                <w:szCs w:val="21"/>
              </w:rPr>
              <w:t>/</w:t>
            </w:r>
            <w:r w:rsidR="00EB2D6C" w:rsidRPr="005E7F4F">
              <w:rPr>
                <w:rFonts w:hint="eastAsia"/>
                <w:sz w:val="21"/>
                <w:szCs w:val="21"/>
              </w:rPr>
              <w:t>d</w:t>
            </w:r>
            <w:r w:rsidRPr="005E7F4F">
              <w:rPr>
                <w:rFonts w:hAnsi="宋体" w:hint="eastAsia"/>
                <w:sz w:val="21"/>
                <w:szCs w:val="21"/>
              </w:rPr>
              <w:t>）</w:t>
            </w:r>
          </w:p>
        </w:tc>
      </w:tr>
      <w:tr w:rsidR="00F1395C" w:rsidRPr="005E7F4F" w:rsidTr="00EB2D6C">
        <w:trPr>
          <w:trHeight w:val="340"/>
          <w:jc w:val="center"/>
        </w:trPr>
        <w:tc>
          <w:tcPr>
            <w:tcW w:w="1804" w:type="pct"/>
            <w:vMerge/>
            <w:tcBorders>
              <w:top w:val="single" w:sz="12" w:space="0" w:color="auto"/>
              <w:left w:val="single" w:sz="12" w:space="0" w:color="auto"/>
              <w:bottom w:val="single" w:sz="4" w:space="0" w:color="auto"/>
              <w:right w:val="single" w:sz="4" w:space="0" w:color="auto"/>
            </w:tcBorders>
            <w:vAlign w:val="center"/>
          </w:tcPr>
          <w:p w:rsidR="00F1395C" w:rsidRPr="005E7F4F" w:rsidRDefault="00F1395C" w:rsidP="002D538A">
            <w:pPr>
              <w:widowControl/>
              <w:spacing w:line="360" w:lineRule="exact"/>
              <w:jc w:val="left"/>
              <w:rPr>
                <w:sz w:val="21"/>
                <w:szCs w:val="21"/>
              </w:rPr>
            </w:pPr>
          </w:p>
        </w:tc>
        <w:tc>
          <w:tcPr>
            <w:tcW w:w="1108" w:type="pct"/>
            <w:tcBorders>
              <w:top w:val="single" w:sz="4" w:space="0" w:color="auto"/>
              <w:left w:val="single" w:sz="4" w:space="0" w:color="auto"/>
              <w:bottom w:val="single" w:sz="4" w:space="0" w:color="auto"/>
              <w:right w:val="single" w:sz="4" w:space="0" w:color="auto"/>
            </w:tcBorders>
            <w:vAlign w:val="center"/>
          </w:tcPr>
          <w:p w:rsidR="00F1395C" w:rsidRPr="005E7F4F" w:rsidRDefault="00F1395C" w:rsidP="002D538A">
            <w:pPr>
              <w:spacing w:line="360" w:lineRule="exact"/>
              <w:jc w:val="center"/>
              <w:rPr>
                <w:sz w:val="21"/>
                <w:szCs w:val="21"/>
              </w:rPr>
            </w:pPr>
            <w:r w:rsidRPr="005E7F4F">
              <w:rPr>
                <w:sz w:val="21"/>
                <w:szCs w:val="21"/>
              </w:rPr>
              <w:t>COD</w:t>
            </w:r>
          </w:p>
        </w:tc>
        <w:tc>
          <w:tcPr>
            <w:tcW w:w="1220" w:type="pct"/>
            <w:tcBorders>
              <w:top w:val="single" w:sz="4" w:space="0" w:color="auto"/>
              <w:left w:val="single" w:sz="4" w:space="0" w:color="auto"/>
              <w:bottom w:val="single" w:sz="4" w:space="0" w:color="auto"/>
              <w:right w:val="single" w:sz="4" w:space="0" w:color="auto"/>
            </w:tcBorders>
            <w:vAlign w:val="center"/>
          </w:tcPr>
          <w:p w:rsidR="00F1395C" w:rsidRPr="005E7F4F" w:rsidRDefault="00F1395C" w:rsidP="002D538A">
            <w:pPr>
              <w:spacing w:line="360" w:lineRule="exact"/>
              <w:jc w:val="center"/>
              <w:rPr>
                <w:sz w:val="21"/>
                <w:szCs w:val="21"/>
              </w:rPr>
            </w:pPr>
            <w:r w:rsidRPr="005E7F4F">
              <w:rPr>
                <w:sz w:val="21"/>
                <w:szCs w:val="21"/>
              </w:rPr>
              <w:t>NH</w:t>
            </w:r>
            <w:r w:rsidRPr="005E7F4F">
              <w:rPr>
                <w:sz w:val="21"/>
                <w:szCs w:val="21"/>
                <w:vertAlign w:val="subscript"/>
              </w:rPr>
              <w:t>3</w:t>
            </w:r>
            <w:r w:rsidRPr="005E7F4F">
              <w:rPr>
                <w:sz w:val="21"/>
                <w:szCs w:val="21"/>
              </w:rPr>
              <w:t>-N</w:t>
            </w:r>
          </w:p>
        </w:tc>
        <w:tc>
          <w:tcPr>
            <w:tcW w:w="868" w:type="pct"/>
            <w:vMerge/>
            <w:tcBorders>
              <w:top w:val="single" w:sz="12" w:space="0" w:color="auto"/>
              <w:left w:val="single" w:sz="4" w:space="0" w:color="auto"/>
              <w:bottom w:val="single" w:sz="4" w:space="0" w:color="auto"/>
              <w:right w:val="single" w:sz="12" w:space="0" w:color="auto"/>
            </w:tcBorders>
            <w:vAlign w:val="center"/>
          </w:tcPr>
          <w:p w:rsidR="00F1395C" w:rsidRPr="005E7F4F" w:rsidRDefault="00F1395C" w:rsidP="002D538A">
            <w:pPr>
              <w:widowControl/>
              <w:spacing w:line="360" w:lineRule="exact"/>
              <w:jc w:val="left"/>
              <w:rPr>
                <w:sz w:val="21"/>
                <w:szCs w:val="21"/>
              </w:rPr>
            </w:pPr>
          </w:p>
        </w:tc>
      </w:tr>
      <w:tr w:rsidR="00F1395C" w:rsidRPr="005E7F4F" w:rsidTr="00EB2D6C">
        <w:trPr>
          <w:trHeight w:val="340"/>
          <w:jc w:val="center"/>
        </w:trPr>
        <w:tc>
          <w:tcPr>
            <w:tcW w:w="1804" w:type="pct"/>
            <w:tcBorders>
              <w:top w:val="single" w:sz="4" w:space="0" w:color="auto"/>
              <w:left w:val="single" w:sz="12" w:space="0" w:color="auto"/>
              <w:bottom w:val="single" w:sz="4" w:space="0" w:color="auto"/>
              <w:right w:val="single" w:sz="4" w:space="0" w:color="auto"/>
            </w:tcBorders>
            <w:vAlign w:val="center"/>
          </w:tcPr>
          <w:p w:rsidR="00F1395C" w:rsidRPr="005E7F4F" w:rsidRDefault="00F1395C" w:rsidP="002D538A">
            <w:pPr>
              <w:spacing w:line="360" w:lineRule="exact"/>
              <w:jc w:val="center"/>
              <w:rPr>
                <w:sz w:val="21"/>
                <w:szCs w:val="21"/>
              </w:rPr>
            </w:pPr>
            <w:r w:rsidRPr="005E7F4F">
              <w:rPr>
                <w:rFonts w:hAnsi="宋体" w:hint="eastAsia"/>
                <w:sz w:val="21"/>
                <w:szCs w:val="21"/>
              </w:rPr>
              <w:t>正常工况（出水水质）</w:t>
            </w:r>
          </w:p>
        </w:tc>
        <w:tc>
          <w:tcPr>
            <w:tcW w:w="1108" w:type="pct"/>
            <w:tcBorders>
              <w:top w:val="single" w:sz="4" w:space="0" w:color="auto"/>
              <w:left w:val="single" w:sz="4" w:space="0" w:color="auto"/>
              <w:bottom w:val="single" w:sz="4" w:space="0" w:color="auto"/>
              <w:right w:val="single" w:sz="4" w:space="0" w:color="auto"/>
            </w:tcBorders>
            <w:vAlign w:val="center"/>
          </w:tcPr>
          <w:p w:rsidR="00F1395C" w:rsidRPr="005E7F4F" w:rsidRDefault="00EB2D6C" w:rsidP="002D538A">
            <w:pPr>
              <w:spacing w:line="360" w:lineRule="exact"/>
              <w:jc w:val="center"/>
              <w:rPr>
                <w:sz w:val="21"/>
                <w:szCs w:val="21"/>
              </w:rPr>
            </w:pPr>
            <w:r w:rsidRPr="005E7F4F">
              <w:rPr>
                <w:rFonts w:hint="eastAsia"/>
                <w:sz w:val="21"/>
                <w:szCs w:val="21"/>
              </w:rPr>
              <w:t>20</w:t>
            </w:r>
          </w:p>
        </w:tc>
        <w:tc>
          <w:tcPr>
            <w:tcW w:w="1220" w:type="pct"/>
            <w:tcBorders>
              <w:top w:val="single" w:sz="4" w:space="0" w:color="auto"/>
              <w:left w:val="single" w:sz="4" w:space="0" w:color="auto"/>
              <w:bottom w:val="single" w:sz="4" w:space="0" w:color="auto"/>
              <w:right w:val="single" w:sz="4" w:space="0" w:color="auto"/>
            </w:tcBorders>
            <w:vAlign w:val="center"/>
          </w:tcPr>
          <w:p w:rsidR="00F1395C" w:rsidRPr="005E7F4F" w:rsidRDefault="00F1395C" w:rsidP="00EB2D6C">
            <w:pPr>
              <w:spacing w:line="360" w:lineRule="exact"/>
              <w:jc w:val="center"/>
              <w:rPr>
                <w:sz w:val="21"/>
                <w:szCs w:val="21"/>
              </w:rPr>
            </w:pPr>
            <w:r w:rsidRPr="005E7F4F">
              <w:rPr>
                <w:sz w:val="21"/>
                <w:szCs w:val="21"/>
              </w:rPr>
              <w:t>0.</w:t>
            </w:r>
            <w:r w:rsidR="00EB2D6C" w:rsidRPr="005E7F4F">
              <w:rPr>
                <w:rFonts w:hint="eastAsia"/>
                <w:sz w:val="21"/>
                <w:szCs w:val="21"/>
              </w:rPr>
              <w:t>314</w:t>
            </w:r>
          </w:p>
        </w:tc>
        <w:tc>
          <w:tcPr>
            <w:tcW w:w="868" w:type="pct"/>
            <w:tcBorders>
              <w:top w:val="single" w:sz="4" w:space="0" w:color="auto"/>
              <w:left w:val="single" w:sz="4" w:space="0" w:color="auto"/>
              <w:right w:val="single" w:sz="12" w:space="0" w:color="auto"/>
            </w:tcBorders>
            <w:vAlign w:val="center"/>
          </w:tcPr>
          <w:p w:rsidR="00F1395C" w:rsidRPr="002D1343" w:rsidRDefault="00EB2D6C" w:rsidP="002D1343">
            <w:pPr>
              <w:spacing w:line="360" w:lineRule="exact"/>
              <w:jc w:val="center"/>
              <w:rPr>
                <w:b/>
                <w:i/>
                <w:sz w:val="21"/>
                <w:szCs w:val="21"/>
                <w:u w:val="single"/>
              </w:rPr>
            </w:pPr>
            <w:r w:rsidRPr="002D1343">
              <w:rPr>
                <w:rFonts w:hint="eastAsia"/>
                <w:b/>
                <w:i/>
                <w:sz w:val="21"/>
                <w:szCs w:val="21"/>
                <w:u w:val="single"/>
              </w:rPr>
              <w:t>4</w:t>
            </w:r>
            <w:r w:rsidR="002D1343" w:rsidRPr="002D1343">
              <w:rPr>
                <w:rFonts w:hint="eastAsia"/>
                <w:b/>
                <w:i/>
                <w:sz w:val="21"/>
                <w:szCs w:val="21"/>
                <w:u w:val="single"/>
              </w:rPr>
              <w:t>183.9</w:t>
            </w:r>
          </w:p>
        </w:tc>
      </w:tr>
      <w:tr w:rsidR="00F1395C" w:rsidRPr="005E7F4F" w:rsidTr="005E7F4F">
        <w:trPr>
          <w:trHeight w:val="401"/>
          <w:jc w:val="center"/>
        </w:trPr>
        <w:tc>
          <w:tcPr>
            <w:tcW w:w="1804" w:type="pct"/>
            <w:tcBorders>
              <w:top w:val="single" w:sz="4" w:space="0" w:color="auto"/>
              <w:left w:val="single" w:sz="12" w:space="0" w:color="auto"/>
              <w:bottom w:val="single" w:sz="12" w:space="0" w:color="auto"/>
              <w:right w:val="single" w:sz="4" w:space="0" w:color="auto"/>
            </w:tcBorders>
            <w:vAlign w:val="center"/>
          </w:tcPr>
          <w:p w:rsidR="00F1395C" w:rsidRPr="005E7F4F" w:rsidRDefault="00F1395C" w:rsidP="002D538A">
            <w:pPr>
              <w:spacing w:line="360" w:lineRule="exact"/>
              <w:jc w:val="center"/>
              <w:rPr>
                <w:sz w:val="21"/>
                <w:szCs w:val="21"/>
              </w:rPr>
            </w:pPr>
            <w:r w:rsidRPr="005E7F4F">
              <w:rPr>
                <w:rFonts w:hAnsi="宋体" w:hint="eastAsia"/>
                <w:sz w:val="21"/>
                <w:szCs w:val="21"/>
              </w:rPr>
              <w:t>非正常工况（出水水质）</w:t>
            </w:r>
          </w:p>
        </w:tc>
        <w:tc>
          <w:tcPr>
            <w:tcW w:w="1108" w:type="pct"/>
            <w:tcBorders>
              <w:top w:val="single" w:sz="4" w:space="0" w:color="auto"/>
              <w:left w:val="single" w:sz="4" w:space="0" w:color="auto"/>
              <w:bottom w:val="single" w:sz="12" w:space="0" w:color="auto"/>
              <w:right w:val="single" w:sz="4" w:space="0" w:color="auto"/>
            </w:tcBorders>
            <w:vAlign w:val="center"/>
          </w:tcPr>
          <w:p w:rsidR="00F1395C" w:rsidRPr="005E7F4F" w:rsidRDefault="00EB2D6C" w:rsidP="002D538A">
            <w:pPr>
              <w:spacing w:line="360" w:lineRule="exact"/>
              <w:jc w:val="center"/>
              <w:rPr>
                <w:sz w:val="21"/>
                <w:szCs w:val="21"/>
              </w:rPr>
            </w:pPr>
            <w:r w:rsidRPr="005E7F4F">
              <w:rPr>
                <w:rFonts w:hint="eastAsia"/>
                <w:sz w:val="21"/>
                <w:szCs w:val="21"/>
              </w:rPr>
              <w:t>45</w:t>
            </w:r>
          </w:p>
        </w:tc>
        <w:tc>
          <w:tcPr>
            <w:tcW w:w="1220" w:type="pct"/>
            <w:tcBorders>
              <w:top w:val="single" w:sz="4" w:space="0" w:color="auto"/>
              <w:left w:val="single" w:sz="4" w:space="0" w:color="auto"/>
              <w:bottom w:val="single" w:sz="12" w:space="0" w:color="auto"/>
              <w:right w:val="single" w:sz="4" w:space="0" w:color="auto"/>
            </w:tcBorders>
            <w:vAlign w:val="center"/>
          </w:tcPr>
          <w:p w:rsidR="00F1395C" w:rsidRPr="005E7F4F" w:rsidRDefault="00F1395C" w:rsidP="00EB2D6C">
            <w:pPr>
              <w:spacing w:line="360" w:lineRule="exact"/>
              <w:jc w:val="center"/>
              <w:rPr>
                <w:sz w:val="21"/>
                <w:szCs w:val="21"/>
              </w:rPr>
            </w:pPr>
            <w:r w:rsidRPr="005E7F4F">
              <w:rPr>
                <w:rFonts w:hint="eastAsia"/>
                <w:sz w:val="21"/>
                <w:szCs w:val="21"/>
              </w:rPr>
              <w:t>0.</w:t>
            </w:r>
            <w:r w:rsidR="00EB2D6C" w:rsidRPr="005E7F4F">
              <w:rPr>
                <w:rFonts w:hint="eastAsia"/>
                <w:sz w:val="21"/>
                <w:szCs w:val="21"/>
              </w:rPr>
              <w:t>523</w:t>
            </w:r>
          </w:p>
        </w:tc>
        <w:tc>
          <w:tcPr>
            <w:tcW w:w="868" w:type="pct"/>
            <w:tcBorders>
              <w:left w:val="single" w:sz="4" w:space="0" w:color="auto"/>
              <w:bottom w:val="single" w:sz="12" w:space="0" w:color="auto"/>
              <w:right w:val="single" w:sz="12" w:space="0" w:color="auto"/>
            </w:tcBorders>
            <w:vAlign w:val="center"/>
          </w:tcPr>
          <w:p w:rsidR="00F1395C" w:rsidRPr="002D1343" w:rsidRDefault="00EB2D6C" w:rsidP="002D1343">
            <w:pPr>
              <w:spacing w:line="360" w:lineRule="exact"/>
              <w:jc w:val="center"/>
              <w:rPr>
                <w:b/>
                <w:i/>
                <w:sz w:val="21"/>
                <w:szCs w:val="21"/>
                <w:u w:val="single"/>
              </w:rPr>
            </w:pPr>
            <w:r w:rsidRPr="002D1343">
              <w:rPr>
                <w:rFonts w:hint="eastAsia"/>
                <w:b/>
                <w:i/>
                <w:sz w:val="21"/>
                <w:szCs w:val="21"/>
                <w:u w:val="single"/>
              </w:rPr>
              <w:t>4</w:t>
            </w:r>
            <w:r w:rsidR="002D1343" w:rsidRPr="002D1343">
              <w:rPr>
                <w:rFonts w:hint="eastAsia"/>
                <w:b/>
                <w:i/>
                <w:sz w:val="21"/>
                <w:szCs w:val="21"/>
                <w:u w:val="single"/>
              </w:rPr>
              <w:t>6</w:t>
            </w:r>
            <w:r w:rsidRPr="002D1343">
              <w:rPr>
                <w:rFonts w:hint="eastAsia"/>
                <w:b/>
                <w:i/>
                <w:sz w:val="21"/>
                <w:szCs w:val="21"/>
                <w:u w:val="single"/>
              </w:rPr>
              <w:t>56</w:t>
            </w:r>
          </w:p>
        </w:tc>
      </w:tr>
    </w:tbl>
    <w:p w:rsidR="00F1395C" w:rsidRDefault="00F1395C" w:rsidP="00F1395C">
      <w:pPr>
        <w:pStyle w:val="4b"/>
        <w:rPr>
          <w:sz w:val="24"/>
          <w:szCs w:val="24"/>
        </w:rPr>
      </w:pPr>
      <w:r>
        <w:rPr>
          <w:rFonts w:hint="eastAsia"/>
          <w:sz w:val="24"/>
          <w:szCs w:val="24"/>
        </w:rPr>
        <w:t xml:space="preserve">6.2.2.2 </w:t>
      </w:r>
      <w:r>
        <w:rPr>
          <w:rFonts w:hint="eastAsia"/>
          <w:sz w:val="24"/>
          <w:szCs w:val="24"/>
        </w:rPr>
        <w:t>地表水环境预测</w:t>
      </w:r>
    </w:p>
    <w:p w:rsidR="00EB2D6C" w:rsidRDefault="00EB2D6C" w:rsidP="00F1395C">
      <w:pPr>
        <w:spacing w:line="500" w:lineRule="exact"/>
        <w:ind w:firstLine="482"/>
        <w:rPr>
          <w:color w:val="000000"/>
          <w:sz w:val="24"/>
        </w:rPr>
      </w:pPr>
      <w:r>
        <w:rPr>
          <w:rFonts w:hint="eastAsia"/>
          <w:color w:val="000000"/>
          <w:sz w:val="24"/>
        </w:rPr>
        <w:t>升级改造后</w:t>
      </w:r>
      <w:r w:rsidR="002D1343">
        <w:rPr>
          <w:rFonts w:hint="eastAsia"/>
          <w:color w:val="000000"/>
          <w:sz w:val="24"/>
        </w:rPr>
        <w:t>外排废水</w:t>
      </w:r>
      <w:r w:rsidR="00F1395C">
        <w:rPr>
          <w:rFonts w:hint="eastAsia"/>
          <w:color w:val="000000"/>
          <w:sz w:val="24"/>
        </w:rPr>
        <w:t>量为</w:t>
      </w:r>
      <w:r w:rsidR="002D1343" w:rsidRPr="003F0B84">
        <w:rPr>
          <w:rFonts w:hint="eastAsia"/>
          <w:b/>
          <w:i/>
          <w:sz w:val="24"/>
          <w:u w:val="single"/>
        </w:rPr>
        <w:t>4183.9</w:t>
      </w:r>
      <w:r w:rsidR="002D1343" w:rsidRPr="003F0B84">
        <w:rPr>
          <w:b/>
          <w:i/>
          <w:sz w:val="24"/>
          <w:u w:val="single"/>
        </w:rPr>
        <w:t>m</w:t>
      </w:r>
      <w:r w:rsidR="002D1343" w:rsidRPr="003F0B84">
        <w:rPr>
          <w:b/>
          <w:i/>
          <w:sz w:val="24"/>
          <w:u w:val="single"/>
          <w:vertAlign w:val="superscript"/>
        </w:rPr>
        <w:t>3</w:t>
      </w:r>
      <w:r w:rsidR="002D1343" w:rsidRPr="003F0B84">
        <w:rPr>
          <w:b/>
          <w:i/>
          <w:sz w:val="24"/>
          <w:u w:val="single"/>
        </w:rPr>
        <w:t>/d</w:t>
      </w:r>
      <w:r w:rsidR="002D1343" w:rsidRPr="003F0B84">
        <w:rPr>
          <w:b/>
          <w:i/>
          <w:sz w:val="24"/>
          <w:u w:val="single"/>
        </w:rPr>
        <w:t>（</w:t>
      </w:r>
      <w:r w:rsidR="002D1343" w:rsidRPr="003F0B84">
        <w:rPr>
          <w:rFonts w:hint="eastAsia"/>
          <w:b/>
          <w:i/>
          <w:sz w:val="24"/>
          <w:u w:val="single"/>
        </w:rPr>
        <w:t>1527123</w:t>
      </w:r>
      <w:r w:rsidR="002D1343" w:rsidRPr="003F0B84">
        <w:rPr>
          <w:b/>
          <w:i/>
          <w:sz w:val="24"/>
          <w:u w:val="single"/>
        </w:rPr>
        <w:t>.5m</w:t>
      </w:r>
      <w:r w:rsidR="002D1343" w:rsidRPr="003F0B84">
        <w:rPr>
          <w:b/>
          <w:i/>
          <w:sz w:val="24"/>
          <w:u w:val="single"/>
          <w:vertAlign w:val="superscript"/>
        </w:rPr>
        <w:t>3</w:t>
      </w:r>
      <w:r w:rsidR="002D1343" w:rsidRPr="003F0B84">
        <w:rPr>
          <w:b/>
          <w:i/>
          <w:sz w:val="24"/>
          <w:u w:val="single"/>
        </w:rPr>
        <w:t>/a</w:t>
      </w:r>
      <w:r w:rsidR="002D1343" w:rsidRPr="003F0B84">
        <w:rPr>
          <w:b/>
          <w:i/>
          <w:sz w:val="24"/>
          <w:u w:val="single"/>
        </w:rPr>
        <w:t>）</w:t>
      </w:r>
      <w:r w:rsidR="002D1343" w:rsidRPr="005E70E2">
        <w:rPr>
          <w:b/>
          <w:i/>
          <w:sz w:val="24"/>
          <w:u w:val="single"/>
        </w:rPr>
        <w:t>，</w:t>
      </w:r>
      <w:r w:rsidR="00F1395C">
        <w:rPr>
          <w:rFonts w:hint="eastAsia"/>
          <w:color w:val="000000"/>
          <w:sz w:val="24"/>
        </w:rPr>
        <w:t>全部为矿井水，项目排放方式为直接排放</w:t>
      </w:r>
      <w:r w:rsidR="00F1395C" w:rsidRPr="00327DBA">
        <w:rPr>
          <w:rFonts w:hint="eastAsia"/>
          <w:color w:val="000000"/>
          <w:sz w:val="24"/>
        </w:rPr>
        <w:t>，</w:t>
      </w:r>
      <w:r w:rsidR="00F1395C">
        <w:rPr>
          <w:rFonts w:hint="eastAsia"/>
          <w:color w:val="000000"/>
          <w:sz w:val="24"/>
        </w:rPr>
        <w:t>处理达到《地表水环境质量标准》（</w:t>
      </w:r>
      <w:r w:rsidR="00F1395C">
        <w:rPr>
          <w:rFonts w:hint="eastAsia"/>
          <w:color w:val="000000"/>
          <w:sz w:val="24"/>
        </w:rPr>
        <w:t>GB3838-2002</w:t>
      </w:r>
      <w:r w:rsidR="00F1395C">
        <w:rPr>
          <w:rFonts w:hint="eastAsia"/>
          <w:color w:val="000000"/>
          <w:sz w:val="24"/>
        </w:rPr>
        <w:t>）Ⅲ类标准后的外排废水向</w:t>
      </w:r>
      <w:r w:rsidRPr="00327DBA">
        <w:rPr>
          <w:rFonts w:hint="eastAsia"/>
          <w:color w:val="000000"/>
          <w:sz w:val="24"/>
        </w:rPr>
        <w:t>向东北外排</w:t>
      </w:r>
      <w:r w:rsidRPr="00327DBA">
        <w:rPr>
          <w:color w:val="000000"/>
          <w:sz w:val="24"/>
        </w:rPr>
        <w:t>至赵沟河</w:t>
      </w:r>
      <w:r w:rsidRPr="00327DBA">
        <w:rPr>
          <w:rFonts w:hint="eastAsia"/>
          <w:color w:val="000000"/>
          <w:sz w:val="24"/>
        </w:rPr>
        <w:t>2.1km</w:t>
      </w:r>
      <w:r w:rsidRPr="00327DBA">
        <w:rPr>
          <w:rFonts w:hint="eastAsia"/>
          <w:color w:val="000000"/>
          <w:sz w:val="24"/>
        </w:rPr>
        <w:t>→涌泉河</w:t>
      </w:r>
      <w:r w:rsidRPr="00327DBA">
        <w:rPr>
          <w:rFonts w:hint="eastAsia"/>
          <w:color w:val="000000"/>
          <w:sz w:val="24"/>
        </w:rPr>
        <w:t>3.0km</w:t>
      </w:r>
      <w:r w:rsidRPr="00327DBA">
        <w:rPr>
          <w:rFonts w:hint="eastAsia"/>
          <w:color w:val="000000"/>
          <w:sz w:val="24"/>
        </w:rPr>
        <w:t>→纸坊水库</w:t>
      </w:r>
      <w:r w:rsidR="00F1395C">
        <w:rPr>
          <w:rFonts w:hint="eastAsia"/>
          <w:color w:val="000000"/>
          <w:sz w:val="24"/>
        </w:rPr>
        <w:t>。</w:t>
      </w:r>
    </w:p>
    <w:p w:rsidR="00327DBA" w:rsidRDefault="00327DBA" w:rsidP="00327DBA">
      <w:pPr>
        <w:spacing w:line="500" w:lineRule="exact"/>
        <w:ind w:firstLine="482"/>
        <w:rPr>
          <w:sz w:val="24"/>
        </w:rPr>
      </w:pPr>
      <w:r>
        <w:rPr>
          <w:rFonts w:hint="eastAsia"/>
          <w:color w:val="000000"/>
          <w:sz w:val="24"/>
        </w:rPr>
        <w:t>根据调查，</w:t>
      </w:r>
      <w:r>
        <w:rPr>
          <w:sz w:val="24"/>
        </w:rPr>
        <w:t>涌泉河及其支流赵沟河</w:t>
      </w:r>
      <w:r>
        <w:rPr>
          <w:rFonts w:hint="eastAsia"/>
          <w:sz w:val="24"/>
        </w:rPr>
        <w:t>，</w:t>
      </w:r>
      <w:r>
        <w:rPr>
          <w:sz w:val="24"/>
        </w:rPr>
        <w:t>属于颍河支流，均为季节性河流</w:t>
      </w:r>
      <w:r>
        <w:rPr>
          <w:rFonts w:hint="eastAsia"/>
          <w:sz w:val="24"/>
        </w:rPr>
        <w:t>，</w:t>
      </w:r>
      <w:r w:rsidRPr="00327DBA">
        <w:rPr>
          <w:color w:val="000000"/>
          <w:sz w:val="24"/>
        </w:rPr>
        <w:t>平时干涸</w:t>
      </w:r>
      <w:bookmarkStart w:id="522" w:name="baidusnap3"/>
      <w:bookmarkEnd w:id="522"/>
      <w:r w:rsidRPr="00327DBA">
        <w:rPr>
          <w:color w:val="000000"/>
          <w:sz w:val="24"/>
        </w:rPr>
        <w:t>无水</w:t>
      </w:r>
      <w:r>
        <w:rPr>
          <w:rFonts w:hint="eastAsia"/>
          <w:color w:val="000000"/>
          <w:sz w:val="24"/>
        </w:rPr>
        <w:t>，</w:t>
      </w:r>
      <w:r>
        <w:rPr>
          <w:rFonts w:hint="eastAsia"/>
          <w:sz w:val="24"/>
        </w:rPr>
        <w:t>仅在雨</w:t>
      </w:r>
      <w:r w:rsidRPr="00327DBA">
        <w:rPr>
          <w:rFonts w:hint="eastAsia"/>
          <w:color w:val="000000"/>
          <w:sz w:val="24"/>
        </w:rPr>
        <w:t>季</w:t>
      </w:r>
      <w:r w:rsidRPr="00327DBA">
        <w:rPr>
          <w:color w:val="000000"/>
          <w:sz w:val="24"/>
        </w:rPr>
        <w:t>雨时有短暂水流</w:t>
      </w:r>
      <w:r>
        <w:rPr>
          <w:rFonts w:hint="eastAsia"/>
          <w:color w:val="000000"/>
          <w:sz w:val="24"/>
        </w:rPr>
        <w:t>。</w:t>
      </w:r>
      <w:r w:rsidRPr="00327DBA">
        <w:rPr>
          <w:rFonts w:hint="eastAsia"/>
          <w:color w:val="000000"/>
          <w:sz w:val="24"/>
        </w:rPr>
        <w:t>纸坊水库</w:t>
      </w:r>
      <w:r w:rsidR="003F4036">
        <w:rPr>
          <w:rFonts w:ascii="宋体" w:hAnsi="宋体" w:hint="eastAsia"/>
          <w:color w:val="000000"/>
          <w:sz w:val="24"/>
        </w:rPr>
        <w:t>总库容</w:t>
      </w:r>
      <w:r w:rsidR="003F4036">
        <w:rPr>
          <w:sz w:val="24"/>
        </w:rPr>
        <w:t>4425.5</w:t>
      </w:r>
      <w:r w:rsidR="003F4036">
        <w:rPr>
          <w:rFonts w:ascii="宋体" w:hAnsi="宋体" w:hint="eastAsia"/>
          <w:color w:val="000000"/>
          <w:sz w:val="24"/>
        </w:rPr>
        <w:t>万立方米，</w:t>
      </w:r>
      <w:r w:rsidR="003F4036">
        <w:rPr>
          <w:sz w:val="24"/>
        </w:rPr>
        <w:t>是一座以防洪、灌溉为主的中型水库</w:t>
      </w:r>
      <w:r w:rsidR="003F4036">
        <w:rPr>
          <w:rFonts w:hint="eastAsia"/>
          <w:sz w:val="24"/>
        </w:rPr>
        <w:t>，其</w:t>
      </w:r>
      <w:r>
        <w:rPr>
          <w:rFonts w:hint="eastAsia"/>
          <w:color w:val="000000"/>
          <w:sz w:val="24"/>
        </w:rPr>
        <w:t>在</w:t>
      </w:r>
      <w:r>
        <w:rPr>
          <w:rFonts w:hint="eastAsia"/>
          <w:color w:val="000000"/>
          <w:sz w:val="24"/>
        </w:rPr>
        <w:t>2014</w:t>
      </w:r>
      <w:r>
        <w:rPr>
          <w:rFonts w:hint="eastAsia"/>
          <w:color w:val="000000"/>
          <w:sz w:val="24"/>
        </w:rPr>
        <w:t>年</w:t>
      </w:r>
      <w:r>
        <w:rPr>
          <w:rFonts w:hint="eastAsia"/>
          <w:color w:val="000000"/>
          <w:sz w:val="24"/>
        </w:rPr>
        <w:t>8</w:t>
      </w:r>
      <w:r>
        <w:rPr>
          <w:rFonts w:hint="eastAsia"/>
          <w:color w:val="000000"/>
          <w:sz w:val="24"/>
        </w:rPr>
        <w:t>月后就逐渐干枯，</w:t>
      </w:r>
      <w:r w:rsidR="00A01EC8">
        <w:rPr>
          <w:rFonts w:hint="eastAsia"/>
          <w:color w:val="000000"/>
          <w:sz w:val="24"/>
        </w:rPr>
        <w:t>本次环境影响调查期间</w:t>
      </w:r>
      <w:r>
        <w:rPr>
          <w:rFonts w:hint="eastAsia"/>
          <w:color w:val="000000"/>
          <w:sz w:val="24"/>
        </w:rPr>
        <w:t>库区</w:t>
      </w:r>
      <w:r w:rsidR="00A01EC8">
        <w:rPr>
          <w:rFonts w:hint="eastAsia"/>
          <w:color w:val="000000"/>
          <w:sz w:val="24"/>
        </w:rPr>
        <w:t>无水，目前库区大部分被野生杂草覆盖，另有部分人工种植的作物。</w:t>
      </w:r>
    </w:p>
    <w:p w:rsidR="003F4036" w:rsidRDefault="003F4036" w:rsidP="00A01EC8">
      <w:pPr>
        <w:spacing w:line="500" w:lineRule="exact"/>
        <w:ind w:firstLine="482"/>
        <w:rPr>
          <w:color w:val="000000"/>
          <w:sz w:val="24"/>
        </w:rPr>
      </w:pPr>
      <w:r>
        <w:rPr>
          <w:rFonts w:hint="eastAsia"/>
          <w:color w:val="000000"/>
          <w:sz w:val="24"/>
        </w:rPr>
        <w:t>鉴于</w:t>
      </w:r>
      <w:r w:rsidR="00A01EC8">
        <w:rPr>
          <w:rFonts w:hint="eastAsia"/>
          <w:color w:val="000000"/>
          <w:sz w:val="24"/>
        </w:rPr>
        <w:t>以上情况，本次地表水预测</w:t>
      </w:r>
      <w:r>
        <w:rPr>
          <w:rFonts w:hint="eastAsia"/>
          <w:color w:val="000000"/>
          <w:sz w:val="24"/>
        </w:rPr>
        <w:t>，针对矿井水排入</w:t>
      </w:r>
      <w:r w:rsidRPr="00327DBA">
        <w:rPr>
          <w:color w:val="000000"/>
          <w:sz w:val="24"/>
        </w:rPr>
        <w:t>赵沟河</w:t>
      </w:r>
      <w:r>
        <w:rPr>
          <w:rFonts w:hint="eastAsia"/>
          <w:color w:val="000000"/>
          <w:sz w:val="24"/>
        </w:rPr>
        <w:t>、</w:t>
      </w:r>
      <w:r w:rsidRPr="00327DBA">
        <w:rPr>
          <w:rFonts w:hint="eastAsia"/>
          <w:color w:val="000000"/>
          <w:sz w:val="24"/>
        </w:rPr>
        <w:t>涌泉河</w:t>
      </w:r>
      <w:r>
        <w:rPr>
          <w:rFonts w:hint="eastAsia"/>
          <w:color w:val="000000"/>
          <w:sz w:val="24"/>
        </w:rPr>
        <w:t>，沿途渗漏情况下，预测到</w:t>
      </w:r>
      <w:r w:rsidRPr="00327DBA">
        <w:rPr>
          <w:rFonts w:hint="eastAsia"/>
          <w:color w:val="000000"/>
          <w:sz w:val="24"/>
        </w:rPr>
        <w:t>纸坊水库</w:t>
      </w:r>
      <w:r>
        <w:rPr>
          <w:rFonts w:hint="eastAsia"/>
          <w:color w:val="000000"/>
          <w:sz w:val="24"/>
        </w:rPr>
        <w:t>的水量、水质。</w:t>
      </w:r>
    </w:p>
    <w:p w:rsidR="00F1395C" w:rsidRDefault="00F1395C" w:rsidP="00F1395C">
      <w:pPr>
        <w:spacing w:line="500" w:lineRule="exact"/>
        <w:ind w:firstLine="482"/>
        <w:rPr>
          <w:color w:val="000000"/>
          <w:sz w:val="24"/>
        </w:rPr>
      </w:pPr>
      <w:r>
        <w:rPr>
          <w:rFonts w:hint="eastAsia"/>
          <w:color w:val="000000"/>
          <w:sz w:val="24"/>
        </w:rPr>
        <w:t>（</w:t>
      </w:r>
      <w:r>
        <w:rPr>
          <w:rFonts w:hint="eastAsia"/>
          <w:color w:val="000000"/>
          <w:sz w:val="24"/>
        </w:rPr>
        <w:t>1</w:t>
      </w:r>
      <w:r>
        <w:rPr>
          <w:rFonts w:hint="eastAsia"/>
          <w:color w:val="000000"/>
          <w:sz w:val="24"/>
        </w:rPr>
        <w:t>）预测因子、预测时段</w:t>
      </w:r>
    </w:p>
    <w:p w:rsidR="00F1395C" w:rsidRDefault="00F1395C" w:rsidP="00F1395C">
      <w:pPr>
        <w:spacing w:line="500" w:lineRule="exact"/>
        <w:ind w:firstLine="482"/>
        <w:rPr>
          <w:color w:val="000000"/>
          <w:sz w:val="24"/>
        </w:rPr>
      </w:pPr>
      <w:r>
        <w:rPr>
          <w:rFonts w:hint="eastAsia"/>
          <w:color w:val="000000"/>
          <w:sz w:val="24"/>
        </w:rPr>
        <w:t>根据污水来源及工程排污特征，预测对受纳水体</w:t>
      </w:r>
      <w:r w:rsidR="005E7F4F">
        <w:rPr>
          <w:rFonts w:hint="eastAsia"/>
          <w:color w:val="000000"/>
          <w:sz w:val="24"/>
        </w:rPr>
        <w:t>纸坊</w:t>
      </w:r>
      <w:r>
        <w:rPr>
          <w:rFonts w:hint="eastAsia"/>
          <w:color w:val="000000"/>
          <w:sz w:val="24"/>
        </w:rPr>
        <w:t>水库的影响程度，并按照水质参数排序以及国家对总量控制的指标要求，选取与地表水环境影响关系密切的因子，因此本次评价选定</w:t>
      </w:r>
      <w:r>
        <w:rPr>
          <w:rFonts w:hint="eastAsia"/>
          <w:color w:val="000000"/>
          <w:sz w:val="24"/>
        </w:rPr>
        <w:t>COD</w:t>
      </w:r>
      <w:r>
        <w:rPr>
          <w:rFonts w:hint="eastAsia"/>
          <w:color w:val="000000"/>
          <w:sz w:val="24"/>
        </w:rPr>
        <w:t>、</w:t>
      </w:r>
      <w:r>
        <w:rPr>
          <w:rFonts w:hint="eastAsia"/>
          <w:color w:val="000000"/>
          <w:sz w:val="24"/>
        </w:rPr>
        <w:t>NH</w:t>
      </w:r>
      <w:r>
        <w:rPr>
          <w:rFonts w:hint="eastAsia"/>
          <w:color w:val="000000"/>
          <w:sz w:val="24"/>
          <w:vertAlign w:val="subscript"/>
        </w:rPr>
        <w:t>3</w:t>
      </w:r>
      <w:r>
        <w:rPr>
          <w:rFonts w:hint="eastAsia"/>
          <w:color w:val="000000"/>
          <w:sz w:val="24"/>
        </w:rPr>
        <w:t>-N</w:t>
      </w:r>
      <w:r>
        <w:rPr>
          <w:rFonts w:hint="eastAsia"/>
          <w:color w:val="000000"/>
          <w:sz w:val="24"/>
        </w:rPr>
        <w:t>作为预测因子。</w:t>
      </w:r>
    </w:p>
    <w:p w:rsidR="00F1395C" w:rsidRDefault="00F1395C" w:rsidP="00F1395C">
      <w:pPr>
        <w:spacing w:line="500" w:lineRule="exact"/>
        <w:ind w:firstLine="482"/>
        <w:rPr>
          <w:color w:val="000000"/>
          <w:sz w:val="24"/>
        </w:rPr>
      </w:pPr>
      <w:r>
        <w:rPr>
          <w:rFonts w:hint="eastAsia"/>
          <w:color w:val="000000"/>
          <w:sz w:val="24"/>
        </w:rPr>
        <w:t>（</w:t>
      </w:r>
      <w:r>
        <w:rPr>
          <w:rFonts w:hint="eastAsia"/>
          <w:color w:val="000000"/>
          <w:sz w:val="24"/>
        </w:rPr>
        <w:t>2</w:t>
      </w:r>
      <w:r>
        <w:rPr>
          <w:rFonts w:hint="eastAsia"/>
          <w:color w:val="000000"/>
          <w:sz w:val="24"/>
        </w:rPr>
        <w:t>）预测情景</w:t>
      </w:r>
    </w:p>
    <w:p w:rsidR="00F1395C" w:rsidRPr="003F4036" w:rsidRDefault="00F1395C" w:rsidP="003F4036">
      <w:pPr>
        <w:spacing w:line="520" w:lineRule="exact"/>
        <w:ind w:firstLine="482"/>
        <w:rPr>
          <w:color w:val="000000"/>
          <w:sz w:val="24"/>
        </w:rPr>
      </w:pPr>
      <w:r w:rsidRPr="003F4036">
        <w:rPr>
          <w:rFonts w:hint="eastAsia"/>
          <w:color w:val="000000"/>
          <w:sz w:val="24"/>
        </w:rPr>
        <w:t>本项目预测情景为运营期的正常工况下排放、非正常工况下排放。</w:t>
      </w:r>
    </w:p>
    <w:p w:rsidR="00F1395C" w:rsidRPr="003F4036" w:rsidRDefault="00F1395C" w:rsidP="003F4036">
      <w:pPr>
        <w:spacing w:line="520" w:lineRule="exact"/>
        <w:ind w:firstLine="482"/>
        <w:rPr>
          <w:color w:val="000000"/>
          <w:sz w:val="24"/>
        </w:rPr>
      </w:pPr>
      <w:r w:rsidRPr="003F4036">
        <w:rPr>
          <w:rFonts w:hint="eastAsia"/>
          <w:color w:val="000000"/>
          <w:sz w:val="24"/>
        </w:rPr>
        <w:t>（</w:t>
      </w:r>
      <w:r w:rsidR="006272AA" w:rsidRPr="003F4036">
        <w:rPr>
          <w:rFonts w:hint="eastAsia"/>
          <w:color w:val="000000"/>
          <w:sz w:val="24"/>
        </w:rPr>
        <w:t>3</w:t>
      </w:r>
      <w:r w:rsidRPr="003F4036">
        <w:rPr>
          <w:rFonts w:hint="eastAsia"/>
          <w:color w:val="000000"/>
          <w:sz w:val="24"/>
        </w:rPr>
        <w:t>）</w:t>
      </w:r>
      <w:r w:rsidR="003F4036" w:rsidRPr="00680AF8">
        <w:rPr>
          <w:color w:val="000000"/>
          <w:sz w:val="24"/>
        </w:rPr>
        <w:t>入纸坊水库废污水量的计算</w:t>
      </w:r>
    </w:p>
    <w:p w:rsidR="003F4036" w:rsidRPr="003F4036" w:rsidRDefault="003F4036" w:rsidP="003F4036">
      <w:pPr>
        <w:pStyle w:val="ae"/>
        <w:spacing w:line="520" w:lineRule="exact"/>
        <w:ind w:firstLine="568"/>
        <w:rPr>
          <w:rFonts w:hAnsi="宋体"/>
          <w:sz w:val="24"/>
          <w:szCs w:val="24"/>
        </w:rPr>
      </w:pPr>
      <w:r>
        <w:rPr>
          <w:rFonts w:hAnsi="宋体" w:hint="eastAsia"/>
          <w:sz w:val="24"/>
        </w:rPr>
        <w:t>河道</w:t>
      </w:r>
      <w:r w:rsidRPr="003F4036">
        <w:rPr>
          <w:rFonts w:hAnsi="宋体" w:hint="eastAsia"/>
          <w:sz w:val="24"/>
          <w:szCs w:val="24"/>
        </w:rPr>
        <w:t>渗漏量主要与河床的土壤性质、水文地质条件、</w:t>
      </w:r>
      <w:r w:rsidRPr="003F4036">
        <w:rPr>
          <w:rFonts w:hAnsi="宋体" w:hint="eastAsia"/>
          <w:color w:val="000000"/>
          <w:sz w:val="24"/>
          <w:szCs w:val="24"/>
        </w:rPr>
        <w:t>渠道湿周</w:t>
      </w:r>
      <w:r w:rsidRPr="003F4036">
        <w:rPr>
          <w:rFonts w:hAnsi="宋体" w:hint="eastAsia"/>
          <w:sz w:val="24"/>
          <w:szCs w:val="24"/>
        </w:rPr>
        <w:t>、流量及输水时间等因素有关，</w:t>
      </w:r>
      <w:r>
        <w:rPr>
          <w:rFonts w:hAnsi="宋体" w:hint="eastAsia"/>
          <w:sz w:val="24"/>
          <w:szCs w:val="24"/>
        </w:rPr>
        <w:t>本项目</w:t>
      </w:r>
      <w:r w:rsidRPr="003F4036">
        <w:rPr>
          <w:rFonts w:hAnsi="宋体" w:hint="eastAsia"/>
          <w:sz w:val="24"/>
          <w:szCs w:val="24"/>
        </w:rPr>
        <w:t>渗漏量初期主要为自由渗漏，一般情况下为顶托渗漏，因此，</w:t>
      </w:r>
      <w:r w:rsidRPr="003F4036">
        <w:rPr>
          <w:rFonts w:hAnsi="宋体" w:hint="eastAsia"/>
          <w:sz w:val="24"/>
          <w:szCs w:val="24"/>
        </w:rPr>
        <w:lastRenderedPageBreak/>
        <w:t>本评价计算其顶托渗漏以校核污水入</w:t>
      </w:r>
      <w:r w:rsidRPr="00680AF8">
        <w:rPr>
          <w:color w:val="000000"/>
          <w:sz w:val="24"/>
        </w:rPr>
        <w:t>纸坊水库</w:t>
      </w:r>
      <w:r>
        <w:rPr>
          <w:rFonts w:hint="eastAsia"/>
          <w:color w:val="000000"/>
          <w:sz w:val="24"/>
        </w:rPr>
        <w:t>水量</w:t>
      </w:r>
      <w:r w:rsidRPr="003F4036">
        <w:rPr>
          <w:rFonts w:hAnsi="宋体" w:hint="eastAsia"/>
          <w:sz w:val="24"/>
          <w:szCs w:val="24"/>
        </w:rPr>
        <w:t>。</w:t>
      </w:r>
    </w:p>
    <w:p w:rsidR="003F4036" w:rsidRPr="003F4036" w:rsidRDefault="003F4036" w:rsidP="003F4036">
      <w:pPr>
        <w:pStyle w:val="ae"/>
        <w:spacing w:line="520" w:lineRule="exact"/>
        <w:ind w:firstLine="568"/>
        <w:rPr>
          <w:rFonts w:hAnsi="宋体"/>
          <w:sz w:val="24"/>
          <w:szCs w:val="24"/>
        </w:rPr>
      </w:pPr>
      <w:r w:rsidRPr="003F4036">
        <w:rPr>
          <w:rFonts w:hAnsi="宋体" w:hint="eastAsia"/>
          <w:sz w:val="24"/>
          <w:szCs w:val="24"/>
        </w:rPr>
        <w:t xml:space="preserve">顶托渗漏采用自由渗漏结果乘以顶托渗漏校正系数 </w:t>
      </w:r>
      <w:r w:rsidRPr="003F4036">
        <w:rPr>
          <w:rFonts w:hAnsi="宋体"/>
          <w:position w:val="-4"/>
          <w:sz w:val="24"/>
          <w:szCs w:val="24"/>
        </w:rPr>
        <w:object w:dxaOrig="180" w:dyaOrig="200">
          <v:shape id="_x0000_i1051" type="#_x0000_t75" style="width:9pt;height:9.75pt" o:ole="">
            <v:imagedata r:id="rId84" o:title=""/>
          </v:shape>
          <o:OLEObject Type="Embed" ProgID="Equations" ShapeID="_x0000_i1051" DrawAspect="Content" ObjectID="_1695746914" r:id="rId85"/>
        </w:object>
      </w:r>
      <w:r w:rsidRPr="003F4036">
        <w:rPr>
          <w:rFonts w:hAnsi="宋体" w:hint="eastAsia"/>
          <w:sz w:val="24"/>
          <w:szCs w:val="24"/>
        </w:rPr>
        <w:t>的方法求得。自由渗漏量的计算采用A.H考斯加可夫公式：</w:t>
      </w:r>
    </w:p>
    <w:p w:rsidR="003F4036" w:rsidRPr="003F4036" w:rsidRDefault="003F4036" w:rsidP="003F4036">
      <w:pPr>
        <w:pStyle w:val="ae"/>
        <w:spacing w:line="520" w:lineRule="exact"/>
        <w:ind w:left="718"/>
        <w:rPr>
          <w:rFonts w:hAnsi="宋体"/>
          <w:sz w:val="24"/>
          <w:szCs w:val="24"/>
        </w:rPr>
      </w:pPr>
      <w:r w:rsidRPr="003F4036">
        <w:rPr>
          <w:rFonts w:hAnsi="宋体" w:hint="eastAsia"/>
          <w:sz w:val="24"/>
          <w:szCs w:val="24"/>
        </w:rPr>
        <w:t>A.H考斯加可夫公式：</w:t>
      </w:r>
    </w:p>
    <w:p w:rsidR="003F4036" w:rsidRPr="003F4036" w:rsidRDefault="003F4036" w:rsidP="003F4036">
      <w:pPr>
        <w:pStyle w:val="ae"/>
        <w:spacing w:before="156" w:after="120" w:line="520" w:lineRule="exact"/>
        <w:ind w:left="720"/>
        <w:rPr>
          <w:rFonts w:hAnsi="宋体"/>
          <w:sz w:val="24"/>
          <w:szCs w:val="24"/>
        </w:rPr>
      </w:pPr>
      <w:r w:rsidRPr="003F4036">
        <w:rPr>
          <w:rFonts w:hAnsi="宋体" w:hint="eastAsia"/>
          <w:sz w:val="24"/>
          <w:szCs w:val="24"/>
        </w:rPr>
        <w:t xml:space="preserve">  </w:t>
      </w:r>
      <w:r w:rsidRPr="003F4036">
        <w:rPr>
          <w:rFonts w:hAnsi="宋体"/>
          <w:position w:val="-10"/>
          <w:sz w:val="24"/>
          <w:szCs w:val="24"/>
        </w:rPr>
        <w:object w:dxaOrig="180" w:dyaOrig="340">
          <v:shape id="_x0000_i1052" type="#_x0000_t75" style="width:9pt;height:17.25pt" o:ole="">
            <v:imagedata r:id="rId86" o:title=""/>
          </v:shape>
          <o:OLEObject Type="Embed" ProgID="Equations" ShapeID="_x0000_i1052" DrawAspect="Content" ObjectID="_1695746915" r:id="rId87"/>
        </w:object>
      </w:r>
      <w:r w:rsidRPr="003F4036">
        <w:rPr>
          <w:rFonts w:hAnsi="宋体" w:hint="eastAsia"/>
          <w:sz w:val="24"/>
          <w:szCs w:val="24"/>
        </w:rPr>
        <w:t xml:space="preserve">     </w:t>
      </w:r>
      <w:r w:rsidRPr="003F4036">
        <w:rPr>
          <w:rFonts w:hAnsi="宋体"/>
          <w:position w:val="-24"/>
          <w:sz w:val="24"/>
          <w:szCs w:val="24"/>
        </w:rPr>
        <w:object w:dxaOrig="1500" w:dyaOrig="660">
          <v:shape id="_x0000_i1053" type="#_x0000_t75" style="width:74.25pt;height:33.75pt" o:ole="">
            <v:imagedata r:id="rId88" o:title=""/>
          </v:shape>
          <o:OLEObject Type="Embed" ProgID="Equations" ShapeID="_x0000_i1053" DrawAspect="Content" ObjectID="_1695746916" r:id="rId89"/>
        </w:object>
      </w:r>
      <w:r w:rsidRPr="003F4036">
        <w:rPr>
          <w:rFonts w:hAnsi="宋体" w:hint="eastAsia"/>
          <w:sz w:val="24"/>
          <w:szCs w:val="24"/>
        </w:rPr>
        <w:t xml:space="preserve"> (m</w:t>
      </w:r>
      <w:r w:rsidRPr="003F4036">
        <w:rPr>
          <w:rFonts w:hAnsi="宋体" w:hint="eastAsia"/>
          <w:sz w:val="24"/>
          <w:szCs w:val="24"/>
          <w:vertAlign w:val="superscript"/>
        </w:rPr>
        <w:t>3</w:t>
      </w:r>
      <w:r w:rsidRPr="003F4036">
        <w:rPr>
          <w:rFonts w:hAnsi="宋体" w:hint="eastAsia"/>
          <w:sz w:val="24"/>
          <w:szCs w:val="24"/>
        </w:rPr>
        <w:t>/s.km)</w:t>
      </w:r>
    </w:p>
    <w:p w:rsidR="003F4036" w:rsidRPr="003F4036" w:rsidRDefault="003F4036" w:rsidP="003F4036">
      <w:pPr>
        <w:pStyle w:val="ae"/>
        <w:tabs>
          <w:tab w:val="num" w:pos="1438"/>
          <w:tab w:val="num" w:pos="1798"/>
        </w:tabs>
        <w:spacing w:line="520" w:lineRule="exact"/>
        <w:ind w:firstLineChars="200" w:firstLine="480"/>
        <w:rPr>
          <w:rFonts w:hAnsi="宋体"/>
          <w:sz w:val="24"/>
          <w:szCs w:val="24"/>
        </w:rPr>
      </w:pPr>
      <w:r w:rsidRPr="003F4036">
        <w:rPr>
          <w:rFonts w:hAnsi="宋体" w:hint="eastAsia"/>
          <w:sz w:val="24"/>
          <w:szCs w:val="24"/>
        </w:rPr>
        <w:t xml:space="preserve">式中  </w:t>
      </w:r>
      <w:r w:rsidRPr="003F4036">
        <w:rPr>
          <w:rFonts w:hAnsi="宋体"/>
          <w:position w:val="-6"/>
          <w:sz w:val="24"/>
          <w:szCs w:val="24"/>
        </w:rPr>
        <w:object w:dxaOrig="220" w:dyaOrig="279">
          <v:shape id="_x0000_i1054" type="#_x0000_t75" style="width:9.75pt;height:13.5pt" o:ole="" o:bullet="t">
            <v:imagedata r:id="rId90" o:title=""/>
          </v:shape>
          <o:OLEObject Type="Embed" ProgID="Equations" ShapeID="_x0000_i1054" DrawAspect="Content" ObjectID="_1695746917" r:id="rId91"/>
        </w:object>
      </w:r>
      <w:r w:rsidRPr="003F4036">
        <w:rPr>
          <w:rFonts w:hAnsi="宋体" w:hint="eastAsia"/>
          <w:sz w:val="24"/>
          <w:szCs w:val="24"/>
        </w:rPr>
        <w:t>—</w:t>
      </w:r>
      <w:r>
        <w:rPr>
          <w:rFonts w:hAnsi="宋体" w:hint="eastAsia"/>
          <w:sz w:val="24"/>
        </w:rPr>
        <w:t>河道</w:t>
      </w:r>
      <w:r w:rsidRPr="003F4036">
        <w:rPr>
          <w:rFonts w:hAnsi="宋体" w:hint="eastAsia"/>
          <w:sz w:val="24"/>
          <w:szCs w:val="24"/>
        </w:rPr>
        <w:t>顶托渗漏损失量(m</w:t>
      </w:r>
      <w:r w:rsidRPr="003F4036">
        <w:rPr>
          <w:rFonts w:hAnsi="宋体" w:hint="eastAsia"/>
          <w:sz w:val="24"/>
          <w:szCs w:val="24"/>
          <w:vertAlign w:val="superscript"/>
        </w:rPr>
        <w:t>3</w:t>
      </w:r>
      <w:r w:rsidRPr="003F4036">
        <w:rPr>
          <w:rFonts w:hAnsi="宋体" w:hint="eastAsia"/>
          <w:sz w:val="24"/>
          <w:szCs w:val="24"/>
        </w:rPr>
        <w:t>/s.km)；</w:t>
      </w:r>
    </w:p>
    <w:p w:rsidR="003F4036" w:rsidRPr="003F4036" w:rsidRDefault="003F4036" w:rsidP="003F4036">
      <w:pPr>
        <w:pStyle w:val="ae"/>
        <w:tabs>
          <w:tab w:val="num" w:pos="1798"/>
          <w:tab w:val="num" w:pos="2158"/>
        </w:tabs>
        <w:spacing w:line="520" w:lineRule="exact"/>
        <w:ind w:firstLine="1204"/>
        <w:rPr>
          <w:rFonts w:hAnsi="宋体"/>
          <w:sz w:val="24"/>
          <w:szCs w:val="24"/>
        </w:rPr>
      </w:pPr>
      <w:r w:rsidRPr="003F4036">
        <w:rPr>
          <w:rFonts w:hAnsi="宋体"/>
          <w:position w:val="-10"/>
          <w:sz w:val="24"/>
          <w:szCs w:val="24"/>
        </w:rPr>
        <w:object w:dxaOrig="240" w:dyaOrig="320">
          <v:shape id="_x0000_i1055" type="#_x0000_t75" style="width:12.75pt;height:16.5pt" o:ole="" o:bullet="t">
            <v:imagedata r:id="rId92" o:title=""/>
          </v:shape>
          <o:OLEObject Type="Embed" ProgID="Equations" ShapeID="_x0000_i1055" DrawAspect="Content" ObjectID="_1695746918" r:id="rId93"/>
        </w:object>
      </w:r>
      <w:r w:rsidRPr="003F4036">
        <w:rPr>
          <w:rFonts w:hAnsi="宋体" w:hint="eastAsia"/>
          <w:sz w:val="24"/>
          <w:szCs w:val="24"/>
        </w:rPr>
        <w:t>—</w:t>
      </w:r>
      <w:r>
        <w:rPr>
          <w:rFonts w:hAnsi="宋体" w:hint="eastAsia"/>
          <w:sz w:val="24"/>
        </w:rPr>
        <w:t>河道</w:t>
      </w:r>
      <w:r w:rsidRPr="003F4036">
        <w:rPr>
          <w:rFonts w:hAnsi="宋体" w:hint="eastAsia"/>
          <w:sz w:val="24"/>
          <w:szCs w:val="24"/>
        </w:rPr>
        <w:t>水净流量；</w:t>
      </w:r>
    </w:p>
    <w:p w:rsidR="003F4036" w:rsidRPr="003F4036" w:rsidRDefault="003F4036" w:rsidP="003F4036">
      <w:pPr>
        <w:pStyle w:val="ae"/>
        <w:tabs>
          <w:tab w:val="num" w:pos="2158"/>
        </w:tabs>
        <w:spacing w:line="520" w:lineRule="exact"/>
        <w:rPr>
          <w:rFonts w:hAnsi="宋体"/>
          <w:sz w:val="24"/>
          <w:szCs w:val="24"/>
        </w:rPr>
      </w:pPr>
      <w:r w:rsidRPr="003F4036">
        <w:rPr>
          <w:rFonts w:hAnsi="宋体" w:hint="eastAsia"/>
          <w:sz w:val="24"/>
          <w:szCs w:val="24"/>
        </w:rPr>
        <w:t xml:space="preserve">          A、m—系数和指数，根据河道土壤情况，A=1.85，</w:t>
      </w:r>
      <w:r w:rsidRPr="003F4036">
        <w:rPr>
          <w:rFonts w:hAnsi="宋体"/>
          <w:position w:val="-6"/>
          <w:sz w:val="24"/>
          <w:szCs w:val="24"/>
        </w:rPr>
        <w:object w:dxaOrig="920" w:dyaOrig="279">
          <v:shape id="_x0000_i1056" type="#_x0000_t75" style="width:45.75pt;height:13.5pt" o:ole="">
            <v:imagedata r:id="rId94" o:title=""/>
          </v:shape>
          <o:OLEObject Type="Embed" ProgID="Equations" ShapeID="_x0000_i1056" DrawAspect="Content" ObjectID="_1695746919" r:id="rId95"/>
        </w:object>
      </w:r>
      <w:r w:rsidRPr="003F4036">
        <w:rPr>
          <w:rFonts w:hAnsi="宋体" w:hint="eastAsia"/>
          <w:sz w:val="24"/>
          <w:szCs w:val="24"/>
        </w:rPr>
        <w:t>；</w:t>
      </w:r>
    </w:p>
    <w:p w:rsidR="003F4036" w:rsidRPr="003F4036" w:rsidRDefault="003F4036" w:rsidP="003F4036">
      <w:pPr>
        <w:spacing w:line="520" w:lineRule="exact"/>
        <w:rPr>
          <w:rFonts w:ascii="宋体" w:hAnsi="宋体"/>
          <w:sz w:val="24"/>
        </w:rPr>
      </w:pPr>
      <w:r w:rsidRPr="003F4036">
        <w:rPr>
          <w:rFonts w:ascii="宋体" w:hAnsi="宋体" w:hint="eastAsia"/>
          <w:sz w:val="24"/>
        </w:rPr>
        <w:t xml:space="preserve">          </w:t>
      </w:r>
      <w:r w:rsidRPr="003F4036">
        <w:rPr>
          <w:rFonts w:ascii="宋体" w:hAnsi="宋体"/>
          <w:position w:val="-4"/>
          <w:sz w:val="24"/>
        </w:rPr>
        <w:object w:dxaOrig="180" w:dyaOrig="200">
          <v:shape id="_x0000_i1057" type="#_x0000_t75" style="width:9pt;height:9.75pt" o:ole="">
            <v:imagedata r:id="rId84" o:title=""/>
          </v:shape>
          <o:OLEObject Type="Embed" ProgID="Equations" ShapeID="_x0000_i1057" DrawAspect="Content" ObjectID="_1695746920" r:id="rId96"/>
        </w:object>
      </w:r>
      <w:r w:rsidRPr="003F4036">
        <w:rPr>
          <w:rFonts w:ascii="宋体" w:hAnsi="宋体" w:hint="eastAsia"/>
          <w:sz w:val="24"/>
        </w:rPr>
        <w:t>—顶托渗漏校正系数，根据当地情况取0.76。</w:t>
      </w:r>
    </w:p>
    <w:p w:rsidR="003F4036" w:rsidRPr="003B1083" w:rsidRDefault="003F4036" w:rsidP="003F4036">
      <w:pPr>
        <w:tabs>
          <w:tab w:val="num" w:pos="720"/>
        </w:tabs>
        <w:spacing w:line="520" w:lineRule="exact"/>
        <w:ind w:firstLine="570"/>
        <w:rPr>
          <w:sz w:val="24"/>
        </w:rPr>
      </w:pPr>
      <w:r w:rsidRPr="003B1083">
        <w:rPr>
          <w:rFonts w:hAnsi="宋体"/>
          <w:sz w:val="24"/>
        </w:rPr>
        <w:t>由于河道平时无水，矿井水通过</w:t>
      </w:r>
      <w:r w:rsidRPr="003B1083">
        <w:rPr>
          <w:color w:val="000000"/>
          <w:sz w:val="24"/>
        </w:rPr>
        <w:t>赵沟河、涌泉河入纸坊水库</w:t>
      </w:r>
      <w:r w:rsidRPr="003B1083">
        <w:rPr>
          <w:rFonts w:hAnsi="宋体"/>
          <w:sz w:val="24"/>
        </w:rPr>
        <w:t>，目前其河水流量及可按矿井排水量计算。</w:t>
      </w:r>
    </w:p>
    <w:p w:rsidR="003F4036" w:rsidRPr="003B1083" w:rsidRDefault="003F4036" w:rsidP="0059206B">
      <w:pPr>
        <w:pStyle w:val="afffffffffffa"/>
        <w:numPr>
          <w:ilvl w:val="0"/>
          <w:numId w:val="5"/>
        </w:numPr>
        <w:tabs>
          <w:tab w:val="num" w:pos="720"/>
        </w:tabs>
        <w:spacing w:line="520" w:lineRule="exact"/>
        <w:ind w:firstLineChars="0"/>
        <w:rPr>
          <w:sz w:val="24"/>
        </w:rPr>
      </w:pPr>
      <w:r w:rsidRPr="003B1083">
        <w:rPr>
          <w:rFonts w:hAnsi="宋体"/>
          <w:sz w:val="24"/>
        </w:rPr>
        <w:t>正常排放情况下：</w:t>
      </w:r>
    </w:p>
    <w:p w:rsidR="003F4036" w:rsidRPr="003B1083" w:rsidRDefault="003F4036" w:rsidP="0059206B">
      <w:pPr>
        <w:tabs>
          <w:tab w:val="num" w:pos="720"/>
        </w:tabs>
        <w:spacing w:line="520" w:lineRule="exact"/>
        <w:ind w:firstLine="570"/>
        <w:rPr>
          <w:sz w:val="24"/>
        </w:rPr>
      </w:pPr>
      <w:r w:rsidRPr="003B1083">
        <w:rPr>
          <w:sz w:val="24"/>
        </w:rPr>
        <w:t xml:space="preserve">   </w:t>
      </w:r>
      <w:bookmarkStart w:id="523" w:name="_Toc142734388"/>
      <w:r w:rsidRPr="003B1083">
        <w:rPr>
          <w:position w:val="-10"/>
          <w:sz w:val="24"/>
        </w:rPr>
        <w:object w:dxaOrig="240" w:dyaOrig="320">
          <v:shape id="_x0000_i1058" type="#_x0000_t75" style="width:12.75pt;height:16.5pt" o:ole="" o:bullet="t">
            <v:imagedata r:id="rId92" o:title=""/>
          </v:shape>
          <o:OLEObject Type="Embed" ProgID="Equations" ShapeID="_x0000_i1058" DrawAspect="Content" ObjectID="_1695746921" r:id="rId97"/>
        </w:object>
      </w:r>
      <w:r w:rsidRPr="003B1083">
        <w:rPr>
          <w:sz w:val="24"/>
        </w:rPr>
        <w:t>=</w:t>
      </w:r>
      <w:r w:rsidR="00CD0348">
        <w:rPr>
          <w:rFonts w:hint="eastAsia"/>
          <w:sz w:val="24"/>
        </w:rPr>
        <w:t>4183.9</w:t>
      </w:r>
      <w:r w:rsidRPr="003B1083">
        <w:rPr>
          <w:sz w:val="24"/>
        </w:rPr>
        <w:t>m</w:t>
      </w:r>
      <w:r w:rsidRPr="003B1083">
        <w:rPr>
          <w:sz w:val="24"/>
          <w:vertAlign w:val="superscript"/>
        </w:rPr>
        <w:t>3</w:t>
      </w:r>
      <w:r w:rsidRPr="003B1083">
        <w:rPr>
          <w:sz w:val="24"/>
        </w:rPr>
        <w:t>/d=0.</w:t>
      </w:r>
      <w:r w:rsidR="0007569F">
        <w:rPr>
          <w:rFonts w:hint="eastAsia"/>
          <w:sz w:val="24"/>
        </w:rPr>
        <w:t>0</w:t>
      </w:r>
      <w:r w:rsidR="00CD0348">
        <w:rPr>
          <w:rFonts w:hint="eastAsia"/>
          <w:sz w:val="24"/>
        </w:rPr>
        <w:t>48</w:t>
      </w:r>
      <w:r w:rsidRPr="003B1083">
        <w:rPr>
          <w:sz w:val="24"/>
        </w:rPr>
        <w:t>m</w:t>
      </w:r>
      <w:r w:rsidRPr="003B1083">
        <w:rPr>
          <w:sz w:val="24"/>
          <w:vertAlign w:val="superscript"/>
        </w:rPr>
        <w:t>3</w:t>
      </w:r>
      <w:r w:rsidRPr="003B1083">
        <w:rPr>
          <w:sz w:val="24"/>
        </w:rPr>
        <w:t>/s</w:t>
      </w:r>
      <w:bookmarkEnd w:id="523"/>
    </w:p>
    <w:p w:rsidR="003F4036" w:rsidRPr="003B1083" w:rsidRDefault="003F4036" w:rsidP="0059206B">
      <w:pPr>
        <w:tabs>
          <w:tab w:val="num" w:pos="720"/>
        </w:tabs>
        <w:spacing w:before="100" w:after="100" w:line="520" w:lineRule="exact"/>
        <w:ind w:firstLine="570"/>
        <w:rPr>
          <w:sz w:val="24"/>
        </w:rPr>
      </w:pPr>
      <w:r w:rsidRPr="003B1083">
        <w:rPr>
          <w:sz w:val="24"/>
        </w:rPr>
        <w:t xml:space="preserve">   </w:t>
      </w:r>
      <w:r w:rsidRPr="003B1083">
        <w:rPr>
          <w:position w:val="-6"/>
          <w:sz w:val="24"/>
        </w:rPr>
        <w:object w:dxaOrig="220" w:dyaOrig="279">
          <v:shape id="_x0000_i1059" type="#_x0000_t75" style="width:9.75pt;height:13.5pt" o:ole="" o:bullet="t">
            <v:imagedata r:id="rId90" o:title=""/>
          </v:shape>
          <o:OLEObject Type="Embed" ProgID="Equations" ShapeID="_x0000_i1059" DrawAspect="Content" ObjectID="_1695746922" r:id="rId98"/>
        </w:object>
      </w:r>
      <w:r w:rsidRPr="003B1083">
        <w:rPr>
          <w:sz w:val="24"/>
        </w:rPr>
        <w:t>=</w:t>
      </w:r>
      <w:r w:rsidR="00CD0348" w:rsidRPr="003B1083">
        <w:rPr>
          <w:position w:val="-24"/>
          <w:sz w:val="24"/>
        </w:rPr>
        <w:object w:dxaOrig="2360" w:dyaOrig="660">
          <v:shape id="_x0000_i1060" type="#_x0000_t75" style="width:117.75pt;height:28.5pt" o:ole="">
            <v:imagedata r:id="rId99" o:title=""/>
          </v:shape>
          <o:OLEObject Type="Embed" ProgID="Equations" ShapeID="_x0000_i1060" DrawAspect="Content" ObjectID="_1695746923" r:id="rId100"/>
        </w:object>
      </w:r>
      <w:r w:rsidRPr="003B1083">
        <w:rPr>
          <w:sz w:val="24"/>
        </w:rPr>
        <w:t xml:space="preserve"> </w:t>
      </w:r>
      <w:r w:rsidRPr="003B1083">
        <w:rPr>
          <w:rFonts w:hAnsi="宋体"/>
          <w:sz w:val="24"/>
        </w:rPr>
        <w:t>＝</w:t>
      </w:r>
      <w:r w:rsidRPr="003B1083">
        <w:rPr>
          <w:sz w:val="24"/>
        </w:rPr>
        <w:t>0.00</w:t>
      </w:r>
      <w:r w:rsidR="0007569F">
        <w:rPr>
          <w:rFonts w:hint="eastAsia"/>
          <w:sz w:val="24"/>
        </w:rPr>
        <w:t>2</w:t>
      </w:r>
      <w:r w:rsidR="00CD0348">
        <w:rPr>
          <w:rFonts w:hint="eastAsia"/>
          <w:sz w:val="24"/>
        </w:rPr>
        <w:t>1397</w:t>
      </w:r>
      <w:r w:rsidRPr="003B1083">
        <w:rPr>
          <w:sz w:val="24"/>
        </w:rPr>
        <w:t>(m</w:t>
      </w:r>
      <w:r w:rsidRPr="003B1083">
        <w:rPr>
          <w:sz w:val="24"/>
          <w:vertAlign w:val="superscript"/>
        </w:rPr>
        <w:t>3</w:t>
      </w:r>
      <w:r w:rsidRPr="003B1083">
        <w:rPr>
          <w:sz w:val="24"/>
        </w:rPr>
        <w:t>/s.km)</w:t>
      </w:r>
    </w:p>
    <w:p w:rsidR="003F4036" w:rsidRPr="003B1083" w:rsidRDefault="003F4036" w:rsidP="0059206B">
      <w:pPr>
        <w:tabs>
          <w:tab w:val="num" w:pos="720"/>
        </w:tabs>
        <w:spacing w:before="100" w:after="100" w:line="520" w:lineRule="exact"/>
        <w:ind w:firstLine="570"/>
        <w:rPr>
          <w:sz w:val="24"/>
        </w:rPr>
      </w:pPr>
      <w:r w:rsidRPr="003B1083">
        <w:rPr>
          <w:rFonts w:hAnsi="宋体"/>
          <w:sz w:val="24"/>
        </w:rPr>
        <w:t>废污水经</w:t>
      </w:r>
      <w:r w:rsidR="0007569F">
        <w:rPr>
          <w:rFonts w:hint="eastAsia"/>
          <w:sz w:val="24"/>
        </w:rPr>
        <w:t>5.3</w:t>
      </w:r>
      <w:r w:rsidRPr="003B1083">
        <w:rPr>
          <w:sz w:val="24"/>
        </w:rPr>
        <w:t>km</w:t>
      </w:r>
      <w:r w:rsidR="0007569F">
        <w:rPr>
          <w:rFonts w:hAnsi="宋体" w:hint="eastAsia"/>
          <w:sz w:val="24"/>
        </w:rPr>
        <w:t>河道</w:t>
      </w:r>
      <w:r w:rsidRPr="003B1083">
        <w:rPr>
          <w:rFonts w:hAnsi="宋体"/>
          <w:sz w:val="24"/>
        </w:rPr>
        <w:t>入</w:t>
      </w:r>
      <w:r w:rsidR="0007569F">
        <w:rPr>
          <w:rFonts w:hint="eastAsia"/>
          <w:sz w:val="24"/>
        </w:rPr>
        <w:t>纸坊水库</w:t>
      </w:r>
      <w:r w:rsidRPr="003B1083">
        <w:rPr>
          <w:sz w:val="24"/>
        </w:rPr>
        <w:t>，</w:t>
      </w:r>
      <w:r w:rsidRPr="003B1083">
        <w:rPr>
          <w:rFonts w:hAnsi="宋体"/>
          <w:sz w:val="24"/>
        </w:rPr>
        <w:t>则每天的污水渗漏量为：</w:t>
      </w:r>
    </w:p>
    <w:p w:rsidR="003F4036" w:rsidRPr="003B1083" w:rsidRDefault="003F4036" w:rsidP="0059206B">
      <w:pPr>
        <w:tabs>
          <w:tab w:val="num" w:pos="720"/>
        </w:tabs>
        <w:spacing w:before="100" w:after="100" w:line="520" w:lineRule="exact"/>
        <w:ind w:left="360" w:firstLine="570"/>
        <w:rPr>
          <w:sz w:val="24"/>
        </w:rPr>
      </w:pPr>
      <w:r w:rsidRPr="003B1083">
        <w:rPr>
          <w:position w:val="-10"/>
          <w:sz w:val="24"/>
        </w:rPr>
        <w:object w:dxaOrig="240" w:dyaOrig="320">
          <v:shape id="_x0000_i1061" type="#_x0000_t75" style="width:12.75pt;height:16.5pt" o:ole="" o:bullet="t">
            <v:imagedata r:id="rId92" o:title=""/>
          </v:shape>
          <o:OLEObject Type="Embed" ProgID="Equations" ShapeID="_x0000_i1061" DrawAspect="Content" ObjectID="_1695746924" r:id="rId101"/>
        </w:object>
      </w:r>
      <w:r w:rsidRPr="003B1083">
        <w:rPr>
          <w:rFonts w:hAnsi="宋体"/>
          <w:sz w:val="24"/>
          <w:vertAlign w:val="subscript"/>
        </w:rPr>
        <w:t>渗</w:t>
      </w:r>
      <w:r w:rsidRPr="003B1083">
        <w:rPr>
          <w:sz w:val="24"/>
        </w:rPr>
        <w:t>=0.00</w:t>
      </w:r>
      <w:r w:rsidR="0007569F">
        <w:rPr>
          <w:rFonts w:hint="eastAsia"/>
          <w:sz w:val="24"/>
        </w:rPr>
        <w:t>2</w:t>
      </w:r>
      <w:r w:rsidR="00CD0348">
        <w:rPr>
          <w:rFonts w:hint="eastAsia"/>
          <w:sz w:val="24"/>
        </w:rPr>
        <w:t>1397</w:t>
      </w:r>
      <w:r w:rsidRPr="003B1083">
        <w:rPr>
          <w:sz w:val="24"/>
        </w:rPr>
        <w:t>×24×3600×</w:t>
      </w:r>
      <w:r w:rsidR="0007569F">
        <w:rPr>
          <w:rFonts w:hint="eastAsia"/>
          <w:sz w:val="24"/>
        </w:rPr>
        <w:t>5.3</w:t>
      </w:r>
      <w:r w:rsidRPr="003B1083">
        <w:rPr>
          <w:rFonts w:hAnsi="宋体"/>
          <w:sz w:val="24"/>
        </w:rPr>
        <w:t>＝</w:t>
      </w:r>
      <w:r w:rsidR="00BD3FD5">
        <w:rPr>
          <w:rFonts w:hint="eastAsia"/>
          <w:sz w:val="24"/>
        </w:rPr>
        <w:t>979.81</w:t>
      </w:r>
      <w:r w:rsidRPr="003B1083">
        <w:rPr>
          <w:sz w:val="24"/>
        </w:rPr>
        <w:t>(m</w:t>
      </w:r>
      <w:r w:rsidRPr="003B1083">
        <w:rPr>
          <w:sz w:val="24"/>
          <w:vertAlign w:val="superscript"/>
        </w:rPr>
        <w:t>3</w:t>
      </w:r>
      <w:r w:rsidRPr="003B1083">
        <w:rPr>
          <w:sz w:val="24"/>
        </w:rPr>
        <w:t>/d)</w:t>
      </w:r>
    </w:p>
    <w:p w:rsidR="003F4036" w:rsidRPr="003B1083" w:rsidRDefault="003F4036" w:rsidP="0059206B">
      <w:pPr>
        <w:tabs>
          <w:tab w:val="num" w:pos="720"/>
        </w:tabs>
        <w:spacing w:line="520" w:lineRule="exact"/>
        <w:ind w:firstLine="560"/>
        <w:rPr>
          <w:sz w:val="24"/>
        </w:rPr>
      </w:pPr>
      <w:r w:rsidRPr="003B1083">
        <w:rPr>
          <w:rFonts w:hAnsi="宋体"/>
          <w:sz w:val="24"/>
        </w:rPr>
        <w:t>通过计算，废污水沿河沟渗漏量较大，通过河沟下渗的水量约占矿井</w:t>
      </w:r>
      <w:r w:rsidR="0007569F">
        <w:rPr>
          <w:rFonts w:hAnsi="宋体"/>
          <w:sz w:val="24"/>
        </w:rPr>
        <w:t>水</w:t>
      </w:r>
      <w:r w:rsidRPr="003B1083">
        <w:rPr>
          <w:rFonts w:hAnsi="宋体"/>
          <w:sz w:val="24"/>
        </w:rPr>
        <w:t>排放量的</w:t>
      </w:r>
      <w:r w:rsidR="0007569F">
        <w:rPr>
          <w:rFonts w:hint="eastAsia"/>
          <w:sz w:val="24"/>
        </w:rPr>
        <w:t>23.1</w:t>
      </w:r>
      <w:r w:rsidRPr="003B1083">
        <w:rPr>
          <w:sz w:val="24"/>
        </w:rPr>
        <w:t>%</w:t>
      </w:r>
      <w:r w:rsidRPr="003B1083">
        <w:rPr>
          <w:rFonts w:hAnsi="宋体"/>
          <w:sz w:val="24"/>
        </w:rPr>
        <w:t>。</w:t>
      </w:r>
    </w:p>
    <w:p w:rsidR="003F4036" w:rsidRPr="003B1083" w:rsidRDefault="003F4036" w:rsidP="0059206B">
      <w:pPr>
        <w:tabs>
          <w:tab w:val="num" w:pos="720"/>
        </w:tabs>
        <w:spacing w:line="520" w:lineRule="exact"/>
        <w:ind w:firstLine="560"/>
        <w:rPr>
          <w:sz w:val="24"/>
        </w:rPr>
      </w:pPr>
      <w:r w:rsidRPr="003B1083">
        <w:rPr>
          <w:rFonts w:hAnsi="宋体"/>
          <w:sz w:val="24"/>
        </w:rPr>
        <w:t>②</w:t>
      </w:r>
      <w:r w:rsidR="00833BCA">
        <w:rPr>
          <w:rFonts w:hAnsi="宋体" w:hint="eastAsia"/>
          <w:sz w:val="24"/>
        </w:rPr>
        <w:t xml:space="preserve">  </w:t>
      </w:r>
      <w:r w:rsidRPr="003B1083">
        <w:rPr>
          <w:sz w:val="24"/>
        </w:rPr>
        <w:t xml:space="preserve"> </w:t>
      </w:r>
      <w:r w:rsidRPr="003B1083">
        <w:rPr>
          <w:rFonts w:hAnsi="宋体"/>
          <w:sz w:val="24"/>
        </w:rPr>
        <w:t>非正常排放情况下：</w:t>
      </w:r>
    </w:p>
    <w:bookmarkStart w:id="524" w:name="_Toc142734389"/>
    <w:p w:rsidR="003F4036" w:rsidRPr="003B1083" w:rsidRDefault="003F4036" w:rsidP="0059206B">
      <w:pPr>
        <w:tabs>
          <w:tab w:val="num" w:pos="720"/>
        </w:tabs>
        <w:spacing w:line="520" w:lineRule="exact"/>
        <w:ind w:firstLineChars="350" w:firstLine="840"/>
        <w:rPr>
          <w:sz w:val="24"/>
        </w:rPr>
      </w:pPr>
      <w:r w:rsidRPr="003B1083">
        <w:rPr>
          <w:position w:val="-10"/>
          <w:sz w:val="24"/>
        </w:rPr>
        <w:object w:dxaOrig="240" w:dyaOrig="320">
          <v:shape id="_x0000_i1062" type="#_x0000_t75" style="width:12.75pt;height:16.5pt" o:ole="" o:bullet="t">
            <v:imagedata r:id="rId92" o:title=""/>
          </v:shape>
          <o:OLEObject Type="Embed" ProgID="Equations" ShapeID="_x0000_i1062" DrawAspect="Content" ObjectID="_1695746925" r:id="rId102"/>
        </w:object>
      </w:r>
      <w:r w:rsidRPr="003B1083">
        <w:rPr>
          <w:sz w:val="24"/>
        </w:rPr>
        <w:t>=</w:t>
      </w:r>
      <w:r w:rsidR="0007569F">
        <w:rPr>
          <w:rFonts w:hint="eastAsia"/>
          <w:sz w:val="24"/>
        </w:rPr>
        <w:t>4</w:t>
      </w:r>
      <w:r w:rsidR="00CD0348">
        <w:rPr>
          <w:rFonts w:hint="eastAsia"/>
          <w:sz w:val="24"/>
        </w:rPr>
        <w:t>656</w:t>
      </w:r>
      <w:r w:rsidRPr="003B1083">
        <w:rPr>
          <w:sz w:val="24"/>
        </w:rPr>
        <w:t>m</w:t>
      </w:r>
      <w:r w:rsidRPr="003B1083">
        <w:rPr>
          <w:sz w:val="24"/>
          <w:vertAlign w:val="superscript"/>
        </w:rPr>
        <w:t>3</w:t>
      </w:r>
      <w:r w:rsidRPr="003B1083">
        <w:rPr>
          <w:sz w:val="24"/>
        </w:rPr>
        <w:t>/d=0.</w:t>
      </w:r>
      <w:r w:rsidR="0007569F">
        <w:rPr>
          <w:rFonts w:hint="eastAsia"/>
          <w:sz w:val="24"/>
        </w:rPr>
        <w:t>05</w:t>
      </w:r>
      <w:r w:rsidR="00CD0348">
        <w:rPr>
          <w:rFonts w:hint="eastAsia"/>
          <w:sz w:val="24"/>
        </w:rPr>
        <w:t>4</w:t>
      </w:r>
      <w:r w:rsidRPr="003B1083">
        <w:rPr>
          <w:sz w:val="24"/>
        </w:rPr>
        <w:t>m</w:t>
      </w:r>
      <w:r w:rsidRPr="003B1083">
        <w:rPr>
          <w:sz w:val="24"/>
          <w:vertAlign w:val="superscript"/>
        </w:rPr>
        <w:t>3</w:t>
      </w:r>
      <w:r w:rsidRPr="003B1083">
        <w:rPr>
          <w:sz w:val="24"/>
        </w:rPr>
        <w:t>/s</w:t>
      </w:r>
      <w:bookmarkEnd w:id="524"/>
    </w:p>
    <w:p w:rsidR="0007569F" w:rsidRPr="003B1083" w:rsidRDefault="0007569F" w:rsidP="0059206B">
      <w:pPr>
        <w:tabs>
          <w:tab w:val="num" w:pos="720"/>
        </w:tabs>
        <w:spacing w:before="100" w:after="100" w:line="520" w:lineRule="exact"/>
        <w:ind w:firstLine="570"/>
        <w:rPr>
          <w:sz w:val="24"/>
        </w:rPr>
      </w:pPr>
      <w:r>
        <w:rPr>
          <w:sz w:val="24"/>
        </w:rPr>
        <w:t xml:space="preserve"> </w:t>
      </w:r>
      <w:r w:rsidRPr="003B1083">
        <w:rPr>
          <w:sz w:val="24"/>
        </w:rPr>
        <w:t xml:space="preserve"> </w:t>
      </w:r>
      <w:r w:rsidRPr="003B1083">
        <w:rPr>
          <w:position w:val="-6"/>
          <w:sz w:val="24"/>
        </w:rPr>
        <w:object w:dxaOrig="220" w:dyaOrig="279">
          <v:shape id="_x0000_i1063" type="#_x0000_t75" style="width:9.75pt;height:13.5pt" o:ole="" o:bullet="t">
            <v:imagedata r:id="rId90" o:title=""/>
          </v:shape>
          <o:OLEObject Type="Embed" ProgID="Equations" ShapeID="_x0000_i1063" DrawAspect="Content" ObjectID="_1695746926" r:id="rId103"/>
        </w:object>
      </w:r>
      <w:r w:rsidRPr="003B1083">
        <w:rPr>
          <w:sz w:val="24"/>
        </w:rPr>
        <w:t>=</w:t>
      </w:r>
      <w:r w:rsidR="00CD0348" w:rsidRPr="003B1083">
        <w:rPr>
          <w:position w:val="-24"/>
          <w:sz w:val="24"/>
        </w:rPr>
        <w:object w:dxaOrig="2380" w:dyaOrig="660">
          <v:shape id="_x0000_i1064" type="#_x0000_t75" style="width:119.25pt;height:28.5pt" o:ole="">
            <v:imagedata r:id="rId104" o:title=""/>
          </v:shape>
          <o:OLEObject Type="Embed" ProgID="Equations" ShapeID="_x0000_i1064" DrawAspect="Content" ObjectID="_1695746927" r:id="rId105"/>
        </w:object>
      </w:r>
      <w:r w:rsidRPr="003B1083">
        <w:rPr>
          <w:sz w:val="24"/>
        </w:rPr>
        <w:t xml:space="preserve"> </w:t>
      </w:r>
      <w:r w:rsidRPr="003B1083">
        <w:rPr>
          <w:rFonts w:hAnsi="宋体"/>
          <w:sz w:val="24"/>
        </w:rPr>
        <w:t>＝</w:t>
      </w:r>
      <w:r w:rsidRPr="003B1083">
        <w:rPr>
          <w:sz w:val="24"/>
        </w:rPr>
        <w:t>0.00</w:t>
      </w:r>
      <w:r>
        <w:rPr>
          <w:rFonts w:hint="eastAsia"/>
          <w:sz w:val="24"/>
        </w:rPr>
        <w:t>2</w:t>
      </w:r>
      <w:r w:rsidR="00CD0348">
        <w:rPr>
          <w:rFonts w:hint="eastAsia"/>
          <w:sz w:val="24"/>
        </w:rPr>
        <w:t>302</w:t>
      </w:r>
      <w:r w:rsidRPr="003B1083">
        <w:rPr>
          <w:sz w:val="24"/>
        </w:rPr>
        <w:t>(m</w:t>
      </w:r>
      <w:r w:rsidRPr="003B1083">
        <w:rPr>
          <w:sz w:val="24"/>
          <w:vertAlign w:val="superscript"/>
        </w:rPr>
        <w:t>3</w:t>
      </w:r>
      <w:r w:rsidRPr="003B1083">
        <w:rPr>
          <w:sz w:val="24"/>
        </w:rPr>
        <w:t>/s.km)</w:t>
      </w:r>
    </w:p>
    <w:p w:rsidR="0007569F" w:rsidRPr="003B1083" w:rsidRDefault="0007569F" w:rsidP="0059206B">
      <w:pPr>
        <w:tabs>
          <w:tab w:val="num" w:pos="720"/>
        </w:tabs>
        <w:spacing w:before="100" w:after="100" w:line="520" w:lineRule="exact"/>
        <w:ind w:firstLine="570"/>
        <w:rPr>
          <w:sz w:val="24"/>
        </w:rPr>
      </w:pPr>
      <w:r w:rsidRPr="003B1083">
        <w:rPr>
          <w:rFonts w:hAnsi="宋体"/>
          <w:sz w:val="24"/>
        </w:rPr>
        <w:t>废污水经</w:t>
      </w:r>
      <w:r>
        <w:rPr>
          <w:rFonts w:hint="eastAsia"/>
          <w:sz w:val="24"/>
        </w:rPr>
        <w:t>5.3</w:t>
      </w:r>
      <w:r w:rsidRPr="003B1083">
        <w:rPr>
          <w:sz w:val="24"/>
        </w:rPr>
        <w:t>km</w:t>
      </w:r>
      <w:r>
        <w:rPr>
          <w:rFonts w:hAnsi="宋体" w:hint="eastAsia"/>
          <w:sz w:val="24"/>
        </w:rPr>
        <w:t>河道</w:t>
      </w:r>
      <w:r w:rsidRPr="003B1083">
        <w:rPr>
          <w:rFonts w:hAnsi="宋体"/>
          <w:sz w:val="24"/>
        </w:rPr>
        <w:t>入</w:t>
      </w:r>
      <w:r>
        <w:rPr>
          <w:rFonts w:hint="eastAsia"/>
          <w:sz w:val="24"/>
        </w:rPr>
        <w:t>纸坊水库</w:t>
      </w:r>
      <w:r w:rsidRPr="003B1083">
        <w:rPr>
          <w:sz w:val="24"/>
        </w:rPr>
        <w:t>，</w:t>
      </w:r>
      <w:r w:rsidRPr="003B1083">
        <w:rPr>
          <w:rFonts w:hAnsi="宋体"/>
          <w:sz w:val="24"/>
        </w:rPr>
        <w:t>则每天的污水渗漏量为：</w:t>
      </w:r>
    </w:p>
    <w:p w:rsidR="0007569F" w:rsidRPr="003B1083" w:rsidRDefault="0007569F" w:rsidP="0059206B">
      <w:pPr>
        <w:tabs>
          <w:tab w:val="num" w:pos="720"/>
        </w:tabs>
        <w:spacing w:before="100" w:after="100" w:line="520" w:lineRule="exact"/>
        <w:ind w:left="360" w:firstLine="570"/>
        <w:rPr>
          <w:sz w:val="24"/>
        </w:rPr>
      </w:pPr>
      <w:r w:rsidRPr="003B1083">
        <w:rPr>
          <w:position w:val="-10"/>
          <w:sz w:val="24"/>
        </w:rPr>
        <w:object w:dxaOrig="240" w:dyaOrig="320">
          <v:shape id="_x0000_i1065" type="#_x0000_t75" style="width:12.75pt;height:16.5pt" o:ole="" o:bullet="t">
            <v:imagedata r:id="rId92" o:title=""/>
          </v:shape>
          <o:OLEObject Type="Embed" ProgID="Equations" ShapeID="_x0000_i1065" DrawAspect="Content" ObjectID="_1695746928" r:id="rId106"/>
        </w:object>
      </w:r>
      <w:r w:rsidRPr="003B1083">
        <w:rPr>
          <w:rFonts w:hAnsi="宋体"/>
          <w:sz w:val="24"/>
          <w:vertAlign w:val="subscript"/>
        </w:rPr>
        <w:t>渗</w:t>
      </w:r>
      <w:r w:rsidRPr="003B1083">
        <w:rPr>
          <w:sz w:val="24"/>
        </w:rPr>
        <w:t>=0.00</w:t>
      </w:r>
      <w:r>
        <w:rPr>
          <w:rFonts w:hint="eastAsia"/>
          <w:sz w:val="24"/>
        </w:rPr>
        <w:t>2</w:t>
      </w:r>
      <w:r w:rsidR="00CD0348">
        <w:rPr>
          <w:rFonts w:hint="eastAsia"/>
          <w:sz w:val="24"/>
        </w:rPr>
        <w:t>302</w:t>
      </w:r>
      <w:r w:rsidRPr="003B1083">
        <w:rPr>
          <w:sz w:val="24"/>
        </w:rPr>
        <w:t>×24×3600×</w:t>
      </w:r>
      <w:r>
        <w:rPr>
          <w:rFonts w:hint="eastAsia"/>
          <w:sz w:val="24"/>
        </w:rPr>
        <w:t>5.3</w:t>
      </w:r>
      <w:r w:rsidRPr="003B1083">
        <w:rPr>
          <w:rFonts w:hAnsi="宋体"/>
          <w:sz w:val="24"/>
        </w:rPr>
        <w:t>＝</w:t>
      </w:r>
      <w:r>
        <w:rPr>
          <w:rFonts w:hint="eastAsia"/>
          <w:sz w:val="24"/>
        </w:rPr>
        <w:t>10</w:t>
      </w:r>
      <w:r w:rsidR="00CD0348">
        <w:rPr>
          <w:rFonts w:hint="eastAsia"/>
          <w:sz w:val="24"/>
        </w:rPr>
        <w:t>54.13</w:t>
      </w:r>
      <w:r w:rsidRPr="003B1083">
        <w:rPr>
          <w:sz w:val="24"/>
        </w:rPr>
        <w:t>(m</w:t>
      </w:r>
      <w:r w:rsidRPr="003B1083">
        <w:rPr>
          <w:sz w:val="24"/>
          <w:vertAlign w:val="superscript"/>
        </w:rPr>
        <w:t>3</w:t>
      </w:r>
      <w:r w:rsidRPr="003B1083">
        <w:rPr>
          <w:sz w:val="24"/>
        </w:rPr>
        <w:t>/d)</w:t>
      </w:r>
    </w:p>
    <w:p w:rsidR="003F4036" w:rsidRPr="00833BCA" w:rsidRDefault="003F4036" w:rsidP="0007569F">
      <w:pPr>
        <w:tabs>
          <w:tab w:val="num" w:pos="720"/>
        </w:tabs>
        <w:spacing w:before="100" w:after="100" w:line="520" w:lineRule="exact"/>
        <w:ind w:firstLine="570"/>
        <w:rPr>
          <w:b/>
          <w:sz w:val="24"/>
        </w:rPr>
      </w:pPr>
      <w:r w:rsidRPr="00833BCA">
        <w:rPr>
          <w:rFonts w:hAnsi="宋体"/>
          <w:b/>
          <w:sz w:val="24"/>
        </w:rPr>
        <w:lastRenderedPageBreak/>
        <w:t>排入</w:t>
      </w:r>
      <w:r w:rsidR="00833BCA" w:rsidRPr="00833BCA">
        <w:rPr>
          <w:rFonts w:hint="eastAsia"/>
          <w:b/>
          <w:sz w:val="24"/>
        </w:rPr>
        <w:t>纸坊水库</w:t>
      </w:r>
      <w:r w:rsidRPr="00833BCA">
        <w:rPr>
          <w:b/>
          <w:sz w:val="24"/>
        </w:rPr>
        <w:t>的废污水量</w:t>
      </w:r>
      <w:r w:rsidRPr="00833BCA">
        <w:rPr>
          <w:rFonts w:hAnsi="宋体"/>
          <w:b/>
          <w:sz w:val="24"/>
        </w:rPr>
        <w:t>的计算</w:t>
      </w:r>
    </w:p>
    <w:p w:rsidR="003F4036" w:rsidRPr="003B1083" w:rsidRDefault="003F4036" w:rsidP="003F4036">
      <w:pPr>
        <w:tabs>
          <w:tab w:val="num" w:pos="720"/>
        </w:tabs>
        <w:spacing w:line="520" w:lineRule="exact"/>
        <w:ind w:firstLine="570"/>
        <w:rPr>
          <w:sz w:val="24"/>
        </w:rPr>
      </w:pPr>
      <w:r w:rsidRPr="003B1083">
        <w:rPr>
          <w:rFonts w:hAnsi="宋体"/>
          <w:sz w:val="24"/>
        </w:rPr>
        <w:t>①</w:t>
      </w:r>
      <w:r w:rsidRPr="003B1083">
        <w:rPr>
          <w:sz w:val="24"/>
        </w:rPr>
        <w:t xml:space="preserve"> </w:t>
      </w:r>
      <w:r w:rsidRPr="003B1083">
        <w:rPr>
          <w:rFonts w:hAnsi="宋体"/>
          <w:sz w:val="24"/>
        </w:rPr>
        <w:t>正常排放情况下：</w:t>
      </w:r>
    </w:p>
    <w:p w:rsidR="003F4036" w:rsidRPr="00833BCA" w:rsidRDefault="003F4036" w:rsidP="003F4036">
      <w:pPr>
        <w:tabs>
          <w:tab w:val="num" w:pos="720"/>
        </w:tabs>
        <w:spacing w:line="520" w:lineRule="exact"/>
        <w:ind w:firstLine="570"/>
        <w:rPr>
          <w:sz w:val="24"/>
        </w:rPr>
      </w:pPr>
      <w:r w:rsidRPr="00833BCA">
        <w:rPr>
          <w:rFonts w:hAnsi="宋体"/>
          <w:sz w:val="24"/>
        </w:rPr>
        <w:t>通过上述计算可知，</w:t>
      </w:r>
      <w:r w:rsidR="00420A56" w:rsidRPr="003B1083">
        <w:rPr>
          <w:rFonts w:hAnsi="宋体"/>
          <w:sz w:val="24"/>
        </w:rPr>
        <w:t>正常情况下</w:t>
      </w:r>
      <w:r w:rsidRPr="00833BCA">
        <w:rPr>
          <w:rFonts w:hAnsi="宋体"/>
          <w:sz w:val="24"/>
        </w:rPr>
        <w:t>矿井水排入</w:t>
      </w:r>
      <w:r w:rsidR="00420A56">
        <w:rPr>
          <w:rFonts w:hint="eastAsia"/>
          <w:sz w:val="24"/>
        </w:rPr>
        <w:t>纸坊水库</w:t>
      </w:r>
      <w:r w:rsidRPr="00833BCA">
        <w:rPr>
          <w:rFonts w:hAnsi="宋体"/>
          <w:sz w:val="24"/>
        </w:rPr>
        <w:t>的量为：</w:t>
      </w:r>
    </w:p>
    <w:p w:rsidR="003F4036" w:rsidRPr="00833BCA" w:rsidRDefault="003F4036" w:rsidP="003F4036">
      <w:pPr>
        <w:tabs>
          <w:tab w:val="num" w:pos="720"/>
        </w:tabs>
        <w:spacing w:line="520" w:lineRule="exact"/>
        <w:ind w:firstLineChars="300" w:firstLine="720"/>
        <w:rPr>
          <w:sz w:val="24"/>
        </w:rPr>
      </w:pPr>
      <w:r w:rsidRPr="00833BCA">
        <w:rPr>
          <w:position w:val="-10"/>
          <w:sz w:val="24"/>
        </w:rPr>
        <w:object w:dxaOrig="240" w:dyaOrig="320">
          <v:shape id="_x0000_i1066" type="#_x0000_t75" style="width:12.75pt;height:16.5pt" o:ole="" o:bullet="t">
            <v:imagedata r:id="rId92" o:title=""/>
          </v:shape>
          <o:OLEObject Type="Embed" ProgID="Equations" ShapeID="_x0000_i1066" DrawAspect="Content" ObjectID="_1695746929" r:id="rId107"/>
        </w:object>
      </w:r>
      <w:r w:rsidRPr="00833BCA">
        <w:rPr>
          <w:rFonts w:hAnsi="宋体"/>
          <w:sz w:val="24"/>
          <w:vertAlign w:val="subscript"/>
        </w:rPr>
        <w:t>入</w:t>
      </w:r>
      <w:r w:rsidRPr="00833BCA">
        <w:rPr>
          <w:sz w:val="24"/>
        </w:rPr>
        <w:t>=</w:t>
      </w:r>
      <w:r w:rsidR="00833BCA" w:rsidRPr="00833BCA">
        <w:rPr>
          <w:rFonts w:hint="eastAsia"/>
          <w:sz w:val="24"/>
        </w:rPr>
        <w:t>4</w:t>
      </w:r>
      <w:r w:rsidR="00CD0348">
        <w:rPr>
          <w:rFonts w:hint="eastAsia"/>
          <w:sz w:val="24"/>
        </w:rPr>
        <w:t>183.9</w:t>
      </w:r>
      <w:r w:rsidRPr="00833BCA">
        <w:rPr>
          <w:sz w:val="24"/>
        </w:rPr>
        <w:t>-</w:t>
      </w:r>
      <w:r w:rsidR="00BD3FD5">
        <w:rPr>
          <w:rFonts w:hint="eastAsia"/>
          <w:sz w:val="24"/>
        </w:rPr>
        <w:t>979.81</w:t>
      </w:r>
      <w:r w:rsidRPr="00833BCA">
        <w:rPr>
          <w:sz w:val="24"/>
        </w:rPr>
        <w:t>=</w:t>
      </w:r>
      <w:r w:rsidR="00420A56">
        <w:rPr>
          <w:rFonts w:hint="eastAsia"/>
          <w:sz w:val="24"/>
        </w:rPr>
        <w:t>3</w:t>
      </w:r>
      <w:r w:rsidR="00BD3FD5">
        <w:rPr>
          <w:rFonts w:hint="eastAsia"/>
          <w:sz w:val="24"/>
        </w:rPr>
        <w:t>204.09</w:t>
      </w:r>
      <w:r w:rsidRPr="00833BCA">
        <w:rPr>
          <w:sz w:val="24"/>
        </w:rPr>
        <w:t>(m</w:t>
      </w:r>
      <w:r w:rsidRPr="00833BCA">
        <w:rPr>
          <w:sz w:val="24"/>
          <w:vertAlign w:val="superscript"/>
        </w:rPr>
        <w:t>3</w:t>
      </w:r>
      <w:r w:rsidRPr="00833BCA">
        <w:rPr>
          <w:sz w:val="24"/>
        </w:rPr>
        <w:t>/d)</w:t>
      </w:r>
    </w:p>
    <w:p w:rsidR="003F4036" w:rsidRPr="00833BCA" w:rsidRDefault="003F4036" w:rsidP="003F4036">
      <w:pPr>
        <w:tabs>
          <w:tab w:val="num" w:pos="720"/>
        </w:tabs>
        <w:spacing w:line="520" w:lineRule="exact"/>
        <w:ind w:firstLineChars="200" w:firstLine="480"/>
        <w:rPr>
          <w:sz w:val="24"/>
        </w:rPr>
      </w:pPr>
      <w:r w:rsidRPr="00833BCA">
        <w:rPr>
          <w:rFonts w:hAnsi="宋体"/>
          <w:sz w:val="24"/>
        </w:rPr>
        <w:t>②</w:t>
      </w:r>
      <w:r w:rsidRPr="00833BCA">
        <w:rPr>
          <w:sz w:val="24"/>
        </w:rPr>
        <w:t xml:space="preserve"> </w:t>
      </w:r>
      <w:r w:rsidRPr="00833BCA">
        <w:rPr>
          <w:rFonts w:hAnsi="宋体"/>
          <w:sz w:val="24"/>
        </w:rPr>
        <w:t>非正常排放情况下：</w:t>
      </w:r>
    </w:p>
    <w:p w:rsidR="003F4036" w:rsidRPr="00833BCA" w:rsidRDefault="003F4036" w:rsidP="003F4036">
      <w:pPr>
        <w:tabs>
          <w:tab w:val="num" w:pos="720"/>
        </w:tabs>
        <w:spacing w:line="520" w:lineRule="exact"/>
        <w:ind w:firstLine="570"/>
        <w:rPr>
          <w:sz w:val="24"/>
        </w:rPr>
      </w:pPr>
      <w:r w:rsidRPr="00833BCA">
        <w:rPr>
          <w:rFonts w:hAnsi="宋体"/>
          <w:sz w:val="24"/>
        </w:rPr>
        <w:t>通过上述计算可知，非正常情况下矿井水排入</w:t>
      </w:r>
      <w:r w:rsidR="00420A56">
        <w:rPr>
          <w:rFonts w:hint="eastAsia"/>
          <w:sz w:val="24"/>
        </w:rPr>
        <w:t>纸坊水库</w:t>
      </w:r>
      <w:r w:rsidRPr="00833BCA">
        <w:rPr>
          <w:rFonts w:hAnsi="宋体"/>
          <w:sz w:val="24"/>
        </w:rPr>
        <w:t>的量为：</w:t>
      </w:r>
    </w:p>
    <w:p w:rsidR="003F4036" w:rsidRPr="00833BCA" w:rsidRDefault="003F4036" w:rsidP="003F4036">
      <w:pPr>
        <w:tabs>
          <w:tab w:val="num" w:pos="720"/>
        </w:tabs>
        <w:spacing w:line="520" w:lineRule="exact"/>
        <w:ind w:firstLineChars="300" w:firstLine="720"/>
        <w:rPr>
          <w:sz w:val="24"/>
        </w:rPr>
      </w:pPr>
      <w:r w:rsidRPr="00833BCA">
        <w:rPr>
          <w:position w:val="-10"/>
          <w:sz w:val="24"/>
        </w:rPr>
        <w:object w:dxaOrig="240" w:dyaOrig="320">
          <v:shape id="_x0000_i1067" type="#_x0000_t75" style="width:12.75pt;height:16.5pt" o:ole="" o:bullet="t">
            <v:imagedata r:id="rId92" o:title=""/>
          </v:shape>
          <o:OLEObject Type="Embed" ProgID="Equations" ShapeID="_x0000_i1067" DrawAspect="Content" ObjectID="_1695746930" r:id="rId108"/>
        </w:object>
      </w:r>
      <w:r w:rsidRPr="00833BCA">
        <w:rPr>
          <w:rFonts w:hAnsi="宋体"/>
          <w:sz w:val="24"/>
          <w:vertAlign w:val="subscript"/>
        </w:rPr>
        <w:t>入</w:t>
      </w:r>
      <w:r w:rsidRPr="00833BCA">
        <w:rPr>
          <w:sz w:val="24"/>
        </w:rPr>
        <w:t>=</w:t>
      </w:r>
      <w:r w:rsidR="00833BCA" w:rsidRPr="00833BCA">
        <w:rPr>
          <w:rFonts w:hint="eastAsia"/>
          <w:sz w:val="24"/>
        </w:rPr>
        <w:t>4</w:t>
      </w:r>
      <w:r w:rsidR="00CD0348">
        <w:rPr>
          <w:rFonts w:hint="eastAsia"/>
          <w:sz w:val="24"/>
        </w:rPr>
        <w:t>6</w:t>
      </w:r>
      <w:r w:rsidR="00833BCA" w:rsidRPr="00833BCA">
        <w:rPr>
          <w:rFonts w:hint="eastAsia"/>
          <w:sz w:val="24"/>
        </w:rPr>
        <w:t>56</w:t>
      </w:r>
      <w:r w:rsidRPr="00833BCA">
        <w:rPr>
          <w:sz w:val="24"/>
        </w:rPr>
        <w:t>-</w:t>
      </w:r>
      <w:r w:rsidR="00833BCA" w:rsidRPr="00833BCA">
        <w:rPr>
          <w:rFonts w:hint="eastAsia"/>
          <w:sz w:val="24"/>
        </w:rPr>
        <w:t>10</w:t>
      </w:r>
      <w:r w:rsidR="00CD0348">
        <w:rPr>
          <w:rFonts w:hint="eastAsia"/>
          <w:sz w:val="24"/>
        </w:rPr>
        <w:t>54.13</w:t>
      </w:r>
      <w:r w:rsidRPr="00833BCA">
        <w:rPr>
          <w:sz w:val="24"/>
        </w:rPr>
        <w:t>=</w:t>
      </w:r>
      <w:r w:rsidR="00420A56">
        <w:rPr>
          <w:rFonts w:hint="eastAsia"/>
          <w:sz w:val="24"/>
        </w:rPr>
        <w:t>3</w:t>
      </w:r>
      <w:r w:rsidR="00CD0348">
        <w:rPr>
          <w:rFonts w:hint="eastAsia"/>
          <w:sz w:val="24"/>
        </w:rPr>
        <w:t>601.87</w:t>
      </w:r>
      <w:r w:rsidRPr="00833BCA">
        <w:rPr>
          <w:sz w:val="24"/>
        </w:rPr>
        <w:t>(m</w:t>
      </w:r>
      <w:r w:rsidRPr="00833BCA">
        <w:rPr>
          <w:sz w:val="24"/>
          <w:vertAlign w:val="superscript"/>
        </w:rPr>
        <w:t>3</w:t>
      </w:r>
      <w:r w:rsidRPr="00833BCA">
        <w:rPr>
          <w:sz w:val="24"/>
        </w:rPr>
        <w:t>/d)</w:t>
      </w:r>
    </w:p>
    <w:p w:rsidR="003F4036" w:rsidRPr="008930D2" w:rsidRDefault="00420A56" w:rsidP="0059206B">
      <w:pPr>
        <w:spacing w:line="520" w:lineRule="exact"/>
        <w:ind w:firstLineChars="200" w:firstLine="482"/>
        <w:rPr>
          <w:b/>
          <w:sz w:val="24"/>
        </w:rPr>
      </w:pPr>
      <w:bookmarkStart w:id="525" w:name="_Toc142734390"/>
      <w:r w:rsidRPr="008930D2">
        <w:rPr>
          <w:rFonts w:hint="eastAsia"/>
          <w:b/>
          <w:sz w:val="24"/>
        </w:rPr>
        <w:t>（</w:t>
      </w:r>
      <w:r w:rsidRPr="008930D2">
        <w:rPr>
          <w:rFonts w:hint="eastAsia"/>
          <w:b/>
          <w:sz w:val="24"/>
        </w:rPr>
        <w:t>4</w:t>
      </w:r>
      <w:r w:rsidRPr="008930D2">
        <w:rPr>
          <w:rFonts w:hint="eastAsia"/>
          <w:b/>
          <w:sz w:val="24"/>
        </w:rPr>
        <w:t>）</w:t>
      </w:r>
      <w:r w:rsidR="003F4036" w:rsidRPr="008930D2">
        <w:rPr>
          <w:rFonts w:hAnsi="宋体"/>
          <w:b/>
          <w:sz w:val="24"/>
        </w:rPr>
        <w:t>入</w:t>
      </w:r>
      <w:r w:rsidRPr="008930D2">
        <w:rPr>
          <w:rFonts w:hint="eastAsia"/>
          <w:b/>
          <w:sz w:val="24"/>
        </w:rPr>
        <w:t>纸坊水库</w:t>
      </w:r>
      <w:r w:rsidR="003F4036" w:rsidRPr="008930D2">
        <w:rPr>
          <w:rFonts w:hAnsi="宋体"/>
          <w:b/>
          <w:sz w:val="24"/>
        </w:rPr>
        <w:t>水质预测</w:t>
      </w:r>
      <w:bookmarkEnd w:id="525"/>
    </w:p>
    <w:p w:rsidR="003F4036" w:rsidRPr="003B1083" w:rsidRDefault="003F4036" w:rsidP="003F4036">
      <w:pPr>
        <w:tabs>
          <w:tab w:val="num" w:pos="720"/>
        </w:tabs>
        <w:spacing w:line="520" w:lineRule="exact"/>
        <w:ind w:firstLine="560"/>
        <w:rPr>
          <w:sz w:val="24"/>
        </w:rPr>
      </w:pPr>
      <w:r w:rsidRPr="003B1083">
        <w:rPr>
          <w:rFonts w:hAnsi="宋体"/>
          <w:sz w:val="24"/>
        </w:rPr>
        <w:t>根据河道水力学特点和拟建工程水污染物在水体中迁移及自净转化规律，本评价在预测河段内建立污染物沿河道进行迁移转化和自净降解的浓度变化方程，预测计算</w:t>
      </w:r>
      <w:r w:rsidR="009F6FCD">
        <w:rPr>
          <w:rFonts w:hAnsi="宋体" w:hint="eastAsia"/>
          <w:sz w:val="24"/>
        </w:rPr>
        <w:t>矿井水排放</w:t>
      </w:r>
      <w:r w:rsidRPr="003B1083">
        <w:rPr>
          <w:rFonts w:hAnsi="宋体"/>
          <w:sz w:val="24"/>
        </w:rPr>
        <w:t>对下游控制断面的影响，按照《制定地方水污染物排放标准的技术原则和方法》</w:t>
      </w:r>
      <w:r w:rsidRPr="003B1083">
        <w:rPr>
          <w:sz w:val="24"/>
        </w:rPr>
        <w:t>(GB3839-83)</w:t>
      </w:r>
      <w:r w:rsidRPr="003B1083">
        <w:rPr>
          <w:rFonts w:hAnsi="宋体"/>
          <w:sz w:val="24"/>
        </w:rPr>
        <w:t>规定要求，结合该段河水受纳污染物的实际，评价选取河段污染物综合平衡方程对</w:t>
      </w:r>
      <w:r w:rsidR="009F6FCD">
        <w:rPr>
          <w:rFonts w:hAnsi="宋体" w:hint="eastAsia"/>
          <w:sz w:val="24"/>
        </w:rPr>
        <w:t>河道</w:t>
      </w:r>
      <w:r w:rsidRPr="003B1083">
        <w:rPr>
          <w:rFonts w:hAnsi="宋体"/>
          <w:sz w:val="24"/>
        </w:rPr>
        <w:t>水环境进行预测，预测模式为：</w:t>
      </w:r>
    </w:p>
    <w:p w:rsidR="003F4036" w:rsidRPr="003B1083" w:rsidRDefault="003F4036" w:rsidP="003F4036">
      <w:pPr>
        <w:tabs>
          <w:tab w:val="num" w:pos="720"/>
        </w:tabs>
        <w:spacing w:after="240" w:line="520" w:lineRule="exact"/>
        <w:jc w:val="center"/>
        <w:rPr>
          <w:sz w:val="24"/>
        </w:rPr>
      </w:pPr>
      <w:r w:rsidRPr="003B1083">
        <w:rPr>
          <w:position w:val="-28"/>
          <w:sz w:val="24"/>
        </w:rPr>
        <w:object w:dxaOrig="4800" w:dyaOrig="680">
          <v:shape id="_x0000_i1068" type="#_x0000_t75" style="width:285.75pt;height:28.5pt" o:ole="">
            <v:imagedata r:id="rId109" o:title=""/>
          </v:shape>
          <o:OLEObject Type="Embed" ProgID="Equations" ShapeID="_x0000_i1068" DrawAspect="Content" ObjectID="_1695746931" r:id="rId110"/>
        </w:object>
      </w:r>
    </w:p>
    <w:p w:rsidR="003F4036" w:rsidRPr="003B1083" w:rsidRDefault="003F4036" w:rsidP="003F4036">
      <w:pPr>
        <w:tabs>
          <w:tab w:val="num" w:pos="720"/>
        </w:tabs>
        <w:spacing w:line="520" w:lineRule="exact"/>
        <w:ind w:firstLineChars="200" w:firstLine="480"/>
        <w:rPr>
          <w:sz w:val="24"/>
        </w:rPr>
      </w:pPr>
      <w:r w:rsidRPr="003B1083">
        <w:rPr>
          <w:rFonts w:hAnsi="宋体"/>
          <w:sz w:val="24"/>
        </w:rPr>
        <w:t>式中：</w:t>
      </w:r>
      <w:r w:rsidRPr="003B1083">
        <w:rPr>
          <w:sz w:val="24"/>
        </w:rPr>
        <w:t xml:space="preserve"> Q</w:t>
      </w:r>
      <w:smartTag w:uri="urn:schemas-microsoft-com:office:smarttags" w:element="chmetcnv">
        <w:smartTagPr>
          <w:attr w:name="TCSC" w:val="0"/>
          <w:attr w:name="NumberType" w:val="1"/>
          <w:attr w:name="Negative" w:val="False"/>
          <w:attr w:name="HasSpace" w:val="False"/>
          <w:attr w:name="SourceValue" w:val="1"/>
          <w:attr w:name="UnitName" w:val="C"/>
        </w:smartTagPr>
        <w:r w:rsidRPr="003B1083">
          <w:rPr>
            <w:sz w:val="24"/>
            <w:vertAlign w:val="subscript"/>
          </w:rPr>
          <w:t>1</w:t>
        </w:r>
        <w:r w:rsidRPr="003B1083">
          <w:rPr>
            <w:sz w:val="24"/>
          </w:rPr>
          <w:t>C</w:t>
        </w:r>
      </w:smartTag>
      <w:r w:rsidRPr="003B1083">
        <w:rPr>
          <w:sz w:val="24"/>
          <w:vertAlign w:val="subscript"/>
        </w:rPr>
        <w:t>1</w:t>
      </w:r>
      <w:r w:rsidRPr="003B1083">
        <w:rPr>
          <w:sz w:val="24"/>
        </w:rPr>
        <w:t>—</w:t>
      </w:r>
      <w:r w:rsidRPr="003B1083">
        <w:rPr>
          <w:rFonts w:hAnsi="宋体"/>
          <w:sz w:val="24"/>
        </w:rPr>
        <w:t>分别为上游流入的水量</w:t>
      </w:r>
      <w:r w:rsidRPr="003B1083">
        <w:rPr>
          <w:sz w:val="24"/>
        </w:rPr>
        <w:t>(m</w:t>
      </w:r>
      <w:r w:rsidRPr="003B1083">
        <w:rPr>
          <w:sz w:val="24"/>
          <w:vertAlign w:val="superscript"/>
        </w:rPr>
        <w:t>3</w:t>
      </w:r>
      <w:r w:rsidRPr="003B1083">
        <w:rPr>
          <w:sz w:val="24"/>
        </w:rPr>
        <w:t>/s)</w:t>
      </w:r>
      <w:r w:rsidRPr="003B1083">
        <w:rPr>
          <w:rFonts w:hAnsi="宋体"/>
          <w:sz w:val="24"/>
        </w:rPr>
        <w:t>和污染物浓度</w:t>
      </w:r>
      <w:r w:rsidRPr="003B1083">
        <w:rPr>
          <w:sz w:val="24"/>
        </w:rPr>
        <w:t>(mg/l)</w:t>
      </w:r>
      <w:r w:rsidRPr="003B1083">
        <w:rPr>
          <w:rFonts w:hAnsi="宋体"/>
          <w:sz w:val="24"/>
        </w:rPr>
        <w:t>，由于本项目上游无水，以此该项为</w:t>
      </w:r>
      <w:r w:rsidRPr="003B1083">
        <w:rPr>
          <w:sz w:val="24"/>
        </w:rPr>
        <w:t>0</w:t>
      </w:r>
      <w:r w:rsidRPr="003B1083">
        <w:rPr>
          <w:rFonts w:hAnsi="宋体"/>
          <w:sz w:val="24"/>
        </w:rPr>
        <w:t>；</w:t>
      </w:r>
    </w:p>
    <w:p w:rsidR="003F4036" w:rsidRPr="003B1083" w:rsidRDefault="003F4036" w:rsidP="003F4036">
      <w:pPr>
        <w:tabs>
          <w:tab w:val="num" w:pos="720"/>
        </w:tabs>
        <w:spacing w:line="520" w:lineRule="exact"/>
        <w:ind w:leftChars="50" w:left="140" w:firstLineChars="452" w:firstLine="1085"/>
        <w:rPr>
          <w:sz w:val="24"/>
          <w:vertAlign w:val="subscript"/>
        </w:rPr>
      </w:pPr>
      <w:r w:rsidRPr="003B1083">
        <w:rPr>
          <w:sz w:val="24"/>
        </w:rPr>
        <w:t>q</w:t>
      </w:r>
      <w:r w:rsidRPr="003B1083">
        <w:rPr>
          <w:sz w:val="24"/>
          <w:vertAlign w:val="subscript"/>
        </w:rPr>
        <w:t>i</w:t>
      </w:r>
      <w:r w:rsidRPr="003B1083">
        <w:rPr>
          <w:sz w:val="24"/>
        </w:rPr>
        <w:t>c</w:t>
      </w:r>
      <w:r w:rsidRPr="003B1083">
        <w:rPr>
          <w:sz w:val="24"/>
          <w:vertAlign w:val="subscript"/>
        </w:rPr>
        <w:t>i</w:t>
      </w:r>
      <w:r w:rsidRPr="003B1083">
        <w:rPr>
          <w:sz w:val="24"/>
        </w:rPr>
        <w:t>—</w:t>
      </w:r>
      <w:r w:rsidRPr="003B1083">
        <w:rPr>
          <w:rFonts w:hAnsi="宋体"/>
          <w:sz w:val="24"/>
        </w:rPr>
        <w:t>分别为排污口或支流的水量</w:t>
      </w:r>
      <w:r w:rsidRPr="003B1083">
        <w:rPr>
          <w:sz w:val="24"/>
        </w:rPr>
        <w:t>(m</w:t>
      </w:r>
      <w:r w:rsidRPr="003B1083">
        <w:rPr>
          <w:sz w:val="24"/>
          <w:vertAlign w:val="superscript"/>
        </w:rPr>
        <w:t>3</w:t>
      </w:r>
      <w:r w:rsidRPr="003B1083">
        <w:rPr>
          <w:sz w:val="24"/>
        </w:rPr>
        <w:t>/s)</w:t>
      </w:r>
      <w:r w:rsidRPr="003B1083">
        <w:rPr>
          <w:rFonts w:hAnsi="宋体"/>
          <w:sz w:val="24"/>
        </w:rPr>
        <w:t>和污染物浓度</w:t>
      </w:r>
      <w:r w:rsidRPr="003B1083">
        <w:rPr>
          <w:sz w:val="24"/>
        </w:rPr>
        <w:t>(mg/l)</w:t>
      </w:r>
      <w:r w:rsidRPr="003B1083">
        <w:rPr>
          <w:rFonts w:hAnsi="宋体"/>
          <w:sz w:val="24"/>
        </w:rPr>
        <w:t>，该段河流干旱年无支流，因此此项为矿井所排总废污水；</w:t>
      </w:r>
    </w:p>
    <w:p w:rsidR="003F4036" w:rsidRPr="003B1083" w:rsidRDefault="003F4036" w:rsidP="003F4036">
      <w:pPr>
        <w:tabs>
          <w:tab w:val="num" w:pos="720"/>
        </w:tabs>
        <w:spacing w:line="520" w:lineRule="exact"/>
        <w:ind w:leftChars="14" w:left="39" w:firstLineChars="500" w:firstLine="1200"/>
        <w:rPr>
          <w:sz w:val="24"/>
        </w:rPr>
      </w:pPr>
      <w:r w:rsidRPr="003B1083">
        <w:rPr>
          <w:sz w:val="24"/>
        </w:rPr>
        <w:t>Q</w:t>
      </w:r>
      <w:smartTag w:uri="urn:schemas-microsoft-com:office:smarttags" w:element="chmetcnv">
        <w:smartTagPr>
          <w:attr w:name="TCSC" w:val="0"/>
          <w:attr w:name="NumberType" w:val="1"/>
          <w:attr w:name="Negative" w:val="False"/>
          <w:attr w:name="HasSpace" w:val="False"/>
          <w:attr w:name="SourceValue" w:val="2"/>
          <w:attr w:name="UnitName" w:val="C"/>
        </w:smartTagPr>
        <w:r w:rsidRPr="003B1083">
          <w:rPr>
            <w:sz w:val="24"/>
            <w:vertAlign w:val="subscript"/>
          </w:rPr>
          <w:t>2</w:t>
        </w:r>
        <w:r w:rsidRPr="003B1083">
          <w:rPr>
            <w:sz w:val="24"/>
          </w:rPr>
          <w:t>C</w:t>
        </w:r>
      </w:smartTag>
      <w:r w:rsidRPr="003B1083">
        <w:rPr>
          <w:sz w:val="24"/>
          <w:vertAlign w:val="subscript"/>
        </w:rPr>
        <w:t>2</w:t>
      </w:r>
      <w:r w:rsidRPr="003B1083">
        <w:rPr>
          <w:sz w:val="24"/>
        </w:rPr>
        <w:t>—</w:t>
      </w:r>
      <w:r w:rsidRPr="003B1083">
        <w:rPr>
          <w:rFonts w:hAnsi="宋体"/>
          <w:sz w:val="24"/>
        </w:rPr>
        <w:t>分别为流出河段的水量</w:t>
      </w:r>
      <w:r w:rsidRPr="003B1083">
        <w:rPr>
          <w:sz w:val="24"/>
        </w:rPr>
        <w:t>(m</w:t>
      </w:r>
      <w:r w:rsidRPr="003B1083">
        <w:rPr>
          <w:sz w:val="24"/>
          <w:vertAlign w:val="superscript"/>
        </w:rPr>
        <w:t>3</w:t>
      </w:r>
      <w:r w:rsidRPr="003B1083">
        <w:rPr>
          <w:sz w:val="24"/>
        </w:rPr>
        <w:t>/s)</w:t>
      </w:r>
      <w:r w:rsidRPr="003B1083">
        <w:rPr>
          <w:rFonts w:hAnsi="宋体"/>
          <w:sz w:val="24"/>
        </w:rPr>
        <w:t>和污染物浓度</w:t>
      </w:r>
      <w:r w:rsidRPr="003B1083">
        <w:rPr>
          <w:sz w:val="24"/>
        </w:rPr>
        <w:t>(mg/l)</w:t>
      </w:r>
      <w:r w:rsidRPr="003B1083">
        <w:rPr>
          <w:rFonts w:hAnsi="宋体"/>
          <w:sz w:val="24"/>
        </w:rPr>
        <w:t>；</w:t>
      </w:r>
    </w:p>
    <w:p w:rsidR="003F4036" w:rsidRPr="003B1083" w:rsidRDefault="003F4036" w:rsidP="003F4036">
      <w:pPr>
        <w:tabs>
          <w:tab w:val="num" w:pos="720"/>
        </w:tabs>
        <w:spacing w:line="520" w:lineRule="exact"/>
        <w:ind w:firstLineChars="500" w:firstLine="1200"/>
        <w:rPr>
          <w:sz w:val="24"/>
        </w:rPr>
      </w:pPr>
      <w:r w:rsidRPr="003B1083">
        <w:rPr>
          <w:sz w:val="24"/>
        </w:rPr>
        <w:t>K—</w:t>
      </w:r>
      <w:r w:rsidRPr="003B1083">
        <w:rPr>
          <w:rFonts w:hAnsi="宋体"/>
          <w:sz w:val="24"/>
        </w:rPr>
        <w:t>污染物削减综合系数，取</w:t>
      </w:r>
      <w:r w:rsidRPr="003B1083">
        <w:rPr>
          <w:sz w:val="24"/>
        </w:rPr>
        <w:t>0.22(1/d)</w:t>
      </w:r>
    </w:p>
    <w:p w:rsidR="003F4036" w:rsidRPr="003B1083" w:rsidRDefault="003F4036" w:rsidP="003F4036">
      <w:pPr>
        <w:tabs>
          <w:tab w:val="num" w:pos="720"/>
        </w:tabs>
        <w:spacing w:line="520" w:lineRule="exact"/>
        <w:ind w:left="2799" w:hanging="2240"/>
        <w:rPr>
          <w:sz w:val="24"/>
        </w:rPr>
      </w:pPr>
      <w:r w:rsidRPr="003B1083">
        <w:rPr>
          <w:rFonts w:hAnsi="宋体"/>
          <w:sz w:val="24"/>
        </w:rPr>
        <w:t>根据上述条件，上式可简化为</w:t>
      </w:r>
    </w:p>
    <w:p w:rsidR="003F4036" w:rsidRPr="003B1083" w:rsidRDefault="003F4036" w:rsidP="009C5F33">
      <w:pPr>
        <w:tabs>
          <w:tab w:val="num" w:pos="720"/>
        </w:tabs>
        <w:spacing w:afterLines="50" w:line="520" w:lineRule="exact"/>
        <w:ind w:left="2240" w:hanging="2240"/>
        <w:rPr>
          <w:sz w:val="24"/>
        </w:rPr>
      </w:pPr>
      <w:r w:rsidRPr="003B1083">
        <w:rPr>
          <w:sz w:val="24"/>
        </w:rPr>
        <w:t xml:space="preserve">               </w:t>
      </w:r>
      <w:r w:rsidR="00CD0348" w:rsidRPr="003B1083">
        <w:rPr>
          <w:position w:val="-18"/>
          <w:sz w:val="24"/>
        </w:rPr>
        <w:object w:dxaOrig="2420" w:dyaOrig="460">
          <v:shape id="_x0000_i1069" type="#_x0000_t75" style="width:157.5pt;height:19.5pt" o:ole="">
            <v:imagedata r:id="rId111" o:title=""/>
          </v:shape>
          <o:OLEObject Type="Embed" ProgID="Equations" ShapeID="_x0000_i1069" DrawAspect="Content" ObjectID="_1695746932" r:id="rId112"/>
        </w:object>
      </w:r>
    </w:p>
    <w:p w:rsidR="003F4036" w:rsidRPr="003B1083" w:rsidRDefault="003F4036" w:rsidP="003F4036">
      <w:pPr>
        <w:tabs>
          <w:tab w:val="num" w:pos="720"/>
        </w:tabs>
        <w:spacing w:after="312" w:line="520" w:lineRule="exact"/>
        <w:ind w:left="2240" w:hanging="2240"/>
        <w:rPr>
          <w:sz w:val="24"/>
        </w:rPr>
      </w:pPr>
      <w:r w:rsidRPr="003B1083">
        <w:rPr>
          <w:sz w:val="24"/>
        </w:rPr>
        <w:t xml:space="preserve">             </w:t>
      </w:r>
      <w:r w:rsidRPr="003B1083">
        <w:rPr>
          <w:position w:val="-10"/>
          <w:sz w:val="24"/>
        </w:rPr>
        <w:object w:dxaOrig="180" w:dyaOrig="340">
          <v:shape id="_x0000_i1070" type="#_x0000_t75" style="width:9pt;height:17.25pt" o:ole="">
            <v:imagedata r:id="rId86" o:title=""/>
          </v:shape>
          <o:OLEObject Type="Embed" ProgID="Equations" ShapeID="_x0000_i1070" DrawAspect="Content" ObjectID="_1695746933" r:id="rId113"/>
        </w:object>
      </w:r>
      <w:r w:rsidR="00CD0348" w:rsidRPr="003B1083">
        <w:rPr>
          <w:position w:val="-20"/>
          <w:sz w:val="24"/>
        </w:rPr>
        <w:object w:dxaOrig="4420" w:dyaOrig="480">
          <v:shape id="_x0000_i1071" type="#_x0000_t75" style="width:246.75pt;height:19.5pt" o:ole="">
            <v:imagedata r:id="rId114" o:title=""/>
          </v:shape>
          <o:OLEObject Type="Embed" ProgID="Equations" ShapeID="_x0000_i1071" DrawAspect="Content" ObjectID="_1695746934" r:id="rId115"/>
        </w:object>
      </w:r>
      <w:r w:rsidRPr="003B1083">
        <w:rPr>
          <w:position w:val="-10"/>
          <w:sz w:val="24"/>
        </w:rPr>
        <w:object w:dxaOrig="180" w:dyaOrig="340">
          <v:shape id="_x0000_i1072" type="#_x0000_t75" style="width:9pt;height:17.25pt" o:ole="">
            <v:imagedata r:id="rId86" o:title=""/>
          </v:shape>
          <o:OLEObject Type="Embed" ProgID="Equations" ShapeID="_x0000_i1072" DrawAspect="Content" ObjectID="_1695746935" r:id="rId116"/>
        </w:object>
      </w:r>
    </w:p>
    <w:p w:rsidR="003F4036" w:rsidRPr="003B1083" w:rsidRDefault="003F4036" w:rsidP="003F4036">
      <w:pPr>
        <w:tabs>
          <w:tab w:val="num" w:pos="720"/>
        </w:tabs>
        <w:spacing w:after="312" w:line="520" w:lineRule="exact"/>
        <w:ind w:left="2799" w:hanging="2240"/>
        <w:rPr>
          <w:sz w:val="24"/>
        </w:rPr>
      </w:pPr>
      <w:r w:rsidRPr="003B1083">
        <w:rPr>
          <w:sz w:val="24"/>
        </w:rPr>
        <w:lastRenderedPageBreak/>
        <w:t xml:space="preserve">          </w:t>
      </w:r>
      <w:r w:rsidR="00CD0348" w:rsidRPr="003B1083">
        <w:rPr>
          <w:position w:val="-40"/>
          <w:sz w:val="24"/>
        </w:rPr>
        <w:object w:dxaOrig="2880" w:dyaOrig="920">
          <v:shape id="_x0000_i1073" type="#_x0000_t75" style="width:178.5pt;height:36pt" o:ole="">
            <v:imagedata r:id="rId117" o:title=""/>
          </v:shape>
          <o:OLEObject Type="Embed" ProgID="Equations" ShapeID="_x0000_i1073" DrawAspect="Content" ObjectID="_1695746936" r:id="rId118"/>
        </w:object>
      </w:r>
    </w:p>
    <w:p w:rsidR="0066567A" w:rsidRPr="003B1083" w:rsidRDefault="0066567A" w:rsidP="0066567A">
      <w:pPr>
        <w:tabs>
          <w:tab w:val="num" w:pos="720"/>
        </w:tabs>
        <w:spacing w:line="520" w:lineRule="exact"/>
        <w:ind w:firstLineChars="200" w:firstLine="480"/>
        <w:rPr>
          <w:sz w:val="24"/>
        </w:rPr>
      </w:pPr>
      <w:r w:rsidRPr="003B1083">
        <w:rPr>
          <w:rFonts w:hAnsi="宋体"/>
          <w:sz w:val="24"/>
        </w:rPr>
        <w:t>将上述各参数带入上式，经计算矿井排水废污水经</w:t>
      </w:r>
      <w:r>
        <w:rPr>
          <w:rFonts w:hint="eastAsia"/>
          <w:sz w:val="24"/>
        </w:rPr>
        <w:t>5.3</w:t>
      </w:r>
      <w:r w:rsidRPr="003B1083">
        <w:rPr>
          <w:sz w:val="24"/>
        </w:rPr>
        <w:t>km</w:t>
      </w:r>
      <w:r>
        <w:rPr>
          <w:rFonts w:hAnsi="宋体" w:hint="eastAsia"/>
          <w:sz w:val="24"/>
        </w:rPr>
        <w:t>河道</w:t>
      </w:r>
      <w:r w:rsidRPr="003B1083">
        <w:rPr>
          <w:rFonts w:hAnsi="宋体"/>
          <w:sz w:val="24"/>
        </w:rPr>
        <w:t>入</w:t>
      </w:r>
      <w:r>
        <w:rPr>
          <w:rFonts w:hint="eastAsia"/>
          <w:sz w:val="24"/>
        </w:rPr>
        <w:t>纸坊水库</w:t>
      </w:r>
      <w:r w:rsidRPr="003B1083">
        <w:rPr>
          <w:rFonts w:hAnsi="宋体"/>
          <w:sz w:val="24"/>
        </w:rPr>
        <w:t>处断面</w:t>
      </w:r>
      <w:r w:rsidRPr="003B1083">
        <w:rPr>
          <w:sz w:val="24"/>
        </w:rPr>
        <w:t>COD</w:t>
      </w:r>
      <w:r w:rsidRPr="003B1083">
        <w:rPr>
          <w:rFonts w:hAnsi="宋体"/>
          <w:sz w:val="24"/>
        </w:rPr>
        <w:t>和</w:t>
      </w:r>
      <w:r>
        <w:rPr>
          <w:rFonts w:hAnsi="宋体" w:hint="eastAsia"/>
          <w:sz w:val="24"/>
        </w:rPr>
        <w:t>氨氮</w:t>
      </w:r>
      <w:r w:rsidRPr="003B1083">
        <w:rPr>
          <w:rFonts w:hAnsi="宋体"/>
          <w:sz w:val="24"/>
        </w:rPr>
        <w:t>浓度预测值分别为：</w:t>
      </w:r>
    </w:p>
    <w:p w:rsidR="003F4036" w:rsidRPr="003B1083" w:rsidRDefault="0066567A" w:rsidP="003F4036">
      <w:pPr>
        <w:tabs>
          <w:tab w:val="num" w:pos="720"/>
        </w:tabs>
        <w:spacing w:line="520" w:lineRule="exact"/>
        <w:ind w:firstLineChars="200" w:firstLine="480"/>
        <w:rPr>
          <w:sz w:val="24"/>
        </w:rPr>
      </w:pPr>
      <w:r w:rsidRPr="003B1083">
        <w:rPr>
          <w:rFonts w:hAnsi="宋体"/>
          <w:sz w:val="24"/>
        </w:rPr>
        <w:t>①</w:t>
      </w:r>
      <w:r w:rsidR="003F4036" w:rsidRPr="003B1083">
        <w:rPr>
          <w:rFonts w:hAnsi="宋体"/>
          <w:sz w:val="24"/>
        </w:rPr>
        <w:t>正常排放情况下：</w:t>
      </w:r>
    </w:p>
    <w:p w:rsidR="0066567A" w:rsidRDefault="003F4036" w:rsidP="0066567A">
      <w:pPr>
        <w:spacing w:line="520" w:lineRule="exact"/>
        <w:ind w:firstLine="465"/>
        <w:rPr>
          <w:rFonts w:hAnsi="宋体"/>
          <w:sz w:val="24"/>
        </w:rPr>
      </w:pPr>
      <w:r w:rsidRPr="003B1083">
        <w:rPr>
          <w:sz w:val="24"/>
        </w:rPr>
        <w:t>C</w:t>
      </w:r>
      <w:r w:rsidRPr="003B1083">
        <w:rPr>
          <w:sz w:val="24"/>
          <w:vertAlign w:val="subscript"/>
        </w:rPr>
        <w:t>COD</w:t>
      </w:r>
      <w:r w:rsidRPr="003B1083">
        <w:rPr>
          <w:sz w:val="24"/>
        </w:rPr>
        <w:t>=</w:t>
      </w:r>
      <w:r w:rsidR="0066567A">
        <w:rPr>
          <w:rFonts w:hint="eastAsia"/>
          <w:sz w:val="24"/>
        </w:rPr>
        <w:t>14.27</w:t>
      </w:r>
      <w:r w:rsidRPr="003B1083">
        <w:rPr>
          <w:sz w:val="24"/>
        </w:rPr>
        <w:t>mg/L</w:t>
      </w:r>
    </w:p>
    <w:p w:rsidR="003F4036" w:rsidRPr="003B1083" w:rsidRDefault="003F4036" w:rsidP="0066567A">
      <w:pPr>
        <w:spacing w:line="520" w:lineRule="exact"/>
        <w:ind w:firstLine="465"/>
        <w:rPr>
          <w:sz w:val="24"/>
        </w:rPr>
      </w:pPr>
      <w:r w:rsidRPr="003B1083">
        <w:rPr>
          <w:sz w:val="24"/>
        </w:rPr>
        <w:t>C</w:t>
      </w:r>
      <w:r w:rsidR="0066567A">
        <w:rPr>
          <w:rFonts w:hint="eastAsia"/>
          <w:sz w:val="24"/>
          <w:vertAlign w:val="subscript"/>
        </w:rPr>
        <w:t>氨氮</w:t>
      </w:r>
      <w:r w:rsidRPr="003B1083">
        <w:rPr>
          <w:sz w:val="24"/>
        </w:rPr>
        <w:t>=</w:t>
      </w:r>
      <w:r w:rsidR="0066567A">
        <w:rPr>
          <w:rFonts w:hint="eastAsia"/>
          <w:sz w:val="24"/>
        </w:rPr>
        <w:t>0.22</w:t>
      </w:r>
      <w:r w:rsidRPr="003B1083">
        <w:rPr>
          <w:sz w:val="24"/>
        </w:rPr>
        <w:t>mg/L</w:t>
      </w:r>
    </w:p>
    <w:p w:rsidR="003F4036" w:rsidRPr="003B1083" w:rsidRDefault="0066567A" w:rsidP="003F4036">
      <w:pPr>
        <w:spacing w:line="520" w:lineRule="exact"/>
        <w:ind w:firstLineChars="200" w:firstLine="480"/>
        <w:rPr>
          <w:color w:val="000000"/>
          <w:sz w:val="24"/>
        </w:rPr>
      </w:pPr>
      <w:r w:rsidRPr="00833BCA">
        <w:rPr>
          <w:rFonts w:hAnsi="宋体"/>
          <w:sz w:val="24"/>
        </w:rPr>
        <w:t>②</w:t>
      </w:r>
      <w:r w:rsidR="003F4036" w:rsidRPr="003B1083">
        <w:rPr>
          <w:rFonts w:hAnsi="宋体"/>
          <w:color w:val="000000"/>
          <w:sz w:val="24"/>
        </w:rPr>
        <w:t>非正常排放情况下：</w:t>
      </w:r>
    </w:p>
    <w:p w:rsidR="0066567A" w:rsidRDefault="003F4036" w:rsidP="0066567A">
      <w:pPr>
        <w:spacing w:line="520" w:lineRule="exact"/>
        <w:ind w:firstLineChars="200" w:firstLine="480"/>
        <w:rPr>
          <w:rFonts w:hAnsi="宋体"/>
          <w:sz w:val="24"/>
        </w:rPr>
      </w:pPr>
      <w:r w:rsidRPr="003B1083">
        <w:rPr>
          <w:sz w:val="24"/>
        </w:rPr>
        <w:t>C</w:t>
      </w:r>
      <w:r w:rsidRPr="003B1083">
        <w:rPr>
          <w:sz w:val="24"/>
          <w:vertAlign w:val="subscript"/>
        </w:rPr>
        <w:t>COD</w:t>
      </w:r>
      <w:r w:rsidRPr="003B1083">
        <w:rPr>
          <w:sz w:val="24"/>
        </w:rPr>
        <w:t>=</w:t>
      </w:r>
      <w:r w:rsidR="0066567A">
        <w:rPr>
          <w:rFonts w:hint="eastAsia"/>
          <w:sz w:val="24"/>
        </w:rPr>
        <w:t>32.12</w:t>
      </w:r>
      <w:r w:rsidRPr="003B1083">
        <w:rPr>
          <w:sz w:val="24"/>
        </w:rPr>
        <w:t>mg/L</w:t>
      </w:r>
    </w:p>
    <w:p w:rsidR="003F4036" w:rsidRPr="003B1083" w:rsidRDefault="0066567A" w:rsidP="0066567A">
      <w:pPr>
        <w:spacing w:line="520" w:lineRule="exact"/>
        <w:ind w:firstLineChars="200" w:firstLine="480"/>
        <w:rPr>
          <w:sz w:val="24"/>
        </w:rPr>
      </w:pPr>
      <w:r w:rsidRPr="003B1083">
        <w:rPr>
          <w:sz w:val="24"/>
        </w:rPr>
        <w:t>C</w:t>
      </w:r>
      <w:r>
        <w:rPr>
          <w:rFonts w:hint="eastAsia"/>
          <w:sz w:val="24"/>
          <w:vertAlign w:val="subscript"/>
        </w:rPr>
        <w:t>氨氮</w:t>
      </w:r>
      <w:r w:rsidRPr="003B1083">
        <w:rPr>
          <w:sz w:val="24"/>
        </w:rPr>
        <w:t>=</w:t>
      </w:r>
      <w:r>
        <w:rPr>
          <w:rFonts w:hint="eastAsia"/>
          <w:sz w:val="24"/>
        </w:rPr>
        <w:t>0.37</w:t>
      </w:r>
      <w:r w:rsidRPr="003B1083">
        <w:rPr>
          <w:sz w:val="24"/>
        </w:rPr>
        <w:t>mg/L</w:t>
      </w:r>
    </w:p>
    <w:p w:rsidR="008930D2" w:rsidRPr="008930D2" w:rsidRDefault="008930D2" w:rsidP="0059206B">
      <w:pPr>
        <w:spacing w:line="520" w:lineRule="exact"/>
        <w:ind w:firstLineChars="100" w:firstLine="241"/>
        <w:rPr>
          <w:sz w:val="24"/>
        </w:rPr>
      </w:pPr>
      <w:r w:rsidRPr="008930D2">
        <w:rPr>
          <w:rFonts w:hint="eastAsia"/>
          <w:b/>
          <w:sz w:val="24"/>
        </w:rPr>
        <w:t>（</w:t>
      </w:r>
      <w:r w:rsidRPr="008930D2">
        <w:rPr>
          <w:rFonts w:hint="eastAsia"/>
          <w:b/>
          <w:sz w:val="24"/>
        </w:rPr>
        <w:t>4</w:t>
      </w:r>
      <w:r w:rsidRPr="008930D2">
        <w:rPr>
          <w:rFonts w:hint="eastAsia"/>
          <w:b/>
          <w:sz w:val="24"/>
        </w:rPr>
        <w:t>）</w:t>
      </w:r>
      <w:r w:rsidRPr="008930D2">
        <w:rPr>
          <w:sz w:val="24"/>
        </w:rPr>
        <w:t>水质预测评价</w:t>
      </w:r>
    </w:p>
    <w:p w:rsidR="008930D2" w:rsidRDefault="008930D2" w:rsidP="0059206B">
      <w:pPr>
        <w:spacing w:line="520" w:lineRule="exact"/>
        <w:ind w:firstLineChars="200" w:firstLine="480"/>
        <w:rPr>
          <w:bCs/>
          <w:sz w:val="24"/>
        </w:rPr>
      </w:pPr>
      <w:r w:rsidRPr="008930D2">
        <w:rPr>
          <w:rFonts w:hint="eastAsia"/>
          <w:bCs/>
          <w:sz w:val="24"/>
        </w:rPr>
        <w:t>在正常工况条件下，外排废水</w:t>
      </w:r>
      <w:r w:rsidRPr="008930D2">
        <w:rPr>
          <w:rFonts w:hint="eastAsia"/>
          <w:bCs/>
          <w:sz w:val="24"/>
        </w:rPr>
        <w:t>COD</w:t>
      </w:r>
      <w:r w:rsidRPr="008930D2">
        <w:rPr>
          <w:rFonts w:hint="eastAsia"/>
          <w:bCs/>
          <w:sz w:val="24"/>
        </w:rPr>
        <w:t>浓度为</w:t>
      </w:r>
      <w:r>
        <w:rPr>
          <w:rFonts w:hint="eastAsia"/>
          <w:bCs/>
          <w:sz w:val="24"/>
        </w:rPr>
        <w:t>20</w:t>
      </w:r>
      <w:r w:rsidRPr="008930D2">
        <w:rPr>
          <w:rFonts w:hint="eastAsia"/>
          <w:bCs/>
          <w:sz w:val="24"/>
        </w:rPr>
        <w:t>.0</w:t>
      </w:r>
      <w:r w:rsidRPr="008930D2">
        <w:rPr>
          <w:sz w:val="24"/>
        </w:rPr>
        <w:t xml:space="preserve">mg/L </w:t>
      </w:r>
      <w:r w:rsidRPr="008930D2">
        <w:rPr>
          <w:rFonts w:hint="eastAsia"/>
          <w:sz w:val="24"/>
        </w:rPr>
        <w:t>、</w:t>
      </w:r>
      <w:r w:rsidRPr="008930D2">
        <w:rPr>
          <w:sz w:val="24"/>
        </w:rPr>
        <w:t>NH</w:t>
      </w:r>
      <w:r w:rsidRPr="008930D2">
        <w:rPr>
          <w:sz w:val="24"/>
          <w:vertAlign w:val="subscript"/>
        </w:rPr>
        <w:t>3</w:t>
      </w:r>
      <w:r w:rsidRPr="008930D2">
        <w:rPr>
          <w:sz w:val="24"/>
        </w:rPr>
        <w:t>-N</w:t>
      </w:r>
      <w:r w:rsidRPr="008930D2">
        <w:rPr>
          <w:rFonts w:hint="eastAsia"/>
          <w:bCs/>
          <w:sz w:val="24"/>
        </w:rPr>
        <w:t>浓度为</w:t>
      </w:r>
      <w:r w:rsidRPr="008930D2">
        <w:rPr>
          <w:rFonts w:hint="eastAsia"/>
          <w:bCs/>
          <w:sz w:val="24"/>
        </w:rPr>
        <w:t>0.</w:t>
      </w:r>
      <w:r>
        <w:rPr>
          <w:rFonts w:hint="eastAsia"/>
          <w:bCs/>
          <w:sz w:val="24"/>
        </w:rPr>
        <w:t>314</w:t>
      </w:r>
      <w:r w:rsidRPr="008930D2">
        <w:rPr>
          <w:sz w:val="24"/>
        </w:rPr>
        <w:t>mg/L</w:t>
      </w:r>
      <w:r w:rsidRPr="008930D2">
        <w:rPr>
          <w:rFonts w:hint="eastAsia"/>
          <w:sz w:val="24"/>
        </w:rPr>
        <w:t>，</w:t>
      </w:r>
      <w:r w:rsidRPr="003B1083">
        <w:rPr>
          <w:rFonts w:hAnsi="宋体"/>
          <w:sz w:val="24"/>
        </w:rPr>
        <w:t>经</w:t>
      </w:r>
      <w:r w:rsidRPr="008930D2">
        <w:rPr>
          <w:rFonts w:hint="eastAsia"/>
          <w:bCs/>
          <w:sz w:val="24"/>
        </w:rPr>
        <w:t>预测</w:t>
      </w:r>
      <w:r w:rsidRPr="003B1083">
        <w:rPr>
          <w:rFonts w:hAnsi="宋体"/>
          <w:sz w:val="24"/>
        </w:rPr>
        <w:t>计算</w:t>
      </w:r>
      <w:r>
        <w:rPr>
          <w:rFonts w:hAnsi="宋体" w:hint="eastAsia"/>
          <w:sz w:val="24"/>
        </w:rPr>
        <w:t>，</w:t>
      </w:r>
      <w:r w:rsidRPr="003B1083">
        <w:rPr>
          <w:rFonts w:hAnsi="宋体"/>
          <w:sz w:val="24"/>
        </w:rPr>
        <w:t>矿井排水废污水经</w:t>
      </w:r>
      <w:r>
        <w:rPr>
          <w:rFonts w:hint="eastAsia"/>
          <w:sz w:val="24"/>
        </w:rPr>
        <w:t>5.3</w:t>
      </w:r>
      <w:r w:rsidRPr="003B1083">
        <w:rPr>
          <w:sz w:val="24"/>
        </w:rPr>
        <w:t>km</w:t>
      </w:r>
      <w:r>
        <w:rPr>
          <w:rFonts w:hAnsi="宋体" w:hint="eastAsia"/>
          <w:sz w:val="24"/>
        </w:rPr>
        <w:t>河道</w:t>
      </w:r>
      <w:r w:rsidRPr="003B1083">
        <w:rPr>
          <w:rFonts w:hAnsi="宋体"/>
          <w:sz w:val="24"/>
        </w:rPr>
        <w:t>入</w:t>
      </w:r>
      <w:r>
        <w:rPr>
          <w:rFonts w:hint="eastAsia"/>
          <w:sz w:val="24"/>
        </w:rPr>
        <w:t>纸坊水库</w:t>
      </w:r>
      <w:r w:rsidRPr="003B1083">
        <w:rPr>
          <w:rFonts w:hAnsi="宋体"/>
          <w:sz w:val="24"/>
        </w:rPr>
        <w:t>处</w:t>
      </w:r>
      <w:r w:rsidRPr="008930D2">
        <w:rPr>
          <w:rFonts w:hint="eastAsia"/>
          <w:bCs/>
          <w:sz w:val="24"/>
        </w:rPr>
        <w:t>COD</w:t>
      </w:r>
      <w:r w:rsidRPr="008930D2">
        <w:rPr>
          <w:rFonts w:hint="eastAsia"/>
          <w:bCs/>
          <w:sz w:val="24"/>
        </w:rPr>
        <w:t>浓度为</w:t>
      </w:r>
      <w:r>
        <w:rPr>
          <w:rFonts w:hint="eastAsia"/>
          <w:bCs/>
          <w:sz w:val="24"/>
        </w:rPr>
        <w:t>14.27</w:t>
      </w:r>
      <w:r w:rsidRPr="008930D2">
        <w:rPr>
          <w:sz w:val="24"/>
        </w:rPr>
        <w:t xml:space="preserve">mg/L </w:t>
      </w:r>
      <w:r w:rsidRPr="008930D2">
        <w:rPr>
          <w:rFonts w:hint="eastAsia"/>
          <w:sz w:val="24"/>
        </w:rPr>
        <w:t>、</w:t>
      </w:r>
      <w:r w:rsidRPr="008930D2">
        <w:rPr>
          <w:sz w:val="24"/>
        </w:rPr>
        <w:t>NH</w:t>
      </w:r>
      <w:r w:rsidRPr="008930D2">
        <w:rPr>
          <w:sz w:val="24"/>
          <w:vertAlign w:val="subscript"/>
        </w:rPr>
        <w:t>3</w:t>
      </w:r>
      <w:r w:rsidRPr="008930D2">
        <w:rPr>
          <w:sz w:val="24"/>
        </w:rPr>
        <w:t>-N</w:t>
      </w:r>
      <w:r w:rsidRPr="008930D2">
        <w:rPr>
          <w:rFonts w:hint="eastAsia"/>
          <w:bCs/>
          <w:sz w:val="24"/>
        </w:rPr>
        <w:t>浓度为</w:t>
      </w:r>
      <w:r w:rsidRPr="008930D2">
        <w:rPr>
          <w:rFonts w:hint="eastAsia"/>
          <w:bCs/>
          <w:sz w:val="24"/>
        </w:rPr>
        <w:t>0.</w:t>
      </w:r>
      <w:r>
        <w:rPr>
          <w:rFonts w:hint="eastAsia"/>
          <w:bCs/>
          <w:sz w:val="24"/>
        </w:rPr>
        <w:t>22</w:t>
      </w:r>
      <w:r w:rsidRPr="008930D2">
        <w:rPr>
          <w:sz w:val="24"/>
        </w:rPr>
        <w:t>mg/L</w:t>
      </w:r>
      <w:r>
        <w:rPr>
          <w:rFonts w:hint="eastAsia"/>
          <w:sz w:val="24"/>
        </w:rPr>
        <w:t>，</w:t>
      </w:r>
      <w:r w:rsidR="00B739AD">
        <w:rPr>
          <w:rFonts w:hint="eastAsia"/>
          <w:bCs/>
          <w:sz w:val="24"/>
        </w:rPr>
        <w:t>均满足</w:t>
      </w:r>
      <w:r w:rsidRPr="008930D2">
        <w:rPr>
          <w:rFonts w:hAnsi="宋体" w:hint="eastAsia"/>
          <w:sz w:val="24"/>
        </w:rPr>
        <w:t>《地表水环境质量标准》（</w:t>
      </w:r>
      <w:r w:rsidRPr="008930D2">
        <w:rPr>
          <w:sz w:val="24"/>
        </w:rPr>
        <w:t>GB3838-2002</w:t>
      </w:r>
      <w:r w:rsidRPr="008930D2">
        <w:rPr>
          <w:rFonts w:hAnsi="宋体" w:hint="eastAsia"/>
          <w:sz w:val="24"/>
        </w:rPr>
        <w:t>）</w:t>
      </w:r>
      <w:r w:rsidRPr="008930D2">
        <w:rPr>
          <w:rFonts w:hint="eastAsia"/>
          <w:bCs/>
          <w:sz w:val="24"/>
        </w:rPr>
        <w:t>Ⅲ类水质标准</w:t>
      </w:r>
      <w:r w:rsidR="00B739AD">
        <w:rPr>
          <w:rFonts w:hint="eastAsia"/>
          <w:bCs/>
          <w:sz w:val="24"/>
        </w:rPr>
        <w:t>。</w:t>
      </w:r>
    </w:p>
    <w:p w:rsidR="00B739AD" w:rsidRPr="00B56224" w:rsidRDefault="008930D2" w:rsidP="00B56224">
      <w:pPr>
        <w:spacing w:line="520" w:lineRule="exact"/>
        <w:ind w:firstLineChars="200" w:firstLine="482"/>
        <w:rPr>
          <w:b/>
          <w:bCs/>
          <w:i/>
          <w:sz w:val="24"/>
          <w:u w:val="single"/>
        </w:rPr>
      </w:pPr>
      <w:r w:rsidRPr="00B56224">
        <w:rPr>
          <w:rFonts w:hint="eastAsia"/>
          <w:b/>
          <w:bCs/>
          <w:i/>
          <w:sz w:val="24"/>
          <w:u w:val="single"/>
        </w:rPr>
        <w:t>在非正常工况状态下，外排废水</w:t>
      </w:r>
      <w:r w:rsidRPr="00B56224">
        <w:rPr>
          <w:rFonts w:hint="eastAsia"/>
          <w:b/>
          <w:bCs/>
          <w:i/>
          <w:sz w:val="24"/>
          <w:u w:val="single"/>
        </w:rPr>
        <w:t>COD</w:t>
      </w:r>
      <w:r w:rsidRPr="00B56224">
        <w:rPr>
          <w:rFonts w:hint="eastAsia"/>
          <w:b/>
          <w:bCs/>
          <w:i/>
          <w:sz w:val="24"/>
          <w:u w:val="single"/>
        </w:rPr>
        <w:t>浓度为</w:t>
      </w:r>
      <w:r w:rsidRPr="00B56224">
        <w:rPr>
          <w:rFonts w:hint="eastAsia"/>
          <w:b/>
          <w:bCs/>
          <w:i/>
          <w:sz w:val="24"/>
          <w:u w:val="single"/>
        </w:rPr>
        <w:t>45.0</w:t>
      </w:r>
      <w:r w:rsidRPr="00B56224">
        <w:rPr>
          <w:b/>
          <w:i/>
          <w:sz w:val="24"/>
          <w:u w:val="single"/>
        </w:rPr>
        <w:t xml:space="preserve">mg/L </w:t>
      </w:r>
      <w:r w:rsidRPr="00B56224">
        <w:rPr>
          <w:rFonts w:hint="eastAsia"/>
          <w:b/>
          <w:i/>
          <w:sz w:val="24"/>
          <w:u w:val="single"/>
        </w:rPr>
        <w:t>、</w:t>
      </w:r>
      <w:r w:rsidRPr="00B56224">
        <w:rPr>
          <w:b/>
          <w:i/>
          <w:sz w:val="24"/>
          <w:u w:val="single"/>
        </w:rPr>
        <w:t>NH</w:t>
      </w:r>
      <w:r w:rsidRPr="00B56224">
        <w:rPr>
          <w:b/>
          <w:i/>
          <w:sz w:val="24"/>
          <w:u w:val="single"/>
          <w:vertAlign w:val="subscript"/>
        </w:rPr>
        <w:t>3</w:t>
      </w:r>
      <w:r w:rsidRPr="00B56224">
        <w:rPr>
          <w:b/>
          <w:i/>
          <w:sz w:val="24"/>
          <w:u w:val="single"/>
        </w:rPr>
        <w:t>-N</w:t>
      </w:r>
      <w:r w:rsidRPr="00B56224">
        <w:rPr>
          <w:rFonts w:hint="eastAsia"/>
          <w:b/>
          <w:bCs/>
          <w:i/>
          <w:sz w:val="24"/>
          <w:u w:val="single"/>
        </w:rPr>
        <w:t>浓度为</w:t>
      </w:r>
      <w:r w:rsidRPr="00B56224">
        <w:rPr>
          <w:rFonts w:hint="eastAsia"/>
          <w:b/>
          <w:bCs/>
          <w:i/>
          <w:sz w:val="24"/>
          <w:u w:val="single"/>
        </w:rPr>
        <w:t>0.523</w:t>
      </w:r>
      <w:r w:rsidRPr="00B56224">
        <w:rPr>
          <w:b/>
          <w:i/>
          <w:sz w:val="24"/>
          <w:u w:val="single"/>
        </w:rPr>
        <w:t>mg/L</w:t>
      </w:r>
      <w:r w:rsidRPr="00B56224">
        <w:rPr>
          <w:rFonts w:hint="eastAsia"/>
          <w:b/>
          <w:i/>
          <w:sz w:val="24"/>
          <w:u w:val="single"/>
        </w:rPr>
        <w:t>，</w:t>
      </w:r>
      <w:r w:rsidR="00B739AD" w:rsidRPr="00B56224">
        <w:rPr>
          <w:rFonts w:hAnsi="宋体"/>
          <w:b/>
          <w:i/>
          <w:sz w:val="24"/>
          <w:u w:val="single"/>
        </w:rPr>
        <w:t>矿井排水废污水经</w:t>
      </w:r>
      <w:r w:rsidR="00B739AD" w:rsidRPr="00B56224">
        <w:rPr>
          <w:rFonts w:hint="eastAsia"/>
          <w:b/>
          <w:i/>
          <w:sz w:val="24"/>
          <w:u w:val="single"/>
        </w:rPr>
        <w:t>5.3</w:t>
      </w:r>
      <w:r w:rsidR="00B739AD" w:rsidRPr="00B56224">
        <w:rPr>
          <w:b/>
          <w:i/>
          <w:sz w:val="24"/>
          <w:u w:val="single"/>
        </w:rPr>
        <w:t>km</w:t>
      </w:r>
      <w:r w:rsidR="00B739AD" w:rsidRPr="00B56224">
        <w:rPr>
          <w:rFonts w:hAnsi="宋体" w:hint="eastAsia"/>
          <w:b/>
          <w:i/>
          <w:sz w:val="24"/>
          <w:u w:val="single"/>
        </w:rPr>
        <w:t>河道</w:t>
      </w:r>
      <w:r w:rsidR="00B739AD" w:rsidRPr="00B56224">
        <w:rPr>
          <w:rFonts w:hAnsi="宋体"/>
          <w:b/>
          <w:i/>
          <w:sz w:val="24"/>
          <w:u w:val="single"/>
        </w:rPr>
        <w:t>入</w:t>
      </w:r>
      <w:r w:rsidR="00B739AD" w:rsidRPr="00B56224">
        <w:rPr>
          <w:rFonts w:hint="eastAsia"/>
          <w:b/>
          <w:i/>
          <w:sz w:val="24"/>
          <w:u w:val="single"/>
        </w:rPr>
        <w:t>纸坊水库</w:t>
      </w:r>
      <w:r w:rsidR="00B739AD" w:rsidRPr="00B56224">
        <w:rPr>
          <w:rFonts w:hAnsi="宋体"/>
          <w:b/>
          <w:i/>
          <w:sz w:val="24"/>
          <w:u w:val="single"/>
        </w:rPr>
        <w:t>处</w:t>
      </w:r>
      <w:r w:rsidR="00B739AD" w:rsidRPr="00B56224">
        <w:rPr>
          <w:rFonts w:hint="eastAsia"/>
          <w:b/>
          <w:bCs/>
          <w:i/>
          <w:sz w:val="24"/>
          <w:u w:val="single"/>
        </w:rPr>
        <w:t>COD</w:t>
      </w:r>
      <w:r w:rsidR="00B739AD" w:rsidRPr="00B56224">
        <w:rPr>
          <w:rFonts w:hint="eastAsia"/>
          <w:b/>
          <w:bCs/>
          <w:i/>
          <w:sz w:val="24"/>
          <w:u w:val="single"/>
        </w:rPr>
        <w:t>浓度为</w:t>
      </w:r>
      <w:r w:rsidR="00B739AD" w:rsidRPr="00B56224">
        <w:rPr>
          <w:rFonts w:hint="eastAsia"/>
          <w:b/>
          <w:bCs/>
          <w:i/>
          <w:sz w:val="24"/>
          <w:u w:val="single"/>
        </w:rPr>
        <w:t>32.12</w:t>
      </w:r>
      <w:r w:rsidR="00B739AD" w:rsidRPr="00B56224">
        <w:rPr>
          <w:b/>
          <w:i/>
          <w:sz w:val="24"/>
          <w:u w:val="single"/>
        </w:rPr>
        <w:t xml:space="preserve">mg/L </w:t>
      </w:r>
      <w:r w:rsidR="00B739AD" w:rsidRPr="00B56224">
        <w:rPr>
          <w:rFonts w:hint="eastAsia"/>
          <w:b/>
          <w:i/>
          <w:sz w:val="24"/>
          <w:u w:val="single"/>
        </w:rPr>
        <w:t>、</w:t>
      </w:r>
      <w:r w:rsidR="00B739AD" w:rsidRPr="00B56224">
        <w:rPr>
          <w:b/>
          <w:i/>
          <w:sz w:val="24"/>
          <w:u w:val="single"/>
        </w:rPr>
        <w:t>NH</w:t>
      </w:r>
      <w:r w:rsidR="00B739AD" w:rsidRPr="00B56224">
        <w:rPr>
          <w:b/>
          <w:i/>
          <w:sz w:val="24"/>
          <w:u w:val="single"/>
          <w:vertAlign w:val="subscript"/>
        </w:rPr>
        <w:t>3</w:t>
      </w:r>
      <w:r w:rsidR="00B739AD" w:rsidRPr="00B56224">
        <w:rPr>
          <w:b/>
          <w:i/>
          <w:sz w:val="24"/>
          <w:u w:val="single"/>
        </w:rPr>
        <w:t>-N</w:t>
      </w:r>
      <w:r w:rsidR="00B739AD" w:rsidRPr="00B56224">
        <w:rPr>
          <w:rFonts w:hint="eastAsia"/>
          <w:b/>
          <w:bCs/>
          <w:i/>
          <w:sz w:val="24"/>
          <w:u w:val="single"/>
        </w:rPr>
        <w:t>浓度为</w:t>
      </w:r>
      <w:r w:rsidR="00B739AD" w:rsidRPr="00B56224">
        <w:rPr>
          <w:rFonts w:hint="eastAsia"/>
          <w:b/>
          <w:bCs/>
          <w:i/>
          <w:sz w:val="24"/>
          <w:u w:val="single"/>
        </w:rPr>
        <w:t>0.37</w:t>
      </w:r>
      <w:r w:rsidR="00B739AD" w:rsidRPr="00B56224">
        <w:rPr>
          <w:b/>
          <w:i/>
          <w:sz w:val="24"/>
          <w:u w:val="single"/>
        </w:rPr>
        <w:t>mg/L</w:t>
      </w:r>
      <w:r w:rsidR="00B739AD" w:rsidRPr="00B56224">
        <w:rPr>
          <w:rFonts w:hint="eastAsia"/>
          <w:b/>
          <w:i/>
          <w:sz w:val="24"/>
          <w:u w:val="single"/>
        </w:rPr>
        <w:t>，</w:t>
      </w:r>
      <w:r w:rsidRPr="00B56224">
        <w:rPr>
          <w:b/>
          <w:bCs/>
          <w:i/>
          <w:sz w:val="24"/>
          <w:u w:val="single"/>
        </w:rPr>
        <w:t>COD</w:t>
      </w:r>
      <w:r w:rsidRPr="00B56224">
        <w:rPr>
          <w:rFonts w:hint="eastAsia"/>
          <w:b/>
          <w:i/>
          <w:sz w:val="24"/>
          <w:u w:val="single"/>
        </w:rPr>
        <w:t>超</w:t>
      </w:r>
      <w:r w:rsidRPr="00B56224">
        <w:rPr>
          <w:rFonts w:hAnsi="宋体" w:hint="eastAsia"/>
          <w:b/>
          <w:i/>
          <w:sz w:val="24"/>
          <w:u w:val="single"/>
        </w:rPr>
        <w:t>《地表水环境质量标准》（</w:t>
      </w:r>
      <w:r w:rsidRPr="00B56224">
        <w:rPr>
          <w:b/>
          <w:i/>
          <w:sz w:val="24"/>
          <w:u w:val="single"/>
        </w:rPr>
        <w:t>GB3838-2002</w:t>
      </w:r>
      <w:r w:rsidRPr="00B56224">
        <w:rPr>
          <w:rFonts w:hAnsi="宋体" w:hint="eastAsia"/>
          <w:b/>
          <w:i/>
          <w:sz w:val="24"/>
          <w:u w:val="single"/>
        </w:rPr>
        <w:t>）</w:t>
      </w:r>
      <w:r w:rsidRPr="00B56224">
        <w:rPr>
          <w:rFonts w:hint="eastAsia"/>
          <w:b/>
          <w:bCs/>
          <w:i/>
          <w:sz w:val="24"/>
          <w:u w:val="single"/>
        </w:rPr>
        <w:t>Ⅲ类水质标准。评价</w:t>
      </w:r>
      <w:r w:rsidR="00B739AD" w:rsidRPr="00B56224">
        <w:rPr>
          <w:rFonts w:hint="eastAsia"/>
          <w:b/>
          <w:bCs/>
          <w:i/>
          <w:sz w:val="24"/>
          <w:u w:val="single"/>
        </w:rPr>
        <w:t>建议</w:t>
      </w:r>
      <w:r w:rsidRPr="00B56224">
        <w:rPr>
          <w:rFonts w:hint="eastAsia"/>
          <w:b/>
          <w:bCs/>
          <w:i/>
          <w:sz w:val="24"/>
          <w:u w:val="single"/>
        </w:rPr>
        <w:t>建设单位应加强管理，做好设备日常维护，减少事故发生概率，避免事故发生，同时评价还提出应编制应急预案，并加强演练。</w:t>
      </w:r>
    </w:p>
    <w:p w:rsidR="003F4036" w:rsidRPr="00B739AD" w:rsidRDefault="008930D2" w:rsidP="00B739AD">
      <w:pPr>
        <w:spacing w:line="520" w:lineRule="exact"/>
        <w:ind w:firstLineChars="200" w:firstLine="480"/>
        <w:rPr>
          <w:bCs/>
          <w:sz w:val="24"/>
        </w:rPr>
      </w:pPr>
      <w:r w:rsidRPr="008930D2">
        <w:rPr>
          <w:rFonts w:hint="eastAsia"/>
          <w:sz w:val="24"/>
        </w:rPr>
        <w:t>外排矿井涌水的含盐量在</w:t>
      </w:r>
      <w:r w:rsidR="00F63A0F">
        <w:rPr>
          <w:rFonts w:hint="eastAsia"/>
          <w:sz w:val="24"/>
        </w:rPr>
        <w:t>430</w:t>
      </w:r>
      <w:r w:rsidRPr="008930D2">
        <w:rPr>
          <w:rFonts w:hint="eastAsia"/>
          <w:sz w:val="24"/>
        </w:rPr>
        <w:t>～</w:t>
      </w:r>
      <w:r w:rsidR="00F63A0F">
        <w:rPr>
          <w:rFonts w:hint="eastAsia"/>
          <w:sz w:val="24"/>
        </w:rPr>
        <w:t>572</w:t>
      </w:r>
      <w:r w:rsidRPr="008930D2">
        <w:rPr>
          <w:rFonts w:hint="eastAsia"/>
          <w:sz w:val="24"/>
        </w:rPr>
        <w:t>mg/L</w:t>
      </w:r>
      <w:r w:rsidRPr="008930D2">
        <w:rPr>
          <w:rFonts w:hint="eastAsia"/>
          <w:sz w:val="24"/>
        </w:rPr>
        <w:t>之间，满足《关于进一步加强煤炭资源开发环境影响评价管理的通知》（环环评</w:t>
      </w:r>
      <w:r w:rsidRPr="008930D2">
        <w:rPr>
          <w:rFonts w:hint="eastAsia"/>
          <w:sz w:val="24"/>
        </w:rPr>
        <w:t>[2020]63</w:t>
      </w:r>
      <w:r w:rsidRPr="008930D2">
        <w:rPr>
          <w:rFonts w:hint="eastAsia"/>
          <w:sz w:val="24"/>
        </w:rPr>
        <w:t>号）中外排矿井水含盐量不超过</w:t>
      </w:r>
      <w:r w:rsidRPr="008930D2">
        <w:rPr>
          <w:rFonts w:hint="eastAsia"/>
          <w:sz w:val="24"/>
        </w:rPr>
        <w:t>1000mg/L</w:t>
      </w:r>
      <w:r w:rsidRPr="008930D2">
        <w:rPr>
          <w:rFonts w:hint="eastAsia"/>
          <w:sz w:val="24"/>
        </w:rPr>
        <w:t>的规定</w:t>
      </w:r>
      <w:r w:rsidR="00537A2F">
        <w:rPr>
          <w:rFonts w:hint="eastAsia"/>
          <w:sz w:val="24"/>
        </w:rPr>
        <w:t>。</w:t>
      </w:r>
    </w:p>
    <w:p w:rsidR="003F4036" w:rsidRDefault="003F4036" w:rsidP="003F4036">
      <w:pPr>
        <w:pStyle w:val="a1"/>
      </w:pPr>
    </w:p>
    <w:p w:rsidR="00240BCE" w:rsidRPr="00F1395C" w:rsidRDefault="00240BCE">
      <w:pPr>
        <w:pStyle w:val="a1"/>
        <w:spacing w:after="0" w:line="520" w:lineRule="exact"/>
        <w:ind w:firstLineChars="200" w:firstLine="480"/>
        <w:rPr>
          <w:sz w:val="24"/>
        </w:rPr>
      </w:pPr>
    </w:p>
    <w:p w:rsidR="00240BCE" w:rsidRDefault="00AC0334">
      <w:pPr>
        <w:spacing w:line="520" w:lineRule="exact"/>
        <w:jc w:val="center"/>
      </w:pPr>
      <w:r>
        <w:rPr>
          <w:sz w:val="24"/>
          <w:highlight w:val="green"/>
        </w:rPr>
        <w:br w:type="page"/>
      </w:r>
      <w:r>
        <w:rPr>
          <w:sz w:val="24"/>
        </w:rPr>
        <w:lastRenderedPageBreak/>
        <w:t>表</w:t>
      </w:r>
      <w:r>
        <w:rPr>
          <w:sz w:val="24"/>
        </w:rPr>
        <w:t xml:space="preserve">6.2-1   </w:t>
      </w:r>
      <w:r>
        <w:rPr>
          <w:sz w:val="24"/>
        </w:rPr>
        <w:t>地表水环境影响评价自查表</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1522"/>
        <w:gridCol w:w="1352"/>
        <w:gridCol w:w="337"/>
        <w:gridCol w:w="56"/>
        <w:gridCol w:w="506"/>
        <w:gridCol w:w="450"/>
        <w:gridCol w:w="675"/>
        <w:gridCol w:w="676"/>
        <w:gridCol w:w="197"/>
        <w:gridCol w:w="252"/>
        <w:gridCol w:w="850"/>
        <w:gridCol w:w="50"/>
        <w:gridCol w:w="1354"/>
      </w:tblGrid>
      <w:tr w:rsidR="00240BCE">
        <w:trPr>
          <w:trHeight w:val="265"/>
          <w:jc w:val="center"/>
        </w:trPr>
        <w:tc>
          <w:tcPr>
            <w:tcW w:w="2464" w:type="dxa"/>
            <w:gridSpan w:val="2"/>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工作内容</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自查项目</w:t>
            </w:r>
          </w:p>
        </w:tc>
      </w:tr>
      <w:tr w:rsidR="00240BCE">
        <w:trPr>
          <w:trHeight w:val="265"/>
          <w:jc w:val="center"/>
        </w:trPr>
        <w:tc>
          <w:tcPr>
            <w:tcW w:w="94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影</w:t>
            </w:r>
          </w:p>
          <w:p w:rsidR="00240BCE" w:rsidRDefault="00AC0334">
            <w:pPr>
              <w:jc w:val="center"/>
              <w:rPr>
                <w:sz w:val="18"/>
                <w:szCs w:val="18"/>
              </w:rPr>
            </w:pPr>
            <w:r>
              <w:rPr>
                <w:rFonts w:cs="宋体" w:hint="eastAsia"/>
                <w:sz w:val="18"/>
                <w:szCs w:val="18"/>
              </w:rPr>
              <w:t>响</w:t>
            </w:r>
          </w:p>
          <w:p w:rsidR="00240BCE" w:rsidRDefault="00AC0334">
            <w:pPr>
              <w:jc w:val="center"/>
              <w:rPr>
                <w:sz w:val="18"/>
                <w:szCs w:val="18"/>
              </w:rPr>
            </w:pPr>
            <w:r>
              <w:rPr>
                <w:rFonts w:cs="宋体" w:hint="eastAsia"/>
                <w:sz w:val="18"/>
                <w:szCs w:val="18"/>
              </w:rPr>
              <w:t>识</w:t>
            </w:r>
          </w:p>
          <w:p w:rsidR="00240BCE" w:rsidRDefault="00AC0334">
            <w:pPr>
              <w:jc w:val="center"/>
              <w:rPr>
                <w:sz w:val="18"/>
                <w:szCs w:val="18"/>
              </w:rPr>
            </w:pPr>
            <w:r>
              <w:rPr>
                <w:rFonts w:cs="宋体" w:hint="eastAsia"/>
                <w:sz w:val="18"/>
                <w:szCs w:val="18"/>
              </w:rPr>
              <w:t>别</w:t>
            </w: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影响类型</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水污染影响型</w:t>
            </w:r>
            <w:r>
              <w:rPr>
                <w:sz w:val="18"/>
                <w:szCs w:val="18"/>
              </w:rPr>
              <w:t xml:space="preserve"> </w:t>
            </w:r>
            <w:r>
              <w:rPr>
                <w:rFonts w:eastAsia="Wingdings 2" w:cs="Wingdings 2"/>
                <w:sz w:val="18"/>
                <w:szCs w:val="18"/>
              </w:rPr>
              <w:sym w:font="Wingdings" w:char="00FE"/>
            </w:r>
            <w:r>
              <w:rPr>
                <w:rFonts w:cs="宋体" w:hint="eastAsia"/>
                <w:sz w:val="18"/>
                <w:szCs w:val="18"/>
              </w:rPr>
              <w:t>；水文要素影响型</w:t>
            </w:r>
            <w:r>
              <w:rPr>
                <w:sz w:val="18"/>
                <w:szCs w:val="18"/>
              </w:rPr>
              <w:t xml:space="preserve"> </w:t>
            </w:r>
            <w:r>
              <w:rPr>
                <w:rFonts w:cs="宋体" w:hint="eastAsia"/>
                <w:sz w:val="18"/>
                <w:szCs w:val="18"/>
              </w:rPr>
              <w:t>□</w:t>
            </w:r>
          </w:p>
        </w:tc>
      </w:tr>
      <w:tr w:rsidR="00240BCE">
        <w:trPr>
          <w:trHeight w:val="90"/>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水环境保护目标</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饮用水水源保护区</w:t>
            </w:r>
            <w:r>
              <w:rPr>
                <w:sz w:val="18"/>
                <w:szCs w:val="18"/>
              </w:rPr>
              <w:t xml:space="preserve"> </w:t>
            </w:r>
            <w:r>
              <w:rPr>
                <w:rFonts w:cs="宋体"/>
                <w:sz w:val="18"/>
                <w:szCs w:val="18"/>
              </w:rPr>
              <w:t>□</w:t>
            </w:r>
            <w:r>
              <w:rPr>
                <w:rFonts w:cs="宋体" w:hint="eastAsia"/>
                <w:sz w:val="18"/>
                <w:szCs w:val="18"/>
              </w:rPr>
              <w:t>；饮用水取水口</w:t>
            </w:r>
            <w:r>
              <w:rPr>
                <w:sz w:val="18"/>
                <w:szCs w:val="18"/>
              </w:rPr>
              <w:t xml:space="preserve"> </w:t>
            </w:r>
            <w:r>
              <w:rPr>
                <w:rFonts w:cs="宋体" w:hint="eastAsia"/>
                <w:sz w:val="18"/>
                <w:szCs w:val="18"/>
              </w:rPr>
              <w:t>□；涉水的自然保护区</w:t>
            </w:r>
            <w:r>
              <w:rPr>
                <w:sz w:val="18"/>
                <w:szCs w:val="18"/>
              </w:rPr>
              <w:t xml:space="preserve"> </w:t>
            </w:r>
            <w:r>
              <w:rPr>
                <w:rFonts w:cs="宋体" w:hint="eastAsia"/>
                <w:sz w:val="18"/>
                <w:szCs w:val="18"/>
              </w:rPr>
              <w:t>□；重要湿地</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重点保护与珍稀水生生物的栖息地</w:t>
            </w:r>
            <w:r>
              <w:rPr>
                <w:sz w:val="18"/>
                <w:szCs w:val="18"/>
              </w:rPr>
              <w:t xml:space="preserve"> </w:t>
            </w:r>
            <w:r>
              <w:rPr>
                <w:rFonts w:cs="宋体" w:hint="eastAsia"/>
                <w:sz w:val="18"/>
                <w:szCs w:val="18"/>
              </w:rPr>
              <w:t>□；重要水生生物的自然产卵场及索饵场、越冬场和洄游通道、天然渔场等渔业水体</w:t>
            </w:r>
            <w:r>
              <w:rPr>
                <w:sz w:val="18"/>
                <w:szCs w:val="18"/>
              </w:rPr>
              <w:t xml:space="preserve"> </w:t>
            </w:r>
            <w:r>
              <w:rPr>
                <w:rFonts w:cs="宋体"/>
                <w:sz w:val="18"/>
                <w:szCs w:val="18"/>
              </w:rPr>
              <w:t>□</w:t>
            </w:r>
            <w:r>
              <w:rPr>
                <w:rFonts w:cs="宋体" w:hint="eastAsia"/>
                <w:sz w:val="18"/>
                <w:szCs w:val="18"/>
              </w:rPr>
              <w:t>；涉水的风景名胜区</w:t>
            </w:r>
            <w:r>
              <w:rPr>
                <w:sz w:val="18"/>
                <w:szCs w:val="18"/>
              </w:rPr>
              <w:t xml:space="preserve"> </w:t>
            </w:r>
            <w:r>
              <w:rPr>
                <w:rFonts w:cs="宋体" w:hint="eastAsia"/>
                <w:sz w:val="18"/>
                <w:szCs w:val="18"/>
              </w:rPr>
              <w:t>□；其他</w:t>
            </w:r>
            <w:r>
              <w:rPr>
                <w:sz w:val="18"/>
                <w:szCs w:val="18"/>
              </w:rPr>
              <w:t xml:space="preserve"> </w:t>
            </w:r>
            <w:r>
              <w:rPr>
                <w:rFonts w:cs="宋体" w:hint="eastAsia"/>
                <w:sz w:val="18"/>
                <w:szCs w:val="18"/>
              </w:rPr>
              <w:t>□</w:t>
            </w:r>
          </w:p>
        </w:tc>
      </w:tr>
      <w:tr w:rsidR="00240BCE">
        <w:trPr>
          <w:trHeight w:val="90"/>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影响途径</w:t>
            </w: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水污染影响型</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水文要素影响型</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rsidP="009971B5">
            <w:pPr>
              <w:jc w:val="left"/>
              <w:rPr>
                <w:sz w:val="18"/>
                <w:szCs w:val="18"/>
              </w:rPr>
            </w:pPr>
            <w:r>
              <w:rPr>
                <w:rFonts w:cs="宋体" w:hint="eastAsia"/>
                <w:sz w:val="18"/>
                <w:szCs w:val="18"/>
              </w:rPr>
              <w:t>直接排放</w:t>
            </w:r>
            <w:r w:rsidR="009971B5">
              <w:rPr>
                <w:rFonts w:ascii="MS Mincho" w:eastAsia="MS Mincho" w:hAnsi="MS Mincho" w:cs="MS Mincho" w:hint="eastAsia"/>
                <w:sz w:val="18"/>
                <w:szCs w:val="18"/>
              </w:rPr>
              <w:t>☑</w:t>
            </w:r>
            <w:r>
              <w:rPr>
                <w:rFonts w:cs="宋体" w:hint="eastAsia"/>
                <w:sz w:val="18"/>
                <w:szCs w:val="18"/>
              </w:rPr>
              <w:t>；间接排放</w:t>
            </w:r>
            <w:r w:rsidR="009971B5">
              <w:rPr>
                <w:rFonts w:cs="宋体" w:hint="eastAsia"/>
                <w:sz w:val="18"/>
                <w:szCs w:val="18"/>
              </w:rPr>
              <w:t>□</w:t>
            </w:r>
            <w:r>
              <w:rPr>
                <w:rFonts w:cs="宋体" w:hint="eastAsia"/>
                <w:sz w:val="18"/>
                <w:szCs w:val="18"/>
              </w:rPr>
              <w:t>；其他</w:t>
            </w:r>
            <w:r>
              <w:rPr>
                <w:sz w:val="18"/>
                <w:szCs w:val="18"/>
              </w:rPr>
              <w:t xml:space="preserve"> </w:t>
            </w:r>
            <w:r>
              <w:rPr>
                <w:rFonts w:cs="宋体"/>
                <w:sz w:val="18"/>
                <w:szCs w:val="18"/>
              </w:rPr>
              <w:t>□</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水温</w:t>
            </w:r>
            <w:r>
              <w:rPr>
                <w:sz w:val="18"/>
                <w:szCs w:val="18"/>
              </w:rPr>
              <w:t xml:space="preserve"> </w:t>
            </w:r>
            <w:r>
              <w:rPr>
                <w:rFonts w:cs="宋体" w:hint="eastAsia"/>
                <w:sz w:val="18"/>
                <w:szCs w:val="18"/>
              </w:rPr>
              <w:t>□；径流</w:t>
            </w:r>
            <w:r>
              <w:rPr>
                <w:sz w:val="18"/>
                <w:szCs w:val="18"/>
              </w:rPr>
              <w:t xml:space="preserve"> </w:t>
            </w:r>
            <w:r>
              <w:rPr>
                <w:rFonts w:cs="宋体" w:hint="eastAsia"/>
                <w:sz w:val="18"/>
                <w:szCs w:val="18"/>
              </w:rPr>
              <w:t>□；水域面积</w:t>
            </w:r>
            <w:r>
              <w:rPr>
                <w:sz w:val="18"/>
                <w:szCs w:val="18"/>
              </w:rPr>
              <w:t xml:space="preserve"> </w:t>
            </w:r>
            <w:r>
              <w:rPr>
                <w:rFonts w:cs="宋体" w:hint="eastAsia"/>
                <w:sz w:val="18"/>
                <w:szCs w:val="18"/>
              </w:rPr>
              <w:t>□</w:t>
            </w:r>
          </w:p>
        </w:tc>
      </w:tr>
      <w:tr w:rsidR="00240BCE">
        <w:trPr>
          <w:trHeight w:val="698"/>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影响因子</w:t>
            </w: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持久性污染物</w:t>
            </w:r>
            <w:r>
              <w:rPr>
                <w:sz w:val="18"/>
                <w:szCs w:val="18"/>
              </w:rPr>
              <w:t xml:space="preserve"> </w:t>
            </w:r>
            <w:r>
              <w:rPr>
                <w:rFonts w:cs="宋体" w:hint="eastAsia"/>
                <w:sz w:val="18"/>
                <w:szCs w:val="18"/>
              </w:rPr>
              <w:t>□；有毒有害污染物</w:t>
            </w:r>
            <w:r>
              <w:rPr>
                <w:sz w:val="18"/>
                <w:szCs w:val="18"/>
              </w:rPr>
              <w:t xml:space="preserve"> </w:t>
            </w:r>
            <w:r>
              <w:rPr>
                <w:rFonts w:cs="宋体" w:hint="eastAsia"/>
                <w:sz w:val="18"/>
                <w:szCs w:val="18"/>
              </w:rPr>
              <w:t>□；非持久性污染物</w:t>
            </w:r>
            <w:r>
              <w:rPr>
                <w:sz w:val="18"/>
                <w:szCs w:val="18"/>
              </w:rPr>
              <w:t xml:space="preserve">  </w:t>
            </w:r>
            <w:r>
              <w:rPr>
                <w:rFonts w:cs="宋体"/>
                <w:sz w:val="18"/>
                <w:szCs w:val="18"/>
              </w:rPr>
              <w:t>☑</w:t>
            </w:r>
            <w:r>
              <w:rPr>
                <w:rFonts w:cs="宋体" w:hint="eastAsia"/>
                <w:sz w:val="18"/>
                <w:szCs w:val="18"/>
              </w:rPr>
              <w:t>；</w:t>
            </w:r>
          </w:p>
          <w:p w:rsidR="00240BCE" w:rsidRDefault="00AC0334">
            <w:pPr>
              <w:jc w:val="left"/>
              <w:rPr>
                <w:sz w:val="18"/>
                <w:szCs w:val="18"/>
              </w:rPr>
            </w:pPr>
            <w:r>
              <w:rPr>
                <w:sz w:val="18"/>
                <w:szCs w:val="18"/>
              </w:rPr>
              <w:t>pH</w:t>
            </w:r>
            <w:r>
              <w:rPr>
                <w:rFonts w:cs="宋体" w:hint="eastAsia"/>
                <w:sz w:val="18"/>
                <w:szCs w:val="18"/>
              </w:rPr>
              <w:t>值</w:t>
            </w:r>
            <w:r>
              <w:rPr>
                <w:sz w:val="18"/>
                <w:szCs w:val="18"/>
              </w:rPr>
              <w:t xml:space="preserve"> </w:t>
            </w:r>
            <w:r>
              <w:rPr>
                <w:rFonts w:cs="宋体" w:hint="eastAsia"/>
                <w:sz w:val="18"/>
                <w:szCs w:val="18"/>
              </w:rPr>
              <w:t>□；热污染</w:t>
            </w:r>
            <w:r>
              <w:rPr>
                <w:sz w:val="18"/>
                <w:szCs w:val="18"/>
              </w:rPr>
              <w:t xml:space="preserve"> </w:t>
            </w:r>
            <w:r>
              <w:rPr>
                <w:rFonts w:cs="宋体" w:hint="eastAsia"/>
                <w:sz w:val="18"/>
                <w:szCs w:val="18"/>
              </w:rPr>
              <w:t>□；富营养化</w:t>
            </w:r>
            <w:r>
              <w:rPr>
                <w:sz w:val="18"/>
                <w:szCs w:val="18"/>
              </w:rPr>
              <w:t xml:space="preserve"> </w:t>
            </w:r>
            <w:r>
              <w:rPr>
                <w:rFonts w:cs="宋体" w:hint="eastAsia"/>
                <w:sz w:val="18"/>
                <w:szCs w:val="18"/>
              </w:rPr>
              <w:t>□；其他</w:t>
            </w:r>
            <w:r>
              <w:rPr>
                <w:sz w:val="18"/>
                <w:szCs w:val="18"/>
              </w:rPr>
              <w:t xml:space="preserve"> </w:t>
            </w:r>
            <w:r>
              <w:rPr>
                <w:rFonts w:cs="宋体" w:hint="eastAsia"/>
                <w:sz w:val="18"/>
                <w:szCs w:val="18"/>
              </w:rPr>
              <w:t>□</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水温</w:t>
            </w:r>
            <w:r>
              <w:rPr>
                <w:sz w:val="18"/>
                <w:szCs w:val="18"/>
              </w:rPr>
              <w:t xml:space="preserve"> </w:t>
            </w:r>
            <w:r>
              <w:rPr>
                <w:rFonts w:cs="宋体" w:hint="eastAsia"/>
                <w:sz w:val="18"/>
                <w:szCs w:val="18"/>
              </w:rPr>
              <w:t>□；水位（水深）</w:t>
            </w:r>
            <w:r>
              <w:rPr>
                <w:sz w:val="18"/>
                <w:szCs w:val="18"/>
              </w:rPr>
              <w:t xml:space="preserve"> </w:t>
            </w:r>
            <w:r>
              <w:rPr>
                <w:rFonts w:cs="宋体" w:hint="eastAsia"/>
                <w:sz w:val="18"/>
                <w:szCs w:val="18"/>
              </w:rPr>
              <w:t>□；流速</w:t>
            </w:r>
            <w:r>
              <w:rPr>
                <w:sz w:val="18"/>
                <w:szCs w:val="18"/>
              </w:rPr>
              <w:t xml:space="preserve"> </w:t>
            </w:r>
            <w:r>
              <w:rPr>
                <w:rFonts w:cs="宋体" w:hint="eastAsia"/>
                <w:sz w:val="18"/>
                <w:szCs w:val="18"/>
              </w:rPr>
              <w:t>□；流量</w:t>
            </w:r>
            <w:r>
              <w:rPr>
                <w:sz w:val="18"/>
                <w:szCs w:val="18"/>
              </w:rPr>
              <w:t xml:space="preserve"> </w:t>
            </w:r>
            <w:r>
              <w:rPr>
                <w:rFonts w:cs="宋体" w:hint="eastAsia"/>
                <w:sz w:val="18"/>
                <w:szCs w:val="18"/>
              </w:rPr>
              <w:t>□；其他</w:t>
            </w:r>
            <w:r>
              <w:rPr>
                <w:sz w:val="18"/>
                <w:szCs w:val="18"/>
              </w:rPr>
              <w:t xml:space="preserve"> </w:t>
            </w:r>
            <w:r>
              <w:rPr>
                <w:rFonts w:cs="宋体" w:hint="eastAsia"/>
                <w:sz w:val="18"/>
                <w:szCs w:val="18"/>
              </w:rPr>
              <w:t>□</w:t>
            </w:r>
          </w:p>
        </w:tc>
      </w:tr>
      <w:tr w:rsidR="00240BCE">
        <w:trPr>
          <w:trHeight w:val="265"/>
          <w:jc w:val="center"/>
        </w:trPr>
        <w:tc>
          <w:tcPr>
            <w:tcW w:w="2464" w:type="dxa"/>
            <w:gridSpan w:val="2"/>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评价等级</w:t>
            </w: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水污染影响型</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水文要素影响型</w:t>
            </w:r>
          </w:p>
        </w:tc>
      </w:tr>
      <w:tr w:rsidR="00240BCE">
        <w:trPr>
          <w:trHeight w:val="265"/>
          <w:jc w:val="center"/>
        </w:trPr>
        <w:tc>
          <w:tcPr>
            <w:tcW w:w="2464" w:type="dxa"/>
            <w:gridSpan w:val="2"/>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rsidP="00B97108">
            <w:pPr>
              <w:jc w:val="left"/>
              <w:rPr>
                <w:sz w:val="18"/>
                <w:szCs w:val="18"/>
              </w:rPr>
            </w:pPr>
            <w:r>
              <w:rPr>
                <w:rFonts w:cs="宋体" w:hint="eastAsia"/>
                <w:sz w:val="18"/>
                <w:szCs w:val="18"/>
              </w:rPr>
              <w:t>一级□；二级</w:t>
            </w:r>
            <w:r w:rsidR="00B97108">
              <w:rPr>
                <w:rFonts w:cs="宋体" w:hint="eastAsia"/>
                <w:sz w:val="18"/>
                <w:szCs w:val="18"/>
              </w:rPr>
              <w:t>□</w:t>
            </w:r>
            <w:r>
              <w:rPr>
                <w:rFonts w:cs="宋体" w:hint="eastAsia"/>
                <w:sz w:val="18"/>
                <w:szCs w:val="18"/>
              </w:rPr>
              <w:t>；三级</w:t>
            </w:r>
            <w:r>
              <w:rPr>
                <w:sz w:val="18"/>
                <w:szCs w:val="18"/>
              </w:rPr>
              <w:t>A</w:t>
            </w:r>
            <w:r w:rsidR="00B97108">
              <w:rPr>
                <w:rFonts w:ascii="MS Mincho" w:eastAsia="MS Mincho" w:hAnsi="MS Mincho" w:cs="MS Mincho" w:hint="eastAsia"/>
                <w:sz w:val="18"/>
                <w:szCs w:val="18"/>
              </w:rPr>
              <w:t>☑</w:t>
            </w:r>
            <w:r>
              <w:rPr>
                <w:rFonts w:cs="宋体" w:hint="eastAsia"/>
                <w:sz w:val="18"/>
                <w:szCs w:val="18"/>
              </w:rPr>
              <w:t>；三级</w:t>
            </w:r>
            <w:r>
              <w:rPr>
                <w:sz w:val="18"/>
                <w:szCs w:val="18"/>
              </w:rPr>
              <w:t>B</w:t>
            </w:r>
            <w:r w:rsidR="00C01B4C">
              <w:rPr>
                <w:rFonts w:cs="宋体" w:hint="eastAsia"/>
                <w:sz w:val="18"/>
                <w:szCs w:val="18"/>
              </w:rPr>
              <w:t>□</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一级</w:t>
            </w:r>
            <w:r>
              <w:rPr>
                <w:sz w:val="18"/>
                <w:szCs w:val="18"/>
              </w:rPr>
              <w:t xml:space="preserve"> </w:t>
            </w:r>
            <w:r>
              <w:rPr>
                <w:rFonts w:cs="宋体" w:hint="eastAsia"/>
                <w:sz w:val="18"/>
                <w:szCs w:val="18"/>
              </w:rPr>
              <w:t>□；二级</w:t>
            </w:r>
            <w:r>
              <w:rPr>
                <w:sz w:val="18"/>
                <w:szCs w:val="18"/>
              </w:rPr>
              <w:t xml:space="preserve"> </w:t>
            </w:r>
            <w:r>
              <w:rPr>
                <w:rFonts w:cs="宋体" w:hint="eastAsia"/>
                <w:sz w:val="18"/>
                <w:szCs w:val="18"/>
              </w:rPr>
              <w:t>□；三级</w:t>
            </w:r>
            <w:r>
              <w:rPr>
                <w:sz w:val="18"/>
                <w:szCs w:val="18"/>
              </w:rPr>
              <w:t xml:space="preserve"> </w:t>
            </w:r>
            <w:r>
              <w:rPr>
                <w:rFonts w:cs="宋体" w:hint="eastAsia"/>
                <w:sz w:val="18"/>
                <w:szCs w:val="18"/>
              </w:rPr>
              <w:t>□</w:t>
            </w:r>
          </w:p>
        </w:tc>
      </w:tr>
      <w:tr w:rsidR="00240BCE">
        <w:trPr>
          <w:trHeight w:val="265"/>
          <w:jc w:val="center"/>
        </w:trPr>
        <w:tc>
          <w:tcPr>
            <w:tcW w:w="94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现</w:t>
            </w:r>
          </w:p>
          <w:p w:rsidR="00240BCE" w:rsidRDefault="00AC0334">
            <w:pPr>
              <w:jc w:val="center"/>
              <w:rPr>
                <w:sz w:val="18"/>
                <w:szCs w:val="18"/>
              </w:rPr>
            </w:pPr>
            <w:r>
              <w:rPr>
                <w:rFonts w:cs="宋体" w:hint="eastAsia"/>
                <w:sz w:val="18"/>
                <w:szCs w:val="18"/>
              </w:rPr>
              <w:t>状</w:t>
            </w:r>
          </w:p>
          <w:p w:rsidR="00240BCE" w:rsidRDefault="00AC0334">
            <w:pPr>
              <w:jc w:val="center"/>
              <w:rPr>
                <w:sz w:val="18"/>
                <w:szCs w:val="18"/>
              </w:rPr>
            </w:pPr>
            <w:r>
              <w:rPr>
                <w:rFonts w:cs="宋体" w:hint="eastAsia"/>
                <w:sz w:val="18"/>
                <w:szCs w:val="18"/>
              </w:rPr>
              <w:t>调</w:t>
            </w:r>
          </w:p>
          <w:p w:rsidR="00240BCE" w:rsidRDefault="00AC0334">
            <w:pPr>
              <w:jc w:val="center"/>
              <w:rPr>
                <w:sz w:val="18"/>
                <w:szCs w:val="18"/>
              </w:rPr>
            </w:pPr>
            <w:r>
              <w:rPr>
                <w:rFonts w:cs="宋体" w:hint="eastAsia"/>
                <w:sz w:val="18"/>
                <w:szCs w:val="18"/>
              </w:rPr>
              <w:t>查</w:t>
            </w: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区域污染源</w:t>
            </w: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调查项目</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数据来源</w:t>
            </w:r>
          </w:p>
        </w:tc>
      </w:tr>
      <w:tr w:rsidR="00240BCE">
        <w:trPr>
          <w:trHeight w:val="707"/>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689" w:type="dxa"/>
            <w:gridSpan w:val="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已建</w:t>
            </w:r>
            <w:r>
              <w:rPr>
                <w:sz w:val="18"/>
                <w:szCs w:val="18"/>
              </w:rPr>
              <w:t xml:space="preserve"> </w:t>
            </w:r>
            <w:r>
              <w:rPr>
                <w:rFonts w:cs="宋体" w:hint="eastAsia"/>
                <w:sz w:val="18"/>
                <w:szCs w:val="18"/>
              </w:rPr>
              <w:t>□；在建</w:t>
            </w:r>
            <w:r>
              <w:rPr>
                <w:sz w:val="18"/>
                <w:szCs w:val="18"/>
              </w:rPr>
              <w:t xml:space="preserve"> </w:t>
            </w:r>
            <w:r>
              <w:rPr>
                <w:rFonts w:cs="宋体" w:hint="eastAsia"/>
                <w:sz w:val="18"/>
                <w:szCs w:val="18"/>
              </w:rPr>
              <w:t>□；拟建</w:t>
            </w:r>
            <w:r>
              <w:rPr>
                <w:sz w:val="18"/>
                <w:szCs w:val="18"/>
              </w:rPr>
              <w:t xml:space="preserve"> </w:t>
            </w:r>
            <w:r>
              <w:rPr>
                <w:rFonts w:cs="宋体" w:hint="eastAsia"/>
                <w:sz w:val="18"/>
                <w:szCs w:val="18"/>
              </w:rPr>
              <w:t>□；其他</w:t>
            </w:r>
            <w:r>
              <w:rPr>
                <w:sz w:val="18"/>
                <w:szCs w:val="18"/>
              </w:rPr>
              <w:t xml:space="preserve"> </w:t>
            </w:r>
            <w:r>
              <w:rPr>
                <w:rFonts w:cs="宋体" w:hint="eastAsia"/>
                <w:sz w:val="18"/>
                <w:szCs w:val="18"/>
              </w:rPr>
              <w:t>□</w:t>
            </w:r>
          </w:p>
        </w:tc>
        <w:tc>
          <w:tcPr>
            <w:tcW w:w="1687"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拟替代的污染源□</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排污许可证</w:t>
            </w:r>
            <w:r>
              <w:rPr>
                <w:sz w:val="18"/>
                <w:szCs w:val="18"/>
              </w:rPr>
              <w:t xml:space="preserve"> </w:t>
            </w:r>
            <w:r>
              <w:rPr>
                <w:rFonts w:cs="宋体" w:hint="eastAsia"/>
                <w:sz w:val="18"/>
                <w:szCs w:val="18"/>
              </w:rPr>
              <w:t>□；环评</w:t>
            </w:r>
            <w:r>
              <w:rPr>
                <w:sz w:val="18"/>
                <w:szCs w:val="18"/>
              </w:rPr>
              <w:t xml:space="preserve"> </w:t>
            </w:r>
            <w:r>
              <w:rPr>
                <w:rFonts w:cs="宋体" w:hint="eastAsia"/>
                <w:sz w:val="18"/>
                <w:szCs w:val="18"/>
              </w:rPr>
              <w:t>□；环保验收</w:t>
            </w:r>
            <w:r>
              <w:rPr>
                <w:sz w:val="18"/>
                <w:szCs w:val="18"/>
              </w:rPr>
              <w:t xml:space="preserve"> </w:t>
            </w:r>
            <w:r>
              <w:rPr>
                <w:rFonts w:cs="宋体" w:hint="eastAsia"/>
                <w:sz w:val="18"/>
                <w:szCs w:val="18"/>
              </w:rPr>
              <w:t>□；既有实测</w:t>
            </w:r>
            <w:r>
              <w:rPr>
                <w:sz w:val="18"/>
                <w:szCs w:val="18"/>
              </w:rPr>
              <w:t xml:space="preserve"> </w:t>
            </w:r>
            <w:r>
              <w:rPr>
                <w:rFonts w:cs="宋体" w:hint="eastAsia"/>
                <w:sz w:val="18"/>
                <w:szCs w:val="18"/>
              </w:rPr>
              <w:t>□；现场监测</w:t>
            </w:r>
            <w:r>
              <w:rPr>
                <w:sz w:val="18"/>
                <w:szCs w:val="18"/>
              </w:rPr>
              <w:t xml:space="preserve"> </w:t>
            </w:r>
            <w:r>
              <w:rPr>
                <w:rFonts w:cs="宋体" w:hint="eastAsia"/>
                <w:sz w:val="18"/>
                <w:szCs w:val="18"/>
              </w:rPr>
              <w:t>□；入河排放口数据</w:t>
            </w:r>
            <w:r>
              <w:rPr>
                <w:sz w:val="18"/>
                <w:szCs w:val="18"/>
              </w:rPr>
              <w:t xml:space="preserve"> </w:t>
            </w:r>
            <w:r>
              <w:rPr>
                <w:rFonts w:cs="宋体" w:hint="eastAsia"/>
                <w:sz w:val="18"/>
                <w:szCs w:val="18"/>
              </w:rPr>
              <w:t>□；其他</w:t>
            </w:r>
            <w:r>
              <w:rPr>
                <w:sz w:val="18"/>
                <w:szCs w:val="18"/>
              </w:rPr>
              <w:t xml:space="preserve"> </w:t>
            </w:r>
            <w:r>
              <w:rPr>
                <w:rFonts w:cs="宋体" w:hint="eastAsia"/>
                <w:sz w:val="18"/>
                <w:szCs w:val="18"/>
              </w:rPr>
              <w:t>□</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受影响水体水环境质量</w:t>
            </w: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调查时期</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数据来源</w:t>
            </w:r>
          </w:p>
        </w:tc>
      </w:tr>
      <w:tr w:rsidR="00240BCE">
        <w:trPr>
          <w:trHeight w:val="777"/>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丰水期</w:t>
            </w:r>
            <w:r>
              <w:rPr>
                <w:sz w:val="18"/>
                <w:szCs w:val="18"/>
              </w:rPr>
              <w:t xml:space="preserve"> </w:t>
            </w:r>
            <w:r>
              <w:rPr>
                <w:rFonts w:cs="宋体" w:hint="eastAsia"/>
                <w:sz w:val="18"/>
                <w:szCs w:val="18"/>
              </w:rPr>
              <w:t>□；平水期</w:t>
            </w:r>
            <w:r>
              <w:rPr>
                <w:sz w:val="18"/>
                <w:szCs w:val="18"/>
              </w:rPr>
              <w:t xml:space="preserve"> </w:t>
            </w:r>
            <w:r>
              <w:rPr>
                <w:rFonts w:cs="宋体" w:hint="eastAsia"/>
                <w:sz w:val="18"/>
                <w:szCs w:val="18"/>
              </w:rPr>
              <w:t>□；枯水期□；冰封期</w:t>
            </w:r>
            <w:r>
              <w:rPr>
                <w:sz w:val="18"/>
                <w:szCs w:val="18"/>
              </w:rPr>
              <w:t xml:space="preserve"> </w:t>
            </w:r>
            <w:r>
              <w:rPr>
                <w:rFonts w:cs="宋体" w:hint="eastAsia"/>
                <w:sz w:val="18"/>
                <w:szCs w:val="18"/>
              </w:rPr>
              <w:t>□</w:t>
            </w:r>
          </w:p>
          <w:p w:rsidR="00240BCE" w:rsidRDefault="00AC0334">
            <w:pPr>
              <w:jc w:val="left"/>
              <w:rPr>
                <w:sz w:val="18"/>
                <w:szCs w:val="18"/>
                <w:highlight w:val="green"/>
              </w:rPr>
            </w:pPr>
            <w:r>
              <w:rPr>
                <w:rFonts w:cs="宋体" w:hint="eastAsia"/>
                <w:sz w:val="18"/>
                <w:szCs w:val="18"/>
              </w:rPr>
              <w:t>春季</w:t>
            </w:r>
            <w:r>
              <w:rPr>
                <w:sz w:val="18"/>
                <w:szCs w:val="18"/>
              </w:rPr>
              <w:t xml:space="preserve"> </w:t>
            </w:r>
            <w:r>
              <w:rPr>
                <w:rFonts w:cs="宋体" w:hint="eastAsia"/>
                <w:sz w:val="18"/>
                <w:szCs w:val="18"/>
              </w:rPr>
              <w:t>□；夏季</w:t>
            </w:r>
            <w:r>
              <w:rPr>
                <w:sz w:val="18"/>
                <w:szCs w:val="18"/>
              </w:rPr>
              <w:t xml:space="preserve"> </w:t>
            </w:r>
            <w:r>
              <w:rPr>
                <w:rFonts w:cs="宋体" w:hint="eastAsia"/>
                <w:sz w:val="18"/>
                <w:szCs w:val="18"/>
              </w:rPr>
              <w:t>□；秋季</w:t>
            </w:r>
            <w:r>
              <w:rPr>
                <w:sz w:val="18"/>
                <w:szCs w:val="18"/>
              </w:rPr>
              <w:t xml:space="preserve"> </w:t>
            </w:r>
            <w:r>
              <w:rPr>
                <w:rFonts w:cs="宋体" w:hint="eastAsia"/>
                <w:sz w:val="18"/>
                <w:szCs w:val="18"/>
              </w:rPr>
              <w:t>□；冬季</w:t>
            </w:r>
            <w:r>
              <w:rPr>
                <w:sz w:val="18"/>
                <w:szCs w:val="18"/>
              </w:rPr>
              <w:t xml:space="preserve"> </w:t>
            </w:r>
            <w:r>
              <w:rPr>
                <w:rFonts w:cs="宋体" w:hint="eastAsia"/>
                <w:sz w:val="18"/>
                <w:szCs w:val="18"/>
              </w:rPr>
              <w:t>□</w:t>
            </w:r>
            <w:r>
              <w:rPr>
                <w:sz w:val="18"/>
                <w:szCs w:val="18"/>
              </w:rPr>
              <w:t xml:space="preserve"> </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rsidP="00B97108">
            <w:pPr>
              <w:rPr>
                <w:sz w:val="18"/>
                <w:szCs w:val="18"/>
              </w:rPr>
            </w:pPr>
            <w:r>
              <w:rPr>
                <w:rFonts w:cs="宋体" w:hint="eastAsia"/>
                <w:sz w:val="18"/>
                <w:szCs w:val="18"/>
              </w:rPr>
              <w:t>生态环境保护主管部门</w:t>
            </w:r>
            <w:r>
              <w:rPr>
                <w:rFonts w:ascii="MS Mincho" w:eastAsia="MS Mincho" w:hAnsi="MS Mincho" w:cs="MS Mincho" w:hint="eastAsia"/>
                <w:sz w:val="18"/>
                <w:szCs w:val="18"/>
              </w:rPr>
              <w:t>☑</w:t>
            </w:r>
            <w:r>
              <w:rPr>
                <w:rFonts w:cs="宋体" w:hint="eastAsia"/>
                <w:sz w:val="18"/>
                <w:szCs w:val="18"/>
              </w:rPr>
              <w:t>；补充监测</w:t>
            </w:r>
            <w:r>
              <w:rPr>
                <w:rFonts w:ascii="MS Mincho" w:eastAsia="MS Mincho" w:hAnsi="MS Mincho" w:cs="MS Mincho" w:hint="eastAsia"/>
                <w:sz w:val="18"/>
                <w:szCs w:val="18"/>
              </w:rPr>
              <w:t>☑</w:t>
            </w:r>
            <w:r>
              <w:rPr>
                <w:rFonts w:cs="宋体" w:hint="eastAsia"/>
                <w:sz w:val="18"/>
                <w:szCs w:val="18"/>
              </w:rPr>
              <w:t>；其他</w:t>
            </w:r>
            <w:r>
              <w:rPr>
                <w:sz w:val="18"/>
                <w:szCs w:val="18"/>
              </w:rPr>
              <w:t xml:space="preserve"> </w:t>
            </w:r>
            <w:r>
              <w:rPr>
                <w:rFonts w:cs="宋体" w:hint="eastAsia"/>
                <w:sz w:val="18"/>
                <w:szCs w:val="18"/>
              </w:rPr>
              <w:t>□</w:t>
            </w:r>
          </w:p>
        </w:tc>
      </w:tr>
      <w:tr w:rsidR="00240BCE">
        <w:trPr>
          <w:trHeight w:val="521"/>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区域水资源开发利用状况</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未开发</w:t>
            </w:r>
            <w:r>
              <w:rPr>
                <w:sz w:val="18"/>
                <w:szCs w:val="18"/>
              </w:rPr>
              <w:t xml:space="preserve"> </w:t>
            </w:r>
            <w:r>
              <w:rPr>
                <w:rFonts w:cs="宋体" w:hint="eastAsia"/>
                <w:sz w:val="18"/>
                <w:szCs w:val="18"/>
              </w:rPr>
              <w:t>□；开发量</w:t>
            </w:r>
            <w:r>
              <w:rPr>
                <w:sz w:val="18"/>
                <w:szCs w:val="18"/>
              </w:rPr>
              <w:t xml:space="preserve"> 40%</w:t>
            </w:r>
            <w:r>
              <w:rPr>
                <w:rFonts w:cs="宋体" w:hint="eastAsia"/>
                <w:sz w:val="18"/>
                <w:szCs w:val="18"/>
              </w:rPr>
              <w:t>以下</w:t>
            </w:r>
            <w:r>
              <w:rPr>
                <w:sz w:val="18"/>
                <w:szCs w:val="18"/>
              </w:rPr>
              <w:t xml:space="preserve"> </w:t>
            </w:r>
            <w:r>
              <w:rPr>
                <w:rFonts w:cs="宋体" w:hint="eastAsia"/>
                <w:sz w:val="18"/>
                <w:szCs w:val="18"/>
              </w:rPr>
              <w:t>□；开发量</w:t>
            </w:r>
            <w:r>
              <w:rPr>
                <w:sz w:val="18"/>
                <w:szCs w:val="18"/>
              </w:rPr>
              <w:t xml:space="preserve"> 40%</w:t>
            </w:r>
            <w:r>
              <w:rPr>
                <w:rFonts w:cs="宋体" w:hint="eastAsia"/>
                <w:sz w:val="18"/>
                <w:szCs w:val="18"/>
              </w:rPr>
              <w:t>以上</w:t>
            </w:r>
            <w:r>
              <w:rPr>
                <w:sz w:val="18"/>
                <w:szCs w:val="18"/>
              </w:rPr>
              <w:t xml:space="preserve"> </w:t>
            </w:r>
            <w:r>
              <w:rPr>
                <w:rFonts w:cs="宋体" w:hint="eastAsia"/>
                <w:sz w:val="18"/>
                <w:szCs w:val="18"/>
              </w:rPr>
              <w:t>□</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水文情势调查</w:t>
            </w: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调查时期</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数据来源</w:t>
            </w:r>
          </w:p>
        </w:tc>
      </w:tr>
      <w:tr w:rsidR="00240BCE">
        <w:trPr>
          <w:trHeight w:val="617"/>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3376"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丰水期</w:t>
            </w:r>
            <w:r>
              <w:rPr>
                <w:sz w:val="18"/>
                <w:szCs w:val="18"/>
              </w:rPr>
              <w:t xml:space="preserve"> </w:t>
            </w:r>
            <w:r>
              <w:rPr>
                <w:rFonts w:cs="宋体" w:hint="eastAsia"/>
                <w:sz w:val="18"/>
                <w:szCs w:val="18"/>
              </w:rPr>
              <w:t>□；平水期</w:t>
            </w:r>
            <w:r>
              <w:rPr>
                <w:sz w:val="18"/>
                <w:szCs w:val="18"/>
              </w:rPr>
              <w:t xml:space="preserve"> </w:t>
            </w:r>
            <w:r>
              <w:rPr>
                <w:rFonts w:cs="宋体" w:hint="eastAsia"/>
                <w:sz w:val="18"/>
                <w:szCs w:val="18"/>
              </w:rPr>
              <w:t>□；枯水期</w:t>
            </w:r>
            <w:r>
              <w:rPr>
                <w:sz w:val="18"/>
                <w:szCs w:val="18"/>
              </w:rPr>
              <w:t xml:space="preserve"> </w:t>
            </w:r>
            <w:r>
              <w:rPr>
                <w:rFonts w:cs="宋体" w:hint="eastAsia"/>
                <w:sz w:val="18"/>
                <w:szCs w:val="18"/>
              </w:rPr>
              <w:t>□；冰封期</w:t>
            </w:r>
          </w:p>
          <w:p w:rsidR="00240BCE" w:rsidRDefault="00AC0334">
            <w:pPr>
              <w:jc w:val="left"/>
              <w:rPr>
                <w:sz w:val="18"/>
                <w:szCs w:val="18"/>
              </w:rPr>
            </w:pPr>
            <w:r>
              <w:rPr>
                <w:rFonts w:cs="宋体" w:hint="eastAsia"/>
                <w:sz w:val="18"/>
                <w:szCs w:val="18"/>
              </w:rPr>
              <w:t>春季</w:t>
            </w:r>
            <w:r>
              <w:rPr>
                <w:sz w:val="18"/>
                <w:szCs w:val="18"/>
              </w:rPr>
              <w:t xml:space="preserve"> </w:t>
            </w:r>
            <w:r>
              <w:rPr>
                <w:rFonts w:cs="宋体" w:hint="eastAsia"/>
                <w:sz w:val="18"/>
                <w:szCs w:val="18"/>
              </w:rPr>
              <w:t>□；夏季</w:t>
            </w:r>
            <w:r>
              <w:rPr>
                <w:sz w:val="18"/>
                <w:szCs w:val="18"/>
              </w:rPr>
              <w:t xml:space="preserve"> </w:t>
            </w:r>
            <w:r>
              <w:rPr>
                <w:rFonts w:cs="宋体" w:hint="eastAsia"/>
                <w:sz w:val="18"/>
                <w:szCs w:val="18"/>
              </w:rPr>
              <w:t>□；秋季</w:t>
            </w:r>
            <w:r>
              <w:rPr>
                <w:sz w:val="18"/>
                <w:szCs w:val="18"/>
              </w:rPr>
              <w:t xml:space="preserve"> </w:t>
            </w:r>
            <w:r>
              <w:rPr>
                <w:rFonts w:cs="宋体" w:hint="eastAsia"/>
                <w:sz w:val="18"/>
                <w:szCs w:val="18"/>
              </w:rPr>
              <w:t>□；冬季</w:t>
            </w:r>
            <w:r>
              <w:rPr>
                <w:sz w:val="18"/>
                <w:szCs w:val="18"/>
              </w:rPr>
              <w:t xml:space="preserve"> </w:t>
            </w:r>
            <w:r>
              <w:rPr>
                <w:rFonts w:cs="宋体" w:hint="eastAsia"/>
                <w:sz w:val="18"/>
                <w:szCs w:val="18"/>
              </w:rPr>
              <w:t>□</w:t>
            </w:r>
          </w:p>
        </w:tc>
        <w:tc>
          <w:tcPr>
            <w:tcW w:w="3379" w:type="dxa"/>
            <w:gridSpan w:val="6"/>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水行政主管部门</w:t>
            </w:r>
            <w:r>
              <w:rPr>
                <w:sz w:val="18"/>
                <w:szCs w:val="18"/>
              </w:rPr>
              <w:t xml:space="preserve"> </w:t>
            </w:r>
            <w:r>
              <w:rPr>
                <w:rFonts w:cs="宋体" w:hint="eastAsia"/>
                <w:sz w:val="18"/>
                <w:szCs w:val="18"/>
              </w:rPr>
              <w:t>□；补充监测</w:t>
            </w:r>
            <w:r>
              <w:rPr>
                <w:sz w:val="18"/>
                <w:szCs w:val="18"/>
              </w:rPr>
              <w:t xml:space="preserve"> </w:t>
            </w:r>
            <w:r>
              <w:rPr>
                <w:rFonts w:cs="宋体" w:hint="eastAsia"/>
                <w:sz w:val="18"/>
                <w:szCs w:val="18"/>
              </w:rPr>
              <w:t>□；其他</w:t>
            </w:r>
            <w:r>
              <w:rPr>
                <w:sz w:val="18"/>
                <w:szCs w:val="18"/>
              </w:rPr>
              <w:t xml:space="preserve"> </w:t>
            </w:r>
            <w:r>
              <w:rPr>
                <w:rFonts w:cs="宋体" w:hint="eastAsia"/>
                <w:sz w:val="18"/>
                <w:szCs w:val="18"/>
              </w:rPr>
              <w:t>□</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补充监测</w:t>
            </w:r>
          </w:p>
        </w:tc>
        <w:tc>
          <w:tcPr>
            <w:tcW w:w="2251"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监测时期</w:t>
            </w:r>
          </w:p>
        </w:tc>
        <w:tc>
          <w:tcPr>
            <w:tcW w:w="2250" w:type="dxa"/>
            <w:gridSpan w:val="5"/>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监测因子</w:t>
            </w:r>
          </w:p>
        </w:tc>
        <w:tc>
          <w:tcPr>
            <w:tcW w:w="2254" w:type="dxa"/>
            <w:gridSpan w:val="3"/>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监测断面或点位</w:t>
            </w:r>
          </w:p>
        </w:tc>
      </w:tr>
      <w:tr w:rsidR="00240BCE">
        <w:trPr>
          <w:trHeight w:val="968"/>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2251"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丰水期</w:t>
            </w:r>
            <w:r>
              <w:rPr>
                <w:sz w:val="18"/>
                <w:szCs w:val="18"/>
              </w:rPr>
              <w:t xml:space="preserve"> </w:t>
            </w:r>
            <w:r>
              <w:rPr>
                <w:rFonts w:cs="宋体" w:hint="eastAsia"/>
                <w:sz w:val="18"/>
                <w:szCs w:val="18"/>
              </w:rPr>
              <w:t>□；平水期</w:t>
            </w:r>
            <w:r>
              <w:rPr>
                <w:sz w:val="18"/>
                <w:szCs w:val="18"/>
              </w:rPr>
              <w:t xml:space="preserve">  </w:t>
            </w:r>
            <w:r>
              <w:rPr>
                <w:rFonts w:cs="宋体"/>
                <w:sz w:val="18"/>
                <w:szCs w:val="18"/>
              </w:rPr>
              <w:t>☑</w:t>
            </w:r>
            <w:r>
              <w:rPr>
                <w:rFonts w:cs="宋体" w:hint="eastAsia"/>
                <w:sz w:val="18"/>
                <w:szCs w:val="18"/>
              </w:rPr>
              <w:t>；枯水期</w:t>
            </w:r>
            <w:r>
              <w:rPr>
                <w:sz w:val="18"/>
                <w:szCs w:val="18"/>
              </w:rPr>
              <w:t xml:space="preserve"> </w:t>
            </w:r>
            <w:r>
              <w:rPr>
                <w:rFonts w:cs="宋体" w:hint="eastAsia"/>
                <w:sz w:val="18"/>
                <w:szCs w:val="18"/>
              </w:rPr>
              <w:t>□；冰封期</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春季</w:t>
            </w:r>
            <w:r>
              <w:rPr>
                <w:sz w:val="18"/>
                <w:szCs w:val="18"/>
              </w:rPr>
              <w:t xml:space="preserve"> </w:t>
            </w:r>
            <w:r>
              <w:rPr>
                <w:rFonts w:cs="宋体" w:hint="eastAsia"/>
                <w:sz w:val="18"/>
                <w:szCs w:val="18"/>
              </w:rPr>
              <w:t>□；夏季</w:t>
            </w:r>
            <w:r>
              <w:rPr>
                <w:sz w:val="18"/>
                <w:szCs w:val="18"/>
              </w:rPr>
              <w:t xml:space="preserve"> </w:t>
            </w:r>
            <w:r>
              <w:rPr>
                <w:rFonts w:cs="宋体"/>
                <w:sz w:val="18"/>
                <w:szCs w:val="18"/>
              </w:rPr>
              <w:t>☑</w:t>
            </w:r>
            <w:r>
              <w:rPr>
                <w:rFonts w:cs="宋体" w:hint="eastAsia"/>
                <w:sz w:val="18"/>
                <w:szCs w:val="18"/>
              </w:rPr>
              <w:t>；秋季</w:t>
            </w:r>
            <w:r>
              <w:rPr>
                <w:sz w:val="18"/>
                <w:szCs w:val="18"/>
              </w:rPr>
              <w:t xml:space="preserve">  </w:t>
            </w:r>
            <w:r>
              <w:rPr>
                <w:rFonts w:cs="宋体" w:hint="eastAsia"/>
                <w:sz w:val="18"/>
                <w:szCs w:val="18"/>
              </w:rPr>
              <w:t>□；冬季</w:t>
            </w:r>
            <w:r>
              <w:rPr>
                <w:sz w:val="18"/>
                <w:szCs w:val="18"/>
              </w:rPr>
              <w:t xml:space="preserve"> </w:t>
            </w:r>
            <w:r>
              <w:rPr>
                <w:rFonts w:cs="宋体" w:hint="eastAsia"/>
                <w:sz w:val="18"/>
                <w:szCs w:val="18"/>
              </w:rPr>
              <w:t>□</w:t>
            </w:r>
          </w:p>
        </w:tc>
        <w:tc>
          <w:tcPr>
            <w:tcW w:w="2250" w:type="dxa"/>
            <w:gridSpan w:val="5"/>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w:t>
            </w:r>
            <w:r>
              <w:rPr>
                <w:rFonts w:ascii="Calibri" w:hAnsi="Calibri"/>
                <w:sz w:val="18"/>
                <w:szCs w:val="18"/>
              </w:rPr>
              <w:t>pH</w:t>
            </w:r>
            <w:r>
              <w:rPr>
                <w:rFonts w:ascii="Calibri" w:hAnsi="Calibri" w:cs="宋体" w:hint="eastAsia"/>
                <w:sz w:val="18"/>
                <w:szCs w:val="18"/>
              </w:rPr>
              <w:t>、</w:t>
            </w:r>
            <w:r>
              <w:rPr>
                <w:rFonts w:ascii="Calibri" w:hAnsi="Calibri"/>
                <w:sz w:val="18"/>
                <w:szCs w:val="18"/>
              </w:rPr>
              <w:t>COD</w:t>
            </w:r>
            <w:r>
              <w:rPr>
                <w:rFonts w:ascii="Calibri" w:hAnsi="Calibri" w:cs="宋体" w:hint="eastAsia"/>
                <w:sz w:val="18"/>
                <w:szCs w:val="18"/>
              </w:rPr>
              <w:t>、</w:t>
            </w:r>
            <w:r>
              <w:rPr>
                <w:rFonts w:ascii="Calibri" w:hAnsi="Calibri"/>
                <w:sz w:val="18"/>
                <w:szCs w:val="18"/>
              </w:rPr>
              <w:t>BOD</w:t>
            </w:r>
            <w:r>
              <w:rPr>
                <w:rFonts w:ascii="Calibri" w:hAnsi="Calibri"/>
                <w:sz w:val="18"/>
                <w:szCs w:val="18"/>
                <w:vertAlign w:val="subscript"/>
              </w:rPr>
              <w:t>5</w:t>
            </w:r>
            <w:r>
              <w:rPr>
                <w:rFonts w:ascii="Calibri" w:hAnsi="Calibri" w:cs="宋体" w:hint="eastAsia"/>
                <w:sz w:val="18"/>
                <w:szCs w:val="18"/>
              </w:rPr>
              <w:t>、</w:t>
            </w:r>
            <w:r>
              <w:rPr>
                <w:rFonts w:ascii="Calibri" w:hAnsi="Calibri"/>
                <w:sz w:val="18"/>
                <w:szCs w:val="18"/>
              </w:rPr>
              <w:t>SS</w:t>
            </w:r>
            <w:r>
              <w:rPr>
                <w:rFonts w:ascii="Calibri" w:hAnsi="Calibri" w:cs="宋体" w:hint="eastAsia"/>
                <w:sz w:val="18"/>
                <w:szCs w:val="18"/>
              </w:rPr>
              <w:t>、</w:t>
            </w:r>
            <w:r>
              <w:rPr>
                <w:rFonts w:ascii="Calibri" w:hAnsi="Calibri"/>
                <w:sz w:val="18"/>
                <w:szCs w:val="18"/>
              </w:rPr>
              <w:t>DO</w:t>
            </w:r>
            <w:r>
              <w:rPr>
                <w:rFonts w:ascii="Calibri" w:hAnsi="Calibri" w:cs="宋体" w:hint="eastAsia"/>
                <w:sz w:val="18"/>
                <w:szCs w:val="18"/>
              </w:rPr>
              <w:t>、硫化物、氟化物、氨氮、石油类、汞、锌、铅、六价铬、砷、镉、铁</w:t>
            </w:r>
            <w:r>
              <w:rPr>
                <w:rFonts w:cs="宋体" w:hint="eastAsia"/>
                <w:sz w:val="18"/>
                <w:szCs w:val="18"/>
              </w:rPr>
              <w:t>）</w:t>
            </w:r>
          </w:p>
        </w:tc>
        <w:tc>
          <w:tcPr>
            <w:tcW w:w="2254" w:type="dxa"/>
            <w:gridSpan w:val="3"/>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监测断面或点位个数</w:t>
            </w:r>
          </w:p>
          <w:p w:rsidR="00240BCE" w:rsidRDefault="00AC0334">
            <w:pPr>
              <w:jc w:val="center"/>
              <w:rPr>
                <w:sz w:val="18"/>
                <w:szCs w:val="18"/>
              </w:rPr>
            </w:pPr>
            <w:r>
              <w:rPr>
                <w:rFonts w:cs="宋体" w:hint="eastAsia"/>
                <w:sz w:val="18"/>
                <w:szCs w:val="18"/>
              </w:rPr>
              <w:t>（</w:t>
            </w:r>
            <w:r>
              <w:rPr>
                <w:sz w:val="18"/>
                <w:szCs w:val="18"/>
              </w:rPr>
              <w:t>4</w:t>
            </w:r>
            <w:r>
              <w:rPr>
                <w:rFonts w:cs="宋体" w:hint="eastAsia"/>
                <w:sz w:val="18"/>
                <w:szCs w:val="18"/>
              </w:rPr>
              <w:t>）个</w:t>
            </w:r>
            <w:r>
              <w:rPr>
                <w:sz w:val="18"/>
                <w:szCs w:val="18"/>
              </w:rPr>
              <w:t xml:space="preserve"> </w:t>
            </w:r>
          </w:p>
        </w:tc>
      </w:tr>
      <w:tr w:rsidR="00240BCE">
        <w:trPr>
          <w:trHeight w:val="265"/>
          <w:jc w:val="center"/>
        </w:trPr>
        <w:tc>
          <w:tcPr>
            <w:tcW w:w="94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现</w:t>
            </w:r>
          </w:p>
          <w:p w:rsidR="00240BCE" w:rsidRDefault="00AC0334">
            <w:pPr>
              <w:jc w:val="center"/>
              <w:rPr>
                <w:sz w:val="18"/>
                <w:szCs w:val="18"/>
              </w:rPr>
            </w:pPr>
            <w:r>
              <w:rPr>
                <w:rFonts w:cs="宋体" w:hint="eastAsia"/>
                <w:sz w:val="18"/>
                <w:szCs w:val="18"/>
              </w:rPr>
              <w:t>状</w:t>
            </w:r>
          </w:p>
          <w:p w:rsidR="00240BCE" w:rsidRDefault="00AC0334">
            <w:pPr>
              <w:jc w:val="center"/>
              <w:rPr>
                <w:sz w:val="18"/>
                <w:szCs w:val="18"/>
              </w:rPr>
            </w:pPr>
            <w:r>
              <w:rPr>
                <w:rFonts w:cs="宋体" w:hint="eastAsia"/>
                <w:sz w:val="18"/>
                <w:szCs w:val="18"/>
              </w:rPr>
              <w:t>评</w:t>
            </w:r>
          </w:p>
          <w:p w:rsidR="00240BCE" w:rsidRDefault="00AC0334">
            <w:pPr>
              <w:jc w:val="center"/>
              <w:rPr>
                <w:sz w:val="18"/>
                <w:szCs w:val="18"/>
              </w:rPr>
            </w:pPr>
            <w:r>
              <w:rPr>
                <w:rFonts w:cs="宋体" w:hint="eastAsia"/>
                <w:sz w:val="18"/>
                <w:szCs w:val="18"/>
              </w:rPr>
              <w:t>价</w:t>
            </w: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评价范围</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河流：长度（</w:t>
            </w:r>
            <w:r>
              <w:rPr>
                <w:sz w:val="18"/>
                <w:szCs w:val="18"/>
              </w:rPr>
              <w:t xml:space="preserve"> </w:t>
            </w:r>
            <w:r>
              <w:rPr>
                <w:rFonts w:cs="宋体" w:hint="eastAsia"/>
                <w:sz w:val="18"/>
                <w:szCs w:val="18"/>
              </w:rPr>
              <w:t>）</w:t>
            </w:r>
            <w:r>
              <w:rPr>
                <w:sz w:val="18"/>
                <w:szCs w:val="18"/>
              </w:rPr>
              <w:t>km</w:t>
            </w:r>
            <w:r>
              <w:rPr>
                <w:rFonts w:cs="宋体" w:hint="eastAsia"/>
                <w:sz w:val="18"/>
                <w:szCs w:val="18"/>
              </w:rPr>
              <w:t>；湖库、河口及近岸海域：面积（</w:t>
            </w:r>
            <w:r>
              <w:rPr>
                <w:sz w:val="18"/>
                <w:szCs w:val="18"/>
              </w:rPr>
              <w:t>/</w:t>
            </w:r>
            <w:r>
              <w:rPr>
                <w:rFonts w:cs="宋体" w:hint="eastAsia"/>
                <w:sz w:val="18"/>
                <w:szCs w:val="18"/>
              </w:rPr>
              <w:t>）</w:t>
            </w:r>
            <w:r>
              <w:rPr>
                <w:sz w:val="18"/>
                <w:szCs w:val="18"/>
              </w:rPr>
              <w:t>km</w:t>
            </w:r>
            <w:r>
              <w:rPr>
                <w:sz w:val="18"/>
                <w:szCs w:val="18"/>
                <w:vertAlign w:val="superscript"/>
              </w:rPr>
              <w:t>2</w:t>
            </w:r>
            <w:r>
              <w:rPr>
                <w:sz w:val="18"/>
                <w:szCs w:val="18"/>
              </w:rPr>
              <w:t xml:space="preserve"> </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评价因子</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w:t>
            </w:r>
            <w:r>
              <w:rPr>
                <w:sz w:val="18"/>
                <w:szCs w:val="18"/>
              </w:rPr>
              <w:t>/</w:t>
            </w:r>
            <w:r>
              <w:rPr>
                <w:rFonts w:cs="宋体" w:hint="eastAsia"/>
                <w:sz w:val="18"/>
                <w:szCs w:val="18"/>
              </w:rPr>
              <w:t>）</w:t>
            </w:r>
          </w:p>
        </w:tc>
      </w:tr>
      <w:tr w:rsidR="00240BCE">
        <w:trPr>
          <w:trHeight w:val="632"/>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评价标准</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河流、湖库、河口：Ⅰ类</w:t>
            </w:r>
            <w:r>
              <w:rPr>
                <w:sz w:val="18"/>
                <w:szCs w:val="18"/>
              </w:rPr>
              <w:t xml:space="preserve"> </w:t>
            </w:r>
            <w:r>
              <w:rPr>
                <w:rFonts w:cs="宋体" w:hint="eastAsia"/>
                <w:sz w:val="18"/>
                <w:szCs w:val="18"/>
              </w:rPr>
              <w:t>□；Ⅱ类</w:t>
            </w:r>
            <w:r>
              <w:rPr>
                <w:sz w:val="18"/>
                <w:szCs w:val="18"/>
              </w:rPr>
              <w:t xml:space="preserve"> </w:t>
            </w:r>
            <w:r>
              <w:rPr>
                <w:rFonts w:cs="宋体" w:hint="eastAsia"/>
                <w:sz w:val="18"/>
                <w:szCs w:val="18"/>
              </w:rPr>
              <w:t>□；Ⅲ类</w:t>
            </w:r>
            <w:r>
              <w:rPr>
                <w:sz w:val="18"/>
                <w:szCs w:val="18"/>
              </w:rPr>
              <w:t xml:space="preserve">  </w:t>
            </w:r>
            <w:r>
              <w:rPr>
                <w:rFonts w:cs="宋体"/>
                <w:sz w:val="18"/>
                <w:szCs w:val="18"/>
              </w:rPr>
              <w:t>☑</w:t>
            </w:r>
            <w:r>
              <w:rPr>
                <w:rFonts w:cs="宋体" w:hint="eastAsia"/>
                <w:sz w:val="18"/>
                <w:szCs w:val="18"/>
              </w:rPr>
              <w:t>；Ⅳ类</w:t>
            </w:r>
            <w:r>
              <w:rPr>
                <w:sz w:val="18"/>
                <w:szCs w:val="18"/>
              </w:rPr>
              <w:t xml:space="preserve"> </w:t>
            </w:r>
            <w:r>
              <w:rPr>
                <w:rFonts w:cs="宋体" w:hint="eastAsia"/>
                <w:sz w:val="18"/>
                <w:szCs w:val="18"/>
              </w:rPr>
              <w:t>□；Ⅴ类</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近岸海域：第一类</w:t>
            </w:r>
            <w:r>
              <w:rPr>
                <w:sz w:val="18"/>
                <w:szCs w:val="18"/>
              </w:rPr>
              <w:t xml:space="preserve"> </w:t>
            </w:r>
            <w:r>
              <w:rPr>
                <w:rFonts w:cs="宋体" w:hint="eastAsia"/>
                <w:sz w:val="18"/>
                <w:szCs w:val="18"/>
              </w:rPr>
              <w:t>□；第二类</w:t>
            </w:r>
            <w:r>
              <w:rPr>
                <w:sz w:val="18"/>
                <w:szCs w:val="18"/>
              </w:rPr>
              <w:t xml:space="preserve"> </w:t>
            </w:r>
            <w:r>
              <w:rPr>
                <w:rFonts w:cs="宋体" w:hint="eastAsia"/>
                <w:sz w:val="18"/>
                <w:szCs w:val="18"/>
              </w:rPr>
              <w:t>□；第三类</w:t>
            </w:r>
            <w:r>
              <w:rPr>
                <w:sz w:val="18"/>
                <w:szCs w:val="18"/>
              </w:rPr>
              <w:t xml:space="preserve"> </w:t>
            </w:r>
            <w:r>
              <w:rPr>
                <w:rFonts w:cs="宋体" w:hint="eastAsia"/>
                <w:sz w:val="18"/>
                <w:szCs w:val="18"/>
              </w:rPr>
              <w:t>□；第四类</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规划年评价标准（</w:t>
            </w:r>
            <w:r>
              <w:rPr>
                <w:sz w:val="18"/>
                <w:szCs w:val="18"/>
              </w:rPr>
              <w:t>/</w:t>
            </w:r>
            <w:r>
              <w:rPr>
                <w:rFonts w:cs="宋体" w:hint="eastAsia"/>
                <w:sz w:val="18"/>
                <w:szCs w:val="18"/>
              </w:rPr>
              <w:t>）</w:t>
            </w:r>
            <w:r>
              <w:rPr>
                <w:sz w:val="18"/>
                <w:szCs w:val="18"/>
              </w:rPr>
              <w:t xml:space="preserve"> </w:t>
            </w:r>
          </w:p>
        </w:tc>
      </w:tr>
      <w:tr w:rsidR="00240BCE">
        <w:trPr>
          <w:trHeight w:val="521"/>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评价时期</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丰水期□；平水期</w:t>
            </w:r>
            <w:r>
              <w:rPr>
                <w:sz w:val="18"/>
                <w:szCs w:val="18"/>
              </w:rPr>
              <w:t xml:space="preserve"> </w:t>
            </w:r>
            <w:r>
              <w:rPr>
                <w:rFonts w:cs="宋体" w:hint="eastAsia"/>
                <w:sz w:val="18"/>
                <w:szCs w:val="18"/>
              </w:rPr>
              <w:t>□；枯水期□；冰封期</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春季</w:t>
            </w:r>
            <w:r>
              <w:rPr>
                <w:sz w:val="18"/>
                <w:szCs w:val="18"/>
              </w:rPr>
              <w:t xml:space="preserve"> </w:t>
            </w:r>
            <w:r>
              <w:rPr>
                <w:rFonts w:cs="宋体" w:hint="eastAsia"/>
                <w:sz w:val="18"/>
                <w:szCs w:val="18"/>
              </w:rPr>
              <w:t>□；夏季</w:t>
            </w:r>
            <w:r>
              <w:rPr>
                <w:sz w:val="18"/>
                <w:szCs w:val="18"/>
              </w:rPr>
              <w:t xml:space="preserve"> </w:t>
            </w:r>
            <w:r>
              <w:rPr>
                <w:rFonts w:cs="宋体" w:hint="eastAsia"/>
                <w:sz w:val="18"/>
                <w:szCs w:val="18"/>
              </w:rPr>
              <w:t>□；秋季</w:t>
            </w:r>
            <w:r>
              <w:rPr>
                <w:sz w:val="18"/>
                <w:szCs w:val="18"/>
              </w:rPr>
              <w:t xml:space="preserve"> </w:t>
            </w:r>
            <w:r>
              <w:rPr>
                <w:rFonts w:cs="宋体" w:hint="eastAsia"/>
                <w:sz w:val="18"/>
                <w:szCs w:val="18"/>
              </w:rPr>
              <w:t>□；冬季</w:t>
            </w:r>
            <w:r>
              <w:rPr>
                <w:sz w:val="18"/>
                <w:szCs w:val="18"/>
              </w:rPr>
              <w:t xml:space="preserve"> </w:t>
            </w:r>
            <w:r>
              <w:rPr>
                <w:rFonts w:cs="宋体" w:hint="eastAsia"/>
                <w:sz w:val="18"/>
                <w:szCs w:val="18"/>
              </w:rPr>
              <w:t>□</w:t>
            </w:r>
            <w:r>
              <w:rPr>
                <w:sz w:val="18"/>
                <w:szCs w:val="18"/>
              </w:rPr>
              <w:t xml:space="preserve"> </w:t>
            </w:r>
          </w:p>
        </w:tc>
      </w:tr>
      <w:tr w:rsidR="00240BCE">
        <w:trPr>
          <w:trHeight w:val="306"/>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评价结论</w:t>
            </w:r>
          </w:p>
        </w:tc>
        <w:tc>
          <w:tcPr>
            <w:tcW w:w="5351" w:type="dxa"/>
            <w:gridSpan w:val="10"/>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水环境功能区或水功能区、近岸海域环境功能区水质达标状况</w:t>
            </w:r>
            <w:r>
              <w:rPr>
                <w:sz w:val="18"/>
                <w:szCs w:val="18"/>
              </w:rPr>
              <w:t xml:space="preserve"> </w:t>
            </w:r>
            <w:r>
              <w:rPr>
                <w:rFonts w:cs="宋体" w:hint="eastAsia"/>
                <w:sz w:val="18"/>
                <w:szCs w:val="18"/>
              </w:rPr>
              <w:t>□：达标</w:t>
            </w:r>
            <w:r>
              <w:rPr>
                <w:sz w:val="18"/>
                <w:szCs w:val="18"/>
              </w:rPr>
              <w:t xml:space="preserve">  </w:t>
            </w:r>
            <w:r>
              <w:rPr>
                <w:rFonts w:cs="宋体"/>
                <w:sz w:val="18"/>
                <w:szCs w:val="18"/>
              </w:rPr>
              <w:t>☑</w:t>
            </w:r>
            <w:r>
              <w:rPr>
                <w:rFonts w:cs="宋体" w:hint="eastAsia"/>
                <w:sz w:val="18"/>
                <w:szCs w:val="18"/>
              </w:rPr>
              <w:t>；不达标</w:t>
            </w:r>
            <w:r>
              <w:rPr>
                <w:sz w:val="18"/>
                <w:szCs w:val="18"/>
              </w:rPr>
              <w:t xml:space="preserve"> </w:t>
            </w:r>
            <w:r>
              <w:rPr>
                <w:rFonts w:cs="宋体" w:hint="eastAsia"/>
                <w:sz w:val="18"/>
                <w:szCs w:val="18"/>
              </w:rPr>
              <w:t>□</w:t>
            </w:r>
          </w:p>
          <w:p w:rsidR="00240BCE" w:rsidRDefault="00AC0334">
            <w:pPr>
              <w:jc w:val="left"/>
              <w:rPr>
                <w:sz w:val="18"/>
                <w:szCs w:val="18"/>
              </w:rPr>
            </w:pPr>
            <w:r>
              <w:rPr>
                <w:rFonts w:cs="宋体" w:hint="eastAsia"/>
                <w:sz w:val="18"/>
                <w:szCs w:val="18"/>
              </w:rPr>
              <w:t>水环境控制单元或断面水质达标状况</w:t>
            </w:r>
            <w:r>
              <w:rPr>
                <w:sz w:val="18"/>
                <w:szCs w:val="18"/>
              </w:rPr>
              <w:t xml:space="preserve"> </w:t>
            </w:r>
            <w:r>
              <w:rPr>
                <w:rFonts w:cs="宋体" w:hint="eastAsia"/>
                <w:sz w:val="18"/>
                <w:szCs w:val="18"/>
              </w:rPr>
              <w:t>□：达标</w:t>
            </w:r>
            <w:r>
              <w:rPr>
                <w:sz w:val="18"/>
                <w:szCs w:val="18"/>
              </w:rPr>
              <w:t xml:space="preserve"> </w:t>
            </w:r>
            <w:r>
              <w:rPr>
                <w:rFonts w:cs="宋体" w:hint="eastAsia"/>
                <w:sz w:val="18"/>
                <w:szCs w:val="18"/>
              </w:rPr>
              <w:t>□；不达标</w:t>
            </w:r>
            <w:r>
              <w:rPr>
                <w:sz w:val="18"/>
                <w:szCs w:val="18"/>
              </w:rPr>
              <w:t xml:space="preserve"> </w:t>
            </w:r>
            <w:r>
              <w:rPr>
                <w:rFonts w:cs="宋体" w:hint="eastAsia"/>
                <w:sz w:val="18"/>
                <w:szCs w:val="18"/>
              </w:rPr>
              <w:t>□</w:t>
            </w:r>
          </w:p>
          <w:p w:rsidR="00240BCE" w:rsidRDefault="00AC0334">
            <w:pPr>
              <w:jc w:val="left"/>
              <w:rPr>
                <w:sz w:val="18"/>
                <w:szCs w:val="18"/>
              </w:rPr>
            </w:pPr>
            <w:r>
              <w:rPr>
                <w:rFonts w:cs="宋体" w:hint="eastAsia"/>
                <w:sz w:val="18"/>
                <w:szCs w:val="18"/>
              </w:rPr>
              <w:t>水环境保护目标质量状况</w:t>
            </w:r>
            <w:r>
              <w:rPr>
                <w:sz w:val="18"/>
                <w:szCs w:val="18"/>
              </w:rPr>
              <w:t xml:space="preserve"> </w:t>
            </w:r>
            <w:r>
              <w:rPr>
                <w:rFonts w:cs="宋体" w:hint="eastAsia"/>
                <w:sz w:val="18"/>
                <w:szCs w:val="18"/>
              </w:rPr>
              <w:t>□：达标</w:t>
            </w:r>
            <w:r>
              <w:rPr>
                <w:sz w:val="18"/>
                <w:szCs w:val="18"/>
              </w:rPr>
              <w:t xml:space="preserve"> </w:t>
            </w:r>
            <w:r>
              <w:rPr>
                <w:rFonts w:cs="宋体" w:hint="eastAsia"/>
                <w:sz w:val="18"/>
                <w:szCs w:val="18"/>
              </w:rPr>
              <w:t>□；不达标</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对照断面、控制断面等代表性断面的水质状况</w:t>
            </w:r>
            <w:r>
              <w:rPr>
                <w:sz w:val="18"/>
                <w:szCs w:val="18"/>
              </w:rPr>
              <w:t xml:space="preserve"> </w:t>
            </w:r>
            <w:r>
              <w:rPr>
                <w:rFonts w:cs="宋体" w:hint="eastAsia"/>
                <w:sz w:val="18"/>
                <w:szCs w:val="18"/>
              </w:rPr>
              <w:t>□：达标</w:t>
            </w:r>
            <w:r>
              <w:rPr>
                <w:sz w:val="18"/>
                <w:szCs w:val="18"/>
              </w:rPr>
              <w:t xml:space="preserve"> </w:t>
            </w:r>
            <w:r>
              <w:rPr>
                <w:rFonts w:cs="宋体" w:hint="eastAsia"/>
                <w:sz w:val="18"/>
                <w:szCs w:val="18"/>
              </w:rPr>
              <w:t>□；不达标</w:t>
            </w:r>
            <w:r>
              <w:rPr>
                <w:sz w:val="18"/>
                <w:szCs w:val="18"/>
              </w:rPr>
              <w:t xml:space="preserve"> </w:t>
            </w:r>
            <w:r>
              <w:rPr>
                <w:rFonts w:cs="宋体" w:hint="eastAsia"/>
                <w:sz w:val="18"/>
                <w:szCs w:val="18"/>
              </w:rPr>
              <w:t>□</w:t>
            </w:r>
          </w:p>
          <w:p w:rsidR="00240BCE" w:rsidRDefault="00AC0334">
            <w:pPr>
              <w:jc w:val="left"/>
              <w:rPr>
                <w:sz w:val="18"/>
                <w:szCs w:val="18"/>
              </w:rPr>
            </w:pPr>
            <w:r>
              <w:rPr>
                <w:rFonts w:cs="宋体" w:hint="eastAsia"/>
                <w:sz w:val="18"/>
                <w:szCs w:val="18"/>
              </w:rPr>
              <w:t>底泥污染评价</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水资源与开发利用程度及其水文情势评价</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水环境质量回顾评价</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流域（区域）水资源（包括水能资源）与开发利用总体状况、生态流量管理要求与现状满足程度、建设项目占用水域空间的水流状况</w:t>
            </w:r>
            <w:r>
              <w:rPr>
                <w:rFonts w:cs="宋体" w:hint="eastAsia"/>
                <w:sz w:val="18"/>
                <w:szCs w:val="18"/>
              </w:rPr>
              <w:lastRenderedPageBreak/>
              <w:t>与河湖演变状况</w:t>
            </w:r>
            <w:r>
              <w:rPr>
                <w:sz w:val="18"/>
                <w:szCs w:val="18"/>
              </w:rPr>
              <w:t xml:space="preserve"> </w:t>
            </w:r>
            <w:r>
              <w:rPr>
                <w:rFonts w:cs="宋体" w:hint="eastAsia"/>
                <w:sz w:val="18"/>
                <w:szCs w:val="18"/>
              </w:rPr>
              <w:t>□</w:t>
            </w:r>
          </w:p>
        </w:tc>
        <w:tc>
          <w:tcPr>
            <w:tcW w:w="1404" w:type="dxa"/>
            <w:gridSpan w:val="2"/>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lastRenderedPageBreak/>
              <w:t>达标区</w:t>
            </w:r>
            <w:r>
              <w:rPr>
                <w:rFonts w:cs="宋体"/>
                <w:sz w:val="18"/>
                <w:szCs w:val="18"/>
              </w:rPr>
              <w:t>☑</w:t>
            </w:r>
            <w:r>
              <w:rPr>
                <w:sz w:val="18"/>
                <w:szCs w:val="18"/>
              </w:rPr>
              <w:t xml:space="preserve"> </w:t>
            </w:r>
          </w:p>
          <w:p w:rsidR="00240BCE" w:rsidRDefault="00AC0334">
            <w:pPr>
              <w:jc w:val="center"/>
              <w:rPr>
                <w:sz w:val="18"/>
                <w:szCs w:val="18"/>
              </w:rPr>
            </w:pPr>
            <w:r>
              <w:rPr>
                <w:rFonts w:cs="宋体" w:hint="eastAsia"/>
                <w:sz w:val="18"/>
                <w:szCs w:val="18"/>
              </w:rPr>
              <w:t>不达标区□</w:t>
            </w:r>
          </w:p>
        </w:tc>
      </w:tr>
      <w:tr w:rsidR="00240BCE">
        <w:trPr>
          <w:trHeight w:val="265"/>
          <w:jc w:val="center"/>
        </w:trPr>
        <w:tc>
          <w:tcPr>
            <w:tcW w:w="94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lastRenderedPageBreak/>
              <w:t>影</w:t>
            </w:r>
          </w:p>
          <w:p w:rsidR="00240BCE" w:rsidRDefault="00AC0334">
            <w:pPr>
              <w:jc w:val="center"/>
              <w:rPr>
                <w:sz w:val="18"/>
                <w:szCs w:val="18"/>
              </w:rPr>
            </w:pPr>
            <w:r>
              <w:rPr>
                <w:rFonts w:cs="宋体" w:hint="eastAsia"/>
                <w:sz w:val="18"/>
                <w:szCs w:val="18"/>
              </w:rPr>
              <w:t>响</w:t>
            </w:r>
          </w:p>
          <w:p w:rsidR="00240BCE" w:rsidRDefault="00AC0334">
            <w:pPr>
              <w:jc w:val="center"/>
              <w:rPr>
                <w:sz w:val="18"/>
                <w:szCs w:val="18"/>
              </w:rPr>
            </w:pPr>
            <w:r>
              <w:rPr>
                <w:rFonts w:cs="宋体" w:hint="eastAsia"/>
                <w:sz w:val="18"/>
                <w:szCs w:val="18"/>
              </w:rPr>
              <w:t>预</w:t>
            </w:r>
          </w:p>
          <w:p w:rsidR="00240BCE" w:rsidRDefault="00AC0334">
            <w:pPr>
              <w:jc w:val="center"/>
              <w:rPr>
                <w:sz w:val="18"/>
                <w:szCs w:val="18"/>
              </w:rPr>
            </w:pPr>
            <w:r>
              <w:rPr>
                <w:rFonts w:cs="宋体" w:hint="eastAsia"/>
                <w:sz w:val="18"/>
                <w:szCs w:val="18"/>
              </w:rPr>
              <w:t>测</w:t>
            </w: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预测范围</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河流：长度（）</w:t>
            </w:r>
            <w:r>
              <w:rPr>
                <w:sz w:val="18"/>
                <w:szCs w:val="18"/>
              </w:rPr>
              <w:t>km</w:t>
            </w:r>
            <w:r>
              <w:rPr>
                <w:rFonts w:cs="宋体" w:hint="eastAsia"/>
                <w:sz w:val="18"/>
                <w:szCs w:val="18"/>
              </w:rPr>
              <w:t>；湖库、河口及近岸海域：面积（</w:t>
            </w:r>
            <w:r>
              <w:rPr>
                <w:sz w:val="18"/>
                <w:szCs w:val="18"/>
              </w:rPr>
              <w:t>/</w:t>
            </w:r>
            <w:r>
              <w:rPr>
                <w:rFonts w:cs="宋体" w:hint="eastAsia"/>
                <w:sz w:val="18"/>
                <w:szCs w:val="18"/>
              </w:rPr>
              <w:t>）</w:t>
            </w:r>
            <w:r>
              <w:rPr>
                <w:sz w:val="18"/>
                <w:szCs w:val="18"/>
              </w:rPr>
              <w:t>km</w:t>
            </w:r>
            <w:r>
              <w:rPr>
                <w:sz w:val="18"/>
                <w:szCs w:val="18"/>
                <w:vertAlign w:val="superscript"/>
              </w:rPr>
              <w:t>2</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预测因子</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w:t>
            </w:r>
            <w:r>
              <w:rPr>
                <w:sz w:val="18"/>
                <w:szCs w:val="18"/>
              </w:rPr>
              <w:t>COD</w:t>
            </w:r>
            <w:r>
              <w:rPr>
                <w:rFonts w:cs="宋体" w:hint="eastAsia"/>
                <w:sz w:val="18"/>
                <w:szCs w:val="18"/>
              </w:rPr>
              <w:t>、</w:t>
            </w:r>
            <w:r>
              <w:rPr>
                <w:sz w:val="18"/>
                <w:szCs w:val="18"/>
              </w:rPr>
              <w:t>NH</w:t>
            </w:r>
            <w:r>
              <w:rPr>
                <w:sz w:val="18"/>
                <w:szCs w:val="18"/>
                <w:vertAlign w:val="subscript"/>
              </w:rPr>
              <w:t>3</w:t>
            </w:r>
            <w:r>
              <w:rPr>
                <w:sz w:val="18"/>
                <w:szCs w:val="18"/>
              </w:rPr>
              <w:t>-N</w:t>
            </w:r>
            <w:r>
              <w:rPr>
                <w:rFonts w:cs="宋体" w:hint="eastAsia"/>
                <w:sz w:val="18"/>
                <w:szCs w:val="18"/>
              </w:rPr>
              <w:t>）</w:t>
            </w:r>
          </w:p>
        </w:tc>
      </w:tr>
      <w:tr w:rsidR="00240BCE">
        <w:trPr>
          <w:trHeight w:val="777"/>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预测时期</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丰水期</w:t>
            </w:r>
            <w:r>
              <w:rPr>
                <w:sz w:val="18"/>
                <w:szCs w:val="18"/>
              </w:rPr>
              <w:t xml:space="preserve"> </w:t>
            </w:r>
            <w:r>
              <w:rPr>
                <w:rFonts w:cs="宋体" w:hint="eastAsia"/>
                <w:sz w:val="18"/>
                <w:szCs w:val="18"/>
              </w:rPr>
              <w:t>□；平水期</w:t>
            </w:r>
            <w:r>
              <w:rPr>
                <w:sz w:val="18"/>
                <w:szCs w:val="18"/>
              </w:rPr>
              <w:t xml:space="preserve"> </w:t>
            </w:r>
            <w:r>
              <w:rPr>
                <w:rFonts w:cs="宋体" w:hint="eastAsia"/>
                <w:sz w:val="18"/>
                <w:szCs w:val="18"/>
              </w:rPr>
              <w:t>□；枯水期</w:t>
            </w:r>
            <w:r>
              <w:rPr>
                <w:sz w:val="18"/>
                <w:szCs w:val="18"/>
              </w:rPr>
              <w:t xml:space="preserve"> </w:t>
            </w:r>
            <w:r>
              <w:rPr>
                <w:rFonts w:cs="宋体" w:hint="eastAsia"/>
                <w:sz w:val="18"/>
                <w:szCs w:val="18"/>
              </w:rPr>
              <w:t>□；冰封期</w:t>
            </w:r>
            <w:r>
              <w:rPr>
                <w:sz w:val="18"/>
                <w:szCs w:val="18"/>
              </w:rPr>
              <w:t xml:space="preserve"> </w:t>
            </w:r>
            <w:r>
              <w:rPr>
                <w:rFonts w:cs="宋体" w:hint="eastAsia"/>
                <w:sz w:val="18"/>
                <w:szCs w:val="18"/>
              </w:rPr>
              <w:t>□</w:t>
            </w:r>
          </w:p>
          <w:p w:rsidR="00240BCE" w:rsidRDefault="00AC0334">
            <w:pPr>
              <w:jc w:val="left"/>
              <w:rPr>
                <w:sz w:val="18"/>
                <w:szCs w:val="18"/>
              </w:rPr>
            </w:pPr>
            <w:r>
              <w:rPr>
                <w:rFonts w:cs="宋体" w:hint="eastAsia"/>
                <w:sz w:val="18"/>
                <w:szCs w:val="18"/>
              </w:rPr>
              <w:t>春季</w:t>
            </w:r>
            <w:r>
              <w:rPr>
                <w:sz w:val="18"/>
                <w:szCs w:val="18"/>
              </w:rPr>
              <w:t xml:space="preserve"> </w:t>
            </w:r>
            <w:r>
              <w:rPr>
                <w:rFonts w:cs="宋体" w:hint="eastAsia"/>
                <w:sz w:val="18"/>
                <w:szCs w:val="18"/>
              </w:rPr>
              <w:t>□；夏季</w:t>
            </w:r>
            <w:r>
              <w:rPr>
                <w:sz w:val="18"/>
                <w:szCs w:val="18"/>
              </w:rPr>
              <w:t xml:space="preserve"> </w:t>
            </w:r>
            <w:r>
              <w:rPr>
                <w:rFonts w:cs="宋体" w:hint="eastAsia"/>
                <w:sz w:val="18"/>
                <w:szCs w:val="18"/>
              </w:rPr>
              <w:t>□；秋季</w:t>
            </w:r>
            <w:r>
              <w:rPr>
                <w:sz w:val="18"/>
                <w:szCs w:val="18"/>
              </w:rPr>
              <w:t xml:space="preserve"> </w:t>
            </w:r>
            <w:r>
              <w:rPr>
                <w:rFonts w:cs="宋体" w:hint="eastAsia"/>
                <w:sz w:val="18"/>
                <w:szCs w:val="18"/>
              </w:rPr>
              <w:t>□；冬季</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设计水文条件</w:t>
            </w:r>
            <w:r>
              <w:rPr>
                <w:sz w:val="18"/>
                <w:szCs w:val="18"/>
              </w:rPr>
              <w:t xml:space="preserve"> </w:t>
            </w:r>
            <w:r>
              <w:rPr>
                <w:rFonts w:cs="宋体" w:hint="eastAsia"/>
                <w:sz w:val="18"/>
                <w:szCs w:val="18"/>
              </w:rPr>
              <w:t>□</w:t>
            </w:r>
          </w:p>
        </w:tc>
      </w:tr>
      <w:tr w:rsidR="00240BCE">
        <w:trPr>
          <w:trHeight w:val="1032"/>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预测情景</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建设期</w:t>
            </w:r>
            <w:r>
              <w:rPr>
                <w:sz w:val="18"/>
                <w:szCs w:val="18"/>
              </w:rPr>
              <w:t xml:space="preserve"> </w:t>
            </w:r>
            <w:r>
              <w:rPr>
                <w:rFonts w:cs="宋体" w:hint="eastAsia"/>
                <w:sz w:val="18"/>
                <w:szCs w:val="18"/>
              </w:rPr>
              <w:t>□；生产运行期</w:t>
            </w:r>
            <w:r>
              <w:rPr>
                <w:sz w:val="18"/>
                <w:szCs w:val="18"/>
              </w:rPr>
              <w:t xml:space="preserve">  </w:t>
            </w:r>
            <w:r>
              <w:rPr>
                <w:rFonts w:cs="宋体"/>
                <w:sz w:val="18"/>
                <w:szCs w:val="18"/>
              </w:rPr>
              <w:t>☑</w:t>
            </w:r>
            <w:r>
              <w:rPr>
                <w:rFonts w:cs="宋体" w:hint="eastAsia"/>
                <w:sz w:val="18"/>
                <w:szCs w:val="18"/>
              </w:rPr>
              <w:t>；服务期满后</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正常工况</w:t>
            </w:r>
            <w:r>
              <w:rPr>
                <w:sz w:val="18"/>
                <w:szCs w:val="18"/>
              </w:rPr>
              <w:t xml:space="preserve"> </w:t>
            </w:r>
            <w:r>
              <w:rPr>
                <w:rFonts w:cs="宋体"/>
                <w:sz w:val="18"/>
                <w:szCs w:val="18"/>
              </w:rPr>
              <w:t>☑</w:t>
            </w:r>
            <w:r>
              <w:rPr>
                <w:rFonts w:cs="宋体" w:hint="eastAsia"/>
                <w:sz w:val="18"/>
                <w:szCs w:val="18"/>
              </w:rPr>
              <w:t>；非正常工况</w:t>
            </w:r>
            <w:r>
              <w:rPr>
                <w:sz w:val="18"/>
                <w:szCs w:val="18"/>
              </w:rPr>
              <w:t xml:space="preserve"> </w:t>
            </w:r>
            <w:r>
              <w:rPr>
                <w:rFonts w:cs="宋体"/>
                <w:sz w:val="18"/>
                <w:szCs w:val="18"/>
              </w:rPr>
              <w:t>☑</w:t>
            </w:r>
            <w:r>
              <w:rPr>
                <w:sz w:val="18"/>
                <w:szCs w:val="18"/>
              </w:rPr>
              <w:t xml:space="preserve"> </w:t>
            </w:r>
          </w:p>
          <w:p w:rsidR="00240BCE" w:rsidRDefault="00AC0334">
            <w:pPr>
              <w:jc w:val="left"/>
              <w:rPr>
                <w:sz w:val="18"/>
                <w:szCs w:val="18"/>
              </w:rPr>
            </w:pPr>
            <w:r>
              <w:rPr>
                <w:rFonts w:cs="宋体" w:hint="eastAsia"/>
                <w:sz w:val="18"/>
                <w:szCs w:val="18"/>
              </w:rPr>
              <w:t>污染控制和减缓措施方案</w:t>
            </w:r>
            <w:r>
              <w:rPr>
                <w:sz w:val="18"/>
                <w:szCs w:val="18"/>
              </w:rPr>
              <w:t xml:space="preserve">  </w:t>
            </w:r>
            <w:r>
              <w:rPr>
                <w:rFonts w:cs="宋体"/>
                <w:sz w:val="18"/>
                <w:szCs w:val="18"/>
              </w:rPr>
              <w:t>☑</w:t>
            </w:r>
          </w:p>
          <w:p w:rsidR="00240BCE" w:rsidRDefault="00AC0334">
            <w:pPr>
              <w:jc w:val="left"/>
              <w:rPr>
                <w:sz w:val="18"/>
                <w:szCs w:val="18"/>
              </w:rPr>
            </w:pPr>
            <w:r>
              <w:rPr>
                <w:rFonts w:cs="宋体" w:hint="eastAsia"/>
                <w:sz w:val="18"/>
                <w:szCs w:val="18"/>
              </w:rPr>
              <w:t>区（流）域环境质量改善目标要求情景</w:t>
            </w:r>
            <w:r>
              <w:rPr>
                <w:sz w:val="18"/>
                <w:szCs w:val="18"/>
              </w:rPr>
              <w:t xml:space="preserve"> </w:t>
            </w:r>
            <w:r>
              <w:rPr>
                <w:rFonts w:cs="宋体" w:hint="eastAsia"/>
                <w:sz w:val="18"/>
                <w:szCs w:val="18"/>
              </w:rPr>
              <w:t>□</w:t>
            </w:r>
          </w:p>
        </w:tc>
      </w:tr>
      <w:tr w:rsidR="00240BCE">
        <w:trPr>
          <w:trHeight w:val="521"/>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预测方法</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数值解</w:t>
            </w:r>
            <w:r>
              <w:rPr>
                <w:sz w:val="18"/>
                <w:szCs w:val="18"/>
              </w:rPr>
              <w:t xml:space="preserve"> </w:t>
            </w:r>
            <w:r>
              <w:rPr>
                <w:rFonts w:cs="宋体" w:hint="eastAsia"/>
                <w:sz w:val="18"/>
                <w:szCs w:val="18"/>
              </w:rPr>
              <w:t>□：解析解</w:t>
            </w:r>
            <w:r>
              <w:rPr>
                <w:sz w:val="18"/>
                <w:szCs w:val="18"/>
              </w:rPr>
              <w:t xml:space="preserve"> </w:t>
            </w:r>
            <w:r>
              <w:rPr>
                <w:rFonts w:cs="宋体" w:hint="eastAsia"/>
                <w:sz w:val="18"/>
                <w:szCs w:val="18"/>
              </w:rPr>
              <w:t>□；其他</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导则推荐模式□：其他</w:t>
            </w:r>
            <w:r>
              <w:rPr>
                <w:sz w:val="18"/>
                <w:szCs w:val="18"/>
              </w:rPr>
              <w:t xml:space="preserve">  </w:t>
            </w:r>
            <w:r>
              <w:rPr>
                <w:rFonts w:cs="宋体"/>
                <w:sz w:val="18"/>
                <w:szCs w:val="18"/>
              </w:rPr>
              <w:t>☑</w:t>
            </w:r>
          </w:p>
        </w:tc>
      </w:tr>
      <w:tr w:rsidR="00240BCE">
        <w:trPr>
          <w:trHeight w:val="777"/>
          <w:jc w:val="center"/>
        </w:trPr>
        <w:tc>
          <w:tcPr>
            <w:tcW w:w="94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影</w:t>
            </w:r>
          </w:p>
          <w:p w:rsidR="00240BCE" w:rsidRDefault="00AC0334">
            <w:pPr>
              <w:jc w:val="center"/>
              <w:rPr>
                <w:sz w:val="18"/>
                <w:szCs w:val="18"/>
              </w:rPr>
            </w:pPr>
            <w:r>
              <w:rPr>
                <w:rFonts w:cs="宋体" w:hint="eastAsia"/>
                <w:sz w:val="18"/>
                <w:szCs w:val="18"/>
              </w:rPr>
              <w:t>响</w:t>
            </w:r>
          </w:p>
          <w:p w:rsidR="00240BCE" w:rsidRDefault="00AC0334">
            <w:pPr>
              <w:jc w:val="center"/>
              <w:rPr>
                <w:sz w:val="18"/>
                <w:szCs w:val="18"/>
              </w:rPr>
            </w:pPr>
            <w:r>
              <w:rPr>
                <w:rFonts w:cs="宋体" w:hint="eastAsia"/>
                <w:sz w:val="18"/>
                <w:szCs w:val="18"/>
              </w:rPr>
              <w:t>评</w:t>
            </w:r>
          </w:p>
          <w:p w:rsidR="00240BCE" w:rsidRDefault="00AC0334">
            <w:pPr>
              <w:jc w:val="center"/>
              <w:rPr>
                <w:sz w:val="18"/>
                <w:szCs w:val="18"/>
              </w:rPr>
            </w:pPr>
            <w:r>
              <w:rPr>
                <w:rFonts w:cs="宋体" w:hint="eastAsia"/>
                <w:sz w:val="18"/>
                <w:szCs w:val="18"/>
              </w:rPr>
              <w:t>价</w:t>
            </w: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水污染控制和水环境影响减缓措</w:t>
            </w:r>
          </w:p>
          <w:p w:rsidR="00240BCE" w:rsidRDefault="00AC0334">
            <w:pPr>
              <w:jc w:val="center"/>
              <w:rPr>
                <w:sz w:val="18"/>
                <w:szCs w:val="18"/>
              </w:rPr>
            </w:pPr>
            <w:r>
              <w:rPr>
                <w:rFonts w:cs="宋体" w:hint="eastAsia"/>
                <w:sz w:val="18"/>
                <w:szCs w:val="18"/>
              </w:rPr>
              <w:t>施有效性评价</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区（流）域水环境质量改善目标</w:t>
            </w:r>
            <w:r>
              <w:rPr>
                <w:sz w:val="18"/>
                <w:szCs w:val="18"/>
              </w:rPr>
              <w:t xml:space="preserve"> </w:t>
            </w:r>
            <w:r>
              <w:rPr>
                <w:rFonts w:cs="宋体" w:hint="eastAsia"/>
                <w:sz w:val="18"/>
                <w:szCs w:val="18"/>
              </w:rPr>
              <w:t>□；替代削减源</w:t>
            </w:r>
            <w:r>
              <w:rPr>
                <w:sz w:val="18"/>
                <w:szCs w:val="18"/>
              </w:rPr>
              <w:t xml:space="preserve"> </w:t>
            </w:r>
            <w:r>
              <w:rPr>
                <w:rFonts w:cs="宋体" w:hint="eastAsia"/>
                <w:sz w:val="18"/>
                <w:szCs w:val="18"/>
              </w:rPr>
              <w:t>□</w:t>
            </w:r>
            <w:r>
              <w:rPr>
                <w:sz w:val="18"/>
                <w:szCs w:val="18"/>
              </w:rPr>
              <w:t xml:space="preserve"> </w:t>
            </w:r>
          </w:p>
        </w:tc>
      </w:tr>
      <w:tr w:rsidR="00240BCE">
        <w:trPr>
          <w:trHeight w:val="3076"/>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水环境影响评价</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排放口混合区外满足水环境管理要求</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水环境功能区或水功能区、近岸海域环境功能区水质达标</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满足水环境保护目标水域水环境质量要求</w:t>
            </w:r>
            <w:r>
              <w:rPr>
                <w:sz w:val="18"/>
                <w:szCs w:val="18"/>
              </w:rPr>
              <w:t xml:space="preserve"> </w:t>
            </w:r>
            <w:r>
              <w:rPr>
                <w:rFonts w:cs="宋体"/>
                <w:sz w:val="18"/>
                <w:szCs w:val="18"/>
              </w:rPr>
              <w:t>☑</w:t>
            </w:r>
            <w:r>
              <w:rPr>
                <w:sz w:val="18"/>
                <w:szCs w:val="18"/>
              </w:rPr>
              <w:t xml:space="preserve"> </w:t>
            </w:r>
          </w:p>
          <w:p w:rsidR="00240BCE" w:rsidRDefault="00AC0334">
            <w:pPr>
              <w:jc w:val="left"/>
              <w:rPr>
                <w:sz w:val="18"/>
                <w:szCs w:val="18"/>
              </w:rPr>
            </w:pPr>
            <w:r>
              <w:rPr>
                <w:rFonts w:cs="宋体" w:hint="eastAsia"/>
                <w:sz w:val="18"/>
                <w:szCs w:val="18"/>
              </w:rPr>
              <w:t>水环境控制单元或断面水质达标</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满足重点水污染物排放总量控制指标要求，重点行业建设项目，</w:t>
            </w:r>
            <w:r>
              <w:rPr>
                <w:sz w:val="18"/>
                <w:szCs w:val="18"/>
              </w:rPr>
              <w:t xml:space="preserve"> </w:t>
            </w:r>
            <w:r>
              <w:rPr>
                <w:rFonts w:cs="宋体" w:hint="eastAsia"/>
                <w:sz w:val="18"/>
                <w:szCs w:val="18"/>
              </w:rPr>
              <w:t>主要污染物排放满足等量或减量替代要求</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满足区（流）域水环境质量改善目标要求</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水文要素影响型建设项目同时应包括水文情势变化评价、主要水文特征值影响评价、生态流量符合性评价</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对于新设或调整入河（湖库、近岸海域）排放口的建设项目，应包括排放口设置的环境合理性评价</w:t>
            </w:r>
            <w:r>
              <w:rPr>
                <w:sz w:val="18"/>
                <w:szCs w:val="18"/>
              </w:rPr>
              <w:t xml:space="preserve"> </w:t>
            </w:r>
            <w:r>
              <w:rPr>
                <w:rFonts w:cs="宋体" w:hint="eastAsia"/>
                <w:sz w:val="18"/>
                <w:szCs w:val="18"/>
              </w:rPr>
              <w:t>□</w:t>
            </w:r>
            <w:r>
              <w:rPr>
                <w:sz w:val="18"/>
                <w:szCs w:val="18"/>
              </w:rPr>
              <w:t xml:space="preserve"> </w:t>
            </w:r>
          </w:p>
          <w:p w:rsidR="00240BCE" w:rsidRDefault="00AC0334">
            <w:pPr>
              <w:jc w:val="left"/>
              <w:rPr>
                <w:sz w:val="18"/>
                <w:szCs w:val="18"/>
              </w:rPr>
            </w:pPr>
            <w:r>
              <w:rPr>
                <w:rFonts w:cs="宋体" w:hint="eastAsia"/>
                <w:sz w:val="18"/>
                <w:szCs w:val="18"/>
              </w:rPr>
              <w:t>满足生态保护红线、水环境质量底线、资源利用上线和环境准入清单管理要求</w:t>
            </w:r>
            <w:r>
              <w:rPr>
                <w:sz w:val="18"/>
                <w:szCs w:val="18"/>
              </w:rPr>
              <w:t xml:space="preserve"> </w:t>
            </w:r>
            <w:r>
              <w:rPr>
                <w:rFonts w:cs="宋体" w:hint="eastAsia"/>
                <w:sz w:val="18"/>
                <w:szCs w:val="18"/>
              </w:rPr>
              <w:t>□</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污染源排放量核算</w:t>
            </w:r>
          </w:p>
        </w:tc>
        <w:tc>
          <w:tcPr>
            <w:tcW w:w="2251"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污染物名称</w:t>
            </w:r>
          </w:p>
        </w:tc>
        <w:tc>
          <w:tcPr>
            <w:tcW w:w="2250" w:type="dxa"/>
            <w:gridSpan w:val="5"/>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排放量</w:t>
            </w:r>
            <w:r>
              <w:rPr>
                <w:sz w:val="18"/>
                <w:szCs w:val="18"/>
              </w:rPr>
              <w:t>/</w:t>
            </w:r>
            <w:r>
              <w:rPr>
                <w:rFonts w:cs="宋体" w:hint="eastAsia"/>
                <w:sz w:val="18"/>
                <w:szCs w:val="18"/>
              </w:rPr>
              <w:t>（</w:t>
            </w:r>
            <w:r>
              <w:rPr>
                <w:sz w:val="18"/>
                <w:szCs w:val="18"/>
              </w:rPr>
              <w:t>t/a</w:t>
            </w:r>
            <w:r>
              <w:rPr>
                <w:rFonts w:cs="宋体" w:hint="eastAsia"/>
                <w:sz w:val="18"/>
                <w:szCs w:val="18"/>
              </w:rPr>
              <w:t>）</w:t>
            </w:r>
          </w:p>
        </w:tc>
        <w:tc>
          <w:tcPr>
            <w:tcW w:w="2254" w:type="dxa"/>
            <w:gridSpan w:val="3"/>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排放浓度</w:t>
            </w:r>
            <w:r>
              <w:rPr>
                <w:sz w:val="18"/>
                <w:szCs w:val="18"/>
              </w:rPr>
              <w:t>/</w:t>
            </w:r>
            <w:r>
              <w:rPr>
                <w:rFonts w:cs="宋体" w:hint="eastAsia"/>
                <w:sz w:val="18"/>
                <w:szCs w:val="18"/>
              </w:rPr>
              <w:t>（</w:t>
            </w:r>
            <w:r>
              <w:rPr>
                <w:sz w:val="18"/>
                <w:szCs w:val="18"/>
              </w:rPr>
              <w:t>mg/L</w:t>
            </w:r>
            <w:r>
              <w:rPr>
                <w:rFonts w:cs="宋体" w:hint="eastAsia"/>
                <w:sz w:val="18"/>
                <w:szCs w:val="18"/>
              </w:rPr>
              <w:t>）</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2251"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sz w:val="18"/>
                <w:szCs w:val="18"/>
              </w:rPr>
              <w:t>COD</w:t>
            </w:r>
          </w:p>
        </w:tc>
        <w:tc>
          <w:tcPr>
            <w:tcW w:w="2250" w:type="dxa"/>
            <w:gridSpan w:val="5"/>
            <w:tcBorders>
              <w:top w:val="single" w:sz="4" w:space="0" w:color="auto"/>
              <w:left w:val="single" w:sz="4" w:space="0" w:color="auto"/>
              <w:bottom w:val="single" w:sz="4" w:space="0" w:color="auto"/>
              <w:right w:val="single" w:sz="4" w:space="0" w:color="auto"/>
            </w:tcBorders>
            <w:vAlign w:val="center"/>
          </w:tcPr>
          <w:p w:rsidR="00240BCE" w:rsidRPr="00B97108" w:rsidRDefault="00B97108">
            <w:pPr>
              <w:jc w:val="center"/>
              <w:rPr>
                <w:b/>
                <w:sz w:val="18"/>
                <w:szCs w:val="18"/>
              </w:rPr>
            </w:pPr>
            <w:r w:rsidRPr="00B97108">
              <w:rPr>
                <w:rFonts w:cs="宋体" w:hint="eastAsia"/>
                <w:b/>
                <w:sz w:val="18"/>
                <w:szCs w:val="18"/>
              </w:rPr>
              <w:t>30.543</w:t>
            </w:r>
          </w:p>
        </w:tc>
        <w:tc>
          <w:tcPr>
            <w:tcW w:w="2254" w:type="dxa"/>
            <w:gridSpan w:val="3"/>
            <w:tcBorders>
              <w:top w:val="single" w:sz="4" w:space="0" w:color="auto"/>
              <w:left w:val="single" w:sz="4" w:space="0" w:color="auto"/>
              <w:bottom w:val="single" w:sz="4" w:space="0" w:color="auto"/>
              <w:right w:val="single" w:sz="4" w:space="0" w:color="auto"/>
            </w:tcBorders>
            <w:vAlign w:val="center"/>
          </w:tcPr>
          <w:p w:rsidR="00240BCE" w:rsidRPr="00B97108" w:rsidRDefault="00B97108">
            <w:pPr>
              <w:jc w:val="center"/>
              <w:rPr>
                <w:b/>
                <w:sz w:val="18"/>
                <w:szCs w:val="18"/>
              </w:rPr>
            </w:pPr>
            <w:r w:rsidRPr="00B97108">
              <w:rPr>
                <w:rFonts w:cs="宋体" w:hint="eastAsia"/>
                <w:b/>
                <w:sz w:val="18"/>
                <w:szCs w:val="18"/>
              </w:rPr>
              <w:t>20</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2251"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sz w:val="18"/>
                <w:szCs w:val="18"/>
              </w:rPr>
              <w:t>NH</w:t>
            </w:r>
            <w:r>
              <w:rPr>
                <w:sz w:val="18"/>
                <w:szCs w:val="18"/>
                <w:vertAlign w:val="subscript"/>
              </w:rPr>
              <w:t>3</w:t>
            </w:r>
            <w:r>
              <w:rPr>
                <w:sz w:val="18"/>
                <w:szCs w:val="18"/>
              </w:rPr>
              <w:t>-N</w:t>
            </w:r>
          </w:p>
        </w:tc>
        <w:tc>
          <w:tcPr>
            <w:tcW w:w="2250" w:type="dxa"/>
            <w:gridSpan w:val="5"/>
            <w:tcBorders>
              <w:top w:val="single" w:sz="4" w:space="0" w:color="auto"/>
              <w:left w:val="single" w:sz="4" w:space="0" w:color="auto"/>
              <w:bottom w:val="single" w:sz="4" w:space="0" w:color="auto"/>
              <w:right w:val="single" w:sz="4" w:space="0" w:color="auto"/>
            </w:tcBorders>
            <w:vAlign w:val="center"/>
          </w:tcPr>
          <w:p w:rsidR="00240BCE" w:rsidRPr="00B97108" w:rsidRDefault="00AC0334">
            <w:pPr>
              <w:jc w:val="center"/>
              <w:rPr>
                <w:b/>
                <w:sz w:val="18"/>
                <w:szCs w:val="18"/>
              </w:rPr>
            </w:pPr>
            <w:r w:rsidRPr="00B97108">
              <w:rPr>
                <w:rFonts w:cs="宋体" w:hint="eastAsia"/>
                <w:b/>
                <w:sz w:val="18"/>
                <w:szCs w:val="18"/>
              </w:rPr>
              <w:t>0</w:t>
            </w:r>
            <w:r w:rsidR="00B97108" w:rsidRPr="00B97108">
              <w:rPr>
                <w:rFonts w:cs="宋体" w:hint="eastAsia"/>
                <w:b/>
                <w:sz w:val="18"/>
                <w:szCs w:val="18"/>
              </w:rPr>
              <w:t>.480</w:t>
            </w:r>
          </w:p>
        </w:tc>
        <w:tc>
          <w:tcPr>
            <w:tcW w:w="2254" w:type="dxa"/>
            <w:gridSpan w:val="3"/>
            <w:tcBorders>
              <w:top w:val="single" w:sz="4" w:space="0" w:color="auto"/>
              <w:left w:val="single" w:sz="4" w:space="0" w:color="auto"/>
              <w:bottom w:val="single" w:sz="4" w:space="0" w:color="auto"/>
              <w:right w:val="single" w:sz="4" w:space="0" w:color="auto"/>
            </w:tcBorders>
            <w:vAlign w:val="center"/>
          </w:tcPr>
          <w:p w:rsidR="00240BCE" w:rsidRPr="00B97108" w:rsidRDefault="00B97108">
            <w:pPr>
              <w:jc w:val="center"/>
              <w:rPr>
                <w:b/>
                <w:sz w:val="18"/>
                <w:szCs w:val="18"/>
              </w:rPr>
            </w:pPr>
            <w:r w:rsidRPr="00B97108">
              <w:rPr>
                <w:rFonts w:cs="宋体" w:hint="eastAsia"/>
                <w:b/>
                <w:sz w:val="18"/>
                <w:szCs w:val="18"/>
              </w:rPr>
              <w:t>0.314</w:t>
            </w:r>
          </w:p>
        </w:tc>
      </w:tr>
      <w:tr w:rsidR="00240BCE">
        <w:trPr>
          <w:trHeight w:val="521"/>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替代源排放情况</w:t>
            </w:r>
          </w:p>
        </w:tc>
        <w:tc>
          <w:tcPr>
            <w:tcW w:w="135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污染源名称</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pacing w:val="-10"/>
                <w:sz w:val="18"/>
                <w:szCs w:val="18"/>
              </w:rPr>
            </w:pPr>
            <w:r>
              <w:rPr>
                <w:rFonts w:cs="宋体" w:hint="eastAsia"/>
                <w:spacing w:val="-10"/>
                <w:sz w:val="18"/>
                <w:szCs w:val="18"/>
              </w:rPr>
              <w:t>排污许可证编号</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污染物名称</w:t>
            </w:r>
          </w:p>
        </w:tc>
        <w:tc>
          <w:tcPr>
            <w:tcW w:w="1349"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排放量</w:t>
            </w:r>
            <w:r>
              <w:rPr>
                <w:sz w:val="18"/>
                <w:szCs w:val="18"/>
              </w:rPr>
              <w:t>/</w:t>
            </w:r>
            <w:r>
              <w:rPr>
                <w:rFonts w:cs="宋体" w:hint="eastAsia"/>
                <w:sz w:val="18"/>
                <w:szCs w:val="18"/>
              </w:rPr>
              <w:t>（</w:t>
            </w:r>
            <w:r>
              <w:rPr>
                <w:sz w:val="18"/>
                <w:szCs w:val="18"/>
              </w:rPr>
              <w:t>t/a</w:t>
            </w:r>
            <w:r>
              <w:rPr>
                <w:rFonts w:cs="宋体" w:hint="eastAsia"/>
                <w:sz w:val="18"/>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排放浓度</w:t>
            </w:r>
            <w:r>
              <w:rPr>
                <w:sz w:val="18"/>
                <w:szCs w:val="18"/>
              </w:rPr>
              <w:t>/</w:t>
            </w:r>
            <w:r>
              <w:rPr>
                <w:rFonts w:cs="宋体" w:hint="eastAsia"/>
                <w:sz w:val="18"/>
                <w:szCs w:val="18"/>
              </w:rPr>
              <w:t>（</w:t>
            </w:r>
            <w:r>
              <w:rPr>
                <w:sz w:val="18"/>
                <w:szCs w:val="18"/>
              </w:rPr>
              <w:t>mg/L</w:t>
            </w:r>
            <w:r>
              <w:rPr>
                <w:rFonts w:cs="宋体" w:hint="eastAsia"/>
                <w:sz w:val="18"/>
                <w:szCs w:val="18"/>
              </w:rPr>
              <w:t>）</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352" w:type="dxa"/>
            <w:tcBorders>
              <w:top w:val="single" w:sz="4" w:space="0" w:color="auto"/>
              <w:left w:val="single" w:sz="4" w:space="0" w:color="auto"/>
              <w:bottom w:val="single" w:sz="4" w:space="0" w:color="auto"/>
              <w:right w:val="single" w:sz="4" w:space="0" w:color="auto"/>
            </w:tcBorders>
          </w:tcPr>
          <w:p w:rsidR="00240BCE" w:rsidRDefault="00AC0334">
            <w:pPr>
              <w:jc w:val="center"/>
            </w:pPr>
            <w:r>
              <w:rPr>
                <w:rFonts w:cs="宋体" w:hint="eastAsia"/>
                <w:sz w:val="18"/>
                <w:szCs w:val="18"/>
              </w:rPr>
              <w:t>（</w:t>
            </w:r>
            <w:r>
              <w:rPr>
                <w:sz w:val="18"/>
                <w:szCs w:val="18"/>
              </w:rPr>
              <w:t>/</w:t>
            </w:r>
            <w:r>
              <w:rPr>
                <w:rFonts w:cs="宋体" w:hint="eastAsia"/>
                <w:sz w:val="18"/>
                <w:szCs w:val="18"/>
              </w:rPr>
              <w:t>）</w:t>
            </w:r>
          </w:p>
        </w:tc>
        <w:tc>
          <w:tcPr>
            <w:tcW w:w="1349" w:type="dxa"/>
            <w:gridSpan w:val="4"/>
            <w:tcBorders>
              <w:top w:val="single" w:sz="4" w:space="0" w:color="auto"/>
              <w:left w:val="single" w:sz="4" w:space="0" w:color="auto"/>
              <w:bottom w:val="single" w:sz="4" w:space="0" w:color="auto"/>
              <w:right w:val="single" w:sz="4" w:space="0" w:color="auto"/>
            </w:tcBorders>
          </w:tcPr>
          <w:p w:rsidR="00240BCE" w:rsidRDefault="00AC0334">
            <w:pPr>
              <w:jc w:val="center"/>
            </w:pPr>
            <w:r>
              <w:rPr>
                <w:rFonts w:cs="宋体" w:hint="eastAsia"/>
                <w:sz w:val="18"/>
                <w:szCs w:val="18"/>
              </w:rPr>
              <w:t>（</w:t>
            </w:r>
            <w:r>
              <w:rPr>
                <w:sz w:val="18"/>
                <w:szCs w:val="18"/>
              </w:rPr>
              <w:t>/</w:t>
            </w:r>
            <w:r>
              <w:rPr>
                <w:rFonts w:cs="宋体" w:hint="eastAsia"/>
                <w:sz w:val="18"/>
                <w:szCs w:val="18"/>
              </w:rPr>
              <w:t>）</w:t>
            </w:r>
          </w:p>
        </w:tc>
        <w:tc>
          <w:tcPr>
            <w:tcW w:w="1351" w:type="dxa"/>
            <w:gridSpan w:val="2"/>
            <w:tcBorders>
              <w:top w:val="single" w:sz="4" w:space="0" w:color="auto"/>
              <w:left w:val="single" w:sz="4" w:space="0" w:color="auto"/>
              <w:bottom w:val="single" w:sz="4" w:space="0" w:color="auto"/>
              <w:right w:val="single" w:sz="4" w:space="0" w:color="auto"/>
            </w:tcBorders>
          </w:tcPr>
          <w:p w:rsidR="00240BCE" w:rsidRDefault="00AC0334">
            <w:pPr>
              <w:jc w:val="center"/>
            </w:pPr>
            <w:r>
              <w:rPr>
                <w:rFonts w:cs="宋体" w:hint="eastAsia"/>
                <w:sz w:val="18"/>
                <w:szCs w:val="18"/>
              </w:rPr>
              <w:t>（</w:t>
            </w:r>
            <w:r>
              <w:rPr>
                <w:sz w:val="18"/>
                <w:szCs w:val="18"/>
              </w:rPr>
              <w:t>/</w:t>
            </w:r>
            <w:r>
              <w:rPr>
                <w:rFonts w:cs="宋体" w:hint="eastAsia"/>
                <w:sz w:val="18"/>
                <w:szCs w:val="18"/>
              </w:rPr>
              <w:t>）</w:t>
            </w:r>
          </w:p>
        </w:tc>
        <w:tc>
          <w:tcPr>
            <w:tcW w:w="1349" w:type="dxa"/>
            <w:gridSpan w:val="4"/>
            <w:tcBorders>
              <w:top w:val="single" w:sz="4" w:space="0" w:color="auto"/>
              <w:left w:val="single" w:sz="4" w:space="0" w:color="auto"/>
              <w:bottom w:val="single" w:sz="4" w:space="0" w:color="auto"/>
              <w:right w:val="single" w:sz="4" w:space="0" w:color="auto"/>
            </w:tcBorders>
          </w:tcPr>
          <w:p w:rsidR="00240BCE" w:rsidRDefault="00AC0334">
            <w:pPr>
              <w:jc w:val="center"/>
            </w:pPr>
            <w:r>
              <w:rPr>
                <w:rFonts w:cs="宋体" w:hint="eastAsia"/>
                <w:sz w:val="18"/>
                <w:szCs w:val="18"/>
              </w:rPr>
              <w:t>（</w:t>
            </w:r>
            <w:r>
              <w:rPr>
                <w:sz w:val="18"/>
                <w:szCs w:val="18"/>
              </w:rPr>
              <w:t>/</w:t>
            </w:r>
            <w:r>
              <w:rPr>
                <w:rFonts w:cs="宋体" w:hint="eastAsia"/>
                <w:sz w:val="18"/>
                <w:szCs w:val="18"/>
              </w:rPr>
              <w:t>）</w:t>
            </w:r>
          </w:p>
        </w:tc>
        <w:tc>
          <w:tcPr>
            <w:tcW w:w="1354" w:type="dxa"/>
            <w:tcBorders>
              <w:top w:val="single" w:sz="4" w:space="0" w:color="auto"/>
              <w:left w:val="single" w:sz="4" w:space="0" w:color="auto"/>
              <w:bottom w:val="single" w:sz="4" w:space="0" w:color="auto"/>
              <w:right w:val="single" w:sz="4" w:space="0" w:color="auto"/>
            </w:tcBorders>
          </w:tcPr>
          <w:p w:rsidR="00240BCE" w:rsidRDefault="00AC0334">
            <w:pPr>
              <w:jc w:val="center"/>
            </w:pPr>
            <w:r>
              <w:rPr>
                <w:rFonts w:cs="宋体" w:hint="eastAsia"/>
                <w:sz w:val="18"/>
                <w:szCs w:val="18"/>
              </w:rPr>
              <w:t>（</w:t>
            </w:r>
            <w:r>
              <w:rPr>
                <w:sz w:val="18"/>
                <w:szCs w:val="18"/>
              </w:rPr>
              <w:t>/</w:t>
            </w:r>
            <w:r>
              <w:rPr>
                <w:rFonts w:cs="宋体" w:hint="eastAsia"/>
                <w:sz w:val="18"/>
                <w:szCs w:val="18"/>
              </w:rPr>
              <w:t>）</w:t>
            </w:r>
          </w:p>
        </w:tc>
      </w:tr>
      <w:tr w:rsidR="00240BCE">
        <w:trPr>
          <w:trHeight w:val="521"/>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生态流量确定</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生态流量：一般水期（</w:t>
            </w:r>
            <w:r>
              <w:rPr>
                <w:sz w:val="18"/>
                <w:szCs w:val="18"/>
              </w:rPr>
              <w:t xml:space="preserve"> </w:t>
            </w:r>
            <w:r>
              <w:rPr>
                <w:rFonts w:cs="宋体" w:hint="eastAsia"/>
                <w:sz w:val="18"/>
                <w:szCs w:val="18"/>
              </w:rPr>
              <w:t>）</w:t>
            </w:r>
            <w:r>
              <w:rPr>
                <w:sz w:val="18"/>
                <w:szCs w:val="18"/>
              </w:rPr>
              <w:t>m</w:t>
            </w:r>
            <w:r>
              <w:rPr>
                <w:sz w:val="18"/>
                <w:szCs w:val="18"/>
                <w:vertAlign w:val="superscript"/>
              </w:rPr>
              <w:t>3</w:t>
            </w:r>
            <w:r>
              <w:rPr>
                <w:sz w:val="18"/>
                <w:szCs w:val="18"/>
              </w:rPr>
              <w:t>/s</w:t>
            </w:r>
            <w:r>
              <w:rPr>
                <w:rFonts w:cs="宋体" w:hint="eastAsia"/>
                <w:sz w:val="18"/>
                <w:szCs w:val="18"/>
              </w:rPr>
              <w:t>；鱼类繁殖期（</w:t>
            </w:r>
            <w:r>
              <w:rPr>
                <w:sz w:val="18"/>
                <w:szCs w:val="18"/>
              </w:rPr>
              <w:t xml:space="preserve"> </w:t>
            </w:r>
            <w:r>
              <w:rPr>
                <w:rFonts w:cs="宋体" w:hint="eastAsia"/>
                <w:sz w:val="18"/>
                <w:szCs w:val="18"/>
              </w:rPr>
              <w:t>）</w:t>
            </w:r>
            <w:r>
              <w:rPr>
                <w:sz w:val="18"/>
                <w:szCs w:val="18"/>
              </w:rPr>
              <w:t>m</w:t>
            </w:r>
            <w:r>
              <w:rPr>
                <w:sz w:val="18"/>
                <w:szCs w:val="18"/>
                <w:vertAlign w:val="superscript"/>
              </w:rPr>
              <w:t>3</w:t>
            </w:r>
            <w:r>
              <w:rPr>
                <w:sz w:val="18"/>
                <w:szCs w:val="18"/>
              </w:rPr>
              <w:t>/s</w:t>
            </w:r>
            <w:r>
              <w:rPr>
                <w:rFonts w:cs="宋体" w:hint="eastAsia"/>
                <w:sz w:val="18"/>
                <w:szCs w:val="18"/>
              </w:rPr>
              <w:t>；其他（</w:t>
            </w:r>
            <w:r>
              <w:rPr>
                <w:sz w:val="18"/>
                <w:szCs w:val="18"/>
              </w:rPr>
              <w:t xml:space="preserve"> </w:t>
            </w:r>
            <w:r>
              <w:rPr>
                <w:rFonts w:cs="宋体" w:hint="eastAsia"/>
                <w:sz w:val="18"/>
                <w:szCs w:val="18"/>
              </w:rPr>
              <w:t>）</w:t>
            </w:r>
            <w:r>
              <w:rPr>
                <w:sz w:val="18"/>
                <w:szCs w:val="18"/>
              </w:rPr>
              <w:t>m</w:t>
            </w:r>
            <w:r>
              <w:rPr>
                <w:sz w:val="18"/>
                <w:szCs w:val="18"/>
                <w:vertAlign w:val="superscript"/>
              </w:rPr>
              <w:t>3</w:t>
            </w:r>
            <w:r>
              <w:rPr>
                <w:sz w:val="18"/>
                <w:szCs w:val="18"/>
              </w:rPr>
              <w:t xml:space="preserve">/s </w:t>
            </w:r>
          </w:p>
          <w:p w:rsidR="00240BCE" w:rsidRDefault="00AC0334">
            <w:pPr>
              <w:jc w:val="left"/>
              <w:rPr>
                <w:sz w:val="18"/>
                <w:szCs w:val="18"/>
              </w:rPr>
            </w:pPr>
            <w:r>
              <w:rPr>
                <w:rFonts w:cs="宋体" w:hint="eastAsia"/>
                <w:sz w:val="18"/>
                <w:szCs w:val="18"/>
              </w:rPr>
              <w:t>生态水位：一般水期（</w:t>
            </w:r>
            <w:r>
              <w:rPr>
                <w:sz w:val="18"/>
                <w:szCs w:val="18"/>
              </w:rPr>
              <w:t xml:space="preserve"> </w:t>
            </w:r>
            <w:r>
              <w:rPr>
                <w:rFonts w:cs="宋体" w:hint="eastAsia"/>
                <w:sz w:val="18"/>
                <w:szCs w:val="18"/>
              </w:rPr>
              <w:t>）</w:t>
            </w:r>
            <w:r>
              <w:rPr>
                <w:sz w:val="18"/>
                <w:szCs w:val="18"/>
              </w:rPr>
              <w:t>m</w:t>
            </w:r>
            <w:r>
              <w:rPr>
                <w:rFonts w:cs="宋体" w:hint="eastAsia"/>
                <w:sz w:val="18"/>
                <w:szCs w:val="18"/>
              </w:rPr>
              <w:t>；鱼类繁殖期（</w:t>
            </w:r>
            <w:r>
              <w:rPr>
                <w:sz w:val="18"/>
                <w:szCs w:val="18"/>
              </w:rPr>
              <w:t xml:space="preserve"> </w:t>
            </w:r>
            <w:r>
              <w:rPr>
                <w:rFonts w:cs="宋体" w:hint="eastAsia"/>
                <w:sz w:val="18"/>
                <w:szCs w:val="18"/>
              </w:rPr>
              <w:t>）</w:t>
            </w:r>
            <w:r>
              <w:rPr>
                <w:sz w:val="18"/>
                <w:szCs w:val="18"/>
              </w:rPr>
              <w:t>m</w:t>
            </w:r>
            <w:r>
              <w:rPr>
                <w:rFonts w:cs="宋体" w:hint="eastAsia"/>
                <w:sz w:val="18"/>
                <w:szCs w:val="18"/>
              </w:rPr>
              <w:t>；其他（</w:t>
            </w:r>
            <w:r>
              <w:rPr>
                <w:sz w:val="18"/>
                <w:szCs w:val="18"/>
              </w:rPr>
              <w:t xml:space="preserve"> </w:t>
            </w:r>
            <w:r>
              <w:rPr>
                <w:rFonts w:cs="宋体" w:hint="eastAsia"/>
                <w:sz w:val="18"/>
                <w:szCs w:val="18"/>
              </w:rPr>
              <w:t>）</w:t>
            </w:r>
            <w:r>
              <w:rPr>
                <w:sz w:val="18"/>
                <w:szCs w:val="18"/>
              </w:rPr>
              <w:t>m</w:t>
            </w:r>
          </w:p>
        </w:tc>
      </w:tr>
      <w:tr w:rsidR="00240BCE">
        <w:trPr>
          <w:trHeight w:val="521"/>
          <w:jc w:val="center"/>
        </w:trPr>
        <w:tc>
          <w:tcPr>
            <w:tcW w:w="94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防</w:t>
            </w:r>
          </w:p>
          <w:p w:rsidR="00240BCE" w:rsidRDefault="00AC0334">
            <w:pPr>
              <w:jc w:val="center"/>
              <w:rPr>
                <w:sz w:val="18"/>
                <w:szCs w:val="18"/>
              </w:rPr>
            </w:pPr>
            <w:r>
              <w:rPr>
                <w:rFonts w:cs="宋体" w:hint="eastAsia"/>
                <w:sz w:val="18"/>
                <w:szCs w:val="18"/>
              </w:rPr>
              <w:t>治</w:t>
            </w:r>
          </w:p>
          <w:p w:rsidR="00240BCE" w:rsidRDefault="00AC0334">
            <w:pPr>
              <w:jc w:val="center"/>
              <w:rPr>
                <w:sz w:val="18"/>
                <w:szCs w:val="18"/>
              </w:rPr>
            </w:pPr>
            <w:r>
              <w:rPr>
                <w:rFonts w:cs="宋体" w:hint="eastAsia"/>
                <w:sz w:val="18"/>
                <w:szCs w:val="18"/>
              </w:rPr>
              <w:t>措</w:t>
            </w:r>
          </w:p>
          <w:p w:rsidR="00240BCE" w:rsidRDefault="00AC0334">
            <w:pPr>
              <w:jc w:val="center"/>
              <w:rPr>
                <w:sz w:val="18"/>
                <w:szCs w:val="18"/>
              </w:rPr>
            </w:pPr>
            <w:r>
              <w:rPr>
                <w:rFonts w:cs="宋体" w:hint="eastAsia"/>
                <w:sz w:val="18"/>
                <w:szCs w:val="18"/>
              </w:rPr>
              <w:t>施</w:t>
            </w: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环保措施</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污水处理设施</w:t>
            </w:r>
            <w:r>
              <w:rPr>
                <w:sz w:val="18"/>
                <w:szCs w:val="18"/>
              </w:rPr>
              <w:t xml:space="preserve">  </w:t>
            </w:r>
            <w:r>
              <w:rPr>
                <w:rFonts w:cs="宋体"/>
                <w:sz w:val="18"/>
                <w:szCs w:val="18"/>
              </w:rPr>
              <w:t>☑</w:t>
            </w:r>
            <w:r>
              <w:rPr>
                <w:rFonts w:cs="宋体" w:hint="eastAsia"/>
                <w:sz w:val="18"/>
                <w:szCs w:val="18"/>
              </w:rPr>
              <w:t>；水文减缓设施</w:t>
            </w:r>
            <w:r>
              <w:rPr>
                <w:sz w:val="18"/>
                <w:szCs w:val="18"/>
              </w:rPr>
              <w:t xml:space="preserve"> </w:t>
            </w:r>
            <w:r>
              <w:rPr>
                <w:rFonts w:cs="宋体" w:hint="eastAsia"/>
                <w:sz w:val="18"/>
                <w:szCs w:val="18"/>
              </w:rPr>
              <w:t>□；生态流量保障设施</w:t>
            </w:r>
            <w:r>
              <w:rPr>
                <w:sz w:val="18"/>
                <w:szCs w:val="18"/>
              </w:rPr>
              <w:t xml:space="preserve"> </w:t>
            </w:r>
            <w:r>
              <w:rPr>
                <w:rFonts w:cs="宋体" w:hint="eastAsia"/>
                <w:sz w:val="18"/>
                <w:szCs w:val="18"/>
              </w:rPr>
              <w:t>□；区域削减</w:t>
            </w:r>
            <w:r>
              <w:rPr>
                <w:sz w:val="18"/>
                <w:szCs w:val="18"/>
              </w:rPr>
              <w:t xml:space="preserve"> </w:t>
            </w:r>
            <w:r>
              <w:rPr>
                <w:rFonts w:cs="宋体" w:hint="eastAsia"/>
                <w:sz w:val="18"/>
                <w:szCs w:val="18"/>
              </w:rPr>
              <w:t>□；依托其他工程措施</w:t>
            </w:r>
            <w:r>
              <w:rPr>
                <w:sz w:val="18"/>
                <w:szCs w:val="18"/>
              </w:rPr>
              <w:t xml:space="preserve"> </w:t>
            </w:r>
            <w:r>
              <w:rPr>
                <w:rFonts w:cs="宋体" w:hint="eastAsia"/>
                <w:sz w:val="18"/>
                <w:szCs w:val="18"/>
              </w:rPr>
              <w:t>□；其他</w:t>
            </w:r>
            <w:r>
              <w:rPr>
                <w:sz w:val="18"/>
                <w:szCs w:val="18"/>
              </w:rPr>
              <w:t xml:space="preserve"> </w:t>
            </w:r>
            <w:r>
              <w:rPr>
                <w:rFonts w:cs="宋体" w:hint="eastAsia"/>
                <w:sz w:val="18"/>
                <w:szCs w:val="18"/>
              </w:rPr>
              <w:t>□</w:t>
            </w:r>
            <w:r>
              <w:rPr>
                <w:sz w:val="18"/>
                <w:szCs w:val="18"/>
              </w:rPr>
              <w:t xml:space="preserve"> </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监测计划</w:t>
            </w:r>
          </w:p>
        </w:tc>
        <w:tc>
          <w:tcPr>
            <w:tcW w:w="1745" w:type="dxa"/>
            <w:gridSpan w:val="3"/>
            <w:tcBorders>
              <w:top w:val="single" w:sz="4" w:space="0" w:color="auto"/>
              <w:left w:val="single" w:sz="4" w:space="0" w:color="auto"/>
              <w:bottom w:val="single" w:sz="4" w:space="0" w:color="auto"/>
              <w:right w:val="single" w:sz="4" w:space="0" w:color="auto"/>
            </w:tcBorders>
            <w:vAlign w:val="center"/>
          </w:tcPr>
          <w:p w:rsidR="00240BCE" w:rsidRDefault="00240BCE">
            <w:pPr>
              <w:jc w:val="left"/>
              <w:rPr>
                <w:sz w:val="18"/>
                <w:szCs w:val="18"/>
              </w:rPr>
            </w:pPr>
          </w:p>
        </w:tc>
        <w:tc>
          <w:tcPr>
            <w:tcW w:w="2504" w:type="dxa"/>
            <w:gridSpan w:val="5"/>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环境质量</w:t>
            </w:r>
          </w:p>
        </w:tc>
        <w:tc>
          <w:tcPr>
            <w:tcW w:w="2506"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污染源</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745" w:type="dxa"/>
            <w:gridSpan w:val="3"/>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监测方式</w:t>
            </w:r>
          </w:p>
        </w:tc>
        <w:tc>
          <w:tcPr>
            <w:tcW w:w="2504" w:type="dxa"/>
            <w:gridSpan w:val="5"/>
            <w:tcBorders>
              <w:top w:val="single" w:sz="4" w:space="0" w:color="auto"/>
              <w:left w:val="single" w:sz="4" w:space="0" w:color="auto"/>
              <w:bottom w:val="single" w:sz="4" w:space="0" w:color="auto"/>
              <w:right w:val="single" w:sz="4" w:space="0" w:color="auto"/>
            </w:tcBorders>
            <w:vAlign w:val="center"/>
          </w:tcPr>
          <w:p w:rsidR="00240BCE" w:rsidRDefault="00AC0334" w:rsidP="00176F38">
            <w:pPr>
              <w:jc w:val="center"/>
              <w:rPr>
                <w:sz w:val="18"/>
                <w:szCs w:val="18"/>
              </w:rPr>
            </w:pPr>
            <w:r>
              <w:rPr>
                <w:rFonts w:cs="宋体" w:hint="eastAsia"/>
                <w:sz w:val="18"/>
                <w:szCs w:val="18"/>
              </w:rPr>
              <w:t>手动</w:t>
            </w:r>
            <w:r>
              <w:rPr>
                <w:rFonts w:ascii="MS Mincho" w:eastAsia="MS Mincho" w:hAnsi="MS Mincho" w:cs="MS Mincho" w:hint="eastAsia"/>
                <w:sz w:val="18"/>
                <w:szCs w:val="18"/>
              </w:rPr>
              <w:t>☑</w:t>
            </w:r>
            <w:r>
              <w:rPr>
                <w:rFonts w:cs="宋体" w:hint="eastAsia"/>
                <w:sz w:val="18"/>
                <w:szCs w:val="18"/>
              </w:rPr>
              <w:t>；自动</w:t>
            </w:r>
            <w:r w:rsidR="00816556">
              <w:rPr>
                <w:rFonts w:cs="宋体" w:hint="eastAsia"/>
                <w:sz w:val="18"/>
                <w:szCs w:val="18"/>
              </w:rPr>
              <w:t>□</w:t>
            </w:r>
            <w:r>
              <w:rPr>
                <w:rFonts w:cs="宋体" w:hint="eastAsia"/>
                <w:sz w:val="18"/>
                <w:szCs w:val="18"/>
              </w:rPr>
              <w:t>；无监测</w:t>
            </w:r>
            <w:r>
              <w:rPr>
                <w:sz w:val="18"/>
                <w:szCs w:val="18"/>
              </w:rPr>
              <w:t xml:space="preserve"> </w:t>
            </w:r>
            <w:r>
              <w:rPr>
                <w:rFonts w:cs="宋体" w:hint="eastAsia"/>
                <w:sz w:val="18"/>
                <w:szCs w:val="18"/>
              </w:rPr>
              <w:t>□</w:t>
            </w:r>
          </w:p>
        </w:tc>
        <w:tc>
          <w:tcPr>
            <w:tcW w:w="2506"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rsidP="00176F38">
            <w:pPr>
              <w:jc w:val="center"/>
              <w:rPr>
                <w:sz w:val="18"/>
                <w:szCs w:val="18"/>
              </w:rPr>
            </w:pPr>
            <w:r>
              <w:rPr>
                <w:rFonts w:cs="宋体" w:hint="eastAsia"/>
                <w:sz w:val="18"/>
                <w:szCs w:val="18"/>
              </w:rPr>
              <w:t>手动</w:t>
            </w:r>
            <w:r>
              <w:rPr>
                <w:rFonts w:ascii="MS Mincho" w:eastAsia="MS Mincho" w:hAnsi="MS Mincho" w:cs="MS Mincho" w:hint="eastAsia"/>
                <w:sz w:val="18"/>
                <w:szCs w:val="18"/>
              </w:rPr>
              <w:t>☑</w:t>
            </w:r>
            <w:r>
              <w:rPr>
                <w:rFonts w:cs="宋体" w:hint="eastAsia"/>
                <w:sz w:val="18"/>
                <w:szCs w:val="18"/>
              </w:rPr>
              <w:t>；自动</w:t>
            </w:r>
            <w:r w:rsidR="00176F38">
              <w:rPr>
                <w:rFonts w:ascii="MS Mincho" w:eastAsia="MS Mincho" w:hAnsi="MS Mincho" w:cs="MS Mincho" w:hint="eastAsia"/>
                <w:sz w:val="18"/>
                <w:szCs w:val="18"/>
              </w:rPr>
              <w:t>☑</w:t>
            </w:r>
            <w:r>
              <w:rPr>
                <w:rFonts w:cs="宋体" w:hint="eastAsia"/>
                <w:sz w:val="18"/>
                <w:szCs w:val="18"/>
              </w:rPr>
              <w:t>；无监测</w:t>
            </w:r>
            <w:r>
              <w:rPr>
                <w:sz w:val="18"/>
                <w:szCs w:val="18"/>
              </w:rPr>
              <w:t xml:space="preserve"> </w:t>
            </w:r>
            <w:r>
              <w:rPr>
                <w:rFonts w:cs="宋体" w:hint="eastAsia"/>
                <w:sz w:val="18"/>
                <w:szCs w:val="18"/>
              </w:rPr>
              <w:t>□</w:t>
            </w:r>
          </w:p>
        </w:tc>
      </w:tr>
      <w:tr w:rsidR="00240BCE">
        <w:trPr>
          <w:trHeight w:val="521"/>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745" w:type="dxa"/>
            <w:gridSpan w:val="3"/>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监测点位</w:t>
            </w:r>
          </w:p>
        </w:tc>
        <w:tc>
          <w:tcPr>
            <w:tcW w:w="2504" w:type="dxa"/>
            <w:gridSpan w:val="5"/>
            <w:tcBorders>
              <w:top w:val="single" w:sz="4" w:space="0" w:color="auto"/>
              <w:left w:val="single" w:sz="4" w:space="0" w:color="auto"/>
              <w:bottom w:val="single" w:sz="4" w:space="0" w:color="auto"/>
              <w:right w:val="single" w:sz="4" w:space="0" w:color="auto"/>
            </w:tcBorders>
            <w:vAlign w:val="center"/>
          </w:tcPr>
          <w:p w:rsidR="00240BCE" w:rsidRDefault="00AC0334" w:rsidP="00C01B4C">
            <w:pPr>
              <w:jc w:val="center"/>
              <w:rPr>
                <w:sz w:val="18"/>
                <w:szCs w:val="18"/>
              </w:rPr>
            </w:pPr>
            <w:r>
              <w:rPr>
                <w:rFonts w:cs="宋体" w:hint="eastAsia"/>
                <w:sz w:val="18"/>
                <w:szCs w:val="18"/>
              </w:rPr>
              <w:t>（</w:t>
            </w:r>
            <w:r w:rsidR="00C01B4C">
              <w:rPr>
                <w:rFonts w:cs="宋体" w:hint="eastAsia"/>
                <w:sz w:val="18"/>
                <w:szCs w:val="18"/>
              </w:rPr>
              <w:t>纸坊水库</w:t>
            </w:r>
            <w:r>
              <w:rPr>
                <w:rFonts w:cs="宋体" w:hint="eastAsia"/>
                <w:sz w:val="18"/>
                <w:szCs w:val="18"/>
              </w:rPr>
              <w:t>）</w:t>
            </w:r>
          </w:p>
        </w:tc>
        <w:tc>
          <w:tcPr>
            <w:tcW w:w="2506"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（矿井水处理设施出口、生活污水处理设施出口）</w:t>
            </w:r>
          </w:p>
        </w:tc>
      </w:tr>
      <w:tr w:rsidR="00240BCE">
        <w:trPr>
          <w:trHeight w:val="1032"/>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745" w:type="dxa"/>
            <w:gridSpan w:val="3"/>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监测因子</w:t>
            </w:r>
          </w:p>
        </w:tc>
        <w:tc>
          <w:tcPr>
            <w:tcW w:w="2504" w:type="dxa"/>
            <w:gridSpan w:val="5"/>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w:t>
            </w:r>
            <w:r>
              <w:rPr>
                <w:rFonts w:ascii="宋体" w:hAnsi="宋体" w:cs="宋体" w:hint="eastAsia"/>
                <w:sz w:val="18"/>
                <w:szCs w:val="18"/>
              </w:rPr>
              <w:t>pH、COD、氨氮、重金属等</w:t>
            </w:r>
            <w:r>
              <w:rPr>
                <w:rFonts w:cs="宋体" w:hint="eastAsia"/>
                <w:sz w:val="18"/>
                <w:szCs w:val="18"/>
              </w:rPr>
              <w:t>）</w:t>
            </w:r>
          </w:p>
        </w:tc>
        <w:tc>
          <w:tcPr>
            <w:tcW w:w="2506" w:type="dxa"/>
            <w:gridSpan w:val="4"/>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（矿井水处理设施出口</w:t>
            </w:r>
            <w:r>
              <w:rPr>
                <w:sz w:val="18"/>
                <w:szCs w:val="18"/>
              </w:rPr>
              <w:t>COD</w:t>
            </w:r>
            <w:r>
              <w:rPr>
                <w:rFonts w:cs="宋体" w:hint="eastAsia"/>
                <w:sz w:val="18"/>
                <w:szCs w:val="18"/>
              </w:rPr>
              <w:t>、氨氮、</w:t>
            </w:r>
            <w:r>
              <w:rPr>
                <w:sz w:val="18"/>
                <w:szCs w:val="18"/>
              </w:rPr>
              <w:t>pH</w:t>
            </w:r>
            <w:r>
              <w:rPr>
                <w:rFonts w:cs="宋体" w:hint="eastAsia"/>
                <w:sz w:val="18"/>
                <w:szCs w:val="18"/>
              </w:rPr>
              <w:t>、</w:t>
            </w:r>
            <w:r>
              <w:rPr>
                <w:sz w:val="18"/>
                <w:szCs w:val="18"/>
              </w:rPr>
              <w:t>SS</w:t>
            </w:r>
            <w:r>
              <w:rPr>
                <w:rFonts w:cs="宋体" w:hint="eastAsia"/>
                <w:sz w:val="18"/>
                <w:szCs w:val="18"/>
              </w:rPr>
              <w:t>、石油类、铁等；生活污水处理设施</w:t>
            </w:r>
            <w:r>
              <w:rPr>
                <w:sz w:val="18"/>
                <w:szCs w:val="18"/>
              </w:rPr>
              <w:t>pH</w:t>
            </w:r>
            <w:r>
              <w:rPr>
                <w:rFonts w:cs="宋体" w:hint="eastAsia"/>
                <w:sz w:val="18"/>
                <w:szCs w:val="18"/>
              </w:rPr>
              <w:t>、</w:t>
            </w:r>
            <w:r>
              <w:rPr>
                <w:sz w:val="18"/>
                <w:szCs w:val="18"/>
              </w:rPr>
              <w:t>COD</w:t>
            </w:r>
            <w:r>
              <w:rPr>
                <w:rFonts w:cs="宋体" w:hint="eastAsia"/>
                <w:sz w:val="18"/>
                <w:szCs w:val="18"/>
              </w:rPr>
              <w:t>、氨氮等）</w:t>
            </w:r>
          </w:p>
        </w:tc>
      </w:tr>
      <w:tr w:rsidR="00240BCE">
        <w:trPr>
          <w:trHeight w:val="265"/>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240BCE" w:rsidRDefault="00240BCE">
            <w:pPr>
              <w:rPr>
                <w:rFonts w:ascii="Calibri" w:hAnsi="Calibri"/>
                <w:sz w:val="21"/>
                <w:szCs w:val="22"/>
              </w:rPr>
            </w:pPr>
          </w:p>
        </w:tc>
        <w:tc>
          <w:tcPr>
            <w:tcW w:w="1522" w:type="dxa"/>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污染物排放清单</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left"/>
              <w:rPr>
                <w:sz w:val="18"/>
                <w:szCs w:val="18"/>
              </w:rPr>
            </w:pPr>
            <w:r>
              <w:rPr>
                <w:rFonts w:cs="宋体" w:hint="eastAsia"/>
                <w:sz w:val="18"/>
                <w:szCs w:val="18"/>
              </w:rPr>
              <w:t>□</w:t>
            </w:r>
          </w:p>
        </w:tc>
      </w:tr>
      <w:tr w:rsidR="00240BCE">
        <w:trPr>
          <w:trHeight w:val="265"/>
          <w:jc w:val="center"/>
        </w:trPr>
        <w:tc>
          <w:tcPr>
            <w:tcW w:w="2464" w:type="dxa"/>
            <w:gridSpan w:val="2"/>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评价结论</w:t>
            </w:r>
          </w:p>
        </w:tc>
        <w:tc>
          <w:tcPr>
            <w:tcW w:w="6755" w:type="dxa"/>
            <w:gridSpan w:val="12"/>
            <w:tcBorders>
              <w:top w:val="single" w:sz="4" w:space="0" w:color="auto"/>
              <w:left w:val="single" w:sz="4" w:space="0" w:color="auto"/>
              <w:bottom w:val="single" w:sz="4" w:space="0" w:color="auto"/>
              <w:right w:val="single" w:sz="4" w:space="0" w:color="auto"/>
            </w:tcBorders>
            <w:vAlign w:val="center"/>
          </w:tcPr>
          <w:p w:rsidR="00240BCE" w:rsidRDefault="00AC0334">
            <w:pPr>
              <w:jc w:val="center"/>
              <w:rPr>
                <w:sz w:val="18"/>
                <w:szCs w:val="18"/>
              </w:rPr>
            </w:pPr>
            <w:r>
              <w:rPr>
                <w:rFonts w:cs="宋体" w:hint="eastAsia"/>
                <w:sz w:val="18"/>
                <w:szCs w:val="18"/>
              </w:rPr>
              <w:t>可以接受</w:t>
            </w:r>
            <w:r>
              <w:rPr>
                <w:sz w:val="18"/>
                <w:szCs w:val="18"/>
              </w:rPr>
              <w:t xml:space="preserve"> </w:t>
            </w:r>
            <w:r>
              <w:rPr>
                <w:rFonts w:cs="宋体"/>
                <w:sz w:val="18"/>
                <w:szCs w:val="18"/>
              </w:rPr>
              <w:t>☑</w:t>
            </w:r>
            <w:r>
              <w:rPr>
                <w:rFonts w:cs="宋体" w:hint="eastAsia"/>
                <w:sz w:val="18"/>
                <w:szCs w:val="18"/>
              </w:rPr>
              <w:t>；不可以接受</w:t>
            </w:r>
            <w:r>
              <w:rPr>
                <w:sz w:val="18"/>
                <w:szCs w:val="18"/>
              </w:rPr>
              <w:t xml:space="preserve"> </w:t>
            </w:r>
            <w:r>
              <w:rPr>
                <w:rFonts w:cs="宋体" w:hint="eastAsia"/>
                <w:sz w:val="18"/>
                <w:szCs w:val="18"/>
              </w:rPr>
              <w:t>□</w:t>
            </w:r>
          </w:p>
        </w:tc>
      </w:tr>
      <w:tr w:rsidR="00240BCE">
        <w:trPr>
          <w:trHeight w:val="276"/>
          <w:jc w:val="center"/>
        </w:trPr>
        <w:tc>
          <w:tcPr>
            <w:tcW w:w="9219" w:type="dxa"/>
            <w:gridSpan w:val="14"/>
            <w:tcBorders>
              <w:top w:val="single" w:sz="4" w:space="0" w:color="auto"/>
              <w:left w:val="single" w:sz="4" w:space="0" w:color="auto"/>
              <w:bottom w:val="single" w:sz="4" w:space="0" w:color="auto"/>
              <w:right w:val="single" w:sz="4" w:space="0" w:color="auto"/>
            </w:tcBorders>
            <w:vAlign w:val="center"/>
          </w:tcPr>
          <w:p w:rsidR="00240BCE" w:rsidRDefault="00AC0334">
            <w:pPr>
              <w:rPr>
                <w:sz w:val="18"/>
                <w:szCs w:val="18"/>
              </w:rPr>
            </w:pPr>
            <w:r>
              <w:rPr>
                <w:rFonts w:cs="宋体" w:hint="eastAsia"/>
                <w:sz w:val="18"/>
                <w:szCs w:val="18"/>
              </w:rPr>
              <w:t>注：“□”为勾选项，可√；“（</w:t>
            </w:r>
            <w:r>
              <w:rPr>
                <w:sz w:val="18"/>
                <w:szCs w:val="18"/>
              </w:rPr>
              <w:t xml:space="preserve"> </w:t>
            </w:r>
            <w:r>
              <w:rPr>
                <w:rFonts w:cs="宋体" w:hint="eastAsia"/>
                <w:sz w:val="18"/>
                <w:szCs w:val="18"/>
              </w:rPr>
              <w:t>）”为内容填写项；“备注”为其他补充内容。</w:t>
            </w:r>
            <w:r>
              <w:rPr>
                <w:sz w:val="18"/>
                <w:szCs w:val="18"/>
              </w:rPr>
              <w:t xml:space="preserve"> </w:t>
            </w:r>
          </w:p>
        </w:tc>
      </w:tr>
    </w:tbl>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526" w:name="_Toc28272_WPSOffice_Level2"/>
      <w:bookmarkStart w:id="527" w:name="_Toc79668704"/>
      <w:bookmarkStart w:id="528" w:name="_Toc81934388"/>
      <w:r>
        <w:rPr>
          <w:rFonts w:ascii="Times New Roman" w:eastAsia="宋体" w:hAnsi="Times New Roman"/>
          <w:bCs/>
          <w:szCs w:val="32"/>
        </w:rPr>
        <w:lastRenderedPageBreak/>
        <w:t>6.3</w:t>
      </w:r>
      <w:r>
        <w:rPr>
          <w:rFonts w:ascii="Times New Roman" w:eastAsia="宋体" w:hAnsi="Times New Roman"/>
          <w:bCs/>
          <w:szCs w:val="32"/>
        </w:rPr>
        <w:t>地下水环境影响预测与评价</w:t>
      </w:r>
      <w:bookmarkEnd w:id="526"/>
      <w:bookmarkEnd w:id="527"/>
      <w:bookmarkEnd w:id="528"/>
    </w:p>
    <w:p w:rsidR="00240BCE" w:rsidRDefault="00AC0334" w:rsidP="009C5F33">
      <w:pPr>
        <w:pStyle w:val="30"/>
        <w:adjustRightInd w:val="0"/>
        <w:snapToGrid w:val="0"/>
        <w:spacing w:beforeLines="70" w:afterLines="30" w:line="240" w:lineRule="auto"/>
        <w:jc w:val="left"/>
        <w:rPr>
          <w:rFonts w:eastAsia="楷体"/>
          <w:sz w:val="28"/>
          <w:szCs w:val="28"/>
        </w:rPr>
      </w:pPr>
      <w:bookmarkStart w:id="529" w:name="_Toc9437_WPSOffice_Level3"/>
      <w:bookmarkStart w:id="530" w:name="_Toc79668705"/>
      <w:r>
        <w:rPr>
          <w:rFonts w:eastAsia="楷体"/>
          <w:sz w:val="28"/>
          <w:szCs w:val="28"/>
        </w:rPr>
        <w:t xml:space="preserve">6.3.1 </w:t>
      </w:r>
      <w:r>
        <w:rPr>
          <w:rFonts w:eastAsia="楷体"/>
          <w:sz w:val="28"/>
          <w:szCs w:val="28"/>
        </w:rPr>
        <w:t>地层与构造</w:t>
      </w:r>
      <w:bookmarkEnd w:id="529"/>
      <w:bookmarkEnd w:id="530"/>
    </w:p>
    <w:p w:rsidR="00240BCE" w:rsidRDefault="00AC0334">
      <w:pPr>
        <w:spacing w:line="520" w:lineRule="exact"/>
        <w:rPr>
          <w:sz w:val="24"/>
        </w:rPr>
      </w:pPr>
      <w:r>
        <w:rPr>
          <w:sz w:val="24"/>
        </w:rPr>
        <w:t>6.3.1.1</w:t>
      </w:r>
      <w:r>
        <w:rPr>
          <w:sz w:val="24"/>
        </w:rPr>
        <w:t>区域地层与构造</w:t>
      </w:r>
    </w:p>
    <w:p w:rsidR="00240BCE" w:rsidRDefault="00AC0334">
      <w:pPr>
        <w:spacing w:line="520" w:lineRule="exact"/>
        <w:rPr>
          <w:b/>
          <w:bCs/>
          <w:color w:val="000000"/>
          <w:sz w:val="24"/>
        </w:rPr>
      </w:pPr>
      <w:r>
        <w:rPr>
          <w:b/>
          <w:bCs/>
          <w:color w:val="000000"/>
          <w:sz w:val="24"/>
        </w:rPr>
        <w:t>（一）</w:t>
      </w:r>
      <w:r>
        <w:rPr>
          <w:b/>
          <w:bCs/>
          <w:color w:val="000000"/>
          <w:sz w:val="24"/>
        </w:rPr>
        <w:t xml:space="preserve"> </w:t>
      </w:r>
      <w:r>
        <w:rPr>
          <w:b/>
          <w:bCs/>
          <w:color w:val="000000"/>
          <w:sz w:val="24"/>
        </w:rPr>
        <w:t>区域地层</w:t>
      </w:r>
    </w:p>
    <w:p w:rsidR="00240BCE" w:rsidRDefault="00AC0334">
      <w:pPr>
        <w:spacing w:line="520" w:lineRule="exact"/>
        <w:ind w:firstLineChars="200" w:firstLine="480"/>
        <w:rPr>
          <w:b/>
          <w:bCs/>
          <w:color w:val="000000"/>
          <w:sz w:val="24"/>
        </w:rPr>
      </w:pPr>
      <w:r>
        <w:rPr>
          <w:bCs/>
          <w:color w:val="000000"/>
          <w:sz w:val="24"/>
        </w:rPr>
        <w:t>本区的区域地层划分属华北地层区豫西地层分区嵩箕地层小区和汝阳</w:t>
      </w:r>
      <w:r>
        <w:rPr>
          <w:bCs/>
          <w:color w:val="000000"/>
          <w:sz w:val="24"/>
        </w:rPr>
        <w:t>-</w:t>
      </w:r>
      <w:r>
        <w:rPr>
          <w:bCs/>
          <w:color w:val="000000"/>
          <w:sz w:val="24"/>
        </w:rPr>
        <w:t>确山小区，地层自下而上分别为晚古生界寒武系、石炭系上统、二叠系、中生界三叠系下统和新生界古近系、第四系。</w:t>
      </w:r>
    </w:p>
    <w:p w:rsidR="00240BCE" w:rsidRDefault="00AC0334">
      <w:pPr>
        <w:spacing w:line="520" w:lineRule="exact"/>
        <w:rPr>
          <w:b/>
          <w:bCs/>
          <w:color w:val="000000"/>
          <w:sz w:val="24"/>
        </w:rPr>
      </w:pPr>
      <w:r>
        <w:rPr>
          <w:b/>
          <w:bCs/>
          <w:color w:val="000000"/>
          <w:sz w:val="24"/>
        </w:rPr>
        <w:t>（二）区域构造</w:t>
      </w:r>
    </w:p>
    <w:p w:rsidR="00240BCE" w:rsidRDefault="00AC0334">
      <w:pPr>
        <w:spacing w:line="520" w:lineRule="exact"/>
        <w:ind w:firstLineChars="200" w:firstLine="480"/>
        <w:rPr>
          <w:bCs/>
          <w:color w:val="000000"/>
          <w:spacing w:val="4"/>
          <w:sz w:val="24"/>
        </w:rPr>
      </w:pPr>
      <w:r>
        <w:rPr>
          <w:bCs/>
          <w:color w:val="000000"/>
          <w:sz w:val="24"/>
        </w:rPr>
        <w:t>本区位于华北板块南部嵩箕构造区东南，荟翠山～风后岭背斜南翼。其经历了多期构造叠加变形，构造格架受区域构造制约。印支期形成的近东西宽缓褶皱和断裂构成了整体构造的骨架，在此基础上发育燕山期轴向北西的次级褶曲和北西、北东两组断裂，改造了印支期构造形迹，甚至改变了构造的延伸方向。这两期构造构成了整体区域构造格局，控制了地层的展布方向和赋存状态，也控制了含煤地层的分布。另外形成于喜山期的浅层重力滑动构造也是嵩箕构造区的突出特征之一，而高角度正断层常成为滑动构造的发育诱因和边界。滑动构造主滑面多位于二</w:t>
      </w:r>
      <w:r>
        <w:rPr>
          <w:bCs/>
          <w:color w:val="000000"/>
          <w:sz w:val="24"/>
          <w:vertAlign w:val="subscript"/>
        </w:rPr>
        <w:t>1</w:t>
      </w:r>
      <w:r>
        <w:rPr>
          <w:bCs/>
          <w:color w:val="000000"/>
          <w:sz w:val="24"/>
        </w:rPr>
        <w:t>煤层之上的较弱层段，仅局部对二</w:t>
      </w:r>
      <w:r>
        <w:rPr>
          <w:bCs/>
          <w:color w:val="000000"/>
          <w:sz w:val="24"/>
          <w:vertAlign w:val="subscript"/>
        </w:rPr>
        <w:t>1</w:t>
      </w:r>
      <w:r>
        <w:rPr>
          <w:bCs/>
          <w:color w:val="000000"/>
          <w:sz w:val="24"/>
        </w:rPr>
        <w:t>煤层造成铲薄、铲失和铲断。</w:t>
      </w:r>
    </w:p>
    <w:p w:rsidR="00240BCE" w:rsidRDefault="00AC0334">
      <w:pPr>
        <w:spacing w:line="520" w:lineRule="exact"/>
        <w:rPr>
          <w:sz w:val="24"/>
        </w:rPr>
      </w:pPr>
      <w:r>
        <w:rPr>
          <w:sz w:val="24"/>
        </w:rPr>
        <w:t>6.3.1.2</w:t>
      </w:r>
      <w:r>
        <w:rPr>
          <w:sz w:val="24"/>
        </w:rPr>
        <w:t>井田地层与构造</w:t>
      </w:r>
    </w:p>
    <w:p w:rsidR="00240BCE" w:rsidRDefault="00AC0334">
      <w:pPr>
        <w:spacing w:line="520" w:lineRule="exact"/>
        <w:rPr>
          <w:b/>
          <w:bCs/>
          <w:color w:val="000000"/>
          <w:sz w:val="24"/>
        </w:rPr>
      </w:pPr>
      <w:r>
        <w:rPr>
          <w:b/>
          <w:bCs/>
          <w:color w:val="000000"/>
          <w:sz w:val="24"/>
        </w:rPr>
        <w:t>（一）地层</w:t>
      </w:r>
    </w:p>
    <w:p w:rsidR="00240BCE" w:rsidRDefault="00AC0334">
      <w:pPr>
        <w:snapToGrid w:val="0"/>
        <w:spacing w:line="520" w:lineRule="exact"/>
        <w:ind w:firstLineChars="200" w:firstLine="480"/>
        <w:rPr>
          <w:bCs/>
          <w:color w:val="000000"/>
          <w:sz w:val="24"/>
        </w:rPr>
      </w:pPr>
      <w:r>
        <w:rPr>
          <w:bCs/>
          <w:color w:val="000000"/>
          <w:sz w:val="24"/>
        </w:rPr>
        <w:t>矿区内有二叠系上、下石盒子组、石千峰组地层出露，区外西北部有石炭系、寒武系灰岩出露，其余均为第四系覆盖。依据区域及区内资料，区内地层从老至新依次为寒武系、石炭系上统、二叠系及第四系。其中石炭系上统、二叠系下统及中统为含煤地层，厚</w:t>
      </w:r>
      <w:r>
        <w:rPr>
          <w:bCs/>
          <w:color w:val="000000"/>
          <w:sz w:val="24"/>
        </w:rPr>
        <w:t>697.66m</w:t>
      </w:r>
      <w:r>
        <w:rPr>
          <w:bCs/>
          <w:color w:val="000000"/>
          <w:sz w:val="24"/>
        </w:rPr>
        <w:t>。分述如下。</w:t>
      </w:r>
    </w:p>
    <w:p w:rsidR="00240BCE" w:rsidRDefault="00AC0334">
      <w:pPr>
        <w:snapToGrid w:val="0"/>
        <w:spacing w:line="520" w:lineRule="exact"/>
        <w:ind w:firstLineChars="200" w:firstLine="480"/>
        <w:rPr>
          <w:bCs/>
          <w:color w:val="000000"/>
          <w:sz w:val="24"/>
        </w:rPr>
      </w:pPr>
      <w:r>
        <w:rPr>
          <w:bCs/>
          <w:color w:val="000000"/>
          <w:sz w:val="24"/>
        </w:rPr>
        <w:t>1</w:t>
      </w:r>
      <w:r>
        <w:rPr>
          <w:bCs/>
          <w:color w:val="000000"/>
          <w:sz w:val="24"/>
        </w:rPr>
        <w:t>、寒武系上统凤山组（</w:t>
      </w:r>
      <w:r>
        <w:rPr>
          <w:bCs/>
          <w:color w:val="000000"/>
          <w:sz w:val="24"/>
        </w:rPr>
        <w:t>∈</w:t>
      </w:r>
      <w:r>
        <w:rPr>
          <w:bCs/>
          <w:color w:val="000000"/>
          <w:sz w:val="24"/>
          <w:vertAlign w:val="subscript"/>
        </w:rPr>
        <w:t>3</w:t>
      </w:r>
      <w:r>
        <w:rPr>
          <w:bCs/>
          <w:color w:val="000000"/>
          <w:sz w:val="24"/>
        </w:rPr>
        <w:t>f</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岩性为浅灰色厚层状细晶白云质灰岩，含燧石条带与团块。与下伏地层呈整合接触，平均厚度约</w:t>
      </w:r>
      <w:r>
        <w:rPr>
          <w:bCs/>
          <w:color w:val="000000"/>
          <w:sz w:val="24"/>
        </w:rPr>
        <w:t>45.05m</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lastRenderedPageBreak/>
        <w:t>2</w:t>
      </w:r>
      <w:r>
        <w:rPr>
          <w:bCs/>
          <w:color w:val="000000"/>
          <w:sz w:val="24"/>
        </w:rPr>
        <w:t>、石炭系（Ｃ）</w:t>
      </w:r>
    </w:p>
    <w:p w:rsidR="00240BCE" w:rsidRDefault="00AC0334">
      <w:pPr>
        <w:snapToGrid w:val="0"/>
        <w:spacing w:line="520" w:lineRule="exact"/>
        <w:ind w:firstLineChars="200" w:firstLine="480"/>
        <w:rPr>
          <w:bCs/>
          <w:color w:val="000000"/>
          <w:sz w:val="24"/>
        </w:rPr>
      </w:pPr>
      <w:r>
        <w:rPr>
          <w:bCs/>
          <w:color w:val="000000"/>
          <w:sz w:val="24"/>
        </w:rPr>
        <w:t>缺失下统。上统分为本溪组与太原组，地层平均厚度</w:t>
      </w:r>
      <w:r>
        <w:rPr>
          <w:bCs/>
          <w:color w:val="000000"/>
          <w:sz w:val="24"/>
        </w:rPr>
        <w:t>77.80m</w:t>
      </w:r>
      <w:r>
        <w:rPr>
          <w:bCs/>
          <w:color w:val="000000"/>
          <w:sz w:val="24"/>
        </w:rPr>
        <w:t>，与下伏</w:t>
      </w:r>
      <w:r>
        <w:rPr>
          <w:bCs/>
          <w:color w:val="000000"/>
          <w:sz w:val="24"/>
        </w:rPr>
        <w:t>∈3f</w:t>
      </w:r>
      <w:r>
        <w:rPr>
          <w:bCs/>
          <w:color w:val="000000"/>
          <w:sz w:val="24"/>
        </w:rPr>
        <w:t>呈平行不整合接触。</w:t>
      </w:r>
      <w:r>
        <w:rPr>
          <w:bCs/>
          <w:color w:val="000000"/>
          <w:sz w:val="24"/>
        </w:rPr>
        <w:cr/>
        <w:t xml:space="preserve">    </w:t>
      </w:r>
      <w:r>
        <w:rPr>
          <w:bCs/>
          <w:color w:val="000000"/>
          <w:sz w:val="24"/>
        </w:rPr>
        <w:t>１）本溪组（</w:t>
      </w:r>
      <w:r>
        <w:rPr>
          <w:bCs/>
          <w:color w:val="000000"/>
          <w:sz w:val="24"/>
        </w:rPr>
        <w:t>C</w:t>
      </w:r>
      <w:r>
        <w:rPr>
          <w:bCs/>
          <w:color w:val="000000"/>
          <w:sz w:val="24"/>
          <w:vertAlign w:val="subscript"/>
        </w:rPr>
        <w:t>2</w:t>
      </w:r>
      <w:r>
        <w:rPr>
          <w:bCs/>
          <w:color w:val="000000"/>
          <w:sz w:val="24"/>
        </w:rPr>
        <w:t>b</w:t>
      </w:r>
      <w:r>
        <w:rPr>
          <w:bCs/>
          <w:color w:val="000000"/>
          <w:sz w:val="24"/>
        </w:rPr>
        <w:t>）</w:t>
      </w:r>
      <w:r>
        <w:rPr>
          <w:bCs/>
          <w:color w:val="000000"/>
          <w:sz w:val="24"/>
        </w:rPr>
        <w:cr/>
        <w:t xml:space="preserve">    </w:t>
      </w:r>
      <w:r>
        <w:rPr>
          <w:bCs/>
          <w:color w:val="000000"/>
          <w:sz w:val="24"/>
        </w:rPr>
        <w:t>平行不整合于</w:t>
      </w:r>
      <w:r>
        <w:rPr>
          <w:bCs/>
          <w:color w:val="000000"/>
          <w:sz w:val="24"/>
        </w:rPr>
        <w:t>∈3f</w:t>
      </w:r>
      <w:r>
        <w:rPr>
          <w:bCs/>
          <w:color w:val="000000"/>
          <w:sz w:val="24"/>
        </w:rPr>
        <w:t>上，厚度变化大，平均</w:t>
      </w:r>
      <w:r>
        <w:rPr>
          <w:bCs/>
          <w:color w:val="000000"/>
          <w:sz w:val="24"/>
        </w:rPr>
        <w:t>10.60m</w:t>
      </w:r>
      <w:r>
        <w:rPr>
          <w:bCs/>
          <w:color w:val="000000"/>
          <w:sz w:val="24"/>
        </w:rPr>
        <w:t>。底部为褐红色鸡窝状褐铁矿，下部为灰～深灰色鲕状、豆状铝质岩，含较多黄铁矿结核，偶夹极不稳定薄煤一层，上部为浅灰色中厚层状铝质岩及铝质泥岩。</w:t>
      </w:r>
      <w:r>
        <w:rPr>
          <w:bCs/>
          <w:color w:val="000000"/>
          <w:sz w:val="24"/>
        </w:rPr>
        <w:cr/>
        <w:t xml:space="preserve">    2</w:t>
      </w:r>
      <w:r>
        <w:rPr>
          <w:bCs/>
          <w:color w:val="000000"/>
          <w:sz w:val="24"/>
        </w:rPr>
        <w:t>）太原组（</w:t>
      </w:r>
      <w:r>
        <w:rPr>
          <w:bCs/>
          <w:color w:val="000000"/>
          <w:sz w:val="24"/>
        </w:rPr>
        <w:t>C</w:t>
      </w:r>
      <w:r>
        <w:rPr>
          <w:bCs/>
          <w:color w:val="000000"/>
          <w:sz w:val="24"/>
          <w:vertAlign w:val="subscript"/>
        </w:rPr>
        <w:t>2</w:t>
      </w:r>
      <w:r>
        <w:rPr>
          <w:bCs/>
          <w:color w:val="000000"/>
          <w:sz w:val="24"/>
        </w:rPr>
        <w:t>t</w:t>
      </w:r>
      <w:r>
        <w:rPr>
          <w:bCs/>
          <w:color w:val="000000"/>
          <w:sz w:val="24"/>
        </w:rPr>
        <w:t>）</w:t>
      </w:r>
      <w:r>
        <w:rPr>
          <w:bCs/>
          <w:color w:val="000000"/>
          <w:sz w:val="24"/>
        </w:rPr>
        <w:cr/>
        <w:t xml:space="preserve">    </w:t>
      </w:r>
      <w:r>
        <w:rPr>
          <w:bCs/>
          <w:color w:val="000000"/>
          <w:sz w:val="24"/>
        </w:rPr>
        <w:t>整合于</w:t>
      </w:r>
      <w:r>
        <w:rPr>
          <w:bCs/>
          <w:color w:val="000000"/>
          <w:sz w:val="24"/>
        </w:rPr>
        <w:t>C</w:t>
      </w:r>
      <w:r>
        <w:rPr>
          <w:bCs/>
          <w:color w:val="000000"/>
          <w:sz w:val="24"/>
          <w:vertAlign w:val="subscript"/>
        </w:rPr>
        <w:t>2</w:t>
      </w:r>
      <w:r>
        <w:rPr>
          <w:bCs/>
          <w:color w:val="000000"/>
          <w:sz w:val="24"/>
        </w:rPr>
        <w:t>b</w:t>
      </w:r>
      <w:r>
        <w:rPr>
          <w:bCs/>
          <w:color w:val="000000"/>
          <w:sz w:val="24"/>
        </w:rPr>
        <w:t>之上，据区域资料，厚</w:t>
      </w:r>
      <w:r>
        <w:rPr>
          <w:bCs/>
          <w:color w:val="000000"/>
          <w:sz w:val="24"/>
        </w:rPr>
        <w:t>67.20m</w:t>
      </w:r>
      <w:r>
        <w:rPr>
          <w:bCs/>
          <w:color w:val="000000"/>
          <w:sz w:val="24"/>
        </w:rPr>
        <w:t>。含煤</w:t>
      </w:r>
      <w:r>
        <w:rPr>
          <w:bCs/>
          <w:color w:val="000000"/>
          <w:sz w:val="24"/>
        </w:rPr>
        <w:t>4</w:t>
      </w:r>
      <w:r>
        <w:rPr>
          <w:bCs/>
          <w:color w:val="000000"/>
          <w:sz w:val="24"/>
        </w:rPr>
        <w:t>～</w:t>
      </w:r>
      <w:r>
        <w:rPr>
          <w:bCs/>
          <w:color w:val="000000"/>
          <w:sz w:val="24"/>
        </w:rPr>
        <w:t>8</w:t>
      </w:r>
      <w:r>
        <w:rPr>
          <w:bCs/>
          <w:color w:val="000000"/>
          <w:sz w:val="24"/>
        </w:rPr>
        <w:t>层，均不可采。自下而上分为三个岩性段：</w:t>
      </w:r>
    </w:p>
    <w:p w:rsidR="00240BCE" w:rsidRDefault="00AC0334">
      <w:pPr>
        <w:snapToGrid w:val="0"/>
        <w:spacing w:line="520" w:lineRule="exact"/>
        <w:ind w:firstLineChars="200" w:firstLine="480"/>
        <w:rPr>
          <w:bCs/>
          <w:color w:val="000000"/>
          <w:sz w:val="24"/>
        </w:rPr>
      </w:pPr>
      <w:r>
        <w:rPr>
          <w:bCs/>
          <w:color w:val="000000"/>
          <w:sz w:val="24"/>
        </w:rPr>
        <w:t xml:space="preserve"> a</w:t>
      </w:r>
      <w:r>
        <w:rPr>
          <w:bCs/>
          <w:color w:val="000000"/>
          <w:sz w:val="24"/>
        </w:rPr>
        <w:t>、下部灰岩段</w:t>
      </w:r>
      <w:r>
        <w:rPr>
          <w:bCs/>
          <w:color w:val="000000"/>
          <w:sz w:val="24"/>
        </w:rPr>
        <w:cr/>
        <w:t xml:space="preserve">    </w:t>
      </w:r>
      <w:r>
        <w:rPr>
          <w:bCs/>
          <w:color w:val="000000"/>
          <w:sz w:val="24"/>
        </w:rPr>
        <w:t>自一</w:t>
      </w:r>
      <w:r>
        <w:rPr>
          <w:bCs/>
          <w:color w:val="000000"/>
          <w:sz w:val="24"/>
          <w:vertAlign w:val="subscript"/>
        </w:rPr>
        <w:t>1</w:t>
      </w:r>
      <w:r>
        <w:rPr>
          <w:bCs/>
          <w:color w:val="000000"/>
          <w:sz w:val="24"/>
        </w:rPr>
        <w:t>煤层底板底至</w:t>
      </w:r>
      <w:r>
        <w:rPr>
          <w:bCs/>
          <w:color w:val="000000"/>
          <w:sz w:val="24"/>
        </w:rPr>
        <w:t>L</w:t>
      </w:r>
      <w:r>
        <w:rPr>
          <w:bCs/>
          <w:color w:val="000000"/>
          <w:sz w:val="24"/>
          <w:vertAlign w:val="subscript"/>
        </w:rPr>
        <w:t>4</w:t>
      </w:r>
      <w:r>
        <w:rPr>
          <w:bCs/>
          <w:color w:val="000000"/>
          <w:sz w:val="24"/>
        </w:rPr>
        <w:t>灰岩顶。岩性主要为深灰色中厚层状细晶～隐晶质石灰岩、黑灰色泥岩及砂质泥岩。发育石灰岩四层（</w:t>
      </w:r>
      <w:r>
        <w:rPr>
          <w:bCs/>
          <w:color w:val="000000"/>
          <w:sz w:val="24"/>
        </w:rPr>
        <w:t>L</w:t>
      </w:r>
      <w:r>
        <w:rPr>
          <w:bCs/>
          <w:color w:val="000000"/>
          <w:sz w:val="24"/>
          <w:vertAlign w:val="subscript"/>
        </w:rPr>
        <w:t>1</w:t>
      </w:r>
      <w:r>
        <w:rPr>
          <w:bCs/>
          <w:color w:val="000000"/>
          <w:sz w:val="24"/>
        </w:rPr>
        <w:t>～</w:t>
      </w:r>
      <w:r>
        <w:rPr>
          <w:bCs/>
          <w:color w:val="000000"/>
          <w:sz w:val="24"/>
        </w:rPr>
        <w:t>L</w:t>
      </w:r>
      <w:r>
        <w:rPr>
          <w:bCs/>
          <w:color w:val="000000"/>
          <w:sz w:val="24"/>
          <w:vertAlign w:val="subscript"/>
        </w:rPr>
        <w:t>4</w:t>
      </w:r>
      <w:r>
        <w:rPr>
          <w:bCs/>
          <w:color w:val="000000"/>
          <w:sz w:val="24"/>
        </w:rPr>
        <w:t>），</w:t>
      </w:r>
      <w:r>
        <w:rPr>
          <w:bCs/>
          <w:color w:val="000000"/>
          <w:sz w:val="24"/>
        </w:rPr>
        <w:t>L</w:t>
      </w:r>
      <w:r>
        <w:rPr>
          <w:bCs/>
          <w:color w:val="000000"/>
          <w:sz w:val="24"/>
          <w:vertAlign w:val="subscript"/>
        </w:rPr>
        <w:t>1</w:t>
      </w:r>
      <w:r>
        <w:rPr>
          <w:bCs/>
          <w:color w:val="000000"/>
          <w:sz w:val="24"/>
        </w:rPr>
        <w:t>灰岩含燧石结核及黄铁矿散晶，石灰岩具分岔、合并、相变现象。含煤</w:t>
      </w:r>
      <w:r>
        <w:rPr>
          <w:bCs/>
          <w:color w:val="000000"/>
          <w:sz w:val="24"/>
        </w:rPr>
        <w:t>2</w:t>
      </w:r>
      <w:r>
        <w:rPr>
          <w:bCs/>
          <w:color w:val="000000"/>
          <w:sz w:val="24"/>
        </w:rPr>
        <w:t>～</w:t>
      </w:r>
      <w:r>
        <w:rPr>
          <w:bCs/>
          <w:color w:val="000000"/>
          <w:sz w:val="24"/>
        </w:rPr>
        <w:t>4</w:t>
      </w:r>
      <w:r>
        <w:rPr>
          <w:bCs/>
          <w:color w:val="000000"/>
          <w:sz w:val="24"/>
        </w:rPr>
        <w:t>层</w:t>
      </w:r>
      <w:r>
        <w:rPr>
          <w:bCs/>
          <w:color w:val="000000"/>
          <w:sz w:val="24"/>
        </w:rPr>
        <w:t>(</w:t>
      </w:r>
      <w:r>
        <w:rPr>
          <w:bCs/>
          <w:color w:val="000000"/>
          <w:sz w:val="24"/>
        </w:rPr>
        <w:t>一</w:t>
      </w:r>
      <w:r>
        <w:rPr>
          <w:bCs/>
          <w:color w:val="000000"/>
          <w:sz w:val="24"/>
          <w:vertAlign w:val="subscript"/>
        </w:rPr>
        <w:t>1</w:t>
      </w:r>
      <w:r>
        <w:rPr>
          <w:bCs/>
          <w:color w:val="000000"/>
          <w:sz w:val="24"/>
        </w:rPr>
        <w:t>～一</w:t>
      </w:r>
      <w:r>
        <w:rPr>
          <w:bCs/>
          <w:color w:val="000000"/>
          <w:sz w:val="24"/>
          <w:vertAlign w:val="subscript"/>
        </w:rPr>
        <w:t>4</w:t>
      </w:r>
      <w:r>
        <w:rPr>
          <w:bCs/>
          <w:color w:val="000000"/>
          <w:sz w:val="24"/>
        </w:rPr>
        <w:t>煤层</w:t>
      </w:r>
      <w:r>
        <w:rPr>
          <w:bCs/>
          <w:color w:val="000000"/>
          <w:sz w:val="24"/>
        </w:rPr>
        <w:t>)</w:t>
      </w:r>
      <w:r>
        <w:rPr>
          <w:bCs/>
          <w:color w:val="000000"/>
          <w:sz w:val="24"/>
        </w:rPr>
        <w:t>。均不可采。该段平均厚</w:t>
      </w:r>
      <w:r>
        <w:rPr>
          <w:bCs/>
          <w:color w:val="000000"/>
          <w:sz w:val="24"/>
        </w:rPr>
        <w:t>24.27m</w:t>
      </w:r>
      <w:r>
        <w:rPr>
          <w:bCs/>
          <w:color w:val="000000"/>
          <w:sz w:val="24"/>
        </w:rPr>
        <w:t>。</w:t>
      </w:r>
      <w:r>
        <w:rPr>
          <w:bCs/>
          <w:color w:val="000000"/>
          <w:sz w:val="24"/>
        </w:rPr>
        <w:cr/>
        <w:t xml:space="preserve">    b</w:t>
      </w:r>
      <w:r>
        <w:rPr>
          <w:bCs/>
          <w:color w:val="000000"/>
          <w:sz w:val="24"/>
        </w:rPr>
        <w:t>、中部砂泥岩段</w:t>
      </w:r>
      <w:r>
        <w:rPr>
          <w:bCs/>
          <w:color w:val="000000"/>
          <w:sz w:val="24"/>
        </w:rPr>
        <w:cr/>
        <w:t xml:space="preserve">    </w:t>
      </w:r>
      <w:r>
        <w:rPr>
          <w:bCs/>
          <w:color w:val="000000"/>
          <w:sz w:val="24"/>
        </w:rPr>
        <w:t>自</w:t>
      </w:r>
      <w:r>
        <w:rPr>
          <w:bCs/>
          <w:color w:val="000000"/>
          <w:sz w:val="24"/>
        </w:rPr>
        <w:t>L</w:t>
      </w:r>
      <w:r>
        <w:rPr>
          <w:bCs/>
          <w:color w:val="000000"/>
          <w:sz w:val="24"/>
          <w:vertAlign w:val="subscript"/>
        </w:rPr>
        <w:t>4</w:t>
      </w:r>
      <w:r>
        <w:rPr>
          <w:bCs/>
          <w:color w:val="000000"/>
          <w:sz w:val="24"/>
        </w:rPr>
        <w:t>灰岩顶至一</w:t>
      </w:r>
      <w:r>
        <w:rPr>
          <w:bCs/>
          <w:color w:val="000000"/>
          <w:sz w:val="24"/>
          <w:vertAlign w:val="subscript"/>
        </w:rPr>
        <w:t>7</w:t>
      </w:r>
      <w:r>
        <w:rPr>
          <w:bCs/>
          <w:color w:val="000000"/>
          <w:sz w:val="24"/>
        </w:rPr>
        <w:t>煤层或其层位底。主要由深灰色中厚层状泥岩、砂质泥岩与浅灰色细～粗粒石英砂岩组成，偶夹不稳定石灰岩</w:t>
      </w:r>
      <w:r>
        <w:rPr>
          <w:bCs/>
          <w:color w:val="000000"/>
          <w:sz w:val="24"/>
        </w:rPr>
        <w:t>1</w:t>
      </w:r>
      <w:r>
        <w:rPr>
          <w:bCs/>
          <w:color w:val="000000"/>
          <w:sz w:val="24"/>
        </w:rPr>
        <w:t>～</w:t>
      </w:r>
      <w:r>
        <w:rPr>
          <w:bCs/>
          <w:color w:val="000000"/>
          <w:sz w:val="24"/>
        </w:rPr>
        <w:t>2</w:t>
      </w:r>
      <w:r>
        <w:rPr>
          <w:bCs/>
          <w:color w:val="000000"/>
          <w:sz w:val="24"/>
        </w:rPr>
        <w:t>层，含薄煤</w:t>
      </w:r>
      <w:r>
        <w:rPr>
          <w:bCs/>
          <w:color w:val="000000"/>
          <w:sz w:val="24"/>
        </w:rPr>
        <w:t>1</w:t>
      </w:r>
      <w:r>
        <w:rPr>
          <w:bCs/>
          <w:color w:val="000000"/>
          <w:sz w:val="24"/>
        </w:rPr>
        <w:t>～</w:t>
      </w:r>
      <w:r>
        <w:rPr>
          <w:bCs/>
          <w:color w:val="000000"/>
          <w:sz w:val="24"/>
        </w:rPr>
        <w:t>2</w:t>
      </w:r>
      <w:r>
        <w:rPr>
          <w:bCs/>
          <w:color w:val="000000"/>
          <w:sz w:val="24"/>
        </w:rPr>
        <w:t>层（一</w:t>
      </w:r>
      <w:r>
        <w:rPr>
          <w:bCs/>
          <w:color w:val="000000"/>
          <w:sz w:val="24"/>
        </w:rPr>
        <w:t>5</w:t>
      </w:r>
      <w:r>
        <w:rPr>
          <w:bCs/>
          <w:color w:val="000000"/>
          <w:sz w:val="24"/>
        </w:rPr>
        <w:t>～一</w:t>
      </w:r>
      <w:r>
        <w:rPr>
          <w:bCs/>
          <w:color w:val="000000"/>
          <w:sz w:val="24"/>
        </w:rPr>
        <w:t>6</w:t>
      </w:r>
      <w:r>
        <w:rPr>
          <w:bCs/>
          <w:color w:val="000000"/>
          <w:sz w:val="24"/>
        </w:rPr>
        <w:t>），均不可采。该段平均厚</w:t>
      </w:r>
      <w:r>
        <w:rPr>
          <w:bCs/>
          <w:color w:val="000000"/>
          <w:sz w:val="24"/>
        </w:rPr>
        <w:t>14.13m</w:t>
      </w:r>
      <w:r>
        <w:rPr>
          <w:bCs/>
          <w:color w:val="000000"/>
          <w:sz w:val="24"/>
        </w:rPr>
        <w:t>。</w:t>
      </w:r>
      <w:r>
        <w:rPr>
          <w:bCs/>
          <w:color w:val="000000"/>
          <w:sz w:val="24"/>
        </w:rPr>
        <w:cr/>
        <w:t xml:space="preserve">    c</w:t>
      </w:r>
      <w:r>
        <w:rPr>
          <w:bCs/>
          <w:color w:val="000000"/>
          <w:sz w:val="24"/>
        </w:rPr>
        <w:t>、上部灰岩段</w:t>
      </w:r>
      <w:r>
        <w:rPr>
          <w:bCs/>
          <w:color w:val="000000"/>
          <w:sz w:val="24"/>
        </w:rPr>
        <w:cr/>
        <w:t xml:space="preserve">    </w:t>
      </w:r>
      <w:r>
        <w:rPr>
          <w:bCs/>
          <w:color w:val="000000"/>
          <w:sz w:val="24"/>
        </w:rPr>
        <w:t>自一</w:t>
      </w:r>
      <w:r>
        <w:rPr>
          <w:bCs/>
          <w:color w:val="000000"/>
          <w:sz w:val="24"/>
          <w:vertAlign w:val="subscript"/>
        </w:rPr>
        <w:t>7</w:t>
      </w:r>
      <w:r>
        <w:rPr>
          <w:bCs/>
          <w:color w:val="000000"/>
          <w:sz w:val="24"/>
        </w:rPr>
        <w:t>煤层或其层位底至二煤层底板砂岩底。岩性以</w:t>
      </w:r>
      <w:r>
        <w:rPr>
          <w:bCs/>
          <w:color w:val="000000"/>
          <w:sz w:val="24"/>
        </w:rPr>
        <w:t>L</w:t>
      </w:r>
      <w:r>
        <w:rPr>
          <w:bCs/>
          <w:color w:val="000000"/>
          <w:sz w:val="24"/>
          <w:vertAlign w:val="subscript"/>
        </w:rPr>
        <w:t>7</w:t>
      </w:r>
      <w:r>
        <w:rPr>
          <w:bCs/>
          <w:color w:val="000000"/>
          <w:sz w:val="24"/>
        </w:rPr>
        <w:t>、</w:t>
      </w:r>
      <w:r>
        <w:rPr>
          <w:bCs/>
          <w:color w:val="000000"/>
          <w:sz w:val="24"/>
        </w:rPr>
        <w:t>L</w:t>
      </w:r>
      <w:r>
        <w:rPr>
          <w:bCs/>
          <w:color w:val="000000"/>
          <w:sz w:val="24"/>
          <w:vertAlign w:val="subscript"/>
        </w:rPr>
        <w:t>8</w:t>
      </w:r>
      <w:r>
        <w:rPr>
          <w:bCs/>
          <w:color w:val="000000"/>
          <w:sz w:val="24"/>
        </w:rPr>
        <w:t xml:space="preserve"> </w:t>
      </w:r>
      <w:r>
        <w:rPr>
          <w:bCs/>
          <w:color w:val="000000"/>
          <w:sz w:val="24"/>
        </w:rPr>
        <w:t>石灰岩为主，次为深灰～黑灰色砂质泥岩、泥岩，含煤</w:t>
      </w:r>
      <w:r>
        <w:rPr>
          <w:bCs/>
          <w:color w:val="000000"/>
          <w:sz w:val="24"/>
        </w:rPr>
        <w:t>1</w:t>
      </w:r>
      <w:r>
        <w:rPr>
          <w:bCs/>
          <w:color w:val="000000"/>
          <w:sz w:val="24"/>
        </w:rPr>
        <w:t>～</w:t>
      </w:r>
      <w:r>
        <w:rPr>
          <w:bCs/>
          <w:color w:val="000000"/>
          <w:sz w:val="24"/>
        </w:rPr>
        <w:t>2</w:t>
      </w:r>
      <w:r>
        <w:rPr>
          <w:bCs/>
          <w:color w:val="000000"/>
          <w:sz w:val="24"/>
        </w:rPr>
        <w:t>层，其中一</w:t>
      </w:r>
      <w:r>
        <w:rPr>
          <w:bCs/>
          <w:color w:val="000000"/>
          <w:sz w:val="24"/>
        </w:rPr>
        <w:t>7</w:t>
      </w:r>
      <w:r>
        <w:rPr>
          <w:bCs/>
          <w:color w:val="000000"/>
          <w:sz w:val="24"/>
        </w:rPr>
        <w:t>煤层较发育，不可采。</w:t>
      </w:r>
      <w:r>
        <w:rPr>
          <w:bCs/>
          <w:color w:val="000000"/>
          <w:sz w:val="24"/>
        </w:rPr>
        <w:t>L</w:t>
      </w:r>
      <w:r>
        <w:rPr>
          <w:bCs/>
          <w:color w:val="000000"/>
          <w:sz w:val="24"/>
          <w:vertAlign w:val="subscript"/>
        </w:rPr>
        <w:t>7</w:t>
      </w:r>
      <w:r>
        <w:rPr>
          <w:bCs/>
          <w:color w:val="000000"/>
          <w:sz w:val="24"/>
        </w:rPr>
        <w:t>灰岩含燧石结核与条带，层位稳定，基本全区发育，属区域对比标志层。该段平均厚</w:t>
      </w:r>
      <w:r>
        <w:rPr>
          <w:bCs/>
          <w:color w:val="000000"/>
          <w:sz w:val="24"/>
        </w:rPr>
        <w:t>28.80m</w:t>
      </w:r>
      <w:r>
        <w:rPr>
          <w:bCs/>
          <w:color w:val="000000"/>
          <w:sz w:val="24"/>
        </w:rPr>
        <w:t>。</w:t>
      </w:r>
      <w:r>
        <w:rPr>
          <w:bCs/>
          <w:color w:val="000000"/>
          <w:sz w:val="24"/>
        </w:rPr>
        <w:cr/>
        <w:t xml:space="preserve">    3</w:t>
      </w:r>
      <w:r>
        <w:rPr>
          <w:bCs/>
          <w:color w:val="000000"/>
          <w:sz w:val="24"/>
        </w:rPr>
        <w:t>、二叠系（</w:t>
      </w:r>
      <w:r>
        <w:rPr>
          <w:bCs/>
          <w:color w:val="000000"/>
          <w:sz w:val="24"/>
        </w:rPr>
        <w:t>P</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lastRenderedPageBreak/>
        <w:t>整合于石炭系之上，分上、下统。下统与上统上石盒子组属含煤地层，厚</w:t>
      </w:r>
      <w:r>
        <w:rPr>
          <w:bCs/>
          <w:color w:val="000000"/>
          <w:sz w:val="24"/>
        </w:rPr>
        <w:t>630.46m</w:t>
      </w:r>
      <w:r>
        <w:rPr>
          <w:bCs/>
          <w:color w:val="000000"/>
          <w:sz w:val="24"/>
        </w:rPr>
        <w:t>，含煤</w:t>
      </w:r>
      <w:r>
        <w:rPr>
          <w:bCs/>
          <w:color w:val="000000"/>
          <w:sz w:val="24"/>
        </w:rPr>
        <w:t>24</w:t>
      </w:r>
      <w:r>
        <w:rPr>
          <w:bCs/>
          <w:color w:val="000000"/>
          <w:sz w:val="24"/>
        </w:rPr>
        <w:t>层，其中的二煤层为全区大部分可采煤层。四</w:t>
      </w:r>
      <w:r>
        <w:rPr>
          <w:bCs/>
          <w:color w:val="000000"/>
          <w:sz w:val="24"/>
          <w:vertAlign w:val="subscript"/>
        </w:rPr>
        <w:t>2</w:t>
      </w:r>
      <w:r>
        <w:rPr>
          <w:bCs/>
          <w:color w:val="000000"/>
          <w:sz w:val="24"/>
        </w:rPr>
        <w:t>煤层区内局部可采。</w:t>
      </w:r>
      <w:r>
        <w:rPr>
          <w:bCs/>
          <w:color w:val="000000"/>
          <w:sz w:val="24"/>
        </w:rPr>
        <w:cr/>
        <w:t xml:space="preserve">   1</w:t>
      </w:r>
      <w:r>
        <w:rPr>
          <w:bCs/>
          <w:color w:val="000000"/>
          <w:sz w:val="24"/>
        </w:rPr>
        <w:t>）二叠系下统（</w:t>
      </w:r>
      <w:r>
        <w:rPr>
          <w:bCs/>
          <w:color w:val="000000"/>
          <w:sz w:val="24"/>
        </w:rPr>
        <w:t>P</w:t>
      </w:r>
      <w:r>
        <w:rPr>
          <w:bCs/>
          <w:color w:val="000000"/>
          <w:sz w:val="24"/>
          <w:vertAlign w:val="subscript"/>
        </w:rPr>
        <w:t>1</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a</w:t>
      </w:r>
      <w:r>
        <w:rPr>
          <w:bCs/>
          <w:color w:val="000000"/>
          <w:sz w:val="24"/>
        </w:rPr>
        <w:t>、山西组（</w:t>
      </w:r>
      <w:r>
        <w:rPr>
          <w:bCs/>
          <w:color w:val="000000"/>
          <w:sz w:val="24"/>
        </w:rPr>
        <w:t>P</w:t>
      </w:r>
      <w:r>
        <w:rPr>
          <w:bCs/>
          <w:color w:val="000000"/>
          <w:sz w:val="24"/>
          <w:vertAlign w:val="subscript"/>
        </w:rPr>
        <w:t>1</w:t>
      </w:r>
      <w:r>
        <w:rPr>
          <w:bCs/>
          <w:color w:val="000000"/>
          <w:sz w:val="24"/>
        </w:rPr>
        <w:t>sh</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自二煤层底板砂岩（</w:t>
      </w:r>
      <w:r>
        <w:rPr>
          <w:bCs/>
          <w:color w:val="000000"/>
          <w:sz w:val="24"/>
        </w:rPr>
        <w:t>Ser</w:t>
      </w:r>
      <w:r>
        <w:rPr>
          <w:bCs/>
          <w:color w:val="000000"/>
          <w:sz w:val="24"/>
        </w:rPr>
        <w:t>）底至砂锅窑砂岩（</w:t>
      </w:r>
      <w:r>
        <w:rPr>
          <w:bCs/>
          <w:color w:val="000000"/>
          <w:sz w:val="24"/>
        </w:rPr>
        <w:t>Ss</w:t>
      </w:r>
      <w:r>
        <w:rPr>
          <w:bCs/>
          <w:color w:val="000000"/>
          <w:sz w:val="24"/>
        </w:rPr>
        <w:t>）底，平均厚度</w:t>
      </w:r>
      <w:r>
        <w:rPr>
          <w:bCs/>
          <w:color w:val="000000"/>
          <w:sz w:val="24"/>
        </w:rPr>
        <w:t>60.75m</w:t>
      </w:r>
      <w:r>
        <w:rPr>
          <w:bCs/>
          <w:color w:val="000000"/>
          <w:sz w:val="24"/>
        </w:rPr>
        <w:t>，含煤一般</w:t>
      </w:r>
      <w:r>
        <w:rPr>
          <w:bCs/>
          <w:color w:val="000000"/>
          <w:sz w:val="24"/>
        </w:rPr>
        <w:t>5</w:t>
      </w:r>
      <w:r>
        <w:rPr>
          <w:bCs/>
          <w:color w:val="000000"/>
          <w:sz w:val="24"/>
        </w:rPr>
        <w:t>层</w:t>
      </w:r>
      <w:r>
        <w:rPr>
          <w:bCs/>
          <w:color w:val="000000"/>
          <w:sz w:val="24"/>
        </w:rPr>
        <w:t>(</w:t>
      </w:r>
      <w:r>
        <w:rPr>
          <w:bCs/>
          <w:color w:val="000000"/>
          <w:sz w:val="24"/>
        </w:rPr>
        <w:t>二</w:t>
      </w:r>
      <w:r>
        <w:rPr>
          <w:bCs/>
          <w:color w:val="000000"/>
          <w:sz w:val="24"/>
          <w:vertAlign w:val="subscript"/>
        </w:rPr>
        <w:t>1</w:t>
      </w:r>
      <w:r>
        <w:rPr>
          <w:bCs/>
          <w:color w:val="000000"/>
          <w:sz w:val="24"/>
        </w:rPr>
        <w:t>～二</w:t>
      </w:r>
      <w:r>
        <w:rPr>
          <w:bCs/>
          <w:color w:val="000000"/>
          <w:sz w:val="24"/>
          <w:vertAlign w:val="subscript"/>
        </w:rPr>
        <w:t>5</w:t>
      </w:r>
      <w:r>
        <w:rPr>
          <w:bCs/>
          <w:color w:val="000000"/>
          <w:sz w:val="24"/>
        </w:rPr>
        <w:t>煤层</w:t>
      </w:r>
      <w:r>
        <w:rPr>
          <w:bCs/>
          <w:color w:val="000000"/>
          <w:sz w:val="24"/>
        </w:rPr>
        <w:t>)</w:t>
      </w:r>
      <w:r>
        <w:rPr>
          <w:bCs/>
          <w:color w:val="000000"/>
          <w:sz w:val="24"/>
        </w:rPr>
        <w:t>。分四个岩性段：</w:t>
      </w:r>
      <w:r>
        <w:rPr>
          <w:bCs/>
          <w:color w:val="000000"/>
          <w:sz w:val="24"/>
        </w:rPr>
        <w:cr/>
        <w:t xml:space="preserve">    </w:t>
      </w:r>
      <w:r>
        <w:rPr>
          <w:bCs/>
          <w:color w:val="000000"/>
          <w:sz w:val="24"/>
        </w:rPr>
        <w:t>二</w:t>
      </w:r>
      <w:r>
        <w:rPr>
          <w:bCs/>
          <w:color w:val="000000"/>
          <w:sz w:val="24"/>
          <w:vertAlign w:val="subscript"/>
        </w:rPr>
        <w:t>1</w:t>
      </w:r>
      <w:r>
        <w:rPr>
          <w:bCs/>
          <w:color w:val="000000"/>
          <w:sz w:val="24"/>
        </w:rPr>
        <w:t>煤层段：自二</w:t>
      </w:r>
      <w:r>
        <w:rPr>
          <w:bCs/>
          <w:color w:val="000000"/>
          <w:sz w:val="24"/>
          <w:vertAlign w:val="subscript"/>
        </w:rPr>
        <w:t>1</w:t>
      </w:r>
      <w:r>
        <w:rPr>
          <w:bCs/>
          <w:color w:val="000000"/>
          <w:sz w:val="24"/>
        </w:rPr>
        <w:t>煤层底板砂岩（</w:t>
      </w:r>
      <w:r>
        <w:rPr>
          <w:bCs/>
          <w:color w:val="000000"/>
          <w:sz w:val="24"/>
        </w:rPr>
        <w:t>Ser</w:t>
      </w:r>
      <w:r>
        <w:rPr>
          <w:bCs/>
          <w:color w:val="000000"/>
          <w:sz w:val="24"/>
        </w:rPr>
        <w:t>）底至大占砂岩（</w:t>
      </w:r>
      <w:r>
        <w:rPr>
          <w:bCs/>
          <w:color w:val="000000"/>
          <w:sz w:val="24"/>
        </w:rPr>
        <w:t>Sd</w:t>
      </w:r>
      <w:r>
        <w:rPr>
          <w:bCs/>
          <w:color w:val="000000"/>
          <w:sz w:val="24"/>
        </w:rPr>
        <w:t>）底。下部主要为底板砂岩（</w:t>
      </w:r>
      <w:r>
        <w:rPr>
          <w:bCs/>
          <w:color w:val="000000"/>
          <w:sz w:val="24"/>
        </w:rPr>
        <w:t>Ser</w:t>
      </w:r>
      <w:r>
        <w:rPr>
          <w:bCs/>
          <w:color w:val="000000"/>
          <w:sz w:val="24"/>
        </w:rPr>
        <w:t>），岩性为深灰色砂质泥岩夹砂质条带或细粒砂岩夹泥质条带，脉状、透镜状层理发育，见虫孔、虫迹与植物根部化石。上部为二</w:t>
      </w:r>
      <w:r>
        <w:rPr>
          <w:bCs/>
          <w:color w:val="000000"/>
          <w:sz w:val="24"/>
          <w:vertAlign w:val="subscript"/>
        </w:rPr>
        <w:t>1</w:t>
      </w:r>
      <w:r>
        <w:rPr>
          <w:bCs/>
          <w:color w:val="000000"/>
          <w:sz w:val="24"/>
        </w:rPr>
        <w:t>煤层，厚</w:t>
      </w:r>
      <w:r>
        <w:rPr>
          <w:bCs/>
          <w:color w:val="000000"/>
          <w:sz w:val="24"/>
        </w:rPr>
        <w:t>0.72</w:t>
      </w:r>
      <w:r>
        <w:rPr>
          <w:bCs/>
          <w:color w:val="000000"/>
          <w:sz w:val="24"/>
        </w:rPr>
        <w:t>～</w:t>
      </w:r>
      <w:r>
        <w:rPr>
          <w:bCs/>
          <w:color w:val="000000"/>
          <w:sz w:val="24"/>
        </w:rPr>
        <w:t>5.15m</w:t>
      </w:r>
      <w:r>
        <w:rPr>
          <w:bCs/>
          <w:color w:val="000000"/>
          <w:sz w:val="24"/>
        </w:rPr>
        <w:t>，平均</w:t>
      </w:r>
      <w:r>
        <w:rPr>
          <w:bCs/>
          <w:color w:val="000000"/>
          <w:sz w:val="24"/>
        </w:rPr>
        <w:t>2.93m</w:t>
      </w:r>
      <w:r>
        <w:rPr>
          <w:bCs/>
          <w:color w:val="000000"/>
          <w:sz w:val="24"/>
        </w:rPr>
        <w:t>。</w:t>
      </w:r>
      <w:r>
        <w:rPr>
          <w:bCs/>
          <w:color w:val="000000"/>
          <w:sz w:val="24"/>
        </w:rPr>
        <w:cr/>
        <w:t xml:space="preserve">    </w:t>
      </w:r>
      <w:r>
        <w:rPr>
          <w:bCs/>
          <w:color w:val="000000"/>
          <w:sz w:val="24"/>
        </w:rPr>
        <w:t>大占砂岩段：自大占砂岩（</w:t>
      </w:r>
      <w:r>
        <w:rPr>
          <w:bCs/>
          <w:color w:val="000000"/>
          <w:sz w:val="24"/>
        </w:rPr>
        <w:t>Sd</w:t>
      </w:r>
      <w:r>
        <w:rPr>
          <w:bCs/>
          <w:color w:val="000000"/>
          <w:sz w:val="24"/>
        </w:rPr>
        <w:t>）底至香炭砂岩（</w:t>
      </w:r>
      <w:r>
        <w:rPr>
          <w:bCs/>
          <w:color w:val="000000"/>
          <w:sz w:val="24"/>
        </w:rPr>
        <w:t>Sx</w:t>
      </w:r>
      <w:r>
        <w:rPr>
          <w:bCs/>
          <w:color w:val="000000"/>
          <w:sz w:val="24"/>
        </w:rPr>
        <w:t>）底。下部的岩性为浅灰色中粒长石岩屑石英砂岩，层面富含白云母及炭屑，具板状交错层理及波状层理。上部为灰～深灰色泥岩、砂质泥岩，夹薄煤（二</w:t>
      </w:r>
      <w:r>
        <w:rPr>
          <w:bCs/>
          <w:color w:val="000000"/>
          <w:sz w:val="24"/>
          <w:vertAlign w:val="subscript"/>
        </w:rPr>
        <w:t>2</w:t>
      </w:r>
      <w:r>
        <w:rPr>
          <w:bCs/>
          <w:color w:val="000000"/>
          <w:sz w:val="24"/>
        </w:rPr>
        <w:t>、二</w:t>
      </w:r>
      <w:r>
        <w:rPr>
          <w:bCs/>
          <w:color w:val="000000"/>
          <w:sz w:val="24"/>
          <w:vertAlign w:val="subscript"/>
        </w:rPr>
        <w:t>3</w:t>
      </w:r>
      <w:r>
        <w:rPr>
          <w:bCs/>
          <w:color w:val="000000"/>
          <w:sz w:val="24"/>
        </w:rPr>
        <w:t>煤层）</w:t>
      </w:r>
      <w:r>
        <w:rPr>
          <w:bCs/>
          <w:color w:val="000000"/>
          <w:sz w:val="24"/>
        </w:rPr>
        <w:t>1</w:t>
      </w:r>
      <w:r>
        <w:rPr>
          <w:bCs/>
          <w:color w:val="000000"/>
          <w:sz w:val="24"/>
        </w:rPr>
        <w:t>～</w:t>
      </w:r>
      <w:r>
        <w:rPr>
          <w:bCs/>
          <w:color w:val="000000"/>
          <w:sz w:val="24"/>
        </w:rPr>
        <w:t>2</w:t>
      </w:r>
      <w:r>
        <w:rPr>
          <w:bCs/>
          <w:color w:val="000000"/>
          <w:sz w:val="24"/>
        </w:rPr>
        <w:t>层，均不可采。</w:t>
      </w:r>
      <w:r>
        <w:rPr>
          <w:bCs/>
          <w:color w:val="000000"/>
          <w:sz w:val="24"/>
        </w:rPr>
        <w:cr/>
        <w:t xml:space="preserve">    </w:t>
      </w:r>
      <w:r>
        <w:rPr>
          <w:bCs/>
          <w:color w:val="000000"/>
          <w:sz w:val="24"/>
        </w:rPr>
        <w:t>香炭砂岩段：自香炭砂岩底至瑶岭砂岩（</w:t>
      </w:r>
      <w:r>
        <w:rPr>
          <w:bCs/>
          <w:color w:val="000000"/>
          <w:sz w:val="24"/>
        </w:rPr>
        <w:t>Sy</w:t>
      </w:r>
      <w:r>
        <w:rPr>
          <w:bCs/>
          <w:color w:val="000000"/>
          <w:sz w:val="24"/>
        </w:rPr>
        <w:t>）底。下部为灰～棕灰色中粒长石岩屑石英砂岩（</w:t>
      </w:r>
      <w:r>
        <w:rPr>
          <w:bCs/>
          <w:color w:val="000000"/>
          <w:sz w:val="24"/>
        </w:rPr>
        <w:t>Sx</w:t>
      </w:r>
      <w:r>
        <w:rPr>
          <w:bCs/>
          <w:color w:val="000000"/>
          <w:sz w:val="24"/>
        </w:rPr>
        <w:t>），含菱铁质线理及条带，具交错层理。上部主要为砂质泥岩、泥岩，含菱铁质鲕粒与结核，具暗斑，夹二</w:t>
      </w:r>
      <w:r>
        <w:rPr>
          <w:bCs/>
          <w:color w:val="000000"/>
          <w:sz w:val="24"/>
          <w:vertAlign w:val="subscript"/>
        </w:rPr>
        <w:t>4</w:t>
      </w:r>
      <w:r>
        <w:rPr>
          <w:bCs/>
          <w:color w:val="000000"/>
          <w:sz w:val="24"/>
        </w:rPr>
        <w:t>煤层位（富含植物化石的深灰色泥岩或含炭泥岩）。</w:t>
      </w:r>
      <w:r>
        <w:rPr>
          <w:bCs/>
          <w:color w:val="000000"/>
          <w:sz w:val="24"/>
        </w:rPr>
        <w:cr/>
        <w:t xml:space="preserve">    </w:t>
      </w:r>
      <w:r>
        <w:rPr>
          <w:bCs/>
          <w:color w:val="000000"/>
          <w:sz w:val="24"/>
        </w:rPr>
        <w:t>小紫泥岩段：自瑶岭砂岩底至砂锅窑砂岩（</w:t>
      </w:r>
      <w:r>
        <w:rPr>
          <w:bCs/>
          <w:color w:val="000000"/>
          <w:sz w:val="24"/>
        </w:rPr>
        <w:t>Ss</w:t>
      </w:r>
      <w:r>
        <w:rPr>
          <w:bCs/>
          <w:color w:val="000000"/>
          <w:sz w:val="24"/>
        </w:rPr>
        <w:t>）底。下部的瑶岭砂岩为灰色中厚层状细粒长石石英砂岩。上部主要由灰～绿灰色泥岩、砂质泥岩组成，富含菱铁质假鲕与紫斑，偶夹炭质泥岩（二</w:t>
      </w:r>
      <w:r>
        <w:rPr>
          <w:bCs/>
          <w:color w:val="000000"/>
          <w:sz w:val="24"/>
          <w:vertAlign w:val="subscript"/>
        </w:rPr>
        <w:t>5</w:t>
      </w:r>
      <w:r>
        <w:rPr>
          <w:bCs/>
          <w:color w:val="000000"/>
          <w:sz w:val="24"/>
        </w:rPr>
        <w:t>煤层位）。</w:t>
      </w:r>
    </w:p>
    <w:p w:rsidR="00240BCE" w:rsidRDefault="00AC0334">
      <w:pPr>
        <w:snapToGrid w:val="0"/>
        <w:spacing w:line="520" w:lineRule="exact"/>
        <w:ind w:firstLineChars="200" w:firstLine="480"/>
        <w:rPr>
          <w:bCs/>
          <w:color w:val="000000"/>
          <w:sz w:val="24"/>
        </w:rPr>
      </w:pPr>
      <w:r>
        <w:rPr>
          <w:bCs/>
          <w:color w:val="000000"/>
          <w:sz w:val="24"/>
        </w:rPr>
        <w:t>b</w:t>
      </w:r>
      <w:r>
        <w:rPr>
          <w:bCs/>
          <w:color w:val="000000"/>
          <w:sz w:val="24"/>
        </w:rPr>
        <w:t>、下石盒子组（</w:t>
      </w:r>
      <w:r>
        <w:rPr>
          <w:bCs/>
          <w:color w:val="000000"/>
          <w:sz w:val="24"/>
        </w:rPr>
        <w:t>P</w:t>
      </w:r>
      <w:r>
        <w:rPr>
          <w:bCs/>
          <w:color w:val="000000"/>
          <w:sz w:val="24"/>
          <w:vertAlign w:val="subscript"/>
        </w:rPr>
        <w:t>1</w:t>
      </w:r>
      <w:r>
        <w:rPr>
          <w:bCs/>
          <w:color w:val="000000"/>
          <w:sz w:val="24"/>
        </w:rPr>
        <w:t>x</w:t>
      </w:r>
      <w:r>
        <w:rPr>
          <w:bCs/>
          <w:color w:val="000000"/>
          <w:sz w:val="24"/>
        </w:rPr>
        <w:t>）</w:t>
      </w:r>
      <w:r>
        <w:rPr>
          <w:bCs/>
          <w:color w:val="000000"/>
          <w:sz w:val="24"/>
        </w:rPr>
        <w:cr/>
        <w:t xml:space="preserve">    </w:t>
      </w:r>
      <w:r>
        <w:rPr>
          <w:bCs/>
          <w:color w:val="000000"/>
          <w:sz w:val="24"/>
        </w:rPr>
        <w:t>自砂锅窑砂岩底至田家沟砂岩</w:t>
      </w:r>
      <w:r>
        <w:rPr>
          <w:bCs/>
          <w:color w:val="000000"/>
          <w:sz w:val="24"/>
        </w:rPr>
        <w:t>(St)</w:t>
      </w:r>
      <w:r>
        <w:rPr>
          <w:bCs/>
          <w:color w:val="000000"/>
          <w:sz w:val="24"/>
        </w:rPr>
        <w:t>底，厚约</w:t>
      </w:r>
      <w:r>
        <w:rPr>
          <w:bCs/>
          <w:color w:val="000000"/>
          <w:sz w:val="24"/>
        </w:rPr>
        <w:t>315.69m</w:t>
      </w:r>
      <w:r>
        <w:rPr>
          <w:bCs/>
          <w:color w:val="000000"/>
          <w:sz w:val="24"/>
        </w:rPr>
        <w:t>。与下伏地层整合接触。自下而上分三、四、五、六</w:t>
      </w:r>
      <w:r>
        <w:rPr>
          <w:bCs/>
          <w:color w:val="000000"/>
          <w:sz w:val="24"/>
        </w:rPr>
        <w:t xml:space="preserve"> 4</w:t>
      </w:r>
      <w:r>
        <w:rPr>
          <w:bCs/>
          <w:color w:val="000000"/>
          <w:sz w:val="24"/>
        </w:rPr>
        <w:t>个煤段。分述如下。</w:t>
      </w:r>
    </w:p>
    <w:p w:rsidR="00240BCE" w:rsidRDefault="00AC0334">
      <w:pPr>
        <w:snapToGrid w:val="0"/>
        <w:spacing w:line="520" w:lineRule="exact"/>
        <w:ind w:firstLineChars="200" w:firstLine="480"/>
        <w:rPr>
          <w:bCs/>
          <w:color w:val="000000"/>
          <w:sz w:val="24"/>
        </w:rPr>
      </w:pPr>
      <w:r>
        <w:rPr>
          <w:bCs/>
          <w:color w:val="000000"/>
          <w:sz w:val="24"/>
        </w:rPr>
        <w:t>（</w:t>
      </w:r>
      <w:r>
        <w:rPr>
          <w:bCs/>
          <w:color w:val="000000"/>
          <w:sz w:val="24"/>
        </w:rPr>
        <w:t>1</w:t>
      </w:r>
      <w:r>
        <w:rPr>
          <w:bCs/>
          <w:color w:val="000000"/>
          <w:sz w:val="24"/>
        </w:rPr>
        <w:t>）三煤段</w:t>
      </w:r>
    </w:p>
    <w:p w:rsidR="00240BCE" w:rsidRDefault="00AC0334">
      <w:pPr>
        <w:snapToGrid w:val="0"/>
        <w:spacing w:line="520" w:lineRule="exact"/>
        <w:ind w:firstLineChars="200" w:firstLine="480"/>
        <w:rPr>
          <w:bCs/>
          <w:color w:val="000000"/>
          <w:sz w:val="24"/>
        </w:rPr>
      </w:pPr>
      <w:r>
        <w:rPr>
          <w:bCs/>
          <w:color w:val="000000"/>
          <w:sz w:val="24"/>
        </w:rPr>
        <w:t>下自砂锅窑砂岩（</w:t>
      </w:r>
      <w:r>
        <w:rPr>
          <w:bCs/>
          <w:color w:val="000000"/>
          <w:sz w:val="24"/>
        </w:rPr>
        <w:t>Ss</w:t>
      </w:r>
      <w:r>
        <w:rPr>
          <w:bCs/>
          <w:color w:val="000000"/>
          <w:sz w:val="24"/>
        </w:rPr>
        <w:t>）底界，上至四煤底板砂岩（</w:t>
      </w:r>
      <w:r>
        <w:rPr>
          <w:bCs/>
          <w:color w:val="000000"/>
          <w:sz w:val="24"/>
        </w:rPr>
        <w:t>S</w:t>
      </w:r>
      <w:r>
        <w:rPr>
          <w:bCs/>
          <w:color w:val="000000"/>
          <w:sz w:val="24"/>
          <w:vertAlign w:val="subscript"/>
        </w:rPr>
        <w:t>4</w:t>
      </w:r>
      <w:r>
        <w:rPr>
          <w:bCs/>
          <w:color w:val="000000"/>
          <w:sz w:val="24"/>
        </w:rPr>
        <w:t>）底界，平均厚</w:t>
      </w:r>
      <w:r>
        <w:rPr>
          <w:bCs/>
          <w:color w:val="000000"/>
          <w:sz w:val="24"/>
        </w:rPr>
        <w:t>83.49m</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lastRenderedPageBreak/>
        <w:t>底部为一层浅灰～灰白色中粗粒长石石英砂岩，中厚层状，硅质胶结，分选性差，次棱角～次圆状，具交错层理及递变层理，含较多暗色岩屑。底部常含石英岩细砾及燧石细砾和泥质包体，具定向排列，局部为细砾岩，俗称砂锅窑砂岩（</w:t>
      </w:r>
      <w:r>
        <w:rPr>
          <w:bCs/>
          <w:color w:val="000000"/>
          <w:sz w:val="24"/>
        </w:rPr>
        <w:t>Ss</w:t>
      </w:r>
      <w:r>
        <w:rPr>
          <w:bCs/>
          <w:color w:val="000000"/>
          <w:sz w:val="24"/>
        </w:rPr>
        <w:t>），厚</w:t>
      </w:r>
      <w:r>
        <w:rPr>
          <w:bCs/>
          <w:color w:val="000000"/>
          <w:sz w:val="24"/>
        </w:rPr>
        <w:t>3.97</w:t>
      </w:r>
      <w:r>
        <w:rPr>
          <w:bCs/>
          <w:color w:val="000000"/>
          <w:sz w:val="24"/>
        </w:rPr>
        <w:t>～</w:t>
      </w:r>
      <w:r>
        <w:rPr>
          <w:bCs/>
          <w:color w:val="000000"/>
          <w:sz w:val="24"/>
        </w:rPr>
        <w:t>23.60m</w:t>
      </w:r>
      <w:r>
        <w:rPr>
          <w:bCs/>
          <w:color w:val="000000"/>
          <w:sz w:val="24"/>
        </w:rPr>
        <w:t>，平均</w:t>
      </w:r>
      <w:r>
        <w:rPr>
          <w:bCs/>
          <w:color w:val="000000"/>
          <w:sz w:val="24"/>
        </w:rPr>
        <w:t>11.00m</w:t>
      </w:r>
      <w:r>
        <w:rPr>
          <w:bCs/>
          <w:color w:val="000000"/>
          <w:sz w:val="24"/>
        </w:rPr>
        <w:t>。普遍发育，为主要标志层之一。</w:t>
      </w:r>
    </w:p>
    <w:p w:rsidR="00240BCE" w:rsidRDefault="00AC0334">
      <w:pPr>
        <w:snapToGrid w:val="0"/>
        <w:spacing w:line="520" w:lineRule="exact"/>
        <w:ind w:firstLineChars="200" w:firstLine="480"/>
        <w:rPr>
          <w:bCs/>
          <w:color w:val="000000"/>
          <w:sz w:val="24"/>
        </w:rPr>
      </w:pPr>
      <w:r>
        <w:rPr>
          <w:bCs/>
          <w:color w:val="000000"/>
          <w:sz w:val="24"/>
        </w:rPr>
        <w:t>下部为浅灰、灰绿、紫红色泥岩，鲕状、豆状结构。鲕粒多为菱铁质，局部呈集合体状。具大量紫斑、暗斑，俗称大紫泥岩，为辅助标志层，厚</w:t>
      </w:r>
      <w:r>
        <w:rPr>
          <w:bCs/>
          <w:color w:val="000000"/>
          <w:sz w:val="24"/>
        </w:rPr>
        <w:t>6.46</w:t>
      </w:r>
      <w:r>
        <w:rPr>
          <w:bCs/>
          <w:color w:val="000000"/>
          <w:sz w:val="24"/>
        </w:rPr>
        <w:t>～</w:t>
      </w:r>
      <w:r>
        <w:rPr>
          <w:bCs/>
          <w:color w:val="000000"/>
          <w:sz w:val="24"/>
        </w:rPr>
        <w:t>40.00m</w:t>
      </w:r>
      <w:r>
        <w:rPr>
          <w:bCs/>
          <w:color w:val="000000"/>
          <w:sz w:val="24"/>
        </w:rPr>
        <w:t>，平均</w:t>
      </w:r>
      <w:r>
        <w:rPr>
          <w:bCs/>
          <w:color w:val="000000"/>
          <w:sz w:val="24"/>
        </w:rPr>
        <w:t>18.05m</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中、上部主要由深灰色泥岩、砂质泥岩夹绿灰色中、细粒砂岩组成。砂质泥岩、泥岩含菱铁质假鲕，局部见紫斑、暗斑，中部常发育一层绿灰色中细粒长石岩屑石英砂岩。</w:t>
      </w:r>
    </w:p>
    <w:p w:rsidR="00240BCE" w:rsidRDefault="00AC0334">
      <w:pPr>
        <w:snapToGrid w:val="0"/>
        <w:spacing w:line="520" w:lineRule="exact"/>
        <w:ind w:firstLineChars="200" w:firstLine="480"/>
        <w:rPr>
          <w:bCs/>
          <w:color w:val="000000"/>
          <w:sz w:val="24"/>
        </w:rPr>
      </w:pPr>
      <w:r>
        <w:rPr>
          <w:bCs/>
          <w:color w:val="000000"/>
          <w:sz w:val="24"/>
        </w:rPr>
        <w:t>（</w:t>
      </w:r>
      <w:r>
        <w:rPr>
          <w:bCs/>
          <w:color w:val="000000"/>
          <w:sz w:val="24"/>
        </w:rPr>
        <w:t>2</w:t>
      </w:r>
      <w:r>
        <w:rPr>
          <w:bCs/>
          <w:color w:val="000000"/>
          <w:sz w:val="24"/>
        </w:rPr>
        <w:t>）四煤段</w:t>
      </w:r>
    </w:p>
    <w:p w:rsidR="00240BCE" w:rsidRDefault="00AC0334">
      <w:pPr>
        <w:snapToGrid w:val="0"/>
        <w:spacing w:line="520" w:lineRule="exact"/>
        <w:ind w:firstLineChars="200" w:firstLine="480"/>
        <w:rPr>
          <w:bCs/>
          <w:color w:val="000000"/>
          <w:sz w:val="24"/>
        </w:rPr>
      </w:pPr>
      <w:r>
        <w:rPr>
          <w:bCs/>
          <w:color w:val="000000"/>
          <w:sz w:val="24"/>
        </w:rPr>
        <w:t>下自四底砂岩（</w:t>
      </w:r>
      <w:r>
        <w:rPr>
          <w:bCs/>
          <w:color w:val="000000"/>
          <w:sz w:val="24"/>
        </w:rPr>
        <w:t>S4</w:t>
      </w:r>
      <w:r>
        <w:rPr>
          <w:bCs/>
          <w:color w:val="000000"/>
          <w:sz w:val="24"/>
        </w:rPr>
        <w:t>）底界，上至四、五煤段分界砂岩底界。平均厚</w:t>
      </w:r>
      <w:r>
        <w:rPr>
          <w:bCs/>
          <w:color w:val="000000"/>
          <w:sz w:val="24"/>
        </w:rPr>
        <w:t>63.20m</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岩性由浅灰、深灰、绿灰色泥岩、砂质泥岩、粉砂岩、细～中粒砂岩及煤层组成。底部的四底砂岩为三、四煤段的分界标志层，岩性为浅灰、灰绿色中厚层状中粒长石石英砂岩，含较多暗色岩屑及菱铁质假鲕，分选性差，具交错层理。厚</w:t>
      </w:r>
      <w:r>
        <w:rPr>
          <w:bCs/>
          <w:color w:val="000000"/>
          <w:sz w:val="24"/>
        </w:rPr>
        <w:t>1.50</w:t>
      </w:r>
      <w:r>
        <w:rPr>
          <w:bCs/>
          <w:color w:val="000000"/>
          <w:sz w:val="24"/>
        </w:rPr>
        <w:t>～</w:t>
      </w:r>
      <w:r>
        <w:rPr>
          <w:bCs/>
          <w:color w:val="000000"/>
          <w:sz w:val="24"/>
        </w:rPr>
        <w:t>23.80m</w:t>
      </w:r>
      <w:r>
        <w:rPr>
          <w:bCs/>
          <w:color w:val="000000"/>
          <w:sz w:val="24"/>
        </w:rPr>
        <w:t>，平均</w:t>
      </w:r>
      <w:r>
        <w:rPr>
          <w:bCs/>
          <w:color w:val="000000"/>
          <w:sz w:val="24"/>
        </w:rPr>
        <w:t>8.33m</w:t>
      </w:r>
      <w:r>
        <w:rPr>
          <w:bCs/>
          <w:color w:val="000000"/>
          <w:sz w:val="24"/>
        </w:rPr>
        <w:t>。该段中下部含薄煤</w:t>
      </w:r>
      <w:r>
        <w:rPr>
          <w:bCs/>
          <w:color w:val="000000"/>
          <w:sz w:val="24"/>
        </w:rPr>
        <w:t>1</w:t>
      </w:r>
      <w:r>
        <w:rPr>
          <w:bCs/>
          <w:color w:val="000000"/>
          <w:sz w:val="24"/>
        </w:rPr>
        <w:t>～</w:t>
      </w:r>
      <w:r>
        <w:rPr>
          <w:bCs/>
          <w:color w:val="000000"/>
          <w:sz w:val="24"/>
        </w:rPr>
        <w:t>3</w:t>
      </w:r>
      <w:r>
        <w:rPr>
          <w:bCs/>
          <w:color w:val="000000"/>
          <w:sz w:val="24"/>
        </w:rPr>
        <w:t>层（四</w:t>
      </w:r>
      <w:r>
        <w:rPr>
          <w:bCs/>
          <w:color w:val="000000"/>
          <w:sz w:val="24"/>
          <w:vertAlign w:val="subscript"/>
        </w:rPr>
        <w:t>1</w:t>
      </w:r>
      <w:r>
        <w:rPr>
          <w:bCs/>
          <w:color w:val="000000"/>
          <w:sz w:val="24"/>
        </w:rPr>
        <w:t>～四</w:t>
      </w:r>
      <w:r>
        <w:rPr>
          <w:bCs/>
          <w:color w:val="000000"/>
          <w:sz w:val="24"/>
          <w:vertAlign w:val="subscript"/>
        </w:rPr>
        <w:t>3</w:t>
      </w:r>
      <w:r>
        <w:rPr>
          <w:bCs/>
          <w:color w:val="000000"/>
          <w:sz w:val="24"/>
        </w:rPr>
        <w:t>），据矿井资料仅四</w:t>
      </w:r>
      <w:r>
        <w:rPr>
          <w:bCs/>
          <w:color w:val="000000"/>
          <w:sz w:val="24"/>
          <w:vertAlign w:val="subscript"/>
        </w:rPr>
        <w:t>2</w:t>
      </w:r>
      <w:r>
        <w:rPr>
          <w:bCs/>
          <w:color w:val="000000"/>
          <w:sz w:val="24"/>
        </w:rPr>
        <w:t>煤层局部可采，煤厚</w:t>
      </w:r>
      <w:r>
        <w:rPr>
          <w:bCs/>
          <w:color w:val="000000"/>
          <w:sz w:val="24"/>
        </w:rPr>
        <w:t>0</w:t>
      </w:r>
      <w:r>
        <w:rPr>
          <w:bCs/>
          <w:color w:val="000000"/>
          <w:sz w:val="24"/>
        </w:rPr>
        <w:t>～</w:t>
      </w:r>
      <w:r>
        <w:rPr>
          <w:bCs/>
          <w:color w:val="000000"/>
          <w:sz w:val="24"/>
        </w:rPr>
        <w:t>1.30m</w:t>
      </w:r>
      <w:r>
        <w:rPr>
          <w:bCs/>
          <w:color w:val="000000"/>
          <w:sz w:val="24"/>
        </w:rPr>
        <w:t>，平均</w:t>
      </w:r>
      <w:r>
        <w:rPr>
          <w:bCs/>
          <w:color w:val="000000"/>
          <w:sz w:val="24"/>
        </w:rPr>
        <w:t>0.81m</w:t>
      </w:r>
      <w:r>
        <w:rPr>
          <w:bCs/>
          <w:color w:val="000000"/>
          <w:sz w:val="24"/>
        </w:rPr>
        <w:t>。余者均不可采。泥岩及砂质泥岩中含较多菱铁质假鲕，产植物化石。</w:t>
      </w:r>
    </w:p>
    <w:p w:rsidR="00240BCE" w:rsidRDefault="00AC0334">
      <w:pPr>
        <w:snapToGrid w:val="0"/>
        <w:spacing w:line="520" w:lineRule="exact"/>
        <w:ind w:firstLineChars="200" w:firstLine="480"/>
        <w:rPr>
          <w:bCs/>
          <w:color w:val="000000"/>
          <w:sz w:val="24"/>
        </w:rPr>
      </w:pPr>
      <w:r>
        <w:rPr>
          <w:bCs/>
          <w:color w:val="000000"/>
          <w:sz w:val="24"/>
        </w:rPr>
        <w:t>（</w:t>
      </w:r>
      <w:r>
        <w:rPr>
          <w:bCs/>
          <w:color w:val="000000"/>
          <w:sz w:val="24"/>
        </w:rPr>
        <w:t>3</w:t>
      </w:r>
      <w:r>
        <w:rPr>
          <w:bCs/>
          <w:color w:val="000000"/>
          <w:sz w:val="24"/>
        </w:rPr>
        <w:t>）五煤段</w:t>
      </w:r>
    </w:p>
    <w:p w:rsidR="00240BCE" w:rsidRDefault="00AC0334">
      <w:pPr>
        <w:snapToGrid w:val="0"/>
        <w:spacing w:line="520" w:lineRule="exact"/>
        <w:ind w:firstLineChars="200" w:firstLine="480"/>
        <w:rPr>
          <w:bCs/>
          <w:color w:val="000000"/>
          <w:sz w:val="24"/>
        </w:rPr>
      </w:pPr>
      <w:r>
        <w:rPr>
          <w:bCs/>
          <w:color w:val="000000"/>
          <w:sz w:val="24"/>
        </w:rPr>
        <w:t>下自四、五煤段分界砂岩底界，上至五、六煤段分界砂岩底界，平均厚</w:t>
      </w:r>
      <w:r>
        <w:rPr>
          <w:bCs/>
          <w:color w:val="000000"/>
          <w:sz w:val="24"/>
        </w:rPr>
        <w:t>82.80m</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岩性由浅灰、灰绿色泥岩、砂质泥岩、细粒砂岩、中粒砂岩及煤层组成。底部为浅灰色中厚层状中粗粒长石石英砂岩，硅质胶结，分选中等，具交错层理，层面含少量白云母碎片，偶含泥质包体及石英岩细砾。该段中部含薄煤</w:t>
      </w:r>
      <w:r>
        <w:rPr>
          <w:bCs/>
          <w:color w:val="000000"/>
          <w:sz w:val="24"/>
        </w:rPr>
        <w:t>3</w:t>
      </w:r>
      <w:r>
        <w:rPr>
          <w:bCs/>
          <w:color w:val="000000"/>
          <w:sz w:val="24"/>
        </w:rPr>
        <w:t>层</w:t>
      </w:r>
      <w:r>
        <w:rPr>
          <w:bCs/>
          <w:color w:val="000000"/>
          <w:sz w:val="24"/>
        </w:rPr>
        <w:t>(</w:t>
      </w:r>
      <w:r>
        <w:rPr>
          <w:bCs/>
          <w:color w:val="000000"/>
          <w:sz w:val="24"/>
        </w:rPr>
        <w:t>五</w:t>
      </w:r>
      <w:r>
        <w:rPr>
          <w:bCs/>
          <w:color w:val="000000"/>
          <w:sz w:val="24"/>
          <w:vertAlign w:val="subscript"/>
        </w:rPr>
        <w:t>1</w:t>
      </w:r>
      <w:r>
        <w:rPr>
          <w:bCs/>
          <w:color w:val="000000"/>
          <w:sz w:val="24"/>
        </w:rPr>
        <w:t>～五</w:t>
      </w:r>
      <w:r>
        <w:rPr>
          <w:bCs/>
          <w:color w:val="000000"/>
          <w:sz w:val="24"/>
          <w:vertAlign w:val="subscript"/>
        </w:rPr>
        <w:t>3</w:t>
      </w:r>
      <w:r>
        <w:rPr>
          <w:bCs/>
          <w:color w:val="000000"/>
          <w:sz w:val="24"/>
        </w:rPr>
        <w:t>)</w:t>
      </w:r>
      <w:r>
        <w:rPr>
          <w:bCs/>
          <w:color w:val="000000"/>
          <w:sz w:val="24"/>
        </w:rPr>
        <w:t>，均不可采。上部泥岩、砂质泥岩中含菱铁质假鲕，具较多紫斑。</w:t>
      </w:r>
    </w:p>
    <w:p w:rsidR="00240BCE" w:rsidRDefault="00AC0334">
      <w:pPr>
        <w:snapToGrid w:val="0"/>
        <w:spacing w:line="520" w:lineRule="exact"/>
        <w:ind w:firstLineChars="200" w:firstLine="480"/>
        <w:rPr>
          <w:bCs/>
          <w:color w:val="000000"/>
          <w:sz w:val="24"/>
        </w:rPr>
      </w:pPr>
      <w:r>
        <w:rPr>
          <w:bCs/>
          <w:color w:val="000000"/>
          <w:sz w:val="24"/>
        </w:rPr>
        <w:t>（</w:t>
      </w:r>
      <w:r>
        <w:rPr>
          <w:bCs/>
          <w:color w:val="000000"/>
          <w:sz w:val="24"/>
        </w:rPr>
        <w:t>4</w:t>
      </w:r>
      <w:r>
        <w:rPr>
          <w:bCs/>
          <w:color w:val="000000"/>
          <w:sz w:val="24"/>
        </w:rPr>
        <w:t>）六煤段</w:t>
      </w:r>
    </w:p>
    <w:p w:rsidR="00240BCE" w:rsidRDefault="00AC0334">
      <w:pPr>
        <w:snapToGrid w:val="0"/>
        <w:spacing w:line="520" w:lineRule="exact"/>
        <w:ind w:firstLineChars="200" w:firstLine="480"/>
        <w:rPr>
          <w:bCs/>
          <w:color w:val="000000"/>
          <w:sz w:val="24"/>
        </w:rPr>
      </w:pPr>
      <w:r>
        <w:rPr>
          <w:bCs/>
          <w:color w:val="000000"/>
          <w:sz w:val="24"/>
        </w:rPr>
        <w:lastRenderedPageBreak/>
        <w:t>下自五、六煤段分界砂岩底界，上至田家沟砂岩（</w:t>
      </w:r>
      <w:r>
        <w:rPr>
          <w:bCs/>
          <w:color w:val="000000"/>
          <w:sz w:val="24"/>
        </w:rPr>
        <w:t>St</w:t>
      </w:r>
      <w:r>
        <w:rPr>
          <w:bCs/>
          <w:color w:val="000000"/>
          <w:sz w:val="24"/>
        </w:rPr>
        <w:t>）底界，平均厚</w:t>
      </w:r>
      <w:r>
        <w:rPr>
          <w:bCs/>
          <w:color w:val="000000"/>
          <w:sz w:val="24"/>
        </w:rPr>
        <w:t>86.20m</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本段岩性由灰绿、灰、紫灰色泥岩、砂质泥岩、粉砂岩、细～中粒砂岩、炭质泥岩及煤层组成。底部为灰、浅灰色厚层状中粒长石石英砂岩，含少量泥质包体，硅质胶结，分选中等，具交错层理。该段中、下部含薄煤</w:t>
      </w:r>
      <w:r>
        <w:rPr>
          <w:bCs/>
          <w:color w:val="000000"/>
          <w:sz w:val="24"/>
        </w:rPr>
        <w:t>3</w:t>
      </w:r>
      <w:r>
        <w:rPr>
          <w:bCs/>
          <w:color w:val="000000"/>
          <w:sz w:val="24"/>
        </w:rPr>
        <w:t>层（六</w:t>
      </w:r>
      <w:r>
        <w:rPr>
          <w:bCs/>
          <w:color w:val="000000"/>
          <w:sz w:val="24"/>
        </w:rPr>
        <w:t>2</w:t>
      </w:r>
      <w:r>
        <w:rPr>
          <w:bCs/>
          <w:color w:val="000000"/>
          <w:sz w:val="24"/>
        </w:rPr>
        <w:t>～六</w:t>
      </w:r>
      <w:r>
        <w:rPr>
          <w:bCs/>
          <w:color w:val="000000"/>
          <w:sz w:val="24"/>
        </w:rPr>
        <w:t>4</w:t>
      </w:r>
      <w:r>
        <w:rPr>
          <w:bCs/>
          <w:color w:val="000000"/>
          <w:sz w:val="24"/>
        </w:rPr>
        <w:t>），均不可采，多为炭质泥岩。泥岩、砂质泥岩及粉砂岩中含菱铁质假鲕，具紫斑，产植物化石。</w:t>
      </w:r>
    </w:p>
    <w:p w:rsidR="00240BCE" w:rsidRDefault="00AC0334">
      <w:pPr>
        <w:snapToGrid w:val="0"/>
        <w:spacing w:line="520" w:lineRule="exact"/>
        <w:ind w:firstLineChars="200" w:firstLine="480"/>
        <w:rPr>
          <w:bCs/>
          <w:color w:val="000000"/>
          <w:sz w:val="24"/>
        </w:rPr>
      </w:pPr>
      <w:r>
        <w:rPr>
          <w:bCs/>
          <w:color w:val="000000"/>
          <w:sz w:val="24"/>
        </w:rPr>
        <w:t>2</w:t>
      </w:r>
      <w:r>
        <w:rPr>
          <w:bCs/>
          <w:color w:val="000000"/>
          <w:sz w:val="24"/>
        </w:rPr>
        <w:t>）二叠系上统（</w:t>
      </w:r>
      <w:r>
        <w:rPr>
          <w:bCs/>
          <w:color w:val="000000"/>
          <w:sz w:val="24"/>
        </w:rPr>
        <w:t>P</w:t>
      </w:r>
      <w:r>
        <w:rPr>
          <w:bCs/>
          <w:color w:val="000000"/>
          <w:sz w:val="24"/>
          <w:vertAlign w:val="subscript"/>
        </w:rPr>
        <w:t>2</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由上石盒子组、石千峰组组成。</w:t>
      </w:r>
    </w:p>
    <w:p w:rsidR="00240BCE" w:rsidRDefault="00AC0334">
      <w:pPr>
        <w:snapToGrid w:val="0"/>
        <w:spacing w:line="520" w:lineRule="exact"/>
        <w:ind w:firstLineChars="200" w:firstLine="480"/>
        <w:rPr>
          <w:bCs/>
          <w:color w:val="000000"/>
          <w:sz w:val="24"/>
        </w:rPr>
      </w:pPr>
      <w:r>
        <w:rPr>
          <w:bCs/>
          <w:color w:val="000000"/>
          <w:sz w:val="24"/>
        </w:rPr>
        <w:t>a</w:t>
      </w:r>
      <w:r>
        <w:rPr>
          <w:bCs/>
          <w:color w:val="000000"/>
          <w:sz w:val="24"/>
        </w:rPr>
        <w:t>、上石盒子组（</w:t>
      </w:r>
      <w:r>
        <w:rPr>
          <w:bCs/>
          <w:color w:val="000000"/>
          <w:sz w:val="24"/>
        </w:rPr>
        <w:t>P</w:t>
      </w:r>
      <w:r>
        <w:rPr>
          <w:bCs/>
          <w:color w:val="000000"/>
          <w:sz w:val="24"/>
          <w:vertAlign w:val="subscript"/>
        </w:rPr>
        <w:t>2</w:t>
      </w:r>
      <w:r>
        <w:rPr>
          <w:bCs/>
          <w:color w:val="000000"/>
          <w:sz w:val="24"/>
        </w:rPr>
        <w:t>s</w:t>
      </w:r>
      <w:r>
        <w:rPr>
          <w:bCs/>
          <w:color w:val="000000"/>
          <w:sz w:val="24"/>
        </w:rPr>
        <w:t>）</w:t>
      </w:r>
      <w:r>
        <w:rPr>
          <w:bCs/>
          <w:color w:val="000000"/>
          <w:sz w:val="24"/>
        </w:rPr>
        <w:cr/>
        <w:t xml:space="preserve">    </w:t>
      </w:r>
      <w:r>
        <w:rPr>
          <w:bCs/>
          <w:color w:val="000000"/>
          <w:sz w:val="24"/>
        </w:rPr>
        <w:t>自田家沟砂岩（</w:t>
      </w:r>
      <w:r>
        <w:rPr>
          <w:bCs/>
          <w:color w:val="000000"/>
          <w:sz w:val="24"/>
        </w:rPr>
        <w:t>St</w:t>
      </w:r>
      <w:r>
        <w:rPr>
          <w:bCs/>
          <w:color w:val="000000"/>
          <w:sz w:val="24"/>
        </w:rPr>
        <w:t>）底至平顶山砂岩（</w:t>
      </w:r>
      <w:r>
        <w:rPr>
          <w:bCs/>
          <w:color w:val="000000"/>
          <w:sz w:val="24"/>
        </w:rPr>
        <w:t>Sp</w:t>
      </w:r>
      <w:r>
        <w:rPr>
          <w:bCs/>
          <w:color w:val="000000"/>
          <w:sz w:val="24"/>
        </w:rPr>
        <w:t>）底，厚</w:t>
      </w:r>
      <w:r>
        <w:rPr>
          <w:bCs/>
          <w:color w:val="000000"/>
          <w:sz w:val="24"/>
        </w:rPr>
        <w:t>254.02m</w:t>
      </w:r>
      <w:r>
        <w:rPr>
          <w:bCs/>
          <w:color w:val="000000"/>
          <w:sz w:val="24"/>
        </w:rPr>
        <w:t>，分七、八、九三个煤段。与下伏地层呈整合接触。</w:t>
      </w:r>
      <w:r>
        <w:rPr>
          <w:bCs/>
          <w:color w:val="000000"/>
          <w:sz w:val="24"/>
        </w:rPr>
        <w:cr/>
        <w:t xml:space="preserve">    </w:t>
      </w:r>
      <w:r>
        <w:rPr>
          <w:bCs/>
          <w:color w:val="000000"/>
          <w:sz w:val="24"/>
        </w:rPr>
        <w:t>（</w:t>
      </w:r>
      <w:r>
        <w:rPr>
          <w:bCs/>
          <w:color w:val="000000"/>
          <w:sz w:val="24"/>
        </w:rPr>
        <w:t>1</w:t>
      </w:r>
      <w:r>
        <w:rPr>
          <w:bCs/>
          <w:color w:val="000000"/>
          <w:sz w:val="24"/>
        </w:rPr>
        <w:t>）七煤段</w:t>
      </w:r>
    </w:p>
    <w:p w:rsidR="00240BCE" w:rsidRDefault="00AC0334">
      <w:pPr>
        <w:snapToGrid w:val="0"/>
        <w:spacing w:line="520" w:lineRule="exact"/>
        <w:ind w:firstLineChars="200" w:firstLine="480"/>
        <w:rPr>
          <w:bCs/>
          <w:color w:val="000000"/>
          <w:sz w:val="24"/>
        </w:rPr>
      </w:pPr>
      <w:r>
        <w:rPr>
          <w:bCs/>
          <w:color w:val="000000"/>
          <w:sz w:val="24"/>
        </w:rPr>
        <w:t>平均</w:t>
      </w:r>
      <w:r>
        <w:rPr>
          <w:bCs/>
          <w:color w:val="000000"/>
          <w:sz w:val="24"/>
        </w:rPr>
        <w:t>93.57m</w:t>
      </w:r>
      <w:r>
        <w:rPr>
          <w:bCs/>
          <w:color w:val="000000"/>
          <w:sz w:val="24"/>
        </w:rPr>
        <w:t>，底部为田家沟砂岩（</w:t>
      </w:r>
      <w:r>
        <w:rPr>
          <w:bCs/>
          <w:color w:val="000000"/>
          <w:sz w:val="24"/>
        </w:rPr>
        <w:t>St</w:t>
      </w:r>
      <w:r>
        <w:rPr>
          <w:bCs/>
          <w:color w:val="000000"/>
          <w:sz w:val="24"/>
        </w:rPr>
        <w:t>），岩性为灰白色厚层状中～粗粒长石石英砂岩，含石英岩砾，泥硅质胶结，具交错层理，是一区域重要标志层。下、中部岩性组合特征为深灰色砂质泥岩夹灰色细粒砂岩及</w:t>
      </w:r>
      <w:r>
        <w:rPr>
          <w:bCs/>
          <w:color w:val="000000"/>
          <w:sz w:val="24"/>
        </w:rPr>
        <w:t>3</w:t>
      </w:r>
      <w:r>
        <w:rPr>
          <w:bCs/>
          <w:color w:val="000000"/>
          <w:sz w:val="24"/>
        </w:rPr>
        <w:t>～</w:t>
      </w:r>
      <w:r>
        <w:rPr>
          <w:bCs/>
          <w:color w:val="000000"/>
          <w:sz w:val="24"/>
        </w:rPr>
        <w:t>4</w:t>
      </w:r>
      <w:r>
        <w:rPr>
          <w:bCs/>
          <w:color w:val="000000"/>
          <w:sz w:val="24"/>
        </w:rPr>
        <w:t>层褐灰色薄层硅质海绵岩。中上部为灰～绿灰色泥岩、砂质泥岩夹细～中粒砂岩，含紫斑，暗斑及鲕粒，产植物化石碎片。</w:t>
      </w:r>
      <w:r>
        <w:rPr>
          <w:bCs/>
          <w:color w:val="000000"/>
          <w:sz w:val="24"/>
        </w:rPr>
        <w:cr/>
        <w:t xml:space="preserve">    </w:t>
      </w:r>
      <w:r>
        <w:rPr>
          <w:bCs/>
          <w:color w:val="000000"/>
          <w:sz w:val="24"/>
        </w:rPr>
        <w:t>（</w:t>
      </w:r>
      <w:r>
        <w:rPr>
          <w:bCs/>
          <w:color w:val="000000"/>
          <w:sz w:val="24"/>
        </w:rPr>
        <w:t>2</w:t>
      </w:r>
      <w:r>
        <w:rPr>
          <w:bCs/>
          <w:color w:val="000000"/>
          <w:sz w:val="24"/>
        </w:rPr>
        <w:t>）八煤段</w:t>
      </w:r>
    </w:p>
    <w:p w:rsidR="00240BCE" w:rsidRDefault="00AC0334">
      <w:pPr>
        <w:snapToGrid w:val="0"/>
        <w:spacing w:line="520" w:lineRule="exact"/>
        <w:ind w:firstLineChars="200" w:firstLine="480"/>
        <w:rPr>
          <w:bCs/>
          <w:color w:val="000000"/>
          <w:sz w:val="24"/>
        </w:rPr>
      </w:pPr>
      <w:r>
        <w:rPr>
          <w:bCs/>
          <w:color w:val="000000"/>
          <w:sz w:val="24"/>
        </w:rPr>
        <w:t>平均</w:t>
      </w:r>
      <w:r>
        <w:rPr>
          <w:bCs/>
          <w:color w:val="000000"/>
          <w:sz w:val="24"/>
        </w:rPr>
        <w:t>82.72m</w:t>
      </w:r>
      <w:r>
        <w:rPr>
          <w:bCs/>
          <w:color w:val="000000"/>
          <w:sz w:val="24"/>
        </w:rPr>
        <w:t>。底部为浅灰、绿灰色中粒长石石英砂岩，为七、八煤段分界标志层。下部为黑灰色砂质泥岩与细粒砂岩互层。中部为深灰色砂质泥岩夹多层硅质泥岩与中、细粒砂岩。上部为灰色砂质泥岩夹灰绿色粉、细、中粒砂岩，具紫斑与暗斑。</w:t>
      </w:r>
      <w:r>
        <w:rPr>
          <w:bCs/>
          <w:color w:val="000000"/>
          <w:sz w:val="24"/>
        </w:rPr>
        <w:cr/>
        <w:t xml:space="preserve">    </w:t>
      </w:r>
      <w:r>
        <w:rPr>
          <w:bCs/>
          <w:color w:val="000000"/>
          <w:sz w:val="24"/>
        </w:rPr>
        <w:t>（</w:t>
      </w:r>
      <w:r>
        <w:rPr>
          <w:bCs/>
          <w:color w:val="000000"/>
          <w:sz w:val="24"/>
        </w:rPr>
        <w:t>3</w:t>
      </w:r>
      <w:r>
        <w:rPr>
          <w:bCs/>
          <w:color w:val="000000"/>
          <w:sz w:val="24"/>
        </w:rPr>
        <w:t>）九煤段</w:t>
      </w:r>
    </w:p>
    <w:p w:rsidR="00240BCE" w:rsidRDefault="00AC0334">
      <w:pPr>
        <w:snapToGrid w:val="0"/>
        <w:spacing w:line="520" w:lineRule="exact"/>
        <w:ind w:firstLineChars="200" w:firstLine="480"/>
        <w:rPr>
          <w:bCs/>
          <w:color w:val="000000"/>
          <w:sz w:val="24"/>
        </w:rPr>
      </w:pPr>
      <w:r>
        <w:rPr>
          <w:bCs/>
          <w:color w:val="000000"/>
          <w:sz w:val="24"/>
        </w:rPr>
        <w:t>平均</w:t>
      </w:r>
      <w:r>
        <w:rPr>
          <w:bCs/>
          <w:color w:val="000000"/>
          <w:sz w:val="24"/>
        </w:rPr>
        <w:t>77.73m</w:t>
      </w:r>
      <w:r>
        <w:rPr>
          <w:bCs/>
          <w:color w:val="000000"/>
          <w:sz w:val="24"/>
        </w:rPr>
        <w:t>。底部为灰白、灰绿色细～粗粒岩屑长石石英砂岩，泥硅质胶结，分选较差，含白云母、泥砾及石英岩砾，正粒序，具交错层理，俗称大风口砂岩，</w:t>
      </w:r>
      <w:r>
        <w:rPr>
          <w:bCs/>
          <w:color w:val="000000"/>
          <w:sz w:val="24"/>
        </w:rPr>
        <w:lastRenderedPageBreak/>
        <w:t>为八、九煤段分界标志。中部为灰色砂质泥岩、泥岩夹</w:t>
      </w:r>
      <w:r>
        <w:rPr>
          <w:bCs/>
          <w:color w:val="000000"/>
          <w:sz w:val="24"/>
        </w:rPr>
        <w:t>2</w:t>
      </w:r>
      <w:r>
        <w:rPr>
          <w:bCs/>
          <w:color w:val="000000"/>
          <w:sz w:val="24"/>
        </w:rPr>
        <w:t>～</w:t>
      </w:r>
      <w:r>
        <w:rPr>
          <w:bCs/>
          <w:color w:val="000000"/>
          <w:sz w:val="24"/>
        </w:rPr>
        <w:t>4</w:t>
      </w:r>
      <w:r>
        <w:rPr>
          <w:bCs/>
          <w:color w:val="000000"/>
          <w:sz w:val="24"/>
        </w:rPr>
        <w:t>层中粒长石石英砂岩，具煤层层位</w:t>
      </w:r>
      <w:r>
        <w:rPr>
          <w:bCs/>
          <w:color w:val="000000"/>
          <w:sz w:val="24"/>
        </w:rPr>
        <w:t>(</w:t>
      </w:r>
      <w:r>
        <w:rPr>
          <w:bCs/>
          <w:color w:val="000000"/>
          <w:sz w:val="24"/>
        </w:rPr>
        <w:t>煤线或炭质泥岩</w:t>
      </w:r>
      <w:r>
        <w:rPr>
          <w:bCs/>
          <w:color w:val="000000"/>
          <w:sz w:val="24"/>
        </w:rPr>
        <w:t>)</w:t>
      </w:r>
      <w:r>
        <w:rPr>
          <w:bCs/>
          <w:color w:val="000000"/>
          <w:sz w:val="24"/>
        </w:rPr>
        <w:t>。上部以紫灰、绿灰色具紫斑泥岩为主，夹浅灰色砂岩。</w:t>
      </w:r>
      <w:r>
        <w:rPr>
          <w:bCs/>
          <w:color w:val="000000"/>
          <w:sz w:val="24"/>
        </w:rPr>
        <w:cr/>
        <w:t xml:space="preserve">   b</w:t>
      </w:r>
      <w:r>
        <w:rPr>
          <w:bCs/>
          <w:color w:val="000000"/>
          <w:sz w:val="24"/>
        </w:rPr>
        <w:t>、石千峰组（</w:t>
      </w:r>
      <w:r>
        <w:rPr>
          <w:bCs/>
          <w:color w:val="000000"/>
          <w:sz w:val="24"/>
        </w:rPr>
        <w:t>P</w:t>
      </w:r>
      <w:r>
        <w:rPr>
          <w:bCs/>
          <w:color w:val="000000"/>
          <w:sz w:val="24"/>
          <w:vertAlign w:val="subscript"/>
        </w:rPr>
        <w:t>2</w:t>
      </w:r>
      <w:r>
        <w:rPr>
          <w:bCs/>
          <w:color w:val="000000"/>
          <w:sz w:val="24"/>
        </w:rPr>
        <w:t>sh</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平行不整合于</w:t>
      </w:r>
      <w:r>
        <w:rPr>
          <w:bCs/>
          <w:color w:val="000000"/>
          <w:sz w:val="24"/>
        </w:rPr>
        <w:t>P</w:t>
      </w:r>
      <w:r>
        <w:rPr>
          <w:bCs/>
          <w:color w:val="000000"/>
          <w:sz w:val="24"/>
          <w:vertAlign w:val="subscript"/>
        </w:rPr>
        <w:t>2</w:t>
      </w:r>
      <w:r>
        <w:rPr>
          <w:bCs/>
          <w:color w:val="000000"/>
          <w:sz w:val="24"/>
        </w:rPr>
        <w:t>s</w:t>
      </w:r>
      <w:r>
        <w:rPr>
          <w:bCs/>
          <w:color w:val="000000"/>
          <w:sz w:val="24"/>
        </w:rPr>
        <w:t>之上。自平顶山砂岩底至金斗山砂岩底，分平顶山段与土门段。区内仅保留平顶山段（</w:t>
      </w:r>
      <w:r>
        <w:rPr>
          <w:bCs/>
          <w:color w:val="000000"/>
          <w:sz w:val="24"/>
        </w:rPr>
        <w:t>P</w:t>
      </w:r>
      <w:r>
        <w:rPr>
          <w:bCs/>
          <w:color w:val="000000"/>
          <w:sz w:val="24"/>
          <w:vertAlign w:val="subscript"/>
        </w:rPr>
        <w:t>2</w:t>
      </w:r>
      <w:r>
        <w:rPr>
          <w:bCs/>
          <w:color w:val="000000"/>
          <w:sz w:val="24"/>
        </w:rPr>
        <w:t>sh</w:t>
      </w:r>
      <w:r>
        <w:rPr>
          <w:bCs/>
          <w:color w:val="000000"/>
          <w:sz w:val="24"/>
          <w:vertAlign w:val="subscript"/>
        </w:rPr>
        <w:t>1</w:t>
      </w:r>
      <w:r>
        <w:rPr>
          <w:bCs/>
          <w:color w:val="000000"/>
          <w:sz w:val="24"/>
        </w:rPr>
        <w:t>）部分地层。平均厚</w:t>
      </w:r>
      <w:r>
        <w:rPr>
          <w:bCs/>
          <w:color w:val="000000"/>
          <w:sz w:val="24"/>
        </w:rPr>
        <w:t>66.44m</w:t>
      </w:r>
      <w:r>
        <w:rPr>
          <w:bCs/>
          <w:color w:val="000000"/>
          <w:sz w:val="24"/>
        </w:rPr>
        <w:t>，呈单面山在区南东部边界出露。岩性为浅灰、灰白色厚～巨厚层状中、粗粒长石石英砂岩，硅质胶结，磨圆度中等，分选较差，底部含石英岩砾及燧石砾，具交错与韵律层理，正粒序，为区域重要标志层。</w:t>
      </w:r>
    </w:p>
    <w:p w:rsidR="00240BCE" w:rsidRDefault="00AC0334">
      <w:pPr>
        <w:snapToGrid w:val="0"/>
        <w:spacing w:line="520" w:lineRule="exact"/>
        <w:ind w:firstLineChars="200" w:firstLine="480"/>
        <w:rPr>
          <w:bCs/>
          <w:color w:val="000000"/>
          <w:sz w:val="24"/>
        </w:rPr>
      </w:pPr>
      <w:r>
        <w:rPr>
          <w:bCs/>
          <w:color w:val="000000"/>
          <w:sz w:val="24"/>
        </w:rPr>
        <w:t>4</w:t>
      </w:r>
      <w:r>
        <w:rPr>
          <w:bCs/>
          <w:color w:val="000000"/>
          <w:sz w:val="24"/>
        </w:rPr>
        <w:t>、第四系（</w:t>
      </w:r>
      <w:r>
        <w:rPr>
          <w:bCs/>
          <w:color w:val="000000"/>
          <w:sz w:val="24"/>
        </w:rPr>
        <w:t>Q</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主要由黄土、粘土、砂质粘土等松散堆积物组成，次为砾石、卵石层及未胶结的洪积、坡积物。与下伏地层均呈不整合接触，厚</w:t>
      </w:r>
      <w:r>
        <w:rPr>
          <w:bCs/>
          <w:color w:val="000000"/>
          <w:sz w:val="24"/>
        </w:rPr>
        <w:t>0</w:t>
      </w:r>
      <w:r>
        <w:rPr>
          <w:bCs/>
          <w:color w:val="000000"/>
          <w:sz w:val="24"/>
        </w:rPr>
        <w:t>～</w:t>
      </w:r>
      <w:r>
        <w:rPr>
          <w:bCs/>
          <w:color w:val="000000"/>
          <w:sz w:val="24"/>
        </w:rPr>
        <w:t>35.00m</w:t>
      </w:r>
      <w:r>
        <w:rPr>
          <w:bCs/>
          <w:color w:val="000000"/>
          <w:sz w:val="24"/>
        </w:rPr>
        <w:t>，平均厚度</w:t>
      </w:r>
      <w:r>
        <w:rPr>
          <w:bCs/>
          <w:color w:val="000000"/>
          <w:sz w:val="24"/>
        </w:rPr>
        <w:t>10.65m</w:t>
      </w:r>
      <w:r>
        <w:rPr>
          <w:bCs/>
          <w:color w:val="000000"/>
          <w:sz w:val="24"/>
        </w:rPr>
        <w:t>。</w:t>
      </w:r>
    </w:p>
    <w:p w:rsidR="00240BCE" w:rsidRDefault="00AC0334">
      <w:pPr>
        <w:spacing w:line="520" w:lineRule="exact"/>
        <w:rPr>
          <w:b/>
          <w:bCs/>
          <w:color w:val="000000"/>
          <w:sz w:val="24"/>
        </w:rPr>
      </w:pPr>
      <w:bookmarkStart w:id="531" w:name="_Toc481012203"/>
      <w:bookmarkStart w:id="532" w:name="_Toc114562593"/>
      <w:bookmarkStart w:id="533" w:name="_Toc73496638"/>
      <w:bookmarkStart w:id="534" w:name="_Toc110781065"/>
      <w:r>
        <w:rPr>
          <w:b/>
          <w:bCs/>
          <w:color w:val="000000"/>
          <w:sz w:val="24"/>
        </w:rPr>
        <w:t>（二）构造</w:t>
      </w:r>
      <w:bookmarkEnd w:id="531"/>
      <w:bookmarkEnd w:id="532"/>
      <w:bookmarkEnd w:id="533"/>
      <w:bookmarkEnd w:id="534"/>
    </w:p>
    <w:p w:rsidR="00240BCE" w:rsidRDefault="00AC0334">
      <w:pPr>
        <w:snapToGrid w:val="0"/>
        <w:spacing w:line="520" w:lineRule="exact"/>
        <w:ind w:firstLineChars="200" w:firstLine="480"/>
        <w:rPr>
          <w:bCs/>
          <w:color w:val="000000"/>
          <w:sz w:val="24"/>
        </w:rPr>
      </w:pPr>
      <w:r>
        <w:rPr>
          <w:bCs/>
          <w:color w:val="000000"/>
          <w:sz w:val="24"/>
        </w:rPr>
        <w:t>矿区位于华北板块南部之嵩箕构造区东南，构造位置处在箕山背斜南翼上发育的次级构造白沙向斜的南西翼，属以拉张作用为主的张应力作用区，发育张扭性断裂。这些断层构成了矿区主要构造格局，同时也破坏了区内二</w:t>
      </w:r>
      <w:r>
        <w:rPr>
          <w:bCs/>
          <w:color w:val="000000"/>
          <w:sz w:val="24"/>
          <w:vertAlign w:val="subscript"/>
        </w:rPr>
        <w:t>1</w:t>
      </w:r>
      <w:r>
        <w:rPr>
          <w:bCs/>
          <w:color w:val="000000"/>
          <w:sz w:val="24"/>
        </w:rPr>
        <w:t>煤层的连续性。矿区整体构造形态呈单斜状，地层走向大体呈北东～南西向，倾向南东，倾角</w:t>
      </w:r>
      <w:r>
        <w:rPr>
          <w:bCs/>
          <w:color w:val="000000"/>
          <w:sz w:val="24"/>
        </w:rPr>
        <w:t>20</w:t>
      </w:r>
      <w:r>
        <w:rPr>
          <w:bCs/>
          <w:color w:val="000000"/>
          <w:sz w:val="24"/>
        </w:rPr>
        <w:t>～</w:t>
      </w:r>
      <w:r>
        <w:rPr>
          <w:bCs/>
          <w:color w:val="000000"/>
          <w:sz w:val="24"/>
        </w:rPr>
        <w:t>30°</w:t>
      </w:r>
      <w:r>
        <w:rPr>
          <w:bCs/>
          <w:color w:val="000000"/>
          <w:sz w:val="24"/>
        </w:rPr>
        <w:t>，构造组合规律以北东、北西向断层（均为正断层）为主，在矿区南部见小型</w:t>
      </w:r>
      <w:r>
        <w:rPr>
          <w:bCs/>
          <w:color w:val="000000"/>
          <w:sz w:val="24"/>
        </w:rPr>
        <w:t>HF</w:t>
      </w:r>
      <w:r>
        <w:rPr>
          <w:bCs/>
          <w:color w:val="000000"/>
          <w:sz w:val="24"/>
          <w:vertAlign w:val="subscript"/>
        </w:rPr>
        <w:t>0</w:t>
      </w:r>
      <w:r>
        <w:rPr>
          <w:bCs/>
          <w:color w:val="000000"/>
          <w:sz w:val="24"/>
        </w:rPr>
        <w:t>滑体（详见矿区地形地质图），构造复杂程度属中等类型。</w:t>
      </w:r>
    </w:p>
    <w:p w:rsidR="00240BCE" w:rsidRDefault="00AC0334">
      <w:pPr>
        <w:snapToGrid w:val="0"/>
        <w:spacing w:line="520" w:lineRule="exact"/>
        <w:ind w:firstLineChars="200" w:firstLine="480"/>
        <w:rPr>
          <w:bCs/>
          <w:color w:val="000000"/>
          <w:sz w:val="24"/>
        </w:rPr>
      </w:pPr>
      <w:r>
        <w:rPr>
          <w:bCs/>
          <w:color w:val="000000"/>
          <w:sz w:val="24"/>
        </w:rPr>
        <w:t>本矿井及外围未见到岩浆岩。</w:t>
      </w:r>
    </w:p>
    <w:p w:rsidR="00240BCE" w:rsidRDefault="00AC0334" w:rsidP="009C5F33">
      <w:pPr>
        <w:pStyle w:val="30"/>
        <w:adjustRightInd w:val="0"/>
        <w:snapToGrid w:val="0"/>
        <w:spacing w:beforeLines="70" w:afterLines="30" w:line="240" w:lineRule="auto"/>
        <w:jc w:val="left"/>
        <w:rPr>
          <w:rFonts w:eastAsia="楷体"/>
          <w:sz w:val="28"/>
          <w:szCs w:val="28"/>
        </w:rPr>
      </w:pPr>
      <w:bookmarkStart w:id="535" w:name="_Toc79668706"/>
      <w:bookmarkStart w:id="536" w:name="_Toc7339_WPSOffice_Level3"/>
      <w:r>
        <w:rPr>
          <w:rFonts w:eastAsia="楷体"/>
          <w:sz w:val="28"/>
          <w:szCs w:val="28"/>
        </w:rPr>
        <w:t xml:space="preserve">6.3.2 </w:t>
      </w:r>
      <w:r>
        <w:rPr>
          <w:rFonts w:eastAsia="楷体"/>
          <w:sz w:val="28"/>
          <w:szCs w:val="28"/>
        </w:rPr>
        <w:t>水文地质条件</w:t>
      </w:r>
      <w:bookmarkEnd w:id="535"/>
      <w:bookmarkEnd w:id="536"/>
    </w:p>
    <w:p w:rsidR="00240BCE" w:rsidRDefault="00AC0334">
      <w:pPr>
        <w:spacing w:line="520" w:lineRule="exact"/>
        <w:rPr>
          <w:sz w:val="24"/>
        </w:rPr>
      </w:pPr>
      <w:r>
        <w:rPr>
          <w:sz w:val="24"/>
        </w:rPr>
        <w:t>6.3.2.1</w:t>
      </w:r>
      <w:r>
        <w:rPr>
          <w:sz w:val="24"/>
        </w:rPr>
        <w:t>区域水文地质概况</w:t>
      </w:r>
    </w:p>
    <w:p w:rsidR="00240BCE" w:rsidRDefault="00AC0334">
      <w:pPr>
        <w:spacing w:line="520" w:lineRule="exact"/>
        <w:rPr>
          <w:b/>
          <w:bCs/>
          <w:color w:val="000000"/>
          <w:sz w:val="24"/>
        </w:rPr>
      </w:pPr>
      <w:bookmarkStart w:id="537" w:name="_Toc24791277"/>
      <w:bookmarkStart w:id="538" w:name="_Toc24791325"/>
      <w:r>
        <w:rPr>
          <w:b/>
          <w:bCs/>
          <w:color w:val="000000"/>
          <w:sz w:val="24"/>
        </w:rPr>
        <w:t>1</w:t>
      </w:r>
      <w:r>
        <w:rPr>
          <w:b/>
          <w:bCs/>
          <w:color w:val="000000"/>
          <w:sz w:val="24"/>
        </w:rPr>
        <w:t>、区域水文地质</w:t>
      </w:r>
    </w:p>
    <w:p w:rsidR="00240BCE" w:rsidRDefault="00AC0334">
      <w:pPr>
        <w:spacing w:line="520" w:lineRule="exact"/>
        <w:ind w:firstLineChars="200" w:firstLine="480"/>
        <w:rPr>
          <w:bCs/>
          <w:color w:val="000000"/>
          <w:sz w:val="24"/>
        </w:rPr>
      </w:pPr>
      <w:bookmarkStart w:id="539" w:name="_Toc482195897"/>
      <w:r>
        <w:rPr>
          <w:bCs/>
          <w:color w:val="000000"/>
          <w:sz w:val="24"/>
        </w:rPr>
        <w:t xml:space="preserve">⑴ </w:t>
      </w:r>
      <w:r>
        <w:rPr>
          <w:bCs/>
          <w:color w:val="000000"/>
          <w:sz w:val="24"/>
        </w:rPr>
        <w:t>含水层的水文地质特征</w:t>
      </w:r>
      <w:bookmarkEnd w:id="539"/>
    </w:p>
    <w:p w:rsidR="00240BCE" w:rsidRDefault="00AC0334">
      <w:pPr>
        <w:snapToGrid w:val="0"/>
        <w:spacing w:line="520" w:lineRule="exact"/>
        <w:ind w:firstLineChars="225" w:firstLine="540"/>
        <w:rPr>
          <w:bCs/>
          <w:color w:val="000000"/>
          <w:sz w:val="24"/>
        </w:rPr>
      </w:pPr>
      <w:r>
        <w:rPr>
          <w:bCs/>
          <w:color w:val="000000"/>
          <w:sz w:val="24"/>
        </w:rPr>
        <w:t>整个禹县煤田属箕山南麓褶皱断裂构造水文地质区，磨街～梁北水文地质亚区单元。根据区域水文地质图（附图</w:t>
      </w:r>
      <w:r>
        <w:rPr>
          <w:bCs/>
          <w:color w:val="000000"/>
          <w:sz w:val="24"/>
        </w:rPr>
        <w:t>13</w:t>
      </w:r>
      <w:r>
        <w:rPr>
          <w:bCs/>
          <w:color w:val="000000"/>
          <w:sz w:val="24"/>
        </w:rPr>
        <w:t>），本区域水文地质单元划分为五个分区，分别</w:t>
      </w:r>
      <w:r>
        <w:rPr>
          <w:bCs/>
          <w:color w:val="000000"/>
          <w:sz w:val="24"/>
        </w:rPr>
        <w:lastRenderedPageBreak/>
        <w:t>为裂隙潜水补给区（</w:t>
      </w:r>
      <w:r>
        <w:rPr>
          <w:bCs/>
          <w:color w:val="000000"/>
          <w:sz w:val="24"/>
        </w:rPr>
        <w:t>Ⅰ</w:t>
      </w:r>
      <w:r>
        <w:rPr>
          <w:bCs/>
          <w:color w:val="000000"/>
          <w:sz w:val="24"/>
        </w:rPr>
        <w:t>）、岩溶裂隙水径流区（</w:t>
      </w:r>
      <w:r>
        <w:rPr>
          <w:bCs/>
          <w:color w:val="000000"/>
          <w:sz w:val="24"/>
        </w:rPr>
        <w:t>Ⅱ</w:t>
      </w:r>
      <w:r>
        <w:rPr>
          <w:bCs/>
          <w:color w:val="000000"/>
          <w:sz w:val="24"/>
        </w:rPr>
        <w:t>）、岩溶裂隙径流排泄区（</w:t>
      </w:r>
      <w:r>
        <w:rPr>
          <w:bCs/>
          <w:color w:val="000000"/>
          <w:sz w:val="24"/>
        </w:rPr>
        <w:t>Ⅲ</w:t>
      </w:r>
      <w:r>
        <w:rPr>
          <w:bCs/>
          <w:color w:val="000000"/>
          <w:sz w:val="24"/>
        </w:rPr>
        <w:t>～</w:t>
      </w:r>
      <w:r>
        <w:rPr>
          <w:bCs/>
          <w:color w:val="000000"/>
          <w:sz w:val="24"/>
        </w:rPr>
        <w:t>Ⅳ</w:t>
      </w:r>
      <w:r>
        <w:rPr>
          <w:bCs/>
          <w:color w:val="000000"/>
          <w:sz w:val="24"/>
        </w:rPr>
        <w:t>）、岩溶裂隙深埋区（</w:t>
      </w:r>
      <w:r>
        <w:rPr>
          <w:bCs/>
          <w:color w:val="000000"/>
          <w:sz w:val="24"/>
        </w:rPr>
        <w:t>Ⅴ</w:t>
      </w:r>
      <w:r>
        <w:rPr>
          <w:bCs/>
          <w:color w:val="000000"/>
          <w:sz w:val="24"/>
        </w:rPr>
        <w:t>）。</w:t>
      </w:r>
    </w:p>
    <w:p w:rsidR="00240BCE" w:rsidRDefault="00AC0334">
      <w:pPr>
        <w:snapToGrid w:val="0"/>
        <w:spacing w:line="520" w:lineRule="exact"/>
        <w:ind w:firstLineChars="225" w:firstLine="540"/>
        <w:rPr>
          <w:bCs/>
          <w:color w:val="000000"/>
          <w:sz w:val="24"/>
        </w:rPr>
      </w:pPr>
      <w:r>
        <w:rPr>
          <w:bCs/>
          <w:color w:val="000000"/>
          <w:sz w:val="24"/>
        </w:rPr>
        <w:t>本矿区处于区域水文地质单元的</w:t>
      </w:r>
      <w:r>
        <w:rPr>
          <w:bCs/>
          <w:color w:val="000000"/>
          <w:sz w:val="24"/>
        </w:rPr>
        <w:t>Ⅳ1</w:t>
      </w:r>
      <w:r>
        <w:rPr>
          <w:bCs/>
          <w:color w:val="000000"/>
          <w:sz w:val="24"/>
        </w:rPr>
        <w:t>区，为岩溶裂隙径流排泄区，地下水在区内及周边的基岩露头区接受大气降水的补给，通过岩溶裂隙补给含水层，区域上地下水自西向东迳流根据岩性、岩层组合关系和富水性，区域上主要含水层有：</w:t>
      </w:r>
    </w:p>
    <w:p w:rsidR="00240BCE" w:rsidRDefault="00AC0334" w:rsidP="00DB51A2">
      <w:pPr>
        <w:snapToGrid w:val="0"/>
        <w:spacing w:line="520" w:lineRule="exact"/>
        <w:ind w:leftChars="200" w:left="560"/>
        <w:rPr>
          <w:bCs/>
          <w:color w:val="000000"/>
          <w:sz w:val="24"/>
        </w:rPr>
      </w:pPr>
      <w:r>
        <w:rPr>
          <w:sz w:val="24"/>
        </w:rPr>
        <w:t>①</w:t>
      </w:r>
      <w:r>
        <w:rPr>
          <w:bCs/>
          <w:color w:val="000000"/>
          <w:sz w:val="24"/>
        </w:rPr>
        <w:t>前寒武系裂隙含水层</w:t>
      </w:r>
    </w:p>
    <w:p w:rsidR="00240BCE" w:rsidRDefault="00AC0334">
      <w:pPr>
        <w:snapToGrid w:val="0"/>
        <w:spacing w:line="520" w:lineRule="exact"/>
        <w:ind w:firstLineChars="200" w:firstLine="480"/>
        <w:rPr>
          <w:bCs/>
          <w:color w:val="000000"/>
          <w:sz w:val="24"/>
        </w:rPr>
      </w:pPr>
      <w:r>
        <w:rPr>
          <w:bCs/>
          <w:color w:val="000000"/>
          <w:sz w:val="24"/>
        </w:rPr>
        <w:t>发育在下元古界汝阳群、上元古界洛峪群与震旦系罗圈组地层中，出露于蔡寺</w:t>
      </w:r>
      <w:r>
        <w:rPr>
          <w:bCs/>
          <w:color w:val="000000"/>
          <w:sz w:val="24"/>
        </w:rPr>
        <w:t>~</w:t>
      </w:r>
      <w:r>
        <w:rPr>
          <w:bCs/>
          <w:color w:val="000000"/>
          <w:sz w:val="24"/>
        </w:rPr>
        <w:t>白沙区的北部、西部及西南部，主要岩性为石英砂岩、石英岩、片岩、白云质灰岩、砂砾岩、冰碛砾岩等，是地下水储存和活动的主要含水层，泉水流量多小于</w:t>
      </w:r>
      <w:r>
        <w:rPr>
          <w:bCs/>
          <w:color w:val="000000"/>
          <w:sz w:val="24"/>
        </w:rPr>
        <w:t>1.00L/s</w:t>
      </w:r>
      <w:r>
        <w:rPr>
          <w:bCs/>
          <w:color w:val="000000"/>
          <w:sz w:val="24"/>
        </w:rPr>
        <w:t>，个别</w:t>
      </w:r>
      <w:r>
        <w:rPr>
          <w:bCs/>
          <w:color w:val="000000"/>
          <w:sz w:val="24"/>
        </w:rPr>
        <w:t>5.61L/s</w:t>
      </w:r>
      <w:r>
        <w:rPr>
          <w:bCs/>
          <w:color w:val="000000"/>
          <w:sz w:val="24"/>
        </w:rPr>
        <w:t>，季节性变化明显，地下水化学类型为</w:t>
      </w:r>
      <w:r>
        <w:rPr>
          <w:bCs/>
          <w:color w:val="000000"/>
          <w:sz w:val="24"/>
        </w:rPr>
        <w:t>HCO</w:t>
      </w:r>
      <w:r>
        <w:rPr>
          <w:bCs/>
          <w:color w:val="000000"/>
          <w:sz w:val="24"/>
          <w:vertAlign w:val="subscript"/>
        </w:rPr>
        <w:t>3</w:t>
      </w:r>
      <w:r>
        <w:rPr>
          <w:bCs/>
          <w:color w:val="000000"/>
          <w:sz w:val="24"/>
        </w:rPr>
        <w:t>-Ca</w:t>
      </w:r>
      <w:r>
        <w:rPr>
          <w:bCs/>
          <w:color w:val="000000"/>
          <w:sz w:val="24"/>
        </w:rPr>
        <w:t>型和</w:t>
      </w:r>
      <w:r>
        <w:rPr>
          <w:bCs/>
          <w:color w:val="000000"/>
          <w:sz w:val="24"/>
        </w:rPr>
        <w:t>HCO</w:t>
      </w:r>
      <w:r>
        <w:rPr>
          <w:bCs/>
          <w:color w:val="000000"/>
          <w:sz w:val="24"/>
          <w:vertAlign w:val="subscript"/>
        </w:rPr>
        <w:t>3</w:t>
      </w:r>
      <w:r>
        <w:rPr>
          <w:bCs/>
          <w:color w:val="000000"/>
          <w:sz w:val="24"/>
        </w:rPr>
        <w:t>-Ca·Mg</w:t>
      </w:r>
      <w:r>
        <w:rPr>
          <w:bCs/>
          <w:color w:val="000000"/>
          <w:sz w:val="24"/>
        </w:rPr>
        <w:t>型。该含水层段的富水性普遍较弱，且远离煤层，对开采煤层无大影响。</w:t>
      </w:r>
    </w:p>
    <w:p w:rsidR="00240BCE" w:rsidRDefault="00AC0334">
      <w:pPr>
        <w:pStyle w:val="a1"/>
        <w:spacing w:after="0" w:line="520" w:lineRule="exact"/>
        <w:ind w:firstLineChars="200" w:firstLine="480"/>
        <w:rPr>
          <w:sz w:val="24"/>
        </w:rPr>
      </w:pPr>
      <w:r>
        <w:rPr>
          <w:sz w:val="24"/>
        </w:rPr>
        <w:t>②</w:t>
      </w:r>
      <w:r>
        <w:rPr>
          <w:sz w:val="24"/>
        </w:rPr>
        <w:t>寒武系下统岩溶裂隙含水层</w:t>
      </w:r>
    </w:p>
    <w:p w:rsidR="00240BCE" w:rsidRDefault="00AC0334">
      <w:pPr>
        <w:pStyle w:val="a1"/>
        <w:spacing w:after="0" w:line="520" w:lineRule="exact"/>
        <w:ind w:firstLineChars="200" w:firstLine="480"/>
        <w:rPr>
          <w:sz w:val="24"/>
        </w:rPr>
      </w:pPr>
      <w:r>
        <w:rPr>
          <w:sz w:val="24"/>
        </w:rPr>
        <w:t>出露于蔡寺</w:t>
      </w:r>
      <w:r>
        <w:rPr>
          <w:sz w:val="24"/>
        </w:rPr>
        <w:t>~</w:t>
      </w:r>
      <w:r>
        <w:rPr>
          <w:sz w:val="24"/>
        </w:rPr>
        <w:t>白沙区西部和北部山区，主要由泥灰岩、砂砾岩和豹皮灰岩组成，厚</w:t>
      </w:r>
      <w:r>
        <w:rPr>
          <w:sz w:val="24"/>
        </w:rPr>
        <w:t>65.00m</w:t>
      </w:r>
      <w:r>
        <w:rPr>
          <w:sz w:val="24"/>
        </w:rPr>
        <w:t>，岩溶裂隙较发育，泉水流量</w:t>
      </w:r>
      <w:r>
        <w:rPr>
          <w:sz w:val="24"/>
        </w:rPr>
        <w:t>0.06~4.77 L/s</w:t>
      </w:r>
      <w:r>
        <w:rPr>
          <w:sz w:val="24"/>
        </w:rPr>
        <w:t>，富水性不均一，地下水化学类型</w:t>
      </w:r>
      <w:r>
        <w:rPr>
          <w:sz w:val="24"/>
        </w:rPr>
        <w:t>HCO</w:t>
      </w:r>
      <w:r>
        <w:rPr>
          <w:sz w:val="24"/>
          <w:vertAlign w:val="subscript"/>
        </w:rPr>
        <w:t>3</w:t>
      </w:r>
      <w:r>
        <w:rPr>
          <w:sz w:val="24"/>
        </w:rPr>
        <w:t>-Ca·Mg</w:t>
      </w:r>
      <w:r>
        <w:rPr>
          <w:sz w:val="24"/>
        </w:rPr>
        <w:t>型和</w:t>
      </w:r>
      <w:r>
        <w:rPr>
          <w:sz w:val="24"/>
        </w:rPr>
        <w:t>HCO</w:t>
      </w:r>
      <w:r>
        <w:rPr>
          <w:sz w:val="24"/>
          <w:vertAlign w:val="subscript"/>
        </w:rPr>
        <w:t>3</w:t>
      </w:r>
      <w:r>
        <w:rPr>
          <w:sz w:val="24"/>
        </w:rPr>
        <w:t>-Na</w:t>
      </w:r>
      <w:r>
        <w:rPr>
          <w:sz w:val="24"/>
        </w:rPr>
        <w:t>型。由于该含水层上覆的馒头组页岩可起到隔水层作用，故一般对采煤无直接影响。</w:t>
      </w:r>
    </w:p>
    <w:p w:rsidR="00240BCE" w:rsidRDefault="00AC0334">
      <w:pPr>
        <w:pStyle w:val="a1"/>
        <w:spacing w:after="0" w:line="520" w:lineRule="exact"/>
        <w:ind w:firstLineChars="200" w:firstLine="480"/>
        <w:rPr>
          <w:sz w:val="24"/>
        </w:rPr>
      </w:pPr>
      <w:r>
        <w:rPr>
          <w:sz w:val="24"/>
        </w:rPr>
        <w:t>③</w:t>
      </w:r>
      <w:r>
        <w:rPr>
          <w:sz w:val="24"/>
        </w:rPr>
        <w:t>寒武系中上统及奥陶系中统岩溶裂隙含水层</w:t>
      </w:r>
    </w:p>
    <w:p w:rsidR="00240BCE" w:rsidRDefault="00AC0334">
      <w:pPr>
        <w:pStyle w:val="a1"/>
        <w:spacing w:after="0" w:line="520" w:lineRule="exact"/>
        <w:ind w:firstLineChars="200" w:firstLine="480"/>
        <w:rPr>
          <w:sz w:val="24"/>
        </w:rPr>
      </w:pPr>
      <w:r>
        <w:rPr>
          <w:sz w:val="24"/>
        </w:rPr>
        <w:t>主要由张夏组至马家沟组之间的鲕状灰岩、豹皮灰岩、白云质灰岩和石灰岩组成，其中寒武系中上统灰岩出露广泛，分布普遍，奥陶系中统灰岩局限于方山</w:t>
      </w:r>
      <w:r>
        <w:rPr>
          <w:sz w:val="24"/>
        </w:rPr>
        <w:t>~</w:t>
      </w:r>
      <w:r>
        <w:rPr>
          <w:sz w:val="24"/>
        </w:rPr>
        <w:t>浅井一线以北。岩溶裂隙较发育，泉水流量多在</w:t>
      </w:r>
      <w:r>
        <w:rPr>
          <w:sz w:val="24"/>
        </w:rPr>
        <w:t>1.00L/s</w:t>
      </w:r>
      <w:r>
        <w:rPr>
          <w:sz w:val="24"/>
        </w:rPr>
        <w:t>以上，个别大泉（如柏树嘴泉群）流量高达</w:t>
      </w:r>
      <w:r>
        <w:rPr>
          <w:sz w:val="24"/>
        </w:rPr>
        <w:t>137.00L/s</w:t>
      </w:r>
      <w:r>
        <w:rPr>
          <w:sz w:val="24"/>
        </w:rPr>
        <w:t>。据钻孔抽水试验，单位涌水量</w:t>
      </w:r>
      <w:r>
        <w:rPr>
          <w:sz w:val="24"/>
        </w:rPr>
        <w:t>0.0196~0. 509L/s·m</w:t>
      </w:r>
      <w:r>
        <w:rPr>
          <w:sz w:val="24"/>
        </w:rPr>
        <w:t>，渗透系数</w:t>
      </w:r>
      <w:r>
        <w:rPr>
          <w:sz w:val="24"/>
        </w:rPr>
        <w:t>0.00075~3.104m/d</w:t>
      </w:r>
      <w:r>
        <w:rPr>
          <w:sz w:val="24"/>
        </w:rPr>
        <w:t>，水位标高</w:t>
      </w:r>
      <w:r>
        <w:rPr>
          <w:sz w:val="24"/>
        </w:rPr>
        <w:t>140.63~265.09m</w:t>
      </w:r>
      <w:r>
        <w:rPr>
          <w:sz w:val="24"/>
        </w:rPr>
        <w:t>，富水性不均一，地下水化学类型为</w:t>
      </w:r>
      <w:r>
        <w:rPr>
          <w:sz w:val="24"/>
        </w:rPr>
        <w:t>HCO</w:t>
      </w:r>
      <w:r>
        <w:rPr>
          <w:sz w:val="24"/>
          <w:vertAlign w:val="subscript"/>
        </w:rPr>
        <w:t>3</w:t>
      </w:r>
      <w:r>
        <w:rPr>
          <w:sz w:val="24"/>
        </w:rPr>
        <w:t>-Ca·Mg</w:t>
      </w:r>
      <w:r>
        <w:rPr>
          <w:sz w:val="24"/>
        </w:rPr>
        <w:t>型、</w:t>
      </w:r>
      <w:r>
        <w:rPr>
          <w:sz w:val="24"/>
        </w:rPr>
        <w:t>HCO</w:t>
      </w:r>
      <w:r>
        <w:rPr>
          <w:sz w:val="24"/>
          <w:vertAlign w:val="subscript"/>
        </w:rPr>
        <w:t>3</w:t>
      </w:r>
      <w:r>
        <w:rPr>
          <w:sz w:val="24"/>
        </w:rPr>
        <w:t>-Ca</w:t>
      </w:r>
      <w:r>
        <w:rPr>
          <w:sz w:val="24"/>
        </w:rPr>
        <w:t>型和</w:t>
      </w:r>
      <w:r>
        <w:rPr>
          <w:sz w:val="24"/>
        </w:rPr>
        <w:t>HCO</w:t>
      </w:r>
      <w:r>
        <w:rPr>
          <w:sz w:val="24"/>
          <w:vertAlign w:val="subscript"/>
        </w:rPr>
        <w:t>3</w:t>
      </w:r>
      <w:r>
        <w:rPr>
          <w:sz w:val="24"/>
        </w:rPr>
        <w:t>-Ca·Mg</w:t>
      </w:r>
      <w:r>
        <w:rPr>
          <w:sz w:val="24"/>
        </w:rPr>
        <w:t>型。该含水层属二</w:t>
      </w:r>
      <w:r>
        <w:rPr>
          <w:sz w:val="24"/>
          <w:vertAlign w:val="subscript"/>
        </w:rPr>
        <w:t>1</w:t>
      </w:r>
      <w:r>
        <w:rPr>
          <w:sz w:val="24"/>
        </w:rPr>
        <w:t>煤层底板间接充水含水层，对矿井采煤有威胁。</w:t>
      </w:r>
    </w:p>
    <w:p w:rsidR="00240BCE" w:rsidRDefault="00AC0334">
      <w:pPr>
        <w:pStyle w:val="a1"/>
        <w:spacing w:after="0" w:line="520" w:lineRule="exact"/>
        <w:ind w:firstLineChars="200" w:firstLine="480"/>
        <w:rPr>
          <w:sz w:val="24"/>
        </w:rPr>
      </w:pPr>
      <w:r>
        <w:rPr>
          <w:sz w:val="24"/>
        </w:rPr>
        <w:t>④</w:t>
      </w:r>
      <w:r>
        <w:rPr>
          <w:sz w:val="24"/>
        </w:rPr>
        <w:t>石炭系太原组碳酸盐夹碎屑岩类岩溶裂隙含水岩组</w:t>
      </w:r>
    </w:p>
    <w:p w:rsidR="00240BCE" w:rsidRDefault="00AC0334">
      <w:pPr>
        <w:pStyle w:val="a1"/>
        <w:spacing w:after="0" w:line="520" w:lineRule="exact"/>
        <w:ind w:firstLineChars="200" w:firstLine="480"/>
        <w:rPr>
          <w:sz w:val="24"/>
        </w:rPr>
      </w:pPr>
      <w:r>
        <w:rPr>
          <w:sz w:val="24"/>
        </w:rPr>
        <w:lastRenderedPageBreak/>
        <w:t>总厚</w:t>
      </w:r>
      <w:r>
        <w:rPr>
          <w:sz w:val="24"/>
        </w:rPr>
        <w:t>62.10m</w:t>
      </w:r>
      <w:r>
        <w:rPr>
          <w:sz w:val="24"/>
        </w:rPr>
        <w:t>，最多含灰岩</w:t>
      </w:r>
      <w:r>
        <w:rPr>
          <w:sz w:val="24"/>
        </w:rPr>
        <w:t>11</w:t>
      </w:r>
      <w:r>
        <w:rPr>
          <w:sz w:val="24"/>
        </w:rPr>
        <w:t>层，一般为</w:t>
      </w:r>
      <w:r>
        <w:rPr>
          <w:sz w:val="24"/>
        </w:rPr>
        <w:t>8</w:t>
      </w:r>
      <w:r>
        <w:rPr>
          <w:sz w:val="24"/>
        </w:rPr>
        <w:t>层，按其岩性组合及其与煤层之间的关系，可进一步划分为上、下部两个岩溶裂隙含水层。</w:t>
      </w:r>
    </w:p>
    <w:p w:rsidR="00240BCE" w:rsidRDefault="00AC0334">
      <w:pPr>
        <w:pStyle w:val="a1"/>
        <w:spacing w:after="0" w:line="520" w:lineRule="exact"/>
        <w:ind w:firstLineChars="200" w:firstLine="480"/>
        <w:rPr>
          <w:sz w:val="24"/>
        </w:rPr>
      </w:pPr>
      <w:r>
        <w:rPr>
          <w:sz w:val="24"/>
        </w:rPr>
        <w:t>下部岩溶裂隙含水层：由</w:t>
      </w:r>
      <w:r>
        <w:rPr>
          <w:sz w:val="24"/>
        </w:rPr>
        <w:t>4</w:t>
      </w:r>
      <w:r>
        <w:rPr>
          <w:sz w:val="24"/>
        </w:rPr>
        <w:t>层（</w:t>
      </w:r>
      <w:r>
        <w:rPr>
          <w:sz w:val="24"/>
        </w:rPr>
        <w:t>L</w:t>
      </w:r>
      <w:r>
        <w:rPr>
          <w:sz w:val="24"/>
          <w:vertAlign w:val="subscript"/>
        </w:rPr>
        <w:t>1</w:t>
      </w:r>
      <w:r>
        <w:rPr>
          <w:sz w:val="24"/>
        </w:rPr>
        <w:t>~L</w:t>
      </w:r>
      <w:r>
        <w:rPr>
          <w:sz w:val="24"/>
          <w:vertAlign w:val="subscript"/>
        </w:rPr>
        <w:t>4</w:t>
      </w:r>
      <w:r>
        <w:rPr>
          <w:sz w:val="24"/>
        </w:rPr>
        <w:t>）灰岩组成，平均厚</w:t>
      </w:r>
      <w:r>
        <w:rPr>
          <w:sz w:val="24"/>
        </w:rPr>
        <w:t>13.30m</w:t>
      </w:r>
      <w:r>
        <w:rPr>
          <w:sz w:val="24"/>
        </w:rPr>
        <w:t>。钻孔抽水试验，单位涌水量</w:t>
      </w:r>
      <w:r>
        <w:rPr>
          <w:sz w:val="24"/>
        </w:rPr>
        <w:t>0.0362~5.25L/s·m</w:t>
      </w:r>
      <w:r>
        <w:rPr>
          <w:sz w:val="24"/>
        </w:rPr>
        <w:t>，渗透系数</w:t>
      </w:r>
      <w:r>
        <w:rPr>
          <w:sz w:val="24"/>
        </w:rPr>
        <w:t>0.295~0.773m/d</w:t>
      </w:r>
      <w:r>
        <w:rPr>
          <w:sz w:val="24"/>
        </w:rPr>
        <w:t>，水位标高</w:t>
      </w:r>
      <w:r>
        <w:rPr>
          <w:sz w:val="24"/>
        </w:rPr>
        <w:t>143.24~264.80m</w:t>
      </w:r>
      <w:r>
        <w:rPr>
          <w:sz w:val="24"/>
        </w:rPr>
        <w:t>，富水性和导水性极不均一。地下水化学类型为</w:t>
      </w:r>
      <w:r>
        <w:rPr>
          <w:sz w:val="24"/>
        </w:rPr>
        <w:t>HCO</w:t>
      </w:r>
      <w:r>
        <w:rPr>
          <w:sz w:val="24"/>
          <w:vertAlign w:val="subscript"/>
        </w:rPr>
        <w:t>3</w:t>
      </w:r>
      <w:r>
        <w:rPr>
          <w:sz w:val="24"/>
        </w:rPr>
        <w:t>- Mg·Ca</w:t>
      </w:r>
      <w:r>
        <w:rPr>
          <w:sz w:val="24"/>
        </w:rPr>
        <w:t>型。该含水层是二</w:t>
      </w:r>
      <w:r>
        <w:rPr>
          <w:sz w:val="24"/>
          <w:vertAlign w:val="subscript"/>
        </w:rPr>
        <w:t>1</w:t>
      </w:r>
      <w:r>
        <w:rPr>
          <w:sz w:val="24"/>
        </w:rPr>
        <w:t>煤层间接充水含水层。</w:t>
      </w:r>
    </w:p>
    <w:p w:rsidR="00240BCE" w:rsidRDefault="00AC0334">
      <w:pPr>
        <w:pStyle w:val="a1"/>
        <w:spacing w:after="0" w:line="520" w:lineRule="exact"/>
        <w:ind w:firstLineChars="200" w:firstLine="480"/>
        <w:rPr>
          <w:sz w:val="24"/>
        </w:rPr>
      </w:pPr>
      <w:r>
        <w:rPr>
          <w:sz w:val="24"/>
        </w:rPr>
        <w:t>上部岩溶裂隙含水层段由</w:t>
      </w:r>
      <w:r>
        <w:rPr>
          <w:sz w:val="24"/>
        </w:rPr>
        <w:t>3~5</w:t>
      </w:r>
      <w:r>
        <w:rPr>
          <w:sz w:val="24"/>
        </w:rPr>
        <w:t>层石灰岩（</w:t>
      </w:r>
      <w:r>
        <w:rPr>
          <w:sz w:val="24"/>
        </w:rPr>
        <w:t>L</w:t>
      </w:r>
      <w:r>
        <w:rPr>
          <w:sz w:val="24"/>
          <w:vertAlign w:val="subscript"/>
        </w:rPr>
        <w:t>7</w:t>
      </w:r>
      <w:r>
        <w:rPr>
          <w:sz w:val="24"/>
        </w:rPr>
        <w:t>~L</w:t>
      </w:r>
      <w:r>
        <w:rPr>
          <w:sz w:val="24"/>
          <w:vertAlign w:val="subscript"/>
        </w:rPr>
        <w:t>11</w:t>
      </w:r>
      <w:r>
        <w:rPr>
          <w:sz w:val="24"/>
        </w:rPr>
        <w:t>）组成，区域上平均厚</w:t>
      </w:r>
      <w:r>
        <w:rPr>
          <w:sz w:val="24"/>
        </w:rPr>
        <w:t>27.50m</w:t>
      </w:r>
      <w:r>
        <w:rPr>
          <w:sz w:val="24"/>
        </w:rPr>
        <w:t>。据钻孔抽水试验，单位涌水量</w:t>
      </w:r>
      <w:r>
        <w:rPr>
          <w:sz w:val="24"/>
        </w:rPr>
        <w:t>0.0012~0.0583L/s·m</w:t>
      </w:r>
      <w:r>
        <w:rPr>
          <w:sz w:val="24"/>
        </w:rPr>
        <w:t>，渗透系数</w:t>
      </w:r>
      <w:r>
        <w:rPr>
          <w:sz w:val="24"/>
        </w:rPr>
        <w:t>0.0163~1.64m/d</w:t>
      </w:r>
      <w:r>
        <w:rPr>
          <w:sz w:val="24"/>
        </w:rPr>
        <w:t>，富水性和导水性不均一。地下水化学类型为</w:t>
      </w:r>
      <w:r>
        <w:rPr>
          <w:sz w:val="24"/>
        </w:rPr>
        <w:t>HCO</w:t>
      </w:r>
      <w:r>
        <w:rPr>
          <w:sz w:val="24"/>
          <w:vertAlign w:val="subscript"/>
        </w:rPr>
        <w:t>3</w:t>
      </w:r>
      <w:r>
        <w:rPr>
          <w:sz w:val="24"/>
        </w:rPr>
        <w:t>- Mg·Ca</w:t>
      </w:r>
      <w:r>
        <w:rPr>
          <w:sz w:val="24"/>
        </w:rPr>
        <w:t>型、</w:t>
      </w:r>
      <w:r>
        <w:rPr>
          <w:sz w:val="24"/>
        </w:rPr>
        <w:t>HCO</w:t>
      </w:r>
      <w:r>
        <w:rPr>
          <w:sz w:val="24"/>
          <w:vertAlign w:val="subscript"/>
        </w:rPr>
        <w:t>3</w:t>
      </w:r>
      <w:r>
        <w:rPr>
          <w:sz w:val="24"/>
        </w:rPr>
        <w:t>-Na</w:t>
      </w:r>
      <w:r>
        <w:rPr>
          <w:sz w:val="24"/>
        </w:rPr>
        <w:t>型和</w:t>
      </w:r>
      <w:r>
        <w:rPr>
          <w:sz w:val="24"/>
        </w:rPr>
        <w:t>HCO</w:t>
      </w:r>
      <w:r>
        <w:rPr>
          <w:sz w:val="24"/>
          <w:vertAlign w:val="subscript"/>
        </w:rPr>
        <w:t>3</w:t>
      </w:r>
      <w:r>
        <w:rPr>
          <w:sz w:val="24"/>
        </w:rPr>
        <w:t>-Mg·Na</w:t>
      </w:r>
      <w:r>
        <w:rPr>
          <w:sz w:val="24"/>
        </w:rPr>
        <w:t>型。该含水层为二</w:t>
      </w:r>
      <w:r>
        <w:rPr>
          <w:sz w:val="24"/>
          <w:vertAlign w:val="subscript"/>
        </w:rPr>
        <w:t>1</w:t>
      </w:r>
      <w:r>
        <w:rPr>
          <w:sz w:val="24"/>
        </w:rPr>
        <w:t>煤层底板直接充水含水层，对开采二</w:t>
      </w:r>
      <w:r>
        <w:rPr>
          <w:sz w:val="24"/>
          <w:vertAlign w:val="subscript"/>
        </w:rPr>
        <w:t>1</w:t>
      </w:r>
      <w:r>
        <w:rPr>
          <w:sz w:val="24"/>
        </w:rPr>
        <w:t>煤层有直接影响。</w:t>
      </w:r>
    </w:p>
    <w:p w:rsidR="00240BCE" w:rsidRDefault="00AC0334">
      <w:pPr>
        <w:pStyle w:val="a1"/>
        <w:spacing w:after="0" w:line="520" w:lineRule="exact"/>
        <w:ind w:firstLineChars="200" w:firstLine="480"/>
        <w:rPr>
          <w:sz w:val="24"/>
        </w:rPr>
      </w:pPr>
      <w:r>
        <w:rPr>
          <w:sz w:val="24"/>
        </w:rPr>
        <w:t>⑤</w:t>
      </w:r>
      <w:r>
        <w:rPr>
          <w:sz w:val="24"/>
        </w:rPr>
        <w:t>二叠系、三叠系孔隙裂隙含水层</w:t>
      </w:r>
    </w:p>
    <w:p w:rsidR="00240BCE" w:rsidRDefault="00AC0334">
      <w:pPr>
        <w:pStyle w:val="a1"/>
        <w:spacing w:after="0" w:line="520" w:lineRule="exact"/>
        <w:ind w:firstLineChars="200" w:firstLine="480"/>
        <w:rPr>
          <w:sz w:val="24"/>
        </w:rPr>
      </w:pPr>
      <w:r>
        <w:rPr>
          <w:sz w:val="24"/>
        </w:rPr>
        <w:t>主要由大占砂岩、砂锅窑砂岩、田家沟砂岩、平顶山砂岩和金斗山砂岩等厚度较大的砂岩组成，层位稳定。据钻孔抽水试验资料，单位涌水量</w:t>
      </w:r>
      <w:r>
        <w:rPr>
          <w:sz w:val="24"/>
        </w:rPr>
        <w:t>0.011~0.135L/s·m</w:t>
      </w:r>
      <w:r>
        <w:rPr>
          <w:sz w:val="24"/>
        </w:rPr>
        <w:t>，渗透系数</w:t>
      </w:r>
      <w:r>
        <w:rPr>
          <w:sz w:val="24"/>
        </w:rPr>
        <w:t>0.0273~0.313m/d</w:t>
      </w:r>
      <w:r>
        <w:rPr>
          <w:sz w:val="24"/>
        </w:rPr>
        <w:t>，水位标高</w:t>
      </w:r>
      <w:r>
        <w:rPr>
          <w:sz w:val="24"/>
        </w:rPr>
        <w:t>159.68~394.70m</w:t>
      </w:r>
      <w:r>
        <w:rPr>
          <w:sz w:val="24"/>
        </w:rPr>
        <w:t>。局部地段地下水位可高出地表自流，泉水流量一般为</w:t>
      </w:r>
      <w:r>
        <w:rPr>
          <w:sz w:val="24"/>
        </w:rPr>
        <w:t>0.054~1.805L/s</w:t>
      </w:r>
      <w:r>
        <w:rPr>
          <w:sz w:val="24"/>
        </w:rPr>
        <w:t>，个别出露于平顶山砂岩中的泉水流量高达</w:t>
      </w:r>
      <w:r>
        <w:rPr>
          <w:sz w:val="24"/>
        </w:rPr>
        <w:t>18.00L/s</w:t>
      </w:r>
      <w:r>
        <w:rPr>
          <w:sz w:val="24"/>
        </w:rPr>
        <w:t>，季节性变化明显。地下水化学类型为</w:t>
      </w:r>
      <w:r>
        <w:rPr>
          <w:sz w:val="24"/>
        </w:rPr>
        <w:t>HCO</w:t>
      </w:r>
      <w:r>
        <w:rPr>
          <w:sz w:val="24"/>
          <w:vertAlign w:val="subscript"/>
        </w:rPr>
        <w:t>3</w:t>
      </w:r>
      <w:r>
        <w:rPr>
          <w:sz w:val="24"/>
        </w:rPr>
        <w:t>-Ca·Mg</w:t>
      </w:r>
      <w:r>
        <w:rPr>
          <w:sz w:val="24"/>
        </w:rPr>
        <w:t>型、</w:t>
      </w:r>
      <w:r>
        <w:rPr>
          <w:sz w:val="24"/>
        </w:rPr>
        <w:t>HCO</w:t>
      </w:r>
      <w:r>
        <w:rPr>
          <w:sz w:val="24"/>
          <w:vertAlign w:val="subscript"/>
        </w:rPr>
        <w:t>3</w:t>
      </w:r>
      <w:r>
        <w:rPr>
          <w:sz w:val="24"/>
        </w:rPr>
        <w:t>-Na</w:t>
      </w:r>
      <w:r>
        <w:rPr>
          <w:sz w:val="24"/>
        </w:rPr>
        <w:t>型、</w:t>
      </w:r>
      <w:r>
        <w:rPr>
          <w:sz w:val="24"/>
        </w:rPr>
        <w:t>HCO</w:t>
      </w:r>
      <w:r>
        <w:rPr>
          <w:sz w:val="24"/>
          <w:vertAlign w:val="subscript"/>
        </w:rPr>
        <w:t>3</w:t>
      </w:r>
      <w:r>
        <w:rPr>
          <w:sz w:val="24"/>
        </w:rPr>
        <w:t>- Mg·Ca</w:t>
      </w:r>
      <w:r>
        <w:rPr>
          <w:sz w:val="24"/>
        </w:rPr>
        <w:t>型、</w:t>
      </w:r>
      <w:r>
        <w:rPr>
          <w:sz w:val="24"/>
        </w:rPr>
        <w:t>HCO</w:t>
      </w:r>
      <w:r>
        <w:rPr>
          <w:sz w:val="24"/>
          <w:vertAlign w:val="subscript"/>
        </w:rPr>
        <w:t>3</w:t>
      </w:r>
      <w:r>
        <w:rPr>
          <w:sz w:val="24"/>
        </w:rPr>
        <w:t>-Na· Ca· Mg</w:t>
      </w:r>
      <w:r>
        <w:rPr>
          <w:sz w:val="24"/>
        </w:rPr>
        <w:t>型和</w:t>
      </w:r>
      <w:r>
        <w:rPr>
          <w:sz w:val="24"/>
        </w:rPr>
        <w:t>HCO</w:t>
      </w:r>
      <w:r>
        <w:rPr>
          <w:sz w:val="24"/>
          <w:vertAlign w:val="subscript"/>
        </w:rPr>
        <w:t>3</w:t>
      </w:r>
      <w:r>
        <w:rPr>
          <w:sz w:val="24"/>
        </w:rPr>
        <w:t>-SO</w:t>
      </w:r>
      <w:r>
        <w:rPr>
          <w:sz w:val="24"/>
          <w:vertAlign w:val="subscript"/>
        </w:rPr>
        <w:t>4</w:t>
      </w:r>
      <w:r>
        <w:rPr>
          <w:sz w:val="24"/>
        </w:rPr>
        <w:t>-Ca·Na·Mg</w:t>
      </w:r>
      <w:r>
        <w:rPr>
          <w:sz w:val="24"/>
        </w:rPr>
        <w:t>型。</w:t>
      </w:r>
    </w:p>
    <w:p w:rsidR="00240BCE" w:rsidRDefault="00AC0334">
      <w:pPr>
        <w:pStyle w:val="a1"/>
        <w:spacing w:after="0" w:line="520" w:lineRule="exact"/>
        <w:ind w:firstLineChars="200" w:firstLine="480"/>
        <w:rPr>
          <w:sz w:val="24"/>
        </w:rPr>
      </w:pPr>
      <w:r>
        <w:rPr>
          <w:sz w:val="24"/>
        </w:rPr>
        <w:t>⑥</w:t>
      </w:r>
      <w:r>
        <w:rPr>
          <w:sz w:val="24"/>
        </w:rPr>
        <w:t>第四系孔隙含水层</w:t>
      </w:r>
    </w:p>
    <w:p w:rsidR="00240BCE" w:rsidRDefault="00AC0334">
      <w:pPr>
        <w:pStyle w:val="a1"/>
        <w:spacing w:after="0" w:line="520" w:lineRule="exact"/>
        <w:ind w:firstLineChars="200" w:firstLine="480"/>
        <w:rPr>
          <w:sz w:val="24"/>
        </w:rPr>
      </w:pPr>
      <w:r>
        <w:rPr>
          <w:sz w:val="24"/>
        </w:rPr>
        <w:t>由第四系中砾石、砂和半胶结砂组成，下部厚</w:t>
      </w:r>
      <w:r>
        <w:rPr>
          <w:sz w:val="24"/>
        </w:rPr>
        <w:t>14.00</w:t>
      </w:r>
      <w:r>
        <w:rPr>
          <w:sz w:val="24"/>
        </w:rPr>
        <w:t>～</w:t>
      </w:r>
      <w:r>
        <w:rPr>
          <w:sz w:val="24"/>
        </w:rPr>
        <w:t>35.00m</w:t>
      </w:r>
      <w:r>
        <w:rPr>
          <w:sz w:val="24"/>
        </w:rPr>
        <w:t>，上部厚</w:t>
      </w:r>
      <w:r>
        <w:rPr>
          <w:sz w:val="24"/>
        </w:rPr>
        <w:t>1.00</w:t>
      </w:r>
      <w:r>
        <w:rPr>
          <w:sz w:val="24"/>
        </w:rPr>
        <w:t>～</w:t>
      </w:r>
      <w:r>
        <w:rPr>
          <w:sz w:val="24"/>
        </w:rPr>
        <w:t>63.00m</w:t>
      </w:r>
      <w:r>
        <w:rPr>
          <w:sz w:val="24"/>
        </w:rPr>
        <w:t>，据钻孔抽水试验资料，单位涌水量分别为</w:t>
      </w:r>
      <w:r>
        <w:rPr>
          <w:sz w:val="24"/>
        </w:rPr>
        <w:t>0.179</w:t>
      </w:r>
      <w:r>
        <w:rPr>
          <w:sz w:val="24"/>
        </w:rPr>
        <w:t>～</w:t>
      </w:r>
      <w:r>
        <w:rPr>
          <w:sz w:val="24"/>
        </w:rPr>
        <w:t>0.429L/s·m</w:t>
      </w:r>
      <w:r>
        <w:rPr>
          <w:sz w:val="24"/>
        </w:rPr>
        <w:t>和</w:t>
      </w:r>
      <w:r>
        <w:rPr>
          <w:sz w:val="24"/>
        </w:rPr>
        <w:t>0.049</w:t>
      </w:r>
      <w:r>
        <w:rPr>
          <w:sz w:val="24"/>
        </w:rPr>
        <w:t>～</w:t>
      </w:r>
      <w:r>
        <w:rPr>
          <w:sz w:val="24"/>
        </w:rPr>
        <w:t>2.453L/s·m</w:t>
      </w:r>
      <w:r>
        <w:rPr>
          <w:sz w:val="24"/>
        </w:rPr>
        <w:t>，下部富水性中等，上部富水性及导水性极不均一，地下水化学类型为</w:t>
      </w:r>
      <w:r>
        <w:rPr>
          <w:sz w:val="24"/>
        </w:rPr>
        <w:t>HCO</w:t>
      </w:r>
      <w:r>
        <w:rPr>
          <w:sz w:val="24"/>
          <w:vertAlign w:val="subscript"/>
        </w:rPr>
        <w:t>3</w:t>
      </w:r>
      <w:r>
        <w:rPr>
          <w:sz w:val="24"/>
        </w:rPr>
        <w:t>-Ca</w:t>
      </w:r>
      <w:r>
        <w:rPr>
          <w:sz w:val="24"/>
        </w:rPr>
        <w:t>型和</w:t>
      </w:r>
      <w:r>
        <w:rPr>
          <w:sz w:val="24"/>
        </w:rPr>
        <w:t>HCO</w:t>
      </w:r>
      <w:r>
        <w:rPr>
          <w:sz w:val="24"/>
          <w:vertAlign w:val="subscript"/>
        </w:rPr>
        <w:t>3</w:t>
      </w:r>
      <w:r>
        <w:rPr>
          <w:sz w:val="24"/>
        </w:rPr>
        <w:t>-Ca·Mg</w:t>
      </w:r>
      <w:r>
        <w:rPr>
          <w:sz w:val="24"/>
        </w:rPr>
        <w:t>型，矿化度小于</w:t>
      </w:r>
      <w:r>
        <w:rPr>
          <w:sz w:val="24"/>
        </w:rPr>
        <w:t>0.5g/L</w:t>
      </w:r>
      <w:r>
        <w:rPr>
          <w:sz w:val="24"/>
        </w:rPr>
        <w:t>，上部含水层段中地下水具潜水或承压水之水力特征，局部地段对矿井有充水，对采煤有影响。</w:t>
      </w:r>
    </w:p>
    <w:p w:rsidR="00240BCE" w:rsidRDefault="00AC0334">
      <w:pPr>
        <w:pStyle w:val="a1"/>
        <w:spacing w:after="0" w:line="520" w:lineRule="exact"/>
        <w:ind w:firstLineChars="200" w:firstLine="482"/>
        <w:rPr>
          <w:b/>
          <w:bCs/>
          <w:sz w:val="24"/>
        </w:rPr>
      </w:pPr>
      <w:bookmarkStart w:id="540" w:name="_Toc482195898"/>
      <w:bookmarkStart w:id="541" w:name="_Toc481012209"/>
      <w:r>
        <w:rPr>
          <w:b/>
          <w:bCs/>
          <w:sz w:val="24"/>
        </w:rPr>
        <w:t>2</w:t>
      </w:r>
      <w:r>
        <w:rPr>
          <w:b/>
          <w:bCs/>
          <w:sz w:val="24"/>
        </w:rPr>
        <w:t>、地下水的补给、径流、排泄条件</w:t>
      </w:r>
      <w:bookmarkEnd w:id="540"/>
    </w:p>
    <w:bookmarkEnd w:id="541"/>
    <w:p w:rsidR="00240BCE" w:rsidRDefault="00AC0334">
      <w:pPr>
        <w:pStyle w:val="a1"/>
        <w:spacing w:after="0" w:line="520" w:lineRule="exact"/>
        <w:ind w:firstLineChars="200" w:firstLine="480"/>
        <w:rPr>
          <w:sz w:val="24"/>
        </w:rPr>
      </w:pPr>
      <w:r>
        <w:rPr>
          <w:sz w:val="24"/>
        </w:rPr>
        <w:t>禹州煤田地下水补给水源有大气降水、地表水。其中大气降水是区域地下水的</w:t>
      </w:r>
      <w:r>
        <w:rPr>
          <w:sz w:val="24"/>
        </w:rPr>
        <w:lastRenderedPageBreak/>
        <w:t>主要补给水源，降水多集中于</w:t>
      </w:r>
      <w:r>
        <w:rPr>
          <w:sz w:val="24"/>
        </w:rPr>
        <w:t>6</w:t>
      </w:r>
      <w:r>
        <w:rPr>
          <w:sz w:val="24"/>
        </w:rPr>
        <w:t>～</w:t>
      </w:r>
      <w:r>
        <w:rPr>
          <w:sz w:val="24"/>
        </w:rPr>
        <w:t>9</w:t>
      </w:r>
      <w:r>
        <w:rPr>
          <w:sz w:val="24"/>
        </w:rPr>
        <w:t>月。区内有河流、水库，当地表水体水位高于地下水位时，地表水体周边岩层可能发生渗漏补给地下水。其中白沙水库为区内最大地表水体，地处地层转折部位，附近构造较发育，有对地下水产生补给可能，具体补给部位及补给量有待进一步调查研究工作。</w:t>
      </w:r>
    </w:p>
    <w:p w:rsidR="00240BCE" w:rsidRDefault="00AC0334">
      <w:pPr>
        <w:pStyle w:val="a1"/>
        <w:spacing w:after="0" w:line="520" w:lineRule="exact"/>
        <w:ind w:firstLineChars="200" w:firstLine="480"/>
        <w:rPr>
          <w:sz w:val="24"/>
        </w:rPr>
      </w:pPr>
      <w:r>
        <w:rPr>
          <w:sz w:val="24"/>
        </w:rPr>
        <w:t>西部和北部山区为基岩地下水的分布区，亦是降水的补给渗透区。地下水的迳流，以水平迳流为主，沿透水岩层或导水构造向下游排泄，以河流、沟谷为排泄通道，以泉水为主要排泄方式。另外，还有人工开采的矿井排水亦是地下水一种排泄方式。</w:t>
      </w:r>
    </w:p>
    <w:p w:rsidR="00240BCE" w:rsidRDefault="00AC0334">
      <w:pPr>
        <w:pStyle w:val="a1"/>
        <w:spacing w:after="0" w:line="520" w:lineRule="exact"/>
        <w:ind w:firstLineChars="200" w:firstLine="480"/>
        <w:rPr>
          <w:sz w:val="24"/>
        </w:rPr>
      </w:pPr>
      <w:r>
        <w:rPr>
          <w:sz w:val="24"/>
        </w:rPr>
        <w:t>关于寒武系和石炭系灰岩含水层所含岩溶裂隙的水的迳流方向，因受地层、断裂、地形地貌的影响，变化较大。在白沙北至无梁一带为自西北向东南迳流；方山地段、顺倾向自西向东迳流；云盖山井田和梁北井田为自西向东迳流；在南部的黄道、竹园沟一带为自北向南迳流。主要排泄点有柏树嘴泉群、吴张沟泉群和黄道泉群，排泄量分别为</w:t>
      </w:r>
      <w:r>
        <w:rPr>
          <w:sz w:val="24"/>
        </w:rPr>
        <w:t>137.00L/s</w:t>
      </w:r>
      <w:r>
        <w:rPr>
          <w:sz w:val="24"/>
        </w:rPr>
        <w:t>、</w:t>
      </w:r>
      <w:r>
        <w:rPr>
          <w:sz w:val="24"/>
        </w:rPr>
        <w:t>15.70L/s</w:t>
      </w:r>
      <w:r>
        <w:rPr>
          <w:sz w:val="24"/>
        </w:rPr>
        <w:t>、</w:t>
      </w:r>
      <w:r>
        <w:rPr>
          <w:sz w:val="24"/>
        </w:rPr>
        <w:t>46.56L/s</w:t>
      </w:r>
      <w:r>
        <w:rPr>
          <w:sz w:val="24"/>
        </w:rPr>
        <w:t>，泉群总排泄量为</w:t>
      </w:r>
      <w:r>
        <w:rPr>
          <w:sz w:val="24"/>
        </w:rPr>
        <w:t>199.26L/s</w:t>
      </w:r>
      <w:r>
        <w:rPr>
          <w:sz w:val="24"/>
        </w:rPr>
        <w:t>。</w:t>
      </w:r>
    </w:p>
    <w:p w:rsidR="00240BCE" w:rsidRDefault="00AC0334">
      <w:pPr>
        <w:pStyle w:val="a1"/>
        <w:spacing w:after="0" w:line="520" w:lineRule="exact"/>
        <w:ind w:firstLineChars="200" w:firstLine="480"/>
        <w:rPr>
          <w:sz w:val="24"/>
        </w:rPr>
      </w:pPr>
      <w:r>
        <w:rPr>
          <w:sz w:val="24"/>
        </w:rPr>
        <w:t>区域上的平原区为孔隙含水层分布区，地下水位埋藏较浅，一般为</w:t>
      </w:r>
      <w:r>
        <w:rPr>
          <w:sz w:val="24"/>
        </w:rPr>
        <w:t>5</w:t>
      </w:r>
      <w:r>
        <w:rPr>
          <w:sz w:val="24"/>
        </w:rPr>
        <w:t>～</w:t>
      </w:r>
      <w:r>
        <w:rPr>
          <w:sz w:val="24"/>
        </w:rPr>
        <w:t>8m</w:t>
      </w:r>
      <w:r>
        <w:rPr>
          <w:sz w:val="24"/>
        </w:rPr>
        <w:t>，以大气降水为主要补给水源。受岩性、地形地貌条件的影响，地下水迳流较为缓慢，且方向多变，排泄方式主要为人工开采及地面蒸发两种形式。</w:t>
      </w:r>
    </w:p>
    <w:p w:rsidR="00240BCE" w:rsidRDefault="00AC0334">
      <w:pPr>
        <w:spacing w:line="520" w:lineRule="exact"/>
        <w:rPr>
          <w:sz w:val="24"/>
        </w:rPr>
      </w:pPr>
      <w:bookmarkStart w:id="542" w:name="_Toc116666890"/>
      <w:r>
        <w:rPr>
          <w:sz w:val="24"/>
        </w:rPr>
        <w:t>6.3.2.2</w:t>
      </w:r>
      <w:r>
        <w:rPr>
          <w:sz w:val="24"/>
        </w:rPr>
        <w:t>矿区水文地质</w:t>
      </w:r>
      <w:bookmarkEnd w:id="537"/>
      <w:bookmarkEnd w:id="538"/>
      <w:bookmarkEnd w:id="542"/>
      <w:r>
        <w:rPr>
          <w:sz w:val="24"/>
        </w:rPr>
        <w:t>概况</w:t>
      </w:r>
    </w:p>
    <w:p w:rsidR="00240BCE" w:rsidRDefault="00AC0334">
      <w:pPr>
        <w:spacing w:line="520" w:lineRule="exact"/>
        <w:ind w:firstLineChars="200" w:firstLine="480"/>
        <w:rPr>
          <w:bCs/>
          <w:color w:val="000000"/>
          <w:sz w:val="24"/>
        </w:rPr>
      </w:pPr>
      <w:bookmarkStart w:id="543" w:name="_Toc482195900"/>
      <w:r>
        <w:rPr>
          <w:bCs/>
          <w:color w:val="000000"/>
          <w:sz w:val="24"/>
        </w:rPr>
        <w:t>⑴</w:t>
      </w:r>
      <w:r>
        <w:rPr>
          <w:bCs/>
          <w:color w:val="000000"/>
          <w:sz w:val="24"/>
        </w:rPr>
        <w:t>井田边界及其水力性质</w:t>
      </w:r>
      <w:bookmarkEnd w:id="543"/>
    </w:p>
    <w:p w:rsidR="00240BCE" w:rsidRDefault="00AC0334">
      <w:pPr>
        <w:spacing w:line="520" w:lineRule="exact"/>
        <w:ind w:firstLineChars="200" w:firstLine="480"/>
        <w:rPr>
          <w:bCs/>
          <w:color w:val="000000"/>
          <w:sz w:val="24"/>
        </w:rPr>
      </w:pPr>
      <w:r>
        <w:rPr>
          <w:bCs/>
          <w:color w:val="000000"/>
          <w:sz w:val="24"/>
        </w:rPr>
        <w:t>井田位于箕山南麓褶皱断裂构造水文地质区磨街～梁北水文亚单元的西段。矿井北部边界为薛沟～土家沟断层（</w:t>
      </w:r>
      <w:r>
        <w:rPr>
          <w:bCs/>
          <w:color w:val="000000"/>
          <w:sz w:val="24"/>
        </w:rPr>
        <w:t>F52</w:t>
      </w:r>
      <w:r>
        <w:rPr>
          <w:bCs/>
          <w:color w:val="000000"/>
          <w:sz w:val="24"/>
        </w:rPr>
        <w:t>）、南部边界为李家门断层（</w:t>
      </w:r>
      <w:r>
        <w:rPr>
          <w:bCs/>
          <w:color w:val="000000"/>
          <w:sz w:val="24"/>
        </w:rPr>
        <w:t>F51</w:t>
      </w:r>
      <w:r>
        <w:rPr>
          <w:bCs/>
          <w:color w:val="000000"/>
          <w:sz w:val="24"/>
        </w:rPr>
        <w:t>）、西部及东部均为人为边界。经瞬变电磁勘探资料证实，边界断层具有一定含水性，为两侧充水的导水断层，可导通各含水层之间水力联系。</w:t>
      </w:r>
      <w:bookmarkStart w:id="544" w:name="_Toc482195901"/>
    </w:p>
    <w:p w:rsidR="00240BCE" w:rsidRDefault="00AC0334">
      <w:pPr>
        <w:spacing w:line="520" w:lineRule="exact"/>
        <w:ind w:firstLineChars="200" w:firstLine="480"/>
        <w:rPr>
          <w:bCs/>
          <w:color w:val="000000"/>
          <w:sz w:val="24"/>
        </w:rPr>
      </w:pPr>
      <w:r>
        <w:rPr>
          <w:bCs/>
          <w:color w:val="000000"/>
          <w:sz w:val="24"/>
        </w:rPr>
        <w:t>⑵</w:t>
      </w:r>
      <w:r>
        <w:rPr>
          <w:bCs/>
          <w:color w:val="000000"/>
          <w:sz w:val="24"/>
        </w:rPr>
        <w:t>含水层</w:t>
      </w:r>
      <w:bookmarkEnd w:id="544"/>
    </w:p>
    <w:p w:rsidR="00240BCE" w:rsidRDefault="00AC0334">
      <w:pPr>
        <w:snapToGrid w:val="0"/>
        <w:spacing w:line="520" w:lineRule="exact"/>
        <w:ind w:firstLineChars="200" w:firstLine="480"/>
        <w:rPr>
          <w:bCs/>
          <w:color w:val="000000"/>
          <w:sz w:val="24"/>
        </w:rPr>
      </w:pPr>
      <w:r>
        <w:rPr>
          <w:bCs/>
          <w:color w:val="000000"/>
          <w:sz w:val="24"/>
        </w:rPr>
        <w:t>根据岩性、富水性、导水性和埋藏条件等，按由新至老的顺序分为</w:t>
      </w:r>
      <w:r>
        <w:rPr>
          <w:bCs/>
          <w:color w:val="000000"/>
          <w:sz w:val="24"/>
        </w:rPr>
        <w:t>8</w:t>
      </w:r>
      <w:r>
        <w:rPr>
          <w:bCs/>
          <w:color w:val="000000"/>
          <w:sz w:val="24"/>
        </w:rPr>
        <w:t>个含水层。即：第四系砂及砂砾石孔隙含水层（</w:t>
      </w:r>
      <w:r>
        <w:rPr>
          <w:bCs/>
          <w:color w:val="000000"/>
          <w:sz w:val="24"/>
        </w:rPr>
        <w:t>Ⅰ</w:t>
      </w:r>
      <w:r>
        <w:rPr>
          <w:bCs/>
          <w:color w:val="000000"/>
          <w:sz w:val="24"/>
        </w:rPr>
        <w:t>）；平顶山砂岩裂隙含水层（</w:t>
      </w:r>
      <w:r>
        <w:rPr>
          <w:bCs/>
          <w:color w:val="000000"/>
          <w:sz w:val="24"/>
        </w:rPr>
        <w:t>Ⅱ</w:t>
      </w:r>
      <w:r>
        <w:rPr>
          <w:bCs/>
          <w:color w:val="000000"/>
          <w:sz w:val="24"/>
        </w:rPr>
        <w:t>）；上石盒子</w:t>
      </w:r>
      <w:r>
        <w:rPr>
          <w:bCs/>
          <w:color w:val="000000"/>
          <w:sz w:val="24"/>
        </w:rPr>
        <w:lastRenderedPageBreak/>
        <w:t>组中粗粒砂岩裂隙含水层（</w:t>
      </w:r>
      <w:r>
        <w:rPr>
          <w:bCs/>
          <w:color w:val="000000"/>
          <w:sz w:val="24"/>
        </w:rPr>
        <w:t>Ⅲ</w:t>
      </w:r>
      <w:r>
        <w:rPr>
          <w:bCs/>
          <w:color w:val="000000"/>
          <w:sz w:val="24"/>
        </w:rPr>
        <w:t>）；二叠系下石盒子组中、粗粒砂岩裂隙含水层（</w:t>
      </w:r>
      <w:r>
        <w:rPr>
          <w:bCs/>
          <w:color w:val="000000"/>
          <w:sz w:val="24"/>
        </w:rPr>
        <w:t>Ⅳ</w:t>
      </w:r>
      <w:r>
        <w:rPr>
          <w:bCs/>
          <w:color w:val="000000"/>
          <w:sz w:val="24"/>
        </w:rPr>
        <w:t>）；二叠系下统山西组砂岩裂隙含水层（</w:t>
      </w:r>
      <w:r>
        <w:rPr>
          <w:bCs/>
          <w:color w:val="000000"/>
          <w:sz w:val="24"/>
        </w:rPr>
        <w:t>Ⅴ</w:t>
      </w:r>
      <w:r>
        <w:rPr>
          <w:bCs/>
          <w:color w:val="000000"/>
          <w:sz w:val="24"/>
        </w:rPr>
        <w:t>）；石炭系上统太原组上段灰岩岩溶含水层（</w:t>
      </w:r>
      <w:r>
        <w:rPr>
          <w:bCs/>
          <w:color w:val="000000"/>
          <w:sz w:val="24"/>
        </w:rPr>
        <w:t>Ⅵ</w:t>
      </w:r>
      <w:r>
        <w:rPr>
          <w:bCs/>
          <w:color w:val="000000"/>
          <w:sz w:val="24"/>
        </w:rPr>
        <w:t>）；石炭系上统太原组下段灰岩岩溶含水层（</w:t>
      </w:r>
      <w:r>
        <w:rPr>
          <w:bCs/>
          <w:color w:val="000000"/>
          <w:sz w:val="24"/>
        </w:rPr>
        <w:t>Ⅶ</w:t>
      </w:r>
      <w:r>
        <w:rPr>
          <w:bCs/>
          <w:color w:val="000000"/>
          <w:sz w:val="24"/>
        </w:rPr>
        <w:t>）；寒武系上统灰岩岩溶含水层（</w:t>
      </w:r>
      <w:r>
        <w:rPr>
          <w:bCs/>
          <w:color w:val="000000"/>
          <w:sz w:val="24"/>
        </w:rPr>
        <w:t>Ⅷ</w:t>
      </w:r>
      <w:r>
        <w:rPr>
          <w:bCs/>
          <w:color w:val="000000"/>
          <w:sz w:val="24"/>
        </w:rPr>
        <w:t>），各含水层水文地质特征如下：</w:t>
      </w:r>
    </w:p>
    <w:p w:rsidR="00240BCE" w:rsidRDefault="00AC0334">
      <w:pPr>
        <w:snapToGrid w:val="0"/>
        <w:spacing w:line="520" w:lineRule="exact"/>
        <w:ind w:firstLineChars="200" w:firstLine="480"/>
        <w:rPr>
          <w:bCs/>
          <w:color w:val="000000"/>
          <w:sz w:val="24"/>
        </w:rPr>
      </w:pPr>
      <w:r>
        <w:rPr>
          <w:bCs/>
          <w:color w:val="000000"/>
          <w:sz w:val="24"/>
        </w:rPr>
        <w:t>①</w:t>
      </w:r>
      <w:r>
        <w:rPr>
          <w:bCs/>
          <w:color w:val="000000"/>
          <w:sz w:val="24"/>
        </w:rPr>
        <w:t>第四系砂及砂砾石孔隙含水层（</w:t>
      </w:r>
      <w:r>
        <w:rPr>
          <w:bCs/>
          <w:color w:val="000000"/>
          <w:sz w:val="24"/>
        </w:rPr>
        <w:t>Ⅰ</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由松散洪坡积物组成，主要分布于冲沟两侧与区内低凹地带，平均厚约</w:t>
      </w:r>
      <w:r>
        <w:rPr>
          <w:bCs/>
          <w:color w:val="000000"/>
          <w:sz w:val="24"/>
        </w:rPr>
        <w:t>10.65m</w:t>
      </w:r>
      <w:r>
        <w:rPr>
          <w:bCs/>
          <w:color w:val="000000"/>
          <w:sz w:val="24"/>
        </w:rPr>
        <w:t>。该含水层属孔隙型潜水含水层，渗透性较强，季节性变化大。</w:t>
      </w:r>
    </w:p>
    <w:p w:rsidR="00240BCE" w:rsidRDefault="00AC0334">
      <w:pPr>
        <w:snapToGrid w:val="0"/>
        <w:spacing w:line="520" w:lineRule="exact"/>
        <w:ind w:firstLineChars="200" w:firstLine="480"/>
        <w:rPr>
          <w:bCs/>
          <w:color w:val="000000"/>
          <w:sz w:val="24"/>
        </w:rPr>
      </w:pPr>
      <w:r>
        <w:rPr>
          <w:bCs/>
          <w:color w:val="000000"/>
          <w:sz w:val="24"/>
        </w:rPr>
        <w:t>②</w:t>
      </w:r>
      <w:r>
        <w:rPr>
          <w:bCs/>
          <w:color w:val="000000"/>
          <w:sz w:val="24"/>
        </w:rPr>
        <w:t>平顶山砂岩裂隙含水层（</w:t>
      </w:r>
      <w:r>
        <w:rPr>
          <w:bCs/>
          <w:color w:val="000000"/>
          <w:sz w:val="24"/>
        </w:rPr>
        <w:t>Ⅱ</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岩性为浅灰、灰白色厚～巨厚层状中、粗粒长石石英砂岩，底部含石英岩砾及燧石砾。厚</w:t>
      </w:r>
      <w:r>
        <w:rPr>
          <w:bCs/>
          <w:color w:val="000000"/>
          <w:sz w:val="24"/>
        </w:rPr>
        <w:t>45.62—95.91m</w:t>
      </w:r>
      <w:r>
        <w:rPr>
          <w:bCs/>
          <w:color w:val="000000"/>
          <w:sz w:val="24"/>
        </w:rPr>
        <w:t>，平均</w:t>
      </w:r>
      <w:r>
        <w:rPr>
          <w:bCs/>
          <w:color w:val="000000"/>
          <w:sz w:val="24"/>
        </w:rPr>
        <w:t>66.44m</w:t>
      </w:r>
      <w:r>
        <w:rPr>
          <w:bCs/>
          <w:color w:val="000000"/>
          <w:sz w:val="24"/>
        </w:rPr>
        <w:t>。据《蔡寺～白沙区普查地质报告》，</w:t>
      </w:r>
      <w:r>
        <w:rPr>
          <w:bCs/>
          <w:color w:val="000000"/>
          <w:sz w:val="24"/>
        </w:rPr>
        <w:t>2113</w:t>
      </w:r>
      <w:r>
        <w:rPr>
          <w:bCs/>
          <w:color w:val="000000"/>
          <w:sz w:val="24"/>
        </w:rPr>
        <w:t>、</w:t>
      </w:r>
      <w:r>
        <w:rPr>
          <w:bCs/>
          <w:color w:val="000000"/>
          <w:sz w:val="24"/>
        </w:rPr>
        <w:t>2115</w:t>
      </w:r>
      <w:r>
        <w:rPr>
          <w:bCs/>
          <w:color w:val="000000"/>
          <w:sz w:val="24"/>
        </w:rPr>
        <w:t>孔漏水，漏失量大于</w:t>
      </w:r>
      <w:r>
        <w:rPr>
          <w:bCs/>
          <w:color w:val="000000"/>
          <w:sz w:val="24"/>
        </w:rPr>
        <w:t>9m</w:t>
      </w:r>
      <w:r>
        <w:rPr>
          <w:bCs/>
          <w:color w:val="000000"/>
          <w:sz w:val="24"/>
          <w:vertAlign w:val="superscript"/>
        </w:rPr>
        <w:t>3</w:t>
      </w:r>
      <w:r>
        <w:rPr>
          <w:bCs/>
          <w:color w:val="000000"/>
          <w:sz w:val="24"/>
        </w:rPr>
        <w:t>/h</w:t>
      </w:r>
      <w:r>
        <w:rPr>
          <w:bCs/>
          <w:color w:val="000000"/>
          <w:sz w:val="24"/>
        </w:rPr>
        <w:t>，该含水层厚度大，层位稳定，含裂隙承压水，为四</w:t>
      </w:r>
      <w:r>
        <w:rPr>
          <w:bCs/>
          <w:color w:val="000000"/>
          <w:sz w:val="24"/>
          <w:vertAlign w:val="subscript"/>
        </w:rPr>
        <w:t>2</w:t>
      </w:r>
      <w:r>
        <w:rPr>
          <w:bCs/>
          <w:color w:val="000000"/>
          <w:sz w:val="24"/>
        </w:rPr>
        <w:t>煤层顶板间接充水含水层，正常情况下不会影响未来四</w:t>
      </w:r>
      <w:r>
        <w:rPr>
          <w:bCs/>
          <w:color w:val="000000"/>
          <w:sz w:val="24"/>
          <w:vertAlign w:val="subscript"/>
        </w:rPr>
        <w:t>2</w:t>
      </w:r>
      <w:r>
        <w:rPr>
          <w:bCs/>
          <w:color w:val="000000"/>
          <w:sz w:val="24"/>
        </w:rPr>
        <w:t>煤层开采。但如遇充水通道，可能威胁矿井开采。</w:t>
      </w:r>
    </w:p>
    <w:p w:rsidR="00240BCE" w:rsidRDefault="00AC0334">
      <w:pPr>
        <w:snapToGrid w:val="0"/>
        <w:spacing w:line="520" w:lineRule="exact"/>
        <w:ind w:firstLineChars="200" w:firstLine="480"/>
        <w:rPr>
          <w:bCs/>
          <w:color w:val="000000"/>
          <w:sz w:val="24"/>
        </w:rPr>
      </w:pPr>
      <w:r>
        <w:rPr>
          <w:bCs/>
          <w:color w:val="000000"/>
          <w:sz w:val="24"/>
        </w:rPr>
        <w:t>③</w:t>
      </w:r>
      <w:r>
        <w:rPr>
          <w:bCs/>
          <w:color w:val="000000"/>
          <w:sz w:val="24"/>
        </w:rPr>
        <w:t>上石盒子组中粗粒砂岩裂隙含水层（</w:t>
      </w:r>
      <w:r>
        <w:rPr>
          <w:bCs/>
          <w:color w:val="000000"/>
          <w:sz w:val="24"/>
        </w:rPr>
        <w:t>Ⅲ</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主要由田家沟砂岩、八底砂岩、九底砂岩及各煤段其他中粗粒砂岩组成，据《蔡寺～白沙区普查地质报告》，</w:t>
      </w:r>
      <w:r>
        <w:rPr>
          <w:bCs/>
          <w:color w:val="000000"/>
          <w:sz w:val="24"/>
        </w:rPr>
        <w:t>2</w:t>
      </w:r>
      <w:r>
        <w:rPr>
          <w:bCs/>
          <w:color w:val="000000"/>
          <w:sz w:val="24"/>
        </w:rPr>
        <w:t>孔漏水、</w:t>
      </w:r>
      <w:r>
        <w:rPr>
          <w:bCs/>
          <w:color w:val="000000"/>
          <w:sz w:val="24"/>
        </w:rPr>
        <w:t>1</w:t>
      </w:r>
      <w:r>
        <w:rPr>
          <w:bCs/>
          <w:color w:val="000000"/>
          <w:sz w:val="24"/>
        </w:rPr>
        <w:t>孔涌水，漏失量</w:t>
      </w:r>
      <w:r>
        <w:rPr>
          <w:bCs/>
          <w:color w:val="000000"/>
          <w:sz w:val="24"/>
        </w:rPr>
        <w:t>2.4</w:t>
      </w:r>
      <w:r>
        <w:rPr>
          <w:bCs/>
          <w:color w:val="000000"/>
          <w:sz w:val="24"/>
        </w:rPr>
        <w:t>～</w:t>
      </w:r>
      <w:r>
        <w:rPr>
          <w:bCs/>
          <w:color w:val="000000"/>
          <w:sz w:val="24"/>
        </w:rPr>
        <w:t>7.8m3/h</w:t>
      </w:r>
      <w:r>
        <w:rPr>
          <w:bCs/>
          <w:color w:val="000000"/>
          <w:sz w:val="24"/>
        </w:rPr>
        <w:t>，涌水量</w:t>
      </w:r>
      <w:r>
        <w:rPr>
          <w:bCs/>
          <w:color w:val="000000"/>
          <w:sz w:val="24"/>
        </w:rPr>
        <w:t>0.203m</w:t>
      </w:r>
      <w:r>
        <w:rPr>
          <w:bCs/>
          <w:color w:val="000000"/>
          <w:sz w:val="24"/>
          <w:vertAlign w:val="superscript"/>
        </w:rPr>
        <w:t>3</w:t>
      </w:r>
      <w:r>
        <w:rPr>
          <w:bCs/>
          <w:color w:val="000000"/>
          <w:sz w:val="24"/>
        </w:rPr>
        <w:t>/h</w:t>
      </w:r>
      <w:r>
        <w:rPr>
          <w:bCs/>
          <w:color w:val="000000"/>
          <w:sz w:val="24"/>
        </w:rPr>
        <w:t>。该含水层含裂隙承压水，富水性弱，为四</w:t>
      </w:r>
      <w:r>
        <w:rPr>
          <w:bCs/>
          <w:color w:val="000000"/>
          <w:sz w:val="24"/>
          <w:vertAlign w:val="subscript"/>
        </w:rPr>
        <w:t>2</w:t>
      </w:r>
      <w:r>
        <w:rPr>
          <w:bCs/>
          <w:color w:val="000000"/>
          <w:sz w:val="24"/>
        </w:rPr>
        <w:t>煤层顶板间接充水含水层。正常情况下不会影响煤层开采，但遇构造破坏地段，将导通各含水层之间水力联系，对矿井生产产生威胁。</w:t>
      </w:r>
    </w:p>
    <w:p w:rsidR="00240BCE" w:rsidRDefault="00AC0334">
      <w:pPr>
        <w:snapToGrid w:val="0"/>
        <w:spacing w:line="520" w:lineRule="exact"/>
        <w:ind w:firstLineChars="200" w:firstLine="480"/>
        <w:rPr>
          <w:bCs/>
          <w:color w:val="000000"/>
          <w:sz w:val="24"/>
        </w:rPr>
      </w:pPr>
      <w:r>
        <w:rPr>
          <w:bCs/>
          <w:color w:val="000000"/>
          <w:sz w:val="24"/>
        </w:rPr>
        <w:t>④</w:t>
      </w:r>
      <w:r>
        <w:rPr>
          <w:bCs/>
          <w:color w:val="000000"/>
          <w:sz w:val="24"/>
        </w:rPr>
        <w:t>二叠系下石盒子组中、粗粒砂岩裂隙含水层（</w:t>
      </w:r>
      <w:r>
        <w:rPr>
          <w:bCs/>
          <w:color w:val="000000"/>
          <w:sz w:val="24"/>
        </w:rPr>
        <w:t>Ⅳ</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位于四</w:t>
      </w:r>
      <w:r>
        <w:rPr>
          <w:bCs/>
          <w:color w:val="000000"/>
          <w:sz w:val="24"/>
          <w:vertAlign w:val="subscript"/>
        </w:rPr>
        <w:t>2</w:t>
      </w:r>
      <w:r>
        <w:rPr>
          <w:bCs/>
          <w:color w:val="000000"/>
          <w:sz w:val="24"/>
        </w:rPr>
        <w:t>煤之上，由中粗粒砂岩及部分细粒砂岩组成，层位稳定，平均厚约</w:t>
      </w:r>
      <w:r>
        <w:rPr>
          <w:bCs/>
          <w:color w:val="000000"/>
          <w:sz w:val="24"/>
        </w:rPr>
        <w:t>14.48m</w:t>
      </w:r>
      <w:r>
        <w:rPr>
          <w:bCs/>
          <w:color w:val="000000"/>
          <w:sz w:val="24"/>
        </w:rPr>
        <w:t>。据区外</w:t>
      </w:r>
      <w:r>
        <w:rPr>
          <w:bCs/>
          <w:color w:val="000000"/>
          <w:sz w:val="24"/>
        </w:rPr>
        <w:t>2194</w:t>
      </w:r>
      <w:r>
        <w:rPr>
          <w:bCs/>
          <w:color w:val="000000"/>
          <w:sz w:val="24"/>
        </w:rPr>
        <w:t>钻孔简易水文观测资料，漏失量</w:t>
      </w:r>
      <w:r>
        <w:rPr>
          <w:bCs/>
          <w:color w:val="000000"/>
          <w:sz w:val="24"/>
        </w:rPr>
        <w:t>4.8m</w:t>
      </w:r>
      <w:r>
        <w:rPr>
          <w:bCs/>
          <w:color w:val="000000"/>
          <w:sz w:val="24"/>
          <w:vertAlign w:val="superscript"/>
        </w:rPr>
        <w:t>3</w:t>
      </w:r>
      <w:r>
        <w:rPr>
          <w:bCs/>
          <w:color w:val="000000"/>
          <w:sz w:val="24"/>
        </w:rPr>
        <w:t>/h</w:t>
      </w:r>
      <w:r>
        <w:rPr>
          <w:bCs/>
          <w:color w:val="000000"/>
          <w:sz w:val="24"/>
        </w:rPr>
        <w:t>，近似稳定水位标高</w:t>
      </w:r>
      <w:r>
        <w:rPr>
          <w:bCs/>
          <w:color w:val="000000"/>
          <w:sz w:val="24"/>
        </w:rPr>
        <w:t>+280.62m</w:t>
      </w:r>
      <w:r>
        <w:rPr>
          <w:bCs/>
          <w:color w:val="000000"/>
          <w:sz w:val="24"/>
        </w:rPr>
        <w:t>。属裂隙承压含水层，富、导水性均弱。该含水层为四</w:t>
      </w:r>
      <w:r>
        <w:rPr>
          <w:bCs/>
          <w:color w:val="000000"/>
          <w:sz w:val="24"/>
          <w:vertAlign w:val="subscript"/>
        </w:rPr>
        <w:t>2</w:t>
      </w:r>
      <w:r>
        <w:rPr>
          <w:bCs/>
          <w:color w:val="000000"/>
          <w:sz w:val="24"/>
        </w:rPr>
        <w:t>煤层顶板直接充水含水层，因其富水性弱，一般不会影响四</w:t>
      </w:r>
      <w:r>
        <w:rPr>
          <w:bCs/>
          <w:color w:val="000000"/>
          <w:sz w:val="24"/>
          <w:vertAlign w:val="subscript"/>
        </w:rPr>
        <w:t>2</w:t>
      </w:r>
      <w:r>
        <w:rPr>
          <w:bCs/>
          <w:color w:val="000000"/>
          <w:sz w:val="24"/>
        </w:rPr>
        <w:t>煤开采，但丰水季节及构造破坏地段，应加强对涌水量观测工作。</w:t>
      </w:r>
    </w:p>
    <w:p w:rsidR="00240BCE" w:rsidRDefault="00AC0334">
      <w:pPr>
        <w:snapToGrid w:val="0"/>
        <w:spacing w:line="520" w:lineRule="exact"/>
        <w:ind w:firstLineChars="200" w:firstLine="480"/>
        <w:rPr>
          <w:bCs/>
          <w:color w:val="000000"/>
          <w:sz w:val="24"/>
        </w:rPr>
      </w:pPr>
      <w:r>
        <w:rPr>
          <w:bCs/>
          <w:color w:val="000000"/>
          <w:sz w:val="24"/>
        </w:rPr>
        <w:lastRenderedPageBreak/>
        <w:t>⑤</w:t>
      </w:r>
      <w:r>
        <w:rPr>
          <w:bCs/>
          <w:color w:val="000000"/>
          <w:sz w:val="24"/>
        </w:rPr>
        <w:t>二</w:t>
      </w:r>
      <w:r>
        <w:rPr>
          <w:bCs/>
          <w:color w:val="000000"/>
          <w:sz w:val="24"/>
          <w:vertAlign w:val="subscript"/>
        </w:rPr>
        <w:t>1</w:t>
      </w:r>
      <w:r>
        <w:rPr>
          <w:bCs/>
          <w:color w:val="000000"/>
          <w:sz w:val="24"/>
        </w:rPr>
        <w:t>煤层顶板砂岩裂隙含水层（</w:t>
      </w:r>
      <w:r>
        <w:rPr>
          <w:bCs/>
          <w:color w:val="000000"/>
          <w:sz w:val="24"/>
        </w:rPr>
        <w:t>Ⅴ</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位于二</w:t>
      </w:r>
      <w:r>
        <w:rPr>
          <w:bCs/>
          <w:color w:val="000000"/>
          <w:sz w:val="24"/>
          <w:vertAlign w:val="subscript"/>
        </w:rPr>
        <w:t>1</w:t>
      </w:r>
      <w:r>
        <w:rPr>
          <w:bCs/>
          <w:color w:val="000000"/>
          <w:sz w:val="24"/>
        </w:rPr>
        <w:t>煤层之上，由</w:t>
      </w:r>
      <w:r>
        <w:rPr>
          <w:bCs/>
          <w:color w:val="000000"/>
          <w:sz w:val="24"/>
        </w:rPr>
        <w:t>1</w:t>
      </w:r>
      <w:r>
        <w:rPr>
          <w:bCs/>
          <w:color w:val="000000"/>
          <w:sz w:val="24"/>
        </w:rPr>
        <w:t>～</w:t>
      </w:r>
      <w:r>
        <w:rPr>
          <w:bCs/>
          <w:color w:val="000000"/>
          <w:sz w:val="24"/>
        </w:rPr>
        <w:t>4</w:t>
      </w:r>
      <w:r>
        <w:rPr>
          <w:bCs/>
          <w:color w:val="000000"/>
          <w:sz w:val="24"/>
        </w:rPr>
        <w:t>层中、粗粒砂岩及部分细粒砂岩组成，以大占砂岩、香炭砂岩及砂锅窑砂岩为主，层位稳定，平均厚约</w:t>
      </w:r>
      <w:r>
        <w:rPr>
          <w:bCs/>
          <w:color w:val="000000"/>
          <w:sz w:val="24"/>
        </w:rPr>
        <w:t>16m</w:t>
      </w:r>
      <w:r>
        <w:rPr>
          <w:bCs/>
          <w:color w:val="000000"/>
          <w:sz w:val="24"/>
        </w:rPr>
        <w:t>，含裂隙承压水。</w:t>
      </w:r>
    </w:p>
    <w:p w:rsidR="00240BCE" w:rsidRDefault="00AC0334">
      <w:pPr>
        <w:snapToGrid w:val="0"/>
        <w:spacing w:line="520" w:lineRule="exact"/>
        <w:ind w:firstLineChars="200" w:firstLine="480"/>
        <w:rPr>
          <w:bCs/>
          <w:color w:val="000000"/>
          <w:sz w:val="24"/>
        </w:rPr>
      </w:pPr>
      <w:r>
        <w:rPr>
          <w:bCs/>
          <w:color w:val="000000"/>
          <w:sz w:val="24"/>
        </w:rPr>
        <w:t>据区外</w:t>
      </w:r>
      <w:r>
        <w:rPr>
          <w:bCs/>
          <w:color w:val="000000"/>
          <w:sz w:val="24"/>
        </w:rPr>
        <w:t>2591</w:t>
      </w:r>
      <w:r>
        <w:rPr>
          <w:bCs/>
          <w:color w:val="000000"/>
          <w:sz w:val="24"/>
        </w:rPr>
        <w:t>钻孔简易水文观测资料，该含水层漏失量</w:t>
      </w:r>
      <w:r>
        <w:rPr>
          <w:bCs/>
          <w:color w:val="000000"/>
          <w:sz w:val="24"/>
        </w:rPr>
        <w:t>4.80m</w:t>
      </w:r>
      <w:r>
        <w:rPr>
          <w:bCs/>
          <w:color w:val="000000"/>
          <w:sz w:val="24"/>
          <w:vertAlign w:val="superscript"/>
        </w:rPr>
        <w:t>3</w:t>
      </w:r>
      <w:r>
        <w:rPr>
          <w:bCs/>
          <w:color w:val="000000"/>
          <w:sz w:val="24"/>
        </w:rPr>
        <w:t>/h</w:t>
      </w:r>
      <w:r>
        <w:rPr>
          <w:bCs/>
          <w:color w:val="000000"/>
          <w:sz w:val="24"/>
        </w:rPr>
        <w:t>，漏水深度</w:t>
      </w:r>
      <w:r>
        <w:rPr>
          <w:bCs/>
          <w:color w:val="000000"/>
          <w:sz w:val="24"/>
        </w:rPr>
        <w:t>83.32m</w:t>
      </w:r>
      <w:r>
        <w:rPr>
          <w:bCs/>
          <w:color w:val="000000"/>
          <w:sz w:val="24"/>
        </w:rPr>
        <w:t>，近似稳定水位深度</w:t>
      </w:r>
      <w:r>
        <w:rPr>
          <w:bCs/>
          <w:color w:val="000000"/>
          <w:sz w:val="24"/>
        </w:rPr>
        <w:t>7.15m</w:t>
      </w:r>
      <w:r>
        <w:rPr>
          <w:bCs/>
          <w:color w:val="000000"/>
          <w:sz w:val="24"/>
        </w:rPr>
        <w:t>。近似稳定水位标高</w:t>
      </w:r>
      <w:r>
        <w:rPr>
          <w:bCs/>
          <w:color w:val="000000"/>
          <w:sz w:val="24"/>
        </w:rPr>
        <w:t>+230.22m</w:t>
      </w:r>
      <w:r>
        <w:rPr>
          <w:bCs/>
          <w:color w:val="000000"/>
          <w:sz w:val="24"/>
        </w:rPr>
        <w:t>。据区域上方山区</w:t>
      </w:r>
      <w:r>
        <w:rPr>
          <w:bCs/>
          <w:color w:val="000000"/>
          <w:sz w:val="24"/>
        </w:rPr>
        <w:t>CK2</w:t>
      </w:r>
      <w:r>
        <w:rPr>
          <w:bCs/>
          <w:color w:val="000000"/>
          <w:sz w:val="24"/>
        </w:rPr>
        <w:t>孔抽水试验资料，单位涌水量</w:t>
      </w:r>
      <w:r>
        <w:rPr>
          <w:bCs/>
          <w:color w:val="000000"/>
          <w:sz w:val="24"/>
        </w:rPr>
        <w:t>0.0151L/s·m</w:t>
      </w:r>
      <w:r>
        <w:rPr>
          <w:bCs/>
          <w:color w:val="000000"/>
          <w:sz w:val="24"/>
        </w:rPr>
        <w:t>，静止水位深度</w:t>
      </w:r>
      <w:r>
        <w:rPr>
          <w:bCs/>
          <w:color w:val="000000"/>
          <w:sz w:val="24"/>
        </w:rPr>
        <w:t>7.86m</w:t>
      </w:r>
      <w:r>
        <w:rPr>
          <w:bCs/>
          <w:color w:val="000000"/>
          <w:sz w:val="24"/>
        </w:rPr>
        <w:t>，静止水位标高</w:t>
      </w:r>
      <w:r>
        <w:rPr>
          <w:bCs/>
          <w:color w:val="000000"/>
          <w:sz w:val="24"/>
        </w:rPr>
        <w:t>+248.76m</w:t>
      </w:r>
      <w:r>
        <w:rPr>
          <w:bCs/>
          <w:color w:val="000000"/>
          <w:sz w:val="24"/>
        </w:rPr>
        <w:t>。地下水化学类型为</w:t>
      </w:r>
      <w:r>
        <w:rPr>
          <w:bCs/>
          <w:color w:val="000000"/>
          <w:sz w:val="24"/>
        </w:rPr>
        <w:t>HCO</w:t>
      </w:r>
      <w:r>
        <w:rPr>
          <w:bCs/>
          <w:color w:val="000000"/>
          <w:sz w:val="24"/>
          <w:vertAlign w:val="subscript"/>
        </w:rPr>
        <w:t>3</w:t>
      </w:r>
      <w:r>
        <w:rPr>
          <w:bCs/>
          <w:color w:val="000000"/>
          <w:sz w:val="24"/>
        </w:rPr>
        <w:t>-K·Ca</w:t>
      </w:r>
      <w:r>
        <w:rPr>
          <w:bCs/>
          <w:color w:val="000000"/>
          <w:sz w:val="24"/>
        </w:rPr>
        <w:t>型。该含水层是二</w:t>
      </w:r>
      <w:r>
        <w:rPr>
          <w:bCs/>
          <w:color w:val="000000"/>
          <w:sz w:val="24"/>
          <w:vertAlign w:val="subscript"/>
        </w:rPr>
        <w:t>1</w:t>
      </w:r>
      <w:r>
        <w:rPr>
          <w:bCs/>
          <w:color w:val="000000"/>
          <w:sz w:val="24"/>
        </w:rPr>
        <w:t>煤层顶板直接充水含水层，对二</w:t>
      </w:r>
      <w:r>
        <w:rPr>
          <w:bCs/>
          <w:color w:val="000000"/>
          <w:sz w:val="24"/>
          <w:vertAlign w:val="subscript"/>
        </w:rPr>
        <w:t>1</w:t>
      </w:r>
      <w:r>
        <w:rPr>
          <w:bCs/>
          <w:color w:val="000000"/>
          <w:sz w:val="24"/>
        </w:rPr>
        <w:t>煤层开采有一定直接影响。</w:t>
      </w:r>
    </w:p>
    <w:p w:rsidR="00240BCE" w:rsidRDefault="00AC0334">
      <w:pPr>
        <w:snapToGrid w:val="0"/>
        <w:spacing w:line="520" w:lineRule="exact"/>
        <w:ind w:firstLineChars="200" w:firstLine="480"/>
        <w:rPr>
          <w:bCs/>
          <w:color w:val="000000"/>
          <w:sz w:val="24"/>
        </w:rPr>
      </w:pPr>
      <w:r>
        <w:rPr>
          <w:bCs/>
          <w:color w:val="000000"/>
          <w:sz w:val="24"/>
        </w:rPr>
        <w:t>该含水层含孔隙裂隙承压水，含水、富水性弱，透水性差。邻区生产矿井调查资料表明该含水层富水性普遍较弱，矿井充水形式以淋水、渗水为主，矿井涌水量多在</w:t>
      </w:r>
      <w:r>
        <w:rPr>
          <w:bCs/>
          <w:color w:val="000000"/>
          <w:sz w:val="24"/>
        </w:rPr>
        <w:t>5</w:t>
      </w:r>
      <w:r>
        <w:rPr>
          <w:bCs/>
          <w:color w:val="000000"/>
          <w:sz w:val="24"/>
        </w:rPr>
        <w:t>～</w:t>
      </w:r>
      <w:r>
        <w:rPr>
          <w:bCs/>
          <w:color w:val="000000"/>
          <w:sz w:val="24"/>
        </w:rPr>
        <w:t>40m</w:t>
      </w:r>
      <w:r>
        <w:rPr>
          <w:bCs/>
          <w:color w:val="000000"/>
          <w:sz w:val="24"/>
          <w:vertAlign w:val="superscript"/>
        </w:rPr>
        <w:t>3</w:t>
      </w:r>
      <w:r>
        <w:rPr>
          <w:bCs/>
          <w:color w:val="000000"/>
          <w:sz w:val="24"/>
        </w:rPr>
        <w:t>/h</w:t>
      </w:r>
      <w:r>
        <w:rPr>
          <w:bCs/>
          <w:color w:val="000000"/>
          <w:sz w:val="24"/>
        </w:rPr>
        <w:t>之间。</w:t>
      </w:r>
    </w:p>
    <w:p w:rsidR="00240BCE" w:rsidRDefault="00AC0334">
      <w:pPr>
        <w:snapToGrid w:val="0"/>
        <w:spacing w:line="520" w:lineRule="exact"/>
        <w:ind w:firstLineChars="200" w:firstLine="480"/>
        <w:rPr>
          <w:bCs/>
          <w:color w:val="000000"/>
          <w:sz w:val="24"/>
        </w:rPr>
      </w:pPr>
      <w:r>
        <w:rPr>
          <w:bCs/>
          <w:color w:val="000000"/>
          <w:sz w:val="24"/>
        </w:rPr>
        <w:t>瞬变电磁资料解释该含水层富水异常区</w:t>
      </w:r>
      <w:r>
        <w:rPr>
          <w:bCs/>
          <w:color w:val="000000"/>
          <w:sz w:val="24"/>
        </w:rPr>
        <w:t>16</w:t>
      </w:r>
      <w:r>
        <w:rPr>
          <w:bCs/>
          <w:color w:val="000000"/>
          <w:sz w:val="24"/>
        </w:rPr>
        <w:t>处，主要分布于矿区浅部、断层破碎带处。说明区内断层具有一定含水性、导水性。但总体该含水层的导水、富水性相对较弱，一般不会威胁二</w:t>
      </w:r>
      <w:r>
        <w:rPr>
          <w:bCs/>
          <w:color w:val="000000"/>
          <w:sz w:val="24"/>
          <w:vertAlign w:val="subscript"/>
        </w:rPr>
        <w:t>1</w:t>
      </w:r>
      <w:r>
        <w:rPr>
          <w:bCs/>
          <w:color w:val="000000"/>
          <w:sz w:val="24"/>
        </w:rPr>
        <w:t>煤层开采。但在雨季或在构造破碎带附近开采，应密切注意涌水量变化，防止发生涌水、突水事故。</w:t>
      </w:r>
    </w:p>
    <w:p w:rsidR="00240BCE" w:rsidRDefault="00AC0334">
      <w:pPr>
        <w:snapToGrid w:val="0"/>
        <w:spacing w:line="520" w:lineRule="exact"/>
        <w:ind w:firstLineChars="200" w:firstLine="480"/>
        <w:rPr>
          <w:bCs/>
          <w:color w:val="000000"/>
          <w:sz w:val="24"/>
        </w:rPr>
      </w:pPr>
      <w:r>
        <w:rPr>
          <w:bCs/>
          <w:color w:val="000000"/>
          <w:sz w:val="24"/>
        </w:rPr>
        <w:t>⑥</w:t>
      </w:r>
      <w:r>
        <w:rPr>
          <w:bCs/>
          <w:color w:val="000000"/>
          <w:sz w:val="24"/>
        </w:rPr>
        <w:t>石炭系上统太原组上段灰岩岩溶含水层（</w:t>
      </w:r>
      <w:r>
        <w:rPr>
          <w:bCs/>
          <w:color w:val="000000"/>
          <w:sz w:val="24"/>
        </w:rPr>
        <w:t>Ⅵ</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主要由</w:t>
      </w:r>
      <w:r>
        <w:rPr>
          <w:bCs/>
          <w:color w:val="000000"/>
          <w:sz w:val="24"/>
        </w:rPr>
        <w:t>L</w:t>
      </w:r>
      <w:r>
        <w:rPr>
          <w:bCs/>
          <w:color w:val="000000"/>
          <w:sz w:val="24"/>
          <w:vertAlign w:val="subscript"/>
        </w:rPr>
        <w:t>7</w:t>
      </w:r>
      <w:r>
        <w:rPr>
          <w:bCs/>
          <w:color w:val="000000"/>
          <w:sz w:val="24"/>
        </w:rPr>
        <w:t>～</w:t>
      </w:r>
      <w:r>
        <w:rPr>
          <w:bCs/>
          <w:color w:val="000000"/>
          <w:sz w:val="24"/>
        </w:rPr>
        <w:t>L</w:t>
      </w:r>
      <w:r>
        <w:rPr>
          <w:bCs/>
          <w:color w:val="000000"/>
          <w:sz w:val="24"/>
          <w:vertAlign w:val="subscript"/>
        </w:rPr>
        <w:t>8</w:t>
      </w:r>
      <w:r>
        <w:rPr>
          <w:bCs/>
          <w:color w:val="000000"/>
          <w:sz w:val="24"/>
        </w:rPr>
        <w:t>灰岩组成，厚</w:t>
      </w:r>
      <w:r>
        <w:rPr>
          <w:bCs/>
          <w:color w:val="000000"/>
          <w:sz w:val="24"/>
        </w:rPr>
        <w:t>8.85m</w:t>
      </w:r>
      <w:r>
        <w:rPr>
          <w:bCs/>
          <w:color w:val="000000"/>
          <w:sz w:val="24"/>
        </w:rPr>
        <w:t>。根据与本矿邻近的富山煤矿</w:t>
      </w:r>
      <w:r>
        <w:rPr>
          <w:bCs/>
          <w:color w:val="000000"/>
          <w:sz w:val="24"/>
        </w:rPr>
        <w:t>6-2</w:t>
      </w:r>
      <w:r>
        <w:rPr>
          <w:bCs/>
          <w:color w:val="000000"/>
          <w:sz w:val="24"/>
        </w:rPr>
        <w:t>钻孔抽水试验，静水位标高</w:t>
      </w:r>
      <w:r>
        <w:rPr>
          <w:bCs/>
          <w:color w:val="000000"/>
          <w:sz w:val="24"/>
        </w:rPr>
        <w:t>+213.20m</w:t>
      </w:r>
      <w:r>
        <w:rPr>
          <w:bCs/>
          <w:color w:val="000000"/>
          <w:sz w:val="24"/>
        </w:rPr>
        <w:t>，单位涌水量</w:t>
      </w:r>
      <w:r>
        <w:rPr>
          <w:bCs/>
          <w:color w:val="000000"/>
          <w:sz w:val="24"/>
        </w:rPr>
        <w:t>0.0038L/s.m</w:t>
      </w:r>
      <w:r>
        <w:rPr>
          <w:bCs/>
          <w:color w:val="000000"/>
          <w:sz w:val="24"/>
        </w:rPr>
        <w:t>，渗透系数</w:t>
      </w:r>
      <w:r>
        <w:rPr>
          <w:bCs/>
          <w:color w:val="000000"/>
          <w:sz w:val="24"/>
        </w:rPr>
        <w:t>0.1205m/d</w:t>
      </w:r>
      <w:r>
        <w:rPr>
          <w:bCs/>
          <w:color w:val="000000"/>
          <w:sz w:val="24"/>
        </w:rPr>
        <w:t>，水化学类型为</w:t>
      </w:r>
      <w:r>
        <w:rPr>
          <w:bCs/>
          <w:color w:val="000000"/>
          <w:sz w:val="24"/>
        </w:rPr>
        <w:t>HCO</w:t>
      </w:r>
      <w:r>
        <w:rPr>
          <w:bCs/>
          <w:color w:val="000000"/>
          <w:sz w:val="24"/>
          <w:vertAlign w:val="subscript"/>
        </w:rPr>
        <w:t>3</w:t>
      </w:r>
      <w:r>
        <w:rPr>
          <w:bCs/>
          <w:color w:val="000000"/>
          <w:sz w:val="24"/>
        </w:rPr>
        <w:t>-K+Na</w:t>
      </w:r>
      <w:r>
        <w:rPr>
          <w:bCs/>
          <w:color w:val="000000"/>
          <w:sz w:val="24"/>
        </w:rPr>
        <w:t>型，水温</w:t>
      </w:r>
      <w:r>
        <w:rPr>
          <w:bCs/>
          <w:color w:val="000000"/>
          <w:sz w:val="24"/>
        </w:rPr>
        <w:t>24℃</w:t>
      </w:r>
      <w:r>
        <w:rPr>
          <w:bCs/>
          <w:color w:val="000000"/>
          <w:sz w:val="24"/>
        </w:rPr>
        <w:t>，矿化度</w:t>
      </w:r>
      <w:r>
        <w:rPr>
          <w:bCs/>
          <w:color w:val="000000"/>
          <w:sz w:val="24"/>
        </w:rPr>
        <w:t>0.115g/L</w:t>
      </w:r>
      <w:r>
        <w:rPr>
          <w:bCs/>
          <w:color w:val="000000"/>
          <w:sz w:val="24"/>
        </w:rPr>
        <w:t>，</w:t>
      </w:r>
      <w:r>
        <w:rPr>
          <w:bCs/>
          <w:color w:val="000000"/>
          <w:sz w:val="24"/>
        </w:rPr>
        <w:t>PH</w:t>
      </w:r>
      <w:r>
        <w:rPr>
          <w:bCs/>
          <w:color w:val="000000"/>
          <w:sz w:val="24"/>
        </w:rPr>
        <w:t>值</w:t>
      </w:r>
      <w:r>
        <w:rPr>
          <w:bCs/>
          <w:color w:val="000000"/>
          <w:sz w:val="24"/>
        </w:rPr>
        <w:t>8.68</w:t>
      </w:r>
      <w:r>
        <w:rPr>
          <w:bCs/>
          <w:color w:val="000000"/>
          <w:sz w:val="24"/>
        </w:rPr>
        <w:t>。根据水文观测孔</w:t>
      </w:r>
      <w:r>
        <w:rPr>
          <w:bCs/>
          <w:color w:val="000000"/>
          <w:sz w:val="24"/>
        </w:rPr>
        <w:t>G1</w:t>
      </w:r>
      <w:r>
        <w:rPr>
          <w:bCs/>
          <w:color w:val="000000"/>
          <w:sz w:val="24"/>
        </w:rPr>
        <w:t>资料：主要由太原组上段</w:t>
      </w:r>
      <w:r>
        <w:rPr>
          <w:bCs/>
          <w:color w:val="000000"/>
          <w:sz w:val="24"/>
        </w:rPr>
        <w:t>L</w:t>
      </w:r>
      <w:r>
        <w:rPr>
          <w:bCs/>
          <w:color w:val="000000"/>
          <w:sz w:val="24"/>
          <w:vertAlign w:val="subscript"/>
        </w:rPr>
        <w:t>7</w:t>
      </w:r>
      <w:r>
        <w:rPr>
          <w:bCs/>
          <w:color w:val="000000"/>
          <w:sz w:val="24"/>
        </w:rPr>
        <w:t>和</w:t>
      </w:r>
      <w:r>
        <w:rPr>
          <w:bCs/>
          <w:color w:val="000000"/>
          <w:sz w:val="24"/>
        </w:rPr>
        <w:t>L</w:t>
      </w:r>
      <w:r>
        <w:rPr>
          <w:bCs/>
          <w:color w:val="000000"/>
          <w:sz w:val="24"/>
          <w:vertAlign w:val="subscript"/>
        </w:rPr>
        <w:t>8</w:t>
      </w:r>
      <w:r>
        <w:rPr>
          <w:bCs/>
          <w:color w:val="000000"/>
          <w:sz w:val="24"/>
        </w:rPr>
        <w:t>灰岩组成，层位稳定，岩性为深灰色含生物碎屑泥晶灰岩，含燧石团块，有裂隙和溶蚀现象。</w:t>
      </w:r>
      <w:r>
        <w:rPr>
          <w:bCs/>
          <w:color w:val="000000"/>
          <w:sz w:val="24"/>
        </w:rPr>
        <w:t>G1</w:t>
      </w:r>
      <w:r>
        <w:rPr>
          <w:bCs/>
          <w:color w:val="000000"/>
          <w:sz w:val="24"/>
        </w:rPr>
        <w:t>钻孔揭露</w:t>
      </w:r>
      <w:r>
        <w:rPr>
          <w:bCs/>
          <w:color w:val="000000"/>
          <w:sz w:val="24"/>
        </w:rPr>
        <w:t>L</w:t>
      </w:r>
      <w:r>
        <w:rPr>
          <w:bCs/>
          <w:color w:val="000000"/>
          <w:sz w:val="24"/>
          <w:vertAlign w:val="subscript"/>
        </w:rPr>
        <w:t>8</w:t>
      </w:r>
      <w:r>
        <w:rPr>
          <w:bCs/>
          <w:color w:val="000000"/>
          <w:sz w:val="24"/>
        </w:rPr>
        <w:t>灰厚度</w:t>
      </w:r>
      <w:r>
        <w:rPr>
          <w:bCs/>
          <w:color w:val="000000"/>
          <w:sz w:val="24"/>
        </w:rPr>
        <w:t>5.4m</w:t>
      </w:r>
      <w:r>
        <w:rPr>
          <w:bCs/>
          <w:color w:val="000000"/>
          <w:sz w:val="24"/>
        </w:rPr>
        <w:t>、</w:t>
      </w:r>
      <w:r>
        <w:rPr>
          <w:bCs/>
          <w:color w:val="000000"/>
          <w:sz w:val="24"/>
        </w:rPr>
        <w:t>L</w:t>
      </w:r>
      <w:r>
        <w:rPr>
          <w:bCs/>
          <w:color w:val="000000"/>
          <w:sz w:val="24"/>
          <w:vertAlign w:val="subscript"/>
        </w:rPr>
        <w:t>7</w:t>
      </w:r>
      <w:r>
        <w:rPr>
          <w:bCs/>
          <w:color w:val="000000"/>
          <w:sz w:val="24"/>
        </w:rPr>
        <w:t>灰</w:t>
      </w:r>
      <w:r>
        <w:rPr>
          <w:bCs/>
          <w:color w:val="000000"/>
          <w:sz w:val="24"/>
        </w:rPr>
        <w:t>4.7m</w:t>
      </w:r>
      <w:r>
        <w:rPr>
          <w:bCs/>
          <w:color w:val="000000"/>
          <w:sz w:val="24"/>
        </w:rPr>
        <w:t>，合计厚度</w:t>
      </w:r>
      <w:r>
        <w:rPr>
          <w:bCs/>
          <w:color w:val="000000"/>
          <w:sz w:val="24"/>
        </w:rPr>
        <w:t>10.1m</w:t>
      </w:r>
      <w:r>
        <w:rPr>
          <w:bCs/>
          <w:color w:val="000000"/>
          <w:sz w:val="24"/>
        </w:rPr>
        <w:t>。该含水层富水性弱，但极不均一，为二</w:t>
      </w:r>
      <w:r>
        <w:rPr>
          <w:bCs/>
          <w:color w:val="000000"/>
          <w:sz w:val="24"/>
          <w:vertAlign w:val="subscript"/>
        </w:rPr>
        <w:t>1</w:t>
      </w:r>
      <w:r>
        <w:rPr>
          <w:bCs/>
          <w:color w:val="000000"/>
          <w:sz w:val="24"/>
        </w:rPr>
        <w:t>煤底板直接充水含水层。</w:t>
      </w:r>
    </w:p>
    <w:p w:rsidR="00240BCE" w:rsidRDefault="00AC0334">
      <w:pPr>
        <w:snapToGrid w:val="0"/>
        <w:spacing w:line="520" w:lineRule="exact"/>
        <w:ind w:firstLineChars="200" w:firstLine="480"/>
        <w:rPr>
          <w:bCs/>
          <w:color w:val="000000"/>
          <w:sz w:val="24"/>
        </w:rPr>
      </w:pPr>
      <w:r>
        <w:rPr>
          <w:bCs/>
          <w:color w:val="000000"/>
          <w:sz w:val="24"/>
        </w:rPr>
        <w:t>⑦</w:t>
      </w:r>
      <w:r>
        <w:rPr>
          <w:bCs/>
          <w:color w:val="000000"/>
          <w:sz w:val="24"/>
        </w:rPr>
        <w:t>石炭系上统太原组下段灰岩岩溶含水层（</w:t>
      </w:r>
      <w:r>
        <w:rPr>
          <w:bCs/>
          <w:color w:val="000000"/>
          <w:sz w:val="24"/>
        </w:rPr>
        <w:t>Ⅶ</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由太原组下段</w:t>
      </w:r>
      <w:r>
        <w:rPr>
          <w:bCs/>
          <w:color w:val="000000"/>
          <w:sz w:val="24"/>
        </w:rPr>
        <w:t>L</w:t>
      </w:r>
      <w:r>
        <w:rPr>
          <w:bCs/>
          <w:color w:val="000000"/>
          <w:sz w:val="24"/>
          <w:vertAlign w:val="subscript"/>
        </w:rPr>
        <w:t>1</w:t>
      </w:r>
      <w:r>
        <w:rPr>
          <w:bCs/>
          <w:color w:val="000000"/>
          <w:sz w:val="24"/>
        </w:rPr>
        <w:t>～</w:t>
      </w:r>
      <w:r>
        <w:rPr>
          <w:bCs/>
          <w:color w:val="000000"/>
          <w:sz w:val="24"/>
        </w:rPr>
        <w:t>L</w:t>
      </w:r>
      <w:r>
        <w:rPr>
          <w:bCs/>
          <w:color w:val="000000"/>
          <w:sz w:val="24"/>
          <w:vertAlign w:val="subscript"/>
        </w:rPr>
        <w:t>4</w:t>
      </w:r>
      <w:r>
        <w:rPr>
          <w:bCs/>
          <w:color w:val="000000"/>
          <w:sz w:val="24"/>
        </w:rPr>
        <w:t>灰岩组成，其中</w:t>
      </w:r>
      <w:r>
        <w:rPr>
          <w:bCs/>
          <w:color w:val="000000"/>
          <w:sz w:val="24"/>
        </w:rPr>
        <w:t>L</w:t>
      </w:r>
      <w:r>
        <w:rPr>
          <w:bCs/>
          <w:color w:val="000000"/>
          <w:sz w:val="24"/>
          <w:vertAlign w:val="subscript"/>
        </w:rPr>
        <w:t>1</w:t>
      </w:r>
      <w:r>
        <w:rPr>
          <w:bCs/>
          <w:color w:val="000000"/>
          <w:sz w:val="24"/>
        </w:rPr>
        <w:t>和</w:t>
      </w:r>
      <w:r>
        <w:rPr>
          <w:bCs/>
          <w:color w:val="000000"/>
          <w:sz w:val="24"/>
        </w:rPr>
        <w:t xml:space="preserve"> L</w:t>
      </w:r>
      <w:r>
        <w:rPr>
          <w:bCs/>
          <w:color w:val="000000"/>
          <w:sz w:val="24"/>
          <w:vertAlign w:val="subscript"/>
        </w:rPr>
        <w:t>4</w:t>
      </w:r>
      <w:r>
        <w:rPr>
          <w:bCs/>
          <w:color w:val="000000"/>
          <w:sz w:val="24"/>
        </w:rPr>
        <w:t>层位稳定，分布较普遍，</w:t>
      </w:r>
      <w:r>
        <w:rPr>
          <w:bCs/>
          <w:color w:val="000000"/>
          <w:sz w:val="24"/>
        </w:rPr>
        <w:t>G1</w:t>
      </w:r>
      <w:r>
        <w:rPr>
          <w:bCs/>
          <w:color w:val="000000"/>
          <w:sz w:val="24"/>
        </w:rPr>
        <w:t>钻孔</w:t>
      </w:r>
      <w:r>
        <w:rPr>
          <w:bCs/>
          <w:color w:val="000000"/>
          <w:sz w:val="24"/>
        </w:rPr>
        <w:lastRenderedPageBreak/>
        <w:t>揭露</w:t>
      </w:r>
      <w:r>
        <w:rPr>
          <w:bCs/>
          <w:color w:val="000000"/>
          <w:sz w:val="24"/>
        </w:rPr>
        <w:t>L</w:t>
      </w:r>
      <w:r>
        <w:rPr>
          <w:bCs/>
          <w:color w:val="000000"/>
          <w:sz w:val="24"/>
          <w:vertAlign w:val="subscript"/>
        </w:rPr>
        <w:t>1</w:t>
      </w:r>
      <w:r>
        <w:rPr>
          <w:bCs/>
          <w:color w:val="000000"/>
          <w:sz w:val="24"/>
        </w:rPr>
        <w:t>～</w:t>
      </w:r>
      <w:r>
        <w:rPr>
          <w:bCs/>
          <w:color w:val="000000"/>
          <w:sz w:val="24"/>
        </w:rPr>
        <w:t>L</w:t>
      </w:r>
      <w:r>
        <w:rPr>
          <w:bCs/>
          <w:color w:val="000000"/>
          <w:sz w:val="24"/>
          <w:vertAlign w:val="subscript"/>
        </w:rPr>
        <w:t>4</w:t>
      </w:r>
      <w:r>
        <w:rPr>
          <w:bCs/>
          <w:color w:val="000000"/>
          <w:sz w:val="24"/>
        </w:rPr>
        <w:t>灰岩三层分别为</w:t>
      </w:r>
      <w:r>
        <w:rPr>
          <w:bCs/>
          <w:color w:val="000000"/>
          <w:sz w:val="24"/>
        </w:rPr>
        <w:t>6.3m</w:t>
      </w:r>
      <w:r>
        <w:rPr>
          <w:bCs/>
          <w:color w:val="000000"/>
          <w:sz w:val="24"/>
        </w:rPr>
        <w:t>、</w:t>
      </w:r>
      <w:r>
        <w:rPr>
          <w:bCs/>
          <w:color w:val="000000"/>
          <w:sz w:val="24"/>
        </w:rPr>
        <w:t>2.0m</w:t>
      </w:r>
      <w:r>
        <w:rPr>
          <w:bCs/>
          <w:color w:val="000000"/>
          <w:sz w:val="24"/>
        </w:rPr>
        <w:t>、</w:t>
      </w:r>
      <w:r>
        <w:rPr>
          <w:bCs/>
          <w:color w:val="000000"/>
          <w:sz w:val="24"/>
        </w:rPr>
        <w:t>2.5m</w:t>
      </w:r>
      <w:r>
        <w:rPr>
          <w:bCs/>
          <w:color w:val="000000"/>
          <w:sz w:val="24"/>
        </w:rPr>
        <w:t>，合计厚度</w:t>
      </w:r>
      <w:r>
        <w:rPr>
          <w:bCs/>
          <w:color w:val="000000"/>
          <w:sz w:val="24"/>
        </w:rPr>
        <w:t>10.8m</w:t>
      </w:r>
      <w:r>
        <w:rPr>
          <w:bCs/>
          <w:color w:val="000000"/>
          <w:sz w:val="24"/>
        </w:rPr>
        <w:t>，</w:t>
      </w:r>
      <w:r>
        <w:rPr>
          <w:bCs/>
          <w:color w:val="000000"/>
          <w:sz w:val="24"/>
        </w:rPr>
        <w:t xml:space="preserve"> </w:t>
      </w:r>
    </w:p>
    <w:p w:rsidR="00240BCE" w:rsidRDefault="00AC0334">
      <w:pPr>
        <w:snapToGrid w:val="0"/>
        <w:spacing w:line="520" w:lineRule="exact"/>
        <w:ind w:firstLineChars="200" w:firstLine="480"/>
        <w:rPr>
          <w:bCs/>
          <w:color w:val="000000"/>
          <w:sz w:val="24"/>
        </w:rPr>
      </w:pPr>
      <w:r>
        <w:rPr>
          <w:bCs/>
          <w:color w:val="000000"/>
          <w:sz w:val="24"/>
        </w:rPr>
        <w:t>该层透水性能强，因岩溶裂隙发育的极不均一性，导致富水性很不均一，总体上富水性中等，一般情况下对开采二</w:t>
      </w:r>
      <w:r>
        <w:rPr>
          <w:bCs/>
          <w:color w:val="000000"/>
          <w:sz w:val="24"/>
          <w:vertAlign w:val="subscript"/>
        </w:rPr>
        <w:t>1</w:t>
      </w:r>
      <w:r>
        <w:rPr>
          <w:bCs/>
          <w:color w:val="000000"/>
          <w:sz w:val="24"/>
        </w:rPr>
        <w:t>煤影响不大，为二</w:t>
      </w:r>
      <w:r>
        <w:rPr>
          <w:bCs/>
          <w:color w:val="000000"/>
          <w:sz w:val="24"/>
          <w:vertAlign w:val="subscript"/>
        </w:rPr>
        <w:t>1</w:t>
      </w:r>
      <w:r>
        <w:rPr>
          <w:bCs/>
          <w:color w:val="000000"/>
          <w:sz w:val="24"/>
        </w:rPr>
        <w:t>煤层底板间接充水含水层。</w:t>
      </w:r>
    </w:p>
    <w:p w:rsidR="00240BCE" w:rsidRDefault="00AC0334">
      <w:pPr>
        <w:snapToGrid w:val="0"/>
        <w:spacing w:line="520" w:lineRule="exact"/>
        <w:ind w:firstLineChars="200" w:firstLine="480"/>
        <w:rPr>
          <w:bCs/>
          <w:color w:val="000000"/>
          <w:sz w:val="24"/>
        </w:rPr>
      </w:pPr>
      <w:r>
        <w:rPr>
          <w:bCs/>
          <w:color w:val="000000"/>
          <w:sz w:val="24"/>
        </w:rPr>
        <w:t>⑧</w:t>
      </w:r>
      <w:r>
        <w:rPr>
          <w:bCs/>
          <w:color w:val="000000"/>
          <w:sz w:val="24"/>
        </w:rPr>
        <w:t>寒武系上统灰岩岩溶含水层（</w:t>
      </w:r>
      <w:r>
        <w:rPr>
          <w:bCs/>
          <w:color w:val="000000"/>
          <w:sz w:val="24"/>
        </w:rPr>
        <w:t>Ⅷ</w:t>
      </w:r>
      <w:r>
        <w:rPr>
          <w:bCs/>
          <w:color w:val="000000"/>
          <w:sz w:val="24"/>
        </w:rPr>
        <w:t>）</w:t>
      </w:r>
    </w:p>
    <w:p w:rsidR="00240BCE" w:rsidRDefault="00AC0334">
      <w:pPr>
        <w:snapToGrid w:val="0"/>
        <w:spacing w:line="520" w:lineRule="exact"/>
        <w:ind w:firstLineChars="200" w:firstLine="480"/>
        <w:rPr>
          <w:bCs/>
          <w:color w:val="000000"/>
          <w:sz w:val="24"/>
        </w:rPr>
      </w:pPr>
      <w:r>
        <w:rPr>
          <w:bCs/>
          <w:color w:val="000000"/>
          <w:sz w:val="24"/>
        </w:rPr>
        <w:t>寒武系上统凤山组出露于区内东南部，岩性以白云质灰岩为主，平均厚度</w:t>
      </w:r>
      <w:r>
        <w:rPr>
          <w:bCs/>
          <w:color w:val="000000"/>
          <w:sz w:val="24"/>
        </w:rPr>
        <w:t>45m</w:t>
      </w:r>
      <w:r>
        <w:rPr>
          <w:bCs/>
          <w:color w:val="000000"/>
          <w:sz w:val="24"/>
        </w:rPr>
        <w:t>。该层厚度大，层位稳定，补给范围广，地表裂隙、溶隙较发育，利于大气降水的渗透补给。本矿无该含水层的抽水试验资料，据区域钻孔简易水文观测，仅</w:t>
      </w:r>
      <w:r>
        <w:rPr>
          <w:bCs/>
          <w:color w:val="000000"/>
          <w:sz w:val="24"/>
        </w:rPr>
        <w:t>2114</w:t>
      </w:r>
      <w:r>
        <w:rPr>
          <w:bCs/>
          <w:color w:val="000000"/>
          <w:sz w:val="24"/>
        </w:rPr>
        <w:t>孔漏水，漏水深度</w:t>
      </w:r>
      <w:r>
        <w:rPr>
          <w:bCs/>
          <w:color w:val="000000"/>
          <w:sz w:val="24"/>
        </w:rPr>
        <w:t>242.68m</w:t>
      </w:r>
      <w:r>
        <w:rPr>
          <w:bCs/>
          <w:color w:val="000000"/>
          <w:sz w:val="24"/>
        </w:rPr>
        <w:t>，漏失量大于</w:t>
      </w:r>
      <w:r>
        <w:rPr>
          <w:bCs/>
          <w:color w:val="000000"/>
          <w:sz w:val="24"/>
        </w:rPr>
        <w:t>9m</w:t>
      </w:r>
      <w:r>
        <w:rPr>
          <w:bCs/>
          <w:color w:val="000000"/>
          <w:sz w:val="24"/>
          <w:vertAlign w:val="superscript"/>
        </w:rPr>
        <w:t>3</w:t>
      </w:r>
      <w:r>
        <w:rPr>
          <w:bCs/>
          <w:color w:val="000000"/>
          <w:sz w:val="24"/>
        </w:rPr>
        <w:t>/h</w:t>
      </w:r>
      <w:r>
        <w:rPr>
          <w:bCs/>
          <w:color w:val="000000"/>
          <w:sz w:val="24"/>
        </w:rPr>
        <w:t>。据蔡寺～白沙普查区钻孔抽水试验，单位涌水量</w:t>
      </w:r>
      <w:r>
        <w:rPr>
          <w:bCs/>
          <w:color w:val="000000"/>
          <w:sz w:val="24"/>
        </w:rPr>
        <w:t>0.0196~0.059L/s·m</w:t>
      </w:r>
      <w:r>
        <w:rPr>
          <w:bCs/>
          <w:color w:val="000000"/>
          <w:sz w:val="24"/>
        </w:rPr>
        <w:t>，渗透系数</w:t>
      </w:r>
      <w:r>
        <w:rPr>
          <w:bCs/>
          <w:color w:val="000000"/>
          <w:sz w:val="24"/>
        </w:rPr>
        <w:t>0.00075~3.104m/d</w:t>
      </w:r>
      <w:r>
        <w:rPr>
          <w:bCs/>
          <w:color w:val="000000"/>
          <w:sz w:val="24"/>
        </w:rPr>
        <w:t>。地下水类型为</w:t>
      </w:r>
      <w:r>
        <w:rPr>
          <w:bCs/>
          <w:color w:val="000000"/>
          <w:sz w:val="24"/>
        </w:rPr>
        <w:t>HCO</w:t>
      </w:r>
      <w:r>
        <w:rPr>
          <w:bCs/>
          <w:color w:val="000000"/>
          <w:sz w:val="24"/>
          <w:vertAlign w:val="subscript"/>
        </w:rPr>
        <w:t>3</w:t>
      </w:r>
      <w:r>
        <w:rPr>
          <w:bCs/>
          <w:color w:val="000000"/>
          <w:sz w:val="24"/>
        </w:rPr>
        <w:t>-Ca</w:t>
      </w:r>
      <w:r>
        <w:rPr>
          <w:bCs/>
          <w:color w:val="000000"/>
          <w:sz w:val="24"/>
        </w:rPr>
        <w:t>和</w:t>
      </w:r>
      <w:r>
        <w:rPr>
          <w:bCs/>
          <w:color w:val="000000"/>
          <w:sz w:val="24"/>
        </w:rPr>
        <w:t>HCO</w:t>
      </w:r>
      <w:r>
        <w:rPr>
          <w:bCs/>
          <w:color w:val="000000"/>
          <w:sz w:val="24"/>
          <w:vertAlign w:val="subscript"/>
        </w:rPr>
        <w:t>3</w:t>
      </w:r>
      <w:r>
        <w:rPr>
          <w:bCs/>
          <w:color w:val="000000"/>
          <w:sz w:val="24"/>
        </w:rPr>
        <w:t>-Mg</w:t>
      </w:r>
      <w:r>
        <w:rPr>
          <w:bCs/>
          <w:color w:val="000000"/>
          <w:sz w:val="24"/>
        </w:rPr>
        <w:t>型。</w:t>
      </w:r>
    </w:p>
    <w:p w:rsidR="00240BCE" w:rsidRDefault="00AC0334">
      <w:pPr>
        <w:snapToGrid w:val="0"/>
        <w:spacing w:line="520" w:lineRule="exact"/>
        <w:ind w:firstLineChars="200" w:firstLine="480"/>
        <w:rPr>
          <w:bCs/>
          <w:color w:val="000000"/>
          <w:sz w:val="24"/>
        </w:rPr>
      </w:pPr>
      <w:r>
        <w:rPr>
          <w:bCs/>
          <w:color w:val="000000"/>
          <w:sz w:val="24"/>
        </w:rPr>
        <w:t>据调查，工业广场西北部约</w:t>
      </w:r>
      <w:r>
        <w:rPr>
          <w:bCs/>
          <w:color w:val="000000"/>
          <w:sz w:val="24"/>
        </w:rPr>
        <w:t>600m</w:t>
      </w:r>
      <w:r>
        <w:rPr>
          <w:bCs/>
          <w:color w:val="000000"/>
          <w:sz w:val="24"/>
        </w:rPr>
        <w:t>处有一水井（坐标</w:t>
      </w:r>
      <w:r>
        <w:rPr>
          <w:bCs/>
          <w:color w:val="000000"/>
          <w:sz w:val="24"/>
        </w:rPr>
        <w:t>:X=3787710</w:t>
      </w:r>
      <w:r>
        <w:rPr>
          <w:rFonts w:hint="eastAsia"/>
          <w:bCs/>
          <w:color w:val="000000"/>
          <w:sz w:val="24"/>
        </w:rPr>
        <w:t>，</w:t>
      </w:r>
      <w:r>
        <w:rPr>
          <w:bCs/>
          <w:color w:val="000000"/>
          <w:sz w:val="24"/>
        </w:rPr>
        <w:t>Y=38422480</w:t>
      </w:r>
      <w:r>
        <w:rPr>
          <w:bCs/>
          <w:color w:val="000000"/>
          <w:sz w:val="24"/>
        </w:rPr>
        <w:t>），水源来自该含水层。此水井向当地村庄及该矿供水。</w:t>
      </w:r>
    </w:p>
    <w:p w:rsidR="00240BCE" w:rsidRDefault="00AC0334">
      <w:pPr>
        <w:snapToGrid w:val="0"/>
        <w:spacing w:line="520" w:lineRule="exact"/>
        <w:ind w:firstLineChars="200" w:firstLine="480"/>
        <w:rPr>
          <w:bCs/>
          <w:color w:val="000000"/>
          <w:sz w:val="24"/>
        </w:rPr>
      </w:pPr>
      <w:r>
        <w:rPr>
          <w:bCs/>
          <w:color w:val="000000"/>
          <w:sz w:val="24"/>
        </w:rPr>
        <w:t>G1</w:t>
      </w:r>
      <w:r>
        <w:rPr>
          <w:bCs/>
          <w:color w:val="000000"/>
          <w:sz w:val="24"/>
        </w:rPr>
        <w:t>孔揭露该层厚度为</w:t>
      </w:r>
      <w:r>
        <w:rPr>
          <w:bCs/>
          <w:color w:val="000000"/>
          <w:sz w:val="24"/>
        </w:rPr>
        <w:t>41.0m</w:t>
      </w:r>
      <w:r>
        <w:rPr>
          <w:bCs/>
          <w:color w:val="000000"/>
          <w:sz w:val="24"/>
        </w:rPr>
        <w:t>，岩性为灰色厚层状白云质灰岩，裂隙发育，但多被方解石脉充填。据区域资料，该含水层一般厚约</w:t>
      </w:r>
      <w:r>
        <w:rPr>
          <w:bCs/>
          <w:color w:val="000000"/>
          <w:sz w:val="24"/>
        </w:rPr>
        <w:t>160m</w:t>
      </w:r>
      <w:r>
        <w:rPr>
          <w:bCs/>
          <w:color w:val="000000"/>
          <w:sz w:val="24"/>
        </w:rPr>
        <w:t>，岩溶裂隙较发育，富水性和导水性较强，但含水不均匀。</w:t>
      </w:r>
    </w:p>
    <w:p w:rsidR="00240BCE" w:rsidRDefault="00AC0334">
      <w:pPr>
        <w:snapToGrid w:val="0"/>
        <w:spacing w:line="520" w:lineRule="exact"/>
        <w:ind w:firstLineChars="200" w:firstLine="480"/>
        <w:rPr>
          <w:bCs/>
          <w:color w:val="000000"/>
          <w:sz w:val="24"/>
        </w:rPr>
      </w:pPr>
      <w:r>
        <w:rPr>
          <w:bCs/>
          <w:color w:val="000000"/>
          <w:sz w:val="24"/>
        </w:rPr>
        <w:t>该含水层上距二</w:t>
      </w:r>
      <w:r>
        <w:rPr>
          <w:bCs/>
          <w:color w:val="000000"/>
          <w:sz w:val="24"/>
          <w:vertAlign w:val="subscript"/>
        </w:rPr>
        <w:t>1</w:t>
      </w:r>
      <w:r>
        <w:rPr>
          <w:bCs/>
          <w:color w:val="000000"/>
          <w:sz w:val="24"/>
        </w:rPr>
        <w:t>煤层约</w:t>
      </w:r>
      <w:r>
        <w:rPr>
          <w:bCs/>
          <w:color w:val="000000"/>
          <w:sz w:val="24"/>
        </w:rPr>
        <w:t>83m</w:t>
      </w:r>
      <w:r>
        <w:rPr>
          <w:bCs/>
          <w:color w:val="000000"/>
          <w:sz w:val="24"/>
        </w:rPr>
        <w:t>，是二</w:t>
      </w:r>
      <w:r>
        <w:rPr>
          <w:bCs/>
          <w:color w:val="000000"/>
          <w:sz w:val="24"/>
          <w:vertAlign w:val="subscript"/>
        </w:rPr>
        <w:t>1</w:t>
      </w:r>
      <w:r>
        <w:rPr>
          <w:bCs/>
          <w:color w:val="000000"/>
          <w:sz w:val="24"/>
        </w:rPr>
        <w:t>煤层底板间接含水层。该含水层为岩溶裂隙承压水，水压大，与二</w:t>
      </w:r>
      <w:r>
        <w:rPr>
          <w:bCs/>
          <w:color w:val="000000"/>
          <w:sz w:val="24"/>
          <w:vertAlign w:val="subscript"/>
        </w:rPr>
        <w:t>1</w:t>
      </w:r>
      <w:r>
        <w:rPr>
          <w:bCs/>
          <w:color w:val="000000"/>
          <w:sz w:val="24"/>
        </w:rPr>
        <w:t>煤层间夹有三个较稳定的隔水层，为二</w:t>
      </w:r>
      <w:r>
        <w:rPr>
          <w:bCs/>
          <w:color w:val="000000"/>
          <w:sz w:val="24"/>
          <w:vertAlign w:val="subscript"/>
        </w:rPr>
        <w:t>1</w:t>
      </w:r>
      <w:r>
        <w:rPr>
          <w:bCs/>
          <w:color w:val="000000"/>
          <w:sz w:val="24"/>
        </w:rPr>
        <w:t>煤层底板间接充水含水层。正常情况下对开采二</w:t>
      </w:r>
      <w:r>
        <w:rPr>
          <w:bCs/>
          <w:color w:val="000000"/>
          <w:sz w:val="24"/>
          <w:vertAlign w:val="subscript"/>
        </w:rPr>
        <w:t>1</w:t>
      </w:r>
      <w:r>
        <w:rPr>
          <w:bCs/>
          <w:color w:val="000000"/>
          <w:sz w:val="24"/>
        </w:rPr>
        <w:t>煤层影响不大，但遇构造破坏，使含水层相互贯通，对煤层的开采将构成极大威胁，开采时需引起高度重视，防止水害发生。</w:t>
      </w:r>
    </w:p>
    <w:p w:rsidR="00240BCE" w:rsidRDefault="00AC0334">
      <w:pPr>
        <w:spacing w:line="520" w:lineRule="exact"/>
        <w:ind w:firstLineChars="200" w:firstLine="480"/>
        <w:rPr>
          <w:bCs/>
          <w:color w:val="000000"/>
          <w:sz w:val="24"/>
        </w:rPr>
      </w:pPr>
      <w:bookmarkStart w:id="545" w:name="_Toc482195902"/>
      <w:bookmarkStart w:id="546" w:name="_Toc481012213"/>
      <w:bookmarkStart w:id="547" w:name="_Toc267922807"/>
      <w:r>
        <w:rPr>
          <w:bCs/>
          <w:color w:val="000000"/>
          <w:sz w:val="24"/>
        </w:rPr>
        <w:t>⑶</w:t>
      </w:r>
      <w:r>
        <w:rPr>
          <w:bCs/>
          <w:color w:val="000000"/>
          <w:sz w:val="24"/>
        </w:rPr>
        <w:t>隔水层</w:t>
      </w:r>
      <w:bookmarkEnd w:id="545"/>
    </w:p>
    <w:bookmarkEnd w:id="546"/>
    <w:p w:rsidR="00240BCE" w:rsidRDefault="00AC0334">
      <w:pPr>
        <w:snapToGrid w:val="0"/>
        <w:spacing w:line="520" w:lineRule="exact"/>
        <w:ind w:firstLineChars="200" w:firstLine="480"/>
        <w:rPr>
          <w:bCs/>
          <w:color w:val="000000"/>
          <w:sz w:val="24"/>
        </w:rPr>
      </w:pPr>
      <w:r>
        <w:rPr>
          <w:bCs/>
          <w:color w:val="000000"/>
          <w:sz w:val="24"/>
        </w:rPr>
        <w:t>根据岩性、地层组合关系，自上而下分为</w:t>
      </w:r>
      <w:r>
        <w:rPr>
          <w:bCs/>
          <w:color w:val="000000"/>
          <w:sz w:val="24"/>
        </w:rPr>
        <w:t>6</w:t>
      </w:r>
      <w:r>
        <w:rPr>
          <w:bCs/>
          <w:color w:val="000000"/>
          <w:sz w:val="24"/>
        </w:rPr>
        <w:t>个隔水层。即：四</w:t>
      </w:r>
      <w:r>
        <w:rPr>
          <w:bCs/>
          <w:color w:val="000000"/>
          <w:sz w:val="24"/>
          <w:vertAlign w:val="subscript"/>
        </w:rPr>
        <w:t>2</w:t>
      </w:r>
      <w:r>
        <w:rPr>
          <w:bCs/>
          <w:color w:val="000000"/>
          <w:sz w:val="24"/>
        </w:rPr>
        <w:t>煤层顶板隔水层；四</w:t>
      </w:r>
      <w:r>
        <w:rPr>
          <w:bCs/>
          <w:color w:val="000000"/>
          <w:sz w:val="24"/>
          <w:vertAlign w:val="subscript"/>
        </w:rPr>
        <w:t>2</w:t>
      </w:r>
      <w:r>
        <w:rPr>
          <w:bCs/>
          <w:color w:val="000000"/>
          <w:sz w:val="24"/>
        </w:rPr>
        <w:t>煤层底板隔水层；二</w:t>
      </w:r>
      <w:r>
        <w:rPr>
          <w:bCs/>
          <w:color w:val="000000"/>
          <w:sz w:val="24"/>
          <w:vertAlign w:val="subscript"/>
        </w:rPr>
        <w:t>1</w:t>
      </w:r>
      <w:r>
        <w:rPr>
          <w:bCs/>
          <w:color w:val="000000"/>
          <w:sz w:val="24"/>
        </w:rPr>
        <w:t>煤层顶部隔水层；二</w:t>
      </w:r>
      <w:r>
        <w:rPr>
          <w:bCs/>
          <w:color w:val="000000"/>
          <w:sz w:val="24"/>
          <w:vertAlign w:val="subscript"/>
        </w:rPr>
        <w:t>1</w:t>
      </w:r>
      <w:r>
        <w:rPr>
          <w:bCs/>
          <w:color w:val="000000"/>
          <w:sz w:val="24"/>
        </w:rPr>
        <w:t>煤层底板隔水层；太原组中段隔水层；本溪组隔水层。各隔水层水文地质特征叙述如下：</w:t>
      </w:r>
    </w:p>
    <w:p w:rsidR="00240BCE" w:rsidRDefault="00AC0334">
      <w:pPr>
        <w:snapToGrid w:val="0"/>
        <w:spacing w:line="520" w:lineRule="exact"/>
        <w:ind w:firstLineChars="200" w:firstLine="480"/>
        <w:rPr>
          <w:bCs/>
          <w:color w:val="000000"/>
          <w:sz w:val="24"/>
        </w:rPr>
      </w:pPr>
      <w:r>
        <w:rPr>
          <w:bCs/>
          <w:color w:val="000000"/>
          <w:sz w:val="24"/>
        </w:rPr>
        <w:t>①</w:t>
      </w:r>
      <w:r>
        <w:rPr>
          <w:bCs/>
          <w:color w:val="000000"/>
          <w:sz w:val="24"/>
        </w:rPr>
        <w:t>四</w:t>
      </w:r>
      <w:r>
        <w:rPr>
          <w:bCs/>
          <w:color w:val="000000"/>
          <w:sz w:val="24"/>
          <w:vertAlign w:val="subscript"/>
        </w:rPr>
        <w:t>2</w:t>
      </w:r>
      <w:r>
        <w:rPr>
          <w:bCs/>
          <w:color w:val="000000"/>
          <w:sz w:val="24"/>
        </w:rPr>
        <w:t>煤层顶板隔水层</w:t>
      </w:r>
    </w:p>
    <w:p w:rsidR="00240BCE" w:rsidRDefault="00AC0334">
      <w:pPr>
        <w:snapToGrid w:val="0"/>
        <w:spacing w:line="520" w:lineRule="exact"/>
        <w:ind w:firstLineChars="200" w:firstLine="480"/>
        <w:rPr>
          <w:bCs/>
          <w:color w:val="000000"/>
          <w:sz w:val="24"/>
        </w:rPr>
      </w:pPr>
      <w:r>
        <w:rPr>
          <w:bCs/>
          <w:color w:val="000000"/>
          <w:sz w:val="24"/>
        </w:rPr>
        <w:t>由四</w:t>
      </w:r>
      <w:r>
        <w:rPr>
          <w:bCs/>
          <w:color w:val="000000"/>
          <w:sz w:val="24"/>
          <w:vertAlign w:val="subscript"/>
        </w:rPr>
        <w:t>2</w:t>
      </w:r>
      <w:r>
        <w:rPr>
          <w:bCs/>
          <w:color w:val="000000"/>
          <w:sz w:val="24"/>
        </w:rPr>
        <w:t>煤层顶板至田家沟砂岩底板之间的泥岩、砂质泥岩、粉砂岩组成，厚约</w:t>
      </w:r>
      <w:r>
        <w:rPr>
          <w:bCs/>
          <w:color w:val="000000"/>
          <w:sz w:val="24"/>
        </w:rPr>
        <w:lastRenderedPageBreak/>
        <w:t>30</w:t>
      </w:r>
      <w:r>
        <w:rPr>
          <w:bCs/>
          <w:color w:val="000000"/>
          <w:sz w:val="24"/>
        </w:rPr>
        <w:t>～</w:t>
      </w:r>
      <w:r>
        <w:rPr>
          <w:bCs/>
          <w:color w:val="000000"/>
          <w:sz w:val="24"/>
        </w:rPr>
        <w:t>216m</w:t>
      </w:r>
      <w:r>
        <w:rPr>
          <w:bCs/>
          <w:color w:val="000000"/>
          <w:sz w:val="24"/>
        </w:rPr>
        <w:t>，因其上含水层含水性弱，隔水层厚度大，一般能阻隔四</w:t>
      </w:r>
      <w:r>
        <w:rPr>
          <w:bCs/>
          <w:color w:val="000000"/>
          <w:sz w:val="24"/>
          <w:vertAlign w:val="subscript"/>
        </w:rPr>
        <w:t>2</w:t>
      </w:r>
      <w:r>
        <w:rPr>
          <w:bCs/>
          <w:color w:val="000000"/>
          <w:sz w:val="24"/>
        </w:rPr>
        <w:t>煤层顶板以上含水层发生水力联系。</w:t>
      </w:r>
    </w:p>
    <w:p w:rsidR="00240BCE" w:rsidRDefault="00AC0334">
      <w:pPr>
        <w:snapToGrid w:val="0"/>
        <w:spacing w:line="520" w:lineRule="exact"/>
        <w:ind w:firstLineChars="200" w:firstLine="480"/>
        <w:rPr>
          <w:bCs/>
          <w:color w:val="000000"/>
          <w:sz w:val="24"/>
        </w:rPr>
      </w:pPr>
      <w:r>
        <w:rPr>
          <w:bCs/>
          <w:color w:val="000000"/>
          <w:sz w:val="24"/>
        </w:rPr>
        <w:t>②</w:t>
      </w:r>
      <w:r>
        <w:rPr>
          <w:bCs/>
          <w:color w:val="000000"/>
          <w:sz w:val="24"/>
        </w:rPr>
        <w:t>四</w:t>
      </w:r>
      <w:r>
        <w:rPr>
          <w:bCs/>
          <w:color w:val="000000"/>
          <w:sz w:val="24"/>
          <w:vertAlign w:val="subscript"/>
        </w:rPr>
        <w:t>2</w:t>
      </w:r>
      <w:r>
        <w:rPr>
          <w:bCs/>
          <w:color w:val="000000"/>
          <w:sz w:val="24"/>
        </w:rPr>
        <w:t>煤层底板隔水层</w:t>
      </w:r>
    </w:p>
    <w:p w:rsidR="00240BCE" w:rsidRDefault="00AC0334">
      <w:pPr>
        <w:snapToGrid w:val="0"/>
        <w:spacing w:line="520" w:lineRule="exact"/>
        <w:ind w:firstLineChars="200" w:firstLine="480"/>
        <w:rPr>
          <w:bCs/>
          <w:color w:val="000000"/>
          <w:sz w:val="24"/>
        </w:rPr>
      </w:pPr>
      <w:r>
        <w:rPr>
          <w:bCs/>
          <w:color w:val="000000"/>
          <w:sz w:val="24"/>
        </w:rPr>
        <w:t>由四</w:t>
      </w:r>
      <w:r>
        <w:rPr>
          <w:bCs/>
          <w:color w:val="000000"/>
          <w:sz w:val="24"/>
          <w:vertAlign w:val="subscript"/>
        </w:rPr>
        <w:t>2</w:t>
      </w:r>
      <w:r>
        <w:rPr>
          <w:bCs/>
          <w:color w:val="000000"/>
          <w:sz w:val="24"/>
        </w:rPr>
        <w:t>煤层底至砂锅窑顶板之间的泥岩、砂质泥岩、粉砂岩组成，厚约</w:t>
      </w:r>
      <w:r>
        <w:rPr>
          <w:bCs/>
          <w:color w:val="000000"/>
          <w:sz w:val="24"/>
        </w:rPr>
        <w:t>50</w:t>
      </w:r>
      <w:r>
        <w:rPr>
          <w:bCs/>
          <w:color w:val="000000"/>
          <w:sz w:val="24"/>
        </w:rPr>
        <w:t>～</w:t>
      </w:r>
      <w:r>
        <w:rPr>
          <w:bCs/>
          <w:color w:val="000000"/>
          <w:sz w:val="24"/>
        </w:rPr>
        <w:t>106m</w:t>
      </w:r>
      <w:r>
        <w:rPr>
          <w:bCs/>
          <w:color w:val="000000"/>
          <w:sz w:val="24"/>
        </w:rPr>
        <w:t>，隔水层厚度大，一般能阻隔砂锅窑砂岩段及其以下含水层进入矿井，但遇构造破坏形成导水通道，亦将失去隔水作用。</w:t>
      </w:r>
    </w:p>
    <w:p w:rsidR="00240BCE" w:rsidRDefault="00AC0334">
      <w:pPr>
        <w:snapToGrid w:val="0"/>
        <w:spacing w:line="520" w:lineRule="exact"/>
        <w:ind w:firstLineChars="200" w:firstLine="480"/>
        <w:rPr>
          <w:bCs/>
          <w:color w:val="000000"/>
          <w:sz w:val="24"/>
        </w:rPr>
      </w:pPr>
      <w:r>
        <w:rPr>
          <w:bCs/>
          <w:color w:val="000000"/>
          <w:sz w:val="24"/>
        </w:rPr>
        <w:t>③</w:t>
      </w:r>
      <w:r>
        <w:rPr>
          <w:bCs/>
          <w:color w:val="000000"/>
          <w:sz w:val="24"/>
        </w:rPr>
        <w:t>二</w:t>
      </w:r>
      <w:r>
        <w:rPr>
          <w:bCs/>
          <w:color w:val="000000"/>
          <w:sz w:val="24"/>
          <w:vertAlign w:val="subscript"/>
        </w:rPr>
        <w:t>1</w:t>
      </w:r>
      <w:r>
        <w:rPr>
          <w:bCs/>
          <w:color w:val="000000"/>
          <w:sz w:val="24"/>
        </w:rPr>
        <w:t>煤层顶板隔水层</w:t>
      </w:r>
    </w:p>
    <w:p w:rsidR="00240BCE" w:rsidRDefault="00AC0334">
      <w:pPr>
        <w:snapToGrid w:val="0"/>
        <w:spacing w:line="520" w:lineRule="exact"/>
        <w:ind w:firstLineChars="200" w:firstLine="480"/>
        <w:rPr>
          <w:bCs/>
          <w:color w:val="000000"/>
          <w:sz w:val="24"/>
        </w:rPr>
      </w:pPr>
      <w:r>
        <w:rPr>
          <w:bCs/>
          <w:color w:val="000000"/>
          <w:sz w:val="24"/>
        </w:rPr>
        <w:t>由二</w:t>
      </w:r>
      <w:r>
        <w:rPr>
          <w:bCs/>
          <w:color w:val="000000"/>
          <w:sz w:val="24"/>
          <w:vertAlign w:val="subscript"/>
        </w:rPr>
        <w:t>1</w:t>
      </w:r>
      <w:r>
        <w:rPr>
          <w:bCs/>
          <w:color w:val="000000"/>
          <w:sz w:val="24"/>
        </w:rPr>
        <w:t>煤层之上砂锅窑砂岩以下的砂质泥岩、泥岩及粉砂岩组成，平均厚约</w:t>
      </w:r>
      <w:r>
        <w:rPr>
          <w:bCs/>
          <w:color w:val="000000"/>
          <w:sz w:val="24"/>
        </w:rPr>
        <w:t>49m</w:t>
      </w:r>
      <w:r>
        <w:rPr>
          <w:bCs/>
          <w:color w:val="000000"/>
          <w:sz w:val="24"/>
        </w:rPr>
        <w:t>。该隔水层厚度大较致密，层位稳定，一般能阻断山西组之上各含水层间的水力联系。但在采空塌陷裂隙带及遇构造破碎带的情况下会失去隔水作用。</w:t>
      </w:r>
    </w:p>
    <w:p w:rsidR="00240BCE" w:rsidRDefault="00AC0334">
      <w:pPr>
        <w:snapToGrid w:val="0"/>
        <w:spacing w:line="520" w:lineRule="exact"/>
        <w:ind w:firstLineChars="200" w:firstLine="480"/>
        <w:rPr>
          <w:bCs/>
          <w:color w:val="000000"/>
          <w:sz w:val="24"/>
        </w:rPr>
      </w:pPr>
      <w:r>
        <w:rPr>
          <w:bCs/>
          <w:color w:val="000000"/>
          <w:sz w:val="24"/>
        </w:rPr>
        <w:t>④</w:t>
      </w:r>
      <w:r>
        <w:rPr>
          <w:bCs/>
          <w:color w:val="000000"/>
          <w:sz w:val="24"/>
        </w:rPr>
        <w:t>二</w:t>
      </w:r>
      <w:r>
        <w:rPr>
          <w:bCs/>
          <w:color w:val="000000"/>
          <w:sz w:val="24"/>
          <w:vertAlign w:val="subscript"/>
        </w:rPr>
        <w:t>1</w:t>
      </w:r>
      <w:r>
        <w:rPr>
          <w:bCs/>
          <w:color w:val="000000"/>
          <w:sz w:val="24"/>
        </w:rPr>
        <w:t>煤层底板隔水层</w:t>
      </w:r>
    </w:p>
    <w:p w:rsidR="00240BCE" w:rsidRDefault="00AC0334">
      <w:pPr>
        <w:snapToGrid w:val="0"/>
        <w:spacing w:line="520" w:lineRule="exact"/>
        <w:ind w:firstLineChars="200" w:firstLine="480"/>
        <w:rPr>
          <w:bCs/>
          <w:color w:val="000000"/>
          <w:sz w:val="24"/>
        </w:rPr>
      </w:pPr>
      <w:r>
        <w:rPr>
          <w:bCs/>
          <w:color w:val="000000"/>
          <w:sz w:val="24"/>
        </w:rPr>
        <w:t>主要由二</w:t>
      </w:r>
      <w:r>
        <w:rPr>
          <w:bCs/>
          <w:color w:val="000000"/>
          <w:sz w:val="24"/>
          <w:vertAlign w:val="subscript"/>
        </w:rPr>
        <w:t>1</w:t>
      </w:r>
      <w:r>
        <w:rPr>
          <w:bCs/>
          <w:color w:val="000000"/>
          <w:sz w:val="24"/>
        </w:rPr>
        <w:t>煤层底至太原组顶部灰岩间的泥岩、砂质泥岩、粉砂岩组成，平均厚</w:t>
      </w:r>
      <w:r>
        <w:rPr>
          <w:bCs/>
          <w:color w:val="000000"/>
          <w:sz w:val="24"/>
        </w:rPr>
        <w:t>5.36m</w:t>
      </w:r>
      <w:r>
        <w:rPr>
          <w:bCs/>
          <w:color w:val="000000"/>
          <w:sz w:val="24"/>
        </w:rPr>
        <w:t>。一般能阻止太原组上段灰岩水进入二</w:t>
      </w:r>
      <w:r>
        <w:rPr>
          <w:bCs/>
          <w:color w:val="000000"/>
          <w:sz w:val="24"/>
          <w:vertAlign w:val="subscript"/>
        </w:rPr>
        <w:t>1</w:t>
      </w:r>
      <w:r>
        <w:rPr>
          <w:bCs/>
          <w:color w:val="000000"/>
          <w:sz w:val="24"/>
        </w:rPr>
        <w:t>煤层，但在断裂带或薄弱地段可能失去隔水作用。</w:t>
      </w:r>
    </w:p>
    <w:p w:rsidR="00240BCE" w:rsidRDefault="00AC0334">
      <w:pPr>
        <w:snapToGrid w:val="0"/>
        <w:spacing w:line="520" w:lineRule="exact"/>
        <w:ind w:firstLineChars="200" w:firstLine="480"/>
        <w:rPr>
          <w:bCs/>
          <w:color w:val="000000"/>
          <w:sz w:val="24"/>
        </w:rPr>
      </w:pPr>
      <w:r>
        <w:rPr>
          <w:bCs/>
          <w:color w:val="000000"/>
          <w:sz w:val="24"/>
        </w:rPr>
        <w:t>⑤</w:t>
      </w:r>
      <w:r>
        <w:rPr>
          <w:bCs/>
          <w:color w:val="000000"/>
          <w:sz w:val="24"/>
        </w:rPr>
        <w:t>太原组中段砂泥岩隔水层</w:t>
      </w:r>
    </w:p>
    <w:p w:rsidR="00240BCE" w:rsidRDefault="00AC0334">
      <w:pPr>
        <w:snapToGrid w:val="0"/>
        <w:spacing w:line="520" w:lineRule="exact"/>
        <w:ind w:firstLineChars="200" w:firstLine="480"/>
        <w:rPr>
          <w:bCs/>
          <w:color w:val="000000"/>
          <w:sz w:val="24"/>
        </w:rPr>
      </w:pPr>
      <w:r>
        <w:rPr>
          <w:bCs/>
          <w:color w:val="000000"/>
          <w:sz w:val="24"/>
        </w:rPr>
        <w:t>主要由泥岩、砂质泥岩构成，平均厚</w:t>
      </w:r>
      <w:r>
        <w:rPr>
          <w:bCs/>
          <w:color w:val="000000"/>
          <w:sz w:val="24"/>
        </w:rPr>
        <w:t>14.13m</w:t>
      </w:r>
      <w:r>
        <w:rPr>
          <w:bCs/>
          <w:color w:val="000000"/>
          <w:sz w:val="24"/>
        </w:rPr>
        <w:t>。该段岩性较致密，层位稳定，隔水性能较好，正常情况下可有效阻隔太原组上、下段灰岩含水层之间的水力联系。遇薄弱地带及构造带将失去隔水作用。</w:t>
      </w:r>
    </w:p>
    <w:p w:rsidR="00240BCE" w:rsidRDefault="00AC0334">
      <w:pPr>
        <w:snapToGrid w:val="0"/>
        <w:spacing w:line="520" w:lineRule="exact"/>
        <w:ind w:firstLineChars="200" w:firstLine="480"/>
        <w:rPr>
          <w:bCs/>
          <w:color w:val="000000"/>
          <w:sz w:val="24"/>
        </w:rPr>
      </w:pPr>
      <w:r>
        <w:rPr>
          <w:bCs/>
          <w:color w:val="000000"/>
          <w:sz w:val="24"/>
        </w:rPr>
        <w:t>⑥</w:t>
      </w:r>
      <w:r>
        <w:rPr>
          <w:bCs/>
          <w:color w:val="000000"/>
          <w:sz w:val="24"/>
        </w:rPr>
        <w:t>本溪组隔水层</w:t>
      </w:r>
    </w:p>
    <w:p w:rsidR="00240BCE" w:rsidRDefault="00AC0334">
      <w:pPr>
        <w:snapToGrid w:val="0"/>
        <w:spacing w:line="520" w:lineRule="exact"/>
        <w:ind w:firstLineChars="200" w:firstLine="480"/>
        <w:rPr>
          <w:bCs/>
          <w:color w:val="000000"/>
          <w:sz w:val="24"/>
        </w:rPr>
      </w:pPr>
      <w:r>
        <w:rPr>
          <w:bCs/>
          <w:color w:val="000000"/>
          <w:sz w:val="24"/>
        </w:rPr>
        <w:t>主要由铝质泥岩、铝质岩组成，平均厚</w:t>
      </w:r>
      <w:r>
        <w:rPr>
          <w:bCs/>
          <w:color w:val="000000"/>
          <w:sz w:val="24"/>
        </w:rPr>
        <w:t>10.60m</w:t>
      </w:r>
      <w:r>
        <w:rPr>
          <w:bCs/>
          <w:color w:val="000000"/>
          <w:sz w:val="24"/>
        </w:rPr>
        <w:t>。层位稳定，隔水性好，正常情况下可阻隔寒武系与太原组两含水层的水力联系。但如遇构造破坏或在薄弱地段可能失去隔水作用。</w:t>
      </w:r>
    </w:p>
    <w:p w:rsidR="00240BCE" w:rsidRDefault="00AC0334">
      <w:pPr>
        <w:spacing w:line="520" w:lineRule="exact"/>
        <w:ind w:firstLineChars="200" w:firstLine="480"/>
        <w:rPr>
          <w:bCs/>
          <w:color w:val="000000"/>
          <w:sz w:val="24"/>
        </w:rPr>
      </w:pPr>
      <w:bookmarkStart w:id="548" w:name="_Toc306726681"/>
      <w:bookmarkStart w:id="549" w:name="_Toc482195903"/>
      <w:r>
        <w:rPr>
          <w:bCs/>
          <w:color w:val="000000"/>
          <w:sz w:val="24"/>
        </w:rPr>
        <w:t>⑷</w:t>
      </w:r>
      <w:r>
        <w:rPr>
          <w:bCs/>
          <w:color w:val="000000"/>
          <w:sz w:val="24"/>
        </w:rPr>
        <w:t>地</w:t>
      </w:r>
      <w:bookmarkEnd w:id="548"/>
      <w:r>
        <w:rPr>
          <w:bCs/>
          <w:color w:val="000000"/>
          <w:sz w:val="24"/>
        </w:rPr>
        <w:t>下水补、径、排条件</w:t>
      </w:r>
      <w:bookmarkEnd w:id="549"/>
    </w:p>
    <w:p w:rsidR="00240BCE" w:rsidRDefault="00AC0334">
      <w:pPr>
        <w:spacing w:line="520" w:lineRule="exact"/>
        <w:ind w:firstLineChars="200" w:firstLine="480"/>
        <w:rPr>
          <w:bCs/>
          <w:color w:val="000000"/>
          <w:sz w:val="24"/>
        </w:rPr>
      </w:pPr>
      <w:r>
        <w:rPr>
          <w:bCs/>
          <w:color w:val="000000"/>
          <w:sz w:val="24"/>
        </w:rPr>
        <w:t>地下水的补给主要有大气降水、地表水、含水层之间补给，其中大气降水是地下水的主要补给水源。矿区西南、西北部寒武系地层大面积出露，岩溶较发育，区</w:t>
      </w:r>
      <w:r>
        <w:rPr>
          <w:bCs/>
          <w:color w:val="000000"/>
          <w:sz w:val="24"/>
        </w:rPr>
        <w:lastRenderedPageBreak/>
        <w:t>内第四系地层分布区与基岩裸露区为地下水的补给区。另外地表水的渗漏补给亦是地下水的补给水源，流经本区的赵沟河属季节性河流，接受地表水的汇集，当地下水位低于河流水位时，对地下水具有渗漏补给作用。地下水在获得补给后流经本区，沿倾向向深部径流后，向东北方向排泄。</w:t>
      </w:r>
    </w:p>
    <w:p w:rsidR="00240BCE" w:rsidRDefault="00AC0334">
      <w:pPr>
        <w:spacing w:line="520" w:lineRule="exact"/>
        <w:ind w:firstLineChars="200" w:firstLine="480"/>
        <w:rPr>
          <w:bCs/>
          <w:color w:val="000000"/>
          <w:sz w:val="24"/>
        </w:rPr>
      </w:pPr>
      <w:r>
        <w:rPr>
          <w:bCs/>
          <w:color w:val="000000"/>
          <w:sz w:val="24"/>
        </w:rPr>
        <w:t>矿井内地下水的排泄主要以矿井疏排、生活用水和农田灌溉用机井抽水等形式排泄。</w:t>
      </w:r>
      <w:bookmarkStart w:id="550" w:name="_Toc231608102"/>
      <w:bookmarkStart w:id="551" w:name="_Toc306726682"/>
      <w:bookmarkStart w:id="552" w:name="_Toc482195904"/>
    </w:p>
    <w:p w:rsidR="00240BCE" w:rsidRDefault="00AC0334">
      <w:pPr>
        <w:spacing w:line="520" w:lineRule="exact"/>
        <w:ind w:firstLineChars="200" w:firstLine="480"/>
        <w:rPr>
          <w:bCs/>
          <w:color w:val="000000"/>
          <w:sz w:val="24"/>
        </w:rPr>
      </w:pPr>
      <w:r>
        <w:rPr>
          <w:bCs/>
          <w:color w:val="000000"/>
          <w:sz w:val="24"/>
        </w:rPr>
        <w:t>⑸</w:t>
      </w:r>
      <w:r>
        <w:rPr>
          <w:bCs/>
          <w:color w:val="000000"/>
          <w:sz w:val="24"/>
        </w:rPr>
        <w:t>构造对水文地质条件的影响</w:t>
      </w:r>
      <w:bookmarkEnd w:id="550"/>
      <w:bookmarkEnd w:id="551"/>
      <w:bookmarkEnd w:id="552"/>
    </w:p>
    <w:p w:rsidR="00240BCE" w:rsidRDefault="00AC0334">
      <w:pPr>
        <w:snapToGrid w:val="0"/>
        <w:spacing w:line="520" w:lineRule="exact"/>
        <w:ind w:firstLineChars="200" w:firstLine="480"/>
        <w:rPr>
          <w:bCs/>
          <w:color w:val="000000"/>
          <w:sz w:val="24"/>
        </w:rPr>
      </w:pPr>
      <w:r>
        <w:rPr>
          <w:bCs/>
          <w:color w:val="000000"/>
          <w:sz w:val="24"/>
        </w:rPr>
        <w:t>断层是否构成对矿井充水，主要取决于破裂结构面力学性质、破碎带填隙物性质及胶结程度。区内有断层及次级小构造的存在，其中落差大于</w:t>
      </w:r>
      <w:r>
        <w:rPr>
          <w:bCs/>
          <w:color w:val="000000"/>
          <w:sz w:val="24"/>
        </w:rPr>
        <w:t>300m</w:t>
      </w:r>
      <w:r>
        <w:rPr>
          <w:bCs/>
          <w:color w:val="000000"/>
          <w:sz w:val="24"/>
        </w:rPr>
        <w:t>正断层区内发育有</w:t>
      </w:r>
      <w:r>
        <w:rPr>
          <w:bCs/>
          <w:color w:val="000000"/>
          <w:sz w:val="24"/>
        </w:rPr>
        <w:t>1</w:t>
      </w:r>
      <w:r>
        <w:rPr>
          <w:bCs/>
          <w:color w:val="000000"/>
          <w:sz w:val="24"/>
        </w:rPr>
        <w:t>条，为南部李家门断层（</w:t>
      </w:r>
      <w:r>
        <w:rPr>
          <w:bCs/>
          <w:color w:val="000000"/>
          <w:sz w:val="24"/>
        </w:rPr>
        <w:t>F51</w:t>
      </w:r>
      <w:r>
        <w:rPr>
          <w:bCs/>
          <w:color w:val="000000"/>
          <w:sz w:val="24"/>
        </w:rPr>
        <w:t>），瞬变电磁解释局部有视电阻率显示低阻异常，有一定含水性。区外有</w:t>
      </w:r>
      <w:r>
        <w:rPr>
          <w:bCs/>
          <w:color w:val="000000"/>
          <w:sz w:val="24"/>
        </w:rPr>
        <w:t>2</w:t>
      </w:r>
      <w:r>
        <w:rPr>
          <w:bCs/>
          <w:color w:val="000000"/>
          <w:sz w:val="24"/>
        </w:rPr>
        <w:t>条分别为南部边界外官山寨断层（</w:t>
      </w:r>
      <w:r>
        <w:rPr>
          <w:bCs/>
          <w:color w:val="000000"/>
          <w:sz w:val="24"/>
        </w:rPr>
        <w:t>F1</w:t>
      </w:r>
      <w:r>
        <w:rPr>
          <w:bCs/>
          <w:color w:val="000000"/>
          <w:sz w:val="24"/>
        </w:rPr>
        <w:t>）和矿区北部边界外</w:t>
      </w:r>
      <w:r>
        <w:rPr>
          <w:bCs/>
          <w:color w:val="000000"/>
          <w:sz w:val="24"/>
        </w:rPr>
        <w:t>F52</w:t>
      </w:r>
      <w:r>
        <w:rPr>
          <w:bCs/>
          <w:color w:val="000000"/>
          <w:sz w:val="24"/>
        </w:rPr>
        <w:t>断层，均具含水性，属两侧充水断层；落差</w:t>
      </w:r>
      <w:r>
        <w:rPr>
          <w:bCs/>
          <w:color w:val="000000"/>
          <w:sz w:val="24"/>
        </w:rPr>
        <w:t>70~120m</w:t>
      </w:r>
      <w:r>
        <w:rPr>
          <w:bCs/>
          <w:color w:val="000000"/>
          <w:sz w:val="24"/>
        </w:rPr>
        <w:t>正断层</w:t>
      </w:r>
      <w:r>
        <w:rPr>
          <w:bCs/>
          <w:color w:val="000000"/>
          <w:sz w:val="24"/>
        </w:rPr>
        <w:t>1</w:t>
      </w:r>
      <w:r>
        <w:rPr>
          <w:bCs/>
          <w:color w:val="000000"/>
          <w:sz w:val="24"/>
        </w:rPr>
        <w:t>条为黄</w:t>
      </w:r>
      <w:r>
        <w:rPr>
          <w:bCs/>
          <w:color w:val="000000"/>
          <w:sz w:val="24"/>
        </w:rPr>
        <w:t>F1</w:t>
      </w:r>
      <w:r>
        <w:rPr>
          <w:bCs/>
          <w:color w:val="000000"/>
          <w:sz w:val="24"/>
        </w:rPr>
        <w:t>断层，位于矿区西部，落差</w:t>
      </w:r>
      <w:r>
        <w:rPr>
          <w:bCs/>
          <w:color w:val="000000"/>
          <w:sz w:val="24"/>
        </w:rPr>
        <w:t>0~70m</w:t>
      </w:r>
      <w:r>
        <w:rPr>
          <w:bCs/>
          <w:color w:val="000000"/>
          <w:sz w:val="24"/>
        </w:rPr>
        <w:t>断层为黄</w:t>
      </w:r>
      <w:r>
        <w:rPr>
          <w:bCs/>
          <w:color w:val="000000"/>
          <w:sz w:val="24"/>
        </w:rPr>
        <w:t>F2</w:t>
      </w:r>
      <w:r>
        <w:rPr>
          <w:bCs/>
          <w:color w:val="000000"/>
          <w:sz w:val="24"/>
        </w:rPr>
        <w:t>、黄</w:t>
      </w:r>
      <w:r>
        <w:rPr>
          <w:bCs/>
          <w:color w:val="000000"/>
          <w:sz w:val="24"/>
        </w:rPr>
        <w:t>F3</w:t>
      </w:r>
      <w:r>
        <w:rPr>
          <w:bCs/>
          <w:color w:val="000000"/>
          <w:sz w:val="24"/>
        </w:rPr>
        <w:t>、黄</w:t>
      </w:r>
      <w:r>
        <w:rPr>
          <w:bCs/>
          <w:color w:val="000000"/>
          <w:sz w:val="24"/>
        </w:rPr>
        <w:t>F4</w:t>
      </w:r>
      <w:r>
        <w:rPr>
          <w:bCs/>
          <w:color w:val="000000"/>
          <w:sz w:val="24"/>
        </w:rPr>
        <w:t>、黄</w:t>
      </w:r>
      <w:r>
        <w:rPr>
          <w:bCs/>
          <w:color w:val="000000"/>
          <w:sz w:val="24"/>
        </w:rPr>
        <w:t>F5</w:t>
      </w:r>
      <w:r>
        <w:rPr>
          <w:bCs/>
          <w:color w:val="000000"/>
          <w:sz w:val="24"/>
        </w:rPr>
        <w:t>，通过瞬变电磁拟断面图资料分析，均具有含水性，其中黄</w:t>
      </w:r>
      <w:r>
        <w:rPr>
          <w:bCs/>
          <w:color w:val="000000"/>
          <w:sz w:val="24"/>
        </w:rPr>
        <w:t>F1</w:t>
      </w:r>
      <w:r>
        <w:rPr>
          <w:bCs/>
          <w:color w:val="000000"/>
          <w:sz w:val="24"/>
        </w:rPr>
        <w:t>、黄</w:t>
      </w:r>
      <w:r>
        <w:rPr>
          <w:bCs/>
          <w:color w:val="000000"/>
          <w:sz w:val="24"/>
        </w:rPr>
        <w:t>F4</w:t>
      </w:r>
      <w:r>
        <w:rPr>
          <w:bCs/>
          <w:color w:val="000000"/>
          <w:sz w:val="24"/>
        </w:rPr>
        <w:t>、黄</w:t>
      </w:r>
      <w:r>
        <w:rPr>
          <w:bCs/>
          <w:color w:val="000000"/>
          <w:sz w:val="24"/>
        </w:rPr>
        <w:t>F5</w:t>
      </w:r>
      <w:r>
        <w:rPr>
          <w:bCs/>
          <w:color w:val="000000"/>
          <w:sz w:val="24"/>
        </w:rPr>
        <w:t>富水性较强。</w:t>
      </w:r>
    </w:p>
    <w:p w:rsidR="00240BCE" w:rsidRDefault="00AC0334">
      <w:pPr>
        <w:snapToGrid w:val="0"/>
        <w:spacing w:line="520" w:lineRule="exact"/>
        <w:ind w:firstLineChars="200" w:firstLine="480"/>
        <w:rPr>
          <w:bCs/>
          <w:color w:val="000000"/>
          <w:sz w:val="24"/>
        </w:rPr>
      </w:pPr>
      <w:r>
        <w:rPr>
          <w:bCs/>
          <w:color w:val="000000"/>
          <w:sz w:val="24"/>
        </w:rPr>
        <w:t>以上构造使煤层与岩体的连续性遭到破坏，由于断层对岩体的切割破坏降低了岩体的强度，并形成软弱面，其间的孔隙度相应增大，为地下水的储存、运移创造了条件，使地下水在局部地段富集并增大了导水能力，使不同含水层之间发生水力联系，断层也使煤层与含水层的距离变小，缩短了地下水的运移距离，使原为间接充水含水层转变为直接充水含水层。</w:t>
      </w:r>
    </w:p>
    <w:p w:rsidR="00240BCE" w:rsidRDefault="00AC0334">
      <w:pPr>
        <w:snapToGrid w:val="0"/>
        <w:spacing w:line="520" w:lineRule="exact"/>
        <w:ind w:firstLineChars="200" w:firstLine="480"/>
        <w:rPr>
          <w:bCs/>
          <w:color w:val="000000"/>
          <w:sz w:val="24"/>
        </w:rPr>
      </w:pPr>
      <w:r>
        <w:rPr>
          <w:bCs/>
          <w:color w:val="000000"/>
          <w:sz w:val="24"/>
        </w:rPr>
        <w:t>本矿南部</w:t>
      </w:r>
      <w:r>
        <w:rPr>
          <w:bCs/>
          <w:color w:val="000000"/>
          <w:sz w:val="24"/>
        </w:rPr>
        <w:t>F51</w:t>
      </w:r>
      <w:r>
        <w:rPr>
          <w:bCs/>
          <w:color w:val="000000"/>
          <w:sz w:val="24"/>
        </w:rPr>
        <w:t>，西部黄</w:t>
      </w:r>
      <w:r>
        <w:rPr>
          <w:bCs/>
          <w:color w:val="000000"/>
          <w:sz w:val="24"/>
        </w:rPr>
        <w:t>F1</w:t>
      </w:r>
      <w:r>
        <w:rPr>
          <w:bCs/>
          <w:color w:val="000000"/>
          <w:sz w:val="24"/>
        </w:rPr>
        <w:t>断层发育在寒武灰岩段以上，切穿了寒武系以上各个含水层段，使寒武系灰岩含水层与上部太原组及以上含水层发生水力联系，目前采区布置皆不在该区段，对矿井开采影响较小。</w:t>
      </w:r>
    </w:p>
    <w:p w:rsidR="00240BCE" w:rsidRDefault="00AC0334">
      <w:pPr>
        <w:spacing w:line="520" w:lineRule="exact"/>
        <w:ind w:firstLineChars="200" w:firstLine="480"/>
        <w:rPr>
          <w:bCs/>
          <w:color w:val="000000"/>
          <w:sz w:val="24"/>
        </w:rPr>
      </w:pPr>
      <w:bookmarkStart w:id="553" w:name="_Toc388283629"/>
      <w:bookmarkStart w:id="554" w:name="_Toc482195905"/>
      <w:bookmarkEnd w:id="547"/>
      <w:r>
        <w:rPr>
          <w:bCs/>
          <w:color w:val="000000"/>
          <w:sz w:val="24"/>
        </w:rPr>
        <w:t>⑹</w:t>
      </w:r>
      <w:r>
        <w:rPr>
          <w:bCs/>
          <w:color w:val="000000"/>
          <w:sz w:val="24"/>
        </w:rPr>
        <w:t>矿井充水因素分析</w:t>
      </w:r>
      <w:bookmarkEnd w:id="553"/>
      <w:bookmarkEnd w:id="554"/>
    </w:p>
    <w:p w:rsidR="00240BCE" w:rsidRDefault="00AC0334">
      <w:pPr>
        <w:snapToGrid w:val="0"/>
        <w:spacing w:line="520" w:lineRule="exact"/>
        <w:ind w:firstLineChars="200" w:firstLine="480"/>
        <w:rPr>
          <w:bCs/>
          <w:color w:val="000000"/>
          <w:sz w:val="24"/>
        </w:rPr>
      </w:pPr>
      <w:bookmarkStart w:id="555" w:name="_Toc482195906"/>
      <w:r>
        <w:rPr>
          <w:bCs/>
          <w:color w:val="000000"/>
          <w:sz w:val="24"/>
        </w:rPr>
        <w:t>1</w:t>
      </w:r>
      <w:r>
        <w:rPr>
          <w:bCs/>
          <w:color w:val="000000"/>
          <w:sz w:val="24"/>
        </w:rPr>
        <w:t>）本矿井充水特征</w:t>
      </w:r>
      <w:bookmarkEnd w:id="555"/>
    </w:p>
    <w:p w:rsidR="00240BCE" w:rsidRDefault="00AC0334">
      <w:pPr>
        <w:snapToGrid w:val="0"/>
        <w:spacing w:line="520" w:lineRule="exact"/>
        <w:ind w:firstLineChars="200" w:firstLine="480"/>
        <w:rPr>
          <w:bCs/>
          <w:color w:val="000000"/>
          <w:sz w:val="24"/>
        </w:rPr>
      </w:pPr>
      <w:r>
        <w:rPr>
          <w:bCs/>
          <w:color w:val="000000"/>
          <w:sz w:val="24"/>
        </w:rPr>
        <w:t>据调查，井下有涌水点一处，涌水量为</w:t>
      </w:r>
      <w:r>
        <w:rPr>
          <w:bCs/>
          <w:color w:val="000000"/>
          <w:sz w:val="24"/>
        </w:rPr>
        <w:t>9~12m³/h</w:t>
      </w:r>
      <w:r>
        <w:rPr>
          <w:bCs/>
          <w:color w:val="000000"/>
          <w:sz w:val="24"/>
        </w:rPr>
        <w:t>，涌水来自采空区，目前矿井</w:t>
      </w:r>
      <w:r>
        <w:rPr>
          <w:bCs/>
          <w:color w:val="000000"/>
          <w:sz w:val="24"/>
        </w:rPr>
        <w:lastRenderedPageBreak/>
        <w:t>充水水源主要为采空区水。</w:t>
      </w:r>
    </w:p>
    <w:p w:rsidR="00240BCE" w:rsidRDefault="00AC0334">
      <w:pPr>
        <w:snapToGrid w:val="0"/>
        <w:spacing w:line="520" w:lineRule="exact"/>
        <w:ind w:firstLineChars="200" w:firstLine="480"/>
        <w:rPr>
          <w:bCs/>
          <w:color w:val="000000"/>
          <w:sz w:val="24"/>
        </w:rPr>
      </w:pPr>
      <w:bookmarkStart w:id="556" w:name="_Toc482195907"/>
      <w:r>
        <w:rPr>
          <w:bCs/>
          <w:color w:val="000000"/>
          <w:sz w:val="24"/>
        </w:rPr>
        <w:t>2</w:t>
      </w:r>
      <w:r>
        <w:rPr>
          <w:bCs/>
          <w:color w:val="000000"/>
          <w:sz w:val="24"/>
        </w:rPr>
        <w:t>）矿井充水因素分析</w:t>
      </w:r>
      <w:bookmarkEnd w:id="556"/>
    </w:p>
    <w:p w:rsidR="00240BCE" w:rsidRDefault="00AC0334">
      <w:pPr>
        <w:snapToGrid w:val="0"/>
        <w:spacing w:line="520" w:lineRule="exact"/>
        <w:ind w:firstLineChars="200" w:firstLine="480"/>
        <w:rPr>
          <w:bCs/>
          <w:color w:val="000000"/>
          <w:sz w:val="24"/>
        </w:rPr>
      </w:pPr>
      <w:r>
        <w:rPr>
          <w:bCs/>
          <w:color w:val="000000"/>
          <w:sz w:val="24"/>
        </w:rPr>
        <w:t>矿井充水因素主要分为充水水源和充水通道两个方面。</w:t>
      </w:r>
    </w:p>
    <w:p w:rsidR="00240BCE" w:rsidRDefault="00AC0334">
      <w:pPr>
        <w:snapToGrid w:val="0"/>
        <w:spacing w:line="520" w:lineRule="exact"/>
        <w:ind w:firstLineChars="200" w:firstLine="480"/>
        <w:rPr>
          <w:bCs/>
          <w:color w:val="000000"/>
          <w:sz w:val="24"/>
        </w:rPr>
      </w:pPr>
      <w:r>
        <w:rPr>
          <w:bCs/>
          <w:color w:val="000000"/>
          <w:sz w:val="24"/>
        </w:rPr>
        <w:t>A</w:t>
      </w:r>
      <w:r>
        <w:rPr>
          <w:bCs/>
          <w:color w:val="000000"/>
          <w:sz w:val="24"/>
        </w:rPr>
        <w:t>、充水水源</w:t>
      </w:r>
    </w:p>
    <w:p w:rsidR="00240BCE" w:rsidRDefault="00AC0334">
      <w:pPr>
        <w:snapToGrid w:val="0"/>
        <w:spacing w:line="520" w:lineRule="exact"/>
        <w:ind w:firstLineChars="200" w:firstLine="480"/>
        <w:rPr>
          <w:bCs/>
          <w:color w:val="000000"/>
          <w:sz w:val="24"/>
        </w:rPr>
      </w:pPr>
      <w:r>
        <w:rPr>
          <w:bCs/>
          <w:color w:val="000000"/>
          <w:sz w:val="24"/>
        </w:rPr>
        <w:t>对矿井充水有影响的水源主要有：地表水、大气降水、地下水、老窑、老空水。其影响程度强弱，主要取决于开采煤层的赋存特征及同上述各水源间的联系。</w:t>
      </w:r>
    </w:p>
    <w:p w:rsidR="00240BCE" w:rsidRDefault="00AC0334">
      <w:pPr>
        <w:snapToGrid w:val="0"/>
        <w:spacing w:line="520" w:lineRule="exact"/>
        <w:ind w:firstLineChars="200" w:firstLine="480"/>
        <w:rPr>
          <w:bCs/>
          <w:color w:val="000000"/>
          <w:sz w:val="24"/>
        </w:rPr>
      </w:pPr>
      <w:r>
        <w:rPr>
          <w:bCs/>
          <w:color w:val="000000"/>
          <w:sz w:val="24"/>
        </w:rPr>
        <w:t>①</w:t>
      </w:r>
      <w:r>
        <w:rPr>
          <w:bCs/>
          <w:color w:val="000000"/>
          <w:sz w:val="24"/>
        </w:rPr>
        <w:t>地表水</w:t>
      </w:r>
    </w:p>
    <w:p w:rsidR="00240BCE" w:rsidRDefault="00AC0334">
      <w:pPr>
        <w:snapToGrid w:val="0"/>
        <w:spacing w:line="520" w:lineRule="exact"/>
        <w:ind w:firstLineChars="200" w:firstLine="480"/>
        <w:rPr>
          <w:bCs/>
          <w:color w:val="000000"/>
          <w:sz w:val="24"/>
        </w:rPr>
      </w:pPr>
      <w:r>
        <w:rPr>
          <w:bCs/>
          <w:color w:val="000000"/>
          <w:sz w:val="24"/>
        </w:rPr>
        <w:t>矿井中部有赵沟河一条，属季节性河流，赵沟河由西向东汇入涌泉河，然后汇入颖河，西高东低，流经区域地面标高为</w:t>
      </w:r>
      <w:r>
        <w:rPr>
          <w:bCs/>
          <w:color w:val="000000"/>
          <w:sz w:val="24"/>
        </w:rPr>
        <w:t>+285m~+260m</w:t>
      </w:r>
      <w:r>
        <w:rPr>
          <w:bCs/>
          <w:color w:val="000000"/>
          <w:sz w:val="24"/>
        </w:rPr>
        <w:t>，流经区域煤层埋深均大于</w:t>
      </w:r>
      <w:r>
        <w:rPr>
          <w:bCs/>
          <w:color w:val="000000"/>
          <w:sz w:val="24"/>
        </w:rPr>
        <w:t>185m</w:t>
      </w:r>
      <w:r>
        <w:rPr>
          <w:bCs/>
          <w:color w:val="000000"/>
          <w:sz w:val="24"/>
        </w:rPr>
        <w:t>，煤厚</w:t>
      </w:r>
      <w:r>
        <w:rPr>
          <w:bCs/>
          <w:color w:val="000000"/>
          <w:sz w:val="24"/>
        </w:rPr>
        <w:t>2.46~3.84m</w:t>
      </w:r>
      <w:r>
        <w:rPr>
          <w:bCs/>
          <w:color w:val="000000"/>
          <w:sz w:val="24"/>
        </w:rPr>
        <w:t>。区内无其它水利工程。</w:t>
      </w:r>
    </w:p>
    <w:p w:rsidR="00240BCE" w:rsidRDefault="00AC0334">
      <w:pPr>
        <w:snapToGrid w:val="0"/>
        <w:spacing w:line="520" w:lineRule="exact"/>
        <w:ind w:firstLineChars="200" w:firstLine="480"/>
        <w:rPr>
          <w:bCs/>
          <w:color w:val="000000"/>
          <w:sz w:val="24"/>
        </w:rPr>
      </w:pPr>
      <w:bookmarkStart w:id="557" w:name="_Toc481012218"/>
      <w:r>
        <w:rPr>
          <w:bCs/>
          <w:color w:val="000000"/>
          <w:sz w:val="24"/>
        </w:rPr>
        <w:t>②</w:t>
      </w:r>
      <w:r>
        <w:rPr>
          <w:bCs/>
          <w:color w:val="000000"/>
          <w:sz w:val="24"/>
        </w:rPr>
        <w:t>大气降水</w:t>
      </w:r>
      <w:bookmarkEnd w:id="557"/>
    </w:p>
    <w:p w:rsidR="00240BCE" w:rsidRDefault="00AC0334">
      <w:pPr>
        <w:snapToGrid w:val="0"/>
        <w:spacing w:line="520" w:lineRule="exact"/>
        <w:ind w:firstLineChars="200" w:firstLine="480"/>
        <w:rPr>
          <w:bCs/>
          <w:color w:val="000000"/>
          <w:sz w:val="24"/>
        </w:rPr>
      </w:pPr>
      <w:r>
        <w:rPr>
          <w:bCs/>
          <w:color w:val="000000"/>
          <w:sz w:val="24"/>
        </w:rPr>
        <w:t>大气降水是矿井充水的重要来源之一，入渗矿井的通道主要有地面塌陷裂隙、废弃井筒及充水含水层露头。该区年平均降水量为</w:t>
      </w:r>
      <w:r>
        <w:rPr>
          <w:bCs/>
          <w:color w:val="000000"/>
          <w:sz w:val="24"/>
        </w:rPr>
        <w:t>719mm</w:t>
      </w:r>
      <w:r>
        <w:rPr>
          <w:bCs/>
          <w:color w:val="000000"/>
          <w:sz w:val="24"/>
        </w:rPr>
        <w:t>，最大为</w:t>
      </w:r>
      <w:r>
        <w:rPr>
          <w:bCs/>
          <w:color w:val="000000"/>
          <w:sz w:val="24"/>
        </w:rPr>
        <w:t>1076mm</w:t>
      </w:r>
      <w:r>
        <w:rPr>
          <w:bCs/>
          <w:color w:val="000000"/>
          <w:sz w:val="24"/>
        </w:rPr>
        <w:t>，降水主要集中在</w:t>
      </w:r>
      <w:r>
        <w:rPr>
          <w:bCs/>
          <w:color w:val="000000"/>
          <w:sz w:val="24"/>
        </w:rPr>
        <w:t>6~9</w:t>
      </w:r>
      <w:r>
        <w:rPr>
          <w:bCs/>
          <w:color w:val="000000"/>
          <w:sz w:val="24"/>
        </w:rPr>
        <w:t>月份。</w:t>
      </w:r>
    </w:p>
    <w:p w:rsidR="00240BCE" w:rsidRDefault="00AC0334">
      <w:pPr>
        <w:snapToGrid w:val="0"/>
        <w:spacing w:line="520" w:lineRule="exact"/>
        <w:ind w:firstLineChars="200" w:firstLine="480"/>
        <w:rPr>
          <w:bCs/>
          <w:color w:val="000000"/>
          <w:sz w:val="24"/>
        </w:rPr>
      </w:pPr>
      <w:r>
        <w:rPr>
          <w:bCs/>
          <w:color w:val="000000"/>
          <w:sz w:val="24"/>
        </w:rPr>
        <w:t>矿区属丘陵地貌，总体地势为北西、南东高，中间低，最高点位于</w:t>
      </w:r>
      <w:r>
        <w:rPr>
          <w:bCs/>
          <w:color w:val="000000"/>
          <w:sz w:val="24"/>
        </w:rPr>
        <w:t>8</w:t>
      </w:r>
      <w:r>
        <w:rPr>
          <w:bCs/>
          <w:color w:val="000000"/>
          <w:sz w:val="24"/>
        </w:rPr>
        <w:t>号拐点西，标高</w:t>
      </w:r>
      <w:r>
        <w:rPr>
          <w:bCs/>
          <w:color w:val="000000"/>
          <w:sz w:val="24"/>
        </w:rPr>
        <w:t>422.50m</w:t>
      </w:r>
      <w:r>
        <w:rPr>
          <w:bCs/>
          <w:color w:val="000000"/>
          <w:sz w:val="24"/>
        </w:rPr>
        <w:t>，最低点位于本区东边界的河床中，标高</w:t>
      </w:r>
      <w:r>
        <w:rPr>
          <w:bCs/>
          <w:color w:val="000000"/>
          <w:sz w:val="24"/>
        </w:rPr>
        <w:t>260m</w:t>
      </w:r>
      <w:r>
        <w:rPr>
          <w:bCs/>
          <w:color w:val="000000"/>
          <w:sz w:val="24"/>
        </w:rPr>
        <w:t>，相对高差</w:t>
      </w:r>
      <w:r>
        <w:rPr>
          <w:bCs/>
          <w:color w:val="000000"/>
          <w:sz w:val="24"/>
        </w:rPr>
        <w:t>162.50m</w:t>
      </w:r>
      <w:r>
        <w:rPr>
          <w:bCs/>
          <w:color w:val="000000"/>
          <w:sz w:val="24"/>
        </w:rPr>
        <w:t>。由于受地形起伏变化较大影响，地表积水条件较差，大气降水主要通过井田中部的赵沟河排泄，排泄条件良好。</w:t>
      </w:r>
    </w:p>
    <w:p w:rsidR="00240BCE" w:rsidRDefault="00AC0334">
      <w:pPr>
        <w:snapToGrid w:val="0"/>
        <w:spacing w:line="520" w:lineRule="exact"/>
        <w:ind w:firstLineChars="200" w:firstLine="480"/>
        <w:rPr>
          <w:bCs/>
          <w:color w:val="000000"/>
          <w:sz w:val="24"/>
        </w:rPr>
      </w:pPr>
      <w:r>
        <w:rPr>
          <w:bCs/>
          <w:color w:val="000000"/>
          <w:sz w:val="24"/>
        </w:rPr>
        <w:t>本矿二</w:t>
      </w:r>
      <w:r>
        <w:rPr>
          <w:bCs/>
          <w:color w:val="000000"/>
          <w:sz w:val="24"/>
          <w:vertAlign w:val="subscript"/>
        </w:rPr>
        <w:t>1</w:t>
      </w:r>
      <w:r>
        <w:rPr>
          <w:bCs/>
          <w:color w:val="000000"/>
          <w:sz w:val="24"/>
        </w:rPr>
        <w:t>煤深部煤层厚度平均</w:t>
      </w:r>
      <w:r>
        <w:rPr>
          <w:bCs/>
          <w:color w:val="000000"/>
          <w:sz w:val="24"/>
        </w:rPr>
        <w:t>3.84m</w:t>
      </w:r>
      <w:r>
        <w:rPr>
          <w:bCs/>
          <w:color w:val="000000"/>
          <w:sz w:val="24"/>
        </w:rPr>
        <w:t>；浅部煤层平均厚度</w:t>
      </w:r>
      <w:r>
        <w:rPr>
          <w:bCs/>
          <w:color w:val="000000"/>
          <w:sz w:val="24"/>
        </w:rPr>
        <w:t>2.72m</w:t>
      </w:r>
      <w:r>
        <w:rPr>
          <w:bCs/>
          <w:color w:val="000000"/>
          <w:sz w:val="24"/>
        </w:rPr>
        <w:t>。计算</w:t>
      </w:r>
      <w:r>
        <w:rPr>
          <w:sz w:val="24"/>
        </w:rPr>
        <w:t>导水裂隙带最大高度约为</w:t>
      </w:r>
      <w:r>
        <w:rPr>
          <w:sz w:val="24"/>
        </w:rPr>
        <w:t>49.18m</w:t>
      </w:r>
      <w:r>
        <w:rPr>
          <w:sz w:val="24"/>
        </w:rPr>
        <w:t>，均值为</w:t>
      </w:r>
      <w:r>
        <w:rPr>
          <w:sz w:val="24"/>
        </w:rPr>
        <w:t>40.95m</w:t>
      </w:r>
      <w:r>
        <w:rPr>
          <w:rFonts w:hint="eastAsia"/>
          <w:sz w:val="24"/>
        </w:rPr>
        <w:t>，</w:t>
      </w:r>
      <w:r>
        <w:rPr>
          <w:bCs/>
          <w:color w:val="000000"/>
          <w:sz w:val="24"/>
        </w:rPr>
        <w:t>依据计算结果，当煤层埋深小于导水裂隙带高度，大气降水直接通过地裂缝、导水裂隙带补给井下，使井下涌水量增大；当煤层埋深远远大于导水裂隙带高度时，大气降水一般不会直接通过导水裂隙带对矿井直接充水，但大气降水仍会通过地裂缝下渗补给煤层顶板砂岩裂隙含水层间接对矿井产生充水影响，影响不大。</w:t>
      </w:r>
    </w:p>
    <w:p w:rsidR="00240BCE" w:rsidRDefault="00AC0334">
      <w:pPr>
        <w:snapToGrid w:val="0"/>
        <w:spacing w:line="520" w:lineRule="exact"/>
        <w:ind w:firstLineChars="200" w:firstLine="480"/>
        <w:rPr>
          <w:bCs/>
          <w:color w:val="000000"/>
          <w:sz w:val="24"/>
        </w:rPr>
      </w:pPr>
      <w:r>
        <w:rPr>
          <w:bCs/>
          <w:color w:val="000000"/>
          <w:sz w:val="24"/>
        </w:rPr>
        <w:t>矿井首采区煤层埋深在</w:t>
      </w:r>
      <w:r>
        <w:rPr>
          <w:bCs/>
          <w:color w:val="000000"/>
          <w:sz w:val="24"/>
        </w:rPr>
        <w:t>180~380m</w:t>
      </w:r>
      <w:r>
        <w:rPr>
          <w:bCs/>
          <w:color w:val="000000"/>
          <w:sz w:val="24"/>
        </w:rPr>
        <w:t>之间，埋深远大于导水裂隙带高度，大气降水</w:t>
      </w:r>
      <w:r>
        <w:rPr>
          <w:bCs/>
          <w:color w:val="000000"/>
          <w:sz w:val="24"/>
        </w:rPr>
        <w:lastRenderedPageBreak/>
        <w:t>一般不会直接通过导水裂隙带对矿井直接充水。</w:t>
      </w:r>
    </w:p>
    <w:p w:rsidR="00240BCE" w:rsidRDefault="00AC0334">
      <w:pPr>
        <w:snapToGrid w:val="0"/>
        <w:spacing w:line="520" w:lineRule="exact"/>
        <w:ind w:firstLineChars="200" w:firstLine="480"/>
        <w:rPr>
          <w:bCs/>
          <w:color w:val="000000"/>
          <w:sz w:val="24"/>
        </w:rPr>
      </w:pPr>
      <w:bookmarkStart w:id="558" w:name="_Toc481012220"/>
      <w:r>
        <w:rPr>
          <w:bCs/>
          <w:color w:val="000000"/>
          <w:sz w:val="24"/>
        </w:rPr>
        <w:t>③</w:t>
      </w:r>
      <w:r>
        <w:rPr>
          <w:bCs/>
          <w:color w:val="000000"/>
          <w:sz w:val="24"/>
        </w:rPr>
        <w:t>地下水</w:t>
      </w:r>
    </w:p>
    <w:p w:rsidR="00240BCE" w:rsidRDefault="00AC0334">
      <w:pPr>
        <w:snapToGrid w:val="0"/>
        <w:spacing w:line="520" w:lineRule="exact"/>
        <w:ind w:firstLineChars="200" w:firstLine="480"/>
        <w:rPr>
          <w:bCs/>
          <w:color w:val="000000"/>
          <w:sz w:val="24"/>
        </w:rPr>
      </w:pPr>
      <w:r>
        <w:rPr>
          <w:bCs/>
          <w:color w:val="000000"/>
          <w:sz w:val="24"/>
        </w:rPr>
        <w:t>a</w:t>
      </w:r>
      <w:r>
        <w:rPr>
          <w:bCs/>
          <w:color w:val="000000"/>
          <w:sz w:val="24"/>
        </w:rPr>
        <w:t>、煤层顶板砂岩裂隙地下水</w:t>
      </w:r>
      <w:bookmarkEnd w:id="558"/>
    </w:p>
    <w:p w:rsidR="00240BCE" w:rsidRDefault="00AC0334">
      <w:pPr>
        <w:snapToGrid w:val="0"/>
        <w:spacing w:line="520" w:lineRule="exact"/>
        <w:ind w:firstLineChars="200" w:firstLine="480"/>
        <w:rPr>
          <w:bCs/>
          <w:color w:val="000000"/>
          <w:sz w:val="24"/>
        </w:rPr>
      </w:pPr>
      <w:r>
        <w:rPr>
          <w:bCs/>
          <w:color w:val="000000"/>
          <w:sz w:val="24"/>
        </w:rPr>
        <w:t>矿井目前主采的二</w:t>
      </w:r>
      <w:r>
        <w:rPr>
          <w:bCs/>
          <w:color w:val="000000"/>
          <w:sz w:val="24"/>
          <w:vertAlign w:val="subscript"/>
        </w:rPr>
        <w:t>1</w:t>
      </w:r>
      <w:r>
        <w:rPr>
          <w:bCs/>
          <w:color w:val="000000"/>
          <w:sz w:val="24"/>
        </w:rPr>
        <w:t>煤层，顶板直接充水含水层为大占砂岩，间接充水含水层为香炭砂岩。充水通道一是掘进时直接揭露或遇断层和裂隙，可使大占砂岩裂隙水直接入渗巷道；二是回采工作面放顶，由冒落裂隙带沟通其水力联系，依据计算的回采工作面导水裂隙带发育高度为</w:t>
      </w:r>
      <w:r>
        <w:rPr>
          <w:bCs/>
          <w:color w:val="000000"/>
          <w:sz w:val="24"/>
        </w:rPr>
        <w:t>43.4~59.2m</w:t>
      </w:r>
      <w:r>
        <w:rPr>
          <w:bCs/>
          <w:color w:val="000000"/>
          <w:sz w:val="24"/>
        </w:rPr>
        <w:t>，大占与香炭砂岩裂隙水，部分地段下石盒子组底部砂锅窑砂岩水可进入工作面或采空区。后期在开采四</w:t>
      </w:r>
      <w:r>
        <w:rPr>
          <w:bCs/>
          <w:color w:val="000000"/>
          <w:sz w:val="24"/>
          <w:vertAlign w:val="subscript"/>
        </w:rPr>
        <w:t>2</w:t>
      </w:r>
      <w:r>
        <w:rPr>
          <w:bCs/>
          <w:color w:val="000000"/>
          <w:sz w:val="24"/>
        </w:rPr>
        <w:t>煤层时，下石盒子组砂岩裂隙水可进入工作面或采空区。</w:t>
      </w:r>
    </w:p>
    <w:p w:rsidR="00240BCE" w:rsidRDefault="00AC0334">
      <w:pPr>
        <w:snapToGrid w:val="0"/>
        <w:spacing w:line="520" w:lineRule="exact"/>
        <w:ind w:firstLineChars="200" w:firstLine="480"/>
        <w:rPr>
          <w:bCs/>
          <w:color w:val="000000"/>
          <w:sz w:val="24"/>
        </w:rPr>
      </w:pPr>
      <w:r>
        <w:rPr>
          <w:bCs/>
          <w:color w:val="000000"/>
          <w:sz w:val="24"/>
        </w:rPr>
        <w:t>由于砂岩裂隙水，以弱含水为主，矿井生产实际揭露，多以局部滴、淋水方式进入矿井，由于补给与径流条件差，易于排泄疏干，对矿井安全构不成威胁。</w:t>
      </w:r>
    </w:p>
    <w:p w:rsidR="00240BCE" w:rsidRDefault="00AC0334">
      <w:pPr>
        <w:snapToGrid w:val="0"/>
        <w:spacing w:line="520" w:lineRule="exact"/>
        <w:ind w:firstLineChars="200" w:firstLine="480"/>
        <w:rPr>
          <w:bCs/>
          <w:color w:val="000000"/>
          <w:sz w:val="24"/>
        </w:rPr>
      </w:pPr>
      <w:r>
        <w:rPr>
          <w:bCs/>
          <w:color w:val="000000"/>
          <w:sz w:val="24"/>
        </w:rPr>
        <w:t>b</w:t>
      </w:r>
      <w:r>
        <w:rPr>
          <w:bCs/>
          <w:color w:val="000000"/>
          <w:sz w:val="24"/>
        </w:rPr>
        <w:t>、石炭系太原组上段灰岩水</w:t>
      </w:r>
    </w:p>
    <w:p w:rsidR="00240BCE" w:rsidRDefault="00AC0334">
      <w:pPr>
        <w:snapToGrid w:val="0"/>
        <w:spacing w:line="520" w:lineRule="exact"/>
        <w:ind w:firstLineChars="200" w:firstLine="480"/>
        <w:rPr>
          <w:bCs/>
          <w:color w:val="000000"/>
          <w:sz w:val="24"/>
        </w:rPr>
      </w:pPr>
      <w:r>
        <w:rPr>
          <w:bCs/>
          <w:color w:val="000000"/>
          <w:sz w:val="24"/>
        </w:rPr>
        <w:t>石炭系太原组上段灰岩含水层主要由</w:t>
      </w:r>
      <w:r>
        <w:rPr>
          <w:bCs/>
          <w:color w:val="000000"/>
          <w:sz w:val="24"/>
        </w:rPr>
        <w:t>L</w:t>
      </w:r>
      <w:r>
        <w:rPr>
          <w:bCs/>
          <w:color w:val="000000"/>
          <w:sz w:val="24"/>
          <w:vertAlign w:val="subscript"/>
        </w:rPr>
        <w:t>7</w:t>
      </w:r>
      <w:r>
        <w:rPr>
          <w:bCs/>
          <w:color w:val="000000"/>
          <w:sz w:val="24"/>
        </w:rPr>
        <w:t>～</w:t>
      </w:r>
      <w:r>
        <w:rPr>
          <w:bCs/>
          <w:color w:val="000000"/>
          <w:sz w:val="24"/>
        </w:rPr>
        <w:t>L</w:t>
      </w:r>
      <w:r>
        <w:rPr>
          <w:bCs/>
          <w:color w:val="000000"/>
          <w:sz w:val="24"/>
          <w:vertAlign w:val="subscript"/>
        </w:rPr>
        <w:t>8</w:t>
      </w:r>
      <w:r>
        <w:rPr>
          <w:bCs/>
          <w:color w:val="000000"/>
          <w:sz w:val="24"/>
        </w:rPr>
        <w:t>灰岩组成，厚</w:t>
      </w:r>
      <w:r>
        <w:rPr>
          <w:bCs/>
          <w:color w:val="000000"/>
          <w:sz w:val="24"/>
        </w:rPr>
        <w:t>8.85m</w:t>
      </w:r>
      <w:r>
        <w:rPr>
          <w:bCs/>
          <w:color w:val="000000"/>
          <w:sz w:val="24"/>
        </w:rPr>
        <w:t>。该含水层与二</w:t>
      </w:r>
      <w:r>
        <w:rPr>
          <w:bCs/>
          <w:color w:val="000000"/>
          <w:sz w:val="24"/>
          <w:vertAlign w:val="subscript"/>
        </w:rPr>
        <w:t>1</w:t>
      </w:r>
      <w:r>
        <w:rPr>
          <w:bCs/>
          <w:color w:val="000000"/>
          <w:sz w:val="24"/>
        </w:rPr>
        <w:t>煤层之间的砂质泥岩隔水层厚</w:t>
      </w:r>
      <w:r>
        <w:rPr>
          <w:bCs/>
          <w:color w:val="000000"/>
          <w:sz w:val="24"/>
        </w:rPr>
        <w:t>5.36m</w:t>
      </w:r>
      <w:r>
        <w:rPr>
          <w:bCs/>
          <w:color w:val="000000"/>
          <w:sz w:val="24"/>
        </w:rPr>
        <w:t>左右，在采动裂隙和构造裂隙影响范围以内，在水位高于煤层底板时，可直接对矿井充水，对二</w:t>
      </w:r>
      <w:r>
        <w:rPr>
          <w:bCs/>
          <w:color w:val="000000"/>
          <w:sz w:val="24"/>
          <w:vertAlign w:val="subscript"/>
        </w:rPr>
        <w:t>1</w:t>
      </w:r>
      <w:r>
        <w:rPr>
          <w:bCs/>
          <w:color w:val="000000"/>
          <w:sz w:val="24"/>
        </w:rPr>
        <w:t>煤层开采有直接影响，开拓中要引起高度注意。涌水时，水量较大，但以静储量为主，容易疏干，一般不对矿井的安全造成威胁。但如遇构造破坏与下部含水层发生水力联系，对开采煤层威胁较大。</w:t>
      </w:r>
    </w:p>
    <w:p w:rsidR="00240BCE" w:rsidRDefault="00AC0334">
      <w:pPr>
        <w:snapToGrid w:val="0"/>
        <w:spacing w:line="520" w:lineRule="exact"/>
        <w:ind w:firstLineChars="200" w:firstLine="480"/>
        <w:rPr>
          <w:bCs/>
          <w:color w:val="000000"/>
          <w:sz w:val="24"/>
        </w:rPr>
      </w:pPr>
      <w:r>
        <w:rPr>
          <w:bCs/>
          <w:color w:val="000000"/>
          <w:sz w:val="24"/>
        </w:rPr>
        <w:t>c</w:t>
      </w:r>
      <w:r>
        <w:rPr>
          <w:bCs/>
          <w:color w:val="000000"/>
          <w:sz w:val="24"/>
        </w:rPr>
        <w:t>、石炭系太原组下段灰岩水</w:t>
      </w:r>
    </w:p>
    <w:p w:rsidR="00240BCE" w:rsidRDefault="00AC0334">
      <w:pPr>
        <w:snapToGrid w:val="0"/>
        <w:spacing w:line="520" w:lineRule="exact"/>
        <w:ind w:firstLineChars="200" w:firstLine="480"/>
        <w:rPr>
          <w:bCs/>
          <w:color w:val="000000"/>
          <w:sz w:val="24"/>
        </w:rPr>
      </w:pPr>
      <w:r>
        <w:rPr>
          <w:bCs/>
          <w:color w:val="000000"/>
          <w:sz w:val="24"/>
        </w:rPr>
        <w:t>主要由</w:t>
      </w:r>
      <w:r>
        <w:rPr>
          <w:bCs/>
          <w:color w:val="000000"/>
          <w:sz w:val="24"/>
        </w:rPr>
        <w:t>L</w:t>
      </w:r>
      <w:r>
        <w:rPr>
          <w:bCs/>
          <w:color w:val="000000"/>
          <w:sz w:val="24"/>
          <w:vertAlign w:val="subscript"/>
        </w:rPr>
        <w:t>1</w:t>
      </w:r>
      <w:r>
        <w:rPr>
          <w:bCs/>
          <w:color w:val="000000"/>
          <w:sz w:val="24"/>
        </w:rPr>
        <w:t>－</w:t>
      </w:r>
      <w:r>
        <w:rPr>
          <w:bCs/>
          <w:color w:val="000000"/>
          <w:sz w:val="24"/>
        </w:rPr>
        <w:t>L</w:t>
      </w:r>
      <w:r>
        <w:rPr>
          <w:bCs/>
          <w:color w:val="000000"/>
          <w:sz w:val="24"/>
          <w:vertAlign w:val="subscript"/>
        </w:rPr>
        <w:t>4</w:t>
      </w:r>
      <w:r>
        <w:rPr>
          <w:bCs/>
          <w:color w:val="000000"/>
          <w:sz w:val="24"/>
        </w:rPr>
        <w:t>石灰岩组成，平均厚</w:t>
      </w:r>
      <w:r>
        <w:rPr>
          <w:bCs/>
          <w:color w:val="000000"/>
          <w:sz w:val="24"/>
        </w:rPr>
        <w:t>24.27m</w:t>
      </w:r>
      <w:r>
        <w:rPr>
          <w:bCs/>
          <w:color w:val="000000"/>
          <w:sz w:val="24"/>
        </w:rPr>
        <w:t>，层位稳定。二</w:t>
      </w:r>
      <w:r>
        <w:rPr>
          <w:bCs/>
          <w:color w:val="000000"/>
          <w:sz w:val="24"/>
          <w:vertAlign w:val="subscript"/>
        </w:rPr>
        <w:t>1</w:t>
      </w:r>
      <w:r>
        <w:rPr>
          <w:bCs/>
          <w:color w:val="000000"/>
          <w:sz w:val="24"/>
        </w:rPr>
        <w:t>煤层底至太原组下段灰岩含水层顶之间距离平均</w:t>
      </w:r>
      <w:r>
        <w:rPr>
          <w:bCs/>
          <w:color w:val="000000"/>
          <w:sz w:val="24"/>
        </w:rPr>
        <w:t>48m</w:t>
      </w:r>
      <w:r>
        <w:rPr>
          <w:bCs/>
          <w:color w:val="000000"/>
          <w:sz w:val="24"/>
        </w:rPr>
        <w:t>。该含水层含岩溶裂隙承压水，导水性强、富水性中等，且不均一，该层与二</w:t>
      </w:r>
      <w:r>
        <w:rPr>
          <w:bCs/>
          <w:color w:val="000000"/>
          <w:sz w:val="24"/>
          <w:vertAlign w:val="subscript"/>
        </w:rPr>
        <w:t>1</w:t>
      </w:r>
      <w:r>
        <w:rPr>
          <w:bCs/>
          <w:color w:val="000000"/>
          <w:sz w:val="24"/>
        </w:rPr>
        <w:t>煤层中间夹有二个隔水层，为二</w:t>
      </w:r>
      <w:r>
        <w:rPr>
          <w:bCs/>
          <w:color w:val="000000"/>
          <w:sz w:val="24"/>
          <w:vertAlign w:val="subscript"/>
        </w:rPr>
        <w:t>1</w:t>
      </w:r>
      <w:r>
        <w:rPr>
          <w:bCs/>
          <w:color w:val="000000"/>
          <w:sz w:val="24"/>
        </w:rPr>
        <w:t>煤层底板间接充水含水层。正常情况下对开采二</w:t>
      </w:r>
      <w:r>
        <w:rPr>
          <w:bCs/>
          <w:color w:val="000000"/>
          <w:sz w:val="24"/>
          <w:vertAlign w:val="subscript"/>
        </w:rPr>
        <w:t>1</w:t>
      </w:r>
      <w:r>
        <w:rPr>
          <w:bCs/>
          <w:color w:val="000000"/>
          <w:sz w:val="24"/>
        </w:rPr>
        <w:t>煤层影响不大，但遇构造破碎或底板隔水层厚度变薄与下部寒武系岩溶水发生水力联系使寒武系水涌入矿井，对开采二</w:t>
      </w:r>
      <w:r>
        <w:rPr>
          <w:bCs/>
          <w:color w:val="000000"/>
          <w:sz w:val="24"/>
          <w:vertAlign w:val="subscript"/>
        </w:rPr>
        <w:t>1</w:t>
      </w:r>
      <w:r>
        <w:rPr>
          <w:bCs/>
          <w:color w:val="000000"/>
          <w:sz w:val="24"/>
        </w:rPr>
        <w:t>煤层影响</w:t>
      </w:r>
      <w:r>
        <w:rPr>
          <w:rFonts w:hint="eastAsia"/>
          <w:bCs/>
          <w:color w:val="000000"/>
          <w:sz w:val="24"/>
        </w:rPr>
        <w:t>较</w:t>
      </w:r>
      <w:r>
        <w:rPr>
          <w:bCs/>
          <w:color w:val="000000"/>
          <w:sz w:val="24"/>
        </w:rPr>
        <w:t>大。</w:t>
      </w:r>
    </w:p>
    <w:p w:rsidR="00240BCE" w:rsidRDefault="00AC0334">
      <w:pPr>
        <w:snapToGrid w:val="0"/>
        <w:spacing w:line="520" w:lineRule="exact"/>
        <w:ind w:firstLineChars="200" w:firstLine="480"/>
        <w:rPr>
          <w:bCs/>
          <w:color w:val="000000"/>
          <w:sz w:val="24"/>
        </w:rPr>
      </w:pPr>
      <w:r>
        <w:rPr>
          <w:bCs/>
          <w:color w:val="000000"/>
          <w:sz w:val="24"/>
        </w:rPr>
        <w:t>d</w:t>
      </w:r>
      <w:r>
        <w:rPr>
          <w:bCs/>
          <w:color w:val="000000"/>
          <w:sz w:val="24"/>
        </w:rPr>
        <w:t>、寒武系灰岩岩溶水</w:t>
      </w:r>
    </w:p>
    <w:p w:rsidR="00240BCE" w:rsidRDefault="00AC0334">
      <w:pPr>
        <w:snapToGrid w:val="0"/>
        <w:spacing w:line="520" w:lineRule="exact"/>
        <w:ind w:firstLineChars="200" w:firstLine="480"/>
        <w:rPr>
          <w:bCs/>
          <w:color w:val="000000"/>
          <w:sz w:val="24"/>
        </w:rPr>
      </w:pPr>
      <w:r>
        <w:rPr>
          <w:bCs/>
          <w:color w:val="000000"/>
          <w:sz w:val="24"/>
        </w:rPr>
        <w:t>寒武系上统岩溶裂隙含水层，厚度大，岩溶裂隙发育，富水性和导水性较强，</w:t>
      </w:r>
      <w:r>
        <w:rPr>
          <w:bCs/>
          <w:color w:val="000000"/>
          <w:sz w:val="24"/>
        </w:rPr>
        <w:lastRenderedPageBreak/>
        <w:t>含水性极不均一，补给条件好，是威胁本矿井安全生产的主要充水水源。</w:t>
      </w:r>
    </w:p>
    <w:p w:rsidR="00240BCE" w:rsidRDefault="00AC0334">
      <w:pPr>
        <w:snapToGrid w:val="0"/>
        <w:spacing w:line="520" w:lineRule="exact"/>
        <w:ind w:firstLineChars="200" w:firstLine="480"/>
        <w:rPr>
          <w:bCs/>
          <w:color w:val="000000"/>
          <w:sz w:val="24"/>
        </w:rPr>
      </w:pPr>
      <w:r>
        <w:rPr>
          <w:bCs/>
          <w:color w:val="000000"/>
          <w:sz w:val="24"/>
        </w:rPr>
        <w:t>在落差较大正断层附近采掘时，因断层作用将造成该含水层水溃入矿坑。</w:t>
      </w:r>
    </w:p>
    <w:p w:rsidR="00240BCE" w:rsidRDefault="00AC0334">
      <w:pPr>
        <w:snapToGrid w:val="0"/>
        <w:spacing w:line="520" w:lineRule="exact"/>
        <w:ind w:firstLineChars="200" w:firstLine="480"/>
        <w:rPr>
          <w:bCs/>
          <w:color w:val="000000"/>
          <w:sz w:val="24"/>
        </w:rPr>
      </w:pPr>
      <w:r>
        <w:rPr>
          <w:bCs/>
          <w:color w:val="000000"/>
          <w:sz w:val="24"/>
        </w:rPr>
        <w:t>④</w:t>
      </w:r>
      <w:r>
        <w:rPr>
          <w:bCs/>
          <w:color w:val="000000"/>
          <w:sz w:val="24"/>
        </w:rPr>
        <w:t>采空区及老窑积水</w:t>
      </w:r>
    </w:p>
    <w:p w:rsidR="00240BCE" w:rsidRDefault="00AC0334">
      <w:pPr>
        <w:snapToGrid w:val="0"/>
        <w:spacing w:line="520" w:lineRule="exact"/>
        <w:ind w:firstLineChars="200" w:firstLine="480"/>
        <w:rPr>
          <w:bCs/>
          <w:color w:val="000000"/>
          <w:sz w:val="24"/>
        </w:rPr>
      </w:pPr>
      <w:r>
        <w:rPr>
          <w:bCs/>
          <w:color w:val="000000"/>
          <w:sz w:val="24"/>
        </w:rPr>
        <w:t>隆庆矿业有限公司存在以往采矿形成的采空区，根据瞬变电磁勘探报告，共圈定采空富水异常区</w:t>
      </w:r>
      <w:r>
        <w:rPr>
          <w:bCs/>
          <w:color w:val="000000"/>
          <w:sz w:val="24"/>
        </w:rPr>
        <w:t>7</w:t>
      </w:r>
      <w:r>
        <w:rPr>
          <w:bCs/>
          <w:color w:val="000000"/>
          <w:sz w:val="24"/>
        </w:rPr>
        <w:t>处，其中采空积水范围较大为西南部煤层露头、北部采空区处。采空富水异常区附近开采时要防止沟通老空水，在接近老空时要坚持边探边采的原则，预防老空水溃入工作面，造成透水事故。</w:t>
      </w:r>
    </w:p>
    <w:p w:rsidR="00240BCE" w:rsidRDefault="00AC0334">
      <w:pPr>
        <w:snapToGrid w:val="0"/>
        <w:spacing w:line="520" w:lineRule="exact"/>
        <w:ind w:firstLineChars="200" w:firstLine="480"/>
        <w:rPr>
          <w:bCs/>
          <w:color w:val="000000"/>
          <w:sz w:val="24"/>
        </w:rPr>
      </w:pPr>
      <w:r>
        <w:rPr>
          <w:bCs/>
          <w:color w:val="000000"/>
          <w:sz w:val="24"/>
        </w:rPr>
        <w:t>B</w:t>
      </w:r>
      <w:r>
        <w:rPr>
          <w:bCs/>
          <w:color w:val="000000"/>
          <w:sz w:val="24"/>
        </w:rPr>
        <w:t>、充水通道</w:t>
      </w:r>
    </w:p>
    <w:p w:rsidR="00240BCE" w:rsidRDefault="00AC0334">
      <w:pPr>
        <w:snapToGrid w:val="0"/>
        <w:spacing w:line="520" w:lineRule="exact"/>
        <w:ind w:firstLineChars="200" w:firstLine="480"/>
        <w:rPr>
          <w:bCs/>
          <w:color w:val="000000"/>
          <w:sz w:val="24"/>
        </w:rPr>
      </w:pPr>
      <w:r>
        <w:rPr>
          <w:bCs/>
          <w:color w:val="000000"/>
          <w:sz w:val="24"/>
        </w:rPr>
        <w:t>二</w:t>
      </w:r>
      <w:r>
        <w:rPr>
          <w:bCs/>
          <w:color w:val="000000"/>
          <w:sz w:val="24"/>
          <w:vertAlign w:val="subscript"/>
        </w:rPr>
        <w:t>1</w:t>
      </w:r>
      <w:r>
        <w:rPr>
          <w:bCs/>
          <w:color w:val="000000"/>
          <w:sz w:val="24"/>
        </w:rPr>
        <w:t>煤层开采后，各含水层的水是否能进入矿井，取决于充水通道。依据通道性质、充水量及充水速度归纳为渗入性与溃入性两种通道。</w:t>
      </w:r>
      <w:r>
        <w:rPr>
          <w:bCs/>
          <w:color w:val="000000"/>
          <w:sz w:val="24"/>
        </w:rPr>
        <w:cr/>
        <w:t xml:space="preserve">   </w:t>
      </w:r>
      <w:r>
        <w:rPr>
          <w:bCs/>
          <w:color w:val="000000"/>
          <w:sz w:val="24"/>
        </w:rPr>
        <w:t>（</w:t>
      </w:r>
      <w:r>
        <w:rPr>
          <w:bCs/>
          <w:color w:val="000000"/>
          <w:sz w:val="24"/>
        </w:rPr>
        <w:t>1</w:t>
      </w:r>
      <w:r>
        <w:rPr>
          <w:bCs/>
          <w:color w:val="000000"/>
          <w:sz w:val="24"/>
        </w:rPr>
        <w:t>）渗入性通道</w:t>
      </w:r>
      <w:r>
        <w:rPr>
          <w:bCs/>
          <w:color w:val="000000"/>
          <w:sz w:val="24"/>
        </w:rPr>
        <w:cr/>
        <w:t xml:space="preserve">   </w:t>
      </w:r>
      <w:r>
        <w:rPr>
          <w:bCs/>
          <w:color w:val="000000"/>
          <w:sz w:val="24"/>
        </w:rPr>
        <w:t>指充水水源沿岩石裂隙、孔隙下渗，以淋水方式进入矿井的通道。如二</w:t>
      </w:r>
      <w:r>
        <w:rPr>
          <w:bCs/>
          <w:color w:val="000000"/>
          <w:sz w:val="24"/>
          <w:vertAlign w:val="subscript"/>
        </w:rPr>
        <w:t>1</w:t>
      </w:r>
      <w:r>
        <w:rPr>
          <w:bCs/>
          <w:color w:val="000000"/>
          <w:sz w:val="24"/>
        </w:rPr>
        <w:t>、四</w:t>
      </w:r>
      <w:r>
        <w:rPr>
          <w:bCs/>
          <w:color w:val="000000"/>
          <w:sz w:val="24"/>
          <w:vertAlign w:val="subscript"/>
        </w:rPr>
        <w:t>2</w:t>
      </w:r>
      <w:r>
        <w:rPr>
          <w:bCs/>
          <w:color w:val="000000"/>
          <w:sz w:val="24"/>
        </w:rPr>
        <w:t>煤层顶板含水层水就沿渗入性通道进入矿井。渗入矿井的地下水水量小，流速慢，对矿井安全生产影响不大。</w:t>
      </w:r>
      <w:r>
        <w:rPr>
          <w:bCs/>
          <w:color w:val="000000"/>
          <w:sz w:val="24"/>
        </w:rPr>
        <w:cr/>
        <w:t xml:space="preserve">    </w:t>
      </w:r>
      <w:r>
        <w:rPr>
          <w:bCs/>
          <w:color w:val="000000"/>
          <w:sz w:val="24"/>
        </w:rPr>
        <w:t>（</w:t>
      </w:r>
      <w:r>
        <w:rPr>
          <w:bCs/>
          <w:color w:val="000000"/>
          <w:sz w:val="24"/>
        </w:rPr>
        <w:t>2</w:t>
      </w:r>
      <w:r>
        <w:rPr>
          <w:bCs/>
          <w:color w:val="000000"/>
          <w:sz w:val="24"/>
        </w:rPr>
        <w:t>）溃入性通道</w:t>
      </w:r>
      <w:r>
        <w:rPr>
          <w:bCs/>
          <w:color w:val="000000"/>
          <w:sz w:val="24"/>
        </w:rPr>
        <w:cr/>
        <w:t xml:space="preserve">    </w:t>
      </w:r>
      <w:r>
        <w:rPr>
          <w:bCs/>
          <w:color w:val="000000"/>
          <w:sz w:val="24"/>
        </w:rPr>
        <w:t>指水体以较大流量迅速进入矿井的通道。主要包括延至地表的冒落裂缝、断层破碎带及未封或封闭不合格的钻孔、底板突破通道等。这些导水通道导水能力强，水源通过这些通道进入矿井可造成矿井突水，对矿井安全威胁极大。</w:t>
      </w:r>
      <w:r>
        <w:rPr>
          <w:bCs/>
          <w:color w:val="000000"/>
          <w:sz w:val="24"/>
        </w:rPr>
        <w:cr/>
        <w:t xml:space="preserve">    a</w:t>
      </w:r>
      <w:r>
        <w:rPr>
          <w:bCs/>
          <w:color w:val="000000"/>
          <w:sz w:val="24"/>
        </w:rPr>
        <w:t>、断裂带通道</w:t>
      </w:r>
    </w:p>
    <w:p w:rsidR="00240BCE" w:rsidRDefault="00AC0334">
      <w:pPr>
        <w:snapToGrid w:val="0"/>
        <w:spacing w:line="520" w:lineRule="exact"/>
        <w:ind w:firstLineChars="200" w:firstLine="480"/>
        <w:rPr>
          <w:bCs/>
          <w:color w:val="000000"/>
          <w:sz w:val="24"/>
        </w:rPr>
      </w:pPr>
      <w:r>
        <w:rPr>
          <w:bCs/>
          <w:color w:val="000000"/>
          <w:sz w:val="24"/>
        </w:rPr>
        <w:t>矿井内分布有一条落差大于</w:t>
      </w:r>
      <w:r>
        <w:rPr>
          <w:bCs/>
          <w:color w:val="000000"/>
          <w:sz w:val="24"/>
        </w:rPr>
        <w:t>300m</w:t>
      </w:r>
      <w:r>
        <w:rPr>
          <w:bCs/>
          <w:color w:val="000000"/>
          <w:sz w:val="24"/>
        </w:rPr>
        <w:t>正断层，一条落差</w:t>
      </w:r>
      <w:r>
        <w:rPr>
          <w:bCs/>
          <w:color w:val="000000"/>
          <w:sz w:val="24"/>
        </w:rPr>
        <w:t>70~120m</w:t>
      </w:r>
      <w:r>
        <w:rPr>
          <w:bCs/>
          <w:color w:val="000000"/>
          <w:sz w:val="24"/>
        </w:rPr>
        <w:t>黄</w:t>
      </w:r>
      <w:r>
        <w:rPr>
          <w:bCs/>
          <w:color w:val="000000"/>
          <w:sz w:val="24"/>
        </w:rPr>
        <w:t>F1</w:t>
      </w:r>
      <w:r>
        <w:rPr>
          <w:bCs/>
          <w:color w:val="000000"/>
          <w:sz w:val="24"/>
        </w:rPr>
        <w:t>正断层，</w:t>
      </w:r>
      <w:r>
        <w:rPr>
          <w:bCs/>
          <w:color w:val="000000"/>
          <w:sz w:val="24"/>
        </w:rPr>
        <w:t>4</w:t>
      </w:r>
      <w:r>
        <w:rPr>
          <w:bCs/>
          <w:color w:val="000000"/>
          <w:sz w:val="24"/>
        </w:rPr>
        <w:t>条落差在</w:t>
      </w:r>
      <w:r>
        <w:rPr>
          <w:bCs/>
          <w:color w:val="000000"/>
          <w:sz w:val="24"/>
        </w:rPr>
        <w:t>0—70m</w:t>
      </w:r>
      <w:r>
        <w:rPr>
          <w:bCs/>
          <w:color w:val="000000"/>
          <w:sz w:val="24"/>
        </w:rPr>
        <w:t>正断层，黄</w:t>
      </w:r>
      <w:r>
        <w:rPr>
          <w:bCs/>
          <w:color w:val="000000"/>
          <w:sz w:val="24"/>
        </w:rPr>
        <w:t>F2</w:t>
      </w:r>
      <w:r>
        <w:rPr>
          <w:bCs/>
          <w:color w:val="000000"/>
          <w:sz w:val="24"/>
        </w:rPr>
        <w:t>、黄</w:t>
      </w:r>
      <w:r>
        <w:rPr>
          <w:bCs/>
          <w:color w:val="000000"/>
          <w:sz w:val="24"/>
        </w:rPr>
        <w:t>F3</w:t>
      </w:r>
      <w:r>
        <w:rPr>
          <w:bCs/>
          <w:color w:val="000000"/>
          <w:sz w:val="24"/>
        </w:rPr>
        <w:t>、黄</w:t>
      </w:r>
      <w:r>
        <w:rPr>
          <w:bCs/>
          <w:color w:val="000000"/>
          <w:sz w:val="24"/>
        </w:rPr>
        <w:t>F4</w:t>
      </w:r>
      <w:r>
        <w:rPr>
          <w:bCs/>
          <w:color w:val="000000"/>
          <w:sz w:val="24"/>
        </w:rPr>
        <w:t>、黄</w:t>
      </w:r>
      <w:r>
        <w:rPr>
          <w:bCs/>
          <w:color w:val="000000"/>
          <w:sz w:val="24"/>
        </w:rPr>
        <w:t>F5</w:t>
      </w:r>
      <w:r>
        <w:rPr>
          <w:bCs/>
          <w:color w:val="000000"/>
          <w:sz w:val="24"/>
        </w:rPr>
        <w:t>及铲失地层</w:t>
      </w:r>
      <w:r>
        <w:rPr>
          <w:bCs/>
          <w:color w:val="000000"/>
          <w:sz w:val="24"/>
        </w:rPr>
        <w:t>30~280m</w:t>
      </w:r>
      <w:r>
        <w:rPr>
          <w:bCs/>
          <w:color w:val="000000"/>
          <w:sz w:val="24"/>
        </w:rPr>
        <w:t>的滑动构造（</w:t>
      </w:r>
      <w:r>
        <w:rPr>
          <w:bCs/>
          <w:color w:val="000000"/>
          <w:sz w:val="24"/>
        </w:rPr>
        <w:t>HF0</w:t>
      </w:r>
      <w:r>
        <w:rPr>
          <w:bCs/>
          <w:color w:val="000000"/>
          <w:sz w:val="24"/>
        </w:rPr>
        <w:t>）。</w:t>
      </w:r>
      <w:r>
        <w:rPr>
          <w:bCs/>
          <w:color w:val="000000"/>
          <w:sz w:val="24"/>
        </w:rPr>
        <w:t>HF0</w:t>
      </w:r>
      <w:r>
        <w:rPr>
          <w:bCs/>
          <w:color w:val="000000"/>
          <w:sz w:val="24"/>
        </w:rPr>
        <w:t>滑动构造位于本区东南部边界构造带发育于上石盒子组，暂对矿井开采影响不大，区内断层是沟通寒武系富水带的主要途径，并通过断层与太原组石灰岩及以上各含水层发生水力联系。断层导水是本矿的潜在不安全因素，故矿井在断层带附近开拓时，应留有足够的断层煤柱，并打超前钻探水，防止该断层给矿</w:t>
      </w:r>
      <w:r>
        <w:rPr>
          <w:bCs/>
          <w:color w:val="000000"/>
          <w:sz w:val="24"/>
        </w:rPr>
        <w:lastRenderedPageBreak/>
        <w:t>井生产带来突水危害。</w:t>
      </w:r>
    </w:p>
    <w:p w:rsidR="00240BCE" w:rsidRDefault="00AC0334">
      <w:pPr>
        <w:snapToGrid w:val="0"/>
        <w:spacing w:line="520" w:lineRule="exact"/>
        <w:ind w:firstLineChars="200" w:firstLine="480"/>
        <w:rPr>
          <w:bCs/>
          <w:color w:val="000000"/>
          <w:sz w:val="24"/>
        </w:rPr>
      </w:pPr>
      <w:r>
        <w:rPr>
          <w:bCs/>
          <w:color w:val="000000"/>
          <w:sz w:val="24"/>
        </w:rPr>
        <w:t>b</w:t>
      </w:r>
      <w:r>
        <w:rPr>
          <w:bCs/>
          <w:color w:val="000000"/>
          <w:sz w:val="24"/>
        </w:rPr>
        <w:t>、顶板冒落通道</w:t>
      </w:r>
    </w:p>
    <w:p w:rsidR="00240BCE" w:rsidRDefault="00AC0334">
      <w:pPr>
        <w:snapToGrid w:val="0"/>
        <w:spacing w:line="520" w:lineRule="exact"/>
        <w:ind w:firstLineChars="200" w:firstLine="480"/>
        <w:rPr>
          <w:bCs/>
          <w:color w:val="000000"/>
          <w:sz w:val="24"/>
        </w:rPr>
      </w:pPr>
      <w:r>
        <w:rPr>
          <w:bCs/>
          <w:color w:val="000000"/>
          <w:sz w:val="24"/>
        </w:rPr>
        <w:t>由于浅部二</w:t>
      </w:r>
      <w:r>
        <w:rPr>
          <w:bCs/>
          <w:color w:val="000000"/>
          <w:sz w:val="24"/>
          <w:vertAlign w:val="subscript"/>
        </w:rPr>
        <w:t>1</w:t>
      </w:r>
      <w:r>
        <w:rPr>
          <w:bCs/>
          <w:color w:val="000000"/>
          <w:sz w:val="24"/>
        </w:rPr>
        <w:t>煤层采空区冒落和塌陷而引发的地面裂缝贯通第四系含水层及地表河流和冲沟，在大雨时，洪水可通过地裂缝进入矿井，形成溃入性通道。</w:t>
      </w:r>
    </w:p>
    <w:p w:rsidR="00240BCE" w:rsidRDefault="00AC0334">
      <w:pPr>
        <w:snapToGrid w:val="0"/>
        <w:spacing w:line="520" w:lineRule="exact"/>
        <w:ind w:firstLineChars="200" w:firstLine="480"/>
        <w:rPr>
          <w:bCs/>
          <w:color w:val="000000"/>
          <w:sz w:val="24"/>
        </w:rPr>
      </w:pPr>
      <w:r>
        <w:rPr>
          <w:bCs/>
          <w:color w:val="000000"/>
          <w:sz w:val="24"/>
        </w:rPr>
        <w:t>c</w:t>
      </w:r>
      <w:r>
        <w:rPr>
          <w:bCs/>
          <w:color w:val="000000"/>
          <w:sz w:val="24"/>
        </w:rPr>
        <w:t>、封闭不良钻孔</w:t>
      </w:r>
    </w:p>
    <w:p w:rsidR="00240BCE" w:rsidRDefault="00AC0334">
      <w:pPr>
        <w:snapToGrid w:val="0"/>
        <w:spacing w:line="520" w:lineRule="exact"/>
        <w:ind w:firstLineChars="200" w:firstLine="480"/>
        <w:rPr>
          <w:bCs/>
          <w:color w:val="000000"/>
          <w:sz w:val="24"/>
        </w:rPr>
      </w:pPr>
      <w:r>
        <w:rPr>
          <w:bCs/>
          <w:color w:val="000000"/>
          <w:sz w:val="24"/>
        </w:rPr>
        <w:t>根据生产勘探报告，施工钻孔</w:t>
      </w:r>
      <w:r>
        <w:rPr>
          <w:bCs/>
          <w:color w:val="000000"/>
          <w:sz w:val="24"/>
        </w:rPr>
        <w:t>5</w:t>
      </w:r>
      <w:r>
        <w:rPr>
          <w:bCs/>
          <w:color w:val="000000"/>
          <w:sz w:val="24"/>
        </w:rPr>
        <w:t>个，分别为补</w:t>
      </w:r>
      <w:r>
        <w:rPr>
          <w:bCs/>
          <w:color w:val="000000"/>
          <w:sz w:val="24"/>
        </w:rPr>
        <w:t>8</w:t>
      </w:r>
      <w:r>
        <w:rPr>
          <w:bCs/>
          <w:color w:val="000000"/>
          <w:sz w:val="24"/>
        </w:rPr>
        <w:t>、补</w:t>
      </w:r>
      <w:r>
        <w:rPr>
          <w:bCs/>
          <w:color w:val="000000"/>
          <w:sz w:val="24"/>
        </w:rPr>
        <w:t>9</w:t>
      </w:r>
      <w:r>
        <w:rPr>
          <w:bCs/>
          <w:color w:val="000000"/>
          <w:sz w:val="24"/>
        </w:rPr>
        <w:t>、补</w:t>
      </w:r>
      <w:r>
        <w:rPr>
          <w:bCs/>
          <w:color w:val="000000"/>
          <w:sz w:val="24"/>
        </w:rPr>
        <w:t>10</w:t>
      </w:r>
      <w:r>
        <w:rPr>
          <w:bCs/>
          <w:color w:val="000000"/>
          <w:sz w:val="24"/>
        </w:rPr>
        <w:t>、补</w:t>
      </w:r>
      <w:r>
        <w:rPr>
          <w:bCs/>
          <w:color w:val="000000"/>
          <w:sz w:val="24"/>
        </w:rPr>
        <w:t>11</w:t>
      </w:r>
      <w:r>
        <w:rPr>
          <w:bCs/>
          <w:color w:val="000000"/>
          <w:sz w:val="24"/>
        </w:rPr>
        <w:t>、补</w:t>
      </w:r>
      <w:r>
        <w:rPr>
          <w:bCs/>
          <w:color w:val="000000"/>
          <w:sz w:val="24"/>
        </w:rPr>
        <w:t>12</w:t>
      </w:r>
      <w:r>
        <w:rPr>
          <w:bCs/>
          <w:color w:val="000000"/>
          <w:sz w:val="24"/>
        </w:rPr>
        <w:t>孔。所施工钻孔除补</w:t>
      </w:r>
      <w:r>
        <w:rPr>
          <w:bCs/>
          <w:color w:val="000000"/>
          <w:sz w:val="24"/>
        </w:rPr>
        <w:t>12</w:t>
      </w:r>
      <w:r>
        <w:rPr>
          <w:bCs/>
          <w:color w:val="000000"/>
          <w:sz w:val="24"/>
        </w:rPr>
        <w:t>孔在井口以下</w:t>
      </w:r>
      <w:r>
        <w:rPr>
          <w:bCs/>
          <w:color w:val="000000"/>
          <w:sz w:val="24"/>
        </w:rPr>
        <w:t>5 m</w:t>
      </w:r>
      <w:r>
        <w:rPr>
          <w:bCs/>
          <w:color w:val="000000"/>
          <w:sz w:val="24"/>
        </w:rPr>
        <w:t>、二</w:t>
      </w:r>
      <w:r>
        <w:rPr>
          <w:bCs/>
          <w:color w:val="000000"/>
          <w:sz w:val="24"/>
          <w:vertAlign w:val="subscript"/>
        </w:rPr>
        <w:t>1</w:t>
      </w:r>
      <w:r>
        <w:rPr>
          <w:bCs/>
          <w:color w:val="000000"/>
          <w:sz w:val="24"/>
        </w:rPr>
        <w:t>煤顶板以上</w:t>
      </w:r>
      <w:r>
        <w:rPr>
          <w:bCs/>
          <w:color w:val="000000"/>
          <w:sz w:val="24"/>
        </w:rPr>
        <w:t>70m</w:t>
      </w:r>
      <w:r>
        <w:rPr>
          <w:bCs/>
          <w:color w:val="000000"/>
          <w:sz w:val="24"/>
        </w:rPr>
        <w:t>至孔底封闭外，其余</w:t>
      </w:r>
      <w:r>
        <w:rPr>
          <w:bCs/>
          <w:color w:val="000000"/>
          <w:sz w:val="24"/>
        </w:rPr>
        <w:t>4</w:t>
      </w:r>
      <w:r>
        <w:rPr>
          <w:bCs/>
          <w:color w:val="000000"/>
          <w:sz w:val="24"/>
        </w:rPr>
        <w:t>孔均为全封闭，封孔所用材料为水泥、细砂及清水，材料配比为</w:t>
      </w:r>
      <w:r>
        <w:rPr>
          <w:bCs/>
          <w:color w:val="000000"/>
          <w:sz w:val="24"/>
        </w:rPr>
        <w:t>1∶1∶0.6</w:t>
      </w:r>
      <w:r>
        <w:rPr>
          <w:bCs/>
          <w:color w:val="000000"/>
          <w:sz w:val="24"/>
        </w:rPr>
        <w:t>或</w:t>
      </w:r>
      <w:r>
        <w:rPr>
          <w:bCs/>
          <w:color w:val="000000"/>
          <w:sz w:val="24"/>
        </w:rPr>
        <w:t>1∶1∶0.7</w:t>
      </w:r>
      <w:r>
        <w:rPr>
          <w:bCs/>
          <w:color w:val="000000"/>
          <w:sz w:val="24"/>
        </w:rPr>
        <w:t>。补</w:t>
      </w:r>
      <w:r>
        <w:rPr>
          <w:bCs/>
          <w:color w:val="000000"/>
          <w:sz w:val="24"/>
        </w:rPr>
        <w:t>12</w:t>
      </w:r>
      <w:r>
        <w:rPr>
          <w:bCs/>
          <w:color w:val="000000"/>
          <w:sz w:val="24"/>
        </w:rPr>
        <w:t>孔在封闭段</w:t>
      </w:r>
      <w:r>
        <w:rPr>
          <w:bCs/>
          <w:color w:val="000000"/>
          <w:sz w:val="24"/>
        </w:rPr>
        <w:t>516m</w:t>
      </w:r>
      <w:r>
        <w:rPr>
          <w:bCs/>
          <w:color w:val="000000"/>
          <w:sz w:val="24"/>
        </w:rPr>
        <w:t>处取砂浆样验证封闭质量合格，所有钻孔井口以下用水泥砂浆封闭</w:t>
      </w:r>
      <w:r>
        <w:rPr>
          <w:bCs/>
          <w:color w:val="000000"/>
          <w:sz w:val="24"/>
        </w:rPr>
        <w:t>5m</w:t>
      </w:r>
      <w:r>
        <w:rPr>
          <w:bCs/>
          <w:color w:val="000000"/>
          <w:sz w:val="24"/>
        </w:rPr>
        <w:t>作暗标，钻孔封闭质量合格。井田西部还有补</w:t>
      </w:r>
      <w:r>
        <w:rPr>
          <w:bCs/>
          <w:color w:val="000000"/>
          <w:sz w:val="24"/>
        </w:rPr>
        <w:t>1</w:t>
      </w:r>
      <w:r>
        <w:rPr>
          <w:bCs/>
          <w:color w:val="000000"/>
          <w:sz w:val="24"/>
        </w:rPr>
        <w:t>、补</w:t>
      </w:r>
      <w:r>
        <w:rPr>
          <w:bCs/>
          <w:color w:val="000000"/>
          <w:sz w:val="24"/>
        </w:rPr>
        <w:t>2</w:t>
      </w:r>
      <w:r>
        <w:rPr>
          <w:bCs/>
          <w:color w:val="000000"/>
          <w:sz w:val="24"/>
        </w:rPr>
        <w:t>、、补</w:t>
      </w:r>
      <w:r>
        <w:rPr>
          <w:bCs/>
          <w:color w:val="000000"/>
          <w:sz w:val="24"/>
        </w:rPr>
        <w:t>3</w:t>
      </w:r>
      <w:r>
        <w:rPr>
          <w:bCs/>
          <w:color w:val="000000"/>
          <w:sz w:val="24"/>
        </w:rPr>
        <w:t>、补</w:t>
      </w:r>
      <w:r>
        <w:rPr>
          <w:bCs/>
          <w:color w:val="000000"/>
          <w:sz w:val="24"/>
        </w:rPr>
        <w:t>4</w:t>
      </w:r>
      <w:r>
        <w:rPr>
          <w:bCs/>
          <w:color w:val="000000"/>
          <w:sz w:val="24"/>
        </w:rPr>
        <w:t>、补</w:t>
      </w:r>
      <w:r>
        <w:rPr>
          <w:bCs/>
          <w:color w:val="000000"/>
          <w:sz w:val="24"/>
        </w:rPr>
        <w:t>5</w:t>
      </w:r>
      <w:r>
        <w:rPr>
          <w:bCs/>
          <w:color w:val="000000"/>
          <w:sz w:val="24"/>
        </w:rPr>
        <w:t>、补</w:t>
      </w:r>
      <w:r>
        <w:rPr>
          <w:bCs/>
          <w:color w:val="000000"/>
          <w:sz w:val="24"/>
        </w:rPr>
        <w:t>6</w:t>
      </w:r>
      <w:r>
        <w:rPr>
          <w:bCs/>
          <w:color w:val="000000"/>
          <w:sz w:val="24"/>
        </w:rPr>
        <w:t>、补</w:t>
      </w:r>
      <w:r>
        <w:rPr>
          <w:bCs/>
          <w:color w:val="000000"/>
          <w:sz w:val="24"/>
        </w:rPr>
        <w:t>7</w:t>
      </w:r>
      <w:r>
        <w:rPr>
          <w:bCs/>
          <w:color w:val="000000"/>
          <w:sz w:val="24"/>
        </w:rPr>
        <w:t>等</w:t>
      </w:r>
      <w:r>
        <w:rPr>
          <w:bCs/>
          <w:color w:val="000000"/>
          <w:sz w:val="24"/>
        </w:rPr>
        <w:t>7</w:t>
      </w:r>
      <w:r>
        <w:rPr>
          <w:bCs/>
          <w:color w:val="000000"/>
          <w:sz w:val="24"/>
        </w:rPr>
        <w:t>个钻孔，这</w:t>
      </w:r>
      <w:r>
        <w:rPr>
          <w:bCs/>
          <w:color w:val="000000"/>
          <w:sz w:val="24"/>
        </w:rPr>
        <w:t>7</w:t>
      </w:r>
      <w:r>
        <w:rPr>
          <w:bCs/>
          <w:color w:val="000000"/>
          <w:sz w:val="24"/>
        </w:rPr>
        <w:t>个钻孔封闭情况不详，故采煤接近这些钻孔时，需要预防因钻孔封闭不好而涌水。</w:t>
      </w:r>
    </w:p>
    <w:p w:rsidR="00240BCE" w:rsidRDefault="00AC0334">
      <w:pPr>
        <w:snapToGrid w:val="0"/>
        <w:spacing w:line="520" w:lineRule="exact"/>
        <w:ind w:firstLineChars="200" w:firstLine="480"/>
        <w:rPr>
          <w:bCs/>
          <w:color w:val="000000"/>
          <w:sz w:val="24"/>
        </w:rPr>
      </w:pPr>
      <w:r>
        <w:rPr>
          <w:bCs/>
          <w:color w:val="000000"/>
          <w:sz w:val="24"/>
        </w:rPr>
        <w:t>d</w:t>
      </w:r>
      <w:r>
        <w:rPr>
          <w:bCs/>
          <w:color w:val="000000"/>
          <w:sz w:val="24"/>
        </w:rPr>
        <w:t>、底板突破通道</w:t>
      </w:r>
    </w:p>
    <w:p w:rsidR="00240BCE" w:rsidRDefault="00AC0334">
      <w:pPr>
        <w:snapToGrid w:val="0"/>
        <w:spacing w:line="520" w:lineRule="exact"/>
        <w:ind w:firstLineChars="200" w:firstLine="480"/>
        <w:rPr>
          <w:bCs/>
          <w:color w:val="000000"/>
          <w:sz w:val="24"/>
        </w:rPr>
      </w:pPr>
      <w:r>
        <w:rPr>
          <w:bCs/>
          <w:color w:val="000000"/>
          <w:sz w:val="24"/>
        </w:rPr>
        <w:t>本矿井二</w:t>
      </w:r>
      <w:r>
        <w:rPr>
          <w:bCs/>
          <w:color w:val="000000"/>
          <w:sz w:val="24"/>
          <w:vertAlign w:val="subscript"/>
        </w:rPr>
        <w:t>1</w:t>
      </w:r>
      <w:r>
        <w:rPr>
          <w:bCs/>
          <w:color w:val="000000"/>
          <w:sz w:val="24"/>
        </w:rPr>
        <w:t>煤层之下，有三层岩溶裂隙含水层，随着矿井的开采深度增大，地层应力的改变，煤层底板承受的水压增大，在隔水层较薄处，底板水易将其突破，形成充水通道。尤其是寒武系岩溶裂隙含水层，水压大，动储量丰富，在其静水位以下一定深度采煤时，底板中遇裂隙发育、接近断层，寒武系岩溶水可通过这些薄弱地段进入矿井，形成底板突破通道。</w:t>
      </w:r>
    </w:p>
    <w:p w:rsidR="00240BCE" w:rsidRDefault="00AC0334">
      <w:pPr>
        <w:snapToGrid w:val="0"/>
        <w:spacing w:line="520" w:lineRule="exact"/>
        <w:ind w:firstLineChars="200" w:firstLine="480"/>
        <w:rPr>
          <w:bCs/>
          <w:color w:val="000000"/>
          <w:spacing w:val="4"/>
          <w:sz w:val="24"/>
        </w:rPr>
      </w:pPr>
      <w:r>
        <w:rPr>
          <w:bCs/>
          <w:color w:val="000000"/>
          <w:sz w:val="24"/>
        </w:rPr>
        <w:t>综上所述，构造破碎带通道、底板突破通道及顶板冒落通道均为本矿井的突水通道，其中构造破碎带是本区导水的主要通道，应特别予以重视，其次为地裂缝通道，此种通道只要采取必要措施即可消除。</w:t>
      </w:r>
    </w:p>
    <w:p w:rsidR="00240BCE" w:rsidRDefault="00AC0334">
      <w:pPr>
        <w:spacing w:line="520" w:lineRule="exact"/>
        <w:ind w:firstLineChars="200" w:firstLine="480"/>
        <w:rPr>
          <w:sz w:val="24"/>
        </w:rPr>
      </w:pPr>
      <w:bookmarkStart w:id="559" w:name="_Toc482195908"/>
      <w:bookmarkStart w:id="560" w:name="_Toc388283644"/>
      <w:r>
        <w:rPr>
          <w:sz w:val="24"/>
        </w:rPr>
        <w:t>⑺</w:t>
      </w:r>
      <w:r>
        <w:rPr>
          <w:sz w:val="24"/>
        </w:rPr>
        <w:t>矿井涌水量</w:t>
      </w:r>
      <w:bookmarkEnd w:id="559"/>
    </w:p>
    <w:p w:rsidR="00240BCE" w:rsidRDefault="00AC0334">
      <w:pPr>
        <w:spacing w:line="520" w:lineRule="exact"/>
        <w:ind w:firstLineChars="200" w:firstLine="480"/>
        <w:rPr>
          <w:sz w:val="24"/>
        </w:rPr>
      </w:pPr>
      <w:r>
        <w:rPr>
          <w:sz w:val="24"/>
        </w:rPr>
        <w:t>根据矿井水文地质报告，对于二</w:t>
      </w:r>
      <w:r>
        <w:rPr>
          <w:rFonts w:eastAsia="新宋体"/>
          <w:kern w:val="0"/>
          <w:sz w:val="24"/>
          <w:vertAlign w:val="subscript"/>
        </w:rPr>
        <w:t>1</w:t>
      </w:r>
      <w:r>
        <w:rPr>
          <w:sz w:val="24"/>
        </w:rPr>
        <w:t>煤层，分别采用</w:t>
      </w:r>
      <w:r>
        <w:rPr>
          <w:rFonts w:hint="eastAsia"/>
          <w:sz w:val="24"/>
        </w:rPr>
        <w:t>了</w:t>
      </w:r>
      <w:r>
        <w:rPr>
          <w:sz w:val="24"/>
        </w:rPr>
        <w:t>大井法和比拟法进行</w:t>
      </w:r>
      <w:r>
        <w:rPr>
          <w:rFonts w:hint="eastAsia"/>
          <w:sz w:val="24"/>
        </w:rPr>
        <w:t>计算</w:t>
      </w:r>
      <w:r>
        <w:rPr>
          <w:sz w:val="24"/>
        </w:rPr>
        <w:t>，并进行对比。</w:t>
      </w:r>
      <w:bookmarkStart w:id="561" w:name="_Toc320714348"/>
      <w:bookmarkStart w:id="562" w:name="_Toc482195911"/>
      <w:r>
        <w:rPr>
          <w:rFonts w:hint="eastAsia"/>
          <w:sz w:val="24"/>
        </w:rPr>
        <w:t>计算</w:t>
      </w:r>
      <w:r>
        <w:rPr>
          <w:sz w:val="24"/>
        </w:rPr>
        <w:t>结果见表</w:t>
      </w:r>
      <w:r>
        <w:rPr>
          <w:sz w:val="24"/>
        </w:rPr>
        <w:t>6.3-1</w:t>
      </w:r>
      <w:r>
        <w:rPr>
          <w:sz w:val="24"/>
        </w:rPr>
        <w:t>所示。</w:t>
      </w:r>
    </w:p>
    <w:p w:rsidR="00240BCE" w:rsidRDefault="00240BCE">
      <w:pPr>
        <w:pStyle w:val="a1"/>
      </w:pPr>
    </w:p>
    <w:p w:rsidR="00240BCE" w:rsidRDefault="00AC0334" w:rsidP="009C5F33">
      <w:pPr>
        <w:spacing w:beforeLines="50" w:line="360" w:lineRule="auto"/>
        <w:jc w:val="center"/>
        <w:rPr>
          <w:sz w:val="24"/>
          <w:szCs w:val="22"/>
        </w:rPr>
      </w:pPr>
      <w:r>
        <w:rPr>
          <w:sz w:val="24"/>
          <w:szCs w:val="22"/>
        </w:rPr>
        <w:lastRenderedPageBreak/>
        <w:t>表</w:t>
      </w:r>
      <w:r>
        <w:rPr>
          <w:sz w:val="24"/>
          <w:szCs w:val="22"/>
        </w:rPr>
        <w:t xml:space="preserve">6.3-1   </w:t>
      </w:r>
      <w:r>
        <w:rPr>
          <w:sz w:val="24"/>
          <w:szCs w:val="22"/>
        </w:rPr>
        <w:t>矿井涌水量预算结果对比表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7"/>
        <w:gridCol w:w="1340"/>
        <w:gridCol w:w="2099"/>
        <w:gridCol w:w="2290"/>
        <w:gridCol w:w="2210"/>
      </w:tblGrid>
      <w:tr w:rsidR="00240BCE">
        <w:tc>
          <w:tcPr>
            <w:tcW w:w="1007" w:type="dxa"/>
            <w:vAlign w:val="center"/>
          </w:tcPr>
          <w:p w:rsidR="00240BCE" w:rsidRDefault="00AC0334">
            <w:pPr>
              <w:rPr>
                <w:sz w:val="21"/>
                <w:szCs w:val="21"/>
              </w:rPr>
            </w:pPr>
            <w:r>
              <w:rPr>
                <w:sz w:val="21"/>
                <w:szCs w:val="21"/>
              </w:rPr>
              <w:t>煤层</w:t>
            </w:r>
          </w:p>
        </w:tc>
        <w:tc>
          <w:tcPr>
            <w:tcW w:w="3439" w:type="dxa"/>
            <w:gridSpan w:val="2"/>
            <w:vAlign w:val="center"/>
          </w:tcPr>
          <w:p w:rsidR="00240BCE" w:rsidRDefault="00AC0334">
            <w:pPr>
              <w:rPr>
                <w:sz w:val="21"/>
                <w:szCs w:val="21"/>
              </w:rPr>
            </w:pPr>
            <w:r>
              <w:rPr>
                <w:sz w:val="21"/>
                <w:szCs w:val="21"/>
              </w:rPr>
              <w:t>预算方法</w:t>
            </w:r>
          </w:p>
        </w:tc>
        <w:tc>
          <w:tcPr>
            <w:tcW w:w="2290" w:type="dxa"/>
            <w:vAlign w:val="center"/>
          </w:tcPr>
          <w:p w:rsidR="00240BCE" w:rsidRDefault="00AC0334">
            <w:pPr>
              <w:rPr>
                <w:sz w:val="21"/>
                <w:szCs w:val="21"/>
              </w:rPr>
            </w:pPr>
            <w:r>
              <w:rPr>
                <w:sz w:val="21"/>
                <w:szCs w:val="21"/>
              </w:rPr>
              <w:t>正常涌水量</w:t>
            </w:r>
            <w:r>
              <w:rPr>
                <w:sz w:val="21"/>
                <w:szCs w:val="21"/>
              </w:rPr>
              <w:t>(m</w:t>
            </w:r>
            <w:r>
              <w:rPr>
                <w:sz w:val="21"/>
                <w:szCs w:val="21"/>
                <w:vertAlign w:val="superscript"/>
              </w:rPr>
              <w:t>3</w:t>
            </w:r>
            <w:r>
              <w:rPr>
                <w:sz w:val="21"/>
                <w:szCs w:val="21"/>
              </w:rPr>
              <w:t>/h)</w:t>
            </w:r>
          </w:p>
        </w:tc>
        <w:tc>
          <w:tcPr>
            <w:tcW w:w="2210" w:type="dxa"/>
            <w:vAlign w:val="center"/>
          </w:tcPr>
          <w:p w:rsidR="00240BCE" w:rsidRDefault="00AC0334">
            <w:pPr>
              <w:rPr>
                <w:sz w:val="21"/>
                <w:szCs w:val="21"/>
              </w:rPr>
            </w:pPr>
            <w:r>
              <w:rPr>
                <w:sz w:val="21"/>
                <w:szCs w:val="21"/>
              </w:rPr>
              <w:t>最大涌水量</w:t>
            </w:r>
            <w:r>
              <w:rPr>
                <w:sz w:val="21"/>
                <w:szCs w:val="21"/>
              </w:rPr>
              <w:t>(m</w:t>
            </w:r>
            <w:r>
              <w:rPr>
                <w:sz w:val="21"/>
                <w:szCs w:val="21"/>
                <w:vertAlign w:val="superscript"/>
              </w:rPr>
              <w:t>3</w:t>
            </w:r>
            <w:r>
              <w:rPr>
                <w:sz w:val="21"/>
                <w:szCs w:val="21"/>
              </w:rPr>
              <w:t>/h)</w:t>
            </w:r>
          </w:p>
        </w:tc>
      </w:tr>
      <w:tr w:rsidR="00240BCE">
        <w:tc>
          <w:tcPr>
            <w:tcW w:w="1007" w:type="dxa"/>
            <w:vMerge w:val="restart"/>
            <w:vAlign w:val="center"/>
          </w:tcPr>
          <w:p w:rsidR="00240BCE" w:rsidRDefault="00AC0334">
            <w:pPr>
              <w:rPr>
                <w:sz w:val="21"/>
                <w:szCs w:val="21"/>
              </w:rPr>
            </w:pPr>
            <w:r>
              <w:rPr>
                <w:sz w:val="21"/>
                <w:szCs w:val="21"/>
              </w:rPr>
              <w:t>二</w:t>
            </w:r>
            <w:r>
              <w:rPr>
                <w:rFonts w:eastAsia="新宋体"/>
                <w:kern w:val="0"/>
                <w:sz w:val="21"/>
                <w:szCs w:val="21"/>
                <w:vertAlign w:val="subscript"/>
              </w:rPr>
              <w:t>1</w:t>
            </w:r>
          </w:p>
        </w:tc>
        <w:tc>
          <w:tcPr>
            <w:tcW w:w="1340" w:type="dxa"/>
            <w:vMerge w:val="restart"/>
            <w:vAlign w:val="center"/>
          </w:tcPr>
          <w:p w:rsidR="00240BCE" w:rsidRDefault="00AC0334">
            <w:pPr>
              <w:rPr>
                <w:sz w:val="21"/>
                <w:szCs w:val="21"/>
              </w:rPr>
            </w:pPr>
            <w:r>
              <w:rPr>
                <w:sz w:val="21"/>
                <w:szCs w:val="21"/>
              </w:rPr>
              <w:t>-150m</w:t>
            </w:r>
            <w:r>
              <w:rPr>
                <w:sz w:val="21"/>
                <w:szCs w:val="21"/>
              </w:rPr>
              <w:t>以浅</w:t>
            </w:r>
          </w:p>
        </w:tc>
        <w:tc>
          <w:tcPr>
            <w:tcW w:w="2099" w:type="dxa"/>
            <w:vAlign w:val="center"/>
          </w:tcPr>
          <w:p w:rsidR="00240BCE" w:rsidRDefault="00AC0334">
            <w:pPr>
              <w:rPr>
                <w:sz w:val="21"/>
                <w:szCs w:val="21"/>
              </w:rPr>
            </w:pPr>
            <w:r>
              <w:rPr>
                <w:sz w:val="21"/>
                <w:szCs w:val="21"/>
              </w:rPr>
              <w:t>大井法</w:t>
            </w:r>
          </w:p>
        </w:tc>
        <w:tc>
          <w:tcPr>
            <w:tcW w:w="2290" w:type="dxa"/>
            <w:vAlign w:val="center"/>
          </w:tcPr>
          <w:p w:rsidR="00240BCE" w:rsidRDefault="00AC0334">
            <w:pPr>
              <w:rPr>
                <w:sz w:val="21"/>
                <w:szCs w:val="21"/>
              </w:rPr>
            </w:pPr>
            <w:r>
              <w:rPr>
                <w:sz w:val="21"/>
                <w:szCs w:val="21"/>
              </w:rPr>
              <w:t>124</w:t>
            </w:r>
          </w:p>
        </w:tc>
        <w:tc>
          <w:tcPr>
            <w:tcW w:w="2210" w:type="dxa"/>
            <w:vAlign w:val="center"/>
          </w:tcPr>
          <w:p w:rsidR="00240BCE" w:rsidRDefault="00AC0334">
            <w:pPr>
              <w:rPr>
                <w:sz w:val="21"/>
                <w:szCs w:val="21"/>
              </w:rPr>
            </w:pPr>
            <w:r>
              <w:rPr>
                <w:sz w:val="21"/>
                <w:szCs w:val="21"/>
              </w:rPr>
              <w:t>236</w:t>
            </w:r>
          </w:p>
        </w:tc>
      </w:tr>
      <w:tr w:rsidR="00240BCE">
        <w:tc>
          <w:tcPr>
            <w:tcW w:w="1007" w:type="dxa"/>
            <w:vMerge/>
            <w:vAlign w:val="center"/>
          </w:tcPr>
          <w:p w:rsidR="00240BCE" w:rsidRDefault="00240BCE">
            <w:pPr>
              <w:rPr>
                <w:sz w:val="21"/>
                <w:szCs w:val="21"/>
              </w:rPr>
            </w:pPr>
          </w:p>
        </w:tc>
        <w:tc>
          <w:tcPr>
            <w:tcW w:w="1340" w:type="dxa"/>
            <w:vMerge/>
            <w:vAlign w:val="center"/>
          </w:tcPr>
          <w:p w:rsidR="00240BCE" w:rsidRDefault="00240BCE">
            <w:pPr>
              <w:rPr>
                <w:sz w:val="21"/>
                <w:szCs w:val="21"/>
              </w:rPr>
            </w:pPr>
          </w:p>
        </w:tc>
        <w:tc>
          <w:tcPr>
            <w:tcW w:w="2099" w:type="dxa"/>
            <w:vAlign w:val="center"/>
          </w:tcPr>
          <w:p w:rsidR="00240BCE" w:rsidRDefault="00AC0334">
            <w:pPr>
              <w:rPr>
                <w:sz w:val="21"/>
                <w:szCs w:val="21"/>
              </w:rPr>
            </w:pPr>
            <w:r>
              <w:rPr>
                <w:sz w:val="21"/>
                <w:szCs w:val="21"/>
              </w:rPr>
              <w:t>比拟法</w:t>
            </w:r>
          </w:p>
        </w:tc>
        <w:tc>
          <w:tcPr>
            <w:tcW w:w="2290" w:type="dxa"/>
            <w:vAlign w:val="center"/>
          </w:tcPr>
          <w:p w:rsidR="00240BCE" w:rsidRDefault="00AC0334">
            <w:pPr>
              <w:rPr>
                <w:sz w:val="21"/>
                <w:szCs w:val="21"/>
              </w:rPr>
            </w:pPr>
            <w:r>
              <w:rPr>
                <w:sz w:val="21"/>
                <w:szCs w:val="21"/>
              </w:rPr>
              <w:t>124</w:t>
            </w:r>
          </w:p>
        </w:tc>
        <w:tc>
          <w:tcPr>
            <w:tcW w:w="2210" w:type="dxa"/>
            <w:vAlign w:val="center"/>
          </w:tcPr>
          <w:p w:rsidR="00240BCE" w:rsidRDefault="00AC0334">
            <w:pPr>
              <w:rPr>
                <w:sz w:val="21"/>
                <w:szCs w:val="21"/>
              </w:rPr>
            </w:pPr>
            <w:r>
              <w:rPr>
                <w:sz w:val="21"/>
                <w:szCs w:val="21"/>
              </w:rPr>
              <w:t>248</w:t>
            </w:r>
          </w:p>
        </w:tc>
      </w:tr>
      <w:tr w:rsidR="00240BCE">
        <w:tc>
          <w:tcPr>
            <w:tcW w:w="1007" w:type="dxa"/>
            <w:vMerge/>
            <w:vAlign w:val="center"/>
          </w:tcPr>
          <w:p w:rsidR="00240BCE" w:rsidRDefault="00240BCE">
            <w:pPr>
              <w:rPr>
                <w:sz w:val="21"/>
                <w:szCs w:val="21"/>
              </w:rPr>
            </w:pPr>
          </w:p>
        </w:tc>
        <w:tc>
          <w:tcPr>
            <w:tcW w:w="1340" w:type="dxa"/>
            <w:vMerge w:val="restart"/>
            <w:vAlign w:val="center"/>
          </w:tcPr>
          <w:p w:rsidR="00240BCE" w:rsidRDefault="00AC0334">
            <w:pPr>
              <w:rPr>
                <w:sz w:val="21"/>
                <w:szCs w:val="21"/>
              </w:rPr>
            </w:pPr>
            <w:r>
              <w:rPr>
                <w:sz w:val="21"/>
                <w:szCs w:val="21"/>
              </w:rPr>
              <w:t>-465m</w:t>
            </w:r>
            <w:r>
              <w:rPr>
                <w:sz w:val="21"/>
                <w:szCs w:val="21"/>
              </w:rPr>
              <w:t>以浅</w:t>
            </w:r>
          </w:p>
        </w:tc>
        <w:tc>
          <w:tcPr>
            <w:tcW w:w="2099" w:type="dxa"/>
            <w:vAlign w:val="center"/>
          </w:tcPr>
          <w:p w:rsidR="00240BCE" w:rsidRDefault="00AC0334">
            <w:pPr>
              <w:rPr>
                <w:sz w:val="21"/>
                <w:szCs w:val="21"/>
              </w:rPr>
            </w:pPr>
            <w:r>
              <w:rPr>
                <w:sz w:val="21"/>
                <w:szCs w:val="21"/>
              </w:rPr>
              <w:t>大井法</w:t>
            </w:r>
          </w:p>
        </w:tc>
        <w:tc>
          <w:tcPr>
            <w:tcW w:w="2290" w:type="dxa"/>
            <w:vAlign w:val="center"/>
          </w:tcPr>
          <w:p w:rsidR="00240BCE" w:rsidRDefault="00AC0334">
            <w:pPr>
              <w:rPr>
                <w:sz w:val="21"/>
                <w:szCs w:val="21"/>
              </w:rPr>
            </w:pPr>
            <w:r>
              <w:rPr>
                <w:sz w:val="21"/>
                <w:szCs w:val="21"/>
              </w:rPr>
              <w:t>169</w:t>
            </w:r>
          </w:p>
        </w:tc>
        <w:tc>
          <w:tcPr>
            <w:tcW w:w="2210" w:type="dxa"/>
            <w:vAlign w:val="center"/>
          </w:tcPr>
          <w:p w:rsidR="00240BCE" w:rsidRDefault="00AC0334">
            <w:pPr>
              <w:rPr>
                <w:sz w:val="21"/>
                <w:szCs w:val="21"/>
              </w:rPr>
            </w:pPr>
            <w:r>
              <w:rPr>
                <w:sz w:val="21"/>
                <w:szCs w:val="21"/>
              </w:rPr>
              <w:t>321</w:t>
            </w:r>
          </w:p>
        </w:tc>
      </w:tr>
      <w:tr w:rsidR="00240BCE">
        <w:tc>
          <w:tcPr>
            <w:tcW w:w="1007" w:type="dxa"/>
            <w:vMerge/>
            <w:vAlign w:val="center"/>
          </w:tcPr>
          <w:p w:rsidR="00240BCE" w:rsidRDefault="00240BCE">
            <w:pPr>
              <w:rPr>
                <w:sz w:val="21"/>
                <w:szCs w:val="21"/>
              </w:rPr>
            </w:pPr>
          </w:p>
        </w:tc>
        <w:tc>
          <w:tcPr>
            <w:tcW w:w="1340" w:type="dxa"/>
            <w:vMerge/>
            <w:vAlign w:val="center"/>
          </w:tcPr>
          <w:p w:rsidR="00240BCE" w:rsidRDefault="00240BCE">
            <w:pPr>
              <w:rPr>
                <w:sz w:val="21"/>
                <w:szCs w:val="21"/>
              </w:rPr>
            </w:pPr>
          </w:p>
        </w:tc>
        <w:tc>
          <w:tcPr>
            <w:tcW w:w="2099" w:type="dxa"/>
            <w:vAlign w:val="center"/>
          </w:tcPr>
          <w:p w:rsidR="00240BCE" w:rsidRDefault="00AC0334">
            <w:pPr>
              <w:rPr>
                <w:sz w:val="21"/>
                <w:szCs w:val="21"/>
              </w:rPr>
            </w:pPr>
            <w:r>
              <w:rPr>
                <w:sz w:val="21"/>
                <w:szCs w:val="21"/>
              </w:rPr>
              <w:t>比拟法</w:t>
            </w:r>
          </w:p>
        </w:tc>
        <w:tc>
          <w:tcPr>
            <w:tcW w:w="2290" w:type="dxa"/>
            <w:vAlign w:val="center"/>
          </w:tcPr>
          <w:p w:rsidR="00240BCE" w:rsidRDefault="00AC0334">
            <w:pPr>
              <w:rPr>
                <w:sz w:val="21"/>
                <w:szCs w:val="21"/>
              </w:rPr>
            </w:pPr>
            <w:r>
              <w:rPr>
                <w:sz w:val="21"/>
                <w:szCs w:val="21"/>
              </w:rPr>
              <w:t>194</w:t>
            </w:r>
          </w:p>
        </w:tc>
        <w:tc>
          <w:tcPr>
            <w:tcW w:w="2210" w:type="dxa"/>
            <w:vAlign w:val="center"/>
          </w:tcPr>
          <w:p w:rsidR="00240BCE" w:rsidRDefault="00AC0334">
            <w:pPr>
              <w:rPr>
                <w:sz w:val="21"/>
                <w:szCs w:val="21"/>
              </w:rPr>
            </w:pPr>
            <w:r>
              <w:rPr>
                <w:sz w:val="21"/>
                <w:szCs w:val="21"/>
              </w:rPr>
              <w:t>388</w:t>
            </w:r>
          </w:p>
        </w:tc>
      </w:tr>
    </w:tbl>
    <w:p w:rsidR="00240BCE" w:rsidRDefault="00AC0334">
      <w:pPr>
        <w:spacing w:line="520" w:lineRule="exact"/>
        <w:ind w:firstLineChars="200" w:firstLine="480"/>
        <w:rPr>
          <w:sz w:val="24"/>
        </w:rPr>
      </w:pPr>
      <w:r>
        <w:rPr>
          <w:sz w:val="24"/>
        </w:rPr>
        <w:t>通过比较，对于二</w:t>
      </w:r>
      <w:r>
        <w:rPr>
          <w:rFonts w:eastAsia="新宋体"/>
          <w:kern w:val="0"/>
          <w:sz w:val="24"/>
          <w:vertAlign w:val="subscript"/>
        </w:rPr>
        <w:t>1</w:t>
      </w:r>
      <w:r>
        <w:rPr>
          <w:sz w:val="24"/>
        </w:rPr>
        <w:t>煤层，采用大井法和和比拟法预算的涌水量结果相差不大。设计取最大值，即采用比拟法预算的涌水量。即矿井开采二</w:t>
      </w:r>
      <w:r>
        <w:rPr>
          <w:rFonts w:eastAsia="新宋体"/>
          <w:kern w:val="0"/>
          <w:sz w:val="24"/>
          <w:vertAlign w:val="subscript"/>
        </w:rPr>
        <w:t>1</w:t>
      </w:r>
      <w:r>
        <w:rPr>
          <w:sz w:val="24"/>
        </w:rPr>
        <w:t>煤层时，</w:t>
      </w:r>
      <w:r>
        <w:rPr>
          <w:sz w:val="24"/>
        </w:rPr>
        <w:t>-150m</w:t>
      </w:r>
      <w:r>
        <w:rPr>
          <w:sz w:val="24"/>
        </w:rPr>
        <w:t>以浅正常涌水量为</w:t>
      </w:r>
      <w:r>
        <w:rPr>
          <w:sz w:val="24"/>
        </w:rPr>
        <w:t>124 m</w:t>
      </w:r>
      <w:r>
        <w:rPr>
          <w:sz w:val="24"/>
          <w:vertAlign w:val="superscript"/>
        </w:rPr>
        <w:t>3</w:t>
      </w:r>
      <w:r>
        <w:rPr>
          <w:sz w:val="24"/>
        </w:rPr>
        <w:t>/h</w:t>
      </w:r>
      <w:r>
        <w:rPr>
          <w:sz w:val="24"/>
        </w:rPr>
        <w:t>，最大涌水量为</w:t>
      </w:r>
      <w:r>
        <w:rPr>
          <w:sz w:val="24"/>
        </w:rPr>
        <w:t>248 m</w:t>
      </w:r>
      <w:r>
        <w:rPr>
          <w:sz w:val="24"/>
          <w:vertAlign w:val="superscript"/>
        </w:rPr>
        <w:t>3</w:t>
      </w:r>
      <w:r>
        <w:rPr>
          <w:sz w:val="24"/>
        </w:rPr>
        <w:t>/h</w:t>
      </w:r>
      <w:r>
        <w:rPr>
          <w:sz w:val="24"/>
        </w:rPr>
        <w:t>；全矿井正常涌水量为</w:t>
      </w:r>
      <w:r>
        <w:rPr>
          <w:sz w:val="24"/>
        </w:rPr>
        <w:t>194m</w:t>
      </w:r>
      <w:r>
        <w:rPr>
          <w:sz w:val="24"/>
          <w:vertAlign w:val="superscript"/>
        </w:rPr>
        <w:t>3</w:t>
      </w:r>
      <w:r>
        <w:rPr>
          <w:sz w:val="24"/>
        </w:rPr>
        <w:t>/h</w:t>
      </w:r>
      <w:r>
        <w:rPr>
          <w:sz w:val="24"/>
        </w:rPr>
        <w:t>，最大涌水量为</w:t>
      </w:r>
      <w:r>
        <w:rPr>
          <w:sz w:val="24"/>
        </w:rPr>
        <w:t>388m</w:t>
      </w:r>
      <w:r>
        <w:rPr>
          <w:sz w:val="24"/>
          <w:vertAlign w:val="superscript"/>
        </w:rPr>
        <w:t>3</w:t>
      </w:r>
      <w:r>
        <w:rPr>
          <w:sz w:val="24"/>
        </w:rPr>
        <w:t>/h</w:t>
      </w:r>
      <w:r>
        <w:rPr>
          <w:sz w:val="24"/>
        </w:rPr>
        <w:t>。</w:t>
      </w:r>
    </w:p>
    <w:p w:rsidR="00240BCE" w:rsidRDefault="00AC0334">
      <w:pPr>
        <w:spacing w:line="520" w:lineRule="exact"/>
        <w:ind w:firstLineChars="200" w:firstLine="480"/>
        <w:rPr>
          <w:sz w:val="24"/>
        </w:rPr>
      </w:pPr>
      <w:bookmarkStart w:id="563" w:name="_Toc482195912"/>
      <w:bookmarkEnd w:id="560"/>
      <w:bookmarkEnd w:id="561"/>
      <w:bookmarkEnd w:id="562"/>
      <w:r>
        <w:rPr>
          <w:sz w:val="24"/>
        </w:rPr>
        <w:t>⑻</w:t>
      </w:r>
      <w:r>
        <w:rPr>
          <w:sz w:val="24"/>
        </w:rPr>
        <w:t>矿井水文地质类型划分</w:t>
      </w:r>
      <w:bookmarkEnd w:id="563"/>
    </w:p>
    <w:p w:rsidR="00240BCE" w:rsidRDefault="00AC0334" w:rsidP="00CF1E6F">
      <w:pPr>
        <w:spacing w:line="520" w:lineRule="exact"/>
        <w:ind w:firstLineChars="200" w:firstLine="480"/>
        <w:rPr>
          <w:sz w:val="24"/>
        </w:rPr>
      </w:pPr>
      <w:r>
        <w:rPr>
          <w:sz w:val="24"/>
        </w:rPr>
        <w:t>禹州神火隆庆矿业有限公司二</w:t>
      </w:r>
      <w:r>
        <w:rPr>
          <w:sz w:val="24"/>
          <w:vertAlign w:val="subscript"/>
        </w:rPr>
        <w:t>1</w:t>
      </w:r>
      <w:r>
        <w:rPr>
          <w:sz w:val="24"/>
        </w:rPr>
        <w:t>煤层以底板充水为主的岩溶充水矿床，直接充水含水层补给条件一般，补给水源少；二</w:t>
      </w:r>
      <w:r>
        <w:rPr>
          <w:sz w:val="24"/>
          <w:vertAlign w:val="subscript"/>
        </w:rPr>
        <w:t>1</w:t>
      </w:r>
      <w:r>
        <w:rPr>
          <w:sz w:val="24"/>
        </w:rPr>
        <w:t>煤层顶板直接充水含水层单位涌水量</w:t>
      </w:r>
      <w:r>
        <w:rPr>
          <w:sz w:val="24"/>
        </w:rPr>
        <w:t>0.0151L/s.m</w:t>
      </w:r>
      <w:r>
        <w:rPr>
          <w:sz w:val="24"/>
        </w:rPr>
        <w:t>，底板直接充水含水层单位涌水量</w:t>
      </w:r>
      <w:r>
        <w:rPr>
          <w:sz w:val="24"/>
        </w:rPr>
        <w:t>0.0038 L/s.m</w:t>
      </w:r>
      <w:r>
        <w:rPr>
          <w:sz w:val="24"/>
        </w:rPr>
        <w:t>。本矿生产中未发生过突水事故；老空区范围、位置基本清楚，老空积水位置、范围基本查清；采掘工程受水害影响一般，对矿井安全威胁较小。依据矿井水文地质类型划分标准及原则，确定矿井水文地质类型为中等类型。</w:t>
      </w:r>
    </w:p>
    <w:p w:rsidR="00CF1E6F" w:rsidRDefault="00CF1E6F" w:rsidP="009C5F33">
      <w:pPr>
        <w:pStyle w:val="30"/>
        <w:adjustRightInd w:val="0"/>
        <w:snapToGrid w:val="0"/>
        <w:spacing w:beforeLines="70" w:afterLines="30" w:line="240" w:lineRule="auto"/>
        <w:jc w:val="left"/>
        <w:rPr>
          <w:rFonts w:eastAsia="楷体"/>
          <w:sz w:val="28"/>
          <w:szCs w:val="28"/>
        </w:rPr>
      </w:pPr>
      <w:bookmarkStart w:id="564" w:name="_Toc79668708"/>
      <w:bookmarkStart w:id="565" w:name="_Toc2090_WPSOffice_Level3"/>
      <w:bookmarkStart w:id="566" w:name="_Toc148156054"/>
      <w:bookmarkStart w:id="567" w:name="_Toc148156502"/>
      <w:bookmarkStart w:id="568" w:name="_Toc148157057"/>
      <w:bookmarkStart w:id="569" w:name="_Toc158524709"/>
      <w:r>
        <w:rPr>
          <w:rFonts w:eastAsia="楷体"/>
          <w:sz w:val="28"/>
          <w:szCs w:val="28"/>
        </w:rPr>
        <w:t>6.3.</w:t>
      </w:r>
      <w:r w:rsidR="007F466F">
        <w:rPr>
          <w:rFonts w:eastAsia="楷体" w:hint="eastAsia"/>
          <w:sz w:val="28"/>
          <w:szCs w:val="28"/>
        </w:rPr>
        <w:t>3</w:t>
      </w:r>
      <w:r w:rsidR="004331D6" w:rsidRPr="004331D6">
        <w:rPr>
          <w:rFonts w:eastAsia="楷体" w:hint="eastAsia"/>
          <w:sz w:val="28"/>
          <w:szCs w:val="28"/>
        </w:rPr>
        <w:t>地下水环境影响评价范围</w:t>
      </w:r>
      <w:bookmarkEnd w:id="564"/>
      <w:bookmarkEnd w:id="565"/>
    </w:p>
    <w:p w:rsidR="004331D6" w:rsidRPr="004331D6" w:rsidRDefault="004331D6" w:rsidP="004331D6">
      <w:pPr>
        <w:pStyle w:val="ae"/>
        <w:spacing w:line="520" w:lineRule="exact"/>
        <w:ind w:firstLineChars="200" w:firstLine="480"/>
        <w:rPr>
          <w:rFonts w:ascii="Times New Roman" w:hAnsi="Times New Roman"/>
          <w:bCs/>
          <w:sz w:val="24"/>
        </w:rPr>
      </w:pPr>
      <w:bookmarkStart w:id="570" w:name="_Toc30781_WPSOffice_Level3"/>
      <w:r w:rsidRPr="004331D6">
        <w:rPr>
          <w:rFonts w:ascii="Times New Roman" w:hAnsi="Times New Roman" w:hint="eastAsia"/>
          <w:bCs/>
          <w:sz w:val="24"/>
        </w:rPr>
        <w:t>通过对项目建设内容的分析，</w:t>
      </w:r>
      <w:r>
        <w:rPr>
          <w:rFonts w:ascii="Times New Roman" w:hAnsi="Times New Roman" w:hint="eastAsia"/>
          <w:bCs/>
          <w:sz w:val="24"/>
        </w:rPr>
        <w:t>项目</w:t>
      </w:r>
      <w:r w:rsidRPr="004331D6">
        <w:rPr>
          <w:rFonts w:ascii="Times New Roman" w:hAnsi="Times New Roman" w:hint="eastAsia"/>
          <w:bCs/>
          <w:sz w:val="24"/>
        </w:rPr>
        <w:t>工业场地、</w:t>
      </w:r>
      <w:r w:rsidR="00802A62">
        <w:rPr>
          <w:rFonts w:ascii="Times New Roman" w:hAnsi="Times New Roman" w:hint="eastAsia"/>
          <w:bCs/>
          <w:sz w:val="24"/>
        </w:rPr>
        <w:t>储煤库</w:t>
      </w:r>
      <w:r>
        <w:rPr>
          <w:rFonts w:ascii="Times New Roman" w:hAnsi="Times New Roman" w:hint="eastAsia"/>
          <w:bCs/>
          <w:sz w:val="24"/>
        </w:rPr>
        <w:t>（含</w:t>
      </w:r>
      <w:r w:rsidRPr="004331D6">
        <w:rPr>
          <w:rFonts w:ascii="Times New Roman" w:hAnsi="Times New Roman" w:hint="eastAsia"/>
          <w:bCs/>
          <w:sz w:val="24"/>
        </w:rPr>
        <w:t>矸石周转场</w:t>
      </w:r>
      <w:r>
        <w:rPr>
          <w:rFonts w:ascii="Times New Roman" w:hAnsi="Times New Roman" w:hint="eastAsia"/>
          <w:bCs/>
          <w:sz w:val="24"/>
        </w:rPr>
        <w:t>）</w:t>
      </w:r>
      <w:r w:rsidRPr="004331D6">
        <w:rPr>
          <w:rFonts w:ascii="Times New Roman" w:hAnsi="Times New Roman" w:hint="eastAsia"/>
          <w:bCs/>
          <w:sz w:val="24"/>
        </w:rPr>
        <w:t>对地下水环境污染的主要因素为雨季工业场地、</w:t>
      </w:r>
      <w:r w:rsidR="00802A62">
        <w:rPr>
          <w:rFonts w:ascii="Times New Roman" w:hAnsi="Times New Roman" w:hint="eastAsia"/>
          <w:bCs/>
          <w:sz w:val="24"/>
        </w:rPr>
        <w:t>储煤库</w:t>
      </w:r>
      <w:r>
        <w:rPr>
          <w:rFonts w:ascii="Times New Roman" w:hAnsi="Times New Roman" w:hint="eastAsia"/>
          <w:bCs/>
          <w:sz w:val="24"/>
        </w:rPr>
        <w:t>（含</w:t>
      </w:r>
      <w:r w:rsidRPr="004331D6">
        <w:rPr>
          <w:rFonts w:ascii="Times New Roman" w:hAnsi="Times New Roman" w:hint="eastAsia"/>
          <w:bCs/>
          <w:sz w:val="24"/>
        </w:rPr>
        <w:t>矸石周转场</w:t>
      </w:r>
      <w:r>
        <w:rPr>
          <w:rFonts w:ascii="Times New Roman" w:hAnsi="Times New Roman" w:hint="eastAsia"/>
          <w:bCs/>
          <w:sz w:val="24"/>
        </w:rPr>
        <w:t>）</w:t>
      </w:r>
      <w:r w:rsidRPr="004331D6">
        <w:rPr>
          <w:rFonts w:ascii="Times New Roman" w:hAnsi="Times New Roman" w:hint="eastAsia"/>
          <w:bCs/>
          <w:sz w:val="24"/>
        </w:rPr>
        <w:t>淋滤液进入浅层地下水，本次预测受影响含水层为第四系孔隙潜水含水层。</w:t>
      </w:r>
    </w:p>
    <w:bookmarkEnd w:id="570"/>
    <w:p w:rsidR="00CF1E6F" w:rsidRDefault="00CF1E6F" w:rsidP="00CF1E6F">
      <w:pPr>
        <w:pStyle w:val="ae"/>
        <w:spacing w:line="52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）本项目地下水环境影响评价范围采用《环境影响评价技术导则</w:t>
      </w:r>
      <w:r>
        <w:rPr>
          <w:rFonts w:ascii="Times New Roman" w:hAnsi="Times New Roman"/>
          <w:sz w:val="24"/>
        </w:rPr>
        <w:t xml:space="preserve"> </w:t>
      </w:r>
      <w:r>
        <w:rPr>
          <w:rFonts w:ascii="Times New Roman" w:hAnsi="Times New Roman"/>
          <w:sz w:val="24"/>
        </w:rPr>
        <w:t>地下水环境》（</w:t>
      </w:r>
      <w:r>
        <w:rPr>
          <w:rFonts w:ascii="Times New Roman" w:hAnsi="Times New Roman"/>
          <w:sz w:val="24"/>
        </w:rPr>
        <w:t>HJ610-2016</w:t>
      </w:r>
      <w:r>
        <w:rPr>
          <w:rFonts w:ascii="Times New Roman" w:hAnsi="Times New Roman"/>
          <w:sz w:val="24"/>
        </w:rPr>
        <w:t>）中公式法计算。</w:t>
      </w:r>
    </w:p>
    <w:p w:rsidR="00CF1E6F" w:rsidRDefault="00CF1E6F" w:rsidP="00CF1E6F">
      <w:pPr>
        <w:pStyle w:val="1552"/>
        <w:ind w:firstLineChars="0" w:firstLine="480"/>
        <w:rPr>
          <w:rFonts w:cs="Times New Roman"/>
          <w:color w:val="auto"/>
        </w:rPr>
      </w:pPr>
      <w:r>
        <w:rPr>
          <w:rFonts w:cs="Times New Roman"/>
          <w:color w:val="auto"/>
        </w:rPr>
        <w:t>计算公式：</w:t>
      </w:r>
      <w:r>
        <w:rPr>
          <w:rFonts w:cs="Times New Roman"/>
          <w:color w:val="auto"/>
        </w:rPr>
        <w:t>L=α×K×I×T/n</w:t>
      </w:r>
      <w:r>
        <w:rPr>
          <w:rFonts w:cs="Times New Roman"/>
          <w:color w:val="auto"/>
          <w:vertAlign w:val="subscript"/>
        </w:rPr>
        <w:t>e</w:t>
      </w:r>
    </w:p>
    <w:p w:rsidR="00CF1E6F" w:rsidRDefault="00CF1E6F" w:rsidP="00CF1E6F">
      <w:pPr>
        <w:pStyle w:val="1552"/>
        <w:ind w:firstLine="480"/>
        <w:rPr>
          <w:rFonts w:cs="Times New Roman"/>
          <w:color w:val="auto"/>
        </w:rPr>
      </w:pPr>
      <w:r>
        <w:rPr>
          <w:rFonts w:cs="Times New Roman"/>
          <w:color w:val="auto"/>
        </w:rPr>
        <w:t>其中</w:t>
      </w:r>
      <w:r>
        <w:rPr>
          <w:rFonts w:cs="Times New Roman"/>
          <w:color w:val="auto"/>
        </w:rPr>
        <w:t>L:</w:t>
      </w:r>
      <w:r>
        <w:rPr>
          <w:rFonts w:cs="Times New Roman"/>
          <w:color w:val="auto"/>
        </w:rPr>
        <w:t>下游迁移距离，</w:t>
      </w:r>
      <w:r>
        <w:rPr>
          <w:rFonts w:cs="Times New Roman"/>
          <w:color w:val="auto"/>
        </w:rPr>
        <w:t>m</w:t>
      </w:r>
    </w:p>
    <w:p w:rsidR="00CF1E6F" w:rsidRDefault="00CF1E6F" w:rsidP="00CF1E6F">
      <w:pPr>
        <w:spacing w:line="520" w:lineRule="exact"/>
        <w:ind w:firstLineChars="200" w:firstLine="480"/>
        <w:rPr>
          <w:kern w:val="0"/>
          <w:sz w:val="24"/>
        </w:rPr>
      </w:pPr>
      <w:r>
        <w:rPr>
          <w:kern w:val="0"/>
          <w:sz w:val="24"/>
        </w:rPr>
        <w:t>α</w:t>
      </w:r>
      <w:r>
        <w:rPr>
          <w:kern w:val="0"/>
          <w:sz w:val="24"/>
        </w:rPr>
        <w:t>：变化系数；</w:t>
      </w:r>
    </w:p>
    <w:p w:rsidR="00CF1E6F" w:rsidRDefault="00CF1E6F" w:rsidP="00CF1E6F">
      <w:pPr>
        <w:spacing w:line="520" w:lineRule="exact"/>
        <w:ind w:firstLineChars="200" w:firstLine="480"/>
        <w:rPr>
          <w:kern w:val="0"/>
          <w:sz w:val="24"/>
        </w:rPr>
      </w:pPr>
      <w:r>
        <w:rPr>
          <w:kern w:val="0"/>
          <w:sz w:val="24"/>
        </w:rPr>
        <w:t>K</w:t>
      </w:r>
      <w:r>
        <w:rPr>
          <w:kern w:val="0"/>
          <w:sz w:val="24"/>
        </w:rPr>
        <w:t>：渗透系数，</w:t>
      </w:r>
      <w:r>
        <w:rPr>
          <w:kern w:val="0"/>
          <w:sz w:val="24"/>
        </w:rPr>
        <w:t>m/d</w:t>
      </w:r>
    </w:p>
    <w:p w:rsidR="00CF1E6F" w:rsidRDefault="00CF1E6F" w:rsidP="00CF1E6F">
      <w:pPr>
        <w:spacing w:line="520" w:lineRule="exact"/>
        <w:ind w:firstLineChars="200" w:firstLine="560"/>
        <w:rPr>
          <w:kern w:val="0"/>
          <w:sz w:val="24"/>
        </w:rPr>
      </w:pPr>
      <w:r>
        <w:lastRenderedPageBreak/>
        <w:t>I</w:t>
      </w:r>
      <w:r>
        <w:rPr>
          <w:kern w:val="0"/>
          <w:sz w:val="24"/>
        </w:rPr>
        <w:t>：水力坡度，无量纲</w:t>
      </w:r>
    </w:p>
    <w:p w:rsidR="00CF1E6F" w:rsidRDefault="00CF1E6F" w:rsidP="00CF1E6F">
      <w:pPr>
        <w:spacing w:line="520" w:lineRule="exact"/>
        <w:ind w:firstLineChars="200" w:firstLine="480"/>
        <w:rPr>
          <w:kern w:val="0"/>
          <w:sz w:val="24"/>
        </w:rPr>
      </w:pPr>
      <w:r>
        <w:rPr>
          <w:kern w:val="0"/>
          <w:sz w:val="24"/>
        </w:rPr>
        <w:t>T</w:t>
      </w:r>
      <w:r>
        <w:rPr>
          <w:kern w:val="0"/>
          <w:sz w:val="24"/>
        </w:rPr>
        <w:t>：质点迁移天数，</w:t>
      </w:r>
      <w:r>
        <w:rPr>
          <w:kern w:val="0"/>
          <w:sz w:val="24"/>
        </w:rPr>
        <w:t>d</w:t>
      </w:r>
    </w:p>
    <w:p w:rsidR="00CF1E6F" w:rsidRDefault="00CF1E6F" w:rsidP="00CF1E6F">
      <w:pPr>
        <w:spacing w:line="520" w:lineRule="exact"/>
        <w:ind w:firstLineChars="200" w:firstLine="480"/>
        <w:rPr>
          <w:kern w:val="0"/>
          <w:sz w:val="24"/>
        </w:rPr>
      </w:pPr>
      <w:r>
        <w:rPr>
          <w:kern w:val="0"/>
          <w:sz w:val="24"/>
        </w:rPr>
        <w:t>n</w:t>
      </w:r>
      <w:r>
        <w:rPr>
          <w:kern w:val="0"/>
          <w:sz w:val="24"/>
          <w:vertAlign w:val="subscript"/>
        </w:rPr>
        <w:t>e</w:t>
      </w:r>
      <w:r>
        <w:rPr>
          <w:kern w:val="0"/>
          <w:sz w:val="24"/>
        </w:rPr>
        <w:t>：有效孔隙度，无量纲</w:t>
      </w:r>
    </w:p>
    <w:p w:rsidR="00CF1E6F" w:rsidRDefault="00CF1E6F" w:rsidP="00CF1E6F">
      <w:pPr>
        <w:spacing w:line="520" w:lineRule="exact"/>
        <w:ind w:firstLineChars="200" w:firstLine="480"/>
        <w:rPr>
          <w:kern w:val="0"/>
          <w:sz w:val="24"/>
        </w:rPr>
      </w:pPr>
      <w:r>
        <w:rPr>
          <w:kern w:val="0"/>
          <w:sz w:val="24"/>
        </w:rPr>
        <w:t>（</w:t>
      </w:r>
      <w:r>
        <w:rPr>
          <w:kern w:val="0"/>
          <w:sz w:val="24"/>
        </w:rPr>
        <w:t>2</w:t>
      </w:r>
      <w:r>
        <w:rPr>
          <w:kern w:val="0"/>
          <w:sz w:val="24"/>
        </w:rPr>
        <w:t>）参数确定</w:t>
      </w:r>
    </w:p>
    <w:p w:rsidR="00CF1E6F" w:rsidRDefault="00CF1E6F" w:rsidP="00CF1E6F">
      <w:pPr>
        <w:spacing w:line="520" w:lineRule="exact"/>
        <w:ind w:firstLineChars="200" w:firstLine="480"/>
        <w:rPr>
          <w:kern w:val="0"/>
          <w:sz w:val="24"/>
        </w:rPr>
      </w:pPr>
      <w:r>
        <w:rPr>
          <w:kern w:val="0"/>
          <w:sz w:val="24"/>
        </w:rPr>
        <w:t>α</w:t>
      </w:r>
      <w:r>
        <w:rPr>
          <w:kern w:val="0"/>
          <w:sz w:val="24"/>
        </w:rPr>
        <w:t>：变化系数，根据导则，取</w:t>
      </w:r>
      <w:r>
        <w:rPr>
          <w:kern w:val="0"/>
          <w:sz w:val="24"/>
        </w:rPr>
        <w:t>2</w:t>
      </w:r>
      <w:r>
        <w:rPr>
          <w:kern w:val="0"/>
          <w:sz w:val="24"/>
        </w:rPr>
        <w:t>；</w:t>
      </w:r>
    </w:p>
    <w:p w:rsidR="00CF1E6F" w:rsidRDefault="00CF1E6F" w:rsidP="00CF1E6F">
      <w:pPr>
        <w:adjustRightInd w:val="0"/>
        <w:snapToGrid w:val="0"/>
        <w:spacing w:line="520" w:lineRule="exact"/>
        <w:ind w:firstLineChars="200" w:firstLine="480"/>
        <w:rPr>
          <w:kern w:val="0"/>
          <w:sz w:val="24"/>
        </w:rPr>
      </w:pPr>
      <w:r>
        <w:rPr>
          <w:kern w:val="0"/>
          <w:sz w:val="24"/>
        </w:rPr>
        <w:t>K</w:t>
      </w:r>
      <w:r>
        <w:rPr>
          <w:kern w:val="0"/>
          <w:sz w:val="24"/>
        </w:rPr>
        <w:t>：根据矿区地形地质及地层分布情况（见附图</w:t>
      </w:r>
      <w:r>
        <w:rPr>
          <w:kern w:val="0"/>
          <w:sz w:val="24"/>
        </w:rPr>
        <w:t>1</w:t>
      </w:r>
      <w:r>
        <w:rPr>
          <w:rFonts w:hint="eastAsia"/>
          <w:kern w:val="0"/>
          <w:sz w:val="24"/>
        </w:rPr>
        <w:t>2</w:t>
      </w:r>
      <w:r>
        <w:rPr>
          <w:kern w:val="0"/>
          <w:sz w:val="24"/>
        </w:rPr>
        <w:t xml:space="preserve"> </w:t>
      </w:r>
      <w:r>
        <w:rPr>
          <w:kern w:val="0"/>
          <w:sz w:val="24"/>
        </w:rPr>
        <w:t>综合水文地质柱状图），本项目区域含水层为浅层孔隙水，岩性为亚黏土、砂质黏土等，根据附录</w:t>
      </w:r>
      <w:r>
        <w:rPr>
          <w:kern w:val="0"/>
          <w:sz w:val="24"/>
        </w:rPr>
        <w:t>B</w:t>
      </w:r>
      <w:r>
        <w:rPr>
          <w:kern w:val="0"/>
          <w:sz w:val="24"/>
        </w:rPr>
        <w:t>渗透系数经验值表，本项目取</w:t>
      </w:r>
      <w:r>
        <w:rPr>
          <w:kern w:val="0"/>
          <w:sz w:val="24"/>
        </w:rPr>
        <w:t>0.25m/d</w:t>
      </w:r>
      <w:r>
        <w:rPr>
          <w:kern w:val="0"/>
          <w:sz w:val="24"/>
        </w:rPr>
        <w:t>。</w:t>
      </w:r>
    </w:p>
    <w:p w:rsidR="00CF1E6F" w:rsidRDefault="00CF1E6F" w:rsidP="00CF1E6F">
      <w:pPr>
        <w:spacing w:line="520" w:lineRule="exact"/>
        <w:ind w:firstLineChars="200" w:firstLine="480"/>
        <w:rPr>
          <w:kern w:val="0"/>
          <w:sz w:val="24"/>
        </w:rPr>
      </w:pPr>
      <w:r>
        <w:rPr>
          <w:kern w:val="0"/>
          <w:sz w:val="24"/>
        </w:rPr>
        <w:t>I</w:t>
      </w:r>
      <w:r>
        <w:rPr>
          <w:kern w:val="0"/>
          <w:sz w:val="24"/>
        </w:rPr>
        <w:t>：水力坡度</w:t>
      </w:r>
    </w:p>
    <w:p w:rsidR="00CF1E6F" w:rsidRDefault="00CF1E6F" w:rsidP="00CF1E6F">
      <w:pPr>
        <w:spacing w:line="520" w:lineRule="exact"/>
        <w:ind w:firstLineChars="200" w:firstLine="480"/>
        <w:rPr>
          <w:kern w:val="0"/>
          <w:sz w:val="24"/>
        </w:rPr>
      </w:pPr>
      <w:r>
        <w:rPr>
          <w:kern w:val="0"/>
          <w:sz w:val="24"/>
        </w:rPr>
        <w:t>根据水文地质勘察报告，经计算确定本地区地下水水力坡度为</w:t>
      </w:r>
      <w:r>
        <w:rPr>
          <w:kern w:val="0"/>
          <w:sz w:val="24"/>
        </w:rPr>
        <w:t>0.045</w:t>
      </w:r>
      <w:r>
        <w:rPr>
          <w:kern w:val="0"/>
          <w:sz w:val="24"/>
        </w:rPr>
        <w:t>。</w:t>
      </w:r>
    </w:p>
    <w:p w:rsidR="00CF1E6F" w:rsidRDefault="00CF1E6F" w:rsidP="00CF1E6F">
      <w:pPr>
        <w:spacing w:line="520" w:lineRule="exact"/>
        <w:ind w:firstLineChars="200" w:firstLine="480"/>
        <w:rPr>
          <w:kern w:val="0"/>
          <w:sz w:val="24"/>
        </w:rPr>
      </w:pPr>
      <w:r>
        <w:rPr>
          <w:kern w:val="0"/>
          <w:sz w:val="24"/>
        </w:rPr>
        <w:t>T</w:t>
      </w:r>
      <w:r>
        <w:rPr>
          <w:kern w:val="0"/>
          <w:sz w:val="24"/>
        </w:rPr>
        <w:t>：质点迁移天数，取值</w:t>
      </w:r>
      <w:r>
        <w:rPr>
          <w:kern w:val="0"/>
          <w:sz w:val="24"/>
        </w:rPr>
        <w:t>5000d</w:t>
      </w:r>
    </w:p>
    <w:p w:rsidR="00CF1E6F" w:rsidRDefault="00CF1E6F" w:rsidP="00CF1E6F">
      <w:pPr>
        <w:pStyle w:val="1552"/>
        <w:ind w:firstLine="480"/>
        <w:rPr>
          <w:rFonts w:cs="Times New Roman"/>
          <w:color w:val="auto"/>
          <w:kern w:val="0"/>
        </w:rPr>
      </w:pPr>
      <w:r>
        <w:rPr>
          <w:rFonts w:cs="Times New Roman"/>
          <w:color w:val="auto"/>
          <w:kern w:val="0"/>
        </w:rPr>
        <w:t>n</w:t>
      </w:r>
      <w:r>
        <w:rPr>
          <w:rFonts w:cs="Times New Roman"/>
          <w:color w:val="auto"/>
          <w:kern w:val="0"/>
          <w:vertAlign w:val="subscript"/>
        </w:rPr>
        <w:t>e</w:t>
      </w:r>
      <w:r>
        <w:rPr>
          <w:rFonts w:cs="Times New Roman"/>
          <w:color w:val="auto"/>
          <w:kern w:val="0"/>
        </w:rPr>
        <w:t>：有效孔隙度，根据《水文地质手册》所给有效孔隙度经验值，周边及下游区域</w:t>
      </w:r>
      <w:r>
        <w:rPr>
          <w:rFonts w:cs="Times New Roman"/>
          <w:kern w:val="0"/>
        </w:rPr>
        <w:t>亚黏土、砂质黏土</w:t>
      </w:r>
      <w:r>
        <w:rPr>
          <w:rFonts w:cs="Times New Roman"/>
          <w:color w:val="auto"/>
          <w:kern w:val="0"/>
        </w:rPr>
        <w:t>n</w:t>
      </w:r>
      <w:r>
        <w:rPr>
          <w:rFonts w:cs="Times New Roman"/>
          <w:color w:val="auto"/>
          <w:kern w:val="0"/>
          <w:vertAlign w:val="subscript"/>
        </w:rPr>
        <w:t>e</w:t>
      </w:r>
      <w:r>
        <w:rPr>
          <w:rFonts w:cs="Times New Roman"/>
          <w:color w:val="auto"/>
          <w:kern w:val="0"/>
        </w:rPr>
        <w:t>取</w:t>
      </w:r>
      <w:r>
        <w:rPr>
          <w:rFonts w:cs="Times New Roman"/>
          <w:color w:val="auto"/>
          <w:kern w:val="0"/>
        </w:rPr>
        <w:t>0.5</w:t>
      </w:r>
      <w:r>
        <w:rPr>
          <w:rFonts w:cs="Times New Roman"/>
          <w:color w:val="auto"/>
          <w:kern w:val="0"/>
        </w:rPr>
        <w:t>。</w:t>
      </w:r>
    </w:p>
    <w:p w:rsidR="00CF1E6F" w:rsidRDefault="00CF1E6F" w:rsidP="00CF1E6F">
      <w:pPr>
        <w:pStyle w:val="1552"/>
        <w:ind w:firstLine="480"/>
        <w:rPr>
          <w:rFonts w:cs="Times New Roman"/>
          <w:color w:val="auto"/>
        </w:rPr>
      </w:pPr>
      <w:r>
        <w:rPr>
          <w:rFonts w:cs="Times New Roman"/>
          <w:color w:val="auto"/>
          <w:kern w:val="0"/>
        </w:rPr>
        <w:t>（</w:t>
      </w:r>
      <w:r>
        <w:rPr>
          <w:rFonts w:cs="Times New Roman"/>
          <w:color w:val="auto"/>
          <w:kern w:val="0"/>
        </w:rPr>
        <w:t>3</w:t>
      </w:r>
      <w:r>
        <w:rPr>
          <w:rFonts w:cs="Times New Roman"/>
          <w:color w:val="auto"/>
          <w:kern w:val="0"/>
        </w:rPr>
        <w:t>）</w:t>
      </w:r>
      <w:r>
        <w:rPr>
          <w:rFonts w:cs="Times New Roman"/>
          <w:color w:val="auto"/>
        </w:rPr>
        <w:t>评价范围计算结果</w:t>
      </w:r>
    </w:p>
    <w:p w:rsidR="00CF1E6F" w:rsidRDefault="00CF1E6F" w:rsidP="00CF1E6F">
      <w:pPr>
        <w:pStyle w:val="1552"/>
        <w:ind w:firstLine="480"/>
        <w:rPr>
          <w:rFonts w:cs="Times New Roman"/>
          <w:color w:val="auto"/>
        </w:rPr>
      </w:pPr>
      <w:r>
        <w:rPr>
          <w:rFonts w:cs="Times New Roman"/>
          <w:color w:val="auto"/>
          <w:kern w:val="0"/>
        </w:rPr>
        <w:t>评价范围计算结果见表</w:t>
      </w:r>
      <w:r>
        <w:rPr>
          <w:rFonts w:cs="Times New Roman"/>
          <w:color w:val="auto"/>
          <w:kern w:val="0"/>
        </w:rPr>
        <w:t>6.3-</w:t>
      </w:r>
      <w:r w:rsidR="0028077D">
        <w:rPr>
          <w:rFonts w:cs="Times New Roman" w:hint="eastAsia"/>
          <w:color w:val="auto"/>
          <w:kern w:val="0"/>
        </w:rPr>
        <w:t>2</w:t>
      </w:r>
      <w:r>
        <w:rPr>
          <w:rFonts w:cs="Times New Roman"/>
          <w:color w:val="auto"/>
        </w:rPr>
        <w:t>。</w:t>
      </w:r>
    </w:p>
    <w:p w:rsidR="00CF1E6F" w:rsidRDefault="00CF1E6F" w:rsidP="00CF1E6F">
      <w:pPr>
        <w:spacing w:line="520" w:lineRule="exact"/>
        <w:jc w:val="center"/>
        <w:rPr>
          <w:b/>
          <w:color w:val="000000"/>
          <w:sz w:val="24"/>
        </w:rPr>
      </w:pPr>
      <w:r>
        <w:rPr>
          <w:b/>
          <w:color w:val="000000"/>
          <w:sz w:val="24"/>
        </w:rPr>
        <w:t>表</w:t>
      </w:r>
      <w:r>
        <w:rPr>
          <w:b/>
          <w:color w:val="000000"/>
          <w:sz w:val="24"/>
        </w:rPr>
        <w:t>6.3-</w:t>
      </w:r>
      <w:r w:rsidR="0028077D">
        <w:rPr>
          <w:rFonts w:hint="eastAsia"/>
          <w:b/>
          <w:color w:val="000000"/>
          <w:sz w:val="24"/>
        </w:rPr>
        <w:t>2</w:t>
      </w:r>
      <w:r>
        <w:rPr>
          <w:b/>
          <w:color w:val="000000"/>
          <w:sz w:val="24"/>
        </w:rPr>
        <w:t xml:space="preserve">   </w:t>
      </w:r>
      <w:r>
        <w:rPr>
          <w:b/>
          <w:color w:val="000000"/>
          <w:sz w:val="24"/>
        </w:rPr>
        <w:t>评价范围计算结果一览表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06"/>
        <w:gridCol w:w="1243"/>
        <w:gridCol w:w="1245"/>
        <w:gridCol w:w="1245"/>
        <w:gridCol w:w="1521"/>
        <w:gridCol w:w="1190"/>
        <w:gridCol w:w="1190"/>
      </w:tblGrid>
      <w:tr w:rsidR="00CF1E6F" w:rsidTr="00705836">
        <w:trPr>
          <w:trHeight w:val="20"/>
          <w:jc w:val="center"/>
        </w:trPr>
        <w:tc>
          <w:tcPr>
            <w:tcW w:w="633" w:type="pct"/>
            <w:vAlign w:val="center"/>
          </w:tcPr>
          <w:p w:rsidR="00CF1E6F" w:rsidRDefault="00CF1E6F" w:rsidP="00705836">
            <w:pPr>
              <w:spacing w:line="360" w:lineRule="exact"/>
              <w:jc w:val="center"/>
              <w:rPr>
                <w:spacing w:val="2"/>
                <w:kern w:val="0"/>
                <w:sz w:val="21"/>
                <w:szCs w:val="21"/>
              </w:rPr>
            </w:pPr>
            <w:r>
              <w:rPr>
                <w:spacing w:val="2"/>
                <w:kern w:val="0"/>
                <w:sz w:val="21"/>
                <w:szCs w:val="21"/>
              </w:rPr>
              <w:t>项目</w:t>
            </w:r>
          </w:p>
        </w:tc>
        <w:tc>
          <w:tcPr>
            <w:tcW w:w="711" w:type="pct"/>
            <w:vAlign w:val="center"/>
          </w:tcPr>
          <w:p w:rsidR="00CF1E6F" w:rsidRDefault="00CF1E6F" w:rsidP="00705836">
            <w:pPr>
              <w:spacing w:line="360" w:lineRule="exact"/>
              <w:jc w:val="center"/>
              <w:rPr>
                <w:spacing w:val="2"/>
                <w:kern w:val="0"/>
                <w:sz w:val="21"/>
                <w:szCs w:val="21"/>
              </w:rPr>
            </w:pPr>
            <w:r>
              <w:rPr>
                <w:spacing w:val="2"/>
                <w:kern w:val="0"/>
                <w:sz w:val="21"/>
                <w:szCs w:val="21"/>
              </w:rPr>
              <w:t>α</w:t>
            </w:r>
          </w:p>
        </w:tc>
        <w:tc>
          <w:tcPr>
            <w:tcW w:w="712" w:type="pct"/>
            <w:vAlign w:val="center"/>
          </w:tcPr>
          <w:p w:rsidR="00CF1E6F" w:rsidRDefault="00CF1E6F" w:rsidP="00705836">
            <w:pPr>
              <w:spacing w:line="360" w:lineRule="exact"/>
              <w:jc w:val="center"/>
              <w:rPr>
                <w:spacing w:val="2"/>
                <w:kern w:val="0"/>
                <w:sz w:val="21"/>
                <w:szCs w:val="21"/>
              </w:rPr>
            </w:pPr>
            <w:r>
              <w:rPr>
                <w:spacing w:val="2"/>
                <w:kern w:val="0"/>
                <w:sz w:val="21"/>
                <w:szCs w:val="21"/>
              </w:rPr>
              <w:t>K(m/d)</w:t>
            </w:r>
          </w:p>
        </w:tc>
        <w:tc>
          <w:tcPr>
            <w:tcW w:w="712" w:type="pct"/>
            <w:vAlign w:val="center"/>
          </w:tcPr>
          <w:p w:rsidR="00CF1E6F" w:rsidRDefault="00CF1E6F" w:rsidP="00705836">
            <w:pPr>
              <w:spacing w:line="360" w:lineRule="exact"/>
              <w:jc w:val="center"/>
              <w:rPr>
                <w:spacing w:val="2"/>
                <w:kern w:val="0"/>
                <w:sz w:val="21"/>
                <w:szCs w:val="21"/>
              </w:rPr>
            </w:pPr>
            <w:r>
              <w:rPr>
                <w:spacing w:val="2"/>
                <w:kern w:val="0"/>
                <w:sz w:val="21"/>
                <w:szCs w:val="21"/>
              </w:rPr>
              <w:t>水力坡度</w:t>
            </w:r>
          </w:p>
        </w:tc>
        <w:tc>
          <w:tcPr>
            <w:tcW w:w="870" w:type="pct"/>
            <w:vAlign w:val="center"/>
          </w:tcPr>
          <w:p w:rsidR="00CF1E6F" w:rsidRDefault="00CF1E6F" w:rsidP="00705836">
            <w:pPr>
              <w:spacing w:line="360" w:lineRule="exact"/>
              <w:jc w:val="center"/>
              <w:rPr>
                <w:spacing w:val="2"/>
                <w:kern w:val="0"/>
                <w:sz w:val="21"/>
                <w:szCs w:val="21"/>
              </w:rPr>
            </w:pPr>
            <w:r>
              <w:rPr>
                <w:spacing w:val="2"/>
                <w:kern w:val="0"/>
                <w:sz w:val="21"/>
                <w:szCs w:val="21"/>
              </w:rPr>
              <w:t>质点迁移天数</w:t>
            </w:r>
            <w:r>
              <w:rPr>
                <w:spacing w:val="2"/>
                <w:kern w:val="0"/>
                <w:sz w:val="21"/>
                <w:szCs w:val="21"/>
              </w:rPr>
              <w:t>(d)</w:t>
            </w:r>
          </w:p>
        </w:tc>
        <w:tc>
          <w:tcPr>
            <w:tcW w:w="681" w:type="pct"/>
            <w:vAlign w:val="center"/>
          </w:tcPr>
          <w:p w:rsidR="00CF1E6F" w:rsidRDefault="00CF1E6F" w:rsidP="00705836">
            <w:pPr>
              <w:spacing w:line="360" w:lineRule="exact"/>
              <w:jc w:val="center"/>
              <w:rPr>
                <w:spacing w:val="2"/>
                <w:kern w:val="0"/>
                <w:sz w:val="21"/>
                <w:szCs w:val="21"/>
              </w:rPr>
            </w:pPr>
            <w:r>
              <w:rPr>
                <w:spacing w:val="2"/>
                <w:kern w:val="0"/>
                <w:sz w:val="21"/>
                <w:szCs w:val="21"/>
              </w:rPr>
              <w:t>n</w:t>
            </w:r>
            <w:r>
              <w:rPr>
                <w:spacing w:val="2"/>
                <w:kern w:val="0"/>
                <w:sz w:val="21"/>
                <w:szCs w:val="21"/>
                <w:vertAlign w:val="subscript"/>
              </w:rPr>
              <w:t>e</w:t>
            </w:r>
          </w:p>
        </w:tc>
        <w:tc>
          <w:tcPr>
            <w:tcW w:w="681" w:type="pct"/>
            <w:vAlign w:val="center"/>
          </w:tcPr>
          <w:p w:rsidR="00CF1E6F" w:rsidRDefault="00CF1E6F" w:rsidP="00705836">
            <w:pPr>
              <w:spacing w:line="360" w:lineRule="exact"/>
              <w:jc w:val="center"/>
              <w:rPr>
                <w:spacing w:val="2"/>
                <w:kern w:val="0"/>
                <w:sz w:val="21"/>
                <w:szCs w:val="21"/>
              </w:rPr>
            </w:pPr>
            <w:r>
              <w:rPr>
                <w:spacing w:val="2"/>
                <w:kern w:val="0"/>
                <w:sz w:val="21"/>
                <w:szCs w:val="21"/>
              </w:rPr>
              <w:t>L</w:t>
            </w:r>
          </w:p>
        </w:tc>
      </w:tr>
      <w:tr w:rsidR="00CF1E6F" w:rsidTr="00705836">
        <w:trPr>
          <w:trHeight w:val="20"/>
          <w:jc w:val="center"/>
        </w:trPr>
        <w:tc>
          <w:tcPr>
            <w:tcW w:w="633" w:type="pct"/>
            <w:vAlign w:val="center"/>
          </w:tcPr>
          <w:p w:rsidR="00CF1E6F" w:rsidRDefault="00CF1E6F" w:rsidP="00705836">
            <w:pPr>
              <w:spacing w:line="360" w:lineRule="exact"/>
              <w:jc w:val="center"/>
              <w:rPr>
                <w:spacing w:val="2"/>
                <w:kern w:val="0"/>
                <w:sz w:val="21"/>
                <w:szCs w:val="21"/>
              </w:rPr>
            </w:pPr>
            <w:r>
              <w:rPr>
                <w:spacing w:val="2"/>
                <w:kern w:val="0"/>
                <w:sz w:val="21"/>
                <w:szCs w:val="21"/>
              </w:rPr>
              <w:t>矸石周转场</w:t>
            </w:r>
          </w:p>
        </w:tc>
        <w:tc>
          <w:tcPr>
            <w:tcW w:w="711" w:type="pct"/>
            <w:vAlign w:val="center"/>
          </w:tcPr>
          <w:p w:rsidR="00CF1E6F" w:rsidRDefault="00CF1E6F" w:rsidP="00705836">
            <w:pPr>
              <w:spacing w:line="360" w:lineRule="exact"/>
              <w:jc w:val="center"/>
              <w:rPr>
                <w:spacing w:val="2"/>
                <w:kern w:val="0"/>
                <w:sz w:val="21"/>
                <w:szCs w:val="21"/>
              </w:rPr>
            </w:pPr>
            <w:r>
              <w:rPr>
                <w:spacing w:val="2"/>
                <w:kern w:val="0"/>
                <w:sz w:val="21"/>
                <w:szCs w:val="21"/>
              </w:rPr>
              <w:t>2</w:t>
            </w:r>
          </w:p>
        </w:tc>
        <w:tc>
          <w:tcPr>
            <w:tcW w:w="712" w:type="pct"/>
            <w:vAlign w:val="center"/>
          </w:tcPr>
          <w:p w:rsidR="00CF1E6F" w:rsidRDefault="00CF1E6F" w:rsidP="00705836">
            <w:pPr>
              <w:spacing w:line="360" w:lineRule="exact"/>
              <w:jc w:val="center"/>
              <w:rPr>
                <w:spacing w:val="2"/>
                <w:kern w:val="0"/>
                <w:sz w:val="21"/>
                <w:szCs w:val="21"/>
              </w:rPr>
            </w:pPr>
            <w:r>
              <w:rPr>
                <w:spacing w:val="2"/>
                <w:kern w:val="0"/>
                <w:sz w:val="21"/>
                <w:szCs w:val="21"/>
              </w:rPr>
              <w:t>0.25</w:t>
            </w:r>
          </w:p>
        </w:tc>
        <w:tc>
          <w:tcPr>
            <w:tcW w:w="712" w:type="pct"/>
            <w:vAlign w:val="center"/>
          </w:tcPr>
          <w:p w:rsidR="00CF1E6F" w:rsidRDefault="00CF1E6F" w:rsidP="00705836">
            <w:pPr>
              <w:spacing w:line="360" w:lineRule="exact"/>
              <w:jc w:val="center"/>
              <w:rPr>
                <w:spacing w:val="2"/>
                <w:kern w:val="0"/>
                <w:sz w:val="21"/>
                <w:szCs w:val="21"/>
              </w:rPr>
            </w:pPr>
            <w:r>
              <w:rPr>
                <w:spacing w:val="2"/>
                <w:kern w:val="0"/>
                <w:sz w:val="21"/>
                <w:szCs w:val="21"/>
              </w:rPr>
              <w:t>0.045</w:t>
            </w:r>
          </w:p>
        </w:tc>
        <w:tc>
          <w:tcPr>
            <w:tcW w:w="870" w:type="pct"/>
            <w:vAlign w:val="center"/>
          </w:tcPr>
          <w:p w:rsidR="00CF1E6F" w:rsidRDefault="00CF1E6F" w:rsidP="00705836">
            <w:pPr>
              <w:spacing w:line="360" w:lineRule="exact"/>
              <w:jc w:val="center"/>
              <w:rPr>
                <w:spacing w:val="2"/>
                <w:kern w:val="0"/>
                <w:sz w:val="21"/>
                <w:szCs w:val="21"/>
              </w:rPr>
            </w:pPr>
            <w:r>
              <w:rPr>
                <w:spacing w:val="2"/>
                <w:kern w:val="0"/>
                <w:sz w:val="21"/>
                <w:szCs w:val="21"/>
              </w:rPr>
              <w:t>5000</w:t>
            </w:r>
          </w:p>
        </w:tc>
        <w:tc>
          <w:tcPr>
            <w:tcW w:w="681" w:type="pct"/>
            <w:vAlign w:val="center"/>
          </w:tcPr>
          <w:p w:rsidR="00CF1E6F" w:rsidRDefault="00CF1E6F" w:rsidP="00705836">
            <w:pPr>
              <w:spacing w:line="360" w:lineRule="exact"/>
              <w:jc w:val="center"/>
              <w:rPr>
                <w:spacing w:val="2"/>
                <w:kern w:val="0"/>
                <w:sz w:val="21"/>
                <w:szCs w:val="21"/>
              </w:rPr>
            </w:pPr>
            <w:r>
              <w:rPr>
                <w:spacing w:val="2"/>
                <w:kern w:val="0"/>
                <w:sz w:val="21"/>
                <w:szCs w:val="21"/>
              </w:rPr>
              <w:t>0.5</w:t>
            </w:r>
          </w:p>
        </w:tc>
        <w:tc>
          <w:tcPr>
            <w:tcW w:w="681" w:type="pct"/>
            <w:vAlign w:val="center"/>
          </w:tcPr>
          <w:p w:rsidR="00CF1E6F" w:rsidRDefault="00CF1E6F" w:rsidP="00705836">
            <w:pPr>
              <w:spacing w:line="360" w:lineRule="exact"/>
              <w:jc w:val="center"/>
              <w:rPr>
                <w:sz w:val="21"/>
                <w:szCs w:val="21"/>
              </w:rPr>
            </w:pPr>
            <w:r>
              <w:rPr>
                <w:sz w:val="21"/>
                <w:szCs w:val="21"/>
              </w:rPr>
              <w:t>225m</w:t>
            </w:r>
          </w:p>
        </w:tc>
      </w:tr>
    </w:tbl>
    <w:p w:rsidR="00CF1E6F" w:rsidRDefault="00CF1E6F" w:rsidP="00CF1E6F">
      <w:pPr>
        <w:pStyle w:val="1552"/>
        <w:ind w:firstLine="480"/>
        <w:rPr>
          <w:rFonts w:cs="Times New Roman"/>
          <w:color w:val="auto"/>
        </w:rPr>
      </w:pPr>
      <w:r>
        <w:rPr>
          <w:rFonts w:cs="Times New Roman"/>
          <w:color w:val="auto"/>
        </w:rPr>
        <w:t>由表</w:t>
      </w:r>
      <w:r>
        <w:rPr>
          <w:rFonts w:cs="Times New Roman"/>
          <w:color w:val="auto"/>
          <w:kern w:val="0"/>
        </w:rPr>
        <w:t>6.3-5</w:t>
      </w:r>
      <w:r>
        <w:rPr>
          <w:rFonts w:cs="Times New Roman"/>
          <w:color w:val="auto"/>
        </w:rPr>
        <w:t>可知，经计算本项目地下水评价范围为：自矸石周转场上游边界至下游</w:t>
      </w:r>
      <w:r>
        <w:rPr>
          <w:rFonts w:cs="Times New Roman"/>
          <w:color w:val="auto"/>
        </w:rPr>
        <w:t>225m</w:t>
      </w:r>
      <w:r>
        <w:rPr>
          <w:rFonts w:cs="Times New Roman"/>
          <w:color w:val="auto"/>
        </w:rPr>
        <w:t>，以及矸石周转场两侧</w:t>
      </w:r>
      <w:r>
        <w:rPr>
          <w:rFonts w:cs="Times New Roman"/>
          <w:color w:val="auto"/>
        </w:rPr>
        <w:t>112.5m</w:t>
      </w:r>
      <w:r>
        <w:rPr>
          <w:rFonts w:cs="Times New Roman"/>
          <w:color w:val="auto"/>
        </w:rPr>
        <w:t>范围，由于矸石周转场所在区域属于一个小的水</w:t>
      </w:r>
      <w:r>
        <w:rPr>
          <w:rFonts w:cs="Times New Roman" w:hint="eastAsia"/>
          <w:color w:val="auto"/>
        </w:rPr>
        <w:t>文</w:t>
      </w:r>
      <w:r>
        <w:rPr>
          <w:rFonts w:cs="Times New Roman"/>
          <w:color w:val="auto"/>
        </w:rPr>
        <w:t>地质单元，矸石周转场北侧</w:t>
      </w:r>
      <w:r>
        <w:rPr>
          <w:rFonts w:cs="Times New Roman"/>
          <w:color w:val="auto"/>
        </w:rPr>
        <w:t>520m</w:t>
      </w:r>
      <w:r>
        <w:rPr>
          <w:rFonts w:cs="Times New Roman"/>
          <w:color w:val="auto"/>
        </w:rPr>
        <w:t>为涌泉河、南侧</w:t>
      </w:r>
      <w:r>
        <w:rPr>
          <w:rFonts w:cs="Times New Roman"/>
          <w:color w:val="auto"/>
        </w:rPr>
        <w:t>360m</w:t>
      </w:r>
      <w:r>
        <w:rPr>
          <w:rFonts w:cs="Times New Roman"/>
          <w:color w:val="auto"/>
        </w:rPr>
        <w:t>为赵沟河、南侧</w:t>
      </w:r>
      <w:r>
        <w:rPr>
          <w:rFonts w:cs="Times New Roman"/>
          <w:color w:val="auto"/>
        </w:rPr>
        <w:t>850m</w:t>
      </w:r>
      <w:r>
        <w:rPr>
          <w:rFonts w:cs="Times New Roman"/>
          <w:color w:val="auto"/>
        </w:rPr>
        <w:t>为李家门断层以及下游</w:t>
      </w:r>
      <w:r>
        <w:rPr>
          <w:rFonts w:cs="Times New Roman"/>
          <w:color w:val="auto"/>
        </w:rPr>
        <w:t>900m-1900m</w:t>
      </w:r>
      <w:r>
        <w:rPr>
          <w:rFonts w:cs="Times New Roman"/>
          <w:color w:val="auto"/>
        </w:rPr>
        <w:t>涌泉河、赵沟河合围的区域，计算的地下水评价范围仍在矸石周转场所在的水文地质单元内，因此本项目地下水评价范围仍为：自矸石周转场上游边界至下游</w:t>
      </w:r>
      <w:r>
        <w:rPr>
          <w:rFonts w:cs="Times New Roman"/>
          <w:color w:val="auto"/>
        </w:rPr>
        <w:t>225m</w:t>
      </w:r>
      <w:r>
        <w:rPr>
          <w:rFonts w:cs="Times New Roman"/>
          <w:color w:val="auto"/>
        </w:rPr>
        <w:t>，以及矸石周转场两侧</w:t>
      </w:r>
      <w:r>
        <w:rPr>
          <w:rFonts w:cs="Times New Roman"/>
          <w:color w:val="auto"/>
        </w:rPr>
        <w:t>112.5m</w:t>
      </w:r>
      <w:r>
        <w:rPr>
          <w:rFonts w:cs="Times New Roman"/>
          <w:color w:val="auto"/>
        </w:rPr>
        <w:t>范围。</w:t>
      </w:r>
    </w:p>
    <w:p w:rsidR="00CF1E6F" w:rsidRPr="004331D6" w:rsidRDefault="004331D6" w:rsidP="009C5F33">
      <w:pPr>
        <w:pStyle w:val="30"/>
        <w:adjustRightInd w:val="0"/>
        <w:snapToGrid w:val="0"/>
        <w:spacing w:beforeLines="70" w:afterLines="30" w:line="240" w:lineRule="auto"/>
        <w:jc w:val="left"/>
        <w:rPr>
          <w:rFonts w:eastAsia="楷体"/>
          <w:sz w:val="28"/>
          <w:szCs w:val="28"/>
        </w:rPr>
      </w:pPr>
      <w:r>
        <w:rPr>
          <w:rFonts w:eastAsia="楷体" w:hint="eastAsia"/>
          <w:sz w:val="28"/>
          <w:szCs w:val="28"/>
        </w:rPr>
        <w:lastRenderedPageBreak/>
        <w:t>6.3.</w:t>
      </w:r>
      <w:r w:rsidR="007F466F">
        <w:rPr>
          <w:rFonts w:eastAsia="楷体" w:hint="eastAsia"/>
          <w:sz w:val="28"/>
          <w:szCs w:val="28"/>
        </w:rPr>
        <w:t>4</w:t>
      </w:r>
      <w:r w:rsidRPr="004331D6">
        <w:rPr>
          <w:rFonts w:eastAsia="楷体" w:hint="eastAsia"/>
          <w:sz w:val="28"/>
          <w:szCs w:val="28"/>
        </w:rPr>
        <w:t>煤炭开采对地下水环境水质的影响分析</w:t>
      </w:r>
    </w:p>
    <w:p w:rsidR="008C2174" w:rsidRPr="008C2174" w:rsidRDefault="008C2174" w:rsidP="008C2174">
      <w:pPr>
        <w:spacing w:line="520" w:lineRule="exact"/>
        <w:rPr>
          <w:sz w:val="24"/>
        </w:rPr>
      </w:pPr>
      <w:r>
        <w:rPr>
          <w:rFonts w:hint="eastAsia"/>
          <w:sz w:val="24"/>
        </w:rPr>
        <w:t>6.3.</w:t>
      </w:r>
      <w:r w:rsidR="007F466F">
        <w:rPr>
          <w:rFonts w:hint="eastAsia"/>
          <w:sz w:val="24"/>
        </w:rPr>
        <w:t>4</w:t>
      </w:r>
      <w:r>
        <w:rPr>
          <w:rFonts w:hint="eastAsia"/>
          <w:sz w:val="24"/>
        </w:rPr>
        <w:t>.1</w:t>
      </w:r>
      <w:r w:rsidRPr="008C2174">
        <w:rPr>
          <w:rFonts w:hint="eastAsia"/>
          <w:sz w:val="24"/>
        </w:rPr>
        <w:t>地下水水质污染影响预测特征</w:t>
      </w:r>
    </w:p>
    <w:p w:rsidR="008C2174" w:rsidRPr="008C2174" w:rsidRDefault="008C2174" w:rsidP="008C2174">
      <w:pPr>
        <w:spacing w:line="520" w:lineRule="exact"/>
        <w:ind w:firstLineChars="200" w:firstLine="480"/>
        <w:rPr>
          <w:sz w:val="24"/>
        </w:rPr>
      </w:pPr>
      <w:r w:rsidRPr="008C2174">
        <w:rPr>
          <w:rFonts w:hint="eastAsia"/>
          <w:sz w:val="24"/>
        </w:rPr>
        <w:t>预测分区：</w:t>
      </w:r>
      <w:r w:rsidR="00802A62">
        <w:rPr>
          <w:rFonts w:hint="eastAsia"/>
          <w:sz w:val="24"/>
        </w:rPr>
        <w:t>储煤库</w:t>
      </w:r>
      <w:r w:rsidR="00D43A00">
        <w:rPr>
          <w:rFonts w:hint="eastAsia"/>
          <w:sz w:val="24"/>
        </w:rPr>
        <w:t>（含矸石临时周转场）</w:t>
      </w:r>
      <w:r w:rsidR="00D43A00" w:rsidRPr="008C2174">
        <w:rPr>
          <w:rFonts w:hint="eastAsia"/>
          <w:sz w:val="24"/>
        </w:rPr>
        <w:t>、</w:t>
      </w:r>
      <w:r w:rsidRPr="008C2174">
        <w:rPr>
          <w:rFonts w:hint="eastAsia"/>
          <w:sz w:val="24"/>
        </w:rPr>
        <w:t>工业场地生活污水处理站、矿井水处理站；</w:t>
      </w:r>
    </w:p>
    <w:p w:rsidR="008C2174" w:rsidRPr="008C2174" w:rsidRDefault="008C2174" w:rsidP="008C2174">
      <w:pPr>
        <w:spacing w:line="520" w:lineRule="exact"/>
        <w:ind w:firstLineChars="200" w:firstLine="480"/>
        <w:rPr>
          <w:sz w:val="24"/>
        </w:rPr>
      </w:pPr>
      <w:r w:rsidRPr="008C2174">
        <w:rPr>
          <w:rFonts w:hint="eastAsia"/>
          <w:sz w:val="24"/>
        </w:rPr>
        <w:t>预测层位：以潜水含水层（污染物直接进入的含水层为主）进行预测；</w:t>
      </w:r>
    </w:p>
    <w:p w:rsidR="008C2174" w:rsidRPr="008C2174" w:rsidRDefault="008C2174" w:rsidP="008C2174">
      <w:pPr>
        <w:spacing w:line="520" w:lineRule="exact"/>
        <w:ind w:firstLineChars="200" w:firstLine="480"/>
        <w:rPr>
          <w:sz w:val="24"/>
        </w:rPr>
      </w:pPr>
      <w:r w:rsidRPr="008C2174">
        <w:rPr>
          <w:rFonts w:hint="eastAsia"/>
          <w:sz w:val="24"/>
        </w:rPr>
        <w:t>预测因子：以地下水</w:t>
      </w:r>
      <w:r w:rsidRPr="008C2174">
        <w:rPr>
          <w:rFonts w:hint="eastAsia"/>
          <w:sz w:val="24"/>
        </w:rPr>
        <w:t xml:space="preserve"> III </w:t>
      </w:r>
      <w:r w:rsidRPr="008C2174">
        <w:rPr>
          <w:rFonts w:hint="eastAsia"/>
          <w:sz w:val="24"/>
        </w:rPr>
        <w:t>类水质标准为基准，选取特征污染因子作为预测因子；</w:t>
      </w:r>
    </w:p>
    <w:p w:rsidR="008C2174" w:rsidRPr="008C2174" w:rsidRDefault="008C2174" w:rsidP="008C2174">
      <w:pPr>
        <w:spacing w:line="520" w:lineRule="exact"/>
        <w:ind w:firstLineChars="200" w:firstLine="480"/>
        <w:rPr>
          <w:sz w:val="24"/>
        </w:rPr>
      </w:pPr>
      <w:r w:rsidRPr="008C2174">
        <w:rPr>
          <w:rFonts w:hint="eastAsia"/>
          <w:sz w:val="24"/>
        </w:rPr>
        <w:t>预测时段：选取可能产生地下水污染的关键时段，污染发生后</w:t>
      </w:r>
      <w:r w:rsidRPr="008C2174">
        <w:rPr>
          <w:rFonts w:hint="eastAsia"/>
          <w:sz w:val="24"/>
        </w:rPr>
        <w:t xml:space="preserve"> 100d</w:t>
      </w:r>
      <w:r w:rsidRPr="008C2174">
        <w:rPr>
          <w:rFonts w:hint="eastAsia"/>
          <w:sz w:val="24"/>
        </w:rPr>
        <w:t>、</w:t>
      </w:r>
      <w:r w:rsidRPr="008C2174">
        <w:rPr>
          <w:rFonts w:hint="eastAsia"/>
          <w:sz w:val="24"/>
        </w:rPr>
        <w:t>1000d</w:t>
      </w:r>
      <w:r w:rsidRPr="008C2174">
        <w:rPr>
          <w:rFonts w:hint="eastAsia"/>
          <w:sz w:val="24"/>
        </w:rPr>
        <w:t>、</w:t>
      </w:r>
      <w:r w:rsidRPr="008C2174">
        <w:rPr>
          <w:rFonts w:hint="eastAsia"/>
          <w:sz w:val="24"/>
        </w:rPr>
        <w:t>5000d</w:t>
      </w:r>
      <w:r w:rsidRPr="008C2174">
        <w:rPr>
          <w:rFonts w:hint="eastAsia"/>
          <w:sz w:val="24"/>
        </w:rPr>
        <w:t>。</w:t>
      </w:r>
    </w:p>
    <w:p w:rsidR="008C2174" w:rsidRPr="008C2174" w:rsidRDefault="008C2174" w:rsidP="008C2174">
      <w:pPr>
        <w:spacing w:line="520" w:lineRule="exact"/>
        <w:rPr>
          <w:sz w:val="24"/>
        </w:rPr>
      </w:pPr>
      <w:r>
        <w:rPr>
          <w:rFonts w:hint="eastAsia"/>
          <w:sz w:val="24"/>
        </w:rPr>
        <w:t>6.3.</w:t>
      </w:r>
      <w:r w:rsidR="007F466F">
        <w:rPr>
          <w:rFonts w:hint="eastAsia"/>
          <w:sz w:val="24"/>
        </w:rPr>
        <w:t>4</w:t>
      </w:r>
      <w:r>
        <w:rPr>
          <w:rFonts w:hint="eastAsia"/>
          <w:sz w:val="24"/>
        </w:rPr>
        <w:t>.</w:t>
      </w:r>
      <w:r w:rsidRPr="008C2174">
        <w:rPr>
          <w:rFonts w:hint="eastAsia"/>
          <w:sz w:val="24"/>
        </w:rPr>
        <w:t>2</w:t>
      </w:r>
      <w:r w:rsidRPr="008C2174">
        <w:rPr>
          <w:rFonts w:hint="eastAsia"/>
          <w:sz w:val="24"/>
        </w:rPr>
        <w:t>分区预测</w:t>
      </w:r>
    </w:p>
    <w:p w:rsidR="008C2174" w:rsidRPr="008C2174" w:rsidRDefault="008C2174" w:rsidP="008C2174">
      <w:pPr>
        <w:spacing w:line="520" w:lineRule="exact"/>
        <w:ind w:firstLineChars="200" w:firstLine="480"/>
        <w:rPr>
          <w:sz w:val="24"/>
        </w:rPr>
      </w:pPr>
      <w:r>
        <w:rPr>
          <w:rFonts w:hint="eastAsia"/>
          <w:sz w:val="24"/>
        </w:rPr>
        <w:t>1</w:t>
      </w:r>
      <w:r>
        <w:rPr>
          <w:rFonts w:hint="eastAsia"/>
          <w:sz w:val="24"/>
        </w:rPr>
        <w:t>、</w:t>
      </w:r>
      <w:r w:rsidRPr="008C2174">
        <w:rPr>
          <w:rFonts w:hint="eastAsia"/>
          <w:sz w:val="24"/>
        </w:rPr>
        <w:t>正常情况</w:t>
      </w:r>
    </w:p>
    <w:p w:rsidR="008C2174" w:rsidRPr="008C2174" w:rsidRDefault="008C2174" w:rsidP="008C2174">
      <w:pPr>
        <w:spacing w:line="520" w:lineRule="exact"/>
        <w:ind w:firstLineChars="200" w:firstLine="480"/>
        <w:rPr>
          <w:sz w:val="24"/>
        </w:rPr>
      </w:pPr>
      <w:r>
        <w:rPr>
          <w:rFonts w:hint="eastAsia"/>
          <w:sz w:val="24"/>
        </w:rPr>
        <w:t>（</w:t>
      </w:r>
      <w:r>
        <w:rPr>
          <w:rFonts w:hint="eastAsia"/>
          <w:sz w:val="24"/>
        </w:rPr>
        <w:t>1</w:t>
      </w:r>
      <w:r>
        <w:rPr>
          <w:rFonts w:hint="eastAsia"/>
          <w:sz w:val="24"/>
        </w:rPr>
        <w:t>）</w:t>
      </w:r>
      <w:r w:rsidRPr="008C2174">
        <w:rPr>
          <w:rFonts w:hint="eastAsia"/>
          <w:sz w:val="24"/>
        </w:rPr>
        <w:t>生活污水</w:t>
      </w:r>
    </w:p>
    <w:p w:rsidR="008C2174" w:rsidRPr="008C2174" w:rsidRDefault="008C2174" w:rsidP="008C2174">
      <w:pPr>
        <w:spacing w:line="520" w:lineRule="exact"/>
        <w:ind w:firstLineChars="200" w:firstLine="480"/>
        <w:rPr>
          <w:sz w:val="24"/>
        </w:rPr>
      </w:pPr>
      <w:r w:rsidRPr="008C2174">
        <w:rPr>
          <w:rFonts w:hint="eastAsia"/>
          <w:sz w:val="24"/>
        </w:rPr>
        <w:t>煤矿生活污水进入生活污水处理站处理后全部综合利用不排放。生活污水处理站为防水钢筋混凝土结构，正常情况下，生活污水处理站的防渗措施达到防渗技术要求，对地下水的影响较小。</w:t>
      </w:r>
    </w:p>
    <w:p w:rsidR="008C2174" w:rsidRPr="008C2174" w:rsidRDefault="008C2174" w:rsidP="008C2174">
      <w:pPr>
        <w:spacing w:line="520" w:lineRule="exact"/>
        <w:ind w:firstLineChars="200" w:firstLine="480"/>
        <w:rPr>
          <w:sz w:val="24"/>
        </w:rPr>
      </w:pPr>
      <w:r>
        <w:rPr>
          <w:rFonts w:hint="eastAsia"/>
          <w:sz w:val="24"/>
        </w:rPr>
        <w:t>（</w:t>
      </w:r>
      <w:r>
        <w:rPr>
          <w:rFonts w:hint="eastAsia"/>
          <w:sz w:val="24"/>
        </w:rPr>
        <w:t>2</w:t>
      </w:r>
      <w:r>
        <w:rPr>
          <w:rFonts w:hint="eastAsia"/>
          <w:sz w:val="24"/>
        </w:rPr>
        <w:t>）</w:t>
      </w:r>
      <w:r w:rsidRPr="008C2174">
        <w:rPr>
          <w:rFonts w:hint="eastAsia"/>
          <w:sz w:val="24"/>
        </w:rPr>
        <w:t>矿井水</w:t>
      </w:r>
    </w:p>
    <w:p w:rsidR="008C2174" w:rsidRPr="008C2174" w:rsidRDefault="008C2174" w:rsidP="008C2174">
      <w:pPr>
        <w:spacing w:line="520" w:lineRule="exact"/>
        <w:ind w:firstLineChars="200" w:firstLine="480"/>
        <w:rPr>
          <w:sz w:val="24"/>
        </w:rPr>
      </w:pPr>
      <w:r w:rsidRPr="008C2174">
        <w:rPr>
          <w:rFonts w:hint="eastAsia"/>
          <w:sz w:val="24"/>
        </w:rPr>
        <w:t>矿井水经矿井水处理站处理后全部综合利用不排放。处理后的水质满足《地表水环境质量标准》（</w:t>
      </w:r>
      <w:r w:rsidRPr="008C2174">
        <w:rPr>
          <w:rFonts w:hint="eastAsia"/>
          <w:sz w:val="24"/>
        </w:rPr>
        <w:t>GB3838-2002</w:t>
      </w:r>
      <w:r w:rsidRPr="008C2174">
        <w:rPr>
          <w:rFonts w:hint="eastAsia"/>
          <w:sz w:val="24"/>
        </w:rPr>
        <w:t>）Ⅲ类要求，主要污染物均能满足地下水</w:t>
      </w:r>
      <w:r w:rsidRPr="008C2174">
        <w:rPr>
          <w:rFonts w:hint="eastAsia"/>
          <w:sz w:val="24"/>
        </w:rPr>
        <w:t xml:space="preserve"> III </w:t>
      </w:r>
      <w:r w:rsidRPr="008C2174">
        <w:rPr>
          <w:rFonts w:hint="eastAsia"/>
          <w:sz w:val="24"/>
        </w:rPr>
        <w:t>类水质标准。矿井水处理站为防水钢筋混凝土结构，正常状况下，矿井水处理站的防渗措施达到防渗技术要求，对地下水的影响较小。</w:t>
      </w:r>
    </w:p>
    <w:p w:rsidR="008C2174" w:rsidRPr="008C2174" w:rsidRDefault="0038501F" w:rsidP="008C2174">
      <w:pPr>
        <w:spacing w:line="520" w:lineRule="exact"/>
        <w:ind w:firstLineChars="200" w:firstLine="480"/>
        <w:rPr>
          <w:sz w:val="24"/>
        </w:rPr>
      </w:pPr>
      <w:r>
        <w:rPr>
          <w:rFonts w:hint="eastAsia"/>
          <w:sz w:val="24"/>
        </w:rPr>
        <w:t>（</w:t>
      </w:r>
      <w:r>
        <w:rPr>
          <w:rFonts w:hint="eastAsia"/>
          <w:sz w:val="24"/>
        </w:rPr>
        <w:t>3</w:t>
      </w:r>
      <w:r>
        <w:rPr>
          <w:rFonts w:hint="eastAsia"/>
          <w:sz w:val="24"/>
        </w:rPr>
        <w:t>）</w:t>
      </w:r>
      <w:r w:rsidR="00802A62">
        <w:rPr>
          <w:rFonts w:hint="eastAsia"/>
          <w:sz w:val="24"/>
        </w:rPr>
        <w:t>储煤库</w:t>
      </w:r>
      <w:r w:rsidR="008C2174">
        <w:rPr>
          <w:rFonts w:hint="eastAsia"/>
          <w:sz w:val="24"/>
        </w:rPr>
        <w:t>（含矸石临时周转场）</w:t>
      </w:r>
    </w:p>
    <w:p w:rsidR="008C2174" w:rsidRDefault="008C2174" w:rsidP="008C2174">
      <w:pPr>
        <w:spacing w:line="520" w:lineRule="exact"/>
        <w:ind w:firstLineChars="200" w:firstLine="480"/>
        <w:rPr>
          <w:sz w:val="24"/>
        </w:rPr>
      </w:pPr>
      <w:r w:rsidRPr="008C2174">
        <w:rPr>
          <w:rFonts w:hint="eastAsia"/>
          <w:bCs/>
          <w:sz w:val="24"/>
          <w:lang w:bidi="en-US"/>
        </w:rPr>
        <w:t>本项目矸石分拣后装车</w:t>
      </w:r>
      <w:r>
        <w:rPr>
          <w:rFonts w:hint="eastAsia"/>
          <w:bCs/>
          <w:sz w:val="24"/>
          <w:lang w:bidi="en-US"/>
        </w:rPr>
        <w:t>直接</w:t>
      </w:r>
      <w:r w:rsidRPr="008C2174">
        <w:rPr>
          <w:rFonts w:hint="eastAsia"/>
          <w:bCs/>
          <w:sz w:val="24"/>
          <w:lang w:bidi="en-US"/>
        </w:rPr>
        <w:t>外售</w:t>
      </w:r>
      <w:r>
        <w:rPr>
          <w:rFonts w:hint="eastAsia"/>
          <w:bCs/>
          <w:sz w:val="24"/>
          <w:lang w:bidi="en-US"/>
        </w:rPr>
        <w:t>或在</w:t>
      </w:r>
      <w:r w:rsidR="00802A62">
        <w:rPr>
          <w:rFonts w:hint="eastAsia"/>
          <w:bCs/>
          <w:sz w:val="24"/>
          <w:lang w:bidi="en-US"/>
        </w:rPr>
        <w:t>储煤库</w:t>
      </w:r>
      <w:r>
        <w:rPr>
          <w:rFonts w:hint="eastAsia"/>
          <w:bCs/>
          <w:sz w:val="24"/>
          <w:lang w:bidi="en-US"/>
        </w:rPr>
        <w:t>内临时周转后</w:t>
      </w:r>
      <w:r>
        <w:rPr>
          <w:sz w:val="24"/>
        </w:rPr>
        <w:t>禹州市鸿畅镇三合新型建材厂制砖</w:t>
      </w:r>
      <w:r w:rsidRPr="008C2174">
        <w:rPr>
          <w:rFonts w:hint="eastAsia"/>
          <w:bCs/>
          <w:sz w:val="24"/>
          <w:lang w:bidi="en-US"/>
        </w:rPr>
        <w:t>，</w:t>
      </w:r>
      <w:r w:rsidR="00D43A00">
        <w:rPr>
          <w:rFonts w:hint="eastAsia"/>
          <w:bCs/>
          <w:sz w:val="24"/>
          <w:lang w:bidi="en-US"/>
        </w:rPr>
        <w:t>正常情况下</w:t>
      </w:r>
      <w:r w:rsidRPr="008C2174">
        <w:rPr>
          <w:rFonts w:hint="eastAsia"/>
          <w:bCs/>
          <w:sz w:val="24"/>
          <w:lang w:bidi="en-US"/>
        </w:rPr>
        <w:t>不会产生淋溶水影响地下水。</w:t>
      </w:r>
      <w:r>
        <w:rPr>
          <w:rFonts w:hint="eastAsia"/>
          <w:bCs/>
          <w:sz w:val="24"/>
          <w:lang w:bidi="en-US"/>
        </w:rPr>
        <w:t>另外</w:t>
      </w:r>
      <w:r w:rsidR="00802A62">
        <w:rPr>
          <w:rFonts w:hint="eastAsia"/>
          <w:sz w:val="24"/>
        </w:rPr>
        <w:t>储煤库</w:t>
      </w:r>
      <w:r w:rsidRPr="008C2174">
        <w:rPr>
          <w:rFonts w:hint="eastAsia"/>
          <w:sz w:val="24"/>
        </w:rPr>
        <w:t>底部</w:t>
      </w:r>
      <w:r>
        <w:rPr>
          <w:rFonts w:hint="eastAsia"/>
          <w:sz w:val="24"/>
        </w:rPr>
        <w:t>硬化</w:t>
      </w:r>
      <w:r w:rsidRPr="008C2174">
        <w:rPr>
          <w:rFonts w:hint="eastAsia"/>
          <w:sz w:val="24"/>
        </w:rPr>
        <w:t>设防渗，</w:t>
      </w:r>
      <w:r>
        <w:rPr>
          <w:rFonts w:hint="eastAsia"/>
          <w:sz w:val="24"/>
        </w:rPr>
        <w:t>正常情况下</w:t>
      </w:r>
      <w:r w:rsidRPr="008C2174">
        <w:rPr>
          <w:rFonts w:hint="eastAsia"/>
          <w:sz w:val="24"/>
        </w:rPr>
        <w:t>不会影响地下水环境。</w:t>
      </w:r>
    </w:p>
    <w:p w:rsidR="00CF1E6F" w:rsidRDefault="008C2174" w:rsidP="008C2174">
      <w:pPr>
        <w:spacing w:line="520" w:lineRule="exact"/>
        <w:ind w:firstLineChars="200" w:firstLine="480"/>
        <w:rPr>
          <w:sz w:val="24"/>
        </w:rPr>
      </w:pPr>
      <w:r>
        <w:rPr>
          <w:rFonts w:hint="eastAsia"/>
          <w:sz w:val="24"/>
        </w:rPr>
        <w:t>2</w:t>
      </w:r>
      <w:r>
        <w:rPr>
          <w:rFonts w:hint="eastAsia"/>
          <w:sz w:val="24"/>
        </w:rPr>
        <w:t>、非正常情况</w:t>
      </w:r>
    </w:p>
    <w:p w:rsidR="0038501F" w:rsidRDefault="0038501F" w:rsidP="0038501F">
      <w:pPr>
        <w:pStyle w:val="ae"/>
        <w:spacing w:line="520" w:lineRule="exact"/>
        <w:ind w:firstLineChars="200" w:firstLine="480"/>
        <w:rPr>
          <w:rFonts w:ascii="Times New Roman" w:hAnsi="Times New Roman"/>
          <w:sz w:val="24"/>
        </w:rPr>
      </w:pPr>
      <w:r w:rsidRPr="0038501F">
        <w:rPr>
          <w:rFonts w:ascii="Times New Roman" w:hAnsi="Times New Roman" w:hint="eastAsia"/>
          <w:sz w:val="24"/>
        </w:rPr>
        <w:t>非正常情况下，</w:t>
      </w:r>
      <w:r w:rsidR="00D43A00">
        <w:rPr>
          <w:rFonts w:ascii="Times New Roman" w:hAnsi="Times New Roman" w:hint="eastAsia"/>
          <w:sz w:val="24"/>
        </w:rPr>
        <w:t>矸石在</w:t>
      </w:r>
      <w:r w:rsidR="00802A62">
        <w:rPr>
          <w:rFonts w:ascii="Times New Roman" w:hAnsi="Times New Roman" w:hint="eastAsia"/>
          <w:sz w:val="24"/>
        </w:rPr>
        <w:t>储煤库</w:t>
      </w:r>
      <w:r w:rsidR="00D43A00">
        <w:rPr>
          <w:rFonts w:ascii="Times New Roman" w:hAnsi="Times New Roman" w:hint="eastAsia"/>
          <w:sz w:val="24"/>
        </w:rPr>
        <w:t>临时堆存时浸出液</w:t>
      </w:r>
      <w:r w:rsidR="00D43A00" w:rsidRPr="0038501F">
        <w:rPr>
          <w:rFonts w:ascii="Times New Roman" w:hAnsi="Times New Roman" w:hint="eastAsia"/>
          <w:sz w:val="24"/>
        </w:rPr>
        <w:t>下渗</w:t>
      </w:r>
      <w:r w:rsidR="00D43A00">
        <w:rPr>
          <w:rFonts w:ascii="Times New Roman" w:hAnsi="Times New Roman" w:hint="eastAsia"/>
          <w:sz w:val="24"/>
        </w:rPr>
        <w:t>，泄露位置在矸石临时堆</w:t>
      </w:r>
      <w:r w:rsidR="00D43A00">
        <w:rPr>
          <w:rFonts w:ascii="Times New Roman" w:hAnsi="Times New Roman" w:hint="eastAsia"/>
          <w:sz w:val="24"/>
        </w:rPr>
        <w:lastRenderedPageBreak/>
        <w:t>放处；</w:t>
      </w:r>
      <w:r w:rsidRPr="0038501F">
        <w:rPr>
          <w:rFonts w:ascii="Times New Roman" w:hAnsi="Times New Roman" w:hint="eastAsia"/>
          <w:sz w:val="24"/>
        </w:rPr>
        <w:t>生活污水和矿井水发生泄漏，泄漏位置分别为生活污水和矿井水收集池位置，</w:t>
      </w:r>
      <w:r w:rsidR="00D43A00">
        <w:rPr>
          <w:rFonts w:ascii="Times New Roman" w:hAnsi="Times New Roman" w:hint="eastAsia"/>
          <w:sz w:val="24"/>
        </w:rPr>
        <w:t>会</w:t>
      </w:r>
      <w:r w:rsidR="00D43A00" w:rsidRPr="0038501F">
        <w:rPr>
          <w:rFonts w:ascii="Times New Roman" w:hAnsi="Times New Roman" w:hint="eastAsia"/>
          <w:sz w:val="24"/>
        </w:rPr>
        <w:t>进入</w:t>
      </w:r>
      <w:r w:rsidR="0028077D">
        <w:rPr>
          <w:rFonts w:ascii="Times New Roman" w:hAnsi="Times New Roman" w:hint="eastAsia"/>
          <w:sz w:val="24"/>
        </w:rPr>
        <w:t>浅层</w:t>
      </w:r>
      <w:r w:rsidR="00D43A00" w:rsidRPr="0038501F">
        <w:rPr>
          <w:rFonts w:ascii="Times New Roman" w:hAnsi="Times New Roman" w:hint="eastAsia"/>
          <w:sz w:val="24"/>
        </w:rPr>
        <w:t>地下水</w:t>
      </w:r>
      <w:r w:rsidR="0028077D">
        <w:rPr>
          <w:rFonts w:ascii="Times New Roman" w:hAnsi="Times New Roman" w:hint="eastAsia"/>
          <w:sz w:val="24"/>
        </w:rPr>
        <w:t>，</w:t>
      </w:r>
      <w:r w:rsidR="00D43A00" w:rsidRPr="0038501F">
        <w:rPr>
          <w:rFonts w:ascii="Times New Roman" w:hAnsi="Times New Roman" w:hint="eastAsia"/>
          <w:sz w:val="24"/>
        </w:rPr>
        <w:t>造成</w:t>
      </w:r>
      <w:r w:rsidR="0028077D">
        <w:rPr>
          <w:rFonts w:ascii="Times New Roman" w:hAnsi="Times New Roman" w:hint="eastAsia"/>
          <w:sz w:val="24"/>
        </w:rPr>
        <w:t>地下水</w:t>
      </w:r>
      <w:r w:rsidR="00D43A00" w:rsidRPr="0038501F">
        <w:rPr>
          <w:rFonts w:ascii="Times New Roman" w:hAnsi="Times New Roman" w:hint="eastAsia"/>
          <w:sz w:val="24"/>
        </w:rPr>
        <w:t>环境</w:t>
      </w:r>
      <w:r w:rsidR="0028077D">
        <w:rPr>
          <w:rFonts w:ascii="Times New Roman" w:hAnsi="Times New Roman" w:hint="eastAsia"/>
          <w:sz w:val="24"/>
        </w:rPr>
        <w:t>的</w:t>
      </w:r>
      <w:r w:rsidR="00D43A00" w:rsidRPr="0038501F">
        <w:rPr>
          <w:rFonts w:ascii="Times New Roman" w:hAnsi="Times New Roman" w:hint="eastAsia"/>
          <w:sz w:val="24"/>
        </w:rPr>
        <w:t>污染影响</w:t>
      </w:r>
      <w:r w:rsidRPr="0038501F">
        <w:rPr>
          <w:rFonts w:ascii="Times New Roman" w:hAnsi="Times New Roman" w:hint="eastAsia"/>
          <w:sz w:val="24"/>
        </w:rPr>
        <w:t>。</w:t>
      </w:r>
    </w:p>
    <w:bookmarkEnd w:id="566"/>
    <w:bookmarkEnd w:id="567"/>
    <w:bookmarkEnd w:id="568"/>
    <w:bookmarkEnd w:id="569"/>
    <w:p w:rsidR="00CF1E6F" w:rsidRDefault="0038501F" w:rsidP="00CF1E6F">
      <w:pPr>
        <w:pStyle w:val="1552"/>
        <w:ind w:firstLine="480"/>
        <w:rPr>
          <w:rFonts w:cs="Times New Roman"/>
          <w:color w:val="auto"/>
        </w:rPr>
      </w:pPr>
      <w:r>
        <w:rPr>
          <w:rFonts w:cs="Times New Roman" w:hint="eastAsia"/>
          <w:color w:val="auto"/>
        </w:rPr>
        <w:t>（</w:t>
      </w:r>
      <w:r>
        <w:rPr>
          <w:rFonts w:cs="Times New Roman" w:hint="eastAsia"/>
          <w:color w:val="auto"/>
        </w:rPr>
        <w:t>1</w:t>
      </w:r>
      <w:r>
        <w:rPr>
          <w:rFonts w:cs="Times New Roman" w:hint="eastAsia"/>
          <w:color w:val="auto"/>
        </w:rPr>
        <w:t>）</w:t>
      </w:r>
      <w:r w:rsidR="00CF1E6F">
        <w:rPr>
          <w:rFonts w:cs="Times New Roman"/>
          <w:color w:val="auto"/>
        </w:rPr>
        <w:t>预测因子与预测思路</w:t>
      </w:r>
    </w:p>
    <w:p w:rsidR="00CF1E6F" w:rsidRDefault="00B95226" w:rsidP="00CF1E6F">
      <w:pPr>
        <w:spacing w:line="520" w:lineRule="exact"/>
        <w:ind w:firstLineChars="200" w:firstLine="480"/>
        <w:rPr>
          <w:sz w:val="24"/>
        </w:rPr>
      </w:pPr>
      <w:r>
        <w:rPr>
          <w:sz w:val="24"/>
        </w:rPr>
        <w:fldChar w:fldCharType="begin"/>
      </w:r>
      <w:r w:rsidR="0038501F">
        <w:rPr>
          <w:sz w:val="24"/>
        </w:rPr>
        <w:instrText xml:space="preserve"> </w:instrText>
      </w:r>
      <w:r w:rsidR="0038501F">
        <w:rPr>
          <w:rFonts w:hint="eastAsia"/>
          <w:sz w:val="24"/>
        </w:rPr>
        <w:instrText>= 1 \* GB3</w:instrText>
      </w:r>
      <w:r w:rsidR="0038501F">
        <w:rPr>
          <w:sz w:val="24"/>
        </w:rPr>
        <w:instrText xml:space="preserve"> </w:instrText>
      </w:r>
      <w:r>
        <w:rPr>
          <w:sz w:val="24"/>
        </w:rPr>
        <w:fldChar w:fldCharType="separate"/>
      </w:r>
      <w:r w:rsidR="0038501F">
        <w:rPr>
          <w:rFonts w:hint="eastAsia"/>
          <w:noProof/>
          <w:sz w:val="24"/>
        </w:rPr>
        <w:t>①</w:t>
      </w:r>
      <w:r>
        <w:rPr>
          <w:sz w:val="24"/>
        </w:rPr>
        <w:fldChar w:fldCharType="end"/>
      </w:r>
      <w:r w:rsidR="00CF1E6F">
        <w:rPr>
          <w:sz w:val="24"/>
        </w:rPr>
        <w:t>预测因子</w:t>
      </w:r>
    </w:p>
    <w:p w:rsidR="00D43A00" w:rsidRDefault="00D43A00" w:rsidP="00CF1E6F">
      <w:pPr>
        <w:spacing w:line="520" w:lineRule="exact"/>
        <w:ind w:firstLineChars="200" w:firstLine="480"/>
        <w:rPr>
          <w:sz w:val="24"/>
          <w:lang w:val="en-GB"/>
        </w:rPr>
      </w:pPr>
      <w:r w:rsidRPr="00D43A00">
        <w:rPr>
          <w:rFonts w:hint="eastAsia"/>
          <w:sz w:val="24"/>
          <w:lang w:val="en-GB"/>
        </w:rPr>
        <w:t>根据地下水导则中关于预测因子选择的要求，选取</w:t>
      </w:r>
      <w:r w:rsidRPr="00D43A00">
        <w:rPr>
          <w:rFonts w:hint="eastAsia"/>
          <w:sz w:val="24"/>
        </w:rPr>
        <w:t>非正常情况下</w:t>
      </w:r>
      <w:r>
        <w:rPr>
          <w:rFonts w:hint="eastAsia"/>
          <w:sz w:val="24"/>
        </w:rPr>
        <w:t>矸石</w:t>
      </w:r>
      <w:r>
        <w:rPr>
          <w:sz w:val="24"/>
        </w:rPr>
        <w:t>浸出液</w:t>
      </w:r>
      <w:r>
        <w:rPr>
          <w:rFonts w:hint="eastAsia"/>
          <w:sz w:val="24"/>
        </w:rPr>
        <w:t>中</w:t>
      </w:r>
      <w:r>
        <w:rPr>
          <w:sz w:val="24"/>
        </w:rPr>
        <w:t>锌</w:t>
      </w:r>
      <w:r>
        <w:rPr>
          <w:rFonts w:hint="eastAsia"/>
          <w:sz w:val="24"/>
        </w:rPr>
        <w:t>（</w:t>
      </w:r>
      <w:r>
        <w:rPr>
          <w:sz w:val="24"/>
        </w:rPr>
        <w:t>浓度为</w:t>
      </w:r>
      <w:r>
        <w:rPr>
          <w:sz w:val="24"/>
        </w:rPr>
        <w:t>0.38mg/L</w:t>
      </w:r>
      <w:r>
        <w:rPr>
          <w:rFonts w:hint="eastAsia"/>
          <w:sz w:val="24"/>
        </w:rPr>
        <w:t>）、</w:t>
      </w:r>
      <w:r w:rsidRPr="00D43A00">
        <w:rPr>
          <w:rFonts w:hint="eastAsia"/>
          <w:sz w:val="24"/>
        </w:rPr>
        <w:t>未处理的</w:t>
      </w:r>
      <w:r w:rsidRPr="00D43A00">
        <w:rPr>
          <w:rFonts w:hint="eastAsia"/>
          <w:sz w:val="24"/>
          <w:lang w:val="en-GB"/>
        </w:rPr>
        <w:t>生活污水中</w:t>
      </w:r>
      <w:r w:rsidRPr="00D43A00">
        <w:rPr>
          <w:rFonts w:hint="eastAsia"/>
          <w:sz w:val="24"/>
        </w:rPr>
        <w:t>氨氮（</w:t>
      </w:r>
      <w:r w:rsidR="0043193A">
        <w:rPr>
          <w:rFonts w:hint="eastAsia"/>
          <w:sz w:val="24"/>
        </w:rPr>
        <w:t>14.1</w:t>
      </w:r>
      <w:r w:rsidRPr="00D43A00">
        <w:rPr>
          <w:rFonts w:hint="eastAsia"/>
          <w:sz w:val="24"/>
        </w:rPr>
        <w:t>mg/L</w:t>
      </w:r>
      <w:r w:rsidRPr="00D43A00">
        <w:rPr>
          <w:rFonts w:hint="eastAsia"/>
          <w:sz w:val="24"/>
        </w:rPr>
        <w:t>）、未处理的矿井水中</w:t>
      </w:r>
      <w:r w:rsidR="00907D48">
        <w:rPr>
          <w:rFonts w:hint="eastAsia"/>
          <w:sz w:val="24"/>
        </w:rPr>
        <w:t>氟化物</w:t>
      </w:r>
      <w:r w:rsidRPr="00D43A00">
        <w:rPr>
          <w:rFonts w:hint="eastAsia"/>
          <w:sz w:val="24"/>
        </w:rPr>
        <w:t>（</w:t>
      </w:r>
      <w:r w:rsidR="00907D48">
        <w:rPr>
          <w:rFonts w:hint="eastAsia"/>
          <w:sz w:val="24"/>
        </w:rPr>
        <w:t>3.36</w:t>
      </w:r>
      <w:r w:rsidRPr="00D43A00">
        <w:rPr>
          <w:rFonts w:hint="eastAsia"/>
          <w:sz w:val="24"/>
        </w:rPr>
        <w:t>mg/L</w:t>
      </w:r>
      <w:r w:rsidRPr="00D43A00">
        <w:rPr>
          <w:rFonts w:hint="eastAsia"/>
          <w:sz w:val="24"/>
        </w:rPr>
        <w:t>）</w:t>
      </w:r>
      <w:r w:rsidRPr="00D43A00">
        <w:rPr>
          <w:rFonts w:hint="eastAsia"/>
          <w:sz w:val="24"/>
          <w:lang w:val="en-GB"/>
        </w:rPr>
        <w:t>做为本次评价的预测因子。</w:t>
      </w:r>
    </w:p>
    <w:p w:rsidR="00CF1E6F" w:rsidRDefault="00B95226" w:rsidP="00CF1E6F">
      <w:pPr>
        <w:spacing w:line="520" w:lineRule="exact"/>
        <w:ind w:firstLineChars="200" w:firstLine="480"/>
        <w:rPr>
          <w:sz w:val="24"/>
        </w:rPr>
      </w:pPr>
      <w:r>
        <w:rPr>
          <w:sz w:val="24"/>
        </w:rPr>
        <w:fldChar w:fldCharType="begin"/>
      </w:r>
      <w:r w:rsidR="0038501F">
        <w:rPr>
          <w:sz w:val="24"/>
        </w:rPr>
        <w:instrText xml:space="preserve"> </w:instrText>
      </w:r>
      <w:r w:rsidR="0038501F">
        <w:rPr>
          <w:rFonts w:hint="eastAsia"/>
          <w:sz w:val="24"/>
        </w:rPr>
        <w:instrText>= 2 \* GB3</w:instrText>
      </w:r>
      <w:r w:rsidR="0038501F">
        <w:rPr>
          <w:sz w:val="24"/>
        </w:rPr>
        <w:instrText xml:space="preserve"> </w:instrText>
      </w:r>
      <w:r>
        <w:rPr>
          <w:sz w:val="24"/>
        </w:rPr>
        <w:fldChar w:fldCharType="separate"/>
      </w:r>
      <w:r w:rsidR="0038501F">
        <w:rPr>
          <w:rFonts w:hint="eastAsia"/>
          <w:noProof/>
          <w:sz w:val="24"/>
        </w:rPr>
        <w:t>②</w:t>
      </w:r>
      <w:r>
        <w:rPr>
          <w:sz w:val="24"/>
        </w:rPr>
        <w:fldChar w:fldCharType="end"/>
      </w:r>
      <w:r w:rsidR="00CF1E6F">
        <w:rPr>
          <w:sz w:val="24"/>
        </w:rPr>
        <w:t>预测思路</w:t>
      </w:r>
    </w:p>
    <w:p w:rsidR="00CF1E6F" w:rsidRDefault="00CF1E6F" w:rsidP="00CF1E6F">
      <w:pPr>
        <w:spacing w:line="520" w:lineRule="exact"/>
        <w:ind w:firstLineChars="200" w:firstLine="480"/>
        <w:rPr>
          <w:sz w:val="24"/>
        </w:rPr>
      </w:pPr>
      <w:r>
        <w:rPr>
          <w:sz w:val="24"/>
        </w:rPr>
        <w:t>本项目采用地下水溶质运移解析法中的一维稳定流动一维水动力</w:t>
      </w:r>
      <w:r>
        <w:rPr>
          <w:sz w:val="24"/>
          <w:lang w:val="en-GB"/>
        </w:rPr>
        <w:t>弥散</w:t>
      </w:r>
      <w:r>
        <w:rPr>
          <w:sz w:val="24"/>
        </w:rPr>
        <w:t>模式进行预测及评价，预测模型如下：</w:t>
      </w:r>
    </w:p>
    <w:p w:rsidR="00CF1E6F" w:rsidRDefault="00CF1E6F" w:rsidP="009C5F33">
      <w:pPr>
        <w:adjustRightInd w:val="0"/>
        <w:snapToGrid w:val="0"/>
        <w:spacing w:afterLines="100" w:line="520" w:lineRule="exact"/>
        <w:ind w:firstLineChars="300" w:firstLine="840"/>
        <w:rPr>
          <w:vertAlign w:val="subscript"/>
          <w:lang w:val="en-GB"/>
        </w:rPr>
      </w:pPr>
      <w:r w:rsidRPr="00CA16C7">
        <w:rPr>
          <w:position w:val="-36"/>
          <w:lang w:val="en-GB"/>
        </w:rPr>
        <w:object w:dxaOrig="4528" w:dyaOrig="800">
          <v:shape id="_x0000_i1074" type="#_x0000_t75" style="width:225.75pt;height:39.75pt" o:ole="">
            <v:imagedata r:id="rId119" o:title=""/>
          </v:shape>
          <o:OLEObject Type="Embed" ProgID="Equations" ShapeID="_x0000_i1074" DrawAspect="Content" ObjectID="_1695746937" r:id="rId120"/>
        </w:object>
      </w:r>
    </w:p>
    <w:p w:rsidR="00CF1E6F" w:rsidRDefault="00CF1E6F" w:rsidP="00CF1E6F">
      <w:pPr>
        <w:spacing w:line="520" w:lineRule="exact"/>
        <w:ind w:firstLineChars="250" w:firstLine="600"/>
        <w:rPr>
          <w:sz w:val="24"/>
          <w:lang w:val="en-GB"/>
        </w:rPr>
      </w:pPr>
      <w:r>
        <w:rPr>
          <w:i/>
          <w:sz w:val="24"/>
          <w:lang w:val="en-GB"/>
        </w:rPr>
        <w:t>x</w:t>
      </w:r>
      <w:r>
        <w:rPr>
          <w:sz w:val="24"/>
          <w:lang w:val="en-GB"/>
        </w:rPr>
        <w:t>—</w:t>
      </w:r>
      <w:r>
        <w:rPr>
          <w:sz w:val="24"/>
          <w:lang w:val="en-GB"/>
        </w:rPr>
        <w:t>预测点至污染源强距离（</w:t>
      </w:r>
      <w:r>
        <w:rPr>
          <w:sz w:val="24"/>
          <w:lang w:val="en-GB"/>
        </w:rPr>
        <w:t>m</w:t>
      </w:r>
      <w:r>
        <w:rPr>
          <w:sz w:val="24"/>
          <w:lang w:val="en-GB"/>
        </w:rPr>
        <w:t>）；</w:t>
      </w:r>
    </w:p>
    <w:p w:rsidR="00CF1E6F" w:rsidRDefault="00CF1E6F" w:rsidP="00CF1E6F">
      <w:pPr>
        <w:spacing w:line="520" w:lineRule="exact"/>
        <w:ind w:firstLineChars="250" w:firstLine="600"/>
        <w:rPr>
          <w:sz w:val="24"/>
          <w:lang w:val="en-GB"/>
        </w:rPr>
      </w:pPr>
      <w:r>
        <w:rPr>
          <w:i/>
          <w:sz w:val="24"/>
          <w:lang w:val="en-GB"/>
        </w:rPr>
        <w:t>C</w:t>
      </w:r>
      <w:r>
        <w:rPr>
          <w:sz w:val="24"/>
          <w:lang w:val="en-GB"/>
        </w:rPr>
        <w:t>—t</w:t>
      </w:r>
      <w:r>
        <w:rPr>
          <w:sz w:val="24"/>
          <w:lang w:val="en-GB"/>
        </w:rPr>
        <w:t>时刻</w:t>
      </w:r>
      <w:r>
        <w:rPr>
          <w:sz w:val="24"/>
          <w:lang w:val="en-GB"/>
        </w:rPr>
        <w:t>x</w:t>
      </w:r>
      <w:r>
        <w:rPr>
          <w:sz w:val="24"/>
          <w:lang w:val="en-GB"/>
        </w:rPr>
        <w:t>处的地下水浓度（</w:t>
      </w:r>
      <w:r>
        <w:rPr>
          <w:sz w:val="24"/>
          <w:lang w:val="en-GB"/>
        </w:rPr>
        <w:t>mg/L</w:t>
      </w:r>
      <w:r>
        <w:rPr>
          <w:sz w:val="24"/>
          <w:lang w:val="en-GB"/>
        </w:rPr>
        <w:t>）；</w:t>
      </w:r>
    </w:p>
    <w:p w:rsidR="00CF1E6F" w:rsidRDefault="00CF1E6F" w:rsidP="00CF1E6F">
      <w:pPr>
        <w:spacing w:line="520" w:lineRule="exact"/>
        <w:ind w:firstLineChars="250" w:firstLine="600"/>
        <w:rPr>
          <w:sz w:val="24"/>
          <w:lang w:val="en-GB"/>
        </w:rPr>
      </w:pPr>
      <w:r>
        <w:rPr>
          <w:i/>
          <w:sz w:val="24"/>
          <w:lang w:val="en-GB"/>
        </w:rPr>
        <w:t>C</w:t>
      </w:r>
      <w:r>
        <w:rPr>
          <w:i/>
          <w:sz w:val="24"/>
          <w:vertAlign w:val="subscript"/>
          <w:lang w:val="en-GB"/>
        </w:rPr>
        <w:t>0</w:t>
      </w:r>
      <w:r>
        <w:rPr>
          <w:sz w:val="24"/>
          <w:lang w:val="en-GB"/>
        </w:rPr>
        <w:t>—</w:t>
      </w:r>
      <w:r>
        <w:rPr>
          <w:sz w:val="24"/>
          <w:lang w:val="en-GB"/>
        </w:rPr>
        <w:t>废水浓度（</w:t>
      </w:r>
      <w:r>
        <w:rPr>
          <w:sz w:val="24"/>
          <w:lang w:val="en-GB"/>
        </w:rPr>
        <w:t>mg/L</w:t>
      </w:r>
      <w:r>
        <w:rPr>
          <w:sz w:val="24"/>
          <w:lang w:val="en-GB"/>
        </w:rPr>
        <w:t>）；</w:t>
      </w:r>
    </w:p>
    <w:p w:rsidR="00CF1E6F" w:rsidRDefault="00CF1E6F" w:rsidP="00CF1E6F">
      <w:pPr>
        <w:spacing w:line="520" w:lineRule="exact"/>
        <w:ind w:firstLineChars="250" w:firstLine="600"/>
        <w:rPr>
          <w:sz w:val="24"/>
          <w:lang w:val="en-GB"/>
        </w:rPr>
      </w:pPr>
      <w:r>
        <w:rPr>
          <w:i/>
          <w:sz w:val="24"/>
          <w:lang w:val="en-GB"/>
        </w:rPr>
        <w:t>D</w:t>
      </w:r>
      <w:r>
        <w:rPr>
          <w:sz w:val="24"/>
          <w:lang w:val="en-GB"/>
        </w:rPr>
        <w:t>—</w:t>
      </w:r>
      <w:r>
        <w:rPr>
          <w:sz w:val="24"/>
          <w:lang w:val="en-GB"/>
        </w:rPr>
        <w:t>纵向弥散系数（</w:t>
      </w:r>
      <w:r>
        <w:rPr>
          <w:sz w:val="24"/>
          <w:lang w:val="en-GB"/>
        </w:rPr>
        <w:t>m</w:t>
      </w:r>
      <w:r>
        <w:rPr>
          <w:sz w:val="24"/>
          <w:vertAlign w:val="superscript"/>
          <w:lang w:val="en-GB"/>
        </w:rPr>
        <w:t>2</w:t>
      </w:r>
      <w:r>
        <w:rPr>
          <w:sz w:val="24"/>
          <w:lang w:val="en-GB"/>
        </w:rPr>
        <w:t>/d</w:t>
      </w:r>
      <w:r>
        <w:rPr>
          <w:sz w:val="24"/>
          <w:lang w:val="en-GB"/>
        </w:rPr>
        <w:t>）；</w:t>
      </w:r>
    </w:p>
    <w:p w:rsidR="00CF1E6F" w:rsidRDefault="00CF1E6F" w:rsidP="00CF1E6F">
      <w:pPr>
        <w:spacing w:line="520" w:lineRule="exact"/>
        <w:ind w:firstLineChars="250" w:firstLine="600"/>
        <w:rPr>
          <w:sz w:val="24"/>
          <w:lang w:val="en-GB"/>
        </w:rPr>
      </w:pPr>
      <w:r>
        <w:rPr>
          <w:i/>
          <w:sz w:val="24"/>
          <w:lang w:val="en-GB"/>
        </w:rPr>
        <w:t>t</w:t>
      </w:r>
      <w:r>
        <w:rPr>
          <w:sz w:val="24"/>
          <w:lang w:val="en-GB"/>
        </w:rPr>
        <w:t>—</w:t>
      </w:r>
      <w:r>
        <w:rPr>
          <w:sz w:val="24"/>
          <w:lang w:val="en-GB"/>
        </w:rPr>
        <w:t>预测时段（</w:t>
      </w:r>
      <w:r>
        <w:rPr>
          <w:sz w:val="24"/>
          <w:lang w:val="en-GB"/>
        </w:rPr>
        <w:t>d</w:t>
      </w:r>
      <w:r>
        <w:rPr>
          <w:sz w:val="24"/>
          <w:lang w:val="en-GB"/>
        </w:rPr>
        <w:t>）；</w:t>
      </w:r>
    </w:p>
    <w:p w:rsidR="00CF1E6F" w:rsidRDefault="00CF1E6F" w:rsidP="00CF1E6F">
      <w:pPr>
        <w:spacing w:line="520" w:lineRule="exact"/>
        <w:ind w:firstLineChars="250" w:firstLine="600"/>
        <w:rPr>
          <w:sz w:val="24"/>
          <w:lang w:val="en-GB"/>
        </w:rPr>
      </w:pPr>
      <w:r>
        <w:rPr>
          <w:i/>
          <w:sz w:val="24"/>
          <w:lang w:val="en-GB"/>
        </w:rPr>
        <w:t>u</w:t>
      </w:r>
      <w:r>
        <w:rPr>
          <w:sz w:val="24"/>
          <w:lang w:val="en-GB"/>
        </w:rPr>
        <w:t>—</w:t>
      </w:r>
      <w:r>
        <w:rPr>
          <w:sz w:val="24"/>
          <w:lang w:val="en-GB"/>
        </w:rPr>
        <w:t>地下水流速（</w:t>
      </w:r>
      <w:r>
        <w:rPr>
          <w:sz w:val="24"/>
          <w:lang w:val="en-GB"/>
        </w:rPr>
        <w:t>m/d</w:t>
      </w:r>
      <w:r>
        <w:rPr>
          <w:sz w:val="24"/>
          <w:lang w:val="en-GB"/>
        </w:rPr>
        <w:t>）；</w:t>
      </w:r>
    </w:p>
    <w:p w:rsidR="00CF1E6F" w:rsidRDefault="00CF1E6F" w:rsidP="00CF1E6F">
      <w:pPr>
        <w:spacing w:line="520" w:lineRule="exact"/>
        <w:ind w:firstLineChars="250" w:firstLine="600"/>
        <w:rPr>
          <w:sz w:val="24"/>
          <w:lang w:val="en-GB"/>
        </w:rPr>
      </w:pPr>
      <w:r>
        <w:rPr>
          <w:sz w:val="24"/>
          <w:lang w:val="en-GB"/>
        </w:rPr>
        <w:t>erfc</w:t>
      </w:r>
      <w:r>
        <w:rPr>
          <w:sz w:val="24"/>
          <w:lang w:val="en-GB"/>
        </w:rPr>
        <w:t>（）</w:t>
      </w:r>
      <w:r>
        <w:rPr>
          <w:sz w:val="24"/>
          <w:lang w:val="en-GB"/>
        </w:rPr>
        <w:t>—</w:t>
      </w:r>
      <w:r>
        <w:rPr>
          <w:sz w:val="24"/>
          <w:lang w:val="en-GB"/>
        </w:rPr>
        <w:t>余误差函数。</w:t>
      </w:r>
    </w:p>
    <w:p w:rsidR="00CF1E6F" w:rsidRDefault="0038501F" w:rsidP="00CF1E6F">
      <w:pPr>
        <w:spacing w:line="520" w:lineRule="exact"/>
        <w:ind w:firstLineChars="250" w:firstLine="600"/>
        <w:rPr>
          <w:sz w:val="24"/>
        </w:rPr>
      </w:pPr>
      <w:r>
        <w:rPr>
          <w:rFonts w:hint="eastAsia"/>
          <w:sz w:val="24"/>
        </w:rPr>
        <w:t>（</w:t>
      </w:r>
      <w:r>
        <w:rPr>
          <w:rFonts w:hint="eastAsia"/>
          <w:sz w:val="24"/>
        </w:rPr>
        <w:t>2</w:t>
      </w:r>
      <w:r>
        <w:rPr>
          <w:rFonts w:hint="eastAsia"/>
          <w:sz w:val="24"/>
        </w:rPr>
        <w:t>）</w:t>
      </w:r>
      <w:r w:rsidR="00CF1E6F">
        <w:rPr>
          <w:sz w:val="24"/>
        </w:rPr>
        <w:t>相关参数确定</w:t>
      </w:r>
    </w:p>
    <w:p w:rsidR="00CF1E6F" w:rsidRDefault="00B95226" w:rsidP="00CF1E6F">
      <w:pPr>
        <w:spacing w:line="520" w:lineRule="exact"/>
        <w:ind w:firstLineChars="200" w:firstLine="480"/>
        <w:rPr>
          <w:kern w:val="0"/>
          <w:sz w:val="24"/>
        </w:rPr>
      </w:pPr>
      <w:r>
        <w:rPr>
          <w:sz w:val="24"/>
          <w:lang w:val="en-GB"/>
        </w:rPr>
        <w:fldChar w:fldCharType="begin"/>
      </w:r>
      <w:r w:rsidR="0038501F">
        <w:rPr>
          <w:sz w:val="24"/>
          <w:lang w:val="en-GB"/>
        </w:rPr>
        <w:instrText xml:space="preserve"> </w:instrText>
      </w:r>
      <w:r w:rsidR="0038501F">
        <w:rPr>
          <w:rFonts w:hint="eastAsia"/>
          <w:sz w:val="24"/>
          <w:lang w:val="en-GB"/>
        </w:rPr>
        <w:instrText>= 1 \* GB3</w:instrText>
      </w:r>
      <w:r w:rsidR="0038501F">
        <w:rPr>
          <w:sz w:val="24"/>
          <w:lang w:val="en-GB"/>
        </w:rPr>
        <w:instrText xml:space="preserve"> </w:instrText>
      </w:r>
      <w:r>
        <w:rPr>
          <w:sz w:val="24"/>
          <w:lang w:val="en-GB"/>
        </w:rPr>
        <w:fldChar w:fldCharType="separate"/>
      </w:r>
      <w:r w:rsidR="0038501F">
        <w:rPr>
          <w:rFonts w:hint="eastAsia"/>
          <w:noProof/>
          <w:sz w:val="24"/>
          <w:lang w:val="en-GB"/>
        </w:rPr>
        <w:t>①</w:t>
      </w:r>
      <w:r>
        <w:rPr>
          <w:sz w:val="24"/>
          <w:lang w:val="en-GB"/>
        </w:rPr>
        <w:fldChar w:fldCharType="end"/>
      </w:r>
      <w:r w:rsidR="00CF1E6F">
        <w:rPr>
          <w:sz w:val="24"/>
          <w:lang w:val="en-GB"/>
        </w:rPr>
        <w:t>渗透系数：根据前述，</w:t>
      </w:r>
      <w:r w:rsidR="00CF1E6F">
        <w:rPr>
          <w:kern w:val="0"/>
          <w:sz w:val="24"/>
        </w:rPr>
        <w:t>本项目周边及下游区域含水层为岩溶裂隙含水层，渗透系数</w:t>
      </w:r>
      <w:r w:rsidR="00CF1E6F">
        <w:rPr>
          <w:kern w:val="0"/>
          <w:sz w:val="24"/>
        </w:rPr>
        <w:t>k</w:t>
      </w:r>
      <w:r w:rsidR="00CF1E6F">
        <w:rPr>
          <w:kern w:val="0"/>
          <w:sz w:val="24"/>
        </w:rPr>
        <w:t>取</w:t>
      </w:r>
      <w:r w:rsidR="00CF1E6F">
        <w:rPr>
          <w:kern w:val="0"/>
          <w:sz w:val="24"/>
        </w:rPr>
        <w:t>0.25m/d</w:t>
      </w:r>
      <w:r w:rsidR="00CF1E6F">
        <w:rPr>
          <w:kern w:val="0"/>
          <w:sz w:val="24"/>
        </w:rPr>
        <w:t>；</w:t>
      </w:r>
    </w:p>
    <w:p w:rsidR="00CF1E6F" w:rsidRDefault="00B95226" w:rsidP="00CF1E6F">
      <w:pPr>
        <w:spacing w:line="520" w:lineRule="exact"/>
        <w:ind w:firstLineChars="200" w:firstLine="480"/>
        <w:rPr>
          <w:kern w:val="0"/>
          <w:sz w:val="24"/>
        </w:rPr>
      </w:pPr>
      <w:r>
        <w:rPr>
          <w:sz w:val="24"/>
        </w:rPr>
        <w:fldChar w:fldCharType="begin"/>
      </w:r>
      <w:r w:rsidR="0038501F">
        <w:rPr>
          <w:sz w:val="24"/>
        </w:rPr>
        <w:instrText xml:space="preserve"> </w:instrText>
      </w:r>
      <w:r w:rsidR="0038501F">
        <w:rPr>
          <w:rFonts w:hint="eastAsia"/>
          <w:sz w:val="24"/>
        </w:rPr>
        <w:instrText>= 2 \* GB3</w:instrText>
      </w:r>
      <w:r w:rsidR="0038501F">
        <w:rPr>
          <w:sz w:val="24"/>
        </w:rPr>
        <w:instrText xml:space="preserve"> </w:instrText>
      </w:r>
      <w:r>
        <w:rPr>
          <w:sz w:val="24"/>
        </w:rPr>
        <w:fldChar w:fldCharType="separate"/>
      </w:r>
      <w:r w:rsidR="0038501F">
        <w:rPr>
          <w:rFonts w:hint="eastAsia"/>
          <w:noProof/>
          <w:sz w:val="24"/>
        </w:rPr>
        <w:t>②</w:t>
      </w:r>
      <w:r>
        <w:rPr>
          <w:sz w:val="24"/>
        </w:rPr>
        <w:fldChar w:fldCharType="end"/>
      </w:r>
      <w:r w:rsidR="00CF1E6F">
        <w:rPr>
          <w:sz w:val="24"/>
        </w:rPr>
        <w:t>水力坡度：根据水文地质勘察报告，本地区地下水水力坡度为</w:t>
      </w:r>
      <w:r w:rsidR="00CF1E6F">
        <w:rPr>
          <w:sz w:val="24"/>
        </w:rPr>
        <w:t>0.045</w:t>
      </w:r>
      <w:r w:rsidR="00CF1E6F">
        <w:rPr>
          <w:kern w:val="0"/>
          <w:sz w:val="24"/>
        </w:rPr>
        <w:t>。</w:t>
      </w:r>
    </w:p>
    <w:p w:rsidR="00CF1E6F" w:rsidRDefault="00B95226" w:rsidP="00CF1E6F">
      <w:pPr>
        <w:spacing w:line="520" w:lineRule="exact"/>
        <w:ind w:firstLineChars="200" w:firstLine="480"/>
        <w:rPr>
          <w:sz w:val="24"/>
        </w:rPr>
      </w:pPr>
      <w:r>
        <w:rPr>
          <w:sz w:val="24"/>
        </w:rPr>
        <w:fldChar w:fldCharType="begin"/>
      </w:r>
      <w:r w:rsidR="0038501F">
        <w:rPr>
          <w:sz w:val="24"/>
        </w:rPr>
        <w:instrText xml:space="preserve"> </w:instrText>
      </w:r>
      <w:r w:rsidR="0038501F">
        <w:rPr>
          <w:rFonts w:hint="eastAsia"/>
          <w:sz w:val="24"/>
        </w:rPr>
        <w:instrText>= 3 \* GB3</w:instrText>
      </w:r>
      <w:r w:rsidR="0038501F">
        <w:rPr>
          <w:sz w:val="24"/>
        </w:rPr>
        <w:instrText xml:space="preserve"> </w:instrText>
      </w:r>
      <w:r>
        <w:rPr>
          <w:sz w:val="24"/>
        </w:rPr>
        <w:fldChar w:fldCharType="separate"/>
      </w:r>
      <w:r w:rsidR="0038501F">
        <w:rPr>
          <w:rFonts w:hint="eastAsia"/>
          <w:noProof/>
          <w:sz w:val="24"/>
        </w:rPr>
        <w:t>③</w:t>
      </w:r>
      <w:r>
        <w:rPr>
          <w:sz w:val="24"/>
        </w:rPr>
        <w:fldChar w:fldCharType="end"/>
      </w:r>
      <w:r w:rsidR="00CF1E6F">
        <w:rPr>
          <w:sz w:val="24"/>
        </w:rPr>
        <w:t>有效孔隙度：根据前述，取</w:t>
      </w:r>
      <w:r w:rsidR="00CF1E6F">
        <w:rPr>
          <w:sz w:val="24"/>
        </w:rPr>
        <w:t>0.5</w:t>
      </w:r>
      <w:r w:rsidR="00CF1E6F">
        <w:rPr>
          <w:sz w:val="24"/>
        </w:rPr>
        <w:t>；</w:t>
      </w:r>
    </w:p>
    <w:p w:rsidR="00CF1E6F" w:rsidRDefault="00B95226" w:rsidP="00CF1E6F">
      <w:pPr>
        <w:spacing w:line="520" w:lineRule="exact"/>
        <w:ind w:firstLineChars="200" w:firstLine="480"/>
        <w:rPr>
          <w:sz w:val="24"/>
        </w:rPr>
      </w:pPr>
      <w:r>
        <w:rPr>
          <w:sz w:val="24"/>
        </w:rPr>
        <w:fldChar w:fldCharType="begin"/>
      </w:r>
      <w:r w:rsidR="0038501F">
        <w:rPr>
          <w:sz w:val="24"/>
        </w:rPr>
        <w:instrText xml:space="preserve"> </w:instrText>
      </w:r>
      <w:r w:rsidR="0038501F">
        <w:rPr>
          <w:rFonts w:hint="eastAsia"/>
          <w:sz w:val="24"/>
        </w:rPr>
        <w:instrText>= 4 \* GB3</w:instrText>
      </w:r>
      <w:r w:rsidR="0038501F">
        <w:rPr>
          <w:sz w:val="24"/>
        </w:rPr>
        <w:instrText xml:space="preserve"> </w:instrText>
      </w:r>
      <w:r>
        <w:rPr>
          <w:sz w:val="24"/>
        </w:rPr>
        <w:fldChar w:fldCharType="separate"/>
      </w:r>
      <w:r w:rsidR="0038501F">
        <w:rPr>
          <w:rFonts w:hint="eastAsia"/>
          <w:noProof/>
          <w:sz w:val="24"/>
        </w:rPr>
        <w:t>④</w:t>
      </w:r>
      <w:r>
        <w:rPr>
          <w:sz w:val="24"/>
        </w:rPr>
        <w:fldChar w:fldCharType="end"/>
      </w:r>
      <w:r w:rsidR="00CF1E6F">
        <w:rPr>
          <w:sz w:val="24"/>
        </w:rPr>
        <w:t>弥散度：纵向弥散度</w:t>
      </w:r>
      <w:r w:rsidR="00CF1E6F">
        <w:rPr>
          <w:sz w:val="24"/>
        </w:rPr>
        <w:t xml:space="preserve">αL </w:t>
      </w:r>
      <w:r w:rsidR="00CF1E6F">
        <w:rPr>
          <w:sz w:val="24"/>
        </w:rPr>
        <w:t>可以由图</w:t>
      </w:r>
      <w:r w:rsidR="00CF1E6F">
        <w:rPr>
          <w:sz w:val="24"/>
        </w:rPr>
        <w:t>6.3-1</w:t>
      </w:r>
      <w:r w:rsidR="00CF1E6F">
        <w:rPr>
          <w:sz w:val="24"/>
        </w:rPr>
        <w:t>确定。图</w:t>
      </w:r>
      <w:r w:rsidR="00CF1E6F">
        <w:rPr>
          <w:sz w:val="24"/>
        </w:rPr>
        <w:t>6.3-1</w:t>
      </w:r>
      <w:r w:rsidR="00CF1E6F">
        <w:rPr>
          <w:sz w:val="24"/>
        </w:rPr>
        <w:t>为根据世界范围内所</w:t>
      </w:r>
      <w:r w:rsidR="00CF1E6F">
        <w:rPr>
          <w:sz w:val="24"/>
        </w:rPr>
        <w:lastRenderedPageBreak/>
        <w:t>收集到的百余个水质模型中所计算出的孔隙介质的纵向弥散度</w:t>
      </w:r>
      <w:r w:rsidR="00CF1E6F">
        <w:rPr>
          <w:sz w:val="24"/>
        </w:rPr>
        <w:t>αL</w:t>
      </w:r>
      <w:r w:rsidR="00CF1E6F">
        <w:rPr>
          <w:sz w:val="24"/>
        </w:rPr>
        <w:t>及有关资料与参数作出的</w:t>
      </w:r>
      <w:r w:rsidR="00CF1E6F">
        <w:rPr>
          <w:sz w:val="24"/>
        </w:rPr>
        <w:t>lgαL—lgLs</w:t>
      </w:r>
      <w:r w:rsidR="00CF1E6F">
        <w:rPr>
          <w:sz w:val="24"/>
        </w:rPr>
        <w:t>。基准尺度</w:t>
      </w:r>
      <w:r w:rsidR="00CF1E6F">
        <w:rPr>
          <w:sz w:val="24"/>
        </w:rPr>
        <w:t>Ls</w:t>
      </w:r>
      <w:r w:rsidR="00CF1E6F">
        <w:rPr>
          <w:sz w:val="24"/>
        </w:rPr>
        <w:t>是指研究区大小的度量，一般用溶质运移到观测孔的最大距离表示。本项目从保守角度考虑</w:t>
      </w:r>
      <w:r w:rsidR="00CF1E6F">
        <w:rPr>
          <w:sz w:val="24"/>
        </w:rPr>
        <w:t>Ls</w:t>
      </w:r>
      <w:r w:rsidR="00CF1E6F">
        <w:rPr>
          <w:sz w:val="24"/>
        </w:rPr>
        <w:t>选</w:t>
      </w:r>
      <w:r w:rsidR="00CF1E6F">
        <w:rPr>
          <w:sz w:val="24"/>
        </w:rPr>
        <w:t>1000m</w:t>
      </w:r>
      <w:r w:rsidR="00CF1E6F">
        <w:rPr>
          <w:sz w:val="24"/>
        </w:rPr>
        <w:t>，则</w:t>
      </w:r>
      <w:r w:rsidR="00CF1E6F">
        <w:rPr>
          <w:sz w:val="24"/>
        </w:rPr>
        <w:t>α</w:t>
      </w:r>
      <w:r w:rsidR="00CF1E6F">
        <w:rPr>
          <w:sz w:val="24"/>
          <w:vertAlign w:val="subscript"/>
        </w:rPr>
        <w:t>L</w:t>
      </w:r>
      <w:r w:rsidR="00CF1E6F">
        <w:rPr>
          <w:sz w:val="24"/>
        </w:rPr>
        <w:t>=10</w:t>
      </w:r>
      <w:r w:rsidR="00CF1E6F">
        <w:rPr>
          <w:sz w:val="24"/>
        </w:rPr>
        <w:t>。</w:t>
      </w:r>
    </w:p>
    <w:p w:rsidR="00CF1E6F" w:rsidRDefault="00CF1E6F" w:rsidP="00CF1E6F">
      <w:pPr>
        <w:jc w:val="center"/>
        <w:rPr>
          <w:sz w:val="24"/>
        </w:rPr>
      </w:pPr>
      <w:r>
        <w:rPr>
          <w:noProof/>
          <w:sz w:val="24"/>
        </w:rPr>
        <w:drawing>
          <wp:inline distT="0" distB="0" distL="114300" distR="114300">
            <wp:extent cx="3267710" cy="2504440"/>
            <wp:effectExtent l="0" t="0" r="8890" b="10160"/>
            <wp:docPr id="16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3"/>
                    <pic:cNvPicPr>
                      <a:picLocks noChangeAspect="1"/>
                    </pic:cNvPicPr>
                  </pic:nvPicPr>
                  <pic:blipFill>
                    <a:blip r:embed="rId121" cstate="print"/>
                    <a:stretch>
                      <a:fillRect/>
                    </a:stretch>
                  </pic:blipFill>
                  <pic:spPr>
                    <a:xfrm>
                      <a:off x="0" y="0"/>
                      <a:ext cx="3267710" cy="2504440"/>
                    </a:xfrm>
                    <a:prstGeom prst="rect">
                      <a:avLst/>
                    </a:prstGeom>
                    <a:noFill/>
                    <a:ln>
                      <a:noFill/>
                    </a:ln>
                  </pic:spPr>
                </pic:pic>
              </a:graphicData>
            </a:graphic>
          </wp:inline>
        </w:drawing>
      </w:r>
    </w:p>
    <w:p w:rsidR="00CF1E6F" w:rsidRDefault="00CF1E6F" w:rsidP="00CF1E6F">
      <w:pPr>
        <w:spacing w:line="520" w:lineRule="exact"/>
        <w:jc w:val="center"/>
        <w:rPr>
          <w:rFonts w:eastAsia="黑体"/>
          <w:sz w:val="24"/>
        </w:rPr>
      </w:pPr>
      <w:r>
        <w:rPr>
          <w:rFonts w:eastAsia="黑体"/>
          <w:sz w:val="24"/>
        </w:rPr>
        <w:t>图</w:t>
      </w:r>
      <w:r>
        <w:rPr>
          <w:rFonts w:eastAsia="黑体"/>
          <w:sz w:val="24"/>
        </w:rPr>
        <w:t xml:space="preserve">6.3-1   </w:t>
      </w:r>
      <w:r>
        <w:rPr>
          <w:rFonts w:eastAsia="黑体"/>
          <w:sz w:val="24"/>
        </w:rPr>
        <w:t>孔隙介质数值模型的</w:t>
      </w:r>
      <w:r>
        <w:rPr>
          <w:rFonts w:eastAsia="黑体"/>
          <w:sz w:val="24"/>
        </w:rPr>
        <w:t xml:space="preserve">lgαL—lgLs </w:t>
      </w:r>
      <w:r>
        <w:rPr>
          <w:rFonts w:eastAsia="黑体"/>
          <w:sz w:val="24"/>
        </w:rPr>
        <w:t>关系</w:t>
      </w:r>
    </w:p>
    <w:p w:rsidR="00CF1E6F" w:rsidRDefault="00B95226" w:rsidP="00CF1E6F">
      <w:pPr>
        <w:spacing w:line="520" w:lineRule="exact"/>
        <w:ind w:firstLineChars="200" w:firstLine="480"/>
        <w:rPr>
          <w:bCs/>
          <w:sz w:val="24"/>
        </w:rPr>
      </w:pPr>
      <w:r>
        <w:rPr>
          <w:bCs/>
          <w:sz w:val="24"/>
        </w:rPr>
        <w:fldChar w:fldCharType="begin"/>
      </w:r>
      <w:r w:rsidR="0038501F">
        <w:rPr>
          <w:bCs/>
          <w:sz w:val="24"/>
        </w:rPr>
        <w:instrText xml:space="preserve"> </w:instrText>
      </w:r>
      <w:r w:rsidR="0038501F">
        <w:rPr>
          <w:rFonts w:hint="eastAsia"/>
          <w:bCs/>
          <w:sz w:val="24"/>
        </w:rPr>
        <w:instrText>= 5 \* GB3</w:instrText>
      </w:r>
      <w:r w:rsidR="0038501F">
        <w:rPr>
          <w:bCs/>
          <w:sz w:val="24"/>
        </w:rPr>
        <w:instrText xml:space="preserve"> </w:instrText>
      </w:r>
      <w:r>
        <w:rPr>
          <w:bCs/>
          <w:sz w:val="24"/>
        </w:rPr>
        <w:fldChar w:fldCharType="separate"/>
      </w:r>
      <w:r w:rsidR="0038501F">
        <w:rPr>
          <w:rFonts w:hint="eastAsia"/>
          <w:bCs/>
          <w:noProof/>
          <w:sz w:val="24"/>
        </w:rPr>
        <w:t>⑤</w:t>
      </w:r>
      <w:r>
        <w:rPr>
          <w:bCs/>
          <w:sz w:val="24"/>
        </w:rPr>
        <w:fldChar w:fldCharType="end"/>
      </w:r>
      <w:r w:rsidR="00CF1E6F">
        <w:rPr>
          <w:bCs/>
          <w:sz w:val="24"/>
        </w:rPr>
        <w:t>水流速度：</w:t>
      </w:r>
      <w:r w:rsidR="00CF1E6F">
        <w:rPr>
          <w:bCs/>
          <w:sz w:val="24"/>
        </w:rPr>
        <w:t>u= K×I/</w:t>
      </w:r>
      <w:r w:rsidR="00CF1E6F">
        <w:rPr>
          <w:kern w:val="0"/>
        </w:rPr>
        <w:t xml:space="preserve"> n</w:t>
      </w:r>
      <w:r w:rsidR="00CF1E6F">
        <w:rPr>
          <w:kern w:val="0"/>
          <w:vertAlign w:val="subscript"/>
        </w:rPr>
        <w:t>e</w:t>
      </w:r>
      <w:r w:rsidR="00CF1E6F">
        <w:rPr>
          <w:bCs/>
          <w:sz w:val="24"/>
        </w:rPr>
        <w:t xml:space="preserve">=0.25×0.045/0.5=0.0225m/d </w:t>
      </w:r>
    </w:p>
    <w:p w:rsidR="00CF1E6F" w:rsidRDefault="00B95226" w:rsidP="00CF1E6F">
      <w:pPr>
        <w:spacing w:line="520" w:lineRule="exact"/>
        <w:ind w:firstLineChars="200" w:firstLine="480"/>
        <w:rPr>
          <w:bCs/>
          <w:sz w:val="24"/>
        </w:rPr>
      </w:pPr>
      <w:r>
        <w:rPr>
          <w:bCs/>
          <w:sz w:val="24"/>
        </w:rPr>
        <w:fldChar w:fldCharType="begin"/>
      </w:r>
      <w:r w:rsidR="0038501F">
        <w:rPr>
          <w:bCs/>
          <w:sz w:val="24"/>
        </w:rPr>
        <w:instrText xml:space="preserve"> </w:instrText>
      </w:r>
      <w:r w:rsidR="0038501F">
        <w:rPr>
          <w:rFonts w:hint="eastAsia"/>
          <w:bCs/>
          <w:sz w:val="24"/>
        </w:rPr>
        <w:instrText>= 6 \* GB3</w:instrText>
      </w:r>
      <w:r w:rsidR="0038501F">
        <w:rPr>
          <w:bCs/>
          <w:sz w:val="24"/>
        </w:rPr>
        <w:instrText xml:space="preserve"> </w:instrText>
      </w:r>
      <w:r>
        <w:rPr>
          <w:bCs/>
          <w:sz w:val="24"/>
        </w:rPr>
        <w:fldChar w:fldCharType="separate"/>
      </w:r>
      <w:r w:rsidR="0038501F">
        <w:rPr>
          <w:rFonts w:hint="eastAsia"/>
          <w:bCs/>
          <w:noProof/>
          <w:sz w:val="24"/>
        </w:rPr>
        <w:t>⑥</w:t>
      </w:r>
      <w:r>
        <w:rPr>
          <w:bCs/>
          <w:sz w:val="24"/>
        </w:rPr>
        <w:fldChar w:fldCharType="end"/>
      </w:r>
      <w:r w:rsidR="00CF1E6F">
        <w:rPr>
          <w:bCs/>
          <w:sz w:val="24"/>
        </w:rPr>
        <w:t>纵向弥散系数</w:t>
      </w:r>
      <w:r w:rsidR="00CF1E6F">
        <w:rPr>
          <w:bCs/>
          <w:sz w:val="24"/>
        </w:rPr>
        <w:t>D</w:t>
      </w:r>
      <w:r w:rsidR="00CF1E6F">
        <w:rPr>
          <w:bCs/>
          <w:sz w:val="24"/>
          <w:vertAlign w:val="subscript"/>
        </w:rPr>
        <w:t>L</w:t>
      </w:r>
      <w:r w:rsidR="00CF1E6F">
        <w:rPr>
          <w:bCs/>
          <w:sz w:val="24"/>
        </w:rPr>
        <w:t>=αL×u=10×0.0225=0.225m</w:t>
      </w:r>
      <w:r w:rsidR="00CF1E6F">
        <w:rPr>
          <w:bCs/>
          <w:sz w:val="24"/>
          <w:vertAlign w:val="superscript"/>
        </w:rPr>
        <w:t>2</w:t>
      </w:r>
      <w:r w:rsidR="00CF1E6F">
        <w:rPr>
          <w:bCs/>
          <w:sz w:val="24"/>
        </w:rPr>
        <w:t>/d</w:t>
      </w:r>
    </w:p>
    <w:p w:rsidR="00CF1E6F" w:rsidRDefault="00540923" w:rsidP="00CF1E6F">
      <w:pPr>
        <w:spacing w:line="520" w:lineRule="exact"/>
        <w:ind w:firstLineChars="200" w:firstLine="480"/>
        <w:rPr>
          <w:bCs/>
          <w:sz w:val="24"/>
        </w:rPr>
      </w:pPr>
      <w:r>
        <w:rPr>
          <w:rFonts w:hint="eastAsia"/>
          <w:bCs/>
          <w:sz w:val="24"/>
        </w:rPr>
        <w:t>（</w:t>
      </w:r>
      <w:r>
        <w:rPr>
          <w:rFonts w:hint="eastAsia"/>
          <w:bCs/>
          <w:sz w:val="24"/>
        </w:rPr>
        <w:t>3</w:t>
      </w:r>
      <w:r>
        <w:rPr>
          <w:rFonts w:hint="eastAsia"/>
          <w:bCs/>
          <w:sz w:val="24"/>
        </w:rPr>
        <w:t>）</w:t>
      </w:r>
      <w:r w:rsidR="00802A62">
        <w:rPr>
          <w:rFonts w:hint="eastAsia"/>
          <w:bCs/>
          <w:sz w:val="24"/>
        </w:rPr>
        <w:t>储煤库</w:t>
      </w:r>
      <w:r>
        <w:rPr>
          <w:rFonts w:hint="eastAsia"/>
          <w:bCs/>
          <w:sz w:val="24"/>
        </w:rPr>
        <w:t>（含矸石周转场）</w:t>
      </w:r>
      <w:r w:rsidR="00CF1E6F">
        <w:rPr>
          <w:bCs/>
          <w:sz w:val="24"/>
        </w:rPr>
        <w:t>地下水环境影响预测与评价</w:t>
      </w:r>
    </w:p>
    <w:p w:rsidR="00CF1E6F" w:rsidRDefault="00CF1E6F" w:rsidP="00CF1E6F">
      <w:pPr>
        <w:spacing w:line="520" w:lineRule="exact"/>
        <w:ind w:firstLineChars="200" w:firstLine="480"/>
        <w:rPr>
          <w:sz w:val="24"/>
        </w:rPr>
      </w:pPr>
      <w:r>
        <w:rPr>
          <w:sz w:val="24"/>
        </w:rPr>
        <w:t>根据以上参数，采用解析法预测矸石淋溶液对下游的影响，不同时间点锌浓度沿地下水迁移浓度预测结果见表</w:t>
      </w:r>
      <w:r>
        <w:rPr>
          <w:sz w:val="24"/>
        </w:rPr>
        <w:t>6.3-</w:t>
      </w:r>
      <w:r w:rsidR="0028077D">
        <w:rPr>
          <w:rFonts w:hint="eastAsia"/>
          <w:sz w:val="24"/>
        </w:rPr>
        <w:t>3</w:t>
      </w:r>
      <w:r>
        <w:rPr>
          <w:sz w:val="24"/>
        </w:rPr>
        <w:t>及图</w:t>
      </w:r>
      <w:r>
        <w:rPr>
          <w:sz w:val="24"/>
        </w:rPr>
        <w:t>6.3-2</w:t>
      </w:r>
      <w:r>
        <w:rPr>
          <w:sz w:val="24"/>
        </w:rPr>
        <w:t>～图</w:t>
      </w:r>
      <w:r>
        <w:rPr>
          <w:sz w:val="24"/>
        </w:rPr>
        <w:t>6.3-4</w:t>
      </w:r>
      <w:r>
        <w:rPr>
          <w:sz w:val="24"/>
        </w:rPr>
        <w:t>。</w:t>
      </w:r>
    </w:p>
    <w:p w:rsidR="00CF1E6F" w:rsidRDefault="00CF1E6F" w:rsidP="00CF1E6F">
      <w:pPr>
        <w:spacing w:line="520" w:lineRule="exact"/>
        <w:ind w:firstLineChars="200" w:firstLine="480"/>
        <w:rPr>
          <w:sz w:val="24"/>
        </w:rPr>
      </w:pPr>
      <w:r>
        <w:rPr>
          <w:sz w:val="24"/>
        </w:rPr>
        <w:t>由预测结果可知：</w:t>
      </w:r>
      <w:r>
        <w:rPr>
          <w:sz w:val="24"/>
        </w:rPr>
        <w:t>100</w:t>
      </w:r>
      <w:r>
        <w:rPr>
          <w:sz w:val="24"/>
        </w:rPr>
        <w:t>天后，特征因子锌下游无超标情况，最大影响距离为</w:t>
      </w:r>
      <w:r>
        <w:rPr>
          <w:sz w:val="24"/>
        </w:rPr>
        <w:t>7m</w:t>
      </w:r>
      <w:r>
        <w:rPr>
          <w:sz w:val="24"/>
        </w:rPr>
        <w:t>，最大浓度贡献值为</w:t>
      </w:r>
      <w:r>
        <w:rPr>
          <w:sz w:val="24"/>
        </w:rPr>
        <w:t>0.027365mg/L</w:t>
      </w:r>
      <w:r>
        <w:rPr>
          <w:sz w:val="24"/>
        </w:rPr>
        <w:t>；</w:t>
      </w:r>
      <w:r>
        <w:rPr>
          <w:sz w:val="24"/>
        </w:rPr>
        <w:t>1000</w:t>
      </w:r>
      <w:r>
        <w:rPr>
          <w:sz w:val="24"/>
        </w:rPr>
        <w:t>天后，特征因子锌下游无超标情况，最大影响距离为</w:t>
      </w:r>
      <w:r>
        <w:rPr>
          <w:sz w:val="24"/>
        </w:rPr>
        <w:t>35m</w:t>
      </w:r>
      <w:r>
        <w:rPr>
          <w:sz w:val="24"/>
        </w:rPr>
        <w:t>，最大浓度贡献值为</w:t>
      </w:r>
      <w:r>
        <w:rPr>
          <w:color w:val="000000"/>
          <w:sz w:val="24"/>
        </w:rPr>
        <w:t>0.004234</w:t>
      </w:r>
      <w:r>
        <w:rPr>
          <w:sz w:val="24"/>
        </w:rPr>
        <w:t>mg/L</w:t>
      </w:r>
      <w:r>
        <w:rPr>
          <w:sz w:val="24"/>
        </w:rPr>
        <w:t>；</w:t>
      </w:r>
      <w:r>
        <w:rPr>
          <w:sz w:val="24"/>
        </w:rPr>
        <w:t>5000</w:t>
      </w:r>
      <w:r>
        <w:rPr>
          <w:sz w:val="24"/>
        </w:rPr>
        <w:t>天后，特征因子锌下游无超标情况，最大影响距离为</w:t>
      </w:r>
      <w:r>
        <w:rPr>
          <w:sz w:val="24"/>
        </w:rPr>
        <w:t>129m</w:t>
      </w:r>
      <w:r>
        <w:rPr>
          <w:sz w:val="24"/>
        </w:rPr>
        <w:t>，最大浓度贡献值为</w:t>
      </w:r>
      <w:r>
        <w:rPr>
          <w:color w:val="000000"/>
          <w:sz w:val="24"/>
        </w:rPr>
        <w:t>0.001554</w:t>
      </w:r>
      <w:r>
        <w:rPr>
          <w:sz w:val="24"/>
        </w:rPr>
        <w:t>mg/L</w:t>
      </w:r>
      <w:r>
        <w:rPr>
          <w:sz w:val="24"/>
        </w:rPr>
        <w:t>；均满足《地下水质量标准》（</w:t>
      </w:r>
      <w:r>
        <w:rPr>
          <w:sz w:val="24"/>
        </w:rPr>
        <w:t>GB/T14848-2017</w:t>
      </w:r>
      <w:r>
        <w:rPr>
          <w:sz w:val="24"/>
        </w:rPr>
        <w:t>）</w:t>
      </w:r>
      <w:r>
        <w:rPr>
          <w:rFonts w:ascii="宋体" w:hAnsi="宋体" w:cs="宋体" w:hint="eastAsia"/>
          <w:sz w:val="24"/>
        </w:rPr>
        <w:t>Ⅲ</w:t>
      </w:r>
      <w:r>
        <w:rPr>
          <w:sz w:val="24"/>
        </w:rPr>
        <w:t xml:space="preserve"> </w:t>
      </w:r>
      <w:r>
        <w:rPr>
          <w:sz w:val="24"/>
        </w:rPr>
        <w:t>类标准，且评价范围内没有民用水井，说明对地下水环境质量影响不大。</w:t>
      </w:r>
    </w:p>
    <w:p w:rsidR="0028077D" w:rsidRDefault="0028077D" w:rsidP="00CF1E6F">
      <w:pPr>
        <w:spacing w:line="520" w:lineRule="exact"/>
        <w:jc w:val="center"/>
        <w:rPr>
          <w:bCs/>
          <w:kern w:val="0"/>
          <w:sz w:val="24"/>
        </w:rPr>
      </w:pPr>
    </w:p>
    <w:p w:rsidR="0028077D" w:rsidRDefault="0028077D" w:rsidP="00CF1E6F">
      <w:pPr>
        <w:spacing w:line="520" w:lineRule="exact"/>
        <w:jc w:val="center"/>
        <w:rPr>
          <w:bCs/>
          <w:kern w:val="0"/>
          <w:sz w:val="24"/>
        </w:rPr>
      </w:pPr>
    </w:p>
    <w:p w:rsidR="00CF1E6F" w:rsidRDefault="00CF1E6F" w:rsidP="00CF1E6F">
      <w:pPr>
        <w:spacing w:line="520" w:lineRule="exact"/>
        <w:jc w:val="center"/>
        <w:rPr>
          <w:bCs/>
          <w:kern w:val="0"/>
          <w:sz w:val="24"/>
        </w:rPr>
      </w:pPr>
      <w:r>
        <w:rPr>
          <w:bCs/>
          <w:kern w:val="0"/>
          <w:sz w:val="24"/>
        </w:rPr>
        <w:lastRenderedPageBreak/>
        <w:t>表</w:t>
      </w:r>
      <w:r>
        <w:rPr>
          <w:bCs/>
          <w:kern w:val="0"/>
          <w:sz w:val="24"/>
        </w:rPr>
        <w:t>6.3-</w:t>
      </w:r>
      <w:r w:rsidR="0028077D">
        <w:rPr>
          <w:rFonts w:hint="eastAsia"/>
          <w:bCs/>
          <w:kern w:val="0"/>
          <w:sz w:val="24"/>
        </w:rPr>
        <w:t>3</w:t>
      </w:r>
      <w:r>
        <w:rPr>
          <w:bCs/>
          <w:kern w:val="0"/>
          <w:sz w:val="24"/>
        </w:rPr>
        <w:t xml:space="preserve">  </w:t>
      </w:r>
      <w:r>
        <w:rPr>
          <w:bCs/>
          <w:color w:val="000000"/>
          <w:sz w:val="24"/>
        </w:rPr>
        <w:t>矸石周转场下游</w:t>
      </w:r>
      <w:r>
        <w:rPr>
          <w:bCs/>
          <w:kern w:val="0"/>
          <w:sz w:val="24"/>
        </w:rPr>
        <w:t>不同时间点</w:t>
      </w:r>
      <w:r>
        <w:rPr>
          <w:bCs/>
          <w:color w:val="000000"/>
          <w:sz w:val="24"/>
        </w:rPr>
        <w:t>锌</w:t>
      </w:r>
      <w:r>
        <w:rPr>
          <w:bCs/>
          <w:kern w:val="0"/>
          <w:sz w:val="24"/>
        </w:rPr>
        <w:t>预测结果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9"/>
        <w:gridCol w:w="1560"/>
        <w:gridCol w:w="1984"/>
        <w:gridCol w:w="3529"/>
      </w:tblGrid>
      <w:tr w:rsidR="00CF1E6F" w:rsidTr="00705836">
        <w:trPr>
          <w:jc w:val="center"/>
        </w:trPr>
        <w:tc>
          <w:tcPr>
            <w:tcW w:w="1449" w:type="dxa"/>
            <w:vAlign w:val="center"/>
          </w:tcPr>
          <w:p w:rsidR="00CF1E6F" w:rsidRDefault="00CF1E6F" w:rsidP="00907D48">
            <w:pPr>
              <w:spacing w:line="360" w:lineRule="exact"/>
              <w:rPr>
                <w:spacing w:val="2"/>
                <w:kern w:val="0"/>
                <w:sz w:val="21"/>
                <w:szCs w:val="21"/>
              </w:rPr>
            </w:pPr>
            <w:r>
              <w:rPr>
                <w:spacing w:val="2"/>
                <w:kern w:val="0"/>
                <w:sz w:val="21"/>
                <w:szCs w:val="21"/>
              </w:rPr>
              <w:t>预测时限（</w:t>
            </w:r>
            <w:r>
              <w:rPr>
                <w:spacing w:val="2"/>
                <w:kern w:val="0"/>
                <w:sz w:val="21"/>
                <w:szCs w:val="21"/>
              </w:rPr>
              <w:t>d</w:t>
            </w:r>
            <w:r>
              <w:rPr>
                <w:spacing w:val="2"/>
                <w:kern w:val="0"/>
                <w:sz w:val="21"/>
                <w:szCs w:val="21"/>
              </w:rPr>
              <w:t>）</w:t>
            </w:r>
          </w:p>
        </w:tc>
        <w:tc>
          <w:tcPr>
            <w:tcW w:w="1560" w:type="dxa"/>
            <w:vAlign w:val="center"/>
          </w:tcPr>
          <w:p w:rsidR="00CF1E6F" w:rsidRDefault="00CF1E6F" w:rsidP="00907D48">
            <w:pPr>
              <w:spacing w:line="360" w:lineRule="exact"/>
              <w:rPr>
                <w:spacing w:val="2"/>
                <w:kern w:val="0"/>
                <w:sz w:val="21"/>
                <w:szCs w:val="21"/>
              </w:rPr>
            </w:pPr>
            <w:r>
              <w:rPr>
                <w:spacing w:val="2"/>
                <w:kern w:val="0"/>
                <w:sz w:val="21"/>
                <w:szCs w:val="21"/>
              </w:rPr>
              <w:t>超标距离（</w:t>
            </w:r>
            <w:r>
              <w:rPr>
                <w:spacing w:val="2"/>
                <w:kern w:val="0"/>
                <w:sz w:val="21"/>
                <w:szCs w:val="21"/>
              </w:rPr>
              <w:t>m</w:t>
            </w:r>
            <w:r>
              <w:rPr>
                <w:spacing w:val="2"/>
                <w:kern w:val="0"/>
                <w:sz w:val="21"/>
                <w:szCs w:val="21"/>
              </w:rPr>
              <w:t>）</w:t>
            </w:r>
          </w:p>
        </w:tc>
        <w:tc>
          <w:tcPr>
            <w:tcW w:w="1984" w:type="dxa"/>
            <w:vAlign w:val="center"/>
          </w:tcPr>
          <w:p w:rsidR="00CF1E6F" w:rsidRDefault="00CF1E6F" w:rsidP="00907D48">
            <w:pPr>
              <w:spacing w:line="360" w:lineRule="exact"/>
              <w:rPr>
                <w:spacing w:val="2"/>
                <w:kern w:val="0"/>
                <w:sz w:val="21"/>
                <w:szCs w:val="21"/>
              </w:rPr>
            </w:pPr>
            <w:r>
              <w:rPr>
                <w:spacing w:val="2"/>
                <w:kern w:val="0"/>
                <w:sz w:val="21"/>
                <w:szCs w:val="21"/>
              </w:rPr>
              <w:t>最大影响距离（</w:t>
            </w:r>
            <w:r>
              <w:rPr>
                <w:spacing w:val="2"/>
                <w:kern w:val="0"/>
                <w:sz w:val="21"/>
                <w:szCs w:val="21"/>
              </w:rPr>
              <w:t>m</w:t>
            </w:r>
            <w:r>
              <w:rPr>
                <w:spacing w:val="2"/>
                <w:kern w:val="0"/>
                <w:sz w:val="21"/>
                <w:szCs w:val="21"/>
              </w:rPr>
              <w:t>）</w:t>
            </w:r>
          </w:p>
        </w:tc>
        <w:tc>
          <w:tcPr>
            <w:tcW w:w="3529" w:type="dxa"/>
            <w:vAlign w:val="center"/>
          </w:tcPr>
          <w:p w:rsidR="00CF1E6F" w:rsidRDefault="00CF1E6F" w:rsidP="00907D48">
            <w:pPr>
              <w:spacing w:line="360" w:lineRule="exact"/>
              <w:rPr>
                <w:spacing w:val="2"/>
                <w:kern w:val="0"/>
                <w:sz w:val="21"/>
                <w:szCs w:val="21"/>
              </w:rPr>
            </w:pPr>
            <w:r>
              <w:rPr>
                <w:spacing w:val="2"/>
                <w:kern w:val="0"/>
                <w:sz w:val="21"/>
                <w:szCs w:val="21"/>
              </w:rPr>
              <w:t>最大贡献浓度（</w:t>
            </w:r>
            <w:r>
              <w:rPr>
                <w:spacing w:val="2"/>
                <w:kern w:val="0"/>
                <w:sz w:val="21"/>
                <w:szCs w:val="21"/>
              </w:rPr>
              <w:t>mg/l</w:t>
            </w:r>
            <w:r>
              <w:rPr>
                <w:spacing w:val="2"/>
                <w:kern w:val="0"/>
                <w:sz w:val="21"/>
                <w:szCs w:val="21"/>
              </w:rPr>
              <w:t>）</w:t>
            </w:r>
          </w:p>
        </w:tc>
      </w:tr>
      <w:tr w:rsidR="00CF1E6F" w:rsidTr="00705836">
        <w:trPr>
          <w:jc w:val="center"/>
        </w:trPr>
        <w:tc>
          <w:tcPr>
            <w:tcW w:w="1449" w:type="dxa"/>
            <w:vAlign w:val="center"/>
          </w:tcPr>
          <w:p w:rsidR="00CF1E6F" w:rsidRDefault="00CF1E6F" w:rsidP="00907D48">
            <w:pPr>
              <w:spacing w:line="360" w:lineRule="exact"/>
              <w:rPr>
                <w:spacing w:val="2"/>
                <w:kern w:val="0"/>
                <w:sz w:val="21"/>
                <w:szCs w:val="21"/>
              </w:rPr>
            </w:pPr>
            <w:r>
              <w:rPr>
                <w:spacing w:val="2"/>
                <w:kern w:val="0"/>
                <w:sz w:val="21"/>
                <w:szCs w:val="21"/>
              </w:rPr>
              <w:t>100</w:t>
            </w:r>
          </w:p>
        </w:tc>
        <w:tc>
          <w:tcPr>
            <w:tcW w:w="1560" w:type="dxa"/>
            <w:vAlign w:val="center"/>
          </w:tcPr>
          <w:p w:rsidR="00CF1E6F" w:rsidRDefault="00CF1E6F" w:rsidP="00907D48">
            <w:pPr>
              <w:spacing w:line="360" w:lineRule="exact"/>
              <w:rPr>
                <w:spacing w:val="2"/>
                <w:kern w:val="0"/>
                <w:sz w:val="21"/>
                <w:szCs w:val="21"/>
              </w:rPr>
            </w:pPr>
            <w:r>
              <w:rPr>
                <w:spacing w:val="2"/>
                <w:kern w:val="0"/>
                <w:sz w:val="21"/>
                <w:szCs w:val="21"/>
              </w:rPr>
              <w:t>0</w:t>
            </w:r>
          </w:p>
        </w:tc>
        <w:tc>
          <w:tcPr>
            <w:tcW w:w="1984" w:type="dxa"/>
            <w:vAlign w:val="center"/>
          </w:tcPr>
          <w:p w:rsidR="00CF1E6F" w:rsidRDefault="00CF1E6F" w:rsidP="00907D48">
            <w:pPr>
              <w:spacing w:line="360" w:lineRule="exact"/>
              <w:rPr>
                <w:spacing w:val="2"/>
                <w:kern w:val="0"/>
                <w:sz w:val="21"/>
                <w:szCs w:val="21"/>
              </w:rPr>
            </w:pPr>
            <w:r>
              <w:rPr>
                <w:spacing w:val="2"/>
                <w:kern w:val="0"/>
                <w:sz w:val="21"/>
                <w:szCs w:val="21"/>
              </w:rPr>
              <w:t>7</w:t>
            </w:r>
          </w:p>
        </w:tc>
        <w:tc>
          <w:tcPr>
            <w:tcW w:w="3529" w:type="dxa"/>
            <w:vAlign w:val="center"/>
          </w:tcPr>
          <w:p w:rsidR="00CF1E6F" w:rsidRDefault="00CF1E6F" w:rsidP="00907D48">
            <w:pPr>
              <w:spacing w:line="360" w:lineRule="exact"/>
              <w:rPr>
                <w:spacing w:val="2"/>
                <w:kern w:val="0"/>
                <w:sz w:val="21"/>
                <w:szCs w:val="21"/>
              </w:rPr>
            </w:pPr>
            <w:r>
              <w:rPr>
                <w:color w:val="000000"/>
                <w:sz w:val="21"/>
                <w:szCs w:val="21"/>
              </w:rPr>
              <w:t>0.027365</w:t>
            </w:r>
          </w:p>
        </w:tc>
      </w:tr>
      <w:tr w:rsidR="00CF1E6F" w:rsidTr="00705836">
        <w:trPr>
          <w:jc w:val="center"/>
        </w:trPr>
        <w:tc>
          <w:tcPr>
            <w:tcW w:w="1449" w:type="dxa"/>
            <w:vAlign w:val="center"/>
          </w:tcPr>
          <w:p w:rsidR="00CF1E6F" w:rsidRDefault="00CF1E6F" w:rsidP="00907D48">
            <w:pPr>
              <w:spacing w:line="360" w:lineRule="exact"/>
              <w:rPr>
                <w:spacing w:val="2"/>
                <w:kern w:val="0"/>
                <w:sz w:val="21"/>
                <w:szCs w:val="21"/>
              </w:rPr>
            </w:pPr>
            <w:r>
              <w:rPr>
                <w:spacing w:val="2"/>
                <w:kern w:val="0"/>
                <w:sz w:val="21"/>
                <w:szCs w:val="21"/>
              </w:rPr>
              <w:t>1000</w:t>
            </w:r>
          </w:p>
        </w:tc>
        <w:tc>
          <w:tcPr>
            <w:tcW w:w="1560" w:type="dxa"/>
            <w:vAlign w:val="center"/>
          </w:tcPr>
          <w:p w:rsidR="00CF1E6F" w:rsidRDefault="00CF1E6F" w:rsidP="00907D48">
            <w:pPr>
              <w:spacing w:line="360" w:lineRule="exact"/>
              <w:rPr>
                <w:spacing w:val="2"/>
                <w:kern w:val="0"/>
                <w:sz w:val="21"/>
                <w:szCs w:val="21"/>
              </w:rPr>
            </w:pPr>
            <w:r>
              <w:rPr>
                <w:spacing w:val="2"/>
                <w:kern w:val="0"/>
                <w:sz w:val="21"/>
                <w:szCs w:val="21"/>
              </w:rPr>
              <w:t>0</w:t>
            </w:r>
          </w:p>
        </w:tc>
        <w:tc>
          <w:tcPr>
            <w:tcW w:w="1984" w:type="dxa"/>
            <w:vAlign w:val="center"/>
          </w:tcPr>
          <w:p w:rsidR="00CF1E6F" w:rsidRDefault="00CF1E6F" w:rsidP="00907D48">
            <w:pPr>
              <w:spacing w:line="360" w:lineRule="exact"/>
              <w:rPr>
                <w:spacing w:val="2"/>
                <w:kern w:val="0"/>
                <w:sz w:val="21"/>
                <w:szCs w:val="21"/>
              </w:rPr>
            </w:pPr>
            <w:r>
              <w:rPr>
                <w:spacing w:val="2"/>
                <w:kern w:val="0"/>
                <w:sz w:val="21"/>
                <w:szCs w:val="21"/>
              </w:rPr>
              <w:t>35</w:t>
            </w:r>
          </w:p>
        </w:tc>
        <w:tc>
          <w:tcPr>
            <w:tcW w:w="3529" w:type="dxa"/>
            <w:vAlign w:val="center"/>
          </w:tcPr>
          <w:p w:rsidR="00CF1E6F" w:rsidRDefault="00CF1E6F" w:rsidP="00907D48">
            <w:pPr>
              <w:spacing w:line="360" w:lineRule="exact"/>
              <w:rPr>
                <w:spacing w:val="2"/>
                <w:kern w:val="0"/>
                <w:sz w:val="21"/>
                <w:szCs w:val="21"/>
                <w:vertAlign w:val="superscript"/>
              </w:rPr>
            </w:pPr>
            <w:r>
              <w:rPr>
                <w:color w:val="000000"/>
                <w:sz w:val="21"/>
                <w:szCs w:val="21"/>
              </w:rPr>
              <w:t>0.004234</w:t>
            </w:r>
          </w:p>
        </w:tc>
      </w:tr>
      <w:tr w:rsidR="00CF1E6F" w:rsidTr="00705836">
        <w:trPr>
          <w:jc w:val="center"/>
        </w:trPr>
        <w:tc>
          <w:tcPr>
            <w:tcW w:w="1449" w:type="dxa"/>
            <w:vAlign w:val="center"/>
          </w:tcPr>
          <w:p w:rsidR="00CF1E6F" w:rsidRDefault="00CF1E6F" w:rsidP="00907D48">
            <w:pPr>
              <w:spacing w:line="360" w:lineRule="exact"/>
              <w:rPr>
                <w:spacing w:val="2"/>
                <w:kern w:val="0"/>
                <w:sz w:val="21"/>
                <w:szCs w:val="21"/>
              </w:rPr>
            </w:pPr>
            <w:r>
              <w:rPr>
                <w:spacing w:val="2"/>
                <w:kern w:val="0"/>
                <w:sz w:val="21"/>
                <w:szCs w:val="21"/>
              </w:rPr>
              <w:t>5000</w:t>
            </w:r>
          </w:p>
        </w:tc>
        <w:tc>
          <w:tcPr>
            <w:tcW w:w="1560" w:type="dxa"/>
            <w:vAlign w:val="center"/>
          </w:tcPr>
          <w:p w:rsidR="00CF1E6F" w:rsidRDefault="00CF1E6F" w:rsidP="00907D48">
            <w:pPr>
              <w:spacing w:line="360" w:lineRule="exact"/>
              <w:rPr>
                <w:spacing w:val="2"/>
                <w:kern w:val="0"/>
                <w:sz w:val="21"/>
                <w:szCs w:val="21"/>
              </w:rPr>
            </w:pPr>
            <w:r>
              <w:rPr>
                <w:spacing w:val="2"/>
                <w:kern w:val="0"/>
                <w:sz w:val="21"/>
                <w:szCs w:val="21"/>
              </w:rPr>
              <w:t>0</w:t>
            </w:r>
          </w:p>
        </w:tc>
        <w:tc>
          <w:tcPr>
            <w:tcW w:w="1984" w:type="dxa"/>
            <w:vAlign w:val="center"/>
          </w:tcPr>
          <w:p w:rsidR="00CF1E6F" w:rsidRDefault="00CF1E6F" w:rsidP="00907D48">
            <w:pPr>
              <w:spacing w:line="360" w:lineRule="exact"/>
              <w:rPr>
                <w:spacing w:val="2"/>
                <w:kern w:val="0"/>
                <w:sz w:val="21"/>
                <w:szCs w:val="21"/>
              </w:rPr>
            </w:pPr>
            <w:r>
              <w:rPr>
                <w:spacing w:val="2"/>
                <w:kern w:val="0"/>
                <w:sz w:val="21"/>
                <w:szCs w:val="21"/>
              </w:rPr>
              <w:t>129</w:t>
            </w:r>
          </w:p>
        </w:tc>
        <w:tc>
          <w:tcPr>
            <w:tcW w:w="3529" w:type="dxa"/>
            <w:vAlign w:val="center"/>
          </w:tcPr>
          <w:p w:rsidR="00CF1E6F" w:rsidRDefault="00CF1E6F" w:rsidP="00907D48">
            <w:pPr>
              <w:spacing w:line="360" w:lineRule="exact"/>
              <w:rPr>
                <w:spacing w:val="2"/>
                <w:kern w:val="0"/>
                <w:sz w:val="21"/>
                <w:szCs w:val="21"/>
              </w:rPr>
            </w:pPr>
            <w:r>
              <w:rPr>
                <w:color w:val="000000"/>
                <w:sz w:val="21"/>
                <w:szCs w:val="21"/>
              </w:rPr>
              <w:t>0.001554</w:t>
            </w:r>
          </w:p>
        </w:tc>
      </w:tr>
    </w:tbl>
    <w:p w:rsidR="00CF1E6F" w:rsidRDefault="00CF1E6F" w:rsidP="00CF1E6F">
      <w:pPr>
        <w:pStyle w:val="1552"/>
        <w:spacing w:line="240" w:lineRule="auto"/>
        <w:ind w:firstLineChars="0" w:firstLine="0"/>
        <w:jc w:val="center"/>
        <w:rPr>
          <w:rFonts w:cs="Times New Roman"/>
        </w:rPr>
      </w:pPr>
    </w:p>
    <w:p w:rsidR="00CF1E6F" w:rsidRDefault="00CF1E6F" w:rsidP="00CF1E6F">
      <w:pPr>
        <w:pStyle w:val="1552"/>
        <w:spacing w:line="240" w:lineRule="auto"/>
        <w:ind w:firstLineChars="0" w:firstLine="0"/>
        <w:jc w:val="center"/>
        <w:rPr>
          <w:rFonts w:cs="Times New Roman"/>
          <w:color w:val="auto"/>
        </w:rPr>
      </w:pPr>
      <w:r>
        <w:rPr>
          <w:rFonts w:cs="Times New Roman"/>
          <w:noProof/>
        </w:rPr>
        <w:drawing>
          <wp:inline distT="0" distB="0" distL="114300" distR="114300">
            <wp:extent cx="4658264" cy="2448999"/>
            <wp:effectExtent l="0" t="0" r="0" b="8890"/>
            <wp:docPr id="162" name="图表 1"/>
            <wp:cNvGraphicFramePr/>
            <a:graphic xmlns:a="http://schemas.openxmlformats.org/drawingml/2006/main">
              <a:graphicData uri="http://schemas.openxmlformats.org/drawingml/2006/picture">
                <pic:pic xmlns:pic="http://schemas.openxmlformats.org/drawingml/2006/picture">
                  <pic:nvPicPr>
                    <pic:cNvPr id="162" name="图表 1"/>
                    <pic:cNvPicPr/>
                  </pic:nvPicPr>
                  <pic:blipFill>
                    <a:blip r:embed="rId122" cstate="print"/>
                    <a:stretch>
                      <a:fillRect/>
                    </a:stretch>
                  </pic:blipFill>
                  <pic:spPr>
                    <a:xfrm>
                      <a:off x="0" y="0"/>
                      <a:ext cx="4657090" cy="2448382"/>
                    </a:xfrm>
                    <a:prstGeom prst="rect">
                      <a:avLst/>
                    </a:prstGeom>
                    <a:noFill/>
                    <a:ln>
                      <a:noFill/>
                    </a:ln>
                  </pic:spPr>
                </pic:pic>
              </a:graphicData>
            </a:graphic>
          </wp:inline>
        </w:drawing>
      </w:r>
    </w:p>
    <w:p w:rsidR="00CF1E6F" w:rsidRDefault="00CF1E6F" w:rsidP="00CF1E6F">
      <w:pPr>
        <w:spacing w:line="520" w:lineRule="exact"/>
        <w:jc w:val="center"/>
        <w:rPr>
          <w:bCs/>
          <w:kern w:val="0"/>
          <w:sz w:val="24"/>
          <w:szCs w:val="21"/>
        </w:rPr>
      </w:pPr>
      <w:r>
        <w:rPr>
          <w:bCs/>
          <w:kern w:val="0"/>
          <w:sz w:val="24"/>
          <w:szCs w:val="21"/>
        </w:rPr>
        <w:t>图</w:t>
      </w:r>
      <w:r>
        <w:rPr>
          <w:bCs/>
          <w:kern w:val="0"/>
          <w:sz w:val="24"/>
          <w:szCs w:val="21"/>
        </w:rPr>
        <w:t>6.3-2  100</w:t>
      </w:r>
      <w:r>
        <w:rPr>
          <w:bCs/>
          <w:kern w:val="0"/>
          <w:sz w:val="24"/>
          <w:szCs w:val="21"/>
        </w:rPr>
        <w:t>天锌浓度与距离关系曲线</w:t>
      </w:r>
    </w:p>
    <w:p w:rsidR="00CF1E6F" w:rsidRDefault="00CF1E6F" w:rsidP="00CF1E6F">
      <w:pPr>
        <w:pStyle w:val="1552"/>
        <w:spacing w:line="240" w:lineRule="auto"/>
        <w:ind w:firstLineChars="0" w:firstLine="0"/>
        <w:jc w:val="center"/>
        <w:rPr>
          <w:rFonts w:cs="Times New Roman"/>
        </w:rPr>
      </w:pPr>
      <w:r>
        <w:rPr>
          <w:rFonts w:cs="Times New Roman"/>
          <w:noProof/>
        </w:rPr>
        <w:drawing>
          <wp:inline distT="0" distB="0" distL="114300" distR="114300">
            <wp:extent cx="5268595" cy="2382520"/>
            <wp:effectExtent l="0" t="0" r="8255" b="17780"/>
            <wp:docPr id="1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CF1E6F" w:rsidRDefault="00CF1E6F" w:rsidP="00CF1E6F">
      <w:pPr>
        <w:pStyle w:val="1552"/>
        <w:spacing w:line="240" w:lineRule="auto"/>
        <w:ind w:firstLineChars="0" w:firstLine="0"/>
        <w:jc w:val="center"/>
        <w:rPr>
          <w:rFonts w:cs="Times New Roman"/>
          <w:bCs/>
          <w:kern w:val="0"/>
          <w:szCs w:val="21"/>
        </w:rPr>
      </w:pPr>
      <w:r>
        <w:rPr>
          <w:rFonts w:cs="Times New Roman"/>
          <w:bCs/>
          <w:kern w:val="0"/>
          <w:szCs w:val="21"/>
        </w:rPr>
        <w:t>图</w:t>
      </w:r>
      <w:r>
        <w:rPr>
          <w:rFonts w:cs="Times New Roman"/>
          <w:bCs/>
          <w:kern w:val="0"/>
          <w:szCs w:val="21"/>
        </w:rPr>
        <w:t>6.3-3 1000</w:t>
      </w:r>
      <w:r>
        <w:rPr>
          <w:rFonts w:cs="Times New Roman"/>
          <w:bCs/>
          <w:kern w:val="0"/>
          <w:szCs w:val="21"/>
        </w:rPr>
        <w:t>天锌浓度与距离关系曲线</w:t>
      </w:r>
    </w:p>
    <w:p w:rsidR="00CF1E6F" w:rsidRDefault="00CF1E6F" w:rsidP="00CF1E6F">
      <w:pPr>
        <w:pStyle w:val="1552"/>
        <w:spacing w:line="240" w:lineRule="auto"/>
        <w:ind w:firstLineChars="0" w:firstLine="0"/>
        <w:jc w:val="center"/>
        <w:rPr>
          <w:rFonts w:cs="Times New Roman"/>
        </w:rPr>
      </w:pPr>
      <w:r>
        <w:rPr>
          <w:rFonts w:cs="Times New Roman"/>
          <w:noProof/>
        </w:rPr>
        <w:lastRenderedPageBreak/>
        <w:drawing>
          <wp:inline distT="0" distB="0" distL="114300" distR="114300">
            <wp:extent cx="5487035" cy="2225040"/>
            <wp:effectExtent l="0" t="0" r="0" b="3810"/>
            <wp:docPr id="16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CF1E6F" w:rsidRDefault="00CF1E6F" w:rsidP="00CF1E6F">
      <w:pPr>
        <w:pStyle w:val="1552"/>
        <w:spacing w:line="240" w:lineRule="auto"/>
        <w:ind w:firstLineChars="0" w:firstLine="0"/>
        <w:jc w:val="center"/>
        <w:rPr>
          <w:rFonts w:cs="Times New Roman"/>
          <w:bCs/>
          <w:kern w:val="0"/>
          <w:szCs w:val="21"/>
        </w:rPr>
      </w:pPr>
      <w:r>
        <w:rPr>
          <w:rFonts w:cs="Times New Roman"/>
          <w:bCs/>
          <w:kern w:val="0"/>
          <w:szCs w:val="21"/>
        </w:rPr>
        <w:t>图</w:t>
      </w:r>
      <w:r>
        <w:rPr>
          <w:rFonts w:cs="Times New Roman"/>
          <w:bCs/>
          <w:kern w:val="0"/>
          <w:szCs w:val="21"/>
        </w:rPr>
        <w:t>6.3-4  5000</w:t>
      </w:r>
      <w:r>
        <w:rPr>
          <w:rFonts w:cs="Times New Roman"/>
          <w:bCs/>
          <w:kern w:val="0"/>
          <w:szCs w:val="21"/>
        </w:rPr>
        <w:t>天锌浓度与距离关系曲线</w:t>
      </w:r>
    </w:p>
    <w:p w:rsidR="0043193A" w:rsidRPr="0043193A" w:rsidRDefault="0043193A" w:rsidP="0043193A">
      <w:pPr>
        <w:spacing w:line="520" w:lineRule="exact"/>
        <w:ind w:firstLineChars="200" w:firstLine="480"/>
        <w:rPr>
          <w:bCs/>
          <w:sz w:val="24"/>
        </w:rPr>
      </w:pPr>
      <w:r w:rsidRPr="0043193A">
        <w:rPr>
          <w:rFonts w:hint="eastAsia"/>
          <w:bCs/>
          <w:sz w:val="24"/>
        </w:rPr>
        <w:t>（</w:t>
      </w:r>
      <w:r w:rsidRPr="0043193A">
        <w:rPr>
          <w:rFonts w:hint="eastAsia"/>
          <w:bCs/>
          <w:sz w:val="24"/>
        </w:rPr>
        <w:t>4</w:t>
      </w:r>
      <w:r w:rsidRPr="0043193A">
        <w:rPr>
          <w:rFonts w:hint="eastAsia"/>
          <w:bCs/>
          <w:sz w:val="24"/>
        </w:rPr>
        <w:t>）</w:t>
      </w:r>
      <w:r w:rsidRPr="0043193A">
        <w:rPr>
          <w:rFonts w:hint="eastAsia"/>
          <w:sz w:val="24"/>
        </w:rPr>
        <w:t>非正常情况</w:t>
      </w:r>
      <w:r w:rsidRPr="0043193A">
        <w:rPr>
          <w:rFonts w:hint="eastAsia"/>
          <w:color w:val="000000"/>
          <w:sz w:val="24"/>
        </w:rPr>
        <w:t>生活污水氨氮污染物运移预测结果</w:t>
      </w:r>
    </w:p>
    <w:p w:rsidR="0043193A" w:rsidRDefault="0028077D" w:rsidP="0043193A">
      <w:pPr>
        <w:spacing w:line="520" w:lineRule="exact"/>
        <w:ind w:firstLineChars="200" w:firstLine="480"/>
        <w:rPr>
          <w:sz w:val="24"/>
        </w:rPr>
      </w:pPr>
      <w:r>
        <w:rPr>
          <w:rFonts w:hint="eastAsia"/>
          <w:sz w:val="24"/>
        </w:rPr>
        <w:t>事故情况下，</w:t>
      </w:r>
      <w:r w:rsidR="00907D48" w:rsidRPr="00907D48">
        <w:rPr>
          <w:rFonts w:hint="eastAsia"/>
          <w:sz w:val="24"/>
        </w:rPr>
        <w:t>生活污水处理站发生破损后，污染物泄漏截止时间按发现及修复事故工况时间为</w:t>
      </w:r>
      <w:r w:rsidR="00907D48" w:rsidRPr="00907D48">
        <w:rPr>
          <w:rFonts w:hint="eastAsia"/>
          <w:sz w:val="24"/>
        </w:rPr>
        <w:t>10</w:t>
      </w:r>
      <w:r w:rsidR="00907D48" w:rsidRPr="00907D48">
        <w:rPr>
          <w:rFonts w:hint="eastAsia"/>
          <w:sz w:val="24"/>
        </w:rPr>
        <w:t>天计，</w:t>
      </w:r>
      <w:r w:rsidR="0043193A">
        <w:rPr>
          <w:sz w:val="24"/>
        </w:rPr>
        <w:t>根据以上参数，采用解析法预测</w:t>
      </w:r>
      <w:r w:rsidR="00907D48">
        <w:rPr>
          <w:rFonts w:hint="eastAsia"/>
          <w:sz w:val="24"/>
        </w:rPr>
        <w:t>生活污水中氨氮泄露</w:t>
      </w:r>
      <w:r w:rsidR="0043193A">
        <w:rPr>
          <w:sz w:val="24"/>
        </w:rPr>
        <w:t>对下游的影响，不同时间点</w:t>
      </w:r>
      <w:r w:rsidR="00907D48">
        <w:rPr>
          <w:rFonts w:hint="eastAsia"/>
          <w:sz w:val="24"/>
        </w:rPr>
        <w:t>氨氮</w:t>
      </w:r>
      <w:r w:rsidR="0043193A">
        <w:rPr>
          <w:sz w:val="24"/>
        </w:rPr>
        <w:t>浓度沿地下水迁移浓度预测结果见表</w:t>
      </w:r>
      <w:r w:rsidR="0043193A">
        <w:rPr>
          <w:sz w:val="24"/>
        </w:rPr>
        <w:t>6.3-</w:t>
      </w:r>
      <w:r>
        <w:rPr>
          <w:rFonts w:hint="eastAsia"/>
          <w:sz w:val="24"/>
        </w:rPr>
        <w:t>4</w:t>
      </w:r>
      <w:r w:rsidR="0043193A">
        <w:rPr>
          <w:sz w:val="24"/>
        </w:rPr>
        <w:t>及图</w:t>
      </w:r>
      <w:r w:rsidR="0043193A">
        <w:rPr>
          <w:sz w:val="24"/>
        </w:rPr>
        <w:t>6.3-</w:t>
      </w:r>
      <w:r>
        <w:rPr>
          <w:rFonts w:hint="eastAsia"/>
          <w:sz w:val="24"/>
        </w:rPr>
        <w:t>5</w:t>
      </w:r>
      <w:r w:rsidR="0043193A">
        <w:rPr>
          <w:sz w:val="24"/>
        </w:rPr>
        <w:t>～图</w:t>
      </w:r>
      <w:r w:rsidR="0043193A">
        <w:rPr>
          <w:sz w:val="24"/>
        </w:rPr>
        <w:t>6.3-</w:t>
      </w:r>
      <w:r w:rsidR="00F93B90">
        <w:rPr>
          <w:rFonts w:hint="eastAsia"/>
          <w:sz w:val="24"/>
        </w:rPr>
        <w:t>7</w:t>
      </w:r>
      <w:r w:rsidR="0043193A">
        <w:rPr>
          <w:sz w:val="24"/>
        </w:rPr>
        <w:t>。</w:t>
      </w:r>
    </w:p>
    <w:p w:rsidR="00907D48" w:rsidRDefault="0028077D" w:rsidP="00907D48">
      <w:pPr>
        <w:pStyle w:val="1552"/>
        <w:ind w:firstLineChars="0" w:firstLine="0"/>
        <w:jc w:val="center"/>
        <w:rPr>
          <w:rFonts w:cs="Times New Roman"/>
          <w:color w:val="auto"/>
        </w:rPr>
      </w:pPr>
      <w:r>
        <w:rPr>
          <w:bCs/>
          <w:kern w:val="0"/>
        </w:rPr>
        <w:t>表</w:t>
      </w:r>
      <w:r>
        <w:rPr>
          <w:bCs/>
          <w:kern w:val="0"/>
        </w:rPr>
        <w:t>6.3-</w:t>
      </w:r>
      <w:r>
        <w:rPr>
          <w:rFonts w:hint="eastAsia"/>
          <w:bCs/>
          <w:kern w:val="0"/>
        </w:rPr>
        <w:t>4</w:t>
      </w:r>
      <w:r>
        <w:rPr>
          <w:bCs/>
          <w:kern w:val="0"/>
        </w:rPr>
        <w:t xml:space="preserve">  </w:t>
      </w:r>
      <w:r w:rsidR="00907D48">
        <w:rPr>
          <w:rFonts w:cs="Times New Roman" w:hint="eastAsia"/>
          <w:color w:val="auto"/>
        </w:rPr>
        <w:t>生活污水泄漏不同时间点氨氮最大浓度预测结果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31"/>
        <w:gridCol w:w="1601"/>
        <w:gridCol w:w="1546"/>
        <w:gridCol w:w="1108"/>
        <w:gridCol w:w="1195"/>
        <w:gridCol w:w="1220"/>
        <w:gridCol w:w="1345"/>
      </w:tblGrid>
      <w:tr w:rsidR="00907D48" w:rsidTr="00705836">
        <w:trPr>
          <w:cantSplit/>
          <w:trHeight w:val="360"/>
          <w:tblHeader/>
          <w:jc w:val="center"/>
        </w:trPr>
        <w:tc>
          <w:tcPr>
            <w:tcW w:w="520" w:type="pct"/>
            <w:vAlign w:val="center"/>
          </w:tcPr>
          <w:p w:rsidR="00907D48" w:rsidRDefault="00907D48" w:rsidP="00705836">
            <w:pPr>
              <w:spacing w:line="360" w:lineRule="exact"/>
              <w:ind w:leftChars="-50" w:left="-140" w:rightChars="-50" w:right="-140"/>
              <w:jc w:val="center"/>
              <w:rPr>
                <w:b/>
                <w:bCs/>
                <w:sz w:val="21"/>
                <w:szCs w:val="21"/>
              </w:rPr>
            </w:pPr>
            <w:r>
              <w:rPr>
                <w:rFonts w:hint="eastAsia"/>
                <w:b/>
                <w:bCs/>
                <w:sz w:val="21"/>
                <w:szCs w:val="21"/>
              </w:rPr>
              <w:t>名称</w:t>
            </w:r>
          </w:p>
        </w:tc>
        <w:tc>
          <w:tcPr>
            <w:tcW w:w="895" w:type="pct"/>
            <w:vAlign w:val="center"/>
          </w:tcPr>
          <w:p w:rsidR="00907D48" w:rsidRDefault="00907D48" w:rsidP="00705836">
            <w:pPr>
              <w:spacing w:line="360" w:lineRule="exact"/>
              <w:ind w:leftChars="-50" w:left="-140" w:rightChars="-50" w:right="-140"/>
              <w:jc w:val="center"/>
              <w:rPr>
                <w:b/>
                <w:bCs/>
                <w:sz w:val="21"/>
                <w:szCs w:val="21"/>
              </w:rPr>
            </w:pPr>
            <w:r>
              <w:rPr>
                <w:rFonts w:hint="eastAsia"/>
                <w:b/>
                <w:bCs/>
                <w:sz w:val="21"/>
                <w:szCs w:val="21"/>
              </w:rPr>
              <w:t>最大贡献值距事故源距离（</w:t>
            </w:r>
            <w:r>
              <w:rPr>
                <w:b/>
                <w:sz w:val="21"/>
                <w:szCs w:val="21"/>
              </w:rPr>
              <w:t>m</w:t>
            </w:r>
            <w:r>
              <w:rPr>
                <w:rFonts w:hint="eastAsia"/>
                <w:b/>
                <w:bCs/>
                <w:sz w:val="21"/>
                <w:szCs w:val="21"/>
              </w:rPr>
              <w:t>）</w:t>
            </w:r>
          </w:p>
        </w:tc>
        <w:tc>
          <w:tcPr>
            <w:tcW w:w="864" w:type="pct"/>
            <w:vAlign w:val="center"/>
          </w:tcPr>
          <w:p w:rsidR="00907D48" w:rsidRDefault="00907D48" w:rsidP="00705836">
            <w:pPr>
              <w:spacing w:line="360" w:lineRule="exact"/>
              <w:ind w:left="-50" w:right="-50"/>
              <w:jc w:val="center"/>
              <w:rPr>
                <w:b/>
                <w:bCs/>
                <w:sz w:val="21"/>
                <w:szCs w:val="21"/>
              </w:rPr>
            </w:pPr>
            <w:r>
              <w:rPr>
                <w:rFonts w:hint="eastAsia"/>
                <w:b/>
                <w:bCs/>
                <w:sz w:val="21"/>
                <w:szCs w:val="21"/>
              </w:rPr>
              <w:t>最大预测值（</w:t>
            </w:r>
            <w:r>
              <w:rPr>
                <w:b/>
                <w:sz w:val="21"/>
                <w:szCs w:val="21"/>
              </w:rPr>
              <w:t>mg/L</w:t>
            </w:r>
            <w:r>
              <w:rPr>
                <w:rFonts w:hint="eastAsia"/>
                <w:b/>
                <w:bCs/>
                <w:sz w:val="21"/>
                <w:szCs w:val="21"/>
              </w:rPr>
              <w:t>）</w:t>
            </w:r>
          </w:p>
        </w:tc>
        <w:tc>
          <w:tcPr>
            <w:tcW w:w="619" w:type="pct"/>
            <w:vAlign w:val="center"/>
          </w:tcPr>
          <w:p w:rsidR="00907D48" w:rsidRDefault="00907D48" w:rsidP="00705836">
            <w:pPr>
              <w:spacing w:line="360" w:lineRule="exact"/>
              <w:ind w:left="-50" w:right="-50"/>
              <w:jc w:val="center"/>
              <w:rPr>
                <w:b/>
                <w:bCs/>
                <w:sz w:val="21"/>
                <w:szCs w:val="21"/>
              </w:rPr>
            </w:pPr>
            <w:r>
              <w:rPr>
                <w:rFonts w:hint="eastAsia"/>
                <w:b/>
                <w:bCs/>
                <w:sz w:val="21"/>
                <w:szCs w:val="21"/>
              </w:rPr>
              <w:t>最远影响距离（</w:t>
            </w:r>
            <w:r>
              <w:rPr>
                <w:b/>
                <w:sz w:val="21"/>
                <w:szCs w:val="21"/>
              </w:rPr>
              <w:t>m</w:t>
            </w:r>
            <w:r>
              <w:rPr>
                <w:rFonts w:hint="eastAsia"/>
                <w:b/>
                <w:bCs/>
                <w:sz w:val="21"/>
                <w:szCs w:val="21"/>
              </w:rPr>
              <w:t>）</w:t>
            </w:r>
          </w:p>
        </w:tc>
        <w:tc>
          <w:tcPr>
            <w:tcW w:w="668" w:type="pct"/>
            <w:vAlign w:val="center"/>
          </w:tcPr>
          <w:p w:rsidR="00907D48" w:rsidRDefault="00907D48" w:rsidP="00705836">
            <w:pPr>
              <w:spacing w:line="360" w:lineRule="exact"/>
              <w:ind w:left="-50" w:right="-50"/>
              <w:jc w:val="center"/>
              <w:rPr>
                <w:b/>
                <w:bCs/>
                <w:sz w:val="21"/>
                <w:szCs w:val="21"/>
              </w:rPr>
            </w:pPr>
            <w:r>
              <w:rPr>
                <w:rFonts w:hint="eastAsia"/>
                <w:b/>
                <w:bCs/>
                <w:sz w:val="21"/>
                <w:szCs w:val="21"/>
              </w:rPr>
              <w:t>开始超标距离（</w:t>
            </w:r>
            <w:r>
              <w:rPr>
                <w:b/>
                <w:sz w:val="21"/>
                <w:szCs w:val="21"/>
              </w:rPr>
              <w:t>m</w:t>
            </w:r>
            <w:r>
              <w:rPr>
                <w:rFonts w:hint="eastAsia"/>
                <w:b/>
                <w:bCs/>
                <w:sz w:val="21"/>
                <w:szCs w:val="21"/>
              </w:rPr>
              <w:t>）</w:t>
            </w:r>
          </w:p>
        </w:tc>
        <w:tc>
          <w:tcPr>
            <w:tcW w:w="682" w:type="pct"/>
            <w:vAlign w:val="center"/>
          </w:tcPr>
          <w:p w:rsidR="00907D48" w:rsidRDefault="00907D48" w:rsidP="00705836">
            <w:pPr>
              <w:spacing w:line="360" w:lineRule="exact"/>
              <w:ind w:left="-50" w:right="-50"/>
              <w:jc w:val="center"/>
              <w:rPr>
                <w:b/>
                <w:bCs/>
                <w:sz w:val="21"/>
                <w:szCs w:val="21"/>
              </w:rPr>
            </w:pPr>
            <w:r>
              <w:rPr>
                <w:rFonts w:hint="eastAsia"/>
                <w:b/>
                <w:bCs/>
                <w:sz w:val="21"/>
                <w:szCs w:val="21"/>
              </w:rPr>
              <w:t>开始达标距离（</w:t>
            </w:r>
            <w:r>
              <w:rPr>
                <w:b/>
                <w:sz w:val="21"/>
                <w:szCs w:val="21"/>
              </w:rPr>
              <w:t>m</w:t>
            </w:r>
            <w:r>
              <w:rPr>
                <w:rFonts w:hint="eastAsia"/>
                <w:b/>
                <w:bCs/>
                <w:sz w:val="21"/>
                <w:szCs w:val="21"/>
              </w:rPr>
              <w:t>）</w:t>
            </w:r>
          </w:p>
        </w:tc>
        <w:tc>
          <w:tcPr>
            <w:tcW w:w="752" w:type="pct"/>
            <w:vAlign w:val="center"/>
          </w:tcPr>
          <w:p w:rsidR="00907D48" w:rsidRDefault="00907D48" w:rsidP="00705836">
            <w:pPr>
              <w:spacing w:line="360" w:lineRule="exact"/>
              <w:ind w:left="-50" w:right="-50"/>
              <w:jc w:val="center"/>
              <w:rPr>
                <w:b/>
                <w:bCs/>
                <w:sz w:val="21"/>
                <w:szCs w:val="21"/>
              </w:rPr>
            </w:pPr>
            <w:r>
              <w:rPr>
                <w:rFonts w:hint="eastAsia"/>
                <w:b/>
                <w:bCs/>
                <w:sz w:val="21"/>
                <w:szCs w:val="21"/>
              </w:rPr>
              <w:t>标准值（</w:t>
            </w:r>
            <w:r>
              <w:rPr>
                <w:b/>
                <w:sz w:val="21"/>
                <w:szCs w:val="21"/>
              </w:rPr>
              <w:t>mg/L</w:t>
            </w:r>
            <w:r>
              <w:rPr>
                <w:rFonts w:hint="eastAsia"/>
                <w:b/>
                <w:bCs/>
                <w:sz w:val="21"/>
                <w:szCs w:val="21"/>
              </w:rPr>
              <w:t>）</w:t>
            </w:r>
          </w:p>
        </w:tc>
      </w:tr>
      <w:tr w:rsidR="00907D48" w:rsidTr="00705836">
        <w:trPr>
          <w:cantSplit/>
          <w:trHeight w:val="96"/>
          <w:jc w:val="center"/>
        </w:trPr>
        <w:tc>
          <w:tcPr>
            <w:tcW w:w="520" w:type="pct"/>
            <w:vAlign w:val="center"/>
          </w:tcPr>
          <w:p w:rsidR="00907D48" w:rsidRDefault="00907D48" w:rsidP="00705836">
            <w:pPr>
              <w:spacing w:line="360" w:lineRule="exact"/>
              <w:ind w:left="-50" w:right="-50"/>
              <w:jc w:val="center"/>
              <w:rPr>
                <w:bCs/>
                <w:sz w:val="21"/>
                <w:szCs w:val="21"/>
              </w:rPr>
            </w:pPr>
            <w:r>
              <w:rPr>
                <w:bCs/>
                <w:sz w:val="21"/>
                <w:szCs w:val="21"/>
              </w:rPr>
              <w:t>100d</w:t>
            </w:r>
          </w:p>
        </w:tc>
        <w:tc>
          <w:tcPr>
            <w:tcW w:w="895" w:type="pct"/>
            <w:vAlign w:val="center"/>
          </w:tcPr>
          <w:p w:rsidR="00907D48" w:rsidRDefault="007355EE" w:rsidP="00705836">
            <w:pPr>
              <w:spacing w:line="360" w:lineRule="exact"/>
              <w:ind w:left="-50" w:right="-50"/>
              <w:jc w:val="center"/>
              <w:rPr>
                <w:sz w:val="21"/>
                <w:szCs w:val="21"/>
              </w:rPr>
            </w:pPr>
            <w:r>
              <w:rPr>
                <w:rFonts w:hint="eastAsia"/>
                <w:sz w:val="21"/>
                <w:szCs w:val="21"/>
              </w:rPr>
              <w:t>8</w:t>
            </w:r>
          </w:p>
        </w:tc>
        <w:tc>
          <w:tcPr>
            <w:tcW w:w="864" w:type="pct"/>
            <w:vAlign w:val="center"/>
          </w:tcPr>
          <w:p w:rsidR="00907D48" w:rsidRDefault="007355EE" w:rsidP="007355EE">
            <w:pPr>
              <w:spacing w:line="360" w:lineRule="exact"/>
              <w:ind w:left="-50" w:right="-50"/>
              <w:jc w:val="center"/>
              <w:rPr>
                <w:bCs/>
                <w:sz w:val="21"/>
                <w:szCs w:val="21"/>
              </w:rPr>
            </w:pPr>
            <w:r w:rsidRPr="007355EE">
              <w:rPr>
                <w:bCs/>
                <w:sz w:val="21"/>
                <w:szCs w:val="21"/>
              </w:rPr>
              <w:t>0.48482</w:t>
            </w:r>
          </w:p>
        </w:tc>
        <w:tc>
          <w:tcPr>
            <w:tcW w:w="619" w:type="pct"/>
            <w:vAlign w:val="center"/>
          </w:tcPr>
          <w:p w:rsidR="00907D48" w:rsidRDefault="007355EE" w:rsidP="00705836">
            <w:pPr>
              <w:spacing w:line="360" w:lineRule="exact"/>
              <w:ind w:left="-50" w:right="-50"/>
              <w:jc w:val="center"/>
              <w:rPr>
                <w:bCs/>
                <w:sz w:val="21"/>
                <w:szCs w:val="21"/>
              </w:rPr>
            </w:pPr>
            <w:r>
              <w:rPr>
                <w:rFonts w:hint="eastAsia"/>
                <w:bCs/>
                <w:sz w:val="21"/>
                <w:szCs w:val="21"/>
              </w:rPr>
              <w:t>255</w:t>
            </w:r>
          </w:p>
        </w:tc>
        <w:tc>
          <w:tcPr>
            <w:tcW w:w="668" w:type="pct"/>
            <w:vAlign w:val="center"/>
          </w:tcPr>
          <w:p w:rsidR="00907D48" w:rsidRDefault="00907D48" w:rsidP="00705836">
            <w:pPr>
              <w:spacing w:line="360" w:lineRule="exact"/>
              <w:ind w:left="-50" w:right="-50"/>
              <w:jc w:val="center"/>
              <w:rPr>
                <w:bCs/>
                <w:sz w:val="21"/>
                <w:szCs w:val="21"/>
              </w:rPr>
            </w:pPr>
            <w:r>
              <w:rPr>
                <w:rFonts w:hint="eastAsia"/>
                <w:bCs/>
                <w:sz w:val="21"/>
                <w:szCs w:val="21"/>
              </w:rPr>
              <w:t>/</w:t>
            </w:r>
          </w:p>
        </w:tc>
        <w:tc>
          <w:tcPr>
            <w:tcW w:w="682" w:type="pct"/>
            <w:vAlign w:val="center"/>
          </w:tcPr>
          <w:p w:rsidR="00907D48" w:rsidRDefault="00907D48" w:rsidP="00705836">
            <w:pPr>
              <w:spacing w:line="360" w:lineRule="exact"/>
              <w:ind w:left="-50" w:right="-50"/>
              <w:jc w:val="center"/>
              <w:rPr>
                <w:bCs/>
                <w:sz w:val="21"/>
                <w:szCs w:val="21"/>
              </w:rPr>
            </w:pPr>
            <w:r>
              <w:rPr>
                <w:rFonts w:hint="eastAsia"/>
                <w:bCs/>
                <w:sz w:val="21"/>
                <w:szCs w:val="21"/>
              </w:rPr>
              <w:t>/</w:t>
            </w:r>
          </w:p>
        </w:tc>
        <w:tc>
          <w:tcPr>
            <w:tcW w:w="752" w:type="pct"/>
            <w:vAlign w:val="center"/>
          </w:tcPr>
          <w:p w:rsidR="00907D48" w:rsidRDefault="00907D48" w:rsidP="007355EE">
            <w:pPr>
              <w:spacing w:line="360" w:lineRule="exact"/>
              <w:ind w:left="-50" w:right="-50"/>
              <w:jc w:val="center"/>
              <w:rPr>
                <w:bCs/>
                <w:sz w:val="21"/>
                <w:szCs w:val="21"/>
              </w:rPr>
            </w:pPr>
            <w:r>
              <w:rPr>
                <w:rFonts w:hint="eastAsia"/>
                <w:bCs/>
                <w:sz w:val="21"/>
                <w:szCs w:val="21"/>
              </w:rPr>
              <w:t>0.5</w:t>
            </w:r>
          </w:p>
        </w:tc>
      </w:tr>
      <w:tr w:rsidR="00907D48" w:rsidTr="00705836">
        <w:trPr>
          <w:cantSplit/>
          <w:trHeight w:val="395"/>
          <w:jc w:val="center"/>
        </w:trPr>
        <w:tc>
          <w:tcPr>
            <w:tcW w:w="520" w:type="pct"/>
            <w:vAlign w:val="center"/>
          </w:tcPr>
          <w:p w:rsidR="00907D48" w:rsidRDefault="00907D48" w:rsidP="00705836">
            <w:pPr>
              <w:spacing w:line="360" w:lineRule="exact"/>
              <w:ind w:left="-50" w:right="-50"/>
              <w:jc w:val="center"/>
              <w:rPr>
                <w:bCs/>
                <w:sz w:val="21"/>
                <w:szCs w:val="21"/>
              </w:rPr>
            </w:pPr>
            <w:r>
              <w:rPr>
                <w:bCs/>
                <w:sz w:val="21"/>
                <w:szCs w:val="21"/>
              </w:rPr>
              <w:t>1000d</w:t>
            </w:r>
          </w:p>
        </w:tc>
        <w:tc>
          <w:tcPr>
            <w:tcW w:w="895" w:type="pct"/>
            <w:vAlign w:val="center"/>
          </w:tcPr>
          <w:p w:rsidR="00907D48" w:rsidRDefault="002B26BF" w:rsidP="00705836">
            <w:pPr>
              <w:spacing w:line="360" w:lineRule="exact"/>
              <w:ind w:left="-50" w:right="-50"/>
              <w:jc w:val="center"/>
              <w:rPr>
                <w:sz w:val="21"/>
                <w:szCs w:val="21"/>
              </w:rPr>
            </w:pPr>
            <w:r>
              <w:rPr>
                <w:rFonts w:hint="eastAsia"/>
                <w:sz w:val="21"/>
                <w:szCs w:val="21"/>
              </w:rPr>
              <w:t>35</w:t>
            </w:r>
          </w:p>
        </w:tc>
        <w:tc>
          <w:tcPr>
            <w:tcW w:w="864" w:type="pct"/>
            <w:vAlign w:val="center"/>
          </w:tcPr>
          <w:p w:rsidR="00907D48" w:rsidRDefault="007355EE" w:rsidP="007355EE">
            <w:pPr>
              <w:spacing w:line="360" w:lineRule="exact"/>
              <w:ind w:left="-50" w:right="-50"/>
              <w:jc w:val="center"/>
              <w:rPr>
                <w:bCs/>
                <w:sz w:val="21"/>
                <w:szCs w:val="21"/>
              </w:rPr>
            </w:pPr>
            <w:r w:rsidRPr="007355EE">
              <w:rPr>
                <w:bCs/>
                <w:sz w:val="21"/>
                <w:szCs w:val="21"/>
              </w:rPr>
              <w:t>0.07829</w:t>
            </w:r>
          </w:p>
        </w:tc>
        <w:tc>
          <w:tcPr>
            <w:tcW w:w="619" w:type="pct"/>
            <w:vAlign w:val="center"/>
          </w:tcPr>
          <w:p w:rsidR="00907D48" w:rsidRDefault="002B26BF" w:rsidP="00C3702F">
            <w:pPr>
              <w:spacing w:line="360" w:lineRule="exact"/>
              <w:ind w:left="-50" w:right="-50"/>
              <w:jc w:val="center"/>
              <w:rPr>
                <w:bCs/>
                <w:sz w:val="21"/>
                <w:szCs w:val="21"/>
              </w:rPr>
            </w:pPr>
            <w:r>
              <w:rPr>
                <w:rFonts w:hint="eastAsia"/>
                <w:bCs/>
                <w:sz w:val="21"/>
                <w:szCs w:val="21"/>
              </w:rPr>
              <w:t>8</w:t>
            </w:r>
            <w:r w:rsidR="00C3702F">
              <w:rPr>
                <w:rFonts w:hint="eastAsia"/>
                <w:bCs/>
                <w:sz w:val="21"/>
                <w:szCs w:val="21"/>
              </w:rPr>
              <w:t>19</w:t>
            </w:r>
          </w:p>
        </w:tc>
        <w:tc>
          <w:tcPr>
            <w:tcW w:w="668" w:type="pct"/>
            <w:vAlign w:val="center"/>
          </w:tcPr>
          <w:p w:rsidR="00907D48" w:rsidRDefault="00907D48" w:rsidP="00705836">
            <w:pPr>
              <w:spacing w:line="360" w:lineRule="exact"/>
              <w:ind w:left="-50" w:right="-50"/>
              <w:jc w:val="center"/>
              <w:rPr>
                <w:bCs/>
                <w:sz w:val="21"/>
                <w:szCs w:val="21"/>
              </w:rPr>
            </w:pPr>
            <w:r>
              <w:rPr>
                <w:rFonts w:hint="eastAsia"/>
                <w:bCs/>
                <w:sz w:val="21"/>
                <w:szCs w:val="21"/>
              </w:rPr>
              <w:t>/</w:t>
            </w:r>
          </w:p>
        </w:tc>
        <w:tc>
          <w:tcPr>
            <w:tcW w:w="682" w:type="pct"/>
            <w:vAlign w:val="center"/>
          </w:tcPr>
          <w:p w:rsidR="00907D48" w:rsidRDefault="00907D48" w:rsidP="00705836">
            <w:pPr>
              <w:spacing w:line="360" w:lineRule="exact"/>
              <w:ind w:left="-50" w:right="-50"/>
              <w:jc w:val="center"/>
              <w:rPr>
                <w:bCs/>
                <w:sz w:val="21"/>
                <w:szCs w:val="21"/>
              </w:rPr>
            </w:pPr>
            <w:r>
              <w:rPr>
                <w:rFonts w:hint="eastAsia"/>
                <w:bCs/>
                <w:sz w:val="21"/>
                <w:szCs w:val="21"/>
              </w:rPr>
              <w:t>/</w:t>
            </w:r>
          </w:p>
        </w:tc>
        <w:tc>
          <w:tcPr>
            <w:tcW w:w="752" w:type="pct"/>
            <w:vAlign w:val="center"/>
          </w:tcPr>
          <w:p w:rsidR="00907D48" w:rsidRDefault="00907D48" w:rsidP="007355EE">
            <w:pPr>
              <w:spacing w:line="360" w:lineRule="exact"/>
              <w:ind w:left="-50" w:right="-50"/>
              <w:jc w:val="center"/>
              <w:rPr>
                <w:bCs/>
                <w:sz w:val="21"/>
                <w:szCs w:val="21"/>
              </w:rPr>
            </w:pPr>
            <w:r>
              <w:rPr>
                <w:rFonts w:hint="eastAsia"/>
                <w:bCs/>
                <w:sz w:val="21"/>
                <w:szCs w:val="21"/>
              </w:rPr>
              <w:t>0.5</w:t>
            </w:r>
          </w:p>
        </w:tc>
      </w:tr>
      <w:tr w:rsidR="00907D48" w:rsidTr="00705836">
        <w:trPr>
          <w:cantSplit/>
          <w:jc w:val="center"/>
        </w:trPr>
        <w:tc>
          <w:tcPr>
            <w:tcW w:w="520" w:type="pct"/>
            <w:vAlign w:val="center"/>
          </w:tcPr>
          <w:p w:rsidR="00907D48" w:rsidRDefault="00907D48" w:rsidP="00705836">
            <w:pPr>
              <w:spacing w:line="360" w:lineRule="exact"/>
              <w:ind w:left="-50" w:right="-50"/>
              <w:jc w:val="center"/>
              <w:rPr>
                <w:bCs/>
                <w:sz w:val="21"/>
                <w:szCs w:val="21"/>
              </w:rPr>
            </w:pPr>
            <w:r>
              <w:rPr>
                <w:rFonts w:hint="eastAsia"/>
                <w:bCs/>
                <w:sz w:val="21"/>
                <w:szCs w:val="21"/>
              </w:rPr>
              <w:t>5000</w:t>
            </w:r>
            <w:r>
              <w:rPr>
                <w:bCs/>
                <w:sz w:val="21"/>
                <w:szCs w:val="21"/>
              </w:rPr>
              <w:t>d</w:t>
            </w:r>
          </w:p>
        </w:tc>
        <w:tc>
          <w:tcPr>
            <w:tcW w:w="895" w:type="pct"/>
            <w:vAlign w:val="center"/>
          </w:tcPr>
          <w:p w:rsidR="00907D48" w:rsidRDefault="002B26BF" w:rsidP="00705836">
            <w:pPr>
              <w:spacing w:line="360" w:lineRule="exact"/>
              <w:ind w:left="-50" w:right="-50"/>
              <w:jc w:val="center"/>
              <w:rPr>
                <w:sz w:val="21"/>
                <w:szCs w:val="21"/>
              </w:rPr>
            </w:pPr>
            <w:r>
              <w:rPr>
                <w:rFonts w:hint="eastAsia"/>
                <w:sz w:val="21"/>
                <w:szCs w:val="21"/>
              </w:rPr>
              <w:t>130</w:t>
            </w:r>
          </w:p>
        </w:tc>
        <w:tc>
          <w:tcPr>
            <w:tcW w:w="864" w:type="pct"/>
            <w:vAlign w:val="center"/>
          </w:tcPr>
          <w:p w:rsidR="00907D48" w:rsidRDefault="002B26BF" w:rsidP="00705836">
            <w:pPr>
              <w:spacing w:line="360" w:lineRule="exact"/>
              <w:ind w:left="-50" w:right="-50"/>
              <w:jc w:val="center"/>
              <w:rPr>
                <w:bCs/>
                <w:sz w:val="21"/>
                <w:szCs w:val="21"/>
              </w:rPr>
            </w:pPr>
            <w:r w:rsidRPr="002B26BF">
              <w:rPr>
                <w:bCs/>
                <w:sz w:val="21"/>
                <w:szCs w:val="21"/>
              </w:rPr>
              <w:t>0.02882</w:t>
            </w:r>
          </w:p>
        </w:tc>
        <w:tc>
          <w:tcPr>
            <w:tcW w:w="619" w:type="pct"/>
            <w:vAlign w:val="center"/>
          </w:tcPr>
          <w:p w:rsidR="00907D48" w:rsidRDefault="002B26BF" w:rsidP="00705836">
            <w:pPr>
              <w:spacing w:line="360" w:lineRule="exact"/>
              <w:ind w:left="-50" w:right="-50"/>
              <w:jc w:val="center"/>
              <w:rPr>
                <w:bCs/>
                <w:sz w:val="21"/>
                <w:szCs w:val="21"/>
              </w:rPr>
            </w:pPr>
            <w:r>
              <w:rPr>
                <w:rFonts w:hint="eastAsia"/>
                <w:bCs/>
                <w:sz w:val="21"/>
                <w:szCs w:val="21"/>
              </w:rPr>
              <w:t>1895</w:t>
            </w:r>
          </w:p>
        </w:tc>
        <w:tc>
          <w:tcPr>
            <w:tcW w:w="668" w:type="pct"/>
            <w:vAlign w:val="center"/>
          </w:tcPr>
          <w:p w:rsidR="00907D48" w:rsidRDefault="00907D48" w:rsidP="00705836">
            <w:pPr>
              <w:spacing w:line="360" w:lineRule="exact"/>
              <w:ind w:left="-50" w:right="-50"/>
              <w:jc w:val="center"/>
              <w:rPr>
                <w:bCs/>
                <w:sz w:val="21"/>
                <w:szCs w:val="21"/>
              </w:rPr>
            </w:pPr>
            <w:r>
              <w:rPr>
                <w:rFonts w:hint="eastAsia"/>
                <w:bCs/>
                <w:sz w:val="21"/>
                <w:szCs w:val="21"/>
              </w:rPr>
              <w:t>/</w:t>
            </w:r>
          </w:p>
        </w:tc>
        <w:tc>
          <w:tcPr>
            <w:tcW w:w="682" w:type="pct"/>
            <w:vAlign w:val="center"/>
          </w:tcPr>
          <w:p w:rsidR="00907D48" w:rsidRDefault="00907D48" w:rsidP="00705836">
            <w:pPr>
              <w:spacing w:line="360" w:lineRule="exact"/>
              <w:ind w:left="-50" w:right="-50"/>
              <w:jc w:val="center"/>
              <w:rPr>
                <w:bCs/>
                <w:sz w:val="21"/>
                <w:szCs w:val="21"/>
              </w:rPr>
            </w:pPr>
            <w:r>
              <w:rPr>
                <w:rFonts w:hint="eastAsia"/>
                <w:bCs/>
                <w:sz w:val="21"/>
                <w:szCs w:val="21"/>
              </w:rPr>
              <w:t>/</w:t>
            </w:r>
          </w:p>
        </w:tc>
        <w:tc>
          <w:tcPr>
            <w:tcW w:w="752" w:type="pct"/>
            <w:vAlign w:val="center"/>
          </w:tcPr>
          <w:p w:rsidR="00907D48" w:rsidRDefault="00907D48" w:rsidP="007355EE">
            <w:pPr>
              <w:spacing w:line="360" w:lineRule="exact"/>
              <w:ind w:left="-50" w:right="-50"/>
              <w:jc w:val="center"/>
              <w:rPr>
                <w:bCs/>
                <w:sz w:val="21"/>
                <w:szCs w:val="21"/>
              </w:rPr>
            </w:pPr>
            <w:r>
              <w:rPr>
                <w:rFonts w:hint="eastAsia"/>
                <w:bCs/>
                <w:sz w:val="21"/>
                <w:szCs w:val="21"/>
              </w:rPr>
              <w:t>0.5</w:t>
            </w:r>
          </w:p>
        </w:tc>
      </w:tr>
    </w:tbl>
    <w:p w:rsidR="00907D48" w:rsidRPr="00907D48" w:rsidRDefault="0043193A" w:rsidP="00907D48">
      <w:pPr>
        <w:spacing w:line="520" w:lineRule="exact"/>
        <w:ind w:firstLineChars="200" w:firstLine="480"/>
        <w:rPr>
          <w:bCs/>
          <w:sz w:val="24"/>
        </w:rPr>
      </w:pPr>
      <w:r>
        <w:rPr>
          <w:sz w:val="24"/>
        </w:rPr>
        <w:t>由预测结果可知：</w:t>
      </w:r>
      <w:r w:rsidR="00907D48" w:rsidRPr="00907D48">
        <w:rPr>
          <w:rFonts w:hint="eastAsia"/>
          <w:sz w:val="24"/>
        </w:rPr>
        <w:t>生活污水处理站发生破损后，特征因子氨氮的预测结果</w:t>
      </w:r>
      <w:r w:rsidR="00907D48" w:rsidRPr="00907D48">
        <w:rPr>
          <w:rFonts w:hint="eastAsia"/>
          <w:bCs/>
          <w:sz w:val="24"/>
        </w:rPr>
        <w:t>，</w:t>
      </w:r>
      <w:r w:rsidR="00907D48" w:rsidRPr="00907D48">
        <w:rPr>
          <w:rFonts w:hint="eastAsia"/>
          <w:bCs/>
          <w:sz w:val="24"/>
        </w:rPr>
        <w:t>100</w:t>
      </w:r>
      <w:r w:rsidR="00907D48" w:rsidRPr="00907D48">
        <w:rPr>
          <w:rFonts w:hint="eastAsia"/>
          <w:bCs/>
          <w:sz w:val="24"/>
        </w:rPr>
        <w:t>天后，生活污水特征因子氨氮下游无超标情况，最大贡献值距事故源距离为</w:t>
      </w:r>
      <w:r w:rsidR="00B030AF">
        <w:rPr>
          <w:rFonts w:hint="eastAsia"/>
          <w:bCs/>
          <w:sz w:val="24"/>
        </w:rPr>
        <w:t>8</w:t>
      </w:r>
      <w:r w:rsidR="00907D48" w:rsidRPr="00907D48">
        <w:rPr>
          <w:rFonts w:hint="eastAsia"/>
          <w:bCs/>
          <w:sz w:val="24"/>
        </w:rPr>
        <w:t>m</w:t>
      </w:r>
      <w:r w:rsidR="00907D48" w:rsidRPr="00907D48">
        <w:rPr>
          <w:rFonts w:hint="eastAsia"/>
          <w:bCs/>
          <w:sz w:val="24"/>
        </w:rPr>
        <w:t>，最大浓度贡献值为</w:t>
      </w:r>
      <w:r w:rsidR="00907D48" w:rsidRPr="00907D48">
        <w:rPr>
          <w:rFonts w:hint="eastAsia"/>
          <w:bCs/>
          <w:sz w:val="24"/>
        </w:rPr>
        <w:t>0.</w:t>
      </w:r>
      <w:r w:rsidR="00B030AF">
        <w:rPr>
          <w:rFonts w:hint="eastAsia"/>
          <w:bCs/>
          <w:sz w:val="24"/>
        </w:rPr>
        <w:t>48482</w:t>
      </w:r>
      <w:r w:rsidR="00907D48" w:rsidRPr="00907D48">
        <w:rPr>
          <w:rFonts w:hint="eastAsia"/>
          <w:bCs/>
          <w:sz w:val="24"/>
        </w:rPr>
        <w:t>mg/L</w:t>
      </w:r>
      <w:r w:rsidR="00907D48" w:rsidRPr="00907D48">
        <w:rPr>
          <w:rFonts w:hint="eastAsia"/>
          <w:bCs/>
          <w:sz w:val="24"/>
        </w:rPr>
        <w:t>。</w:t>
      </w:r>
      <w:r w:rsidR="00907D48" w:rsidRPr="00907D48">
        <w:rPr>
          <w:rFonts w:hint="eastAsia"/>
          <w:bCs/>
          <w:sz w:val="24"/>
        </w:rPr>
        <w:t>1000</w:t>
      </w:r>
      <w:r w:rsidR="00907D48" w:rsidRPr="00907D48">
        <w:rPr>
          <w:rFonts w:hint="eastAsia"/>
          <w:bCs/>
          <w:sz w:val="24"/>
        </w:rPr>
        <w:t>天后，生活污水特征因子氨氮下游无超标情况，最大贡献值距事故源距离为</w:t>
      </w:r>
      <w:r w:rsidR="00B030AF">
        <w:rPr>
          <w:rFonts w:hint="eastAsia"/>
          <w:bCs/>
          <w:sz w:val="24"/>
        </w:rPr>
        <w:t>35</w:t>
      </w:r>
      <w:r w:rsidR="00907D48" w:rsidRPr="00907D48">
        <w:rPr>
          <w:rFonts w:hint="eastAsia"/>
          <w:bCs/>
          <w:sz w:val="24"/>
        </w:rPr>
        <w:t>m</w:t>
      </w:r>
      <w:r w:rsidR="00907D48" w:rsidRPr="00907D48">
        <w:rPr>
          <w:rFonts w:hint="eastAsia"/>
          <w:bCs/>
          <w:sz w:val="24"/>
        </w:rPr>
        <w:t>，最大浓度贡献值为</w:t>
      </w:r>
      <w:r w:rsidR="00907D48" w:rsidRPr="00907D48">
        <w:rPr>
          <w:rFonts w:hint="eastAsia"/>
          <w:bCs/>
          <w:sz w:val="24"/>
        </w:rPr>
        <w:t>0.0</w:t>
      </w:r>
      <w:r w:rsidR="00B030AF">
        <w:rPr>
          <w:rFonts w:hint="eastAsia"/>
          <w:bCs/>
          <w:sz w:val="24"/>
        </w:rPr>
        <w:t>7829</w:t>
      </w:r>
      <w:r w:rsidR="00907D48" w:rsidRPr="00907D48">
        <w:rPr>
          <w:rFonts w:hint="eastAsia"/>
          <w:bCs/>
          <w:sz w:val="24"/>
        </w:rPr>
        <w:t>mg/L</w:t>
      </w:r>
      <w:r w:rsidR="00907D48" w:rsidRPr="00907D48">
        <w:rPr>
          <w:rFonts w:hint="eastAsia"/>
          <w:bCs/>
          <w:sz w:val="24"/>
        </w:rPr>
        <w:t>。</w:t>
      </w:r>
      <w:r w:rsidR="00907D48" w:rsidRPr="00907D48">
        <w:rPr>
          <w:rFonts w:hint="eastAsia"/>
          <w:bCs/>
          <w:sz w:val="24"/>
        </w:rPr>
        <w:t>5000</w:t>
      </w:r>
      <w:r w:rsidR="00907D48" w:rsidRPr="00907D48">
        <w:rPr>
          <w:rFonts w:hint="eastAsia"/>
          <w:bCs/>
          <w:sz w:val="24"/>
        </w:rPr>
        <w:t>天后，生活污水特征因子氨氮下游无超标情况，最大贡献值距事故源距离为</w:t>
      </w:r>
      <w:r w:rsidR="00B030AF">
        <w:rPr>
          <w:rFonts w:hint="eastAsia"/>
          <w:bCs/>
          <w:sz w:val="24"/>
        </w:rPr>
        <w:t>130</w:t>
      </w:r>
      <w:r w:rsidR="00907D48" w:rsidRPr="00907D48">
        <w:rPr>
          <w:rFonts w:hint="eastAsia"/>
          <w:bCs/>
          <w:sz w:val="24"/>
        </w:rPr>
        <w:t>m</w:t>
      </w:r>
      <w:r w:rsidR="00907D48" w:rsidRPr="00907D48">
        <w:rPr>
          <w:rFonts w:hint="eastAsia"/>
          <w:bCs/>
          <w:sz w:val="24"/>
        </w:rPr>
        <w:t>，最大浓度贡献值为</w:t>
      </w:r>
      <w:r w:rsidR="00907D48" w:rsidRPr="00907D48">
        <w:rPr>
          <w:rFonts w:hint="eastAsia"/>
          <w:bCs/>
          <w:sz w:val="24"/>
        </w:rPr>
        <w:t>0.02</w:t>
      </w:r>
      <w:r w:rsidR="00B030AF">
        <w:rPr>
          <w:rFonts w:hint="eastAsia"/>
          <w:bCs/>
          <w:sz w:val="24"/>
        </w:rPr>
        <w:t>882</w:t>
      </w:r>
      <w:r w:rsidR="00907D48" w:rsidRPr="00907D48">
        <w:rPr>
          <w:rFonts w:hint="eastAsia"/>
          <w:bCs/>
          <w:sz w:val="24"/>
        </w:rPr>
        <w:t>mg/L</w:t>
      </w:r>
      <w:r w:rsidR="00907D48" w:rsidRPr="00907D48">
        <w:rPr>
          <w:rFonts w:hint="eastAsia"/>
          <w:bCs/>
          <w:sz w:val="24"/>
        </w:rPr>
        <w:t>。均满足《地下水质量标准》（</w:t>
      </w:r>
      <w:r w:rsidR="00907D48" w:rsidRPr="00907D48">
        <w:rPr>
          <w:rFonts w:hint="eastAsia"/>
          <w:bCs/>
          <w:sz w:val="24"/>
        </w:rPr>
        <w:t>GB/T14848-2017</w:t>
      </w:r>
      <w:r w:rsidR="00907D48" w:rsidRPr="00907D48">
        <w:rPr>
          <w:rFonts w:hint="eastAsia"/>
          <w:bCs/>
          <w:sz w:val="24"/>
        </w:rPr>
        <w:t>）</w:t>
      </w:r>
      <w:r w:rsidR="00907D48" w:rsidRPr="00907D48">
        <w:rPr>
          <w:rFonts w:hint="eastAsia"/>
          <w:bCs/>
          <w:sz w:val="24"/>
        </w:rPr>
        <w:t>III</w:t>
      </w:r>
      <w:r w:rsidR="00907D48" w:rsidRPr="00907D48">
        <w:rPr>
          <w:rFonts w:hint="eastAsia"/>
          <w:bCs/>
          <w:sz w:val="24"/>
        </w:rPr>
        <w:t>类标准要求。</w:t>
      </w:r>
    </w:p>
    <w:p w:rsidR="0043193A" w:rsidRDefault="0043193A" w:rsidP="0043193A">
      <w:pPr>
        <w:pStyle w:val="1552"/>
        <w:spacing w:line="240" w:lineRule="auto"/>
        <w:ind w:firstLineChars="0" w:firstLine="0"/>
        <w:jc w:val="center"/>
        <w:rPr>
          <w:rFonts w:cs="Times New Roman"/>
          <w:noProof/>
        </w:rPr>
      </w:pPr>
    </w:p>
    <w:p w:rsidR="004201F4" w:rsidRDefault="004201F4" w:rsidP="0043193A">
      <w:pPr>
        <w:pStyle w:val="1552"/>
        <w:spacing w:line="240" w:lineRule="auto"/>
        <w:ind w:firstLineChars="0" w:firstLine="0"/>
        <w:jc w:val="center"/>
        <w:rPr>
          <w:rFonts w:cs="Times New Roman"/>
          <w:noProof/>
        </w:rPr>
      </w:pPr>
    </w:p>
    <w:p w:rsidR="0019351A" w:rsidRDefault="0019351A" w:rsidP="0019351A">
      <w:r>
        <w:rPr>
          <w:noProof/>
        </w:rPr>
        <w:lastRenderedPageBreak/>
        <w:drawing>
          <wp:inline distT="0" distB="0" distL="0" distR="0">
            <wp:extent cx="5274310" cy="2290418"/>
            <wp:effectExtent l="0" t="0" r="2540" b="0"/>
            <wp:docPr id="179" name="图表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43193A" w:rsidRDefault="0043193A" w:rsidP="0043193A">
      <w:pPr>
        <w:spacing w:line="520" w:lineRule="exact"/>
        <w:jc w:val="center"/>
        <w:rPr>
          <w:bCs/>
          <w:kern w:val="0"/>
          <w:sz w:val="24"/>
          <w:szCs w:val="21"/>
        </w:rPr>
      </w:pPr>
      <w:r>
        <w:rPr>
          <w:bCs/>
          <w:kern w:val="0"/>
          <w:sz w:val="24"/>
          <w:szCs w:val="21"/>
        </w:rPr>
        <w:t>图</w:t>
      </w:r>
      <w:r>
        <w:rPr>
          <w:bCs/>
          <w:kern w:val="0"/>
          <w:sz w:val="24"/>
          <w:szCs w:val="21"/>
        </w:rPr>
        <w:t>6.3-</w:t>
      </w:r>
      <w:r w:rsidR="004201F4">
        <w:rPr>
          <w:rFonts w:hint="eastAsia"/>
          <w:bCs/>
          <w:kern w:val="0"/>
          <w:sz w:val="24"/>
          <w:szCs w:val="21"/>
        </w:rPr>
        <w:t>5</w:t>
      </w:r>
      <w:r>
        <w:rPr>
          <w:bCs/>
          <w:kern w:val="0"/>
          <w:sz w:val="24"/>
          <w:szCs w:val="21"/>
        </w:rPr>
        <w:t xml:space="preserve">  100</w:t>
      </w:r>
      <w:r>
        <w:rPr>
          <w:bCs/>
          <w:kern w:val="0"/>
          <w:sz w:val="24"/>
          <w:szCs w:val="21"/>
        </w:rPr>
        <w:t>天</w:t>
      </w:r>
      <w:r w:rsidR="004201F4">
        <w:rPr>
          <w:rFonts w:hint="eastAsia"/>
          <w:bCs/>
          <w:kern w:val="0"/>
          <w:sz w:val="24"/>
          <w:szCs w:val="21"/>
        </w:rPr>
        <w:t>氨氮</w:t>
      </w:r>
      <w:r>
        <w:rPr>
          <w:bCs/>
          <w:kern w:val="0"/>
          <w:sz w:val="24"/>
          <w:szCs w:val="21"/>
        </w:rPr>
        <w:t>浓度与距离关系曲线</w:t>
      </w:r>
    </w:p>
    <w:p w:rsidR="007355EE" w:rsidRDefault="007355EE" w:rsidP="0043193A">
      <w:pPr>
        <w:pStyle w:val="1552"/>
        <w:spacing w:line="240" w:lineRule="auto"/>
        <w:ind w:firstLineChars="0" w:firstLine="0"/>
        <w:jc w:val="center"/>
        <w:rPr>
          <w:rFonts w:cs="Times New Roman"/>
          <w:noProof/>
        </w:rPr>
      </w:pPr>
    </w:p>
    <w:p w:rsidR="007355EE" w:rsidRDefault="007355EE" w:rsidP="0043193A">
      <w:pPr>
        <w:pStyle w:val="1552"/>
        <w:spacing w:line="240" w:lineRule="auto"/>
        <w:ind w:firstLineChars="0" w:firstLine="0"/>
        <w:jc w:val="center"/>
        <w:rPr>
          <w:rFonts w:cs="Times New Roman"/>
          <w:noProof/>
        </w:rPr>
      </w:pPr>
      <w:r>
        <w:rPr>
          <w:noProof/>
        </w:rPr>
        <w:drawing>
          <wp:inline distT="0" distB="0" distL="0" distR="0">
            <wp:extent cx="5486400" cy="2382520"/>
            <wp:effectExtent l="0" t="0" r="0" b="0"/>
            <wp:docPr id="180" name="图表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3193A" w:rsidRDefault="0043193A" w:rsidP="0043193A">
      <w:pPr>
        <w:pStyle w:val="1552"/>
        <w:spacing w:line="240" w:lineRule="auto"/>
        <w:ind w:firstLineChars="0" w:firstLine="0"/>
        <w:jc w:val="center"/>
        <w:rPr>
          <w:rFonts w:cs="Times New Roman"/>
          <w:bCs/>
          <w:kern w:val="0"/>
          <w:szCs w:val="21"/>
        </w:rPr>
      </w:pPr>
      <w:r>
        <w:rPr>
          <w:rFonts w:cs="Times New Roman"/>
          <w:bCs/>
          <w:kern w:val="0"/>
          <w:szCs w:val="21"/>
        </w:rPr>
        <w:t>图</w:t>
      </w:r>
      <w:r>
        <w:rPr>
          <w:rFonts w:cs="Times New Roman"/>
          <w:bCs/>
          <w:kern w:val="0"/>
          <w:szCs w:val="21"/>
        </w:rPr>
        <w:t>6.3-</w:t>
      </w:r>
      <w:r w:rsidR="0019351A">
        <w:rPr>
          <w:rFonts w:cs="Times New Roman" w:hint="eastAsia"/>
          <w:bCs/>
          <w:kern w:val="0"/>
          <w:szCs w:val="21"/>
        </w:rPr>
        <w:t>6</w:t>
      </w:r>
      <w:r>
        <w:rPr>
          <w:rFonts w:cs="Times New Roman"/>
          <w:bCs/>
          <w:kern w:val="0"/>
          <w:szCs w:val="21"/>
        </w:rPr>
        <w:t xml:space="preserve"> 1000</w:t>
      </w:r>
      <w:r>
        <w:rPr>
          <w:rFonts w:cs="Times New Roman"/>
          <w:bCs/>
          <w:kern w:val="0"/>
          <w:szCs w:val="21"/>
        </w:rPr>
        <w:t>天</w:t>
      </w:r>
      <w:r w:rsidR="0019351A">
        <w:rPr>
          <w:rFonts w:cs="Times New Roman" w:hint="eastAsia"/>
          <w:bCs/>
          <w:kern w:val="0"/>
          <w:szCs w:val="21"/>
        </w:rPr>
        <w:t>氨氮</w:t>
      </w:r>
      <w:r>
        <w:rPr>
          <w:rFonts w:cs="Times New Roman"/>
          <w:bCs/>
          <w:kern w:val="0"/>
          <w:szCs w:val="21"/>
        </w:rPr>
        <w:t>浓度与距离关系曲线</w:t>
      </w:r>
    </w:p>
    <w:p w:rsidR="00B030AF" w:rsidRDefault="00B030AF" w:rsidP="0043193A">
      <w:pPr>
        <w:pStyle w:val="1552"/>
        <w:spacing w:line="240" w:lineRule="auto"/>
        <w:ind w:firstLineChars="0" w:firstLine="0"/>
        <w:jc w:val="center"/>
        <w:rPr>
          <w:rFonts w:cs="Times New Roman"/>
          <w:noProof/>
        </w:rPr>
      </w:pPr>
      <w:r>
        <w:rPr>
          <w:noProof/>
        </w:rPr>
        <w:drawing>
          <wp:inline distT="0" distB="0" distL="0" distR="0">
            <wp:extent cx="5486400" cy="2382520"/>
            <wp:effectExtent l="0" t="0" r="0" b="0"/>
            <wp:docPr id="181" name="图表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3193A" w:rsidRDefault="0043193A" w:rsidP="0043193A">
      <w:pPr>
        <w:pStyle w:val="1552"/>
        <w:spacing w:line="240" w:lineRule="auto"/>
        <w:ind w:firstLineChars="0" w:firstLine="0"/>
        <w:jc w:val="center"/>
        <w:rPr>
          <w:rFonts w:cs="Times New Roman"/>
          <w:bCs/>
          <w:kern w:val="0"/>
          <w:szCs w:val="21"/>
        </w:rPr>
      </w:pPr>
      <w:r>
        <w:rPr>
          <w:rFonts w:cs="Times New Roman"/>
          <w:bCs/>
          <w:kern w:val="0"/>
          <w:szCs w:val="21"/>
        </w:rPr>
        <w:t>图</w:t>
      </w:r>
      <w:r>
        <w:rPr>
          <w:rFonts w:cs="Times New Roman"/>
          <w:bCs/>
          <w:kern w:val="0"/>
          <w:szCs w:val="21"/>
        </w:rPr>
        <w:t>6.3-</w:t>
      </w:r>
      <w:r w:rsidR="0019351A">
        <w:rPr>
          <w:rFonts w:cs="Times New Roman" w:hint="eastAsia"/>
          <w:bCs/>
          <w:kern w:val="0"/>
          <w:szCs w:val="21"/>
        </w:rPr>
        <w:t>7</w:t>
      </w:r>
      <w:r>
        <w:rPr>
          <w:rFonts w:cs="Times New Roman"/>
          <w:bCs/>
          <w:kern w:val="0"/>
          <w:szCs w:val="21"/>
        </w:rPr>
        <w:t xml:space="preserve">  5000</w:t>
      </w:r>
      <w:r>
        <w:rPr>
          <w:rFonts w:cs="Times New Roman"/>
          <w:bCs/>
          <w:kern w:val="0"/>
          <w:szCs w:val="21"/>
        </w:rPr>
        <w:t>天</w:t>
      </w:r>
      <w:r w:rsidR="00B030AF">
        <w:rPr>
          <w:rFonts w:cs="Times New Roman" w:hint="eastAsia"/>
          <w:bCs/>
          <w:kern w:val="0"/>
          <w:szCs w:val="21"/>
        </w:rPr>
        <w:t>氨氮</w:t>
      </w:r>
      <w:r>
        <w:rPr>
          <w:rFonts w:cs="Times New Roman"/>
          <w:bCs/>
          <w:kern w:val="0"/>
          <w:szCs w:val="21"/>
        </w:rPr>
        <w:t>浓度与距离关系曲线</w:t>
      </w:r>
    </w:p>
    <w:p w:rsidR="00964712" w:rsidRDefault="00964712" w:rsidP="00907D48">
      <w:pPr>
        <w:pStyle w:val="1552"/>
        <w:ind w:firstLine="480"/>
        <w:rPr>
          <w:bCs/>
          <w:kern w:val="0"/>
          <w:szCs w:val="24"/>
        </w:rPr>
      </w:pPr>
      <w:r>
        <w:rPr>
          <w:rFonts w:cs="Times New Roman" w:hint="eastAsia"/>
          <w:color w:val="auto"/>
        </w:rPr>
        <w:t>（</w:t>
      </w:r>
      <w:r w:rsidR="00907D48">
        <w:rPr>
          <w:rFonts w:cs="Times New Roman" w:hint="eastAsia"/>
          <w:color w:val="auto"/>
        </w:rPr>
        <w:t>5</w:t>
      </w:r>
      <w:r>
        <w:rPr>
          <w:rFonts w:cs="Times New Roman" w:hint="eastAsia"/>
          <w:color w:val="auto"/>
        </w:rPr>
        <w:t>）非正常情况</w:t>
      </w:r>
      <w:r>
        <w:rPr>
          <w:rFonts w:hint="eastAsia"/>
        </w:rPr>
        <w:t>矿井水</w:t>
      </w:r>
      <w:r w:rsidR="00907D48">
        <w:rPr>
          <w:rFonts w:hint="eastAsia"/>
        </w:rPr>
        <w:t>氟化物</w:t>
      </w:r>
      <w:r>
        <w:rPr>
          <w:rFonts w:hint="eastAsia"/>
        </w:rPr>
        <w:t>污染物运移预测结果</w:t>
      </w:r>
    </w:p>
    <w:p w:rsidR="00964712" w:rsidRDefault="00964712" w:rsidP="00964712">
      <w:pPr>
        <w:spacing w:line="520" w:lineRule="exact"/>
        <w:ind w:firstLineChars="200" w:firstLine="480"/>
        <w:rPr>
          <w:color w:val="000000"/>
          <w:sz w:val="24"/>
        </w:rPr>
      </w:pPr>
      <w:r>
        <w:rPr>
          <w:rFonts w:hint="eastAsia"/>
          <w:color w:val="000000"/>
          <w:sz w:val="24"/>
        </w:rPr>
        <w:lastRenderedPageBreak/>
        <w:t>矿井水处理站发生破损后，污染物泄漏截止时间按发现及修复事故工况时间为</w:t>
      </w:r>
      <w:r>
        <w:rPr>
          <w:rFonts w:hint="eastAsia"/>
          <w:color w:val="000000"/>
          <w:sz w:val="24"/>
        </w:rPr>
        <w:t>10</w:t>
      </w:r>
      <w:r>
        <w:rPr>
          <w:rFonts w:hint="eastAsia"/>
          <w:color w:val="000000"/>
          <w:sz w:val="24"/>
        </w:rPr>
        <w:t>天计，特征因子</w:t>
      </w:r>
      <w:r w:rsidR="00907D48">
        <w:rPr>
          <w:rFonts w:hint="eastAsia"/>
          <w:color w:val="000000"/>
          <w:sz w:val="24"/>
        </w:rPr>
        <w:t>氟化物</w:t>
      </w:r>
      <w:r>
        <w:rPr>
          <w:rFonts w:hint="eastAsia"/>
          <w:color w:val="000000"/>
          <w:sz w:val="24"/>
        </w:rPr>
        <w:t>的预测结果见表</w:t>
      </w:r>
      <w:r>
        <w:rPr>
          <w:rFonts w:hint="eastAsia"/>
          <w:color w:val="000000"/>
          <w:sz w:val="24"/>
        </w:rPr>
        <w:t>6.</w:t>
      </w:r>
      <w:r w:rsidR="00B030AF">
        <w:rPr>
          <w:rFonts w:hint="eastAsia"/>
          <w:color w:val="000000"/>
          <w:sz w:val="24"/>
        </w:rPr>
        <w:t>3-5</w:t>
      </w:r>
      <w:r>
        <w:rPr>
          <w:rFonts w:hint="eastAsia"/>
          <w:color w:val="000000"/>
          <w:sz w:val="24"/>
        </w:rPr>
        <w:t>。</w:t>
      </w:r>
    </w:p>
    <w:p w:rsidR="00964712" w:rsidRDefault="00964712" w:rsidP="00B030AF">
      <w:pPr>
        <w:pStyle w:val="1552"/>
        <w:ind w:firstLineChars="0" w:firstLine="0"/>
        <w:jc w:val="center"/>
        <w:rPr>
          <w:rFonts w:cs="Times New Roman"/>
          <w:color w:val="auto"/>
        </w:rPr>
      </w:pPr>
      <w:r>
        <w:rPr>
          <w:rFonts w:cs="Times New Roman" w:hint="eastAsia"/>
          <w:color w:val="auto"/>
        </w:rPr>
        <w:t>表</w:t>
      </w:r>
      <w:r>
        <w:rPr>
          <w:rFonts w:cs="Times New Roman" w:hint="eastAsia"/>
          <w:color w:val="auto"/>
        </w:rPr>
        <w:t>6.</w:t>
      </w:r>
      <w:r w:rsidR="00B030AF">
        <w:rPr>
          <w:rFonts w:cs="Times New Roman" w:hint="eastAsia"/>
          <w:color w:val="auto"/>
        </w:rPr>
        <w:t>3-5</w:t>
      </w:r>
      <w:r>
        <w:rPr>
          <w:rFonts w:cs="Times New Roman" w:hint="eastAsia"/>
          <w:color w:val="auto"/>
        </w:rPr>
        <w:t xml:space="preserve">   </w:t>
      </w:r>
      <w:r>
        <w:rPr>
          <w:rFonts w:cs="Times New Roman" w:hint="eastAsia"/>
          <w:color w:val="auto"/>
        </w:rPr>
        <w:t>矿井水泄漏不同时间点</w:t>
      </w:r>
      <w:r w:rsidR="00B030AF">
        <w:rPr>
          <w:rFonts w:cs="Times New Roman" w:hint="eastAsia"/>
          <w:color w:val="auto"/>
        </w:rPr>
        <w:t>氟化物</w:t>
      </w:r>
      <w:r>
        <w:rPr>
          <w:rFonts w:cs="Times New Roman" w:hint="eastAsia"/>
          <w:color w:val="auto"/>
        </w:rPr>
        <w:t>最大浓度预测结果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31"/>
        <w:gridCol w:w="1601"/>
        <w:gridCol w:w="1546"/>
        <w:gridCol w:w="1108"/>
        <w:gridCol w:w="1195"/>
        <w:gridCol w:w="1220"/>
        <w:gridCol w:w="1345"/>
      </w:tblGrid>
      <w:tr w:rsidR="00964712" w:rsidTr="00705836">
        <w:trPr>
          <w:cantSplit/>
          <w:trHeight w:val="360"/>
          <w:tblHeader/>
          <w:jc w:val="center"/>
        </w:trPr>
        <w:tc>
          <w:tcPr>
            <w:tcW w:w="520" w:type="pct"/>
            <w:vAlign w:val="center"/>
          </w:tcPr>
          <w:p w:rsidR="00964712" w:rsidRDefault="00964712" w:rsidP="00964712">
            <w:pPr>
              <w:spacing w:line="360" w:lineRule="exact"/>
              <w:ind w:leftChars="-50" w:left="-140" w:rightChars="-50" w:right="-140"/>
              <w:jc w:val="center"/>
              <w:rPr>
                <w:b/>
                <w:bCs/>
                <w:sz w:val="21"/>
                <w:szCs w:val="21"/>
              </w:rPr>
            </w:pPr>
            <w:r>
              <w:rPr>
                <w:rFonts w:hint="eastAsia"/>
                <w:b/>
                <w:bCs/>
                <w:sz w:val="21"/>
                <w:szCs w:val="21"/>
              </w:rPr>
              <w:t>名称</w:t>
            </w:r>
          </w:p>
        </w:tc>
        <w:tc>
          <w:tcPr>
            <w:tcW w:w="895" w:type="pct"/>
            <w:vAlign w:val="center"/>
          </w:tcPr>
          <w:p w:rsidR="00964712" w:rsidRDefault="00964712" w:rsidP="00964712">
            <w:pPr>
              <w:spacing w:line="360" w:lineRule="exact"/>
              <w:ind w:leftChars="-50" w:left="-140" w:rightChars="-50" w:right="-140"/>
              <w:jc w:val="center"/>
              <w:rPr>
                <w:b/>
                <w:bCs/>
                <w:sz w:val="21"/>
                <w:szCs w:val="21"/>
              </w:rPr>
            </w:pPr>
            <w:r>
              <w:rPr>
                <w:rFonts w:hint="eastAsia"/>
                <w:b/>
                <w:bCs/>
                <w:sz w:val="21"/>
                <w:szCs w:val="21"/>
              </w:rPr>
              <w:t>最大贡献值距事故源距离（</w:t>
            </w:r>
            <w:r>
              <w:rPr>
                <w:b/>
                <w:sz w:val="21"/>
                <w:szCs w:val="21"/>
              </w:rPr>
              <w:t>m</w:t>
            </w:r>
            <w:r>
              <w:rPr>
                <w:rFonts w:hint="eastAsia"/>
                <w:b/>
                <w:bCs/>
                <w:sz w:val="21"/>
                <w:szCs w:val="21"/>
              </w:rPr>
              <w:t>）</w:t>
            </w:r>
          </w:p>
        </w:tc>
        <w:tc>
          <w:tcPr>
            <w:tcW w:w="864" w:type="pct"/>
            <w:vAlign w:val="center"/>
          </w:tcPr>
          <w:p w:rsidR="00964712" w:rsidRDefault="00964712" w:rsidP="00705836">
            <w:pPr>
              <w:spacing w:line="360" w:lineRule="exact"/>
              <w:ind w:left="-50" w:right="-50"/>
              <w:jc w:val="center"/>
              <w:rPr>
                <w:b/>
                <w:bCs/>
                <w:sz w:val="21"/>
                <w:szCs w:val="21"/>
              </w:rPr>
            </w:pPr>
            <w:r>
              <w:rPr>
                <w:rFonts w:hint="eastAsia"/>
                <w:b/>
                <w:bCs/>
                <w:sz w:val="21"/>
                <w:szCs w:val="21"/>
              </w:rPr>
              <w:t>最大预测值（</w:t>
            </w:r>
            <w:r>
              <w:rPr>
                <w:b/>
                <w:sz w:val="21"/>
                <w:szCs w:val="21"/>
              </w:rPr>
              <w:t>mg/L</w:t>
            </w:r>
            <w:r>
              <w:rPr>
                <w:rFonts w:hint="eastAsia"/>
                <w:b/>
                <w:bCs/>
                <w:sz w:val="21"/>
                <w:szCs w:val="21"/>
              </w:rPr>
              <w:t>）</w:t>
            </w:r>
          </w:p>
        </w:tc>
        <w:tc>
          <w:tcPr>
            <w:tcW w:w="619" w:type="pct"/>
            <w:vAlign w:val="center"/>
          </w:tcPr>
          <w:p w:rsidR="00964712" w:rsidRDefault="00964712" w:rsidP="00705836">
            <w:pPr>
              <w:spacing w:line="360" w:lineRule="exact"/>
              <w:ind w:left="-50" w:right="-50"/>
              <w:jc w:val="center"/>
              <w:rPr>
                <w:b/>
                <w:bCs/>
                <w:sz w:val="21"/>
                <w:szCs w:val="21"/>
              </w:rPr>
            </w:pPr>
            <w:r>
              <w:rPr>
                <w:rFonts w:hint="eastAsia"/>
                <w:b/>
                <w:bCs/>
                <w:sz w:val="21"/>
                <w:szCs w:val="21"/>
              </w:rPr>
              <w:t>最远影响距离（</w:t>
            </w:r>
            <w:r>
              <w:rPr>
                <w:b/>
                <w:sz w:val="21"/>
                <w:szCs w:val="21"/>
              </w:rPr>
              <w:t>m</w:t>
            </w:r>
            <w:r>
              <w:rPr>
                <w:rFonts w:hint="eastAsia"/>
                <w:b/>
                <w:bCs/>
                <w:sz w:val="21"/>
                <w:szCs w:val="21"/>
              </w:rPr>
              <w:t>）</w:t>
            </w:r>
          </w:p>
        </w:tc>
        <w:tc>
          <w:tcPr>
            <w:tcW w:w="668" w:type="pct"/>
            <w:vAlign w:val="center"/>
          </w:tcPr>
          <w:p w:rsidR="00964712" w:rsidRDefault="00964712" w:rsidP="00705836">
            <w:pPr>
              <w:spacing w:line="360" w:lineRule="exact"/>
              <w:ind w:left="-50" w:right="-50"/>
              <w:jc w:val="center"/>
              <w:rPr>
                <w:b/>
                <w:bCs/>
                <w:sz w:val="21"/>
                <w:szCs w:val="21"/>
              </w:rPr>
            </w:pPr>
            <w:r>
              <w:rPr>
                <w:rFonts w:hint="eastAsia"/>
                <w:b/>
                <w:bCs/>
                <w:sz w:val="21"/>
                <w:szCs w:val="21"/>
              </w:rPr>
              <w:t>开始超标距离（</w:t>
            </w:r>
            <w:r>
              <w:rPr>
                <w:b/>
                <w:sz w:val="21"/>
                <w:szCs w:val="21"/>
              </w:rPr>
              <w:t>m</w:t>
            </w:r>
            <w:r>
              <w:rPr>
                <w:rFonts w:hint="eastAsia"/>
                <w:b/>
                <w:bCs/>
                <w:sz w:val="21"/>
                <w:szCs w:val="21"/>
              </w:rPr>
              <w:t>）</w:t>
            </w:r>
          </w:p>
        </w:tc>
        <w:tc>
          <w:tcPr>
            <w:tcW w:w="682" w:type="pct"/>
            <w:vAlign w:val="center"/>
          </w:tcPr>
          <w:p w:rsidR="00964712" w:rsidRDefault="00964712" w:rsidP="00705836">
            <w:pPr>
              <w:spacing w:line="360" w:lineRule="exact"/>
              <w:ind w:left="-50" w:right="-50"/>
              <w:jc w:val="center"/>
              <w:rPr>
                <w:b/>
                <w:bCs/>
                <w:sz w:val="21"/>
                <w:szCs w:val="21"/>
              </w:rPr>
            </w:pPr>
            <w:r>
              <w:rPr>
                <w:rFonts w:hint="eastAsia"/>
                <w:b/>
                <w:bCs/>
                <w:sz w:val="21"/>
                <w:szCs w:val="21"/>
              </w:rPr>
              <w:t>开始达标距离（</w:t>
            </w:r>
            <w:r>
              <w:rPr>
                <w:b/>
                <w:sz w:val="21"/>
                <w:szCs w:val="21"/>
              </w:rPr>
              <w:t>m</w:t>
            </w:r>
            <w:r>
              <w:rPr>
                <w:rFonts w:hint="eastAsia"/>
                <w:b/>
                <w:bCs/>
                <w:sz w:val="21"/>
                <w:szCs w:val="21"/>
              </w:rPr>
              <w:t>）</w:t>
            </w:r>
          </w:p>
        </w:tc>
        <w:tc>
          <w:tcPr>
            <w:tcW w:w="752" w:type="pct"/>
            <w:vAlign w:val="center"/>
          </w:tcPr>
          <w:p w:rsidR="00964712" w:rsidRDefault="00964712" w:rsidP="00705836">
            <w:pPr>
              <w:spacing w:line="360" w:lineRule="exact"/>
              <w:ind w:left="-50" w:right="-50"/>
              <w:jc w:val="center"/>
              <w:rPr>
                <w:b/>
                <w:bCs/>
                <w:sz w:val="21"/>
                <w:szCs w:val="21"/>
              </w:rPr>
            </w:pPr>
            <w:r>
              <w:rPr>
                <w:rFonts w:hint="eastAsia"/>
                <w:b/>
                <w:bCs/>
                <w:sz w:val="21"/>
                <w:szCs w:val="21"/>
              </w:rPr>
              <w:t>标准值（</w:t>
            </w:r>
            <w:r>
              <w:rPr>
                <w:b/>
                <w:sz w:val="21"/>
                <w:szCs w:val="21"/>
              </w:rPr>
              <w:t>mg/L</w:t>
            </w:r>
            <w:r>
              <w:rPr>
                <w:rFonts w:hint="eastAsia"/>
                <w:b/>
                <w:bCs/>
                <w:sz w:val="21"/>
                <w:szCs w:val="21"/>
              </w:rPr>
              <w:t>）</w:t>
            </w:r>
          </w:p>
        </w:tc>
      </w:tr>
      <w:tr w:rsidR="00964712" w:rsidTr="00705836">
        <w:trPr>
          <w:cantSplit/>
          <w:trHeight w:val="96"/>
          <w:jc w:val="center"/>
        </w:trPr>
        <w:tc>
          <w:tcPr>
            <w:tcW w:w="520" w:type="pct"/>
            <w:vAlign w:val="center"/>
          </w:tcPr>
          <w:p w:rsidR="00964712" w:rsidRDefault="00964712" w:rsidP="00705836">
            <w:pPr>
              <w:spacing w:line="360" w:lineRule="exact"/>
              <w:ind w:left="-50" w:right="-50"/>
              <w:jc w:val="center"/>
              <w:rPr>
                <w:bCs/>
                <w:sz w:val="21"/>
                <w:szCs w:val="21"/>
              </w:rPr>
            </w:pPr>
            <w:r>
              <w:rPr>
                <w:bCs/>
                <w:sz w:val="21"/>
                <w:szCs w:val="21"/>
              </w:rPr>
              <w:t>100d</w:t>
            </w:r>
          </w:p>
        </w:tc>
        <w:tc>
          <w:tcPr>
            <w:tcW w:w="895" w:type="pct"/>
            <w:vAlign w:val="center"/>
          </w:tcPr>
          <w:p w:rsidR="00964712" w:rsidRDefault="00B030AF" w:rsidP="00705836">
            <w:pPr>
              <w:spacing w:line="360" w:lineRule="exact"/>
              <w:ind w:left="-50" w:right="-50"/>
              <w:jc w:val="center"/>
              <w:rPr>
                <w:sz w:val="21"/>
                <w:szCs w:val="21"/>
              </w:rPr>
            </w:pPr>
            <w:r>
              <w:rPr>
                <w:rFonts w:hint="eastAsia"/>
                <w:sz w:val="21"/>
                <w:szCs w:val="21"/>
              </w:rPr>
              <w:t>8</w:t>
            </w:r>
          </w:p>
        </w:tc>
        <w:tc>
          <w:tcPr>
            <w:tcW w:w="864" w:type="pct"/>
            <w:vAlign w:val="center"/>
          </w:tcPr>
          <w:p w:rsidR="00964712" w:rsidRDefault="00B030AF" w:rsidP="00C3702F">
            <w:pPr>
              <w:spacing w:line="360" w:lineRule="exact"/>
              <w:ind w:left="-50" w:right="-50"/>
              <w:jc w:val="center"/>
              <w:rPr>
                <w:bCs/>
                <w:sz w:val="21"/>
                <w:szCs w:val="21"/>
              </w:rPr>
            </w:pPr>
            <w:r w:rsidRPr="00B030AF">
              <w:rPr>
                <w:bCs/>
                <w:sz w:val="21"/>
                <w:szCs w:val="21"/>
              </w:rPr>
              <w:t>0.115531</w:t>
            </w:r>
          </w:p>
        </w:tc>
        <w:tc>
          <w:tcPr>
            <w:tcW w:w="619" w:type="pct"/>
            <w:vAlign w:val="center"/>
          </w:tcPr>
          <w:p w:rsidR="00964712" w:rsidRDefault="00B030AF" w:rsidP="00705836">
            <w:pPr>
              <w:spacing w:line="360" w:lineRule="exact"/>
              <w:ind w:left="-50" w:right="-50"/>
              <w:jc w:val="center"/>
              <w:rPr>
                <w:bCs/>
                <w:sz w:val="21"/>
                <w:szCs w:val="21"/>
              </w:rPr>
            </w:pPr>
            <w:r>
              <w:rPr>
                <w:rFonts w:hint="eastAsia"/>
                <w:bCs/>
                <w:sz w:val="21"/>
                <w:szCs w:val="21"/>
              </w:rPr>
              <w:t>255</w:t>
            </w:r>
          </w:p>
        </w:tc>
        <w:tc>
          <w:tcPr>
            <w:tcW w:w="668" w:type="pct"/>
            <w:vAlign w:val="center"/>
          </w:tcPr>
          <w:p w:rsidR="00964712" w:rsidRDefault="00964712" w:rsidP="00705836">
            <w:pPr>
              <w:spacing w:line="360" w:lineRule="exact"/>
              <w:ind w:left="-50" w:right="-50"/>
              <w:jc w:val="center"/>
              <w:rPr>
                <w:bCs/>
                <w:sz w:val="21"/>
                <w:szCs w:val="21"/>
              </w:rPr>
            </w:pPr>
            <w:r>
              <w:rPr>
                <w:rFonts w:hint="eastAsia"/>
                <w:bCs/>
                <w:sz w:val="21"/>
                <w:szCs w:val="21"/>
              </w:rPr>
              <w:t>/</w:t>
            </w:r>
          </w:p>
        </w:tc>
        <w:tc>
          <w:tcPr>
            <w:tcW w:w="682" w:type="pct"/>
            <w:vAlign w:val="center"/>
          </w:tcPr>
          <w:p w:rsidR="00964712" w:rsidRDefault="00964712" w:rsidP="00705836">
            <w:pPr>
              <w:spacing w:line="360" w:lineRule="exact"/>
              <w:ind w:left="-50" w:right="-50"/>
              <w:jc w:val="center"/>
              <w:rPr>
                <w:bCs/>
                <w:sz w:val="21"/>
                <w:szCs w:val="21"/>
              </w:rPr>
            </w:pPr>
            <w:r>
              <w:rPr>
                <w:rFonts w:hint="eastAsia"/>
                <w:bCs/>
                <w:sz w:val="21"/>
                <w:szCs w:val="21"/>
              </w:rPr>
              <w:t>/</w:t>
            </w:r>
          </w:p>
        </w:tc>
        <w:tc>
          <w:tcPr>
            <w:tcW w:w="752" w:type="pct"/>
            <w:vAlign w:val="center"/>
          </w:tcPr>
          <w:p w:rsidR="00964712" w:rsidRDefault="00B030AF" w:rsidP="00705836">
            <w:pPr>
              <w:spacing w:line="360" w:lineRule="exact"/>
              <w:ind w:left="-50" w:right="-50"/>
              <w:jc w:val="center"/>
              <w:rPr>
                <w:bCs/>
                <w:sz w:val="21"/>
                <w:szCs w:val="21"/>
              </w:rPr>
            </w:pPr>
            <w:r>
              <w:rPr>
                <w:rFonts w:hint="eastAsia"/>
                <w:bCs/>
                <w:sz w:val="21"/>
                <w:szCs w:val="21"/>
              </w:rPr>
              <w:t>1.0</w:t>
            </w:r>
          </w:p>
        </w:tc>
      </w:tr>
      <w:tr w:rsidR="00964712" w:rsidTr="00705836">
        <w:trPr>
          <w:cantSplit/>
          <w:trHeight w:val="395"/>
          <w:jc w:val="center"/>
        </w:trPr>
        <w:tc>
          <w:tcPr>
            <w:tcW w:w="520" w:type="pct"/>
            <w:vAlign w:val="center"/>
          </w:tcPr>
          <w:p w:rsidR="00964712" w:rsidRDefault="00964712" w:rsidP="00705836">
            <w:pPr>
              <w:spacing w:line="360" w:lineRule="exact"/>
              <w:ind w:left="-50" w:right="-50"/>
              <w:jc w:val="center"/>
              <w:rPr>
                <w:bCs/>
                <w:sz w:val="21"/>
                <w:szCs w:val="21"/>
              </w:rPr>
            </w:pPr>
            <w:r>
              <w:rPr>
                <w:bCs/>
                <w:sz w:val="21"/>
                <w:szCs w:val="21"/>
              </w:rPr>
              <w:t>1000d</w:t>
            </w:r>
          </w:p>
        </w:tc>
        <w:tc>
          <w:tcPr>
            <w:tcW w:w="895" w:type="pct"/>
            <w:vAlign w:val="center"/>
          </w:tcPr>
          <w:p w:rsidR="00964712" w:rsidRDefault="00C3702F" w:rsidP="00705836">
            <w:pPr>
              <w:spacing w:line="360" w:lineRule="exact"/>
              <w:ind w:left="-50" w:right="-50"/>
              <w:jc w:val="center"/>
              <w:rPr>
                <w:sz w:val="21"/>
                <w:szCs w:val="21"/>
              </w:rPr>
            </w:pPr>
            <w:r>
              <w:rPr>
                <w:rFonts w:hint="eastAsia"/>
                <w:sz w:val="21"/>
                <w:szCs w:val="21"/>
              </w:rPr>
              <w:t>35</w:t>
            </w:r>
          </w:p>
        </w:tc>
        <w:tc>
          <w:tcPr>
            <w:tcW w:w="864" w:type="pct"/>
            <w:vAlign w:val="center"/>
          </w:tcPr>
          <w:p w:rsidR="00964712" w:rsidRDefault="00C3702F" w:rsidP="00705836">
            <w:pPr>
              <w:spacing w:line="360" w:lineRule="exact"/>
              <w:ind w:left="-50" w:right="-50"/>
              <w:jc w:val="center"/>
              <w:rPr>
                <w:bCs/>
                <w:sz w:val="21"/>
                <w:szCs w:val="21"/>
              </w:rPr>
            </w:pPr>
            <w:r w:rsidRPr="00C3702F">
              <w:rPr>
                <w:bCs/>
                <w:sz w:val="21"/>
                <w:szCs w:val="21"/>
              </w:rPr>
              <w:t>0.018656</w:t>
            </w:r>
          </w:p>
        </w:tc>
        <w:tc>
          <w:tcPr>
            <w:tcW w:w="619" w:type="pct"/>
            <w:vAlign w:val="center"/>
          </w:tcPr>
          <w:p w:rsidR="00964712" w:rsidRDefault="00C3702F" w:rsidP="00705836">
            <w:pPr>
              <w:spacing w:line="360" w:lineRule="exact"/>
              <w:ind w:left="-50" w:right="-50"/>
              <w:jc w:val="center"/>
              <w:rPr>
                <w:bCs/>
                <w:sz w:val="21"/>
                <w:szCs w:val="21"/>
              </w:rPr>
            </w:pPr>
            <w:r>
              <w:rPr>
                <w:rFonts w:hint="eastAsia"/>
                <w:bCs/>
                <w:sz w:val="21"/>
                <w:szCs w:val="21"/>
              </w:rPr>
              <w:t>819</w:t>
            </w:r>
          </w:p>
        </w:tc>
        <w:tc>
          <w:tcPr>
            <w:tcW w:w="668" w:type="pct"/>
            <w:vAlign w:val="center"/>
          </w:tcPr>
          <w:p w:rsidR="00964712" w:rsidRDefault="00964712" w:rsidP="00705836">
            <w:pPr>
              <w:spacing w:line="360" w:lineRule="exact"/>
              <w:ind w:left="-50" w:right="-50"/>
              <w:jc w:val="center"/>
              <w:rPr>
                <w:bCs/>
                <w:sz w:val="21"/>
                <w:szCs w:val="21"/>
              </w:rPr>
            </w:pPr>
            <w:r>
              <w:rPr>
                <w:rFonts w:hint="eastAsia"/>
                <w:bCs/>
                <w:sz w:val="21"/>
                <w:szCs w:val="21"/>
              </w:rPr>
              <w:t>/</w:t>
            </w:r>
          </w:p>
        </w:tc>
        <w:tc>
          <w:tcPr>
            <w:tcW w:w="682" w:type="pct"/>
            <w:vAlign w:val="center"/>
          </w:tcPr>
          <w:p w:rsidR="00964712" w:rsidRDefault="00964712" w:rsidP="00705836">
            <w:pPr>
              <w:spacing w:line="360" w:lineRule="exact"/>
              <w:ind w:left="-50" w:right="-50"/>
              <w:jc w:val="center"/>
              <w:rPr>
                <w:bCs/>
                <w:sz w:val="21"/>
                <w:szCs w:val="21"/>
              </w:rPr>
            </w:pPr>
            <w:r>
              <w:rPr>
                <w:rFonts w:hint="eastAsia"/>
                <w:bCs/>
                <w:sz w:val="21"/>
                <w:szCs w:val="21"/>
              </w:rPr>
              <w:t>/</w:t>
            </w:r>
          </w:p>
        </w:tc>
        <w:tc>
          <w:tcPr>
            <w:tcW w:w="752" w:type="pct"/>
            <w:vAlign w:val="center"/>
          </w:tcPr>
          <w:p w:rsidR="00964712" w:rsidRDefault="00B030AF" w:rsidP="00705836">
            <w:pPr>
              <w:spacing w:line="360" w:lineRule="exact"/>
              <w:ind w:left="-50" w:right="-50"/>
              <w:jc w:val="center"/>
              <w:rPr>
                <w:bCs/>
                <w:sz w:val="21"/>
                <w:szCs w:val="21"/>
              </w:rPr>
            </w:pPr>
            <w:r>
              <w:rPr>
                <w:rFonts w:hint="eastAsia"/>
                <w:bCs/>
                <w:sz w:val="21"/>
                <w:szCs w:val="21"/>
              </w:rPr>
              <w:t>1.0</w:t>
            </w:r>
          </w:p>
        </w:tc>
      </w:tr>
      <w:tr w:rsidR="00964712" w:rsidTr="00705836">
        <w:trPr>
          <w:cantSplit/>
          <w:jc w:val="center"/>
        </w:trPr>
        <w:tc>
          <w:tcPr>
            <w:tcW w:w="520" w:type="pct"/>
            <w:vAlign w:val="center"/>
          </w:tcPr>
          <w:p w:rsidR="00964712" w:rsidRDefault="00964712" w:rsidP="00705836">
            <w:pPr>
              <w:spacing w:line="360" w:lineRule="exact"/>
              <w:ind w:left="-50" w:right="-50"/>
              <w:jc w:val="center"/>
              <w:rPr>
                <w:bCs/>
                <w:sz w:val="21"/>
                <w:szCs w:val="21"/>
              </w:rPr>
            </w:pPr>
            <w:r>
              <w:rPr>
                <w:rFonts w:hint="eastAsia"/>
                <w:bCs/>
                <w:sz w:val="21"/>
                <w:szCs w:val="21"/>
              </w:rPr>
              <w:t>5000</w:t>
            </w:r>
            <w:r>
              <w:rPr>
                <w:bCs/>
                <w:sz w:val="21"/>
                <w:szCs w:val="21"/>
              </w:rPr>
              <w:t>d</w:t>
            </w:r>
          </w:p>
        </w:tc>
        <w:tc>
          <w:tcPr>
            <w:tcW w:w="895" w:type="pct"/>
            <w:vAlign w:val="center"/>
          </w:tcPr>
          <w:p w:rsidR="00964712" w:rsidRDefault="00705836" w:rsidP="00705836">
            <w:pPr>
              <w:spacing w:line="360" w:lineRule="exact"/>
              <w:ind w:left="-50" w:right="-50"/>
              <w:jc w:val="center"/>
              <w:rPr>
                <w:sz w:val="21"/>
                <w:szCs w:val="21"/>
              </w:rPr>
            </w:pPr>
            <w:r>
              <w:rPr>
                <w:rFonts w:hint="eastAsia"/>
                <w:sz w:val="21"/>
                <w:szCs w:val="21"/>
              </w:rPr>
              <w:t>130</w:t>
            </w:r>
          </w:p>
        </w:tc>
        <w:tc>
          <w:tcPr>
            <w:tcW w:w="864" w:type="pct"/>
            <w:vAlign w:val="center"/>
          </w:tcPr>
          <w:p w:rsidR="00964712" w:rsidRDefault="00C3702F" w:rsidP="00C3702F">
            <w:pPr>
              <w:spacing w:line="360" w:lineRule="exact"/>
              <w:ind w:left="-50" w:right="-50"/>
              <w:jc w:val="center"/>
              <w:rPr>
                <w:bCs/>
                <w:sz w:val="21"/>
                <w:szCs w:val="21"/>
              </w:rPr>
            </w:pPr>
            <w:r w:rsidRPr="00C3702F">
              <w:rPr>
                <w:bCs/>
                <w:sz w:val="21"/>
                <w:szCs w:val="21"/>
              </w:rPr>
              <w:t>0.00686</w:t>
            </w:r>
            <w:r>
              <w:rPr>
                <w:rFonts w:hint="eastAsia"/>
                <w:bCs/>
                <w:sz w:val="21"/>
                <w:szCs w:val="21"/>
              </w:rPr>
              <w:t>8</w:t>
            </w:r>
          </w:p>
        </w:tc>
        <w:tc>
          <w:tcPr>
            <w:tcW w:w="619" w:type="pct"/>
            <w:vAlign w:val="center"/>
          </w:tcPr>
          <w:p w:rsidR="00964712" w:rsidRDefault="00C3702F" w:rsidP="00705836">
            <w:pPr>
              <w:spacing w:line="360" w:lineRule="exact"/>
              <w:ind w:left="-50" w:right="-50"/>
              <w:jc w:val="center"/>
              <w:rPr>
                <w:bCs/>
                <w:sz w:val="21"/>
                <w:szCs w:val="21"/>
              </w:rPr>
            </w:pPr>
            <w:r>
              <w:rPr>
                <w:rFonts w:hint="eastAsia"/>
                <w:bCs/>
                <w:sz w:val="21"/>
                <w:szCs w:val="21"/>
              </w:rPr>
              <w:t>1895</w:t>
            </w:r>
          </w:p>
        </w:tc>
        <w:tc>
          <w:tcPr>
            <w:tcW w:w="668" w:type="pct"/>
            <w:vAlign w:val="center"/>
          </w:tcPr>
          <w:p w:rsidR="00964712" w:rsidRDefault="00964712" w:rsidP="00705836">
            <w:pPr>
              <w:spacing w:line="360" w:lineRule="exact"/>
              <w:ind w:left="-50" w:right="-50"/>
              <w:jc w:val="center"/>
              <w:rPr>
                <w:bCs/>
                <w:sz w:val="21"/>
                <w:szCs w:val="21"/>
              </w:rPr>
            </w:pPr>
            <w:r>
              <w:rPr>
                <w:rFonts w:hint="eastAsia"/>
                <w:bCs/>
                <w:sz w:val="21"/>
                <w:szCs w:val="21"/>
              </w:rPr>
              <w:t>/</w:t>
            </w:r>
          </w:p>
        </w:tc>
        <w:tc>
          <w:tcPr>
            <w:tcW w:w="682" w:type="pct"/>
            <w:vAlign w:val="center"/>
          </w:tcPr>
          <w:p w:rsidR="00964712" w:rsidRDefault="00964712" w:rsidP="00705836">
            <w:pPr>
              <w:spacing w:line="360" w:lineRule="exact"/>
              <w:ind w:left="-50" w:right="-50"/>
              <w:jc w:val="center"/>
              <w:rPr>
                <w:bCs/>
                <w:sz w:val="21"/>
                <w:szCs w:val="21"/>
              </w:rPr>
            </w:pPr>
            <w:r>
              <w:rPr>
                <w:rFonts w:hint="eastAsia"/>
                <w:bCs/>
                <w:sz w:val="21"/>
                <w:szCs w:val="21"/>
              </w:rPr>
              <w:t>/</w:t>
            </w:r>
          </w:p>
        </w:tc>
        <w:tc>
          <w:tcPr>
            <w:tcW w:w="752" w:type="pct"/>
            <w:vAlign w:val="center"/>
          </w:tcPr>
          <w:p w:rsidR="00964712" w:rsidRDefault="00B030AF" w:rsidP="00705836">
            <w:pPr>
              <w:spacing w:line="360" w:lineRule="exact"/>
              <w:ind w:left="-50" w:right="-50"/>
              <w:jc w:val="center"/>
              <w:rPr>
                <w:bCs/>
                <w:sz w:val="21"/>
                <w:szCs w:val="21"/>
              </w:rPr>
            </w:pPr>
            <w:r>
              <w:rPr>
                <w:rFonts w:hint="eastAsia"/>
                <w:bCs/>
                <w:sz w:val="21"/>
                <w:szCs w:val="21"/>
              </w:rPr>
              <w:t>1.0</w:t>
            </w:r>
          </w:p>
        </w:tc>
      </w:tr>
    </w:tbl>
    <w:p w:rsidR="00964712" w:rsidRDefault="00C3702F" w:rsidP="00964712">
      <w:pPr>
        <w:spacing w:line="520" w:lineRule="exact"/>
        <w:jc w:val="center"/>
        <w:rPr>
          <w:rFonts w:ascii="宋体" w:cs="宋体"/>
          <w:bCs/>
          <w:kern w:val="0"/>
          <w:sz w:val="24"/>
          <w:szCs w:val="21"/>
        </w:rPr>
      </w:pPr>
      <w:r>
        <w:rPr>
          <w:noProof/>
        </w:rPr>
        <w:drawing>
          <wp:anchor distT="0" distB="0" distL="114300" distR="114300" simplePos="0" relativeHeight="251581440" behindDoc="1" locked="0" layoutInCell="1" allowOverlap="1">
            <wp:simplePos x="0" y="0"/>
            <wp:positionH relativeFrom="column">
              <wp:posOffset>-8890</wp:posOffset>
            </wp:positionH>
            <wp:positionV relativeFrom="paragraph">
              <wp:posOffset>172720</wp:posOffset>
            </wp:positionV>
            <wp:extent cx="5486400" cy="2382520"/>
            <wp:effectExtent l="0" t="0" r="0" b="0"/>
            <wp:wrapThrough wrapText="bothSides">
              <wp:wrapPolygon edited="0">
                <wp:start x="2325" y="0"/>
                <wp:lineTo x="2325" y="2936"/>
                <wp:lineTo x="1650" y="5699"/>
                <wp:lineTo x="1650" y="11226"/>
                <wp:lineTo x="2250" y="13989"/>
                <wp:lineTo x="3375" y="16753"/>
                <wp:lineTo x="3525" y="17616"/>
                <wp:lineTo x="9150" y="19516"/>
                <wp:lineTo x="11400" y="19861"/>
                <wp:lineTo x="12150" y="19861"/>
                <wp:lineTo x="14850" y="19516"/>
                <wp:lineTo x="21375" y="17616"/>
                <wp:lineTo x="21375" y="16580"/>
                <wp:lineTo x="3450" y="13989"/>
                <wp:lineTo x="3375" y="11226"/>
                <wp:lineTo x="10725" y="8463"/>
                <wp:lineTo x="10725" y="5699"/>
                <wp:lineTo x="3375" y="2936"/>
                <wp:lineTo x="3375" y="0"/>
                <wp:lineTo x="2325" y="0"/>
              </wp:wrapPolygon>
            </wp:wrapThrough>
            <wp:docPr id="182" name="图表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C3702F" w:rsidRPr="00C3702F" w:rsidRDefault="00C3702F" w:rsidP="00C3702F">
      <w:pPr>
        <w:pStyle w:val="a1"/>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r>
        <w:rPr>
          <w:rFonts w:ascii="宋体" w:cs="宋体" w:hint="eastAsia"/>
          <w:bCs/>
          <w:kern w:val="0"/>
          <w:sz w:val="24"/>
          <w:szCs w:val="21"/>
        </w:rPr>
        <w:t>图6.</w:t>
      </w:r>
      <w:r w:rsidR="00B030AF">
        <w:rPr>
          <w:rFonts w:ascii="宋体" w:cs="宋体" w:hint="eastAsia"/>
          <w:bCs/>
          <w:kern w:val="0"/>
          <w:sz w:val="24"/>
          <w:szCs w:val="21"/>
        </w:rPr>
        <w:t>3-8</w:t>
      </w:r>
      <w:r>
        <w:rPr>
          <w:rFonts w:ascii="宋体" w:cs="宋体"/>
          <w:bCs/>
          <w:kern w:val="0"/>
          <w:sz w:val="24"/>
          <w:szCs w:val="21"/>
        </w:rPr>
        <w:t xml:space="preserve"> </w:t>
      </w:r>
      <w:r>
        <w:rPr>
          <w:rFonts w:ascii="宋体" w:cs="宋体" w:hint="eastAsia"/>
          <w:bCs/>
          <w:kern w:val="0"/>
          <w:sz w:val="24"/>
          <w:szCs w:val="21"/>
        </w:rPr>
        <w:t xml:space="preserve"> </w:t>
      </w:r>
      <w:r>
        <w:rPr>
          <w:rFonts w:ascii="宋体" w:cs="宋体"/>
          <w:bCs/>
          <w:kern w:val="0"/>
          <w:sz w:val="24"/>
          <w:szCs w:val="21"/>
        </w:rPr>
        <w:t>10</w:t>
      </w:r>
      <w:r>
        <w:rPr>
          <w:rFonts w:ascii="宋体" w:cs="宋体" w:hint="eastAsia"/>
          <w:bCs/>
          <w:kern w:val="0"/>
          <w:sz w:val="24"/>
          <w:szCs w:val="21"/>
        </w:rPr>
        <w:t>0天</w:t>
      </w:r>
      <w:r w:rsidR="00B030AF">
        <w:rPr>
          <w:rFonts w:ascii="宋体" w:cs="宋体" w:hint="eastAsia"/>
          <w:bCs/>
          <w:kern w:val="0"/>
          <w:sz w:val="24"/>
          <w:szCs w:val="21"/>
        </w:rPr>
        <w:t>氟化物</w:t>
      </w:r>
      <w:r>
        <w:rPr>
          <w:rFonts w:ascii="宋体" w:cs="宋体" w:hint="eastAsia"/>
          <w:bCs/>
          <w:kern w:val="0"/>
          <w:sz w:val="24"/>
          <w:szCs w:val="21"/>
        </w:rPr>
        <w:t>浓度与距离关系曲线</w:t>
      </w:r>
    </w:p>
    <w:p w:rsidR="00964712" w:rsidRDefault="00C3702F" w:rsidP="00964712">
      <w:pPr>
        <w:ind w:firstLineChars="200" w:firstLine="560"/>
      </w:pPr>
      <w:r>
        <w:rPr>
          <w:noProof/>
        </w:rPr>
        <w:drawing>
          <wp:anchor distT="0" distB="0" distL="114300" distR="114300" simplePos="0" relativeHeight="251582464" behindDoc="1" locked="0" layoutInCell="1" allowOverlap="1">
            <wp:simplePos x="0" y="0"/>
            <wp:positionH relativeFrom="column">
              <wp:posOffset>-8255</wp:posOffset>
            </wp:positionH>
            <wp:positionV relativeFrom="paragraph">
              <wp:posOffset>98425</wp:posOffset>
            </wp:positionV>
            <wp:extent cx="5486400" cy="2382520"/>
            <wp:effectExtent l="0" t="0" r="0" b="0"/>
            <wp:wrapThrough wrapText="bothSides">
              <wp:wrapPolygon edited="0">
                <wp:start x="2325" y="0"/>
                <wp:lineTo x="2100" y="2591"/>
                <wp:lineTo x="1425" y="3109"/>
                <wp:lineTo x="1350" y="11399"/>
                <wp:lineTo x="2025" y="13989"/>
                <wp:lineTo x="2100" y="14507"/>
                <wp:lineTo x="3300" y="16753"/>
                <wp:lineTo x="3525" y="17616"/>
                <wp:lineTo x="9150" y="19516"/>
                <wp:lineTo x="11400" y="19861"/>
                <wp:lineTo x="12150" y="19861"/>
                <wp:lineTo x="14850" y="19516"/>
                <wp:lineTo x="21375" y="17616"/>
                <wp:lineTo x="21375" y="16580"/>
                <wp:lineTo x="3450" y="13989"/>
                <wp:lineTo x="3525" y="11226"/>
                <wp:lineTo x="3375" y="8463"/>
                <wp:lineTo x="10725" y="5699"/>
                <wp:lineTo x="10725" y="2936"/>
                <wp:lineTo x="3375" y="0"/>
                <wp:lineTo x="2325" y="0"/>
              </wp:wrapPolygon>
            </wp:wrapThrough>
            <wp:docPr id="183" name="图表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anchor>
        </w:drawing>
      </w: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p>
    <w:p w:rsidR="00964712" w:rsidRDefault="00964712" w:rsidP="00964712">
      <w:pPr>
        <w:spacing w:line="520" w:lineRule="exact"/>
        <w:jc w:val="center"/>
        <w:rPr>
          <w:rFonts w:ascii="宋体" w:cs="宋体"/>
          <w:bCs/>
          <w:kern w:val="0"/>
          <w:sz w:val="24"/>
          <w:szCs w:val="21"/>
        </w:rPr>
      </w:pPr>
      <w:r>
        <w:rPr>
          <w:rFonts w:ascii="宋体" w:cs="宋体" w:hint="eastAsia"/>
          <w:bCs/>
          <w:kern w:val="0"/>
          <w:sz w:val="24"/>
          <w:szCs w:val="21"/>
        </w:rPr>
        <w:t>图6.</w:t>
      </w:r>
      <w:r w:rsidR="00B030AF">
        <w:rPr>
          <w:rFonts w:ascii="宋体" w:cs="宋体" w:hint="eastAsia"/>
          <w:bCs/>
          <w:kern w:val="0"/>
          <w:sz w:val="24"/>
          <w:szCs w:val="21"/>
        </w:rPr>
        <w:t>3-9</w:t>
      </w:r>
      <w:r>
        <w:rPr>
          <w:rFonts w:ascii="宋体" w:cs="宋体"/>
          <w:bCs/>
          <w:kern w:val="0"/>
          <w:sz w:val="24"/>
          <w:szCs w:val="21"/>
        </w:rPr>
        <w:t xml:space="preserve"> </w:t>
      </w:r>
      <w:r>
        <w:rPr>
          <w:rFonts w:ascii="宋体" w:cs="宋体" w:hint="eastAsia"/>
          <w:bCs/>
          <w:kern w:val="0"/>
          <w:sz w:val="24"/>
          <w:szCs w:val="21"/>
        </w:rPr>
        <w:t xml:space="preserve"> </w:t>
      </w:r>
      <w:r>
        <w:rPr>
          <w:rFonts w:ascii="宋体" w:cs="宋体"/>
          <w:bCs/>
          <w:kern w:val="0"/>
          <w:sz w:val="24"/>
          <w:szCs w:val="21"/>
        </w:rPr>
        <w:t>10</w:t>
      </w:r>
      <w:r>
        <w:rPr>
          <w:rFonts w:ascii="宋体" w:cs="宋体" w:hint="eastAsia"/>
          <w:bCs/>
          <w:kern w:val="0"/>
          <w:sz w:val="24"/>
          <w:szCs w:val="21"/>
        </w:rPr>
        <w:t>00天</w:t>
      </w:r>
      <w:r w:rsidR="00B030AF">
        <w:rPr>
          <w:rFonts w:ascii="宋体" w:cs="宋体" w:hint="eastAsia"/>
          <w:bCs/>
          <w:kern w:val="0"/>
          <w:sz w:val="24"/>
          <w:szCs w:val="21"/>
        </w:rPr>
        <w:t>氟化物</w:t>
      </w:r>
      <w:r>
        <w:rPr>
          <w:rFonts w:ascii="宋体" w:cs="宋体" w:hint="eastAsia"/>
          <w:bCs/>
          <w:kern w:val="0"/>
          <w:sz w:val="24"/>
          <w:szCs w:val="21"/>
        </w:rPr>
        <w:t>浓度与距离关系曲线</w:t>
      </w:r>
    </w:p>
    <w:p w:rsidR="00C3702F" w:rsidRPr="00C3702F" w:rsidRDefault="00C3702F" w:rsidP="00C3702F">
      <w:pPr>
        <w:pStyle w:val="a1"/>
      </w:pPr>
    </w:p>
    <w:p w:rsidR="00964712" w:rsidRDefault="00705836" w:rsidP="00964712">
      <w:pPr>
        <w:jc w:val="center"/>
      </w:pPr>
      <w:r>
        <w:rPr>
          <w:noProof/>
        </w:rPr>
        <w:lastRenderedPageBreak/>
        <w:drawing>
          <wp:inline distT="0" distB="0" distL="0" distR="0">
            <wp:extent cx="5486400" cy="2382520"/>
            <wp:effectExtent l="0" t="0" r="0" b="0"/>
            <wp:docPr id="184" name="图表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964712" w:rsidRDefault="00964712" w:rsidP="00964712">
      <w:pPr>
        <w:spacing w:line="520" w:lineRule="exact"/>
        <w:jc w:val="center"/>
        <w:rPr>
          <w:rFonts w:ascii="宋体" w:cs="宋体"/>
          <w:bCs/>
          <w:kern w:val="0"/>
          <w:sz w:val="24"/>
          <w:szCs w:val="21"/>
        </w:rPr>
      </w:pPr>
      <w:r>
        <w:rPr>
          <w:rFonts w:ascii="宋体" w:cs="宋体" w:hint="eastAsia"/>
          <w:bCs/>
          <w:kern w:val="0"/>
          <w:sz w:val="24"/>
          <w:szCs w:val="21"/>
        </w:rPr>
        <w:t>图6.</w:t>
      </w:r>
      <w:r w:rsidR="00B030AF">
        <w:rPr>
          <w:rFonts w:ascii="宋体" w:cs="宋体" w:hint="eastAsia"/>
          <w:bCs/>
          <w:kern w:val="0"/>
          <w:sz w:val="24"/>
          <w:szCs w:val="21"/>
        </w:rPr>
        <w:t>3-10</w:t>
      </w:r>
      <w:r>
        <w:rPr>
          <w:rFonts w:ascii="宋体" w:cs="宋体"/>
          <w:bCs/>
          <w:kern w:val="0"/>
          <w:sz w:val="24"/>
          <w:szCs w:val="21"/>
        </w:rPr>
        <w:t xml:space="preserve"> </w:t>
      </w:r>
      <w:r>
        <w:rPr>
          <w:rFonts w:ascii="宋体" w:cs="宋体" w:hint="eastAsia"/>
          <w:bCs/>
          <w:kern w:val="0"/>
          <w:sz w:val="24"/>
          <w:szCs w:val="21"/>
        </w:rPr>
        <w:t>5</w:t>
      </w:r>
      <w:r>
        <w:rPr>
          <w:rFonts w:ascii="宋体" w:cs="宋体"/>
          <w:bCs/>
          <w:kern w:val="0"/>
          <w:sz w:val="24"/>
          <w:szCs w:val="21"/>
        </w:rPr>
        <w:t>0</w:t>
      </w:r>
      <w:r>
        <w:rPr>
          <w:rFonts w:ascii="宋体" w:cs="宋体" w:hint="eastAsia"/>
          <w:bCs/>
          <w:kern w:val="0"/>
          <w:sz w:val="24"/>
          <w:szCs w:val="21"/>
        </w:rPr>
        <w:t>00天</w:t>
      </w:r>
      <w:r w:rsidR="00B030AF">
        <w:rPr>
          <w:rFonts w:ascii="宋体" w:cs="宋体" w:hint="eastAsia"/>
          <w:bCs/>
          <w:kern w:val="0"/>
          <w:sz w:val="24"/>
          <w:szCs w:val="21"/>
        </w:rPr>
        <w:t>氟化物</w:t>
      </w:r>
      <w:r>
        <w:rPr>
          <w:rFonts w:ascii="宋体" w:cs="宋体" w:hint="eastAsia"/>
          <w:bCs/>
          <w:kern w:val="0"/>
          <w:sz w:val="24"/>
          <w:szCs w:val="21"/>
        </w:rPr>
        <w:t>浓度与距离关系曲线</w:t>
      </w:r>
    </w:p>
    <w:p w:rsidR="00964712" w:rsidRDefault="00964712" w:rsidP="00964712">
      <w:pPr>
        <w:spacing w:line="520" w:lineRule="exact"/>
        <w:ind w:firstLineChars="200" w:firstLine="480"/>
        <w:rPr>
          <w:bCs/>
          <w:kern w:val="0"/>
          <w:sz w:val="24"/>
        </w:rPr>
      </w:pPr>
      <w:r>
        <w:rPr>
          <w:rFonts w:hint="eastAsia"/>
          <w:color w:val="000000"/>
          <w:sz w:val="24"/>
        </w:rPr>
        <w:t>矿井水处理站发生破损后，特征因子</w:t>
      </w:r>
      <w:r w:rsidR="00705836">
        <w:rPr>
          <w:rFonts w:hint="eastAsia"/>
          <w:color w:val="000000"/>
          <w:sz w:val="24"/>
        </w:rPr>
        <w:t>氟化物</w:t>
      </w:r>
      <w:r>
        <w:rPr>
          <w:rFonts w:hint="eastAsia"/>
          <w:color w:val="000000"/>
          <w:sz w:val="24"/>
        </w:rPr>
        <w:t>的预测结果</w:t>
      </w:r>
      <w:r>
        <w:rPr>
          <w:rFonts w:hint="eastAsia"/>
          <w:bCs/>
          <w:kern w:val="0"/>
          <w:sz w:val="24"/>
        </w:rPr>
        <w:t>，</w:t>
      </w:r>
      <w:r>
        <w:rPr>
          <w:rFonts w:hint="eastAsia"/>
          <w:bCs/>
          <w:kern w:val="0"/>
          <w:sz w:val="24"/>
        </w:rPr>
        <w:t>100</w:t>
      </w:r>
      <w:r>
        <w:rPr>
          <w:rFonts w:hint="eastAsia"/>
          <w:bCs/>
          <w:kern w:val="0"/>
          <w:sz w:val="24"/>
        </w:rPr>
        <w:t>天后，矿井水特征因子</w:t>
      </w:r>
      <w:r w:rsidR="00705836">
        <w:rPr>
          <w:rFonts w:hint="eastAsia"/>
          <w:bCs/>
          <w:kern w:val="0"/>
          <w:sz w:val="24"/>
        </w:rPr>
        <w:t>氟化物</w:t>
      </w:r>
      <w:r>
        <w:rPr>
          <w:rFonts w:hint="eastAsia"/>
          <w:bCs/>
          <w:kern w:val="0"/>
          <w:sz w:val="24"/>
        </w:rPr>
        <w:t>下游无超标情况，最大贡献值距事故源距离为</w:t>
      </w:r>
      <w:r w:rsidR="00705836">
        <w:rPr>
          <w:rFonts w:hint="eastAsia"/>
          <w:bCs/>
          <w:kern w:val="0"/>
          <w:sz w:val="24"/>
        </w:rPr>
        <w:t>8</w:t>
      </w:r>
      <w:r>
        <w:rPr>
          <w:rFonts w:hint="eastAsia"/>
          <w:bCs/>
          <w:kern w:val="0"/>
          <w:sz w:val="24"/>
        </w:rPr>
        <w:t>m</w:t>
      </w:r>
      <w:r>
        <w:rPr>
          <w:rFonts w:hint="eastAsia"/>
          <w:bCs/>
          <w:kern w:val="0"/>
          <w:sz w:val="24"/>
        </w:rPr>
        <w:t>，最大浓度贡献值为</w:t>
      </w:r>
      <w:r w:rsidR="00705836" w:rsidRPr="00705836">
        <w:rPr>
          <w:bCs/>
          <w:kern w:val="0"/>
          <w:sz w:val="24"/>
        </w:rPr>
        <w:t>0.115531</w:t>
      </w:r>
      <w:r>
        <w:rPr>
          <w:rFonts w:hint="eastAsia"/>
          <w:bCs/>
          <w:kern w:val="0"/>
          <w:sz w:val="24"/>
        </w:rPr>
        <w:t>mg/L</w:t>
      </w:r>
      <w:r>
        <w:rPr>
          <w:rFonts w:hint="eastAsia"/>
          <w:bCs/>
          <w:kern w:val="0"/>
          <w:sz w:val="24"/>
        </w:rPr>
        <w:t>。</w:t>
      </w:r>
      <w:r>
        <w:rPr>
          <w:rFonts w:hint="eastAsia"/>
          <w:bCs/>
          <w:kern w:val="0"/>
          <w:sz w:val="24"/>
        </w:rPr>
        <w:t>1000</w:t>
      </w:r>
      <w:r>
        <w:rPr>
          <w:rFonts w:hint="eastAsia"/>
          <w:bCs/>
          <w:kern w:val="0"/>
          <w:sz w:val="24"/>
        </w:rPr>
        <w:t>天后，矿井水特征因子</w:t>
      </w:r>
      <w:r w:rsidR="00705836">
        <w:rPr>
          <w:rFonts w:hint="eastAsia"/>
          <w:bCs/>
          <w:kern w:val="0"/>
          <w:sz w:val="24"/>
        </w:rPr>
        <w:t>氟化物</w:t>
      </w:r>
      <w:r>
        <w:rPr>
          <w:rFonts w:hint="eastAsia"/>
          <w:bCs/>
          <w:kern w:val="0"/>
          <w:sz w:val="24"/>
        </w:rPr>
        <w:t>下游无超标情况，最大贡献值距事故源距离为</w:t>
      </w:r>
      <w:r w:rsidR="00705836">
        <w:rPr>
          <w:rFonts w:hint="eastAsia"/>
          <w:bCs/>
          <w:kern w:val="0"/>
          <w:sz w:val="24"/>
        </w:rPr>
        <w:t>35</w:t>
      </w:r>
      <w:r>
        <w:rPr>
          <w:rFonts w:hint="eastAsia"/>
          <w:bCs/>
          <w:kern w:val="0"/>
          <w:sz w:val="24"/>
        </w:rPr>
        <w:t>m</w:t>
      </w:r>
      <w:r>
        <w:rPr>
          <w:rFonts w:hint="eastAsia"/>
          <w:bCs/>
          <w:kern w:val="0"/>
          <w:sz w:val="24"/>
        </w:rPr>
        <w:t>，最大浓度贡献值为</w:t>
      </w:r>
      <w:r w:rsidR="00705836" w:rsidRPr="00705836">
        <w:rPr>
          <w:bCs/>
          <w:kern w:val="0"/>
          <w:sz w:val="24"/>
        </w:rPr>
        <w:t>0.018656</w:t>
      </w:r>
      <w:r>
        <w:rPr>
          <w:rFonts w:hint="eastAsia"/>
          <w:bCs/>
          <w:kern w:val="0"/>
          <w:sz w:val="24"/>
        </w:rPr>
        <w:t>mg/L</w:t>
      </w:r>
      <w:r>
        <w:rPr>
          <w:rFonts w:hint="eastAsia"/>
          <w:bCs/>
          <w:kern w:val="0"/>
          <w:sz w:val="24"/>
        </w:rPr>
        <w:t>。</w:t>
      </w:r>
      <w:r>
        <w:rPr>
          <w:rFonts w:hint="eastAsia"/>
          <w:bCs/>
          <w:kern w:val="0"/>
          <w:sz w:val="24"/>
        </w:rPr>
        <w:t>5000</w:t>
      </w:r>
      <w:r>
        <w:rPr>
          <w:rFonts w:hint="eastAsia"/>
          <w:bCs/>
          <w:kern w:val="0"/>
          <w:sz w:val="24"/>
        </w:rPr>
        <w:t>天后，矿井水特征因子</w:t>
      </w:r>
      <w:r w:rsidR="00705836">
        <w:rPr>
          <w:rFonts w:hint="eastAsia"/>
          <w:bCs/>
          <w:kern w:val="0"/>
          <w:sz w:val="24"/>
        </w:rPr>
        <w:t>氟化物</w:t>
      </w:r>
      <w:r>
        <w:rPr>
          <w:rFonts w:hint="eastAsia"/>
          <w:bCs/>
          <w:kern w:val="0"/>
          <w:sz w:val="24"/>
        </w:rPr>
        <w:t>下游无超标情况，最大贡献值距事故源距离为</w:t>
      </w:r>
      <w:r>
        <w:rPr>
          <w:rFonts w:hint="eastAsia"/>
          <w:bCs/>
          <w:kern w:val="0"/>
          <w:sz w:val="24"/>
        </w:rPr>
        <w:t>130m</w:t>
      </w:r>
      <w:r>
        <w:rPr>
          <w:rFonts w:hint="eastAsia"/>
          <w:bCs/>
          <w:kern w:val="0"/>
          <w:sz w:val="24"/>
        </w:rPr>
        <w:t>，最大浓度贡献值为</w:t>
      </w:r>
      <w:r w:rsidR="00705836" w:rsidRPr="00705836">
        <w:rPr>
          <w:bCs/>
          <w:kern w:val="0"/>
          <w:sz w:val="24"/>
        </w:rPr>
        <w:t>0.00686</w:t>
      </w:r>
      <w:r w:rsidR="00705836" w:rsidRPr="00705836">
        <w:rPr>
          <w:rFonts w:hint="eastAsia"/>
          <w:bCs/>
          <w:kern w:val="0"/>
          <w:sz w:val="24"/>
        </w:rPr>
        <w:t>8</w:t>
      </w:r>
      <w:r>
        <w:rPr>
          <w:rFonts w:hint="eastAsia"/>
          <w:bCs/>
          <w:kern w:val="0"/>
          <w:sz w:val="24"/>
        </w:rPr>
        <w:t>mg/L</w:t>
      </w:r>
      <w:r>
        <w:rPr>
          <w:rFonts w:hint="eastAsia"/>
          <w:bCs/>
          <w:kern w:val="0"/>
          <w:sz w:val="24"/>
        </w:rPr>
        <w:t>。均满足《地下水质量标准》（</w:t>
      </w:r>
      <w:r>
        <w:rPr>
          <w:rFonts w:hint="eastAsia"/>
          <w:bCs/>
          <w:kern w:val="0"/>
          <w:sz w:val="24"/>
        </w:rPr>
        <w:t>GB/T14848-2017</w:t>
      </w:r>
      <w:r>
        <w:rPr>
          <w:rFonts w:hint="eastAsia"/>
          <w:bCs/>
          <w:kern w:val="0"/>
          <w:sz w:val="24"/>
        </w:rPr>
        <w:t>）</w:t>
      </w:r>
      <w:r>
        <w:rPr>
          <w:rFonts w:hint="eastAsia"/>
          <w:bCs/>
          <w:kern w:val="0"/>
          <w:sz w:val="24"/>
        </w:rPr>
        <w:t>III</w:t>
      </w:r>
      <w:r>
        <w:rPr>
          <w:rFonts w:hint="eastAsia"/>
          <w:bCs/>
          <w:kern w:val="0"/>
          <w:sz w:val="24"/>
        </w:rPr>
        <w:t>类标准要求。</w:t>
      </w:r>
    </w:p>
    <w:p w:rsidR="00705836" w:rsidRDefault="00540923" w:rsidP="00705836">
      <w:pPr>
        <w:pStyle w:val="ae"/>
        <w:spacing w:line="520" w:lineRule="exact"/>
        <w:ind w:firstLineChars="200" w:firstLine="480"/>
        <w:rPr>
          <w:rFonts w:ascii="Times New Roman" w:hAnsi="Times New Roman"/>
          <w:sz w:val="24"/>
        </w:rPr>
      </w:pPr>
      <w:r w:rsidRPr="00964712">
        <w:rPr>
          <w:kern w:val="0"/>
          <w:sz w:val="24"/>
          <w:szCs w:val="24"/>
        </w:rPr>
        <w:t>综上</w:t>
      </w:r>
      <w:r w:rsidR="00705836">
        <w:rPr>
          <w:rFonts w:ascii="Times New Roman" w:hAnsi="Times New Roman" w:hint="eastAsia"/>
          <w:sz w:val="24"/>
          <w:szCs w:val="24"/>
        </w:rPr>
        <w:t>所述</w:t>
      </w:r>
      <w:r w:rsidRPr="00964712">
        <w:rPr>
          <w:kern w:val="0"/>
          <w:sz w:val="24"/>
          <w:szCs w:val="24"/>
        </w:rPr>
        <w:t>，</w:t>
      </w:r>
      <w:r w:rsidR="0038501F">
        <w:rPr>
          <w:rFonts w:ascii="Times New Roman" w:hAnsi="Times New Roman"/>
          <w:color w:val="000000"/>
          <w:sz w:val="24"/>
          <w:szCs w:val="24"/>
        </w:rPr>
        <w:t>正常情况下，</w:t>
      </w:r>
      <w:r w:rsidR="00705836" w:rsidRPr="008C2174">
        <w:rPr>
          <w:rFonts w:hint="eastAsia"/>
          <w:bCs/>
          <w:sz w:val="24"/>
          <w:lang w:bidi="en-US"/>
        </w:rPr>
        <w:t>本项目矸石分拣后装车</w:t>
      </w:r>
      <w:r w:rsidR="00705836">
        <w:rPr>
          <w:rFonts w:hint="eastAsia"/>
          <w:bCs/>
          <w:sz w:val="24"/>
          <w:lang w:bidi="en-US"/>
        </w:rPr>
        <w:t>直接</w:t>
      </w:r>
      <w:r w:rsidR="00705836" w:rsidRPr="008C2174">
        <w:rPr>
          <w:rFonts w:hint="eastAsia"/>
          <w:bCs/>
          <w:sz w:val="24"/>
          <w:lang w:bidi="en-US"/>
        </w:rPr>
        <w:t>外售</w:t>
      </w:r>
      <w:r w:rsidR="00705836">
        <w:rPr>
          <w:rFonts w:hint="eastAsia"/>
          <w:bCs/>
          <w:sz w:val="24"/>
          <w:lang w:bidi="en-US"/>
        </w:rPr>
        <w:t>或在</w:t>
      </w:r>
      <w:r w:rsidR="00802A62">
        <w:rPr>
          <w:rFonts w:hint="eastAsia"/>
          <w:bCs/>
          <w:sz w:val="24"/>
          <w:lang w:bidi="en-US"/>
        </w:rPr>
        <w:t>储煤库</w:t>
      </w:r>
      <w:r w:rsidR="00705836">
        <w:rPr>
          <w:rFonts w:hint="eastAsia"/>
          <w:bCs/>
          <w:sz w:val="24"/>
          <w:lang w:bidi="en-US"/>
        </w:rPr>
        <w:t>内临时周转后</w:t>
      </w:r>
      <w:r w:rsidR="00705836">
        <w:rPr>
          <w:rFonts w:ascii="Times New Roman" w:hAnsi="Times New Roman"/>
          <w:sz w:val="24"/>
        </w:rPr>
        <w:t>禹州市鸿畅镇三合新型建材厂制砖</w:t>
      </w:r>
      <w:r w:rsidR="00705836" w:rsidRPr="008C2174">
        <w:rPr>
          <w:rFonts w:hint="eastAsia"/>
          <w:bCs/>
          <w:sz w:val="24"/>
          <w:lang w:bidi="en-US"/>
        </w:rPr>
        <w:t>，</w:t>
      </w:r>
      <w:r w:rsidR="00705836">
        <w:rPr>
          <w:rFonts w:hint="eastAsia"/>
          <w:bCs/>
          <w:sz w:val="24"/>
          <w:lang w:bidi="en-US"/>
        </w:rPr>
        <w:t>且</w:t>
      </w:r>
      <w:r w:rsidR="00802A62">
        <w:rPr>
          <w:rFonts w:ascii="Times New Roman" w:hAnsi="Times New Roman" w:hint="eastAsia"/>
          <w:color w:val="000000"/>
          <w:sz w:val="24"/>
          <w:szCs w:val="24"/>
        </w:rPr>
        <w:t>储煤库</w:t>
      </w:r>
      <w:r w:rsidR="00705836">
        <w:rPr>
          <w:rFonts w:ascii="Times New Roman" w:hAnsi="Times New Roman" w:hint="eastAsia"/>
          <w:color w:val="000000"/>
          <w:sz w:val="24"/>
          <w:szCs w:val="24"/>
        </w:rPr>
        <w:t>（含矸石临时周转场）全封闭，底部硬化防渗，</w:t>
      </w:r>
      <w:r w:rsidR="00705836">
        <w:rPr>
          <w:rFonts w:hint="eastAsia"/>
          <w:bCs/>
          <w:sz w:val="24"/>
          <w:lang w:bidi="en-US"/>
        </w:rPr>
        <w:t>正常情况下</w:t>
      </w:r>
      <w:r w:rsidR="00705836" w:rsidRPr="008C2174">
        <w:rPr>
          <w:rFonts w:hint="eastAsia"/>
          <w:bCs/>
          <w:sz w:val="24"/>
          <w:lang w:bidi="en-US"/>
        </w:rPr>
        <w:t>不会产生淋溶水</w:t>
      </w:r>
      <w:r w:rsidR="00705836">
        <w:rPr>
          <w:rFonts w:hint="eastAsia"/>
          <w:bCs/>
          <w:sz w:val="24"/>
          <w:lang w:bidi="en-US"/>
        </w:rPr>
        <w:t>，不会对</w:t>
      </w:r>
      <w:r w:rsidR="00705836" w:rsidRPr="008C2174">
        <w:rPr>
          <w:rFonts w:hint="eastAsia"/>
          <w:bCs/>
          <w:sz w:val="24"/>
          <w:lang w:bidi="en-US"/>
        </w:rPr>
        <w:t>地下水</w:t>
      </w:r>
      <w:r w:rsidR="00705836">
        <w:rPr>
          <w:rFonts w:ascii="Times New Roman" w:hAnsi="Times New Roman" w:hint="eastAsia"/>
          <w:color w:val="000000"/>
          <w:sz w:val="24"/>
          <w:szCs w:val="24"/>
        </w:rPr>
        <w:t>造成明显影响；</w:t>
      </w:r>
      <w:r w:rsidR="0038501F">
        <w:rPr>
          <w:rFonts w:ascii="Times New Roman" w:hAnsi="Times New Roman"/>
          <w:color w:val="000000"/>
          <w:sz w:val="24"/>
          <w:szCs w:val="24"/>
        </w:rPr>
        <w:t>项目生产、生活污水经处理后均全部回用，不外排，且工业场地排水设计采用雨污分流，对于污废水处理站基础层，项目设计在成基前均进行了防渗处理，从而有效杜绝连接处污废水的跑、冒、滴、漏现象的发生。因此</w:t>
      </w:r>
      <w:r w:rsidR="0038501F">
        <w:rPr>
          <w:rFonts w:ascii="Times New Roman" w:hAnsi="Times New Roman"/>
          <w:sz w:val="24"/>
        </w:rPr>
        <w:t>工业场地不会对地下水水质产生影响。</w:t>
      </w:r>
    </w:p>
    <w:p w:rsidR="00705836" w:rsidRPr="00964712" w:rsidRDefault="00705836" w:rsidP="00705836">
      <w:pPr>
        <w:pStyle w:val="ae"/>
        <w:spacing w:line="520" w:lineRule="exact"/>
        <w:ind w:firstLineChars="200" w:firstLine="480"/>
        <w:rPr>
          <w:rFonts w:ascii="Times New Roman" w:hAnsi="Times New Roman"/>
          <w:sz w:val="24"/>
          <w:szCs w:val="24"/>
        </w:rPr>
      </w:pPr>
      <w:r>
        <w:rPr>
          <w:rFonts w:hint="eastAsia"/>
          <w:kern w:val="0"/>
          <w:sz w:val="24"/>
          <w:szCs w:val="24"/>
        </w:rPr>
        <w:t>非正常情况下，经预测</w:t>
      </w:r>
      <w:r w:rsidRPr="00964712">
        <w:rPr>
          <w:kern w:val="0"/>
          <w:sz w:val="24"/>
          <w:szCs w:val="24"/>
        </w:rPr>
        <w:t>入渗污染物沿地下水流向向东、南方向迁移，对下游地下水影响很小，不会对下游地下水造成明显影响</w:t>
      </w:r>
      <w:r>
        <w:rPr>
          <w:rFonts w:hint="eastAsia"/>
          <w:kern w:val="0"/>
          <w:sz w:val="24"/>
          <w:szCs w:val="24"/>
        </w:rPr>
        <w:t>，因此</w:t>
      </w:r>
      <w:r w:rsidRPr="00964712">
        <w:rPr>
          <w:kern w:val="0"/>
          <w:sz w:val="24"/>
          <w:szCs w:val="24"/>
        </w:rPr>
        <w:t>拟建项目在运营期对地下水环境影响较小，</w:t>
      </w:r>
      <w:r w:rsidRPr="00964712">
        <w:rPr>
          <w:rFonts w:ascii="Times New Roman" w:hAnsi="Times New Roman" w:hint="eastAsia"/>
          <w:sz w:val="24"/>
          <w:szCs w:val="24"/>
        </w:rPr>
        <w:t xml:space="preserve"> </w:t>
      </w:r>
    </w:p>
    <w:p w:rsidR="00240BCE" w:rsidRDefault="00AC0334" w:rsidP="009C5F33">
      <w:pPr>
        <w:pStyle w:val="30"/>
        <w:adjustRightInd w:val="0"/>
        <w:snapToGrid w:val="0"/>
        <w:spacing w:beforeLines="70" w:afterLines="30" w:line="240" w:lineRule="auto"/>
        <w:jc w:val="left"/>
        <w:rPr>
          <w:rFonts w:eastAsia="楷体"/>
          <w:sz w:val="28"/>
          <w:szCs w:val="28"/>
        </w:rPr>
      </w:pPr>
      <w:bookmarkStart w:id="571" w:name="_Toc23349_WPSOffice_Level3"/>
      <w:bookmarkStart w:id="572" w:name="_Toc79668707"/>
      <w:r>
        <w:rPr>
          <w:rFonts w:eastAsia="楷体"/>
          <w:sz w:val="28"/>
          <w:szCs w:val="28"/>
        </w:rPr>
        <w:lastRenderedPageBreak/>
        <w:t>6.3.</w:t>
      </w:r>
      <w:r w:rsidR="007F466F">
        <w:rPr>
          <w:rFonts w:eastAsia="楷体" w:hint="eastAsia"/>
          <w:sz w:val="28"/>
          <w:szCs w:val="28"/>
        </w:rPr>
        <w:t>5</w:t>
      </w:r>
      <w:r>
        <w:rPr>
          <w:rFonts w:eastAsia="楷体"/>
          <w:sz w:val="28"/>
          <w:szCs w:val="28"/>
        </w:rPr>
        <w:t>煤炭开采对地下水资源的环境影响分析</w:t>
      </w:r>
      <w:bookmarkEnd w:id="571"/>
      <w:bookmarkEnd w:id="572"/>
    </w:p>
    <w:p w:rsidR="00240BCE" w:rsidRDefault="00AC0334">
      <w:pPr>
        <w:spacing w:line="520" w:lineRule="exact"/>
        <w:ind w:firstLineChars="200" w:firstLine="480"/>
        <w:rPr>
          <w:sz w:val="24"/>
        </w:rPr>
      </w:pPr>
      <w:r>
        <w:rPr>
          <w:sz w:val="24"/>
        </w:rPr>
        <w:t>根据前面的地质与水文地质条件分析，本次评价为了充分说明煤炭开采对地下水水位、水量的影响，采用采煤沉陷</w:t>
      </w:r>
      <w:r>
        <w:rPr>
          <w:sz w:val="24"/>
        </w:rPr>
        <w:t>“</w:t>
      </w:r>
      <w:r>
        <w:rPr>
          <w:sz w:val="24"/>
        </w:rPr>
        <w:t>导水裂缝带</w:t>
      </w:r>
      <w:r>
        <w:rPr>
          <w:sz w:val="24"/>
        </w:rPr>
        <w:t>”</w:t>
      </w:r>
      <w:r>
        <w:rPr>
          <w:sz w:val="24"/>
        </w:rPr>
        <w:t>高度预测来说明被破坏含水层与其他含水层的水力联系，然后采用数值模型</w:t>
      </w:r>
      <w:r>
        <w:rPr>
          <w:sz w:val="24"/>
        </w:rPr>
        <w:t>“</w:t>
      </w:r>
      <w:r>
        <w:rPr>
          <w:sz w:val="24"/>
        </w:rPr>
        <w:t>大井法</w:t>
      </w:r>
      <w:r>
        <w:rPr>
          <w:sz w:val="24"/>
        </w:rPr>
        <w:t xml:space="preserve">” </w:t>
      </w:r>
      <w:r>
        <w:rPr>
          <w:sz w:val="24"/>
        </w:rPr>
        <w:t>计算了煤炭开采过程中煤系含水层地下水流场的变化，为影响分析和制定保护措施提供依据。</w:t>
      </w:r>
    </w:p>
    <w:p w:rsidR="00240BCE" w:rsidRDefault="00AC0334">
      <w:pPr>
        <w:spacing w:line="520" w:lineRule="exact"/>
        <w:rPr>
          <w:sz w:val="24"/>
        </w:rPr>
      </w:pPr>
      <w:bookmarkStart w:id="573" w:name="_Toc148156019"/>
      <w:bookmarkStart w:id="574" w:name="_Toc148156467"/>
      <w:bookmarkStart w:id="575" w:name="_Toc148157022"/>
      <w:bookmarkStart w:id="576" w:name="_Toc158524683"/>
      <w:r>
        <w:rPr>
          <w:sz w:val="24"/>
        </w:rPr>
        <w:t>6.3.</w:t>
      </w:r>
      <w:r w:rsidR="007F466F">
        <w:rPr>
          <w:rFonts w:hint="eastAsia"/>
          <w:sz w:val="24"/>
        </w:rPr>
        <w:t>5</w:t>
      </w:r>
      <w:r>
        <w:rPr>
          <w:sz w:val="24"/>
        </w:rPr>
        <w:t>.</w:t>
      </w:r>
      <w:bookmarkEnd w:id="573"/>
      <w:bookmarkEnd w:id="574"/>
      <w:bookmarkEnd w:id="575"/>
      <w:r>
        <w:rPr>
          <w:sz w:val="24"/>
        </w:rPr>
        <w:t>1</w:t>
      </w:r>
      <w:r>
        <w:rPr>
          <w:sz w:val="24"/>
        </w:rPr>
        <w:t>采煤沉陷</w:t>
      </w:r>
      <w:r>
        <w:rPr>
          <w:sz w:val="24"/>
        </w:rPr>
        <w:t>“</w:t>
      </w:r>
      <w:r>
        <w:rPr>
          <w:sz w:val="24"/>
        </w:rPr>
        <w:t>导水裂隙带</w:t>
      </w:r>
      <w:r>
        <w:rPr>
          <w:sz w:val="24"/>
        </w:rPr>
        <w:t>”</w:t>
      </w:r>
      <w:r>
        <w:rPr>
          <w:sz w:val="24"/>
        </w:rPr>
        <w:t>高度预测</w:t>
      </w:r>
      <w:bookmarkEnd w:id="576"/>
    </w:p>
    <w:p w:rsidR="00240BCE" w:rsidRDefault="00AC0334">
      <w:pPr>
        <w:spacing w:line="520" w:lineRule="exact"/>
        <w:ind w:firstLineChars="200" w:firstLine="480"/>
        <w:rPr>
          <w:sz w:val="24"/>
        </w:rPr>
      </w:pPr>
      <w:bookmarkStart w:id="577" w:name="_Toc156386376"/>
      <w:bookmarkStart w:id="578" w:name="_Toc157574052"/>
      <w:bookmarkStart w:id="579" w:name="_Toc148156020"/>
      <w:bookmarkStart w:id="580" w:name="_Toc148156468"/>
      <w:bookmarkStart w:id="581" w:name="_Toc148157023"/>
      <w:bookmarkStart w:id="582" w:name="_Toc158524684"/>
      <w:bookmarkStart w:id="583" w:name="_Toc163749188"/>
      <w:bookmarkStart w:id="584" w:name="_Toc168978477"/>
      <w:bookmarkStart w:id="585" w:name="_Toc169519980"/>
      <w:bookmarkStart w:id="586" w:name="_Toc164245890"/>
      <w:bookmarkStart w:id="587" w:name="_Toc166899873"/>
      <w:r>
        <w:rPr>
          <w:sz w:val="24"/>
        </w:rPr>
        <w:t>一般来说煤层开采后按照垮落先后及岩石破坏程度从上到下依次形成冒落、裂隙和缓慢下沉（或弯曲）三带，其中裂隙带又分为连通和非连通两部分，通常将冒落带和裂隙带称为导水裂隙带，</w:t>
      </w:r>
      <w:bookmarkStart w:id="588" w:name="_Toc156386378"/>
      <w:bookmarkStart w:id="589" w:name="_Toc157574054"/>
      <w:bookmarkEnd w:id="577"/>
      <w:bookmarkEnd w:id="578"/>
      <w:r>
        <w:rPr>
          <w:sz w:val="24"/>
        </w:rPr>
        <w:t>井下开采对上覆含水层的影响程度主要取决于覆岩破坏形成的导水裂隙带是否波及含水层。</w:t>
      </w:r>
    </w:p>
    <w:p w:rsidR="00240BCE" w:rsidRDefault="00AC0334">
      <w:pPr>
        <w:spacing w:line="520" w:lineRule="exact"/>
        <w:ind w:firstLineChars="200" w:firstLine="480"/>
        <w:rPr>
          <w:bCs/>
          <w:sz w:val="24"/>
        </w:rPr>
      </w:pPr>
      <w:r>
        <w:rPr>
          <w:bCs/>
          <w:sz w:val="24"/>
        </w:rPr>
        <w:t>导水裂隙带发育高度与煤层赋存条件、顶板岩性、煤层开采厚度等均有密切关心。</w:t>
      </w:r>
      <w:r>
        <w:rPr>
          <w:sz w:val="24"/>
        </w:rPr>
        <w:t>根据前面的地质条件分析，评价区煤层顶板赋存岩石主要为泥岩、砂质泥岩，次为砂岩，均以软弱岩石或半坚硬岩石为主，煤层顶板为中硬岩层等地质特征，</w:t>
      </w:r>
      <w:r>
        <w:rPr>
          <w:bCs/>
          <w:sz w:val="24"/>
        </w:rPr>
        <w:t>其形成的导水裂隙带采用《建筑物、水体、铁路及主要井巷煤柱留设与压煤开采规程》中推荐的及经验公式计算：</w:t>
      </w:r>
      <w:bookmarkStart w:id="590" w:name="_Toc148157024"/>
      <w:bookmarkStart w:id="591" w:name="_Toc156386379"/>
      <w:bookmarkStart w:id="592" w:name="_Toc157574055"/>
      <w:bookmarkStart w:id="593" w:name="_Toc158524685"/>
      <w:bookmarkStart w:id="594" w:name="_Toc163749189"/>
      <w:bookmarkStart w:id="595" w:name="_Toc164245891"/>
      <w:bookmarkStart w:id="596" w:name="_Toc166899874"/>
      <w:bookmarkStart w:id="597" w:name="_Toc168978478"/>
      <w:bookmarkStart w:id="598" w:name="_Toc148156021"/>
      <w:bookmarkStart w:id="599" w:name="_Toc148156469"/>
      <w:bookmarkStart w:id="600" w:name="_Toc169519981"/>
      <w:bookmarkEnd w:id="579"/>
      <w:bookmarkEnd w:id="580"/>
      <w:bookmarkEnd w:id="581"/>
      <w:bookmarkEnd w:id="582"/>
      <w:bookmarkEnd w:id="583"/>
      <w:bookmarkEnd w:id="584"/>
      <w:bookmarkEnd w:id="585"/>
      <w:bookmarkEnd w:id="586"/>
      <w:bookmarkEnd w:id="587"/>
      <w:bookmarkEnd w:id="588"/>
      <w:bookmarkEnd w:id="589"/>
    </w:p>
    <w:p w:rsidR="00240BCE" w:rsidRDefault="00AC0334" w:rsidP="009C5F33">
      <w:pPr>
        <w:spacing w:afterLines="60" w:line="520" w:lineRule="exact"/>
        <w:ind w:firstLineChars="200" w:firstLine="480"/>
        <w:rPr>
          <w:color w:val="FF0000"/>
          <w:sz w:val="24"/>
        </w:rPr>
      </w:pPr>
      <w:r>
        <w:rPr>
          <w:bCs/>
          <w:sz w:val="24"/>
        </w:rPr>
        <w:t>公式：</w:t>
      </w:r>
      <w:r>
        <w:rPr>
          <w:bCs/>
          <w:sz w:val="24"/>
        </w:rPr>
        <w:t xml:space="preserve"> </w:t>
      </w:r>
      <w:bookmarkEnd w:id="590"/>
      <w:bookmarkEnd w:id="591"/>
      <w:bookmarkEnd w:id="592"/>
      <w:bookmarkEnd w:id="593"/>
      <w:bookmarkEnd w:id="594"/>
      <w:bookmarkEnd w:id="595"/>
      <w:bookmarkEnd w:id="596"/>
      <w:bookmarkEnd w:id="597"/>
      <w:bookmarkEnd w:id="598"/>
      <w:bookmarkEnd w:id="599"/>
      <w:bookmarkEnd w:id="600"/>
      <w:r w:rsidRPr="00CA16C7">
        <w:rPr>
          <w:color w:val="FF0000"/>
          <w:position w:val="-32"/>
          <w:sz w:val="24"/>
        </w:rPr>
        <w:object w:dxaOrig="2600" w:dyaOrig="760">
          <v:shape id="_x0000_i1075" type="#_x0000_t75" style="width:130.5pt;height:37.5pt" o:ole="">
            <v:imagedata r:id="rId131" o:title=""/>
          </v:shape>
          <o:OLEObject Type="Embed" ProgID="Equations" ShapeID="_x0000_i1075" DrawAspect="Content" ObjectID="_1695746938" r:id="rId132"/>
        </w:object>
      </w:r>
      <w:bookmarkStart w:id="601" w:name="_Toc148156023"/>
      <w:bookmarkStart w:id="602" w:name="_Toc156386380"/>
      <w:bookmarkStart w:id="603" w:name="_Toc157574056"/>
      <w:bookmarkStart w:id="604" w:name="_Toc158524686"/>
      <w:bookmarkStart w:id="605" w:name="_Toc148156471"/>
      <w:bookmarkStart w:id="606" w:name="_Toc148157026"/>
      <w:bookmarkStart w:id="607" w:name="_Toc166899875"/>
      <w:bookmarkStart w:id="608" w:name="_Toc168978479"/>
      <w:bookmarkStart w:id="609" w:name="_Toc169519982"/>
      <w:bookmarkStart w:id="610" w:name="_Toc163749190"/>
      <w:bookmarkStart w:id="611" w:name="_Toc164245892"/>
    </w:p>
    <w:p w:rsidR="00240BCE" w:rsidRDefault="00AC0334">
      <w:pPr>
        <w:spacing w:line="520" w:lineRule="exact"/>
        <w:ind w:firstLineChars="200" w:firstLine="480"/>
        <w:rPr>
          <w:bCs/>
          <w:sz w:val="24"/>
        </w:rPr>
      </w:pPr>
      <w:r>
        <w:rPr>
          <w:bCs/>
          <w:sz w:val="24"/>
        </w:rPr>
        <w:t>H</w:t>
      </w:r>
      <w:r>
        <w:rPr>
          <w:bCs/>
          <w:sz w:val="24"/>
          <w:vertAlign w:val="subscript"/>
        </w:rPr>
        <w:t>Li</w:t>
      </w:r>
      <w:r>
        <w:rPr>
          <w:bCs/>
          <w:sz w:val="24"/>
        </w:rPr>
        <w:t>—</w:t>
      </w:r>
      <w:r>
        <w:rPr>
          <w:bCs/>
          <w:sz w:val="24"/>
        </w:rPr>
        <w:t>导水裂隙带高度，</w:t>
      </w:r>
      <w:r>
        <w:rPr>
          <w:bCs/>
          <w:sz w:val="24"/>
        </w:rPr>
        <w:t>m</w:t>
      </w:r>
      <w:bookmarkStart w:id="612" w:name="_Toc166899876"/>
      <w:bookmarkStart w:id="613" w:name="_Toc168978480"/>
      <w:bookmarkStart w:id="614" w:name="_Toc169519983"/>
      <w:bookmarkStart w:id="615" w:name="_Toc148156024"/>
      <w:bookmarkStart w:id="616" w:name="_Toc148156472"/>
      <w:bookmarkStart w:id="617" w:name="_Toc148157027"/>
      <w:bookmarkStart w:id="618" w:name="_Toc156386381"/>
      <w:bookmarkStart w:id="619" w:name="_Toc157574057"/>
      <w:bookmarkStart w:id="620" w:name="_Toc158524687"/>
      <w:bookmarkStart w:id="621" w:name="_Toc163749191"/>
      <w:bookmarkStart w:id="622" w:name="_Toc164245893"/>
      <w:bookmarkEnd w:id="601"/>
      <w:bookmarkEnd w:id="602"/>
      <w:bookmarkEnd w:id="603"/>
      <w:bookmarkEnd w:id="604"/>
      <w:bookmarkEnd w:id="605"/>
      <w:bookmarkEnd w:id="606"/>
      <w:bookmarkEnd w:id="607"/>
      <w:bookmarkEnd w:id="608"/>
      <w:bookmarkEnd w:id="609"/>
      <w:bookmarkEnd w:id="610"/>
      <w:bookmarkEnd w:id="611"/>
    </w:p>
    <w:p w:rsidR="00240BCE" w:rsidRDefault="00AC0334">
      <w:pPr>
        <w:spacing w:line="520" w:lineRule="exact"/>
        <w:ind w:firstLineChars="200" w:firstLine="480"/>
        <w:rPr>
          <w:bCs/>
          <w:sz w:val="24"/>
        </w:rPr>
      </w:pPr>
      <w:r>
        <w:rPr>
          <w:bCs/>
          <w:sz w:val="24"/>
        </w:rPr>
        <w:t>M—</w:t>
      </w:r>
      <w:r>
        <w:rPr>
          <w:bCs/>
          <w:sz w:val="24"/>
        </w:rPr>
        <w:t>开采煤层厚度，</w:t>
      </w:r>
      <w:r>
        <w:rPr>
          <w:bCs/>
          <w:sz w:val="24"/>
        </w:rPr>
        <w:t>m</w:t>
      </w:r>
      <w:bookmarkStart w:id="623" w:name="_Toc166899877"/>
      <w:bookmarkStart w:id="624" w:name="_Toc168978481"/>
      <w:bookmarkStart w:id="625" w:name="_Toc169519984"/>
      <w:bookmarkStart w:id="626" w:name="_Toc148156025"/>
      <w:bookmarkStart w:id="627" w:name="_Toc148156473"/>
      <w:bookmarkStart w:id="628" w:name="_Toc148157028"/>
      <w:bookmarkStart w:id="629" w:name="_Toc156386382"/>
      <w:bookmarkStart w:id="630" w:name="_Toc157574058"/>
      <w:bookmarkStart w:id="631" w:name="_Toc158524688"/>
      <w:bookmarkStart w:id="632" w:name="_Toc163749192"/>
      <w:bookmarkStart w:id="633" w:name="_Toc164245894"/>
      <w:bookmarkEnd w:id="612"/>
      <w:bookmarkEnd w:id="613"/>
      <w:bookmarkEnd w:id="614"/>
      <w:bookmarkEnd w:id="615"/>
      <w:bookmarkEnd w:id="616"/>
      <w:bookmarkEnd w:id="617"/>
      <w:bookmarkEnd w:id="618"/>
      <w:bookmarkEnd w:id="619"/>
      <w:bookmarkEnd w:id="620"/>
      <w:bookmarkEnd w:id="621"/>
      <w:bookmarkEnd w:id="622"/>
    </w:p>
    <w:p w:rsidR="00240BCE" w:rsidRDefault="00AC0334">
      <w:pPr>
        <w:spacing w:line="520" w:lineRule="exact"/>
        <w:ind w:firstLineChars="200" w:firstLine="480"/>
        <w:rPr>
          <w:bCs/>
          <w:sz w:val="24"/>
        </w:rPr>
      </w:pPr>
      <w:r>
        <w:rPr>
          <w:bCs/>
          <w:sz w:val="24"/>
        </w:rPr>
        <w:t>根据本井田实际，求出该矿井开采过程中导水裂隙带高度，见表</w:t>
      </w:r>
      <w:r>
        <w:rPr>
          <w:bCs/>
          <w:sz w:val="24"/>
        </w:rPr>
        <w:t>6.3-</w:t>
      </w:r>
      <w:r w:rsidR="00705836">
        <w:rPr>
          <w:rFonts w:hint="eastAsia"/>
          <w:bCs/>
          <w:sz w:val="24"/>
        </w:rPr>
        <w:t>6</w:t>
      </w:r>
      <w:r>
        <w:rPr>
          <w:bCs/>
          <w:sz w:val="24"/>
        </w:rPr>
        <w:t>。</w:t>
      </w:r>
      <w:bookmarkStart w:id="634" w:name="_Toc148156475"/>
      <w:bookmarkStart w:id="635" w:name="_Toc148157030"/>
      <w:bookmarkStart w:id="636" w:name="_Toc148156027"/>
      <w:bookmarkStart w:id="637" w:name="_Toc156386384"/>
      <w:bookmarkStart w:id="638" w:name="_Toc157574060"/>
      <w:bookmarkStart w:id="639" w:name="_Toc158524690"/>
      <w:bookmarkStart w:id="640" w:name="_Toc163749194"/>
      <w:bookmarkStart w:id="641" w:name="_Toc164245896"/>
      <w:bookmarkStart w:id="642" w:name="_Toc166899879"/>
      <w:bookmarkStart w:id="643" w:name="_Toc168978483"/>
      <w:bookmarkStart w:id="644" w:name="_Toc169519986"/>
      <w:bookmarkStart w:id="645" w:name="_Toc148156474"/>
      <w:bookmarkStart w:id="646" w:name="_Toc148157029"/>
      <w:bookmarkStart w:id="647" w:name="_Toc156386383"/>
      <w:bookmarkStart w:id="648" w:name="_Toc157574059"/>
      <w:bookmarkStart w:id="649" w:name="_Toc158524689"/>
      <w:bookmarkStart w:id="650" w:name="_Toc163749193"/>
      <w:bookmarkStart w:id="651" w:name="_Toc164245895"/>
      <w:bookmarkStart w:id="652" w:name="_Toc166899878"/>
      <w:bookmarkStart w:id="653" w:name="_Toc168978482"/>
      <w:bookmarkStart w:id="654" w:name="_Toc169519985"/>
      <w:bookmarkStart w:id="655" w:name="_Toc148156026"/>
      <w:bookmarkEnd w:id="623"/>
      <w:bookmarkEnd w:id="624"/>
      <w:bookmarkEnd w:id="625"/>
      <w:bookmarkEnd w:id="626"/>
      <w:bookmarkEnd w:id="627"/>
      <w:bookmarkEnd w:id="628"/>
      <w:bookmarkEnd w:id="629"/>
      <w:bookmarkEnd w:id="630"/>
      <w:bookmarkEnd w:id="631"/>
      <w:bookmarkEnd w:id="632"/>
      <w:bookmarkEnd w:id="633"/>
    </w:p>
    <w:p w:rsidR="00240BCE" w:rsidRDefault="00AC0334">
      <w:pPr>
        <w:spacing w:line="520" w:lineRule="exact"/>
        <w:jc w:val="center"/>
        <w:rPr>
          <w:rFonts w:eastAsia="黑体"/>
          <w:bCs/>
          <w:sz w:val="24"/>
        </w:rPr>
      </w:pPr>
      <w:r>
        <w:rPr>
          <w:rFonts w:eastAsia="黑体"/>
          <w:bCs/>
          <w:sz w:val="24"/>
        </w:rPr>
        <w:t>表</w:t>
      </w:r>
      <w:bookmarkEnd w:id="634"/>
      <w:bookmarkEnd w:id="635"/>
      <w:bookmarkEnd w:id="636"/>
      <w:r>
        <w:rPr>
          <w:rFonts w:eastAsia="黑体"/>
          <w:bCs/>
          <w:sz w:val="24"/>
        </w:rPr>
        <w:t>6.</w:t>
      </w:r>
      <w:bookmarkEnd w:id="637"/>
      <w:bookmarkEnd w:id="638"/>
      <w:bookmarkEnd w:id="639"/>
      <w:bookmarkEnd w:id="640"/>
      <w:bookmarkEnd w:id="641"/>
      <w:bookmarkEnd w:id="642"/>
      <w:bookmarkEnd w:id="643"/>
      <w:bookmarkEnd w:id="644"/>
      <w:r>
        <w:rPr>
          <w:rFonts w:eastAsia="黑体"/>
          <w:bCs/>
          <w:sz w:val="24"/>
        </w:rPr>
        <w:t>3-</w:t>
      </w:r>
      <w:r w:rsidR="00705836">
        <w:rPr>
          <w:rFonts w:eastAsia="黑体" w:hint="eastAsia"/>
          <w:bCs/>
          <w:sz w:val="24"/>
        </w:rPr>
        <w:t>6</w:t>
      </w:r>
      <w:r>
        <w:rPr>
          <w:rFonts w:eastAsia="黑体"/>
          <w:bCs/>
          <w:sz w:val="24"/>
        </w:rPr>
        <w:t xml:space="preserve">  </w:t>
      </w:r>
      <w:r>
        <w:rPr>
          <w:rFonts w:eastAsia="黑体"/>
          <w:bCs/>
          <w:sz w:val="24"/>
        </w:rPr>
        <w:t>导水裂隙带高度预测值</w:t>
      </w:r>
      <w:bookmarkEnd w:id="645"/>
      <w:bookmarkEnd w:id="646"/>
      <w:bookmarkEnd w:id="647"/>
      <w:bookmarkEnd w:id="648"/>
      <w:bookmarkEnd w:id="649"/>
      <w:bookmarkEnd w:id="650"/>
      <w:bookmarkEnd w:id="651"/>
      <w:bookmarkEnd w:id="652"/>
      <w:bookmarkEnd w:id="653"/>
      <w:bookmarkEnd w:id="654"/>
      <w:bookmarkEnd w:id="655"/>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97"/>
        <w:gridCol w:w="3374"/>
        <w:gridCol w:w="3769"/>
      </w:tblGrid>
      <w:tr w:rsidR="00240BCE">
        <w:tc>
          <w:tcPr>
            <w:tcW w:w="914" w:type="pct"/>
            <w:vMerge w:val="restart"/>
            <w:vAlign w:val="center"/>
          </w:tcPr>
          <w:p w:rsidR="00240BCE" w:rsidRDefault="00AC0334">
            <w:pPr>
              <w:pStyle w:val="ae"/>
              <w:spacing w:line="340" w:lineRule="exact"/>
              <w:jc w:val="center"/>
              <w:rPr>
                <w:rFonts w:ascii="Times New Roman" w:hAnsi="Times New Roman"/>
                <w:bCs/>
                <w:sz w:val="21"/>
                <w:szCs w:val="21"/>
              </w:rPr>
            </w:pPr>
            <w:bookmarkStart w:id="656" w:name="_Toc148156029"/>
            <w:bookmarkStart w:id="657" w:name="_Toc148156477"/>
            <w:bookmarkStart w:id="658" w:name="_Toc169519987"/>
            <w:bookmarkStart w:id="659" w:name="_Toc166899880"/>
            <w:bookmarkStart w:id="660" w:name="_Toc168978484"/>
            <w:bookmarkStart w:id="661" w:name="_Toc21253"/>
            <w:bookmarkStart w:id="662" w:name="_Toc148157032"/>
            <w:bookmarkStart w:id="663" w:name="_Toc156386385"/>
            <w:bookmarkStart w:id="664" w:name="_Toc157574061"/>
            <w:bookmarkStart w:id="665" w:name="_Toc158524691"/>
            <w:bookmarkStart w:id="666" w:name="_Toc163749195"/>
            <w:bookmarkStart w:id="667" w:name="_Toc164245897"/>
            <w:r>
              <w:rPr>
                <w:rFonts w:ascii="Times New Roman" w:hAnsi="Times New Roman"/>
                <w:bCs/>
                <w:sz w:val="21"/>
                <w:szCs w:val="21"/>
              </w:rPr>
              <w:t>开采煤层</w:t>
            </w:r>
            <w:bookmarkEnd w:id="656"/>
            <w:bookmarkEnd w:id="657"/>
            <w:bookmarkEnd w:id="658"/>
            <w:bookmarkEnd w:id="659"/>
            <w:bookmarkEnd w:id="660"/>
            <w:bookmarkEnd w:id="661"/>
            <w:bookmarkEnd w:id="662"/>
            <w:bookmarkEnd w:id="663"/>
            <w:bookmarkEnd w:id="664"/>
            <w:bookmarkEnd w:id="665"/>
            <w:bookmarkEnd w:id="666"/>
            <w:bookmarkEnd w:id="667"/>
          </w:p>
        </w:tc>
        <w:tc>
          <w:tcPr>
            <w:tcW w:w="1930" w:type="pct"/>
            <w:vAlign w:val="center"/>
          </w:tcPr>
          <w:p w:rsidR="00240BCE" w:rsidRDefault="00AC0334">
            <w:pPr>
              <w:pStyle w:val="ae"/>
              <w:spacing w:line="340" w:lineRule="exact"/>
              <w:jc w:val="center"/>
              <w:rPr>
                <w:rFonts w:ascii="Times New Roman" w:hAnsi="Times New Roman"/>
                <w:bCs/>
                <w:sz w:val="21"/>
                <w:szCs w:val="21"/>
              </w:rPr>
            </w:pPr>
            <w:bookmarkStart w:id="668" w:name="_Toc148157033"/>
            <w:bookmarkStart w:id="669" w:name="_Toc156386386"/>
            <w:bookmarkStart w:id="670" w:name="_Toc157574062"/>
            <w:bookmarkStart w:id="671" w:name="_Toc158524692"/>
            <w:bookmarkStart w:id="672" w:name="_Toc163749196"/>
            <w:bookmarkStart w:id="673" w:name="_Toc164245898"/>
            <w:bookmarkStart w:id="674" w:name="_Toc166899881"/>
            <w:bookmarkStart w:id="675" w:name="_Toc168978485"/>
            <w:bookmarkStart w:id="676" w:name="_Toc169519988"/>
            <w:bookmarkStart w:id="677" w:name="_Toc148156030"/>
            <w:bookmarkStart w:id="678" w:name="_Toc148156478"/>
            <w:bookmarkStart w:id="679" w:name="_Toc8623"/>
            <w:r>
              <w:rPr>
                <w:rFonts w:ascii="Times New Roman" w:hAnsi="Times New Roman"/>
                <w:bCs/>
                <w:sz w:val="21"/>
                <w:szCs w:val="21"/>
              </w:rPr>
              <w:t>煤层厚度（</w:t>
            </w:r>
            <w:r>
              <w:rPr>
                <w:rFonts w:ascii="Times New Roman" w:hAnsi="Times New Roman"/>
                <w:bCs/>
                <w:sz w:val="21"/>
                <w:szCs w:val="21"/>
              </w:rPr>
              <w:t>m</w:t>
            </w:r>
            <w:r>
              <w:rPr>
                <w:rFonts w:ascii="Times New Roman" w:hAnsi="Times New Roman"/>
                <w:bCs/>
                <w:sz w:val="21"/>
                <w:szCs w:val="21"/>
              </w:rPr>
              <w:t>）</w:t>
            </w:r>
            <w:bookmarkEnd w:id="668"/>
            <w:bookmarkEnd w:id="669"/>
            <w:bookmarkEnd w:id="670"/>
            <w:bookmarkEnd w:id="671"/>
            <w:bookmarkEnd w:id="672"/>
            <w:bookmarkEnd w:id="673"/>
            <w:bookmarkEnd w:id="674"/>
            <w:bookmarkEnd w:id="675"/>
            <w:bookmarkEnd w:id="676"/>
            <w:bookmarkEnd w:id="677"/>
            <w:bookmarkEnd w:id="678"/>
            <w:bookmarkEnd w:id="679"/>
          </w:p>
        </w:tc>
        <w:tc>
          <w:tcPr>
            <w:tcW w:w="2156" w:type="pct"/>
            <w:vAlign w:val="center"/>
          </w:tcPr>
          <w:p w:rsidR="00240BCE" w:rsidRDefault="00AC0334">
            <w:pPr>
              <w:pStyle w:val="ae"/>
              <w:spacing w:line="340" w:lineRule="exact"/>
              <w:jc w:val="center"/>
              <w:rPr>
                <w:rFonts w:ascii="Times New Roman" w:hAnsi="Times New Roman"/>
                <w:bCs/>
                <w:sz w:val="21"/>
                <w:szCs w:val="21"/>
              </w:rPr>
            </w:pPr>
            <w:bookmarkStart w:id="680" w:name="_Toc166899882"/>
            <w:bookmarkStart w:id="681" w:name="_Toc168978486"/>
            <w:bookmarkStart w:id="682" w:name="_Toc148156031"/>
            <w:bookmarkStart w:id="683" w:name="_Toc148156479"/>
            <w:bookmarkStart w:id="684" w:name="_Toc169519989"/>
            <w:bookmarkStart w:id="685" w:name="_Toc18266"/>
            <w:bookmarkStart w:id="686" w:name="_Toc148157034"/>
            <w:bookmarkStart w:id="687" w:name="_Toc156386389"/>
            <w:bookmarkStart w:id="688" w:name="_Toc157574065"/>
            <w:bookmarkStart w:id="689" w:name="_Toc158524695"/>
            <w:bookmarkStart w:id="690" w:name="_Toc163749197"/>
            <w:bookmarkStart w:id="691" w:name="_Toc164245899"/>
            <w:r>
              <w:rPr>
                <w:rFonts w:ascii="Times New Roman" w:hAnsi="Times New Roman"/>
                <w:bCs/>
                <w:sz w:val="21"/>
                <w:szCs w:val="21"/>
              </w:rPr>
              <w:t>导水裂隙带高度（</w:t>
            </w:r>
            <w:r>
              <w:rPr>
                <w:rFonts w:ascii="Times New Roman" w:hAnsi="Times New Roman"/>
                <w:bCs/>
                <w:sz w:val="21"/>
                <w:szCs w:val="21"/>
              </w:rPr>
              <w:t>m</w:t>
            </w:r>
            <w:r>
              <w:rPr>
                <w:rFonts w:ascii="Times New Roman" w:hAnsi="Times New Roman"/>
                <w:bCs/>
                <w:sz w:val="21"/>
                <w:szCs w:val="21"/>
              </w:rPr>
              <w:t>）</w:t>
            </w:r>
            <w:bookmarkEnd w:id="680"/>
            <w:bookmarkEnd w:id="681"/>
            <w:bookmarkEnd w:id="682"/>
            <w:bookmarkEnd w:id="683"/>
            <w:bookmarkEnd w:id="684"/>
            <w:bookmarkEnd w:id="685"/>
            <w:bookmarkEnd w:id="686"/>
            <w:bookmarkEnd w:id="687"/>
            <w:bookmarkEnd w:id="688"/>
            <w:bookmarkEnd w:id="689"/>
            <w:bookmarkEnd w:id="690"/>
            <w:bookmarkEnd w:id="691"/>
          </w:p>
        </w:tc>
      </w:tr>
      <w:tr w:rsidR="00240BCE">
        <w:tc>
          <w:tcPr>
            <w:tcW w:w="914" w:type="pct"/>
            <w:vMerge/>
            <w:vAlign w:val="center"/>
          </w:tcPr>
          <w:p w:rsidR="00240BCE" w:rsidRDefault="00240BCE">
            <w:pPr>
              <w:pStyle w:val="ae"/>
              <w:spacing w:line="340" w:lineRule="exact"/>
              <w:jc w:val="center"/>
              <w:rPr>
                <w:rFonts w:ascii="Times New Roman" w:hAnsi="Times New Roman"/>
                <w:bCs/>
                <w:sz w:val="21"/>
                <w:szCs w:val="21"/>
              </w:rPr>
            </w:pPr>
          </w:p>
        </w:tc>
        <w:tc>
          <w:tcPr>
            <w:tcW w:w="1930" w:type="pct"/>
            <w:vAlign w:val="center"/>
          </w:tcPr>
          <w:p w:rsidR="00240BCE" w:rsidRDefault="00AC0334">
            <w:pPr>
              <w:pStyle w:val="ae"/>
              <w:spacing w:line="340" w:lineRule="exact"/>
              <w:jc w:val="center"/>
              <w:rPr>
                <w:rFonts w:ascii="Times New Roman" w:hAnsi="Times New Roman"/>
                <w:bCs/>
                <w:sz w:val="21"/>
                <w:szCs w:val="21"/>
                <w:u w:val="single"/>
              </w:rPr>
            </w:pPr>
            <w:bookmarkStart w:id="692" w:name="_Toc5390"/>
            <w:r>
              <w:rPr>
                <w:rFonts w:ascii="Times New Roman" w:hAnsi="Times New Roman"/>
                <w:bCs/>
                <w:sz w:val="21"/>
                <w:szCs w:val="21"/>
                <w:u w:val="single"/>
              </w:rPr>
              <w:t>最小值～最大值</w:t>
            </w:r>
            <w:bookmarkEnd w:id="692"/>
          </w:p>
          <w:p w:rsidR="00240BCE" w:rsidRDefault="00AC0334">
            <w:pPr>
              <w:pStyle w:val="ae"/>
              <w:spacing w:line="340" w:lineRule="exact"/>
              <w:jc w:val="center"/>
              <w:rPr>
                <w:rFonts w:ascii="Times New Roman" w:hAnsi="Times New Roman"/>
                <w:bCs/>
                <w:sz w:val="21"/>
                <w:szCs w:val="21"/>
              </w:rPr>
            </w:pPr>
            <w:bookmarkStart w:id="693" w:name="_Toc21701"/>
            <w:r>
              <w:rPr>
                <w:rFonts w:ascii="Times New Roman" w:hAnsi="Times New Roman"/>
                <w:bCs/>
                <w:sz w:val="21"/>
                <w:szCs w:val="21"/>
              </w:rPr>
              <w:t>平均值</w:t>
            </w:r>
            <w:bookmarkEnd w:id="693"/>
          </w:p>
        </w:tc>
        <w:tc>
          <w:tcPr>
            <w:tcW w:w="2156" w:type="pct"/>
            <w:vAlign w:val="center"/>
          </w:tcPr>
          <w:p w:rsidR="00240BCE" w:rsidRDefault="00AC0334">
            <w:pPr>
              <w:pStyle w:val="ae"/>
              <w:spacing w:line="340" w:lineRule="exact"/>
              <w:jc w:val="center"/>
              <w:rPr>
                <w:rFonts w:ascii="Times New Roman" w:hAnsi="Times New Roman"/>
                <w:bCs/>
                <w:sz w:val="21"/>
                <w:szCs w:val="21"/>
                <w:u w:val="single"/>
              </w:rPr>
            </w:pPr>
            <w:bookmarkStart w:id="694" w:name="_Toc11354"/>
            <w:r>
              <w:rPr>
                <w:rFonts w:ascii="Times New Roman" w:hAnsi="Times New Roman"/>
                <w:bCs/>
                <w:sz w:val="21"/>
                <w:szCs w:val="21"/>
                <w:u w:val="single"/>
              </w:rPr>
              <w:t>最小值～最大值</w:t>
            </w:r>
            <w:bookmarkEnd w:id="694"/>
          </w:p>
          <w:p w:rsidR="00240BCE" w:rsidRDefault="00AC0334">
            <w:pPr>
              <w:pStyle w:val="ae"/>
              <w:spacing w:line="340" w:lineRule="exact"/>
              <w:jc w:val="center"/>
              <w:rPr>
                <w:rFonts w:ascii="Times New Roman" w:hAnsi="Times New Roman"/>
                <w:bCs/>
                <w:sz w:val="21"/>
                <w:szCs w:val="21"/>
              </w:rPr>
            </w:pPr>
            <w:bookmarkStart w:id="695" w:name="_Toc28128"/>
            <w:r>
              <w:rPr>
                <w:rFonts w:ascii="Times New Roman" w:hAnsi="Times New Roman"/>
                <w:bCs/>
                <w:sz w:val="21"/>
                <w:szCs w:val="21"/>
              </w:rPr>
              <w:t>平均值</w:t>
            </w:r>
            <w:bookmarkEnd w:id="695"/>
          </w:p>
        </w:tc>
      </w:tr>
      <w:tr w:rsidR="00240BCE">
        <w:trPr>
          <w:trHeight w:val="730"/>
        </w:trPr>
        <w:tc>
          <w:tcPr>
            <w:tcW w:w="914" w:type="pct"/>
            <w:vAlign w:val="center"/>
          </w:tcPr>
          <w:p w:rsidR="00240BCE" w:rsidRDefault="00AC0334">
            <w:pPr>
              <w:pStyle w:val="ae"/>
              <w:spacing w:line="340" w:lineRule="exact"/>
              <w:jc w:val="center"/>
              <w:rPr>
                <w:rFonts w:ascii="Times New Roman" w:hAnsi="Times New Roman"/>
                <w:bCs/>
                <w:sz w:val="21"/>
                <w:szCs w:val="21"/>
                <w:vertAlign w:val="subscript"/>
              </w:rPr>
            </w:pPr>
            <w:bookmarkStart w:id="696" w:name="_Toc27434"/>
            <w:r>
              <w:rPr>
                <w:rFonts w:ascii="Times New Roman" w:hAnsi="Times New Roman"/>
                <w:bCs/>
                <w:sz w:val="21"/>
                <w:szCs w:val="21"/>
              </w:rPr>
              <w:t>二</w:t>
            </w:r>
            <w:r>
              <w:rPr>
                <w:rFonts w:ascii="Times New Roman" w:hAnsi="Times New Roman"/>
                <w:bCs/>
                <w:sz w:val="21"/>
                <w:szCs w:val="21"/>
                <w:vertAlign w:val="subscript"/>
              </w:rPr>
              <w:t>1</w:t>
            </w:r>
            <w:bookmarkEnd w:id="696"/>
          </w:p>
        </w:tc>
        <w:tc>
          <w:tcPr>
            <w:tcW w:w="1930" w:type="pct"/>
            <w:vAlign w:val="center"/>
          </w:tcPr>
          <w:p w:rsidR="00240BCE" w:rsidRDefault="00AC0334">
            <w:pPr>
              <w:pStyle w:val="ae"/>
              <w:spacing w:line="340" w:lineRule="exact"/>
              <w:jc w:val="center"/>
              <w:rPr>
                <w:rFonts w:ascii="Times New Roman" w:hAnsi="Times New Roman"/>
                <w:bCs/>
                <w:sz w:val="21"/>
                <w:szCs w:val="21"/>
                <w:u w:val="single"/>
              </w:rPr>
            </w:pPr>
            <w:bookmarkStart w:id="697" w:name="_Toc7595"/>
            <w:r>
              <w:rPr>
                <w:rFonts w:ascii="Times New Roman" w:hAnsi="Times New Roman"/>
                <w:bCs/>
                <w:sz w:val="21"/>
                <w:szCs w:val="21"/>
                <w:u w:val="single"/>
              </w:rPr>
              <w:t>0.72</w:t>
            </w:r>
            <w:r>
              <w:rPr>
                <w:rFonts w:ascii="Times New Roman" w:hAnsi="Times New Roman"/>
                <w:bCs/>
                <w:sz w:val="21"/>
                <w:szCs w:val="21"/>
                <w:u w:val="single"/>
              </w:rPr>
              <w:t>～</w:t>
            </w:r>
            <w:r>
              <w:rPr>
                <w:rFonts w:ascii="Times New Roman" w:hAnsi="Times New Roman"/>
                <w:bCs/>
                <w:sz w:val="21"/>
                <w:szCs w:val="21"/>
                <w:u w:val="single"/>
              </w:rPr>
              <w:t>5.15</w:t>
            </w:r>
            <w:bookmarkEnd w:id="697"/>
          </w:p>
          <w:p w:rsidR="00240BCE" w:rsidRDefault="00AC0334">
            <w:pPr>
              <w:pStyle w:val="ae"/>
              <w:spacing w:line="340" w:lineRule="exact"/>
              <w:jc w:val="center"/>
              <w:rPr>
                <w:rFonts w:ascii="Times New Roman" w:hAnsi="Times New Roman"/>
                <w:bCs/>
                <w:sz w:val="21"/>
                <w:szCs w:val="21"/>
              </w:rPr>
            </w:pPr>
            <w:bookmarkStart w:id="698" w:name="_Toc30523"/>
            <w:r>
              <w:rPr>
                <w:rFonts w:ascii="Times New Roman" w:hAnsi="Times New Roman"/>
                <w:bCs/>
                <w:sz w:val="21"/>
                <w:szCs w:val="21"/>
              </w:rPr>
              <w:t>2.93</w:t>
            </w:r>
            <w:bookmarkEnd w:id="698"/>
          </w:p>
        </w:tc>
        <w:tc>
          <w:tcPr>
            <w:tcW w:w="2156" w:type="pct"/>
            <w:vAlign w:val="center"/>
          </w:tcPr>
          <w:p w:rsidR="00240BCE" w:rsidRDefault="00AC0334">
            <w:pPr>
              <w:pStyle w:val="ae"/>
              <w:spacing w:line="340" w:lineRule="exact"/>
              <w:jc w:val="center"/>
              <w:rPr>
                <w:rFonts w:ascii="Times New Roman" w:hAnsi="Times New Roman"/>
                <w:bCs/>
                <w:sz w:val="21"/>
                <w:szCs w:val="21"/>
                <w:u w:val="single"/>
              </w:rPr>
            </w:pPr>
            <w:bookmarkStart w:id="699" w:name="_Toc1724"/>
            <w:r>
              <w:rPr>
                <w:rFonts w:ascii="Times New Roman" w:hAnsi="Times New Roman"/>
                <w:bCs/>
                <w:sz w:val="21"/>
                <w:szCs w:val="21"/>
                <w:u w:val="single"/>
              </w:rPr>
              <w:t>20.75</w:t>
            </w:r>
            <w:r>
              <w:rPr>
                <w:rFonts w:ascii="Times New Roman" w:hAnsi="Times New Roman"/>
                <w:bCs/>
                <w:sz w:val="21"/>
                <w:szCs w:val="21"/>
                <w:u w:val="single"/>
              </w:rPr>
              <w:t>～</w:t>
            </w:r>
            <w:r>
              <w:rPr>
                <w:rFonts w:ascii="Times New Roman" w:hAnsi="Times New Roman"/>
                <w:bCs/>
                <w:sz w:val="21"/>
                <w:szCs w:val="21"/>
                <w:u w:val="single"/>
              </w:rPr>
              <w:t>49.18</w:t>
            </w:r>
            <w:bookmarkEnd w:id="699"/>
          </w:p>
          <w:p w:rsidR="00240BCE" w:rsidRDefault="00AC0334">
            <w:pPr>
              <w:pStyle w:val="ae"/>
              <w:spacing w:line="340" w:lineRule="exact"/>
              <w:jc w:val="center"/>
              <w:rPr>
                <w:rFonts w:ascii="Times New Roman" w:hAnsi="Times New Roman"/>
                <w:bCs/>
                <w:sz w:val="21"/>
                <w:szCs w:val="21"/>
              </w:rPr>
            </w:pPr>
            <w:bookmarkStart w:id="700" w:name="_Toc30041"/>
            <w:r>
              <w:rPr>
                <w:rFonts w:ascii="Times New Roman" w:hAnsi="Times New Roman"/>
                <w:bCs/>
                <w:sz w:val="21"/>
                <w:szCs w:val="21"/>
              </w:rPr>
              <w:t>40.95</w:t>
            </w:r>
            <w:bookmarkEnd w:id="700"/>
          </w:p>
        </w:tc>
      </w:tr>
    </w:tbl>
    <w:p w:rsidR="00240BCE" w:rsidRDefault="00AC0334">
      <w:pPr>
        <w:pStyle w:val="ae"/>
        <w:spacing w:line="540" w:lineRule="exact"/>
        <w:ind w:firstLineChars="200" w:firstLine="480"/>
        <w:rPr>
          <w:rFonts w:ascii="Times New Roman" w:hAnsi="Times New Roman"/>
          <w:sz w:val="24"/>
          <w:szCs w:val="24"/>
        </w:rPr>
      </w:pPr>
      <w:bookmarkStart w:id="701" w:name="_Toc157574071"/>
      <w:bookmarkStart w:id="702" w:name="_Toc158524701"/>
      <w:bookmarkStart w:id="703" w:name="_Toc169519997"/>
      <w:bookmarkStart w:id="704" w:name="_Toc168978494"/>
      <w:bookmarkStart w:id="705" w:name="_Toc166899890"/>
      <w:bookmarkStart w:id="706" w:name="_Toc164245907"/>
      <w:bookmarkStart w:id="707" w:name="_Toc156386395"/>
      <w:bookmarkStart w:id="708" w:name="_Toc163749205"/>
      <w:bookmarkStart w:id="709" w:name="_Toc148157047"/>
      <w:bookmarkStart w:id="710" w:name="_Toc148156492"/>
      <w:bookmarkStart w:id="711" w:name="_Toc148156044"/>
      <w:r>
        <w:rPr>
          <w:rFonts w:ascii="Times New Roman" w:hAnsi="Times New Roman"/>
          <w:sz w:val="24"/>
          <w:szCs w:val="24"/>
        </w:rPr>
        <w:t>由表</w:t>
      </w:r>
      <w:r>
        <w:rPr>
          <w:rFonts w:ascii="Times New Roman" w:hAnsi="Times New Roman"/>
          <w:sz w:val="24"/>
          <w:szCs w:val="24"/>
        </w:rPr>
        <w:t>6.3-</w:t>
      </w:r>
      <w:r w:rsidR="00705836">
        <w:rPr>
          <w:rFonts w:ascii="Times New Roman" w:hAnsi="Times New Roman" w:hint="eastAsia"/>
          <w:sz w:val="24"/>
          <w:szCs w:val="24"/>
        </w:rPr>
        <w:t>6</w:t>
      </w:r>
      <w:r>
        <w:rPr>
          <w:rFonts w:ascii="Times New Roman" w:hAnsi="Times New Roman"/>
          <w:sz w:val="24"/>
          <w:szCs w:val="24"/>
        </w:rPr>
        <w:t>预测结果可知，全井田开采后导水裂隙带最大高度约为</w:t>
      </w:r>
      <w:r>
        <w:rPr>
          <w:rFonts w:ascii="Times New Roman" w:hAnsi="Times New Roman"/>
          <w:sz w:val="24"/>
          <w:szCs w:val="24"/>
        </w:rPr>
        <w:t>49.18m</w:t>
      </w:r>
      <w:r>
        <w:rPr>
          <w:rFonts w:ascii="Times New Roman" w:hAnsi="Times New Roman"/>
          <w:sz w:val="24"/>
          <w:szCs w:val="24"/>
        </w:rPr>
        <w:t>，均值</w:t>
      </w:r>
      <w:r>
        <w:rPr>
          <w:rFonts w:ascii="Times New Roman" w:hAnsi="Times New Roman"/>
          <w:sz w:val="24"/>
          <w:szCs w:val="24"/>
        </w:rPr>
        <w:lastRenderedPageBreak/>
        <w:t>为</w:t>
      </w:r>
      <w:r>
        <w:rPr>
          <w:rFonts w:ascii="Times New Roman" w:hAnsi="Times New Roman"/>
          <w:sz w:val="24"/>
          <w:szCs w:val="24"/>
        </w:rPr>
        <w:t>40.95m</w:t>
      </w:r>
      <w:r>
        <w:rPr>
          <w:rFonts w:ascii="Times New Roman" w:hAnsi="Times New Roman"/>
          <w:sz w:val="24"/>
          <w:szCs w:val="24"/>
        </w:rPr>
        <w:t>。</w:t>
      </w:r>
      <w:bookmarkEnd w:id="701"/>
      <w:bookmarkEnd w:id="702"/>
      <w:bookmarkEnd w:id="703"/>
      <w:bookmarkEnd w:id="704"/>
      <w:bookmarkEnd w:id="705"/>
      <w:bookmarkEnd w:id="706"/>
      <w:bookmarkEnd w:id="707"/>
      <w:bookmarkEnd w:id="708"/>
      <w:r>
        <w:rPr>
          <w:rFonts w:ascii="Times New Roman" w:hAnsi="Times New Roman"/>
          <w:sz w:val="24"/>
          <w:szCs w:val="24"/>
        </w:rPr>
        <w:t xml:space="preserve"> </w:t>
      </w:r>
    </w:p>
    <w:p w:rsidR="00240BCE" w:rsidRDefault="00AC0334">
      <w:pPr>
        <w:pStyle w:val="ae"/>
        <w:spacing w:line="540" w:lineRule="exact"/>
        <w:rPr>
          <w:rFonts w:ascii="Times New Roman" w:hAnsi="Times New Roman"/>
          <w:sz w:val="24"/>
          <w:szCs w:val="24"/>
        </w:rPr>
      </w:pPr>
      <w:r>
        <w:rPr>
          <w:rFonts w:ascii="Times New Roman" w:hAnsi="Times New Roman"/>
          <w:sz w:val="24"/>
          <w:szCs w:val="24"/>
        </w:rPr>
        <w:t>6.3.</w:t>
      </w:r>
      <w:r w:rsidR="007F466F">
        <w:rPr>
          <w:rFonts w:ascii="Times New Roman" w:hAnsi="Times New Roman" w:hint="eastAsia"/>
          <w:sz w:val="24"/>
          <w:szCs w:val="24"/>
        </w:rPr>
        <w:t>5</w:t>
      </w:r>
      <w:r>
        <w:rPr>
          <w:rFonts w:ascii="Times New Roman" w:hAnsi="Times New Roman"/>
          <w:sz w:val="24"/>
          <w:szCs w:val="24"/>
        </w:rPr>
        <w:t>.2</w:t>
      </w:r>
      <w:bookmarkStart w:id="712" w:name="_Toc169519999"/>
      <w:bookmarkStart w:id="713" w:name="_Toc148156045"/>
      <w:bookmarkStart w:id="714" w:name="_Toc148156493"/>
      <w:bookmarkStart w:id="715" w:name="_Toc148157048"/>
      <w:bookmarkStart w:id="716" w:name="_Toc156386397"/>
      <w:bookmarkStart w:id="717" w:name="_Toc157574073"/>
      <w:bookmarkStart w:id="718" w:name="_Toc158524703"/>
      <w:bookmarkStart w:id="719" w:name="_Toc163749207"/>
      <w:bookmarkStart w:id="720" w:name="_Toc164245909"/>
      <w:bookmarkStart w:id="721" w:name="_Toc166899892"/>
      <w:bookmarkStart w:id="722" w:name="_Toc168978496"/>
      <w:bookmarkEnd w:id="709"/>
      <w:bookmarkEnd w:id="710"/>
      <w:bookmarkEnd w:id="711"/>
      <w:r>
        <w:rPr>
          <w:rFonts w:ascii="Times New Roman" w:hAnsi="Times New Roman"/>
          <w:sz w:val="24"/>
          <w:szCs w:val="24"/>
        </w:rPr>
        <w:t>矿井开采对各含水层的影响分析</w:t>
      </w:r>
    </w:p>
    <w:p w:rsidR="00240BCE" w:rsidRDefault="00AC0334">
      <w:pPr>
        <w:pStyle w:val="ae"/>
        <w:spacing w:line="540" w:lineRule="exact"/>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、井田区域含（隔）水层基本情况</w:t>
      </w:r>
    </w:p>
    <w:p w:rsidR="00240BCE" w:rsidRDefault="00AC0334">
      <w:pPr>
        <w:pStyle w:val="ae"/>
        <w:spacing w:line="540" w:lineRule="exact"/>
        <w:ind w:firstLineChars="200" w:firstLine="480"/>
        <w:rPr>
          <w:rFonts w:ascii="Times New Roman" w:hAnsi="Times New Roman"/>
          <w:bCs/>
          <w:color w:val="000000"/>
          <w:sz w:val="24"/>
          <w:szCs w:val="24"/>
        </w:rPr>
      </w:pPr>
      <w:r>
        <w:rPr>
          <w:rFonts w:ascii="Times New Roman" w:hAnsi="Times New Roman"/>
          <w:sz w:val="24"/>
          <w:szCs w:val="24"/>
        </w:rPr>
        <w:t>井田主要的含水层有：</w:t>
      </w:r>
      <w:r>
        <w:rPr>
          <w:rFonts w:ascii="Times New Roman" w:hAnsi="Times New Roman"/>
          <w:bCs/>
          <w:color w:val="000000"/>
          <w:sz w:val="24"/>
          <w:szCs w:val="24"/>
        </w:rPr>
        <w:t>第四系砂及砂砾石孔隙含水层（</w:t>
      </w:r>
      <w:r>
        <w:rPr>
          <w:rFonts w:ascii="Times New Roman" w:hAnsi="Times New Roman"/>
          <w:bCs/>
          <w:color w:val="000000"/>
          <w:sz w:val="24"/>
          <w:szCs w:val="24"/>
        </w:rPr>
        <w:t>Ⅰ</w:t>
      </w:r>
      <w:r>
        <w:rPr>
          <w:rFonts w:ascii="Times New Roman" w:hAnsi="Times New Roman"/>
          <w:bCs/>
          <w:color w:val="000000"/>
          <w:sz w:val="24"/>
          <w:szCs w:val="24"/>
        </w:rPr>
        <w:t>）；平顶山砂岩裂隙含水层（</w:t>
      </w:r>
      <w:r>
        <w:rPr>
          <w:rFonts w:ascii="Times New Roman" w:hAnsi="Times New Roman"/>
          <w:bCs/>
          <w:color w:val="000000"/>
          <w:sz w:val="24"/>
          <w:szCs w:val="24"/>
        </w:rPr>
        <w:t>Ⅱ</w:t>
      </w:r>
      <w:r>
        <w:rPr>
          <w:rFonts w:ascii="Times New Roman" w:hAnsi="Times New Roman"/>
          <w:bCs/>
          <w:color w:val="000000"/>
          <w:sz w:val="24"/>
          <w:szCs w:val="24"/>
        </w:rPr>
        <w:t>）；上石盒子组中粗粒砂岩裂隙含水层（</w:t>
      </w:r>
      <w:r>
        <w:rPr>
          <w:rFonts w:ascii="Times New Roman" w:hAnsi="Times New Roman"/>
          <w:bCs/>
          <w:color w:val="000000"/>
          <w:sz w:val="24"/>
          <w:szCs w:val="24"/>
        </w:rPr>
        <w:t>Ⅲ</w:t>
      </w:r>
      <w:r>
        <w:rPr>
          <w:rFonts w:ascii="Times New Roman" w:hAnsi="Times New Roman"/>
          <w:bCs/>
          <w:color w:val="000000"/>
          <w:sz w:val="24"/>
          <w:szCs w:val="24"/>
        </w:rPr>
        <w:t>）；二叠系下石盒子组中、粗粒砂岩裂隙含水层（</w:t>
      </w:r>
      <w:r>
        <w:rPr>
          <w:rFonts w:ascii="Times New Roman" w:hAnsi="Times New Roman"/>
          <w:bCs/>
          <w:color w:val="000000"/>
          <w:sz w:val="24"/>
          <w:szCs w:val="24"/>
        </w:rPr>
        <w:t>Ⅳ</w:t>
      </w:r>
      <w:r>
        <w:rPr>
          <w:rFonts w:ascii="Times New Roman" w:hAnsi="Times New Roman"/>
          <w:bCs/>
          <w:color w:val="000000"/>
          <w:sz w:val="24"/>
          <w:szCs w:val="24"/>
        </w:rPr>
        <w:t>）；二叠系下统山西组砂岩裂隙含水层（</w:t>
      </w:r>
      <w:r>
        <w:rPr>
          <w:rFonts w:ascii="Times New Roman" w:hAnsi="Times New Roman"/>
          <w:bCs/>
          <w:color w:val="000000"/>
          <w:sz w:val="24"/>
          <w:szCs w:val="24"/>
        </w:rPr>
        <w:t>Ⅴ</w:t>
      </w:r>
      <w:r>
        <w:rPr>
          <w:rFonts w:ascii="Times New Roman" w:hAnsi="Times New Roman"/>
          <w:bCs/>
          <w:color w:val="000000"/>
          <w:sz w:val="24"/>
          <w:szCs w:val="24"/>
        </w:rPr>
        <w:t>）；石炭系上统太原组上段灰岩岩溶含水层（</w:t>
      </w:r>
      <w:r>
        <w:rPr>
          <w:rFonts w:ascii="Times New Roman" w:hAnsi="Times New Roman"/>
          <w:bCs/>
          <w:color w:val="000000"/>
          <w:sz w:val="24"/>
          <w:szCs w:val="24"/>
        </w:rPr>
        <w:t>Ⅵ</w:t>
      </w:r>
      <w:r>
        <w:rPr>
          <w:rFonts w:ascii="Times New Roman" w:hAnsi="Times New Roman"/>
          <w:bCs/>
          <w:color w:val="000000"/>
          <w:sz w:val="24"/>
          <w:szCs w:val="24"/>
        </w:rPr>
        <w:t>）；石炭系上统太原组下段灰岩岩溶含水层（</w:t>
      </w:r>
      <w:r>
        <w:rPr>
          <w:rFonts w:ascii="Times New Roman" w:hAnsi="Times New Roman"/>
          <w:bCs/>
          <w:color w:val="000000"/>
          <w:sz w:val="24"/>
          <w:szCs w:val="24"/>
        </w:rPr>
        <w:t>Ⅶ</w:t>
      </w:r>
      <w:r>
        <w:rPr>
          <w:rFonts w:ascii="Times New Roman" w:hAnsi="Times New Roman"/>
          <w:bCs/>
          <w:color w:val="000000"/>
          <w:sz w:val="24"/>
          <w:szCs w:val="24"/>
        </w:rPr>
        <w:t>）；寒武系上统灰岩岩溶含水层（</w:t>
      </w:r>
      <w:r>
        <w:rPr>
          <w:rFonts w:ascii="Times New Roman" w:hAnsi="Times New Roman"/>
          <w:bCs/>
          <w:color w:val="000000"/>
          <w:sz w:val="24"/>
          <w:szCs w:val="24"/>
        </w:rPr>
        <w:t>Ⅷ</w:t>
      </w:r>
      <w:r>
        <w:rPr>
          <w:rFonts w:ascii="Times New Roman" w:hAnsi="Times New Roman"/>
          <w:bCs/>
          <w:color w:val="000000"/>
          <w:sz w:val="24"/>
          <w:szCs w:val="24"/>
        </w:rPr>
        <w:t>）。根据岩性、地层组合关系，自上而下分为</w:t>
      </w:r>
      <w:r>
        <w:rPr>
          <w:rFonts w:ascii="Times New Roman" w:hAnsi="Times New Roman"/>
          <w:bCs/>
          <w:color w:val="000000"/>
          <w:sz w:val="24"/>
          <w:szCs w:val="24"/>
        </w:rPr>
        <w:t>6</w:t>
      </w:r>
      <w:r>
        <w:rPr>
          <w:rFonts w:ascii="Times New Roman" w:hAnsi="Times New Roman"/>
          <w:bCs/>
          <w:color w:val="000000"/>
          <w:sz w:val="24"/>
          <w:szCs w:val="24"/>
        </w:rPr>
        <w:t>个隔水层。即：四</w:t>
      </w:r>
      <w:r>
        <w:rPr>
          <w:rFonts w:ascii="Times New Roman" w:hAnsi="Times New Roman"/>
          <w:bCs/>
          <w:color w:val="000000"/>
          <w:sz w:val="24"/>
          <w:szCs w:val="24"/>
          <w:vertAlign w:val="subscript"/>
        </w:rPr>
        <w:t>2</w:t>
      </w:r>
      <w:r>
        <w:rPr>
          <w:rFonts w:ascii="Times New Roman" w:hAnsi="Times New Roman"/>
          <w:bCs/>
          <w:color w:val="000000"/>
          <w:sz w:val="24"/>
          <w:szCs w:val="24"/>
        </w:rPr>
        <w:t>煤层顶板隔水层；四</w:t>
      </w:r>
      <w:r>
        <w:rPr>
          <w:rFonts w:ascii="Times New Roman" w:hAnsi="Times New Roman"/>
          <w:bCs/>
          <w:color w:val="000000"/>
          <w:sz w:val="24"/>
          <w:szCs w:val="24"/>
          <w:vertAlign w:val="subscript"/>
        </w:rPr>
        <w:t>2</w:t>
      </w:r>
      <w:r>
        <w:rPr>
          <w:rFonts w:ascii="Times New Roman" w:hAnsi="Times New Roman"/>
          <w:bCs/>
          <w:color w:val="000000"/>
          <w:sz w:val="24"/>
          <w:szCs w:val="24"/>
        </w:rPr>
        <w:t>煤层底板隔水层；二</w:t>
      </w:r>
      <w:r>
        <w:rPr>
          <w:rFonts w:ascii="Times New Roman" w:hAnsi="Times New Roman"/>
          <w:bCs/>
          <w:color w:val="000000"/>
          <w:sz w:val="24"/>
          <w:szCs w:val="24"/>
          <w:vertAlign w:val="subscript"/>
        </w:rPr>
        <w:t>1</w:t>
      </w:r>
      <w:r>
        <w:rPr>
          <w:rFonts w:ascii="Times New Roman" w:hAnsi="Times New Roman"/>
          <w:bCs/>
          <w:color w:val="000000"/>
          <w:sz w:val="24"/>
          <w:szCs w:val="24"/>
        </w:rPr>
        <w:t>煤层顶板隔水层；二</w:t>
      </w:r>
      <w:r>
        <w:rPr>
          <w:rFonts w:ascii="Times New Roman" w:hAnsi="Times New Roman"/>
          <w:bCs/>
          <w:color w:val="000000"/>
          <w:sz w:val="24"/>
          <w:szCs w:val="24"/>
          <w:vertAlign w:val="subscript"/>
        </w:rPr>
        <w:t>1</w:t>
      </w:r>
      <w:r>
        <w:rPr>
          <w:rFonts w:ascii="Times New Roman" w:hAnsi="Times New Roman"/>
          <w:bCs/>
          <w:color w:val="000000"/>
          <w:sz w:val="24"/>
          <w:szCs w:val="24"/>
        </w:rPr>
        <w:t>煤层底板隔水层；太原组中段隔水层；本溪组隔水层。</w:t>
      </w:r>
    </w:p>
    <w:p w:rsidR="00240BCE" w:rsidRDefault="00AC0334">
      <w:pPr>
        <w:pStyle w:val="ae"/>
        <w:spacing w:line="540" w:lineRule="exact"/>
        <w:ind w:firstLineChars="200" w:firstLine="480"/>
        <w:rPr>
          <w:rFonts w:ascii="Times New Roman" w:hAnsi="Times New Roman"/>
          <w:sz w:val="24"/>
          <w:szCs w:val="24"/>
        </w:rPr>
      </w:pPr>
      <w:r>
        <w:rPr>
          <w:rFonts w:ascii="Times New Roman" w:hAnsi="Times New Roman"/>
          <w:bCs/>
          <w:color w:val="000000"/>
          <w:sz w:val="24"/>
          <w:szCs w:val="24"/>
        </w:rPr>
        <w:t>含（隔）水层特征及垂向分布见表</w:t>
      </w:r>
      <w:r>
        <w:rPr>
          <w:rFonts w:ascii="Times New Roman" w:hAnsi="Times New Roman"/>
          <w:bCs/>
          <w:color w:val="000000"/>
          <w:sz w:val="24"/>
          <w:szCs w:val="24"/>
        </w:rPr>
        <w:t>6.3-</w:t>
      </w:r>
      <w:r w:rsidR="00705836">
        <w:rPr>
          <w:rFonts w:ascii="Times New Roman" w:hAnsi="Times New Roman" w:hint="eastAsia"/>
          <w:bCs/>
          <w:color w:val="000000"/>
          <w:sz w:val="24"/>
          <w:szCs w:val="24"/>
        </w:rPr>
        <w:t>7</w:t>
      </w:r>
      <w:r>
        <w:rPr>
          <w:rFonts w:ascii="Times New Roman" w:hAnsi="Times New Roman"/>
          <w:bCs/>
          <w:color w:val="000000"/>
          <w:sz w:val="24"/>
          <w:szCs w:val="24"/>
        </w:rPr>
        <w:t>，具体见附图</w:t>
      </w:r>
      <w:r>
        <w:rPr>
          <w:rFonts w:ascii="Times New Roman" w:hAnsi="Times New Roman"/>
          <w:bCs/>
          <w:color w:val="000000"/>
          <w:sz w:val="24"/>
          <w:szCs w:val="24"/>
        </w:rPr>
        <w:t>12</w:t>
      </w:r>
      <w:r>
        <w:rPr>
          <w:rFonts w:ascii="Times New Roman" w:hAnsi="Times New Roman"/>
          <w:bCs/>
          <w:color w:val="000000"/>
          <w:sz w:val="24"/>
          <w:szCs w:val="24"/>
        </w:rPr>
        <w:t>综合柱状图。</w:t>
      </w:r>
    </w:p>
    <w:p w:rsidR="00240BCE" w:rsidRDefault="00AC0334">
      <w:pPr>
        <w:pStyle w:val="ae"/>
        <w:spacing w:line="520" w:lineRule="exact"/>
        <w:jc w:val="center"/>
        <w:rPr>
          <w:rFonts w:ascii="Times New Roman" w:eastAsia="黑体" w:hAnsi="Times New Roman"/>
          <w:sz w:val="24"/>
        </w:rPr>
      </w:pPr>
      <w:r>
        <w:rPr>
          <w:rFonts w:ascii="Times New Roman" w:eastAsia="黑体" w:hAnsi="Times New Roman"/>
          <w:sz w:val="24"/>
        </w:rPr>
        <w:t>表</w:t>
      </w:r>
      <w:r>
        <w:rPr>
          <w:rFonts w:ascii="Times New Roman" w:eastAsia="黑体" w:hAnsi="Times New Roman"/>
          <w:sz w:val="24"/>
        </w:rPr>
        <w:t>6.3-</w:t>
      </w:r>
      <w:r w:rsidR="00705836">
        <w:rPr>
          <w:rFonts w:ascii="Times New Roman" w:eastAsia="黑体" w:hAnsi="Times New Roman" w:hint="eastAsia"/>
          <w:sz w:val="24"/>
        </w:rPr>
        <w:t>7</w:t>
      </w:r>
      <w:r>
        <w:rPr>
          <w:rFonts w:ascii="Times New Roman" w:eastAsia="黑体" w:hAnsi="Times New Roman"/>
          <w:sz w:val="24"/>
        </w:rPr>
        <w:t xml:space="preserve">  </w:t>
      </w:r>
      <w:r>
        <w:rPr>
          <w:rFonts w:ascii="Times New Roman" w:eastAsia="黑体" w:hAnsi="Times New Roman"/>
          <w:sz w:val="24"/>
        </w:rPr>
        <w:t>井田含（隔）水层特征一览表</w:t>
      </w: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78"/>
        <w:gridCol w:w="966"/>
        <w:gridCol w:w="5644"/>
      </w:tblGrid>
      <w:tr w:rsidR="00240BCE">
        <w:trPr>
          <w:jc w:val="center"/>
        </w:trPr>
        <w:tc>
          <w:tcPr>
            <w:tcW w:w="1196" w:type="pct"/>
          </w:tcPr>
          <w:p w:rsidR="00240BCE" w:rsidRDefault="00AC0334">
            <w:pPr>
              <w:pStyle w:val="ae"/>
              <w:spacing w:line="340" w:lineRule="exact"/>
              <w:jc w:val="center"/>
              <w:rPr>
                <w:rFonts w:ascii="Times New Roman" w:eastAsia="黑体" w:hAnsi="Times New Roman"/>
                <w:sz w:val="24"/>
              </w:rPr>
            </w:pPr>
            <w:r>
              <w:rPr>
                <w:rFonts w:ascii="Times New Roman" w:hAnsi="Times New Roman"/>
                <w:sz w:val="21"/>
                <w:szCs w:val="21"/>
              </w:rPr>
              <w:t>层位</w:t>
            </w:r>
          </w:p>
        </w:tc>
        <w:tc>
          <w:tcPr>
            <w:tcW w:w="556" w:type="pct"/>
          </w:tcPr>
          <w:p w:rsidR="00240BCE" w:rsidRDefault="00AC0334">
            <w:pPr>
              <w:pStyle w:val="ae"/>
              <w:spacing w:line="340" w:lineRule="exact"/>
              <w:jc w:val="center"/>
              <w:rPr>
                <w:rFonts w:ascii="Times New Roman" w:eastAsia="黑体" w:hAnsi="Times New Roman"/>
                <w:sz w:val="24"/>
              </w:rPr>
            </w:pPr>
            <w:r>
              <w:rPr>
                <w:rFonts w:ascii="Times New Roman" w:hAnsi="Times New Roman"/>
                <w:sz w:val="21"/>
                <w:szCs w:val="21"/>
              </w:rPr>
              <w:t>厚度</w:t>
            </w:r>
            <w:r>
              <w:rPr>
                <w:rFonts w:ascii="Times New Roman" w:hAnsi="Times New Roman"/>
                <w:sz w:val="21"/>
                <w:szCs w:val="21"/>
              </w:rPr>
              <w:t>(m)</w:t>
            </w:r>
          </w:p>
        </w:tc>
        <w:tc>
          <w:tcPr>
            <w:tcW w:w="3248" w:type="pct"/>
          </w:tcPr>
          <w:p w:rsidR="00240BCE" w:rsidRDefault="00AC0334">
            <w:pPr>
              <w:pStyle w:val="ae"/>
              <w:spacing w:line="340" w:lineRule="exact"/>
              <w:jc w:val="center"/>
              <w:rPr>
                <w:rFonts w:ascii="Times New Roman" w:eastAsia="黑体" w:hAnsi="Times New Roman"/>
                <w:sz w:val="24"/>
              </w:rPr>
            </w:pPr>
            <w:r>
              <w:rPr>
                <w:rFonts w:ascii="Times New Roman" w:hAnsi="Times New Roman"/>
                <w:sz w:val="21"/>
                <w:szCs w:val="21"/>
              </w:rPr>
              <w:t>水位地质特征</w:t>
            </w:r>
          </w:p>
        </w:tc>
      </w:tr>
      <w:tr w:rsidR="00240BCE">
        <w:trPr>
          <w:jc w:val="center"/>
        </w:trPr>
        <w:tc>
          <w:tcPr>
            <w:tcW w:w="1196" w:type="pct"/>
          </w:tcPr>
          <w:p w:rsidR="00240BCE" w:rsidRDefault="00AC0334">
            <w:pPr>
              <w:pStyle w:val="ae"/>
              <w:spacing w:line="340" w:lineRule="exact"/>
              <w:jc w:val="center"/>
              <w:rPr>
                <w:rFonts w:ascii="Times New Roman" w:eastAsia="黑体" w:hAnsi="Times New Roman"/>
                <w:sz w:val="24"/>
              </w:rPr>
            </w:pPr>
            <w:r>
              <w:rPr>
                <w:rFonts w:ascii="Times New Roman" w:hAnsi="Times New Roman"/>
                <w:bCs/>
                <w:color w:val="000000"/>
                <w:sz w:val="21"/>
                <w:szCs w:val="21"/>
              </w:rPr>
              <w:t>第四系砂及砂砾石孔隙含水层（</w:t>
            </w:r>
            <w:r>
              <w:rPr>
                <w:rFonts w:ascii="Times New Roman" w:hAnsi="Times New Roman"/>
                <w:sz w:val="21"/>
                <w:szCs w:val="21"/>
              </w:rPr>
              <w:t>Ⅰ</w:t>
            </w:r>
            <w:r>
              <w:rPr>
                <w:rFonts w:ascii="Times New Roman" w:hAnsi="Times New Roman"/>
                <w:bCs/>
                <w:color w:val="000000"/>
                <w:sz w:val="21"/>
                <w:szCs w:val="21"/>
              </w:rPr>
              <w:t>）</w:t>
            </w:r>
          </w:p>
        </w:tc>
        <w:tc>
          <w:tcPr>
            <w:tcW w:w="556" w:type="pct"/>
          </w:tcPr>
          <w:p w:rsidR="00240BCE" w:rsidRDefault="00AC0334">
            <w:pPr>
              <w:pStyle w:val="ae"/>
              <w:spacing w:line="340" w:lineRule="exact"/>
              <w:rPr>
                <w:rFonts w:ascii="Times New Roman" w:eastAsia="黑体" w:hAnsi="Times New Roman"/>
                <w:sz w:val="24"/>
              </w:rPr>
            </w:pPr>
            <w:r>
              <w:rPr>
                <w:rFonts w:ascii="Times New Roman" w:hAnsi="Times New Roman"/>
                <w:sz w:val="21"/>
                <w:szCs w:val="21"/>
              </w:rPr>
              <w:t>10.65m</w:t>
            </w:r>
          </w:p>
        </w:tc>
        <w:tc>
          <w:tcPr>
            <w:tcW w:w="3248" w:type="pct"/>
          </w:tcPr>
          <w:p w:rsidR="00240BCE" w:rsidRDefault="00AC0334">
            <w:pPr>
              <w:pStyle w:val="ae"/>
              <w:spacing w:line="340" w:lineRule="exact"/>
              <w:jc w:val="center"/>
              <w:rPr>
                <w:rFonts w:ascii="Times New Roman" w:eastAsia="黑体" w:hAnsi="Times New Roman"/>
                <w:sz w:val="24"/>
              </w:rPr>
            </w:pPr>
            <w:r>
              <w:rPr>
                <w:rFonts w:ascii="Times New Roman" w:hAnsi="Times New Roman"/>
                <w:sz w:val="21"/>
                <w:szCs w:val="21"/>
              </w:rPr>
              <w:t>无供水意义的含水层，</w:t>
            </w:r>
            <w:r>
              <w:rPr>
                <w:rFonts w:ascii="Times New Roman" w:hAnsi="Times New Roman"/>
                <w:bCs/>
                <w:color w:val="000000"/>
                <w:sz w:val="21"/>
                <w:szCs w:val="21"/>
              </w:rPr>
              <w:t>由松散洪坡积物组成，主要分布于冲沟两侧与区内低凹地带，属孔隙型潜水含水层，渗透性较强，季节性变化大。</w:t>
            </w:r>
          </w:p>
        </w:tc>
      </w:tr>
      <w:tr w:rsidR="00240BCE">
        <w:trPr>
          <w:jc w:val="center"/>
        </w:trPr>
        <w:tc>
          <w:tcPr>
            <w:tcW w:w="1196" w:type="pct"/>
          </w:tcPr>
          <w:p w:rsidR="00240BCE" w:rsidRDefault="00AC0334">
            <w:pPr>
              <w:pStyle w:val="ae"/>
              <w:spacing w:line="340" w:lineRule="exact"/>
              <w:rPr>
                <w:rFonts w:ascii="Times New Roman" w:hAnsi="Times New Roman"/>
                <w:sz w:val="21"/>
                <w:szCs w:val="21"/>
              </w:rPr>
            </w:pPr>
            <w:r>
              <w:rPr>
                <w:rFonts w:ascii="Times New Roman" w:hAnsi="Times New Roman"/>
                <w:bCs/>
                <w:color w:val="000000"/>
                <w:sz w:val="21"/>
                <w:szCs w:val="21"/>
              </w:rPr>
              <w:t>平顶山砂岩裂隙含水层（</w:t>
            </w:r>
            <w:r>
              <w:rPr>
                <w:rFonts w:ascii="Times New Roman" w:hAnsi="Times New Roman"/>
                <w:sz w:val="21"/>
                <w:szCs w:val="21"/>
              </w:rPr>
              <w:t>Ⅲ</w:t>
            </w:r>
            <w:r>
              <w:rPr>
                <w:rFonts w:ascii="Times New Roman" w:hAnsi="Times New Roman"/>
                <w:bCs/>
                <w:color w:val="000000"/>
                <w:sz w:val="21"/>
                <w:szCs w:val="21"/>
              </w:rPr>
              <w:t>）</w:t>
            </w:r>
          </w:p>
        </w:tc>
        <w:tc>
          <w:tcPr>
            <w:tcW w:w="556" w:type="pct"/>
          </w:tcPr>
          <w:p w:rsidR="00240BCE" w:rsidRDefault="00AC0334">
            <w:pPr>
              <w:pStyle w:val="ae"/>
              <w:spacing w:line="340" w:lineRule="exact"/>
              <w:rPr>
                <w:rFonts w:ascii="Times New Roman" w:hAnsi="Times New Roman"/>
                <w:sz w:val="21"/>
                <w:szCs w:val="21"/>
              </w:rPr>
            </w:pPr>
            <w:r>
              <w:rPr>
                <w:rFonts w:ascii="Times New Roman" w:hAnsi="Times New Roman"/>
                <w:bCs/>
                <w:color w:val="000000"/>
                <w:sz w:val="21"/>
                <w:szCs w:val="21"/>
              </w:rPr>
              <w:t>60.44m</w:t>
            </w:r>
          </w:p>
        </w:tc>
        <w:tc>
          <w:tcPr>
            <w:tcW w:w="3248" w:type="pct"/>
          </w:tcPr>
          <w:p w:rsidR="00240BCE" w:rsidRDefault="00AC0334">
            <w:pPr>
              <w:pStyle w:val="ae"/>
              <w:spacing w:line="340" w:lineRule="exact"/>
              <w:rPr>
                <w:rFonts w:ascii="Times New Roman" w:hAnsi="Times New Roman"/>
                <w:sz w:val="21"/>
                <w:szCs w:val="21"/>
              </w:rPr>
            </w:pPr>
            <w:r>
              <w:rPr>
                <w:rFonts w:ascii="Times New Roman" w:hAnsi="Times New Roman"/>
                <w:bCs/>
                <w:color w:val="000000"/>
                <w:sz w:val="21"/>
                <w:szCs w:val="21"/>
              </w:rPr>
              <w:t>岩性为浅灰、灰白色厚～巨厚层状中、粗粒长石石英砂岩，底部含石英岩砾及燧石砾。</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上石盒子组中粗粒砂岩裂隙含水层（</w:t>
            </w:r>
            <w:r>
              <w:rPr>
                <w:rFonts w:ascii="Times New Roman" w:hAnsi="Times New Roman"/>
                <w:bCs/>
                <w:color w:val="000000"/>
                <w:sz w:val="21"/>
                <w:szCs w:val="21"/>
              </w:rPr>
              <w:t>Ⅲ</w:t>
            </w:r>
            <w:r>
              <w:rPr>
                <w:rFonts w:ascii="Times New Roman" w:hAnsi="Times New Roman"/>
                <w:bCs/>
                <w:color w:val="000000"/>
                <w:sz w:val="21"/>
                <w:szCs w:val="21"/>
              </w:rPr>
              <w:t>）</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30</w:t>
            </w:r>
            <w:r>
              <w:rPr>
                <w:rFonts w:ascii="Times New Roman" w:hAnsi="Times New Roman"/>
                <w:bCs/>
                <w:color w:val="000000"/>
                <w:sz w:val="21"/>
                <w:szCs w:val="21"/>
              </w:rPr>
              <w:t>～</w:t>
            </w:r>
            <w:r>
              <w:rPr>
                <w:rFonts w:ascii="Times New Roman" w:hAnsi="Times New Roman"/>
                <w:bCs/>
                <w:color w:val="000000"/>
                <w:sz w:val="21"/>
                <w:szCs w:val="21"/>
              </w:rPr>
              <w:t>226m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主要由田家沟砂岩、八底砂岩、九底砂岩及各煤段其他中粗粒砂岩组成，涌水量</w:t>
            </w:r>
            <w:r>
              <w:rPr>
                <w:rFonts w:ascii="Times New Roman" w:hAnsi="Times New Roman"/>
                <w:bCs/>
                <w:color w:val="000000"/>
                <w:sz w:val="21"/>
                <w:szCs w:val="21"/>
              </w:rPr>
              <w:t>0.203m</w:t>
            </w:r>
            <w:r>
              <w:rPr>
                <w:rFonts w:ascii="Times New Roman" w:hAnsi="Times New Roman"/>
                <w:bCs/>
                <w:color w:val="000000"/>
                <w:sz w:val="21"/>
                <w:szCs w:val="21"/>
                <w:vertAlign w:val="superscript"/>
              </w:rPr>
              <w:t>3</w:t>
            </w:r>
            <w:r>
              <w:rPr>
                <w:rFonts w:ascii="Times New Roman" w:hAnsi="Times New Roman"/>
                <w:bCs/>
                <w:color w:val="000000"/>
                <w:sz w:val="21"/>
                <w:szCs w:val="21"/>
              </w:rPr>
              <w:t>/h</w:t>
            </w:r>
            <w:r>
              <w:rPr>
                <w:rFonts w:ascii="Times New Roman" w:hAnsi="Times New Roman"/>
                <w:bCs/>
                <w:color w:val="000000"/>
                <w:sz w:val="21"/>
                <w:szCs w:val="21"/>
              </w:rPr>
              <w:t>。该含水层含裂隙承压水，富水性弱</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四</w:t>
            </w:r>
            <w:r>
              <w:rPr>
                <w:rFonts w:ascii="Times New Roman" w:hAnsi="Times New Roman"/>
                <w:bCs/>
                <w:color w:val="000000"/>
                <w:sz w:val="21"/>
                <w:szCs w:val="21"/>
                <w:vertAlign w:val="subscript"/>
              </w:rPr>
              <w:t>2</w:t>
            </w:r>
            <w:r>
              <w:rPr>
                <w:rFonts w:ascii="Times New Roman" w:hAnsi="Times New Roman"/>
                <w:bCs/>
                <w:color w:val="000000"/>
                <w:sz w:val="21"/>
                <w:szCs w:val="21"/>
              </w:rPr>
              <w:t>煤层顶板隔水层</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30</w:t>
            </w:r>
            <w:r>
              <w:rPr>
                <w:rFonts w:ascii="Times New Roman" w:hAnsi="Times New Roman"/>
                <w:bCs/>
                <w:color w:val="000000"/>
                <w:sz w:val="21"/>
                <w:szCs w:val="21"/>
              </w:rPr>
              <w:t>～</w:t>
            </w:r>
            <w:r>
              <w:rPr>
                <w:rFonts w:ascii="Times New Roman" w:hAnsi="Times New Roman"/>
                <w:bCs/>
                <w:color w:val="000000"/>
                <w:sz w:val="21"/>
                <w:szCs w:val="21"/>
              </w:rPr>
              <w:t>216m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由四</w:t>
            </w:r>
            <w:r>
              <w:rPr>
                <w:rFonts w:ascii="Times New Roman" w:hAnsi="Times New Roman"/>
                <w:bCs/>
                <w:color w:val="000000"/>
                <w:sz w:val="21"/>
                <w:szCs w:val="21"/>
                <w:vertAlign w:val="subscript"/>
              </w:rPr>
              <w:t>2</w:t>
            </w:r>
            <w:r>
              <w:rPr>
                <w:rFonts w:ascii="Times New Roman" w:hAnsi="Times New Roman"/>
                <w:bCs/>
                <w:color w:val="000000"/>
                <w:sz w:val="21"/>
                <w:szCs w:val="21"/>
              </w:rPr>
              <w:t>煤层顶板至田家沟砂岩底板之间的泥岩、砂质泥岩、粉砂岩组成，厚约</w:t>
            </w:r>
            <w:r>
              <w:rPr>
                <w:rFonts w:ascii="Times New Roman" w:hAnsi="Times New Roman"/>
                <w:bCs/>
                <w:color w:val="000000"/>
                <w:sz w:val="21"/>
                <w:szCs w:val="21"/>
              </w:rPr>
              <w:t>30</w:t>
            </w:r>
            <w:r>
              <w:rPr>
                <w:rFonts w:ascii="Times New Roman" w:hAnsi="Times New Roman"/>
                <w:bCs/>
                <w:color w:val="000000"/>
                <w:sz w:val="21"/>
                <w:szCs w:val="21"/>
              </w:rPr>
              <w:t>～</w:t>
            </w:r>
            <w:r>
              <w:rPr>
                <w:rFonts w:ascii="Times New Roman" w:hAnsi="Times New Roman"/>
                <w:bCs/>
                <w:color w:val="000000"/>
                <w:sz w:val="21"/>
                <w:szCs w:val="21"/>
              </w:rPr>
              <w:t>216m</w:t>
            </w:r>
            <w:r>
              <w:rPr>
                <w:rFonts w:ascii="Times New Roman" w:hAnsi="Times New Roman"/>
                <w:bCs/>
                <w:color w:val="000000"/>
                <w:sz w:val="21"/>
                <w:szCs w:val="21"/>
              </w:rPr>
              <w:t>，因其上含水层含水性弱，隔水层厚度大，一般能阻隔四</w:t>
            </w:r>
            <w:r>
              <w:rPr>
                <w:rFonts w:ascii="Times New Roman" w:hAnsi="Times New Roman"/>
                <w:bCs/>
                <w:color w:val="000000"/>
                <w:sz w:val="21"/>
                <w:szCs w:val="21"/>
                <w:vertAlign w:val="subscript"/>
              </w:rPr>
              <w:t>2</w:t>
            </w:r>
            <w:r>
              <w:rPr>
                <w:rFonts w:ascii="Times New Roman" w:hAnsi="Times New Roman"/>
                <w:bCs/>
                <w:color w:val="000000"/>
                <w:sz w:val="21"/>
                <w:szCs w:val="21"/>
              </w:rPr>
              <w:t>煤层顶板以上含水层发生水力联系。</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四</w:t>
            </w:r>
            <w:r>
              <w:rPr>
                <w:rFonts w:ascii="Times New Roman" w:hAnsi="Times New Roman"/>
                <w:bCs/>
                <w:color w:val="000000"/>
                <w:sz w:val="21"/>
                <w:szCs w:val="21"/>
                <w:vertAlign w:val="subscript"/>
              </w:rPr>
              <w:t>2</w:t>
            </w:r>
            <w:r>
              <w:rPr>
                <w:rFonts w:ascii="Times New Roman" w:hAnsi="Times New Roman"/>
                <w:bCs/>
                <w:color w:val="000000"/>
                <w:sz w:val="21"/>
                <w:szCs w:val="21"/>
              </w:rPr>
              <w:t>煤层</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0.81m</w:t>
            </w:r>
          </w:p>
        </w:tc>
        <w:tc>
          <w:tcPr>
            <w:tcW w:w="3248" w:type="pct"/>
          </w:tcPr>
          <w:p w:rsidR="00240BCE" w:rsidRDefault="00240BCE">
            <w:pPr>
              <w:pStyle w:val="ae"/>
              <w:spacing w:line="340" w:lineRule="exact"/>
              <w:rPr>
                <w:rFonts w:ascii="Times New Roman" w:hAnsi="Times New Roman"/>
                <w:bCs/>
                <w:color w:val="000000"/>
                <w:sz w:val="21"/>
                <w:szCs w:val="21"/>
              </w:rPr>
            </w:pP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四</w:t>
            </w:r>
            <w:r>
              <w:rPr>
                <w:rFonts w:ascii="Times New Roman" w:hAnsi="Times New Roman"/>
                <w:bCs/>
                <w:color w:val="000000"/>
                <w:sz w:val="21"/>
                <w:szCs w:val="21"/>
                <w:vertAlign w:val="subscript"/>
              </w:rPr>
              <w:t>2</w:t>
            </w:r>
            <w:r>
              <w:rPr>
                <w:rFonts w:ascii="Times New Roman" w:hAnsi="Times New Roman"/>
                <w:bCs/>
                <w:color w:val="000000"/>
                <w:sz w:val="21"/>
                <w:szCs w:val="21"/>
              </w:rPr>
              <w:t>煤层底板隔水层</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50</w:t>
            </w:r>
            <w:r>
              <w:rPr>
                <w:rFonts w:ascii="Times New Roman" w:hAnsi="Times New Roman"/>
                <w:bCs/>
                <w:color w:val="000000"/>
                <w:sz w:val="21"/>
                <w:szCs w:val="21"/>
              </w:rPr>
              <w:t>～</w:t>
            </w:r>
            <w:r>
              <w:rPr>
                <w:rFonts w:ascii="Times New Roman" w:hAnsi="Times New Roman"/>
                <w:bCs/>
                <w:color w:val="000000"/>
                <w:sz w:val="21"/>
                <w:szCs w:val="21"/>
              </w:rPr>
              <w:t>106m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由四</w:t>
            </w:r>
            <w:r>
              <w:rPr>
                <w:rFonts w:ascii="Times New Roman" w:hAnsi="Times New Roman"/>
                <w:bCs/>
                <w:color w:val="000000"/>
                <w:sz w:val="21"/>
                <w:szCs w:val="21"/>
                <w:vertAlign w:val="subscript"/>
              </w:rPr>
              <w:t>2</w:t>
            </w:r>
            <w:r>
              <w:rPr>
                <w:rFonts w:ascii="Times New Roman" w:hAnsi="Times New Roman"/>
                <w:bCs/>
                <w:color w:val="000000"/>
                <w:sz w:val="21"/>
                <w:szCs w:val="21"/>
              </w:rPr>
              <w:t>煤层底至砂锅窑顶板之间的泥岩、砂质泥岩、粉砂岩组成，厚约</w:t>
            </w:r>
            <w:r>
              <w:rPr>
                <w:rFonts w:ascii="Times New Roman" w:hAnsi="Times New Roman"/>
                <w:bCs/>
                <w:color w:val="000000"/>
                <w:sz w:val="21"/>
                <w:szCs w:val="21"/>
              </w:rPr>
              <w:t>50</w:t>
            </w:r>
            <w:r>
              <w:rPr>
                <w:rFonts w:ascii="Times New Roman" w:hAnsi="Times New Roman"/>
                <w:bCs/>
                <w:color w:val="000000"/>
                <w:sz w:val="21"/>
                <w:szCs w:val="21"/>
              </w:rPr>
              <w:t>～</w:t>
            </w:r>
            <w:r>
              <w:rPr>
                <w:rFonts w:ascii="Times New Roman" w:hAnsi="Times New Roman"/>
                <w:bCs/>
                <w:color w:val="000000"/>
                <w:sz w:val="21"/>
                <w:szCs w:val="21"/>
              </w:rPr>
              <w:t>106m</w:t>
            </w:r>
            <w:r>
              <w:rPr>
                <w:rFonts w:ascii="Times New Roman" w:hAnsi="Times New Roman"/>
                <w:bCs/>
                <w:color w:val="000000"/>
                <w:sz w:val="21"/>
                <w:szCs w:val="21"/>
              </w:rPr>
              <w:t>，隔水层厚度大，一般能阻隔砂锅窑砂岩段及其以下含水层进入矿井</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二叠系下石盒子组中、粗粒砂岩裂隙含水层（</w:t>
            </w:r>
            <w:r>
              <w:rPr>
                <w:rFonts w:ascii="Times New Roman" w:hAnsi="Times New Roman"/>
                <w:bCs/>
                <w:color w:val="000000"/>
                <w:sz w:val="21"/>
                <w:szCs w:val="21"/>
              </w:rPr>
              <w:t>Ⅳ</w:t>
            </w:r>
            <w:r>
              <w:rPr>
                <w:rFonts w:ascii="Times New Roman" w:hAnsi="Times New Roman"/>
                <w:bCs/>
                <w:color w:val="000000"/>
                <w:sz w:val="21"/>
                <w:szCs w:val="21"/>
              </w:rPr>
              <w:t>）</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14.48m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由中粗粒砂岩及部分细粒砂岩组成，层位稳定，属裂隙承压含水层，富、导水性均弱</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lastRenderedPageBreak/>
              <w:t>二叠系下统山西组砂岩裂隙含水层（</w:t>
            </w:r>
            <w:r>
              <w:rPr>
                <w:rFonts w:ascii="Times New Roman" w:hAnsi="Times New Roman"/>
                <w:bCs/>
                <w:color w:val="000000"/>
                <w:sz w:val="21"/>
                <w:szCs w:val="21"/>
              </w:rPr>
              <w:t>Ⅴ</w:t>
            </w:r>
            <w:r>
              <w:rPr>
                <w:rFonts w:ascii="Times New Roman" w:hAnsi="Times New Roman"/>
                <w:bCs/>
                <w:color w:val="000000"/>
                <w:sz w:val="21"/>
                <w:szCs w:val="21"/>
              </w:rPr>
              <w:t>）</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16m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由</w:t>
            </w:r>
            <w:r>
              <w:rPr>
                <w:rFonts w:ascii="Times New Roman" w:hAnsi="Times New Roman"/>
                <w:bCs/>
                <w:color w:val="000000"/>
                <w:sz w:val="21"/>
                <w:szCs w:val="21"/>
              </w:rPr>
              <w:t>1</w:t>
            </w:r>
            <w:r>
              <w:rPr>
                <w:rFonts w:ascii="Times New Roman" w:hAnsi="Times New Roman"/>
                <w:bCs/>
                <w:color w:val="000000"/>
                <w:sz w:val="21"/>
                <w:szCs w:val="21"/>
              </w:rPr>
              <w:t>～</w:t>
            </w:r>
            <w:r>
              <w:rPr>
                <w:rFonts w:ascii="Times New Roman" w:hAnsi="Times New Roman"/>
                <w:bCs/>
                <w:color w:val="000000"/>
                <w:sz w:val="21"/>
                <w:szCs w:val="21"/>
              </w:rPr>
              <w:t>4</w:t>
            </w:r>
            <w:r>
              <w:rPr>
                <w:rFonts w:ascii="Times New Roman" w:hAnsi="Times New Roman"/>
                <w:bCs/>
                <w:color w:val="000000"/>
                <w:sz w:val="21"/>
                <w:szCs w:val="21"/>
              </w:rPr>
              <w:t>层中、粗粒砂岩及部分细粒砂岩组成，以大占砂岩、香炭砂岩及砂锅窑砂岩为主，层位稳定，含裂隙承压水</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二</w:t>
            </w:r>
            <w:r>
              <w:rPr>
                <w:rFonts w:ascii="Times New Roman" w:hAnsi="Times New Roman"/>
                <w:bCs/>
                <w:color w:val="000000"/>
                <w:sz w:val="21"/>
                <w:szCs w:val="21"/>
                <w:vertAlign w:val="subscript"/>
              </w:rPr>
              <w:t>1</w:t>
            </w:r>
            <w:r>
              <w:rPr>
                <w:rFonts w:ascii="Times New Roman" w:hAnsi="Times New Roman"/>
                <w:bCs/>
                <w:color w:val="000000"/>
                <w:sz w:val="21"/>
                <w:szCs w:val="21"/>
              </w:rPr>
              <w:t>煤层顶板隔水层；</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49m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由二</w:t>
            </w:r>
            <w:r>
              <w:rPr>
                <w:rFonts w:ascii="Times New Roman" w:hAnsi="Times New Roman"/>
                <w:bCs/>
                <w:color w:val="000000"/>
                <w:sz w:val="21"/>
                <w:szCs w:val="21"/>
                <w:vertAlign w:val="subscript"/>
              </w:rPr>
              <w:t>1</w:t>
            </w:r>
            <w:r>
              <w:rPr>
                <w:rFonts w:ascii="Times New Roman" w:hAnsi="Times New Roman"/>
                <w:bCs/>
                <w:color w:val="000000"/>
                <w:sz w:val="21"/>
                <w:szCs w:val="21"/>
              </w:rPr>
              <w:t>煤层之上砂锅窑砂岩以下的砂质泥岩、泥岩及粉砂岩组成。该隔水层厚度大较致密，层位稳定，一般能阻断山西组之上各含水层间的水力联系。</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二</w:t>
            </w:r>
            <w:r>
              <w:rPr>
                <w:rFonts w:ascii="Times New Roman" w:hAnsi="Times New Roman"/>
                <w:bCs/>
                <w:color w:val="000000"/>
                <w:sz w:val="21"/>
                <w:szCs w:val="21"/>
                <w:vertAlign w:val="subscript"/>
              </w:rPr>
              <w:t>1</w:t>
            </w:r>
            <w:r>
              <w:rPr>
                <w:rFonts w:ascii="Times New Roman" w:hAnsi="Times New Roman"/>
                <w:bCs/>
                <w:color w:val="000000"/>
                <w:sz w:val="21"/>
                <w:szCs w:val="21"/>
              </w:rPr>
              <w:t>煤层</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2.93m</w:t>
            </w:r>
          </w:p>
        </w:tc>
        <w:tc>
          <w:tcPr>
            <w:tcW w:w="3248" w:type="pct"/>
          </w:tcPr>
          <w:p w:rsidR="00240BCE" w:rsidRDefault="00240BCE">
            <w:pPr>
              <w:pStyle w:val="ae"/>
              <w:spacing w:line="340" w:lineRule="exact"/>
              <w:rPr>
                <w:rFonts w:ascii="Times New Roman" w:hAnsi="Times New Roman"/>
                <w:bCs/>
                <w:color w:val="000000"/>
                <w:sz w:val="21"/>
                <w:szCs w:val="21"/>
              </w:rPr>
            </w:pP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二</w:t>
            </w:r>
            <w:r>
              <w:rPr>
                <w:rFonts w:ascii="Times New Roman" w:hAnsi="Times New Roman"/>
                <w:bCs/>
                <w:color w:val="000000"/>
                <w:sz w:val="21"/>
                <w:szCs w:val="21"/>
                <w:vertAlign w:val="subscript"/>
              </w:rPr>
              <w:t>1</w:t>
            </w:r>
            <w:r>
              <w:rPr>
                <w:rFonts w:ascii="Times New Roman" w:hAnsi="Times New Roman"/>
                <w:bCs/>
                <w:color w:val="000000"/>
                <w:sz w:val="21"/>
                <w:szCs w:val="21"/>
              </w:rPr>
              <w:t>煤层底板隔水层；</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5.36m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主要由二</w:t>
            </w:r>
            <w:r>
              <w:rPr>
                <w:rFonts w:ascii="Times New Roman" w:hAnsi="Times New Roman"/>
                <w:bCs/>
                <w:color w:val="000000"/>
                <w:sz w:val="21"/>
                <w:szCs w:val="21"/>
                <w:vertAlign w:val="subscript"/>
              </w:rPr>
              <w:t>1</w:t>
            </w:r>
            <w:r>
              <w:rPr>
                <w:rFonts w:ascii="Times New Roman" w:hAnsi="Times New Roman"/>
                <w:bCs/>
                <w:color w:val="000000"/>
                <w:sz w:val="21"/>
                <w:szCs w:val="21"/>
              </w:rPr>
              <w:t>煤层底至太原组顶部灰岩间的泥岩、砂质泥岩、粉砂岩组成，平均厚</w:t>
            </w:r>
            <w:r>
              <w:rPr>
                <w:rFonts w:ascii="Times New Roman" w:hAnsi="Times New Roman"/>
                <w:bCs/>
                <w:color w:val="000000"/>
                <w:sz w:val="21"/>
                <w:szCs w:val="21"/>
              </w:rPr>
              <w:t>5.36m</w:t>
            </w:r>
            <w:r>
              <w:rPr>
                <w:rFonts w:ascii="Times New Roman" w:hAnsi="Times New Roman"/>
                <w:bCs/>
                <w:color w:val="000000"/>
                <w:sz w:val="21"/>
                <w:szCs w:val="21"/>
              </w:rPr>
              <w:t>。一般能阻止太原组上段灰岩水进入二</w:t>
            </w:r>
            <w:r>
              <w:rPr>
                <w:rFonts w:ascii="Times New Roman" w:hAnsi="Times New Roman"/>
                <w:bCs/>
                <w:color w:val="000000"/>
                <w:sz w:val="21"/>
                <w:szCs w:val="21"/>
                <w:vertAlign w:val="subscript"/>
              </w:rPr>
              <w:t>1</w:t>
            </w:r>
            <w:r>
              <w:rPr>
                <w:rFonts w:ascii="Times New Roman" w:hAnsi="Times New Roman"/>
                <w:bCs/>
                <w:color w:val="000000"/>
                <w:sz w:val="21"/>
                <w:szCs w:val="21"/>
              </w:rPr>
              <w:t>煤层</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石炭系上统太原组上段灰岩岩溶含水层（</w:t>
            </w:r>
            <w:r>
              <w:rPr>
                <w:rFonts w:ascii="Times New Roman" w:hAnsi="Times New Roman"/>
                <w:bCs/>
                <w:color w:val="000000"/>
                <w:sz w:val="21"/>
                <w:szCs w:val="21"/>
              </w:rPr>
              <w:t>Ⅵ</w:t>
            </w:r>
            <w:r>
              <w:rPr>
                <w:rFonts w:ascii="Times New Roman" w:hAnsi="Times New Roman"/>
                <w:bCs/>
                <w:color w:val="000000"/>
                <w:sz w:val="21"/>
                <w:szCs w:val="21"/>
              </w:rPr>
              <w:t>）</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8.85m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主要由</w:t>
            </w:r>
            <w:r>
              <w:rPr>
                <w:rFonts w:ascii="Times New Roman" w:hAnsi="Times New Roman"/>
                <w:bCs/>
                <w:color w:val="000000"/>
                <w:sz w:val="21"/>
                <w:szCs w:val="21"/>
              </w:rPr>
              <w:t>L</w:t>
            </w:r>
            <w:r>
              <w:rPr>
                <w:rFonts w:ascii="Times New Roman" w:hAnsi="Times New Roman"/>
                <w:bCs/>
                <w:color w:val="000000"/>
                <w:sz w:val="21"/>
                <w:szCs w:val="21"/>
                <w:vertAlign w:val="subscript"/>
              </w:rPr>
              <w:t>7</w:t>
            </w:r>
            <w:r>
              <w:rPr>
                <w:rFonts w:ascii="Times New Roman" w:hAnsi="Times New Roman"/>
                <w:bCs/>
                <w:color w:val="000000"/>
                <w:sz w:val="21"/>
                <w:szCs w:val="21"/>
              </w:rPr>
              <w:t>～</w:t>
            </w:r>
            <w:r>
              <w:rPr>
                <w:rFonts w:ascii="Times New Roman" w:hAnsi="Times New Roman"/>
                <w:bCs/>
                <w:color w:val="000000"/>
                <w:sz w:val="21"/>
                <w:szCs w:val="21"/>
              </w:rPr>
              <w:t>L</w:t>
            </w:r>
            <w:r>
              <w:rPr>
                <w:rFonts w:ascii="Times New Roman" w:hAnsi="Times New Roman"/>
                <w:bCs/>
                <w:color w:val="000000"/>
                <w:sz w:val="21"/>
                <w:szCs w:val="21"/>
                <w:vertAlign w:val="subscript"/>
              </w:rPr>
              <w:t>8</w:t>
            </w:r>
            <w:r>
              <w:rPr>
                <w:rFonts w:ascii="Times New Roman" w:hAnsi="Times New Roman"/>
                <w:bCs/>
                <w:color w:val="000000"/>
                <w:sz w:val="21"/>
                <w:szCs w:val="21"/>
              </w:rPr>
              <w:t>灰岩组成，单位涌水量</w:t>
            </w:r>
            <w:r>
              <w:rPr>
                <w:rFonts w:ascii="Times New Roman" w:hAnsi="Times New Roman"/>
                <w:bCs/>
                <w:color w:val="000000"/>
                <w:sz w:val="21"/>
                <w:szCs w:val="21"/>
              </w:rPr>
              <w:t>0.0038L/s.m</w:t>
            </w:r>
            <w:r>
              <w:rPr>
                <w:rFonts w:ascii="Times New Roman" w:hAnsi="Times New Roman"/>
                <w:bCs/>
                <w:color w:val="000000"/>
                <w:sz w:val="21"/>
                <w:szCs w:val="21"/>
              </w:rPr>
              <w:t>，渗透系数</w:t>
            </w:r>
            <w:r>
              <w:rPr>
                <w:rFonts w:ascii="Times New Roman" w:hAnsi="Times New Roman"/>
                <w:bCs/>
                <w:color w:val="000000"/>
                <w:sz w:val="21"/>
                <w:szCs w:val="21"/>
              </w:rPr>
              <w:t>0.1205m/d</w:t>
            </w:r>
            <w:r>
              <w:rPr>
                <w:rFonts w:ascii="Times New Roman" w:hAnsi="Times New Roman"/>
                <w:bCs/>
                <w:color w:val="000000"/>
                <w:sz w:val="21"/>
                <w:szCs w:val="21"/>
              </w:rPr>
              <w:t>，水化学类型为</w:t>
            </w:r>
            <w:r>
              <w:rPr>
                <w:rFonts w:ascii="Times New Roman" w:hAnsi="Times New Roman"/>
                <w:bCs/>
                <w:color w:val="000000"/>
                <w:sz w:val="21"/>
                <w:szCs w:val="21"/>
              </w:rPr>
              <w:t>HCO</w:t>
            </w:r>
            <w:r>
              <w:rPr>
                <w:rFonts w:ascii="Times New Roman" w:hAnsi="Times New Roman"/>
                <w:bCs/>
                <w:color w:val="000000"/>
                <w:sz w:val="21"/>
                <w:szCs w:val="21"/>
                <w:vertAlign w:val="subscript"/>
              </w:rPr>
              <w:t>3</w:t>
            </w:r>
            <w:r>
              <w:rPr>
                <w:rFonts w:ascii="Times New Roman" w:hAnsi="Times New Roman"/>
                <w:bCs/>
                <w:color w:val="000000"/>
                <w:sz w:val="21"/>
                <w:szCs w:val="21"/>
              </w:rPr>
              <w:t>-K+Na</w:t>
            </w:r>
            <w:r>
              <w:rPr>
                <w:rFonts w:ascii="Times New Roman" w:hAnsi="Times New Roman"/>
                <w:bCs/>
                <w:color w:val="000000"/>
                <w:sz w:val="21"/>
                <w:szCs w:val="21"/>
              </w:rPr>
              <w:t>型，水温</w:t>
            </w:r>
            <w:r>
              <w:rPr>
                <w:rFonts w:ascii="Times New Roman" w:hAnsi="Times New Roman"/>
                <w:bCs/>
                <w:color w:val="000000"/>
                <w:sz w:val="21"/>
                <w:szCs w:val="21"/>
              </w:rPr>
              <w:t>24℃</w:t>
            </w:r>
            <w:r>
              <w:rPr>
                <w:rFonts w:ascii="Times New Roman" w:hAnsi="Times New Roman"/>
                <w:bCs/>
                <w:color w:val="000000"/>
                <w:sz w:val="21"/>
                <w:szCs w:val="21"/>
              </w:rPr>
              <w:t>，矿化度</w:t>
            </w:r>
            <w:r>
              <w:rPr>
                <w:rFonts w:ascii="Times New Roman" w:hAnsi="Times New Roman"/>
                <w:bCs/>
                <w:color w:val="000000"/>
                <w:sz w:val="21"/>
                <w:szCs w:val="21"/>
              </w:rPr>
              <w:t>0.115g/L</w:t>
            </w:r>
            <w:r>
              <w:rPr>
                <w:rFonts w:ascii="Times New Roman" w:hAnsi="Times New Roman"/>
                <w:bCs/>
                <w:color w:val="000000"/>
                <w:sz w:val="21"/>
                <w:szCs w:val="21"/>
              </w:rPr>
              <w:t>，</w:t>
            </w:r>
            <w:r>
              <w:rPr>
                <w:rFonts w:ascii="Times New Roman" w:hAnsi="Times New Roman"/>
                <w:bCs/>
                <w:color w:val="000000"/>
                <w:sz w:val="21"/>
                <w:szCs w:val="21"/>
              </w:rPr>
              <w:t>PH</w:t>
            </w:r>
            <w:r>
              <w:rPr>
                <w:rFonts w:ascii="Times New Roman" w:hAnsi="Times New Roman"/>
                <w:bCs/>
                <w:color w:val="000000"/>
                <w:sz w:val="21"/>
                <w:szCs w:val="21"/>
              </w:rPr>
              <w:t>值</w:t>
            </w:r>
            <w:r>
              <w:rPr>
                <w:rFonts w:ascii="Times New Roman" w:hAnsi="Times New Roman"/>
                <w:bCs/>
                <w:color w:val="000000"/>
                <w:sz w:val="21"/>
                <w:szCs w:val="21"/>
              </w:rPr>
              <w:t>8.68</w:t>
            </w:r>
            <w:r>
              <w:rPr>
                <w:rFonts w:ascii="Times New Roman" w:hAnsi="Times New Roman"/>
                <w:bCs/>
                <w:color w:val="000000"/>
                <w:sz w:val="21"/>
                <w:szCs w:val="21"/>
              </w:rPr>
              <w:t>。该含水层富水性弱，但极不均一，为二</w:t>
            </w:r>
            <w:r>
              <w:rPr>
                <w:rFonts w:ascii="Times New Roman" w:hAnsi="Times New Roman"/>
                <w:bCs/>
                <w:color w:val="000000"/>
                <w:sz w:val="21"/>
                <w:szCs w:val="21"/>
                <w:vertAlign w:val="subscript"/>
              </w:rPr>
              <w:t>1</w:t>
            </w:r>
            <w:r>
              <w:rPr>
                <w:rFonts w:ascii="Times New Roman" w:hAnsi="Times New Roman"/>
                <w:bCs/>
                <w:color w:val="000000"/>
                <w:sz w:val="21"/>
                <w:szCs w:val="21"/>
              </w:rPr>
              <w:t>煤底板直接充水含水层。</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太原组中段隔水层；</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14.13m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岩性较致密，层位稳定，隔水性能较好，正常情况下可有效阻隔太原组上、下段灰岩含水层之间的水力联系。</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石炭系上统太原组下段灰岩岩溶含水层（</w:t>
            </w:r>
            <w:r>
              <w:rPr>
                <w:rFonts w:ascii="Times New Roman" w:hAnsi="Times New Roman"/>
                <w:bCs/>
                <w:color w:val="000000"/>
                <w:sz w:val="21"/>
                <w:szCs w:val="21"/>
              </w:rPr>
              <w:t>Ⅶ</w:t>
            </w:r>
            <w:r>
              <w:rPr>
                <w:rFonts w:ascii="Times New Roman" w:hAnsi="Times New Roman"/>
                <w:bCs/>
                <w:color w:val="000000"/>
                <w:sz w:val="21"/>
                <w:szCs w:val="21"/>
              </w:rPr>
              <w:t>）</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10.8m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由太原组下段</w:t>
            </w:r>
            <w:r>
              <w:rPr>
                <w:rFonts w:ascii="Times New Roman" w:hAnsi="Times New Roman"/>
                <w:bCs/>
                <w:color w:val="000000"/>
                <w:sz w:val="21"/>
                <w:szCs w:val="21"/>
              </w:rPr>
              <w:t>L</w:t>
            </w:r>
            <w:r>
              <w:rPr>
                <w:rFonts w:ascii="Times New Roman" w:hAnsi="Times New Roman"/>
                <w:bCs/>
                <w:color w:val="000000"/>
                <w:sz w:val="21"/>
                <w:szCs w:val="21"/>
                <w:vertAlign w:val="subscript"/>
              </w:rPr>
              <w:t>1</w:t>
            </w:r>
            <w:r>
              <w:rPr>
                <w:rFonts w:ascii="Times New Roman" w:hAnsi="Times New Roman"/>
                <w:bCs/>
                <w:color w:val="000000"/>
                <w:sz w:val="21"/>
                <w:szCs w:val="21"/>
              </w:rPr>
              <w:t>～</w:t>
            </w:r>
            <w:r>
              <w:rPr>
                <w:rFonts w:ascii="Times New Roman" w:hAnsi="Times New Roman"/>
                <w:bCs/>
                <w:color w:val="000000"/>
                <w:sz w:val="21"/>
                <w:szCs w:val="21"/>
              </w:rPr>
              <w:t>L</w:t>
            </w:r>
            <w:r>
              <w:rPr>
                <w:rFonts w:ascii="Times New Roman" w:hAnsi="Times New Roman"/>
                <w:bCs/>
                <w:color w:val="000000"/>
                <w:sz w:val="21"/>
                <w:szCs w:val="21"/>
                <w:vertAlign w:val="subscript"/>
              </w:rPr>
              <w:t>4</w:t>
            </w:r>
            <w:r>
              <w:rPr>
                <w:rFonts w:ascii="Times New Roman" w:hAnsi="Times New Roman"/>
                <w:bCs/>
                <w:color w:val="000000"/>
                <w:sz w:val="21"/>
                <w:szCs w:val="21"/>
              </w:rPr>
              <w:t>灰岩组成，富水性中等，一般情况下对开采二</w:t>
            </w:r>
            <w:r>
              <w:rPr>
                <w:rFonts w:ascii="Times New Roman" w:hAnsi="Times New Roman"/>
                <w:bCs/>
                <w:color w:val="000000"/>
                <w:sz w:val="21"/>
                <w:szCs w:val="21"/>
                <w:vertAlign w:val="subscript"/>
              </w:rPr>
              <w:t>1</w:t>
            </w:r>
            <w:r>
              <w:rPr>
                <w:rFonts w:ascii="Times New Roman" w:hAnsi="Times New Roman"/>
                <w:bCs/>
                <w:color w:val="000000"/>
                <w:sz w:val="21"/>
                <w:szCs w:val="21"/>
              </w:rPr>
              <w:t>煤影响不大，为二</w:t>
            </w:r>
            <w:r>
              <w:rPr>
                <w:rFonts w:ascii="Times New Roman" w:hAnsi="Times New Roman"/>
                <w:bCs/>
                <w:color w:val="000000"/>
                <w:sz w:val="21"/>
                <w:szCs w:val="21"/>
                <w:vertAlign w:val="subscript"/>
              </w:rPr>
              <w:t>1</w:t>
            </w:r>
            <w:r>
              <w:rPr>
                <w:rFonts w:ascii="Times New Roman" w:hAnsi="Times New Roman"/>
                <w:bCs/>
                <w:color w:val="000000"/>
                <w:sz w:val="21"/>
                <w:szCs w:val="21"/>
              </w:rPr>
              <w:t>煤层底板间接充水含水层。</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本溪组隔水层</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10.6m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层位稳定，隔水性好，正常情况下可阻隔寒武系与太原组两含水层的水力联系</w:t>
            </w:r>
          </w:p>
        </w:tc>
      </w:tr>
      <w:tr w:rsidR="00240BCE">
        <w:trPr>
          <w:jc w:val="center"/>
        </w:trPr>
        <w:tc>
          <w:tcPr>
            <w:tcW w:w="119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寒武系上统灰岩岩溶含水层（</w:t>
            </w:r>
            <w:r>
              <w:rPr>
                <w:rFonts w:ascii="Times New Roman" w:hAnsi="Times New Roman"/>
                <w:bCs/>
                <w:color w:val="000000"/>
                <w:sz w:val="21"/>
                <w:szCs w:val="21"/>
              </w:rPr>
              <w:t>Ⅷ</w:t>
            </w:r>
            <w:r>
              <w:rPr>
                <w:rFonts w:ascii="Times New Roman" w:hAnsi="Times New Roman"/>
                <w:bCs/>
                <w:color w:val="000000"/>
                <w:sz w:val="21"/>
                <w:szCs w:val="21"/>
              </w:rPr>
              <w:t>）</w:t>
            </w:r>
          </w:p>
        </w:tc>
        <w:tc>
          <w:tcPr>
            <w:tcW w:w="556"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45m</w:t>
            </w:r>
          </w:p>
        </w:tc>
        <w:tc>
          <w:tcPr>
            <w:tcW w:w="3248" w:type="pct"/>
          </w:tcPr>
          <w:p w:rsidR="00240BCE" w:rsidRDefault="00AC0334">
            <w:pPr>
              <w:pStyle w:val="ae"/>
              <w:spacing w:line="340" w:lineRule="exact"/>
              <w:rPr>
                <w:rFonts w:ascii="Times New Roman" w:hAnsi="Times New Roman"/>
                <w:bCs/>
                <w:color w:val="000000"/>
                <w:sz w:val="21"/>
                <w:szCs w:val="21"/>
              </w:rPr>
            </w:pPr>
            <w:r>
              <w:rPr>
                <w:rFonts w:ascii="Times New Roman" w:hAnsi="Times New Roman"/>
                <w:bCs/>
                <w:color w:val="000000"/>
                <w:sz w:val="21"/>
                <w:szCs w:val="21"/>
              </w:rPr>
              <w:t>岩性以白云质灰岩为主，单位涌水量</w:t>
            </w:r>
            <w:r>
              <w:rPr>
                <w:rFonts w:ascii="Times New Roman" w:hAnsi="Times New Roman"/>
                <w:bCs/>
                <w:color w:val="000000"/>
                <w:sz w:val="21"/>
                <w:szCs w:val="21"/>
              </w:rPr>
              <w:t>0.0196~0.059L/s·m</w:t>
            </w:r>
            <w:r>
              <w:rPr>
                <w:rFonts w:ascii="Times New Roman" w:hAnsi="Times New Roman"/>
                <w:bCs/>
                <w:color w:val="000000"/>
                <w:sz w:val="21"/>
                <w:szCs w:val="21"/>
              </w:rPr>
              <w:t>，渗透系数</w:t>
            </w:r>
            <w:r>
              <w:rPr>
                <w:rFonts w:ascii="Times New Roman" w:hAnsi="Times New Roman"/>
                <w:bCs/>
                <w:color w:val="000000"/>
                <w:sz w:val="21"/>
                <w:szCs w:val="21"/>
              </w:rPr>
              <w:t>0.00075~3.104m/d</w:t>
            </w:r>
            <w:r>
              <w:rPr>
                <w:rFonts w:ascii="Times New Roman" w:hAnsi="Times New Roman"/>
                <w:bCs/>
                <w:color w:val="000000"/>
                <w:sz w:val="21"/>
                <w:szCs w:val="21"/>
              </w:rPr>
              <w:t>。地下水类型为</w:t>
            </w:r>
            <w:r>
              <w:rPr>
                <w:rFonts w:ascii="Times New Roman" w:hAnsi="Times New Roman"/>
                <w:bCs/>
                <w:color w:val="000000"/>
                <w:sz w:val="21"/>
                <w:szCs w:val="21"/>
              </w:rPr>
              <w:t>HCO</w:t>
            </w:r>
            <w:r>
              <w:rPr>
                <w:rFonts w:ascii="Times New Roman" w:hAnsi="Times New Roman"/>
                <w:bCs/>
                <w:color w:val="000000"/>
                <w:sz w:val="21"/>
                <w:szCs w:val="21"/>
                <w:vertAlign w:val="subscript"/>
              </w:rPr>
              <w:t>3</w:t>
            </w:r>
            <w:r>
              <w:rPr>
                <w:rFonts w:ascii="Times New Roman" w:hAnsi="Times New Roman"/>
                <w:bCs/>
                <w:color w:val="000000"/>
                <w:sz w:val="21"/>
                <w:szCs w:val="21"/>
              </w:rPr>
              <w:t>-Ca</w:t>
            </w:r>
            <w:r>
              <w:rPr>
                <w:rFonts w:ascii="Times New Roman" w:hAnsi="Times New Roman"/>
                <w:bCs/>
                <w:color w:val="000000"/>
                <w:sz w:val="21"/>
                <w:szCs w:val="21"/>
              </w:rPr>
              <w:t>和</w:t>
            </w:r>
            <w:r>
              <w:rPr>
                <w:rFonts w:ascii="Times New Roman" w:hAnsi="Times New Roman"/>
                <w:bCs/>
                <w:color w:val="000000"/>
                <w:sz w:val="21"/>
                <w:szCs w:val="21"/>
              </w:rPr>
              <w:t>HCO</w:t>
            </w:r>
            <w:r>
              <w:rPr>
                <w:rFonts w:ascii="Times New Roman" w:hAnsi="Times New Roman"/>
                <w:bCs/>
                <w:color w:val="000000"/>
                <w:sz w:val="21"/>
                <w:szCs w:val="21"/>
                <w:vertAlign w:val="subscript"/>
              </w:rPr>
              <w:t>3</w:t>
            </w:r>
            <w:r>
              <w:rPr>
                <w:rFonts w:ascii="Times New Roman" w:hAnsi="Times New Roman"/>
                <w:bCs/>
                <w:color w:val="000000"/>
                <w:sz w:val="21"/>
                <w:szCs w:val="21"/>
              </w:rPr>
              <w:t>-Mg</w:t>
            </w:r>
            <w:r>
              <w:rPr>
                <w:rFonts w:ascii="Times New Roman" w:hAnsi="Times New Roman"/>
                <w:bCs/>
                <w:color w:val="000000"/>
                <w:sz w:val="21"/>
                <w:szCs w:val="21"/>
              </w:rPr>
              <w:t>型。</w:t>
            </w:r>
          </w:p>
        </w:tc>
      </w:tr>
    </w:tbl>
    <w:p w:rsidR="00240BCE" w:rsidRDefault="00AC0334">
      <w:pPr>
        <w:pStyle w:val="ae"/>
        <w:spacing w:line="540" w:lineRule="exact"/>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 xml:space="preserve"> </w:t>
      </w:r>
      <w:r>
        <w:rPr>
          <w:rFonts w:ascii="Times New Roman" w:hAnsi="Times New Roman"/>
          <w:sz w:val="24"/>
        </w:rPr>
        <w:t>采煤对煤层上覆含水层的影响</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）对</w:t>
      </w:r>
      <w:r>
        <w:rPr>
          <w:rFonts w:ascii="Times New Roman" w:hAnsi="Times New Roman"/>
          <w:bCs/>
          <w:color w:val="000000"/>
          <w:sz w:val="24"/>
        </w:rPr>
        <w:t>第四系砂及砂砾石孔隙含水层</w:t>
      </w:r>
      <w:r>
        <w:rPr>
          <w:rFonts w:ascii="Times New Roman" w:hAnsi="Times New Roman"/>
          <w:sz w:val="24"/>
        </w:rPr>
        <w:t>的影响分析</w:t>
      </w:r>
    </w:p>
    <w:p w:rsidR="00240BCE" w:rsidRDefault="00AC0334">
      <w:pPr>
        <w:snapToGrid w:val="0"/>
        <w:spacing w:line="520" w:lineRule="exact"/>
        <w:ind w:firstLineChars="200" w:firstLine="480"/>
        <w:rPr>
          <w:sz w:val="24"/>
        </w:rPr>
      </w:pPr>
      <w:r>
        <w:rPr>
          <w:bCs/>
          <w:sz w:val="24"/>
        </w:rPr>
        <w:t>根据设计及地质报告，</w:t>
      </w:r>
      <w:r>
        <w:rPr>
          <w:bCs/>
          <w:color w:val="000000"/>
          <w:sz w:val="24"/>
        </w:rPr>
        <w:t>第四系砂及砂砾石孔隙含水层由松散洪坡积物组成，主要分布于冲沟两侧与区内低凹地带，平均厚约</w:t>
      </w:r>
      <w:r>
        <w:rPr>
          <w:bCs/>
          <w:color w:val="000000"/>
          <w:sz w:val="24"/>
        </w:rPr>
        <w:t>10.65m</w:t>
      </w:r>
      <w:r>
        <w:rPr>
          <w:bCs/>
          <w:color w:val="000000"/>
          <w:sz w:val="24"/>
        </w:rPr>
        <w:t>。该含水层属孔隙型潜水含水层，渗透性较强，季节性变化大。</w:t>
      </w:r>
      <w:r>
        <w:rPr>
          <w:spacing w:val="4"/>
          <w:sz w:val="24"/>
        </w:rPr>
        <w:t>利用价值较小，无供水意义。</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从前述计算可知隆庆煤矿全矿导水裂隙带高度在</w:t>
      </w:r>
      <w:bookmarkStart w:id="723" w:name="OLE_LINK27"/>
      <w:r>
        <w:rPr>
          <w:rFonts w:ascii="Times New Roman" w:hAnsi="Times New Roman"/>
          <w:sz w:val="24"/>
        </w:rPr>
        <w:t>20.75m</w:t>
      </w:r>
      <w:r>
        <w:rPr>
          <w:rFonts w:ascii="Times New Roman" w:hAnsi="Times New Roman"/>
          <w:sz w:val="24"/>
        </w:rPr>
        <w:t>～</w:t>
      </w:r>
      <w:r>
        <w:rPr>
          <w:rFonts w:ascii="Times New Roman" w:hAnsi="Times New Roman"/>
          <w:sz w:val="24"/>
        </w:rPr>
        <w:t>49.18m</w:t>
      </w:r>
      <w:r>
        <w:rPr>
          <w:rFonts w:ascii="Times New Roman" w:hAnsi="Times New Roman"/>
          <w:sz w:val="24"/>
        </w:rPr>
        <w:t>之间</w:t>
      </w:r>
      <w:bookmarkEnd w:id="723"/>
      <w:r>
        <w:rPr>
          <w:rFonts w:ascii="Times New Roman" w:hAnsi="Times New Roman"/>
          <w:sz w:val="24"/>
        </w:rPr>
        <w:t>，均值为</w:t>
      </w:r>
      <w:r>
        <w:rPr>
          <w:rFonts w:ascii="Times New Roman" w:hAnsi="Times New Roman"/>
          <w:sz w:val="24"/>
        </w:rPr>
        <w:t>40.95m</w:t>
      </w:r>
      <w:r>
        <w:rPr>
          <w:rFonts w:ascii="Times New Roman" w:hAnsi="Times New Roman"/>
          <w:sz w:val="24"/>
        </w:rPr>
        <w:t>，就是说，正常情况下，当开采煤层顶板与含水层底板之间厚度大于</w:t>
      </w:r>
      <w:r>
        <w:rPr>
          <w:rFonts w:ascii="Times New Roman" w:hAnsi="Times New Roman"/>
          <w:sz w:val="24"/>
        </w:rPr>
        <w:t>49.18m</w:t>
      </w:r>
      <w:r>
        <w:rPr>
          <w:rFonts w:ascii="Times New Roman" w:hAnsi="Times New Roman"/>
          <w:sz w:val="24"/>
        </w:rPr>
        <w:t>时，开采二</w:t>
      </w:r>
      <w:r>
        <w:rPr>
          <w:rFonts w:ascii="Times New Roman" w:hAnsi="Times New Roman"/>
          <w:sz w:val="24"/>
          <w:vertAlign w:val="subscript"/>
        </w:rPr>
        <w:t>1</w:t>
      </w:r>
      <w:r>
        <w:rPr>
          <w:rFonts w:ascii="Times New Roman" w:hAnsi="Times New Roman"/>
          <w:sz w:val="24"/>
        </w:rPr>
        <w:t>煤层对</w:t>
      </w:r>
      <w:r>
        <w:rPr>
          <w:rFonts w:ascii="Times New Roman" w:hAnsi="Times New Roman"/>
          <w:bCs/>
          <w:sz w:val="24"/>
        </w:rPr>
        <w:t>第四系砂及砂砾石孔隙含水层</w:t>
      </w:r>
      <w:r>
        <w:rPr>
          <w:rFonts w:ascii="Times New Roman" w:hAnsi="Times New Roman"/>
          <w:sz w:val="24"/>
        </w:rPr>
        <w:t>没有影响（附图</w:t>
      </w:r>
      <w:r>
        <w:rPr>
          <w:rFonts w:ascii="Times New Roman" w:hAnsi="Times New Roman"/>
          <w:sz w:val="24"/>
        </w:rPr>
        <w:t>1</w:t>
      </w:r>
      <w:r>
        <w:rPr>
          <w:rFonts w:ascii="Times New Roman" w:hAnsi="Times New Roman" w:hint="eastAsia"/>
          <w:sz w:val="24"/>
        </w:rPr>
        <w:t>2</w:t>
      </w:r>
      <w:r>
        <w:rPr>
          <w:rFonts w:ascii="Times New Roman" w:hAnsi="Times New Roman"/>
          <w:sz w:val="24"/>
        </w:rPr>
        <w:t>、水文地质综合柱状图）。全</w:t>
      </w:r>
      <w:r>
        <w:rPr>
          <w:rFonts w:ascii="Times New Roman" w:hAnsi="Times New Roman"/>
          <w:sz w:val="24"/>
          <w:szCs w:val="24"/>
        </w:rPr>
        <w:t>矿</w:t>
      </w:r>
      <w:r>
        <w:rPr>
          <w:rFonts w:ascii="Times New Roman" w:hAnsi="Times New Roman"/>
          <w:bCs/>
          <w:sz w:val="24"/>
          <w:szCs w:val="24"/>
        </w:rPr>
        <w:t>开采煤层埋深约</w:t>
      </w:r>
      <w:r>
        <w:rPr>
          <w:rFonts w:ascii="Times New Roman" w:hAnsi="Times New Roman"/>
          <w:bCs/>
          <w:sz w:val="24"/>
          <w:szCs w:val="24"/>
        </w:rPr>
        <w:t>189</w:t>
      </w:r>
      <w:r>
        <w:rPr>
          <w:rFonts w:ascii="Times New Roman" w:hAnsi="Times New Roman"/>
          <w:bCs/>
          <w:sz w:val="24"/>
          <w:szCs w:val="24"/>
        </w:rPr>
        <w:t>～</w:t>
      </w:r>
      <w:r>
        <w:rPr>
          <w:rFonts w:ascii="Times New Roman" w:hAnsi="Times New Roman"/>
          <w:bCs/>
          <w:sz w:val="24"/>
          <w:szCs w:val="24"/>
        </w:rPr>
        <w:t>750m</w:t>
      </w:r>
      <w:r>
        <w:rPr>
          <w:rFonts w:ascii="Times New Roman" w:hAnsi="Times New Roman"/>
          <w:bCs/>
          <w:sz w:val="24"/>
          <w:szCs w:val="24"/>
        </w:rPr>
        <w:t>，</w:t>
      </w:r>
      <w:r>
        <w:rPr>
          <w:rFonts w:ascii="Times New Roman" w:hAnsi="Times New Roman"/>
          <w:bCs/>
          <w:sz w:val="24"/>
        </w:rPr>
        <w:t>第四系砂及砂砾石孔隙含水层厚度</w:t>
      </w:r>
      <w:r>
        <w:rPr>
          <w:rFonts w:ascii="Times New Roman" w:hAnsi="Times New Roman"/>
          <w:bCs/>
          <w:sz w:val="24"/>
        </w:rPr>
        <w:t>10.65m</w:t>
      </w:r>
      <w:r>
        <w:rPr>
          <w:rFonts w:ascii="Times New Roman" w:hAnsi="Times New Roman"/>
          <w:sz w:val="24"/>
        </w:rPr>
        <w:t>。隆庆煤矿开采的二</w:t>
      </w:r>
      <w:r>
        <w:rPr>
          <w:rFonts w:ascii="Times New Roman" w:hAnsi="Times New Roman"/>
          <w:sz w:val="24"/>
          <w:vertAlign w:val="subscript"/>
        </w:rPr>
        <w:t>1</w:t>
      </w:r>
      <w:r>
        <w:rPr>
          <w:rFonts w:ascii="Times New Roman" w:hAnsi="Times New Roman"/>
          <w:sz w:val="24"/>
        </w:rPr>
        <w:t>煤层距</w:t>
      </w:r>
      <w:r>
        <w:rPr>
          <w:rFonts w:ascii="Times New Roman" w:hAnsi="Times New Roman"/>
          <w:bCs/>
          <w:sz w:val="24"/>
        </w:rPr>
        <w:t>第四系砂及砂砾石孔隙含水层</w:t>
      </w:r>
      <w:r>
        <w:rPr>
          <w:rFonts w:ascii="Times New Roman" w:hAnsi="Times New Roman"/>
          <w:sz w:val="24"/>
        </w:rPr>
        <w:t>在</w:t>
      </w:r>
      <w:r>
        <w:rPr>
          <w:rFonts w:ascii="Times New Roman" w:hAnsi="Times New Roman"/>
          <w:sz w:val="24"/>
        </w:rPr>
        <w:t>175</w:t>
      </w:r>
      <w:r>
        <w:rPr>
          <w:rFonts w:ascii="Times New Roman" w:hAnsi="Times New Roman"/>
          <w:bCs/>
          <w:sz w:val="24"/>
          <w:szCs w:val="24"/>
        </w:rPr>
        <w:t>～</w:t>
      </w:r>
      <w:r>
        <w:rPr>
          <w:rFonts w:ascii="Times New Roman" w:hAnsi="Times New Roman"/>
          <w:bCs/>
          <w:sz w:val="24"/>
          <w:szCs w:val="24"/>
        </w:rPr>
        <w:t>735m</w:t>
      </w:r>
      <w:r>
        <w:rPr>
          <w:rFonts w:ascii="Times New Roman" w:hAnsi="Times New Roman"/>
          <w:bCs/>
          <w:sz w:val="24"/>
          <w:szCs w:val="24"/>
        </w:rPr>
        <w:t>之</w:t>
      </w:r>
      <w:r>
        <w:rPr>
          <w:rFonts w:ascii="Times New Roman" w:hAnsi="Times New Roman"/>
          <w:bCs/>
          <w:sz w:val="24"/>
          <w:szCs w:val="24"/>
        </w:rPr>
        <w:lastRenderedPageBreak/>
        <w:t>间</w:t>
      </w:r>
      <w:r>
        <w:rPr>
          <w:rFonts w:ascii="Times New Roman" w:hAnsi="Times New Roman"/>
          <w:sz w:val="24"/>
        </w:rPr>
        <w:t>，远远大于</w:t>
      </w:r>
      <w:r>
        <w:rPr>
          <w:rFonts w:ascii="Times New Roman" w:hAnsi="Times New Roman"/>
          <w:sz w:val="24"/>
        </w:rPr>
        <w:t>49.18m</w:t>
      </w:r>
      <w:r>
        <w:rPr>
          <w:rFonts w:ascii="Times New Roman" w:hAnsi="Times New Roman"/>
          <w:sz w:val="24"/>
        </w:rPr>
        <w:t>，且其期间又受</w:t>
      </w:r>
      <w:r>
        <w:rPr>
          <w:rFonts w:ascii="Times New Roman" w:hAnsi="Times New Roman"/>
          <w:bCs/>
          <w:sz w:val="24"/>
          <w:szCs w:val="24"/>
        </w:rPr>
        <w:t>二叠系上、下石盒子组碎屑岩</w:t>
      </w:r>
      <w:r>
        <w:rPr>
          <w:rFonts w:ascii="Times New Roman" w:hAnsi="Times New Roman"/>
          <w:bCs/>
          <w:color w:val="000000"/>
          <w:sz w:val="24"/>
          <w:szCs w:val="24"/>
        </w:rPr>
        <w:t>段隔水层的</w:t>
      </w:r>
      <w:r>
        <w:rPr>
          <w:rFonts w:ascii="Times New Roman" w:hAnsi="Times New Roman"/>
          <w:sz w:val="24"/>
        </w:rPr>
        <w:t>阻隔，导水裂隙带不会波及到</w:t>
      </w:r>
      <w:r>
        <w:rPr>
          <w:rFonts w:ascii="Times New Roman" w:hAnsi="Times New Roman"/>
          <w:bCs/>
          <w:color w:val="000000"/>
          <w:sz w:val="24"/>
        </w:rPr>
        <w:t>第四系砂及砂砾石孔隙含水层</w:t>
      </w:r>
      <w:r>
        <w:rPr>
          <w:rFonts w:ascii="Times New Roman" w:hAnsi="Times New Roman"/>
          <w:sz w:val="24"/>
        </w:rPr>
        <w:t>，因此，正常情况下矿井开采对</w:t>
      </w:r>
      <w:r>
        <w:rPr>
          <w:rFonts w:ascii="Times New Roman" w:hAnsi="Times New Roman"/>
          <w:bCs/>
          <w:color w:val="000000"/>
          <w:sz w:val="24"/>
        </w:rPr>
        <w:t>第四系砂及砂砾石孔隙含水层</w:t>
      </w:r>
      <w:r>
        <w:rPr>
          <w:rFonts w:ascii="Times New Roman" w:hAnsi="Times New Roman"/>
          <w:sz w:val="24"/>
        </w:rPr>
        <w:t>影响不大。</w:t>
      </w:r>
    </w:p>
    <w:p w:rsidR="00240BCE" w:rsidRDefault="00AC0334">
      <w:pPr>
        <w:pStyle w:val="ae"/>
        <w:spacing w:line="520" w:lineRule="exact"/>
        <w:ind w:firstLineChars="200" w:firstLine="480"/>
        <w:rPr>
          <w:rFonts w:ascii="Times New Roman" w:hAnsi="Times New Roman"/>
          <w:bCs/>
          <w:color w:val="000000"/>
          <w:sz w:val="24"/>
          <w:szCs w:val="24"/>
        </w:rPr>
      </w:pPr>
      <w:r>
        <w:rPr>
          <w:rFonts w:ascii="Times New Roman" w:hAnsi="Times New Roman"/>
          <w:sz w:val="24"/>
        </w:rPr>
        <w:t>（</w:t>
      </w:r>
      <w:r>
        <w:rPr>
          <w:rFonts w:ascii="Times New Roman" w:hAnsi="Times New Roman"/>
          <w:sz w:val="24"/>
        </w:rPr>
        <w:t>2</w:t>
      </w:r>
      <w:r>
        <w:rPr>
          <w:rFonts w:ascii="Times New Roman" w:hAnsi="Times New Roman"/>
          <w:sz w:val="24"/>
        </w:rPr>
        <w:t>）对</w:t>
      </w:r>
      <w:r>
        <w:rPr>
          <w:rFonts w:ascii="Times New Roman" w:hAnsi="Times New Roman"/>
          <w:bCs/>
          <w:color w:val="000000"/>
          <w:sz w:val="24"/>
        </w:rPr>
        <w:t>平顶山砂岩裂隙含水层</w:t>
      </w:r>
      <w:r>
        <w:rPr>
          <w:rFonts w:ascii="Times New Roman" w:hAnsi="Times New Roman"/>
          <w:bCs/>
          <w:color w:val="000000"/>
          <w:sz w:val="24"/>
          <w:szCs w:val="24"/>
        </w:rPr>
        <w:t>的影响</w:t>
      </w:r>
    </w:p>
    <w:p w:rsidR="00240BCE" w:rsidRDefault="00AC0334">
      <w:pPr>
        <w:snapToGrid w:val="0"/>
        <w:spacing w:line="520" w:lineRule="exact"/>
        <w:ind w:firstLineChars="200" w:firstLine="480"/>
        <w:rPr>
          <w:sz w:val="24"/>
        </w:rPr>
      </w:pPr>
      <w:r>
        <w:rPr>
          <w:bCs/>
          <w:sz w:val="24"/>
        </w:rPr>
        <w:t>根据设计及地质报告，</w:t>
      </w:r>
      <w:r>
        <w:rPr>
          <w:bCs/>
          <w:color w:val="000000"/>
          <w:sz w:val="24"/>
        </w:rPr>
        <w:t>平顶山砂岩裂隙含水层岩性为浅灰、灰白色厚～巨厚层状中、粗粒长石石英砂岩，底部含石英岩砾及燧石砾。厚</w:t>
      </w:r>
      <w:r>
        <w:rPr>
          <w:bCs/>
          <w:color w:val="000000"/>
          <w:sz w:val="24"/>
        </w:rPr>
        <w:t>45.62—95.91m</w:t>
      </w:r>
      <w:r>
        <w:rPr>
          <w:bCs/>
          <w:color w:val="000000"/>
          <w:sz w:val="24"/>
        </w:rPr>
        <w:t>，平均</w:t>
      </w:r>
      <w:r>
        <w:rPr>
          <w:bCs/>
          <w:color w:val="000000"/>
          <w:sz w:val="24"/>
        </w:rPr>
        <w:t>66.44m</w:t>
      </w:r>
      <w:r>
        <w:rPr>
          <w:bCs/>
          <w:color w:val="000000"/>
          <w:sz w:val="24"/>
        </w:rPr>
        <w:t>。该含水层厚度大，层位稳定，含裂隙承压水，为四</w:t>
      </w:r>
      <w:r>
        <w:rPr>
          <w:bCs/>
          <w:color w:val="000000"/>
          <w:sz w:val="24"/>
          <w:vertAlign w:val="subscript"/>
        </w:rPr>
        <w:t>2</w:t>
      </w:r>
      <w:r>
        <w:rPr>
          <w:bCs/>
          <w:color w:val="000000"/>
          <w:sz w:val="24"/>
        </w:rPr>
        <w:t>煤层顶板间接充水含水层。</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从前述计算可知隆庆煤矿全矿导水裂隙带高度在</w:t>
      </w:r>
      <w:r>
        <w:rPr>
          <w:rFonts w:ascii="Times New Roman" w:hAnsi="Times New Roman"/>
          <w:sz w:val="24"/>
        </w:rPr>
        <w:t>20.75m</w:t>
      </w:r>
      <w:r>
        <w:rPr>
          <w:rFonts w:ascii="Times New Roman" w:hAnsi="Times New Roman"/>
          <w:sz w:val="24"/>
        </w:rPr>
        <w:t>～</w:t>
      </w:r>
      <w:r>
        <w:rPr>
          <w:rFonts w:ascii="Times New Roman" w:hAnsi="Times New Roman"/>
          <w:sz w:val="24"/>
        </w:rPr>
        <w:t>49.18m</w:t>
      </w:r>
      <w:r>
        <w:rPr>
          <w:rFonts w:ascii="Times New Roman" w:hAnsi="Times New Roman"/>
          <w:sz w:val="24"/>
        </w:rPr>
        <w:t>之间，均值为</w:t>
      </w:r>
      <w:r>
        <w:rPr>
          <w:rFonts w:ascii="Times New Roman" w:hAnsi="Times New Roman"/>
          <w:sz w:val="24"/>
        </w:rPr>
        <w:t>40.95m</w:t>
      </w:r>
      <w:r>
        <w:rPr>
          <w:rFonts w:ascii="Times New Roman" w:hAnsi="Times New Roman"/>
          <w:sz w:val="24"/>
        </w:rPr>
        <w:t>，就是说，正常情况下，当开采煤层顶板与含水层底板之间厚度大于</w:t>
      </w:r>
      <w:r>
        <w:rPr>
          <w:rFonts w:ascii="Times New Roman" w:hAnsi="Times New Roman"/>
          <w:sz w:val="24"/>
        </w:rPr>
        <w:t>49.18m</w:t>
      </w:r>
      <w:r>
        <w:rPr>
          <w:rFonts w:ascii="Times New Roman" w:hAnsi="Times New Roman"/>
          <w:sz w:val="24"/>
        </w:rPr>
        <w:t>时，开采二</w:t>
      </w:r>
      <w:r>
        <w:rPr>
          <w:rFonts w:ascii="Times New Roman" w:hAnsi="Times New Roman"/>
          <w:sz w:val="24"/>
          <w:vertAlign w:val="subscript"/>
        </w:rPr>
        <w:t>1</w:t>
      </w:r>
      <w:r>
        <w:rPr>
          <w:rFonts w:ascii="Times New Roman" w:hAnsi="Times New Roman"/>
          <w:sz w:val="24"/>
        </w:rPr>
        <w:t>煤层对平</w:t>
      </w:r>
      <w:r>
        <w:rPr>
          <w:rFonts w:ascii="Times New Roman" w:hAnsi="Times New Roman"/>
          <w:bCs/>
          <w:color w:val="000000"/>
          <w:sz w:val="24"/>
        </w:rPr>
        <w:t>顶山砂岩裂隙含水层</w:t>
      </w:r>
      <w:r>
        <w:rPr>
          <w:rFonts w:ascii="Times New Roman" w:hAnsi="Times New Roman"/>
          <w:sz w:val="24"/>
        </w:rPr>
        <w:t>影响不大（附图</w:t>
      </w:r>
      <w:r>
        <w:rPr>
          <w:rFonts w:ascii="Times New Roman" w:hAnsi="Times New Roman"/>
          <w:sz w:val="24"/>
        </w:rPr>
        <w:t>12</w:t>
      </w:r>
      <w:r>
        <w:rPr>
          <w:rFonts w:ascii="Times New Roman" w:hAnsi="Times New Roman"/>
          <w:sz w:val="24"/>
        </w:rPr>
        <w:t>、水文地质综合柱状图）。全</w:t>
      </w:r>
      <w:r>
        <w:rPr>
          <w:rFonts w:ascii="Times New Roman" w:hAnsi="Times New Roman"/>
          <w:sz w:val="24"/>
          <w:szCs w:val="24"/>
        </w:rPr>
        <w:t>矿</w:t>
      </w:r>
      <w:r>
        <w:rPr>
          <w:rFonts w:ascii="Times New Roman" w:hAnsi="Times New Roman"/>
          <w:bCs/>
          <w:color w:val="000000"/>
          <w:sz w:val="24"/>
          <w:szCs w:val="24"/>
        </w:rPr>
        <w:t>开采煤层埋深约</w:t>
      </w:r>
      <w:r>
        <w:rPr>
          <w:rFonts w:ascii="Times New Roman" w:hAnsi="Times New Roman"/>
          <w:bCs/>
          <w:color w:val="000000"/>
          <w:sz w:val="24"/>
          <w:szCs w:val="24"/>
        </w:rPr>
        <w:t>189</w:t>
      </w:r>
      <w:r>
        <w:rPr>
          <w:rFonts w:ascii="Times New Roman" w:hAnsi="Times New Roman"/>
          <w:bCs/>
          <w:color w:val="000000"/>
          <w:sz w:val="24"/>
          <w:szCs w:val="24"/>
        </w:rPr>
        <w:t>～</w:t>
      </w:r>
      <w:r>
        <w:rPr>
          <w:rFonts w:ascii="Times New Roman" w:hAnsi="Times New Roman"/>
          <w:bCs/>
          <w:color w:val="000000"/>
          <w:sz w:val="24"/>
          <w:szCs w:val="24"/>
        </w:rPr>
        <w:t>750m</w:t>
      </w:r>
      <w:r>
        <w:rPr>
          <w:rFonts w:ascii="Times New Roman" w:hAnsi="Times New Roman"/>
          <w:bCs/>
          <w:color w:val="000000"/>
          <w:sz w:val="24"/>
          <w:szCs w:val="24"/>
        </w:rPr>
        <w:t>，</w:t>
      </w:r>
      <w:r>
        <w:rPr>
          <w:rFonts w:ascii="Times New Roman" w:hAnsi="Times New Roman"/>
          <w:sz w:val="24"/>
        </w:rPr>
        <w:t>平</w:t>
      </w:r>
      <w:r>
        <w:rPr>
          <w:rFonts w:ascii="Times New Roman" w:hAnsi="Times New Roman"/>
          <w:bCs/>
          <w:color w:val="000000"/>
          <w:sz w:val="24"/>
        </w:rPr>
        <w:t>顶山砂岩裂隙含水层厚度</w:t>
      </w:r>
      <w:r>
        <w:rPr>
          <w:rFonts w:ascii="Times New Roman" w:hAnsi="Times New Roman"/>
          <w:bCs/>
          <w:color w:val="000000"/>
          <w:sz w:val="24"/>
        </w:rPr>
        <w:t>66.44m</w:t>
      </w:r>
      <w:r>
        <w:rPr>
          <w:rFonts w:ascii="Times New Roman" w:hAnsi="Times New Roman"/>
          <w:sz w:val="24"/>
        </w:rPr>
        <w:t>。隆庆煤矿开采的二</w:t>
      </w:r>
      <w:r>
        <w:rPr>
          <w:rFonts w:ascii="Times New Roman" w:hAnsi="Times New Roman"/>
          <w:sz w:val="24"/>
          <w:vertAlign w:val="subscript"/>
        </w:rPr>
        <w:t>1</w:t>
      </w:r>
      <w:r>
        <w:rPr>
          <w:rFonts w:ascii="Times New Roman" w:hAnsi="Times New Roman"/>
          <w:sz w:val="24"/>
        </w:rPr>
        <w:t>煤层距平</w:t>
      </w:r>
      <w:r>
        <w:rPr>
          <w:rFonts w:ascii="Times New Roman" w:hAnsi="Times New Roman"/>
          <w:bCs/>
          <w:color w:val="000000"/>
          <w:sz w:val="24"/>
        </w:rPr>
        <w:t>顶山砂岩裂隙含水层</w:t>
      </w:r>
      <w:r>
        <w:rPr>
          <w:rFonts w:ascii="Times New Roman" w:hAnsi="Times New Roman"/>
          <w:bCs/>
          <w:color w:val="000000"/>
          <w:sz w:val="24"/>
          <w:szCs w:val="24"/>
        </w:rPr>
        <w:t>含水层</w:t>
      </w:r>
      <w:r>
        <w:rPr>
          <w:rFonts w:ascii="Times New Roman" w:hAnsi="Times New Roman"/>
          <w:sz w:val="24"/>
        </w:rPr>
        <w:t>在</w:t>
      </w:r>
      <w:r>
        <w:rPr>
          <w:rFonts w:ascii="Times New Roman" w:hAnsi="Times New Roman"/>
          <w:sz w:val="24"/>
        </w:rPr>
        <w:t>130</w:t>
      </w:r>
      <w:r>
        <w:rPr>
          <w:rFonts w:ascii="Times New Roman" w:hAnsi="Times New Roman"/>
          <w:bCs/>
          <w:color w:val="000000"/>
          <w:sz w:val="24"/>
          <w:szCs w:val="24"/>
        </w:rPr>
        <w:t>～</w:t>
      </w:r>
      <w:r>
        <w:rPr>
          <w:rFonts w:ascii="Times New Roman" w:hAnsi="Times New Roman"/>
          <w:bCs/>
          <w:color w:val="000000"/>
          <w:sz w:val="24"/>
          <w:szCs w:val="24"/>
        </w:rPr>
        <w:t>700m</w:t>
      </w:r>
      <w:r>
        <w:rPr>
          <w:rFonts w:ascii="Times New Roman" w:hAnsi="Times New Roman"/>
          <w:bCs/>
          <w:color w:val="000000"/>
          <w:sz w:val="24"/>
          <w:szCs w:val="24"/>
        </w:rPr>
        <w:t>之间</w:t>
      </w:r>
      <w:r>
        <w:rPr>
          <w:rFonts w:ascii="Times New Roman" w:hAnsi="Times New Roman"/>
          <w:sz w:val="24"/>
        </w:rPr>
        <w:t>，远远大于</w:t>
      </w:r>
      <w:r>
        <w:rPr>
          <w:rFonts w:ascii="Times New Roman" w:hAnsi="Times New Roman"/>
          <w:sz w:val="24"/>
        </w:rPr>
        <w:t>49.18m</w:t>
      </w:r>
      <w:r>
        <w:rPr>
          <w:rFonts w:ascii="Times New Roman" w:hAnsi="Times New Roman"/>
          <w:sz w:val="24"/>
        </w:rPr>
        <w:t>，且其期间又受</w:t>
      </w:r>
      <w:r>
        <w:rPr>
          <w:rFonts w:ascii="Times New Roman" w:hAnsi="Times New Roman"/>
          <w:bCs/>
          <w:color w:val="000000"/>
          <w:sz w:val="24"/>
          <w:szCs w:val="24"/>
        </w:rPr>
        <w:t>二叠系上、下石盒子组碎屑岩段隔水层的</w:t>
      </w:r>
      <w:r>
        <w:rPr>
          <w:rFonts w:ascii="Times New Roman" w:hAnsi="Times New Roman"/>
          <w:sz w:val="24"/>
        </w:rPr>
        <w:t>阻隔，导水裂隙带不会波及到平</w:t>
      </w:r>
      <w:r>
        <w:rPr>
          <w:rFonts w:ascii="Times New Roman" w:hAnsi="Times New Roman"/>
          <w:bCs/>
          <w:color w:val="000000"/>
          <w:sz w:val="24"/>
        </w:rPr>
        <w:t>顶山砂岩裂隙含水层</w:t>
      </w:r>
      <w:r>
        <w:rPr>
          <w:rFonts w:ascii="Times New Roman" w:hAnsi="Times New Roman"/>
          <w:sz w:val="24"/>
        </w:rPr>
        <w:t>，因此，正常情况下矿井开采对平</w:t>
      </w:r>
      <w:r>
        <w:rPr>
          <w:rFonts w:ascii="Times New Roman" w:hAnsi="Times New Roman"/>
          <w:bCs/>
          <w:color w:val="000000"/>
          <w:sz w:val="24"/>
        </w:rPr>
        <w:t>顶山砂岩裂隙含水层</w:t>
      </w:r>
      <w:r>
        <w:rPr>
          <w:rFonts w:ascii="Times New Roman" w:hAnsi="Times New Roman"/>
          <w:sz w:val="24"/>
        </w:rPr>
        <w:t>影响不大。</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）对</w:t>
      </w:r>
      <w:r>
        <w:rPr>
          <w:rFonts w:ascii="Times New Roman" w:hAnsi="Times New Roman"/>
          <w:bCs/>
          <w:color w:val="000000"/>
          <w:sz w:val="24"/>
        </w:rPr>
        <w:t>二</w:t>
      </w:r>
      <w:r>
        <w:rPr>
          <w:rFonts w:ascii="Times New Roman" w:hAnsi="Times New Roman"/>
          <w:bCs/>
          <w:color w:val="000000"/>
          <w:sz w:val="24"/>
          <w:vertAlign w:val="subscript"/>
        </w:rPr>
        <w:t>1</w:t>
      </w:r>
      <w:r>
        <w:rPr>
          <w:rFonts w:ascii="Times New Roman" w:hAnsi="Times New Roman"/>
          <w:bCs/>
          <w:color w:val="000000"/>
          <w:sz w:val="24"/>
        </w:rPr>
        <w:t>煤层顶板砂岩裂隙含水层</w:t>
      </w:r>
      <w:r>
        <w:rPr>
          <w:rFonts w:ascii="Times New Roman" w:hAnsi="Times New Roman"/>
          <w:sz w:val="24"/>
        </w:rPr>
        <w:t>的影响分析</w:t>
      </w:r>
    </w:p>
    <w:p w:rsidR="00240BCE" w:rsidRDefault="00AC0334">
      <w:pPr>
        <w:snapToGrid w:val="0"/>
        <w:spacing w:line="520" w:lineRule="exact"/>
        <w:ind w:firstLineChars="200" w:firstLine="480"/>
        <w:rPr>
          <w:bCs/>
          <w:color w:val="000000"/>
          <w:sz w:val="24"/>
        </w:rPr>
      </w:pPr>
      <w:r>
        <w:rPr>
          <w:bCs/>
          <w:color w:val="000000"/>
          <w:sz w:val="24"/>
        </w:rPr>
        <w:t>二</w:t>
      </w:r>
      <w:r>
        <w:rPr>
          <w:bCs/>
          <w:color w:val="000000"/>
          <w:sz w:val="24"/>
          <w:vertAlign w:val="subscript"/>
        </w:rPr>
        <w:t>1</w:t>
      </w:r>
      <w:r>
        <w:rPr>
          <w:bCs/>
          <w:color w:val="000000"/>
          <w:sz w:val="24"/>
        </w:rPr>
        <w:t>煤层顶板砂岩裂隙含水层位于二</w:t>
      </w:r>
      <w:r>
        <w:rPr>
          <w:bCs/>
          <w:color w:val="000000"/>
          <w:sz w:val="24"/>
          <w:vertAlign w:val="subscript"/>
        </w:rPr>
        <w:t>1</w:t>
      </w:r>
      <w:r>
        <w:rPr>
          <w:bCs/>
          <w:color w:val="000000"/>
          <w:sz w:val="24"/>
        </w:rPr>
        <w:t>煤层之上，由</w:t>
      </w:r>
      <w:r>
        <w:rPr>
          <w:bCs/>
          <w:color w:val="000000"/>
          <w:sz w:val="24"/>
        </w:rPr>
        <w:t>1</w:t>
      </w:r>
      <w:r>
        <w:rPr>
          <w:bCs/>
          <w:color w:val="000000"/>
          <w:sz w:val="24"/>
        </w:rPr>
        <w:t>～</w:t>
      </w:r>
      <w:r>
        <w:rPr>
          <w:bCs/>
          <w:color w:val="000000"/>
          <w:sz w:val="24"/>
        </w:rPr>
        <w:t>4</w:t>
      </w:r>
      <w:r>
        <w:rPr>
          <w:bCs/>
          <w:color w:val="000000"/>
          <w:sz w:val="24"/>
        </w:rPr>
        <w:t>层中、粗粒砂岩及部分细粒砂岩组成，以大占砂岩、香炭砂岩及砂锅窑砂岩为主，层位稳定，平均厚约</w:t>
      </w:r>
      <w:r>
        <w:rPr>
          <w:bCs/>
          <w:color w:val="000000"/>
          <w:sz w:val="24"/>
        </w:rPr>
        <w:t>16m</w:t>
      </w:r>
      <w:r>
        <w:rPr>
          <w:bCs/>
          <w:color w:val="000000"/>
          <w:sz w:val="24"/>
        </w:rPr>
        <w:t>，含裂隙承压水。</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该砂岩含较均匀的孔隙裂隙承压水。渗透系数</w:t>
      </w:r>
      <w:r>
        <w:rPr>
          <w:rFonts w:ascii="Times New Roman" w:hAnsi="Times New Roman"/>
          <w:sz w:val="24"/>
          <w:szCs w:val="24"/>
        </w:rPr>
        <w:t>0.1119m/d</w:t>
      </w:r>
      <w:r>
        <w:rPr>
          <w:rFonts w:ascii="Times New Roman" w:hAnsi="Times New Roman"/>
          <w:sz w:val="24"/>
          <w:szCs w:val="24"/>
        </w:rPr>
        <w:t>，富水性较弱，补给条件差，由于该含水层位于二</w:t>
      </w:r>
      <w:r>
        <w:rPr>
          <w:rFonts w:ascii="Times New Roman" w:hAnsi="Times New Roman"/>
          <w:sz w:val="24"/>
          <w:szCs w:val="24"/>
          <w:vertAlign w:val="subscript"/>
        </w:rPr>
        <w:t>1</w:t>
      </w:r>
      <w:r>
        <w:rPr>
          <w:rFonts w:ascii="Times New Roman" w:hAnsi="Times New Roman"/>
          <w:sz w:val="24"/>
          <w:szCs w:val="24"/>
        </w:rPr>
        <w:t>煤层顶板之上，煤炭开采将使该含水层中地下水通过导水裂隙带渗入到开采区而被疏排，最终以矿井水的形式排出。因此，煤矿开采会对</w:t>
      </w:r>
      <w:r>
        <w:rPr>
          <w:rFonts w:ascii="Times New Roman" w:hAnsi="Times New Roman"/>
          <w:sz w:val="24"/>
        </w:rPr>
        <w:t>二</w:t>
      </w:r>
      <w:r>
        <w:rPr>
          <w:rFonts w:ascii="Times New Roman" w:hAnsi="Times New Roman"/>
          <w:sz w:val="24"/>
          <w:vertAlign w:val="subscript"/>
        </w:rPr>
        <w:t>1</w:t>
      </w:r>
      <w:r>
        <w:rPr>
          <w:rFonts w:ascii="Times New Roman" w:hAnsi="Times New Roman"/>
          <w:sz w:val="24"/>
        </w:rPr>
        <w:t>煤顶板砂岩孔隙裂隙含水层产生较大的影响</w:t>
      </w:r>
      <w:r>
        <w:rPr>
          <w:rFonts w:ascii="Times New Roman" w:hAnsi="Times New Roman"/>
          <w:sz w:val="24"/>
          <w:szCs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rPr>
        <w:t>3</w:t>
      </w:r>
      <w:r>
        <w:rPr>
          <w:rFonts w:ascii="Times New Roman" w:hAnsi="Times New Roman"/>
          <w:sz w:val="24"/>
        </w:rPr>
        <w:t>、采煤对煤层下覆含水层的影响</w:t>
      </w:r>
    </w:p>
    <w:p w:rsidR="00240BCE" w:rsidRDefault="00AC0334">
      <w:pPr>
        <w:pStyle w:val="ae"/>
        <w:spacing w:line="520" w:lineRule="exact"/>
        <w:ind w:firstLineChars="200" w:firstLine="480"/>
        <w:rPr>
          <w:rFonts w:ascii="Times New Roman" w:hAnsi="Times New Roman"/>
          <w:sz w:val="24"/>
        </w:rPr>
      </w:pPr>
      <w:r>
        <w:rPr>
          <w:rFonts w:ascii="Times New Roman" w:hAnsi="Times New Roman"/>
          <w:bCs/>
          <w:color w:val="000000"/>
          <w:sz w:val="24"/>
          <w:szCs w:val="24"/>
        </w:rPr>
        <w:t>（</w:t>
      </w:r>
      <w:r>
        <w:rPr>
          <w:rFonts w:ascii="Times New Roman" w:hAnsi="Times New Roman"/>
          <w:bCs/>
          <w:color w:val="000000"/>
          <w:sz w:val="24"/>
          <w:szCs w:val="24"/>
        </w:rPr>
        <w:t>1</w:t>
      </w:r>
      <w:r>
        <w:rPr>
          <w:rFonts w:ascii="Times New Roman" w:hAnsi="Times New Roman"/>
          <w:bCs/>
          <w:color w:val="000000"/>
          <w:sz w:val="24"/>
          <w:szCs w:val="24"/>
        </w:rPr>
        <w:t>）</w:t>
      </w:r>
      <w:r>
        <w:rPr>
          <w:rFonts w:ascii="Times New Roman" w:hAnsi="Times New Roman"/>
          <w:sz w:val="24"/>
        </w:rPr>
        <w:t>对</w:t>
      </w:r>
      <w:r>
        <w:rPr>
          <w:rFonts w:ascii="Times New Roman" w:hAnsi="Times New Roman"/>
          <w:bCs/>
          <w:color w:val="000000"/>
          <w:sz w:val="24"/>
        </w:rPr>
        <w:t>石炭系上统太原组上段灰岩岩溶含水层</w:t>
      </w:r>
      <w:r>
        <w:rPr>
          <w:rFonts w:ascii="Times New Roman" w:hAnsi="Times New Roman"/>
          <w:sz w:val="24"/>
        </w:rPr>
        <w:t>的影响</w:t>
      </w:r>
    </w:p>
    <w:p w:rsidR="00240BCE" w:rsidRDefault="00AC0334">
      <w:pPr>
        <w:spacing w:line="520" w:lineRule="exact"/>
        <w:ind w:firstLineChars="200" w:firstLine="480"/>
        <w:jc w:val="left"/>
        <w:rPr>
          <w:sz w:val="24"/>
        </w:rPr>
      </w:pPr>
      <w:r>
        <w:rPr>
          <w:bCs/>
          <w:color w:val="000000"/>
          <w:sz w:val="24"/>
        </w:rPr>
        <w:lastRenderedPageBreak/>
        <w:t>石炭系上统太原组上段灰岩岩溶含水层主要由太原组上段</w:t>
      </w:r>
      <w:r>
        <w:rPr>
          <w:bCs/>
          <w:color w:val="000000"/>
          <w:sz w:val="24"/>
        </w:rPr>
        <w:t>L</w:t>
      </w:r>
      <w:r>
        <w:rPr>
          <w:bCs/>
          <w:color w:val="000000"/>
          <w:sz w:val="24"/>
          <w:vertAlign w:val="subscript"/>
        </w:rPr>
        <w:t>7</w:t>
      </w:r>
      <w:r>
        <w:rPr>
          <w:bCs/>
          <w:color w:val="000000"/>
          <w:sz w:val="24"/>
        </w:rPr>
        <w:t>～</w:t>
      </w:r>
      <w:r>
        <w:rPr>
          <w:bCs/>
          <w:color w:val="000000"/>
          <w:sz w:val="24"/>
        </w:rPr>
        <w:t>L</w:t>
      </w:r>
      <w:r>
        <w:rPr>
          <w:bCs/>
          <w:color w:val="000000"/>
          <w:sz w:val="24"/>
          <w:vertAlign w:val="subscript"/>
        </w:rPr>
        <w:t>8</w:t>
      </w:r>
      <w:r>
        <w:rPr>
          <w:bCs/>
          <w:color w:val="000000"/>
          <w:sz w:val="24"/>
        </w:rPr>
        <w:t>灰岩组成，厚度</w:t>
      </w:r>
      <w:r>
        <w:rPr>
          <w:bCs/>
          <w:color w:val="000000"/>
          <w:sz w:val="24"/>
        </w:rPr>
        <w:t>8.85m</w:t>
      </w:r>
      <w:r>
        <w:rPr>
          <w:bCs/>
          <w:color w:val="000000"/>
          <w:sz w:val="24"/>
        </w:rPr>
        <w:t>，</w:t>
      </w:r>
      <w:r>
        <w:rPr>
          <w:bCs/>
          <w:color w:val="000000"/>
          <w:spacing w:val="6"/>
          <w:sz w:val="24"/>
        </w:rPr>
        <w:t>为二</w:t>
      </w:r>
      <w:r>
        <w:rPr>
          <w:bCs/>
          <w:color w:val="000000"/>
          <w:spacing w:val="6"/>
          <w:sz w:val="24"/>
          <w:vertAlign w:val="subscript"/>
        </w:rPr>
        <w:t>1</w:t>
      </w:r>
      <w:r>
        <w:rPr>
          <w:bCs/>
          <w:color w:val="000000"/>
          <w:spacing w:val="6"/>
          <w:sz w:val="24"/>
        </w:rPr>
        <w:t>煤层底板直接充水含水层</w:t>
      </w:r>
      <w:r>
        <w:rPr>
          <w:sz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根据前述分析，二</w:t>
      </w:r>
      <w:r>
        <w:rPr>
          <w:rFonts w:ascii="Times New Roman" w:hAnsi="Times New Roman"/>
          <w:sz w:val="24"/>
          <w:szCs w:val="24"/>
          <w:vertAlign w:val="subscript"/>
        </w:rPr>
        <w:t>1</w:t>
      </w:r>
      <w:r>
        <w:rPr>
          <w:rFonts w:ascii="Times New Roman" w:hAnsi="Times New Roman"/>
          <w:sz w:val="24"/>
          <w:szCs w:val="24"/>
        </w:rPr>
        <w:t>煤层底板存在</w:t>
      </w:r>
      <w:r>
        <w:rPr>
          <w:rFonts w:ascii="Times New Roman" w:hAnsi="Times New Roman"/>
          <w:bCs/>
          <w:color w:val="000000"/>
          <w:sz w:val="24"/>
          <w:szCs w:val="24"/>
        </w:rPr>
        <w:t>二</w:t>
      </w:r>
      <w:r>
        <w:rPr>
          <w:rFonts w:ascii="Times New Roman" w:hAnsi="Times New Roman"/>
          <w:bCs/>
          <w:color w:val="000000"/>
          <w:sz w:val="24"/>
          <w:szCs w:val="24"/>
          <w:vertAlign w:val="subscript"/>
        </w:rPr>
        <w:t>1</w:t>
      </w:r>
      <w:r>
        <w:rPr>
          <w:rFonts w:ascii="Times New Roman" w:hAnsi="Times New Roman"/>
          <w:bCs/>
          <w:color w:val="000000"/>
          <w:sz w:val="24"/>
          <w:szCs w:val="24"/>
        </w:rPr>
        <w:t>煤层底板隔水层</w:t>
      </w:r>
      <w:r>
        <w:rPr>
          <w:rFonts w:ascii="Times New Roman" w:hAnsi="Times New Roman"/>
          <w:sz w:val="24"/>
          <w:szCs w:val="24"/>
        </w:rPr>
        <w:t>，该隔水层</w:t>
      </w:r>
      <w:r>
        <w:rPr>
          <w:rFonts w:ascii="Times New Roman" w:hAnsi="Times New Roman"/>
          <w:bCs/>
          <w:color w:val="000000"/>
          <w:sz w:val="24"/>
          <w:szCs w:val="24"/>
        </w:rPr>
        <w:t>厚度</w:t>
      </w:r>
      <w:r>
        <w:rPr>
          <w:rFonts w:ascii="Times New Roman" w:hAnsi="Times New Roman"/>
          <w:bCs/>
          <w:color w:val="000000"/>
          <w:sz w:val="24"/>
          <w:szCs w:val="24"/>
        </w:rPr>
        <w:t>5.36m</w:t>
      </w:r>
      <w:r>
        <w:rPr>
          <w:rFonts w:ascii="Times New Roman" w:hAnsi="Times New Roman"/>
          <w:bCs/>
          <w:color w:val="000000"/>
          <w:sz w:val="24"/>
          <w:szCs w:val="24"/>
        </w:rPr>
        <w:t>，岩性以泥岩、砂质泥岩、粉砂岩和细粒砂岩为主，沉积稳定，分布连续，透水性差，</w:t>
      </w:r>
      <w:r>
        <w:rPr>
          <w:rFonts w:ascii="Times New Roman" w:hAnsi="Times New Roman"/>
          <w:sz w:val="24"/>
          <w:szCs w:val="24"/>
        </w:rPr>
        <w:t>有一定的隔水作用，但在厚度较薄特别是经断层错动后地点，很容易造成太原组上段</w:t>
      </w:r>
      <w:r>
        <w:rPr>
          <w:rFonts w:ascii="Times New Roman" w:hAnsi="Times New Roman"/>
          <w:sz w:val="24"/>
          <w:szCs w:val="24"/>
        </w:rPr>
        <w:t>L</w:t>
      </w:r>
      <w:r>
        <w:rPr>
          <w:rFonts w:ascii="Times New Roman" w:hAnsi="Times New Roman"/>
          <w:sz w:val="24"/>
          <w:szCs w:val="24"/>
          <w:vertAlign w:val="subscript"/>
        </w:rPr>
        <w:t>7-8</w:t>
      </w:r>
      <w:r>
        <w:rPr>
          <w:rFonts w:ascii="Times New Roman" w:hAnsi="Times New Roman"/>
          <w:sz w:val="24"/>
          <w:szCs w:val="24"/>
        </w:rPr>
        <w:t>灰岩裂隙承压水对采区涌水形成矿井水</w:t>
      </w:r>
      <w:r>
        <w:rPr>
          <w:rFonts w:ascii="Times New Roman" w:hAnsi="Times New Roman"/>
          <w:bCs/>
          <w:color w:val="000000"/>
          <w:sz w:val="24"/>
          <w:szCs w:val="24"/>
        </w:rPr>
        <w:t>，为保证安全生产，设计采用疏排降压的方法，降低其水头高度，使其水压值达到开采允许的范围，</w:t>
      </w:r>
      <w:r>
        <w:rPr>
          <w:rFonts w:ascii="Times New Roman" w:hAnsi="Times New Roman"/>
          <w:sz w:val="24"/>
          <w:szCs w:val="24"/>
        </w:rPr>
        <w:t>因此，煤矿开采会对</w:t>
      </w:r>
      <w:r>
        <w:rPr>
          <w:rFonts w:ascii="Times New Roman" w:hAnsi="Times New Roman"/>
          <w:bCs/>
          <w:color w:val="000000"/>
          <w:sz w:val="24"/>
        </w:rPr>
        <w:t>石炭系上统太原组上段灰岩岩溶含水层</w:t>
      </w:r>
      <w:r>
        <w:rPr>
          <w:rFonts w:ascii="Times New Roman" w:hAnsi="Times New Roman"/>
          <w:sz w:val="24"/>
          <w:szCs w:val="24"/>
        </w:rPr>
        <w:t>产生较大的影响。</w:t>
      </w:r>
    </w:p>
    <w:p w:rsidR="00240BCE" w:rsidRDefault="00AC0334">
      <w:pPr>
        <w:pStyle w:val="ae"/>
        <w:spacing w:line="5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）对</w:t>
      </w:r>
      <w:r>
        <w:rPr>
          <w:rFonts w:ascii="Times New Roman" w:hAnsi="Times New Roman"/>
          <w:bCs/>
          <w:color w:val="000000"/>
          <w:sz w:val="24"/>
        </w:rPr>
        <w:t>石炭系上统太原组下段灰岩岩溶含水层</w:t>
      </w:r>
      <w:r>
        <w:rPr>
          <w:rFonts w:ascii="Times New Roman" w:hAnsi="Times New Roman"/>
          <w:sz w:val="24"/>
        </w:rPr>
        <w:t>的影响分析</w:t>
      </w:r>
    </w:p>
    <w:p w:rsidR="00240BCE" w:rsidRDefault="00AC0334">
      <w:pPr>
        <w:pStyle w:val="ae"/>
        <w:spacing w:line="540" w:lineRule="exact"/>
        <w:ind w:firstLineChars="200" w:firstLine="480"/>
        <w:rPr>
          <w:rFonts w:ascii="Times New Roman" w:hAnsi="Times New Roman"/>
          <w:sz w:val="24"/>
          <w:szCs w:val="24"/>
        </w:rPr>
      </w:pPr>
      <w:r>
        <w:rPr>
          <w:rFonts w:ascii="Times New Roman" w:hAnsi="Times New Roman"/>
          <w:bCs/>
          <w:color w:val="000000"/>
          <w:sz w:val="24"/>
        </w:rPr>
        <w:t>石炭系上统太原组下段灰岩岩溶含水层由太原组下段</w:t>
      </w:r>
      <w:r>
        <w:rPr>
          <w:rFonts w:ascii="Times New Roman" w:hAnsi="Times New Roman"/>
          <w:bCs/>
          <w:color w:val="000000"/>
          <w:sz w:val="24"/>
        </w:rPr>
        <w:t>L</w:t>
      </w:r>
      <w:r>
        <w:rPr>
          <w:rFonts w:ascii="Times New Roman" w:hAnsi="Times New Roman"/>
          <w:bCs/>
          <w:color w:val="000000"/>
          <w:sz w:val="24"/>
          <w:vertAlign w:val="subscript"/>
        </w:rPr>
        <w:t>1</w:t>
      </w:r>
      <w:r>
        <w:rPr>
          <w:rFonts w:ascii="Times New Roman" w:hAnsi="Times New Roman"/>
          <w:bCs/>
          <w:color w:val="000000"/>
          <w:sz w:val="24"/>
        </w:rPr>
        <w:t>～</w:t>
      </w:r>
      <w:r>
        <w:rPr>
          <w:rFonts w:ascii="Times New Roman" w:hAnsi="Times New Roman"/>
          <w:bCs/>
          <w:color w:val="000000"/>
          <w:sz w:val="24"/>
        </w:rPr>
        <w:t>L</w:t>
      </w:r>
      <w:r>
        <w:rPr>
          <w:rFonts w:ascii="Times New Roman" w:hAnsi="Times New Roman"/>
          <w:bCs/>
          <w:color w:val="000000"/>
          <w:sz w:val="24"/>
          <w:vertAlign w:val="subscript"/>
        </w:rPr>
        <w:t>4</w:t>
      </w:r>
      <w:r>
        <w:rPr>
          <w:rFonts w:ascii="Times New Roman" w:hAnsi="Times New Roman"/>
          <w:bCs/>
          <w:color w:val="000000"/>
          <w:sz w:val="24"/>
        </w:rPr>
        <w:t>灰岩组成，厚度</w:t>
      </w:r>
      <w:r>
        <w:rPr>
          <w:rFonts w:ascii="Times New Roman" w:hAnsi="Times New Roman"/>
          <w:bCs/>
          <w:color w:val="000000"/>
          <w:sz w:val="24"/>
        </w:rPr>
        <w:t>10.8m</w:t>
      </w:r>
      <w:r>
        <w:rPr>
          <w:rFonts w:ascii="Times New Roman" w:hAnsi="Times New Roman"/>
          <w:bCs/>
          <w:color w:val="000000"/>
          <w:sz w:val="24"/>
        </w:rPr>
        <w:t>。该层透水性能强，因岩溶裂隙发育的极不均一性，导致富水性很不均一，总体上富水性中等，一般情况下对开采二</w:t>
      </w:r>
      <w:r>
        <w:rPr>
          <w:rFonts w:ascii="Times New Roman" w:hAnsi="Times New Roman"/>
          <w:bCs/>
          <w:color w:val="000000"/>
          <w:sz w:val="24"/>
          <w:vertAlign w:val="subscript"/>
        </w:rPr>
        <w:t>1</w:t>
      </w:r>
      <w:r>
        <w:rPr>
          <w:rFonts w:ascii="Times New Roman" w:hAnsi="Times New Roman"/>
          <w:bCs/>
          <w:color w:val="000000"/>
          <w:sz w:val="24"/>
        </w:rPr>
        <w:t>煤影响不大，为二</w:t>
      </w:r>
      <w:r>
        <w:rPr>
          <w:rFonts w:ascii="Times New Roman" w:hAnsi="Times New Roman"/>
          <w:bCs/>
          <w:color w:val="000000"/>
          <w:sz w:val="24"/>
          <w:vertAlign w:val="subscript"/>
        </w:rPr>
        <w:t>1</w:t>
      </w:r>
      <w:r>
        <w:rPr>
          <w:rFonts w:ascii="Times New Roman" w:hAnsi="Times New Roman"/>
          <w:bCs/>
          <w:color w:val="000000"/>
          <w:sz w:val="24"/>
        </w:rPr>
        <w:t>煤层底板间接充水含水层。</w:t>
      </w:r>
    </w:p>
    <w:p w:rsidR="00240BCE" w:rsidRDefault="00AC0334">
      <w:pPr>
        <w:snapToGrid w:val="0"/>
        <w:spacing w:line="520" w:lineRule="exact"/>
        <w:ind w:firstLineChars="200" w:firstLine="480"/>
        <w:rPr>
          <w:sz w:val="24"/>
        </w:rPr>
      </w:pPr>
      <w:r>
        <w:rPr>
          <w:sz w:val="24"/>
        </w:rPr>
        <w:t>结合工程分析和水文地质条件分析，该含水层与煤层主要充水水源的太原组上段含水层之间存在太原组中段砂泥岩隔水层，该隔水层下自一</w:t>
      </w:r>
      <w:r>
        <w:rPr>
          <w:sz w:val="24"/>
          <w:vertAlign w:val="subscript"/>
        </w:rPr>
        <w:t>4</w:t>
      </w:r>
      <w:r>
        <w:rPr>
          <w:sz w:val="24"/>
        </w:rPr>
        <w:t>灰岩顶面上至</w:t>
      </w:r>
      <w:r>
        <w:rPr>
          <w:sz w:val="24"/>
        </w:rPr>
        <w:t>L</w:t>
      </w:r>
      <w:r>
        <w:rPr>
          <w:sz w:val="24"/>
          <w:vertAlign w:val="subscript"/>
        </w:rPr>
        <w:t>7</w:t>
      </w:r>
      <w:r>
        <w:rPr>
          <w:sz w:val="24"/>
        </w:rPr>
        <w:t>灰岩底面之间，平均厚度</w:t>
      </w:r>
      <w:r>
        <w:rPr>
          <w:sz w:val="24"/>
        </w:rPr>
        <w:t>14.13m</w:t>
      </w:r>
      <w:r>
        <w:rPr>
          <w:sz w:val="24"/>
        </w:rPr>
        <w:t>，</w:t>
      </w:r>
      <w:r>
        <w:rPr>
          <w:bCs/>
          <w:color w:val="000000"/>
          <w:sz w:val="24"/>
        </w:rPr>
        <w:t>该段岩性较致密，层位稳定，隔水性能较好，正常情况下可有效阻隔太原组上、下段灰岩含水层之间的水力联系</w:t>
      </w:r>
      <w:r>
        <w:rPr>
          <w:sz w:val="24"/>
        </w:rPr>
        <w:t>。因此，煤矿开采对</w:t>
      </w:r>
      <w:r>
        <w:rPr>
          <w:bCs/>
          <w:color w:val="000000"/>
          <w:sz w:val="24"/>
        </w:rPr>
        <w:t>石炭系上统太原组下段灰岩岩溶含水层</w:t>
      </w:r>
      <w:r>
        <w:rPr>
          <w:sz w:val="24"/>
        </w:rPr>
        <w:t>影响不大。</w:t>
      </w:r>
    </w:p>
    <w:p w:rsidR="00240BCE" w:rsidRDefault="00AC0334">
      <w:pPr>
        <w:pStyle w:val="ae"/>
        <w:spacing w:line="54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）对</w:t>
      </w:r>
      <w:r>
        <w:rPr>
          <w:rFonts w:ascii="Times New Roman" w:hAnsi="Times New Roman"/>
          <w:bCs/>
          <w:color w:val="000000"/>
          <w:sz w:val="24"/>
        </w:rPr>
        <w:t>寒武系上统灰岩岩溶含水层</w:t>
      </w:r>
      <w:r>
        <w:rPr>
          <w:rFonts w:ascii="Times New Roman" w:hAnsi="Times New Roman"/>
          <w:sz w:val="24"/>
        </w:rPr>
        <w:t>的影响分析</w:t>
      </w:r>
    </w:p>
    <w:p w:rsidR="00240BCE" w:rsidRDefault="00AC0334">
      <w:pPr>
        <w:spacing w:line="520" w:lineRule="exact"/>
        <w:ind w:firstLineChars="200" w:firstLine="480"/>
        <w:rPr>
          <w:bCs/>
          <w:color w:val="000000"/>
          <w:spacing w:val="4"/>
          <w:sz w:val="24"/>
        </w:rPr>
      </w:pPr>
      <w:r>
        <w:rPr>
          <w:bCs/>
          <w:color w:val="000000"/>
          <w:sz w:val="24"/>
        </w:rPr>
        <w:t>寒武系上统灰岩岩溶裂隙含水层</w:t>
      </w:r>
      <w:r>
        <w:rPr>
          <w:bCs/>
          <w:color w:val="000000"/>
          <w:spacing w:val="4"/>
          <w:sz w:val="24"/>
        </w:rPr>
        <w:t>平均厚度</w:t>
      </w:r>
      <w:r>
        <w:rPr>
          <w:bCs/>
          <w:color w:val="000000"/>
          <w:spacing w:val="4"/>
          <w:sz w:val="24"/>
        </w:rPr>
        <w:t>45m</w:t>
      </w:r>
      <w:r>
        <w:rPr>
          <w:bCs/>
          <w:color w:val="000000"/>
          <w:spacing w:val="4"/>
          <w:sz w:val="24"/>
        </w:rPr>
        <w:t>，该层厚度大，层位稳定。本矿无该含水层的抽水试验资料，据蔡寺～白沙普查区钻孔抽水试验，单位涌水量</w:t>
      </w:r>
      <w:r>
        <w:rPr>
          <w:bCs/>
          <w:color w:val="000000"/>
          <w:spacing w:val="4"/>
          <w:sz w:val="24"/>
        </w:rPr>
        <w:t>0.0196~0.059L/s·m</w:t>
      </w:r>
      <w:r>
        <w:rPr>
          <w:bCs/>
          <w:color w:val="000000"/>
          <w:spacing w:val="4"/>
          <w:sz w:val="24"/>
        </w:rPr>
        <w:t>，渗透系数</w:t>
      </w:r>
      <w:r>
        <w:rPr>
          <w:bCs/>
          <w:color w:val="000000"/>
          <w:spacing w:val="4"/>
          <w:sz w:val="24"/>
        </w:rPr>
        <w:t>0.00075~3.104m/d</w:t>
      </w:r>
      <w:r>
        <w:rPr>
          <w:bCs/>
          <w:color w:val="000000"/>
          <w:spacing w:val="4"/>
          <w:sz w:val="24"/>
        </w:rPr>
        <w:t>。地下水类型为</w:t>
      </w:r>
      <w:r>
        <w:rPr>
          <w:bCs/>
          <w:color w:val="000000"/>
          <w:spacing w:val="4"/>
          <w:sz w:val="24"/>
        </w:rPr>
        <w:t>HCO</w:t>
      </w:r>
      <w:r>
        <w:rPr>
          <w:bCs/>
          <w:color w:val="000000"/>
          <w:spacing w:val="4"/>
          <w:sz w:val="24"/>
          <w:vertAlign w:val="subscript"/>
        </w:rPr>
        <w:t>3</w:t>
      </w:r>
      <w:r>
        <w:rPr>
          <w:bCs/>
          <w:color w:val="000000"/>
          <w:spacing w:val="4"/>
          <w:sz w:val="24"/>
        </w:rPr>
        <w:t>-Ca</w:t>
      </w:r>
      <w:r>
        <w:rPr>
          <w:bCs/>
          <w:color w:val="000000"/>
          <w:spacing w:val="4"/>
          <w:sz w:val="24"/>
        </w:rPr>
        <w:t>和</w:t>
      </w:r>
      <w:r>
        <w:rPr>
          <w:bCs/>
          <w:color w:val="000000"/>
          <w:spacing w:val="4"/>
          <w:sz w:val="24"/>
        </w:rPr>
        <w:t>HCO</w:t>
      </w:r>
      <w:r>
        <w:rPr>
          <w:bCs/>
          <w:color w:val="000000"/>
          <w:spacing w:val="4"/>
          <w:sz w:val="24"/>
          <w:vertAlign w:val="subscript"/>
        </w:rPr>
        <w:t>3</w:t>
      </w:r>
      <w:r>
        <w:rPr>
          <w:bCs/>
          <w:color w:val="000000"/>
          <w:spacing w:val="4"/>
          <w:sz w:val="24"/>
        </w:rPr>
        <w:t>-Mg</w:t>
      </w:r>
      <w:r>
        <w:rPr>
          <w:bCs/>
          <w:color w:val="000000"/>
          <w:spacing w:val="4"/>
          <w:sz w:val="24"/>
        </w:rPr>
        <w:t>型。</w:t>
      </w:r>
    </w:p>
    <w:p w:rsidR="00240BCE" w:rsidRDefault="00AC0334">
      <w:pPr>
        <w:pStyle w:val="ae"/>
        <w:spacing w:line="540" w:lineRule="exact"/>
        <w:ind w:firstLineChars="200" w:firstLine="480"/>
        <w:rPr>
          <w:rFonts w:ascii="Times New Roman" w:hAnsi="Times New Roman"/>
          <w:sz w:val="24"/>
        </w:rPr>
      </w:pPr>
      <w:r>
        <w:rPr>
          <w:rFonts w:ascii="Times New Roman" w:hAnsi="Times New Roman"/>
          <w:sz w:val="24"/>
        </w:rPr>
        <w:t>由于</w:t>
      </w:r>
      <w:r>
        <w:rPr>
          <w:rFonts w:ascii="Times New Roman" w:hAnsi="Times New Roman"/>
          <w:sz w:val="24"/>
          <w:szCs w:val="24"/>
        </w:rPr>
        <w:t>太原组中段碎屑岩段隔水层</w:t>
      </w:r>
      <w:r>
        <w:rPr>
          <w:rFonts w:ascii="Times New Roman" w:hAnsi="Times New Roman"/>
          <w:sz w:val="24"/>
        </w:rPr>
        <w:t>和</w:t>
      </w:r>
      <w:r>
        <w:rPr>
          <w:rFonts w:ascii="Times New Roman" w:hAnsi="Times New Roman"/>
          <w:bCs/>
          <w:color w:val="000000"/>
          <w:sz w:val="24"/>
        </w:rPr>
        <w:t>本溪组泥岩、铝质岩隔水层</w:t>
      </w:r>
      <w:r>
        <w:rPr>
          <w:rFonts w:ascii="Times New Roman" w:hAnsi="Times New Roman"/>
          <w:sz w:val="24"/>
        </w:rPr>
        <w:t>的存在，</w:t>
      </w:r>
      <w:r>
        <w:rPr>
          <w:rFonts w:ascii="Times New Roman" w:hAnsi="Times New Roman"/>
          <w:bCs/>
          <w:color w:val="000000"/>
          <w:spacing w:val="4"/>
          <w:sz w:val="24"/>
        </w:rPr>
        <w:t>能够阻</w:t>
      </w:r>
      <w:r>
        <w:rPr>
          <w:rFonts w:ascii="Times New Roman" w:hAnsi="Times New Roman"/>
          <w:bCs/>
          <w:color w:val="000000"/>
          <w:spacing w:val="4"/>
          <w:sz w:val="24"/>
        </w:rPr>
        <w:lastRenderedPageBreak/>
        <w:t>隔上部太原组灰岩含水层和下部寒武系灰岩含水层之间的水力联系</w:t>
      </w:r>
      <w:r>
        <w:rPr>
          <w:rFonts w:ascii="Times New Roman" w:hAnsi="Times New Roman"/>
          <w:sz w:val="24"/>
        </w:rPr>
        <w:t>，因此，煤矿开采对</w:t>
      </w:r>
      <w:r>
        <w:rPr>
          <w:rFonts w:ascii="Times New Roman" w:hAnsi="Times New Roman"/>
          <w:bCs/>
          <w:color w:val="000000"/>
          <w:sz w:val="24"/>
          <w:szCs w:val="24"/>
        </w:rPr>
        <w:t>寒武系灰岩岩溶裂隙含水层</w:t>
      </w:r>
      <w:r>
        <w:rPr>
          <w:rFonts w:ascii="Times New Roman" w:hAnsi="Times New Roman"/>
          <w:sz w:val="24"/>
        </w:rPr>
        <w:t>的影响不大。</w:t>
      </w:r>
    </w:p>
    <w:p w:rsidR="00240BCE" w:rsidRDefault="00AC0334">
      <w:pPr>
        <w:pStyle w:val="ae"/>
        <w:spacing w:line="540" w:lineRule="exact"/>
        <w:ind w:firstLineChars="200" w:firstLine="480"/>
        <w:rPr>
          <w:rFonts w:ascii="Times New Roman" w:hAnsi="Times New Roman"/>
          <w:sz w:val="24"/>
        </w:rPr>
      </w:pPr>
      <w:r>
        <w:rPr>
          <w:rFonts w:ascii="Times New Roman" w:hAnsi="Times New Roman"/>
          <w:sz w:val="24"/>
        </w:rPr>
        <w:t>考虑到地下水系统的复杂性及岩溶裂隙发育的不均匀性，建设单位应遵循</w:t>
      </w:r>
      <w:r>
        <w:rPr>
          <w:rFonts w:ascii="Times New Roman" w:hAnsi="Times New Roman"/>
          <w:sz w:val="24"/>
        </w:rPr>
        <w:t>“</w:t>
      </w:r>
      <w:r>
        <w:rPr>
          <w:rFonts w:ascii="Times New Roman" w:hAnsi="Times New Roman"/>
          <w:sz w:val="24"/>
        </w:rPr>
        <w:t>预测预报、有疑必探、先探后掘、先治后采</w:t>
      </w:r>
      <w:r>
        <w:rPr>
          <w:rFonts w:ascii="Times New Roman" w:hAnsi="Times New Roman"/>
          <w:sz w:val="24"/>
        </w:rPr>
        <w:t>”</w:t>
      </w:r>
      <w:r>
        <w:rPr>
          <w:rFonts w:ascii="Times New Roman" w:hAnsi="Times New Roman"/>
          <w:sz w:val="24"/>
        </w:rPr>
        <w:t>的原则，采取防、堵、疏、排、截的综合治理措施，减轻对各含水层的影响。同时应加强当地尤其是民用水井的水位监测，通过对地下水位的动态监测，分析井田开采对地下水环境关心点的影响，如影响到居民用水，应由矿方负责解决当地居民饮用水问题，并采取相应的工程防治措施。</w:t>
      </w:r>
    </w:p>
    <w:p w:rsidR="00240BCE" w:rsidRDefault="00AC0334">
      <w:pPr>
        <w:pStyle w:val="ae"/>
        <w:spacing w:line="540" w:lineRule="exact"/>
        <w:ind w:firstLineChars="200" w:firstLine="480"/>
        <w:rPr>
          <w:rFonts w:ascii="Times New Roman" w:hAnsi="Times New Roman"/>
          <w:sz w:val="24"/>
          <w:szCs w:val="24"/>
        </w:rPr>
      </w:pPr>
      <w:r>
        <w:rPr>
          <w:rFonts w:ascii="Times New Roman" w:hAnsi="Times New Roman"/>
          <w:sz w:val="24"/>
          <w:szCs w:val="24"/>
        </w:rPr>
        <w:t>煤矿开采结束后，不再疏排地下水，随着地下水不断补给，各含水层影响会得到逐渐恢复。</w:t>
      </w:r>
    </w:p>
    <w:p w:rsidR="00240BCE" w:rsidRDefault="00AC0334">
      <w:pPr>
        <w:pStyle w:val="ae"/>
        <w:spacing w:line="540" w:lineRule="exact"/>
        <w:rPr>
          <w:rFonts w:ascii="Times New Roman" w:hAnsi="Times New Roman"/>
          <w:sz w:val="24"/>
          <w:szCs w:val="24"/>
        </w:rPr>
      </w:pPr>
      <w:r>
        <w:rPr>
          <w:rFonts w:ascii="Times New Roman" w:hAnsi="Times New Roman"/>
          <w:sz w:val="24"/>
          <w:szCs w:val="24"/>
        </w:rPr>
        <w:t>6.3.</w:t>
      </w:r>
      <w:r w:rsidR="007F466F">
        <w:rPr>
          <w:rFonts w:ascii="Times New Roman" w:hAnsi="Times New Roman" w:hint="eastAsia"/>
          <w:sz w:val="24"/>
          <w:szCs w:val="24"/>
        </w:rPr>
        <w:t>5</w:t>
      </w:r>
      <w:r>
        <w:rPr>
          <w:rFonts w:ascii="Times New Roman" w:hAnsi="Times New Roman"/>
          <w:sz w:val="24"/>
          <w:szCs w:val="24"/>
        </w:rPr>
        <w:t xml:space="preserve">.3 </w:t>
      </w:r>
      <w:r>
        <w:rPr>
          <w:rFonts w:ascii="Times New Roman" w:hAnsi="Times New Roman"/>
          <w:sz w:val="24"/>
          <w:szCs w:val="24"/>
        </w:rPr>
        <w:t>煤炭开采对居民地下饮用水源的影响分析</w:t>
      </w:r>
    </w:p>
    <w:p w:rsidR="00240BCE" w:rsidRDefault="00AC0334">
      <w:pPr>
        <w:pStyle w:val="ae"/>
        <w:spacing w:line="540" w:lineRule="exact"/>
        <w:ind w:firstLineChars="200" w:firstLine="480"/>
        <w:rPr>
          <w:rFonts w:ascii="Times New Roman" w:hAnsi="Times New Roman"/>
          <w:sz w:val="24"/>
        </w:rPr>
      </w:pPr>
      <w:r>
        <w:rPr>
          <w:rFonts w:ascii="Times New Roman" w:hAnsi="Times New Roman"/>
          <w:sz w:val="24"/>
          <w:szCs w:val="24"/>
        </w:rPr>
        <w:t>根据调查，井田范围内及周边村庄共有</w:t>
      </w:r>
      <w:r>
        <w:rPr>
          <w:rFonts w:ascii="Times New Roman" w:hAnsi="Times New Roman"/>
          <w:sz w:val="24"/>
          <w:szCs w:val="24"/>
        </w:rPr>
        <w:t>5</w:t>
      </w:r>
      <w:r>
        <w:rPr>
          <w:rFonts w:ascii="Times New Roman" w:hAnsi="Times New Roman"/>
          <w:sz w:val="24"/>
          <w:szCs w:val="24"/>
        </w:rPr>
        <w:t>口深水井供周边村民用水，民用水井井深在</w:t>
      </w:r>
      <w:r>
        <w:rPr>
          <w:rFonts w:ascii="Times New Roman" w:hAnsi="Times New Roman"/>
          <w:sz w:val="24"/>
          <w:szCs w:val="24"/>
        </w:rPr>
        <w:t>300</w:t>
      </w:r>
      <w:r>
        <w:rPr>
          <w:rFonts w:ascii="Times New Roman" w:hAnsi="Times New Roman"/>
          <w:sz w:val="24"/>
          <w:szCs w:val="24"/>
        </w:rPr>
        <w:t>～</w:t>
      </w:r>
      <w:r>
        <w:rPr>
          <w:rFonts w:ascii="Times New Roman" w:hAnsi="Times New Roman"/>
          <w:sz w:val="24"/>
          <w:szCs w:val="24"/>
        </w:rPr>
        <w:t>370m</w:t>
      </w:r>
      <w:r>
        <w:rPr>
          <w:rFonts w:ascii="Times New Roman" w:hAnsi="Times New Roman"/>
          <w:sz w:val="24"/>
          <w:szCs w:val="24"/>
        </w:rPr>
        <w:t>之间，其取水层位主要来源于</w:t>
      </w:r>
      <w:r>
        <w:rPr>
          <w:rFonts w:ascii="Times New Roman" w:hAnsi="Times New Roman"/>
          <w:bCs/>
          <w:color w:val="000000"/>
          <w:sz w:val="24"/>
          <w:szCs w:val="24"/>
        </w:rPr>
        <w:t>寒武系上统灰岩岩溶含水层</w:t>
      </w:r>
      <w:r>
        <w:rPr>
          <w:rFonts w:ascii="Times New Roman" w:hAnsi="Times New Roman"/>
          <w:sz w:val="24"/>
        </w:rPr>
        <w:t>，具体见表</w:t>
      </w:r>
      <w:r>
        <w:rPr>
          <w:rFonts w:ascii="Times New Roman" w:hAnsi="Times New Roman"/>
          <w:sz w:val="24"/>
        </w:rPr>
        <w:t>6.3-</w:t>
      </w:r>
      <w:r w:rsidR="00705836">
        <w:rPr>
          <w:rFonts w:ascii="Times New Roman" w:hAnsi="Times New Roman" w:hint="eastAsia"/>
          <w:sz w:val="24"/>
        </w:rPr>
        <w:t>8</w:t>
      </w:r>
      <w:r>
        <w:rPr>
          <w:rFonts w:ascii="Times New Roman" w:hAnsi="Times New Roman"/>
          <w:sz w:val="24"/>
        </w:rPr>
        <w:t>。</w:t>
      </w:r>
    </w:p>
    <w:p w:rsidR="00240BCE" w:rsidRDefault="00AC0334">
      <w:pPr>
        <w:pStyle w:val="ae"/>
        <w:spacing w:line="540" w:lineRule="exact"/>
        <w:ind w:firstLineChars="200" w:firstLine="480"/>
        <w:jc w:val="center"/>
        <w:rPr>
          <w:rFonts w:ascii="Times New Roman" w:eastAsia="黑体" w:hAnsi="Times New Roman"/>
          <w:sz w:val="24"/>
        </w:rPr>
      </w:pPr>
      <w:r>
        <w:rPr>
          <w:rFonts w:ascii="Times New Roman" w:eastAsia="黑体" w:hAnsi="Times New Roman"/>
          <w:sz w:val="24"/>
        </w:rPr>
        <w:t>表</w:t>
      </w:r>
      <w:r>
        <w:rPr>
          <w:rFonts w:ascii="Times New Roman" w:eastAsia="黑体" w:hAnsi="Times New Roman"/>
          <w:sz w:val="24"/>
        </w:rPr>
        <w:t>6.3-</w:t>
      </w:r>
      <w:r w:rsidR="00705836">
        <w:rPr>
          <w:rFonts w:ascii="Times New Roman" w:eastAsia="黑体" w:hAnsi="Times New Roman" w:hint="eastAsia"/>
          <w:sz w:val="24"/>
        </w:rPr>
        <w:t>8</w:t>
      </w:r>
      <w:r>
        <w:rPr>
          <w:rFonts w:ascii="Times New Roman" w:eastAsia="黑体" w:hAnsi="Times New Roman"/>
          <w:sz w:val="24"/>
        </w:rPr>
        <w:t xml:space="preserve">  </w:t>
      </w:r>
      <w:r>
        <w:rPr>
          <w:rFonts w:ascii="Times New Roman" w:eastAsia="黑体" w:hAnsi="Times New Roman"/>
          <w:sz w:val="24"/>
        </w:rPr>
        <w:t>矿区内民用水井调查情况及影响一览表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81"/>
        <w:gridCol w:w="851"/>
        <w:gridCol w:w="992"/>
        <w:gridCol w:w="3685"/>
        <w:gridCol w:w="1931"/>
      </w:tblGrid>
      <w:tr w:rsidR="00240BCE">
        <w:trPr>
          <w:trHeight w:val="690"/>
        </w:trPr>
        <w:tc>
          <w:tcPr>
            <w:tcW w:w="1281" w:type="dxa"/>
            <w:vAlign w:val="center"/>
          </w:tcPr>
          <w:p w:rsidR="00240BCE" w:rsidRDefault="00AC0334">
            <w:pPr>
              <w:pStyle w:val="ae"/>
              <w:spacing w:line="340" w:lineRule="exact"/>
              <w:jc w:val="center"/>
              <w:rPr>
                <w:rFonts w:ascii="Times New Roman" w:hAnsi="Times New Roman"/>
                <w:sz w:val="21"/>
                <w:szCs w:val="21"/>
              </w:rPr>
            </w:pPr>
            <w:r>
              <w:rPr>
                <w:rFonts w:ascii="Times New Roman" w:hAnsi="Times New Roman"/>
                <w:sz w:val="21"/>
                <w:szCs w:val="21"/>
              </w:rPr>
              <w:t>位置</w:t>
            </w:r>
          </w:p>
        </w:tc>
        <w:tc>
          <w:tcPr>
            <w:tcW w:w="851" w:type="dxa"/>
            <w:vAlign w:val="center"/>
          </w:tcPr>
          <w:p w:rsidR="00240BCE" w:rsidRDefault="00AC0334">
            <w:pPr>
              <w:widowControl/>
              <w:spacing w:line="340" w:lineRule="exact"/>
              <w:jc w:val="center"/>
              <w:rPr>
                <w:kern w:val="0"/>
                <w:sz w:val="21"/>
                <w:szCs w:val="21"/>
              </w:rPr>
            </w:pPr>
            <w:r>
              <w:rPr>
                <w:kern w:val="0"/>
                <w:sz w:val="21"/>
                <w:szCs w:val="21"/>
              </w:rPr>
              <w:t>井深（</w:t>
            </w:r>
            <w:r>
              <w:rPr>
                <w:kern w:val="0"/>
                <w:sz w:val="21"/>
                <w:szCs w:val="21"/>
              </w:rPr>
              <w:t>m</w:t>
            </w:r>
            <w:r>
              <w:rPr>
                <w:kern w:val="0"/>
                <w:sz w:val="21"/>
                <w:szCs w:val="21"/>
              </w:rPr>
              <w:t>）</w:t>
            </w:r>
          </w:p>
        </w:tc>
        <w:tc>
          <w:tcPr>
            <w:tcW w:w="992" w:type="dxa"/>
            <w:vAlign w:val="center"/>
          </w:tcPr>
          <w:p w:rsidR="00240BCE" w:rsidRDefault="00AC0334">
            <w:pPr>
              <w:widowControl/>
              <w:spacing w:line="340" w:lineRule="exact"/>
              <w:jc w:val="center"/>
              <w:rPr>
                <w:kern w:val="0"/>
                <w:sz w:val="21"/>
                <w:szCs w:val="21"/>
              </w:rPr>
            </w:pPr>
            <w:r>
              <w:rPr>
                <w:kern w:val="0"/>
                <w:sz w:val="21"/>
                <w:szCs w:val="21"/>
              </w:rPr>
              <w:t>用途</w:t>
            </w:r>
          </w:p>
        </w:tc>
        <w:tc>
          <w:tcPr>
            <w:tcW w:w="3685" w:type="dxa"/>
            <w:vAlign w:val="center"/>
          </w:tcPr>
          <w:p w:rsidR="00240BCE" w:rsidRDefault="00AC0334">
            <w:pPr>
              <w:widowControl/>
              <w:spacing w:line="340" w:lineRule="exact"/>
              <w:jc w:val="center"/>
              <w:rPr>
                <w:kern w:val="0"/>
                <w:sz w:val="21"/>
                <w:szCs w:val="21"/>
              </w:rPr>
            </w:pPr>
            <w:r>
              <w:rPr>
                <w:kern w:val="0"/>
                <w:sz w:val="21"/>
                <w:szCs w:val="21"/>
              </w:rPr>
              <w:t>水源层位</w:t>
            </w:r>
          </w:p>
        </w:tc>
        <w:tc>
          <w:tcPr>
            <w:tcW w:w="1931" w:type="dxa"/>
            <w:vAlign w:val="center"/>
          </w:tcPr>
          <w:p w:rsidR="00240BCE" w:rsidRDefault="00AC0334">
            <w:pPr>
              <w:widowControl/>
              <w:spacing w:line="340" w:lineRule="exact"/>
              <w:jc w:val="center"/>
              <w:rPr>
                <w:kern w:val="0"/>
                <w:sz w:val="21"/>
                <w:szCs w:val="21"/>
              </w:rPr>
            </w:pPr>
            <w:r>
              <w:rPr>
                <w:kern w:val="0"/>
                <w:sz w:val="21"/>
                <w:szCs w:val="21"/>
              </w:rPr>
              <w:t>与采区边界方位、距离（</w:t>
            </w:r>
            <w:r>
              <w:rPr>
                <w:kern w:val="0"/>
                <w:sz w:val="21"/>
                <w:szCs w:val="21"/>
              </w:rPr>
              <w:t>m</w:t>
            </w:r>
            <w:r>
              <w:rPr>
                <w:kern w:val="0"/>
                <w:sz w:val="21"/>
                <w:szCs w:val="21"/>
              </w:rPr>
              <w:t>）</w:t>
            </w:r>
          </w:p>
        </w:tc>
      </w:tr>
      <w:tr w:rsidR="00240BCE">
        <w:tc>
          <w:tcPr>
            <w:tcW w:w="1281" w:type="dxa"/>
            <w:vAlign w:val="center"/>
          </w:tcPr>
          <w:p w:rsidR="00240BCE" w:rsidRDefault="00AC0334">
            <w:pPr>
              <w:adjustRightInd w:val="0"/>
              <w:snapToGrid w:val="0"/>
              <w:spacing w:line="340" w:lineRule="exact"/>
              <w:jc w:val="center"/>
              <w:rPr>
                <w:sz w:val="21"/>
                <w:szCs w:val="21"/>
              </w:rPr>
            </w:pPr>
            <w:r>
              <w:rPr>
                <w:color w:val="000000"/>
                <w:kern w:val="0"/>
                <w:sz w:val="21"/>
                <w:szCs w:val="21"/>
              </w:rPr>
              <w:t>赵沟村</w:t>
            </w:r>
          </w:p>
        </w:tc>
        <w:tc>
          <w:tcPr>
            <w:tcW w:w="851" w:type="dxa"/>
            <w:vAlign w:val="center"/>
          </w:tcPr>
          <w:p w:rsidR="00240BCE" w:rsidRDefault="00AC0334">
            <w:pPr>
              <w:jc w:val="center"/>
              <w:rPr>
                <w:sz w:val="21"/>
                <w:szCs w:val="21"/>
              </w:rPr>
            </w:pPr>
            <w:r>
              <w:rPr>
                <w:sz w:val="21"/>
                <w:szCs w:val="21"/>
              </w:rPr>
              <w:t>390</w:t>
            </w:r>
          </w:p>
        </w:tc>
        <w:tc>
          <w:tcPr>
            <w:tcW w:w="992" w:type="dxa"/>
            <w:vAlign w:val="center"/>
          </w:tcPr>
          <w:p w:rsidR="00240BCE" w:rsidRDefault="00AC0334">
            <w:pPr>
              <w:pStyle w:val="ae"/>
              <w:spacing w:line="340" w:lineRule="exact"/>
              <w:jc w:val="center"/>
              <w:rPr>
                <w:rFonts w:ascii="Times New Roman" w:hAnsi="Times New Roman"/>
                <w:sz w:val="21"/>
                <w:szCs w:val="21"/>
              </w:rPr>
            </w:pPr>
            <w:r>
              <w:rPr>
                <w:rFonts w:ascii="Times New Roman" w:hAnsi="Times New Roman"/>
                <w:sz w:val="21"/>
                <w:szCs w:val="21"/>
              </w:rPr>
              <w:t>饮用</w:t>
            </w:r>
          </w:p>
        </w:tc>
        <w:tc>
          <w:tcPr>
            <w:tcW w:w="3685" w:type="dxa"/>
            <w:vAlign w:val="center"/>
          </w:tcPr>
          <w:p w:rsidR="00240BCE" w:rsidRDefault="00AC0334">
            <w:pPr>
              <w:pStyle w:val="ae"/>
              <w:spacing w:line="340" w:lineRule="exact"/>
              <w:jc w:val="center"/>
              <w:rPr>
                <w:rFonts w:ascii="Times New Roman" w:hAnsi="Times New Roman"/>
                <w:sz w:val="21"/>
                <w:szCs w:val="21"/>
              </w:rPr>
            </w:pPr>
            <w:r>
              <w:rPr>
                <w:rFonts w:ascii="Times New Roman" w:hAnsi="Times New Roman"/>
                <w:bCs/>
                <w:color w:val="000000"/>
                <w:sz w:val="21"/>
                <w:szCs w:val="21"/>
              </w:rPr>
              <w:t>寒武系上统灰岩岩溶含水层</w:t>
            </w:r>
          </w:p>
        </w:tc>
        <w:tc>
          <w:tcPr>
            <w:tcW w:w="1931" w:type="dxa"/>
            <w:vAlign w:val="center"/>
          </w:tcPr>
          <w:p w:rsidR="00240BCE" w:rsidRDefault="00AC0334">
            <w:pPr>
              <w:pStyle w:val="ae"/>
              <w:spacing w:line="340" w:lineRule="exact"/>
              <w:jc w:val="center"/>
              <w:rPr>
                <w:rFonts w:ascii="Times New Roman" w:hAnsi="Times New Roman"/>
                <w:sz w:val="21"/>
                <w:szCs w:val="21"/>
              </w:rPr>
            </w:pPr>
            <w:r>
              <w:rPr>
                <w:rFonts w:ascii="Times New Roman" w:hAnsi="Times New Roman"/>
                <w:sz w:val="21"/>
                <w:szCs w:val="21"/>
              </w:rPr>
              <w:t>西</w:t>
            </w:r>
            <w:r>
              <w:rPr>
                <w:rFonts w:ascii="Times New Roman" w:hAnsi="Times New Roman"/>
                <w:sz w:val="21"/>
                <w:szCs w:val="21"/>
              </w:rPr>
              <w:t>530m</w:t>
            </w:r>
          </w:p>
        </w:tc>
      </w:tr>
      <w:tr w:rsidR="00240BCE">
        <w:tc>
          <w:tcPr>
            <w:tcW w:w="1281" w:type="dxa"/>
            <w:vAlign w:val="center"/>
          </w:tcPr>
          <w:p w:rsidR="00240BCE" w:rsidRDefault="00AC0334">
            <w:pPr>
              <w:adjustRightInd w:val="0"/>
              <w:snapToGrid w:val="0"/>
              <w:spacing w:line="340" w:lineRule="exact"/>
              <w:jc w:val="center"/>
              <w:rPr>
                <w:sz w:val="21"/>
                <w:szCs w:val="21"/>
              </w:rPr>
            </w:pPr>
            <w:r>
              <w:rPr>
                <w:color w:val="000000"/>
                <w:kern w:val="0"/>
                <w:sz w:val="21"/>
                <w:szCs w:val="21"/>
              </w:rPr>
              <w:t>楼院村</w:t>
            </w:r>
          </w:p>
        </w:tc>
        <w:tc>
          <w:tcPr>
            <w:tcW w:w="851" w:type="dxa"/>
            <w:vAlign w:val="center"/>
          </w:tcPr>
          <w:p w:rsidR="00240BCE" w:rsidRDefault="00AC0334">
            <w:pPr>
              <w:jc w:val="center"/>
              <w:rPr>
                <w:sz w:val="21"/>
                <w:szCs w:val="21"/>
              </w:rPr>
            </w:pPr>
            <w:r>
              <w:rPr>
                <w:sz w:val="21"/>
                <w:szCs w:val="21"/>
              </w:rPr>
              <w:t>390</w:t>
            </w:r>
          </w:p>
        </w:tc>
        <w:tc>
          <w:tcPr>
            <w:tcW w:w="992" w:type="dxa"/>
            <w:vAlign w:val="center"/>
          </w:tcPr>
          <w:p w:rsidR="00240BCE" w:rsidRDefault="00AC0334">
            <w:pPr>
              <w:widowControl/>
              <w:spacing w:line="340" w:lineRule="exact"/>
              <w:jc w:val="center"/>
              <w:rPr>
                <w:kern w:val="0"/>
                <w:sz w:val="21"/>
                <w:szCs w:val="21"/>
              </w:rPr>
            </w:pPr>
            <w:r>
              <w:rPr>
                <w:kern w:val="0"/>
                <w:sz w:val="21"/>
                <w:szCs w:val="21"/>
              </w:rPr>
              <w:t>饮用</w:t>
            </w:r>
          </w:p>
        </w:tc>
        <w:tc>
          <w:tcPr>
            <w:tcW w:w="3685" w:type="dxa"/>
            <w:vAlign w:val="center"/>
          </w:tcPr>
          <w:p w:rsidR="00240BCE" w:rsidRDefault="00AC0334">
            <w:pPr>
              <w:widowControl/>
              <w:spacing w:line="340" w:lineRule="exact"/>
              <w:jc w:val="center"/>
              <w:rPr>
                <w:kern w:val="0"/>
                <w:sz w:val="21"/>
                <w:szCs w:val="21"/>
              </w:rPr>
            </w:pPr>
            <w:r>
              <w:rPr>
                <w:bCs/>
                <w:color w:val="000000"/>
                <w:sz w:val="21"/>
                <w:szCs w:val="21"/>
              </w:rPr>
              <w:t>寒武系上统灰岩岩溶含水层</w:t>
            </w:r>
          </w:p>
        </w:tc>
        <w:tc>
          <w:tcPr>
            <w:tcW w:w="1931" w:type="dxa"/>
            <w:vAlign w:val="center"/>
          </w:tcPr>
          <w:p w:rsidR="00240BCE" w:rsidRDefault="00AC0334">
            <w:pPr>
              <w:widowControl/>
              <w:spacing w:line="340" w:lineRule="exact"/>
              <w:jc w:val="center"/>
              <w:rPr>
                <w:kern w:val="0"/>
                <w:sz w:val="21"/>
                <w:szCs w:val="21"/>
              </w:rPr>
            </w:pPr>
            <w:r>
              <w:rPr>
                <w:kern w:val="0"/>
                <w:sz w:val="21"/>
                <w:szCs w:val="21"/>
              </w:rPr>
              <w:t>矿区范围内</w:t>
            </w:r>
          </w:p>
        </w:tc>
      </w:tr>
      <w:tr w:rsidR="00240BCE">
        <w:tc>
          <w:tcPr>
            <w:tcW w:w="1281" w:type="dxa"/>
            <w:vAlign w:val="center"/>
          </w:tcPr>
          <w:p w:rsidR="00240BCE" w:rsidRDefault="00AC0334">
            <w:pPr>
              <w:adjustRightInd w:val="0"/>
              <w:snapToGrid w:val="0"/>
              <w:spacing w:line="340" w:lineRule="exact"/>
              <w:jc w:val="center"/>
              <w:rPr>
                <w:color w:val="000000"/>
                <w:sz w:val="21"/>
                <w:szCs w:val="21"/>
              </w:rPr>
            </w:pPr>
            <w:r>
              <w:rPr>
                <w:color w:val="000000"/>
                <w:kern w:val="0"/>
                <w:sz w:val="21"/>
                <w:szCs w:val="21"/>
              </w:rPr>
              <w:t>连庄村</w:t>
            </w:r>
          </w:p>
        </w:tc>
        <w:tc>
          <w:tcPr>
            <w:tcW w:w="851" w:type="dxa"/>
            <w:vAlign w:val="center"/>
          </w:tcPr>
          <w:p w:rsidR="00240BCE" w:rsidRDefault="00AC0334">
            <w:pPr>
              <w:jc w:val="center"/>
              <w:rPr>
                <w:sz w:val="21"/>
                <w:szCs w:val="21"/>
              </w:rPr>
            </w:pPr>
            <w:r>
              <w:rPr>
                <w:sz w:val="21"/>
                <w:szCs w:val="21"/>
              </w:rPr>
              <w:t>400</w:t>
            </w:r>
          </w:p>
        </w:tc>
        <w:tc>
          <w:tcPr>
            <w:tcW w:w="992" w:type="dxa"/>
            <w:vAlign w:val="center"/>
          </w:tcPr>
          <w:p w:rsidR="00240BCE" w:rsidRDefault="00AC0334">
            <w:pPr>
              <w:widowControl/>
              <w:spacing w:line="340" w:lineRule="exact"/>
              <w:jc w:val="center"/>
              <w:rPr>
                <w:kern w:val="0"/>
                <w:sz w:val="21"/>
                <w:szCs w:val="21"/>
              </w:rPr>
            </w:pPr>
            <w:r>
              <w:rPr>
                <w:kern w:val="0"/>
                <w:sz w:val="21"/>
                <w:szCs w:val="21"/>
              </w:rPr>
              <w:t>饮用</w:t>
            </w:r>
          </w:p>
        </w:tc>
        <w:tc>
          <w:tcPr>
            <w:tcW w:w="3685" w:type="dxa"/>
            <w:vAlign w:val="center"/>
          </w:tcPr>
          <w:p w:rsidR="00240BCE" w:rsidRDefault="00AC0334">
            <w:pPr>
              <w:widowControl/>
              <w:spacing w:line="340" w:lineRule="exact"/>
              <w:jc w:val="center"/>
              <w:rPr>
                <w:kern w:val="0"/>
                <w:sz w:val="21"/>
                <w:szCs w:val="21"/>
              </w:rPr>
            </w:pPr>
            <w:r>
              <w:rPr>
                <w:bCs/>
                <w:color w:val="000000"/>
                <w:sz w:val="21"/>
                <w:szCs w:val="21"/>
              </w:rPr>
              <w:t>寒武系上统灰岩岩溶含水层</w:t>
            </w:r>
          </w:p>
        </w:tc>
        <w:tc>
          <w:tcPr>
            <w:tcW w:w="1931" w:type="dxa"/>
            <w:vAlign w:val="center"/>
          </w:tcPr>
          <w:p w:rsidR="00240BCE" w:rsidRDefault="00AC0334">
            <w:pPr>
              <w:widowControl/>
              <w:spacing w:line="340" w:lineRule="exact"/>
              <w:jc w:val="center"/>
              <w:rPr>
                <w:kern w:val="0"/>
                <w:sz w:val="21"/>
                <w:szCs w:val="21"/>
              </w:rPr>
            </w:pPr>
            <w:r>
              <w:rPr>
                <w:kern w:val="0"/>
                <w:sz w:val="21"/>
                <w:szCs w:val="21"/>
              </w:rPr>
              <w:t>矿区范围内</w:t>
            </w:r>
          </w:p>
        </w:tc>
      </w:tr>
      <w:tr w:rsidR="00240BCE">
        <w:tc>
          <w:tcPr>
            <w:tcW w:w="1281" w:type="dxa"/>
            <w:vAlign w:val="center"/>
          </w:tcPr>
          <w:p w:rsidR="00240BCE" w:rsidRDefault="00AC0334">
            <w:pPr>
              <w:adjustRightInd w:val="0"/>
              <w:snapToGrid w:val="0"/>
              <w:spacing w:line="340" w:lineRule="exact"/>
              <w:jc w:val="center"/>
              <w:rPr>
                <w:color w:val="000000"/>
                <w:sz w:val="21"/>
                <w:szCs w:val="21"/>
              </w:rPr>
            </w:pPr>
            <w:r>
              <w:rPr>
                <w:color w:val="000000"/>
                <w:kern w:val="0"/>
                <w:sz w:val="21"/>
                <w:szCs w:val="21"/>
              </w:rPr>
              <w:t>官庄窑村</w:t>
            </w:r>
          </w:p>
        </w:tc>
        <w:tc>
          <w:tcPr>
            <w:tcW w:w="851" w:type="dxa"/>
            <w:vAlign w:val="center"/>
          </w:tcPr>
          <w:p w:rsidR="00240BCE" w:rsidRDefault="00AC0334">
            <w:pPr>
              <w:jc w:val="center"/>
              <w:rPr>
                <w:sz w:val="21"/>
                <w:szCs w:val="21"/>
              </w:rPr>
            </w:pPr>
            <w:r>
              <w:rPr>
                <w:sz w:val="21"/>
                <w:szCs w:val="21"/>
              </w:rPr>
              <w:t>395</w:t>
            </w:r>
          </w:p>
        </w:tc>
        <w:tc>
          <w:tcPr>
            <w:tcW w:w="992" w:type="dxa"/>
            <w:vAlign w:val="center"/>
          </w:tcPr>
          <w:p w:rsidR="00240BCE" w:rsidRDefault="00AC0334">
            <w:pPr>
              <w:widowControl/>
              <w:spacing w:line="340" w:lineRule="exact"/>
              <w:jc w:val="center"/>
              <w:rPr>
                <w:kern w:val="0"/>
                <w:sz w:val="21"/>
                <w:szCs w:val="21"/>
              </w:rPr>
            </w:pPr>
            <w:r>
              <w:rPr>
                <w:kern w:val="0"/>
                <w:sz w:val="21"/>
                <w:szCs w:val="21"/>
              </w:rPr>
              <w:t>饮用</w:t>
            </w:r>
          </w:p>
        </w:tc>
        <w:tc>
          <w:tcPr>
            <w:tcW w:w="3685" w:type="dxa"/>
            <w:vAlign w:val="center"/>
          </w:tcPr>
          <w:p w:rsidR="00240BCE" w:rsidRDefault="00AC0334">
            <w:pPr>
              <w:widowControl/>
              <w:spacing w:line="340" w:lineRule="exact"/>
              <w:jc w:val="center"/>
              <w:rPr>
                <w:kern w:val="0"/>
                <w:sz w:val="21"/>
                <w:szCs w:val="21"/>
              </w:rPr>
            </w:pPr>
            <w:r>
              <w:rPr>
                <w:bCs/>
                <w:color w:val="000000"/>
                <w:sz w:val="21"/>
                <w:szCs w:val="21"/>
              </w:rPr>
              <w:t>寒武系上统灰岩岩溶含水层</w:t>
            </w:r>
          </w:p>
        </w:tc>
        <w:tc>
          <w:tcPr>
            <w:tcW w:w="1931" w:type="dxa"/>
            <w:vAlign w:val="center"/>
          </w:tcPr>
          <w:p w:rsidR="00240BCE" w:rsidRDefault="00AC0334">
            <w:pPr>
              <w:widowControl/>
              <w:spacing w:line="340" w:lineRule="exact"/>
              <w:jc w:val="center"/>
              <w:rPr>
                <w:kern w:val="0"/>
                <w:sz w:val="21"/>
                <w:szCs w:val="21"/>
              </w:rPr>
            </w:pPr>
            <w:r>
              <w:rPr>
                <w:kern w:val="0"/>
                <w:sz w:val="21"/>
                <w:szCs w:val="21"/>
              </w:rPr>
              <w:t>南</w:t>
            </w:r>
            <w:r>
              <w:rPr>
                <w:kern w:val="0"/>
                <w:sz w:val="21"/>
                <w:szCs w:val="21"/>
              </w:rPr>
              <w:t>150m</w:t>
            </w:r>
          </w:p>
        </w:tc>
      </w:tr>
      <w:tr w:rsidR="00240BCE">
        <w:tc>
          <w:tcPr>
            <w:tcW w:w="1281" w:type="dxa"/>
            <w:vAlign w:val="center"/>
          </w:tcPr>
          <w:p w:rsidR="00240BCE" w:rsidRDefault="00AC0334">
            <w:pPr>
              <w:adjustRightInd w:val="0"/>
              <w:snapToGrid w:val="0"/>
              <w:spacing w:line="340" w:lineRule="exact"/>
              <w:jc w:val="center"/>
              <w:rPr>
                <w:color w:val="000000"/>
                <w:kern w:val="0"/>
                <w:sz w:val="21"/>
                <w:szCs w:val="21"/>
              </w:rPr>
            </w:pPr>
            <w:r>
              <w:rPr>
                <w:color w:val="000000"/>
                <w:kern w:val="0"/>
                <w:sz w:val="21"/>
                <w:szCs w:val="21"/>
              </w:rPr>
              <w:t>楚黄庄村</w:t>
            </w:r>
          </w:p>
        </w:tc>
        <w:tc>
          <w:tcPr>
            <w:tcW w:w="851" w:type="dxa"/>
            <w:vAlign w:val="center"/>
          </w:tcPr>
          <w:p w:rsidR="00240BCE" w:rsidRDefault="00AC0334">
            <w:pPr>
              <w:jc w:val="center"/>
              <w:rPr>
                <w:sz w:val="21"/>
                <w:szCs w:val="21"/>
              </w:rPr>
            </w:pPr>
            <w:r>
              <w:rPr>
                <w:sz w:val="21"/>
                <w:szCs w:val="21"/>
              </w:rPr>
              <w:t>400</w:t>
            </w:r>
          </w:p>
        </w:tc>
        <w:tc>
          <w:tcPr>
            <w:tcW w:w="992" w:type="dxa"/>
            <w:vAlign w:val="center"/>
          </w:tcPr>
          <w:p w:rsidR="00240BCE" w:rsidRDefault="00AC0334">
            <w:pPr>
              <w:widowControl/>
              <w:spacing w:line="340" w:lineRule="exact"/>
              <w:jc w:val="center"/>
              <w:rPr>
                <w:kern w:val="0"/>
                <w:sz w:val="21"/>
                <w:szCs w:val="21"/>
              </w:rPr>
            </w:pPr>
            <w:r>
              <w:rPr>
                <w:kern w:val="0"/>
                <w:sz w:val="21"/>
                <w:szCs w:val="21"/>
              </w:rPr>
              <w:t>饮用</w:t>
            </w:r>
          </w:p>
        </w:tc>
        <w:tc>
          <w:tcPr>
            <w:tcW w:w="3685" w:type="dxa"/>
            <w:vAlign w:val="center"/>
          </w:tcPr>
          <w:p w:rsidR="00240BCE" w:rsidRDefault="00AC0334">
            <w:pPr>
              <w:widowControl/>
              <w:spacing w:line="340" w:lineRule="exact"/>
              <w:jc w:val="center"/>
              <w:rPr>
                <w:kern w:val="0"/>
                <w:sz w:val="21"/>
                <w:szCs w:val="21"/>
              </w:rPr>
            </w:pPr>
            <w:r>
              <w:rPr>
                <w:bCs/>
                <w:color w:val="000000"/>
                <w:sz w:val="21"/>
                <w:szCs w:val="21"/>
              </w:rPr>
              <w:t>寒武系上统灰岩岩溶含水层</w:t>
            </w:r>
          </w:p>
        </w:tc>
        <w:tc>
          <w:tcPr>
            <w:tcW w:w="1931" w:type="dxa"/>
            <w:vAlign w:val="center"/>
          </w:tcPr>
          <w:p w:rsidR="00240BCE" w:rsidRDefault="00AC0334">
            <w:pPr>
              <w:widowControl/>
              <w:spacing w:line="340" w:lineRule="exact"/>
              <w:jc w:val="center"/>
              <w:rPr>
                <w:kern w:val="0"/>
                <w:sz w:val="21"/>
                <w:szCs w:val="21"/>
              </w:rPr>
            </w:pPr>
            <w:r>
              <w:rPr>
                <w:kern w:val="0"/>
                <w:sz w:val="21"/>
                <w:szCs w:val="21"/>
              </w:rPr>
              <w:t>西</w:t>
            </w:r>
            <w:r>
              <w:rPr>
                <w:kern w:val="0"/>
                <w:sz w:val="21"/>
                <w:szCs w:val="21"/>
              </w:rPr>
              <w:t>300</w:t>
            </w:r>
          </w:p>
        </w:tc>
      </w:tr>
    </w:tbl>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根据前述分析计算可知，矿井水主要来源于</w:t>
      </w:r>
      <w:r>
        <w:rPr>
          <w:rFonts w:ascii="Times New Roman" w:hAnsi="Times New Roman"/>
          <w:bCs/>
          <w:color w:val="000000"/>
          <w:sz w:val="24"/>
        </w:rPr>
        <w:t>二</w:t>
      </w:r>
      <w:r>
        <w:rPr>
          <w:rFonts w:ascii="Times New Roman" w:hAnsi="Times New Roman"/>
          <w:bCs/>
          <w:color w:val="000000"/>
          <w:sz w:val="24"/>
          <w:vertAlign w:val="subscript"/>
        </w:rPr>
        <w:t>1</w:t>
      </w:r>
      <w:r>
        <w:rPr>
          <w:rFonts w:ascii="Times New Roman" w:hAnsi="Times New Roman"/>
          <w:bCs/>
          <w:color w:val="000000"/>
          <w:sz w:val="24"/>
        </w:rPr>
        <w:t>煤层顶板砂岩裂隙含水层和</w:t>
      </w:r>
      <w:r>
        <w:rPr>
          <w:rFonts w:ascii="Times New Roman" w:hAnsi="Times New Roman"/>
          <w:sz w:val="24"/>
        </w:rPr>
        <w:t>太原组上段</w:t>
      </w:r>
      <w:r>
        <w:rPr>
          <w:rFonts w:ascii="Times New Roman" w:hAnsi="Times New Roman"/>
          <w:sz w:val="24"/>
        </w:rPr>
        <w:t>L</w:t>
      </w:r>
      <w:r>
        <w:rPr>
          <w:rFonts w:ascii="Times New Roman" w:hAnsi="Times New Roman"/>
          <w:sz w:val="24"/>
          <w:vertAlign w:val="subscript"/>
        </w:rPr>
        <w:t>7-8</w:t>
      </w:r>
      <w:r>
        <w:rPr>
          <w:rFonts w:ascii="Times New Roman" w:hAnsi="Times New Roman"/>
          <w:sz w:val="24"/>
        </w:rPr>
        <w:t>灰岩裂隙承压含水层，升级改造后煤炭开采对</w:t>
      </w:r>
      <w:r>
        <w:rPr>
          <w:rFonts w:ascii="Times New Roman" w:hAnsi="Times New Roman"/>
          <w:bCs/>
          <w:color w:val="000000"/>
          <w:sz w:val="24"/>
          <w:szCs w:val="24"/>
        </w:rPr>
        <w:t>寒武系灰岩岩溶裂隙含水层</w:t>
      </w:r>
      <w:r>
        <w:rPr>
          <w:rFonts w:ascii="Times New Roman" w:hAnsi="Times New Roman"/>
          <w:sz w:val="24"/>
        </w:rPr>
        <w:t>影响不大</w:t>
      </w:r>
      <w:r>
        <w:rPr>
          <w:rFonts w:ascii="Times New Roman" w:hAnsi="Times New Roman" w:hint="eastAsia"/>
          <w:sz w:val="24"/>
        </w:rPr>
        <w:t>。</w:t>
      </w:r>
    </w:p>
    <w:p w:rsidR="00240BCE" w:rsidRDefault="00AC0334">
      <w:pPr>
        <w:pStyle w:val="ae"/>
        <w:spacing w:line="540" w:lineRule="exact"/>
        <w:ind w:firstLineChars="200" w:firstLine="480"/>
        <w:rPr>
          <w:rFonts w:ascii="Times New Roman" w:hAnsi="Times New Roman"/>
          <w:sz w:val="24"/>
        </w:rPr>
      </w:pPr>
      <w:r>
        <w:rPr>
          <w:rFonts w:ascii="Times New Roman" w:hAnsi="Times New Roman"/>
          <w:sz w:val="24"/>
        </w:rPr>
        <w:t>由于赵沟村、楼院村、连庄村、官庄窑村、楚黄庄村水井水源为</w:t>
      </w:r>
      <w:r>
        <w:rPr>
          <w:rFonts w:ascii="Times New Roman" w:hAnsi="Times New Roman"/>
          <w:bCs/>
          <w:color w:val="000000"/>
          <w:sz w:val="24"/>
          <w:szCs w:val="24"/>
        </w:rPr>
        <w:t>寒武系上统灰岩岩溶含水层</w:t>
      </w:r>
      <w:r>
        <w:rPr>
          <w:rFonts w:ascii="Times New Roman" w:hAnsi="Times New Roman"/>
          <w:sz w:val="24"/>
        </w:rPr>
        <w:t>，煤炭开采后对</w:t>
      </w:r>
      <w:r>
        <w:rPr>
          <w:rFonts w:ascii="Times New Roman" w:hAnsi="Times New Roman" w:hint="eastAsia"/>
          <w:bCs/>
          <w:color w:val="000000"/>
          <w:sz w:val="24"/>
          <w:szCs w:val="24"/>
        </w:rPr>
        <w:t>其</w:t>
      </w:r>
      <w:r>
        <w:rPr>
          <w:rFonts w:ascii="Times New Roman" w:hAnsi="Times New Roman"/>
          <w:sz w:val="24"/>
        </w:rPr>
        <w:t>影响不大</w:t>
      </w:r>
      <w:r>
        <w:rPr>
          <w:rFonts w:ascii="Times New Roman" w:hAnsi="Times New Roman" w:hint="eastAsia"/>
          <w:sz w:val="24"/>
        </w:rPr>
        <w:t>，</w:t>
      </w:r>
      <w:r>
        <w:rPr>
          <w:rFonts w:ascii="Times New Roman" w:hAnsi="Times New Roman"/>
          <w:sz w:val="24"/>
        </w:rPr>
        <w:t>但由于隆庆煤矿井田内有断层分布，在</w:t>
      </w:r>
      <w:r>
        <w:rPr>
          <w:rFonts w:ascii="Times New Roman" w:hAnsi="Times New Roman"/>
          <w:sz w:val="24"/>
        </w:rPr>
        <w:lastRenderedPageBreak/>
        <w:t>开采扰动的情况下，对水井水位仍可能产生一定的影响</w:t>
      </w:r>
      <w:r>
        <w:rPr>
          <w:rFonts w:ascii="Times New Roman" w:hAnsi="Times New Roman" w:hint="eastAsia"/>
          <w:sz w:val="24"/>
        </w:rPr>
        <w:t>。</w:t>
      </w:r>
      <w:r>
        <w:rPr>
          <w:rFonts w:ascii="Times New Roman" w:hAnsi="Times New Roman"/>
          <w:sz w:val="24"/>
        </w:rPr>
        <w:t>由于井田内的村庄受沉陷影响需根据开采进度依次搬迁，搬迁后井田范围内水井失去供水意义，但评价考虑到地下水系统的复杂性及岩溶裂隙发育的不均匀性，建设单位应遵循</w:t>
      </w:r>
      <w:r>
        <w:rPr>
          <w:rFonts w:ascii="Times New Roman" w:hAnsi="Times New Roman"/>
          <w:sz w:val="24"/>
        </w:rPr>
        <w:t>“</w:t>
      </w:r>
      <w:r>
        <w:rPr>
          <w:rFonts w:ascii="Times New Roman" w:hAnsi="Times New Roman"/>
          <w:sz w:val="24"/>
        </w:rPr>
        <w:t>预测预报、有疑必探、先探后掘、先治后采</w:t>
      </w:r>
      <w:r>
        <w:rPr>
          <w:rFonts w:ascii="Times New Roman" w:hAnsi="Times New Roman"/>
          <w:sz w:val="24"/>
        </w:rPr>
        <w:t>”</w:t>
      </w:r>
      <w:r>
        <w:rPr>
          <w:rFonts w:ascii="Times New Roman" w:hAnsi="Times New Roman"/>
          <w:sz w:val="24"/>
        </w:rPr>
        <w:t>的原则，采取防、堵、疏、排、截的综合治理措施，减轻对各含水层的影响。同时应加强当地民用水井的水位和水质跟踪动态监测，确保搬迁前井田范围内居民用水需求。</w:t>
      </w:r>
    </w:p>
    <w:p w:rsidR="00240BCE" w:rsidRDefault="00AC0334">
      <w:pPr>
        <w:spacing w:line="520" w:lineRule="exact"/>
        <w:rPr>
          <w:sz w:val="24"/>
        </w:rPr>
      </w:pPr>
      <w:r>
        <w:rPr>
          <w:sz w:val="24"/>
        </w:rPr>
        <w:t>6.3.</w:t>
      </w:r>
      <w:r w:rsidR="007F466F">
        <w:rPr>
          <w:rFonts w:hint="eastAsia"/>
          <w:sz w:val="24"/>
        </w:rPr>
        <w:t>5</w:t>
      </w:r>
      <w:r>
        <w:rPr>
          <w:sz w:val="24"/>
        </w:rPr>
        <w:t xml:space="preserve">.4 </w:t>
      </w:r>
      <w:r>
        <w:rPr>
          <w:sz w:val="24"/>
        </w:rPr>
        <w:t>煤炭开采对地下水资源的影响分析</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隆庆煤矿的开采，势必对宝贵的地下水资源造成影响，结合实际情况主要表现在：采煤产生的冒落带和导水裂隙带使含水层破坏，使原来水平径流为主的地下水，变为沿导水裂隙带垂直渗漏的地下水，进而转化为矿坑水而被废弃。主要是对煤层直接顶板充水含水层的疏干影响和煤层底板含水层疏干影响。从本区水文地质条件分析，本矿充水的主要含水层为</w:t>
      </w:r>
      <w:r>
        <w:rPr>
          <w:rFonts w:ascii="Times New Roman" w:hAnsi="Times New Roman"/>
          <w:bCs/>
          <w:color w:val="000000"/>
          <w:sz w:val="24"/>
        </w:rPr>
        <w:t>二</w:t>
      </w:r>
      <w:r>
        <w:rPr>
          <w:rFonts w:ascii="Times New Roman" w:hAnsi="Times New Roman"/>
          <w:bCs/>
          <w:color w:val="000000"/>
          <w:sz w:val="24"/>
          <w:vertAlign w:val="subscript"/>
        </w:rPr>
        <w:t>1</w:t>
      </w:r>
      <w:r>
        <w:rPr>
          <w:rFonts w:ascii="Times New Roman" w:hAnsi="Times New Roman"/>
          <w:bCs/>
          <w:color w:val="000000"/>
          <w:sz w:val="24"/>
        </w:rPr>
        <w:t>煤层顶板砂岩裂隙含水层和</w:t>
      </w:r>
      <w:r>
        <w:rPr>
          <w:rFonts w:ascii="Times New Roman" w:hAnsi="Times New Roman"/>
          <w:sz w:val="24"/>
        </w:rPr>
        <w:t>太原组上段</w:t>
      </w:r>
      <w:r>
        <w:rPr>
          <w:rFonts w:ascii="Times New Roman" w:hAnsi="Times New Roman"/>
          <w:sz w:val="24"/>
        </w:rPr>
        <w:t>L</w:t>
      </w:r>
      <w:r>
        <w:rPr>
          <w:rFonts w:ascii="Times New Roman" w:hAnsi="Times New Roman"/>
          <w:sz w:val="24"/>
          <w:vertAlign w:val="subscript"/>
        </w:rPr>
        <w:t>7-8</w:t>
      </w:r>
      <w:r>
        <w:rPr>
          <w:rFonts w:ascii="Times New Roman" w:hAnsi="Times New Roman"/>
          <w:sz w:val="24"/>
        </w:rPr>
        <w:t>灰岩裂隙承压含水层，该含水层以静储量为主，由于矿区开采多年，矿井涌水量会随着开采的进行而趋于减少。为确保不造成水资源浪费，建设单位应开展开采阶段的水文地质研究工作，并加强</w:t>
      </w:r>
      <w:r>
        <w:rPr>
          <w:rFonts w:ascii="Times New Roman" w:hAnsi="Times New Roman"/>
          <w:sz w:val="24"/>
        </w:rPr>
        <w:t>“</w:t>
      </w:r>
      <w:r>
        <w:rPr>
          <w:rFonts w:ascii="Times New Roman" w:hAnsi="Times New Roman"/>
          <w:sz w:val="24"/>
        </w:rPr>
        <w:t>三带</w:t>
      </w:r>
      <w:r>
        <w:rPr>
          <w:rFonts w:ascii="Times New Roman" w:hAnsi="Times New Roman"/>
          <w:sz w:val="24"/>
        </w:rPr>
        <w:t>”</w:t>
      </w:r>
      <w:r>
        <w:rPr>
          <w:rFonts w:ascii="Times New Roman" w:hAnsi="Times New Roman"/>
          <w:sz w:val="24"/>
        </w:rPr>
        <w:t>的观测，完善井上下水文观测网。尤其是针对断层构造带对矿井开采及坑道系统充水作用的影响，及时掌握矿井的充水水源，制定水资源的保护方案。</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724" w:name="_Toc24936_WPSOffice_Level2"/>
      <w:bookmarkStart w:id="725" w:name="_Toc79668709"/>
      <w:bookmarkStart w:id="726" w:name="_Toc81934389"/>
      <w:bookmarkEnd w:id="712"/>
      <w:bookmarkEnd w:id="713"/>
      <w:bookmarkEnd w:id="714"/>
      <w:bookmarkEnd w:id="715"/>
      <w:bookmarkEnd w:id="716"/>
      <w:bookmarkEnd w:id="717"/>
      <w:bookmarkEnd w:id="718"/>
      <w:bookmarkEnd w:id="719"/>
      <w:bookmarkEnd w:id="720"/>
      <w:bookmarkEnd w:id="721"/>
      <w:bookmarkEnd w:id="722"/>
      <w:r>
        <w:rPr>
          <w:rFonts w:ascii="Times New Roman" w:eastAsia="宋体" w:hAnsi="Times New Roman"/>
          <w:bCs/>
          <w:szCs w:val="32"/>
        </w:rPr>
        <w:t>6.4</w:t>
      </w:r>
      <w:r>
        <w:rPr>
          <w:rFonts w:ascii="Times New Roman" w:eastAsia="宋体" w:hAnsi="Times New Roman"/>
          <w:bCs/>
          <w:szCs w:val="32"/>
        </w:rPr>
        <w:t>声环境影响预测与评价</w:t>
      </w:r>
      <w:bookmarkEnd w:id="724"/>
      <w:bookmarkEnd w:id="725"/>
      <w:bookmarkEnd w:id="726"/>
    </w:p>
    <w:p w:rsidR="00240BCE" w:rsidRDefault="00AC0334" w:rsidP="009C5F33">
      <w:pPr>
        <w:pStyle w:val="30"/>
        <w:adjustRightInd w:val="0"/>
        <w:snapToGrid w:val="0"/>
        <w:spacing w:beforeLines="70" w:afterLines="30" w:line="240" w:lineRule="auto"/>
        <w:jc w:val="left"/>
        <w:rPr>
          <w:rFonts w:eastAsia="楷体"/>
          <w:sz w:val="28"/>
          <w:szCs w:val="28"/>
        </w:rPr>
      </w:pPr>
      <w:bookmarkStart w:id="727" w:name="_Toc79668710"/>
      <w:bookmarkStart w:id="728" w:name="_Toc7483_WPSOffice_Level3"/>
      <w:r>
        <w:rPr>
          <w:rFonts w:eastAsia="楷体"/>
          <w:sz w:val="28"/>
          <w:szCs w:val="28"/>
        </w:rPr>
        <w:t>6.4.1</w:t>
      </w:r>
      <w:bookmarkStart w:id="729" w:name="_Toc181089211"/>
      <w:r>
        <w:rPr>
          <w:rFonts w:eastAsia="楷体"/>
          <w:sz w:val="28"/>
          <w:szCs w:val="28"/>
        </w:rPr>
        <w:t xml:space="preserve"> </w:t>
      </w:r>
      <w:r>
        <w:rPr>
          <w:rFonts w:eastAsia="楷体"/>
          <w:sz w:val="28"/>
          <w:szCs w:val="28"/>
        </w:rPr>
        <w:t>建设期声环境影响分析</w:t>
      </w:r>
      <w:bookmarkEnd w:id="727"/>
      <w:bookmarkEnd w:id="728"/>
      <w:bookmarkEnd w:id="729"/>
    </w:p>
    <w:p w:rsidR="00240BCE" w:rsidRDefault="00AC0334">
      <w:pPr>
        <w:autoSpaceDE w:val="0"/>
        <w:autoSpaceDN w:val="0"/>
        <w:adjustRightInd w:val="0"/>
        <w:spacing w:line="520" w:lineRule="exact"/>
        <w:ind w:firstLine="480"/>
        <w:rPr>
          <w:sz w:val="24"/>
        </w:rPr>
      </w:pPr>
      <w:r>
        <w:rPr>
          <w:color w:val="000000"/>
          <w:sz w:val="24"/>
        </w:rPr>
        <w:t>建设期噪声源主要为施工机械与交通工具。由于施工期工程较为简单，且主要在地下施工，地面施工主要为工业场地场地建设，所需施工机械少，施工噪声为间歇性噪声，其噪声声级值在</w:t>
      </w:r>
      <w:r>
        <w:rPr>
          <w:color w:val="000000"/>
          <w:sz w:val="24"/>
        </w:rPr>
        <w:t>70</w:t>
      </w:r>
      <w:r>
        <w:rPr>
          <w:color w:val="000000"/>
          <w:sz w:val="24"/>
        </w:rPr>
        <w:t>～</w:t>
      </w:r>
      <w:r>
        <w:rPr>
          <w:color w:val="000000"/>
          <w:sz w:val="24"/>
        </w:rPr>
        <w:t>85dB(A)</w:t>
      </w:r>
      <w:r>
        <w:rPr>
          <w:color w:val="000000"/>
          <w:sz w:val="24"/>
        </w:rPr>
        <w:t>，</w:t>
      </w:r>
      <w:bookmarkStart w:id="730" w:name="_Toc181247439"/>
      <w:bookmarkStart w:id="731" w:name="_Toc196401605"/>
      <w:bookmarkEnd w:id="730"/>
      <w:r>
        <w:rPr>
          <w:sz w:val="24"/>
        </w:rPr>
        <w:t>在采取</w:t>
      </w:r>
      <w:r>
        <w:rPr>
          <w:sz w:val="24"/>
        </w:rPr>
        <w:t>“</w:t>
      </w:r>
      <w:r>
        <w:rPr>
          <w:sz w:val="24"/>
        </w:rPr>
        <w:t>合理安排施工时间，禁止夜间地面施工；车辆进场安排在白天进行，避免夜间进场影响村民休息</w:t>
      </w:r>
      <w:r>
        <w:rPr>
          <w:sz w:val="24"/>
        </w:rPr>
        <w:t>”</w:t>
      </w:r>
      <w:r>
        <w:rPr>
          <w:sz w:val="24"/>
        </w:rPr>
        <w:t>等措施后，建设期施工噪声对周围环境的影响很小</w:t>
      </w:r>
      <w:bookmarkEnd w:id="731"/>
      <w:r>
        <w:rPr>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732" w:name="_Toc79668711"/>
      <w:bookmarkStart w:id="733" w:name="_Toc11086_WPSOffice_Level3"/>
      <w:r>
        <w:rPr>
          <w:rFonts w:eastAsia="楷体"/>
          <w:sz w:val="28"/>
          <w:szCs w:val="28"/>
        </w:rPr>
        <w:lastRenderedPageBreak/>
        <w:t xml:space="preserve">6.4.2 </w:t>
      </w:r>
      <w:r>
        <w:rPr>
          <w:rFonts w:eastAsia="楷体"/>
          <w:sz w:val="28"/>
          <w:szCs w:val="28"/>
        </w:rPr>
        <w:t>营运期声环境影响分析</w:t>
      </w:r>
      <w:bookmarkEnd w:id="732"/>
      <w:bookmarkEnd w:id="733"/>
    </w:p>
    <w:p w:rsidR="00240BCE" w:rsidRDefault="00AC0334">
      <w:pPr>
        <w:spacing w:line="520" w:lineRule="exact"/>
        <w:rPr>
          <w:sz w:val="24"/>
        </w:rPr>
      </w:pPr>
      <w:bookmarkStart w:id="734" w:name="_Toc158524711"/>
      <w:r>
        <w:rPr>
          <w:sz w:val="24"/>
        </w:rPr>
        <w:t xml:space="preserve">6.4.2.1 </w:t>
      </w:r>
      <w:bookmarkEnd w:id="734"/>
      <w:r>
        <w:rPr>
          <w:sz w:val="24"/>
        </w:rPr>
        <w:t>工业</w:t>
      </w:r>
      <w:r w:rsidR="00247B5D">
        <w:rPr>
          <w:rFonts w:hint="eastAsia"/>
          <w:sz w:val="24"/>
        </w:rPr>
        <w:t>场地</w:t>
      </w:r>
      <w:r>
        <w:rPr>
          <w:sz w:val="24"/>
        </w:rPr>
        <w:t>声环境影响分析</w:t>
      </w:r>
    </w:p>
    <w:p w:rsidR="00A42CDB" w:rsidRDefault="00AC0334" w:rsidP="00A42CDB">
      <w:pPr>
        <w:spacing w:line="520" w:lineRule="exact"/>
        <w:ind w:firstLineChars="200" w:firstLine="488"/>
        <w:rPr>
          <w:sz w:val="24"/>
        </w:rPr>
      </w:pPr>
      <w:r>
        <w:rPr>
          <w:spacing w:val="2"/>
          <w:sz w:val="24"/>
        </w:rPr>
        <w:t>由于本项目为技术改造项目，且</w:t>
      </w:r>
      <w:r>
        <w:rPr>
          <w:color w:val="000000"/>
          <w:sz w:val="24"/>
          <w:szCs w:val="28"/>
        </w:rPr>
        <w:t>本次技术改造</w:t>
      </w:r>
      <w:r>
        <w:rPr>
          <w:sz w:val="24"/>
        </w:rPr>
        <w:t>除提升能力变化，更换部分提升设备、排水设备、支护设备外，井田面积、开拓方式及地面上其余生产生活设施等均利用原有设施</w:t>
      </w:r>
      <w:r w:rsidR="00A42CDB">
        <w:rPr>
          <w:rFonts w:hint="eastAsia"/>
          <w:sz w:val="24"/>
        </w:rPr>
        <w:t>，</w:t>
      </w:r>
      <w:r>
        <w:rPr>
          <w:sz w:val="24"/>
        </w:rPr>
        <w:t>因此升级改造后地面高噪声源不变</w:t>
      </w:r>
      <w:r w:rsidR="00A42CDB">
        <w:rPr>
          <w:rFonts w:hint="eastAsia"/>
          <w:sz w:val="24"/>
        </w:rPr>
        <w:t>。</w:t>
      </w:r>
      <w:r w:rsidR="00A42CDB">
        <w:rPr>
          <w:spacing w:val="2"/>
          <w:sz w:val="24"/>
        </w:rPr>
        <w:t>河南正捷检测技术有限公司于</w:t>
      </w:r>
      <w:r w:rsidR="00A42CDB">
        <w:rPr>
          <w:sz w:val="24"/>
        </w:rPr>
        <w:t>2020</w:t>
      </w:r>
      <w:r w:rsidR="00A42CDB">
        <w:rPr>
          <w:sz w:val="24"/>
        </w:rPr>
        <w:t>年</w:t>
      </w:r>
      <w:r w:rsidR="00A42CDB">
        <w:rPr>
          <w:sz w:val="24"/>
        </w:rPr>
        <w:t>8</w:t>
      </w:r>
      <w:r w:rsidR="00A42CDB">
        <w:rPr>
          <w:sz w:val="24"/>
        </w:rPr>
        <w:t>月</w:t>
      </w:r>
      <w:r w:rsidR="00A42CDB">
        <w:rPr>
          <w:sz w:val="24"/>
        </w:rPr>
        <w:t>30</w:t>
      </w:r>
      <w:r w:rsidR="00A42CDB">
        <w:rPr>
          <w:sz w:val="24"/>
        </w:rPr>
        <w:t>日</w:t>
      </w:r>
      <w:r w:rsidR="00A42CDB">
        <w:rPr>
          <w:sz w:val="24"/>
        </w:rPr>
        <w:t>~8</w:t>
      </w:r>
      <w:r w:rsidR="00A42CDB">
        <w:rPr>
          <w:sz w:val="24"/>
        </w:rPr>
        <w:t>月</w:t>
      </w:r>
      <w:r w:rsidR="00A42CDB">
        <w:rPr>
          <w:sz w:val="24"/>
        </w:rPr>
        <w:t>31</w:t>
      </w:r>
      <w:r w:rsidR="00A42CDB">
        <w:rPr>
          <w:sz w:val="24"/>
        </w:rPr>
        <w:t>日对工业广场各厂界</w:t>
      </w:r>
      <w:r w:rsidR="00A42CDB">
        <w:rPr>
          <w:rFonts w:hint="eastAsia"/>
          <w:sz w:val="24"/>
        </w:rPr>
        <w:t>进行</w:t>
      </w:r>
      <w:r w:rsidR="00A42CDB">
        <w:rPr>
          <w:sz w:val="24"/>
        </w:rPr>
        <w:t>监测</w:t>
      </w:r>
      <w:r w:rsidR="00A42CDB">
        <w:rPr>
          <w:rFonts w:hint="eastAsia"/>
          <w:sz w:val="24"/>
        </w:rPr>
        <w:t>，</w:t>
      </w:r>
      <w:r w:rsidR="00A42CDB">
        <w:rPr>
          <w:rFonts w:hint="eastAsia"/>
          <w:spacing w:val="2"/>
          <w:sz w:val="24"/>
        </w:rPr>
        <w:t>监测时</w:t>
      </w:r>
      <w:r w:rsidR="00A42CDB">
        <w:rPr>
          <w:sz w:val="24"/>
        </w:rPr>
        <w:t>禹煤重组</w:t>
      </w:r>
      <w:r w:rsidR="00A42CDB">
        <w:rPr>
          <w:sz w:val="24"/>
        </w:rPr>
        <w:t>[2018]2</w:t>
      </w:r>
      <w:r w:rsidR="00A42CDB">
        <w:rPr>
          <w:sz w:val="24"/>
        </w:rPr>
        <w:t>号文</w:t>
      </w:r>
      <w:r w:rsidR="00A42CDB">
        <w:rPr>
          <w:rFonts w:hint="eastAsia"/>
          <w:sz w:val="24"/>
        </w:rPr>
        <w:t>已</w:t>
      </w:r>
      <w:r w:rsidR="00A42CDB">
        <w:rPr>
          <w:sz w:val="24"/>
        </w:rPr>
        <w:t>批复同意隆庆矿复工</w:t>
      </w:r>
      <w:r w:rsidR="00A42CDB">
        <w:rPr>
          <w:rFonts w:hint="eastAsia"/>
          <w:sz w:val="24"/>
        </w:rPr>
        <w:t>，</w:t>
      </w:r>
      <w:r w:rsidR="00A42CDB">
        <w:rPr>
          <w:rFonts w:hint="eastAsia"/>
          <w:spacing w:val="2"/>
          <w:sz w:val="24"/>
        </w:rPr>
        <w:t>矿方正处于</w:t>
      </w:r>
      <w:r w:rsidR="00A42CDB">
        <w:rPr>
          <w:rFonts w:hint="eastAsia"/>
          <w:spacing w:val="2"/>
          <w:sz w:val="24"/>
        </w:rPr>
        <w:t>15</w:t>
      </w:r>
      <w:r w:rsidR="00A42CDB">
        <w:rPr>
          <w:rFonts w:hint="eastAsia"/>
          <w:spacing w:val="2"/>
          <w:sz w:val="24"/>
        </w:rPr>
        <w:t>万</w:t>
      </w:r>
      <w:r w:rsidR="00A42CDB">
        <w:rPr>
          <w:rFonts w:hint="eastAsia"/>
          <w:spacing w:val="2"/>
          <w:sz w:val="24"/>
        </w:rPr>
        <w:t>t/a</w:t>
      </w:r>
      <w:r w:rsidR="00A42CDB">
        <w:rPr>
          <w:rFonts w:hint="eastAsia"/>
          <w:spacing w:val="2"/>
          <w:sz w:val="24"/>
        </w:rPr>
        <w:t>技术改造过程中，能够正常储煤，矿方各种高噪声设备正常运行，</w:t>
      </w:r>
      <w:r w:rsidR="00A42CDB">
        <w:rPr>
          <w:rFonts w:hint="eastAsia"/>
          <w:sz w:val="24"/>
        </w:rPr>
        <w:t>根据监测</w:t>
      </w:r>
      <w:r w:rsidR="00A42CDB">
        <w:rPr>
          <w:sz w:val="24"/>
        </w:rPr>
        <w:t>数据</w:t>
      </w:r>
      <w:r w:rsidR="00A42CDB">
        <w:rPr>
          <w:rFonts w:hint="eastAsia"/>
          <w:sz w:val="24"/>
        </w:rPr>
        <w:t>（</w:t>
      </w:r>
      <w:r w:rsidR="00A42CDB">
        <w:rPr>
          <w:spacing w:val="2"/>
          <w:sz w:val="24"/>
        </w:rPr>
        <w:t>见表</w:t>
      </w:r>
      <w:r w:rsidR="00A42CDB">
        <w:rPr>
          <w:spacing w:val="2"/>
          <w:sz w:val="24"/>
        </w:rPr>
        <w:t>9.1-1</w:t>
      </w:r>
      <w:r w:rsidR="00A42CDB">
        <w:rPr>
          <w:rFonts w:hint="eastAsia"/>
          <w:spacing w:val="2"/>
          <w:sz w:val="24"/>
        </w:rPr>
        <w:t>）</w:t>
      </w:r>
      <w:r w:rsidR="00A42CDB">
        <w:rPr>
          <w:spacing w:val="2"/>
          <w:sz w:val="24"/>
        </w:rPr>
        <w:t>，</w:t>
      </w:r>
      <w:r w:rsidR="00A42CDB">
        <w:rPr>
          <w:sz w:val="24"/>
        </w:rPr>
        <w:t>隆庆煤矿工业广场除南厂界外各厂界噪声昼夜排放等效声级均能满足</w:t>
      </w:r>
      <w:r w:rsidR="00A42CDB">
        <w:rPr>
          <w:sz w:val="24"/>
        </w:rPr>
        <w:t>GB12348-2008</w:t>
      </w:r>
      <w:r w:rsidR="00A42CDB">
        <w:rPr>
          <w:sz w:val="24"/>
        </w:rPr>
        <w:t>《工业企业厂界环境噪声排放标准》</w:t>
      </w:r>
      <w:r w:rsidR="00A42CDB">
        <w:rPr>
          <w:sz w:val="24"/>
        </w:rPr>
        <w:t>2</w:t>
      </w:r>
      <w:r w:rsidR="00A42CDB">
        <w:rPr>
          <w:sz w:val="24"/>
        </w:rPr>
        <w:t>类标准要求</w:t>
      </w:r>
      <w:r w:rsidR="00A42CDB">
        <w:rPr>
          <w:rFonts w:hint="eastAsia"/>
          <w:sz w:val="24"/>
        </w:rPr>
        <w:t>，</w:t>
      </w:r>
      <w:r w:rsidR="00A42CDB">
        <w:rPr>
          <w:sz w:val="24"/>
        </w:rPr>
        <w:t>工业场地附近敏感点声环境质量满足《声环境质量标准》（</w:t>
      </w:r>
      <w:r w:rsidR="00A42CDB">
        <w:rPr>
          <w:sz w:val="24"/>
        </w:rPr>
        <w:t>GB3096-2008</w:t>
      </w:r>
      <w:r w:rsidR="00A42CDB">
        <w:rPr>
          <w:sz w:val="24"/>
        </w:rPr>
        <w:t>）</w:t>
      </w:r>
      <w:r w:rsidR="00A42CDB">
        <w:rPr>
          <w:sz w:val="24"/>
        </w:rPr>
        <w:t>2</w:t>
      </w:r>
      <w:r w:rsidR="00A42CDB">
        <w:rPr>
          <w:sz w:val="24"/>
        </w:rPr>
        <w:t>类标准的要求，</w:t>
      </w:r>
      <w:r w:rsidR="00A42CDB">
        <w:rPr>
          <w:rFonts w:hint="eastAsia"/>
          <w:sz w:val="24"/>
        </w:rPr>
        <w:t>南厂界超标原因</w:t>
      </w:r>
      <w:r w:rsidR="00A42CDB">
        <w:rPr>
          <w:sz w:val="24"/>
        </w:rPr>
        <w:t>主要为</w:t>
      </w:r>
      <w:r w:rsidR="00A42CDB">
        <w:rPr>
          <w:rFonts w:hint="eastAsia"/>
          <w:sz w:val="24"/>
        </w:rPr>
        <w:t>风机临近南厂界，</w:t>
      </w:r>
      <w:r w:rsidR="00A42CDB">
        <w:rPr>
          <w:sz w:val="24"/>
        </w:rPr>
        <w:t>风机噪声所致，本次升级改造中</w:t>
      </w:r>
      <w:r w:rsidR="00A42CDB">
        <w:rPr>
          <w:rFonts w:hint="eastAsia"/>
          <w:sz w:val="24"/>
        </w:rPr>
        <w:t>拟对</w:t>
      </w:r>
      <w:r w:rsidR="00A42CDB">
        <w:rPr>
          <w:sz w:val="24"/>
        </w:rPr>
        <w:t>通风机安装消声器</w:t>
      </w:r>
      <w:r w:rsidR="00A42CDB">
        <w:rPr>
          <w:rFonts w:hint="eastAsia"/>
          <w:sz w:val="24"/>
        </w:rPr>
        <w:t>，</w:t>
      </w:r>
      <w:r w:rsidR="00A42CDB">
        <w:rPr>
          <w:sz w:val="24"/>
        </w:rPr>
        <w:t>临近通风机一侧的围墙内衬吸声设施等降噪措施</w:t>
      </w:r>
      <w:r w:rsidR="00A42CDB">
        <w:rPr>
          <w:rFonts w:hint="eastAsia"/>
          <w:sz w:val="24"/>
        </w:rPr>
        <w:t>，采取措施后可使风机降噪约</w:t>
      </w:r>
      <w:r w:rsidR="00A42CDB">
        <w:rPr>
          <w:rFonts w:hint="eastAsia"/>
          <w:sz w:val="24"/>
        </w:rPr>
        <w:t>20</w:t>
      </w:r>
      <w:r w:rsidR="00A42CDB" w:rsidRPr="007823D6">
        <w:rPr>
          <w:rFonts w:eastAsia="黑体"/>
          <w:sz w:val="24"/>
        </w:rPr>
        <w:t xml:space="preserve"> </w:t>
      </w:r>
      <w:r w:rsidR="00A42CDB" w:rsidRPr="007823D6">
        <w:rPr>
          <w:sz w:val="24"/>
        </w:rPr>
        <w:t>dB</w:t>
      </w:r>
      <w:r w:rsidR="00A42CDB" w:rsidRPr="007823D6">
        <w:rPr>
          <w:sz w:val="24"/>
        </w:rPr>
        <w:t>（</w:t>
      </w:r>
      <w:r w:rsidR="00A42CDB" w:rsidRPr="007823D6">
        <w:rPr>
          <w:sz w:val="24"/>
        </w:rPr>
        <w:t>A</w:t>
      </w:r>
      <w:r w:rsidR="00A42CDB" w:rsidRPr="007823D6">
        <w:rPr>
          <w:sz w:val="24"/>
        </w:rPr>
        <w:t>）</w:t>
      </w:r>
      <w:r w:rsidR="00A42CDB">
        <w:rPr>
          <w:rFonts w:ascii="宋体" w:hAnsi="宋体" w:hint="eastAsia"/>
          <w:sz w:val="24"/>
        </w:rPr>
        <w:t>～</w:t>
      </w:r>
      <w:r w:rsidR="00A42CDB">
        <w:rPr>
          <w:rFonts w:hint="eastAsia"/>
          <w:sz w:val="24"/>
        </w:rPr>
        <w:t>25</w:t>
      </w:r>
      <w:r w:rsidR="00A42CDB" w:rsidRPr="007823D6">
        <w:rPr>
          <w:rFonts w:eastAsia="黑体"/>
          <w:sz w:val="24"/>
        </w:rPr>
        <w:t xml:space="preserve"> </w:t>
      </w:r>
      <w:r w:rsidR="00A42CDB" w:rsidRPr="007823D6">
        <w:rPr>
          <w:sz w:val="24"/>
        </w:rPr>
        <w:t>dB</w:t>
      </w:r>
      <w:r w:rsidR="00A42CDB" w:rsidRPr="007823D6">
        <w:rPr>
          <w:sz w:val="24"/>
        </w:rPr>
        <w:t>（</w:t>
      </w:r>
      <w:r w:rsidR="00A42CDB" w:rsidRPr="007823D6">
        <w:rPr>
          <w:sz w:val="24"/>
        </w:rPr>
        <w:t>A</w:t>
      </w:r>
      <w:r w:rsidR="00A42CDB" w:rsidRPr="007823D6">
        <w:rPr>
          <w:sz w:val="24"/>
        </w:rPr>
        <w:t>）</w:t>
      </w:r>
      <w:r w:rsidR="00A42CDB">
        <w:rPr>
          <w:rFonts w:hint="eastAsia"/>
          <w:sz w:val="24"/>
        </w:rPr>
        <w:t>，本次评价根据导则对升级改造后的工业场地高噪声设备进行预测。</w:t>
      </w:r>
    </w:p>
    <w:p w:rsidR="00247B5D" w:rsidRDefault="00247B5D" w:rsidP="00247B5D">
      <w:pPr>
        <w:spacing w:line="520" w:lineRule="exact"/>
        <w:ind w:firstLineChars="200" w:firstLine="480"/>
        <w:rPr>
          <w:sz w:val="24"/>
        </w:rPr>
      </w:pPr>
      <w:r>
        <w:rPr>
          <w:rFonts w:hint="eastAsia"/>
          <w:sz w:val="24"/>
        </w:rPr>
        <w:t>1</w:t>
      </w:r>
      <w:r>
        <w:rPr>
          <w:rFonts w:hint="eastAsia"/>
          <w:sz w:val="24"/>
        </w:rPr>
        <w:t>、预测内容</w:t>
      </w:r>
    </w:p>
    <w:p w:rsidR="00247B5D" w:rsidRDefault="00247B5D" w:rsidP="00247B5D">
      <w:pPr>
        <w:spacing w:line="520" w:lineRule="exact"/>
        <w:ind w:firstLineChars="200" w:firstLine="480"/>
        <w:rPr>
          <w:sz w:val="24"/>
        </w:rPr>
      </w:pPr>
      <w:r>
        <w:rPr>
          <w:rFonts w:hint="eastAsia"/>
          <w:sz w:val="24"/>
        </w:rPr>
        <w:t>预测运营期厂界外</w:t>
      </w:r>
      <w:r>
        <w:rPr>
          <w:rFonts w:hint="eastAsia"/>
          <w:sz w:val="24"/>
        </w:rPr>
        <w:t>1m</w:t>
      </w:r>
      <w:r>
        <w:rPr>
          <w:rFonts w:hint="eastAsia"/>
          <w:sz w:val="24"/>
        </w:rPr>
        <w:t>及周围</w:t>
      </w:r>
      <w:r>
        <w:rPr>
          <w:rFonts w:hint="eastAsia"/>
          <w:sz w:val="24"/>
        </w:rPr>
        <w:t>200m</w:t>
      </w:r>
      <w:r>
        <w:rPr>
          <w:rFonts w:hint="eastAsia"/>
          <w:sz w:val="24"/>
        </w:rPr>
        <w:t>范围内敏感点的噪声级</w:t>
      </w:r>
      <w:r>
        <w:rPr>
          <w:rFonts w:hint="eastAsia"/>
          <w:sz w:val="24"/>
        </w:rPr>
        <w:t>dB</w:t>
      </w:r>
      <w:r>
        <w:rPr>
          <w:rFonts w:hint="eastAsia"/>
          <w:sz w:val="24"/>
        </w:rPr>
        <w:t>（</w:t>
      </w:r>
      <w:r>
        <w:rPr>
          <w:rFonts w:hint="eastAsia"/>
          <w:sz w:val="24"/>
        </w:rPr>
        <w:t>A</w:t>
      </w:r>
      <w:r>
        <w:rPr>
          <w:rFonts w:hint="eastAsia"/>
          <w:sz w:val="24"/>
        </w:rPr>
        <w:t>）。</w:t>
      </w:r>
    </w:p>
    <w:p w:rsidR="00247B5D" w:rsidRPr="00C448A6" w:rsidRDefault="00247B5D" w:rsidP="00247B5D">
      <w:pPr>
        <w:spacing w:line="520" w:lineRule="exact"/>
        <w:ind w:firstLineChars="200" w:firstLine="480"/>
        <w:rPr>
          <w:sz w:val="24"/>
        </w:rPr>
      </w:pPr>
      <w:r>
        <w:rPr>
          <w:rFonts w:hint="eastAsia"/>
          <w:sz w:val="24"/>
        </w:rPr>
        <w:t>2</w:t>
      </w:r>
      <w:r w:rsidRPr="00C448A6">
        <w:rPr>
          <w:sz w:val="24"/>
        </w:rPr>
        <w:t>、噪声污染源强</w:t>
      </w:r>
    </w:p>
    <w:p w:rsidR="00247B5D" w:rsidRPr="00C448A6" w:rsidRDefault="00905154" w:rsidP="00905154">
      <w:pPr>
        <w:spacing w:line="520" w:lineRule="exact"/>
        <w:ind w:firstLineChars="200" w:firstLine="480"/>
        <w:rPr>
          <w:sz w:val="24"/>
        </w:rPr>
      </w:pPr>
      <w:r w:rsidRPr="00905154">
        <w:rPr>
          <w:sz w:val="24"/>
        </w:rPr>
        <w:t>升级改造后矿井地面主要噪声源</w:t>
      </w:r>
      <w:r w:rsidRPr="00905154">
        <w:rPr>
          <w:bCs/>
          <w:iCs/>
          <w:sz w:val="24"/>
        </w:rPr>
        <w:t>不</w:t>
      </w:r>
      <w:r w:rsidRPr="00905154">
        <w:rPr>
          <w:sz w:val="24"/>
        </w:rPr>
        <w:t>变，仍为通风机、主副井提升机、空压机等，这些设备噪声源大部分是宽频带的，且多为固定噪声源，根据《环境噪声与振动控制工程技术导则》并结合同类煤矿噪声源源强确定本项目各噪声设备（或设备组）声压级一般在</w:t>
      </w:r>
      <w:r w:rsidRPr="00905154">
        <w:rPr>
          <w:sz w:val="24"/>
        </w:rPr>
        <w:t xml:space="preserve"> 80-105dB(A)</w:t>
      </w:r>
      <w:r w:rsidRPr="00905154">
        <w:rPr>
          <w:sz w:val="24"/>
        </w:rPr>
        <w:t>之间，具体见表</w:t>
      </w:r>
      <w:r>
        <w:rPr>
          <w:rFonts w:hint="eastAsia"/>
          <w:sz w:val="24"/>
        </w:rPr>
        <w:t>6.4-1</w:t>
      </w:r>
      <w:r w:rsidRPr="00905154">
        <w:rPr>
          <w:sz w:val="24"/>
        </w:rPr>
        <w:t>。</w:t>
      </w:r>
      <w:r w:rsidR="00247B5D" w:rsidRPr="00C448A6">
        <w:rPr>
          <w:sz w:val="24"/>
        </w:rPr>
        <w:t>以上设备</w:t>
      </w:r>
      <w:r>
        <w:rPr>
          <w:rFonts w:hint="eastAsia"/>
          <w:sz w:val="24"/>
        </w:rPr>
        <w:t>除通风机外</w:t>
      </w:r>
      <w:r w:rsidR="00247B5D" w:rsidRPr="00C448A6">
        <w:rPr>
          <w:sz w:val="24"/>
        </w:rPr>
        <w:t>均设置在密闭厂房内，</w:t>
      </w:r>
      <w:r>
        <w:rPr>
          <w:rFonts w:hint="eastAsia"/>
          <w:sz w:val="24"/>
        </w:rPr>
        <w:t>采取基础减振等降噪措施；</w:t>
      </w:r>
      <w:r w:rsidRPr="00905154">
        <w:rPr>
          <w:sz w:val="24"/>
        </w:rPr>
        <w:t>对通风机安装消声器，临近通风机一侧的围墙内衬吸声</w:t>
      </w:r>
      <w:r w:rsidRPr="00905154">
        <w:rPr>
          <w:rFonts w:hint="eastAsia"/>
          <w:sz w:val="24"/>
        </w:rPr>
        <w:t>材料等</w:t>
      </w:r>
      <w:r w:rsidRPr="00905154">
        <w:rPr>
          <w:sz w:val="24"/>
        </w:rPr>
        <w:t>设施</w:t>
      </w:r>
      <w:r w:rsidR="00247B5D" w:rsidRPr="00C448A6">
        <w:rPr>
          <w:sz w:val="24"/>
        </w:rPr>
        <w:t>。</w:t>
      </w:r>
      <w:r>
        <w:rPr>
          <w:rFonts w:hint="eastAsia"/>
          <w:sz w:val="24"/>
        </w:rPr>
        <w:t>降噪后</w:t>
      </w:r>
      <w:r w:rsidR="00247B5D" w:rsidRPr="00C448A6">
        <w:rPr>
          <w:sz w:val="24"/>
        </w:rPr>
        <w:t>主要噪声源及其声压级详见表</w:t>
      </w:r>
      <w:r>
        <w:rPr>
          <w:rFonts w:hint="eastAsia"/>
          <w:sz w:val="24"/>
        </w:rPr>
        <w:t>6.4-1</w:t>
      </w:r>
      <w:r w:rsidR="00247B5D" w:rsidRPr="00C448A6">
        <w:rPr>
          <w:sz w:val="24"/>
        </w:rPr>
        <w:t>。</w:t>
      </w:r>
    </w:p>
    <w:p w:rsidR="00905154" w:rsidRDefault="00905154" w:rsidP="00247B5D">
      <w:pPr>
        <w:spacing w:line="520" w:lineRule="exact"/>
        <w:ind w:firstLine="482"/>
        <w:jc w:val="center"/>
        <w:rPr>
          <w:rFonts w:eastAsia="黑体"/>
          <w:sz w:val="24"/>
        </w:rPr>
      </w:pPr>
    </w:p>
    <w:p w:rsidR="005176BF" w:rsidRDefault="005176BF">
      <w:pPr>
        <w:widowControl/>
        <w:jc w:val="left"/>
        <w:rPr>
          <w:rFonts w:eastAsia="黑体"/>
          <w:sz w:val="24"/>
        </w:rPr>
      </w:pPr>
      <w:r>
        <w:rPr>
          <w:rFonts w:eastAsia="黑体"/>
          <w:sz w:val="24"/>
        </w:rPr>
        <w:br w:type="page"/>
      </w:r>
    </w:p>
    <w:p w:rsidR="00247B5D" w:rsidRDefault="00247B5D" w:rsidP="00247B5D">
      <w:pPr>
        <w:spacing w:line="520" w:lineRule="exact"/>
        <w:ind w:firstLine="482"/>
        <w:jc w:val="center"/>
        <w:rPr>
          <w:rFonts w:eastAsia="黑体"/>
          <w:sz w:val="24"/>
        </w:rPr>
      </w:pPr>
      <w:r w:rsidRPr="00C448A6">
        <w:rPr>
          <w:rFonts w:eastAsia="黑体"/>
          <w:sz w:val="24"/>
        </w:rPr>
        <w:lastRenderedPageBreak/>
        <w:t>表</w:t>
      </w:r>
      <w:r w:rsidR="00905154">
        <w:rPr>
          <w:rFonts w:eastAsia="黑体" w:hint="eastAsia"/>
          <w:sz w:val="24"/>
        </w:rPr>
        <w:t>6.4-1</w:t>
      </w:r>
      <w:r w:rsidRPr="00C448A6">
        <w:rPr>
          <w:rFonts w:eastAsia="黑体"/>
          <w:sz w:val="24"/>
        </w:rPr>
        <w:t xml:space="preserve">    </w:t>
      </w:r>
      <w:r w:rsidRPr="00C448A6">
        <w:rPr>
          <w:rFonts w:eastAsia="黑体"/>
          <w:sz w:val="24"/>
        </w:rPr>
        <w:t>主要噪声源及其声压级</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32"/>
        <w:gridCol w:w="2509"/>
        <w:gridCol w:w="1134"/>
        <w:gridCol w:w="851"/>
        <w:gridCol w:w="3004"/>
        <w:gridCol w:w="1028"/>
      </w:tblGrid>
      <w:tr w:rsidR="00905154" w:rsidTr="00064C8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噪声源</w:t>
            </w:r>
          </w:p>
        </w:tc>
        <w:tc>
          <w:tcPr>
            <w:tcW w:w="2509"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产噪设备</w:t>
            </w:r>
            <w:r>
              <w:rPr>
                <w:sz w:val="21"/>
                <w:szCs w:val="21"/>
              </w:rPr>
              <w:t>/</w:t>
            </w:r>
            <w:r>
              <w:rPr>
                <w:sz w:val="21"/>
                <w:szCs w:val="21"/>
              </w:rPr>
              <w:t>台数</w:t>
            </w:r>
          </w:p>
        </w:tc>
        <w:tc>
          <w:tcPr>
            <w:tcW w:w="1134"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声学类别</w:t>
            </w:r>
          </w:p>
        </w:tc>
        <w:tc>
          <w:tcPr>
            <w:tcW w:w="851" w:type="dxa"/>
            <w:tcBorders>
              <w:top w:val="single" w:sz="4" w:space="0" w:color="auto"/>
              <w:left w:val="nil"/>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噪声源强</w:t>
            </w:r>
            <w:r>
              <w:rPr>
                <w:sz w:val="21"/>
                <w:szCs w:val="21"/>
              </w:rPr>
              <w:t>dB(A)</w:t>
            </w:r>
          </w:p>
        </w:tc>
        <w:tc>
          <w:tcPr>
            <w:tcW w:w="3004" w:type="dxa"/>
            <w:tcBorders>
              <w:top w:val="single" w:sz="4" w:space="0" w:color="auto"/>
              <w:left w:val="nil"/>
              <w:right w:val="single" w:sz="4" w:space="0" w:color="auto"/>
            </w:tcBorders>
            <w:vAlign w:val="center"/>
          </w:tcPr>
          <w:p w:rsidR="00905154" w:rsidRDefault="00905154" w:rsidP="0070516C">
            <w:pPr>
              <w:spacing w:line="320" w:lineRule="exact"/>
              <w:jc w:val="center"/>
              <w:rPr>
                <w:sz w:val="21"/>
                <w:szCs w:val="21"/>
              </w:rPr>
            </w:pPr>
            <w:r>
              <w:rPr>
                <w:sz w:val="21"/>
                <w:szCs w:val="21"/>
              </w:rPr>
              <w:t>污染防治措施</w:t>
            </w:r>
          </w:p>
        </w:tc>
        <w:tc>
          <w:tcPr>
            <w:tcW w:w="1028" w:type="dxa"/>
            <w:tcBorders>
              <w:top w:val="single" w:sz="4" w:space="0" w:color="auto"/>
              <w:left w:val="nil"/>
              <w:right w:val="single" w:sz="4" w:space="0" w:color="auto"/>
            </w:tcBorders>
            <w:vAlign w:val="center"/>
          </w:tcPr>
          <w:p w:rsidR="00905154" w:rsidRDefault="00905154" w:rsidP="0070516C">
            <w:pPr>
              <w:spacing w:line="320" w:lineRule="exact"/>
              <w:jc w:val="center"/>
              <w:rPr>
                <w:w w:val="90"/>
                <w:sz w:val="21"/>
                <w:szCs w:val="21"/>
              </w:rPr>
            </w:pPr>
            <w:r>
              <w:rPr>
                <w:w w:val="90"/>
                <w:sz w:val="21"/>
                <w:szCs w:val="21"/>
              </w:rPr>
              <w:t>降噪后噪声值（</w:t>
            </w:r>
            <w:r>
              <w:rPr>
                <w:w w:val="90"/>
                <w:sz w:val="21"/>
                <w:szCs w:val="21"/>
              </w:rPr>
              <w:t>dB(A)</w:t>
            </w:r>
            <w:r>
              <w:rPr>
                <w:w w:val="90"/>
                <w:sz w:val="21"/>
                <w:szCs w:val="21"/>
              </w:rPr>
              <w:t>）</w:t>
            </w:r>
          </w:p>
        </w:tc>
      </w:tr>
      <w:tr w:rsidR="00905154" w:rsidTr="00064C8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主井提升机房</w:t>
            </w:r>
          </w:p>
        </w:tc>
        <w:tc>
          <w:tcPr>
            <w:tcW w:w="2509"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2JK-2×1.1P</w:t>
            </w:r>
            <w:r>
              <w:rPr>
                <w:sz w:val="21"/>
                <w:szCs w:val="21"/>
              </w:rPr>
              <w:t>型双筒提升机</w:t>
            </w:r>
            <w:r>
              <w:rPr>
                <w:sz w:val="21"/>
                <w:szCs w:val="21"/>
              </w:rPr>
              <w:t>/1</w:t>
            </w:r>
            <w:r>
              <w:rPr>
                <w:sz w:val="21"/>
                <w:szCs w:val="21"/>
              </w:rPr>
              <w:t>台</w:t>
            </w:r>
          </w:p>
        </w:tc>
        <w:tc>
          <w:tcPr>
            <w:tcW w:w="1134"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机械振动</w:t>
            </w:r>
            <w:r>
              <w:rPr>
                <w:sz w:val="21"/>
                <w:szCs w:val="21"/>
              </w:rPr>
              <w:t>/</w:t>
            </w:r>
            <w:r>
              <w:rPr>
                <w:sz w:val="21"/>
                <w:szCs w:val="21"/>
              </w:rPr>
              <w:t>连续</w:t>
            </w:r>
          </w:p>
        </w:tc>
        <w:tc>
          <w:tcPr>
            <w:tcW w:w="851" w:type="dxa"/>
            <w:tcBorders>
              <w:top w:val="single" w:sz="4" w:space="0" w:color="auto"/>
              <w:left w:val="nil"/>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88</w:t>
            </w:r>
          </w:p>
        </w:tc>
        <w:tc>
          <w:tcPr>
            <w:tcW w:w="3004" w:type="dxa"/>
            <w:tcBorders>
              <w:left w:val="nil"/>
              <w:right w:val="single" w:sz="4" w:space="0" w:color="auto"/>
            </w:tcBorders>
            <w:vAlign w:val="center"/>
          </w:tcPr>
          <w:p w:rsidR="00905154" w:rsidRDefault="00905154" w:rsidP="0070516C">
            <w:pPr>
              <w:spacing w:line="320" w:lineRule="exact"/>
              <w:jc w:val="center"/>
              <w:rPr>
                <w:sz w:val="21"/>
                <w:szCs w:val="21"/>
              </w:rPr>
            </w:pPr>
            <w:r>
              <w:rPr>
                <w:sz w:val="21"/>
                <w:szCs w:val="21"/>
              </w:rPr>
              <w:t>设备基座减振</w:t>
            </w:r>
          </w:p>
        </w:tc>
        <w:tc>
          <w:tcPr>
            <w:tcW w:w="1028" w:type="dxa"/>
            <w:tcBorders>
              <w:left w:val="nil"/>
              <w:right w:val="single" w:sz="4" w:space="0" w:color="auto"/>
            </w:tcBorders>
            <w:vAlign w:val="center"/>
          </w:tcPr>
          <w:p w:rsidR="00905154" w:rsidRDefault="00905154" w:rsidP="0070516C">
            <w:pPr>
              <w:spacing w:line="320" w:lineRule="exact"/>
              <w:jc w:val="center"/>
              <w:rPr>
                <w:sz w:val="21"/>
                <w:szCs w:val="21"/>
              </w:rPr>
            </w:pPr>
            <w:r>
              <w:rPr>
                <w:sz w:val="21"/>
                <w:szCs w:val="21"/>
              </w:rPr>
              <w:t>70</w:t>
            </w:r>
          </w:p>
        </w:tc>
      </w:tr>
      <w:tr w:rsidR="00905154" w:rsidTr="00064C8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副井提升机房</w:t>
            </w:r>
          </w:p>
        </w:tc>
        <w:tc>
          <w:tcPr>
            <w:tcW w:w="2509"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2JK-2×1.0P</w:t>
            </w:r>
            <w:r>
              <w:rPr>
                <w:sz w:val="21"/>
                <w:szCs w:val="21"/>
              </w:rPr>
              <w:t>型双筒提升机</w:t>
            </w:r>
            <w:r>
              <w:rPr>
                <w:sz w:val="21"/>
                <w:szCs w:val="21"/>
              </w:rPr>
              <w:t>/1</w:t>
            </w:r>
            <w:r>
              <w:rPr>
                <w:sz w:val="21"/>
                <w:szCs w:val="21"/>
              </w:rPr>
              <w:t>台</w:t>
            </w:r>
          </w:p>
        </w:tc>
        <w:tc>
          <w:tcPr>
            <w:tcW w:w="1134"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机械振动</w:t>
            </w:r>
            <w:r>
              <w:rPr>
                <w:sz w:val="21"/>
                <w:szCs w:val="21"/>
              </w:rPr>
              <w:t>/</w:t>
            </w:r>
            <w:r>
              <w:rPr>
                <w:sz w:val="21"/>
                <w:szCs w:val="21"/>
              </w:rPr>
              <w:t>连续</w:t>
            </w:r>
          </w:p>
        </w:tc>
        <w:tc>
          <w:tcPr>
            <w:tcW w:w="851" w:type="dxa"/>
            <w:tcBorders>
              <w:top w:val="single" w:sz="4" w:space="0" w:color="auto"/>
              <w:left w:val="nil"/>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88</w:t>
            </w:r>
          </w:p>
        </w:tc>
        <w:tc>
          <w:tcPr>
            <w:tcW w:w="3004" w:type="dxa"/>
            <w:tcBorders>
              <w:left w:val="nil"/>
              <w:right w:val="single" w:sz="4" w:space="0" w:color="auto"/>
            </w:tcBorders>
            <w:vAlign w:val="center"/>
          </w:tcPr>
          <w:p w:rsidR="00905154" w:rsidRDefault="00905154" w:rsidP="0070516C">
            <w:pPr>
              <w:spacing w:line="320" w:lineRule="exact"/>
              <w:jc w:val="center"/>
              <w:rPr>
                <w:sz w:val="21"/>
                <w:szCs w:val="21"/>
              </w:rPr>
            </w:pPr>
            <w:r>
              <w:rPr>
                <w:sz w:val="21"/>
                <w:szCs w:val="21"/>
              </w:rPr>
              <w:t>设备基座减振</w:t>
            </w:r>
          </w:p>
        </w:tc>
        <w:tc>
          <w:tcPr>
            <w:tcW w:w="1028" w:type="dxa"/>
            <w:tcBorders>
              <w:left w:val="nil"/>
              <w:right w:val="single" w:sz="4" w:space="0" w:color="auto"/>
            </w:tcBorders>
            <w:vAlign w:val="center"/>
          </w:tcPr>
          <w:p w:rsidR="00905154" w:rsidRDefault="00905154" w:rsidP="0070516C">
            <w:pPr>
              <w:spacing w:line="320" w:lineRule="exact"/>
              <w:jc w:val="center"/>
              <w:rPr>
                <w:sz w:val="21"/>
                <w:szCs w:val="21"/>
              </w:rPr>
            </w:pPr>
            <w:r>
              <w:rPr>
                <w:sz w:val="21"/>
                <w:szCs w:val="21"/>
              </w:rPr>
              <w:t>70</w:t>
            </w:r>
          </w:p>
        </w:tc>
      </w:tr>
      <w:tr w:rsidR="00905154" w:rsidTr="00064C8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风机通风机房</w:t>
            </w:r>
          </w:p>
        </w:tc>
        <w:tc>
          <w:tcPr>
            <w:tcW w:w="2509"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FBCDZ-No20/2×220</w:t>
            </w:r>
            <w:r>
              <w:rPr>
                <w:sz w:val="21"/>
                <w:szCs w:val="21"/>
              </w:rPr>
              <w:t>型对旋轴流风机</w:t>
            </w:r>
            <w:r>
              <w:rPr>
                <w:sz w:val="21"/>
                <w:szCs w:val="21"/>
              </w:rPr>
              <w:t>/2</w:t>
            </w:r>
            <w:r>
              <w:rPr>
                <w:sz w:val="21"/>
                <w:szCs w:val="21"/>
              </w:rPr>
              <w:t>台（一用一备）</w:t>
            </w:r>
          </w:p>
        </w:tc>
        <w:tc>
          <w:tcPr>
            <w:tcW w:w="1134"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空气动力、机械</w:t>
            </w:r>
            <w:r>
              <w:rPr>
                <w:sz w:val="21"/>
                <w:szCs w:val="21"/>
              </w:rPr>
              <w:t>/</w:t>
            </w:r>
            <w:r>
              <w:rPr>
                <w:sz w:val="21"/>
                <w:szCs w:val="21"/>
              </w:rPr>
              <w:t>连续</w:t>
            </w:r>
          </w:p>
        </w:tc>
        <w:tc>
          <w:tcPr>
            <w:tcW w:w="851" w:type="dxa"/>
            <w:tcBorders>
              <w:top w:val="single" w:sz="4" w:space="0" w:color="auto"/>
              <w:left w:val="nil"/>
              <w:bottom w:val="single" w:sz="4" w:space="0" w:color="auto"/>
              <w:right w:val="single" w:sz="4" w:space="0" w:color="auto"/>
            </w:tcBorders>
            <w:vAlign w:val="center"/>
          </w:tcPr>
          <w:p w:rsidR="00905154" w:rsidRDefault="00905154" w:rsidP="00782CC1">
            <w:pPr>
              <w:spacing w:line="320" w:lineRule="exact"/>
              <w:jc w:val="center"/>
              <w:rPr>
                <w:sz w:val="21"/>
                <w:szCs w:val="21"/>
              </w:rPr>
            </w:pPr>
            <w:r>
              <w:rPr>
                <w:sz w:val="21"/>
                <w:szCs w:val="21"/>
              </w:rPr>
              <w:t>10</w:t>
            </w:r>
            <w:r w:rsidR="00782CC1">
              <w:rPr>
                <w:rFonts w:hint="eastAsia"/>
                <w:sz w:val="21"/>
                <w:szCs w:val="21"/>
              </w:rPr>
              <w:t>0</w:t>
            </w:r>
          </w:p>
        </w:tc>
        <w:tc>
          <w:tcPr>
            <w:tcW w:w="3004" w:type="dxa"/>
            <w:tcBorders>
              <w:left w:val="nil"/>
              <w:right w:val="single" w:sz="4" w:space="0" w:color="auto"/>
            </w:tcBorders>
            <w:vAlign w:val="center"/>
          </w:tcPr>
          <w:p w:rsidR="00905154" w:rsidRDefault="00905154" w:rsidP="00F76E27">
            <w:pPr>
              <w:spacing w:line="320" w:lineRule="exact"/>
              <w:jc w:val="center"/>
              <w:rPr>
                <w:sz w:val="21"/>
                <w:szCs w:val="21"/>
              </w:rPr>
            </w:pPr>
            <w:r>
              <w:rPr>
                <w:sz w:val="21"/>
                <w:szCs w:val="21"/>
              </w:rPr>
              <w:t>安装消声器，临近通风机一侧的围墙内衬吸声隔音</w:t>
            </w:r>
            <w:r w:rsidR="00F76E27">
              <w:rPr>
                <w:rFonts w:hint="eastAsia"/>
                <w:sz w:val="21"/>
                <w:szCs w:val="21"/>
              </w:rPr>
              <w:t>材料</w:t>
            </w:r>
            <w:r>
              <w:rPr>
                <w:sz w:val="21"/>
                <w:szCs w:val="21"/>
              </w:rPr>
              <w:t>。</w:t>
            </w:r>
          </w:p>
        </w:tc>
        <w:tc>
          <w:tcPr>
            <w:tcW w:w="1028" w:type="dxa"/>
            <w:tcBorders>
              <w:left w:val="nil"/>
              <w:right w:val="single" w:sz="4" w:space="0" w:color="auto"/>
            </w:tcBorders>
            <w:vAlign w:val="center"/>
          </w:tcPr>
          <w:p w:rsidR="00905154" w:rsidRDefault="00782CC1" w:rsidP="0070516C">
            <w:pPr>
              <w:spacing w:line="320" w:lineRule="exact"/>
              <w:jc w:val="center"/>
              <w:rPr>
                <w:sz w:val="21"/>
                <w:szCs w:val="21"/>
              </w:rPr>
            </w:pPr>
            <w:r>
              <w:rPr>
                <w:rFonts w:hint="eastAsia"/>
                <w:sz w:val="21"/>
                <w:szCs w:val="21"/>
              </w:rPr>
              <w:t>75</w:t>
            </w:r>
          </w:p>
        </w:tc>
      </w:tr>
      <w:tr w:rsidR="00905154" w:rsidTr="00064C8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空压机房</w:t>
            </w:r>
          </w:p>
        </w:tc>
        <w:tc>
          <w:tcPr>
            <w:tcW w:w="2509"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LGJ-22/8G</w:t>
            </w:r>
            <w:r>
              <w:rPr>
                <w:sz w:val="21"/>
                <w:szCs w:val="21"/>
              </w:rPr>
              <w:t>型螺杆压缩机</w:t>
            </w:r>
            <w:r>
              <w:rPr>
                <w:sz w:val="21"/>
                <w:szCs w:val="21"/>
              </w:rPr>
              <w:t>/2</w:t>
            </w:r>
            <w:r>
              <w:rPr>
                <w:sz w:val="21"/>
                <w:szCs w:val="21"/>
              </w:rPr>
              <w:t>台（一用一备）</w:t>
            </w:r>
          </w:p>
        </w:tc>
        <w:tc>
          <w:tcPr>
            <w:tcW w:w="1134"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气动力、机械</w:t>
            </w:r>
            <w:r>
              <w:rPr>
                <w:sz w:val="21"/>
                <w:szCs w:val="21"/>
              </w:rPr>
              <w:t>/</w:t>
            </w:r>
            <w:r>
              <w:rPr>
                <w:sz w:val="21"/>
                <w:szCs w:val="21"/>
              </w:rPr>
              <w:t>连续</w:t>
            </w:r>
          </w:p>
        </w:tc>
        <w:tc>
          <w:tcPr>
            <w:tcW w:w="851" w:type="dxa"/>
            <w:tcBorders>
              <w:top w:val="single" w:sz="4" w:space="0" w:color="auto"/>
              <w:left w:val="nil"/>
              <w:bottom w:val="single" w:sz="4" w:space="0" w:color="auto"/>
              <w:right w:val="single" w:sz="4" w:space="0" w:color="auto"/>
            </w:tcBorders>
            <w:vAlign w:val="center"/>
          </w:tcPr>
          <w:p w:rsidR="00905154" w:rsidRDefault="00F76E27" w:rsidP="0070516C">
            <w:pPr>
              <w:spacing w:line="320" w:lineRule="exact"/>
              <w:jc w:val="center"/>
              <w:rPr>
                <w:sz w:val="21"/>
                <w:szCs w:val="21"/>
              </w:rPr>
            </w:pPr>
            <w:r>
              <w:rPr>
                <w:rFonts w:hint="eastAsia"/>
                <w:sz w:val="21"/>
                <w:szCs w:val="21"/>
              </w:rPr>
              <w:t>8</w:t>
            </w:r>
            <w:r w:rsidR="00905154">
              <w:rPr>
                <w:sz w:val="21"/>
                <w:szCs w:val="21"/>
              </w:rPr>
              <w:t>5</w:t>
            </w:r>
          </w:p>
        </w:tc>
        <w:tc>
          <w:tcPr>
            <w:tcW w:w="3004" w:type="dxa"/>
            <w:tcBorders>
              <w:left w:val="nil"/>
              <w:right w:val="single" w:sz="4" w:space="0" w:color="auto"/>
            </w:tcBorders>
            <w:vAlign w:val="center"/>
          </w:tcPr>
          <w:p w:rsidR="00905154" w:rsidRDefault="00905154" w:rsidP="00F76E27">
            <w:pPr>
              <w:spacing w:line="320" w:lineRule="exact"/>
              <w:jc w:val="center"/>
              <w:rPr>
                <w:sz w:val="21"/>
                <w:szCs w:val="21"/>
              </w:rPr>
            </w:pPr>
            <w:r>
              <w:rPr>
                <w:sz w:val="21"/>
                <w:szCs w:val="21"/>
              </w:rPr>
              <w:t>设备基座减振、进排气口安装消声器、隔声门窗、建筑物隔声</w:t>
            </w:r>
          </w:p>
        </w:tc>
        <w:tc>
          <w:tcPr>
            <w:tcW w:w="1028" w:type="dxa"/>
            <w:tcBorders>
              <w:left w:val="nil"/>
              <w:right w:val="single" w:sz="4" w:space="0" w:color="auto"/>
            </w:tcBorders>
            <w:vAlign w:val="center"/>
          </w:tcPr>
          <w:p w:rsidR="00905154" w:rsidRDefault="00782CC1" w:rsidP="0070516C">
            <w:pPr>
              <w:spacing w:line="320" w:lineRule="exact"/>
              <w:jc w:val="center"/>
              <w:rPr>
                <w:sz w:val="21"/>
                <w:szCs w:val="21"/>
              </w:rPr>
            </w:pPr>
            <w:r>
              <w:rPr>
                <w:rFonts w:hint="eastAsia"/>
                <w:sz w:val="21"/>
                <w:szCs w:val="21"/>
              </w:rPr>
              <w:t>6</w:t>
            </w:r>
            <w:r w:rsidR="00905154">
              <w:rPr>
                <w:sz w:val="21"/>
                <w:szCs w:val="21"/>
              </w:rPr>
              <w:t>5</w:t>
            </w:r>
          </w:p>
        </w:tc>
      </w:tr>
      <w:tr w:rsidR="00905154" w:rsidTr="00064C8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机修车间</w:t>
            </w:r>
          </w:p>
        </w:tc>
        <w:tc>
          <w:tcPr>
            <w:tcW w:w="2509"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机修设备</w:t>
            </w:r>
            <w:r>
              <w:rPr>
                <w:sz w:val="21"/>
                <w:szCs w:val="21"/>
              </w:rPr>
              <w:t>/1</w:t>
            </w:r>
            <w:r>
              <w:rPr>
                <w:sz w:val="21"/>
                <w:szCs w:val="21"/>
              </w:rPr>
              <w:t>套</w:t>
            </w:r>
          </w:p>
        </w:tc>
        <w:tc>
          <w:tcPr>
            <w:tcW w:w="1134" w:type="dxa"/>
            <w:tcBorders>
              <w:top w:val="single" w:sz="4" w:space="0" w:color="auto"/>
              <w:left w:val="single" w:sz="4" w:space="0" w:color="auto"/>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机械振动</w:t>
            </w:r>
            <w:r>
              <w:rPr>
                <w:sz w:val="21"/>
                <w:szCs w:val="21"/>
              </w:rPr>
              <w:t>/</w:t>
            </w:r>
            <w:r>
              <w:rPr>
                <w:sz w:val="21"/>
                <w:szCs w:val="21"/>
              </w:rPr>
              <w:t>间断</w:t>
            </w:r>
          </w:p>
        </w:tc>
        <w:tc>
          <w:tcPr>
            <w:tcW w:w="851" w:type="dxa"/>
            <w:tcBorders>
              <w:top w:val="single" w:sz="4" w:space="0" w:color="auto"/>
              <w:left w:val="nil"/>
              <w:bottom w:val="single" w:sz="4" w:space="0" w:color="auto"/>
              <w:right w:val="single" w:sz="4" w:space="0" w:color="auto"/>
            </w:tcBorders>
            <w:vAlign w:val="center"/>
          </w:tcPr>
          <w:p w:rsidR="00905154" w:rsidRDefault="00905154" w:rsidP="0070516C">
            <w:pPr>
              <w:spacing w:line="320" w:lineRule="exact"/>
              <w:jc w:val="center"/>
              <w:rPr>
                <w:sz w:val="21"/>
                <w:szCs w:val="21"/>
              </w:rPr>
            </w:pPr>
            <w:r>
              <w:rPr>
                <w:sz w:val="21"/>
                <w:szCs w:val="21"/>
              </w:rPr>
              <w:t>95</w:t>
            </w:r>
          </w:p>
        </w:tc>
        <w:tc>
          <w:tcPr>
            <w:tcW w:w="3004" w:type="dxa"/>
            <w:tcBorders>
              <w:left w:val="nil"/>
              <w:right w:val="single" w:sz="4" w:space="0" w:color="auto"/>
            </w:tcBorders>
            <w:vAlign w:val="center"/>
          </w:tcPr>
          <w:p w:rsidR="00905154" w:rsidRDefault="00905154" w:rsidP="0070516C">
            <w:pPr>
              <w:spacing w:line="320" w:lineRule="exact"/>
              <w:jc w:val="center"/>
              <w:rPr>
                <w:sz w:val="21"/>
                <w:szCs w:val="21"/>
              </w:rPr>
            </w:pPr>
            <w:r>
              <w:rPr>
                <w:sz w:val="21"/>
                <w:szCs w:val="21"/>
              </w:rPr>
              <w:t>厂房设隔声门窗，夜间不开机</w:t>
            </w:r>
          </w:p>
        </w:tc>
        <w:tc>
          <w:tcPr>
            <w:tcW w:w="1028" w:type="dxa"/>
            <w:tcBorders>
              <w:left w:val="nil"/>
              <w:right w:val="single" w:sz="4" w:space="0" w:color="auto"/>
            </w:tcBorders>
            <w:vAlign w:val="center"/>
          </w:tcPr>
          <w:p w:rsidR="00905154" w:rsidRDefault="00905154" w:rsidP="0070516C">
            <w:pPr>
              <w:spacing w:line="320" w:lineRule="exact"/>
              <w:jc w:val="center"/>
              <w:rPr>
                <w:sz w:val="21"/>
                <w:szCs w:val="21"/>
              </w:rPr>
            </w:pPr>
            <w:r>
              <w:rPr>
                <w:sz w:val="21"/>
                <w:szCs w:val="21"/>
              </w:rPr>
              <w:t>75</w:t>
            </w:r>
          </w:p>
        </w:tc>
      </w:tr>
    </w:tbl>
    <w:p w:rsidR="00247B5D" w:rsidRPr="00905154" w:rsidRDefault="00247B5D" w:rsidP="00247B5D">
      <w:pPr>
        <w:spacing w:line="520" w:lineRule="exact"/>
        <w:ind w:firstLineChars="200" w:firstLine="480"/>
        <w:rPr>
          <w:sz w:val="24"/>
        </w:rPr>
      </w:pPr>
      <w:r w:rsidRPr="00905154">
        <w:rPr>
          <w:rFonts w:hint="eastAsia"/>
          <w:sz w:val="24"/>
        </w:rPr>
        <w:t>3</w:t>
      </w:r>
      <w:r w:rsidRPr="00905154">
        <w:rPr>
          <w:sz w:val="24"/>
        </w:rPr>
        <w:t>、噪声污染特点分析</w:t>
      </w:r>
    </w:p>
    <w:p w:rsidR="00247B5D" w:rsidRPr="00905154" w:rsidRDefault="00247B5D" w:rsidP="00247B5D">
      <w:pPr>
        <w:spacing w:line="520" w:lineRule="exact"/>
        <w:ind w:firstLine="480"/>
        <w:rPr>
          <w:sz w:val="24"/>
        </w:rPr>
      </w:pPr>
      <w:r w:rsidRPr="00905154">
        <w:rPr>
          <w:sz w:val="24"/>
        </w:rPr>
        <w:t>噪声污染的特点是随着距离的增长可快速削减，当高噪声设备停止使用时其噪声污染也随即消除。本项目采取的噪声防治措施为：在设备选型上，尽量选用运行平稳可靠、噪声小的设备；对高噪声</w:t>
      </w:r>
      <w:r w:rsidRPr="00905154">
        <w:rPr>
          <w:rFonts w:hint="eastAsia"/>
          <w:sz w:val="24"/>
        </w:rPr>
        <w:t>设备</w:t>
      </w:r>
      <w:r w:rsidRPr="00905154">
        <w:rPr>
          <w:sz w:val="24"/>
        </w:rPr>
        <w:t>采取</w:t>
      </w:r>
      <w:r w:rsidRPr="00905154">
        <w:rPr>
          <w:rFonts w:hint="eastAsia"/>
          <w:sz w:val="24"/>
        </w:rPr>
        <w:t>置于室内，并基础</w:t>
      </w:r>
      <w:r w:rsidRPr="00905154">
        <w:rPr>
          <w:sz w:val="24"/>
        </w:rPr>
        <w:t>减振等措施。</w:t>
      </w:r>
    </w:p>
    <w:p w:rsidR="00247B5D" w:rsidRPr="00905154" w:rsidRDefault="00247B5D" w:rsidP="00247B5D">
      <w:pPr>
        <w:spacing w:line="520" w:lineRule="exact"/>
        <w:ind w:firstLine="480"/>
        <w:rPr>
          <w:sz w:val="24"/>
        </w:rPr>
      </w:pPr>
      <w:r w:rsidRPr="00905154">
        <w:rPr>
          <w:rFonts w:hint="eastAsia"/>
          <w:sz w:val="24"/>
        </w:rPr>
        <w:t>4</w:t>
      </w:r>
      <w:r w:rsidRPr="00905154">
        <w:rPr>
          <w:sz w:val="24"/>
        </w:rPr>
        <w:t>、预测模式</w:t>
      </w:r>
    </w:p>
    <w:p w:rsidR="00247B5D" w:rsidRPr="00905154" w:rsidRDefault="00247B5D" w:rsidP="00247B5D">
      <w:pPr>
        <w:tabs>
          <w:tab w:val="left" w:pos="885"/>
        </w:tabs>
        <w:spacing w:line="520" w:lineRule="exact"/>
        <w:ind w:firstLineChars="200" w:firstLine="480"/>
        <w:rPr>
          <w:sz w:val="24"/>
        </w:rPr>
      </w:pPr>
      <w:r w:rsidRPr="00905154">
        <w:rPr>
          <w:sz w:val="24"/>
        </w:rPr>
        <w:t>（</w:t>
      </w:r>
      <w:r w:rsidRPr="00905154">
        <w:rPr>
          <w:sz w:val="24"/>
        </w:rPr>
        <w:t>1</w:t>
      </w:r>
      <w:r w:rsidRPr="00905154">
        <w:rPr>
          <w:sz w:val="24"/>
        </w:rPr>
        <w:t>）点声源几何发散衰减模式</w:t>
      </w:r>
    </w:p>
    <w:p w:rsidR="00247B5D" w:rsidRPr="00905154" w:rsidRDefault="00247B5D" w:rsidP="00247B5D">
      <w:pPr>
        <w:spacing w:line="520" w:lineRule="exact"/>
        <w:ind w:firstLine="660"/>
        <w:rPr>
          <w:spacing w:val="-8"/>
          <w:sz w:val="24"/>
        </w:rPr>
      </w:pPr>
      <w:r w:rsidRPr="00905154">
        <w:rPr>
          <w:rFonts w:hint="eastAsia"/>
          <w:spacing w:val="-8"/>
          <w:sz w:val="24"/>
        </w:rPr>
        <w:t>本评价采用《环境影响评价技术导则</w:t>
      </w:r>
      <w:r w:rsidRPr="00905154">
        <w:rPr>
          <w:rFonts w:hint="eastAsia"/>
          <w:spacing w:val="-8"/>
          <w:sz w:val="24"/>
        </w:rPr>
        <w:t xml:space="preserve"> </w:t>
      </w:r>
      <w:r w:rsidRPr="00905154">
        <w:rPr>
          <w:rFonts w:hint="eastAsia"/>
          <w:spacing w:val="-8"/>
          <w:sz w:val="24"/>
        </w:rPr>
        <w:t>声环境》中的工业噪声模式预测本项目各噪声源对厂界及</w:t>
      </w:r>
      <w:r w:rsidRPr="00905154">
        <w:rPr>
          <w:rFonts w:hint="eastAsia"/>
          <w:spacing w:val="-8"/>
          <w:sz w:val="24"/>
        </w:rPr>
        <w:t>200m</w:t>
      </w:r>
      <w:r w:rsidRPr="00905154">
        <w:rPr>
          <w:rFonts w:hint="eastAsia"/>
          <w:spacing w:val="-8"/>
          <w:sz w:val="24"/>
        </w:rPr>
        <w:t>范围内的影响。</w:t>
      </w:r>
      <w:r w:rsidRPr="00905154">
        <w:rPr>
          <w:spacing w:val="-8"/>
          <w:sz w:val="24"/>
        </w:rPr>
        <w:t>根据工业噪声源的特点，本次评价采用无指向性点声源的几何发散衰减公式进行预测：</w:t>
      </w:r>
    </w:p>
    <w:p w:rsidR="00247B5D" w:rsidRPr="00905154" w:rsidRDefault="00247B5D" w:rsidP="00247B5D">
      <w:pPr>
        <w:spacing w:line="520" w:lineRule="exact"/>
        <w:ind w:firstLine="480"/>
        <w:rPr>
          <w:sz w:val="24"/>
        </w:rPr>
      </w:pPr>
      <w:r w:rsidRPr="00905154">
        <w:rPr>
          <w:sz w:val="24"/>
        </w:rPr>
        <w:t>L</w:t>
      </w:r>
      <w:r w:rsidRPr="00905154">
        <w:rPr>
          <w:rFonts w:hint="eastAsia"/>
          <w:sz w:val="24"/>
          <w:vertAlign w:val="subscript"/>
        </w:rPr>
        <w:t>A</w:t>
      </w:r>
      <w:r w:rsidRPr="00905154">
        <w:rPr>
          <w:rFonts w:hint="eastAsia"/>
          <w:sz w:val="24"/>
        </w:rPr>
        <w:t>（</w:t>
      </w:r>
      <w:r w:rsidRPr="00905154">
        <w:rPr>
          <w:rFonts w:hint="eastAsia"/>
          <w:sz w:val="24"/>
        </w:rPr>
        <w:t>r</w:t>
      </w:r>
      <w:r w:rsidRPr="00905154">
        <w:rPr>
          <w:rFonts w:hint="eastAsia"/>
          <w:sz w:val="24"/>
        </w:rPr>
        <w:t>）</w:t>
      </w:r>
      <w:r w:rsidRPr="00905154">
        <w:rPr>
          <w:sz w:val="24"/>
        </w:rPr>
        <w:t>=L</w:t>
      </w:r>
      <w:r w:rsidRPr="00905154">
        <w:rPr>
          <w:rFonts w:hint="eastAsia"/>
          <w:sz w:val="24"/>
          <w:vertAlign w:val="subscript"/>
        </w:rPr>
        <w:t>A</w:t>
      </w:r>
      <w:r w:rsidRPr="00905154">
        <w:rPr>
          <w:rFonts w:hint="eastAsia"/>
          <w:sz w:val="24"/>
        </w:rPr>
        <w:t>（</w:t>
      </w:r>
      <w:r w:rsidRPr="00905154">
        <w:rPr>
          <w:rFonts w:ascii="宋体" w:hAnsi="宋体" w:hint="eastAsia"/>
          <w:sz w:val="24"/>
        </w:rPr>
        <w:t>r</w:t>
      </w:r>
      <w:r w:rsidRPr="00905154">
        <w:rPr>
          <w:rFonts w:ascii="宋体" w:hAnsi="宋体" w:hint="eastAsia"/>
          <w:sz w:val="24"/>
          <w:vertAlign w:val="subscript"/>
        </w:rPr>
        <w:t>0</w:t>
      </w:r>
      <w:r w:rsidRPr="00905154">
        <w:rPr>
          <w:rFonts w:hint="eastAsia"/>
          <w:sz w:val="24"/>
        </w:rPr>
        <w:t>）</w:t>
      </w:r>
      <w:r w:rsidRPr="00905154">
        <w:rPr>
          <w:sz w:val="24"/>
        </w:rPr>
        <w:t>-20lg</w:t>
      </w:r>
      <w:r w:rsidRPr="00905154">
        <w:rPr>
          <w:sz w:val="24"/>
        </w:rPr>
        <w:t>（</w:t>
      </w:r>
      <w:r w:rsidRPr="00905154">
        <w:rPr>
          <w:sz w:val="24"/>
        </w:rPr>
        <w:t>r/r</w:t>
      </w:r>
      <w:r w:rsidRPr="00905154">
        <w:rPr>
          <w:rFonts w:ascii="宋体" w:hAnsi="宋体" w:hint="eastAsia"/>
          <w:sz w:val="24"/>
          <w:vertAlign w:val="subscript"/>
        </w:rPr>
        <w:t>0</w:t>
      </w:r>
      <w:r w:rsidRPr="00905154">
        <w:rPr>
          <w:sz w:val="24"/>
        </w:rPr>
        <w:t>）</w:t>
      </w:r>
    </w:p>
    <w:p w:rsidR="00247B5D" w:rsidRPr="00905154" w:rsidRDefault="00247B5D" w:rsidP="00247B5D">
      <w:pPr>
        <w:snapToGrid w:val="0"/>
        <w:spacing w:line="520" w:lineRule="exact"/>
        <w:rPr>
          <w:rFonts w:ascii="宋体" w:hAnsi="宋体"/>
          <w:sz w:val="24"/>
        </w:rPr>
      </w:pPr>
      <w:r w:rsidRPr="00905154">
        <w:rPr>
          <w:rFonts w:ascii="宋体" w:hAnsi="宋体"/>
          <w:sz w:val="24"/>
        </w:rPr>
        <w:t>式中：r</w:t>
      </w:r>
      <w:r w:rsidRPr="00905154">
        <w:rPr>
          <w:rFonts w:ascii="宋体" w:hAnsi="宋体" w:hint="eastAsia"/>
          <w:sz w:val="24"/>
          <w:vertAlign w:val="subscript"/>
        </w:rPr>
        <w:t>0</w:t>
      </w:r>
      <w:r w:rsidRPr="00905154">
        <w:rPr>
          <w:rFonts w:ascii="宋体" w:hAnsi="宋体"/>
          <w:spacing w:val="-20"/>
          <w:sz w:val="24"/>
        </w:rPr>
        <w:t>——</w:t>
      </w:r>
      <w:r w:rsidRPr="00905154">
        <w:rPr>
          <w:rFonts w:ascii="宋体" w:hAnsi="宋体" w:hint="eastAsia"/>
          <w:sz w:val="24"/>
        </w:rPr>
        <w:t>参考位置距离</w:t>
      </w:r>
      <w:r w:rsidRPr="00905154">
        <w:rPr>
          <w:rFonts w:ascii="宋体" w:hAnsi="宋体"/>
          <w:sz w:val="24"/>
        </w:rPr>
        <w:t>声源的距离（m）；</w:t>
      </w:r>
    </w:p>
    <w:p w:rsidR="00247B5D" w:rsidRPr="00905154" w:rsidRDefault="00247B5D" w:rsidP="00247B5D">
      <w:pPr>
        <w:snapToGrid w:val="0"/>
        <w:spacing w:line="520" w:lineRule="exact"/>
        <w:ind w:firstLineChars="200" w:firstLine="480"/>
        <w:rPr>
          <w:rFonts w:ascii="宋体" w:hAnsi="宋体"/>
          <w:sz w:val="24"/>
        </w:rPr>
      </w:pPr>
      <w:r w:rsidRPr="00905154">
        <w:rPr>
          <w:rFonts w:ascii="宋体" w:hAnsi="宋体"/>
          <w:sz w:val="24"/>
        </w:rPr>
        <w:t>r</w:t>
      </w:r>
      <w:r w:rsidRPr="00905154">
        <w:rPr>
          <w:rFonts w:ascii="宋体" w:hAnsi="宋体"/>
          <w:spacing w:val="-20"/>
          <w:sz w:val="24"/>
        </w:rPr>
        <w:t>——</w:t>
      </w:r>
      <w:r w:rsidRPr="00905154">
        <w:rPr>
          <w:rFonts w:ascii="宋体" w:hAnsi="宋体" w:hint="eastAsia"/>
          <w:sz w:val="24"/>
        </w:rPr>
        <w:t>预测点距离</w:t>
      </w:r>
      <w:r w:rsidRPr="00905154">
        <w:rPr>
          <w:rFonts w:ascii="宋体" w:hAnsi="宋体"/>
          <w:sz w:val="24"/>
        </w:rPr>
        <w:t>声源的距离（m）；</w:t>
      </w:r>
    </w:p>
    <w:p w:rsidR="00247B5D" w:rsidRPr="00905154" w:rsidRDefault="00247B5D" w:rsidP="00247B5D">
      <w:pPr>
        <w:snapToGrid w:val="0"/>
        <w:spacing w:line="520" w:lineRule="exact"/>
        <w:ind w:firstLineChars="200" w:firstLine="480"/>
        <w:rPr>
          <w:sz w:val="24"/>
        </w:rPr>
      </w:pPr>
      <w:r w:rsidRPr="00905154">
        <w:rPr>
          <w:sz w:val="24"/>
        </w:rPr>
        <w:t>L</w:t>
      </w:r>
      <w:r w:rsidRPr="00905154">
        <w:rPr>
          <w:rFonts w:hint="eastAsia"/>
          <w:sz w:val="24"/>
          <w:vertAlign w:val="subscript"/>
        </w:rPr>
        <w:t>A</w:t>
      </w:r>
      <w:r w:rsidRPr="00905154">
        <w:rPr>
          <w:rFonts w:hint="eastAsia"/>
          <w:sz w:val="24"/>
        </w:rPr>
        <w:t>（</w:t>
      </w:r>
      <w:r w:rsidRPr="00905154">
        <w:rPr>
          <w:rFonts w:hint="eastAsia"/>
          <w:sz w:val="24"/>
        </w:rPr>
        <w:t>r</w:t>
      </w:r>
      <w:r w:rsidRPr="00905154">
        <w:rPr>
          <w:rFonts w:hint="eastAsia"/>
          <w:sz w:val="24"/>
        </w:rPr>
        <w:t>）</w:t>
      </w:r>
      <w:r w:rsidRPr="00905154">
        <w:rPr>
          <w:spacing w:val="-20"/>
          <w:sz w:val="24"/>
        </w:rPr>
        <w:t>——</w:t>
      </w:r>
      <w:r w:rsidRPr="00905154">
        <w:rPr>
          <w:rFonts w:hint="eastAsia"/>
          <w:sz w:val="24"/>
        </w:rPr>
        <w:t>距离剩余</w:t>
      </w:r>
      <w:r w:rsidRPr="00905154">
        <w:rPr>
          <w:sz w:val="24"/>
        </w:rPr>
        <w:t>r</w:t>
      </w:r>
      <w:r w:rsidRPr="00905154">
        <w:rPr>
          <w:sz w:val="24"/>
        </w:rPr>
        <w:t>处的</w:t>
      </w:r>
      <w:r w:rsidRPr="00905154">
        <w:rPr>
          <w:rFonts w:hint="eastAsia"/>
          <w:sz w:val="24"/>
        </w:rPr>
        <w:t>A</w:t>
      </w:r>
      <w:r w:rsidRPr="00905154">
        <w:rPr>
          <w:sz w:val="24"/>
        </w:rPr>
        <w:t>声级，</w:t>
      </w:r>
      <w:r w:rsidRPr="00905154">
        <w:rPr>
          <w:sz w:val="24"/>
        </w:rPr>
        <w:t>dB(A)</w:t>
      </w:r>
      <w:r w:rsidRPr="00905154">
        <w:rPr>
          <w:sz w:val="24"/>
        </w:rPr>
        <w:t>；</w:t>
      </w:r>
    </w:p>
    <w:p w:rsidR="00247B5D" w:rsidRPr="00905154" w:rsidRDefault="00247B5D" w:rsidP="00247B5D">
      <w:pPr>
        <w:snapToGrid w:val="0"/>
        <w:spacing w:line="520" w:lineRule="exact"/>
        <w:ind w:firstLineChars="200" w:firstLine="480"/>
        <w:rPr>
          <w:sz w:val="24"/>
        </w:rPr>
      </w:pPr>
      <w:r w:rsidRPr="00905154">
        <w:rPr>
          <w:sz w:val="24"/>
        </w:rPr>
        <w:t>L</w:t>
      </w:r>
      <w:r w:rsidRPr="00905154">
        <w:rPr>
          <w:rFonts w:hint="eastAsia"/>
          <w:sz w:val="24"/>
          <w:vertAlign w:val="subscript"/>
        </w:rPr>
        <w:t>A</w:t>
      </w:r>
      <w:r w:rsidRPr="00905154">
        <w:rPr>
          <w:rFonts w:hint="eastAsia"/>
          <w:sz w:val="24"/>
        </w:rPr>
        <w:t>（</w:t>
      </w:r>
      <w:r w:rsidRPr="00905154">
        <w:rPr>
          <w:rFonts w:hint="eastAsia"/>
          <w:sz w:val="24"/>
        </w:rPr>
        <w:t>r</w:t>
      </w:r>
      <w:r w:rsidRPr="00905154">
        <w:rPr>
          <w:rFonts w:ascii="宋体" w:hAnsi="宋体" w:hint="eastAsia"/>
          <w:sz w:val="24"/>
          <w:vertAlign w:val="subscript"/>
        </w:rPr>
        <w:t>0</w:t>
      </w:r>
      <w:r w:rsidRPr="00905154">
        <w:rPr>
          <w:rFonts w:hint="eastAsia"/>
          <w:sz w:val="24"/>
        </w:rPr>
        <w:t>）</w:t>
      </w:r>
      <w:r w:rsidRPr="00905154">
        <w:rPr>
          <w:spacing w:val="-20"/>
          <w:sz w:val="24"/>
        </w:rPr>
        <w:t>——</w:t>
      </w:r>
      <w:r w:rsidRPr="00905154">
        <w:rPr>
          <w:rFonts w:hint="eastAsia"/>
          <w:sz w:val="24"/>
        </w:rPr>
        <w:t>参考位置</w:t>
      </w:r>
      <w:r w:rsidRPr="00905154">
        <w:rPr>
          <w:rFonts w:hint="eastAsia"/>
          <w:sz w:val="24"/>
        </w:rPr>
        <w:t>r</w:t>
      </w:r>
      <w:r w:rsidRPr="00905154">
        <w:rPr>
          <w:rFonts w:ascii="宋体" w:hAnsi="宋体" w:hint="eastAsia"/>
          <w:sz w:val="24"/>
          <w:vertAlign w:val="subscript"/>
        </w:rPr>
        <w:t>0</w:t>
      </w:r>
      <w:r w:rsidRPr="00905154">
        <w:rPr>
          <w:rFonts w:hint="eastAsia"/>
          <w:sz w:val="24"/>
        </w:rPr>
        <w:t>的</w:t>
      </w:r>
      <w:r w:rsidRPr="00905154">
        <w:rPr>
          <w:rFonts w:hint="eastAsia"/>
          <w:sz w:val="24"/>
        </w:rPr>
        <w:t>A</w:t>
      </w:r>
      <w:r w:rsidRPr="00905154">
        <w:rPr>
          <w:sz w:val="24"/>
        </w:rPr>
        <w:t>声级，</w:t>
      </w:r>
      <w:r w:rsidRPr="00905154">
        <w:rPr>
          <w:sz w:val="24"/>
        </w:rPr>
        <w:t>dB(A)</w:t>
      </w:r>
      <w:r w:rsidRPr="00905154">
        <w:rPr>
          <w:sz w:val="24"/>
        </w:rPr>
        <w:t>；</w:t>
      </w:r>
    </w:p>
    <w:p w:rsidR="00247B5D" w:rsidRPr="00905154" w:rsidRDefault="00247B5D" w:rsidP="00247B5D">
      <w:pPr>
        <w:spacing w:line="520" w:lineRule="exact"/>
        <w:ind w:firstLineChars="200" w:firstLine="480"/>
        <w:rPr>
          <w:rFonts w:ascii="宋体" w:hAnsi="宋体"/>
          <w:sz w:val="24"/>
        </w:rPr>
      </w:pPr>
      <w:r w:rsidRPr="00905154">
        <w:rPr>
          <w:rFonts w:ascii="宋体" w:hAnsi="宋体"/>
          <w:sz w:val="24"/>
        </w:rPr>
        <w:t>（2）</w:t>
      </w:r>
      <w:r w:rsidRPr="00905154">
        <w:rPr>
          <w:rFonts w:ascii="宋体" w:hAnsi="宋体" w:hint="eastAsia"/>
          <w:sz w:val="24"/>
        </w:rPr>
        <w:t>建设项目声源在预测点产生的等效声级贡献值（L</w:t>
      </w:r>
      <w:r w:rsidRPr="00905154">
        <w:rPr>
          <w:rFonts w:ascii="宋体" w:hAnsi="宋体" w:hint="eastAsia"/>
          <w:sz w:val="24"/>
          <w:vertAlign w:val="subscript"/>
        </w:rPr>
        <w:t>eqg</w:t>
      </w:r>
      <w:r w:rsidRPr="00905154">
        <w:rPr>
          <w:rFonts w:ascii="宋体" w:hAnsi="宋体" w:hint="eastAsia"/>
          <w:sz w:val="24"/>
        </w:rPr>
        <w:t>）计算公式：</w:t>
      </w:r>
    </w:p>
    <w:p w:rsidR="00247B5D" w:rsidRPr="00905154" w:rsidRDefault="00247B5D" w:rsidP="009C5F33">
      <w:pPr>
        <w:spacing w:beforeLines="50" w:afterLines="50" w:line="520" w:lineRule="exact"/>
        <w:ind w:firstLineChars="200" w:firstLine="480"/>
        <w:rPr>
          <w:rFonts w:ascii="宋体" w:hAnsi="宋体"/>
          <w:sz w:val="24"/>
        </w:rPr>
      </w:pPr>
      <w:r w:rsidRPr="00905154">
        <w:rPr>
          <w:rFonts w:ascii="宋体" w:hAnsi="宋体"/>
          <w:position w:val="-30"/>
          <w:sz w:val="24"/>
        </w:rPr>
        <w:object w:dxaOrig="2700" w:dyaOrig="720">
          <v:shape id="_x0000_i1076" type="#_x0000_t75" style="width:135pt;height:36pt" o:ole="">
            <v:imagedata r:id="rId133" o:title=""/>
          </v:shape>
          <o:OLEObject Type="Embed" ProgID="Equations" ShapeID="_x0000_i1076" DrawAspect="Content" ObjectID="_1695746939" r:id="rId134"/>
        </w:object>
      </w:r>
    </w:p>
    <w:p w:rsidR="00247B5D" w:rsidRPr="00905154" w:rsidRDefault="00247B5D" w:rsidP="00247B5D">
      <w:pPr>
        <w:spacing w:line="520" w:lineRule="exact"/>
        <w:ind w:firstLineChars="200" w:firstLine="480"/>
        <w:rPr>
          <w:rFonts w:ascii="宋体" w:hAnsi="宋体"/>
          <w:sz w:val="24"/>
        </w:rPr>
      </w:pPr>
      <w:r w:rsidRPr="00905154">
        <w:rPr>
          <w:rFonts w:ascii="宋体" w:hAnsi="宋体" w:hint="eastAsia"/>
          <w:sz w:val="24"/>
        </w:rPr>
        <w:lastRenderedPageBreak/>
        <w:t>式中：L</w:t>
      </w:r>
      <w:r w:rsidRPr="00905154">
        <w:rPr>
          <w:rFonts w:ascii="宋体" w:hAnsi="宋体" w:hint="eastAsia"/>
          <w:sz w:val="24"/>
          <w:vertAlign w:val="subscript"/>
        </w:rPr>
        <w:t>eqg</w:t>
      </w:r>
      <w:r w:rsidRPr="00905154">
        <w:rPr>
          <w:rFonts w:ascii="宋体" w:hAnsi="宋体" w:hint="eastAsia"/>
          <w:sz w:val="24"/>
        </w:rPr>
        <w:t>——建设项目声源在预测点的等效声级贡献值，</w:t>
      </w:r>
      <w:r w:rsidRPr="00905154">
        <w:rPr>
          <w:rFonts w:ascii="宋体" w:hAnsi="宋体"/>
          <w:sz w:val="24"/>
        </w:rPr>
        <w:t>dB(A)</w:t>
      </w:r>
    </w:p>
    <w:p w:rsidR="00247B5D" w:rsidRPr="00905154" w:rsidRDefault="00247B5D" w:rsidP="00247B5D">
      <w:pPr>
        <w:spacing w:line="520" w:lineRule="exact"/>
        <w:ind w:firstLineChars="200" w:firstLine="480"/>
        <w:rPr>
          <w:rFonts w:ascii="宋体" w:hAnsi="宋体"/>
          <w:sz w:val="24"/>
        </w:rPr>
      </w:pPr>
      <w:r w:rsidRPr="00905154">
        <w:rPr>
          <w:rFonts w:ascii="宋体" w:hAnsi="宋体" w:hint="eastAsia"/>
          <w:sz w:val="24"/>
        </w:rPr>
        <w:t>L</w:t>
      </w:r>
      <w:r w:rsidRPr="00905154">
        <w:rPr>
          <w:rFonts w:ascii="宋体" w:hAnsi="宋体" w:hint="eastAsia"/>
          <w:sz w:val="24"/>
          <w:vertAlign w:val="subscript"/>
        </w:rPr>
        <w:t>Ai</w:t>
      </w:r>
      <w:r w:rsidRPr="00905154">
        <w:rPr>
          <w:rFonts w:ascii="宋体" w:hAnsi="宋体" w:hint="eastAsia"/>
          <w:sz w:val="24"/>
        </w:rPr>
        <w:t>——i声源在预测点产生的A声级，</w:t>
      </w:r>
      <w:r w:rsidRPr="00905154">
        <w:rPr>
          <w:rFonts w:ascii="宋体" w:hAnsi="宋体"/>
          <w:sz w:val="24"/>
        </w:rPr>
        <w:t>dB(A)</w:t>
      </w:r>
    </w:p>
    <w:p w:rsidR="00247B5D" w:rsidRPr="00905154" w:rsidRDefault="00247B5D" w:rsidP="00247B5D">
      <w:pPr>
        <w:spacing w:line="520" w:lineRule="exact"/>
        <w:ind w:firstLineChars="200" w:firstLine="480"/>
        <w:rPr>
          <w:rFonts w:ascii="宋体" w:hAnsi="宋体"/>
          <w:sz w:val="24"/>
        </w:rPr>
      </w:pPr>
      <w:r w:rsidRPr="00905154">
        <w:rPr>
          <w:rFonts w:ascii="宋体" w:hAnsi="宋体" w:hint="eastAsia"/>
          <w:sz w:val="24"/>
        </w:rPr>
        <w:t>T——预测计算的时间段，s</w:t>
      </w:r>
    </w:p>
    <w:p w:rsidR="00247B5D" w:rsidRPr="00905154" w:rsidRDefault="00247B5D" w:rsidP="00247B5D">
      <w:pPr>
        <w:spacing w:line="520" w:lineRule="exact"/>
        <w:ind w:firstLineChars="200" w:firstLine="480"/>
        <w:rPr>
          <w:rFonts w:ascii="宋体" w:hAnsi="宋体"/>
          <w:sz w:val="24"/>
        </w:rPr>
      </w:pPr>
      <w:r w:rsidRPr="00905154">
        <w:rPr>
          <w:rFonts w:ascii="宋体" w:hAnsi="宋体" w:hint="eastAsia"/>
          <w:sz w:val="24"/>
        </w:rPr>
        <w:t>t</w:t>
      </w:r>
      <w:r w:rsidRPr="00905154">
        <w:rPr>
          <w:rFonts w:ascii="宋体" w:hAnsi="宋体" w:hint="eastAsia"/>
          <w:sz w:val="24"/>
          <w:vertAlign w:val="subscript"/>
        </w:rPr>
        <w:t>i</w:t>
      </w:r>
      <w:r w:rsidRPr="00905154">
        <w:rPr>
          <w:rFonts w:ascii="宋体" w:hAnsi="宋体" w:hint="eastAsia"/>
          <w:sz w:val="24"/>
        </w:rPr>
        <w:t>——i声源在T时间段内的运行时间，s</w:t>
      </w:r>
    </w:p>
    <w:p w:rsidR="00247B5D" w:rsidRPr="00905154" w:rsidRDefault="00247B5D" w:rsidP="00247B5D">
      <w:pPr>
        <w:spacing w:line="520" w:lineRule="exact"/>
        <w:ind w:firstLineChars="200" w:firstLine="480"/>
        <w:rPr>
          <w:rFonts w:ascii="宋体" w:hAnsi="宋体"/>
          <w:sz w:val="24"/>
        </w:rPr>
      </w:pPr>
      <w:r w:rsidRPr="00905154">
        <w:rPr>
          <w:rFonts w:ascii="宋体" w:hAnsi="宋体" w:hint="eastAsia"/>
          <w:sz w:val="24"/>
        </w:rPr>
        <w:t>（3）预测点的预测等效声级（L</w:t>
      </w:r>
      <w:r w:rsidRPr="00905154">
        <w:rPr>
          <w:rFonts w:ascii="宋体" w:hAnsi="宋体" w:hint="eastAsia"/>
          <w:sz w:val="24"/>
          <w:vertAlign w:val="subscript"/>
        </w:rPr>
        <w:t>eq</w:t>
      </w:r>
      <w:r w:rsidRPr="00905154">
        <w:rPr>
          <w:rFonts w:ascii="宋体" w:hAnsi="宋体" w:hint="eastAsia"/>
          <w:sz w:val="24"/>
        </w:rPr>
        <w:t>）计算公式</w:t>
      </w:r>
    </w:p>
    <w:p w:rsidR="00247B5D" w:rsidRPr="00905154" w:rsidRDefault="00247B5D" w:rsidP="009C5F33">
      <w:pPr>
        <w:spacing w:beforeLines="50" w:afterLines="50" w:line="520" w:lineRule="exact"/>
        <w:ind w:firstLineChars="200" w:firstLine="480"/>
        <w:rPr>
          <w:rFonts w:ascii="宋体" w:hAnsi="宋体"/>
          <w:sz w:val="24"/>
        </w:rPr>
      </w:pPr>
      <w:r w:rsidRPr="00905154">
        <w:rPr>
          <w:rFonts w:ascii="宋体" w:hAnsi="宋体"/>
          <w:position w:val="-14"/>
          <w:sz w:val="24"/>
        </w:rPr>
        <w:object w:dxaOrig="2799" w:dyaOrig="420">
          <v:shape id="_x0000_i1077" type="#_x0000_t75" style="width:140.25pt;height:21pt" o:ole="">
            <v:imagedata r:id="rId135" o:title=""/>
          </v:shape>
          <o:OLEObject Type="Embed" ProgID="Equations" ShapeID="_x0000_i1077" DrawAspect="Content" ObjectID="_1695746940" r:id="rId136"/>
        </w:object>
      </w:r>
    </w:p>
    <w:p w:rsidR="00247B5D" w:rsidRPr="00905154" w:rsidRDefault="00247B5D" w:rsidP="00247B5D">
      <w:pPr>
        <w:spacing w:line="520" w:lineRule="exact"/>
        <w:ind w:firstLineChars="200" w:firstLine="480"/>
        <w:rPr>
          <w:rFonts w:ascii="宋体" w:hAnsi="宋体"/>
          <w:sz w:val="24"/>
        </w:rPr>
      </w:pPr>
      <w:r w:rsidRPr="00905154">
        <w:rPr>
          <w:rFonts w:ascii="宋体" w:hAnsi="宋体"/>
          <w:sz w:val="24"/>
        </w:rPr>
        <w:t>式中：</w:t>
      </w:r>
      <w:r w:rsidRPr="00905154">
        <w:rPr>
          <w:rFonts w:ascii="宋体" w:hAnsi="宋体" w:hint="eastAsia"/>
          <w:sz w:val="24"/>
        </w:rPr>
        <w:t>L</w:t>
      </w:r>
      <w:r w:rsidRPr="00905154">
        <w:rPr>
          <w:rFonts w:ascii="宋体" w:hAnsi="宋体" w:hint="eastAsia"/>
          <w:sz w:val="24"/>
          <w:vertAlign w:val="subscript"/>
        </w:rPr>
        <w:t>eqg</w:t>
      </w:r>
      <w:r w:rsidRPr="00905154">
        <w:rPr>
          <w:rFonts w:ascii="宋体" w:hAnsi="宋体" w:hint="eastAsia"/>
          <w:sz w:val="24"/>
        </w:rPr>
        <w:t>——建设项目声源在预测点的等效声级贡献值，</w:t>
      </w:r>
      <w:r w:rsidRPr="00905154">
        <w:rPr>
          <w:rFonts w:ascii="宋体" w:hAnsi="宋体"/>
          <w:sz w:val="24"/>
        </w:rPr>
        <w:t>dB(A)</w:t>
      </w:r>
    </w:p>
    <w:p w:rsidR="00247B5D" w:rsidRPr="00905154" w:rsidRDefault="00247B5D" w:rsidP="00247B5D">
      <w:pPr>
        <w:spacing w:line="520" w:lineRule="exact"/>
        <w:ind w:firstLineChars="200" w:firstLine="480"/>
        <w:rPr>
          <w:rFonts w:ascii="宋体" w:hAnsi="宋体"/>
          <w:sz w:val="24"/>
        </w:rPr>
      </w:pPr>
      <w:r w:rsidRPr="00905154">
        <w:rPr>
          <w:rFonts w:ascii="宋体" w:hAnsi="宋体" w:hint="eastAsia"/>
          <w:sz w:val="24"/>
        </w:rPr>
        <w:t>L</w:t>
      </w:r>
      <w:r w:rsidRPr="00905154">
        <w:rPr>
          <w:rFonts w:ascii="宋体" w:hAnsi="宋体" w:hint="eastAsia"/>
          <w:sz w:val="24"/>
          <w:vertAlign w:val="subscript"/>
        </w:rPr>
        <w:t>eqb</w:t>
      </w:r>
      <w:r w:rsidRPr="00905154">
        <w:rPr>
          <w:rFonts w:ascii="宋体" w:hAnsi="宋体" w:hint="eastAsia"/>
          <w:sz w:val="24"/>
        </w:rPr>
        <w:t>——预测点的背景值，</w:t>
      </w:r>
      <w:r w:rsidRPr="00905154">
        <w:rPr>
          <w:rFonts w:ascii="宋体" w:hAnsi="宋体"/>
          <w:sz w:val="24"/>
        </w:rPr>
        <w:t>dB(A)</w:t>
      </w:r>
    </w:p>
    <w:p w:rsidR="00247B5D" w:rsidRPr="00905154" w:rsidRDefault="00247B5D" w:rsidP="00247B5D">
      <w:pPr>
        <w:spacing w:line="520" w:lineRule="exact"/>
        <w:ind w:firstLine="480"/>
        <w:rPr>
          <w:sz w:val="24"/>
        </w:rPr>
      </w:pPr>
      <w:r w:rsidRPr="00905154">
        <w:rPr>
          <w:sz w:val="24"/>
        </w:rPr>
        <w:t>4</w:t>
      </w:r>
      <w:r w:rsidRPr="00905154">
        <w:rPr>
          <w:sz w:val="24"/>
        </w:rPr>
        <w:t>、预测内容</w:t>
      </w:r>
    </w:p>
    <w:p w:rsidR="00247B5D" w:rsidRPr="00905154" w:rsidRDefault="00247B5D" w:rsidP="00247B5D">
      <w:pPr>
        <w:spacing w:line="520" w:lineRule="exact"/>
        <w:ind w:firstLineChars="200" w:firstLine="480"/>
        <w:rPr>
          <w:sz w:val="24"/>
        </w:rPr>
      </w:pPr>
      <w:r w:rsidRPr="00905154">
        <w:rPr>
          <w:sz w:val="24"/>
        </w:rPr>
        <w:t>根据该项目噪声源的分布，对工业</w:t>
      </w:r>
      <w:r w:rsidR="00905154">
        <w:rPr>
          <w:rFonts w:hint="eastAsia"/>
          <w:sz w:val="24"/>
        </w:rPr>
        <w:t>场地</w:t>
      </w:r>
      <w:r w:rsidRPr="00905154">
        <w:rPr>
          <w:sz w:val="24"/>
        </w:rPr>
        <w:t>厂界噪声</w:t>
      </w:r>
      <w:r w:rsidRPr="00905154">
        <w:rPr>
          <w:rFonts w:hint="eastAsia"/>
          <w:sz w:val="24"/>
        </w:rPr>
        <w:t>及周围</w:t>
      </w:r>
      <w:r w:rsidRPr="00905154">
        <w:rPr>
          <w:rFonts w:hint="eastAsia"/>
          <w:sz w:val="24"/>
        </w:rPr>
        <w:t>200m</w:t>
      </w:r>
      <w:r w:rsidRPr="00905154">
        <w:rPr>
          <w:rFonts w:hint="eastAsia"/>
          <w:sz w:val="24"/>
        </w:rPr>
        <w:t>范围内敏感点</w:t>
      </w:r>
      <w:r w:rsidRPr="00905154">
        <w:rPr>
          <w:sz w:val="24"/>
        </w:rPr>
        <w:t>影响进行预测计算，评价项目建成后对周围声环境产生的影响程度。</w:t>
      </w:r>
    </w:p>
    <w:p w:rsidR="00247B5D" w:rsidRPr="00905154" w:rsidRDefault="00247B5D" w:rsidP="00247B5D">
      <w:pPr>
        <w:spacing w:line="520" w:lineRule="exact"/>
        <w:ind w:firstLineChars="200" w:firstLine="480"/>
        <w:rPr>
          <w:sz w:val="24"/>
        </w:rPr>
      </w:pPr>
      <w:r w:rsidRPr="00905154">
        <w:rPr>
          <w:sz w:val="24"/>
        </w:rPr>
        <w:t>噪声评价标准见表</w:t>
      </w:r>
      <w:r w:rsidR="00905154">
        <w:rPr>
          <w:rFonts w:hint="eastAsia"/>
          <w:sz w:val="24"/>
        </w:rPr>
        <w:t>6.4-2</w:t>
      </w:r>
      <w:r w:rsidRPr="00905154">
        <w:rPr>
          <w:sz w:val="24"/>
        </w:rPr>
        <w:t>。</w:t>
      </w:r>
    </w:p>
    <w:p w:rsidR="00247B5D" w:rsidRPr="00905154" w:rsidRDefault="00247B5D" w:rsidP="00247B5D">
      <w:pPr>
        <w:spacing w:line="520" w:lineRule="exact"/>
        <w:jc w:val="center"/>
        <w:rPr>
          <w:rFonts w:eastAsia="黑体"/>
          <w:bCs/>
          <w:sz w:val="24"/>
        </w:rPr>
      </w:pPr>
      <w:r w:rsidRPr="00905154">
        <w:rPr>
          <w:rFonts w:eastAsia="黑体"/>
          <w:bCs/>
          <w:sz w:val="24"/>
        </w:rPr>
        <w:t>表</w:t>
      </w:r>
      <w:r w:rsidR="00905154">
        <w:rPr>
          <w:rFonts w:eastAsia="黑体" w:hint="eastAsia"/>
          <w:bCs/>
          <w:sz w:val="24"/>
        </w:rPr>
        <w:t>6.4-2</w:t>
      </w:r>
      <w:r w:rsidRPr="00905154">
        <w:rPr>
          <w:rFonts w:eastAsia="黑体"/>
          <w:bCs/>
          <w:sz w:val="24"/>
        </w:rPr>
        <w:t xml:space="preserve">       </w:t>
      </w:r>
      <w:r w:rsidRPr="00905154">
        <w:rPr>
          <w:rFonts w:eastAsia="黑体"/>
          <w:bCs/>
          <w:sz w:val="24"/>
        </w:rPr>
        <w:t>噪声评价标准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6244"/>
        <w:gridCol w:w="850"/>
        <w:gridCol w:w="848"/>
      </w:tblGrid>
      <w:tr w:rsidR="00247B5D" w:rsidRPr="00905154" w:rsidTr="0070516C">
        <w:tc>
          <w:tcPr>
            <w:tcW w:w="561" w:type="pct"/>
            <w:shd w:val="clear" w:color="auto" w:fill="auto"/>
            <w:vAlign w:val="center"/>
          </w:tcPr>
          <w:p w:rsidR="00247B5D" w:rsidRPr="00905154" w:rsidRDefault="00247B5D" w:rsidP="0070516C">
            <w:pPr>
              <w:spacing w:line="340" w:lineRule="exact"/>
              <w:jc w:val="center"/>
              <w:rPr>
                <w:sz w:val="21"/>
                <w:szCs w:val="21"/>
              </w:rPr>
            </w:pPr>
          </w:p>
        </w:tc>
        <w:tc>
          <w:tcPr>
            <w:tcW w:w="3490" w:type="pct"/>
            <w:shd w:val="clear" w:color="auto" w:fill="auto"/>
            <w:vAlign w:val="center"/>
          </w:tcPr>
          <w:p w:rsidR="00247B5D" w:rsidRPr="00905154" w:rsidRDefault="00247B5D" w:rsidP="0070516C">
            <w:pPr>
              <w:spacing w:line="340" w:lineRule="exact"/>
              <w:jc w:val="center"/>
              <w:rPr>
                <w:sz w:val="21"/>
                <w:szCs w:val="21"/>
              </w:rPr>
            </w:pPr>
            <w:r w:rsidRPr="00905154">
              <w:rPr>
                <w:sz w:val="21"/>
                <w:szCs w:val="21"/>
              </w:rPr>
              <w:t>执行标准</w:t>
            </w:r>
          </w:p>
        </w:tc>
        <w:tc>
          <w:tcPr>
            <w:tcW w:w="475" w:type="pct"/>
            <w:vAlign w:val="center"/>
          </w:tcPr>
          <w:p w:rsidR="00247B5D" w:rsidRPr="00905154" w:rsidRDefault="00247B5D" w:rsidP="0070516C">
            <w:pPr>
              <w:spacing w:line="340" w:lineRule="exact"/>
              <w:jc w:val="center"/>
              <w:rPr>
                <w:sz w:val="21"/>
                <w:szCs w:val="21"/>
              </w:rPr>
            </w:pPr>
            <w:r w:rsidRPr="00905154">
              <w:rPr>
                <w:sz w:val="21"/>
                <w:szCs w:val="21"/>
              </w:rPr>
              <w:t>昼间</w:t>
            </w:r>
          </w:p>
        </w:tc>
        <w:tc>
          <w:tcPr>
            <w:tcW w:w="474" w:type="pct"/>
            <w:vAlign w:val="center"/>
          </w:tcPr>
          <w:p w:rsidR="00247B5D" w:rsidRPr="00905154" w:rsidRDefault="00247B5D" w:rsidP="0070516C">
            <w:pPr>
              <w:spacing w:line="340" w:lineRule="exact"/>
              <w:jc w:val="center"/>
              <w:rPr>
                <w:sz w:val="21"/>
                <w:szCs w:val="21"/>
              </w:rPr>
            </w:pPr>
            <w:r w:rsidRPr="00905154">
              <w:rPr>
                <w:sz w:val="21"/>
                <w:szCs w:val="21"/>
              </w:rPr>
              <w:t>夜间</w:t>
            </w:r>
          </w:p>
        </w:tc>
      </w:tr>
      <w:tr w:rsidR="00247B5D" w:rsidRPr="00905154" w:rsidTr="0070516C">
        <w:tc>
          <w:tcPr>
            <w:tcW w:w="561" w:type="pct"/>
            <w:shd w:val="clear" w:color="auto" w:fill="auto"/>
            <w:vAlign w:val="center"/>
          </w:tcPr>
          <w:p w:rsidR="00247B5D" w:rsidRPr="00905154" w:rsidRDefault="00247B5D" w:rsidP="0070516C">
            <w:pPr>
              <w:spacing w:line="340" w:lineRule="exact"/>
              <w:jc w:val="center"/>
              <w:rPr>
                <w:sz w:val="21"/>
                <w:szCs w:val="21"/>
              </w:rPr>
            </w:pPr>
            <w:r w:rsidRPr="00905154">
              <w:rPr>
                <w:rFonts w:hint="eastAsia"/>
                <w:sz w:val="21"/>
                <w:szCs w:val="21"/>
              </w:rPr>
              <w:t>区域</w:t>
            </w:r>
          </w:p>
        </w:tc>
        <w:tc>
          <w:tcPr>
            <w:tcW w:w="3490" w:type="pct"/>
            <w:shd w:val="clear" w:color="auto" w:fill="auto"/>
            <w:vAlign w:val="center"/>
          </w:tcPr>
          <w:p w:rsidR="00247B5D" w:rsidRPr="00905154" w:rsidRDefault="00247B5D" w:rsidP="0070516C">
            <w:pPr>
              <w:spacing w:line="340" w:lineRule="exact"/>
              <w:jc w:val="center"/>
              <w:rPr>
                <w:sz w:val="21"/>
                <w:szCs w:val="21"/>
              </w:rPr>
            </w:pPr>
            <w:r w:rsidRPr="00905154">
              <w:rPr>
                <w:sz w:val="21"/>
                <w:szCs w:val="21"/>
              </w:rPr>
              <w:t>《声环境质量标准》（</w:t>
            </w:r>
            <w:r w:rsidRPr="00905154">
              <w:rPr>
                <w:sz w:val="21"/>
                <w:szCs w:val="21"/>
              </w:rPr>
              <w:t>GB3096-2008</w:t>
            </w:r>
            <w:r w:rsidRPr="00905154">
              <w:rPr>
                <w:sz w:val="21"/>
                <w:szCs w:val="21"/>
              </w:rPr>
              <w:t>）</w:t>
            </w:r>
            <w:r w:rsidRPr="00905154">
              <w:rPr>
                <w:rFonts w:hint="eastAsia"/>
                <w:sz w:val="21"/>
                <w:szCs w:val="21"/>
              </w:rPr>
              <w:t>2</w:t>
            </w:r>
            <w:r w:rsidRPr="00905154">
              <w:rPr>
                <w:rFonts w:hint="eastAsia"/>
                <w:sz w:val="21"/>
                <w:szCs w:val="21"/>
              </w:rPr>
              <w:t>类</w:t>
            </w:r>
          </w:p>
        </w:tc>
        <w:tc>
          <w:tcPr>
            <w:tcW w:w="475" w:type="pct"/>
            <w:vAlign w:val="center"/>
          </w:tcPr>
          <w:p w:rsidR="00247B5D" w:rsidRPr="00905154" w:rsidRDefault="00247B5D" w:rsidP="0070516C">
            <w:pPr>
              <w:spacing w:line="340" w:lineRule="exact"/>
              <w:jc w:val="center"/>
              <w:rPr>
                <w:sz w:val="21"/>
                <w:szCs w:val="21"/>
              </w:rPr>
            </w:pPr>
            <w:r w:rsidRPr="00905154">
              <w:rPr>
                <w:sz w:val="21"/>
                <w:szCs w:val="21"/>
              </w:rPr>
              <w:t>60</w:t>
            </w:r>
          </w:p>
        </w:tc>
        <w:tc>
          <w:tcPr>
            <w:tcW w:w="474" w:type="pct"/>
            <w:vAlign w:val="center"/>
          </w:tcPr>
          <w:p w:rsidR="00247B5D" w:rsidRPr="00905154" w:rsidRDefault="00247B5D" w:rsidP="0070516C">
            <w:pPr>
              <w:spacing w:line="340" w:lineRule="exact"/>
              <w:jc w:val="center"/>
              <w:rPr>
                <w:sz w:val="21"/>
                <w:szCs w:val="21"/>
              </w:rPr>
            </w:pPr>
            <w:r w:rsidRPr="00905154">
              <w:rPr>
                <w:sz w:val="21"/>
                <w:szCs w:val="21"/>
              </w:rPr>
              <w:t>50</w:t>
            </w:r>
          </w:p>
        </w:tc>
      </w:tr>
      <w:tr w:rsidR="00247B5D" w:rsidRPr="00905154" w:rsidTr="0070516C">
        <w:tc>
          <w:tcPr>
            <w:tcW w:w="561" w:type="pct"/>
            <w:shd w:val="clear" w:color="auto" w:fill="auto"/>
            <w:vAlign w:val="center"/>
          </w:tcPr>
          <w:p w:rsidR="00247B5D" w:rsidRPr="00905154" w:rsidRDefault="00247B5D" w:rsidP="0070516C">
            <w:pPr>
              <w:spacing w:line="340" w:lineRule="exact"/>
              <w:jc w:val="center"/>
              <w:rPr>
                <w:sz w:val="21"/>
                <w:szCs w:val="21"/>
              </w:rPr>
            </w:pPr>
            <w:r w:rsidRPr="00905154">
              <w:rPr>
                <w:rFonts w:hint="eastAsia"/>
                <w:sz w:val="21"/>
                <w:szCs w:val="21"/>
              </w:rPr>
              <w:t>厂界</w:t>
            </w:r>
          </w:p>
        </w:tc>
        <w:tc>
          <w:tcPr>
            <w:tcW w:w="3490" w:type="pct"/>
            <w:shd w:val="clear" w:color="auto" w:fill="auto"/>
            <w:vAlign w:val="center"/>
          </w:tcPr>
          <w:p w:rsidR="00247B5D" w:rsidRPr="00905154" w:rsidRDefault="00247B5D" w:rsidP="0070516C">
            <w:pPr>
              <w:spacing w:line="340" w:lineRule="exact"/>
              <w:jc w:val="center"/>
              <w:rPr>
                <w:sz w:val="21"/>
                <w:szCs w:val="21"/>
              </w:rPr>
            </w:pPr>
            <w:r w:rsidRPr="00905154">
              <w:rPr>
                <w:sz w:val="21"/>
                <w:szCs w:val="21"/>
              </w:rPr>
              <w:t>《工业企业厂界</w:t>
            </w:r>
            <w:r w:rsidRPr="00905154">
              <w:rPr>
                <w:rFonts w:hint="eastAsia"/>
                <w:sz w:val="21"/>
                <w:szCs w:val="21"/>
              </w:rPr>
              <w:t>环境</w:t>
            </w:r>
            <w:r w:rsidRPr="00905154">
              <w:rPr>
                <w:sz w:val="21"/>
                <w:szCs w:val="21"/>
              </w:rPr>
              <w:t>噪声排放标准》（</w:t>
            </w:r>
            <w:r w:rsidRPr="00905154">
              <w:rPr>
                <w:sz w:val="21"/>
                <w:szCs w:val="21"/>
              </w:rPr>
              <w:t>GB12348-2008</w:t>
            </w:r>
            <w:r w:rsidRPr="00905154">
              <w:rPr>
                <w:sz w:val="21"/>
                <w:szCs w:val="21"/>
              </w:rPr>
              <w:t>）</w:t>
            </w:r>
            <w:r w:rsidRPr="00905154">
              <w:rPr>
                <w:rFonts w:hint="eastAsia"/>
                <w:sz w:val="21"/>
                <w:szCs w:val="21"/>
              </w:rPr>
              <w:t>2</w:t>
            </w:r>
            <w:r w:rsidRPr="00905154">
              <w:rPr>
                <w:rFonts w:hint="eastAsia"/>
                <w:sz w:val="21"/>
                <w:szCs w:val="21"/>
              </w:rPr>
              <w:t>类</w:t>
            </w:r>
          </w:p>
        </w:tc>
        <w:tc>
          <w:tcPr>
            <w:tcW w:w="475" w:type="pct"/>
            <w:vAlign w:val="center"/>
          </w:tcPr>
          <w:p w:rsidR="00247B5D" w:rsidRPr="00905154" w:rsidRDefault="00247B5D" w:rsidP="0070516C">
            <w:pPr>
              <w:spacing w:line="340" w:lineRule="exact"/>
              <w:jc w:val="center"/>
              <w:rPr>
                <w:sz w:val="21"/>
                <w:szCs w:val="21"/>
              </w:rPr>
            </w:pPr>
            <w:r w:rsidRPr="00905154">
              <w:rPr>
                <w:sz w:val="21"/>
                <w:szCs w:val="21"/>
              </w:rPr>
              <w:t>60</w:t>
            </w:r>
          </w:p>
        </w:tc>
        <w:tc>
          <w:tcPr>
            <w:tcW w:w="474" w:type="pct"/>
            <w:vAlign w:val="center"/>
          </w:tcPr>
          <w:p w:rsidR="00247B5D" w:rsidRPr="00905154" w:rsidRDefault="00247B5D" w:rsidP="0070516C">
            <w:pPr>
              <w:spacing w:line="340" w:lineRule="exact"/>
              <w:jc w:val="center"/>
              <w:rPr>
                <w:sz w:val="21"/>
                <w:szCs w:val="21"/>
              </w:rPr>
            </w:pPr>
            <w:r w:rsidRPr="00905154">
              <w:rPr>
                <w:sz w:val="21"/>
                <w:szCs w:val="21"/>
              </w:rPr>
              <w:t>50</w:t>
            </w:r>
          </w:p>
        </w:tc>
      </w:tr>
    </w:tbl>
    <w:p w:rsidR="00247B5D" w:rsidRPr="00C448A6" w:rsidRDefault="00247B5D" w:rsidP="00247B5D">
      <w:pPr>
        <w:spacing w:line="520" w:lineRule="exact"/>
        <w:ind w:firstLineChars="200" w:firstLine="480"/>
        <w:rPr>
          <w:bCs/>
          <w:sz w:val="24"/>
        </w:rPr>
      </w:pPr>
      <w:r w:rsidRPr="00C448A6">
        <w:rPr>
          <w:bCs/>
          <w:sz w:val="24"/>
        </w:rPr>
        <w:t>5</w:t>
      </w:r>
      <w:r w:rsidRPr="00C448A6">
        <w:rPr>
          <w:bCs/>
          <w:sz w:val="24"/>
        </w:rPr>
        <w:t>、预测结果及分析</w:t>
      </w:r>
    </w:p>
    <w:p w:rsidR="00247B5D" w:rsidRPr="00C448A6" w:rsidRDefault="00247B5D" w:rsidP="00247B5D">
      <w:pPr>
        <w:spacing w:line="520" w:lineRule="exact"/>
        <w:ind w:firstLineChars="200" w:firstLine="480"/>
        <w:rPr>
          <w:sz w:val="24"/>
        </w:rPr>
      </w:pPr>
      <w:r w:rsidRPr="00C448A6">
        <w:rPr>
          <w:sz w:val="24"/>
        </w:rPr>
        <w:t>根据选厂平面布置中各个高噪声源的相对位置</w:t>
      </w:r>
      <w:r>
        <w:rPr>
          <w:rFonts w:hint="eastAsia"/>
          <w:sz w:val="24"/>
        </w:rPr>
        <w:t>、</w:t>
      </w:r>
      <w:r w:rsidRPr="00C448A6">
        <w:rPr>
          <w:sz w:val="24"/>
        </w:rPr>
        <w:t>声级值</w:t>
      </w:r>
      <w:r>
        <w:rPr>
          <w:rFonts w:ascii="宋体" w:hAnsi="宋体" w:hint="eastAsia"/>
          <w:color w:val="000000"/>
          <w:sz w:val="24"/>
        </w:rPr>
        <w:t>，</w:t>
      </w:r>
      <w:r w:rsidRPr="00C448A6">
        <w:rPr>
          <w:sz w:val="24"/>
        </w:rPr>
        <w:t>利用上述公式</w:t>
      </w:r>
      <w:r>
        <w:rPr>
          <w:rFonts w:hint="eastAsia"/>
          <w:sz w:val="24"/>
        </w:rPr>
        <w:t>计算</w:t>
      </w:r>
      <w:r>
        <w:rPr>
          <w:rFonts w:ascii="宋体" w:hAnsi="宋体" w:hint="eastAsia"/>
          <w:color w:val="000000"/>
          <w:sz w:val="24"/>
        </w:rPr>
        <w:t>主要噪声源在采取降噪措施后</w:t>
      </w:r>
      <w:r w:rsidRPr="00C448A6">
        <w:rPr>
          <w:sz w:val="24"/>
        </w:rPr>
        <w:t>对厂界的噪声级进行预测，结果见表</w:t>
      </w:r>
      <w:r w:rsidR="00597470">
        <w:rPr>
          <w:rFonts w:hint="eastAsia"/>
          <w:sz w:val="24"/>
        </w:rPr>
        <w:t>6.4-3</w:t>
      </w:r>
      <w:r>
        <w:rPr>
          <w:rFonts w:hint="eastAsia"/>
          <w:sz w:val="24"/>
        </w:rPr>
        <w:t>及图</w:t>
      </w:r>
      <w:r w:rsidR="00597470">
        <w:rPr>
          <w:rFonts w:hint="eastAsia"/>
          <w:sz w:val="24"/>
        </w:rPr>
        <w:t>6.4</w:t>
      </w:r>
      <w:r>
        <w:rPr>
          <w:rFonts w:hint="eastAsia"/>
          <w:sz w:val="24"/>
        </w:rPr>
        <w:t>-1</w:t>
      </w:r>
      <w:r w:rsidRPr="00C448A6">
        <w:rPr>
          <w:sz w:val="24"/>
        </w:rPr>
        <w:t>。</w:t>
      </w:r>
    </w:p>
    <w:p w:rsidR="00247B5D" w:rsidRPr="00C448A6" w:rsidRDefault="00247B5D" w:rsidP="00247B5D">
      <w:pPr>
        <w:spacing w:line="520" w:lineRule="exact"/>
        <w:ind w:firstLine="482"/>
        <w:jc w:val="center"/>
        <w:rPr>
          <w:rFonts w:eastAsia="黑体"/>
          <w:sz w:val="24"/>
        </w:rPr>
      </w:pPr>
      <w:r w:rsidRPr="00C448A6">
        <w:rPr>
          <w:rFonts w:eastAsia="黑体"/>
          <w:sz w:val="24"/>
        </w:rPr>
        <w:t>表</w:t>
      </w:r>
      <w:r w:rsidR="00597470">
        <w:rPr>
          <w:rFonts w:eastAsia="黑体" w:hint="eastAsia"/>
          <w:sz w:val="24"/>
        </w:rPr>
        <w:t>6.4-3</w:t>
      </w:r>
      <w:r w:rsidRPr="00C448A6">
        <w:rPr>
          <w:rFonts w:eastAsia="黑体"/>
          <w:sz w:val="24"/>
        </w:rPr>
        <w:t xml:space="preserve">      </w:t>
      </w:r>
      <w:r w:rsidRPr="00C448A6">
        <w:rPr>
          <w:rFonts w:eastAsia="黑体"/>
          <w:sz w:val="24"/>
        </w:rPr>
        <w:t>厂界及关心点噪声预测结果一览表</w:t>
      </w:r>
    </w:p>
    <w:tbl>
      <w:tblPr>
        <w:tblW w:w="509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490"/>
        <w:gridCol w:w="789"/>
        <w:gridCol w:w="1277"/>
        <w:gridCol w:w="1270"/>
        <w:gridCol w:w="1271"/>
        <w:gridCol w:w="1271"/>
        <w:gridCol w:w="1271"/>
        <w:gridCol w:w="1264"/>
      </w:tblGrid>
      <w:tr w:rsidR="00247B5D" w:rsidRPr="00597470" w:rsidTr="0070516C">
        <w:trPr>
          <w:cantSplit/>
          <w:jc w:val="center"/>
        </w:trPr>
        <w:tc>
          <w:tcPr>
            <w:tcW w:w="1431" w:type="pct"/>
            <w:gridSpan w:val="3"/>
            <w:vAlign w:val="center"/>
          </w:tcPr>
          <w:p w:rsidR="00247B5D" w:rsidRPr="00597470" w:rsidRDefault="00247B5D" w:rsidP="0070516C">
            <w:pPr>
              <w:spacing w:line="360" w:lineRule="exact"/>
              <w:jc w:val="center"/>
              <w:rPr>
                <w:sz w:val="21"/>
                <w:szCs w:val="21"/>
              </w:rPr>
            </w:pPr>
            <w:r w:rsidRPr="00597470">
              <w:rPr>
                <w:rFonts w:hint="eastAsia"/>
                <w:sz w:val="21"/>
                <w:szCs w:val="21"/>
              </w:rPr>
              <w:t>项目</w:t>
            </w:r>
          </w:p>
        </w:tc>
        <w:tc>
          <w:tcPr>
            <w:tcW w:w="713" w:type="pct"/>
            <w:vAlign w:val="center"/>
          </w:tcPr>
          <w:p w:rsidR="00247B5D" w:rsidRPr="00597470" w:rsidRDefault="00247B5D" w:rsidP="0070516C">
            <w:pPr>
              <w:spacing w:line="360" w:lineRule="exact"/>
              <w:jc w:val="center"/>
              <w:rPr>
                <w:sz w:val="21"/>
                <w:szCs w:val="21"/>
              </w:rPr>
            </w:pPr>
            <w:r w:rsidRPr="00597470">
              <w:rPr>
                <w:sz w:val="21"/>
                <w:szCs w:val="21"/>
              </w:rPr>
              <w:t>东厂界</w:t>
            </w:r>
          </w:p>
        </w:tc>
        <w:tc>
          <w:tcPr>
            <w:tcW w:w="714" w:type="pct"/>
            <w:vAlign w:val="center"/>
          </w:tcPr>
          <w:p w:rsidR="00247B5D" w:rsidRPr="00597470" w:rsidRDefault="00247B5D" w:rsidP="0070516C">
            <w:pPr>
              <w:spacing w:line="360" w:lineRule="exact"/>
              <w:jc w:val="center"/>
              <w:rPr>
                <w:sz w:val="21"/>
                <w:szCs w:val="21"/>
              </w:rPr>
            </w:pPr>
            <w:r w:rsidRPr="00597470">
              <w:rPr>
                <w:sz w:val="21"/>
                <w:szCs w:val="21"/>
              </w:rPr>
              <w:t>西厂界</w:t>
            </w:r>
          </w:p>
        </w:tc>
        <w:tc>
          <w:tcPr>
            <w:tcW w:w="714" w:type="pct"/>
            <w:vAlign w:val="center"/>
          </w:tcPr>
          <w:p w:rsidR="00247B5D" w:rsidRPr="00597470" w:rsidRDefault="00247B5D" w:rsidP="0070516C">
            <w:pPr>
              <w:spacing w:line="360" w:lineRule="exact"/>
              <w:jc w:val="center"/>
              <w:rPr>
                <w:sz w:val="21"/>
                <w:szCs w:val="21"/>
              </w:rPr>
            </w:pPr>
            <w:r w:rsidRPr="00597470">
              <w:rPr>
                <w:sz w:val="21"/>
                <w:szCs w:val="21"/>
              </w:rPr>
              <w:t>南厂界</w:t>
            </w:r>
          </w:p>
        </w:tc>
        <w:tc>
          <w:tcPr>
            <w:tcW w:w="714" w:type="pct"/>
            <w:shd w:val="clear" w:color="auto" w:fill="auto"/>
            <w:vAlign w:val="center"/>
          </w:tcPr>
          <w:p w:rsidR="00247B5D" w:rsidRPr="00597470" w:rsidRDefault="00247B5D" w:rsidP="0070516C">
            <w:pPr>
              <w:spacing w:line="360" w:lineRule="exact"/>
              <w:jc w:val="center"/>
              <w:rPr>
                <w:sz w:val="21"/>
                <w:szCs w:val="21"/>
              </w:rPr>
            </w:pPr>
            <w:r w:rsidRPr="00597470">
              <w:rPr>
                <w:sz w:val="21"/>
                <w:szCs w:val="21"/>
              </w:rPr>
              <w:t>北厂界</w:t>
            </w:r>
          </w:p>
        </w:tc>
        <w:tc>
          <w:tcPr>
            <w:tcW w:w="714" w:type="pct"/>
            <w:shd w:val="clear" w:color="auto" w:fill="auto"/>
            <w:vAlign w:val="center"/>
          </w:tcPr>
          <w:p w:rsidR="00247B5D" w:rsidRPr="00597470" w:rsidRDefault="0001371C" w:rsidP="0070516C">
            <w:pPr>
              <w:spacing w:line="360" w:lineRule="exact"/>
              <w:jc w:val="center"/>
              <w:rPr>
                <w:color w:val="FF0000"/>
                <w:sz w:val="21"/>
                <w:szCs w:val="21"/>
              </w:rPr>
            </w:pPr>
            <w:r>
              <w:rPr>
                <w:color w:val="000000"/>
                <w:kern w:val="0"/>
                <w:sz w:val="21"/>
                <w:szCs w:val="21"/>
              </w:rPr>
              <w:t>赵沟村柿树行组</w:t>
            </w:r>
          </w:p>
        </w:tc>
      </w:tr>
      <w:tr w:rsidR="00247B5D" w:rsidRPr="00597470" w:rsidTr="0070516C">
        <w:trPr>
          <w:cantSplit/>
          <w:jc w:val="center"/>
        </w:trPr>
        <w:tc>
          <w:tcPr>
            <w:tcW w:w="275" w:type="pct"/>
            <w:vMerge w:val="restart"/>
            <w:vAlign w:val="center"/>
          </w:tcPr>
          <w:p w:rsidR="00247B5D" w:rsidRPr="00597470" w:rsidRDefault="00597470" w:rsidP="0070516C">
            <w:pPr>
              <w:spacing w:line="360" w:lineRule="exact"/>
              <w:jc w:val="center"/>
              <w:rPr>
                <w:sz w:val="21"/>
                <w:szCs w:val="21"/>
              </w:rPr>
            </w:pPr>
            <w:r>
              <w:rPr>
                <w:rFonts w:hint="eastAsia"/>
                <w:sz w:val="21"/>
                <w:szCs w:val="21"/>
              </w:rPr>
              <w:t>工业场地</w:t>
            </w:r>
          </w:p>
        </w:tc>
        <w:tc>
          <w:tcPr>
            <w:tcW w:w="1156" w:type="pct"/>
            <w:gridSpan w:val="2"/>
            <w:vAlign w:val="center"/>
          </w:tcPr>
          <w:p w:rsidR="00247B5D" w:rsidRPr="00597470" w:rsidRDefault="00247B5D" w:rsidP="0070516C">
            <w:pPr>
              <w:spacing w:line="360" w:lineRule="exact"/>
              <w:jc w:val="center"/>
              <w:rPr>
                <w:sz w:val="21"/>
                <w:szCs w:val="21"/>
              </w:rPr>
            </w:pPr>
            <w:r w:rsidRPr="00597470">
              <w:rPr>
                <w:rFonts w:hint="eastAsia"/>
                <w:sz w:val="21"/>
                <w:szCs w:val="21"/>
              </w:rPr>
              <w:t>各高噪声源对各厂界最大贡献值</w:t>
            </w:r>
          </w:p>
        </w:tc>
        <w:tc>
          <w:tcPr>
            <w:tcW w:w="713" w:type="pct"/>
            <w:vAlign w:val="center"/>
          </w:tcPr>
          <w:p w:rsidR="00247B5D" w:rsidRPr="00597470" w:rsidRDefault="00F76E27" w:rsidP="00F76E27">
            <w:pPr>
              <w:jc w:val="center"/>
              <w:rPr>
                <w:rFonts w:ascii="宋体" w:hAnsi="宋体" w:cs="宋体"/>
                <w:sz w:val="21"/>
                <w:szCs w:val="21"/>
              </w:rPr>
            </w:pPr>
            <w:r>
              <w:rPr>
                <w:rFonts w:hint="eastAsia"/>
                <w:sz w:val="21"/>
                <w:szCs w:val="21"/>
              </w:rPr>
              <w:t>39.5</w:t>
            </w:r>
          </w:p>
        </w:tc>
        <w:tc>
          <w:tcPr>
            <w:tcW w:w="714" w:type="pct"/>
            <w:vAlign w:val="center"/>
          </w:tcPr>
          <w:p w:rsidR="00247B5D" w:rsidRPr="00597470" w:rsidRDefault="00247B5D" w:rsidP="00F76E27">
            <w:pPr>
              <w:jc w:val="center"/>
              <w:rPr>
                <w:rFonts w:ascii="宋体" w:hAnsi="宋体" w:cs="宋体"/>
                <w:sz w:val="21"/>
                <w:szCs w:val="21"/>
              </w:rPr>
            </w:pPr>
            <w:r w:rsidRPr="00597470">
              <w:rPr>
                <w:rFonts w:hint="eastAsia"/>
                <w:sz w:val="21"/>
                <w:szCs w:val="21"/>
              </w:rPr>
              <w:t>4</w:t>
            </w:r>
            <w:r w:rsidR="00F76E27">
              <w:rPr>
                <w:rFonts w:hint="eastAsia"/>
                <w:sz w:val="21"/>
                <w:szCs w:val="21"/>
              </w:rPr>
              <w:t>4.7</w:t>
            </w:r>
          </w:p>
        </w:tc>
        <w:tc>
          <w:tcPr>
            <w:tcW w:w="714" w:type="pct"/>
            <w:vAlign w:val="center"/>
          </w:tcPr>
          <w:p w:rsidR="00247B5D" w:rsidRPr="00597470" w:rsidRDefault="00247B5D" w:rsidP="00F76E27">
            <w:pPr>
              <w:jc w:val="center"/>
              <w:rPr>
                <w:rFonts w:ascii="宋体" w:hAnsi="宋体" w:cs="宋体"/>
                <w:sz w:val="21"/>
                <w:szCs w:val="21"/>
              </w:rPr>
            </w:pPr>
            <w:r w:rsidRPr="00597470">
              <w:rPr>
                <w:rFonts w:hint="eastAsia"/>
                <w:sz w:val="21"/>
                <w:szCs w:val="21"/>
              </w:rPr>
              <w:t>4</w:t>
            </w:r>
            <w:r w:rsidR="00F76E27">
              <w:rPr>
                <w:rFonts w:hint="eastAsia"/>
                <w:sz w:val="21"/>
                <w:szCs w:val="21"/>
              </w:rPr>
              <w:t>9</w:t>
            </w:r>
            <w:r w:rsidRPr="00597470">
              <w:rPr>
                <w:rFonts w:hint="eastAsia"/>
                <w:sz w:val="21"/>
                <w:szCs w:val="21"/>
              </w:rPr>
              <w:t>.2</w:t>
            </w:r>
          </w:p>
        </w:tc>
        <w:tc>
          <w:tcPr>
            <w:tcW w:w="714" w:type="pct"/>
            <w:shd w:val="clear" w:color="auto" w:fill="auto"/>
            <w:vAlign w:val="center"/>
          </w:tcPr>
          <w:p w:rsidR="00247B5D" w:rsidRPr="00597470" w:rsidRDefault="00F76E27" w:rsidP="0070516C">
            <w:pPr>
              <w:jc w:val="center"/>
              <w:rPr>
                <w:rFonts w:ascii="宋体" w:hAnsi="宋体" w:cs="宋体"/>
                <w:sz w:val="21"/>
                <w:szCs w:val="21"/>
              </w:rPr>
            </w:pPr>
            <w:r>
              <w:rPr>
                <w:rFonts w:hint="eastAsia"/>
                <w:sz w:val="21"/>
                <w:szCs w:val="21"/>
              </w:rPr>
              <w:t>37</w:t>
            </w:r>
            <w:r w:rsidR="00247B5D" w:rsidRPr="00597470">
              <w:rPr>
                <w:rFonts w:hint="eastAsia"/>
                <w:sz w:val="21"/>
                <w:szCs w:val="21"/>
              </w:rPr>
              <w:t>.5</w:t>
            </w:r>
          </w:p>
        </w:tc>
        <w:tc>
          <w:tcPr>
            <w:tcW w:w="714" w:type="pct"/>
            <w:shd w:val="clear" w:color="auto" w:fill="auto"/>
            <w:vAlign w:val="center"/>
          </w:tcPr>
          <w:p w:rsidR="00247B5D" w:rsidRPr="00597470" w:rsidRDefault="00247B5D" w:rsidP="00F76E27">
            <w:pPr>
              <w:spacing w:line="360" w:lineRule="exact"/>
              <w:jc w:val="center"/>
              <w:rPr>
                <w:rFonts w:ascii="宋体" w:hAnsi="宋体" w:cs="宋体"/>
                <w:sz w:val="21"/>
                <w:szCs w:val="21"/>
              </w:rPr>
            </w:pPr>
            <w:r w:rsidRPr="00597470">
              <w:rPr>
                <w:rFonts w:ascii="宋体" w:hAnsi="宋体" w:cs="宋体" w:hint="eastAsia"/>
                <w:sz w:val="21"/>
                <w:szCs w:val="21"/>
              </w:rPr>
              <w:t>3</w:t>
            </w:r>
            <w:r w:rsidR="00F76E27">
              <w:rPr>
                <w:rFonts w:ascii="宋体" w:hAnsi="宋体" w:cs="宋体" w:hint="eastAsia"/>
                <w:sz w:val="21"/>
                <w:szCs w:val="21"/>
              </w:rPr>
              <w:t>3</w:t>
            </w:r>
            <w:r w:rsidRPr="00597470">
              <w:rPr>
                <w:rFonts w:ascii="宋体" w:hAnsi="宋体" w:cs="宋体" w:hint="eastAsia"/>
                <w:sz w:val="21"/>
                <w:szCs w:val="21"/>
              </w:rPr>
              <w:t>.2</w:t>
            </w:r>
          </w:p>
        </w:tc>
      </w:tr>
      <w:tr w:rsidR="00247B5D" w:rsidRPr="00597470" w:rsidTr="0070516C">
        <w:trPr>
          <w:cantSplit/>
          <w:jc w:val="center"/>
        </w:trPr>
        <w:tc>
          <w:tcPr>
            <w:tcW w:w="275" w:type="pct"/>
            <w:vMerge/>
            <w:vAlign w:val="center"/>
          </w:tcPr>
          <w:p w:rsidR="00247B5D" w:rsidRPr="00597470" w:rsidRDefault="00247B5D" w:rsidP="0070516C">
            <w:pPr>
              <w:spacing w:line="360" w:lineRule="exact"/>
              <w:jc w:val="center"/>
              <w:rPr>
                <w:sz w:val="21"/>
                <w:szCs w:val="21"/>
              </w:rPr>
            </w:pPr>
          </w:p>
        </w:tc>
        <w:tc>
          <w:tcPr>
            <w:tcW w:w="443" w:type="pct"/>
            <w:vMerge w:val="restart"/>
            <w:vAlign w:val="center"/>
          </w:tcPr>
          <w:p w:rsidR="00247B5D" w:rsidRPr="00F76E27" w:rsidRDefault="00247B5D" w:rsidP="0070516C">
            <w:pPr>
              <w:spacing w:line="360" w:lineRule="exact"/>
              <w:jc w:val="center"/>
              <w:rPr>
                <w:sz w:val="21"/>
                <w:szCs w:val="21"/>
              </w:rPr>
            </w:pPr>
            <w:r w:rsidRPr="00F76E27">
              <w:rPr>
                <w:rFonts w:hint="eastAsia"/>
                <w:sz w:val="21"/>
                <w:szCs w:val="21"/>
              </w:rPr>
              <w:t>叠加背景值</w:t>
            </w:r>
          </w:p>
        </w:tc>
        <w:tc>
          <w:tcPr>
            <w:tcW w:w="713" w:type="pct"/>
            <w:vAlign w:val="center"/>
          </w:tcPr>
          <w:p w:rsidR="00247B5D" w:rsidRPr="00597470" w:rsidRDefault="00247B5D" w:rsidP="0070516C">
            <w:pPr>
              <w:spacing w:line="360" w:lineRule="exact"/>
              <w:jc w:val="center"/>
              <w:rPr>
                <w:sz w:val="21"/>
                <w:szCs w:val="21"/>
              </w:rPr>
            </w:pPr>
            <w:r w:rsidRPr="00597470">
              <w:rPr>
                <w:sz w:val="21"/>
                <w:szCs w:val="21"/>
              </w:rPr>
              <w:t>昼间</w:t>
            </w:r>
            <w:r w:rsidR="00782CC1">
              <w:rPr>
                <w:rFonts w:ascii="宋体" w:hAnsi="宋体" w:cs="宋体" w:hint="eastAsia"/>
                <w:sz w:val="21"/>
                <w:szCs w:val="21"/>
              </w:rPr>
              <w:t>54</w:t>
            </w:r>
          </w:p>
        </w:tc>
        <w:tc>
          <w:tcPr>
            <w:tcW w:w="713" w:type="pct"/>
            <w:vAlign w:val="center"/>
          </w:tcPr>
          <w:p w:rsidR="00247B5D" w:rsidRPr="00597470" w:rsidRDefault="00782CC1" w:rsidP="0070516C">
            <w:pPr>
              <w:jc w:val="center"/>
              <w:rPr>
                <w:b/>
                <w:i/>
                <w:sz w:val="21"/>
                <w:szCs w:val="21"/>
                <w:u w:val="single"/>
              </w:rPr>
            </w:pPr>
            <w:r>
              <w:rPr>
                <w:rFonts w:hint="eastAsia"/>
                <w:b/>
                <w:i/>
                <w:sz w:val="21"/>
                <w:szCs w:val="21"/>
                <w:u w:val="single"/>
              </w:rPr>
              <w:t>/</w:t>
            </w:r>
          </w:p>
        </w:tc>
        <w:tc>
          <w:tcPr>
            <w:tcW w:w="714" w:type="pct"/>
            <w:vAlign w:val="center"/>
          </w:tcPr>
          <w:p w:rsidR="00247B5D" w:rsidRPr="00597470" w:rsidRDefault="00782CC1" w:rsidP="0070516C">
            <w:pPr>
              <w:jc w:val="center"/>
              <w:rPr>
                <w:b/>
                <w:i/>
                <w:sz w:val="21"/>
                <w:szCs w:val="21"/>
                <w:u w:val="single"/>
              </w:rPr>
            </w:pPr>
            <w:r>
              <w:rPr>
                <w:rFonts w:hint="eastAsia"/>
                <w:b/>
                <w:i/>
                <w:sz w:val="21"/>
                <w:szCs w:val="21"/>
                <w:u w:val="single"/>
              </w:rPr>
              <w:t>/</w:t>
            </w:r>
          </w:p>
        </w:tc>
        <w:tc>
          <w:tcPr>
            <w:tcW w:w="714" w:type="pct"/>
            <w:vAlign w:val="center"/>
          </w:tcPr>
          <w:p w:rsidR="00247B5D" w:rsidRPr="00597470" w:rsidRDefault="00782CC1" w:rsidP="0070516C">
            <w:pPr>
              <w:jc w:val="center"/>
              <w:rPr>
                <w:b/>
                <w:i/>
                <w:sz w:val="21"/>
                <w:szCs w:val="21"/>
                <w:u w:val="single"/>
              </w:rPr>
            </w:pPr>
            <w:r>
              <w:rPr>
                <w:rFonts w:hint="eastAsia"/>
                <w:b/>
                <w:i/>
                <w:sz w:val="21"/>
                <w:szCs w:val="21"/>
                <w:u w:val="single"/>
              </w:rPr>
              <w:t>/</w:t>
            </w:r>
          </w:p>
        </w:tc>
        <w:tc>
          <w:tcPr>
            <w:tcW w:w="714" w:type="pct"/>
            <w:shd w:val="clear" w:color="auto" w:fill="auto"/>
            <w:vAlign w:val="center"/>
          </w:tcPr>
          <w:p w:rsidR="00247B5D" w:rsidRPr="00597470" w:rsidRDefault="00782CC1" w:rsidP="0070516C">
            <w:pPr>
              <w:jc w:val="center"/>
              <w:rPr>
                <w:b/>
                <w:i/>
                <w:sz w:val="21"/>
                <w:szCs w:val="21"/>
                <w:u w:val="single"/>
              </w:rPr>
            </w:pPr>
            <w:r>
              <w:rPr>
                <w:rFonts w:hint="eastAsia"/>
                <w:b/>
                <w:i/>
                <w:sz w:val="21"/>
                <w:szCs w:val="21"/>
                <w:u w:val="single"/>
              </w:rPr>
              <w:t>/</w:t>
            </w:r>
          </w:p>
        </w:tc>
        <w:tc>
          <w:tcPr>
            <w:tcW w:w="714" w:type="pct"/>
            <w:shd w:val="clear" w:color="auto" w:fill="auto"/>
            <w:vAlign w:val="center"/>
          </w:tcPr>
          <w:p w:rsidR="00247B5D" w:rsidRPr="00064C85" w:rsidRDefault="00F76E27" w:rsidP="0070516C">
            <w:pPr>
              <w:spacing w:line="360" w:lineRule="exact"/>
              <w:jc w:val="center"/>
              <w:rPr>
                <w:rFonts w:ascii="宋体" w:hAnsi="宋体" w:cs="宋体"/>
                <w:sz w:val="21"/>
                <w:szCs w:val="21"/>
              </w:rPr>
            </w:pPr>
            <w:r>
              <w:rPr>
                <w:rFonts w:ascii="宋体" w:hAnsi="宋体" w:cs="宋体" w:hint="eastAsia"/>
                <w:sz w:val="21"/>
                <w:szCs w:val="21"/>
              </w:rPr>
              <w:t>54.0</w:t>
            </w:r>
          </w:p>
        </w:tc>
      </w:tr>
      <w:tr w:rsidR="00247B5D" w:rsidRPr="00597470" w:rsidTr="0070516C">
        <w:trPr>
          <w:cantSplit/>
          <w:jc w:val="center"/>
        </w:trPr>
        <w:tc>
          <w:tcPr>
            <w:tcW w:w="275" w:type="pct"/>
            <w:vMerge/>
            <w:vAlign w:val="center"/>
          </w:tcPr>
          <w:p w:rsidR="00247B5D" w:rsidRPr="00597470" w:rsidRDefault="00247B5D" w:rsidP="0070516C">
            <w:pPr>
              <w:spacing w:line="360" w:lineRule="exact"/>
              <w:jc w:val="center"/>
              <w:rPr>
                <w:sz w:val="21"/>
                <w:szCs w:val="21"/>
              </w:rPr>
            </w:pPr>
          </w:p>
        </w:tc>
        <w:tc>
          <w:tcPr>
            <w:tcW w:w="443" w:type="pct"/>
            <w:vMerge/>
            <w:vAlign w:val="center"/>
          </w:tcPr>
          <w:p w:rsidR="00247B5D" w:rsidRPr="00597470" w:rsidRDefault="00247B5D" w:rsidP="0070516C">
            <w:pPr>
              <w:spacing w:line="360" w:lineRule="exact"/>
              <w:jc w:val="center"/>
              <w:rPr>
                <w:b/>
                <w:i/>
                <w:sz w:val="21"/>
                <w:szCs w:val="21"/>
                <w:u w:val="single"/>
              </w:rPr>
            </w:pPr>
          </w:p>
        </w:tc>
        <w:tc>
          <w:tcPr>
            <w:tcW w:w="713" w:type="pct"/>
            <w:vAlign w:val="center"/>
          </w:tcPr>
          <w:p w:rsidR="00247B5D" w:rsidRPr="00597470" w:rsidRDefault="00247B5D" w:rsidP="0070516C">
            <w:pPr>
              <w:spacing w:line="360" w:lineRule="exact"/>
              <w:jc w:val="center"/>
              <w:rPr>
                <w:sz w:val="21"/>
                <w:szCs w:val="21"/>
              </w:rPr>
            </w:pPr>
            <w:r w:rsidRPr="00597470">
              <w:rPr>
                <w:sz w:val="21"/>
                <w:szCs w:val="21"/>
              </w:rPr>
              <w:t>夜间</w:t>
            </w:r>
            <w:r w:rsidR="00782CC1">
              <w:rPr>
                <w:rFonts w:hint="eastAsia"/>
                <w:sz w:val="21"/>
                <w:szCs w:val="21"/>
              </w:rPr>
              <w:t>44</w:t>
            </w:r>
          </w:p>
        </w:tc>
        <w:tc>
          <w:tcPr>
            <w:tcW w:w="713" w:type="pct"/>
            <w:vAlign w:val="center"/>
          </w:tcPr>
          <w:p w:rsidR="00247B5D" w:rsidRPr="00597470" w:rsidRDefault="00782CC1" w:rsidP="0070516C">
            <w:pPr>
              <w:jc w:val="center"/>
              <w:rPr>
                <w:b/>
                <w:i/>
                <w:sz w:val="21"/>
                <w:szCs w:val="21"/>
                <w:u w:val="single"/>
              </w:rPr>
            </w:pPr>
            <w:r>
              <w:rPr>
                <w:rFonts w:hint="eastAsia"/>
                <w:b/>
                <w:i/>
                <w:sz w:val="21"/>
                <w:szCs w:val="21"/>
                <w:u w:val="single"/>
              </w:rPr>
              <w:t>/</w:t>
            </w:r>
          </w:p>
        </w:tc>
        <w:tc>
          <w:tcPr>
            <w:tcW w:w="714" w:type="pct"/>
            <w:vAlign w:val="center"/>
          </w:tcPr>
          <w:p w:rsidR="00247B5D" w:rsidRPr="00597470" w:rsidRDefault="00782CC1" w:rsidP="0070516C">
            <w:pPr>
              <w:jc w:val="center"/>
              <w:rPr>
                <w:b/>
                <w:i/>
                <w:sz w:val="21"/>
                <w:szCs w:val="21"/>
                <w:u w:val="single"/>
              </w:rPr>
            </w:pPr>
            <w:r>
              <w:rPr>
                <w:rFonts w:hint="eastAsia"/>
                <w:b/>
                <w:i/>
                <w:sz w:val="21"/>
                <w:szCs w:val="21"/>
                <w:u w:val="single"/>
              </w:rPr>
              <w:t>/</w:t>
            </w:r>
          </w:p>
        </w:tc>
        <w:tc>
          <w:tcPr>
            <w:tcW w:w="714" w:type="pct"/>
            <w:vAlign w:val="center"/>
          </w:tcPr>
          <w:p w:rsidR="00247B5D" w:rsidRPr="00597470" w:rsidRDefault="00782CC1" w:rsidP="0070516C">
            <w:pPr>
              <w:jc w:val="center"/>
              <w:rPr>
                <w:b/>
                <w:i/>
                <w:sz w:val="21"/>
                <w:szCs w:val="21"/>
                <w:u w:val="single"/>
              </w:rPr>
            </w:pPr>
            <w:r>
              <w:rPr>
                <w:rFonts w:hint="eastAsia"/>
                <w:b/>
                <w:i/>
                <w:sz w:val="21"/>
                <w:szCs w:val="21"/>
                <w:u w:val="single"/>
              </w:rPr>
              <w:t>/</w:t>
            </w:r>
          </w:p>
        </w:tc>
        <w:tc>
          <w:tcPr>
            <w:tcW w:w="714" w:type="pct"/>
            <w:shd w:val="clear" w:color="auto" w:fill="auto"/>
            <w:vAlign w:val="center"/>
          </w:tcPr>
          <w:p w:rsidR="00247B5D" w:rsidRPr="00597470" w:rsidRDefault="00782CC1" w:rsidP="0070516C">
            <w:pPr>
              <w:jc w:val="center"/>
              <w:rPr>
                <w:b/>
                <w:i/>
                <w:sz w:val="21"/>
                <w:szCs w:val="21"/>
                <w:u w:val="single"/>
              </w:rPr>
            </w:pPr>
            <w:r>
              <w:rPr>
                <w:rFonts w:hint="eastAsia"/>
                <w:b/>
                <w:i/>
                <w:sz w:val="21"/>
                <w:szCs w:val="21"/>
                <w:u w:val="single"/>
              </w:rPr>
              <w:t>/</w:t>
            </w:r>
          </w:p>
        </w:tc>
        <w:tc>
          <w:tcPr>
            <w:tcW w:w="714" w:type="pct"/>
            <w:shd w:val="clear" w:color="auto" w:fill="auto"/>
            <w:vAlign w:val="center"/>
          </w:tcPr>
          <w:p w:rsidR="00247B5D" w:rsidRPr="00064C85" w:rsidRDefault="00F76E27" w:rsidP="0070516C">
            <w:pPr>
              <w:spacing w:line="360" w:lineRule="exact"/>
              <w:jc w:val="center"/>
              <w:rPr>
                <w:rFonts w:ascii="宋体" w:hAnsi="宋体" w:cs="宋体"/>
                <w:sz w:val="21"/>
                <w:szCs w:val="21"/>
              </w:rPr>
            </w:pPr>
            <w:r>
              <w:rPr>
                <w:rFonts w:ascii="宋体" w:hAnsi="宋体" w:cs="宋体" w:hint="eastAsia"/>
                <w:sz w:val="21"/>
                <w:szCs w:val="21"/>
              </w:rPr>
              <w:t>44.4</w:t>
            </w:r>
          </w:p>
        </w:tc>
      </w:tr>
      <w:tr w:rsidR="00247B5D" w:rsidRPr="00597470" w:rsidTr="0070516C">
        <w:trPr>
          <w:cantSplit/>
          <w:jc w:val="center"/>
        </w:trPr>
        <w:tc>
          <w:tcPr>
            <w:tcW w:w="275" w:type="pct"/>
            <w:vMerge/>
            <w:vAlign w:val="center"/>
          </w:tcPr>
          <w:p w:rsidR="00247B5D" w:rsidRPr="00597470" w:rsidRDefault="00247B5D" w:rsidP="0070516C">
            <w:pPr>
              <w:spacing w:line="360" w:lineRule="exact"/>
              <w:jc w:val="center"/>
              <w:rPr>
                <w:sz w:val="21"/>
                <w:szCs w:val="21"/>
              </w:rPr>
            </w:pPr>
          </w:p>
        </w:tc>
        <w:tc>
          <w:tcPr>
            <w:tcW w:w="439" w:type="pct"/>
            <w:shd w:val="clear" w:color="auto" w:fill="auto"/>
            <w:vAlign w:val="center"/>
          </w:tcPr>
          <w:p w:rsidR="00247B5D" w:rsidRPr="00597470" w:rsidRDefault="00247B5D" w:rsidP="0070516C">
            <w:pPr>
              <w:spacing w:line="360" w:lineRule="exact"/>
              <w:jc w:val="center"/>
              <w:rPr>
                <w:sz w:val="21"/>
                <w:szCs w:val="21"/>
              </w:rPr>
            </w:pPr>
            <w:r w:rsidRPr="00597470">
              <w:rPr>
                <w:sz w:val="21"/>
                <w:szCs w:val="21"/>
              </w:rPr>
              <w:t>昼间</w:t>
            </w:r>
          </w:p>
        </w:tc>
        <w:tc>
          <w:tcPr>
            <w:tcW w:w="717" w:type="pct"/>
            <w:shd w:val="clear" w:color="auto" w:fill="auto"/>
            <w:vAlign w:val="center"/>
          </w:tcPr>
          <w:p w:rsidR="00247B5D" w:rsidRPr="00597470" w:rsidRDefault="00247B5D" w:rsidP="0070516C">
            <w:pPr>
              <w:spacing w:line="360" w:lineRule="exact"/>
              <w:jc w:val="center"/>
              <w:rPr>
                <w:sz w:val="21"/>
                <w:szCs w:val="21"/>
              </w:rPr>
            </w:pPr>
            <w:r w:rsidRPr="00597470">
              <w:rPr>
                <w:rFonts w:hint="eastAsia"/>
                <w:sz w:val="21"/>
                <w:szCs w:val="21"/>
              </w:rPr>
              <w:t>60</w:t>
            </w:r>
          </w:p>
        </w:tc>
        <w:tc>
          <w:tcPr>
            <w:tcW w:w="713" w:type="pct"/>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c>
          <w:tcPr>
            <w:tcW w:w="714" w:type="pct"/>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c>
          <w:tcPr>
            <w:tcW w:w="714" w:type="pct"/>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c>
          <w:tcPr>
            <w:tcW w:w="714" w:type="pct"/>
            <w:shd w:val="clear" w:color="auto" w:fill="auto"/>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c>
          <w:tcPr>
            <w:tcW w:w="714" w:type="pct"/>
            <w:shd w:val="clear" w:color="auto" w:fill="auto"/>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r>
      <w:tr w:rsidR="00247B5D" w:rsidRPr="00597470" w:rsidTr="0070516C">
        <w:trPr>
          <w:cantSplit/>
          <w:jc w:val="center"/>
        </w:trPr>
        <w:tc>
          <w:tcPr>
            <w:tcW w:w="275" w:type="pct"/>
            <w:vMerge/>
            <w:vAlign w:val="center"/>
          </w:tcPr>
          <w:p w:rsidR="00247B5D" w:rsidRPr="00597470" w:rsidRDefault="00247B5D" w:rsidP="0070516C">
            <w:pPr>
              <w:spacing w:line="360" w:lineRule="exact"/>
              <w:jc w:val="center"/>
              <w:rPr>
                <w:sz w:val="21"/>
                <w:szCs w:val="21"/>
              </w:rPr>
            </w:pPr>
          </w:p>
        </w:tc>
        <w:tc>
          <w:tcPr>
            <w:tcW w:w="439" w:type="pct"/>
            <w:shd w:val="clear" w:color="auto" w:fill="auto"/>
            <w:vAlign w:val="center"/>
          </w:tcPr>
          <w:p w:rsidR="00247B5D" w:rsidRPr="00597470" w:rsidRDefault="00247B5D" w:rsidP="0070516C">
            <w:pPr>
              <w:spacing w:line="360" w:lineRule="exact"/>
              <w:jc w:val="center"/>
              <w:rPr>
                <w:sz w:val="21"/>
                <w:szCs w:val="21"/>
              </w:rPr>
            </w:pPr>
            <w:r w:rsidRPr="00597470">
              <w:rPr>
                <w:sz w:val="21"/>
                <w:szCs w:val="21"/>
              </w:rPr>
              <w:t>夜间</w:t>
            </w:r>
          </w:p>
        </w:tc>
        <w:tc>
          <w:tcPr>
            <w:tcW w:w="717" w:type="pct"/>
            <w:shd w:val="clear" w:color="auto" w:fill="auto"/>
            <w:vAlign w:val="center"/>
          </w:tcPr>
          <w:p w:rsidR="00247B5D" w:rsidRPr="00597470" w:rsidRDefault="00247B5D" w:rsidP="0070516C">
            <w:pPr>
              <w:spacing w:line="360" w:lineRule="exact"/>
              <w:jc w:val="center"/>
              <w:rPr>
                <w:sz w:val="21"/>
                <w:szCs w:val="21"/>
              </w:rPr>
            </w:pPr>
            <w:r w:rsidRPr="00597470">
              <w:rPr>
                <w:rFonts w:hint="eastAsia"/>
                <w:sz w:val="21"/>
                <w:szCs w:val="21"/>
              </w:rPr>
              <w:t>50</w:t>
            </w:r>
          </w:p>
        </w:tc>
        <w:tc>
          <w:tcPr>
            <w:tcW w:w="713" w:type="pct"/>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c>
          <w:tcPr>
            <w:tcW w:w="714" w:type="pct"/>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c>
          <w:tcPr>
            <w:tcW w:w="714" w:type="pct"/>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c>
          <w:tcPr>
            <w:tcW w:w="714" w:type="pct"/>
            <w:shd w:val="clear" w:color="auto" w:fill="auto"/>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c>
          <w:tcPr>
            <w:tcW w:w="714" w:type="pct"/>
            <w:shd w:val="clear" w:color="auto" w:fill="auto"/>
            <w:vAlign w:val="center"/>
          </w:tcPr>
          <w:p w:rsidR="00247B5D" w:rsidRPr="00597470" w:rsidRDefault="00247B5D" w:rsidP="0070516C">
            <w:pPr>
              <w:spacing w:line="360" w:lineRule="exact"/>
              <w:jc w:val="center"/>
              <w:rPr>
                <w:sz w:val="21"/>
                <w:szCs w:val="21"/>
              </w:rPr>
            </w:pPr>
            <w:r w:rsidRPr="00597470">
              <w:rPr>
                <w:rFonts w:hint="eastAsia"/>
                <w:sz w:val="21"/>
                <w:szCs w:val="21"/>
              </w:rPr>
              <w:t>达标</w:t>
            </w:r>
          </w:p>
        </w:tc>
      </w:tr>
    </w:tbl>
    <w:p w:rsidR="0001371C" w:rsidRPr="0001371C" w:rsidRDefault="00A42CDB" w:rsidP="00A42CDB">
      <w:pPr>
        <w:snapToGrid w:val="0"/>
        <w:jc w:val="center"/>
        <w:rPr>
          <w:sz w:val="24"/>
        </w:rPr>
      </w:pPr>
      <w:r>
        <w:rPr>
          <w:rFonts w:hint="eastAsia"/>
          <w:noProof/>
          <w:spacing w:val="2"/>
          <w:sz w:val="24"/>
        </w:rPr>
        <w:lastRenderedPageBreak/>
        <w:drawing>
          <wp:inline distT="0" distB="0" distL="0" distR="0">
            <wp:extent cx="5538470" cy="4675505"/>
            <wp:effectExtent l="19050" t="0" r="5080" b="0"/>
            <wp:docPr id="61" name="图片 61" descr="C:\Users\Administrator\Desktop\未命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未命名 -1.jpg"/>
                    <pic:cNvPicPr>
                      <a:picLocks noChangeAspect="1" noChangeArrowheads="1"/>
                    </pic:cNvPicPr>
                  </pic:nvPicPr>
                  <pic:blipFill>
                    <a:blip r:embed="rId137" cstate="print"/>
                    <a:srcRect/>
                    <a:stretch>
                      <a:fillRect/>
                    </a:stretch>
                  </pic:blipFill>
                  <pic:spPr bwMode="auto">
                    <a:xfrm>
                      <a:off x="0" y="0"/>
                      <a:ext cx="5538470" cy="4675505"/>
                    </a:xfrm>
                    <a:prstGeom prst="rect">
                      <a:avLst/>
                    </a:prstGeom>
                    <a:noFill/>
                    <a:ln w="9525">
                      <a:noFill/>
                      <a:miter lim="800000"/>
                      <a:headEnd/>
                      <a:tailEnd/>
                    </a:ln>
                  </pic:spPr>
                </pic:pic>
              </a:graphicData>
            </a:graphic>
          </wp:inline>
        </w:drawing>
      </w:r>
      <w:r w:rsidR="0001371C">
        <w:rPr>
          <w:rFonts w:hint="eastAsia"/>
          <w:sz w:val="24"/>
        </w:rPr>
        <w:t>图</w:t>
      </w:r>
      <w:r w:rsidR="0001371C">
        <w:rPr>
          <w:rFonts w:hint="eastAsia"/>
          <w:sz w:val="24"/>
        </w:rPr>
        <w:t xml:space="preserve">6.4-1 </w:t>
      </w:r>
      <w:r w:rsidR="0001371C">
        <w:rPr>
          <w:rFonts w:hint="eastAsia"/>
          <w:sz w:val="24"/>
        </w:rPr>
        <w:t>工业场地噪声预测等值线图</w:t>
      </w:r>
    </w:p>
    <w:p w:rsidR="00240BCE" w:rsidRDefault="00247B5D" w:rsidP="00597470">
      <w:pPr>
        <w:snapToGrid w:val="0"/>
        <w:spacing w:line="520" w:lineRule="exact"/>
        <w:ind w:firstLineChars="200" w:firstLine="488"/>
        <w:rPr>
          <w:bCs/>
          <w:iCs/>
          <w:spacing w:val="2"/>
          <w:sz w:val="24"/>
        </w:rPr>
      </w:pPr>
      <w:r w:rsidRPr="000F4D6B">
        <w:rPr>
          <w:spacing w:val="2"/>
          <w:sz w:val="24"/>
        </w:rPr>
        <w:t>由表</w:t>
      </w:r>
      <w:r w:rsidR="00597470">
        <w:rPr>
          <w:rFonts w:hint="eastAsia"/>
          <w:spacing w:val="2"/>
          <w:sz w:val="24"/>
        </w:rPr>
        <w:t>6.4-3</w:t>
      </w:r>
      <w:r w:rsidRPr="000F4D6B">
        <w:rPr>
          <w:rFonts w:hint="eastAsia"/>
          <w:spacing w:val="2"/>
          <w:sz w:val="24"/>
        </w:rPr>
        <w:t>及</w:t>
      </w:r>
      <w:r w:rsidRPr="000F4D6B">
        <w:rPr>
          <w:rFonts w:hint="eastAsia"/>
          <w:sz w:val="24"/>
        </w:rPr>
        <w:t>图</w:t>
      </w:r>
      <w:r w:rsidR="00597470">
        <w:rPr>
          <w:rFonts w:hint="eastAsia"/>
          <w:sz w:val="24"/>
        </w:rPr>
        <w:t>6.4</w:t>
      </w:r>
      <w:r w:rsidRPr="000F4D6B">
        <w:rPr>
          <w:rFonts w:hint="eastAsia"/>
          <w:sz w:val="24"/>
        </w:rPr>
        <w:t>-1</w:t>
      </w:r>
      <w:r w:rsidRPr="000F4D6B">
        <w:rPr>
          <w:spacing w:val="2"/>
          <w:sz w:val="24"/>
        </w:rPr>
        <w:t>中预测结果可知，在采取降噪措施后，</w:t>
      </w:r>
      <w:r w:rsidR="00597470">
        <w:rPr>
          <w:rFonts w:hint="eastAsia"/>
          <w:spacing w:val="2"/>
          <w:sz w:val="24"/>
        </w:rPr>
        <w:t>升级改造后</w:t>
      </w:r>
      <w:r w:rsidRPr="000F4D6B">
        <w:rPr>
          <w:rFonts w:hint="eastAsia"/>
          <w:spacing w:val="2"/>
          <w:sz w:val="24"/>
        </w:rPr>
        <w:t>各</w:t>
      </w:r>
      <w:r w:rsidRPr="000F4D6B">
        <w:rPr>
          <w:spacing w:val="2"/>
          <w:sz w:val="24"/>
        </w:rPr>
        <w:t>厂界</w:t>
      </w:r>
      <w:r w:rsidRPr="000F4D6B">
        <w:rPr>
          <w:rFonts w:hint="eastAsia"/>
          <w:spacing w:val="2"/>
          <w:sz w:val="24"/>
        </w:rPr>
        <w:t>昼夜间</w:t>
      </w:r>
      <w:r w:rsidRPr="000F4D6B">
        <w:rPr>
          <w:spacing w:val="2"/>
          <w:sz w:val="24"/>
        </w:rPr>
        <w:t>噪声</w:t>
      </w:r>
      <w:r w:rsidRPr="000F4D6B">
        <w:rPr>
          <w:rFonts w:hint="eastAsia"/>
          <w:spacing w:val="2"/>
          <w:sz w:val="24"/>
        </w:rPr>
        <w:t>贡献值均</w:t>
      </w:r>
      <w:r w:rsidRPr="000F4D6B">
        <w:rPr>
          <w:spacing w:val="2"/>
          <w:sz w:val="24"/>
        </w:rPr>
        <w:t>能满足《工业企业厂界环境噪声排放标准》</w:t>
      </w:r>
      <w:r w:rsidRPr="000F4D6B">
        <w:rPr>
          <w:spacing w:val="2"/>
          <w:sz w:val="24"/>
        </w:rPr>
        <w:t>(GB12348-2008)</w:t>
      </w:r>
      <w:r w:rsidRPr="000F4D6B">
        <w:rPr>
          <w:sz w:val="24"/>
        </w:rPr>
        <w:t>2</w:t>
      </w:r>
      <w:r w:rsidRPr="000F4D6B">
        <w:rPr>
          <w:spacing w:val="2"/>
          <w:sz w:val="24"/>
        </w:rPr>
        <w:t>类标准限值要求，</w:t>
      </w:r>
      <w:r w:rsidRPr="000F4D6B">
        <w:rPr>
          <w:rFonts w:hint="eastAsia"/>
          <w:spacing w:val="2"/>
          <w:sz w:val="24"/>
        </w:rPr>
        <w:t>距</w:t>
      </w:r>
      <w:r w:rsidR="00F76E27">
        <w:rPr>
          <w:rFonts w:hint="eastAsia"/>
          <w:spacing w:val="2"/>
          <w:sz w:val="24"/>
        </w:rPr>
        <w:t>工业场地</w:t>
      </w:r>
      <w:r w:rsidRPr="000F4D6B">
        <w:rPr>
          <w:rFonts w:hint="eastAsia"/>
          <w:spacing w:val="2"/>
          <w:sz w:val="24"/>
        </w:rPr>
        <w:t>最近的</w:t>
      </w:r>
      <w:r w:rsidRPr="000F4D6B">
        <w:rPr>
          <w:rFonts w:ascii="宋体" w:hAnsi="宋体"/>
          <w:spacing w:val="2"/>
          <w:sz w:val="24"/>
        </w:rPr>
        <w:t>敏感点</w:t>
      </w:r>
      <w:r w:rsidRPr="000F4D6B">
        <w:rPr>
          <w:rFonts w:ascii="宋体" w:hAnsi="宋体" w:hint="eastAsia"/>
          <w:spacing w:val="2"/>
          <w:sz w:val="24"/>
        </w:rPr>
        <w:t>为</w:t>
      </w:r>
      <w:r w:rsidR="00F76E27" w:rsidRPr="00F76E27">
        <w:rPr>
          <w:rFonts w:ascii="宋体" w:hAnsi="宋体"/>
          <w:spacing w:val="2"/>
          <w:sz w:val="24"/>
        </w:rPr>
        <w:t>工业场地西北10m～565m</w:t>
      </w:r>
      <w:r w:rsidR="00F76E27" w:rsidRPr="00F76E27">
        <w:rPr>
          <w:rFonts w:ascii="宋体" w:hAnsi="宋体" w:hint="eastAsia"/>
          <w:spacing w:val="2"/>
          <w:sz w:val="24"/>
        </w:rPr>
        <w:t>处的赵沟村柿树行组</w:t>
      </w:r>
      <w:r w:rsidRPr="00F76E27">
        <w:rPr>
          <w:rFonts w:ascii="宋体" w:hAnsi="宋体" w:hint="eastAsia"/>
          <w:sz w:val="24"/>
        </w:rPr>
        <w:t>,对其的贡献值为3</w:t>
      </w:r>
      <w:r w:rsidR="00F76E27" w:rsidRPr="00F76E27">
        <w:rPr>
          <w:rFonts w:ascii="宋体" w:hAnsi="宋体" w:hint="eastAsia"/>
          <w:sz w:val="24"/>
        </w:rPr>
        <w:t>3</w:t>
      </w:r>
      <w:r w:rsidRPr="00F76E27">
        <w:rPr>
          <w:rFonts w:ascii="宋体" w:hAnsi="宋体" w:hint="eastAsia"/>
          <w:sz w:val="24"/>
        </w:rPr>
        <w:t>.2</w:t>
      </w:r>
      <w:r w:rsidRPr="00F76E27">
        <w:rPr>
          <w:rFonts w:ascii="宋体" w:hAnsi="宋体" w:hint="eastAsia"/>
          <w:sz w:val="24"/>
          <w:lang w:val="zh-CN"/>
        </w:rPr>
        <w:t>dB（A</w:t>
      </w:r>
      <w:r w:rsidRPr="00F76E27">
        <w:rPr>
          <w:rFonts w:ascii="宋体" w:hAnsi="宋体"/>
          <w:sz w:val="24"/>
          <w:lang w:val="zh-CN"/>
        </w:rPr>
        <w:t>）</w:t>
      </w:r>
      <w:r w:rsidRPr="00F76E27">
        <w:rPr>
          <w:rFonts w:ascii="宋体" w:hAnsi="宋体" w:hint="eastAsia"/>
          <w:sz w:val="24"/>
          <w:lang w:val="zh-CN"/>
        </w:rPr>
        <w:t>，叠加背景值昼间</w:t>
      </w:r>
      <w:r w:rsidR="00F76E27" w:rsidRPr="00F76E27">
        <w:rPr>
          <w:rFonts w:ascii="宋体" w:hAnsi="宋体" w:hint="eastAsia"/>
          <w:sz w:val="24"/>
          <w:lang w:val="zh-CN"/>
        </w:rPr>
        <w:t>54</w:t>
      </w:r>
      <w:r w:rsidRPr="00F76E27">
        <w:rPr>
          <w:rFonts w:ascii="宋体" w:hAnsi="宋体" w:hint="eastAsia"/>
          <w:sz w:val="24"/>
          <w:lang w:val="zh-CN"/>
        </w:rPr>
        <w:t>dB（A</w:t>
      </w:r>
      <w:r w:rsidRPr="00F76E27">
        <w:rPr>
          <w:rFonts w:ascii="宋体" w:hAnsi="宋体"/>
          <w:sz w:val="24"/>
          <w:lang w:val="zh-CN"/>
        </w:rPr>
        <w:t>）</w:t>
      </w:r>
      <w:r w:rsidRPr="00F76E27">
        <w:rPr>
          <w:rFonts w:ascii="宋体" w:hAnsi="宋体" w:hint="eastAsia"/>
          <w:sz w:val="24"/>
          <w:lang w:val="zh-CN"/>
        </w:rPr>
        <w:t>、夜间</w:t>
      </w:r>
      <w:r w:rsidR="00F76E27" w:rsidRPr="00F76E27">
        <w:rPr>
          <w:rFonts w:ascii="宋体" w:hAnsi="宋体" w:hint="eastAsia"/>
          <w:sz w:val="24"/>
          <w:lang w:val="zh-CN"/>
        </w:rPr>
        <w:t>44</w:t>
      </w:r>
      <w:r w:rsidRPr="00F76E27">
        <w:rPr>
          <w:rFonts w:ascii="宋体" w:hAnsi="宋体" w:hint="eastAsia"/>
          <w:sz w:val="24"/>
          <w:lang w:val="zh-CN"/>
        </w:rPr>
        <w:t>（A</w:t>
      </w:r>
      <w:r w:rsidRPr="00F76E27">
        <w:rPr>
          <w:rFonts w:ascii="宋体" w:hAnsi="宋体"/>
          <w:sz w:val="24"/>
          <w:lang w:val="zh-CN"/>
        </w:rPr>
        <w:t>）</w:t>
      </w:r>
      <w:r w:rsidRPr="00F76E27">
        <w:rPr>
          <w:rFonts w:ascii="宋体" w:hAnsi="宋体" w:hint="eastAsia"/>
          <w:sz w:val="24"/>
          <w:lang w:val="zh-CN"/>
        </w:rPr>
        <w:t>，经预测</w:t>
      </w:r>
      <w:r w:rsidRPr="00F76E27">
        <w:rPr>
          <w:rFonts w:ascii="宋体" w:hAnsi="宋体" w:hint="eastAsia"/>
          <w:sz w:val="24"/>
        </w:rPr>
        <w:t>敏感点</w:t>
      </w:r>
      <w:r w:rsidR="00F76E27" w:rsidRPr="00F76E27">
        <w:rPr>
          <w:rFonts w:ascii="宋体" w:hAnsi="宋体" w:hint="eastAsia"/>
          <w:spacing w:val="2"/>
          <w:sz w:val="24"/>
        </w:rPr>
        <w:t>赵沟村柿树行组</w:t>
      </w:r>
      <w:r w:rsidRPr="00F76E27">
        <w:rPr>
          <w:rFonts w:ascii="宋体" w:hAnsi="宋体" w:hint="eastAsia"/>
          <w:sz w:val="24"/>
        </w:rPr>
        <w:t>昼、夜间噪声值分别为</w:t>
      </w:r>
      <w:r w:rsidR="00F76E27" w:rsidRPr="00F76E27">
        <w:rPr>
          <w:rFonts w:ascii="宋体" w:hAnsi="宋体" w:hint="eastAsia"/>
          <w:sz w:val="24"/>
        </w:rPr>
        <w:t>54.0</w:t>
      </w:r>
      <w:r w:rsidRPr="00F76E27">
        <w:rPr>
          <w:rFonts w:ascii="宋体" w:hAnsi="宋体" w:hint="eastAsia"/>
          <w:sz w:val="24"/>
          <w:lang w:val="zh-CN"/>
        </w:rPr>
        <w:t>B（A</w:t>
      </w:r>
      <w:r w:rsidRPr="00F76E27">
        <w:rPr>
          <w:rFonts w:ascii="宋体" w:hAnsi="宋体"/>
          <w:sz w:val="24"/>
          <w:lang w:val="zh-CN"/>
        </w:rPr>
        <w:t>）</w:t>
      </w:r>
      <w:r w:rsidRPr="00F76E27">
        <w:rPr>
          <w:rFonts w:ascii="宋体" w:hAnsi="宋体" w:hint="eastAsia"/>
          <w:sz w:val="24"/>
          <w:lang w:val="zh-CN"/>
        </w:rPr>
        <w:t>、</w:t>
      </w:r>
      <w:r w:rsidR="00F76E27" w:rsidRPr="00F76E27">
        <w:rPr>
          <w:rFonts w:ascii="宋体" w:hAnsi="宋体" w:hint="eastAsia"/>
          <w:sz w:val="24"/>
          <w:lang w:val="zh-CN"/>
        </w:rPr>
        <w:t>44.4</w:t>
      </w:r>
      <w:r w:rsidRPr="00F76E27">
        <w:rPr>
          <w:rFonts w:ascii="宋体" w:hAnsi="宋体" w:hint="eastAsia"/>
          <w:sz w:val="24"/>
          <w:lang w:val="zh-CN"/>
        </w:rPr>
        <w:t>dB（A</w:t>
      </w:r>
      <w:r w:rsidRPr="00F76E27">
        <w:rPr>
          <w:rFonts w:ascii="宋体" w:hAnsi="宋体"/>
          <w:sz w:val="24"/>
          <w:lang w:val="zh-CN"/>
        </w:rPr>
        <w:t>）</w:t>
      </w:r>
      <w:r w:rsidRPr="000F4D6B">
        <w:rPr>
          <w:rFonts w:ascii="宋体" w:hAnsi="宋体" w:hint="eastAsia"/>
          <w:sz w:val="24"/>
          <w:lang w:val="zh-CN"/>
        </w:rPr>
        <w:t>，</w:t>
      </w:r>
      <w:r w:rsidRPr="000F4D6B">
        <w:rPr>
          <w:rFonts w:ascii="宋体" w:hAnsi="宋体" w:hint="eastAsia"/>
          <w:sz w:val="24"/>
        </w:rPr>
        <w:t>满足《声环境质量标准》</w:t>
      </w:r>
      <w:r w:rsidR="00597470">
        <w:rPr>
          <w:rFonts w:ascii="宋体" w:hAnsi="宋体" w:hint="eastAsia"/>
          <w:sz w:val="24"/>
        </w:rPr>
        <w:t>（</w:t>
      </w:r>
      <w:r w:rsidR="00597470">
        <w:rPr>
          <w:sz w:val="24"/>
        </w:rPr>
        <w:t>GB</w:t>
      </w:r>
      <w:r w:rsidR="00597470">
        <w:rPr>
          <w:rFonts w:hint="eastAsia"/>
          <w:sz w:val="24"/>
        </w:rPr>
        <w:t>3096</w:t>
      </w:r>
      <w:r w:rsidR="00597470">
        <w:rPr>
          <w:sz w:val="24"/>
        </w:rPr>
        <w:t>-2008</w:t>
      </w:r>
      <w:r w:rsidR="00597470">
        <w:rPr>
          <w:rFonts w:ascii="宋体" w:hAnsi="宋体" w:hint="eastAsia"/>
          <w:sz w:val="24"/>
        </w:rPr>
        <w:t>）</w:t>
      </w:r>
      <w:r w:rsidRPr="000F4D6B">
        <w:rPr>
          <w:rFonts w:ascii="宋体" w:hAnsi="宋体" w:hint="eastAsia"/>
          <w:sz w:val="24"/>
        </w:rPr>
        <w:t>2类标准要求。</w:t>
      </w:r>
      <w:r w:rsidR="00AC0334">
        <w:rPr>
          <w:sz w:val="24"/>
        </w:rPr>
        <w:t>说明升级改造后对声环境的影响不大。</w:t>
      </w:r>
    </w:p>
    <w:p w:rsidR="00240BCE" w:rsidRDefault="00AC0334">
      <w:pPr>
        <w:spacing w:line="520" w:lineRule="exact"/>
        <w:rPr>
          <w:sz w:val="24"/>
        </w:rPr>
      </w:pPr>
      <w:bookmarkStart w:id="735" w:name="_Toc158524713"/>
      <w:r>
        <w:rPr>
          <w:sz w:val="24"/>
        </w:rPr>
        <w:t>6.4.2.2</w:t>
      </w:r>
      <w:bookmarkEnd w:id="735"/>
      <w:r>
        <w:rPr>
          <w:sz w:val="24"/>
        </w:rPr>
        <w:t>运煤道路交通噪声影响预测与评价</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、运煤道路噪声源</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公路噪声的主要噪声源为车辆鸣笛噪声和车辆行驶噪声，噪声类型以机械噪声</w:t>
      </w:r>
      <w:r>
        <w:rPr>
          <w:rFonts w:ascii="Times New Roman" w:hAnsi="Times New Roman"/>
          <w:sz w:val="24"/>
          <w:szCs w:val="24"/>
        </w:rPr>
        <w:lastRenderedPageBreak/>
        <w:t>和空气动力学噪声为主。矿井道路车辆噪声按车型、车流量及行车速度确定，起辐射声级一般在</w:t>
      </w:r>
      <w:r>
        <w:rPr>
          <w:rFonts w:ascii="Times New Roman" w:hAnsi="Times New Roman"/>
          <w:sz w:val="24"/>
          <w:szCs w:val="24"/>
        </w:rPr>
        <w:t>65</w:t>
      </w:r>
      <w:r>
        <w:rPr>
          <w:rFonts w:ascii="Times New Roman" w:hAnsi="Times New Roman"/>
          <w:sz w:val="24"/>
          <w:szCs w:val="24"/>
        </w:rPr>
        <w:t>～</w:t>
      </w:r>
      <w:r>
        <w:rPr>
          <w:rFonts w:ascii="Times New Roman" w:hAnsi="Times New Roman"/>
          <w:sz w:val="24"/>
          <w:szCs w:val="24"/>
        </w:rPr>
        <w:t>75dB</w:t>
      </w:r>
      <w:r>
        <w:rPr>
          <w:rFonts w:ascii="Times New Roman" w:hAnsi="Times New Roman"/>
          <w:sz w:val="24"/>
          <w:szCs w:val="24"/>
        </w:rPr>
        <w:t>（</w:t>
      </w:r>
      <w:r>
        <w:rPr>
          <w:rFonts w:ascii="Times New Roman" w:hAnsi="Times New Roman"/>
          <w:sz w:val="24"/>
          <w:szCs w:val="24"/>
        </w:rPr>
        <w:t>A</w:t>
      </w:r>
      <w:r>
        <w:rPr>
          <w:rFonts w:ascii="Times New Roman" w:hAnsi="Times New Roman"/>
          <w:sz w:val="24"/>
          <w:szCs w:val="24"/>
        </w:rPr>
        <w:t>）之间。</w:t>
      </w:r>
    </w:p>
    <w:p w:rsidR="00240BCE" w:rsidRDefault="00AC0334">
      <w:pPr>
        <w:spacing w:line="520" w:lineRule="exact"/>
        <w:ind w:firstLineChars="200" w:firstLine="480"/>
        <w:rPr>
          <w:color w:val="000000"/>
          <w:sz w:val="24"/>
          <w:lang w:val="zh-CN"/>
        </w:rPr>
      </w:pPr>
      <w:bookmarkStart w:id="736" w:name="_Toc181089232"/>
      <w:bookmarkStart w:id="737" w:name="_Toc181090511"/>
      <w:bookmarkStart w:id="738" w:name="_Toc183091460"/>
      <w:bookmarkStart w:id="739" w:name="_Toc187038731"/>
      <w:bookmarkStart w:id="740" w:name="_Toc180680492"/>
      <w:bookmarkStart w:id="741" w:name="_Toc181088826"/>
      <w:r>
        <w:rPr>
          <w:color w:val="000000"/>
          <w:sz w:val="24"/>
          <w:lang w:val="zh-CN"/>
        </w:rPr>
        <w:t>升级改造后矿井日产原煤</w:t>
      </w:r>
      <w:r>
        <w:rPr>
          <w:color w:val="000000"/>
          <w:sz w:val="24"/>
          <w:lang w:val="zh-CN"/>
        </w:rPr>
        <w:t>909t</w:t>
      </w:r>
      <w:r>
        <w:rPr>
          <w:color w:val="000000"/>
          <w:sz w:val="24"/>
          <w:lang w:val="zh-CN"/>
        </w:rPr>
        <w:t>，采用大型载重汽车运输，载重</w:t>
      </w:r>
      <w:r>
        <w:rPr>
          <w:color w:val="000000"/>
          <w:sz w:val="24"/>
          <w:lang w:val="zh-CN"/>
        </w:rPr>
        <w:t>50t</w:t>
      </w:r>
      <w:r>
        <w:rPr>
          <w:color w:val="000000"/>
          <w:sz w:val="24"/>
          <w:lang w:val="zh-CN"/>
        </w:rPr>
        <w:t>，则矿区车流量为</w:t>
      </w:r>
      <w:r>
        <w:rPr>
          <w:color w:val="000000"/>
          <w:sz w:val="24"/>
          <w:lang w:val="zh-CN"/>
        </w:rPr>
        <w:t>20</w:t>
      </w:r>
      <w:r>
        <w:rPr>
          <w:color w:val="000000"/>
          <w:sz w:val="24"/>
          <w:lang w:val="zh-CN"/>
        </w:rPr>
        <w:t>辆</w:t>
      </w:r>
      <w:r>
        <w:rPr>
          <w:color w:val="000000"/>
          <w:sz w:val="24"/>
          <w:lang w:val="zh-CN"/>
        </w:rPr>
        <w:t>/d</w:t>
      </w:r>
      <w:r>
        <w:rPr>
          <w:color w:val="000000"/>
          <w:sz w:val="24"/>
          <w:lang w:val="zh-CN"/>
        </w:rPr>
        <w:t>，考虑往返车流量为</w:t>
      </w:r>
      <w:r>
        <w:rPr>
          <w:color w:val="000000"/>
          <w:sz w:val="24"/>
          <w:lang w:val="zh-CN"/>
        </w:rPr>
        <w:t>40</w:t>
      </w:r>
      <w:r>
        <w:rPr>
          <w:color w:val="000000"/>
          <w:sz w:val="24"/>
          <w:lang w:val="zh-CN"/>
        </w:rPr>
        <w:t>辆</w:t>
      </w:r>
      <w:r>
        <w:rPr>
          <w:color w:val="000000"/>
          <w:sz w:val="24"/>
          <w:lang w:val="zh-CN"/>
        </w:rPr>
        <w:t>/d</w:t>
      </w:r>
      <w:r>
        <w:rPr>
          <w:color w:val="000000"/>
          <w:sz w:val="24"/>
          <w:lang w:val="zh-CN"/>
        </w:rPr>
        <w:t>，考虑白天运输，车流量最大为</w:t>
      </w:r>
      <w:r>
        <w:rPr>
          <w:color w:val="000000"/>
          <w:sz w:val="24"/>
          <w:lang w:val="zh-CN"/>
        </w:rPr>
        <w:t>2.5</w:t>
      </w:r>
      <w:r>
        <w:rPr>
          <w:color w:val="000000"/>
          <w:sz w:val="24"/>
          <w:lang w:val="zh-CN"/>
        </w:rPr>
        <w:t>辆</w:t>
      </w:r>
      <w:r>
        <w:rPr>
          <w:color w:val="000000"/>
          <w:sz w:val="24"/>
          <w:lang w:val="zh-CN"/>
        </w:rPr>
        <w:t>/h</w:t>
      </w:r>
      <w:r>
        <w:rPr>
          <w:color w:val="000000"/>
          <w:sz w:val="24"/>
          <w:lang w:val="zh-CN"/>
        </w:rPr>
        <w:t>。</w:t>
      </w:r>
      <w:bookmarkEnd w:id="736"/>
      <w:bookmarkEnd w:id="737"/>
      <w:bookmarkEnd w:id="738"/>
      <w:bookmarkEnd w:id="739"/>
      <w:bookmarkEnd w:id="740"/>
      <w:bookmarkEnd w:id="741"/>
    </w:p>
    <w:p w:rsidR="00240BCE" w:rsidRDefault="00AC0334">
      <w:pPr>
        <w:spacing w:line="520" w:lineRule="exact"/>
        <w:ind w:firstLine="576"/>
        <w:rPr>
          <w:spacing w:val="2"/>
          <w:sz w:val="24"/>
        </w:rPr>
      </w:pPr>
      <w:r>
        <w:rPr>
          <w:spacing w:val="2"/>
          <w:sz w:val="24"/>
        </w:rPr>
        <w:t>2</w:t>
      </w:r>
      <w:r>
        <w:rPr>
          <w:spacing w:val="2"/>
          <w:sz w:val="24"/>
        </w:rPr>
        <w:t>、预测模式</w:t>
      </w:r>
    </w:p>
    <w:p w:rsidR="00240BCE" w:rsidRDefault="00AC0334">
      <w:pPr>
        <w:tabs>
          <w:tab w:val="left" w:pos="5940"/>
        </w:tabs>
        <w:autoSpaceDE w:val="0"/>
        <w:autoSpaceDN w:val="0"/>
        <w:adjustRightInd w:val="0"/>
        <w:spacing w:line="520" w:lineRule="exact"/>
        <w:ind w:firstLineChars="200" w:firstLine="480"/>
        <w:rPr>
          <w:color w:val="000000"/>
          <w:sz w:val="24"/>
        </w:rPr>
      </w:pPr>
      <w:r>
        <w:rPr>
          <w:color w:val="000000"/>
          <w:sz w:val="24"/>
        </w:rPr>
        <w:t>（</w:t>
      </w:r>
      <w:r>
        <w:rPr>
          <w:color w:val="000000"/>
          <w:sz w:val="24"/>
        </w:rPr>
        <w:t>1</w:t>
      </w:r>
      <w:r>
        <w:rPr>
          <w:color w:val="000000"/>
          <w:sz w:val="24"/>
        </w:rPr>
        <w:t>）本次评价采用国家环保部《环境影响评价技术</w:t>
      </w:r>
      <w:r>
        <w:rPr>
          <w:color w:val="000000"/>
          <w:sz w:val="24"/>
        </w:rPr>
        <w:t>—</w:t>
      </w:r>
      <w:r>
        <w:rPr>
          <w:color w:val="000000"/>
          <w:sz w:val="24"/>
        </w:rPr>
        <w:t>声环境》推荐的公路（道路）交通运输噪声预测模式进行预测，预测模式如下：</w:t>
      </w:r>
    </w:p>
    <w:p w:rsidR="00240BCE" w:rsidRDefault="00AC0334" w:rsidP="009C5F33">
      <w:pPr>
        <w:pStyle w:val="ac"/>
        <w:spacing w:beforeLines="50" w:afterLines="50"/>
        <w:ind w:firstLine="0"/>
        <w:rPr>
          <w:sz w:val="24"/>
        </w:rPr>
      </w:pPr>
      <w:r w:rsidRPr="00CA16C7">
        <w:rPr>
          <w:position w:val="-32"/>
          <w:sz w:val="21"/>
          <w:szCs w:val="21"/>
        </w:rPr>
        <w:object w:dxaOrig="7001" w:dyaOrig="804">
          <v:shape id="_x0000_i1078" type="#_x0000_t75" style="width:348pt;height:39.75pt" o:ole="">
            <v:imagedata r:id="rId138" o:title=""/>
          </v:shape>
          <o:OLEObject Type="Embed" ProgID="Equations" ShapeID="_x0000_i1078" DrawAspect="Content" ObjectID="_1695746941" r:id="rId139"/>
        </w:object>
      </w:r>
    </w:p>
    <w:p w:rsidR="00240BCE" w:rsidRDefault="00AC0334">
      <w:pPr>
        <w:spacing w:line="520" w:lineRule="exact"/>
        <w:rPr>
          <w:color w:val="000000"/>
          <w:sz w:val="24"/>
        </w:rPr>
      </w:pPr>
      <w:r>
        <w:rPr>
          <w:color w:val="000000"/>
          <w:sz w:val="24"/>
        </w:rPr>
        <w:t>式中：</w:t>
      </w:r>
      <w:r>
        <w:rPr>
          <w:color w:val="000000"/>
          <w:sz w:val="24"/>
        </w:rPr>
        <w:t>L</w:t>
      </w:r>
      <w:r>
        <w:rPr>
          <w:color w:val="000000"/>
          <w:sz w:val="24"/>
          <w:vertAlign w:val="subscript"/>
        </w:rPr>
        <w:t>eq</w:t>
      </w:r>
      <w:r>
        <w:rPr>
          <w:color w:val="000000"/>
          <w:sz w:val="24"/>
        </w:rPr>
        <w:t>（</w:t>
      </w:r>
      <w:r>
        <w:rPr>
          <w:color w:val="000000"/>
          <w:sz w:val="24"/>
        </w:rPr>
        <w:t>h</w:t>
      </w:r>
      <w:r>
        <w:rPr>
          <w:color w:val="000000"/>
          <w:sz w:val="24"/>
        </w:rPr>
        <w:t>）</w:t>
      </w:r>
      <w:r>
        <w:rPr>
          <w:color w:val="000000"/>
          <w:sz w:val="24"/>
          <w:vertAlign w:val="subscript"/>
        </w:rPr>
        <w:t xml:space="preserve">i </w:t>
      </w:r>
      <w:r>
        <w:rPr>
          <w:color w:val="000000"/>
          <w:sz w:val="24"/>
        </w:rPr>
        <w:t xml:space="preserve">── </w:t>
      </w:r>
      <w:r>
        <w:rPr>
          <w:color w:val="000000"/>
          <w:sz w:val="24"/>
        </w:rPr>
        <w:t>第</w:t>
      </w:r>
      <w:r>
        <w:rPr>
          <w:color w:val="000000"/>
          <w:sz w:val="24"/>
        </w:rPr>
        <w:t>i</w:t>
      </w:r>
      <w:r>
        <w:rPr>
          <w:color w:val="000000"/>
          <w:sz w:val="24"/>
        </w:rPr>
        <w:t>类车的小时等效声级，</w:t>
      </w:r>
      <w:r>
        <w:rPr>
          <w:color w:val="000000"/>
          <w:sz w:val="24"/>
        </w:rPr>
        <w:t>dB(A)</w:t>
      </w:r>
      <w:r>
        <w:rPr>
          <w:color w:val="000000"/>
          <w:sz w:val="24"/>
        </w:rPr>
        <w:t>；</w:t>
      </w:r>
    </w:p>
    <w:p w:rsidR="00240BCE" w:rsidRDefault="00AC0334">
      <w:pPr>
        <w:rPr>
          <w:color w:val="000000"/>
          <w:sz w:val="24"/>
        </w:rPr>
      </w:pPr>
      <w:r w:rsidRPr="00CA16C7">
        <w:rPr>
          <w:position w:val="-12"/>
        </w:rPr>
        <w:object w:dxaOrig="620" w:dyaOrig="400">
          <v:shape id="_x0000_i1079" type="#_x0000_t75" style="width:30.75pt;height:21pt" o:ole="">
            <v:imagedata r:id="rId140" o:title=""/>
          </v:shape>
          <o:OLEObject Type="Embed" ProgID="Equations" ShapeID="_x0000_i1079" DrawAspect="Content" ObjectID="_1695746942" r:id="rId141"/>
        </w:object>
      </w:r>
      <w:r>
        <w:rPr>
          <w:color w:val="000000"/>
          <w:sz w:val="24"/>
        </w:rPr>
        <w:t xml:space="preserve">── </w:t>
      </w:r>
      <w:r>
        <w:rPr>
          <w:color w:val="000000"/>
          <w:sz w:val="24"/>
        </w:rPr>
        <w:t>第</w:t>
      </w:r>
      <w:r>
        <w:rPr>
          <w:color w:val="000000"/>
          <w:sz w:val="24"/>
        </w:rPr>
        <w:t>i</w:t>
      </w:r>
      <w:r>
        <w:rPr>
          <w:color w:val="000000"/>
          <w:sz w:val="24"/>
        </w:rPr>
        <w:t>类车速度为</w:t>
      </w:r>
      <w:r>
        <w:rPr>
          <w:color w:val="000000"/>
          <w:sz w:val="24"/>
        </w:rPr>
        <w:t>V</w:t>
      </w:r>
      <w:r>
        <w:rPr>
          <w:color w:val="000000"/>
          <w:sz w:val="24"/>
          <w:vertAlign w:val="subscript"/>
        </w:rPr>
        <w:t>i</w:t>
      </w:r>
      <w:r>
        <w:rPr>
          <w:color w:val="000000"/>
          <w:sz w:val="24"/>
        </w:rPr>
        <w:t>，</w:t>
      </w:r>
      <w:r>
        <w:rPr>
          <w:color w:val="000000"/>
          <w:sz w:val="24"/>
        </w:rPr>
        <w:t>km/h</w:t>
      </w:r>
      <w:r>
        <w:rPr>
          <w:color w:val="000000"/>
          <w:sz w:val="24"/>
        </w:rPr>
        <w:t>，水平距离为</w:t>
      </w:r>
      <w:r>
        <w:rPr>
          <w:color w:val="000000"/>
          <w:sz w:val="24"/>
        </w:rPr>
        <w:t>7.5m</w:t>
      </w:r>
      <w:r>
        <w:rPr>
          <w:color w:val="000000"/>
          <w:sz w:val="24"/>
        </w:rPr>
        <w:t>处的能量平均</w:t>
      </w:r>
      <w:r>
        <w:rPr>
          <w:color w:val="000000"/>
          <w:sz w:val="24"/>
        </w:rPr>
        <w:t>A</w:t>
      </w:r>
      <w:r>
        <w:rPr>
          <w:color w:val="000000"/>
          <w:sz w:val="24"/>
        </w:rPr>
        <w:t>声级</w:t>
      </w:r>
      <w:r>
        <w:rPr>
          <w:color w:val="000000"/>
          <w:sz w:val="24"/>
        </w:rPr>
        <w:t>dB(A)</w:t>
      </w:r>
      <w:r>
        <w:rPr>
          <w:color w:val="000000"/>
          <w:sz w:val="24"/>
        </w:rPr>
        <w:t>；</w:t>
      </w:r>
    </w:p>
    <w:p w:rsidR="00240BCE" w:rsidRDefault="00AC0334">
      <w:pPr>
        <w:spacing w:line="520" w:lineRule="exact"/>
        <w:ind w:firstLineChars="200" w:firstLine="480"/>
        <w:rPr>
          <w:color w:val="000000"/>
          <w:sz w:val="24"/>
        </w:rPr>
      </w:pPr>
      <w:r>
        <w:rPr>
          <w:color w:val="000000"/>
          <w:sz w:val="24"/>
        </w:rPr>
        <w:t>N</w:t>
      </w:r>
      <w:r>
        <w:rPr>
          <w:color w:val="000000"/>
          <w:sz w:val="24"/>
          <w:vertAlign w:val="subscript"/>
        </w:rPr>
        <w:t xml:space="preserve">i </w:t>
      </w:r>
      <w:r>
        <w:rPr>
          <w:color w:val="000000"/>
          <w:sz w:val="24"/>
        </w:rPr>
        <w:t>──</w:t>
      </w:r>
      <w:r>
        <w:rPr>
          <w:color w:val="000000"/>
          <w:sz w:val="24"/>
        </w:rPr>
        <w:t>昼间，夜间通过某个预测点的第</w:t>
      </w:r>
      <w:r>
        <w:rPr>
          <w:color w:val="000000"/>
          <w:sz w:val="24"/>
        </w:rPr>
        <w:t>i</w:t>
      </w:r>
      <w:r>
        <w:rPr>
          <w:color w:val="000000"/>
          <w:sz w:val="24"/>
        </w:rPr>
        <w:t>类平均小时车流量（辆</w:t>
      </w:r>
      <w:r>
        <w:rPr>
          <w:color w:val="000000"/>
          <w:sz w:val="24"/>
        </w:rPr>
        <w:t>/h</w:t>
      </w:r>
      <w:r>
        <w:rPr>
          <w:color w:val="000000"/>
          <w:sz w:val="24"/>
        </w:rPr>
        <w:t>）；</w:t>
      </w:r>
    </w:p>
    <w:p w:rsidR="00240BCE" w:rsidRDefault="00AC0334">
      <w:pPr>
        <w:spacing w:line="520" w:lineRule="exact"/>
        <w:ind w:firstLineChars="200" w:firstLine="480"/>
        <w:rPr>
          <w:color w:val="000000"/>
          <w:sz w:val="24"/>
        </w:rPr>
      </w:pPr>
      <w:r>
        <w:rPr>
          <w:color w:val="000000"/>
          <w:sz w:val="24"/>
        </w:rPr>
        <w:t xml:space="preserve">r── </w:t>
      </w:r>
      <w:r>
        <w:rPr>
          <w:color w:val="000000"/>
          <w:sz w:val="24"/>
        </w:rPr>
        <w:t>从车道中心线到预测点的距离，</w:t>
      </w:r>
      <w:r>
        <w:rPr>
          <w:color w:val="000000"/>
          <w:sz w:val="24"/>
        </w:rPr>
        <w:t>m</w:t>
      </w:r>
      <w:r>
        <w:rPr>
          <w:color w:val="000000"/>
          <w:sz w:val="24"/>
        </w:rPr>
        <w:t>；</w:t>
      </w:r>
    </w:p>
    <w:p w:rsidR="00240BCE" w:rsidRDefault="00AC0334">
      <w:pPr>
        <w:spacing w:line="520" w:lineRule="exact"/>
        <w:ind w:firstLineChars="200" w:firstLine="480"/>
        <w:rPr>
          <w:color w:val="000000"/>
        </w:rPr>
      </w:pPr>
      <w:r>
        <w:rPr>
          <w:color w:val="000000"/>
          <w:sz w:val="24"/>
        </w:rPr>
        <w:t>V</w:t>
      </w:r>
      <w:r>
        <w:rPr>
          <w:color w:val="000000"/>
          <w:sz w:val="24"/>
          <w:vertAlign w:val="subscript"/>
        </w:rPr>
        <w:t xml:space="preserve">i </w:t>
      </w:r>
      <w:r>
        <w:rPr>
          <w:color w:val="000000"/>
          <w:sz w:val="24"/>
        </w:rPr>
        <w:t xml:space="preserve">── </w:t>
      </w:r>
      <w:r>
        <w:rPr>
          <w:color w:val="000000"/>
          <w:sz w:val="24"/>
        </w:rPr>
        <w:t>第</w:t>
      </w:r>
      <w:r>
        <w:rPr>
          <w:color w:val="000000"/>
          <w:sz w:val="24"/>
        </w:rPr>
        <w:t>i</w:t>
      </w:r>
      <w:r>
        <w:rPr>
          <w:color w:val="000000"/>
          <w:sz w:val="24"/>
        </w:rPr>
        <w:t>类车平均车度，</w:t>
      </w:r>
      <w:r>
        <w:rPr>
          <w:color w:val="000000"/>
          <w:sz w:val="24"/>
        </w:rPr>
        <w:t>km/h</w:t>
      </w:r>
      <w:r>
        <w:rPr>
          <w:color w:val="000000"/>
          <w:sz w:val="24"/>
        </w:rPr>
        <w:t>，取</w:t>
      </w:r>
      <w:r>
        <w:rPr>
          <w:color w:val="000000"/>
          <w:sz w:val="24"/>
        </w:rPr>
        <w:t>30km/h</w:t>
      </w:r>
      <w:r>
        <w:rPr>
          <w:color w:val="000000"/>
          <w:sz w:val="24"/>
        </w:rPr>
        <w:t>；</w:t>
      </w:r>
    </w:p>
    <w:p w:rsidR="00240BCE" w:rsidRDefault="00AC0334">
      <w:pPr>
        <w:spacing w:line="520" w:lineRule="exact"/>
        <w:ind w:firstLineChars="200" w:firstLine="480"/>
        <w:rPr>
          <w:color w:val="000000"/>
          <w:sz w:val="24"/>
        </w:rPr>
      </w:pPr>
      <w:r>
        <w:rPr>
          <w:color w:val="000000"/>
          <w:sz w:val="24"/>
        </w:rPr>
        <w:t xml:space="preserve">T ── </w:t>
      </w:r>
      <w:r>
        <w:rPr>
          <w:color w:val="000000"/>
          <w:sz w:val="24"/>
        </w:rPr>
        <w:t>计算等效声级的时间，</w:t>
      </w:r>
      <w:r>
        <w:rPr>
          <w:color w:val="000000"/>
          <w:sz w:val="24"/>
        </w:rPr>
        <w:t>1h</w:t>
      </w:r>
      <w:r>
        <w:rPr>
          <w:color w:val="000000"/>
          <w:sz w:val="24"/>
        </w:rPr>
        <w:t>；</w:t>
      </w:r>
    </w:p>
    <w:p w:rsidR="00240BCE" w:rsidRDefault="00AC0334">
      <w:pPr>
        <w:spacing w:line="520" w:lineRule="exact"/>
        <w:ind w:firstLineChars="200" w:firstLine="480"/>
        <w:rPr>
          <w:color w:val="000000"/>
          <w:sz w:val="24"/>
        </w:rPr>
      </w:pPr>
      <w:r>
        <w:rPr>
          <w:color w:val="000000"/>
          <w:sz w:val="24"/>
        </w:rPr>
        <w:t>Ψ</w:t>
      </w:r>
      <w:r>
        <w:rPr>
          <w:color w:val="000000"/>
          <w:sz w:val="24"/>
          <w:vertAlign w:val="subscript"/>
        </w:rPr>
        <w:t>1</w:t>
      </w:r>
      <w:r>
        <w:rPr>
          <w:color w:val="000000"/>
          <w:sz w:val="24"/>
        </w:rPr>
        <w:t>、</w:t>
      </w:r>
      <w:r>
        <w:rPr>
          <w:color w:val="000000"/>
          <w:sz w:val="24"/>
        </w:rPr>
        <w:t>Ψ</w:t>
      </w:r>
      <w:r>
        <w:rPr>
          <w:color w:val="000000"/>
          <w:sz w:val="24"/>
          <w:vertAlign w:val="subscript"/>
        </w:rPr>
        <w:t>2</w:t>
      </w:r>
      <w:r>
        <w:rPr>
          <w:color w:val="000000"/>
          <w:sz w:val="24"/>
        </w:rPr>
        <w:t xml:space="preserve">── </w:t>
      </w:r>
      <w:r>
        <w:rPr>
          <w:color w:val="000000"/>
          <w:sz w:val="24"/>
        </w:rPr>
        <w:t>预测点打到有限长路段两段的张角，弧度；</w:t>
      </w:r>
    </w:p>
    <w:p w:rsidR="00240BCE" w:rsidRDefault="00AC0334">
      <w:pPr>
        <w:spacing w:line="520" w:lineRule="exact"/>
        <w:ind w:firstLineChars="200" w:firstLine="480"/>
        <w:rPr>
          <w:color w:val="000000"/>
          <w:sz w:val="24"/>
        </w:rPr>
      </w:pPr>
      <w:bookmarkStart w:id="742" w:name="_Toc17758_WPSOffice_Level3"/>
      <w:r>
        <w:rPr>
          <w:color w:val="000000"/>
          <w:sz w:val="24"/>
        </w:rPr>
        <w:t>K</w:t>
      </w:r>
      <w:r>
        <w:rPr>
          <w:color w:val="000000"/>
          <w:sz w:val="24"/>
          <w:vertAlign w:val="subscript"/>
        </w:rPr>
        <w:t>1</w:t>
      </w:r>
      <w:r>
        <w:rPr>
          <w:rFonts w:hint="eastAsia"/>
          <w:color w:val="000000"/>
          <w:sz w:val="24"/>
          <w:vertAlign w:val="subscript"/>
        </w:rPr>
        <w:t>，</w:t>
      </w:r>
      <w:r>
        <w:rPr>
          <w:color w:val="000000"/>
          <w:sz w:val="24"/>
          <w:vertAlign w:val="subscript"/>
        </w:rPr>
        <w:t>2</w:t>
      </w:r>
      <w:r>
        <w:rPr>
          <w:color w:val="000000"/>
          <w:sz w:val="24"/>
        </w:rPr>
        <w:t xml:space="preserve"> ──</w:t>
      </w:r>
      <w:r>
        <w:rPr>
          <w:color w:val="000000"/>
          <w:sz w:val="24"/>
        </w:rPr>
        <w:t>车流密度修正系数，昼间</w:t>
      </w:r>
      <w:r>
        <w:rPr>
          <w:color w:val="000000"/>
          <w:sz w:val="24"/>
        </w:rPr>
        <w:t>K</w:t>
      </w:r>
      <w:r>
        <w:rPr>
          <w:color w:val="000000"/>
          <w:sz w:val="24"/>
          <w:vertAlign w:val="subscript"/>
        </w:rPr>
        <w:t>1</w:t>
      </w:r>
      <w:r>
        <w:rPr>
          <w:color w:val="000000"/>
          <w:sz w:val="24"/>
        </w:rPr>
        <w:t>取</w:t>
      </w:r>
      <w:r>
        <w:rPr>
          <w:color w:val="000000"/>
          <w:sz w:val="24"/>
        </w:rPr>
        <w:t>10</w:t>
      </w:r>
      <w:r>
        <w:rPr>
          <w:color w:val="000000"/>
          <w:sz w:val="24"/>
        </w:rPr>
        <w:t>；</w:t>
      </w:r>
      <w:bookmarkEnd w:id="742"/>
    </w:p>
    <w:p w:rsidR="00240BCE" w:rsidRDefault="00AC0334">
      <w:pPr>
        <w:spacing w:line="520" w:lineRule="exact"/>
        <w:ind w:firstLineChars="200" w:firstLine="480"/>
        <w:rPr>
          <w:color w:val="000000"/>
          <w:sz w:val="24"/>
        </w:rPr>
      </w:pPr>
      <w:r>
        <w:rPr>
          <w:color w:val="000000"/>
          <w:sz w:val="24"/>
        </w:rPr>
        <w:t>△L ──</w:t>
      </w:r>
      <w:r>
        <w:rPr>
          <w:color w:val="000000"/>
          <w:sz w:val="24"/>
        </w:rPr>
        <w:t>由其它因素引起的修正量，</w:t>
      </w:r>
      <w:r>
        <w:rPr>
          <w:color w:val="000000"/>
          <w:sz w:val="24"/>
        </w:rPr>
        <w:t xml:space="preserve">dB(A) </w:t>
      </w:r>
    </w:p>
    <w:p w:rsidR="00240BCE" w:rsidRDefault="00AC0334">
      <w:pPr>
        <w:spacing w:line="520" w:lineRule="exact"/>
        <w:ind w:firstLineChars="200" w:firstLine="480"/>
        <w:rPr>
          <w:color w:val="000000"/>
          <w:sz w:val="24"/>
        </w:rPr>
      </w:pPr>
      <w:bookmarkStart w:id="743" w:name="_Toc20359_WPSOffice_Level3"/>
      <w:r>
        <w:rPr>
          <w:color w:val="000000"/>
          <w:sz w:val="24"/>
        </w:rPr>
        <w:t xml:space="preserve">①  </w:t>
      </w:r>
      <w:r>
        <w:rPr>
          <w:color w:val="000000"/>
          <w:sz w:val="24"/>
        </w:rPr>
        <w:t>各车辆昼间或夜间使预测点</w:t>
      </w:r>
      <w:r>
        <w:rPr>
          <w:color w:val="000000"/>
          <w:sz w:val="24"/>
        </w:rPr>
        <w:t>r</w:t>
      </w:r>
      <w:r>
        <w:rPr>
          <w:color w:val="000000"/>
          <w:sz w:val="24"/>
        </w:rPr>
        <w:t>接收到的交通噪声值计算式：</w:t>
      </w:r>
      <w:bookmarkEnd w:id="743"/>
    </w:p>
    <w:p w:rsidR="00240BCE" w:rsidRDefault="00AC0334">
      <w:pPr>
        <w:tabs>
          <w:tab w:val="left" w:pos="2850"/>
          <w:tab w:val="left" w:pos="3180"/>
        </w:tabs>
        <w:spacing w:line="520" w:lineRule="exact"/>
        <w:ind w:firstLineChars="600" w:firstLine="1440"/>
        <w:rPr>
          <w:color w:val="000000"/>
          <w:sz w:val="24"/>
        </w:rPr>
      </w:pPr>
      <w:r>
        <w:rPr>
          <w:color w:val="000000"/>
          <w:sz w:val="24"/>
        </w:rPr>
        <w:t>L</w:t>
      </w:r>
      <w:r>
        <w:rPr>
          <w:color w:val="000000"/>
          <w:sz w:val="24"/>
          <w:vertAlign w:val="subscript"/>
        </w:rPr>
        <w:t>eq</w:t>
      </w:r>
      <w:r>
        <w:rPr>
          <w:color w:val="000000"/>
          <w:sz w:val="24"/>
        </w:rPr>
        <w:t>（总）</w:t>
      </w:r>
      <w:r>
        <w:rPr>
          <w:color w:val="000000"/>
          <w:sz w:val="24"/>
        </w:rPr>
        <w:t>=10lg</w:t>
      </w:r>
      <w:r>
        <w:rPr>
          <w:color w:val="000000"/>
          <w:sz w:val="24"/>
        </w:rPr>
        <w:t>（</w:t>
      </w:r>
      <w:r>
        <w:rPr>
          <w:color w:val="000000"/>
          <w:sz w:val="24"/>
        </w:rPr>
        <w:t>10</w:t>
      </w:r>
      <w:r>
        <w:rPr>
          <w:color w:val="000000"/>
          <w:sz w:val="24"/>
          <w:vertAlign w:val="superscript"/>
        </w:rPr>
        <w:t>0.1Leq</w:t>
      </w:r>
      <w:r>
        <w:rPr>
          <w:color w:val="000000"/>
          <w:sz w:val="24"/>
          <w:vertAlign w:val="superscript"/>
        </w:rPr>
        <w:t>（</w:t>
      </w:r>
      <w:r>
        <w:rPr>
          <w:color w:val="000000"/>
          <w:sz w:val="24"/>
          <w:vertAlign w:val="superscript"/>
        </w:rPr>
        <w:t>h</w:t>
      </w:r>
      <w:r>
        <w:rPr>
          <w:color w:val="000000"/>
          <w:sz w:val="24"/>
          <w:vertAlign w:val="superscript"/>
        </w:rPr>
        <w:t>）大</w:t>
      </w:r>
      <w:r>
        <w:rPr>
          <w:color w:val="000000"/>
          <w:sz w:val="24"/>
        </w:rPr>
        <w:t>+10</w:t>
      </w:r>
      <w:r>
        <w:rPr>
          <w:color w:val="000000"/>
          <w:sz w:val="24"/>
          <w:vertAlign w:val="superscript"/>
        </w:rPr>
        <w:t>0.1Leq</w:t>
      </w:r>
      <w:r>
        <w:rPr>
          <w:color w:val="000000"/>
          <w:sz w:val="24"/>
          <w:vertAlign w:val="superscript"/>
        </w:rPr>
        <w:t>（</w:t>
      </w:r>
      <w:r>
        <w:rPr>
          <w:color w:val="000000"/>
          <w:sz w:val="24"/>
          <w:vertAlign w:val="superscript"/>
        </w:rPr>
        <w:t>h</w:t>
      </w:r>
      <w:r>
        <w:rPr>
          <w:color w:val="000000"/>
          <w:sz w:val="24"/>
          <w:vertAlign w:val="superscript"/>
        </w:rPr>
        <w:t>）中</w:t>
      </w:r>
      <w:r>
        <w:rPr>
          <w:color w:val="000000"/>
          <w:sz w:val="24"/>
        </w:rPr>
        <w:t>+10</w:t>
      </w:r>
      <w:r>
        <w:rPr>
          <w:color w:val="000000"/>
          <w:sz w:val="24"/>
          <w:vertAlign w:val="superscript"/>
        </w:rPr>
        <w:t>0.1Leq</w:t>
      </w:r>
      <w:r>
        <w:rPr>
          <w:color w:val="000000"/>
          <w:sz w:val="24"/>
          <w:vertAlign w:val="superscript"/>
        </w:rPr>
        <w:t>（</w:t>
      </w:r>
      <w:r>
        <w:rPr>
          <w:color w:val="000000"/>
          <w:sz w:val="24"/>
          <w:vertAlign w:val="superscript"/>
        </w:rPr>
        <w:t>h</w:t>
      </w:r>
      <w:r>
        <w:rPr>
          <w:color w:val="000000"/>
          <w:sz w:val="24"/>
          <w:vertAlign w:val="superscript"/>
        </w:rPr>
        <w:t>）小</w:t>
      </w:r>
      <w:r>
        <w:rPr>
          <w:color w:val="000000"/>
          <w:sz w:val="24"/>
        </w:rPr>
        <w:t>）</w:t>
      </w:r>
    </w:p>
    <w:p w:rsidR="00240BCE" w:rsidRDefault="00AC0334">
      <w:pPr>
        <w:spacing w:line="520" w:lineRule="exact"/>
        <w:ind w:firstLineChars="250" w:firstLine="600"/>
        <w:rPr>
          <w:color w:val="000000"/>
          <w:sz w:val="24"/>
        </w:rPr>
      </w:pPr>
      <w:r>
        <w:rPr>
          <w:color w:val="000000"/>
          <w:sz w:val="24"/>
        </w:rPr>
        <w:t>式中：</w:t>
      </w:r>
      <w:r>
        <w:rPr>
          <w:color w:val="000000"/>
          <w:sz w:val="24"/>
        </w:rPr>
        <w:t>L</w:t>
      </w:r>
      <w:r>
        <w:rPr>
          <w:color w:val="000000"/>
          <w:sz w:val="24"/>
          <w:vertAlign w:val="subscript"/>
        </w:rPr>
        <w:t>eq</w:t>
      </w:r>
      <w:r>
        <w:rPr>
          <w:color w:val="000000"/>
          <w:sz w:val="24"/>
        </w:rPr>
        <w:t>（总）</w:t>
      </w:r>
      <w:r>
        <w:rPr>
          <w:color w:val="000000"/>
          <w:sz w:val="24"/>
        </w:rPr>
        <w:t>——</w:t>
      </w:r>
      <w:r>
        <w:rPr>
          <w:color w:val="000000"/>
          <w:sz w:val="24"/>
        </w:rPr>
        <w:t>总车流等效声级，</w:t>
      </w:r>
      <w:r>
        <w:rPr>
          <w:color w:val="000000"/>
          <w:sz w:val="24"/>
        </w:rPr>
        <w:t xml:space="preserve">dB(A) </w:t>
      </w:r>
      <w:r>
        <w:rPr>
          <w:color w:val="000000"/>
          <w:sz w:val="24"/>
        </w:rPr>
        <w:t>；</w:t>
      </w:r>
    </w:p>
    <w:p w:rsidR="00240BCE" w:rsidRDefault="00AC0334">
      <w:pPr>
        <w:spacing w:line="520" w:lineRule="exact"/>
        <w:ind w:firstLineChars="200" w:firstLine="480"/>
        <w:rPr>
          <w:color w:val="000000"/>
          <w:sz w:val="24"/>
        </w:rPr>
      </w:pPr>
      <w:r>
        <w:rPr>
          <w:color w:val="000000"/>
          <w:sz w:val="24"/>
        </w:rPr>
        <w:t xml:space="preserve">②  </w:t>
      </w:r>
      <w:r>
        <w:rPr>
          <w:color w:val="000000"/>
          <w:sz w:val="24"/>
        </w:rPr>
        <w:t>各类车的平均辐射声级</w:t>
      </w:r>
      <w:r w:rsidRPr="00CA16C7">
        <w:rPr>
          <w:position w:val="-12"/>
        </w:rPr>
        <w:object w:dxaOrig="620" w:dyaOrig="400">
          <v:shape id="_x0000_i1080" type="#_x0000_t75" style="width:30.75pt;height:21pt" o:ole="">
            <v:imagedata r:id="rId140" o:title=""/>
          </v:shape>
          <o:OLEObject Type="Embed" ProgID="Equations" ShapeID="_x0000_i1080" DrawAspect="Content" ObjectID="_1695746943" r:id="rId142"/>
        </w:object>
      </w:r>
      <w:r>
        <w:rPr>
          <w:color w:val="000000"/>
          <w:sz w:val="24"/>
        </w:rPr>
        <w:t>，按下式计算：</w:t>
      </w:r>
    </w:p>
    <w:p w:rsidR="00240BCE" w:rsidRDefault="00AC0334">
      <w:pPr>
        <w:spacing w:line="520" w:lineRule="exact"/>
        <w:ind w:firstLineChars="200" w:firstLine="480"/>
        <w:rPr>
          <w:color w:val="000000"/>
          <w:sz w:val="24"/>
          <w:vertAlign w:val="subscript"/>
        </w:rPr>
      </w:pPr>
      <w:r>
        <w:rPr>
          <w:color w:val="000000"/>
          <w:sz w:val="24"/>
        </w:rPr>
        <w:t xml:space="preserve">    </w:t>
      </w:r>
      <w:r>
        <w:rPr>
          <w:color w:val="000000"/>
          <w:sz w:val="24"/>
        </w:rPr>
        <w:t xml:space="preserve">　大型车　</w:t>
      </w:r>
      <w:r w:rsidRPr="00CA16C7">
        <w:rPr>
          <w:position w:val="-12"/>
        </w:rPr>
        <w:object w:dxaOrig="680" w:dyaOrig="400">
          <v:shape id="_x0000_i1081" type="#_x0000_t75" style="width:34.5pt;height:21pt" o:ole="">
            <v:imagedata r:id="rId143" o:title=""/>
          </v:shape>
          <o:OLEObject Type="Embed" ProgID="Equations" ShapeID="_x0000_i1081" DrawAspect="Content" ObjectID="_1695746944" r:id="rId144"/>
        </w:object>
      </w:r>
      <w:r>
        <w:rPr>
          <w:color w:val="000000"/>
          <w:sz w:val="24"/>
        </w:rPr>
        <w:t>＝</w:t>
      </w:r>
      <w:r>
        <w:rPr>
          <w:color w:val="000000"/>
          <w:sz w:val="24"/>
        </w:rPr>
        <w:t>72.2</w:t>
      </w:r>
      <w:r>
        <w:rPr>
          <w:color w:val="000000"/>
          <w:sz w:val="24"/>
        </w:rPr>
        <w:t>＋</w:t>
      </w:r>
      <w:r>
        <w:rPr>
          <w:color w:val="000000"/>
          <w:sz w:val="24"/>
        </w:rPr>
        <w:t>0.18V</w:t>
      </w:r>
      <w:r>
        <w:rPr>
          <w:color w:val="000000"/>
          <w:sz w:val="24"/>
          <w:vertAlign w:val="subscript"/>
        </w:rPr>
        <w:t>L</w:t>
      </w:r>
    </w:p>
    <w:p w:rsidR="00240BCE" w:rsidRDefault="00AC0334">
      <w:pPr>
        <w:spacing w:line="520" w:lineRule="exact"/>
        <w:ind w:firstLineChars="200" w:firstLine="480"/>
        <w:rPr>
          <w:color w:val="000000"/>
          <w:sz w:val="24"/>
        </w:rPr>
      </w:pPr>
      <w:r>
        <w:rPr>
          <w:color w:val="000000"/>
          <w:sz w:val="24"/>
        </w:rPr>
        <w:t xml:space="preserve">    </w:t>
      </w:r>
      <w:r>
        <w:rPr>
          <w:color w:val="000000"/>
          <w:sz w:val="24"/>
        </w:rPr>
        <w:t xml:space="preserve">　中型车　</w:t>
      </w:r>
      <w:r w:rsidRPr="00CA16C7">
        <w:rPr>
          <w:position w:val="-12"/>
        </w:rPr>
        <w:object w:dxaOrig="740" w:dyaOrig="400">
          <v:shape id="_x0000_i1082" type="#_x0000_t75" style="width:36pt;height:21pt" o:ole="">
            <v:imagedata r:id="rId145" o:title=""/>
          </v:shape>
          <o:OLEObject Type="Embed" ProgID="Equations" ShapeID="_x0000_i1082" DrawAspect="Content" ObjectID="_1695746945" r:id="rId146"/>
        </w:object>
      </w:r>
      <w:r>
        <w:rPr>
          <w:color w:val="000000"/>
          <w:sz w:val="24"/>
        </w:rPr>
        <w:t>＝</w:t>
      </w:r>
      <w:r>
        <w:rPr>
          <w:color w:val="000000"/>
          <w:sz w:val="24"/>
        </w:rPr>
        <w:t>62.6</w:t>
      </w:r>
      <w:r>
        <w:rPr>
          <w:color w:val="000000"/>
          <w:sz w:val="24"/>
        </w:rPr>
        <w:t>＋</w:t>
      </w:r>
      <w:r>
        <w:rPr>
          <w:color w:val="000000"/>
          <w:sz w:val="24"/>
        </w:rPr>
        <w:t>0.32V</w:t>
      </w:r>
      <w:r>
        <w:rPr>
          <w:color w:val="000000"/>
          <w:sz w:val="24"/>
          <w:vertAlign w:val="subscript"/>
        </w:rPr>
        <w:t>m</w:t>
      </w:r>
    </w:p>
    <w:p w:rsidR="00240BCE" w:rsidRDefault="00AC0334">
      <w:pPr>
        <w:spacing w:line="520" w:lineRule="exact"/>
        <w:ind w:firstLineChars="200" w:firstLine="480"/>
        <w:rPr>
          <w:color w:val="000000"/>
          <w:sz w:val="24"/>
        </w:rPr>
      </w:pPr>
      <w:r>
        <w:rPr>
          <w:color w:val="000000"/>
          <w:sz w:val="24"/>
        </w:rPr>
        <w:t xml:space="preserve">    </w:t>
      </w:r>
      <w:r>
        <w:rPr>
          <w:color w:val="000000"/>
          <w:sz w:val="24"/>
        </w:rPr>
        <w:t xml:space="preserve">　小型车　</w:t>
      </w:r>
      <w:r w:rsidRPr="00CA16C7">
        <w:rPr>
          <w:position w:val="-12"/>
        </w:rPr>
        <w:object w:dxaOrig="660" w:dyaOrig="400">
          <v:shape id="_x0000_i1083" type="#_x0000_t75" style="width:32.25pt;height:21pt" o:ole="">
            <v:imagedata r:id="rId147" o:title=""/>
          </v:shape>
          <o:OLEObject Type="Embed" ProgID="Equations" ShapeID="_x0000_i1083" DrawAspect="Content" ObjectID="_1695746946" r:id="rId148"/>
        </w:object>
      </w:r>
      <w:r>
        <w:rPr>
          <w:color w:val="000000"/>
          <w:sz w:val="24"/>
        </w:rPr>
        <w:t>＝</w:t>
      </w:r>
      <w:r>
        <w:rPr>
          <w:color w:val="000000"/>
          <w:sz w:val="24"/>
        </w:rPr>
        <w:t>59.3</w:t>
      </w:r>
      <w:r>
        <w:rPr>
          <w:color w:val="000000"/>
          <w:sz w:val="24"/>
        </w:rPr>
        <w:t>＋</w:t>
      </w:r>
      <w:r>
        <w:rPr>
          <w:color w:val="000000"/>
          <w:sz w:val="24"/>
        </w:rPr>
        <w:t>0.23V</w:t>
      </w:r>
      <w:r>
        <w:rPr>
          <w:color w:val="000000"/>
          <w:sz w:val="24"/>
          <w:vertAlign w:val="subscript"/>
        </w:rPr>
        <w:t>s</w:t>
      </w:r>
    </w:p>
    <w:p w:rsidR="00240BCE" w:rsidRDefault="00AC0334">
      <w:pPr>
        <w:tabs>
          <w:tab w:val="left" w:pos="753"/>
        </w:tabs>
        <w:spacing w:line="520" w:lineRule="exact"/>
        <w:ind w:firstLineChars="200" w:firstLine="480"/>
        <w:rPr>
          <w:color w:val="000000"/>
          <w:sz w:val="24"/>
        </w:rPr>
      </w:pPr>
      <w:r>
        <w:rPr>
          <w:color w:val="000000"/>
          <w:sz w:val="24"/>
        </w:rPr>
        <w:t>式中：</w:t>
      </w:r>
      <w:r>
        <w:rPr>
          <w:color w:val="000000"/>
          <w:sz w:val="24"/>
        </w:rPr>
        <w:t xml:space="preserve">i ── </w:t>
      </w:r>
      <w:r>
        <w:rPr>
          <w:color w:val="000000"/>
          <w:sz w:val="24"/>
        </w:rPr>
        <w:t>表示大</w:t>
      </w:r>
      <w:r>
        <w:rPr>
          <w:color w:val="000000"/>
          <w:sz w:val="24"/>
        </w:rPr>
        <w:t>(L)</w:t>
      </w:r>
      <w:r>
        <w:rPr>
          <w:color w:val="000000"/>
          <w:sz w:val="24"/>
        </w:rPr>
        <w:t>、中</w:t>
      </w:r>
      <w:r>
        <w:rPr>
          <w:color w:val="000000"/>
          <w:sz w:val="24"/>
        </w:rPr>
        <w:t>(m)</w:t>
      </w:r>
      <w:r>
        <w:rPr>
          <w:color w:val="000000"/>
          <w:sz w:val="24"/>
        </w:rPr>
        <w:t>、小</w:t>
      </w:r>
      <w:r>
        <w:rPr>
          <w:color w:val="000000"/>
          <w:sz w:val="24"/>
        </w:rPr>
        <w:t>(s)</w:t>
      </w:r>
      <w:r>
        <w:rPr>
          <w:color w:val="000000"/>
          <w:sz w:val="24"/>
        </w:rPr>
        <w:t>型车；</w:t>
      </w:r>
    </w:p>
    <w:p w:rsidR="00240BCE" w:rsidRDefault="00AC0334">
      <w:pPr>
        <w:spacing w:line="520" w:lineRule="exact"/>
        <w:ind w:firstLineChars="200" w:firstLine="480"/>
        <w:rPr>
          <w:color w:val="000000"/>
          <w:sz w:val="24"/>
        </w:rPr>
      </w:pPr>
      <w:r>
        <w:rPr>
          <w:color w:val="000000"/>
          <w:sz w:val="24"/>
        </w:rPr>
        <w:lastRenderedPageBreak/>
        <w:t xml:space="preserve">      V</w:t>
      </w:r>
      <w:r>
        <w:rPr>
          <w:color w:val="000000"/>
          <w:sz w:val="24"/>
          <w:vertAlign w:val="subscript"/>
        </w:rPr>
        <w:t>i</w:t>
      </w:r>
      <w:r>
        <w:rPr>
          <w:color w:val="000000"/>
          <w:sz w:val="24"/>
        </w:rPr>
        <w:t xml:space="preserve"> ── </w:t>
      </w:r>
      <w:r>
        <w:rPr>
          <w:color w:val="000000"/>
          <w:sz w:val="24"/>
        </w:rPr>
        <w:t>各型车平均行驶速度，</w:t>
      </w:r>
      <w:r>
        <w:rPr>
          <w:color w:val="000000"/>
          <w:sz w:val="24"/>
        </w:rPr>
        <w:t>km/h</w:t>
      </w:r>
      <w:r>
        <w:rPr>
          <w:color w:val="000000"/>
          <w:sz w:val="24"/>
        </w:rPr>
        <w:t>。</w:t>
      </w:r>
    </w:p>
    <w:p w:rsidR="00240BCE" w:rsidRDefault="00AC0334">
      <w:pPr>
        <w:pStyle w:val="ac"/>
        <w:ind w:firstLineChars="200" w:firstLine="488"/>
        <w:rPr>
          <w:color w:val="auto"/>
          <w:sz w:val="24"/>
        </w:rPr>
      </w:pPr>
      <w:bookmarkStart w:id="744" w:name="_Toc30832_WPSOffice_Level3"/>
      <w:r>
        <w:rPr>
          <w:color w:val="auto"/>
          <w:sz w:val="24"/>
        </w:rPr>
        <w:t>3</w:t>
      </w:r>
      <w:r>
        <w:rPr>
          <w:color w:val="auto"/>
          <w:sz w:val="24"/>
        </w:rPr>
        <w:t>、运煤道路交通噪声影响预测评价</w:t>
      </w:r>
      <w:bookmarkEnd w:id="744"/>
    </w:p>
    <w:p w:rsidR="00240BCE" w:rsidRDefault="00AC0334">
      <w:pPr>
        <w:pStyle w:val="ac"/>
        <w:ind w:firstLineChars="200" w:firstLine="488"/>
        <w:rPr>
          <w:color w:val="auto"/>
          <w:sz w:val="24"/>
        </w:rPr>
      </w:pPr>
      <w:r>
        <w:rPr>
          <w:color w:val="auto"/>
          <w:sz w:val="24"/>
        </w:rPr>
        <w:t>根据预测模式，结合运煤道路沿线的具体情况确定的各种参数，计算出道路沿线两侧距路中心线</w:t>
      </w:r>
      <w:r>
        <w:rPr>
          <w:color w:val="auto"/>
          <w:sz w:val="24"/>
        </w:rPr>
        <w:t>10-200m</w:t>
      </w:r>
      <w:r>
        <w:rPr>
          <w:color w:val="auto"/>
          <w:sz w:val="24"/>
        </w:rPr>
        <w:t>范围内昼夜交通噪声预测值，其结果见表</w:t>
      </w:r>
      <w:r>
        <w:rPr>
          <w:color w:val="auto"/>
          <w:sz w:val="24"/>
        </w:rPr>
        <w:t>6.4-</w:t>
      </w:r>
      <w:r w:rsidR="00F76E27">
        <w:rPr>
          <w:rFonts w:hint="eastAsia"/>
          <w:color w:val="auto"/>
          <w:sz w:val="24"/>
        </w:rPr>
        <w:t>4</w:t>
      </w:r>
      <w:r>
        <w:rPr>
          <w:color w:val="auto"/>
          <w:sz w:val="24"/>
        </w:rPr>
        <w:t>。</w:t>
      </w:r>
    </w:p>
    <w:p w:rsidR="00240BCE" w:rsidRDefault="00AC0334">
      <w:pPr>
        <w:pStyle w:val="ac"/>
        <w:ind w:firstLine="0"/>
        <w:jc w:val="center"/>
        <w:rPr>
          <w:sz w:val="24"/>
        </w:rPr>
      </w:pPr>
      <w:r>
        <w:rPr>
          <w:rFonts w:eastAsia="黑体"/>
          <w:sz w:val="24"/>
        </w:rPr>
        <w:t>表</w:t>
      </w:r>
      <w:r>
        <w:rPr>
          <w:rFonts w:eastAsia="黑体"/>
          <w:sz w:val="24"/>
        </w:rPr>
        <w:t>6.4-</w:t>
      </w:r>
      <w:r w:rsidR="00F76E27">
        <w:rPr>
          <w:rFonts w:eastAsia="黑体" w:hint="eastAsia"/>
          <w:sz w:val="24"/>
        </w:rPr>
        <w:t>4</w:t>
      </w:r>
      <w:r>
        <w:rPr>
          <w:rFonts w:eastAsia="黑体"/>
          <w:sz w:val="24"/>
        </w:rPr>
        <w:t xml:space="preserve">  </w:t>
      </w:r>
      <w:r>
        <w:rPr>
          <w:rFonts w:eastAsia="黑体"/>
          <w:sz w:val="24"/>
        </w:rPr>
        <w:t>运输道路昼间交通噪声等效声级预测结果</w:t>
      </w:r>
      <w:r>
        <w:rPr>
          <w:sz w:val="21"/>
          <w:szCs w:val="21"/>
        </w:rPr>
        <w:t>（单位：</w:t>
      </w:r>
      <w:r>
        <w:rPr>
          <w:sz w:val="21"/>
          <w:szCs w:val="21"/>
        </w:rPr>
        <w:t>dB(A)</w:t>
      </w:r>
      <w:r>
        <w:rPr>
          <w:sz w:val="21"/>
          <w:szCs w:val="21"/>
        </w:rPr>
        <w:t>）</w:t>
      </w:r>
      <w:r>
        <w:rPr>
          <w:sz w:val="24"/>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1319"/>
        <w:gridCol w:w="834"/>
        <w:gridCol w:w="941"/>
        <w:gridCol w:w="942"/>
        <w:gridCol w:w="942"/>
        <w:gridCol w:w="943"/>
        <w:gridCol w:w="942"/>
        <w:gridCol w:w="942"/>
        <w:gridCol w:w="945"/>
      </w:tblGrid>
      <w:tr w:rsidR="00240BCE">
        <w:trPr>
          <w:trHeight w:val="256"/>
        </w:trPr>
        <w:tc>
          <w:tcPr>
            <w:tcW w:w="1230" w:type="pct"/>
            <w:gridSpan w:val="2"/>
            <w:vMerge w:val="restart"/>
            <w:vAlign w:val="center"/>
          </w:tcPr>
          <w:p w:rsidR="00240BCE" w:rsidRDefault="00AC0334">
            <w:pPr>
              <w:tabs>
                <w:tab w:val="left" w:pos="2310"/>
              </w:tabs>
              <w:autoSpaceDE w:val="0"/>
              <w:autoSpaceDN w:val="0"/>
              <w:adjustRightInd w:val="0"/>
              <w:spacing w:line="360" w:lineRule="exact"/>
              <w:jc w:val="center"/>
              <w:rPr>
                <w:color w:val="000000"/>
                <w:sz w:val="21"/>
                <w:szCs w:val="21"/>
                <w:lang w:val="zh-CN"/>
              </w:rPr>
            </w:pPr>
            <w:bookmarkStart w:id="745" w:name="_Toc181247598"/>
            <w:r>
              <w:rPr>
                <w:color w:val="000000"/>
                <w:sz w:val="21"/>
                <w:szCs w:val="21"/>
                <w:lang w:val="zh-CN"/>
              </w:rPr>
              <w:t xml:space="preserve">             </w:t>
            </w:r>
            <w:r>
              <w:rPr>
                <w:color w:val="000000"/>
                <w:sz w:val="21"/>
                <w:szCs w:val="21"/>
                <w:lang w:val="zh-CN"/>
              </w:rPr>
              <w:t>距离</w:t>
            </w:r>
            <w:bookmarkEnd w:id="745"/>
          </w:p>
          <w:p w:rsidR="00240BCE" w:rsidRDefault="00AC0334">
            <w:pPr>
              <w:autoSpaceDE w:val="0"/>
              <w:autoSpaceDN w:val="0"/>
              <w:adjustRightInd w:val="0"/>
              <w:spacing w:line="360" w:lineRule="exact"/>
              <w:ind w:firstLineChars="50" w:firstLine="105"/>
              <w:rPr>
                <w:color w:val="000000"/>
                <w:sz w:val="21"/>
                <w:szCs w:val="21"/>
                <w:lang w:val="zh-CN"/>
              </w:rPr>
            </w:pPr>
            <w:bookmarkStart w:id="746" w:name="_Toc181247599"/>
            <w:r>
              <w:rPr>
                <w:color w:val="000000"/>
                <w:sz w:val="21"/>
                <w:szCs w:val="21"/>
                <w:lang w:val="zh-CN"/>
              </w:rPr>
              <w:t>声级值</w:t>
            </w:r>
            <w:bookmarkEnd w:id="746"/>
          </w:p>
        </w:tc>
        <w:tc>
          <w:tcPr>
            <w:tcW w:w="3770" w:type="pct"/>
            <w:gridSpan w:val="7"/>
            <w:vAlign w:val="center"/>
          </w:tcPr>
          <w:p w:rsidR="00240BCE" w:rsidRDefault="00AC0334">
            <w:pPr>
              <w:autoSpaceDE w:val="0"/>
              <w:autoSpaceDN w:val="0"/>
              <w:adjustRightInd w:val="0"/>
              <w:spacing w:line="360" w:lineRule="exact"/>
              <w:jc w:val="center"/>
              <w:rPr>
                <w:color w:val="000000"/>
                <w:sz w:val="21"/>
                <w:szCs w:val="21"/>
                <w:lang w:val="zh-CN"/>
              </w:rPr>
            </w:pPr>
            <w:bookmarkStart w:id="747" w:name="_Toc181247600"/>
            <w:r>
              <w:rPr>
                <w:color w:val="000000"/>
                <w:sz w:val="21"/>
                <w:szCs w:val="21"/>
                <w:lang w:val="zh-CN"/>
              </w:rPr>
              <w:t>距路面中心线距离</w:t>
            </w:r>
            <w:r>
              <w:rPr>
                <w:color w:val="000000"/>
                <w:sz w:val="21"/>
                <w:szCs w:val="21"/>
                <w:lang w:val="zh-CN"/>
              </w:rPr>
              <w:t>(m)</w:t>
            </w:r>
            <w:bookmarkEnd w:id="747"/>
          </w:p>
        </w:tc>
      </w:tr>
      <w:tr w:rsidR="00240BCE">
        <w:trPr>
          <w:trHeight w:val="246"/>
        </w:trPr>
        <w:tc>
          <w:tcPr>
            <w:tcW w:w="1230" w:type="pct"/>
            <w:gridSpan w:val="2"/>
            <w:vMerge/>
            <w:vAlign w:val="center"/>
          </w:tcPr>
          <w:p w:rsidR="00240BCE" w:rsidRDefault="00240BCE">
            <w:pPr>
              <w:tabs>
                <w:tab w:val="left" w:pos="2310"/>
              </w:tabs>
              <w:autoSpaceDE w:val="0"/>
              <w:autoSpaceDN w:val="0"/>
              <w:adjustRightInd w:val="0"/>
              <w:spacing w:line="360" w:lineRule="exact"/>
              <w:jc w:val="center"/>
              <w:rPr>
                <w:color w:val="000000"/>
                <w:sz w:val="21"/>
                <w:szCs w:val="21"/>
                <w:lang w:val="zh-CN"/>
              </w:rPr>
            </w:pP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10</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bookmarkStart w:id="748" w:name="_Toc181247602"/>
            <w:r>
              <w:rPr>
                <w:color w:val="000000"/>
                <w:sz w:val="21"/>
                <w:szCs w:val="21"/>
                <w:lang w:val="zh-CN"/>
              </w:rPr>
              <w:t>20</w:t>
            </w:r>
          </w:p>
        </w:tc>
        <w:bookmarkEnd w:id="748"/>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30</w:t>
            </w:r>
          </w:p>
        </w:tc>
        <w:tc>
          <w:tcPr>
            <w:tcW w:w="539" w:type="pct"/>
            <w:vAlign w:val="center"/>
          </w:tcPr>
          <w:p w:rsidR="00240BCE" w:rsidRDefault="00AC0334">
            <w:pPr>
              <w:autoSpaceDE w:val="0"/>
              <w:autoSpaceDN w:val="0"/>
              <w:adjustRightInd w:val="0"/>
              <w:spacing w:line="360" w:lineRule="exact"/>
              <w:jc w:val="center"/>
              <w:rPr>
                <w:color w:val="000000"/>
                <w:sz w:val="21"/>
                <w:szCs w:val="21"/>
                <w:lang w:val="zh-CN"/>
              </w:rPr>
            </w:pPr>
            <w:bookmarkStart w:id="749" w:name="_Toc181247603"/>
            <w:r>
              <w:rPr>
                <w:color w:val="000000"/>
                <w:sz w:val="21"/>
                <w:szCs w:val="21"/>
                <w:lang w:val="zh-CN"/>
              </w:rPr>
              <w:t>40</w:t>
            </w:r>
            <w:bookmarkEnd w:id="749"/>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bookmarkStart w:id="750" w:name="_Toc181247604"/>
            <w:r>
              <w:rPr>
                <w:color w:val="000000"/>
                <w:sz w:val="21"/>
                <w:szCs w:val="21"/>
                <w:lang w:val="zh-CN"/>
              </w:rPr>
              <w:t>50</w:t>
            </w:r>
            <w:bookmarkEnd w:id="750"/>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100</w:t>
            </w:r>
          </w:p>
        </w:tc>
        <w:tc>
          <w:tcPr>
            <w:tcW w:w="540"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200</w:t>
            </w:r>
          </w:p>
        </w:tc>
      </w:tr>
      <w:tr w:rsidR="00240BCE">
        <w:tc>
          <w:tcPr>
            <w:tcW w:w="754" w:type="pct"/>
            <w:vMerge w:val="restart"/>
            <w:vAlign w:val="center"/>
          </w:tcPr>
          <w:p w:rsidR="00240BCE" w:rsidRDefault="00AC0334">
            <w:pPr>
              <w:autoSpaceDE w:val="0"/>
              <w:autoSpaceDN w:val="0"/>
              <w:adjustRightInd w:val="0"/>
              <w:spacing w:line="360" w:lineRule="exact"/>
              <w:jc w:val="center"/>
              <w:rPr>
                <w:color w:val="000000"/>
                <w:sz w:val="21"/>
                <w:szCs w:val="21"/>
                <w:lang w:val="zh-CN"/>
              </w:rPr>
            </w:pPr>
            <w:bookmarkStart w:id="751" w:name="_Toc181247606"/>
            <w:r>
              <w:rPr>
                <w:color w:val="000000"/>
                <w:sz w:val="21"/>
                <w:szCs w:val="21"/>
                <w:lang w:val="zh-CN"/>
              </w:rPr>
              <w:t>等效声级预测值</w:t>
            </w:r>
            <w:bookmarkEnd w:id="751"/>
            <w:r>
              <w:rPr>
                <w:color w:val="000000"/>
                <w:sz w:val="21"/>
                <w:szCs w:val="21"/>
                <w:lang w:val="zh-CN"/>
              </w:rPr>
              <w:t>（贡献值）</w:t>
            </w:r>
          </w:p>
        </w:tc>
        <w:tc>
          <w:tcPr>
            <w:tcW w:w="477" w:type="pct"/>
            <w:vAlign w:val="center"/>
          </w:tcPr>
          <w:p w:rsidR="00240BCE" w:rsidRDefault="00AC0334">
            <w:pPr>
              <w:autoSpaceDE w:val="0"/>
              <w:autoSpaceDN w:val="0"/>
              <w:adjustRightInd w:val="0"/>
              <w:spacing w:line="360" w:lineRule="exact"/>
              <w:jc w:val="center"/>
              <w:rPr>
                <w:color w:val="000000"/>
                <w:sz w:val="21"/>
                <w:szCs w:val="21"/>
                <w:lang w:val="zh-CN"/>
              </w:rPr>
            </w:pPr>
            <w:bookmarkStart w:id="752" w:name="_Toc181247607"/>
            <w:r>
              <w:rPr>
                <w:color w:val="000000"/>
                <w:sz w:val="21"/>
                <w:szCs w:val="21"/>
                <w:lang w:val="zh-CN"/>
              </w:rPr>
              <w:t>昼</w:t>
            </w:r>
            <w:bookmarkEnd w:id="752"/>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46.0</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43.0</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41.3</w:t>
            </w:r>
          </w:p>
        </w:tc>
        <w:tc>
          <w:tcPr>
            <w:tcW w:w="539"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40.0</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39.1</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36.0</w:t>
            </w:r>
          </w:p>
        </w:tc>
        <w:tc>
          <w:tcPr>
            <w:tcW w:w="540"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33.0</w:t>
            </w:r>
          </w:p>
        </w:tc>
      </w:tr>
      <w:tr w:rsidR="00240BCE">
        <w:tc>
          <w:tcPr>
            <w:tcW w:w="754" w:type="pct"/>
            <w:vMerge/>
            <w:vAlign w:val="center"/>
          </w:tcPr>
          <w:p w:rsidR="00240BCE" w:rsidRDefault="00240BCE">
            <w:pPr>
              <w:autoSpaceDE w:val="0"/>
              <w:autoSpaceDN w:val="0"/>
              <w:adjustRightInd w:val="0"/>
              <w:spacing w:line="360" w:lineRule="exact"/>
              <w:jc w:val="center"/>
              <w:rPr>
                <w:color w:val="000000"/>
                <w:sz w:val="21"/>
                <w:szCs w:val="21"/>
                <w:lang w:val="zh-CN"/>
              </w:rPr>
            </w:pPr>
          </w:p>
        </w:tc>
        <w:tc>
          <w:tcPr>
            <w:tcW w:w="477"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夜</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46.0</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43.0</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41.3</w:t>
            </w:r>
          </w:p>
        </w:tc>
        <w:tc>
          <w:tcPr>
            <w:tcW w:w="539"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40.0</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39.1</w:t>
            </w:r>
          </w:p>
        </w:tc>
        <w:tc>
          <w:tcPr>
            <w:tcW w:w="538"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36.0</w:t>
            </w:r>
          </w:p>
        </w:tc>
        <w:tc>
          <w:tcPr>
            <w:tcW w:w="540" w:type="pct"/>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33.0</w:t>
            </w:r>
          </w:p>
        </w:tc>
      </w:tr>
      <w:tr w:rsidR="00240BCE">
        <w:tc>
          <w:tcPr>
            <w:tcW w:w="1230" w:type="pct"/>
            <w:gridSpan w:val="2"/>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达标分析</w:t>
            </w:r>
          </w:p>
        </w:tc>
        <w:tc>
          <w:tcPr>
            <w:tcW w:w="3770" w:type="pct"/>
            <w:gridSpan w:val="7"/>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达标</w:t>
            </w:r>
          </w:p>
        </w:tc>
      </w:tr>
      <w:tr w:rsidR="00240BCE">
        <w:tc>
          <w:tcPr>
            <w:tcW w:w="1230" w:type="pct"/>
            <w:gridSpan w:val="2"/>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备注</w:t>
            </w:r>
          </w:p>
        </w:tc>
        <w:tc>
          <w:tcPr>
            <w:tcW w:w="3770" w:type="pct"/>
            <w:gridSpan w:val="7"/>
            <w:vAlign w:val="center"/>
          </w:tcPr>
          <w:p w:rsidR="00240BCE" w:rsidRDefault="00AC0334">
            <w:pPr>
              <w:autoSpaceDE w:val="0"/>
              <w:autoSpaceDN w:val="0"/>
              <w:adjustRightInd w:val="0"/>
              <w:spacing w:line="360" w:lineRule="exact"/>
              <w:jc w:val="center"/>
              <w:rPr>
                <w:color w:val="000000"/>
                <w:sz w:val="21"/>
                <w:szCs w:val="21"/>
                <w:lang w:val="zh-CN"/>
              </w:rPr>
            </w:pPr>
            <w:r>
              <w:rPr>
                <w:color w:val="000000"/>
                <w:sz w:val="21"/>
                <w:szCs w:val="21"/>
                <w:lang w:val="zh-CN"/>
              </w:rPr>
              <w:t>执行</w:t>
            </w:r>
            <w:r>
              <w:rPr>
                <w:color w:val="000000"/>
                <w:sz w:val="21"/>
                <w:szCs w:val="21"/>
                <w:lang w:val="zh-CN"/>
              </w:rPr>
              <w:t>2</w:t>
            </w:r>
            <w:r>
              <w:rPr>
                <w:color w:val="000000"/>
                <w:sz w:val="21"/>
                <w:szCs w:val="21"/>
                <w:lang w:val="zh-CN"/>
              </w:rPr>
              <w:t>类标准，昼间</w:t>
            </w:r>
            <w:r>
              <w:rPr>
                <w:color w:val="000000"/>
                <w:sz w:val="21"/>
                <w:szCs w:val="21"/>
                <w:lang w:val="zh-CN"/>
              </w:rPr>
              <w:t>60</w:t>
            </w:r>
            <w:r>
              <w:rPr>
                <w:sz w:val="21"/>
                <w:szCs w:val="21"/>
              </w:rPr>
              <w:t xml:space="preserve"> dB(A)</w:t>
            </w:r>
            <w:r>
              <w:rPr>
                <w:sz w:val="21"/>
                <w:szCs w:val="21"/>
              </w:rPr>
              <w:t>，夜间</w:t>
            </w:r>
            <w:r>
              <w:rPr>
                <w:sz w:val="21"/>
                <w:szCs w:val="21"/>
              </w:rPr>
              <w:t>50 dB(A)</w:t>
            </w:r>
          </w:p>
        </w:tc>
      </w:tr>
    </w:tbl>
    <w:p w:rsidR="00240BCE" w:rsidRDefault="00AC0334">
      <w:pPr>
        <w:pStyle w:val="a1"/>
        <w:spacing w:after="0" w:line="520" w:lineRule="exact"/>
        <w:ind w:firstLineChars="200" w:firstLine="480"/>
        <w:rPr>
          <w:sz w:val="24"/>
          <w:lang w:val="zh-CN"/>
        </w:rPr>
      </w:pPr>
      <w:r>
        <w:rPr>
          <w:sz w:val="24"/>
        </w:rPr>
        <w:t>由表</w:t>
      </w:r>
      <w:r>
        <w:rPr>
          <w:sz w:val="24"/>
        </w:rPr>
        <w:t>6.4-1</w:t>
      </w:r>
      <w:r>
        <w:rPr>
          <w:sz w:val="24"/>
        </w:rPr>
        <w:t>预测结果，对照《声环境质量标准》</w:t>
      </w:r>
      <w:r>
        <w:rPr>
          <w:sz w:val="24"/>
        </w:rPr>
        <w:t>2</w:t>
      </w:r>
      <w:r>
        <w:rPr>
          <w:sz w:val="24"/>
        </w:rPr>
        <w:t>类标准，可以看出</w:t>
      </w:r>
      <w:r>
        <w:rPr>
          <w:rFonts w:hint="eastAsia"/>
          <w:sz w:val="24"/>
        </w:rPr>
        <w:t>，</w:t>
      </w:r>
      <w:r>
        <w:rPr>
          <w:sz w:val="24"/>
        </w:rPr>
        <w:t>距道路中心线</w:t>
      </w:r>
      <w:r>
        <w:rPr>
          <w:sz w:val="24"/>
        </w:rPr>
        <w:t>10m</w:t>
      </w:r>
      <w:r>
        <w:rPr>
          <w:sz w:val="24"/>
        </w:rPr>
        <w:t>～</w:t>
      </w:r>
      <w:r>
        <w:rPr>
          <w:sz w:val="24"/>
        </w:rPr>
        <w:t>200m</w:t>
      </w:r>
      <w:r>
        <w:rPr>
          <w:sz w:val="24"/>
        </w:rPr>
        <w:t>昼夜间煤炭运输交通噪声噪声等效声级贡献值在</w:t>
      </w:r>
      <w:r>
        <w:rPr>
          <w:color w:val="000000"/>
          <w:sz w:val="24"/>
        </w:rPr>
        <w:t>33.0</w:t>
      </w:r>
      <w:r>
        <w:rPr>
          <w:color w:val="000000"/>
          <w:sz w:val="24"/>
        </w:rPr>
        <w:t>～</w:t>
      </w:r>
      <w:r>
        <w:rPr>
          <w:color w:val="000000"/>
          <w:sz w:val="24"/>
        </w:rPr>
        <w:t>46.0dB(A)</w:t>
      </w:r>
      <w:r>
        <w:rPr>
          <w:color w:val="000000"/>
          <w:sz w:val="24"/>
        </w:rPr>
        <w:t>之间，</w:t>
      </w:r>
      <w:r>
        <w:rPr>
          <w:sz w:val="24"/>
        </w:rPr>
        <w:t>本项目运输道路沿线两侧主要为赵沟村柿树行组，与道路中心线的距离为</w:t>
      </w:r>
      <w:r>
        <w:rPr>
          <w:sz w:val="24"/>
        </w:rPr>
        <w:t>23m</w:t>
      </w:r>
      <w:r>
        <w:rPr>
          <w:sz w:val="24"/>
        </w:rPr>
        <w:t>，</w:t>
      </w:r>
      <w:r>
        <w:rPr>
          <w:color w:val="000000"/>
          <w:sz w:val="24"/>
        </w:rPr>
        <w:t>均能达到</w:t>
      </w:r>
      <w:r>
        <w:rPr>
          <w:sz w:val="24"/>
        </w:rPr>
        <w:t>《声环境质量标准》</w:t>
      </w:r>
      <w:r>
        <w:rPr>
          <w:sz w:val="24"/>
        </w:rPr>
        <w:t>2</w:t>
      </w:r>
      <w:r>
        <w:rPr>
          <w:sz w:val="24"/>
        </w:rPr>
        <w:t>类标准要求。且</w:t>
      </w:r>
      <w:r>
        <w:rPr>
          <w:sz w:val="24"/>
          <w:lang w:val="zh-CN"/>
        </w:rPr>
        <w:t>运煤道路为工业场地西侧的现有道路，路况较好，因此交通噪声对沿线村庄噪声影响不大。</w:t>
      </w:r>
    </w:p>
    <w:p w:rsidR="00240BCE" w:rsidRDefault="00AC0334">
      <w:pPr>
        <w:pStyle w:val="a1"/>
        <w:spacing w:after="0" w:line="520" w:lineRule="exact"/>
        <w:ind w:firstLineChars="200" w:firstLine="480"/>
        <w:rPr>
          <w:sz w:val="24"/>
        </w:rPr>
      </w:pPr>
      <w:r>
        <w:rPr>
          <w:sz w:val="24"/>
        </w:rPr>
        <w:t>但为进一步降低运输车辆经过时瞬时噪声对运输沿线敏感点的影响，评价要求建设单位在运输时采取</w:t>
      </w:r>
      <w:r>
        <w:rPr>
          <w:sz w:val="24"/>
        </w:rPr>
        <w:t>“</w:t>
      </w:r>
      <w:r>
        <w:rPr>
          <w:sz w:val="24"/>
        </w:rPr>
        <w:t>加强汽车维修保养，并设专人对路面平整维护；经过村庄等敏感点时减速慢行；在村庄较密集处设限速标志</w:t>
      </w:r>
      <w:r>
        <w:rPr>
          <w:sz w:val="24"/>
        </w:rPr>
        <w:t>”</w:t>
      </w:r>
      <w:r>
        <w:rPr>
          <w:sz w:val="24"/>
        </w:rPr>
        <w:t>等措施，以最大限度的减少运输车辆车辆经过时瞬时噪声对沿线敏感点的影响。</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753" w:name="_Toc30264_WPSOffice_Level2"/>
      <w:bookmarkStart w:id="754" w:name="_Toc79668712"/>
      <w:bookmarkStart w:id="755" w:name="_Toc81934390"/>
      <w:r>
        <w:rPr>
          <w:rFonts w:ascii="Times New Roman" w:eastAsia="宋体" w:hAnsi="Times New Roman"/>
          <w:bCs/>
          <w:szCs w:val="32"/>
        </w:rPr>
        <w:t>6.5</w:t>
      </w:r>
      <w:r>
        <w:rPr>
          <w:rFonts w:ascii="Times New Roman" w:eastAsia="宋体" w:hAnsi="Times New Roman"/>
          <w:bCs/>
          <w:szCs w:val="32"/>
        </w:rPr>
        <w:t>固体废物环境影响预测与评价</w:t>
      </w:r>
      <w:bookmarkEnd w:id="753"/>
      <w:bookmarkEnd w:id="754"/>
      <w:bookmarkEnd w:id="755"/>
    </w:p>
    <w:p w:rsidR="00240BCE" w:rsidRDefault="00AC0334" w:rsidP="009C5F33">
      <w:pPr>
        <w:pStyle w:val="30"/>
        <w:adjustRightInd w:val="0"/>
        <w:snapToGrid w:val="0"/>
        <w:spacing w:beforeLines="70" w:afterLines="30" w:line="240" w:lineRule="auto"/>
        <w:jc w:val="left"/>
        <w:rPr>
          <w:rFonts w:eastAsia="楷体"/>
          <w:sz w:val="28"/>
          <w:szCs w:val="28"/>
        </w:rPr>
      </w:pPr>
      <w:bookmarkStart w:id="756" w:name="_Toc79668713"/>
      <w:bookmarkStart w:id="757" w:name="_Toc26436_WPSOffice_Level3"/>
      <w:r>
        <w:rPr>
          <w:rFonts w:eastAsia="楷体"/>
          <w:sz w:val="28"/>
          <w:szCs w:val="28"/>
        </w:rPr>
        <w:t>6.5.1</w:t>
      </w:r>
      <w:bookmarkStart w:id="758" w:name="_Toc181089214"/>
      <w:r>
        <w:rPr>
          <w:rFonts w:eastAsia="楷体"/>
          <w:sz w:val="28"/>
          <w:szCs w:val="28"/>
        </w:rPr>
        <w:t xml:space="preserve"> </w:t>
      </w:r>
      <w:r>
        <w:rPr>
          <w:rFonts w:eastAsia="楷体"/>
          <w:sz w:val="28"/>
          <w:szCs w:val="28"/>
        </w:rPr>
        <w:t>建设期固体废弃物对环境的影响</w:t>
      </w:r>
      <w:bookmarkEnd w:id="756"/>
      <w:bookmarkEnd w:id="757"/>
      <w:bookmarkEnd w:id="758"/>
    </w:p>
    <w:p w:rsidR="00240BCE" w:rsidRDefault="00AC0334">
      <w:pPr>
        <w:pStyle w:val="01"/>
        <w:spacing w:line="520" w:lineRule="exact"/>
        <w:ind w:firstLine="480"/>
        <w:rPr>
          <w:rFonts w:ascii="Times New Roman" w:hAnsi="Times New Roman"/>
          <w:color w:val="000000"/>
          <w:lang w:val="en-US"/>
        </w:rPr>
      </w:pPr>
      <w:r>
        <w:rPr>
          <w:rFonts w:ascii="Times New Roman" w:hAnsi="Times New Roman"/>
          <w:color w:val="000000"/>
          <w:lang w:val="en-US"/>
        </w:rPr>
        <w:t>本次升级改造工程建设期排放的固废主要为施工人员的生活垃圾。施工人员的生活垃圾按施工高峰期施工人员约</w:t>
      </w:r>
      <w:r>
        <w:rPr>
          <w:rFonts w:ascii="Times New Roman" w:hAnsi="Times New Roman"/>
          <w:color w:val="000000"/>
          <w:lang w:val="en-US"/>
        </w:rPr>
        <w:t>50</w:t>
      </w:r>
      <w:r>
        <w:rPr>
          <w:rFonts w:ascii="Times New Roman" w:hAnsi="Times New Roman"/>
          <w:color w:val="000000"/>
          <w:lang w:val="en-US"/>
        </w:rPr>
        <w:t>人考虑，每人每天生活垃圾发生量为</w:t>
      </w:r>
      <w:r>
        <w:rPr>
          <w:rFonts w:ascii="Times New Roman" w:hAnsi="Times New Roman"/>
          <w:color w:val="000000"/>
          <w:lang w:val="en-US"/>
        </w:rPr>
        <w:t>0.7kg/(</w:t>
      </w:r>
      <w:r>
        <w:rPr>
          <w:rFonts w:ascii="Times New Roman" w:hAnsi="Times New Roman"/>
          <w:color w:val="000000"/>
          <w:lang w:val="en-US"/>
        </w:rPr>
        <w:t>人</w:t>
      </w:r>
      <w:r>
        <w:rPr>
          <w:rFonts w:ascii="Times New Roman" w:hAnsi="Times New Roman"/>
          <w:color w:val="000000"/>
          <w:lang w:val="en-US"/>
        </w:rPr>
        <w:t>·d)</w:t>
      </w:r>
      <w:r>
        <w:rPr>
          <w:rFonts w:ascii="Times New Roman" w:hAnsi="Times New Roman"/>
          <w:color w:val="000000"/>
          <w:lang w:val="en-US"/>
        </w:rPr>
        <w:t>计，则施工期施工人员生活垃圾最大发生量约</w:t>
      </w:r>
      <w:r>
        <w:rPr>
          <w:rFonts w:ascii="Times New Roman" w:hAnsi="Times New Roman"/>
          <w:color w:val="000000"/>
          <w:lang w:val="en-US"/>
        </w:rPr>
        <w:t>35kg/d</w:t>
      </w:r>
      <w:r>
        <w:rPr>
          <w:rFonts w:ascii="Times New Roman" w:hAnsi="Times New Roman"/>
          <w:color w:val="000000"/>
          <w:lang w:val="en-US"/>
        </w:rPr>
        <w:t>。生活垃圾集中收集后运往鸠山镇生活垃圾中转站统一处理。</w:t>
      </w:r>
    </w:p>
    <w:p w:rsidR="00240BCE" w:rsidRDefault="00AC0334">
      <w:pPr>
        <w:pStyle w:val="01"/>
        <w:snapToGrid w:val="0"/>
        <w:spacing w:line="520" w:lineRule="exact"/>
        <w:ind w:firstLine="480"/>
        <w:jc w:val="both"/>
        <w:rPr>
          <w:rFonts w:ascii="Times New Roman" w:hAnsi="Times New Roman"/>
          <w:color w:val="000000"/>
        </w:rPr>
      </w:pPr>
      <w:r>
        <w:rPr>
          <w:rFonts w:ascii="Times New Roman" w:hAnsi="Times New Roman"/>
          <w:color w:val="000000"/>
        </w:rPr>
        <w:lastRenderedPageBreak/>
        <w:t>因此一般情况下固体废物对周围环境影响很小。</w:t>
      </w:r>
    </w:p>
    <w:p w:rsidR="00240BCE" w:rsidRDefault="00AC0334" w:rsidP="009C5F33">
      <w:pPr>
        <w:pStyle w:val="30"/>
        <w:adjustRightInd w:val="0"/>
        <w:snapToGrid w:val="0"/>
        <w:spacing w:beforeLines="70" w:afterLines="30" w:line="240" w:lineRule="auto"/>
        <w:jc w:val="left"/>
        <w:rPr>
          <w:rFonts w:eastAsia="楷体"/>
          <w:sz w:val="28"/>
          <w:szCs w:val="28"/>
        </w:rPr>
      </w:pPr>
      <w:bookmarkStart w:id="759" w:name="_Toc162358825"/>
      <w:bookmarkStart w:id="760" w:name="_Toc180680471"/>
      <w:bookmarkStart w:id="761" w:name="_Toc181088809"/>
      <w:bookmarkStart w:id="762" w:name="_Toc181089215"/>
      <w:bookmarkStart w:id="763" w:name="_Toc79668714"/>
      <w:bookmarkStart w:id="764" w:name="_Toc6438_WPSOffice_Level3"/>
      <w:bookmarkEnd w:id="759"/>
      <w:bookmarkEnd w:id="760"/>
      <w:bookmarkEnd w:id="761"/>
      <w:r>
        <w:rPr>
          <w:rFonts w:eastAsia="楷体"/>
          <w:sz w:val="28"/>
          <w:szCs w:val="28"/>
        </w:rPr>
        <w:t>6.5.2</w:t>
      </w:r>
      <w:bookmarkEnd w:id="762"/>
      <w:r>
        <w:rPr>
          <w:rFonts w:eastAsia="楷体"/>
          <w:sz w:val="28"/>
          <w:szCs w:val="28"/>
        </w:rPr>
        <w:t xml:space="preserve"> </w:t>
      </w:r>
      <w:r>
        <w:rPr>
          <w:rFonts w:eastAsia="楷体"/>
          <w:sz w:val="28"/>
          <w:szCs w:val="28"/>
        </w:rPr>
        <w:t>固体废物对环境的影响分析</w:t>
      </w:r>
      <w:bookmarkEnd w:id="763"/>
      <w:bookmarkEnd w:id="764"/>
    </w:p>
    <w:p w:rsidR="00240BCE" w:rsidRDefault="00AC0334">
      <w:pPr>
        <w:spacing w:line="520" w:lineRule="exact"/>
        <w:rPr>
          <w:sz w:val="24"/>
        </w:rPr>
      </w:pPr>
      <w:bookmarkStart w:id="765" w:name="_Toc158524746"/>
      <w:bookmarkStart w:id="766" w:name="_Toc148157065"/>
      <w:bookmarkStart w:id="767" w:name="_Toc148156062"/>
      <w:bookmarkStart w:id="768" w:name="_Toc148156510"/>
      <w:r>
        <w:rPr>
          <w:sz w:val="24"/>
        </w:rPr>
        <w:t>6.5.2.1</w:t>
      </w:r>
      <w:r>
        <w:rPr>
          <w:sz w:val="24"/>
        </w:rPr>
        <w:t>矸石对环境的影响分析</w:t>
      </w:r>
      <w:bookmarkEnd w:id="765"/>
      <w:bookmarkEnd w:id="766"/>
      <w:bookmarkEnd w:id="767"/>
      <w:bookmarkEnd w:id="768"/>
    </w:p>
    <w:p w:rsidR="00240BCE" w:rsidRDefault="00AC0334">
      <w:pPr>
        <w:autoSpaceDE w:val="0"/>
        <w:autoSpaceDN w:val="0"/>
        <w:adjustRightInd w:val="0"/>
        <w:spacing w:line="520" w:lineRule="exact"/>
        <w:ind w:firstLineChars="200" w:firstLine="480"/>
        <w:jc w:val="left"/>
        <w:rPr>
          <w:kern w:val="0"/>
          <w:sz w:val="24"/>
        </w:rPr>
      </w:pPr>
      <w:r>
        <w:rPr>
          <w:kern w:val="0"/>
          <w:sz w:val="24"/>
        </w:rPr>
        <w:t>工程设矸石周转场一处，用于暂存未被及时综合利用的煤矸石。临时堆存的矸石对环境的影响主要表现在对环境空气、水体和景观等环境要素的影响上，其影响程度与矸石理化性质、矸石临时处理方式有关。</w:t>
      </w:r>
    </w:p>
    <w:p w:rsidR="00240BCE" w:rsidRDefault="00AC0334">
      <w:pPr>
        <w:pStyle w:val="ae"/>
        <w:tabs>
          <w:tab w:val="left" w:pos="7200"/>
        </w:tabs>
        <w:spacing w:line="520" w:lineRule="exact"/>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、矸石堆放自燃可能性及其环境影响分析</w:t>
      </w:r>
    </w:p>
    <w:p w:rsidR="00240BCE" w:rsidRDefault="00AC0334">
      <w:pPr>
        <w:pStyle w:val="ae"/>
        <w:tabs>
          <w:tab w:val="left" w:pos="7200"/>
        </w:tabs>
        <w:spacing w:line="520" w:lineRule="exact"/>
        <w:ind w:firstLineChars="200" w:firstLine="480"/>
        <w:rPr>
          <w:rFonts w:ascii="Times New Roman" w:hAnsi="Times New Roman"/>
          <w:sz w:val="24"/>
        </w:rPr>
      </w:pPr>
      <w:r>
        <w:rPr>
          <w:rFonts w:ascii="Times New Roman" w:hAnsi="Times New Roman"/>
          <w:sz w:val="24"/>
        </w:rPr>
        <w:t>关于矸石堆放自燃机理很多，目前的研究结果表明：硫铁矿结核体是引起矸石自燃的决定性因素，水和氧是矸石自燃的必然条件，碳元素是矸石自燃的物质基础。</w:t>
      </w:r>
    </w:p>
    <w:p w:rsidR="00240BCE" w:rsidRDefault="00AC0334">
      <w:pPr>
        <w:pStyle w:val="ae"/>
        <w:tabs>
          <w:tab w:val="left" w:pos="7200"/>
        </w:tabs>
        <w:spacing w:line="520" w:lineRule="exact"/>
        <w:ind w:firstLineChars="200" w:firstLine="480"/>
        <w:rPr>
          <w:rFonts w:ascii="Times New Roman" w:hAnsi="Times New Roman"/>
          <w:sz w:val="24"/>
          <w:szCs w:val="24"/>
        </w:rPr>
      </w:pPr>
      <w:r>
        <w:rPr>
          <w:rFonts w:ascii="Times New Roman" w:hAnsi="Times New Roman"/>
          <w:sz w:val="24"/>
          <w:szCs w:val="24"/>
        </w:rPr>
        <w:t>一般认为煤层中含硫量在</w:t>
      </w:r>
      <w:r>
        <w:rPr>
          <w:rFonts w:ascii="Times New Roman" w:hAnsi="Times New Roman"/>
          <w:sz w:val="24"/>
          <w:szCs w:val="24"/>
        </w:rPr>
        <w:t>3</w:t>
      </w:r>
      <w:r>
        <w:rPr>
          <w:rFonts w:ascii="Times New Roman" w:hAnsi="Times New Roman"/>
          <w:sz w:val="24"/>
          <w:szCs w:val="24"/>
        </w:rPr>
        <w:t>％以上，并有硫铁矿结核，煤矸石才有可能自燃。从前面煤质含量（硫分</w:t>
      </w:r>
      <w:r>
        <w:rPr>
          <w:rFonts w:ascii="Times New Roman" w:hAnsi="Times New Roman"/>
          <w:sz w:val="24"/>
          <w:szCs w:val="24"/>
        </w:rPr>
        <w:t>0.33%</w:t>
      </w:r>
      <w:r>
        <w:rPr>
          <w:rFonts w:ascii="Times New Roman" w:hAnsi="Times New Roman"/>
          <w:sz w:val="24"/>
          <w:szCs w:val="24"/>
        </w:rPr>
        <w:t>）来看，本矿煤矸石发生自燃的可能性不大。另外，二</w:t>
      </w:r>
      <w:r>
        <w:rPr>
          <w:rFonts w:ascii="Times New Roman" w:hAnsi="Times New Roman"/>
          <w:sz w:val="24"/>
          <w:szCs w:val="24"/>
          <w:vertAlign w:val="subscript"/>
        </w:rPr>
        <w:t>1</w:t>
      </w:r>
      <w:r>
        <w:rPr>
          <w:rFonts w:ascii="Times New Roman" w:hAnsi="Times New Roman"/>
          <w:sz w:val="24"/>
          <w:szCs w:val="24"/>
        </w:rPr>
        <w:t>煤为无烟煤，燃点较高，属不易自燃发火煤种，且从技改前隆庆煤矿堆放的矸石看从未发生过自燃现象。因此，无论以煤矸石中含硫量分析，还是从煤矸石中所存在的可燃物</w:t>
      </w:r>
      <w:r>
        <w:rPr>
          <w:rFonts w:ascii="Times New Roman" w:hAnsi="Times New Roman"/>
          <w:sz w:val="24"/>
          <w:szCs w:val="24"/>
        </w:rPr>
        <w:t>——</w:t>
      </w:r>
      <w:r>
        <w:rPr>
          <w:rFonts w:ascii="Times New Roman" w:hAnsi="Times New Roman"/>
          <w:sz w:val="24"/>
          <w:szCs w:val="24"/>
        </w:rPr>
        <w:t>煤的燃点来分析，本矿煤矸石发生自燃的可能性都不大。</w:t>
      </w:r>
    </w:p>
    <w:p w:rsidR="00240BCE" w:rsidRDefault="00AC0334">
      <w:pPr>
        <w:pStyle w:val="ae"/>
        <w:tabs>
          <w:tab w:val="left" w:pos="7200"/>
        </w:tabs>
        <w:spacing w:line="520" w:lineRule="exact"/>
        <w:ind w:firstLineChars="200" w:firstLine="480"/>
        <w:rPr>
          <w:rFonts w:ascii="Times New Roman" w:hAnsi="Times New Roman"/>
          <w:kern w:val="0"/>
          <w:sz w:val="24"/>
        </w:rPr>
      </w:pPr>
      <w:r>
        <w:rPr>
          <w:rFonts w:ascii="Times New Roman" w:hAnsi="Times New Roman"/>
          <w:sz w:val="24"/>
        </w:rPr>
        <w:t>2</w:t>
      </w:r>
      <w:r>
        <w:rPr>
          <w:rFonts w:ascii="Times New Roman" w:hAnsi="Times New Roman"/>
          <w:sz w:val="24"/>
        </w:rPr>
        <w:t>、</w:t>
      </w:r>
      <w:r>
        <w:rPr>
          <w:rFonts w:ascii="Times New Roman" w:hAnsi="Times New Roman"/>
          <w:kern w:val="0"/>
          <w:sz w:val="24"/>
        </w:rPr>
        <w:t>矸石周转场风蚀扬尘对大气环境的影响</w:t>
      </w:r>
    </w:p>
    <w:p w:rsidR="00240BCE" w:rsidRDefault="00AC0334">
      <w:pPr>
        <w:autoSpaceDE w:val="0"/>
        <w:autoSpaceDN w:val="0"/>
        <w:adjustRightInd w:val="0"/>
        <w:spacing w:line="520" w:lineRule="exact"/>
        <w:ind w:firstLineChars="200" w:firstLine="480"/>
        <w:jc w:val="left"/>
        <w:rPr>
          <w:kern w:val="0"/>
          <w:sz w:val="24"/>
        </w:rPr>
      </w:pPr>
      <w:r>
        <w:rPr>
          <w:kern w:val="0"/>
          <w:sz w:val="24"/>
        </w:rPr>
        <w:t>固体物料起尘条件主要取决于其粒度、表面含水量和风速的大小。矸石在堆放场的存放的过程中，表面水分逐渐蒸发，遇到大风天气就易产生风蚀扬尘。</w:t>
      </w:r>
    </w:p>
    <w:p w:rsidR="00240BCE" w:rsidRDefault="00AC0334">
      <w:pPr>
        <w:autoSpaceDE w:val="0"/>
        <w:autoSpaceDN w:val="0"/>
        <w:adjustRightInd w:val="0"/>
        <w:spacing w:line="520" w:lineRule="exact"/>
        <w:ind w:firstLineChars="200" w:firstLine="480"/>
        <w:jc w:val="left"/>
        <w:rPr>
          <w:sz w:val="24"/>
        </w:rPr>
      </w:pPr>
      <w:r>
        <w:rPr>
          <w:kern w:val="0"/>
          <w:sz w:val="24"/>
        </w:rPr>
        <w:t>根据前述章节分析（见第八章</w:t>
      </w:r>
      <w:r>
        <w:rPr>
          <w:rFonts w:hint="eastAsia"/>
          <w:kern w:val="0"/>
          <w:sz w:val="24"/>
        </w:rPr>
        <w:t>3</w:t>
      </w:r>
      <w:r>
        <w:rPr>
          <w:kern w:val="0"/>
          <w:sz w:val="24"/>
        </w:rPr>
        <w:t>.</w:t>
      </w:r>
      <w:r>
        <w:rPr>
          <w:rFonts w:hint="eastAsia"/>
          <w:kern w:val="0"/>
          <w:sz w:val="24"/>
        </w:rPr>
        <w:t>1</w:t>
      </w:r>
      <w:r>
        <w:rPr>
          <w:kern w:val="0"/>
          <w:sz w:val="24"/>
        </w:rPr>
        <w:t>.</w:t>
      </w:r>
      <w:r>
        <w:rPr>
          <w:rFonts w:hint="eastAsia"/>
          <w:kern w:val="0"/>
          <w:sz w:val="24"/>
        </w:rPr>
        <w:t>5</w:t>
      </w:r>
      <w:r>
        <w:rPr>
          <w:kern w:val="0"/>
          <w:sz w:val="24"/>
        </w:rPr>
        <w:t>小节），</w:t>
      </w:r>
      <w:r>
        <w:rPr>
          <w:sz w:val="24"/>
        </w:rPr>
        <w:t>矸石周转场位于全封闭的</w:t>
      </w:r>
      <w:r w:rsidR="00802A62">
        <w:rPr>
          <w:sz w:val="24"/>
        </w:rPr>
        <w:t>储煤库</w:t>
      </w:r>
      <w:r>
        <w:rPr>
          <w:sz w:val="24"/>
        </w:rPr>
        <w:t>内，采用喷雾洒水的抑尘措施后，根据河南正捷检测技术有限公司</w:t>
      </w:r>
      <w:r>
        <w:rPr>
          <w:sz w:val="24"/>
        </w:rPr>
        <w:t>2020</w:t>
      </w:r>
      <w:r>
        <w:rPr>
          <w:sz w:val="24"/>
        </w:rPr>
        <w:t>年</w:t>
      </w:r>
      <w:r>
        <w:rPr>
          <w:sz w:val="24"/>
        </w:rPr>
        <w:t>8</w:t>
      </w:r>
      <w:r>
        <w:rPr>
          <w:sz w:val="24"/>
        </w:rPr>
        <w:t>月</w:t>
      </w:r>
      <w:r>
        <w:rPr>
          <w:sz w:val="24"/>
        </w:rPr>
        <w:t>30</w:t>
      </w:r>
      <w:r>
        <w:rPr>
          <w:sz w:val="24"/>
        </w:rPr>
        <w:t>日</w:t>
      </w:r>
      <w:r>
        <w:rPr>
          <w:sz w:val="24"/>
        </w:rPr>
        <w:t>~8</w:t>
      </w:r>
      <w:r>
        <w:rPr>
          <w:sz w:val="24"/>
        </w:rPr>
        <w:t>月</w:t>
      </w:r>
      <w:r>
        <w:rPr>
          <w:sz w:val="24"/>
        </w:rPr>
        <w:t>31</w:t>
      </w:r>
      <w:r>
        <w:rPr>
          <w:sz w:val="24"/>
        </w:rPr>
        <w:t>日对隆庆煤矿工业广场厂界无组织排放监测数据（见表</w:t>
      </w:r>
      <w:r>
        <w:rPr>
          <w:sz w:val="24"/>
        </w:rPr>
        <w:t>3.3-2</w:t>
      </w:r>
      <w:r>
        <w:rPr>
          <w:sz w:val="24"/>
        </w:rPr>
        <w:t>）可知，</w:t>
      </w:r>
      <w:r w:rsidR="00802A62">
        <w:rPr>
          <w:sz w:val="24"/>
        </w:rPr>
        <w:t>储煤库</w:t>
      </w:r>
      <w:r>
        <w:rPr>
          <w:sz w:val="24"/>
        </w:rPr>
        <w:t>颗粒物无组织排放监控浓度最大值</w:t>
      </w:r>
      <w:r>
        <w:rPr>
          <w:sz w:val="24"/>
        </w:rPr>
        <w:t>0.235mg/m</w:t>
      </w:r>
      <w:r>
        <w:rPr>
          <w:sz w:val="24"/>
          <w:vertAlign w:val="superscript"/>
        </w:rPr>
        <w:t>3</w:t>
      </w:r>
      <w:r>
        <w:rPr>
          <w:sz w:val="24"/>
        </w:rPr>
        <w:t>，满足《煤炭工业污染物排放标准》（</w:t>
      </w:r>
      <w:r>
        <w:rPr>
          <w:sz w:val="24"/>
        </w:rPr>
        <w:t>GB20426-2006</w:t>
      </w:r>
      <w:r>
        <w:rPr>
          <w:sz w:val="24"/>
        </w:rPr>
        <w:t>）表</w:t>
      </w:r>
      <w:r>
        <w:rPr>
          <w:sz w:val="24"/>
        </w:rPr>
        <w:t>5</w:t>
      </w:r>
      <w:r>
        <w:rPr>
          <w:sz w:val="24"/>
        </w:rPr>
        <w:t>煤炭工业无组织排放限值要求。说明矸石周转场对大气环境影响不大</w:t>
      </w:r>
      <w:r>
        <w:rPr>
          <w:kern w:val="0"/>
          <w:sz w:val="24"/>
        </w:rPr>
        <w:t>。</w:t>
      </w:r>
      <w:bookmarkStart w:id="769" w:name="_Toc148156067"/>
      <w:bookmarkStart w:id="770" w:name="_Toc148156515"/>
      <w:bookmarkStart w:id="771" w:name="_Toc148157070"/>
      <w:bookmarkStart w:id="772" w:name="_Toc158524751"/>
    </w:p>
    <w:p w:rsidR="00240BCE" w:rsidRDefault="00AC0334">
      <w:pPr>
        <w:autoSpaceDE w:val="0"/>
        <w:autoSpaceDN w:val="0"/>
        <w:adjustRightInd w:val="0"/>
        <w:spacing w:line="520" w:lineRule="exact"/>
        <w:ind w:firstLineChars="200" w:firstLine="480"/>
        <w:jc w:val="left"/>
        <w:rPr>
          <w:kern w:val="0"/>
          <w:sz w:val="24"/>
        </w:rPr>
      </w:pPr>
      <w:r>
        <w:rPr>
          <w:kern w:val="0"/>
          <w:sz w:val="24"/>
        </w:rPr>
        <w:t>3</w:t>
      </w:r>
      <w:r>
        <w:rPr>
          <w:kern w:val="0"/>
          <w:sz w:val="24"/>
        </w:rPr>
        <w:t>、煤矸石淋溶液对环境污染的影响分析</w:t>
      </w:r>
      <w:bookmarkEnd w:id="769"/>
      <w:bookmarkEnd w:id="770"/>
      <w:bookmarkEnd w:id="771"/>
      <w:bookmarkEnd w:id="772"/>
    </w:p>
    <w:p w:rsidR="00240BCE" w:rsidRDefault="00AC0334">
      <w:pPr>
        <w:autoSpaceDE w:val="0"/>
        <w:autoSpaceDN w:val="0"/>
        <w:adjustRightInd w:val="0"/>
        <w:spacing w:line="520" w:lineRule="exact"/>
        <w:ind w:firstLineChars="200" w:firstLine="480"/>
        <w:jc w:val="left"/>
        <w:rPr>
          <w:kern w:val="0"/>
          <w:sz w:val="24"/>
        </w:rPr>
      </w:pPr>
      <w:r>
        <w:rPr>
          <w:kern w:val="0"/>
          <w:sz w:val="24"/>
        </w:rPr>
        <w:t>矸石露天堆放，因雨淋，使一部分有害物质析出，淋雨水进入水体及土壤，如</w:t>
      </w:r>
      <w:r>
        <w:rPr>
          <w:kern w:val="0"/>
          <w:sz w:val="24"/>
        </w:rPr>
        <w:lastRenderedPageBreak/>
        <w:t>其含量过高，则会造成对环境的污染，其影响程度主要取决于淋溶液中有害物的浓度。由表</w:t>
      </w:r>
      <w:r>
        <w:rPr>
          <w:kern w:val="0"/>
          <w:sz w:val="24"/>
        </w:rPr>
        <w:t>3.3-3</w:t>
      </w:r>
      <w:r>
        <w:rPr>
          <w:kern w:val="0"/>
          <w:sz w:val="24"/>
        </w:rPr>
        <w:t>的矸石浸出试验结果可以看出，该矿矸石浸出液中有害元素含量均低于《地表水环境质量标准》</w:t>
      </w:r>
      <w:r>
        <w:rPr>
          <w:kern w:val="0"/>
          <w:sz w:val="24"/>
        </w:rPr>
        <w:t>Ⅲ</w:t>
      </w:r>
      <w:r>
        <w:rPr>
          <w:rFonts w:hint="eastAsia"/>
          <w:kern w:val="0"/>
          <w:sz w:val="24"/>
        </w:rPr>
        <w:t>类</w:t>
      </w:r>
      <w:r>
        <w:rPr>
          <w:kern w:val="0"/>
          <w:sz w:val="24"/>
        </w:rPr>
        <w:t>标准，故不存在有害元素对水环境造成污染的问题。</w:t>
      </w:r>
    </w:p>
    <w:p w:rsidR="00240BCE" w:rsidRDefault="00AC0334">
      <w:pPr>
        <w:autoSpaceDE w:val="0"/>
        <w:autoSpaceDN w:val="0"/>
        <w:adjustRightInd w:val="0"/>
        <w:spacing w:line="520" w:lineRule="exact"/>
        <w:ind w:firstLineChars="200" w:firstLine="480"/>
        <w:jc w:val="left"/>
        <w:rPr>
          <w:kern w:val="0"/>
          <w:sz w:val="24"/>
        </w:rPr>
      </w:pPr>
      <w:r>
        <w:rPr>
          <w:kern w:val="0"/>
          <w:sz w:val="24"/>
        </w:rPr>
        <w:t>矸石场淋溶水量若按矸石场最终占地面积和当地年平均降水量计算，一般小中雨情况下不会有水渗出，所以无论从矸石淋溶水有害元素分析，还是从排水量分析，矸石淋溶水对水环境的影响都不大。</w:t>
      </w:r>
      <w:bookmarkStart w:id="773" w:name="_Toc148157071"/>
      <w:bookmarkStart w:id="774" w:name="_Toc158524752"/>
      <w:bookmarkStart w:id="775" w:name="_Toc148156068"/>
      <w:bookmarkStart w:id="776" w:name="_Toc148156516"/>
    </w:p>
    <w:p w:rsidR="00240BCE" w:rsidRDefault="00AC0334">
      <w:pPr>
        <w:autoSpaceDE w:val="0"/>
        <w:autoSpaceDN w:val="0"/>
        <w:adjustRightInd w:val="0"/>
        <w:spacing w:line="520" w:lineRule="exact"/>
        <w:ind w:firstLineChars="200" w:firstLine="480"/>
        <w:jc w:val="left"/>
        <w:rPr>
          <w:kern w:val="0"/>
          <w:sz w:val="24"/>
        </w:rPr>
      </w:pPr>
      <w:r>
        <w:rPr>
          <w:kern w:val="0"/>
          <w:sz w:val="24"/>
        </w:rPr>
        <w:t>4</w:t>
      </w:r>
      <w:r>
        <w:rPr>
          <w:kern w:val="0"/>
          <w:sz w:val="24"/>
        </w:rPr>
        <w:t>、矸石排放对生态环境影响分析</w:t>
      </w:r>
      <w:bookmarkEnd w:id="773"/>
      <w:bookmarkEnd w:id="774"/>
      <w:bookmarkEnd w:id="775"/>
      <w:bookmarkEnd w:id="776"/>
    </w:p>
    <w:p w:rsidR="00CB7EED" w:rsidRDefault="00AC0334" w:rsidP="00CB7EED">
      <w:pPr>
        <w:autoSpaceDE w:val="0"/>
        <w:autoSpaceDN w:val="0"/>
        <w:adjustRightInd w:val="0"/>
        <w:spacing w:line="520" w:lineRule="exact"/>
        <w:ind w:firstLineChars="200" w:firstLine="480"/>
        <w:jc w:val="left"/>
        <w:rPr>
          <w:kern w:val="0"/>
          <w:sz w:val="24"/>
        </w:rPr>
      </w:pPr>
      <w:r>
        <w:rPr>
          <w:kern w:val="0"/>
          <w:sz w:val="24"/>
        </w:rPr>
        <w:t>生产期矸石量为</w:t>
      </w:r>
      <w:r>
        <w:rPr>
          <w:kern w:val="0"/>
          <w:sz w:val="24"/>
        </w:rPr>
        <w:t>2.4</w:t>
      </w:r>
      <w:r>
        <w:rPr>
          <w:kern w:val="0"/>
          <w:sz w:val="24"/>
        </w:rPr>
        <w:t>万</w:t>
      </w:r>
      <w:r>
        <w:rPr>
          <w:kern w:val="0"/>
          <w:sz w:val="24"/>
        </w:rPr>
        <w:t>t/a</w:t>
      </w:r>
      <w:r>
        <w:rPr>
          <w:kern w:val="0"/>
          <w:sz w:val="24"/>
        </w:rPr>
        <w:t>，经在工业场地内现有</w:t>
      </w:r>
      <w:r w:rsidR="00802A62">
        <w:rPr>
          <w:kern w:val="0"/>
          <w:sz w:val="24"/>
        </w:rPr>
        <w:t>储煤库</w:t>
      </w:r>
      <w:r>
        <w:rPr>
          <w:kern w:val="0"/>
          <w:sz w:val="24"/>
        </w:rPr>
        <w:t>临时周转处置后，全部供给矸石砖厂综合利用。因此矸石排放对生态环境影响不大。</w:t>
      </w:r>
    </w:p>
    <w:p w:rsidR="00CB7EED" w:rsidRPr="00CB7EED" w:rsidRDefault="00CB7EED" w:rsidP="00CB7EED">
      <w:pPr>
        <w:autoSpaceDE w:val="0"/>
        <w:autoSpaceDN w:val="0"/>
        <w:adjustRightInd w:val="0"/>
        <w:spacing w:line="520" w:lineRule="exact"/>
        <w:jc w:val="left"/>
        <w:rPr>
          <w:kern w:val="0"/>
          <w:sz w:val="24"/>
        </w:rPr>
      </w:pPr>
      <w:r>
        <w:rPr>
          <w:kern w:val="0"/>
          <w:sz w:val="24"/>
        </w:rPr>
        <w:t>6.5.2.2</w:t>
      </w:r>
      <w:r w:rsidRPr="00CB7EED">
        <w:rPr>
          <w:rFonts w:hint="eastAsia"/>
          <w:kern w:val="0"/>
          <w:sz w:val="24"/>
        </w:rPr>
        <w:t>危险废物对环境的影响分析</w:t>
      </w:r>
    </w:p>
    <w:p w:rsidR="00CB7EED" w:rsidRPr="00CB7EED" w:rsidRDefault="00CB7EED" w:rsidP="00CB7EED">
      <w:pPr>
        <w:autoSpaceDE w:val="0"/>
        <w:autoSpaceDN w:val="0"/>
        <w:adjustRightInd w:val="0"/>
        <w:spacing w:line="520" w:lineRule="exact"/>
        <w:ind w:firstLineChars="200" w:firstLine="480"/>
        <w:jc w:val="left"/>
        <w:rPr>
          <w:kern w:val="0"/>
          <w:sz w:val="24"/>
        </w:rPr>
      </w:pPr>
      <w:r w:rsidRPr="00CB7EED">
        <w:rPr>
          <w:rFonts w:hint="eastAsia"/>
          <w:kern w:val="0"/>
          <w:sz w:val="24"/>
        </w:rPr>
        <w:t>危险废物主要来自机修车间等场所，主要危险废物为废齿轮油、废液压油、废机油和其他废传动油等，年产生量约</w:t>
      </w:r>
      <w:r w:rsidRPr="00CB7EED">
        <w:rPr>
          <w:rFonts w:hint="eastAsia"/>
          <w:kern w:val="0"/>
          <w:sz w:val="24"/>
        </w:rPr>
        <w:t xml:space="preserve"> 3.0t</w:t>
      </w:r>
      <w:r w:rsidRPr="00CB7EED">
        <w:rPr>
          <w:rFonts w:hint="eastAsia"/>
          <w:kern w:val="0"/>
          <w:sz w:val="24"/>
        </w:rPr>
        <w:t>，</w:t>
      </w:r>
      <w:r>
        <w:rPr>
          <w:rFonts w:hint="eastAsia"/>
          <w:spacing w:val="2"/>
          <w:sz w:val="24"/>
        </w:rPr>
        <w:t>根据《</w:t>
      </w:r>
      <w:r w:rsidRPr="0016532B">
        <w:rPr>
          <w:rFonts w:hint="eastAsia"/>
          <w:spacing w:val="2"/>
          <w:sz w:val="24"/>
        </w:rPr>
        <w:t>国家危险废物名录（</w:t>
      </w:r>
      <w:r w:rsidRPr="0016532B">
        <w:rPr>
          <w:rFonts w:hint="eastAsia"/>
          <w:spacing w:val="2"/>
          <w:sz w:val="24"/>
        </w:rPr>
        <w:t>2021</w:t>
      </w:r>
      <w:r w:rsidRPr="0016532B">
        <w:rPr>
          <w:rFonts w:hint="eastAsia"/>
          <w:spacing w:val="2"/>
          <w:sz w:val="24"/>
        </w:rPr>
        <w:t>年版）</w:t>
      </w:r>
      <w:r>
        <w:rPr>
          <w:rFonts w:hint="eastAsia"/>
          <w:spacing w:val="2"/>
          <w:sz w:val="24"/>
        </w:rPr>
        <w:t>》，废机油</w:t>
      </w:r>
      <w:r>
        <w:rPr>
          <w:spacing w:val="2"/>
          <w:sz w:val="24"/>
        </w:rPr>
        <w:t>属于</w:t>
      </w:r>
      <w:r>
        <w:rPr>
          <w:rFonts w:hint="eastAsia"/>
          <w:spacing w:val="2"/>
          <w:sz w:val="24"/>
        </w:rPr>
        <w:t>“</w:t>
      </w:r>
      <w:r w:rsidRPr="0016532B">
        <w:rPr>
          <w:spacing w:val="2"/>
          <w:sz w:val="24"/>
        </w:rPr>
        <w:t>HW08</w:t>
      </w:r>
      <w:r w:rsidRPr="0016532B">
        <w:rPr>
          <w:rFonts w:hint="eastAsia"/>
          <w:spacing w:val="2"/>
          <w:sz w:val="24"/>
        </w:rPr>
        <w:t>废矿物油与含矿物油废物</w:t>
      </w:r>
      <w:r>
        <w:rPr>
          <w:rFonts w:hint="eastAsia"/>
          <w:spacing w:val="2"/>
          <w:sz w:val="24"/>
        </w:rPr>
        <w:t>类、</w:t>
      </w:r>
      <w:r w:rsidRPr="0016532B">
        <w:rPr>
          <w:rFonts w:hint="eastAsia"/>
          <w:spacing w:val="2"/>
          <w:sz w:val="24"/>
        </w:rPr>
        <w:t>代码</w:t>
      </w:r>
      <w:r w:rsidRPr="0016532B">
        <w:rPr>
          <w:spacing w:val="2"/>
          <w:sz w:val="24"/>
        </w:rPr>
        <w:t>900-214-08</w:t>
      </w:r>
      <w:r>
        <w:rPr>
          <w:rFonts w:hint="eastAsia"/>
          <w:spacing w:val="2"/>
          <w:sz w:val="24"/>
        </w:rPr>
        <w:t>”</w:t>
      </w:r>
      <w:r>
        <w:rPr>
          <w:spacing w:val="2"/>
          <w:sz w:val="24"/>
        </w:rPr>
        <w:t>的危险废物</w:t>
      </w:r>
      <w:r>
        <w:rPr>
          <w:rFonts w:hint="eastAsia"/>
          <w:spacing w:val="2"/>
          <w:sz w:val="24"/>
        </w:rPr>
        <w:t>。</w:t>
      </w:r>
      <w:r>
        <w:rPr>
          <w:spacing w:val="2"/>
          <w:sz w:val="24"/>
        </w:rPr>
        <w:t>评价要求</w:t>
      </w:r>
      <w:r w:rsidRPr="00077E83">
        <w:rPr>
          <w:rFonts w:hint="eastAsia"/>
          <w:sz w:val="24"/>
        </w:rPr>
        <w:t>应按照《危险废物贮存污染控制标准</w:t>
      </w:r>
      <w:r w:rsidRPr="00077E83">
        <w:rPr>
          <w:rFonts w:hint="eastAsia"/>
          <w:sz w:val="24"/>
        </w:rPr>
        <w:t>(2013</w:t>
      </w:r>
      <w:r w:rsidRPr="00077E83">
        <w:rPr>
          <w:rFonts w:hint="eastAsia"/>
          <w:sz w:val="24"/>
        </w:rPr>
        <w:t>年修订</w:t>
      </w:r>
      <w:r w:rsidRPr="00077E83">
        <w:rPr>
          <w:rFonts w:hint="eastAsia"/>
          <w:sz w:val="24"/>
        </w:rPr>
        <w:t>)</w:t>
      </w:r>
      <w:r w:rsidRPr="00077E83">
        <w:rPr>
          <w:rFonts w:hint="eastAsia"/>
          <w:sz w:val="24"/>
        </w:rPr>
        <w:t>》和《</w:t>
      </w:r>
      <w:hyperlink r:id="rId149" w:history="1">
        <w:r w:rsidRPr="00077E83">
          <w:rPr>
            <w:rStyle w:val="aff2"/>
            <w:rFonts w:hint="eastAsia"/>
            <w:color w:val="auto"/>
            <w:sz w:val="24"/>
            <w:u w:val="none"/>
          </w:rPr>
          <w:t>危险废物收集</w:t>
        </w:r>
        <w:r w:rsidRPr="00077E83">
          <w:rPr>
            <w:rStyle w:val="aff2"/>
            <w:rFonts w:hint="eastAsia"/>
            <w:color w:val="auto"/>
            <w:sz w:val="24"/>
            <w:u w:val="none"/>
          </w:rPr>
          <w:t xml:space="preserve"> </w:t>
        </w:r>
        <w:r w:rsidRPr="00077E83">
          <w:rPr>
            <w:rStyle w:val="aff2"/>
            <w:rFonts w:hint="eastAsia"/>
            <w:color w:val="auto"/>
            <w:sz w:val="24"/>
            <w:u w:val="none"/>
          </w:rPr>
          <w:t>贮存</w:t>
        </w:r>
        <w:r w:rsidRPr="00077E83">
          <w:rPr>
            <w:rStyle w:val="aff2"/>
            <w:rFonts w:hint="eastAsia"/>
            <w:color w:val="auto"/>
            <w:sz w:val="24"/>
            <w:u w:val="none"/>
          </w:rPr>
          <w:t xml:space="preserve"> </w:t>
        </w:r>
        <w:r w:rsidRPr="00077E83">
          <w:rPr>
            <w:rStyle w:val="aff2"/>
            <w:rFonts w:hint="eastAsia"/>
            <w:color w:val="auto"/>
            <w:sz w:val="24"/>
            <w:u w:val="none"/>
          </w:rPr>
          <w:t>运输技术规范</w:t>
        </w:r>
        <w:r w:rsidRPr="00077E83">
          <w:rPr>
            <w:rStyle w:val="aff2"/>
            <w:rFonts w:hint="eastAsia"/>
            <w:color w:val="auto"/>
            <w:sz w:val="24"/>
            <w:u w:val="none"/>
          </w:rPr>
          <w:t>(HJ 2025-2012)</w:t>
        </w:r>
      </w:hyperlink>
      <w:r w:rsidRPr="00077E83">
        <w:rPr>
          <w:rFonts w:hint="eastAsia"/>
          <w:sz w:val="24"/>
        </w:rPr>
        <w:t>》</w:t>
      </w:r>
      <w:r>
        <w:rPr>
          <w:rFonts w:hint="eastAsia"/>
          <w:sz w:val="24"/>
        </w:rPr>
        <w:t>设置危废暂存间，</w:t>
      </w:r>
      <w:r w:rsidRPr="00077E83">
        <w:rPr>
          <w:rFonts w:hint="eastAsia"/>
          <w:sz w:val="24"/>
        </w:rPr>
        <w:t>危废暂存间做到“三防”，即地面硬化，设</w:t>
      </w:r>
      <w:r w:rsidRPr="00077E83">
        <w:rPr>
          <w:rFonts w:hint="eastAsia"/>
          <w:sz w:val="24"/>
        </w:rPr>
        <w:t>2mm</w:t>
      </w:r>
      <w:r w:rsidRPr="00077E83">
        <w:rPr>
          <w:rFonts w:hint="eastAsia"/>
          <w:sz w:val="24"/>
        </w:rPr>
        <w:t>厚环氧树脂防渗层，暂存间内设溢流槽、收集坑等导排设施，暂存间门口设围堰，有危险废物贮存场所标识、危险废物警示标示、危险废物应急预案等标识，采用双人双锁、五联单管理制度。废矿物油、废油桶等危废</w:t>
      </w:r>
      <w:r>
        <w:rPr>
          <w:rFonts w:hint="eastAsia"/>
          <w:spacing w:val="2"/>
          <w:sz w:val="24"/>
        </w:rPr>
        <w:t>经</w:t>
      </w:r>
      <w:r>
        <w:rPr>
          <w:spacing w:val="2"/>
          <w:sz w:val="24"/>
        </w:rPr>
        <w:t>集中收集</w:t>
      </w:r>
      <w:r>
        <w:rPr>
          <w:rFonts w:hint="eastAsia"/>
          <w:spacing w:val="2"/>
          <w:sz w:val="24"/>
        </w:rPr>
        <w:t>至</w:t>
      </w:r>
      <w:r w:rsidRPr="00077E83">
        <w:rPr>
          <w:rFonts w:hint="eastAsia"/>
          <w:sz w:val="24"/>
        </w:rPr>
        <w:t>危废暂存间</w:t>
      </w:r>
      <w:r>
        <w:rPr>
          <w:rFonts w:hint="eastAsia"/>
          <w:sz w:val="24"/>
        </w:rPr>
        <w:t>暂存</w:t>
      </w:r>
      <w:r>
        <w:rPr>
          <w:spacing w:val="2"/>
          <w:sz w:val="24"/>
        </w:rPr>
        <w:t>后交由有危险废物处理处置资质的单位处理</w:t>
      </w:r>
      <w:r>
        <w:rPr>
          <w:rFonts w:hint="eastAsia"/>
          <w:spacing w:val="2"/>
          <w:sz w:val="24"/>
        </w:rPr>
        <w:t>处置</w:t>
      </w:r>
      <w:r w:rsidRPr="00CB7EED">
        <w:rPr>
          <w:rFonts w:hint="eastAsia"/>
          <w:kern w:val="0"/>
          <w:sz w:val="24"/>
        </w:rPr>
        <w:t>并按危险废物转移“五联单”要求留档</w:t>
      </w:r>
      <w:r>
        <w:rPr>
          <w:rFonts w:hint="eastAsia"/>
          <w:spacing w:val="2"/>
          <w:sz w:val="24"/>
        </w:rPr>
        <w:t>，确保</w:t>
      </w:r>
      <w:r w:rsidRPr="002D4360">
        <w:rPr>
          <w:spacing w:val="2"/>
          <w:sz w:val="24"/>
        </w:rPr>
        <w:t>废机油、废油脂、废油桶等</w:t>
      </w:r>
      <w:r>
        <w:rPr>
          <w:rFonts w:hint="eastAsia"/>
          <w:spacing w:val="2"/>
          <w:sz w:val="24"/>
        </w:rPr>
        <w:t>得到</w:t>
      </w:r>
      <w:r w:rsidRPr="002D4360">
        <w:rPr>
          <w:spacing w:val="2"/>
          <w:sz w:val="24"/>
        </w:rPr>
        <w:t>安全处置，确保其不污染土壤和地下水环境。</w:t>
      </w:r>
      <w:r>
        <w:rPr>
          <w:rFonts w:hint="eastAsia"/>
          <w:spacing w:val="2"/>
          <w:sz w:val="24"/>
        </w:rPr>
        <w:t>采取措施后不会对环境造成大的影响。</w:t>
      </w:r>
    </w:p>
    <w:p w:rsidR="00240BCE" w:rsidRDefault="00AC0334">
      <w:pPr>
        <w:autoSpaceDE w:val="0"/>
        <w:autoSpaceDN w:val="0"/>
        <w:adjustRightInd w:val="0"/>
        <w:spacing w:line="520" w:lineRule="exact"/>
        <w:jc w:val="left"/>
        <w:rPr>
          <w:kern w:val="0"/>
          <w:sz w:val="24"/>
        </w:rPr>
      </w:pPr>
      <w:r>
        <w:rPr>
          <w:kern w:val="0"/>
          <w:sz w:val="24"/>
        </w:rPr>
        <w:t>6.5.2.</w:t>
      </w:r>
      <w:r w:rsidR="00CB7EED">
        <w:rPr>
          <w:rFonts w:hint="eastAsia"/>
          <w:kern w:val="0"/>
          <w:sz w:val="24"/>
        </w:rPr>
        <w:t>3</w:t>
      </w:r>
      <w:r>
        <w:rPr>
          <w:rFonts w:hint="eastAsia"/>
          <w:kern w:val="0"/>
          <w:sz w:val="24"/>
        </w:rPr>
        <w:t xml:space="preserve"> </w:t>
      </w:r>
      <w:r>
        <w:rPr>
          <w:kern w:val="0"/>
          <w:sz w:val="24"/>
        </w:rPr>
        <w:t>其它固体废物对环境的影响分析</w:t>
      </w:r>
    </w:p>
    <w:p w:rsidR="00240BCE" w:rsidRDefault="00AC0334">
      <w:pPr>
        <w:autoSpaceDE w:val="0"/>
        <w:autoSpaceDN w:val="0"/>
        <w:adjustRightInd w:val="0"/>
        <w:spacing w:line="520" w:lineRule="exact"/>
        <w:ind w:firstLineChars="200" w:firstLine="480"/>
        <w:jc w:val="left"/>
        <w:rPr>
          <w:kern w:val="0"/>
          <w:sz w:val="24"/>
        </w:rPr>
      </w:pPr>
      <w:r>
        <w:rPr>
          <w:kern w:val="0"/>
          <w:sz w:val="24"/>
        </w:rPr>
        <w:t>本项目生活垃圾运往鸠山镇垃圾中转站统一处理；不会对周围环境产生大的影响。</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777" w:name="_Toc181088810"/>
      <w:bookmarkStart w:id="778" w:name="_Toc162358827"/>
      <w:bookmarkStart w:id="779" w:name="_Toc180680473"/>
      <w:bookmarkStart w:id="780" w:name="_Toc181088811"/>
      <w:bookmarkStart w:id="781" w:name="_Toc181089217"/>
      <w:bookmarkStart w:id="782" w:name="_Toc162358826"/>
      <w:bookmarkStart w:id="783" w:name="_Toc180680472"/>
      <w:bookmarkStart w:id="784" w:name="_Toc79668715"/>
      <w:bookmarkStart w:id="785" w:name="_Toc26589_WPSOffice_Level2"/>
      <w:bookmarkStart w:id="786" w:name="_Toc81934391"/>
      <w:bookmarkEnd w:id="777"/>
      <w:bookmarkEnd w:id="778"/>
      <w:bookmarkEnd w:id="779"/>
      <w:bookmarkEnd w:id="780"/>
      <w:bookmarkEnd w:id="781"/>
      <w:bookmarkEnd w:id="782"/>
      <w:bookmarkEnd w:id="783"/>
      <w:r>
        <w:rPr>
          <w:rFonts w:ascii="Times New Roman" w:eastAsia="宋体" w:hAnsi="Times New Roman"/>
          <w:bCs/>
          <w:szCs w:val="32"/>
        </w:rPr>
        <w:lastRenderedPageBreak/>
        <w:t>6.6</w:t>
      </w:r>
      <w:r>
        <w:rPr>
          <w:rFonts w:ascii="Times New Roman" w:eastAsia="宋体" w:hAnsi="Times New Roman"/>
          <w:bCs/>
          <w:szCs w:val="32"/>
        </w:rPr>
        <w:t>土壤环境影响预测与评价</w:t>
      </w:r>
      <w:bookmarkEnd w:id="784"/>
      <w:bookmarkEnd w:id="785"/>
      <w:bookmarkEnd w:id="786"/>
    </w:p>
    <w:p w:rsidR="00240BCE" w:rsidRDefault="00AC0334" w:rsidP="009C5F33">
      <w:pPr>
        <w:pStyle w:val="30"/>
        <w:adjustRightInd w:val="0"/>
        <w:snapToGrid w:val="0"/>
        <w:spacing w:beforeLines="70" w:afterLines="30" w:line="240" w:lineRule="auto"/>
        <w:jc w:val="left"/>
        <w:rPr>
          <w:rFonts w:eastAsia="楷体"/>
          <w:sz w:val="28"/>
          <w:szCs w:val="28"/>
        </w:rPr>
      </w:pPr>
      <w:bookmarkStart w:id="787" w:name="_TOC_250045"/>
      <w:bookmarkStart w:id="788" w:name="_Toc79668716"/>
      <w:bookmarkStart w:id="789" w:name="_Toc13392_WPSOffice_Level3"/>
      <w:bookmarkEnd w:id="787"/>
      <w:r>
        <w:rPr>
          <w:rFonts w:eastAsia="楷体"/>
          <w:sz w:val="28"/>
          <w:szCs w:val="28"/>
        </w:rPr>
        <w:t xml:space="preserve">6.6.1 </w:t>
      </w:r>
      <w:r>
        <w:rPr>
          <w:rFonts w:eastAsia="楷体"/>
          <w:sz w:val="28"/>
          <w:szCs w:val="28"/>
        </w:rPr>
        <w:t>建设期土壤环境影响分析</w:t>
      </w:r>
      <w:bookmarkEnd w:id="788"/>
      <w:bookmarkEnd w:id="789"/>
    </w:p>
    <w:p w:rsidR="00240BCE" w:rsidRDefault="00AC0334">
      <w:pPr>
        <w:spacing w:line="520" w:lineRule="exact"/>
        <w:ind w:firstLineChars="200" w:firstLine="480"/>
        <w:rPr>
          <w:color w:val="000000"/>
          <w:sz w:val="24"/>
        </w:rPr>
      </w:pPr>
      <w:r>
        <w:rPr>
          <w:color w:val="000000"/>
          <w:sz w:val="24"/>
        </w:rPr>
        <w:t>（</w:t>
      </w:r>
      <w:r>
        <w:rPr>
          <w:color w:val="000000"/>
          <w:sz w:val="24"/>
        </w:rPr>
        <w:t>1</w:t>
      </w:r>
      <w:r>
        <w:rPr>
          <w:color w:val="000000"/>
          <w:sz w:val="24"/>
        </w:rPr>
        <w:t>）土壤环境影响因素分析</w:t>
      </w:r>
    </w:p>
    <w:p w:rsidR="00240BCE" w:rsidRDefault="00AC0334">
      <w:pPr>
        <w:spacing w:line="520" w:lineRule="exact"/>
        <w:ind w:firstLineChars="200" w:firstLine="480"/>
        <w:rPr>
          <w:color w:val="000000"/>
          <w:sz w:val="24"/>
        </w:rPr>
      </w:pPr>
      <w:r>
        <w:rPr>
          <w:color w:val="000000"/>
          <w:sz w:val="24"/>
        </w:rPr>
        <w:t>建设期对土壤的影响主要是表土扰动，施工期间的污废水排放，固体废物堆存，及建设期排放到大气的污染物沉降等，造成污染物进入土壤环境。</w:t>
      </w:r>
    </w:p>
    <w:p w:rsidR="00240BCE" w:rsidRDefault="00AC0334">
      <w:pPr>
        <w:spacing w:line="520" w:lineRule="exact"/>
        <w:ind w:firstLineChars="200" w:firstLine="480"/>
        <w:rPr>
          <w:color w:val="000000"/>
          <w:sz w:val="24"/>
        </w:rPr>
      </w:pPr>
      <w:r>
        <w:rPr>
          <w:color w:val="000000"/>
          <w:sz w:val="24"/>
        </w:rPr>
        <w:t>本项目建设期废水主要来自于生活污水排放、以及各种施工废水；废气主要来源于施工机械、驱动设备（如柴油机等）与运输及施工车辆所排放的废气，以及施工扬尘；固体废物主要来源于施工所产生的矸石、污泥等建筑垃圾，及施工人员产生的生活垃圾。</w:t>
      </w:r>
    </w:p>
    <w:p w:rsidR="00240BCE" w:rsidRDefault="00AC0334">
      <w:pPr>
        <w:spacing w:line="520" w:lineRule="exact"/>
        <w:ind w:firstLineChars="200" w:firstLine="480"/>
        <w:rPr>
          <w:color w:val="000000"/>
          <w:sz w:val="24"/>
        </w:rPr>
      </w:pPr>
      <w:r>
        <w:rPr>
          <w:color w:val="000000"/>
          <w:sz w:val="24"/>
        </w:rPr>
        <w:t>（</w:t>
      </w:r>
      <w:r>
        <w:rPr>
          <w:color w:val="000000"/>
          <w:sz w:val="24"/>
        </w:rPr>
        <w:t>2</w:t>
      </w:r>
      <w:r>
        <w:rPr>
          <w:color w:val="000000"/>
          <w:sz w:val="24"/>
        </w:rPr>
        <w:t>）土壤环境质量影响分析</w:t>
      </w:r>
    </w:p>
    <w:p w:rsidR="00240BCE" w:rsidRDefault="00AC0334">
      <w:pPr>
        <w:spacing w:line="520" w:lineRule="exact"/>
        <w:ind w:firstLineChars="200" w:firstLine="480"/>
        <w:rPr>
          <w:color w:val="000000"/>
          <w:sz w:val="24"/>
        </w:rPr>
      </w:pPr>
      <w:r>
        <w:rPr>
          <w:color w:val="000000"/>
          <w:sz w:val="24"/>
        </w:rPr>
        <w:t>本项目施工废水沉淀处理后回用于工程施工不外排；施工过程中产生的生活污水采用地埋式一体化污水处理设备、矿井涌水全部进入矿井水处理厂，经过絮凝、沉淀、过滤、消毒等处理后全部回用于工程施工、地面降尘洒水和绿化洒水等，不外排。因此，矿区土壤施工期不会由于废水的漫流和入渗而造成污染。</w:t>
      </w:r>
    </w:p>
    <w:p w:rsidR="00240BCE" w:rsidRDefault="00AC0334">
      <w:pPr>
        <w:spacing w:line="520" w:lineRule="exact"/>
        <w:ind w:firstLineChars="200" w:firstLine="480"/>
        <w:rPr>
          <w:color w:val="000000"/>
          <w:sz w:val="24"/>
        </w:rPr>
      </w:pPr>
      <w:r>
        <w:rPr>
          <w:color w:val="000000"/>
          <w:sz w:val="24"/>
        </w:rPr>
        <w:t>项目施工期对排烟大的施工机械均安装消烟装置，减轻尾气的排放；施工场地设置围栏、洒水抑尘、覆盖防尘、限制车速、保持施工场地洁净、避免大风天气作业等防尘措施，防止被污染大气的沉降而污染土壤。</w:t>
      </w:r>
    </w:p>
    <w:p w:rsidR="00240BCE" w:rsidRDefault="00AC0334">
      <w:pPr>
        <w:spacing w:line="520" w:lineRule="exact"/>
        <w:ind w:firstLineChars="200" w:firstLine="480"/>
        <w:rPr>
          <w:color w:val="000000"/>
          <w:sz w:val="24"/>
        </w:rPr>
      </w:pPr>
      <w:r>
        <w:rPr>
          <w:color w:val="000000"/>
          <w:sz w:val="24"/>
        </w:rPr>
        <w:t>施工产生的生活垃圾要进行专门收集，并定期将之送往鸠山镇环卫管理部门统一处置。</w:t>
      </w:r>
    </w:p>
    <w:p w:rsidR="00240BCE" w:rsidRDefault="00AC0334">
      <w:pPr>
        <w:spacing w:line="520" w:lineRule="exact"/>
        <w:ind w:firstLineChars="200" w:firstLine="480"/>
        <w:rPr>
          <w:color w:val="000000"/>
          <w:sz w:val="24"/>
        </w:rPr>
      </w:pPr>
      <w:r>
        <w:rPr>
          <w:color w:val="000000"/>
          <w:sz w:val="24"/>
        </w:rPr>
        <w:t>采取上述措施后，建设期项目基本不会对土壤环境造成污染影响。</w:t>
      </w:r>
    </w:p>
    <w:p w:rsidR="00240BCE" w:rsidRDefault="00AC0334" w:rsidP="009C5F33">
      <w:pPr>
        <w:pStyle w:val="30"/>
        <w:adjustRightInd w:val="0"/>
        <w:snapToGrid w:val="0"/>
        <w:spacing w:beforeLines="70" w:afterLines="30" w:line="240" w:lineRule="auto"/>
        <w:jc w:val="left"/>
        <w:rPr>
          <w:rFonts w:eastAsia="楷体"/>
          <w:sz w:val="28"/>
          <w:szCs w:val="28"/>
        </w:rPr>
      </w:pPr>
      <w:bookmarkStart w:id="790" w:name="_Toc79668717"/>
      <w:bookmarkStart w:id="791" w:name="_Toc13348_WPSOffice_Level3"/>
      <w:r>
        <w:rPr>
          <w:rFonts w:eastAsia="楷体"/>
          <w:sz w:val="28"/>
          <w:szCs w:val="28"/>
        </w:rPr>
        <w:t xml:space="preserve">6.6.2 </w:t>
      </w:r>
      <w:r>
        <w:rPr>
          <w:rFonts w:eastAsia="楷体"/>
          <w:sz w:val="28"/>
          <w:szCs w:val="28"/>
        </w:rPr>
        <w:t>运营期土壤环境影响评价</w:t>
      </w:r>
      <w:bookmarkEnd w:id="790"/>
      <w:bookmarkEnd w:id="791"/>
    </w:p>
    <w:p w:rsidR="00240BCE" w:rsidRDefault="00AC0334">
      <w:pPr>
        <w:spacing w:line="520" w:lineRule="exact"/>
        <w:rPr>
          <w:color w:val="000000"/>
          <w:sz w:val="24"/>
        </w:rPr>
      </w:pPr>
      <w:r>
        <w:rPr>
          <w:color w:val="000000"/>
          <w:sz w:val="24"/>
        </w:rPr>
        <w:t xml:space="preserve">6.6.2.1 </w:t>
      </w:r>
      <w:r>
        <w:rPr>
          <w:color w:val="000000"/>
          <w:sz w:val="24"/>
        </w:rPr>
        <w:t>开采区土壤环境影响分析与评价</w:t>
      </w:r>
    </w:p>
    <w:p w:rsidR="00240BCE" w:rsidRDefault="00AC0334">
      <w:pPr>
        <w:spacing w:line="520" w:lineRule="exact"/>
        <w:ind w:firstLineChars="200" w:firstLine="480"/>
        <w:rPr>
          <w:color w:val="000000"/>
          <w:sz w:val="24"/>
        </w:rPr>
      </w:pPr>
      <w:r>
        <w:rPr>
          <w:color w:val="000000"/>
          <w:sz w:val="24"/>
        </w:rPr>
        <w:t>根据实地调研和监测结果，评价区土壤未酸化、未碱化、未盐化。项目区土壤类型以</w:t>
      </w:r>
      <w:r>
        <w:rPr>
          <w:sz w:val="24"/>
        </w:rPr>
        <w:t>棕壤</w:t>
      </w:r>
      <w:r>
        <w:rPr>
          <w:color w:val="000000"/>
          <w:sz w:val="24"/>
        </w:rPr>
        <w:t>土为主，地表沉陷不会造成地下水位出露，也不会形成积水区或季节性积水，煤层开采不会造成土壤盐化；同时，本项目开采区不排放酸碱污染物，不会</w:t>
      </w:r>
      <w:r>
        <w:rPr>
          <w:color w:val="000000"/>
          <w:sz w:val="24"/>
        </w:rPr>
        <w:lastRenderedPageBreak/>
        <w:t>导致土壤酸化或碱化。煤矿开采主要对土壤结构、含水率、孔隙度等理化性质产生影响，矿方应加强沉陷区的生态整治，及时对沉陷区的裂缝进行充填，恢复植被，防止水土流失。煤层开采不会改变开采区土壤环境质量现状。</w:t>
      </w:r>
    </w:p>
    <w:p w:rsidR="00240BCE" w:rsidRDefault="00AC0334">
      <w:pPr>
        <w:spacing w:line="520" w:lineRule="exact"/>
        <w:ind w:firstLineChars="200" w:firstLine="480"/>
        <w:rPr>
          <w:color w:val="000000"/>
          <w:sz w:val="24"/>
        </w:rPr>
      </w:pPr>
      <w:r>
        <w:rPr>
          <w:color w:val="000000"/>
          <w:sz w:val="24"/>
        </w:rPr>
        <w:t>由于本项目属于升级改造项目，</w:t>
      </w:r>
      <w:r>
        <w:rPr>
          <w:bCs/>
          <w:color w:val="000000"/>
          <w:sz w:val="24"/>
        </w:rPr>
        <w:t>根据本次土壤环境现状调查，各土壤监测点位各重金属和无机物污染物监测结果均能够满足《土壤环境质量</w:t>
      </w:r>
      <w:r>
        <w:rPr>
          <w:bCs/>
          <w:color w:val="000000"/>
          <w:sz w:val="24"/>
        </w:rPr>
        <w:t xml:space="preserve"> </w:t>
      </w:r>
      <w:r>
        <w:rPr>
          <w:bCs/>
          <w:color w:val="000000"/>
          <w:sz w:val="24"/>
        </w:rPr>
        <w:t>农用地土壤污染风险管控标准（试行）》（</w:t>
      </w:r>
      <w:r>
        <w:rPr>
          <w:bCs/>
          <w:color w:val="000000"/>
          <w:sz w:val="24"/>
        </w:rPr>
        <w:t>GB15618-2018</w:t>
      </w:r>
      <w:r>
        <w:rPr>
          <w:bCs/>
          <w:color w:val="000000"/>
          <w:sz w:val="24"/>
        </w:rPr>
        <w:t>）或《土壤环境质量</w:t>
      </w:r>
      <w:r>
        <w:rPr>
          <w:bCs/>
          <w:color w:val="000000"/>
          <w:sz w:val="24"/>
        </w:rPr>
        <w:t xml:space="preserve"> </w:t>
      </w:r>
      <w:r>
        <w:rPr>
          <w:bCs/>
          <w:color w:val="000000"/>
          <w:sz w:val="24"/>
        </w:rPr>
        <w:t>建设用地土壤污染风险管控标准（试行）》（</w:t>
      </w:r>
      <w:r>
        <w:rPr>
          <w:bCs/>
          <w:color w:val="000000"/>
          <w:sz w:val="24"/>
        </w:rPr>
        <w:t>GB36600-2018</w:t>
      </w:r>
      <w:r>
        <w:rPr>
          <w:bCs/>
          <w:color w:val="000000"/>
          <w:sz w:val="24"/>
        </w:rPr>
        <w:t>）第二类用地筛选值要求。说明现有开采没有改变开采区土壤环境质量现状。因此，煤矿开采对</w:t>
      </w:r>
      <w:r>
        <w:rPr>
          <w:color w:val="000000"/>
          <w:sz w:val="24"/>
        </w:rPr>
        <w:t>开采区土壤环境影响不大。</w:t>
      </w:r>
    </w:p>
    <w:p w:rsidR="00240BCE" w:rsidRDefault="00AC0334">
      <w:pPr>
        <w:spacing w:line="520" w:lineRule="exact"/>
        <w:rPr>
          <w:color w:val="000000"/>
          <w:sz w:val="24"/>
        </w:rPr>
      </w:pPr>
      <w:r>
        <w:rPr>
          <w:color w:val="000000"/>
          <w:sz w:val="24"/>
        </w:rPr>
        <w:t>6.</w:t>
      </w:r>
      <w:r>
        <w:rPr>
          <w:rFonts w:hint="eastAsia"/>
          <w:color w:val="000000"/>
          <w:sz w:val="24"/>
        </w:rPr>
        <w:t>6</w:t>
      </w:r>
      <w:r>
        <w:rPr>
          <w:color w:val="000000"/>
          <w:sz w:val="24"/>
        </w:rPr>
        <w:t>.</w:t>
      </w:r>
      <w:r>
        <w:rPr>
          <w:rFonts w:hint="eastAsia"/>
          <w:color w:val="000000"/>
          <w:sz w:val="24"/>
        </w:rPr>
        <w:t>2</w:t>
      </w:r>
      <w:r>
        <w:rPr>
          <w:color w:val="000000"/>
          <w:sz w:val="24"/>
        </w:rPr>
        <w:t xml:space="preserve">.2 </w:t>
      </w:r>
      <w:r>
        <w:rPr>
          <w:color w:val="000000"/>
          <w:sz w:val="24"/>
        </w:rPr>
        <w:t>工业场地土壤环境影响分析与评价</w:t>
      </w:r>
    </w:p>
    <w:p w:rsidR="00240BCE" w:rsidRDefault="00AC0334">
      <w:pPr>
        <w:autoSpaceDE w:val="0"/>
        <w:autoSpaceDN w:val="0"/>
        <w:adjustRightInd w:val="0"/>
        <w:spacing w:line="520" w:lineRule="exact"/>
        <w:ind w:firstLine="560"/>
        <w:rPr>
          <w:color w:val="000000"/>
          <w:sz w:val="24"/>
        </w:rPr>
      </w:pPr>
      <w:r>
        <w:rPr>
          <w:color w:val="000000"/>
          <w:sz w:val="24"/>
        </w:rPr>
        <w:t>（</w:t>
      </w:r>
      <w:r>
        <w:rPr>
          <w:color w:val="000000"/>
          <w:sz w:val="24"/>
        </w:rPr>
        <w:t>1</w:t>
      </w:r>
      <w:r>
        <w:rPr>
          <w:color w:val="000000"/>
          <w:sz w:val="24"/>
        </w:rPr>
        <w:t>）土壤环境影响因素分析</w:t>
      </w:r>
    </w:p>
    <w:p w:rsidR="00240BCE" w:rsidRDefault="00AC0334">
      <w:pPr>
        <w:autoSpaceDE w:val="0"/>
        <w:autoSpaceDN w:val="0"/>
        <w:adjustRightInd w:val="0"/>
        <w:spacing w:line="520" w:lineRule="exact"/>
        <w:ind w:firstLine="560"/>
        <w:rPr>
          <w:color w:val="000000"/>
          <w:sz w:val="24"/>
        </w:rPr>
      </w:pPr>
      <w:r>
        <w:rPr>
          <w:color w:val="000000"/>
          <w:sz w:val="24"/>
        </w:rPr>
        <w:t>本项目运营期主要污染源来自于煤开采、储运等生产过程中产生的废水、废气和固体废物等污染物，会对土壤环境产生负面影响。</w:t>
      </w:r>
    </w:p>
    <w:p w:rsidR="00240BCE" w:rsidRDefault="00AC0334">
      <w:pPr>
        <w:autoSpaceDE w:val="0"/>
        <w:autoSpaceDN w:val="0"/>
        <w:adjustRightInd w:val="0"/>
        <w:spacing w:line="520" w:lineRule="exact"/>
        <w:ind w:firstLine="560"/>
        <w:rPr>
          <w:color w:val="000000"/>
          <w:sz w:val="24"/>
        </w:rPr>
      </w:pPr>
      <w:r>
        <w:rPr>
          <w:color w:val="000000"/>
          <w:sz w:val="24"/>
        </w:rPr>
        <w:t>（</w:t>
      </w:r>
      <w:r>
        <w:rPr>
          <w:color w:val="000000"/>
          <w:sz w:val="24"/>
        </w:rPr>
        <w:t>2</w:t>
      </w:r>
      <w:r>
        <w:rPr>
          <w:color w:val="000000"/>
          <w:sz w:val="24"/>
        </w:rPr>
        <w:t>）土壤环境质量影响分析</w:t>
      </w:r>
    </w:p>
    <w:p w:rsidR="00240BCE" w:rsidRDefault="00AC0334">
      <w:pPr>
        <w:autoSpaceDE w:val="0"/>
        <w:autoSpaceDN w:val="0"/>
        <w:adjustRightInd w:val="0"/>
        <w:spacing w:line="520" w:lineRule="exact"/>
        <w:ind w:firstLine="560"/>
        <w:rPr>
          <w:color w:val="000000"/>
          <w:sz w:val="24"/>
        </w:rPr>
      </w:pPr>
      <w:r>
        <w:rPr>
          <w:color w:val="000000"/>
          <w:sz w:val="24"/>
        </w:rPr>
        <w:t>本项目工业场地各功能区均采取</w:t>
      </w:r>
      <w:r>
        <w:rPr>
          <w:color w:val="000000"/>
          <w:sz w:val="24"/>
        </w:rPr>
        <w:t>“</w:t>
      </w:r>
      <w:r>
        <w:rPr>
          <w:color w:val="000000"/>
          <w:sz w:val="24"/>
        </w:rPr>
        <w:t>源头控制</w:t>
      </w:r>
      <w:r>
        <w:rPr>
          <w:color w:val="000000"/>
          <w:sz w:val="24"/>
        </w:rPr>
        <w:t>”</w:t>
      </w:r>
      <w:r>
        <w:rPr>
          <w:color w:val="000000"/>
          <w:sz w:val="24"/>
        </w:rPr>
        <w:t>、</w:t>
      </w:r>
      <w:r>
        <w:rPr>
          <w:color w:val="000000"/>
          <w:sz w:val="24"/>
        </w:rPr>
        <w:t>“</w:t>
      </w:r>
      <w:r>
        <w:rPr>
          <w:color w:val="000000"/>
          <w:sz w:val="24"/>
        </w:rPr>
        <w:t>分区防控</w:t>
      </w:r>
      <w:r>
        <w:rPr>
          <w:color w:val="000000"/>
          <w:sz w:val="24"/>
        </w:rPr>
        <w:t>”</w:t>
      </w:r>
      <w:r>
        <w:rPr>
          <w:color w:val="000000"/>
          <w:sz w:val="24"/>
        </w:rPr>
        <w:t>的防渗措施，可以有效保证污染物不会进入土壤环境，防止污染土壤。项目产生的固体废物均在室内堆放，满足</w:t>
      </w:r>
      <w:r>
        <w:rPr>
          <w:color w:val="000000"/>
          <w:sz w:val="24"/>
        </w:rPr>
        <w:t>“</w:t>
      </w:r>
      <w:r>
        <w:rPr>
          <w:color w:val="000000"/>
          <w:sz w:val="24"/>
        </w:rPr>
        <w:t>防风、防雨、防晒</w:t>
      </w:r>
      <w:r>
        <w:rPr>
          <w:color w:val="000000"/>
          <w:sz w:val="24"/>
        </w:rPr>
        <w:t>”</w:t>
      </w:r>
      <w:r>
        <w:rPr>
          <w:color w:val="000000"/>
          <w:sz w:val="24"/>
        </w:rPr>
        <w:t>的要求，且贮存地面采取防渗措施，分区分类存放，同时设有隔断及导排设施，经收集后均进行妥善处理，不直接排入土壤环境。危废暂存库按《危险废物贮存污染控制标准》（</w:t>
      </w:r>
      <w:r>
        <w:rPr>
          <w:color w:val="000000"/>
          <w:sz w:val="24"/>
        </w:rPr>
        <w:t>GB18597-2001</w:t>
      </w:r>
      <w:r>
        <w:rPr>
          <w:color w:val="000000"/>
          <w:sz w:val="24"/>
        </w:rPr>
        <w:t>）要求进行设计建造。危险废物分类收集后，委托有资质的危险废物处置单位处置。整个过程基本上可以杜绝危险废物接触土壤，且建设项目场地地面会做硬化处理，对土壤环境不会造成影响。</w:t>
      </w:r>
    </w:p>
    <w:p w:rsidR="00240BCE" w:rsidRDefault="00AC0334">
      <w:pPr>
        <w:autoSpaceDE w:val="0"/>
        <w:autoSpaceDN w:val="0"/>
        <w:adjustRightInd w:val="0"/>
        <w:spacing w:line="520" w:lineRule="exact"/>
        <w:ind w:firstLine="560"/>
        <w:rPr>
          <w:color w:val="000000"/>
          <w:sz w:val="24"/>
        </w:rPr>
      </w:pPr>
      <w:r>
        <w:rPr>
          <w:color w:val="000000"/>
          <w:sz w:val="24"/>
        </w:rPr>
        <w:t>运营期产生的大量废水、固体废物和危险废物等污染物均有妥善的处理、处置措施严格执行各项环保措施，则各种污染物对土壤环境的影响均处于可接受范围内。</w:t>
      </w:r>
    </w:p>
    <w:p w:rsidR="00240BCE" w:rsidRDefault="00AC0334">
      <w:pPr>
        <w:autoSpaceDE w:val="0"/>
        <w:autoSpaceDN w:val="0"/>
        <w:adjustRightInd w:val="0"/>
        <w:spacing w:line="520" w:lineRule="exact"/>
        <w:ind w:firstLine="560"/>
        <w:rPr>
          <w:color w:val="000000"/>
          <w:sz w:val="24"/>
        </w:rPr>
      </w:pPr>
      <w:r>
        <w:rPr>
          <w:color w:val="000000"/>
          <w:sz w:val="24"/>
        </w:rPr>
        <w:t>由于本项目属于升级改造项目，</w:t>
      </w:r>
      <w:r>
        <w:rPr>
          <w:bCs/>
          <w:color w:val="000000"/>
          <w:sz w:val="24"/>
        </w:rPr>
        <w:t>根据本次土壤环境现状调查，工业场地各土壤监测点位各重金属和无机物污染物监测结果均能够满足《土壤环境质量</w:t>
      </w:r>
      <w:r>
        <w:rPr>
          <w:bCs/>
          <w:color w:val="000000"/>
          <w:sz w:val="24"/>
        </w:rPr>
        <w:t xml:space="preserve"> </w:t>
      </w:r>
      <w:r>
        <w:rPr>
          <w:bCs/>
          <w:color w:val="000000"/>
          <w:sz w:val="24"/>
        </w:rPr>
        <w:t>建设用地土壤污染风险管控标准（试行）》（</w:t>
      </w:r>
      <w:r>
        <w:rPr>
          <w:bCs/>
          <w:color w:val="000000"/>
          <w:sz w:val="24"/>
        </w:rPr>
        <w:t>GB36600-2018</w:t>
      </w:r>
      <w:r>
        <w:rPr>
          <w:bCs/>
          <w:color w:val="000000"/>
          <w:sz w:val="24"/>
        </w:rPr>
        <w:t>）第二类用地筛选值要求。说明现有</w:t>
      </w:r>
      <w:r>
        <w:rPr>
          <w:bCs/>
          <w:color w:val="000000"/>
          <w:sz w:val="24"/>
        </w:rPr>
        <w:lastRenderedPageBreak/>
        <w:t>开采没有改变开采区土壤环境质量现状。因此，工业场地对土壤环境质量影响较小。</w:t>
      </w:r>
    </w:p>
    <w:p w:rsidR="00240BCE" w:rsidRDefault="00AC0334">
      <w:pPr>
        <w:autoSpaceDE w:val="0"/>
        <w:autoSpaceDN w:val="0"/>
        <w:adjustRightInd w:val="0"/>
        <w:spacing w:line="520" w:lineRule="exact"/>
        <w:ind w:firstLine="560"/>
        <w:rPr>
          <w:color w:val="000000"/>
          <w:sz w:val="24"/>
        </w:rPr>
      </w:pPr>
      <w:r>
        <w:rPr>
          <w:color w:val="000000"/>
          <w:sz w:val="24"/>
        </w:rPr>
        <w:t>综上所述，本项目运营期对项目区土壤环境影响不大。</w:t>
      </w:r>
    </w:p>
    <w:p w:rsidR="00240BCE" w:rsidRDefault="00AC0334">
      <w:pPr>
        <w:autoSpaceDE w:val="0"/>
        <w:autoSpaceDN w:val="0"/>
        <w:adjustRightInd w:val="0"/>
        <w:spacing w:line="520" w:lineRule="exact"/>
        <w:ind w:firstLine="560"/>
        <w:rPr>
          <w:color w:val="000000"/>
          <w:sz w:val="24"/>
        </w:rPr>
      </w:pPr>
      <w:r>
        <w:rPr>
          <w:color w:val="000000"/>
          <w:sz w:val="24"/>
        </w:rPr>
        <w:t>土壤环境影响评价自查表见表</w:t>
      </w:r>
      <w:r>
        <w:rPr>
          <w:color w:val="000000"/>
          <w:sz w:val="24"/>
        </w:rPr>
        <w:t>6.6-1</w:t>
      </w:r>
      <w:r>
        <w:rPr>
          <w:color w:val="000000"/>
          <w:sz w:val="24"/>
        </w:rPr>
        <w:t>。</w:t>
      </w:r>
    </w:p>
    <w:p w:rsidR="00240BCE" w:rsidRDefault="00AC0334">
      <w:pPr>
        <w:autoSpaceDE w:val="0"/>
        <w:autoSpaceDN w:val="0"/>
        <w:adjustRightInd w:val="0"/>
        <w:spacing w:line="520" w:lineRule="exact"/>
        <w:jc w:val="center"/>
        <w:rPr>
          <w:b/>
          <w:bCs/>
          <w:color w:val="000000"/>
          <w:sz w:val="24"/>
        </w:rPr>
      </w:pPr>
      <w:r>
        <w:rPr>
          <w:b/>
          <w:bCs/>
          <w:color w:val="000000"/>
          <w:sz w:val="24"/>
        </w:rPr>
        <w:t>表</w:t>
      </w:r>
      <w:r>
        <w:rPr>
          <w:b/>
          <w:bCs/>
          <w:color w:val="000000"/>
          <w:sz w:val="24"/>
        </w:rPr>
        <w:t>6.6-</w:t>
      </w:r>
      <w:r w:rsidR="002F362A">
        <w:rPr>
          <w:rFonts w:hint="eastAsia"/>
          <w:b/>
          <w:bCs/>
          <w:color w:val="000000"/>
          <w:sz w:val="24"/>
        </w:rPr>
        <w:t>1</w:t>
      </w:r>
      <w:r>
        <w:rPr>
          <w:b/>
          <w:bCs/>
          <w:color w:val="000000"/>
          <w:sz w:val="24"/>
        </w:rPr>
        <w:t xml:space="preserve">   </w:t>
      </w:r>
      <w:r>
        <w:rPr>
          <w:b/>
          <w:bCs/>
          <w:color w:val="000000"/>
          <w:sz w:val="24"/>
        </w:rPr>
        <w:t>土壤环境影响评价自查表（工业场地区）</w:t>
      </w:r>
    </w:p>
    <w:tbl>
      <w:tblPr>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33"/>
        <w:gridCol w:w="1841"/>
        <w:gridCol w:w="1297"/>
        <w:gridCol w:w="1616"/>
        <w:gridCol w:w="1286"/>
        <w:gridCol w:w="1468"/>
        <w:gridCol w:w="1136"/>
      </w:tblGrid>
      <w:tr w:rsidR="00240BCE">
        <w:tc>
          <w:tcPr>
            <w:tcW w:w="2274" w:type="dxa"/>
            <w:gridSpan w:val="2"/>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工作内容</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完成情况</w:t>
            </w:r>
          </w:p>
        </w:tc>
        <w:tc>
          <w:tcPr>
            <w:tcW w:w="1136"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备注</w:t>
            </w:r>
          </w:p>
        </w:tc>
      </w:tr>
      <w:tr w:rsidR="00240BCE">
        <w:tc>
          <w:tcPr>
            <w:tcW w:w="433" w:type="dxa"/>
            <w:vMerge w:val="restart"/>
            <w:vAlign w:val="center"/>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影响识别</w:t>
            </w: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影响类型</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污染影响型</w:t>
            </w:r>
            <w:r>
              <w:rPr>
                <w:rFonts w:ascii="Times New Roman" w:hAnsi="Times New Roman" w:cs="Times New Roman"/>
                <w:sz w:val="21"/>
              </w:rPr>
              <w:t>√</w:t>
            </w:r>
            <w:r>
              <w:rPr>
                <w:rFonts w:ascii="Times New Roman" w:hAnsi="Times New Roman" w:cs="Times New Roman"/>
                <w:sz w:val="21"/>
              </w:rPr>
              <w:t>；生态影响型</w:t>
            </w:r>
            <w:r>
              <w:rPr>
                <w:rFonts w:ascii="Times New Roman" w:hAnsi="Times New Roman" w:cs="Times New Roman"/>
                <w:sz w:val="21"/>
              </w:rPr>
              <w:t></w:t>
            </w:r>
            <w:r>
              <w:rPr>
                <w:rFonts w:ascii="Times New Roman" w:hAnsi="Times New Roman" w:cs="Times New Roman"/>
                <w:sz w:val="21"/>
              </w:rPr>
              <w:t>；两种兼有</w:t>
            </w:r>
            <w:r>
              <w:rPr>
                <w:rFonts w:ascii="Times New Roman" w:hAnsi="Times New Roman" w:cs="Times New Roman"/>
                <w:sz w:val="21"/>
              </w:rPr>
              <w:t></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土地利用类型</w:t>
            </w:r>
          </w:p>
        </w:tc>
        <w:tc>
          <w:tcPr>
            <w:tcW w:w="5667" w:type="dxa"/>
            <w:gridSpan w:val="4"/>
          </w:tcPr>
          <w:p w:rsidR="00240BCE" w:rsidRDefault="00AC0334">
            <w:pPr>
              <w:pStyle w:val="TableParagraph"/>
              <w:adjustRightInd w:val="0"/>
              <w:snapToGrid w:val="0"/>
              <w:spacing w:line="300" w:lineRule="exact"/>
              <w:jc w:val="both"/>
              <w:rPr>
                <w:rFonts w:ascii="Times New Roman" w:eastAsia="Times New Roman" w:hAnsi="Times New Roman" w:cs="Times New Roman"/>
                <w:sz w:val="21"/>
              </w:rPr>
            </w:pPr>
            <w:r>
              <w:rPr>
                <w:rFonts w:ascii="Times New Roman" w:hAnsi="Times New Roman" w:cs="Times New Roman"/>
                <w:sz w:val="21"/>
              </w:rPr>
              <w:t>建设用地</w:t>
            </w:r>
            <w:r>
              <w:rPr>
                <w:rFonts w:ascii="Times New Roman" w:eastAsia="Times New Roman" w:hAnsi="Times New Roman" w:cs="Times New Roman"/>
                <w:sz w:val="21"/>
              </w:rPr>
              <w:t>√</w:t>
            </w:r>
            <w:r>
              <w:rPr>
                <w:rFonts w:ascii="Times New Roman" w:hAnsi="Times New Roman" w:cs="Times New Roman"/>
                <w:sz w:val="21"/>
              </w:rPr>
              <w:t>；农用地</w:t>
            </w:r>
            <w:r>
              <w:rPr>
                <w:rFonts w:ascii="Times New Roman" w:eastAsia="Times New Roman" w:hAnsi="Times New Roman" w:cs="Times New Roman"/>
                <w:sz w:val="21"/>
              </w:rPr>
              <w:t>√</w:t>
            </w:r>
            <w:r>
              <w:rPr>
                <w:rFonts w:ascii="Times New Roman" w:hAnsi="Times New Roman" w:cs="Times New Roman"/>
                <w:sz w:val="21"/>
              </w:rPr>
              <w:t>；未利用地</w:t>
            </w:r>
            <w:r>
              <w:rPr>
                <w:rFonts w:ascii="Times New Roman" w:eastAsia="Wingdings" w:hAnsi="Times New Roman" w:cs="Times New Roman"/>
                <w:sz w:val="21"/>
              </w:rPr>
              <w:t></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1"/>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占地规模</w:t>
            </w:r>
          </w:p>
        </w:tc>
        <w:tc>
          <w:tcPr>
            <w:tcW w:w="5667" w:type="dxa"/>
            <w:gridSpan w:val="4"/>
          </w:tcPr>
          <w:p w:rsidR="00240BCE" w:rsidRDefault="00AC0334" w:rsidP="00257B79">
            <w:pPr>
              <w:pStyle w:val="TableParagraph"/>
              <w:adjustRightInd w:val="0"/>
              <w:snapToGrid w:val="0"/>
              <w:spacing w:line="300" w:lineRule="exact"/>
              <w:jc w:val="both"/>
              <w:rPr>
                <w:rFonts w:ascii="Times New Roman" w:hAnsi="Times New Roman" w:cs="Times New Roman"/>
                <w:sz w:val="11"/>
              </w:rPr>
            </w:pPr>
            <w:r>
              <w:rPr>
                <w:rFonts w:ascii="Times New Roman" w:hAnsi="Times New Roman" w:cs="Times New Roman"/>
                <w:snapToGrid w:val="0"/>
                <w:spacing w:val="-4"/>
                <w:kern w:val="0"/>
                <w:sz w:val="21"/>
                <w:szCs w:val="21"/>
              </w:rPr>
              <w:t>1.</w:t>
            </w:r>
            <w:r w:rsidR="00257B79">
              <w:rPr>
                <w:rFonts w:ascii="Times New Roman" w:hAnsi="Times New Roman" w:cs="Times New Roman" w:hint="eastAsia"/>
                <w:snapToGrid w:val="0"/>
                <w:spacing w:val="-4"/>
                <w:kern w:val="0"/>
                <w:sz w:val="21"/>
                <w:szCs w:val="21"/>
              </w:rPr>
              <w:t>92</w:t>
            </w:r>
            <w:r>
              <w:rPr>
                <w:rFonts w:ascii="Times New Roman" w:hAnsi="Times New Roman" w:cs="Times New Roman"/>
                <w:snapToGrid w:val="0"/>
                <w:spacing w:val="-4"/>
                <w:kern w:val="0"/>
                <w:sz w:val="21"/>
                <w:szCs w:val="21"/>
              </w:rPr>
              <w:t>hm</w:t>
            </w:r>
            <w:r>
              <w:rPr>
                <w:rFonts w:ascii="Times New Roman" w:hAnsi="Times New Roman" w:cs="Times New Roman"/>
                <w:snapToGrid w:val="0"/>
                <w:spacing w:val="-4"/>
                <w:kern w:val="0"/>
                <w:sz w:val="21"/>
                <w:szCs w:val="21"/>
                <w:vertAlign w:val="superscript"/>
              </w:rPr>
              <w:t>2</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敏感目标信息</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敏感目标（）、方位（）、距离（）</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影响途径</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大气沉降</w:t>
            </w:r>
            <w:r>
              <w:rPr>
                <w:rFonts w:ascii="Times New Roman" w:eastAsia="Times New Roman" w:hAnsi="Times New Roman" w:cs="Times New Roman"/>
                <w:sz w:val="21"/>
              </w:rPr>
              <w:t>√</w:t>
            </w:r>
            <w:r>
              <w:rPr>
                <w:rFonts w:ascii="Times New Roman" w:hAnsi="Times New Roman" w:cs="Times New Roman"/>
                <w:sz w:val="21"/>
              </w:rPr>
              <w:t>；地表漫流</w:t>
            </w:r>
            <w:r>
              <w:rPr>
                <w:rFonts w:ascii="Times New Roman" w:eastAsia="Wingdings" w:hAnsi="Times New Roman" w:cs="Times New Roman"/>
                <w:sz w:val="21"/>
              </w:rPr>
              <w:t></w:t>
            </w:r>
            <w:r>
              <w:rPr>
                <w:rFonts w:ascii="Times New Roman" w:hAnsi="Times New Roman" w:cs="Times New Roman"/>
                <w:sz w:val="21"/>
              </w:rPr>
              <w:t>；垂直入渗</w:t>
            </w:r>
            <w:r>
              <w:rPr>
                <w:rFonts w:ascii="Times New Roman" w:eastAsia="Times New Roman" w:hAnsi="Times New Roman" w:cs="Times New Roman"/>
                <w:sz w:val="21"/>
              </w:rPr>
              <w:t>√</w:t>
            </w:r>
            <w:r>
              <w:rPr>
                <w:rFonts w:ascii="Times New Roman" w:hAnsi="Times New Roman" w:cs="Times New Roman"/>
                <w:sz w:val="21"/>
              </w:rPr>
              <w:t>；地下水</w:t>
            </w:r>
            <w:r>
              <w:rPr>
                <w:rFonts w:ascii="Times New Roman" w:eastAsia="Wingdings" w:hAnsi="Times New Roman" w:cs="Times New Roman"/>
                <w:sz w:val="21"/>
              </w:rPr>
              <w:t></w:t>
            </w:r>
            <w:r>
              <w:rPr>
                <w:rFonts w:ascii="Times New Roman" w:hAnsi="Times New Roman" w:cs="Times New Roman"/>
                <w:sz w:val="21"/>
              </w:rPr>
              <w:t>；其他（）</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全部污染物</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特征因子</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所属土壤环境影响</w:t>
            </w:r>
          </w:p>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评价项目类别</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Ⅰ</w:t>
            </w:r>
            <w:r>
              <w:rPr>
                <w:rFonts w:ascii="Times New Roman" w:hAnsi="Times New Roman" w:cs="Times New Roman"/>
                <w:sz w:val="21"/>
              </w:rPr>
              <w:t>类</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Ⅱ</w:t>
            </w:r>
            <w:r>
              <w:rPr>
                <w:rFonts w:ascii="Times New Roman" w:hAnsi="Times New Roman" w:cs="Times New Roman"/>
                <w:sz w:val="21"/>
              </w:rPr>
              <w:t>类</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Ⅲ</w:t>
            </w:r>
            <w:r>
              <w:rPr>
                <w:rFonts w:ascii="Times New Roman" w:hAnsi="Times New Roman" w:cs="Times New Roman"/>
                <w:sz w:val="21"/>
              </w:rPr>
              <w:t>类</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Ⅳ</w:t>
            </w:r>
            <w:r>
              <w:rPr>
                <w:rFonts w:ascii="Times New Roman" w:hAnsi="Times New Roman" w:cs="Times New Roman"/>
                <w:sz w:val="21"/>
              </w:rPr>
              <w:t>类</w:t>
            </w:r>
            <w:r>
              <w:rPr>
                <w:rFonts w:ascii="Times New Roman" w:hAnsi="Times New Roman" w:cs="Times New Roman"/>
                <w:sz w:val="21"/>
              </w:rPr>
              <w:t></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敏感程度</w:t>
            </w:r>
          </w:p>
        </w:tc>
        <w:tc>
          <w:tcPr>
            <w:tcW w:w="5667" w:type="dxa"/>
            <w:gridSpan w:val="4"/>
          </w:tcPr>
          <w:p w:rsidR="00240BCE" w:rsidRDefault="00AC0334">
            <w:pPr>
              <w:pStyle w:val="TableParagraph"/>
              <w:adjustRightInd w:val="0"/>
              <w:snapToGrid w:val="0"/>
              <w:spacing w:line="300" w:lineRule="exact"/>
              <w:jc w:val="both"/>
              <w:rPr>
                <w:rFonts w:ascii="Times New Roman" w:eastAsia="Times New Roman" w:hAnsi="Times New Roman" w:cs="Times New Roman"/>
                <w:sz w:val="21"/>
              </w:rPr>
            </w:pPr>
            <w:r>
              <w:rPr>
                <w:rFonts w:ascii="Times New Roman" w:hAnsi="Times New Roman" w:cs="Times New Roman"/>
                <w:sz w:val="21"/>
              </w:rPr>
              <w:t>敏感</w:t>
            </w:r>
            <w:r>
              <w:rPr>
                <w:rFonts w:ascii="Times New Roman" w:eastAsia="Times New Roman" w:hAnsi="Times New Roman" w:cs="Times New Roman"/>
                <w:sz w:val="21"/>
              </w:rPr>
              <w:t>√</w:t>
            </w:r>
            <w:r>
              <w:rPr>
                <w:rFonts w:ascii="Times New Roman" w:hAnsi="Times New Roman" w:cs="Times New Roman"/>
                <w:sz w:val="21"/>
              </w:rPr>
              <w:t>；较敏感</w:t>
            </w:r>
            <w:r>
              <w:rPr>
                <w:rFonts w:ascii="Times New Roman" w:eastAsia="Wingdings" w:hAnsi="Times New Roman" w:cs="Times New Roman"/>
                <w:sz w:val="21"/>
              </w:rPr>
              <w:t></w:t>
            </w:r>
            <w:r>
              <w:rPr>
                <w:rFonts w:ascii="Times New Roman" w:hAnsi="Times New Roman" w:cs="Times New Roman"/>
                <w:sz w:val="21"/>
              </w:rPr>
              <w:t>；不敏感</w:t>
            </w:r>
            <w:r>
              <w:rPr>
                <w:rFonts w:ascii="Times New Roman" w:eastAsia="Wingdings" w:hAnsi="Times New Roman" w:cs="Times New Roman"/>
                <w:sz w:val="21"/>
              </w:rPr>
              <w:t></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2274" w:type="dxa"/>
            <w:gridSpan w:val="2"/>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评价工作等级</w:t>
            </w:r>
          </w:p>
        </w:tc>
        <w:tc>
          <w:tcPr>
            <w:tcW w:w="5667" w:type="dxa"/>
            <w:gridSpan w:val="4"/>
          </w:tcPr>
          <w:p w:rsidR="00240BCE" w:rsidRDefault="00AC0334">
            <w:pPr>
              <w:pStyle w:val="TableParagraph"/>
              <w:adjustRightInd w:val="0"/>
              <w:snapToGrid w:val="0"/>
              <w:spacing w:line="300" w:lineRule="exact"/>
              <w:jc w:val="both"/>
              <w:rPr>
                <w:rFonts w:ascii="Times New Roman" w:eastAsia="Times New Roman" w:hAnsi="Times New Roman" w:cs="Times New Roman"/>
                <w:sz w:val="21"/>
              </w:rPr>
            </w:pPr>
            <w:r>
              <w:rPr>
                <w:rFonts w:ascii="Times New Roman" w:hAnsi="Times New Roman" w:cs="Times New Roman"/>
                <w:sz w:val="21"/>
              </w:rPr>
              <w:t>一级</w:t>
            </w:r>
            <w:r>
              <w:rPr>
                <w:rFonts w:ascii="Times New Roman" w:eastAsia="Wingdings" w:hAnsi="Times New Roman" w:cs="Times New Roman"/>
                <w:sz w:val="21"/>
              </w:rPr>
              <w:t></w:t>
            </w:r>
            <w:r>
              <w:rPr>
                <w:rFonts w:ascii="Times New Roman" w:hAnsi="Times New Roman" w:cs="Times New Roman"/>
                <w:sz w:val="21"/>
              </w:rPr>
              <w:t>；二级</w:t>
            </w:r>
            <w:r>
              <w:rPr>
                <w:rFonts w:ascii="Times New Roman" w:eastAsia="Times New Roman" w:hAnsi="Times New Roman" w:cs="Times New Roman"/>
                <w:sz w:val="21"/>
              </w:rPr>
              <w:t>√</w:t>
            </w:r>
            <w:r>
              <w:rPr>
                <w:rFonts w:ascii="Times New Roman" w:hAnsi="Times New Roman" w:cs="Times New Roman"/>
                <w:sz w:val="21"/>
              </w:rPr>
              <w:t>；三级</w:t>
            </w:r>
            <w:r>
              <w:rPr>
                <w:rFonts w:ascii="Times New Roman" w:eastAsia="Wingdings" w:hAnsi="Times New Roman" w:cs="Times New Roman"/>
                <w:sz w:val="21"/>
              </w:rPr>
              <w:t></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val="restart"/>
            <w:vAlign w:val="center"/>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现状调查内容</w:t>
            </w: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资料收集</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a</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b</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c</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d</w:t>
            </w:r>
            <w:r>
              <w:rPr>
                <w:rFonts w:ascii="Times New Roman" w:hAnsi="Times New Roman" w:cs="Times New Roman"/>
                <w:sz w:val="21"/>
              </w:rPr>
              <w:t>）</w:t>
            </w:r>
            <w:r>
              <w:rPr>
                <w:rFonts w:ascii="Times New Roman" w:hAnsi="Times New Roman" w:cs="Times New Roman"/>
                <w:sz w:val="21"/>
              </w:rPr>
              <w:t></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vAlign w:val="center"/>
          </w:tcPr>
          <w:p w:rsidR="00240BCE" w:rsidRDefault="00240BCE">
            <w:pPr>
              <w:adjustRightInd w:val="0"/>
              <w:snapToGrid w:val="0"/>
              <w:spacing w:line="300" w:lineRule="exact"/>
              <w:jc w:val="center"/>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理化特性</w:t>
            </w:r>
          </w:p>
        </w:tc>
        <w:tc>
          <w:tcPr>
            <w:tcW w:w="5667" w:type="dxa"/>
            <w:gridSpan w:val="4"/>
          </w:tcPr>
          <w:p w:rsidR="00240BCE" w:rsidRPr="001B69B0" w:rsidRDefault="001B69B0">
            <w:pPr>
              <w:pStyle w:val="TableParagraph"/>
              <w:adjustRightInd w:val="0"/>
              <w:snapToGrid w:val="0"/>
              <w:spacing w:line="300" w:lineRule="exact"/>
              <w:jc w:val="both"/>
              <w:rPr>
                <w:rFonts w:ascii="Times New Roman" w:hAnsi="Times New Roman" w:cs="Times New Roman"/>
                <w:sz w:val="20"/>
              </w:rPr>
            </w:pPr>
            <w:r w:rsidRPr="001B69B0">
              <w:rPr>
                <w:rFonts w:ascii="Times New Roman" w:hAnsi="Times New Roman" w:cs="Times New Roman" w:hint="eastAsia"/>
                <w:sz w:val="20"/>
              </w:rPr>
              <w:t xml:space="preserve">pH </w:t>
            </w:r>
            <w:r w:rsidRPr="001B69B0">
              <w:rPr>
                <w:rFonts w:ascii="Times New Roman" w:hAnsi="Times New Roman" w:cs="Times New Roman" w:hint="eastAsia"/>
                <w:sz w:val="20"/>
              </w:rPr>
              <w:t>值、全盐量</w:t>
            </w:r>
          </w:p>
        </w:tc>
        <w:tc>
          <w:tcPr>
            <w:tcW w:w="1136" w:type="dxa"/>
          </w:tcPr>
          <w:p w:rsidR="00240BCE" w:rsidRPr="001B69B0" w:rsidRDefault="00AC0334">
            <w:pPr>
              <w:pStyle w:val="TableParagraph"/>
              <w:adjustRightInd w:val="0"/>
              <w:snapToGrid w:val="0"/>
              <w:spacing w:line="300" w:lineRule="exact"/>
              <w:jc w:val="both"/>
              <w:rPr>
                <w:rFonts w:ascii="Times New Roman" w:hAnsi="Times New Roman" w:cs="Times New Roman"/>
                <w:b/>
                <w:sz w:val="21"/>
              </w:rPr>
            </w:pPr>
            <w:r w:rsidRPr="001B69B0">
              <w:rPr>
                <w:rFonts w:ascii="Times New Roman" w:hAnsi="Times New Roman" w:cs="Times New Roman"/>
                <w:b/>
                <w:sz w:val="21"/>
              </w:rPr>
              <w:t>同附录</w:t>
            </w:r>
            <w:r w:rsidRPr="001B69B0">
              <w:rPr>
                <w:rFonts w:ascii="Times New Roman" w:hAnsi="Times New Roman" w:cs="Times New Roman"/>
                <w:b/>
                <w:sz w:val="21"/>
              </w:rPr>
              <w:t xml:space="preserve"> C</w:t>
            </w:r>
          </w:p>
        </w:tc>
      </w:tr>
      <w:tr w:rsidR="00240BCE" w:rsidTr="00F76E27">
        <w:tc>
          <w:tcPr>
            <w:tcW w:w="433" w:type="dxa"/>
            <w:vMerge/>
            <w:tcBorders>
              <w:top w:val="nil"/>
            </w:tcBorders>
            <w:vAlign w:val="center"/>
          </w:tcPr>
          <w:p w:rsidR="00240BCE" w:rsidRDefault="00240BCE">
            <w:pPr>
              <w:adjustRightInd w:val="0"/>
              <w:snapToGrid w:val="0"/>
              <w:spacing w:line="300" w:lineRule="exact"/>
              <w:jc w:val="center"/>
              <w:rPr>
                <w:sz w:val="2"/>
                <w:szCs w:val="2"/>
              </w:rPr>
            </w:pPr>
          </w:p>
        </w:tc>
        <w:tc>
          <w:tcPr>
            <w:tcW w:w="1841" w:type="dxa"/>
            <w:vMerge w:val="restart"/>
            <w:vAlign w:val="center"/>
          </w:tcPr>
          <w:p w:rsidR="00240BCE" w:rsidRDefault="00AC0334" w:rsidP="00F76E27">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现状监测点位</w:t>
            </w:r>
          </w:p>
        </w:tc>
        <w:tc>
          <w:tcPr>
            <w:tcW w:w="1297"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c>
          <w:tcPr>
            <w:tcW w:w="1616"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占地范围内</w:t>
            </w:r>
          </w:p>
        </w:tc>
        <w:tc>
          <w:tcPr>
            <w:tcW w:w="1286"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占地范围外</w:t>
            </w:r>
          </w:p>
        </w:tc>
        <w:tc>
          <w:tcPr>
            <w:tcW w:w="1468"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深度</w:t>
            </w:r>
          </w:p>
        </w:tc>
        <w:tc>
          <w:tcPr>
            <w:tcW w:w="1136" w:type="dxa"/>
            <w:vMerge w:val="restart"/>
            <w:vAlign w:val="center"/>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点位布置图</w:t>
            </w:r>
          </w:p>
        </w:tc>
      </w:tr>
      <w:tr w:rsidR="00240BCE" w:rsidTr="00F76E27">
        <w:tc>
          <w:tcPr>
            <w:tcW w:w="433" w:type="dxa"/>
            <w:vMerge/>
            <w:tcBorders>
              <w:top w:val="nil"/>
            </w:tcBorders>
            <w:vAlign w:val="center"/>
          </w:tcPr>
          <w:p w:rsidR="00240BCE" w:rsidRDefault="00240BCE">
            <w:pPr>
              <w:adjustRightInd w:val="0"/>
              <w:snapToGrid w:val="0"/>
              <w:spacing w:line="300" w:lineRule="exact"/>
              <w:jc w:val="center"/>
              <w:rPr>
                <w:sz w:val="2"/>
                <w:szCs w:val="2"/>
              </w:rPr>
            </w:pPr>
          </w:p>
        </w:tc>
        <w:tc>
          <w:tcPr>
            <w:tcW w:w="1841" w:type="dxa"/>
            <w:vMerge/>
            <w:tcBorders>
              <w:top w:val="nil"/>
            </w:tcBorders>
            <w:vAlign w:val="center"/>
          </w:tcPr>
          <w:p w:rsidR="00240BCE" w:rsidRDefault="00240BCE" w:rsidP="00F76E27">
            <w:pPr>
              <w:adjustRightInd w:val="0"/>
              <w:snapToGrid w:val="0"/>
              <w:spacing w:line="300" w:lineRule="exact"/>
              <w:jc w:val="center"/>
              <w:rPr>
                <w:sz w:val="2"/>
                <w:szCs w:val="2"/>
              </w:rPr>
            </w:pPr>
          </w:p>
        </w:tc>
        <w:tc>
          <w:tcPr>
            <w:tcW w:w="1297" w:type="dxa"/>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表层样点数</w:t>
            </w:r>
          </w:p>
        </w:tc>
        <w:tc>
          <w:tcPr>
            <w:tcW w:w="1616" w:type="dxa"/>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4</w:t>
            </w:r>
          </w:p>
        </w:tc>
        <w:tc>
          <w:tcPr>
            <w:tcW w:w="1286" w:type="dxa"/>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2</w:t>
            </w:r>
          </w:p>
        </w:tc>
        <w:tc>
          <w:tcPr>
            <w:tcW w:w="1468" w:type="dxa"/>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0</w:t>
            </w:r>
            <w:r>
              <w:rPr>
                <w:rFonts w:ascii="Times New Roman" w:hAnsi="Times New Roman" w:cs="Times New Roman"/>
                <w:sz w:val="21"/>
              </w:rPr>
              <w:t>～</w:t>
            </w:r>
            <w:r>
              <w:rPr>
                <w:rFonts w:ascii="Times New Roman" w:hAnsi="Times New Roman" w:cs="Times New Roman"/>
                <w:sz w:val="21"/>
              </w:rPr>
              <w:t>20cm</w:t>
            </w:r>
          </w:p>
        </w:tc>
        <w:tc>
          <w:tcPr>
            <w:tcW w:w="1136" w:type="dxa"/>
            <w:vMerge/>
            <w:tcBorders>
              <w:top w:val="nil"/>
            </w:tcBorders>
          </w:tcPr>
          <w:p w:rsidR="00240BCE" w:rsidRDefault="00240BCE">
            <w:pPr>
              <w:adjustRightInd w:val="0"/>
              <w:snapToGrid w:val="0"/>
              <w:spacing w:line="300" w:lineRule="exact"/>
              <w:rPr>
                <w:sz w:val="2"/>
                <w:szCs w:val="2"/>
              </w:rPr>
            </w:pPr>
          </w:p>
        </w:tc>
      </w:tr>
      <w:tr w:rsidR="00240BCE" w:rsidTr="00F76E27">
        <w:tc>
          <w:tcPr>
            <w:tcW w:w="433" w:type="dxa"/>
            <w:vMerge/>
            <w:tcBorders>
              <w:top w:val="nil"/>
            </w:tcBorders>
            <w:vAlign w:val="center"/>
          </w:tcPr>
          <w:p w:rsidR="00240BCE" w:rsidRDefault="00240BCE">
            <w:pPr>
              <w:adjustRightInd w:val="0"/>
              <w:snapToGrid w:val="0"/>
              <w:spacing w:line="300" w:lineRule="exact"/>
              <w:jc w:val="center"/>
              <w:rPr>
                <w:sz w:val="2"/>
                <w:szCs w:val="2"/>
              </w:rPr>
            </w:pPr>
          </w:p>
        </w:tc>
        <w:tc>
          <w:tcPr>
            <w:tcW w:w="1841" w:type="dxa"/>
            <w:vMerge/>
            <w:tcBorders>
              <w:top w:val="nil"/>
            </w:tcBorders>
            <w:vAlign w:val="center"/>
          </w:tcPr>
          <w:p w:rsidR="00240BCE" w:rsidRDefault="00240BCE" w:rsidP="00F76E27">
            <w:pPr>
              <w:adjustRightInd w:val="0"/>
              <w:snapToGrid w:val="0"/>
              <w:spacing w:line="300" w:lineRule="exact"/>
              <w:jc w:val="center"/>
              <w:rPr>
                <w:sz w:val="2"/>
                <w:szCs w:val="2"/>
              </w:rPr>
            </w:pPr>
          </w:p>
        </w:tc>
        <w:tc>
          <w:tcPr>
            <w:tcW w:w="1297"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柱状样点数</w:t>
            </w:r>
          </w:p>
        </w:tc>
        <w:tc>
          <w:tcPr>
            <w:tcW w:w="1616" w:type="dxa"/>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3</w:t>
            </w:r>
          </w:p>
        </w:tc>
        <w:tc>
          <w:tcPr>
            <w:tcW w:w="1286" w:type="dxa"/>
          </w:tcPr>
          <w:p w:rsidR="00240BCE" w:rsidRDefault="00240BCE">
            <w:pPr>
              <w:pStyle w:val="TableParagraph"/>
              <w:adjustRightInd w:val="0"/>
              <w:snapToGrid w:val="0"/>
              <w:spacing w:line="300" w:lineRule="exact"/>
              <w:rPr>
                <w:rFonts w:ascii="Times New Roman" w:hAnsi="Times New Roman" w:cs="Times New Roman"/>
                <w:sz w:val="21"/>
              </w:rPr>
            </w:pPr>
          </w:p>
        </w:tc>
        <w:tc>
          <w:tcPr>
            <w:tcW w:w="1468" w:type="dxa"/>
          </w:tcPr>
          <w:p w:rsidR="00240BCE" w:rsidRDefault="00240BCE">
            <w:pPr>
              <w:pStyle w:val="TableParagraph"/>
              <w:adjustRightInd w:val="0"/>
              <w:snapToGrid w:val="0"/>
              <w:spacing w:line="300" w:lineRule="exact"/>
              <w:rPr>
                <w:rFonts w:ascii="Times New Roman" w:hAnsi="Times New Roman" w:cs="Times New Roman"/>
                <w:sz w:val="21"/>
              </w:rPr>
            </w:pPr>
          </w:p>
        </w:tc>
        <w:tc>
          <w:tcPr>
            <w:tcW w:w="1136" w:type="dxa"/>
            <w:vMerge/>
            <w:tcBorders>
              <w:top w:val="nil"/>
            </w:tcBorders>
          </w:tcPr>
          <w:p w:rsidR="00240BCE" w:rsidRDefault="00240BCE">
            <w:pPr>
              <w:adjustRightInd w:val="0"/>
              <w:snapToGrid w:val="0"/>
              <w:spacing w:line="300" w:lineRule="exact"/>
              <w:rPr>
                <w:sz w:val="2"/>
                <w:szCs w:val="2"/>
              </w:rPr>
            </w:pPr>
          </w:p>
        </w:tc>
      </w:tr>
      <w:tr w:rsidR="00240BCE" w:rsidTr="00F76E27">
        <w:tc>
          <w:tcPr>
            <w:tcW w:w="433" w:type="dxa"/>
            <w:vMerge/>
            <w:tcBorders>
              <w:top w:val="nil"/>
            </w:tcBorders>
            <w:vAlign w:val="center"/>
          </w:tcPr>
          <w:p w:rsidR="00240BCE" w:rsidRDefault="00240BCE">
            <w:pPr>
              <w:adjustRightInd w:val="0"/>
              <w:snapToGrid w:val="0"/>
              <w:spacing w:line="300" w:lineRule="exact"/>
              <w:jc w:val="center"/>
              <w:rPr>
                <w:sz w:val="2"/>
                <w:szCs w:val="2"/>
              </w:rPr>
            </w:pPr>
          </w:p>
        </w:tc>
        <w:tc>
          <w:tcPr>
            <w:tcW w:w="1841" w:type="dxa"/>
            <w:vAlign w:val="center"/>
          </w:tcPr>
          <w:p w:rsidR="00240BCE" w:rsidRDefault="00AC0334" w:rsidP="00F76E27">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现状监测因子</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sz w:val="21"/>
              </w:rPr>
              <w:t>GB/36600-2018</w:t>
            </w:r>
            <w:r w:rsidR="00470224">
              <w:rPr>
                <w:rFonts w:ascii="Times New Roman" w:hAnsi="Times New Roman" w:cs="Times New Roman"/>
                <w:sz w:val="21"/>
              </w:rPr>
              <w:t>）</w:t>
            </w:r>
            <w:r>
              <w:rPr>
                <w:rFonts w:ascii="Times New Roman" w:hAnsi="Times New Roman" w:cs="Times New Roman"/>
                <w:sz w:val="21"/>
              </w:rPr>
              <w:t>中基本项目，同时监测了</w:t>
            </w:r>
            <w:r>
              <w:rPr>
                <w:rFonts w:ascii="Times New Roman" w:hAnsi="Times New Roman" w:cs="Times New Roman"/>
                <w:sz w:val="21"/>
              </w:rPr>
              <w:t xml:space="preserve"> pH </w:t>
            </w:r>
            <w:r>
              <w:rPr>
                <w:rFonts w:ascii="Times New Roman" w:hAnsi="Times New Roman" w:cs="Times New Roman"/>
                <w:sz w:val="21"/>
              </w:rPr>
              <w:t>值和土壤含盐量等。</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val="restart"/>
            <w:vAlign w:val="center"/>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现状评价</w:t>
            </w: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评价因子</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同监测因子</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评价标准</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GB15618</w:t>
            </w:r>
            <w:r>
              <w:rPr>
                <w:rFonts w:ascii="Times New Roman" w:eastAsia="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GB36600</w:t>
            </w:r>
            <w:r>
              <w:rPr>
                <w:rFonts w:ascii="Times New Roman" w:eastAsia="Times New Roman" w:hAnsi="Times New Roman" w:cs="Times New Roman"/>
                <w:sz w:val="21"/>
              </w:rPr>
              <w:t>√</w:t>
            </w:r>
            <w:r>
              <w:rPr>
                <w:rFonts w:ascii="Times New Roman" w:hAnsi="Times New Roman" w:cs="Times New Roman"/>
                <w:sz w:val="21"/>
              </w:rPr>
              <w:t>；表</w:t>
            </w:r>
            <w:r>
              <w:rPr>
                <w:rFonts w:ascii="Times New Roman" w:hAnsi="Times New Roman" w:cs="Times New Roman"/>
                <w:sz w:val="21"/>
              </w:rPr>
              <w:t>D.1</w:t>
            </w:r>
            <w:r>
              <w:rPr>
                <w:rFonts w:ascii="Times New Roman" w:eastAsia="Wingdings" w:hAnsi="Times New Roman" w:cs="Times New Roman"/>
                <w:sz w:val="21"/>
              </w:rPr>
              <w:t></w:t>
            </w:r>
            <w:r>
              <w:rPr>
                <w:rFonts w:ascii="Times New Roman" w:hAnsi="Times New Roman" w:cs="Times New Roman"/>
                <w:sz w:val="21"/>
              </w:rPr>
              <w:t>；表</w:t>
            </w:r>
            <w:r>
              <w:rPr>
                <w:rFonts w:ascii="Times New Roman" w:hAnsi="Times New Roman" w:cs="Times New Roman"/>
                <w:sz w:val="21"/>
              </w:rPr>
              <w:t xml:space="preserve"> D.2</w:t>
            </w:r>
            <w:r>
              <w:rPr>
                <w:rFonts w:ascii="Times New Roman" w:eastAsia="Wingdings" w:hAnsi="Times New Roman" w:cs="Times New Roman"/>
                <w:sz w:val="21"/>
              </w:rPr>
              <w:t></w:t>
            </w:r>
            <w:r>
              <w:rPr>
                <w:rFonts w:ascii="Times New Roman" w:hAnsi="Times New Roman" w:cs="Times New Roman"/>
                <w:sz w:val="21"/>
              </w:rPr>
              <w:t>；其他（）</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现状评价结论</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pacing w:val="-5"/>
                <w:sz w:val="21"/>
              </w:rPr>
              <w:t>各监测点各监测项目均满足</w:t>
            </w:r>
            <w:r>
              <w:rPr>
                <w:rFonts w:ascii="Times New Roman" w:hAnsi="Times New Roman" w:cs="Times New Roman"/>
                <w:spacing w:val="-5"/>
                <w:sz w:val="21"/>
              </w:rPr>
              <w:t xml:space="preserve"> </w:t>
            </w:r>
            <w:r>
              <w:rPr>
                <w:rFonts w:ascii="Times New Roman" w:hAnsi="Times New Roman" w:cs="Times New Roman"/>
                <w:sz w:val="21"/>
              </w:rPr>
              <w:t>GB/36600-2018</w:t>
            </w:r>
            <w:r>
              <w:rPr>
                <w:rFonts w:ascii="Times New Roman" w:hAnsi="Times New Roman" w:cs="Times New Roman"/>
                <w:sz w:val="21"/>
              </w:rPr>
              <w:t>中风险筛选值</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val="restart"/>
            <w:vAlign w:val="center"/>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影响预测</w:t>
            </w: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预测因子</w:t>
            </w:r>
          </w:p>
        </w:tc>
        <w:tc>
          <w:tcPr>
            <w:tcW w:w="5667" w:type="dxa"/>
            <w:gridSpan w:val="4"/>
          </w:tcPr>
          <w:p w:rsidR="00240BCE" w:rsidRDefault="00240BCE">
            <w:pPr>
              <w:pStyle w:val="TableParagraph"/>
              <w:adjustRightInd w:val="0"/>
              <w:snapToGrid w:val="0"/>
              <w:spacing w:line="300" w:lineRule="exact"/>
              <w:jc w:val="both"/>
              <w:rPr>
                <w:rFonts w:ascii="Times New Roman" w:hAnsi="Times New Roman" w:cs="Times New Roman"/>
                <w:sz w:val="20"/>
              </w:rPr>
            </w:pP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vAlign w:val="center"/>
          </w:tcPr>
          <w:p w:rsidR="00240BCE" w:rsidRDefault="00240BCE">
            <w:pPr>
              <w:adjustRightInd w:val="0"/>
              <w:snapToGrid w:val="0"/>
              <w:spacing w:line="300" w:lineRule="exact"/>
              <w:jc w:val="center"/>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预测方法</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附录</w:t>
            </w:r>
            <w:r>
              <w:rPr>
                <w:rFonts w:ascii="Times New Roman" w:hAnsi="Times New Roman" w:cs="Times New Roman"/>
                <w:sz w:val="21"/>
              </w:rPr>
              <w:t xml:space="preserve"> E</w:t>
            </w:r>
            <w:r>
              <w:rPr>
                <w:rFonts w:ascii="Times New Roman" w:eastAsia="Wingdings" w:hAnsi="Times New Roman" w:cs="Times New Roman"/>
                <w:sz w:val="21"/>
              </w:rPr>
              <w:t></w:t>
            </w:r>
            <w:r>
              <w:rPr>
                <w:rFonts w:ascii="Times New Roman" w:hAnsi="Times New Roman" w:cs="Times New Roman"/>
                <w:sz w:val="21"/>
              </w:rPr>
              <w:t>；附录</w:t>
            </w:r>
            <w:r>
              <w:rPr>
                <w:rFonts w:ascii="Times New Roman" w:hAnsi="Times New Roman" w:cs="Times New Roman"/>
                <w:sz w:val="21"/>
              </w:rPr>
              <w:t xml:space="preserve"> F</w:t>
            </w:r>
            <w:r>
              <w:rPr>
                <w:rFonts w:ascii="Times New Roman" w:eastAsia="Wingdings" w:hAnsi="Times New Roman" w:cs="Times New Roman"/>
                <w:sz w:val="21"/>
              </w:rPr>
              <w:t></w:t>
            </w:r>
            <w:r>
              <w:rPr>
                <w:rFonts w:ascii="Times New Roman" w:hAnsi="Times New Roman" w:cs="Times New Roman"/>
                <w:sz w:val="21"/>
              </w:rPr>
              <w:t>；其他（）</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vAlign w:val="center"/>
          </w:tcPr>
          <w:p w:rsidR="00240BCE" w:rsidRDefault="00240BCE">
            <w:pPr>
              <w:adjustRightInd w:val="0"/>
              <w:snapToGrid w:val="0"/>
              <w:spacing w:line="300" w:lineRule="exact"/>
              <w:jc w:val="center"/>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预测分析内容</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影响范围（）</w:t>
            </w:r>
          </w:p>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影响程度（）</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vAlign w:val="center"/>
          </w:tcPr>
          <w:p w:rsidR="00240BCE" w:rsidRDefault="00240BCE">
            <w:pPr>
              <w:adjustRightInd w:val="0"/>
              <w:snapToGrid w:val="0"/>
              <w:spacing w:line="300" w:lineRule="exact"/>
              <w:jc w:val="center"/>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预测结论</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达标结论：</w:t>
            </w:r>
            <w:r>
              <w:rPr>
                <w:rFonts w:ascii="Times New Roman" w:hAnsi="Times New Roman" w:cs="Times New Roman"/>
                <w:sz w:val="21"/>
              </w:rPr>
              <w:t>a</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b</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c</w:t>
            </w:r>
            <w:r>
              <w:rPr>
                <w:rFonts w:ascii="Times New Roman" w:hAnsi="Times New Roman" w:cs="Times New Roman"/>
                <w:sz w:val="21"/>
              </w:rPr>
              <w:t>）</w:t>
            </w:r>
            <w:r>
              <w:rPr>
                <w:rFonts w:ascii="Times New Roman" w:hAnsi="Times New Roman" w:cs="Times New Roman"/>
                <w:sz w:val="21"/>
              </w:rPr>
              <w:t></w:t>
            </w:r>
          </w:p>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不达标结论：</w:t>
            </w:r>
            <w:r>
              <w:rPr>
                <w:rFonts w:ascii="Times New Roman" w:hAnsi="Times New Roman" w:cs="Times New Roman"/>
                <w:sz w:val="21"/>
              </w:rPr>
              <w:t>a</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b</w:t>
            </w:r>
            <w:r>
              <w:rPr>
                <w:rFonts w:ascii="Times New Roman" w:hAnsi="Times New Roman" w:cs="Times New Roman"/>
                <w:sz w:val="21"/>
              </w:rPr>
              <w:t>）</w:t>
            </w:r>
            <w:r>
              <w:rPr>
                <w:rFonts w:ascii="Times New Roman" w:hAnsi="Times New Roman" w:cs="Times New Roman"/>
                <w:sz w:val="21"/>
              </w:rPr>
              <w:t></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val="restart"/>
            <w:vAlign w:val="center"/>
          </w:tcPr>
          <w:p w:rsidR="00240BCE" w:rsidRDefault="00AC0334">
            <w:pPr>
              <w:pStyle w:val="TableParagraph"/>
              <w:adjustRightInd w:val="0"/>
              <w:snapToGrid w:val="0"/>
              <w:spacing w:line="300" w:lineRule="exact"/>
              <w:rPr>
                <w:rFonts w:ascii="Times New Roman" w:hAnsi="Times New Roman" w:cs="Times New Roman"/>
                <w:sz w:val="21"/>
              </w:rPr>
            </w:pPr>
            <w:r>
              <w:rPr>
                <w:rFonts w:ascii="Times New Roman" w:hAnsi="Times New Roman" w:cs="Times New Roman"/>
                <w:sz w:val="21"/>
              </w:rPr>
              <w:t>防治措施</w:t>
            </w: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防控措施</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土壤环境质量现状保障</w:t>
            </w:r>
            <w:r>
              <w:rPr>
                <w:rFonts w:ascii="Times New Roman" w:eastAsia="Times New Roman" w:hAnsi="Times New Roman" w:cs="Times New Roman"/>
                <w:sz w:val="21"/>
              </w:rPr>
              <w:t>√</w:t>
            </w:r>
            <w:r>
              <w:rPr>
                <w:rFonts w:ascii="Times New Roman" w:hAnsi="Times New Roman" w:cs="Times New Roman"/>
                <w:spacing w:val="-7"/>
                <w:sz w:val="21"/>
              </w:rPr>
              <w:t>；源头控制</w:t>
            </w:r>
            <w:r>
              <w:rPr>
                <w:rFonts w:ascii="Times New Roman" w:eastAsia="Times New Roman" w:hAnsi="Times New Roman" w:cs="Times New Roman"/>
                <w:sz w:val="21"/>
              </w:rPr>
              <w:t>√</w:t>
            </w:r>
            <w:r>
              <w:rPr>
                <w:rFonts w:ascii="Times New Roman" w:hAnsi="Times New Roman" w:cs="Times New Roman"/>
                <w:spacing w:val="-7"/>
                <w:sz w:val="21"/>
              </w:rPr>
              <w:t>；过程防控</w:t>
            </w:r>
            <w:r>
              <w:rPr>
                <w:rFonts w:ascii="Times New Roman" w:eastAsia="Times New Roman" w:hAnsi="Times New Roman" w:cs="Times New Roman"/>
                <w:sz w:val="21"/>
              </w:rPr>
              <w:t>√</w:t>
            </w:r>
            <w:r>
              <w:rPr>
                <w:rFonts w:ascii="Times New Roman" w:hAnsi="Times New Roman" w:cs="Times New Roman"/>
                <w:spacing w:val="-30"/>
                <w:sz w:val="21"/>
              </w:rPr>
              <w:t>；其他</w:t>
            </w:r>
            <w:r>
              <w:rPr>
                <w:rFonts w:ascii="Times New Roman" w:hAnsi="Times New Roman" w:cs="Times New Roman"/>
                <w:sz w:val="21"/>
              </w:rPr>
              <w:t>（</w:t>
            </w:r>
            <w:r>
              <w:rPr>
                <w:rFonts w:ascii="Times New Roman" w:hAnsi="Times New Roman" w:cs="Times New Roman"/>
                <w:sz w:val="21"/>
              </w:rPr>
              <w:t></w:t>
            </w:r>
          </w:p>
        </w:tc>
        <w:tc>
          <w:tcPr>
            <w:tcW w:w="1136"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w:t>
            </w: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vMerge w:val="restart"/>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跟踪监测</w:t>
            </w:r>
          </w:p>
        </w:tc>
        <w:tc>
          <w:tcPr>
            <w:tcW w:w="1297"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监测点数</w:t>
            </w:r>
          </w:p>
        </w:tc>
        <w:tc>
          <w:tcPr>
            <w:tcW w:w="2902" w:type="dxa"/>
            <w:gridSpan w:val="2"/>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监测指标</w:t>
            </w:r>
          </w:p>
        </w:tc>
        <w:tc>
          <w:tcPr>
            <w:tcW w:w="1468"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监测频次</w:t>
            </w:r>
          </w:p>
        </w:tc>
        <w:tc>
          <w:tcPr>
            <w:tcW w:w="1136" w:type="dxa"/>
            <w:vMerge w:val="restart"/>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vMerge/>
            <w:tcBorders>
              <w:top w:val="nil"/>
            </w:tcBorders>
          </w:tcPr>
          <w:p w:rsidR="00240BCE" w:rsidRDefault="00240BCE">
            <w:pPr>
              <w:adjustRightInd w:val="0"/>
              <w:snapToGrid w:val="0"/>
              <w:spacing w:line="300" w:lineRule="exact"/>
              <w:rPr>
                <w:sz w:val="2"/>
                <w:szCs w:val="2"/>
              </w:rPr>
            </w:pPr>
          </w:p>
        </w:tc>
        <w:tc>
          <w:tcPr>
            <w:tcW w:w="1297"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c>
          <w:tcPr>
            <w:tcW w:w="2902" w:type="dxa"/>
            <w:gridSpan w:val="2"/>
          </w:tcPr>
          <w:p w:rsidR="00240BCE" w:rsidRDefault="00240BCE">
            <w:pPr>
              <w:pStyle w:val="TableParagraph"/>
              <w:adjustRightInd w:val="0"/>
              <w:snapToGrid w:val="0"/>
              <w:spacing w:line="300" w:lineRule="exact"/>
              <w:jc w:val="both"/>
              <w:rPr>
                <w:rFonts w:ascii="Times New Roman" w:hAnsi="Times New Roman" w:cs="Times New Roman"/>
                <w:sz w:val="20"/>
              </w:rPr>
            </w:pPr>
          </w:p>
        </w:tc>
        <w:tc>
          <w:tcPr>
            <w:tcW w:w="1468"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c>
          <w:tcPr>
            <w:tcW w:w="1136" w:type="dxa"/>
            <w:vMerge/>
            <w:tcBorders>
              <w:top w:val="nil"/>
            </w:tcBorders>
          </w:tcPr>
          <w:p w:rsidR="00240BCE" w:rsidRDefault="00240BCE">
            <w:pPr>
              <w:adjustRightInd w:val="0"/>
              <w:snapToGrid w:val="0"/>
              <w:spacing w:line="300" w:lineRule="exact"/>
              <w:rPr>
                <w:sz w:val="2"/>
                <w:szCs w:val="2"/>
              </w:rPr>
            </w:pPr>
          </w:p>
        </w:tc>
      </w:tr>
      <w:tr w:rsidR="00240BCE">
        <w:tc>
          <w:tcPr>
            <w:tcW w:w="433" w:type="dxa"/>
            <w:vMerge/>
            <w:tcBorders>
              <w:top w:val="nil"/>
            </w:tcBorders>
          </w:tcPr>
          <w:p w:rsidR="00240BCE" w:rsidRDefault="00240BCE">
            <w:pPr>
              <w:adjustRightInd w:val="0"/>
              <w:snapToGrid w:val="0"/>
              <w:spacing w:line="300" w:lineRule="exact"/>
              <w:rPr>
                <w:sz w:val="2"/>
                <w:szCs w:val="2"/>
              </w:rPr>
            </w:pPr>
          </w:p>
        </w:tc>
        <w:tc>
          <w:tcPr>
            <w:tcW w:w="1841" w:type="dxa"/>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信息公开指标</w:t>
            </w:r>
          </w:p>
        </w:tc>
        <w:tc>
          <w:tcPr>
            <w:tcW w:w="5667" w:type="dxa"/>
            <w:gridSpan w:val="4"/>
          </w:tcPr>
          <w:p w:rsidR="00240BCE" w:rsidRDefault="00240BCE">
            <w:pPr>
              <w:pStyle w:val="TableParagraph"/>
              <w:adjustRightInd w:val="0"/>
              <w:snapToGrid w:val="0"/>
              <w:spacing w:line="300" w:lineRule="exact"/>
              <w:jc w:val="both"/>
              <w:rPr>
                <w:rFonts w:ascii="Times New Roman" w:hAnsi="Times New Roman" w:cs="Times New Roman"/>
                <w:sz w:val="20"/>
              </w:rPr>
            </w:pPr>
          </w:p>
        </w:tc>
        <w:tc>
          <w:tcPr>
            <w:tcW w:w="1136" w:type="dxa"/>
            <w:vMerge/>
            <w:tcBorders>
              <w:top w:val="nil"/>
            </w:tcBorders>
          </w:tcPr>
          <w:p w:rsidR="00240BCE" w:rsidRDefault="00240BCE">
            <w:pPr>
              <w:adjustRightInd w:val="0"/>
              <w:snapToGrid w:val="0"/>
              <w:spacing w:line="300" w:lineRule="exact"/>
              <w:rPr>
                <w:sz w:val="2"/>
                <w:szCs w:val="2"/>
              </w:rPr>
            </w:pPr>
          </w:p>
        </w:tc>
      </w:tr>
      <w:tr w:rsidR="00240BCE">
        <w:tc>
          <w:tcPr>
            <w:tcW w:w="2274" w:type="dxa"/>
            <w:gridSpan w:val="2"/>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评价结论</w:t>
            </w:r>
          </w:p>
        </w:tc>
        <w:tc>
          <w:tcPr>
            <w:tcW w:w="5667" w:type="dxa"/>
            <w:gridSpan w:val="4"/>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采取环评提出的措施，影响可接受。</w:t>
            </w:r>
          </w:p>
        </w:tc>
        <w:tc>
          <w:tcPr>
            <w:tcW w:w="1136" w:type="dxa"/>
          </w:tcPr>
          <w:p w:rsidR="00240BCE" w:rsidRDefault="00240BCE">
            <w:pPr>
              <w:pStyle w:val="TableParagraph"/>
              <w:adjustRightInd w:val="0"/>
              <w:snapToGrid w:val="0"/>
              <w:spacing w:line="300" w:lineRule="exact"/>
              <w:jc w:val="both"/>
              <w:rPr>
                <w:rFonts w:ascii="Times New Roman" w:hAnsi="Times New Roman" w:cs="Times New Roman"/>
                <w:sz w:val="20"/>
              </w:rPr>
            </w:pPr>
          </w:p>
        </w:tc>
      </w:tr>
      <w:tr w:rsidR="00240BCE">
        <w:tc>
          <w:tcPr>
            <w:tcW w:w="9077" w:type="dxa"/>
            <w:gridSpan w:val="7"/>
          </w:tcPr>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注</w:t>
            </w:r>
            <w:r>
              <w:rPr>
                <w:rFonts w:ascii="Times New Roman" w:hAnsi="Times New Roman" w:cs="Times New Roman"/>
                <w:sz w:val="21"/>
              </w:rPr>
              <w:t xml:space="preserve"> 1</w:t>
            </w:r>
            <w:r>
              <w:rPr>
                <w:rFonts w:ascii="Times New Roman" w:hAnsi="Times New Roman" w:cs="Times New Roman"/>
                <w:sz w:val="21"/>
              </w:rPr>
              <w:t>：</w:t>
            </w:r>
            <w:r>
              <w:rPr>
                <w:rFonts w:ascii="Times New Roman" w:eastAsia="Times New Roman" w:hAnsi="Times New Roman" w:cs="Times New Roman"/>
                <w:sz w:val="21"/>
              </w:rPr>
              <w:t>“</w:t>
            </w:r>
            <w:r>
              <w:rPr>
                <w:rFonts w:ascii="Times New Roman" w:eastAsia="Wingdings" w:hAnsi="Times New Roman" w:cs="Times New Roman"/>
                <w:sz w:val="21"/>
              </w:rPr>
              <w:t></w:t>
            </w:r>
            <w:r>
              <w:rPr>
                <w:rFonts w:ascii="Times New Roman" w:eastAsia="Times New Roman" w:hAnsi="Times New Roman" w:cs="Times New Roman"/>
                <w:sz w:val="21"/>
              </w:rPr>
              <w:t>”</w:t>
            </w:r>
            <w:r>
              <w:rPr>
                <w:rFonts w:ascii="Times New Roman" w:hAnsi="Times New Roman" w:cs="Times New Roman"/>
                <w:sz w:val="21"/>
              </w:rPr>
              <w:t>为勾选项，可</w:t>
            </w:r>
            <w:r>
              <w:rPr>
                <w:rFonts w:ascii="Times New Roman" w:eastAsia="Times New Roman" w:hAnsi="Times New Roman" w:cs="Times New Roman"/>
                <w:sz w:val="21"/>
              </w:rPr>
              <w:t>√</w:t>
            </w:r>
            <w:r>
              <w:rPr>
                <w:rFonts w:ascii="Times New Roman" w:hAnsi="Times New Roman" w:cs="Times New Roman"/>
                <w:sz w:val="21"/>
              </w:rPr>
              <w:t>；</w:t>
            </w:r>
            <w:r>
              <w:rPr>
                <w:rFonts w:ascii="Times New Roman" w:eastAsia="Times New Roman" w:hAnsi="Times New Roman" w:cs="Times New Roman"/>
                <w:sz w:val="21"/>
              </w:rPr>
              <w:t>“</w:t>
            </w:r>
            <w:r>
              <w:rPr>
                <w:rFonts w:ascii="Times New Roman" w:hAnsi="Times New Roman" w:cs="Times New Roman"/>
                <w:sz w:val="21"/>
              </w:rPr>
              <w:t>（）</w:t>
            </w:r>
            <w:r>
              <w:rPr>
                <w:rFonts w:ascii="Times New Roman" w:eastAsia="Times New Roman" w:hAnsi="Times New Roman" w:cs="Times New Roman"/>
                <w:sz w:val="21"/>
              </w:rPr>
              <w:t>”</w:t>
            </w:r>
            <w:r>
              <w:rPr>
                <w:rFonts w:ascii="Times New Roman" w:hAnsi="Times New Roman" w:cs="Times New Roman"/>
                <w:sz w:val="21"/>
              </w:rPr>
              <w:t>为内容填写项；</w:t>
            </w:r>
            <w:r>
              <w:rPr>
                <w:rFonts w:ascii="Times New Roman" w:eastAsia="Times New Roman" w:hAnsi="Times New Roman" w:cs="Times New Roman"/>
                <w:sz w:val="21"/>
              </w:rPr>
              <w:t>“</w:t>
            </w:r>
            <w:r>
              <w:rPr>
                <w:rFonts w:ascii="Times New Roman" w:hAnsi="Times New Roman" w:cs="Times New Roman"/>
                <w:sz w:val="21"/>
              </w:rPr>
              <w:t>备注</w:t>
            </w:r>
            <w:r>
              <w:rPr>
                <w:rFonts w:ascii="Times New Roman" w:eastAsia="Times New Roman" w:hAnsi="Times New Roman" w:cs="Times New Roman"/>
                <w:sz w:val="21"/>
              </w:rPr>
              <w:t>”</w:t>
            </w:r>
            <w:r>
              <w:rPr>
                <w:rFonts w:ascii="Times New Roman" w:hAnsi="Times New Roman" w:cs="Times New Roman"/>
                <w:sz w:val="21"/>
              </w:rPr>
              <w:t>为其他补充内容。</w:t>
            </w:r>
          </w:p>
          <w:p w:rsidR="00240BCE" w:rsidRDefault="00AC0334">
            <w:pPr>
              <w:pStyle w:val="TableParagraph"/>
              <w:adjustRightInd w:val="0"/>
              <w:snapToGrid w:val="0"/>
              <w:spacing w:line="300" w:lineRule="exact"/>
              <w:jc w:val="both"/>
              <w:rPr>
                <w:rFonts w:ascii="Times New Roman" w:hAnsi="Times New Roman" w:cs="Times New Roman"/>
                <w:sz w:val="21"/>
              </w:rPr>
            </w:pPr>
            <w:r>
              <w:rPr>
                <w:rFonts w:ascii="Times New Roman" w:hAnsi="Times New Roman" w:cs="Times New Roman"/>
                <w:sz w:val="21"/>
              </w:rPr>
              <w:t>注</w:t>
            </w:r>
            <w:r>
              <w:rPr>
                <w:rFonts w:ascii="Times New Roman" w:hAnsi="Times New Roman" w:cs="Times New Roman"/>
                <w:sz w:val="21"/>
              </w:rPr>
              <w:t xml:space="preserve"> 2</w:t>
            </w:r>
            <w:r>
              <w:rPr>
                <w:rFonts w:ascii="Times New Roman" w:hAnsi="Times New Roman" w:cs="Times New Roman"/>
                <w:sz w:val="21"/>
              </w:rPr>
              <w:t>：需要分别开展土壤环境影响评级工作，分别填写自查表。</w:t>
            </w:r>
          </w:p>
        </w:tc>
      </w:tr>
    </w:tbl>
    <w:p w:rsidR="00240BCE" w:rsidRDefault="00AC0334" w:rsidP="009C5F33">
      <w:pPr>
        <w:pStyle w:val="2"/>
        <w:adjustRightInd w:val="0"/>
        <w:snapToGrid w:val="0"/>
        <w:spacing w:beforeLines="100" w:afterLines="50" w:line="240" w:lineRule="auto"/>
        <w:jc w:val="left"/>
        <w:rPr>
          <w:rStyle w:val="15f"/>
          <w:rFonts w:eastAsia="宋体"/>
          <w:bCs/>
          <w:color w:val="auto"/>
          <w:szCs w:val="32"/>
          <w:u w:val="none"/>
        </w:rPr>
      </w:pPr>
      <w:bookmarkStart w:id="792" w:name="_Toc24364302"/>
      <w:bookmarkStart w:id="793" w:name="_Toc37253446"/>
      <w:bookmarkStart w:id="794" w:name="_Toc79668718"/>
      <w:bookmarkStart w:id="795" w:name="_Toc6230_WPSOffice_Level2"/>
      <w:bookmarkStart w:id="796" w:name="_Toc81934392"/>
      <w:bookmarkEnd w:id="792"/>
      <w:r>
        <w:rPr>
          <w:rStyle w:val="15f"/>
          <w:rFonts w:eastAsia="宋体"/>
          <w:bCs/>
          <w:color w:val="auto"/>
          <w:szCs w:val="32"/>
          <w:u w:val="none"/>
        </w:rPr>
        <w:lastRenderedPageBreak/>
        <w:t>6.7</w:t>
      </w:r>
      <w:r>
        <w:rPr>
          <w:rStyle w:val="15f"/>
          <w:rFonts w:eastAsia="宋体"/>
          <w:bCs/>
          <w:color w:val="auto"/>
          <w:szCs w:val="32"/>
          <w:u w:val="none"/>
        </w:rPr>
        <w:t>环境风险</w:t>
      </w:r>
      <w:bookmarkEnd w:id="793"/>
      <w:r>
        <w:rPr>
          <w:rStyle w:val="15f"/>
          <w:rFonts w:eastAsia="宋体"/>
          <w:bCs/>
          <w:color w:val="auto"/>
          <w:szCs w:val="32"/>
          <w:u w:val="none"/>
        </w:rPr>
        <w:t>评价</w:t>
      </w:r>
      <w:bookmarkEnd w:id="794"/>
      <w:bookmarkEnd w:id="795"/>
      <w:bookmarkEnd w:id="796"/>
    </w:p>
    <w:p w:rsidR="00240BCE" w:rsidRDefault="00AC0334">
      <w:pPr>
        <w:spacing w:line="520" w:lineRule="exact"/>
        <w:ind w:firstLineChars="200" w:firstLine="480"/>
        <w:rPr>
          <w:sz w:val="24"/>
        </w:rPr>
      </w:pPr>
      <w:r>
        <w:rPr>
          <w:sz w:val="24"/>
        </w:rPr>
        <w:t>根据《建设项目环境风险评价技术导则》（</w:t>
      </w:r>
      <w:r>
        <w:rPr>
          <w:sz w:val="24"/>
        </w:rPr>
        <w:t>HJ169-2018</w:t>
      </w:r>
      <w:r>
        <w:rPr>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240BCE" w:rsidRDefault="00AC0334">
      <w:pPr>
        <w:spacing w:line="520" w:lineRule="exact"/>
        <w:ind w:firstLineChars="200" w:firstLine="480"/>
        <w:rPr>
          <w:sz w:val="24"/>
        </w:rPr>
      </w:pPr>
      <w:r>
        <w:rPr>
          <w:sz w:val="24"/>
        </w:rPr>
        <w:t>根据《建设项目环境风险评价技术导则》（</w:t>
      </w:r>
      <w:r>
        <w:rPr>
          <w:sz w:val="24"/>
        </w:rPr>
        <w:t>HJ169-2018</w:t>
      </w:r>
      <w:r>
        <w:rPr>
          <w:sz w:val="24"/>
        </w:rPr>
        <w:t>），本项目的风险潜势判定为</w:t>
      </w:r>
      <w:r>
        <w:rPr>
          <w:sz w:val="24"/>
        </w:rPr>
        <w:t>Ⅰ</w:t>
      </w:r>
      <w:r>
        <w:rPr>
          <w:sz w:val="24"/>
        </w:rPr>
        <w:t>，环境风险可开展简单分析。</w:t>
      </w:r>
    </w:p>
    <w:p w:rsidR="00240BCE" w:rsidRDefault="00AC0334" w:rsidP="009C5F33">
      <w:pPr>
        <w:pStyle w:val="30"/>
        <w:adjustRightInd w:val="0"/>
        <w:snapToGrid w:val="0"/>
        <w:spacing w:beforeLines="70" w:afterLines="30" w:line="240" w:lineRule="auto"/>
        <w:jc w:val="left"/>
        <w:rPr>
          <w:rFonts w:eastAsia="楷体"/>
          <w:sz w:val="28"/>
          <w:szCs w:val="28"/>
        </w:rPr>
      </w:pPr>
      <w:bookmarkStart w:id="797" w:name="_Toc79668719"/>
      <w:bookmarkStart w:id="798" w:name="_Toc18209_WPSOffice_Level3"/>
      <w:r>
        <w:rPr>
          <w:rFonts w:eastAsia="楷体"/>
          <w:sz w:val="28"/>
          <w:szCs w:val="28"/>
        </w:rPr>
        <w:t xml:space="preserve">6.7.1 </w:t>
      </w:r>
      <w:r>
        <w:rPr>
          <w:rFonts w:eastAsia="楷体"/>
          <w:sz w:val="28"/>
          <w:szCs w:val="28"/>
        </w:rPr>
        <w:t>评价依据</w:t>
      </w:r>
      <w:bookmarkEnd w:id="797"/>
      <w:bookmarkEnd w:id="798"/>
    </w:p>
    <w:p w:rsidR="00240BCE" w:rsidRDefault="00AC0334">
      <w:pPr>
        <w:spacing w:line="520" w:lineRule="exact"/>
        <w:ind w:firstLineChars="200" w:firstLine="480"/>
        <w:rPr>
          <w:sz w:val="24"/>
        </w:rPr>
      </w:pPr>
      <w:r>
        <w:rPr>
          <w:sz w:val="24"/>
        </w:rPr>
        <w:t>（</w:t>
      </w:r>
      <w:r>
        <w:rPr>
          <w:sz w:val="24"/>
        </w:rPr>
        <w:t>1</w:t>
      </w:r>
      <w:r>
        <w:rPr>
          <w:sz w:val="24"/>
        </w:rPr>
        <w:t>）风险调查</w:t>
      </w:r>
    </w:p>
    <w:p w:rsidR="00CC503E" w:rsidRDefault="00AC0334">
      <w:pPr>
        <w:spacing w:line="520" w:lineRule="exact"/>
        <w:ind w:firstLineChars="200" w:firstLine="480"/>
        <w:rPr>
          <w:sz w:val="24"/>
        </w:rPr>
      </w:pPr>
      <w:r>
        <w:rPr>
          <w:color w:val="000000"/>
          <w:kern w:val="0"/>
          <w:sz w:val="24"/>
        </w:rPr>
        <w:t>环境风险评价主要是针对有毒有害和易燃易爆危险物质生产、使用、储存（包括使用管线输运）的建设项目可能发生的突发性事故（不包括人为破坏及自然灾害引发的事故）的环境风险评价。</w:t>
      </w:r>
      <w:r>
        <w:rPr>
          <w:bCs/>
          <w:iCs/>
          <w:color w:val="000000"/>
          <w:sz w:val="24"/>
        </w:rPr>
        <w:t>本工程为煤矿开采，不涉及有毒有害物质生产、使用、储存。</w:t>
      </w:r>
      <w:r>
        <w:rPr>
          <w:sz w:val="24"/>
        </w:rPr>
        <w:t>煤矿煤尘爆炸、井下瓦斯爆炸、井下突水、井下透水、地面崩塌、陷落、泥石流、地面爆破器材库爆炸等均属于生产安全风险和矿山地质灾害，建设单位均按照有关要求进行专项评价，</w:t>
      </w:r>
      <w:r w:rsidR="00F118E7">
        <w:rPr>
          <w:rFonts w:hint="eastAsia"/>
          <w:sz w:val="24"/>
        </w:rPr>
        <w:t>且根据</w:t>
      </w:r>
      <w:r w:rsidR="00F118E7">
        <w:rPr>
          <w:sz w:val="24"/>
        </w:rPr>
        <w:t>《建设项目环境风险评价技术导则》（</w:t>
      </w:r>
      <w:r w:rsidR="00F118E7">
        <w:rPr>
          <w:sz w:val="24"/>
        </w:rPr>
        <w:t>HJ169-2018</w:t>
      </w:r>
      <w:r w:rsidR="00F118E7">
        <w:rPr>
          <w:sz w:val="24"/>
        </w:rPr>
        <w:t>）</w:t>
      </w:r>
      <w:r w:rsidR="00CC503E">
        <w:rPr>
          <w:rFonts w:hint="eastAsia"/>
          <w:sz w:val="24"/>
        </w:rPr>
        <w:t>，</w:t>
      </w:r>
      <w:r w:rsidR="00CC503E">
        <w:rPr>
          <w:sz w:val="24"/>
        </w:rPr>
        <w:t>煤矿煤尘爆炸、井下瓦斯爆炸、井下突水、井下透水、地面崩塌、陷落、泥石流、地面爆破器材库爆炸</w:t>
      </w:r>
      <w:r w:rsidR="00CC503E">
        <w:rPr>
          <w:rFonts w:hint="eastAsia"/>
          <w:sz w:val="24"/>
        </w:rPr>
        <w:t>等不在建设项目环境风险评价范围内，</w:t>
      </w:r>
      <w:r>
        <w:rPr>
          <w:sz w:val="24"/>
        </w:rPr>
        <w:t>本次不在评价这类专项风险。</w:t>
      </w:r>
    </w:p>
    <w:p w:rsidR="00240BCE" w:rsidRDefault="00AC0334">
      <w:pPr>
        <w:spacing w:line="520" w:lineRule="exact"/>
        <w:ind w:firstLineChars="200" w:firstLine="480"/>
        <w:rPr>
          <w:sz w:val="24"/>
        </w:rPr>
      </w:pPr>
      <w:r>
        <w:rPr>
          <w:sz w:val="24"/>
        </w:rPr>
        <w:t>根据《建设项目环境风险评价技术导则》（</w:t>
      </w:r>
      <w:r>
        <w:rPr>
          <w:sz w:val="24"/>
        </w:rPr>
        <w:t>HJ169-2018</w:t>
      </w:r>
      <w:r>
        <w:rPr>
          <w:sz w:val="24"/>
        </w:rPr>
        <w:t>）和《环境影响评价技术导则</w:t>
      </w:r>
      <w:r>
        <w:rPr>
          <w:sz w:val="24"/>
        </w:rPr>
        <w:t xml:space="preserve"> </w:t>
      </w:r>
      <w:r>
        <w:rPr>
          <w:sz w:val="24"/>
        </w:rPr>
        <w:t>煤炭采选工程》（</w:t>
      </w:r>
      <w:r>
        <w:rPr>
          <w:sz w:val="24"/>
        </w:rPr>
        <w:t>HJ619-2011</w:t>
      </w:r>
      <w:r>
        <w:rPr>
          <w:sz w:val="24"/>
        </w:rPr>
        <w:t>），煤炭采选工程环境风险类型主要包括煤矸石堆置场溃坝、露天矿排土场滑坡、瓦斯储罐泄漏引起的爆炸以及环境空气风险、地表水环境风险、地下水环境风险。</w:t>
      </w:r>
    </w:p>
    <w:p w:rsidR="00240BCE" w:rsidRDefault="00AC0334">
      <w:pPr>
        <w:spacing w:line="520" w:lineRule="exact"/>
        <w:ind w:firstLineChars="200" w:firstLine="480"/>
        <w:rPr>
          <w:b/>
          <w:spacing w:val="2"/>
          <w:sz w:val="24"/>
          <w:u w:val="single"/>
        </w:rPr>
      </w:pPr>
      <w:r>
        <w:rPr>
          <w:sz w:val="24"/>
        </w:rPr>
        <w:t>根据调查，项目属于井工开采，无露天排土场；煤矸石量少，分拣后直接装车外运制砖；本项目属于低瓦斯矿井，不设置瓦斯抽排，无瓦斯储罐。因此本项目主要的风险为粉尘治理工程异常造成环境空气超标风险；矿井涌水、生活污水治理工</w:t>
      </w:r>
      <w:r>
        <w:rPr>
          <w:sz w:val="24"/>
        </w:rPr>
        <w:lastRenderedPageBreak/>
        <w:t>程异常造成地表水、地下水超标的风险。</w:t>
      </w:r>
    </w:p>
    <w:p w:rsidR="00240BCE" w:rsidRDefault="00AC0334">
      <w:pPr>
        <w:spacing w:line="520" w:lineRule="exact"/>
        <w:ind w:firstLineChars="200" w:firstLine="480"/>
        <w:rPr>
          <w:sz w:val="24"/>
        </w:rPr>
      </w:pPr>
      <w:r>
        <w:rPr>
          <w:sz w:val="24"/>
        </w:rPr>
        <w:t>（</w:t>
      </w:r>
      <w:r>
        <w:rPr>
          <w:sz w:val="24"/>
        </w:rPr>
        <w:t>2</w:t>
      </w:r>
      <w:r>
        <w:rPr>
          <w:sz w:val="24"/>
        </w:rPr>
        <w:t>）风险潜势初判</w:t>
      </w:r>
    </w:p>
    <w:p w:rsidR="00240BCE" w:rsidRDefault="00AC0334">
      <w:pPr>
        <w:spacing w:line="520" w:lineRule="exact"/>
        <w:ind w:firstLineChars="200" w:firstLine="480"/>
        <w:rPr>
          <w:sz w:val="24"/>
        </w:rPr>
      </w:pPr>
      <w:r>
        <w:rPr>
          <w:sz w:val="24"/>
        </w:rPr>
        <w:t>根据《建设项目环境风险评价技术导则》</w:t>
      </w:r>
      <w:r>
        <w:rPr>
          <w:sz w:val="24"/>
        </w:rPr>
        <w:t>(HJ169-2018)</w:t>
      </w:r>
      <w:r>
        <w:rPr>
          <w:sz w:val="24"/>
        </w:rPr>
        <w:t>，本项目不涉及风险物质，</w:t>
      </w:r>
      <w:r w:rsidR="001B69B0">
        <w:rPr>
          <w:rFonts w:hint="eastAsia"/>
          <w:sz w:val="24"/>
        </w:rPr>
        <w:t>该项目的</w:t>
      </w:r>
      <w:r>
        <w:rPr>
          <w:sz w:val="24"/>
        </w:rPr>
        <w:t>环境风险潜势</w:t>
      </w:r>
      <w:r w:rsidR="001B69B0">
        <w:rPr>
          <w:rFonts w:hint="eastAsia"/>
          <w:sz w:val="24"/>
        </w:rPr>
        <w:t>应判定</w:t>
      </w:r>
      <w:r>
        <w:rPr>
          <w:sz w:val="24"/>
        </w:rPr>
        <w:t>为</w:t>
      </w:r>
      <w:r>
        <w:rPr>
          <w:sz w:val="24"/>
        </w:rPr>
        <w:t>Ⅰ</w:t>
      </w:r>
      <w:r w:rsidR="001B69B0">
        <w:rPr>
          <w:rFonts w:hint="eastAsia"/>
          <w:sz w:val="24"/>
        </w:rPr>
        <w:t>。</w:t>
      </w:r>
    </w:p>
    <w:p w:rsidR="00240BCE" w:rsidRDefault="00AC0334">
      <w:pPr>
        <w:spacing w:line="520" w:lineRule="exact"/>
        <w:ind w:firstLineChars="200" w:firstLine="480"/>
        <w:rPr>
          <w:sz w:val="24"/>
        </w:rPr>
      </w:pPr>
      <w:r>
        <w:rPr>
          <w:sz w:val="24"/>
        </w:rPr>
        <w:t>（</w:t>
      </w:r>
      <w:r>
        <w:rPr>
          <w:sz w:val="24"/>
        </w:rPr>
        <w:t>3</w:t>
      </w:r>
      <w:r>
        <w:rPr>
          <w:sz w:val="24"/>
        </w:rPr>
        <w:t>）环境风险评价等级</w:t>
      </w:r>
    </w:p>
    <w:p w:rsidR="00240BCE" w:rsidRDefault="00AC0334">
      <w:pPr>
        <w:spacing w:line="520" w:lineRule="exact"/>
        <w:ind w:firstLineChars="200" w:firstLine="480"/>
        <w:rPr>
          <w:bCs/>
          <w:iCs/>
          <w:color w:val="000000"/>
          <w:sz w:val="24"/>
        </w:rPr>
      </w:pPr>
      <w:r>
        <w:rPr>
          <w:sz w:val="24"/>
        </w:rPr>
        <w:t>本项目的风险潜势判定为</w:t>
      </w:r>
      <w:r>
        <w:rPr>
          <w:sz w:val="24"/>
        </w:rPr>
        <w:t>Ⅰ</w:t>
      </w:r>
      <w:r>
        <w:rPr>
          <w:sz w:val="24"/>
        </w:rPr>
        <w:t>，</w:t>
      </w:r>
      <w:r>
        <w:rPr>
          <w:bCs/>
          <w:iCs/>
          <w:color w:val="000000"/>
          <w:sz w:val="24"/>
        </w:rPr>
        <w:t>根据《建设项目环境风险评价技术导则》（</w:t>
      </w:r>
      <w:r>
        <w:rPr>
          <w:bCs/>
          <w:iCs/>
          <w:color w:val="000000"/>
          <w:sz w:val="24"/>
        </w:rPr>
        <w:t>HJ169—2018</w:t>
      </w:r>
      <w:r>
        <w:rPr>
          <w:bCs/>
          <w:iCs/>
          <w:color w:val="000000"/>
          <w:sz w:val="24"/>
        </w:rPr>
        <w:t>）表</w:t>
      </w:r>
      <w:r>
        <w:rPr>
          <w:bCs/>
          <w:iCs/>
          <w:color w:val="000000"/>
          <w:sz w:val="24"/>
        </w:rPr>
        <w:t>1</w:t>
      </w:r>
      <w:r>
        <w:rPr>
          <w:bCs/>
          <w:iCs/>
          <w:color w:val="000000"/>
          <w:sz w:val="24"/>
        </w:rPr>
        <w:t>评价工作等级划分（见表</w:t>
      </w:r>
      <w:r>
        <w:rPr>
          <w:bCs/>
          <w:iCs/>
          <w:color w:val="000000"/>
          <w:sz w:val="24"/>
        </w:rPr>
        <w:t>6.7-1</w:t>
      </w:r>
      <w:r>
        <w:rPr>
          <w:bCs/>
          <w:iCs/>
          <w:color w:val="000000"/>
          <w:sz w:val="24"/>
        </w:rPr>
        <w:t>）可知，本项目环境风险评价工作等级为简要分析。</w:t>
      </w:r>
    </w:p>
    <w:p w:rsidR="00240BCE" w:rsidRDefault="00AC0334">
      <w:pPr>
        <w:spacing w:line="520" w:lineRule="exact"/>
        <w:jc w:val="center"/>
        <w:rPr>
          <w:bCs/>
          <w:iCs/>
          <w:color w:val="000000"/>
          <w:sz w:val="24"/>
        </w:rPr>
      </w:pPr>
      <w:r>
        <w:rPr>
          <w:bCs/>
          <w:iCs/>
          <w:color w:val="000000"/>
          <w:sz w:val="24"/>
        </w:rPr>
        <w:t>表</w:t>
      </w:r>
      <w:r>
        <w:rPr>
          <w:bCs/>
          <w:iCs/>
          <w:color w:val="000000"/>
          <w:sz w:val="24"/>
        </w:rPr>
        <w:t xml:space="preserve">6.7-1 </w:t>
      </w:r>
      <w:r>
        <w:rPr>
          <w:bCs/>
          <w:iCs/>
          <w:color w:val="000000"/>
          <w:sz w:val="24"/>
        </w:rPr>
        <w:t>评价工作等级划分</w:t>
      </w: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4"/>
        <w:gridCol w:w="1836"/>
        <w:gridCol w:w="1835"/>
        <w:gridCol w:w="1836"/>
        <w:gridCol w:w="1836"/>
      </w:tblGrid>
      <w:tr w:rsidR="00240BCE">
        <w:trPr>
          <w:trHeight w:val="553"/>
        </w:trPr>
        <w:tc>
          <w:tcPr>
            <w:tcW w:w="1834" w:type="dxa"/>
            <w:tcBorders>
              <w:top w:val="single" w:sz="4" w:space="0" w:color="auto"/>
              <w:left w:val="single" w:sz="4" w:space="0" w:color="auto"/>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环境风险潜势</w:t>
            </w:r>
          </w:p>
        </w:tc>
        <w:tc>
          <w:tcPr>
            <w:tcW w:w="1836"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Ⅳ</w:t>
            </w:r>
            <w:r>
              <w:rPr>
                <w:bCs/>
                <w:iCs/>
                <w:color w:val="000000"/>
                <w:sz w:val="21"/>
                <w:szCs w:val="21"/>
              </w:rPr>
              <w:t>、</w:t>
            </w:r>
            <w:r>
              <w:rPr>
                <w:bCs/>
                <w:iCs/>
                <w:color w:val="000000"/>
                <w:sz w:val="21"/>
                <w:szCs w:val="21"/>
              </w:rPr>
              <w:t>Ⅳ +</w:t>
            </w:r>
          </w:p>
        </w:tc>
        <w:tc>
          <w:tcPr>
            <w:tcW w:w="1835"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Ⅲ</w:t>
            </w:r>
          </w:p>
        </w:tc>
        <w:tc>
          <w:tcPr>
            <w:tcW w:w="1836"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Ⅱ</w:t>
            </w:r>
          </w:p>
        </w:tc>
        <w:tc>
          <w:tcPr>
            <w:tcW w:w="1836" w:type="dxa"/>
            <w:tcBorders>
              <w:top w:val="single" w:sz="4" w:space="0" w:color="auto"/>
              <w:left w:val="nil"/>
              <w:bottom w:val="single" w:sz="4" w:space="0" w:color="auto"/>
              <w:right w:val="single" w:sz="4" w:space="0" w:color="auto"/>
            </w:tcBorders>
            <w:shd w:val="clear" w:color="auto" w:fill="D9D9D9"/>
          </w:tcPr>
          <w:p w:rsidR="00240BCE" w:rsidRDefault="00AC0334">
            <w:pPr>
              <w:spacing w:line="360" w:lineRule="exact"/>
              <w:jc w:val="center"/>
              <w:rPr>
                <w:bCs/>
                <w:iCs/>
                <w:color w:val="000000"/>
                <w:sz w:val="21"/>
                <w:szCs w:val="21"/>
              </w:rPr>
            </w:pPr>
            <w:r>
              <w:rPr>
                <w:bCs/>
                <w:iCs/>
                <w:color w:val="000000"/>
                <w:sz w:val="21"/>
                <w:szCs w:val="21"/>
              </w:rPr>
              <w:t>Ⅰ</w:t>
            </w:r>
          </w:p>
        </w:tc>
      </w:tr>
      <w:tr w:rsidR="00240BCE">
        <w:trPr>
          <w:trHeight w:val="553"/>
        </w:trPr>
        <w:tc>
          <w:tcPr>
            <w:tcW w:w="1834" w:type="dxa"/>
            <w:tcBorders>
              <w:top w:val="single" w:sz="4" w:space="0" w:color="auto"/>
              <w:left w:val="single" w:sz="4" w:space="0" w:color="auto"/>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评价工作等级</w:t>
            </w:r>
          </w:p>
        </w:tc>
        <w:tc>
          <w:tcPr>
            <w:tcW w:w="1836"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一</w:t>
            </w:r>
          </w:p>
        </w:tc>
        <w:tc>
          <w:tcPr>
            <w:tcW w:w="1835"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二</w:t>
            </w:r>
          </w:p>
        </w:tc>
        <w:tc>
          <w:tcPr>
            <w:tcW w:w="1836" w:type="dxa"/>
            <w:tcBorders>
              <w:top w:val="single" w:sz="4" w:space="0" w:color="auto"/>
              <w:left w:val="nil"/>
              <w:bottom w:val="single" w:sz="4" w:space="0" w:color="auto"/>
              <w:right w:val="single" w:sz="4" w:space="0" w:color="auto"/>
            </w:tcBorders>
            <w:shd w:val="clear" w:color="auto" w:fill="auto"/>
          </w:tcPr>
          <w:p w:rsidR="00240BCE" w:rsidRDefault="00AC0334">
            <w:pPr>
              <w:spacing w:line="360" w:lineRule="exact"/>
              <w:jc w:val="center"/>
              <w:rPr>
                <w:bCs/>
                <w:iCs/>
                <w:color w:val="000000"/>
                <w:sz w:val="21"/>
                <w:szCs w:val="21"/>
              </w:rPr>
            </w:pPr>
            <w:r>
              <w:rPr>
                <w:bCs/>
                <w:iCs/>
                <w:color w:val="000000"/>
                <w:sz w:val="21"/>
                <w:szCs w:val="21"/>
              </w:rPr>
              <w:t>三</w:t>
            </w:r>
          </w:p>
        </w:tc>
        <w:tc>
          <w:tcPr>
            <w:tcW w:w="1836" w:type="dxa"/>
            <w:tcBorders>
              <w:top w:val="single" w:sz="4" w:space="0" w:color="auto"/>
              <w:left w:val="nil"/>
              <w:bottom w:val="single" w:sz="4" w:space="0" w:color="auto"/>
              <w:right w:val="single" w:sz="4" w:space="0" w:color="auto"/>
            </w:tcBorders>
            <w:shd w:val="clear" w:color="auto" w:fill="D9D9D9"/>
          </w:tcPr>
          <w:p w:rsidR="00240BCE" w:rsidRDefault="00AC0334">
            <w:pPr>
              <w:spacing w:line="360" w:lineRule="exact"/>
              <w:jc w:val="center"/>
              <w:rPr>
                <w:bCs/>
                <w:iCs/>
                <w:color w:val="000000"/>
                <w:sz w:val="21"/>
                <w:szCs w:val="21"/>
              </w:rPr>
            </w:pPr>
            <w:r>
              <w:rPr>
                <w:bCs/>
                <w:iCs/>
                <w:color w:val="000000"/>
                <w:sz w:val="21"/>
                <w:szCs w:val="21"/>
              </w:rPr>
              <w:t>简单分析</w:t>
            </w:r>
            <w:r>
              <w:rPr>
                <w:bCs/>
                <w:iCs/>
                <w:color w:val="000000"/>
                <w:sz w:val="21"/>
                <w:szCs w:val="21"/>
                <w:vertAlign w:val="superscript"/>
              </w:rPr>
              <w:t>a</w:t>
            </w:r>
          </w:p>
        </w:tc>
      </w:tr>
      <w:tr w:rsidR="00240BCE">
        <w:trPr>
          <w:trHeight w:val="1107"/>
        </w:trPr>
        <w:tc>
          <w:tcPr>
            <w:tcW w:w="9177" w:type="dxa"/>
            <w:gridSpan w:val="5"/>
            <w:tcBorders>
              <w:top w:val="single" w:sz="4" w:space="0" w:color="auto"/>
              <w:left w:val="single" w:sz="4" w:space="0" w:color="auto"/>
              <w:bottom w:val="single" w:sz="4" w:space="0" w:color="auto"/>
              <w:right w:val="single" w:sz="4" w:space="0" w:color="auto"/>
            </w:tcBorders>
          </w:tcPr>
          <w:p w:rsidR="00240BCE" w:rsidRDefault="00AC0334">
            <w:pPr>
              <w:spacing w:line="360" w:lineRule="exact"/>
              <w:rPr>
                <w:bCs/>
                <w:iCs/>
                <w:color w:val="000000"/>
                <w:sz w:val="21"/>
                <w:szCs w:val="21"/>
              </w:rPr>
            </w:pPr>
            <w:r>
              <w:rPr>
                <w:bCs/>
                <w:iCs/>
                <w:color w:val="000000"/>
                <w:sz w:val="21"/>
                <w:szCs w:val="21"/>
                <w:vertAlign w:val="superscript"/>
              </w:rPr>
              <w:t>a</w:t>
            </w:r>
            <w:r>
              <w:rPr>
                <w:bCs/>
                <w:iCs/>
                <w:color w:val="000000"/>
                <w:sz w:val="21"/>
                <w:szCs w:val="21"/>
              </w:rPr>
              <w:t xml:space="preserve"> </w:t>
            </w:r>
            <w:r>
              <w:rPr>
                <w:bCs/>
                <w:iCs/>
                <w:color w:val="000000"/>
                <w:sz w:val="21"/>
                <w:szCs w:val="21"/>
              </w:rPr>
              <w:t>是相对于详细评价工作内容而言，在描述危险物质、环境影响途径、环境危害后果、风险防范措施等方面给出定性的说明。见附录</w:t>
            </w:r>
            <w:r>
              <w:rPr>
                <w:bCs/>
                <w:iCs/>
                <w:color w:val="000000"/>
                <w:sz w:val="21"/>
                <w:szCs w:val="21"/>
              </w:rPr>
              <w:t>A</w:t>
            </w:r>
            <w:r>
              <w:rPr>
                <w:bCs/>
                <w:iCs/>
                <w:color w:val="000000"/>
                <w:sz w:val="21"/>
                <w:szCs w:val="21"/>
              </w:rPr>
              <w:t>。</w:t>
            </w: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799" w:name="_Toc79668720"/>
      <w:r>
        <w:rPr>
          <w:rFonts w:eastAsia="楷体"/>
          <w:sz w:val="28"/>
          <w:szCs w:val="28"/>
        </w:rPr>
        <w:t xml:space="preserve">6.7.2 </w:t>
      </w:r>
      <w:r>
        <w:rPr>
          <w:rFonts w:eastAsia="楷体"/>
          <w:sz w:val="28"/>
          <w:szCs w:val="28"/>
        </w:rPr>
        <w:t>环境敏感目标概况</w:t>
      </w:r>
      <w:bookmarkEnd w:id="799"/>
    </w:p>
    <w:p w:rsidR="00240BCE" w:rsidRDefault="00AC0334">
      <w:pPr>
        <w:spacing w:line="520" w:lineRule="exact"/>
        <w:ind w:firstLineChars="200" w:firstLine="480"/>
        <w:rPr>
          <w:bCs/>
          <w:iCs/>
          <w:color w:val="000000"/>
          <w:sz w:val="24"/>
        </w:rPr>
      </w:pPr>
      <w:r>
        <w:rPr>
          <w:sz w:val="24"/>
        </w:rPr>
        <w:t>根据调查，主要环境敏感目标分布情况见表</w:t>
      </w:r>
      <w:r>
        <w:rPr>
          <w:bCs/>
          <w:iCs/>
          <w:color w:val="000000"/>
          <w:sz w:val="24"/>
        </w:rPr>
        <w:t>6.7-2</w:t>
      </w:r>
      <w:r>
        <w:rPr>
          <w:bCs/>
          <w:iCs/>
          <w:color w:val="000000"/>
          <w:sz w:val="24"/>
        </w:rPr>
        <w:t>。</w:t>
      </w:r>
    </w:p>
    <w:p w:rsidR="00240BCE" w:rsidRDefault="00AC0334">
      <w:pPr>
        <w:spacing w:line="520" w:lineRule="exact"/>
        <w:jc w:val="center"/>
        <w:rPr>
          <w:bCs/>
          <w:iCs/>
          <w:color w:val="000000"/>
          <w:sz w:val="24"/>
        </w:rPr>
      </w:pPr>
      <w:r>
        <w:rPr>
          <w:bCs/>
          <w:iCs/>
          <w:color w:val="000000"/>
          <w:sz w:val="24"/>
        </w:rPr>
        <w:br w:type="page"/>
      </w:r>
      <w:r>
        <w:rPr>
          <w:bCs/>
          <w:iCs/>
          <w:color w:val="000000"/>
          <w:sz w:val="24"/>
        </w:rPr>
        <w:lastRenderedPageBreak/>
        <w:t xml:space="preserve"> </w:t>
      </w:r>
      <w:r>
        <w:rPr>
          <w:bCs/>
          <w:iCs/>
          <w:color w:val="000000"/>
          <w:sz w:val="24"/>
        </w:rPr>
        <w:t>表</w:t>
      </w:r>
      <w:r>
        <w:rPr>
          <w:bCs/>
          <w:iCs/>
          <w:color w:val="000000"/>
          <w:sz w:val="24"/>
        </w:rPr>
        <w:t xml:space="preserve">6.7-2 </w:t>
      </w:r>
      <w:r>
        <w:rPr>
          <w:rFonts w:hint="eastAsia"/>
          <w:bCs/>
          <w:iCs/>
          <w:color w:val="000000"/>
          <w:sz w:val="24"/>
        </w:rPr>
        <w:t xml:space="preserve"> </w:t>
      </w:r>
      <w:r>
        <w:rPr>
          <w:bCs/>
          <w:iCs/>
          <w:color w:val="000000"/>
          <w:sz w:val="24"/>
        </w:rPr>
        <w:t xml:space="preserve">  </w:t>
      </w:r>
      <w:r>
        <w:rPr>
          <w:bCs/>
          <w:iCs/>
          <w:color w:val="000000"/>
          <w:sz w:val="24"/>
        </w:rPr>
        <w:t>主要环境风险保护目标一览表</w:t>
      </w: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03"/>
        <w:gridCol w:w="1040"/>
        <w:gridCol w:w="2978"/>
        <w:gridCol w:w="2488"/>
        <w:gridCol w:w="2019"/>
      </w:tblGrid>
      <w:tr w:rsidR="00240BCE">
        <w:trPr>
          <w:trHeight w:val="317"/>
          <w:jc w:val="center"/>
        </w:trPr>
        <w:tc>
          <w:tcPr>
            <w:tcW w:w="330" w:type="pct"/>
            <w:vMerge w:val="restar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环境要素</w:t>
            </w:r>
          </w:p>
        </w:tc>
        <w:tc>
          <w:tcPr>
            <w:tcW w:w="2200" w:type="pct"/>
            <w:gridSpan w:val="2"/>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环境保护目标</w:t>
            </w:r>
          </w:p>
        </w:tc>
        <w:tc>
          <w:tcPr>
            <w:tcW w:w="1363" w:type="pct"/>
            <w:vMerge w:val="restar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位置关系</w:t>
            </w:r>
          </w:p>
        </w:tc>
        <w:tc>
          <w:tcPr>
            <w:tcW w:w="1106" w:type="pct"/>
            <w:vMerge w:val="restar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保护要求</w:t>
            </w:r>
          </w:p>
        </w:tc>
      </w:tr>
      <w:tr w:rsidR="00240BCE">
        <w:trPr>
          <w:trHeight w:val="317"/>
          <w:jc w:val="center"/>
        </w:trPr>
        <w:tc>
          <w:tcPr>
            <w:tcW w:w="330" w:type="pct"/>
            <w:vMerge/>
            <w:vAlign w:val="center"/>
          </w:tcPr>
          <w:p w:rsidR="00240BCE" w:rsidRDefault="00240BCE">
            <w:pPr>
              <w:pStyle w:val="24CharChar4Char4CharC"/>
              <w:spacing w:line="270" w:lineRule="exact"/>
              <w:rPr>
                <w:rFonts w:cs="Times New Roman"/>
                <w:color w:val="auto"/>
                <w:szCs w:val="21"/>
              </w:rPr>
            </w:pPr>
          </w:p>
        </w:tc>
        <w:tc>
          <w:tcPr>
            <w:tcW w:w="569"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名称</w:t>
            </w:r>
          </w:p>
        </w:tc>
        <w:tc>
          <w:tcPr>
            <w:tcW w:w="1630"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特征</w:t>
            </w:r>
          </w:p>
        </w:tc>
        <w:tc>
          <w:tcPr>
            <w:tcW w:w="1363" w:type="pct"/>
            <w:vMerge/>
            <w:vAlign w:val="center"/>
          </w:tcPr>
          <w:p w:rsidR="00240BCE" w:rsidRDefault="00240BCE">
            <w:pPr>
              <w:pStyle w:val="24CharChar4Char4CharC"/>
              <w:spacing w:line="270" w:lineRule="exact"/>
              <w:rPr>
                <w:rFonts w:cs="Times New Roman"/>
                <w:color w:val="auto"/>
                <w:szCs w:val="21"/>
              </w:rPr>
            </w:pPr>
          </w:p>
        </w:tc>
        <w:tc>
          <w:tcPr>
            <w:tcW w:w="1106" w:type="pct"/>
            <w:vMerge/>
            <w:vAlign w:val="center"/>
          </w:tcPr>
          <w:p w:rsidR="00240BCE" w:rsidRDefault="00240BCE">
            <w:pPr>
              <w:pStyle w:val="24CharChar4Char4CharC"/>
              <w:spacing w:line="270" w:lineRule="exact"/>
              <w:rPr>
                <w:rFonts w:cs="Times New Roman"/>
                <w:color w:val="auto"/>
                <w:szCs w:val="21"/>
              </w:rPr>
            </w:pPr>
          </w:p>
        </w:tc>
      </w:tr>
      <w:tr w:rsidR="00240BCE">
        <w:trPr>
          <w:trHeight w:val="930"/>
          <w:jc w:val="center"/>
        </w:trPr>
        <w:tc>
          <w:tcPr>
            <w:tcW w:w="330" w:type="pct"/>
            <w:vMerge w:val="restar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环境空气</w:t>
            </w:r>
          </w:p>
        </w:tc>
        <w:tc>
          <w:tcPr>
            <w:tcW w:w="569" w:type="pct"/>
            <w:vAlign w:val="center"/>
          </w:tcPr>
          <w:p w:rsidR="00240BCE" w:rsidRDefault="00AC0334">
            <w:pPr>
              <w:jc w:val="center"/>
              <w:rPr>
                <w:sz w:val="21"/>
                <w:szCs w:val="21"/>
              </w:rPr>
            </w:pPr>
            <w:r>
              <w:rPr>
                <w:sz w:val="21"/>
                <w:szCs w:val="21"/>
              </w:rPr>
              <w:t>柿树行组</w:t>
            </w:r>
          </w:p>
        </w:tc>
        <w:tc>
          <w:tcPr>
            <w:tcW w:w="1630"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32</w:t>
            </w:r>
            <w:r>
              <w:rPr>
                <w:rFonts w:cs="Times New Roman"/>
                <w:color w:val="auto"/>
                <w:szCs w:val="21"/>
              </w:rPr>
              <w:t>户</w:t>
            </w:r>
            <w:r>
              <w:rPr>
                <w:rFonts w:cs="Times New Roman"/>
                <w:color w:val="auto"/>
                <w:szCs w:val="21"/>
              </w:rPr>
              <w:t>122</w:t>
            </w:r>
            <w:r>
              <w:rPr>
                <w:rFonts w:cs="Times New Roman"/>
                <w:color w:val="auto"/>
                <w:szCs w:val="21"/>
              </w:rPr>
              <w:t>人，大部分位于井田范围外，</w:t>
            </w:r>
            <w:r>
              <w:rPr>
                <w:rFonts w:cs="Times New Roman"/>
                <w:color w:val="auto"/>
                <w:szCs w:val="21"/>
              </w:rPr>
              <w:t>3</w:t>
            </w:r>
            <w:r>
              <w:rPr>
                <w:rFonts w:cs="Times New Roman"/>
                <w:color w:val="auto"/>
                <w:szCs w:val="21"/>
              </w:rPr>
              <w:t>户位于采空区及工业场地保护煤柱内，不受开采影响</w:t>
            </w:r>
          </w:p>
        </w:tc>
        <w:tc>
          <w:tcPr>
            <w:tcW w:w="1363" w:type="pct"/>
            <w:vAlign w:val="center"/>
          </w:tcPr>
          <w:p w:rsidR="00240BCE" w:rsidRDefault="00AC0334">
            <w:pPr>
              <w:pStyle w:val="184"/>
              <w:spacing w:line="270" w:lineRule="exact"/>
              <w:rPr>
                <w:rFonts w:hAnsi="Times New Roman" w:cs="Times New Roman"/>
                <w:color w:val="auto"/>
                <w:szCs w:val="21"/>
              </w:rPr>
            </w:pPr>
            <w:r>
              <w:rPr>
                <w:rFonts w:hAnsi="Times New Roman" w:cs="Times New Roman"/>
                <w:color w:val="auto"/>
                <w:szCs w:val="21"/>
              </w:rPr>
              <w:t>工业场地西北</w:t>
            </w:r>
            <w:r>
              <w:rPr>
                <w:rFonts w:hAnsi="Times New Roman" w:cs="Times New Roman"/>
                <w:color w:val="auto"/>
                <w:szCs w:val="21"/>
              </w:rPr>
              <w:t>10m</w:t>
            </w:r>
            <w:r>
              <w:rPr>
                <w:rFonts w:hAnsi="Times New Roman" w:cs="Times New Roman"/>
                <w:color w:val="auto"/>
                <w:szCs w:val="21"/>
              </w:rPr>
              <w:t>～</w:t>
            </w:r>
            <w:r>
              <w:rPr>
                <w:rFonts w:hAnsi="Times New Roman" w:cs="Times New Roman"/>
                <w:color w:val="auto"/>
                <w:szCs w:val="21"/>
              </w:rPr>
              <w:t>565m</w:t>
            </w:r>
          </w:p>
        </w:tc>
        <w:tc>
          <w:tcPr>
            <w:tcW w:w="1106" w:type="pct"/>
            <w:vMerge w:val="restar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《环境空气质量标准》</w:t>
            </w:r>
            <w:r>
              <w:rPr>
                <w:rFonts w:cs="Times New Roman"/>
                <w:color w:val="auto"/>
                <w:szCs w:val="21"/>
              </w:rPr>
              <w:t>GB3095-2012</w:t>
            </w:r>
            <w:r>
              <w:rPr>
                <w:rFonts w:cs="Times New Roman"/>
                <w:color w:val="auto"/>
                <w:szCs w:val="21"/>
              </w:rPr>
              <w:t>二级</w:t>
            </w:r>
          </w:p>
        </w:tc>
      </w:tr>
      <w:tr w:rsidR="00240BCE">
        <w:trPr>
          <w:trHeight w:val="930"/>
          <w:jc w:val="center"/>
        </w:trPr>
        <w:tc>
          <w:tcPr>
            <w:tcW w:w="330" w:type="pct"/>
            <w:vMerge/>
            <w:vAlign w:val="center"/>
          </w:tcPr>
          <w:p w:rsidR="00240BCE" w:rsidRDefault="00240BCE">
            <w:pPr>
              <w:pStyle w:val="24CharChar4Char4CharC"/>
              <w:spacing w:line="270" w:lineRule="exact"/>
              <w:rPr>
                <w:rFonts w:cs="Times New Roman"/>
                <w:color w:val="auto"/>
                <w:szCs w:val="21"/>
              </w:rPr>
            </w:pPr>
          </w:p>
        </w:tc>
        <w:tc>
          <w:tcPr>
            <w:tcW w:w="569" w:type="pct"/>
            <w:vAlign w:val="center"/>
          </w:tcPr>
          <w:p w:rsidR="00240BCE" w:rsidRDefault="00AC0334">
            <w:pPr>
              <w:jc w:val="center"/>
              <w:rPr>
                <w:sz w:val="21"/>
                <w:szCs w:val="21"/>
              </w:rPr>
            </w:pPr>
            <w:r>
              <w:rPr>
                <w:sz w:val="21"/>
                <w:szCs w:val="21"/>
              </w:rPr>
              <w:t>赵沟村</w:t>
            </w:r>
          </w:p>
        </w:tc>
        <w:tc>
          <w:tcPr>
            <w:tcW w:w="1630"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256</w:t>
            </w:r>
            <w:r>
              <w:rPr>
                <w:rFonts w:cs="Times New Roman"/>
                <w:color w:val="auto"/>
                <w:szCs w:val="21"/>
              </w:rPr>
              <w:t>户</w:t>
            </w:r>
            <w:r>
              <w:rPr>
                <w:rFonts w:cs="Times New Roman"/>
                <w:color w:val="auto"/>
                <w:szCs w:val="21"/>
              </w:rPr>
              <w:t>989</w:t>
            </w:r>
            <w:r>
              <w:rPr>
                <w:rFonts w:cs="Times New Roman"/>
                <w:color w:val="auto"/>
                <w:szCs w:val="21"/>
              </w:rPr>
              <w:t>人，位于首采区</w:t>
            </w:r>
            <w:r>
              <w:rPr>
                <w:rFonts w:cs="Times New Roman"/>
                <w:color w:val="auto"/>
                <w:szCs w:val="21"/>
              </w:rPr>
              <w:t>21010</w:t>
            </w:r>
            <w:r>
              <w:rPr>
                <w:rFonts w:cs="Times New Roman"/>
                <w:color w:val="auto"/>
                <w:szCs w:val="21"/>
              </w:rPr>
              <w:t>、</w:t>
            </w:r>
            <w:r>
              <w:rPr>
                <w:rFonts w:cs="Times New Roman"/>
                <w:color w:val="auto"/>
                <w:szCs w:val="21"/>
              </w:rPr>
              <w:t>21020</w:t>
            </w:r>
            <w:r>
              <w:rPr>
                <w:rFonts w:cs="Times New Roman"/>
                <w:color w:val="auto"/>
                <w:szCs w:val="21"/>
              </w:rPr>
              <w:t>工作面，设计开采前安全搬迁</w:t>
            </w:r>
          </w:p>
        </w:tc>
        <w:tc>
          <w:tcPr>
            <w:tcW w:w="1363" w:type="pct"/>
            <w:vAlign w:val="center"/>
          </w:tcPr>
          <w:p w:rsidR="00240BCE" w:rsidRDefault="00AC0334">
            <w:pPr>
              <w:pStyle w:val="184"/>
              <w:spacing w:line="270" w:lineRule="exact"/>
              <w:rPr>
                <w:rFonts w:hAnsi="Times New Roman" w:cs="Times New Roman"/>
                <w:color w:val="auto"/>
                <w:szCs w:val="21"/>
              </w:rPr>
            </w:pPr>
            <w:r>
              <w:rPr>
                <w:rFonts w:hAnsi="Times New Roman" w:cs="Times New Roman"/>
                <w:color w:val="auto"/>
                <w:szCs w:val="21"/>
              </w:rPr>
              <w:t>工业场地南、东南</w:t>
            </w:r>
            <w:r>
              <w:rPr>
                <w:rFonts w:hAnsi="Times New Roman" w:cs="Times New Roman"/>
                <w:color w:val="auto"/>
                <w:szCs w:val="21"/>
              </w:rPr>
              <w:t>270m</w:t>
            </w:r>
            <w:r>
              <w:rPr>
                <w:rFonts w:hAnsi="Times New Roman" w:cs="Times New Roman"/>
                <w:color w:val="auto"/>
                <w:szCs w:val="21"/>
              </w:rPr>
              <w:t>～</w:t>
            </w:r>
            <w:r>
              <w:rPr>
                <w:rFonts w:hAnsi="Times New Roman" w:cs="Times New Roman"/>
                <w:color w:val="auto"/>
                <w:szCs w:val="21"/>
              </w:rPr>
              <w:t>860m</w:t>
            </w:r>
          </w:p>
        </w:tc>
        <w:tc>
          <w:tcPr>
            <w:tcW w:w="1106" w:type="pct"/>
            <w:vMerge/>
            <w:vAlign w:val="center"/>
          </w:tcPr>
          <w:p w:rsidR="00240BCE" w:rsidRDefault="00240BCE">
            <w:pPr>
              <w:pStyle w:val="24CharChar4Char4CharC"/>
              <w:spacing w:line="270" w:lineRule="exact"/>
              <w:rPr>
                <w:rFonts w:cs="Times New Roman"/>
                <w:color w:val="auto"/>
                <w:szCs w:val="21"/>
              </w:rPr>
            </w:pPr>
          </w:p>
        </w:tc>
      </w:tr>
      <w:tr w:rsidR="00240BCE">
        <w:trPr>
          <w:trHeight w:val="624"/>
          <w:jc w:val="center"/>
        </w:trPr>
        <w:tc>
          <w:tcPr>
            <w:tcW w:w="330" w:type="pct"/>
            <w:vMerge w:val="restar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地表水</w:t>
            </w:r>
          </w:p>
        </w:tc>
        <w:tc>
          <w:tcPr>
            <w:tcW w:w="569" w:type="pct"/>
            <w:vAlign w:val="center"/>
          </w:tcPr>
          <w:p w:rsidR="00240BCE" w:rsidRDefault="00AC0334">
            <w:pPr>
              <w:jc w:val="center"/>
              <w:rPr>
                <w:sz w:val="21"/>
                <w:szCs w:val="21"/>
              </w:rPr>
            </w:pPr>
            <w:r>
              <w:rPr>
                <w:sz w:val="21"/>
                <w:szCs w:val="21"/>
              </w:rPr>
              <w:t>赵沟河</w:t>
            </w:r>
          </w:p>
        </w:tc>
        <w:tc>
          <w:tcPr>
            <w:tcW w:w="1630"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涌泉河支流，</w:t>
            </w:r>
            <w:r w:rsidR="00B95226">
              <w:rPr>
                <w:rFonts w:cs="Times New Roman"/>
                <w:color w:val="auto"/>
                <w:szCs w:val="21"/>
              </w:rPr>
              <w:fldChar w:fldCharType="begin"/>
            </w:r>
            <w:r>
              <w:rPr>
                <w:rFonts w:cs="Times New Roman"/>
                <w:color w:val="auto"/>
                <w:szCs w:val="21"/>
              </w:rPr>
              <w:instrText xml:space="preserve"> = 3 \* ROMAN </w:instrText>
            </w:r>
            <w:r w:rsidR="00B95226">
              <w:rPr>
                <w:rFonts w:cs="Times New Roman"/>
                <w:color w:val="auto"/>
                <w:szCs w:val="21"/>
              </w:rPr>
              <w:fldChar w:fldCharType="separate"/>
            </w:r>
            <w:r>
              <w:rPr>
                <w:rFonts w:cs="Times New Roman"/>
                <w:color w:val="auto"/>
                <w:szCs w:val="21"/>
              </w:rPr>
              <w:t>III</w:t>
            </w:r>
            <w:r w:rsidR="00B95226">
              <w:rPr>
                <w:rFonts w:cs="Times New Roman"/>
                <w:color w:val="auto"/>
                <w:szCs w:val="21"/>
              </w:rPr>
              <w:fldChar w:fldCharType="end"/>
            </w:r>
            <w:r>
              <w:rPr>
                <w:rFonts w:cs="Times New Roman"/>
                <w:color w:val="auto"/>
                <w:szCs w:val="21"/>
              </w:rPr>
              <w:t>类水体，季节性河流，现状无水</w:t>
            </w:r>
          </w:p>
        </w:tc>
        <w:tc>
          <w:tcPr>
            <w:tcW w:w="1363" w:type="pct"/>
            <w:vAlign w:val="center"/>
          </w:tcPr>
          <w:p w:rsidR="00240BCE" w:rsidRDefault="00AC0334">
            <w:pPr>
              <w:pStyle w:val="184"/>
              <w:spacing w:line="270" w:lineRule="exact"/>
              <w:rPr>
                <w:rFonts w:hAnsi="Times New Roman" w:cs="Times New Roman"/>
                <w:color w:val="auto"/>
                <w:szCs w:val="21"/>
              </w:rPr>
            </w:pPr>
            <w:r>
              <w:rPr>
                <w:rFonts w:hAnsi="Times New Roman" w:cs="Times New Roman"/>
                <w:color w:val="auto"/>
                <w:szCs w:val="21"/>
              </w:rPr>
              <w:t>矿区中部，工业广场南</w:t>
            </w:r>
            <w:r>
              <w:rPr>
                <w:rFonts w:hAnsi="Times New Roman" w:cs="Times New Roman"/>
                <w:color w:val="auto"/>
                <w:szCs w:val="21"/>
              </w:rPr>
              <w:t>300m</w:t>
            </w:r>
          </w:p>
        </w:tc>
        <w:tc>
          <w:tcPr>
            <w:tcW w:w="1106" w:type="pct"/>
            <w:vMerge w:val="restar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《地表水环境质量标准》</w:t>
            </w:r>
            <w:r>
              <w:rPr>
                <w:rFonts w:cs="Times New Roman"/>
                <w:color w:val="auto"/>
                <w:szCs w:val="21"/>
              </w:rPr>
              <w:t>GB3838-2002</w:t>
            </w:r>
            <w:r>
              <w:rPr>
                <w:rFonts w:cs="Times New Roman"/>
                <w:color w:val="auto"/>
                <w:szCs w:val="21"/>
              </w:rPr>
              <w:t>中</w:t>
            </w:r>
            <w:r>
              <w:rPr>
                <w:rFonts w:cs="Times New Roman"/>
                <w:color w:val="auto"/>
                <w:spacing w:val="-4"/>
                <w:szCs w:val="21"/>
              </w:rPr>
              <w:t>Ⅲ</w:t>
            </w:r>
            <w:r>
              <w:rPr>
                <w:rFonts w:cs="Times New Roman"/>
                <w:color w:val="auto"/>
                <w:szCs w:val="21"/>
              </w:rPr>
              <w:t>类</w:t>
            </w:r>
          </w:p>
        </w:tc>
      </w:tr>
      <w:tr w:rsidR="00240BCE">
        <w:trPr>
          <w:trHeight w:val="930"/>
          <w:jc w:val="center"/>
        </w:trPr>
        <w:tc>
          <w:tcPr>
            <w:tcW w:w="330" w:type="pct"/>
            <w:vMerge/>
            <w:vAlign w:val="center"/>
          </w:tcPr>
          <w:p w:rsidR="00240BCE" w:rsidRDefault="00240BCE">
            <w:pPr>
              <w:pStyle w:val="24CharChar4Char4CharC"/>
              <w:spacing w:line="270" w:lineRule="exact"/>
              <w:rPr>
                <w:rFonts w:cs="Times New Roman"/>
                <w:color w:val="auto"/>
                <w:szCs w:val="21"/>
              </w:rPr>
            </w:pPr>
          </w:p>
        </w:tc>
        <w:tc>
          <w:tcPr>
            <w:tcW w:w="569" w:type="pct"/>
            <w:vAlign w:val="center"/>
          </w:tcPr>
          <w:p w:rsidR="00240BCE" w:rsidRDefault="00AC0334">
            <w:pPr>
              <w:jc w:val="center"/>
              <w:rPr>
                <w:sz w:val="21"/>
                <w:szCs w:val="21"/>
              </w:rPr>
            </w:pPr>
            <w:r>
              <w:rPr>
                <w:sz w:val="21"/>
                <w:szCs w:val="21"/>
              </w:rPr>
              <w:t>纸坊水库</w:t>
            </w:r>
          </w:p>
        </w:tc>
        <w:tc>
          <w:tcPr>
            <w:tcW w:w="1630"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涌泉河中游，总库容</w:t>
            </w:r>
            <w:r>
              <w:rPr>
                <w:rFonts w:cs="Times New Roman"/>
                <w:color w:val="auto"/>
                <w:szCs w:val="21"/>
              </w:rPr>
              <w:t>4425.5</w:t>
            </w:r>
            <w:r>
              <w:rPr>
                <w:rFonts w:cs="Times New Roman"/>
                <w:color w:val="auto"/>
                <w:szCs w:val="21"/>
              </w:rPr>
              <w:t>万</w:t>
            </w:r>
            <w:r>
              <w:rPr>
                <w:rFonts w:cs="Times New Roman"/>
                <w:color w:val="auto"/>
                <w:szCs w:val="21"/>
              </w:rPr>
              <w:t>m</w:t>
            </w:r>
            <w:r>
              <w:rPr>
                <w:rFonts w:cs="Times New Roman"/>
                <w:color w:val="auto"/>
                <w:szCs w:val="21"/>
                <w:vertAlign w:val="superscript"/>
              </w:rPr>
              <w:t>3</w:t>
            </w:r>
            <w:r>
              <w:rPr>
                <w:rFonts w:cs="Times New Roman"/>
                <w:color w:val="auto"/>
                <w:szCs w:val="21"/>
              </w:rPr>
              <w:t>，中型水库，</w:t>
            </w:r>
            <w:r w:rsidR="00B95226">
              <w:rPr>
                <w:rFonts w:cs="Times New Roman"/>
                <w:color w:val="auto"/>
                <w:szCs w:val="21"/>
              </w:rPr>
              <w:fldChar w:fldCharType="begin"/>
            </w:r>
            <w:r>
              <w:rPr>
                <w:rFonts w:cs="Times New Roman"/>
                <w:color w:val="auto"/>
                <w:szCs w:val="21"/>
              </w:rPr>
              <w:instrText xml:space="preserve"> = 3 \* ROMAN </w:instrText>
            </w:r>
            <w:r w:rsidR="00B95226">
              <w:rPr>
                <w:rFonts w:cs="Times New Roman"/>
                <w:color w:val="auto"/>
                <w:szCs w:val="21"/>
              </w:rPr>
              <w:fldChar w:fldCharType="separate"/>
            </w:r>
            <w:r>
              <w:rPr>
                <w:rFonts w:cs="Times New Roman"/>
                <w:color w:val="auto"/>
                <w:szCs w:val="21"/>
              </w:rPr>
              <w:t>III</w:t>
            </w:r>
            <w:r w:rsidR="00B95226">
              <w:rPr>
                <w:rFonts w:cs="Times New Roman"/>
                <w:color w:val="auto"/>
                <w:szCs w:val="21"/>
              </w:rPr>
              <w:fldChar w:fldCharType="end"/>
            </w:r>
            <w:r>
              <w:rPr>
                <w:rFonts w:cs="Times New Roman"/>
                <w:color w:val="auto"/>
                <w:szCs w:val="21"/>
              </w:rPr>
              <w:t>类水体，现状无水</w:t>
            </w:r>
          </w:p>
        </w:tc>
        <w:tc>
          <w:tcPr>
            <w:tcW w:w="1363" w:type="pct"/>
            <w:vAlign w:val="center"/>
          </w:tcPr>
          <w:p w:rsidR="00240BCE" w:rsidRDefault="00AC0334">
            <w:pPr>
              <w:pStyle w:val="184"/>
              <w:spacing w:line="270" w:lineRule="exact"/>
              <w:rPr>
                <w:rFonts w:hAnsi="Times New Roman" w:cs="Times New Roman"/>
                <w:color w:val="auto"/>
                <w:szCs w:val="21"/>
              </w:rPr>
            </w:pPr>
            <w:r>
              <w:rPr>
                <w:rFonts w:hAnsi="Times New Roman" w:cs="Times New Roman"/>
                <w:color w:val="auto"/>
                <w:szCs w:val="21"/>
              </w:rPr>
              <w:t>工业广场</w:t>
            </w:r>
            <w:r>
              <w:rPr>
                <w:rFonts w:hAnsi="Times New Roman" w:cs="Times New Roman"/>
                <w:color w:val="auto"/>
                <w:szCs w:val="21"/>
              </w:rPr>
              <w:t>NWW2850m</w:t>
            </w:r>
          </w:p>
        </w:tc>
        <w:tc>
          <w:tcPr>
            <w:tcW w:w="1106" w:type="pct"/>
            <w:vMerge/>
            <w:vAlign w:val="center"/>
          </w:tcPr>
          <w:p w:rsidR="00240BCE" w:rsidRDefault="00240BCE">
            <w:pPr>
              <w:pStyle w:val="24CharChar4Char4CharC"/>
              <w:spacing w:line="270" w:lineRule="exact"/>
              <w:rPr>
                <w:rFonts w:cs="Times New Roman"/>
                <w:color w:val="auto"/>
                <w:szCs w:val="21"/>
              </w:rPr>
            </w:pPr>
          </w:p>
        </w:tc>
      </w:tr>
      <w:tr w:rsidR="00240BCE">
        <w:trPr>
          <w:trHeight w:val="624"/>
          <w:jc w:val="center"/>
        </w:trPr>
        <w:tc>
          <w:tcPr>
            <w:tcW w:w="330" w:type="pct"/>
            <w:vMerge/>
            <w:vAlign w:val="center"/>
          </w:tcPr>
          <w:p w:rsidR="00240BCE" w:rsidRDefault="00240BCE">
            <w:pPr>
              <w:pStyle w:val="24CharChar4Char4CharC"/>
              <w:spacing w:line="270" w:lineRule="exact"/>
              <w:rPr>
                <w:rFonts w:cs="Times New Roman"/>
                <w:color w:val="auto"/>
                <w:szCs w:val="21"/>
              </w:rPr>
            </w:pPr>
          </w:p>
        </w:tc>
        <w:tc>
          <w:tcPr>
            <w:tcW w:w="569"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涌泉河</w:t>
            </w:r>
          </w:p>
        </w:tc>
        <w:tc>
          <w:tcPr>
            <w:tcW w:w="1630" w:type="pct"/>
            <w:vAlign w:val="center"/>
          </w:tcPr>
          <w:p w:rsidR="00240BCE" w:rsidRDefault="00AC0334">
            <w:pPr>
              <w:pStyle w:val="24CharChar4Char4CharC"/>
              <w:spacing w:line="270" w:lineRule="exact"/>
              <w:jc w:val="both"/>
              <w:rPr>
                <w:rFonts w:cs="Times New Roman"/>
                <w:color w:val="auto"/>
                <w:szCs w:val="21"/>
              </w:rPr>
            </w:pPr>
            <w:r>
              <w:rPr>
                <w:rFonts w:cs="Times New Roman"/>
                <w:color w:val="auto"/>
                <w:szCs w:val="21"/>
              </w:rPr>
              <w:t>颍河支流，</w:t>
            </w:r>
            <w:r w:rsidR="00B95226">
              <w:rPr>
                <w:rFonts w:cs="Times New Roman"/>
                <w:color w:val="auto"/>
                <w:szCs w:val="21"/>
              </w:rPr>
              <w:fldChar w:fldCharType="begin"/>
            </w:r>
            <w:r>
              <w:rPr>
                <w:rFonts w:cs="Times New Roman"/>
                <w:color w:val="auto"/>
                <w:szCs w:val="21"/>
              </w:rPr>
              <w:instrText xml:space="preserve"> = 3 \* ROMAN </w:instrText>
            </w:r>
            <w:r w:rsidR="00B95226">
              <w:rPr>
                <w:rFonts w:cs="Times New Roman"/>
                <w:color w:val="auto"/>
                <w:szCs w:val="21"/>
              </w:rPr>
              <w:fldChar w:fldCharType="separate"/>
            </w:r>
            <w:r>
              <w:rPr>
                <w:rFonts w:cs="Times New Roman"/>
                <w:color w:val="auto"/>
                <w:szCs w:val="21"/>
              </w:rPr>
              <w:t>III</w:t>
            </w:r>
            <w:r w:rsidR="00B95226">
              <w:rPr>
                <w:rFonts w:cs="Times New Roman"/>
                <w:color w:val="auto"/>
                <w:szCs w:val="21"/>
              </w:rPr>
              <w:fldChar w:fldCharType="end"/>
            </w:r>
            <w:r>
              <w:rPr>
                <w:rFonts w:cs="Times New Roman"/>
                <w:color w:val="auto"/>
                <w:szCs w:val="21"/>
              </w:rPr>
              <w:t>类水体，季节性河流，现状无水</w:t>
            </w:r>
          </w:p>
        </w:tc>
        <w:tc>
          <w:tcPr>
            <w:tcW w:w="1363" w:type="pct"/>
            <w:vAlign w:val="center"/>
          </w:tcPr>
          <w:p w:rsidR="00240BCE" w:rsidRDefault="00AC0334">
            <w:pPr>
              <w:pStyle w:val="24CharChar4Char4CharC"/>
              <w:spacing w:line="270" w:lineRule="exact"/>
              <w:rPr>
                <w:rFonts w:cs="Times New Roman"/>
                <w:color w:val="auto"/>
                <w:szCs w:val="21"/>
              </w:rPr>
            </w:pPr>
            <w:r>
              <w:rPr>
                <w:rFonts w:cs="Times New Roman"/>
                <w:szCs w:val="21"/>
              </w:rPr>
              <w:t>工业广场北</w:t>
            </w:r>
            <w:r>
              <w:rPr>
                <w:rFonts w:cs="Times New Roman"/>
                <w:szCs w:val="21"/>
              </w:rPr>
              <w:t>520m</w:t>
            </w:r>
            <w:r>
              <w:rPr>
                <w:rFonts w:cs="Times New Roman"/>
                <w:szCs w:val="21"/>
              </w:rPr>
              <w:t>。</w:t>
            </w:r>
          </w:p>
        </w:tc>
        <w:tc>
          <w:tcPr>
            <w:tcW w:w="1106" w:type="pct"/>
            <w:vMerge/>
            <w:vAlign w:val="center"/>
          </w:tcPr>
          <w:p w:rsidR="00240BCE" w:rsidRDefault="00240BCE">
            <w:pPr>
              <w:pStyle w:val="24CharChar4Char4CharC"/>
              <w:spacing w:line="270" w:lineRule="exact"/>
              <w:rPr>
                <w:rFonts w:cs="Times New Roman"/>
                <w:color w:val="auto"/>
                <w:szCs w:val="21"/>
              </w:rPr>
            </w:pPr>
          </w:p>
        </w:tc>
      </w:tr>
      <w:tr w:rsidR="00240BCE">
        <w:trPr>
          <w:trHeight w:val="941"/>
          <w:jc w:val="center"/>
        </w:trPr>
        <w:tc>
          <w:tcPr>
            <w:tcW w:w="330"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地下水</w:t>
            </w:r>
          </w:p>
        </w:tc>
        <w:tc>
          <w:tcPr>
            <w:tcW w:w="569" w:type="pct"/>
            <w:vAlign w:val="center"/>
          </w:tcPr>
          <w:p w:rsidR="00240BCE" w:rsidRDefault="00AC0334">
            <w:pPr>
              <w:pStyle w:val="81"/>
              <w:spacing w:line="270" w:lineRule="exact"/>
              <w:jc w:val="center"/>
              <w:rPr>
                <w:rFonts w:ascii="Times New Roman" w:eastAsia="宋体" w:hAnsi="Times New Roman"/>
                <w:sz w:val="21"/>
                <w:szCs w:val="21"/>
              </w:rPr>
            </w:pPr>
            <w:r>
              <w:rPr>
                <w:rFonts w:ascii="Times New Roman" w:eastAsia="宋体" w:hAnsi="Times New Roman"/>
                <w:sz w:val="21"/>
                <w:szCs w:val="21"/>
              </w:rPr>
              <w:t>地下水资源</w:t>
            </w:r>
          </w:p>
        </w:tc>
        <w:tc>
          <w:tcPr>
            <w:tcW w:w="1630" w:type="pct"/>
            <w:vAlign w:val="center"/>
          </w:tcPr>
          <w:p w:rsidR="00240BCE" w:rsidRDefault="00AC0334">
            <w:pPr>
              <w:pStyle w:val="61"/>
              <w:spacing w:line="270" w:lineRule="exact"/>
              <w:rPr>
                <w:szCs w:val="21"/>
              </w:rPr>
            </w:pPr>
            <w:r>
              <w:rPr>
                <w:szCs w:val="21"/>
              </w:rPr>
              <w:t>区域地下水</w:t>
            </w:r>
          </w:p>
        </w:tc>
        <w:tc>
          <w:tcPr>
            <w:tcW w:w="1363"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lang w:val="zh-CN"/>
              </w:rPr>
              <w:t>矸石临时堆场淋滤水</w:t>
            </w:r>
          </w:p>
        </w:tc>
        <w:tc>
          <w:tcPr>
            <w:tcW w:w="1106" w:type="pct"/>
            <w:vAlign w:val="center"/>
          </w:tcPr>
          <w:p w:rsidR="00240BCE" w:rsidRDefault="00AC0334">
            <w:pPr>
              <w:pStyle w:val="24CharChar4Char4CharC"/>
              <w:spacing w:line="270" w:lineRule="exact"/>
              <w:rPr>
                <w:rFonts w:cs="Times New Roman"/>
                <w:color w:val="auto"/>
                <w:szCs w:val="21"/>
              </w:rPr>
            </w:pPr>
            <w:r>
              <w:rPr>
                <w:rFonts w:cs="Times New Roman"/>
                <w:color w:val="auto"/>
                <w:szCs w:val="21"/>
              </w:rPr>
              <w:t>《地下水质量标准》</w:t>
            </w:r>
            <w:r>
              <w:rPr>
                <w:rFonts w:cs="Times New Roman"/>
                <w:color w:val="auto"/>
                <w:szCs w:val="21"/>
              </w:rPr>
              <w:t>GB/T14848—2017Ⅲ</w:t>
            </w:r>
            <w:r>
              <w:rPr>
                <w:rFonts w:cs="Times New Roman"/>
                <w:color w:val="auto"/>
                <w:szCs w:val="21"/>
              </w:rPr>
              <w:t>类</w:t>
            </w: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800" w:name="_Toc79668721"/>
      <w:r>
        <w:rPr>
          <w:rFonts w:eastAsia="楷体"/>
          <w:sz w:val="28"/>
          <w:szCs w:val="28"/>
        </w:rPr>
        <w:t xml:space="preserve">6.7.3 </w:t>
      </w:r>
      <w:r>
        <w:rPr>
          <w:rFonts w:eastAsia="楷体"/>
          <w:sz w:val="28"/>
          <w:szCs w:val="28"/>
        </w:rPr>
        <w:t>环境风险识别</w:t>
      </w:r>
      <w:bookmarkEnd w:id="800"/>
    </w:p>
    <w:p w:rsidR="00240BCE" w:rsidRDefault="00AC0334">
      <w:pPr>
        <w:spacing w:line="520" w:lineRule="exact"/>
        <w:ind w:firstLineChars="200" w:firstLine="480"/>
        <w:rPr>
          <w:sz w:val="24"/>
        </w:rPr>
      </w:pPr>
      <w:r>
        <w:rPr>
          <w:sz w:val="24"/>
        </w:rPr>
        <w:t>（</w:t>
      </w:r>
      <w:r>
        <w:rPr>
          <w:sz w:val="24"/>
        </w:rPr>
        <w:t>1</w:t>
      </w:r>
      <w:r>
        <w:rPr>
          <w:sz w:val="24"/>
        </w:rPr>
        <w:t>）物质危险性识别</w:t>
      </w:r>
    </w:p>
    <w:p w:rsidR="00240BCE" w:rsidRDefault="00AC0334">
      <w:pPr>
        <w:spacing w:line="520" w:lineRule="exact"/>
        <w:ind w:firstLineChars="200" w:firstLine="480"/>
        <w:rPr>
          <w:sz w:val="24"/>
        </w:rPr>
      </w:pPr>
      <w:r>
        <w:rPr>
          <w:sz w:val="24"/>
        </w:rPr>
        <w:t>根据初步设计和现场调查，本项目采用井工开采，无露天排土场；煤矸石量少，分拣后直接装车外运制砖；本项目属于低瓦斯矿井，不设置瓦斯抽排，无瓦斯储罐。项目不涉及风险物质。</w:t>
      </w:r>
    </w:p>
    <w:p w:rsidR="00240BCE" w:rsidRDefault="00AC0334">
      <w:pPr>
        <w:spacing w:line="520" w:lineRule="exact"/>
        <w:ind w:firstLineChars="200" w:firstLine="480"/>
        <w:rPr>
          <w:sz w:val="24"/>
        </w:rPr>
      </w:pPr>
      <w:r>
        <w:rPr>
          <w:sz w:val="24"/>
        </w:rPr>
        <w:t>（</w:t>
      </w:r>
      <w:r>
        <w:rPr>
          <w:sz w:val="24"/>
        </w:rPr>
        <w:t>2</w:t>
      </w:r>
      <w:r>
        <w:rPr>
          <w:sz w:val="24"/>
        </w:rPr>
        <w:t>）生产系统危险性识别</w:t>
      </w:r>
    </w:p>
    <w:p w:rsidR="00240BCE" w:rsidRDefault="00AC0334">
      <w:pPr>
        <w:spacing w:line="520" w:lineRule="exact"/>
        <w:ind w:firstLineChars="200" w:firstLine="480"/>
        <w:rPr>
          <w:b/>
          <w:spacing w:val="2"/>
          <w:sz w:val="24"/>
          <w:u w:val="single"/>
        </w:rPr>
      </w:pPr>
      <w:r>
        <w:rPr>
          <w:sz w:val="24"/>
        </w:rPr>
        <w:t>生产系统的风险：储煤棚粉尘治理工程异常造成环境空气超标风险；矿井涌水、生活污水治理工程异常造成地表水、地下水超标的风险。</w:t>
      </w:r>
    </w:p>
    <w:p w:rsidR="00240BCE" w:rsidRDefault="00AC0334">
      <w:pPr>
        <w:spacing w:line="520" w:lineRule="exact"/>
        <w:ind w:firstLineChars="200" w:firstLine="480"/>
        <w:rPr>
          <w:sz w:val="24"/>
        </w:rPr>
      </w:pPr>
      <w:r>
        <w:rPr>
          <w:sz w:val="24"/>
        </w:rPr>
        <w:t>（</w:t>
      </w:r>
      <w:r>
        <w:rPr>
          <w:sz w:val="24"/>
        </w:rPr>
        <w:t>3</w:t>
      </w:r>
      <w:r>
        <w:rPr>
          <w:sz w:val="24"/>
        </w:rPr>
        <w:t>）危险物质向环境转移途径识别：根据识别，本项目风险主要为环保治理工程工况异常对环境产生的风险，包括储煤棚粉尘治理工程泄露引起环境空气超标，废水治理工程泄露引起地下水环境质量超标。主要的转移途径是泄露。</w:t>
      </w:r>
    </w:p>
    <w:p w:rsidR="00240BCE" w:rsidRDefault="00AC0334">
      <w:pPr>
        <w:spacing w:line="520" w:lineRule="exact"/>
        <w:ind w:firstLineChars="200" w:firstLine="480"/>
        <w:rPr>
          <w:sz w:val="24"/>
        </w:rPr>
      </w:pPr>
      <w:r>
        <w:rPr>
          <w:sz w:val="24"/>
        </w:rPr>
        <w:t>根据风险识别的内容，确定项目的风险单元为储煤棚、矿井涌水处理站、生活污水处理站。</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01" w:name="_Toc79668722"/>
      <w:r>
        <w:rPr>
          <w:rFonts w:eastAsia="楷体"/>
          <w:sz w:val="28"/>
          <w:szCs w:val="28"/>
        </w:rPr>
        <w:lastRenderedPageBreak/>
        <w:t xml:space="preserve">6.7.4 </w:t>
      </w:r>
      <w:r>
        <w:rPr>
          <w:rFonts w:eastAsia="楷体"/>
          <w:sz w:val="28"/>
          <w:szCs w:val="28"/>
        </w:rPr>
        <w:t>环境风险分析</w:t>
      </w:r>
      <w:bookmarkEnd w:id="801"/>
    </w:p>
    <w:p w:rsidR="00240BCE" w:rsidRDefault="00AC0334">
      <w:pPr>
        <w:spacing w:line="520" w:lineRule="exact"/>
        <w:ind w:firstLineChars="200" w:firstLine="480"/>
        <w:rPr>
          <w:sz w:val="24"/>
        </w:rPr>
      </w:pPr>
      <w:r>
        <w:rPr>
          <w:sz w:val="24"/>
        </w:rPr>
        <w:t>根据判定，本项目的风险潜势判定为</w:t>
      </w:r>
      <w:r>
        <w:rPr>
          <w:sz w:val="24"/>
        </w:rPr>
        <w:t>Ⅰ</w:t>
      </w:r>
      <w:r>
        <w:rPr>
          <w:sz w:val="24"/>
        </w:rPr>
        <w:t>，环境风险可开展简单分析。</w:t>
      </w:r>
    </w:p>
    <w:p w:rsidR="00CC503E" w:rsidRDefault="00CC503E" w:rsidP="00CC503E">
      <w:pPr>
        <w:adjustRightInd w:val="0"/>
        <w:snapToGrid w:val="0"/>
        <w:spacing w:line="520" w:lineRule="exact"/>
        <w:rPr>
          <w:sz w:val="24"/>
        </w:rPr>
      </w:pPr>
      <w:r>
        <w:rPr>
          <w:rFonts w:hint="eastAsia"/>
          <w:sz w:val="24"/>
        </w:rPr>
        <w:t>6.7.4.1</w:t>
      </w:r>
      <w:r w:rsidR="00AC0334">
        <w:rPr>
          <w:sz w:val="24"/>
        </w:rPr>
        <w:t>大气环境风险分析</w:t>
      </w:r>
    </w:p>
    <w:p w:rsidR="00240BCE" w:rsidRDefault="00AC0334" w:rsidP="00CC503E">
      <w:pPr>
        <w:adjustRightInd w:val="0"/>
        <w:snapToGrid w:val="0"/>
        <w:spacing w:line="520" w:lineRule="exact"/>
        <w:ind w:firstLineChars="200" w:firstLine="480"/>
        <w:rPr>
          <w:sz w:val="24"/>
        </w:rPr>
      </w:pPr>
      <w:r>
        <w:rPr>
          <w:sz w:val="24"/>
        </w:rPr>
        <w:t>项目废气排放主要包括储煤棚无组织粉尘颗粒物。若不采取洒水抑尘、湿法作业，治理不善必然会导致项目区域及周边敏感目标的大气环境质量超标，超标因子主要为粉尘颗粒物（</w:t>
      </w:r>
      <w:r>
        <w:rPr>
          <w:sz w:val="24"/>
        </w:rPr>
        <w:t>TSP</w:t>
      </w:r>
      <w:r>
        <w:rPr>
          <w:sz w:val="24"/>
        </w:rPr>
        <w:t>）污染因子。</w:t>
      </w:r>
    </w:p>
    <w:p w:rsidR="00CC503E" w:rsidRDefault="00CC503E" w:rsidP="00CC503E">
      <w:pPr>
        <w:adjustRightInd w:val="0"/>
        <w:snapToGrid w:val="0"/>
        <w:spacing w:line="520" w:lineRule="exact"/>
        <w:rPr>
          <w:sz w:val="24"/>
        </w:rPr>
      </w:pPr>
      <w:r>
        <w:rPr>
          <w:rFonts w:hint="eastAsia"/>
          <w:sz w:val="24"/>
        </w:rPr>
        <w:t>6.7.4.2</w:t>
      </w:r>
      <w:r w:rsidRPr="00CC503E">
        <w:rPr>
          <w:rFonts w:hint="eastAsia"/>
          <w:sz w:val="24"/>
        </w:rPr>
        <w:t>矿井水和生活污水处理设施非正常工况风险事故影响分析</w:t>
      </w:r>
    </w:p>
    <w:p w:rsidR="00CC503E" w:rsidRPr="00CC503E" w:rsidRDefault="00AC0334" w:rsidP="00CC503E">
      <w:pPr>
        <w:adjustRightInd w:val="0"/>
        <w:snapToGrid w:val="0"/>
        <w:spacing w:line="520" w:lineRule="exact"/>
        <w:ind w:firstLineChars="196" w:firstLine="470"/>
        <w:rPr>
          <w:sz w:val="24"/>
        </w:rPr>
      </w:pPr>
      <w:r>
        <w:rPr>
          <w:sz w:val="24"/>
        </w:rPr>
        <w:t>项目矿井水、生活</w:t>
      </w:r>
      <w:r w:rsidR="00CC503E">
        <w:rPr>
          <w:rFonts w:hint="eastAsia"/>
          <w:sz w:val="24"/>
        </w:rPr>
        <w:t>污水</w:t>
      </w:r>
      <w:r>
        <w:rPr>
          <w:sz w:val="24"/>
        </w:rPr>
        <w:t>处理设施异常直接排放，会随地表径流污染地表水，造成地</w:t>
      </w:r>
      <w:r w:rsidR="00CC503E">
        <w:rPr>
          <w:rFonts w:hint="eastAsia"/>
          <w:sz w:val="24"/>
        </w:rPr>
        <w:t>表水</w:t>
      </w:r>
      <w:r>
        <w:rPr>
          <w:sz w:val="24"/>
        </w:rPr>
        <w:t>环境污染。</w:t>
      </w:r>
    </w:p>
    <w:p w:rsidR="00CC503E" w:rsidRPr="00CC503E" w:rsidRDefault="00CC503E" w:rsidP="00CC503E">
      <w:pPr>
        <w:adjustRightInd w:val="0"/>
        <w:snapToGrid w:val="0"/>
        <w:spacing w:line="520" w:lineRule="exact"/>
        <w:ind w:firstLineChars="196" w:firstLine="470"/>
        <w:rPr>
          <w:sz w:val="24"/>
        </w:rPr>
      </w:pPr>
      <w:r>
        <w:rPr>
          <w:rFonts w:hint="eastAsia"/>
          <w:sz w:val="24"/>
        </w:rPr>
        <w:t>1</w:t>
      </w:r>
      <w:r>
        <w:rPr>
          <w:rFonts w:hint="eastAsia"/>
          <w:sz w:val="24"/>
        </w:rPr>
        <w:t>、</w:t>
      </w:r>
      <w:r w:rsidRPr="00CC503E">
        <w:rPr>
          <w:rFonts w:hint="eastAsia"/>
          <w:sz w:val="24"/>
        </w:rPr>
        <w:t>事故源项分析</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矿井水正常排水量</w:t>
      </w:r>
      <w:r w:rsidR="007C637E">
        <w:rPr>
          <w:rFonts w:hint="eastAsia"/>
          <w:sz w:val="24"/>
        </w:rPr>
        <w:t>4</w:t>
      </w:r>
      <w:r w:rsidRPr="00CC503E">
        <w:rPr>
          <w:rFonts w:hint="eastAsia"/>
          <w:sz w:val="24"/>
        </w:rPr>
        <w:t>656m</w:t>
      </w:r>
      <w:r w:rsidRPr="00CC503E">
        <w:rPr>
          <w:rFonts w:hint="eastAsia"/>
          <w:sz w:val="24"/>
        </w:rPr>
        <w:t>³</w:t>
      </w:r>
      <w:r w:rsidRPr="00CC503E">
        <w:rPr>
          <w:rFonts w:hint="eastAsia"/>
          <w:sz w:val="24"/>
        </w:rPr>
        <w:t>/d</w:t>
      </w:r>
      <w:r w:rsidR="007C637E">
        <w:rPr>
          <w:rFonts w:hint="eastAsia"/>
          <w:sz w:val="24"/>
        </w:rPr>
        <w:t>（</w:t>
      </w:r>
      <w:r w:rsidR="007C637E">
        <w:rPr>
          <w:spacing w:val="2"/>
          <w:sz w:val="24"/>
        </w:rPr>
        <w:t>194m</w:t>
      </w:r>
      <w:r w:rsidR="007C637E">
        <w:rPr>
          <w:spacing w:val="2"/>
          <w:sz w:val="24"/>
          <w:vertAlign w:val="superscript"/>
        </w:rPr>
        <w:t>3</w:t>
      </w:r>
      <w:r w:rsidR="007C637E">
        <w:rPr>
          <w:spacing w:val="2"/>
          <w:sz w:val="24"/>
        </w:rPr>
        <w:t>/h</w:t>
      </w:r>
      <w:r w:rsidR="007C637E">
        <w:rPr>
          <w:rFonts w:hint="eastAsia"/>
          <w:sz w:val="24"/>
        </w:rPr>
        <w:t>）</w:t>
      </w:r>
      <w:r w:rsidRPr="00CC503E">
        <w:rPr>
          <w:rFonts w:hint="eastAsia"/>
          <w:sz w:val="24"/>
        </w:rPr>
        <w:t>，设计矿井水处理站处理规模</w:t>
      </w:r>
      <w:r w:rsidR="007C637E">
        <w:rPr>
          <w:rFonts w:hint="eastAsia"/>
          <w:sz w:val="24"/>
        </w:rPr>
        <w:t>57</w:t>
      </w:r>
      <w:r w:rsidRPr="00CC503E">
        <w:rPr>
          <w:rFonts w:hint="eastAsia"/>
          <w:sz w:val="24"/>
        </w:rPr>
        <w:t>60m</w:t>
      </w:r>
      <w:r w:rsidRPr="00CC503E">
        <w:rPr>
          <w:rFonts w:hint="eastAsia"/>
          <w:sz w:val="24"/>
        </w:rPr>
        <w:t>³</w:t>
      </w:r>
      <w:r w:rsidRPr="00CC503E">
        <w:rPr>
          <w:rFonts w:hint="eastAsia"/>
          <w:sz w:val="24"/>
        </w:rPr>
        <w:t>/d</w:t>
      </w:r>
      <w:r w:rsidR="007C637E">
        <w:rPr>
          <w:rFonts w:hint="eastAsia"/>
          <w:sz w:val="24"/>
        </w:rPr>
        <w:t>（</w:t>
      </w:r>
      <w:r w:rsidR="007C637E">
        <w:rPr>
          <w:color w:val="000000"/>
          <w:spacing w:val="2"/>
          <w:sz w:val="24"/>
        </w:rPr>
        <w:t>240m</w:t>
      </w:r>
      <w:r w:rsidR="007C637E">
        <w:rPr>
          <w:color w:val="000000"/>
          <w:spacing w:val="2"/>
          <w:sz w:val="24"/>
          <w:vertAlign w:val="superscript"/>
        </w:rPr>
        <w:t>3</w:t>
      </w:r>
      <w:r w:rsidR="007C637E">
        <w:rPr>
          <w:color w:val="000000"/>
          <w:spacing w:val="2"/>
          <w:sz w:val="24"/>
        </w:rPr>
        <w:t>/h</w:t>
      </w:r>
      <w:r w:rsidR="007C637E">
        <w:rPr>
          <w:rFonts w:hint="eastAsia"/>
          <w:sz w:val="24"/>
        </w:rPr>
        <w:t>）</w:t>
      </w:r>
      <w:r w:rsidRPr="00CC503E">
        <w:rPr>
          <w:rFonts w:hint="eastAsia"/>
          <w:sz w:val="24"/>
        </w:rPr>
        <w:t>。在</w:t>
      </w:r>
      <w:r w:rsidR="007C637E">
        <w:rPr>
          <w:rFonts w:hint="eastAsia"/>
          <w:sz w:val="24"/>
        </w:rPr>
        <w:t>矿井水处理站出现事故检修或</w:t>
      </w:r>
      <w:r w:rsidRPr="00CC503E">
        <w:rPr>
          <w:rFonts w:hint="eastAsia"/>
          <w:sz w:val="24"/>
        </w:rPr>
        <w:t>输水管路破裂的情况下，矿井水可能出现事故外排。</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工业场地生产、生活污废水量约为</w:t>
      </w:r>
      <w:r w:rsidRPr="00CC503E">
        <w:rPr>
          <w:rFonts w:hint="eastAsia"/>
          <w:sz w:val="24"/>
        </w:rPr>
        <w:t xml:space="preserve"> </w:t>
      </w:r>
      <w:r w:rsidR="00C01B4C">
        <w:rPr>
          <w:rFonts w:hint="eastAsia"/>
          <w:sz w:val="24"/>
        </w:rPr>
        <w:t>66.2</w:t>
      </w:r>
      <w:r w:rsidRPr="00CC503E">
        <w:rPr>
          <w:rFonts w:hint="eastAsia"/>
          <w:sz w:val="24"/>
        </w:rPr>
        <w:t>m</w:t>
      </w:r>
      <w:r w:rsidRPr="00CC503E">
        <w:rPr>
          <w:rFonts w:hint="eastAsia"/>
          <w:sz w:val="24"/>
        </w:rPr>
        <w:t>³</w:t>
      </w:r>
      <w:r w:rsidRPr="00CC503E">
        <w:rPr>
          <w:rFonts w:hint="eastAsia"/>
          <w:sz w:val="24"/>
        </w:rPr>
        <w:t>/d</w:t>
      </w:r>
      <w:r w:rsidRPr="00CC503E">
        <w:rPr>
          <w:rFonts w:hint="eastAsia"/>
          <w:sz w:val="24"/>
        </w:rPr>
        <w:t>，配套的生活污水处理站处理规模为</w:t>
      </w:r>
      <w:r w:rsidR="007C637E">
        <w:rPr>
          <w:rFonts w:hint="eastAsia"/>
          <w:sz w:val="24"/>
        </w:rPr>
        <w:t>24</w:t>
      </w:r>
      <w:r w:rsidRPr="00CC503E">
        <w:rPr>
          <w:rFonts w:hint="eastAsia"/>
          <w:sz w:val="24"/>
        </w:rPr>
        <w:t>0m</w:t>
      </w:r>
      <w:r w:rsidRPr="00CC503E">
        <w:rPr>
          <w:rFonts w:hint="eastAsia"/>
          <w:sz w:val="24"/>
        </w:rPr>
        <w:t>³</w:t>
      </w:r>
      <w:r w:rsidRPr="00CC503E">
        <w:rPr>
          <w:rFonts w:hint="eastAsia"/>
          <w:sz w:val="24"/>
        </w:rPr>
        <w:t>/d</w:t>
      </w:r>
      <w:r w:rsidRPr="00CC503E">
        <w:rPr>
          <w:rFonts w:hint="eastAsia"/>
          <w:sz w:val="24"/>
        </w:rPr>
        <w:t>。在</w:t>
      </w:r>
      <w:r w:rsidR="007C637E">
        <w:rPr>
          <w:rFonts w:hint="eastAsia"/>
          <w:sz w:val="24"/>
        </w:rPr>
        <w:t>处理站出现事故检修或</w:t>
      </w:r>
      <w:r w:rsidRPr="00CC503E">
        <w:rPr>
          <w:rFonts w:hint="eastAsia"/>
          <w:sz w:val="24"/>
        </w:rPr>
        <w:t>排水管道破裂的情况下，生活污水</w:t>
      </w:r>
      <w:r w:rsidR="00C01B4C">
        <w:rPr>
          <w:rFonts w:hint="eastAsia"/>
          <w:sz w:val="24"/>
        </w:rPr>
        <w:t>进入</w:t>
      </w:r>
      <w:r w:rsidR="00C01B4C">
        <w:rPr>
          <w:rFonts w:hint="eastAsia"/>
          <w:sz w:val="24"/>
        </w:rPr>
        <w:t>3000m</w:t>
      </w:r>
      <w:r w:rsidR="00C01B4C">
        <w:rPr>
          <w:rFonts w:hint="eastAsia"/>
          <w:sz w:val="24"/>
          <w:vertAlign w:val="superscript"/>
        </w:rPr>
        <w:t>3</w:t>
      </w:r>
      <w:r w:rsidR="00C01B4C">
        <w:rPr>
          <w:rFonts w:hint="eastAsia"/>
          <w:sz w:val="24"/>
        </w:rPr>
        <w:t>事故水池，基本不</w:t>
      </w:r>
      <w:r w:rsidRPr="00CC503E">
        <w:rPr>
          <w:rFonts w:hint="eastAsia"/>
          <w:sz w:val="24"/>
        </w:rPr>
        <w:t>可能出现事故排放。</w:t>
      </w:r>
    </w:p>
    <w:p w:rsidR="00CC503E" w:rsidRPr="00CC503E" w:rsidRDefault="00CC503E" w:rsidP="00CC503E">
      <w:pPr>
        <w:adjustRightInd w:val="0"/>
        <w:snapToGrid w:val="0"/>
        <w:spacing w:line="520" w:lineRule="exact"/>
        <w:ind w:firstLineChars="196" w:firstLine="470"/>
        <w:rPr>
          <w:sz w:val="24"/>
        </w:rPr>
      </w:pPr>
      <w:r>
        <w:rPr>
          <w:rFonts w:hint="eastAsia"/>
          <w:sz w:val="24"/>
        </w:rPr>
        <w:t>2</w:t>
      </w:r>
      <w:r>
        <w:rPr>
          <w:rFonts w:hint="eastAsia"/>
          <w:sz w:val="24"/>
        </w:rPr>
        <w:t>、</w:t>
      </w:r>
      <w:r w:rsidRPr="00CC503E">
        <w:rPr>
          <w:rFonts w:hint="eastAsia"/>
          <w:sz w:val="24"/>
        </w:rPr>
        <w:t>风险影响分析</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矿井水主要水质指标如下：</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SS</w:t>
      </w:r>
      <w:r w:rsidRPr="00CC503E">
        <w:rPr>
          <w:rFonts w:hint="eastAsia"/>
          <w:sz w:val="24"/>
        </w:rPr>
        <w:t>：</w:t>
      </w:r>
      <w:r w:rsidRPr="00CC503E">
        <w:rPr>
          <w:rFonts w:hint="eastAsia"/>
          <w:sz w:val="24"/>
        </w:rPr>
        <w:t>150mg/L</w:t>
      </w:r>
      <w:r w:rsidRPr="00CC503E">
        <w:rPr>
          <w:rFonts w:hint="eastAsia"/>
          <w:sz w:val="24"/>
        </w:rPr>
        <w:t>以下；</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COD</w:t>
      </w:r>
      <w:r w:rsidRPr="00CC503E">
        <w:rPr>
          <w:rFonts w:hint="eastAsia"/>
          <w:sz w:val="24"/>
        </w:rPr>
        <w:t>：</w:t>
      </w:r>
      <w:r w:rsidRPr="00CC503E">
        <w:rPr>
          <w:rFonts w:hint="eastAsia"/>
          <w:sz w:val="24"/>
        </w:rPr>
        <w:t>70mg/L</w:t>
      </w:r>
      <w:r w:rsidRPr="00CC503E">
        <w:rPr>
          <w:rFonts w:hint="eastAsia"/>
          <w:sz w:val="24"/>
        </w:rPr>
        <w:t>以下；</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石油类：</w:t>
      </w:r>
      <w:r w:rsidRPr="00CC503E">
        <w:rPr>
          <w:rFonts w:hint="eastAsia"/>
          <w:sz w:val="24"/>
        </w:rPr>
        <w:t>4mg/L</w:t>
      </w:r>
      <w:r w:rsidRPr="00CC503E">
        <w:rPr>
          <w:rFonts w:hint="eastAsia"/>
          <w:sz w:val="24"/>
        </w:rPr>
        <w:t>以下；</w:t>
      </w:r>
    </w:p>
    <w:p w:rsidR="00CC503E" w:rsidRDefault="00CC503E" w:rsidP="00CC503E">
      <w:pPr>
        <w:adjustRightInd w:val="0"/>
        <w:snapToGrid w:val="0"/>
        <w:spacing w:line="520" w:lineRule="exact"/>
        <w:ind w:firstLineChars="196" w:firstLine="470"/>
        <w:rPr>
          <w:sz w:val="24"/>
        </w:rPr>
      </w:pPr>
      <w:r w:rsidRPr="00CC503E">
        <w:rPr>
          <w:rFonts w:hint="eastAsia"/>
          <w:sz w:val="24"/>
        </w:rPr>
        <w:t>在最不利情况矿井水</w:t>
      </w:r>
      <w:r w:rsidR="007C637E">
        <w:rPr>
          <w:rFonts w:hint="eastAsia"/>
          <w:sz w:val="24"/>
        </w:rPr>
        <w:t>处理站</w:t>
      </w:r>
      <w:r w:rsidRPr="00CC503E">
        <w:rPr>
          <w:rFonts w:hint="eastAsia"/>
          <w:sz w:val="24"/>
        </w:rPr>
        <w:t>出现事故</w:t>
      </w:r>
      <w:r w:rsidR="007C637E">
        <w:rPr>
          <w:rFonts w:hint="eastAsia"/>
          <w:sz w:val="24"/>
        </w:rPr>
        <w:t>不能处理的情况下</w:t>
      </w:r>
      <w:r w:rsidRPr="00CC503E">
        <w:rPr>
          <w:rFonts w:hint="eastAsia"/>
          <w:sz w:val="24"/>
        </w:rPr>
        <w:t>，</w:t>
      </w:r>
      <w:r w:rsidR="007C637E">
        <w:rPr>
          <w:rFonts w:hint="eastAsia"/>
          <w:sz w:val="24"/>
        </w:rPr>
        <w:t>矿井水首先储存在井下水仓（</w:t>
      </w:r>
      <w:r w:rsidR="007C637E">
        <w:rPr>
          <w:rFonts w:hint="eastAsia"/>
          <w:sz w:val="24"/>
        </w:rPr>
        <w:t>2</w:t>
      </w:r>
      <w:r w:rsidR="007C637E">
        <w:rPr>
          <w:rFonts w:hint="eastAsia"/>
          <w:sz w:val="24"/>
        </w:rPr>
        <w:t>座，分别为</w:t>
      </w:r>
      <w:r w:rsidR="00DE581B">
        <w:rPr>
          <w:rFonts w:hint="eastAsia"/>
          <w:sz w:val="24"/>
        </w:rPr>
        <w:t>495m</w:t>
      </w:r>
      <w:r w:rsidR="00DE581B">
        <w:rPr>
          <w:rFonts w:hint="eastAsia"/>
          <w:sz w:val="24"/>
          <w:vertAlign w:val="superscript"/>
        </w:rPr>
        <w:t>3</w:t>
      </w:r>
      <w:r w:rsidR="00DE581B">
        <w:rPr>
          <w:rFonts w:hint="eastAsia"/>
          <w:sz w:val="24"/>
        </w:rPr>
        <w:t>、</w:t>
      </w:r>
      <w:r w:rsidR="00DE581B">
        <w:rPr>
          <w:rFonts w:hint="eastAsia"/>
          <w:sz w:val="24"/>
        </w:rPr>
        <w:t>784m</w:t>
      </w:r>
      <w:r w:rsidR="00DE581B">
        <w:rPr>
          <w:rFonts w:hint="eastAsia"/>
          <w:sz w:val="24"/>
          <w:vertAlign w:val="superscript"/>
        </w:rPr>
        <w:t>3</w:t>
      </w:r>
      <w:r w:rsidR="00DE581B">
        <w:rPr>
          <w:rFonts w:hint="eastAsia"/>
          <w:sz w:val="24"/>
        </w:rPr>
        <w:t>，总容积</w:t>
      </w:r>
      <w:r w:rsidR="00DE581B">
        <w:rPr>
          <w:rFonts w:hint="eastAsia"/>
          <w:sz w:val="24"/>
        </w:rPr>
        <w:t>1279m</w:t>
      </w:r>
      <w:r w:rsidR="00DE581B">
        <w:rPr>
          <w:rFonts w:hint="eastAsia"/>
          <w:sz w:val="24"/>
          <w:vertAlign w:val="superscript"/>
        </w:rPr>
        <w:t>3</w:t>
      </w:r>
      <w:r w:rsidR="007C637E">
        <w:rPr>
          <w:rFonts w:hint="eastAsia"/>
          <w:sz w:val="24"/>
        </w:rPr>
        <w:t>）</w:t>
      </w:r>
      <w:r w:rsidR="00DE581B">
        <w:rPr>
          <w:rFonts w:hint="eastAsia"/>
          <w:sz w:val="24"/>
        </w:rPr>
        <w:t>，</w:t>
      </w:r>
      <w:r w:rsidR="00C01B4C">
        <w:rPr>
          <w:rFonts w:hint="eastAsia"/>
          <w:sz w:val="24"/>
        </w:rPr>
        <w:t>短期</w:t>
      </w:r>
      <w:r w:rsidR="00DE581B">
        <w:rPr>
          <w:rFonts w:ascii="宋体" w:hAnsi="宋体" w:hint="eastAsia"/>
          <w:color w:val="000000"/>
          <w:spacing w:val="2"/>
          <w:sz w:val="24"/>
        </w:rPr>
        <w:t>当不能完成</w:t>
      </w:r>
      <w:r w:rsidR="00C01B4C">
        <w:rPr>
          <w:rFonts w:ascii="宋体" w:hAnsi="宋体" w:hint="eastAsia"/>
          <w:color w:val="000000"/>
          <w:spacing w:val="2"/>
          <w:sz w:val="24"/>
        </w:rPr>
        <w:t>维修</w:t>
      </w:r>
      <w:r w:rsidR="00DE581B">
        <w:rPr>
          <w:rFonts w:ascii="宋体" w:hAnsi="宋体" w:hint="eastAsia"/>
          <w:color w:val="000000"/>
          <w:spacing w:val="2"/>
          <w:sz w:val="24"/>
        </w:rPr>
        <w:t>的情况下，矿井水会进入赵沟河、纸坊水库</w:t>
      </w:r>
      <w:r w:rsidR="00DE581B">
        <w:rPr>
          <w:rFonts w:hint="eastAsia"/>
          <w:sz w:val="24"/>
        </w:rPr>
        <w:t>，由于赵沟河、纸坊水库均常年干枯污水，且纸坊水库总库容</w:t>
      </w:r>
      <w:r w:rsidR="00483EE4">
        <w:rPr>
          <w:sz w:val="24"/>
        </w:rPr>
        <w:t>4425.5</w:t>
      </w:r>
      <w:r w:rsidR="00483EE4">
        <w:rPr>
          <w:sz w:val="24"/>
        </w:rPr>
        <w:t>万</w:t>
      </w:r>
      <w:r w:rsidR="00483EE4">
        <w:rPr>
          <w:sz w:val="24"/>
        </w:rPr>
        <w:t>m</w:t>
      </w:r>
      <w:r w:rsidR="00483EE4">
        <w:rPr>
          <w:sz w:val="24"/>
          <w:vertAlign w:val="superscript"/>
        </w:rPr>
        <w:t>3</w:t>
      </w:r>
      <w:r w:rsidR="00483EE4">
        <w:rPr>
          <w:sz w:val="24"/>
        </w:rPr>
        <w:t>，</w:t>
      </w:r>
      <w:r w:rsidR="00483EE4">
        <w:rPr>
          <w:rFonts w:hint="eastAsia"/>
          <w:sz w:val="24"/>
        </w:rPr>
        <w:t>不考虑下渗及其它来水情况下，</w:t>
      </w:r>
      <w:r w:rsidR="00483EE4">
        <w:rPr>
          <w:sz w:val="24"/>
        </w:rPr>
        <w:t>能容纳本项目</w:t>
      </w:r>
      <w:r w:rsidR="00483EE4">
        <w:rPr>
          <w:sz w:val="24"/>
        </w:rPr>
        <w:t>26.6a</w:t>
      </w:r>
      <w:r w:rsidR="00483EE4">
        <w:rPr>
          <w:sz w:val="24"/>
        </w:rPr>
        <w:lastRenderedPageBreak/>
        <w:t>的排水量</w:t>
      </w:r>
      <w:r w:rsidR="00483EE4">
        <w:rPr>
          <w:rFonts w:hint="eastAsia"/>
          <w:sz w:val="24"/>
        </w:rPr>
        <w:t>，不会外排对下游水体造成影响；</w:t>
      </w:r>
      <w:r w:rsidR="00483EE4">
        <w:rPr>
          <w:sz w:val="24"/>
        </w:rPr>
        <w:t>且纸坊水库配套有灌溉渠及灌溉设施</w:t>
      </w:r>
      <w:r w:rsidR="00483EE4">
        <w:rPr>
          <w:rFonts w:hint="eastAsia"/>
          <w:sz w:val="24"/>
        </w:rPr>
        <w:t>，能保证本项目矿井水进入后用于周边灌溉不外排。另外</w:t>
      </w:r>
      <w:r w:rsidRPr="00CC503E">
        <w:rPr>
          <w:rFonts w:hint="eastAsia"/>
          <w:sz w:val="24"/>
        </w:rPr>
        <w:t>矿井水污染物较为简单（主要污染物为</w:t>
      </w:r>
      <w:r w:rsidRPr="00CC503E">
        <w:rPr>
          <w:rFonts w:hint="eastAsia"/>
          <w:sz w:val="24"/>
        </w:rPr>
        <w:t xml:space="preserve"> SS</w:t>
      </w:r>
      <w:r w:rsidRPr="00CC503E">
        <w:rPr>
          <w:rFonts w:hint="eastAsia"/>
          <w:sz w:val="24"/>
        </w:rPr>
        <w:t>、</w:t>
      </w:r>
      <w:r w:rsidRPr="00CC503E">
        <w:rPr>
          <w:rFonts w:hint="eastAsia"/>
          <w:sz w:val="24"/>
        </w:rPr>
        <w:t>COD</w:t>
      </w:r>
      <w:r w:rsidRPr="00CC503E">
        <w:rPr>
          <w:rFonts w:hint="eastAsia"/>
          <w:sz w:val="24"/>
        </w:rPr>
        <w:t>、石油类），经过</w:t>
      </w:r>
      <w:r w:rsidR="00483EE4">
        <w:rPr>
          <w:rFonts w:hint="eastAsia"/>
          <w:sz w:val="24"/>
        </w:rPr>
        <w:t>赵沟河、涌泉河进入纸坊水库过程中自然</w:t>
      </w:r>
      <w:r w:rsidRPr="00CC503E">
        <w:rPr>
          <w:rFonts w:hint="eastAsia"/>
          <w:sz w:val="24"/>
        </w:rPr>
        <w:t>沉淀就能去除绝大多数污染物。因此矿井水事故排放不会对下游水质造成较大影响。</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生活污水主要水质指标如下：</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SS</w:t>
      </w:r>
      <w:r w:rsidRPr="00CC503E">
        <w:rPr>
          <w:rFonts w:hint="eastAsia"/>
          <w:sz w:val="24"/>
        </w:rPr>
        <w:t>：</w:t>
      </w:r>
      <w:r w:rsidRPr="00CC503E">
        <w:rPr>
          <w:rFonts w:hint="eastAsia"/>
          <w:sz w:val="24"/>
        </w:rPr>
        <w:t xml:space="preserve">200mg/L </w:t>
      </w:r>
      <w:r w:rsidRPr="00CC503E">
        <w:rPr>
          <w:rFonts w:hint="eastAsia"/>
          <w:sz w:val="24"/>
        </w:rPr>
        <w:t>以下；</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COD</w:t>
      </w:r>
      <w:r w:rsidRPr="00CC503E">
        <w:rPr>
          <w:rFonts w:hint="eastAsia"/>
          <w:sz w:val="24"/>
        </w:rPr>
        <w:t>：</w:t>
      </w:r>
      <w:r w:rsidRPr="00CC503E">
        <w:rPr>
          <w:rFonts w:hint="eastAsia"/>
          <w:sz w:val="24"/>
        </w:rPr>
        <w:t xml:space="preserve">150mg/L </w:t>
      </w:r>
      <w:r w:rsidRPr="00CC503E">
        <w:rPr>
          <w:rFonts w:hint="eastAsia"/>
          <w:sz w:val="24"/>
        </w:rPr>
        <w:t>以下；</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NH</w:t>
      </w:r>
      <w:r w:rsidRPr="00483EE4">
        <w:rPr>
          <w:rFonts w:hint="eastAsia"/>
          <w:sz w:val="24"/>
          <w:vertAlign w:val="subscript"/>
        </w:rPr>
        <w:t>3</w:t>
      </w:r>
      <w:r w:rsidRPr="00CC503E">
        <w:rPr>
          <w:rFonts w:hint="eastAsia"/>
          <w:sz w:val="24"/>
        </w:rPr>
        <w:t>-N</w:t>
      </w:r>
      <w:r w:rsidRPr="00CC503E">
        <w:rPr>
          <w:rFonts w:hint="eastAsia"/>
          <w:sz w:val="24"/>
        </w:rPr>
        <w:t>：</w:t>
      </w:r>
      <w:r w:rsidRPr="00CC503E">
        <w:rPr>
          <w:rFonts w:hint="eastAsia"/>
          <w:sz w:val="24"/>
        </w:rPr>
        <w:t xml:space="preserve">20mg/L </w:t>
      </w:r>
      <w:r w:rsidRPr="00CC503E">
        <w:rPr>
          <w:rFonts w:hint="eastAsia"/>
          <w:sz w:val="24"/>
        </w:rPr>
        <w:t>以下；</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BOD</w:t>
      </w:r>
      <w:r w:rsidRPr="00483EE4">
        <w:rPr>
          <w:rFonts w:hint="eastAsia"/>
          <w:sz w:val="24"/>
          <w:vertAlign w:val="subscript"/>
        </w:rPr>
        <w:t>5</w:t>
      </w:r>
      <w:r w:rsidRPr="00CC503E">
        <w:rPr>
          <w:rFonts w:hint="eastAsia"/>
          <w:sz w:val="24"/>
        </w:rPr>
        <w:t>：</w:t>
      </w:r>
      <w:r w:rsidRPr="00CC503E">
        <w:rPr>
          <w:rFonts w:hint="eastAsia"/>
          <w:sz w:val="24"/>
        </w:rPr>
        <w:t xml:space="preserve">100mg/L </w:t>
      </w:r>
      <w:r w:rsidRPr="00CC503E">
        <w:rPr>
          <w:rFonts w:hint="eastAsia"/>
          <w:sz w:val="24"/>
        </w:rPr>
        <w:t>以下；</w:t>
      </w:r>
    </w:p>
    <w:p w:rsidR="00CC503E" w:rsidRPr="00CC503E" w:rsidRDefault="00CC503E" w:rsidP="00CC503E">
      <w:pPr>
        <w:adjustRightInd w:val="0"/>
        <w:snapToGrid w:val="0"/>
        <w:spacing w:line="520" w:lineRule="exact"/>
        <w:ind w:firstLineChars="196" w:firstLine="470"/>
        <w:rPr>
          <w:sz w:val="24"/>
        </w:rPr>
      </w:pPr>
      <w:r w:rsidRPr="00CC503E">
        <w:rPr>
          <w:rFonts w:hint="eastAsia"/>
          <w:sz w:val="24"/>
        </w:rPr>
        <w:t>在最不利情况下，生活污水</w:t>
      </w:r>
      <w:r w:rsidR="00483EE4">
        <w:rPr>
          <w:rFonts w:hint="eastAsia"/>
          <w:sz w:val="24"/>
        </w:rPr>
        <w:t>处理站</w:t>
      </w:r>
      <w:r w:rsidRPr="00CC503E">
        <w:rPr>
          <w:rFonts w:hint="eastAsia"/>
          <w:sz w:val="24"/>
        </w:rPr>
        <w:t>出现事故排放的情况下，</w:t>
      </w:r>
      <w:r w:rsidR="00483EE4">
        <w:rPr>
          <w:rFonts w:hint="eastAsia"/>
          <w:sz w:val="24"/>
        </w:rPr>
        <w:t>进入</w:t>
      </w:r>
      <w:r w:rsidR="00483EE4">
        <w:rPr>
          <w:rFonts w:hint="eastAsia"/>
          <w:sz w:val="24"/>
        </w:rPr>
        <w:t>3000m</w:t>
      </w:r>
      <w:r w:rsidR="00483EE4">
        <w:rPr>
          <w:rFonts w:hint="eastAsia"/>
          <w:sz w:val="24"/>
          <w:vertAlign w:val="superscript"/>
        </w:rPr>
        <w:t>3</w:t>
      </w:r>
      <w:r w:rsidR="00483EE4">
        <w:rPr>
          <w:rFonts w:hint="eastAsia"/>
          <w:sz w:val="24"/>
        </w:rPr>
        <w:t>事故水池内（工业广场东</w:t>
      </w:r>
      <w:r w:rsidR="009971B5">
        <w:rPr>
          <w:rFonts w:hint="eastAsia"/>
          <w:sz w:val="24"/>
        </w:rPr>
        <w:t>南</w:t>
      </w:r>
      <w:r w:rsidR="00483EE4">
        <w:rPr>
          <w:rFonts w:hint="eastAsia"/>
          <w:sz w:val="24"/>
        </w:rPr>
        <w:t>角，长</w:t>
      </w:r>
      <w:r w:rsidR="00483EE4">
        <w:rPr>
          <w:rFonts w:hint="eastAsia"/>
          <w:sz w:val="24"/>
        </w:rPr>
        <w:t>40m*</w:t>
      </w:r>
      <w:r w:rsidR="00483EE4">
        <w:rPr>
          <w:rFonts w:hint="eastAsia"/>
          <w:sz w:val="24"/>
        </w:rPr>
        <w:t>宽</w:t>
      </w:r>
      <w:r w:rsidR="00483EE4">
        <w:rPr>
          <w:rFonts w:hint="eastAsia"/>
          <w:sz w:val="24"/>
        </w:rPr>
        <w:t>30m*</w:t>
      </w:r>
      <w:r w:rsidR="00483EE4">
        <w:rPr>
          <w:rFonts w:hint="eastAsia"/>
          <w:sz w:val="24"/>
        </w:rPr>
        <w:t>深</w:t>
      </w:r>
      <w:r w:rsidR="00483EE4">
        <w:rPr>
          <w:rFonts w:hint="eastAsia"/>
          <w:sz w:val="24"/>
        </w:rPr>
        <w:t>3m</w:t>
      </w:r>
      <w:r w:rsidR="00483EE4">
        <w:rPr>
          <w:rFonts w:hint="eastAsia"/>
          <w:sz w:val="24"/>
        </w:rPr>
        <w:t>），</w:t>
      </w:r>
      <w:r w:rsidR="00483EE4">
        <w:rPr>
          <w:rFonts w:ascii="宋体" w:hAnsi="宋体" w:hint="eastAsia"/>
          <w:color w:val="000000"/>
          <w:spacing w:val="2"/>
          <w:sz w:val="24"/>
        </w:rPr>
        <w:t>可容纳约</w:t>
      </w:r>
      <w:r w:rsidR="00C01B4C">
        <w:rPr>
          <w:rFonts w:ascii="宋体" w:hAnsi="宋体" w:hint="eastAsia"/>
          <w:color w:val="000000"/>
          <w:spacing w:val="2"/>
          <w:sz w:val="24"/>
        </w:rPr>
        <w:t>45.3</w:t>
      </w:r>
      <w:r w:rsidR="00483EE4">
        <w:rPr>
          <w:rFonts w:ascii="宋体" w:hAnsi="宋体" w:hint="eastAsia"/>
          <w:color w:val="000000"/>
          <w:spacing w:val="2"/>
          <w:sz w:val="24"/>
        </w:rPr>
        <w:t>d的生活污水量，在此期间及时维修生活污水处理站或更换，不会造成事故排放</w:t>
      </w:r>
      <w:r w:rsidRPr="00CC503E">
        <w:rPr>
          <w:rFonts w:hint="eastAsia"/>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02" w:name="_Toc79668723"/>
      <w:r>
        <w:rPr>
          <w:rFonts w:eastAsia="楷体"/>
          <w:sz w:val="28"/>
          <w:szCs w:val="28"/>
        </w:rPr>
        <w:t xml:space="preserve">6.7.5 </w:t>
      </w:r>
      <w:r>
        <w:rPr>
          <w:rFonts w:eastAsia="楷体"/>
          <w:sz w:val="28"/>
          <w:szCs w:val="28"/>
        </w:rPr>
        <w:t>环境风险防范对策及应急要求</w:t>
      </w:r>
      <w:bookmarkEnd w:id="802"/>
    </w:p>
    <w:p w:rsidR="00240BCE" w:rsidRDefault="00AC0334">
      <w:pPr>
        <w:adjustRightInd w:val="0"/>
        <w:snapToGrid w:val="0"/>
        <w:spacing w:line="520" w:lineRule="exact"/>
        <w:ind w:firstLineChars="196" w:firstLine="470"/>
        <w:rPr>
          <w:sz w:val="24"/>
        </w:rPr>
      </w:pPr>
      <w:r>
        <w:rPr>
          <w:sz w:val="24"/>
        </w:rPr>
        <w:t>①</w:t>
      </w:r>
      <w:r>
        <w:rPr>
          <w:sz w:val="24"/>
        </w:rPr>
        <w:t>按照国家、地方和相关部门的要求编制《企业突发环境事件应急预案》，并加强演练。</w:t>
      </w:r>
    </w:p>
    <w:p w:rsidR="00240BCE" w:rsidRDefault="00AC0334">
      <w:pPr>
        <w:adjustRightInd w:val="0"/>
        <w:snapToGrid w:val="0"/>
        <w:spacing w:line="520" w:lineRule="exact"/>
        <w:ind w:firstLineChars="196" w:firstLine="470"/>
        <w:rPr>
          <w:sz w:val="24"/>
        </w:rPr>
      </w:pPr>
      <w:r>
        <w:rPr>
          <w:sz w:val="24"/>
        </w:rPr>
        <w:t>②</w:t>
      </w:r>
      <w:r>
        <w:rPr>
          <w:sz w:val="24"/>
        </w:rPr>
        <w:t>生产过程风险防范</w:t>
      </w:r>
    </w:p>
    <w:p w:rsidR="00240BCE" w:rsidRDefault="00AC0334">
      <w:pPr>
        <w:adjustRightInd w:val="0"/>
        <w:snapToGrid w:val="0"/>
        <w:spacing w:line="520" w:lineRule="exact"/>
        <w:ind w:firstLineChars="196" w:firstLine="470"/>
        <w:rPr>
          <w:sz w:val="24"/>
        </w:rPr>
      </w:pPr>
      <w:r>
        <w:rPr>
          <w:sz w:val="24"/>
        </w:rPr>
        <w:t>强化风险意识、加强安全管理，必须将</w:t>
      </w:r>
      <w:r>
        <w:rPr>
          <w:sz w:val="24"/>
        </w:rPr>
        <w:t>“</w:t>
      </w:r>
      <w:r>
        <w:rPr>
          <w:sz w:val="24"/>
        </w:rPr>
        <w:t>安全第一，以防为主</w:t>
      </w:r>
      <w:r>
        <w:rPr>
          <w:sz w:val="24"/>
        </w:rPr>
        <w:t>”</w:t>
      </w:r>
      <w:r>
        <w:rPr>
          <w:sz w:val="24"/>
        </w:rPr>
        <w:t>作为企业生产的基本原则之一；</w:t>
      </w:r>
    </w:p>
    <w:p w:rsidR="00240BCE" w:rsidRDefault="00AC0334">
      <w:pPr>
        <w:adjustRightInd w:val="0"/>
        <w:snapToGrid w:val="0"/>
        <w:spacing w:line="520" w:lineRule="exact"/>
        <w:ind w:firstLineChars="196" w:firstLine="470"/>
        <w:rPr>
          <w:sz w:val="24"/>
        </w:rPr>
      </w:pPr>
      <w:r>
        <w:rPr>
          <w:sz w:val="24"/>
        </w:rPr>
        <w:t>必须进行广泛系统的培训，使所有操作人员熟悉自己的岗位，树立严谨规范的操作作风，并且在任何紧急状况下都能随时对工艺装置进行控制，并及时、独立、正确地实施相关应急措施；</w:t>
      </w:r>
    </w:p>
    <w:p w:rsidR="00240BCE" w:rsidRDefault="00AC0334">
      <w:pPr>
        <w:adjustRightInd w:val="0"/>
        <w:snapToGrid w:val="0"/>
        <w:spacing w:line="520" w:lineRule="exact"/>
        <w:ind w:firstLineChars="196" w:firstLine="470"/>
        <w:rPr>
          <w:sz w:val="24"/>
        </w:rPr>
      </w:pPr>
      <w:r>
        <w:rPr>
          <w:sz w:val="24"/>
        </w:rPr>
        <w:t>设立安全生产领导小组，形成领导负总责，全厂参与的管理模式。</w:t>
      </w:r>
    </w:p>
    <w:p w:rsidR="00240BCE" w:rsidRDefault="00AC0334">
      <w:pPr>
        <w:adjustRightInd w:val="0"/>
        <w:snapToGrid w:val="0"/>
        <w:spacing w:line="520" w:lineRule="exact"/>
        <w:ind w:firstLineChars="196" w:firstLine="470"/>
        <w:rPr>
          <w:sz w:val="24"/>
        </w:rPr>
      </w:pPr>
      <w:r>
        <w:rPr>
          <w:sz w:val="24"/>
        </w:rPr>
        <w:t>③</w:t>
      </w:r>
      <w:r>
        <w:rPr>
          <w:sz w:val="24"/>
        </w:rPr>
        <w:t>末端治理风险防范</w:t>
      </w:r>
    </w:p>
    <w:p w:rsidR="00240BCE" w:rsidRDefault="00AC0334">
      <w:pPr>
        <w:adjustRightInd w:val="0"/>
        <w:snapToGrid w:val="0"/>
        <w:spacing w:line="520" w:lineRule="exact"/>
        <w:ind w:firstLineChars="196" w:firstLine="470"/>
        <w:rPr>
          <w:sz w:val="24"/>
        </w:rPr>
      </w:pPr>
      <w:r>
        <w:rPr>
          <w:sz w:val="24"/>
        </w:rPr>
        <w:t>针对环境空气风险源：皮带廊道全部密闭作业，储煤棚全部密闭且顶棚设计安装一套喷淋雾化装置，在作业时保持湿度，防治粉尘，严格控制无组织排放粉尘，</w:t>
      </w:r>
      <w:r>
        <w:rPr>
          <w:sz w:val="24"/>
        </w:rPr>
        <w:lastRenderedPageBreak/>
        <w:t>保证区域环境空气质量达标。</w:t>
      </w:r>
    </w:p>
    <w:p w:rsidR="00483EE4" w:rsidRDefault="00AC0334" w:rsidP="00483EE4">
      <w:pPr>
        <w:pStyle w:val="215"/>
        <w:snapToGrid w:val="0"/>
        <w:spacing w:line="480" w:lineRule="exact"/>
        <w:rPr>
          <w:rFonts w:cs="Times New Roman"/>
        </w:rPr>
      </w:pPr>
      <w:r>
        <w:t>针对地表水、地下水风险源：</w:t>
      </w:r>
      <w:r w:rsidR="00483EE4">
        <w:rPr>
          <w:rFonts w:cs="Times New Roman" w:hint="eastAsia"/>
        </w:rPr>
        <w:t>处理站</w:t>
      </w:r>
      <w:r w:rsidR="00483EE4">
        <w:rPr>
          <w:rFonts w:cs="Times New Roman"/>
        </w:rPr>
        <w:t>事故一旦发生，</w:t>
      </w:r>
      <w:r w:rsidR="00483EE4">
        <w:rPr>
          <w:rFonts w:cs="Times New Roman" w:hint="eastAsia"/>
        </w:rPr>
        <w:t>事故水池</w:t>
      </w:r>
      <w:r w:rsidR="004301A0">
        <w:rPr>
          <w:rFonts w:cs="Times New Roman" w:hint="eastAsia"/>
        </w:rPr>
        <w:t>立即</w:t>
      </w:r>
      <w:r w:rsidR="00483EE4">
        <w:rPr>
          <w:rFonts w:cs="Times New Roman"/>
        </w:rPr>
        <w:t>起动，</w:t>
      </w:r>
      <w:r w:rsidR="004301A0">
        <w:rPr>
          <w:rFonts w:cs="Times New Roman" w:hint="eastAsia"/>
        </w:rPr>
        <w:t>然后及时对</w:t>
      </w:r>
      <w:r w:rsidR="004301A0">
        <w:rPr>
          <w:rFonts w:cs="Times New Roman"/>
        </w:rPr>
        <w:t>设备进行抢修，迅速排除故障</w:t>
      </w:r>
      <w:r w:rsidR="004301A0">
        <w:rPr>
          <w:rFonts w:cs="Times New Roman" w:hint="eastAsia"/>
        </w:rPr>
        <w:t>，</w:t>
      </w:r>
      <w:r w:rsidR="00483EE4">
        <w:rPr>
          <w:rFonts w:cs="Times New Roman"/>
        </w:rPr>
        <w:t>最大限度减小污染。</w:t>
      </w:r>
    </w:p>
    <w:p w:rsidR="00240BCE" w:rsidRDefault="00AC0334">
      <w:pPr>
        <w:spacing w:line="520" w:lineRule="exact"/>
        <w:ind w:firstLineChars="200" w:firstLine="480"/>
        <w:rPr>
          <w:sz w:val="24"/>
        </w:rPr>
      </w:pPr>
      <w:r>
        <w:rPr>
          <w:sz w:val="24"/>
        </w:rPr>
        <w:t>④</w:t>
      </w:r>
      <w:r>
        <w:rPr>
          <w:sz w:val="24"/>
        </w:rPr>
        <w:t>风险应急管理要求</w:t>
      </w:r>
    </w:p>
    <w:p w:rsidR="00240BCE" w:rsidRDefault="00AC0334">
      <w:pPr>
        <w:spacing w:line="520" w:lineRule="exact"/>
        <w:ind w:firstLineChars="200" w:firstLine="480"/>
        <w:rPr>
          <w:sz w:val="24"/>
        </w:rPr>
      </w:pPr>
      <w:r>
        <w:rPr>
          <w:sz w:val="24"/>
        </w:rPr>
        <w:t>建立完善的安全管理体系，设置必要的安全管理机构，配备相应的专职管理、检查、监测人员和必要的仪器、设备设施；</w:t>
      </w:r>
    </w:p>
    <w:p w:rsidR="00240BCE" w:rsidRDefault="00AC0334">
      <w:pPr>
        <w:spacing w:line="520" w:lineRule="exact"/>
        <w:ind w:firstLineChars="200" w:firstLine="480"/>
        <w:rPr>
          <w:sz w:val="24"/>
        </w:rPr>
      </w:pPr>
      <w:r>
        <w:rPr>
          <w:sz w:val="24"/>
        </w:rPr>
        <w:t>必须建立健全安全生产责任制和各项安全生产管理规度，制定安全操作规程。加强岗位安全、环保培训，严格遵守各项规章制度，尽可能防止人为失误导致风险事故发生。</w:t>
      </w:r>
    </w:p>
    <w:p w:rsidR="00240BCE" w:rsidRDefault="00AC0334">
      <w:pPr>
        <w:spacing w:line="520" w:lineRule="exact"/>
        <w:ind w:firstLineChars="200" w:firstLine="480"/>
      </w:pPr>
      <w:r>
        <w:rPr>
          <w:sz w:val="24"/>
        </w:rPr>
        <w:t>建立和完善定期巡查制度，发现问题，及时上报处理。</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03" w:name="_Toc79668724"/>
      <w:r>
        <w:rPr>
          <w:rFonts w:eastAsia="楷体"/>
          <w:sz w:val="28"/>
          <w:szCs w:val="28"/>
        </w:rPr>
        <w:t xml:space="preserve">6.7.6 </w:t>
      </w:r>
      <w:r>
        <w:rPr>
          <w:rFonts w:eastAsia="楷体"/>
          <w:sz w:val="28"/>
          <w:szCs w:val="28"/>
        </w:rPr>
        <w:t>环境风险评价要求及建议</w:t>
      </w:r>
      <w:bookmarkEnd w:id="803"/>
    </w:p>
    <w:p w:rsidR="00240BCE" w:rsidRDefault="00AC0334">
      <w:pPr>
        <w:spacing w:line="520" w:lineRule="exact"/>
        <w:ind w:firstLineChars="200" w:firstLine="480"/>
        <w:rPr>
          <w:sz w:val="24"/>
        </w:rPr>
      </w:pPr>
      <w:r>
        <w:rPr>
          <w:sz w:val="24"/>
        </w:rPr>
        <w:t>评价要求建设单位在施工、营运期按照设计要求认真落实，同时在营运期要做到以下几个方面，防止风险事故发生。</w:t>
      </w:r>
    </w:p>
    <w:p w:rsidR="00240BCE" w:rsidRDefault="00AC0334">
      <w:pPr>
        <w:spacing w:line="520" w:lineRule="exact"/>
        <w:ind w:firstLineChars="200" w:firstLine="480"/>
        <w:rPr>
          <w:sz w:val="24"/>
        </w:rPr>
      </w:pPr>
      <w:r>
        <w:rPr>
          <w:sz w:val="24"/>
        </w:rPr>
        <w:t>（</w:t>
      </w:r>
      <w:r>
        <w:rPr>
          <w:sz w:val="24"/>
        </w:rPr>
        <w:t>1</w:t>
      </w:r>
      <w:r>
        <w:rPr>
          <w:sz w:val="24"/>
        </w:rPr>
        <w:t>）必须建立完善的安全管理体系，设置必要的安全管理机构，配备相应的专职管理、检查、监测人员和必要的仪器、设备设施。</w:t>
      </w:r>
    </w:p>
    <w:p w:rsidR="00240BCE" w:rsidRDefault="00AC0334">
      <w:pPr>
        <w:spacing w:line="520" w:lineRule="exact"/>
        <w:ind w:firstLineChars="200" w:firstLine="480"/>
        <w:rPr>
          <w:sz w:val="24"/>
        </w:rPr>
      </w:pPr>
      <w:r>
        <w:rPr>
          <w:sz w:val="24"/>
        </w:rPr>
        <w:t>（</w:t>
      </w:r>
      <w:r>
        <w:rPr>
          <w:sz w:val="24"/>
        </w:rPr>
        <w:t>2</w:t>
      </w:r>
      <w:r>
        <w:rPr>
          <w:sz w:val="24"/>
        </w:rPr>
        <w:t>）必须建立健全安全生产责任制和各项安全生产管理规度，制定安全操作规程。加强岗位安全、环保培训，严格遵守各项规章制度，尽可能防止人为失误导致风险事故发生。</w:t>
      </w:r>
    </w:p>
    <w:p w:rsidR="00240BCE" w:rsidRDefault="00AC0334">
      <w:pPr>
        <w:spacing w:line="520" w:lineRule="exact"/>
        <w:ind w:firstLineChars="200" w:firstLine="480"/>
      </w:pPr>
      <w:r>
        <w:rPr>
          <w:sz w:val="24"/>
        </w:rPr>
        <w:t>（</w:t>
      </w:r>
      <w:r>
        <w:rPr>
          <w:sz w:val="24"/>
        </w:rPr>
        <w:t>3</w:t>
      </w:r>
      <w:r>
        <w:rPr>
          <w:sz w:val="24"/>
        </w:rPr>
        <w:t>）建立和完善定期巡查制度，发现问题，及时上报处理。</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04" w:name="_Toc79668725"/>
      <w:r>
        <w:rPr>
          <w:rFonts w:eastAsia="楷体"/>
          <w:sz w:val="28"/>
          <w:szCs w:val="28"/>
        </w:rPr>
        <w:t xml:space="preserve">6.7.7 </w:t>
      </w:r>
      <w:r>
        <w:rPr>
          <w:rFonts w:eastAsia="楷体"/>
          <w:sz w:val="28"/>
          <w:szCs w:val="28"/>
        </w:rPr>
        <w:t>环境风险评价结论</w:t>
      </w:r>
      <w:bookmarkEnd w:id="804"/>
    </w:p>
    <w:p w:rsidR="00240BCE" w:rsidRDefault="00AC0334">
      <w:pPr>
        <w:spacing w:line="520" w:lineRule="exact"/>
        <w:ind w:firstLineChars="200" w:firstLine="480"/>
        <w:rPr>
          <w:sz w:val="24"/>
        </w:rPr>
      </w:pPr>
      <w:r>
        <w:rPr>
          <w:sz w:val="24"/>
        </w:rPr>
        <w:t>综上所述，本项目不存在重大危险源。在采取本评价提出的防范对策措施后，能够有效消除或减缓环境风险，对外环境的风险影响控制到最小，建设项目能够满足国家规定的安全要求，可以实现建设项目环境风险防控。</w:t>
      </w:r>
    </w:p>
    <w:p w:rsidR="00240BCE" w:rsidRDefault="00AC0334">
      <w:pPr>
        <w:spacing w:line="520" w:lineRule="exact"/>
        <w:ind w:firstLineChars="200" w:firstLine="480"/>
        <w:rPr>
          <w:sz w:val="24"/>
        </w:rPr>
      </w:pPr>
      <w:r>
        <w:rPr>
          <w:sz w:val="24"/>
        </w:rPr>
        <w:t>建设项目环境风险简单分析内容见表</w:t>
      </w:r>
      <w:r>
        <w:rPr>
          <w:sz w:val="24"/>
        </w:rPr>
        <w:t>6.7-3</w:t>
      </w:r>
      <w:r>
        <w:rPr>
          <w:sz w:val="24"/>
        </w:rPr>
        <w:t>。</w:t>
      </w:r>
    </w:p>
    <w:p w:rsidR="00C01B4C" w:rsidRDefault="00C01B4C">
      <w:pPr>
        <w:spacing w:line="520" w:lineRule="exact"/>
        <w:jc w:val="center"/>
        <w:rPr>
          <w:b/>
          <w:sz w:val="24"/>
        </w:rPr>
      </w:pPr>
    </w:p>
    <w:p w:rsidR="00240BCE" w:rsidRDefault="00AC0334">
      <w:pPr>
        <w:spacing w:line="520" w:lineRule="exact"/>
        <w:jc w:val="center"/>
        <w:rPr>
          <w:b/>
          <w:sz w:val="24"/>
        </w:rPr>
      </w:pPr>
      <w:r>
        <w:rPr>
          <w:b/>
          <w:sz w:val="24"/>
        </w:rPr>
        <w:lastRenderedPageBreak/>
        <w:t>表</w:t>
      </w:r>
      <w:r>
        <w:rPr>
          <w:b/>
          <w:sz w:val="24"/>
        </w:rPr>
        <w:t xml:space="preserve">6.7-3  </w:t>
      </w:r>
      <w:r>
        <w:rPr>
          <w:b/>
          <w:sz w:val="24"/>
        </w:rPr>
        <w:t>建设项目环境风险简单分析内容表</w:t>
      </w:r>
    </w:p>
    <w:tbl>
      <w:tblPr>
        <w:tblW w:w="89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1685"/>
        <w:gridCol w:w="7254"/>
      </w:tblGrid>
      <w:tr w:rsidR="00240BCE">
        <w:trPr>
          <w:trHeight w:val="453"/>
        </w:trPr>
        <w:tc>
          <w:tcPr>
            <w:tcW w:w="1685" w:type="dxa"/>
            <w:vAlign w:val="center"/>
          </w:tcPr>
          <w:p w:rsidR="00240BCE" w:rsidRDefault="00AC0334">
            <w:pPr>
              <w:spacing w:line="360" w:lineRule="exact"/>
              <w:rPr>
                <w:bCs/>
                <w:sz w:val="21"/>
                <w:szCs w:val="21"/>
              </w:rPr>
            </w:pPr>
            <w:r>
              <w:rPr>
                <w:bCs/>
                <w:sz w:val="21"/>
                <w:szCs w:val="21"/>
              </w:rPr>
              <w:t>建设项目名称</w:t>
            </w:r>
          </w:p>
        </w:tc>
        <w:tc>
          <w:tcPr>
            <w:tcW w:w="0" w:type="auto"/>
            <w:vAlign w:val="center"/>
          </w:tcPr>
          <w:p w:rsidR="00240BCE" w:rsidRDefault="00A22A40">
            <w:pPr>
              <w:spacing w:line="360" w:lineRule="exact"/>
              <w:jc w:val="center"/>
              <w:rPr>
                <w:bCs/>
                <w:sz w:val="21"/>
                <w:szCs w:val="21"/>
              </w:rPr>
            </w:pPr>
            <w:r>
              <w:rPr>
                <w:bCs/>
                <w:sz w:val="21"/>
                <w:szCs w:val="21"/>
              </w:rPr>
              <w:t>禹州神火隆庆矿业有限公司</w:t>
            </w:r>
            <w:r>
              <w:rPr>
                <w:bCs/>
                <w:sz w:val="21"/>
                <w:szCs w:val="21"/>
              </w:rPr>
              <w:t>30</w:t>
            </w:r>
            <w:r>
              <w:rPr>
                <w:bCs/>
                <w:sz w:val="21"/>
                <w:szCs w:val="21"/>
              </w:rPr>
              <w:t>万吨</w:t>
            </w:r>
            <w:r>
              <w:rPr>
                <w:bCs/>
                <w:sz w:val="21"/>
                <w:szCs w:val="21"/>
              </w:rPr>
              <w:t>/</w:t>
            </w:r>
            <w:r>
              <w:rPr>
                <w:bCs/>
                <w:sz w:val="21"/>
                <w:szCs w:val="21"/>
              </w:rPr>
              <w:t>年升级改造</w:t>
            </w:r>
          </w:p>
        </w:tc>
      </w:tr>
      <w:tr w:rsidR="00240BCE">
        <w:trPr>
          <w:trHeight w:val="429"/>
        </w:trPr>
        <w:tc>
          <w:tcPr>
            <w:tcW w:w="1685" w:type="dxa"/>
            <w:vAlign w:val="center"/>
          </w:tcPr>
          <w:p w:rsidR="00240BCE" w:rsidRDefault="00AC0334">
            <w:pPr>
              <w:spacing w:line="360" w:lineRule="exact"/>
              <w:jc w:val="center"/>
              <w:rPr>
                <w:sz w:val="21"/>
                <w:szCs w:val="21"/>
              </w:rPr>
            </w:pPr>
            <w:r>
              <w:rPr>
                <w:sz w:val="21"/>
                <w:szCs w:val="21"/>
              </w:rPr>
              <w:t>建设地点</w:t>
            </w:r>
          </w:p>
        </w:tc>
        <w:tc>
          <w:tcPr>
            <w:tcW w:w="0" w:type="auto"/>
            <w:vAlign w:val="center"/>
          </w:tcPr>
          <w:p w:rsidR="00240BCE" w:rsidRDefault="00AC0334">
            <w:pPr>
              <w:spacing w:line="360" w:lineRule="exact"/>
              <w:jc w:val="center"/>
              <w:rPr>
                <w:sz w:val="21"/>
                <w:szCs w:val="21"/>
              </w:rPr>
            </w:pPr>
            <w:r>
              <w:rPr>
                <w:sz w:val="21"/>
                <w:szCs w:val="21"/>
              </w:rPr>
              <w:t>河南省禹州市鸠山镇</w:t>
            </w:r>
          </w:p>
        </w:tc>
      </w:tr>
      <w:tr w:rsidR="00240BCE">
        <w:trPr>
          <w:trHeight w:val="429"/>
        </w:trPr>
        <w:tc>
          <w:tcPr>
            <w:tcW w:w="1685" w:type="dxa"/>
            <w:vAlign w:val="center"/>
          </w:tcPr>
          <w:p w:rsidR="00240BCE" w:rsidRDefault="00AC0334">
            <w:pPr>
              <w:spacing w:line="360" w:lineRule="exact"/>
              <w:jc w:val="center"/>
              <w:rPr>
                <w:sz w:val="21"/>
                <w:szCs w:val="21"/>
              </w:rPr>
            </w:pPr>
            <w:r>
              <w:rPr>
                <w:sz w:val="21"/>
                <w:szCs w:val="21"/>
              </w:rPr>
              <w:t>地理坐标</w:t>
            </w:r>
          </w:p>
        </w:tc>
        <w:tc>
          <w:tcPr>
            <w:tcW w:w="0" w:type="auto"/>
            <w:vAlign w:val="center"/>
          </w:tcPr>
          <w:p w:rsidR="00240BCE" w:rsidRDefault="00AC0334">
            <w:pPr>
              <w:spacing w:line="360" w:lineRule="exact"/>
              <w:jc w:val="center"/>
              <w:rPr>
                <w:sz w:val="21"/>
                <w:szCs w:val="21"/>
              </w:rPr>
            </w:pPr>
            <w:r>
              <w:rPr>
                <w:sz w:val="21"/>
                <w:szCs w:val="21"/>
              </w:rPr>
              <w:t>东经</w:t>
            </w:r>
            <w:r>
              <w:rPr>
                <w:sz w:val="21"/>
                <w:szCs w:val="21"/>
              </w:rPr>
              <w:t>113°09′09″</w:t>
            </w:r>
            <w:r>
              <w:rPr>
                <w:sz w:val="21"/>
                <w:szCs w:val="21"/>
              </w:rPr>
              <w:t>～</w:t>
            </w:r>
            <w:r>
              <w:rPr>
                <w:sz w:val="21"/>
                <w:szCs w:val="21"/>
              </w:rPr>
              <w:t>113°10′44″</w:t>
            </w:r>
            <w:r>
              <w:rPr>
                <w:sz w:val="21"/>
                <w:szCs w:val="21"/>
              </w:rPr>
              <w:t>，北纬</w:t>
            </w:r>
            <w:r>
              <w:rPr>
                <w:sz w:val="21"/>
                <w:szCs w:val="21"/>
              </w:rPr>
              <w:t xml:space="preserve"> 34°11′52″</w:t>
            </w:r>
            <w:r>
              <w:rPr>
                <w:sz w:val="21"/>
                <w:szCs w:val="21"/>
              </w:rPr>
              <w:t>～</w:t>
            </w:r>
            <w:r>
              <w:rPr>
                <w:sz w:val="21"/>
                <w:szCs w:val="21"/>
              </w:rPr>
              <w:t>34°12′50″</w:t>
            </w:r>
          </w:p>
        </w:tc>
      </w:tr>
      <w:tr w:rsidR="00240BCE">
        <w:trPr>
          <w:trHeight w:val="847"/>
        </w:trPr>
        <w:tc>
          <w:tcPr>
            <w:tcW w:w="1685" w:type="dxa"/>
            <w:vAlign w:val="center"/>
          </w:tcPr>
          <w:p w:rsidR="00240BCE" w:rsidRDefault="00AC0334">
            <w:pPr>
              <w:spacing w:line="360" w:lineRule="exact"/>
              <w:jc w:val="center"/>
              <w:rPr>
                <w:sz w:val="21"/>
                <w:szCs w:val="21"/>
              </w:rPr>
            </w:pPr>
            <w:r>
              <w:rPr>
                <w:sz w:val="21"/>
                <w:szCs w:val="21"/>
              </w:rPr>
              <w:t>主要危险物质及分布</w:t>
            </w:r>
          </w:p>
        </w:tc>
        <w:tc>
          <w:tcPr>
            <w:tcW w:w="0" w:type="auto"/>
            <w:vAlign w:val="center"/>
          </w:tcPr>
          <w:p w:rsidR="00240BCE" w:rsidRDefault="00AC0334">
            <w:pPr>
              <w:spacing w:line="360" w:lineRule="exact"/>
              <w:jc w:val="center"/>
              <w:rPr>
                <w:sz w:val="21"/>
                <w:szCs w:val="21"/>
              </w:rPr>
            </w:pPr>
            <w:r>
              <w:rPr>
                <w:sz w:val="21"/>
                <w:szCs w:val="21"/>
              </w:rPr>
              <w:t>不涉及风险物质，主要的环境风险源为储煤棚、矿井涌水处理站、生活污水处理站</w:t>
            </w:r>
          </w:p>
        </w:tc>
      </w:tr>
      <w:tr w:rsidR="00240BCE">
        <w:trPr>
          <w:trHeight w:val="847"/>
        </w:trPr>
        <w:tc>
          <w:tcPr>
            <w:tcW w:w="1685" w:type="dxa"/>
            <w:vAlign w:val="center"/>
          </w:tcPr>
          <w:p w:rsidR="00240BCE" w:rsidRDefault="00AC0334">
            <w:pPr>
              <w:spacing w:line="360" w:lineRule="exact"/>
              <w:jc w:val="center"/>
              <w:rPr>
                <w:sz w:val="21"/>
                <w:szCs w:val="21"/>
              </w:rPr>
            </w:pPr>
            <w:r>
              <w:rPr>
                <w:sz w:val="21"/>
                <w:szCs w:val="21"/>
              </w:rPr>
              <w:t>环境影响途径及危险后果</w:t>
            </w:r>
          </w:p>
        </w:tc>
        <w:tc>
          <w:tcPr>
            <w:tcW w:w="0" w:type="auto"/>
            <w:vAlign w:val="center"/>
          </w:tcPr>
          <w:p w:rsidR="00240BCE" w:rsidRDefault="00AC0334">
            <w:pPr>
              <w:spacing w:line="360" w:lineRule="exact"/>
              <w:rPr>
                <w:sz w:val="21"/>
                <w:szCs w:val="21"/>
              </w:rPr>
            </w:pPr>
            <w:r>
              <w:rPr>
                <w:sz w:val="21"/>
                <w:szCs w:val="21"/>
              </w:rPr>
              <w:t>储煤棚无组织粉尘颗粒物泄露造成环境空气超标，水处理设施处理异常或泄露造成地表水、地下水污染，采取风险控制措施后，危险后果在风险防控范围内。</w:t>
            </w:r>
          </w:p>
        </w:tc>
      </w:tr>
      <w:tr w:rsidR="00240BCE">
        <w:trPr>
          <w:trHeight w:val="3775"/>
        </w:trPr>
        <w:tc>
          <w:tcPr>
            <w:tcW w:w="1685" w:type="dxa"/>
            <w:vAlign w:val="center"/>
          </w:tcPr>
          <w:p w:rsidR="00240BCE" w:rsidRDefault="00AC0334">
            <w:pPr>
              <w:spacing w:line="360" w:lineRule="exact"/>
              <w:jc w:val="center"/>
              <w:rPr>
                <w:sz w:val="21"/>
                <w:szCs w:val="21"/>
              </w:rPr>
            </w:pPr>
            <w:r>
              <w:rPr>
                <w:sz w:val="21"/>
                <w:szCs w:val="21"/>
              </w:rPr>
              <w:t>风险防范措施</w:t>
            </w:r>
          </w:p>
        </w:tc>
        <w:tc>
          <w:tcPr>
            <w:tcW w:w="0" w:type="auto"/>
            <w:vAlign w:val="center"/>
          </w:tcPr>
          <w:p w:rsidR="00240BCE" w:rsidRDefault="00AC0334">
            <w:pPr>
              <w:spacing w:line="360" w:lineRule="exact"/>
              <w:rPr>
                <w:sz w:val="21"/>
                <w:szCs w:val="21"/>
              </w:rPr>
            </w:pPr>
            <w:r>
              <w:rPr>
                <w:sz w:val="21"/>
                <w:szCs w:val="21"/>
              </w:rPr>
              <w:t>针对储煤棚粉尘颗粒物可能造成环境空气超标风险，评价提出皮带廊道全部密闭作业，储煤棚全部密闭且顶棚设计安装一套喷淋雾化装置，在作业时保持湿度，防治粉尘，严格控制无组织排放粉尘，保证区域环境空气质量达标；同时设置专人负责；严格按照相关的操作规程操作，定期检修，保障喷淋降尘设施的良好运行。</w:t>
            </w:r>
          </w:p>
          <w:p w:rsidR="00240BCE" w:rsidRDefault="00AC0334">
            <w:pPr>
              <w:spacing w:line="360" w:lineRule="exact"/>
              <w:rPr>
                <w:sz w:val="21"/>
                <w:szCs w:val="21"/>
              </w:rPr>
            </w:pPr>
            <w:r>
              <w:rPr>
                <w:sz w:val="21"/>
                <w:szCs w:val="21"/>
              </w:rPr>
              <w:t>针对水处理设施造成地表水、地下水环境超标风险，设计和本次评价提出：矿井水和生活污水均设置污水处理设施，所有污水处理设施均应防腐防渗，派专职人员按照操作规程操作，处理设备应定期检修，保持良好运行，降低风险事故发生概率。</w:t>
            </w:r>
          </w:p>
        </w:tc>
      </w:tr>
      <w:tr w:rsidR="00240BCE">
        <w:trPr>
          <w:trHeight w:val="1301"/>
        </w:trPr>
        <w:tc>
          <w:tcPr>
            <w:tcW w:w="1685" w:type="dxa"/>
            <w:vAlign w:val="center"/>
          </w:tcPr>
          <w:p w:rsidR="00240BCE" w:rsidRDefault="00AC0334">
            <w:pPr>
              <w:spacing w:line="360" w:lineRule="exact"/>
              <w:rPr>
                <w:sz w:val="21"/>
                <w:szCs w:val="21"/>
              </w:rPr>
            </w:pPr>
            <w:r>
              <w:rPr>
                <w:sz w:val="21"/>
                <w:szCs w:val="21"/>
              </w:rPr>
              <w:t>填表说明（列出项目相关信息及评价说明）</w:t>
            </w:r>
          </w:p>
        </w:tc>
        <w:tc>
          <w:tcPr>
            <w:tcW w:w="0" w:type="auto"/>
            <w:vAlign w:val="center"/>
          </w:tcPr>
          <w:p w:rsidR="00240BCE" w:rsidRDefault="00AC0334">
            <w:pPr>
              <w:spacing w:line="360" w:lineRule="exact"/>
              <w:rPr>
                <w:sz w:val="21"/>
                <w:szCs w:val="21"/>
              </w:rPr>
            </w:pPr>
            <w:r>
              <w:rPr>
                <w:sz w:val="21"/>
                <w:szCs w:val="21"/>
              </w:rPr>
              <w:t>根据《建设项目环境风险评价技术导则》（</w:t>
            </w:r>
            <w:r>
              <w:rPr>
                <w:sz w:val="21"/>
                <w:szCs w:val="21"/>
              </w:rPr>
              <w:t>HJ169-2018</w:t>
            </w:r>
            <w:r>
              <w:rPr>
                <w:sz w:val="21"/>
                <w:szCs w:val="21"/>
              </w:rPr>
              <w:t>），本项目</w:t>
            </w:r>
            <w:r w:rsidR="001B69B0">
              <w:rPr>
                <w:sz w:val="21"/>
                <w:szCs w:val="21"/>
              </w:rPr>
              <w:t>目</w:t>
            </w:r>
            <w:r w:rsidR="001B69B0">
              <w:rPr>
                <w:rFonts w:hint="eastAsia"/>
                <w:sz w:val="21"/>
                <w:szCs w:val="21"/>
              </w:rPr>
              <w:t>不涉及环境风险物质</w:t>
            </w:r>
            <w:r w:rsidR="001B69B0">
              <w:rPr>
                <w:sz w:val="21"/>
                <w:szCs w:val="21"/>
              </w:rPr>
              <w:t>，环境风险</w:t>
            </w:r>
            <w:r w:rsidR="001B69B0">
              <w:rPr>
                <w:rFonts w:hint="eastAsia"/>
                <w:sz w:val="21"/>
                <w:szCs w:val="21"/>
              </w:rPr>
              <w:t>仅做</w:t>
            </w:r>
            <w:r w:rsidR="001B69B0">
              <w:rPr>
                <w:sz w:val="21"/>
                <w:szCs w:val="21"/>
              </w:rPr>
              <w:t>简单分析。</w:t>
            </w:r>
          </w:p>
        </w:tc>
      </w:tr>
    </w:tbl>
    <w:p w:rsidR="00240BCE" w:rsidRDefault="00240BCE">
      <w:pPr>
        <w:spacing w:line="520" w:lineRule="exact"/>
        <w:ind w:firstLineChars="200" w:firstLine="482"/>
        <w:rPr>
          <w:b/>
          <w:bCs/>
          <w:color w:val="000000"/>
          <w:sz w:val="24"/>
        </w:rPr>
      </w:pPr>
    </w:p>
    <w:p w:rsidR="00240BCE" w:rsidRDefault="00240BCE">
      <w:pPr>
        <w:spacing w:line="520" w:lineRule="exact"/>
        <w:ind w:firstLineChars="225" w:firstLine="540"/>
        <w:rPr>
          <w:sz w:val="24"/>
        </w:rPr>
      </w:pPr>
    </w:p>
    <w:p w:rsidR="00240BCE" w:rsidRDefault="00240BCE">
      <w:pPr>
        <w:pStyle w:val="a1"/>
        <w:spacing w:after="0" w:line="520" w:lineRule="exact"/>
        <w:ind w:firstLineChars="200" w:firstLine="480"/>
        <w:rPr>
          <w:sz w:val="24"/>
        </w:rPr>
      </w:pPr>
    </w:p>
    <w:bookmarkEnd w:id="497"/>
    <w:p w:rsidR="00240BCE" w:rsidRDefault="00240BCE">
      <w:pPr>
        <w:pStyle w:val="a1"/>
      </w:pPr>
    </w:p>
    <w:p w:rsidR="00240BCE" w:rsidRDefault="00AC0334">
      <w:pPr>
        <w:pStyle w:val="1"/>
        <w:spacing w:before="120" w:after="120" w:line="360" w:lineRule="auto"/>
        <w:jc w:val="center"/>
        <w:rPr>
          <w:rFonts w:eastAsia="黑体"/>
          <w:b w:val="0"/>
          <w:sz w:val="36"/>
          <w:szCs w:val="36"/>
        </w:rPr>
      </w:pPr>
      <w:r>
        <w:rPr>
          <w:spacing w:val="2"/>
          <w:sz w:val="36"/>
          <w:szCs w:val="36"/>
        </w:rPr>
        <w:br w:type="page"/>
      </w:r>
      <w:bookmarkStart w:id="805" w:name="_Toc79668726"/>
      <w:bookmarkStart w:id="806" w:name="_Toc81934393"/>
      <w:r>
        <w:rPr>
          <w:rFonts w:eastAsia="黑体"/>
          <w:b w:val="0"/>
          <w:sz w:val="36"/>
          <w:szCs w:val="36"/>
        </w:rPr>
        <w:lastRenderedPageBreak/>
        <w:t xml:space="preserve">7  </w:t>
      </w:r>
      <w:r>
        <w:rPr>
          <w:rFonts w:eastAsia="黑体"/>
          <w:b w:val="0"/>
          <w:sz w:val="36"/>
          <w:szCs w:val="36"/>
        </w:rPr>
        <w:t>环境</w:t>
      </w:r>
      <w:r w:rsidR="00AB3E66">
        <w:rPr>
          <w:rFonts w:eastAsia="黑体" w:hint="eastAsia"/>
          <w:b w:val="0"/>
          <w:sz w:val="36"/>
          <w:szCs w:val="36"/>
        </w:rPr>
        <w:t>保护措施及生态防护</w:t>
      </w:r>
      <w:r>
        <w:rPr>
          <w:rFonts w:eastAsia="黑体"/>
          <w:b w:val="0"/>
          <w:sz w:val="36"/>
          <w:szCs w:val="36"/>
        </w:rPr>
        <w:t>措施</w:t>
      </w:r>
      <w:r w:rsidR="00AB3E66">
        <w:rPr>
          <w:rFonts w:eastAsia="黑体" w:hint="eastAsia"/>
          <w:b w:val="0"/>
          <w:sz w:val="36"/>
          <w:szCs w:val="36"/>
        </w:rPr>
        <w:t>及其可行性</w:t>
      </w:r>
      <w:r>
        <w:rPr>
          <w:rFonts w:eastAsia="黑体"/>
          <w:b w:val="0"/>
          <w:sz w:val="36"/>
          <w:szCs w:val="36"/>
        </w:rPr>
        <w:t>分析</w:t>
      </w:r>
      <w:bookmarkEnd w:id="805"/>
      <w:bookmarkEnd w:id="806"/>
    </w:p>
    <w:p w:rsidR="00240BCE" w:rsidRDefault="00AC0334">
      <w:pPr>
        <w:spacing w:line="500" w:lineRule="exact"/>
        <w:ind w:firstLineChars="200" w:firstLine="480"/>
        <w:rPr>
          <w:sz w:val="24"/>
        </w:rPr>
      </w:pPr>
      <w:r>
        <w:rPr>
          <w:sz w:val="24"/>
        </w:rPr>
        <w:t>本工程为煤炭开采项目，正常情况下有废气、废水、噪声及固体废物等污染物产生，也有占用土地、破坏植被、地表沉陷等生态环境的影响。本次评价结合评价范围环境保护目标、环境现状以及本项目的生产工艺特点、产污特征、企业的技术能力和经济实力等各方面因素的基础上，制定出具有合理性实用性和实际操作性的污染防治措施及生态保护综合措施。通过合理可行的污染防治措施和生态保护措施减轻对自然环境和生态环境的影响，维护区域生态环境功能，促进环境与地方经济的协调发展，实现生态型工业和环境的可持续发展。</w:t>
      </w:r>
    </w:p>
    <w:p w:rsidR="00240BCE" w:rsidRDefault="00AC0334" w:rsidP="009C5F33">
      <w:pPr>
        <w:keepNext/>
        <w:keepLines/>
        <w:adjustRightInd w:val="0"/>
        <w:snapToGrid w:val="0"/>
        <w:spacing w:beforeLines="100" w:afterLines="50"/>
        <w:jc w:val="left"/>
        <w:outlineLvl w:val="1"/>
        <w:rPr>
          <w:b/>
          <w:bCs/>
          <w:sz w:val="32"/>
          <w:szCs w:val="32"/>
        </w:rPr>
      </w:pPr>
      <w:bookmarkStart w:id="807" w:name="_Toc316979411"/>
      <w:bookmarkStart w:id="808" w:name="_Toc54305287"/>
      <w:bookmarkStart w:id="809" w:name="_Toc81934394"/>
      <w:r>
        <w:rPr>
          <w:b/>
          <w:bCs/>
          <w:sz w:val="32"/>
          <w:szCs w:val="32"/>
        </w:rPr>
        <w:t xml:space="preserve">7.1 </w:t>
      </w:r>
      <w:bookmarkEnd w:id="807"/>
      <w:r>
        <w:rPr>
          <w:b/>
          <w:bCs/>
          <w:sz w:val="32"/>
          <w:szCs w:val="32"/>
        </w:rPr>
        <w:t>现有工程环境问题和整改措施</w:t>
      </w:r>
      <w:bookmarkEnd w:id="808"/>
      <w:bookmarkEnd w:id="809"/>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7.1.1 </w:t>
      </w:r>
      <w:r>
        <w:rPr>
          <w:rFonts w:eastAsia="楷体"/>
          <w:b/>
          <w:bCs/>
          <w:szCs w:val="28"/>
        </w:rPr>
        <w:t>现有工程存在的问题</w:t>
      </w:r>
    </w:p>
    <w:p w:rsidR="00240BCE" w:rsidRDefault="00AC0334">
      <w:pPr>
        <w:spacing w:line="500" w:lineRule="exact"/>
        <w:ind w:firstLine="482"/>
        <w:rPr>
          <w:sz w:val="24"/>
        </w:rPr>
      </w:pPr>
      <w:r>
        <w:rPr>
          <w:sz w:val="24"/>
        </w:rPr>
        <w:t>根据调查，根据现行环保要求已拆除供热锅炉，使用清洁能源电能。根据现有工程与环评批复的相符性分析，现有工程存在的主要问题：</w:t>
      </w:r>
    </w:p>
    <w:p w:rsidR="00240BCE" w:rsidRDefault="00AC0334">
      <w:pPr>
        <w:spacing w:line="500" w:lineRule="exact"/>
        <w:ind w:firstLine="482"/>
        <w:rPr>
          <w:sz w:val="24"/>
        </w:rPr>
      </w:pPr>
      <w:r>
        <w:rPr>
          <w:sz w:val="24"/>
        </w:rPr>
        <w:t>1</w:t>
      </w:r>
      <w:r>
        <w:rPr>
          <w:rFonts w:hint="eastAsia"/>
          <w:sz w:val="24"/>
        </w:rPr>
        <w:t>、</w:t>
      </w:r>
      <w:r>
        <w:rPr>
          <w:sz w:val="24"/>
        </w:rPr>
        <w:t>矿井水处理站老旧，有些设施不能稳定运行，虽能满足目前处理达标排放的要求，但处理规模不能满足升级改造后的处理规模要求。</w:t>
      </w:r>
    </w:p>
    <w:p w:rsidR="00240BCE" w:rsidRDefault="00AC0334">
      <w:pPr>
        <w:spacing w:line="500" w:lineRule="exact"/>
        <w:ind w:firstLine="482"/>
        <w:rPr>
          <w:sz w:val="24"/>
        </w:rPr>
      </w:pPr>
      <w:r>
        <w:rPr>
          <w:sz w:val="24"/>
        </w:rPr>
        <w:t>2</w:t>
      </w:r>
      <w:r>
        <w:rPr>
          <w:rFonts w:hint="eastAsia"/>
          <w:sz w:val="24"/>
        </w:rPr>
        <w:t>、</w:t>
      </w:r>
      <w:r>
        <w:rPr>
          <w:sz w:val="24"/>
        </w:rPr>
        <w:t>南厂界噪声现状监测超标；</w:t>
      </w:r>
    </w:p>
    <w:p w:rsidR="00240BCE" w:rsidRDefault="00AC0334">
      <w:pPr>
        <w:spacing w:line="500" w:lineRule="exact"/>
        <w:ind w:firstLine="482"/>
        <w:rPr>
          <w:sz w:val="24"/>
        </w:rPr>
      </w:pPr>
      <w:r>
        <w:rPr>
          <w:sz w:val="24"/>
        </w:rPr>
        <w:t>3</w:t>
      </w:r>
      <w:r>
        <w:rPr>
          <w:rFonts w:hint="eastAsia"/>
          <w:sz w:val="24"/>
        </w:rPr>
        <w:t>、</w:t>
      </w:r>
      <w:r>
        <w:rPr>
          <w:sz w:val="24"/>
        </w:rPr>
        <w:t>井口卸煤点没有封闭，且没有抑尘设施；</w:t>
      </w:r>
    </w:p>
    <w:p w:rsidR="00240BCE" w:rsidRDefault="00AC0334">
      <w:pPr>
        <w:spacing w:line="500" w:lineRule="exact"/>
        <w:ind w:firstLine="482"/>
        <w:rPr>
          <w:sz w:val="24"/>
        </w:rPr>
      </w:pPr>
      <w:r>
        <w:rPr>
          <w:sz w:val="24"/>
        </w:rPr>
        <w:t>4</w:t>
      </w:r>
      <w:r>
        <w:rPr>
          <w:rFonts w:hint="eastAsia"/>
          <w:sz w:val="24"/>
        </w:rPr>
        <w:t>、</w:t>
      </w:r>
      <w:r>
        <w:rPr>
          <w:sz w:val="24"/>
        </w:rPr>
        <w:t>机修车间没有封闭，且没有焊接烟尘处理措施；</w:t>
      </w:r>
    </w:p>
    <w:p w:rsidR="00240BCE" w:rsidRDefault="00AC0334">
      <w:pPr>
        <w:spacing w:line="500" w:lineRule="exact"/>
        <w:ind w:firstLine="482"/>
        <w:rPr>
          <w:sz w:val="24"/>
        </w:rPr>
      </w:pPr>
      <w:r>
        <w:rPr>
          <w:sz w:val="24"/>
        </w:rPr>
        <w:t>5</w:t>
      </w:r>
      <w:r>
        <w:rPr>
          <w:sz w:val="24"/>
        </w:rPr>
        <w:t>、没有初期雨水收集设施；</w:t>
      </w:r>
    </w:p>
    <w:p w:rsidR="00240BCE" w:rsidRDefault="00AC0334">
      <w:pPr>
        <w:spacing w:line="500" w:lineRule="exact"/>
        <w:ind w:firstLine="482"/>
        <w:rPr>
          <w:sz w:val="24"/>
        </w:rPr>
      </w:pPr>
      <w:r>
        <w:rPr>
          <w:sz w:val="24"/>
        </w:rPr>
        <w:t>6</w:t>
      </w:r>
      <w:r>
        <w:rPr>
          <w:rFonts w:hint="eastAsia"/>
          <w:sz w:val="24"/>
        </w:rPr>
        <w:t>、</w:t>
      </w:r>
      <w:r>
        <w:rPr>
          <w:sz w:val="24"/>
        </w:rPr>
        <w:t>没有危废收集设施。</w:t>
      </w:r>
    </w:p>
    <w:p w:rsidR="00C675D4" w:rsidRPr="00C675D4" w:rsidRDefault="00C675D4" w:rsidP="00C675D4">
      <w:pPr>
        <w:spacing w:line="500" w:lineRule="exact"/>
        <w:ind w:firstLine="482"/>
        <w:rPr>
          <w:sz w:val="24"/>
        </w:rPr>
      </w:pPr>
      <w:r w:rsidRPr="00C675D4">
        <w:rPr>
          <w:rFonts w:hint="eastAsia"/>
          <w:sz w:val="24"/>
        </w:rPr>
        <w:t>7</w:t>
      </w:r>
      <w:r w:rsidRPr="00C675D4">
        <w:rPr>
          <w:rFonts w:hint="eastAsia"/>
          <w:sz w:val="24"/>
        </w:rPr>
        <w:t>、</w:t>
      </w:r>
      <w:r w:rsidRPr="00C675D4">
        <w:rPr>
          <w:sz w:val="24"/>
        </w:rPr>
        <w:t>原黄庄一矿和赵沟煤矿</w:t>
      </w:r>
      <w:r w:rsidRPr="00C675D4">
        <w:rPr>
          <w:rFonts w:hint="eastAsia"/>
          <w:sz w:val="24"/>
        </w:rPr>
        <w:t>工业场地内仍有少量矸石废渣堆存。</w:t>
      </w:r>
    </w:p>
    <w:p w:rsidR="00240BCE" w:rsidRDefault="00AC0334">
      <w:pPr>
        <w:adjustRightInd w:val="0"/>
        <w:snapToGrid w:val="0"/>
        <w:spacing w:line="500" w:lineRule="exact"/>
        <w:ind w:firstLine="482"/>
        <w:rPr>
          <w:sz w:val="24"/>
        </w:rPr>
      </w:pPr>
      <w:r>
        <w:rPr>
          <w:sz w:val="24"/>
        </w:rPr>
        <w:t>其余环保设施基本按照现有工程的环评及批复以及现行的环保要求落实到位。</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7.1.2 </w:t>
      </w:r>
      <w:r>
        <w:rPr>
          <w:rFonts w:eastAsia="楷体"/>
          <w:b/>
          <w:bCs/>
          <w:szCs w:val="28"/>
        </w:rPr>
        <w:t>现有工程存在问题的整改方案</w:t>
      </w:r>
    </w:p>
    <w:p w:rsidR="00240BCE" w:rsidRDefault="00AC0334">
      <w:pPr>
        <w:spacing w:line="500" w:lineRule="exact"/>
        <w:ind w:firstLineChars="200" w:firstLine="480"/>
        <w:rPr>
          <w:sz w:val="24"/>
        </w:rPr>
      </w:pPr>
      <w:r>
        <w:rPr>
          <w:sz w:val="24"/>
        </w:rPr>
        <w:t>根据初步设计，技术改造后依托利用现有工业场地。现有工程遗留问题将纳入本次技术改造工程，通过</w:t>
      </w:r>
      <w:r>
        <w:rPr>
          <w:sz w:val="24"/>
        </w:rPr>
        <w:t xml:space="preserve"> “</w:t>
      </w:r>
      <w:r>
        <w:rPr>
          <w:sz w:val="24"/>
        </w:rPr>
        <w:t>以新带老</w:t>
      </w:r>
      <w:r>
        <w:rPr>
          <w:sz w:val="24"/>
        </w:rPr>
        <w:t>”</w:t>
      </w:r>
      <w:r>
        <w:rPr>
          <w:sz w:val="24"/>
        </w:rPr>
        <w:t>解决现有工程环境问题，并按照现行环保政策，</w:t>
      </w:r>
      <w:r>
        <w:rPr>
          <w:sz w:val="24"/>
        </w:rPr>
        <w:lastRenderedPageBreak/>
        <w:t>一并严格落实并执行现行环境保护措施和符合规定要求的环保治理设施。</w:t>
      </w:r>
    </w:p>
    <w:p w:rsidR="00240BCE" w:rsidRDefault="00AC0334">
      <w:pPr>
        <w:adjustRightInd w:val="0"/>
        <w:snapToGrid w:val="0"/>
        <w:spacing w:line="500" w:lineRule="exact"/>
        <w:ind w:firstLine="482"/>
        <w:rPr>
          <w:sz w:val="24"/>
        </w:rPr>
      </w:pPr>
      <w:r>
        <w:rPr>
          <w:sz w:val="24"/>
        </w:rPr>
        <w:t>具体方案见表</w:t>
      </w:r>
      <w:r>
        <w:rPr>
          <w:sz w:val="24"/>
        </w:rPr>
        <w:t>7.1-1</w:t>
      </w:r>
      <w:r>
        <w:rPr>
          <w:sz w:val="24"/>
        </w:rPr>
        <w:t>。</w:t>
      </w:r>
    </w:p>
    <w:p w:rsidR="00240BCE" w:rsidRDefault="00AC0334">
      <w:pPr>
        <w:spacing w:line="520" w:lineRule="exact"/>
        <w:jc w:val="center"/>
        <w:rPr>
          <w:b/>
          <w:bCs/>
          <w:sz w:val="24"/>
        </w:rPr>
      </w:pPr>
      <w:r>
        <w:rPr>
          <w:b/>
          <w:spacing w:val="-1"/>
          <w:sz w:val="24"/>
        </w:rPr>
        <w:t>表</w:t>
      </w:r>
      <w:r>
        <w:rPr>
          <w:b/>
          <w:spacing w:val="-1"/>
          <w:sz w:val="24"/>
        </w:rPr>
        <w:t xml:space="preserve">7.1-1    </w:t>
      </w:r>
      <w:r>
        <w:rPr>
          <w:b/>
          <w:spacing w:val="-1"/>
          <w:sz w:val="24"/>
        </w:rPr>
        <w:t>现有工程存在问题的整改方案一览表</w:t>
      </w:r>
    </w:p>
    <w:tbl>
      <w:tblPr>
        <w:tblW w:w="498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tblPr>
      <w:tblGrid>
        <w:gridCol w:w="490"/>
        <w:gridCol w:w="5343"/>
        <w:gridCol w:w="2897"/>
      </w:tblGrid>
      <w:tr w:rsidR="00240BCE">
        <w:trPr>
          <w:trHeight w:val="397"/>
          <w:jc w:val="center"/>
        </w:trPr>
        <w:tc>
          <w:tcPr>
            <w:tcW w:w="281" w:type="pct"/>
            <w:tcBorders>
              <w:top w:val="single" w:sz="12" w:space="0" w:color="auto"/>
              <w:left w:val="single" w:sz="12"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序号</w:t>
            </w:r>
          </w:p>
        </w:tc>
        <w:tc>
          <w:tcPr>
            <w:tcW w:w="3060" w:type="pct"/>
            <w:tcBorders>
              <w:top w:val="single" w:sz="12" w:space="0" w:color="auto"/>
              <w:left w:val="single" w:sz="6"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现有工程存在主要环境问题</w:t>
            </w:r>
          </w:p>
        </w:tc>
        <w:tc>
          <w:tcPr>
            <w:tcW w:w="1659" w:type="pct"/>
            <w:tcBorders>
              <w:top w:val="single" w:sz="12" w:space="0" w:color="auto"/>
              <w:left w:val="single" w:sz="6" w:space="0" w:color="auto"/>
              <w:bottom w:val="single" w:sz="6" w:space="0" w:color="auto"/>
              <w:right w:val="single" w:sz="12" w:space="0" w:color="auto"/>
            </w:tcBorders>
            <w:vAlign w:val="center"/>
          </w:tcPr>
          <w:p w:rsidR="00240BCE" w:rsidRDefault="00AC0334">
            <w:pPr>
              <w:spacing w:line="280" w:lineRule="exact"/>
              <w:jc w:val="center"/>
              <w:rPr>
                <w:sz w:val="21"/>
                <w:szCs w:val="21"/>
              </w:rPr>
            </w:pPr>
            <w:r>
              <w:rPr>
                <w:sz w:val="21"/>
                <w:szCs w:val="21"/>
              </w:rPr>
              <w:t>拟采取相应整改方案</w:t>
            </w:r>
          </w:p>
        </w:tc>
      </w:tr>
      <w:tr w:rsidR="00240BCE">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1</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矿井水处理站老旧，有些设施不能稳定运行，虽能满足目前处理达标排放的要求，但处理规模不能满足升级改造后的处理规模要求。</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Default="00AC0334">
            <w:pPr>
              <w:spacing w:line="280" w:lineRule="exact"/>
              <w:jc w:val="center"/>
              <w:rPr>
                <w:sz w:val="21"/>
                <w:szCs w:val="21"/>
              </w:rPr>
            </w:pPr>
            <w:r>
              <w:rPr>
                <w:sz w:val="21"/>
                <w:szCs w:val="21"/>
              </w:rPr>
              <w:t>本次升级改造工程拟对现有的矿井水处理站进行升级改造。</w:t>
            </w:r>
          </w:p>
        </w:tc>
      </w:tr>
      <w:tr w:rsidR="00240BCE">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2</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南厂界噪声现状监测超标</w:t>
            </w:r>
            <w:r w:rsidR="00D91CB5" w:rsidRPr="00D91CB5">
              <w:rPr>
                <w:rFonts w:hint="eastAsia"/>
                <w:sz w:val="21"/>
                <w:szCs w:val="21"/>
              </w:rPr>
              <w:t>，主要是风机距离南厂界较近</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Default="00AC0334">
            <w:pPr>
              <w:spacing w:line="280" w:lineRule="exact"/>
              <w:jc w:val="center"/>
              <w:rPr>
                <w:sz w:val="21"/>
                <w:szCs w:val="21"/>
              </w:rPr>
            </w:pPr>
            <w:r>
              <w:rPr>
                <w:sz w:val="21"/>
                <w:szCs w:val="21"/>
              </w:rPr>
              <w:t>本次升级改造工程拟对南厂界进行吸音隔声处理</w:t>
            </w:r>
          </w:p>
        </w:tc>
      </w:tr>
      <w:tr w:rsidR="00240BCE">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3</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井口卸煤点没有封闭，且没有抑尘设施</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Default="00AC0334">
            <w:pPr>
              <w:spacing w:line="280" w:lineRule="exact"/>
              <w:jc w:val="center"/>
              <w:rPr>
                <w:sz w:val="21"/>
                <w:szCs w:val="21"/>
              </w:rPr>
            </w:pPr>
            <w:r>
              <w:rPr>
                <w:sz w:val="21"/>
                <w:szCs w:val="21"/>
              </w:rPr>
              <w:t>井口卸煤点封闭，</w:t>
            </w:r>
            <w:r w:rsidR="00D91CB5" w:rsidRPr="00D91CB5">
              <w:rPr>
                <w:rFonts w:hint="eastAsia"/>
                <w:sz w:val="21"/>
                <w:szCs w:val="21"/>
              </w:rPr>
              <w:t>安装袋式除尘器</w:t>
            </w:r>
          </w:p>
        </w:tc>
      </w:tr>
      <w:tr w:rsidR="00240BCE">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4</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机修车间没有封闭，且没有焊接烟尘处理措施</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Default="00AC0334">
            <w:pPr>
              <w:spacing w:line="280" w:lineRule="exact"/>
              <w:jc w:val="center"/>
              <w:rPr>
                <w:sz w:val="21"/>
                <w:szCs w:val="21"/>
              </w:rPr>
            </w:pPr>
            <w:r>
              <w:rPr>
                <w:snapToGrid w:val="0"/>
                <w:kern w:val="0"/>
                <w:sz w:val="21"/>
                <w:szCs w:val="21"/>
              </w:rPr>
              <w:t>机修车间封闭，焊接烟尘采用集气罩</w:t>
            </w:r>
            <w:r>
              <w:rPr>
                <w:snapToGrid w:val="0"/>
                <w:kern w:val="0"/>
                <w:sz w:val="21"/>
                <w:szCs w:val="21"/>
              </w:rPr>
              <w:t>+</w:t>
            </w:r>
            <w:r>
              <w:rPr>
                <w:snapToGrid w:val="0"/>
                <w:kern w:val="0"/>
                <w:sz w:val="21"/>
                <w:szCs w:val="21"/>
              </w:rPr>
              <w:t>带式除尘器</w:t>
            </w:r>
          </w:p>
        </w:tc>
      </w:tr>
      <w:tr w:rsidR="00240BCE">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5</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没有初期雨水收集设施</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Default="00AC0334">
            <w:pPr>
              <w:spacing w:line="280" w:lineRule="exact"/>
              <w:jc w:val="center"/>
              <w:rPr>
                <w:snapToGrid w:val="0"/>
                <w:kern w:val="0"/>
                <w:sz w:val="21"/>
                <w:szCs w:val="21"/>
              </w:rPr>
            </w:pPr>
            <w:r>
              <w:rPr>
                <w:snapToGrid w:val="0"/>
                <w:kern w:val="0"/>
                <w:sz w:val="21"/>
                <w:szCs w:val="21"/>
              </w:rPr>
              <w:t>在工业场地东南部低洼处设置</w:t>
            </w:r>
            <w:r>
              <w:rPr>
                <w:snapToGrid w:val="0"/>
                <w:kern w:val="0"/>
                <w:sz w:val="21"/>
                <w:szCs w:val="21"/>
              </w:rPr>
              <w:t>150m</w:t>
            </w:r>
            <w:r>
              <w:rPr>
                <w:snapToGrid w:val="0"/>
                <w:kern w:val="0"/>
                <w:sz w:val="21"/>
                <w:szCs w:val="21"/>
                <w:vertAlign w:val="superscript"/>
              </w:rPr>
              <w:t>3</w:t>
            </w:r>
            <w:r>
              <w:rPr>
                <w:snapToGrid w:val="0"/>
                <w:kern w:val="0"/>
                <w:sz w:val="21"/>
                <w:szCs w:val="21"/>
              </w:rPr>
              <w:t>的初期雨水收集池</w:t>
            </w:r>
          </w:p>
        </w:tc>
      </w:tr>
      <w:tr w:rsidR="00240BCE" w:rsidTr="00D91CB5">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6</w:t>
            </w:r>
          </w:p>
        </w:tc>
        <w:tc>
          <w:tcPr>
            <w:tcW w:w="3060" w:type="pct"/>
            <w:tcBorders>
              <w:top w:val="single" w:sz="6" w:space="0" w:color="auto"/>
              <w:left w:val="single" w:sz="6" w:space="0" w:color="auto"/>
              <w:bottom w:val="single" w:sz="6" w:space="0" w:color="auto"/>
              <w:right w:val="single" w:sz="6" w:space="0" w:color="auto"/>
            </w:tcBorders>
            <w:vAlign w:val="center"/>
          </w:tcPr>
          <w:p w:rsidR="00240BCE" w:rsidRDefault="00AC0334">
            <w:pPr>
              <w:spacing w:line="280" w:lineRule="exact"/>
              <w:jc w:val="center"/>
              <w:rPr>
                <w:sz w:val="21"/>
                <w:szCs w:val="21"/>
              </w:rPr>
            </w:pPr>
            <w:r>
              <w:rPr>
                <w:sz w:val="21"/>
                <w:szCs w:val="21"/>
              </w:rPr>
              <w:t>没有危废收集设施</w:t>
            </w:r>
          </w:p>
        </w:tc>
        <w:tc>
          <w:tcPr>
            <w:tcW w:w="1659" w:type="pct"/>
            <w:tcBorders>
              <w:top w:val="single" w:sz="6" w:space="0" w:color="auto"/>
              <w:left w:val="single" w:sz="6" w:space="0" w:color="auto"/>
              <w:bottom w:val="single" w:sz="6" w:space="0" w:color="auto"/>
              <w:right w:val="single" w:sz="12" w:space="0" w:color="auto"/>
            </w:tcBorders>
            <w:vAlign w:val="center"/>
          </w:tcPr>
          <w:p w:rsidR="00240BCE" w:rsidRDefault="00AC0334">
            <w:pPr>
              <w:spacing w:line="280" w:lineRule="exact"/>
              <w:jc w:val="center"/>
              <w:rPr>
                <w:snapToGrid w:val="0"/>
                <w:kern w:val="0"/>
                <w:sz w:val="21"/>
                <w:szCs w:val="21"/>
              </w:rPr>
            </w:pPr>
            <w:r>
              <w:rPr>
                <w:snapToGrid w:val="0"/>
                <w:kern w:val="0"/>
                <w:sz w:val="21"/>
                <w:szCs w:val="21"/>
              </w:rPr>
              <w:t>设置危废暂存间，经收集后交由有资质单位处置</w:t>
            </w:r>
          </w:p>
        </w:tc>
      </w:tr>
      <w:tr w:rsidR="00D91CB5" w:rsidTr="00C675D4">
        <w:trPr>
          <w:trHeight w:val="397"/>
          <w:jc w:val="center"/>
        </w:trPr>
        <w:tc>
          <w:tcPr>
            <w:tcW w:w="281" w:type="pct"/>
            <w:tcBorders>
              <w:top w:val="single" w:sz="6" w:space="0" w:color="auto"/>
              <w:left w:val="single" w:sz="12" w:space="0" w:color="auto"/>
              <w:bottom w:val="single" w:sz="6" w:space="0" w:color="auto"/>
              <w:right w:val="single" w:sz="6" w:space="0" w:color="auto"/>
            </w:tcBorders>
            <w:vAlign w:val="center"/>
          </w:tcPr>
          <w:p w:rsidR="00D91CB5" w:rsidRDefault="00D91CB5">
            <w:pPr>
              <w:spacing w:line="280" w:lineRule="exact"/>
              <w:jc w:val="center"/>
              <w:rPr>
                <w:sz w:val="21"/>
                <w:szCs w:val="21"/>
              </w:rPr>
            </w:pPr>
            <w:r>
              <w:rPr>
                <w:rFonts w:hint="eastAsia"/>
                <w:sz w:val="21"/>
                <w:szCs w:val="21"/>
              </w:rPr>
              <w:t>7</w:t>
            </w:r>
          </w:p>
        </w:tc>
        <w:tc>
          <w:tcPr>
            <w:tcW w:w="3060" w:type="pct"/>
            <w:tcBorders>
              <w:top w:val="single" w:sz="6" w:space="0" w:color="auto"/>
              <w:left w:val="single" w:sz="6" w:space="0" w:color="auto"/>
              <w:bottom w:val="single" w:sz="6" w:space="0" w:color="auto"/>
              <w:right w:val="single" w:sz="6" w:space="0" w:color="auto"/>
            </w:tcBorders>
            <w:vAlign w:val="center"/>
          </w:tcPr>
          <w:p w:rsidR="00D91CB5" w:rsidRPr="00D91CB5" w:rsidRDefault="00D91CB5" w:rsidP="0007685C">
            <w:pPr>
              <w:spacing w:line="280" w:lineRule="exact"/>
              <w:jc w:val="center"/>
              <w:rPr>
                <w:sz w:val="21"/>
                <w:szCs w:val="21"/>
              </w:rPr>
            </w:pPr>
            <w:r w:rsidRPr="00D91CB5">
              <w:rPr>
                <w:sz w:val="21"/>
                <w:szCs w:val="21"/>
              </w:rPr>
              <w:t>污水排口设置设置不规范，无排放口标识牌等。</w:t>
            </w:r>
          </w:p>
        </w:tc>
        <w:tc>
          <w:tcPr>
            <w:tcW w:w="1659" w:type="pct"/>
            <w:tcBorders>
              <w:top w:val="single" w:sz="6" w:space="0" w:color="auto"/>
              <w:left w:val="single" w:sz="6" w:space="0" w:color="auto"/>
              <w:bottom w:val="single" w:sz="6" w:space="0" w:color="auto"/>
              <w:right w:val="single" w:sz="12" w:space="0" w:color="auto"/>
            </w:tcBorders>
            <w:vAlign w:val="center"/>
          </w:tcPr>
          <w:p w:rsidR="00D91CB5" w:rsidRPr="00D91CB5" w:rsidRDefault="00D91CB5" w:rsidP="0007685C">
            <w:pPr>
              <w:spacing w:line="280" w:lineRule="exact"/>
              <w:jc w:val="center"/>
              <w:rPr>
                <w:sz w:val="21"/>
                <w:szCs w:val="21"/>
              </w:rPr>
            </w:pPr>
            <w:r w:rsidRPr="00D91CB5">
              <w:rPr>
                <w:sz w:val="21"/>
                <w:szCs w:val="21"/>
              </w:rPr>
              <w:t>在工业广场规范排污口设置，并设排污口标识</w:t>
            </w:r>
          </w:p>
        </w:tc>
      </w:tr>
      <w:tr w:rsidR="00C675D4">
        <w:trPr>
          <w:trHeight w:val="397"/>
          <w:jc w:val="center"/>
        </w:trPr>
        <w:tc>
          <w:tcPr>
            <w:tcW w:w="281" w:type="pct"/>
            <w:tcBorders>
              <w:top w:val="single" w:sz="6" w:space="0" w:color="auto"/>
              <w:left w:val="single" w:sz="12" w:space="0" w:color="auto"/>
              <w:bottom w:val="single" w:sz="12" w:space="0" w:color="auto"/>
              <w:right w:val="single" w:sz="6" w:space="0" w:color="auto"/>
            </w:tcBorders>
            <w:vAlign w:val="center"/>
          </w:tcPr>
          <w:p w:rsidR="00C675D4" w:rsidRDefault="00C675D4">
            <w:pPr>
              <w:spacing w:line="280" w:lineRule="exact"/>
              <w:jc w:val="center"/>
              <w:rPr>
                <w:sz w:val="21"/>
                <w:szCs w:val="21"/>
              </w:rPr>
            </w:pPr>
            <w:r>
              <w:rPr>
                <w:rFonts w:hint="eastAsia"/>
                <w:sz w:val="21"/>
                <w:szCs w:val="21"/>
              </w:rPr>
              <w:t>8</w:t>
            </w:r>
          </w:p>
        </w:tc>
        <w:tc>
          <w:tcPr>
            <w:tcW w:w="3060" w:type="pct"/>
            <w:tcBorders>
              <w:top w:val="single" w:sz="6" w:space="0" w:color="auto"/>
              <w:left w:val="single" w:sz="6" w:space="0" w:color="auto"/>
              <w:bottom w:val="single" w:sz="12" w:space="0" w:color="auto"/>
              <w:right w:val="single" w:sz="6" w:space="0" w:color="auto"/>
            </w:tcBorders>
            <w:vAlign w:val="center"/>
          </w:tcPr>
          <w:p w:rsidR="00C675D4" w:rsidRPr="00CC4BB4" w:rsidRDefault="00C675D4" w:rsidP="00654B9B">
            <w:pPr>
              <w:spacing w:line="280" w:lineRule="exact"/>
              <w:jc w:val="center"/>
              <w:rPr>
                <w:i/>
                <w:snapToGrid w:val="0"/>
                <w:sz w:val="21"/>
                <w:szCs w:val="21"/>
                <w:u w:val="single"/>
              </w:rPr>
            </w:pPr>
            <w:r w:rsidRPr="00C675D4">
              <w:rPr>
                <w:i/>
                <w:snapToGrid w:val="0"/>
                <w:sz w:val="21"/>
                <w:szCs w:val="21"/>
                <w:u w:val="single"/>
              </w:rPr>
              <w:t>原黄庄一矿和赵沟煤矿工业广场</w:t>
            </w:r>
            <w:r>
              <w:rPr>
                <w:rFonts w:hint="eastAsia"/>
                <w:i/>
                <w:snapToGrid w:val="0"/>
                <w:sz w:val="21"/>
                <w:szCs w:val="21"/>
                <w:u w:val="single"/>
              </w:rPr>
              <w:t>拆除后，</w:t>
            </w:r>
            <w:r w:rsidRPr="00C675D4">
              <w:rPr>
                <w:rFonts w:hint="eastAsia"/>
                <w:i/>
                <w:snapToGrid w:val="0"/>
                <w:sz w:val="21"/>
                <w:szCs w:val="21"/>
                <w:u w:val="single"/>
              </w:rPr>
              <w:t>部分</w:t>
            </w:r>
            <w:r>
              <w:rPr>
                <w:rFonts w:hint="eastAsia"/>
                <w:i/>
                <w:snapToGrid w:val="0"/>
                <w:sz w:val="21"/>
                <w:szCs w:val="21"/>
                <w:u w:val="single"/>
              </w:rPr>
              <w:t>场地</w:t>
            </w:r>
            <w:r w:rsidRPr="00C675D4">
              <w:rPr>
                <w:i/>
                <w:snapToGrid w:val="0"/>
                <w:sz w:val="21"/>
                <w:szCs w:val="21"/>
                <w:u w:val="single"/>
              </w:rPr>
              <w:t>已复垦，</w:t>
            </w:r>
            <w:r>
              <w:rPr>
                <w:rFonts w:hint="eastAsia"/>
                <w:i/>
                <w:snapToGrid w:val="0"/>
                <w:sz w:val="21"/>
                <w:szCs w:val="21"/>
                <w:u w:val="single"/>
              </w:rPr>
              <w:t>但</w:t>
            </w:r>
            <w:r w:rsidRPr="00C675D4">
              <w:rPr>
                <w:rFonts w:hint="eastAsia"/>
                <w:i/>
                <w:snapToGrid w:val="0"/>
                <w:sz w:val="21"/>
                <w:szCs w:val="21"/>
                <w:u w:val="single"/>
              </w:rPr>
              <w:t>场地内仍有少量矸石遗留</w:t>
            </w:r>
          </w:p>
        </w:tc>
        <w:tc>
          <w:tcPr>
            <w:tcW w:w="1659" w:type="pct"/>
            <w:tcBorders>
              <w:top w:val="single" w:sz="6" w:space="0" w:color="auto"/>
              <w:left w:val="single" w:sz="6" w:space="0" w:color="auto"/>
              <w:bottom w:val="single" w:sz="12" w:space="0" w:color="auto"/>
              <w:right w:val="single" w:sz="12" w:space="0" w:color="auto"/>
            </w:tcBorders>
            <w:vAlign w:val="center"/>
          </w:tcPr>
          <w:p w:rsidR="00C675D4" w:rsidRPr="00CC4BB4" w:rsidRDefault="00C675D4" w:rsidP="00654B9B">
            <w:pPr>
              <w:spacing w:line="280" w:lineRule="exact"/>
              <w:jc w:val="center"/>
              <w:rPr>
                <w:i/>
                <w:snapToGrid w:val="0"/>
                <w:sz w:val="21"/>
                <w:szCs w:val="21"/>
                <w:u w:val="single"/>
              </w:rPr>
            </w:pPr>
            <w:r>
              <w:rPr>
                <w:rFonts w:hint="eastAsia"/>
                <w:i/>
                <w:snapToGrid w:val="0"/>
                <w:sz w:val="21"/>
                <w:szCs w:val="21"/>
                <w:u w:val="single"/>
              </w:rPr>
              <w:t>对矸石废渣进行</w:t>
            </w:r>
            <w:r w:rsidRPr="00C675D4">
              <w:rPr>
                <w:rFonts w:hint="eastAsia"/>
                <w:i/>
                <w:snapToGrid w:val="0"/>
                <w:sz w:val="21"/>
                <w:szCs w:val="21"/>
                <w:u w:val="single"/>
              </w:rPr>
              <w:t>清运，并进一步恢复植被</w:t>
            </w:r>
          </w:p>
        </w:tc>
      </w:tr>
    </w:tbl>
    <w:p w:rsidR="00240BCE" w:rsidRDefault="00AC0334" w:rsidP="009C5F33">
      <w:pPr>
        <w:keepNext/>
        <w:keepLines/>
        <w:adjustRightInd w:val="0"/>
        <w:snapToGrid w:val="0"/>
        <w:spacing w:beforeLines="100" w:afterLines="50"/>
        <w:jc w:val="left"/>
        <w:outlineLvl w:val="1"/>
        <w:rPr>
          <w:b/>
          <w:bCs/>
          <w:sz w:val="32"/>
          <w:szCs w:val="32"/>
        </w:rPr>
      </w:pPr>
      <w:bookmarkStart w:id="810" w:name="_Toc54305288"/>
      <w:bookmarkStart w:id="811" w:name="_Toc81934395"/>
      <w:r>
        <w:rPr>
          <w:b/>
          <w:bCs/>
          <w:sz w:val="32"/>
          <w:szCs w:val="32"/>
        </w:rPr>
        <w:t xml:space="preserve">7.2 </w:t>
      </w:r>
      <w:r>
        <w:rPr>
          <w:b/>
          <w:bCs/>
          <w:sz w:val="32"/>
          <w:szCs w:val="32"/>
        </w:rPr>
        <w:t>建设期环境保护措施分析</w:t>
      </w:r>
      <w:bookmarkEnd w:id="810"/>
      <w:bookmarkEnd w:id="811"/>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7.2.1 </w:t>
      </w:r>
      <w:r>
        <w:rPr>
          <w:rFonts w:eastAsia="楷体"/>
          <w:b/>
          <w:bCs/>
          <w:szCs w:val="28"/>
        </w:rPr>
        <w:t>建设期大气污染防治措施</w:t>
      </w:r>
    </w:p>
    <w:p w:rsidR="00240BCE" w:rsidRDefault="00AC0334">
      <w:pPr>
        <w:spacing w:line="500" w:lineRule="exact"/>
        <w:ind w:firstLine="482"/>
        <w:rPr>
          <w:sz w:val="24"/>
          <w:szCs w:val="22"/>
        </w:rPr>
      </w:pPr>
      <w:r>
        <w:rPr>
          <w:sz w:val="24"/>
        </w:rPr>
        <w:t>建设期的大气污染物主要为施工场地开挖回填土石方产生</w:t>
      </w:r>
      <w:r>
        <w:rPr>
          <w:sz w:val="24"/>
          <w:szCs w:val="22"/>
        </w:rPr>
        <w:t>的风蚀扬尘、车辆运输产生的动力性扬尘、井下施工产生的粉尘以及施工机械废气等，污染物为粉尘颗粒物（</w:t>
      </w:r>
      <w:r>
        <w:rPr>
          <w:sz w:val="24"/>
          <w:szCs w:val="22"/>
        </w:rPr>
        <w:t>TSP</w:t>
      </w:r>
      <w:r>
        <w:rPr>
          <w:sz w:val="24"/>
          <w:szCs w:val="22"/>
        </w:rPr>
        <w:t>），排放方式为无组织排放。</w:t>
      </w:r>
    </w:p>
    <w:p w:rsidR="00240BCE" w:rsidRDefault="00AC0334">
      <w:pPr>
        <w:spacing w:line="500" w:lineRule="exact"/>
        <w:ind w:firstLine="482"/>
        <w:rPr>
          <w:sz w:val="24"/>
        </w:rPr>
      </w:pPr>
      <w:r>
        <w:rPr>
          <w:sz w:val="24"/>
        </w:rPr>
        <w:t>评价采取的降尘措施有：</w:t>
      </w:r>
    </w:p>
    <w:p w:rsidR="00240BCE" w:rsidRDefault="00AC0334">
      <w:pPr>
        <w:spacing w:line="500" w:lineRule="exact"/>
        <w:ind w:firstLine="482"/>
        <w:rPr>
          <w:sz w:val="24"/>
        </w:rPr>
      </w:pPr>
      <w:r>
        <w:rPr>
          <w:sz w:val="24"/>
          <w:szCs w:val="22"/>
        </w:rPr>
        <w:t>根据</w:t>
      </w:r>
      <w:r>
        <w:rPr>
          <w:sz w:val="24"/>
          <w:szCs w:val="22"/>
        </w:rPr>
        <w:t>202</w:t>
      </w:r>
      <w:r w:rsidR="00C01B4C">
        <w:rPr>
          <w:rFonts w:hint="eastAsia"/>
          <w:sz w:val="24"/>
          <w:szCs w:val="22"/>
        </w:rPr>
        <w:t>1</w:t>
      </w:r>
      <w:r>
        <w:rPr>
          <w:sz w:val="24"/>
          <w:szCs w:val="22"/>
        </w:rPr>
        <w:t>年各级大气污染防治攻坚战实施方案要求以</w:t>
      </w:r>
      <w:r>
        <w:rPr>
          <w:sz w:val="24"/>
        </w:rPr>
        <w:t>禹州市</w:t>
      </w:r>
      <w:r>
        <w:rPr>
          <w:sz w:val="24"/>
        </w:rPr>
        <w:t>202</w:t>
      </w:r>
      <w:r w:rsidR="00C01B4C">
        <w:rPr>
          <w:rFonts w:hint="eastAsia"/>
          <w:sz w:val="24"/>
        </w:rPr>
        <w:t>1</w:t>
      </w:r>
      <w:r>
        <w:rPr>
          <w:sz w:val="24"/>
        </w:rPr>
        <w:t>年大气污染防治攻坚战实施方案的通知</w:t>
      </w:r>
      <w:r>
        <w:rPr>
          <w:sz w:val="24"/>
          <w:szCs w:val="22"/>
        </w:rPr>
        <w:t>的相关要求，</w:t>
      </w:r>
      <w:r>
        <w:rPr>
          <w:sz w:val="24"/>
        </w:rPr>
        <w:t>评价提出：</w:t>
      </w:r>
    </w:p>
    <w:p w:rsidR="00240BCE" w:rsidRDefault="00AC0334">
      <w:pPr>
        <w:spacing w:line="500" w:lineRule="exact"/>
        <w:ind w:firstLine="482"/>
        <w:rPr>
          <w:sz w:val="24"/>
        </w:rPr>
      </w:pPr>
      <w:r>
        <w:rPr>
          <w:sz w:val="24"/>
        </w:rPr>
        <w:t>①</w:t>
      </w:r>
      <w:r>
        <w:rPr>
          <w:sz w:val="24"/>
        </w:rPr>
        <w:t>严格按照</w:t>
      </w:r>
      <w:r>
        <w:rPr>
          <w:sz w:val="24"/>
        </w:rPr>
        <w:t>“</w:t>
      </w:r>
      <w:r w:rsidR="00C01B4C">
        <w:rPr>
          <w:rFonts w:hint="eastAsia"/>
          <w:sz w:val="24"/>
        </w:rPr>
        <w:t>十</w:t>
      </w:r>
      <w:r>
        <w:rPr>
          <w:sz w:val="24"/>
        </w:rPr>
        <w:t>个百分百</w:t>
      </w:r>
      <w:r>
        <w:rPr>
          <w:sz w:val="24"/>
        </w:rPr>
        <w:t>”</w:t>
      </w:r>
      <w:r>
        <w:rPr>
          <w:sz w:val="24"/>
        </w:rPr>
        <w:t>落实大气污染防治措施，施工期施工设置挡板围墙，围墙上设置水喷雾装置洒水抑尘，不得有间断、敞开，底边封闭严密，不得有泥浆外漏。工程结束前，不得拆除施工现场围挡。当妨碍施工必须拆除时，应设置临时围挡并符合相关要求；物料堆场及开挖土方不能及时回填的均采用编织网覆盖；土</w:t>
      </w:r>
      <w:r>
        <w:rPr>
          <w:sz w:val="24"/>
        </w:rPr>
        <w:lastRenderedPageBreak/>
        <w:t>方开挖洒水车洒水湿法作业；运输路面硬化；出入车辆清洗；渣土车辆密闭运输。</w:t>
      </w:r>
    </w:p>
    <w:p w:rsidR="00240BCE" w:rsidRDefault="00AC0334">
      <w:pPr>
        <w:spacing w:line="500" w:lineRule="exact"/>
        <w:ind w:firstLine="482"/>
        <w:rPr>
          <w:sz w:val="24"/>
        </w:rPr>
      </w:pPr>
      <w:r>
        <w:rPr>
          <w:sz w:val="24"/>
        </w:rPr>
        <w:t>②</w:t>
      </w:r>
      <w:r>
        <w:rPr>
          <w:sz w:val="24"/>
        </w:rPr>
        <w:t>施工单位做到文明施工，所有施工场地土方的挖掘、堆放要规范有序，尽量减少施工扬尘排放，土方要及时回填、压实；</w:t>
      </w:r>
    </w:p>
    <w:p w:rsidR="00240BCE" w:rsidRDefault="00AC0334">
      <w:pPr>
        <w:spacing w:line="500" w:lineRule="exact"/>
        <w:ind w:firstLine="482"/>
        <w:rPr>
          <w:sz w:val="24"/>
        </w:rPr>
      </w:pPr>
      <w:r>
        <w:rPr>
          <w:sz w:val="24"/>
        </w:rPr>
        <w:t>③</w:t>
      </w:r>
      <w:r>
        <w:rPr>
          <w:sz w:val="24"/>
        </w:rPr>
        <w:t>尽量缩短施工期，干燥、大风天气施工加设洒水次数；按照大气重污染蓝色、黄色、橙色和红色四个预警响应级别，针对扬尘防治特点，采取洒水降尘、局部停工、全面停工等预警响应措施。当按照《河南省重污染天气应急预案》启动</w:t>
      </w:r>
      <w:r>
        <w:rPr>
          <w:sz w:val="24"/>
        </w:rPr>
        <w:t>Ⅱ</w:t>
      </w:r>
      <w:r>
        <w:rPr>
          <w:sz w:val="24"/>
        </w:rPr>
        <w:t>级（橙色）以上预警或风速达到</w:t>
      </w:r>
      <w:r>
        <w:rPr>
          <w:sz w:val="24"/>
        </w:rPr>
        <w:t>4</w:t>
      </w:r>
      <w:r>
        <w:rPr>
          <w:sz w:val="24"/>
        </w:rPr>
        <w:t>级以上时，不得进行土方挖填和转运、拆除等易产生扬尘的作业，并对作业面进行覆盖。</w:t>
      </w:r>
    </w:p>
    <w:p w:rsidR="00240BCE" w:rsidRDefault="00AC0334">
      <w:pPr>
        <w:spacing w:line="500" w:lineRule="exact"/>
        <w:ind w:firstLine="482"/>
        <w:rPr>
          <w:sz w:val="24"/>
        </w:rPr>
      </w:pPr>
      <w:r>
        <w:rPr>
          <w:sz w:val="24"/>
        </w:rPr>
        <w:t>④</w:t>
      </w:r>
      <w:r>
        <w:rPr>
          <w:sz w:val="24"/>
        </w:rPr>
        <w:t>出入口应设置车辆冲洗设施，设置冲洗槽和沉淀池，保持排水通畅，配备高压水枪，明确专人负责冲洗车辆，确保出场的垃圾、土石方、物料及大型运输车辆</w:t>
      </w:r>
      <w:r>
        <w:rPr>
          <w:sz w:val="24"/>
        </w:rPr>
        <w:t>100%</w:t>
      </w:r>
      <w:r>
        <w:rPr>
          <w:sz w:val="24"/>
        </w:rPr>
        <w:t>清理干净，不得将泥土带出现场。应在出入口设置固定式车辆自动清洗设备。车辆冲洗宜采用循环用水，设置沉淀池，沉淀池应做防渗处理，沉淀池、排水沟中积存的污泥应定期清理。</w:t>
      </w:r>
    </w:p>
    <w:p w:rsidR="00240BCE" w:rsidRDefault="00AC0334">
      <w:pPr>
        <w:spacing w:line="500" w:lineRule="exact"/>
        <w:ind w:firstLine="482"/>
        <w:rPr>
          <w:sz w:val="24"/>
        </w:rPr>
      </w:pPr>
      <w:r>
        <w:rPr>
          <w:sz w:val="24"/>
        </w:rPr>
        <w:t>⑤</w:t>
      </w:r>
      <w:r>
        <w:rPr>
          <w:sz w:val="24"/>
        </w:rPr>
        <w:t>施工现场严禁露天存放砂、石、石灰、粉煤灰等易扬尘材料。水泥、石灰粉等建筑材料应存放在库房内或严密遮盖。砂、石等散体材料应集中堆放且覆盖；场内装卸、搬运易扬尘材料应遮盖、封闭或洒水，不得凌空抛掷或抛洒；其他细颗粒建筑材料应封闭存放。</w:t>
      </w:r>
    </w:p>
    <w:p w:rsidR="00240BCE" w:rsidRDefault="00AC0334">
      <w:pPr>
        <w:spacing w:line="500" w:lineRule="exact"/>
        <w:ind w:firstLine="482"/>
        <w:rPr>
          <w:sz w:val="24"/>
        </w:rPr>
      </w:pPr>
      <w:r>
        <w:rPr>
          <w:sz w:val="24"/>
        </w:rPr>
        <w:t>⑥</w:t>
      </w:r>
      <w:r>
        <w:rPr>
          <w:sz w:val="24"/>
        </w:rPr>
        <w:t>运输道路硬化，配备专职人员定期清扫，洒水保湿，运输车辆限载限速。</w:t>
      </w:r>
    </w:p>
    <w:p w:rsidR="00240BCE" w:rsidRDefault="00AC0334">
      <w:pPr>
        <w:spacing w:line="500" w:lineRule="exact"/>
        <w:ind w:firstLine="482"/>
        <w:rPr>
          <w:sz w:val="24"/>
        </w:rPr>
      </w:pPr>
      <w:r>
        <w:rPr>
          <w:sz w:val="24"/>
        </w:rPr>
        <w:t>⑦</w:t>
      </w:r>
      <w:r>
        <w:rPr>
          <w:sz w:val="24"/>
        </w:rPr>
        <w:t>使用环保施工机械，定期检修，维护设备良好运行。</w:t>
      </w:r>
    </w:p>
    <w:p w:rsidR="00240BCE" w:rsidRDefault="00AC0334">
      <w:pPr>
        <w:spacing w:line="500" w:lineRule="exact"/>
        <w:ind w:firstLine="482"/>
        <w:rPr>
          <w:sz w:val="24"/>
        </w:rPr>
      </w:pPr>
      <w:r>
        <w:rPr>
          <w:sz w:val="24"/>
        </w:rPr>
        <w:t>⑧</w:t>
      </w:r>
      <w:r>
        <w:rPr>
          <w:bCs/>
          <w:sz w:val="24"/>
        </w:rPr>
        <w:t>在井下掘进施工过程通过洒水保湿，湿法作业，降低粉尘，</w:t>
      </w:r>
    </w:p>
    <w:p w:rsidR="00240BCE" w:rsidRDefault="00AC0334">
      <w:pPr>
        <w:spacing w:line="500" w:lineRule="exact"/>
        <w:ind w:firstLine="482"/>
        <w:rPr>
          <w:sz w:val="24"/>
        </w:rPr>
      </w:pPr>
      <w:r>
        <w:rPr>
          <w:sz w:val="24"/>
        </w:rPr>
        <w:t>通过采取上述防尘措施，能有效遏制粉尘产生，减轻对环境空气的影响，且施工期粉尘影响是局部的、短暂的，施工期结束后影响随之消失。</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7.2.2 </w:t>
      </w:r>
      <w:r>
        <w:rPr>
          <w:rFonts w:eastAsia="楷体"/>
          <w:b/>
          <w:bCs/>
          <w:szCs w:val="28"/>
        </w:rPr>
        <w:t>建设期废水污染防治措施</w:t>
      </w:r>
    </w:p>
    <w:p w:rsidR="00240BCE" w:rsidRDefault="00AC0334">
      <w:pPr>
        <w:spacing w:line="500" w:lineRule="exact"/>
        <w:ind w:firstLineChars="200" w:firstLine="480"/>
        <w:rPr>
          <w:sz w:val="24"/>
        </w:rPr>
      </w:pPr>
      <w:r>
        <w:rPr>
          <w:sz w:val="24"/>
        </w:rPr>
        <w:t>建设期水污染源主要为井巷施工中产生的少量的泥浆废水和施工队伍的生活污水等，泥浆废水较少，约为</w:t>
      </w:r>
      <w:r>
        <w:rPr>
          <w:sz w:val="24"/>
        </w:rPr>
        <w:t>5m</w:t>
      </w:r>
      <w:r>
        <w:rPr>
          <w:sz w:val="24"/>
          <w:vertAlign w:val="superscript"/>
        </w:rPr>
        <w:t>3</w:t>
      </w:r>
      <w:r>
        <w:rPr>
          <w:sz w:val="24"/>
        </w:rPr>
        <w:t>/d</w:t>
      </w:r>
      <w:r>
        <w:rPr>
          <w:sz w:val="24"/>
        </w:rPr>
        <w:t>，经一座</w:t>
      </w:r>
      <w:r>
        <w:rPr>
          <w:sz w:val="24"/>
        </w:rPr>
        <w:t>20m</w:t>
      </w:r>
      <w:r>
        <w:rPr>
          <w:sz w:val="24"/>
          <w:vertAlign w:val="superscript"/>
        </w:rPr>
        <w:t>3</w:t>
      </w:r>
      <w:r>
        <w:rPr>
          <w:sz w:val="24"/>
        </w:rPr>
        <w:t>简易沉淀池沉淀处理后全部回用于施工拌合，不外排；施工人员产生的食堂及洗漱废水等生活污水利用现有的生活污</w:t>
      </w:r>
      <w:r>
        <w:rPr>
          <w:sz w:val="24"/>
        </w:rPr>
        <w:lastRenderedPageBreak/>
        <w:t>水处理设施进行处理，处理达标后用于周边农灌，不外排。</w:t>
      </w:r>
    </w:p>
    <w:p w:rsidR="00240BCE" w:rsidRDefault="00AC0334">
      <w:pPr>
        <w:spacing w:line="500" w:lineRule="exact"/>
        <w:ind w:firstLineChars="200" w:firstLine="480"/>
        <w:rPr>
          <w:sz w:val="24"/>
        </w:rPr>
      </w:pPr>
      <w:r>
        <w:rPr>
          <w:sz w:val="24"/>
        </w:rPr>
        <w:t>项目施工生活污水和施工生产废水经处理后全部回用，不外排，对区域地表水体无影响。同时建设单位应加强施工现场管理，对施工废水进行处理及回用，从源头减少废水的产生，严禁外排。废水处置措施可行。</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7.2.3 </w:t>
      </w:r>
      <w:r>
        <w:rPr>
          <w:rFonts w:eastAsia="楷体"/>
          <w:b/>
          <w:bCs/>
          <w:szCs w:val="28"/>
        </w:rPr>
        <w:t>建设期噪声防治措施</w:t>
      </w:r>
    </w:p>
    <w:p w:rsidR="00240BCE" w:rsidRDefault="00AC0334">
      <w:pPr>
        <w:spacing w:line="500" w:lineRule="exact"/>
        <w:ind w:firstLineChars="200" w:firstLine="480"/>
        <w:rPr>
          <w:sz w:val="24"/>
        </w:rPr>
      </w:pPr>
      <w:r>
        <w:rPr>
          <w:sz w:val="24"/>
        </w:rPr>
        <w:t>施工期噪声防治采取如下措施：</w:t>
      </w:r>
    </w:p>
    <w:p w:rsidR="00240BCE" w:rsidRDefault="00AC0334">
      <w:pPr>
        <w:spacing w:line="500" w:lineRule="exact"/>
        <w:ind w:firstLineChars="200" w:firstLine="480"/>
        <w:rPr>
          <w:sz w:val="24"/>
        </w:rPr>
      </w:pPr>
      <w:r>
        <w:rPr>
          <w:sz w:val="24"/>
        </w:rPr>
        <w:t>（</w:t>
      </w:r>
      <w:r>
        <w:rPr>
          <w:sz w:val="24"/>
        </w:rPr>
        <w:t>1</w:t>
      </w:r>
      <w:r>
        <w:rPr>
          <w:sz w:val="24"/>
        </w:rPr>
        <w:t>）加强施工管理，尽量选用低噪声设备，高噪声设备应减震降噪，并严格做好施工机械的维护和保养，合理安排施工作业时间，禁止夜间施工，严格按照《建筑施工厂界环境噪声排放标准》（</w:t>
      </w:r>
      <w:r>
        <w:rPr>
          <w:sz w:val="24"/>
        </w:rPr>
        <w:t>GB12523-2011</w:t>
      </w:r>
      <w:r>
        <w:rPr>
          <w:sz w:val="24"/>
        </w:rPr>
        <w:t>）的规定进行；</w:t>
      </w:r>
    </w:p>
    <w:p w:rsidR="00240BCE" w:rsidRDefault="00AC0334">
      <w:pPr>
        <w:spacing w:line="500" w:lineRule="exact"/>
        <w:ind w:firstLineChars="200" w:firstLine="480"/>
        <w:rPr>
          <w:sz w:val="24"/>
        </w:rPr>
      </w:pPr>
      <w:r>
        <w:rPr>
          <w:sz w:val="24"/>
        </w:rPr>
        <w:t>（</w:t>
      </w:r>
      <w:r>
        <w:rPr>
          <w:sz w:val="24"/>
        </w:rPr>
        <w:t>2</w:t>
      </w:r>
      <w:r>
        <w:rPr>
          <w:sz w:val="24"/>
        </w:rPr>
        <w:t>）制定运输计划，夜间禁止运输；运输车辆限速限载，经过敏感目标时禁止鸣笛，加强日常维护，保证良好运行等。</w:t>
      </w:r>
    </w:p>
    <w:p w:rsidR="00240BCE" w:rsidRDefault="00AC0334">
      <w:pPr>
        <w:spacing w:line="500" w:lineRule="exact"/>
        <w:ind w:firstLineChars="200" w:firstLine="480"/>
        <w:rPr>
          <w:sz w:val="24"/>
        </w:rPr>
      </w:pPr>
      <w:r>
        <w:rPr>
          <w:sz w:val="24"/>
        </w:rPr>
        <w:t>根据预测分析，在采取上述降噪措施的前提下，施工期噪声能够满足《建筑施工场界环境噪声排放标准》（</w:t>
      </w:r>
      <w:r>
        <w:rPr>
          <w:sz w:val="24"/>
        </w:rPr>
        <w:t>GB12523-2011</w:t>
      </w:r>
      <w:r>
        <w:rPr>
          <w:sz w:val="24"/>
        </w:rPr>
        <w:t>）相关标准限值，噪声防治措施可行。</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7.2.4 </w:t>
      </w:r>
      <w:r>
        <w:rPr>
          <w:rFonts w:eastAsia="楷体"/>
          <w:b/>
          <w:bCs/>
          <w:szCs w:val="28"/>
        </w:rPr>
        <w:t>建设期固体废物处理处置措施</w:t>
      </w:r>
    </w:p>
    <w:p w:rsidR="00240BCE" w:rsidRDefault="00AC0334">
      <w:pPr>
        <w:adjustRightInd w:val="0"/>
        <w:snapToGrid w:val="0"/>
        <w:spacing w:line="500" w:lineRule="exact"/>
        <w:ind w:firstLineChars="196" w:firstLine="470"/>
        <w:rPr>
          <w:sz w:val="24"/>
        </w:rPr>
      </w:pPr>
      <w:r>
        <w:rPr>
          <w:sz w:val="24"/>
        </w:rPr>
        <w:t>本次升级改造工程建设期排放的固废主要为施工人员的生活垃圾。</w:t>
      </w:r>
    </w:p>
    <w:p w:rsidR="00240BCE" w:rsidRDefault="00AC0334">
      <w:pPr>
        <w:adjustRightInd w:val="0"/>
        <w:snapToGrid w:val="0"/>
        <w:spacing w:line="500" w:lineRule="exact"/>
        <w:ind w:firstLineChars="196" w:firstLine="470"/>
        <w:rPr>
          <w:sz w:val="24"/>
        </w:rPr>
      </w:pPr>
      <w:r>
        <w:rPr>
          <w:sz w:val="24"/>
        </w:rPr>
        <w:t>施工人员的生活垃圾按施工高峰期施工人员约</w:t>
      </w:r>
      <w:r>
        <w:rPr>
          <w:sz w:val="24"/>
        </w:rPr>
        <w:t>50</w:t>
      </w:r>
      <w:r>
        <w:rPr>
          <w:sz w:val="24"/>
        </w:rPr>
        <w:t>人考虑，每人每天生活垃圾发生量为</w:t>
      </w:r>
      <w:r>
        <w:rPr>
          <w:sz w:val="24"/>
        </w:rPr>
        <w:t>0.7kg/(</w:t>
      </w:r>
      <w:r>
        <w:rPr>
          <w:sz w:val="24"/>
        </w:rPr>
        <w:t>人</w:t>
      </w:r>
      <w:r>
        <w:rPr>
          <w:sz w:val="24"/>
        </w:rPr>
        <w:t>·d)</w:t>
      </w:r>
      <w:r>
        <w:rPr>
          <w:sz w:val="24"/>
        </w:rPr>
        <w:t>计，则施工期施工人员生活垃圾最大发生量约</w:t>
      </w:r>
      <w:r>
        <w:rPr>
          <w:sz w:val="24"/>
        </w:rPr>
        <w:t>35kg/d</w:t>
      </w:r>
      <w:r>
        <w:rPr>
          <w:sz w:val="24"/>
        </w:rPr>
        <w:t>。生活垃圾集中收集后运往鸠山镇生活垃圾中转站统一处理。</w:t>
      </w:r>
    </w:p>
    <w:p w:rsidR="00240BCE" w:rsidRDefault="00AC0334">
      <w:pPr>
        <w:adjustRightInd w:val="0"/>
        <w:snapToGrid w:val="0"/>
        <w:spacing w:line="500" w:lineRule="exact"/>
        <w:ind w:firstLineChars="196" w:firstLine="470"/>
        <w:rPr>
          <w:sz w:val="24"/>
        </w:rPr>
      </w:pPr>
      <w:r>
        <w:rPr>
          <w:sz w:val="24"/>
        </w:rPr>
        <w:t>项目施工期固体废物妥善处置，处置措施可行。</w:t>
      </w:r>
    </w:p>
    <w:p w:rsidR="00240BCE" w:rsidRDefault="00AC0334" w:rsidP="009C5F33">
      <w:pPr>
        <w:keepNext/>
        <w:keepLines/>
        <w:adjustRightInd w:val="0"/>
        <w:snapToGrid w:val="0"/>
        <w:spacing w:beforeLines="100" w:afterLines="50"/>
        <w:jc w:val="left"/>
        <w:outlineLvl w:val="1"/>
        <w:rPr>
          <w:b/>
          <w:bCs/>
          <w:sz w:val="32"/>
          <w:szCs w:val="32"/>
        </w:rPr>
      </w:pPr>
      <w:bookmarkStart w:id="812" w:name="_Toc316979413"/>
      <w:bookmarkStart w:id="813" w:name="_Toc54305289"/>
      <w:bookmarkStart w:id="814" w:name="_Toc81934396"/>
      <w:r>
        <w:rPr>
          <w:b/>
          <w:bCs/>
          <w:sz w:val="32"/>
          <w:szCs w:val="32"/>
        </w:rPr>
        <w:t xml:space="preserve">7.3 </w:t>
      </w:r>
      <w:r>
        <w:rPr>
          <w:b/>
          <w:bCs/>
          <w:sz w:val="32"/>
          <w:szCs w:val="32"/>
        </w:rPr>
        <w:t>运营期环境保护措施分析</w:t>
      </w:r>
      <w:bookmarkEnd w:id="812"/>
      <w:bookmarkEnd w:id="813"/>
      <w:bookmarkEnd w:id="814"/>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7.3.1 </w:t>
      </w:r>
      <w:r>
        <w:rPr>
          <w:rFonts w:eastAsia="楷体"/>
          <w:b/>
          <w:bCs/>
          <w:szCs w:val="28"/>
        </w:rPr>
        <w:t>大气环境保护措施分析</w:t>
      </w:r>
    </w:p>
    <w:p w:rsidR="00240BCE" w:rsidRDefault="00AC0334">
      <w:pPr>
        <w:spacing w:line="500" w:lineRule="exact"/>
        <w:ind w:firstLineChars="200" w:firstLine="480"/>
        <w:rPr>
          <w:sz w:val="24"/>
        </w:rPr>
      </w:pPr>
      <w:r>
        <w:rPr>
          <w:sz w:val="24"/>
        </w:rPr>
        <w:t>（</w:t>
      </w:r>
      <w:r>
        <w:rPr>
          <w:sz w:val="24"/>
        </w:rPr>
        <w:t>1</w:t>
      </w:r>
      <w:r>
        <w:rPr>
          <w:sz w:val="24"/>
        </w:rPr>
        <w:t>）井下作业产生的粉尘以及风井回风产生的粉尘治理措施</w:t>
      </w:r>
    </w:p>
    <w:p w:rsidR="00240BCE" w:rsidRDefault="00AC0334">
      <w:pPr>
        <w:spacing w:line="500" w:lineRule="exact"/>
        <w:ind w:firstLineChars="200" w:firstLine="480"/>
        <w:rPr>
          <w:sz w:val="24"/>
        </w:rPr>
      </w:pPr>
      <w:r>
        <w:rPr>
          <w:sz w:val="24"/>
        </w:rPr>
        <w:t>井下作业采煤过程会产生粉尘，这部分粉尘主要是对井下环境产生影响，对地面环境影响轻微。井下建立有防尘洒水系统，对采煤的各装转点设有喷雾洒水装置，输送机巷和主要通风巷等处均设置净化水幕，作业时开启；井下风钻，煤电钻均采</w:t>
      </w:r>
      <w:r>
        <w:rPr>
          <w:sz w:val="24"/>
        </w:rPr>
        <w:lastRenderedPageBreak/>
        <w:t>用湿式打眼；对于易积存煤尘地点，定期进行清扫冲洗。采取上述措施后降尘率能够达到</w:t>
      </w:r>
      <w:r>
        <w:rPr>
          <w:sz w:val="24"/>
        </w:rPr>
        <w:t>95%</w:t>
      </w:r>
      <w:r>
        <w:rPr>
          <w:sz w:val="24"/>
        </w:rPr>
        <w:t>以上，可以有效抑制井下粉尘产生。</w:t>
      </w:r>
    </w:p>
    <w:p w:rsidR="002D673D" w:rsidRPr="004863C5" w:rsidRDefault="002D673D" w:rsidP="002D673D">
      <w:pPr>
        <w:pStyle w:val="08516"/>
        <w:ind w:firstLine="488"/>
        <w:rPr>
          <w:rFonts w:cs="Times New Roman"/>
          <w:kern w:val="0"/>
          <w:szCs w:val="21"/>
        </w:rPr>
      </w:pPr>
      <w:r>
        <w:rPr>
          <w:rFonts w:hint="eastAsia"/>
          <w:kern w:val="0"/>
          <w:szCs w:val="24"/>
        </w:rPr>
        <w:t>（</w:t>
      </w:r>
      <w:r>
        <w:rPr>
          <w:rFonts w:hint="eastAsia"/>
          <w:kern w:val="0"/>
          <w:szCs w:val="24"/>
        </w:rPr>
        <w:t>2</w:t>
      </w:r>
      <w:r>
        <w:rPr>
          <w:rFonts w:hint="eastAsia"/>
          <w:kern w:val="0"/>
          <w:szCs w:val="24"/>
        </w:rPr>
        <w:t>）卸煤口、</w:t>
      </w:r>
      <w:r w:rsidRPr="004863C5">
        <w:rPr>
          <w:rFonts w:cs="Times New Roman"/>
          <w:kern w:val="0"/>
          <w:szCs w:val="21"/>
        </w:rPr>
        <w:t>输煤无组织粉尘</w:t>
      </w:r>
    </w:p>
    <w:p w:rsidR="002D673D" w:rsidRDefault="002D673D" w:rsidP="002D673D">
      <w:pPr>
        <w:pStyle w:val="08516"/>
        <w:ind w:firstLine="488"/>
        <w:rPr>
          <w:rFonts w:cs="Times New Roman"/>
          <w:kern w:val="0"/>
          <w:szCs w:val="21"/>
        </w:rPr>
      </w:pPr>
      <w:r w:rsidRPr="004863C5">
        <w:rPr>
          <w:rFonts w:cs="Times New Roman"/>
          <w:kern w:val="0"/>
          <w:szCs w:val="21"/>
        </w:rPr>
        <w:t>井下原煤由立井箕斗提出地面后，将煤卸入主井受煤楼内受煤仓，通过受煤仓下带式给料机上料至带式输送机，经封闭输煤栈桥输送至</w:t>
      </w:r>
      <w:r>
        <w:rPr>
          <w:rFonts w:cs="Times New Roman"/>
          <w:kern w:val="0"/>
          <w:szCs w:val="21"/>
        </w:rPr>
        <w:t>储煤库</w:t>
      </w:r>
      <w:r w:rsidRPr="004863C5">
        <w:rPr>
          <w:rFonts w:cs="Times New Roman"/>
          <w:kern w:val="0"/>
          <w:szCs w:val="21"/>
        </w:rPr>
        <w:t>。</w:t>
      </w:r>
    </w:p>
    <w:p w:rsidR="002D673D" w:rsidRPr="001D1891" w:rsidRDefault="002D673D" w:rsidP="002D673D">
      <w:pPr>
        <w:pStyle w:val="08516"/>
        <w:ind w:firstLine="488"/>
        <w:rPr>
          <w:spacing w:val="2"/>
          <w:szCs w:val="24"/>
        </w:rPr>
      </w:pPr>
      <w:r w:rsidRPr="005E3411">
        <w:rPr>
          <w:rFonts w:hint="eastAsia"/>
          <w:color w:val="000000" w:themeColor="text1"/>
          <w:szCs w:val="24"/>
        </w:rPr>
        <w:t>本次工程在主井卸煤口处设置</w:t>
      </w:r>
      <w:r w:rsidRPr="001D1891">
        <w:rPr>
          <w:rFonts w:hint="eastAsia"/>
          <w:szCs w:val="24"/>
        </w:rPr>
        <w:t>集气罩，并配套袋式除尘器处理粉尘颗粒物。集气罩收集效率为</w:t>
      </w:r>
      <w:r w:rsidRPr="001D1891">
        <w:rPr>
          <w:rFonts w:hint="eastAsia"/>
          <w:szCs w:val="24"/>
        </w:rPr>
        <w:t>90%</w:t>
      </w:r>
      <w:r w:rsidRPr="001D1891">
        <w:rPr>
          <w:rFonts w:hint="eastAsia"/>
          <w:szCs w:val="24"/>
        </w:rPr>
        <w:t>以上，袋式除尘器的去除效率为</w:t>
      </w:r>
      <w:r w:rsidRPr="001D1891">
        <w:rPr>
          <w:rFonts w:hint="eastAsia"/>
          <w:szCs w:val="24"/>
        </w:rPr>
        <w:t>99.9%</w:t>
      </w:r>
      <w:r>
        <w:rPr>
          <w:rFonts w:hint="eastAsia"/>
          <w:szCs w:val="24"/>
        </w:rPr>
        <w:t>，</w:t>
      </w:r>
      <w:r w:rsidRPr="001D1891">
        <w:rPr>
          <w:rFonts w:hint="eastAsia"/>
          <w:szCs w:val="24"/>
        </w:rPr>
        <w:t>粉尘颗粒物的去除效率和排放浓度均满足《煤炭工业污染物排放标准》（</w:t>
      </w:r>
      <w:r w:rsidRPr="001D1891">
        <w:rPr>
          <w:szCs w:val="24"/>
        </w:rPr>
        <w:t>GB20426-2006</w:t>
      </w:r>
      <w:r w:rsidRPr="001D1891">
        <w:rPr>
          <w:rFonts w:hint="eastAsia"/>
          <w:szCs w:val="24"/>
        </w:rPr>
        <w:t>）表</w:t>
      </w:r>
      <w:r w:rsidRPr="001D1891">
        <w:rPr>
          <w:rFonts w:hint="eastAsia"/>
          <w:szCs w:val="24"/>
        </w:rPr>
        <w:t>4</w:t>
      </w:r>
      <w:r w:rsidRPr="001D1891">
        <w:rPr>
          <w:rFonts w:hint="eastAsia"/>
          <w:szCs w:val="24"/>
        </w:rPr>
        <w:t>排放限值要求：原煤</w:t>
      </w:r>
      <w:r w:rsidRPr="001D1891">
        <w:rPr>
          <w:rFonts w:hint="eastAsia"/>
          <w:spacing w:val="2"/>
          <w:szCs w:val="24"/>
        </w:rPr>
        <w:t>筛分、破碎、转载点等除尘设备：</w:t>
      </w:r>
      <w:r w:rsidRPr="001D1891">
        <w:rPr>
          <w:rFonts w:hint="eastAsia"/>
          <w:spacing w:val="2"/>
          <w:szCs w:val="24"/>
        </w:rPr>
        <w:t>80.</w:t>
      </w:r>
      <w:r w:rsidRPr="001D1891">
        <w:rPr>
          <w:spacing w:val="2"/>
          <w:szCs w:val="24"/>
        </w:rPr>
        <w:t>0mg/m</w:t>
      </w:r>
      <w:r w:rsidRPr="001D1891">
        <w:rPr>
          <w:spacing w:val="2"/>
          <w:szCs w:val="24"/>
          <w:vertAlign w:val="superscript"/>
        </w:rPr>
        <w:t>3</w:t>
      </w:r>
      <w:r w:rsidRPr="001D1891">
        <w:rPr>
          <w:rFonts w:hint="eastAsia"/>
          <w:spacing w:val="2"/>
          <w:szCs w:val="24"/>
        </w:rPr>
        <w:t>或设备去除效率＞</w:t>
      </w:r>
      <w:r w:rsidRPr="001D1891">
        <w:rPr>
          <w:rFonts w:hint="eastAsia"/>
          <w:spacing w:val="2"/>
          <w:szCs w:val="24"/>
        </w:rPr>
        <w:t>98%</w:t>
      </w:r>
      <w:r w:rsidRPr="001D1891">
        <w:rPr>
          <w:rFonts w:hint="eastAsia"/>
          <w:spacing w:val="2"/>
          <w:szCs w:val="24"/>
        </w:rPr>
        <w:t>。</w:t>
      </w:r>
    </w:p>
    <w:p w:rsidR="002D673D" w:rsidRDefault="002D673D" w:rsidP="002D673D">
      <w:pPr>
        <w:pStyle w:val="08516"/>
        <w:ind w:firstLine="488"/>
      </w:pPr>
      <w:r w:rsidRPr="002D673D">
        <w:rPr>
          <w:color w:val="000000" w:themeColor="text1"/>
          <w:szCs w:val="24"/>
        </w:rPr>
        <w:t>采取</w:t>
      </w:r>
      <w:r w:rsidRPr="002D673D">
        <w:rPr>
          <w:rFonts w:hint="eastAsia"/>
          <w:color w:val="000000" w:themeColor="text1"/>
          <w:szCs w:val="24"/>
        </w:rPr>
        <w:t>以上</w:t>
      </w:r>
      <w:r w:rsidRPr="002D673D">
        <w:rPr>
          <w:color w:val="000000" w:themeColor="text1"/>
          <w:szCs w:val="24"/>
        </w:rPr>
        <w:t>措施后，原煤输送系统对外环境基本无影响</w:t>
      </w:r>
      <w:r>
        <w:rPr>
          <w:rFonts w:hint="eastAsia"/>
          <w:color w:val="000000" w:themeColor="text1"/>
          <w:szCs w:val="24"/>
        </w:rPr>
        <w:t>。</w:t>
      </w:r>
    </w:p>
    <w:p w:rsidR="00240BCE" w:rsidRDefault="00AC0334">
      <w:pPr>
        <w:spacing w:line="500" w:lineRule="exact"/>
        <w:ind w:firstLineChars="200" w:firstLine="480"/>
        <w:rPr>
          <w:sz w:val="24"/>
        </w:rPr>
      </w:pPr>
      <w:r>
        <w:rPr>
          <w:sz w:val="24"/>
        </w:rPr>
        <w:t>（</w:t>
      </w:r>
      <w:r w:rsidR="002D673D">
        <w:rPr>
          <w:rFonts w:hint="eastAsia"/>
          <w:sz w:val="24"/>
        </w:rPr>
        <w:t>3</w:t>
      </w:r>
      <w:r>
        <w:rPr>
          <w:sz w:val="24"/>
        </w:rPr>
        <w:t>）</w:t>
      </w:r>
      <w:r w:rsidR="00802A62">
        <w:rPr>
          <w:sz w:val="24"/>
        </w:rPr>
        <w:t>储煤库</w:t>
      </w:r>
      <w:r>
        <w:rPr>
          <w:sz w:val="24"/>
        </w:rPr>
        <w:t>扬尘</w:t>
      </w:r>
    </w:p>
    <w:p w:rsidR="00240BCE" w:rsidRDefault="00AC0334">
      <w:pPr>
        <w:spacing w:line="500" w:lineRule="exact"/>
        <w:ind w:firstLineChars="200" w:firstLine="480"/>
        <w:rPr>
          <w:sz w:val="24"/>
        </w:rPr>
      </w:pPr>
      <w:r>
        <w:rPr>
          <w:sz w:val="24"/>
        </w:rPr>
        <w:t>升级改造后设置</w:t>
      </w:r>
      <w:r>
        <w:rPr>
          <w:sz w:val="24"/>
        </w:rPr>
        <w:t>1</w:t>
      </w:r>
      <w:r>
        <w:rPr>
          <w:sz w:val="24"/>
        </w:rPr>
        <w:t>个</w:t>
      </w:r>
      <w:r w:rsidR="00802A62">
        <w:rPr>
          <w:sz w:val="24"/>
        </w:rPr>
        <w:t>储煤库</w:t>
      </w:r>
      <w:r>
        <w:rPr>
          <w:sz w:val="24"/>
        </w:rPr>
        <w:t>用于临时堆场原煤和矸石，</w:t>
      </w:r>
      <w:r w:rsidR="00802A62">
        <w:rPr>
          <w:sz w:val="24"/>
        </w:rPr>
        <w:t>储煤库</w:t>
      </w:r>
      <w:r>
        <w:rPr>
          <w:sz w:val="24"/>
        </w:rPr>
        <w:t>扬尘主要为堆存及装卸过程中的风蚀扬尘。为了减少</w:t>
      </w:r>
      <w:r w:rsidR="00802A62">
        <w:rPr>
          <w:sz w:val="24"/>
        </w:rPr>
        <w:t>储煤库</w:t>
      </w:r>
      <w:r>
        <w:rPr>
          <w:sz w:val="24"/>
        </w:rPr>
        <w:t>堆存及装卸过程中的风蚀扬尘，</w:t>
      </w:r>
      <w:r w:rsidR="00802A62">
        <w:rPr>
          <w:sz w:val="24"/>
        </w:rPr>
        <w:t>储煤库</w:t>
      </w:r>
      <w:r>
        <w:rPr>
          <w:sz w:val="24"/>
        </w:rPr>
        <w:t>已采用全封闭式</w:t>
      </w:r>
      <w:r w:rsidR="00802A62">
        <w:rPr>
          <w:sz w:val="24"/>
        </w:rPr>
        <w:t>储煤库</w:t>
      </w:r>
      <w:r>
        <w:rPr>
          <w:sz w:val="24"/>
        </w:rPr>
        <w:t>，且落煤处设置洒水喷头</w:t>
      </w:r>
      <w:r>
        <w:rPr>
          <w:sz w:val="24"/>
        </w:rPr>
        <w:t>1</w:t>
      </w:r>
      <w:r>
        <w:rPr>
          <w:sz w:val="24"/>
        </w:rPr>
        <w:t>个，并在</w:t>
      </w:r>
      <w:r w:rsidR="00802A62">
        <w:rPr>
          <w:sz w:val="24"/>
        </w:rPr>
        <w:t>储煤库</w:t>
      </w:r>
      <w:r>
        <w:rPr>
          <w:sz w:val="24"/>
        </w:rPr>
        <w:t>四周安装自动洒水喷头进行洒水降尘。对周围环境影响不大。</w:t>
      </w:r>
    </w:p>
    <w:p w:rsidR="002D673D" w:rsidRPr="003C6A78" w:rsidRDefault="002D673D" w:rsidP="002D673D">
      <w:pPr>
        <w:spacing w:line="520" w:lineRule="exact"/>
        <w:ind w:firstLineChars="200" w:firstLine="480"/>
        <w:rPr>
          <w:sz w:val="24"/>
        </w:rPr>
      </w:pPr>
      <w:r w:rsidRPr="003C6A78">
        <w:rPr>
          <w:rFonts w:hint="eastAsia"/>
          <w:kern w:val="0"/>
          <w:sz w:val="24"/>
        </w:rPr>
        <w:t>（</w:t>
      </w:r>
      <w:r w:rsidRPr="003C6A78">
        <w:rPr>
          <w:rFonts w:hint="eastAsia"/>
          <w:kern w:val="0"/>
          <w:sz w:val="24"/>
        </w:rPr>
        <w:t>4</w:t>
      </w:r>
      <w:r w:rsidRPr="003C6A78">
        <w:rPr>
          <w:rFonts w:hint="eastAsia"/>
          <w:kern w:val="0"/>
          <w:sz w:val="24"/>
        </w:rPr>
        <w:t>）</w:t>
      </w:r>
      <w:r w:rsidRPr="003C6A78">
        <w:rPr>
          <w:rFonts w:hint="eastAsia"/>
          <w:sz w:val="24"/>
        </w:rPr>
        <w:t>食堂油烟</w:t>
      </w:r>
    </w:p>
    <w:p w:rsidR="002D673D" w:rsidRPr="002D673D" w:rsidRDefault="002D673D" w:rsidP="002D673D">
      <w:pPr>
        <w:pStyle w:val="a1"/>
        <w:spacing w:after="0" w:line="520" w:lineRule="exact"/>
        <w:ind w:firstLineChars="200" w:firstLine="480"/>
      </w:pPr>
      <w:r>
        <w:rPr>
          <w:rFonts w:hint="eastAsia"/>
          <w:sz w:val="24"/>
        </w:rPr>
        <w:t>职工食堂燃料采用清洁能源液化石油气，油烟</w:t>
      </w:r>
      <w:r w:rsidRPr="00EA4293">
        <w:rPr>
          <w:rFonts w:hint="eastAsia"/>
          <w:sz w:val="24"/>
        </w:rPr>
        <w:t>采用静电式油烟净化器进行处理后楼顶排放。该净化设施对油烟处理效率可达</w:t>
      </w:r>
      <w:r w:rsidRPr="00EA4293">
        <w:rPr>
          <w:rFonts w:hint="eastAsia"/>
          <w:sz w:val="24"/>
        </w:rPr>
        <w:t xml:space="preserve"> 95%</w:t>
      </w:r>
      <w:r w:rsidRPr="00EA4293">
        <w:rPr>
          <w:rFonts w:hint="eastAsia"/>
          <w:sz w:val="24"/>
        </w:rPr>
        <w:t>以上，对非甲烷总烃处理效率达</w:t>
      </w:r>
      <w:r w:rsidRPr="00EA4293">
        <w:rPr>
          <w:rFonts w:hint="eastAsia"/>
          <w:sz w:val="24"/>
        </w:rPr>
        <w:t xml:space="preserve"> 60%</w:t>
      </w:r>
      <w:r w:rsidRPr="00EA4293">
        <w:rPr>
          <w:rFonts w:hint="eastAsia"/>
          <w:sz w:val="24"/>
        </w:rPr>
        <w:t>以上。则经净化处理后油烟排放浓度</w:t>
      </w:r>
      <w:r w:rsidRPr="00EA4293">
        <w:rPr>
          <w:rFonts w:hint="eastAsia"/>
          <w:sz w:val="24"/>
        </w:rPr>
        <w:t>0.37mg/m</w:t>
      </w:r>
      <w:r w:rsidRPr="00EA4293">
        <w:rPr>
          <w:rFonts w:hint="eastAsia"/>
          <w:sz w:val="24"/>
        </w:rPr>
        <w:t>³，排放量为</w:t>
      </w:r>
      <w:r>
        <w:rPr>
          <w:rFonts w:hint="eastAsia"/>
          <w:sz w:val="24"/>
        </w:rPr>
        <w:t>8.547</w:t>
      </w:r>
      <w:r w:rsidRPr="00EA4293">
        <w:rPr>
          <w:rFonts w:hint="eastAsia"/>
          <w:sz w:val="24"/>
        </w:rPr>
        <w:t>kg/a</w:t>
      </w:r>
      <w:r w:rsidRPr="00EA4293">
        <w:rPr>
          <w:rFonts w:hint="eastAsia"/>
          <w:sz w:val="24"/>
        </w:rPr>
        <w:t>；非甲烷总烃排放浓度为</w:t>
      </w:r>
      <w:r w:rsidRPr="00EA4293">
        <w:rPr>
          <w:rFonts w:hint="eastAsia"/>
          <w:sz w:val="24"/>
        </w:rPr>
        <w:t>8mg/m</w:t>
      </w:r>
      <w:r w:rsidRPr="00EA4293">
        <w:rPr>
          <w:rFonts w:hint="eastAsia"/>
          <w:sz w:val="24"/>
          <w:vertAlign w:val="superscript"/>
        </w:rPr>
        <w:t>3</w:t>
      </w:r>
      <w:r w:rsidRPr="00EA4293">
        <w:rPr>
          <w:rFonts w:hint="eastAsia"/>
          <w:sz w:val="24"/>
        </w:rPr>
        <w:t>，排放量为</w:t>
      </w:r>
      <w:r>
        <w:rPr>
          <w:rFonts w:hint="eastAsia"/>
          <w:sz w:val="24"/>
        </w:rPr>
        <w:t>184</w:t>
      </w:r>
      <w:r w:rsidRPr="00EA4293">
        <w:rPr>
          <w:rFonts w:hint="eastAsia"/>
          <w:sz w:val="24"/>
        </w:rPr>
        <w:t>.8kg/a</w:t>
      </w:r>
      <w:r w:rsidRPr="00EA4293">
        <w:rPr>
          <w:rFonts w:hint="eastAsia"/>
          <w:sz w:val="24"/>
        </w:rPr>
        <w:t>。能够满足河南省地方标准《餐饮业油烟污染物排放标准》（</w:t>
      </w:r>
      <w:r w:rsidRPr="00EA4293">
        <w:rPr>
          <w:rFonts w:hint="eastAsia"/>
          <w:sz w:val="24"/>
        </w:rPr>
        <w:t>DB41/1604-2018</w:t>
      </w:r>
      <w:r w:rsidRPr="00EA4293">
        <w:rPr>
          <w:rFonts w:hint="eastAsia"/>
          <w:sz w:val="24"/>
        </w:rPr>
        <w:t>）中表</w:t>
      </w:r>
      <w:r w:rsidRPr="00EA4293">
        <w:rPr>
          <w:rFonts w:hint="eastAsia"/>
          <w:sz w:val="24"/>
        </w:rPr>
        <w:t>1</w:t>
      </w:r>
      <w:r w:rsidRPr="00EA4293">
        <w:rPr>
          <w:rFonts w:hint="eastAsia"/>
          <w:sz w:val="24"/>
        </w:rPr>
        <w:t>大型：油烟排放浓度≤</w:t>
      </w:r>
      <w:r w:rsidRPr="00EA4293">
        <w:rPr>
          <w:rFonts w:hint="eastAsia"/>
          <w:sz w:val="24"/>
        </w:rPr>
        <w:t>1.0mg/m</w:t>
      </w:r>
      <w:r w:rsidRPr="00EA4293">
        <w:rPr>
          <w:rFonts w:hint="eastAsia"/>
          <w:sz w:val="24"/>
          <w:vertAlign w:val="superscript"/>
        </w:rPr>
        <w:t>3</w:t>
      </w:r>
      <w:r w:rsidRPr="00EA4293">
        <w:rPr>
          <w:rFonts w:hint="eastAsia"/>
          <w:sz w:val="24"/>
        </w:rPr>
        <w:t xml:space="preserve"> </w:t>
      </w:r>
      <w:r w:rsidRPr="00EA4293">
        <w:rPr>
          <w:rFonts w:hint="eastAsia"/>
          <w:sz w:val="24"/>
        </w:rPr>
        <w:t>，非甲烷总烃排放浓度≤</w:t>
      </w:r>
      <w:r w:rsidRPr="00EA4293">
        <w:rPr>
          <w:rFonts w:hint="eastAsia"/>
          <w:sz w:val="24"/>
        </w:rPr>
        <w:t>10mg/m</w:t>
      </w:r>
      <w:r w:rsidRPr="00EA4293">
        <w:rPr>
          <w:rFonts w:hint="eastAsia"/>
          <w:sz w:val="24"/>
          <w:vertAlign w:val="superscript"/>
        </w:rPr>
        <w:t>3</w:t>
      </w:r>
      <w:r w:rsidRPr="00EA4293">
        <w:rPr>
          <w:rFonts w:hint="eastAsia"/>
          <w:sz w:val="24"/>
        </w:rPr>
        <w:t xml:space="preserve"> </w:t>
      </w:r>
      <w:r w:rsidRPr="00EA4293">
        <w:rPr>
          <w:rFonts w:hint="eastAsia"/>
          <w:sz w:val="24"/>
        </w:rPr>
        <w:t>，油烟去除率≥</w:t>
      </w:r>
      <w:r w:rsidRPr="00EA4293">
        <w:rPr>
          <w:rFonts w:hint="eastAsia"/>
          <w:sz w:val="24"/>
        </w:rPr>
        <w:t>95%</w:t>
      </w:r>
      <w:r w:rsidRPr="00EA4293">
        <w:rPr>
          <w:rFonts w:hint="eastAsia"/>
          <w:sz w:val="24"/>
        </w:rPr>
        <w:t>的要求</w:t>
      </w:r>
      <w:r>
        <w:rPr>
          <w:rFonts w:hint="eastAsia"/>
          <w:sz w:val="24"/>
        </w:rPr>
        <w:t>。</w:t>
      </w:r>
    </w:p>
    <w:p w:rsidR="00240BCE" w:rsidRDefault="00AC0334" w:rsidP="002D673D">
      <w:pPr>
        <w:spacing w:line="520" w:lineRule="exact"/>
        <w:ind w:firstLineChars="200" w:firstLine="480"/>
        <w:rPr>
          <w:sz w:val="24"/>
        </w:rPr>
      </w:pPr>
      <w:r>
        <w:rPr>
          <w:sz w:val="24"/>
        </w:rPr>
        <w:t>（</w:t>
      </w:r>
      <w:r w:rsidR="002D673D">
        <w:rPr>
          <w:rFonts w:hint="eastAsia"/>
          <w:sz w:val="24"/>
        </w:rPr>
        <w:t>5</w:t>
      </w:r>
      <w:r>
        <w:rPr>
          <w:sz w:val="24"/>
        </w:rPr>
        <w:t>）运输道路扬尘</w:t>
      </w:r>
    </w:p>
    <w:p w:rsidR="00240BCE" w:rsidRDefault="00AC0334">
      <w:pPr>
        <w:spacing w:line="500" w:lineRule="exact"/>
        <w:ind w:firstLineChars="200" w:firstLine="480"/>
        <w:rPr>
          <w:sz w:val="24"/>
        </w:rPr>
      </w:pPr>
      <w:r>
        <w:rPr>
          <w:sz w:val="24"/>
        </w:rPr>
        <w:t>仍利用现有运煤道路运煤，在磅房处设车辆冲洗装置，冲洗水经收集后全部循环利用，不外排。</w:t>
      </w:r>
    </w:p>
    <w:p w:rsidR="00240BCE" w:rsidRDefault="00AC0334">
      <w:pPr>
        <w:spacing w:line="500" w:lineRule="exact"/>
        <w:ind w:firstLineChars="200" w:firstLine="480"/>
        <w:rPr>
          <w:sz w:val="24"/>
        </w:rPr>
      </w:pPr>
      <w:r>
        <w:rPr>
          <w:sz w:val="24"/>
        </w:rPr>
        <w:lastRenderedPageBreak/>
        <w:t>运输道路设专人清扫路面，并配备洒水车</w:t>
      </w:r>
      <w:r>
        <w:rPr>
          <w:sz w:val="24"/>
        </w:rPr>
        <w:t>1</w:t>
      </w:r>
      <w:r>
        <w:rPr>
          <w:sz w:val="24"/>
        </w:rPr>
        <w:t>辆，对道路定时洒水。装车时煤炭压实表面洒水并加盖篷布，防止物料飞扬、抛洒，在煤炭运输时严格运煤车辆管理，不超载，以此减少路面扬尘和运煤车辆对环境的影响。</w:t>
      </w:r>
    </w:p>
    <w:p w:rsidR="00240BCE" w:rsidRDefault="00AC0334">
      <w:pPr>
        <w:spacing w:line="500" w:lineRule="exact"/>
        <w:ind w:firstLineChars="200" w:firstLine="480"/>
        <w:rPr>
          <w:sz w:val="24"/>
        </w:rPr>
      </w:pPr>
      <w:r>
        <w:rPr>
          <w:sz w:val="24"/>
        </w:rPr>
        <w:t>根据预测结果，项目运营期，在采取相应废气防治措施的前提下，废气污染物达标排放，大气防治措施合理可行。</w:t>
      </w:r>
    </w:p>
    <w:p w:rsidR="00240BCE" w:rsidRDefault="00AC0334" w:rsidP="009C5F33">
      <w:pPr>
        <w:pStyle w:val="30"/>
        <w:adjustRightInd w:val="0"/>
        <w:snapToGrid w:val="0"/>
        <w:spacing w:beforeLines="70" w:afterLines="30" w:line="240" w:lineRule="auto"/>
        <w:jc w:val="left"/>
        <w:rPr>
          <w:rFonts w:eastAsia="楷体"/>
          <w:sz w:val="28"/>
          <w:szCs w:val="28"/>
        </w:rPr>
      </w:pPr>
      <w:r>
        <w:rPr>
          <w:rFonts w:eastAsia="楷体"/>
          <w:sz w:val="28"/>
          <w:szCs w:val="28"/>
        </w:rPr>
        <w:t xml:space="preserve">7.3.2 </w:t>
      </w:r>
      <w:r>
        <w:rPr>
          <w:rFonts w:eastAsia="楷体"/>
          <w:sz w:val="28"/>
          <w:szCs w:val="28"/>
        </w:rPr>
        <w:t>水污染防治措施及水资源利用可行性分析</w:t>
      </w:r>
    </w:p>
    <w:p w:rsidR="00240BCE" w:rsidRDefault="00AC0334">
      <w:pPr>
        <w:adjustRightInd w:val="0"/>
        <w:snapToGrid w:val="0"/>
        <w:spacing w:line="520" w:lineRule="exact"/>
        <w:rPr>
          <w:spacing w:val="2"/>
          <w:sz w:val="24"/>
        </w:rPr>
      </w:pPr>
      <w:r>
        <w:rPr>
          <w:spacing w:val="2"/>
          <w:sz w:val="24"/>
        </w:rPr>
        <w:t>7.3.2.1</w:t>
      </w:r>
      <w:r>
        <w:rPr>
          <w:spacing w:val="2"/>
          <w:sz w:val="24"/>
        </w:rPr>
        <w:t>拟采取的废污水处理措施</w:t>
      </w:r>
    </w:p>
    <w:p w:rsidR="00240BCE" w:rsidRDefault="00AC0334">
      <w:pPr>
        <w:spacing w:line="520" w:lineRule="exact"/>
        <w:ind w:firstLineChars="200" w:firstLine="480"/>
        <w:rPr>
          <w:sz w:val="24"/>
        </w:rPr>
      </w:pPr>
      <w:r>
        <w:rPr>
          <w:sz w:val="24"/>
        </w:rPr>
        <w:t>矿井井下排水和工业场地生产、生活污水的处理措施分别为：</w:t>
      </w:r>
    </w:p>
    <w:p w:rsidR="00240BCE" w:rsidRDefault="00AC0334">
      <w:pPr>
        <w:adjustRightInd w:val="0"/>
        <w:snapToGrid w:val="0"/>
        <w:spacing w:line="520" w:lineRule="exact"/>
        <w:ind w:firstLineChars="200" w:firstLine="488"/>
        <w:rPr>
          <w:spacing w:val="2"/>
          <w:sz w:val="24"/>
        </w:rPr>
      </w:pPr>
      <w:r>
        <w:rPr>
          <w:spacing w:val="2"/>
          <w:sz w:val="24"/>
        </w:rPr>
        <w:t>（</w:t>
      </w:r>
      <w:r>
        <w:rPr>
          <w:spacing w:val="2"/>
          <w:sz w:val="24"/>
        </w:rPr>
        <w:t>1</w:t>
      </w:r>
      <w:r>
        <w:rPr>
          <w:spacing w:val="2"/>
          <w:sz w:val="24"/>
        </w:rPr>
        <w:t>）矿井排水</w:t>
      </w:r>
    </w:p>
    <w:p w:rsidR="002214ED" w:rsidRDefault="00AC0334" w:rsidP="002214ED">
      <w:pPr>
        <w:adjustRightInd w:val="0"/>
        <w:snapToGrid w:val="0"/>
        <w:spacing w:line="520" w:lineRule="exact"/>
        <w:ind w:firstLineChars="200" w:firstLine="488"/>
        <w:rPr>
          <w:spacing w:val="2"/>
          <w:sz w:val="24"/>
        </w:rPr>
      </w:pPr>
      <w:r>
        <w:rPr>
          <w:spacing w:val="2"/>
          <w:sz w:val="24"/>
        </w:rPr>
        <w:t>根据设计，升级改造后</w:t>
      </w:r>
      <w:r w:rsidR="00B56224" w:rsidRPr="007325F2">
        <w:rPr>
          <w:b/>
          <w:bCs/>
          <w:i/>
          <w:spacing w:val="2"/>
          <w:sz w:val="24"/>
          <w:u w:val="single"/>
        </w:rPr>
        <w:t>正常涌水量为</w:t>
      </w:r>
      <w:r w:rsidR="00B56224" w:rsidRPr="007325F2">
        <w:rPr>
          <w:b/>
          <w:bCs/>
          <w:i/>
          <w:spacing w:val="2"/>
          <w:sz w:val="24"/>
          <w:u w:val="single"/>
        </w:rPr>
        <w:t>194m</w:t>
      </w:r>
      <w:r w:rsidR="00B56224" w:rsidRPr="007325F2">
        <w:rPr>
          <w:b/>
          <w:bCs/>
          <w:i/>
          <w:spacing w:val="2"/>
          <w:sz w:val="24"/>
          <w:u w:val="single"/>
          <w:vertAlign w:val="superscript"/>
        </w:rPr>
        <w:t>3</w:t>
      </w:r>
      <w:r w:rsidR="00B56224" w:rsidRPr="007325F2">
        <w:rPr>
          <w:b/>
          <w:bCs/>
          <w:i/>
          <w:spacing w:val="2"/>
          <w:sz w:val="24"/>
          <w:u w:val="single"/>
        </w:rPr>
        <w:t>/h</w:t>
      </w:r>
      <w:r w:rsidR="00B56224" w:rsidRPr="007325F2">
        <w:rPr>
          <w:b/>
          <w:i/>
          <w:spacing w:val="2"/>
          <w:sz w:val="24"/>
          <w:u w:val="single"/>
        </w:rPr>
        <w:t>（</w:t>
      </w:r>
      <w:r w:rsidR="00B56224" w:rsidRPr="007325F2">
        <w:rPr>
          <w:b/>
          <w:i/>
          <w:spacing w:val="2"/>
          <w:sz w:val="24"/>
          <w:u w:val="single"/>
        </w:rPr>
        <w:t>4656m</w:t>
      </w:r>
      <w:r w:rsidR="00B56224" w:rsidRPr="007325F2">
        <w:rPr>
          <w:b/>
          <w:i/>
          <w:spacing w:val="2"/>
          <w:sz w:val="24"/>
          <w:u w:val="single"/>
          <w:vertAlign w:val="superscript"/>
        </w:rPr>
        <w:t>3</w:t>
      </w:r>
      <w:r w:rsidR="00B56224" w:rsidRPr="007325F2">
        <w:rPr>
          <w:b/>
          <w:i/>
          <w:spacing w:val="2"/>
          <w:sz w:val="24"/>
          <w:u w:val="single"/>
        </w:rPr>
        <w:t>/d</w:t>
      </w:r>
      <w:r w:rsidR="00B56224" w:rsidRPr="007325F2">
        <w:rPr>
          <w:b/>
          <w:i/>
          <w:spacing w:val="2"/>
          <w:sz w:val="24"/>
          <w:u w:val="single"/>
        </w:rPr>
        <w:t>）</w:t>
      </w:r>
      <w:r w:rsidR="00B56224" w:rsidRPr="00C11D9A">
        <w:rPr>
          <w:b/>
          <w:i/>
          <w:spacing w:val="2"/>
          <w:sz w:val="24"/>
          <w:u w:val="single"/>
        </w:rPr>
        <w:t>，</w:t>
      </w:r>
      <w:r>
        <w:rPr>
          <w:spacing w:val="2"/>
          <w:sz w:val="24"/>
        </w:rPr>
        <w:t>，</w:t>
      </w:r>
      <w:r w:rsidR="002214ED">
        <w:rPr>
          <w:spacing w:val="2"/>
          <w:sz w:val="24"/>
        </w:rPr>
        <w:t>设计升级改造现有的矿井水处理站，升级改造后矿井水处理站处理能力</w:t>
      </w:r>
      <w:r w:rsidR="002214ED">
        <w:rPr>
          <w:color w:val="000000"/>
          <w:spacing w:val="2"/>
          <w:sz w:val="24"/>
        </w:rPr>
        <w:t>240m</w:t>
      </w:r>
      <w:r w:rsidR="002214ED">
        <w:rPr>
          <w:color w:val="000000"/>
          <w:spacing w:val="2"/>
          <w:sz w:val="24"/>
          <w:vertAlign w:val="superscript"/>
        </w:rPr>
        <w:t>3</w:t>
      </w:r>
      <w:r w:rsidR="002214ED">
        <w:rPr>
          <w:color w:val="000000"/>
          <w:spacing w:val="2"/>
          <w:sz w:val="24"/>
        </w:rPr>
        <w:t>/h</w:t>
      </w:r>
      <w:r w:rsidR="002214ED">
        <w:rPr>
          <w:color w:val="000000"/>
          <w:spacing w:val="2"/>
          <w:sz w:val="24"/>
        </w:rPr>
        <w:t>，</w:t>
      </w:r>
      <w:r w:rsidR="002214ED">
        <w:rPr>
          <w:spacing w:val="2"/>
          <w:sz w:val="24"/>
        </w:rPr>
        <w:t>主要采用斜管沉淀</w:t>
      </w:r>
      <w:r w:rsidR="002214ED">
        <w:rPr>
          <w:spacing w:val="2"/>
          <w:sz w:val="24"/>
        </w:rPr>
        <w:t>+</w:t>
      </w:r>
      <w:r w:rsidR="002214ED">
        <w:rPr>
          <w:spacing w:val="2"/>
          <w:sz w:val="24"/>
        </w:rPr>
        <w:t>过滤</w:t>
      </w:r>
      <w:r w:rsidR="002214ED">
        <w:rPr>
          <w:spacing w:val="2"/>
          <w:sz w:val="24"/>
        </w:rPr>
        <w:t>+</w:t>
      </w:r>
      <w:r w:rsidR="002214ED">
        <w:rPr>
          <w:spacing w:val="2"/>
          <w:sz w:val="24"/>
        </w:rPr>
        <w:t>消毒等处理工艺，主要处理设备有</w:t>
      </w:r>
      <w:r w:rsidR="002214ED">
        <w:rPr>
          <w:spacing w:val="2"/>
          <w:sz w:val="24"/>
        </w:rPr>
        <w:t>1</w:t>
      </w:r>
      <w:r w:rsidR="002214ED">
        <w:rPr>
          <w:spacing w:val="2"/>
          <w:sz w:val="24"/>
        </w:rPr>
        <w:t>座斜管沉淀池、</w:t>
      </w:r>
      <w:r w:rsidR="002214ED">
        <w:rPr>
          <w:spacing w:val="2"/>
          <w:sz w:val="24"/>
        </w:rPr>
        <w:t>1</w:t>
      </w:r>
      <w:r w:rsidR="002214ED">
        <w:rPr>
          <w:spacing w:val="2"/>
          <w:sz w:val="24"/>
        </w:rPr>
        <w:t>座重力式无阀滤池</w:t>
      </w:r>
      <w:r w:rsidR="002214ED">
        <w:rPr>
          <w:spacing w:val="2"/>
          <w:sz w:val="24"/>
        </w:rPr>
        <w:t>+1</w:t>
      </w:r>
      <w:r w:rsidR="002214ED">
        <w:rPr>
          <w:spacing w:val="2"/>
          <w:sz w:val="24"/>
        </w:rPr>
        <w:t>套消毒系统等。处理后</w:t>
      </w:r>
      <w:r w:rsidR="002214ED">
        <w:rPr>
          <w:rFonts w:hint="eastAsia"/>
          <w:spacing w:val="2"/>
          <w:sz w:val="24"/>
        </w:rPr>
        <w:t>矿井水水质</w:t>
      </w:r>
      <w:r w:rsidR="002214ED">
        <w:rPr>
          <w:spacing w:val="2"/>
          <w:sz w:val="24"/>
        </w:rPr>
        <w:t>满足</w:t>
      </w:r>
      <w:r w:rsidR="002214ED">
        <w:rPr>
          <w:sz w:val="24"/>
        </w:rPr>
        <w:t>《煤炭工业污染物排放标准》（</w:t>
      </w:r>
      <w:r w:rsidR="002214ED">
        <w:rPr>
          <w:sz w:val="24"/>
        </w:rPr>
        <w:t>GB20426-2006</w:t>
      </w:r>
      <w:r w:rsidR="002214ED">
        <w:rPr>
          <w:sz w:val="24"/>
        </w:rPr>
        <w:t>）新建（扩、改）生产线排放标准要求，</w:t>
      </w:r>
      <w:r w:rsidR="002214ED">
        <w:rPr>
          <w:rFonts w:hint="eastAsia"/>
          <w:sz w:val="24"/>
        </w:rPr>
        <w:t>同时</w:t>
      </w:r>
      <w:r w:rsidR="002214ED">
        <w:rPr>
          <w:sz w:val="24"/>
        </w:rPr>
        <w:t>满足《地表水质量标准》（</w:t>
      </w:r>
      <w:r w:rsidR="002214ED">
        <w:rPr>
          <w:sz w:val="24"/>
        </w:rPr>
        <w:t>GB3838-2002</w:t>
      </w:r>
      <w:r w:rsidR="002214ED">
        <w:rPr>
          <w:sz w:val="24"/>
        </w:rPr>
        <w:t>）</w:t>
      </w:r>
      <w:r w:rsidR="00B95226">
        <w:rPr>
          <w:sz w:val="24"/>
        </w:rPr>
        <w:fldChar w:fldCharType="begin"/>
      </w:r>
      <w:r w:rsidR="002214ED">
        <w:rPr>
          <w:sz w:val="24"/>
        </w:rPr>
        <w:instrText xml:space="preserve"> = 3 \* ROMAN </w:instrText>
      </w:r>
      <w:r w:rsidR="00B95226">
        <w:rPr>
          <w:sz w:val="24"/>
        </w:rPr>
        <w:fldChar w:fldCharType="separate"/>
      </w:r>
      <w:r w:rsidR="002214ED">
        <w:rPr>
          <w:sz w:val="24"/>
        </w:rPr>
        <w:t>III</w:t>
      </w:r>
      <w:r w:rsidR="00B95226">
        <w:rPr>
          <w:sz w:val="24"/>
        </w:rPr>
        <w:fldChar w:fldCharType="end"/>
      </w:r>
      <w:r w:rsidR="002214ED">
        <w:rPr>
          <w:sz w:val="24"/>
        </w:rPr>
        <w:t>类标准要求</w:t>
      </w:r>
      <w:r w:rsidR="002214ED">
        <w:rPr>
          <w:spacing w:val="2"/>
          <w:sz w:val="24"/>
        </w:rPr>
        <w:t>。</w:t>
      </w:r>
    </w:p>
    <w:p w:rsidR="0073390E" w:rsidRDefault="0073390E" w:rsidP="002D1343">
      <w:pPr>
        <w:pStyle w:val="ae"/>
        <w:spacing w:line="520" w:lineRule="exact"/>
        <w:ind w:firstLineChars="200" w:firstLine="490"/>
        <w:rPr>
          <w:sz w:val="24"/>
        </w:rPr>
      </w:pPr>
      <w:r w:rsidRPr="002D1343">
        <w:rPr>
          <w:rFonts w:hint="eastAsia"/>
          <w:b/>
          <w:i/>
          <w:spacing w:val="2"/>
          <w:sz w:val="24"/>
          <w:u w:val="single"/>
        </w:rPr>
        <w:t>处理达标后的矿井水</w:t>
      </w:r>
      <w:r w:rsidRPr="002D1343">
        <w:rPr>
          <w:b/>
          <w:i/>
          <w:spacing w:val="2"/>
          <w:sz w:val="24"/>
          <w:u w:val="single"/>
        </w:rPr>
        <w:t>部分（</w:t>
      </w:r>
      <w:r w:rsidR="002D1343" w:rsidRPr="002D1343">
        <w:rPr>
          <w:rFonts w:hint="eastAsia"/>
          <w:b/>
          <w:i/>
          <w:spacing w:val="2"/>
          <w:sz w:val="24"/>
          <w:u w:val="single"/>
        </w:rPr>
        <w:t>472.1</w:t>
      </w:r>
      <w:r w:rsidRPr="002D1343">
        <w:rPr>
          <w:b/>
          <w:i/>
          <w:spacing w:val="2"/>
          <w:sz w:val="24"/>
          <w:u w:val="single"/>
        </w:rPr>
        <w:t>m</w:t>
      </w:r>
      <w:r w:rsidRPr="002D1343">
        <w:rPr>
          <w:b/>
          <w:i/>
          <w:spacing w:val="2"/>
          <w:sz w:val="24"/>
          <w:u w:val="single"/>
          <w:vertAlign w:val="superscript"/>
        </w:rPr>
        <w:t>3</w:t>
      </w:r>
      <w:r w:rsidRPr="002D1343">
        <w:rPr>
          <w:b/>
          <w:i/>
          <w:spacing w:val="2"/>
          <w:sz w:val="24"/>
          <w:u w:val="single"/>
        </w:rPr>
        <w:t>/d）回用于井下洒水、</w:t>
      </w:r>
      <w:r w:rsidR="00802A62">
        <w:rPr>
          <w:b/>
          <w:i/>
          <w:spacing w:val="2"/>
          <w:sz w:val="24"/>
          <w:u w:val="single"/>
        </w:rPr>
        <w:t>储煤库</w:t>
      </w:r>
      <w:r w:rsidRPr="002D1343">
        <w:rPr>
          <w:b/>
          <w:i/>
          <w:spacing w:val="2"/>
          <w:sz w:val="24"/>
          <w:u w:val="single"/>
        </w:rPr>
        <w:t>洒水、空压机补充水、</w:t>
      </w:r>
      <w:r w:rsidRPr="002D1343">
        <w:rPr>
          <w:rFonts w:hint="eastAsia"/>
          <w:b/>
          <w:i/>
          <w:spacing w:val="2"/>
          <w:sz w:val="24"/>
          <w:u w:val="single"/>
        </w:rPr>
        <w:t>车辆冲洗补充水</w:t>
      </w:r>
      <w:r w:rsidRPr="002D1343">
        <w:rPr>
          <w:b/>
          <w:i/>
          <w:spacing w:val="2"/>
          <w:sz w:val="24"/>
          <w:u w:val="single"/>
        </w:rPr>
        <w:t>等生产用水，剩余</w:t>
      </w:r>
      <w:r w:rsidRPr="002D1343">
        <w:rPr>
          <w:rFonts w:hint="eastAsia"/>
          <w:b/>
          <w:i/>
          <w:sz w:val="24"/>
          <w:szCs w:val="24"/>
          <w:u w:val="single"/>
        </w:rPr>
        <w:t>不能充分利用</w:t>
      </w:r>
      <w:r w:rsidR="00B56224" w:rsidRPr="002D1343">
        <w:rPr>
          <w:rFonts w:ascii="Times New Roman" w:hAnsi="Times New Roman"/>
          <w:b/>
          <w:i/>
          <w:spacing w:val="2"/>
          <w:sz w:val="24"/>
          <w:u w:val="single"/>
        </w:rPr>
        <w:t>（</w:t>
      </w:r>
      <w:r w:rsidR="002D1343" w:rsidRPr="002D1343">
        <w:rPr>
          <w:rFonts w:ascii="Times New Roman" w:hAnsi="Times New Roman" w:hint="eastAsia"/>
          <w:b/>
          <w:i/>
          <w:spacing w:val="2"/>
          <w:sz w:val="24"/>
          <w:u w:val="single"/>
        </w:rPr>
        <w:t>4183.9</w:t>
      </w:r>
      <w:r w:rsidR="00B56224" w:rsidRPr="002D1343">
        <w:rPr>
          <w:rFonts w:ascii="Times New Roman" w:hAnsi="Times New Roman"/>
          <w:b/>
          <w:i/>
          <w:spacing w:val="2"/>
          <w:sz w:val="24"/>
          <w:u w:val="single"/>
        </w:rPr>
        <w:t>m</w:t>
      </w:r>
      <w:r w:rsidR="00B56224" w:rsidRPr="002D1343">
        <w:rPr>
          <w:rFonts w:ascii="Times New Roman" w:hAnsi="Times New Roman"/>
          <w:b/>
          <w:i/>
          <w:spacing w:val="2"/>
          <w:sz w:val="24"/>
          <w:u w:val="single"/>
          <w:vertAlign w:val="superscript"/>
        </w:rPr>
        <w:t>3</w:t>
      </w:r>
      <w:r w:rsidR="00B56224" w:rsidRPr="002D1343">
        <w:rPr>
          <w:rFonts w:ascii="Times New Roman" w:hAnsi="Times New Roman"/>
          <w:b/>
          <w:i/>
          <w:spacing w:val="2"/>
          <w:sz w:val="24"/>
          <w:u w:val="single"/>
        </w:rPr>
        <w:t>/d</w:t>
      </w:r>
      <w:r w:rsidR="00B56224" w:rsidRPr="002D1343">
        <w:rPr>
          <w:rFonts w:ascii="Times New Roman" w:hAnsi="Times New Roman"/>
          <w:b/>
          <w:i/>
          <w:spacing w:val="2"/>
          <w:sz w:val="24"/>
          <w:u w:val="single"/>
        </w:rPr>
        <w:t>）</w:t>
      </w:r>
      <w:r w:rsidRPr="00540190">
        <w:rPr>
          <w:rFonts w:hint="eastAsia"/>
          <w:sz w:val="24"/>
          <w:szCs w:val="24"/>
        </w:rPr>
        <w:t>满足《煤炭工业污染物排放标准》（</w:t>
      </w:r>
      <w:r w:rsidRPr="00540190">
        <w:rPr>
          <w:sz w:val="24"/>
          <w:szCs w:val="24"/>
        </w:rPr>
        <w:t>GB20426-2006</w:t>
      </w:r>
      <w:r w:rsidRPr="00540190">
        <w:rPr>
          <w:rFonts w:hint="eastAsia"/>
          <w:sz w:val="24"/>
          <w:szCs w:val="24"/>
        </w:rPr>
        <w:t>）表</w:t>
      </w:r>
      <w:r w:rsidRPr="00540190">
        <w:rPr>
          <w:sz w:val="24"/>
          <w:szCs w:val="24"/>
        </w:rPr>
        <w:t>1</w:t>
      </w:r>
      <w:r w:rsidRPr="00540190">
        <w:rPr>
          <w:rFonts w:hint="eastAsia"/>
          <w:sz w:val="24"/>
          <w:szCs w:val="24"/>
        </w:rPr>
        <w:t>，表</w:t>
      </w:r>
      <w:r w:rsidRPr="00540190">
        <w:rPr>
          <w:sz w:val="24"/>
          <w:szCs w:val="24"/>
        </w:rPr>
        <w:t>2</w:t>
      </w:r>
      <w:r w:rsidRPr="00540190">
        <w:rPr>
          <w:rFonts w:hint="eastAsia"/>
          <w:sz w:val="24"/>
          <w:szCs w:val="24"/>
        </w:rPr>
        <w:t>采煤废水排放限值并且满足</w:t>
      </w:r>
      <w:r w:rsidRPr="00540190">
        <w:rPr>
          <w:rFonts w:hAnsi="宋体" w:hint="eastAsia"/>
          <w:snapToGrid w:val="0"/>
          <w:sz w:val="24"/>
          <w:szCs w:val="24"/>
        </w:rPr>
        <w:t>《</w:t>
      </w:r>
      <w:r w:rsidRPr="00540190">
        <w:rPr>
          <w:rFonts w:hint="eastAsia"/>
          <w:sz w:val="24"/>
          <w:szCs w:val="24"/>
        </w:rPr>
        <w:t>地表水环境质量标准</w:t>
      </w:r>
      <w:r w:rsidRPr="00540190">
        <w:rPr>
          <w:rFonts w:hAnsi="宋体" w:hint="eastAsia"/>
          <w:snapToGrid w:val="0"/>
          <w:sz w:val="24"/>
          <w:szCs w:val="24"/>
        </w:rPr>
        <w:t>》</w:t>
      </w:r>
      <w:r w:rsidRPr="00540190">
        <w:rPr>
          <w:rFonts w:hint="eastAsia"/>
          <w:sz w:val="24"/>
          <w:szCs w:val="24"/>
        </w:rPr>
        <w:t>（</w:t>
      </w:r>
      <w:r w:rsidRPr="00540190">
        <w:rPr>
          <w:sz w:val="24"/>
          <w:szCs w:val="24"/>
        </w:rPr>
        <w:t>GB3838-2002</w:t>
      </w:r>
      <w:r w:rsidRPr="00540190">
        <w:rPr>
          <w:rFonts w:hint="eastAsia"/>
          <w:sz w:val="24"/>
          <w:szCs w:val="24"/>
        </w:rPr>
        <w:t>）Ⅲ类水质要求</w:t>
      </w:r>
      <w:r w:rsidRPr="00540190">
        <w:rPr>
          <w:rFonts w:hint="eastAsia"/>
          <w:sz w:val="24"/>
        </w:rPr>
        <w:t>后</w:t>
      </w:r>
      <w:r w:rsidRPr="00540190">
        <w:rPr>
          <w:rFonts w:hint="eastAsia"/>
          <w:sz w:val="24"/>
          <w:szCs w:val="24"/>
        </w:rPr>
        <w:t>外排</w:t>
      </w:r>
      <w:r>
        <w:rPr>
          <w:sz w:val="24"/>
        </w:rPr>
        <w:t>至赵沟河、纸坊水库用于周边农田灌溉</w:t>
      </w:r>
      <w:r>
        <w:rPr>
          <w:rFonts w:hint="eastAsia"/>
          <w:sz w:val="24"/>
        </w:rPr>
        <w:t>及生态补水</w:t>
      </w:r>
      <w:r>
        <w:rPr>
          <w:sz w:val="24"/>
        </w:rPr>
        <w:t>。</w:t>
      </w:r>
    </w:p>
    <w:p w:rsidR="00240BCE" w:rsidRDefault="00AC0334">
      <w:pPr>
        <w:adjustRightInd w:val="0"/>
        <w:snapToGrid w:val="0"/>
        <w:spacing w:line="520" w:lineRule="exact"/>
        <w:ind w:firstLine="568"/>
        <w:rPr>
          <w:spacing w:val="2"/>
          <w:sz w:val="24"/>
        </w:rPr>
      </w:pPr>
      <w:r>
        <w:rPr>
          <w:spacing w:val="2"/>
          <w:sz w:val="24"/>
        </w:rPr>
        <w:t>（</w:t>
      </w:r>
      <w:r>
        <w:rPr>
          <w:spacing w:val="2"/>
          <w:sz w:val="24"/>
        </w:rPr>
        <w:t>2</w:t>
      </w:r>
      <w:r>
        <w:rPr>
          <w:spacing w:val="2"/>
          <w:sz w:val="24"/>
        </w:rPr>
        <w:t>）生活污水</w:t>
      </w:r>
    </w:p>
    <w:p w:rsidR="00240BCE" w:rsidRDefault="00AC0334">
      <w:pPr>
        <w:adjustRightInd w:val="0"/>
        <w:snapToGrid w:val="0"/>
        <w:spacing w:line="520" w:lineRule="exact"/>
        <w:ind w:firstLineChars="200" w:firstLine="488"/>
        <w:rPr>
          <w:spacing w:val="2"/>
          <w:sz w:val="24"/>
        </w:rPr>
      </w:pPr>
      <w:r>
        <w:rPr>
          <w:spacing w:val="2"/>
          <w:sz w:val="24"/>
        </w:rPr>
        <w:t>技改后工业场地生活污水产生量仍为</w:t>
      </w:r>
      <w:r w:rsidR="0073390E">
        <w:rPr>
          <w:rFonts w:hint="eastAsia"/>
          <w:spacing w:val="2"/>
          <w:sz w:val="24"/>
        </w:rPr>
        <w:t>66.2</w:t>
      </w:r>
      <w:r>
        <w:rPr>
          <w:spacing w:val="2"/>
          <w:sz w:val="24"/>
        </w:rPr>
        <w:t>m</w:t>
      </w:r>
      <w:r>
        <w:rPr>
          <w:spacing w:val="2"/>
          <w:sz w:val="24"/>
          <w:vertAlign w:val="superscript"/>
        </w:rPr>
        <w:t>3</w:t>
      </w:r>
      <w:r>
        <w:rPr>
          <w:spacing w:val="2"/>
          <w:sz w:val="24"/>
        </w:rPr>
        <w:t>/d</w:t>
      </w:r>
      <w:r>
        <w:rPr>
          <w:spacing w:val="2"/>
          <w:sz w:val="24"/>
        </w:rPr>
        <w:t>，升级改造后仍利用现有生活污水处理站，处理规模</w:t>
      </w:r>
      <w:r>
        <w:rPr>
          <w:spacing w:val="2"/>
          <w:sz w:val="24"/>
        </w:rPr>
        <w:t>10m</w:t>
      </w:r>
      <w:r>
        <w:rPr>
          <w:spacing w:val="2"/>
          <w:sz w:val="24"/>
          <w:vertAlign w:val="superscript"/>
        </w:rPr>
        <w:t>3</w:t>
      </w:r>
      <w:r>
        <w:rPr>
          <w:spacing w:val="2"/>
          <w:sz w:val="24"/>
        </w:rPr>
        <w:t>/h</w:t>
      </w:r>
      <w:r>
        <w:rPr>
          <w:spacing w:val="2"/>
          <w:sz w:val="24"/>
        </w:rPr>
        <w:t>（即</w:t>
      </w:r>
      <w:r>
        <w:rPr>
          <w:spacing w:val="2"/>
          <w:sz w:val="24"/>
        </w:rPr>
        <w:t>240m</w:t>
      </w:r>
      <w:r>
        <w:rPr>
          <w:spacing w:val="2"/>
          <w:sz w:val="24"/>
          <w:vertAlign w:val="superscript"/>
        </w:rPr>
        <w:t>3</w:t>
      </w:r>
      <w:r>
        <w:rPr>
          <w:spacing w:val="2"/>
          <w:sz w:val="24"/>
        </w:rPr>
        <w:t>/d</w:t>
      </w:r>
      <w:r>
        <w:rPr>
          <w:spacing w:val="2"/>
          <w:sz w:val="24"/>
        </w:rPr>
        <w:t>），</w:t>
      </w:r>
      <w:r w:rsidR="00B56224" w:rsidRPr="00033AE1">
        <w:rPr>
          <w:rFonts w:hint="eastAsia"/>
          <w:b/>
          <w:i/>
          <w:spacing w:val="2"/>
          <w:sz w:val="24"/>
          <w:u w:val="single"/>
        </w:rPr>
        <w:t>生活污水处理站根据当地环保部门要求，按照最新环保要求于</w:t>
      </w:r>
      <w:r w:rsidR="00B56224" w:rsidRPr="00033AE1">
        <w:rPr>
          <w:rFonts w:hint="eastAsia"/>
          <w:b/>
          <w:i/>
          <w:spacing w:val="2"/>
          <w:sz w:val="24"/>
          <w:u w:val="single"/>
        </w:rPr>
        <w:t>2019</w:t>
      </w:r>
      <w:r w:rsidR="00B56224" w:rsidRPr="00033AE1">
        <w:rPr>
          <w:rFonts w:hint="eastAsia"/>
          <w:b/>
          <w:i/>
          <w:spacing w:val="2"/>
          <w:sz w:val="24"/>
          <w:u w:val="single"/>
        </w:rPr>
        <w:t>年</w:t>
      </w:r>
      <w:r w:rsidR="00B56224">
        <w:rPr>
          <w:rFonts w:hint="eastAsia"/>
          <w:b/>
          <w:i/>
          <w:spacing w:val="2"/>
          <w:sz w:val="24"/>
          <w:u w:val="single"/>
        </w:rPr>
        <w:t>10</w:t>
      </w:r>
      <w:r w:rsidR="00B56224">
        <w:rPr>
          <w:rFonts w:hint="eastAsia"/>
          <w:b/>
          <w:i/>
          <w:spacing w:val="2"/>
          <w:sz w:val="24"/>
          <w:u w:val="single"/>
        </w:rPr>
        <w:t>月建设完成，</w:t>
      </w:r>
      <w:r>
        <w:rPr>
          <w:spacing w:val="2"/>
          <w:sz w:val="24"/>
        </w:rPr>
        <w:t>处理设施为一套地埋式接触氧化工艺综合污水处理设备。</w:t>
      </w:r>
      <w:r w:rsidR="0073390E">
        <w:rPr>
          <w:rFonts w:hint="eastAsia"/>
          <w:spacing w:val="2"/>
          <w:sz w:val="24"/>
        </w:rPr>
        <w:t>项目处理后的生活污水</w:t>
      </w:r>
      <w:r w:rsidR="0073390E" w:rsidRPr="001A6A92">
        <w:rPr>
          <w:rFonts w:hint="eastAsia"/>
          <w:spacing w:val="2"/>
          <w:sz w:val="24"/>
        </w:rPr>
        <w:t>满足《污水综合</w:t>
      </w:r>
      <w:r w:rsidR="0073390E" w:rsidRPr="001A6A92">
        <w:rPr>
          <w:spacing w:val="2"/>
          <w:sz w:val="24"/>
        </w:rPr>
        <w:t>排放标准》</w:t>
      </w:r>
      <w:r w:rsidR="0073390E" w:rsidRPr="001A6A92">
        <w:rPr>
          <w:spacing w:val="2"/>
          <w:sz w:val="24"/>
        </w:rPr>
        <w:lastRenderedPageBreak/>
        <w:t>（</w:t>
      </w:r>
      <w:r w:rsidR="0073390E" w:rsidRPr="001A6A92">
        <w:rPr>
          <w:spacing w:val="2"/>
          <w:sz w:val="24"/>
        </w:rPr>
        <w:t>GB8978-1996</w:t>
      </w:r>
      <w:r w:rsidR="0073390E" w:rsidRPr="001A6A92">
        <w:rPr>
          <w:spacing w:val="2"/>
          <w:sz w:val="24"/>
        </w:rPr>
        <w:t>）一级</w:t>
      </w:r>
      <w:r w:rsidR="0073390E" w:rsidRPr="001A6A92">
        <w:rPr>
          <w:rFonts w:hint="eastAsia"/>
          <w:spacing w:val="2"/>
          <w:sz w:val="24"/>
        </w:rPr>
        <w:t>标准，同时满足《城市污水再生利用</w:t>
      </w:r>
      <w:r w:rsidR="0073390E" w:rsidRPr="001A6A92">
        <w:rPr>
          <w:rFonts w:hint="eastAsia"/>
          <w:spacing w:val="2"/>
          <w:sz w:val="24"/>
        </w:rPr>
        <w:t xml:space="preserve"> </w:t>
      </w:r>
      <w:r w:rsidR="0073390E" w:rsidRPr="001A6A92">
        <w:rPr>
          <w:rFonts w:hint="eastAsia"/>
          <w:spacing w:val="2"/>
          <w:sz w:val="24"/>
        </w:rPr>
        <w:t>城市杂用水水质》（</w:t>
      </w:r>
      <w:r w:rsidR="0073390E" w:rsidRPr="001A6A92">
        <w:rPr>
          <w:spacing w:val="2"/>
          <w:sz w:val="24"/>
        </w:rPr>
        <w:t>GB</w:t>
      </w:r>
      <w:r w:rsidR="0073390E" w:rsidRPr="001A6A92">
        <w:rPr>
          <w:rFonts w:hint="eastAsia"/>
          <w:spacing w:val="2"/>
          <w:sz w:val="24"/>
        </w:rPr>
        <w:t>/T18920</w:t>
      </w:r>
      <w:r w:rsidR="0073390E" w:rsidRPr="001A6A92">
        <w:rPr>
          <w:spacing w:val="2"/>
          <w:sz w:val="24"/>
        </w:rPr>
        <w:t>-20</w:t>
      </w:r>
      <w:r w:rsidR="0073390E" w:rsidRPr="001A6A92">
        <w:rPr>
          <w:rFonts w:hint="eastAsia"/>
          <w:spacing w:val="2"/>
          <w:sz w:val="24"/>
        </w:rPr>
        <w:t>20</w:t>
      </w:r>
      <w:r w:rsidR="0073390E" w:rsidRPr="001A6A92">
        <w:rPr>
          <w:rFonts w:hint="eastAsia"/>
          <w:spacing w:val="2"/>
          <w:sz w:val="24"/>
        </w:rPr>
        <w:t>）标准要求后进行综合利用，不外排</w:t>
      </w:r>
      <w:r w:rsidR="0073390E">
        <w:rPr>
          <w:rFonts w:hint="eastAsia"/>
          <w:spacing w:val="2"/>
          <w:sz w:val="24"/>
        </w:rPr>
        <w:t>。</w:t>
      </w:r>
      <w:r w:rsidR="0073390E" w:rsidRPr="001A6A92">
        <w:rPr>
          <w:rFonts w:hint="eastAsia"/>
          <w:spacing w:val="2"/>
          <w:sz w:val="24"/>
        </w:rPr>
        <w:t>项目处理</w:t>
      </w:r>
      <w:r w:rsidR="0073390E">
        <w:rPr>
          <w:rFonts w:hint="eastAsia"/>
          <w:spacing w:val="2"/>
          <w:sz w:val="24"/>
        </w:rPr>
        <w:t>达标</w:t>
      </w:r>
      <w:r w:rsidR="0073390E" w:rsidRPr="001A6A92">
        <w:rPr>
          <w:rFonts w:hint="eastAsia"/>
          <w:spacing w:val="2"/>
          <w:sz w:val="24"/>
        </w:rPr>
        <w:t>后的生活污水，</w:t>
      </w:r>
      <w:r w:rsidR="0073390E">
        <w:rPr>
          <w:sz w:val="24"/>
        </w:rPr>
        <w:t>部分（</w:t>
      </w:r>
      <w:r w:rsidR="0073390E">
        <w:rPr>
          <w:rFonts w:hint="eastAsia"/>
          <w:sz w:val="24"/>
        </w:rPr>
        <w:t>15</w:t>
      </w:r>
      <w:r w:rsidR="0073390E">
        <w:rPr>
          <w:sz w:val="24"/>
        </w:rPr>
        <w:t>.6m</w:t>
      </w:r>
      <w:r w:rsidR="0073390E">
        <w:rPr>
          <w:sz w:val="24"/>
          <w:vertAlign w:val="superscript"/>
        </w:rPr>
        <w:t>3</w:t>
      </w:r>
      <w:r w:rsidR="0073390E">
        <w:rPr>
          <w:sz w:val="24"/>
        </w:rPr>
        <w:t>/d</w:t>
      </w:r>
      <w:r w:rsidR="0073390E">
        <w:rPr>
          <w:sz w:val="24"/>
        </w:rPr>
        <w:t>）用于工业场地</w:t>
      </w:r>
      <w:r w:rsidR="0073390E">
        <w:rPr>
          <w:rFonts w:hint="eastAsia"/>
          <w:sz w:val="24"/>
        </w:rPr>
        <w:t>地面防尘</w:t>
      </w:r>
      <w:r w:rsidR="0073390E">
        <w:rPr>
          <w:sz w:val="24"/>
        </w:rPr>
        <w:t>绿化</w:t>
      </w:r>
      <w:r w:rsidR="0073390E">
        <w:rPr>
          <w:rFonts w:hint="eastAsia"/>
          <w:sz w:val="24"/>
        </w:rPr>
        <w:t>及景观</w:t>
      </w:r>
      <w:r w:rsidR="0073390E">
        <w:rPr>
          <w:sz w:val="24"/>
        </w:rPr>
        <w:t>用水，部分（</w:t>
      </w:r>
      <w:r w:rsidR="0073390E">
        <w:rPr>
          <w:rFonts w:hint="eastAsia"/>
          <w:sz w:val="24"/>
        </w:rPr>
        <w:t>38.2</w:t>
      </w:r>
      <w:r w:rsidR="0073390E">
        <w:rPr>
          <w:sz w:val="24"/>
        </w:rPr>
        <w:t>m</w:t>
      </w:r>
      <w:r w:rsidR="0073390E">
        <w:rPr>
          <w:sz w:val="24"/>
          <w:vertAlign w:val="superscript"/>
        </w:rPr>
        <w:t>3</w:t>
      </w:r>
      <w:r w:rsidR="0073390E">
        <w:rPr>
          <w:sz w:val="24"/>
        </w:rPr>
        <w:t>/d</w:t>
      </w:r>
      <w:r w:rsidR="0073390E">
        <w:rPr>
          <w:sz w:val="24"/>
        </w:rPr>
        <w:t>）用于</w:t>
      </w:r>
      <w:r w:rsidR="0073390E">
        <w:rPr>
          <w:rFonts w:hint="eastAsia"/>
          <w:sz w:val="24"/>
        </w:rPr>
        <w:t>运输道路防尘用水，</w:t>
      </w:r>
      <w:r w:rsidR="0073390E">
        <w:rPr>
          <w:sz w:val="24"/>
        </w:rPr>
        <w:t>剩余部分（</w:t>
      </w:r>
      <w:r w:rsidR="0073390E">
        <w:rPr>
          <w:rFonts w:hint="eastAsia"/>
          <w:sz w:val="24"/>
        </w:rPr>
        <w:t>12.4</w:t>
      </w:r>
      <w:r w:rsidR="0073390E">
        <w:rPr>
          <w:sz w:val="24"/>
        </w:rPr>
        <w:t>m</w:t>
      </w:r>
      <w:r w:rsidR="0073390E">
        <w:rPr>
          <w:sz w:val="24"/>
          <w:vertAlign w:val="superscript"/>
        </w:rPr>
        <w:t>3</w:t>
      </w:r>
      <w:r w:rsidR="0073390E">
        <w:rPr>
          <w:sz w:val="24"/>
        </w:rPr>
        <w:t>/d</w:t>
      </w:r>
      <w:r w:rsidR="0073390E">
        <w:rPr>
          <w:sz w:val="24"/>
        </w:rPr>
        <w:t>）用于</w:t>
      </w:r>
      <w:r w:rsidR="0073390E">
        <w:rPr>
          <w:rFonts w:hint="eastAsia"/>
          <w:sz w:val="24"/>
        </w:rPr>
        <w:t>车辆冲洗补充水</w:t>
      </w:r>
      <w:r w:rsidR="0073390E">
        <w:rPr>
          <w:sz w:val="24"/>
        </w:rPr>
        <w:t>，不外排</w:t>
      </w:r>
      <w:r w:rsidR="0073390E">
        <w:rPr>
          <w:color w:val="000000"/>
          <w:sz w:val="24"/>
        </w:rPr>
        <w:t>。</w:t>
      </w:r>
      <w:r w:rsidR="0073390E">
        <w:rPr>
          <w:rFonts w:hint="eastAsia"/>
          <w:color w:val="000000"/>
          <w:sz w:val="24"/>
        </w:rPr>
        <w:t>生活污水综合利用率为</w:t>
      </w:r>
      <w:r w:rsidR="0073390E">
        <w:rPr>
          <w:rFonts w:hint="eastAsia"/>
          <w:color w:val="000000"/>
          <w:sz w:val="24"/>
        </w:rPr>
        <w:t>100%</w:t>
      </w:r>
      <w:r w:rsidR="0073390E">
        <w:rPr>
          <w:rFonts w:hint="eastAsia"/>
          <w:color w:val="000000"/>
          <w:sz w:val="24"/>
        </w:rPr>
        <w:t>。</w:t>
      </w:r>
    </w:p>
    <w:p w:rsidR="00240BCE" w:rsidRDefault="00AC0334">
      <w:pPr>
        <w:adjustRightInd w:val="0"/>
        <w:snapToGrid w:val="0"/>
        <w:spacing w:line="520" w:lineRule="exact"/>
        <w:ind w:firstLineChars="200" w:firstLine="488"/>
        <w:rPr>
          <w:spacing w:val="2"/>
          <w:sz w:val="24"/>
        </w:rPr>
      </w:pPr>
      <w:r>
        <w:rPr>
          <w:spacing w:val="2"/>
          <w:sz w:val="24"/>
        </w:rPr>
        <w:t>（</w:t>
      </w:r>
      <w:r>
        <w:rPr>
          <w:spacing w:val="2"/>
          <w:sz w:val="24"/>
        </w:rPr>
        <w:t>3</w:t>
      </w:r>
      <w:r>
        <w:rPr>
          <w:spacing w:val="2"/>
          <w:sz w:val="24"/>
        </w:rPr>
        <w:t>）初期雨水</w:t>
      </w:r>
    </w:p>
    <w:p w:rsidR="00240BCE" w:rsidRDefault="00AC0334">
      <w:pPr>
        <w:spacing w:line="520" w:lineRule="exact"/>
        <w:ind w:firstLineChars="200" w:firstLine="488"/>
        <w:rPr>
          <w:sz w:val="24"/>
        </w:rPr>
      </w:pPr>
      <w:r>
        <w:rPr>
          <w:spacing w:val="2"/>
          <w:sz w:val="24"/>
        </w:rPr>
        <w:t>升级改造后拟在工业广场东南角新建</w:t>
      </w:r>
      <w:r>
        <w:rPr>
          <w:spacing w:val="2"/>
          <w:sz w:val="24"/>
        </w:rPr>
        <w:t>1</w:t>
      </w:r>
      <w:r>
        <w:rPr>
          <w:spacing w:val="2"/>
          <w:sz w:val="24"/>
        </w:rPr>
        <w:t>座初期雨水收集池，容积</w:t>
      </w:r>
      <w:r>
        <w:rPr>
          <w:spacing w:val="2"/>
          <w:sz w:val="24"/>
        </w:rPr>
        <w:t>150m</w:t>
      </w:r>
      <w:r>
        <w:rPr>
          <w:spacing w:val="2"/>
          <w:sz w:val="24"/>
          <w:vertAlign w:val="superscript"/>
        </w:rPr>
        <w:t>3</w:t>
      </w:r>
      <w:r>
        <w:rPr>
          <w:spacing w:val="2"/>
          <w:sz w:val="24"/>
        </w:rPr>
        <w:t>，初期雨水经收集后用于工业场地及运输道</w:t>
      </w:r>
      <w:r>
        <w:rPr>
          <w:sz w:val="24"/>
        </w:rPr>
        <w:t>路洒水等，不外排。</w:t>
      </w:r>
      <w:bookmarkStart w:id="815" w:name="_Toc154205541"/>
      <w:bookmarkStart w:id="816" w:name="_Toc158525001"/>
    </w:p>
    <w:p w:rsidR="00240BCE" w:rsidRDefault="00AC0334">
      <w:pPr>
        <w:spacing w:line="520" w:lineRule="exact"/>
        <w:rPr>
          <w:sz w:val="24"/>
        </w:rPr>
      </w:pPr>
      <w:r>
        <w:rPr>
          <w:sz w:val="24"/>
        </w:rPr>
        <w:t xml:space="preserve">7.3.2.2 </w:t>
      </w:r>
      <w:r>
        <w:rPr>
          <w:sz w:val="24"/>
        </w:rPr>
        <w:t>环保措施的可行性分析</w:t>
      </w:r>
      <w:bookmarkEnd w:id="815"/>
      <w:bookmarkEnd w:id="816"/>
    </w:p>
    <w:p w:rsidR="00240BCE" w:rsidRDefault="00AC0334">
      <w:pPr>
        <w:spacing w:line="520" w:lineRule="exact"/>
        <w:ind w:firstLineChars="200" w:firstLine="480"/>
        <w:rPr>
          <w:sz w:val="24"/>
        </w:rPr>
      </w:pPr>
      <w:r>
        <w:rPr>
          <w:sz w:val="24"/>
        </w:rPr>
        <w:t>1</w:t>
      </w:r>
      <w:r>
        <w:rPr>
          <w:sz w:val="24"/>
        </w:rPr>
        <w:t>、矿井水</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矿井水处理站，设计中采用</w:t>
      </w:r>
      <w:r>
        <w:rPr>
          <w:rFonts w:ascii="Times New Roman" w:hAnsi="Times New Roman"/>
          <w:sz w:val="24"/>
        </w:rPr>
        <w:t>“</w:t>
      </w:r>
      <w:r>
        <w:rPr>
          <w:rFonts w:ascii="Times New Roman" w:hAnsi="Times New Roman"/>
          <w:sz w:val="24"/>
        </w:rPr>
        <w:t>斜管沉淀池</w:t>
      </w:r>
      <w:r>
        <w:rPr>
          <w:rFonts w:ascii="Times New Roman" w:hAnsi="Times New Roman"/>
          <w:sz w:val="24"/>
        </w:rPr>
        <w:t>+</w:t>
      </w:r>
      <w:r>
        <w:rPr>
          <w:rFonts w:ascii="Times New Roman" w:hAnsi="Times New Roman"/>
          <w:sz w:val="24"/>
        </w:rPr>
        <w:t>重力式无阀滤池</w:t>
      </w:r>
      <w:r>
        <w:rPr>
          <w:rFonts w:ascii="Times New Roman" w:hAnsi="Times New Roman"/>
          <w:sz w:val="24"/>
        </w:rPr>
        <w:t>”</w:t>
      </w:r>
      <w:r>
        <w:rPr>
          <w:rFonts w:ascii="Times New Roman" w:hAnsi="Times New Roman"/>
          <w:sz w:val="24"/>
          <w:szCs w:val="24"/>
        </w:rPr>
        <w:t>处理系统，处理规模</w:t>
      </w:r>
      <w:r>
        <w:rPr>
          <w:rFonts w:ascii="Times New Roman" w:hAnsi="Times New Roman"/>
          <w:sz w:val="24"/>
          <w:szCs w:val="24"/>
        </w:rPr>
        <w:t>240m</w:t>
      </w:r>
      <w:r>
        <w:rPr>
          <w:rFonts w:ascii="Times New Roman" w:hAnsi="Times New Roman"/>
          <w:sz w:val="24"/>
          <w:szCs w:val="24"/>
          <w:vertAlign w:val="superscript"/>
        </w:rPr>
        <w:t>3</w:t>
      </w:r>
      <w:r>
        <w:rPr>
          <w:rFonts w:ascii="Times New Roman" w:hAnsi="Times New Roman"/>
          <w:sz w:val="24"/>
          <w:szCs w:val="24"/>
        </w:rPr>
        <w:t>/h</w:t>
      </w:r>
      <w:r>
        <w:rPr>
          <w:rFonts w:ascii="Times New Roman" w:hAnsi="Times New Roman"/>
          <w:sz w:val="24"/>
          <w:szCs w:val="24"/>
        </w:rPr>
        <w:t>，经处理后，出水水质见表</w:t>
      </w:r>
      <w:r>
        <w:rPr>
          <w:rFonts w:ascii="Times New Roman" w:hAnsi="Times New Roman"/>
          <w:sz w:val="24"/>
          <w:szCs w:val="24"/>
        </w:rPr>
        <w:t>7.3-1</w:t>
      </w:r>
      <w:r>
        <w:rPr>
          <w:rFonts w:ascii="Times New Roman" w:hAnsi="Times New Roman"/>
          <w:sz w:val="24"/>
          <w:szCs w:val="24"/>
        </w:rPr>
        <w:t>，设计处理工艺见图</w:t>
      </w:r>
      <w:r>
        <w:rPr>
          <w:rFonts w:ascii="Times New Roman" w:hAnsi="Times New Roman"/>
          <w:sz w:val="24"/>
          <w:szCs w:val="24"/>
        </w:rPr>
        <w:t>7.3-1</w:t>
      </w:r>
      <w:r>
        <w:rPr>
          <w:rFonts w:ascii="Times New Roman" w:hAnsi="Times New Roman"/>
          <w:sz w:val="24"/>
          <w:szCs w:val="24"/>
        </w:rPr>
        <w:t>。</w:t>
      </w:r>
    </w:p>
    <w:p w:rsidR="00240BCE" w:rsidRDefault="00AC0334">
      <w:pPr>
        <w:pStyle w:val="ae"/>
        <w:spacing w:line="520" w:lineRule="exact"/>
        <w:jc w:val="center"/>
        <w:rPr>
          <w:rFonts w:ascii="Times New Roman" w:eastAsia="黑体" w:hAnsi="Times New Roman"/>
          <w:sz w:val="21"/>
          <w:szCs w:val="21"/>
        </w:rPr>
      </w:pPr>
      <w:r>
        <w:rPr>
          <w:rFonts w:ascii="Times New Roman" w:eastAsia="黑体" w:hAnsi="Times New Roman"/>
          <w:sz w:val="24"/>
          <w:szCs w:val="24"/>
        </w:rPr>
        <w:t>表</w:t>
      </w:r>
      <w:r>
        <w:rPr>
          <w:rFonts w:ascii="Times New Roman" w:eastAsia="黑体" w:hAnsi="Times New Roman"/>
          <w:sz w:val="24"/>
          <w:szCs w:val="24"/>
        </w:rPr>
        <w:t xml:space="preserve">7.3-1    </w:t>
      </w:r>
      <w:r>
        <w:rPr>
          <w:rFonts w:ascii="Times New Roman" w:eastAsia="黑体" w:hAnsi="Times New Roman"/>
          <w:sz w:val="24"/>
          <w:szCs w:val="24"/>
        </w:rPr>
        <w:t>井下排水处理后出水水质</w:t>
      </w:r>
      <w:r>
        <w:rPr>
          <w:rFonts w:ascii="Times New Roman" w:eastAsia="黑体" w:hAnsi="Times New Roman"/>
          <w:sz w:val="21"/>
          <w:szCs w:val="21"/>
        </w:rPr>
        <w:t>（单位：</w:t>
      </w:r>
      <w:r>
        <w:rPr>
          <w:rFonts w:ascii="Times New Roman" w:eastAsia="黑体" w:hAnsi="Times New Roman"/>
          <w:sz w:val="21"/>
          <w:szCs w:val="21"/>
        </w:rPr>
        <w:t>mg/L</w:t>
      </w:r>
      <w:r>
        <w:rPr>
          <w:rFonts w:ascii="Times New Roman" w:eastAsia="黑体" w:hAnsi="Times New Roman"/>
          <w:sz w:val="21"/>
          <w:szCs w:val="21"/>
        </w:rPr>
        <w:t>）</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17"/>
        <w:gridCol w:w="2319"/>
        <w:gridCol w:w="2182"/>
      </w:tblGrid>
      <w:tr w:rsidR="00240BCE">
        <w:trPr>
          <w:trHeight w:val="462"/>
          <w:jc w:val="center"/>
        </w:trPr>
        <w:tc>
          <w:tcPr>
            <w:tcW w:w="4417" w:type="dxa"/>
            <w:tcBorders>
              <w:tl2br w:val="nil"/>
              <w:tr2bl w:val="nil"/>
            </w:tcBorders>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指标</w:t>
            </w:r>
          </w:p>
        </w:tc>
        <w:tc>
          <w:tcPr>
            <w:tcW w:w="2319" w:type="dxa"/>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SS</w:t>
            </w:r>
          </w:p>
        </w:tc>
        <w:tc>
          <w:tcPr>
            <w:tcW w:w="2182" w:type="dxa"/>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COD</w:t>
            </w:r>
          </w:p>
        </w:tc>
      </w:tr>
      <w:tr w:rsidR="00240BCE">
        <w:trPr>
          <w:trHeight w:val="462"/>
          <w:jc w:val="center"/>
        </w:trPr>
        <w:tc>
          <w:tcPr>
            <w:tcW w:w="4417" w:type="dxa"/>
            <w:tcBorders>
              <w:tl2br w:val="nil"/>
              <w:tr2bl w:val="nil"/>
            </w:tcBorders>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处理前</w:t>
            </w:r>
          </w:p>
        </w:tc>
        <w:tc>
          <w:tcPr>
            <w:tcW w:w="2319" w:type="dxa"/>
            <w:tcBorders>
              <w:tl2br w:val="nil"/>
              <w:tr2bl w:val="nil"/>
            </w:tcBorders>
            <w:vAlign w:val="center"/>
          </w:tcPr>
          <w:p w:rsidR="00240BCE" w:rsidRDefault="00AC0334" w:rsidP="002D1343">
            <w:pPr>
              <w:pStyle w:val="ae"/>
              <w:spacing w:line="360" w:lineRule="exact"/>
              <w:jc w:val="center"/>
              <w:rPr>
                <w:rFonts w:ascii="Times New Roman" w:hAnsi="Times New Roman"/>
                <w:sz w:val="21"/>
                <w:szCs w:val="21"/>
              </w:rPr>
            </w:pPr>
            <w:r>
              <w:rPr>
                <w:rFonts w:ascii="Times New Roman" w:hAnsi="Times New Roman"/>
                <w:sz w:val="21"/>
                <w:szCs w:val="21"/>
              </w:rPr>
              <w:t>1</w:t>
            </w:r>
            <w:r w:rsidR="002D1343">
              <w:rPr>
                <w:rFonts w:ascii="Times New Roman" w:hAnsi="Times New Roman" w:hint="eastAsia"/>
                <w:sz w:val="21"/>
                <w:szCs w:val="21"/>
              </w:rPr>
              <w:t>24</w:t>
            </w:r>
          </w:p>
        </w:tc>
        <w:tc>
          <w:tcPr>
            <w:tcW w:w="2182" w:type="dxa"/>
            <w:tcBorders>
              <w:tl2br w:val="nil"/>
              <w:tr2bl w:val="nil"/>
            </w:tcBorders>
            <w:vAlign w:val="center"/>
          </w:tcPr>
          <w:p w:rsidR="00240BCE" w:rsidRDefault="002D1343" w:rsidP="00B56224">
            <w:pPr>
              <w:pStyle w:val="ae"/>
              <w:spacing w:line="360" w:lineRule="exact"/>
              <w:jc w:val="center"/>
              <w:rPr>
                <w:rFonts w:ascii="Times New Roman" w:hAnsi="Times New Roman"/>
                <w:sz w:val="21"/>
                <w:szCs w:val="21"/>
              </w:rPr>
            </w:pPr>
            <w:r>
              <w:rPr>
                <w:rFonts w:ascii="Times New Roman" w:hAnsi="Times New Roman" w:hint="eastAsia"/>
                <w:sz w:val="21"/>
                <w:szCs w:val="21"/>
              </w:rPr>
              <w:t>51</w:t>
            </w:r>
          </w:p>
        </w:tc>
      </w:tr>
      <w:tr w:rsidR="00240BCE">
        <w:trPr>
          <w:trHeight w:val="462"/>
          <w:jc w:val="center"/>
        </w:trPr>
        <w:tc>
          <w:tcPr>
            <w:tcW w:w="4417" w:type="dxa"/>
            <w:tcBorders>
              <w:tl2br w:val="nil"/>
              <w:tr2bl w:val="nil"/>
            </w:tcBorders>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处理后</w:t>
            </w:r>
          </w:p>
        </w:tc>
        <w:tc>
          <w:tcPr>
            <w:tcW w:w="2319" w:type="dxa"/>
            <w:tcBorders>
              <w:tl2br w:val="nil"/>
              <w:tr2bl w:val="nil"/>
            </w:tcBorders>
            <w:vAlign w:val="center"/>
          </w:tcPr>
          <w:p w:rsidR="00240BCE" w:rsidRDefault="00B56224">
            <w:pPr>
              <w:pStyle w:val="ae"/>
              <w:spacing w:line="360" w:lineRule="exact"/>
              <w:jc w:val="center"/>
              <w:rPr>
                <w:rFonts w:ascii="Times New Roman" w:hAnsi="Times New Roman"/>
                <w:sz w:val="21"/>
                <w:szCs w:val="21"/>
              </w:rPr>
            </w:pPr>
            <w:r>
              <w:rPr>
                <w:rFonts w:ascii="Times New Roman" w:hAnsi="Times New Roman" w:hint="eastAsia"/>
                <w:sz w:val="21"/>
                <w:szCs w:val="21"/>
              </w:rPr>
              <w:t>30</w:t>
            </w:r>
          </w:p>
        </w:tc>
        <w:tc>
          <w:tcPr>
            <w:tcW w:w="2182" w:type="dxa"/>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20</w:t>
            </w:r>
          </w:p>
        </w:tc>
      </w:tr>
      <w:tr w:rsidR="00240BCE">
        <w:trPr>
          <w:trHeight w:val="462"/>
          <w:jc w:val="center"/>
        </w:trPr>
        <w:tc>
          <w:tcPr>
            <w:tcW w:w="4417" w:type="dxa"/>
            <w:tcBorders>
              <w:tl2br w:val="nil"/>
              <w:tr2bl w:val="nil"/>
            </w:tcBorders>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去除率</w:t>
            </w:r>
          </w:p>
        </w:tc>
        <w:tc>
          <w:tcPr>
            <w:tcW w:w="2319" w:type="dxa"/>
            <w:tcBorders>
              <w:tl2br w:val="nil"/>
              <w:tr2bl w:val="nil"/>
            </w:tcBorders>
            <w:vAlign w:val="center"/>
          </w:tcPr>
          <w:p w:rsidR="00240BCE" w:rsidRDefault="002D1343">
            <w:pPr>
              <w:pStyle w:val="ae"/>
              <w:spacing w:line="360" w:lineRule="exact"/>
              <w:jc w:val="center"/>
              <w:rPr>
                <w:rFonts w:ascii="Times New Roman" w:hAnsi="Times New Roman"/>
                <w:sz w:val="21"/>
                <w:szCs w:val="21"/>
              </w:rPr>
            </w:pPr>
            <w:r>
              <w:rPr>
                <w:rFonts w:ascii="Times New Roman" w:hAnsi="Times New Roman" w:hint="eastAsia"/>
                <w:sz w:val="21"/>
                <w:szCs w:val="21"/>
              </w:rPr>
              <w:t>75.8</w:t>
            </w:r>
          </w:p>
        </w:tc>
        <w:tc>
          <w:tcPr>
            <w:tcW w:w="2182" w:type="dxa"/>
            <w:tcBorders>
              <w:tl2br w:val="nil"/>
              <w:tr2bl w:val="nil"/>
            </w:tcBorders>
            <w:vAlign w:val="center"/>
          </w:tcPr>
          <w:p w:rsidR="00240BCE" w:rsidRDefault="002D1343">
            <w:pPr>
              <w:pStyle w:val="ae"/>
              <w:spacing w:line="360" w:lineRule="exact"/>
              <w:jc w:val="center"/>
              <w:rPr>
                <w:rFonts w:ascii="Times New Roman" w:hAnsi="Times New Roman"/>
                <w:sz w:val="21"/>
                <w:szCs w:val="21"/>
              </w:rPr>
            </w:pPr>
            <w:r>
              <w:rPr>
                <w:rFonts w:ascii="Times New Roman" w:hAnsi="Times New Roman" w:hint="eastAsia"/>
                <w:sz w:val="21"/>
                <w:szCs w:val="21"/>
              </w:rPr>
              <w:t>60.8</w:t>
            </w:r>
          </w:p>
        </w:tc>
      </w:tr>
      <w:tr w:rsidR="00240BCE">
        <w:trPr>
          <w:trHeight w:val="911"/>
          <w:jc w:val="center"/>
        </w:trPr>
        <w:tc>
          <w:tcPr>
            <w:tcW w:w="4417" w:type="dxa"/>
            <w:tcBorders>
              <w:tl2br w:val="nil"/>
              <w:tr2bl w:val="nil"/>
            </w:tcBorders>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《煤炭工业污染物排放标准》（</w:t>
            </w:r>
            <w:r>
              <w:rPr>
                <w:rFonts w:ascii="Times New Roman" w:hAnsi="Times New Roman"/>
                <w:sz w:val="21"/>
                <w:szCs w:val="21"/>
              </w:rPr>
              <w:t>GB20426-2006</w:t>
            </w:r>
            <w:r>
              <w:rPr>
                <w:rFonts w:ascii="Times New Roman" w:hAnsi="Times New Roman"/>
                <w:sz w:val="21"/>
                <w:szCs w:val="21"/>
              </w:rPr>
              <w:t>）新建（扩、改）生产线排放限值</w:t>
            </w:r>
          </w:p>
        </w:tc>
        <w:tc>
          <w:tcPr>
            <w:tcW w:w="2319" w:type="dxa"/>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≤50</w:t>
            </w:r>
          </w:p>
        </w:tc>
        <w:tc>
          <w:tcPr>
            <w:tcW w:w="2182" w:type="dxa"/>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≤50</w:t>
            </w:r>
          </w:p>
        </w:tc>
      </w:tr>
      <w:tr w:rsidR="00240BCE">
        <w:trPr>
          <w:trHeight w:val="474"/>
          <w:jc w:val="center"/>
        </w:trPr>
        <w:tc>
          <w:tcPr>
            <w:tcW w:w="4417" w:type="dxa"/>
            <w:tcBorders>
              <w:tl2br w:val="nil"/>
              <w:tr2bl w:val="nil"/>
            </w:tcBorders>
            <w:vAlign w:val="center"/>
          </w:tcPr>
          <w:p w:rsidR="00240BCE" w:rsidRDefault="00AC0334">
            <w:pPr>
              <w:pStyle w:val="ae"/>
              <w:spacing w:line="360" w:lineRule="exact"/>
              <w:rPr>
                <w:rFonts w:ascii="Times New Roman" w:hAnsi="Times New Roman"/>
                <w:sz w:val="21"/>
                <w:szCs w:val="21"/>
              </w:rPr>
            </w:pPr>
            <w:r>
              <w:rPr>
                <w:rFonts w:ascii="Times New Roman" w:hAnsi="Times New Roman"/>
                <w:sz w:val="21"/>
                <w:szCs w:val="21"/>
              </w:rPr>
              <w:t>《地表水质量标准》（</w:t>
            </w:r>
            <w:r>
              <w:rPr>
                <w:rFonts w:ascii="Times New Roman" w:hAnsi="Times New Roman"/>
                <w:sz w:val="21"/>
                <w:szCs w:val="21"/>
              </w:rPr>
              <w:t>GB3838-2002</w:t>
            </w:r>
            <w:r>
              <w:rPr>
                <w:rFonts w:ascii="Times New Roman" w:hAnsi="Times New Roman"/>
                <w:sz w:val="21"/>
                <w:szCs w:val="21"/>
              </w:rPr>
              <w:t>）</w:t>
            </w:r>
            <w:r w:rsidR="00B95226">
              <w:rPr>
                <w:rFonts w:ascii="Times New Roman" w:hAnsi="Times New Roman"/>
                <w:sz w:val="21"/>
                <w:szCs w:val="21"/>
              </w:rPr>
              <w:fldChar w:fldCharType="begin"/>
            </w:r>
            <w:r>
              <w:rPr>
                <w:rFonts w:ascii="Times New Roman" w:hAnsi="Times New Roman"/>
                <w:sz w:val="21"/>
                <w:szCs w:val="21"/>
              </w:rPr>
              <w:instrText xml:space="preserve"> = 3 \* ROMAN </w:instrText>
            </w:r>
            <w:r w:rsidR="00B95226">
              <w:rPr>
                <w:rFonts w:ascii="Times New Roman" w:hAnsi="Times New Roman"/>
                <w:sz w:val="21"/>
                <w:szCs w:val="21"/>
              </w:rPr>
              <w:fldChar w:fldCharType="separate"/>
            </w:r>
            <w:r>
              <w:rPr>
                <w:rFonts w:ascii="Times New Roman" w:hAnsi="Times New Roman"/>
                <w:sz w:val="21"/>
                <w:szCs w:val="21"/>
              </w:rPr>
              <w:t>III</w:t>
            </w:r>
            <w:r w:rsidR="00B95226">
              <w:rPr>
                <w:rFonts w:ascii="Times New Roman" w:hAnsi="Times New Roman"/>
                <w:sz w:val="21"/>
                <w:szCs w:val="21"/>
              </w:rPr>
              <w:fldChar w:fldCharType="end"/>
            </w:r>
            <w:r>
              <w:rPr>
                <w:rFonts w:ascii="Times New Roman" w:hAnsi="Times New Roman"/>
                <w:sz w:val="21"/>
                <w:szCs w:val="21"/>
              </w:rPr>
              <w:t>类标准</w:t>
            </w:r>
          </w:p>
        </w:tc>
        <w:tc>
          <w:tcPr>
            <w:tcW w:w="2319" w:type="dxa"/>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hint="eastAsia"/>
                <w:sz w:val="21"/>
                <w:szCs w:val="21"/>
              </w:rPr>
              <w:t>-</w:t>
            </w:r>
          </w:p>
        </w:tc>
        <w:tc>
          <w:tcPr>
            <w:tcW w:w="2182" w:type="dxa"/>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≤20</w:t>
            </w:r>
          </w:p>
        </w:tc>
      </w:tr>
      <w:tr w:rsidR="00240BCE">
        <w:trPr>
          <w:trHeight w:val="474"/>
          <w:jc w:val="center"/>
        </w:trPr>
        <w:tc>
          <w:tcPr>
            <w:tcW w:w="4417" w:type="dxa"/>
            <w:tcBorders>
              <w:tl2br w:val="nil"/>
              <w:tr2bl w:val="nil"/>
            </w:tcBorders>
            <w:vAlign w:val="center"/>
          </w:tcPr>
          <w:p w:rsidR="00240BCE" w:rsidRDefault="00AC0334">
            <w:pPr>
              <w:pStyle w:val="ae"/>
              <w:spacing w:line="360" w:lineRule="exact"/>
              <w:rPr>
                <w:rFonts w:ascii="Times New Roman" w:hAnsi="Times New Roman"/>
                <w:sz w:val="21"/>
                <w:szCs w:val="21"/>
              </w:rPr>
            </w:pPr>
            <w:r>
              <w:rPr>
                <w:rFonts w:ascii="Times New Roman" w:hAnsi="Times New Roman"/>
                <w:spacing w:val="2"/>
                <w:sz w:val="21"/>
                <w:szCs w:val="21"/>
              </w:rPr>
              <w:t>《农田灌溉水质标准》（</w:t>
            </w:r>
            <w:r>
              <w:rPr>
                <w:rFonts w:ascii="Times New Roman" w:hAnsi="Times New Roman"/>
                <w:spacing w:val="2"/>
                <w:sz w:val="21"/>
                <w:szCs w:val="21"/>
              </w:rPr>
              <w:t>GB5084-</w:t>
            </w:r>
            <w:r>
              <w:rPr>
                <w:rFonts w:ascii="Times New Roman" w:hAnsi="Times New Roman" w:hint="eastAsia"/>
                <w:spacing w:val="2"/>
                <w:sz w:val="21"/>
                <w:szCs w:val="21"/>
              </w:rPr>
              <w:t>2021</w:t>
            </w:r>
            <w:r>
              <w:rPr>
                <w:rFonts w:ascii="Times New Roman" w:hAnsi="Times New Roman"/>
                <w:spacing w:val="2"/>
                <w:sz w:val="21"/>
                <w:szCs w:val="21"/>
              </w:rPr>
              <w:t>）旱作类</w:t>
            </w:r>
          </w:p>
        </w:tc>
        <w:tc>
          <w:tcPr>
            <w:tcW w:w="2319" w:type="dxa"/>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hint="eastAsia"/>
                <w:sz w:val="21"/>
                <w:szCs w:val="21"/>
              </w:rPr>
              <w:t>100</w:t>
            </w:r>
          </w:p>
        </w:tc>
        <w:tc>
          <w:tcPr>
            <w:tcW w:w="2182" w:type="dxa"/>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hint="eastAsia"/>
                <w:sz w:val="21"/>
                <w:szCs w:val="21"/>
              </w:rPr>
              <w:t>200</w:t>
            </w:r>
          </w:p>
        </w:tc>
      </w:tr>
    </w:tbl>
    <w:p w:rsidR="00BE1EF9" w:rsidRDefault="00BE1EF9">
      <w:pPr>
        <w:spacing w:line="520" w:lineRule="exact"/>
        <w:ind w:firstLine="488"/>
        <w:rPr>
          <w:spacing w:val="2"/>
          <w:sz w:val="24"/>
        </w:rPr>
      </w:pPr>
    </w:p>
    <w:p w:rsidR="00BE1EF9" w:rsidRDefault="00BE1EF9" w:rsidP="00BE1EF9">
      <w:pPr>
        <w:pStyle w:val="a1"/>
      </w:pPr>
      <w:r>
        <w:br w:type="page"/>
      </w:r>
    </w:p>
    <w:p w:rsidR="00240BCE" w:rsidRDefault="00240BCE">
      <w:pPr>
        <w:spacing w:line="520" w:lineRule="exact"/>
        <w:ind w:firstLine="488"/>
        <w:rPr>
          <w:spacing w:val="2"/>
          <w:sz w:val="24"/>
        </w:rPr>
      </w:pPr>
    </w:p>
    <w:p w:rsidR="00240BCE" w:rsidRDefault="00B95226">
      <w:pPr>
        <w:spacing w:line="520" w:lineRule="exact"/>
        <w:ind w:firstLine="488"/>
        <w:rPr>
          <w:spacing w:val="2"/>
          <w:sz w:val="24"/>
        </w:rPr>
      </w:pPr>
      <w:r>
        <w:rPr>
          <w:noProof/>
          <w:spacing w:val="2"/>
          <w:sz w:val="24"/>
        </w:rPr>
        <w:pict>
          <v:shape id="_x0000_s3742" type="#_x0000_t32" style="position:absolute;left:0;text-align:left;margin-left:414.6pt;margin-top:23.1pt;width:0;height:51.25pt;z-index:251740160" o:connectortype="straight" stroked="f"/>
        </w:pict>
      </w:r>
      <w:r>
        <w:rPr>
          <w:noProof/>
          <w:spacing w:val="2"/>
          <w:sz w:val="24"/>
        </w:rPr>
        <w:pict>
          <v:shape id="文本框 1229" o:spid="_x0000_s1089" type="#_x0000_t202" style="position:absolute;left:0;text-align:left;margin-left:22.05pt;margin-top:15.75pt;width:42pt;height:1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" stroked="f">
            <v:textbox inset="0,0,0,0">
              <w:txbxContent>
                <w:p w:rsidR="006D7D3F" w:rsidRDefault="006D7D3F">
                  <w:pPr>
                    <w:rPr>
                      <w:sz w:val="21"/>
                      <w:szCs w:val="21"/>
                    </w:rPr>
                  </w:pPr>
                  <w:r>
                    <w:rPr>
                      <w:rFonts w:hint="eastAsia"/>
                      <w:sz w:val="21"/>
                      <w:szCs w:val="21"/>
                    </w:rPr>
                    <w:t>井下排水</w:t>
                  </w:r>
                </w:p>
              </w:txbxContent>
            </v:textbox>
          </v:shape>
        </w:pict>
      </w:r>
      <w:r>
        <w:rPr>
          <w:noProof/>
          <w:spacing w:val="2"/>
          <w:sz w:val="24"/>
        </w:rPr>
        <w:pict>
          <v:line id="直线 1230" o:spid="_x0000_s3509" style="position:absolute;left:0;text-align:left;z-index:251692032" from="65.75pt,23.1pt" to="102pt,23.15pt" o:gfxdata="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32JSu2QAAAAkBAAAPAAAAAAAAAAEA&#10;IAAAACIAAABkcnMvZG93bnJldi54bWxQSwECFAAUAAAACACHTuJABTSCVdUBAACXAwAADgAAAAAA&#10;AAABACAAAAAoAQAAZHJzL2Uyb0RvYy54bWxQSwUGAAAAAAYABgBZAQAAbwUAAAAA&#10;">
            <v:stroke endarrow="block"/>
          </v:line>
        </w:pict>
      </w:r>
      <w:r>
        <w:rPr>
          <w:noProof/>
          <w:spacing w:val="2"/>
          <w:sz w:val="24"/>
        </w:rPr>
        <w:pict>
          <v:shape id="文本框 1232" o:spid="_x0000_s1090" type="#_x0000_t202" style="position:absolute;left:0;text-align:left;margin-left:102.1pt;margin-top:11.75pt;width:47.85pt;height:28.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" filled="f">
            <v:textbox inset="0,0,0,0">
              <w:txbxContent>
                <w:p w:rsidR="006D7D3F" w:rsidRDefault="006D7D3F">
                  <w:pPr>
                    <w:jc w:val="center"/>
                    <w:rPr>
                      <w:sz w:val="21"/>
                      <w:szCs w:val="21"/>
                    </w:rPr>
                  </w:pPr>
                  <w:r>
                    <w:rPr>
                      <w:rFonts w:hint="eastAsia"/>
                      <w:sz w:val="21"/>
                      <w:szCs w:val="21"/>
                    </w:rPr>
                    <w:t>1#</w:t>
                  </w:r>
                  <w:r>
                    <w:rPr>
                      <w:rFonts w:hint="eastAsia"/>
                      <w:sz w:val="21"/>
                      <w:szCs w:val="21"/>
                    </w:rPr>
                    <w:t>调节池（</w:t>
                  </w:r>
                  <w:r>
                    <w:rPr>
                      <w:rFonts w:hint="eastAsia"/>
                      <w:sz w:val="21"/>
                      <w:szCs w:val="21"/>
                    </w:rPr>
                    <w:t>150m</w:t>
                  </w:r>
                  <w:r>
                    <w:rPr>
                      <w:rFonts w:hint="eastAsia"/>
                      <w:sz w:val="21"/>
                      <w:szCs w:val="21"/>
                      <w:vertAlign w:val="superscript"/>
                    </w:rPr>
                    <w:t>3</w:t>
                  </w:r>
                  <w:r>
                    <w:rPr>
                      <w:rFonts w:hint="eastAsia"/>
                      <w:sz w:val="21"/>
                      <w:szCs w:val="21"/>
                    </w:rPr>
                    <w:t>）</w:t>
                  </w:r>
                </w:p>
                <w:p w:rsidR="006D7D3F" w:rsidRDefault="006D7D3F">
                  <w:pPr>
                    <w:jc w:val="center"/>
                    <w:rPr>
                      <w:sz w:val="21"/>
                      <w:szCs w:val="21"/>
                    </w:rPr>
                  </w:pPr>
                  <w:r>
                    <w:rPr>
                      <w:rFonts w:hint="eastAsia"/>
                      <w:sz w:val="21"/>
                      <w:szCs w:val="21"/>
                    </w:rPr>
                    <w:t>沉淀池</w:t>
                  </w:r>
                </w:p>
              </w:txbxContent>
            </v:textbox>
          </v:shape>
        </w:pict>
      </w:r>
      <w:r>
        <w:rPr>
          <w:noProof/>
          <w:spacing w:val="2"/>
          <w:sz w:val="24"/>
        </w:rPr>
        <w:pict>
          <v:line id="直线 1242" o:spid="_x0000_s3508" style="position:absolute;left:0;text-align:left;z-index:251703296" from="152.2pt,24.5pt" to="193.9pt,24.55pt" o:gfxdata="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gzhtXZAAAACQEAAA8AAAAAAAAA&#10;AQAgAAAAIgAAAGRycy9kb3ducmV2LnhtbFBLAQIUABQAAAAIAIdO4kDaJCxm1wEAAJcDAAAOAAAA&#10;AAAAAAEAIAAAACgBAABkcnMvZTJvRG9jLnhtbFBLBQYAAAAABgAGAFkBAABxBQAAAAA=&#10;">
            <v:stroke endarrow="block"/>
          </v:line>
        </w:pict>
      </w:r>
      <w:r>
        <w:rPr>
          <w:noProof/>
          <w:spacing w:val="2"/>
          <w:sz w:val="24"/>
        </w:rPr>
        <w:pict>
          <v:shape id="文本框 1243" o:spid="_x0000_s1091" type="#_x0000_t202" style="position:absolute;left:0;text-align:left;margin-left:194.55pt;margin-top:10.9pt;width:47.05pt;height:28.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" filled="f">
            <v:textbox inset="0,0,0,0">
              <w:txbxContent>
                <w:p w:rsidR="006D7D3F" w:rsidRDefault="006D7D3F">
                  <w:pPr>
                    <w:jc w:val="center"/>
                    <w:rPr>
                      <w:sz w:val="21"/>
                      <w:szCs w:val="21"/>
                    </w:rPr>
                  </w:pPr>
                  <w:r>
                    <w:rPr>
                      <w:rFonts w:hint="eastAsia"/>
                      <w:sz w:val="21"/>
                      <w:szCs w:val="21"/>
                    </w:rPr>
                    <w:t>2#</w:t>
                  </w:r>
                  <w:r>
                    <w:rPr>
                      <w:rFonts w:hint="eastAsia"/>
                      <w:sz w:val="21"/>
                      <w:szCs w:val="21"/>
                    </w:rPr>
                    <w:t>调节池（</w:t>
                  </w:r>
                  <w:r>
                    <w:rPr>
                      <w:rFonts w:hint="eastAsia"/>
                      <w:sz w:val="21"/>
                      <w:szCs w:val="21"/>
                    </w:rPr>
                    <w:t>200m</w:t>
                  </w:r>
                  <w:r>
                    <w:rPr>
                      <w:rFonts w:hint="eastAsia"/>
                      <w:sz w:val="21"/>
                      <w:szCs w:val="21"/>
                      <w:vertAlign w:val="superscript"/>
                    </w:rPr>
                    <w:t>3</w:t>
                  </w:r>
                  <w:r>
                    <w:rPr>
                      <w:rFonts w:hint="eastAsia"/>
                      <w:sz w:val="21"/>
                      <w:szCs w:val="21"/>
                    </w:rPr>
                    <w:t>）</w:t>
                  </w:r>
                </w:p>
                <w:p w:rsidR="006D7D3F" w:rsidRDefault="006D7D3F">
                  <w:pPr>
                    <w:rPr>
                      <w:szCs w:val="21"/>
                    </w:rPr>
                  </w:pPr>
                </w:p>
              </w:txbxContent>
            </v:textbox>
          </v:shape>
        </w:pict>
      </w:r>
      <w:r>
        <w:rPr>
          <w:noProof/>
          <w:spacing w:val="2"/>
          <w:sz w:val="24"/>
        </w:rPr>
        <w:pict>
          <v:line id="直线 1244" o:spid="_x0000_s3507" style="position:absolute;left:0;text-align:left;z-index:251705344" from="244.45pt,25.4pt" to="277.35pt,25.45pt" o:gfxdata="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JFWRh2QAAAAkBAAAPAAAAAAAA&#10;AAEAIAAAACIAAABkcnMvZG93bnJldi54bWxQSwECFAAUAAAACACHTuJAPcbbkNgBAACXAwAADgAA&#10;AAAAAAABACAAAAAoAQAAZHJzL2Uyb0RvYy54bWxQSwUGAAAAAAYABgBZAQAAcgUAAAAA&#10;">
            <v:stroke endarrow="block"/>
          </v:line>
        </w:pict>
      </w:r>
      <w:r>
        <w:rPr>
          <w:noProof/>
          <w:spacing w:val="2"/>
          <w:sz w:val="24"/>
        </w:rPr>
        <w:pict>
          <v:shape id="文本框 1248" o:spid="_x0000_s1092" type="#_x0000_t202" style="position:absolute;left:0;text-align:left;margin-left:352.4pt;margin-top:12.05pt;width:44.95pt;height:34.0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">
            <v:textbox inset="0,0,0,0">
              <w:txbxContent>
                <w:p w:rsidR="006D7D3F" w:rsidRDefault="006D7D3F">
                  <w:pPr>
                    <w:jc w:val="center"/>
                    <w:rPr>
                      <w:sz w:val="21"/>
                      <w:szCs w:val="21"/>
                    </w:rPr>
                  </w:pPr>
                  <w:r>
                    <w:rPr>
                      <w:rFonts w:hint="eastAsia"/>
                      <w:sz w:val="21"/>
                      <w:szCs w:val="21"/>
                    </w:rPr>
                    <w:t>重力式</w:t>
                  </w:r>
                </w:p>
                <w:p w:rsidR="006D7D3F" w:rsidRDefault="006D7D3F">
                  <w:pPr>
                    <w:jc w:val="center"/>
                    <w:rPr>
                      <w:sz w:val="21"/>
                      <w:szCs w:val="21"/>
                    </w:rPr>
                  </w:pPr>
                  <w:r>
                    <w:rPr>
                      <w:rFonts w:hint="eastAsia"/>
                      <w:sz w:val="21"/>
                      <w:szCs w:val="21"/>
                    </w:rPr>
                    <w:t>无阀滤池</w:t>
                  </w:r>
                </w:p>
              </w:txbxContent>
            </v:textbox>
          </v:shape>
        </w:pict>
      </w:r>
      <w:r>
        <w:rPr>
          <w:noProof/>
          <w:spacing w:val="2"/>
          <w:sz w:val="24"/>
        </w:rPr>
        <w:pict>
          <v:shape id="文本框 1246" o:spid="_x0000_s1093" type="#_x0000_t202" style="position:absolute;left:0;text-align:left;margin-left:278.2pt;margin-top:10.25pt;width:48.95pt;height:34.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">
            <v:textbox inset="0,0,0,0">
              <w:txbxContent>
                <w:p w:rsidR="006D7D3F" w:rsidRDefault="006D7D3F">
                  <w:pPr>
                    <w:jc w:val="center"/>
                    <w:rPr>
                      <w:sz w:val="21"/>
                      <w:szCs w:val="21"/>
                    </w:rPr>
                  </w:pPr>
                  <w:r>
                    <w:rPr>
                      <w:rFonts w:hint="eastAsia"/>
                      <w:sz w:val="21"/>
                      <w:szCs w:val="21"/>
                    </w:rPr>
                    <w:t>斜管</w:t>
                  </w:r>
                </w:p>
                <w:p w:rsidR="006D7D3F" w:rsidRDefault="006D7D3F">
                  <w:pPr>
                    <w:jc w:val="center"/>
                    <w:rPr>
                      <w:sz w:val="21"/>
                      <w:szCs w:val="21"/>
                    </w:rPr>
                  </w:pPr>
                  <w:r>
                    <w:rPr>
                      <w:rFonts w:hint="eastAsia"/>
                      <w:sz w:val="21"/>
                      <w:szCs w:val="21"/>
                    </w:rPr>
                    <w:t>沉淀池</w:t>
                  </w:r>
                </w:p>
              </w:txbxContent>
            </v:textbox>
          </v:shape>
        </w:pict>
      </w:r>
    </w:p>
    <w:p w:rsidR="00240BCE" w:rsidRDefault="00B95226">
      <w:pPr>
        <w:spacing w:line="520" w:lineRule="exact"/>
        <w:ind w:firstLine="488"/>
        <w:rPr>
          <w:spacing w:val="2"/>
          <w:sz w:val="24"/>
        </w:rPr>
      </w:pPr>
      <w:r w:rsidRPr="00B95226">
        <w:rPr>
          <w:rFonts w:eastAsia="黑体"/>
          <w:noProof/>
          <w:spacing w:val="2"/>
          <w:sz w:val="24"/>
        </w:rPr>
        <w:pict>
          <v:line id="_x0000_s3743" style="position:absolute;left:0;text-align:left;z-index:251741184" from="417.7pt,2.85pt" to="417.7pt,37.85pt" o:gfxdata="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&#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eGTevVAAAACgEAAA8AAAAAAAAAAQAgAAAAIgAAAGRy&#10;cy9kb3ducmV2LnhtbFBLAQIUABQAAAAIAIdO4kBbH6jdzwEAAJEDAAAOAAAAAAAAAAEAIAAAACQB&#10;AABkcnMvZTJvRG9jLnhtbFBLBQYAAAAABgAGAFkBAABlBQAAAAA=&#10;"/>
        </w:pict>
      </w:r>
      <w:r w:rsidRPr="00B95226">
        <w:rPr>
          <w:rFonts w:eastAsia="黑体"/>
          <w:noProof/>
          <w:spacing w:val="2"/>
          <w:sz w:val="24"/>
        </w:rPr>
        <w:pict>
          <v:shape id="_x0000_s3741" type="#_x0000_t32" style="position:absolute;left:0;text-align:left;margin-left:417.7pt;margin-top:2.85pt;width:0;height:45.45pt;z-index:251739136" o:connectortype="straight" stroked="f"/>
        </w:pict>
      </w:r>
      <w:r w:rsidRPr="00B95226">
        <w:rPr>
          <w:rFonts w:eastAsia="黑体"/>
          <w:noProof/>
          <w:spacing w:val="2"/>
          <w:sz w:val="24"/>
        </w:rPr>
        <w:pict>
          <v:line id="直线 1250" o:spid="_x0000_s3505" style="position:absolute;left:0;text-align:left;flip:y;z-index:251734016" from="397.35pt,2.85pt" to="417.7pt,2.85pt" o:gfxdata="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IN/vQAA&#10;ANwAAAAPAAAAAAAAAAEAIAAAACIAAABkcnMvZG93bnJldi54bWxQSwECFAAUAAAACACHTuJAMy8F&#10;njsAAAA5AAAAEAAAAAAAAAABACAAAAAMAQAAZHJzL3NoYXBleG1sLnhtbFBLBQYAAAAABgAGAFsB&#10;AAC2AwAAAAA=&#10;"/>
        </w:pict>
      </w:r>
      <w:r>
        <w:rPr>
          <w:noProof/>
          <w:spacing w:val="2"/>
          <w:sz w:val="24"/>
        </w:rPr>
        <w:pict>
          <v:line id="直线 1247" o:spid="_x0000_s3506" style="position:absolute;left:0;text-align:left;z-index:251707392" from="327.15pt,2.85pt" to="352.4pt,2.85pt" o:gfxdata="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yJzptgAAAAHAQAADwAAAAAAAAAB&#10;ACAAAAAiAAAAZHJzL2Rvd25yZXYueG1sUEsBAhQAFAAAAAgAh07iQOM9wMjXAQAAlQMAAA4AAAAA&#10;AAAAAQAgAAAAJwEAAGRycy9lMm9Eb2MueG1sUEsFBgAAAAAGAAYAWQEAAHAFAAAAAA==&#10;">
            <v:stroke endarrow="block"/>
          </v:line>
        </w:pict>
      </w:r>
    </w:p>
    <w:p w:rsidR="00240BCE" w:rsidRDefault="00B95226">
      <w:pPr>
        <w:spacing w:line="520" w:lineRule="exact"/>
        <w:jc w:val="center"/>
        <w:rPr>
          <w:rFonts w:eastAsia="黑体"/>
          <w:spacing w:val="2"/>
          <w:sz w:val="24"/>
        </w:rPr>
      </w:pPr>
      <w:r>
        <w:rPr>
          <w:rFonts w:eastAsia="黑体"/>
          <w:noProof/>
          <w:spacing w:val="2"/>
          <w:sz w:val="24"/>
        </w:rPr>
        <w:pict>
          <v:line id="直线 1252" o:spid="_x0000_s3503" style="position:absolute;left:0;text-align:left;flip:x y;z-index:251736064" from="35pt,11.85pt" to="417.7pt,11.85pt" o:gfxdata="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ATMK8AAAA&#10;3AAAAA8AAAAAAAAAAQAgAAAAIgAAAGRycy9kb3ducmV2LnhtbFBLAQIUABQAAAAIAIdO4kAzLwWe&#10;OwAAADkAAAAQAAAAAAAAAAEAIAAAAAsBAABkcnMvc2hhcGV4bWwueG1sUEsFBgAAAAAGAAYAWwEA&#10;ALUDAAAAAA==&#10;"/>
        </w:pict>
      </w:r>
      <w:r>
        <w:rPr>
          <w:rFonts w:eastAsia="黑体"/>
          <w:noProof/>
          <w:spacing w:val="2"/>
          <w:sz w:val="24"/>
        </w:rPr>
        <w:pict>
          <v:line id="_x0000_s3744" style="position:absolute;left:0;text-align:left;z-index:251742208" from="34.75pt,11.85pt" to="34.75pt,54.35pt" o:gfxdata="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&#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eGTevVAAAACgEAAA8AAAAAAAAAAQAgAAAAIgAAAGRy&#10;cy9kb3ducmV2LnhtbFBLAQIUABQAAAAIAIdO4kBbH6jdzwEAAJEDAAAOAAAAAAAAAAEAIAAAACQB&#10;AABkcnMvZTJvRG9jLnhtbFBLBQYAAAAABgAGAFkBAABlBQAAAAA=&#10;"/>
        </w:pict>
      </w:r>
      <w:r>
        <w:rPr>
          <w:rFonts w:eastAsia="黑体"/>
          <w:noProof/>
          <w:spacing w:val="2"/>
          <w:sz w:val="24"/>
        </w:rPr>
        <w:pict>
          <v:line id="直线 1253" o:spid="_x0000_s3502" style="position:absolute;left:0;text-align:left;flip:y;z-index:251737088" from="41.2pt,22.3pt" to="41.2pt,22.35pt"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w:pict>
      </w:r>
      <w:r>
        <w:rPr>
          <w:rFonts w:eastAsia="黑体"/>
          <w:noProof/>
          <w:spacing w:val="2"/>
          <w:sz w:val="24"/>
        </w:rPr>
        <w:pict>
          <v:line id="直线 1251" o:spid="_x0000_s3504" style="position:absolute;left:0;text-align:left;flip:y;z-index:251735040" from="414.6pt,22.35pt" to="414.6pt,22.35pt"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w:pict>
      </w:r>
      <w:r>
        <w:rPr>
          <w:rFonts w:eastAsia="黑体"/>
          <w:noProof/>
          <w:spacing w:val="2"/>
          <w:sz w:val="24"/>
        </w:rPr>
        <w:pict>
          <v:shape id="文本框 1238" o:spid="_x0000_s1094" type="#_x0000_t202" style="position:absolute;left:0;text-align:left;margin-left:148.8pt;margin-top:25.4pt;width:63pt;height:1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" stroked="f">
            <v:textbox inset="0,0,0,0">
              <w:txbxContent>
                <w:p w:rsidR="006D7D3F" w:rsidRDefault="006D7D3F">
                  <w:pPr>
                    <w:rPr>
                      <w:sz w:val="21"/>
                      <w:szCs w:val="21"/>
                    </w:rPr>
                  </w:pPr>
                  <w:r>
                    <w:rPr>
                      <w:rFonts w:hint="eastAsia"/>
                      <w:sz w:val="21"/>
                      <w:szCs w:val="21"/>
                    </w:rPr>
                    <w:t>井下消防洒水</w:t>
                  </w:r>
                </w:p>
              </w:txbxContent>
            </v:textbox>
          </v:shape>
        </w:pict>
      </w:r>
    </w:p>
    <w:p w:rsidR="00240BCE" w:rsidRDefault="00B95226">
      <w:pPr>
        <w:spacing w:line="520" w:lineRule="exact"/>
        <w:rPr>
          <w:rFonts w:eastAsia="黑体"/>
          <w:spacing w:val="2"/>
          <w:sz w:val="24"/>
        </w:rPr>
      </w:pPr>
      <w:r>
        <w:rPr>
          <w:rFonts w:eastAsia="黑体"/>
          <w:noProof/>
          <w:spacing w:val="2"/>
          <w:sz w:val="24"/>
        </w:rPr>
        <w:pict>
          <v:shape id="文本框 1239" o:spid="_x0000_s1095" type="#_x0000_t202" style="position:absolute;left:0;text-align:left;margin-left:153.75pt;margin-top:23.6pt;width:96.25pt;height:1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" stroked="f">
            <v:textbox inset="0,0,0,0">
              <w:txbxContent>
                <w:p w:rsidR="006D7D3F" w:rsidRDefault="006D7D3F">
                  <w:pPr>
                    <w:rPr>
                      <w:sz w:val="21"/>
                      <w:szCs w:val="21"/>
                    </w:rPr>
                  </w:pPr>
                  <w:r>
                    <w:rPr>
                      <w:rFonts w:hint="eastAsia"/>
                      <w:sz w:val="21"/>
                      <w:szCs w:val="21"/>
                    </w:rPr>
                    <w:t>矿井生产、生活用水</w:t>
                  </w:r>
                </w:p>
              </w:txbxContent>
            </v:textbox>
          </v:shape>
        </w:pict>
      </w:r>
      <w:r>
        <w:rPr>
          <w:rFonts w:eastAsia="黑体"/>
          <w:noProof/>
          <w:spacing w:val="2"/>
          <w:sz w:val="24"/>
        </w:rPr>
        <w:pict>
          <v:line id="直线 1236" o:spid="_x0000_s3499" style="position:absolute;left:0;text-align:left;z-index:251697152" from="133.7pt,7.85pt" to="147.7pt,7.85pt" o:gfxdata="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YNi1zZAAAACQEAAA8AAAAAAAAA&#10;AQAgAAAAIgAAAGRycy9kb3ducmV2LnhtbFBLAQIUABQAAAAIAIdO4kA1YUUO1wEAAJUDAAAOAAAA&#10;AAAAAAEAIAAAACgBAABkcnMvZTJvRG9jLnhtbFBLBQYAAAAABgAGAFkBAABxBQAAAAA=&#10;">
            <v:stroke endarrow="block"/>
          </v:line>
        </w:pict>
      </w:r>
      <w:r>
        <w:rPr>
          <w:rFonts w:eastAsia="黑体"/>
          <w:noProof/>
          <w:spacing w:val="2"/>
          <w:sz w:val="24"/>
        </w:rPr>
        <w:pict>
          <v:line id="直线 1235" o:spid="_x0000_s3498" style="position:absolute;left:0;text-align:left;z-index:251696128" from="133.2pt,8.8pt" to="133.2pt,55.55pt" o:gfxdata="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&#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eGTevVAAAACgEAAA8AAAAAAAAAAQAgAAAAIgAAAGRy&#10;cy9kb3ducmV2LnhtbFBLAQIUABQAAAAIAIdO4kBbH6jdzwEAAJEDAAAOAAAAAAAAAAEAIAAAACQB&#10;AABkcnMvZTJvRG9jLnhtbFBLBQYAAAAABgAGAFkBAABlBQAAAAA=&#10;"/>
        </w:pict>
      </w:r>
      <w:r>
        <w:rPr>
          <w:rFonts w:eastAsia="黑体"/>
          <w:noProof/>
          <w:spacing w:val="2"/>
          <w:sz w:val="24"/>
        </w:rPr>
        <w:pict>
          <v:shape id="文本框 1233" o:spid="_x0000_s1096" type="#_x0000_t202" style="position:absolute;left:0;text-align:left;margin-left:68.7pt;margin-top:20.75pt;width:37.7pt;height:17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" filled="f">
            <v:textbox inset="0,0,0,0">
              <w:txbxContent>
                <w:p w:rsidR="006D7D3F" w:rsidRDefault="006D7D3F">
                  <w:pPr>
                    <w:jc w:val="center"/>
                    <w:rPr>
                      <w:sz w:val="21"/>
                      <w:szCs w:val="21"/>
                    </w:rPr>
                  </w:pPr>
                  <w:r>
                    <w:rPr>
                      <w:rFonts w:hint="eastAsia"/>
                      <w:sz w:val="21"/>
                      <w:szCs w:val="21"/>
                    </w:rPr>
                    <w:t>清水池</w:t>
                  </w:r>
                </w:p>
              </w:txbxContent>
            </v:textbox>
          </v:shape>
        </w:pict>
      </w:r>
    </w:p>
    <w:p w:rsidR="00240BCE" w:rsidRDefault="00B95226">
      <w:pPr>
        <w:spacing w:line="520" w:lineRule="exact"/>
        <w:rPr>
          <w:rFonts w:eastAsia="黑体"/>
          <w:spacing w:val="2"/>
          <w:sz w:val="24"/>
        </w:rPr>
      </w:pPr>
      <w:r>
        <w:rPr>
          <w:rFonts w:eastAsia="黑体"/>
          <w:noProof/>
          <w:spacing w:val="2"/>
          <w:sz w:val="24"/>
        </w:rPr>
        <w:pict>
          <v:line id="直线 1254" o:spid="_x0000_s3501" style="position:absolute;left:0;text-align:left;flip:y;z-index:251738112" from="34.75pt,3.75pt" to="68.7pt,3.75pt"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stroke endarrow="block"/>
          </v:line>
        </w:pict>
      </w:r>
      <w:r>
        <w:rPr>
          <w:rFonts w:eastAsia="黑体"/>
          <w:noProof/>
          <w:spacing w:val="2"/>
          <w:sz w:val="24"/>
        </w:rPr>
        <w:pict>
          <v:shape id="文本框 1241" o:spid="_x0000_s1097" type="#_x0000_t202" style="position:absolute;left:0;text-align:left;margin-left:148.45pt;margin-top:21.5pt;width:243pt;height:21.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" stroked="f">
            <v:textbox inset="0,0,0,0">
              <w:txbxContent>
                <w:p w:rsidR="006D7D3F" w:rsidRDefault="006D7D3F">
                  <w:pPr>
                    <w:rPr>
                      <w:szCs w:val="21"/>
                    </w:rPr>
                  </w:pPr>
                  <w:r>
                    <w:rPr>
                      <w:rFonts w:ascii="宋体" w:hAnsi="宋体" w:hint="eastAsia"/>
                      <w:sz w:val="21"/>
                      <w:szCs w:val="21"/>
                    </w:rPr>
                    <w:t>进入纸坊水库后用于生态补水或周边农田轮灌</w:t>
                  </w:r>
                </w:p>
              </w:txbxContent>
            </v:textbox>
          </v:shape>
        </w:pict>
      </w:r>
      <w:r>
        <w:rPr>
          <w:rFonts w:eastAsia="黑体"/>
          <w:noProof/>
          <w:spacing w:val="2"/>
          <w:sz w:val="24"/>
        </w:rPr>
        <w:pict>
          <v:line id="直线 1240" o:spid="_x0000_s3497" style="position:absolute;left:0;text-align:left;z-index:251701248" from="133.9pt,6.85pt" to="154.9pt,6.85pt" o:gfxdata="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eU+hfYAAAACQEAAA8AAAAAAAAAAQAg&#10;AAAAIgAAAGRycy9kb3ducmV2LnhtbFBLAQIUABQAAAAIAIdO4kCyWebc1QEAAJUDAAAOAAAAAAAA&#10;AAEAIAAAACcBAABkcnMvZTJvRG9jLnhtbFBLBQYAAAAABgAGAFkBAABuBQAAAAA=&#10;">
            <v:stroke endarrow="block"/>
          </v:line>
        </w:pict>
      </w:r>
      <w:r>
        <w:rPr>
          <w:rFonts w:eastAsia="黑体"/>
          <w:noProof/>
          <w:spacing w:val="2"/>
          <w:sz w:val="24"/>
        </w:rPr>
        <w:pict>
          <v:line id="直线 1234" o:spid="_x0000_s3496" style="position:absolute;left:0;text-align:left;z-index:251695104" from="106.4pt,3.75pt" to="134.4pt,3.75pt" o:gfxdata="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QZEAzWAAAABwEAAA8AAAAAAAAAAQAg&#10;AAAAIgAAAGRycy9kb3ducmV2LnhtbFBLAQIUABQAAAAIAIdO4kBZnPlD1wEAAJUDAAAOAAAAAAAA&#10;AAEAIAAAACUBAABkcnMvZTJvRG9jLnhtbFBLBQYAAAAABgAGAFkBAABuBQAAAAA=&#10;">
            <v:stroke endarrow="block"/>
          </v:line>
        </w:pict>
      </w:r>
    </w:p>
    <w:p w:rsidR="00240BCE" w:rsidRDefault="00B95226">
      <w:pPr>
        <w:spacing w:line="520" w:lineRule="exact"/>
        <w:jc w:val="center"/>
        <w:rPr>
          <w:rFonts w:eastAsia="黑体"/>
          <w:spacing w:val="2"/>
          <w:sz w:val="24"/>
        </w:rPr>
      </w:pPr>
      <w:r>
        <w:rPr>
          <w:rFonts w:eastAsia="黑体"/>
          <w:noProof/>
          <w:spacing w:val="2"/>
          <w:sz w:val="24"/>
        </w:rPr>
        <w:pict>
          <v:line id="直线 1237" o:spid="_x0000_s3495" style="position:absolute;left:0;text-align:left;z-index:251698176" from="133.3pt,4.85pt" to="147.3pt,4.85pt" o:gfxdata="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o76TTWAAAABwEAAA8AAAAAAAAAAQAg&#10;AAAAIgAAAGRycy9kb3ducmV2LnhtbFBLAQIUABQAAAAIAIdO4kCkGf4/1wEAAJUDAAAOAAAAAAAA&#10;AAEAIAAAACUBAABkcnMvZTJvRG9jLnhtbFBLBQYAAAAABgAGAFkBAABuBQAAAAA=&#10;">
            <v:stroke endarrow="block"/>
          </v:line>
        </w:pict>
      </w:r>
    </w:p>
    <w:p w:rsidR="00240BCE" w:rsidRDefault="00AC0334">
      <w:pPr>
        <w:spacing w:line="520" w:lineRule="exact"/>
        <w:jc w:val="center"/>
        <w:rPr>
          <w:rFonts w:eastAsia="黑体"/>
          <w:spacing w:val="2"/>
          <w:sz w:val="24"/>
        </w:rPr>
      </w:pPr>
      <w:r>
        <w:rPr>
          <w:rFonts w:eastAsia="黑体"/>
          <w:sz w:val="24"/>
        </w:rPr>
        <w:t>图</w:t>
      </w:r>
      <w:r>
        <w:rPr>
          <w:rFonts w:eastAsia="黑体"/>
          <w:sz w:val="24"/>
        </w:rPr>
        <w:t xml:space="preserve">7.3-1 </w:t>
      </w:r>
      <w:r>
        <w:rPr>
          <w:rFonts w:eastAsia="黑体"/>
          <w:sz w:val="24"/>
        </w:rPr>
        <w:t>矿井水处理工艺流程图</w:t>
      </w:r>
    </w:p>
    <w:p w:rsidR="00240BCE" w:rsidRPr="00B56224" w:rsidRDefault="00AC0334" w:rsidP="00B56224">
      <w:pPr>
        <w:pStyle w:val="ae"/>
        <w:spacing w:line="520" w:lineRule="exact"/>
        <w:ind w:firstLineChars="200" w:firstLine="482"/>
        <w:rPr>
          <w:rFonts w:ascii="Times New Roman" w:hAnsi="Times New Roman"/>
          <w:b/>
          <w:i/>
          <w:sz w:val="24"/>
          <w:szCs w:val="24"/>
          <w:u w:val="single"/>
        </w:rPr>
      </w:pPr>
      <w:r w:rsidRPr="00B56224">
        <w:rPr>
          <w:rFonts w:ascii="Times New Roman" w:hAnsi="Times New Roman"/>
          <w:b/>
          <w:i/>
          <w:sz w:val="24"/>
          <w:u w:val="single"/>
        </w:rPr>
        <w:t>由表</w:t>
      </w:r>
      <w:r w:rsidRPr="00B56224">
        <w:rPr>
          <w:rFonts w:ascii="Times New Roman" w:hAnsi="Times New Roman"/>
          <w:b/>
          <w:i/>
          <w:sz w:val="24"/>
          <w:u w:val="single"/>
        </w:rPr>
        <w:t>7.3-1</w:t>
      </w:r>
      <w:r w:rsidRPr="00B56224">
        <w:rPr>
          <w:rFonts w:ascii="Times New Roman" w:hAnsi="Times New Roman"/>
          <w:b/>
          <w:i/>
          <w:sz w:val="24"/>
          <w:u w:val="single"/>
        </w:rPr>
        <w:t>可以看出，井下排水经处理后，各指标均满足《煤炭工业污染物排放标准》（</w:t>
      </w:r>
      <w:r w:rsidRPr="00B56224">
        <w:rPr>
          <w:rFonts w:ascii="Times New Roman" w:hAnsi="Times New Roman"/>
          <w:b/>
          <w:i/>
          <w:sz w:val="24"/>
          <w:u w:val="single"/>
        </w:rPr>
        <w:t>GB20426-2006</w:t>
      </w:r>
      <w:r w:rsidRPr="00B56224">
        <w:rPr>
          <w:rFonts w:ascii="Times New Roman" w:hAnsi="Times New Roman"/>
          <w:b/>
          <w:i/>
          <w:sz w:val="24"/>
          <w:u w:val="single"/>
        </w:rPr>
        <w:t>）新建（扩、改）生产线排放标准要求，也满足《地表水质量标准》（</w:t>
      </w:r>
      <w:r w:rsidRPr="00B56224">
        <w:rPr>
          <w:rFonts w:ascii="Times New Roman" w:hAnsi="Times New Roman"/>
          <w:b/>
          <w:i/>
          <w:sz w:val="24"/>
          <w:u w:val="single"/>
        </w:rPr>
        <w:t>GB3838-2002</w:t>
      </w:r>
      <w:r w:rsidRPr="00B56224">
        <w:rPr>
          <w:rFonts w:ascii="Times New Roman" w:hAnsi="Times New Roman"/>
          <w:b/>
          <w:i/>
          <w:sz w:val="24"/>
          <w:u w:val="single"/>
        </w:rPr>
        <w:t>）</w:t>
      </w:r>
      <w:r w:rsidR="00B95226" w:rsidRPr="00B56224">
        <w:rPr>
          <w:rFonts w:ascii="Times New Roman" w:hAnsi="Times New Roman"/>
          <w:b/>
          <w:i/>
          <w:sz w:val="24"/>
          <w:u w:val="single"/>
        </w:rPr>
        <w:fldChar w:fldCharType="begin"/>
      </w:r>
      <w:r w:rsidRPr="00B56224">
        <w:rPr>
          <w:rFonts w:ascii="Times New Roman" w:hAnsi="Times New Roman"/>
          <w:b/>
          <w:i/>
          <w:sz w:val="24"/>
          <w:u w:val="single"/>
        </w:rPr>
        <w:instrText xml:space="preserve"> = 3 \* ROMAN </w:instrText>
      </w:r>
      <w:r w:rsidR="00B95226" w:rsidRPr="00B56224">
        <w:rPr>
          <w:rFonts w:ascii="Times New Roman" w:hAnsi="Times New Roman"/>
          <w:b/>
          <w:i/>
          <w:sz w:val="24"/>
          <w:u w:val="single"/>
        </w:rPr>
        <w:fldChar w:fldCharType="separate"/>
      </w:r>
      <w:r w:rsidRPr="00B56224">
        <w:rPr>
          <w:rFonts w:ascii="Times New Roman" w:hAnsi="Times New Roman"/>
          <w:b/>
          <w:i/>
          <w:sz w:val="24"/>
          <w:u w:val="single"/>
        </w:rPr>
        <w:t>III</w:t>
      </w:r>
      <w:r w:rsidR="00B95226" w:rsidRPr="00B56224">
        <w:rPr>
          <w:rFonts w:ascii="Times New Roman" w:hAnsi="Times New Roman"/>
          <w:b/>
          <w:i/>
          <w:sz w:val="24"/>
          <w:u w:val="single"/>
        </w:rPr>
        <w:fldChar w:fldCharType="end"/>
      </w:r>
      <w:r w:rsidRPr="00B56224">
        <w:rPr>
          <w:rFonts w:ascii="Times New Roman" w:hAnsi="Times New Roman"/>
          <w:b/>
          <w:i/>
          <w:sz w:val="24"/>
          <w:u w:val="single"/>
        </w:rPr>
        <w:t>类标准要求，且满足《农田灌溉水质标准》（</w:t>
      </w:r>
      <w:r w:rsidRPr="00B56224">
        <w:rPr>
          <w:rFonts w:ascii="Times New Roman" w:hAnsi="Times New Roman"/>
          <w:b/>
          <w:i/>
          <w:sz w:val="24"/>
          <w:u w:val="single"/>
        </w:rPr>
        <w:t>GB5084-2021</w:t>
      </w:r>
      <w:r w:rsidRPr="00B56224">
        <w:rPr>
          <w:rFonts w:ascii="Times New Roman" w:hAnsi="Times New Roman"/>
          <w:b/>
          <w:i/>
          <w:sz w:val="24"/>
          <w:u w:val="single"/>
        </w:rPr>
        <w:t>）；处理规模合理，因此矿井水处理工艺合理，可行。</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、地面生产、生活排水</w:t>
      </w:r>
    </w:p>
    <w:p w:rsidR="00240BCE" w:rsidRDefault="00AC0334">
      <w:pPr>
        <w:pStyle w:val="ae"/>
        <w:spacing w:line="520" w:lineRule="exact"/>
        <w:ind w:firstLineChars="200" w:firstLine="480"/>
        <w:rPr>
          <w:rFonts w:ascii="Times New Roman" w:hAnsi="Times New Roman"/>
          <w:color w:val="000000"/>
          <w:sz w:val="24"/>
          <w:szCs w:val="24"/>
        </w:rPr>
      </w:pPr>
      <w:r>
        <w:rPr>
          <w:rFonts w:ascii="Times New Roman" w:hAnsi="Times New Roman"/>
          <w:color w:val="000000"/>
          <w:sz w:val="24"/>
          <w:szCs w:val="24"/>
        </w:rPr>
        <w:t>工业场地设</w:t>
      </w:r>
      <w:r>
        <w:rPr>
          <w:rFonts w:ascii="Times New Roman" w:hAnsi="Times New Roman" w:hint="eastAsia"/>
          <w:color w:val="000000"/>
          <w:sz w:val="24"/>
          <w:szCs w:val="24"/>
        </w:rPr>
        <w:t>有</w:t>
      </w:r>
      <w:r>
        <w:rPr>
          <w:rFonts w:ascii="Times New Roman" w:hAnsi="Times New Roman"/>
          <w:color w:val="000000"/>
          <w:sz w:val="24"/>
          <w:szCs w:val="24"/>
        </w:rPr>
        <w:t>一套接触氧化法污水处理设备，处理规模</w:t>
      </w:r>
      <w:r>
        <w:rPr>
          <w:rFonts w:ascii="Times New Roman" w:hAnsi="Times New Roman"/>
          <w:color w:val="000000"/>
          <w:sz w:val="24"/>
          <w:szCs w:val="24"/>
        </w:rPr>
        <w:t>240m</w:t>
      </w:r>
      <w:r>
        <w:rPr>
          <w:rFonts w:ascii="Times New Roman" w:hAnsi="Times New Roman"/>
          <w:color w:val="000000"/>
          <w:sz w:val="24"/>
          <w:szCs w:val="24"/>
          <w:vertAlign w:val="superscript"/>
        </w:rPr>
        <w:t>3</w:t>
      </w:r>
      <w:r>
        <w:rPr>
          <w:rFonts w:ascii="Times New Roman" w:hAnsi="Times New Roman"/>
          <w:color w:val="000000"/>
          <w:sz w:val="24"/>
          <w:szCs w:val="24"/>
        </w:rPr>
        <w:t>/d</w:t>
      </w:r>
      <w:r>
        <w:rPr>
          <w:rFonts w:ascii="Times New Roman" w:hAnsi="Times New Roman"/>
          <w:color w:val="000000"/>
          <w:sz w:val="24"/>
          <w:szCs w:val="24"/>
        </w:rPr>
        <w:t>，专门处理地面生产、生活污水。其工艺流程见图</w:t>
      </w:r>
      <w:r>
        <w:rPr>
          <w:rFonts w:ascii="Times New Roman" w:hAnsi="Times New Roman"/>
          <w:color w:val="000000"/>
          <w:sz w:val="24"/>
          <w:szCs w:val="24"/>
        </w:rPr>
        <w:t>7.3-2</w:t>
      </w:r>
      <w:r>
        <w:rPr>
          <w:rFonts w:ascii="Times New Roman" w:hAnsi="Times New Roman"/>
          <w:color w:val="000000"/>
          <w:sz w:val="24"/>
          <w:szCs w:val="24"/>
        </w:rPr>
        <w:t>。</w:t>
      </w:r>
    </w:p>
    <w:p w:rsidR="00240BCE" w:rsidRDefault="00B95226">
      <w:pPr>
        <w:spacing w:line="520" w:lineRule="exact"/>
        <w:ind w:firstLine="568"/>
        <w:rPr>
          <w:spacing w:val="2"/>
          <w:sz w:val="24"/>
        </w:rPr>
      </w:pPr>
      <w:r>
        <w:rPr>
          <w:noProof/>
          <w:spacing w:val="2"/>
          <w:sz w:val="24"/>
        </w:rPr>
        <w:pict>
          <v:shape id="文本框 1032" o:spid="_x0000_s1098" type="#_x0000_t202" style="position:absolute;left:0;text-align:left;margin-left:223.95pt;margin-top:19.45pt;width:126pt;height:46.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" filled="f">
            <v:textbox inset="0,0,0,0">
              <w:txbxContent>
                <w:p w:rsidR="006D7D3F" w:rsidRDefault="006D7D3F">
                  <w:pPr>
                    <w:rPr>
                      <w:sz w:val="21"/>
                      <w:szCs w:val="21"/>
                    </w:rPr>
                  </w:pPr>
                  <w:r>
                    <w:rPr>
                      <w:rFonts w:hint="eastAsia"/>
                      <w:sz w:val="21"/>
                      <w:szCs w:val="21"/>
                    </w:rPr>
                    <w:t>接触氧化法污水处理设备（集接触氧化</w:t>
                  </w:r>
                  <w:r>
                    <w:rPr>
                      <w:rFonts w:hint="eastAsia"/>
                      <w:sz w:val="21"/>
                      <w:szCs w:val="21"/>
                    </w:rPr>
                    <w:t xml:space="preserve">    </w:t>
                  </w:r>
                  <w:r>
                    <w:rPr>
                      <w:rFonts w:hint="eastAsia"/>
                      <w:sz w:val="21"/>
                      <w:szCs w:val="21"/>
                    </w:rPr>
                    <w:t>生物过滤</w:t>
                  </w:r>
                  <w:r>
                    <w:rPr>
                      <w:rFonts w:hint="eastAsia"/>
                      <w:sz w:val="21"/>
                      <w:szCs w:val="21"/>
                    </w:rPr>
                    <w:t xml:space="preserve">     </w:t>
                  </w:r>
                  <w:r>
                    <w:rPr>
                      <w:rFonts w:hint="eastAsia"/>
                      <w:sz w:val="21"/>
                      <w:szCs w:val="21"/>
                    </w:rPr>
                    <w:t>消毒于一体）</w:t>
                  </w:r>
                </w:p>
              </w:txbxContent>
            </v:textbox>
          </v:shape>
        </w:pict>
      </w:r>
      <w:r>
        <w:rPr>
          <w:noProof/>
          <w:spacing w:val="2"/>
          <w:sz w:val="24"/>
        </w:rPr>
        <w:pict>
          <v:line id="直线 1033" o:spid="_x0000_s3494" style="position:absolute;left:0;text-align:left;z-index:251684864" from="287pt,8.5pt" to="308pt,8.5pt" o:gfxdata="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WSLP79UA&#10;AAAJAQAADwAAAAAAAAABACAAAAAiAAAAZHJzL2Rvd25yZXYueG1sUEsBAhQAFAAAAAgAh07iQJnG&#10;eyB3AQAA3AIAAA4AAAAAAAAAAQAgAAAAJAEAAGRycy9lMm9Eb2MueG1sUEsFBgAAAAAGAAYAWQEA&#10;AA0FAAAAAA==&#10;" stroked="f"/>
        </w:pict>
      </w:r>
    </w:p>
    <w:p w:rsidR="00240BCE" w:rsidRDefault="00B95226">
      <w:pPr>
        <w:spacing w:line="520" w:lineRule="exact"/>
        <w:rPr>
          <w:spacing w:val="2"/>
          <w:sz w:val="24"/>
        </w:rPr>
      </w:pPr>
      <w:r>
        <w:rPr>
          <w:noProof/>
          <w:spacing w:val="2"/>
          <w:sz w:val="24"/>
        </w:rPr>
        <w:pict>
          <v:line id="直线 1034" o:spid="_x0000_s3493" style="position:absolute;left:0;text-align:left;z-index:251685888" from="290.35pt,15.25pt" to="311.35pt,15.25pt" o:gfxdata="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hHkgdgAAAAJAQAADwAAAAAAAAAB&#10;ACAAAAAiAAAAZHJzL2Rvd25yZXYueG1sUEsBAhQAFAAAAAgAh07iQG/VwSTXAQAAlQMAAA4AAAAA&#10;AAAAAQAgAAAAJwEAAGRycy9lMm9Eb2MueG1sUEsFBgAAAAAGAAYAWQEAAHAFAAAAAA==&#10;">
            <v:stroke endarrow="block"/>
          </v:line>
        </w:pict>
      </w:r>
      <w:r>
        <w:rPr>
          <w:noProof/>
          <w:spacing w:val="2"/>
          <w:sz w:val="24"/>
        </w:rPr>
        <w:pict>
          <v:shape id="文本框 1038" o:spid="_x0000_s1099" type="#_x0000_t202" style="position:absolute;left:0;text-align:left;margin-left:371.95pt;margin-top:10.4pt;width:59.15pt;height:15.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" filled="f" stroked="f">
            <v:textbox inset="0,0,0,0">
              <w:txbxContent>
                <w:p w:rsidR="006D7D3F" w:rsidRDefault="006D7D3F">
                  <w:pPr>
                    <w:rPr>
                      <w:sz w:val="21"/>
                      <w:szCs w:val="21"/>
                    </w:rPr>
                  </w:pPr>
                  <w:r>
                    <w:rPr>
                      <w:rFonts w:hint="eastAsia"/>
                      <w:sz w:val="21"/>
                      <w:szCs w:val="21"/>
                    </w:rPr>
                    <w:t>综合利用</w:t>
                  </w:r>
                </w:p>
              </w:txbxContent>
            </v:textbox>
          </v:shape>
        </w:pict>
      </w:r>
      <w:r>
        <w:rPr>
          <w:noProof/>
          <w:spacing w:val="2"/>
          <w:sz w:val="24"/>
        </w:rPr>
        <w:pict>
          <v:line id="直线 1037" o:spid="_x0000_s3492" style="position:absolute;left:0;text-align:left;z-index:251688960" from="350.35pt,15.95pt" to="371.35pt,15.95pt" o:gfxdata="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gxF/vYAAAACQEAAA8AAAAAAAAAAQAg&#10;AAAAIgAAAGRycy9kb3ducmV2LnhtbFBLAQIUABQAAAAIAIdO4kCpzRoe1QEAAJUDAAAOAAAAAAAA&#10;AAEAIAAAACcBAABkcnMvZTJvRG9jLnhtbFBLBQYAAAAABgAGAFkBAABuBQAAAAA=&#10;">
            <v:stroke endarrow="block"/>
          </v:line>
        </w:pict>
      </w:r>
      <w:r>
        <w:rPr>
          <w:noProof/>
          <w:spacing w:val="2"/>
          <w:sz w:val="24"/>
        </w:rPr>
        <w:pict>
          <v:line id="直线 1036" o:spid="_x0000_s3491" style="position:absolute;left:0;text-align:left;z-index:251687936" from="357pt,20.6pt" to="392pt,20.6pt" o:gfxdata="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" stroked="f"/>
        </w:pict>
      </w:r>
      <w:r>
        <w:rPr>
          <w:noProof/>
          <w:spacing w:val="2"/>
          <w:sz w:val="24"/>
        </w:rPr>
        <w:pict>
          <v:line id="直线 1031" o:spid="_x0000_s3490" style="position:absolute;left:0;text-align:left;z-index:251682816" from="203.1pt,16.45pt" to="224.1pt,16.45pt" o:gfxdata="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zPeIN2QAAAAkBAAAPAAAAAAAAAAEA&#10;IAAAACIAAABkcnMvZG93bnJldi54bWxQSwECFAAUAAAACACHTuJAkgpButUBAACVAwAADgAAAAAA&#10;AAABACAAAAAoAQAAZHJzL2Uyb0RvYy54bWxQSwUGAAAAAAYABgBZAQAAbwUAAAAA&#10;">
            <v:stroke endarrow="block"/>
          </v:line>
        </w:pict>
      </w:r>
      <w:r>
        <w:rPr>
          <w:noProof/>
          <w:spacing w:val="2"/>
          <w:sz w:val="24"/>
        </w:rPr>
        <w:pict>
          <v:shape id="文本框 1030" o:spid="_x0000_s1100" type="#_x0000_t202" style="position:absolute;left:0;text-align:left;margin-left:161pt;margin-top:8.5pt;width:49pt;height:19.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" filled="f" stroked="f">
            <v:textbox inset="0,.3mm,0,.3mm">
              <w:txbxContent>
                <w:p w:rsidR="006D7D3F" w:rsidRDefault="006D7D3F">
                  <w:pPr>
                    <w:rPr>
                      <w:szCs w:val="21"/>
                    </w:rPr>
                  </w:pPr>
                  <w:r>
                    <w:rPr>
                      <w:rFonts w:hint="eastAsia"/>
                      <w:sz w:val="21"/>
                      <w:szCs w:val="21"/>
                    </w:rPr>
                    <w:t>进水泵房</w:t>
                  </w:r>
                </w:p>
              </w:txbxContent>
            </v:textbox>
          </v:shape>
        </w:pict>
      </w:r>
      <w:r>
        <w:rPr>
          <w:noProof/>
          <w:spacing w:val="2"/>
          <w:sz w:val="24"/>
        </w:rPr>
        <w:pict>
          <v:line id="直线 1029" o:spid="_x0000_s3489" style="position:absolute;left:0;text-align:left;z-index:251680768" from="141.6pt,17.2pt" to="162.6pt,17.2pt" o:gfxdata="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74WyXdkAAAAJAQAADwAAAAAAAAAB&#10;ACAAAAAiAAAAZHJzL2Rvd25yZXYueG1sUEsBAhQAFAAAAAgAh07iQIDL7GjWAQAAlQMAAA4AAAAA&#10;AAAAAQAgAAAAKAEAAGRycy9lMm9Eb2MueG1sUEsFBgAAAAAGAAYAWQEAAHAFAAAAAA==&#10;">
            <v:stroke endarrow="block"/>
          </v:line>
        </w:pict>
      </w:r>
      <w:r>
        <w:rPr>
          <w:noProof/>
          <w:spacing w:val="2"/>
          <w:sz w:val="24"/>
        </w:rPr>
        <w:pict>
          <v:shape id="文本框 1028" o:spid="_x0000_s1101" type="#_x0000_t202" style="position:absolute;left:0;text-align:left;margin-left:98pt;margin-top:8.5pt;width:49pt;height:19.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" filled="f" stroked="f">
            <v:textbox inset="0,.3mm,0,.3mm">
              <w:txbxContent>
                <w:p w:rsidR="006D7D3F" w:rsidRDefault="006D7D3F">
                  <w:pPr>
                    <w:rPr>
                      <w:szCs w:val="21"/>
                    </w:rPr>
                  </w:pPr>
                  <w:r>
                    <w:rPr>
                      <w:rFonts w:hint="eastAsia"/>
                      <w:sz w:val="21"/>
                      <w:szCs w:val="21"/>
                    </w:rPr>
                    <w:t>调节水池</w:t>
                  </w:r>
                </w:p>
              </w:txbxContent>
            </v:textbox>
          </v:shape>
        </w:pict>
      </w:r>
      <w:r>
        <w:rPr>
          <w:noProof/>
          <w:spacing w:val="2"/>
          <w:sz w:val="24"/>
        </w:rPr>
        <w:pict>
          <v:line id="直线 1027" o:spid="_x0000_s3488" style="position:absolute;left:0;text-align:left;z-index:251678720" from="77.1pt,17.95pt" to="98.1pt,17.95pt" o:gfxdata="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RgP5X2AAAAAkBAAAPAAAAAAAAAAEA&#10;IAAAACIAAABkcnMvZG93bnJldi54bWxQSwECFAAUAAAACACHTuJArwJMgtYBAACVAwAADgAAAAAA&#10;AAABACAAAAAnAQAAZHJzL2Uyb0RvYy54bWxQSwUGAAAAAAYABgBZAQAAbwUAAAAA&#10;">
            <v:stroke endarrow="block"/>
          </v:line>
        </w:pict>
      </w:r>
      <w:r>
        <w:rPr>
          <w:noProof/>
          <w:spacing w:val="2"/>
          <w:sz w:val="24"/>
        </w:rPr>
        <w:pict>
          <v:shape id="文本框 1026" o:spid="_x0000_s1102" type="#_x0000_t202" style="position:absolute;left:0;text-align:left;margin-left:56pt;margin-top:8.5pt;width:28pt;height:19.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" filled="f" stroked="f">
            <v:textbox inset="0,.3mm,0,.3mm">
              <w:txbxContent>
                <w:p w:rsidR="006D7D3F" w:rsidRDefault="006D7D3F">
                  <w:pPr>
                    <w:rPr>
                      <w:sz w:val="21"/>
                      <w:szCs w:val="21"/>
                    </w:rPr>
                  </w:pPr>
                  <w:r>
                    <w:rPr>
                      <w:rFonts w:hint="eastAsia"/>
                      <w:sz w:val="21"/>
                      <w:szCs w:val="21"/>
                    </w:rPr>
                    <w:t>格栅</w:t>
                  </w:r>
                </w:p>
              </w:txbxContent>
            </v:textbox>
          </v:shape>
        </w:pict>
      </w:r>
      <w:r>
        <w:rPr>
          <w:noProof/>
          <w:spacing w:val="2"/>
          <w:sz w:val="24"/>
        </w:rPr>
        <w:pict>
          <v:line id="直线 1025" o:spid="_x0000_s3487" style="position:absolute;left:0;text-align:left;z-index:251676672" from="33.6pt,16.3pt" to="54.6pt,16.3pt" o:gfxdata="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86YotcAAAAIAQAADwAAAAAAAAABACAA&#10;AAAiAAAAZHJzL2Rvd25yZXYueG1sUEsBAhQAFAAAAAgAh07iQCdd3z3VAQAAlQMAAA4AAAAAAAAA&#10;AQAgAAAAJgEAAGRycy9lMm9Eb2MueG1sUEsFBgAAAAAGAAYAWQEAAG0FAAAAAA==&#10;">
            <v:stroke endarrow="block"/>
          </v:line>
        </w:pict>
      </w:r>
      <w:r>
        <w:rPr>
          <w:noProof/>
          <w:spacing w:val="2"/>
          <w:sz w:val="24"/>
        </w:rPr>
        <w:pict>
          <v:shape id="文本框 1024" o:spid="_x0000_s1103" type="#_x0000_t202" style="position:absolute;left:0;text-align:left;margin-left:0;margin-top:8.5pt;width:35pt;height:19.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" filled="f" stroked="f">
            <v:textbox inset="0,.3mm,0,.3mm">
              <w:txbxContent>
                <w:p w:rsidR="006D7D3F" w:rsidRDefault="006D7D3F">
                  <w:pPr>
                    <w:rPr>
                      <w:szCs w:val="21"/>
                    </w:rPr>
                  </w:pPr>
                  <w:r>
                    <w:rPr>
                      <w:rFonts w:hint="eastAsia"/>
                      <w:sz w:val="21"/>
                      <w:szCs w:val="21"/>
                    </w:rPr>
                    <w:t>废污水</w:t>
                  </w:r>
                </w:p>
              </w:txbxContent>
            </v:textbox>
          </v:shape>
        </w:pict>
      </w:r>
    </w:p>
    <w:p w:rsidR="00240BCE" w:rsidRDefault="00B95226" w:rsidP="00DB51A2">
      <w:pPr>
        <w:spacing w:line="520" w:lineRule="exact"/>
        <w:ind w:firstLineChars="282" w:firstLine="677"/>
        <w:jc w:val="center"/>
        <w:rPr>
          <w:rFonts w:eastAsia="黑体"/>
          <w:spacing w:val="2"/>
          <w:sz w:val="24"/>
        </w:rPr>
      </w:pPr>
      <w:r w:rsidRPr="00B95226">
        <w:rPr>
          <w:noProof/>
          <w:spacing w:val="2"/>
          <w:sz w:val="24"/>
        </w:rPr>
        <w:pict>
          <v:line id="直线 1035" o:spid="_x0000_s3486" style="position:absolute;left:0;text-align:left;z-index:251686912" from="236.95pt,2.85pt" to="257.95pt,2.85pt" o:gfxdata="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cLxr7WAAAABwEAAA8AAAAAAAAAAQAg&#10;AAAAIgAAAGRycy9kb3ducmV2LnhtbFBLAQIUABQAAAAIAIdO4kAhkomh1wEAAJUDAAAOAAAAAAAA&#10;AAEAIAAAACUBAABkcnMvZTJvRG9jLnhtbFBLBQYAAAAABgAGAFkBAABuBQAAAAA=&#10;">
            <v:stroke endarrow="block"/>
          </v:line>
        </w:pict>
      </w:r>
      <w:r w:rsidR="00AC0334">
        <w:rPr>
          <w:spacing w:val="2"/>
          <w:sz w:val="24"/>
        </w:rPr>
        <w:cr/>
        <w:t xml:space="preserve">   </w:t>
      </w:r>
      <w:r w:rsidR="00AC0334">
        <w:rPr>
          <w:rFonts w:eastAsia="黑体"/>
          <w:spacing w:val="2"/>
          <w:sz w:val="24"/>
        </w:rPr>
        <w:t>图</w:t>
      </w:r>
      <w:r w:rsidR="00AC0334">
        <w:rPr>
          <w:rFonts w:eastAsia="黑体"/>
          <w:spacing w:val="2"/>
          <w:sz w:val="24"/>
        </w:rPr>
        <w:t xml:space="preserve">7.3-2 </w:t>
      </w:r>
      <w:r w:rsidR="00AC0334">
        <w:rPr>
          <w:rFonts w:eastAsia="黑体"/>
          <w:spacing w:val="2"/>
          <w:sz w:val="24"/>
        </w:rPr>
        <w:t>工业场地生产、生活废污水处理流程图</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工业场地生产、生活污废水处理情况见表</w:t>
      </w:r>
      <w:r>
        <w:rPr>
          <w:rFonts w:ascii="Times New Roman" w:hAnsi="Times New Roman"/>
          <w:sz w:val="24"/>
          <w:szCs w:val="24"/>
        </w:rPr>
        <w:t>7.3-2</w:t>
      </w:r>
      <w:r>
        <w:rPr>
          <w:rFonts w:ascii="Times New Roman" w:hAnsi="Times New Roman"/>
          <w:sz w:val="24"/>
          <w:szCs w:val="24"/>
        </w:rPr>
        <w:t>。</w:t>
      </w:r>
    </w:p>
    <w:p w:rsidR="00240BCE" w:rsidRDefault="00AC0334">
      <w:pPr>
        <w:pStyle w:val="ae"/>
        <w:spacing w:line="360" w:lineRule="exact"/>
        <w:jc w:val="center"/>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 xml:space="preserve">7.3-2   </w:t>
      </w:r>
      <w:r>
        <w:rPr>
          <w:rFonts w:ascii="Times New Roman" w:eastAsia="黑体" w:hAnsi="Times New Roman"/>
          <w:sz w:val="24"/>
          <w:szCs w:val="24"/>
        </w:rPr>
        <w:t>工业场地生产、生活污废水处理出水水质</w:t>
      </w:r>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tblPr>
      <w:tblGrid>
        <w:gridCol w:w="2490"/>
        <w:gridCol w:w="1614"/>
        <w:gridCol w:w="1614"/>
        <w:gridCol w:w="1614"/>
        <w:gridCol w:w="1614"/>
      </w:tblGrid>
      <w:tr w:rsidR="00240BCE">
        <w:trPr>
          <w:jc w:val="center"/>
        </w:trPr>
        <w:tc>
          <w:tcPr>
            <w:tcW w:w="139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指标</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COD</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vertAlign w:val="subscript"/>
              </w:rPr>
            </w:pPr>
            <w:r>
              <w:rPr>
                <w:rFonts w:ascii="Times New Roman" w:hAnsi="Times New Roman"/>
                <w:sz w:val="21"/>
                <w:szCs w:val="21"/>
              </w:rPr>
              <w:t>BOD</w:t>
            </w:r>
            <w:r>
              <w:rPr>
                <w:rFonts w:ascii="Times New Roman" w:hAnsi="Times New Roman"/>
                <w:sz w:val="21"/>
                <w:szCs w:val="21"/>
                <w:vertAlign w:val="subscript"/>
              </w:rPr>
              <w:t>5</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SS</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氨氮</w:t>
            </w:r>
          </w:p>
        </w:tc>
      </w:tr>
      <w:tr w:rsidR="00240BCE">
        <w:trPr>
          <w:jc w:val="center"/>
        </w:trPr>
        <w:tc>
          <w:tcPr>
            <w:tcW w:w="139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处理前</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59.5</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18</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76.6</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15.1</w:t>
            </w:r>
          </w:p>
        </w:tc>
      </w:tr>
      <w:tr w:rsidR="00240BCE">
        <w:trPr>
          <w:jc w:val="center"/>
        </w:trPr>
        <w:tc>
          <w:tcPr>
            <w:tcW w:w="139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处理后</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24.5</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7.3</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24.6</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4.12</w:t>
            </w:r>
          </w:p>
        </w:tc>
      </w:tr>
      <w:tr w:rsidR="00240BCE">
        <w:trPr>
          <w:jc w:val="center"/>
        </w:trPr>
        <w:tc>
          <w:tcPr>
            <w:tcW w:w="139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去除率</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58.8</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59.4</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67.9</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72.7</w:t>
            </w:r>
          </w:p>
        </w:tc>
      </w:tr>
      <w:tr w:rsidR="00240BCE">
        <w:trPr>
          <w:jc w:val="center"/>
        </w:trPr>
        <w:tc>
          <w:tcPr>
            <w:tcW w:w="139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GB8978-1996</w:t>
            </w:r>
            <w:r>
              <w:rPr>
                <w:rFonts w:ascii="Times New Roman" w:hAnsi="Times New Roman"/>
                <w:sz w:val="21"/>
                <w:szCs w:val="21"/>
              </w:rPr>
              <w:t>《污水综合排放标准》表</w:t>
            </w:r>
            <w:r>
              <w:rPr>
                <w:rFonts w:ascii="Times New Roman" w:hAnsi="Times New Roman"/>
                <w:sz w:val="21"/>
                <w:szCs w:val="21"/>
              </w:rPr>
              <w:t>4</w:t>
            </w:r>
            <w:r>
              <w:rPr>
                <w:rFonts w:ascii="Times New Roman" w:hAnsi="Times New Roman"/>
                <w:sz w:val="21"/>
                <w:szCs w:val="21"/>
              </w:rPr>
              <w:t>一级标准</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≤100</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≤20</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≤70</w:t>
            </w:r>
          </w:p>
        </w:tc>
        <w:tc>
          <w:tcPr>
            <w:tcW w:w="902" w:type="pct"/>
            <w:tcBorders>
              <w:tl2br w:val="nil"/>
              <w:tr2bl w:val="nil"/>
            </w:tcBorders>
            <w:vAlign w:val="center"/>
          </w:tcPr>
          <w:p w:rsidR="00240BCE" w:rsidRDefault="00AC0334">
            <w:pPr>
              <w:pStyle w:val="ae"/>
              <w:spacing w:line="360" w:lineRule="exact"/>
              <w:jc w:val="center"/>
              <w:rPr>
                <w:rFonts w:ascii="Times New Roman" w:hAnsi="Times New Roman"/>
                <w:sz w:val="21"/>
                <w:szCs w:val="21"/>
              </w:rPr>
            </w:pPr>
            <w:r>
              <w:rPr>
                <w:rFonts w:ascii="Times New Roman" w:hAnsi="Times New Roman"/>
                <w:sz w:val="21"/>
                <w:szCs w:val="21"/>
              </w:rPr>
              <w:t>≤15</w:t>
            </w:r>
          </w:p>
        </w:tc>
      </w:tr>
    </w:tbl>
    <w:p w:rsidR="00240BCE" w:rsidRPr="00B56224" w:rsidRDefault="00AC0334" w:rsidP="00B56224">
      <w:pPr>
        <w:pStyle w:val="ae"/>
        <w:spacing w:line="520" w:lineRule="exact"/>
        <w:ind w:firstLineChars="200" w:firstLine="482"/>
        <w:rPr>
          <w:rFonts w:ascii="Times New Roman" w:hAnsi="Times New Roman"/>
          <w:b/>
          <w:i/>
          <w:sz w:val="24"/>
          <w:szCs w:val="24"/>
          <w:u w:val="single"/>
        </w:rPr>
      </w:pPr>
      <w:r w:rsidRPr="00B56224">
        <w:rPr>
          <w:rFonts w:ascii="Times New Roman" w:hAnsi="Times New Roman"/>
          <w:b/>
          <w:i/>
          <w:sz w:val="24"/>
          <w:szCs w:val="24"/>
          <w:u w:val="single"/>
        </w:rPr>
        <w:lastRenderedPageBreak/>
        <w:t>由表</w:t>
      </w:r>
      <w:r w:rsidRPr="00B56224">
        <w:rPr>
          <w:rFonts w:ascii="Times New Roman" w:hAnsi="Times New Roman"/>
          <w:b/>
          <w:i/>
          <w:sz w:val="24"/>
          <w:szCs w:val="24"/>
          <w:u w:val="single"/>
        </w:rPr>
        <w:t>7.3-2</w:t>
      </w:r>
      <w:r w:rsidRPr="00B56224">
        <w:rPr>
          <w:rFonts w:ascii="Times New Roman" w:hAnsi="Times New Roman"/>
          <w:b/>
          <w:i/>
          <w:sz w:val="24"/>
          <w:szCs w:val="24"/>
          <w:u w:val="single"/>
        </w:rPr>
        <w:t>可以看出，工业场地生产、生活废污水经处理后，各指标均满足</w:t>
      </w:r>
      <w:r w:rsidRPr="00B56224">
        <w:rPr>
          <w:rFonts w:ascii="Times New Roman" w:hAnsi="Times New Roman"/>
          <w:b/>
          <w:i/>
          <w:sz w:val="24"/>
          <w:u w:val="single"/>
        </w:rPr>
        <w:t>《污水综合排放标准》（</w:t>
      </w:r>
      <w:r w:rsidRPr="00B56224">
        <w:rPr>
          <w:rFonts w:ascii="Times New Roman" w:hAnsi="Times New Roman"/>
          <w:b/>
          <w:i/>
          <w:sz w:val="24"/>
          <w:u w:val="single"/>
        </w:rPr>
        <w:t>GB8978-1996</w:t>
      </w:r>
      <w:r w:rsidRPr="00B56224">
        <w:rPr>
          <w:rFonts w:ascii="Times New Roman" w:hAnsi="Times New Roman"/>
          <w:b/>
          <w:i/>
          <w:sz w:val="24"/>
          <w:u w:val="single"/>
        </w:rPr>
        <w:t>）表</w:t>
      </w:r>
      <w:r w:rsidRPr="00B56224">
        <w:rPr>
          <w:rFonts w:ascii="Times New Roman" w:hAnsi="Times New Roman"/>
          <w:b/>
          <w:i/>
          <w:sz w:val="24"/>
          <w:u w:val="single"/>
        </w:rPr>
        <w:t>4</w:t>
      </w:r>
      <w:r w:rsidRPr="00B56224">
        <w:rPr>
          <w:rFonts w:ascii="Times New Roman" w:hAnsi="Times New Roman"/>
          <w:b/>
          <w:i/>
          <w:sz w:val="24"/>
          <w:u w:val="single"/>
        </w:rPr>
        <w:t>一级</w:t>
      </w:r>
      <w:r w:rsidRPr="00B56224">
        <w:rPr>
          <w:rFonts w:ascii="Times New Roman" w:hAnsi="Times New Roman"/>
          <w:b/>
          <w:i/>
          <w:sz w:val="24"/>
          <w:szCs w:val="24"/>
          <w:u w:val="single"/>
        </w:rPr>
        <w:t>标准，其处理深度和工艺合理可行。</w:t>
      </w:r>
    </w:p>
    <w:p w:rsidR="00240BCE" w:rsidRDefault="00AC0334">
      <w:pPr>
        <w:pStyle w:val="ae"/>
        <w:spacing w:line="520" w:lineRule="exact"/>
        <w:rPr>
          <w:rFonts w:ascii="Times New Roman" w:hAnsi="Times New Roman"/>
          <w:sz w:val="24"/>
          <w:szCs w:val="24"/>
        </w:rPr>
      </w:pPr>
      <w:r w:rsidRPr="00B56224">
        <w:rPr>
          <w:rFonts w:ascii="Times New Roman" w:hAnsi="Times New Roman"/>
          <w:b/>
          <w:i/>
          <w:sz w:val="24"/>
          <w:szCs w:val="24"/>
          <w:u w:val="single"/>
        </w:rPr>
        <w:t>7.3.2.3</w:t>
      </w:r>
      <w:bookmarkStart w:id="817" w:name="_Toc158525014"/>
      <w:bookmarkStart w:id="818" w:name="_Toc154205554"/>
      <w:r w:rsidRPr="00B56224">
        <w:rPr>
          <w:rFonts w:ascii="Times New Roman" w:hAnsi="Times New Roman"/>
          <w:b/>
          <w:i/>
          <w:sz w:val="24"/>
          <w:szCs w:val="24"/>
          <w:u w:val="single"/>
        </w:rPr>
        <w:t>矿井水综合利用可行性分析</w:t>
      </w:r>
      <w:bookmarkEnd w:id="817"/>
      <w:bookmarkEnd w:id="818"/>
    </w:p>
    <w:p w:rsidR="00240BCE" w:rsidRDefault="00AC0334">
      <w:pPr>
        <w:autoSpaceDE w:val="0"/>
        <w:autoSpaceDN w:val="0"/>
        <w:adjustRightInd w:val="0"/>
        <w:spacing w:line="520" w:lineRule="exact"/>
        <w:ind w:firstLineChars="200" w:firstLine="480"/>
        <w:rPr>
          <w:color w:val="000000"/>
          <w:sz w:val="24"/>
        </w:rPr>
      </w:pPr>
      <w:r>
        <w:rPr>
          <w:color w:val="000000"/>
          <w:sz w:val="24"/>
        </w:rPr>
        <w:t>根据</w:t>
      </w:r>
      <w:r>
        <w:rPr>
          <w:color w:val="000000"/>
          <w:sz w:val="24"/>
        </w:rPr>
        <w:t>2015</w:t>
      </w:r>
      <w:r>
        <w:rPr>
          <w:color w:val="000000"/>
          <w:sz w:val="24"/>
        </w:rPr>
        <w:t>年</w:t>
      </w:r>
      <w:r>
        <w:rPr>
          <w:color w:val="000000"/>
          <w:sz w:val="24"/>
        </w:rPr>
        <w:t>4</w:t>
      </w:r>
      <w:r>
        <w:rPr>
          <w:color w:val="000000"/>
          <w:sz w:val="24"/>
        </w:rPr>
        <w:t>月</w:t>
      </w:r>
      <w:r>
        <w:rPr>
          <w:color w:val="000000"/>
          <w:sz w:val="24"/>
        </w:rPr>
        <w:t>2</w:t>
      </w:r>
      <w:r>
        <w:rPr>
          <w:color w:val="000000"/>
          <w:sz w:val="24"/>
        </w:rPr>
        <w:t>日国务院下发的关于印发水污染防治行动计划的通知（国发</w:t>
      </w:r>
      <w:r>
        <w:rPr>
          <w:color w:val="000000"/>
          <w:sz w:val="24"/>
        </w:rPr>
        <w:t>[2015]17</w:t>
      </w:r>
      <w:r>
        <w:rPr>
          <w:color w:val="000000"/>
          <w:sz w:val="24"/>
        </w:rPr>
        <w:t>号）的要求，其中第二条第七款规定：</w:t>
      </w:r>
      <w:r>
        <w:rPr>
          <w:color w:val="000000"/>
          <w:sz w:val="24"/>
        </w:rPr>
        <w:t>“</w:t>
      </w:r>
      <w:r>
        <w:rPr>
          <w:color w:val="000000"/>
          <w:sz w:val="24"/>
        </w:rPr>
        <w:t>推进循环发展。加强工业水循环利用。推进矿井水综合利用，煤炭矿区的补充用水、周边地区生产和生态用水应优先使用矿井水，加强洗煤废水循环利用</w:t>
      </w:r>
      <w:r>
        <w:rPr>
          <w:color w:val="000000"/>
          <w:sz w:val="24"/>
        </w:rPr>
        <w:t>”</w:t>
      </w:r>
      <w:r>
        <w:rPr>
          <w:color w:val="000000"/>
          <w:sz w:val="24"/>
        </w:rPr>
        <w:t>。</w:t>
      </w:r>
    </w:p>
    <w:p w:rsidR="0073390E" w:rsidRDefault="00AC0334" w:rsidP="0073390E">
      <w:pPr>
        <w:pStyle w:val="ae"/>
        <w:spacing w:line="520" w:lineRule="exact"/>
        <w:ind w:firstLineChars="200" w:firstLine="480"/>
        <w:rPr>
          <w:sz w:val="24"/>
        </w:rPr>
      </w:pPr>
      <w:r>
        <w:rPr>
          <w:rFonts w:ascii="Times New Roman" w:hAnsi="Times New Roman"/>
          <w:sz w:val="24"/>
          <w:szCs w:val="24"/>
        </w:rPr>
        <w:t>根据</w:t>
      </w:r>
      <w:r>
        <w:rPr>
          <w:rFonts w:ascii="Times New Roman" w:hAnsi="Times New Roman"/>
          <w:color w:val="000000"/>
          <w:sz w:val="24"/>
        </w:rPr>
        <w:t>国发</w:t>
      </w:r>
      <w:r>
        <w:rPr>
          <w:rFonts w:ascii="Times New Roman" w:hAnsi="Times New Roman"/>
          <w:color w:val="000000"/>
          <w:sz w:val="24"/>
        </w:rPr>
        <w:t>[2015]17</w:t>
      </w:r>
      <w:r>
        <w:rPr>
          <w:rFonts w:ascii="Times New Roman" w:hAnsi="Times New Roman"/>
          <w:color w:val="000000"/>
          <w:sz w:val="24"/>
        </w:rPr>
        <w:t>号及</w:t>
      </w:r>
      <w:r>
        <w:rPr>
          <w:rFonts w:ascii="Times New Roman" w:hAnsi="Times New Roman"/>
          <w:kern w:val="0"/>
          <w:sz w:val="24"/>
        </w:rPr>
        <w:t>国家环保总局环办【</w:t>
      </w:r>
      <w:r>
        <w:rPr>
          <w:rFonts w:ascii="Times New Roman" w:hAnsi="Times New Roman"/>
          <w:kern w:val="0"/>
          <w:sz w:val="24"/>
        </w:rPr>
        <w:t>2006</w:t>
      </w:r>
      <w:r>
        <w:rPr>
          <w:rFonts w:ascii="Times New Roman" w:hAnsi="Times New Roman"/>
          <w:kern w:val="0"/>
          <w:sz w:val="24"/>
        </w:rPr>
        <w:t>】</w:t>
      </w:r>
      <w:r>
        <w:rPr>
          <w:rFonts w:ascii="Times New Roman" w:hAnsi="Times New Roman"/>
          <w:kern w:val="0"/>
          <w:sz w:val="24"/>
        </w:rPr>
        <w:t>129</w:t>
      </w:r>
      <w:r>
        <w:rPr>
          <w:rFonts w:ascii="Times New Roman" w:hAnsi="Times New Roman"/>
          <w:kern w:val="0"/>
          <w:sz w:val="24"/>
        </w:rPr>
        <w:t>号文</w:t>
      </w:r>
      <w:r>
        <w:rPr>
          <w:rFonts w:ascii="Times New Roman" w:hAnsi="Times New Roman"/>
          <w:kern w:val="0"/>
          <w:sz w:val="24"/>
          <w:szCs w:val="24"/>
        </w:rPr>
        <w:t>通知要求，为更好的落实煤矿矿井排水水资源综合利用指标的要求（利用率</w:t>
      </w:r>
      <w:r>
        <w:rPr>
          <w:rFonts w:ascii="Times New Roman" w:hAnsi="Times New Roman"/>
          <w:kern w:val="0"/>
          <w:sz w:val="24"/>
          <w:szCs w:val="24"/>
        </w:rPr>
        <w:t>70%</w:t>
      </w:r>
      <w:r>
        <w:rPr>
          <w:rFonts w:ascii="Times New Roman" w:hAnsi="Times New Roman"/>
          <w:kern w:val="0"/>
          <w:sz w:val="24"/>
          <w:szCs w:val="24"/>
        </w:rPr>
        <w:t>），评价要求</w:t>
      </w:r>
      <w:r>
        <w:rPr>
          <w:rFonts w:ascii="Times New Roman" w:hAnsi="Times New Roman"/>
          <w:sz w:val="24"/>
          <w:szCs w:val="24"/>
        </w:rPr>
        <w:t>矿井水经地面处理系统处理后，</w:t>
      </w:r>
      <w:r w:rsidR="0073390E">
        <w:rPr>
          <w:rFonts w:hint="eastAsia"/>
          <w:spacing w:val="2"/>
          <w:sz w:val="24"/>
        </w:rPr>
        <w:t>处理达标后的矿井水</w:t>
      </w:r>
      <w:r w:rsidR="0073390E">
        <w:rPr>
          <w:spacing w:val="2"/>
          <w:sz w:val="24"/>
        </w:rPr>
        <w:t>部分（</w:t>
      </w:r>
      <w:r w:rsidR="002D1343">
        <w:rPr>
          <w:rFonts w:hint="eastAsia"/>
          <w:spacing w:val="2"/>
          <w:sz w:val="24"/>
        </w:rPr>
        <w:t>472.1</w:t>
      </w:r>
      <w:r w:rsidR="0073390E">
        <w:rPr>
          <w:spacing w:val="2"/>
          <w:sz w:val="24"/>
        </w:rPr>
        <w:t>m</w:t>
      </w:r>
      <w:r w:rsidR="0073390E">
        <w:rPr>
          <w:spacing w:val="2"/>
          <w:sz w:val="24"/>
          <w:vertAlign w:val="superscript"/>
        </w:rPr>
        <w:t>3</w:t>
      </w:r>
      <w:r w:rsidR="0073390E">
        <w:rPr>
          <w:spacing w:val="2"/>
          <w:sz w:val="24"/>
        </w:rPr>
        <w:t>/d）回用于井下洒水、</w:t>
      </w:r>
      <w:r w:rsidR="00802A62">
        <w:rPr>
          <w:spacing w:val="2"/>
          <w:sz w:val="24"/>
        </w:rPr>
        <w:t>储煤库</w:t>
      </w:r>
      <w:r w:rsidR="0073390E">
        <w:rPr>
          <w:spacing w:val="2"/>
          <w:sz w:val="24"/>
        </w:rPr>
        <w:t>洒水、空压机补充水、</w:t>
      </w:r>
      <w:r w:rsidR="0073390E">
        <w:rPr>
          <w:rFonts w:hint="eastAsia"/>
          <w:spacing w:val="2"/>
          <w:sz w:val="24"/>
        </w:rPr>
        <w:t>车辆冲洗补充水</w:t>
      </w:r>
      <w:r w:rsidR="0073390E">
        <w:rPr>
          <w:spacing w:val="2"/>
          <w:sz w:val="24"/>
        </w:rPr>
        <w:t>等生产用水，剩余</w:t>
      </w:r>
      <w:r w:rsidR="0073390E" w:rsidRPr="00540190">
        <w:rPr>
          <w:rFonts w:hint="eastAsia"/>
          <w:sz w:val="24"/>
          <w:szCs w:val="24"/>
        </w:rPr>
        <w:t>不能充分利用</w:t>
      </w:r>
      <w:r w:rsidR="0073390E">
        <w:rPr>
          <w:spacing w:val="2"/>
          <w:sz w:val="24"/>
        </w:rPr>
        <w:t>（4</w:t>
      </w:r>
      <w:r w:rsidR="002D1343">
        <w:rPr>
          <w:rFonts w:hint="eastAsia"/>
          <w:spacing w:val="2"/>
          <w:sz w:val="24"/>
        </w:rPr>
        <w:t>183.9</w:t>
      </w:r>
      <w:r w:rsidR="0073390E">
        <w:rPr>
          <w:spacing w:val="2"/>
          <w:sz w:val="24"/>
        </w:rPr>
        <w:t>m</w:t>
      </w:r>
      <w:r w:rsidR="0073390E">
        <w:rPr>
          <w:spacing w:val="2"/>
          <w:sz w:val="24"/>
          <w:vertAlign w:val="superscript"/>
        </w:rPr>
        <w:t>3</w:t>
      </w:r>
      <w:r w:rsidR="0073390E">
        <w:rPr>
          <w:spacing w:val="2"/>
          <w:sz w:val="24"/>
        </w:rPr>
        <w:t>/d）</w:t>
      </w:r>
      <w:r w:rsidR="0073390E" w:rsidRPr="00540190">
        <w:rPr>
          <w:rFonts w:hint="eastAsia"/>
          <w:sz w:val="24"/>
          <w:szCs w:val="24"/>
        </w:rPr>
        <w:t>满足《煤炭工业污染物排放标准》（</w:t>
      </w:r>
      <w:r w:rsidR="0073390E" w:rsidRPr="00540190">
        <w:rPr>
          <w:sz w:val="24"/>
          <w:szCs w:val="24"/>
        </w:rPr>
        <w:t>GB20426-2006</w:t>
      </w:r>
      <w:r w:rsidR="0073390E" w:rsidRPr="00540190">
        <w:rPr>
          <w:rFonts w:hint="eastAsia"/>
          <w:sz w:val="24"/>
          <w:szCs w:val="24"/>
        </w:rPr>
        <w:t>）表</w:t>
      </w:r>
      <w:r w:rsidR="0073390E" w:rsidRPr="00540190">
        <w:rPr>
          <w:sz w:val="24"/>
          <w:szCs w:val="24"/>
        </w:rPr>
        <w:t>1</w:t>
      </w:r>
      <w:r w:rsidR="0073390E" w:rsidRPr="00540190">
        <w:rPr>
          <w:rFonts w:hint="eastAsia"/>
          <w:sz w:val="24"/>
          <w:szCs w:val="24"/>
        </w:rPr>
        <w:t>，表</w:t>
      </w:r>
      <w:r w:rsidR="0073390E" w:rsidRPr="00540190">
        <w:rPr>
          <w:sz w:val="24"/>
          <w:szCs w:val="24"/>
        </w:rPr>
        <w:t>2</w:t>
      </w:r>
      <w:r w:rsidR="0073390E" w:rsidRPr="00540190">
        <w:rPr>
          <w:rFonts w:hint="eastAsia"/>
          <w:sz w:val="24"/>
          <w:szCs w:val="24"/>
        </w:rPr>
        <w:t>采煤废水排放限值并且满足</w:t>
      </w:r>
      <w:r w:rsidR="0073390E" w:rsidRPr="00540190">
        <w:rPr>
          <w:rFonts w:hAnsi="宋体" w:hint="eastAsia"/>
          <w:snapToGrid w:val="0"/>
          <w:sz w:val="24"/>
          <w:szCs w:val="24"/>
        </w:rPr>
        <w:t>《</w:t>
      </w:r>
      <w:r w:rsidR="0073390E" w:rsidRPr="00540190">
        <w:rPr>
          <w:rFonts w:hint="eastAsia"/>
          <w:sz w:val="24"/>
          <w:szCs w:val="24"/>
        </w:rPr>
        <w:t>地表水环境质量标准</w:t>
      </w:r>
      <w:r w:rsidR="0073390E" w:rsidRPr="00540190">
        <w:rPr>
          <w:rFonts w:hAnsi="宋体" w:hint="eastAsia"/>
          <w:snapToGrid w:val="0"/>
          <w:sz w:val="24"/>
          <w:szCs w:val="24"/>
        </w:rPr>
        <w:t>》</w:t>
      </w:r>
      <w:r w:rsidR="0073390E" w:rsidRPr="00540190">
        <w:rPr>
          <w:rFonts w:hint="eastAsia"/>
          <w:sz w:val="24"/>
          <w:szCs w:val="24"/>
        </w:rPr>
        <w:t>（</w:t>
      </w:r>
      <w:r w:rsidR="0073390E" w:rsidRPr="00540190">
        <w:rPr>
          <w:sz w:val="24"/>
          <w:szCs w:val="24"/>
        </w:rPr>
        <w:t>GB3838-2002</w:t>
      </w:r>
      <w:r w:rsidR="0073390E" w:rsidRPr="00540190">
        <w:rPr>
          <w:rFonts w:hint="eastAsia"/>
          <w:sz w:val="24"/>
          <w:szCs w:val="24"/>
        </w:rPr>
        <w:t>）Ⅲ类水质要求</w:t>
      </w:r>
      <w:r w:rsidR="0073390E" w:rsidRPr="00540190">
        <w:rPr>
          <w:rFonts w:hint="eastAsia"/>
          <w:sz w:val="24"/>
        </w:rPr>
        <w:t>后</w:t>
      </w:r>
      <w:r w:rsidR="0073390E" w:rsidRPr="00540190">
        <w:rPr>
          <w:rFonts w:hint="eastAsia"/>
          <w:sz w:val="24"/>
          <w:szCs w:val="24"/>
        </w:rPr>
        <w:t>外排</w:t>
      </w:r>
      <w:r w:rsidR="0073390E">
        <w:rPr>
          <w:sz w:val="24"/>
        </w:rPr>
        <w:t>至赵沟河、纸坊水库用于周边农田灌溉</w:t>
      </w:r>
      <w:r w:rsidR="0073390E">
        <w:rPr>
          <w:rFonts w:hint="eastAsia"/>
          <w:sz w:val="24"/>
        </w:rPr>
        <w:t>及生态补水</w:t>
      </w:r>
      <w:r w:rsidR="0073390E">
        <w:rPr>
          <w:sz w:val="24"/>
        </w:rPr>
        <w:t>。</w:t>
      </w:r>
    </w:p>
    <w:p w:rsidR="00240BCE" w:rsidRDefault="00AC0334" w:rsidP="0073390E">
      <w:pPr>
        <w:pStyle w:val="ae"/>
        <w:spacing w:line="520" w:lineRule="exact"/>
        <w:ind w:firstLineChars="200" w:firstLine="480"/>
        <w:rPr>
          <w:rFonts w:ascii="Times New Roman" w:hAnsi="Times New Roman"/>
          <w:sz w:val="24"/>
          <w:szCs w:val="24"/>
        </w:rPr>
      </w:pPr>
      <w:r>
        <w:rPr>
          <w:rFonts w:ascii="Times New Roman" w:hAnsi="Times New Roman"/>
          <w:sz w:val="24"/>
        </w:rPr>
        <w:t>赵沟河上有当地村委会拦挡修建的水塘及灌溉设施，纸坊水库最大坝高</w:t>
      </w:r>
      <w:r>
        <w:rPr>
          <w:rFonts w:ascii="Times New Roman" w:hAnsi="Times New Roman"/>
          <w:sz w:val="24"/>
        </w:rPr>
        <w:t>41.5m</w:t>
      </w:r>
      <w:r>
        <w:rPr>
          <w:rFonts w:ascii="Times New Roman" w:hAnsi="Times New Roman"/>
          <w:sz w:val="24"/>
        </w:rPr>
        <w:t>，总库容</w:t>
      </w:r>
      <w:r>
        <w:rPr>
          <w:rFonts w:ascii="Times New Roman" w:hAnsi="Times New Roman"/>
          <w:sz w:val="24"/>
        </w:rPr>
        <w:t>4425.5</w:t>
      </w:r>
      <w:r>
        <w:rPr>
          <w:rFonts w:ascii="Times New Roman" w:hAnsi="Times New Roman"/>
          <w:sz w:val="24"/>
        </w:rPr>
        <w:t>万</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，是一座以防洪、灌溉为主的中型水库，现状无水，</w:t>
      </w:r>
      <w:r>
        <w:rPr>
          <w:rFonts w:ascii="Times New Roman" w:hAnsi="Times New Roman" w:hint="eastAsia"/>
          <w:sz w:val="24"/>
        </w:rPr>
        <w:t>不考虑下渗及其它来水情况下，</w:t>
      </w:r>
      <w:r>
        <w:rPr>
          <w:rFonts w:ascii="Times New Roman" w:hAnsi="Times New Roman"/>
          <w:sz w:val="24"/>
        </w:rPr>
        <w:t>能容纳本项目</w:t>
      </w:r>
      <w:r>
        <w:rPr>
          <w:rFonts w:ascii="Times New Roman" w:hAnsi="Times New Roman"/>
          <w:sz w:val="24"/>
        </w:rPr>
        <w:t>26.6a</w:t>
      </w:r>
      <w:r>
        <w:rPr>
          <w:rFonts w:ascii="Times New Roman" w:hAnsi="Times New Roman"/>
          <w:sz w:val="24"/>
        </w:rPr>
        <w:t>的排水量，且纸坊水库配套有灌溉渠及灌溉设施</w:t>
      </w:r>
      <w:r w:rsidR="004301A0">
        <w:rPr>
          <w:rFonts w:ascii="Times New Roman" w:hAnsi="Times New Roman" w:hint="eastAsia"/>
          <w:sz w:val="24"/>
        </w:rPr>
        <w:t>，能保证</w:t>
      </w:r>
      <w:r w:rsidR="0073390E">
        <w:rPr>
          <w:rFonts w:ascii="Times New Roman" w:hAnsi="Times New Roman" w:hint="eastAsia"/>
          <w:sz w:val="24"/>
        </w:rPr>
        <w:t>外排矿井水</w:t>
      </w:r>
      <w:r w:rsidR="004301A0">
        <w:rPr>
          <w:rFonts w:ascii="Times New Roman" w:hAnsi="Times New Roman" w:hint="eastAsia"/>
          <w:sz w:val="24"/>
        </w:rPr>
        <w:t>综合利用</w:t>
      </w:r>
      <w:r w:rsidR="0073390E">
        <w:rPr>
          <w:rFonts w:ascii="Times New Roman" w:hAnsi="Times New Roman" w:hint="eastAsia"/>
          <w:sz w:val="24"/>
        </w:rPr>
        <w:t>，不对下游地表水环境造成影响</w:t>
      </w:r>
      <w:r>
        <w:rPr>
          <w:rFonts w:ascii="Times New Roman" w:hAnsi="Times New Roman"/>
          <w:sz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纸坊水库周边及灌溉渠沿线约有耕地</w:t>
      </w:r>
      <w:r>
        <w:rPr>
          <w:rFonts w:ascii="Times New Roman" w:hAnsi="Times New Roman"/>
          <w:sz w:val="24"/>
          <w:szCs w:val="24"/>
        </w:rPr>
        <w:t>15000</w:t>
      </w:r>
      <w:r>
        <w:rPr>
          <w:rFonts w:ascii="Times New Roman" w:hAnsi="Times New Roman"/>
          <w:sz w:val="24"/>
          <w:szCs w:val="24"/>
        </w:rPr>
        <w:t>亩，按照每亩耕地一次灌溉用水</w:t>
      </w:r>
      <w:r>
        <w:rPr>
          <w:rFonts w:ascii="Times New Roman" w:hAnsi="Times New Roman"/>
          <w:sz w:val="24"/>
          <w:szCs w:val="24"/>
        </w:rPr>
        <w:t>170m</w:t>
      </w:r>
      <w:r>
        <w:rPr>
          <w:rFonts w:ascii="Times New Roman" w:hAnsi="Times New Roman"/>
          <w:sz w:val="24"/>
          <w:szCs w:val="24"/>
          <w:vertAlign w:val="superscript"/>
        </w:rPr>
        <w:t>3</w:t>
      </w:r>
      <w:r>
        <w:rPr>
          <w:rFonts w:ascii="Times New Roman" w:hAnsi="Times New Roman"/>
          <w:sz w:val="24"/>
          <w:szCs w:val="24"/>
        </w:rPr>
        <w:t>，每年轮灌三次，农灌期</w:t>
      </w:r>
      <w:r>
        <w:rPr>
          <w:rFonts w:ascii="Times New Roman" w:hAnsi="Times New Roman"/>
          <w:sz w:val="24"/>
          <w:szCs w:val="24"/>
        </w:rPr>
        <w:t>9</w:t>
      </w:r>
      <w:r>
        <w:rPr>
          <w:rFonts w:ascii="Times New Roman" w:hAnsi="Times New Roman"/>
          <w:sz w:val="24"/>
          <w:szCs w:val="24"/>
        </w:rPr>
        <w:t>个月计算，每年需轮流灌溉用水</w:t>
      </w:r>
      <w:r>
        <w:rPr>
          <w:rFonts w:ascii="Times New Roman" w:hAnsi="Times New Roman"/>
          <w:sz w:val="24"/>
          <w:szCs w:val="24"/>
        </w:rPr>
        <w:t>7655</w:t>
      </w:r>
      <w:r>
        <w:rPr>
          <w:rFonts w:ascii="Times New Roman" w:hAnsi="Times New Roman"/>
          <w:sz w:val="24"/>
          <w:szCs w:val="24"/>
        </w:rPr>
        <w:t>万</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w:t>
      </w:r>
      <w:r>
        <w:rPr>
          <w:rFonts w:ascii="Times New Roman" w:hAnsi="Times New Roman"/>
          <w:sz w:val="24"/>
          <w:szCs w:val="24"/>
        </w:rPr>
        <w:t>，本项目矿井排水</w:t>
      </w:r>
      <w:r>
        <w:rPr>
          <w:rFonts w:ascii="Times New Roman" w:hAnsi="Times New Roman"/>
          <w:sz w:val="24"/>
          <w:szCs w:val="24"/>
        </w:rPr>
        <w:t>1</w:t>
      </w:r>
      <w:r w:rsidR="002D1343">
        <w:rPr>
          <w:rFonts w:ascii="Times New Roman" w:hAnsi="Times New Roman" w:hint="eastAsia"/>
          <w:sz w:val="24"/>
          <w:szCs w:val="24"/>
        </w:rPr>
        <w:t>52.71</w:t>
      </w:r>
      <w:r>
        <w:rPr>
          <w:rFonts w:ascii="Times New Roman" w:hAnsi="Times New Roman"/>
          <w:sz w:val="24"/>
          <w:szCs w:val="24"/>
        </w:rPr>
        <w:t>万</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w:t>
      </w:r>
      <w:r>
        <w:rPr>
          <w:rFonts w:ascii="Times New Roman" w:hAnsi="Times New Roman"/>
          <w:sz w:val="24"/>
          <w:szCs w:val="24"/>
        </w:rPr>
        <w:t>（</w:t>
      </w:r>
      <w:r>
        <w:rPr>
          <w:rFonts w:ascii="Times New Roman" w:hAnsi="Times New Roman"/>
          <w:sz w:val="24"/>
          <w:szCs w:val="24"/>
        </w:rPr>
        <w:t>4</w:t>
      </w:r>
      <w:r w:rsidR="002D1343">
        <w:rPr>
          <w:rFonts w:ascii="Times New Roman" w:hAnsi="Times New Roman" w:hint="eastAsia"/>
          <w:sz w:val="24"/>
          <w:szCs w:val="24"/>
        </w:rPr>
        <w:t>183.9</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ascii="Times New Roman" w:hAnsi="Times New Roman"/>
          <w:sz w:val="24"/>
          <w:szCs w:val="24"/>
        </w:rPr>
        <w:t>），远小于周边耕地轮灌用水量，能完全实现矿井排水的综合利用。另外纸坊水库现状无水，</w:t>
      </w:r>
      <w:r>
        <w:rPr>
          <w:rFonts w:ascii="Times New Roman" w:hAnsi="Times New Roman"/>
          <w:sz w:val="24"/>
        </w:rPr>
        <w:t>总库容</w:t>
      </w:r>
      <w:r>
        <w:rPr>
          <w:rFonts w:ascii="Times New Roman" w:hAnsi="Times New Roman"/>
          <w:sz w:val="24"/>
        </w:rPr>
        <w:t>4425.5</w:t>
      </w:r>
      <w:r>
        <w:rPr>
          <w:rFonts w:ascii="Times New Roman" w:hAnsi="Times New Roman"/>
          <w:sz w:val="24"/>
        </w:rPr>
        <w:t>万</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，能容纳本项目</w:t>
      </w:r>
      <w:r>
        <w:rPr>
          <w:rFonts w:ascii="Times New Roman" w:hAnsi="Times New Roman"/>
          <w:sz w:val="24"/>
        </w:rPr>
        <w:t>26.6a</w:t>
      </w:r>
      <w:r>
        <w:rPr>
          <w:rFonts w:ascii="Times New Roman" w:hAnsi="Times New Roman"/>
          <w:sz w:val="24"/>
        </w:rPr>
        <w:t>的排水量，且纸坊水库配套有灌溉渠及灌溉设施，能够完全实现矿井水的储存及综合利用，保证</w:t>
      </w:r>
      <w:r w:rsidR="0073390E">
        <w:rPr>
          <w:rFonts w:ascii="Times New Roman" w:hAnsi="Times New Roman" w:hint="eastAsia"/>
          <w:sz w:val="24"/>
        </w:rPr>
        <w:t>外排矿井水综合利用，不对下游地表水环境造成影响</w:t>
      </w:r>
      <w:r w:rsidR="0073390E">
        <w:rPr>
          <w:rFonts w:ascii="Times New Roman" w:hAnsi="Times New Roman"/>
          <w:sz w:val="24"/>
        </w:rPr>
        <w:t>。</w:t>
      </w:r>
    </w:p>
    <w:p w:rsidR="00240BCE" w:rsidRPr="00B56224" w:rsidRDefault="00AC0334" w:rsidP="00B56224">
      <w:pPr>
        <w:pStyle w:val="ae"/>
        <w:spacing w:line="520" w:lineRule="exact"/>
        <w:ind w:firstLineChars="200" w:firstLine="482"/>
        <w:rPr>
          <w:rFonts w:ascii="Times New Roman" w:hAnsi="Times New Roman"/>
          <w:b/>
          <w:i/>
          <w:sz w:val="24"/>
          <w:szCs w:val="24"/>
          <w:u w:val="single"/>
        </w:rPr>
      </w:pPr>
      <w:r w:rsidRPr="00B56224">
        <w:rPr>
          <w:rFonts w:ascii="Times New Roman" w:hAnsi="Times New Roman"/>
          <w:b/>
          <w:i/>
          <w:sz w:val="24"/>
          <w:szCs w:val="24"/>
          <w:u w:val="single"/>
        </w:rPr>
        <w:t>因此评价认为，矿井排水经处理后供周边耕地轮灌使用，无论是在水质要求上</w:t>
      </w:r>
      <w:r w:rsidRPr="00B56224">
        <w:rPr>
          <w:rFonts w:ascii="Times New Roman" w:hAnsi="Times New Roman"/>
          <w:b/>
          <w:i/>
          <w:sz w:val="24"/>
          <w:szCs w:val="24"/>
          <w:u w:val="single"/>
        </w:rPr>
        <w:lastRenderedPageBreak/>
        <w:t>还是在水量上，是完全可行和可靠的。</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7.3.3 </w:t>
      </w:r>
      <w:r>
        <w:rPr>
          <w:rFonts w:eastAsia="楷体"/>
          <w:b/>
          <w:bCs/>
          <w:szCs w:val="28"/>
        </w:rPr>
        <w:t>地下水污染防治措施</w:t>
      </w:r>
    </w:p>
    <w:p w:rsidR="00240BCE" w:rsidRDefault="00AC0334">
      <w:pPr>
        <w:spacing w:line="500" w:lineRule="exact"/>
        <w:ind w:firstLineChars="200" w:firstLine="480"/>
        <w:rPr>
          <w:bCs/>
          <w:sz w:val="24"/>
        </w:rPr>
      </w:pPr>
      <w:r>
        <w:rPr>
          <w:sz w:val="24"/>
        </w:rPr>
        <w:t>针对地下水污染，评价提出</w:t>
      </w:r>
      <w:r>
        <w:rPr>
          <w:bCs/>
          <w:sz w:val="24"/>
        </w:rPr>
        <w:t>“</w:t>
      </w:r>
      <w:r>
        <w:rPr>
          <w:bCs/>
          <w:sz w:val="24"/>
        </w:rPr>
        <w:t>源头控制，分区防控，污染监控，应急响应</w:t>
      </w:r>
      <w:r>
        <w:rPr>
          <w:bCs/>
          <w:sz w:val="24"/>
        </w:rPr>
        <w:t>”</w:t>
      </w:r>
      <w:r>
        <w:rPr>
          <w:bCs/>
          <w:sz w:val="24"/>
        </w:rPr>
        <w:t>。</w:t>
      </w:r>
    </w:p>
    <w:p w:rsidR="00240BCE" w:rsidRDefault="00AC0334">
      <w:pPr>
        <w:spacing w:line="500" w:lineRule="exact"/>
        <w:ind w:firstLineChars="200" w:firstLine="480"/>
        <w:rPr>
          <w:bCs/>
          <w:color w:val="000000"/>
          <w:sz w:val="24"/>
          <w:lang w:bidi="en-US"/>
        </w:rPr>
      </w:pPr>
      <w:r>
        <w:rPr>
          <w:bCs/>
          <w:sz w:val="24"/>
        </w:rPr>
        <w:t>（</w:t>
      </w:r>
      <w:r>
        <w:rPr>
          <w:bCs/>
          <w:sz w:val="24"/>
        </w:rPr>
        <w:t>1</w:t>
      </w:r>
      <w:r>
        <w:rPr>
          <w:bCs/>
          <w:sz w:val="24"/>
        </w:rPr>
        <w:t>）源头控制：定期检修设备，加强设备巡视，严防跑冒滴漏；厂区可能污染地下水的设施单元地面应全部硬化防渗，</w:t>
      </w:r>
      <w:r>
        <w:rPr>
          <w:bCs/>
          <w:color w:val="000000"/>
          <w:sz w:val="24"/>
          <w:lang w:bidi="en-US"/>
        </w:rPr>
        <w:t>阻断污染物进入地下水环境的途径；生活垃圾等固体废物应分类收集定期清理，严防渗滤液下渗污染地下水。</w:t>
      </w:r>
    </w:p>
    <w:p w:rsidR="00240BCE" w:rsidRDefault="00AC0334">
      <w:pPr>
        <w:spacing w:line="500" w:lineRule="exact"/>
        <w:ind w:firstLineChars="200" w:firstLine="480"/>
        <w:rPr>
          <w:sz w:val="24"/>
        </w:rPr>
      </w:pPr>
      <w:r>
        <w:rPr>
          <w:bCs/>
          <w:color w:val="000000"/>
          <w:sz w:val="24"/>
          <w:lang w:bidi="en-US"/>
        </w:rPr>
        <w:t>（</w:t>
      </w:r>
      <w:r>
        <w:rPr>
          <w:bCs/>
          <w:color w:val="000000"/>
          <w:sz w:val="24"/>
          <w:lang w:bidi="en-US"/>
        </w:rPr>
        <w:t>2</w:t>
      </w:r>
      <w:r>
        <w:rPr>
          <w:bCs/>
          <w:color w:val="000000"/>
          <w:sz w:val="24"/>
          <w:lang w:bidi="en-US"/>
        </w:rPr>
        <w:t>）分区防治</w:t>
      </w:r>
    </w:p>
    <w:p w:rsidR="00240BCE" w:rsidRDefault="00AC0334">
      <w:pPr>
        <w:spacing w:line="500" w:lineRule="exact"/>
        <w:ind w:firstLineChars="200" w:firstLine="480"/>
        <w:rPr>
          <w:sz w:val="24"/>
        </w:rPr>
      </w:pPr>
      <w:r>
        <w:rPr>
          <w:sz w:val="24"/>
        </w:rPr>
        <w:t>根据</w:t>
      </w:r>
      <w:r>
        <w:rPr>
          <w:bCs/>
          <w:sz w:val="24"/>
        </w:rPr>
        <w:t>《环境影响评价技术导则</w:t>
      </w:r>
      <w:r>
        <w:rPr>
          <w:bCs/>
          <w:sz w:val="24"/>
        </w:rPr>
        <w:t xml:space="preserve">  </w:t>
      </w:r>
      <w:r>
        <w:rPr>
          <w:bCs/>
          <w:sz w:val="24"/>
        </w:rPr>
        <w:t>地下水环境》（</w:t>
      </w:r>
      <w:r>
        <w:rPr>
          <w:bCs/>
          <w:sz w:val="24"/>
        </w:rPr>
        <w:t>HJ610-2016</w:t>
      </w:r>
      <w:r>
        <w:rPr>
          <w:bCs/>
          <w:sz w:val="24"/>
        </w:rPr>
        <w:t>）</w:t>
      </w:r>
      <w:r>
        <w:rPr>
          <w:sz w:val="24"/>
        </w:rPr>
        <w:t>，并结合场地各生产功能单元是否可能对地下水造成污染及其风险程度，将本项目污染区的防渗级别划分为重点防渗区、一般防渗区、和简单防渗区。</w:t>
      </w:r>
    </w:p>
    <w:p w:rsidR="00240BCE" w:rsidRDefault="00AC0334">
      <w:pPr>
        <w:adjustRightInd w:val="0"/>
        <w:snapToGrid w:val="0"/>
        <w:spacing w:line="500" w:lineRule="exact"/>
        <w:ind w:firstLineChars="200" w:firstLine="480"/>
        <w:rPr>
          <w:sz w:val="24"/>
        </w:rPr>
      </w:pPr>
      <w:r>
        <w:rPr>
          <w:sz w:val="24"/>
        </w:rPr>
        <w:t>①</w:t>
      </w:r>
      <w:r>
        <w:rPr>
          <w:sz w:val="24"/>
        </w:rPr>
        <w:t>重点防渗区</w:t>
      </w:r>
    </w:p>
    <w:p w:rsidR="00240BCE" w:rsidRDefault="00AC0334">
      <w:pPr>
        <w:autoSpaceDE w:val="0"/>
        <w:autoSpaceDN w:val="0"/>
        <w:adjustRightInd w:val="0"/>
        <w:spacing w:line="500" w:lineRule="exact"/>
        <w:ind w:firstLineChars="200" w:firstLine="480"/>
        <w:rPr>
          <w:sz w:val="24"/>
        </w:rPr>
      </w:pPr>
      <w:r>
        <w:rPr>
          <w:sz w:val="24"/>
        </w:rPr>
        <w:t>将矿井水处理站、生活污水处理站、储煤库、机修间及污水管线作为重点防渗区，防渗层为等效至少</w:t>
      </w:r>
      <w:r>
        <w:rPr>
          <w:sz w:val="24"/>
        </w:rPr>
        <w:t>6m</w:t>
      </w:r>
      <w:r>
        <w:rPr>
          <w:sz w:val="24"/>
        </w:rPr>
        <w:t>厚粘土层（渗透系数</w:t>
      </w:r>
      <w:r>
        <w:rPr>
          <w:sz w:val="24"/>
        </w:rPr>
        <w:t>≤10</w:t>
      </w:r>
      <w:r>
        <w:rPr>
          <w:sz w:val="24"/>
          <w:vertAlign w:val="superscript"/>
        </w:rPr>
        <w:t>-7</w:t>
      </w:r>
      <w:r>
        <w:rPr>
          <w:sz w:val="24"/>
        </w:rPr>
        <w:t>cm/s</w:t>
      </w:r>
      <w:r>
        <w:rPr>
          <w:sz w:val="24"/>
        </w:rPr>
        <w:t>），或参照《危险废物填埋污染控制标准》（</w:t>
      </w:r>
      <w:r>
        <w:rPr>
          <w:sz w:val="24"/>
        </w:rPr>
        <w:t>GB18598-2001</w:t>
      </w:r>
      <w:r>
        <w:rPr>
          <w:sz w:val="24"/>
        </w:rPr>
        <w:t>）防渗要求，可减少渗漏造成的环境风险。</w:t>
      </w:r>
    </w:p>
    <w:p w:rsidR="00240BCE" w:rsidRDefault="00AC0334">
      <w:pPr>
        <w:adjustRightInd w:val="0"/>
        <w:snapToGrid w:val="0"/>
        <w:spacing w:line="500" w:lineRule="exact"/>
        <w:ind w:firstLineChars="200" w:firstLine="480"/>
        <w:rPr>
          <w:sz w:val="24"/>
        </w:rPr>
      </w:pPr>
      <w:r>
        <w:rPr>
          <w:sz w:val="24"/>
        </w:rPr>
        <w:t>②</w:t>
      </w:r>
      <w:r>
        <w:rPr>
          <w:sz w:val="24"/>
        </w:rPr>
        <w:t>一般防渗区</w:t>
      </w:r>
    </w:p>
    <w:p w:rsidR="00240BCE" w:rsidRDefault="00AC0334">
      <w:pPr>
        <w:autoSpaceDE w:val="0"/>
        <w:autoSpaceDN w:val="0"/>
        <w:adjustRightInd w:val="0"/>
        <w:spacing w:line="500" w:lineRule="exact"/>
        <w:ind w:firstLineChars="200" w:firstLine="480"/>
        <w:rPr>
          <w:sz w:val="24"/>
        </w:rPr>
      </w:pPr>
      <w:r>
        <w:rPr>
          <w:sz w:val="24"/>
        </w:rPr>
        <w:t>井口房、提升机房、空压机房、变电站、消防水池等作为一般防渗区，防渗层为等效至少</w:t>
      </w:r>
      <w:r>
        <w:rPr>
          <w:sz w:val="24"/>
        </w:rPr>
        <w:t>1.5m</w:t>
      </w:r>
      <w:r>
        <w:rPr>
          <w:sz w:val="24"/>
        </w:rPr>
        <w:t>厚粘土层</w:t>
      </w:r>
      <w:r>
        <w:rPr>
          <w:sz w:val="24"/>
        </w:rPr>
        <w:t>(</w:t>
      </w:r>
      <w:r>
        <w:rPr>
          <w:sz w:val="24"/>
        </w:rPr>
        <w:t>渗透系数</w:t>
      </w:r>
      <w:r>
        <w:rPr>
          <w:sz w:val="24"/>
        </w:rPr>
        <w:t>≤10</w:t>
      </w:r>
      <w:r>
        <w:rPr>
          <w:sz w:val="24"/>
          <w:vertAlign w:val="superscript"/>
        </w:rPr>
        <w:t>-7</w:t>
      </w:r>
      <w:r>
        <w:rPr>
          <w:sz w:val="24"/>
        </w:rPr>
        <w:t>cm/s)</w:t>
      </w:r>
      <w:r>
        <w:rPr>
          <w:sz w:val="24"/>
        </w:rPr>
        <w:t>，或至少</w:t>
      </w:r>
      <w:r>
        <w:rPr>
          <w:sz w:val="24"/>
        </w:rPr>
        <w:t>2mm</w:t>
      </w:r>
      <w:r>
        <w:rPr>
          <w:sz w:val="24"/>
        </w:rPr>
        <w:t>厚高密度聚乙烯（</w:t>
      </w:r>
      <w:r>
        <w:rPr>
          <w:sz w:val="24"/>
        </w:rPr>
        <w:t>HDPE</w:t>
      </w:r>
      <w:r>
        <w:rPr>
          <w:sz w:val="24"/>
        </w:rPr>
        <w:t>）渗透系数</w:t>
      </w:r>
      <w:r>
        <w:rPr>
          <w:sz w:val="24"/>
        </w:rPr>
        <w:t>≤10</w:t>
      </w:r>
      <w:r>
        <w:rPr>
          <w:sz w:val="24"/>
          <w:vertAlign w:val="superscript"/>
        </w:rPr>
        <w:t>-10</w:t>
      </w:r>
      <w:r>
        <w:rPr>
          <w:sz w:val="24"/>
        </w:rPr>
        <w:t>cm/s</w:t>
      </w:r>
      <w:r>
        <w:rPr>
          <w:sz w:val="24"/>
        </w:rPr>
        <w:t>，或参照《生活垃圾填埋场污染控制标准》（</w:t>
      </w:r>
      <w:r>
        <w:rPr>
          <w:sz w:val="24"/>
        </w:rPr>
        <w:t>GB16889-2008</w:t>
      </w:r>
      <w:r>
        <w:rPr>
          <w:sz w:val="24"/>
        </w:rPr>
        <w:t>），可减少渗漏造成的环境风险。</w:t>
      </w:r>
    </w:p>
    <w:p w:rsidR="00240BCE" w:rsidRDefault="00AC0334">
      <w:pPr>
        <w:autoSpaceDE w:val="0"/>
        <w:autoSpaceDN w:val="0"/>
        <w:adjustRightInd w:val="0"/>
        <w:spacing w:line="500" w:lineRule="exact"/>
        <w:ind w:firstLineChars="200" w:firstLine="480"/>
        <w:rPr>
          <w:sz w:val="24"/>
        </w:rPr>
      </w:pPr>
      <w:r>
        <w:rPr>
          <w:sz w:val="24"/>
        </w:rPr>
        <w:t>③</w:t>
      </w:r>
      <w:r>
        <w:rPr>
          <w:sz w:val="24"/>
        </w:rPr>
        <w:t>简单防渗区</w:t>
      </w:r>
    </w:p>
    <w:p w:rsidR="00240BCE" w:rsidRDefault="00AC0334">
      <w:pPr>
        <w:spacing w:line="500" w:lineRule="exact"/>
        <w:ind w:firstLineChars="200" w:firstLine="464"/>
        <w:rPr>
          <w:spacing w:val="-4"/>
          <w:sz w:val="24"/>
        </w:rPr>
      </w:pPr>
      <w:r>
        <w:rPr>
          <w:spacing w:val="-4"/>
          <w:sz w:val="24"/>
        </w:rPr>
        <w:t>将值班室及绿化以外的其他厂区其他区域作为简单防渗区，采用混凝土硬化防渗。</w:t>
      </w:r>
    </w:p>
    <w:p w:rsidR="00240BCE" w:rsidRDefault="00AC0334">
      <w:pPr>
        <w:spacing w:line="500" w:lineRule="exact"/>
        <w:ind w:firstLineChars="200" w:firstLine="464"/>
        <w:rPr>
          <w:spacing w:val="-4"/>
          <w:sz w:val="24"/>
        </w:rPr>
      </w:pPr>
      <w:r>
        <w:rPr>
          <w:spacing w:val="-4"/>
          <w:sz w:val="24"/>
        </w:rPr>
        <w:t>（</w:t>
      </w:r>
      <w:r>
        <w:rPr>
          <w:spacing w:val="-4"/>
          <w:sz w:val="24"/>
        </w:rPr>
        <w:t>3</w:t>
      </w:r>
      <w:r>
        <w:rPr>
          <w:spacing w:val="-4"/>
          <w:sz w:val="24"/>
        </w:rPr>
        <w:t>）跟踪监测</w:t>
      </w:r>
    </w:p>
    <w:p w:rsidR="00240BCE" w:rsidRDefault="00AC0334">
      <w:pPr>
        <w:spacing w:line="500" w:lineRule="exact"/>
        <w:ind w:firstLineChars="200" w:firstLine="480"/>
        <w:rPr>
          <w:color w:val="000000"/>
          <w:sz w:val="24"/>
        </w:rPr>
      </w:pPr>
      <w:r>
        <w:rPr>
          <w:bCs/>
          <w:color w:val="000000"/>
          <w:sz w:val="24"/>
          <w:lang w:bidi="en-US"/>
        </w:rPr>
        <w:t>利用</w:t>
      </w:r>
      <w:r>
        <w:rPr>
          <w:color w:val="000000"/>
          <w:sz w:val="24"/>
        </w:rPr>
        <w:t>区域村庄水井作为地下水为监测井加强水位、水质监测，通过对地下水位的动态监测，分析井田开采对地下水环境关心点的影响。</w:t>
      </w:r>
    </w:p>
    <w:p w:rsidR="00240BCE" w:rsidRDefault="00AC0334">
      <w:pPr>
        <w:spacing w:line="500" w:lineRule="exact"/>
        <w:ind w:firstLineChars="200" w:firstLine="480"/>
        <w:rPr>
          <w:color w:val="000000"/>
          <w:sz w:val="24"/>
        </w:rPr>
      </w:pPr>
      <w:r>
        <w:rPr>
          <w:color w:val="000000"/>
          <w:sz w:val="24"/>
        </w:rPr>
        <w:t>（</w:t>
      </w:r>
      <w:r>
        <w:rPr>
          <w:color w:val="000000"/>
          <w:sz w:val="24"/>
        </w:rPr>
        <w:t>4</w:t>
      </w:r>
      <w:r>
        <w:rPr>
          <w:color w:val="000000"/>
          <w:sz w:val="24"/>
        </w:rPr>
        <w:t>）应急响应</w:t>
      </w:r>
    </w:p>
    <w:p w:rsidR="00240BCE" w:rsidRDefault="00AC0334">
      <w:pPr>
        <w:spacing w:line="500" w:lineRule="exact"/>
        <w:ind w:firstLineChars="200" w:firstLine="480"/>
        <w:rPr>
          <w:color w:val="000000"/>
          <w:sz w:val="24"/>
        </w:rPr>
      </w:pPr>
      <w:r>
        <w:rPr>
          <w:color w:val="000000"/>
          <w:sz w:val="24"/>
        </w:rPr>
        <w:t>评价提出应按照要求编制《企业事业单位突发环境事件应急预案》，并组织演练，</w:t>
      </w:r>
      <w:r>
        <w:rPr>
          <w:color w:val="000000"/>
          <w:sz w:val="24"/>
        </w:rPr>
        <w:lastRenderedPageBreak/>
        <w:t>监控周边村庄水井的水质和水位有异常时应第一时间紧急响应，立即采取应对措施，减轻对地下水环境的影响直至消除。</w:t>
      </w:r>
    </w:p>
    <w:p w:rsidR="00240BCE" w:rsidRDefault="00AC0334">
      <w:pPr>
        <w:spacing w:line="500" w:lineRule="exact"/>
        <w:ind w:firstLineChars="200" w:firstLine="480"/>
        <w:rPr>
          <w:sz w:val="24"/>
        </w:rPr>
      </w:pPr>
      <w:r>
        <w:rPr>
          <w:sz w:val="24"/>
        </w:rPr>
        <w:t>在落实好</w:t>
      </w:r>
      <w:r>
        <w:rPr>
          <w:bCs/>
          <w:sz w:val="24"/>
        </w:rPr>
        <w:t>“</w:t>
      </w:r>
      <w:r>
        <w:rPr>
          <w:bCs/>
          <w:sz w:val="24"/>
        </w:rPr>
        <w:t>源头控制，分区防控，污染监控，应急响应</w:t>
      </w:r>
      <w:r>
        <w:rPr>
          <w:bCs/>
          <w:sz w:val="24"/>
        </w:rPr>
        <w:t>”</w:t>
      </w:r>
      <w:r>
        <w:rPr>
          <w:sz w:val="24"/>
        </w:rPr>
        <w:t>，本项目污染物能得到有效处理，对地下水水质影响较小，项目的建设不会产生其他环境地质问题，因此对地下水环境质量影响较小。防治措施可行。</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7.3.4 </w:t>
      </w:r>
      <w:r>
        <w:rPr>
          <w:rFonts w:eastAsia="楷体"/>
          <w:b/>
          <w:bCs/>
          <w:szCs w:val="28"/>
        </w:rPr>
        <w:t>噪声防治措施</w:t>
      </w:r>
    </w:p>
    <w:p w:rsidR="00240BCE" w:rsidRDefault="00AC0334">
      <w:pPr>
        <w:spacing w:line="500" w:lineRule="exact"/>
        <w:rPr>
          <w:sz w:val="24"/>
        </w:rPr>
      </w:pPr>
      <w:r>
        <w:rPr>
          <w:sz w:val="24"/>
        </w:rPr>
        <w:t>7.3.4.1</w:t>
      </w:r>
      <w:r>
        <w:rPr>
          <w:sz w:val="24"/>
        </w:rPr>
        <w:t>工业场地噪声防治措施</w:t>
      </w:r>
    </w:p>
    <w:p w:rsidR="00240BCE" w:rsidRDefault="00AC0334">
      <w:pPr>
        <w:spacing w:line="500" w:lineRule="exact"/>
        <w:ind w:firstLineChars="200" w:firstLine="480"/>
        <w:rPr>
          <w:sz w:val="24"/>
        </w:rPr>
      </w:pPr>
      <w:r>
        <w:rPr>
          <w:sz w:val="24"/>
        </w:rPr>
        <w:t>1</w:t>
      </w:r>
      <w:r>
        <w:rPr>
          <w:sz w:val="24"/>
        </w:rPr>
        <w:t>、根据噪声的影响范围及保护目标，采取以下措施：</w:t>
      </w:r>
    </w:p>
    <w:p w:rsidR="00240BCE" w:rsidRDefault="00AC0334">
      <w:pPr>
        <w:spacing w:line="500" w:lineRule="exact"/>
        <w:ind w:firstLineChars="200" w:firstLine="480"/>
        <w:rPr>
          <w:sz w:val="24"/>
        </w:rPr>
      </w:pPr>
      <w:r>
        <w:rPr>
          <w:sz w:val="24"/>
        </w:rPr>
        <w:t>（</w:t>
      </w:r>
      <w:r>
        <w:rPr>
          <w:sz w:val="24"/>
        </w:rPr>
        <w:t>1</w:t>
      </w:r>
      <w:r>
        <w:rPr>
          <w:sz w:val="24"/>
        </w:rPr>
        <w:t>）坚持源头把关的原则，在满足生产工艺要求外，选用设备加工精度高、装配质量好、产生噪声低的设备或附有配套降噪措施的设备；</w:t>
      </w:r>
    </w:p>
    <w:p w:rsidR="00240BCE" w:rsidRDefault="00AC0334">
      <w:pPr>
        <w:spacing w:line="500" w:lineRule="exact"/>
        <w:ind w:firstLineChars="200" w:firstLine="480"/>
        <w:rPr>
          <w:sz w:val="24"/>
        </w:rPr>
      </w:pPr>
      <w:r>
        <w:rPr>
          <w:sz w:val="24"/>
        </w:rPr>
        <w:t>（</w:t>
      </w:r>
      <w:r>
        <w:rPr>
          <w:sz w:val="24"/>
        </w:rPr>
        <w:t>2</w:t>
      </w:r>
      <w:r>
        <w:rPr>
          <w:sz w:val="24"/>
        </w:rPr>
        <w:t>）平面布置利用建筑物和厂界四周林带来阻隔减弱声波的传播；</w:t>
      </w:r>
    </w:p>
    <w:p w:rsidR="00240BCE" w:rsidRDefault="00AC0334">
      <w:pPr>
        <w:spacing w:line="500" w:lineRule="exact"/>
        <w:ind w:firstLineChars="200" w:firstLine="480"/>
        <w:rPr>
          <w:sz w:val="24"/>
        </w:rPr>
      </w:pPr>
      <w:r>
        <w:rPr>
          <w:sz w:val="24"/>
        </w:rPr>
        <w:t>（</w:t>
      </w:r>
      <w:r>
        <w:rPr>
          <w:sz w:val="24"/>
        </w:rPr>
        <w:t>3</w:t>
      </w:r>
      <w:r>
        <w:rPr>
          <w:sz w:val="24"/>
        </w:rPr>
        <w:t>）对于属于空气动力产生的噪声设备，如空压机、风机等，在设备的气流通道上加装消声设备；本次升级改造工程拟对通风机安装消声器</w:t>
      </w:r>
      <w:r w:rsidR="00794AD4">
        <w:rPr>
          <w:rFonts w:hint="eastAsia"/>
          <w:sz w:val="24"/>
        </w:rPr>
        <w:t>，</w:t>
      </w:r>
      <w:r>
        <w:rPr>
          <w:sz w:val="24"/>
        </w:rPr>
        <w:t>临近通风机一侧的围墙内衬吸声设施。</w:t>
      </w:r>
    </w:p>
    <w:p w:rsidR="00240BCE" w:rsidRDefault="00AC0334">
      <w:pPr>
        <w:spacing w:line="500" w:lineRule="exact"/>
        <w:ind w:firstLineChars="200" w:firstLine="480"/>
        <w:rPr>
          <w:sz w:val="24"/>
        </w:rPr>
      </w:pPr>
      <w:r>
        <w:rPr>
          <w:sz w:val="24"/>
        </w:rPr>
        <w:t>（</w:t>
      </w:r>
      <w:r>
        <w:rPr>
          <w:sz w:val="24"/>
        </w:rPr>
        <w:t>4</w:t>
      </w:r>
      <w:r>
        <w:rPr>
          <w:sz w:val="24"/>
        </w:rPr>
        <w:t>）井口房的驱动机四周设隔离板围护降噪，筛分系统、提升机房、机修车间等的门窗均采用隔声材料；</w:t>
      </w:r>
    </w:p>
    <w:p w:rsidR="00240BCE" w:rsidRDefault="00AC0334">
      <w:pPr>
        <w:spacing w:line="500" w:lineRule="exact"/>
        <w:ind w:firstLineChars="200" w:firstLine="480"/>
        <w:rPr>
          <w:sz w:val="24"/>
        </w:rPr>
      </w:pPr>
      <w:r>
        <w:rPr>
          <w:sz w:val="24"/>
        </w:rPr>
        <w:t>（</w:t>
      </w:r>
      <w:r>
        <w:rPr>
          <w:sz w:val="24"/>
        </w:rPr>
        <w:t>5</w:t>
      </w:r>
      <w:r>
        <w:rPr>
          <w:sz w:val="24"/>
        </w:rPr>
        <w:t>）办公楼等可以通过隔声门、窗隔声降噪；坑木加工房等高噪声设备夜间禁止其作业；</w:t>
      </w:r>
    </w:p>
    <w:p w:rsidR="00240BCE" w:rsidRDefault="00AC0334">
      <w:pPr>
        <w:spacing w:line="500" w:lineRule="exact"/>
        <w:ind w:firstLineChars="200" w:firstLine="480"/>
        <w:rPr>
          <w:sz w:val="24"/>
        </w:rPr>
      </w:pPr>
      <w:r>
        <w:rPr>
          <w:sz w:val="24"/>
        </w:rPr>
        <w:t>（</w:t>
      </w:r>
      <w:r>
        <w:rPr>
          <w:sz w:val="24"/>
        </w:rPr>
        <w:t>6</w:t>
      </w:r>
      <w:r>
        <w:rPr>
          <w:sz w:val="24"/>
        </w:rPr>
        <w:t>）通风机房内高噪声设备除采取安装消声、减震等降噪外，还增设隔音间。</w:t>
      </w:r>
    </w:p>
    <w:p w:rsidR="00240BCE" w:rsidRDefault="00AC0334">
      <w:pPr>
        <w:spacing w:line="500" w:lineRule="exact"/>
        <w:ind w:firstLineChars="200" w:firstLine="480"/>
        <w:rPr>
          <w:sz w:val="24"/>
        </w:rPr>
      </w:pPr>
      <w:r>
        <w:rPr>
          <w:sz w:val="24"/>
        </w:rPr>
        <w:t>通过上述降噪措施，可降噪</w:t>
      </w:r>
      <w:r>
        <w:rPr>
          <w:sz w:val="24"/>
        </w:rPr>
        <w:t>20-25dB</w:t>
      </w:r>
      <w:r>
        <w:rPr>
          <w:sz w:val="24"/>
        </w:rPr>
        <w:t>（</w:t>
      </w:r>
      <w:r>
        <w:rPr>
          <w:sz w:val="24"/>
        </w:rPr>
        <w:t>A</w:t>
      </w:r>
      <w:r>
        <w:rPr>
          <w:sz w:val="24"/>
        </w:rPr>
        <w:t>），再加上厂区绿化，植树种草，消声降噪的作用，使声学环境可满足环保要求。总之，本项目对噪声源首先在设计时就采取了控制，选用低噪声的生产工艺及设备，其次又采用吸、隔、消于一体的综合措施进行治理，使矿井的噪声排放均控制在标准之内，措施可行。</w:t>
      </w:r>
    </w:p>
    <w:p w:rsidR="00240BCE" w:rsidRDefault="00AC0334">
      <w:pPr>
        <w:spacing w:line="500" w:lineRule="exact"/>
        <w:ind w:firstLineChars="200" w:firstLine="480"/>
        <w:rPr>
          <w:sz w:val="24"/>
        </w:rPr>
      </w:pPr>
      <w:r>
        <w:rPr>
          <w:sz w:val="24"/>
        </w:rPr>
        <w:t>2</w:t>
      </w:r>
      <w:r>
        <w:rPr>
          <w:sz w:val="24"/>
        </w:rPr>
        <w:t>、建议</w:t>
      </w:r>
    </w:p>
    <w:p w:rsidR="00240BCE" w:rsidRDefault="00AC0334">
      <w:pPr>
        <w:spacing w:line="500" w:lineRule="exact"/>
        <w:ind w:firstLineChars="200" w:firstLine="480"/>
        <w:rPr>
          <w:sz w:val="24"/>
        </w:rPr>
      </w:pPr>
      <w:r>
        <w:rPr>
          <w:sz w:val="24"/>
        </w:rPr>
        <w:t>（</w:t>
      </w:r>
      <w:r>
        <w:rPr>
          <w:sz w:val="24"/>
        </w:rPr>
        <w:t>1</w:t>
      </w:r>
      <w:r>
        <w:rPr>
          <w:sz w:val="24"/>
        </w:rPr>
        <w:t>）切实落实好空压机、风机等在设备的进、出口设置消声器，以及固定岗位设置隔声值班室等噪声防治措施，保护劳动工人。</w:t>
      </w:r>
    </w:p>
    <w:p w:rsidR="00240BCE" w:rsidRDefault="00AC0334">
      <w:pPr>
        <w:spacing w:line="500" w:lineRule="exact"/>
        <w:ind w:firstLineChars="200" w:firstLine="480"/>
        <w:rPr>
          <w:sz w:val="24"/>
        </w:rPr>
      </w:pPr>
      <w:r>
        <w:rPr>
          <w:sz w:val="24"/>
        </w:rPr>
        <w:lastRenderedPageBreak/>
        <w:t>（</w:t>
      </w:r>
      <w:r>
        <w:rPr>
          <w:sz w:val="24"/>
        </w:rPr>
        <w:t>2</w:t>
      </w:r>
      <w:r>
        <w:rPr>
          <w:sz w:val="24"/>
        </w:rPr>
        <w:t>）震动筛的噪声较大，可采取橡胶筛板、侧板利用废旧胶带作内衬以抑制侧板高频振动的措施减小噪声。</w:t>
      </w:r>
    </w:p>
    <w:p w:rsidR="00240BCE" w:rsidRDefault="00AC0334">
      <w:pPr>
        <w:spacing w:line="500" w:lineRule="exact"/>
        <w:ind w:firstLineChars="200" w:firstLine="480"/>
        <w:rPr>
          <w:sz w:val="24"/>
        </w:rPr>
      </w:pPr>
      <w:r>
        <w:rPr>
          <w:sz w:val="24"/>
        </w:rPr>
        <w:t>（</w:t>
      </w:r>
      <w:r>
        <w:rPr>
          <w:sz w:val="24"/>
        </w:rPr>
        <w:t>3</w:t>
      </w:r>
      <w:r>
        <w:rPr>
          <w:sz w:val="24"/>
        </w:rPr>
        <w:t>）胶带输送机产生的噪声可采取在电机上安装隔声罩、在机组底上安装减振器来降低噪声的方法。</w:t>
      </w:r>
    </w:p>
    <w:p w:rsidR="00240BCE" w:rsidRDefault="00AC0334">
      <w:pPr>
        <w:spacing w:line="500" w:lineRule="exact"/>
        <w:rPr>
          <w:sz w:val="24"/>
        </w:rPr>
      </w:pPr>
      <w:bookmarkStart w:id="819" w:name="_Toc154205544"/>
      <w:bookmarkStart w:id="820" w:name="_Toc158525004"/>
      <w:r>
        <w:rPr>
          <w:sz w:val="24"/>
        </w:rPr>
        <w:t>7.3.4.2</w:t>
      </w:r>
      <w:r>
        <w:rPr>
          <w:sz w:val="24"/>
        </w:rPr>
        <w:t>交通噪声控制</w:t>
      </w:r>
      <w:bookmarkEnd w:id="819"/>
      <w:bookmarkEnd w:id="820"/>
    </w:p>
    <w:p w:rsidR="00240BCE" w:rsidRDefault="00AC0334">
      <w:pPr>
        <w:spacing w:line="500" w:lineRule="exact"/>
        <w:ind w:firstLineChars="200" w:firstLine="480"/>
        <w:rPr>
          <w:sz w:val="24"/>
        </w:rPr>
      </w:pPr>
      <w:r>
        <w:rPr>
          <w:sz w:val="24"/>
        </w:rPr>
        <w:t>为了降低道路交通噪声对沿线周围环境的影响，除了对各种道路按国标和有关规范进行布置外，还要对进入或临近居住区的机动车辆采取必要的行政措施。如车辆安装低噪声喇叭；分线行驶，对噪声敏感区限制载重型汽车进行或限制时间；禁止使用高音喇叭；夜间行驶的机动车辆，可以采用变换灯光来代替鸣笛。</w:t>
      </w:r>
    </w:p>
    <w:p w:rsidR="00240BCE" w:rsidRDefault="00AC0334">
      <w:pPr>
        <w:spacing w:line="500" w:lineRule="exact"/>
        <w:rPr>
          <w:sz w:val="24"/>
        </w:rPr>
      </w:pPr>
      <w:bookmarkStart w:id="821" w:name="_Toc154205545"/>
      <w:bookmarkStart w:id="822" w:name="_Toc158525005"/>
      <w:r>
        <w:rPr>
          <w:sz w:val="24"/>
        </w:rPr>
        <w:t>7.3.4.3</w:t>
      </w:r>
      <w:r>
        <w:rPr>
          <w:sz w:val="24"/>
        </w:rPr>
        <w:t>绿化降噪</w:t>
      </w:r>
      <w:bookmarkEnd w:id="821"/>
      <w:bookmarkEnd w:id="822"/>
    </w:p>
    <w:p w:rsidR="00240BCE" w:rsidRDefault="00AC0334">
      <w:pPr>
        <w:spacing w:line="500" w:lineRule="exact"/>
        <w:ind w:firstLineChars="200" w:firstLine="480"/>
        <w:rPr>
          <w:sz w:val="24"/>
        </w:rPr>
      </w:pPr>
      <w:r>
        <w:rPr>
          <w:sz w:val="24"/>
        </w:rPr>
        <w:t>加强矿区绿化措施，降低噪声的传播。</w:t>
      </w:r>
    </w:p>
    <w:p w:rsidR="00240BCE" w:rsidRDefault="00AC0334">
      <w:pPr>
        <w:spacing w:line="500" w:lineRule="exact"/>
        <w:rPr>
          <w:sz w:val="24"/>
        </w:rPr>
      </w:pPr>
      <w:bookmarkStart w:id="823" w:name="_Toc154205546"/>
      <w:bookmarkStart w:id="824" w:name="_Toc158525006"/>
      <w:r>
        <w:rPr>
          <w:sz w:val="24"/>
        </w:rPr>
        <w:t>7.3.4.4</w:t>
      </w:r>
      <w:r>
        <w:rPr>
          <w:sz w:val="24"/>
        </w:rPr>
        <w:t>噪声控制效果分析</w:t>
      </w:r>
      <w:bookmarkEnd w:id="823"/>
      <w:bookmarkEnd w:id="824"/>
    </w:p>
    <w:p w:rsidR="00240BCE" w:rsidRDefault="00AC0334">
      <w:pPr>
        <w:spacing w:line="500" w:lineRule="exact"/>
        <w:ind w:firstLineChars="200" w:firstLine="480"/>
        <w:rPr>
          <w:sz w:val="24"/>
        </w:rPr>
      </w:pPr>
      <w:r>
        <w:rPr>
          <w:sz w:val="24"/>
        </w:rPr>
        <w:t>采取上述噪声控制措施后，工业场地各厂界噪声均能满足《工业企业厂界环境噪声排放标准》中的</w:t>
      </w:r>
      <w:r>
        <w:rPr>
          <w:sz w:val="24"/>
        </w:rPr>
        <w:t>2</w:t>
      </w:r>
      <w:r>
        <w:rPr>
          <w:sz w:val="24"/>
        </w:rPr>
        <w:t>标准的要求；周围村庄昼夜间均能满足《声环境质量标准》中的</w:t>
      </w:r>
      <w:r>
        <w:rPr>
          <w:sz w:val="24"/>
        </w:rPr>
        <w:t>2</w:t>
      </w:r>
      <w:r>
        <w:rPr>
          <w:sz w:val="24"/>
        </w:rPr>
        <w:t>类标准，措施可行。</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7.3.5 </w:t>
      </w:r>
      <w:r>
        <w:rPr>
          <w:rFonts w:eastAsia="楷体"/>
          <w:b/>
          <w:bCs/>
          <w:szCs w:val="28"/>
        </w:rPr>
        <w:t>固体废物处理处置措施可行性分析</w:t>
      </w:r>
    </w:p>
    <w:p w:rsidR="00240BCE" w:rsidRDefault="00AC0334">
      <w:pPr>
        <w:pStyle w:val="ae"/>
        <w:spacing w:line="520" w:lineRule="exact"/>
        <w:ind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、固废处置措施</w:t>
      </w:r>
    </w:p>
    <w:p w:rsidR="00240BCE" w:rsidRDefault="00AC0334">
      <w:pPr>
        <w:pStyle w:val="ae"/>
        <w:spacing w:line="520" w:lineRule="exact"/>
        <w:ind w:firstLine="480"/>
        <w:rPr>
          <w:rFonts w:ascii="Times New Roman" w:hAnsi="Times New Roman"/>
          <w:sz w:val="24"/>
          <w:szCs w:val="24"/>
        </w:rPr>
      </w:pPr>
      <w:r>
        <w:rPr>
          <w:rFonts w:ascii="Times New Roman" w:hAnsi="Times New Roman"/>
          <w:sz w:val="24"/>
          <w:szCs w:val="24"/>
        </w:rPr>
        <w:t>本项目的固体废物主要来自生产期的煤矸石和生活垃圾。</w:t>
      </w:r>
    </w:p>
    <w:p w:rsidR="00240BCE" w:rsidRDefault="00AC0334">
      <w:pPr>
        <w:pStyle w:val="ae"/>
        <w:spacing w:line="520" w:lineRule="exact"/>
        <w:ind w:firstLine="5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）矸石场污染防治措施</w:t>
      </w:r>
    </w:p>
    <w:p w:rsidR="00240BCE" w:rsidRDefault="00AC0334">
      <w:pPr>
        <w:spacing w:line="520" w:lineRule="exact"/>
        <w:ind w:firstLineChars="200" w:firstLine="480"/>
        <w:rPr>
          <w:sz w:val="24"/>
        </w:rPr>
      </w:pPr>
      <w:r>
        <w:rPr>
          <w:sz w:val="24"/>
        </w:rPr>
        <w:t>生产期矸石量为</w:t>
      </w:r>
      <w:r>
        <w:rPr>
          <w:sz w:val="24"/>
        </w:rPr>
        <w:t>2.4</w:t>
      </w:r>
      <w:r>
        <w:rPr>
          <w:sz w:val="24"/>
        </w:rPr>
        <w:t>万</w:t>
      </w:r>
      <w:r>
        <w:rPr>
          <w:sz w:val="24"/>
        </w:rPr>
        <w:t>t/a</w:t>
      </w:r>
      <w:r>
        <w:rPr>
          <w:sz w:val="24"/>
        </w:rPr>
        <w:t>，矸石性质为第</w:t>
      </w:r>
      <w:r>
        <w:rPr>
          <w:sz w:val="24"/>
        </w:rPr>
        <w:t>Ⅰ</w:t>
      </w:r>
      <w:r>
        <w:rPr>
          <w:sz w:val="24"/>
        </w:rPr>
        <w:t>类一般固体废弃物，在工业场地内矸石周转场临时周转后，运往矸石砖厂综合利用（周转期</w:t>
      </w:r>
      <w:r>
        <w:rPr>
          <w:sz w:val="24"/>
        </w:rPr>
        <w:t>5</w:t>
      </w:r>
      <w:r>
        <w:rPr>
          <w:sz w:val="24"/>
        </w:rPr>
        <w:t>天），综合利用率为</w:t>
      </w:r>
      <w:r>
        <w:rPr>
          <w:sz w:val="24"/>
        </w:rPr>
        <w:t>100</w:t>
      </w:r>
      <w:r>
        <w:rPr>
          <w:sz w:val="24"/>
        </w:rPr>
        <w:t>﹪。为减轻矸石周转场地对环境的影响，采取定时人工洒水方式以抑制扬尘。</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）生活垃圾防治措施</w:t>
      </w:r>
    </w:p>
    <w:p w:rsidR="00240BCE" w:rsidRDefault="00AC0334">
      <w:pPr>
        <w:spacing w:line="520" w:lineRule="exact"/>
        <w:ind w:firstLine="570"/>
        <w:rPr>
          <w:sz w:val="24"/>
        </w:rPr>
      </w:pPr>
      <w:r>
        <w:rPr>
          <w:sz w:val="24"/>
        </w:rPr>
        <w:t>生活垃圾产生量较小，由矿区环卫部门收集后送至鸠山镇垃圾中转站处置。</w:t>
      </w:r>
      <w:bookmarkStart w:id="825" w:name="_Toc154205553"/>
      <w:bookmarkStart w:id="826" w:name="_Toc158525013"/>
    </w:p>
    <w:p w:rsidR="00240BCE" w:rsidRDefault="00AC0334">
      <w:pPr>
        <w:spacing w:line="520" w:lineRule="exact"/>
        <w:ind w:firstLine="570"/>
        <w:rPr>
          <w:rFonts w:eastAsia="楷体_GB2312"/>
          <w:sz w:val="24"/>
        </w:rPr>
      </w:pPr>
      <w:r>
        <w:rPr>
          <w:sz w:val="24"/>
        </w:rPr>
        <w:t>2</w:t>
      </w:r>
      <w:r>
        <w:rPr>
          <w:sz w:val="24"/>
        </w:rPr>
        <w:t>、煤矸石综合利用可行性分析</w:t>
      </w:r>
      <w:bookmarkEnd w:id="825"/>
      <w:bookmarkEnd w:id="826"/>
    </w:p>
    <w:p w:rsidR="00240BCE" w:rsidRDefault="00AC0334">
      <w:pPr>
        <w:spacing w:line="520" w:lineRule="exact"/>
        <w:ind w:firstLine="480"/>
        <w:rPr>
          <w:sz w:val="24"/>
        </w:rPr>
      </w:pPr>
      <w:r>
        <w:rPr>
          <w:sz w:val="24"/>
        </w:rPr>
        <w:lastRenderedPageBreak/>
        <w:t>根据</w:t>
      </w:r>
      <w:r>
        <w:rPr>
          <w:kern w:val="0"/>
          <w:sz w:val="24"/>
        </w:rPr>
        <w:t>国家环保总局环办【</w:t>
      </w:r>
      <w:r>
        <w:rPr>
          <w:kern w:val="0"/>
          <w:sz w:val="24"/>
        </w:rPr>
        <w:t>2006</w:t>
      </w:r>
      <w:r>
        <w:rPr>
          <w:kern w:val="0"/>
          <w:sz w:val="24"/>
        </w:rPr>
        <w:t>】</w:t>
      </w:r>
      <w:r>
        <w:rPr>
          <w:kern w:val="0"/>
          <w:sz w:val="24"/>
        </w:rPr>
        <w:t>129</w:t>
      </w:r>
      <w:r>
        <w:rPr>
          <w:kern w:val="0"/>
          <w:sz w:val="24"/>
        </w:rPr>
        <w:t>号文通知要求</w:t>
      </w:r>
      <w:r>
        <w:rPr>
          <w:sz w:val="24"/>
        </w:rPr>
        <w:t>，为实现矿产资源开发与生态环境保护协调发展，提高矿产资源开发利用效率，避免和减少矿区生态环境破坏和污染，煤矸石的利用率达到</w:t>
      </w:r>
      <w:r>
        <w:rPr>
          <w:sz w:val="24"/>
        </w:rPr>
        <w:t>70%</w:t>
      </w:r>
      <w:r>
        <w:rPr>
          <w:sz w:val="24"/>
        </w:rPr>
        <w:t>以上。</w:t>
      </w:r>
    </w:p>
    <w:p w:rsidR="00CB7EED" w:rsidRDefault="00AC0334" w:rsidP="00CB7EED">
      <w:pPr>
        <w:spacing w:line="500" w:lineRule="exact"/>
        <w:ind w:firstLineChars="200" w:firstLine="480"/>
        <w:rPr>
          <w:sz w:val="24"/>
        </w:rPr>
      </w:pPr>
      <w:r>
        <w:rPr>
          <w:sz w:val="24"/>
        </w:rPr>
        <w:t>根据煤矸石综合利用协议，本项目煤矸石</w:t>
      </w:r>
      <w:r>
        <w:rPr>
          <w:sz w:val="24"/>
        </w:rPr>
        <w:t>2.4</w:t>
      </w:r>
      <w:r>
        <w:rPr>
          <w:sz w:val="24"/>
        </w:rPr>
        <w:t>万</w:t>
      </w:r>
      <w:r>
        <w:rPr>
          <w:sz w:val="24"/>
        </w:rPr>
        <w:t>t/a</w:t>
      </w:r>
      <w:r>
        <w:rPr>
          <w:sz w:val="24"/>
        </w:rPr>
        <w:t>在</w:t>
      </w:r>
      <w:r w:rsidR="00802A62">
        <w:rPr>
          <w:sz w:val="24"/>
        </w:rPr>
        <w:t>储煤库</w:t>
      </w:r>
      <w:r>
        <w:rPr>
          <w:sz w:val="24"/>
        </w:rPr>
        <w:t>内临时周转后全部供禹州市鸿畅镇三合新型建材厂制砖（见附煤矸石协议</w:t>
      </w:r>
      <w:r>
        <w:rPr>
          <w:sz w:val="24"/>
        </w:rPr>
        <w:t>13</w:t>
      </w:r>
      <w:r>
        <w:rPr>
          <w:sz w:val="24"/>
        </w:rPr>
        <w:t>）。综合利用率</w:t>
      </w:r>
      <w:r>
        <w:rPr>
          <w:sz w:val="24"/>
        </w:rPr>
        <w:t>100</w:t>
      </w:r>
      <w:r>
        <w:rPr>
          <w:sz w:val="24"/>
        </w:rPr>
        <w:t>﹪。三合新型建材厂位于工业场地东南</w:t>
      </w:r>
      <w:r>
        <w:rPr>
          <w:sz w:val="24"/>
        </w:rPr>
        <w:t>20km</w:t>
      </w:r>
      <w:r>
        <w:rPr>
          <w:sz w:val="24"/>
        </w:rPr>
        <w:t>的禹州市鸿畅镇王沟村，年生产煤矸石烧结多孔砖</w:t>
      </w:r>
      <w:r>
        <w:rPr>
          <w:sz w:val="24"/>
        </w:rPr>
        <w:t>6000</w:t>
      </w:r>
      <w:r>
        <w:rPr>
          <w:sz w:val="24"/>
        </w:rPr>
        <w:t>万块，所需原料主要为矸石和炉渣等，年需矸石</w:t>
      </w:r>
      <w:r>
        <w:rPr>
          <w:sz w:val="24"/>
        </w:rPr>
        <w:t>8</w:t>
      </w:r>
      <w:r>
        <w:rPr>
          <w:sz w:val="24"/>
        </w:rPr>
        <w:t>万吨～</w:t>
      </w:r>
      <w:r>
        <w:rPr>
          <w:sz w:val="24"/>
        </w:rPr>
        <w:t>12</w:t>
      </w:r>
      <w:r>
        <w:rPr>
          <w:sz w:val="24"/>
        </w:rPr>
        <w:t>万吨，其环评批复</w:t>
      </w:r>
      <w:r w:rsidR="00FB62CA">
        <w:rPr>
          <w:rFonts w:hint="eastAsia"/>
          <w:sz w:val="24"/>
        </w:rPr>
        <w:t>见</w:t>
      </w:r>
      <w:r>
        <w:rPr>
          <w:sz w:val="24"/>
        </w:rPr>
        <w:t>附件</w:t>
      </w:r>
      <w:r>
        <w:rPr>
          <w:sz w:val="24"/>
        </w:rPr>
        <w:t>12</w:t>
      </w:r>
      <w:r>
        <w:rPr>
          <w:sz w:val="24"/>
        </w:rPr>
        <w:t>；煤矸石供给矸石砖厂制砖已经有非常成熟的工艺，在工艺上完全可行，且交通方便。本项目煤矸石年产量</w:t>
      </w:r>
      <w:r>
        <w:rPr>
          <w:sz w:val="24"/>
        </w:rPr>
        <w:t>2.5</w:t>
      </w:r>
      <w:r>
        <w:rPr>
          <w:sz w:val="24"/>
        </w:rPr>
        <w:t>万吨，能够完全供给三合新型建材厂制砖。因此，煤矸石的综合利用，既能保护当地的土地资源，又能解决煤矸石的出路问题，其社会效益和环境效益极为显著，是完全可行和可靠的。</w:t>
      </w:r>
    </w:p>
    <w:p w:rsidR="00CB7EED" w:rsidRPr="00CB7EED" w:rsidRDefault="00CB7EED" w:rsidP="00CB7EED">
      <w:pPr>
        <w:spacing w:line="500" w:lineRule="exact"/>
        <w:ind w:firstLineChars="200" w:firstLine="480"/>
        <w:rPr>
          <w:sz w:val="24"/>
        </w:rPr>
      </w:pPr>
      <w:r>
        <w:rPr>
          <w:rFonts w:hint="eastAsia"/>
          <w:sz w:val="24"/>
        </w:rPr>
        <w:t>3</w:t>
      </w:r>
      <w:r>
        <w:rPr>
          <w:rFonts w:hint="eastAsia"/>
          <w:sz w:val="24"/>
        </w:rPr>
        <w:t>、</w:t>
      </w:r>
      <w:r w:rsidRPr="00CB7EED">
        <w:rPr>
          <w:sz w:val="24"/>
        </w:rPr>
        <w:t>危险废物</w:t>
      </w:r>
    </w:p>
    <w:p w:rsidR="00CB7EED" w:rsidRPr="007208F1" w:rsidRDefault="00CB7EED" w:rsidP="007208F1">
      <w:pPr>
        <w:spacing w:line="500" w:lineRule="exact"/>
        <w:ind w:firstLineChars="200" w:firstLine="482"/>
        <w:rPr>
          <w:b/>
          <w:i/>
          <w:sz w:val="24"/>
          <w:u w:val="single"/>
        </w:rPr>
      </w:pPr>
      <w:r w:rsidRPr="007208F1">
        <w:rPr>
          <w:b/>
          <w:i/>
          <w:sz w:val="24"/>
          <w:u w:val="single"/>
        </w:rPr>
        <w:t>危险废物主要来自机修车间等场所，主要危险废物为废机油、</w:t>
      </w:r>
      <w:r w:rsidRPr="007208F1">
        <w:rPr>
          <w:rFonts w:hint="eastAsia"/>
          <w:b/>
          <w:i/>
          <w:sz w:val="24"/>
          <w:u w:val="single"/>
        </w:rPr>
        <w:t>废油脂</w:t>
      </w:r>
      <w:r w:rsidRPr="007208F1">
        <w:rPr>
          <w:b/>
          <w:i/>
          <w:sz w:val="24"/>
          <w:u w:val="single"/>
        </w:rPr>
        <w:t>等，年产生量约</w:t>
      </w:r>
      <w:r w:rsidRPr="007208F1">
        <w:rPr>
          <w:b/>
          <w:i/>
          <w:sz w:val="24"/>
          <w:u w:val="single"/>
        </w:rPr>
        <w:t>0.3t/a</w:t>
      </w:r>
      <w:r w:rsidRPr="007208F1">
        <w:rPr>
          <w:rFonts w:hint="eastAsia"/>
          <w:b/>
          <w:i/>
          <w:sz w:val="24"/>
          <w:u w:val="single"/>
        </w:rPr>
        <w:t>，根据《国家危险废物名录（</w:t>
      </w:r>
      <w:r w:rsidRPr="007208F1">
        <w:rPr>
          <w:rFonts w:hint="eastAsia"/>
          <w:b/>
          <w:i/>
          <w:sz w:val="24"/>
          <w:u w:val="single"/>
        </w:rPr>
        <w:t>2021</w:t>
      </w:r>
      <w:r w:rsidRPr="007208F1">
        <w:rPr>
          <w:rFonts w:hint="eastAsia"/>
          <w:b/>
          <w:i/>
          <w:sz w:val="24"/>
          <w:u w:val="single"/>
        </w:rPr>
        <w:t>年版）》，废机油</w:t>
      </w:r>
      <w:r w:rsidRPr="007208F1">
        <w:rPr>
          <w:b/>
          <w:i/>
          <w:sz w:val="24"/>
          <w:u w:val="single"/>
        </w:rPr>
        <w:t>属于</w:t>
      </w:r>
      <w:r w:rsidRPr="007208F1">
        <w:rPr>
          <w:rFonts w:hint="eastAsia"/>
          <w:b/>
          <w:i/>
          <w:sz w:val="24"/>
          <w:u w:val="single"/>
        </w:rPr>
        <w:t>“</w:t>
      </w:r>
      <w:r w:rsidRPr="007208F1">
        <w:rPr>
          <w:b/>
          <w:i/>
          <w:sz w:val="24"/>
          <w:u w:val="single"/>
        </w:rPr>
        <w:t>HW08</w:t>
      </w:r>
      <w:r w:rsidRPr="007208F1">
        <w:rPr>
          <w:rFonts w:hint="eastAsia"/>
          <w:b/>
          <w:i/>
          <w:sz w:val="24"/>
          <w:u w:val="single"/>
        </w:rPr>
        <w:t>废矿物油与含矿物油废物类、代码</w:t>
      </w:r>
      <w:r w:rsidRPr="007208F1">
        <w:rPr>
          <w:b/>
          <w:i/>
          <w:sz w:val="24"/>
          <w:u w:val="single"/>
        </w:rPr>
        <w:t>900-214-08</w:t>
      </w:r>
      <w:r w:rsidRPr="007208F1">
        <w:rPr>
          <w:rFonts w:hint="eastAsia"/>
          <w:b/>
          <w:i/>
          <w:sz w:val="24"/>
          <w:u w:val="single"/>
        </w:rPr>
        <w:t>”</w:t>
      </w:r>
      <w:r w:rsidRPr="007208F1">
        <w:rPr>
          <w:b/>
          <w:i/>
          <w:sz w:val="24"/>
          <w:u w:val="single"/>
        </w:rPr>
        <w:t>的危险废物</w:t>
      </w:r>
      <w:r w:rsidRPr="007208F1">
        <w:rPr>
          <w:rFonts w:hint="eastAsia"/>
          <w:b/>
          <w:i/>
          <w:sz w:val="24"/>
          <w:u w:val="single"/>
        </w:rPr>
        <w:t>。</w:t>
      </w:r>
    </w:p>
    <w:p w:rsidR="00CB7EED" w:rsidRPr="007208F1" w:rsidRDefault="00CB7EED" w:rsidP="007208F1">
      <w:pPr>
        <w:spacing w:line="500" w:lineRule="exact"/>
        <w:ind w:firstLineChars="200" w:firstLine="482"/>
        <w:rPr>
          <w:b/>
          <w:i/>
          <w:sz w:val="24"/>
          <w:u w:val="single"/>
        </w:rPr>
      </w:pPr>
      <w:r w:rsidRPr="007208F1">
        <w:rPr>
          <w:b/>
          <w:i/>
          <w:sz w:val="24"/>
          <w:u w:val="single"/>
        </w:rPr>
        <w:t>评价要求</w:t>
      </w:r>
      <w:r w:rsidRPr="007208F1">
        <w:rPr>
          <w:rFonts w:hint="eastAsia"/>
          <w:b/>
          <w:i/>
          <w:sz w:val="24"/>
          <w:u w:val="single"/>
        </w:rPr>
        <w:t>应按照《危险废物贮存污染控制标准</w:t>
      </w:r>
      <w:r w:rsidRPr="007208F1">
        <w:rPr>
          <w:rFonts w:hint="eastAsia"/>
          <w:b/>
          <w:i/>
          <w:sz w:val="24"/>
          <w:u w:val="single"/>
        </w:rPr>
        <w:t>(2013</w:t>
      </w:r>
      <w:r w:rsidRPr="007208F1">
        <w:rPr>
          <w:rFonts w:hint="eastAsia"/>
          <w:b/>
          <w:i/>
          <w:sz w:val="24"/>
          <w:u w:val="single"/>
        </w:rPr>
        <w:t>年修订</w:t>
      </w:r>
      <w:r w:rsidRPr="007208F1">
        <w:rPr>
          <w:rFonts w:hint="eastAsia"/>
          <w:b/>
          <w:i/>
          <w:sz w:val="24"/>
          <w:u w:val="single"/>
        </w:rPr>
        <w:t>)</w:t>
      </w:r>
      <w:r w:rsidRPr="007208F1">
        <w:rPr>
          <w:rFonts w:hint="eastAsia"/>
          <w:b/>
          <w:i/>
          <w:sz w:val="24"/>
          <w:u w:val="single"/>
        </w:rPr>
        <w:t>》和《</w:t>
      </w:r>
      <w:hyperlink r:id="rId150" w:history="1">
        <w:r w:rsidRPr="007208F1">
          <w:rPr>
            <w:rStyle w:val="aff2"/>
            <w:rFonts w:hint="eastAsia"/>
            <w:b/>
            <w:i/>
            <w:color w:val="auto"/>
            <w:sz w:val="24"/>
          </w:rPr>
          <w:t>危险废物收集</w:t>
        </w:r>
        <w:r w:rsidRPr="007208F1">
          <w:rPr>
            <w:rStyle w:val="aff2"/>
            <w:rFonts w:hint="eastAsia"/>
            <w:b/>
            <w:i/>
            <w:color w:val="auto"/>
            <w:sz w:val="24"/>
          </w:rPr>
          <w:t xml:space="preserve"> </w:t>
        </w:r>
        <w:r w:rsidRPr="007208F1">
          <w:rPr>
            <w:rStyle w:val="aff2"/>
            <w:rFonts w:hint="eastAsia"/>
            <w:b/>
            <w:i/>
            <w:color w:val="auto"/>
            <w:sz w:val="24"/>
          </w:rPr>
          <w:t>贮存</w:t>
        </w:r>
        <w:r w:rsidRPr="007208F1">
          <w:rPr>
            <w:rStyle w:val="aff2"/>
            <w:rFonts w:hint="eastAsia"/>
            <w:b/>
            <w:i/>
            <w:color w:val="auto"/>
            <w:sz w:val="24"/>
          </w:rPr>
          <w:t xml:space="preserve"> </w:t>
        </w:r>
        <w:r w:rsidRPr="007208F1">
          <w:rPr>
            <w:rStyle w:val="aff2"/>
            <w:rFonts w:hint="eastAsia"/>
            <w:b/>
            <w:i/>
            <w:color w:val="auto"/>
            <w:sz w:val="24"/>
          </w:rPr>
          <w:t>运输技术规范</w:t>
        </w:r>
        <w:r w:rsidRPr="007208F1">
          <w:rPr>
            <w:rStyle w:val="aff2"/>
            <w:rFonts w:hint="eastAsia"/>
            <w:b/>
            <w:i/>
            <w:color w:val="auto"/>
            <w:sz w:val="24"/>
          </w:rPr>
          <w:t>(HJ 2025-2012)</w:t>
        </w:r>
      </w:hyperlink>
      <w:r w:rsidRPr="007208F1">
        <w:rPr>
          <w:rFonts w:hint="eastAsia"/>
          <w:b/>
          <w:i/>
          <w:sz w:val="24"/>
          <w:u w:val="single"/>
        </w:rPr>
        <w:t>》设置危废暂存间，危废暂存间做到“三防”，即地面硬化，设</w:t>
      </w:r>
      <w:r w:rsidRPr="007208F1">
        <w:rPr>
          <w:rFonts w:hint="eastAsia"/>
          <w:b/>
          <w:i/>
          <w:sz w:val="24"/>
          <w:u w:val="single"/>
        </w:rPr>
        <w:t>2mm</w:t>
      </w:r>
      <w:r w:rsidRPr="007208F1">
        <w:rPr>
          <w:rFonts w:hint="eastAsia"/>
          <w:b/>
          <w:i/>
          <w:sz w:val="24"/>
          <w:u w:val="single"/>
        </w:rPr>
        <w:t>厚环氧树脂防渗层，暂存间内设溢流槽、收集坑等导排设施，暂存间门口设围堰，有危险废物贮存场所标识、危险废物警示标示、危险废物应急预案等标识，采用双人双锁、五联单管理制度。废矿物油、废油桶等危废经</w:t>
      </w:r>
      <w:r w:rsidRPr="007208F1">
        <w:rPr>
          <w:b/>
          <w:i/>
          <w:sz w:val="24"/>
          <w:u w:val="single"/>
        </w:rPr>
        <w:t>集中收集</w:t>
      </w:r>
      <w:r w:rsidRPr="007208F1">
        <w:rPr>
          <w:rFonts w:hint="eastAsia"/>
          <w:b/>
          <w:i/>
          <w:sz w:val="24"/>
          <w:u w:val="single"/>
        </w:rPr>
        <w:t>至危废暂存间暂存</w:t>
      </w:r>
      <w:r w:rsidRPr="007208F1">
        <w:rPr>
          <w:b/>
          <w:i/>
          <w:sz w:val="24"/>
          <w:u w:val="single"/>
        </w:rPr>
        <w:t>后交由有危险废物处理处置资质的单位处理</w:t>
      </w:r>
      <w:r w:rsidRPr="007208F1">
        <w:rPr>
          <w:rFonts w:hint="eastAsia"/>
          <w:b/>
          <w:i/>
          <w:sz w:val="24"/>
          <w:u w:val="single"/>
        </w:rPr>
        <w:t>处置并按危险废物转移“五联单”要求留档</w:t>
      </w:r>
      <w:r w:rsidRPr="007208F1">
        <w:rPr>
          <w:b/>
          <w:i/>
          <w:sz w:val="24"/>
          <w:u w:val="single"/>
        </w:rPr>
        <w:t>。</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7.3.6 </w:t>
      </w:r>
      <w:r>
        <w:rPr>
          <w:rFonts w:eastAsia="楷体"/>
          <w:b/>
          <w:bCs/>
          <w:szCs w:val="28"/>
        </w:rPr>
        <w:t>土壤环境防控措施分析</w:t>
      </w:r>
    </w:p>
    <w:p w:rsidR="00240BCE" w:rsidRDefault="00AC0334">
      <w:pPr>
        <w:spacing w:line="500" w:lineRule="exact"/>
        <w:ind w:firstLineChars="200" w:firstLine="480"/>
        <w:rPr>
          <w:color w:val="000000"/>
          <w:sz w:val="24"/>
          <w:szCs w:val="20"/>
        </w:rPr>
      </w:pPr>
      <w:r>
        <w:rPr>
          <w:color w:val="000000"/>
          <w:sz w:val="24"/>
          <w:szCs w:val="20"/>
        </w:rPr>
        <w:t>（</w:t>
      </w:r>
      <w:r>
        <w:rPr>
          <w:color w:val="000000"/>
          <w:sz w:val="24"/>
          <w:szCs w:val="20"/>
        </w:rPr>
        <w:t>1</w:t>
      </w:r>
      <w:r>
        <w:rPr>
          <w:color w:val="000000"/>
          <w:sz w:val="24"/>
          <w:szCs w:val="20"/>
        </w:rPr>
        <w:t>）源头控制措施</w:t>
      </w:r>
    </w:p>
    <w:p w:rsidR="00240BCE" w:rsidRDefault="00AC0334" w:rsidP="007208F1">
      <w:pPr>
        <w:spacing w:line="500" w:lineRule="exact"/>
        <w:ind w:firstLineChars="200" w:firstLine="480"/>
        <w:rPr>
          <w:color w:val="000000"/>
          <w:sz w:val="24"/>
        </w:rPr>
      </w:pPr>
      <w:r>
        <w:rPr>
          <w:rFonts w:ascii="宋体" w:hAnsi="宋体" w:cs="宋体" w:hint="eastAsia"/>
          <w:color w:val="000000"/>
          <w:sz w:val="24"/>
        </w:rPr>
        <w:t>①</w:t>
      </w:r>
      <w:r>
        <w:rPr>
          <w:color w:val="000000"/>
          <w:sz w:val="24"/>
        </w:rPr>
        <w:t>认真落实大气污染防治措施，储煤库、矸石周转场采用封闭结构，并设置喷</w:t>
      </w:r>
      <w:r>
        <w:rPr>
          <w:color w:val="000000"/>
          <w:sz w:val="24"/>
        </w:rPr>
        <w:lastRenderedPageBreak/>
        <w:t>雾降尘装置，减少粉尘产生和排放。</w:t>
      </w:r>
    </w:p>
    <w:p w:rsidR="00240BCE" w:rsidRDefault="00AC0334">
      <w:pPr>
        <w:spacing w:line="500" w:lineRule="exact"/>
        <w:ind w:firstLineChars="200" w:firstLine="480"/>
        <w:rPr>
          <w:color w:val="000000"/>
          <w:sz w:val="24"/>
          <w:szCs w:val="20"/>
        </w:rPr>
      </w:pPr>
      <w:r>
        <w:rPr>
          <w:color w:val="000000"/>
          <w:sz w:val="24"/>
        </w:rPr>
        <w:t>②</w:t>
      </w:r>
      <w:r>
        <w:rPr>
          <w:color w:val="000000"/>
          <w:sz w:val="24"/>
        </w:rPr>
        <w:t>严格原煤与矸石运输管理，避免在运输过程中的散落。一旦发生散落事件，及时清理收集，防止进入农田；</w:t>
      </w:r>
      <w:r>
        <w:rPr>
          <w:color w:val="000000"/>
          <w:sz w:val="24"/>
          <w:szCs w:val="20"/>
        </w:rPr>
        <w:t>为减少道路交通扬尘评价建议装矿石时不高于车厢、加盖帆布以控制矿石运输的扬尘污染。在所经村庄处应配置专人及时清扫路面，并定时洒水防尘。</w:t>
      </w:r>
    </w:p>
    <w:p w:rsidR="00240BCE" w:rsidRDefault="00AC0334">
      <w:pPr>
        <w:spacing w:line="500" w:lineRule="exact"/>
        <w:ind w:firstLineChars="200" w:firstLine="480"/>
        <w:rPr>
          <w:color w:val="000000"/>
          <w:sz w:val="24"/>
          <w:szCs w:val="20"/>
        </w:rPr>
      </w:pPr>
      <w:r>
        <w:rPr>
          <w:color w:val="000000"/>
          <w:sz w:val="24"/>
          <w:szCs w:val="20"/>
        </w:rPr>
        <w:t>（</w:t>
      </w:r>
      <w:r>
        <w:rPr>
          <w:color w:val="000000"/>
          <w:sz w:val="24"/>
          <w:szCs w:val="20"/>
        </w:rPr>
        <w:t>2</w:t>
      </w:r>
      <w:r>
        <w:rPr>
          <w:color w:val="000000"/>
          <w:sz w:val="24"/>
          <w:szCs w:val="20"/>
        </w:rPr>
        <w:t>）过程控制措施</w:t>
      </w:r>
    </w:p>
    <w:p w:rsidR="00240BCE" w:rsidRDefault="00AC0334">
      <w:pPr>
        <w:spacing w:line="500" w:lineRule="exact"/>
        <w:ind w:firstLineChars="200" w:firstLine="480"/>
        <w:rPr>
          <w:color w:val="000000"/>
          <w:sz w:val="24"/>
        </w:rPr>
      </w:pPr>
      <w:r>
        <w:rPr>
          <w:color w:val="000000"/>
          <w:sz w:val="24"/>
        </w:rPr>
        <w:t>①</w:t>
      </w:r>
      <w:r>
        <w:rPr>
          <w:color w:val="000000"/>
          <w:sz w:val="24"/>
        </w:rPr>
        <w:t>严格按照分区防渗要求，对重点防渗区、一般防渗区和简单防渗区进行防渗处理，防治污染物下渗污染土壤。</w:t>
      </w:r>
    </w:p>
    <w:p w:rsidR="00240BCE" w:rsidRDefault="00AC0334">
      <w:pPr>
        <w:spacing w:line="500" w:lineRule="exact"/>
        <w:ind w:firstLineChars="200" w:firstLine="480"/>
        <w:rPr>
          <w:color w:val="000000"/>
          <w:kern w:val="18"/>
          <w:sz w:val="24"/>
        </w:rPr>
      </w:pPr>
      <w:r>
        <w:rPr>
          <w:color w:val="000000"/>
          <w:sz w:val="24"/>
        </w:rPr>
        <w:t>②</w:t>
      </w:r>
      <w:r>
        <w:rPr>
          <w:color w:val="000000"/>
          <w:sz w:val="24"/>
        </w:rPr>
        <w:t>加强厂区绿化，</w:t>
      </w:r>
      <w:r>
        <w:rPr>
          <w:color w:val="000000"/>
          <w:kern w:val="18"/>
          <w:sz w:val="24"/>
        </w:rPr>
        <w:t>充分利用植物对废气污染物的净化作用。</w:t>
      </w:r>
    </w:p>
    <w:p w:rsidR="00240BCE" w:rsidRDefault="00AC0334">
      <w:pPr>
        <w:spacing w:line="500" w:lineRule="exact"/>
        <w:ind w:firstLineChars="200" w:firstLine="480"/>
        <w:rPr>
          <w:color w:val="000000"/>
          <w:sz w:val="24"/>
        </w:rPr>
      </w:pPr>
      <w:r>
        <w:rPr>
          <w:color w:val="000000"/>
          <w:sz w:val="24"/>
        </w:rPr>
        <w:t>（</w:t>
      </w:r>
      <w:r>
        <w:rPr>
          <w:color w:val="000000"/>
          <w:sz w:val="24"/>
        </w:rPr>
        <w:t>3</w:t>
      </w:r>
      <w:r>
        <w:rPr>
          <w:color w:val="000000"/>
          <w:sz w:val="24"/>
        </w:rPr>
        <w:t>）土壤跟踪监测</w:t>
      </w:r>
    </w:p>
    <w:p w:rsidR="00240BCE" w:rsidRDefault="00AC0334">
      <w:pPr>
        <w:spacing w:line="500" w:lineRule="exact"/>
        <w:ind w:firstLineChars="200" w:firstLine="480"/>
        <w:rPr>
          <w:color w:val="000000"/>
          <w:sz w:val="24"/>
        </w:rPr>
      </w:pPr>
      <w:r>
        <w:rPr>
          <w:color w:val="000000"/>
          <w:sz w:val="24"/>
        </w:rPr>
        <w:t>本项目营运期土壤环境监测计划见表</w:t>
      </w:r>
      <w:r>
        <w:rPr>
          <w:color w:val="000000"/>
          <w:sz w:val="24"/>
        </w:rPr>
        <w:t>7.3-3</w:t>
      </w:r>
      <w:r>
        <w:rPr>
          <w:color w:val="000000"/>
          <w:sz w:val="24"/>
        </w:rPr>
        <w:t>。</w:t>
      </w:r>
    </w:p>
    <w:p w:rsidR="00240BCE" w:rsidRDefault="00AC0334">
      <w:pPr>
        <w:snapToGrid w:val="0"/>
        <w:spacing w:line="480" w:lineRule="exact"/>
        <w:jc w:val="center"/>
        <w:rPr>
          <w:b/>
          <w:sz w:val="24"/>
        </w:rPr>
      </w:pPr>
      <w:r>
        <w:rPr>
          <w:b/>
          <w:sz w:val="24"/>
        </w:rPr>
        <w:t>表</w:t>
      </w:r>
      <w:r>
        <w:rPr>
          <w:b/>
          <w:sz w:val="24"/>
        </w:rPr>
        <w:t>7.3-3</w:t>
      </w:r>
      <w:r>
        <w:rPr>
          <w:b/>
          <w:sz w:val="24"/>
        </w:rPr>
        <w:tab/>
        <w:t xml:space="preserve"> </w:t>
      </w:r>
      <w:r>
        <w:rPr>
          <w:b/>
          <w:sz w:val="24"/>
        </w:rPr>
        <w:t>本项目营运期土壤环境监测计划一览表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1"/>
        <w:gridCol w:w="2078"/>
        <w:gridCol w:w="1040"/>
        <w:gridCol w:w="1456"/>
        <w:gridCol w:w="1217"/>
        <w:gridCol w:w="2098"/>
      </w:tblGrid>
      <w:tr w:rsidR="00240BCE">
        <w:trPr>
          <w:trHeight w:val="137"/>
          <w:jc w:val="center"/>
        </w:trPr>
        <w:tc>
          <w:tcPr>
            <w:tcW w:w="487"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rPr>
                <w:b/>
                <w:kern w:val="0"/>
                <w:sz w:val="21"/>
                <w:szCs w:val="21"/>
              </w:rPr>
            </w:pPr>
            <w:r>
              <w:rPr>
                <w:b/>
                <w:kern w:val="0"/>
                <w:sz w:val="21"/>
                <w:szCs w:val="21"/>
              </w:rPr>
              <w:t>场地</w:t>
            </w:r>
          </w:p>
        </w:tc>
        <w:tc>
          <w:tcPr>
            <w:tcW w:w="1189"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rPr>
                <w:b/>
                <w:kern w:val="0"/>
                <w:sz w:val="21"/>
                <w:szCs w:val="21"/>
              </w:rPr>
            </w:pPr>
            <w:r>
              <w:rPr>
                <w:b/>
                <w:kern w:val="0"/>
                <w:sz w:val="21"/>
                <w:szCs w:val="21"/>
              </w:rPr>
              <w:t>监测点位</w:t>
            </w:r>
          </w:p>
        </w:tc>
        <w:tc>
          <w:tcPr>
            <w:tcW w:w="595"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textAlignment w:val="center"/>
              <w:rPr>
                <w:b/>
                <w:sz w:val="21"/>
                <w:szCs w:val="21"/>
              </w:rPr>
            </w:pPr>
            <w:r>
              <w:rPr>
                <w:b/>
                <w:sz w:val="21"/>
                <w:szCs w:val="21"/>
              </w:rPr>
              <w:t>样品要求</w:t>
            </w:r>
          </w:p>
        </w:tc>
        <w:tc>
          <w:tcPr>
            <w:tcW w:w="833"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textAlignment w:val="center"/>
              <w:rPr>
                <w:b/>
                <w:sz w:val="21"/>
                <w:szCs w:val="21"/>
              </w:rPr>
            </w:pPr>
            <w:r>
              <w:rPr>
                <w:b/>
                <w:sz w:val="21"/>
                <w:szCs w:val="21"/>
              </w:rPr>
              <w:t>监测因子</w:t>
            </w:r>
          </w:p>
        </w:tc>
        <w:tc>
          <w:tcPr>
            <w:tcW w:w="696"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textAlignment w:val="center"/>
              <w:rPr>
                <w:b/>
                <w:sz w:val="21"/>
                <w:szCs w:val="21"/>
              </w:rPr>
            </w:pPr>
            <w:r>
              <w:rPr>
                <w:b/>
                <w:kern w:val="0"/>
                <w:sz w:val="21"/>
                <w:szCs w:val="21"/>
              </w:rPr>
              <w:t>监测频次</w:t>
            </w:r>
          </w:p>
        </w:tc>
        <w:tc>
          <w:tcPr>
            <w:tcW w:w="1200"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textAlignment w:val="center"/>
              <w:rPr>
                <w:b/>
                <w:sz w:val="21"/>
                <w:szCs w:val="21"/>
              </w:rPr>
            </w:pPr>
            <w:r>
              <w:rPr>
                <w:b/>
                <w:sz w:val="21"/>
                <w:szCs w:val="21"/>
              </w:rPr>
              <w:t>执行标准</w:t>
            </w:r>
          </w:p>
        </w:tc>
      </w:tr>
      <w:tr w:rsidR="00240BCE">
        <w:trPr>
          <w:trHeight w:val="644"/>
          <w:jc w:val="center"/>
        </w:trPr>
        <w:tc>
          <w:tcPr>
            <w:tcW w:w="487" w:type="pct"/>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rPr>
                <w:kern w:val="0"/>
                <w:sz w:val="21"/>
                <w:szCs w:val="21"/>
              </w:rPr>
            </w:pPr>
            <w:r>
              <w:rPr>
                <w:kern w:val="0"/>
                <w:sz w:val="21"/>
                <w:szCs w:val="21"/>
              </w:rPr>
              <w:t>工业场地</w:t>
            </w:r>
          </w:p>
        </w:tc>
        <w:tc>
          <w:tcPr>
            <w:tcW w:w="1189"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rPr>
                <w:kern w:val="0"/>
                <w:sz w:val="21"/>
                <w:szCs w:val="21"/>
              </w:rPr>
            </w:pPr>
            <w:r>
              <w:rPr>
                <w:kern w:val="0"/>
                <w:sz w:val="21"/>
                <w:szCs w:val="21"/>
              </w:rPr>
              <w:t>矿井水处理站处</w:t>
            </w:r>
          </w:p>
        </w:tc>
        <w:tc>
          <w:tcPr>
            <w:tcW w:w="595"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rPr>
                <w:kern w:val="0"/>
                <w:sz w:val="21"/>
                <w:szCs w:val="21"/>
              </w:rPr>
            </w:pPr>
            <w:r>
              <w:rPr>
                <w:kern w:val="0"/>
                <w:sz w:val="21"/>
                <w:szCs w:val="21"/>
              </w:rPr>
              <w:t>柱状样</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textAlignment w:val="center"/>
              <w:rPr>
                <w:kern w:val="0"/>
                <w:sz w:val="21"/>
                <w:szCs w:val="21"/>
              </w:rPr>
            </w:pPr>
            <w:r>
              <w:rPr>
                <w:kern w:val="0"/>
                <w:sz w:val="21"/>
                <w:szCs w:val="21"/>
              </w:rPr>
              <w:t>pH</w:t>
            </w:r>
            <w:r>
              <w:rPr>
                <w:kern w:val="0"/>
                <w:sz w:val="21"/>
                <w:szCs w:val="21"/>
              </w:rPr>
              <w:t>、汞、镉、砷、铅、铜、锌、六价铬</w:t>
            </w:r>
          </w:p>
        </w:tc>
        <w:tc>
          <w:tcPr>
            <w:tcW w:w="696" w:type="pct"/>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textAlignment w:val="center"/>
              <w:rPr>
                <w:kern w:val="0"/>
                <w:sz w:val="21"/>
                <w:szCs w:val="21"/>
              </w:rPr>
            </w:pPr>
            <w:r>
              <w:rPr>
                <w:kern w:val="0"/>
                <w:sz w:val="21"/>
                <w:szCs w:val="21"/>
              </w:rPr>
              <w:t>每</w:t>
            </w:r>
            <w:r>
              <w:rPr>
                <w:kern w:val="0"/>
                <w:sz w:val="21"/>
                <w:szCs w:val="21"/>
              </w:rPr>
              <w:t>5</w:t>
            </w:r>
            <w:r>
              <w:rPr>
                <w:kern w:val="0"/>
                <w:sz w:val="21"/>
                <w:szCs w:val="21"/>
              </w:rPr>
              <w:t>年监测一次</w:t>
            </w:r>
          </w:p>
        </w:tc>
        <w:tc>
          <w:tcPr>
            <w:tcW w:w="1200" w:type="pct"/>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textAlignment w:val="center"/>
              <w:rPr>
                <w:kern w:val="0"/>
                <w:sz w:val="21"/>
                <w:szCs w:val="21"/>
              </w:rPr>
            </w:pPr>
            <w:r>
              <w:rPr>
                <w:kern w:val="0"/>
                <w:sz w:val="21"/>
                <w:szCs w:val="21"/>
              </w:rPr>
              <w:t>《土壤环境质量</w:t>
            </w:r>
            <w:r>
              <w:rPr>
                <w:kern w:val="0"/>
                <w:sz w:val="21"/>
                <w:szCs w:val="21"/>
              </w:rPr>
              <w:t xml:space="preserve"> </w:t>
            </w:r>
            <w:r>
              <w:rPr>
                <w:kern w:val="0"/>
                <w:sz w:val="21"/>
                <w:szCs w:val="21"/>
              </w:rPr>
              <w:t>建设用地土壤污染风险管控标准（试行）》（</w:t>
            </w:r>
            <w:r>
              <w:rPr>
                <w:kern w:val="0"/>
                <w:sz w:val="21"/>
                <w:szCs w:val="21"/>
              </w:rPr>
              <w:t>GB36600-2018</w:t>
            </w:r>
            <w:r>
              <w:rPr>
                <w:kern w:val="0"/>
                <w:sz w:val="21"/>
                <w:szCs w:val="21"/>
              </w:rPr>
              <w:t>）</w:t>
            </w:r>
            <w:r>
              <w:rPr>
                <w:kern w:val="0"/>
                <w:sz w:val="21"/>
                <w:szCs w:val="21"/>
              </w:rPr>
              <w:t> </w:t>
            </w:r>
            <w:r>
              <w:rPr>
                <w:kern w:val="0"/>
                <w:sz w:val="21"/>
                <w:szCs w:val="21"/>
              </w:rPr>
              <w:t>筛选值中第二类用地要求</w:t>
            </w:r>
          </w:p>
        </w:tc>
      </w:tr>
      <w:tr w:rsidR="00240BCE">
        <w:trPr>
          <w:trHeight w:val="654"/>
          <w:jc w:val="center"/>
        </w:trPr>
        <w:tc>
          <w:tcPr>
            <w:tcW w:w="487"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360" w:lineRule="exact"/>
              <w:jc w:val="center"/>
              <w:rPr>
                <w:kern w:val="0"/>
                <w:sz w:val="21"/>
                <w:szCs w:val="21"/>
              </w:rPr>
            </w:pPr>
          </w:p>
        </w:tc>
        <w:tc>
          <w:tcPr>
            <w:tcW w:w="1189"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rPr>
                <w:kern w:val="0"/>
                <w:sz w:val="21"/>
                <w:szCs w:val="21"/>
              </w:rPr>
            </w:pPr>
            <w:r>
              <w:rPr>
                <w:kern w:val="0"/>
                <w:sz w:val="21"/>
                <w:szCs w:val="21"/>
              </w:rPr>
              <w:t>生活污水处理站处</w:t>
            </w:r>
          </w:p>
        </w:tc>
        <w:tc>
          <w:tcPr>
            <w:tcW w:w="595"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rPr>
                <w:kern w:val="0"/>
                <w:sz w:val="21"/>
                <w:szCs w:val="21"/>
              </w:rPr>
            </w:pPr>
            <w:r>
              <w:rPr>
                <w:kern w:val="0"/>
                <w:sz w:val="21"/>
                <w:szCs w:val="21"/>
              </w:rPr>
              <w:t>柱状样</w:t>
            </w:r>
          </w:p>
        </w:tc>
        <w:tc>
          <w:tcPr>
            <w:tcW w:w="833"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360" w:lineRule="exact"/>
              <w:jc w:val="center"/>
              <w:rPr>
                <w:kern w:val="0"/>
                <w:sz w:val="21"/>
                <w:szCs w:val="21"/>
              </w:rPr>
            </w:pPr>
          </w:p>
        </w:tc>
        <w:tc>
          <w:tcPr>
            <w:tcW w:w="696"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360" w:lineRule="exact"/>
              <w:jc w:val="center"/>
              <w:rPr>
                <w:kern w:val="0"/>
                <w:sz w:val="21"/>
                <w:szCs w:val="21"/>
              </w:rPr>
            </w:pPr>
          </w:p>
        </w:tc>
        <w:tc>
          <w:tcPr>
            <w:tcW w:w="1200"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360" w:lineRule="exact"/>
              <w:jc w:val="center"/>
              <w:rPr>
                <w:kern w:val="0"/>
                <w:sz w:val="21"/>
                <w:szCs w:val="21"/>
              </w:rPr>
            </w:pPr>
          </w:p>
        </w:tc>
      </w:tr>
      <w:tr w:rsidR="00240BCE">
        <w:trPr>
          <w:trHeight w:val="173"/>
          <w:jc w:val="center"/>
        </w:trPr>
        <w:tc>
          <w:tcPr>
            <w:tcW w:w="487"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360" w:lineRule="exact"/>
              <w:jc w:val="center"/>
              <w:rPr>
                <w:kern w:val="0"/>
                <w:sz w:val="21"/>
                <w:szCs w:val="21"/>
              </w:rPr>
            </w:pPr>
          </w:p>
        </w:tc>
        <w:tc>
          <w:tcPr>
            <w:tcW w:w="1189"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rPr>
                <w:kern w:val="0"/>
                <w:sz w:val="21"/>
                <w:szCs w:val="21"/>
              </w:rPr>
            </w:pPr>
            <w:r>
              <w:rPr>
                <w:kern w:val="0"/>
                <w:sz w:val="21"/>
                <w:szCs w:val="21"/>
              </w:rPr>
              <w:t>储煤库附近</w:t>
            </w:r>
          </w:p>
        </w:tc>
        <w:tc>
          <w:tcPr>
            <w:tcW w:w="595" w:type="pct"/>
            <w:tcBorders>
              <w:top w:val="single" w:sz="4" w:space="0" w:color="auto"/>
              <w:left w:val="single" w:sz="4" w:space="0" w:color="auto"/>
              <w:bottom w:val="single" w:sz="4" w:space="0" w:color="auto"/>
              <w:right w:val="single" w:sz="4" w:space="0" w:color="auto"/>
            </w:tcBorders>
            <w:vAlign w:val="center"/>
          </w:tcPr>
          <w:p w:rsidR="00240BCE" w:rsidRDefault="00AC0334">
            <w:pPr>
              <w:snapToGrid w:val="0"/>
              <w:spacing w:line="360" w:lineRule="exact"/>
              <w:jc w:val="center"/>
              <w:rPr>
                <w:kern w:val="0"/>
                <w:sz w:val="21"/>
                <w:szCs w:val="21"/>
              </w:rPr>
            </w:pPr>
            <w:r>
              <w:rPr>
                <w:kern w:val="0"/>
                <w:sz w:val="21"/>
                <w:szCs w:val="21"/>
              </w:rPr>
              <w:t>柱状样</w:t>
            </w:r>
          </w:p>
        </w:tc>
        <w:tc>
          <w:tcPr>
            <w:tcW w:w="833"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360" w:lineRule="exact"/>
              <w:jc w:val="center"/>
              <w:rPr>
                <w:kern w:val="0"/>
                <w:sz w:val="21"/>
                <w:szCs w:val="21"/>
              </w:rPr>
            </w:pPr>
          </w:p>
        </w:tc>
        <w:tc>
          <w:tcPr>
            <w:tcW w:w="696"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360" w:lineRule="exact"/>
              <w:jc w:val="center"/>
              <w:rPr>
                <w:kern w:val="0"/>
                <w:sz w:val="21"/>
                <w:szCs w:val="21"/>
              </w:rPr>
            </w:pPr>
          </w:p>
        </w:tc>
        <w:tc>
          <w:tcPr>
            <w:tcW w:w="1200" w:type="pct"/>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360" w:lineRule="exact"/>
              <w:jc w:val="center"/>
              <w:rPr>
                <w:kern w:val="0"/>
                <w:sz w:val="21"/>
                <w:szCs w:val="21"/>
              </w:rPr>
            </w:pPr>
          </w:p>
        </w:tc>
      </w:tr>
    </w:tbl>
    <w:p w:rsidR="007208F1" w:rsidRDefault="00AC0334">
      <w:pPr>
        <w:spacing w:line="480" w:lineRule="exact"/>
        <w:ind w:firstLineChars="200" w:firstLine="480"/>
        <w:rPr>
          <w:color w:val="000000"/>
          <w:sz w:val="24"/>
          <w:szCs w:val="20"/>
        </w:rPr>
      </w:pPr>
      <w:r>
        <w:rPr>
          <w:color w:val="000000"/>
          <w:sz w:val="24"/>
          <w:szCs w:val="20"/>
        </w:rPr>
        <w:t>企业环境保护管理部门应配备专业人员或委托具有监测资质的单位负责土壤监测工作，按要求及时分析整理原始资料、监测报告的编写工作，并向社会公开。如发现异常或发生事故，加密监测频次，并分析污染原因，确定泄漏污染源，及时采取应急措施消除污染。</w:t>
      </w:r>
    </w:p>
    <w:p w:rsidR="007208F1" w:rsidRPr="007208F1" w:rsidRDefault="007208F1" w:rsidP="009C5F33">
      <w:pPr>
        <w:keepNext/>
        <w:keepLines/>
        <w:adjustRightInd w:val="0"/>
        <w:snapToGrid w:val="0"/>
        <w:spacing w:beforeLines="70" w:afterLines="30"/>
        <w:jc w:val="left"/>
        <w:outlineLvl w:val="2"/>
        <w:rPr>
          <w:rFonts w:eastAsia="楷体"/>
          <w:b/>
          <w:bCs/>
          <w:i/>
          <w:szCs w:val="28"/>
          <w:u w:val="single"/>
        </w:rPr>
      </w:pPr>
      <w:r w:rsidRPr="007208F1">
        <w:rPr>
          <w:rFonts w:eastAsia="楷体"/>
          <w:b/>
          <w:bCs/>
          <w:i/>
          <w:szCs w:val="28"/>
          <w:u w:val="single"/>
        </w:rPr>
        <w:t>7.3.</w:t>
      </w:r>
      <w:r w:rsidRPr="007208F1">
        <w:rPr>
          <w:rFonts w:eastAsia="楷体" w:hint="eastAsia"/>
          <w:b/>
          <w:bCs/>
          <w:i/>
          <w:szCs w:val="28"/>
          <w:u w:val="single"/>
        </w:rPr>
        <w:t>7</w:t>
      </w:r>
      <w:r w:rsidRPr="007208F1">
        <w:rPr>
          <w:rFonts w:eastAsia="楷体"/>
          <w:b/>
          <w:bCs/>
          <w:i/>
          <w:szCs w:val="28"/>
          <w:u w:val="single"/>
        </w:rPr>
        <w:t xml:space="preserve"> </w:t>
      </w:r>
      <w:r w:rsidRPr="007208F1">
        <w:rPr>
          <w:rFonts w:eastAsia="楷体" w:hint="eastAsia"/>
          <w:b/>
          <w:bCs/>
          <w:i/>
          <w:szCs w:val="28"/>
          <w:u w:val="single"/>
        </w:rPr>
        <w:t>环境风险防治措施</w:t>
      </w:r>
    </w:p>
    <w:p w:rsidR="007208F1" w:rsidRPr="007208F1" w:rsidRDefault="007208F1" w:rsidP="007208F1">
      <w:pPr>
        <w:spacing w:line="480" w:lineRule="exact"/>
        <w:ind w:firstLineChars="200" w:firstLine="482"/>
        <w:rPr>
          <w:b/>
          <w:i/>
          <w:color w:val="000000"/>
          <w:sz w:val="24"/>
          <w:szCs w:val="20"/>
          <w:u w:val="single"/>
        </w:rPr>
      </w:pPr>
      <w:r w:rsidRPr="007208F1">
        <w:rPr>
          <w:rFonts w:ascii="宋体" w:hAnsi="宋体" w:cs="宋体" w:hint="eastAsia"/>
          <w:b/>
          <w:i/>
          <w:color w:val="000000"/>
          <w:sz w:val="24"/>
          <w:szCs w:val="20"/>
          <w:u w:val="single"/>
        </w:rPr>
        <w:t>①</w:t>
      </w:r>
      <w:r w:rsidRPr="007208F1">
        <w:rPr>
          <w:b/>
          <w:i/>
          <w:color w:val="000000"/>
          <w:sz w:val="24"/>
          <w:szCs w:val="20"/>
          <w:u w:val="single"/>
        </w:rPr>
        <w:t>按照国家、地方和相关部门的要求编制《企业突发环境事件应急预案》，并加强演练。</w:t>
      </w:r>
    </w:p>
    <w:p w:rsidR="007208F1" w:rsidRPr="007208F1" w:rsidRDefault="007208F1" w:rsidP="007208F1">
      <w:pPr>
        <w:spacing w:line="480" w:lineRule="exact"/>
        <w:ind w:firstLineChars="200" w:firstLine="482"/>
        <w:rPr>
          <w:b/>
          <w:i/>
          <w:color w:val="000000"/>
          <w:sz w:val="24"/>
          <w:szCs w:val="20"/>
          <w:u w:val="single"/>
        </w:rPr>
      </w:pPr>
      <w:r w:rsidRPr="007208F1">
        <w:rPr>
          <w:rFonts w:ascii="宋体" w:hAnsi="宋体" w:cs="宋体" w:hint="eastAsia"/>
          <w:b/>
          <w:i/>
          <w:color w:val="000000"/>
          <w:sz w:val="24"/>
          <w:szCs w:val="20"/>
          <w:u w:val="single"/>
        </w:rPr>
        <w:t>②</w:t>
      </w:r>
      <w:r w:rsidRPr="007208F1">
        <w:rPr>
          <w:b/>
          <w:i/>
          <w:color w:val="000000"/>
          <w:sz w:val="24"/>
          <w:szCs w:val="20"/>
          <w:u w:val="single"/>
        </w:rPr>
        <w:t>生产过程风险防范</w:t>
      </w:r>
    </w:p>
    <w:p w:rsidR="007208F1" w:rsidRPr="007208F1" w:rsidRDefault="007208F1" w:rsidP="007208F1">
      <w:pPr>
        <w:spacing w:line="480" w:lineRule="exact"/>
        <w:ind w:firstLineChars="200" w:firstLine="482"/>
        <w:rPr>
          <w:b/>
          <w:i/>
          <w:color w:val="000000"/>
          <w:sz w:val="24"/>
          <w:szCs w:val="20"/>
          <w:u w:val="single"/>
        </w:rPr>
      </w:pPr>
      <w:r w:rsidRPr="007208F1">
        <w:rPr>
          <w:b/>
          <w:i/>
          <w:color w:val="000000"/>
          <w:sz w:val="24"/>
          <w:szCs w:val="20"/>
          <w:u w:val="single"/>
        </w:rPr>
        <w:t>强化风险意识、加强安全管理，必须将</w:t>
      </w:r>
      <w:r w:rsidRPr="007208F1">
        <w:rPr>
          <w:b/>
          <w:i/>
          <w:color w:val="000000"/>
          <w:sz w:val="24"/>
          <w:szCs w:val="20"/>
          <w:u w:val="single"/>
        </w:rPr>
        <w:t>“</w:t>
      </w:r>
      <w:r w:rsidRPr="007208F1">
        <w:rPr>
          <w:b/>
          <w:i/>
          <w:color w:val="000000"/>
          <w:sz w:val="24"/>
          <w:szCs w:val="20"/>
          <w:u w:val="single"/>
        </w:rPr>
        <w:t>安全第一，以防为主</w:t>
      </w:r>
      <w:r w:rsidRPr="007208F1">
        <w:rPr>
          <w:b/>
          <w:i/>
          <w:color w:val="000000"/>
          <w:sz w:val="24"/>
          <w:szCs w:val="20"/>
          <w:u w:val="single"/>
        </w:rPr>
        <w:t>”</w:t>
      </w:r>
      <w:r w:rsidRPr="007208F1">
        <w:rPr>
          <w:b/>
          <w:i/>
          <w:color w:val="000000"/>
          <w:sz w:val="24"/>
          <w:szCs w:val="20"/>
          <w:u w:val="single"/>
        </w:rPr>
        <w:t>作为企业生产的</w:t>
      </w:r>
      <w:r w:rsidRPr="007208F1">
        <w:rPr>
          <w:b/>
          <w:i/>
          <w:color w:val="000000"/>
          <w:sz w:val="24"/>
          <w:szCs w:val="20"/>
          <w:u w:val="single"/>
        </w:rPr>
        <w:lastRenderedPageBreak/>
        <w:t>基本原则之一；</w:t>
      </w:r>
    </w:p>
    <w:p w:rsidR="007208F1" w:rsidRPr="007208F1" w:rsidRDefault="007208F1" w:rsidP="007208F1">
      <w:pPr>
        <w:spacing w:line="480" w:lineRule="exact"/>
        <w:ind w:firstLineChars="200" w:firstLine="482"/>
        <w:rPr>
          <w:b/>
          <w:i/>
          <w:color w:val="000000"/>
          <w:sz w:val="24"/>
          <w:szCs w:val="20"/>
          <w:u w:val="single"/>
        </w:rPr>
      </w:pPr>
      <w:r w:rsidRPr="007208F1">
        <w:rPr>
          <w:b/>
          <w:i/>
          <w:color w:val="000000"/>
          <w:sz w:val="24"/>
          <w:szCs w:val="20"/>
          <w:u w:val="single"/>
        </w:rPr>
        <w:t>必须进行广泛系统的培训，使所有操作人员熟悉自己的岗位，树立严谨规范的操作作风，并且在任何紧急状况下都能随时对工艺装置进行控制，并及时、独立、正确地实施相关应急措施；</w:t>
      </w:r>
    </w:p>
    <w:p w:rsidR="007208F1" w:rsidRPr="007208F1" w:rsidRDefault="007208F1" w:rsidP="007208F1">
      <w:pPr>
        <w:spacing w:line="480" w:lineRule="exact"/>
        <w:ind w:firstLineChars="200" w:firstLine="482"/>
        <w:rPr>
          <w:b/>
          <w:i/>
          <w:color w:val="000000"/>
          <w:sz w:val="24"/>
          <w:szCs w:val="20"/>
          <w:u w:val="single"/>
        </w:rPr>
      </w:pPr>
      <w:r w:rsidRPr="007208F1">
        <w:rPr>
          <w:b/>
          <w:i/>
          <w:color w:val="000000"/>
          <w:sz w:val="24"/>
          <w:szCs w:val="20"/>
          <w:u w:val="single"/>
        </w:rPr>
        <w:t>设立安全生产领导小组，形成领导负总责，全厂参与的管理模式。</w:t>
      </w:r>
    </w:p>
    <w:p w:rsidR="007208F1" w:rsidRPr="007208F1" w:rsidRDefault="007208F1" w:rsidP="007208F1">
      <w:pPr>
        <w:spacing w:line="480" w:lineRule="exact"/>
        <w:ind w:firstLineChars="200" w:firstLine="482"/>
        <w:rPr>
          <w:b/>
          <w:i/>
          <w:color w:val="000000"/>
          <w:sz w:val="24"/>
          <w:szCs w:val="20"/>
          <w:u w:val="single"/>
        </w:rPr>
      </w:pPr>
      <w:r w:rsidRPr="007208F1">
        <w:rPr>
          <w:rFonts w:ascii="宋体" w:hAnsi="宋体" w:cs="宋体" w:hint="eastAsia"/>
          <w:b/>
          <w:i/>
          <w:color w:val="000000"/>
          <w:sz w:val="24"/>
          <w:szCs w:val="20"/>
          <w:u w:val="single"/>
        </w:rPr>
        <w:t>③</w:t>
      </w:r>
      <w:r w:rsidRPr="007208F1">
        <w:rPr>
          <w:b/>
          <w:i/>
          <w:color w:val="000000"/>
          <w:sz w:val="24"/>
          <w:szCs w:val="20"/>
          <w:u w:val="single"/>
        </w:rPr>
        <w:t>末端治理风险防范</w:t>
      </w:r>
    </w:p>
    <w:p w:rsidR="007208F1" w:rsidRPr="007208F1" w:rsidRDefault="007208F1" w:rsidP="007208F1">
      <w:pPr>
        <w:spacing w:line="480" w:lineRule="exact"/>
        <w:ind w:firstLineChars="200" w:firstLine="482"/>
        <w:rPr>
          <w:b/>
          <w:i/>
          <w:color w:val="000000"/>
          <w:sz w:val="24"/>
          <w:szCs w:val="20"/>
          <w:u w:val="single"/>
        </w:rPr>
      </w:pPr>
      <w:r w:rsidRPr="007208F1">
        <w:rPr>
          <w:b/>
          <w:i/>
          <w:color w:val="000000"/>
          <w:sz w:val="24"/>
          <w:szCs w:val="20"/>
          <w:u w:val="single"/>
        </w:rPr>
        <w:t>针对环境空气风险源：皮带廊道全部密闭作业，储煤棚全部密闭且顶棚设计安装一套喷淋雾化装置，在作业时保持湿度，防治粉尘，严格控制无组织排放粉尘，保证区域环境空气质量达标。</w:t>
      </w:r>
    </w:p>
    <w:p w:rsidR="007208F1" w:rsidRPr="007208F1" w:rsidRDefault="007208F1" w:rsidP="007208F1">
      <w:pPr>
        <w:spacing w:line="480" w:lineRule="exact"/>
        <w:ind w:firstLineChars="200" w:firstLine="482"/>
        <w:rPr>
          <w:b/>
          <w:i/>
          <w:color w:val="000000"/>
          <w:sz w:val="24"/>
          <w:szCs w:val="20"/>
          <w:u w:val="single"/>
        </w:rPr>
      </w:pPr>
      <w:r w:rsidRPr="007208F1">
        <w:rPr>
          <w:b/>
          <w:i/>
          <w:color w:val="000000"/>
          <w:sz w:val="24"/>
          <w:szCs w:val="20"/>
          <w:u w:val="single"/>
        </w:rPr>
        <w:t>针对地表水、地下水风险源：</w:t>
      </w:r>
      <w:r>
        <w:rPr>
          <w:rFonts w:hint="eastAsia"/>
          <w:b/>
          <w:i/>
          <w:color w:val="000000"/>
          <w:sz w:val="24"/>
          <w:szCs w:val="20"/>
          <w:u w:val="single"/>
        </w:rPr>
        <w:t>矿井水处理站、生活污水</w:t>
      </w:r>
      <w:r w:rsidRPr="007208F1">
        <w:rPr>
          <w:rFonts w:hint="eastAsia"/>
          <w:b/>
          <w:i/>
          <w:color w:val="000000"/>
          <w:sz w:val="24"/>
          <w:szCs w:val="20"/>
          <w:u w:val="single"/>
        </w:rPr>
        <w:t>处理站</w:t>
      </w:r>
      <w:r w:rsidRPr="007208F1">
        <w:rPr>
          <w:b/>
          <w:i/>
          <w:color w:val="000000"/>
          <w:sz w:val="24"/>
          <w:szCs w:val="20"/>
          <w:u w:val="single"/>
        </w:rPr>
        <w:t>事故一旦发生，</w:t>
      </w:r>
      <w:r w:rsidRPr="007208F1">
        <w:rPr>
          <w:rFonts w:hint="eastAsia"/>
          <w:b/>
          <w:i/>
          <w:color w:val="000000"/>
          <w:sz w:val="24"/>
          <w:szCs w:val="20"/>
          <w:u w:val="single"/>
        </w:rPr>
        <w:t>事故水池立即</w:t>
      </w:r>
      <w:r w:rsidRPr="007208F1">
        <w:rPr>
          <w:b/>
          <w:i/>
          <w:color w:val="000000"/>
          <w:sz w:val="24"/>
          <w:szCs w:val="20"/>
          <w:u w:val="single"/>
        </w:rPr>
        <w:t>起动，</w:t>
      </w:r>
      <w:r w:rsidRPr="007208F1">
        <w:rPr>
          <w:rFonts w:hint="eastAsia"/>
          <w:b/>
          <w:i/>
          <w:color w:val="000000"/>
          <w:sz w:val="24"/>
          <w:szCs w:val="20"/>
          <w:u w:val="single"/>
        </w:rPr>
        <w:t>然后及时对</w:t>
      </w:r>
      <w:r w:rsidRPr="007208F1">
        <w:rPr>
          <w:b/>
          <w:i/>
          <w:color w:val="000000"/>
          <w:sz w:val="24"/>
          <w:szCs w:val="20"/>
          <w:u w:val="single"/>
        </w:rPr>
        <w:t>设备进行抢修，迅速排除故障</w:t>
      </w:r>
      <w:r w:rsidRPr="007208F1">
        <w:rPr>
          <w:rFonts w:hint="eastAsia"/>
          <w:b/>
          <w:i/>
          <w:color w:val="000000"/>
          <w:sz w:val="24"/>
          <w:szCs w:val="20"/>
          <w:u w:val="single"/>
        </w:rPr>
        <w:t>，</w:t>
      </w:r>
      <w:r w:rsidRPr="007208F1">
        <w:rPr>
          <w:b/>
          <w:i/>
          <w:color w:val="000000"/>
          <w:sz w:val="24"/>
          <w:szCs w:val="20"/>
          <w:u w:val="single"/>
        </w:rPr>
        <w:t>最大限度减小污染。</w:t>
      </w:r>
      <w:r>
        <w:rPr>
          <w:rFonts w:hint="eastAsia"/>
          <w:b/>
          <w:i/>
          <w:color w:val="000000"/>
          <w:sz w:val="24"/>
          <w:szCs w:val="20"/>
          <w:u w:val="single"/>
        </w:rPr>
        <w:t>同时</w:t>
      </w:r>
      <w:r w:rsidRPr="00B56224">
        <w:rPr>
          <w:rFonts w:hint="eastAsia"/>
          <w:b/>
          <w:bCs/>
          <w:i/>
          <w:sz w:val="24"/>
          <w:u w:val="single"/>
        </w:rPr>
        <w:t>评价建议建设单位应加强管理，做好设备日常维护，减少事故发生概率，避免事故发生</w:t>
      </w:r>
      <w:r>
        <w:rPr>
          <w:rFonts w:hint="eastAsia"/>
          <w:b/>
          <w:bCs/>
          <w:i/>
          <w:sz w:val="24"/>
          <w:u w:val="single"/>
        </w:rPr>
        <w:t>。</w:t>
      </w:r>
    </w:p>
    <w:p w:rsidR="007208F1" w:rsidRPr="007208F1" w:rsidRDefault="007208F1" w:rsidP="007208F1">
      <w:pPr>
        <w:spacing w:line="480" w:lineRule="exact"/>
        <w:ind w:firstLineChars="200" w:firstLine="482"/>
        <w:rPr>
          <w:b/>
          <w:i/>
          <w:color w:val="000000"/>
          <w:sz w:val="24"/>
          <w:szCs w:val="20"/>
          <w:u w:val="single"/>
        </w:rPr>
      </w:pPr>
      <w:r w:rsidRPr="007208F1">
        <w:rPr>
          <w:rFonts w:ascii="宋体" w:hAnsi="宋体" w:cs="宋体" w:hint="eastAsia"/>
          <w:b/>
          <w:i/>
          <w:color w:val="000000"/>
          <w:sz w:val="24"/>
          <w:szCs w:val="20"/>
          <w:u w:val="single"/>
        </w:rPr>
        <w:t>④</w:t>
      </w:r>
      <w:r w:rsidRPr="007208F1">
        <w:rPr>
          <w:b/>
          <w:i/>
          <w:color w:val="000000"/>
          <w:sz w:val="24"/>
          <w:szCs w:val="20"/>
          <w:u w:val="single"/>
        </w:rPr>
        <w:t>风险应急管理要求</w:t>
      </w:r>
    </w:p>
    <w:p w:rsidR="007208F1" w:rsidRPr="007208F1" w:rsidRDefault="007208F1" w:rsidP="007208F1">
      <w:pPr>
        <w:spacing w:line="480" w:lineRule="exact"/>
        <w:ind w:firstLineChars="200" w:firstLine="482"/>
        <w:rPr>
          <w:b/>
          <w:i/>
          <w:color w:val="000000"/>
          <w:sz w:val="24"/>
          <w:szCs w:val="20"/>
          <w:u w:val="single"/>
        </w:rPr>
      </w:pPr>
      <w:r w:rsidRPr="007208F1">
        <w:rPr>
          <w:b/>
          <w:i/>
          <w:color w:val="000000"/>
          <w:sz w:val="24"/>
          <w:szCs w:val="20"/>
          <w:u w:val="single"/>
        </w:rPr>
        <w:t>建立完善的安全管理体系，设置必要的安全管理机构，配备相应的专职管理、检查、监测人员和必要的仪器、设备设施；</w:t>
      </w:r>
    </w:p>
    <w:p w:rsidR="007208F1" w:rsidRPr="007208F1" w:rsidRDefault="007208F1" w:rsidP="007208F1">
      <w:pPr>
        <w:spacing w:line="480" w:lineRule="exact"/>
        <w:ind w:firstLineChars="200" w:firstLine="482"/>
        <w:rPr>
          <w:b/>
          <w:i/>
          <w:color w:val="000000"/>
          <w:sz w:val="24"/>
          <w:szCs w:val="20"/>
          <w:u w:val="single"/>
        </w:rPr>
      </w:pPr>
      <w:r w:rsidRPr="007208F1">
        <w:rPr>
          <w:b/>
          <w:i/>
          <w:color w:val="000000"/>
          <w:sz w:val="24"/>
          <w:szCs w:val="20"/>
          <w:u w:val="single"/>
        </w:rPr>
        <w:t>必须建立健全安全生产责任制和各项安全生产管理规度，制定安全操作规程。加强岗位安全、环保培训，严格遵守各项规章制度，尽可能防止人为失误导致风险事故发生。</w:t>
      </w:r>
    </w:p>
    <w:p w:rsidR="00240BCE" w:rsidRPr="007208F1" w:rsidRDefault="007208F1" w:rsidP="007208F1">
      <w:pPr>
        <w:spacing w:line="480" w:lineRule="exact"/>
        <w:ind w:firstLineChars="200" w:firstLine="482"/>
        <w:rPr>
          <w:b/>
          <w:i/>
          <w:color w:val="000000"/>
          <w:sz w:val="24"/>
          <w:szCs w:val="20"/>
          <w:u w:val="single"/>
        </w:rPr>
      </w:pPr>
      <w:r w:rsidRPr="007208F1">
        <w:rPr>
          <w:b/>
          <w:i/>
          <w:color w:val="000000"/>
          <w:sz w:val="24"/>
          <w:szCs w:val="20"/>
          <w:u w:val="single"/>
        </w:rPr>
        <w:t>建立和完善定期巡查制度，发现问题，及时上报处理。</w:t>
      </w:r>
    </w:p>
    <w:p w:rsidR="00240BCE" w:rsidRDefault="00AC0334" w:rsidP="009C5F33">
      <w:pPr>
        <w:keepNext/>
        <w:keepLines/>
        <w:adjustRightInd w:val="0"/>
        <w:snapToGrid w:val="0"/>
        <w:spacing w:beforeLines="100" w:afterLines="50"/>
        <w:jc w:val="left"/>
        <w:outlineLvl w:val="1"/>
        <w:rPr>
          <w:b/>
          <w:bCs/>
          <w:sz w:val="32"/>
          <w:szCs w:val="32"/>
        </w:rPr>
      </w:pPr>
      <w:bookmarkStart w:id="827" w:name="_Toc316979414"/>
      <w:bookmarkStart w:id="828" w:name="_Toc54305290"/>
      <w:bookmarkStart w:id="829" w:name="_Toc81934397"/>
      <w:r>
        <w:rPr>
          <w:b/>
          <w:bCs/>
          <w:sz w:val="32"/>
          <w:szCs w:val="32"/>
        </w:rPr>
        <w:t xml:space="preserve">7.4 </w:t>
      </w:r>
      <w:r>
        <w:rPr>
          <w:b/>
          <w:bCs/>
          <w:spacing w:val="2"/>
          <w:sz w:val="32"/>
          <w:szCs w:val="32"/>
        </w:rPr>
        <w:t>地表沉陷治理及</w:t>
      </w:r>
      <w:r>
        <w:rPr>
          <w:b/>
          <w:bCs/>
          <w:sz w:val="32"/>
          <w:szCs w:val="32"/>
        </w:rPr>
        <w:t>生态保护措施</w:t>
      </w:r>
      <w:bookmarkEnd w:id="827"/>
      <w:bookmarkEnd w:id="828"/>
      <w:bookmarkEnd w:id="829"/>
    </w:p>
    <w:p w:rsidR="00240BCE" w:rsidRDefault="00AC0334">
      <w:pPr>
        <w:spacing w:line="520" w:lineRule="exact"/>
        <w:ind w:firstLineChars="200" w:firstLine="480"/>
        <w:rPr>
          <w:color w:val="000000"/>
          <w:sz w:val="24"/>
        </w:rPr>
      </w:pPr>
      <w:r>
        <w:rPr>
          <w:color w:val="000000"/>
          <w:sz w:val="24"/>
        </w:rPr>
        <w:t>本项目地表沉陷治理及生态保护与恢复措施结合环境保护部</w:t>
      </w:r>
      <w:r>
        <w:rPr>
          <w:color w:val="000000"/>
          <w:sz w:val="24"/>
        </w:rPr>
        <w:t>2013</w:t>
      </w:r>
      <w:r>
        <w:rPr>
          <w:color w:val="000000"/>
          <w:sz w:val="24"/>
        </w:rPr>
        <w:t>年</w:t>
      </w:r>
      <w:r>
        <w:rPr>
          <w:color w:val="000000"/>
          <w:sz w:val="24"/>
        </w:rPr>
        <w:t>7</w:t>
      </w:r>
      <w:r>
        <w:rPr>
          <w:color w:val="000000"/>
          <w:sz w:val="24"/>
        </w:rPr>
        <w:t>月</w:t>
      </w:r>
      <w:r>
        <w:rPr>
          <w:color w:val="000000"/>
          <w:sz w:val="24"/>
        </w:rPr>
        <w:t>23</w:t>
      </w:r>
      <w:r>
        <w:rPr>
          <w:color w:val="000000"/>
          <w:sz w:val="24"/>
        </w:rPr>
        <w:t>日发布实施的《矿山生态环境保护与恢复治理技术规范</w:t>
      </w:r>
      <w:r>
        <w:rPr>
          <w:color w:val="000000"/>
          <w:sz w:val="24"/>
        </w:rPr>
        <w:t>(</w:t>
      </w:r>
      <w:r>
        <w:rPr>
          <w:color w:val="000000"/>
          <w:sz w:val="24"/>
        </w:rPr>
        <w:t>试行</w:t>
      </w:r>
      <w:r>
        <w:rPr>
          <w:color w:val="000000"/>
          <w:sz w:val="24"/>
        </w:rPr>
        <w:t>)</w:t>
      </w:r>
      <w:r>
        <w:rPr>
          <w:color w:val="000000"/>
          <w:sz w:val="24"/>
        </w:rPr>
        <w:t>》，坚持</w:t>
      </w:r>
      <w:r>
        <w:rPr>
          <w:color w:val="000000"/>
          <w:sz w:val="24"/>
        </w:rPr>
        <w:t>“</w:t>
      </w:r>
      <w:r>
        <w:rPr>
          <w:color w:val="000000"/>
          <w:sz w:val="24"/>
        </w:rPr>
        <w:t>预防为主、防治结合、过程控制</w:t>
      </w:r>
      <w:r>
        <w:rPr>
          <w:color w:val="000000"/>
          <w:sz w:val="24"/>
        </w:rPr>
        <w:t>”</w:t>
      </w:r>
      <w:r>
        <w:rPr>
          <w:color w:val="000000"/>
          <w:sz w:val="24"/>
        </w:rPr>
        <w:t>的原则，将矿山生态环境保护与恢复治理贯穿矿产资源开采的全过程。根据矿山生态环境保护与恢复治理的重点任务，合理确定矿山生态保护与恢复治理分区，优化矿区生产与生活空间格局。</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30" w:name="_Toc79668727"/>
      <w:r>
        <w:rPr>
          <w:rFonts w:eastAsia="楷体"/>
          <w:sz w:val="28"/>
          <w:szCs w:val="28"/>
        </w:rPr>
        <w:lastRenderedPageBreak/>
        <w:t xml:space="preserve">7.4.1 </w:t>
      </w:r>
      <w:r>
        <w:rPr>
          <w:rFonts w:eastAsia="楷体"/>
          <w:sz w:val="28"/>
          <w:szCs w:val="28"/>
        </w:rPr>
        <w:t>防治原则</w:t>
      </w:r>
      <w:bookmarkEnd w:id="830"/>
      <w:r>
        <w:rPr>
          <w:rFonts w:eastAsia="楷体"/>
          <w:sz w:val="28"/>
          <w:szCs w:val="28"/>
        </w:rPr>
        <w:t xml:space="preserve"> </w:t>
      </w:r>
    </w:p>
    <w:p w:rsidR="00240BCE" w:rsidRDefault="00AC0334">
      <w:pPr>
        <w:autoSpaceDE w:val="0"/>
        <w:autoSpaceDN w:val="0"/>
        <w:adjustRightInd w:val="0"/>
        <w:spacing w:line="480" w:lineRule="exact"/>
        <w:ind w:firstLine="488"/>
        <w:rPr>
          <w:color w:val="000000"/>
          <w:sz w:val="24"/>
          <w:lang w:val="zh-CN"/>
        </w:rPr>
      </w:pPr>
      <w:bookmarkStart w:id="831" w:name="_Toc195797379"/>
      <w:bookmarkStart w:id="832" w:name="_Toc196110240"/>
      <w:bookmarkStart w:id="833" w:name="_Toc170123425"/>
      <w:r>
        <w:rPr>
          <w:color w:val="000000"/>
          <w:sz w:val="24"/>
          <w:lang w:val="zh-CN"/>
        </w:rPr>
        <w:t>从生态环境的特点及其保护要求出发，主要采取的保护途径应有三个方面：保护、恢复和建设。</w:t>
      </w:r>
    </w:p>
    <w:p w:rsidR="00240BCE" w:rsidRDefault="00AC0334">
      <w:pPr>
        <w:autoSpaceDE w:val="0"/>
        <w:autoSpaceDN w:val="0"/>
        <w:adjustRightInd w:val="0"/>
        <w:spacing w:line="480" w:lineRule="exact"/>
        <w:ind w:firstLine="488"/>
        <w:rPr>
          <w:color w:val="000000"/>
          <w:sz w:val="24"/>
          <w:lang w:val="zh-CN"/>
        </w:rPr>
      </w:pPr>
      <w:r>
        <w:rPr>
          <w:color w:val="000000"/>
          <w:sz w:val="24"/>
          <w:lang w:val="zh-CN"/>
        </w:rPr>
        <w:t>保护：即贯彻</w:t>
      </w:r>
      <w:r>
        <w:rPr>
          <w:color w:val="000000"/>
          <w:sz w:val="24"/>
          <w:lang w:val="zh-CN"/>
        </w:rPr>
        <w:t>“</w:t>
      </w:r>
      <w:r>
        <w:rPr>
          <w:color w:val="000000"/>
          <w:sz w:val="24"/>
          <w:lang w:val="zh-CN"/>
        </w:rPr>
        <w:t>预防为主</w:t>
      </w:r>
      <w:r>
        <w:rPr>
          <w:color w:val="000000"/>
          <w:sz w:val="24"/>
          <w:lang w:val="zh-CN"/>
        </w:rPr>
        <w:t>”</w:t>
      </w:r>
      <w:r>
        <w:rPr>
          <w:color w:val="000000"/>
          <w:sz w:val="24"/>
          <w:lang w:val="zh-CN"/>
        </w:rPr>
        <w:t>的思想和政策，有些类型的生态环境一经破坏就不能再恢复而发生不可逆的影响，此时实行预防性保护几乎是唯一的措施，如预留煤柱保护河道、公路及地面主要建筑物</w:t>
      </w:r>
      <w:r>
        <w:rPr>
          <w:rFonts w:hint="eastAsia"/>
          <w:color w:val="000000"/>
          <w:sz w:val="24"/>
          <w:lang w:val="zh-CN"/>
        </w:rPr>
        <w:t>。</w:t>
      </w:r>
    </w:p>
    <w:p w:rsidR="00240BCE" w:rsidRDefault="00AC0334">
      <w:pPr>
        <w:autoSpaceDE w:val="0"/>
        <w:autoSpaceDN w:val="0"/>
        <w:adjustRightInd w:val="0"/>
        <w:spacing w:line="480" w:lineRule="exact"/>
        <w:ind w:firstLine="488"/>
        <w:rPr>
          <w:color w:val="000000"/>
          <w:sz w:val="24"/>
          <w:lang w:val="zh-CN"/>
        </w:rPr>
      </w:pPr>
      <w:r>
        <w:rPr>
          <w:color w:val="000000"/>
          <w:sz w:val="24"/>
          <w:lang w:val="zh-CN"/>
        </w:rPr>
        <w:t>恢复：即通过努力使生态环境的结构功能得到恢复，如土地破坏的复垦，临时堆矸场事后覆盖与绿化等</w:t>
      </w:r>
      <w:r>
        <w:rPr>
          <w:rFonts w:hint="eastAsia"/>
          <w:color w:val="000000"/>
          <w:sz w:val="24"/>
          <w:lang w:val="zh-CN"/>
        </w:rPr>
        <w:t>。</w:t>
      </w:r>
    </w:p>
    <w:p w:rsidR="00240BCE" w:rsidRDefault="00AC0334">
      <w:pPr>
        <w:autoSpaceDE w:val="0"/>
        <w:autoSpaceDN w:val="0"/>
        <w:adjustRightInd w:val="0"/>
        <w:spacing w:line="480" w:lineRule="exact"/>
        <w:ind w:firstLine="488"/>
        <w:rPr>
          <w:color w:val="000000"/>
          <w:sz w:val="24"/>
          <w:lang w:val="zh-CN"/>
        </w:rPr>
      </w:pPr>
      <w:r>
        <w:rPr>
          <w:color w:val="000000"/>
          <w:sz w:val="24"/>
          <w:lang w:val="zh-CN"/>
        </w:rPr>
        <w:t>建设：为保证建设项目可持续发展和促进区域的可持续发展，隆庆煤矿不仅应保护和恢复影响的生态系统及其环境功能，而且需要采取改善区域生态环境，建设具有更高功能的生态系统的措施，如地下水资源保护和利用措施等。</w:t>
      </w:r>
    </w:p>
    <w:p w:rsidR="00240BCE" w:rsidRDefault="00AC0334">
      <w:pPr>
        <w:spacing w:line="520" w:lineRule="exact"/>
        <w:ind w:firstLineChars="200" w:firstLine="480"/>
        <w:rPr>
          <w:color w:val="000000"/>
          <w:sz w:val="24"/>
          <w:lang w:val="zh-CN"/>
        </w:rPr>
      </w:pPr>
      <w:r>
        <w:rPr>
          <w:color w:val="000000"/>
          <w:sz w:val="24"/>
          <w:lang w:val="zh-CN"/>
        </w:rPr>
        <w:t>总之，生态综合防治的原则是：因地制宜、防治结合、工程措施与植物措施相结合，全面推行清洁生产，加强环境管理。</w:t>
      </w:r>
    </w:p>
    <w:p w:rsidR="00240BCE" w:rsidRPr="007208F1" w:rsidRDefault="00AC0334" w:rsidP="009C5F33">
      <w:pPr>
        <w:keepNext/>
        <w:keepLines/>
        <w:adjustRightInd w:val="0"/>
        <w:snapToGrid w:val="0"/>
        <w:spacing w:beforeLines="70" w:afterLines="30"/>
        <w:jc w:val="left"/>
        <w:outlineLvl w:val="2"/>
        <w:rPr>
          <w:rFonts w:eastAsia="楷体"/>
          <w:b/>
          <w:bCs/>
          <w:i/>
          <w:szCs w:val="28"/>
          <w:u w:val="single"/>
        </w:rPr>
      </w:pPr>
      <w:r w:rsidRPr="007208F1">
        <w:rPr>
          <w:rFonts w:eastAsia="楷体"/>
          <w:b/>
          <w:bCs/>
          <w:i/>
          <w:szCs w:val="28"/>
          <w:u w:val="single"/>
        </w:rPr>
        <w:t xml:space="preserve">7.4.2 </w:t>
      </w:r>
      <w:r w:rsidRPr="007208F1">
        <w:rPr>
          <w:rFonts w:eastAsia="楷体"/>
          <w:b/>
          <w:bCs/>
          <w:i/>
          <w:szCs w:val="28"/>
          <w:u w:val="single"/>
        </w:rPr>
        <w:t>建设期生态保护措施</w:t>
      </w:r>
    </w:p>
    <w:p w:rsidR="00240BCE" w:rsidRPr="007208F1" w:rsidRDefault="00AC0334" w:rsidP="007208F1">
      <w:pPr>
        <w:spacing w:line="500" w:lineRule="exact"/>
        <w:ind w:firstLineChars="200" w:firstLine="482"/>
        <w:rPr>
          <w:b/>
          <w:i/>
          <w:sz w:val="24"/>
          <w:u w:val="single"/>
        </w:rPr>
      </w:pPr>
      <w:r w:rsidRPr="007208F1">
        <w:rPr>
          <w:b/>
          <w:i/>
          <w:sz w:val="24"/>
          <w:u w:val="single"/>
        </w:rPr>
        <w:t>（</w:t>
      </w:r>
      <w:r w:rsidRPr="007208F1">
        <w:rPr>
          <w:b/>
          <w:i/>
          <w:sz w:val="24"/>
          <w:u w:val="single"/>
        </w:rPr>
        <w:t>1</w:t>
      </w:r>
      <w:r w:rsidRPr="007208F1">
        <w:rPr>
          <w:b/>
          <w:i/>
          <w:sz w:val="24"/>
          <w:u w:val="single"/>
        </w:rPr>
        <w:t>）强化建设期生态保护意识，制定并落实生态环境保护与恢复的监督管理措施，指定专门人员负责施工期生态环境监督与管理工作</w:t>
      </w:r>
      <w:r w:rsidRPr="007208F1">
        <w:rPr>
          <w:rFonts w:hint="eastAsia"/>
          <w:b/>
          <w:i/>
          <w:sz w:val="24"/>
          <w:u w:val="single"/>
        </w:rPr>
        <w:t>。</w:t>
      </w:r>
    </w:p>
    <w:p w:rsidR="00240BCE" w:rsidRDefault="00AC0334">
      <w:pPr>
        <w:spacing w:line="500" w:lineRule="exact"/>
        <w:ind w:firstLineChars="200" w:firstLine="480"/>
        <w:rPr>
          <w:sz w:val="24"/>
        </w:rPr>
      </w:pPr>
      <w:r>
        <w:rPr>
          <w:sz w:val="24"/>
        </w:rPr>
        <w:t>（</w:t>
      </w:r>
      <w:r>
        <w:rPr>
          <w:sz w:val="24"/>
        </w:rPr>
        <w:t>2</w:t>
      </w:r>
      <w:r>
        <w:rPr>
          <w:sz w:val="24"/>
        </w:rPr>
        <w:t>）施工时在满足施工要求的前提下，施工场地要尽量减少占地面积，以减轻对施工场地周围土壤、植被的影响，不得随意侵占周围土地</w:t>
      </w:r>
      <w:r>
        <w:rPr>
          <w:rFonts w:hint="eastAsia"/>
          <w:sz w:val="24"/>
        </w:rPr>
        <w:t>。</w:t>
      </w:r>
    </w:p>
    <w:p w:rsidR="00240BCE" w:rsidRDefault="00AC0334">
      <w:pPr>
        <w:spacing w:line="500" w:lineRule="exact"/>
        <w:ind w:firstLineChars="200" w:firstLine="480"/>
        <w:rPr>
          <w:sz w:val="24"/>
        </w:rPr>
      </w:pPr>
      <w:r>
        <w:rPr>
          <w:sz w:val="24"/>
        </w:rPr>
        <w:t>（</w:t>
      </w:r>
      <w:r>
        <w:rPr>
          <w:sz w:val="24"/>
        </w:rPr>
        <w:t>3</w:t>
      </w:r>
      <w:r>
        <w:rPr>
          <w:sz w:val="24"/>
        </w:rPr>
        <w:t>）施工过程中应合理安排施工计划，避免在大风、暴雨时进行施工作业；做好施工区的土石方挖填平衡，防止水土流失</w:t>
      </w:r>
      <w:r>
        <w:rPr>
          <w:rFonts w:hint="eastAsia"/>
          <w:sz w:val="24"/>
        </w:rPr>
        <w:t>。</w:t>
      </w:r>
    </w:p>
    <w:p w:rsidR="00240BCE" w:rsidRDefault="00AC0334">
      <w:pPr>
        <w:adjustRightInd w:val="0"/>
        <w:snapToGrid w:val="0"/>
        <w:spacing w:line="500" w:lineRule="exact"/>
        <w:ind w:firstLineChars="200" w:firstLine="480"/>
        <w:rPr>
          <w:sz w:val="24"/>
        </w:rPr>
      </w:pPr>
      <w:r>
        <w:rPr>
          <w:sz w:val="24"/>
        </w:rPr>
        <w:t>（</w:t>
      </w:r>
      <w:r>
        <w:rPr>
          <w:sz w:val="24"/>
        </w:rPr>
        <w:t>4</w:t>
      </w:r>
      <w:r>
        <w:rPr>
          <w:sz w:val="24"/>
        </w:rPr>
        <w:t>）制定水土保持措施，减少水土流失，土方开挖设置临时排水沟，小范围的土石方堆场设置编织袋临时拦挡等。</w:t>
      </w:r>
    </w:p>
    <w:p w:rsidR="00240BCE" w:rsidRDefault="00AC0334">
      <w:pPr>
        <w:spacing w:line="500" w:lineRule="exact"/>
        <w:ind w:firstLineChars="200" w:firstLine="480"/>
        <w:rPr>
          <w:sz w:val="24"/>
        </w:rPr>
      </w:pPr>
      <w:r>
        <w:rPr>
          <w:sz w:val="24"/>
        </w:rPr>
        <w:t>（</w:t>
      </w:r>
      <w:r>
        <w:rPr>
          <w:sz w:val="24"/>
        </w:rPr>
        <w:t>5</w:t>
      </w:r>
      <w:r>
        <w:rPr>
          <w:sz w:val="24"/>
        </w:rPr>
        <w:t>）施工结束后，对施工现场要进行清理，平整施工场地，对可恢复的施工占地要选择适宜树种进行绿化，防止发生新的土壤侵蚀。</w:t>
      </w:r>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7.4.3 </w:t>
      </w:r>
      <w:r>
        <w:rPr>
          <w:rFonts w:eastAsia="楷体"/>
          <w:b/>
          <w:bCs/>
          <w:szCs w:val="28"/>
        </w:rPr>
        <w:t>运营期地表沉陷防治及生态保护措施</w:t>
      </w:r>
    </w:p>
    <w:p w:rsidR="00240BCE" w:rsidRDefault="00AC0334">
      <w:pPr>
        <w:spacing w:line="500" w:lineRule="exact"/>
        <w:rPr>
          <w:color w:val="000000"/>
          <w:sz w:val="24"/>
        </w:rPr>
      </w:pPr>
      <w:r>
        <w:rPr>
          <w:color w:val="000000"/>
          <w:sz w:val="24"/>
        </w:rPr>
        <w:t>7.4.3.1</w:t>
      </w:r>
      <w:r>
        <w:rPr>
          <w:color w:val="000000"/>
          <w:sz w:val="24"/>
        </w:rPr>
        <w:t>基本原则</w:t>
      </w:r>
    </w:p>
    <w:p w:rsidR="00240BCE" w:rsidRDefault="00AC0334">
      <w:pPr>
        <w:autoSpaceDE w:val="0"/>
        <w:autoSpaceDN w:val="0"/>
        <w:adjustRightInd w:val="0"/>
        <w:spacing w:line="500" w:lineRule="exact"/>
        <w:ind w:firstLineChars="200" w:firstLine="480"/>
        <w:rPr>
          <w:color w:val="000000"/>
          <w:sz w:val="24"/>
          <w:lang w:val="zh-CN"/>
        </w:rPr>
      </w:pPr>
      <w:r>
        <w:rPr>
          <w:color w:val="000000"/>
          <w:sz w:val="24"/>
          <w:lang w:val="zh-CN"/>
        </w:rPr>
        <w:lastRenderedPageBreak/>
        <w:t>营运过程主要的生态影响为地表塌陷对沉陷范围内的地面建（构）筑物、道路、耕地、河流等的影响，应采取相应的生态保护措施，维护、恢复和改善生态环境。</w:t>
      </w:r>
    </w:p>
    <w:p w:rsidR="00240BCE" w:rsidRDefault="00AC0334">
      <w:pPr>
        <w:spacing w:line="520" w:lineRule="exact"/>
        <w:ind w:firstLineChars="200" w:firstLine="480"/>
        <w:rPr>
          <w:color w:val="000000"/>
          <w:sz w:val="24"/>
          <w:lang w:val="zh-CN"/>
        </w:rPr>
      </w:pPr>
      <w:r>
        <w:rPr>
          <w:color w:val="000000"/>
          <w:sz w:val="24"/>
          <w:lang w:val="zh-CN"/>
        </w:rPr>
        <w:t>（</w:t>
      </w:r>
      <w:r>
        <w:rPr>
          <w:color w:val="000000"/>
          <w:sz w:val="24"/>
          <w:lang w:val="zh-CN"/>
        </w:rPr>
        <w:t>1</w:t>
      </w:r>
      <w:r>
        <w:rPr>
          <w:color w:val="000000"/>
          <w:sz w:val="24"/>
          <w:lang w:val="zh-CN"/>
        </w:rPr>
        <w:t>）按照</w:t>
      </w:r>
      <w:r>
        <w:rPr>
          <w:color w:val="000000"/>
          <w:sz w:val="24"/>
          <w:lang w:val="zh-CN"/>
        </w:rPr>
        <w:t>“</w:t>
      </w:r>
      <w:r>
        <w:rPr>
          <w:color w:val="000000"/>
          <w:sz w:val="24"/>
          <w:lang w:val="zh-CN"/>
        </w:rPr>
        <w:t>谁破坏、谁治理</w:t>
      </w:r>
      <w:r>
        <w:rPr>
          <w:color w:val="000000"/>
          <w:sz w:val="24"/>
          <w:lang w:val="zh-CN"/>
        </w:rPr>
        <w:t>”</w:t>
      </w:r>
      <w:r>
        <w:rPr>
          <w:color w:val="000000"/>
          <w:sz w:val="24"/>
          <w:lang w:val="zh-CN"/>
        </w:rPr>
        <w:t>的原则，建设单位组织专门队伍，结合开采进度，对采区上方出现的沉陷台阶或地表裂缝及时整平、填充；坚决执行</w:t>
      </w:r>
      <w:r>
        <w:rPr>
          <w:color w:val="000000"/>
          <w:sz w:val="24"/>
          <w:lang w:val="zh-CN"/>
        </w:rPr>
        <w:t>“</w:t>
      </w:r>
      <w:r>
        <w:rPr>
          <w:color w:val="000000"/>
          <w:sz w:val="24"/>
          <w:lang w:val="zh-CN"/>
        </w:rPr>
        <w:t>谁开发谁保护、谁破坏谁治理</w:t>
      </w:r>
      <w:r>
        <w:rPr>
          <w:color w:val="000000"/>
          <w:sz w:val="24"/>
          <w:lang w:val="zh-CN"/>
        </w:rPr>
        <w:t>”</w:t>
      </w:r>
      <w:r>
        <w:rPr>
          <w:color w:val="000000"/>
          <w:sz w:val="24"/>
          <w:lang w:val="zh-CN"/>
        </w:rPr>
        <w:t>的政策，做到边采矿、边整治、边复垦。建议将沉陷区治理与矿井建设同步设计、同步实施，制定采矿计划时同步做好沉陷区治理规划设计，并在采矿过程中实施。</w:t>
      </w:r>
    </w:p>
    <w:p w:rsidR="00240BCE" w:rsidRDefault="00AC0334">
      <w:pPr>
        <w:spacing w:line="520" w:lineRule="exact"/>
        <w:ind w:firstLineChars="200" w:firstLine="480"/>
        <w:rPr>
          <w:color w:val="000000"/>
          <w:sz w:val="24"/>
          <w:lang w:val="zh-CN"/>
        </w:rPr>
      </w:pPr>
      <w:r>
        <w:rPr>
          <w:color w:val="000000"/>
          <w:sz w:val="24"/>
          <w:lang w:val="zh-CN"/>
        </w:rPr>
        <w:t>（</w:t>
      </w:r>
      <w:r>
        <w:rPr>
          <w:color w:val="000000"/>
          <w:sz w:val="24"/>
          <w:lang w:val="zh-CN"/>
        </w:rPr>
        <w:t>2</w:t>
      </w:r>
      <w:r>
        <w:rPr>
          <w:color w:val="000000"/>
          <w:sz w:val="24"/>
          <w:lang w:val="zh-CN"/>
        </w:rPr>
        <w:t>）结合当地生态保护规划，从矿井开发、地表沉陷实际情况、生态环境的特点以及人口特点，制定沉陷区综合治理计划。</w:t>
      </w:r>
    </w:p>
    <w:p w:rsidR="00240BCE" w:rsidRDefault="00AC0334">
      <w:pPr>
        <w:autoSpaceDE w:val="0"/>
        <w:autoSpaceDN w:val="0"/>
        <w:adjustRightInd w:val="0"/>
        <w:spacing w:line="520" w:lineRule="exact"/>
        <w:ind w:firstLineChars="200" w:firstLine="480"/>
        <w:rPr>
          <w:color w:val="000000"/>
          <w:sz w:val="24"/>
        </w:rPr>
      </w:pPr>
      <w:r>
        <w:rPr>
          <w:color w:val="000000"/>
          <w:sz w:val="24"/>
          <w:lang w:val="zh-CN"/>
        </w:rPr>
        <w:t>（</w:t>
      </w:r>
      <w:r>
        <w:rPr>
          <w:color w:val="000000"/>
          <w:sz w:val="24"/>
          <w:lang w:val="zh-CN"/>
        </w:rPr>
        <w:t>3</w:t>
      </w:r>
      <w:r>
        <w:rPr>
          <w:color w:val="000000"/>
          <w:sz w:val="24"/>
          <w:lang w:val="zh-CN"/>
        </w:rPr>
        <w:t>）</w:t>
      </w:r>
      <w:r>
        <w:rPr>
          <w:color w:val="000000"/>
          <w:sz w:val="24"/>
        </w:rPr>
        <w:t>对于沉陷区，复垦措施结合当地实际，选择适生树种草种，恢复土地原有使用功能。搬迁安置区应落实供水、供电、交通等基本生活保障。</w:t>
      </w:r>
    </w:p>
    <w:p w:rsidR="00240BCE" w:rsidRDefault="00AC0334">
      <w:pPr>
        <w:spacing w:line="520" w:lineRule="exact"/>
        <w:ind w:firstLineChars="200" w:firstLine="480"/>
        <w:rPr>
          <w:color w:val="000000"/>
          <w:sz w:val="24"/>
          <w:lang w:val="zh-CN"/>
        </w:rPr>
      </w:pPr>
      <w:r>
        <w:rPr>
          <w:color w:val="000000"/>
          <w:sz w:val="24"/>
        </w:rPr>
        <w:t>（</w:t>
      </w:r>
      <w:r>
        <w:rPr>
          <w:color w:val="000000"/>
          <w:sz w:val="24"/>
        </w:rPr>
        <w:t>4</w:t>
      </w:r>
      <w:r>
        <w:rPr>
          <w:color w:val="000000"/>
          <w:sz w:val="24"/>
        </w:rPr>
        <w:t>）</w:t>
      </w:r>
      <w:r>
        <w:rPr>
          <w:color w:val="000000"/>
          <w:sz w:val="24"/>
          <w:lang w:val="zh-CN"/>
        </w:rPr>
        <w:t>工业场地以及场外公路周围加强绿化，以补偿项目建设造成的植被损失。</w:t>
      </w:r>
    </w:p>
    <w:p w:rsidR="00240BCE" w:rsidRDefault="00AC0334">
      <w:pPr>
        <w:autoSpaceDE w:val="0"/>
        <w:autoSpaceDN w:val="0"/>
        <w:adjustRightInd w:val="0"/>
        <w:spacing w:line="500" w:lineRule="exact"/>
        <w:ind w:firstLine="488"/>
        <w:rPr>
          <w:color w:val="000000"/>
          <w:sz w:val="24"/>
          <w:lang w:val="zh-CN"/>
        </w:rPr>
      </w:pPr>
      <w:r>
        <w:rPr>
          <w:color w:val="000000"/>
          <w:sz w:val="24"/>
          <w:lang w:val="zh-CN"/>
        </w:rPr>
        <w:t>总之，生态综合防治的原则是：因地制宜、防治结合、工程措施与植物措施相结合，全面推行清洁生产，加强环境管理。</w:t>
      </w:r>
    </w:p>
    <w:p w:rsidR="00240BCE" w:rsidRDefault="00AC0334">
      <w:pPr>
        <w:autoSpaceDE w:val="0"/>
        <w:autoSpaceDN w:val="0"/>
        <w:adjustRightInd w:val="0"/>
        <w:spacing w:line="500" w:lineRule="exact"/>
        <w:rPr>
          <w:color w:val="000000"/>
          <w:sz w:val="24"/>
        </w:rPr>
      </w:pPr>
      <w:r>
        <w:rPr>
          <w:color w:val="000000"/>
          <w:sz w:val="24"/>
        </w:rPr>
        <w:t>7.4.3.</w:t>
      </w:r>
      <w:r>
        <w:rPr>
          <w:rFonts w:eastAsia="楷体_GB2312"/>
          <w:sz w:val="24"/>
          <w:szCs w:val="28"/>
        </w:rPr>
        <w:t xml:space="preserve">2 </w:t>
      </w:r>
      <w:r>
        <w:rPr>
          <w:sz w:val="24"/>
          <w:szCs w:val="28"/>
        </w:rPr>
        <w:t>地表沉陷防治、减缓与恢复措施</w:t>
      </w:r>
      <w:r>
        <w:rPr>
          <w:rFonts w:eastAsia="楷体_GB2312"/>
          <w:sz w:val="24"/>
          <w:szCs w:val="28"/>
        </w:rPr>
        <w:t xml:space="preserve"> </w:t>
      </w:r>
    </w:p>
    <w:p w:rsidR="00240BCE" w:rsidRPr="007208F1" w:rsidRDefault="00AC0334" w:rsidP="007208F1">
      <w:pPr>
        <w:spacing w:line="520" w:lineRule="exact"/>
        <w:ind w:firstLineChars="200" w:firstLine="482"/>
        <w:rPr>
          <w:b/>
          <w:i/>
          <w:sz w:val="24"/>
          <w:u w:val="single"/>
        </w:rPr>
      </w:pPr>
      <w:bookmarkStart w:id="834" w:name="_Toc148157111"/>
      <w:bookmarkStart w:id="835" w:name="_Toc154205550"/>
      <w:bookmarkStart w:id="836" w:name="_Toc148156555"/>
      <w:bookmarkStart w:id="837" w:name="_Toc157574378"/>
      <w:bookmarkStart w:id="838" w:name="_Toc158525010"/>
      <w:r w:rsidRPr="007208F1">
        <w:rPr>
          <w:b/>
          <w:i/>
          <w:sz w:val="24"/>
          <w:u w:val="single"/>
        </w:rPr>
        <w:t>一、居民建（构）筑物保护措施</w:t>
      </w:r>
    </w:p>
    <w:p w:rsidR="00240BCE" w:rsidRPr="007208F1" w:rsidRDefault="00AC0334" w:rsidP="007208F1">
      <w:pPr>
        <w:spacing w:line="520" w:lineRule="exact"/>
        <w:ind w:firstLineChars="200" w:firstLine="482"/>
        <w:rPr>
          <w:b/>
          <w:i/>
          <w:sz w:val="24"/>
          <w:u w:val="single"/>
        </w:rPr>
      </w:pPr>
      <w:r w:rsidRPr="007208F1">
        <w:rPr>
          <w:b/>
          <w:i/>
          <w:sz w:val="24"/>
          <w:u w:val="single"/>
        </w:rPr>
        <w:t>1</w:t>
      </w:r>
      <w:r w:rsidRPr="007208F1">
        <w:rPr>
          <w:b/>
          <w:i/>
          <w:sz w:val="24"/>
          <w:u w:val="single"/>
        </w:rPr>
        <w:t>、建构筑物损害情况及保护措施</w:t>
      </w:r>
    </w:p>
    <w:bookmarkEnd w:id="834"/>
    <w:bookmarkEnd w:id="835"/>
    <w:bookmarkEnd w:id="836"/>
    <w:bookmarkEnd w:id="837"/>
    <w:bookmarkEnd w:id="838"/>
    <w:p w:rsidR="00240BCE" w:rsidRPr="007208F1" w:rsidRDefault="00AC0334" w:rsidP="007208F1">
      <w:pPr>
        <w:spacing w:line="520" w:lineRule="exact"/>
        <w:ind w:firstLineChars="200" w:firstLine="482"/>
        <w:rPr>
          <w:b/>
          <w:i/>
          <w:sz w:val="24"/>
          <w:u w:val="single"/>
        </w:rPr>
      </w:pPr>
      <w:r w:rsidRPr="007208F1">
        <w:rPr>
          <w:b/>
          <w:i/>
          <w:sz w:val="24"/>
          <w:u w:val="single"/>
        </w:rPr>
        <w:t>根据初步设计及本次地表沉陷预测，井田范围内的</w:t>
      </w:r>
      <w:r w:rsidRPr="007208F1">
        <w:rPr>
          <w:b/>
          <w:bCs/>
          <w:i/>
          <w:sz w:val="24"/>
          <w:u w:val="single"/>
        </w:rPr>
        <w:t>赵沟村、楼院村、楼院小学、连庄村</w:t>
      </w:r>
      <w:r w:rsidRPr="007208F1">
        <w:rPr>
          <w:b/>
          <w:i/>
          <w:sz w:val="24"/>
          <w:u w:val="single"/>
        </w:rPr>
        <w:t>受地表沉陷影响破坏程度达到</w:t>
      </w:r>
      <w:r w:rsidRPr="007208F1">
        <w:rPr>
          <w:b/>
          <w:i/>
          <w:sz w:val="24"/>
          <w:u w:val="single"/>
        </w:rPr>
        <w:t>Ⅳ</w:t>
      </w:r>
      <w:r w:rsidRPr="007208F1">
        <w:rPr>
          <w:b/>
          <w:i/>
          <w:sz w:val="24"/>
          <w:u w:val="single"/>
        </w:rPr>
        <w:t>级，需要整体搬迁</w:t>
      </w:r>
      <w:r w:rsidR="007208F1">
        <w:rPr>
          <w:rFonts w:hint="eastAsia"/>
          <w:b/>
          <w:i/>
          <w:sz w:val="24"/>
          <w:u w:val="single"/>
        </w:rPr>
        <w:t>，均属于工程搬迁</w:t>
      </w:r>
      <w:r w:rsidRPr="007208F1">
        <w:rPr>
          <w:b/>
          <w:i/>
          <w:sz w:val="24"/>
          <w:u w:val="single"/>
        </w:rPr>
        <w:t>。因此建设单位应在开采前制定搬迁计划，根据开采进度及时予以整体搬迁，搬迁计划要遵循禹州市城市发展规划以</w:t>
      </w:r>
      <w:r w:rsidRPr="007208F1">
        <w:rPr>
          <w:rFonts w:hint="eastAsia"/>
          <w:b/>
          <w:i/>
          <w:sz w:val="24"/>
          <w:u w:val="single"/>
        </w:rPr>
        <w:t>、</w:t>
      </w:r>
      <w:r w:rsidRPr="007208F1">
        <w:rPr>
          <w:b/>
          <w:i/>
          <w:sz w:val="24"/>
          <w:u w:val="single"/>
        </w:rPr>
        <w:t>城镇</w:t>
      </w:r>
      <w:r w:rsidRPr="007208F1">
        <w:rPr>
          <w:rFonts w:hint="eastAsia"/>
          <w:b/>
          <w:i/>
          <w:sz w:val="24"/>
          <w:u w:val="single"/>
        </w:rPr>
        <w:t>体系</w:t>
      </w:r>
      <w:r w:rsidRPr="007208F1">
        <w:rPr>
          <w:b/>
          <w:i/>
          <w:sz w:val="24"/>
          <w:u w:val="single"/>
        </w:rPr>
        <w:t>规划和新农村建设规划，建设单位应积极与当地政府配合，从城镇布置整体出发，切实做好村民的搬迁和安置工作，保证资金来源，保障搬迁村民生活质量不低于现有水平。建设单位已于</w:t>
      </w:r>
      <w:r w:rsidRPr="007208F1">
        <w:rPr>
          <w:b/>
          <w:i/>
          <w:sz w:val="24"/>
          <w:u w:val="single"/>
        </w:rPr>
        <w:t>2019</w:t>
      </w:r>
      <w:r w:rsidRPr="007208F1">
        <w:rPr>
          <w:b/>
          <w:i/>
          <w:sz w:val="24"/>
          <w:u w:val="single"/>
        </w:rPr>
        <w:t>年</w:t>
      </w:r>
      <w:r w:rsidRPr="007208F1">
        <w:rPr>
          <w:b/>
          <w:i/>
          <w:sz w:val="24"/>
          <w:u w:val="single"/>
        </w:rPr>
        <w:t>3</w:t>
      </w:r>
      <w:r w:rsidRPr="007208F1">
        <w:rPr>
          <w:b/>
          <w:i/>
          <w:sz w:val="24"/>
          <w:u w:val="single"/>
        </w:rPr>
        <w:t>月与位于首采工作面的赵沟村村委会签订了搬迁协议书，见附件</w:t>
      </w:r>
      <w:r w:rsidRPr="007208F1">
        <w:rPr>
          <w:b/>
          <w:i/>
          <w:sz w:val="24"/>
          <w:u w:val="single"/>
        </w:rPr>
        <w:t>14</w:t>
      </w:r>
      <w:r w:rsidRPr="007208F1">
        <w:rPr>
          <w:rFonts w:hint="eastAsia"/>
          <w:b/>
          <w:i/>
          <w:sz w:val="24"/>
          <w:u w:val="single"/>
        </w:rPr>
        <w:t>，</w:t>
      </w:r>
      <w:r w:rsidRPr="007208F1">
        <w:rPr>
          <w:b/>
          <w:i/>
          <w:sz w:val="24"/>
          <w:u w:val="single"/>
        </w:rPr>
        <w:t>并于</w:t>
      </w:r>
      <w:r w:rsidRPr="007208F1">
        <w:rPr>
          <w:b/>
          <w:i/>
          <w:sz w:val="24"/>
          <w:u w:val="single"/>
        </w:rPr>
        <w:t>2021</w:t>
      </w:r>
      <w:r w:rsidRPr="007208F1">
        <w:rPr>
          <w:b/>
          <w:i/>
          <w:sz w:val="24"/>
          <w:u w:val="single"/>
        </w:rPr>
        <w:t>年</w:t>
      </w:r>
      <w:r w:rsidRPr="007208F1">
        <w:rPr>
          <w:b/>
          <w:i/>
          <w:sz w:val="24"/>
          <w:u w:val="single"/>
        </w:rPr>
        <w:t>8</w:t>
      </w:r>
      <w:r w:rsidRPr="007208F1">
        <w:rPr>
          <w:b/>
          <w:i/>
          <w:sz w:val="24"/>
          <w:u w:val="single"/>
        </w:rPr>
        <w:t>月与禹州市鸠山镇人民政府</w:t>
      </w:r>
      <w:r w:rsidRPr="007208F1">
        <w:rPr>
          <w:rFonts w:hint="eastAsia"/>
          <w:b/>
          <w:i/>
          <w:sz w:val="24"/>
          <w:u w:val="single"/>
        </w:rPr>
        <w:t>共同制定</w:t>
      </w:r>
      <w:r w:rsidRPr="007208F1">
        <w:rPr>
          <w:b/>
          <w:i/>
          <w:sz w:val="24"/>
          <w:u w:val="single"/>
        </w:rPr>
        <w:t>了搬迁</w:t>
      </w:r>
      <w:r w:rsidRPr="007208F1">
        <w:rPr>
          <w:rFonts w:hint="eastAsia"/>
          <w:b/>
          <w:i/>
          <w:sz w:val="24"/>
          <w:u w:val="single"/>
        </w:rPr>
        <w:t>安置方案</w:t>
      </w:r>
      <w:r w:rsidR="00FB62CA" w:rsidRPr="007208F1">
        <w:rPr>
          <w:b/>
          <w:i/>
          <w:sz w:val="24"/>
          <w:u w:val="single"/>
        </w:rPr>
        <w:t>，见附件</w:t>
      </w:r>
      <w:r w:rsidR="00FB62CA" w:rsidRPr="007208F1">
        <w:rPr>
          <w:b/>
          <w:i/>
          <w:sz w:val="24"/>
          <w:u w:val="single"/>
        </w:rPr>
        <w:t>1</w:t>
      </w:r>
      <w:r w:rsidR="00FB62CA" w:rsidRPr="007208F1">
        <w:rPr>
          <w:rFonts w:hint="eastAsia"/>
          <w:b/>
          <w:i/>
          <w:sz w:val="24"/>
          <w:u w:val="single"/>
        </w:rPr>
        <w:t>5</w:t>
      </w:r>
      <w:r w:rsidRPr="007208F1">
        <w:rPr>
          <w:b/>
          <w:i/>
          <w:sz w:val="24"/>
          <w:u w:val="single"/>
        </w:rPr>
        <w:t>，协议书</w:t>
      </w:r>
      <w:r w:rsidRPr="007208F1">
        <w:rPr>
          <w:rFonts w:hint="eastAsia"/>
          <w:b/>
          <w:i/>
          <w:sz w:val="24"/>
          <w:u w:val="single"/>
        </w:rPr>
        <w:t>及安置方案</w:t>
      </w:r>
      <w:r w:rsidRPr="007208F1">
        <w:rPr>
          <w:b/>
          <w:i/>
          <w:sz w:val="24"/>
          <w:u w:val="single"/>
        </w:rPr>
        <w:t>中对搬</w:t>
      </w:r>
      <w:r w:rsidRPr="007208F1">
        <w:rPr>
          <w:b/>
          <w:i/>
          <w:sz w:val="24"/>
          <w:u w:val="single"/>
        </w:rPr>
        <w:lastRenderedPageBreak/>
        <w:t>迁工作的落实进行了约定，后期建设单位将与搬迁户逐户签订细节协议。</w:t>
      </w:r>
    </w:p>
    <w:p w:rsidR="00240BCE" w:rsidRPr="007208F1" w:rsidRDefault="00AC0334" w:rsidP="007208F1">
      <w:pPr>
        <w:spacing w:line="520" w:lineRule="exact"/>
        <w:ind w:firstLineChars="200" w:firstLine="482"/>
        <w:rPr>
          <w:b/>
          <w:i/>
          <w:sz w:val="24"/>
          <w:u w:val="single"/>
        </w:rPr>
      </w:pPr>
      <w:r w:rsidRPr="007208F1">
        <w:rPr>
          <w:b/>
          <w:i/>
          <w:sz w:val="24"/>
          <w:u w:val="single"/>
        </w:rPr>
        <w:t>2</w:t>
      </w:r>
      <w:r w:rsidRPr="007208F1">
        <w:rPr>
          <w:b/>
          <w:i/>
          <w:sz w:val="24"/>
          <w:u w:val="single"/>
        </w:rPr>
        <w:t>、搬迁安置计划</w:t>
      </w:r>
    </w:p>
    <w:p w:rsidR="00240BCE" w:rsidRPr="007208F1" w:rsidRDefault="00AC0334" w:rsidP="007208F1">
      <w:pPr>
        <w:spacing w:line="520" w:lineRule="exact"/>
        <w:ind w:firstLineChars="200" w:firstLine="482"/>
        <w:rPr>
          <w:b/>
          <w:i/>
          <w:sz w:val="24"/>
          <w:u w:val="single"/>
        </w:rPr>
      </w:pPr>
      <w:r w:rsidRPr="007208F1">
        <w:rPr>
          <w:b/>
          <w:i/>
          <w:sz w:val="24"/>
          <w:u w:val="single"/>
        </w:rPr>
        <w:t>（</w:t>
      </w:r>
      <w:r w:rsidRPr="007208F1">
        <w:rPr>
          <w:b/>
          <w:i/>
          <w:sz w:val="24"/>
          <w:u w:val="single"/>
        </w:rPr>
        <w:t>1</w:t>
      </w:r>
      <w:r w:rsidRPr="007208F1">
        <w:rPr>
          <w:b/>
          <w:i/>
          <w:sz w:val="24"/>
          <w:u w:val="single"/>
        </w:rPr>
        <w:t>）搬迁安置的基本原则</w:t>
      </w:r>
    </w:p>
    <w:p w:rsidR="00240BCE" w:rsidRPr="007208F1" w:rsidRDefault="00AC0334" w:rsidP="007208F1">
      <w:pPr>
        <w:spacing w:line="520" w:lineRule="exact"/>
        <w:ind w:firstLineChars="200" w:firstLine="482"/>
        <w:rPr>
          <w:b/>
          <w:i/>
          <w:sz w:val="24"/>
          <w:u w:val="single"/>
        </w:rPr>
      </w:pPr>
      <w:r w:rsidRPr="007208F1">
        <w:rPr>
          <w:b/>
          <w:i/>
          <w:sz w:val="24"/>
          <w:u w:val="single"/>
        </w:rPr>
        <w:t xml:space="preserve">① </w:t>
      </w:r>
      <w:r w:rsidRPr="007208F1">
        <w:rPr>
          <w:b/>
          <w:i/>
          <w:sz w:val="24"/>
          <w:u w:val="single"/>
        </w:rPr>
        <w:t>村庄考虑就近搬迁安置，安置地选在距离搬迁村庄较近、不受沉陷影响的其它村庄，使农民耕种条件和生活环境不会发生明显变化；</w:t>
      </w:r>
    </w:p>
    <w:p w:rsidR="00240BCE" w:rsidRPr="007208F1" w:rsidRDefault="00AC0334" w:rsidP="007208F1">
      <w:pPr>
        <w:spacing w:line="520" w:lineRule="exact"/>
        <w:ind w:firstLineChars="200" w:firstLine="482"/>
        <w:rPr>
          <w:b/>
          <w:i/>
          <w:sz w:val="24"/>
          <w:u w:val="single"/>
        </w:rPr>
      </w:pPr>
      <w:r w:rsidRPr="007208F1">
        <w:rPr>
          <w:b/>
          <w:i/>
          <w:sz w:val="24"/>
          <w:u w:val="single"/>
        </w:rPr>
        <w:t xml:space="preserve">② </w:t>
      </w:r>
      <w:r w:rsidRPr="007208F1">
        <w:rPr>
          <w:b/>
          <w:i/>
          <w:sz w:val="24"/>
          <w:u w:val="single"/>
        </w:rPr>
        <w:t>搬迁安置点选址应尽量靠近交通、靠近城镇、靠近农业产业化基地，集约布局，尽量与城镇规划相衔接</w:t>
      </w:r>
      <w:r w:rsidRPr="007208F1">
        <w:rPr>
          <w:rFonts w:hint="eastAsia"/>
          <w:b/>
          <w:i/>
          <w:sz w:val="24"/>
          <w:u w:val="single"/>
        </w:rPr>
        <w:t>；</w:t>
      </w:r>
    </w:p>
    <w:p w:rsidR="00240BCE" w:rsidRPr="007208F1" w:rsidRDefault="00AC0334" w:rsidP="007208F1">
      <w:pPr>
        <w:spacing w:line="520" w:lineRule="exact"/>
        <w:ind w:firstLineChars="200" w:firstLine="482"/>
        <w:rPr>
          <w:b/>
          <w:i/>
          <w:sz w:val="24"/>
          <w:u w:val="single"/>
        </w:rPr>
      </w:pPr>
      <w:r w:rsidRPr="007208F1">
        <w:rPr>
          <w:b/>
          <w:i/>
          <w:sz w:val="24"/>
          <w:u w:val="single"/>
        </w:rPr>
        <w:t xml:space="preserve">③ </w:t>
      </w:r>
      <w:r w:rsidRPr="007208F1">
        <w:rPr>
          <w:b/>
          <w:i/>
          <w:sz w:val="24"/>
          <w:u w:val="single"/>
        </w:rPr>
        <w:t>保证搬迁居民的生活水平在现有的基础上有所提高；</w:t>
      </w:r>
    </w:p>
    <w:p w:rsidR="00240BCE" w:rsidRPr="007208F1" w:rsidRDefault="00AC0334" w:rsidP="007208F1">
      <w:pPr>
        <w:spacing w:line="520" w:lineRule="exact"/>
        <w:ind w:firstLineChars="200" w:firstLine="482"/>
        <w:rPr>
          <w:b/>
          <w:i/>
          <w:sz w:val="24"/>
          <w:u w:val="single"/>
        </w:rPr>
      </w:pPr>
      <w:r w:rsidRPr="007208F1">
        <w:rPr>
          <w:b/>
          <w:i/>
          <w:sz w:val="24"/>
          <w:u w:val="single"/>
        </w:rPr>
        <w:t xml:space="preserve">④ </w:t>
      </w:r>
      <w:r w:rsidRPr="007208F1">
        <w:rPr>
          <w:b/>
          <w:i/>
          <w:sz w:val="24"/>
          <w:u w:val="single"/>
        </w:rPr>
        <w:t>从建立和谐社会的要求出发，业主应妥善处理同搬迁居民之间的关系，不能因搬迁而引发新的矛盾</w:t>
      </w:r>
      <w:r w:rsidRPr="007208F1">
        <w:rPr>
          <w:rFonts w:hint="eastAsia"/>
          <w:b/>
          <w:i/>
          <w:sz w:val="24"/>
          <w:u w:val="single"/>
        </w:rPr>
        <w:t>。</w:t>
      </w:r>
    </w:p>
    <w:p w:rsidR="00240BCE" w:rsidRPr="007208F1" w:rsidRDefault="00AC0334" w:rsidP="007208F1">
      <w:pPr>
        <w:spacing w:line="520" w:lineRule="exact"/>
        <w:ind w:firstLineChars="200" w:firstLine="482"/>
        <w:rPr>
          <w:b/>
          <w:i/>
          <w:sz w:val="24"/>
          <w:u w:val="single"/>
        </w:rPr>
      </w:pPr>
      <w:r w:rsidRPr="007208F1">
        <w:rPr>
          <w:b/>
          <w:i/>
          <w:sz w:val="24"/>
          <w:u w:val="single"/>
        </w:rPr>
        <w:t>（</w:t>
      </w:r>
      <w:r w:rsidRPr="007208F1">
        <w:rPr>
          <w:b/>
          <w:i/>
          <w:sz w:val="24"/>
          <w:u w:val="single"/>
        </w:rPr>
        <w:t>2</w:t>
      </w:r>
      <w:r w:rsidRPr="007208F1">
        <w:rPr>
          <w:b/>
          <w:i/>
          <w:sz w:val="24"/>
          <w:u w:val="single"/>
        </w:rPr>
        <w:t>）搬迁安置新村建设标准</w:t>
      </w:r>
    </w:p>
    <w:p w:rsidR="00240BCE" w:rsidRPr="007208F1" w:rsidRDefault="00AC0334" w:rsidP="007208F1">
      <w:pPr>
        <w:spacing w:line="520" w:lineRule="exact"/>
        <w:ind w:firstLineChars="200" w:firstLine="482"/>
        <w:rPr>
          <w:b/>
          <w:i/>
          <w:sz w:val="24"/>
          <w:u w:val="single"/>
        </w:rPr>
      </w:pPr>
      <w:r w:rsidRPr="007208F1">
        <w:rPr>
          <w:b/>
          <w:i/>
          <w:sz w:val="24"/>
          <w:u w:val="single"/>
        </w:rPr>
        <w:t xml:space="preserve">① </w:t>
      </w:r>
      <w:r w:rsidRPr="007208F1">
        <w:rPr>
          <w:b/>
          <w:i/>
          <w:sz w:val="24"/>
          <w:u w:val="single"/>
        </w:rPr>
        <w:t>移民新村建设要与当地新农村建设相结合，并符合当地新农村建设标准要求；</w:t>
      </w:r>
    </w:p>
    <w:p w:rsidR="00240BCE" w:rsidRPr="007208F1" w:rsidRDefault="00AC0334" w:rsidP="007208F1">
      <w:pPr>
        <w:spacing w:line="520" w:lineRule="exact"/>
        <w:ind w:firstLineChars="200" w:firstLine="482"/>
        <w:rPr>
          <w:b/>
          <w:i/>
          <w:sz w:val="24"/>
          <w:u w:val="single"/>
        </w:rPr>
      </w:pPr>
      <w:r w:rsidRPr="007208F1">
        <w:rPr>
          <w:b/>
          <w:i/>
          <w:sz w:val="24"/>
          <w:u w:val="single"/>
        </w:rPr>
        <w:t xml:space="preserve">② </w:t>
      </w:r>
      <w:r w:rsidRPr="007208F1">
        <w:rPr>
          <w:b/>
          <w:i/>
          <w:sz w:val="24"/>
          <w:u w:val="single"/>
        </w:rPr>
        <w:t>移民新村建筑尽可能建设为多层抗变形建筑，提高土地资源利用效率；</w:t>
      </w:r>
    </w:p>
    <w:p w:rsidR="00240BCE" w:rsidRPr="007208F1" w:rsidRDefault="00AC0334" w:rsidP="007208F1">
      <w:pPr>
        <w:spacing w:line="520" w:lineRule="exact"/>
        <w:ind w:firstLineChars="200" w:firstLine="482"/>
        <w:rPr>
          <w:b/>
          <w:i/>
          <w:sz w:val="24"/>
          <w:u w:val="single"/>
        </w:rPr>
      </w:pPr>
      <w:r w:rsidRPr="007208F1">
        <w:rPr>
          <w:b/>
          <w:i/>
          <w:sz w:val="24"/>
          <w:u w:val="single"/>
        </w:rPr>
        <w:t xml:space="preserve">③ </w:t>
      </w:r>
      <w:r w:rsidRPr="007208F1">
        <w:rPr>
          <w:b/>
          <w:i/>
          <w:sz w:val="24"/>
          <w:u w:val="single"/>
        </w:rPr>
        <w:t>新村内的主要街道应为硬化路面；有配套的水、电、通讯设施；有完备的给排水系统。</w:t>
      </w:r>
    </w:p>
    <w:p w:rsidR="00240BCE" w:rsidRPr="007208F1" w:rsidRDefault="00AC0334" w:rsidP="007208F1">
      <w:pPr>
        <w:spacing w:line="520" w:lineRule="exact"/>
        <w:ind w:firstLineChars="200" w:firstLine="482"/>
        <w:rPr>
          <w:b/>
          <w:i/>
          <w:sz w:val="24"/>
          <w:u w:val="single"/>
        </w:rPr>
      </w:pPr>
      <w:r w:rsidRPr="007208F1">
        <w:rPr>
          <w:b/>
          <w:i/>
          <w:sz w:val="24"/>
          <w:u w:val="single"/>
        </w:rPr>
        <w:t>（</w:t>
      </w:r>
      <w:r w:rsidRPr="007208F1">
        <w:rPr>
          <w:b/>
          <w:i/>
          <w:sz w:val="24"/>
          <w:u w:val="single"/>
        </w:rPr>
        <w:t>3</w:t>
      </w:r>
      <w:r w:rsidRPr="007208F1">
        <w:rPr>
          <w:b/>
          <w:i/>
          <w:sz w:val="24"/>
          <w:u w:val="single"/>
        </w:rPr>
        <w:t>）</w:t>
      </w:r>
      <w:r w:rsidRPr="007208F1">
        <w:rPr>
          <w:b/>
          <w:i/>
          <w:sz w:val="24"/>
          <w:u w:val="single"/>
        </w:rPr>
        <w:t xml:space="preserve"> </w:t>
      </w:r>
      <w:r w:rsidRPr="007208F1">
        <w:rPr>
          <w:b/>
          <w:i/>
          <w:sz w:val="24"/>
          <w:u w:val="single"/>
        </w:rPr>
        <w:t>搬迁安置工程量及搬迁安置去向</w:t>
      </w:r>
    </w:p>
    <w:p w:rsidR="00240BCE" w:rsidRPr="007208F1" w:rsidRDefault="00AC0334" w:rsidP="007208F1">
      <w:pPr>
        <w:spacing w:line="520" w:lineRule="exact"/>
        <w:ind w:firstLineChars="200" w:firstLine="482"/>
        <w:rPr>
          <w:b/>
          <w:i/>
          <w:sz w:val="24"/>
          <w:u w:val="single"/>
        </w:rPr>
      </w:pPr>
      <w:r w:rsidRPr="007208F1">
        <w:rPr>
          <w:b/>
          <w:bCs/>
          <w:i/>
          <w:sz w:val="24"/>
          <w:u w:val="single"/>
        </w:rPr>
        <w:t>赵沟村、楼院村、楼院小学、连庄村</w:t>
      </w:r>
      <w:r w:rsidRPr="007208F1">
        <w:rPr>
          <w:b/>
          <w:i/>
          <w:sz w:val="24"/>
          <w:u w:val="single"/>
        </w:rPr>
        <w:t>受地表沉陷影响破坏程度达到</w:t>
      </w:r>
      <w:r w:rsidRPr="007208F1">
        <w:rPr>
          <w:b/>
          <w:i/>
          <w:sz w:val="24"/>
          <w:u w:val="single"/>
        </w:rPr>
        <w:t>Ⅳ</w:t>
      </w:r>
      <w:r w:rsidRPr="007208F1">
        <w:rPr>
          <w:b/>
          <w:i/>
          <w:sz w:val="24"/>
          <w:u w:val="single"/>
        </w:rPr>
        <w:t>级，需要整体搬迁，涉及搬迁户数</w:t>
      </w:r>
      <w:r w:rsidRPr="007208F1">
        <w:rPr>
          <w:b/>
          <w:i/>
          <w:sz w:val="24"/>
          <w:u w:val="single"/>
        </w:rPr>
        <w:t>746</w:t>
      </w:r>
      <w:r w:rsidRPr="007208F1">
        <w:rPr>
          <w:b/>
          <w:i/>
          <w:sz w:val="24"/>
          <w:u w:val="single"/>
        </w:rPr>
        <w:t>户，共计</w:t>
      </w:r>
      <w:r w:rsidRPr="007208F1">
        <w:rPr>
          <w:b/>
          <w:i/>
          <w:sz w:val="24"/>
          <w:u w:val="single"/>
        </w:rPr>
        <w:t>2898</w:t>
      </w:r>
      <w:r w:rsidRPr="007208F1">
        <w:rPr>
          <w:b/>
          <w:i/>
          <w:sz w:val="24"/>
          <w:u w:val="single"/>
        </w:rPr>
        <w:t>人，其中赵沟村位于首采区</w:t>
      </w:r>
      <w:r w:rsidRPr="007208F1">
        <w:rPr>
          <w:b/>
          <w:i/>
          <w:sz w:val="24"/>
          <w:u w:val="single"/>
        </w:rPr>
        <w:t>21010</w:t>
      </w:r>
      <w:r w:rsidRPr="007208F1">
        <w:rPr>
          <w:b/>
          <w:i/>
          <w:sz w:val="24"/>
          <w:u w:val="single"/>
        </w:rPr>
        <w:t>、</w:t>
      </w:r>
      <w:r w:rsidRPr="007208F1">
        <w:rPr>
          <w:b/>
          <w:i/>
          <w:sz w:val="24"/>
          <w:u w:val="single"/>
        </w:rPr>
        <w:t>21020</w:t>
      </w:r>
      <w:r w:rsidRPr="007208F1">
        <w:rPr>
          <w:b/>
          <w:i/>
          <w:sz w:val="24"/>
          <w:u w:val="single"/>
        </w:rPr>
        <w:t>工作面，属于首采区的首采工作面，建设单位应在投产前予以整体搬迁；</w:t>
      </w:r>
      <w:r w:rsidRPr="007208F1">
        <w:rPr>
          <w:b/>
          <w:bCs/>
          <w:i/>
          <w:sz w:val="24"/>
          <w:u w:val="single"/>
        </w:rPr>
        <w:t>楼院村、楼院小学</w:t>
      </w:r>
      <w:r w:rsidRPr="007208F1">
        <w:rPr>
          <w:b/>
          <w:i/>
          <w:sz w:val="24"/>
          <w:u w:val="single"/>
        </w:rPr>
        <w:t>位于首采区</w:t>
      </w:r>
      <w:r w:rsidRPr="007208F1">
        <w:rPr>
          <w:b/>
          <w:i/>
          <w:sz w:val="24"/>
          <w:u w:val="single"/>
        </w:rPr>
        <w:t>21040</w:t>
      </w:r>
      <w:r w:rsidRPr="007208F1">
        <w:rPr>
          <w:b/>
          <w:i/>
          <w:sz w:val="24"/>
          <w:u w:val="single"/>
        </w:rPr>
        <w:t>、</w:t>
      </w:r>
      <w:r w:rsidRPr="007208F1">
        <w:rPr>
          <w:b/>
          <w:i/>
          <w:sz w:val="24"/>
          <w:u w:val="single"/>
        </w:rPr>
        <w:t>21060</w:t>
      </w:r>
      <w:r w:rsidRPr="007208F1">
        <w:rPr>
          <w:b/>
          <w:i/>
          <w:sz w:val="24"/>
          <w:u w:val="single"/>
        </w:rPr>
        <w:t>工作面，属于接替工作面，约在开采</w:t>
      </w:r>
      <w:r w:rsidRPr="007208F1">
        <w:rPr>
          <w:b/>
          <w:i/>
          <w:sz w:val="24"/>
          <w:u w:val="single"/>
        </w:rPr>
        <w:t>3.1a</w:t>
      </w:r>
      <w:r w:rsidRPr="007208F1">
        <w:rPr>
          <w:b/>
          <w:i/>
          <w:sz w:val="24"/>
          <w:u w:val="single"/>
        </w:rPr>
        <w:t>时开采受到沉陷影响，建设单位应根据开采进度逐渐搬迁</w:t>
      </w:r>
      <w:r w:rsidRPr="007208F1">
        <w:rPr>
          <w:b/>
          <w:bCs/>
          <w:i/>
          <w:sz w:val="24"/>
          <w:u w:val="single"/>
        </w:rPr>
        <w:t>楼院村、楼院小学</w:t>
      </w:r>
      <w:r w:rsidRPr="007208F1">
        <w:rPr>
          <w:b/>
          <w:i/>
          <w:sz w:val="24"/>
          <w:u w:val="single"/>
        </w:rPr>
        <w:t>，确保在开采前整体搬迁；连庄村位于</w:t>
      </w:r>
      <w:r w:rsidRPr="007208F1">
        <w:rPr>
          <w:b/>
          <w:i/>
          <w:sz w:val="24"/>
          <w:u w:val="single"/>
        </w:rPr>
        <w:t>22</w:t>
      </w:r>
      <w:r w:rsidRPr="007208F1">
        <w:rPr>
          <w:b/>
          <w:i/>
          <w:sz w:val="24"/>
          <w:u w:val="single"/>
        </w:rPr>
        <w:t>采区，属于接替采区，约在开采</w:t>
      </w:r>
      <w:r w:rsidRPr="007208F1">
        <w:rPr>
          <w:b/>
          <w:i/>
          <w:sz w:val="24"/>
          <w:u w:val="single"/>
        </w:rPr>
        <w:t>6.2a</w:t>
      </w:r>
      <w:r w:rsidRPr="007208F1">
        <w:rPr>
          <w:b/>
          <w:i/>
          <w:sz w:val="24"/>
          <w:u w:val="single"/>
        </w:rPr>
        <w:t>时受到开采沉陷影响，需在</w:t>
      </w:r>
      <w:r w:rsidRPr="007208F1">
        <w:rPr>
          <w:b/>
          <w:i/>
          <w:sz w:val="24"/>
          <w:u w:val="single"/>
        </w:rPr>
        <w:t>22</w:t>
      </w:r>
      <w:r w:rsidRPr="007208F1">
        <w:rPr>
          <w:b/>
          <w:i/>
          <w:sz w:val="24"/>
          <w:u w:val="single"/>
        </w:rPr>
        <w:t>采区投产前整体搬迁。</w:t>
      </w:r>
    </w:p>
    <w:p w:rsidR="00240BCE" w:rsidRDefault="00AC0334" w:rsidP="007208F1">
      <w:pPr>
        <w:spacing w:line="520" w:lineRule="exact"/>
        <w:ind w:firstLineChars="200" w:firstLine="482"/>
        <w:rPr>
          <w:sz w:val="24"/>
        </w:rPr>
      </w:pPr>
      <w:r w:rsidRPr="007208F1">
        <w:rPr>
          <w:b/>
          <w:i/>
          <w:sz w:val="24"/>
          <w:u w:val="single"/>
        </w:rPr>
        <w:t>建设单位应在项目投产前制定搬迁计划及搬迁方案，根据开采进度及时予以整体搬迁，搬迁安置工作组织按地方政府负责、矿井协助方式进行，搬迁安置所有费</w:t>
      </w:r>
      <w:r w:rsidRPr="007208F1">
        <w:rPr>
          <w:b/>
          <w:i/>
          <w:sz w:val="24"/>
          <w:u w:val="single"/>
        </w:rPr>
        <w:lastRenderedPageBreak/>
        <w:t>用均由矿方承担。建设单位应协调好搬迁村庄居民的关系，使受到影响的村民及时得到合理补偿。</w:t>
      </w:r>
    </w:p>
    <w:p w:rsidR="00240BCE" w:rsidRDefault="00AC0334">
      <w:pPr>
        <w:spacing w:line="520" w:lineRule="exact"/>
        <w:ind w:firstLineChars="200" w:firstLine="480"/>
        <w:rPr>
          <w:sz w:val="24"/>
        </w:rPr>
      </w:pPr>
      <w:r>
        <w:rPr>
          <w:sz w:val="24"/>
        </w:rPr>
        <w:t>（</w:t>
      </w:r>
      <w:r>
        <w:rPr>
          <w:sz w:val="24"/>
        </w:rPr>
        <w:t>4</w:t>
      </w:r>
      <w:r>
        <w:rPr>
          <w:sz w:val="24"/>
        </w:rPr>
        <w:t>）搬迁资金来源</w:t>
      </w:r>
    </w:p>
    <w:p w:rsidR="00240BCE" w:rsidRDefault="00AC0334">
      <w:pPr>
        <w:spacing w:line="520" w:lineRule="exact"/>
        <w:ind w:firstLineChars="200" w:firstLine="480"/>
        <w:rPr>
          <w:sz w:val="24"/>
        </w:rPr>
      </w:pPr>
      <w:r>
        <w:rPr>
          <w:sz w:val="24"/>
        </w:rPr>
        <w:t>村庄的搬迁费用由建设单位承担。首采区搬迁安置费纳入工程建设投资；其他搬迁村庄搬迁安置费纳入矿井生产成本。</w:t>
      </w:r>
    </w:p>
    <w:p w:rsidR="00240BCE" w:rsidRDefault="00AC0334">
      <w:pPr>
        <w:spacing w:line="520" w:lineRule="exact"/>
        <w:ind w:firstLineChars="200" w:firstLine="480"/>
        <w:rPr>
          <w:sz w:val="24"/>
        </w:rPr>
      </w:pPr>
      <w:r>
        <w:rPr>
          <w:sz w:val="24"/>
        </w:rPr>
        <w:t>3</w:t>
      </w:r>
      <w:r>
        <w:rPr>
          <w:sz w:val="24"/>
        </w:rPr>
        <w:t>、搬迁安置地环境影响及环境可行性</w:t>
      </w:r>
    </w:p>
    <w:p w:rsidR="00240BCE" w:rsidRDefault="00AC0334">
      <w:pPr>
        <w:spacing w:line="520" w:lineRule="exact"/>
        <w:ind w:firstLineChars="200" w:firstLine="480"/>
        <w:rPr>
          <w:sz w:val="24"/>
        </w:rPr>
      </w:pPr>
      <w:r>
        <w:rPr>
          <w:sz w:val="24"/>
        </w:rPr>
        <w:t>（</w:t>
      </w:r>
      <w:r>
        <w:rPr>
          <w:sz w:val="24"/>
        </w:rPr>
        <w:t>1</w:t>
      </w:r>
      <w:r>
        <w:rPr>
          <w:sz w:val="24"/>
        </w:rPr>
        <w:t>）安置地环境适宜性及环境影响</w:t>
      </w:r>
    </w:p>
    <w:p w:rsidR="00240BCE" w:rsidRDefault="00AC0334">
      <w:pPr>
        <w:spacing w:line="520" w:lineRule="exact"/>
        <w:ind w:firstLineChars="200" w:firstLine="480"/>
        <w:rPr>
          <w:sz w:val="24"/>
        </w:rPr>
      </w:pPr>
      <w:r>
        <w:rPr>
          <w:sz w:val="24"/>
        </w:rPr>
        <w:t>按搬迁安置初步规划，全井田搬迁安置点均在已有村庄的基础上进行扩建，这些点普遍具有地势平坦、交通方便、距离耕地距离近、地质灾害危险性小的特点，适宜作为居民建设用地，作为居民搬迁安置地是适合的。居民搬迁安置地均位于井田附近。</w:t>
      </w:r>
    </w:p>
    <w:p w:rsidR="00240BCE" w:rsidRDefault="00AC0334">
      <w:pPr>
        <w:spacing w:line="520" w:lineRule="exact"/>
        <w:ind w:firstLineChars="200" w:firstLine="480"/>
        <w:rPr>
          <w:sz w:val="24"/>
        </w:rPr>
      </w:pPr>
      <w:r>
        <w:rPr>
          <w:sz w:val="24"/>
        </w:rPr>
        <w:t>搬迁后，其产生的污染物种类和数量与未搬迁之前基本不会发生明显变化，同样为生活污水（主要污染物为</w:t>
      </w:r>
      <w:r>
        <w:rPr>
          <w:sz w:val="24"/>
        </w:rPr>
        <w:t xml:space="preserve"> COD</w:t>
      </w:r>
      <w:r>
        <w:rPr>
          <w:sz w:val="24"/>
        </w:rPr>
        <w:t>、</w:t>
      </w:r>
      <w:r>
        <w:rPr>
          <w:sz w:val="24"/>
        </w:rPr>
        <w:t>BOD</w:t>
      </w:r>
      <w:r>
        <w:rPr>
          <w:sz w:val="24"/>
          <w:vertAlign w:val="subscript"/>
        </w:rPr>
        <w:t>5</w:t>
      </w:r>
      <w:r>
        <w:rPr>
          <w:sz w:val="24"/>
        </w:rPr>
        <w:t>等）、生活垃圾及生活炊烟，只是污染源位置迁移，由于搬迁的距离较近，因此污染源在区域范围内基本不变，搬迁不会使区域新增污染源和污染物，不会对区域环境产生明显影响，也不会影响周边区域的环境。所有搬迁均遵循了搬迁不失地的原则，搬迁前后村民的耕种土地基本不会发生变化</w:t>
      </w:r>
      <w:r>
        <w:rPr>
          <w:rFonts w:hint="eastAsia"/>
          <w:sz w:val="24"/>
        </w:rPr>
        <w:t>，</w:t>
      </w:r>
      <w:r>
        <w:rPr>
          <w:sz w:val="24"/>
        </w:rPr>
        <w:t>所以，也不会造成社会不安定因素。</w:t>
      </w:r>
    </w:p>
    <w:p w:rsidR="00240BCE" w:rsidRDefault="00AC0334">
      <w:pPr>
        <w:spacing w:line="520" w:lineRule="exact"/>
        <w:ind w:firstLineChars="200" w:firstLine="480"/>
        <w:rPr>
          <w:sz w:val="24"/>
        </w:rPr>
      </w:pPr>
      <w:r>
        <w:rPr>
          <w:sz w:val="24"/>
        </w:rPr>
        <w:t>总体来讲，</w:t>
      </w:r>
      <w:r>
        <w:rPr>
          <w:rFonts w:hint="eastAsia"/>
          <w:sz w:val="24"/>
        </w:rPr>
        <w:t>搬迁</w:t>
      </w:r>
      <w:r>
        <w:rPr>
          <w:sz w:val="24"/>
        </w:rPr>
        <w:t>安置遵循了搬迁不失地的原则，所有搬迁工程均为就近搬迁与安置</w:t>
      </w:r>
      <w:r>
        <w:rPr>
          <w:rFonts w:hint="eastAsia"/>
          <w:sz w:val="24"/>
        </w:rPr>
        <w:t>，</w:t>
      </w:r>
      <w:r>
        <w:rPr>
          <w:sz w:val="24"/>
        </w:rPr>
        <w:t>不会造成明显的环境影响。</w:t>
      </w:r>
    </w:p>
    <w:p w:rsidR="00240BCE" w:rsidRDefault="00AC0334">
      <w:pPr>
        <w:spacing w:line="520" w:lineRule="exact"/>
        <w:ind w:firstLineChars="200" w:firstLine="480"/>
        <w:rPr>
          <w:sz w:val="24"/>
        </w:rPr>
      </w:pPr>
      <w:r>
        <w:rPr>
          <w:sz w:val="24"/>
        </w:rPr>
        <w:t>（</w:t>
      </w:r>
      <w:r>
        <w:rPr>
          <w:sz w:val="24"/>
        </w:rPr>
        <w:t>2</w:t>
      </w:r>
      <w:r>
        <w:rPr>
          <w:sz w:val="24"/>
        </w:rPr>
        <w:t>）安置地环境污染防治措施</w:t>
      </w:r>
    </w:p>
    <w:p w:rsidR="00240BCE" w:rsidRDefault="00AC0334">
      <w:pPr>
        <w:spacing w:line="520" w:lineRule="exact"/>
        <w:ind w:firstLineChars="200" w:firstLine="480"/>
        <w:rPr>
          <w:sz w:val="24"/>
        </w:rPr>
      </w:pPr>
      <w:r>
        <w:rPr>
          <w:sz w:val="24"/>
        </w:rPr>
        <w:t>①</w:t>
      </w:r>
      <w:r>
        <w:rPr>
          <w:sz w:val="24"/>
        </w:rPr>
        <w:t>废水的防治对策</w:t>
      </w:r>
    </w:p>
    <w:p w:rsidR="00240BCE" w:rsidRDefault="00AC0334">
      <w:pPr>
        <w:spacing w:line="520" w:lineRule="exact"/>
        <w:ind w:firstLineChars="200" w:firstLine="480"/>
        <w:rPr>
          <w:sz w:val="24"/>
        </w:rPr>
      </w:pPr>
      <w:r>
        <w:rPr>
          <w:sz w:val="24"/>
        </w:rPr>
        <w:t>a.</w:t>
      </w:r>
      <w:r>
        <w:rPr>
          <w:sz w:val="24"/>
        </w:rPr>
        <w:t>建立完备的排水系统，雨水用于灌溉耕地；按照当地居民生活习惯，生活污水可以用于洒水降尘等；</w:t>
      </w:r>
    </w:p>
    <w:p w:rsidR="00240BCE" w:rsidRDefault="00AC0334">
      <w:pPr>
        <w:spacing w:line="520" w:lineRule="exact"/>
        <w:ind w:firstLineChars="200" w:firstLine="480"/>
        <w:rPr>
          <w:sz w:val="24"/>
        </w:rPr>
      </w:pPr>
      <w:r>
        <w:rPr>
          <w:sz w:val="24"/>
        </w:rPr>
        <w:t>b.</w:t>
      </w:r>
      <w:r>
        <w:rPr>
          <w:sz w:val="24"/>
        </w:rPr>
        <w:t>按照当地居民生活习惯，庭院式住宅各家自己修建有旱厕，对于集中式住宅，可以修建公共旱厕，并采用堆肥的方式处理旱厕物质。</w:t>
      </w:r>
    </w:p>
    <w:p w:rsidR="00240BCE" w:rsidRDefault="00AC0334">
      <w:pPr>
        <w:spacing w:line="520" w:lineRule="exact"/>
        <w:ind w:firstLineChars="200" w:firstLine="480"/>
        <w:rPr>
          <w:sz w:val="24"/>
        </w:rPr>
      </w:pPr>
      <w:r>
        <w:rPr>
          <w:sz w:val="24"/>
        </w:rPr>
        <w:lastRenderedPageBreak/>
        <w:t>②</w:t>
      </w:r>
      <w:r>
        <w:rPr>
          <w:sz w:val="24"/>
        </w:rPr>
        <w:t>固废的防治对策</w:t>
      </w:r>
    </w:p>
    <w:p w:rsidR="00240BCE" w:rsidRDefault="00AC0334">
      <w:pPr>
        <w:spacing w:line="520" w:lineRule="exact"/>
        <w:ind w:firstLineChars="200" w:firstLine="480"/>
        <w:rPr>
          <w:sz w:val="24"/>
        </w:rPr>
      </w:pPr>
      <w:r>
        <w:rPr>
          <w:sz w:val="24"/>
        </w:rPr>
        <w:t>安置村的固废一般为生活垃圾，产生量较小，其防治对策为：</w:t>
      </w:r>
    </w:p>
    <w:p w:rsidR="00240BCE" w:rsidRDefault="00AC0334">
      <w:pPr>
        <w:spacing w:line="520" w:lineRule="exact"/>
        <w:ind w:firstLineChars="200" w:firstLine="480"/>
        <w:rPr>
          <w:sz w:val="24"/>
        </w:rPr>
      </w:pPr>
      <w:r>
        <w:rPr>
          <w:sz w:val="24"/>
        </w:rPr>
        <w:t>a.</w:t>
      </w:r>
      <w:r>
        <w:rPr>
          <w:sz w:val="24"/>
        </w:rPr>
        <w:t>全村设一定数量垃圾箱，把平时产生的垃圾及时堆入垃圾箱；</w:t>
      </w:r>
    </w:p>
    <w:p w:rsidR="00240BCE" w:rsidRDefault="00AC0334">
      <w:pPr>
        <w:spacing w:line="520" w:lineRule="exact"/>
        <w:ind w:firstLineChars="200" w:firstLine="480"/>
        <w:rPr>
          <w:sz w:val="24"/>
        </w:rPr>
      </w:pPr>
      <w:r>
        <w:rPr>
          <w:sz w:val="24"/>
        </w:rPr>
        <w:t>b.</w:t>
      </w:r>
      <w:r>
        <w:rPr>
          <w:sz w:val="24"/>
        </w:rPr>
        <w:t>收集的垃圾由矿方专用垃圾车定期运至鸠山镇垃圾中转站处置；</w:t>
      </w:r>
    </w:p>
    <w:p w:rsidR="00240BCE" w:rsidRDefault="00AC0334">
      <w:pPr>
        <w:spacing w:line="520" w:lineRule="exact"/>
        <w:ind w:firstLineChars="200" w:firstLine="480"/>
        <w:rPr>
          <w:sz w:val="24"/>
        </w:rPr>
      </w:pPr>
      <w:r>
        <w:rPr>
          <w:sz w:val="24"/>
        </w:rPr>
        <w:t>c.</w:t>
      </w:r>
      <w:r>
        <w:rPr>
          <w:sz w:val="24"/>
        </w:rPr>
        <w:t>移民村只设旱厕，经收集后施往耕地做有机肥。</w:t>
      </w:r>
    </w:p>
    <w:p w:rsidR="00240BCE" w:rsidRDefault="00AC0334">
      <w:pPr>
        <w:spacing w:line="520" w:lineRule="exact"/>
        <w:ind w:firstLineChars="200" w:firstLine="480"/>
        <w:rPr>
          <w:sz w:val="24"/>
        </w:rPr>
      </w:pPr>
      <w:r>
        <w:rPr>
          <w:sz w:val="24"/>
        </w:rPr>
        <w:t>（</w:t>
      </w:r>
      <w:r>
        <w:rPr>
          <w:sz w:val="24"/>
        </w:rPr>
        <w:t>3</w:t>
      </w:r>
      <w:r>
        <w:rPr>
          <w:sz w:val="24"/>
        </w:rPr>
        <w:t>）迁入地环境可行性</w:t>
      </w:r>
    </w:p>
    <w:p w:rsidR="00240BCE" w:rsidRDefault="00AC0334">
      <w:pPr>
        <w:spacing w:line="520" w:lineRule="exact"/>
        <w:ind w:firstLineChars="200" w:firstLine="480"/>
        <w:rPr>
          <w:sz w:val="24"/>
        </w:rPr>
      </w:pPr>
      <w:r>
        <w:rPr>
          <w:sz w:val="24"/>
        </w:rPr>
        <w:t>搬迁地在居民迁入后，由于搬迁距离较近，搬迁居民的基本生活设施完全可利用原有设施，水、电等可以在原有设施的基础上得到解决，尤其是井田内散居居民通过搬迁后，其出行等生活条件更加便利。</w:t>
      </w:r>
    </w:p>
    <w:p w:rsidR="00240BCE" w:rsidRDefault="00AC0334">
      <w:pPr>
        <w:spacing w:line="520" w:lineRule="exact"/>
        <w:ind w:firstLineChars="200" w:firstLine="480"/>
        <w:rPr>
          <w:sz w:val="24"/>
        </w:rPr>
      </w:pPr>
      <w:r>
        <w:rPr>
          <w:sz w:val="24"/>
        </w:rPr>
        <w:t>安置工程遵循了搬迁不失地的基本原则，变迁居民离乡不离土，且迁入地一般都为本村土地，搬迁后耕地不会发生明显变化。</w:t>
      </w:r>
    </w:p>
    <w:p w:rsidR="00240BCE" w:rsidRDefault="00AC0334">
      <w:pPr>
        <w:spacing w:line="520" w:lineRule="exact"/>
        <w:ind w:firstLineChars="200" w:firstLine="480"/>
        <w:rPr>
          <w:sz w:val="24"/>
        </w:rPr>
      </w:pPr>
      <w:r>
        <w:rPr>
          <w:sz w:val="24"/>
        </w:rPr>
        <w:t>搬迁后居民生活污染是难免的，但从区域来看，并未新增污染源和污染物，只是在区域内部污染源有所迁移，对区域的环境不会产生明显的影响。</w:t>
      </w:r>
    </w:p>
    <w:p w:rsidR="00240BCE" w:rsidRDefault="00AC0334">
      <w:pPr>
        <w:spacing w:line="520" w:lineRule="exact"/>
        <w:ind w:firstLineChars="200" w:firstLine="480"/>
        <w:rPr>
          <w:sz w:val="24"/>
        </w:rPr>
      </w:pPr>
      <w:r>
        <w:rPr>
          <w:sz w:val="24"/>
        </w:rPr>
        <w:t>总体来讲，迁入地的环境较适合于居民生产和生活，居民搬迁也不会在区域范围内新增污染，在居住条件得到改善后，居民的生活水平和生活习惯还可得到一定程度的改善，迁入区的环境</w:t>
      </w:r>
      <w:r>
        <w:rPr>
          <w:rFonts w:hint="eastAsia"/>
          <w:sz w:val="24"/>
        </w:rPr>
        <w:t>是</w:t>
      </w:r>
      <w:r>
        <w:rPr>
          <w:sz w:val="24"/>
        </w:rPr>
        <w:t>可行的。</w:t>
      </w:r>
    </w:p>
    <w:p w:rsidR="00240BCE" w:rsidRDefault="00AC0334">
      <w:pPr>
        <w:spacing w:line="520" w:lineRule="exact"/>
        <w:ind w:firstLineChars="200" w:firstLine="480"/>
        <w:rPr>
          <w:sz w:val="24"/>
        </w:rPr>
      </w:pPr>
      <w:r>
        <w:rPr>
          <w:sz w:val="24"/>
        </w:rPr>
        <w:t>二、交通设施防治措施</w:t>
      </w:r>
    </w:p>
    <w:p w:rsidR="00240BCE" w:rsidRDefault="00AC0334">
      <w:pPr>
        <w:spacing w:line="520" w:lineRule="exact"/>
        <w:ind w:firstLine="480"/>
        <w:rPr>
          <w:sz w:val="24"/>
        </w:rPr>
      </w:pPr>
      <w:r>
        <w:rPr>
          <w:sz w:val="24"/>
        </w:rPr>
        <w:t>（</w:t>
      </w:r>
      <w:r>
        <w:rPr>
          <w:sz w:val="24"/>
        </w:rPr>
        <w:t>1</w:t>
      </w:r>
      <w:r>
        <w:rPr>
          <w:sz w:val="24"/>
        </w:rPr>
        <w:t>）</w:t>
      </w:r>
      <w:r>
        <w:rPr>
          <w:sz w:val="24"/>
        </w:rPr>
        <w:t>S325</w:t>
      </w:r>
      <w:r>
        <w:rPr>
          <w:sz w:val="24"/>
        </w:rPr>
        <w:t>省道保护措施</w:t>
      </w:r>
    </w:p>
    <w:p w:rsidR="00240BCE" w:rsidRDefault="00AC0334">
      <w:pPr>
        <w:spacing w:line="520" w:lineRule="exact"/>
        <w:ind w:firstLine="480"/>
        <w:rPr>
          <w:sz w:val="24"/>
        </w:rPr>
      </w:pPr>
      <w:r>
        <w:rPr>
          <w:sz w:val="24"/>
        </w:rPr>
        <w:t>S325</w:t>
      </w:r>
      <w:r>
        <w:rPr>
          <w:sz w:val="24"/>
        </w:rPr>
        <w:t>省道位于井田外，首采区开采时不受地表沉陷影响，后期</w:t>
      </w:r>
      <w:r>
        <w:rPr>
          <w:sz w:val="24"/>
        </w:rPr>
        <w:t>22</w:t>
      </w:r>
      <w:r>
        <w:rPr>
          <w:sz w:val="24"/>
        </w:rPr>
        <w:t>采区开采时有部分路段不受开采地表沉陷影响，受影响路段总长约</w:t>
      </w:r>
      <w:r>
        <w:rPr>
          <w:sz w:val="24"/>
        </w:rPr>
        <w:t>1030m</w:t>
      </w:r>
      <w:r>
        <w:rPr>
          <w:sz w:val="24"/>
        </w:rPr>
        <w:t>，下沉量在</w:t>
      </w:r>
      <w:r>
        <w:rPr>
          <w:sz w:val="24"/>
        </w:rPr>
        <w:t>10-50mm</w:t>
      </w:r>
      <w:r>
        <w:rPr>
          <w:sz w:val="24"/>
        </w:rPr>
        <w:t>之间，不影响其正常通行。</w:t>
      </w:r>
    </w:p>
    <w:p w:rsidR="00240BCE" w:rsidRDefault="00AC0334">
      <w:pPr>
        <w:spacing w:line="520" w:lineRule="exact"/>
        <w:ind w:firstLine="480"/>
        <w:rPr>
          <w:sz w:val="24"/>
        </w:rPr>
      </w:pPr>
      <w:r>
        <w:rPr>
          <w:sz w:val="24"/>
        </w:rPr>
        <w:t>（</w:t>
      </w:r>
      <w:r>
        <w:rPr>
          <w:sz w:val="24"/>
        </w:rPr>
        <w:t>2</w:t>
      </w:r>
      <w:r>
        <w:rPr>
          <w:sz w:val="24"/>
        </w:rPr>
        <w:t>）对乡村公路的影响</w:t>
      </w:r>
    </w:p>
    <w:p w:rsidR="00240BCE" w:rsidRDefault="00AC0334">
      <w:pPr>
        <w:spacing w:line="520" w:lineRule="exact"/>
        <w:ind w:firstLineChars="200" w:firstLine="480"/>
        <w:rPr>
          <w:sz w:val="24"/>
        </w:rPr>
      </w:pPr>
      <w:r>
        <w:rPr>
          <w:sz w:val="24"/>
        </w:rPr>
        <w:t>根据国内多个矿区</w:t>
      </w:r>
      <w:r>
        <w:rPr>
          <w:sz w:val="24"/>
        </w:rPr>
        <w:t>“</w:t>
      </w:r>
      <w:r>
        <w:rPr>
          <w:sz w:val="24"/>
        </w:rPr>
        <w:t>三下采煤</w:t>
      </w:r>
      <w:r>
        <w:rPr>
          <w:sz w:val="24"/>
        </w:rPr>
        <w:t>”</w:t>
      </w:r>
      <w:r>
        <w:rPr>
          <w:sz w:val="24"/>
        </w:rPr>
        <w:t>的经验，乡村公路不留设保护煤柱，而是对路基采取随塌随填的方式予以修复。因此，受井下采煤地表沉陷影响的乡间道路利用矿井矸石对路基采取</w:t>
      </w:r>
      <w:r>
        <w:rPr>
          <w:sz w:val="24"/>
        </w:rPr>
        <w:t>“</w:t>
      </w:r>
      <w:r>
        <w:rPr>
          <w:color w:val="000000"/>
          <w:sz w:val="24"/>
          <w:lang w:val="zh-CN"/>
        </w:rPr>
        <w:t>随沉随填，填后夯实保持原来的高度和强度</w:t>
      </w:r>
      <w:r>
        <w:rPr>
          <w:sz w:val="24"/>
        </w:rPr>
        <w:t>”</w:t>
      </w:r>
      <w:r>
        <w:rPr>
          <w:sz w:val="24"/>
        </w:rPr>
        <w:t>的方式进行修复，</w:t>
      </w:r>
      <w:r>
        <w:rPr>
          <w:sz w:val="24"/>
        </w:rPr>
        <w:lastRenderedPageBreak/>
        <w:t>以确保其畅通。</w:t>
      </w:r>
    </w:p>
    <w:p w:rsidR="00240BCE" w:rsidRDefault="00AC0334">
      <w:pPr>
        <w:spacing w:line="520" w:lineRule="exact"/>
        <w:rPr>
          <w:sz w:val="24"/>
        </w:rPr>
      </w:pPr>
      <w:r>
        <w:rPr>
          <w:sz w:val="24"/>
        </w:rPr>
        <w:t>7.4.3.3</w:t>
      </w:r>
      <w:r>
        <w:rPr>
          <w:sz w:val="24"/>
        </w:rPr>
        <w:t>植被保护对策</w:t>
      </w:r>
    </w:p>
    <w:p w:rsidR="00240BCE" w:rsidRDefault="00AC0334">
      <w:pPr>
        <w:spacing w:line="500" w:lineRule="exact"/>
        <w:ind w:firstLineChars="200" w:firstLine="480"/>
        <w:rPr>
          <w:sz w:val="24"/>
        </w:rPr>
      </w:pPr>
      <w:r>
        <w:rPr>
          <w:color w:val="000000"/>
          <w:sz w:val="24"/>
        </w:rPr>
        <w:t>（</w:t>
      </w:r>
      <w:r>
        <w:rPr>
          <w:color w:val="000000"/>
          <w:sz w:val="24"/>
        </w:rPr>
        <w:t>1</w:t>
      </w:r>
      <w:r>
        <w:rPr>
          <w:color w:val="000000"/>
          <w:sz w:val="24"/>
        </w:rPr>
        <w:t>）植被保护对策：总的来看，煤矿生产对植被的影响不是很大，对植被的保护考虑采用</w:t>
      </w:r>
      <w:r>
        <w:rPr>
          <w:color w:val="000000"/>
          <w:sz w:val="24"/>
        </w:rPr>
        <w:t>“</w:t>
      </w:r>
      <w:r>
        <w:rPr>
          <w:color w:val="000000"/>
          <w:sz w:val="24"/>
        </w:rPr>
        <w:t>采后恢复</w:t>
      </w:r>
      <w:r>
        <w:rPr>
          <w:color w:val="000000"/>
          <w:sz w:val="24"/>
        </w:rPr>
        <w:t>”</w:t>
      </w:r>
      <w:r>
        <w:rPr>
          <w:color w:val="000000"/>
          <w:sz w:val="24"/>
        </w:rPr>
        <w:t>治理措施，即</w:t>
      </w:r>
      <w:r>
        <w:rPr>
          <w:sz w:val="24"/>
        </w:rPr>
        <w:t>对开采引起的土地沉陷、裂缝、农田下沉等，矿方可付给地方适当赔偿费用，由地方组织人员平整、充填，恢复耕地的使用能力。对变形造成的树木倾倒等，矿方应会同地方有关部门及时组织人员扶栽，无法扶载的要补种还林或视破坏程度给予补偿。</w:t>
      </w:r>
    </w:p>
    <w:p w:rsidR="00240BCE" w:rsidRPr="007208F1" w:rsidRDefault="00AC0334" w:rsidP="007208F1">
      <w:pPr>
        <w:spacing w:line="500" w:lineRule="exact"/>
        <w:ind w:firstLineChars="200" w:firstLine="482"/>
        <w:rPr>
          <w:b/>
          <w:i/>
          <w:color w:val="000000"/>
          <w:sz w:val="24"/>
          <w:u w:val="single"/>
        </w:rPr>
      </w:pPr>
      <w:r w:rsidRPr="007208F1">
        <w:rPr>
          <w:b/>
          <w:i/>
          <w:color w:val="000000"/>
          <w:sz w:val="24"/>
          <w:u w:val="single"/>
        </w:rPr>
        <w:t>（</w:t>
      </w:r>
      <w:r w:rsidRPr="007208F1">
        <w:rPr>
          <w:b/>
          <w:i/>
          <w:color w:val="000000"/>
          <w:sz w:val="24"/>
          <w:u w:val="single"/>
        </w:rPr>
        <w:t>2</w:t>
      </w:r>
      <w:r w:rsidRPr="007208F1">
        <w:rPr>
          <w:b/>
          <w:i/>
          <w:color w:val="000000"/>
          <w:sz w:val="24"/>
          <w:u w:val="single"/>
        </w:rPr>
        <w:t>）耕地复垦措施：项目处于丘陵山区，根据预测，开采引起的地表沉陷并不明显，不会造成农田积水、丧失耕种条件等，但会造成农田坡度变化、裂缝等，建设单位可根据沉陷造成的影响，付给地方适当赔偿费用，待地表沉陷稳定后，由地方组织人员平整、充填，恢复耕地的使用能力，采取以上措施后，地表沉陷对农田影响很小。</w:t>
      </w:r>
    </w:p>
    <w:p w:rsidR="00240BCE" w:rsidRDefault="00AC0334">
      <w:pPr>
        <w:spacing w:line="520" w:lineRule="exact"/>
        <w:ind w:firstLineChars="200" w:firstLine="480"/>
        <w:rPr>
          <w:sz w:val="24"/>
        </w:rPr>
      </w:pPr>
      <w:r>
        <w:rPr>
          <w:sz w:val="24"/>
        </w:rPr>
        <w:t>（三）建立地表岩移观测站</w:t>
      </w:r>
    </w:p>
    <w:p w:rsidR="00240BCE" w:rsidRDefault="00AC0334">
      <w:pPr>
        <w:spacing w:line="520" w:lineRule="exact"/>
        <w:ind w:firstLineChars="200" w:firstLine="480"/>
        <w:rPr>
          <w:color w:val="000000"/>
          <w:sz w:val="24"/>
        </w:rPr>
      </w:pPr>
      <w:r>
        <w:rPr>
          <w:sz w:val="24"/>
        </w:rPr>
        <w:t>为了掌握井田地表变形规律和岩移参数，并对制定地表沉陷综合防治措施提供科学依据，建议矿井在营运期间设置地表移动变形观测站，在开采过程中进行观测掌握其变形规律和最终变形程度，及时对沉陷造成的地表裂缝、滑坡等进行整治，恢复其原有的土地功能。</w:t>
      </w:r>
    </w:p>
    <w:p w:rsidR="00240BCE" w:rsidRDefault="00AC0334">
      <w:pPr>
        <w:spacing w:line="520" w:lineRule="exact"/>
        <w:ind w:firstLineChars="200" w:firstLine="480"/>
        <w:rPr>
          <w:color w:val="000000"/>
          <w:sz w:val="24"/>
        </w:rPr>
      </w:pPr>
      <w:r>
        <w:rPr>
          <w:color w:val="000000"/>
          <w:sz w:val="24"/>
        </w:rPr>
        <w:t>（四）水土流失防治措施</w:t>
      </w:r>
    </w:p>
    <w:p w:rsidR="00240BCE" w:rsidRDefault="00AC0334">
      <w:pPr>
        <w:spacing w:line="520" w:lineRule="exact"/>
        <w:ind w:firstLineChars="200" w:firstLine="480"/>
        <w:rPr>
          <w:color w:val="000000"/>
          <w:sz w:val="24"/>
        </w:rPr>
      </w:pPr>
      <w:r>
        <w:rPr>
          <w:color w:val="000000"/>
          <w:sz w:val="24"/>
        </w:rPr>
        <w:t>①</w:t>
      </w:r>
      <w:r>
        <w:rPr>
          <w:color w:val="000000"/>
          <w:sz w:val="24"/>
        </w:rPr>
        <w:t>工业场地地面硬化、</w:t>
      </w:r>
      <w:r>
        <w:rPr>
          <w:rFonts w:hint="eastAsia"/>
          <w:color w:val="000000"/>
          <w:sz w:val="24"/>
        </w:rPr>
        <w:t>修建</w:t>
      </w:r>
      <w:r>
        <w:rPr>
          <w:color w:val="000000"/>
          <w:sz w:val="24"/>
        </w:rPr>
        <w:t>截排水设施。</w:t>
      </w:r>
    </w:p>
    <w:p w:rsidR="00240BCE" w:rsidRDefault="00B95226">
      <w:pPr>
        <w:spacing w:line="520" w:lineRule="exact"/>
        <w:ind w:firstLineChars="200" w:firstLine="480"/>
      </w:pPr>
      <w:r>
        <w:rPr>
          <w:color w:val="000000"/>
          <w:sz w:val="24"/>
        </w:rPr>
        <w:fldChar w:fldCharType="begin"/>
      </w:r>
      <w:r w:rsidR="00AC0334">
        <w:rPr>
          <w:color w:val="000000"/>
          <w:sz w:val="24"/>
        </w:rPr>
        <w:instrText xml:space="preserve"> = 2 \* GB3 </w:instrText>
      </w:r>
      <w:r>
        <w:rPr>
          <w:color w:val="000000"/>
          <w:sz w:val="24"/>
        </w:rPr>
        <w:fldChar w:fldCharType="separate"/>
      </w:r>
      <w:r w:rsidR="00AC0334">
        <w:rPr>
          <w:color w:val="000000"/>
          <w:sz w:val="24"/>
        </w:rPr>
        <w:t>②</w:t>
      </w:r>
      <w:r>
        <w:rPr>
          <w:color w:val="000000"/>
          <w:sz w:val="24"/>
        </w:rPr>
        <w:fldChar w:fldCharType="end"/>
      </w:r>
      <w:r w:rsidR="00AC0334">
        <w:rPr>
          <w:color w:val="000000"/>
          <w:spacing w:val="-4"/>
          <w:sz w:val="24"/>
        </w:rPr>
        <w:t>还应采取相应的植物措施，以防治工业场地建设造成水土流失。</w:t>
      </w:r>
    </w:p>
    <w:p w:rsidR="00240BCE" w:rsidRDefault="00AC0334">
      <w:pPr>
        <w:spacing w:line="520" w:lineRule="exact"/>
        <w:ind w:firstLineChars="200" w:firstLine="480"/>
      </w:pPr>
      <w:r>
        <w:rPr>
          <w:color w:val="000000"/>
          <w:sz w:val="24"/>
        </w:rPr>
        <w:t>水土保持工程措施、植物措施、临时措施有机结合、相互补充、形成一个较为完善的水土保持防护体系，使项目区新增水土流失和原有水土流失得到有效控制和治理，使防治范围内水土资源得到充分利用，生态环境显著改善。</w:t>
      </w:r>
    </w:p>
    <w:p w:rsidR="00240BCE" w:rsidRDefault="00AC0334">
      <w:pPr>
        <w:spacing w:line="520" w:lineRule="exact"/>
        <w:rPr>
          <w:color w:val="000000"/>
          <w:sz w:val="24"/>
        </w:rPr>
      </w:pPr>
      <w:r>
        <w:rPr>
          <w:color w:val="000000"/>
          <w:sz w:val="24"/>
        </w:rPr>
        <w:t xml:space="preserve">7.4.3.4 </w:t>
      </w:r>
      <w:r>
        <w:rPr>
          <w:color w:val="000000"/>
          <w:sz w:val="24"/>
        </w:rPr>
        <w:t>生态影响保护及综合整治措施</w:t>
      </w:r>
      <w:bookmarkEnd w:id="831"/>
      <w:bookmarkEnd w:id="832"/>
      <w:bookmarkEnd w:id="833"/>
    </w:p>
    <w:p w:rsidR="00240BCE" w:rsidRDefault="00AC0334">
      <w:pPr>
        <w:autoSpaceDE w:val="0"/>
        <w:autoSpaceDN w:val="0"/>
        <w:adjustRightInd w:val="0"/>
        <w:spacing w:line="520" w:lineRule="exact"/>
        <w:ind w:firstLineChars="200" w:firstLine="480"/>
        <w:rPr>
          <w:color w:val="000000"/>
          <w:sz w:val="24"/>
        </w:rPr>
      </w:pPr>
      <w:r>
        <w:rPr>
          <w:color w:val="000000"/>
          <w:sz w:val="24"/>
        </w:rPr>
        <w:t>本次评价根据矿井开采顺序及进度划分为三个生态整治分区，分别是工业广场</w:t>
      </w:r>
      <w:r>
        <w:rPr>
          <w:color w:val="000000"/>
          <w:sz w:val="24"/>
        </w:rPr>
        <w:lastRenderedPageBreak/>
        <w:t>区、</w:t>
      </w:r>
      <w:r>
        <w:rPr>
          <w:color w:val="000000"/>
          <w:sz w:val="24"/>
        </w:rPr>
        <w:t xml:space="preserve"> </w:t>
      </w:r>
      <w:r>
        <w:rPr>
          <w:color w:val="000000"/>
          <w:sz w:val="24"/>
        </w:rPr>
        <w:t>地表沉陷区和村庄搬迁废弃地。针对不同生态整治分区特点制定不同的生态整治措施，隆庆煤矿生态环境综合整治区划见表</w:t>
      </w:r>
      <w:r>
        <w:rPr>
          <w:color w:val="000000"/>
          <w:sz w:val="24"/>
        </w:rPr>
        <w:t>7.4-1</w:t>
      </w:r>
      <w:r>
        <w:rPr>
          <w:color w:val="000000"/>
          <w:sz w:val="24"/>
        </w:rPr>
        <w:t>。</w:t>
      </w:r>
    </w:p>
    <w:p w:rsidR="00240BCE" w:rsidRDefault="00AC0334">
      <w:pPr>
        <w:autoSpaceDE w:val="0"/>
        <w:autoSpaceDN w:val="0"/>
        <w:adjustRightInd w:val="0"/>
        <w:spacing w:line="520" w:lineRule="exact"/>
        <w:jc w:val="center"/>
        <w:rPr>
          <w:rFonts w:eastAsia="黑体"/>
          <w:color w:val="000000"/>
          <w:sz w:val="24"/>
        </w:rPr>
      </w:pPr>
      <w:r>
        <w:rPr>
          <w:rFonts w:eastAsia="黑体"/>
          <w:color w:val="000000"/>
          <w:sz w:val="24"/>
        </w:rPr>
        <w:t>表</w:t>
      </w:r>
      <w:r>
        <w:rPr>
          <w:rFonts w:eastAsia="黑体"/>
          <w:color w:val="000000"/>
          <w:sz w:val="24"/>
        </w:rPr>
        <w:t xml:space="preserve">7.4-1  </w:t>
      </w:r>
      <w:r>
        <w:rPr>
          <w:rFonts w:eastAsia="黑体"/>
          <w:color w:val="000000"/>
          <w:sz w:val="24"/>
        </w:rPr>
        <w:t>生态环境综合整治分区表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39"/>
        <w:gridCol w:w="840"/>
        <w:gridCol w:w="4554"/>
        <w:gridCol w:w="1095"/>
        <w:gridCol w:w="1112"/>
      </w:tblGrid>
      <w:tr w:rsidR="00240BCE">
        <w:tc>
          <w:tcPr>
            <w:tcW w:w="1139"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整治分区</w:t>
            </w:r>
          </w:p>
        </w:tc>
        <w:tc>
          <w:tcPr>
            <w:tcW w:w="840"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面积</w:t>
            </w:r>
          </w:p>
        </w:tc>
        <w:tc>
          <w:tcPr>
            <w:tcW w:w="4554"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整治措施</w:t>
            </w:r>
          </w:p>
        </w:tc>
        <w:tc>
          <w:tcPr>
            <w:tcW w:w="1095"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投资</w:t>
            </w:r>
          </w:p>
        </w:tc>
        <w:tc>
          <w:tcPr>
            <w:tcW w:w="1112"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完成时限</w:t>
            </w:r>
          </w:p>
        </w:tc>
      </w:tr>
      <w:tr w:rsidR="00240BCE">
        <w:tc>
          <w:tcPr>
            <w:tcW w:w="1139" w:type="dxa"/>
          </w:tcPr>
          <w:p w:rsidR="00240BCE" w:rsidRPr="008F285B" w:rsidRDefault="00AC0334">
            <w:pPr>
              <w:autoSpaceDE w:val="0"/>
              <w:autoSpaceDN w:val="0"/>
              <w:adjustRightInd w:val="0"/>
              <w:snapToGrid w:val="0"/>
              <w:spacing w:line="360" w:lineRule="exact"/>
              <w:rPr>
                <w:b/>
                <w:i/>
                <w:color w:val="000000"/>
                <w:sz w:val="21"/>
                <w:szCs w:val="21"/>
                <w:u w:val="single"/>
              </w:rPr>
            </w:pPr>
            <w:r w:rsidRPr="008F285B">
              <w:rPr>
                <w:b/>
                <w:i/>
                <w:color w:val="000000"/>
                <w:sz w:val="21"/>
                <w:szCs w:val="21"/>
                <w:u w:val="single"/>
              </w:rPr>
              <w:t>工业广场</w:t>
            </w:r>
          </w:p>
        </w:tc>
        <w:tc>
          <w:tcPr>
            <w:tcW w:w="840" w:type="dxa"/>
          </w:tcPr>
          <w:p w:rsidR="00240BCE" w:rsidRPr="008F285B" w:rsidRDefault="00AC0334" w:rsidP="00257B79">
            <w:pPr>
              <w:autoSpaceDE w:val="0"/>
              <w:autoSpaceDN w:val="0"/>
              <w:adjustRightInd w:val="0"/>
              <w:snapToGrid w:val="0"/>
              <w:spacing w:line="360" w:lineRule="exact"/>
              <w:rPr>
                <w:b/>
                <w:i/>
                <w:color w:val="000000"/>
                <w:sz w:val="21"/>
                <w:szCs w:val="21"/>
                <w:u w:val="single"/>
                <w:vertAlign w:val="superscript"/>
              </w:rPr>
            </w:pPr>
            <w:r w:rsidRPr="008F285B">
              <w:rPr>
                <w:b/>
                <w:i/>
                <w:color w:val="000000"/>
                <w:sz w:val="21"/>
                <w:szCs w:val="21"/>
                <w:u w:val="single"/>
              </w:rPr>
              <w:t>1.</w:t>
            </w:r>
            <w:r w:rsidR="00257B79" w:rsidRPr="008F285B">
              <w:rPr>
                <w:rFonts w:hint="eastAsia"/>
                <w:b/>
                <w:i/>
                <w:color w:val="000000"/>
                <w:sz w:val="21"/>
                <w:szCs w:val="21"/>
                <w:u w:val="single"/>
              </w:rPr>
              <w:t>92</w:t>
            </w:r>
            <w:r w:rsidRPr="008F285B">
              <w:rPr>
                <w:b/>
                <w:i/>
                <w:color w:val="000000"/>
                <w:sz w:val="21"/>
                <w:szCs w:val="21"/>
                <w:u w:val="single"/>
              </w:rPr>
              <w:t>hm</w:t>
            </w:r>
            <w:r w:rsidRPr="008F285B">
              <w:rPr>
                <w:b/>
                <w:i/>
                <w:color w:val="000000"/>
                <w:sz w:val="21"/>
                <w:szCs w:val="21"/>
                <w:u w:val="single"/>
                <w:vertAlign w:val="superscript"/>
              </w:rPr>
              <w:t>2</w:t>
            </w:r>
          </w:p>
        </w:tc>
        <w:tc>
          <w:tcPr>
            <w:tcW w:w="4554" w:type="dxa"/>
          </w:tcPr>
          <w:p w:rsidR="00240BCE" w:rsidRPr="008F285B" w:rsidRDefault="00AC0334">
            <w:pPr>
              <w:autoSpaceDE w:val="0"/>
              <w:autoSpaceDN w:val="0"/>
              <w:adjustRightInd w:val="0"/>
              <w:snapToGrid w:val="0"/>
              <w:spacing w:line="360" w:lineRule="exact"/>
              <w:rPr>
                <w:b/>
                <w:i/>
                <w:color w:val="000000"/>
                <w:sz w:val="21"/>
                <w:szCs w:val="21"/>
                <w:u w:val="single"/>
              </w:rPr>
            </w:pPr>
            <w:r w:rsidRPr="008F285B">
              <w:rPr>
                <w:b/>
                <w:i/>
                <w:color w:val="000000"/>
                <w:sz w:val="21"/>
                <w:szCs w:val="21"/>
                <w:u w:val="single"/>
              </w:rPr>
              <w:t>工业场地空地绿化，尤其在</w:t>
            </w:r>
            <w:r w:rsidR="00802A62">
              <w:rPr>
                <w:b/>
                <w:i/>
                <w:color w:val="000000"/>
                <w:sz w:val="21"/>
                <w:szCs w:val="21"/>
                <w:u w:val="single"/>
              </w:rPr>
              <w:t>储煤库</w:t>
            </w:r>
            <w:r w:rsidRPr="008F285B">
              <w:rPr>
                <w:b/>
                <w:i/>
                <w:color w:val="000000"/>
                <w:sz w:val="21"/>
                <w:szCs w:val="21"/>
                <w:u w:val="single"/>
              </w:rPr>
              <w:t>附近应加强绿化，种植高大乔木，在工业广场原有绿地基础上增加绿化面积</w:t>
            </w:r>
            <w:r w:rsidRPr="008F285B">
              <w:rPr>
                <w:b/>
                <w:i/>
                <w:color w:val="000000"/>
                <w:sz w:val="21"/>
                <w:szCs w:val="21"/>
                <w:u w:val="single"/>
              </w:rPr>
              <w:t>0.12hm</w:t>
            </w:r>
            <w:r w:rsidRPr="008F285B">
              <w:rPr>
                <w:b/>
                <w:i/>
                <w:color w:val="000000"/>
                <w:sz w:val="21"/>
                <w:szCs w:val="21"/>
                <w:u w:val="single"/>
                <w:vertAlign w:val="superscript"/>
              </w:rPr>
              <w:t>2</w:t>
            </w:r>
            <w:r w:rsidRPr="008F285B">
              <w:rPr>
                <w:b/>
                <w:i/>
                <w:color w:val="000000"/>
                <w:sz w:val="21"/>
                <w:szCs w:val="21"/>
                <w:u w:val="single"/>
              </w:rPr>
              <w:t>，种植乔木约</w:t>
            </w:r>
            <w:r w:rsidRPr="008F285B">
              <w:rPr>
                <w:b/>
                <w:i/>
                <w:color w:val="000000"/>
                <w:sz w:val="21"/>
                <w:szCs w:val="21"/>
                <w:u w:val="single"/>
              </w:rPr>
              <w:t>50</w:t>
            </w:r>
            <w:r w:rsidRPr="008F285B">
              <w:rPr>
                <w:b/>
                <w:i/>
                <w:color w:val="000000"/>
                <w:sz w:val="21"/>
                <w:szCs w:val="21"/>
                <w:u w:val="single"/>
              </w:rPr>
              <w:t>棵。</w:t>
            </w:r>
          </w:p>
        </w:tc>
        <w:tc>
          <w:tcPr>
            <w:tcW w:w="1095" w:type="dxa"/>
          </w:tcPr>
          <w:p w:rsidR="00240BCE" w:rsidRPr="008F285B" w:rsidRDefault="00AC0334">
            <w:pPr>
              <w:autoSpaceDE w:val="0"/>
              <w:autoSpaceDN w:val="0"/>
              <w:adjustRightInd w:val="0"/>
              <w:snapToGrid w:val="0"/>
              <w:spacing w:line="360" w:lineRule="exact"/>
              <w:rPr>
                <w:b/>
                <w:i/>
                <w:color w:val="000000"/>
                <w:sz w:val="21"/>
                <w:szCs w:val="21"/>
                <w:u w:val="single"/>
              </w:rPr>
            </w:pPr>
            <w:r w:rsidRPr="008F285B">
              <w:rPr>
                <w:b/>
                <w:i/>
                <w:color w:val="000000"/>
                <w:sz w:val="21"/>
                <w:szCs w:val="21"/>
                <w:u w:val="single"/>
              </w:rPr>
              <w:t>3.0</w:t>
            </w:r>
            <w:r w:rsidRPr="008F285B">
              <w:rPr>
                <w:b/>
                <w:i/>
                <w:color w:val="000000"/>
                <w:sz w:val="21"/>
                <w:szCs w:val="21"/>
                <w:u w:val="single"/>
              </w:rPr>
              <w:t>万元</w:t>
            </w:r>
          </w:p>
        </w:tc>
        <w:tc>
          <w:tcPr>
            <w:tcW w:w="1112" w:type="dxa"/>
          </w:tcPr>
          <w:p w:rsidR="00240BCE" w:rsidRPr="008F285B" w:rsidRDefault="00AC0334">
            <w:pPr>
              <w:autoSpaceDE w:val="0"/>
              <w:autoSpaceDN w:val="0"/>
              <w:adjustRightInd w:val="0"/>
              <w:snapToGrid w:val="0"/>
              <w:spacing w:line="360" w:lineRule="exact"/>
              <w:rPr>
                <w:b/>
                <w:i/>
                <w:color w:val="000000"/>
                <w:sz w:val="21"/>
                <w:szCs w:val="21"/>
                <w:u w:val="single"/>
              </w:rPr>
            </w:pPr>
            <w:r w:rsidRPr="008F285B">
              <w:rPr>
                <w:b/>
                <w:i/>
                <w:color w:val="000000"/>
                <w:sz w:val="21"/>
                <w:szCs w:val="21"/>
                <w:u w:val="single"/>
              </w:rPr>
              <w:t>2022</w:t>
            </w:r>
            <w:r w:rsidRPr="008F285B">
              <w:rPr>
                <w:b/>
                <w:i/>
                <w:color w:val="000000"/>
                <w:sz w:val="21"/>
                <w:szCs w:val="21"/>
                <w:u w:val="single"/>
              </w:rPr>
              <w:t>年</w:t>
            </w:r>
            <w:r w:rsidRPr="008F285B">
              <w:rPr>
                <w:b/>
                <w:i/>
                <w:color w:val="000000"/>
                <w:sz w:val="21"/>
                <w:szCs w:val="21"/>
                <w:u w:val="single"/>
              </w:rPr>
              <w:t>3</w:t>
            </w:r>
            <w:r w:rsidRPr="008F285B">
              <w:rPr>
                <w:b/>
                <w:i/>
                <w:color w:val="000000"/>
                <w:sz w:val="21"/>
                <w:szCs w:val="21"/>
                <w:u w:val="single"/>
              </w:rPr>
              <w:t>月</w:t>
            </w:r>
          </w:p>
        </w:tc>
      </w:tr>
      <w:tr w:rsidR="00240BCE">
        <w:tc>
          <w:tcPr>
            <w:tcW w:w="1139" w:type="dxa"/>
          </w:tcPr>
          <w:p w:rsidR="00240BCE" w:rsidRDefault="00AC0334">
            <w:pPr>
              <w:autoSpaceDE w:val="0"/>
              <w:autoSpaceDN w:val="0"/>
              <w:adjustRightInd w:val="0"/>
              <w:snapToGrid w:val="0"/>
              <w:spacing w:line="360" w:lineRule="exact"/>
              <w:rPr>
                <w:sz w:val="21"/>
                <w:szCs w:val="21"/>
              </w:rPr>
            </w:pPr>
            <w:r>
              <w:rPr>
                <w:sz w:val="21"/>
                <w:szCs w:val="21"/>
              </w:rPr>
              <w:t>沉陷区</w:t>
            </w:r>
          </w:p>
        </w:tc>
        <w:tc>
          <w:tcPr>
            <w:tcW w:w="840" w:type="dxa"/>
          </w:tcPr>
          <w:p w:rsidR="00240BCE" w:rsidRDefault="00AC0334">
            <w:pPr>
              <w:autoSpaceDE w:val="0"/>
              <w:autoSpaceDN w:val="0"/>
              <w:adjustRightInd w:val="0"/>
              <w:snapToGrid w:val="0"/>
              <w:spacing w:line="360" w:lineRule="exact"/>
              <w:rPr>
                <w:sz w:val="21"/>
                <w:szCs w:val="21"/>
                <w:vertAlign w:val="superscript"/>
              </w:rPr>
            </w:pPr>
            <w:r>
              <w:rPr>
                <w:sz w:val="21"/>
                <w:szCs w:val="21"/>
              </w:rPr>
              <w:t>235hm</w:t>
            </w:r>
            <w:r>
              <w:rPr>
                <w:sz w:val="21"/>
                <w:szCs w:val="21"/>
                <w:vertAlign w:val="superscript"/>
              </w:rPr>
              <w:t>2</w:t>
            </w:r>
          </w:p>
        </w:tc>
        <w:tc>
          <w:tcPr>
            <w:tcW w:w="4554"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对中度和重度破坏的耕地采取人工整地的复垦措施，对中度和重度破坏的林地采取人工整地、补植、管护等工作，对中度和重度破坏的园地人工整地的复垦措施；对受沉陷影响损坏程度达到</w:t>
            </w:r>
            <w:r>
              <w:rPr>
                <w:color w:val="000000"/>
                <w:sz w:val="21"/>
                <w:szCs w:val="21"/>
              </w:rPr>
              <w:t>Ⅰ</w:t>
            </w:r>
            <w:r>
              <w:rPr>
                <w:color w:val="000000"/>
                <w:sz w:val="21"/>
                <w:szCs w:val="21"/>
              </w:rPr>
              <w:t>～</w:t>
            </w:r>
            <w:r>
              <w:rPr>
                <w:color w:val="000000"/>
                <w:sz w:val="21"/>
                <w:szCs w:val="21"/>
              </w:rPr>
              <w:t>Ⅲ</w:t>
            </w:r>
            <w:r>
              <w:rPr>
                <w:color w:val="000000"/>
                <w:sz w:val="21"/>
                <w:szCs w:val="21"/>
              </w:rPr>
              <w:t>级的建构筑物采取维修的方式进行处理，对损坏程度达到</w:t>
            </w:r>
            <w:r>
              <w:rPr>
                <w:color w:val="000000"/>
                <w:sz w:val="21"/>
                <w:szCs w:val="21"/>
              </w:rPr>
              <w:t>Ⅳ</w:t>
            </w:r>
            <w:r>
              <w:rPr>
                <w:color w:val="000000"/>
                <w:sz w:val="21"/>
                <w:szCs w:val="21"/>
              </w:rPr>
              <w:t>的建构筑物进行搬迁。</w:t>
            </w:r>
          </w:p>
        </w:tc>
        <w:tc>
          <w:tcPr>
            <w:tcW w:w="1095"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312.7</w:t>
            </w:r>
            <w:r>
              <w:rPr>
                <w:color w:val="000000"/>
                <w:sz w:val="21"/>
                <w:szCs w:val="21"/>
              </w:rPr>
              <w:t>万元</w:t>
            </w:r>
          </w:p>
        </w:tc>
        <w:tc>
          <w:tcPr>
            <w:tcW w:w="1112"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根据开采进度，待沉陷稳定后进行整治</w:t>
            </w:r>
          </w:p>
        </w:tc>
      </w:tr>
      <w:tr w:rsidR="00240BCE">
        <w:tc>
          <w:tcPr>
            <w:tcW w:w="1139"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搬迁废弃地</w:t>
            </w:r>
          </w:p>
        </w:tc>
        <w:tc>
          <w:tcPr>
            <w:tcW w:w="840" w:type="dxa"/>
          </w:tcPr>
          <w:p w:rsidR="00240BCE" w:rsidRDefault="00AC0334">
            <w:pPr>
              <w:autoSpaceDE w:val="0"/>
              <w:autoSpaceDN w:val="0"/>
              <w:adjustRightInd w:val="0"/>
              <w:snapToGrid w:val="0"/>
              <w:spacing w:line="360" w:lineRule="exact"/>
              <w:rPr>
                <w:color w:val="000000"/>
                <w:sz w:val="21"/>
                <w:szCs w:val="21"/>
                <w:vertAlign w:val="superscript"/>
              </w:rPr>
            </w:pPr>
            <w:r>
              <w:rPr>
                <w:color w:val="000000"/>
                <w:sz w:val="21"/>
                <w:szCs w:val="21"/>
              </w:rPr>
              <w:t>41.9hm</w:t>
            </w:r>
            <w:r>
              <w:rPr>
                <w:color w:val="000000"/>
                <w:sz w:val="21"/>
                <w:szCs w:val="21"/>
                <w:vertAlign w:val="superscript"/>
              </w:rPr>
              <w:t>2</w:t>
            </w:r>
          </w:p>
        </w:tc>
        <w:tc>
          <w:tcPr>
            <w:tcW w:w="4554" w:type="dxa"/>
          </w:tcPr>
          <w:p w:rsidR="00240BCE" w:rsidRDefault="00AC0334">
            <w:pPr>
              <w:autoSpaceDE w:val="0"/>
              <w:autoSpaceDN w:val="0"/>
              <w:adjustRightInd w:val="0"/>
              <w:snapToGrid w:val="0"/>
              <w:spacing w:line="360" w:lineRule="exact"/>
              <w:rPr>
                <w:color w:val="000000"/>
                <w:sz w:val="21"/>
                <w:szCs w:val="21"/>
              </w:rPr>
            </w:pPr>
            <w:r>
              <w:rPr>
                <w:color w:val="000000"/>
                <w:sz w:val="22"/>
                <w:szCs w:val="22"/>
              </w:rPr>
              <w:t>对搬迁完毕的村庄进行土地平整，并复垦为耕地。</w:t>
            </w:r>
          </w:p>
        </w:tc>
        <w:tc>
          <w:tcPr>
            <w:tcW w:w="1095"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52.2</w:t>
            </w:r>
            <w:r>
              <w:rPr>
                <w:color w:val="000000"/>
                <w:sz w:val="21"/>
                <w:szCs w:val="21"/>
              </w:rPr>
              <w:t>万元</w:t>
            </w:r>
          </w:p>
        </w:tc>
        <w:tc>
          <w:tcPr>
            <w:tcW w:w="1112" w:type="dxa"/>
          </w:tcPr>
          <w:p w:rsidR="00240BCE" w:rsidRDefault="00AC0334">
            <w:pPr>
              <w:autoSpaceDE w:val="0"/>
              <w:autoSpaceDN w:val="0"/>
              <w:adjustRightInd w:val="0"/>
              <w:snapToGrid w:val="0"/>
              <w:spacing w:line="360" w:lineRule="exact"/>
              <w:rPr>
                <w:color w:val="000000"/>
                <w:sz w:val="21"/>
                <w:szCs w:val="21"/>
              </w:rPr>
            </w:pPr>
            <w:r>
              <w:rPr>
                <w:color w:val="000000"/>
                <w:sz w:val="21"/>
                <w:szCs w:val="21"/>
              </w:rPr>
              <w:t>搬迁后</w:t>
            </w: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839" w:name="_Toc180680583"/>
      <w:bookmarkStart w:id="840" w:name="_Toc181088914"/>
      <w:bookmarkStart w:id="841" w:name="_Toc181089320"/>
      <w:bookmarkStart w:id="842" w:name="_Toc187038799"/>
      <w:bookmarkStart w:id="843" w:name="_Toc79668728"/>
      <w:r>
        <w:rPr>
          <w:rFonts w:eastAsia="楷体"/>
          <w:sz w:val="28"/>
          <w:szCs w:val="28"/>
        </w:rPr>
        <w:t xml:space="preserve">7.4.4 </w:t>
      </w:r>
      <w:r>
        <w:rPr>
          <w:rFonts w:eastAsia="楷体"/>
          <w:sz w:val="28"/>
          <w:szCs w:val="28"/>
        </w:rPr>
        <w:t>矿井服务期满后（闭矿期）生态恢复措施</w:t>
      </w:r>
      <w:bookmarkEnd w:id="839"/>
      <w:bookmarkEnd w:id="840"/>
      <w:bookmarkEnd w:id="841"/>
      <w:bookmarkEnd w:id="842"/>
      <w:bookmarkEnd w:id="843"/>
    </w:p>
    <w:p w:rsidR="00240BCE" w:rsidRDefault="00AC0334">
      <w:pPr>
        <w:pStyle w:val="ae"/>
        <w:spacing w:line="520" w:lineRule="exact"/>
        <w:ind w:firstLine="560"/>
        <w:rPr>
          <w:rFonts w:ascii="Times New Roman" w:hAnsi="Times New Roman"/>
          <w:sz w:val="24"/>
          <w:szCs w:val="24"/>
        </w:rPr>
      </w:pPr>
      <w:r>
        <w:rPr>
          <w:rFonts w:ascii="Times New Roman" w:hAnsi="Times New Roman"/>
          <w:sz w:val="24"/>
          <w:szCs w:val="24"/>
        </w:rPr>
        <w:t>矿井生产服务期满后，应及时对工业场地内的井筒按有关要求进行封填，</w:t>
      </w:r>
      <w:r>
        <w:rPr>
          <w:rFonts w:ascii="Times New Roman" w:hAnsi="Times New Roman"/>
          <w:color w:val="000000"/>
          <w:sz w:val="24"/>
          <w:szCs w:val="24"/>
        </w:rPr>
        <w:t>工业场地不再使用的厂房、</w:t>
      </w:r>
      <w:r w:rsidR="00802A62">
        <w:rPr>
          <w:rFonts w:ascii="Times New Roman" w:hAnsi="Times New Roman"/>
          <w:color w:val="000000"/>
          <w:sz w:val="24"/>
          <w:szCs w:val="24"/>
        </w:rPr>
        <w:t>储煤库</w:t>
      </w:r>
      <w:r>
        <w:rPr>
          <w:rFonts w:ascii="Times New Roman" w:hAnsi="Times New Roman"/>
          <w:color w:val="000000"/>
          <w:sz w:val="24"/>
          <w:szCs w:val="24"/>
        </w:rPr>
        <w:t>等各项建（构）筑物和基础设施应全部拆除，并进行景观和植被恢复，</w:t>
      </w:r>
      <w:r>
        <w:rPr>
          <w:rFonts w:ascii="Times New Roman" w:hAnsi="Times New Roman"/>
          <w:sz w:val="24"/>
          <w:szCs w:val="24"/>
        </w:rPr>
        <w:t>最大程度地进行生态恢复，服务期满后可恢复面积</w:t>
      </w:r>
      <w:r>
        <w:rPr>
          <w:rFonts w:ascii="Times New Roman" w:hAnsi="Times New Roman"/>
          <w:sz w:val="24"/>
          <w:szCs w:val="24"/>
        </w:rPr>
        <w:t>1.</w:t>
      </w:r>
      <w:r w:rsidR="00257B79">
        <w:rPr>
          <w:rFonts w:ascii="Times New Roman" w:hAnsi="Times New Roman" w:hint="eastAsia"/>
          <w:sz w:val="24"/>
          <w:szCs w:val="24"/>
        </w:rPr>
        <w:t>92</w:t>
      </w:r>
      <w:r>
        <w:rPr>
          <w:rFonts w:ascii="Times New Roman" w:hAnsi="Times New Roman"/>
          <w:sz w:val="24"/>
          <w:szCs w:val="24"/>
        </w:rPr>
        <w:t>hm</w:t>
      </w:r>
      <w:r>
        <w:rPr>
          <w:rFonts w:ascii="Times New Roman" w:hAnsi="Times New Roman"/>
          <w:sz w:val="24"/>
          <w:szCs w:val="24"/>
          <w:vertAlign w:val="superscript"/>
        </w:rPr>
        <w:t>2</w:t>
      </w:r>
      <w:r>
        <w:rPr>
          <w:rFonts w:ascii="Times New Roman" w:hAnsi="Times New Roman"/>
          <w:sz w:val="24"/>
          <w:szCs w:val="24"/>
        </w:rPr>
        <w:t>，见表</w:t>
      </w:r>
      <w:r>
        <w:rPr>
          <w:rFonts w:ascii="Times New Roman" w:hAnsi="Times New Roman"/>
          <w:sz w:val="24"/>
          <w:szCs w:val="24"/>
        </w:rPr>
        <w:t>7.4-2</w:t>
      </w:r>
      <w:r>
        <w:rPr>
          <w:rFonts w:ascii="Times New Roman" w:hAnsi="Times New Roman"/>
          <w:sz w:val="24"/>
          <w:szCs w:val="24"/>
        </w:rPr>
        <w:t>。</w:t>
      </w:r>
    </w:p>
    <w:p w:rsidR="008F285B" w:rsidRDefault="008F285B">
      <w:pPr>
        <w:spacing w:line="520" w:lineRule="exact"/>
        <w:jc w:val="center"/>
        <w:rPr>
          <w:b/>
          <w:bCs/>
          <w:sz w:val="24"/>
        </w:rPr>
      </w:pPr>
    </w:p>
    <w:p w:rsidR="00240BCE" w:rsidRDefault="00AC0334">
      <w:pPr>
        <w:spacing w:line="520" w:lineRule="exact"/>
        <w:jc w:val="center"/>
        <w:rPr>
          <w:b/>
          <w:bCs/>
          <w:sz w:val="24"/>
        </w:rPr>
      </w:pPr>
      <w:r>
        <w:rPr>
          <w:b/>
          <w:bCs/>
          <w:sz w:val="24"/>
        </w:rPr>
        <w:t>表</w:t>
      </w:r>
      <w:r>
        <w:rPr>
          <w:b/>
          <w:bCs/>
          <w:sz w:val="24"/>
        </w:rPr>
        <w:t xml:space="preserve">7.4-2 </w:t>
      </w:r>
      <w:r>
        <w:rPr>
          <w:b/>
          <w:bCs/>
          <w:sz w:val="24"/>
        </w:rPr>
        <w:t>生态恢复措施一览表</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979"/>
        <w:gridCol w:w="4208"/>
        <w:gridCol w:w="1195"/>
        <w:gridCol w:w="1170"/>
        <w:gridCol w:w="1168"/>
      </w:tblGrid>
      <w:tr w:rsidR="00240BCE">
        <w:tc>
          <w:tcPr>
            <w:tcW w:w="979" w:type="dxa"/>
            <w:vAlign w:val="center"/>
          </w:tcPr>
          <w:p w:rsidR="00240BCE" w:rsidRDefault="00AC0334">
            <w:pPr>
              <w:spacing w:line="360" w:lineRule="exact"/>
              <w:jc w:val="center"/>
              <w:rPr>
                <w:b/>
                <w:bCs/>
                <w:sz w:val="21"/>
              </w:rPr>
            </w:pPr>
            <w:r>
              <w:rPr>
                <w:b/>
                <w:bCs/>
                <w:sz w:val="21"/>
              </w:rPr>
              <w:t>项目</w:t>
            </w:r>
          </w:p>
        </w:tc>
        <w:tc>
          <w:tcPr>
            <w:tcW w:w="4208" w:type="dxa"/>
            <w:vAlign w:val="center"/>
          </w:tcPr>
          <w:p w:rsidR="00240BCE" w:rsidRDefault="00AC0334">
            <w:pPr>
              <w:spacing w:line="360" w:lineRule="exact"/>
              <w:jc w:val="center"/>
              <w:rPr>
                <w:b/>
                <w:bCs/>
                <w:sz w:val="21"/>
              </w:rPr>
            </w:pPr>
            <w:r>
              <w:rPr>
                <w:b/>
                <w:bCs/>
                <w:sz w:val="21"/>
              </w:rPr>
              <w:t>生态恢复措施及内容</w:t>
            </w:r>
          </w:p>
        </w:tc>
        <w:tc>
          <w:tcPr>
            <w:tcW w:w="1195" w:type="dxa"/>
            <w:vAlign w:val="center"/>
          </w:tcPr>
          <w:p w:rsidR="00240BCE" w:rsidRDefault="00AC0334">
            <w:pPr>
              <w:spacing w:line="360" w:lineRule="exact"/>
              <w:jc w:val="center"/>
              <w:rPr>
                <w:b/>
                <w:bCs/>
                <w:sz w:val="21"/>
              </w:rPr>
            </w:pPr>
            <w:r>
              <w:rPr>
                <w:b/>
                <w:bCs/>
                <w:sz w:val="21"/>
              </w:rPr>
              <w:t>恢复面积</w:t>
            </w:r>
          </w:p>
        </w:tc>
        <w:tc>
          <w:tcPr>
            <w:tcW w:w="1170" w:type="dxa"/>
            <w:vAlign w:val="center"/>
          </w:tcPr>
          <w:p w:rsidR="00240BCE" w:rsidRDefault="00AC0334">
            <w:pPr>
              <w:spacing w:line="360" w:lineRule="exact"/>
              <w:jc w:val="center"/>
              <w:rPr>
                <w:b/>
                <w:bCs/>
                <w:sz w:val="21"/>
              </w:rPr>
            </w:pPr>
            <w:r>
              <w:rPr>
                <w:b/>
                <w:bCs/>
                <w:sz w:val="21"/>
              </w:rPr>
              <w:t>投资</w:t>
            </w:r>
          </w:p>
          <w:p w:rsidR="00240BCE" w:rsidRDefault="00AC0334">
            <w:pPr>
              <w:spacing w:line="360" w:lineRule="exact"/>
              <w:jc w:val="center"/>
              <w:rPr>
                <w:b/>
                <w:bCs/>
                <w:sz w:val="21"/>
              </w:rPr>
            </w:pPr>
            <w:r>
              <w:rPr>
                <w:b/>
                <w:bCs/>
                <w:sz w:val="21"/>
              </w:rPr>
              <w:t>（万元）</w:t>
            </w:r>
          </w:p>
        </w:tc>
        <w:tc>
          <w:tcPr>
            <w:tcW w:w="1168" w:type="dxa"/>
            <w:vAlign w:val="center"/>
          </w:tcPr>
          <w:p w:rsidR="00240BCE" w:rsidRDefault="00AC0334">
            <w:pPr>
              <w:spacing w:line="360" w:lineRule="exact"/>
              <w:jc w:val="center"/>
              <w:rPr>
                <w:b/>
                <w:bCs/>
                <w:sz w:val="21"/>
              </w:rPr>
            </w:pPr>
            <w:r>
              <w:rPr>
                <w:b/>
                <w:bCs/>
                <w:sz w:val="21"/>
              </w:rPr>
              <w:t>实施时间</w:t>
            </w:r>
          </w:p>
        </w:tc>
      </w:tr>
      <w:tr w:rsidR="00240BCE">
        <w:tc>
          <w:tcPr>
            <w:tcW w:w="979" w:type="dxa"/>
            <w:vAlign w:val="center"/>
          </w:tcPr>
          <w:p w:rsidR="00240BCE" w:rsidRDefault="00AC0334">
            <w:pPr>
              <w:spacing w:line="360" w:lineRule="exact"/>
              <w:jc w:val="center"/>
              <w:rPr>
                <w:sz w:val="21"/>
              </w:rPr>
            </w:pPr>
            <w:r>
              <w:rPr>
                <w:sz w:val="21"/>
              </w:rPr>
              <w:t>工业场地</w:t>
            </w:r>
          </w:p>
        </w:tc>
        <w:tc>
          <w:tcPr>
            <w:tcW w:w="4208" w:type="dxa"/>
            <w:vAlign w:val="center"/>
          </w:tcPr>
          <w:p w:rsidR="00240BCE" w:rsidRPr="008F285B" w:rsidRDefault="00AC0334">
            <w:pPr>
              <w:spacing w:line="360" w:lineRule="exact"/>
              <w:jc w:val="center"/>
              <w:rPr>
                <w:b/>
                <w:i/>
                <w:sz w:val="21"/>
                <w:u w:val="single"/>
              </w:rPr>
            </w:pPr>
            <w:r w:rsidRPr="008F285B">
              <w:rPr>
                <w:b/>
                <w:i/>
                <w:spacing w:val="2"/>
                <w:sz w:val="21"/>
                <w:szCs w:val="21"/>
                <w:u w:val="single"/>
              </w:rPr>
              <w:t>回填封堵主井、副井、风井，拆除地面建筑物和设备，场地进行清理，恢复为林地</w:t>
            </w:r>
          </w:p>
        </w:tc>
        <w:tc>
          <w:tcPr>
            <w:tcW w:w="1195" w:type="dxa"/>
            <w:vAlign w:val="center"/>
          </w:tcPr>
          <w:p w:rsidR="00240BCE" w:rsidRPr="008F285B" w:rsidRDefault="00AC0334" w:rsidP="00257B79">
            <w:pPr>
              <w:spacing w:line="360" w:lineRule="exact"/>
              <w:jc w:val="center"/>
              <w:rPr>
                <w:b/>
                <w:i/>
                <w:sz w:val="21"/>
                <w:u w:val="single"/>
              </w:rPr>
            </w:pPr>
            <w:r w:rsidRPr="008F285B">
              <w:rPr>
                <w:b/>
                <w:i/>
                <w:sz w:val="21"/>
                <w:szCs w:val="21"/>
                <w:u w:val="single"/>
              </w:rPr>
              <w:t>1.</w:t>
            </w:r>
            <w:r w:rsidR="00257B79" w:rsidRPr="008F285B">
              <w:rPr>
                <w:rFonts w:hint="eastAsia"/>
                <w:b/>
                <w:i/>
                <w:sz w:val="21"/>
                <w:szCs w:val="21"/>
                <w:u w:val="single"/>
              </w:rPr>
              <w:t>92</w:t>
            </w:r>
            <w:r w:rsidRPr="008F285B">
              <w:rPr>
                <w:b/>
                <w:i/>
                <w:sz w:val="21"/>
                <w:szCs w:val="21"/>
                <w:u w:val="single"/>
              </w:rPr>
              <w:t>m</w:t>
            </w:r>
            <w:r w:rsidRPr="008F285B">
              <w:rPr>
                <w:b/>
                <w:i/>
                <w:sz w:val="21"/>
                <w:szCs w:val="21"/>
                <w:u w:val="single"/>
                <w:vertAlign w:val="superscript"/>
              </w:rPr>
              <w:t>2</w:t>
            </w:r>
          </w:p>
        </w:tc>
        <w:tc>
          <w:tcPr>
            <w:tcW w:w="1170" w:type="dxa"/>
            <w:vAlign w:val="center"/>
          </w:tcPr>
          <w:p w:rsidR="00240BCE" w:rsidRPr="008F285B" w:rsidRDefault="00AC0334">
            <w:pPr>
              <w:spacing w:line="360" w:lineRule="exact"/>
              <w:jc w:val="center"/>
              <w:rPr>
                <w:b/>
                <w:i/>
                <w:sz w:val="21"/>
                <w:u w:val="single"/>
              </w:rPr>
            </w:pPr>
            <w:r w:rsidRPr="008F285B">
              <w:rPr>
                <w:b/>
                <w:i/>
                <w:sz w:val="21"/>
                <w:u w:val="single"/>
              </w:rPr>
              <w:t>35.0</w:t>
            </w:r>
          </w:p>
        </w:tc>
        <w:tc>
          <w:tcPr>
            <w:tcW w:w="1168" w:type="dxa"/>
            <w:vAlign w:val="center"/>
          </w:tcPr>
          <w:p w:rsidR="00240BCE" w:rsidRPr="008F285B" w:rsidRDefault="00AC0334">
            <w:pPr>
              <w:widowControl/>
              <w:spacing w:line="360" w:lineRule="exact"/>
              <w:jc w:val="center"/>
              <w:rPr>
                <w:b/>
                <w:i/>
                <w:sz w:val="21"/>
                <w:u w:val="single"/>
              </w:rPr>
            </w:pPr>
            <w:r w:rsidRPr="008F285B">
              <w:rPr>
                <w:b/>
                <w:i/>
                <w:sz w:val="21"/>
                <w:u w:val="single"/>
              </w:rPr>
              <w:t>闭矿期</w:t>
            </w:r>
          </w:p>
        </w:tc>
      </w:tr>
      <w:tr w:rsidR="00240BCE">
        <w:tc>
          <w:tcPr>
            <w:tcW w:w="979" w:type="dxa"/>
            <w:vAlign w:val="center"/>
          </w:tcPr>
          <w:p w:rsidR="00240BCE" w:rsidRDefault="00AC0334">
            <w:pPr>
              <w:spacing w:line="360" w:lineRule="exact"/>
              <w:jc w:val="center"/>
              <w:rPr>
                <w:sz w:val="21"/>
              </w:rPr>
            </w:pPr>
            <w:r>
              <w:rPr>
                <w:sz w:val="21"/>
              </w:rPr>
              <w:t>合计</w:t>
            </w:r>
            <w:r>
              <w:rPr>
                <w:sz w:val="21"/>
              </w:rPr>
              <w:t>/</w:t>
            </w:r>
          </w:p>
        </w:tc>
        <w:tc>
          <w:tcPr>
            <w:tcW w:w="4208" w:type="dxa"/>
            <w:vAlign w:val="center"/>
          </w:tcPr>
          <w:p w:rsidR="00240BCE" w:rsidRDefault="00AC0334">
            <w:pPr>
              <w:spacing w:line="360" w:lineRule="exact"/>
              <w:jc w:val="center"/>
              <w:rPr>
                <w:sz w:val="21"/>
              </w:rPr>
            </w:pPr>
            <w:r>
              <w:rPr>
                <w:sz w:val="21"/>
              </w:rPr>
              <w:t>/</w:t>
            </w:r>
          </w:p>
        </w:tc>
        <w:tc>
          <w:tcPr>
            <w:tcW w:w="1195" w:type="dxa"/>
            <w:vAlign w:val="center"/>
          </w:tcPr>
          <w:p w:rsidR="00240BCE" w:rsidRDefault="00240BCE">
            <w:pPr>
              <w:spacing w:line="360" w:lineRule="exact"/>
              <w:jc w:val="center"/>
              <w:rPr>
                <w:sz w:val="21"/>
              </w:rPr>
            </w:pPr>
          </w:p>
        </w:tc>
        <w:tc>
          <w:tcPr>
            <w:tcW w:w="1170" w:type="dxa"/>
            <w:vAlign w:val="center"/>
          </w:tcPr>
          <w:p w:rsidR="00240BCE" w:rsidRDefault="00AC0334">
            <w:pPr>
              <w:spacing w:line="360" w:lineRule="exact"/>
              <w:jc w:val="center"/>
              <w:rPr>
                <w:sz w:val="21"/>
              </w:rPr>
            </w:pPr>
            <w:r>
              <w:rPr>
                <w:sz w:val="21"/>
              </w:rPr>
              <w:t>35.0</w:t>
            </w:r>
          </w:p>
        </w:tc>
        <w:tc>
          <w:tcPr>
            <w:tcW w:w="1168" w:type="dxa"/>
            <w:vAlign w:val="center"/>
          </w:tcPr>
          <w:p w:rsidR="00240BCE" w:rsidRDefault="00AC0334">
            <w:pPr>
              <w:widowControl/>
              <w:spacing w:line="360" w:lineRule="exact"/>
              <w:jc w:val="center"/>
              <w:rPr>
                <w:sz w:val="21"/>
              </w:rPr>
            </w:pPr>
            <w:r>
              <w:rPr>
                <w:sz w:val="21"/>
              </w:rPr>
              <w:t>/</w:t>
            </w:r>
          </w:p>
        </w:tc>
      </w:tr>
    </w:tbl>
    <w:p w:rsidR="00240BCE" w:rsidRDefault="00AC0334">
      <w:pPr>
        <w:pStyle w:val="ae"/>
        <w:spacing w:line="520" w:lineRule="exact"/>
        <w:ind w:firstLineChars="200" w:firstLine="488"/>
        <w:rPr>
          <w:rFonts w:ascii="Times New Roman" w:hAnsi="Times New Roman"/>
          <w:b/>
          <w:sz w:val="24"/>
          <w:szCs w:val="24"/>
        </w:rPr>
      </w:pPr>
      <w:r>
        <w:rPr>
          <w:rFonts w:ascii="Times New Roman" w:hAnsi="Times New Roman"/>
          <w:color w:val="000000"/>
          <w:spacing w:val="2"/>
          <w:sz w:val="24"/>
        </w:rPr>
        <w:t>恢复治理后的工业场地应实现：安全稳定，对人类和动植物不造成威胁；对周边环境不产生污染；与周边自然环境和景观相协调；恢复土地基本功能，因地制宜实现土地可持续利用；区域整体生态功能得到保护和恢复。</w:t>
      </w:r>
    </w:p>
    <w:p w:rsidR="00240BCE" w:rsidRDefault="00AC0334" w:rsidP="009C5F33">
      <w:pPr>
        <w:keepNext/>
        <w:keepLines/>
        <w:adjustRightInd w:val="0"/>
        <w:snapToGrid w:val="0"/>
        <w:spacing w:beforeLines="100" w:afterLines="50"/>
        <w:jc w:val="left"/>
        <w:outlineLvl w:val="1"/>
        <w:rPr>
          <w:b/>
          <w:bCs/>
          <w:sz w:val="32"/>
          <w:szCs w:val="32"/>
        </w:rPr>
      </w:pPr>
      <w:bookmarkStart w:id="844" w:name="_Toc316979415"/>
      <w:bookmarkStart w:id="845" w:name="_Toc54305291"/>
      <w:bookmarkStart w:id="846" w:name="_Toc81934398"/>
      <w:r>
        <w:rPr>
          <w:b/>
          <w:bCs/>
          <w:sz w:val="32"/>
          <w:szCs w:val="32"/>
        </w:rPr>
        <w:lastRenderedPageBreak/>
        <w:t xml:space="preserve">7.5 </w:t>
      </w:r>
      <w:r>
        <w:rPr>
          <w:b/>
          <w:bCs/>
          <w:sz w:val="32"/>
          <w:szCs w:val="32"/>
        </w:rPr>
        <w:t>环保措施汇总</w:t>
      </w:r>
      <w:bookmarkEnd w:id="844"/>
      <w:bookmarkEnd w:id="845"/>
      <w:bookmarkEnd w:id="846"/>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7.5.1 </w:t>
      </w:r>
      <w:r>
        <w:rPr>
          <w:rFonts w:eastAsia="楷体"/>
          <w:b/>
          <w:bCs/>
          <w:szCs w:val="28"/>
        </w:rPr>
        <w:t>现有工程整治措施</w:t>
      </w:r>
    </w:p>
    <w:p w:rsidR="00240BCE" w:rsidRDefault="00AC0334">
      <w:pPr>
        <w:spacing w:line="520" w:lineRule="exact"/>
        <w:ind w:firstLineChars="200" w:firstLine="480"/>
        <w:rPr>
          <w:sz w:val="24"/>
        </w:rPr>
      </w:pPr>
      <w:r>
        <w:rPr>
          <w:sz w:val="24"/>
        </w:rPr>
        <w:t>根据初步设计，本次技术改造后依托利用现有工业场地，现有工程遗留问题将纳入本次技术改造工程，通过</w:t>
      </w:r>
      <w:r>
        <w:rPr>
          <w:sz w:val="24"/>
        </w:rPr>
        <w:t xml:space="preserve"> “</w:t>
      </w:r>
      <w:r>
        <w:rPr>
          <w:sz w:val="24"/>
        </w:rPr>
        <w:t>以新带老</w:t>
      </w:r>
      <w:r>
        <w:rPr>
          <w:sz w:val="24"/>
        </w:rPr>
        <w:t>”</w:t>
      </w:r>
      <w:r>
        <w:rPr>
          <w:sz w:val="24"/>
        </w:rPr>
        <w:t>解决现有工程环境问题，并按照现行环保政策，一并严格落实并执行现行环境保护措施和符合规定要求的环保治理设施。</w:t>
      </w:r>
    </w:p>
    <w:p w:rsidR="00240BCE" w:rsidRDefault="00AC0334">
      <w:pPr>
        <w:spacing w:line="500" w:lineRule="exact"/>
        <w:ind w:firstLineChars="200" w:firstLine="480"/>
        <w:rPr>
          <w:sz w:val="24"/>
        </w:rPr>
      </w:pPr>
      <w:r>
        <w:rPr>
          <w:sz w:val="24"/>
        </w:rPr>
        <w:t>现有工程整治措施见表</w:t>
      </w:r>
      <w:r>
        <w:rPr>
          <w:sz w:val="24"/>
        </w:rPr>
        <w:t>7.1-1</w:t>
      </w:r>
      <w:r>
        <w:rPr>
          <w:sz w:val="24"/>
        </w:rPr>
        <w:t>，工程投资计入本次技术改造工程内。</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47" w:name="_Toc79668729"/>
      <w:r>
        <w:rPr>
          <w:rFonts w:eastAsia="楷体"/>
          <w:sz w:val="28"/>
          <w:szCs w:val="28"/>
        </w:rPr>
        <w:t xml:space="preserve">7.5.2 </w:t>
      </w:r>
      <w:r>
        <w:rPr>
          <w:rFonts w:eastAsia="楷体"/>
          <w:sz w:val="28"/>
          <w:szCs w:val="28"/>
        </w:rPr>
        <w:t>环保措施汇总及验收清单</w:t>
      </w:r>
      <w:bookmarkEnd w:id="847"/>
    </w:p>
    <w:p w:rsidR="00240BCE" w:rsidRDefault="00AC0334">
      <w:pPr>
        <w:spacing w:line="520" w:lineRule="exact"/>
        <w:ind w:firstLine="480"/>
        <w:rPr>
          <w:sz w:val="24"/>
        </w:rPr>
      </w:pPr>
      <w:r>
        <w:rPr>
          <w:sz w:val="24"/>
        </w:rPr>
        <w:t>根据上述分析，评价将建设期、运营期和闭矿期污染防治及生态保护措施进行汇总，</w:t>
      </w:r>
      <w:r w:rsidRPr="008F285B">
        <w:rPr>
          <w:b/>
          <w:i/>
          <w:sz w:val="24"/>
          <w:u w:val="single"/>
        </w:rPr>
        <w:t>项目环保投资为</w:t>
      </w:r>
      <w:r w:rsidRPr="008F285B">
        <w:rPr>
          <w:b/>
          <w:i/>
          <w:sz w:val="24"/>
          <w:u w:val="single"/>
        </w:rPr>
        <w:t>335.6</w:t>
      </w:r>
      <w:r w:rsidRPr="008F285B">
        <w:rPr>
          <w:b/>
          <w:i/>
          <w:sz w:val="24"/>
          <w:u w:val="single"/>
        </w:rPr>
        <w:t>万元（其中建设期环保投资</w:t>
      </w:r>
      <w:r w:rsidRPr="008F285B">
        <w:rPr>
          <w:b/>
          <w:i/>
          <w:sz w:val="24"/>
          <w:u w:val="single"/>
        </w:rPr>
        <w:t>83.1</w:t>
      </w:r>
      <w:r w:rsidRPr="008F285B">
        <w:rPr>
          <w:b/>
          <w:i/>
          <w:sz w:val="24"/>
          <w:u w:val="single"/>
        </w:rPr>
        <w:t>万元，运营期环保投资</w:t>
      </w:r>
      <w:r w:rsidRPr="008F285B">
        <w:rPr>
          <w:b/>
          <w:i/>
          <w:sz w:val="24"/>
          <w:u w:val="single"/>
        </w:rPr>
        <w:t>217.5</w:t>
      </w:r>
      <w:r w:rsidRPr="008F285B">
        <w:rPr>
          <w:b/>
          <w:i/>
          <w:sz w:val="24"/>
          <w:u w:val="single"/>
        </w:rPr>
        <w:t>万元，闭矿期投资</w:t>
      </w:r>
      <w:r w:rsidRPr="008F285B">
        <w:rPr>
          <w:b/>
          <w:i/>
          <w:sz w:val="24"/>
          <w:u w:val="single"/>
        </w:rPr>
        <w:t>35</w:t>
      </w:r>
      <w:r w:rsidRPr="008F285B">
        <w:rPr>
          <w:b/>
          <w:i/>
          <w:sz w:val="24"/>
          <w:u w:val="single"/>
        </w:rPr>
        <w:t>万元），占总投资的</w:t>
      </w:r>
      <w:r w:rsidRPr="008F285B">
        <w:rPr>
          <w:b/>
          <w:i/>
          <w:sz w:val="24"/>
          <w:u w:val="single"/>
        </w:rPr>
        <w:t>6.58%</w:t>
      </w:r>
      <w:r w:rsidRPr="008F285B">
        <w:rPr>
          <w:b/>
          <w:i/>
          <w:sz w:val="24"/>
          <w:u w:val="single"/>
        </w:rPr>
        <w:t>。</w:t>
      </w:r>
      <w:r>
        <w:rPr>
          <w:sz w:val="24"/>
        </w:rPr>
        <w:t>本项目的环保措施汇总、环保投资及</w:t>
      </w:r>
      <w:r>
        <w:rPr>
          <w:sz w:val="24"/>
        </w:rPr>
        <w:t>“</w:t>
      </w:r>
      <w:r>
        <w:rPr>
          <w:sz w:val="24"/>
        </w:rPr>
        <w:t>三同时</w:t>
      </w:r>
      <w:r>
        <w:rPr>
          <w:sz w:val="24"/>
        </w:rPr>
        <w:t>”</w:t>
      </w:r>
      <w:r>
        <w:rPr>
          <w:sz w:val="24"/>
        </w:rPr>
        <w:t>验收清单一览表见表</w:t>
      </w:r>
      <w:r>
        <w:rPr>
          <w:sz w:val="24"/>
        </w:rPr>
        <w:t>7.5-1</w:t>
      </w:r>
      <w:r>
        <w:rPr>
          <w:sz w:val="24"/>
        </w:rPr>
        <w:t>。</w:t>
      </w:r>
    </w:p>
    <w:p w:rsidR="00240BCE" w:rsidRDefault="00AC0334">
      <w:pPr>
        <w:spacing w:line="520" w:lineRule="exact"/>
        <w:jc w:val="center"/>
        <w:rPr>
          <w:sz w:val="24"/>
        </w:rPr>
      </w:pPr>
      <w:r>
        <w:rPr>
          <w:b/>
          <w:bCs/>
          <w:sz w:val="24"/>
        </w:rPr>
        <w:t>表</w:t>
      </w:r>
      <w:r>
        <w:rPr>
          <w:b/>
          <w:bCs/>
          <w:sz w:val="24"/>
        </w:rPr>
        <w:t xml:space="preserve">7.5-1  </w:t>
      </w:r>
      <w:r>
        <w:rPr>
          <w:b/>
          <w:bCs/>
          <w:sz w:val="24"/>
        </w:rPr>
        <w:t>环保措施汇总、环保投资及</w:t>
      </w:r>
      <w:r>
        <w:rPr>
          <w:b/>
          <w:bCs/>
          <w:sz w:val="24"/>
        </w:rPr>
        <w:t>“</w:t>
      </w:r>
      <w:r>
        <w:rPr>
          <w:b/>
          <w:bCs/>
          <w:sz w:val="24"/>
        </w:rPr>
        <w:t>三同时</w:t>
      </w:r>
      <w:r>
        <w:rPr>
          <w:b/>
          <w:bCs/>
          <w:sz w:val="24"/>
        </w:rPr>
        <w:t>”</w:t>
      </w:r>
      <w:r>
        <w:rPr>
          <w:b/>
          <w:bCs/>
          <w:sz w:val="24"/>
        </w:rPr>
        <w:t>验收清单一览表</w:t>
      </w:r>
    </w:p>
    <w:tbl>
      <w:tblPr>
        <w:tblW w:w="9087"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365"/>
        <w:gridCol w:w="392"/>
        <w:gridCol w:w="959"/>
        <w:gridCol w:w="4536"/>
        <w:gridCol w:w="1276"/>
        <w:gridCol w:w="811"/>
        <w:gridCol w:w="748"/>
      </w:tblGrid>
      <w:tr w:rsidR="00240BCE">
        <w:tc>
          <w:tcPr>
            <w:tcW w:w="365" w:type="dxa"/>
            <w:vAlign w:val="center"/>
          </w:tcPr>
          <w:p w:rsidR="00240BCE" w:rsidRDefault="00AC0334">
            <w:pPr>
              <w:spacing w:line="360" w:lineRule="exact"/>
              <w:jc w:val="center"/>
              <w:rPr>
                <w:b/>
                <w:bCs/>
                <w:sz w:val="21"/>
                <w:szCs w:val="21"/>
              </w:rPr>
            </w:pPr>
            <w:r>
              <w:rPr>
                <w:b/>
                <w:bCs/>
                <w:sz w:val="21"/>
                <w:szCs w:val="21"/>
              </w:rPr>
              <w:t>时段</w:t>
            </w:r>
          </w:p>
        </w:tc>
        <w:tc>
          <w:tcPr>
            <w:tcW w:w="1351" w:type="dxa"/>
            <w:gridSpan w:val="2"/>
            <w:vAlign w:val="center"/>
          </w:tcPr>
          <w:p w:rsidR="00240BCE" w:rsidRDefault="00AC0334">
            <w:pPr>
              <w:spacing w:line="360" w:lineRule="exact"/>
              <w:jc w:val="center"/>
              <w:rPr>
                <w:b/>
                <w:bCs/>
                <w:sz w:val="21"/>
                <w:szCs w:val="21"/>
              </w:rPr>
            </w:pPr>
            <w:r>
              <w:rPr>
                <w:b/>
                <w:bCs/>
                <w:sz w:val="21"/>
                <w:szCs w:val="21"/>
              </w:rPr>
              <w:t>工程项目</w:t>
            </w:r>
          </w:p>
        </w:tc>
        <w:tc>
          <w:tcPr>
            <w:tcW w:w="4536" w:type="dxa"/>
            <w:vAlign w:val="center"/>
          </w:tcPr>
          <w:p w:rsidR="00240BCE" w:rsidRDefault="00AC0334">
            <w:pPr>
              <w:spacing w:line="360" w:lineRule="exact"/>
              <w:jc w:val="center"/>
              <w:rPr>
                <w:b/>
                <w:bCs/>
                <w:sz w:val="21"/>
                <w:szCs w:val="21"/>
              </w:rPr>
            </w:pPr>
            <w:r>
              <w:rPr>
                <w:b/>
                <w:bCs/>
                <w:sz w:val="21"/>
                <w:szCs w:val="21"/>
              </w:rPr>
              <w:t>治理或处置措施</w:t>
            </w:r>
          </w:p>
        </w:tc>
        <w:tc>
          <w:tcPr>
            <w:tcW w:w="1276" w:type="dxa"/>
            <w:vAlign w:val="center"/>
          </w:tcPr>
          <w:p w:rsidR="00240BCE" w:rsidRDefault="00AC0334">
            <w:pPr>
              <w:spacing w:line="360" w:lineRule="exact"/>
              <w:jc w:val="center"/>
              <w:rPr>
                <w:b/>
                <w:bCs/>
                <w:sz w:val="21"/>
                <w:szCs w:val="21"/>
              </w:rPr>
            </w:pPr>
            <w:r>
              <w:rPr>
                <w:b/>
                <w:bCs/>
                <w:sz w:val="21"/>
                <w:szCs w:val="21"/>
              </w:rPr>
              <w:t>验收内容</w:t>
            </w:r>
          </w:p>
        </w:tc>
        <w:tc>
          <w:tcPr>
            <w:tcW w:w="811" w:type="dxa"/>
            <w:vAlign w:val="center"/>
          </w:tcPr>
          <w:p w:rsidR="00240BCE" w:rsidRDefault="00AC0334">
            <w:pPr>
              <w:spacing w:line="360" w:lineRule="exact"/>
              <w:jc w:val="center"/>
              <w:rPr>
                <w:b/>
                <w:bCs/>
                <w:sz w:val="21"/>
                <w:szCs w:val="21"/>
              </w:rPr>
            </w:pPr>
            <w:r>
              <w:rPr>
                <w:sz w:val="21"/>
                <w:szCs w:val="21"/>
              </w:rPr>
              <w:t>治理效果</w:t>
            </w:r>
          </w:p>
        </w:tc>
        <w:tc>
          <w:tcPr>
            <w:tcW w:w="748" w:type="dxa"/>
            <w:vAlign w:val="center"/>
          </w:tcPr>
          <w:p w:rsidR="00240BCE" w:rsidRDefault="00AC0334">
            <w:pPr>
              <w:spacing w:line="360" w:lineRule="exact"/>
              <w:jc w:val="center"/>
              <w:rPr>
                <w:bCs/>
                <w:kern w:val="0"/>
                <w:sz w:val="21"/>
                <w:szCs w:val="21"/>
              </w:rPr>
            </w:pPr>
            <w:r>
              <w:rPr>
                <w:bCs/>
                <w:kern w:val="0"/>
                <w:sz w:val="21"/>
                <w:szCs w:val="21"/>
              </w:rPr>
              <w:t>投资</w:t>
            </w:r>
          </w:p>
          <w:p w:rsidR="00240BCE" w:rsidRDefault="00AC0334">
            <w:pPr>
              <w:spacing w:line="360" w:lineRule="exact"/>
              <w:jc w:val="center"/>
              <w:rPr>
                <w:bCs/>
                <w:w w:val="90"/>
                <w:kern w:val="0"/>
                <w:sz w:val="21"/>
                <w:szCs w:val="21"/>
              </w:rPr>
            </w:pPr>
            <w:r>
              <w:rPr>
                <w:bCs/>
                <w:w w:val="90"/>
                <w:kern w:val="0"/>
                <w:sz w:val="21"/>
                <w:szCs w:val="21"/>
              </w:rPr>
              <w:t>（万元）</w:t>
            </w:r>
          </w:p>
        </w:tc>
      </w:tr>
      <w:tr w:rsidR="00240BCE">
        <w:tc>
          <w:tcPr>
            <w:tcW w:w="365" w:type="dxa"/>
            <w:vMerge w:val="restart"/>
            <w:vAlign w:val="center"/>
          </w:tcPr>
          <w:p w:rsidR="00240BCE" w:rsidRDefault="00AC0334">
            <w:pPr>
              <w:spacing w:line="360" w:lineRule="exact"/>
              <w:jc w:val="center"/>
              <w:rPr>
                <w:bCs/>
                <w:sz w:val="21"/>
                <w:szCs w:val="21"/>
              </w:rPr>
            </w:pPr>
            <w:r>
              <w:rPr>
                <w:bCs/>
                <w:sz w:val="21"/>
                <w:szCs w:val="21"/>
              </w:rPr>
              <w:t>建设期</w:t>
            </w:r>
          </w:p>
        </w:tc>
        <w:tc>
          <w:tcPr>
            <w:tcW w:w="392" w:type="dxa"/>
            <w:vMerge w:val="restart"/>
            <w:vAlign w:val="center"/>
          </w:tcPr>
          <w:p w:rsidR="00240BCE" w:rsidRDefault="00AC0334">
            <w:pPr>
              <w:spacing w:line="360" w:lineRule="exact"/>
              <w:jc w:val="center"/>
              <w:rPr>
                <w:sz w:val="21"/>
                <w:szCs w:val="21"/>
              </w:rPr>
            </w:pPr>
            <w:r>
              <w:rPr>
                <w:sz w:val="21"/>
                <w:szCs w:val="21"/>
              </w:rPr>
              <w:t>废气</w:t>
            </w:r>
          </w:p>
        </w:tc>
        <w:tc>
          <w:tcPr>
            <w:tcW w:w="959" w:type="dxa"/>
            <w:vAlign w:val="center"/>
          </w:tcPr>
          <w:p w:rsidR="00240BCE" w:rsidRDefault="00AC0334">
            <w:pPr>
              <w:spacing w:line="360" w:lineRule="exact"/>
              <w:jc w:val="center"/>
              <w:rPr>
                <w:sz w:val="21"/>
                <w:szCs w:val="21"/>
              </w:rPr>
            </w:pPr>
            <w:r>
              <w:rPr>
                <w:sz w:val="21"/>
                <w:szCs w:val="21"/>
              </w:rPr>
              <w:t>施工场地粉尘</w:t>
            </w:r>
          </w:p>
        </w:tc>
        <w:tc>
          <w:tcPr>
            <w:tcW w:w="4536" w:type="dxa"/>
            <w:vAlign w:val="center"/>
          </w:tcPr>
          <w:p w:rsidR="00240BCE" w:rsidRDefault="00AC0334" w:rsidP="0073390E">
            <w:pPr>
              <w:spacing w:line="360" w:lineRule="exact"/>
              <w:rPr>
                <w:sz w:val="21"/>
                <w:szCs w:val="21"/>
              </w:rPr>
            </w:pPr>
            <w:r>
              <w:rPr>
                <w:sz w:val="21"/>
                <w:szCs w:val="21"/>
              </w:rPr>
              <w:t>严格按照</w:t>
            </w:r>
            <w:r>
              <w:rPr>
                <w:sz w:val="21"/>
                <w:szCs w:val="21"/>
              </w:rPr>
              <w:t>“</w:t>
            </w:r>
            <w:r w:rsidR="0073390E">
              <w:rPr>
                <w:rFonts w:hint="eastAsia"/>
                <w:sz w:val="21"/>
                <w:szCs w:val="21"/>
              </w:rPr>
              <w:t>十</w:t>
            </w:r>
            <w:r>
              <w:rPr>
                <w:sz w:val="21"/>
                <w:szCs w:val="21"/>
              </w:rPr>
              <w:t>个百分百</w:t>
            </w:r>
            <w:r>
              <w:rPr>
                <w:sz w:val="21"/>
                <w:szCs w:val="21"/>
              </w:rPr>
              <w:t>”</w:t>
            </w:r>
            <w:r>
              <w:rPr>
                <w:sz w:val="21"/>
                <w:szCs w:val="21"/>
              </w:rPr>
              <w:t>落实大气污染防治措施；物料堆场及开挖土方均采用编织网覆盖；土方开挖洒水车洒水湿法作业；运输路面硬化；出入车辆清洗；渣土车辆密闭运输</w:t>
            </w:r>
            <w:r w:rsidR="0073390E">
              <w:rPr>
                <w:rFonts w:hint="eastAsia"/>
                <w:sz w:val="21"/>
                <w:szCs w:val="21"/>
              </w:rPr>
              <w:t>等</w:t>
            </w:r>
          </w:p>
        </w:tc>
        <w:tc>
          <w:tcPr>
            <w:tcW w:w="1276" w:type="dxa"/>
            <w:vAlign w:val="center"/>
          </w:tcPr>
          <w:p w:rsidR="00240BCE" w:rsidRDefault="00AC0334">
            <w:pPr>
              <w:spacing w:line="360" w:lineRule="exact"/>
              <w:jc w:val="center"/>
              <w:rPr>
                <w:sz w:val="21"/>
                <w:szCs w:val="21"/>
              </w:rPr>
            </w:pPr>
            <w:r>
              <w:rPr>
                <w:sz w:val="21"/>
                <w:szCs w:val="21"/>
              </w:rPr>
              <w:t>施工场地的围墙、挡板、喷淋设施、硬化道路以及</w:t>
            </w:r>
            <w:r>
              <w:rPr>
                <w:sz w:val="21"/>
                <w:szCs w:val="21"/>
              </w:rPr>
              <w:t>1</w:t>
            </w:r>
            <w:r>
              <w:rPr>
                <w:sz w:val="21"/>
                <w:szCs w:val="21"/>
              </w:rPr>
              <w:t>辆洒水车</w:t>
            </w:r>
          </w:p>
        </w:tc>
        <w:tc>
          <w:tcPr>
            <w:tcW w:w="811" w:type="dxa"/>
            <w:vMerge w:val="restart"/>
            <w:vAlign w:val="center"/>
          </w:tcPr>
          <w:p w:rsidR="00240BCE" w:rsidRDefault="00AC0334">
            <w:pPr>
              <w:spacing w:line="360" w:lineRule="exact"/>
              <w:jc w:val="center"/>
              <w:rPr>
                <w:sz w:val="21"/>
                <w:szCs w:val="21"/>
              </w:rPr>
            </w:pPr>
            <w:r>
              <w:rPr>
                <w:sz w:val="21"/>
                <w:szCs w:val="21"/>
              </w:rPr>
              <w:t>扬尘污染降到最低程度，并达标排放</w:t>
            </w:r>
          </w:p>
        </w:tc>
        <w:tc>
          <w:tcPr>
            <w:tcW w:w="748" w:type="dxa"/>
            <w:vAlign w:val="center"/>
          </w:tcPr>
          <w:p w:rsidR="00240BCE" w:rsidRDefault="00AC0334">
            <w:pPr>
              <w:spacing w:line="360" w:lineRule="exact"/>
              <w:jc w:val="center"/>
              <w:rPr>
                <w:sz w:val="21"/>
                <w:szCs w:val="21"/>
              </w:rPr>
            </w:pPr>
            <w:r>
              <w:rPr>
                <w:sz w:val="21"/>
                <w:szCs w:val="21"/>
              </w:rPr>
              <w:t>25.0</w:t>
            </w:r>
          </w:p>
        </w:tc>
      </w:tr>
      <w:tr w:rsidR="00240BCE">
        <w:tc>
          <w:tcPr>
            <w:tcW w:w="365" w:type="dxa"/>
            <w:vMerge/>
            <w:vAlign w:val="center"/>
          </w:tcPr>
          <w:p w:rsidR="00240BCE" w:rsidRDefault="00240BCE">
            <w:pPr>
              <w:widowControl/>
              <w:spacing w:line="360" w:lineRule="exact"/>
              <w:jc w:val="left"/>
              <w:rPr>
                <w:bCs/>
                <w:sz w:val="21"/>
                <w:szCs w:val="21"/>
              </w:rPr>
            </w:pPr>
          </w:p>
        </w:tc>
        <w:tc>
          <w:tcPr>
            <w:tcW w:w="392" w:type="dxa"/>
            <w:vMerge/>
            <w:vAlign w:val="center"/>
          </w:tcPr>
          <w:p w:rsidR="00240BCE" w:rsidRDefault="00240BCE">
            <w:pPr>
              <w:spacing w:line="360" w:lineRule="exact"/>
              <w:jc w:val="center"/>
              <w:rPr>
                <w:sz w:val="21"/>
                <w:szCs w:val="21"/>
              </w:rPr>
            </w:pPr>
          </w:p>
        </w:tc>
        <w:tc>
          <w:tcPr>
            <w:tcW w:w="959" w:type="dxa"/>
            <w:vAlign w:val="center"/>
          </w:tcPr>
          <w:p w:rsidR="00240BCE" w:rsidRDefault="00AC0334">
            <w:pPr>
              <w:spacing w:line="360" w:lineRule="exact"/>
              <w:jc w:val="center"/>
              <w:rPr>
                <w:sz w:val="21"/>
                <w:szCs w:val="21"/>
              </w:rPr>
            </w:pPr>
            <w:r>
              <w:rPr>
                <w:sz w:val="21"/>
                <w:szCs w:val="21"/>
              </w:rPr>
              <w:t>运输道路扬尘</w:t>
            </w:r>
          </w:p>
        </w:tc>
        <w:tc>
          <w:tcPr>
            <w:tcW w:w="4536" w:type="dxa"/>
            <w:vAlign w:val="center"/>
          </w:tcPr>
          <w:p w:rsidR="00240BCE" w:rsidRDefault="00AC0334">
            <w:pPr>
              <w:spacing w:line="360" w:lineRule="exact"/>
              <w:jc w:val="center"/>
              <w:rPr>
                <w:sz w:val="21"/>
                <w:szCs w:val="21"/>
              </w:rPr>
            </w:pPr>
            <w:r>
              <w:rPr>
                <w:sz w:val="21"/>
                <w:szCs w:val="21"/>
              </w:rPr>
              <w:t>设专员定时清扫，定时对运输道路洒水保湿，运输车辆加盖帆布密闭运输，限制车速</w:t>
            </w:r>
          </w:p>
        </w:tc>
        <w:tc>
          <w:tcPr>
            <w:tcW w:w="1276" w:type="dxa"/>
            <w:vAlign w:val="center"/>
          </w:tcPr>
          <w:p w:rsidR="00240BCE" w:rsidRDefault="00AC0334">
            <w:pPr>
              <w:spacing w:line="360" w:lineRule="exact"/>
              <w:jc w:val="center"/>
              <w:rPr>
                <w:sz w:val="21"/>
                <w:szCs w:val="21"/>
              </w:rPr>
            </w:pPr>
            <w:r>
              <w:rPr>
                <w:sz w:val="21"/>
                <w:szCs w:val="21"/>
              </w:rPr>
              <w:t>清扫专员以及</w:t>
            </w:r>
            <w:r>
              <w:rPr>
                <w:sz w:val="21"/>
                <w:szCs w:val="21"/>
              </w:rPr>
              <w:t>1</w:t>
            </w:r>
            <w:r>
              <w:rPr>
                <w:sz w:val="21"/>
                <w:szCs w:val="21"/>
              </w:rPr>
              <w:t>辆洒水车</w:t>
            </w:r>
          </w:p>
        </w:tc>
        <w:tc>
          <w:tcPr>
            <w:tcW w:w="811" w:type="dxa"/>
            <w:vMerge/>
            <w:vAlign w:val="center"/>
          </w:tcPr>
          <w:p w:rsidR="00240BCE" w:rsidRDefault="00240BCE">
            <w:pPr>
              <w:spacing w:line="360" w:lineRule="exact"/>
              <w:jc w:val="center"/>
              <w:rPr>
                <w:sz w:val="21"/>
                <w:szCs w:val="21"/>
              </w:rPr>
            </w:pPr>
          </w:p>
        </w:tc>
        <w:tc>
          <w:tcPr>
            <w:tcW w:w="748" w:type="dxa"/>
            <w:vAlign w:val="center"/>
          </w:tcPr>
          <w:p w:rsidR="00240BCE" w:rsidRDefault="00AC0334">
            <w:pPr>
              <w:spacing w:line="360" w:lineRule="exact"/>
              <w:jc w:val="center"/>
              <w:rPr>
                <w:sz w:val="21"/>
                <w:szCs w:val="21"/>
              </w:rPr>
            </w:pPr>
            <w:r>
              <w:rPr>
                <w:sz w:val="21"/>
                <w:szCs w:val="21"/>
              </w:rPr>
              <w:t>5.0</w:t>
            </w:r>
          </w:p>
        </w:tc>
      </w:tr>
      <w:tr w:rsidR="00240BCE">
        <w:tc>
          <w:tcPr>
            <w:tcW w:w="365" w:type="dxa"/>
            <w:vMerge/>
            <w:vAlign w:val="center"/>
          </w:tcPr>
          <w:p w:rsidR="00240BCE" w:rsidRDefault="00240BCE">
            <w:pPr>
              <w:widowControl/>
              <w:spacing w:line="360" w:lineRule="exact"/>
              <w:jc w:val="left"/>
              <w:rPr>
                <w:bCs/>
                <w:sz w:val="21"/>
                <w:szCs w:val="21"/>
              </w:rPr>
            </w:pPr>
          </w:p>
        </w:tc>
        <w:tc>
          <w:tcPr>
            <w:tcW w:w="392" w:type="dxa"/>
            <w:vMerge w:val="restart"/>
            <w:vAlign w:val="center"/>
          </w:tcPr>
          <w:p w:rsidR="00240BCE" w:rsidRDefault="00AC0334">
            <w:pPr>
              <w:spacing w:line="360" w:lineRule="exact"/>
              <w:jc w:val="center"/>
              <w:rPr>
                <w:sz w:val="21"/>
                <w:szCs w:val="21"/>
              </w:rPr>
            </w:pPr>
            <w:r>
              <w:rPr>
                <w:sz w:val="21"/>
                <w:szCs w:val="21"/>
              </w:rPr>
              <w:t>废水</w:t>
            </w:r>
          </w:p>
        </w:tc>
        <w:tc>
          <w:tcPr>
            <w:tcW w:w="959" w:type="dxa"/>
            <w:vAlign w:val="center"/>
          </w:tcPr>
          <w:p w:rsidR="00240BCE" w:rsidRDefault="00AC0334">
            <w:pPr>
              <w:spacing w:line="360" w:lineRule="exact"/>
              <w:jc w:val="center"/>
              <w:rPr>
                <w:sz w:val="21"/>
                <w:szCs w:val="21"/>
              </w:rPr>
            </w:pPr>
            <w:r>
              <w:rPr>
                <w:sz w:val="21"/>
                <w:szCs w:val="21"/>
              </w:rPr>
              <w:t>施工生活污水</w:t>
            </w:r>
          </w:p>
        </w:tc>
        <w:tc>
          <w:tcPr>
            <w:tcW w:w="4536" w:type="dxa"/>
            <w:vAlign w:val="center"/>
          </w:tcPr>
          <w:p w:rsidR="00240BCE" w:rsidRDefault="00AC0334">
            <w:pPr>
              <w:spacing w:line="360" w:lineRule="exact"/>
              <w:jc w:val="center"/>
              <w:rPr>
                <w:sz w:val="21"/>
                <w:szCs w:val="21"/>
              </w:rPr>
            </w:pPr>
            <w:r>
              <w:rPr>
                <w:sz w:val="21"/>
                <w:szCs w:val="21"/>
              </w:rPr>
              <w:t>依托工业场地内现有生活污水处理设施</w:t>
            </w:r>
          </w:p>
        </w:tc>
        <w:tc>
          <w:tcPr>
            <w:tcW w:w="1276" w:type="dxa"/>
            <w:vAlign w:val="center"/>
          </w:tcPr>
          <w:p w:rsidR="00240BCE" w:rsidRDefault="00AC0334">
            <w:pPr>
              <w:spacing w:line="360" w:lineRule="exact"/>
              <w:jc w:val="center"/>
              <w:rPr>
                <w:sz w:val="21"/>
                <w:szCs w:val="21"/>
              </w:rPr>
            </w:pPr>
            <w:r>
              <w:rPr>
                <w:sz w:val="21"/>
                <w:szCs w:val="21"/>
              </w:rPr>
              <w:t>/</w:t>
            </w:r>
          </w:p>
        </w:tc>
        <w:tc>
          <w:tcPr>
            <w:tcW w:w="811" w:type="dxa"/>
            <w:vMerge w:val="restart"/>
            <w:vAlign w:val="center"/>
          </w:tcPr>
          <w:p w:rsidR="00240BCE" w:rsidRDefault="00AC0334">
            <w:pPr>
              <w:spacing w:line="360" w:lineRule="exact"/>
              <w:jc w:val="center"/>
              <w:rPr>
                <w:sz w:val="21"/>
                <w:szCs w:val="21"/>
              </w:rPr>
            </w:pPr>
            <w:r>
              <w:rPr>
                <w:sz w:val="21"/>
                <w:szCs w:val="21"/>
              </w:rPr>
              <w:t>综合利用，不外</w:t>
            </w:r>
            <w:r w:rsidR="007A4DD2">
              <w:rPr>
                <w:rFonts w:hint="eastAsia"/>
                <w:sz w:val="21"/>
                <w:szCs w:val="21"/>
              </w:rPr>
              <w:t>排</w:t>
            </w:r>
          </w:p>
        </w:tc>
        <w:tc>
          <w:tcPr>
            <w:tcW w:w="748" w:type="dxa"/>
            <w:vAlign w:val="center"/>
          </w:tcPr>
          <w:p w:rsidR="00240BCE" w:rsidRDefault="00AC0334">
            <w:pPr>
              <w:spacing w:line="360" w:lineRule="exact"/>
              <w:jc w:val="center"/>
              <w:rPr>
                <w:sz w:val="21"/>
                <w:szCs w:val="21"/>
              </w:rPr>
            </w:pPr>
            <w:r>
              <w:rPr>
                <w:sz w:val="21"/>
                <w:szCs w:val="21"/>
              </w:rPr>
              <w:t>/</w:t>
            </w:r>
          </w:p>
        </w:tc>
      </w:tr>
      <w:tr w:rsidR="00240BCE">
        <w:tc>
          <w:tcPr>
            <w:tcW w:w="365" w:type="dxa"/>
            <w:vMerge/>
            <w:vAlign w:val="center"/>
          </w:tcPr>
          <w:p w:rsidR="00240BCE" w:rsidRDefault="00240BCE">
            <w:pPr>
              <w:widowControl/>
              <w:spacing w:line="360" w:lineRule="exact"/>
              <w:jc w:val="left"/>
              <w:rPr>
                <w:bCs/>
                <w:sz w:val="21"/>
                <w:szCs w:val="21"/>
              </w:rPr>
            </w:pPr>
          </w:p>
        </w:tc>
        <w:tc>
          <w:tcPr>
            <w:tcW w:w="392" w:type="dxa"/>
            <w:vMerge/>
            <w:vAlign w:val="center"/>
          </w:tcPr>
          <w:p w:rsidR="00240BCE" w:rsidRDefault="00240BCE">
            <w:pPr>
              <w:spacing w:line="360" w:lineRule="exact"/>
              <w:jc w:val="center"/>
              <w:rPr>
                <w:sz w:val="21"/>
                <w:szCs w:val="21"/>
              </w:rPr>
            </w:pPr>
          </w:p>
        </w:tc>
        <w:tc>
          <w:tcPr>
            <w:tcW w:w="959" w:type="dxa"/>
            <w:vAlign w:val="center"/>
          </w:tcPr>
          <w:p w:rsidR="00240BCE" w:rsidRDefault="00AC0334">
            <w:pPr>
              <w:spacing w:line="360" w:lineRule="exact"/>
              <w:jc w:val="center"/>
              <w:rPr>
                <w:sz w:val="21"/>
                <w:szCs w:val="21"/>
              </w:rPr>
            </w:pPr>
            <w:r>
              <w:rPr>
                <w:sz w:val="21"/>
                <w:szCs w:val="21"/>
              </w:rPr>
              <w:t>生产废水</w:t>
            </w:r>
          </w:p>
        </w:tc>
        <w:tc>
          <w:tcPr>
            <w:tcW w:w="4536" w:type="dxa"/>
            <w:vAlign w:val="center"/>
          </w:tcPr>
          <w:p w:rsidR="00240BCE" w:rsidRDefault="00AC0334">
            <w:pPr>
              <w:spacing w:line="360" w:lineRule="exact"/>
              <w:rPr>
                <w:sz w:val="21"/>
                <w:szCs w:val="21"/>
              </w:rPr>
            </w:pPr>
            <w:r>
              <w:rPr>
                <w:sz w:val="21"/>
                <w:szCs w:val="21"/>
              </w:rPr>
              <w:t>设置</w:t>
            </w:r>
            <w:r>
              <w:rPr>
                <w:sz w:val="21"/>
                <w:szCs w:val="21"/>
              </w:rPr>
              <w:t>10m</w:t>
            </w:r>
            <w:r>
              <w:rPr>
                <w:sz w:val="21"/>
                <w:szCs w:val="21"/>
                <w:vertAlign w:val="superscript"/>
              </w:rPr>
              <w:t>3</w:t>
            </w:r>
            <w:r>
              <w:rPr>
                <w:sz w:val="21"/>
                <w:szCs w:val="21"/>
              </w:rPr>
              <w:t>的临时沉砂池，冲洗废水经处理后，回用于砂石料冲洗，也可用于场地洒水抑尘，施工生产废水综合利用，整体不外排</w:t>
            </w:r>
          </w:p>
        </w:tc>
        <w:tc>
          <w:tcPr>
            <w:tcW w:w="1276" w:type="dxa"/>
            <w:vAlign w:val="center"/>
          </w:tcPr>
          <w:p w:rsidR="00240BCE" w:rsidRDefault="00AC0334">
            <w:pPr>
              <w:spacing w:line="360" w:lineRule="exact"/>
              <w:jc w:val="center"/>
              <w:rPr>
                <w:sz w:val="21"/>
                <w:szCs w:val="21"/>
              </w:rPr>
            </w:pPr>
            <w:r>
              <w:rPr>
                <w:sz w:val="21"/>
                <w:szCs w:val="21"/>
              </w:rPr>
              <w:t>1</w:t>
            </w:r>
            <w:r>
              <w:rPr>
                <w:sz w:val="21"/>
                <w:szCs w:val="21"/>
              </w:rPr>
              <w:t>个</w:t>
            </w:r>
            <w:r>
              <w:rPr>
                <w:sz w:val="21"/>
                <w:szCs w:val="21"/>
              </w:rPr>
              <w:t>10m</w:t>
            </w:r>
            <w:r>
              <w:rPr>
                <w:sz w:val="21"/>
                <w:szCs w:val="21"/>
                <w:vertAlign w:val="superscript"/>
              </w:rPr>
              <w:t>3</w:t>
            </w:r>
            <w:r>
              <w:rPr>
                <w:sz w:val="21"/>
                <w:szCs w:val="21"/>
              </w:rPr>
              <w:t>的临时沉砂池</w:t>
            </w:r>
          </w:p>
        </w:tc>
        <w:tc>
          <w:tcPr>
            <w:tcW w:w="811" w:type="dxa"/>
            <w:vMerge/>
            <w:vAlign w:val="center"/>
          </w:tcPr>
          <w:p w:rsidR="00240BCE" w:rsidRDefault="00240BCE">
            <w:pPr>
              <w:spacing w:line="360" w:lineRule="exact"/>
              <w:jc w:val="center"/>
              <w:rPr>
                <w:sz w:val="21"/>
                <w:szCs w:val="21"/>
              </w:rPr>
            </w:pPr>
          </w:p>
        </w:tc>
        <w:tc>
          <w:tcPr>
            <w:tcW w:w="748" w:type="dxa"/>
            <w:vAlign w:val="center"/>
          </w:tcPr>
          <w:p w:rsidR="00240BCE" w:rsidRDefault="00AC0334">
            <w:pPr>
              <w:spacing w:line="360" w:lineRule="exact"/>
              <w:jc w:val="center"/>
              <w:rPr>
                <w:sz w:val="21"/>
                <w:szCs w:val="21"/>
              </w:rPr>
            </w:pPr>
            <w:r>
              <w:rPr>
                <w:sz w:val="21"/>
                <w:szCs w:val="21"/>
              </w:rPr>
              <w:t>5.0</w:t>
            </w:r>
          </w:p>
        </w:tc>
      </w:tr>
      <w:tr w:rsidR="00240BCE">
        <w:tc>
          <w:tcPr>
            <w:tcW w:w="365" w:type="dxa"/>
            <w:vMerge/>
            <w:vAlign w:val="center"/>
          </w:tcPr>
          <w:p w:rsidR="00240BCE" w:rsidRDefault="00240BCE">
            <w:pPr>
              <w:widowControl/>
              <w:spacing w:line="360" w:lineRule="exact"/>
              <w:jc w:val="left"/>
              <w:rPr>
                <w:bCs/>
                <w:sz w:val="21"/>
                <w:szCs w:val="21"/>
              </w:rPr>
            </w:pPr>
          </w:p>
        </w:tc>
        <w:tc>
          <w:tcPr>
            <w:tcW w:w="1351" w:type="dxa"/>
            <w:gridSpan w:val="2"/>
            <w:vAlign w:val="center"/>
          </w:tcPr>
          <w:p w:rsidR="00240BCE" w:rsidRDefault="00AC0334">
            <w:pPr>
              <w:spacing w:line="360" w:lineRule="exact"/>
              <w:jc w:val="center"/>
              <w:rPr>
                <w:sz w:val="21"/>
                <w:szCs w:val="21"/>
              </w:rPr>
            </w:pPr>
            <w:r>
              <w:rPr>
                <w:sz w:val="21"/>
                <w:szCs w:val="21"/>
              </w:rPr>
              <w:t>施工噪声</w:t>
            </w:r>
          </w:p>
        </w:tc>
        <w:tc>
          <w:tcPr>
            <w:tcW w:w="4536" w:type="dxa"/>
            <w:vAlign w:val="center"/>
          </w:tcPr>
          <w:p w:rsidR="00240BCE" w:rsidRDefault="00AC0334">
            <w:pPr>
              <w:spacing w:line="360" w:lineRule="exact"/>
              <w:jc w:val="center"/>
              <w:rPr>
                <w:sz w:val="21"/>
                <w:szCs w:val="21"/>
              </w:rPr>
            </w:pPr>
            <w:r>
              <w:rPr>
                <w:sz w:val="21"/>
                <w:szCs w:val="21"/>
              </w:rPr>
              <w:t>选用低噪声施工设备、减震消声并做好维护保养，合理安排施工时间，禁止夜间施工、运输车辆限速通过村庄等敏感点时禁止鸣笛、禁止夜间运输</w:t>
            </w:r>
          </w:p>
        </w:tc>
        <w:tc>
          <w:tcPr>
            <w:tcW w:w="1276" w:type="dxa"/>
            <w:vAlign w:val="center"/>
          </w:tcPr>
          <w:p w:rsidR="00240BCE" w:rsidRDefault="00AC0334">
            <w:pPr>
              <w:spacing w:line="360" w:lineRule="exact"/>
              <w:jc w:val="center"/>
              <w:rPr>
                <w:sz w:val="21"/>
                <w:szCs w:val="21"/>
              </w:rPr>
            </w:pPr>
            <w:r>
              <w:rPr>
                <w:sz w:val="21"/>
                <w:szCs w:val="21"/>
              </w:rPr>
              <w:t>低噪声设备、减震设施、消声器等</w:t>
            </w:r>
          </w:p>
        </w:tc>
        <w:tc>
          <w:tcPr>
            <w:tcW w:w="811" w:type="dxa"/>
            <w:vAlign w:val="center"/>
          </w:tcPr>
          <w:p w:rsidR="00240BCE" w:rsidRDefault="00AC0334">
            <w:pPr>
              <w:spacing w:line="360" w:lineRule="exact"/>
              <w:jc w:val="center"/>
              <w:rPr>
                <w:sz w:val="21"/>
                <w:szCs w:val="21"/>
              </w:rPr>
            </w:pPr>
            <w:r>
              <w:rPr>
                <w:sz w:val="21"/>
                <w:szCs w:val="21"/>
              </w:rPr>
              <w:t>达标</w:t>
            </w:r>
          </w:p>
        </w:tc>
        <w:tc>
          <w:tcPr>
            <w:tcW w:w="748" w:type="dxa"/>
            <w:vAlign w:val="center"/>
          </w:tcPr>
          <w:p w:rsidR="00240BCE" w:rsidRDefault="00AC0334">
            <w:pPr>
              <w:spacing w:line="360" w:lineRule="exact"/>
              <w:jc w:val="center"/>
              <w:rPr>
                <w:sz w:val="21"/>
                <w:szCs w:val="21"/>
              </w:rPr>
            </w:pPr>
            <w:r>
              <w:rPr>
                <w:sz w:val="21"/>
                <w:szCs w:val="21"/>
              </w:rPr>
              <w:t>3.0</w:t>
            </w:r>
          </w:p>
        </w:tc>
      </w:tr>
      <w:tr w:rsidR="00240BCE">
        <w:tc>
          <w:tcPr>
            <w:tcW w:w="365" w:type="dxa"/>
            <w:vMerge/>
            <w:vAlign w:val="center"/>
          </w:tcPr>
          <w:p w:rsidR="00240BCE" w:rsidRDefault="00240BCE">
            <w:pPr>
              <w:widowControl/>
              <w:spacing w:line="360" w:lineRule="exact"/>
              <w:jc w:val="left"/>
              <w:rPr>
                <w:bCs/>
                <w:sz w:val="21"/>
                <w:szCs w:val="21"/>
              </w:rPr>
            </w:pPr>
          </w:p>
        </w:tc>
        <w:tc>
          <w:tcPr>
            <w:tcW w:w="392" w:type="dxa"/>
            <w:vMerge w:val="restart"/>
            <w:vAlign w:val="center"/>
          </w:tcPr>
          <w:p w:rsidR="00240BCE" w:rsidRDefault="00AC0334">
            <w:pPr>
              <w:spacing w:line="360" w:lineRule="exact"/>
              <w:jc w:val="center"/>
              <w:rPr>
                <w:sz w:val="21"/>
                <w:szCs w:val="21"/>
              </w:rPr>
            </w:pPr>
            <w:r>
              <w:rPr>
                <w:sz w:val="21"/>
                <w:szCs w:val="21"/>
              </w:rPr>
              <w:t>固</w:t>
            </w:r>
            <w:r>
              <w:rPr>
                <w:sz w:val="21"/>
                <w:szCs w:val="21"/>
              </w:rPr>
              <w:lastRenderedPageBreak/>
              <w:t>废</w:t>
            </w:r>
          </w:p>
        </w:tc>
        <w:tc>
          <w:tcPr>
            <w:tcW w:w="959" w:type="dxa"/>
            <w:vAlign w:val="center"/>
          </w:tcPr>
          <w:p w:rsidR="00240BCE" w:rsidRDefault="00AC0334">
            <w:pPr>
              <w:spacing w:line="360" w:lineRule="exact"/>
              <w:jc w:val="center"/>
              <w:rPr>
                <w:sz w:val="21"/>
                <w:szCs w:val="21"/>
              </w:rPr>
            </w:pPr>
            <w:r>
              <w:rPr>
                <w:sz w:val="21"/>
                <w:szCs w:val="21"/>
              </w:rPr>
              <w:lastRenderedPageBreak/>
              <w:t>矸石</w:t>
            </w:r>
          </w:p>
        </w:tc>
        <w:tc>
          <w:tcPr>
            <w:tcW w:w="4536" w:type="dxa"/>
            <w:vAlign w:val="center"/>
          </w:tcPr>
          <w:p w:rsidR="00240BCE" w:rsidRDefault="00AC0334">
            <w:pPr>
              <w:spacing w:line="360" w:lineRule="exact"/>
              <w:jc w:val="center"/>
              <w:rPr>
                <w:sz w:val="21"/>
                <w:szCs w:val="21"/>
              </w:rPr>
            </w:pPr>
            <w:r>
              <w:rPr>
                <w:sz w:val="21"/>
                <w:szCs w:val="21"/>
              </w:rPr>
              <w:t>矸石分拣后直接装车外售制砖</w:t>
            </w:r>
          </w:p>
        </w:tc>
        <w:tc>
          <w:tcPr>
            <w:tcW w:w="1276" w:type="dxa"/>
            <w:vAlign w:val="center"/>
          </w:tcPr>
          <w:p w:rsidR="00240BCE" w:rsidRDefault="00AC0334">
            <w:pPr>
              <w:spacing w:line="360" w:lineRule="exact"/>
              <w:jc w:val="center"/>
              <w:rPr>
                <w:sz w:val="21"/>
                <w:szCs w:val="21"/>
              </w:rPr>
            </w:pPr>
            <w:r>
              <w:rPr>
                <w:sz w:val="21"/>
                <w:szCs w:val="21"/>
              </w:rPr>
              <w:t>/</w:t>
            </w:r>
          </w:p>
        </w:tc>
        <w:tc>
          <w:tcPr>
            <w:tcW w:w="811" w:type="dxa"/>
            <w:vMerge w:val="restart"/>
            <w:vAlign w:val="center"/>
          </w:tcPr>
          <w:p w:rsidR="00240BCE" w:rsidRDefault="00AC0334">
            <w:pPr>
              <w:spacing w:line="360" w:lineRule="exact"/>
              <w:jc w:val="center"/>
              <w:rPr>
                <w:sz w:val="21"/>
                <w:szCs w:val="21"/>
              </w:rPr>
            </w:pPr>
            <w:r>
              <w:rPr>
                <w:sz w:val="21"/>
                <w:szCs w:val="21"/>
              </w:rPr>
              <w:t>安全处</w:t>
            </w:r>
            <w:r>
              <w:rPr>
                <w:sz w:val="21"/>
                <w:szCs w:val="21"/>
              </w:rPr>
              <w:lastRenderedPageBreak/>
              <w:t>置</w:t>
            </w:r>
          </w:p>
        </w:tc>
        <w:tc>
          <w:tcPr>
            <w:tcW w:w="748" w:type="dxa"/>
            <w:vAlign w:val="center"/>
          </w:tcPr>
          <w:p w:rsidR="00240BCE" w:rsidRDefault="00AC0334">
            <w:pPr>
              <w:spacing w:line="360" w:lineRule="exact"/>
              <w:jc w:val="center"/>
              <w:rPr>
                <w:sz w:val="21"/>
                <w:szCs w:val="21"/>
              </w:rPr>
            </w:pPr>
            <w:r>
              <w:rPr>
                <w:sz w:val="21"/>
                <w:szCs w:val="21"/>
              </w:rPr>
              <w:lastRenderedPageBreak/>
              <w:t>4.0</w:t>
            </w:r>
          </w:p>
        </w:tc>
      </w:tr>
      <w:tr w:rsidR="00240BCE">
        <w:tc>
          <w:tcPr>
            <w:tcW w:w="365" w:type="dxa"/>
            <w:vMerge/>
            <w:vAlign w:val="center"/>
          </w:tcPr>
          <w:p w:rsidR="00240BCE" w:rsidRDefault="00240BCE">
            <w:pPr>
              <w:widowControl/>
              <w:spacing w:line="360" w:lineRule="exact"/>
              <w:jc w:val="left"/>
              <w:rPr>
                <w:bCs/>
                <w:sz w:val="21"/>
                <w:szCs w:val="21"/>
              </w:rPr>
            </w:pPr>
          </w:p>
        </w:tc>
        <w:tc>
          <w:tcPr>
            <w:tcW w:w="392" w:type="dxa"/>
            <w:vMerge/>
            <w:vAlign w:val="center"/>
          </w:tcPr>
          <w:p w:rsidR="00240BCE" w:rsidRDefault="00240BCE">
            <w:pPr>
              <w:spacing w:line="360" w:lineRule="exact"/>
              <w:jc w:val="center"/>
              <w:rPr>
                <w:sz w:val="21"/>
                <w:szCs w:val="21"/>
              </w:rPr>
            </w:pPr>
          </w:p>
        </w:tc>
        <w:tc>
          <w:tcPr>
            <w:tcW w:w="959" w:type="dxa"/>
            <w:vAlign w:val="center"/>
          </w:tcPr>
          <w:p w:rsidR="00240BCE" w:rsidRDefault="00AC0334">
            <w:pPr>
              <w:spacing w:line="360" w:lineRule="exact"/>
              <w:jc w:val="center"/>
              <w:rPr>
                <w:sz w:val="21"/>
                <w:szCs w:val="21"/>
              </w:rPr>
            </w:pPr>
            <w:r>
              <w:rPr>
                <w:sz w:val="21"/>
                <w:szCs w:val="21"/>
              </w:rPr>
              <w:t>生活垃圾</w:t>
            </w:r>
          </w:p>
        </w:tc>
        <w:tc>
          <w:tcPr>
            <w:tcW w:w="4536" w:type="dxa"/>
            <w:vAlign w:val="center"/>
          </w:tcPr>
          <w:p w:rsidR="00240BCE" w:rsidRDefault="00AC0334">
            <w:pPr>
              <w:spacing w:line="360" w:lineRule="exact"/>
              <w:jc w:val="center"/>
              <w:rPr>
                <w:sz w:val="21"/>
                <w:szCs w:val="21"/>
              </w:rPr>
            </w:pPr>
            <w:r>
              <w:rPr>
                <w:sz w:val="21"/>
                <w:szCs w:val="21"/>
              </w:rPr>
              <w:t>设置垃圾分类设施，分类后集中收集，统一清运</w:t>
            </w:r>
          </w:p>
        </w:tc>
        <w:tc>
          <w:tcPr>
            <w:tcW w:w="1276" w:type="dxa"/>
            <w:vAlign w:val="center"/>
          </w:tcPr>
          <w:p w:rsidR="00240BCE" w:rsidRDefault="00AC0334">
            <w:pPr>
              <w:spacing w:line="360" w:lineRule="exact"/>
              <w:jc w:val="center"/>
              <w:rPr>
                <w:sz w:val="21"/>
                <w:szCs w:val="21"/>
              </w:rPr>
            </w:pPr>
            <w:r>
              <w:rPr>
                <w:sz w:val="21"/>
                <w:szCs w:val="21"/>
              </w:rPr>
              <w:t>垃圾桶若干</w:t>
            </w:r>
          </w:p>
        </w:tc>
        <w:tc>
          <w:tcPr>
            <w:tcW w:w="811" w:type="dxa"/>
            <w:vMerge/>
            <w:vAlign w:val="center"/>
          </w:tcPr>
          <w:p w:rsidR="00240BCE" w:rsidRDefault="00240BCE">
            <w:pPr>
              <w:spacing w:line="360" w:lineRule="exact"/>
              <w:jc w:val="center"/>
              <w:rPr>
                <w:sz w:val="21"/>
                <w:szCs w:val="21"/>
              </w:rPr>
            </w:pPr>
          </w:p>
        </w:tc>
        <w:tc>
          <w:tcPr>
            <w:tcW w:w="748" w:type="dxa"/>
            <w:vAlign w:val="center"/>
          </w:tcPr>
          <w:p w:rsidR="00240BCE" w:rsidRDefault="00AC0334">
            <w:pPr>
              <w:spacing w:line="360" w:lineRule="exact"/>
              <w:jc w:val="center"/>
              <w:rPr>
                <w:sz w:val="21"/>
                <w:szCs w:val="21"/>
              </w:rPr>
            </w:pPr>
            <w:r>
              <w:rPr>
                <w:sz w:val="21"/>
                <w:szCs w:val="21"/>
              </w:rPr>
              <w:t>1.1</w:t>
            </w:r>
          </w:p>
        </w:tc>
      </w:tr>
      <w:tr w:rsidR="00240BCE">
        <w:tc>
          <w:tcPr>
            <w:tcW w:w="365" w:type="dxa"/>
            <w:vMerge/>
            <w:vAlign w:val="center"/>
          </w:tcPr>
          <w:p w:rsidR="00240BCE" w:rsidRDefault="00240BCE">
            <w:pPr>
              <w:widowControl/>
              <w:spacing w:line="360" w:lineRule="exact"/>
              <w:jc w:val="left"/>
              <w:rPr>
                <w:bCs/>
                <w:sz w:val="21"/>
                <w:szCs w:val="21"/>
              </w:rPr>
            </w:pPr>
          </w:p>
        </w:tc>
        <w:tc>
          <w:tcPr>
            <w:tcW w:w="1351" w:type="dxa"/>
            <w:gridSpan w:val="2"/>
            <w:vAlign w:val="center"/>
          </w:tcPr>
          <w:p w:rsidR="00240BCE" w:rsidRDefault="00AC0334">
            <w:pPr>
              <w:spacing w:line="360" w:lineRule="exact"/>
              <w:jc w:val="center"/>
              <w:rPr>
                <w:sz w:val="21"/>
                <w:szCs w:val="21"/>
              </w:rPr>
            </w:pPr>
            <w:r>
              <w:rPr>
                <w:sz w:val="21"/>
                <w:szCs w:val="21"/>
              </w:rPr>
              <w:t>生态保护</w:t>
            </w:r>
          </w:p>
        </w:tc>
        <w:tc>
          <w:tcPr>
            <w:tcW w:w="4536" w:type="dxa"/>
            <w:vAlign w:val="center"/>
          </w:tcPr>
          <w:p w:rsidR="00240BCE" w:rsidRDefault="00AC0334">
            <w:pPr>
              <w:spacing w:line="360" w:lineRule="exact"/>
              <w:jc w:val="center"/>
              <w:rPr>
                <w:sz w:val="21"/>
                <w:szCs w:val="21"/>
              </w:rPr>
            </w:pPr>
            <w:r>
              <w:rPr>
                <w:sz w:val="21"/>
                <w:szCs w:val="21"/>
              </w:rPr>
              <w:t>①</w:t>
            </w:r>
            <w:r>
              <w:rPr>
                <w:sz w:val="21"/>
                <w:szCs w:val="21"/>
              </w:rPr>
              <w:t>施工中应加强施工管理，将临时占地面积控制在最低限度；</w:t>
            </w:r>
            <w:r>
              <w:rPr>
                <w:sz w:val="21"/>
                <w:szCs w:val="21"/>
              </w:rPr>
              <w:t>②</w:t>
            </w:r>
            <w:r>
              <w:rPr>
                <w:sz w:val="21"/>
                <w:szCs w:val="21"/>
              </w:rPr>
              <w:t>对于施工过程中破坏的林地、耕地要制定补偿措施</w:t>
            </w:r>
            <w:r>
              <w:rPr>
                <w:sz w:val="21"/>
                <w:szCs w:val="21"/>
              </w:rPr>
              <w:t>③</w:t>
            </w:r>
            <w:r>
              <w:rPr>
                <w:sz w:val="21"/>
                <w:szCs w:val="21"/>
              </w:rPr>
              <w:t>制定水保措施（水保措施投资单列），防止水土流失</w:t>
            </w:r>
            <w:r>
              <w:rPr>
                <w:sz w:val="21"/>
                <w:szCs w:val="21"/>
              </w:rPr>
              <w:t>④</w:t>
            </w:r>
            <w:r>
              <w:rPr>
                <w:sz w:val="21"/>
                <w:szCs w:val="21"/>
              </w:rPr>
              <w:t>临时占地及时平整恢复</w:t>
            </w:r>
          </w:p>
        </w:tc>
        <w:tc>
          <w:tcPr>
            <w:tcW w:w="1276" w:type="dxa"/>
            <w:vAlign w:val="center"/>
          </w:tcPr>
          <w:p w:rsidR="00240BCE" w:rsidRDefault="00AC0334">
            <w:pPr>
              <w:spacing w:line="360" w:lineRule="exact"/>
              <w:jc w:val="center"/>
              <w:rPr>
                <w:sz w:val="21"/>
                <w:szCs w:val="21"/>
              </w:rPr>
            </w:pPr>
            <w:r>
              <w:rPr>
                <w:sz w:val="21"/>
                <w:szCs w:val="21"/>
              </w:rPr>
              <w:t>水土保持设施及临时占地恢复情况</w:t>
            </w:r>
          </w:p>
        </w:tc>
        <w:tc>
          <w:tcPr>
            <w:tcW w:w="811" w:type="dxa"/>
            <w:vAlign w:val="center"/>
          </w:tcPr>
          <w:p w:rsidR="00240BCE" w:rsidRDefault="00AC0334">
            <w:pPr>
              <w:spacing w:line="360" w:lineRule="exact"/>
              <w:jc w:val="center"/>
              <w:rPr>
                <w:sz w:val="21"/>
                <w:szCs w:val="21"/>
              </w:rPr>
            </w:pPr>
            <w:r>
              <w:rPr>
                <w:sz w:val="21"/>
                <w:szCs w:val="21"/>
              </w:rPr>
              <w:t>生态恢复，防治水土流失</w:t>
            </w:r>
          </w:p>
        </w:tc>
        <w:tc>
          <w:tcPr>
            <w:tcW w:w="748" w:type="dxa"/>
            <w:vAlign w:val="center"/>
          </w:tcPr>
          <w:p w:rsidR="00240BCE" w:rsidRDefault="00AC0334">
            <w:pPr>
              <w:spacing w:line="360" w:lineRule="exact"/>
              <w:jc w:val="center"/>
              <w:rPr>
                <w:sz w:val="21"/>
                <w:szCs w:val="21"/>
              </w:rPr>
            </w:pPr>
            <w:r>
              <w:rPr>
                <w:sz w:val="21"/>
                <w:szCs w:val="21"/>
              </w:rPr>
              <w:t>20.0</w:t>
            </w:r>
          </w:p>
        </w:tc>
      </w:tr>
      <w:tr w:rsidR="00240BCE">
        <w:tc>
          <w:tcPr>
            <w:tcW w:w="365" w:type="dxa"/>
            <w:vMerge w:val="restart"/>
            <w:vAlign w:val="center"/>
          </w:tcPr>
          <w:p w:rsidR="00240BCE" w:rsidRDefault="00AC0334">
            <w:pPr>
              <w:spacing w:line="360" w:lineRule="exact"/>
              <w:jc w:val="center"/>
              <w:rPr>
                <w:sz w:val="21"/>
                <w:szCs w:val="21"/>
              </w:rPr>
            </w:pPr>
            <w:r>
              <w:rPr>
                <w:sz w:val="21"/>
                <w:szCs w:val="21"/>
              </w:rPr>
              <w:t>运营期</w:t>
            </w:r>
          </w:p>
        </w:tc>
        <w:tc>
          <w:tcPr>
            <w:tcW w:w="392" w:type="dxa"/>
            <w:vMerge w:val="restart"/>
            <w:vAlign w:val="center"/>
          </w:tcPr>
          <w:p w:rsidR="00240BCE" w:rsidRDefault="00AC0334">
            <w:pPr>
              <w:spacing w:line="360" w:lineRule="exact"/>
              <w:jc w:val="center"/>
              <w:rPr>
                <w:sz w:val="21"/>
                <w:szCs w:val="21"/>
              </w:rPr>
            </w:pPr>
            <w:r>
              <w:rPr>
                <w:sz w:val="21"/>
                <w:szCs w:val="21"/>
              </w:rPr>
              <w:t>废气</w:t>
            </w:r>
          </w:p>
        </w:tc>
        <w:tc>
          <w:tcPr>
            <w:tcW w:w="959" w:type="dxa"/>
            <w:vAlign w:val="center"/>
          </w:tcPr>
          <w:p w:rsidR="00240BCE" w:rsidRDefault="00AC0334">
            <w:pPr>
              <w:spacing w:line="360" w:lineRule="exact"/>
              <w:jc w:val="center"/>
              <w:rPr>
                <w:sz w:val="21"/>
                <w:szCs w:val="21"/>
              </w:rPr>
            </w:pPr>
            <w:r>
              <w:rPr>
                <w:sz w:val="21"/>
                <w:szCs w:val="21"/>
              </w:rPr>
              <w:t>井下作业产生的粉尘以及风井回风产生的粉尘</w:t>
            </w:r>
          </w:p>
        </w:tc>
        <w:tc>
          <w:tcPr>
            <w:tcW w:w="4536" w:type="dxa"/>
            <w:vAlign w:val="center"/>
          </w:tcPr>
          <w:p w:rsidR="00240BCE" w:rsidRDefault="00AC0334">
            <w:pPr>
              <w:spacing w:line="360" w:lineRule="exact"/>
              <w:rPr>
                <w:sz w:val="21"/>
                <w:szCs w:val="21"/>
              </w:rPr>
            </w:pPr>
            <w:r>
              <w:rPr>
                <w:sz w:val="21"/>
                <w:szCs w:val="21"/>
              </w:rPr>
              <w:t>井下建立有防尘洒水系统，对采煤的各装转点设有喷雾洒水装置，输送机巷和主要通风巷等处均设置净化水幕，作业时开启；井下风钻，煤电钻均采用湿式打眼；对于易积存煤尘地点，定期清扫冲洗</w:t>
            </w:r>
          </w:p>
        </w:tc>
        <w:tc>
          <w:tcPr>
            <w:tcW w:w="1276" w:type="dxa"/>
            <w:vAlign w:val="center"/>
          </w:tcPr>
          <w:p w:rsidR="00240BCE" w:rsidRDefault="00AC0334">
            <w:pPr>
              <w:spacing w:line="360" w:lineRule="exact"/>
              <w:jc w:val="center"/>
              <w:rPr>
                <w:sz w:val="21"/>
                <w:szCs w:val="21"/>
              </w:rPr>
            </w:pPr>
            <w:r>
              <w:rPr>
                <w:sz w:val="21"/>
                <w:szCs w:val="21"/>
              </w:rPr>
              <w:t>井下洒水</w:t>
            </w:r>
          </w:p>
        </w:tc>
        <w:tc>
          <w:tcPr>
            <w:tcW w:w="811" w:type="dxa"/>
            <w:vMerge w:val="restart"/>
            <w:vAlign w:val="center"/>
          </w:tcPr>
          <w:p w:rsidR="00240BCE" w:rsidRDefault="00AC0334">
            <w:pPr>
              <w:spacing w:line="360" w:lineRule="exact"/>
              <w:jc w:val="center"/>
              <w:rPr>
                <w:sz w:val="21"/>
                <w:szCs w:val="21"/>
              </w:rPr>
            </w:pPr>
            <w:r>
              <w:rPr>
                <w:sz w:val="21"/>
                <w:szCs w:val="21"/>
              </w:rPr>
              <w:t>达标</w:t>
            </w:r>
          </w:p>
        </w:tc>
        <w:tc>
          <w:tcPr>
            <w:tcW w:w="748" w:type="dxa"/>
            <w:vAlign w:val="center"/>
          </w:tcPr>
          <w:p w:rsidR="00240BCE" w:rsidRDefault="00AC0334">
            <w:pPr>
              <w:spacing w:line="360" w:lineRule="exact"/>
              <w:jc w:val="center"/>
              <w:rPr>
                <w:sz w:val="21"/>
                <w:szCs w:val="21"/>
              </w:rPr>
            </w:pPr>
            <w:r>
              <w:rPr>
                <w:sz w:val="21"/>
                <w:szCs w:val="21"/>
              </w:rPr>
              <w:t>20.0</w:t>
            </w:r>
          </w:p>
        </w:tc>
      </w:tr>
      <w:tr w:rsidR="00240BCE">
        <w:tc>
          <w:tcPr>
            <w:tcW w:w="365" w:type="dxa"/>
            <w:vMerge/>
            <w:vAlign w:val="center"/>
          </w:tcPr>
          <w:p w:rsidR="00240BCE" w:rsidRDefault="00240BCE">
            <w:pPr>
              <w:widowControl/>
              <w:spacing w:line="360" w:lineRule="exact"/>
              <w:jc w:val="left"/>
              <w:rPr>
                <w:sz w:val="21"/>
                <w:szCs w:val="21"/>
              </w:rPr>
            </w:pPr>
          </w:p>
        </w:tc>
        <w:tc>
          <w:tcPr>
            <w:tcW w:w="392" w:type="dxa"/>
            <w:vMerge/>
            <w:vAlign w:val="center"/>
          </w:tcPr>
          <w:p w:rsidR="00240BCE" w:rsidRDefault="00240BCE">
            <w:pPr>
              <w:widowControl/>
              <w:spacing w:line="360" w:lineRule="exact"/>
              <w:jc w:val="left"/>
              <w:rPr>
                <w:sz w:val="21"/>
                <w:szCs w:val="21"/>
              </w:rPr>
            </w:pPr>
          </w:p>
        </w:tc>
        <w:tc>
          <w:tcPr>
            <w:tcW w:w="959" w:type="dxa"/>
            <w:vAlign w:val="center"/>
          </w:tcPr>
          <w:p w:rsidR="00240BCE" w:rsidRDefault="00AC0334">
            <w:pPr>
              <w:spacing w:line="340" w:lineRule="exact"/>
              <w:jc w:val="center"/>
              <w:rPr>
                <w:sz w:val="21"/>
                <w:szCs w:val="21"/>
              </w:rPr>
            </w:pPr>
            <w:r>
              <w:rPr>
                <w:sz w:val="21"/>
                <w:szCs w:val="21"/>
              </w:rPr>
              <w:t>储煤库、矸石周转场、转载点粉尘</w:t>
            </w:r>
          </w:p>
        </w:tc>
        <w:tc>
          <w:tcPr>
            <w:tcW w:w="4536" w:type="dxa"/>
            <w:vAlign w:val="center"/>
          </w:tcPr>
          <w:p w:rsidR="00240BCE" w:rsidRDefault="00AC0334">
            <w:pPr>
              <w:spacing w:line="340" w:lineRule="exact"/>
              <w:rPr>
                <w:sz w:val="21"/>
                <w:szCs w:val="21"/>
              </w:rPr>
            </w:pPr>
            <w:r>
              <w:rPr>
                <w:sz w:val="21"/>
                <w:szCs w:val="21"/>
              </w:rPr>
              <w:t>储煤库全部密闭且顶棚设计安装一套喷淋雾化装置，皮带廊道全部进行密闭，在作业时洒水保持湿度，安装硬质门，在无车辆出入时保证密闭，防治粉尘外溢</w:t>
            </w:r>
          </w:p>
        </w:tc>
        <w:tc>
          <w:tcPr>
            <w:tcW w:w="1276" w:type="dxa"/>
            <w:vAlign w:val="center"/>
          </w:tcPr>
          <w:p w:rsidR="00240BCE" w:rsidRDefault="00AC0334">
            <w:pPr>
              <w:spacing w:line="340" w:lineRule="exact"/>
              <w:jc w:val="center"/>
              <w:rPr>
                <w:sz w:val="21"/>
                <w:szCs w:val="21"/>
              </w:rPr>
            </w:pPr>
            <w:r>
              <w:rPr>
                <w:sz w:val="21"/>
                <w:szCs w:val="21"/>
              </w:rPr>
              <w:t>密闭的储煤库、密闭的皮带廊道以及洒水喷淋设施</w:t>
            </w:r>
          </w:p>
        </w:tc>
        <w:tc>
          <w:tcPr>
            <w:tcW w:w="811" w:type="dxa"/>
            <w:vMerge/>
            <w:vAlign w:val="center"/>
          </w:tcPr>
          <w:p w:rsidR="00240BCE" w:rsidRDefault="00240BCE">
            <w:pPr>
              <w:spacing w:line="340" w:lineRule="exact"/>
              <w:jc w:val="center"/>
              <w:rPr>
                <w:sz w:val="21"/>
                <w:szCs w:val="21"/>
              </w:rPr>
            </w:pPr>
          </w:p>
        </w:tc>
        <w:tc>
          <w:tcPr>
            <w:tcW w:w="748" w:type="dxa"/>
            <w:vAlign w:val="center"/>
          </w:tcPr>
          <w:p w:rsidR="00240BCE" w:rsidRDefault="00AC0334">
            <w:pPr>
              <w:spacing w:line="340" w:lineRule="exact"/>
              <w:jc w:val="center"/>
              <w:rPr>
                <w:sz w:val="21"/>
                <w:szCs w:val="21"/>
              </w:rPr>
            </w:pPr>
            <w:r>
              <w:rPr>
                <w:sz w:val="21"/>
                <w:szCs w:val="21"/>
              </w:rPr>
              <w:t>50</w:t>
            </w:r>
          </w:p>
        </w:tc>
      </w:tr>
      <w:tr w:rsidR="00240BCE">
        <w:tc>
          <w:tcPr>
            <w:tcW w:w="365" w:type="dxa"/>
            <w:vMerge/>
            <w:vAlign w:val="center"/>
          </w:tcPr>
          <w:p w:rsidR="00240BCE" w:rsidRDefault="00240BCE">
            <w:pPr>
              <w:widowControl/>
              <w:spacing w:line="360" w:lineRule="exact"/>
              <w:jc w:val="left"/>
              <w:rPr>
                <w:sz w:val="21"/>
                <w:szCs w:val="21"/>
              </w:rPr>
            </w:pPr>
          </w:p>
        </w:tc>
        <w:tc>
          <w:tcPr>
            <w:tcW w:w="392" w:type="dxa"/>
            <w:vMerge/>
            <w:vAlign w:val="center"/>
          </w:tcPr>
          <w:p w:rsidR="00240BCE" w:rsidRDefault="00240BCE">
            <w:pPr>
              <w:widowControl/>
              <w:spacing w:line="360" w:lineRule="exact"/>
              <w:jc w:val="left"/>
              <w:rPr>
                <w:sz w:val="21"/>
                <w:szCs w:val="21"/>
              </w:rPr>
            </w:pPr>
          </w:p>
        </w:tc>
        <w:tc>
          <w:tcPr>
            <w:tcW w:w="959" w:type="dxa"/>
            <w:vAlign w:val="center"/>
          </w:tcPr>
          <w:p w:rsidR="00240BCE" w:rsidRDefault="00AC0334">
            <w:pPr>
              <w:spacing w:line="360" w:lineRule="exact"/>
              <w:jc w:val="center"/>
              <w:rPr>
                <w:sz w:val="21"/>
                <w:szCs w:val="21"/>
              </w:rPr>
            </w:pPr>
            <w:r>
              <w:rPr>
                <w:sz w:val="21"/>
                <w:szCs w:val="21"/>
              </w:rPr>
              <w:t>运输道路粉尘</w:t>
            </w:r>
          </w:p>
        </w:tc>
        <w:tc>
          <w:tcPr>
            <w:tcW w:w="4536" w:type="dxa"/>
            <w:vAlign w:val="center"/>
          </w:tcPr>
          <w:p w:rsidR="00240BCE" w:rsidRDefault="00AC0334">
            <w:pPr>
              <w:spacing w:line="360" w:lineRule="exact"/>
              <w:rPr>
                <w:sz w:val="21"/>
                <w:szCs w:val="21"/>
              </w:rPr>
            </w:pPr>
            <w:r>
              <w:rPr>
                <w:sz w:val="21"/>
                <w:szCs w:val="21"/>
              </w:rPr>
              <w:t>出口设置</w:t>
            </w:r>
            <w:r>
              <w:rPr>
                <w:sz w:val="21"/>
                <w:szCs w:val="21"/>
              </w:rPr>
              <w:t>1</w:t>
            </w:r>
            <w:r>
              <w:rPr>
                <w:sz w:val="21"/>
                <w:szCs w:val="21"/>
              </w:rPr>
              <w:t>套车辆冲洗装置，对进出车辆清冲洗；运输道路设置专人定期维护，定期打扫，洒水车洒水保湿，运输车辆限载限速并加盖帆布篷，经常维修保养，维持良好的车况等措施</w:t>
            </w:r>
          </w:p>
        </w:tc>
        <w:tc>
          <w:tcPr>
            <w:tcW w:w="1276" w:type="dxa"/>
            <w:vAlign w:val="center"/>
          </w:tcPr>
          <w:p w:rsidR="00240BCE" w:rsidRDefault="00AC0334">
            <w:pPr>
              <w:spacing w:line="360" w:lineRule="exact"/>
              <w:jc w:val="center"/>
              <w:rPr>
                <w:sz w:val="21"/>
                <w:szCs w:val="21"/>
              </w:rPr>
            </w:pPr>
            <w:r>
              <w:rPr>
                <w:sz w:val="21"/>
                <w:szCs w:val="21"/>
              </w:rPr>
              <w:t>车辆冲洗装置</w:t>
            </w:r>
            <w:r>
              <w:rPr>
                <w:sz w:val="21"/>
                <w:szCs w:val="21"/>
              </w:rPr>
              <w:t>1</w:t>
            </w:r>
            <w:r>
              <w:rPr>
                <w:sz w:val="21"/>
                <w:szCs w:val="21"/>
              </w:rPr>
              <w:t>套</w:t>
            </w:r>
          </w:p>
        </w:tc>
        <w:tc>
          <w:tcPr>
            <w:tcW w:w="811" w:type="dxa"/>
            <w:vAlign w:val="center"/>
          </w:tcPr>
          <w:p w:rsidR="00240BCE" w:rsidRDefault="00AC0334">
            <w:pPr>
              <w:spacing w:line="360" w:lineRule="exact"/>
              <w:jc w:val="center"/>
              <w:rPr>
                <w:sz w:val="21"/>
                <w:szCs w:val="21"/>
              </w:rPr>
            </w:pPr>
            <w:r>
              <w:rPr>
                <w:sz w:val="21"/>
                <w:szCs w:val="21"/>
              </w:rPr>
              <w:t>减少运输扬尘</w:t>
            </w:r>
          </w:p>
        </w:tc>
        <w:tc>
          <w:tcPr>
            <w:tcW w:w="748" w:type="dxa"/>
            <w:vAlign w:val="center"/>
          </w:tcPr>
          <w:p w:rsidR="00240BCE" w:rsidRDefault="00AC0334">
            <w:pPr>
              <w:spacing w:line="360" w:lineRule="exact"/>
              <w:jc w:val="center"/>
              <w:rPr>
                <w:sz w:val="21"/>
                <w:szCs w:val="21"/>
              </w:rPr>
            </w:pPr>
            <w:r>
              <w:rPr>
                <w:sz w:val="21"/>
                <w:szCs w:val="21"/>
              </w:rPr>
              <w:t>20.0</w:t>
            </w:r>
          </w:p>
        </w:tc>
      </w:tr>
      <w:tr w:rsidR="00240BCE">
        <w:tc>
          <w:tcPr>
            <w:tcW w:w="365" w:type="dxa"/>
            <w:vMerge/>
            <w:vAlign w:val="center"/>
          </w:tcPr>
          <w:p w:rsidR="00240BCE" w:rsidRDefault="00240BCE">
            <w:pPr>
              <w:widowControl/>
              <w:spacing w:line="360" w:lineRule="exact"/>
              <w:jc w:val="left"/>
              <w:rPr>
                <w:sz w:val="21"/>
                <w:szCs w:val="21"/>
              </w:rPr>
            </w:pPr>
          </w:p>
        </w:tc>
        <w:tc>
          <w:tcPr>
            <w:tcW w:w="392" w:type="dxa"/>
            <w:vMerge w:val="restart"/>
            <w:vAlign w:val="center"/>
          </w:tcPr>
          <w:p w:rsidR="00240BCE" w:rsidRDefault="00AC0334">
            <w:pPr>
              <w:spacing w:line="360" w:lineRule="exact"/>
              <w:jc w:val="center"/>
              <w:rPr>
                <w:sz w:val="21"/>
                <w:szCs w:val="21"/>
              </w:rPr>
            </w:pPr>
            <w:r>
              <w:rPr>
                <w:sz w:val="21"/>
                <w:szCs w:val="21"/>
              </w:rPr>
              <w:t>废水</w:t>
            </w:r>
          </w:p>
        </w:tc>
        <w:tc>
          <w:tcPr>
            <w:tcW w:w="959" w:type="dxa"/>
            <w:vAlign w:val="center"/>
          </w:tcPr>
          <w:p w:rsidR="00240BCE" w:rsidRDefault="00AC0334">
            <w:pPr>
              <w:spacing w:line="360" w:lineRule="exact"/>
              <w:jc w:val="center"/>
              <w:rPr>
                <w:sz w:val="21"/>
                <w:szCs w:val="21"/>
              </w:rPr>
            </w:pPr>
            <w:r>
              <w:rPr>
                <w:sz w:val="21"/>
                <w:szCs w:val="21"/>
              </w:rPr>
              <w:t>矿井水</w:t>
            </w:r>
          </w:p>
        </w:tc>
        <w:tc>
          <w:tcPr>
            <w:tcW w:w="4536" w:type="dxa"/>
            <w:vAlign w:val="center"/>
          </w:tcPr>
          <w:p w:rsidR="00240BCE" w:rsidRDefault="00AC0334" w:rsidP="00D16133">
            <w:pPr>
              <w:spacing w:line="360" w:lineRule="exact"/>
              <w:rPr>
                <w:sz w:val="21"/>
                <w:szCs w:val="21"/>
              </w:rPr>
            </w:pPr>
            <w:r>
              <w:rPr>
                <w:spacing w:val="4"/>
                <w:sz w:val="21"/>
                <w:szCs w:val="21"/>
              </w:rPr>
              <w:t>依托工业场现有矿井水处理站进行改造，新增无阀滤池，改造后处理能力</w:t>
            </w:r>
            <w:r>
              <w:rPr>
                <w:spacing w:val="4"/>
                <w:sz w:val="21"/>
                <w:szCs w:val="21"/>
              </w:rPr>
              <w:t>240m</w:t>
            </w:r>
            <w:r>
              <w:rPr>
                <w:spacing w:val="4"/>
                <w:sz w:val="21"/>
                <w:szCs w:val="21"/>
                <w:vertAlign w:val="superscript"/>
              </w:rPr>
              <w:t>3</w:t>
            </w:r>
            <w:r>
              <w:rPr>
                <w:spacing w:val="4"/>
                <w:sz w:val="21"/>
                <w:szCs w:val="21"/>
              </w:rPr>
              <w:t>/h</w:t>
            </w:r>
            <w:r>
              <w:rPr>
                <w:spacing w:val="4"/>
                <w:sz w:val="21"/>
                <w:szCs w:val="21"/>
              </w:rPr>
              <w:t>，处理工艺为</w:t>
            </w:r>
            <w:r>
              <w:rPr>
                <w:spacing w:val="4"/>
                <w:sz w:val="21"/>
                <w:szCs w:val="21"/>
              </w:rPr>
              <w:t>“</w:t>
            </w:r>
            <w:r>
              <w:rPr>
                <w:spacing w:val="4"/>
                <w:sz w:val="21"/>
                <w:szCs w:val="21"/>
              </w:rPr>
              <w:t>调节池</w:t>
            </w:r>
            <w:r>
              <w:rPr>
                <w:spacing w:val="4"/>
                <w:sz w:val="21"/>
                <w:szCs w:val="21"/>
              </w:rPr>
              <w:t>+</w:t>
            </w:r>
            <w:r>
              <w:rPr>
                <w:spacing w:val="4"/>
                <w:sz w:val="21"/>
                <w:szCs w:val="21"/>
              </w:rPr>
              <w:t>絮凝斜管沉淀</w:t>
            </w:r>
            <w:r>
              <w:rPr>
                <w:spacing w:val="4"/>
                <w:sz w:val="21"/>
                <w:szCs w:val="21"/>
              </w:rPr>
              <w:t>+</w:t>
            </w:r>
            <w:r>
              <w:rPr>
                <w:spacing w:val="4"/>
                <w:sz w:val="21"/>
                <w:szCs w:val="21"/>
              </w:rPr>
              <w:t>过滤</w:t>
            </w:r>
            <w:r>
              <w:rPr>
                <w:spacing w:val="4"/>
                <w:sz w:val="21"/>
                <w:szCs w:val="21"/>
              </w:rPr>
              <w:t>+</w:t>
            </w:r>
            <w:r>
              <w:rPr>
                <w:spacing w:val="4"/>
                <w:sz w:val="21"/>
                <w:szCs w:val="21"/>
              </w:rPr>
              <w:t>消毒</w:t>
            </w:r>
            <w:r>
              <w:rPr>
                <w:spacing w:val="4"/>
                <w:sz w:val="21"/>
                <w:szCs w:val="21"/>
              </w:rPr>
              <w:t>”</w:t>
            </w:r>
            <w:r>
              <w:rPr>
                <w:spacing w:val="4"/>
                <w:sz w:val="21"/>
                <w:szCs w:val="21"/>
              </w:rPr>
              <w:t>，</w:t>
            </w:r>
            <w:r>
              <w:rPr>
                <w:sz w:val="21"/>
                <w:szCs w:val="21"/>
              </w:rPr>
              <w:t>主要处理设备：</w:t>
            </w:r>
            <w:r>
              <w:rPr>
                <w:sz w:val="21"/>
                <w:szCs w:val="21"/>
              </w:rPr>
              <w:t>1</w:t>
            </w:r>
            <w:r>
              <w:rPr>
                <w:sz w:val="21"/>
                <w:szCs w:val="21"/>
              </w:rPr>
              <w:t>座斜管沉淀池、</w:t>
            </w:r>
            <w:r>
              <w:rPr>
                <w:sz w:val="21"/>
                <w:szCs w:val="21"/>
              </w:rPr>
              <w:t>1</w:t>
            </w:r>
            <w:r>
              <w:rPr>
                <w:sz w:val="21"/>
                <w:szCs w:val="21"/>
              </w:rPr>
              <w:t>座重力式无阀滤池</w:t>
            </w:r>
            <w:r>
              <w:rPr>
                <w:sz w:val="21"/>
                <w:szCs w:val="21"/>
              </w:rPr>
              <w:t>+1</w:t>
            </w:r>
            <w:r>
              <w:rPr>
                <w:sz w:val="21"/>
                <w:szCs w:val="21"/>
              </w:rPr>
              <w:t>套消毒系统等</w:t>
            </w:r>
            <w:r w:rsidR="004301A0" w:rsidRPr="004301A0">
              <w:rPr>
                <w:rFonts w:hint="eastAsia"/>
                <w:sz w:val="21"/>
                <w:szCs w:val="21"/>
              </w:rPr>
              <w:t>，</w:t>
            </w:r>
            <w:r>
              <w:rPr>
                <w:spacing w:val="4"/>
                <w:sz w:val="21"/>
                <w:szCs w:val="21"/>
              </w:rPr>
              <w:t>处理达标后部分回用于生产</w:t>
            </w:r>
            <w:r w:rsidR="0073390E">
              <w:rPr>
                <w:rFonts w:hint="eastAsia"/>
                <w:spacing w:val="4"/>
                <w:sz w:val="21"/>
                <w:szCs w:val="21"/>
              </w:rPr>
              <w:t>用水</w:t>
            </w:r>
            <w:r>
              <w:rPr>
                <w:spacing w:val="4"/>
                <w:sz w:val="21"/>
                <w:szCs w:val="21"/>
              </w:rPr>
              <w:t>，剩余</w:t>
            </w:r>
            <w:r w:rsidR="00346858" w:rsidRPr="00346858">
              <w:rPr>
                <w:rFonts w:hint="eastAsia"/>
                <w:spacing w:val="2"/>
                <w:sz w:val="21"/>
                <w:szCs w:val="21"/>
              </w:rPr>
              <w:t>不能及时利用</w:t>
            </w:r>
            <w:r w:rsidR="0073390E">
              <w:rPr>
                <w:rFonts w:hint="eastAsia"/>
                <w:spacing w:val="2"/>
                <w:sz w:val="21"/>
                <w:szCs w:val="21"/>
              </w:rPr>
              <w:t>部分</w:t>
            </w:r>
            <w:r w:rsidR="00346858" w:rsidRPr="00346858">
              <w:rPr>
                <w:spacing w:val="2"/>
                <w:sz w:val="21"/>
                <w:szCs w:val="21"/>
              </w:rPr>
              <w:t>排至赵沟河、纸坊水库后用于</w:t>
            </w:r>
            <w:r w:rsidR="0073390E">
              <w:rPr>
                <w:rFonts w:hint="eastAsia"/>
                <w:spacing w:val="2"/>
                <w:sz w:val="21"/>
                <w:szCs w:val="21"/>
              </w:rPr>
              <w:t>生态补水及</w:t>
            </w:r>
            <w:r w:rsidR="00346858" w:rsidRPr="00346858">
              <w:rPr>
                <w:spacing w:val="2"/>
                <w:sz w:val="21"/>
                <w:szCs w:val="21"/>
              </w:rPr>
              <w:t>周边农田灌溉</w:t>
            </w:r>
            <w:r w:rsidRPr="00346858">
              <w:rPr>
                <w:spacing w:val="4"/>
                <w:sz w:val="21"/>
                <w:szCs w:val="21"/>
              </w:rPr>
              <w:t>。</w:t>
            </w:r>
          </w:p>
        </w:tc>
        <w:tc>
          <w:tcPr>
            <w:tcW w:w="1276" w:type="dxa"/>
            <w:vAlign w:val="center"/>
          </w:tcPr>
          <w:p w:rsidR="00240BCE" w:rsidRDefault="00AC0334" w:rsidP="0073390E">
            <w:pPr>
              <w:spacing w:line="360" w:lineRule="exact"/>
              <w:jc w:val="center"/>
              <w:rPr>
                <w:sz w:val="21"/>
                <w:szCs w:val="21"/>
              </w:rPr>
            </w:pPr>
            <w:r>
              <w:rPr>
                <w:sz w:val="21"/>
                <w:szCs w:val="21"/>
              </w:rPr>
              <w:t>1</w:t>
            </w:r>
            <w:r>
              <w:rPr>
                <w:sz w:val="21"/>
                <w:szCs w:val="21"/>
              </w:rPr>
              <w:t>座矿井水处理站及其回用设施，处理能力</w:t>
            </w:r>
            <w:r>
              <w:rPr>
                <w:sz w:val="21"/>
                <w:szCs w:val="21"/>
              </w:rPr>
              <w:t>240</w:t>
            </w:r>
            <w:r>
              <w:rPr>
                <w:spacing w:val="4"/>
                <w:sz w:val="21"/>
                <w:szCs w:val="21"/>
              </w:rPr>
              <w:t>m</w:t>
            </w:r>
            <w:r>
              <w:rPr>
                <w:spacing w:val="4"/>
                <w:sz w:val="21"/>
                <w:szCs w:val="21"/>
                <w:vertAlign w:val="superscript"/>
              </w:rPr>
              <w:t>3</w:t>
            </w:r>
            <w:r>
              <w:rPr>
                <w:spacing w:val="4"/>
                <w:sz w:val="21"/>
                <w:szCs w:val="21"/>
              </w:rPr>
              <w:t>/h</w:t>
            </w:r>
            <w:r w:rsidR="0073390E">
              <w:rPr>
                <w:sz w:val="21"/>
                <w:szCs w:val="21"/>
              </w:rPr>
              <w:t xml:space="preserve"> </w:t>
            </w:r>
          </w:p>
        </w:tc>
        <w:tc>
          <w:tcPr>
            <w:tcW w:w="811" w:type="dxa"/>
            <w:vAlign w:val="center"/>
          </w:tcPr>
          <w:p w:rsidR="00240BCE" w:rsidRDefault="00AC0334">
            <w:pPr>
              <w:spacing w:line="360" w:lineRule="exact"/>
              <w:jc w:val="center"/>
              <w:rPr>
                <w:sz w:val="21"/>
                <w:szCs w:val="21"/>
              </w:rPr>
            </w:pPr>
            <w:r>
              <w:rPr>
                <w:spacing w:val="2"/>
                <w:sz w:val="21"/>
                <w:szCs w:val="21"/>
              </w:rPr>
              <w:t>达标</w:t>
            </w:r>
          </w:p>
        </w:tc>
        <w:tc>
          <w:tcPr>
            <w:tcW w:w="748" w:type="dxa"/>
            <w:vAlign w:val="center"/>
          </w:tcPr>
          <w:p w:rsidR="00240BCE" w:rsidRDefault="00AC0334">
            <w:pPr>
              <w:spacing w:line="360" w:lineRule="exact"/>
              <w:jc w:val="center"/>
              <w:rPr>
                <w:sz w:val="21"/>
                <w:szCs w:val="21"/>
              </w:rPr>
            </w:pPr>
            <w:r>
              <w:rPr>
                <w:sz w:val="21"/>
                <w:szCs w:val="21"/>
              </w:rPr>
              <w:t>51.0</w:t>
            </w:r>
          </w:p>
        </w:tc>
      </w:tr>
      <w:tr w:rsidR="00240BCE">
        <w:tc>
          <w:tcPr>
            <w:tcW w:w="365" w:type="dxa"/>
            <w:vMerge/>
            <w:vAlign w:val="center"/>
          </w:tcPr>
          <w:p w:rsidR="00240BCE" w:rsidRDefault="00240BCE">
            <w:pPr>
              <w:widowControl/>
              <w:spacing w:line="360" w:lineRule="exact"/>
              <w:jc w:val="left"/>
              <w:rPr>
                <w:sz w:val="21"/>
                <w:szCs w:val="21"/>
              </w:rPr>
            </w:pPr>
          </w:p>
        </w:tc>
        <w:tc>
          <w:tcPr>
            <w:tcW w:w="392" w:type="dxa"/>
            <w:vMerge/>
            <w:vAlign w:val="center"/>
          </w:tcPr>
          <w:p w:rsidR="00240BCE" w:rsidRDefault="00240BCE">
            <w:pPr>
              <w:spacing w:line="360" w:lineRule="exact"/>
              <w:jc w:val="center"/>
              <w:rPr>
                <w:sz w:val="21"/>
                <w:szCs w:val="21"/>
              </w:rPr>
            </w:pPr>
          </w:p>
        </w:tc>
        <w:tc>
          <w:tcPr>
            <w:tcW w:w="959" w:type="dxa"/>
            <w:vAlign w:val="center"/>
          </w:tcPr>
          <w:p w:rsidR="00240BCE" w:rsidRDefault="00AC0334">
            <w:pPr>
              <w:spacing w:line="360" w:lineRule="exact"/>
              <w:jc w:val="center"/>
              <w:rPr>
                <w:sz w:val="21"/>
                <w:szCs w:val="21"/>
              </w:rPr>
            </w:pPr>
            <w:r>
              <w:rPr>
                <w:sz w:val="21"/>
                <w:szCs w:val="21"/>
              </w:rPr>
              <w:t>生活污水</w:t>
            </w:r>
          </w:p>
        </w:tc>
        <w:tc>
          <w:tcPr>
            <w:tcW w:w="4536" w:type="dxa"/>
            <w:vAlign w:val="center"/>
          </w:tcPr>
          <w:p w:rsidR="00240BCE" w:rsidRDefault="00AC0334">
            <w:pPr>
              <w:spacing w:line="360" w:lineRule="exact"/>
              <w:rPr>
                <w:sz w:val="21"/>
                <w:szCs w:val="21"/>
              </w:rPr>
            </w:pPr>
            <w:r>
              <w:rPr>
                <w:sz w:val="21"/>
                <w:szCs w:val="21"/>
              </w:rPr>
              <w:t>利用现有地埋式一体化生活污水处理设施处理，处理工艺包括</w:t>
            </w:r>
            <w:r>
              <w:rPr>
                <w:sz w:val="21"/>
                <w:szCs w:val="21"/>
              </w:rPr>
              <w:t>“</w:t>
            </w:r>
            <w:r>
              <w:rPr>
                <w:rFonts w:hint="eastAsia"/>
                <w:sz w:val="21"/>
                <w:szCs w:val="21"/>
              </w:rPr>
              <w:t>接触氧化</w:t>
            </w:r>
            <w:r>
              <w:rPr>
                <w:sz w:val="21"/>
                <w:szCs w:val="21"/>
              </w:rPr>
              <w:t>+</w:t>
            </w:r>
            <w:r>
              <w:rPr>
                <w:sz w:val="21"/>
                <w:szCs w:val="21"/>
              </w:rPr>
              <w:t>沉淀</w:t>
            </w:r>
            <w:r>
              <w:rPr>
                <w:sz w:val="21"/>
                <w:szCs w:val="21"/>
              </w:rPr>
              <w:t>+</w:t>
            </w:r>
            <w:r>
              <w:rPr>
                <w:rFonts w:hint="eastAsia"/>
                <w:sz w:val="21"/>
                <w:szCs w:val="21"/>
              </w:rPr>
              <w:t>生物</w:t>
            </w:r>
            <w:r>
              <w:rPr>
                <w:sz w:val="21"/>
                <w:szCs w:val="21"/>
              </w:rPr>
              <w:t>过滤</w:t>
            </w:r>
            <w:r>
              <w:rPr>
                <w:sz w:val="21"/>
                <w:szCs w:val="21"/>
              </w:rPr>
              <w:t>+</w:t>
            </w:r>
            <w:r>
              <w:rPr>
                <w:sz w:val="21"/>
                <w:szCs w:val="21"/>
              </w:rPr>
              <w:t>消毒</w:t>
            </w:r>
            <w:r>
              <w:rPr>
                <w:sz w:val="21"/>
                <w:szCs w:val="21"/>
              </w:rPr>
              <w:t>”</w:t>
            </w:r>
            <w:r>
              <w:rPr>
                <w:sz w:val="21"/>
                <w:szCs w:val="21"/>
              </w:rPr>
              <w:t>工艺处理，处理规模为</w:t>
            </w:r>
            <w:r>
              <w:rPr>
                <w:sz w:val="21"/>
                <w:szCs w:val="21"/>
              </w:rPr>
              <w:t>240m</w:t>
            </w:r>
            <w:r>
              <w:rPr>
                <w:sz w:val="21"/>
                <w:szCs w:val="21"/>
                <w:vertAlign w:val="superscript"/>
              </w:rPr>
              <w:t>3</w:t>
            </w:r>
            <w:r>
              <w:rPr>
                <w:sz w:val="21"/>
                <w:szCs w:val="21"/>
              </w:rPr>
              <w:t>/d</w:t>
            </w:r>
            <w:r>
              <w:rPr>
                <w:sz w:val="21"/>
                <w:szCs w:val="21"/>
              </w:rPr>
              <w:t>，处理达标的生活污水综合利用</w:t>
            </w:r>
            <w:r w:rsidR="0073390E">
              <w:rPr>
                <w:rFonts w:hint="eastAsia"/>
                <w:sz w:val="21"/>
                <w:szCs w:val="21"/>
              </w:rPr>
              <w:t>，且设置</w:t>
            </w:r>
            <w:r w:rsidR="0073390E" w:rsidRPr="004301A0">
              <w:rPr>
                <w:rFonts w:hint="eastAsia"/>
                <w:sz w:val="21"/>
                <w:szCs w:val="21"/>
              </w:rPr>
              <w:t>3000m</w:t>
            </w:r>
            <w:r w:rsidR="0073390E" w:rsidRPr="004301A0">
              <w:rPr>
                <w:rFonts w:hint="eastAsia"/>
                <w:sz w:val="21"/>
                <w:szCs w:val="21"/>
                <w:vertAlign w:val="superscript"/>
              </w:rPr>
              <w:t>3</w:t>
            </w:r>
            <w:r w:rsidR="0073390E" w:rsidRPr="0073390E">
              <w:rPr>
                <w:rFonts w:hint="eastAsia"/>
                <w:sz w:val="21"/>
                <w:szCs w:val="21"/>
              </w:rPr>
              <w:t>事故</w:t>
            </w:r>
            <w:r w:rsidR="0073390E" w:rsidRPr="004301A0">
              <w:rPr>
                <w:rFonts w:hint="eastAsia"/>
                <w:sz w:val="21"/>
                <w:szCs w:val="21"/>
              </w:rPr>
              <w:t>水池</w:t>
            </w:r>
            <w:r w:rsidR="0073390E" w:rsidRPr="004301A0">
              <w:rPr>
                <w:rFonts w:hint="eastAsia"/>
                <w:sz w:val="21"/>
                <w:szCs w:val="21"/>
              </w:rPr>
              <w:t>1</w:t>
            </w:r>
            <w:r w:rsidR="0073390E" w:rsidRPr="004301A0">
              <w:rPr>
                <w:rFonts w:hint="eastAsia"/>
                <w:sz w:val="21"/>
                <w:szCs w:val="21"/>
              </w:rPr>
              <w:t>座</w:t>
            </w:r>
            <w:r w:rsidR="0073390E">
              <w:rPr>
                <w:rFonts w:hint="eastAsia"/>
                <w:sz w:val="21"/>
                <w:szCs w:val="21"/>
              </w:rPr>
              <w:t>，保证不外排</w:t>
            </w:r>
          </w:p>
        </w:tc>
        <w:tc>
          <w:tcPr>
            <w:tcW w:w="1276" w:type="dxa"/>
            <w:vAlign w:val="center"/>
          </w:tcPr>
          <w:p w:rsidR="00240BCE" w:rsidRDefault="00AC0334" w:rsidP="0073390E">
            <w:pPr>
              <w:spacing w:line="360" w:lineRule="exact"/>
              <w:jc w:val="center"/>
              <w:rPr>
                <w:sz w:val="21"/>
                <w:szCs w:val="21"/>
              </w:rPr>
            </w:pPr>
            <w:r>
              <w:rPr>
                <w:sz w:val="21"/>
                <w:szCs w:val="21"/>
              </w:rPr>
              <w:t>240m</w:t>
            </w:r>
            <w:r>
              <w:rPr>
                <w:sz w:val="21"/>
                <w:szCs w:val="21"/>
                <w:vertAlign w:val="superscript"/>
              </w:rPr>
              <w:t>3</w:t>
            </w:r>
            <w:r>
              <w:rPr>
                <w:sz w:val="21"/>
                <w:szCs w:val="21"/>
              </w:rPr>
              <w:t>/d</w:t>
            </w:r>
            <w:r>
              <w:rPr>
                <w:sz w:val="21"/>
                <w:szCs w:val="21"/>
              </w:rPr>
              <w:t>的生活处理站</w:t>
            </w:r>
            <w:r>
              <w:rPr>
                <w:sz w:val="21"/>
                <w:szCs w:val="21"/>
              </w:rPr>
              <w:t>1</w:t>
            </w:r>
            <w:r>
              <w:rPr>
                <w:sz w:val="21"/>
                <w:szCs w:val="21"/>
              </w:rPr>
              <w:t>座</w:t>
            </w:r>
            <w:r w:rsidR="0073390E">
              <w:rPr>
                <w:rFonts w:hint="eastAsia"/>
                <w:spacing w:val="4"/>
                <w:sz w:val="21"/>
                <w:szCs w:val="21"/>
              </w:rPr>
              <w:t>；</w:t>
            </w:r>
            <w:r w:rsidR="0073390E" w:rsidRPr="004301A0">
              <w:rPr>
                <w:rFonts w:hint="eastAsia"/>
                <w:sz w:val="21"/>
                <w:szCs w:val="21"/>
              </w:rPr>
              <w:t>3000m</w:t>
            </w:r>
            <w:r w:rsidR="0073390E" w:rsidRPr="004301A0">
              <w:rPr>
                <w:rFonts w:hint="eastAsia"/>
                <w:sz w:val="21"/>
                <w:szCs w:val="21"/>
                <w:vertAlign w:val="superscript"/>
              </w:rPr>
              <w:t>3</w:t>
            </w:r>
            <w:r w:rsidR="0073390E" w:rsidRPr="004301A0">
              <w:rPr>
                <w:rFonts w:hint="eastAsia"/>
                <w:sz w:val="21"/>
                <w:szCs w:val="21"/>
              </w:rPr>
              <w:t>水池</w:t>
            </w:r>
            <w:r w:rsidR="0073390E" w:rsidRPr="004301A0">
              <w:rPr>
                <w:rFonts w:hint="eastAsia"/>
                <w:sz w:val="21"/>
                <w:szCs w:val="21"/>
              </w:rPr>
              <w:t>1</w:t>
            </w:r>
            <w:r w:rsidR="0073390E" w:rsidRPr="004301A0">
              <w:rPr>
                <w:rFonts w:hint="eastAsia"/>
                <w:sz w:val="21"/>
                <w:szCs w:val="21"/>
              </w:rPr>
              <w:t>座</w:t>
            </w:r>
          </w:p>
        </w:tc>
        <w:tc>
          <w:tcPr>
            <w:tcW w:w="811" w:type="dxa"/>
            <w:vAlign w:val="center"/>
          </w:tcPr>
          <w:p w:rsidR="00240BCE" w:rsidRDefault="00AC0334">
            <w:pPr>
              <w:widowControl/>
              <w:spacing w:line="360" w:lineRule="exact"/>
              <w:jc w:val="center"/>
              <w:rPr>
                <w:sz w:val="21"/>
                <w:szCs w:val="21"/>
              </w:rPr>
            </w:pPr>
            <w:r>
              <w:rPr>
                <w:sz w:val="21"/>
                <w:szCs w:val="21"/>
              </w:rPr>
              <w:t>达标</w:t>
            </w:r>
          </w:p>
        </w:tc>
        <w:tc>
          <w:tcPr>
            <w:tcW w:w="748" w:type="dxa"/>
            <w:vAlign w:val="center"/>
          </w:tcPr>
          <w:p w:rsidR="00240BCE" w:rsidRDefault="00AC0334">
            <w:pPr>
              <w:spacing w:line="360" w:lineRule="exact"/>
              <w:jc w:val="center"/>
              <w:rPr>
                <w:sz w:val="21"/>
                <w:szCs w:val="21"/>
              </w:rPr>
            </w:pPr>
            <w:r>
              <w:rPr>
                <w:sz w:val="21"/>
                <w:szCs w:val="21"/>
              </w:rPr>
              <w:t>25.0</w:t>
            </w:r>
          </w:p>
        </w:tc>
      </w:tr>
      <w:tr w:rsidR="00240BCE">
        <w:tc>
          <w:tcPr>
            <w:tcW w:w="365" w:type="dxa"/>
            <w:vMerge/>
            <w:vAlign w:val="center"/>
          </w:tcPr>
          <w:p w:rsidR="00240BCE" w:rsidRDefault="00240BCE">
            <w:pPr>
              <w:widowControl/>
              <w:spacing w:line="360" w:lineRule="exact"/>
              <w:jc w:val="left"/>
              <w:rPr>
                <w:sz w:val="21"/>
                <w:szCs w:val="21"/>
              </w:rPr>
            </w:pPr>
          </w:p>
        </w:tc>
        <w:tc>
          <w:tcPr>
            <w:tcW w:w="392" w:type="dxa"/>
            <w:vMerge/>
            <w:vAlign w:val="center"/>
          </w:tcPr>
          <w:p w:rsidR="00240BCE" w:rsidRDefault="00240BCE">
            <w:pPr>
              <w:widowControl/>
              <w:spacing w:line="360" w:lineRule="exact"/>
              <w:jc w:val="left"/>
              <w:rPr>
                <w:sz w:val="21"/>
                <w:szCs w:val="21"/>
              </w:rPr>
            </w:pPr>
          </w:p>
        </w:tc>
        <w:tc>
          <w:tcPr>
            <w:tcW w:w="959" w:type="dxa"/>
            <w:vAlign w:val="center"/>
          </w:tcPr>
          <w:p w:rsidR="00240BCE" w:rsidRDefault="00AC0334">
            <w:pPr>
              <w:spacing w:line="360" w:lineRule="exact"/>
              <w:jc w:val="center"/>
              <w:rPr>
                <w:sz w:val="21"/>
                <w:szCs w:val="21"/>
              </w:rPr>
            </w:pPr>
            <w:r>
              <w:rPr>
                <w:sz w:val="21"/>
                <w:szCs w:val="21"/>
              </w:rPr>
              <w:t>初期雨水</w:t>
            </w:r>
          </w:p>
        </w:tc>
        <w:tc>
          <w:tcPr>
            <w:tcW w:w="4536" w:type="dxa"/>
            <w:vAlign w:val="center"/>
          </w:tcPr>
          <w:p w:rsidR="00240BCE" w:rsidRDefault="00AC0334">
            <w:pPr>
              <w:spacing w:line="360" w:lineRule="exact"/>
              <w:rPr>
                <w:sz w:val="21"/>
                <w:szCs w:val="21"/>
              </w:rPr>
            </w:pPr>
            <w:r>
              <w:rPr>
                <w:sz w:val="21"/>
                <w:szCs w:val="21"/>
              </w:rPr>
              <w:t>新建</w:t>
            </w:r>
            <w:r>
              <w:rPr>
                <w:sz w:val="21"/>
                <w:szCs w:val="21"/>
              </w:rPr>
              <w:t>1</w:t>
            </w:r>
            <w:r>
              <w:rPr>
                <w:sz w:val="21"/>
                <w:szCs w:val="21"/>
              </w:rPr>
              <w:t>座初期雨水收集池，容积</w:t>
            </w:r>
            <w:r>
              <w:rPr>
                <w:sz w:val="21"/>
                <w:szCs w:val="21"/>
              </w:rPr>
              <w:t>150m</w:t>
            </w:r>
            <w:r>
              <w:rPr>
                <w:sz w:val="21"/>
                <w:szCs w:val="21"/>
                <w:vertAlign w:val="superscript"/>
              </w:rPr>
              <w:t>3</w:t>
            </w:r>
            <w:r>
              <w:rPr>
                <w:sz w:val="21"/>
                <w:szCs w:val="21"/>
              </w:rPr>
              <w:t>，经收集后用于工业场地及运输道路洒水等，不外排。</w:t>
            </w:r>
          </w:p>
        </w:tc>
        <w:tc>
          <w:tcPr>
            <w:tcW w:w="1276" w:type="dxa"/>
            <w:vAlign w:val="center"/>
          </w:tcPr>
          <w:p w:rsidR="00240BCE" w:rsidRDefault="00AC0334">
            <w:pPr>
              <w:spacing w:line="360" w:lineRule="exact"/>
              <w:jc w:val="center"/>
              <w:rPr>
                <w:sz w:val="21"/>
                <w:szCs w:val="21"/>
              </w:rPr>
            </w:pPr>
            <w:r>
              <w:rPr>
                <w:sz w:val="21"/>
                <w:szCs w:val="21"/>
              </w:rPr>
              <w:t>1</w:t>
            </w:r>
            <w:r>
              <w:rPr>
                <w:sz w:val="21"/>
                <w:szCs w:val="21"/>
              </w:rPr>
              <w:t>座初期雨水收集池，容积</w:t>
            </w:r>
            <w:r>
              <w:rPr>
                <w:sz w:val="21"/>
                <w:szCs w:val="21"/>
              </w:rPr>
              <w:t>150m</w:t>
            </w:r>
            <w:r>
              <w:rPr>
                <w:sz w:val="21"/>
                <w:szCs w:val="21"/>
                <w:vertAlign w:val="superscript"/>
              </w:rPr>
              <w:t>3</w:t>
            </w:r>
          </w:p>
        </w:tc>
        <w:tc>
          <w:tcPr>
            <w:tcW w:w="811" w:type="dxa"/>
            <w:vAlign w:val="center"/>
          </w:tcPr>
          <w:p w:rsidR="00240BCE" w:rsidRDefault="00AC0334">
            <w:pPr>
              <w:widowControl/>
              <w:spacing w:line="360" w:lineRule="exact"/>
              <w:jc w:val="center"/>
              <w:rPr>
                <w:sz w:val="21"/>
                <w:szCs w:val="21"/>
              </w:rPr>
            </w:pPr>
            <w:r>
              <w:rPr>
                <w:sz w:val="21"/>
                <w:szCs w:val="21"/>
              </w:rPr>
              <w:t>不外排</w:t>
            </w:r>
          </w:p>
        </w:tc>
        <w:tc>
          <w:tcPr>
            <w:tcW w:w="748" w:type="dxa"/>
            <w:vAlign w:val="center"/>
          </w:tcPr>
          <w:p w:rsidR="00240BCE" w:rsidRDefault="00AC0334">
            <w:pPr>
              <w:spacing w:line="360" w:lineRule="exact"/>
              <w:jc w:val="center"/>
              <w:rPr>
                <w:sz w:val="21"/>
                <w:szCs w:val="21"/>
              </w:rPr>
            </w:pPr>
            <w:r>
              <w:rPr>
                <w:sz w:val="21"/>
                <w:szCs w:val="21"/>
              </w:rPr>
              <w:t>5.0</w:t>
            </w:r>
          </w:p>
        </w:tc>
      </w:tr>
      <w:tr w:rsidR="00240BCE">
        <w:tc>
          <w:tcPr>
            <w:tcW w:w="365" w:type="dxa"/>
            <w:vMerge/>
            <w:vAlign w:val="center"/>
          </w:tcPr>
          <w:p w:rsidR="00240BCE" w:rsidRDefault="00240BCE">
            <w:pPr>
              <w:widowControl/>
              <w:spacing w:line="360" w:lineRule="exact"/>
              <w:jc w:val="left"/>
              <w:rPr>
                <w:sz w:val="21"/>
                <w:szCs w:val="21"/>
              </w:rPr>
            </w:pPr>
          </w:p>
        </w:tc>
        <w:tc>
          <w:tcPr>
            <w:tcW w:w="1351" w:type="dxa"/>
            <w:gridSpan w:val="2"/>
            <w:vAlign w:val="center"/>
          </w:tcPr>
          <w:p w:rsidR="00240BCE" w:rsidRDefault="00AC0334">
            <w:pPr>
              <w:spacing w:line="360" w:lineRule="exact"/>
              <w:jc w:val="center"/>
              <w:rPr>
                <w:sz w:val="21"/>
                <w:szCs w:val="21"/>
              </w:rPr>
            </w:pPr>
            <w:r>
              <w:rPr>
                <w:sz w:val="21"/>
                <w:szCs w:val="21"/>
              </w:rPr>
              <w:t>地下水保护措施</w:t>
            </w:r>
          </w:p>
        </w:tc>
        <w:tc>
          <w:tcPr>
            <w:tcW w:w="4536" w:type="dxa"/>
            <w:vAlign w:val="center"/>
          </w:tcPr>
          <w:p w:rsidR="00240BCE" w:rsidRDefault="00AC0334">
            <w:pPr>
              <w:spacing w:line="360" w:lineRule="exact"/>
              <w:rPr>
                <w:sz w:val="21"/>
                <w:szCs w:val="21"/>
              </w:rPr>
            </w:pPr>
            <w:r>
              <w:rPr>
                <w:bCs/>
                <w:sz w:val="21"/>
                <w:szCs w:val="21"/>
              </w:rPr>
              <w:t>“</w:t>
            </w:r>
            <w:r>
              <w:rPr>
                <w:bCs/>
                <w:sz w:val="21"/>
                <w:szCs w:val="21"/>
              </w:rPr>
              <w:t>源头控制，分区防控，污染监控，应急响应</w:t>
            </w:r>
            <w:r>
              <w:rPr>
                <w:bCs/>
                <w:sz w:val="21"/>
                <w:szCs w:val="21"/>
              </w:rPr>
              <w:t>”</w:t>
            </w:r>
            <w:r>
              <w:rPr>
                <w:bCs/>
                <w:sz w:val="21"/>
                <w:szCs w:val="21"/>
              </w:rPr>
              <w:t>。首先源头控制，防止跑冒滴漏，分区防控，分区防渗</w:t>
            </w:r>
            <w:r>
              <w:rPr>
                <w:bCs/>
                <w:sz w:val="21"/>
                <w:szCs w:val="21"/>
                <w:lang w:bidi="en-US"/>
              </w:rPr>
              <w:t>阻断污染物进入地下水环境的途径；污染监控，利</w:t>
            </w:r>
            <w:r>
              <w:rPr>
                <w:bCs/>
                <w:sz w:val="21"/>
                <w:szCs w:val="21"/>
                <w:lang w:bidi="en-US"/>
              </w:rPr>
              <w:lastRenderedPageBreak/>
              <w:t>用</w:t>
            </w:r>
            <w:r>
              <w:rPr>
                <w:sz w:val="21"/>
                <w:szCs w:val="21"/>
              </w:rPr>
              <w:t>区域村庄水井作为地下水为监测井加强水位、水质监测，通过对地下水位的动态监测，分析井田开采对地下水环境关心点的影响；应急响应，编制应急预案加强演练，监控周边村庄水井的水质和水位，异常时应第一时间紧急响应，立即采取应对措施，减轻对地下水环境的影响直至消除。</w:t>
            </w:r>
          </w:p>
        </w:tc>
        <w:tc>
          <w:tcPr>
            <w:tcW w:w="1276" w:type="dxa"/>
            <w:vAlign w:val="center"/>
          </w:tcPr>
          <w:p w:rsidR="00240BCE" w:rsidRDefault="00AC0334">
            <w:pPr>
              <w:spacing w:line="360" w:lineRule="exact"/>
              <w:jc w:val="center"/>
              <w:rPr>
                <w:sz w:val="21"/>
                <w:szCs w:val="21"/>
              </w:rPr>
            </w:pPr>
            <w:r>
              <w:rPr>
                <w:sz w:val="21"/>
                <w:szCs w:val="21"/>
              </w:rPr>
              <w:lastRenderedPageBreak/>
              <w:t>各个分区的硬化地面</w:t>
            </w:r>
          </w:p>
        </w:tc>
        <w:tc>
          <w:tcPr>
            <w:tcW w:w="811" w:type="dxa"/>
            <w:vAlign w:val="center"/>
          </w:tcPr>
          <w:p w:rsidR="00240BCE" w:rsidRDefault="00240BCE">
            <w:pPr>
              <w:spacing w:line="360" w:lineRule="exact"/>
              <w:jc w:val="center"/>
              <w:rPr>
                <w:sz w:val="21"/>
                <w:szCs w:val="21"/>
              </w:rPr>
            </w:pPr>
          </w:p>
        </w:tc>
        <w:tc>
          <w:tcPr>
            <w:tcW w:w="748" w:type="dxa"/>
            <w:vAlign w:val="center"/>
          </w:tcPr>
          <w:p w:rsidR="00240BCE" w:rsidRDefault="00AC0334">
            <w:pPr>
              <w:spacing w:line="360" w:lineRule="exact"/>
              <w:jc w:val="center"/>
              <w:rPr>
                <w:sz w:val="21"/>
                <w:szCs w:val="21"/>
              </w:rPr>
            </w:pPr>
            <w:r>
              <w:rPr>
                <w:sz w:val="21"/>
                <w:szCs w:val="21"/>
              </w:rPr>
              <w:t>20.0</w:t>
            </w:r>
          </w:p>
        </w:tc>
      </w:tr>
      <w:tr w:rsidR="00240BCE">
        <w:tc>
          <w:tcPr>
            <w:tcW w:w="365" w:type="dxa"/>
            <w:vMerge/>
            <w:vAlign w:val="center"/>
          </w:tcPr>
          <w:p w:rsidR="00240BCE" w:rsidRDefault="00240BCE">
            <w:pPr>
              <w:widowControl/>
              <w:spacing w:line="360" w:lineRule="exact"/>
              <w:jc w:val="left"/>
              <w:rPr>
                <w:sz w:val="21"/>
                <w:szCs w:val="21"/>
              </w:rPr>
            </w:pPr>
          </w:p>
        </w:tc>
        <w:tc>
          <w:tcPr>
            <w:tcW w:w="1351" w:type="dxa"/>
            <w:gridSpan w:val="2"/>
            <w:vAlign w:val="center"/>
          </w:tcPr>
          <w:p w:rsidR="00240BCE" w:rsidRDefault="00AC0334">
            <w:pPr>
              <w:spacing w:line="360" w:lineRule="exact"/>
              <w:jc w:val="center"/>
              <w:rPr>
                <w:sz w:val="21"/>
                <w:szCs w:val="21"/>
              </w:rPr>
            </w:pPr>
            <w:r>
              <w:rPr>
                <w:sz w:val="21"/>
                <w:szCs w:val="21"/>
              </w:rPr>
              <w:t>噪声防治</w:t>
            </w:r>
          </w:p>
        </w:tc>
        <w:tc>
          <w:tcPr>
            <w:tcW w:w="5812" w:type="dxa"/>
            <w:gridSpan w:val="2"/>
          </w:tcPr>
          <w:p w:rsidR="00240BCE" w:rsidRDefault="00AC0334">
            <w:pPr>
              <w:spacing w:line="360" w:lineRule="exact"/>
              <w:rPr>
                <w:sz w:val="21"/>
                <w:szCs w:val="21"/>
              </w:rPr>
            </w:pPr>
            <w:r>
              <w:rPr>
                <w:sz w:val="21"/>
                <w:szCs w:val="21"/>
              </w:rPr>
              <w:t>采取低噪声设备，减振基础、安装消声器、室内密闭隔声、设置隔声门窗等降噪措施。</w:t>
            </w:r>
          </w:p>
        </w:tc>
        <w:tc>
          <w:tcPr>
            <w:tcW w:w="811" w:type="dxa"/>
            <w:vAlign w:val="center"/>
          </w:tcPr>
          <w:p w:rsidR="00240BCE" w:rsidRDefault="00AC0334">
            <w:pPr>
              <w:spacing w:line="360" w:lineRule="exact"/>
              <w:jc w:val="center"/>
              <w:rPr>
                <w:sz w:val="21"/>
                <w:szCs w:val="21"/>
              </w:rPr>
            </w:pPr>
            <w:r>
              <w:rPr>
                <w:sz w:val="21"/>
                <w:szCs w:val="21"/>
              </w:rPr>
              <w:t>厂界达标</w:t>
            </w:r>
          </w:p>
        </w:tc>
        <w:tc>
          <w:tcPr>
            <w:tcW w:w="748" w:type="dxa"/>
            <w:vAlign w:val="center"/>
          </w:tcPr>
          <w:p w:rsidR="00240BCE" w:rsidRDefault="00AC0334">
            <w:pPr>
              <w:spacing w:line="360" w:lineRule="exact"/>
              <w:jc w:val="center"/>
              <w:rPr>
                <w:sz w:val="21"/>
                <w:szCs w:val="21"/>
              </w:rPr>
            </w:pPr>
            <w:r>
              <w:rPr>
                <w:sz w:val="21"/>
                <w:szCs w:val="21"/>
              </w:rPr>
              <w:t>25.0</w:t>
            </w:r>
          </w:p>
        </w:tc>
      </w:tr>
      <w:tr w:rsidR="00240BCE">
        <w:tc>
          <w:tcPr>
            <w:tcW w:w="365" w:type="dxa"/>
            <w:vMerge/>
            <w:vAlign w:val="center"/>
          </w:tcPr>
          <w:p w:rsidR="00240BCE" w:rsidRDefault="00240BCE">
            <w:pPr>
              <w:widowControl/>
              <w:spacing w:line="360" w:lineRule="exact"/>
              <w:jc w:val="left"/>
              <w:rPr>
                <w:sz w:val="21"/>
                <w:szCs w:val="21"/>
              </w:rPr>
            </w:pPr>
          </w:p>
        </w:tc>
        <w:tc>
          <w:tcPr>
            <w:tcW w:w="392" w:type="dxa"/>
            <w:vMerge w:val="restart"/>
            <w:vAlign w:val="center"/>
          </w:tcPr>
          <w:p w:rsidR="00240BCE" w:rsidRDefault="00AC0334">
            <w:pPr>
              <w:spacing w:line="360" w:lineRule="exact"/>
              <w:jc w:val="center"/>
              <w:rPr>
                <w:sz w:val="21"/>
                <w:szCs w:val="21"/>
              </w:rPr>
            </w:pPr>
            <w:r>
              <w:rPr>
                <w:sz w:val="21"/>
                <w:szCs w:val="21"/>
              </w:rPr>
              <w:t>固废</w:t>
            </w:r>
          </w:p>
        </w:tc>
        <w:tc>
          <w:tcPr>
            <w:tcW w:w="959" w:type="dxa"/>
            <w:vAlign w:val="center"/>
          </w:tcPr>
          <w:p w:rsidR="00240BCE" w:rsidRDefault="00AC0334">
            <w:pPr>
              <w:spacing w:line="360" w:lineRule="exact"/>
              <w:jc w:val="center"/>
              <w:rPr>
                <w:sz w:val="21"/>
                <w:szCs w:val="21"/>
              </w:rPr>
            </w:pPr>
            <w:r>
              <w:rPr>
                <w:sz w:val="21"/>
                <w:szCs w:val="21"/>
              </w:rPr>
              <w:t>煤矸石</w:t>
            </w:r>
          </w:p>
        </w:tc>
        <w:tc>
          <w:tcPr>
            <w:tcW w:w="4536" w:type="dxa"/>
            <w:vAlign w:val="center"/>
          </w:tcPr>
          <w:p w:rsidR="00240BCE" w:rsidRDefault="00AC0334">
            <w:pPr>
              <w:spacing w:line="360" w:lineRule="exact"/>
              <w:jc w:val="center"/>
              <w:rPr>
                <w:sz w:val="21"/>
                <w:szCs w:val="21"/>
              </w:rPr>
            </w:pPr>
            <w:r>
              <w:rPr>
                <w:sz w:val="21"/>
                <w:szCs w:val="21"/>
              </w:rPr>
              <w:t>分拣后直接装车外售制砖</w:t>
            </w:r>
          </w:p>
        </w:tc>
        <w:tc>
          <w:tcPr>
            <w:tcW w:w="1276" w:type="dxa"/>
            <w:vAlign w:val="center"/>
          </w:tcPr>
          <w:p w:rsidR="00240BCE" w:rsidRDefault="00AC0334">
            <w:pPr>
              <w:spacing w:line="360" w:lineRule="exact"/>
              <w:jc w:val="center"/>
              <w:rPr>
                <w:sz w:val="21"/>
                <w:szCs w:val="21"/>
              </w:rPr>
            </w:pPr>
            <w:r>
              <w:rPr>
                <w:sz w:val="21"/>
                <w:szCs w:val="21"/>
              </w:rPr>
              <w:t>安全处置</w:t>
            </w:r>
          </w:p>
        </w:tc>
        <w:tc>
          <w:tcPr>
            <w:tcW w:w="811" w:type="dxa"/>
            <w:vAlign w:val="center"/>
          </w:tcPr>
          <w:p w:rsidR="00240BCE" w:rsidRDefault="00AC0334">
            <w:pPr>
              <w:spacing w:line="360" w:lineRule="exact"/>
              <w:jc w:val="center"/>
              <w:rPr>
                <w:sz w:val="21"/>
                <w:szCs w:val="21"/>
              </w:rPr>
            </w:pPr>
            <w:r>
              <w:rPr>
                <w:sz w:val="21"/>
                <w:szCs w:val="21"/>
              </w:rPr>
              <w:t>安全处置</w:t>
            </w:r>
          </w:p>
        </w:tc>
        <w:tc>
          <w:tcPr>
            <w:tcW w:w="748" w:type="dxa"/>
            <w:vAlign w:val="center"/>
          </w:tcPr>
          <w:p w:rsidR="00240BCE" w:rsidRDefault="00AC0334">
            <w:pPr>
              <w:spacing w:line="360" w:lineRule="exact"/>
              <w:jc w:val="center"/>
              <w:rPr>
                <w:sz w:val="21"/>
                <w:szCs w:val="21"/>
              </w:rPr>
            </w:pPr>
            <w:r>
              <w:rPr>
                <w:sz w:val="21"/>
                <w:szCs w:val="21"/>
              </w:rPr>
              <w:t>10.0</w:t>
            </w:r>
          </w:p>
        </w:tc>
      </w:tr>
      <w:tr w:rsidR="00240BCE">
        <w:tc>
          <w:tcPr>
            <w:tcW w:w="365" w:type="dxa"/>
            <w:vMerge/>
            <w:vAlign w:val="center"/>
          </w:tcPr>
          <w:p w:rsidR="00240BCE" w:rsidRDefault="00240BCE">
            <w:pPr>
              <w:widowControl/>
              <w:spacing w:line="360" w:lineRule="exact"/>
              <w:jc w:val="left"/>
              <w:rPr>
                <w:sz w:val="21"/>
                <w:szCs w:val="21"/>
              </w:rPr>
            </w:pPr>
          </w:p>
        </w:tc>
        <w:tc>
          <w:tcPr>
            <w:tcW w:w="392" w:type="dxa"/>
            <w:vMerge/>
            <w:vAlign w:val="center"/>
          </w:tcPr>
          <w:p w:rsidR="00240BCE" w:rsidRDefault="00240BCE">
            <w:pPr>
              <w:widowControl/>
              <w:spacing w:line="360" w:lineRule="exact"/>
              <w:jc w:val="left"/>
              <w:rPr>
                <w:sz w:val="21"/>
                <w:szCs w:val="21"/>
              </w:rPr>
            </w:pPr>
          </w:p>
        </w:tc>
        <w:tc>
          <w:tcPr>
            <w:tcW w:w="959" w:type="dxa"/>
            <w:vAlign w:val="center"/>
          </w:tcPr>
          <w:p w:rsidR="00240BCE" w:rsidRDefault="00AC0334">
            <w:pPr>
              <w:spacing w:line="360" w:lineRule="exact"/>
              <w:jc w:val="center"/>
              <w:rPr>
                <w:sz w:val="21"/>
                <w:szCs w:val="21"/>
              </w:rPr>
            </w:pPr>
            <w:r>
              <w:rPr>
                <w:sz w:val="21"/>
                <w:szCs w:val="21"/>
              </w:rPr>
              <w:t>生活垃圾</w:t>
            </w:r>
          </w:p>
        </w:tc>
        <w:tc>
          <w:tcPr>
            <w:tcW w:w="4536" w:type="dxa"/>
            <w:vAlign w:val="center"/>
          </w:tcPr>
          <w:p w:rsidR="00240BCE" w:rsidRDefault="00AC0334">
            <w:pPr>
              <w:spacing w:line="360" w:lineRule="exact"/>
              <w:jc w:val="center"/>
              <w:rPr>
                <w:sz w:val="21"/>
                <w:szCs w:val="21"/>
              </w:rPr>
            </w:pPr>
            <w:r>
              <w:rPr>
                <w:sz w:val="21"/>
                <w:szCs w:val="21"/>
              </w:rPr>
              <w:t>设置生活垃圾分类收集设施，经分类集中收集，统一清理</w:t>
            </w:r>
          </w:p>
        </w:tc>
        <w:tc>
          <w:tcPr>
            <w:tcW w:w="1276" w:type="dxa"/>
            <w:vAlign w:val="center"/>
          </w:tcPr>
          <w:p w:rsidR="00240BCE" w:rsidRDefault="00AC0334">
            <w:pPr>
              <w:spacing w:line="360" w:lineRule="exact"/>
              <w:jc w:val="center"/>
              <w:rPr>
                <w:sz w:val="21"/>
                <w:szCs w:val="21"/>
              </w:rPr>
            </w:pPr>
            <w:r>
              <w:rPr>
                <w:sz w:val="21"/>
                <w:szCs w:val="21"/>
              </w:rPr>
              <w:t>垃圾分类设施</w:t>
            </w:r>
          </w:p>
        </w:tc>
        <w:tc>
          <w:tcPr>
            <w:tcW w:w="811" w:type="dxa"/>
            <w:vAlign w:val="center"/>
          </w:tcPr>
          <w:p w:rsidR="00240BCE" w:rsidRDefault="00240BCE">
            <w:pPr>
              <w:spacing w:line="360" w:lineRule="exact"/>
              <w:jc w:val="center"/>
              <w:rPr>
                <w:sz w:val="21"/>
                <w:szCs w:val="21"/>
              </w:rPr>
            </w:pPr>
          </w:p>
        </w:tc>
        <w:tc>
          <w:tcPr>
            <w:tcW w:w="748" w:type="dxa"/>
            <w:vAlign w:val="center"/>
          </w:tcPr>
          <w:p w:rsidR="00240BCE" w:rsidRDefault="00AC0334">
            <w:pPr>
              <w:spacing w:line="360" w:lineRule="exact"/>
              <w:jc w:val="center"/>
              <w:rPr>
                <w:sz w:val="21"/>
                <w:szCs w:val="21"/>
              </w:rPr>
            </w:pPr>
            <w:r>
              <w:rPr>
                <w:sz w:val="21"/>
                <w:szCs w:val="21"/>
              </w:rPr>
              <w:t>1.5</w:t>
            </w:r>
          </w:p>
        </w:tc>
      </w:tr>
      <w:tr w:rsidR="00240BCE">
        <w:tc>
          <w:tcPr>
            <w:tcW w:w="365" w:type="dxa"/>
            <w:vMerge/>
            <w:vAlign w:val="center"/>
          </w:tcPr>
          <w:p w:rsidR="00240BCE" w:rsidRDefault="00240BCE">
            <w:pPr>
              <w:widowControl/>
              <w:spacing w:line="360" w:lineRule="exact"/>
              <w:jc w:val="left"/>
              <w:rPr>
                <w:sz w:val="21"/>
                <w:szCs w:val="21"/>
              </w:rPr>
            </w:pPr>
          </w:p>
        </w:tc>
        <w:tc>
          <w:tcPr>
            <w:tcW w:w="1351" w:type="dxa"/>
            <w:gridSpan w:val="2"/>
            <w:vAlign w:val="center"/>
          </w:tcPr>
          <w:p w:rsidR="00240BCE" w:rsidRDefault="00AC0334">
            <w:pPr>
              <w:spacing w:line="360" w:lineRule="exact"/>
              <w:jc w:val="center"/>
              <w:rPr>
                <w:sz w:val="21"/>
                <w:szCs w:val="21"/>
              </w:rPr>
            </w:pPr>
            <w:r>
              <w:rPr>
                <w:sz w:val="21"/>
                <w:szCs w:val="21"/>
              </w:rPr>
              <w:t>风险防范措施</w:t>
            </w:r>
          </w:p>
        </w:tc>
        <w:tc>
          <w:tcPr>
            <w:tcW w:w="5812" w:type="dxa"/>
            <w:gridSpan w:val="2"/>
            <w:vAlign w:val="center"/>
          </w:tcPr>
          <w:p w:rsidR="00240BCE" w:rsidRDefault="00AC0334">
            <w:pPr>
              <w:spacing w:line="360" w:lineRule="exact"/>
              <w:jc w:val="center"/>
              <w:rPr>
                <w:sz w:val="21"/>
                <w:szCs w:val="21"/>
              </w:rPr>
            </w:pPr>
            <w:r>
              <w:rPr>
                <w:sz w:val="21"/>
                <w:szCs w:val="21"/>
              </w:rPr>
              <w:t>制定环境灾害安全防范及应急措施</w:t>
            </w:r>
          </w:p>
        </w:tc>
        <w:tc>
          <w:tcPr>
            <w:tcW w:w="811" w:type="dxa"/>
            <w:vAlign w:val="center"/>
          </w:tcPr>
          <w:p w:rsidR="00240BCE" w:rsidRDefault="00240BCE">
            <w:pPr>
              <w:spacing w:line="360" w:lineRule="exact"/>
              <w:jc w:val="center"/>
              <w:rPr>
                <w:sz w:val="21"/>
                <w:szCs w:val="21"/>
              </w:rPr>
            </w:pPr>
          </w:p>
        </w:tc>
        <w:tc>
          <w:tcPr>
            <w:tcW w:w="748" w:type="dxa"/>
            <w:vAlign w:val="center"/>
          </w:tcPr>
          <w:p w:rsidR="00240BCE" w:rsidRDefault="00AC0334">
            <w:pPr>
              <w:spacing w:line="360" w:lineRule="exact"/>
              <w:jc w:val="center"/>
              <w:rPr>
                <w:sz w:val="21"/>
                <w:szCs w:val="21"/>
              </w:rPr>
            </w:pPr>
            <w:r>
              <w:rPr>
                <w:sz w:val="21"/>
                <w:szCs w:val="21"/>
              </w:rPr>
              <w:t>5.0</w:t>
            </w:r>
          </w:p>
        </w:tc>
      </w:tr>
      <w:tr w:rsidR="00240BCE">
        <w:tc>
          <w:tcPr>
            <w:tcW w:w="365" w:type="dxa"/>
            <w:vMerge/>
            <w:vAlign w:val="center"/>
          </w:tcPr>
          <w:p w:rsidR="00240BCE" w:rsidRDefault="00240BCE">
            <w:pPr>
              <w:widowControl/>
              <w:spacing w:line="360" w:lineRule="exact"/>
              <w:jc w:val="left"/>
              <w:rPr>
                <w:sz w:val="21"/>
                <w:szCs w:val="21"/>
              </w:rPr>
            </w:pPr>
          </w:p>
        </w:tc>
        <w:tc>
          <w:tcPr>
            <w:tcW w:w="1351" w:type="dxa"/>
            <w:gridSpan w:val="2"/>
            <w:vAlign w:val="center"/>
          </w:tcPr>
          <w:p w:rsidR="00240BCE" w:rsidRDefault="00AC0334">
            <w:pPr>
              <w:spacing w:line="360" w:lineRule="exact"/>
              <w:jc w:val="center"/>
              <w:rPr>
                <w:sz w:val="21"/>
                <w:szCs w:val="21"/>
              </w:rPr>
            </w:pPr>
            <w:r>
              <w:rPr>
                <w:sz w:val="21"/>
                <w:szCs w:val="21"/>
              </w:rPr>
              <w:t>环境监测</w:t>
            </w:r>
          </w:p>
        </w:tc>
        <w:tc>
          <w:tcPr>
            <w:tcW w:w="4536" w:type="dxa"/>
            <w:vAlign w:val="center"/>
          </w:tcPr>
          <w:p w:rsidR="00240BCE" w:rsidRDefault="00AC0334">
            <w:pPr>
              <w:spacing w:line="360" w:lineRule="exact"/>
              <w:jc w:val="center"/>
              <w:rPr>
                <w:sz w:val="21"/>
                <w:szCs w:val="21"/>
              </w:rPr>
            </w:pPr>
            <w:r>
              <w:rPr>
                <w:sz w:val="21"/>
                <w:szCs w:val="21"/>
              </w:rPr>
              <w:t>委托有资质的监测单位进行常规监测</w:t>
            </w:r>
          </w:p>
        </w:tc>
        <w:tc>
          <w:tcPr>
            <w:tcW w:w="1276" w:type="dxa"/>
            <w:vAlign w:val="center"/>
          </w:tcPr>
          <w:p w:rsidR="00240BCE" w:rsidRDefault="00AC0334">
            <w:pPr>
              <w:spacing w:line="360" w:lineRule="exact"/>
              <w:jc w:val="center"/>
              <w:rPr>
                <w:sz w:val="21"/>
                <w:szCs w:val="21"/>
              </w:rPr>
            </w:pPr>
            <w:r>
              <w:rPr>
                <w:sz w:val="21"/>
                <w:szCs w:val="21"/>
              </w:rPr>
              <w:t>常规监测</w:t>
            </w:r>
          </w:p>
        </w:tc>
        <w:tc>
          <w:tcPr>
            <w:tcW w:w="811" w:type="dxa"/>
            <w:vAlign w:val="center"/>
          </w:tcPr>
          <w:p w:rsidR="00240BCE" w:rsidRDefault="00240BCE">
            <w:pPr>
              <w:spacing w:line="360" w:lineRule="exact"/>
              <w:jc w:val="center"/>
              <w:rPr>
                <w:sz w:val="21"/>
                <w:szCs w:val="21"/>
              </w:rPr>
            </w:pPr>
          </w:p>
        </w:tc>
        <w:tc>
          <w:tcPr>
            <w:tcW w:w="748" w:type="dxa"/>
            <w:vAlign w:val="center"/>
          </w:tcPr>
          <w:p w:rsidR="00240BCE" w:rsidRDefault="00AC0334">
            <w:pPr>
              <w:spacing w:line="360" w:lineRule="exact"/>
              <w:jc w:val="center"/>
              <w:rPr>
                <w:sz w:val="21"/>
                <w:szCs w:val="21"/>
              </w:rPr>
            </w:pPr>
            <w:r>
              <w:rPr>
                <w:sz w:val="21"/>
                <w:szCs w:val="21"/>
              </w:rPr>
              <w:t>5.0</w:t>
            </w:r>
          </w:p>
        </w:tc>
      </w:tr>
      <w:tr w:rsidR="00240BCE">
        <w:tc>
          <w:tcPr>
            <w:tcW w:w="365" w:type="dxa"/>
            <w:vMerge/>
            <w:vAlign w:val="center"/>
          </w:tcPr>
          <w:p w:rsidR="00240BCE" w:rsidRDefault="00240BCE">
            <w:pPr>
              <w:widowControl/>
              <w:spacing w:line="360" w:lineRule="exact"/>
              <w:jc w:val="left"/>
              <w:rPr>
                <w:sz w:val="21"/>
                <w:szCs w:val="21"/>
              </w:rPr>
            </w:pPr>
          </w:p>
        </w:tc>
        <w:tc>
          <w:tcPr>
            <w:tcW w:w="1351" w:type="dxa"/>
            <w:gridSpan w:val="2"/>
            <w:vMerge w:val="restart"/>
            <w:vAlign w:val="center"/>
          </w:tcPr>
          <w:p w:rsidR="00240BCE" w:rsidRPr="00D16133" w:rsidRDefault="00AC0334">
            <w:pPr>
              <w:spacing w:line="360" w:lineRule="exact"/>
              <w:jc w:val="center"/>
              <w:rPr>
                <w:b/>
                <w:i/>
                <w:sz w:val="21"/>
                <w:szCs w:val="21"/>
                <w:u w:val="single"/>
              </w:rPr>
            </w:pPr>
            <w:r w:rsidRPr="00D16133">
              <w:rPr>
                <w:b/>
                <w:i/>
                <w:sz w:val="21"/>
                <w:szCs w:val="21"/>
                <w:u w:val="single"/>
              </w:rPr>
              <w:t>生态保护措施</w:t>
            </w:r>
          </w:p>
        </w:tc>
        <w:tc>
          <w:tcPr>
            <w:tcW w:w="5812" w:type="dxa"/>
            <w:gridSpan w:val="2"/>
            <w:vAlign w:val="center"/>
          </w:tcPr>
          <w:p w:rsidR="00240BCE" w:rsidRPr="00D16133" w:rsidRDefault="00AC0334">
            <w:pPr>
              <w:spacing w:line="360" w:lineRule="exact"/>
              <w:jc w:val="center"/>
              <w:rPr>
                <w:b/>
                <w:i/>
                <w:sz w:val="21"/>
                <w:szCs w:val="21"/>
                <w:u w:val="single"/>
              </w:rPr>
            </w:pPr>
            <w:r w:rsidRPr="00D16133">
              <w:rPr>
                <w:b/>
                <w:i/>
                <w:sz w:val="21"/>
                <w:szCs w:val="21"/>
                <w:u w:val="single"/>
              </w:rPr>
              <w:t>厂区场外绿化，厂区硬化、道路硬化、护坡、截排水沟等生态防护</w:t>
            </w:r>
          </w:p>
        </w:tc>
        <w:tc>
          <w:tcPr>
            <w:tcW w:w="811" w:type="dxa"/>
            <w:vAlign w:val="center"/>
          </w:tcPr>
          <w:p w:rsidR="00240BCE" w:rsidRPr="00D16133" w:rsidRDefault="00240BCE">
            <w:pPr>
              <w:spacing w:line="360" w:lineRule="exact"/>
              <w:jc w:val="center"/>
              <w:rPr>
                <w:b/>
                <w:i/>
                <w:sz w:val="21"/>
                <w:szCs w:val="21"/>
                <w:u w:val="single"/>
              </w:rPr>
            </w:pPr>
          </w:p>
        </w:tc>
        <w:tc>
          <w:tcPr>
            <w:tcW w:w="748" w:type="dxa"/>
            <w:vMerge w:val="restart"/>
            <w:vAlign w:val="center"/>
          </w:tcPr>
          <w:p w:rsidR="00240BCE" w:rsidRDefault="00AC0334">
            <w:pPr>
              <w:spacing w:line="360" w:lineRule="exact"/>
              <w:jc w:val="center"/>
              <w:rPr>
                <w:sz w:val="21"/>
                <w:szCs w:val="21"/>
              </w:rPr>
            </w:pPr>
            <w:r>
              <w:rPr>
                <w:sz w:val="21"/>
                <w:szCs w:val="21"/>
              </w:rPr>
              <w:t>计入生产投资，单列</w:t>
            </w:r>
          </w:p>
        </w:tc>
      </w:tr>
      <w:tr w:rsidR="00240BCE">
        <w:tc>
          <w:tcPr>
            <w:tcW w:w="365" w:type="dxa"/>
            <w:vMerge/>
            <w:vAlign w:val="center"/>
          </w:tcPr>
          <w:p w:rsidR="00240BCE" w:rsidRDefault="00240BCE">
            <w:pPr>
              <w:widowControl/>
              <w:spacing w:line="360" w:lineRule="exact"/>
              <w:jc w:val="left"/>
              <w:rPr>
                <w:sz w:val="21"/>
                <w:szCs w:val="21"/>
              </w:rPr>
            </w:pPr>
          </w:p>
        </w:tc>
        <w:tc>
          <w:tcPr>
            <w:tcW w:w="1351" w:type="dxa"/>
            <w:gridSpan w:val="2"/>
            <w:vMerge/>
            <w:vAlign w:val="center"/>
          </w:tcPr>
          <w:p w:rsidR="00240BCE" w:rsidRPr="00D16133" w:rsidRDefault="00240BCE">
            <w:pPr>
              <w:spacing w:line="360" w:lineRule="exact"/>
              <w:jc w:val="center"/>
              <w:rPr>
                <w:b/>
                <w:i/>
                <w:sz w:val="21"/>
                <w:szCs w:val="21"/>
                <w:u w:val="single"/>
              </w:rPr>
            </w:pPr>
          </w:p>
        </w:tc>
        <w:tc>
          <w:tcPr>
            <w:tcW w:w="4536" w:type="dxa"/>
            <w:vAlign w:val="center"/>
          </w:tcPr>
          <w:p w:rsidR="00240BCE" w:rsidRPr="00D16133" w:rsidRDefault="00AC0334">
            <w:pPr>
              <w:spacing w:line="360" w:lineRule="exact"/>
              <w:jc w:val="center"/>
              <w:rPr>
                <w:b/>
                <w:i/>
                <w:sz w:val="21"/>
                <w:szCs w:val="21"/>
                <w:u w:val="single"/>
              </w:rPr>
            </w:pPr>
            <w:r w:rsidRPr="00D16133">
              <w:rPr>
                <w:b/>
                <w:i/>
                <w:sz w:val="21"/>
                <w:szCs w:val="21"/>
                <w:u w:val="single"/>
              </w:rPr>
              <w:t>地表沉陷：</w:t>
            </w:r>
            <w:r w:rsidRPr="00D16133">
              <w:rPr>
                <w:b/>
                <w:i/>
                <w:kern w:val="0"/>
                <w:sz w:val="21"/>
                <w:szCs w:val="21"/>
                <w:u w:val="single"/>
              </w:rPr>
              <w:t>对于严重和极度损坏的村庄，予以搬迁；对于受到沉陷影响的农田，采取给予当地农民补偿、由农民自行复垦的方式治理；对于井田范围内的道路，采取定期巡查、随沉随填、及时维修。</w:t>
            </w:r>
          </w:p>
        </w:tc>
        <w:tc>
          <w:tcPr>
            <w:tcW w:w="1276" w:type="dxa"/>
            <w:vAlign w:val="center"/>
          </w:tcPr>
          <w:p w:rsidR="00240BCE" w:rsidRPr="00D16133" w:rsidRDefault="00AC0334">
            <w:pPr>
              <w:spacing w:line="360" w:lineRule="exact"/>
              <w:jc w:val="center"/>
              <w:rPr>
                <w:b/>
                <w:i/>
                <w:sz w:val="21"/>
                <w:szCs w:val="21"/>
                <w:u w:val="single"/>
              </w:rPr>
            </w:pPr>
            <w:r w:rsidRPr="00D16133">
              <w:rPr>
                <w:b/>
                <w:i/>
                <w:sz w:val="21"/>
                <w:szCs w:val="21"/>
                <w:u w:val="single"/>
              </w:rPr>
              <w:t>对沉陷造成影响的构筑物修补情况、耕地复耕情况、道路修补情况</w:t>
            </w:r>
          </w:p>
        </w:tc>
        <w:tc>
          <w:tcPr>
            <w:tcW w:w="811" w:type="dxa"/>
            <w:vAlign w:val="center"/>
          </w:tcPr>
          <w:p w:rsidR="00240BCE" w:rsidRPr="00D16133" w:rsidRDefault="00AC0334">
            <w:pPr>
              <w:spacing w:line="360" w:lineRule="exact"/>
              <w:jc w:val="center"/>
              <w:rPr>
                <w:b/>
                <w:i/>
                <w:sz w:val="21"/>
                <w:szCs w:val="21"/>
                <w:u w:val="single"/>
              </w:rPr>
            </w:pPr>
            <w:r w:rsidRPr="00D16133">
              <w:rPr>
                <w:b/>
                <w:i/>
                <w:sz w:val="21"/>
                <w:szCs w:val="21"/>
                <w:u w:val="single"/>
              </w:rPr>
              <w:t>生态恢复</w:t>
            </w:r>
          </w:p>
        </w:tc>
        <w:tc>
          <w:tcPr>
            <w:tcW w:w="748" w:type="dxa"/>
            <w:vMerge/>
            <w:vAlign w:val="center"/>
          </w:tcPr>
          <w:p w:rsidR="00240BCE" w:rsidRDefault="00240BCE">
            <w:pPr>
              <w:spacing w:line="360" w:lineRule="exact"/>
              <w:jc w:val="center"/>
              <w:rPr>
                <w:sz w:val="21"/>
                <w:szCs w:val="21"/>
              </w:rPr>
            </w:pPr>
          </w:p>
        </w:tc>
      </w:tr>
      <w:tr w:rsidR="00240BCE">
        <w:tc>
          <w:tcPr>
            <w:tcW w:w="365" w:type="dxa"/>
            <w:vAlign w:val="center"/>
          </w:tcPr>
          <w:p w:rsidR="00240BCE" w:rsidRDefault="00AC0334">
            <w:pPr>
              <w:spacing w:line="360" w:lineRule="exact"/>
              <w:jc w:val="center"/>
              <w:rPr>
                <w:sz w:val="21"/>
                <w:szCs w:val="21"/>
              </w:rPr>
            </w:pPr>
            <w:r>
              <w:rPr>
                <w:sz w:val="21"/>
                <w:szCs w:val="21"/>
              </w:rPr>
              <w:t>闭矿期</w:t>
            </w:r>
          </w:p>
        </w:tc>
        <w:tc>
          <w:tcPr>
            <w:tcW w:w="1351" w:type="dxa"/>
            <w:gridSpan w:val="2"/>
            <w:vAlign w:val="center"/>
          </w:tcPr>
          <w:p w:rsidR="00240BCE" w:rsidRDefault="00AC0334">
            <w:pPr>
              <w:spacing w:line="360" w:lineRule="exact"/>
              <w:jc w:val="center"/>
              <w:rPr>
                <w:sz w:val="21"/>
                <w:szCs w:val="21"/>
              </w:rPr>
            </w:pPr>
            <w:r>
              <w:rPr>
                <w:sz w:val="21"/>
                <w:szCs w:val="21"/>
              </w:rPr>
              <w:t>工业场地</w:t>
            </w:r>
          </w:p>
        </w:tc>
        <w:tc>
          <w:tcPr>
            <w:tcW w:w="4536" w:type="dxa"/>
            <w:vAlign w:val="center"/>
          </w:tcPr>
          <w:p w:rsidR="00240BCE" w:rsidRDefault="00AC0334">
            <w:pPr>
              <w:spacing w:line="360" w:lineRule="exact"/>
              <w:jc w:val="center"/>
              <w:rPr>
                <w:sz w:val="21"/>
                <w:szCs w:val="21"/>
              </w:rPr>
            </w:pPr>
            <w:r>
              <w:rPr>
                <w:spacing w:val="2"/>
                <w:sz w:val="21"/>
                <w:szCs w:val="21"/>
              </w:rPr>
              <w:t>回填封堵主井、副井、风井，拆除地面建筑物和设备，场地进行清理，恢复为林地</w:t>
            </w:r>
          </w:p>
        </w:tc>
        <w:tc>
          <w:tcPr>
            <w:tcW w:w="1276" w:type="dxa"/>
            <w:vAlign w:val="center"/>
          </w:tcPr>
          <w:p w:rsidR="00240BCE" w:rsidRDefault="00AC0334" w:rsidP="00257B79">
            <w:pPr>
              <w:spacing w:line="360" w:lineRule="exact"/>
              <w:jc w:val="center"/>
              <w:rPr>
                <w:sz w:val="21"/>
                <w:szCs w:val="21"/>
              </w:rPr>
            </w:pPr>
            <w:r>
              <w:rPr>
                <w:sz w:val="21"/>
                <w:szCs w:val="21"/>
              </w:rPr>
              <w:t>恢复为林地，面积</w:t>
            </w:r>
            <w:r>
              <w:rPr>
                <w:sz w:val="21"/>
                <w:szCs w:val="21"/>
              </w:rPr>
              <w:t>1.</w:t>
            </w:r>
            <w:r w:rsidR="00257B79">
              <w:rPr>
                <w:rFonts w:hint="eastAsia"/>
                <w:sz w:val="21"/>
                <w:szCs w:val="21"/>
              </w:rPr>
              <w:t>92</w:t>
            </w:r>
            <w:r>
              <w:rPr>
                <w:sz w:val="21"/>
                <w:szCs w:val="21"/>
              </w:rPr>
              <w:t>hm</w:t>
            </w:r>
            <w:r>
              <w:rPr>
                <w:sz w:val="21"/>
                <w:szCs w:val="21"/>
                <w:vertAlign w:val="superscript"/>
              </w:rPr>
              <w:t>2</w:t>
            </w:r>
          </w:p>
        </w:tc>
        <w:tc>
          <w:tcPr>
            <w:tcW w:w="811" w:type="dxa"/>
            <w:vAlign w:val="center"/>
          </w:tcPr>
          <w:p w:rsidR="00240BCE" w:rsidRDefault="00AC0334">
            <w:pPr>
              <w:spacing w:line="360" w:lineRule="exact"/>
              <w:jc w:val="center"/>
              <w:rPr>
                <w:sz w:val="21"/>
                <w:szCs w:val="21"/>
              </w:rPr>
            </w:pPr>
            <w:r>
              <w:rPr>
                <w:sz w:val="21"/>
                <w:szCs w:val="21"/>
              </w:rPr>
              <w:t>生态恢复</w:t>
            </w:r>
          </w:p>
        </w:tc>
        <w:tc>
          <w:tcPr>
            <w:tcW w:w="748" w:type="dxa"/>
            <w:vAlign w:val="center"/>
          </w:tcPr>
          <w:p w:rsidR="00240BCE" w:rsidRDefault="00AC0334">
            <w:pPr>
              <w:spacing w:line="360" w:lineRule="exact"/>
              <w:jc w:val="center"/>
              <w:rPr>
                <w:sz w:val="21"/>
                <w:szCs w:val="21"/>
              </w:rPr>
            </w:pPr>
            <w:r>
              <w:rPr>
                <w:sz w:val="21"/>
                <w:szCs w:val="21"/>
              </w:rPr>
              <w:t>35.0</w:t>
            </w:r>
          </w:p>
        </w:tc>
      </w:tr>
      <w:tr w:rsidR="00240BCE">
        <w:tc>
          <w:tcPr>
            <w:tcW w:w="1716" w:type="dxa"/>
            <w:gridSpan w:val="3"/>
            <w:vAlign w:val="center"/>
          </w:tcPr>
          <w:p w:rsidR="00240BCE" w:rsidRDefault="00AC0334">
            <w:pPr>
              <w:spacing w:line="360" w:lineRule="exact"/>
              <w:jc w:val="center"/>
              <w:rPr>
                <w:sz w:val="21"/>
                <w:szCs w:val="21"/>
              </w:rPr>
            </w:pPr>
            <w:r>
              <w:rPr>
                <w:sz w:val="21"/>
                <w:szCs w:val="21"/>
              </w:rPr>
              <w:t>合计</w:t>
            </w:r>
          </w:p>
        </w:tc>
        <w:tc>
          <w:tcPr>
            <w:tcW w:w="4536" w:type="dxa"/>
            <w:vAlign w:val="center"/>
          </w:tcPr>
          <w:p w:rsidR="00240BCE" w:rsidRDefault="00240BCE">
            <w:pPr>
              <w:spacing w:line="360" w:lineRule="exact"/>
              <w:jc w:val="center"/>
              <w:rPr>
                <w:spacing w:val="2"/>
                <w:sz w:val="21"/>
                <w:szCs w:val="21"/>
              </w:rPr>
            </w:pPr>
          </w:p>
        </w:tc>
        <w:tc>
          <w:tcPr>
            <w:tcW w:w="1276" w:type="dxa"/>
            <w:vAlign w:val="center"/>
          </w:tcPr>
          <w:p w:rsidR="00240BCE" w:rsidRDefault="00240BCE">
            <w:pPr>
              <w:spacing w:line="360" w:lineRule="exact"/>
              <w:jc w:val="center"/>
              <w:rPr>
                <w:sz w:val="21"/>
                <w:szCs w:val="21"/>
              </w:rPr>
            </w:pPr>
          </w:p>
        </w:tc>
        <w:tc>
          <w:tcPr>
            <w:tcW w:w="811" w:type="dxa"/>
            <w:vAlign w:val="center"/>
          </w:tcPr>
          <w:p w:rsidR="00240BCE" w:rsidRDefault="00240BCE">
            <w:pPr>
              <w:spacing w:line="360" w:lineRule="exact"/>
              <w:jc w:val="center"/>
              <w:rPr>
                <w:sz w:val="21"/>
                <w:szCs w:val="21"/>
              </w:rPr>
            </w:pPr>
          </w:p>
        </w:tc>
        <w:tc>
          <w:tcPr>
            <w:tcW w:w="748" w:type="dxa"/>
            <w:vAlign w:val="center"/>
          </w:tcPr>
          <w:p w:rsidR="00240BCE" w:rsidRDefault="00AC0334">
            <w:pPr>
              <w:spacing w:line="360" w:lineRule="exact"/>
              <w:jc w:val="center"/>
              <w:rPr>
                <w:sz w:val="21"/>
                <w:szCs w:val="21"/>
              </w:rPr>
            </w:pPr>
            <w:r>
              <w:rPr>
                <w:sz w:val="21"/>
                <w:szCs w:val="21"/>
              </w:rPr>
              <w:t>335.6</w:t>
            </w:r>
          </w:p>
        </w:tc>
      </w:tr>
    </w:tbl>
    <w:p w:rsidR="00240BCE" w:rsidRDefault="00240BCE">
      <w:pPr>
        <w:pStyle w:val="a1"/>
      </w:pPr>
    </w:p>
    <w:p w:rsidR="00240BCE" w:rsidRDefault="00AC0334">
      <w:pPr>
        <w:keepNext/>
        <w:keepLines/>
        <w:spacing w:before="120" w:after="120" w:line="360" w:lineRule="auto"/>
        <w:jc w:val="center"/>
        <w:outlineLvl w:val="0"/>
        <w:rPr>
          <w:b/>
          <w:bCs/>
          <w:kern w:val="44"/>
          <w:sz w:val="36"/>
          <w:szCs w:val="36"/>
        </w:rPr>
      </w:pPr>
      <w:bookmarkStart w:id="848" w:name="_Toc54305293"/>
      <w:bookmarkStart w:id="849" w:name="_Toc316979429"/>
      <w:r>
        <w:rPr>
          <w:b/>
          <w:bCs/>
          <w:kern w:val="44"/>
          <w:sz w:val="36"/>
          <w:szCs w:val="36"/>
        </w:rPr>
        <w:br w:type="page"/>
      </w:r>
      <w:bookmarkStart w:id="850" w:name="_Toc81934399"/>
      <w:r>
        <w:rPr>
          <w:b/>
          <w:bCs/>
          <w:kern w:val="44"/>
          <w:sz w:val="36"/>
          <w:szCs w:val="36"/>
        </w:rPr>
        <w:lastRenderedPageBreak/>
        <w:t xml:space="preserve">8 </w:t>
      </w:r>
      <w:r>
        <w:rPr>
          <w:b/>
          <w:bCs/>
          <w:kern w:val="44"/>
          <w:sz w:val="36"/>
          <w:szCs w:val="36"/>
        </w:rPr>
        <w:t>环境经济损益分析</w:t>
      </w:r>
      <w:bookmarkEnd w:id="848"/>
      <w:bookmarkEnd w:id="849"/>
      <w:bookmarkEnd w:id="850"/>
    </w:p>
    <w:p w:rsidR="00240BCE" w:rsidRDefault="00AC0334">
      <w:pPr>
        <w:spacing w:line="500" w:lineRule="exact"/>
        <w:ind w:firstLineChars="200" w:firstLine="480"/>
        <w:textAlignment w:val="baseline"/>
        <w:rPr>
          <w:sz w:val="24"/>
        </w:rPr>
      </w:pPr>
      <w:r>
        <w:rPr>
          <w:sz w:val="24"/>
        </w:rPr>
        <w:t>根据可持续发展的要求，环保应与社会、经济协调发展，建设项目应加强环境保护工作，防止污染环境和影响项目周围坏境质量，同时做好污染源的治理工作。环境经济损益分析采用定量及定性分析相结合的方式，综合评价建设项目的经济效益、社会效益和环境效益，并重点对项目环境保护措施费用效益进行分析论证，从而评价整个项目实施后对环境的总体影响及环保措施方案的经济合理性，为项目建设提供可靠依据。</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51" w:name="_Toc79668730"/>
      <w:bookmarkStart w:id="852" w:name="_Toc81934400"/>
      <w:r>
        <w:rPr>
          <w:rFonts w:ascii="Times New Roman" w:eastAsia="宋体" w:hAnsi="Times New Roman"/>
          <w:bCs/>
          <w:szCs w:val="32"/>
        </w:rPr>
        <w:t xml:space="preserve">8.1 </w:t>
      </w:r>
      <w:r>
        <w:rPr>
          <w:rFonts w:ascii="Times New Roman" w:eastAsia="宋体" w:hAnsi="Times New Roman"/>
          <w:bCs/>
          <w:szCs w:val="32"/>
        </w:rPr>
        <w:t>环境保护工程投资分析</w:t>
      </w:r>
      <w:bookmarkEnd w:id="851"/>
      <w:bookmarkEnd w:id="852"/>
    </w:p>
    <w:p w:rsidR="00240BCE" w:rsidRDefault="00AC0334">
      <w:pPr>
        <w:autoSpaceDE w:val="0"/>
        <w:autoSpaceDN w:val="0"/>
        <w:adjustRightInd w:val="0"/>
        <w:spacing w:line="520" w:lineRule="exact"/>
        <w:ind w:firstLineChars="200" w:firstLine="480"/>
        <w:jc w:val="left"/>
        <w:rPr>
          <w:kern w:val="0"/>
          <w:sz w:val="24"/>
        </w:rPr>
      </w:pPr>
      <w:r>
        <w:rPr>
          <w:kern w:val="0"/>
          <w:sz w:val="24"/>
        </w:rPr>
        <w:t>本项目建设的环境保护内容包括污废水处理、环境空气污染防治、固体废物处置、噪声防治、居民环境搬迁与安置等。根据各项建设内容及当地实际，本项目</w:t>
      </w:r>
      <w:r>
        <w:rPr>
          <w:sz w:val="24"/>
        </w:rPr>
        <w:t>营运期及闭矿期各项工程污染防治及生态保护措施及环保投资估算分别见表</w:t>
      </w:r>
      <w:r>
        <w:rPr>
          <w:sz w:val="24"/>
        </w:rPr>
        <w:t>7.5-1</w:t>
      </w:r>
      <w:r>
        <w:rPr>
          <w:sz w:val="24"/>
        </w:rPr>
        <w:t>。</w:t>
      </w:r>
      <w:r>
        <w:rPr>
          <w:kern w:val="0"/>
          <w:sz w:val="24"/>
        </w:rPr>
        <w:t>项目总投资</w:t>
      </w:r>
      <w:r>
        <w:rPr>
          <w:kern w:val="0"/>
          <w:sz w:val="24"/>
        </w:rPr>
        <w:t>5099.61</w:t>
      </w:r>
      <w:r>
        <w:rPr>
          <w:kern w:val="0"/>
          <w:sz w:val="24"/>
        </w:rPr>
        <w:t>万元，其中环保投资</w:t>
      </w:r>
      <w:r>
        <w:rPr>
          <w:kern w:val="0"/>
          <w:sz w:val="24"/>
        </w:rPr>
        <w:t>335.6</w:t>
      </w:r>
      <w:r>
        <w:rPr>
          <w:kern w:val="0"/>
          <w:sz w:val="24"/>
        </w:rPr>
        <w:t>万元，占总投资的</w:t>
      </w:r>
      <w:r>
        <w:rPr>
          <w:kern w:val="0"/>
          <w:sz w:val="24"/>
        </w:rPr>
        <w:t>6.58%</w:t>
      </w:r>
      <w:r>
        <w:rPr>
          <w:kern w:val="0"/>
          <w:sz w:val="24"/>
        </w:rPr>
        <w:t>。</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53" w:name="_Toc79668731"/>
      <w:bookmarkStart w:id="854" w:name="_Toc81934401"/>
      <w:r>
        <w:rPr>
          <w:rFonts w:ascii="Times New Roman" w:eastAsia="宋体" w:hAnsi="Times New Roman"/>
          <w:bCs/>
          <w:szCs w:val="32"/>
        </w:rPr>
        <w:t xml:space="preserve">8.2 </w:t>
      </w:r>
      <w:r>
        <w:rPr>
          <w:rFonts w:ascii="Times New Roman" w:eastAsia="宋体" w:hAnsi="Times New Roman"/>
          <w:bCs/>
          <w:szCs w:val="32"/>
        </w:rPr>
        <w:t>环境经济损益分析及评价</w:t>
      </w:r>
      <w:bookmarkEnd w:id="853"/>
      <w:bookmarkEnd w:id="854"/>
    </w:p>
    <w:p w:rsidR="00240BCE" w:rsidRDefault="00AC0334" w:rsidP="009C5F33">
      <w:pPr>
        <w:pStyle w:val="30"/>
        <w:adjustRightInd w:val="0"/>
        <w:snapToGrid w:val="0"/>
        <w:spacing w:beforeLines="70" w:afterLines="30" w:line="240" w:lineRule="auto"/>
        <w:jc w:val="left"/>
        <w:rPr>
          <w:rFonts w:eastAsia="楷体"/>
          <w:sz w:val="28"/>
          <w:szCs w:val="28"/>
        </w:rPr>
      </w:pPr>
      <w:bookmarkStart w:id="855" w:name="_Toc79668732"/>
      <w:r>
        <w:rPr>
          <w:rFonts w:eastAsia="楷体"/>
          <w:sz w:val="28"/>
          <w:szCs w:val="28"/>
        </w:rPr>
        <w:t xml:space="preserve">8.2.1 </w:t>
      </w:r>
      <w:r>
        <w:rPr>
          <w:rFonts w:eastAsia="楷体"/>
          <w:sz w:val="28"/>
          <w:szCs w:val="28"/>
        </w:rPr>
        <w:t>社会效益分析</w:t>
      </w:r>
      <w:bookmarkEnd w:id="855"/>
    </w:p>
    <w:p w:rsidR="00240BCE" w:rsidRDefault="00AC0334">
      <w:pPr>
        <w:spacing w:line="480" w:lineRule="exact"/>
        <w:ind w:firstLineChars="200" w:firstLine="480"/>
        <w:rPr>
          <w:sz w:val="24"/>
        </w:rPr>
      </w:pPr>
      <w:r>
        <w:rPr>
          <w:sz w:val="24"/>
        </w:rPr>
        <w:t>本技改工程必定会对煤矿周围的社会经济带来一系列影响，简要分析如下：</w:t>
      </w:r>
    </w:p>
    <w:p w:rsidR="00240BCE" w:rsidRDefault="00AC0334">
      <w:pPr>
        <w:spacing w:line="480" w:lineRule="exact"/>
        <w:ind w:firstLine="480"/>
        <w:rPr>
          <w:sz w:val="24"/>
        </w:rPr>
      </w:pPr>
      <w:r>
        <w:rPr>
          <w:sz w:val="24"/>
        </w:rPr>
        <w:t>1</w:t>
      </w:r>
      <w:r>
        <w:rPr>
          <w:sz w:val="24"/>
        </w:rPr>
        <w:t>、人口密度及人口构成</w:t>
      </w:r>
    </w:p>
    <w:p w:rsidR="00240BCE" w:rsidRDefault="00AC0334">
      <w:pPr>
        <w:spacing w:line="480" w:lineRule="exact"/>
        <w:ind w:firstLineChars="200" w:firstLine="480"/>
        <w:rPr>
          <w:sz w:val="24"/>
        </w:rPr>
      </w:pPr>
      <w:r>
        <w:rPr>
          <w:sz w:val="24"/>
        </w:rPr>
        <w:t>项目建设期和运营期将会使当地人口及人口密度有所增加，从事非农业的人员增加较多，同时随着商业、服务业等第三产业的兴起，从事非农业的人员数将会不断增加。</w:t>
      </w:r>
    </w:p>
    <w:p w:rsidR="00240BCE" w:rsidRDefault="00AC0334">
      <w:pPr>
        <w:spacing w:line="480" w:lineRule="exact"/>
        <w:ind w:firstLineChars="200" w:firstLine="480"/>
        <w:rPr>
          <w:sz w:val="24"/>
        </w:rPr>
      </w:pPr>
      <w:r>
        <w:rPr>
          <w:sz w:val="24"/>
        </w:rPr>
        <w:t>2</w:t>
      </w:r>
      <w:r>
        <w:rPr>
          <w:sz w:val="24"/>
        </w:rPr>
        <w:t>、土地资源及农业生产结构</w:t>
      </w:r>
    </w:p>
    <w:p w:rsidR="00240BCE" w:rsidRDefault="00AC0334">
      <w:pPr>
        <w:spacing w:line="480" w:lineRule="exact"/>
        <w:ind w:firstLineChars="200" w:firstLine="480"/>
        <w:rPr>
          <w:sz w:val="24"/>
        </w:rPr>
      </w:pPr>
      <w:r>
        <w:rPr>
          <w:sz w:val="24"/>
        </w:rPr>
        <w:t>技改工程完成后，</w:t>
      </w:r>
      <w:r>
        <w:rPr>
          <w:bCs/>
          <w:sz w:val="24"/>
        </w:rPr>
        <w:t>矿井总占地面积</w:t>
      </w:r>
      <w:r>
        <w:rPr>
          <w:bCs/>
          <w:sz w:val="24"/>
        </w:rPr>
        <w:t>1.</w:t>
      </w:r>
      <w:r w:rsidR="00257B79">
        <w:rPr>
          <w:rFonts w:hint="eastAsia"/>
          <w:bCs/>
          <w:sz w:val="24"/>
        </w:rPr>
        <w:t>92</w:t>
      </w:r>
      <w:r>
        <w:rPr>
          <w:bCs/>
          <w:sz w:val="24"/>
        </w:rPr>
        <w:t>hm</w:t>
      </w:r>
      <w:r>
        <w:rPr>
          <w:bCs/>
          <w:sz w:val="24"/>
          <w:vertAlign w:val="superscript"/>
        </w:rPr>
        <w:t>2</w:t>
      </w:r>
      <w:r>
        <w:rPr>
          <w:rFonts w:hint="eastAsia"/>
          <w:bCs/>
          <w:sz w:val="24"/>
        </w:rPr>
        <w:t>，</w:t>
      </w:r>
      <w:r>
        <w:rPr>
          <w:bCs/>
          <w:sz w:val="24"/>
        </w:rPr>
        <w:t>利用原有工业场地，没有新增占地。因此，矿井永久占地不会</w:t>
      </w:r>
      <w:r>
        <w:rPr>
          <w:sz w:val="24"/>
        </w:rPr>
        <w:t>使井田范围内人均耕地有所减少，也不会影响到农业生产结构。</w:t>
      </w:r>
    </w:p>
    <w:p w:rsidR="00240BCE" w:rsidRDefault="00AC0334">
      <w:pPr>
        <w:spacing w:line="480" w:lineRule="exact"/>
        <w:ind w:firstLineChars="200" w:firstLine="480"/>
        <w:rPr>
          <w:sz w:val="24"/>
        </w:rPr>
      </w:pPr>
      <w:r>
        <w:rPr>
          <w:sz w:val="24"/>
        </w:rPr>
        <w:t>3</w:t>
      </w:r>
      <w:r>
        <w:rPr>
          <w:sz w:val="24"/>
        </w:rPr>
        <w:t>、就业收入</w:t>
      </w:r>
    </w:p>
    <w:p w:rsidR="00240BCE" w:rsidRDefault="00AC0334">
      <w:pPr>
        <w:spacing w:line="480" w:lineRule="exact"/>
        <w:ind w:firstLineChars="200" w:firstLine="480"/>
        <w:rPr>
          <w:sz w:val="24"/>
        </w:rPr>
      </w:pPr>
      <w:r>
        <w:rPr>
          <w:sz w:val="24"/>
        </w:rPr>
        <w:lastRenderedPageBreak/>
        <w:t>隆庆煤矿及其配套设施的建设，将给当地提供大量的就业机会，增加劳动利用率。矿井建成投产后，对改变当地产业结构，带动当地建材业、加工业、交通运输业和第三产业等的发展起到积极的促进作用，有利于提高当地居民的生活水平和生活质量。</w:t>
      </w:r>
    </w:p>
    <w:p w:rsidR="00240BCE" w:rsidRDefault="00AC0334">
      <w:pPr>
        <w:spacing w:line="480" w:lineRule="exact"/>
        <w:ind w:firstLineChars="200" w:firstLine="480"/>
        <w:rPr>
          <w:sz w:val="24"/>
        </w:rPr>
      </w:pPr>
      <w:r>
        <w:rPr>
          <w:sz w:val="24"/>
        </w:rPr>
        <w:t>4</w:t>
      </w:r>
      <w:r>
        <w:rPr>
          <w:sz w:val="24"/>
        </w:rPr>
        <w:t>、科教卫生</w:t>
      </w:r>
    </w:p>
    <w:p w:rsidR="00240BCE" w:rsidRDefault="00AC0334">
      <w:pPr>
        <w:pStyle w:val="ac"/>
        <w:spacing w:line="480" w:lineRule="exact"/>
        <w:ind w:firstLineChars="200" w:firstLine="488"/>
        <w:rPr>
          <w:color w:val="auto"/>
          <w:sz w:val="24"/>
        </w:rPr>
      </w:pPr>
      <w:r>
        <w:rPr>
          <w:color w:val="auto"/>
          <w:sz w:val="24"/>
        </w:rPr>
        <w:t>建设现代化矿井，将需要一批技术人员和技术工人，因此就会刺激本区出现许多素质较高的、智力型劳动力，有利于提高周围人群的文化修养，另外矿井的建设发展，要保障职工的生活福利，改善职工的生活水平，因此将会扩建配套的公共服务设施，如医疗保健站、交通用车、先进的通讯系统等，这些也必将促进当地的交通事业、广播通讯事业、文化卫生事业等积极发展，使人们的文化娱乐生活得到明显的充实，有利于精神文明的建设。</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56" w:name="_Toc79668733"/>
      <w:r>
        <w:rPr>
          <w:rFonts w:eastAsia="楷体"/>
          <w:sz w:val="28"/>
          <w:szCs w:val="28"/>
        </w:rPr>
        <w:t xml:space="preserve">8.2.2 </w:t>
      </w:r>
      <w:r>
        <w:rPr>
          <w:rFonts w:eastAsia="楷体"/>
          <w:sz w:val="28"/>
          <w:szCs w:val="28"/>
        </w:rPr>
        <w:t>经济效益分析</w:t>
      </w:r>
      <w:bookmarkEnd w:id="856"/>
    </w:p>
    <w:p w:rsidR="00240BCE" w:rsidRDefault="00AC0334">
      <w:pPr>
        <w:spacing w:line="520" w:lineRule="exact"/>
        <w:ind w:firstLineChars="200" w:firstLine="480"/>
        <w:rPr>
          <w:sz w:val="24"/>
        </w:rPr>
      </w:pPr>
      <w:r>
        <w:rPr>
          <w:sz w:val="24"/>
        </w:rPr>
        <w:t>隆庆煤矿技改工程总投资</w:t>
      </w:r>
      <w:r>
        <w:rPr>
          <w:sz w:val="24"/>
        </w:rPr>
        <w:t>5099.61</w:t>
      </w:r>
      <w:r>
        <w:rPr>
          <w:sz w:val="24"/>
        </w:rPr>
        <w:t>万元，通过对邻近生产矿井相同煤层、相同煤质的煤价调查，同时结合近期类似品种煤煤炭的含税综合售价，经分析测算，确定该矿井煤炭的含税综合售价为</w:t>
      </w:r>
      <w:r>
        <w:rPr>
          <w:sz w:val="24"/>
        </w:rPr>
        <w:t>300</w:t>
      </w:r>
      <w:r>
        <w:rPr>
          <w:sz w:val="24"/>
        </w:rPr>
        <w:t>元</w:t>
      </w:r>
      <w:r>
        <w:rPr>
          <w:sz w:val="24"/>
        </w:rPr>
        <w:t>/</w:t>
      </w:r>
      <w:r>
        <w:rPr>
          <w:sz w:val="24"/>
        </w:rPr>
        <w:t>吨。投资回收期</w:t>
      </w:r>
      <w:r>
        <w:rPr>
          <w:sz w:val="24"/>
        </w:rPr>
        <w:t>5.2</w:t>
      </w:r>
      <w:r>
        <w:rPr>
          <w:sz w:val="24"/>
        </w:rPr>
        <w:t>年，而矿井服务年限</w:t>
      </w:r>
      <w:r>
        <w:rPr>
          <w:sz w:val="24"/>
        </w:rPr>
        <w:t>11.6</w:t>
      </w:r>
      <w:r>
        <w:rPr>
          <w:sz w:val="24"/>
        </w:rPr>
        <w:t>年，回收期相对较短，表明项目建成后具有很好的财务盈利能力，经济效益很好。</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57" w:name="_Toc79668734"/>
      <w:r>
        <w:rPr>
          <w:rFonts w:eastAsia="楷体"/>
          <w:sz w:val="28"/>
          <w:szCs w:val="28"/>
        </w:rPr>
        <w:t xml:space="preserve">8.2.3 </w:t>
      </w:r>
      <w:r>
        <w:rPr>
          <w:rFonts w:eastAsia="楷体"/>
          <w:sz w:val="28"/>
          <w:szCs w:val="28"/>
        </w:rPr>
        <w:t>环境经济损益分析</w:t>
      </w:r>
      <w:bookmarkEnd w:id="857"/>
    </w:p>
    <w:p w:rsidR="00240BCE" w:rsidRDefault="00AC0334">
      <w:pPr>
        <w:pStyle w:val="ae"/>
        <w:spacing w:line="520" w:lineRule="exact"/>
        <w:rPr>
          <w:rFonts w:ascii="Times New Roman" w:hAnsi="Times New Roman"/>
          <w:sz w:val="24"/>
        </w:rPr>
      </w:pPr>
      <w:r>
        <w:rPr>
          <w:rFonts w:ascii="Times New Roman" w:hAnsi="Times New Roman"/>
          <w:sz w:val="24"/>
        </w:rPr>
        <w:t>8.2.3.1</w:t>
      </w:r>
      <w:r>
        <w:rPr>
          <w:rFonts w:ascii="Times New Roman" w:hAnsi="Times New Roman"/>
          <w:sz w:val="24"/>
        </w:rPr>
        <w:t>环境保护工程投资估算与分析</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根据</w:t>
      </w:r>
      <w:r>
        <w:rPr>
          <w:rFonts w:ascii="Times New Roman" w:hAnsi="Times New Roman"/>
          <w:sz w:val="24"/>
        </w:rPr>
        <w:t>(87)</w:t>
      </w:r>
      <w:r>
        <w:rPr>
          <w:rFonts w:ascii="Times New Roman" w:hAnsi="Times New Roman"/>
          <w:sz w:val="24"/>
        </w:rPr>
        <w:t>国环字第</w:t>
      </w:r>
      <w:r>
        <w:rPr>
          <w:rFonts w:ascii="Times New Roman" w:hAnsi="Times New Roman"/>
          <w:sz w:val="24"/>
        </w:rPr>
        <w:t>002</w:t>
      </w:r>
      <w:r>
        <w:rPr>
          <w:rFonts w:ascii="Times New Roman" w:hAnsi="Times New Roman"/>
          <w:sz w:val="24"/>
        </w:rPr>
        <w:t>号《建设项目环境保护设计规定》文件中第六十二条规定及项目实际情况，计划环境保护投资的环境保护工程设施按下述原则确定：</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、凡属污染治理和保护环境所需的装置、设备、监测手段和工程设施等均属环境保护设施。</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、生产需要又为环境保护服务的设施。</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、外排废弃物的运载设施、回收及综合利用设施、堆存场地的建设和征地费用列入生产投资；为了保护环境所采取的防粉尘飞扬以及绿化设施所需资金均属环境</w:t>
      </w:r>
      <w:r>
        <w:rPr>
          <w:rFonts w:ascii="Times New Roman" w:hAnsi="Times New Roman"/>
          <w:sz w:val="24"/>
        </w:rPr>
        <w:lastRenderedPageBreak/>
        <w:t>保护投资。</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根据以上原则，结合本矿环境治理特点，其环境保护设施主要包括矿井排水处理和利用、</w:t>
      </w:r>
      <w:r w:rsidR="00802A62">
        <w:rPr>
          <w:rFonts w:ascii="Times New Roman" w:hAnsi="Times New Roman"/>
          <w:sz w:val="24"/>
        </w:rPr>
        <w:t>储煤库</w:t>
      </w:r>
      <w:r>
        <w:rPr>
          <w:rFonts w:ascii="Times New Roman" w:hAnsi="Times New Roman"/>
          <w:sz w:val="24"/>
        </w:rPr>
        <w:t>防尘、噪声防护及生态恢复、水土保持等，本矿井环境保护投资</w:t>
      </w:r>
      <w:r>
        <w:rPr>
          <w:rFonts w:ascii="Times New Roman" w:hAnsi="Times New Roman"/>
          <w:sz w:val="24"/>
        </w:rPr>
        <w:t>335.6</w:t>
      </w:r>
      <w:r>
        <w:rPr>
          <w:rFonts w:ascii="Times New Roman" w:hAnsi="Times New Roman"/>
          <w:sz w:val="24"/>
        </w:rPr>
        <w:t>万元，占矿井总投资的</w:t>
      </w:r>
      <w:r>
        <w:rPr>
          <w:rFonts w:ascii="Times New Roman" w:hAnsi="Times New Roman"/>
          <w:sz w:val="24"/>
        </w:rPr>
        <w:t>6.58</w:t>
      </w:r>
      <w:r>
        <w:rPr>
          <w:rFonts w:ascii="Times New Roman" w:hAnsi="Times New Roman"/>
          <w:sz w:val="24"/>
        </w:rPr>
        <w:t>％。</w:t>
      </w:r>
    </w:p>
    <w:p w:rsidR="00240BCE" w:rsidRDefault="00AC0334">
      <w:pPr>
        <w:pStyle w:val="ae"/>
        <w:spacing w:line="520" w:lineRule="exact"/>
        <w:rPr>
          <w:rFonts w:ascii="Times New Roman" w:hAnsi="Times New Roman"/>
          <w:sz w:val="24"/>
        </w:rPr>
      </w:pPr>
      <w:r>
        <w:rPr>
          <w:rFonts w:ascii="Times New Roman" w:hAnsi="Times New Roman"/>
          <w:sz w:val="24"/>
        </w:rPr>
        <w:t xml:space="preserve">8.2.3.2 </w:t>
      </w:r>
      <w:r>
        <w:rPr>
          <w:rFonts w:ascii="Times New Roman" w:hAnsi="Times New Roman"/>
          <w:sz w:val="24"/>
        </w:rPr>
        <w:t>环保工程效益简要分析</w:t>
      </w:r>
    </w:p>
    <w:p w:rsidR="00240BCE" w:rsidRDefault="00AC0334">
      <w:pPr>
        <w:pStyle w:val="23"/>
        <w:ind w:firstLineChars="200" w:firstLine="480"/>
        <w:rPr>
          <w:sz w:val="24"/>
        </w:rPr>
      </w:pPr>
      <w:r>
        <w:rPr>
          <w:sz w:val="24"/>
        </w:rPr>
        <w:t>本技改项目环保工程的配套建设，不仅可使各种污染物达标排放，大大减轻对环境的影响，而且还具有一定的经济效益与环境效益，主要反映在以下几方面：</w:t>
      </w:r>
    </w:p>
    <w:p w:rsidR="00240BCE" w:rsidRDefault="00AC0334">
      <w:pPr>
        <w:tabs>
          <w:tab w:val="left" w:pos="2880"/>
        </w:tabs>
        <w:spacing w:line="520" w:lineRule="exact"/>
        <w:ind w:firstLineChars="200" w:firstLine="480"/>
        <w:rPr>
          <w:sz w:val="24"/>
        </w:rPr>
      </w:pPr>
      <w:r>
        <w:rPr>
          <w:sz w:val="24"/>
        </w:rPr>
        <w:t>矿井水产生量</w:t>
      </w:r>
      <w:r>
        <w:rPr>
          <w:sz w:val="24"/>
        </w:rPr>
        <w:t>4656m</w:t>
      </w:r>
      <w:r>
        <w:rPr>
          <w:sz w:val="24"/>
          <w:vertAlign w:val="superscript"/>
        </w:rPr>
        <w:t>3</w:t>
      </w:r>
      <w:r>
        <w:rPr>
          <w:sz w:val="24"/>
        </w:rPr>
        <w:t>/d</w:t>
      </w:r>
      <w:r>
        <w:rPr>
          <w:spacing w:val="2"/>
          <w:sz w:val="24"/>
        </w:rPr>
        <w:t>，经</w:t>
      </w:r>
      <w:r>
        <w:rPr>
          <w:sz w:val="24"/>
        </w:rPr>
        <w:t>处理达标后，</w:t>
      </w:r>
      <w:r>
        <w:rPr>
          <w:spacing w:val="2"/>
          <w:sz w:val="24"/>
        </w:rPr>
        <w:t>部分用于地面生产用水及井下防尘用水等；剩余部分农灌期全部用于周边农田、林地灌溉，非农灌期达标外排，</w:t>
      </w:r>
      <w:r>
        <w:rPr>
          <w:sz w:val="24"/>
        </w:rPr>
        <w:t>15.67</w:t>
      </w:r>
      <w:r>
        <w:rPr>
          <w:sz w:val="24"/>
        </w:rPr>
        <w:t>年可节约水资源与减少污水排放</w:t>
      </w:r>
      <w:r>
        <w:rPr>
          <w:sz w:val="24"/>
        </w:rPr>
        <w:t>169.9</w:t>
      </w:r>
      <w:r>
        <w:rPr>
          <w:sz w:val="24"/>
        </w:rPr>
        <w:t>万</w:t>
      </w:r>
      <w:r>
        <w:rPr>
          <w:sz w:val="24"/>
        </w:rPr>
        <w:t>t</w:t>
      </w:r>
      <w:r>
        <w:rPr>
          <w:sz w:val="24"/>
        </w:rPr>
        <w:t>，按每吨新鲜水</w:t>
      </w:r>
      <w:r>
        <w:rPr>
          <w:sz w:val="24"/>
        </w:rPr>
        <w:t>2</w:t>
      </w:r>
      <w:r>
        <w:rPr>
          <w:sz w:val="24"/>
        </w:rPr>
        <w:t>元，每排一吨污水收排污费</w:t>
      </w:r>
      <w:r>
        <w:rPr>
          <w:sz w:val="24"/>
        </w:rPr>
        <w:t>0.2</w:t>
      </w:r>
      <w:r>
        <w:rPr>
          <w:sz w:val="24"/>
        </w:rPr>
        <w:t>元计算，其直接经济效益</w:t>
      </w:r>
      <w:r>
        <w:rPr>
          <w:sz w:val="24"/>
        </w:rPr>
        <w:t>373.8</w:t>
      </w:r>
      <w:r>
        <w:rPr>
          <w:sz w:val="24"/>
        </w:rPr>
        <w:t>万元。</w:t>
      </w:r>
      <w:r>
        <w:rPr>
          <w:sz w:val="24"/>
        </w:rPr>
        <w:t>11.6</w:t>
      </w:r>
      <w:r>
        <w:rPr>
          <w:sz w:val="24"/>
        </w:rPr>
        <w:t>年可减少</w:t>
      </w:r>
      <w:r>
        <w:rPr>
          <w:sz w:val="24"/>
        </w:rPr>
        <w:t>COD</w:t>
      </w:r>
      <w:r>
        <w:rPr>
          <w:sz w:val="24"/>
        </w:rPr>
        <w:t>：</w:t>
      </w:r>
      <w:r>
        <w:rPr>
          <w:sz w:val="24"/>
        </w:rPr>
        <w:t>3099.2t</w:t>
      </w:r>
      <w:r>
        <w:rPr>
          <w:sz w:val="24"/>
        </w:rPr>
        <w:t>、</w:t>
      </w:r>
      <w:r>
        <w:rPr>
          <w:sz w:val="24"/>
        </w:rPr>
        <w:t>SS</w:t>
      </w:r>
      <w:r>
        <w:rPr>
          <w:sz w:val="24"/>
        </w:rPr>
        <w:t>：</w:t>
      </w:r>
      <w:r>
        <w:rPr>
          <w:sz w:val="24"/>
        </w:rPr>
        <w:t>5560.3t</w:t>
      </w:r>
      <w:r>
        <w:rPr>
          <w:sz w:val="24"/>
        </w:rPr>
        <w:t>的排放量，由此所带来的环境效益是显而易见的。同时处理达标后污废水用于周边农田、林地灌溉，不仅解决了当地居民生产、生活用水，而且做到了污水资源化，亦可产生巨大的经济效益与环境效益。</w:t>
      </w:r>
    </w:p>
    <w:p w:rsidR="00240BCE" w:rsidRDefault="00AC0334">
      <w:pPr>
        <w:spacing w:line="520" w:lineRule="exact"/>
        <w:ind w:firstLineChars="200" w:firstLine="480"/>
        <w:rPr>
          <w:sz w:val="24"/>
        </w:rPr>
      </w:pPr>
      <w:r>
        <w:rPr>
          <w:sz w:val="24"/>
        </w:rPr>
        <w:t>对地表沉陷区的及时治理，不仅可改善农田质量（由坡地、沟地等小块农田改造成大片农田），提高农作物产量，保护生态环境，还可以改善矿群关系，稳定社会。</w:t>
      </w:r>
    </w:p>
    <w:p w:rsidR="00240BCE" w:rsidRDefault="00AC0334">
      <w:pPr>
        <w:spacing w:line="520" w:lineRule="exact"/>
        <w:ind w:firstLineChars="200" w:firstLine="480"/>
        <w:rPr>
          <w:sz w:val="24"/>
        </w:rPr>
      </w:pPr>
      <w:r>
        <w:rPr>
          <w:sz w:val="24"/>
        </w:rPr>
        <w:t>另外，本项目水土保持方案的实施，保护和改善了工程区的生态环境，而且工业广场绿化、道路两侧种植的行道林等，都带来了一定的环境效益。</w:t>
      </w:r>
    </w:p>
    <w:p w:rsidR="00240BCE" w:rsidRDefault="00AC0334">
      <w:pPr>
        <w:spacing w:line="520" w:lineRule="exact"/>
        <w:ind w:firstLineChars="200" w:firstLine="480"/>
        <w:rPr>
          <w:sz w:val="24"/>
        </w:rPr>
      </w:pPr>
      <w:r>
        <w:rPr>
          <w:sz w:val="24"/>
        </w:rPr>
        <w:t>综上所述，本项目在发展经济的同时，注意了控制污染及保护生态环境，又具有良好的社会效益，基本上做到了经济效益、环境效益、社会效益的统一。</w:t>
      </w:r>
    </w:p>
    <w:p w:rsidR="00240BCE" w:rsidRDefault="00240BCE">
      <w:pPr>
        <w:spacing w:line="520" w:lineRule="exact"/>
        <w:ind w:firstLineChars="200" w:firstLine="482"/>
        <w:rPr>
          <w:b/>
          <w:sz w:val="24"/>
        </w:rPr>
      </w:pPr>
    </w:p>
    <w:p w:rsidR="00240BCE" w:rsidRDefault="00240BCE">
      <w:pPr>
        <w:spacing w:line="520" w:lineRule="exact"/>
        <w:rPr>
          <w:sz w:val="24"/>
        </w:rPr>
      </w:pPr>
    </w:p>
    <w:p w:rsidR="00240BCE" w:rsidRDefault="00240BCE">
      <w:pPr>
        <w:spacing w:line="500" w:lineRule="exact"/>
        <w:rPr>
          <w:sz w:val="24"/>
        </w:rPr>
      </w:pPr>
    </w:p>
    <w:p w:rsidR="00240BCE" w:rsidRDefault="00AC0334">
      <w:pPr>
        <w:keepNext/>
        <w:keepLines/>
        <w:spacing w:before="120" w:after="120" w:line="360" w:lineRule="auto"/>
        <w:jc w:val="center"/>
        <w:outlineLvl w:val="0"/>
        <w:rPr>
          <w:b/>
          <w:bCs/>
          <w:kern w:val="44"/>
          <w:sz w:val="36"/>
          <w:szCs w:val="36"/>
        </w:rPr>
      </w:pPr>
      <w:bookmarkStart w:id="858" w:name="_Toc316979434"/>
      <w:bookmarkStart w:id="859" w:name="_Toc54305298"/>
      <w:bookmarkStart w:id="860" w:name="_Toc81934402"/>
      <w:r>
        <w:rPr>
          <w:b/>
          <w:bCs/>
          <w:kern w:val="44"/>
          <w:sz w:val="36"/>
          <w:szCs w:val="36"/>
        </w:rPr>
        <w:lastRenderedPageBreak/>
        <w:t xml:space="preserve">9 </w:t>
      </w:r>
      <w:r>
        <w:rPr>
          <w:b/>
          <w:bCs/>
          <w:kern w:val="44"/>
          <w:sz w:val="36"/>
          <w:szCs w:val="36"/>
        </w:rPr>
        <w:t>环境管理与监测计划</w:t>
      </w:r>
      <w:bookmarkEnd w:id="858"/>
      <w:bookmarkEnd w:id="859"/>
      <w:bookmarkEnd w:id="860"/>
    </w:p>
    <w:p w:rsidR="00240BCE" w:rsidRDefault="00AC0334" w:rsidP="009C5F33">
      <w:pPr>
        <w:keepNext/>
        <w:keepLines/>
        <w:adjustRightInd w:val="0"/>
        <w:snapToGrid w:val="0"/>
        <w:spacing w:beforeLines="100" w:afterLines="50"/>
        <w:jc w:val="left"/>
        <w:outlineLvl w:val="1"/>
        <w:rPr>
          <w:b/>
          <w:bCs/>
          <w:sz w:val="32"/>
          <w:szCs w:val="32"/>
        </w:rPr>
      </w:pPr>
      <w:bookmarkStart w:id="861" w:name="_Toc316979435"/>
      <w:bookmarkStart w:id="862" w:name="_Toc54305299"/>
      <w:bookmarkStart w:id="863" w:name="_Toc81934403"/>
      <w:r>
        <w:rPr>
          <w:b/>
          <w:bCs/>
          <w:sz w:val="32"/>
          <w:szCs w:val="32"/>
        </w:rPr>
        <w:t xml:space="preserve">9.1 </w:t>
      </w:r>
      <w:r>
        <w:rPr>
          <w:b/>
          <w:bCs/>
          <w:sz w:val="32"/>
          <w:szCs w:val="32"/>
        </w:rPr>
        <w:t>环境管理</w:t>
      </w:r>
      <w:bookmarkEnd w:id="861"/>
      <w:bookmarkEnd w:id="862"/>
      <w:bookmarkEnd w:id="863"/>
    </w:p>
    <w:p w:rsidR="00240BCE" w:rsidRDefault="00AC0334" w:rsidP="009C5F33">
      <w:pPr>
        <w:pStyle w:val="30"/>
        <w:adjustRightInd w:val="0"/>
        <w:snapToGrid w:val="0"/>
        <w:spacing w:beforeLines="70" w:afterLines="30" w:line="240" w:lineRule="auto"/>
        <w:jc w:val="left"/>
        <w:rPr>
          <w:rFonts w:eastAsia="楷体"/>
          <w:sz w:val="28"/>
          <w:szCs w:val="28"/>
        </w:rPr>
      </w:pPr>
      <w:bookmarkStart w:id="864" w:name="_Toc79668735"/>
      <w:r>
        <w:rPr>
          <w:rFonts w:eastAsia="楷体"/>
          <w:sz w:val="28"/>
          <w:szCs w:val="28"/>
        </w:rPr>
        <w:t xml:space="preserve">9.1.1 </w:t>
      </w:r>
      <w:r>
        <w:rPr>
          <w:rFonts w:eastAsia="楷体"/>
          <w:sz w:val="28"/>
          <w:szCs w:val="28"/>
        </w:rPr>
        <w:t>环境管理的目的和意义</w:t>
      </w:r>
      <w:bookmarkEnd w:id="864"/>
    </w:p>
    <w:p w:rsidR="00240BCE" w:rsidRDefault="00AC0334">
      <w:pPr>
        <w:pStyle w:val="ae"/>
        <w:spacing w:line="540" w:lineRule="exact"/>
        <w:ind w:firstLine="561"/>
        <w:rPr>
          <w:rFonts w:ascii="Times New Roman" w:hAnsi="Times New Roman"/>
          <w:sz w:val="24"/>
          <w:szCs w:val="24"/>
        </w:rPr>
      </w:pPr>
      <w:r>
        <w:rPr>
          <w:rFonts w:ascii="Times New Roman" w:hAnsi="Times New Roman"/>
          <w:sz w:val="24"/>
          <w:szCs w:val="24"/>
        </w:rPr>
        <w:t>环境管理的目的是对损害环境质量的人为活动施加影响，以协调经济与环境的关系，达到既发展经济满足人类的需要，又不超出环境质量的限值，是建设和谐社会的基础。拟建工程对环境的影响主要来自营运期的各种作业活动。为了最大限度地减轻煤炭开采、加工、综合利用过程中对环境的影响，确保矿井环保安全高效的生产，建立科学有效的环境管理体制，落实各项环保和安全措施显得尤为重要。通过建立环境管理体系，提高员工环保意识、规范企业管理、推行清洁生产，实现污染控制，保护环境质量，以实现环境效益、社会效益、经济效益的统一。</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65" w:name="_Toc79668736"/>
      <w:r>
        <w:rPr>
          <w:rFonts w:eastAsia="楷体"/>
          <w:sz w:val="28"/>
          <w:szCs w:val="28"/>
        </w:rPr>
        <w:t xml:space="preserve">9.1.2 </w:t>
      </w:r>
      <w:r>
        <w:rPr>
          <w:rFonts w:eastAsia="楷体"/>
          <w:sz w:val="28"/>
          <w:szCs w:val="28"/>
        </w:rPr>
        <w:t>环境管理机构及职责</w:t>
      </w:r>
      <w:bookmarkEnd w:id="865"/>
    </w:p>
    <w:p w:rsidR="00240BCE" w:rsidRDefault="00AC0334">
      <w:pPr>
        <w:pStyle w:val="ae"/>
        <w:spacing w:line="540" w:lineRule="exact"/>
        <w:ind w:firstLine="5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、环境管理机构</w:t>
      </w:r>
    </w:p>
    <w:p w:rsidR="00240BCE" w:rsidRDefault="00AC0334">
      <w:pPr>
        <w:pStyle w:val="ae"/>
        <w:spacing w:line="540" w:lineRule="exact"/>
        <w:ind w:firstLine="560"/>
        <w:rPr>
          <w:rFonts w:ascii="Times New Roman" w:hAnsi="Times New Roman"/>
          <w:sz w:val="24"/>
          <w:szCs w:val="24"/>
        </w:rPr>
      </w:pPr>
      <w:r>
        <w:rPr>
          <w:rFonts w:ascii="Times New Roman" w:hAnsi="Times New Roman"/>
          <w:sz w:val="24"/>
          <w:szCs w:val="24"/>
        </w:rPr>
        <w:t>根据《建设项目环境保护设计规范》、《煤炭工业环境保护设计规范》的要求，本项目应设环保专职管理机构，由一名副矿长分管，由</w:t>
      </w:r>
      <w:r>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名环保专业人员从事专职环境管理工作。</w:t>
      </w:r>
    </w:p>
    <w:p w:rsidR="00240BCE" w:rsidRDefault="00AC0334">
      <w:pPr>
        <w:pStyle w:val="ae"/>
        <w:spacing w:line="540" w:lineRule="exact"/>
        <w:ind w:firstLine="56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、环境管理职责</w:t>
      </w:r>
    </w:p>
    <w:p w:rsidR="00240BCE" w:rsidRDefault="00AC0334">
      <w:pPr>
        <w:pStyle w:val="ae"/>
        <w:spacing w:line="540" w:lineRule="exact"/>
        <w:ind w:firstLine="5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）贯彻执行各项环境保护政策、法规和标准。</w:t>
      </w:r>
    </w:p>
    <w:p w:rsidR="00240BCE" w:rsidRDefault="00AC0334">
      <w:pPr>
        <w:pStyle w:val="ae"/>
        <w:spacing w:line="540" w:lineRule="exact"/>
        <w:ind w:firstLine="57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）制定各部门环境保护管理职责条例；制定环保设施及污染物排放管理监督办法；建立环境及污染源监测与统计，</w:t>
      </w:r>
      <w:r>
        <w:rPr>
          <w:rFonts w:ascii="Times New Roman" w:hAnsi="Times New Roman"/>
          <w:sz w:val="24"/>
          <w:szCs w:val="24"/>
        </w:rPr>
        <w:t>“</w:t>
      </w:r>
      <w:r>
        <w:rPr>
          <w:rFonts w:ascii="Times New Roman" w:hAnsi="Times New Roman"/>
          <w:sz w:val="24"/>
          <w:szCs w:val="24"/>
        </w:rPr>
        <w:t>三级监控</w:t>
      </w:r>
      <w:r>
        <w:rPr>
          <w:rFonts w:ascii="Times New Roman" w:hAnsi="Times New Roman"/>
          <w:sz w:val="24"/>
          <w:szCs w:val="24"/>
        </w:rPr>
        <w:t>”</w:t>
      </w:r>
      <w:r>
        <w:rPr>
          <w:rFonts w:ascii="Times New Roman" w:hAnsi="Times New Roman"/>
          <w:sz w:val="24"/>
          <w:szCs w:val="24"/>
        </w:rPr>
        <w:t>体系管理制度；组织企业水土保持监测工作，接受水行政主管部门指导；建立环保工作目标考核制度。</w:t>
      </w:r>
    </w:p>
    <w:p w:rsidR="00240BCE" w:rsidRDefault="00AC0334">
      <w:pPr>
        <w:pStyle w:val="ae"/>
        <w:spacing w:line="540" w:lineRule="exact"/>
        <w:ind w:firstLine="57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）负责编制并实施环境保护计划，维护各措施的正常运行，落实各项监测计划，开展日常环境保护工作。</w:t>
      </w:r>
    </w:p>
    <w:p w:rsidR="00240BCE" w:rsidRDefault="00AC0334">
      <w:pPr>
        <w:pStyle w:val="ae"/>
        <w:spacing w:line="540"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hint="eastAsia"/>
          <w:sz w:val="24"/>
          <w:szCs w:val="24"/>
        </w:rPr>
        <w:t xml:space="preserve"> </w:t>
      </w:r>
      <w:r>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）根据政府及环保部门提出的环境保护要求（如总量控制指标，达标排放</w:t>
      </w:r>
      <w:r>
        <w:rPr>
          <w:rFonts w:ascii="Times New Roman" w:hAnsi="Times New Roman"/>
          <w:sz w:val="24"/>
          <w:szCs w:val="24"/>
        </w:rPr>
        <w:lastRenderedPageBreak/>
        <w:t>等），制定企业实施计划；做好矿井污染物控制，确保环保设施正常运行，并配合当地环保部门及环境监测部门的工作。</w:t>
      </w:r>
    </w:p>
    <w:p w:rsidR="00240BCE" w:rsidRDefault="00AC0334">
      <w:pPr>
        <w:pStyle w:val="ae"/>
        <w:spacing w:line="540" w:lineRule="exact"/>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）建立健全环境保护管理制度，做好各有关环保工作的资料收集、整理、记录、建档、宣传等工作</w:t>
      </w:r>
      <w:r>
        <w:rPr>
          <w:rFonts w:ascii="Times New Roman" w:hAnsi="Times New Roman" w:hint="eastAsia"/>
          <w:sz w:val="24"/>
          <w:szCs w:val="24"/>
        </w:rPr>
        <w:t>，</w:t>
      </w:r>
      <w:r>
        <w:rPr>
          <w:rFonts w:ascii="Times New Roman" w:hAnsi="Times New Roman"/>
          <w:sz w:val="24"/>
          <w:szCs w:val="24"/>
        </w:rPr>
        <w:t>定时编制并提交项目环境管理工作报告。</w:t>
      </w:r>
    </w:p>
    <w:p w:rsidR="00240BCE" w:rsidRDefault="00AC0334">
      <w:pPr>
        <w:pStyle w:val="ae"/>
        <w:spacing w:line="540" w:lineRule="exact"/>
        <w:ind w:firstLine="5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6</w:t>
      </w:r>
      <w:r>
        <w:rPr>
          <w:rFonts w:ascii="Times New Roman" w:hAnsi="Times New Roman"/>
          <w:sz w:val="24"/>
          <w:szCs w:val="24"/>
        </w:rPr>
        <w:t>）负责并监督环境保护工作，定期进行环保安全检查，发现环境问题及时上报、及时处理；并负责调查出现环境问题的原由，协助有关部门解决问题、处理好由环境问题所带来的纠纷等。</w:t>
      </w:r>
    </w:p>
    <w:p w:rsidR="00240BCE" w:rsidRDefault="00AC0334">
      <w:pPr>
        <w:pStyle w:val="ae"/>
        <w:spacing w:line="540" w:lineRule="exact"/>
        <w:ind w:firstLine="57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7</w:t>
      </w:r>
      <w:r>
        <w:rPr>
          <w:rFonts w:ascii="Times New Roman" w:hAnsi="Times New Roman"/>
          <w:sz w:val="24"/>
          <w:szCs w:val="24"/>
        </w:rPr>
        <w:t>）监督检查各产污环节污染防治措施的落实及运行情况，保证各污染物达标排放。</w:t>
      </w:r>
    </w:p>
    <w:p w:rsidR="00240BCE" w:rsidRDefault="00AC0334">
      <w:pPr>
        <w:pStyle w:val="ae"/>
        <w:spacing w:line="540" w:lineRule="exact"/>
        <w:ind w:firstLine="57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8</w:t>
      </w:r>
      <w:r>
        <w:rPr>
          <w:rFonts w:ascii="Times New Roman" w:hAnsi="Times New Roman"/>
          <w:sz w:val="24"/>
          <w:szCs w:val="24"/>
        </w:rPr>
        <w:t>）制定可行的应急计划，并检查执行情况，确保生产事故或污染治理措施出现故障时，不对环境造成严重污染。</w:t>
      </w:r>
    </w:p>
    <w:p w:rsidR="00240BCE" w:rsidRDefault="00AC0334">
      <w:pPr>
        <w:pStyle w:val="ae"/>
        <w:spacing w:line="540" w:lineRule="exact"/>
        <w:ind w:firstLine="57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9</w:t>
      </w:r>
      <w:r>
        <w:rPr>
          <w:rFonts w:ascii="Times New Roman" w:hAnsi="Times New Roman"/>
          <w:sz w:val="24"/>
          <w:szCs w:val="24"/>
        </w:rPr>
        <w:t>）开展环保教育和专业培训，提高企业员工的环保素质；组织开展环保研究和学术交流，推广并应用先进环保技术。</w:t>
      </w:r>
    </w:p>
    <w:p w:rsidR="00240BCE" w:rsidRDefault="00AC0334">
      <w:pPr>
        <w:pStyle w:val="ae"/>
        <w:spacing w:line="540" w:lineRule="exact"/>
        <w:ind w:firstLine="57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10</w:t>
      </w:r>
      <w:r>
        <w:rPr>
          <w:rFonts w:ascii="Times New Roman" w:hAnsi="Times New Roman"/>
          <w:sz w:val="24"/>
          <w:szCs w:val="24"/>
        </w:rPr>
        <w:t>）负责厂区绿化和日常环境保护管理工作。</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66" w:name="_Toc79668737"/>
      <w:r>
        <w:rPr>
          <w:rFonts w:eastAsia="楷体"/>
          <w:sz w:val="28"/>
          <w:szCs w:val="28"/>
        </w:rPr>
        <w:t xml:space="preserve">9.1.3 </w:t>
      </w:r>
      <w:r>
        <w:rPr>
          <w:rFonts w:eastAsia="楷体"/>
          <w:sz w:val="28"/>
          <w:szCs w:val="28"/>
        </w:rPr>
        <w:t>环境管理</w:t>
      </w:r>
      <w:bookmarkEnd w:id="866"/>
    </w:p>
    <w:p w:rsidR="00240BCE" w:rsidRDefault="00AC0334">
      <w:pPr>
        <w:spacing w:line="540" w:lineRule="exact"/>
        <w:ind w:firstLine="480"/>
        <w:rPr>
          <w:sz w:val="24"/>
        </w:rPr>
      </w:pPr>
      <w:r>
        <w:rPr>
          <w:sz w:val="24"/>
        </w:rPr>
        <w:t>1</w:t>
      </w:r>
      <w:r>
        <w:rPr>
          <w:sz w:val="24"/>
        </w:rPr>
        <w:t>、管理机构</w:t>
      </w:r>
    </w:p>
    <w:p w:rsidR="00240BCE" w:rsidRDefault="00AC0334">
      <w:pPr>
        <w:spacing w:line="540" w:lineRule="exact"/>
        <w:ind w:firstLine="480"/>
        <w:rPr>
          <w:sz w:val="24"/>
        </w:rPr>
      </w:pPr>
      <w:r>
        <w:rPr>
          <w:sz w:val="24"/>
        </w:rPr>
        <w:t>公司成立环保科，负责本矿运营期的环境管理工作，与当地环保部门及其授权的监测部门保持密切联系，直接监管矿井污染物的排放情况，并对其逐步实施总量控制，对超标排放及污染事故、纠纷进行处理。</w:t>
      </w:r>
    </w:p>
    <w:p w:rsidR="00240BCE" w:rsidRDefault="00AC0334">
      <w:pPr>
        <w:spacing w:line="540" w:lineRule="exact"/>
        <w:ind w:firstLine="480"/>
        <w:rPr>
          <w:sz w:val="24"/>
        </w:rPr>
      </w:pPr>
      <w:r>
        <w:rPr>
          <w:sz w:val="24"/>
        </w:rPr>
        <w:t>2</w:t>
      </w:r>
      <w:r>
        <w:rPr>
          <w:sz w:val="24"/>
        </w:rPr>
        <w:t>、运营期环境管理职责</w:t>
      </w:r>
    </w:p>
    <w:p w:rsidR="00240BCE" w:rsidRDefault="00AC0334">
      <w:pPr>
        <w:spacing w:line="540" w:lineRule="exact"/>
        <w:ind w:firstLine="480"/>
        <w:rPr>
          <w:sz w:val="24"/>
        </w:rPr>
      </w:pPr>
      <w:r>
        <w:rPr>
          <w:sz w:val="24"/>
        </w:rPr>
        <w:t>由分管环境的矿长负责环保指标的落实，将环保指标逐级分解到车间、班组、个人，下属具体负责其附属环保设备的运转和维护，确保其正常运转和达标排放，充分发挥其作用；配合地方环保部门监测部门进行日常环境监测，记录并及时上报污染源及环保措施运转状态。</w:t>
      </w:r>
    </w:p>
    <w:p w:rsidR="00240BCE" w:rsidRDefault="00AC0334">
      <w:pPr>
        <w:spacing w:line="540" w:lineRule="exact"/>
        <w:ind w:firstLine="480"/>
        <w:rPr>
          <w:sz w:val="24"/>
        </w:rPr>
      </w:pPr>
      <w:r>
        <w:rPr>
          <w:sz w:val="24"/>
        </w:rPr>
        <w:lastRenderedPageBreak/>
        <w:t>在项目实施全过程中，本项目都应以《中华人民共和国环境保护法》及相关环保法律、法规为依据，通过对项目前后的环境审核，设定环境方针，建立环境目标和指标，设计环境方案，以达到</w:t>
      </w:r>
      <w:r>
        <w:rPr>
          <w:sz w:val="24"/>
        </w:rPr>
        <w:t>“</w:t>
      </w:r>
      <w:r>
        <w:rPr>
          <w:sz w:val="24"/>
        </w:rPr>
        <w:t>清洁生产</w:t>
      </w:r>
      <w:r>
        <w:rPr>
          <w:sz w:val="24"/>
        </w:rPr>
        <w:t>”</w:t>
      </w:r>
      <w:r>
        <w:rPr>
          <w:sz w:val="24"/>
        </w:rPr>
        <w:t>的良好效果，求得环境的长远的持久的发展。因此，它应建立以下环境管理制度：</w:t>
      </w:r>
    </w:p>
    <w:p w:rsidR="00240BCE" w:rsidRDefault="00AC0334">
      <w:pPr>
        <w:pStyle w:val="ae"/>
        <w:spacing w:line="540" w:lineRule="exact"/>
        <w:ind w:firstLineChars="200" w:firstLine="480"/>
        <w:rPr>
          <w:rFonts w:ascii="Times New Roman" w:hAnsi="Times New Roman"/>
          <w:sz w:val="24"/>
          <w:szCs w:val="24"/>
        </w:rPr>
      </w:pPr>
      <w:r>
        <w:rPr>
          <w:rFonts w:ascii="Times New Roman" w:hAnsi="Times New Roman"/>
          <w:sz w:val="24"/>
          <w:szCs w:val="24"/>
        </w:rPr>
        <w:t>①</w:t>
      </w:r>
      <w:r>
        <w:rPr>
          <w:rFonts w:ascii="Times New Roman" w:hAnsi="Times New Roman"/>
          <w:sz w:val="24"/>
          <w:szCs w:val="24"/>
        </w:rPr>
        <w:t>内部环境审核制度；</w:t>
      </w:r>
      <w:r>
        <w:rPr>
          <w:rFonts w:ascii="Times New Roman" w:hAnsi="Times New Roman"/>
          <w:sz w:val="24"/>
          <w:szCs w:val="24"/>
        </w:rPr>
        <w:t>②</w:t>
      </w:r>
      <w:r>
        <w:rPr>
          <w:rFonts w:ascii="Times New Roman" w:hAnsi="Times New Roman"/>
          <w:sz w:val="24"/>
          <w:szCs w:val="24"/>
        </w:rPr>
        <w:t>清洁生产教育及培训制度；</w:t>
      </w:r>
      <w:r>
        <w:rPr>
          <w:rFonts w:ascii="Times New Roman" w:hAnsi="Times New Roman"/>
          <w:sz w:val="24"/>
          <w:szCs w:val="24"/>
        </w:rPr>
        <w:t>③</w:t>
      </w:r>
      <w:r>
        <w:rPr>
          <w:rFonts w:ascii="Times New Roman" w:hAnsi="Times New Roman"/>
          <w:sz w:val="24"/>
          <w:szCs w:val="24"/>
        </w:rPr>
        <w:t>建立环境目标和确定指标制度；</w:t>
      </w:r>
      <w:r>
        <w:rPr>
          <w:rFonts w:ascii="Times New Roman" w:hAnsi="Times New Roman"/>
          <w:sz w:val="24"/>
          <w:szCs w:val="24"/>
        </w:rPr>
        <w:t>④</w:t>
      </w:r>
      <w:r>
        <w:rPr>
          <w:rFonts w:ascii="Times New Roman" w:hAnsi="Times New Roman"/>
          <w:sz w:val="24"/>
          <w:szCs w:val="24"/>
        </w:rPr>
        <w:t>内部环境管理监督、检查制度。</w:t>
      </w:r>
    </w:p>
    <w:p w:rsidR="00240BCE" w:rsidRDefault="00AC0334">
      <w:pPr>
        <w:pStyle w:val="ae"/>
        <w:spacing w:line="540" w:lineRule="exact"/>
        <w:ind w:firstLineChars="200" w:firstLine="480"/>
        <w:rPr>
          <w:rFonts w:ascii="Times New Roman" w:hAnsi="Times New Roman"/>
          <w:sz w:val="24"/>
          <w:szCs w:val="24"/>
        </w:rPr>
      </w:pPr>
      <w:r>
        <w:rPr>
          <w:rFonts w:ascii="Times New Roman" w:hAnsi="Times New Roman"/>
          <w:sz w:val="24"/>
          <w:szCs w:val="24"/>
        </w:rPr>
        <w:t>本项目工程针对不同工作阶段，制定环境管理工作计划，工程建设管理工作计划见表</w:t>
      </w:r>
      <w:r>
        <w:rPr>
          <w:rFonts w:ascii="Times New Roman" w:hAnsi="Times New Roman"/>
          <w:sz w:val="24"/>
          <w:szCs w:val="24"/>
        </w:rPr>
        <w:t>9.1-1</w:t>
      </w:r>
      <w:r>
        <w:rPr>
          <w:rFonts w:ascii="Times New Roman" w:hAnsi="Times New Roman"/>
          <w:sz w:val="24"/>
          <w:szCs w:val="24"/>
        </w:rPr>
        <w:t>。</w:t>
      </w:r>
    </w:p>
    <w:p w:rsidR="00240BCE" w:rsidRDefault="00AC0334">
      <w:pPr>
        <w:spacing w:line="500" w:lineRule="exact"/>
        <w:jc w:val="center"/>
        <w:rPr>
          <w:rFonts w:eastAsia="黑体"/>
          <w:sz w:val="24"/>
        </w:rPr>
      </w:pPr>
      <w:r>
        <w:rPr>
          <w:rFonts w:eastAsia="黑体"/>
          <w:sz w:val="24"/>
        </w:rPr>
        <w:t>表</w:t>
      </w:r>
      <w:r>
        <w:rPr>
          <w:rFonts w:eastAsia="黑体"/>
          <w:sz w:val="24"/>
        </w:rPr>
        <w:t xml:space="preserve">9.1-1   </w:t>
      </w:r>
      <w:r>
        <w:rPr>
          <w:rFonts w:eastAsia="黑体"/>
          <w:sz w:val="24"/>
        </w:rPr>
        <w:t>环境管理工作计划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7960"/>
      </w:tblGrid>
      <w:tr w:rsidR="00240BCE">
        <w:tc>
          <w:tcPr>
            <w:tcW w:w="828" w:type="dxa"/>
            <w:vAlign w:val="center"/>
          </w:tcPr>
          <w:p w:rsidR="00240BCE" w:rsidRDefault="00AC0334">
            <w:pPr>
              <w:spacing w:line="320" w:lineRule="exact"/>
              <w:jc w:val="center"/>
              <w:rPr>
                <w:sz w:val="21"/>
                <w:szCs w:val="21"/>
              </w:rPr>
            </w:pPr>
            <w:r>
              <w:rPr>
                <w:sz w:val="21"/>
                <w:szCs w:val="21"/>
              </w:rPr>
              <w:t>阶段</w:t>
            </w:r>
          </w:p>
        </w:tc>
        <w:tc>
          <w:tcPr>
            <w:tcW w:w="7960" w:type="dxa"/>
          </w:tcPr>
          <w:p w:rsidR="00240BCE" w:rsidRDefault="00AC0334">
            <w:pPr>
              <w:spacing w:line="320" w:lineRule="exact"/>
              <w:jc w:val="center"/>
              <w:rPr>
                <w:sz w:val="21"/>
                <w:szCs w:val="21"/>
              </w:rPr>
            </w:pPr>
            <w:r>
              <w:rPr>
                <w:sz w:val="21"/>
                <w:szCs w:val="21"/>
              </w:rPr>
              <w:t>环境管理工作主要内容</w:t>
            </w:r>
          </w:p>
        </w:tc>
      </w:tr>
      <w:tr w:rsidR="00240BCE">
        <w:tc>
          <w:tcPr>
            <w:tcW w:w="828" w:type="dxa"/>
            <w:vAlign w:val="center"/>
          </w:tcPr>
          <w:p w:rsidR="00240BCE" w:rsidRDefault="00AC0334">
            <w:pPr>
              <w:spacing w:line="320" w:lineRule="exact"/>
              <w:jc w:val="center"/>
              <w:rPr>
                <w:sz w:val="21"/>
                <w:szCs w:val="21"/>
              </w:rPr>
            </w:pPr>
            <w:r>
              <w:rPr>
                <w:sz w:val="21"/>
                <w:szCs w:val="21"/>
              </w:rPr>
              <w:t>管理</w:t>
            </w:r>
          </w:p>
          <w:p w:rsidR="00240BCE" w:rsidRDefault="00AC0334">
            <w:pPr>
              <w:spacing w:line="320" w:lineRule="exact"/>
              <w:jc w:val="center"/>
              <w:rPr>
                <w:sz w:val="21"/>
                <w:szCs w:val="21"/>
              </w:rPr>
            </w:pPr>
            <w:r>
              <w:rPr>
                <w:sz w:val="21"/>
                <w:szCs w:val="21"/>
              </w:rPr>
              <w:t>机构</w:t>
            </w:r>
          </w:p>
          <w:p w:rsidR="00240BCE" w:rsidRDefault="00AC0334">
            <w:pPr>
              <w:spacing w:line="320" w:lineRule="exact"/>
              <w:jc w:val="center"/>
              <w:rPr>
                <w:sz w:val="21"/>
                <w:szCs w:val="21"/>
              </w:rPr>
            </w:pPr>
            <w:r>
              <w:rPr>
                <w:sz w:val="21"/>
                <w:szCs w:val="21"/>
              </w:rPr>
              <w:t>职能</w:t>
            </w:r>
          </w:p>
        </w:tc>
        <w:tc>
          <w:tcPr>
            <w:tcW w:w="7960" w:type="dxa"/>
          </w:tcPr>
          <w:p w:rsidR="00240BCE" w:rsidRDefault="00AC0334">
            <w:pPr>
              <w:spacing w:line="320" w:lineRule="exact"/>
              <w:rPr>
                <w:sz w:val="21"/>
                <w:szCs w:val="21"/>
              </w:rPr>
            </w:pPr>
            <w:r>
              <w:rPr>
                <w:sz w:val="21"/>
                <w:szCs w:val="21"/>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rsidR="00240BCE">
        <w:tc>
          <w:tcPr>
            <w:tcW w:w="828" w:type="dxa"/>
            <w:vAlign w:val="center"/>
          </w:tcPr>
          <w:p w:rsidR="00240BCE" w:rsidRDefault="00AC0334">
            <w:pPr>
              <w:spacing w:line="320" w:lineRule="exact"/>
              <w:jc w:val="center"/>
              <w:rPr>
                <w:sz w:val="21"/>
                <w:szCs w:val="21"/>
              </w:rPr>
            </w:pPr>
            <w:r>
              <w:rPr>
                <w:sz w:val="21"/>
                <w:szCs w:val="21"/>
              </w:rPr>
              <w:t>试运</w:t>
            </w:r>
          </w:p>
          <w:p w:rsidR="00240BCE" w:rsidRDefault="00AC0334">
            <w:pPr>
              <w:spacing w:line="320" w:lineRule="exact"/>
              <w:jc w:val="center"/>
              <w:rPr>
                <w:sz w:val="21"/>
                <w:szCs w:val="21"/>
              </w:rPr>
            </w:pPr>
            <w:r>
              <w:rPr>
                <w:sz w:val="21"/>
                <w:szCs w:val="21"/>
              </w:rPr>
              <w:t>行阶</w:t>
            </w:r>
          </w:p>
          <w:p w:rsidR="00240BCE" w:rsidRDefault="00AC0334">
            <w:pPr>
              <w:spacing w:line="320" w:lineRule="exact"/>
              <w:jc w:val="center"/>
              <w:rPr>
                <w:sz w:val="21"/>
                <w:szCs w:val="21"/>
              </w:rPr>
            </w:pPr>
            <w:r>
              <w:rPr>
                <w:sz w:val="21"/>
                <w:szCs w:val="21"/>
              </w:rPr>
              <w:t>段</w:t>
            </w:r>
          </w:p>
        </w:tc>
        <w:tc>
          <w:tcPr>
            <w:tcW w:w="7960" w:type="dxa"/>
          </w:tcPr>
          <w:p w:rsidR="00240BCE" w:rsidRDefault="00AC0334">
            <w:pPr>
              <w:spacing w:line="320" w:lineRule="exact"/>
              <w:rPr>
                <w:sz w:val="21"/>
                <w:szCs w:val="21"/>
              </w:rPr>
            </w:pPr>
            <w:r>
              <w:rPr>
                <w:sz w:val="21"/>
                <w:szCs w:val="21"/>
              </w:rPr>
              <w:t>1.</w:t>
            </w:r>
            <w:r>
              <w:rPr>
                <w:sz w:val="21"/>
                <w:szCs w:val="21"/>
              </w:rPr>
              <w:t>检查施工项目是否按照设计、环评规定的环保措施全部完工；</w:t>
            </w:r>
          </w:p>
          <w:p w:rsidR="00240BCE" w:rsidRDefault="00AC0334">
            <w:pPr>
              <w:spacing w:line="320" w:lineRule="exact"/>
              <w:rPr>
                <w:sz w:val="21"/>
                <w:szCs w:val="21"/>
              </w:rPr>
            </w:pPr>
            <w:r>
              <w:rPr>
                <w:sz w:val="21"/>
                <w:szCs w:val="21"/>
              </w:rPr>
              <w:t>2.</w:t>
            </w:r>
            <w:r>
              <w:rPr>
                <w:sz w:val="21"/>
                <w:szCs w:val="21"/>
              </w:rPr>
              <w:t>做好环保设施运行纪录；</w:t>
            </w:r>
          </w:p>
          <w:p w:rsidR="00240BCE" w:rsidRDefault="00AC0334">
            <w:pPr>
              <w:spacing w:line="320" w:lineRule="exact"/>
              <w:rPr>
                <w:sz w:val="21"/>
                <w:szCs w:val="21"/>
              </w:rPr>
            </w:pPr>
            <w:r>
              <w:rPr>
                <w:sz w:val="21"/>
                <w:szCs w:val="21"/>
              </w:rPr>
              <w:t>3.</w:t>
            </w:r>
            <w:r>
              <w:rPr>
                <w:sz w:val="21"/>
                <w:szCs w:val="21"/>
              </w:rPr>
              <w:t>向环保部门和当地主管部门提交试运行申请报告；</w:t>
            </w:r>
          </w:p>
          <w:p w:rsidR="00240BCE" w:rsidRDefault="00AC0334">
            <w:pPr>
              <w:spacing w:line="320" w:lineRule="exact"/>
              <w:rPr>
                <w:sz w:val="21"/>
                <w:szCs w:val="21"/>
              </w:rPr>
            </w:pPr>
            <w:r>
              <w:rPr>
                <w:sz w:val="21"/>
                <w:szCs w:val="21"/>
              </w:rPr>
              <w:t>4.</w:t>
            </w:r>
            <w:r>
              <w:rPr>
                <w:sz w:val="21"/>
                <w:szCs w:val="21"/>
              </w:rPr>
              <w:t>环保部门和主管部门对环保工种进行现场检查；</w:t>
            </w:r>
          </w:p>
          <w:p w:rsidR="00240BCE" w:rsidRDefault="00AC0334">
            <w:pPr>
              <w:spacing w:line="320" w:lineRule="exact"/>
              <w:rPr>
                <w:sz w:val="21"/>
                <w:szCs w:val="21"/>
              </w:rPr>
            </w:pPr>
            <w:r>
              <w:rPr>
                <w:sz w:val="21"/>
                <w:szCs w:val="21"/>
              </w:rPr>
              <w:t>5.</w:t>
            </w:r>
            <w:r>
              <w:rPr>
                <w:sz w:val="21"/>
                <w:szCs w:val="21"/>
              </w:rPr>
              <w:t>纪录各项环保设施的试运转状况；</w:t>
            </w:r>
          </w:p>
          <w:p w:rsidR="00240BCE" w:rsidRDefault="00AC0334">
            <w:pPr>
              <w:spacing w:line="320" w:lineRule="exact"/>
              <w:rPr>
                <w:sz w:val="21"/>
                <w:szCs w:val="21"/>
              </w:rPr>
            </w:pPr>
            <w:r>
              <w:rPr>
                <w:sz w:val="21"/>
                <w:szCs w:val="21"/>
              </w:rPr>
              <w:t>6.</w:t>
            </w:r>
            <w:r>
              <w:rPr>
                <w:sz w:val="21"/>
                <w:szCs w:val="21"/>
              </w:rPr>
              <w:t>总结试运转的经验，健全前期的各项管理制度。</w:t>
            </w:r>
          </w:p>
        </w:tc>
      </w:tr>
      <w:tr w:rsidR="00240BCE">
        <w:tc>
          <w:tcPr>
            <w:tcW w:w="828" w:type="dxa"/>
            <w:vAlign w:val="center"/>
          </w:tcPr>
          <w:p w:rsidR="00240BCE" w:rsidRDefault="00AC0334">
            <w:pPr>
              <w:spacing w:line="320" w:lineRule="exact"/>
              <w:jc w:val="center"/>
              <w:rPr>
                <w:sz w:val="21"/>
                <w:szCs w:val="21"/>
              </w:rPr>
            </w:pPr>
            <w:r>
              <w:rPr>
                <w:sz w:val="21"/>
                <w:szCs w:val="21"/>
              </w:rPr>
              <w:t>生产</w:t>
            </w:r>
          </w:p>
          <w:p w:rsidR="00240BCE" w:rsidRDefault="00AC0334">
            <w:pPr>
              <w:spacing w:line="320" w:lineRule="exact"/>
              <w:jc w:val="center"/>
              <w:rPr>
                <w:sz w:val="21"/>
                <w:szCs w:val="21"/>
              </w:rPr>
            </w:pPr>
            <w:r>
              <w:rPr>
                <w:sz w:val="21"/>
                <w:szCs w:val="21"/>
              </w:rPr>
              <w:t>运营</w:t>
            </w:r>
          </w:p>
          <w:p w:rsidR="00240BCE" w:rsidRDefault="00AC0334">
            <w:pPr>
              <w:spacing w:line="320" w:lineRule="exact"/>
              <w:jc w:val="center"/>
              <w:rPr>
                <w:sz w:val="21"/>
                <w:szCs w:val="21"/>
              </w:rPr>
            </w:pPr>
            <w:r>
              <w:rPr>
                <w:sz w:val="21"/>
                <w:szCs w:val="21"/>
              </w:rPr>
              <w:t>期</w:t>
            </w:r>
          </w:p>
        </w:tc>
        <w:tc>
          <w:tcPr>
            <w:tcW w:w="7960" w:type="dxa"/>
          </w:tcPr>
          <w:p w:rsidR="00240BCE" w:rsidRDefault="00AC0334">
            <w:pPr>
              <w:spacing w:line="320" w:lineRule="exact"/>
              <w:rPr>
                <w:sz w:val="21"/>
                <w:szCs w:val="21"/>
              </w:rPr>
            </w:pPr>
            <w:r>
              <w:rPr>
                <w:sz w:val="21"/>
                <w:szCs w:val="21"/>
              </w:rPr>
              <w:t>1.</w:t>
            </w:r>
            <w:r>
              <w:rPr>
                <w:sz w:val="21"/>
                <w:szCs w:val="21"/>
              </w:rPr>
              <w:t>严格执行各项生产及环境管理制度，保证生产的正常进行；</w:t>
            </w:r>
          </w:p>
          <w:p w:rsidR="00240BCE" w:rsidRDefault="00AC0334">
            <w:pPr>
              <w:spacing w:line="320" w:lineRule="exact"/>
              <w:rPr>
                <w:sz w:val="21"/>
                <w:szCs w:val="21"/>
              </w:rPr>
            </w:pPr>
            <w:r>
              <w:rPr>
                <w:sz w:val="21"/>
                <w:szCs w:val="21"/>
              </w:rPr>
              <w:t>2.</w:t>
            </w:r>
            <w:r>
              <w:rPr>
                <w:sz w:val="21"/>
                <w:szCs w:val="21"/>
              </w:rPr>
              <w:t>设立环保设施运行卡，对环保设施定期进行检查、维护，做到勤查、勤记、勤养护，按照监测计划定期组织进行全矿的污染源监测，对不达标的环保设施立即寻找原因、及时处理；</w:t>
            </w:r>
          </w:p>
          <w:p w:rsidR="00240BCE" w:rsidRDefault="00AC0334">
            <w:pPr>
              <w:spacing w:line="320" w:lineRule="exact"/>
              <w:rPr>
                <w:sz w:val="21"/>
                <w:szCs w:val="21"/>
              </w:rPr>
            </w:pPr>
            <w:r>
              <w:rPr>
                <w:sz w:val="21"/>
                <w:szCs w:val="21"/>
              </w:rPr>
              <w:t>3.</w:t>
            </w:r>
            <w:r>
              <w:rPr>
                <w:sz w:val="21"/>
                <w:szCs w:val="21"/>
              </w:rPr>
              <w:t>不断加强技术培训，组织企业内部之间的技术交流，提高业务水平，保持企业内部职工素质稳定；</w:t>
            </w:r>
          </w:p>
          <w:p w:rsidR="00240BCE" w:rsidRDefault="00AC0334">
            <w:pPr>
              <w:spacing w:line="320" w:lineRule="exact"/>
              <w:rPr>
                <w:sz w:val="21"/>
                <w:szCs w:val="21"/>
              </w:rPr>
            </w:pPr>
            <w:r>
              <w:rPr>
                <w:sz w:val="21"/>
                <w:szCs w:val="21"/>
              </w:rPr>
              <w:t>4.</w:t>
            </w:r>
            <w:r>
              <w:rPr>
                <w:sz w:val="21"/>
                <w:szCs w:val="21"/>
              </w:rPr>
              <w:t>重视群众监督作用，提高企业职工环境意识，鼓励职工及外部人员对生产状况提出意见，并通过积极吸收宝贵意见，提高企业环境管理水平；</w:t>
            </w:r>
          </w:p>
          <w:p w:rsidR="00240BCE" w:rsidRDefault="00AC0334">
            <w:pPr>
              <w:spacing w:line="320" w:lineRule="exact"/>
              <w:rPr>
                <w:sz w:val="21"/>
                <w:szCs w:val="21"/>
              </w:rPr>
            </w:pPr>
            <w:r>
              <w:rPr>
                <w:sz w:val="21"/>
                <w:szCs w:val="21"/>
              </w:rPr>
              <w:t>5.</w:t>
            </w:r>
            <w:r>
              <w:rPr>
                <w:sz w:val="21"/>
                <w:szCs w:val="21"/>
              </w:rPr>
              <w:t>积极配合环保部门的检查、验收</w:t>
            </w:r>
          </w:p>
        </w:tc>
      </w:tr>
    </w:tbl>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67" w:name="_Toc79668738"/>
      <w:bookmarkStart w:id="868" w:name="_Toc81934404"/>
      <w:r>
        <w:rPr>
          <w:rFonts w:ascii="Times New Roman" w:eastAsia="宋体" w:hAnsi="Times New Roman"/>
          <w:bCs/>
          <w:szCs w:val="32"/>
        </w:rPr>
        <w:t xml:space="preserve">9.2 </w:t>
      </w:r>
      <w:r>
        <w:rPr>
          <w:rFonts w:ascii="Times New Roman" w:eastAsia="宋体" w:hAnsi="Times New Roman"/>
          <w:bCs/>
          <w:szCs w:val="32"/>
        </w:rPr>
        <w:t>环境监测监控计划</w:t>
      </w:r>
      <w:bookmarkEnd w:id="867"/>
      <w:bookmarkEnd w:id="868"/>
    </w:p>
    <w:p w:rsidR="00240BCE" w:rsidRDefault="00AC0334">
      <w:pPr>
        <w:spacing w:line="520" w:lineRule="exact"/>
        <w:ind w:firstLine="480"/>
        <w:rPr>
          <w:sz w:val="24"/>
        </w:rPr>
      </w:pPr>
      <w:r>
        <w:rPr>
          <w:sz w:val="24"/>
        </w:rPr>
        <w:t>1</w:t>
      </w:r>
      <w:r>
        <w:rPr>
          <w:sz w:val="24"/>
        </w:rPr>
        <w:t>、环境监测计划</w:t>
      </w:r>
    </w:p>
    <w:p w:rsidR="00240BCE" w:rsidRDefault="00AC0334" w:rsidP="008446C1">
      <w:pPr>
        <w:spacing w:line="520" w:lineRule="exact"/>
        <w:ind w:firstLine="480"/>
        <w:rPr>
          <w:szCs w:val="28"/>
        </w:rPr>
      </w:pPr>
      <w:r>
        <w:rPr>
          <w:sz w:val="24"/>
        </w:rPr>
        <w:t>根据本工程运行期产污特征，结合项目工程周围环境实际情况，</w:t>
      </w:r>
      <w:r w:rsidR="008446C1">
        <w:rPr>
          <w:rFonts w:hint="eastAsia"/>
          <w:sz w:val="24"/>
        </w:rPr>
        <w:t>根据</w:t>
      </w:r>
      <w:r w:rsidR="008446C1" w:rsidRPr="008446C1">
        <w:rPr>
          <w:bCs/>
          <w:sz w:val="24"/>
          <w:lang w:val="de-DE"/>
        </w:rPr>
        <w:t>《环境影</w:t>
      </w:r>
      <w:r w:rsidR="008446C1" w:rsidRPr="008446C1">
        <w:rPr>
          <w:bCs/>
          <w:sz w:val="24"/>
          <w:lang w:val="de-DE"/>
        </w:rPr>
        <w:lastRenderedPageBreak/>
        <w:t>响评价技术导则</w:t>
      </w:r>
      <w:r w:rsidR="008446C1" w:rsidRPr="008446C1">
        <w:rPr>
          <w:rFonts w:hint="eastAsia"/>
          <w:bCs/>
          <w:sz w:val="24"/>
          <w:lang w:val="de-DE"/>
        </w:rPr>
        <w:t xml:space="preserve">  </w:t>
      </w:r>
      <w:r w:rsidR="008446C1" w:rsidRPr="008446C1">
        <w:rPr>
          <w:bCs/>
          <w:sz w:val="24"/>
          <w:lang w:val="de-DE"/>
        </w:rPr>
        <w:t>大气环境》（</w:t>
      </w:r>
      <w:r w:rsidR="008446C1" w:rsidRPr="008446C1">
        <w:rPr>
          <w:bCs/>
          <w:sz w:val="24"/>
          <w:lang w:val="de-DE"/>
        </w:rPr>
        <w:t>HJ2.2-2018</w:t>
      </w:r>
      <w:r w:rsidR="008446C1">
        <w:rPr>
          <w:rFonts w:hint="eastAsia"/>
          <w:bCs/>
          <w:sz w:val="24"/>
          <w:lang w:val="de-DE"/>
        </w:rPr>
        <w:t>、</w:t>
      </w:r>
      <w:r w:rsidR="008446C1" w:rsidRPr="008446C1">
        <w:rPr>
          <w:bCs/>
          <w:sz w:val="24"/>
          <w:lang w:val="de-DE"/>
        </w:rPr>
        <w:t>《环境影响评价技术导则</w:t>
      </w:r>
      <w:r w:rsidR="008446C1" w:rsidRPr="008446C1">
        <w:rPr>
          <w:rFonts w:hint="eastAsia"/>
          <w:bCs/>
          <w:sz w:val="24"/>
          <w:lang w:val="de-DE"/>
        </w:rPr>
        <w:t xml:space="preserve">  </w:t>
      </w:r>
      <w:r w:rsidR="008446C1" w:rsidRPr="008446C1">
        <w:rPr>
          <w:bCs/>
          <w:sz w:val="24"/>
          <w:lang w:val="de-DE"/>
        </w:rPr>
        <w:t>地表水环境》（</w:t>
      </w:r>
      <w:r w:rsidR="008446C1" w:rsidRPr="008446C1">
        <w:rPr>
          <w:bCs/>
          <w:sz w:val="24"/>
          <w:lang w:val="de-DE"/>
        </w:rPr>
        <w:t>HJ2.3-2018</w:t>
      </w:r>
      <w:r w:rsidR="008446C1" w:rsidRPr="008446C1">
        <w:rPr>
          <w:bCs/>
          <w:sz w:val="24"/>
          <w:lang w:val="de-DE"/>
        </w:rPr>
        <w:t>）；《环境影响评价技术导则</w:t>
      </w:r>
      <w:r w:rsidR="008446C1" w:rsidRPr="008446C1">
        <w:rPr>
          <w:rFonts w:hint="eastAsia"/>
          <w:bCs/>
          <w:sz w:val="24"/>
          <w:lang w:val="de-DE"/>
        </w:rPr>
        <w:t xml:space="preserve">  </w:t>
      </w:r>
      <w:r w:rsidR="008446C1" w:rsidRPr="008446C1">
        <w:rPr>
          <w:bCs/>
          <w:sz w:val="24"/>
          <w:lang w:val="de-DE"/>
        </w:rPr>
        <w:t>声环境》（</w:t>
      </w:r>
      <w:r w:rsidR="008446C1" w:rsidRPr="008446C1">
        <w:rPr>
          <w:bCs/>
          <w:sz w:val="24"/>
          <w:lang w:val="de-DE"/>
        </w:rPr>
        <w:t>HJ2.4-2009</w:t>
      </w:r>
      <w:r w:rsidR="008446C1" w:rsidRPr="008446C1">
        <w:rPr>
          <w:bCs/>
          <w:sz w:val="24"/>
          <w:lang w:val="de-DE"/>
        </w:rPr>
        <w:t>）</w:t>
      </w:r>
      <w:r w:rsidR="008446C1">
        <w:rPr>
          <w:rFonts w:hint="eastAsia"/>
          <w:bCs/>
          <w:sz w:val="24"/>
          <w:lang w:val="de-DE"/>
        </w:rPr>
        <w:t>、</w:t>
      </w:r>
      <w:r w:rsidR="008446C1" w:rsidRPr="008446C1">
        <w:rPr>
          <w:bCs/>
          <w:sz w:val="24"/>
          <w:lang w:val="de-DE"/>
        </w:rPr>
        <w:t>《环境影响评价技术导则</w:t>
      </w:r>
      <w:r w:rsidR="008446C1" w:rsidRPr="008446C1">
        <w:rPr>
          <w:rFonts w:hint="eastAsia"/>
          <w:bCs/>
          <w:sz w:val="24"/>
          <w:lang w:val="de-DE"/>
        </w:rPr>
        <w:t xml:space="preserve">  </w:t>
      </w:r>
      <w:r w:rsidR="008446C1" w:rsidRPr="008446C1">
        <w:rPr>
          <w:bCs/>
          <w:sz w:val="24"/>
          <w:lang w:val="de-DE"/>
        </w:rPr>
        <w:t>地下水环境》（</w:t>
      </w:r>
      <w:r w:rsidR="008446C1" w:rsidRPr="008446C1">
        <w:rPr>
          <w:bCs/>
          <w:sz w:val="24"/>
          <w:lang w:val="de-DE"/>
        </w:rPr>
        <w:t>HJ610-2016</w:t>
      </w:r>
      <w:r w:rsidR="008446C1" w:rsidRPr="008446C1">
        <w:rPr>
          <w:bCs/>
          <w:sz w:val="24"/>
          <w:lang w:val="de-DE"/>
        </w:rPr>
        <w:t>）</w:t>
      </w:r>
      <w:r w:rsidR="008446C1">
        <w:rPr>
          <w:rFonts w:hint="eastAsia"/>
          <w:bCs/>
          <w:sz w:val="24"/>
          <w:lang w:val="de-DE"/>
        </w:rPr>
        <w:t>、</w:t>
      </w:r>
      <w:r w:rsidR="008446C1" w:rsidRPr="008446C1">
        <w:rPr>
          <w:bCs/>
          <w:sz w:val="24"/>
          <w:lang w:val="de-DE"/>
        </w:rPr>
        <w:t>《环境影响评价技术导则</w:t>
      </w:r>
      <w:r w:rsidR="008446C1" w:rsidRPr="008446C1">
        <w:rPr>
          <w:rFonts w:hint="eastAsia"/>
          <w:bCs/>
          <w:sz w:val="24"/>
          <w:lang w:val="de-DE"/>
        </w:rPr>
        <w:t xml:space="preserve">  </w:t>
      </w:r>
      <w:r w:rsidR="008446C1" w:rsidRPr="008446C1">
        <w:rPr>
          <w:bCs/>
          <w:sz w:val="24"/>
          <w:lang w:val="de-DE"/>
        </w:rPr>
        <w:t>土壤环境（试行）》（</w:t>
      </w:r>
      <w:r w:rsidR="008446C1" w:rsidRPr="008446C1">
        <w:rPr>
          <w:bCs/>
          <w:sz w:val="24"/>
          <w:lang w:val="de-DE"/>
        </w:rPr>
        <w:t>HJ964-2018</w:t>
      </w:r>
      <w:r w:rsidR="008446C1" w:rsidRPr="008446C1">
        <w:rPr>
          <w:bCs/>
          <w:sz w:val="24"/>
          <w:lang w:val="de-DE"/>
        </w:rPr>
        <w:t>）</w:t>
      </w:r>
      <w:r w:rsidR="008446C1">
        <w:rPr>
          <w:rFonts w:hint="eastAsia"/>
          <w:bCs/>
          <w:sz w:val="24"/>
          <w:lang w:val="de-DE"/>
        </w:rPr>
        <w:t>及</w:t>
      </w:r>
      <w:r w:rsidR="008446C1" w:rsidRPr="008446C1">
        <w:rPr>
          <w:rFonts w:hint="eastAsia"/>
          <w:b/>
          <w:bCs/>
          <w:i/>
          <w:sz w:val="24"/>
          <w:u w:val="single"/>
        </w:rPr>
        <w:t>《排污单位自行监测技术指南</w:t>
      </w:r>
      <w:r w:rsidR="008446C1" w:rsidRPr="008446C1">
        <w:rPr>
          <w:rFonts w:hint="eastAsia"/>
          <w:b/>
          <w:bCs/>
          <w:i/>
          <w:sz w:val="24"/>
          <w:u w:val="single"/>
        </w:rPr>
        <w:t xml:space="preserve"> </w:t>
      </w:r>
      <w:r w:rsidR="008446C1" w:rsidRPr="008446C1">
        <w:rPr>
          <w:rFonts w:hint="eastAsia"/>
          <w:b/>
          <w:bCs/>
          <w:i/>
          <w:sz w:val="24"/>
          <w:u w:val="single"/>
        </w:rPr>
        <w:t>总则》（</w:t>
      </w:r>
      <w:r w:rsidR="008446C1" w:rsidRPr="008446C1">
        <w:rPr>
          <w:rFonts w:hint="eastAsia"/>
          <w:b/>
          <w:bCs/>
          <w:i/>
          <w:sz w:val="24"/>
          <w:u w:val="single"/>
        </w:rPr>
        <w:t>HJ 819-2017</w:t>
      </w:r>
      <w:r w:rsidR="008446C1" w:rsidRPr="008446C1">
        <w:rPr>
          <w:rFonts w:hint="eastAsia"/>
          <w:b/>
          <w:bCs/>
          <w:i/>
          <w:sz w:val="24"/>
          <w:u w:val="single"/>
        </w:rPr>
        <w:t>）</w:t>
      </w:r>
      <w:r w:rsidR="008446C1">
        <w:rPr>
          <w:rFonts w:hint="eastAsia"/>
          <w:b/>
          <w:bCs/>
          <w:i/>
          <w:sz w:val="24"/>
          <w:u w:val="single"/>
        </w:rPr>
        <w:t>等，</w:t>
      </w:r>
      <w:r>
        <w:rPr>
          <w:sz w:val="24"/>
        </w:rPr>
        <w:t>制定出本项目运行期环境监测计划，详见表</w:t>
      </w:r>
      <w:r>
        <w:rPr>
          <w:sz w:val="24"/>
        </w:rPr>
        <w:t>9.2-1</w:t>
      </w:r>
      <w:r>
        <w:rPr>
          <w:sz w:val="24"/>
        </w:rPr>
        <w:t>。</w:t>
      </w:r>
    </w:p>
    <w:p w:rsidR="00240BCE" w:rsidRDefault="00AC0334">
      <w:pPr>
        <w:spacing w:line="400" w:lineRule="exact"/>
        <w:jc w:val="center"/>
        <w:rPr>
          <w:rFonts w:eastAsia="黑体"/>
          <w:sz w:val="24"/>
        </w:rPr>
      </w:pPr>
      <w:r>
        <w:rPr>
          <w:rFonts w:eastAsia="黑体"/>
          <w:sz w:val="24"/>
        </w:rPr>
        <w:t>表</w:t>
      </w:r>
      <w:r>
        <w:rPr>
          <w:rFonts w:eastAsia="黑体"/>
          <w:sz w:val="24"/>
        </w:rPr>
        <w:t xml:space="preserve">9.2-1    </w:t>
      </w:r>
      <w:r>
        <w:rPr>
          <w:rFonts w:eastAsia="黑体"/>
          <w:sz w:val="24"/>
        </w:rPr>
        <w:t>运行期环境监测计划一览表</w:t>
      </w:r>
      <w:r>
        <w:rPr>
          <w:rFonts w:eastAsia="黑体"/>
          <w:sz w:val="24"/>
        </w:rPr>
        <w:t xml:space="preserve">              </w:t>
      </w:r>
    </w:p>
    <w:tbl>
      <w:tblPr>
        <w:tblW w:w="50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05"/>
        <w:gridCol w:w="1619"/>
        <w:gridCol w:w="1801"/>
        <w:gridCol w:w="1619"/>
        <w:gridCol w:w="2875"/>
      </w:tblGrid>
      <w:tr w:rsidR="00240BCE">
        <w:tc>
          <w:tcPr>
            <w:tcW w:w="513" w:type="pct"/>
            <w:vAlign w:val="center"/>
          </w:tcPr>
          <w:p w:rsidR="00240BCE" w:rsidRDefault="00AC0334">
            <w:pPr>
              <w:spacing w:line="320" w:lineRule="exact"/>
              <w:jc w:val="center"/>
              <w:rPr>
                <w:sz w:val="21"/>
                <w:szCs w:val="21"/>
              </w:rPr>
            </w:pPr>
            <w:r>
              <w:rPr>
                <w:sz w:val="21"/>
                <w:szCs w:val="21"/>
              </w:rPr>
              <w:t>类别</w:t>
            </w:r>
          </w:p>
        </w:tc>
        <w:tc>
          <w:tcPr>
            <w:tcW w:w="918" w:type="pct"/>
            <w:vAlign w:val="center"/>
          </w:tcPr>
          <w:p w:rsidR="00240BCE" w:rsidRDefault="00AC0334">
            <w:pPr>
              <w:spacing w:line="320" w:lineRule="exact"/>
              <w:jc w:val="center"/>
              <w:rPr>
                <w:sz w:val="21"/>
                <w:szCs w:val="21"/>
              </w:rPr>
            </w:pPr>
            <w:r>
              <w:rPr>
                <w:sz w:val="21"/>
                <w:szCs w:val="21"/>
              </w:rPr>
              <w:t>监测点</w:t>
            </w:r>
          </w:p>
        </w:tc>
        <w:tc>
          <w:tcPr>
            <w:tcW w:w="1021" w:type="pct"/>
            <w:vAlign w:val="center"/>
          </w:tcPr>
          <w:p w:rsidR="00240BCE" w:rsidRDefault="00AC0334">
            <w:pPr>
              <w:spacing w:line="320" w:lineRule="exact"/>
              <w:jc w:val="center"/>
              <w:rPr>
                <w:sz w:val="21"/>
                <w:szCs w:val="21"/>
              </w:rPr>
            </w:pPr>
            <w:r>
              <w:rPr>
                <w:sz w:val="21"/>
                <w:szCs w:val="21"/>
              </w:rPr>
              <w:t>监测项目</w:t>
            </w:r>
          </w:p>
        </w:tc>
        <w:tc>
          <w:tcPr>
            <w:tcW w:w="918" w:type="pct"/>
            <w:vAlign w:val="center"/>
          </w:tcPr>
          <w:p w:rsidR="00240BCE" w:rsidRDefault="00AC0334">
            <w:pPr>
              <w:spacing w:line="320" w:lineRule="exact"/>
              <w:jc w:val="center"/>
              <w:rPr>
                <w:sz w:val="21"/>
                <w:szCs w:val="21"/>
              </w:rPr>
            </w:pPr>
            <w:r>
              <w:rPr>
                <w:sz w:val="21"/>
                <w:szCs w:val="21"/>
              </w:rPr>
              <w:t>监测频率</w:t>
            </w:r>
          </w:p>
        </w:tc>
        <w:tc>
          <w:tcPr>
            <w:tcW w:w="1630" w:type="pct"/>
            <w:vAlign w:val="center"/>
          </w:tcPr>
          <w:p w:rsidR="00240BCE" w:rsidRDefault="00AC0334">
            <w:pPr>
              <w:spacing w:line="320" w:lineRule="exact"/>
              <w:jc w:val="center"/>
              <w:rPr>
                <w:sz w:val="21"/>
                <w:szCs w:val="21"/>
              </w:rPr>
            </w:pPr>
            <w:r>
              <w:rPr>
                <w:sz w:val="21"/>
                <w:szCs w:val="21"/>
              </w:rPr>
              <w:t>控制目标</w:t>
            </w:r>
          </w:p>
        </w:tc>
      </w:tr>
      <w:tr w:rsidR="00240BCE">
        <w:tc>
          <w:tcPr>
            <w:tcW w:w="513" w:type="pct"/>
            <w:vAlign w:val="center"/>
          </w:tcPr>
          <w:p w:rsidR="00240BCE" w:rsidRDefault="00AC0334">
            <w:pPr>
              <w:spacing w:line="320" w:lineRule="exact"/>
              <w:jc w:val="center"/>
              <w:rPr>
                <w:sz w:val="21"/>
                <w:szCs w:val="21"/>
              </w:rPr>
            </w:pPr>
            <w:r>
              <w:rPr>
                <w:sz w:val="21"/>
                <w:szCs w:val="21"/>
              </w:rPr>
              <w:t>井下排水</w:t>
            </w:r>
          </w:p>
        </w:tc>
        <w:tc>
          <w:tcPr>
            <w:tcW w:w="918" w:type="pct"/>
            <w:vAlign w:val="center"/>
          </w:tcPr>
          <w:p w:rsidR="00240BCE" w:rsidRDefault="00AC0334">
            <w:pPr>
              <w:spacing w:line="300" w:lineRule="exact"/>
              <w:rPr>
                <w:sz w:val="21"/>
                <w:szCs w:val="21"/>
              </w:rPr>
            </w:pPr>
            <w:r>
              <w:rPr>
                <w:sz w:val="21"/>
                <w:szCs w:val="21"/>
              </w:rPr>
              <w:t>矿井水处理设施出口</w:t>
            </w:r>
          </w:p>
        </w:tc>
        <w:tc>
          <w:tcPr>
            <w:tcW w:w="1021" w:type="pct"/>
            <w:vAlign w:val="center"/>
          </w:tcPr>
          <w:p w:rsidR="00240BCE" w:rsidRDefault="00346858">
            <w:pPr>
              <w:spacing w:line="300" w:lineRule="exact"/>
              <w:rPr>
                <w:sz w:val="21"/>
                <w:szCs w:val="21"/>
              </w:rPr>
            </w:pPr>
            <w:r>
              <w:rPr>
                <w:rFonts w:hint="eastAsia"/>
                <w:sz w:val="21"/>
                <w:szCs w:val="21"/>
              </w:rPr>
              <w:t>p</w:t>
            </w:r>
            <w:r w:rsidR="00AC0334">
              <w:rPr>
                <w:sz w:val="21"/>
                <w:szCs w:val="21"/>
              </w:rPr>
              <w:t>H</w:t>
            </w:r>
            <w:r w:rsidR="00AC0334">
              <w:rPr>
                <w:sz w:val="21"/>
                <w:szCs w:val="21"/>
              </w:rPr>
              <w:t>、</w:t>
            </w:r>
            <w:r w:rsidR="00AC0334">
              <w:rPr>
                <w:sz w:val="21"/>
                <w:szCs w:val="21"/>
              </w:rPr>
              <w:t>SS</w:t>
            </w:r>
            <w:r w:rsidR="00AC0334">
              <w:rPr>
                <w:sz w:val="21"/>
                <w:szCs w:val="21"/>
              </w:rPr>
              <w:t>、</w:t>
            </w:r>
            <w:r w:rsidR="00AC0334">
              <w:rPr>
                <w:sz w:val="21"/>
                <w:szCs w:val="21"/>
              </w:rPr>
              <w:t>COD</w:t>
            </w:r>
            <w:r w:rsidR="00AC0334">
              <w:rPr>
                <w:sz w:val="21"/>
                <w:szCs w:val="21"/>
              </w:rPr>
              <w:t>、</w:t>
            </w:r>
            <w:r w:rsidR="00A80251">
              <w:rPr>
                <w:rFonts w:hint="eastAsia"/>
                <w:sz w:val="21"/>
                <w:szCs w:val="21"/>
              </w:rPr>
              <w:t>氨氮、</w:t>
            </w:r>
            <w:r w:rsidR="00AC0334">
              <w:rPr>
                <w:sz w:val="21"/>
                <w:szCs w:val="21"/>
              </w:rPr>
              <w:t>石油类、重金属等</w:t>
            </w:r>
          </w:p>
        </w:tc>
        <w:tc>
          <w:tcPr>
            <w:tcW w:w="918" w:type="pct"/>
            <w:vAlign w:val="center"/>
          </w:tcPr>
          <w:p w:rsidR="00DB4807" w:rsidRPr="006163EC" w:rsidRDefault="006163EC" w:rsidP="006163EC">
            <w:pPr>
              <w:spacing w:line="300" w:lineRule="exact"/>
              <w:rPr>
                <w:rFonts w:ascii="宋体" w:hAnsi="宋体"/>
                <w:sz w:val="21"/>
                <w:szCs w:val="21"/>
              </w:rPr>
            </w:pPr>
            <w:r>
              <w:rPr>
                <w:rFonts w:ascii="宋体" w:hAnsi="宋体" w:hint="eastAsia"/>
                <w:sz w:val="21"/>
                <w:szCs w:val="21"/>
              </w:rPr>
              <w:t>①</w:t>
            </w:r>
            <w:r w:rsidR="008446C1" w:rsidRPr="006163EC">
              <w:rPr>
                <w:rFonts w:ascii="宋体" w:hAnsi="宋体" w:hint="eastAsia"/>
                <w:sz w:val="21"/>
                <w:szCs w:val="21"/>
              </w:rPr>
              <w:t>在线监测</w:t>
            </w:r>
            <w:r>
              <w:rPr>
                <w:rFonts w:ascii="宋体" w:hAnsi="宋体" w:hint="eastAsia"/>
                <w:sz w:val="21"/>
                <w:szCs w:val="21"/>
              </w:rPr>
              <w:t>（监测</w:t>
            </w:r>
            <w:r w:rsidRPr="006163EC">
              <w:rPr>
                <w:rFonts w:ascii="宋体" w:hAnsi="宋体" w:hint="eastAsia"/>
                <w:sz w:val="21"/>
                <w:szCs w:val="21"/>
              </w:rPr>
              <w:t>流量</w:t>
            </w:r>
            <w:r>
              <w:rPr>
                <w:rFonts w:ascii="宋体" w:hAnsi="宋体" w:hint="eastAsia"/>
                <w:sz w:val="21"/>
                <w:szCs w:val="21"/>
              </w:rPr>
              <w:t>和</w:t>
            </w:r>
            <w:r w:rsidR="00DB4807" w:rsidRPr="006163EC">
              <w:rPr>
                <w:rFonts w:ascii="宋体" w:hAnsi="宋体" w:hint="eastAsia"/>
                <w:sz w:val="21"/>
                <w:szCs w:val="21"/>
              </w:rPr>
              <w:t>COD）</w:t>
            </w:r>
          </w:p>
          <w:p w:rsidR="00240BCE" w:rsidRDefault="00BB6262" w:rsidP="00BB6262">
            <w:pPr>
              <w:spacing w:line="300" w:lineRule="exact"/>
              <w:rPr>
                <w:sz w:val="21"/>
                <w:szCs w:val="21"/>
              </w:rPr>
            </w:pPr>
            <w:r>
              <w:rPr>
                <w:rFonts w:ascii="宋体" w:hAnsi="宋体" w:hint="eastAsia"/>
                <w:sz w:val="21"/>
                <w:szCs w:val="21"/>
              </w:rPr>
              <w:t>②</w:t>
            </w:r>
            <w:r w:rsidR="00A80251">
              <w:rPr>
                <w:rFonts w:ascii="宋体" w:hAnsi="宋体" w:hint="eastAsia"/>
                <w:sz w:val="21"/>
                <w:szCs w:val="21"/>
              </w:rPr>
              <w:t>正常生产</w:t>
            </w:r>
            <w:r w:rsidR="00AC0334">
              <w:rPr>
                <w:sz w:val="21"/>
                <w:szCs w:val="21"/>
              </w:rPr>
              <w:t>每月至少监测</w:t>
            </w:r>
            <w:r w:rsidR="00AC0334">
              <w:rPr>
                <w:sz w:val="21"/>
                <w:szCs w:val="21"/>
              </w:rPr>
              <w:t>1</w:t>
            </w:r>
            <w:r w:rsidR="00AC0334">
              <w:rPr>
                <w:sz w:val="21"/>
                <w:szCs w:val="21"/>
              </w:rPr>
              <w:t>次，</w:t>
            </w:r>
            <w:r>
              <w:rPr>
                <w:sz w:val="21"/>
                <w:szCs w:val="21"/>
              </w:rPr>
              <w:t>每次监测至少采样</w:t>
            </w:r>
            <w:r>
              <w:rPr>
                <w:sz w:val="21"/>
                <w:szCs w:val="21"/>
              </w:rPr>
              <w:t>3</w:t>
            </w:r>
            <w:r>
              <w:rPr>
                <w:sz w:val="21"/>
                <w:szCs w:val="21"/>
              </w:rPr>
              <w:t>次</w:t>
            </w:r>
            <w:r>
              <w:rPr>
                <w:rFonts w:hint="eastAsia"/>
                <w:sz w:val="21"/>
                <w:szCs w:val="21"/>
              </w:rPr>
              <w:t>，</w:t>
            </w:r>
            <w:r w:rsidR="00AC0334">
              <w:rPr>
                <w:sz w:val="21"/>
                <w:szCs w:val="21"/>
              </w:rPr>
              <w:t>每</w:t>
            </w:r>
            <w:r w:rsidR="00AC0334">
              <w:rPr>
                <w:sz w:val="21"/>
                <w:szCs w:val="21"/>
              </w:rPr>
              <w:t>3h</w:t>
            </w:r>
            <w:r w:rsidR="00AC0334">
              <w:rPr>
                <w:sz w:val="21"/>
                <w:szCs w:val="21"/>
              </w:rPr>
              <w:t>采样一次，</w:t>
            </w:r>
          </w:p>
        </w:tc>
        <w:tc>
          <w:tcPr>
            <w:tcW w:w="1630" w:type="pct"/>
            <w:vAlign w:val="center"/>
          </w:tcPr>
          <w:p w:rsidR="00240BCE" w:rsidRDefault="00D16133" w:rsidP="004474CB">
            <w:pPr>
              <w:spacing w:line="240" w:lineRule="exact"/>
              <w:rPr>
                <w:sz w:val="21"/>
                <w:szCs w:val="21"/>
              </w:rPr>
            </w:pPr>
            <w:r w:rsidRPr="004474CB">
              <w:rPr>
                <w:rFonts w:hint="eastAsia"/>
                <w:b/>
                <w:i/>
                <w:sz w:val="21"/>
                <w:szCs w:val="21"/>
                <w:u w:val="single"/>
              </w:rPr>
              <w:t>满足《煤炭工业污染物排放标准》</w:t>
            </w:r>
            <w:r w:rsidR="004474CB" w:rsidRPr="004474CB">
              <w:rPr>
                <w:b/>
                <w:bCs/>
                <w:i/>
                <w:iCs/>
                <w:sz w:val="21"/>
                <w:szCs w:val="21"/>
                <w:u w:val="single"/>
              </w:rPr>
              <w:t>（</w:t>
            </w:r>
            <w:r w:rsidR="004474CB" w:rsidRPr="004474CB">
              <w:rPr>
                <w:b/>
                <w:bCs/>
                <w:i/>
                <w:iCs/>
                <w:sz w:val="21"/>
                <w:szCs w:val="21"/>
                <w:u w:val="single"/>
              </w:rPr>
              <w:t>GB20426-2006</w:t>
            </w:r>
            <w:r w:rsidR="004474CB" w:rsidRPr="004474CB">
              <w:rPr>
                <w:b/>
                <w:bCs/>
                <w:i/>
                <w:iCs/>
                <w:sz w:val="21"/>
                <w:szCs w:val="21"/>
                <w:u w:val="single"/>
              </w:rPr>
              <w:t>）</w:t>
            </w:r>
            <w:r w:rsidRPr="004474CB">
              <w:rPr>
                <w:rFonts w:hint="eastAsia"/>
                <w:b/>
                <w:i/>
                <w:sz w:val="21"/>
                <w:szCs w:val="21"/>
                <w:u w:val="single"/>
              </w:rPr>
              <w:t>、《地表水环境质量标准》</w:t>
            </w:r>
            <w:r w:rsidRPr="004474CB">
              <w:rPr>
                <w:rFonts w:hint="eastAsia"/>
                <w:b/>
                <w:i/>
                <w:sz w:val="21"/>
                <w:szCs w:val="21"/>
                <w:u w:val="single"/>
              </w:rPr>
              <w:t xml:space="preserve">(GB3838-2002) </w:t>
            </w:r>
            <w:r w:rsidRPr="004474CB">
              <w:rPr>
                <w:rFonts w:hint="eastAsia"/>
                <w:b/>
                <w:i/>
                <w:sz w:val="21"/>
                <w:szCs w:val="21"/>
                <w:u w:val="single"/>
              </w:rPr>
              <w:t>Ⅲ类标准值》</w:t>
            </w:r>
            <w:r w:rsidR="004474CB" w:rsidRPr="004474CB">
              <w:rPr>
                <w:rFonts w:hint="eastAsia"/>
                <w:b/>
                <w:i/>
                <w:sz w:val="21"/>
                <w:szCs w:val="21"/>
                <w:u w:val="single"/>
              </w:rPr>
              <w:t>，</w:t>
            </w:r>
            <w:r w:rsidR="004474CB">
              <w:rPr>
                <w:rFonts w:hint="eastAsia"/>
                <w:sz w:val="21"/>
                <w:szCs w:val="21"/>
              </w:rPr>
              <w:t>即</w:t>
            </w:r>
            <w:r w:rsidR="00346858" w:rsidRPr="004474CB">
              <w:rPr>
                <w:rFonts w:hint="eastAsia"/>
                <w:sz w:val="21"/>
                <w:szCs w:val="21"/>
              </w:rPr>
              <w:t>p</w:t>
            </w:r>
            <w:r w:rsidR="00AC0334" w:rsidRPr="004474CB">
              <w:rPr>
                <w:sz w:val="21"/>
                <w:szCs w:val="21"/>
              </w:rPr>
              <w:t>H 6</w:t>
            </w:r>
            <w:r w:rsidR="00AC0334" w:rsidRPr="004474CB">
              <w:rPr>
                <w:sz w:val="21"/>
                <w:szCs w:val="21"/>
              </w:rPr>
              <w:t>～</w:t>
            </w:r>
            <w:r w:rsidR="00AC0334" w:rsidRPr="004474CB">
              <w:rPr>
                <w:sz w:val="21"/>
                <w:szCs w:val="21"/>
              </w:rPr>
              <w:t>9</w:t>
            </w:r>
            <w:r w:rsidR="00AC0334" w:rsidRPr="004474CB">
              <w:rPr>
                <w:sz w:val="21"/>
                <w:szCs w:val="21"/>
              </w:rPr>
              <w:t>；</w:t>
            </w:r>
            <w:r w:rsidR="00AC0334" w:rsidRPr="004474CB">
              <w:rPr>
                <w:sz w:val="21"/>
                <w:szCs w:val="21"/>
              </w:rPr>
              <w:t>COD ≤</w:t>
            </w:r>
            <w:r w:rsidR="004474CB">
              <w:rPr>
                <w:rFonts w:hint="eastAsia"/>
                <w:sz w:val="21"/>
                <w:szCs w:val="21"/>
              </w:rPr>
              <w:t>2</w:t>
            </w:r>
            <w:r w:rsidR="00AC0334" w:rsidRPr="004474CB">
              <w:rPr>
                <w:sz w:val="21"/>
                <w:szCs w:val="21"/>
              </w:rPr>
              <w:t>0mg/L</w:t>
            </w:r>
            <w:r w:rsidR="00AC0334" w:rsidRPr="004474CB">
              <w:rPr>
                <w:sz w:val="21"/>
                <w:szCs w:val="21"/>
              </w:rPr>
              <w:t>；</w:t>
            </w:r>
            <w:r w:rsidR="004474CB">
              <w:rPr>
                <w:rFonts w:hint="eastAsia"/>
                <w:sz w:val="21"/>
                <w:szCs w:val="21"/>
              </w:rPr>
              <w:t>氨氮</w:t>
            </w:r>
            <w:r w:rsidR="00AC0334" w:rsidRPr="004474CB">
              <w:rPr>
                <w:sz w:val="21"/>
                <w:szCs w:val="21"/>
              </w:rPr>
              <w:t>≤</w:t>
            </w:r>
            <w:r w:rsidR="004474CB">
              <w:rPr>
                <w:rFonts w:hint="eastAsia"/>
                <w:sz w:val="21"/>
                <w:szCs w:val="21"/>
              </w:rPr>
              <w:t>1.</w:t>
            </w:r>
            <w:r w:rsidR="00AC0334" w:rsidRPr="004474CB">
              <w:rPr>
                <w:sz w:val="21"/>
                <w:szCs w:val="21"/>
              </w:rPr>
              <w:t>0mg/L</w:t>
            </w:r>
            <w:r w:rsidR="00AC0334" w:rsidRPr="004474CB">
              <w:rPr>
                <w:sz w:val="21"/>
                <w:szCs w:val="21"/>
              </w:rPr>
              <w:t>；石油类</w:t>
            </w:r>
            <w:r w:rsidR="00AC0334" w:rsidRPr="004474CB">
              <w:rPr>
                <w:sz w:val="21"/>
                <w:szCs w:val="21"/>
              </w:rPr>
              <w:t xml:space="preserve"> ≤</w:t>
            </w:r>
            <w:r w:rsidR="004474CB">
              <w:rPr>
                <w:rFonts w:hint="eastAsia"/>
                <w:sz w:val="21"/>
                <w:szCs w:val="21"/>
              </w:rPr>
              <w:t>0.0</w:t>
            </w:r>
            <w:r w:rsidR="00AC0334" w:rsidRPr="004474CB">
              <w:rPr>
                <w:sz w:val="21"/>
                <w:szCs w:val="21"/>
              </w:rPr>
              <w:t>5mg/L</w:t>
            </w:r>
            <w:r w:rsidR="00AC0334" w:rsidRPr="004474CB">
              <w:rPr>
                <w:sz w:val="21"/>
                <w:szCs w:val="21"/>
              </w:rPr>
              <w:t>；总砷</w:t>
            </w:r>
            <w:r w:rsidR="00AC0334" w:rsidRPr="004474CB">
              <w:rPr>
                <w:sz w:val="21"/>
                <w:szCs w:val="21"/>
              </w:rPr>
              <w:t>≤0.</w:t>
            </w:r>
            <w:r w:rsidR="004474CB">
              <w:rPr>
                <w:rFonts w:hint="eastAsia"/>
                <w:sz w:val="21"/>
                <w:szCs w:val="21"/>
              </w:rPr>
              <w:t>0</w:t>
            </w:r>
            <w:r w:rsidR="00AC0334" w:rsidRPr="004474CB">
              <w:rPr>
                <w:sz w:val="21"/>
                <w:szCs w:val="21"/>
              </w:rPr>
              <w:t>5mg/L</w:t>
            </w:r>
          </w:p>
        </w:tc>
      </w:tr>
      <w:tr w:rsidR="00240BCE">
        <w:tc>
          <w:tcPr>
            <w:tcW w:w="513" w:type="pct"/>
            <w:vAlign w:val="center"/>
          </w:tcPr>
          <w:p w:rsidR="00240BCE" w:rsidRDefault="00AC0334">
            <w:pPr>
              <w:spacing w:line="320" w:lineRule="exact"/>
              <w:jc w:val="center"/>
              <w:rPr>
                <w:sz w:val="21"/>
                <w:szCs w:val="21"/>
              </w:rPr>
            </w:pPr>
            <w:r>
              <w:rPr>
                <w:sz w:val="21"/>
                <w:szCs w:val="21"/>
              </w:rPr>
              <w:t>生活污水</w:t>
            </w:r>
          </w:p>
        </w:tc>
        <w:tc>
          <w:tcPr>
            <w:tcW w:w="918" w:type="pct"/>
            <w:vAlign w:val="center"/>
          </w:tcPr>
          <w:p w:rsidR="00240BCE" w:rsidRDefault="00AC0334">
            <w:pPr>
              <w:spacing w:line="300" w:lineRule="exact"/>
              <w:rPr>
                <w:sz w:val="21"/>
                <w:szCs w:val="21"/>
              </w:rPr>
            </w:pPr>
            <w:r>
              <w:rPr>
                <w:sz w:val="21"/>
                <w:szCs w:val="21"/>
              </w:rPr>
              <w:t>处理设施出口</w:t>
            </w:r>
          </w:p>
        </w:tc>
        <w:tc>
          <w:tcPr>
            <w:tcW w:w="1021" w:type="pct"/>
            <w:vAlign w:val="center"/>
          </w:tcPr>
          <w:p w:rsidR="00240BCE" w:rsidRDefault="00AC0334">
            <w:pPr>
              <w:spacing w:line="300" w:lineRule="exact"/>
              <w:rPr>
                <w:sz w:val="21"/>
                <w:szCs w:val="21"/>
              </w:rPr>
            </w:pPr>
            <w:r>
              <w:rPr>
                <w:sz w:val="21"/>
                <w:szCs w:val="21"/>
              </w:rPr>
              <w:t>COD</w:t>
            </w:r>
            <w:r>
              <w:rPr>
                <w:sz w:val="21"/>
                <w:szCs w:val="21"/>
              </w:rPr>
              <w:t>、</w:t>
            </w:r>
            <w:r>
              <w:rPr>
                <w:sz w:val="21"/>
                <w:szCs w:val="21"/>
              </w:rPr>
              <w:t>SS</w:t>
            </w:r>
            <w:r>
              <w:rPr>
                <w:sz w:val="21"/>
                <w:szCs w:val="21"/>
              </w:rPr>
              <w:t>、氨氮</w:t>
            </w:r>
          </w:p>
        </w:tc>
        <w:tc>
          <w:tcPr>
            <w:tcW w:w="918" w:type="pct"/>
            <w:vAlign w:val="center"/>
          </w:tcPr>
          <w:p w:rsidR="00240BCE" w:rsidRDefault="00AC0334">
            <w:pPr>
              <w:spacing w:line="300" w:lineRule="exact"/>
              <w:rPr>
                <w:sz w:val="21"/>
                <w:szCs w:val="21"/>
              </w:rPr>
            </w:pPr>
            <w:r>
              <w:rPr>
                <w:sz w:val="21"/>
                <w:szCs w:val="21"/>
              </w:rPr>
              <w:t>每季度一次，每次两天</w:t>
            </w:r>
          </w:p>
        </w:tc>
        <w:tc>
          <w:tcPr>
            <w:tcW w:w="1630" w:type="pct"/>
            <w:vAlign w:val="center"/>
          </w:tcPr>
          <w:p w:rsidR="00240BCE" w:rsidRPr="004474CB" w:rsidRDefault="004474CB" w:rsidP="004474CB">
            <w:pPr>
              <w:spacing w:line="300" w:lineRule="exact"/>
              <w:rPr>
                <w:b/>
                <w:i/>
                <w:sz w:val="21"/>
                <w:szCs w:val="21"/>
                <w:u w:val="single"/>
              </w:rPr>
            </w:pPr>
            <w:r w:rsidRPr="004474CB">
              <w:rPr>
                <w:b/>
                <w:bCs/>
                <w:i/>
                <w:iCs/>
                <w:sz w:val="21"/>
                <w:szCs w:val="21"/>
                <w:u w:val="single"/>
              </w:rPr>
              <w:t>《污水综合排放标准》（</w:t>
            </w:r>
            <w:r w:rsidRPr="004474CB">
              <w:rPr>
                <w:b/>
                <w:bCs/>
                <w:i/>
                <w:iCs/>
                <w:sz w:val="21"/>
                <w:szCs w:val="21"/>
                <w:u w:val="single"/>
              </w:rPr>
              <w:t>GB8978-1996</w:t>
            </w:r>
            <w:r w:rsidRPr="004474CB">
              <w:rPr>
                <w:b/>
                <w:bCs/>
                <w:i/>
                <w:iCs/>
                <w:sz w:val="21"/>
                <w:szCs w:val="21"/>
                <w:u w:val="single"/>
              </w:rPr>
              <w:t>）表</w:t>
            </w:r>
            <w:r w:rsidRPr="004474CB">
              <w:rPr>
                <w:b/>
                <w:bCs/>
                <w:i/>
                <w:iCs/>
                <w:sz w:val="21"/>
                <w:szCs w:val="21"/>
                <w:u w:val="single"/>
              </w:rPr>
              <w:t>4</w:t>
            </w:r>
            <w:r w:rsidRPr="004474CB">
              <w:rPr>
                <w:b/>
                <w:bCs/>
                <w:i/>
                <w:iCs/>
                <w:sz w:val="21"/>
                <w:szCs w:val="21"/>
                <w:u w:val="single"/>
              </w:rPr>
              <w:t>一级标准</w:t>
            </w:r>
            <w:r w:rsidRPr="004474CB">
              <w:rPr>
                <w:rFonts w:hint="eastAsia"/>
                <w:b/>
                <w:bCs/>
                <w:i/>
                <w:iCs/>
                <w:sz w:val="21"/>
                <w:szCs w:val="21"/>
                <w:u w:val="single"/>
              </w:rPr>
              <w:t>，即</w:t>
            </w:r>
            <w:r w:rsidR="00AC0334" w:rsidRPr="004474CB">
              <w:rPr>
                <w:b/>
                <w:i/>
                <w:sz w:val="21"/>
                <w:szCs w:val="21"/>
                <w:u w:val="single"/>
              </w:rPr>
              <w:t>COD ≤100mg/L</w:t>
            </w:r>
            <w:r w:rsidR="00AC0334" w:rsidRPr="004474CB">
              <w:rPr>
                <w:b/>
                <w:i/>
                <w:sz w:val="21"/>
                <w:szCs w:val="21"/>
                <w:u w:val="single"/>
              </w:rPr>
              <w:t>；</w:t>
            </w:r>
            <w:r w:rsidR="00AC0334" w:rsidRPr="004474CB">
              <w:rPr>
                <w:b/>
                <w:i/>
                <w:sz w:val="21"/>
                <w:szCs w:val="21"/>
                <w:u w:val="single"/>
              </w:rPr>
              <w:t>SS ≤70mg/L</w:t>
            </w:r>
            <w:r w:rsidR="00AC0334" w:rsidRPr="004474CB">
              <w:rPr>
                <w:b/>
                <w:i/>
                <w:sz w:val="21"/>
                <w:szCs w:val="21"/>
                <w:u w:val="single"/>
              </w:rPr>
              <w:t>；氨氮</w:t>
            </w:r>
            <w:r w:rsidR="00AC0334" w:rsidRPr="004474CB">
              <w:rPr>
                <w:b/>
                <w:i/>
                <w:sz w:val="21"/>
                <w:szCs w:val="21"/>
                <w:u w:val="single"/>
              </w:rPr>
              <w:t>≤25</w:t>
            </w:r>
            <w:r w:rsidRPr="004474CB">
              <w:rPr>
                <w:rFonts w:hint="eastAsia"/>
                <w:b/>
                <w:i/>
                <w:sz w:val="21"/>
                <w:szCs w:val="21"/>
                <w:u w:val="single"/>
              </w:rPr>
              <w:t>，</w:t>
            </w:r>
            <w:r w:rsidRPr="004474CB">
              <w:rPr>
                <w:rFonts w:hint="eastAsia"/>
                <w:b/>
                <w:bCs/>
                <w:i/>
                <w:iCs/>
                <w:sz w:val="21"/>
                <w:szCs w:val="21"/>
                <w:u w:val="single"/>
              </w:rPr>
              <w:t>且不外排</w:t>
            </w:r>
          </w:p>
        </w:tc>
      </w:tr>
      <w:tr w:rsidR="00240BCE">
        <w:tc>
          <w:tcPr>
            <w:tcW w:w="513" w:type="pct"/>
            <w:vMerge w:val="restart"/>
            <w:vAlign w:val="center"/>
          </w:tcPr>
          <w:p w:rsidR="00240BCE" w:rsidRDefault="00AC0334">
            <w:pPr>
              <w:spacing w:line="320" w:lineRule="exact"/>
              <w:jc w:val="center"/>
              <w:rPr>
                <w:sz w:val="21"/>
                <w:szCs w:val="21"/>
              </w:rPr>
            </w:pPr>
            <w:r>
              <w:rPr>
                <w:sz w:val="21"/>
                <w:szCs w:val="21"/>
              </w:rPr>
              <w:t>环境空气</w:t>
            </w:r>
          </w:p>
        </w:tc>
        <w:tc>
          <w:tcPr>
            <w:tcW w:w="918" w:type="pct"/>
            <w:vAlign w:val="center"/>
          </w:tcPr>
          <w:p w:rsidR="00240BCE" w:rsidRDefault="00AC0334">
            <w:pPr>
              <w:spacing w:line="320" w:lineRule="exact"/>
              <w:jc w:val="center"/>
              <w:rPr>
                <w:sz w:val="21"/>
                <w:szCs w:val="21"/>
              </w:rPr>
            </w:pPr>
            <w:r>
              <w:rPr>
                <w:sz w:val="21"/>
                <w:szCs w:val="21"/>
              </w:rPr>
              <w:t>工业场地、敏感点赵沟村等</w:t>
            </w:r>
          </w:p>
        </w:tc>
        <w:tc>
          <w:tcPr>
            <w:tcW w:w="1021" w:type="pct"/>
            <w:vAlign w:val="center"/>
          </w:tcPr>
          <w:p w:rsidR="00240BCE" w:rsidRDefault="008446C1" w:rsidP="001B69B0">
            <w:pPr>
              <w:spacing w:line="320" w:lineRule="exact"/>
              <w:jc w:val="center"/>
              <w:rPr>
                <w:sz w:val="21"/>
                <w:szCs w:val="21"/>
              </w:rPr>
            </w:pPr>
            <w:r>
              <w:rPr>
                <w:rFonts w:hint="eastAsia"/>
                <w:sz w:val="21"/>
                <w:szCs w:val="21"/>
              </w:rPr>
              <w:t>颗粒物</w:t>
            </w:r>
          </w:p>
        </w:tc>
        <w:tc>
          <w:tcPr>
            <w:tcW w:w="918" w:type="pct"/>
            <w:vAlign w:val="center"/>
          </w:tcPr>
          <w:p w:rsidR="00240BCE" w:rsidRDefault="00AC0334" w:rsidP="008446C1">
            <w:pPr>
              <w:spacing w:line="320" w:lineRule="exact"/>
              <w:jc w:val="center"/>
              <w:rPr>
                <w:sz w:val="21"/>
                <w:szCs w:val="21"/>
              </w:rPr>
            </w:pPr>
            <w:r>
              <w:rPr>
                <w:sz w:val="21"/>
                <w:szCs w:val="21"/>
              </w:rPr>
              <w:t>每</w:t>
            </w:r>
            <w:r w:rsidR="008446C1">
              <w:rPr>
                <w:rFonts w:hint="eastAsia"/>
                <w:sz w:val="21"/>
                <w:szCs w:val="21"/>
              </w:rPr>
              <w:t>年</w:t>
            </w:r>
            <w:r>
              <w:rPr>
                <w:sz w:val="21"/>
                <w:szCs w:val="21"/>
              </w:rPr>
              <w:t>一次，每次</w:t>
            </w:r>
            <w:r>
              <w:rPr>
                <w:sz w:val="21"/>
                <w:szCs w:val="21"/>
              </w:rPr>
              <w:t>3</w:t>
            </w:r>
            <w:r>
              <w:rPr>
                <w:sz w:val="21"/>
                <w:szCs w:val="21"/>
              </w:rPr>
              <w:t>天，</w:t>
            </w:r>
            <w:r>
              <w:rPr>
                <w:sz w:val="21"/>
                <w:szCs w:val="21"/>
              </w:rPr>
              <w:t>24</w:t>
            </w:r>
            <w:r>
              <w:rPr>
                <w:sz w:val="21"/>
                <w:szCs w:val="21"/>
              </w:rPr>
              <w:t>小时连续监测</w:t>
            </w:r>
          </w:p>
        </w:tc>
        <w:tc>
          <w:tcPr>
            <w:tcW w:w="1630" w:type="pct"/>
            <w:vAlign w:val="center"/>
          </w:tcPr>
          <w:p w:rsidR="00240BCE" w:rsidRDefault="004474CB" w:rsidP="001B69B0">
            <w:pPr>
              <w:spacing w:line="320" w:lineRule="exact"/>
              <w:jc w:val="center"/>
              <w:rPr>
                <w:sz w:val="21"/>
                <w:szCs w:val="21"/>
                <w:lang w:val="de-DE"/>
              </w:rPr>
            </w:pPr>
            <w:r w:rsidRPr="004474CB">
              <w:rPr>
                <w:rFonts w:hint="eastAsia"/>
                <w:b/>
                <w:i/>
                <w:sz w:val="21"/>
                <w:szCs w:val="21"/>
                <w:u w:val="single"/>
                <w:lang w:val="de-DE"/>
              </w:rPr>
              <w:t>《环境空气质量标准》（</w:t>
            </w:r>
            <w:r w:rsidRPr="004474CB">
              <w:rPr>
                <w:rFonts w:hint="eastAsia"/>
                <w:b/>
                <w:i/>
                <w:sz w:val="21"/>
                <w:szCs w:val="21"/>
                <w:u w:val="single"/>
                <w:lang w:val="de-DE"/>
              </w:rPr>
              <w:t>GB3095-2012</w:t>
            </w:r>
            <w:r w:rsidRPr="004474CB">
              <w:rPr>
                <w:rFonts w:hint="eastAsia"/>
                <w:b/>
                <w:i/>
                <w:sz w:val="21"/>
                <w:szCs w:val="21"/>
                <w:u w:val="single"/>
                <w:lang w:val="de-DE"/>
              </w:rPr>
              <w:t>）二级标准，</w:t>
            </w:r>
            <w:r>
              <w:rPr>
                <w:rFonts w:hint="eastAsia"/>
                <w:sz w:val="21"/>
                <w:szCs w:val="21"/>
                <w:lang w:val="de-DE"/>
              </w:rPr>
              <w:t>即</w:t>
            </w:r>
            <w:r w:rsidR="00AC0334">
              <w:rPr>
                <w:sz w:val="21"/>
                <w:szCs w:val="21"/>
                <w:lang w:val="de-DE"/>
              </w:rPr>
              <w:t>TSP≤0.3mg/Nm</w:t>
            </w:r>
            <w:r w:rsidR="00AC0334">
              <w:rPr>
                <w:sz w:val="21"/>
                <w:szCs w:val="21"/>
                <w:vertAlign w:val="superscript"/>
                <w:lang w:val="de-DE"/>
              </w:rPr>
              <w:t>3</w:t>
            </w:r>
          </w:p>
        </w:tc>
      </w:tr>
      <w:tr w:rsidR="00240BCE">
        <w:tc>
          <w:tcPr>
            <w:tcW w:w="513" w:type="pct"/>
            <w:vMerge/>
            <w:vAlign w:val="center"/>
          </w:tcPr>
          <w:p w:rsidR="00240BCE" w:rsidRDefault="00240BCE">
            <w:pPr>
              <w:spacing w:line="320" w:lineRule="exact"/>
              <w:jc w:val="center"/>
              <w:rPr>
                <w:sz w:val="21"/>
                <w:szCs w:val="21"/>
                <w:lang w:val="de-DE"/>
              </w:rPr>
            </w:pPr>
          </w:p>
        </w:tc>
        <w:tc>
          <w:tcPr>
            <w:tcW w:w="918" w:type="pct"/>
            <w:vAlign w:val="center"/>
          </w:tcPr>
          <w:p w:rsidR="00240BCE" w:rsidRDefault="00AC0334">
            <w:pPr>
              <w:spacing w:line="300" w:lineRule="exact"/>
              <w:jc w:val="center"/>
              <w:rPr>
                <w:sz w:val="21"/>
                <w:szCs w:val="21"/>
              </w:rPr>
            </w:pPr>
            <w:r>
              <w:rPr>
                <w:sz w:val="21"/>
                <w:szCs w:val="21"/>
              </w:rPr>
              <w:t>煤炭工业无组织排放限值：</w:t>
            </w:r>
            <w:r w:rsidR="00802A62">
              <w:rPr>
                <w:sz w:val="21"/>
                <w:szCs w:val="21"/>
              </w:rPr>
              <w:t>储煤库</w:t>
            </w:r>
          </w:p>
        </w:tc>
        <w:tc>
          <w:tcPr>
            <w:tcW w:w="1021" w:type="pct"/>
            <w:vAlign w:val="center"/>
          </w:tcPr>
          <w:p w:rsidR="00240BCE" w:rsidRDefault="00AC0334" w:rsidP="004474CB">
            <w:pPr>
              <w:spacing w:line="300" w:lineRule="exact"/>
              <w:jc w:val="center"/>
              <w:rPr>
                <w:sz w:val="21"/>
                <w:szCs w:val="21"/>
              </w:rPr>
            </w:pPr>
            <w:r>
              <w:rPr>
                <w:sz w:val="21"/>
                <w:szCs w:val="21"/>
              </w:rPr>
              <w:t>颗粒物</w:t>
            </w:r>
          </w:p>
        </w:tc>
        <w:tc>
          <w:tcPr>
            <w:tcW w:w="918" w:type="pct"/>
            <w:vAlign w:val="center"/>
          </w:tcPr>
          <w:p w:rsidR="00240BCE" w:rsidRDefault="008446C1" w:rsidP="001B69B0">
            <w:pPr>
              <w:spacing w:line="300" w:lineRule="exact"/>
              <w:jc w:val="center"/>
              <w:rPr>
                <w:sz w:val="21"/>
                <w:szCs w:val="21"/>
              </w:rPr>
            </w:pPr>
            <w:r>
              <w:rPr>
                <w:sz w:val="21"/>
                <w:szCs w:val="21"/>
              </w:rPr>
              <w:t>每</w:t>
            </w:r>
            <w:r>
              <w:rPr>
                <w:rFonts w:hint="eastAsia"/>
                <w:sz w:val="21"/>
                <w:szCs w:val="21"/>
              </w:rPr>
              <w:t>年</w:t>
            </w:r>
            <w:r>
              <w:rPr>
                <w:sz w:val="21"/>
                <w:szCs w:val="21"/>
              </w:rPr>
              <w:t>一次，每次</w:t>
            </w:r>
            <w:r>
              <w:rPr>
                <w:rFonts w:hint="eastAsia"/>
                <w:sz w:val="21"/>
                <w:szCs w:val="21"/>
              </w:rPr>
              <w:t>2</w:t>
            </w:r>
            <w:r>
              <w:rPr>
                <w:sz w:val="21"/>
                <w:szCs w:val="21"/>
              </w:rPr>
              <w:t>天</w:t>
            </w:r>
          </w:p>
        </w:tc>
        <w:tc>
          <w:tcPr>
            <w:tcW w:w="1630" w:type="pct"/>
            <w:vAlign w:val="center"/>
          </w:tcPr>
          <w:p w:rsidR="00240BCE" w:rsidRDefault="004474CB" w:rsidP="004474CB">
            <w:pPr>
              <w:spacing w:line="300" w:lineRule="exact"/>
              <w:jc w:val="center"/>
              <w:rPr>
                <w:sz w:val="21"/>
                <w:szCs w:val="21"/>
                <w:lang w:val="de-DE"/>
              </w:rPr>
            </w:pPr>
            <w:r w:rsidRPr="004474CB">
              <w:rPr>
                <w:rFonts w:hint="eastAsia"/>
                <w:sz w:val="21"/>
                <w:szCs w:val="21"/>
                <w:lang w:val="de-DE"/>
              </w:rPr>
              <w:t>《煤炭工业污染物排放标准》（</w:t>
            </w:r>
            <w:r w:rsidRPr="004474CB">
              <w:rPr>
                <w:rFonts w:hint="eastAsia"/>
                <w:sz w:val="21"/>
                <w:szCs w:val="21"/>
                <w:lang w:val="de-DE"/>
              </w:rPr>
              <w:t>GB20426-2006</w:t>
            </w:r>
            <w:r w:rsidRPr="004474CB">
              <w:rPr>
                <w:rFonts w:hint="eastAsia"/>
                <w:sz w:val="21"/>
                <w:szCs w:val="21"/>
                <w:lang w:val="de-DE"/>
              </w:rPr>
              <w:t>）表</w:t>
            </w:r>
            <w:r w:rsidRPr="004474CB">
              <w:rPr>
                <w:rFonts w:hint="eastAsia"/>
                <w:sz w:val="21"/>
                <w:szCs w:val="21"/>
                <w:lang w:val="de-DE"/>
              </w:rPr>
              <w:t xml:space="preserve"> 5 </w:t>
            </w:r>
            <w:r w:rsidRPr="004474CB">
              <w:rPr>
                <w:rFonts w:hint="eastAsia"/>
                <w:sz w:val="21"/>
                <w:szCs w:val="21"/>
                <w:lang w:val="de-DE"/>
              </w:rPr>
              <w:t>煤炭工业无组织排放限值</w:t>
            </w:r>
            <w:r>
              <w:rPr>
                <w:rFonts w:hint="eastAsia"/>
                <w:sz w:val="21"/>
                <w:szCs w:val="21"/>
                <w:lang w:val="de-DE"/>
              </w:rPr>
              <w:t>，即</w:t>
            </w:r>
            <w:r w:rsidR="00AC0334">
              <w:rPr>
                <w:sz w:val="21"/>
                <w:szCs w:val="21"/>
                <w:lang w:val="de-DE"/>
              </w:rPr>
              <w:t>TSP≤1.0mg/Nm</w:t>
            </w:r>
            <w:r w:rsidR="00AC0334">
              <w:rPr>
                <w:sz w:val="21"/>
                <w:szCs w:val="21"/>
                <w:vertAlign w:val="superscript"/>
                <w:lang w:val="de-DE"/>
              </w:rPr>
              <w:t>3</w:t>
            </w:r>
          </w:p>
        </w:tc>
      </w:tr>
      <w:tr w:rsidR="00240BCE">
        <w:tc>
          <w:tcPr>
            <w:tcW w:w="513" w:type="pct"/>
            <w:vAlign w:val="center"/>
          </w:tcPr>
          <w:p w:rsidR="00240BCE" w:rsidRDefault="00AC0334">
            <w:pPr>
              <w:spacing w:line="320" w:lineRule="exact"/>
              <w:jc w:val="center"/>
              <w:rPr>
                <w:sz w:val="21"/>
                <w:szCs w:val="21"/>
              </w:rPr>
            </w:pPr>
            <w:r>
              <w:rPr>
                <w:sz w:val="21"/>
                <w:szCs w:val="21"/>
              </w:rPr>
              <w:t>噪声</w:t>
            </w:r>
          </w:p>
        </w:tc>
        <w:tc>
          <w:tcPr>
            <w:tcW w:w="918" w:type="pct"/>
            <w:vAlign w:val="center"/>
          </w:tcPr>
          <w:p w:rsidR="00240BCE" w:rsidRDefault="00AC0334">
            <w:pPr>
              <w:spacing w:line="320" w:lineRule="exact"/>
              <w:jc w:val="center"/>
              <w:rPr>
                <w:sz w:val="21"/>
                <w:szCs w:val="21"/>
              </w:rPr>
            </w:pPr>
            <w:r>
              <w:rPr>
                <w:sz w:val="21"/>
                <w:szCs w:val="21"/>
              </w:rPr>
              <w:t>工业场地厂界</w:t>
            </w:r>
          </w:p>
        </w:tc>
        <w:tc>
          <w:tcPr>
            <w:tcW w:w="1021" w:type="pct"/>
            <w:vAlign w:val="center"/>
          </w:tcPr>
          <w:p w:rsidR="00240BCE" w:rsidRDefault="00AC0334">
            <w:pPr>
              <w:spacing w:line="320" w:lineRule="exact"/>
              <w:jc w:val="center"/>
              <w:rPr>
                <w:sz w:val="21"/>
                <w:szCs w:val="21"/>
              </w:rPr>
            </w:pPr>
            <w:r>
              <w:rPr>
                <w:sz w:val="21"/>
                <w:szCs w:val="21"/>
              </w:rPr>
              <w:t>等效声级</w:t>
            </w:r>
          </w:p>
        </w:tc>
        <w:tc>
          <w:tcPr>
            <w:tcW w:w="918" w:type="pct"/>
            <w:vAlign w:val="center"/>
          </w:tcPr>
          <w:p w:rsidR="00240BCE" w:rsidRDefault="00AC0334">
            <w:pPr>
              <w:spacing w:line="320" w:lineRule="exact"/>
              <w:jc w:val="center"/>
              <w:rPr>
                <w:sz w:val="21"/>
                <w:szCs w:val="21"/>
              </w:rPr>
            </w:pPr>
            <w:r>
              <w:rPr>
                <w:sz w:val="21"/>
                <w:szCs w:val="21"/>
              </w:rPr>
              <w:t>每季度一次，每次</w:t>
            </w:r>
            <w:r>
              <w:rPr>
                <w:sz w:val="21"/>
                <w:szCs w:val="21"/>
              </w:rPr>
              <w:t>2</w:t>
            </w:r>
            <w:r>
              <w:rPr>
                <w:sz w:val="21"/>
                <w:szCs w:val="21"/>
              </w:rPr>
              <w:t>天，每天昼、夜各一次</w:t>
            </w:r>
          </w:p>
        </w:tc>
        <w:tc>
          <w:tcPr>
            <w:tcW w:w="1630" w:type="pct"/>
            <w:vAlign w:val="center"/>
          </w:tcPr>
          <w:p w:rsidR="00240BCE" w:rsidRPr="004474CB" w:rsidRDefault="00AC0334">
            <w:pPr>
              <w:spacing w:line="320" w:lineRule="exact"/>
              <w:jc w:val="center"/>
              <w:rPr>
                <w:b/>
                <w:i/>
                <w:sz w:val="21"/>
                <w:szCs w:val="21"/>
                <w:u w:val="single"/>
              </w:rPr>
            </w:pPr>
            <w:r w:rsidRPr="004474CB">
              <w:rPr>
                <w:b/>
                <w:i/>
                <w:sz w:val="21"/>
                <w:szCs w:val="21"/>
                <w:u w:val="single"/>
              </w:rPr>
              <w:t>厂界执行</w:t>
            </w:r>
            <w:r w:rsidRPr="004474CB">
              <w:rPr>
                <w:b/>
                <w:i/>
                <w:sz w:val="21"/>
                <w:szCs w:val="21"/>
                <w:u w:val="single"/>
              </w:rPr>
              <w:t>GB12348-2008</w:t>
            </w:r>
            <w:r w:rsidRPr="004474CB">
              <w:rPr>
                <w:b/>
                <w:i/>
                <w:sz w:val="21"/>
                <w:szCs w:val="21"/>
                <w:u w:val="single"/>
              </w:rPr>
              <w:t>中</w:t>
            </w:r>
            <w:r w:rsidRPr="004474CB">
              <w:rPr>
                <w:b/>
                <w:i/>
                <w:sz w:val="21"/>
                <w:szCs w:val="21"/>
                <w:u w:val="single"/>
              </w:rPr>
              <w:t>2</w:t>
            </w:r>
            <w:r w:rsidRPr="004474CB">
              <w:rPr>
                <w:b/>
                <w:i/>
                <w:sz w:val="21"/>
                <w:szCs w:val="21"/>
                <w:u w:val="single"/>
              </w:rPr>
              <w:t>类，敏感点执行</w:t>
            </w:r>
            <w:r w:rsidRPr="004474CB">
              <w:rPr>
                <w:b/>
                <w:i/>
                <w:sz w:val="21"/>
                <w:szCs w:val="21"/>
                <w:u w:val="single"/>
              </w:rPr>
              <w:t>GB3096-2008</w:t>
            </w:r>
            <w:r w:rsidRPr="004474CB">
              <w:rPr>
                <w:b/>
                <w:i/>
                <w:sz w:val="21"/>
                <w:szCs w:val="21"/>
                <w:u w:val="single"/>
              </w:rPr>
              <w:t>中</w:t>
            </w:r>
            <w:r w:rsidRPr="004474CB">
              <w:rPr>
                <w:b/>
                <w:i/>
                <w:sz w:val="21"/>
                <w:szCs w:val="21"/>
                <w:u w:val="single"/>
              </w:rPr>
              <w:t>2</w:t>
            </w:r>
            <w:r w:rsidRPr="004474CB">
              <w:rPr>
                <w:b/>
                <w:i/>
                <w:sz w:val="21"/>
                <w:szCs w:val="21"/>
                <w:u w:val="single"/>
              </w:rPr>
              <w:t>类</w:t>
            </w:r>
          </w:p>
        </w:tc>
      </w:tr>
      <w:tr w:rsidR="00240BCE">
        <w:tc>
          <w:tcPr>
            <w:tcW w:w="513" w:type="pct"/>
            <w:vAlign w:val="center"/>
          </w:tcPr>
          <w:p w:rsidR="00240BCE" w:rsidRDefault="00AC0334">
            <w:pPr>
              <w:spacing w:line="320" w:lineRule="exact"/>
              <w:jc w:val="center"/>
              <w:rPr>
                <w:sz w:val="21"/>
                <w:szCs w:val="21"/>
              </w:rPr>
            </w:pPr>
            <w:r>
              <w:rPr>
                <w:sz w:val="21"/>
                <w:szCs w:val="21"/>
              </w:rPr>
              <w:t>地下水</w:t>
            </w:r>
          </w:p>
        </w:tc>
        <w:tc>
          <w:tcPr>
            <w:tcW w:w="918" w:type="pct"/>
            <w:vAlign w:val="center"/>
          </w:tcPr>
          <w:p w:rsidR="00240BCE" w:rsidRDefault="00802A62">
            <w:pPr>
              <w:spacing w:line="320" w:lineRule="exact"/>
              <w:jc w:val="center"/>
              <w:rPr>
                <w:sz w:val="21"/>
                <w:szCs w:val="21"/>
              </w:rPr>
            </w:pPr>
            <w:r>
              <w:rPr>
                <w:sz w:val="21"/>
                <w:szCs w:val="21"/>
              </w:rPr>
              <w:t>储煤库</w:t>
            </w:r>
            <w:r w:rsidR="00AC0334">
              <w:rPr>
                <w:sz w:val="21"/>
                <w:szCs w:val="21"/>
              </w:rPr>
              <w:t>上、下游</w:t>
            </w:r>
          </w:p>
        </w:tc>
        <w:tc>
          <w:tcPr>
            <w:tcW w:w="1021" w:type="pct"/>
            <w:vAlign w:val="center"/>
          </w:tcPr>
          <w:p w:rsidR="00240BCE" w:rsidRDefault="00AC0334">
            <w:pPr>
              <w:spacing w:line="320" w:lineRule="exact"/>
              <w:jc w:val="center"/>
              <w:rPr>
                <w:sz w:val="21"/>
                <w:szCs w:val="21"/>
              </w:rPr>
            </w:pPr>
            <w:r>
              <w:rPr>
                <w:sz w:val="21"/>
                <w:szCs w:val="21"/>
              </w:rPr>
              <w:t>PH</w:t>
            </w:r>
            <w:r>
              <w:rPr>
                <w:sz w:val="21"/>
                <w:szCs w:val="21"/>
              </w:rPr>
              <w:t>、高锰酸钾指数，总硬度、溶解性总固体、</w:t>
            </w:r>
            <w:r>
              <w:rPr>
                <w:sz w:val="21"/>
                <w:szCs w:val="21"/>
              </w:rPr>
              <w:t>Cl</w:t>
            </w:r>
            <w:r>
              <w:rPr>
                <w:sz w:val="21"/>
                <w:szCs w:val="21"/>
                <w:vertAlign w:val="superscript"/>
              </w:rPr>
              <w:t>-</w:t>
            </w:r>
            <w:r>
              <w:rPr>
                <w:sz w:val="21"/>
                <w:szCs w:val="21"/>
              </w:rPr>
              <w:t>、</w:t>
            </w:r>
            <w:r>
              <w:rPr>
                <w:sz w:val="21"/>
                <w:szCs w:val="21"/>
              </w:rPr>
              <w:t>F</w:t>
            </w:r>
            <w:r>
              <w:rPr>
                <w:sz w:val="21"/>
                <w:szCs w:val="21"/>
                <w:vertAlign w:val="superscript"/>
              </w:rPr>
              <w:t>-</w:t>
            </w:r>
          </w:p>
        </w:tc>
        <w:tc>
          <w:tcPr>
            <w:tcW w:w="918" w:type="pct"/>
            <w:vAlign w:val="center"/>
          </w:tcPr>
          <w:p w:rsidR="00240BCE" w:rsidRDefault="001B69B0">
            <w:pPr>
              <w:spacing w:line="320" w:lineRule="exact"/>
              <w:jc w:val="center"/>
              <w:rPr>
                <w:sz w:val="21"/>
                <w:szCs w:val="21"/>
              </w:rPr>
            </w:pPr>
            <w:r>
              <w:rPr>
                <w:sz w:val="21"/>
                <w:szCs w:val="21"/>
              </w:rPr>
              <w:t>半年</w:t>
            </w:r>
            <w:r>
              <w:rPr>
                <w:sz w:val="21"/>
                <w:szCs w:val="21"/>
              </w:rPr>
              <w:t>1</w:t>
            </w:r>
            <w:r>
              <w:rPr>
                <w:sz w:val="21"/>
                <w:szCs w:val="21"/>
              </w:rPr>
              <w:t>次，每次监测</w:t>
            </w:r>
            <w:r>
              <w:rPr>
                <w:sz w:val="21"/>
                <w:szCs w:val="21"/>
              </w:rPr>
              <w:t>2</w:t>
            </w:r>
            <w:r>
              <w:rPr>
                <w:sz w:val="21"/>
                <w:szCs w:val="21"/>
              </w:rPr>
              <w:t>天。</w:t>
            </w:r>
          </w:p>
        </w:tc>
        <w:tc>
          <w:tcPr>
            <w:tcW w:w="1630" w:type="pct"/>
            <w:vAlign w:val="center"/>
          </w:tcPr>
          <w:p w:rsidR="00240BCE" w:rsidRPr="004474CB" w:rsidRDefault="00AC0334">
            <w:pPr>
              <w:spacing w:line="320" w:lineRule="exact"/>
              <w:jc w:val="center"/>
              <w:rPr>
                <w:b/>
                <w:i/>
                <w:sz w:val="21"/>
                <w:szCs w:val="21"/>
                <w:u w:val="single"/>
              </w:rPr>
            </w:pPr>
            <w:r w:rsidRPr="004474CB">
              <w:rPr>
                <w:b/>
                <w:i/>
                <w:sz w:val="21"/>
                <w:szCs w:val="21"/>
                <w:u w:val="single"/>
              </w:rPr>
              <w:t>GB/T14848-93</w:t>
            </w:r>
            <w:r w:rsidRPr="004474CB">
              <w:rPr>
                <w:b/>
                <w:i/>
                <w:sz w:val="21"/>
                <w:szCs w:val="21"/>
                <w:u w:val="single"/>
              </w:rPr>
              <w:t>《地下水质量标准》</w:t>
            </w:r>
            <w:r w:rsidRPr="004474CB">
              <w:rPr>
                <w:b/>
                <w:i/>
                <w:sz w:val="21"/>
                <w:szCs w:val="21"/>
                <w:u w:val="single"/>
              </w:rPr>
              <w:t>Ⅲ</w:t>
            </w:r>
            <w:r w:rsidRPr="004474CB">
              <w:rPr>
                <w:b/>
                <w:i/>
                <w:sz w:val="21"/>
                <w:szCs w:val="21"/>
                <w:u w:val="single"/>
              </w:rPr>
              <w:t>类标准</w:t>
            </w:r>
          </w:p>
        </w:tc>
      </w:tr>
      <w:tr w:rsidR="0070516C">
        <w:tc>
          <w:tcPr>
            <w:tcW w:w="513" w:type="pct"/>
            <w:vAlign w:val="center"/>
          </w:tcPr>
          <w:p w:rsidR="0070516C" w:rsidRDefault="0070516C">
            <w:pPr>
              <w:spacing w:line="320" w:lineRule="exact"/>
              <w:jc w:val="center"/>
              <w:rPr>
                <w:sz w:val="21"/>
                <w:szCs w:val="21"/>
              </w:rPr>
            </w:pPr>
            <w:r>
              <w:rPr>
                <w:rFonts w:hint="eastAsia"/>
                <w:sz w:val="21"/>
                <w:szCs w:val="21"/>
              </w:rPr>
              <w:t>土壤</w:t>
            </w:r>
          </w:p>
        </w:tc>
        <w:tc>
          <w:tcPr>
            <w:tcW w:w="918" w:type="pct"/>
            <w:vAlign w:val="center"/>
          </w:tcPr>
          <w:p w:rsidR="0070516C" w:rsidRPr="0070516C" w:rsidRDefault="0070516C" w:rsidP="0070516C">
            <w:pPr>
              <w:spacing w:line="320" w:lineRule="exact"/>
              <w:jc w:val="center"/>
              <w:rPr>
                <w:sz w:val="21"/>
                <w:szCs w:val="21"/>
              </w:rPr>
            </w:pPr>
            <w:r w:rsidRPr="0070516C">
              <w:rPr>
                <w:rFonts w:hint="eastAsia"/>
                <w:sz w:val="21"/>
                <w:szCs w:val="21"/>
              </w:rPr>
              <w:t>工业场地、工业场</w:t>
            </w:r>
          </w:p>
          <w:p w:rsidR="0070516C" w:rsidRDefault="0070516C" w:rsidP="0070516C">
            <w:pPr>
              <w:spacing w:line="320" w:lineRule="exact"/>
              <w:jc w:val="center"/>
              <w:rPr>
                <w:sz w:val="21"/>
                <w:szCs w:val="21"/>
              </w:rPr>
            </w:pPr>
            <w:r w:rsidRPr="0070516C">
              <w:rPr>
                <w:rFonts w:hint="eastAsia"/>
                <w:sz w:val="21"/>
                <w:szCs w:val="21"/>
              </w:rPr>
              <w:t>地下游</w:t>
            </w:r>
            <w:r w:rsidRPr="0070516C">
              <w:rPr>
                <w:rFonts w:hint="eastAsia"/>
                <w:sz w:val="21"/>
                <w:szCs w:val="21"/>
              </w:rPr>
              <w:t xml:space="preserve"> 50m</w:t>
            </w:r>
          </w:p>
        </w:tc>
        <w:tc>
          <w:tcPr>
            <w:tcW w:w="1021" w:type="pct"/>
            <w:vAlign w:val="center"/>
          </w:tcPr>
          <w:p w:rsidR="0070516C" w:rsidRDefault="0070516C" w:rsidP="0070516C">
            <w:pPr>
              <w:spacing w:line="320" w:lineRule="exact"/>
              <w:jc w:val="center"/>
              <w:rPr>
                <w:sz w:val="21"/>
                <w:szCs w:val="21"/>
              </w:rPr>
            </w:pPr>
            <w:r w:rsidRPr="0070516C">
              <w:rPr>
                <w:rFonts w:hint="eastAsia"/>
                <w:sz w:val="21"/>
                <w:szCs w:val="21"/>
              </w:rPr>
              <w:t>镉、汞、砷、铅、铬、铜、镍、锌、氟、</w:t>
            </w:r>
            <w:r w:rsidRPr="0070516C">
              <w:rPr>
                <w:rFonts w:hint="eastAsia"/>
                <w:sz w:val="21"/>
                <w:szCs w:val="21"/>
              </w:rPr>
              <w:t xml:space="preserve">pH </w:t>
            </w:r>
            <w:r w:rsidRPr="0070516C">
              <w:rPr>
                <w:rFonts w:hint="eastAsia"/>
                <w:sz w:val="21"/>
                <w:szCs w:val="21"/>
              </w:rPr>
              <w:t>值</w:t>
            </w:r>
            <w:r w:rsidRPr="0070516C">
              <w:rPr>
                <w:rFonts w:hint="eastAsia"/>
                <w:sz w:val="21"/>
                <w:szCs w:val="21"/>
              </w:rPr>
              <w:t xml:space="preserve"> 10 </w:t>
            </w:r>
            <w:r w:rsidRPr="0070516C">
              <w:rPr>
                <w:rFonts w:hint="eastAsia"/>
                <w:sz w:val="21"/>
                <w:szCs w:val="21"/>
              </w:rPr>
              <w:t>项</w:t>
            </w:r>
          </w:p>
        </w:tc>
        <w:tc>
          <w:tcPr>
            <w:tcW w:w="918" w:type="pct"/>
            <w:vAlign w:val="center"/>
          </w:tcPr>
          <w:p w:rsidR="0070516C" w:rsidRPr="0070516C" w:rsidRDefault="0070516C">
            <w:pPr>
              <w:spacing w:line="320" w:lineRule="exact"/>
              <w:jc w:val="center"/>
              <w:rPr>
                <w:sz w:val="21"/>
                <w:szCs w:val="21"/>
              </w:rPr>
            </w:pPr>
            <w:r w:rsidRPr="0070516C">
              <w:rPr>
                <w:rFonts w:hint="eastAsia"/>
                <w:sz w:val="21"/>
                <w:szCs w:val="21"/>
              </w:rPr>
              <w:t>每</w:t>
            </w:r>
            <w:r w:rsidRPr="0070516C">
              <w:rPr>
                <w:rFonts w:hint="eastAsia"/>
                <w:sz w:val="21"/>
                <w:szCs w:val="21"/>
              </w:rPr>
              <w:t xml:space="preserve"> 5 </w:t>
            </w:r>
            <w:r w:rsidRPr="0070516C">
              <w:rPr>
                <w:rFonts w:hint="eastAsia"/>
                <w:sz w:val="21"/>
                <w:szCs w:val="21"/>
              </w:rPr>
              <w:t>年</w:t>
            </w:r>
          </w:p>
        </w:tc>
        <w:tc>
          <w:tcPr>
            <w:tcW w:w="1630" w:type="pct"/>
            <w:vAlign w:val="center"/>
          </w:tcPr>
          <w:p w:rsidR="0070516C" w:rsidRPr="004474CB" w:rsidRDefault="0070516C">
            <w:pPr>
              <w:spacing w:line="320" w:lineRule="exact"/>
              <w:jc w:val="center"/>
              <w:rPr>
                <w:b/>
                <w:i/>
                <w:sz w:val="21"/>
                <w:szCs w:val="21"/>
                <w:u w:val="single"/>
              </w:rPr>
            </w:pPr>
            <w:r w:rsidRPr="0070516C">
              <w:rPr>
                <w:b/>
                <w:i/>
                <w:sz w:val="21"/>
                <w:szCs w:val="21"/>
                <w:u w:val="single"/>
              </w:rPr>
              <w:t>GB36660</w:t>
            </w:r>
          </w:p>
        </w:tc>
      </w:tr>
      <w:tr w:rsidR="00240BCE">
        <w:trPr>
          <w:trHeight w:val="874"/>
        </w:trPr>
        <w:tc>
          <w:tcPr>
            <w:tcW w:w="513" w:type="pct"/>
            <w:vAlign w:val="center"/>
          </w:tcPr>
          <w:p w:rsidR="00240BCE" w:rsidRDefault="00AC0334">
            <w:pPr>
              <w:spacing w:line="320" w:lineRule="exact"/>
              <w:jc w:val="center"/>
              <w:rPr>
                <w:sz w:val="21"/>
                <w:szCs w:val="21"/>
              </w:rPr>
            </w:pPr>
            <w:r>
              <w:rPr>
                <w:sz w:val="21"/>
                <w:szCs w:val="21"/>
              </w:rPr>
              <w:t>生态</w:t>
            </w:r>
          </w:p>
        </w:tc>
        <w:tc>
          <w:tcPr>
            <w:tcW w:w="4487" w:type="pct"/>
            <w:gridSpan w:val="4"/>
            <w:vAlign w:val="center"/>
          </w:tcPr>
          <w:p w:rsidR="00240BCE" w:rsidRDefault="00AC0334">
            <w:pPr>
              <w:pStyle w:val="11"/>
              <w:jc w:val="center"/>
              <w:rPr>
                <w:sz w:val="21"/>
                <w:szCs w:val="21"/>
              </w:rPr>
            </w:pPr>
            <w:r>
              <w:rPr>
                <w:sz w:val="21"/>
                <w:szCs w:val="21"/>
              </w:rPr>
              <w:t>加强工业场地周围以及道路两侧的绿化工作，观测地表情况，及时做好土地复垦工作，将矿井开采对生态环境的影响降低至最低程度。</w:t>
            </w:r>
          </w:p>
        </w:tc>
      </w:tr>
    </w:tbl>
    <w:p w:rsidR="00240BCE" w:rsidRDefault="00AC0334">
      <w:pPr>
        <w:spacing w:line="520" w:lineRule="exact"/>
        <w:ind w:firstLineChars="200" w:firstLine="480"/>
        <w:rPr>
          <w:sz w:val="24"/>
        </w:rPr>
      </w:pPr>
      <w:r>
        <w:rPr>
          <w:sz w:val="24"/>
        </w:rPr>
        <w:lastRenderedPageBreak/>
        <w:t>2</w:t>
      </w:r>
      <w:r>
        <w:rPr>
          <w:sz w:val="24"/>
        </w:rPr>
        <w:t>、地表变形观测、生态与水土流失监测</w:t>
      </w:r>
    </w:p>
    <w:p w:rsidR="00240BCE" w:rsidRDefault="00AC0334">
      <w:pPr>
        <w:spacing w:line="520" w:lineRule="exact"/>
        <w:ind w:firstLineChars="200" w:firstLine="480"/>
        <w:rPr>
          <w:sz w:val="24"/>
        </w:rPr>
      </w:pPr>
      <w:r>
        <w:rPr>
          <w:sz w:val="24"/>
        </w:rPr>
        <w:t>按岩层及地表移动观测规程要求，对采动影响的地表移动变形情况</w:t>
      </w:r>
      <w:r>
        <w:rPr>
          <w:rFonts w:hint="eastAsia"/>
          <w:sz w:val="24"/>
        </w:rPr>
        <w:t>（</w:t>
      </w:r>
      <w:r>
        <w:rPr>
          <w:sz w:val="24"/>
        </w:rPr>
        <w:t>下沉、水平移动、水平变形、曲率变形和倾斜变形</w:t>
      </w:r>
      <w:r>
        <w:rPr>
          <w:rFonts w:hint="eastAsia"/>
          <w:sz w:val="24"/>
        </w:rPr>
        <w:t>）</w:t>
      </w:r>
      <w:r>
        <w:rPr>
          <w:sz w:val="24"/>
        </w:rPr>
        <w:t>进行监测，观测站的位置</w:t>
      </w:r>
      <w:r>
        <w:rPr>
          <w:rFonts w:hint="eastAsia"/>
          <w:sz w:val="24"/>
        </w:rPr>
        <w:t>设置在</w:t>
      </w:r>
      <w:r>
        <w:rPr>
          <w:sz w:val="24"/>
        </w:rPr>
        <w:t>煤层综合厚度最大处附近地表，对于井田范围内的公路、输电线路等均应设置观察点，该工作由隆庆煤矿负责。</w:t>
      </w:r>
    </w:p>
    <w:p w:rsidR="00240BCE" w:rsidRDefault="00AC0334">
      <w:pPr>
        <w:spacing w:line="520" w:lineRule="exact"/>
        <w:ind w:firstLineChars="200" w:firstLine="480"/>
        <w:rPr>
          <w:sz w:val="24"/>
        </w:rPr>
      </w:pPr>
      <w:r>
        <w:rPr>
          <w:sz w:val="24"/>
        </w:rPr>
        <w:t>（</w:t>
      </w:r>
      <w:r>
        <w:rPr>
          <w:sz w:val="24"/>
        </w:rPr>
        <w:t>1</w:t>
      </w:r>
      <w:r>
        <w:rPr>
          <w:sz w:val="24"/>
        </w:rPr>
        <w:t>）监测目的</w:t>
      </w:r>
    </w:p>
    <w:p w:rsidR="00240BCE" w:rsidRDefault="00B95226">
      <w:pPr>
        <w:spacing w:line="520" w:lineRule="exact"/>
        <w:ind w:firstLineChars="200" w:firstLine="480"/>
        <w:rPr>
          <w:sz w:val="24"/>
        </w:rPr>
      </w:pPr>
      <w:r>
        <w:rPr>
          <w:sz w:val="24"/>
        </w:rPr>
        <w:fldChar w:fldCharType="begin"/>
      </w:r>
      <w:r w:rsidR="00AC0334">
        <w:rPr>
          <w:sz w:val="24"/>
        </w:rPr>
        <w:instrText xml:space="preserve"> = 1 \* GB3 </w:instrText>
      </w:r>
      <w:r>
        <w:rPr>
          <w:sz w:val="24"/>
        </w:rPr>
        <w:fldChar w:fldCharType="separate"/>
      </w:r>
      <w:r w:rsidR="00AC0334">
        <w:rPr>
          <w:sz w:val="24"/>
        </w:rPr>
        <w:t>①</w:t>
      </w:r>
      <w:r>
        <w:rPr>
          <w:sz w:val="24"/>
        </w:rPr>
        <w:fldChar w:fldCharType="end"/>
      </w:r>
      <w:r w:rsidR="00AC0334">
        <w:rPr>
          <w:sz w:val="24"/>
        </w:rPr>
        <w:t xml:space="preserve"> </w:t>
      </w:r>
      <w:r w:rsidR="00AC0334">
        <w:rPr>
          <w:sz w:val="24"/>
        </w:rPr>
        <w:t>准确掌握本区的地表移动变形规律和岩移参数，为制定各种沉陷防治方案提供科学依据，并为今后邻区开采提供更准确的参数和经验，取得良好的经济效益。</w:t>
      </w:r>
    </w:p>
    <w:p w:rsidR="00240BCE" w:rsidRDefault="00AC0334">
      <w:pPr>
        <w:spacing w:line="520" w:lineRule="exact"/>
        <w:ind w:firstLineChars="200" w:firstLine="480"/>
        <w:rPr>
          <w:sz w:val="24"/>
        </w:rPr>
      </w:pPr>
      <w:r>
        <w:rPr>
          <w:sz w:val="24"/>
        </w:rPr>
        <w:t xml:space="preserve">② </w:t>
      </w:r>
      <w:r>
        <w:rPr>
          <w:sz w:val="24"/>
        </w:rPr>
        <w:t>为了了解项目区水土保持生态环境，维护主体工程安全稳定运行，对项目及项目区的水土流失成因、流失量、流失强度变化以及水土保持生态环境建设效益等进行监测，其目的是适时掌握项目区原水土流失状况、工程水土流失状况、水土保持措施的实施效果。</w:t>
      </w:r>
    </w:p>
    <w:p w:rsidR="00240BCE" w:rsidRDefault="00AC0334">
      <w:pPr>
        <w:spacing w:line="520" w:lineRule="exact"/>
        <w:ind w:firstLineChars="200" w:firstLine="480"/>
        <w:rPr>
          <w:sz w:val="24"/>
        </w:rPr>
      </w:pPr>
      <w:r>
        <w:rPr>
          <w:sz w:val="24"/>
        </w:rPr>
        <w:t>（</w:t>
      </w:r>
      <w:r>
        <w:rPr>
          <w:sz w:val="24"/>
        </w:rPr>
        <w:t>2</w:t>
      </w:r>
      <w:r>
        <w:rPr>
          <w:sz w:val="24"/>
        </w:rPr>
        <w:t>）监测因子</w:t>
      </w:r>
    </w:p>
    <w:p w:rsidR="00240BCE" w:rsidRDefault="00AC0334">
      <w:pPr>
        <w:spacing w:line="520" w:lineRule="exact"/>
        <w:ind w:firstLineChars="200" w:firstLine="480"/>
        <w:rPr>
          <w:sz w:val="24"/>
        </w:rPr>
      </w:pPr>
      <w:r>
        <w:rPr>
          <w:sz w:val="24"/>
        </w:rPr>
        <w:t>监测因子为：降雨量、径流量、水土流失、植物生长情况、防治措施实施效果、地表沉陷观测等。</w:t>
      </w:r>
    </w:p>
    <w:p w:rsidR="00240BCE" w:rsidRDefault="00AC0334">
      <w:pPr>
        <w:spacing w:line="520" w:lineRule="exact"/>
        <w:ind w:firstLineChars="200" w:firstLine="480"/>
        <w:rPr>
          <w:sz w:val="24"/>
        </w:rPr>
      </w:pPr>
      <w:r>
        <w:rPr>
          <w:sz w:val="24"/>
        </w:rPr>
        <w:t>（</w:t>
      </w:r>
      <w:r>
        <w:rPr>
          <w:sz w:val="24"/>
        </w:rPr>
        <w:t>3</w:t>
      </w:r>
      <w:r>
        <w:rPr>
          <w:sz w:val="24"/>
        </w:rPr>
        <w:t>）监测方法</w:t>
      </w:r>
    </w:p>
    <w:p w:rsidR="00240BCE" w:rsidRDefault="00AC0334">
      <w:pPr>
        <w:spacing w:line="520" w:lineRule="exact"/>
        <w:ind w:firstLine="480"/>
        <w:rPr>
          <w:sz w:val="24"/>
        </w:rPr>
      </w:pPr>
      <w:r>
        <w:rPr>
          <w:sz w:val="24"/>
        </w:rPr>
        <w:t>地表沉陷：地形测量法；</w:t>
      </w:r>
    </w:p>
    <w:p w:rsidR="00240BCE" w:rsidRDefault="00AC0334">
      <w:pPr>
        <w:spacing w:line="520" w:lineRule="exact"/>
        <w:ind w:firstLine="480"/>
        <w:rPr>
          <w:sz w:val="24"/>
        </w:rPr>
      </w:pPr>
      <w:r>
        <w:rPr>
          <w:sz w:val="24"/>
        </w:rPr>
        <w:t>植物措施成活率：实测法；</w:t>
      </w:r>
    </w:p>
    <w:p w:rsidR="00240BCE" w:rsidRDefault="00AC0334">
      <w:pPr>
        <w:spacing w:line="520" w:lineRule="exact"/>
        <w:ind w:firstLine="480"/>
        <w:rPr>
          <w:sz w:val="24"/>
        </w:rPr>
      </w:pPr>
      <w:r>
        <w:rPr>
          <w:sz w:val="24"/>
        </w:rPr>
        <w:t>矸石周转堆场高度、体积：地形测量法等方法。</w:t>
      </w:r>
    </w:p>
    <w:p w:rsidR="00240BCE" w:rsidRDefault="00AC0334">
      <w:pPr>
        <w:spacing w:line="520" w:lineRule="exact"/>
        <w:ind w:firstLine="480"/>
        <w:rPr>
          <w:sz w:val="24"/>
        </w:rPr>
      </w:pPr>
      <w:r>
        <w:rPr>
          <w:sz w:val="24"/>
        </w:rPr>
        <w:t>（</w:t>
      </w:r>
      <w:r>
        <w:rPr>
          <w:sz w:val="24"/>
        </w:rPr>
        <w:t>4</w:t>
      </w:r>
      <w:r>
        <w:rPr>
          <w:sz w:val="24"/>
        </w:rPr>
        <w:t>）监测时段和频率</w:t>
      </w:r>
    </w:p>
    <w:p w:rsidR="00240BCE" w:rsidRDefault="00AC0334">
      <w:pPr>
        <w:spacing w:line="520" w:lineRule="exact"/>
        <w:ind w:firstLine="480"/>
        <w:rPr>
          <w:sz w:val="24"/>
        </w:rPr>
      </w:pPr>
      <w:r>
        <w:rPr>
          <w:sz w:val="24"/>
        </w:rPr>
        <w:t>生产期要进行定期监测，每三个月监测一次。</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69" w:name="_Toc79668739"/>
      <w:bookmarkStart w:id="870" w:name="_Toc81934405"/>
      <w:r>
        <w:rPr>
          <w:rFonts w:ascii="Times New Roman" w:eastAsia="宋体" w:hAnsi="Times New Roman"/>
          <w:bCs/>
          <w:szCs w:val="32"/>
        </w:rPr>
        <w:t xml:space="preserve">9.3 </w:t>
      </w:r>
      <w:r>
        <w:rPr>
          <w:rFonts w:ascii="Times New Roman" w:eastAsia="宋体" w:hAnsi="Times New Roman"/>
          <w:bCs/>
          <w:szCs w:val="32"/>
        </w:rPr>
        <w:t>排污口规范化管理</w:t>
      </w:r>
      <w:bookmarkEnd w:id="869"/>
      <w:bookmarkEnd w:id="870"/>
    </w:p>
    <w:p w:rsidR="00240BCE" w:rsidRDefault="00AC0334">
      <w:pPr>
        <w:spacing w:line="520" w:lineRule="exact"/>
        <w:ind w:firstLine="480"/>
        <w:rPr>
          <w:sz w:val="24"/>
        </w:rPr>
      </w:pPr>
      <w:r>
        <w:rPr>
          <w:sz w:val="24"/>
        </w:rPr>
        <w:t>排污口是企业排放污染物进入环境、污染环境的通道，强化排污口管理是实施污染物总量控制的基础工作之一，也是环境管理逐步实现污染物排放科学化、定量</w:t>
      </w:r>
      <w:r>
        <w:rPr>
          <w:sz w:val="24"/>
        </w:rPr>
        <w:lastRenderedPageBreak/>
        <w:t>化的重要手段。</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71" w:name="_Toc79668740"/>
      <w:r>
        <w:rPr>
          <w:rFonts w:eastAsia="楷体"/>
          <w:sz w:val="28"/>
          <w:szCs w:val="28"/>
        </w:rPr>
        <w:t xml:space="preserve">9.3.1 </w:t>
      </w:r>
      <w:r>
        <w:rPr>
          <w:rFonts w:eastAsia="楷体"/>
          <w:sz w:val="28"/>
          <w:szCs w:val="28"/>
        </w:rPr>
        <w:t>排污口</w:t>
      </w:r>
      <w:bookmarkEnd w:id="871"/>
      <w:r w:rsidR="00E42694">
        <w:rPr>
          <w:rFonts w:eastAsia="楷体" w:hint="eastAsia"/>
          <w:sz w:val="28"/>
          <w:szCs w:val="28"/>
        </w:rPr>
        <w:t>情况</w:t>
      </w:r>
    </w:p>
    <w:p w:rsidR="00240BCE" w:rsidRDefault="00AC0334">
      <w:pPr>
        <w:spacing w:line="520" w:lineRule="exact"/>
        <w:ind w:firstLine="480"/>
        <w:rPr>
          <w:sz w:val="24"/>
        </w:rPr>
      </w:pPr>
      <w:r>
        <w:rPr>
          <w:sz w:val="24"/>
        </w:rPr>
        <w:t>1</w:t>
      </w:r>
      <w:r>
        <w:rPr>
          <w:sz w:val="24"/>
        </w:rPr>
        <w:t>、</w:t>
      </w:r>
      <w:r w:rsidR="00E42694" w:rsidRPr="00E42694">
        <w:rPr>
          <w:rFonts w:hint="eastAsia"/>
          <w:sz w:val="24"/>
        </w:rPr>
        <w:t>矿井水</w:t>
      </w:r>
      <w:r w:rsidR="00E42694" w:rsidRPr="00E42694">
        <w:rPr>
          <w:rFonts w:hint="eastAsia"/>
          <w:sz w:val="24"/>
        </w:rPr>
        <w:t xml:space="preserve"> </w:t>
      </w:r>
      <w:r w:rsidR="00E42694" w:rsidRPr="00E42694">
        <w:rPr>
          <w:rFonts w:hint="eastAsia"/>
          <w:sz w:val="24"/>
        </w:rPr>
        <w:t>Ⅲ</w:t>
      </w:r>
      <w:r w:rsidR="00E42694" w:rsidRPr="00E42694">
        <w:rPr>
          <w:rFonts w:hint="eastAsia"/>
          <w:sz w:val="24"/>
        </w:rPr>
        <w:t xml:space="preserve"> </w:t>
      </w:r>
      <w:r w:rsidR="00E42694">
        <w:rPr>
          <w:rFonts w:hint="eastAsia"/>
          <w:sz w:val="24"/>
        </w:rPr>
        <w:t>类水排放口</w:t>
      </w:r>
      <w:r w:rsidR="00E42694" w:rsidRPr="00E42694">
        <w:rPr>
          <w:rFonts w:hint="eastAsia"/>
          <w:sz w:val="24"/>
        </w:rPr>
        <w:t>：外排矿井水处理后达地表水环境质量Ⅲ类水，设矿井水Ⅲ类水排放口</w:t>
      </w:r>
      <w:r w:rsidR="00E42694">
        <w:rPr>
          <w:rFonts w:hint="eastAsia"/>
          <w:sz w:val="24"/>
        </w:rPr>
        <w:t>，按照当地环境管理要求安装在线监测设备（监测流量、</w:t>
      </w:r>
      <w:r w:rsidR="00E42694">
        <w:rPr>
          <w:rFonts w:hint="eastAsia"/>
          <w:sz w:val="24"/>
        </w:rPr>
        <w:t>COD</w:t>
      </w:r>
      <w:r w:rsidR="00E42694">
        <w:rPr>
          <w:rFonts w:hint="eastAsia"/>
          <w:sz w:val="24"/>
        </w:rPr>
        <w:t>等）</w:t>
      </w:r>
      <w:r>
        <w:rPr>
          <w:sz w:val="24"/>
        </w:rPr>
        <w:t>，便于日常现场监督检查。</w:t>
      </w:r>
    </w:p>
    <w:p w:rsidR="00240BCE" w:rsidRDefault="00AC0334" w:rsidP="009C5F33">
      <w:pPr>
        <w:pStyle w:val="30"/>
        <w:adjustRightInd w:val="0"/>
        <w:snapToGrid w:val="0"/>
        <w:spacing w:beforeLines="70" w:afterLines="30" w:line="240" w:lineRule="auto"/>
        <w:jc w:val="left"/>
        <w:rPr>
          <w:rFonts w:eastAsia="楷体"/>
          <w:sz w:val="28"/>
          <w:szCs w:val="28"/>
        </w:rPr>
      </w:pPr>
      <w:bookmarkStart w:id="872" w:name="_Toc79668741"/>
      <w:r>
        <w:rPr>
          <w:rFonts w:eastAsia="楷体"/>
          <w:sz w:val="28"/>
          <w:szCs w:val="28"/>
        </w:rPr>
        <w:t xml:space="preserve">9.3.2 </w:t>
      </w:r>
      <w:r>
        <w:rPr>
          <w:rFonts w:eastAsia="楷体"/>
          <w:sz w:val="28"/>
          <w:szCs w:val="28"/>
        </w:rPr>
        <w:t>排污口规范化设置</w:t>
      </w:r>
      <w:bookmarkEnd w:id="872"/>
    </w:p>
    <w:p w:rsidR="00240BCE" w:rsidRDefault="00AC0334">
      <w:pPr>
        <w:spacing w:line="520" w:lineRule="exact"/>
        <w:ind w:firstLineChars="200" w:firstLine="480"/>
        <w:rPr>
          <w:sz w:val="24"/>
        </w:rPr>
      </w:pPr>
      <w:r>
        <w:rPr>
          <w:sz w:val="24"/>
        </w:rPr>
        <w:t>按照原国家环境保护总局环发（</w:t>
      </w:r>
      <w:r>
        <w:rPr>
          <w:sz w:val="24"/>
        </w:rPr>
        <w:t>1999</w:t>
      </w:r>
      <w:r>
        <w:rPr>
          <w:sz w:val="24"/>
        </w:rPr>
        <w:t>）</w:t>
      </w:r>
      <w:r>
        <w:rPr>
          <w:sz w:val="24"/>
        </w:rPr>
        <w:t xml:space="preserve">24 </w:t>
      </w:r>
      <w:r>
        <w:rPr>
          <w:sz w:val="24"/>
        </w:rPr>
        <w:t>号文《排污口规范化整治技术要求（试行）》、《关于开展排放口规范化整治工作的通知》等文件中有关规定设置与管理各类污染物排放口。</w:t>
      </w:r>
    </w:p>
    <w:p w:rsidR="00240BCE" w:rsidRDefault="00AC0334">
      <w:pPr>
        <w:spacing w:line="520" w:lineRule="exact"/>
        <w:ind w:firstLineChars="200" w:firstLine="480"/>
        <w:rPr>
          <w:sz w:val="24"/>
        </w:rPr>
      </w:pPr>
      <w:r>
        <w:rPr>
          <w:sz w:val="24"/>
        </w:rPr>
        <w:t>根据国家《环境保护图形标志》（</w:t>
      </w:r>
      <w:r>
        <w:rPr>
          <w:sz w:val="24"/>
        </w:rPr>
        <w:t>GB15562.1</w:t>
      </w:r>
      <w:r>
        <w:rPr>
          <w:sz w:val="24"/>
        </w:rPr>
        <w:t>～</w:t>
      </w:r>
      <w:r>
        <w:rPr>
          <w:sz w:val="24"/>
        </w:rPr>
        <w:t>2-95</w:t>
      </w:r>
      <w:r>
        <w:rPr>
          <w:sz w:val="24"/>
        </w:rPr>
        <w:t>）的规定，针对废气排放口、污水排放口、噪声排放源、固废贮存场等分别设置环境保护图形标志牌。标志牌设在醒目处，设置高度为上边缘距地面约</w:t>
      </w:r>
      <w:r>
        <w:rPr>
          <w:sz w:val="24"/>
        </w:rPr>
        <w:t>2m</w:t>
      </w:r>
      <w:r>
        <w:rPr>
          <w:sz w:val="24"/>
        </w:rPr>
        <w:t>。建议每半年对标志牌进行检查与维护，确保标志牌的清晰、完整。排放口图形标志示例见表</w:t>
      </w:r>
      <w:r>
        <w:rPr>
          <w:sz w:val="24"/>
        </w:rPr>
        <w:t>9.3-1</w:t>
      </w:r>
      <w:r>
        <w:rPr>
          <w:sz w:val="24"/>
        </w:rPr>
        <w:t>。</w:t>
      </w:r>
    </w:p>
    <w:p w:rsidR="00240BCE" w:rsidRDefault="00AC0334">
      <w:pPr>
        <w:spacing w:line="520" w:lineRule="exact"/>
        <w:jc w:val="center"/>
        <w:rPr>
          <w:b/>
          <w:sz w:val="24"/>
        </w:rPr>
      </w:pPr>
      <w:r>
        <w:rPr>
          <w:b/>
          <w:bCs/>
          <w:sz w:val="24"/>
        </w:rPr>
        <w:t>表</w:t>
      </w:r>
      <w:r>
        <w:rPr>
          <w:b/>
          <w:bCs/>
          <w:sz w:val="24"/>
        </w:rPr>
        <w:t xml:space="preserve">9.3-1   </w:t>
      </w:r>
      <w:r>
        <w:rPr>
          <w:b/>
          <w:bCs/>
          <w:sz w:val="24"/>
        </w:rPr>
        <w:t>排污口图形标志示例一览表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51"/>
        <w:gridCol w:w="1494"/>
        <w:gridCol w:w="1741"/>
        <w:gridCol w:w="1741"/>
        <w:gridCol w:w="3219"/>
      </w:tblGrid>
      <w:tr w:rsidR="00240BCE">
        <w:trPr>
          <w:trHeight w:val="454"/>
        </w:trPr>
        <w:tc>
          <w:tcPr>
            <w:tcW w:w="420" w:type="pct"/>
            <w:vAlign w:val="center"/>
          </w:tcPr>
          <w:p w:rsidR="00240BCE" w:rsidRDefault="00AC0334">
            <w:pPr>
              <w:autoSpaceDE w:val="0"/>
              <w:autoSpaceDN w:val="0"/>
              <w:jc w:val="center"/>
              <w:rPr>
                <w:b/>
                <w:bCs/>
                <w:sz w:val="21"/>
                <w:szCs w:val="21"/>
              </w:rPr>
            </w:pPr>
            <w:r>
              <w:rPr>
                <w:b/>
                <w:bCs/>
                <w:sz w:val="21"/>
                <w:szCs w:val="21"/>
              </w:rPr>
              <w:t>序号</w:t>
            </w:r>
          </w:p>
        </w:tc>
        <w:tc>
          <w:tcPr>
            <w:tcW w:w="835" w:type="pct"/>
            <w:vAlign w:val="center"/>
          </w:tcPr>
          <w:p w:rsidR="00240BCE" w:rsidRDefault="00AC0334">
            <w:pPr>
              <w:autoSpaceDE w:val="0"/>
              <w:autoSpaceDN w:val="0"/>
              <w:jc w:val="center"/>
              <w:rPr>
                <w:b/>
                <w:bCs/>
                <w:sz w:val="21"/>
                <w:szCs w:val="21"/>
              </w:rPr>
            </w:pPr>
            <w:r>
              <w:rPr>
                <w:b/>
                <w:bCs/>
                <w:sz w:val="21"/>
                <w:szCs w:val="21"/>
              </w:rPr>
              <w:t>排放口名称</w:t>
            </w:r>
          </w:p>
        </w:tc>
        <w:tc>
          <w:tcPr>
            <w:tcW w:w="973" w:type="pct"/>
            <w:vAlign w:val="center"/>
          </w:tcPr>
          <w:p w:rsidR="00240BCE" w:rsidRDefault="00AC0334">
            <w:pPr>
              <w:autoSpaceDE w:val="0"/>
              <w:autoSpaceDN w:val="0"/>
              <w:jc w:val="center"/>
              <w:rPr>
                <w:b/>
                <w:bCs/>
                <w:sz w:val="21"/>
                <w:szCs w:val="21"/>
              </w:rPr>
            </w:pPr>
            <w:r>
              <w:rPr>
                <w:b/>
                <w:bCs/>
                <w:sz w:val="21"/>
                <w:szCs w:val="21"/>
              </w:rPr>
              <w:t>提示图形符号</w:t>
            </w:r>
          </w:p>
        </w:tc>
        <w:tc>
          <w:tcPr>
            <w:tcW w:w="973" w:type="pct"/>
            <w:vAlign w:val="center"/>
          </w:tcPr>
          <w:p w:rsidR="00240BCE" w:rsidRDefault="00AC0334">
            <w:pPr>
              <w:autoSpaceDE w:val="0"/>
              <w:autoSpaceDN w:val="0"/>
              <w:jc w:val="center"/>
              <w:rPr>
                <w:b/>
                <w:bCs/>
                <w:sz w:val="21"/>
                <w:szCs w:val="21"/>
              </w:rPr>
            </w:pPr>
            <w:r>
              <w:rPr>
                <w:b/>
                <w:bCs/>
                <w:sz w:val="21"/>
                <w:szCs w:val="21"/>
              </w:rPr>
              <w:t>警告图形标志</w:t>
            </w:r>
          </w:p>
        </w:tc>
        <w:tc>
          <w:tcPr>
            <w:tcW w:w="1799" w:type="pct"/>
            <w:vAlign w:val="center"/>
          </w:tcPr>
          <w:p w:rsidR="00240BCE" w:rsidRDefault="00AC0334">
            <w:pPr>
              <w:autoSpaceDE w:val="0"/>
              <w:autoSpaceDN w:val="0"/>
              <w:jc w:val="center"/>
              <w:rPr>
                <w:b/>
                <w:bCs/>
                <w:sz w:val="21"/>
                <w:szCs w:val="21"/>
              </w:rPr>
            </w:pPr>
            <w:r>
              <w:rPr>
                <w:b/>
                <w:bCs/>
                <w:sz w:val="21"/>
                <w:szCs w:val="21"/>
              </w:rPr>
              <w:t>功能</w:t>
            </w:r>
          </w:p>
        </w:tc>
      </w:tr>
      <w:tr w:rsidR="00240BCE">
        <w:trPr>
          <w:trHeight w:val="454"/>
        </w:trPr>
        <w:tc>
          <w:tcPr>
            <w:tcW w:w="420" w:type="pct"/>
            <w:vAlign w:val="center"/>
          </w:tcPr>
          <w:p w:rsidR="00240BCE" w:rsidRDefault="00AC0334">
            <w:pPr>
              <w:autoSpaceDE w:val="0"/>
              <w:autoSpaceDN w:val="0"/>
              <w:jc w:val="center"/>
              <w:rPr>
                <w:sz w:val="21"/>
                <w:szCs w:val="21"/>
              </w:rPr>
            </w:pPr>
            <w:r>
              <w:rPr>
                <w:sz w:val="21"/>
                <w:szCs w:val="21"/>
              </w:rPr>
              <w:t>1</w:t>
            </w:r>
          </w:p>
        </w:tc>
        <w:tc>
          <w:tcPr>
            <w:tcW w:w="835" w:type="pct"/>
            <w:vAlign w:val="center"/>
          </w:tcPr>
          <w:p w:rsidR="00240BCE" w:rsidRDefault="00AC0334">
            <w:pPr>
              <w:autoSpaceDE w:val="0"/>
              <w:autoSpaceDN w:val="0"/>
              <w:jc w:val="center"/>
              <w:rPr>
                <w:sz w:val="21"/>
                <w:szCs w:val="21"/>
              </w:rPr>
            </w:pPr>
            <w:r>
              <w:rPr>
                <w:sz w:val="21"/>
                <w:szCs w:val="21"/>
              </w:rPr>
              <w:t>废气排放口</w:t>
            </w:r>
          </w:p>
        </w:tc>
        <w:tc>
          <w:tcPr>
            <w:tcW w:w="973" w:type="pct"/>
            <w:vAlign w:val="center"/>
          </w:tcPr>
          <w:p w:rsidR="00240BCE" w:rsidRDefault="00AC0334">
            <w:pPr>
              <w:autoSpaceDE w:val="0"/>
              <w:autoSpaceDN w:val="0"/>
              <w:rPr>
                <w:sz w:val="21"/>
                <w:szCs w:val="21"/>
              </w:rPr>
            </w:pPr>
            <w:r>
              <w:rPr>
                <w:noProof/>
                <w:sz w:val="21"/>
                <w:szCs w:val="21"/>
              </w:rPr>
              <w:drawing>
                <wp:anchor distT="0" distB="0" distL="114300" distR="114300" simplePos="0" relativeHeight="251573248" behindDoc="0" locked="0" layoutInCell="1" allowOverlap="1">
                  <wp:simplePos x="0" y="0"/>
                  <wp:positionH relativeFrom="column">
                    <wp:posOffset>465455</wp:posOffset>
                  </wp:positionH>
                  <wp:positionV relativeFrom="paragraph">
                    <wp:posOffset>6985</wp:posOffset>
                  </wp:positionV>
                  <wp:extent cx="281305" cy="281305"/>
                  <wp:effectExtent l="0" t="0" r="4445" b="4445"/>
                  <wp:wrapNone/>
                  <wp:docPr id="1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5"/>
                          <pic:cNvPicPr>
                            <a:picLocks noChangeAspect="1"/>
                          </pic:cNvPicPr>
                        </pic:nvPicPr>
                        <pic:blipFill>
                          <a:blip r:embed="rId151" cstate="print"/>
                          <a:stretch>
                            <a:fillRect/>
                          </a:stretch>
                        </pic:blipFill>
                        <pic:spPr>
                          <a:xfrm>
                            <a:off x="0" y="0"/>
                            <a:ext cx="281305" cy="281305"/>
                          </a:xfrm>
                          <a:prstGeom prst="rect">
                            <a:avLst/>
                          </a:prstGeom>
                          <a:noFill/>
                          <a:ln>
                            <a:noFill/>
                          </a:ln>
                        </pic:spPr>
                      </pic:pic>
                    </a:graphicData>
                  </a:graphic>
                </wp:anchor>
              </w:drawing>
            </w:r>
          </w:p>
        </w:tc>
        <w:tc>
          <w:tcPr>
            <w:tcW w:w="973" w:type="pct"/>
          </w:tcPr>
          <w:p w:rsidR="00240BCE" w:rsidRDefault="00AC0334">
            <w:pPr>
              <w:autoSpaceDE w:val="0"/>
              <w:autoSpaceDN w:val="0"/>
              <w:rPr>
                <w:sz w:val="21"/>
                <w:szCs w:val="21"/>
              </w:rPr>
            </w:pPr>
            <w:r>
              <w:rPr>
                <w:noProof/>
                <w:sz w:val="21"/>
                <w:szCs w:val="21"/>
              </w:rPr>
              <w:drawing>
                <wp:anchor distT="0" distB="0" distL="114300" distR="114300" simplePos="0" relativeHeight="251577344" behindDoc="0" locked="0" layoutInCell="1" allowOverlap="1">
                  <wp:simplePos x="0" y="0"/>
                  <wp:positionH relativeFrom="column">
                    <wp:posOffset>315595</wp:posOffset>
                  </wp:positionH>
                  <wp:positionV relativeFrom="paragraph">
                    <wp:posOffset>5715</wp:posOffset>
                  </wp:positionV>
                  <wp:extent cx="286385" cy="250190"/>
                  <wp:effectExtent l="0" t="0" r="18415" b="16510"/>
                  <wp:wrapNone/>
                  <wp:docPr id="155" name="图片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94"/>
                          <pic:cNvPicPr>
                            <a:picLocks noChangeAspect="1"/>
                          </pic:cNvPicPr>
                        </pic:nvPicPr>
                        <pic:blipFill>
                          <a:blip r:embed="rId152" cstate="print"/>
                          <a:stretch>
                            <a:fillRect/>
                          </a:stretch>
                        </pic:blipFill>
                        <pic:spPr>
                          <a:xfrm>
                            <a:off x="0" y="0"/>
                            <a:ext cx="286385" cy="250190"/>
                          </a:xfrm>
                          <a:prstGeom prst="rect">
                            <a:avLst/>
                          </a:prstGeom>
                          <a:noFill/>
                          <a:ln>
                            <a:noFill/>
                          </a:ln>
                        </pic:spPr>
                      </pic:pic>
                    </a:graphicData>
                  </a:graphic>
                </wp:anchor>
              </w:drawing>
            </w:r>
          </w:p>
        </w:tc>
        <w:tc>
          <w:tcPr>
            <w:tcW w:w="1799" w:type="pct"/>
            <w:vAlign w:val="center"/>
          </w:tcPr>
          <w:p w:rsidR="00240BCE" w:rsidRDefault="00AC0334">
            <w:pPr>
              <w:autoSpaceDE w:val="0"/>
              <w:autoSpaceDN w:val="0"/>
              <w:jc w:val="center"/>
              <w:rPr>
                <w:rFonts w:eastAsia="Times New Roman"/>
                <w:sz w:val="21"/>
                <w:szCs w:val="21"/>
              </w:rPr>
            </w:pPr>
            <w:r>
              <w:rPr>
                <w:sz w:val="21"/>
                <w:szCs w:val="21"/>
              </w:rPr>
              <w:t>表示废气向大气排放</w:t>
            </w:r>
          </w:p>
        </w:tc>
      </w:tr>
      <w:tr w:rsidR="00240BCE">
        <w:trPr>
          <w:trHeight w:val="454"/>
        </w:trPr>
        <w:tc>
          <w:tcPr>
            <w:tcW w:w="420" w:type="pct"/>
            <w:vAlign w:val="center"/>
          </w:tcPr>
          <w:p w:rsidR="00240BCE" w:rsidRDefault="00AC0334">
            <w:pPr>
              <w:autoSpaceDE w:val="0"/>
              <w:autoSpaceDN w:val="0"/>
              <w:jc w:val="center"/>
              <w:rPr>
                <w:sz w:val="21"/>
                <w:szCs w:val="21"/>
              </w:rPr>
            </w:pPr>
            <w:r>
              <w:rPr>
                <w:sz w:val="21"/>
                <w:szCs w:val="21"/>
              </w:rPr>
              <w:t>2</w:t>
            </w:r>
          </w:p>
        </w:tc>
        <w:tc>
          <w:tcPr>
            <w:tcW w:w="835" w:type="pct"/>
            <w:vAlign w:val="center"/>
          </w:tcPr>
          <w:p w:rsidR="00240BCE" w:rsidRDefault="00AC0334">
            <w:pPr>
              <w:autoSpaceDE w:val="0"/>
              <w:autoSpaceDN w:val="0"/>
              <w:jc w:val="center"/>
              <w:rPr>
                <w:sz w:val="21"/>
                <w:szCs w:val="21"/>
              </w:rPr>
            </w:pPr>
            <w:r>
              <w:rPr>
                <w:sz w:val="21"/>
                <w:szCs w:val="21"/>
              </w:rPr>
              <w:t>污水排放口</w:t>
            </w:r>
          </w:p>
        </w:tc>
        <w:tc>
          <w:tcPr>
            <w:tcW w:w="973" w:type="pct"/>
            <w:vAlign w:val="center"/>
          </w:tcPr>
          <w:p w:rsidR="00240BCE" w:rsidRDefault="00AC0334">
            <w:pPr>
              <w:autoSpaceDE w:val="0"/>
              <w:autoSpaceDN w:val="0"/>
              <w:jc w:val="center"/>
              <w:rPr>
                <w:rFonts w:eastAsia="Times New Roman"/>
                <w:sz w:val="21"/>
                <w:szCs w:val="21"/>
              </w:rPr>
            </w:pPr>
            <w:r>
              <w:rPr>
                <w:noProof/>
                <w:sz w:val="21"/>
                <w:szCs w:val="21"/>
              </w:rPr>
              <w:drawing>
                <wp:anchor distT="0" distB="0" distL="114300" distR="114300" simplePos="0" relativeHeight="251576320" behindDoc="0" locked="0" layoutInCell="1" allowOverlap="1">
                  <wp:simplePos x="0" y="0"/>
                  <wp:positionH relativeFrom="margin">
                    <wp:posOffset>471170</wp:posOffset>
                  </wp:positionH>
                  <wp:positionV relativeFrom="margin">
                    <wp:posOffset>11430</wp:posOffset>
                  </wp:positionV>
                  <wp:extent cx="280670" cy="280670"/>
                  <wp:effectExtent l="0" t="0" r="5080" b="5080"/>
                  <wp:wrapNone/>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pic:cNvPicPr>
                            <a:picLocks noChangeAspect="1"/>
                          </pic:cNvPicPr>
                        </pic:nvPicPr>
                        <pic:blipFill>
                          <a:blip r:embed="rId153" cstate="print"/>
                          <a:stretch>
                            <a:fillRect/>
                          </a:stretch>
                        </pic:blipFill>
                        <pic:spPr>
                          <a:xfrm>
                            <a:off x="0" y="0"/>
                            <a:ext cx="280670" cy="280670"/>
                          </a:xfrm>
                          <a:prstGeom prst="rect">
                            <a:avLst/>
                          </a:prstGeom>
                          <a:noFill/>
                          <a:ln>
                            <a:noFill/>
                          </a:ln>
                        </pic:spPr>
                      </pic:pic>
                    </a:graphicData>
                  </a:graphic>
                </wp:anchor>
              </w:drawing>
            </w:r>
          </w:p>
        </w:tc>
        <w:tc>
          <w:tcPr>
            <w:tcW w:w="973" w:type="pct"/>
          </w:tcPr>
          <w:p w:rsidR="00240BCE" w:rsidRDefault="00AC0334">
            <w:pPr>
              <w:autoSpaceDE w:val="0"/>
              <w:autoSpaceDN w:val="0"/>
              <w:rPr>
                <w:sz w:val="21"/>
                <w:szCs w:val="21"/>
              </w:rPr>
            </w:pPr>
            <w:r>
              <w:rPr>
                <w:noProof/>
                <w:sz w:val="21"/>
                <w:szCs w:val="21"/>
              </w:rPr>
              <w:drawing>
                <wp:anchor distT="0" distB="0" distL="114300" distR="114300" simplePos="0" relativeHeight="251578368" behindDoc="0" locked="0" layoutInCell="1" allowOverlap="1">
                  <wp:simplePos x="0" y="0"/>
                  <wp:positionH relativeFrom="column">
                    <wp:posOffset>275590</wp:posOffset>
                  </wp:positionH>
                  <wp:positionV relativeFrom="paragraph">
                    <wp:posOffset>3175</wp:posOffset>
                  </wp:positionV>
                  <wp:extent cx="311785" cy="267335"/>
                  <wp:effectExtent l="0" t="0" r="12065" b="18415"/>
                  <wp:wrapNone/>
                  <wp:docPr id="156" name="图片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95"/>
                          <pic:cNvPicPr>
                            <a:picLocks noChangeAspect="1"/>
                          </pic:cNvPicPr>
                        </pic:nvPicPr>
                        <pic:blipFill>
                          <a:blip r:embed="rId154" cstate="print"/>
                          <a:stretch>
                            <a:fillRect/>
                          </a:stretch>
                        </pic:blipFill>
                        <pic:spPr>
                          <a:xfrm>
                            <a:off x="0" y="0"/>
                            <a:ext cx="311785" cy="267335"/>
                          </a:xfrm>
                          <a:prstGeom prst="rect">
                            <a:avLst/>
                          </a:prstGeom>
                          <a:noFill/>
                          <a:ln>
                            <a:noFill/>
                          </a:ln>
                        </pic:spPr>
                      </pic:pic>
                    </a:graphicData>
                  </a:graphic>
                </wp:anchor>
              </w:drawing>
            </w:r>
          </w:p>
        </w:tc>
        <w:tc>
          <w:tcPr>
            <w:tcW w:w="1799" w:type="pct"/>
            <w:vAlign w:val="center"/>
          </w:tcPr>
          <w:p w:rsidR="00240BCE" w:rsidRDefault="00AC0334">
            <w:pPr>
              <w:autoSpaceDE w:val="0"/>
              <w:autoSpaceDN w:val="0"/>
              <w:jc w:val="center"/>
              <w:rPr>
                <w:sz w:val="21"/>
                <w:szCs w:val="21"/>
              </w:rPr>
            </w:pPr>
            <w:r>
              <w:rPr>
                <w:sz w:val="21"/>
                <w:szCs w:val="21"/>
              </w:rPr>
              <w:t>表示污水向水体排放</w:t>
            </w:r>
          </w:p>
        </w:tc>
      </w:tr>
      <w:tr w:rsidR="00240BCE">
        <w:trPr>
          <w:trHeight w:val="454"/>
        </w:trPr>
        <w:tc>
          <w:tcPr>
            <w:tcW w:w="420" w:type="pct"/>
            <w:vAlign w:val="center"/>
          </w:tcPr>
          <w:p w:rsidR="00240BCE" w:rsidRDefault="00AC0334">
            <w:pPr>
              <w:autoSpaceDE w:val="0"/>
              <w:autoSpaceDN w:val="0"/>
              <w:jc w:val="center"/>
              <w:rPr>
                <w:sz w:val="21"/>
                <w:szCs w:val="21"/>
              </w:rPr>
            </w:pPr>
            <w:r>
              <w:rPr>
                <w:sz w:val="21"/>
                <w:szCs w:val="21"/>
              </w:rPr>
              <w:t>3</w:t>
            </w:r>
          </w:p>
        </w:tc>
        <w:tc>
          <w:tcPr>
            <w:tcW w:w="835" w:type="pct"/>
            <w:vAlign w:val="center"/>
          </w:tcPr>
          <w:p w:rsidR="00240BCE" w:rsidRDefault="00AC0334">
            <w:pPr>
              <w:autoSpaceDE w:val="0"/>
              <w:autoSpaceDN w:val="0"/>
              <w:jc w:val="center"/>
              <w:rPr>
                <w:sz w:val="21"/>
                <w:szCs w:val="21"/>
              </w:rPr>
            </w:pPr>
            <w:r>
              <w:rPr>
                <w:sz w:val="21"/>
                <w:szCs w:val="21"/>
              </w:rPr>
              <w:t>噪声排放源</w:t>
            </w:r>
          </w:p>
        </w:tc>
        <w:tc>
          <w:tcPr>
            <w:tcW w:w="973" w:type="pct"/>
            <w:vAlign w:val="center"/>
          </w:tcPr>
          <w:p w:rsidR="00240BCE" w:rsidRDefault="00AC0334">
            <w:pPr>
              <w:autoSpaceDE w:val="0"/>
              <w:autoSpaceDN w:val="0"/>
              <w:jc w:val="center"/>
              <w:rPr>
                <w:rFonts w:eastAsia="Times New Roman"/>
                <w:sz w:val="21"/>
                <w:szCs w:val="21"/>
              </w:rPr>
            </w:pPr>
            <w:r>
              <w:rPr>
                <w:noProof/>
                <w:sz w:val="21"/>
                <w:szCs w:val="21"/>
              </w:rPr>
              <w:drawing>
                <wp:anchor distT="0" distB="0" distL="114300" distR="114300" simplePos="0" relativeHeight="251575296" behindDoc="0" locked="0" layoutInCell="1" allowOverlap="1">
                  <wp:simplePos x="0" y="0"/>
                  <wp:positionH relativeFrom="column">
                    <wp:posOffset>468630</wp:posOffset>
                  </wp:positionH>
                  <wp:positionV relativeFrom="paragraph">
                    <wp:posOffset>635</wp:posOffset>
                  </wp:positionV>
                  <wp:extent cx="281305" cy="281305"/>
                  <wp:effectExtent l="0" t="0" r="4445" b="4445"/>
                  <wp:wrapNone/>
                  <wp:docPr id="15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7"/>
                          <pic:cNvPicPr>
                            <a:picLocks noChangeAspect="1"/>
                          </pic:cNvPicPr>
                        </pic:nvPicPr>
                        <pic:blipFill>
                          <a:blip r:embed="rId155" cstate="print"/>
                          <a:stretch>
                            <a:fillRect/>
                          </a:stretch>
                        </pic:blipFill>
                        <pic:spPr>
                          <a:xfrm>
                            <a:off x="0" y="0"/>
                            <a:ext cx="281305" cy="281305"/>
                          </a:xfrm>
                          <a:prstGeom prst="rect">
                            <a:avLst/>
                          </a:prstGeom>
                          <a:noFill/>
                          <a:ln>
                            <a:noFill/>
                          </a:ln>
                        </pic:spPr>
                      </pic:pic>
                    </a:graphicData>
                  </a:graphic>
                </wp:anchor>
              </w:drawing>
            </w:r>
          </w:p>
        </w:tc>
        <w:tc>
          <w:tcPr>
            <w:tcW w:w="973" w:type="pct"/>
          </w:tcPr>
          <w:p w:rsidR="00240BCE" w:rsidRDefault="00AC0334">
            <w:pPr>
              <w:autoSpaceDE w:val="0"/>
              <w:autoSpaceDN w:val="0"/>
              <w:rPr>
                <w:sz w:val="21"/>
                <w:szCs w:val="21"/>
              </w:rPr>
            </w:pPr>
            <w:r>
              <w:rPr>
                <w:noProof/>
                <w:sz w:val="21"/>
                <w:szCs w:val="21"/>
              </w:rPr>
              <w:drawing>
                <wp:anchor distT="0" distB="0" distL="114300" distR="114300" simplePos="0" relativeHeight="251579392" behindDoc="0" locked="0" layoutInCell="1" allowOverlap="1">
                  <wp:simplePos x="0" y="0"/>
                  <wp:positionH relativeFrom="column">
                    <wp:posOffset>307975</wp:posOffset>
                  </wp:positionH>
                  <wp:positionV relativeFrom="paragraph">
                    <wp:posOffset>13335</wp:posOffset>
                  </wp:positionV>
                  <wp:extent cx="294005" cy="266700"/>
                  <wp:effectExtent l="0" t="0" r="10795" b="0"/>
                  <wp:wrapNone/>
                  <wp:docPr id="157" name="图片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96"/>
                          <pic:cNvPicPr>
                            <a:picLocks noChangeAspect="1"/>
                          </pic:cNvPicPr>
                        </pic:nvPicPr>
                        <pic:blipFill>
                          <a:blip r:embed="rId156" cstate="print"/>
                          <a:stretch>
                            <a:fillRect/>
                          </a:stretch>
                        </pic:blipFill>
                        <pic:spPr>
                          <a:xfrm>
                            <a:off x="0" y="0"/>
                            <a:ext cx="294005" cy="266700"/>
                          </a:xfrm>
                          <a:prstGeom prst="rect">
                            <a:avLst/>
                          </a:prstGeom>
                          <a:noFill/>
                          <a:ln>
                            <a:noFill/>
                          </a:ln>
                        </pic:spPr>
                      </pic:pic>
                    </a:graphicData>
                  </a:graphic>
                </wp:anchor>
              </w:drawing>
            </w:r>
          </w:p>
        </w:tc>
        <w:tc>
          <w:tcPr>
            <w:tcW w:w="1799" w:type="pct"/>
            <w:vAlign w:val="center"/>
          </w:tcPr>
          <w:p w:rsidR="00240BCE" w:rsidRDefault="00AC0334">
            <w:pPr>
              <w:autoSpaceDE w:val="0"/>
              <w:autoSpaceDN w:val="0"/>
              <w:jc w:val="center"/>
              <w:rPr>
                <w:rFonts w:eastAsia="Times New Roman"/>
                <w:sz w:val="21"/>
                <w:szCs w:val="21"/>
              </w:rPr>
            </w:pPr>
            <w:r>
              <w:rPr>
                <w:sz w:val="21"/>
                <w:szCs w:val="21"/>
              </w:rPr>
              <w:t>表示噪声向外环境排放</w:t>
            </w:r>
          </w:p>
        </w:tc>
      </w:tr>
      <w:tr w:rsidR="00240BCE">
        <w:trPr>
          <w:trHeight w:val="520"/>
        </w:trPr>
        <w:tc>
          <w:tcPr>
            <w:tcW w:w="420" w:type="pct"/>
            <w:vAlign w:val="center"/>
          </w:tcPr>
          <w:p w:rsidR="00240BCE" w:rsidRDefault="00AC0334">
            <w:pPr>
              <w:autoSpaceDE w:val="0"/>
              <w:autoSpaceDN w:val="0"/>
              <w:jc w:val="center"/>
              <w:rPr>
                <w:sz w:val="21"/>
                <w:szCs w:val="21"/>
              </w:rPr>
            </w:pPr>
            <w:r>
              <w:rPr>
                <w:sz w:val="21"/>
                <w:szCs w:val="21"/>
              </w:rPr>
              <w:t>4</w:t>
            </w:r>
          </w:p>
        </w:tc>
        <w:tc>
          <w:tcPr>
            <w:tcW w:w="835" w:type="pct"/>
            <w:vAlign w:val="center"/>
          </w:tcPr>
          <w:p w:rsidR="00240BCE" w:rsidRDefault="00AC0334">
            <w:pPr>
              <w:autoSpaceDE w:val="0"/>
              <w:autoSpaceDN w:val="0"/>
              <w:jc w:val="center"/>
              <w:rPr>
                <w:sz w:val="21"/>
                <w:szCs w:val="21"/>
              </w:rPr>
            </w:pPr>
            <w:r>
              <w:rPr>
                <w:sz w:val="21"/>
                <w:szCs w:val="21"/>
              </w:rPr>
              <w:t>固废堆放所</w:t>
            </w:r>
          </w:p>
        </w:tc>
        <w:tc>
          <w:tcPr>
            <w:tcW w:w="973" w:type="pct"/>
            <w:vAlign w:val="center"/>
          </w:tcPr>
          <w:p w:rsidR="00240BCE" w:rsidRDefault="00AC0334">
            <w:pPr>
              <w:autoSpaceDE w:val="0"/>
              <w:autoSpaceDN w:val="0"/>
              <w:rPr>
                <w:rFonts w:eastAsia="Times New Roman"/>
                <w:sz w:val="21"/>
                <w:szCs w:val="21"/>
              </w:rPr>
            </w:pPr>
            <w:r>
              <w:rPr>
                <w:noProof/>
                <w:sz w:val="21"/>
                <w:szCs w:val="21"/>
              </w:rPr>
              <w:drawing>
                <wp:anchor distT="0" distB="0" distL="114300" distR="114300" simplePos="0" relativeHeight="251574272" behindDoc="0" locked="0" layoutInCell="1" allowOverlap="1">
                  <wp:simplePos x="0" y="0"/>
                  <wp:positionH relativeFrom="column">
                    <wp:posOffset>464185</wp:posOffset>
                  </wp:positionH>
                  <wp:positionV relativeFrom="paragraph">
                    <wp:posOffset>19050</wp:posOffset>
                  </wp:positionV>
                  <wp:extent cx="293370" cy="293370"/>
                  <wp:effectExtent l="0" t="0" r="11430" b="11430"/>
                  <wp:wrapNone/>
                  <wp:docPr id="15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8"/>
                          <pic:cNvPicPr>
                            <a:picLocks noChangeAspect="1"/>
                          </pic:cNvPicPr>
                        </pic:nvPicPr>
                        <pic:blipFill>
                          <a:blip r:embed="rId157" cstate="print"/>
                          <a:stretch>
                            <a:fillRect/>
                          </a:stretch>
                        </pic:blipFill>
                        <pic:spPr>
                          <a:xfrm>
                            <a:off x="0" y="0"/>
                            <a:ext cx="293370" cy="293370"/>
                          </a:xfrm>
                          <a:prstGeom prst="rect">
                            <a:avLst/>
                          </a:prstGeom>
                          <a:noFill/>
                          <a:ln>
                            <a:noFill/>
                          </a:ln>
                        </pic:spPr>
                      </pic:pic>
                    </a:graphicData>
                  </a:graphic>
                </wp:anchor>
              </w:drawing>
            </w:r>
          </w:p>
        </w:tc>
        <w:tc>
          <w:tcPr>
            <w:tcW w:w="973" w:type="pct"/>
          </w:tcPr>
          <w:p w:rsidR="00240BCE" w:rsidRDefault="00AC0334">
            <w:pPr>
              <w:autoSpaceDE w:val="0"/>
              <w:autoSpaceDN w:val="0"/>
              <w:rPr>
                <w:sz w:val="21"/>
                <w:szCs w:val="21"/>
              </w:rPr>
            </w:pPr>
            <w:r>
              <w:rPr>
                <w:noProof/>
                <w:sz w:val="21"/>
                <w:szCs w:val="21"/>
              </w:rPr>
              <w:drawing>
                <wp:anchor distT="0" distB="0" distL="114300" distR="114300" simplePos="0" relativeHeight="251580416" behindDoc="0" locked="0" layoutInCell="1" allowOverlap="1">
                  <wp:simplePos x="0" y="0"/>
                  <wp:positionH relativeFrom="column">
                    <wp:posOffset>307340</wp:posOffset>
                  </wp:positionH>
                  <wp:positionV relativeFrom="paragraph">
                    <wp:posOffset>11430</wp:posOffset>
                  </wp:positionV>
                  <wp:extent cx="311785" cy="286385"/>
                  <wp:effectExtent l="0" t="0" r="12065" b="18415"/>
                  <wp:wrapNone/>
                  <wp:docPr id="158" name="图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97"/>
                          <pic:cNvPicPr>
                            <a:picLocks noChangeAspect="1"/>
                          </pic:cNvPicPr>
                        </pic:nvPicPr>
                        <pic:blipFill>
                          <a:blip r:embed="rId158" cstate="print"/>
                          <a:stretch>
                            <a:fillRect/>
                          </a:stretch>
                        </pic:blipFill>
                        <pic:spPr>
                          <a:xfrm>
                            <a:off x="0" y="0"/>
                            <a:ext cx="311785" cy="286385"/>
                          </a:xfrm>
                          <a:prstGeom prst="rect">
                            <a:avLst/>
                          </a:prstGeom>
                          <a:noFill/>
                          <a:ln>
                            <a:noFill/>
                          </a:ln>
                        </pic:spPr>
                      </pic:pic>
                    </a:graphicData>
                  </a:graphic>
                </wp:anchor>
              </w:drawing>
            </w:r>
          </w:p>
        </w:tc>
        <w:tc>
          <w:tcPr>
            <w:tcW w:w="1799" w:type="pct"/>
            <w:vAlign w:val="center"/>
          </w:tcPr>
          <w:p w:rsidR="00240BCE" w:rsidRDefault="00AC0334">
            <w:pPr>
              <w:autoSpaceDE w:val="0"/>
              <w:autoSpaceDN w:val="0"/>
              <w:jc w:val="center"/>
              <w:rPr>
                <w:rFonts w:eastAsia="Times New Roman"/>
                <w:sz w:val="21"/>
                <w:szCs w:val="21"/>
              </w:rPr>
            </w:pPr>
            <w:r>
              <w:rPr>
                <w:sz w:val="21"/>
                <w:szCs w:val="21"/>
              </w:rPr>
              <w:t>表示固废储存处置场所</w:t>
            </w:r>
          </w:p>
        </w:tc>
      </w:tr>
    </w:tbl>
    <w:p w:rsidR="00240BCE" w:rsidRDefault="00AC0334" w:rsidP="009C5F33">
      <w:pPr>
        <w:pStyle w:val="30"/>
        <w:adjustRightInd w:val="0"/>
        <w:snapToGrid w:val="0"/>
        <w:spacing w:beforeLines="70" w:afterLines="30" w:line="240" w:lineRule="auto"/>
        <w:jc w:val="left"/>
        <w:rPr>
          <w:rFonts w:eastAsia="楷体"/>
          <w:sz w:val="28"/>
          <w:szCs w:val="28"/>
        </w:rPr>
      </w:pPr>
      <w:bookmarkStart w:id="873" w:name="_Toc79668742"/>
      <w:r>
        <w:rPr>
          <w:rFonts w:eastAsia="楷体"/>
          <w:sz w:val="28"/>
          <w:szCs w:val="28"/>
        </w:rPr>
        <w:t xml:space="preserve">9.3.3 </w:t>
      </w:r>
      <w:r>
        <w:rPr>
          <w:rFonts w:eastAsia="楷体"/>
          <w:sz w:val="28"/>
          <w:szCs w:val="28"/>
        </w:rPr>
        <w:t>排污口建档管理</w:t>
      </w:r>
      <w:bookmarkEnd w:id="873"/>
      <w:r>
        <w:rPr>
          <w:rFonts w:eastAsia="楷体"/>
          <w:sz w:val="28"/>
          <w:szCs w:val="28"/>
        </w:rPr>
        <w:t xml:space="preserve"> </w:t>
      </w:r>
    </w:p>
    <w:p w:rsidR="00240BCE" w:rsidRDefault="00AC0334">
      <w:pPr>
        <w:spacing w:line="520" w:lineRule="exact"/>
        <w:ind w:firstLine="480"/>
        <w:rPr>
          <w:sz w:val="24"/>
        </w:rPr>
      </w:pPr>
      <w:r>
        <w:rPr>
          <w:sz w:val="24"/>
        </w:rPr>
        <w:t>1</w:t>
      </w:r>
      <w:r>
        <w:rPr>
          <w:sz w:val="24"/>
        </w:rPr>
        <w:t>、要求使用国家环保局统一印刷的《中华人民共和国规范化排污口标志登记证》，并按要求填写有关内容；</w:t>
      </w:r>
    </w:p>
    <w:p w:rsidR="00240BCE" w:rsidRDefault="00AC0334">
      <w:pPr>
        <w:spacing w:line="520" w:lineRule="exact"/>
        <w:ind w:firstLine="480"/>
        <w:rPr>
          <w:sz w:val="24"/>
        </w:rPr>
      </w:pPr>
      <w:r>
        <w:rPr>
          <w:sz w:val="24"/>
        </w:rPr>
        <w:t>2</w:t>
      </w:r>
      <w:r>
        <w:rPr>
          <w:sz w:val="24"/>
        </w:rPr>
        <w:t>、根据排污口管理档案内容要求，项目建成投产后，应将主要污染物种类、数量、浓度、排放去向、达标情况及设施运行情况纪录于台账，存入档案，并按环保部门要求及时上报。</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74" w:name="_Toc79668743"/>
      <w:bookmarkStart w:id="875" w:name="_Toc81934406"/>
      <w:r>
        <w:rPr>
          <w:rFonts w:ascii="Times New Roman" w:eastAsia="宋体" w:hAnsi="Times New Roman"/>
          <w:bCs/>
          <w:szCs w:val="32"/>
        </w:rPr>
        <w:lastRenderedPageBreak/>
        <w:t xml:space="preserve">9.4 </w:t>
      </w:r>
      <w:r>
        <w:rPr>
          <w:rFonts w:ascii="Times New Roman" w:eastAsia="宋体" w:hAnsi="Times New Roman"/>
          <w:bCs/>
          <w:szCs w:val="32"/>
        </w:rPr>
        <w:t>污染物排放管理及总量控制要求</w:t>
      </w:r>
      <w:bookmarkEnd w:id="874"/>
      <w:bookmarkEnd w:id="875"/>
    </w:p>
    <w:p w:rsidR="00240BCE" w:rsidRDefault="00AC0334">
      <w:pPr>
        <w:spacing w:line="520" w:lineRule="exact"/>
        <w:ind w:firstLineChars="200" w:firstLine="480"/>
        <w:rPr>
          <w:kern w:val="0"/>
          <w:sz w:val="24"/>
        </w:rPr>
      </w:pPr>
      <w:r>
        <w:rPr>
          <w:kern w:val="0"/>
          <w:sz w:val="24"/>
        </w:rPr>
        <w:t>（</w:t>
      </w:r>
      <w:r>
        <w:rPr>
          <w:kern w:val="0"/>
          <w:sz w:val="24"/>
        </w:rPr>
        <w:t>1</w:t>
      </w:r>
      <w:r>
        <w:rPr>
          <w:kern w:val="0"/>
          <w:sz w:val="24"/>
        </w:rPr>
        <w:t>）总量控制因子</w:t>
      </w:r>
    </w:p>
    <w:p w:rsidR="00240BCE" w:rsidRDefault="00AC0334">
      <w:pPr>
        <w:spacing w:line="520" w:lineRule="exact"/>
        <w:ind w:firstLineChars="200" w:firstLine="480"/>
        <w:rPr>
          <w:kern w:val="0"/>
          <w:sz w:val="24"/>
        </w:rPr>
      </w:pPr>
      <w:r>
        <w:rPr>
          <w:kern w:val="0"/>
          <w:sz w:val="24"/>
        </w:rPr>
        <w:t>按照国家环境保护规划要求，目前国家对</w:t>
      </w:r>
      <w:r>
        <w:rPr>
          <w:kern w:val="0"/>
          <w:sz w:val="24"/>
        </w:rPr>
        <w:t>COD</w:t>
      </w:r>
      <w:r>
        <w:rPr>
          <w:kern w:val="0"/>
          <w:sz w:val="24"/>
        </w:rPr>
        <w:t>、</w:t>
      </w:r>
      <w:r>
        <w:rPr>
          <w:kern w:val="0"/>
          <w:sz w:val="24"/>
        </w:rPr>
        <w:t>NH</w:t>
      </w:r>
      <w:r>
        <w:rPr>
          <w:kern w:val="0"/>
          <w:sz w:val="24"/>
          <w:vertAlign w:val="subscript"/>
        </w:rPr>
        <w:t>3</w:t>
      </w:r>
      <w:r>
        <w:rPr>
          <w:kern w:val="0"/>
          <w:sz w:val="24"/>
        </w:rPr>
        <w:t>-N</w:t>
      </w:r>
      <w:r>
        <w:rPr>
          <w:kern w:val="0"/>
          <w:sz w:val="24"/>
        </w:rPr>
        <w:t>、</w:t>
      </w:r>
      <w:r>
        <w:rPr>
          <w:kern w:val="0"/>
          <w:sz w:val="24"/>
        </w:rPr>
        <w:t>SO</w:t>
      </w:r>
      <w:r>
        <w:rPr>
          <w:kern w:val="0"/>
          <w:sz w:val="24"/>
          <w:vertAlign w:val="subscript"/>
        </w:rPr>
        <w:t>2</w:t>
      </w:r>
      <w:r>
        <w:rPr>
          <w:kern w:val="0"/>
          <w:sz w:val="24"/>
        </w:rPr>
        <w:t>、氮氧化物四种主要污染物实行排放总量控制计划管理</w:t>
      </w:r>
      <w:r>
        <w:rPr>
          <w:rFonts w:hint="eastAsia"/>
          <w:kern w:val="0"/>
          <w:sz w:val="24"/>
        </w:rPr>
        <w:t>，</w:t>
      </w:r>
      <w:r>
        <w:rPr>
          <w:kern w:val="0"/>
          <w:sz w:val="24"/>
        </w:rPr>
        <w:t>其中大气污染物：</w:t>
      </w:r>
      <w:r>
        <w:rPr>
          <w:kern w:val="0"/>
          <w:sz w:val="24"/>
        </w:rPr>
        <w:t>SO</w:t>
      </w:r>
      <w:r>
        <w:rPr>
          <w:kern w:val="0"/>
          <w:sz w:val="24"/>
          <w:vertAlign w:val="subscript"/>
        </w:rPr>
        <w:t>2</w:t>
      </w:r>
      <w:r>
        <w:rPr>
          <w:kern w:val="0"/>
          <w:sz w:val="24"/>
        </w:rPr>
        <w:t>、氮氧化物，水污染物：</w:t>
      </w:r>
      <w:r>
        <w:rPr>
          <w:kern w:val="0"/>
          <w:sz w:val="24"/>
        </w:rPr>
        <w:t>COD</w:t>
      </w:r>
      <w:r>
        <w:rPr>
          <w:kern w:val="0"/>
          <w:sz w:val="24"/>
        </w:rPr>
        <w:t>、</w:t>
      </w:r>
      <w:r>
        <w:rPr>
          <w:kern w:val="0"/>
          <w:sz w:val="24"/>
        </w:rPr>
        <w:t>NH</w:t>
      </w:r>
      <w:r>
        <w:rPr>
          <w:kern w:val="0"/>
          <w:sz w:val="24"/>
          <w:vertAlign w:val="subscript"/>
        </w:rPr>
        <w:t>3</w:t>
      </w:r>
      <w:r>
        <w:rPr>
          <w:kern w:val="0"/>
          <w:sz w:val="24"/>
        </w:rPr>
        <w:t>-N</w:t>
      </w:r>
      <w:r>
        <w:rPr>
          <w:kern w:val="0"/>
          <w:sz w:val="24"/>
        </w:rPr>
        <w:t>。</w:t>
      </w:r>
    </w:p>
    <w:p w:rsidR="00240BCE" w:rsidRDefault="00AC0334">
      <w:pPr>
        <w:spacing w:line="520" w:lineRule="exact"/>
        <w:ind w:firstLineChars="200" w:firstLine="480"/>
        <w:rPr>
          <w:kern w:val="0"/>
          <w:sz w:val="24"/>
        </w:rPr>
      </w:pPr>
      <w:r>
        <w:rPr>
          <w:kern w:val="0"/>
          <w:sz w:val="24"/>
        </w:rPr>
        <w:t>（</w:t>
      </w:r>
      <w:r>
        <w:rPr>
          <w:kern w:val="0"/>
          <w:sz w:val="24"/>
        </w:rPr>
        <w:t>2</w:t>
      </w:r>
      <w:r>
        <w:rPr>
          <w:kern w:val="0"/>
          <w:sz w:val="24"/>
        </w:rPr>
        <w:t>）现有工程总量控制指标</w:t>
      </w:r>
    </w:p>
    <w:p w:rsidR="00240BCE" w:rsidRDefault="00AC0334">
      <w:pPr>
        <w:spacing w:line="520" w:lineRule="exact"/>
        <w:ind w:firstLineChars="200" w:firstLine="480"/>
        <w:rPr>
          <w:kern w:val="0"/>
          <w:sz w:val="24"/>
        </w:rPr>
      </w:pPr>
      <w:r>
        <w:rPr>
          <w:kern w:val="0"/>
          <w:sz w:val="24"/>
        </w:rPr>
        <w:t>2005</w:t>
      </w:r>
      <w:r>
        <w:rPr>
          <w:kern w:val="0"/>
          <w:sz w:val="24"/>
        </w:rPr>
        <w:t>年</w:t>
      </w:r>
      <w:r>
        <w:rPr>
          <w:kern w:val="0"/>
          <w:sz w:val="24"/>
        </w:rPr>
        <w:t>10</w:t>
      </w:r>
      <w:r>
        <w:rPr>
          <w:kern w:val="0"/>
          <w:sz w:val="24"/>
        </w:rPr>
        <w:t>月，隆庆煤矿的前身大山煤业取得原许昌市环保局下发的环评批复，批复文号为：</w:t>
      </w:r>
      <w:r>
        <w:rPr>
          <w:sz w:val="24"/>
        </w:rPr>
        <w:t>许环建审【</w:t>
      </w:r>
      <w:r>
        <w:rPr>
          <w:sz w:val="24"/>
        </w:rPr>
        <w:t>2005</w:t>
      </w:r>
      <w:r>
        <w:rPr>
          <w:sz w:val="24"/>
        </w:rPr>
        <w:t>】</w:t>
      </w:r>
      <w:r>
        <w:rPr>
          <w:sz w:val="24"/>
        </w:rPr>
        <w:t>231</w:t>
      </w:r>
      <w:r>
        <w:rPr>
          <w:sz w:val="24"/>
        </w:rPr>
        <w:t>号</w:t>
      </w:r>
      <w:r>
        <w:rPr>
          <w:kern w:val="0"/>
          <w:sz w:val="24"/>
        </w:rPr>
        <w:t>。审批意见中总量控制指标：烟尘</w:t>
      </w:r>
      <w:r>
        <w:rPr>
          <w:kern w:val="0"/>
          <w:sz w:val="24"/>
        </w:rPr>
        <w:t>1.50t/a</w:t>
      </w:r>
      <w:r>
        <w:rPr>
          <w:kern w:val="0"/>
          <w:sz w:val="24"/>
        </w:rPr>
        <w:t>、二氧化硫</w:t>
      </w:r>
      <w:r>
        <w:rPr>
          <w:kern w:val="0"/>
          <w:sz w:val="24"/>
        </w:rPr>
        <w:t>3.17t/a</w:t>
      </w:r>
      <w:r>
        <w:rPr>
          <w:kern w:val="0"/>
          <w:sz w:val="24"/>
        </w:rPr>
        <w:t>、</w:t>
      </w:r>
      <w:r>
        <w:rPr>
          <w:kern w:val="0"/>
          <w:sz w:val="24"/>
        </w:rPr>
        <w:t>COD5.94t/a</w:t>
      </w:r>
      <w:r>
        <w:rPr>
          <w:kern w:val="0"/>
          <w:sz w:val="24"/>
        </w:rPr>
        <w:t>。</w:t>
      </w:r>
    </w:p>
    <w:p w:rsidR="00240BCE" w:rsidRDefault="00AC0334">
      <w:pPr>
        <w:spacing w:line="520" w:lineRule="exact"/>
        <w:ind w:firstLineChars="200" w:firstLine="480"/>
        <w:rPr>
          <w:kern w:val="0"/>
          <w:sz w:val="24"/>
        </w:rPr>
      </w:pPr>
      <w:r>
        <w:rPr>
          <w:kern w:val="0"/>
          <w:sz w:val="24"/>
        </w:rPr>
        <w:t>根据实际调查，隆庆煤矿燃煤锅炉已拆除，供热改为空气能热泵</w:t>
      </w:r>
      <w:r w:rsidR="00AC309C">
        <w:rPr>
          <w:rFonts w:hint="eastAsia"/>
          <w:kern w:val="0"/>
          <w:sz w:val="24"/>
        </w:rPr>
        <w:t>及</w:t>
      </w:r>
      <w:r>
        <w:rPr>
          <w:kern w:val="0"/>
          <w:sz w:val="24"/>
        </w:rPr>
        <w:t>电能，项目运营期的废气主要为</w:t>
      </w:r>
      <w:r>
        <w:rPr>
          <w:rFonts w:hint="eastAsia"/>
          <w:kern w:val="0"/>
          <w:sz w:val="24"/>
        </w:rPr>
        <w:t>无组织</w:t>
      </w:r>
      <w:r>
        <w:rPr>
          <w:kern w:val="0"/>
          <w:sz w:val="24"/>
        </w:rPr>
        <w:t>排放的颗粒物。废气无总量控制指标因子。</w:t>
      </w:r>
    </w:p>
    <w:p w:rsidR="00F240CC" w:rsidRPr="00544C7D" w:rsidRDefault="00F240CC" w:rsidP="00F240CC">
      <w:pPr>
        <w:spacing w:line="520" w:lineRule="exact"/>
        <w:ind w:firstLineChars="200" w:firstLine="480"/>
        <w:rPr>
          <w:color w:val="000000" w:themeColor="text1"/>
          <w:kern w:val="0"/>
          <w:sz w:val="24"/>
        </w:rPr>
      </w:pPr>
      <w:r w:rsidRPr="00544C7D">
        <w:rPr>
          <w:rFonts w:hint="eastAsia"/>
          <w:color w:val="000000" w:themeColor="text1"/>
          <w:kern w:val="0"/>
          <w:sz w:val="24"/>
        </w:rPr>
        <w:t>原有工程环评批复综合废水外排量为</w:t>
      </w:r>
      <w:r w:rsidR="00544C7D" w:rsidRPr="00544C7D">
        <w:rPr>
          <w:rFonts w:hint="eastAsia"/>
          <w:color w:val="000000" w:themeColor="text1"/>
          <w:kern w:val="0"/>
          <w:sz w:val="24"/>
        </w:rPr>
        <w:t>11.32</w:t>
      </w:r>
      <w:r w:rsidRPr="00544C7D">
        <w:rPr>
          <w:rFonts w:hint="eastAsia"/>
          <w:color w:val="000000" w:themeColor="text1"/>
          <w:kern w:val="0"/>
          <w:sz w:val="24"/>
        </w:rPr>
        <w:t>万</w:t>
      </w:r>
      <w:r w:rsidRPr="00544C7D">
        <w:rPr>
          <w:rFonts w:hint="eastAsia"/>
          <w:color w:val="000000" w:themeColor="text1"/>
          <w:kern w:val="0"/>
          <w:sz w:val="24"/>
        </w:rPr>
        <w:t>t/a</w:t>
      </w:r>
      <w:r w:rsidRPr="00544C7D">
        <w:rPr>
          <w:rFonts w:hint="eastAsia"/>
          <w:color w:val="000000" w:themeColor="text1"/>
          <w:kern w:val="0"/>
          <w:sz w:val="24"/>
        </w:rPr>
        <w:t>，原有工程污水总量控制因子总</w:t>
      </w:r>
      <w:r w:rsidRPr="00544C7D">
        <w:rPr>
          <w:rFonts w:hint="eastAsia"/>
          <w:color w:val="000000" w:themeColor="text1"/>
          <w:kern w:val="0"/>
          <w:sz w:val="24"/>
        </w:rPr>
        <w:t>COD</w:t>
      </w:r>
      <w:r w:rsidRPr="00544C7D">
        <w:rPr>
          <w:rFonts w:hint="eastAsia"/>
          <w:color w:val="000000" w:themeColor="text1"/>
          <w:kern w:val="0"/>
          <w:sz w:val="24"/>
        </w:rPr>
        <w:t>排放量为</w:t>
      </w:r>
      <w:r w:rsidR="00544C7D" w:rsidRPr="00544C7D">
        <w:rPr>
          <w:rFonts w:hint="eastAsia"/>
          <w:color w:val="000000" w:themeColor="text1"/>
          <w:kern w:val="0"/>
          <w:sz w:val="24"/>
        </w:rPr>
        <w:t>5.94</w:t>
      </w:r>
      <w:r w:rsidRPr="00544C7D">
        <w:rPr>
          <w:rFonts w:hint="eastAsia"/>
          <w:color w:val="000000" w:themeColor="text1"/>
          <w:kern w:val="0"/>
          <w:sz w:val="24"/>
        </w:rPr>
        <w:t>t/a</w:t>
      </w:r>
      <w:r w:rsidRPr="00544C7D">
        <w:rPr>
          <w:rFonts w:hint="eastAsia"/>
          <w:color w:val="000000" w:themeColor="text1"/>
          <w:kern w:val="0"/>
          <w:sz w:val="24"/>
        </w:rPr>
        <w:t>，</w:t>
      </w:r>
      <w:r w:rsidRPr="00544C7D">
        <w:rPr>
          <w:rFonts w:hint="eastAsia"/>
          <w:color w:val="000000" w:themeColor="text1"/>
          <w:kern w:val="0"/>
          <w:sz w:val="24"/>
        </w:rPr>
        <w:t>NH</w:t>
      </w:r>
      <w:r w:rsidRPr="00544C7D">
        <w:rPr>
          <w:rFonts w:hint="eastAsia"/>
          <w:color w:val="000000" w:themeColor="text1"/>
          <w:kern w:val="0"/>
          <w:sz w:val="24"/>
          <w:vertAlign w:val="subscript"/>
        </w:rPr>
        <w:t>3</w:t>
      </w:r>
      <w:r w:rsidRPr="00544C7D">
        <w:rPr>
          <w:rFonts w:hint="eastAsia"/>
          <w:color w:val="000000" w:themeColor="text1"/>
          <w:kern w:val="0"/>
          <w:sz w:val="24"/>
        </w:rPr>
        <w:t>-N</w:t>
      </w:r>
      <w:r w:rsidRPr="00544C7D">
        <w:rPr>
          <w:rFonts w:hint="eastAsia"/>
          <w:color w:val="000000" w:themeColor="text1"/>
          <w:kern w:val="0"/>
          <w:sz w:val="24"/>
        </w:rPr>
        <w:t>无总量控制指标，本次评价补充核算，外排浓度以</w:t>
      </w:r>
      <w:r w:rsidR="00544C7D">
        <w:rPr>
          <w:rFonts w:hint="eastAsia"/>
          <w:color w:val="000000" w:themeColor="text1"/>
          <w:kern w:val="0"/>
          <w:sz w:val="24"/>
        </w:rPr>
        <w:t>《</w:t>
      </w:r>
      <w:r w:rsidRPr="00544C7D">
        <w:rPr>
          <w:rFonts w:hint="eastAsia"/>
          <w:color w:val="000000" w:themeColor="text1"/>
          <w:kern w:val="0"/>
          <w:sz w:val="24"/>
        </w:rPr>
        <w:t>地表水环境质量标准》（</w:t>
      </w:r>
      <w:r w:rsidRPr="00544C7D">
        <w:rPr>
          <w:color w:val="000000" w:themeColor="text1"/>
          <w:kern w:val="0"/>
          <w:sz w:val="24"/>
        </w:rPr>
        <w:t>GB3838-2002</w:t>
      </w:r>
      <w:r w:rsidRPr="00544C7D">
        <w:rPr>
          <w:rFonts w:hint="eastAsia"/>
          <w:color w:val="000000" w:themeColor="text1"/>
          <w:kern w:val="0"/>
          <w:sz w:val="24"/>
        </w:rPr>
        <w:t>）Ⅲ类要求</w:t>
      </w:r>
      <w:r w:rsidRPr="00544C7D">
        <w:rPr>
          <w:rFonts w:hint="eastAsia"/>
          <w:color w:val="000000" w:themeColor="text1"/>
          <w:kern w:val="0"/>
          <w:sz w:val="24"/>
        </w:rPr>
        <w:t>NH</w:t>
      </w:r>
      <w:r w:rsidRPr="00544C7D">
        <w:rPr>
          <w:rFonts w:hint="eastAsia"/>
          <w:color w:val="000000" w:themeColor="text1"/>
          <w:kern w:val="0"/>
          <w:sz w:val="24"/>
          <w:vertAlign w:val="subscript"/>
        </w:rPr>
        <w:t>3</w:t>
      </w:r>
      <w:r w:rsidRPr="00544C7D">
        <w:rPr>
          <w:rFonts w:hint="eastAsia"/>
          <w:color w:val="000000" w:themeColor="text1"/>
          <w:kern w:val="0"/>
          <w:sz w:val="24"/>
        </w:rPr>
        <w:t>-N</w:t>
      </w:r>
      <w:r w:rsidRPr="00544C7D">
        <w:rPr>
          <w:rFonts w:hint="eastAsia"/>
          <w:color w:val="000000" w:themeColor="text1"/>
          <w:kern w:val="0"/>
          <w:sz w:val="24"/>
        </w:rPr>
        <w:t>：</w:t>
      </w:r>
      <w:r w:rsidR="00544C7D" w:rsidRPr="00544C7D">
        <w:rPr>
          <w:rFonts w:hint="eastAsia"/>
          <w:color w:val="000000" w:themeColor="text1"/>
          <w:kern w:val="0"/>
          <w:sz w:val="24"/>
        </w:rPr>
        <w:t>1.</w:t>
      </w:r>
      <w:r w:rsidRPr="00544C7D">
        <w:rPr>
          <w:rFonts w:hint="eastAsia"/>
          <w:color w:val="000000" w:themeColor="text1"/>
          <w:kern w:val="0"/>
          <w:sz w:val="24"/>
        </w:rPr>
        <w:t>0</w:t>
      </w:r>
      <w:r w:rsidRPr="00544C7D">
        <w:rPr>
          <w:color w:val="000000" w:themeColor="text1"/>
          <w:kern w:val="0"/>
          <w:sz w:val="24"/>
        </w:rPr>
        <w:t>mg/L</w:t>
      </w:r>
      <w:r w:rsidRPr="00544C7D">
        <w:rPr>
          <w:rFonts w:hint="eastAsia"/>
          <w:color w:val="000000" w:themeColor="text1"/>
          <w:kern w:val="0"/>
          <w:sz w:val="24"/>
        </w:rPr>
        <w:t>进行核算。</w:t>
      </w:r>
    </w:p>
    <w:p w:rsidR="00F240CC" w:rsidRPr="00544C7D" w:rsidRDefault="00F240CC" w:rsidP="00F240CC">
      <w:pPr>
        <w:spacing w:line="520" w:lineRule="exact"/>
        <w:ind w:firstLineChars="200" w:firstLine="480"/>
        <w:rPr>
          <w:color w:val="000000" w:themeColor="text1"/>
          <w:kern w:val="0"/>
          <w:sz w:val="24"/>
        </w:rPr>
      </w:pPr>
      <w:r w:rsidRPr="00544C7D">
        <w:rPr>
          <w:rFonts w:hint="eastAsia"/>
          <w:color w:val="000000" w:themeColor="text1"/>
          <w:kern w:val="0"/>
          <w:sz w:val="24"/>
        </w:rPr>
        <w:t>原有工程</w:t>
      </w:r>
      <w:r w:rsidR="007B5143">
        <w:rPr>
          <w:rFonts w:hint="eastAsia"/>
          <w:color w:val="000000" w:themeColor="text1"/>
          <w:kern w:val="0"/>
          <w:sz w:val="24"/>
        </w:rPr>
        <w:t>废污水</w:t>
      </w:r>
      <w:r w:rsidRPr="00544C7D">
        <w:rPr>
          <w:rFonts w:hint="eastAsia"/>
          <w:color w:val="000000" w:themeColor="text1"/>
          <w:kern w:val="0"/>
          <w:sz w:val="24"/>
        </w:rPr>
        <w:t>NH</w:t>
      </w:r>
      <w:r w:rsidRPr="00544C7D">
        <w:rPr>
          <w:rFonts w:hint="eastAsia"/>
          <w:color w:val="000000" w:themeColor="text1"/>
          <w:kern w:val="0"/>
          <w:sz w:val="24"/>
          <w:vertAlign w:val="subscript"/>
        </w:rPr>
        <w:t>3</w:t>
      </w:r>
      <w:r w:rsidRPr="00544C7D">
        <w:rPr>
          <w:rFonts w:hint="eastAsia"/>
          <w:color w:val="000000" w:themeColor="text1"/>
          <w:kern w:val="0"/>
          <w:sz w:val="24"/>
        </w:rPr>
        <w:t>-N</w:t>
      </w:r>
      <w:r w:rsidRPr="00544C7D">
        <w:rPr>
          <w:rFonts w:hint="eastAsia"/>
          <w:color w:val="000000" w:themeColor="text1"/>
          <w:kern w:val="0"/>
          <w:sz w:val="24"/>
        </w:rPr>
        <w:t>排放量</w:t>
      </w:r>
      <w:r w:rsidRPr="00544C7D">
        <w:rPr>
          <w:color w:val="000000" w:themeColor="text1"/>
          <w:kern w:val="0"/>
          <w:sz w:val="24"/>
        </w:rPr>
        <w:t>=</w:t>
      </w:r>
      <w:r w:rsidRPr="00544C7D">
        <w:rPr>
          <w:rFonts w:hint="eastAsia"/>
          <w:color w:val="000000" w:themeColor="text1"/>
          <w:kern w:val="0"/>
          <w:sz w:val="24"/>
        </w:rPr>
        <w:t>废水量</w:t>
      </w:r>
      <w:r w:rsidRPr="00544C7D">
        <w:rPr>
          <w:color w:val="000000" w:themeColor="text1"/>
          <w:kern w:val="0"/>
          <w:sz w:val="24"/>
        </w:rPr>
        <w:t>×</w:t>
      </w:r>
      <w:r w:rsidRPr="00544C7D">
        <w:rPr>
          <w:rFonts w:hint="eastAsia"/>
          <w:color w:val="000000" w:themeColor="text1"/>
          <w:kern w:val="0"/>
          <w:sz w:val="24"/>
        </w:rPr>
        <w:t>浓度</w:t>
      </w:r>
      <w:r w:rsidRPr="00544C7D">
        <w:rPr>
          <w:color w:val="000000" w:themeColor="text1"/>
          <w:kern w:val="0"/>
          <w:sz w:val="24"/>
        </w:rPr>
        <w:t>=</w:t>
      </w:r>
      <w:r w:rsidR="00544C7D" w:rsidRPr="00544C7D">
        <w:rPr>
          <w:rFonts w:hint="eastAsia"/>
          <w:color w:val="000000" w:themeColor="text1"/>
          <w:kern w:val="0"/>
          <w:sz w:val="24"/>
        </w:rPr>
        <w:t>113164</w:t>
      </w:r>
      <w:r w:rsidRPr="00544C7D">
        <w:rPr>
          <w:color w:val="000000" w:themeColor="text1"/>
          <w:kern w:val="0"/>
          <w:sz w:val="24"/>
        </w:rPr>
        <w:t>m</w:t>
      </w:r>
      <w:r w:rsidRPr="00544C7D">
        <w:rPr>
          <w:color w:val="000000" w:themeColor="text1"/>
          <w:kern w:val="0"/>
          <w:sz w:val="24"/>
          <w:vertAlign w:val="superscript"/>
        </w:rPr>
        <w:t>3</w:t>
      </w:r>
      <w:r w:rsidRPr="00544C7D">
        <w:rPr>
          <w:color w:val="000000" w:themeColor="text1"/>
          <w:kern w:val="0"/>
          <w:sz w:val="24"/>
        </w:rPr>
        <w:t>/a×</w:t>
      </w:r>
      <w:r w:rsidRPr="00544C7D">
        <w:rPr>
          <w:rFonts w:hint="eastAsia"/>
          <w:color w:val="000000" w:themeColor="text1"/>
          <w:kern w:val="0"/>
          <w:sz w:val="24"/>
        </w:rPr>
        <w:t>1</w:t>
      </w:r>
      <w:r w:rsidRPr="00544C7D">
        <w:rPr>
          <w:color w:val="000000" w:themeColor="text1"/>
          <w:kern w:val="0"/>
          <w:sz w:val="24"/>
        </w:rPr>
        <w:t>mg/L×10</w:t>
      </w:r>
      <w:r w:rsidRPr="00544C7D">
        <w:rPr>
          <w:color w:val="000000" w:themeColor="text1"/>
          <w:kern w:val="0"/>
          <w:sz w:val="24"/>
          <w:vertAlign w:val="superscript"/>
        </w:rPr>
        <w:t>-6</w:t>
      </w:r>
      <w:r w:rsidRPr="00544C7D">
        <w:rPr>
          <w:color w:val="000000" w:themeColor="text1"/>
          <w:kern w:val="0"/>
          <w:sz w:val="24"/>
        </w:rPr>
        <w:t>=</w:t>
      </w:r>
      <w:r w:rsidRPr="00544C7D">
        <w:rPr>
          <w:rFonts w:hint="eastAsia"/>
          <w:color w:val="000000" w:themeColor="text1"/>
          <w:kern w:val="0"/>
          <w:sz w:val="24"/>
        </w:rPr>
        <w:t>0.</w:t>
      </w:r>
      <w:r w:rsidR="00544C7D" w:rsidRPr="00544C7D">
        <w:rPr>
          <w:rFonts w:hint="eastAsia"/>
          <w:color w:val="000000" w:themeColor="text1"/>
          <w:kern w:val="0"/>
          <w:sz w:val="24"/>
        </w:rPr>
        <w:t>11</w:t>
      </w:r>
      <w:r w:rsidR="00544C7D">
        <w:rPr>
          <w:rFonts w:hint="eastAsia"/>
          <w:color w:val="000000" w:themeColor="text1"/>
          <w:kern w:val="0"/>
          <w:sz w:val="24"/>
        </w:rPr>
        <w:t>3</w:t>
      </w:r>
      <w:r w:rsidRPr="00544C7D">
        <w:rPr>
          <w:color w:val="000000" w:themeColor="text1"/>
          <w:kern w:val="0"/>
          <w:sz w:val="24"/>
        </w:rPr>
        <w:t>t/a</w:t>
      </w:r>
    </w:p>
    <w:p w:rsidR="0073390E" w:rsidRPr="0073390E" w:rsidRDefault="0073390E" w:rsidP="0073390E">
      <w:pPr>
        <w:spacing w:line="520" w:lineRule="exact"/>
        <w:ind w:firstLineChars="200" w:firstLine="480"/>
        <w:rPr>
          <w:sz w:val="24"/>
        </w:rPr>
      </w:pPr>
      <w:r w:rsidRPr="0073390E">
        <w:rPr>
          <w:rFonts w:hint="eastAsia"/>
          <w:sz w:val="24"/>
        </w:rPr>
        <w:t>（</w:t>
      </w:r>
      <w:r w:rsidRPr="0073390E">
        <w:rPr>
          <w:rFonts w:hint="eastAsia"/>
          <w:sz w:val="24"/>
        </w:rPr>
        <w:t>3</w:t>
      </w:r>
      <w:r w:rsidRPr="0073390E">
        <w:rPr>
          <w:rFonts w:hint="eastAsia"/>
          <w:sz w:val="24"/>
        </w:rPr>
        <w:t>）本次升级改造工程总量控制指标</w:t>
      </w:r>
    </w:p>
    <w:p w:rsidR="0073390E" w:rsidRPr="0073390E" w:rsidRDefault="0073390E" w:rsidP="0073390E">
      <w:pPr>
        <w:spacing w:line="520" w:lineRule="exact"/>
        <w:ind w:firstLineChars="200" w:firstLine="480"/>
        <w:rPr>
          <w:sz w:val="24"/>
        </w:rPr>
      </w:pPr>
      <w:r w:rsidRPr="0073390E">
        <w:rPr>
          <w:rFonts w:hint="eastAsia"/>
          <w:sz w:val="24"/>
        </w:rPr>
        <w:t>根据工程分析，本次升级改造工程废气主要污染因子为颗粒物，不涉及总量控制因子，无废气总量控制指标；</w:t>
      </w:r>
    </w:p>
    <w:p w:rsidR="004474CB" w:rsidRPr="005E70E2" w:rsidRDefault="0073390E" w:rsidP="004474CB">
      <w:pPr>
        <w:pStyle w:val="ae"/>
        <w:spacing w:line="520" w:lineRule="exact"/>
        <w:ind w:firstLineChars="200" w:firstLine="480"/>
        <w:rPr>
          <w:rFonts w:ascii="Times New Roman" w:hAnsi="Times New Roman"/>
          <w:b/>
          <w:i/>
          <w:sz w:val="24"/>
          <w:u w:val="single"/>
        </w:rPr>
      </w:pPr>
      <w:r w:rsidRPr="0073390E">
        <w:rPr>
          <w:rFonts w:hint="eastAsia"/>
          <w:sz w:val="24"/>
        </w:rPr>
        <w:t>项目生活污水通过生活污水处理站处理后全部综合利用；项目矿井水通过矿井水处理站处理</w:t>
      </w:r>
      <w:r w:rsidR="004474CB">
        <w:rPr>
          <w:rFonts w:hint="eastAsia"/>
          <w:sz w:val="24"/>
        </w:rPr>
        <w:t>达标后部分</w:t>
      </w:r>
      <w:r w:rsidRPr="002D538A">
        <w:rPr>
          <w:rFonts w:hint="eastAsia"/>
          <w:sz w:val="24"/>
        </w:rPr>
        <w:t>用于井下生产降尘、储煤库喷干雾降尘等</w:t>
      </w:r>
      <w:r w:rsidR="002D538A" w:rsidRPr="002D538A">
        <w:rPr>
          <w:rFonts w:hint="eastAsia"/>
          <w:sz w:val="24"/>
        </w:rPr>
        <w:t>生产用水</w:t>
      </w:r>
      <w:r w:rsidRPr="002D538A">
        <w:rPr>
          <w:rFonts w:hint="eastAsia"/>
          <w:sz w:val="24"/>
        </w:rPr>
        <w:t>，不能利用部分</w:t>
      </w:r>
      <w:r w:rsidR="004474CB" w:rsidRPr="005934E4">
        <w:rPr>
          <w:rFonts w:ascii="Times New Roman" w:hAnsi="Times New Roman"/>
          <w:sz w:val="24"/>
          <w:szCs w:val="24"/>
        </w:rPr>
        <w:t>满足《煤炭工业污染物排放标准》（</w:t>
      </w:r>
      <w:r w:rsidR="004474CB" w:rsidRPr="005934E4">
        <w:rPr>
          <w:rFonts w:ascii="Times New Roman" w:hAnsi="Times New Roman"/>
          <w:sz w:val="24"/>
          <w:szCs w:val="24"/>
        </w:rPr>
        <w:t>GB20426-2006</w:t>
      </w:r>
      <w:r w:rsidR="004474CB" w:rsidRPr="005934E4">
        <w:rPr>
          <w:rFonts w:ascii="Times New Roman" w:hAnsi="Times New Roman"/>
          <w:sz w:val="24"/>
          <w:szCs w:val="24"/>
        </w:rPr>
        <w:t>）且满足</w:t>
      </w:r>
      <w:r w:rsidR="004474CB" w:rsidRPr="005934E4">
        <w:rPr>
          <w:rFonts w:ascii="Times New Roman" w:hAnsi="宋体"/>
          <w:snapToGrid w:val="0"/>
          <w:sz w:val="24"/>
          <w:szCs w:val="24"/>
        </w:rPr>
        <w:t>《</w:t>
      </w:r>
      <w:r w:rsidR="004474CB" w:rsidRPr="005934E4">
        <w:rPr>
          <w:rFonts w:ascii="Times New Roman" w:hAnsi="Times New Roman"/>
          <w:sz w:val="24"/>
          <w:szCs w:val="24"/>
        </w:rPr>
        <w:t>地表水环境质量标准</w:t>
      </w:r>
      <w:r w:rsidR="004474CB" w:rsidRPr="005934E4">
        <w:rPr>
          <w:rFonts w:ascii="Times New Roman" w:hAnsi="宋体"/>
          <w:snapToGrid w:val="0"/>
          <w:sz w:val="24"/>
          <w:szCs w:val="24"/>
        </w:rPr>
        <w:t>》</w:t>
      </w:r>
      <w:r w:rsidR="004474CB" w:rsidRPr="005934E4">
        <w:rPr>
          <w:rFonts w:ascii="Times New Roman" w:hAnsi="Times New Roman"/>
          <w:sz w:val="24"/>
          <w:szCs w:val="24"/>
        </w:rPr>
        <w:t>（</w:t>
      </w:r>
      <w:r w:rsidR="004474CB" w:rsidRPr="005934E4">
        <w:rPr>
          <w:rFonts w:ascii="Times New Roman" w:hAnsi="Times New Roman"/>
          <w:sz w:val="24"/>
          <w:szCs w:val="24"/>
        </w:rPr>
        <w:t>GB3838-2002</w:t>
      </w:r>
      <w:r w:rsidR="004474CB" w:rsidRPr="005934E4">
        <w:rPr>
          <w:rFonts w:ascii="Times New Roman" w:hAnsi="Times New Roman"/>
          <w:sz w:val="24"/>
          <w:szCs w:val="24"/>
        </w:rPr>
        <w:t>）</w:t>
      </w:r>
      <w:r w:rsidR="004474CB" w:rsidRPr="005934E4">
        <w:rPr>
          <w:rFonts w:ascii="Times New Roman" w:hAnsi="Times New Roman"/>
          <w:sz w:val="24"/>
          <w:szCs w:val="24"/>
        </w:rPr>
        <w:t>Ⅲ</w:t>
      </w:r>
      <w:r w:rsidR="004474CB" w:rsidRPr="005934E4">
        <w:rPr>
          <w:rFonts w:ascii="Times New Roman" w:hAnsi="Times New Roman"/>
          <w:sz w:val="24"/>
          <w:szCs w:val="24"/>
        </w:rPr>
        <w:t>类水质要求</w:t>
      </w:r>
      <w:r w:rsidR="004474CB" w:rsidRPr="005934E4">
        <w:rPr>
          <w:rFonts w:ascii="Times New Roman" w:hAnsi="Times New Roman"/>
          <w:sz w:val="24"/>
        </w:rPr>
        <w:t>后</w:t>
      </w:r>
      <w:r w:rsidR="004474CB" w:rsidRPr="005934E4">
        <w:rPr>
          <w:rFonts w:ascii="Times New Roman" w:hAnsi="Times New Roman"/>
          <w:sz w:val="24"/>
          <w:szCs w:val="24"/>
        </w:rPr>
        <w:t>外排</w:t>
      </w:r>
      <w:r w:rsidR="004474CB" w:rsidRPr="005934E4">
        <w:rPr>
          <w:rFonts w:ascii="Times New Roman" w:hAnsi="Times New Roman"/>
          <w:sz w:val="24"/>
        </w:rPr>
        <w:t>至赵沟河、纸坊水库用于周边农田灌溉及生态补水。</w:t>
      </w:r>
      <w:r w:rsidRPr="002D538A">
        <w:rPr>
          <w:rFonts w:hint="eastAsia"/>
          <w:sz w:val="24"/>
        </w:rPr>
        <w:t>矿井水排放量为</w:t>
      </w:r>
      <w:r w:rsidR="004474CB">
        <w:rPr>
          <w:rFonts w:hint="eastAsia"/>
          <w:sz w:val="24"/>
        </w:rPr>
        <w:t>：</w:t>
      </w:r>
      <w:r w:rsidR="002D1343" w:rsidRPr="003F0B84">
        <w:rPr>
          <w:rFonts w:ascii="Times New Roman" w:hAnsi="Times New Roman" w:hint="eastAsia"/>
          <w:b/>
          <w:i/>
          <w:sz w:val="24"/>
          <w:u w:val="single"/>
        </w:rPr>
        <w:t>4183.9</w:t>
      </w:r>
      <w:r w:rsidR="002D1343" w:rsidRPr="003F0B84">
        <w:rPr>
          <w:rFonts w:ascii="Times New Roman" w:hAnsi="Times New Roman"/>
          <w:b/>
          <w:i/>
          <w:sz w:val="24"/>
          <w:u w:val="single"/>
        </w:rPr>
        <w:t>m</w:t>
      </w:r>
      <w:r w:rsidR="002D1343" w:rsidRPr="003F0B84">
        <w:rPr>
          <w:rFonts w:ascii="Times New Roman" w:hAnsi="Times New Roman"/>
          <w:b/>
          <w:i/>
          <w:sz w:val="24"/>
          <w:u w:val="single"/>
          <w:vertAlign w:val="superscript"/>
        </w:rPr>
        <w:t>3</w:t>
      </w:r>
      <w:r w:rsidR="002D1343" w:rsidRPr="003F0B84">
        <w:rPr>
          <w:rFonts w:ascii="Times New Roman" w:hAnsi="Times New Roman"/>
          <w:b/>
          <w:i/>
          <w:sz w:val="24"/>
          <w:u w:val="single"/>
        </w:rPr>
        <w:t>/d</w:t>
      </w:r>
      <w:r w:rsidR="002D1343" w:rsidRPr="003F0B84">
        <w:rPr>
          <w:rFonts w:ascii="Times New Roman" w:hAnsi="Times New Roman"/>
          <w:b/>
          <w:i/>
          <w:sz w:val="24"/>
          <w:u w:val="single"/>
        </w:rPr>
        <w:t>（</w:t>
      </w:r>
      <w:r w:rsidR="002D1343" w:rsidRPr="003F0B84">
        <w:rPr>
          <w:rFonts w:ascii="Times New Roman" w:hAnsi="Times New Roman" w:hint="eastAsia"/>
          <w:b/>
          <w:i/>
          <w:sz w:val="24"/>
          <w:u w:val="single"/>
        </w:rPr>
        <w:t>1527123</w:t>
      </w:r>
      <w:r w:rsidR="002D1343" w:rsidRPr="003F0B84">
        <w:rPr>
          <w:rFonts w:ascii="Times New Roman" w:hAnsi="Times New Roman"/>
          <w:b/>
          <w:i/>
          <w:sz w:val="24"/>
          <w:u w:val="single"/>
        </w:rPr>
        <w:t>.5m</w:t>
      </w:r>
      <w:r w:rsidR="002D1343" w:rsidRPr="003F0B84">
        <w:rPr>
          <w:rFonts w:ascii="Times New Roman" w:hAnsi="Times New Roman"/>
          <w:b/>
          <w:i/>
          <w:sz w:val="24"/>
          <w:u w:val="single"/>
          <w:vertAlign w:val="superscript"/>
        </w:rPr>
        <w:t>3</w:t>
      </w:r>
      <w:r w:rsidR="002D1343" w:rsidRPr="003F0B84">
        <w:rPr>
          <w:rFonts w:ascii="Times New Roman" w:hAnsi="Times New Roman"/>
          <w:b/>
          <w:i/>
          <w:sz w:val="24"/>
          <w:u w:val="single"/>
        </w:rPr>
        <w:t>/a</w:t>
      </w:r>
      <w:r w:rsidR="002D1343" w:rsidRPr="003F0B84">
        <w:rPr>
          <w:rFonts w:ascii="Times New Roman" w:hAnsi="Times New Roman"/>
          <w:b/>
          <w:i/>
          <w:sz w:val="24"/>
          <w:u w:val="single"/>
        </w:rPr>
        <w:t>）</w:t>
      </w:r>
      <w:r w:rsidR="002D1343">
        <w:rPr>
          <w:rFonts w:ascii="Times New Roman" w:hAnsi="Times New Roman" w:hint="eastAsia"/>
          <w:b/>
          <w:i/>
          <w:sz w:val="24"/>
          <w:u w:val="single"/>
        </w:rPr>
        <w:t>。</w:t>
      </w:r>
    </w:p>
    <w:p w:rsidR="0073390E" w:rsidRPr="002D538A" w:rsidRDefault="0073390E" w:rsidP="002D538A">
      <w:pPr>
        <w:spacing w:line="520" w:lineRule="exact"/>
        <w:ind w:firstLineChars="200" w:firstLine="480"/>
        <w:rPr>
          <w:sz w:val="24"/>
        </w:rPr>
      </w:pPr>
      <w:r w:rsidRPr="002D538A">
        <w:rPr>
          <w:rFonts w:hint="eastAsia"/>
          <w:sz w:val="24"/>
        </w:rPr>
        <w:t>升级改造</w:t>
      </w:r>
      <w:r w:rsidR="002D538A" w:rsidRPr="002D538A">
        <w:rPr>
          <w:rFonts w:hint="eastAsia"/>
          <w:sz w:val="24"/>
        </w:rPr>
        <w:t>后</w:t>
      </w:r>
      <w:r w:rsidRPr="002D538A">
        <w:rPr>
          <w:rFonts w:hint="eastAsia"/>
          <w:sz w:val="24"/>
        </w:rPr>
        <w:t>工程总量控制因子排放量为</w:t>
      </w:r>
      <w:r w:rsidR="00714EC8">
        <w:rPr>
          <w:rFonts w:hint="eastAsia"/>
          <w:sz w:val="24"/>
        </w:rPr>
        <w:t>：</w:t>
      </w:r>
    </w:p>
    <w:p w:rsidR="00491CBC" w:rsidRPr="002D538A" w:rsidRDefault="00491CBC" w:rsidP="00491CBC">
      <w:pPr>
        <w:spacing w:line="520" w:lineRule="exact"/>
        <w:ind w:firstLineChars="200" w:firstLine="480"/>
        <w:rPr>
          <w:sz w:val="24"/>
        </w:rPr>
      </w:pPr>
      <w:r w:rsidRPr="002D538A">
        <w:rPr>
          <w:sz w:val="24"/>
        </w:rPr>
        <w:t xml:space="preserve">COD </w:t>
      </w:r>
      <w:r w:rsidRPr="002D538A">
        <w:rPr>
          <w:rFonts w:hint="eastAsia"/>
          <w:sz w:val="24"/>
        </w:rPr>
        <w:t>排放量</w:t>
      </w:r>
      <w:r w:rsidRPr="002D538A">
        <w:rPr>
          <w:sz w:val="24"/>
        </w:rPr>
        <w:t>=</w:t>
      </w:r>
      <w:r w:rsidRPr="002D538A">
        <w:rPr>
          <w:rFonts w:hint="eastAsia"/>
          <w:sz w:val="24"/>
        </w:rPr>
        <w:t>废水量</w:t>
      </w:r>
      <w:r w:rsidRPr="002D538A">
        <w:rPr>
          <w:sz w:val="24"/>
        </w:rPr>
        <w:t>×</w:t>
      </w:r>
      <w:r w:rsidRPr="002D538A">
        <w:rPr>
          <w:rFonts w:hint="eastAsia"/>
          <w:sz w:val="24"/>
        </w:rPr>
        <w:t>浓度</w:t>
      </w:r>
      <w:r w:rsidRPr="002D538A">
        <w:rPr>
          <w:sz w:val="24"/>
        </w:rPr>
        <w:t>=</w:t>
      </w:r>
      <w:r w:rsidR="002D1343" w:rsidRPr="003F0B84">
        <w:rPr>
          <w:rFonts w:hint="eastAsia"/>
          <w:b/>
          <w:i/>
          <w:sz w:val="24"/>
          <w:u w:val="single"/>
        </w:rPr>
        <w:t>1527123</w:t>
      </w:r>
      <w:r w:rsidR="002D1343" w:rsidRPr="003F0B84">
        <w:rPr>
          <w:b/>
          <w:i/>
          <w:sz w:val="24"/>
          <w:u w:val="single"/>
        </w:rPr>
        <w:t>.5</w:t>
      </w:r>
      <w:r w:rsidRPr="002D538A">
        <w:rPr>
          <w:sz w:val="24"/>
        </w:rPr>
        <w:t>m</w:t>
      </w:r>
      <w:r w:rsidRPr="002D538A">
        <w:rPr>
          <w:sz w:val="24"/>
          <w:vertAlign w:val="superscript"/>
        </w:rPr>
        <w:t>3</w:t>
      </w:r>
      <w:r w:rsidRPr="002D538A">
        <w:rPr>
          <w:sz w:val="24"/>
        </w:rPr>
        <w:t>/a×</w:t>
      </w:r>
      <w:r w:rsidRPr="002D538A">
        <w:rPr>
          <w:rFonts w:hint="eastAsia"/>
          <w:sz w:val="24"/>
        </w:rPr>
        <w:t>20</w:t>
      </w:r>
      <w:r w:rsidRPr="002D538A">
        <w:rPr>
          <w:sz w:val="24"/>
        </w:rPr>
        <w:t>mg/L×10</w:t>
      </w:r>
      <w:r w:rsidRPr="002D538A">
        <w:rPr>
          <w:sz w:val="24"/>
          <w:vertAlign w:val="superscript"/>
        </w:rPr>
        <w:t>-6</w:t>
      </w:r>
      <w:r w:rsidRPr="002D538A">
        <w:rPr>
          <w:sz w:val="24"/>
        </w:rPr>
        <w:t>=</w:t>
      </w:r>
      <w:r w:rsidRPr="002D538A">
        <w:rPr>
          <w:rFonts w:hint="eastAsia"/>
          <w:sz w:val="24"/>
        </w:rPr>
        <w:t>3</w:t>
      </w:r>
      <w:r w:rsidR="0093310C">
        <w:rPr>
          <w:rFonts w:hint="eastAsia"/>
          <w:sz w:val="24"/>
        </w:rPr>
        <w:t>0.543</w:t>
      </w:r>
      <w:r w:rsidRPr="002D538A">
        <w:rPr>
          <w:sz w:val="24"/>
        </w:rPr>
        <w:t>t/a</w:t>
      </w:r>
      <w:r w:rsidRPr="002D538A">
        <w:rPr>
          <w:rFonts w:hint="eastAsia"/>
          <w:sz w:val="24"/>
        </w:rPr>
        <w:t>；</w:t>
      </w:r>
    </w:p>
    <w:p w:rsidR="00491CBC" w:rsidRPr="002D538A" w:rsidRDefault="00491CBC" w:rsidP="00491CBC">
      <w:pPr>
        <w:spacing w:line="520" w:lineRule="exact"/>
        <w:ind w:firstLineChars="200" w:firstLine="480"/>
        <w:rPr>
          <w:sz w:val="24"/>
        </w:rPr>
      </w:pPr>
      <w:r w:rsidRPr="002D538A">
        <w:rPr>
          <w:rFonts w:hint="eastAsia"/>
          <w:sz w:val="24"/>
        </w:rPr>
        <w:lastRenderedPageBreak/>
        <w:t>NH</w:t>
      </w:r>
      <w:r w:rsidRPr="002D538A">
        <w:rPr>
          <w:rFonts w:hint="eastAsia"/>
          <w:sz w:val="24"/>
          <w:vertAlign w:val="subscript"/>
        </w:rPr>
        <w:t>3</w:t>
      </w:r>
      <w:r w:rsidRPr="002D538A">
        <w:rPr>
          <w:rFonts w:hint="eastAsia"/>
          <w:sz w:val="24"/>
        </w:rPr>
        <w:t>-N</w:t>
      </w:r>
      <w:r w:rsidRPr="002D538A">
        <w:rPr>
          <w:rFonts w:hint="eastAsia"/>
          <w:sz w:val="24"/>
        </w:rPr>
        <w:t>排放量</w:t>
      </w:r>
      <w:r w:rsidRPr="002D538A">
        <w:rPr>
          <w:sz w:val="24"/>
        </w:rPr>
        <w:t xml:space="preserve"> =</w:t>
      </w:r>
      <w:r w:rsidRPr="002D538A">
        <w:rPr>
          <w:rFonts w:hint="eastAsia"/>
          <w:sz w:val="24"/>
        </w:rPr>
        <w:t>废水量</w:t>
      </w:r>
      <w:r w:rsidRPr="002D538A">
        <w:rPr>
          <w:sz w:val="24"/>
        </w:rPr>
        <w:t>×</w:t>
      </w:r>
      <w:r w:rsidRPr="002D538A">
        <w:rPr>
          <w:rFonts w:hint="eastAsia"/>
          <w:sz w:val="24"/>
        </w:rPr>
        <w:t>浓度</w:t>
      </w:r>
      <w:r w:rsidRPr="002D538A">
        <w:rPr>
          <w:sz w:val="24"/>
        </w:rPr>
        <w:t>=</w:t>
      </w:r>
      <w:r w:rsidR="002D1343" w:rsidRPr="003F0B84">
        <w:rPr>
          <w:rFonts w:hint="eastAsia"/>
          <w:b/>
          <w:i/>
          <w:sz w:val="24"/>
          <w:u w:val="single"/>
        </w:rPr>
        <w:t>1527123</w:t>
      </w:r>
      <w:r w:rsidR="002D1343" w:rsidRPr="003F0B84">
        <w:rPr>
          <w:b/>
          <w:i/>
          <w:sz w:val="24"/>
          <w:u w:val="single"/>
        </w:rPr>
        <w:t>.5</w:t>
      </w:r>
      <w:r w:rsidRPr="002D538A">
        <w:rPr>
          <w:sz w:val="24"/>
        </w:rPr>
        <w:t>m</w:t>
      </w:r>
      <w:r w:rsidRPr="002D538A">
        <w:rPr>
          <w:sz w:val="24"/>
          <w:vertAlign w:val="superscript"/>
        </w:rPr>
        <w:t>3</w:t>
      </w:r>
      <w:r w:rsidRPr="002D538A">
        <w:rPr>
          <w:sz w:val="24"/>
        </w:rPr>
        <w:t>/a×</w:t>
      </w:r>
      <w:r w:rsidRPr="002D538A">
        <w:rPr>
          <w:rFonts w:hint="eastAsia"/>
          <w:sz w:val="24"/>
        </w:rPr>
        <w:t>0.314</w:t>
      </w:r>
      <w:r w:rsidRPr="002D538A">
        <w:rPr>
          <w:sz w:val="24"/>
        </w:rPr>
        <w:t>mg/L×10</w:t>
      </w:r>
      <w:r w:rsidRPr="002D538A">
        <w:rPr>
          <w:sz w:val="24"/>
          <w:vertAlign w:val="superscript"/>
        </w:rPr>
        <w:t>-6</w:t>
      </w:r>
      <w:r w:rsidRPr="002D538A">
        <w:rPr>
          <w:sz w:val="24"/>
        </w:rPr>
        <w:t>=</w:t>
      </w:r>
      <w:r w:rsidRPr="002D538A">
        <w:rPr>
          <w:rFonts w:hint="eastAsia"/>
          <w:sz w:val="24"/>
        </w:rPr>
        <w:t>0.</w:t>
      </w:r>
      <w:r w:rsidR="0093310C">
        <w:rPr>
          <w:rFonts w:hint="eastAsia"/>
          <w:sz w:val="24"/>
        </w:rPr>
        <w:t>480</w:t>
      </w:r>
      <w:r w:rsidRPr="002D538A">
        <w:rPr>
          <w:sz w:val="24"/>
        </w:rPr>
        <w:t>t/a</w:t>
      </w:r>
      <w:r w:rsidRPr="002D538A">
        <w:rPr>
          <w:rFonts w:hint="eastAsia"/>
          <w:sz w:val="24"/>
        </w:rPr>
        <w:t>；</w:t>
      </w:r>
    </w:p>
    <w:p w:rsidR="0073390E" w:rsidRPr="0073390E" w:rsidRDefault="0073390E" w:rsidP="002D538A">
      <w:pPr>
        <w:spacing w:line="520" w:lineRule="exact"/>
        <w:ind w:firstLineChars="200" w:firstLine="480"/>
        <w:rPr>
          <w:b/>
          <w:sz w:val="24"/>
          <w:u w:val="single"/>
        </w:rPr>
      </w:pPr>
      <w:r w:rsidRPr="002D538A">
        <w:rPr>
          <w:rFonts w:hint="eastAsia"/>
          <w:sz w:val="24"/>
        </w:rPr>
        <w:t>升级改造工程总量控制指标因子的排放量</w:t>
      </w:r>
      <w:r w:rsidR="00491CBC">
        <w:rPr>
          <w:rFonts w:hint="eastAsia"/>
          <w:sz w:val="24"/>
        </w:rPr>
        <w:t>：</w:t>
      </w:r>
      <w:r w:rsidR="004474CB" w:rsidRPr="005E70E2">
        <w:rPr>
          <w:b/>
          <w:i/>
          <w:sz w:val="24"/>
          <w:u w:val="single"/>
        </w:rPr>
        <w:t>COD</w:t>
      </w:r>
      <w:r w:rsidR="004474CB" w:rsidRPr="005E70E2">
        <w:rPr>
          <w:b/>
          <w:i/>
          <w:sz w:val="24"/>
          <w:u w:val="single"/>
        </w:rPr>
        <w:t>：</w:t>
      </w:r>
      <w:r w:rsidR="004474CB" w:rsidRPr="005E70E2">
        <w:rPr>
          <w:b/>
          <w:i/>
          <w:sz w:val="24"/>
          <w:u w:val="single"/>
        </w:rPr>
        <w:t>3</w:t>
      </w:r>
      <w:r w:rsidR="0093310C">
        <w:rPr>
          <w:rFonts w:hint="eastAsia"/>
          <w:b/>
          <w:i/>
          <w:sz w:val="24"/>
          <w:u w:val="single"/>
        </w:rPr>
        <w:t>0.543</w:t>
      </w:r>
      <w:r w:rsidR="004474CB" w:rsidRPr="005E70E2">
        <w:rPr>
          <w:b/>
          <w:i/>
          <w:sz w:val="24"/>
          <w:u w:val="single"/>
        </w:rPr>
        <w:t>t/a</w:t>
      </w:r>
      <w:r w:rsidR="004474CB" w:rsidRPr="005E70E2">
        <w:rPr>
          <w:b/>
          <w:i/>
          <w:sz w:val="24"/>
          <w:u w:val="single"/>
        </w:rPr>
        <w:t>、</w:t>
      </w:r>
      <w:r w:rsidR="004474CB" w:rsidRPr="005E70E2">
        <w:rPr>
          <w:b/>
          <w:i/>
          <w:sz w:val="24"/>
          <w:u w:val="single"/>
        </w:rPr>
        <w:t>NH</w:t>
      </w:r>
      <w:r w:rsidR="004474CB" w:rsidRPr="005E70E2">
        <w:rPr>
          <w:b/>
          <w:i/>
          <w:sz w:val="24"/>
          <w:u w:val="single"/>
          <w:vertAlign w:val="subscript"/>
        </w:rPr>
        <w:t>3</w:t>
      </w:r>
      <w:r w:rsidR="004474CB" w:rsidRPr="005E70E2">
        <w:rPr>
          <w:b/>
          <w:i/>
          <w:sz w:val="24"/>
          <w:u w:val="single"/>
        </w:rPr>
        <w:t>-N</w:t>
      </w:r>
      <w:r w:rsidR="004474CB" w:rsidRPr="005E70E2">
        <w:rPr>
          <w:b/>
          <w:i/>
          <w:sz w:val="24"/>
          <w:u w:val="single"/>
        </w:rPr>
        <w:t>：</w:t>
      </w:r>
      <w:r w:rsidR="004474CB" w:rsidRPr="005E70E2">
        <w:rPr>
          <w:b/>
          <w:i/>
          <w:sz w:val="24"/>
          <w:u w:val="single"/>
        </w:rPr>
        <w:t>0.</w:t>
      </w:r>
      <w:r w:rsidR="0093310C">
        <w:rPr>
          <w:rFonts w:hint="eastAsia"/>
          <w:b/>
          <w:i/>
          <w:sz w:val="24"/>
          <w:u w:val="single"/>
        </w:rPr>
        <w:t>480</w:t>
      </w:r>
      <w:r w:rsidR="004474CB" w:rsidRPr="005E70E2">
        <w:rPr>
          <w:b/>
          <w:i/>
          <w:sz w:val="24"/>
          <w:u w:val="single"/>
        </w:rPr>
        <w:t>t/a</w:t>
      </w:r>
      <w:r w:rsidR="00491CBC" w:rsidRPr="002D538A">
        <w:rPr>
          <w:rFonts w:hint="eastAsia"/>
          <w:sz w:val="24"/>
        </w:rPr>
        <w:t>、</w:t>
      </w:r>
      <w:r w:rsidR="00491CBC" w:rsidRPr="002D538A">
        <w:rPr>
          <w:sz w:val="24"/>
        </w:rPr>
        <w:t>SO</w:t>
      </w:r>
      <w:r w:rsidR="00491CBC" w:rsidRPr="002D538A">
        <w:rPr>
          <w:sz w:val="24"/>
          <w:vertAlign w:val="subscript"/>
        </w:rPr>
        <w:t>2</w:t>
      </w:r>
      <w:r w:rsidR="00491CBC" w:rsidRPr="002D538A">
        <w:rPr>
          <w:rFonts w:hint="eastAsia"/>
          <w:sz w:val="24"/>
        </w:rPr>
        <w:t>：</w:t>
      </w:r>
      <w:r w:rsidR="00491CBC" w:rsidRPr="002D538A">
        <w:rPr>
          <w:sz w:val="24"/>
        </w:rPr>
        <w:t>0t/a</w:t>
      </w:r>
      <w:r w:rsidR="00491CBC" w:rsidRPr="002D538A">
        <w:rPr>
          <w:rFonts w:hint="eastAsia"/>
          <w:sz w:val="24"/>
        </w:rPr>
        <w:t>、氮氧化物</w:t>
      </w:r>
      <w:r w:rsidR="00491CBC" w:rsidRPr="002D538A">
        <w:rPr>
          <w:sz w:val="24"/>
        </w:rPr>
        <w:t>0t/a</w:t>
      </w:r>
      <w:r w:rsidR="004474CB" w:rsidRPr="00491CBC">
        <w:rPr>
          <w:sz w:val="24"/>
        </w:rPr>
        <w:t>。</w:t>
      </w:r>
    </w:p>
    <w:p w:rsidR="0073390E" w:rsidRDefault="0073390E" w:rsidP="0073390E">
      <w:pPr>
        <w:spacing w:line="520" w:lineRule="exact"/>
        <w:ind w:firstLineChars="200" w:firstLine="480"/>
        <w:rPr>
          <w:sz w:val="24"/>
        </w:rPr>
      </w:pPr>
      <w:r w:rsidRPr="0073390E">
        <w:rPr>
          <w:rFonts w:hint="eastAsia"/>
          <w:sz w:val="24"/>
        </w:rPr>
        <w:t>（</w:t>
      </w:r>
      <w:r w:rsidRPr="0073390E">
        <w:rPr>
          <w:rFonts w:hint="eastAsia"/>
          <w:sz w:val="24"/>
        </w:rPr>
        <w:t>4</w:t>
      </w:r>
      <w:r w:rsidRPr="0073390E">
        <w:rPr>
          <w:rFonts w:hint="eastAsia"/>
          <w:sz w:val="24"/>
        </w:rPr>
        <w:t>）项目总量控制指标</w:t>
      </w:r>
    </w:p>
    <w:p w:rsidR="00274CD5" w:rsidRPr="00274CD5" w:rsidRDefault="00274CD5" w:rsidP="00F240CC">
      <w:pPr>
        <w:spacing w:line="520" w:lineRule="exact"/>
        <w:ind w:firstLineChars="200" w:firstLine="480"/>
        <w:rPr>
          <w:sz w:val="24"/>
        </w:rPr>
      </w:pPr>
      <w:r w:rsidRPr="00274CD5">
        <w:rPr>
          <w:rFonts w:hint="eastAsia"/>
          <w:sz w:val="24"/>
        </w:rPr>
        <w:t>本项目废水经涌泉河汇入颍河，</w:t>
      </w:r>
      <w:r>
        <w:rPr>
          <w:rFonts w:hint="eastAsia"/>
          <w:sz w:val="24"/>
        </w:rPr>
        <w:t>根据</w:t>
      </w:r>
      <w:r w:rsidR="00F240CC" w:rsidRPr="00F240CC">
        <w:rPr>
          <w:rFonts w:hint="eastAsia"/>
          <w:sz w:val="24"/>
        </w:rPr>
        <w:t>《</w:t>
      </w:r>
      <w:r w:rsidR="00F240CC">
        <w:rPr>
          <w:rFonts w:hint="eastAsia"/>
          <w:sz w:val="24"/>
        </w:rPr>
        <w:t>2020</w:t>
      </w:r>
      <w:r w:rsidR="00F240CC">
        <w:rPr>
          <w:rFonts w:hint="eastAsia"/>
          <w:sz w:val="24"/>
        </w:rPr>
        <w:t>年</w:t>
      </w:r>
      <w:r w:rsidR="00F240CC" w:rsidRPr="00F240CC">
        <w:rPr>
          <w:rFonts w:hint="eastAsia"/>
          <w:sz w:val="24"/>
        </w:rPr>
        <w:t>许昌市地表水环境责任目标断面监测通报》</w:t>
      </w:r>
      <w:r w:rsidR="00F240CC">
        <w:rPr>
          <w:rFonts w:hint="eastAsia"/>
          <w:sz w:val="24"/>
        </w:rPr>
        <w:t>及</w:t>
      </w:r>
      <w:r w:rsidR="00207B1B">
        <w:rPr>
          <w:rFonts w:hint="eastAsia"/>
          <w:sz w:val="24"/>
        </w:rPr>
        <w:t>禹州市</w:t>
      </w:r>
      <w:r w:rsidR="00207B1B">
        <w:rPr>
          <w:rFonts w:hint="eastAsia"/>
          <w:sz w:val="24"/>
        </w:rPr>
        <w:t>2020</w:t>
      </w:r>
      <w:r w:rsidR="00207B1B">
        <w:rPr>
          <w:rFonts w:hint="eastAsia"/>
          <w:sz w:val="24"/>
        </w:rPr>
        <w:t>年全年环境质量年报，</w:t>
      </w:r>
      <w:r w:rsidRPr="00274CD5">
        <w:rPr>
          <w:sz w:val="24"/>
        </w:rPr>
        <w:t>颍河</w:t>
      </w:r>
      <w:r w:rsidRPr="00274CD5">
        <w:rPr>
          <w:rFonts w:hint="eastAsia"/>
          <w:sz w:val="24"/>
        </w:rPr>
        <w:t>化庄</w:t>
      </w:r>
      <w:r w:rsidRPr="00274CD5">
        <w:rPr>
          <w:sz w:val="24"/>
        </w:rPr>
        <w:t>桥断面</w:t>
      </w:r>
      <w:r>
        <w:rPr>
          <w:rFonts w:hint="eastAsia"/>
          <w:sz w:val="24"/>
        </w:rPr>
        <w:t>（禹州市出境断面）</w:t>
      </w:r>
      <w:r w:rsidR="00207B1B">
        <w:rPr>
          <w:rFonts w:hint="eastAsia"/>
          <w:sz w:val="24"/>
        </w:rPr>
        <w:t>2020</w:t>
      </w:r>
      <w:r w:rsidR="00207B1B">
        <w:rPr>
          <w:rFonts w:hint="eastAsia"/>
          <w:sz w:val="24"/>
        </w:rPr>
        <w:t>年全年</w:t>
      </w:r>
      <w:r w:rsidRPr="00274CD5">
        <w:rPr>
          <w:sz w:val="24"/>
        </w:rPr>
        <w:t>满足《地表水环境质量标准》（</w:t>
      </w:r>
      <w:r w:rsidRPr="00274CD5">
        <w:rPr>
          <w:sz w:val="24"/>
        </w:rPr>
        <w:t>GB3838-2002</w:t>
      </w:r>
      <w:r w:rsidRPr="00274CD5">
        <w:rPr>
          <w:sz w:val="24"/>
        </w:rPr>
        <w:t>）</w:t>
      </w:r>
      <w:r w:rsidRPr="00274CD5">
        <w:rPr>
          <w:sz w:val="24"/>
        </w:rPr>
        <w:t>III</w:t>
      </w:r>
      <w:r w:rsidRPr="00274CD5">
        <w:rPr>
          <w:sz w:val="24"/>
        </w:rPr>
        <w:t>类标准要求。</w:t>
      </w:r>
      <w:r>
        <w:rPr>
          <w:rFonts w:hint="eastAsia"/>
          <w:sz w:val="24"/>
        </w:rPr>
        <w:t>因此本项目总量控制指标实施等量削减替代。</w:t>
      </w:r>
    </w:p>
    <w:p w:rsidR="00544C7D" w:rsidRDefault="0073390E" w:rsidP="0073390E">
      <w:pPr>
        <w:spacing w:line="520" w:lineRule="exact"/>
        <w:ind w:firstLineChars="200" w:firstLine="480"/>
        <w:rPr>
          <w:sz w:val="24"/>
        </w:rPr>
      </w:pPr>
      <w:r w:rsidRPr="0073390E">
        <w:rPr>
          <w:sz w:val="24"/>
        </w:rPr>
        <w:t>20</w:t>
      </w:r>
      <w:r w:rsidRPr="0073390E">
        <w:rPr>
          <w:rFonts w:hint="eastAsia"/>
          <w:sz w:val="24"/>
        </w:rPr>
        <w:t>0</w:t>
      </w:r>
      <w:r w:rsidRPr="0073390E">
        <w:rPr>
          <w:sz w:val="24"/>
        </w:rPr>
        <w:t>5</w:t>
      </w:r>
      <w:r w:rsidRPr="0073390E">
        <w:rPr>
          <w:rFonts w:hint="eastAsia"/>
          <w:sz w:val="24"/>
        </w:rPr>
        <w:t>年</w:t>
      </w:r>
      <w:r w:rsidRPr="0073390E">
        <w:rPr>
          <w:sz w:val="24"/>
        </w:rPr>
        <w:t>11</w:t>
      </w:r>
      <w:r w:rsidRPr="0073390E">
        <w:rPr>
          <w:rFonts w:hint="eastAsia"/>
          <w:sz w:val="24"/>
        </w:rPr>
        <w:t>月，原有工程审批意见中总量控制指标：</w:t>
      </w:r>
      <w:r w:rsidR="002D538A" w:rsidRPr="0073390E">
        <w:rPr>
          <w:rFonts w:hint="eastAsia"/>
          <w:sz w:val="24"/>
        </w:rPr>
        <w:t>烟尘：</w:t>
      </w:r>
      <w:r w:rsidR="002D538A">
        <w:rPr>
          <w:rFonts w:hint="eastAsia"/>
          <w:sz w:val="24"/>
        </w:rPr>
        <w:t>1.50</w:t>
      </w:r>
      <w:r w:rsidR="002D538A" w:rsidRPr="0073390E">
        <w:rPr>
          <w:sz w:val="24"/>
        </w:rPr>
        <w:t>t/a</w:t>
      </w:r>
      <w:r w:rsidR="002D538A" w:rsidRPr="0073390E">
        <w:rPr>
          <w:rFonts w:hint="eastAsia"/>
          <w:sz w:val="24"/>
        </w:rPr>
        <w:t>、二氧化硫</w:t>
      </w:r>
      <w:r w:rsidR="002D538A" w:rsidRPr="0073390E">
        <w:rPr>
          <w:sz w:val="24"/>
        </w:rPr>
        <w:t>3.</w:t>
      </w:r>
      <w:r w:rsidR="002D538A">
        <w:rPr>
          <w:rFonts w:hint="eastAsia"/>
          <w:sz w:val="24"/>
        </w:rPr>
        <w:t>17</w:t>
      </w:r>
      <w:r w:rsidR="002D538A" w:rsidRPr="0073390E">
        <w:rPr>
          <w:sz w:val="24"/>
        </w:rPr>
        <w:t>t/a</w:t>
      </w:r>
      <w:r w:rsidR="002D538A" w:rsidRPr="0073390E">
        <w:rPr>
          <w:rFonts w:hint="eastAsia"/>
          <w:sz w:val="24"/>
        </w:rPr>
        <w:t>，</w:t>
      </w:r>
      <w:r w:rsidR="002D538A" w:rsidRPr="0073390E">
        <w:rPr>
          <w:rFonts w:hint="eastAsia"/>
          <w:sz w:val="24"/>
        </w:rPr>
        <w:t>COD</w:t>
      </w:r>
      <w:r w:rsidR="002D538A" w:rsidRPr="0073390E">
        <w:rPr>
          <w:rFonts w:hint="eastAsia"/>
          <w:sz w:val="24"/>
        </w:rPr>
        <w:t>：</w:t>
      </w:r>
      <w:r w:rsidR="002D538A">
        <w:rPr>
          <w:rFonts w:hint="eastAsia"/>
          <w:sz w:val="24"/>
        </w:rPr>
        <w:t>5.94</w:t>
      </w:r>
      <w:r w:rsidR="002D538A" w:rsidRPr="0073390E">
        <w:rPr>
          <w:rFonts w:hint="eastAsia"/>
          <w:sz w:val="24"/>
        </w:rPr>
        <w:t>t/a</w:t>
      </w:r>
      <w:r w:rsidR="00544C7D">
        <w:rPr>
          <w:rFonts w:hint="eastAsia"/>
          <w:sz w:val="24"/>
        </w:rPr>
        <w:t>，</w:t>
      </w:r>
      <w:r w:rsidR="00544C7D" w:rsidRPr="00544C7D">
        <w:rPr>
          <w:rFonts w:hint="eastAsia"/>
          <w:sz w:val="24"/>
        </w:rPr>
        <w:t>原有工程废污水</w:t>
      </w:r>
      <w:r w:rsidR="00544C7D" w:rsidRPr="00544C7D">
        <w:rPr>
          <w:rFonts w:hint="eastAsia"/>
          <w:sz w:val="24"/>
        </w:rPr>
        <w:t>NH</w:t>
      </w:r>
      <w:r w:rsidR="00544C7D" w:rsidRPr="00544C7D">
        <w:rPr>
          <w:rFonts w:hint="eastAsia"/>
          <w:sz w:val="24"/>
          <w:vertAlign w:val="subscript"/>
        </w:rPr>
        <w:t>3</w:t>
      </w:r>
      <w:r w:rsidR="00544C7D" w:rsidRPr="00544C7D">
        <w:rPr>
          <w:rFonts w:hint="eastAsia"/>
          <w:sz w:val="24"/>
        </w:rPr>
        <w:t>-N</w:t>
      </w:r>
      <w:r w:rsidR="00544C7D" w:rsidRPr="00544C7D">
        <w:rPr>
          <w:rFonts w:hint="eastAsia"/>
          <w:sz w:val="24"/>
        </w:rPr>
        <w:t>核算排放量</w:t>
      </w:r>
      <w:r w:rsidR="00544C7D" w:rsidRPr="00544C7D">
        <w:rPr>
          <w:rFonts w:hint="eastAsia"/>
          <w:sz w:val="24"/>
        </w:rPr>
        <w:t>0.11</w:t>
      </w:r>
      <w:r w:rsidR="00544C7D">
        <w:rPr>
          <w:rFonts w:hint="eastAsia"/>
          <w:sz w:val="24"/>
        </w:rPr>
        <w:t>3</w:t>
      </w:r>
      <w:r w:rsidR="00544C7D" w:rsidRPr="00544C7D">
        <w:rPr>
          <w:rFonts w:hint="eastAsia"/>
          <w:sz w:val="24"/>
        </w:rPr>
        <w:t>t/a</w:t>
      </w:r>
      <w:r w:rsidR="00544C7D" w:rsidRPr="00544C7D">
        <w:rPr>
          <w:rFonts w:hint="eastAsia"/>
          <w:sz w:val="24"/>
        </w:rPr>
        <w:t>。</w:t>
      </w:r>
    </w:p>
    <w:p w:rsidR="004B1520" w:rsidRDefault="00861732" w:rsidP="0073390E">
      <w:pPr>
        <w:spacing w:line="520" w:lineRule="exact"/>
        <w:ind w:firstLineChars="200" w:firstLine="480"/>
        <w:rPr>
          <w:sz w:val="24"/>
        </w:rPr>
      </w:pPr>
      <w:r>
        <w:rPr>
          <w:rFonts w:hint="eastAsia"/>
          <w:sz w:val="24"/>
        </w:rPr>
        <w:t>升级改造后</w:t>
      </w:r>
      <w:r w:rsidR="0073390E" w:rsidRPr="0073390E">
        <w:rPr>
          <w:rFonts w:hint="eastAsia"/>
          <w:sz w:val="24"/>
        </w:rPr>
        <w:t>本项目</w:t>
      </w:r>
      <w:r>
        <w:rPr>
          <w:rFonts w:hint="eastAsia"/>
          <w:sz w:val="24"/>
        </w:rPr>
        <w:t>COD</w:t>
      </w:r>
      <w:r>
        <w:rPr>
          <w:rFonts w:hint="eastAsia"/>
          <w:sz w:val="24"/>
        </w:rPr>
        <w:t>排放量为</w:t>
      </w:r>
      <w:r>
        <w:rPr>
          <w:rFonts w:hint="eastAsia"/>
          <w:sz w:val="24"/>
        </w:rPr>
        <w:t>3</w:t>
      </w:r>
      <w:r w:rsidR="0093310C">
        <w:rPr>
          <w:rFonts w:hint="eastAsia"/>
          <w:sz w:val="24"/>
        </w:rPr>
        <w:t>0.543</w:t>
      </w:r>
      <w:r>
        <w:rPr>
          <w:rFonts w:hint="eastAsia"/>
          <w:sz w:val="24"/>
        </w:rPr>
        <w:t>t/a</w:t>
      </w:r>
      <w:r>
        <w:rPr>
          <w:rFonts w:hint="eastAsia"/>
          <w:sz w:val="24"/>
        </w:rPr>
        <w:t>，其中</w:t>
      </w:r>
      <w:r w:rsidRPr="0073390E">
        <w:rPr>
          <w:rFonts w:hint="eastAsia"/>
          <w:sz w:val="24"/>
        </w:rPr>
        <w:t>原环评总量中划拨</w:t>
      </w:r>
      <w:r>
        <w:rPr>
          <w:rFonts w:hint="eastAsia"/>
          <w:sz w:val="24"/>
        </w:rPr>
        <w:t>5.94</w:t>
      </w:r>
      <w:r w:rsidRPr="0073390E">
        <w:rPr>
          <w:rFonts w:hint="eastAsia"/>
          <w:sz w:val="24"/>
        </w:rPr>
        <w:t>t/a</w:t>
      </w:r>
      <w:r w:rsidR="004B1520">
        <w:rPr>
          <w:rFonts w:hint="eastAsia"/>
          <w:sz w:val="24"/>
        </w:rPr>
        <w:t>；</w:t>
      </w:r>
      <w:r w:rsidR="00544C7D">
        <w:rPr>
          <w:rFonts w:hint="eastAsia"/>
          <w:sz w:val="24"/>
        </w:rPr>
        <w:t>升级改造后</w:t>
      </w:r>
      <w:r w:rsidR="00544C7D" w:rsidRPr="0073390E">
        <w:rPr>
          <w:rFonts w:hint="eastAsia"/>
          <w:sz w:val="24"/>
        </w:rPr>
        <w:t>本项目</w:t>
      </w:r>
      <w:r w:rsidR="00544C7D" w:rsidRPr="00544C7D">
        <w:rPr>
          <w:rFonts w:hint="eastAsia"/>
          <w:sz w:val="24"/>
        </w:rPr>
        <w:t>NH</w:t>
      </w:r>
      <w:r w:rsidR="00544C7D" w:rsidRPr="00544C7D">
        <w:rPr>
          <w:rFonts w:hint="eastAsia"/>
          <w:sz w:val="24"/>
          <w:vertAlign w:val="subscript"/>
        </w:rPr>
        <w:t>3</w:t>
      </w:r>
      <w:r w:rsidR="00544C7D" w:rsidRPr="00544C7D">
        <w:rPr>
          <w:rFonts w:hint="eastAsia"/>
          <w:sz w:val="24"/>
        </w:rPr>
        <w:t>-N</w:t>
      </w:r>
      <w:r w:rsidR="00544C7D">
        <w:rPr>
          <w:rFonts w:hint="eastAsia"/>
          <w:sz w:val="24"/>
        </w:rPr>
        <w:t>排放量为</w:t>
      </w:r>
      <w:r w:rsidR="00544C7D">
        <w:rPr>
          <w:rFonts w:hint="eastAsia"/>
          <w:sz w:val="24"/>
        </w:rPr>
        <w:t>0.480t/a</w:t>
      </w:r>
      <w:r w:rsidR="00544C7D">
        <w:rPr>
          <w:rFonts w:hint="eastAsia"/>
          <w:sz w:val="24"/>
        </w:rPr>
        <w:t>，其中</w:t>
      </w:r>
      <w:r w:rsidR="00544C7D" w:rsidRPr="0073390E">
        <w:rPr>
          <w:rFonts w:hint="eastAsia"/>
          <w:sz w:val="24"/>
        </w:rPr>
        <w:t>原</w:t>
      </w:r>
      <w:r w:rsidR="00544C7D">
        <w:rPr>
          <w:rFonts w:hint="eastAsia"/>
          <w:sz w:val="24"/>
        </w:rPr>
        <w:t>工程核算</w:t>
      </w:r>
      <w:r w:rsidR="004B1520" w:rsidRPr="00544C7D">
        <w:rPr>
          <w:rFonts w:hint="eastAsia"/>
          <w:sz w:val="24"/>
        </w:rPr>
        <w:t>NH</w:t>
      </w:r>
      <w:r w:rsidR="004B1520" w:rsidRPr="00544C7D">
        <w:rPr>
          <w:rFonts w:hint="eastAsia"/>
          <w:sz w:val="24"/>
          <w:vertAlign w:val="subscript"/>
        </w:rPr>
        <w:t>3</w:t>
      </w:r>
      <w:r w:rsidR="004B1520" w:rsidRPr="00544C7D">
        <w:rPr>
          <w:rFonts w:hint="eastAsia"/>
          <w:sz w:val="24"/>
        </w:rPr>
        <w:t>-N</w:t>
      </w:r>
      <w:r w:rsidR="00544C7D" w:rsidRPr="0073390E">
        <w:rPr>
          <w:rFonts w:hint="eastAsia"/>
          <w:sz w:val="24"/>
        </w:rPr>
        <w:t>总量中划拨</w:t>
      </w:r>
      <w:r w:rsidR="004B1520">
        <w:rPr>
          <w:rFonts w:hint="eastAsia"/>
          <w:sz w:val="24"/>
        </w:rPr>
        <w:t>0.113</w:t>
      </w:r>
      <w:r w:rsidR="00544C7D" w:rsidRPr="0073390E">
        <w:rPr>
          <w:rFonts w:hint="eastAsia"/>
          <w:sz w:val="24"/>
        </w:rPr>
        <w:t>t/a</w:t>
      </w:r>
      <w:r w:rsidR="004B1520">
        <w:rPr>
          <w:rFonts w:hint="eastAsia"/>
          <w:sz w:val="24"/>
        </w:rPr>
        <w:t>；</w:t>
      </w:r>
      <w:r>
        <w:rPr>
          <w:rFonts w:hint="eastAsia"/>
          <w:sz w:val="24"/>
        </w:rPr>
        <w:t>因此新增</w:t>
      </w:r>
      <w:r w:rsidR="0073390E" w:rsidRPr="0073390E">
        <w:rPr>
          <w:rFonts w:hint="eastAsia"/>
          <w:sz w:val="24"/>
        </w:rPr>
        <w:t>总量控制指标为</w:t>
      </w:r>
      <w:r w:rsidR="00EE1E2D">
        <w:rPr>
          <w:rFonts w:hint="eastAsia"/>
          <w:sz w:val="24"/>
        </w:rPr>
        <w:t>：</w:t>
      </w:r>
    </w:p>
    <w:p w:rsidR="004B1520" w:rsidRDefault="0073390E" w:rsidP="0073390E">
      <w:pPr>
        <w:spacing w:line="520" w:lineRule="exact"/>
        <w:ind w:firstLineChars="200" w:firstLine="480"/>
        <w:rPr>
          <w:sz w:val="24"/>
        </w:rPr>
      </w:pPr>
      <w:r w:rsidRPr="0073390E">
        <w:rPr>
          <w:rFonts w:hint="eastAsia"/>
          <w:sz w:val="24"/>
        </w:rPr>
        <w:t>COD</w:t>
      </w:r>
      <w:r w:rsidRPr="0073390E">
        <w:rPr>
          <w:rFonts w:hint="eastAsia"/>
          <w:sz w:val="24"/>
        </w:rPr>
        <w:t>：</w:t>
      </w:r>
      <w:r w:rsidR="004B1520">
        <w:rPr>
          <w:rFonts w:hint="eastAsia"/>
          <w:sz w:val="24"/>
        </w:rPr>
        <w:t xml:space="preserve"> </w:t>
      </w:r>
      <w:r w:rsidR="00861732">
        <w:rPr>
          <w:rFonts w:hint="eastAsia"/>
          <w:sz w:val="24"/>
        </w:rPr>
        <w:t>3</w:t>
      </w:r>
      <w:r w:rsidR="0093310C">
        <w:rPr>
          <w:rFonts w:hint="eastAsia"/>
          <w:sz w:val="24"/>
        </w:rPr>
        <w:t>0.543</w:t>
      </w:r>
      <w:r w:rsidR="00861732">
        <w:rPr>
          <w:rFonts w:hint="eastAsia"/>
          <w:sz w:val="24"/>
        </w:rPr>
        <w:t>t/a</w:t>
      </w:r>
      <w:r w:rsidR="00294F46">
        <w:rPr>
          <w:rFonts w:hint="eastAsia"/>
          <w:sz w:val="24"/>
        </w:rPr>
        <w:t xml:space="preserve"> </w:t>
      </w:r>
      <w:r w:rsidR="00861732">
        <w:rPr>
          <w:rFonts w:hint="eastAsia"/>
          <w:sz w:val="24"/>
        </w:rPr>
        <w:t>-</w:t>
      </w:r>
      <w:r w:rsidR="00294F46">
        <w:rPr>
          <w:rFonts w:hint="eastAsia"/>
          <w:sz w:val="24"/>
        </w:rPr>
        <w:t xml:space="preserve"> </w:t>
      </w:r>
      <w:r w:rsidR="00861732">
        <w:rPr>
          <w:rFonts w:hint="eastAsia"/>
          <w:sz w:val="24"/>
        </w:rPr>
        <w:t>5.94t/a</w:t>
      </w:r>
      <w:r w:rsidR="004B1520">
        <w:rPr>
          <w:rFonts w:hint="eastAsia"/>
          <w:sz w:val="24"/>
        </w:rPr>
        <w:t xml:space="preserve"> </w:t>
      </w:r>
      <w:r w:rsidR="00861732">
        <w:rPr>
          <w:rFonts w:hint="eastAsia"/>
          <w:sz w:val="24"/>
        </w:rPr>
        <w:t>=</w:t>
      </w:r>
      <w:r w:rsidR="004B1520">
        <w:rPr>
          <w:rFonts w:hint="eastAsia"/>
          <w:sz w:val="24"/>
        </w:rPr>
        <w:t xml:space="preserve"> </w:t>
      </w:r>
      <w:r w:rsidR="00861732">
        <w:rPr>
          <w:rFonts w:hint="eastAsia"/>
          <w:sz w:val="24"/>
        </w:rPr>
        <w:t>2</w:t>
      </w:r>
      <w:r w:rsidR="0093310C">
        <w:rPr>
          <w:rFonts w:hint="eastAsia"/>
          <w:sz w:val="24"/>
        </w:rPr>
        <w:t>4.603</w:t>
      </w:r>
      <w:r w:rsidR="00294F46">
        <w:rPr>
          <w:rFonts w:hint="eastAsia"/>
          <w:sz w:val="24"/>
        </w:rPr>
        <w:t xml:space="preserve"> </w:t>
      </w:r>
      <w:r w:rsidRPr="0073390E">
        <w:rPr>
          <w:rFonts w:hint="eastAsia"/>
          <w:sz w:val="24"/>
        </w:rPr>
        <w:t>t/a</w:t>
      </w:r>
    </w:p>
    <w:p w:rsidR="0073390E" w:rsidRDefault="0073390E" w:rsidP="0073390E">
      <w:pPr>
        <w:spacing w:line="520" w:lineRule="exact"/>
        <w:ind w:firstLineChars="200" w:firstLine="480"/>
        <w:rPr>
          <w:sz w:val="24"/>
        </w:rPr>
      </w:pPr>
      <w:r w:rsidRPr="0073390E">
        <w:rPr>
          <w:rFonts w:hint="eastAsia"/>
          <w:sz w:val="24"/>
        </w:rPr>
        <w:t>NH</w:t>
      </w:r>
      <w:r w:rsidRPr="0073390E">
        <w:rPr>
          <w:rFonts w:hint="eastAsia"/>
          <w:sz w:val="24"/>
          <w:vertAlign w:val="subscript"/>
        </w:rPr>
        <w:t>3</w:t>
      </w:r>
      <w:r w:rsidRPr="0073390E">
        <w:rPr>
          <w:rFonts w:hint="eastAsia"/>
          <w:sz w:val="24"/>
        </w:rPr>
        <w:t>-N</w:t>
      </w:r>
      <w:r w:rsidRPr="0073390E">
        <w:rPr>
          <w:rFonts w:hint="eastAsia"/>
          <w:sz w:val="24"/>
        </w:rPr>
        <w:t>：</w:t>
      </w:r>
      <w:r w:rsidRPr="0073390E">
        <w:rPr>
          <w:rFonts w:hint="eastAsia"/>
          <w:sz w:val="24"/>
        </w:rPr>
        <w:t>0</w:t>
      </w:r>
      <w:r w:rsidRPr="0073390E">
        <w:rPr>
          <w:sz w:val="24"/>
        </w:rPr>
        <w:t>.</w:t>
      </w:r>
      <w:r w:rsidR="0093310C">
        <w:rPr>
          <w:rFonts w:hint="eastAsia"/>
          <w:sz w:val="24"/>
        </w:rPr>
        <w:t>480</w:t>
      </w:r>
      <w:r w:rsidRPr="0073390E">
        <w:rPr>
          <w:rFonts w:hint="eastAsia"/>
          <w:sz w:val="24"/>
        </w:rPr>
        <w:t>t/a</w:t>
      </w:r>
      <w:r w:rsidR="00294F46">
        <w:rPr>
          <w:rFonts w:hint="eastAsia"/>
          <w:sz w:val="24"/>
        </w:rPr>
        <w:t xml:space="preserve"> </w:t>
      </w:r>
      <w:r w:rsidR="00544C7D">
        <w:rPr>
          <w:rFonts w:hint="eastAsia"/>
          <w:sz w:val="24"/>
        </w:rPr>
        <w:t>-</w:t>
      </w:r>
      <w:r w:rsidR="00294F46">
        <w:rPr>
          <w:rFonts w:hint="eastAsia"/>
          <w:sz w:val="24"/>
        </w:rPr>
        <w:t xml:space="preserve"> </w:t>
      </w:r>
      <w:r w:rsidR="00544C7D">
        <w:rPr>
          <w:rFonts w:hint="eastAsia"/>
          <w:sz w:val="24"/>
        </w:rPr>
        <w:t>0.113t/a</w:t>
      </w:r>
      <w:r w:rsidR="004B1520">
        <w:rPr>
          <w:rFonts w:hint="eastAsia"/>
          <w:sz w:val="24"/>
        </w:rPr>
        <w:t xml:space="preserve"> </w:t>
      </w:r>
      <w:r w:rsidR="00544C7D">
        <w:rPr>
          <w:rFonts w:hint="eastAsia"/>
          <w:sz w:val="24"/>
        </w:rPr>
        <w:t>=</w:t>
      </w:r>
      <w:r w:rsidR="004B1520">
        <w:rPr>
          <w:rFonts w:hint="eastAsia"/>
          <w:sz w:val="24"/>
        </w:rPr>
        <w:t xml:space="preserve"> </w:t>
      </w:r>
      <w:r w:rsidR="00544C7D">
        <w:rPr>
          <w:rFonts w:hint="eastAsia"/>
          <w:sz w:val="24"/>
        </w:rPr>
        <w:t>0.367</w:t>
      </w:r>
      <w:r w:rsidR="00544C7D" w:rsidRPr="00544C7D">
        <w:rPr>
          <w:rFonts w:hint="eastAsia"/>
          <w:sz w:val="24"/>
        </w:rPr>
        <w:t xml:space="preserve"> </w:t>
      </w:r>
      <w:r w:rsidR="00544C7D">
        <w:rPr>
          <w:rFonts w:hint="eastAsia"/>
          <w:sz w:val="24"/>
        </w:rPr>
        <w:t>t/a</w:t>
      </w:r>
    </w:p>
    <w:p w:rsidR="0073390E" w:rsidRDefault="0073390E">
      <w:pPr>
        <w:spacing w:line="520" w:lineRule="exact"/>
        <w:ind w:firstLineChars="200" w:firstLine="480"/>
        <w:rPr>
          <w:sz w:val="24"/>
        </w:rPr>
      </w:pPr>
    </w:p>
    <w:p w:rsidR="0073390E" w:rsidRDefault="0073390E">
      <w:pPr>
        <w:spacing w:line="520" w:lineRule="exact"/>
        <w:ind w:firstLineChars="200" w:firstLine="480"/>
        <w:rPr>
          <w:sz w:val="24"/>
        </w:rPr>
      </w:pPr>
    </w:p>
    <w:p w:rsidR="00240BCE" w:rsidRDefault="00240BCE">
      <w:pPr>
        <w:spacing w:line="520" w:lineRule="exact"/>
        <w:ind w:firstLineChars="200" w:firstLine="480"/>
        <w:rPr>
          <w:sz w:val="24"/>
        </w:rPr>
      </w:pPr>
    </w:p>
    <w:p w:rsidR="00240BCE" w:rsidRDefault="00240BCE">
      <w:pPr>
        <w:pStyle w:val="ae"/>
        <w:spacing w:line="520" w:lineRule="exact"/>
        <w:ind w:firstLineChars="200" w:firstLine="480"/>
        <w:rPr>
          <w:rFonts w:ascii="Times New Roman" w:hAnsi="Times New Roman"/>
          <w:sz w:val="24"/>
          <w:szCs w:val="24"/>
        </w:rPr>
      </w:pPr>
    </w:p>
    <w:p w:rsidR="00240BCE" w:rsidRDefault="00AC0334">
      <w:pPr>
        <w:pStyle w:val="1"/>
        <w:spacing w:before="120" w:after="120" w:line="360" w:lineRule="auto"/>
        <w:jc w:val="center"/>
        <w:rPr>
          <w:rFonts w:eastAsia="黑体"/>
          <w:b w:val="0"/>
          <w:sz w:val="36"/>
          <w:szCs w:val="36"/>
        </w:rPr>
      </w:pPr>
      <w:r>
        <w:rPr>
          <w:sz w:val="36"/>
          <w:szCs w:val="36"/>
        </w:rPr>
        <w:br w:type="page"/>
      </w:r>
      <w:bookmarkStart w:id="876" w:name="_Toc79668744"/>
      <w:bookmarkStart w:id="877" w:name="_Toc81934407"/>
      <w:bookmarkStart w:id="878" w:name="_Toc158525022"/>
      <w:bookmarkStart w:id="879" w:name="_Toc145154952"/>
      <w:bookmarkStart w:id="880" w:name="_Toc145246829"/>
      <w:bookmarkStart w:id="881" w:name="_Toc151179222"/>
      <w:r>
        <w:rPr>
          <w:rFonts w:eastAsia="黑体"/>
          <w:b w:val="0"/>
          <w:sz w:val="36"/>
          <w:szCs w:val="36"/>
        </w:rPr>
        <w:lastRenderedPageBreak/>
        <w:t xml:space="preserve">10 </w:t>
      </w:r>
      <w:r w:rsidR="00AB3E66">
        <w:rPr>
          <w:rFonts w:eastAsia="黑体" w:hint="eastAsia"/>
          <w:b w:val="0"/>
          <w:sz w:val="36"/>
          <w:szCs w:val="36"/>
        </w:rPr>
        <w:t>政策</w:t>
      </w:r>
      <w:r>
        <w:rPr>
          <w:rFonts w:eastAsia="黑体"/>
          <w:b w:val="0"/>
          <w:sz w:val="36"/>
          <w:szCs w:val="36"/>
        </w:rPr>
        <w:t>及规划符合性分析</w:t>
      </w:r>
      <w:bookmarkEnd w:id="876"/>
      <w:bookmarkEnd w:id="877"/>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82" w:name="_Toc79668745"/>
      <w:bookmarkStart w:id="883" w:name="_Toc81934408"/>
      <w:r>
        <w:rPr>
          <w:rFonts w:ascii="Times New Roman" w:eastAsia="宋体" w:hAnsi="Times New Roman"/>
          <w:bCs/>
          <w:szCs w:val="32"/>
        </w:rPr>
        <w:t>1</w:t>
      </w:r>
      <w:bookmarkEnd w:id="878"/>
      <w:r>
        <w:rPr>
          <w:rFonts w:ascii="Times New Roman" w:eastAsia="宋体" w:hAnsi="Times New Roman"/>
          <w:bCs/>
          <w:szCs w:val="32"/>
        </w:rPr>
        <w:t>0.1</w:t>
      </w:r>
      <w:r>
        <w:rPr>
          <w:rFonts w:ascii="Times New Roman" w:eastAsia="宋体" w:hAnsi="Times New Roman"/>
          <w:bCs/>
          <w:szCs w:val="32"/>
        </w:rPr>
        <w:t>与国家产业政策符合性分析</w:t>
      </w:r>
      <w:bookmarkEnd w:id="882"/>
      <w:bookmarkEnd w:id="883"/>
    </w:p>
    <w:p w:rsidR="00240BCE" w:rsidRDefault="00AC0334" w:rsidP="009C5F33">
      <w:pPr>
        <w:pStyle w:val="30"/>
        <w:adjustRightInd w:val="0"/>
        <w:snapToGrid w:val="0"/>
        <w:spacing w:beforeLines="70" w:afterLines="30" w:line="240" w:lineRule="auto"/>
        <w:jc w:val="left"/>
        <w:rPr>
          <w:rFonts w:eastAsia="楷体"/>
          <w:sz w:val="28"/>
          <w:szCs w:val="28"/>
        </w:rPr>
      </w:pPr>
      <w:r>
        <w:rPr>
          <w:rFonts w:eastAsia="楷体"/>
          <w:sz w:val="28"/>
          <w:szCs w:val="28"/>
        </w:rPr>
        <w:t xml:space="preserve">10.1.1 </w:t>
      </w:r>
      <w:r>
        <w:rPr>
          <w:rFonts w:eastAsia="楷体"/>
          <w:sz w:val="28"/>
          <w:szCs w:val="28"/>
        </w:rPr>
        <w:t>与《产业结构调整指导目录》（</w:t>
      </w:r>
      <w:r>
        <w:rPr>
          <w:rFonts w:eastAsia="楷体"/>
          <w:sz w:val="28"/>
          <w:szCs w:val="28"/>
        </w:rPr>
        <w:t xml:space="preserve">2019 </w:t>
      </w:r>
      <w:r>
        <w:rPr>
          <w:rFonts w:eastAsia="楷体"/>
          <w:sz w:val="28"/>
          <w:szCs w:val="28"/>
        </w:rPr>
        <w:t>年本）相符性</w:t>
      </w:r>
    </w:p>
    <w:p w:rsidR="00240BCE" w:rsidRDefault="00AC0334">
      <w:pPr>
        <w:pStyle w:val="18"/>
        <w:ind w:firstLine="480"/>
        <w:rPr>
          <w:sz w:val="24"/>
          <w:szCs w:val="24"/>
        </w:rPr>
      </w:pPr>
      <w:r>
        <w:rPr>
          <w:sz w:val="24"/>
          <w:szCs w:val="24"/>
        </w:rPr>
        <w:t>本项目为煤炭开采项目，升级改造后开采能力为</w:t>
      </w:r>
      <w:r>
        <w:rPr>
          <w:sz w:val="24"/>
          <w:szCs w:val="24"/>
        </w:rPr>
        <w:t xml:space="preserve">30 </w:t>
      </w:r>
      <w:r>
        <w:rPr>
          <w:sz w:val="24"/>
          <w:szCs w:val="24"/>
        </w:rPr>
        <w:t>万</w:t>
      </w:r>
      <w:r>
        <w:rPr>
          <w:sz w:val="24"/>
          <w:szCs w:val="24"/>
        </w:rPr>
        <w:t>t/a</w:t>
      </w:r>
      <w:r>
        <w:rPr>
          <w:sz w:val="24"/>
          <w:szCs w:val="24"/>
        </w:rPr>
        <w:t>，采用综采工艺，回采率</w:t>
      </w:r>
      <w:r>
        <w:rPr>
          <w:sz w:val="24"/>
          <w:szCs w:val="24"/>
        </w:rPr>
        <w:t>8</w:t>
      </w:r>
      <w:r w:rsidR="00400C99">
        <w:rPr>
          <w:rFonts w:hint="eastAsia"/>
          <w:sz w:val="24"/>
          <w:szCs w:val="24"/>
        </w:rPr>
        <w:t>5</w:t>
      </w:r>
      <w:r>
        <w:rPr>
          <w:sz w:val="24"/>
          <w:szCs w:val="24"/>
        </w:rPr>
        <w:t>%</w:t>
      </w:r>
      <w:r>
        <w:rPr>
          <w:sz w:val="24"/>
          <w:szCs w:val="24"/>
        </w:rPr>
        <w:t>，项目不属于《产业结构调整指导目录》（</w:t>
      </w:r>
      <w:r>
        <w:rPr>
          <w:sz w:val="24"/>
          <w:szCs w:val="24"/>
        </w:rPr>
        <w:t xml:space="preserve">2019 </w:t>
      </w:r>
      <w:r>
        <w:rPr>
          <w:sz w:val="24"/>
          <w:szCs w:val="24"/>
        </w:rPr>
        <w:t>年本）中煤炭鼓励、限制类、淘汰类之列，矿山开采采用的主要生产设备不属于限制、淘汰类名录，矿井开拓方式、采煤工艺及设备也不在</w:t>
      </w:r>
      <w:r>
        <w:rPr>
          <w:color w:val="000000"/>
          <w:sz w:val="24"/>
          <w:szCs w:val="24"/>
        </w:rPr>
        <w:t>《矿产资源节约与综合利用鼓励、限制和淘汰技术目录》中限制和淘汰类技术目录中，</w:t>
      </w:r>
      <w:r>
        <w:rPr>
          <w:sz w:val="24"/>
          <w:szCs w:val="24"/>
        </w:rPr>
        <w:t>根据《促进产业结构调整暂行规定》（国发</w:t>
      </w:r>
      <w:r>
        <w:rPr>
          <w:sz w:val="24"/>
          <w:szCs w:val="24"/>
        </w:rPr>
        <w:t xml:space="preserve">[2005]40 </w:t>
      </w:r>
      <w:r>
        <w:rPr>
          <w:sz w:val="24"/>
          <w:szCs w:val="24"/>
        </w:rPr>
        <w:t>号文），属允许建设项目，因此项目建设符合国家产业政策。</w:t>
      </w:r>
    </w:p>
    <w:p w:rsidR="00240BCE" w:rsidRDefault="00AC0334" w:rsidP="009C5F33">
      <w:pPr>
        <w:adjustRightInd w:val="0"/>
        <w:snapToGrid w:val="0"/>
        <w:spacing w:beforeLines="70" w:afterLines="30"/>
        <w:jc w:val="left"/>
        <w:outlineLvl w:val="2"/>
        <w:rPr>
          <w:rFonts w:eastAsia="楷体"/>
          <w:b/>
          <w:bCs/>
          <w:kern w:val="28"/>
          <w:szCs w:val="28"/>
        </w:rPr>
      </w:pPr>
      <w:r>
        <w:rPr>
          <w:rFonts w:eastAsia="楷体"/>
          <w:b/>
          <w:bCs/>
          <w:kern w:val="28"/>
          <w:szCs w:val="28"/>
        </w:rPr>
        <w:t xml:space="preserve">10.1.2 </w:t>
      </w:r>
      <w:r>
        <w:rPr>
          <w:rFonts w:eastAsia="楷体"/>
          <w:b/>
          <w:bCs/>
          <w:kern w:val="28"/>
          <w:szCs w:val="28"/>
        </w:rPr>
        <w:t>与其他产业政策的相符性</w:t>
      </w:r>
    </w:p>
    <w:p w:rsidR="00240BCE" w:rsidRDefault="00AC0334">
      <w:pPr>
        <w:pStyle w:val="18"/>
        <w:ind w:firstLine="480"/>
        <w:rPr>
          <w:sz w:val="24"/>
          <w:szCs w:val="24"/>
        </w:rPr>
      </w:pPr>
      <w:r>
        <w:rPr>
          <w:sz w:val="24"/>
          <w:szCs w:val="24"/>
        </w:rPr>
        <w:t>1</w:t>
      </w:r>
      <w:r>
        <w:rPr>
          <w:sz w:val="24"/>
          <w:szCs w:val="24"/>
        </w:rPr>
        <w:t>、《煤炭产业政策》</w:t>
      </w:r>
    </w:p>
    <w:p w:rsidR="00240BCE" w:rsidRDefault="00AC0334">
      <w:pPr>
        <w:pStyle w:val="18"/>
        <w:ind w:firstLine="480"/>
        <w:rPr>
          <w:sz w:val="24"/>
          <w:szCs w:val="24"/>
        </w:rPr>
      </w:pPr>
      <w:r>
        <w:rPr>
          <w:sz w:val="24"/>
          <w:szCs w:val="24"/>
        </w:rPr>
        <w:t>第九条</w:t>
      </w:r>
      <w:r>
        <w:rPr>
          <w:sz w:val="24"/>
          <w:szCs w:val="24"/>
        </w:rPr>
        <w:t xml:space="preserve"> </w:t>
      </w:r>
      <w:r>
        <w:rPr>
          <w:sz w:val="24"/>
          <w:szCs w:val="24"/>
        </w:rPr>
        <w:t>根据国民经济和社会发展规划总体部署，按照煤炭工业发展规划、矿产资源规划、煤炭生产开发规划、煤矿安全生产规划、矿区总体规划，</w:t>
      </w:r>
      <w:r>
        <w:rPr>
          <w:sz w:val="24"/>
          <w:szCs w:val="24"/>
        </w:rPr>
        <w:t xml:space="preserve"> </w:t>
      </w:r>
      <w:r>
        <w:rPr>
          <w:sz w:val="24"/>
          <w:szCs w:val="24"/>
        </w:rPr>
        <w:t>合理、有序开发和利用煤炭资源。</w:t>
      </w:r>
    </w:p>
    <w:p w:rsidR="00240BCE" w:rsidRDefault="00AC0334">
      <w:pPr>
        <w:pStyle w:val="18"/>
        <w:ind w:firstLine="480"/>
        <w:rPr>
          <w:sz w:val="24"/>
          <w:szCs w:val="24"/>
        </w:rPr>
      </w:pPr>
      <w:r>
        <w:rPr>
          <w:sz w:val="24"/>
          <w:szCs w:val="24"/>
        </w:rPr>
        <w:t>第十四条</w:t>
      </w:r>
      <w:r>
        <w:rPr>
          <w:sz w:val="24"/>
          <w:szCs w:val="24"/>
        </w:rPr>
        <w:t xml:space="preserve"> </w:t>
      </w:r>
      <w:r>
        <w:rPr>
          <w:sz w:val="24"/>
          <w:szCs w:val="24"/>
        </w:rPr>
        <w:t>开办煤矿或者从事煤炭和煤层气资源勘查，从事煤矿建设项目设计、施工、监理、安全评价等，应当具备相应资质，并符合法律、法规规定的其他条件。煤矿资源回收率必须达到国家规定标准，安全、生产装备及环境保护措施必须符合法律法规的规定。</w:t>
      </w:r>
    </w:p>
    <w:p w:rsidR="00240BCE" w:rsidRDefault="00AC0334">
      <w:pPr>
        <w:pStyle w:val="18"/>
        <w:ind w:firstLine="480"/>
        <w:rPr>
          <w:sz w:val="24"/>
          <w:szCs w:val="24"/>
        </w:rPr>
      </w:pPr>
      <w:r>
        <w:rPr>
          <w:sz w:val="24"/>
          <w:szCs w:val="24"/>
        </w:rPr>
        <w:t>第十五条</w:t>
      </w:r>
      <w:r>
        <w:rPr>
          <w:sz w:val="24"/>
          <w:szCs w:val="24"/>
        </w:rPr>
        <w:t xml:space="preserve"> </w:t>
      </w:r>
      <w:r>
        <w:rPr>
          <w:sz w:val="24"/>
          <w:szCs w:val="24"/>
        </w:rPr>
        <w:t>山西、内蒙古、陕西等省（区）新建、改扩建矿井规模不低于</w:t>
      </w:r>
      <w:r>
        <w:rPr>
          <w:sz w:val="24"/>
          <w:szCs w:val="24"/>
        </w:rPr>
        <w:t>120</w:t>
      </w:r>
      <w:r>
        <w:rPr>
          <w:sz w:val="24"/>
          <w:szCs w:val="24"/>
        </w:rPr>
        <w:t>万吨</w:t>
      </w:r>
      <w:r>
        <w:rPr>
          <w:sz w:val="24"/>
          <w:szCs w:val="24"/>
        </w:rPr>
        <w:t>/</w:t>
      </w:r>
      <w:r>
        <w:rPr>
          <w:sz w:val="24"/>
          <w:szCs w:val="24"/>
        </w:rPr>
        <w:t>年。重庆、四川、贵州、云南等省（市）新建、改扩建矿井规模不低于</w:t>
      </w:r>
      <w:r>
        <w:rPr>
          <w:sz w:val="24"/>
          <w:szCs w:val="24"/>
        </w:rPr>
        <w:t>15</w:t>
      </w:r>
      <w:r>
        <w:rPr>
          <w:sz w:val="24"/>
          <w:szCs w:val="24"/>
        </w:rPr>
        <w:t>万吨</w:t>
      </w:r>
      <w:r>
        <w:rPr>
          <w:sz w:val="24"/>
          <w:szCs w:val="24"/>
        </w:rPr>
        <w:t>/</w:t>
      </w:r>
      <w:r>
        <w:rPr>
          <w:sz w:val="24"/>
          <w:szCs w:val="24"/>
        </w:rPr>
        <w:t>年。福建、江西、湖北、湖南、广西等省（区）新建、改扩建矿井规模不低于</w:t>
      </w:r>
      <w:r>
        <w:rPr>
          <w:sz w:val="24"/>
          <w:szCs w:val="24"/>
        </w:rPr>
        <w:t>9</w:t>
      </w:r>
      <w:r>
        <w:rPr>
          <w:sz w:val="24"/>
          <w:szCs w:val="24"/>
        </w:rPr>
        <w:t>万吨</w:t>
      </w:r>
      <w:r>
        <w:rPr>
          <w:sz w:val="24"/>
          <w:szCs w:val="24"/>
        </w:rPr>
        <w:t>/</w:t>
      </w:r>
      <w:r>
        <w:rPr>
          <w:sz w:val="24"/>
          <w:szCs w:val="24"/>
        </w:rPr>
        <w:t>年。其他地区新建、改扩建矿井规模不低于</w:t>
      </w:r>
      <w:r>
        <w:rPr>
          <w:sz w:val="24"/>
          <w:szCs w:val="24"/>
        </w:rPr>
        <w:t xml:space="preserve"> 30 </w:t>
      </w:r>
      <w:r>
        <w:rPr>
          <w:sz w:val="24"/>
          <w:szCs w:val="24"/>
        </w:rPr>
        <w:t>万吨</w:t>
      </w:r>
      <w:r>
        <w:rPr>
          <w:sz w:val="24"/>
          <w:szCs w:val="24"/>
        </w:rPr>
        <w:t>/</w:t>
      </w:r>
      <w:r>
        <w:rPr>
          <w:sz w:val="24"/>
          <w:szCs w:val="24"/>
        </w:rPr>
        <w:t>年。鉴于当前小煤矿数量多、布局不合理、破坏资源和环境的状况尚未根本改善，煤矿安全生产形势依然严峻，</w:t>
      </w:r>
      <w:r>
        <w:rPr>
          <w:sz w:val="24"/>
          <w:szCs w:val="24"/>
        </w:rPr>
        <w:t>“</w:t>
      </w:r>
      <w:r>
        <w:rPr>
          <w:sz w:val="24"/>
          <w:szCs w:val="24"/>
        </w:rPr>
        <w:t>十一五</w:t>
      </w:r>
      <w:r>
        <w:rPr>
          <w:sz w:val="24"/>
          <w:szCs w:val="24"/>
        </w:rPr>
        <w:t>”</w:t>
      </w:r>
      <w:r>
        <w:rPr>
          <w:sz w:val="24"/>
          <w:szCs w:val="24"/>
        </w:rPr>
        <w:t>期间一律停止核准</w:t>
      </w:r>
      <w:r>
        <w:rPr>
          <w:sz w:val="24"/>
          <w:szCs w:val="24"/>
        </w:rPr>
        <w:t>(</w:t>
      </w:r>
      <w:r>
        <w:rPr>
          <w:sz w:val="24"/>
          <w:szCs w:val="24"/>
        </w:rPr>
        <w:t>审批</w:t>
      </w:r>
      <w:r>
        <w:rPr>
          <w:sz w:val="24"/>
          <w:szCs w:val="24"/>
        </w:rPr>
        <w:t xml:space="preserve">)30 </w:t>
      </w:r>
      <w:r>
        <w:rPr>
          <w:sz w:val="24"/>
          <w:szCs w:val="24"/>
        </w:rPr>
        <w:t>万吨</w:t>
      </w:r>
      <w:r>
        <w:rPr>
          <w:sz w:val="24"/>
          <w:szCs w:val="24"/>
        </w:rPr>
        <w:t>/</w:t>
      </w:r>
      <w:r>
        <w:rPr>
          <w:sz w:val="24"/>
          <w:szCs w:val="24"/>
        </w:rPr>
        <w:t>年以下的新建煤矿项目。</w:t>
      </w:r>
    </w:p>
    <w:p w:rsidR="00240BCE" w:rsidRDefault="00AC0334">
      <w:pPr>
        <w:pStyle w:val="18"/>
        <w:ind w:firstLine="480"/>
        <w:rPr>
          <w:sz w:val="24"/>
          <w:szCs w:val="24"/>
        </w:rPr>
      </w:pPr>
      <w:r>
        <w:rPr>
          <w:sz w:val="24"/>
          <w:szCs w:val="24"/>
        </w:rPr>
        <w:lastRenderedPageBreak/>
        <w:t>第二十五条</w:t>
      </w:r>
      <w:r>
        <w:rPr>
          <w:sz w:val="24"/>
          <w:szCs w:val="24"/>
        </w:rPr>
        <w:t xml:space="preserve"> </w:t>
      </w:r>
      <w:r>
        <w:rPr>
          <w:sz w:val="24"/>
          <w:szCs w:val="24"/>
        </w:rPr>
        <w:t>鼓励煤炭企业实施以产业升级为目的的技术改造。鼓励通过多种方式进行煤炭勘探、开采、洗选加工、转化等关键技术和重大装备的研发、集成和自主化生产。</w:t>
      </w:r>
    </w:p>
    <w:p w:rsidR="00240BCE" w:rsidRDefault="00AC0334">
      <w:pPr>
        <w:pStyle w:val="18"/>
        <w:ind w:firstLine="480"/>
        <w:rPr>
          <w:sz w:val="24"/>
          <w:szCs w:val="24"/>
        </w:rPr>
      </w:pPr>
      <w:r>
        <w:rPr>
          <w:sz w:val="24"/>
          <w:szCs w:val="24"/>
        </w:rPr>
        <w:t>相符性分析：隆庆煤矿升级改造后开采规模为</w:t>
      </w:r>
      <w:r>
        <w:rPr>
          <w:sz w:val="24"/>
          <w:szCs w:val="24"/>
        </w:rPr>
        <w:t>30</w:t>
      </w:r>
      <w:r>
        <w:rPr>
          <w:sz w:val="24"/>
          <w:szCs w:val="24"/>
        </w:rPr>
        <w:t>万</w:t>
      </w:r>
      <w:r>
        <w:rPr>
          <w:sz w:val="24"/>
          <w:szCs w:val="24"/>
        </w:rPr>
        <w:t xml:space="preserve"> t/a</w:t>
      </w:r>
      <w:r>
        <w:rPr>
          <w:sz w:val="24"/>
          <w:szCs w:val="24"/>
        </w:rPr>
        <w:t>，项目建设符合《煤炭产业政策》要求。</w:t>
      </w:r>
    </w:p>
    <w:p w:rsidR="00240BCE" w:rsidRDefault="00AC0334">
      <w:pPr>
        <w:pStyle w:val="18"/>
        <w:ind w:firstLine="480"/>
        <w:rPr>
          <w:color w:val="000000"/>
          <w:sz w:val="24"/>
          <w:szCs w:val="24"/>
        </w:rPr>
      </w:pPr>
      <w:r>
        <w:rPr>
          <w:color w:val="000000"/>
          <w:sz w:val="24"/>
          <w:szCs w:val="24"/>
        </w:rPr>
        <w:t>2</w:t>
      </w:r>
      <w:r>
        <w:rPr>
          <w:color w:val="000000"/>
          <w:sz w:val="24"/>
          <w:szCs w:val="24"/>
        </w:rPr>
        <w:t>、《燃煤二氧化硫排放污染防治技术政策》</w:t>
      </w:r>
    </w:p>
    <w:p w:rsidR="00240BCE" w:rsidRDefault="00AC0334">
      <w:pPr>
        <w:pStyle w:val="18"/>
        <w:ind w:firstLine="480"/>
        <w:rPr>
          <w:color w:val="000000"/>
          <w:sz w:val="24"/>
          <w:szCs w:val="24"/>
        </w:rPr>
      </w:pPr>
      <w:r>
        <w:rPr>
          <w:color w:val="000000"/>
          <w:sz w:val="24"/>
          <w:szCs w:val="24"/>
        </w:rPr>
        <w:t>根据国家环境保护总局环发</w:t>
      </w:r>
      <w:r>
        <w:rPr>
          <w:color w:val="000000"/>
          <w:sz w:val="24"/>
          <w:szCs w:val="24"/>
        </w:rPr>
        <w:t xml:space="preserve">[2002]26 </w:t>
      </w:r>
      <w:r>
        <w:rPr>
          <w:color w:val="000000"/>
          <w:sz w:val="24"/>
          <w:szCs w:val="24"/>
        </w:rPr>
        <w:t>号关于发布《燃煤二氧化硫排放污染防治技术政策》的规定：</w:t>
      </w:r>
      <w:r>
        <w:rPr>
          <w:color w:val="000000"/>
          <w:sz w:val="24"/>
          <w:szCs w:val="24"/>
        </w:rPr>
        <w:t>“</w:t>
      </w:r>
      <w:r>
        <w:rPr>
          <w:color w:val="000000"/>
          <w:sz w:val="24"/>
          <w:szCs w:val="24"/>
        </w:rPr>
        <w:t>各地不得新建煤层含硫硫份大于</w:t>
      </w:r>
      <w:r>
        <w:rPr>
          <w:color w:val="000000"/>
          <w:sz w:val="24"/>
          <w:szCs w:val="24"/>
        </w:rPr>
        <w:t>3</w:t>
      </w:r>
      <w:r>
        <w:rPr>
          <w:color w:val="000000"/>
          <w:sz w:val="24"/>
          <w:szCs w:val="24"/>
        </w:rPr>
        <w:t>﹪的矿井，对现有硫份大于</w:t>
      </w:r>
      <w:r>
        <w:rPr>
          <w:color w:val="000000"/>
          <w:sz w:val="24"/>
          <w:szCs w:val="24"/>
        </w:rPr>
        <w:t>3%</w:t>
      </w:r>
      <w:r>
        <w:rPr>
          <w:color w:val="000000"/>
          <w:sz w:val="24"/>
          <w:szCs w:val="24"/>
        </w:rPr>
        <w:t>的高硫小煤矿，应予关闭</w:t>
      </w:r>
      <w:r>
        <w:rPr>
          <w:color w:val="000000"/>
          <w:sz w:val="24"/>
          <w:szCs w:val="24"/>
        </w:rPr>
        <w:t>”</w:t>
      </w:r>
      <w:r>
        <w:rPr>
          <w:color w:val="000000"/>
          <w:sz w:val="24"/>
          <w:szCs w:val="24"/>
        </w:rPr>
        <w:t>。</w:t>
      </w:r>
    </w:p>
    <w:p w:rsidR="00240BCE" w:rsidRDefault="00AC0334">
      <w:pPr>
        <w:pStyle w:val="18"/>
        <w:ind w:firstLine="480"/>
        <w:rPr>
          <w:sz w:val="24"/>
          <w:szCs w:val="24"/>
        </w:rPr>
      </w:pPr>
      <w:r>
        <w:rPr>
          <w:color w:val="000000"/>
          <w:sz w:val="24"/>
          <w:szCs w:val="24"/>
        </w:rPr>
        <w:t>相符性分析：隆庆煤矿设计开采二</w:t>
      </w:r>
      <w:r>
        <w:rPr>
          <w:color w:val="000000"/>
          <w:sz w:val="24"/>
          <w:szCs w:val="24"/>
          <w:vertAlign w:val="subscript"/>
        </w:rPr>
        <w:t>1</w:t>
      </w:r>
      <w:r>
        <w:rPr>
          <w:color w:val="000000"/>
          <w:sz w:val="24"/>
          <w:szCs w:val="24"/>
        </w:rPr>
        <w:t>煤层，原煤全硫平均含量</w:t>
      </w:r>
      <w:r>
        <w:rPr>
          <w:color w:val="000000"/>
          <w:sz w:val="24"/>
          <w:szCs w:val="24"/>
        </w:rPr>
        <w:t>0.44%</w:t>
      </w:r>
      <w:r>
        <w:rPr>
          <w:color w:val="000000"/>
          <w:sz w:val="24"/>
          <w:szCs w:val="24"/>
        </w:rPr>
        <w:t>，远远低于</w:t>
      </w:r>
      <w:r>
        <w:rPr>
          <w:color w:val="000000"/>
          <w:sz w:val="24"/>
          <w:szCs w:val="24"/>
        </w:rPr>
        <w:t>3</w:t>
      </w:r>
      <w:r>
        <w:rPr>
          <w:color w:val="000000"/>
          <w:sz w:val="24"/>
          <w:szCs w:val="24"/>
        </w:rPr>
        <w:t>﹪，项目建设符合</w:t>
      </w:r>
      <w:r>
        <w:rPr>
          <w:sz w:val="24"/>
          <w:szCs w:val="24"/>
        </w:rPr>
        <w:t>《燃煤二氧化硫排放污染防治技术政策》的相关规定。</w:t>
      </w:r>
    </w:p>
    <w:p w:rsidR="00240BCE" w:rsidRDefault="00AC0334">
      <w:pPr>
        <w:pStyle w:val="18"/>
        <w:ind w:firstLine="480"/>
        <w:rPr>
          <w:sz w:val="24"/>
          <w:szCs w:val="24"/>
        </w:rPr>
      </w:pPr>
      <w:r>
        <w:rPr>
          <w:sz w:val="24"/>
          <w:szCs w:val="24"/>
        </w:rPr>
        <w:t>3</w:t>
      </w:r>
      <w:r>
        <w:rPr>
          <w:sz w:val="24"/>
          <w:szCs w:val="24"/>
        </w:rPr>
        <w:t>、《国务院关于酸雨控制区和二氧化硫污染控制区有关问题的批复》（国函</w:t>
      </w:r>
      <w:r>
        <w:rPr>
          <w:sz w:val="24"/>
          <w:szCs w:val="24"/>
        </w:rPr>
        <w:t xml:space="preserve">[1998]5 </w:t>
      </w:r>
      <w:r>
        <w:rPr>
          <w:sz w:val="24"/>
          <w:szCs w:val="24"/>
        </w:rPr>
        <w:t>号）</w:t>
      </w:r>
    </w:p>
    <w:p w:rsidR="00240BCE" w:rsidRDefault="00AC0334">
      <w:pPr>
        <w:pStyle w:val="18"/>
        <w:ind w:firstLine="480"/>
        <w:rPr>
          <w:sz w:val="24"/>
          <w:szCs w:val="24"/>
        </w:rPr>
      </w:pPr>
      <w:r>
        <w:rPr>
          <w:sz w:val="24"/>
          <w:szCs w:val="24"/>
        </w:rPr>
        <w:t>禁止新建煤层含硫份大于</w:t>
      </w:r>
      <w:r>
        <w:rPr>
          <w:sz w:val="24"/>
          <w:szCs w:val="24"/>
        </w:rPr>
        <w:t xml:space="preserve"> 3%</w:t>
      </w:r>
      <w:r>
        <w:rPr>
          <w:sz w:val="24"/>
          <w:szCs w:val="24"/>
        </w:rPr>
        <w:t>的矿井，建成的生产煤层含硫份大于</w:t>
      </w:r>
      <w:r>
        <w:rPr>
          <w:sz w:val="24"/>
          <w:szCs w:val="24"/>
        </w:rPr>
        <w:t xml:space="preserve"> 3%</w:t>
      </w:r>
      <w:r>
        <w:rPr>
          <w:sz w:val="24"/>
          <w:szCs w:val="24"/>
        </w:rPr>
        <w:t>的矿井，逐步实行限产或关停。新建、改造含硫份大于</w:t>
      </w:r>
      <w:r>
        <w:rPr>
          <w:sz w:val="24"/>
          <w:szCs w:val="24"/>
        </w:rPr>
        <w:t xml:space="preserve"> 1.5%</w:t>
      </w:r>
      <w:r>
        <w:rPr>
          <w:sz w:val="24"/>
          <w:szCs w:val="24"/>
        </w:rPr>
        <w:t>的煤矿，应当配套建设相应规模的煤炭洗选设施。</w:t>
      </w:r>
    </w:p>
    <w:p w:rsidR="00240BCE" w:rsidRDefault="00AC0334">
      <w:pPr>
        <w:pStyle w:val="18"/>
        <w:ind w:firstLine="480"/>
        <w:rPr>
          <w:sz w:val="24"/>
          <w:szCs w:val="24"/>
        </w:rPr>
      </w:pPr>
      <w:r>
        <w:rPr>
          <w:sz w:val="24"/>
          <w:szCs w:val="24"/>
        </w:rPr>
        <w:t>相符性分析：隆庆煤矿设计开采二</w:t>
      </w:r>
      <w:r>
        <w:rPr>
          <w:sz w:val="24"/>
          <w:szCs w:val="24"/>
          <w:vertAlign w:val="subscript"/>
        </w:rPr>
        <w:t>1</w:t>
      </w:r>
      <w:r>
        <w:rPr>
          <w:sz w:val="24"/>
          <w:szCs w:val="24"/>
        </w:rPr>
        <w:t>煤层，原煤全硫平均含量</w:t>
      </w:r>
      <w:r>
        <w:rPr>
          <w:sz w:val="24"/>
          <w:szCs w:val="24"/>
        </w:rPr>
        <w:t>0.44%</w:t>
      </w:r>
      <w:r>
        <w:rPr>
          <w:sz w:val="24"/>
          <w:szCs w:val="24"/>
        </w:rPr>
        <w:t>，远远低于</w:t>
      </w:r>
      <w:r>
        <w:rPr>
          <w:sz w:val="24"/>
          <w:szCs w:val="24"/>
        </w:rPr>
        <w:t>3</w:t>
      </w:r>
      <w:r>
        <w:rPr>
          <w:sz w:val="24"/>
          <w:szCs w:val="24"/>
        </w:rPr>
        <w:t>﹪，项目建设符合《国务院关于酸雨控制区和二氧化硫污染控制区有关问题的批复》要求。</w:t>
      </w:r>
    </w:p>
    <w:p w:rsidR="00240BCE" w:rsidRDefault="00AC0334" w:rsidP="009C5F33">
      <w:pPr>
        <w:adjustRightInd w:val="0"/>
        <w:snapToGrid w:val="0"/>
        <w:spacing w:beforeLines="70" w:afterLines="30"/>
        <w:jc w:val="left"/>
        <w:outlineLvl w:val="2"/>
        <w:rPr>
          <w:rFonts w:eastAsia="楷体"/>
          <w:b/>
          <w:bCs/>
          <w:kern w:val="28"/>
          <w:szCs w:val="28"/>
        </w:rPr>
      </w:pPr>
      <w:r>
        <w:rPr>
          <w:rFonts w:eastAsia="楷体"/>
          <w:b/>
          <w:bCs/>
          <w:kern w:val="28"/>
          <w:szCs w:val="28"/>
        </w:rPr>
        <w:t xml:space="preserve">10.1.3 </w:t>
      </w:r>
      <w:r>
        <w:rPr>
          <w:rFonts w:eastAsia="楷体"/>
          <w:b/>
          <w:bCs/>
          <w:kern w:val="28"/>
          <w:szCs w:val="28"/>
        </w:rPr>
        <w:t>与《河南省部分工业行业淘汰落后的生产工艺装备和产品目录》（豫工信产业</w:t>
      </w:r>
      <w:r>
        <w:rPr>
          <w:rFonts w:eastAsia="楷体"/>
          <w:b/>
          <w:bCs/>
          <w:kern w:val="28"/>
          <w:szCs w:val="28"/>
        </w:rPr>
        <w:t xml:space="preserve">[2019]190 </w:t>
      </w:r>
      <w:r>
        <w:rPr>
          <w:rFonts w:eastAsia="楷体"/>
          <w:b/>
          <w:bCs/>
          <w:kern w:val="28"/>
          <w:szCs w:val="28"/>
        </w:rPr>
        <w:t>号）相符性</w:t>
      </w:r>
    </w:p>
    <w:p w:rsidR="00240BCE" w:rsidRDefault="00AC0334">
      <w:pPr>
        <w:pStyle w:val="18"/>
        <w:ind w:firstLine="480"/>
        <w:rPr>
          <w:sz w:val="24"/>
          <w:szCs w:val="24"/>
        </w:rPr>
      </w:pPr>
      <w:r>
        <w:rPr>
          <w:sz w:val="24"/>
          <w:szCs w:val="24"/>
        </w:rPr>
        <w:t xml:space="preserve">2019 </w:t>
      </w:r>
      <w:r>
        <w:rPr>
          <w:sz w:val="24"/>
          <w:szCs w:val="24"/>
        </w:rPr>
        <w:t>年</w:t>
      </w:r>
      <w:r>
        <w:rPr>
          <w:sz w:val="24"/>
          <w:szCs w:val="24"/>
        </w:rPr>
        <w:t xml:space="preserve"> 8 </w:t>
      </w:r>
      <w:r>
        <w:rPr>
          <w:sz w:val="24"/>
          <w:szCs w:val="24"/>
        </w:rPr>
        <w:t>月</w:t>
      </w:r>
      <w:r>
        <w:rPr>
          <w:sz w:val="24"/>
          <w:szCs w:val="24"/>
        </w:rPr>
        <w:t xml:space="preserve"> 9 </w:t>
      </w:r>
      <w:r>
        <w:rPr>
          <w:sz w:val="24"/>
          <w:szCs w:val="24"/>
        </w:rPr>
        <w:t>日，河南省工业和信息化厅印发《河南省部分工业行业淘汰落后的生产工艺装备和产品目录》（豫工信产业</w:t>
      </w:r>
      <w:r>
        <w:rPr>
          <w:sz w:val="24"/>
          <w:szCs w:val="24"/>
        </w:rPr>
        <w:t xml:space="preserve">[2019]190 </w:t>
      </w:r>
      <w:r>
        <w:rPr>
          <w:sz w:val="24"/>
          <w:szCs w:val="24"/>
        </w:rPr>
        <w:t>号）。经对比分析，本项目不涉及《河南省部分工业行业淘汰落后的生产工艺装备和产品目录》中落后的生产工艺装备和产品，符合相关要求。</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lastRenderedPageBreak/>
        <w:t>综上所述，本项目的建设符合国家相关产业政策。</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84" w:name="_Toc79668746"/>
      <w:bookmarkStart w:id="885" w:name="_Toc81934409"/>
      <w:r>
        <w:rPr>
          <w:rFonts w:ascii="Times New Roman" w:eastAsia="宋体" w:hAnsi="Times New Roman"/>
          <w:bCs/>
          <w:szCs w:val="32"/>
        </w:rPr>
        <w:t>10.2</w:t>
      </w:r>
      <w:r>
        <w:rPr>
          <w:rFonts w:ascii="Times New Roman" w:eastAsia="宋体" w:hAnsi="Times New Roman"/>
          <w:bCs/>
          <w:szCs w:val="32"/>
        </w:rPr>
        <w:t>与《河南省平顶山矿区总体规划》及规划环评的协调性分析</w:t>
      </w:r>
      <w:bookmarkEnd w:id="884"/>
      <w:bookmarkEnd w:id="885"/>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隆庆煤矿位于河南省禹州市鸠山镇，属于平顶山矿区禹州煤田。</w:t>
      </w:r>
      <w:r>
        <w:rPr>
          <w:rFonts w:ascii="Times New Roman" w:hAnsi="Times New Roman"/>
          <w:sz w:val="24"/>
        </w:rPr>
        <w:t>2006</w:t>
      </w:r>
      <w:r>
        <w:rPr>
          <w:rFonts w:ascii="Times New Roman" w:hAnsi="Times New Roman"/>
          <w:sz w:val="24"/>
        </w:rPr>
        <w:t>年中煤国际工程集团武汉设计研究院编制完成了《河南省平顶山矿区总体规划》。</w:t>
      </w:r>
      <w:r>
        <w:rPr>
          <w:rFonts w:ascii="Times New Roman" w:hAnsi="Times New Roman"/>
          <w:sz w:val="24"/>
        </w:rPr>
        <w:t>2007</w:t>
      </w:r>
      <w:r>
        <w:rPr>
          <w:rFonts w:ascii="Times New Roman" w:hAnsi="Times New Roman"/>
          <w:sz w:val="24"/>
        </w:rPr>
        <w:t>年</w:t>
      </w:r>
      <w:r>
        <w:rPr>
          <w:rFonts w:ascii="Times New Roman" w:hAnsi="Times New Roman"/>
          <w:sz w:val="24"/>
        </w:rPr>
        <w:t>9</w:t>
      </w:r>
      <w:r>
        <w:rPr>
          <w:rFonts w:ascii="Times New Roman" w:hAnsi="Times New Roman"/>
          <w:sz w:val="24"/>
        </w:rPr>
        <w:t>月，中国环境科学研究院编制完成了《河南省平顶山矿区总体规划环境影响报告书》，</w:t>
      </w:r>
      <w:r>
        <w:rPr>
          <w:rFonts w:ascii="Times New Roman" w:hAnsi="Times New Roman"/>
          <w:sz w:val="24"/>
        </w:rPr>
        <w:t>2009</w:t>
      </w:r>
      <w:r>
        <w:rPr>
          <w:rFonts w:ascii="Times New Roman" w:hAnsi="Times New Roman"/>
          <w:sz w:val="24"/>
        </w:rPr>
        <w:t>年</w:t>
      </w:r>
      <w:r>
        <w:rPr>
          <w:rFonts w:ascii="Times New Roman" w:hAnsi="Times New Roman"/>
          <w:sz w:val="24"/>
        </w:rPr>
        <w:t>9</w:t>
      </w:r>
      <w:r>
        <w:rPr>
          <w:rFonts w:ascii="Times New Roman" w:hAnsi="Times New Roman"/>
          <w:sz w:val="24"/>
        </w:rPr>
        <w:t>月</w:t>
      </w:r>
      <w:r>
        <w:rPr>
          <w:rFonts w:ascii="Times New Roman" w:hAnsi="Times New Roman"/>
          <w:sz w:val="24"/>
        </w:rPr>
        <w:t>30</w:t>
      </w:r>
      <w:r>
        <w:rPr>
          <w:rFonts w:ascii="Times New Roman" w:hAnsi="Times New Roman"/>
          <w:sz w:val="24"/>
        </w:rPr>
        <w:t>日原中华人民共和国环境保护部（现中华人民共和国生态环境部）以环审</w:t>
      </w:r>
      <w:r>
        <w:rPr>
          <w:rFonts w:ascii="Times New Roman" w:hAnsi="Times New Roman"/>
          <w:sz w:val="24"/>
        </w:rPr>
        <w:t>[2009]464</w:t>
      </w:r>
      <w:r>
        <w:rPr>
          <w:rFonts w:ascii="Times New Roman" w:hAnsi="Times New Roman"/>
          <w:sz w:val="24"/>
        </w:rPr>
        <w:t>号出具了关于河南省平顶山矿区总体规划环境影响报告书的审查意见，具体见附件</w:t>
      </w:r>
      <w:r>
        <w:rPr>
          <w:rFonts w:ascii="Times New Roman" w:hAnsi="Times New Roman"/>
          <w:sz w:val="24"/>
        </w:rPr>
        <w:t>13</w:t>
      </w:r>
      <w:r>
        <w:rPr>
          <w:rFonts w:ascii="Times New Roman" w:hAnsi="Times New Roman"/>
          <w:sz w:val="24"/>
        </w:rPr>
        <w:t>。</w:t>
      </w:r>
    </w:p>
    <w:p w:rsidR="00240BCE" w:rsidRDefault="00AC0334" w:rsidP="009C5F33">
      <w:pPr>
        <w:pStyle w:val="ae"/>
        <w:adjustRightInd w:val="0"/>
        <w:snapToGrid w:val="0"/>
        <w:spacing w:beforeLines="70" w:afterLines="30" w:line="240" w:lineRule="auto"/>
        <w:jc w:val="left"/>
        <w:outlineLvl w:val="2"/>
        <w:rPr>
          <w:rFonts w:ascii="Times New Roman" w:eastAsia="楷体" w:hAnsi="Times New Roman"/>
          <w:b/>
          <w:bCs/>
          <w:szCs w:val="28"/>
        </w:rPr>
      </w:pPr>
      <w:r>
        <w:rPr>
          <w:rFonts w:ascii="Times New Roman" w:eastAsia="楷体" w:hAnsi="Times New Roman"/>
          <w:b/>
          <w:bCs/>
          <w:szCs w:val="28"/>
        </w:rPr>
        <w:t>10.2.1</w:t>
      </w:r>
      <w:r>
        <w:rPr>
          <w:rFonts w:ascii="Times New Roman" w:eastAsia="楷体" w:hAnsi="Times New Roman"/>
          <w:b/>
          <w:bCs/>
          <w:szCs w:val="28"/>
        </w:rPr>
        <w:t>《河南省平顶山矿区总体规划》相关内容摘录</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根据《河南省平顶山矿区总体规划》，河南省平顶山矿区地跨平顶山市、许昌市、洛阳市等</w:t>
      </w:r>
      <w:r>
        <w:rPr>
          <w:rFonts w:ascii="Times New Roman" w:hAnsi="Times New Roman"/>
          <w:sz w:val="24"/>
        </w:rPr>
        <w:t>9</w:t>
      </w:r>
      <w:r>
        <w:rPr>
          <w:rFonts w:ascii="Times New Roman" w:hAnsi="Times New Roman"/>
          <w:sz w:val="24"/>
        </w:rPr>
        <w:t>市（县），总面积约</w:t>
      </w:r>
      <w:r>
        <w:rPr>
          <w:rFonts w:ascii="Times New Roman" w:hAnsi="Times New Roman"/>
          <w:sz w:val="24"/>
        </w:rPr>
        <w:t>10000</w:t>
      </w:r>
      <w:r>
        <w:rPr>
          <w:rFonts w:ascii="Times New Roman" w:hAnsi="Times New Roman"/>
          <w:sz w:val="24"/>
        </w:rPr>
        <w:t>平方公里，本次规划矿井井田面积</w:t>
      </w:r>
      <w:r>
        <w:rPr>
          <w:rFonts w:ascii="Times New Roman" w:hAnsi="Times New Roman"/>
          <w:sz w:val="24"/>
        </w:rPr>
        <w:t>1032</w:t>
      </w:r>
      <w:r>
        <w:rPr>
          <w:rFonts w:ascii="Times New Roman" w:hAnsi="Times New Roman"/>
          <w:sz w:val="24"/>
        </w:rPr>
        <w:t>平方公里，包括平顶山、汝州、禹州煤田，其相关内容摘录如下：</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1</w:t>
      </w:r>
      <w:r>
        <w:rPr>
          <w:rFonts w:ascii="Times New Roman" w:hAnsi="Times New Roman"/>
          <w:sz w:val="24"/>
        </w:rPr>
        <w:t>）矿区煤炭开采现状</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截止</w:t>
      </w:r>
      <w:r>
        <w:rPr>
          <w:rFonts w:ascii="Times New Roman" w:hAnsi="Times New Roman"/>
          <w:sz w:val="24"/>
        </w:rPr>
        <w:t>2005</w:t>
      </w:r>
      <w:r>
        <w:rPr>
          <w:rFonts w:ascii="Times New Roman" w:hAnsi="Times New Roman"/>
          <w:sz w:val="24"/>
        </w:rPr>
        <w:t>年底，隶属平煤集团公司生产矿井</w:t>
      </w:r>
      <w:r>
        <w:rPr>
          <w:rFonts w:ascii="Times New Roman" w:hAnsi="Times New Roman"/>
          <w:sz w:val="24"/>
        </w:rPr>
        <w:t>20</w:t>
      </w:r>
      <w:r>
        <w:rPr>
          <w:rFonts w:ascii="Times New Roman" w:hAnsi="Times New Roman"/>
          <w:sz w:val="24"/>
        </w:rPr>
        <w:t>座，核定能力</w:t>
      </w:r>
      <w:r>
        <w:rPr>
          <w:rFonts w:ascii="Times New Roman" w:hAnsi="Times New Roman"/>
          <w:sz w:val="24"/>
        </w:rPr>
        <w:t>27.94Mt/a</w:t>
      </w:r>
      <w:r>
        <w:rPr>
          <w:rFonts w:ascii="Times New Roman" w:hAnsi="Times New Roman" w:hint="eastAsia"/>
          <w:sz w:val="24"/>
        </w:rPr>
        <w:t>，</w:t>
      </w:r>
      <w:r>
        <w:rPr>
          <w:rFonts w:ascii="Times New Roman" w:hAnsi="Times New Roman"/>
          <w:sz w:val="24"/>
        </w:rPr>
        <w:t>实际产量</w:t>
      </w:r>
      <w:r>
        <w:rPr>
          <w:rFonts w:ascii="Times New Roman" w:hAnsi="Times New Roman"/>
          <w:sz w:val="24"/>
        </w:rPr>
        <w:t>28.30Mt.</w:t>
      </w:r>
      <w:r>
        <w:rPr>
          <w:rFonts w:ascii="Times New Roman" w:hAnsi="Times New Roman"/>
          <w:sz w:val="24"/>
        </w:rPr>
        <w:t>地方国有</w:t>
      </w:r>
      <w:r>
        <w:rPr>
          <w:rFonts w:ascii="Times New Roman" w:hAnsi="Times New Roman"/>
          <w:sz w:val="24"/>
        </w:rPr>
        <w:t>2</w:t>
      </w:r>
      <w:r>
        <w:rPr>
          <w:rFonts w:ascii="Times New Roman" w:hAnsi="Times New Roman"/>
          <w:sz w:val="24"/>
        </w:rPr>
        <w:t>座，生产能力</w:t>
      </w:r>
      <w:r>
        <w:rPr>
          <w:rFonts w:ascii="Times New Roman" w:hAnsi="Times New Roman"/>
          <w:sz w:val="24"/>
        </w:rPr>
        <w:t>0.12Mt/a</w:t>
      </w:r>
      <w:r>
        <w:rPr>
          <w:rFonts w:ascii="Times New Roman" w:hAnsi="Times New Roman"/>
          <w:sz w:val="24"/>
        </w:rPr>
        <w:t>；乡镇煤矿</w:t>
      </w:r>
      <w:r>
        <w:rPr>
          <w:rFonts w:ascii="Times New Roman" w:hAnsi="Times New Roman"/>
          <w:sz w:val="24"/>
        </w:rPr>
        <w:t>117</w:t>
      </w:r>
      <w:r>
        <w:rPr>
          <w:rFonts w:ascii="Times New Roman" w:hAnsi="Times New Roman"/>
          <w:sz w:val="24"/>
        </w:rPr>
        <w:t>座，生产能力约</w:t>
      </w:r>
      <w:r>
        <w:rPr>
          <w:rFonts w:ascii="Times New Roman" w:hAnsi="Times New Roman"/>
          <w:sz w:val="24"/>
        </w:rPr>
        <w:t>7.46Mt/a.</w:t>
      </w:r>
      <w:r>
        <w:rPr>
          <w:rFonts w:ascii="Times New Roman" w:hAnsi="Times New Roman"/>
          <w:sz w:val="24"/>
        </w:rPr>
        <w:t>在建矿井</w:t>
      </w:r>
      <w:r>
        <w:rPr>
          <w:rFonts w:ascii="Times New Roman" w:hAnsi="Times New Roman"/>
          <w:sz w:val="24"/>
        </w:rPr>
        <w:t>1</w:t>
      </w:r>
      <w:r>
        <w:rPr>
          <w:rFonts w:ascii="Times New Roman" w:hAnsi="Times New Roman"/>
          <w:sz w:val="24"/>
        </w:rPr>
        <w:t>处，设计生产能力</w:t>
      </w:r>
      <w:r>
        <w:rPr>
          <w:rFonts w:ascii="Times New Roman" w:hAnsi="Times New Roman"/>
          <w:sz w:val="24"/>
        </w:rPr>
        <w:t>2.40Mt/a</w:t>
      </w:r>
      <w:r>
        <w:rPr>
          <w:rFonts w:ascii="Times New Roman" w:hAnsi="Times New Roman"/>
          <w:sz w:val="24"/>
        </w:rPr>
        <w:t>。</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汝州煤田位于河南省西部汝州市境内，跨越汝阳、郏县和登封等县市部分地区。煤田包括庇山、朝川、梨园、焦姑山和汝阳五个区。汝州煤田的开发起步较晚，截止</w:t>
      </w:r>
      <w:r>
        <w:rPr>
          <w:rFonts w:ascii="Times New Roman" w:hAnsi="Times New Roman"/>
          <w:sz w:val="24"/>
        </w:rPr>
        <w:t>2005</w:t>
      </w:r>
      <w:r>
        <w:rPr>
          <w:rFonts w:ascii="Times New Roman" w:hAnsi="Times New Roman"/>
          <w:sz w:val="24"/>
        </w:rPr>
        <w:t>年末，区内平煤集团公司共有煤矿</w:t>
      </w:r>
      <w:r>
        <w:rPr>
          <w:rFonts w:ascii="Times New Roman" w:hAnsi="Times New Roman"/>
          <w:sz w:val="24"/>
        </w:rPr>
        <w:t>4</w:t>
      </w:r>
      <w:r>
        <w:rPr>
          <w:rFonts w:ascii="Times New Roman" w:hAnsi="Times New Roman"/>
          <w:sz w:val="24"/>
        </w:rPr>
        <w:t>座，核定能力</w:t>
      </w:r>
      <w:r>
        <w:rPr>
          <w:rFonts w:ascii="Times New Roman" w:hAnsi="Times New Roman"/>
          <w:sz w:val="24"/>
        </w:rPr>
        <w:t>1.68Mt/a;</w:t>
      </w:r>
      <w:r>
        <w:rPr>
          <w:rFonts w:ascii="Times New Roman" w:hAnsi="Times New Roman"/>
          <w:sz w:val="24"/>
        </w:rPr>
        <w:t>国有地方</w:t>
      </w:r>
      <w:r>
        <w:rPr>
          <w:rFonts w:ascii="Times New Roman" w:hAnsi="Times New Roman"/>
          <w:sz w:val="24"/>
        </w:rPr>
        <w:t>2</w:t>
      </w:r>
      <w:r>
        <w:rPr>
          <w:rFonts w:ascii="Times New Roman" w:hAnsi="Times New Roman"/>
          <w:sz w:val="24"/>
        </w:rPr>
        <w:t>处，生产能力</w:t>
      </w:r>
      <w:r>
        <w:rPr>
          <w:rFonts w:ascii="Times New Roman" w:hAnsi="Times New Roman"/>
          <w:sz w:val="24"/>
        </w:rPr>
        <w:t>0.24Mt/a</w:t>
      </w:r>
      <w:r>
        <w:rPr>
          <w:rFonts w:ascii="Times New Roman" w:hAnsi="Times New Roman" w:hint="eastAsia"/>
          <w:sz w:val="24"/>
        </w:rPr>
        <w:t>；</w:t>
      </w:r>
      <w:r>
        <w:rPr>
          <w:rFonts w:ascii="Times New Roman" w:hAnsi="Times New Roman"/>
          <w:sz w:val="24"/>
        </w:rPr>
        <w:t>乡镇煤矿</w:t>
      </w:r>
      <w:r>
        <w:rPr>
          <w:rFonts w:ascii="Times New Roman" w:hAnsi="Times New Roman"/>
          <w:sz w:val="24"/>
        </w:rPr>
        <w:t>58</w:t>
      </w:r>
      <w:r>
        <w:rPr>
          <w:rFonts w:ascii="Times New Roman" w:hAnsi="Times New Roman"/>
          <w:sz w:val="24"/>
        </w:rPr>
        <w:t>座，年生产能力约</w:t>
      </w:r>
      <w:r>
        <w:rPr>
          <w:rFonts w:ascii="Times New Roman" w:hAnsi="Times New Roman"/>
          <w:sz w:val="24"/>
        </w:rPr>
        <w:t>3.73Mt/a.</w:t>
      </w:r>
      <w:r>
        <w:rPr>
          <w:rFonts w:ascii="Times New Roman" w:hAnsi="Times New Roman"/>
          <w:sz w:val="24"/>
        </w:rPr>
        <w:t>在建井</w:t>
      </w:r>
      <w:r>
        <w:rPr>
          <w:rFonts w:ascii="Times New Roman" w:hAnsi="Times New Roman"/>
          <w:sz w:val="24"/>
        </w:rPr>
        <w:t>2</w:t>
      </w:r>
      <w:r>
        <w:rPr>
          <w:rFonts w:ascii="Times New Roman" w:hAnsi="Times New Roman"/>
          <w:sz w:val="24"/>
        </w:rPr>
        <w:t>处，设计能力</w:t>
      </w:r>
      <w:r>
        <w:rPr>
          <w:rFonts w:ascii="Times New Roman" w:hAnsi="Times New Roman"/>
          <w:sz w:val="24"/>
        </w:rPr>
        <w:t>1.05Mt/a</w:t>
      </w:r>
      <w:r>
        <w:rPr>
          <w:rFonts w:ascii="Times New Roman" w:hAnsi="Times New Roman" w:hint="eastAsia"/>
          <w:sz w:val="24"/>
        </w:rPr>
        <w:t>。</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禹州煤田共有矿井</w:t>
      </w:r>
      <w:r>
        <w:rPr>
          <w:rFonts w:ascii="Times New Roman" w:hAnsi="Times New Roman"/>
          <w:sz w:val="24"/>
        </w:rPr>
        <w:t>6</w:t>
      </w:r>
      <w:r>
        <w:rPr>
          <w:rFonts w:ascii="Times New Roman" w:hAnsi="Times New Roman"/>
          <w:sz w:val="24"/>
        </w:rPr>
        <w:t>处，核定能力</w:t>
      </w:r>
      <w:r>
        <w:rPr>
          <w:rFonts w:ascii="Times New Roman" w:hAnsi="Times New Roman"/>
          <w:sz w:val="24"/>
        </w:rPr>
        <w:t>2.62Mt/a</w:t>
      </w:r>
      <w:r>
        <w:rPr>
          <w:rFonts w:ascii="Times New Roman" w:hAnsi="Times New Roman" w:hint="eastAsia"/>
          <w:sz w:val="24"/>
        </w:rPr>
        <w:t>；</w:t>
      </w:r>
      <w:r>
        <w:rPr>
          <w:rFonts w:ascii="Times New Roman" w:hAnsi="Times New Roman"/>
          <w:sz w:val="24"/>
        </w:rPr>
        <w:t>国有地方煤矿</w:t>
      </w:r>
      <w:r>
        <w:rPr>
          <w:rFonts w:ascii="Times New Roman" w:hAnsi="Times New Roman"/>
          <w:sz w:val="24"/>
        </w:rPr>
        <w:t>6</w:t>
      </w:r>
      <w:r>
        <w:rPr>
          <w:rFonts w:ascii="Times New Roman" w:hAnsi="Times New Roman"/>
          <w:sz w:val="24"/>
        </w:rPr>
        <w:t>座，生产能力约</w:t>
      </w:r>
      <w:r>
        <w:rPr>
          <w:rFonts w:ascii="Times New Roman" w:hAnsi="Times New Roman"/>
          <w:sz w:val="24"/>
        </w:rPr>
        <w:t>2.62Mt/a</w:t>
      </w:r>
      <w:r>
        <w:rPr>
          <w:rFonts w:ascii="Times New Roman" w:hAnsi="Times New Roman" w:hint="eastAsia"/>
          <w:sz w:val="24"/>
        </w:rPr>
        <w:t>；</w:t>
      </w:r>
      <w:r>
        <w:rPr>
          <w:rFonts w:ascii="Times New Roman" w:hAnsi="Times New Roman"/>
          <w:sz w:val="24"/>
        </w:rPr>
        <w:t>乡镇煤矿</w:t>
      </w:r>
      <w:r>
        <w:rPr>
          <w:rFonts w:ascii="Times New Roman" w:hAnsi="Times New Roman"/>
          <w:sz w:val="24"/>
        </w:rPr>
        <w:t>83</w:t>
      </w:r>
      <w:r>
        <w:rPr>
          <w:rFonts w:ascii="Times New Roman" w:hAnsi="Times New Roman"/>
          <w:sz w:val="24"/>
        </w:rPr>
        <w:t>座，生产能力约</w:t>
      </w:r>
      <w:r>
        <w:rPr>
          <w:rFonts w:ascii="Times New Roman" w:hAnsi="Times New Roman"/>
          <w:sz w:val="24"/>
        </w:rPr>
        <w:t>2.57Mt/a</w:t>
      </w:r>
      <w:r>
        <w:rPr>
          <w:rFonts w:ascii="Times New Roman" w:hAnsi="Times New Roman" w:hint="eastAsia"/>
          <w:sz w:val="24"/>
        </w:rPr>
        <w:t>。</w:t>
      </w:r>
      <w:r>
        <w:rPr>
          <w:rFonts w:ascii="Times New Roman" w:hAnsi="Times New Roman"/>
          <w:sz w:val="24"/>
        </w:rPr>
        <w:t>矿区内平煤集团公司在建矿井</w:t>
      </w:r>
      <w:r>
        <w:rPr>
          <w:rFonts w:ascii="Times New Roman" w:hAnsi="Times New Roman"/>
          <w:sz w:val="24"/>
        </w:rPr>
        <w:t>1</w:t>
      </w:r>
      <w:r>
        <w:rPr>
          <w:rFonts w:ascii="Times New Roman" w:hAnsi="Times New Roman"/>
          <w:sz w:val="24"/>
        </w:rPr>
        <w:lastRenderedPageBreak/>
        <w:t>座，新峰六矿新井设计生产能力</w:t>
      </w:r>
      <w:r>
        <w:rPr>
          <w:rFonts w:ascii="Times New Roman" w:hAnsi="Times New Roman"/>
          <w:sz w:val="24"/>
        </w:rPr>
        <w:t>0.45Mt/a</w:t>
      </w:r>
      <w:r>
        <w:rPr>
          <w:rFonts w:ascii="Times New Roman" w:hAnsi="Times New Roman" w:hint="eastAsia"/>
          <w:sz w:val="24"/>
        </w:rPr>
        <w:t>；</w:t>
      </w:r>
      <w:r>
        <w:rPr>
          <w:rFonts w:ascii="Times New Roman" w:hAnsi="Times New Roman"/>
          <w:sz w:val="24"/>
        </w:rPr>
        <w:t>地方在建矿井</w:t>
      </w:r>
      <w:r>
        <w:rPr>
          <w:rFonts w:ascii="Times New Roman" w:hAnsi="Times New Roman"/>
          <w:sz w:val="24"/>
        </w:rPr>
        <w:t>2</w:t>
      </w:r>
      <w:r>
        <w:rPr>
          <w:rFonts w:ascii="Times New Roman" w:hAnsi="Times New Roman"/>
          <w:sz w:val="24"/>
        </w:rPr>
        <w:t>座，设计生产能力</w:t>
      </w:r>
      <w:r>
        <w:rPr>
          <w:rFonts w:ascii="Times New Roman" w:hAnsi="Times New Roman"/>
          <w:sz w:val="24"/>
        </w:rPr>
        <w:t>1.35Mt/a</w:t>
      </w:r>
      <w:r>
        <w:rPr>
          <w:rFonts w:ascii="Times New Roman" w:hAnsi="Times New Roman" w:hint="eastAsia"/>
          <w:sz w:val="24"/>
        </w:rPr>
        <w:t>。</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）规划名称及范围</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规划名称：河南省平顶山矿区总体规划</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矿区位置及范围：规划区位于河南省西南部，总体规划的范围包括平顶山煤田、禹州煤田、汝州煤田，地跨平顶山市、许昌市等</w:t>
      </w:r>
      <w:r>
        <w:rPr>
          <w:rFonts w:ascii="Times New Roman" w:hAnsi="Times New Roman"/>
          <w:sz w:val="24"/>
        </w:rPr>
        <w:t>9</w:t>
      </w:r>
      <w:r>
        <w:rPr>
          <w:rFonts w:ascii="Times New Roman" w:hAnsi="Times New Roman"/>
          <w:sz w:val="24"/>
        </w:rPr>
        <w:t>县市，所辖矿区面积约</w:t>
      </w:r>
      <w:r>
        <w:rPr>
          <w:rFonts w:ascii="Times New Roman" w:hAnsi="Times New Roman"/>
          <w:sz w:val="24"/>
        </w:rPr>
        <w:t>10000</w:t>
      </w:r>
      <w:r>
        <w:rPr>
          <w:rFonts w:ascii="Times New Roman" w:hAnsi="Times New Roman"/>
          <w:sz w:val="24"/>
        </w:rPr>
        <w:t>平方公里，含煤面积</w:t>
      </w:r>
      <w:r>
        <w:rPr>
          <w:rFonts w:ascii="Times New Roman" w:hAnsi="Times New Roman"/>
          <w:sz w:val="24"/>
        </w:rPr>
        <w:t>2951</w:t>
      </w:r>
      <w:r>
        <w:rPr>
          <w:rFonts w:ascii="Times New Roman" w:hAnsi="Times New Roman"/>
          <w:sz w:val="24"/>
        </w:rPr>
        <w:t>平方公里，其中平顶山煤田（含韩梁煤田）含煤面积约</w:t>
      </w:r>
      <w:r>
        <w:rPr>
          <w:rFonts w:ascii="Times New Roman" w:hAnsi="Times New Roman"/>
          <w:sz w:val="24"/>
        </w:rPr>
        <w:t>1050</w:t>
      </w:r>
      <w:r>
        <w:rPr>
          <w:rFonts w:ascii="Times New Roman" w:hAnsi="Times New Roman"/>
          <w:sz w:val="24"/>
        </w:rPr>
        <w:t>平方公里，汝州煤田含煤面积约</w:t>
      </w:r>
      <w:r>
        <w:rPr>
          <w:rFonts w:ascii="Times New Roman" w:hAnsi="Times New Roman"/>
          <w:sz w:val="24"/>
        </w:rPr>
        <w:t>750</w:t>
      </w:r>
      <w:r>
        <w:rPr>
          <w:rFonts w:ascii="Times New Roman" w:hAnsi="Times New Roman"/>
          <w:sz w:val="24"/>
        </w:rPr>
        <w:t>平方公里，禹州煤田含煤面积约</w:t>
      </w:r>
      <w:r>
        <w:rPr>
          <w:rFonts w:ascii="Times New Roman" w:hAnsi="Times New Roman"/>
          <w:sz w:val="24"/>
        </w:rPr>
        <w:t>1151</w:t>
      </w:r>
      <w:r>
        <w:rPr>
          <w:rFonts w:ascii="Times New Roman" w:hAnsi="Times New Roman"/>
          <w:sz w:val="24"/>
        </w:rPr>
        <w:t>平方公里，煤炭资源约</w:t>
      </w:r>
      <w:r>
        <w:rPr>
          <w:rFonts w:ascii="Times New Roman" w:hAnsi="Times New Roman"/>
          <w:sz w:val="24"/>
        </w:rPr>
        <w:t>157</w:t>
      </w:r>
      <w:r>
        <w:rPr>
          <w:rFonts w:ascii="Times New Roman" w:hAnsi="Times New Roman"/>
          <w:sz w:val="24"/>
        </w:rPr>
        <w:t>亿吨。</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矿区定位：根据平顶山矿区煤种多样性特点，结合矿区内资源条件和国有重点煤炭企业（平煤集团）现有产业发展状况，在做大做强煤炭主业基础上，发展具有煤盐资源优势的煤化工产业，重点延伸和拓宽煤电、煤焦、煤盐化工等三条主导产业链，建立以煤炭加工转化、资源综合利用和矿山环境治理为核心的循环经济体系。</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）矿区规划目标</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煤炭产量目标：规划到</w:t>
      </w:r>
      <w:r>
        <w:rPr>
          <w:rFonts w:ascii="Times New Roman" w:hAnsi="Times New Roman"/>
          <w:sz w:val="24"/>
        </w:rPr>
        <w:t>2020</w:t>
      </w:r>
      <w:r>
        <w:rPr>
          <w:rFonts w:ascii="Times New Roman" w:hAnsi="Times New Roman"/>
          <w:sz w:val="24"/>
        </w:rPr>
        <w:t>年，平顶山煤炭生产能力稳定在</w:t>
      </w:r>
      <w:r>
        <w:rPr>
          <w:rFonts w:ascii="Times New Roman" w:hAnsi="Times New Roman"/>
          <w:sz w:val="24"/>
        </w:rPr>
        <w:t>60Mt</w:t>
      </w:r>
      <w:r>
        <w:rPr>
          <w:rFonts w:ascii="Times New Roman" w:hAnsi="Times New Roman"/>
          <w:sz w:val="24"/>
        </w:rPr>
        <w:t>以上，其中平煤集团稳定在</w:t>
      </w:r>
      <w:r>
        <w:rPr>
          <w:rFonts w:ascii="Times New Roman" w:hAnsi="Times New Roman"/>
          <w:sz w:val="24"/>
        </w:rPr>
        <w:t>55Mt</w:t>
      </w:r>
      <w:r>
        <w:rPr>
          <w:rFonts w:ascii="Times New Roman" w:hAnsi="Times New Roman"/>
          <w:sz w:val="24"/>
        </w:rPr>
        <w:t>。</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生产结构目标：规划到</w:t>
      </w:r>
      <w:r>
        <w:rPr>
          <w:rFonts w:ascii="Times New Roman" w:hAnsi="Times New Roman"/>
          <w:sz w:val="24"/>
        </w:rPr>
        <w:t>2010</w:t>
      </w:r>
      <w:r>
        <w:rPr>
          <w:rFonts w:ascii="Times New Roman" w:hAnsi="Times New Roman"/>
          <w:sz w:val="24"/>
        </w:rPr>
        <w:t>年平顶山矿区的总体产量以大中型煤矿为主，大幅度减少煤炭企业总体数量，特别是乡镇煤矿，提高单井生产能力，规划到</w:t>
      </w:r>
      <w:r>
        <w:rPr>
          <w:rFonts w:ascii="Times New Roman" w:hAnsi="Times New Roman"/>
          <w:sz w:val="24"/>
        </w:rPr>
        <w:t>2010</w:t>
      </w:r>
      <w:r>
        <w:rPr>
          <w:rFonts w:ascii="Times New Roman" w:hAnsi="Times New Roman"/>
          <w:sz w:val="24"/>
        </w:rPr>
        <w:t>年平顶山矿区矿井总数为</w:t>
      </w:r>
      <w:r>
        <w:rPr>
          <w:rFonts w:ascii="Times New Roman" w:hAnsi="Times New Roman"/>
          <w:sz w:val="24"/>
        </w:rPr>
        <w:t>159</w:t>
      </w:r>
      <w:r>
        <w:rPr>
          <w:rFonts w:ascii="Times New Roman" w:hAnsi="Times New Roman"/>
          <w:sz w:val="24"/>
        </w:rPr>
        <w:t>处，到</w:t>
      </w:r>
      <w:r>
        <w:rPr>
          <w:rFonts w:ascii="Times New Roman" w:hAnsi="Times New Roman"/>
          <w:sz w:val="24"/>
        </w:rPr>
        <w:t>2020</w:t>
      </w:r>
      <w:r>
        <w:rPr>
          <w:rFonts w:ascii="Times New Roman" w:hAnsi="Times New Roman"/>
          <w:sz w:val="24"/>
        </w:rPr>
        <w:t>年矿井总数为</w:t>
      </w:r>
      <w:r>
        <w:rPr>
          <w:rFonts w:ascii="Times New Roman" w:hAnsi="Times New Roman"/>
          <w:sz w:val="24"/>
        </w:rPr>
        <w:t>79</w:t>
      </w:r>
      <w:r>
        <w:rPr>
          <w:rFonts w:ascii="Times New Roman" w:hAnsi="Times New Roman"/>
          <w:sz w:val="24"/>
        </w:rPr>
        <w:t>处。</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产品结构目标：规划平顶山矿区到</w:t>
      </w:r>
      <w:r>
        <w:rPr>
          <w:rFonts w:ascii="Times New Roman" w:hAnsi="Times New Roman"/>
          <w:sz w:val="24"/>
        </w:rPr>
        <w:t>2010</w:t>
      </w:r>
      <w:r>
        <w:rPr>
          <w:rFonts w:ascii="Times New Roman" w:hAnsi="Times New Roman"/>
          <w:sz w:val="24"/>
        </w:rPr>
        <w:t>年炼焦精煤产量达到</w:t>
      </w:r>
      <w:r>
        <w:rPr>
          <w:rFonts w:ascii="Times New Roman" w:hAnsi="Times New Roman"/>
          <w:sz w:val="24"/>
        </w:rPr>
        <w:t>12.18Mt/a</w:t>
      </w:r>
      <w:r>
        <w:rPr>
          <w:rFonts w:ascii="Times New Roman" w:hAnsi="Times New Roman"/>
          <w:sz w:val="24"/>
        </w:rPr>
        <w:t>，动力精煤产量达到</w:t>
      </w:r>
      <w:r>
        <w:rPr>
          <w:rFonts w:ascii="Times New Roman" w:hAnsi="Times New Roman"/>
          <w:sz w:val="24"/>
        </w:rPr>
        <w:t>12.47Mt/a</w:t>
      </w:r>
      <w:r>
        <w:rPr>
          <w:rFonts w:ascii="Times New Roman" w:hAnsi="Times New Roman"/>
          <w:sz w:val="24"/>
        </w:rPr>
        <w:t>；规划平顶山矿区到</w:t>
      </w:r>
      <w:r>
        <w:rPr>
          <w:rFonts w:ascii="Times New Roman" w:hAnsi="Times New Roman"/>
          <w:sz w:val="24"/>
        </w:rPr>
        <w:t>2020</w:t>
      </w:r>
      <w:r>
        <w:rPr>
          <w:rFonts w:ascii="Times New Roman" w:hAnsi="Times New Roman"/>
          <w:sz w:val="24"/>
        </w:rPr>
        <w:t>年炼焦精煤产量达到</w:t>
      </w:r>
      <w:r>
        <w:rPr>
          <w:rFonts w:ascii="Times New Roman" w:hAnsi="Times New Roman"/>
          <w:sz w:val="24"/>
        </w:rPr>
        <w:t>13.98Mt/a</w:t>
      </w:r>
      <w:r>
        <w:rPr>
          <w:rFonts w:ascii="Times New Roman" w:hAnsi="Times New Roman"/>
          <w:sz w:val="24"/>
        </w:rPr>
        <w:t>，动力精煤产量达到</w:t>
      </w:r>
      <w:r>
        <w:rPr>
          <w:rFonts w:ascii="Times New Roman" w:hAnsi="Times New Roman"/>
          <w:sz w:val="24"/>
        </w:rPr>
        <w:t>17.19Mt/a</w:t>
      </w:r>
      <w:r>
        <w:rPr>
          <w:rFonts w:ascii="Times New Roman" w:hAnsi="Times New Roman"/>
          <w:sz w:val="24"/>
        </w:rPr>
        <w:t>。</w:t>
      </w:r>
    </w:p>
    <w:p w:rsidR="00240BCE" w:rsidRDefault="00AC0334" w:rsidP="009C5F33">
      <w:pPr>
        <w:pStyle w:val="ae"/>
        <w:adjustRightInd w:val="0"/>
        <w:snapToGrid w:val="0"/>
        <w:spacing w:beforeLines="70" w:afterLines="30" w:line="240" w:lineRule="auto"/>
        <w:jc w:val="left"/>
        <w:outlineLvl w:val="2"/>
        <w:rPr>
          <w:rFonts w:ascii="Times New Roman" w:eastAsia="楷体" w:hAnsi="Times New Roman"/>
          <w:b/>
          <w:bCs/>
          <w:szCs w:val="28"/>
        </w:rPr>
      </w:pPr>
      <w:r>
        <w:rPr>
          <w:rFonts w:ascii="Times New Roman" w:eastAsia="楷体" w:hAnsi="Times New Roman"/>
          <w:b/>
          <w:bCs/>
          <w:szCs w:val="28"/>
        </w:rPr>
        <w:t>10.2.2</w:t>
      </w:r>
      <w:r>
        <w:rPr>
          <w:rFonts w:ascii="Times New Roman" w:eastAsia="楷体" w:hAnsi="Times New Roman"/>
          <w:b/>
          <w:bCs/>
          <w:szCs w:val="28"/>
        </w:rPr>
        <w:t>《河南省平顶山矿区总体规划环境影响报告书》及批复相关内容摘录</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2007</w:t>
      </w:r>
      <w:r>
        <w:rPr>
          <w:rFonts w:ascii="Times New Roman" w:hAnsi="Times New Roman"/>
          <w:sz w:val="24"/>
        </w:rPr>
        <w:t>年</w:t>
      </w:r>
      <w:r>
        <w:rPr>
          <w:rFonts w:ascii="Times New Roman" w:hAnsi="Times New Roman"/>
          <w:sz w:val="24"/>
        </w:rPr>
        <w:t>9</w:t>
      </w:r>
      <w:r>
        <w:rPr>
          <w:rFonts w:ascii="Times New Roman" w:hAnsi="Times New Roman"/>
          <w:sz w:val="24"/>
        </w:rPr>
        <w:t>月，中国环境科学研究院编制完成了《河南省平顶山矿区总体规划环境影响报告书》，</w:t>
      </w:r>
      <w:r>
        <w:rPr>
          <w:rFonts w:ascii="Times New Roman" w:hAnsi="Times New Roman"/>
          <w:sz w:val="24"/>
        </w:rPr>
        <w:t>2009</w:t>
      </w:r>
      <w:r>
        <w:rPr>
          <w:rFonts w:ascii="Times New Roman" w:hAnsi="Times New Roman"/>
          <w:sz w:val="24"/>
        </w:rPr>
        <w:t>年</w:t>
      </w:r>
      <w:r>
        <w:rPr>
          <w:rFonts w:ascii="Times New Roman" w:hAnsi="Times New Roman"/>
          <w:sz w:val="24"/>
        </w:rPr>
        <w:t>9</w:t>
      </w:r>
      <w:r>
        <w:rPr>
          <w:rFonts w:ascii="Times New Roman" w:hAnsi="Times New Roman"/>
          <w:sz w:val="24"/>
        </w:rPr>
        <w:t>月</w:t>
      </w:r>
      <w:r>
        <w:rPr>
          <w:rFonts w:ascii="Times New Roman" w:hAnsi="Times New Roman"/>
          <w:sz w:val="24"/>
        </w:rPr>
        <w:t>30</w:t>
      </w:r>
      <w:r>
        <w:rPr>
          <w:rFonts w:ascii="Times New Roman" w:hAnsi="Times New Roman"/>
          <w:sz w:val="24"/>
        </w:rPr>
        <w:t>日原中华人民共和国环境保护部（现中华人民共和</w:t>
      </w:r>
      <w:r>
        <w:rPr>
          <w:rFonts w:ascii="Times New Roman" w:hAnsi="Times New Roman"/>
          <w:sz w:val="24"/>
        </w:rPr>
        <w:lastRenderedPageBreak/>
        <w:t>国生态环境部）以环审</w:t>
      </w:r>
      <w:r>
        <w:rPr>
          <w:rFonts w:ascii="Times New Roman" w:hAnsi="Times New Roman"/>
          <w:sz w:val="24"/>
        </w:rPr>
        <w:t>[2009]464</w:t>
      </w:r>
      <w:r>
        <w:rPr>
          <w:rFonts w:ascii="Times New Roman" w:hAnsi="Times New Roman"/>
          <w:sz w:val="24"/>
        </w:rPr>
        <w:t>号出具了关于河南省平顶山矿区总体规划环境影响报告书的审查意见，该报告书及批复相关内容摘录如下：</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一、河南省平顶山矿区地跨平顶山市，许昌市、洛阳市等</w:t>
      </w:r>
      <w:r>
        <w:rPr>
          <w:rFonts w:ascii="Times New Roman" w:hAnsi="Times New Roman"/>
          <w:sz w:val="24"/>
        </w:rPr>
        <w:t>9</w:t>
      </w:r>
      <w:r>
        <w:rPr>
          <w:rFonts w:ascii="Times New Roman" w:hAnsi="Times New Roman"/>
          <w:sz w:val="24"/>
        </w:rPr>
        <w:t>市（县），总面积约</w:t>
      </w:r>
      <w:r>
        <w:rPr>
          <w:rFonts w:ascii="Times New Roman" w:hAnsi="Times New Roman"/>
          <w:sz w:val="24"/>
        </w:rPr>
        <w:t>10000</w:t>
      </w:r>
      <w:r>
        <w:rPr>
          <w:rFonts w:ascii="Times New Roman" w:hAnsi="Times New Roman"/>
          <w:sz w:val="24"/>
        </w:rPr>
        <w:t>平方公里，本次规划矿井井田面积</w:t>
      </w:r>
      <w:r>
        <w:rPr>
          <w:rFonts w:ascii="Times New Roman" w:hAnsi="Times New Roman"/>
          <w:sz w:val="24"/>
        </w:rPr>
        <w:t>1032</w:t>
      </w:r>
      <w:r>
        <w:rPr>
          <w:rFonts w:ascii="Times New Roman" w:hAnsi="Times New Roman"/>
          <w:sz w:val="24"/>
        </w:rPr>
        <w:t>平方公里，包括平顶山、禹州、汝州煤田。规划</w:t>
      </w:r>
      <w:r>
        <w:rPr>
          <w:rFonts w:ascii="Times New Roman" w:hAnsi="Times New Roman"/>
          <w:sz w:val="24"/>
        </w:rPr>
        <w:t>2010</w:t>
      </w:r>
      <w:r>
        <w:rPr>
          <w:rFonts w:ascii="Times New Roman" w:hAnsi="Times New Roman"/>
          <w:sz w:val="24"/>
        </w:rPr>
        <w:t>年开发规模</w:t>
      </w:r>
      <w:r>
        <w:rPr>
          <w:rFonts w:ascii="Times New Roman" w:hAnsi="Times New Roman"/>
          <w:sz w:val="24"/>
        </w:rPr>
        <w:t>5345</w:t>
      </w:r>
      <w:r>
        <w:rPr>
          <w:rFonts w:ascii="Times New Roman" w:hAnsi="Times New Roman"/>
          <w:sz w:val="24"/>
        </w:rPr>
        <w:t>万吨／年，</w:t>
      </w:r>
      <w:r>
        <w:rPr>
          <w:rFonts w:ascii="Times New Roman" w:hAnsi="Times New Roman"/>
          <w:sz w:val="24"/>
        </w:rPr>
        <w:t>2020</w:t>
      </w:r>
      <w:r>
        <w:rPr>
          <w:rFonts w:ascii="Times New Roman" w:hAnsi="Times New Roman"/>
          <w:sz w:val="24"/>
        </w:rPr>
        <w:t>年开发规模</w:t>
      </w:r>
      <w:r>
        <w:rPr>
          <w:rFonts w:ascii="Times New Roman" w:hAnsi="Times New Roman"/>
          <w:sz w:val="24"/>
        </w:rPr>
        <w:t>5922</w:t>
      </w:r>
      <w:r>
        <w:rPr>
          <w:rFonts w:ascii="Times New Roman" w:hAnsi="Times New Roman"/>
          <w:sz w:val="24"/>
        </w:rPr>
        <w:t>万吨／年，矿区还规划建设煤炭洗远、供水、供电、供热及资源综合利用等相关项目：</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二、报告书在环境现状调查评价的基础上，识别了规划实施的主要环境影响和资源环境制约因素，预测分析了规划实施可能对区域生态、水环境、环境空气、社会环境以及重要环境公护目标的形响，提出了规划的优化调整建议以及预防或减轻不良环境影响的对策措施，报告书采用的评价方法基本合理，环境影响预测分析基本准确，提出的预防或减轻不良环境影响的对策措施原则可行，评价结论总体可信。</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三、从总体上看，规划基本符合煤炭工业相关</w:t>
      </w:r>
      <w:r>
        <w:rPr>
          <w:rFonts w:ascii="Times New Roman" w:hAnsi="Times New Roman"/>
          <w:sz w:val="24"/>
          <w:szCs w:val="24"/>
        </w:rPr>
        <w:t>产业放策，与有关环境保护规划等基本协调。规划确定的矿区建设规模、开发时</w:t>
      </w:r>
      <w:r>
        <w:rPr>
          <w:rFonts w:ascii="Times New Roman" w:hAnsi="Times New Roman"/>
          <w:sz w:val="24"/>
        </w:rPr>
        <w:t>序、空间布局等基本合理。但是，该矿区涉及到生物多样性保护、</w:t>
      </w:r>
      <w:r>
        <w:rPr>
          <w:rFonts w:ascii="Times New Roman" w:hAnsi="Times New Roman"/>
          <w:sz w:val="24"/>
          <w:szCs w:val="24"/>
        </w:rPr>
        <w:t>生态恢复与水土保持、水源涵养等生态功能区，生态环境较为敏</w:t>
      </w:r>
      <w:r>
        <w:rPr>
          <w:rFonts w:ascii="Times New Roman" w:hAnsi="Times New Roman"/>
          <w:sz w:val="24"/>
        </w:rPr>
        <w:t>感，且规划实施将造成地表破坏，产生生态和水环境等方面的不利影响。因此，应依据报告书和审查小组意见，进一步优化规划方案，全面落实各项环境保护对策与措施，有效预防和减轻规划实施可能带来的不良环境影响。</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四、在规划优化调整和实施过程中应重点做好以下工作</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一）为避免煤炭开采可能产生的不利影响，将矿区内的自然保护区、风景名胜区、森林公园、地质公园、饮用水源保护区、基本农田保护区和城市规划区等环境敏感区设为禁采区；矿区及其周边分布的南水北调中线工程、文物古迹等环境敏感目标，及铁路、公路等重要基础设施应根据相关保护要求留设足够的保护煤柱，确保其不受采煤沉陷影响。</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（二）落实矿区生态环境综合整治的措施与指标，加大生态环境保护与治理投入，重点做好生物多样性保护、基本农田保护、水土流失防治等工作，加强对自然</w:t>
      </w:r>
      <w:r>
        <w:rPr>
          <w:rFonts w:ascii="Times New Roman" w:hAnsi="Times New Roman"/>
          <w:sz w:val="24"/>
        </w:rPr>
        <w:lastRenderedPageBreak/>
        <w:t>保护区、风景名胜区、饮用水源保护区每环境敏感区的保护，矿区沉陷区和排土场的土地复垦率应</w:t>
      </w:r>
      <w:r>
        <w:rPr>
          <w:rFonts w:ascii="Times New Roman" w:hAnsi="Times New Roman"/>
          <w:sz w:val="24"/>
          <w:szCs w:val="24"/>
        </w:rPr>
        <w:t>达到</w:t>
      </w:r>
      <w:r>
        <w:rPr>
          <w:rFonts w:ascii="Times New Roman" w:hAnsi="Times New Roman"/>
          <w:sz w:val="24"/>
          <w:szCs w:val="24"/>
        </w:rPr>
        <w:t>100%</w:t>
      </w:r>
      <w:r>
        <w:rPr>
          <w:rFonts w:ascii="Times New Roman" w:hAnsi="Times New Roman" w:hint="eastAsia"/>
          <w:sz w:val="24"/>
          <w:szCs w:val="24"/>
        </w:rPr>
        <w:t>，</w:t>
      </w:r>
      <w:r>
        <w:rPr>
          <w:rFonts w:ascii="Times New Roman" w:hAnsi="Times New Roman"/>
          <w:sz w:val="24"/>
          <w:szCs w:val="24"/>
        </w:rPr>
        <w:t>排土场植被覆盖度应达到</w:t>
      </w:r>
      <w:r>
        <w:rPr>
          <w:rFonts w:ascii="Times New Roman" w:hAnsi="Times New Roman"/>
          <w:sz w:val="24"/>
          <w:szCs w:val="24"/>
        </w:rPr>
        <w:t>70%</w:t>
      </w:r>
      <w:r>
        <w:rPr>
          <w:rFonts w:ascii="Times New Roman" w:hAnsi="Times New Roman"/>
          <w:sz w:val="24"/>
          <w:szCs w:val="24"/>
        </w:rPr>
        <w:t>以上，沉陷区植被覆盖</w:t>
      </w:r>
      <w:r>
        <w:rPr>
          <w:rFonts w:ascii="Times New Roman" w:hAnsi="Times New Roman"/>
          <w:sz w:val="24"/>
        </w:rPr>
        <w:t>度应达到</w:t>
      </w:r>
      <w:r>
        <w:rPr>
          <w:rFonts w:ascii="Times New Roman" w:hAnsi="Times New Roman"/>
          <w:sz w:val="24"/>
        </w:rPr>
        <w:t>45%</w:t>
      </w:r>
      <w:r>
        <w:rPr>
          <w:rFonts w:ascii="Times New Roman" w:hAnsi="Times New Roman"/>
          <w:sz w:val="24"/>
        </w:rPr>
        <w:t>以上。</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（三）矿区生产用水应避免取用地下水，矿井水和矿区生活污水应全部综合利用。制定固体废物和瓦斯的综合利用规划，矿区生活垃圾应进行集中无害化处理，煤矸石、灰渣、粉煤灰的处置、利用率应达到</w:t>
      </w:r>
      <w:r>
        <w:rPr>
          <w:rFonts w:ascii="Times New Roman" w:hAnsi="Times New Roman"/>
          <w:sz w:val="24"/>
        </w:rPr>
        <w:t>100%.</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（四）火电、煤化工等煤炭转化项目应充分考虑所在区域的可供水资源量和大气污染物排放总量控制要求，结合其他相关产业发展规划进一步进行深入研究论证。</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（五）矿区应建立长期的地表岩移、地下水和生态监测体系，及时解决煤炭开采导致的居民生产、生活用水困难等问题。结合地方城镇建设规划和新农村发展规划，统筹做好受采煤影响居民的搬迁安置工作。</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（六）矿区开发污染物排放总量指标应纳入地方污染物排放总量控制计划。</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（七）在规划实施过程中，</w:t>
      </w:r>
      <w:r>
        <w:rPr>
          <w:rFonts w:ascii="Times New Roman" w:hAnsi="Times New Roman"/>
          <w:sz w:val="24"/>
          <w:szCs w:val="24"/>
        </w:rPr>
        <w:t>每隔五年左右进行一次环境影响跟踪评价。在规划修编时应重新编制环境影响报告书，并按程序报</w:t>
      </w:r>
      <w:r>
        <w:rPr>
          <w:rFonts w:ascii="Times New Roman" w:hAnsi="Times New Roman"/>
          <w:sz w:val="24"/>
        </w:rPr>
        <w:t>批。</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五、规划中所包含的近期（一般为五年内）建设项目，在开展环境影响评价时，环境现状评价内容可以适当简化，但应重点论证项目建设对地下水和生态环境的影响，进一步深化各项环境保护对策与措施。</w:t>
      </w:r>
    </w:p>
    <w:p w:rsidR="00240BCE" w:rsidRDefault="00AC0334">
      <w:pPr>
        <w:pStyle w:val="ae"/>
        <w:rPr>
          <w:rFonts w:ascii="Times New Roman" w:hAnsi="Times New Roman"/>
          <w:b/>
          <w:sz w:val="24"/>
        </w:rPr>
      </w:pPr>
      <w:r>
        <w:rPr>
          <w:rFonts w:ascii="Times New Roman" w:hAnsi="Times New Roman"/>
          <w:b/>
          <w:sz w:val="24"/>
        </w:rPr>
        <w:t>10.2.3</w:t>
      </w:r>
      <w:r>
        <w:rPr>
          <w:rFonts w:ascii="Times New Roman" w:hAnsi="Times New Roman"/>
          <w:b/>
          <w:sz w:val="24"/>
        </w:rPr>
        <w:t>与《河南省平顶山矿区总体规划》及规划环评的协调性分析</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隆庆煤矿前身州市大山煤业有限公司，位于禹州市鸠山镇，原属于平顶山矿区总体规划中禹州煤田中的乡镇煤矿，</w:t>
      </w:r>
      <w:r>
        <w:rPr>
          <w:rFonts w:ascii="Times New Roman" w:hAnsi="Times New Roman"/>
          <w:sz w:val="24"/>
        </w:rPr>
        <w:t>2010</w:t>
      </w:r>
      <w:r>
        <w:rPr>
          <w:rFonts w:ascii="Times New Roman" w:hAnsi="Times New Roman"/>
          <w:sz w:val="24"/>
        </w:rPr>
        <w:t>年资源整合后隶属于神火集团，本次升级改造后生产规模由</w:t>
      </w:r>
      <w:r>
        <w:rPr>
          <w:rFonts w:ascii="Times New Roman" w:hAnsi="Times New Roman"/>
          <w:sz w:val="24"/>
        </w:rPr>
        <w:t>15</w:t>
      </w:r>
      <w:r>
        <w:rPr>
          <w:rFonts w:ascii="Times New Roman" w:hAnsi="Times New Roman"/>
          <w:sz w:val="24"/>
        </w:rPr>
        <w:t>万</w:t>
      </w:r>
      <w:r>
        <w:rPr>
          <w:rFonts w:ascii="Times New Roman" w:hAnsi="Times New Roman"/>
          <w:sz w:val="24"/>
        </w:rPr>
        <w:t>t/a</w:t>
      </w:r>
      <w:r>
        <w:rPr>
          <w:rFonts w:ascii="Times New Roman" w:hAnsi="Times New Roman"/>
          <w:sz w:val="24"/>
        </w:rPr>
        <w:t>提升至</w:t>
      </w:r>
      <w:r>
        <w:rPr>
          <w:rFonts w:ascii="Times New Roman" w:hAnsi="Times New Roman"/>
          <w:sz w:val="24"/>
        </w:rPr>
        <w:t>30</w:t>
      </w:r>
      <w:r>
        <w:rPr>
          <w:rFonts w:ascii="Times New Roman" w:hAnsi="Times New Roman"/>
          <w:sz w:val="24"/>
        </w:rPr>
        <w:t>万</w:t>
      </w:r>
      <w:r>
        <w:rPr>
          <w:rFonts w:ascii="Times New Roman" w:hAnsi="Times New Roman"/>
          <w:sz w:val="24"/>
        </w:rPr>
        <w:t>t/a</w:t>
      </w:r>
      <w:r>
        <w:rPr>
          <w:rFonts w:ascii="Times New Roman" w:hAnsi="Times New Roman" w:hint="eastAsia"/>
          <w:sz w:val="24"/>
        </w:rPr>
        <w:t>，</w:t>
      </w:r>
      <w:r>
        <w:rPr>
          <w:rFonts w:ascii="Times New Roman" w:hAnsi="Times New Roman"/>
          <w:sz w:val="24"/>
        </w:rPr>
        <w:t>符合</w:t>
      </w:r>
      <w:r>
        <w:rPr>
          <w:rFonts w:ascii="Times New Roman" w:hAnsi="Times New Roman"/>
          <w:sz w:val="24"/>
        </w:rPr>
        <w:t>“</w:t>
      </w:r>
      <w:r>
        <w:rPr>
          <w:rFonts w:ascii="Times New Roman" w:hAnsi="Times New Roman"/>
          <w:sz w:val="24"/>
        </w:rPr>
        <w:t>《河南省平顶山矿区总体规划》：规划到</w:t>
      </w:r>
      <w:r>
        <w:rPr>
          <w:rFonts w:ascii="Times New Roman" w:hAnsi="Times New Roman"/>
          <w:sz w:val="24"/>
        </w:rPr>
        <w:t>2010</w:t>
      </w:r>
      <w:r>
        <w:rPr>
          <w:rFonts w:ascii="Times New Roman" w:hAnsi="Times New Roman"/>
          <w:sz w:val="24"/>
        </w:rPr>
        <w:t>年平顶山矿区的总体产量以大中型煤矿为主，大幅度减少煤炭企业总体数量，特别是乡镇煤矿，提高单井生产能力</w:t>
      </w:r>
      <w:r>
        <w:rPr>
          <w:rFonts w:ascii="Times New Roman" w:hAnsi="Times New Roman"/>
          <w:sz w:val="24"/>
        </w:rPr>
        <w:t>”</w:t>
      </w:r>
      <w:r>
        <w:rPr>
          <w:rFonts w:ascii="Times New Roman" w:hAnsi="Times New Roman"/>
          <w:sz w:val="24"/>
        </w:rPr>
        <w:t>的要求，符合《河南省平顶山矿区总体规划》。</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rPr>
        <w:t>本项目设计及环评依据</w:t>
      </w:r>
      <w:r>
        <w:rPr>
          <w:rFonts w:ascii="Times New Roman" w:hAnsi="Times New Roman"/>
          <w:b/>
          <w:sz w:val="24"/>
        </w:rPr>
        <w:t>《河南省平顶山矿区总体规划环境影响报告书》及其审</w:t>
      </w:r>
      <w:r>
        <w:rPr>
          <w:rFonts w:ascii="Times New Roman" w:hAnsi="Times New Roman"/>
          <w:b/>
          <w:sz w:val="24"/>
        </w:rPr>
        <w:lastRenderedPageBreak/>
        <w:t>查意见，并结合最新的环保政策，</w:t>
      </w:r>
      <w:r>
        <w:rPr>
          <w:rFonts w:ascii="Times New Roman" w:hAnsi="Times New Roman"/>
          <w:sz w:val="24"/>
        </w:rPr>
        <w:t>提出有针对性的各项环境保护对策与措施，符合《河南省平顶山矿区总体规划环境影响报告书》及其审查意见的要求。</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86" w:name="_Toc79668747"/>
      <w:bookmarkStart w:id="887" w:name="_Toc81934410"/>
      <w:r>
        <w:rPr>
          <w:rFonts w:ascii="Times New Roman" w:eastAsia="宋体" w:hAnsi="Times New Roman"/>
          <w:bCs/>
          <w:szCs w:val="32"/>
        </w:rPr>
        <w:t>10.3</w:t>
      </w:r>
      <w:r>
        <w:rPr>
          <w:rFonts w:ascii="Times New Roman" w:eastAsia="宋体" w:hAnsi="Times New Roman"/>
          <w:bCs/>
          <w:szCs w:val="32"/>
        </w:rPr>
        <w:t>与相关政策规定的相符性分析</w:t>
      </w:r>
      <w:bookmarkEnd w:id="886"/>
      <w:bookmarkEnd w:id="887"/>
    </w:p>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10.3.1</w:t>
      </w:r>
      <w:r>
        <w:rPr>
          <w:rFonts w:eastAsia="楷体"/>
          <w:b/>
          <w:bCs/>
          <w:szCs w:val="28"/>
        </w:rPr>
        <w:t>与《关于进一步加强煤炭资源开发环境影响评价管理的通知》（环环评</w:t>
      </w:r>
      <w:r>
        <w:rPr>
          <w:rFonts w:eastAsia="楷体"/>
          <w:b/>
          <w:bCs/>
          <w:szCs w:val="28"/>
        </w:rPr>
        <w:t>[2020]63</w:t>
      </w:r>
      <w:r>
        <w:rPr>
          <w:rFonts w:eastAsia="楷体"/>
          <w:b/>
          <w:bCs/>
          <w:szCs w:val="28"/>
        </w:rPr>
        <w:t>号）的相符性</w:t>
      </w:r>
    </w:p>
    <w:p w:rsidR="00240BCE" w:rsidRDefault="00AC0334">
      <w:pPr>
        <w:spacing w:line="480" w:lineRule="exact"/>
        <w:ind w:firstLine="482"/>
        <w:rPr>
          <w:sz w:val="24"/>
        </w:rPr>
      </w:pPr>
      <w:r>
        <w:rPr>
          <w:sz w:val="24"/>
        </w:rPr>
        <w:t>2020</w:t>
      </w:r>
      <w:r>
        <w:rPr>
          <w:sz w:val="24"/>
        </w:rPr>
        <w:t>年</w:t>
      </w:r>
      <w:r>
        <w:rPr>
          <w:sz w:val="24"/>
        </w:rPr>
        <w:t>10</w:t>
      </w:r>
      <w:r>
        <w:rPr>
          <w:sz w:val="24"/>
        </w:rPr>
        <w:t>月</w:t>
      </w:r>
      <w:r>
        <w:rPr>
          <w:sz w:val="24"/>
        </w:rPr>
        <w:t>30</w:t>
      </w:r>
      <w:r>
        <w:rPr>
          <w:sz w:val="24"/>
        </w:rPr>
        <w:t>日生态环境部、国家发展和改革委员会、国家能源局联合下发《关于进一步加强煤炭资源开发环境影响评价管理的通知》（环环评</w:t>
      </w:r>
      <w:r>
        <w:rPr>
          <w:sz w:val="24"/>
        </w:rPr>
        <w:t>[2020]63</w:t>
      </w:r>
      <w:r>
        <w:rPr>
          <w:sz w:val="24"/>
        </w:rPr>
        <w:t>号）。</w:t>
      </w:r>
    </w:p>
    <w:p w:rsidR="00240BCE" w:rsidRDefault="00AC0334">
      <w:pPr>
        <w:spacing w:line="480" w:lineRule="exact"/>
        <w:ind w:firstLine="482"/>
        <w:rPr>
          <w:sz w:val="24"/>
        </w:rPr>
      </w:pPr>
      <w:r>
        <w:rPr>
          <w:sz w:val="24"/>
        </w:rPr>
        <w:t>本项目位于禹州市鸠山镇，属于平顶山矿区禹州煤田。</w:t>
      </w:r>
      <w:r>
        <w:rPr>
          <w:bCs/>
          <w:sz w:val="24"/>
        </w:rPr>
        <w:t>本项目与其中相关内容的对比及相符性分析见表</w:t>
      </w:r>
      <w:r>
        <w:rPr>
          <w:bCs/>
          <w:sz w:val="24"/>
        </w:rPr>
        <w:t>10.3-1</w:t>
      </w:r>
      <w:r>
        <w:rPr>
          <w:bCs/>
          <w:sz w:val="24"/>
        </w:rPr>
        <w:t>。由表</w:t>
      </w:r>
      <w:r>
        <w:rPr>
          <w:bCs/>
          <w:sz w:val="24"/>
        </w:rPr>
        <w:t>10.3-1</w:t>
      </w:r>
      <w:r>
        <w:rPr>
          <w:bCs/>
          <w:sz w:val="24"/>
        </w:rPr>
        <w:t>分析可知，本项目建设符合《关于进一步加强煤炭资源开发环境影响评价管理的通知》（环环评【</w:t>
      </w:r>
      <w:r>
        <w:rPr>
          <w:bCs/>
          <w:sz w:val="24"/>
        </w:rPr>
        <w:t>2020</w:t>
      </w:r>
      <w:r>
        <w:rPr>
          <w:bCs/>
          <w:sz w:val="24"/>
        </w:rPr>
        <w:t>】</w:t>
      </w:r>
      <w:r>
        <w:rPr>
          <w:bCs/>
          <w:sz w:val="24"/>
        </w:rPr>
        <w:t>63</w:t>
      </w:r>
      <w:r>
        <w:rPr>
          <w:bCs/>
          <w:sz w:val="24"/>
        </w:rPr>
        <w:t>号）的相关要求。</w:t>
      </w:r>
      <w:r>
        <w:rPr>
          <w:sz w:val="24"/>
        </w:rPr>
        <w:t>具体见表</w:t>
      </w:r>
      <w:r>
        <w:rPr>
          <w:sz w:val="24"/>
        </w:rPr>
        <w:t>10.3-1</w:t>
      </w:r>
      <w:r>
        <w:rPr>
          <w:sz w:val="24"/>
        </w:rPr>
        <w:t>。</w:t>
      </w:r>
    </w:p>
    <w:p w:rsidR="00240BCE" w:rsidRDefault="00AC0334">
      <w:pPr>
        <w:spacing w:line="520" w:lineRule="exact"/>
        <w:jc w:val="center"/>
        <w:rPr>
          <w:b/>
          <w:sz w:val="24"/>
        </w:rPr>
      </w:pPr>
      <w:r>
        <w:rPr>
          <w:b/>
          <w:sz w:val="24"/>
        </w:rPr>
        <w:t>表</w:t>
      </w:r>
      <w:r>
        <w:rPr>
          <w:b/>
          <w:sz w:val="24"/>
        </w:rPr>
        <w:t xml:space="preserve">10.3-1  </w:t>
      </w:r>
      <w:r>
        <w:rPr>
          <w:b/>
          <w:sz w:val="24"/>
        </w:rPr>
        <w:t>本项目与环环评</w:t>
      </w:r>
      <w:r>
        <w:rPr>
          <w:b/>
          <w:sz w:val="24"/>
        </w:rPr>
        <w:t>[2020]63</w:t>
      </w:r>
      <w:r>
        <w:rPr>
          <w:b/>
          <w:sz w:val="24"/>
        </w:rPr>
        <w:t>号文（摘录）的相符性分析一览表</w:t>
      </w:r>
    </w:p>
    <w:tbl>
      <w:tblPr>
        <w:tblW w:w="9016" w:type="dxa"/>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6427"/>
        <w:gridCol w:w="1851"/>
        <w:gridCol w:w="738"/>
      </w:tblGrid>
      <w:tr w:rsidR="00240BCE">
        <w:tc>
          <w:tcPr>
            <w:tcW w:w="6427" w:type="dxa"/>
            <w:tcBorders>
              <w:top w:val="single" w:sz="12"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b/>
                <w:sz w:val="21"/>
                <w:szCs w:val="21"/>
              </w:rPr>
            </w:pPr>
            <w:r>
              <w:rPr>
                <w:b/>
                <w:sz w:val="21"/>
                <w:szCs w:val="21"/>
              </w:rPr>
              <w:t>技术政策要求</w:t>
            </w:r>
          </w:p>
        </w:tc>
        <w:tc>
          <w:tcPr>
            <w:tcW w:w="1851" w:type="dxa"/>
            <w:tcBorders>
              <w:top w:val="single" w:sz="12" w:space="0" w:color="auto"/>
              <w:left w:val="single" w:sz="4" w:space="0" w:color="auto"/>
              <w:bottom w:val="single" w:sz="4" w:space="0" w:color="auto"/>
              <w:right w:val="single" w:sz="4" w:space="0" w:color="auto"/>
            </w:tcBorders>
            <w:vAlign w:val="center"/>
          </w:tcPr>
          <w:p w:rsidR="00240BCE" w:rsidRDefault="00AC0334">
            <w:pPr>
              <w:spacing w:line="340" w:lineRule="exact"/>
              <w:jc w:val="center"/>
              <w:rPr>
                <w:b/>
                <w:sz w:val="21"/>
                <w:szCs w:val="21"/>
              </w:rPr>
            </w:pPr>
            <w:r>
              <w:rPr>
                <w:b/>
                <w:sz w:val="21"/>
                <w:szCs w:val="21"/>
              </w:rPr>
              <w:t>本项目</w:t>
            </w:r>
          </w:p>
        </w:tc>
        <w:tc>
          <w:tcPr>
            <w:tcW w:w="738" w:type="dxa"/>
            <w:tcBorders>
              <w:top w:val="single" w:sz="12"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b/>
                <w:sz w:val="21"/>
                <w:szCs w:val="21"/>
              </w:rPr>
            </w:pPr>
            <w:r>
              <w:rPr>
                <w:b/>
                <w:sz w:val="21"/>
                <w:szCs w:val="21"/>
              </w:rPr>
              <w:t>相符性</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t>（七）未依法进行环评的煤炭矿区总体规划，不得组织实施；对不符合煤炭矿区总体规划要求的项目，发展改革（能源主管）部门不予核准。生态环境主管部门应将与矿区总体规划及其环评的相符性最为规划所包含项目环评文件审批的重要依据，对不符合要求的，不予审批其项目环评文件。对于符合规划环评结论和审查意见的建设项目，其建设项目环评文件可以依据规划环评审查意见对区域环境质量现状、规划协调性分析等内容适当简化。</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Pr="00CB054E" w:rsidRDefault="00AC0334" w:rsidP="00CB054E">
            <w:pPr>
              <w:spacing w:line="340" w:lineRule="exact"/>
              <w:jc w:val="center"/>
              <w:rPr>
                <w:b/>
                <w:i/>
                <w:sz w:val="21"/>
                <w:szCs w:val="21"/>
                <w:u w:val="single"/>
              </w:rPr>
            </w:pPr>
            <w:r w:rsidRPr="00CB054E">
              <w:rPr>
                <w:sz w:val="21"/>
                <w:szCs w:val="21"/>
              </w:rPr>
              <w:t>项目位于禹州市鸠山镇，属于</w:t>
            </w:r>
            <w:r w:rsidR="00CB054E" w:rsidRPr="00CB054E">
              <w:rPr>
                <w:rFonts w:hint="eastAsia"/>
                <w:sz w:val="21"/>
                <w:szCs w:val="21"/>
              </w:rPr>
              <w:t>平顶山矿区</w:t>
            </w:r>
            <w:r w:rsidRPr="00CB054E">
              <w:rPr>
                <w:sz w:val="21"/>
                <w:szCs w:val="21"/>
              </w:rPr>
              <w:t>禹州煤田，</w:t>
            </w:r>
            <w:r w:rsidR="00CB054E">
              <w:rPr>
                <w:rFonts w:hint="eastAsia"/>
                <w:sz w:val="21"/>
                <w:szCs w:val="21"/>
              </w:rPr>
              <w:t>平顶山矿区</w:t>
            </w:r>
            <w:r w:rsidR="00CB054E">
              <w:rPr>
                <w:rFonts w:hint="eastAsia"/>
                <w:b/>
                <w:i/>
                <w:sz w:val="21"/>
                <w:szCs w:val="21"/>
                <w:u w:val="single"/>
              </w:rPr>
              <w:t>依法进行了矿区总体规划及规划环评，项目建设</w:t>
            </w:r>
            <w:r w:rsidRPr="00CB054E">
              <w:rPr>
                <w:b/>
                <w:i/>
                <w:sz w:val="21"/>
                <w:szCs w:val="21"/>
                <w:u w:val="single"/>
              </w:rPr>
              <w:t>符合河南省平顶山矿区总体规划</w:t>
            </w:r>
            <w:r w:rsidR="00CB054E">
              <w:rPr>
                <w:rFonts w:hint="eastAsia"/>
                <w:b/>
                <w:i/>
                <w:sz w:val="21"/>
                <w:szCs w:val="21"/>
                <w:u w:val="single"/>
              </w:rPr>
              <w:t>要求</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t>（八）符合煤炭矿区总体规划和规划环评的煤炭采选建设项目，应依法编制项目环评文件，在开工建设前取得批复。项目为伴生放射矿的，还应当根据相关文件要求编制辐射环境影响评价专篇，与环评文件同步编制，一同报批。项目环评文件经批准后，在设计、建设等工程中发现项目的性质、规模、地点、采用的生产工艺或者防治污染、防止生态破坏的措施发生重大变动的，建设单位应当在变动实施前，主动重新报批建设项目的环境影响评价文件。各级生态环境主管部门在审批煤炭采选建设项目环评文件时，不得违规设置或保留水土保持、下级生态环境主管部门预审等前置条件，设计生态环境敏感区的，在符合法律法规的前提下，主管部门意见不作为环评审批的前置条件。</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t>项目在开工建设前编制环评文件，本项目铀（钍）系单个核素含量小于</w:t>
            </w:r>
            <w:r>
              <w:rPr>
                <w:sz w:val="21"/>
                <w:szCs w:val="21"/>
              </w:rPr>
              <w:t xml:space="preserve"> 1 </w:t>
            </w:r>
            <w:r>
              <w:rPr>
                <w:sz w:val="21"/>
                <w:szCs w:val="21"/>
              </w:rPr>
              <w:t>贝可</w:t>
            </w:r>
            <w:r>
              <w:rPr>
                <w:sz w:val="21"/>
                <w:szCs w:val="21"/>
              </w:rPr>
              <w:t>/</w:t>
            </w:r>
            <w:r>
              <w:rPr>
                <w:sz w:val="21"/>
                <w:szCs w:val="21"/>
              </w:rPr>
              <w:t>克（</w:t>
            </w:r>
            <w:r>
              <w:rPr>
                <w:sz w:val="21"/>
                <w:szCs w:val="21"/>
              </w:rPr>
              <w:t>Bq/g</w:t>
            </w:r>
            <w:r>
              <w:rPr>
                <w:sz w:val="21"/>
                <w:szCs w:val="21"/>
              </w:rPr>
              <w:t>），不属于伴生放射矿</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rsidP="00CB054E">
            <w:pPr>
              <w:spacing w:line="340" w:lineRule="exact"/>
              <w:jc w:val="center"/>
              <w:rPr>
                <w:sz w:val="21"/>
                <w:szCs w:val="21"/>
              </w:rPr>
            </w:pPr>
            <w:r>
              <w:rPr>
                <w:sz w:val="21"/>
                <w:szCs w:val="21"/>
              </w:rPr>
              <w:t>（九）井工开采地表沉陷的生态环境影响预测，应充分考虑自然生态条</w:t>
            </w:r>
            <w:r>
              <w:rPr>
                <w:sz w:val="21"/>
                <w:szCs w:val="21"/>
              </w:rPr>
              <w:lastRenderedPageBreak/>
              <w:t>件、沉陷影响形式和程度等制定生态重建与恢复方案，确保与周边生态环境相协调。露天开采时应优化采排计划，控制外排土场占地面积，在确保安全生产的前提下，尽快实现内排土。针对排土场平台、边坡和采掘场沿帮、最终采掘坑等制定生态重建与恢复方案。制定矸石周转场地、地面建</w:t>
            </w:r>
            <w:r>
              <w:rPr>
                <w:sz w:val="21"/>
                <w:szCs w:val="21"/>
              </w:rPr>
              <w:t>(</w:t>
            </w:r>
            <w:r>
              <w:rPr>
                <w:sz w:val="21"/>
                <w:szCs w:val="21"/>
              </w:rPr>
              <w:t>构</w:t>
            </w:r>
            <w:r>
              <w:rPr>
                <w:sz w:val="21"/>
                <w:szCs w:val="21"/>
              </w:rPr>
              <w:t>)</w:t>
            </w:r>
            <w:r>
              <w:rPr>
                <w:sz w:val="21"/>
                <w:szCs w:val="21"/>
              </w:rPr>
              <w:t>筑物搬迁迹地等的生态重建与恢复方案。建设单位应严格控制采煤活动</w:t>
            </w:r>
            <w:r w:rsidR="00CB054E">
              <w:rPr>
                <w:rFonts w:hint="eastAsia"/>
                <w:sz w:val="21"/>
                <w:szCs w:val="21"/>
              </w:rPr>
              <w:t>扰动</w:t>
            </w:r>
            <w:r>
              <w:rPr>
                <w:sz w:val="21"/>
                <w:szCs w:val="21"/>
              </w:rPr>
              <w:t>范围</w:t>
            </w:r>
            <w:r>
              <w:rPr>
                <w:rFonts w:hint="eastAsia"/>
                <w:sz w:val="21"/>
                <w:szCs w:val="21"/>
              </w:rPr>
              <w:t>，</w:t>
            </w:r>
            <w:r>
              <w:rPr>
                <w:sz w:val="21"/>
                <w:szCs w:val="21"/>
              </w:rPr>
              <w:t>按照</w:t>
            </w:r>
            <w:r>
              <w:rPr>
                <w:sz w:val="21"/>
                <w:szCs w:val="21"/>
              </w:rPr>
              <w:t>“</w:t>
            </w:r>
            <w:r>
              <w:rPr>
                <w:sz w:val="21"/>
                <w:szCs w:val="21"/>
              </w:rPr>
              <w:t>边开采、边恢复</w:t>
            </w:r>
            <w:r>
              <w:rPr>
                <w:sz w:val="21"/>
                <w:szCs w:val="21"/>
              </w:rPr>
              <w:t>”</w:t>
            </w:r>
            <w:r>
              <w:rPr>
                <w:sz w:val="21"/>
                <w:szCs w:val="21"/>
              </w:rPr>
              <w:t>原则，及时落实各项生态重建与恢复措施，并定期进行效果评估，存在问题的，建设单位应制定科学、可行整改计划并严格实施。</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Default="00AC0334" w:rsidP="00CB054E">
            <w:pPr>
              <w:spacing w:line="340" w:lineRule="exact"/>
              <w:jc w:val="center"/>
              <w:rPr>
                <w:sz w:val="21"/>
                <w:szCs w:val="21"/>
              </w:rPr>
            </w:pPr>
            <w:r>
              <w:rPr>
                <w:sz w:val="21"/>
                <w:szCs w:val="21"/>
              </w:rPr>
              <w:lastRenderedPageBreak/>
              <w:t>本项目采用井工开</w:t>
            </w:r>
            <w:r>
              <w:rPr>
                <w:sz w:val="21"/>
                <w:szCs w:val="21"/>
              </w:rPr>
              <w:lastRenderedPageBreak/>
              <w:t>采，制定了搬迁方案、生态重建与恢复方案等，</w:t>
            </w:r>
            <w:r w:rsidRPr="00CB054E">
              <w:rPr>
                <w:b/>
                <w:i/>
                <w:sz w:val="21"/>
                <w:szCs w:val="21"/>
                <w:u w:val="single"/>
              </w:rPr>
              <w:t>评价制定了</w:t>
            </w:r>
            <w:r w:rsidR="00802A62">
              <w:rPr>
                <w:rFonts w:hint="eastAsia"/>
                <w:b/>
                <w:i/>
                <w:sz w:val="21"/>
                <w:szCs w:val="21"/>
                <w:u w:val="single"/>
              </w:rPr>
              <w:t>储煤库</w:t>
            </w:r>
            <w:r w:rsidR="00CB054E" w:rsidRPr="00CB054E">
              <w:rPr>
                <w:rFonts w:hint="eastAsia"/>
                <w:b/>
                <w:i/>
                <w:sz w:val="21"/>
                <w:szCs w:val="21"/>
                <w:u w:val="single"/>
              </w:rPr>
              <w:t>（含</w:t>
            </w:r>
            <w:r w:rsidR="00CB054E" w:rsidRPr="00CB054E">
              <w:rPr>
                <w:b/>
                <w:i/>
                <w:sz w:val="21"/>
                <w:szCs w:val="21"/>
                <w:u w:val="single"/>
              </w:rPr>
              <w:t>矸石周转场地</w:t>
            </w:r>
            <w:r w:rsidR="00CB054E" w:rsidRPr="00CB054E">
              <w:rPr>
                <w:rFonts w:hint="eastAsia"/>
                <w:b/>
                <w:i/>
                <w:sz w:val="21"/>
                <w:szCs w:val="21"/>
                <w:u w:val="single"/>
              </w:rPr>
              <w:t>）</w:t>
            </w:r>
            <w:r w:rsidRPr="00CB054E">
              <w:rPr>
                <w:b/>
                <w:i/>
                <w:sz w:val="21"/>
                <w:szCs w:val="21"/>
                <w:u w:val="single"/>
              </w:rPr>
              <w:t>、地面建</w:t>
            </w:r>
            <w:r w:rsidRPr="00CB054E">
              <w:rPr>
                <w:b/>
                <w:i/>
                <w:sz w:val="21"/>
                <w:szCs w:val="21"/>
                <w:u w:val="single"/>
              </w:rPr>
              <w:t>(</w:t>
            </w:r>
            <w:r w:rsidRPr="00CB054E">
              <w:rPr>
                <w:b/>
                <w:i/>
                <w:sz w:val="21"/>
                <w:szCs w:val="21"/>
                <w:u w:val="single"/>
              </w:rPr>
              <w:t>构</w:t>
            </w:r>
            <w:r w:rsidRPr="00CB054E">
              <w:rPr>
                <w:b/>
                <w:i/>
                <w:sz w:val="21"/>
                <w:szCs w:val="21"/>
                <w:u w:val="single"/>
              </w:rPr>
              <w:t>)</w:t>
            </w:r>
            <w:r w:rsidRPr="00CB054E">
              <w:rPr>
                <w:b/>
                <w:i/>
                <w:sz w:val="21"/>
                <w:szCs w:val="21"/>
                <w:u w:val="single"/>
              </w:rPr>
              <w:t>筑物搬迁迹地等的生态重建与恢复方案</w:t>
            </w:r>
            <w:r w:rsidR="00CB054E" w:rsidRPr="00CB054E">
              <w:rPr>
                <w:rFonts w:hint="eastAsia"/>
                <w:b/>
                <w:i/>
                <w:sz w:val="21"/>
                <w:szCs w:val="21"/>
                <w:u w:val="single"/>
              </w:rPr>
              <w:t>，评价要求</w:t>
            </w:r>
            <w:r w:rsidR="00CB054E" w:rsidRPr="00CB054E">
              <w:rPr>
                <w:b/>
                <w:i/>
                <w:sz w:val="21"/>
                <w:szCs w:val="21"/>
                <w:u w:val="single"/>
              </w:rPr>
              <w:t>建设单位严格控制</w:t>
            </w:r>
            <w:r w:rsidR="00CB054E">
              <w:rPr>
                <w:rFonts w:hint="eastAsia"/>
                <w:b/>
                <w:i/>
                <w:sz w:val="21"/>
                <w:szCs w:val="21"/>
                <w:u w:val="single"/>
              </w:rPr>
              <w:t>设计开采</w:t>
            </w:r>
            <w:r w:rsidR="00CB054E" w:rsidRPr="00CB054E">
              <w:rPr>
                <w:rFonts w:hint="eastAsia"/>
                <w:b/>
                <w:i/>
                <w:sz w:val="21"/>
                <w:szCs w:val="21"/>
                <w:u w:val="single"/>
              </w:rPr>
              <w:t>，</w:t>
            </w:r>
            <w:r w:rsidR="00CB054E" w:rsidRPr="00CB054E">
              <w:rPr>
                <w:b/>
                <w:i/>
                <w:sz w:val="21"/>
                <w:szCs w:val="21"/>
                <w:u w:val="single"/>
              </w:rPr>
              <w:t>按照</w:t>
            </w:r>
            <w:r w:rsidR="00CB054E" w:rsidRPr="00CB054E">
              <w:rPr>
                <w:b/>
                <w:i/>
                <w:sz w:val="21"/>
                <w:szCs w:val="21"/>
                <w:u w:val="single"/>
              </w:rPr>
              <w:t>“</w:t>
            </w:r>
            <w:r w:rsidR="00CB054E" w:rsidRPr="00CB054E">
              <w:rPr>
                <w:b/>
                <w:i/>
                <w:sz w:val="21"/>
                <w:szCs w:val="21"/>
                <w:u w:val="single"/>
              </w:rPr>
              <w:t>边开采、边恢复</w:t>
            </w:r>
            <w:r w:rsidR="00CB054E" w:rsidRPr="00CB054E">
              <w:rPr>
                <w:b/>
                <w:i/>
                <w:sz w:val="21"/>
                <w:szCs w:val="21"/>
                <w:u w:val="single"/>
              </w:rPr>
              <w:t>”</w:t>
            </w:r>
            <w:r w:rsidR="00CB054E" w:rsidRPr="00CB054E">
              <w:rPr>
                <w:b/>
                <w:i/>
                <w:sz w:val="21"/>
                <w:szCs w:val="21"/>
                <w:u w:val="single"/>
              </w:rPr>
              <w:t>原则，及时落实各项生态重建与恢复措施</w:t>
            </w:r>
            <w:r>
              <w:rPr>
                <w:sz w:val="21"/>
                <w:szCs w:val="21"/>
              </w:rPr>
              <w:t>。</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lastRenderedPageBreak/>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lastRenderedPageBreak/>
              <w:t>（十）井工开采不得破坏具有供水意义含水层结构、污染地下水水质，保护地下水的供水功能和生态功能，必要时应采取保护性开采技术或其他保护措施减缓对地下水环境的影响。污水处理设施等所在区域应采取防渗措施。</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Default="00AC0334" w:rsidP="00CB054E">
            <w:pPr>
              <w:spacing w:line="340" w:lineRule="exact"/>
              <w:jc w:val="center"/>
              <w:rPr>
                <w:sz w:val="21"/>
                <w:szCs w:val="21"/>
              </w:rPr>
            </w:pPr>
            <w:r>
              <w:rPr>
                <w:sz w:val="21"/>
                <w:szCs w:val="21"/>
              </w:rPr>
              <w:t>井工开采不会破坏具有供水意义含水层结构、污染地下水水质</w:t>
            </w:r>
            <w:r w:rsidR="00CB054E">
              <w:rPr>
                <w:rFonts w:hint="eastAsia"/>
                <w:sz w:val="21"/>
                <w:szCs w:val="21"/>
              </w:rPr>
              <w:t>，</w:t>
            </w:r>
            <w:r w:rsidR="00CB054E">
              <w:rPr>
                <w:rFonts w:hint="eastAsia"/>
                <w:b/>
                <w:i/>
                <w:sz w:val="21"/>
                <w:szCs w:val="21"/>
                <w:u w:val="single"/>
              </w:rPr>
              <w:t>且矿井水、地下水处理站、</w:t>
            </w:r>
            <w:r w:rsidR="00802A62">
              <w:rPr>
                <w:rFonts w:hint="eastAsia"/>
                <w:b/>
                <w:i/>
                <w:sz w:val="21"/>
                <w:szCs w:val="21"/>
                <w:u w:val="single"/>
              </w:rPr>
              <w:t>储煤库</w:t>
            </w:r>
            <w:r w:rsidR="00CB054E">
              <w:rPr>
                <w:rFonts w:hint="eastAsia"/>
                <w:b/>
                <w:i/>
                <w:sz w:val="21"/>
                <w:szCs w:val="21"/>
                <w:u w:val="single"/>
              </w:rPr>
              <w:t>等所在区域采取了防渗</w:t>
            </w:r>
            <w:r w:rsidR="00CB054E" w:rsidRPr="00CB054E">
              <w:rPr>
                <w:b/>
                <w:i/>
                <w:sz w:val="21"/>
                <w:szCs w:val="21"/>
                <w:u w:val="single"/>
              </w:rPr>
              <w:t>措施，</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t>（十一）鼓励对煤矸石进行井下充填、发电、生产建筑材料、回收矿产品、制取化工产品、筑路、土地</w:t>
            </w:r>
            <w:r w:rsidR="00A2093C">
              <w:rPr>
                <w:rFonts w:hint="eastAsia"/>
                <w:sz w:val="21"/>
                <w:szCs w:val="21"/>
              </w:rPr>
              <w:t>复垦</w:t>
            </w:r>
            <w:r>
              <w:rPr>
                <w:sz w:val="21"/>
                <w:szCs w:val="21"/>
              </w:rPr>
              <w:t>等多途径综合利用，因地制宜选择合理的综合利用方式，提高煤矸石综合利用率。煤矸石的处置与综合利用应符合国家及行业相关标准规范要求。禁止建设永久性煤矸石堆放场</w:t>
            </w:r>
            <w:r>
              <w:rPr>
                <w:sz w:val="21"/>
                <w:szCs w:val="21"/>
              </w:rPr>
              <w:t>(</w:t>
            </w:r>
            <w:r>
              <w:rPr>
                <w:sz w:val="21"/>
                <w:szCs w:val="21"/>
              </w:rPr>
              <w:t>库</w:t>
            </w:r>
            <w:r>
              <w:rPr>
                <w:sz w:val="21"/>
                <w:szCs w:val="21"/>
              </w:rPr>
              <w:t>)</w:t>
            </w:r>
            <w:r>
              <w:rPr>
                <w:sz w:val="21"/>
                <w:szCs w:val="21"/>
              </w:rPr>
              <w:t>，确需建设临时性堆放场</w:t>
            </w:r>
            <w:r>
              <w:rPr>
                <w:sz w:val="21"/>
                <w:szCs w:val="21"/>
              </w:rPr>
              <w:t>(</w:t>
            </w:r>
            <w:r>
              <w:rPr>
                <w:sz w:val="21"/>
                <w:szCs w:val="21"/>
              </w:rPr>
              <w:t>库</w:t>
            </w:r>
            <w:r>
              <w:rPr>
                <w:sz w:val="21"/>
                <w:szCs w:val="21"/>
              </w:rPr>
              <w:t>)</w:t>
            </w:r>
            <w:r>
              <w:rPr>
                <w:sz w:val="21"/>
                <w:szCs w:val="21"/>
              </w:rPr>
              <w:t>的，其占地规模应当与煤炭生产和洗选加工能力相匹配，原则上占地规模按不超过</w:t>
            </w:r>
            <w:r>
              <w:rPr>
                <w:sz w:val="21"/>
                <w:szCs w:val="21"/>
              </w:rPr>
              <w:t>3</w:t>
            </w:r>
            <w:r>
              <w:rPr>
                <w:sz w:val="21"/>
                <w:szCs w:val="21"/>
              </w:rPr>
              <w:t>年储矸量设计，且必须有后续综合利用方案。</w:t>
            </w:r>
          </w:p>
          <w:p w:rsidR="00240BCE" w:rsidRDefault="00AC0334">
            <w:pPr>
              <w:spacing w:line="340" w:lineRule="exact"/>
              <w:jc w:val="center"/>
              <w:rPr>
                <w:sz w:val="21"/>
                <w:szCs w:val="21"/>
              </w:rPr>
            </w:pPr>
            <w:r>
              <w:rPr>
                <w:sz w:val="21"/>
                <w:szCs w:val="21"/>
              </w:rPr>
              <w:t>提高煤矿瓦斯利用率，控制温室气体排放。高瓦斯、煤与瓦斯突出矿井应配套建设瓦斯抽采与综合利用设施，甲烷体积浓度大于等于</w:t>
            </w:r>
            <w:r>
              <w:rPr>
                <w:sz w:val="21"/>
                <w:szCs w:val="21"/>
              </w:rPr>
              <w:t>8%</w:t>
            </w:r>
            <w:r>
              <w:rPr>
                <w:sz w:val="21"/>
                <w:szCs w:val="21"/>
              </w:rPr>
              <w:t>的抽采瓦斯，在确保安全的前提下，应进行综合利用。鼓励对甲烷体积浓度在</w:t>
            </w:r>
            <w:r>
              <w:rPr>
                <w:sz w:val="21"/>
                <w:szCs w:val="21"/>
              </w:rPr>
              <w:t>2% (</w:t>
            </w:r>
            <w:r>
              <w:rPr>
                <w:sz w:val="21"/>
                <w:szCs w:val="21"/>
              </w:rPr>
              <w:t>含</w:t>
            </w:r>
            <w:r>
              <w:rPr>
                <w:sz w:val="21"/>
                <w:szCs w:val="21"/>
              </w:rPr>
              <w:t>)</w:t>
            </w:r>
            <w:r>
              <w:rPr>
                <w:sz w:val="21"/>
                <w:szCs w:val="21"/>
              </w:rPr>
              <w:t>至</w:t>
            </w:r>
            <w:r>
              <w:rPr>
                <w:sz w:val="21"/>
                <w:szCs w:val="21"/>
              </w:rPr>
              <w:t>8%</w:t>
            </w:r>
            <w:r>
              <w:rPr>
                <w:sz w:val="21"/>
                <w:szCs w:val="21"/>
              </w:rPr>
              <w:t>的抽采瓦斯以及乏风瓦斯，探索开展综合利用。确需排放的，应满足《煤层气</w:t>
            </w:r>
            <w:r>
              <w:rPr>
                <w:sz w:val="21"/>
                <w:szCs w:val="21"/>
              </w:rPr>
              <w:t>(</w:t>
            </w:r>
            <w:r>
              <w:rPr>
                <w:sz w:val="21"/>
                <w:szCs w:val="21"/>
              </w:rPr>
              <w:t>煤矿瓦斯</w:t>
            </w:r>
            <w:r>
              <w:rPr>
                <w:sz w:val="21"/>
                <w:szCs w:val="21"/>
              </w:rPr>
              <w:t>)</w:t>
            </w:r>
            <w:r>
              <w:rPr>
                <w:sz w:val="21"/>
                <w:szCs w:val="21"/>
              </w:rPr>
              <w:t>排放标准</w:t>
            </w:r>
            <w:r>
              <w:rPr>
                <w:sz w:val="21"/>
                <w:szCs w:val="21"/>
              </w:rPr>
              <w:t>(</w:t>
            </w:r>
            <w:r>
              <w:rPr>
                <w:sz w:val="21"/>
                <w:szCs w:val="21"/>
              </w:rPr>
              <w:t>暂行</w:t>
            </w:r>
            <w:r>
              <w:rPr>
                <w:sz w:val="21"/>
                <w:szCs w:val="21"/>
              </w:rPr>
              <w:t xml:space="preserve">) </w:t>
            </w:r>
            <w:r>
              <w:rPr>
                <w:sz w:val="21"/>
                <w:szCs w:val="21"/>
              </w:rPr>
              <w:t>》要求。</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Default="00AC0334" w:rsidP="00C10CEC">
            <w:pPr>
              <w:spacing w:line="340" w:lineRule="exact"/>
              <w:jc w:val="center"/>
              <w:rPr>
                <w:sz w:val="21"/>
                <w:szCs w:val="21"/>
              </w:rPr>
            </w:pPr>
            <w:r>
              <w:rPr>
                <w:sz w:val="21"/>
                <w:szCs w:val="21"/>
              </w:rPr>
              <w:t>本项目煤矸石全部</w:t>
            </w:r>
            <w:r w:rsidR="00C10CEC">
              <w:rPr>
                <w:rFonts w:hint="eastAsia"/>
                <w:sz w:val="21"/>
                <w:szCs w:val="21"/>
              </w:rPr>
              <w:t>外运</w:t>
            </w:r>
            <w:r>
              <w:rPr>
                <w:sz w:val="21"/>
                <w:szCs w:val="21"/>
              </w:rPr>
              <w:t>制砖，综合利用，项目不设</w:t>
            </w:r>
            <w:r w:rsidR="00C10CEC">
              <w:rPr>
                <w:rFonts w:hint="eastAsia"/>
                <w:sz w:val="21"/>
                <w:szCs w:val="21"/>
              </w:rPr>
              <w:t>永久</w:t>
            </w:r>
            <w:r>
              <w:rPr>
                <w:sz w:val="21"/>
                <w:szCs w:val="21"/>
              </w:rPr>
              <w:t>矸石场，</w:t>
            </w:r>
            <w:r w:rsidR="00C10CEC">
              <w:rPr>
                <w:rFonts w:hint="eastAsia"/>
                <w:sz w:val="21"/>
                <w:szCs w:val="21"/>
              </w:rPr>
              <w:t>矸石直接装车外运制砖或在</w:t>
            </w:r>
            <w:r w:rsidR="00802A62">
              <w:rPr>
                <w:rFonts w:hint="eastAsia"/>
                <w:sz w:val="21"/>
                <w:szCs w:val="21"/>
              </w:rPr>
              <w:t>储煤库</w:t>
            </w:r>
            <w:r w:rsidR="00C10CEC">
              <w:rPr>
                <w:rFonts w:hint="eastAsia"/>
                <w:sz w:val="21"/>
                <w:szCs w:val="21"/>
              </w:rPr>
              <w:t>内临时周转后外运制砖</w:t>
            </w:r>
            <w:r>
              <w:rPr>
                <w:sz w:val="21"/>
                <w:szCs w:val="21"/>
              </w:rPr>
              <w:t>；本项目为低瓦斯矿井，不设置瓦斯抽采与综合利用设施</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t>（十二）针对矿井水应当考虑主要污染因子及污染影有特点等，通过优化开采范围和开采方式、采取针对性处理措施等，从源头减少和有效防治高盐、酸性、高氟化物、放射性等矿井水。</w:t>
            </w:r>
          </w:p>
          <w:p w:rsidR="00240BCE" w:rsidRDefault="00AC0334">
            <w:pPr>
              <w:spacing w:line="340" w:lineRule="exact"/>
              <w:jc w:val="center"/>
              <w:rPr>
                <w:sz w:val="21"/>
                <w:szCs w:val="21"/>
              </w:rPr>
            </w:pPr>
            <w:r>
              <w:rPr>
                <w:sz w:val="21"/>
                <w:szCs w:val="21"/>
              </w:rPr>
              <w:t>矿井水应优先用于项目建设及生产，并鼓励多途径利用多余矿井水。可以利用的矿井水未得到合理、充分利用的，不得开采及使用其他地表水和地下水水源作为生产水源，并不得擅自外排。矿</w:t>
            </w:r>
            <w:r>
              <w:rPr>
                <w:rFonts w:hint="eastAsia"/>
                <w:sz w:val="21"/>
                <w:szCs w:val="21"/>
              </w:rPr>
              <w:t>井</w:t>
            </w:r>
            <w:r>
              <w:rPr>
                <w:sz w:val="21"/>
                <w:szCs w:val="21"/>
              </w:rPr>
              <w:t>水在充分利用后仍</w:t>
            </w:r>
            <w:r>
              <w:rPr>
                <w:sz w:val="21"/>
                <w:szCs w:val="21"/>
              </w:rPr>
              <w:lastRenderedPageBreak/>
              <w:t>有剩余且确需外排的，经处理后拟外排的，除应符合相关法律法规政策外，其相关水质因子值还应满足或优于受纳水体环境功能区划规定的地表水环境质量对应值，含盐量不得超过</w:t>
            </w:r>
            <w:r>
              <w:rPr>
                <w:sz w:val="21"/>
                <w:szCs w:val="21"/>
              </w:rPr>
              <w:t>1000</w:t>
            </w:r>
            <w:r>
              <w:rPr>
                <w:sz w:val="21"/>
                <w:szCs w:val="21"/>
              </w:rPr>
              <w:t>毫克</w:t>
            </w:r>
            <w:r>
              <w:rPr>
                <w:sz w:val="21"/>
                <w:szCs w:val="21"/>
              </w:rPr>
              <w:t>/</w:t>
            </w:r>
            <w:r>
              <w:rPr>
                <w:sz w:val="21"/>
                <w:szCs w:val="21"/>
              </w:rPr>
              <w:t>升，且不得影响上下游相关河段水功能需求，安装在线自动监测系统，相关环境数据向社会公开，与相关部门联网，接受监督。依法依规做好关闭矿井封井处置，防治老空水等污染。</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Default="00AC0334" w:rsidP="00C10CEC">
            <w:pPr>
              <w:spacing w:line="340" w:lineRule="exact"/>
              <w:jc w:val="center"/>
              <w:rPr>
                <w:sz w:val="21"/>
                <w:szCs w:val="21"/>
              </w:rPr>
            </w:pPr>
            <w:r>
              <w:rPr>
                <w:sz w:val="21"/>
                <w:szCs w:val="21"/>
              </w:rPr>
              <w:lastRenderedPageBreak/>
              <w:t>本项目矿井水</w:t>
            </w:r>
            <w:r w:rsidR="00C10CEC">
              <w:rPr>
                <w:rFonts w:hint="eastAsia"/>
                <w:sz w:val="21"/>
                <w:szCs w:val="21"/>
              </w:rPr>
              <w:t>不属于</w:t>
            </w:r>
            <w:r w:rsidR="00C10CEC" w:rsidRPr="00C10CEC">
              <w:rPr>
                <w:rFonts w:hint="eastAsia"/>
                <w:b/>
                <w:i/>
                <w:sz w:val="21"/>
                <w:szCs w:val="21"/>
                <w:u w:val="single"/>
              </w:rPr>
              <w:t>高盐、</w:t>
            </w:r>
            <w:r w:rsidR="00C10CEC" w:rsidRPr="00C10CEC">
              <w:rPr>
                <w:b/>
                <w:i/>
                <w:sz w:val="21"/>
                <w:szCs w:val="21"/>
                <w:u w:val="single"/>
              </w:rPr>
              <w:t>酸性、高氟化物、放射性等矿井水</w:t>
            </w:r>
            <w:r w:rsidR="00C10CEC" w:rsidRPr="00C10CEC">
              <w:rPr>
                <w:rFonts w:hint="eastAsia"/>
                <w:b/>
                <w:i/>
                <w:sz w:val="21"/>
                <w:szCs w:val="21"/>
                <w:u w:val="single"/>
              </w:rPr>
              <w:t>，项目矿井水</w:t>
            </w:r>
            <w:r w:rsidRPr="00C10CEC">
              <w:rPr>
                <w:b/>
                <w:i/>
                <w:sz w:val="21"/>
                <w:szCs w:val="21"/>
                <w:u w:val="single"/>
              </w:rPr>
              <w:t>经处理达标后</w:t>
            </w:r>
            <w:r w:rsidR="00C10CEC" w:rsidRPr="00C10CEC">
              <w:rPr>
                <w:rFonts w:hint="eastAsia"/>
                <w:b/>
                <w:i/>
                <w:sz w:val="21"/>
                <w:szCs w:val="21"/>
                <w:u w:val="single"/>
              </w:rPr>
              <w:t>部分</w:t>
            </w:r>
            <w:r w:rsidRPr="00C10CEC">
              <w:rPr>
                <w:b/>
                <w:i/>
                <w:sz w:val="21"/>
                <w:szCs w:val="21"/>
                <w:u w:val="single"/>
              </w:rPr>
              <w:t>综合利用</w:t>
            </w:r>
            <w:r w:rsidR="00C10CEC" w:rsidRPr="00C10CEC">
              <w:rPr>
                <w:rFonts w:hint="eastAsia"/>
                <w:b/>
                <w:i/>
                <w:sz w:val="21"/>
                <w:szCs w:val="21"/>
                <w:u w:val="single"/>
              </w:rPr>
              <w:t>，不能利用的满</w:t>
            </w:r>
            <w:r w:rsidR="00C10CEC" w:rsidRPr="00C10CEC">
              <w:rPr>
                <w:rFonts w:hint="eastAsia"/>
                <w:b/>
                <w:i/>
                <w:sz w:val="21"/>
                <w:szCs w:val="21"/>
                <w:u w:val="single"/>
              </w:rPr>
              <w:lastRenderedPageBreak/>
              <w:t>足地表水环境质量标准</w:t>
            </w:r>
            <w:r w:rsidR="00B95226" w:rsidRPr="00C10CEC">
              <w:rPr>
                <w:b/>
                <w:i/>
                <w:sz w:val="21"/>
                <w:szCs w:val="21"/>
                <w:u w:val="single"/>
              </w:rPr>
              <w:fldChar w:fldCharType="begin"/>
            </w:r>
            <w:r w:rsidR="00C10CEC" w:rsidRPr="00C10CEC">
              <w:rPr>
                <w:b/>
                <w:i/>
                <w:sz w:val="21"/>
                <w:szCs w:val="21"/>
                <w:u w:val="single"/>
              </w:rPr>
              <w:instrText xml:space="preserve"> </w:instrText>
            </w:r>
            <w:r w:rsidR="00C10CEC" w:rsidRPr="00C10CEC">
              <w:rPr>
                <w:rFonts w:hint="eastAsia"/>
                <w:b/>
                <w:i/>
                <w:sz w:val="21"/>
                <w:szCs w:val="21"/>
                <w:u w:val="single"/>
              </w:rPr>
              <w:instrText>= 3 \* ROMAN</w:instrText>
            </w:r>
            <w:r w:rsidR="00C10CEC" w:rsidRPr="00C10CEC">
              <w:rPr>
                <w:b/>
                <w:i/>
                <w:sz w:val="21"/>
                <w:szCs w:val="21"/>
                <w:u w:val="single"/>
              </w:rPr>
              <w:instrText xml:space="preserve"> </w:instrText>
            </w:r>
            <w:r w:rsidR="00B95226" w:rsidRPr="00C10CEC">
              <w:rPr>
                <w:b/>
                <w:i/>
                <w:sz w:val="21"/>
                <w:szCs w:val="21"/>
                <w:u w:val="single"/>
              </w:rPr>
              <w:fldChar w:fldCharType="separate"/>
            </w:r>
            <w:r w:rsidR="00C10CEC" w:rsidRPr="00C10CEC">
              <w:rPr>
                <w:b/>
                <w:i/>
                <w:noProof/>
                <w:sz w:val="21"/>
                <w:szCs w:val="21"/>
                <w:u w:val="single"/>
              </w:rPr>
              <w:t>III</w:t>
            </w:r>
            <w:r w:rsidR="00B95226" w:rsidRPr="00C10CEC">
              <w:rPr>
                <w:b/>
                <w:i/>
                <w:sz w:val="21"/>
                <w:szCs w:val="21"/>
                <w:u w:val="single"/>
              </w:rPr>
              <w:fldChar w:fldCharType="end"/>
            </w:r>
            <w:r w:rsidR="00C10CEC" w:rsidRPr="00C10CEC">
              <w:rPr>
                <w:rFonts w:hint="eastAsia"/>
                <w:b/>
                <w:i/>
                <w:sz w:val="21"/>
                <w:szCs w:val="21"/>
                <w:u w:val="single"/>
              </w:rPr>
              <w:t>类标准后外排至纸坊水库用于生态补水或周边农田灌溉等</w:t>
            </w:r>
            <w:r w:rsidRPr="00C10CEC">
              <w:rPr>
                <w:b/>
                <w:i/>
                <w:sz w:val="21"/>
                <w:szCs w:val="21"/>
                <w:u w:val="single"/>
              </w:rPr>
              <w:t>。</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lastRenderedPageBreak/>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lastRenderedPageBreak/>
              <w:t>（十三）煤炭开采应符合大气污染防治政策。生态保护红线、自然保护地内原则上应依法禁止露天开采，其他生态功能极重要区、生态极敏感区以及国家规定的重要区域等应严格控制露天开采。加强煤炭开采的扬尘污染防治，对露天开采的采掘场、排土场已形成的台阶进行压覆及酒水降尘，对预爆区洒水预湿。煤类、矸石的储存、装卸、输送以及破碎、筛选等产尘环节，应采取有效措落控制扬尘污染，优先采取封闭措施，厂界无组织排放应符合国家和地方相关标准要求；涉及环境敏感区或区域颗粒物超标的，依法采取封闭措施。煤炭企业应针对煤炭运输的扬尘污染提出封闭运输、车辆清洗等防治要求，减少对道路沿线的影响；相关企业应规划建设铁路专用线、码头等，优先采用铁路、水路等方式运输煤炭。</w:t>
            </w:r>
          </w:p>
          <w:p w:rsidR="00240BCE" w:rsidRDefault="00AC0334">
            <w:pPr>
              <w:spacing w:line="340" w:lineRule="exact"/>
              <w:jc w:val="center"/>
              <w:rPr>
                <w:sz w:val="21"/>
                <w:szCs w:val="21"/>
              </w:rPr>
            </w:pPr>
            <w:r>
              <w:rPr>
                <w:sz w:val="21"/>
                <w:szCs w:val="21"/>
              </w:rPr>
              <w:t>新建、改扩建煤矿应配套煤炭洗选设施，有效提高煤炭产品质量，强化洗选过程污染治理。煤炭开采使用的非道路移动机械排放废气应符合国家和地方污染物排放标准要求，鼓励使用新能源非道路移动机械。优先采用余热、依托热源、清洁能源等供热措施，减少大气污染物排放；确需建设燃煤锅炉的，应符合国家和地方大气污染防治要求。加强矸石山管理和综合治理，采取有效措施控制扬尘、自燃等。</w:t>
            </w:r>
          </w:p>
        </w:tc>
        <w:tc>
          <w:tcPr>
            <w:tcW w:w="1851" w:type="dxa"/>
            <w:tcBorders>
              <w:top w:val="single" w:sz="4" w:space="0" w:color="auto"/>
              <w:left w:val="single" w:sz="4" w:space="0" w:color="auto"/>
              <w:bottom w:val="single" w:sz="4" w:space="0" w:color="auto"/>
              <w:right w:val="single" w:sz="4" w:space="0" w:color="auto"/>
            </w:tcBorders>
            <w:vAlign w:val="center"/>
          </w:tcPr>
          <w:p w:rsidR="00C10CEC" w:rsidRDefault="00AC0334" w:rsidP="00C10CEC">
            <w:pPr>
              <w:spacing w:line="340" w:lineRule="exact"/>
              <w:jc w:val="center"/>
              <w:rPr>
                <w:spacing w:val="4"/>
                <w:sz w:val="21"/>
                <w:szCs w:val="21"/>
              </w:rPr>
            </w:pPr>
            <w:r>
              <w:rPr>
                <w:sz w:val="21"/>
                <w:szCs w:val="21"/>
              </w:rPr>
              <w:t>根据分析，</w:t>
            </w:r>
            <w:r w:rsidRPr="00C10CEC">
              <w:rPr>
                <w:b/>
                <w:i/>
                <w:sz w:val="21"/>
                <w:szCs w:val="21"/>
                <w:u w:val="single"/>
              </w:rPr>
              <w:t>项目开采符合大气污染防治政策，</w:t>
            </w:r>
            <w:r>
              <w:rPr>
                <w:sz w:val="21"/>
                <w:szCs w:val="21"/>
              </w:rPr>
              <w:t>产尘节点全部密闭湿法作业，项目矿区范围不在生态保护红线、自然保护地内，煤炭运输地面硬化，运输车辆密闭运输，且设置有车辆冲洗设施</w:t>
            </w:r>
            <w:r w:rsidR="00C10CEC">
              <w:rPr>
                <w:rFonts w:hint="eastAsia"/>
                <w:sz w:val="21"/>
                <w:szCs w:val="21"/>
              </w:rPr>
              <w:t>。</w:t>
            </w:r>
            <w:r w:rsidR="00C10CEC">
              <w:rPr>
                <w:rFonts w:hint="eastAsia"/>
                <w:spacing w:val="4"/>
                <w:sz w:val="21"/>
                <w:szCs w:val="21"/>
              </w:rPr>
              <w:t xml:space="preserve"> </w:t>
            </w:r>
          </w:p>
          <w:p w:rsidR="00C10CEC" w:rsidRPr="00C10CEC" w:rsidRDefault="0093705E" w:rsidP="0023239D">
            <w:pPr>
              <w:spacing w:line="340" w:lineRule="exact"/>
              <w:jc w:val="center"/>
              <w:rPr>
                <w:b/>
                <w:i/>
                <w:sz w:val="21"/>
                <w:szCs w:val="21"/>
                <w:u w:val="single"/>
              </w:rPr>
            </w:pPr>
            <w:r>
              <w:rPr>
                <w:rFonts w:hint="eastAsia"/>
                <w:b/>
                <w:i/>
                <w:sz w:val="21"/>
                <w:szCs w:val="21"/>
                <w:u w:val="single"/>
              </w:rPr>
              <w:t>本</w:t>
            </w:r>
            <w:r w:rsidR="00C10CEC" w:rsidRPr="00C10CEC">
              <w:rPr>
                <w:rFonts w:hint="eastAsia"/>
                <w:b/>
                <w:i/>
                <w:sz w:val="21"/>
                <w:szCs w:val="21"/>
                <w:u w:val="single"/>
              </w:rPr>
              <w:t>项目所产原煤外售</w:t>
            </w:r>
            <w:r>
              <w:rPr>
                <w:rFonts w:hint="eastAsia"/>
                <w:b/>
                <w:i/>
                <w:sz w:val="21"/>
                <w:szCs w:val="21"/>
                <w:u w:val="single"/>
              </w:rPr>
              <w:t>至当地</w:t>
            </w:r>
            <w:r w:rsidR="00C10CEC" w:rsidRPr="00C10CEC">
              <w:rPr>
                <w:rFonts w:hint="eastAsia"/>
                <w:b/>
                <w:i/>
                <w:sz w:val="21"/>
                <w:szCs w:val="21"/>
                <w:u w:val="single"/>
              </w:rPr>
              <w:t>合法的选煤厂洗选</w:t>
            </w:r>
            <w:r w:rsidR="0023239D">
              <w:rPr>
                <w:rFonts w:hint="eastAsia"/>
                <w:b/>
                <w:i/>
                <w:sz w:val="21"/>
                <w:szCs w:val="21"/>
                <w:u w:val="single"/>
              </w:rPr>
              <w:t>，符合《</w:t>
            </w:r>
            <w:r w:rsidR="0023239D" w:rsidRPr="0023239D">
              <w:rPr>
                <w:rFonts w:hint="eastAsia"/>
                <w:b/>
                <w:i/>
                <w:sz w:val="21"/>
                <w:szCs w:val="21"/>
                <w:u w:val="single"/>
              </w:rPr>
              <w:t>河南省发展和改革委员会、河南省能源规划建设局、河南省环境保护厅、河南省国土厅关于加强煤炭洗选加工项目管理有关问题的通知</w:t>
            </w:r>
            <w:r w:rsidR="0023239D">
              <w:rPr>
                <w:rFonts w:hint="eastAsia"/>
                <w:b/>
                <w:i/>
                <w:sz w:val="21"/>
                <w:szCs w:val="21"/>
                <w:u w:val="single"/>
              </w:rPr>
              <w:t>》的要求</w:t>
            </w:r>
            <w:r>
              <w:rPr>
                <w:rFonts w:hint="eastAsia"/>
                <w:b/>
                <w:i/>
                <w:sz w:val="21"/>
                <w:szCs w:val="21"/>
                <w:u w:val="single"/>
              </w:rPr>
              <w:t>。</w:t>
            </w:r>
            <w:r w:rsidR="00C10CEC" w:rsidRPr="00C10CEC">
              <w:rPr>
                <w:b/>
                <w:i/>
                <w:spacing w:val="4"/>
                <w:sz w:val="21"/>
                <w:szCs w:val="21"/>
                <w:u w:val="single"/>
              </w:rPr>
              <w:t>厂区供暖均采用分体空调器，浴室等需要供热区域采用空调源热泵机组提供。</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color w:val="000000"/>
                <w:sz w:val="21"/>
                <w:szCs w:val="21"/>
              </w:rPr>
            </w:pPr>
            <w:r>
              <w:rPr>
                <w:color w:val="000000"/>
                <w:sz w:val="21"/>
                <w:szCs w:val="21"/>
              </w:rPr>
              <w:t>（十四）煤炭采选企业应当依法申请取得排污许可证或进行排污登记。未取得排污许可证也未进行排污登记的，不得排放污染物。</w:t>
            </w:r>
          </w:p>
          <w:p w:rsidR="00240BCE" w:rsidRDefault="00AC0334">
            <w:pPr>
              <w:spacing w:line="340" w:lineRule="exact"/>
              <w:jc w:val="center"/>
              <w:rPr>
                <w:sz w:val="21"/>
                <w:szCs w:val="21"/>
              </w:rPr>
            </w:pPr>
            <w:r>
              <w:rPr>
                <w:color w:val="000000"/>
                <w:sz w:val="21"/>
                <w:szCs w:val="21"/>
              </w:rPr>
              <w:t>改建、扩建和技术改造煤炭采选项目还必须采取措施，治理与该项目有关的原有环境污染和生态破坏。</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t>本项目属于改扩建项目，依法进行</w:t>
            </w:r>
            <w:r>
              <w:rPr>
                <w:rFonts w:hint="eastAsia"/>
                <w:sz w:val="21"/>
                <w:szCs w:val="21"/>
              </w:rPr>
              <w:t>了</w:t>
            </w:r>
            <w:r>
              <w:rPr>
                <w:sz w:val="21"/>
                <w:szCs w:val="21"/>
              </w:rPr>
              <w:t>排污登记，并制定</w:t>
            </w:r>
            <w:r>
              <w:rPr>
                <w:rFonts w:hint="eastAsia"/>
                <w:sz w:val="21"/>
                <w:szCs w:val="21"/>
              </w:rPr>
              <w:t>了</w:t>
            </w:r>
            <w:r>
              <w:rPr>
                <w:sz w:val="21"/>
                <w:szCs w:val="21"/>
              </w:rPr>
              <w:t>措施对原有环境污染和生态破坏进行整治</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pStyle w:val="00"/>
              <w:spacing w:line="300" w:lineRule="exact"/>
              <w:jc w:val="left"/>
              <w:rPr>
                <w:rFonts w:ascii="Times New Roman" w:hAnsi="Times New Roman"/>
                <w:color w:val="000000"/>
              </w:rPr>
            </w:pPr>
            <w:r>
              <w:rPr>
                <w:rFonts w:ascii="Times New Roman" w:hAnsi="Times New Roman"/>
                <w:color w:val="000000"/>
              </w:rPr>
              <w:t>（十六）对存在</w:t>
            </w:r>
            <w:r>
              <w:rPr>
                <w:rFonts w:ascii="Times New Roman" w:hAnsi="Times New Roman"/>
                <w:color w:val="000000"/>
              </w:rPr>
              <w:t>“</w:t>
            </w:r>
            <w:r>
              <w:rPr>
                <w:rFonts w:ascii="Times New Roman" w:hAnsi="Times New Roman"/>
                <w:color w:val="000000"/>
              </w:rPr>
              <w:t>未批先建</w:t>
            </w:r>
            <w:r>
              <w:rPr>
                <w:rFonts w:ascii="Times New Roman" w:hAnsi="Times New Roman"/>
                <w:color w:val="000000"/>
              </w:rPr>
              <w:t>”</w:t>
            </w:r>
            <w:r>
              <w:rPr>
                <w:rFonts w:ascii="Times New Roman" w:hAnsi="Times New Roman"/>
                <w:color w:val="000000"/>
              </w:rPr>
              <w:t>等违法行为的，应严格执行《关于进一步加</w:t>
            </w:r>
            <w:r>
              <w:rPr>
                <w:rFonts w:ascii="Times New Roman" w:hAnsi="Times New Roman"/>
                <w:color w:val="000000"/>
              </w:rPr>
              <w:lastRenderedPageBreak/>
              <w:t>强环境影响评价违法项目责任追究的指导意见》（环办函［</w:t>
            </w:r>
            <w:r>
              <w:rPr>
                <w:rFonts w:ascii="Times New Roman" w:hAnsi="Times New Roman"/>
                <w:color w:val="000000"/>
              </w:rPr>
              <w:t>2015]389</w:t>
            </w:r>
            <w:r>
              <w:rPr>
                <w:rFonts w:ascii="Times New Roman" w:hAnsi="Times New Roman"/>
                <w:color w:val="000000"/>
              </w:rPr>
              <w:t>号）的规定，依法实施行政处罚，追究相关人员责任。有下列情形之一的，生态环境主管部门应对违法行为依法从严处理，可以责令恢复原状：</w:t>
            </w:r>
          </w:p>
          <w:p w:rsidR="00240BCE" w:rsidRDefault="00AC0334">
            <w:pPr>
              <w:pStyle w:val="00"/>
              <w:spacing w:line="300" w:lineRule="exact"/>
              <w:ind w:firstLineChars="200" w:firstLine="420"/>
              <w:jc w:val="left"/>
              <w:rPr>
                <w:rFonts w:ascii="Times New Roman" w:hAnsi="Times New Roman"/>
                <w:color w:val="000000"/>
              </w:rPr>
            </w:pPr>
            <w:r>
              <w:rPr>
                <w:rFonts w:ascii="Times New Roman" w:hAnsi="Times New Roman"/>
                <w:color w:val="000000"/>
              </w:rPr>
              <w:t>1.</w:t>
            </w:r>
            <w:r>
              <w:rPr>
                <w:rFonts w:ascii="Times New Roman" w:hAnsi="Times New Roman"/>
                <w:color w:val="000000"/>
              </w:rPr>
              <w:t>环评文件未经批准或重大变动未经环评审批建设项目已基本建成或投入运行的；</w:t>
            </w:r>
          </w:p>
          <w:p w:rsidR="00240BCE" w:rsidRDefault="00AC0334">
            <w:pPr>
              <w:pStyle w:val="00"/>
              <w:spacing w:line="300" w:lineRule="exact"/>
              <w:ind w:firstLineChars="200" w:firstLine="420"/>
              <w:jc w:val="left"/>
              <w:rPr>
                <w:rFonts w:ascii="Times New Roman" w:hAnsi="Times New Roman"/>
                <w:color w:val="000000"/>
              </w:rPr>
            </w:pPr>
            <w:r>
              <w:rPr>
                <w:rFonts w:ascii="Times New Roman" w:hAnsi="Times New Roman"/>
                <w:color w:val="000000"/>
              </w:rPr>
              <w:t>2.</w:t>
            </w:r>
            <w:r>
              <w:rPr>
                <w:rFonts w:ascii="Times New Roman" w:hAnsi="Times New Roman"/>
                <w:color w:val="000000"/>
              </w:rPr>
              <w:t>环评文件未经批准或重大变动未经环评审批在生态保护红线、自然保护地、饮用水水源保护区内开工建设的；</w:t>
            </w:r>
          </w:p>
          <w:p w:rsidR="00240BCE" w:rsidRDefault="00AC0334">
            <w:pPr>
              <w:pStyle w:val="00"/>
              <w:spacing w:line="300" w:lineRule="exact"/>
              <w:ind w:firstLineChars="200" w:firstLine="420"/>
              <w:jc w:val="left"/>
              <w:rPr>
                <w:rFonts w:ascii="Times New Roman" w:hAnsi="Times New Roman"/>
              </w:rPr>
            </w:pPr>
            <w:r>
              <w:rPr>
                <w:rFonts w:ascii="Times New Roman" w:hAnsi="Times New Roman"/>
                <w:color w:val="000000"/>
              </w:rPr>
              <w:t>3.</w:t>
            </w:r>
            <w:r>
              <w:rPr>
                <w:rFonts w:ascii="Times New Roman" w:hAnsi="Times New Roman"/>
                <w:color w:val="000000"/>
              </w:rPr>
              <w:t>环评文件未经批准或重大变动未经环评审批擅自开工建设造成了重大环境污染或严重生态破坏事件的。</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Pr="00C10CEC" w:rsidRDefault="00AC0334" w:rsidP="00C10CEC">
            <w:pPr>
              <w:pStyle w:val="00"/>
              <w:spacing w:line="300" w:lineRule="exact"/>
              <w:rPr>
                <w:rFonts w:ascii="Times New Roman" w:hAnsi="Times New Roman"/>
                <w:b/>
                <w:i/>
                <w:u w:val="single"/>
              </w:rPr>
            </w:pPr>
            <w:r w:rsidRPr="00C10CEC">
              <w:rPr>
                <w:rFonts w:ascii="Times New Roman" w:hAnsi="Times New Roman"/>
                <w:b/>
                <w:i/>
                <w:u w:val="single"/>
              </w:rPr>
              <w:lastRenderedPageBreak/>
              <w:t>本项目</w:t>
            </w:r>
            <w:r w:rsidR="00C10CEC" w:rsidRPr="00C10CEC">
              <w:rPr>
                <w:rFonts w:ascii="Times New Roman" w:hAnsi="Times New Roman" w:hint="eastAsia"/>
                <w:b/>
                <w:i/>
                <w:u w:val="single"/>
              </w:rPr>
              <w:t>升级改造前</w:t>
            </w:r>
            <w:r w:rsidR="00C10CEC" w:rsidRPr="00C10CEC">
              <w:rPr>
                <w:rFonts w:ascii="Times New Roman" w:hAnsi="Times New Roman" w:hint="eastAsia"/>
                <w:b/>
                <w:i/>
                <w:u w:val="single"/>
              </w:rPr>
              <w:lastRenderedPageBreak/>
              <w:t>依法履行环评手续并取得环评批复，本次升级改造尚未进行，并按照规定编制环评文件，</w:t>
            </w:r>
            <w:r w:rsidRPr="00C10CEC">
              <w:rPr>
                <w:rFonts w:ascii="Times New Roman" w:hAnsi="Times New Roman"/>
                <w:b/>
                <w:i/>
                <w:u w:val="single"/>
              </w:rPr>
              <w:t>不存在未批先建等违法行为</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lastRenderedPageBreak/>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lastRenderedPageBreak/>
              <w:t>（十七）严格落实《关于加强</w:t>
            </w:r>
            <w:r>
              <w:rPr>
                <w:rFonts w:ascii="Times New Roman" w:hAnsi="Times New Roman"/>
              </w:rPr>
              <w:t>“</w:t>
            </w:r>
            <w:r>
              <w:rPr>
                <w:rFonts w:ascii="Times New Roman" w:hAnsi="Times New Roman"/>
              </w:rPr>
              <w:t>未批先建</w:t>
            </w:r>
            <w:r>
              <w:rPr>
                <w:rFonts w:ascii="Times New Roman" w:hAnsi="Times New Roman"/>
              </w:rPr>
              <w:t>”</w:t>
            </w:r>
            <w:r>
              <w:rPr>
                <w:rFonts w:ascii="Times New Roman" w:hAnsi="Times New Roman"/>
              </w:rPr>
              <w:t>建设项目环境影响评价管理工作的指导意见》（环办环评［</w:t>
            </w:r>
            <w:r>
              <w:rPr>
                <w:rFonts w:ascii="Times New Roman" w:hAnsi="Times New Roman"/>
              </w:rPr>
              <w:t>2018]18</w:t>
            </w:r>
            <w:r>
              <w:rPr>
                <w:rFonts w:ascii="Times New Roman" w:hAnsi="Times New Roman"/>
              </w:rPr>
              <w:t>号）要求，存在</w:t>
            </w:r>
            <w:r>
              <w:rPr>
                <w:rFonts w:ascii="Times New Roman" w:hAnsi="Times New Roman"/>
              </w:rPr>
              <w:t>“</w:t>
            </w:r>
            <w:r>
              <w:rPr>
                <w:rFonts w:ascii="Times New Roman" w:hAnsi="Times New Roman"/>
              </w:rPr>
              <w:t>未批先建</w:t>
            </w:r>
            <w:r>
              <w:rPr>
                <w:rFonts w:ascii="Times New Roman" w:hAnsi="Times New Roman"/>
              </w:rPr>
              <w:t>”</w:t>
            </w:r>
            <w:r>
              <w:rPr>
                <w:rFonts w:ascii="Times New Roman" w:hAnsi="Times New Roman"/>
              </w:rPr>
              <w:t>违法行为的项目，建设单位主动报批环境影响报告书（表）的，有审批权的生态环境主管部门应根据技术评估和审查结论分别作出相应处理：对符合环评审批要求的，依法作出批准决定，并出具审批文件；对存在《建设项目环境保护管理条例》第十一条所列情形之一的，生态环境主管部门依法不予批准该项目环境影响报告书（表），并可以依法责令恢复原状。存在</w:t>
            </w:r>
            <w:r>
              <w:rPr>
                <w:rFonts w:ascii="Times New Roman" w:hAnsi="Times New Roman"/>
              </w:rPr>
              <w:t>“</w:t>
            </w:r>
            <w:r>
              <w:rPr>
                <w:rFonts w:ascii="Times New Roman" w:hAnsi="Times New Roman"/>
              </w:rPr>
              <w:t>未批先建</w:t>
            </w:r>
            <w:r>
              <w:rPr>
                <w:rFonts w:ascii="Times New Roman" w:hAnsi="Times New Roman"/>
              </w:rPr>
              <w:t>”</w:t>
            </w:r>
            <w:r>
              <w:rPr>
                <w:rFonts w:ascii="Times New Roman" w:hAnsi="Times New Roman"/>
              </w:rPr>
              <w:t>违法行为的项目，在其环评文件中，应对违法建设过程中造成的环境影响及存在的主要环境问题进行分析，提出具体的整改方案，明确责任人、投资来源和完成时限。</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不涉及</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十八）本通知印发后，因合法生产煤矿生产能力变化导致出现第（五）条第一款规定情形的，负责编制规划的发展改革（能源主管）部门应履行规划和规划环评手续，相关部门和企业应将规划环评结论作为项目环评的重要依据。单个煤矿生产能力较原建设项目环评批复增加</w:t>
            </w:r>
            <w:r>
              <w:rPr>
                <w:rFonts w:ascii="Times New Roman" w:hAnsi="Times New Roman"/>
              </w:rPr>
              <w:t>30%</w:t>
            </w:r>
            <w:r>
              <w:rPr>
                <w:rFonts w:ascii="Times New Roman" w:hAnsi="Times New Roman"/>
              </w:rPr>
              <w:t>及以上的，应依法重新开展环评；原环评文件设计生产能力增加</w:t>
            </w:r>
            <w:r>
              <w:rPr>
                <w:rFonts w:ascii="Times New Roman" w:hAnsi="Times New Roman"/>
              </w:rPr>
              <w:t>30%</w:t>
            </w:r>
            <w:r>
              <w:rPr>
                <w:rFonts w:ascii="Times New Roman" w:hAnsi="Times New Roman"/>
              </w:rPr>
              <w:t>以下的，依法开展环境影响后评价，报生态环境主管部门备案。未按上述规定完成环评手续的，煤矿不得按照核定变化后的产能组织生产。各级发展改革（能源主管）部门应在环评手续完成后公告煤矿产能变化情况。本通知印发前，相关煤矿项目生产能力与环评文件不一致等历史遗留问题，由国家发展改革委、生态环境部和国家能源局等相关部门另行组织研究解决，推进行业健康持续绿色发展。（十九）地方生态环境主管部门在日常工作中发现的煤炭资源开发相关规划和项目环评违法情况多发且问题突出的，应主动向省级及以上生态环境主管部门报告，收到报告的生态环境主管部门可以采用函告、约谈等措施督促有关地方政府和煤炭企业限期整改，涉及违法的依法查处，整改不到位的纳入生态环境保护督察范畴。四、依法加强事中事后监管（二十）各级生态环境主管部门应加强煤炭采选规划、建设、运营环境监督检查，采取</w:t>
            </w:r>
            <w:r>
              <w:rPr>
                <w:rFonts w:ascii="Times New Roman" w:hAnsi="Times New Roman"/>
              </w:rPr>
              <w:t>“</w:t>
            </w:r>
            <w:r>
              <w:rPr>
                <w:rFonts w:ascii="Times New Roman" w:hAnsi="Times New Roman"/>
              </w:rPr>
              <w:t>双随机、一公开</w:t>
            </w:r>
            <w:r>
              <w:rPr>
                <w:rFonts w:ascii="Times New Roman" w:hAnsi="Times New Roman"/>
              </w:rPr>
              <w:t>”</w:t>
            </w:r>
            <w:r>
              <w:rPr>
                <w:rFonts w:ascii="Times New Roman" w:hAnsi="Times New Roman"/>
              </w:rPr>
              <w:t>方式加强执法，严格依法纠正和查处违法违规行为，对典型案例进行公开曝光。严格落实《关于严惩弄虚作假提高环评质量的意见＞（环环评［</w:t>
            </w:r>
            <w:r>
              <w:rPr>
                <w:rFonts w:ascii="Times New Roman" w:hAnsi="Times New Roman"/>
              </w:rPr>
              <w:t>2020]48</w:t>
            </w:r>
            <w:r>
              <w:rPr>
                <w:rFonts w:ascii="Times New Roman" w:hAnsi="Times New Roman"/>
              </w:rPr>
              <w:t>号），压实主体责任，严厉打击环评弄虚作假行为，加强环评溯源和责任追究。在环评文件复核中，加强生态保护与恢复措施、污染防治措施、煤矸石和瓦斯综合利用措施等技术校核，发现问题依法查处，并督促相关责任方及时整改。</w:t>
            </w:r>
            <w:r>
              <w:rPr>
                <w:rFonts w:ascii="Times New Roman" w:hAnsi="Times New Roman"/>
              </w:rPr>
              <w:t xml:space="preserve"> </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不涉及</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t>（二十三）建设单位应按照标准规范要求开展地下水、生态等环境要素</w:t>
            </w:r>
            <w:r>
              <w:rPr>
                <w:sz w:val="21"/>
                <w:szCs w:val="21"/>
              </w:rPr>
              <w:lastRenderedPageBreak/>
              <w:t>长期跟踪监测，做好井工开采地表沉陷跟踪观测工作；为伴生放射性矿的，应重视对辐射环境质量的监测。对具有供水意义浅层地下水存在影响的还应开展导水裂缝带发育高度监测，如发生导入有供水意义浅层地下水含水层的现象，应及时提出相关补救措。根据生态变化情况，实施必要的工程优化和生态恢复</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Pr="00C10CEC" w:rsidRDefault="00AC0334">
            <w:pPr>
              <w:spacing w:line="340" w:lineRule="exact"/>
              <w:jc w:val="center"/>
              <w:rPr>
                <w:b/>
                <w:i/>
                <w:sz w:val="21"/>
                <w:szCs w:val="21"/>
                <w:u w:val="single"/>
              </w:rPr>
            </w:pPr>
            <w:r w:rsidRPr="00C10CEC">
              <w:rPr>
                <w:b/>
                <w:i/>
                <w:sz w:val="21"/>
                <w:szCs w:val="21"/>
                <w:u w:val="single"/>
              </w:rPr>
              <w:lastRenderedPageBreak/>
              <w:t>评价提出地下水、生</w:t>
            </w:r>
            <w:r w:rsidRPr="00C10CEC">
              <w:rPr>
                <w:b/>
                <w:i/>
                <w:sz w:val="21"/>
                <w:szCs w:val="21"/>
                <w:u w:val="single"/>
              </w:rPr>
              <w:lastRenderedPageBreak/>
              <w:t>态等环境要素长期跟踪监测计划，并建议建设单位做好井工开采地表沉陷跟踪观测工作，根据生态变化情况，实施必要的工程优化和生态恢复</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lastRenderedPageBreak/>
              <w:t>相符</w:t>
            </w:r>
          </w:p>
        </w:tc>
      </w:tr>
      <w:tr w:rsidR="00240BCE">
        <w:tc>
          <w:tcPr>
            <w:tcW w:w="642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lastRenderedPageBreak/>
              <w:t>（二十四）建设单位或生产运营单位应按照《企事业单位环境信息公开办法》《环境影响评价公众参与办法》《建设项目环境影响评价信息公开机制方案》</w:t>
            </w:r>
            <w:r>
              <w:rPr>
                <w:sz w:val="21"/>
                <w:szCs w:val="21"/>
              </w:rPr>
              <w:t xml:space="preserve"> </w:t>
            </w:r>
            <w:r>
              <w:rPr>
                <w:sz w:val="21"/>
                <w:szCs w:val="21"/>
              </w:rPr>
              <w:t>《伴生放射性矿开发利用企业环境辐射监测及信息公开办法</w:t>
            </w:r>
            <w:r>
              <w:rPr>
                <w:sz w:val="21"/>
                <w:szCs w:val="21"/>
              </w:rPr>
              <w:t>(</w:t>
            </w:r>
            <w:r>
              <w:rPr>
                <w:sz w:val="21"/>
                <w:szCs w:val="21"/>
              </w:rPr>
              <w:t>试行</w:t>
            </w:r>
            <w:r>
              <w:rPr>
                <w:sz w:val="21"/>
                <w:szCs w:val="21"/>
              </w:rPr>
              <w:t xml:space="preserve">) </w:t>
            </w:r>
            <w:r>
              <w:rPr>
                <w:sz w:val="21"/>
                <w:szCs w:val="21"/>
              </w:rPr>
              <w:t>》等有关要求，主动公开煤炭采选建设项目环境信息，保障公众的知情权、参与权、表达权和监督权。各级生态环境主管部门应按要求做好环评、监督执法等有关工作的信息公开。</w:t>
            </w:r>
          </w:p>
        </w:tc>
        <w:tc>
          <w:tcPr>
            <w:tcW w:w="1851"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340" w:lineRule="exact"/>
              <w:jc w:val="center"/>
              <w:rPr>
                <w:sz w:val="21"/>
                <w:szCs w:val="21"/>
              </w:rPr>
            </w:pPr>
            <w:r>
              <w:rPr>
                <w:sz w:val="21"/>
                <w:szCs w:val="21"/>
              </w:rPr>
              <w:t>环境影响评价全过程按要求开展公众参与</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340" w:lineRule="exact"/>
              <w:jc w:val="center"/>
              <w:rPr>
                <w:sz w:val="21"/>
                <w:szCs w:val="21"/>
              </w:rPr>
            </w:pPr>
            <w:r>
              <w:rPr>
                <w:sz w:val="21"/>
                <w:szCs w:val="21"/>
              </w:rPr>
              <w:t>相符</w:t>
            </w:r>
          </w:p>
        </w:tc>
      </w:tr>
    </w:tbl>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10.3.2</w:t>
      </w:r>
      <w:r>
        <w:rPr>
          <w:rFonts w:eastAsia="楷体"/>
          <w:b/>
          <w:bCs/>
          <w:szCs w:val="28"/>
        </w:rPr>
        <w:t>与《煤炭采选建设项目环境影响评价文件审批原则（试行）》的相符性</w:t>
      </w:r>
    </w:p>
    <w:p w:rsidR="00240BCE" w:rsidRDefault="00AC0334">
      <w:pPr>
        <w:spacing w:line="520" w:lineRule="exact"/>
        <w:ind w:firstLineChars="200" w:firstLine="480"/>
        <w:rPr>
          <w:sz w:val="24"/>
        </w:rPr>
      </w:pPr>
      <w:r>
        <w:rPr>
          <w:sz w:val="24"/>
        </w:rPr>
        <w:t>对照《煤炭采选建设项目环境影响评价文件审批原则（试行）》，本项目与其相符性分析详见表</w:t>
      </w:r>
      <w:r>
        <w:rPr>
          <w:sz w:val="24"/>
        </w:rPr>
        <w:t>10.3-2</w:t>
      </w:r>
      <w:r>
        <w:rPr>
          <w:sz w:val="24"/>
        </w:rPr>
        <w:t>。</w:t>
      </w:r>
    </w:p>
    <w:p w:rsidR="00240BCE" w:rsidRDefault="00AC0334">
      <w:pPr>
        <w:spacing w:line="520" w:lineRule="exact"/>
        <w:jc w:val="center"/>
        <w:rPr>
          <w:b/>
          <w:sz w:val="24"/>
        </w:rPr>
      </w:pPr>
      <w:r>
        <w:rPr>
          <w:b/>
          <w:sz w:val="24"/>
        </w:rPr>
        <w:t>表</w:t>
      </w:r>
      <w:r>
        <w:rPr>
          <w:b/>
          <w:sz w:val="24"/>
        </w:rPr>
        <w:t xml:space="preserve">10.3-2   </w:t>
      </w:r>
      <w:r>
        <w:rPr>
          <w:b/>
          <w:sz w:val="24"/>
        </w:rPr>
        <w:t>本项目与</w:t>
      </w:r>
      <w:r>
        <w:rPr>
          <w:b/>
          <w:bCs/>
          <w:sz w:val="24"/>
        </w:rPr>
        <w:t>审批原则</w:t>
      </w:r>
      <w:r>
        <w:rPr>
          <w:b/>
          <w:sz w:val="24"/>
        </w:rPr>
        <w:t>的相符性分析一览表</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5477"/>
        <w:gridCol w:w="2674"/>
        <w:gridCol w:w="738"/>
      </w:tblGrid>
      <w:tr w:rsidR="00240BCE">
        <w:trPr>
          <w:cantSplit/>
        </w:trPr>
        <w:tc>
          <w:tcPr>
            <w:tcW w:w="5477" w:type="dxa"/>
            <w:tcBorders>
              <w:top w:val="single" w:sz="12" w:space="0" w:color="auto"/>
              <w:left w:val="single" w:sz="12" w:space="0" w:color="auto"/>
              <w:bottom w:val="single" w:sz="4" w:space="0" w:color="auto"/>
              <w:right w:val="single" w:sz="4" w:space="0" w:color="auto"/>
            </w:tcBorders>
            <w:vAlign w:val="center"/>
          </w:tcPr>
          <w:p w:rsidR="00240BCE" w:rsidRDefault="00AC0334">
            <w:pPr>
              <w:spacing w:line="320" w:lineRule="exact"/>
              <w:jc w:val="center"/>
              <w:rPr>
                <w:b/>
                <w:sz w:val="21"/>
                <w:szCs w:val="21"/>
              </w:rPr>
            </w:pPr>
            <w:r>
              <w:rPr>
                <w:b/>
                <w:sz w:val="21"/>
                <w:szCs w:val="21"/>
              </w:rPr>
              <w:t>技术政策要求</w:t>
            </w:r>
          </w:p>
        </w:tc>
        <w:tc>
          <w:tcPr>
            <w:tcW w:w="2674" w:type="dxa"/>
            <w:tcBorders>
              <w:top w:val="single" w:sz="12" w:space="0" w:color="auto"/>
              <w:left w:val="single" w:sz="4" w:space="0" w:color="auto"/>
              <w:bottom w:val="single" w:sz="4" w:space="0" w:color="auto"/>
              <w:right w:val="single" w:sz="4" w:space="0" w:color="auto"/>
            </w:tcBorders>
            <w:vAlign w:val="center"/>
          </w:tcPr>
          <w:p w:rsidR="00240BCE" w:rsidRDefault="00AC0334">
            <w:pPr>
              <w:spacing w:line="320" w:lineRule="exact"/>
              <w:jc w:val="center"/>
              <w:rPr>
                <w:b/>
                <w:sz w:val="21"/>
                <w:szCs w:val="21"/>
              </w:rPr>
            </w:pPr>
            <w:r>
              <w:rPr>
                <w:b/>
                <w:sz w:val="21"/>
                <w:szCs w:val="21"/>
              </w:rPr>
              <w:t>本项目</w:t>
            </w:r>
          </w:p>
        </w:tc>
        <w:tc>
          <w:tcPr>
            <w:tcW w:w="738" w:type="dxa"/>
            <w:tcBorders>
              <w:top w:val="single" w:sz="12" w:space="0" w:color="auto"/>
              <w:left w:val="single" w:sz="4" w:space="0" w:color="auto"/>
              <w:bottom w:val="single" w:sz="4" w:space="0" w:color="auto"/>
              <w:right w:val="single" w:sz="12" w:space="0" w:color="auto"/>
            </w:tcBorders>
            <w:vAlign w:val="center"/>
          </w:tcPr>
          <w:p w:rsidR="00240BCE" w:rsidRDefault="00AC0334">
            <w:pPr>
              <w:spacing w:line="320" w:lineRule="exact"/>
              <w:jc w:val="center"/>
              <w:rPr>
                <w:b/>
                <w:sz w:val="21"/>
                <w:szCs w:val="21"/>
              </w:rPr>
            </w:pPr>
            <w:r>
              <w:rPr>
                <w:b/>
                <w:sz w:val="21"/>
                <w:szCs w:val="21"/>
              </w:rPr>
              <w:t>相符性</w:t>
            </w:r>
          </w:p>
        </w:tc>
      </w:tr>
      <w:tr w:rsidR="00240BCE">
        <w:trPr>
          <w:cantSplit/>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项目符合所在煤炭矿区总体规划、规划环评及其审查意见的相关要求，符合项目所在区域生态保护红线要求</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项目符合煤炭矿区总体规划，以及许昌矿产资源总体规划，不在生态保护红线内</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905"/>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井（矿）田开采范围、各类占地范围不得涉及自然保护区、风景名胜区、饮用水水源保护区等法律法规明令禁止采矿和占用的区域。</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井（矿）田开采范围、各类占地范围不涉及自然保护区、风景名胜区、饮用水源保护区等</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935"/>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新建、改扩建项目应满足《清洁生产标准</w:t>
            </w:r>
            <w:r>
              <w:rPr>
                <w:sz w:val="21"/>
                <w:szCs w:val="21"/>
              </w:rPr>
              <w:t xml:space="preserve"> </w:t>
            </w:r>
            <w:r>
              <w:rPr>
                <w:sz w:val="21"/>
                <w:szCs w:val="21"/>
              </w:rPr>
              <w:t>煤炭采选业》（</w:t>
            </w:r>
            <w:r>
              <w:rPr>
                <w:sz w:val="21"/>
                <w:szCs w:val="21"/>
              </w:rPr>
              <w:t>HJ446</w:t>
            </w:r>
            <w:r>
              <w:rPr>
                <w:sz w:val="21"/>
                <w:szCs w:val="21"/>
              </w:rPr>
              <w:t>）要求。主要污染物排放总量满足国家和地方相关要求。</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项目建设满足相关要求</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1440"/>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对井工开采项目的沉陷区及临时排矸场、露天开采项目的采掘场及排土场，应明确生态恢复目标，提出施工期、运行期、闭矿期合理可行的生态保护与恢复措施。对受煤炭开采影响的居民住宅、地面重要基础设施等环境保护目标，应提出相应的保护措施。</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施工期、运行期、闭矿期均设置生态保护与恢复措施。对受煤炭开采影响的居民住宅、地面重要基础设施等环境保护目标提出相应的保护措施</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1485"/>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lastRenderedPageBreak/>
              <w:t>煤炭开采可能对自然保护区、风景名胜区、饮用水水源保护区的重要环境敏感目标造成不利影响的，应提出禁止开采、限制开采、充填开采等保护措施；涉及其他敏感区域保护目标的，应明确提出设置禁采区、限采区、限高开采、充填开采、条带开采等措施。</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项目开采不涉及自然保护区、风景名胜区、饮用水水源保护区的重要环境敏感目标</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1380"/>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煤炭开采对具有供水意义的含水层、集中式与分散式供水水源的地下水资源可能造成影响的，应提出保水采煤等措施并制定长期供水替代方案；对地下水水质可能造成污染影响的应提出防渗等污染防治措施。</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2093C" w:rsidP="00A2093C">
            <w:pPr>
              <w:spacing w:line="260" w:lineRule="exact"/>
              <w:jc w:val="center"/>
              <w:rPr>
                <w:sz w:val="21"/>
                <w:szCs w:val="21"/>
              </w:rPr>
            </w:pPr>
            <w:r>
              <w:rPr>
                <w:sz w:val="21"/>
                <w:szCs w:val="21"/>
              </w:rPr>
              <w:t>项目开采不涉及具有供水意义的含水层、集中式</w:t>
            </w:r>
            <w:r>
              <w:rPr>
                <w:rFonts w:hint="eastAsia"/>
                <w:sz w:val="21"/>
                <w:szCs w:val="21"/>
              </w:rPr>
              <w:t>供水</w:t>
            </w:r>
            <w:r>
              <w:rPr>
                <w:sz w:val="21"/>
                <w:szCs w:val="21"/>
              </w:rPr>
              <w:t>水源，</w:t>
            </w:r>
            <w:r>
              <w:rPr>
                <w:rFonts w:hint="eastAsia"/>
                <w:sz w:val="21"/>
                <w:szCs w:val="21"/>
              </w:rPr>
              <w:t>待工程搬迁完成后也不涉及分散式供水水源；</w:t>
            </w:r>
            <w:r>
              <w:rPr>
                <w:sz w:val="21"/>
                <w:szCs w:val="21"/>
              </w:rPr>
              <w:t>可能污染地下水的构筑物全部防渗</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项目应配套建设矿井（坑）水、生活污水、生产废水处理设施，处理后的废水应立足综合利用，生活污水、生产废水等原则上不得外排。工业场地初期雨水应收集处理。无法全部综合利用的废水，应满足相关排放标准要求后排放。</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项目矿井水、生活污水均有相应废水处理设施进行处理后回用，对不能综合利用的部分，评价要求建设单位处理达标后用于农灌或河道生态补水</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1315"/>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煤矸石等固体废物应优先综合利用，明确煤矸石综合利用途径和处置方式，满足《煤矸石综合利用管理办法》相关要求。临时矸石堆放场（库）选址、建设和运行应满足《一般工业固体废物贮存、处置场污染控制标准》（</w:t>
            </w:r>
            <w:r>
              <w:rPr>
                <w:sz w:val="21"/>
                <w:szCs w:val="21"/>
              </w:rPr>
              <w:t>GB18599</w:t>
            </w:r>
            <w:r>
              <w:rPr>
                <w:sz w:val="21"/>
                <w:szCs w:val="21"/>
              </w:rPr>
              <w:t>）要求。</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项目设置矸石转运场，煤矸石分拣后车辆运至建材厂制砖，全部综合利用</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2080"/>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煤矿地面储、装、运及生产系统各产尘环节应采取有效抑尘措施。涉及环境敏感区或区域颗粒物超标地区的项目，应封闭储煤，厂界无组织排放满足相关标准要求。优先采用依托热源、水源热泵、气源热泵、清洁能源等供热形式，确需建设燃煤锅炉的，应符合《大气污染防治行动计划》等相关要求，采取高效烟气脱硫、脱硝和除尘措施，并安装烟气在线监测系统，污染物排放应满足相关排放标准要求。</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煤矿地面储、装、运及生产系统各产尘环节应采取有效抑尘措施，储煤棚为全封闭，运输廊道全部封闭，顶部设置水喷淋设施抑尘；供热采用空气源热泵和空调供热</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1210"/>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高浓度瓦斯禁止排放，应配套建设瓦斯利用设施或提出瓦斯综合利用方案；积极开展低浓度瓦斯综合利用工作，鼓励风排瓦斯综合利用。瓦斯排放应满足《煤层气（煤矿瓦斯）排放标准（暂行）》要求。</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本矿井为低瓦斯矿井</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1085"/>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选择低噪声设备、优化场地布局并采取隔声、消声、减振等措施有效控制噪声影响，厂界噪声应满足《工业企业厂界环境噪声排放标准》（</w:t>
            </w:r>
            <w:r>
              <w:rPr>
                <w:sz w:val="21"/>
                <w:szCs w:val="21"/>
              </w:rPr>
              <w:t>GB12348</w:t>
            </w:r>
            <w:r>
              <w:rPr>
                <w:sz w:val="21"/>
                <w:szCs w:val="21"/>
              </w:rPr>
              <w:t>）要求。</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rFonts w:hint="eastAsia"/>
                <w:sz w:val="21"/>
                <w:szCs w:val="21"/>
              </w:rPr>
              <w:t>采区各项减震降噪措施后，</w:t>
            </w:r>
            <w:r>
              <w:rPr>
                <w:sz w:val="21"/>
                <w:szCs w:val="21"/>
              </w:rPr>
              <w:t>项目厂界噪声满足相关标准要求</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Height w:val="840"/>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改、扩建（兼并重组）项目应全面梳理现有工程存在的环保问题，提出</w:t>
            </w:r>
            <w:r>
              <w:rPr>
                <w:sz w:val="21"/>
                <w:szCs w:val="21"/>
              </w:rPr>
              <w:t>“</w:t>
            </w:r>
            <w:r>
              <w:rPr>
                <w:sz w:val="21"/>
                <w:szCs w:val="21"/>
              </w:rPr>
              <w:t>以新带老</w:t>
            </w:r>
            <w:r>
              <w:rPr>
                <w:sz w:val="21"/>
                <w:szCs w:val="21"/>
              </w:rPr>
              <w:t>”</w:t>
            </w:r>
            <w:r>
              <w:rPr>
                <w:sz w:val="21"/>
                <w:szCs w:val="21"/>
              </w:rPr>
              <w:t>整改方案。</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本次评价提出</w:t>
            </w:r>
            <w:r>
              <w:rPr>
                <w:sz w:val="21"/>
                <w:szCs w:val="21"/>
              </w:rPr>
              <w:t>“</w:t>
            </w:r>
            <w:r>
              <w:rPr>
                <w:sz w:val="21"/>
                <w:szCs w:val="21"/>
              </w:rPr>
              <w:t>以新带老</w:t>
            </w:r>
            <w:r>
              <w:rPr>
                <w:sz w:val="21"/>
                <w:szCs w:val="21"/>
              </w:rPr>
              <w:t>”</w:t>
            </w:r>
            <w:r>
              <w:rPr>
                <w:sz w:val="21"/>
                <w:szCs w:val="21"/>
              </w:rPr>
              <w:t>整改方案</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Pr>
        <w:tc>
          <w:tcPr>
            <w:tcW w:w="5477"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制定了生态、地下水、地表水等环境要素的跟踪监测计划，明确监测网点的布设、监测因子、监测频次和信息公开等要求，提出了采煤沉陷区长期地表岩移观测要求，提出了有效的环境风险防范措施及突发环境事件应急预案编制要求，纳入区域突发环境事件应急联动机制。</w:t>
            </w:r>
          </w:p>
        </w:tc>
        <w:tc>
          <w:tcPr>
            <w:tcW w:w="2674"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制定了生态、地下水、地表水等环境要素的跟踪监测计划，明确监测点、监测因子、监测频次等，提出了采煤沉陷区长期地表岩移观测要求，提出了有效的环境风险防范措施及突发环境事件应急预案编制要求</w:t>
            </w:r>
          </w:p>
        </w:tc>
        <w:tc>
          <w:tcPr>
            <w:tcW w:w="738"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r w:rsidR="00240BCE">
        <w:trPr>
          <w:cantSplit/>
        </w:trPr>
        <w:tc>
          <w:tcPr>
            <w:tcW w:w="5477" w:type="dxa"/>
            <w:tcBorders>
              <w:top w:val="single" w:sz="4" w:space="0" w:color="auto"/>
              <w:left w:val="single" w:sz="12" w:space="0" w:color="auto"/>
              <w:bottom w:val="single" w:sz="12" w:space="0" w:color="auto"/>
              <w:right w:val="single" w:sz="4" w:space="0" w:color="auto"/>
            </w:tcBorders>
            <w:vAlign w:val="center"/>
          </w:tcPr>
          <w:p w:rsidR="00240BCE" w:rsidRDefault="00AC0334">
            <w:pPr>
              <w:spacing w:line="260" w:lineRule="exact"/>
              <w:jc w:val="center"/>
              <w:rPr>
                <w:sz w:val="21"/>
                <w:szCs w:val="21"/>
              </w:rPr>
            </w:pPr>
            <w:r>
              <w:rPr>
                <w:sz w:val="21"/>
                <w:szCs w:val="21"/>
              </w:rPr>
              <w:lastRenderedPageBreak/>
              <w:t>按相关规定开展了信息公开和公众参与。</w:t>
            </w:r>
          </w:p>
        </w:tc>
        <w:tc>
          <w:tcPr>
            <w:tcW w:w="2674" w:type="dxa"/>
            <w:tcBorders>
              <w:top w:val="single" w:sz="4" w:space="0" w:color="auto"/>
              <w:left w:val="single" w:sz="4" w:space="0" w:color="auto"/>
              <w:bottom w:val="single" w:sz="12" w:space="0" w:color="auto"/>
              <w:right w:val="single" w:sz="4" w:space="0" w:color="auto"/>
            </w:tcBorders>
            <w:vAlign w:val="center"/>
          </w:tcPr>
          <w:p w:rsidR="00240BCE" w:rsidRDefault="00AC0334">
            <w:pPr>
              <w:spacing w:line="260" w:lineRule="exact"/>
              <w:jc w:val="center"/>
              <w:rPr>
                <w:sz w:val="21"/>
                <w:szCs w:val="21"/>
              </w:rPr>
            </w:pPr>
            <w:r>
              <w:rPr>
                <w:sz w:val="21"/>
                <w:szCs w:val="21"/>
              </w:rPr>
              <w:t>环境影响评价全过程按要求开展公众参与</w:t>
            </w:r>
          </w:p>
        </w:tc>
        <w:tc>
          <w:tcPr>
            <w:tcW w:w="738" w:type="dxa"/>
            <w:tcBorders>
              <w:top w:val="single" w:sz="4" w:space="0" w:color="auto"/>
              <w:left w:val="single" w:sz="4" w:space="0" w:color="auto"/>
              <w:bottom w:val="single" w:sz="12" w:space="0" w:color="auto"/>
              <w:right w:val="single" w:sz="12" w:space="0" w:color="auto"/>
            </w:tcBorders>
            <w:vAlign w:val="center"/>
          </w:tcPr>
          <w:p w:rsidR="00240BCE" w:rsidRDefault="00AC0334">
            <w:pPr>
              <w:spacing w:line="260" w:lineRule="exact"/>
              <w:jc w:val="center"/>
              <w:rPr>
                <w:sz w:val="21"/>
                <w:szCs w:val="21"/>
              </w:rPr>
            </w:pPr>
            <w:r>
              <w:rPr>
                <w:sz w:val="21"/>
                <w:szCs w:val="21"/>
              </w:rPr>
              <w:t>相符</w:t>
            </w:r>
          </w:p>
        </w:tc>
      </w:tr>
    </w:tbl>
    <w:p w:rsidR="00240BCE" w:rsidRDefault="00AC0334" w:rsidP="009C5F33">
      <w:pPr>
        <w:keepNext/>
        <w:keepLines/>
        <w:adjustRightInd w:val="0"/>
        <w:snapToGrid w:val="0"/>
        <w:spacing w:beforeLines="70" w:afterLines="30"/>
        <w:jc w:val="left"/>
        <w:outlineLvl w:val="2"/>
        <w:rPr>
          <w:rFonts w:eastAsia="楷体"/>
          <w:b/>
          <w:bCs/>
          <w:szCs w:val="28"/>
        </w:rPr>
      </w:pPr>
      <w:r>
        <w:rPr>
          <w:rFonts w:eastAsia="楷体"/>
          <w:b/>
          <w:bCs/>
          <w:szCs w:val="28"/>
        </w:rPr>
        <w:t xml:space="preserve">10.3.3 </w:t>
      </w:r>
      <w:r>
        <w:rPr>
          <w:rFonts w:eastAsia="楷体"/>
          <w:b/>
          <w:bCs/>
          <w:szCs w:val="28"/>
        </w:rPr>
        <w:t>与《河南省矿山采选建设项目环境影响评价文件审批原则（试行）》的相符性</w:t>
      </w:r>
    </w:p>
    <w:p w:rsidR="00240BCE" w:rsidRDefault="00AC0334">
      <w:pPr>
        <w:spacing w:line="520" w:lineRule="exact"/>
        <w:ind w:firstLineChars="200" w:firstLine="480"/>
        <w:rPr>
          <w:sz w:val="24"/>
        </w:rPr>
      </w:pPr>
      <w:r>
        <w:rPr>
          <w:kern w:val="28"/>
          <w:sz w:val="24"/>
        </w:rPr>
        <w:t>2018</w:t>
      </w:r>
      <w:r>
        <w:rPr>
          <w:kern w:val="28"/>
          <w:sz w:val="24"/>
        </w:rPr>
        <w:t>月</w:t>
      </w:r>
      <w:r>
        <w:rPr>
          <w:kern w:val="28"/>
          <w:sz w:val="24"/>
        </w:rPr>
        <w:t>12</w:t>
      </w:r>
      <w:r>
        <w:rPr>
          <w:kern w:val="28"/>
          <w:sz w:val="24"/>
        </w:rPr>
        <w:t>月</w:t>
      </w:r>
      <w:r>
        <w:rPr>
          <w:kern w:val="28"/>
          <w:sz w:val="24"/>
        </w:rPr>
        <w:t>26</w:t>
      </w:r>
      <w:r>
        <w:rPr>
          <w:kern w:val="28"/>
          <w:sz w:val="24"/>
        </w:rPr>
        <w:t>日，河南省环境保护厅办公室发布了《关于印发危险废物集中处置和矿山采选行业建设项目环境影响评价文件审批原则的通知》（豫环办</w:t>
      </w:r>
      <w:r>
        <w:rPr>
          <w:kern w:val="28"/>
          <w:sz w:val="24"/>
        </w:rPr>
        <w:t xml:space="preserve">[2018]209 </w:t>
      </w:r>
      <w:r>
        <w:rPr>
          <w:kern w:val="28"/>
          <w:sz w:val="24"/>
        </w:rPr>
        <w:t>号），对矿山采选项目的审批做出了明确要求，</w:t>
      </w:r>
      <w:r>
        <w:rPr>
          <w:sz w:val="24"/>
        </w:rPr>
        <w:t>本项目与《河南省矿山采选建设项目环境影响评价文件审批原则（试行）》相符性见表</w:t>
      </w:r>
      <w:r>
        <w:rPr>
          <w:sz w:val="24"/>
        </w:rPr>
        <w:t>10.3-3</w:t>
      </w:r>
      <w:r>
        <w:rPr>
          <w:sz w:val="24"/>
        </w:rPr>
        <w:t>。</w:t>
      </w:r>
    </w:p>
    <w:p w:rsidR="00240BCE" w:rsidRDefault="00AC0334">
      <w:pPr>
        <w:spacing w:line="520" w:lineRule="exact"/>
        <w:ind w:firstLineChars="200" w:firstLine="480"/>
        <w:rPr>
          <w:kern w:val="28"/>
          <w:sz w:val="24"/>
        </w:rPr>
      </w:pPr>
      <w:r>
        <w:rPr>
          <w:kern w:val="28"/>
          <w:sz w:val="24"/>
        </w:rPr>
        <w:t>由上表</w:t>
      </w:r>
      <w:r>
        <w:rPr>
          <w:kern w:val="28"/>
          <w:sz w:val="24"/>
        </w:rPr>
        <w:t>10.3-3</w:t>
      </w:r>
      <w:r>
        <w:rPr>
          <w:kern w:val="28"/>
          <w:sz w:val="24"/>
        </w:rPr>
        <w:t>分析可知，本项目符合《关于印发危险废物集中处置和矿山采选行业建设项目环境影响评价文件审批原则的通知》（豫环办</w:t>
      </w:r>
      <w:r>
        <w:rPr>
          <w:kern w:val="28"/>
          <w:sz w:val="24"/>
        </w:rPr>
        <w:t xml:space="preserve">[2018]209 </w:t>
      </w:r>
      <w:r>
        <w:rPr>
          <w:kern w:val="28"/>
          <w:sz w:val="24"/>
        </w:rPr>
        <w:t>号）的的相关要求。</w:t>
      </w:r>
    </w:p>
    <w:p w:rsidR="00240BCE" w:rsidRDefault="00AC0334">
      <w:pPr>
        <w:spacing w:line="520" w:lineRule="exact"/>
        <w:jc w:val="center"/>
        <w:rPr>
          <w:b/>
          <w:sz w:val="24"/>
        </w:rPr>
      </w:pPr>
      <w:r>
        <w:rPr>
          <w:b/>
          <w:sz w:val="24"/>
        </w:rPr>
        <w:t>表</w:t>
      </w:r>
      <w:r>
        <w:rPr>
          <w:b/>
          <w:sz w:val="24"/>
        </w:rPr>
        <w:t xml:space="preserve">10.3-3  </w:t>
      </w:r>
      <w:r>
        <w:rPr>
          <w:b/>
          <w:sz w:val="24"/>
        </w:rPr>
        <w:t>与河南省矿山采选建设项目环境影响评价文件审批原则相符性</w:t>
      </w:r>
    </w:p>
    <w:tbl>
      <w:tblPr>
        <w:tblW w:w="9087"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519"/>
        <w:gridCol w:w="518"/>
        <w:gridCol w:w="4116"/>
        <w:gridCol w:w="3233"/>
        <w:gridCol w:w="701"/>
      </w:tblGrid>
      <w:tr w:rsidR="00240BCE">
        <w:tc>
          <w:tcPr>
            <w:tcW w:w="519" w:type="dxa"/>
            <w:tcBorders>
              <w:top w:val="single" w:sz="12"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b/>
                <w:sz w:val="21"/>
                <w:szCs w:val="21"/>
              </w:rPr>
            </w:pPr>
            <w:r>
              <w:rPr>
                <w:b/>
                <w:sz w:val="21"/>
                <w:szCs w:val="21"/>
              </w:rPr>
              <w:t>序号</w:t>
            </w:r>
          </w:p>
        </w:tc>
        <w:tc>
          <w:tcPr>
            <w:tcW w:w="4634" w:type="dxa"/>
            <w:gridSpan w:val="2"/>
            <w:tcBorders>
              <w:top w:val="single" w:sz="12"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b/>
                <w:sz w:val="21"/>
                <w:szCs w:val="21"/>
              </w:rPr>
            </w:pPr>
            <w:r>
              <w:rPr>
                <w:b/>
                <w:sz w:val="21"/>
                <w:szCs w:val="21"/>
              </w:rPr>
              <w:t>审批原则要求</w:t>
            </w:r>
          </w:p>
        </w:tc>
        <w:tc>
          <w:tcPr>
            <w:tcW w:w="3233" w:type="dxa"/>
            <w:tcBorders>
              <w:top w:val="single" w:sz="12"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b/>
                <w:sz w:val="21"/>
                <w:szCs w:val="21"/>
              </w:rPr>
            </w:pPr>
            <w:r>
              <w:rPr>
                <w:b/>
                <w:sz w:val="21"/>
                <w:szCs w:val="21"/>
              </w:rPr>
              <w:t>本项目情况</w:t>
            </w:r>
          </w:p>
        </w:tc>
        <w:tc>
          <w:tcPr>
            <w:tcW w:w="701" w:type="dxa"/>
            <w:tcBorders>
              <w:top w:val="single" w:sz="12"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b/>
                <w:sz w:val="21"/>
                <w:szCs w:val="21"/>
              </w:rPr>
            </w:pPr>
            <w:r>
              <w:rPr>
                <w:b/>
                <w:sz w:val="21"/>
                <w:szCs w:val="21"/>
              </w:rPr>
              <w:t>相符性</w:t>
            </w:r>
          </w:p>
        </w:tc>
      </w:tr>
      <w:tr w:rsidR="00240BCE">
        <w:tc>
          <w:tcPr>
            <w:tcW w:w="519"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1</w:t>
            </w:r>
          </w:p>
        </w:tc>
        <w:tc>
          <w:tcPr>
            <w:tcW w:w="518"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总体要求</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矿山采选项目应符合《产业结构调整指导目录》（</w:t>
            </w:r>
            <w:r>
              <w:rPr>
                <w:sz w:val="21"/>
                <w:szCs w:val="21"/>
              </w:rPr>
              <w:t>2011</w:t>
            </w:r>
            <w:r>
              <w:rPr>
                <w:sz w:val="21"/>
                <w:szCs w:val="21"/>
              </w:rPr>
              <w:t>年本）（修正）、行业准入条件及相关解释、河南省和地方矿产资源规划及规划环评、国家和河南省的绿色矿山建设规范及污染防治技术政策等相关要求。</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本项目生产工艺、规模等满足《产业结构调整指导目录》（</w:t>
            </w:r>
            <w:r>
              <w:rPr>
                <w:sz w:val="21"/>
                <w:szCs w:val="21"/>
              </w:rPr>
              <w:t>2019</w:t>
            </w:r>
            <w:r>
              <w:rPr>
                <w:sz w:val="21"/>
                <w:szCs w:val="21"/>
              </w:rPr>
              <w:t>年本）、行业准入条件及相关解释、河南省和地方矿产资源规划及规划环评、国家和河南省的绿色矿山建设规范及污染防治技术政策等相关要求</w:t>
            </w:r>
          </w:p>
        </w:tc>
        <w:tc>
          <w:tcPr>
            <w:tcW w:w="701"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vMerge w:val="restart"/>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2</w:t>
            </w:r>
          </w:p>
        </w:tc>
        <w:tc>
          <w:tcPr>
            <w:tcW w:w="518"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建设布局</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新建（改、扩建）矿山采选项目应符合生态保护红线、主体功能区划、环境功能区划、国家重点生态功能区产业准入负面清单等要求。禁止在依法划定的自然保护区、风景名胜区、饮用水水源保护区等重要生态保护地以及其他法律法规规定的禁采区域内建设矿山采选项目</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本项目符合禹州市生态保护红线、主体功能区划、环境功能区划，本项目所在区不属于国家重点生态功能区产业准入负面清单等要求，不在自然保护区、风景名胜区、饮用水水源保护区等重要生态保护地以及其他法律法规规定的禁采区域内</w:t>
            </w:r>
          </w:p>
        </w:tc>
        <w:tc>
          <w:tcPr>
            <w:tcW w:w="701"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vMerge/>
            <w:tcBorders>
              <w:top w:val="single" w:sz="4" w:space="0" w:color="auto"/>
              <w:left w:val="single" w:sz="12" w:space="0" w:color="auto"/>
              <w:bottom w:val="single" w:sz="4" w:space="0" w:color="auto"/>
              <w:right w:val="single" w:sz="4" w:space="0" w:color="auto"/>
            </w:tcBorders>
            <w:vAlign w:val="center"/>
          </w:tcPr>
          <w:p w:rsidR="00240BCE" w:rsidRDefault="00240BCE">
            <w:pPr>
              <w:widowControl/>
              <w:spacing w:line="500" w:lineRule="exact"/>
              <w:jc w:val="left"/>
              <w:rPr>
                <w:sz w:val="21"/>
                <w:szCs w:val="21"/>
              </w:rPr>
            </w:pPr>
          </w:p>
        </w:tc>
        <w:tc>
          <w:tcPr>
            <w:tcW w:w="518" w:type="dxa"/>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500" w:lineRule="exact"/>
              <w:jc w:val="left"/>
              <w:rPr>
                <w:sz w:val="21"/>
                <w:szCs w:val="21"/>
              </w:rPr>
            </w:pP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严格控制新建露天矿山项目环境影响评价文件审批，原则上禁止新建露天矿山建设项目。矿山开采范围、工业场地、废石场、排土场、尾矿库等应明确拐点坐标，井筒应说明中心坐标。鼓励采选一体化项目建设，独立矿山项目需有稳定可靠的矿石去向。矿石、废石、尾矿应尽量采用皮带廊道及管道输送，运矿专用线路应尽量避开学校、医院、集中居民区等环境敏感区域。</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本项目为改扩建项目，开采方式为地下井工开采。明确了矿山开采范围、工业场地、井筒中心坐标拐点。本项目为独立矿山项目，开采的原煤有可靠销售去向。工业场地内煤矿采用封闭皮带廊道输送。项目无运矿专用线，运输路线避开环境敏感区</w:t>
            </w:r>
          </w:p>
        </w:tc>
        <w:tc>
          <w:tcPr>
            <w:tcW w:w="701" w:type="dxa"/>
            <w:tcBorders>
              <w:top w:val="single" w:sz="4" w:space="0" w:color="auto"/>
              <w:left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3</w:t>
            </w:r>
          </w:p>
        </w:tc>
        <w:tc>
          <w:tcPr>
            <w:tcW w:w="518"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环境质量要求</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环境质量现状满足环境功能区要求的区域，项目实施后环境质量仍应满足功能区要求；环境质量现状不能满足环境功能区要求的区域，应强化项目污染防治措施、并提出有效的区域削减措施，改善区域环境质量</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kern w:val="28"/>
                <w:sz w:val="21"/>
                <w:szCs w:val="21"/>
              </w:rPr>
              <w:t>项目区域环境质量现状属于不达标区；项目实施后，废水、废气及固废等均采取有效的污染防治措施，并提出了切实可行的削减措施，可使区域环境质量得到改善。</w:t>
            </w:r>
          </w:p>
        </w:tc>
        <w:tc>
          <w:tcPr>
            <w:tcW w:w="701"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lastRenderedPageBreak/>
              <w:t>4</w:t>
            </w:r>
          </w:p>
        </w:tc>
        <w:tc>
          <w:tcPr>
            <w:tcW w:w="518"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防护距离要求</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结合环境质量要求合理设置环境防护距离，环境防护距离内禁止布局新的环境敏感目标。环境防护距离内已有居民集中区、学校、医院等环境敏感目标的，应提出可行的处置方案</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项目无需设置环境防护距离</w:t>
            </w:r>
          </w:p>
        </w:tc>
        <w:tc>
          <w:tcPr>
            <w:tcW w:w="701"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5</w:t>
            </w:r>
          </w:p>
        </w:tc>
        <w:tc>
          <w:tcPr>
            <w:tcW w:w="518"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工艺装备要求</w:t>
            </w:r>
          </w:p>
        </w:tc>
        <w:tc>
          <w:tcPr>
            <w:tcW w:w="4116" w:type="dxa"/>
            <w:tcBorders>
              <w:top w:val="single" w:sz="4" w:space="0" w:color="auto"/>
              <w:left w:val="single" w:sz="4" w:space="0" w:color="auto"/>
              <w:bottom w:val="single" w:sz="4" w:space="0" w:color="auto"/>
              <w:right w:val="single" w:sz="4" w:space="0" w:color="auto"/>
            </w:tcBorders>
          </w:tcPr>
          <w:p w:rsidR="00240BCE" w:rsidRDefault="00AC0334">
            <w:pPr>
              <w:spacing w:line="320" w:lineRule="exact"/>
              <w:rPr>
                <w:kern w:val="28"/>
                <w:sz w:val="21"/>
                <w:szCs w:val="21"/>
              </w:rPr>
            </w:pPr>
            <w:r>
              <w:rPr>
                <w:kern w:val="28"/>
                <w:sz w:val="21"/>
                <w:szCs w:val="21"/>
              </w:rPr>
              <w:t>矿山采选建设项目的生产工艺和装备选择应符合《矿产资源节约与综合利用鼓励、限制和淘汰技术目录（修订稿）》、《金属非金属矿山禁止使用的设备及工艺目录》及《高耗能落后机电设备（产品）淘汰目录》的相关要求。矿产资源开采回采率、选矿回收率、综合利用率应符合相应矿产资源合理开发利用</w:t>
            </w:r>
            <w:r>
              <w:rPr>
                <w:kern w:val="28"/>
                <w:sz w:val="21"/>
                <w:szCs w:val="21"/>
              </w:rPr>
              <w:t>“</w:t>
            </w:r>
            <w:r>
              <w:rPr>
                <w:kern w:val="28"/>
                <w:sz w:val="21"/>
                <w:szCs w:val="21"/>
              </w:rPr>
              <w:t>三率</w:t>
            </w:r>
            <w:r>
              <w:rPr>
                <w:kern w:val="28"/>
                <w:sz w:val="21"/>
                <w:szCs w:val="21"/>
              </w:rPr>
              <w:t>”</w:t>
            </w:r>
            <w:r>
              <w:rPr>
                <w:kern w:val="28"/>
                <w:sz w:val="21"/>
                <w:szCs w:val="21"/>
              </w:rPr>
              <w:t>指标要求。</w:t>
            </w:r>
          </w:p>
          <w:p w:rsidR="00240BCE" w:rsidRDefault="00AC0334">
            <w:pPr>
              <w:spacing w:line="320" w:lineRule="exact"/>
              <w:rPr>
                <w:kern w:val="28"/>
                <w:sz w:val="21"/>
                <w:szCs w:val="21"/>
              </w:rPr>
            </w:pPr>
            <w:r>
              <w:rPr>
                <w:kern w:val="28"/>
                <w:sz w:val="21"/>
                <w:szCs w:val="21"/>
              </w:rPr>
              <w:t>地下采矿项目具备充填开采条件的要积极推行充填法开采，鼓励尾矿干式堆存。</w:t>
            </w:r>
          </w:p>
        </w:tc>
        <w:tc>
          <w:tcPr>
            <w:tcW w:w="3233" w:type="dxa"/>
            <w:tcBorders>
              <w:top w:val="single" w:sz="4" w:space="0" w:color="auto"/>
              <w:left w:val="single" w:sz="4" w:space="0" w:color="auto"/>
              <w:bottom w:val="single" w:sz="4" w:space="0" w:color="auto"/>
              <w:right w:val="single" w:sz="4" w:space="0" w:color="auto"/>
            </w:tcBorders>
          </w:tcPr>
          <w:p w:rsidR="00240BCE" w:rsidRDefault="00AC0334">
            <w:pPr>
              <w:spacing w:line="320" w:lineRule="exact"/>
              <w:rPr>
                <w:kern w:val="28"/>
                <w:sz w:val="21"/>
                <w:szCs w:val="21"/>
              </w:rPr>
            </w:pPr>
            <w:r>
              <w:rPr>
                <w:kern w:val="28"/>
                <w:sz w:val="21"/>
                <w:szCs w:val="21"/>
              </w:rPr>
              <w:t>本项目所采用的生产工艺和装备均无《矿产资源节约与综合利用鼓励、限制和淘汰技术目录（修订稿）》、《金属非金属矿山禁止使用的设备及工艺目录》及《高耗能落后机电设备（产品）淘汰目录》中的落后淘汰采矿工艺和设备。矿产资源开采回采率符合矿产资源合理开发利用</w:t>
            </w:r>
            <w:r>
              <w:rPr>
                <w:kern w:val="28"/>
                <w:sz w:val="21"/>
                <w:szCs w:val="21"/>
              </w:rPr>
              <w:t>“</w:t>
            </w:r>
            <w:r>
              <w:rPr>
                <w:kern w:val="28"/>
                <w:sz w:val="21"/>
                <w:szCs w:val="21"/>
              </w:rPr>
              <w:t>三率</w:t>
            </w:r>
            <w:r>
              <w:rPr>
                <w:kern w:val="28"/>
                <w:sz w:val="21"/>
                <w:szCs w:val="21"/>
              </w:rPr>
              <w:t>”</w:t>
            </w:r>
            <w:r>
              <w:rPr>
                <w:kern w:val="28"/>
                <w:sz w:val="21"/>
                <w:szCs w:val="21"/>
              </w:rPr>
              <w:t>指标要求。</w:t>
            </w:r>
          </w:p>
        </w:tc>
        <w:tc>
          <w:tcPr>
            <w:tcW w:w="701"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w:t>
            </w:r>
          </w:p>
          <w:p w:rsidR="00240BCE" w:rsidRDefault="00AC0334">
            <w:pPr>
              <w:spacing w:line="260" w:lineRule="exact"/>
              <w:jc w:val="center"/>
              <w:rPr>
                <w:sz w:val="21"/>
                <w:szCs w:val="21"/>
              </w:rPr>
            </w:pPr>
            <w:r>
              <w:rPr>
                <w:sz w:val="21"/>
                <w:szCs w:val="21"/>
              </w:rPr>
              <w:t>合</w:t>
            </w:r>
          </w:p>
        </w:tc>
      </w:tr>
      <w:tr w:rsidR="00240BCE">
        <w:tc>
          <w:tcPr>
            <w:tcW w:w="519"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6</w:t>
            </w:r>
          </w:p>
        </w:tc>
        <w:tc>
          <w:tcPr>
            <w:tcW w:w="518"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生态保护要求</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矿山采选项目生态环境保护应满足《矿山生态环境保护与恢复治理技术规范》的相关要求，按</w:t>
            </w:r>
            <w:r>
              <w:rPr>
                <w:sz w:val="21"/>
                <w:szCs w:val="21"/>
              </w:rPr>
              <w:t>“</w:t>
            </w:r>
            <w:r>
              <w:rPr>
                <w:sz w:val="21"/>
                <w:szCs w:val="21"/>
              </w:rPr>
              <w:t>边开采、边治理</w:t>
            </w:r>
            <w:r>
              <w:rPr>
                <w:sz w:val="21"/>
                <w:szCs w:val="21"/>
              </w:rPr>
              <w:t>”</w:t>
            </w:r>
            <w:r>
              <w:rPr>
                <w:sz w:val="21"/>
                <w:szCs w:val="21"/>
              </w:rPr>
              <w:t>的原则，分区域、分时段制定生态恢复计划。开采矿体临近有特殊环境敏感目标的，应通过优化采矿工艺、预留安全矿柱等措施，确保不影响环境敏感目标的功能，必要时提出禁采、限采要求。对矿山施工可能影响的、具有保护价值的动、植物资源，应根据其生态习性，采取就地、就近或宜地安置等保护措施</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本项目生态环境保护满足《矿山生态环境保护与恢复治理技术规范》的相关要求，按</w:t>
            </w:r>
            <w:r>
              <w:rPr>
                <w:sz w:val="21"/>
                <w:szCs w:val="21"/>
              </w:rPr>
              <w:t>“</w:t>
            </w:r>
            <w:r>
              <w:rPr>
                <w:sz w:val="21"/>
                <w:szCs w:val="21"/>
              </w:rPr>
              <w:t>边开采、边治理</w:t>
            </w:r>
            <w:r>
              <w:rPr>
                <w:sz w:val="21"/>
                <w:szCs w:val="21"/>
              </w:rPr>
              <w:t>”</w:t>
            </w:r>
            <w:r>
              <w:rPr>
                <w:sz w:val="21"/>
                <w:szCs w:val="21"/>
              </w:rPr>
              <w:t>的原则，分区域、分时段制定了生态恢复计划。采区距离敏感点较远。本项目施工范围内无具有保护价值的动、植物资源</w:t>
            </w:r>
          </w:p>
        </w:tc>
        <w:tc>
          <w:tcPr>
            <w:tcW w:w="701"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vMerge w:val="restart"/>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7</w:t>
            </w:r>
          </w:p>
        </w:tc>
        <w:tc>
          <w:tcPr>
            <w:tcW w:w="518"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大气污染防治要求</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废气防治措施应符合大气污染防治攻坚战相关要求。矿山采选项目的矿石、选矿产品、尾矿等输送廊道应实行全封闭，矿石及产品堆场应采取围挡及洒水抑尘措施，尾矿库、废石场、排土场应采取洒水抑尘措施。运输车辆加盖篷布，并设立车辆冲洗设施。</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本项目废气防治措施符合大气污染防治攻坚战相关要求，采取全封闭堆场、运输廊道密闭作业，洒水抑尘等防尘措施。运输车辆加盖篷布，工业广场出口设立车辆冲洗设施</w:t>
            </w:r>
          </w:p>
        </w:tc>
        <w:tc>
          <w:tcPr>
            <w:tcW w:w="701" w:type="dxa"/>
            <w:vMerge w:val="restart"/>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vMerge/>
            <w:tcBorders>
              <w:top w:val="single" w:sz="4" w:space="0" w:color="auto"/>
              <w:left w:val="single" w:sz="12" w:space="0" w:color="auto"/>
              <w:bottom w:val="single" w:sz="4" w:space="0" w:color="auto"/>
              <w:right w:val="single" w:sz="4" w:space="0" w:color="auto"/>
            </w:tcBorders>
            <w:vAlign w:val="center"/>
          </w:tcPr>
          <w:p w:rsidR="00240BCE" w:rsidRDefault="00240BCE">
            <w:pPr>
              <w:widowControl/>
              <w:spacing w:line="500" w:lineRule="exact"/>
              <w:jc w:val="left"/>
              <w:rPr>
                <w:sz w:val="21"/>
                <w:szCs w:val="21"/>
              </w:rPr>
            </w:pPr>
          </w:p>
        </w:tc>
        <w:tc>
          <w:tcPr>
            <w:tcW w:w="518" w:type="dxa"/>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500" w:lineRule="exact"/>
              <w:jc w:val="left"/>
              <w:rPr>
                <w:sz w:val="21"/>
                <w:szCs w:val="21"/>
              </w:rPr>
            </w:pP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矿山采选项目废气的有组织及无组织排放应满足相应污染物排放要求，并按国家及河南省有关规定满足相应特别排放限值要求。</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粉尘无组织排放满足相应污染物排放要求，满足国家及河南省有关规定满足相应特别排放限值要求</w:t>
            </w:r>
          </w:p>
        </w:tc>
        <w:tc>
          <w:tcPr>
            <w:tcW w:w="701" w:type="dxa"/>
            <w:vMerge/>
            <w:tcBorders>
              <w:top w:val="single" w:sz="4" w:space="0" w:color="auto"/>
              <w:left w:val="single" w:sz="4" w:space="0" w:color="auto"/>
              <w:bottom w:val="single" w:sz="4" w:space="0" w:color="auto"/>
              <w:right w:val="single" w:sz="12" w:space="0" w:color="auto"/>
            </w:tcBorders>
            <w:vAlign w:val="center"/>
          </w:tcPr>
          <w:p w:rsidR="00240BCE" w:rsidRDefault="00240BCE">
            <w:pPr>
              <w:widowControl/>
              <w:spacing w:line="500" w:lineRule="exact"/>
              <w:jc w:val="left"/>
              <w:rPr>
                <w:sz w:val="21"/>
                <w:szCs w:val="21"/>
              </w:rPr>
            </w:pPr>
          </w:p>
        </w:tc>
      </w:tr>
      <w:tr w:rsidR="00240BCE">
        <w:tc>
          <w:tcPr>
            <w:tcW w:w="519"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8</w:t>
            </w:r>
          </w:p>
        </w:tc>
        <w:tc>
          <w:tcPr>
            <w:tcW w:w="518"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水污染防治要求</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采矿项目矿井涌水应尽可能回用生产或综合利用，剩余部分处理达标后可外排。矿山开采区、选厂等应采取必要的防渗措施，防止地下水污染。选厂的生产废水及初期雨水、矿石及废石场的淋溶水、尾矿库澄清水及渗滤水应收集回用，不外排</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矿井涌水首先进行回用，对于不可回用部分，要求处理达到</w:t>
            </w:r>
            <w:r>
              <w:rPr>
                <w:snapToGrid w:val="0"/>
                <w:sz w:val="21"/>
                <w:szCs w:val="21"/>
              </w:rPr>
              <w:t>《煤炭工业污染物排放标准》（</w:t>
            </w:r>
            <w:r>
              <w:rPr>
                <w:snapToGrid w:val="0"/>
                <w:sz w:val="21"/>
                <w:szCs w:val="21"/>
              </w:rPr>
              <w:t>GB20426-2006</w:t>
            </w:r>
            <w:r>
              <w:rPr>
                <w:snapToGrid w:val="0"/>
                <w:sz w:val="21"/>
                <w:szCs w:val="21"/>
              </w:rPr>
              <w:t>）排放标准用于农灌或河道生态补水</w:t>
            </w:r>
          </w:p>
        </w:tc>
        <w:tc>
          <w:tcPr>
            <w:tcW w:w="701"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vMerge w:val="restart"/>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9</w:t>
            </w:r>
          </w:p>
        </w:tc>
        <w:tc>
          <w:tcPr>
            <w:tcW w:w="518" w:type="dxa"/>
            <w:vMerge w:val="restart"/>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噪声污染防治要求</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矿山采选建设项目施工期及运营期场界噪声应分别符合《建筑施工场界环境噪声排放标准》（</w:t>
            </w:r>
            <w:r>
              <w:rPr>
                <w:sz w:val="21"/>
                <w:szCs w:val="21"/>
              </w:rPr>
              <w:t>GB12523</w:t>
            </w:r>
            <w:r>
              <w:rPr>
                <w:sz w:val="21"/>
                <w:szCs w:val="21"/>
              </w:rPr>
              <w:t>）及《工业企业厂界环境噪声排放标准》（</w:t>
            </w:r>
            <w:r>
              <w:rPr>
                <w:sz w:val="21"/>
                <w:szCs w:val="21"/>
              </w:rPr>
              <w:t>GB12348</w:t>
            </w:r>
            <w:r>
              <w:rPr>
                <w:sz w:val="21"/>
                <w:szCs w:val="21"/>
              </w:rPr>
              <w:t>）要求。</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本项目施工期场界噪声符合《建筑施工场界环境噪声排放标准》（</w:t>
            </w:r>
            <w:r>
              <w:rPr>
                <w:sz w:val="21"/>
                <w:szCs w:val="21"/>
              </w:rPr>
              <w:t>GB12523-2011</w:t>
            </w:r>
            <w:r>
              <w:rPr>
                <w:sz w:val="21"/>
                <w:szCs w:val="21"/>
              </w:rPr>
              <w:t>）要求，运营期厂界噪声符合《工业企业厂界环境噪声排放标准》（</w:t>
            </w:r>
            <w:r>
              <w:rPr>
                <w:sz w:val="21"/>
                <w:szCs w:val="21"/>
              </w:rPr>
              <w:t>GB12348-2008</w:t>
            </w:r>
            <w:r>
              <w:rPr>
                <w:sz w:val="21"/>
                <w:szCs w:val="21"/>
              </w:rPr>
              <w:t>）要求</w:t>
            </w:r>
          </w:p>
        </w:tc>
        <w:tc>
          <w:tcPr>
            <w:tcW w:w="701" w:type="dxa"/>
            <w:vMerge w:val="restart"/>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vMerge/>
            <w:tcBorders>
              <w:top w:val="single" w:sz="4" w:space="0" w:color="auto"/>
              <w:left w:val="single" w:sz="12" w:space="0" w:color="auto"/>
              <w:bottom w:val="single" w:sz="4" w:space="0" w:color="auto"/>
              <w:right w:val="single" w:sz="4" w:space="0" w:color="auto"/>
            </w:tcBorders>
            <w:vAlign w:val="center"/>
          </w:tcPr>
          <w:p w:rsidR="00240BCE" w:rsidRDefault="00240BCE">
            <w:pPr>
              <w:widowControl/>
              <w:spacing w:line="500" w:lineRule="exact"/>
              <w:jc w:val="left"/>
              <w:rPr>
                <w:sz w:val="21"/>
                <w:szCs w:val="21"/>
              </w:rPr>
            </w:pPr>
          </w:p>
        </w:tc>
        <w:tc>
          <w:tcPr>
            <w:tcW w:w="518" w:type="dxa"/>
            <w:vMerge/>
            <w:tcBorders>
              <w:top w:val="single" w:sz="4" w:space="0" w:color="auto"/>
              <w:left w:val="single" w:sz="4" w:space="0" w:color="auto"/>
              <w:bottom w:val="single" w:sz="4" w:space="0" w:color="auto"/>
              <w:right w:val="single" w:sz="4" w:space="0" w:color="auto"/>
            </w:tcBorders>
            <w:vAlign w:val="center"/>
          </w:tcPr>
          <w:p w:rsidR="00240BCE" w:rsidRDefault="00240BCE">
            <w:pPr>
              <w:widowControl/>
              <w:spacing w:line="500" w:lineRule="exact"/>
              <w:jc w:val="left"/>
              <w:rPr>
                <w:sz w:val="21"/>
                <w:szCs w:val="21"/>
              </w:rPr>
            </w:pP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运输专用线路经过声环境敏感目标路段的，应分情况采取降噪措施，有效控制运输噪声影响。</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采取合理安排运输时间、禁止夜间运输、限速、禁止鸣笛等降噪措施</w:t>
            </w:r>
          </w:p>
        </w:tc>
        <w:tc>
          <w:tcPr>
            <w:tcW w:w="701" w:type="dxa"/>
            <w:vMerge/>
            <w:tcBorders>
              <w:top w:val="single" w:sz="4" w:space="0" w:color="auto"/>
              <w:left w:val="single" w:sz="4" w:space="0" w:color="auto"/>
              <w:bottom w:val="single" w:sz="4" w:space="0" w:color="auto"/>
              <w:right w:val="single" w:sz="12" w:space="0" w:color="auto"/>
            </w:tcBorders>
            <w:vAlign w:val="center"/>
          </w:tcPr>
          <w:p w:rsidR="00240BCE" w:rsidRDefault="00240BCE">
            <w:pPr>
              <w:widowControl/>
              <w:spacing w:line="500" w:lineRule="exact"/>
              <w:jc w:val="left"/>
              <w:rPr>
                <w:sz w:val="21"/>
                <w:szCs w:val="21"/>
              </w:rPr>
            </w:pPr>
          </w:p>
        </w:tc>
      </w:tr>
      <w:tr w:rsidR="00240BCE">
        <w:tc>
          <w:tcPr>
            <w:tcW w:w="519"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lastRenderedPageBreak/>
              <w:t>10</w:t>
            </w:r>
          </w:p>
        </w:tc>
        <w:tc>
          <w:tcPr>
            <w:tcW w:w="518"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固废污染防治要求</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按照</w:t>
            </w:r>
            <w:r>
              <w:rPr>
                <w:sz w:val="21"/>
                <w:szCs w:val="21"/>
              </w:rPr>
              <w:t>“</w:t>
            </w:r>
            <w:r>
              <w:rPr>
                <w:sz w:val="21"/>
                <w:szCs w:val="21"/>
              </w:rPr>
              <w:t>减量化、资源化、无害化</w:t>
            </w:r>
            <w:r>
              <w:rPr>
                <w:sz w:val="21"/>
                <w:szCs w:val="21"/>
              </w:rPr>
              <w:t>”</w:t>
            </w:r>
            <w:r>
              <w:rPr>
                <w:sz w:val="21"/>
                <w:szCs w:val="21"/>
              </w:rPr>
              <w:t>原则，根据废石、尾矿毒性浸出试验结果，妥善处置固体废物，鼓励废石、尾矿资源化利用。废石场及尾矿库的选址、建设应符合《一般工业固体废物贮存、处置场污染控制标准》（</w:t>
            </w:r>
            <w:r>
              <w:rPr>
                <w:sz w:val="21"/>
                <w:szCs w:val="21"/>
              </w:rPr>
              <w:t>GB18599</w:t>
            </w:r>
            <w:r>
              <w:rPr>
                <w:sz w:val="21"/>
                <w:szCs w:val="21"/>
              </w:rPr>
              <w:t>）、《危险废物填埋污染控制标准》（</w:t>
            </w:r>
            <w:r>
              <w:rPr>
                <w:sz w:val="21"/>
                <w:szCs w:val="21"/>
              </w:rPr>
              <w:t>GB18598</w:t>
            </w:r>
            <w:r>
              <w:rPr>
                <w:sz w:val="21"/>
                <w:szCs w:val="21"/>
              </w:rPr>
              <w:t>）要求</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360" w:lineRule="exact"/>
              <w:jc w:val="center"/>
              <w:rPr>
                <w:sz w:val="21"/>
                <w:szCs w:val="21"/>
              </w:rPr>
            </w:pPr>
            <w:r>
              <w:rPr>
                <w:sz w:val="21"/>
                <w:szCs w:val="21"/>
              </w:rPr>
              <w:t>根据矸石浸出试验，本项目矸石属于一般固废，项目设矸石周转场，分拣后运至建材厂制砖，全部综合利用</w:t>
            </w:r>
          </w:p>
        </w:tc>
        <w:tc>
          <w:tcPr>
            <w:tcW w:w="701"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tcBorders>
              <w:top w:val="single" w:sz="4" w:space="0" w:color="auto"/>
              <w:left w:val="single" w:sz="12"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11</w:t>
            </w:r>
          </w:p>
        </w:tc>
        <w:tc>
          <w:tcPr>
            <w:tcW w:w="518"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环境风险防范要求</w:t>
            </w:r>
          </w:p>
        </w:tc>
        <w:tc>
          <w:tcPr>
            <w:tcW w:w="4116"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科学评价存在的环境风险，全面分析突发环境事件（事故）可能对环境造成的影响，提出风险防范及应急处置措施，并编制突发环境事件应急预案要求，纳入区域环境风险防范、应急应对联动机制</w:t>
            </w:r>
          </w:p>
        </w:tc>
        <w:tc>
          <w:tcPr>
            <w:tcW w:w="3233" w:type="dxa"/>
            <w:tcBorders>
              <w:top w:val="single" w:sz="4" w:space="0" w:color="auto"/>
              <w:left w:val="single" w:sz="4" w:space="0" w:color="auto"/>
              <w:bottom w:val="single" w:sz="4" w:space="0" w:color="auto"/>
              <w:right w:val="single" w:sz="4" w:space="0" w:color="auto"/>
            </w:tcBorders>
            <w:vAlign w:val="center"/>
          </w:tcPr>
          <w:p w:rsidR="00240BCE" w:rsidRDefault="00AC0334">
            <w:pPr>
              <w:spacing w:line="260" w:lineRule="exact"/>
              <w:jc w:val="center"/>
              <w:rPr>
                <w:sz w:val="21"/>
                <w:szCs w:val="21"/>
              </w:rPr>
            </w:pPr>
            <w:r>
              <w:rPr>
                <w:sz w:val="21"/>
                <w:szCs w:val="21"/>
              </w:rPr>
              <w:t>提出了合理的环境风险应急预案编制要求和有效的环境风险防范及应急措施</w:t>
            </w:r>
            <w:r>
              <w:rPr>
                <w:sz w:val="21"/>
                <w:szCs w:val="21"/>
              </w:rPr>
              <w:t xml:space="preserve"> </w:t>
            </w:r>
          </w:p>
        </w:tc>
        <w:tc>
          <w:tcPr>
            <w:tcW w:w="701" w:type="dxa"/>
            <w:tcBorders>
              <w:top w:val="single" w:sz="4" w:space="0" w:color="auto"/>
              <w:left w:val="single" w:sz="4" w:space="0" w:color="auto"/>
              <w:bottom w:val="single" w:sz="4"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r w:rsidR="00240BCE">
        <w:tc>
          <w:tcPr>
            <w:tcW w:w="519" w:type="dxa"/>
            <w:tcBorders>
              <w:top w:val="single" w:sz="4" w:space="0" w:color="auto"/>
              <w:left w:val="single" w:sz="12" w:space="0" w:color="auto"/>
              <w:bottom w:val="single" w:sz="12" w:space="0" w:color="auto"/>
              <w:right w:val="single" w:sz="4" w:space="0" w:color="auto"/>
            </w:tcBorders>
            <w:vAlign w:val="center"/>
          </w:tcPr>
          <w:p w:rsidR="00240BCE" w:rsidRDefault="00AC0334">
            <w:pPr>
              <w:spacing w:line="260" w:lineRule="exact"/>
              <w:jc w:val="center"/>
              <w:rPr>
                <w:sz w:val="21"/>
                <w:szCs w:val="21"/>
              </w:rPr>
            </w:pPr>
            <w:r>
              <w:rPr>
                <w:sz w:val="21"/>
                <w:szCs w:val="21"/>
              </w:rPr>
              <w:t>12</w:t>
            </w:r>
          </w:p>
        </w:tc>
        <w:tc>
          <w:tcPr>
            <w:tcW w:w="518" w:type="dxa"/>
            <w:tcBorders>
              <w:top w:val="single" w:sz="4" w:space="0" w:color="auto"/>
              <w:left w:val="single" w:sz="4" w:space="0" w:color="auto"/>
              <w:bottom w:val="single" w:sz="12" w:space="0" w:color="auto"/>
              <w:right w:val="single" w:sz="4" w:space="0" w:color="auto"/>
            </w:tcBorders>
            <w:vAlign w:val="center"/>
          </w:tcPr>
          <w:p w:rsidR="00240BCE" w:rsidRDefault="00AC0334">
            <w:pPr>
              <w:spacing w:line="260" w:lineRule="exact"/>
              <w:jc w:val="center"/>
              <w:rPr>
                <w:sz w:val="21"/>
                <w:szCs w:val="21"/>
              </w:rPr>
            </w:pPr>
            <w:r>
              <w:rPr>
                <w:sz w:val="21"/>
                <w:szCs w:val="21"/>
              </w:rPr>
              <w:t>其他要求</w:t>
            </w:r>
          </w:p>
        </w:tc>
        <w:tc>
          <w:tcPr>
            <w:tcW w:w="4116" w:type="dxa"/>
            <w:tcBorders>
              <w:top w:val="single" w:sz="4" w:space="0" w:color="auto"/>
              <w:left w:val="single" w:sz="4" w:space="0" w:color="auto"/>
              <w:bottom w:val="single" w:sz="12" w:space="0" w:color="auto"/>
              <w:right w:val="single" w:sz="4" w:space="0" w:color="auto"/>
            </w:tcBorders>
            <w:vAlign w:val="center"/>
          </w:tcPr>
          <w:p w:rsidR="00240BCE" w:rsidRDefault="00AC0334">
            <w:pPr>
              <w:spacing w:line="260" w:lineRule="exact"/>
              <w:jc w:val="center"/>
              <w:rPr>
                <w:sz w:val="21"/>
                <w:szCs w:val="21"/>
              </w:rPr>
            </w:pPr>
            <w:r>
              <w:rPr>
                <w:sz w:val="21"/>
                <w:szCs w:val="21"/>
              </w:rPr>
              <w:t>矿山采选项目应全面梳理民采、探矿遗留及现有工程存在的生态环境问题，制定切实可行的整改方案和</w:t>
            </w:r>
            <w:r>
              <w:rPr>
                <w:sz w:val="21"/>
                <w:szCs w:val="21"/>
              </w:rPr>
              <w:t>“</w:t>
            </w:r>
            <w:r>
              <w:rPr>
                <w:sz w:val="21"/>
                <w:szCs w:val="21"/>
              </w:rPr>
              <w:t>以新带老</w:t>
            </w:r>
            <w:r>
              <w:rPr>
                <w:sz w:val="21"/>
                <w:szCs w:val="21"/>
              </w:rPr>
              <w:t xml:space="preserve">” </w:t>
            </w:r>
            <w:r>
              <w:rPr>
                <w:sz w:val="21"/>
                <w:szCs w:val="21"/>
              </w:rPr>
              <w:t>措施，并提出整改时限要求。属于土壤环境污染重点监管单位的矿山采选项目应符合《工矿用地土壤环境管理办法（试行）》有关要求</w:t>
            </w:r>
          </w:p>
        </w:tc>
        <w:tc>
          <w:tcPr>
            <w:tcW w:w="3233" w:type="dxa"/>
            <w:tcBorders>
              <w:top w:val="single" w:sz="4" w:space="0" w:color="auto"/>
              <w:left w:val="single" w:sz="4" w:space="0" w:color="auto"/>
              <w:bottom w:val="single" w:sz="12" w:space="0" w:color="auto"/>
              <w:right w:val="single" w:sz="4" w:space="0" w:color="auto"/>
            </w:tcBorders>
            <w:vAlign w:val="center"/>
          </w:tcPr>
          <w:p w:rsidR="00240BCE" w:rsidRDefault="00AC0334">
            <w:pPr>
              <w:spacing w:line="260" w:lineRule="exact"/>
              <w:jc w:val="center"/>
              <w:rPr>
                <w:sz w:val="21"/>
                <w:szCs w:val="21"/>
              </w:rPr>
            </w:pPr>
            <w:r>
              <w:rPr>
                <w:sz w:val="21"/>
                <w:szCs w:val="21"/>
              </w:rPr>
              <w:t>本项目为改扩建工程，梳理了现有工程存在的生态环境问题，制定切实可行的整改方案和</w:t>
            </w:r>
            <w:r>
              <w:rPr>
                <w:sz w:val="21"/>
                <w:szCs w:val="21"/>
              </w:rPr>
              <w:t>“</w:t>
            </w:r>
            <w:r>
              <w:rPr>
                <w:sz w:val="21"/>
                <w:szCs w:val="21"/>
              </w:rPr>
              <w:t>以新带老</w:t>
            </w:r>
            <w:r>
              <w:rPr>
                <w:sz w:val="21"/>
                <w:szCs w:val="21"/>
              </w:rPr>
              <w:t xml:space="preserve">” </w:t>
            </w:r>
            <w:r>
              <w:rPr>
                <w:sz w:val="21"/>
                <w:szCs w:val="21"/>
              </w:rPr>
              <w:t>措施，并提出整改时限要求；本项为为非金属矿开采，不属于土壤环境污染重点监管单位</w:t>
            </w:r>
          </w:p>
        </w:tc>
        <w:tc>
          <w:tcPr>
            <w:tcW w:w="701" w:type="dxa"/>
            <w:tcBorders>
              <w:top w:val="single" w:sz="4" w:space="0" w:color="auto"/>
              <w:left w:val="single" w:sz="4" w:space="0" w:color="auto"/>
              <w:bottom w:val="single" w:sz="12" w:space="0" w:color="auto"/>
              <w:right w:val="single" w:sz="12" w:space="0" w:color="auto"/>
            </w:tcBorders>
            <w:vAlign w:val="center"/>
          </w:tcPr>
          <w:p w:rsidR="00240BCE" w:rsidRDefault="00AC0334">
            <w:pPr>
              <w:spacing w:line="260" w:lineRule="exact"/>
              <w:jc w:val="center"/>
              <w:rPr>
                <w:sz w:val="21"/>
                <w:szCs w:val="21"/>
              </w:rPr>
            </w:pPr>
            <w:r>
              <w:rPr>
                <w:sz w:val="21"/>
                <w:szCs w:val="21"/>
              </w:rPr>
              <w:t>符合</w:t>
            </w:r>
          </w:p>
        </w:tc>
      </w:tr>
    </w:tbl>
    <w:p w:rsidR="00240BCE" w:rsidRPr="00B6079B" w:rsidRDefault="00AC0334" w:rsidP="009C5F33">
      <w:pPr>
        <w:keepNext/>
        <w:keepLines/>
        <w:adjustRightInd w:val="0"/>
        <w:snapToGrid w:val="0"/>
        <w:spacing w:beforeLines="70" w:afterLines="30"/>
        <w:jc w:val="left"/>
        <w:outlineLvl w:val="2"/>
        <w:rPr>
          <w:rFonts w:eastAsia="楷体"/>
          <w:b/>
          <w:bCs/>
          <w:i/>
          <w:szCs w:val="28"/>
          <w:u w:val="single"/>
        </w:rPr>
      </w:pPr>
      <w:r w:rsidRPr="00B6079B">
        <w:rPr>
          <w:rFonts w:eastAsia="楷体"/>
          <w:b/>
          <w:bCs/>
          <w:i/>
          <w:szCs w:val="28"/>
          <w:u w:val="single"/>
        </w:rPr>
        <w:t xml:space="preserve">10.3.4 </w:t>
      </w:r>
      <w:r w:rsidRPr="00B6079B">
        <w:rPr>
          <w:rFonts w:eastAsia="楷体"/>
          <w:b/>
          <w:bCs/>
          <w:i/>
          <w:szCs w:val="28"/>
          <w:u w:val="single"/>
        </w:rPr>
        <w:t>与</w:t>
      </w:r>
      <w:r w:rsidR="00102D0F" w:rsidRPr="00B6079B">
        <w:rPr>
          <w:rFonts w:eastAsia="楷体" w:hint="eastAsia"/>
          <w:b/>
          <w:bCs/>
          <w:i/>
          <w:szCs w:val="28"/>
          <w:u w:val="single"/>
        </w:rPr>
        <w:t>《关于印发＜</w:t>
      </w:r>
      <w:r w:rsidR="00102D0F" w:rsidRPr="00B6079B">
        <w:rPr>
          <w:rFonts w:eastAsia="楷体" w:hint="eastAsia"/>
          <w:b/>
          <w:bCs/>
          <w:i/>
          <w:szCs w:val="28"/>
          <w:u w:val="single"/>
        </w:rPr>
        <w:t>30</w:t>
      </w:r>
      <w:r w:rsidR="00102D0F" w:rsidRPr="00B6079B">
        <w:rPr>
          <w:rFonts w:eastAsia="楷体" w:hint="eastAsia"/>
          <w:b/>
          <w:bCs/>
          <w:i/>
          <w:szCs w:val="28"/>
          <w:u w:val="single"/>
        </w:rPr>
        <w:t>万吨</w:t>
      </w:r>
      <w:r w:rsidR="00102D0F" w:rsidRPr="00B6079B">
        <w:rPr>
          <w:rFonts w:eastAsia="楷体" w:hint="eastAsia"/>
          <w:b/>
          <w:bCs/>
          <w:i/>
          <w:szCs w:val="28"/>
          <w:u w:val="single"/>
        </w:rPr>
        <w:t>/</w:t>
      </w:r>
      <w:r w:rsidR="00102D0F" w:rsidRPr="00B6079B">
        <w:rPr>
          <w:rFonts w:eastAsia="楷体" w:hint="eastAsia"/>
          <w:b/>
          <w:bCs/>
          <w:i/>
          <w:szCs w:val="28"/>
          <w:u w:val="single"/>
        </w:rPr>
        <w:t>年以下煤矿分类处置工作方案＞的通知》（发改能源</w:t>
      </w:r>
      <w:r w:rsidR="00102D0F" w:rsidRPr="00B6079B">
        <w:rPr>
          <w:rFonts w:eastAsia="楷体" w:hint="eastAsia"/>
          <w:b/>
          <w:bCs/>
          <w:i/>
          <w:szCs w:val="28"/>
          <w:u w:val="single"/>
        </w:rPr>
        <w:t>[2019]1377</w:t>
      </w:r>
      <w:r w:rsidR="00102D0F" w:rsidRPr="00B6079B">
        <w:rPr>
          <w:rFonts w:eastAsia="楷体" w:hint="eastAsia"/>
          <w:b/>
          <w:bCs/>
          <w:i/>
          <w:szCs w:val="28"/>
          <w:u w:val="single"/>
        </w:rPr>
        <w:t>号文）</w:t>
      </w:r>
      <w:r w:rsidRPr="00B6079B">
        <w:rPr>
          <w:rFonts w:eastAsia="楷体"/>
          <w:b/>
          <w:bCs/>
          <w:i/>
          <w:szCs w:val="28"/>
          <w:u w:val="single"/>
        </w:rPr>
        <w:t>相符性</w:t>
      </w:r>
    </w:p>
    <w:p w:rsidR="00102D0F" w:rsidRPr="00B6079B" w:rsidRDefault="00102D0F" w:rsidP="00EC66AD">
      <w:pPr>
        <w:spacing w:line="500" w:lineRule="exact"/>
        <w:ind w:firstLineChars="200" w:firstLine="482"/>
        <w:rPr>
          <w:b/>
          <w:i/>
          <w:sz w:val="24"/>
          <w:u w:val="single"/>
        </w:rPr>
      </w:pPr>
      <w:r w:rsidRPr="00B6079B">
        <w:rPr>
          <w:b/>
          <w:i/>
          <w:sz w:val="24"/>
          <w:u w:val="single"/>
        </w:rPr>
        <w:t>2019</w:t>
      </w:r>
      <w:r w:rsidRPr="00B6079B">
        <w:rPr>
          <w:b/>
          <w:i/>
          <w:sz w:val="24"/>
          <w:u w:val="single"/>
        </w:rPr>
        <w:t>年</w:t>
      </w:r>
      <w:r w:rsidRPr="00B6079B">
        <w:rPr>
          <w:b/>
          <w:i/>
          <w:sz w:val="24"/>
          <w:u w:val="single"/>
        </w:rPr>
        <w:t>8</w:t>
      </w:r>
      <w:r w:rsidRPr="00B6079B">
        <w:rPr>
          <w:b/>
          <w:i/>
          <w:sz w:val="24"/>
          <w:u w:val="single"/>
        </w:rPr>
        <w:t>月</w:t>
      </w:r>
      <w:r w:rsidRPr="00B6079B">
        <w:rPr>
          <w:b/>
          <w:i/>
          <w:sz w:val="24"/>
          <w:u w:val="single"/>
        </w:rPr>
        <w:t>19</w:t>
      </w:r>
      <w:r w:rsidRPr="00B6079B">
        <w:rPr>
          <w:b/>
          <w:i/>
          <w:sz w:val="24"/>
          <w:u w:val="single"/>
        </w:rPr>
        <w:t>日</w:t>
      </w:r>
      <w:r w:rsidRPr="00B6079B">
        <w:rPr>
          <w:rFonts w:hint="eastAsia"/>
          <w:b/>
          <w:i/>
          <w:sz w:val="24"/>
          <w:u w:val="single"/>
        </w:rPr>
        <w:t>，</w:t>
      </w:r>
      <w:r w:rsidRPr="00B6079B">
        <w:rPr>
          <w:b/>
          <w:i/>
          <w:sz w:val="24"/>
          <w:u w:val="single"/>
        </w:rPr>
        <w:t>国家发展改革委</w:t>
      </w:r>
      <w:r w:rsidRPr="00B6079B">
        <w:rPr>
          <w:rFonts w:hint="eastAsia"/>
          <w:b/>
          <w:i/>
          <w:sz w:val="24"/>
          <w:u w:val="single"/>
        </w:rPr>
        <w:t>、</w:t>
      </w:r>
      <w:r w:rsidRPr="00B6079B">
        <w:rPr>
          <w:b/>
          <w:i/>
          <w:sz w:val="24"/>
          <w:u w:val="single"/>
        </w:rPr>
        <w:t>财政部</w:t>
      </w:r>
      <w:r w:rsidRPr="00B6079B">
        <w:rPr>
          <w:rFonts w:hint="eastAsia"/>
          <w:b/>
          <w:i/>
          <w:sz w:val="24"/>
          <w:u w:val="single"/>
        </w:rPr>
        <w:t>、</w:t>
      </w:r>
      <w:r w:rsidRPr="00B6079B">
        <w:rPr>
          <w:b/>
          <w:i/>
          <w:sz w:val="24"/>
          <w:u w:val="single"/>
        </w:rPr>
        <w:t>自然资源部</w:t>
      </w:r>
      <w:r w:rsidRPr="00B6079B">
        <w:rPr>
          <w:rFonts w:hint="eastAsia"/>
          <w:b/>
          <w:i/>
          <w:sz w:val="24"/>
          <w:u w:val="single"/>
        </w:rPr>
        <w:t>、</w:t>
      </w:r>
      <w:r w:rsidRPr="00B6079B">
        <w:rPr>
          <w:b/>
          <w:i/>
          <w:sz w:val="24"/>
          <w:u w:val="single"/>
        </w:rPr>
        <w:t>生态环境部</w:t>
      </w:r>
      <w:r w:rsidRPr="00B6079B">
        <w:rPr>
          <w:rFonts w:hint="eastAsia"/>
          <w:b/>
          <w:i/>
          <w:sz w:val="24"/>
          <w:u w:val="single"/>
        </w:rPr>
        <w:t>、</w:t>
      </w:r>
      <w:r w:rsidRPr="00B6079B">
        <w:rPr>
          <w:b/>
          <w:i/>
          <w:sz w:val="24"/>
          <w:u w:val="single"/>
        </w:rPr>
        <w:t>国家能源局</w:t>
      </w:r>
      <w:r w:rsidRPr="00B6079B">
        <w:rPr>
          <w:rFonts w:hint="eastAsia"/>
          <w:b/>
          <w:i/>
          <w:sz w:val="24"/>
          <w:u w:val="single"/>
        </w:rPr>
        <w:t>、</w:t>
      </w:r>
      <w:r w:rsidRPr="00B6079B">
        <w:rPr>
          <w:b/>
          <w:i/>
          <w:sz w:val="24"/>
          <w:u w:val="single"/>
        </w:rPr>
        <w:t>国家煤矿安监局</w:t>
      </w:r>
      <w:r w:rsidR="00B6079B" w:rsidRPr="00B6079B">
        <w:rPr>
          <w:rFonts w:hint="eastAsia"/>
          <w:b/>
          <w:i/>
          <w:sz w:val="24"/>
          <w:u w:val="single"/>
        </w:rPr>
        <w:t>发布了《</w:t>
      </w:r>
      <w:r w:rsidR="00B6079B" w:rsidRPr="00B6079B">
        <w:rPr>
          <w:b/>
          <w:bCs/>
          <w:i/>
          <w:sz w:val="24"/>
          <w:u w:val="single"/>
        </w:rPr>
        <w:t>关于印发《</w:t>
      </w:r>
      <w:r w:rsidR="00B6079B" w:rsidRPr="00B6079B">
        <w:rPr>
          <w:b/>
          <w:bCs/>
          <w:i/>
          <w:sz w:val="24"/>
          <w:u w:val="single"/>
        </w:rPr>
        <w:t>30</w:t>
      </w:r>
      <w:r w:rsidR="00B6079B" w:rsidRPr="00B6079B">
        <w:rPr>
          <w:b/>
          <w:bCs/>
          <w:i/>
          <w:sz w:val="24"/>
          <w:u w:val="single"/>
        </w:rPr>
        <w:t>万吨</w:t>
      </w:r>
      <w:r w:rsidR="00B6079B" w:rsidRPr="00B6079B">
        <w:rPr>
          <w:b/>
          <w:bCs/>
          <w:i/>
          <w:sz w:val="24"/>
          <w:u w:val="single"/>
        </w:rPr>
        <w:t>/</w:t>
      </w:r>
      <w:r w:rsidR="00B6079B" w:rsidRPr="00B6079B">
        <w:rPr>
          <w:b/>
          <w:bCs/>
          <w:i/>
          <w:sz w:val="24"/>
          <w:u w:val="single"/>
        </w:rPr>
        <w:t>年以下煤矿分类处置工作方案》的通知</w:t>
      </w:r>
      <w:r w:rsidR="00B6079B" w:rsidRPr="00B6079B">
        <w:rPr>
          <w:rFonts w:hint="eastAsia"/>
          <w:b/>
          <w:i/>
          <w:sz w:val="24"/>
          <w:u w:val="single"/>
        </w:rPr>
        <w:t>》</w:t>
      </w:r>
      <w:r w:rsidR="00B6079B" w:rsidRPr="00B6079B">
        <w:rPr>
          <w:rFonts w:hint="eastAsia"/>
          <w:b/>
          <w:bCs/>
          <w:i/>
          <w:sz w:val="24"/>
          <w:u w:val="single"/>
        </w:rPr>
        <w:t>（发改能源</w:t>
      </w:r>
      <w:r w:rsidR="00B6079B" w:rsidRPr="00B6079B">
        <w:rPr>
          <w:rFonts w:hint="eastAsia"/>
          <w:b/>
          <w:bCs/>
          <w:i/>
          <w:sz w:val="24"/>
          <w:u w:val="single"/>
        </w:rPr>
        <w:t>[2019]1377</w:t>
      </w:r>
      <w:r w:rsidR="00B6079B" w:rsidRPr="00B6079B">
        <w:rPr>
          <w:rFonts w:hint="eastAsia"/>
          <w:b/>
          <w:bCs/>
          <w:i/>
          <w:sz w:val="24"/>
          <w:u w:val="single"/>
        </w:rPr>
        <w:t>号文）。</w:t>
      </w:r>
      <w:r w:rsidR="00B6079B" w:rsidRPr="00B6079B">
        <w:rPr>
          <w:b/>
          <w:bCs/>
          <w:i/>
          <w:sz w:val="24"/>
          <w:u w:val="single"/>
        </w:rPr>
        <w:t>《</w:t>
      </w:r>
      <w:r w:rsidR="00B6079B" w:rsidRPr="00B6079B">
        <w:rPr>
          <w:b/>
          <w:bCs/>
          <w:i/>
          <w:sz w:val="24"/>
          <w:u w:val="single"/>
        </w:rPr>
        <w:t>30</w:t>
      </w:r>
      <w:r w:rsidR="00B6079B" w:rsidRPr="00B6079B">
        <w:rPr>
          <w:b/>
          <w:bCs/>
          <w:i/>
          <w:sz w:val="24"/>
          <w:u w:val="single"/>
        </w:rPr>
        <w:t>万吨</w:t>
      </w:r>
      <w:r w:rsidR="00B6079B" w:rsidRPr="00B6079B">
        <w:rPr>
          <w:b/>
          <w:bCs/>
          <w:i/>
          <w:sz w:val="24"/>
          <w:u w:val="single"/>
        </w:rPr>
        <w:t>/</w:t>
      </w:r>
      <w:r w:rsidR="00B6079B" w:rsidRPr="00B6079B">
        <w:rPr>
          <w:b/>
          <w:bCs/>
          <w:i/>
          <w:sz w:val="24"/>
          <w:u w:val="single"/>
        </w:rPr>
        <w:t>年以下煤矿分类处置工作方案》</w:t>
      </w:r>
      <w:r w:rsidR="00B6079B">
        <w:rPr>
          <w:rFonts w:hint="eastAsia"/>
          <w:b/>
          <w:bCs/>
          <w:i/>
          <w:sz w:val="24"/>
          <w:u w:val="single"/>
        </w:rPr>
        <w:t>相关内容</w:t>
      </w:r>
      <w:r w:rsidR="0025052B">
        <w:rPr>
          <w:rFonts w:hint="eastAsia"/>
          <w:b/>
          <w:bCs/>
          <w:i/>
          <w:sz w:val="24"/>
          <w:u w:val="single"/>
        </w:rPr>
        <w:t>及本项目与其相符性分析见表</w:t>
      </w:r>
      <w:r w:rsidR="0025052B">
        <w:rPr>
          <w:rFonts w:hint="eastAsia"/>
          <w:b/>
          <w:bCs/>
          <w:i/>
          <w:sz w:val="24"/>
          <w:u w:val="single"/>
        </w:rPr>
        <w:t>10.3-4</w:t>
      </w:r>
      <w:r w:rsidR="0025052B">
        <w:rPr>
          <w:rFonts w:hint="eastAsia"/>
          <w:b/>
          <w:bCs/>
          <w:i/>
          <w:sz w:val="24"/>
          <w:u w:val="single"/>
        </w:rPr>
        <w:t>，由表</w:t>
      </w:r>
      <w:r w:rsidR="0025052B">
        <w:rPr>
          <w:rFonts w:hint="eastAsia"/>
          <w:b/>
          <w:bCs/>
          <w:i/>
          <w:sz w:val="24"/>
          <w:u w:val="single"/>
        </w:rPr>
        <w:t>10.3-4</w:t>
      </w:r>
      <w:r w:rsidR="0025052B">
        <w:rPr>
          <w:rFonts w:hint="eastAsia"/>
          <w:b/>
          <w:bCs/>
          <w:i/>
          <w:sz w:val="24"/>
          <w:u w:val="single"/>
        </w:rPr>
        <w:t>分析可知，</w:t>
      </w:r>
      <w:r w:rsidR="0025052B" w:rsidRPr="00B6079B">
        <w:rPr>
          <w:b/>
          <w:i/>
          <w:sz w:val="24"/>
          <w:u w:val="single"/>
        </w:rPr>
        <w:t>隆庆煤矿</w:t>
      </w:r>
      <w:r w:rsidR="00EC66AD">
        <w:rPr>
          <w:rFonts w:hint="eastAsia"/>
          <w:b/>
          <w:i/>
          <w:sz w:val="24"/>
          <w:u w:val="single"/>
        </w:rPr>
        <w:t>位于</w:t>
      </w:r>
      <w:r w:rsidR="00EC66AD" w:rsidRPr="00EC66AD">
        <w:rPr>
          <w:rFonts w:hint="eastAsia"/>
          <w:b/>
          <w:i/>
          <w:sz w:val="24"/>
          <w:u w:val="single"/>
        </w:rPr>
        <w:t>河南省禹州市，设计规模</w:t>
      </w:r>
      <w:r w:rsidR="00EC66AD" w:rsidRPr="00EC66AD">
        <w:rPr>
          <w:rFonts w:hint="eastAsia"/>
          <w:b/>
          <w:i/>
          <w:sz w:val="24"/>
          <w:u w:val="single"/>
        </w:rPr>
        <w:t>30</w:t>
      </w:r>
      <w:r w:rsidR="00EC66AD" w:rsidRPr="00EC66AD">
        <w:rPr>
          <w:rFonts w:hint="eastAsia"/>
          <w:b/>
          <w:i/>
          <w:sz w:val="24"/>
          <w:u w:val="single"/>
        </w:rPr>
        <w:t>万吨</w:t>
      </w:r>
      <w:r w:rsidR="00EC66AD" w:rsidRPr="00EC66AD">
        <w:rPr>
          <w:rFonts w:hint="eastAsia"/>
          <w:b/>
          <w:i/>
          <w:sz w:val="24"/>
          <w:u w:val="single"/>
        </w:rPr>
        <w:t>/</w:t>
      </w:r>
      <w:r w:rsidR="00EC66AD" w:rsidRPr="00EC66AD">
        <w:rPr>
          <w:rFonts w:hint="eastAsia"/>
          <w:b/>
          <w:i/>
          <w:sz w:val="24"/>
          <w:u w:val="single"/>
        </w:rPr>
        <w:t>年，不属于冀辽吉黑苏皖鲁豫甘青新等</w:t>
      </w:r>
      <w:r w:rsidR="00EC66AD" w:rsidRPr="00EC66AD">
        <w:rPr>
          <w:rFonts w:hint="eastAsia"/>
          <w:b/>
          <w:i/>
          <w:sz w:val="24"/>
          <w:u w:val="single"/>
        </w:rPr>
        <w:t>11</w:t>
      </w:r>
      <w:r w:rsidR="00EC66AD" w:rsidRPr="00EC66AD">
        <w:rPr>
          <w:rFonts w:hint="eastAsia"/>
          <w:b/>
          <w:i/>
          <w:sz w:val="24"/>
          <w:u w:val="single"/>
        </w:rPr>
        <w:t>个地区</w:t>
      </w:r>
      <w:r w:rsidR="00EC66AD" w:rsidRPr="00EC66AD">
        <w:rPr>
          <w:rFonts w:hint="eastAsia"/>
          <w:b/>
          <w:i/>
          <w:sz w:val="24"/>
          <w:u w:val="single"/>
        </w:rPr>
        <w:t>15</w:t>
      </w:r>
      <w:r w:rsidR="00EC66AD" w:rsidRPr="00EC66AD">
        <w:rPr>
          <w:rFonts w:hint="eastAsia"/>
          <w:b/>
          <w:i/>
          <w:sz w:val="24"/>
          <w:u w:val="single"/>
        </w:rPr>
        <w:t>万吨</w:t>
      </w:r>
      <w:r w:rsidR="00EC66AD" w:rsidRPr="00EC66AD">
        <w:rPr>
          <w:rFonts w:hint="eastAsia"/>
          <w:b/>
          <w:i/>
          <w:sz w:val="24"/>
          <w:u w:val="single"/>
        </w:rPr>
        <w:t>/</w:t>
      </w:r>
      <w:r w:rsidR="00EC66AD" w:rsidRPr="00EC66AD">
        <w:rPr>
          <w:rFonts w:hint="eastAsia"/>
          <w:b/>
          <w:i/>
          <w:sz w:val="24"/>
          <w:u w:val="single"/>
        </w:rPr>
        <w:t>年以下</w:t>
      </w:r>
      <w:r w:rsidR="00EC66AD">
        <w:rPr>
          <w:rFonts w:hint="eastAsia"/>
          <w:b/>
          <w:i/>
          <w:sz w:val="24"/>
          <w:u w:val="single"/>
        </w:rPr>
        <w:t>煤矿，也不属于</w:t>
      </w:r>
      <w:r w:rsidR="00EC66AD" w:rsidRPr="00EC66AD">
        <w:rPr>
          <w:rFonts w:hint="eastAsia"/>
          <w:b/>
          <w:i/>
          <w:sz w:val="24"/>
          <w:u w:val="single"/>
        </w:rPr>
        <w:t>政策引导主动退出一批</w:t>
      </w:r>
      <w:r w:rsidR="00EC66AD">
        <w:rPr>
          <w:rFonts w:hint="eastAsia"/>
          <w:b/>
          <w:i/>
          <w:sz w:val="24"/>
          <w:u w:val="single"/>
        </w:rPr>
        <w:t>（</w:t>
      </w:r>
      <w:r w:rsidR="00EC66AD">
        <w:rPr>
          <w:rFonts w:hint="eastAsia"/>
          <w:b/>
          <w:i/>
          <w:sz w:val="24"/>
          <w:u w:val="single"/>
        </w:rPr>
        <w:t>30</w:t>
      </w:r>
      <w:r w:rsidR="00EC66AD" w:rsidRPr="00EC66AD">
        <w:rPr>
          <w:rFonts w:hint="eastAsia"/>
          <w:b/>
          <w:i/>
          <w:sz w:val="24"/>
          <w:u w:val="single"/>
        </w:rPr>
        <w:t>万吨</w:t>
      </w:r>
      <w:r w:rsidR="00EC66AD" w:rsidRPr="00EC66AD">
        <w:rPr>
          <w:rFonts w:hint="eastAsia"/>
          <w:b/>
          <w:i/>
          <w:sz w:val="24"/>
          <w:u w:val="single"/>
        </w:rPr>
        <w:t>/</w:t>
      </w:r>
      <w:r w:rsidR="00EC66AD" w:rsidRPr="00EC66AD">
        <w:rPr>
          <w:rFonts w:hint="eastAsia"/>
          <w:b/>
          <w:i/>
          <w:sz w:val="24"/>
          <w:u w:val="single"/>
        </w:rPr>
        <w:t>年以下</w:t>
      </w:r>
      <w:r w:rsidR="00EC66AD">
        <w:rPr>
          <w:rFonts w:hint="eastAsia"/>
          <w:b/>
          <w:i/>
          <w:sz w:val="24"/>
          <w:u w:val="single"/>
        </w:rPr>
        <w:t>煤矿）和</w:t>
      </w:r>
      <w:r w:rsidR="00EC66AD" w:rsidRPr="00EC66AD">
        <w:rPr>
          <w:rFonts w:hint="eastAsia"/>
          <w:b/>
          <w:i/>
          <w:sz w:val="24"/>
          <w:u w:val="single"/>
        </w:rPr>
        <w:t>严格监管监察确需保留的少量</w:t>
      </w:r>
      <w:r w:rsidR="00EC66AD" w:rsidRPr="00EC66AD">
        <w:rPr>
          <w:rFonts w:hint="eastAsia"/>
          <w:b/>
          <w:i/>
          <w:sz w:val="24"/>
          <w:u w:val="single"/>
        </w:rPr>
        <w:t>30</w:t>
      </w:r>
      <w:r w:rsidR="00EC66AD" w:rsidRPr="00EC66AD">
        <w:rPr>
          <w:rFonts w:hint="eastAsia"/>
          <w:b/>
          <w:i/>
          <w:sz w:val="24"/>
          <w:u w:val="single"/>
        </w:rPr>
        <w:t>万吨</w:t>
      </w:r>
      <w:r w:rsidR="00EC66AD" w:rsidRPr="00EC66AD">
        <w:rPr>
          <w:rFonts w:hint="eastAsia"/>
          <w:b/>
          <w:i/>
          <w:sz w:val="24"/>
          <w:u w:val="single"/>
        </w:rPr>
        <w:t>/</w:t>
      </w:r>
      <w:r w:rsidR="00EC66AD" w:rsidRPr="00EC66AD">
        <w:rPr>
          <w:rFonts w:hint="eastAsia"/>
          <w:b/>
          <w:i/>
          <w:sz w:val="24"/>
          <w:u w:val="single"/>
        </w:rPr>
        <w:t>年以下煤矿</w:t>
      </w:r>
      <w:r w:rsidR="00EC66AD">
        <w:rPr>
          <w:rFonts w:hint="eastAsia"/>
          <w:b/>
          <w:i/>
          <w:sz w:val="24"/>
          <w:u w:val="single"/>
        </w:rPr>
        <w:t>，属于（</w:t>
      </w:r>
      <w:r w:rsidR="00EC66AD" w:rsidRPr="00EC66AD">
        <w:rPr>
          <w:rFonts w:hint="eastAsia"/>
          <w:b/>
          <w:i/>
          <w:sz w:val="24"/>
          <w:u w:val="single"/>
        </w:rPr>
        <w:t>三</w:t>
      </w:r>
      <w:r w:rsidR="00EC66AD">
        <w:rPr>
          <w:rFonts w:hint="eastAsia"/>
          <w:b/>
          <w:i/>
          <w:sz w:val="24"/>
          <w:u w:val="single"/>
        </w:rPr>
        <w:t>）</w:t>
      </w:r>
      <w:r w:rsidR="00EC66AD" w:rsidRPr="00EC66AD">
        <w:rPr>
          <w:rFonts w:hint="eastAsia"/>
          <w:b/>
          <w:i/>
          <w:sz w:val="24"/>
          <w:u w:val="single"/>
        </w:rPr>
        <w:t>具备条件升级改造一批。</w:t>
      </w:r>
      <w:r w:rsidR="00EC66AD">
        <w:rPr>
          <w:rFonts w:hint="eastAsia"/>
          <w:b/>
          <w:i/>
          <w:sz w:val="24"/>
          <w:u w:val="single"/>
        </w:rPr>
        <w:t>且属于</w:t>
      </w:r>
      <w:r w:rsidR="0025052B" w:rsidRPr="00B6079B">
        <w:rPr>
          <w:b/>
          <w:i/>
          <w:sz w:val="24"/>
          <w:szCs w:val="28"/>
          <w:u w:val="single"/>
        </w:rPr>
        <w:t>豫工信办煤行〔</w:t>
      </w:r>
      <w:r w:rsidR="0025052B" w:rsidRPr="00B6079B">
        <w:rPr>
          <w:b/>
          <w:i/>
          <w:sz w:val="24"/>
          <w:szCs w:val="28"/>
          <w:u w:val="single"/>
        </w:rPr>
        <w:t>2020</w:t>
      </w:r>
      <w:r w:rsidR="0025052B" w:rsidRPr="00B6079B">
        <w:rPr>
          <w:b/>
          <w:i/>
          <w:sz w:val="24"/>
          <w:szCs w:val="28"/>
          <w:u w:val="single"/>
        </w:rPr>
        <w:t>〕</w:t>
      </w:r>
      <w:r w:rsidR="0025052B" w:rsidRPr="00B6079B">
        <w:rPr>
          <w:b/>
          <w:i/>
          <w:sz w:val="24"/>
          <w:szCs w:val="28"/>
          <w:u w:val="single"/>
        </w:rPr>
        <w:t>54</w:t>
      </w:r>
      <w:r w:rsidR="0025052B" w:rsidRPr="00B6079B">
        <w:rPr>
          <w:b/>
          <w:i/>
          <w:sz w:val="24"/>
          <w:szCs w:val="28"/>
          <w:u w:val="single"/>
        </w:rPr>
        <w:t>号</w:t>
      </w:r>
      <w:r w:rsidR="0025052B" w:rsidRPr="00B6079B">
        <w:rPr>
          <w:rFonts w:hint="eastAsia"/>
          <w:b/>
          <w:i/>
          <w:sz w:val="24"/>
          <w:szCs w:val="28"/>
          <w:u w:val="single"/>
        </w:rPr>
        <w:t>文</w:t>
      </w:r>
      <w:r w:rsidR="0025052B" w:rsidRPr="00B6079B">
        <w:rPr>
          <w:b/>
          <w:i/>
          <w:sz w:val="24"/>
          <w:szCs w:val="28"/>
          <w:u w:val="single"/>
        </w:rPr>
        <w:t>中具备条件升级改造一批名单</w:t>
      </w:r>
      <w:r w:rsidR="0025052B" w:rsidRPr="00B6079B">
        <w:rPr>
          <w:b/>
          <w:bCs/>
          <w:i/>
          <w:sz w:val="24"/>
          <w:szCs w:val="28"/>
          <w:u w:val="single"/>
        </w:rPr>
        <w:t>序号</w:t>
      </w:r>
      <w:r w:rsidR="0025052B" w:rsidRPr="00B6079B">
        <w:rPr>
          <w:b/>
          <w:bCs/>
          <w:i/>
          <w:sz w:val="24"/>
          <w:szCs w:val="28"/>
          <w:u w:val="single"/>
        </w:rPr>
        <w:t>9</w:t>
      </w:r>
      <w:r w:rsidR="0025052B" w:rsidRPr="00B6079B">
        <w:rPr>
          <w:b/>
          <w:i/>
          <w:sz w:val="24"/>
          <w:szCs w:val="28"/>
          <w:u w:val="single"/>
        </w:rPr>
        <w:t>，</w:t>
      </w:r>
      <w:r w:rsidR="00EC66AD">
        <w:rPr>
          <w:rFonts w:hint="eastAsia"/>
          <w:b/>
          <w:i/>
          <w:sz w:val="24"/>
          <w:szCs w:val="28"/>
          <w:u w:val="single"/>
        </w:rPr>
        <w:t>另外</w:t>
      </w:r>
      <w:r w:rsidR="0025052B" w:rsidRPr="00B6079B">
        <w:rPr>
          <w:b/>
          <w:i/>
          <w:sz w:val="24"/>
          <w:szCs w:val="28"/>
          <w:u w:val="single"/>
        </w:rPr>
        <w:t>本项目初步设计及本项目产能置换方案均已取得河南省工业和信息化厅批复（批复文号：</w:t>
      </w:r>
      <w:r w:rsidR="0025052B" w:rsidRPr="00B6079B">
        <w:rPr>
          <w:b/>
          <w:i/>
          <w:sz w:val="24"/>
          <w:u w:val="single"/>
        </w:rPr>
        <w:t>豫工信煤行函〔</w:t>
      </w:r>
      <w:r w:rsidR="0025052B" w:rsidRPr="00B6079B">
        <w:rPr>
          <w:b/>
          <w:i/>
          <w:sz w:val="24"/>
          <w:u w:val="single"/>
        </w:rPr>
        <w:t>2021</w:t>
      </w:r>
      <w:r w:rsidR="0025052B" w:rsidRPr="00B6079B">
        <w:rPr>
          <w:b/>
          <w:i/>
          <w:sz w:val="24"/>
          <w:u w:val="single"/>
        </w:rPr>
        <w:t>〕</w:t>
      </w:r>
      <w:r w:rsidR="0025052B" w:rsidRPr="00B6079B">
        <w:rPr>
          <w:b/>
          <w:i/>
          <w:sz w:val="24"/>
          <w:u w:val="single"/>
        </w:rPr>
        <w:t>4</w:t>
      </w:r>
      <w:r w:rsidR="0025052B" w:rsidRPr="00B6079B">
        <w:rPr>
          <w:b/>
          <w:i/>
          <w:sz w:val="24"/>
          <w:u w:val="single"/>
        </w:rPr>
        <w:t>号、豫工信煤行函〔</w:t>
      </w:r>
      <w:r w:rsidR="0025052B" w:rsidRPr="00B6079B">
        <w:rPr>
          <w:b/>
          <w:i/>
          <w:sz w:val="24"/>
          <w:u w:val="single"/>
        </w:rPr>
        <w:t>2021</w:t>
      </w:r>
      <w:r w:rsidR="0025052B" w:rsidRPr="00B6079B">
        <w:rPr>
          <w:b/>
          <w:i/>
          <w:sz w:val="24"/>
          <w:u w:val="single"/>
        </w:rPr>
        <w:t>〕</w:t>
      </w:r>
      <w:r w:rsidR="0025052B" w:rsidRPr="00B6079B">
        <w:rPr>
          <w:b/>
          <w:i/>
          <w:sz w:val="24"/>
          <w:u w:val="single"/>
        </w:rPr>
        <w:t>9</w:t>
      </w:r>
      <w:r w:rsidR="0025052B" w:rsidRPr="00B6079B">
        <w:rPr>
          <w:b/>
          <w:i/>
          <w:sz w:val="24"/>
          <w:u w:val="single"/>
        </w:rPr>
        <w:t>号</w:t>
      </w:r>
      <w:r w:rsidR="0025052B" w:rsidRPr="00B6079B">
        <w:rPr>
          <w:b/>
          <w:i/>
          <w:sz w:val="24"/>
          <w:szCs w:val="28"/>
          <w:u w:val="single"/>
        </w:rPr>
        <w:t>），</w:t>
      </w:r>
      <w:r w:rsidR="00EC66AD">
        <w:rPr>
          <w:rFonts w:hint="eastAsia"/>
          <w:b/>
          <w:i/>
          <w:sz w:val="24"/>
          <w:szCs w:val="28"/>
          <w:u w:val="single"/>
        </w:rPr>
        <w:t>因此项目建设</w:t>
      </w:r>
      <w:r w:rsidR="0025052B" w:rsidRPr="00B6079B">
        <w:rPr>
          <w:b/>
          <w:i/>
          <w:sz w:val="24"/>
          <w:szCs w:val="28"/>
          <w:u w:val="single"/>
        </w:rPr>
        <w:t>符合</w:t>
      </w:r>
      <w:r w:rsidR="00EC66AD" w:rsidRPr="00EC66AD">
        <w:rPr>
          <w:rFonts w:hint="eastAsia"/>
          <w:b/>
          <w:bCs/>
          <w:i/>
          <w:sz w:val="24"/>
          <w:szCs w:val="28"/>
          <w:u w:val="single"/>
        </w:rPr>
        <w:t>《关于印发＜</w:t>
      </w:r>
      <w:r w:rsidR="00EC66AD" w:rsidRPr="00EC66AD">
        <w:rPr>
          <w:rFonts w:hint="eastAsia"/>
          <w:b/>
          <w:bCs/>
          <w:i/>
          <w:sz w:val="24"/>
          <w:szCs w:val="28"/>
          <w:u w:val="single"/>
        </w:rPr>
        <w:t>30</w:t>
      </w:r>
      <w:r w:rsidR="00EC66AD" w:rsidRPr="00EC66AD">
        <w:rPr>
          <w:rFonts w:hint="eastAsia"/>
          <w:b/>
          <w:bCs/>
          <w:i/>
          <w:sz w:val="24"/>
          <w:szCs w:val="28"/>
          <w:u w:val="single"/>
        </w:rPr>
        <w:t>万吨</w:t>
      </w:r>
      <w:r w:rsidR="00EC66AD" w:rsidRPr="00EC66AD">
        <w:rPr>
          <w:rFonts w:hint="eastAsia"/>
          <w:b/>
          <w:bCs/>
          <w:i/>
          <w:sz w:val="24"/>
          <w:szCs w:val="28"/>
          <w:u w:val="single"/>
        </w:rPr>
        <w:t>/</w:t>
      </w:r>
      <w:r w:rsidR="00EC66AD" w:rsidRPr="00EC66AD">
        <w:rPr>
          <w:rFonts w:hint="eastAsia"/>
          <w:b/>
          <w:bCs/>
          <w:i/>
          <w:sz w:val="24"/>
          <w:szCs w:val="28"/>
          <w:u w:val="single"/>
        </w:rPr>
        <w:t>年以下煤矿分类处置工作方案＞的通知》（发改能源</w:t>
      </w:r>
      <w:r w:rsidR="00EC66AD" w:rsidRPr="00EC66AD">
        <w:rPr>
          <w:rFonts w:hint="eastAsia"/>
          <w:b/>
          <w:bCs/>
          <w:i/>
          <w:sz w:val="24"/>
          <w:szCs w:val="28"/>
          <w:u w:val="single"/>
        </w:rPr>
        <w:t>[2019]1377</w:t>
      </w:r>
      <w:r w:rsidR="00EC66AD" w:rsidRPr="00EC66AD">
        <w:rPr>
          <w:rFonts w:hint="eastAsia"/>
          <w:b/>
          <w:bCs/>
          <w:i/>
          <w:sz w:val="24"/>
          <w:szCs w:val="28"/>
          <w:u w:val="single"/>
        </w:rPr>
        <w:t>号文）</w:t>
      </w:r>
      <w:r w:rsidR="0025052B" w:rsidRPr="00B6079B">
        <w:rPr>
          <w:b/>
          <w:i/>
          <w:sz w:val="24"/>
          <w:szCs w:val="28"/>
          <w:u w:val="single"/>
        </w:rPr>
        <w:t>的有关要求。</w:t>
      </w:r>
    </w:p>
    <w:p w:rsidR="00F62DED" w:rsidRDefault="00F62DED">
      <w:pPr>
        <w:widowControl/>
        <w:jc w:val="left"/>
        <w:rPr>
          <w:b/>
          <w:sz w:val="24"/>
        </w:rPr>
      </w:pPr>
      <w:r>
        <w:rPr>
          <w:b/>
          <w:sz w:val="24"/>
        </w:rPr>
        <w:br w:type="page"/>
      </w:r>
    </w:p>
    <w:p w:rsidR="0025052B" w:rsidRDefault="0025052B" w:rsidP="0025052B">
      <w:pPr>
        <w:spacing w:line="520" w:lineRule="exact"/>
        <w:jc w:val="center"/>
        <w:rPr>
          <w:b/>
          <w:sz w:val="24"/>
        </w:rPr>
      </w:pPr>
      <w:r>
        <w:rPr>
          <w:b/>
          <w:sz w:val="24"/>
        </w:rPr>
        <w:lastRenderedPageBreak/>
        <w:t>表</w:t>
      </w:r>
      <w:r>
        <w:rPr>
          <w:b/>
          <w:sz w:val="24"/>
        </w:rPr>
        <w:t xml:space="preserve">10.3-3  </w:t>
      </w:r>
      <w:r>
        <w:rPr>
          <w:b/>
          <w:sz w:val="24"/>
        </w:rPr>
        <w:t>与</w:t>
      </w:r>
      <w:r w:rsidRPr="0025052B">
        <w:rPr>
          <w:b/>
          <w:bCs/>
          <w:i/>
          <w:sz w:val="24"/>
          <w:u w:val="single"/>
        </w:rPr>
        <w:t>《</w:t>
      </w:r>
      <w:r w:rsidRPr="0025052B">
        <w:rPr>
          <w:b/>
          <w:bCs/>
          <w:i/>
          <w:sz w:val="24"/>
          <w:u w:val="single"/>
        </w:rPr>
        <w:t>30</w:t>
      </w:r>
      <w:r w:rsidRPr="0025052B">
        <w:rPr>
          <w:b/>
          <w:bCs/>
          <w:i/>
          <w:sz w:val="24"/>
          <w:u w:val="single"/>
        </w:rPr>
        <w:t>万吨</w:t>
      </w:r>
      <w:r w:rsidRPr="0025052B">
        <w:rPr>
          <w:b/>
          <w:bCs/>
          <w:i/>
          <w:sz w:val="24"/>
          <w:u w:val="single"/>
        </w:rPr>
        <w:t>/</w:t>
      </w:r>
      <w:r w:rsidRPr="0025052B">
        <w:rPr>
          <w:b/>
          <w:bCs/>
          <w:i/>
          <w:sz w:val="24"/>
          <w:u w:val="single"/>
        </w:rPr>
        <w:t>年以下煤矿分类处置工作方案》</w:t>
      </w:r>
      <w:r>
        <w:rPr>
          <w:b/>
          <w:sz w:val="24"/>
        </w:rPr>
        <w:t>相符性</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5958"/>
        <w:gridCol w:w="2076"/>
        <w:gridCol w:w="716"/>
      </w:tblGrid>
      <w:tr w:rsidR="0025052B" w:rsidTr="0083751B">
        <w:tc>
          <w:tcPr>
            <w:tcW w:w="3405" w:type="pct"/>
            <w:tcBorders>
              <w:top w:val="single" w:sz="12" w:space="0" w:color="auto"/>
              <w:left w:val="single" w:sz="4" w:space="0" w:color="auto"/>
              <w:bottom w:val="single" w:sz="4" w:space="0" w:color="auto"/>
              <w:right w:val="single" w:sz="4" w:space="0" w:color="auto"/>
            </w:tcBorders>
            <w:vAlign w:val="center"/>
          </w:tcPr>
          <w:p w:rsidR="0025052B" w:rsidRDefault="0025052B" w:rsidP="0025052B">
            <w:pPr>
              <w:spacing w:line="260" w:lineRule="exact"/>
              <w:jc w:val="center"/>
              <w:rPr>
                <w:b/>
                <w:sz w:val="21"/>
                <w:szCs w:val="21"/>
              </w:rPr>
            </w:pPr>
            <w:r>
              <w:rPr>
                <w:rFonts w:hint="eastAsia"/>
                <w:b/>
                <w:sz w:val="21"/>
                <w:szCs w:val="21"/>
              </w:rPr>
              <w:t>相关内容</w:t>
            </w:r>
          </w:p>
        </w:tc>
        <w:tc>
          <w:tcPr>
            <w:tcW w:w="1186" w:type="pct"/>
            <w:tcBorders>
              <w:top w:val="single" w:sz="12" w:space="0" w:color="auto"/>
              <w:left w:val="single" w:sz="4" w:space="0" w:color="auto"/>
              <w:bottom w:val="single" w:sz="4" w:space="0" w:color="auto"/>
              <w:right w:val="single" w:sz="4" w:space="0" w:color="auto"/>
            </w:tcBorders>
            <w:vAlign w:val="center"/>
          </w:tcPr>
          <w:p w:rsidR="0025052B" w:rsidRDefault="0025052B" w:rsidP="00326173">
            <w:pPr>
              <w:spacing w:line="260" w:lineRule="exact"/>
              <w:jc w:val="center"/>
              <w:rPr>
                <w:b/>
                <w:sz w:val="21"/>
                <w:szCs w:val="21"/>
              </w:rPr>
            </w:pPr>
            <w:r>
              <w:rPr>
                <w:b/>
                <w:sz w:val="21"/>
                <w:szCs w:val="21"/>
              </w:rPr>
              <w:t>本项目情况</w:t>
            </w:r>
          </w:p>
        </w:tc>
        <w:tc>
          <w:tcPr>
            <w:tcW w:w="409" w:type="pct"/>
            <w:tcBorders>
              <w:top w:val="single" w:sz="12" w:space="0" w:color="auto"/>
              <w:left w:val="single" w:sz="4" w:space="0" w:color="auto"/>
              <w:bottom w:val="single" w:sz="4" w:space="0" w:color="auto"/>
              <w:right w:val="single" w:sz="12" w:space="0" w:color="auto"/>
            </w:tcBorders>
            <w:vAlign w:val="center"/>
          </w:tcPr>
          <w:p w:rsidR="0025052B" w:rsidRDefault="0025052B" w:rsidP="00326173">
            <w:pPr>
              <w:spacing w:line="260" w:lineRule="exact"/>
              <w:jc w:val="center"/>
              <w:rPr>
                <w:b/>
                <w:sz w:val="21"/>
                <w:szCs w:val="21"/>
              </w:rPr>
            </w:pPr>
            <w:r>
              <w:rPr>
                <w:b/>
                <w:sz w:val="21"/>
                <w:szCs w:val="21"/>
              </w:rPr>
              <w:t>相符性</w:t>
            </w:r>
          </w:p>
        </w:tc>
      </w:tr>
      <w:tr w:rsidR="0025052B" w:rsidTr="0083751B">
        <w:tc>
          <w:tcPr>
            <w:tcW w:w="3405" w:type="pct"/>
            <w:tcBorders>
              <w:top w:val="single" w:sz="4" w:space="0" w:color="auto"/>
              <w:left w:val="single" w:sz="4" w:space="0" w:color="auto"/>
              <w:bottom w:val="single" w:sz="4" w:space="0" w:color="auto"/>
              <w:right w:val="single" w:sz="4" w:space="0" w:color="auto"/>
            </w:tcBorders>
            <w:vAlign w:val="center"/>
          </w:tcPr>
          <w:p w:rsidR="0025052B" w:rsidRDefault="0025052B" w:rsidP="0025052B">
            <w:pPr>
              <w:spacing w:line="260" w:lineRule="exact"/>
              <w:jc w:val="center"/>
              <w:rPr>
                <w:sz w:val="21"/>
                <w:szCs w:val="21"/>
              </w:rPr>
            </w:pPr>
            <w:r w:rsidRPr="0025052B">
              <w:rPr>
                <w:rFonts w:hint="eastAsia"/>
                <w:b/>
                <w:i/>
                <w:sz w:val="21"/>
                <w:szCs w:val="21"/>
                <w:u w:val="single"/>
              </w:rPr>
              <w:t>（一）严格执法限期关闭一批。通过严格安全环保质量标准等措施，加快关闭退出不达标的</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年以下煤矿。按照发改能源〔</w:t>
            </w:r>
            <w:r w:rsidRPr="0025052B">
              <w:rPr>
                <w:rFonts w:hint="eastAsia"/>
                <w:b/>
                <w:i/>
                <w:sz w:val="21"/>
                <w:szCs w:val="21"/>
                <w:u w:val="single"/>
              </w:rPr>
              <w:t>2019</w:t>
            </w:r>
            <w:r w:rsidRPr="0025052B">
              <w:rPr>
                <w:rFonts w:hint="eastAsia"/>
                <w:b/>
                <w:i/>
                <w:sz w:val="21"/>
                <w:szCs w:val="21"/>
                <w:u w:val="single"/>
              </w:rPr>
              <w:t>〕</w:t>
            </w:r>
            <w:r w:rsidRPr="0025052B">
              <w:rPr>
                <w:rFonts w:hint="eastAsia"/>
                <w:b/>
                <w:i/>
                <w:sz w:val="21"/>
                <w:szCs w:val="21"/>
                <w:u w:val="single"/>
              </w:rPr>
              <w:t>764</w:t>
            </w:r>
            <w:r w:rsidRPr="0025052B">
              <w:rPr>
                <w:rFonts w:hint="eastAsia"/>
                <w:b/>
                <w:i/>
                <w:sz w:val="21"/>
                <w:szCs w:val="21"/>
                <w:u w:val="single"/>
              </w:rPr>
              <w:t>号、发改运行〔</w:t>
            </w:r>
            <w:r w:rsidRPr="0025052B">
              <w:rPr>
                <w:rFonts w:hint="eastAsia"/>
                <w:b/>
                <w:i/>
                <w:sz w:val="21"/>
                <w:szCs w:val="21"/>
                <w:u w:val="single"/>
              </w:rPr>
              <w:t>2019</w:t>
            </w:r>
            <w:r w:rsidRPr="0025052B">
              <w:rPr>
                <w:rFonts w:hint="eastAsia"/>
                <w:b/>
                <w:i/>
                <w:sz w:val="21"/>
                <w:szCs w:val="21"/>
                <w:u w:val="single"/>
              </w:rPr>
              <w:t>〕</w:t>
            </w:r>
            <w:r w:rsidRPr="0025052B">
              <w:rPr>
                <w:rFonts w:hint="eastAsia"/>
                <w:b/>
                <w:i/>
                <w:sz w:val="21"/>
                <w:szCs w:val="21"/>
                <w:u w:val="single"/>
              </w:rPr>
              <w:t>785</w:t>
            </w:r>
            <w:r w:rsidRPr="0025052B">
              <w:rPr>
                <w:rFonts w:hint="eastAsia"/>
                <w:b/>
                <w:i/>
                <w:sz w:val="21"/>
                <w:szCs w:val="21"/>
                <w:u w:val="single"/>
              </w:rPr>
              <w:t>号等文件要求，</w:t>
            </w:r>
            <w:r w:rsidRPr="0025052B">
              <w:rPr>
                <w:rFonts w:hint="eastAsia"/>
                <w:b/>
                <w:i/>
                <w:sz w:val="21"/>
                <w:szCs w:val="21"/>
                <w:u w:val="single"/>
              </w:rPr>
              <w:t>2019</w:t>
            </w:r>
            <w:r w:rsidRPr="0025052B">
              <w:rPr>
                <w:rFonts w:hint="eastAsia"/>
                <w:b/>
                <w:i/>
                <w:sz w:val="21"/>
                <w:szCs w:val="21"/>
                <w:u w:val="single"/>
              </w:rPr>
              <w:t>年基本退出以下煤矿：晋陕蒙宁等</w:t>
            </w:r>
            <w:r w:rsidRPr="0025052B">
              <w:rPr>
                <w:rFonts w:hint="eastAsia"/>
                <w:b/>
                <w:i/>
                <w:sz w:val="21"/>
                <w:szCs w:val="21"/>
                <w:u w:val="single"/>
              </w:rPr>
              <w:t>4</w:t>
            </w:r>
            <w:r w:rsidRPr="0025052B">
              <w:rPr>
                <w:rFonts w:hint="eastAsia"/>
                <w:b/>
                <w:i/>
                <w:sz w:val="21"/>
                <w:szCs w:val="21"/>
                <w:u w:val="single"/>
              </w:rPr>
              <w:t>个地区</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年以下、冀辽吉黑苏皖鲁豫甘青新等</w:t>
            </w:r>
            <w:r w:rsidRPr="0025052B">
              <w:rPr>
                <w:rFonts w:hint="eastAsia"/>
                <w:b/>
                <w:i/>
                <w:sz w:val="21"/>
                <w:szCs w:val="21"/>
                <w:u w:val="single"/>
              </w:rPr>
              <w:t>11</w:t>
            </w:r>
            <w:r w:rsidRPr="0025052B">
              <w:rPr>
                <w:rFonts w:hint="eastAsia"/>
                <w:b/>
                <w:i/>
                <w:sz w:val="21"/>
                <w:szCs w:val="21"/>
                <w:u w:val="single"/>
              </w:rPr>
              <w:t>个地区</w:t>
            </w:r>
            <w:r w:rsidRPr="0025052B">
              <w:rPr>
                <w:rFonts w:hint="eastAsia"/>
                <w:b/>
                <w:i/>
                <w:sz w:val="21"/>
                <w:szCs w:val="21"/>
                <w:u w:val="single"/>
              </w:rPr>
              <w:t>15</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年以下、其他地区</w:t>
            </w:r>
            <w:r w:rsidRPr="0025052B">
              <w:rPr>
                <w:rFonts w:hint="eastAsia"/>
                <w:b/>
                <w:i/>
                <w:sz w:val="21"/>
                <w:szCs w:val="21"/>
                <w:u w:val="single"/>
              </w:rPr>
              <w:t>9</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年及以下的煤矿；长期停产停建（包括超过批准建设工期</w:t>
            </w:r>
            <w:r w:rsidRPr="0025052B">
              <w:rPr>
                <w:rFonts w:hint="eastAsia"/>
                <w:b/>
                <w:i/>
                <w:sz w:val="21"/>
                <w:szCs w:val="21"/>
                <w:u w:val="single"/>
              </w:rPr>
              <w:t xml:space="preserve"> 1</w:t>
            </w:r>
            <w:r w:rsidRPr="0025052B">
              <w:rPr>
                <w:rFonts w:hint="eastAsia"/>
                <w:b/>
                <w:i/>
                <w:sz w:val="21"/>
                <w:szCs w:val="21"/>
                <w:u w:val="single"/>
              </w:rPr>
              <w:t>年以上未完成项目建设）的</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年以下“僵尸企业”煤矿；</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冲击地压、煤与瓦斯突出等灾害严重煤矿。属于满足林区、边远山区居民生活用煤需要或承担特殊供应任务，且符合资源、环保、安全、技术、能耗等标准的煤矿，经省级人民政府批准，可以暂时保留或推迟退出。</w:t>
            </w:r>
          </w:p>
        </w:tc>
        <w:tc>
          <w:tcPr>
            <w:tcW w:w="1186" w:type="pct"/>
            <w:tcBorders>
              <w:top w:val="single" w:sz="4" w:space="0" w:color="auto"/>
              <w:left w:val="single" w:sz="4" w:space="0" w:color="auto"/>
              <w:bottom w:val="single" w:sz="4" w:space="0" w:color="auto"/>
              <w:right w:val="single" w:sz="4" w:space="0" w:color="auto"/>
            </w:tcBorders>
            <w:vAlign w:val="center"/>
          </w:tcPr>
          <w:p w:rsidR="0025052B" w:rsidRDefault="0025052B" w:rsidP="0083751B">
            <w:pPr>
              <w:spacing w:line="260" w:lineRule="exact"/>
              <w:rPr>
                <w:sz w:val="21"/>
                <w:szCs w:val="21"/>
              </w:rPr>
            </w:pPr>
            <w:r>
              <w:rPr>
                <w:rFonts w:hint="eastAsia"/>
                <w:sz w:val="21"/>
                <w:szCs w:val="21"/>
              </w:rPr>
              <w:t>本项目位于河南省禹州市，设计规模</w:t>
            </w:r>
            <w:r>
              <w:rPr>
                <w:rFonts w:hint="eastAsia"/>
                <w:sz w:val="21"/>
                <w:szCs w:val="21"/>
              </w:rPr>
              <w:t>30</w:t>
            </w:r>
            <w:r>
              <w:rPr>
                <w:rFonts w:hint="eastAsia"/>
                <w:sz w:val="21"/>
                <w:szCs w:val="21"/>
              </w:rPr>
              <w:t>万吨</w:t>
            </w:r>
            <w:r>
              <w:rPr>
                <w:rFonts w:hint="eastAsia"/>
                <w:sz w:val="21"/>
                <w:szCs w:val="21"/>
              </w:rPr>
              <w:t>/</w:t>
            </w:r>
            <w:r>
              <w:rPr>
                <w:rFonts w:hint="eastAsia"/>
                <w:sz w:val="21"/>
                <w:szCs w:val="21"/>
              </w:rPr>
              <w:t>年，不属于</w:t>
            </w:r>
            <w:r w:rsidRPr="0025052B">
              <w:rPr>
                <w:rFonts w:hint="eastAsia"/>
                <w:b/>
                <w:i/>
                <w:sz w:val="21"/>
                <w:szCs w:val="21"/>
                <w:u w:val="single"/>
              </w:rPr>
              <w:t>冀辽吉黑苏皖鲁豫甘青新等</w:t>
            </w:r>
            <w:r w:rsidRPr="0025052B">
              <w:rPr>
                <w:rFonts w:hint="eastAsia"/>
                <w:b/>
                <w:i/>
                <w:sz w:val="21"/>
                <w:szCs w:val="21"/>
                <w:u w:val="single"/>
              </w:rPr>
              <w:t>11</w:t>
            </w:r>
            <w:r w:rsidRPr="0025052B">
              <w:rPr>
                <w:rFonts w:hint="eastAsia"/>
                <w:b/>
                <w:i/>
                <w:sz w:val="21"/>
                <w:szCs w:val="21"/>
                <w:u w:val="single"/>
              </w:rPr>
              <w:t>个地区</w:t>
            </w:r>
            <w:r w:rsidRPr="0025052B">
              <w:rPr>
                <w:rFonts w:hint="eastAsia"/>
                <w:b/>
                <w:i/>
                <w:sz w:val="21"/>
                <w:szCs w:val="21"/>
                <w:u w:val="single"/>
              </w:rPr>
              <w:t>15</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w:t>
            </w:r>
          </w:p>
        </w:tc>
        <w:tc>
          <w:tcPr>
            <w:tcW w:w="409" w:type="pct"/>
            <w:tcBorders>
              <w:top w:val="single" w:sz="4" w:space="0" w:color="auto"/>
              <w:left w:val="single" w:sz="4" w:space="0" w:color="auto"/>
              <w:bottom w:val="single" w:sz="4" w:space="0" w:color="auto"/>
              <w:right w:val="single" w:sz="12" w:space="0" w:color="auto"/>
            </w:tcBorders>
            <w:vAlign w:val="center"/>
          </w:tcPr>
          <w:p w:rsidR="0025052B" w:rsidRDefault="0025052B" w:rsidP="00326173">
            <w:pPr>
              <w:spacing w:line="260" w:lineRule="exact"/>
              <w:jc w:val="center"/>
              <w:rPr>
                <w:sz w:val="21"/>
                <w:szCs w:val="21"/>
              </w:rPr>
            </w:pPr>
            <w:r>
              <w:rPr>
                <w:sz w:val="21"/>
                <w:szCs w:val="21"/>
              </w:rPr>
              <w:t>符合</w:t>
            </w:r>
          </w:p>
        </w:tc>
      </w:tr>
      <w:tr w:rsidR="0025052B" w:rsidTr="0083751B">
        <w:tc>
          <w:tcPr>
            <w:tcW w:w="3405" w:type="pct"/>
            <w:tcBorders>
              <w:top w:val="single" w:sz="4" w:space="0" w:color="auto"/>
              <w:left w:val="single" w:sz="4" w:space="0" w:color="auto"/>
              <w:bottom w:val="single" w:sz="4" w:space="0" w:color="auto"/>
              <w:right w:val="single" w:sz="4" w:space="0" w:color="auto"/>
            </w:tcBorders>
            <w:vAlign w:val="center"/>
          </w:tcPr>
          <w:p w:rsidR="0025052B" w:rsidRDefault="0025052B" w:rsidP="0025052B">
            <w:pPr>
              <w:spacing w:line="260" w:lineRule="exact"/>
              <w:jc w:val="center"/>
              <w:rPr>
                <w:sz w:val="21"/>
                <w:szCs w:val="21"/>
              </w:rPr>
            </w:pPr>
            <w:r w:rsidRPr="0025052B">
              <w:rPr>
                <w:rFonts w:hint="eastAsia"/>
                <w:b/>
                <w:i/>
                <w:sz w:val="21"/>
                <w:szCs w:val="21"/>
                <w:u w:val="single"/>
              </w:rPr>
              <w:t>（二）政策引导主动退出一批。通过煤炭产能置换、中央财政奖补资金支持等政策，以华北、西北、西南、“两湖一江”（湖北、湖南和江西）地区及黑龙江省为重点，引导资源条件差、竞争力弱、生态环境影响大的</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年以下煤矿主动退出。</w:t>
            </w:r>
          </w:p>
        </w:tc>
        <w:tc>
          <w:tcPr>
            <w:tcW w:w="1186" w:type="pct"/>
            <w:tcBorders>
              <w:top w:val="single" w:sz="4" w:space="0" w:color="auto"/>
              <w:left w:val="single" w:sz="4" w:space="0" w:color="auto"/>
              <w:bottom w:val="single" w:sz="4" w:space="0" w:color="auto"/>
              <w:right w:val="single" w:sz="4" w:space="0" w:color="auto"/>
            </w:tcBorders>
            <w:vAlign w:val="center"/>
          </w:tcPr>
          <w:p w:rsidR="0025052B" w:rsidRDefault="0083751B" w:rsidP="00326173">
            <w:pPr>
              <w:spacing w:line="260" w:lineRule="exact"/>
              <w:jc w:val="center"/>
              <w:rPr>
                <w:sz w:val="21"/>
                <w:szCs w:val="21"/>
              </w:rPr>
            </w:pPr>
            <w:r>
              <w:rPr>
                <w:rFonts w:hint="eastAsia"/>
                <w:sz w:val="21"/>
                <w:szCs w:val="21"/>
              </w:rPr>
              <w:t>不属于</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年以下煤矿</w:t>
            </w:r>
          </w:p>
        </w:tc>
        <w:tc>
          <w:tcPr>
            <w:tcW w:w="409" w:type="pct"/>
            <w:tcBorders>
              <w:top w:val="single" w:sz="4" w:space="0" w:color="auto"/>
              <w:left w:val="single" w:sz="4" w:space="0" w:color="auto"/>
              <w:bottom w:val="single" w:sz="4" w:space="0" w:color="auto"/>
              <w:right w:val="single" w:sz="12" w:space="0" w:color="auto"/>
            </w:tcBorders>
            <w:vAlign w:val="center"/>
          </w:tcPr>
          <w:p w:rsidR="0025052B" w:rsidRDefault="0083751B" w:rsidP="00326173">
            <w:pPr>
              <w:spacing w:line="260" w:lineRule="exact"/>
              <w:jc w:val="center"/>
              <w:rPr>
                <w:sz w:val="21"/>
                <w:szCs w:val="21"/>
              </w:rPr>
            </w:pPr>
            <w:r>
              <w:rPr>
                <w:rFonts w:hint="eastAsia"/>
                <w:sz w:val="21"/>
                <w:szCs w:val="21"/>
              </w:rPr>
              <w:t>符合</w:t>
            </w:r>
          </w:p>
        </w:tc>
      </w:tr>
      <w:tr w:rsidR="0025052B" w:rsidTr="0083751B">
        <w:tc>
          <w:tcPr>
            <w:tcW w:w="3405" w:type="pct"/>
            <w:tcBorders>
              <w:top w:val="single" w:sz="4" w:space="0" w:color="auto"/>
              <w:left w:val="single" w:sz="4" w:space="0" w:color="auto"/>
              <w:bottom w:val="single" w:sz="4" w:space="0" w:color="auto"/>
              <w:right w:val="single" w:sz="4" w:space="0" w:color="auto"/>
            </w:tcBorders>
            <w:vAlign w:val="center"/>
          </w:tcPr>
          <w:p w:rsidR="0025052B" w:rsidRDefault="0025052B" w:rsidP="0025052B">
            <w:pPr>
              <w:spacing w:line="260" w:lineRule="exact"/>
              <w:jc w:val="center"/>
              <w:rPr>
                <w:sz w:val="21"/>
                <w:szCs w:val="21"/>
              </w:rPr>
            </w:pPr>
            <w:r w:rsidRPr="0025052B">
              <w:rPr>
                <w:rFonts w:hint="eastAsia"/>
                <w:b/>
                <w:i/>
                <w:sz w:val="21"/>
                <w:szCs w:val="21"/>
                <w:u w:val="single"/>
              </w:rPr>
              <w:t>（三）具备条件升级改造一批。支持剩余资源有保障、安全条件较好的煤矿改造提升至</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及以上规模并实现机械化开采。近三年来发生较大及以上安全生产责任事故的煤矿不得作为升级改造的实施主体。升级改造后的煤矿应具备合理服务年限，新增产能部分要落实产能置换要求。鼓励具备条件的相邻矿井通过联合改造提升能力。改扩建项目核准、初步设计审批、环评等手续最迟应于</w:t>
            </w:r>
            <w:r w:rsidRPr="0025052B">
              <w:rPr>
                <w:rFonts w:hint="eastAsia"/>
                <w:b/>
                <w:i/>
                <w:sz w:val="21"/>
                <w:szCs w:val="21"/>
                <w:u w:val="single"/>
              </w:rPr>
              <w:t>2020</w:t>
            </w:r>
            <w:r w:rsidRPr="0025052B">
              <w:rPr>
                <w:rFonts w:hint="eastAsia"/>
                <w:b/>
                <w:i/>
                <w:sz w:val="21"/>
                <w:szCs w:val="21"/>
                <w:u w:val="single"/>
              </w:rPr>
              <w:t>年</w:t>
            </w:r>
            <w:r w:rsidRPr="0025052B">
              <w:rPr>
                <w:rFonts w:hint="eastAsia"/>
                <w:b/>
                <w:i/>
                <w:sz w:val="21"/>
                <w:szCs w:val="21"/>
                <w:u w:val="single"/>
              </w:rPr>
              <w:t>12</w:t>
            </w:r>
            <w:r w:rsidRPr="0025052B">
              <w:rPr>
                <w:rFonts w:hint="eastAsia"/>
                <w:b/>
                <w:i/>
                <w:sz w:val="21"/>
                <w:szCs w:val="21"/>
                <w:u w:val="single"/>
              </w:rPr>
              <w:t>月底前完成。</w:t>
            </w:r>
          </w:p>
        </w:tc>
        <w:tc>
          <w:tcPr>
            <w:tcW w:w="1186" w:type="pct"/>
            <w:tcBorders>
              <w:top w:val="single" w:sz="4" w:space="0" w:color="auto"/>
              <w:left w:val="single" w:sz="4" w:space="0" w:color="auto"/>
              <w:bottom w:val="single" w:sz="4" w:space="0" w:color="auto"/>
              <w:right w:val="single" w:sz="4" w:space="0" w:color="auto"/>
            </w:tcBorders>
            <w:vAlign w:val="center"/>
          </w:tcPr>
          <w:p w:rsidR="0025052B" w:rsidRDefault="0083751B" w:rsidP="0083751B">
            <w:pPr>
              <w:spacing w:line="260" w:lineRule="exact"/>
              <w:jc w:val="center"/>
              <w:rPr>
                <w:sz w:val="21"/>
                <w:szCs w:val="21"/>
              </w:rPr>
            </w:pPr>
            <w:r>
              <w:rPr>
                <w:rFonts w:hint="eastAsia"/>
                <w:sz w:val="21"/>
                <w:szCs w:val="21"/>
              </w:rPr>
              <w:t>本项目近</w:t>
            </w:r>
            <w:r>
              <w:rPr>
                <w:rFonts w:hint="eastAsia"/>
                <w:sz w:val="21"/>
                <w:szCs w:val="21"/>
              </w:rPr>
              <w:t>3</w:t>
            </w:r>
            <w:r>
              <w:rPr>
                <w:rFonts w:hint="eastAsia"/>
                <w:sz w:val="21"/>
                <w:szCs w:val="21"/>
              </w:rPr>
              <w:t>年未发生较大及以上安全生产责任事故，剩余资源有保障、安全条件较好，升级改造至</w:t>
            </w:r>
            <w:r>
              <w:rPr>
                <w:rFonts w:hint="eastAsia"/>
                <w:sz w:val="21"/>
                <w:szCs w:val="21"/>
              </w:rPr>
              <w:t>30</w:t>
            </w:r>
            <w:r>
              <w:rPr>
                <w:rFonts w:hint="eastAsia"/>
                <w:sz w:val="21"/>
                <w:szCs w:val="21"/>
              </w:rPr>
              <w:t>万吨</w:t>
            </w:r>
            <w:r>
              <w:rPr>
                <w:rFonts w:hint="eastAsia"/>
                <w:sz w:val="21"/>
                <w:szCs w:val="21"/>
              </w:rPr>
              <w:t>/</w:t>
            </w:r>
            <w:r>
              <w:rPr>
                <w:rFonts w:hint="eastAsia"/>
                <w:sz w:val="21"/>
                <w:szCs w:val="21"/>
              </w:rPr>
              <w:t>年后机械化开采，且服务年限较长（</w:t>
            </w:r>
            <w:r>
              <w:rPr>
                <w:rFonts w:hint="eastAsia"/>
                <w:sz w:val="21"/>
                <w:szCs w:val="21"/>
              </w:rPr>
              <w:t>11.6a</w:t>
            </w:r>
            <w:r>
              <w:rPr>
                <w:rFonts w:hint="eastAsia"/>
                <w:sz w:val="21"/>
                <w:szCs w:val="21"/>
              </w:rPr>
              <w:t>），</w:t>
            </w:r>
            <w:r w:rsidRPr="0083751B">
              <w:rPr>
                <w:b/>
                <w:i/>
                <w:sz w:val="21"/>
                <w:szCs w:val="21"/>
                <w:u w:val="single"/>
              </w:rPr>
              <w:t>产能置换方案取得河南省工业和信息化厅批复（豫工信煤行函〔</w:t>
            </w:r>
            <w:r w:rsidRPr="0083751B">
              <w:rPr>
                <w:b/>
                <w:i/>
                <w:sz w:val="21"/>
                <w:szCs w:val="21"/>
                <w:u w:val="single"/>
              </w:rPr>
              <w:t>2021</w:t>
            </w:r>
            <w:r w:rsidRPr="0083751B">
              <w:rPr>
                <w:b/>
                <w:i/>
                <w:sz w:val="21"/>
                <w:szCs w:val="21"/>
                <w:u w:val="single"/>
              </w:rPr>
              <w:t>〕</w:t>
            </w:r>
            <w:r w:rsidRPr="0083751B">
              <w:rPr>
                <w:b/>
                <w:i/>
                <w:sz w:val="21"/>
                <w:szCs w:val="21"/>
                <w:u w:val="single"/>
              </w:rPr>
              <w:t>9</w:t>
            </w:r>
            <w:r w:rsidRPr="0083751B">
              <w:rPr>
                <w:b/>
                <w:i/>
                <w:sz w:val="21"/>
                <w:szCs w:val="21"/>
                <w:u w:val="single"/>
              </w:rPr>
              <w:t>号）</w:t>
            </w:r>
            <w:r>
              <w:rPr>
                <w:rFonts w:hint="eastAsia"/>
                <w:b/>
                <w:i/>
                <w:sz w:val="21"/>
                <w:szCs w:val="21"/>
                <w:u w:val="single"/>
              </w:rPr>
              <w:t>，</w:t>
            </w:r>
            <w:r>
              <w:rPr>
                <w:rFonts w:hint="eastAsia"/>
                <w:sz w:val="21"/>
                <w:szCs w:val="21"/>
              </w:rPr>
              <w:t>已取得项目核准、初步设计审批手续，正在履行环评手续</w:t>
            </w:r>
          </w:p>
        </w:tc>
        <w:tc>
          <w:tcPr>
            <w:tcW w:w="409" w:type="pct"/>
            <w:tcBorders>
              <w:top w:val="single" w:sz="4" w:space="0" w:color="auto"/>
              <w:left w:val="single" w:sz="4" w:space="0" w:color="auto"/>
              <w:bottom w:val="single" w:sz="4" w:space="0" w:color="auto"/>
              <w:right w:val="single" w:sz="12" w:space="0" w:color="auto"/>
            </w:tcBorders>
            <w:vAlign w:val="center"/>
          </w:tcPr>
          <w:p w:rsidR="0025052B" w:rsidRPr="0083751B" w:rsidRDefault="0083751B" w:rsidP="00326173">
            <w:pPr>
              <w:spacing w:line="260" w:lineRule="exact"/>
              <w:jc w:val="center"/>
              <w:rPr>
                <w:sz w:val="21"/>
                <w:szCs w:val="21"/>
              </w:rPr>
            </w:pPr>
            <w:r>
              <w:rPr>
                <w:rFonts w:hint="eastAsia"/>
                <w:sz w:val="21"/>
                <w:szCs w:val="21"/>
              </w:rPr>
              <w:t>符合</w:t>
            </w:r>
          </w:p>
        </w:tc>
      </w:tr>
      <w:tr w:rsidR="0025052B" w:rsidTr="0083751B">
        <w:tc>
          <w:tcPr>
            <w:tcW w:w="3405" w:type="pct"/>
            <w:tcBorders>
              <w:top w:val="single" w:sz="4" w:space="0" w:color="auto"/>
              <w:left w:val="single" w:sz="4" w:space="0" w:color="auto"/>
              <w:bottom w:val="single" w:sz="4" w:space="0" w:color="auto"/>
              <w:right w:val="single" w:sz="4" w:space="0" w:color="auto"/>
            </w:tcBorders>
            <w:vAlign w:val="center"/>
          </w:tcPr>
          <w:p w:rsidR="0025052B" w:rsidRDefault="0025052B" w:rsidP="00326173">
            <w:pPr>
              <w:spacing w:line="260" w:lineRule="exact"/>
              <w:jc w:val="center"/>
              <w:rPr>
                <w:sz w:val="21"/>
                <w:szCs w:val="21"/>
              </w:rPr>
            </w:pPr>
            <w:r w:rsidRPr="0025052B">
              <w:rPr>
                <w:rFonts w:hint="eastAsia"/>
                <w:b/>
                <w:i/>
                <w:sz w:val="21"/>
                <w:szCs w:val="21"/>
                <w:u w:val="single"/>
              </w:rPr>
              <w:t>（四）严格监管监察确需保留的少量</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年以下煤矿。对保留的</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年以下煤矿报经省级人民政府同意后建立清单、严格管理，地方政府相关部门和煤矿安全监察机构要加强监管监察，采取有效措施，严防违法违规行为。煤矿企业要加快实施机械化、自动化、智能化改造，力争到</w:t>
            </w:r>
            <w:r w:rsidRPr="0025052B">
              <w:rPr>
                <w:rFonts w:hint="eastAsia"/>
                <w:b/>
                <w:i/>
                <w:sz w:val="21"/>
                <w:szCs w:val="21"/>
                <w:u w:val="single"/>
              </w:rPr>
              <w:t>2020</w:t>
            </w:r>
            <w:r w:rsidRPr="0025052B">
              <w:rPr>
                <w:rFonts w:hint="eastAsia"/>
                <w:b/>
                <w:i/>
                <w:sz w:val="21"/>
                <w:szCs w:val="21"/>
                <w:u w:val="single"/>
              </w:rPr>
              <w:t>年底前全部实现采煤机械化。确需保留及升级改造的煤矿，应符合生态环境保护法律法规及生态保护红线管控要求，符合环境影响评价有关规定。</w:t>
            </w:r>
          </w:p>
        </w:tc>
        <w:tc>
          <w:tcPr>
            <w:tcW w:w="1186" w:type="pct"/>
            <w:tcBorders>
              <w:top w:val="single" w:sz="4" w:space="0" w:color="auto"/>
              <w:left w:val="single" w:sz="4" w:space="0" w:color="auto"/>
              <w:bottom w:val="single" w:sz="4" w:space="0" w:color="auto"/>
              <w:right w:val="single" w:sz="4" w:space="0" w:color="auto"/>
            </w:tcBorders>
            <w:vAlign w:val="center"/>
          </w:tcPr>
          <w:p w:rsidR="0025052B" w:rsidRDefault="0083751B" w:rsidP="0083751B">
            <w:pPr>
              <w:spacing w:line="260" w:lineRule="exact"/>
              <w:jc w:val="center"/>
              <w:rPr>
                <w:sz w:val="21"/>
                <w:szCs w:val="21"/>
              </w:rPr>
            </w:pPr>
            <w:r>
              <w:rPr>
                <w:rFonts w:hint="eastAsia"/>
                <w:b/>
                <w:i/>
                <w:sz w:val="21"/>
                <w:szCs w:val="21"/>
                <w:u w:val="single"/>
              </w:rPr>
              <w:t>不属于</w:t>
            </w:r>
            <w:r w:rsidRPr="0025052B">
              <w:rPr>
                <w:rFonts w:hint="eastAsia"/>
                <w:b/>
                <w:i/>
                <w:sz w:val="21"/>
                <w:szCs w:val="21"/>
                <w:u w:val="single"/>
              </w:rPr>
              <w:t>30</w:t>
            </w:r>
            <w:r w:rsidRPr="0025052B">
              <w:rPr>
                <w:rFonts w:hint="eastAsia"/>
                <w:b/>
                <w:i/>
                <w:sz w:val="21"/>
                <w:szCs w:val="21"/>
                <w:u w:val="single"/>
              </w:rPr>
              <w:t>万吨</w:t>
            </w:r>
            <w:r w:rsidRPr="0025052B">
              <w:rPr>
                <w:rFonts w:hint="eastAsia"/>
                <w:b/>
                <w:i/>
                <w:sz w:val="21"/>
                <w:szCs w:val="21"/>
                <w:u w:val="single"/>
              </w:rPr>
              <w:t>/</w:t>
            </w:r>
            <w:r w:rsidRPr="0025052B">
              <w:rPr>
                <w:rFonts w:hint="eastAsia"/>
                <w:b/>
                <w:i/>
                <w:sz w:val="21"/>
                <w:szCs w:val="21"/>
                <w:u w:val="single"/>
              </w:rPr>
              <w:t>年以下煤矿</w:t>
            </w:r>
          </w:p>
        </w:tc>
        <w:tc>
          <w:tcPr>
            <w:tcW w:w="409" w:type="pct"/>
            <w:tcBorders>
              <w:top w:val="single" w:sz="4" w:space="0" w:color="auto"/>
              <w:left w:val="single" w:sz="4" w:space="0" w:color="auto"/>
              <w:bottom w:val="single" w:sz="4" w:space="0" w:color="auto"/>
              <w:right w:val="single" w:sz="12" w:space="0" w:color="auto"/>
            </w:tcBorders>
            <w:vAlign w:val="center"/>
          </w:tcPr>
          <w:p w:rsidR="0025052B" w:rsidRDefault="0083751B" w:rsidP="00326173">
            <w:pPr>
              <w:spacing w:line="260" w:lineRule="exact"/>
              <w:jc w:val="center"/>
              <w:rPr>
                <w:sz w:val="21"/>
                <w:szCs w:val="21"/>
              </w:rPr>
            </w:pPr>
            <w:r>
              <w:rPr>
                <w:rFonts w:hint="eastAsia"/>
                <w:sz w:val="21"/>
                <w:szCs w:val="21"/>
              </w:rPr>
              <w:t>符合</w:t>
            </w:r>
          </w:p>
        </w:tc>
      </w:tr>
    </w:tbl>
    <w:p w:rsidR="00102D0F" w:rsidRDefault="00102D0F" w:rsidP="009C5F33">
      <w:pPr>
        <w:keepNext/>
        <w:keepLines/>
        <w:adjustRightInd w:val="0"/>
        <w:snapToGrid w:val="0"/>
        <w:spacing w:beforeLines="70" w:afterLines="30"/>
        <w:jc w:val="left"/>
        <w:outlineLvl w:val="2"/>
        <w:rPr>
          <w:rFonts w:eastAsia="楷体"/>
          <w:b/>
          <w:bCs/>
          <w:szCs w:val="28"/>
        </w:rPr>
      </w:pPr>
      <w:r>
        <w:rPr>
          <w:rFonts w:eastAsia="楷体"/>
          <w:b/>
          <w:bCs/>
          <w:szCs w:val="28"/>
        </w:rPr>
        <w:t>10.3.</w:t>
      </w:r>
      <w:r w:rsidR="00EC66AD">
        <w:rPr>
          <w:rFonts w:eastAsia="楷体" w:hint="eastAsia"/>
          <w:b/>
          <w:bCs/>
          <w:szCs w:val="28"/>
        </w:rPr>
        <w:t>5</w:t>
      </w:r>
      <w:r>
        <w:rPr>
          <w:rFonts w:eastAsia="楷体"/>
          <w:b/>
          <w:bCs/>
          <w:szCs w:val="28"/>
        </w:rPr>
        <w:t xml:space="preserve"> </w:t>
      </w:r>
      <w:r>
        <w:rPr>
          <w:rFonts w:eastAsia="楷体"/>
          <w:b/>
          <w:bCs/>
          <w:szCs w:val="28"/>
        </w:rPr>
        <w:t>与《河南省工业和信息化厅关于切实做好全省</w:t>
      </w:r>
      <w:r>
        <w:rPr>
          <w:rFonts w:eastAsia="楷体"/>
          <w:b/>
          <w:bCs/>
          <w:szCs w:val="28"/>
        </w:rPr>
        <w:t>30</w:t>
      </w:r>
      <w:r>
        <w:rPr>
          <w:rFonts w:eastAsia="楷体"/>
          <w:b/>
          <w:bCs/>
          <w:szCs w:val="28"/>
        </w:rPr>
        <w:t>万吨</w:t>
      </w:r>
      <w:r>
        <w:rPr>
          <w:rFonts w:eastAsia="楷体"/>
          <w:b/>
          <w:bCs/>
          <w:szCs w:val="28"/>
        </w:rPr>
        <w:t>/</w:t>
      </w:r>
      <w:r>
        <w:rPr>
          <w:rFonts w:eastAsia="楷体"/>
          <w:b/>
          <w:bCs/>
          <w:szCs w:val="28"/>
        </w:rPr>
        <w:t>年以下煤矿分类处置工作的通知》（豫工信办煤行〔</w:t>
      </w:r>
      <w:r>
        <w:rPr>
          <w:rFonts w:eastAsia="楷体"/>
          <w:b/>
          <w:bCs/>
          <w:szCs w:val="28"/>
        </w:rPr>
        <w:t>2020</w:t>
      </w:r>
      <w:r>
        <w:rPr>
          <w:rFonts w:eastAsia="楷体"/>
          <w:b/>
          <w:bCs/>
          <w:szCs w:val="28"/>
        </w:rPr>
        <w:t>〕</w:t>
      </w:r>
      <w:r>
        <w:rPr>
          <w:rFonts w:eastAsia="楷体"/>
          <w:b/>
          <w:bCs/>
          <w:szCs w:val="28"/>
        </w:rPr>
        <w:t>54</w:t>
      </w:r>
      <w:r>
        <w:rPr>
          <w:rFonts w:eastAsia="楷体"/>
          <w:b/>
          <w:bCs/>
          <w:szCs w:val="28"/>
        </w:rPr>
        <w:t>号）相符性</w:t>
      </w:r>
    </w:p>
    <w:p w:rsidR="00102D0F" w:rsidRDefault="00102D0F" w:rsidP="00102D0F">
      <w:pPr>
        <w:spacing w:line="500" w:lineRule="exact"/>
        <w:ind w:firstLineChars="200" w:firstLine="480"/>
        <w:rPr>
          <w:sz w:val="24"/>
          <w:szCs w:val="28"/>
        </w:rPr>
      </w:pPr>
      <w:r>
        <w:rPr>
          <w:sz w:val="24"/>
          <w:szCs w:val="28"/>
        </w:rPr>
        <w:t>根据河南省工业和信息化厅文件《河南省工业和信息化厅关于切实做好全省</w:t>
      </w:r>
      <w:r>
        <w:rPr>
          <w:sz w:val="24"/>
          <w:szCs w:val="28"/>
        </w:rPr>
        <w:t>30</w:t>
      </w:r>
      <w:r>
        <w:rPr>
          <w:sz w:val="24"/>
          <w:szCs w:val="28"/>
        </w:rPr>
        <w:t>万吨</w:t>
      </w:r>
      <w:r>
        <w:rPr>
          <w:sz w:val="24"/>
          <w:szCs w:val="28"/>
        </w:rPr>
        <w:t>/</w:t>
      </w:r>
      <w:r>
        <w:rPr>
          <w:sz w:val="24"/>
          <w:szCs w:val="28"/>
        </w:rPr>
        <w:t>年以下煤矿分类处置工作的通知》（豫工信办煤行〔</w:t>
      </w:r>
      <w:r>
        <w:rPr>
          <w:sz w:val="24"/>
          <w:szCs w:val="28"/>
        </w:rPr>
        <w:t>2020</w:t>
      </w:r>
      <w:r>
        <w:rPr>
          <w:sz w:val="24"/>
          <w:szCs w:val="28"/>
        </w:rPr>
        <w:t>〕</w:t>
      </w:r>
      <w:r>
        <w:rPr>
          <w:sz w:val="24"/>
          <w:szCs w:val="28"/>
        </w:rPr>
        <w:t>54</w:t>
      </w:r>
      <w:r>
        <w:rPr>
          <w:sz w:val="24"/>
          <w:szCs w:val="28"/>
        </w:rPr>
        <w:t>号）的有关要求：分类处置包括</w:t>
      </w:r>
      <w:r>
        <w:rPr>
          <w:rFonts w:hint="eastAsia"/>
          <w:sz w:val="24"/>
          <w:szCs w:val="28"/>
        </w:rPr>
        <w:t>：</w:t>
      </w:r>
    </w:p>
    <w:p w:rsidR="00102D0F" w:rsidRDefault="00102D0F" w:rsidP="00102D0F">
      <w:pPr>
        <w:spacing w:line="500" w:lineRule="exact"/>
        <w:ind w:firstLineChars="200" w:firstLine="480"/>
        <w:rPr>
          <w:sz w:val="24"/>
          <w:szCs w:val="28"/>
        </w:rPr>
      </w:pPr>
      <w:r>
        <w:rPr>
          <w:sz w:val="24"/>
          <w:szCs w:val="28"/>
        </w:rPr>
        <w:lastRenderedPageBreak/>
        <w:t>（</w:t>
      </w:r>
      <w:r>
        <w:rPr>
          <w:sz w:val="24"/>
          <w:szCs w:val="28"/>
        </w:rPr>
        <w:t>1</w:t>
      </w:r>
      <w:r>
        <w:rPr>
          <w:sz w:val="24"/>
          <w:szCs w:val="28"/>
        </w:rPr>
        <w:t>）严格执法限期关闭一批；</w:t>
      </w:r>
    </w:p>
    <w:p w:rsidR="00102D0F" w:rsidRDefault="00102D0F" w:rsidP="00102D0F">
      <w:pPr>
        <w:spacing w:line="500" w:lineRule="exact"/>
        <w:ind w:firstLineChars="200" w:firstLine="480"/>
        <w:rPr>
          <w:sz w:val="24"/>
          <w:szCs w:val="28"/>
        </w:rPr>
      </w:pPr>
      <w:r>
        <w:rPr>
          <w:sz w:val="24"/>
          <w:szCs w:val="28"/>
        </w:rPr>
        <w:t>（</w:t>
      </w:r>
      <w:r>
        <w:rPr>
          <w:sz w:val="24"/>
          <w:szCs w:val="28"/>
        </w:rPr>
        <w:t>2</w:t>
      </w:r>
      <w:r>
        <w:rPr>
          <w:sz w:val="24"/>
          <w:szCs w:val="28"/>
        </w:rPr>
        <w:t>）政策引导主动退出一批；</w:t>
      </w:r>
    </w:p>
    <w:p w:rsidR="00102D0F" w:rsidRDefault="00102D0F" w:rsidP="00102D0F">
      <w:pPr>
        <w:spacing w:line="500" w:lineRule="exact"/>
        <w:ind w:firstLineChars="200" w:firstLine="480"/>
        <w:rPr>
          <w:sz w:val="24"/>
          <w:szCs w:val="28"/>
        </w:rPr>
      </w:pPr>
      <w:r>
        <w:rPr>
          <w:sz w:val="24"/>
          <w:szCs w:val="28"/>
        </w:rPr>
        <w:t>（</w:t>
      </w:r>
      <w:r>
        <w:rPr>
          <w:sz w:val="24"/>
          <w:szCs w:val="28"/>
        </w:rPr>
        <w:t>3</w:t>
      </w:r>
      <w:r>
        <w:rPr>
          <w:sz w:val="24"/>
          <w:szCs w:val="28"/>
        </w:rPr>
        <w:t>）具备条件升级改造一批；</w:t>
      </w:r>
    </w:p>
    <w:p w:rsidR="00102D0F" w:rsidRDefault="00102D0F" w:rsidP="00102D0F">
      <w:pPr>
        <w:spacing w:line="500" w:lineRule="exact"/>
        <w:ind w:firstLineChars="200" w:firstLine="480"/>
        <w:rPr>
          <w:sz w:val="24"/>
          <w:szCs w:val="28"/>
        </w:rPr>
      </w:pPr>
      <w:r>
        <w:rPr>
          <w:sz w:val="24"/>
          <w:szCs w:val="28"/>
        </w:rPr>
        <w:t>（</w:t>
      </w:r>
      <w:r>
        <w:rPr>
          <w:sz w:val="24"/>
          <w:szCs w:val="28"/>
        </w:rPr>
        <w:t>4</w:t>
      </w:r>
      <w:r>
        <w:rPr>
          <w:sz w:val="24"/>
          <w:szCs w:val="28"/>
        </w:rPr>
        <w:t>）少量保留一批。</w:t>
      </w:r>
    </w:p>
    <w:p w:rsidR="00240BCE" w:rsidRDefault="00102D0F" w:rsidP="00102D0F">
      <w:pPr>
        <w:spacing w:line="500" w:lineRule="exact"/>
        <w:ind w:firstLineChars="200" w:firstLine="480"/>
        <w:rPr>
          <w:b/>
          <w:sz w:val="24"/>
        </w:rPr>
      </w:pPr>
      <w:r>
        <w:rPr>
          <w:sz w:val="24"/>
        </w:rPr>
        <w:t>隆庆煤矿属于分类处置中的（</w:t>
      </w:r>
      <w:r>
        <w:rPr>
          <w:sz w:val="24"/>
        </w:rPr>
        <w:t>3</w:t>
      </w:r>
      <w:r>
        <w:rPr>
          <w:sz w:val="24"/>
        </w:rPr>
        <w:t>）具备条件升级改造的一批，具体见</w:t>
      </w:r>
      <w:r>
        <w:rPr>
          <w:sz w:val="24"/>
          <w:szCs w:val="28"/>
        </w:rPr>
        <w:t>豫工信办煤行〔</w:t>
      </w:r>
      <w:r>
        <w:rPr>
          <w:sz w:val="24"/>
          <w:szCs w:val="28"/>
        </w:rPr>
        <w:t>2020</w:t>
      </w:r>
      <w:r>
        <w:rPr>
          <w:sz w:val="24"/>
          <w:szCs w:val="28"/>
        </w:rPr>
        <w:t>〕</w:t>
      </w:r>
      <w:r>
        <w:rPr>
          <w:sz w:val="24"/>
          <w:szCs w:val="28"/>
        </w:rPr>
        <w:t>54</w:t>
      </w:r>
      <w:r>
        <w:rPr>
          <w:sz w:val="24"/>
          <w:szCs w:val="28"/>
        </w:rPr>
        <w:t>号</w:t>
      </w:r>
      <w:r>
        <w:rPr>
          <w:rFonts w:hint="eastAsia"/>
          <w:sz w:val="24"/>
          <w:szCs w:val="28"/>
        </w:rPr>
        <w:t>文</w:t>
      </w:r>
      <w:r>
        <w:rPr>
          <w:sz w:val="24"/>
          <w:szCs w:val="28"/>
        </w:rPr>
        <w:t>中具备条件升级改造一批名单</w:t>
      </w:r>
      <w:r>
        <w:rPr>
          <w:b/>
          <w:bCs/>
          <w:sz w:val="24"/>
          <w:szCs w:val="28"/>
        </w:rPr>
        <w:t>序号</w:t>
      </w:r>
      <w:r>
        <w:rPr>
          <w:b/>
          <w:bCs/>
          <w:sz w:val="24"/>
          <w:szCs w:val="28"/>
        </w:rPr>
        <w:t>9</w:t>
      </w:r>
      <w:r>
        <w:rPr>
          <w:sz w:val="24"/>
          <w:szCs w:val="28"/>
        </w:rPr>
        <w:t>，且本项目初步设计及本项目产能置换方案均已取得河南省工业和信息化厅批复（批复文号：</w:t>
      </w:r>
      <w:r>
        <w:rPr>
          <w:sz w:val="24"/>
        </w:rPr>
        <w:t>豫工信煤行函〔</w:t>
      </w:r>
      <w:r>
        <w:rPr>
          <w:sz w:val="24"/>
        </w:rPr>
        <w:t>2021</w:t>
      </w:r>
      <w:r>
        <w:rPr>
          <w:sz w:val="24"/>
        </w:rPr>
        <w:t>〕</w:t>
      </w:r>
      <w:r>
        <w:rPr>
          <w:sz w:val="24"/>
        </w:rPr>
        <w:t>4</w:t>
      </w:r>
      <w:r>
        <w:rPr>
          <w:sz w:val="24"/>
        </w:rPr>
        <w:t>号、豫工信煤行函〔</w:t>
      </w:r>
      <w:r>
        <w:rPr>
          <w:sz w:val="24"/>
        </w:rPr>
        <w:t>2021</w:t>
      </w:r>
      <w:r>
        <w:rPr>
          <w:sz w:val="24"/>
        </w:rPr>
        <w:t>〕</w:t>
      </w:r>
      <w:r>
        <w:rPr>
          <w:sz w:val="24"/>
        </w:rPr>
        <w:t>9</w:t>
      </w:r>
      <w:r>
        <w:rPr>
          <w:sz w:val="24"/>
        </w:rPr>
        <w:t>号</w:t>
      </w:r>
      <w:r>
        <w:rPr>
          <w:sz w:val="24"/>
          <w:szCs w:val="28"/>
        </w:rPr>
        <w:t>），符合《河南省工业和信息化厅关于切实做好全省</w:t>
      </w:r>
      <w:r>
        <w:rPr>
          <w:sz w:val="24"/>
          <w:szCs w:val="28"/>
        </w:rPr>
        <w:t>30</w:t>
      </w:r>
      <w:r>
        <w:rPr>
          <w:sz w:val="24"/>
          <w:szCs w:val="28"/>
        </w:rPr>
        <w:t>万吨</w:t>
      </w:r>
      <w:r>
        <w:rPr>
          <w:sz w:val="24"/>
          <w:szCs w:val="28"/>
        </w:rPr>
        <w:t>/</w:t>
      </w:r>
      <w:r>
        <w:rPr>
          <w:sz w:val="24"/>
          <w:szCs w:val="28"/>
        </w:rPr>
        <w:t>年以下煤矿分类处置工作的通知》（豫工信办煤行〔</w:t>
      </w:r>
      <w:r>
        <w:rPr>
          <w:sz w:val="24"/>
          <w:szCs w:val="28"/>
        </w:rPr>
        <w:t>2020</w:t>
      </w:r>
      <w:r>
        <w:rPr>
          <w:sz w:val="24"/>
          <w:szCs w:val="28"/>
        </w:rPr>
        <w:t>〕</w:t>
      </w:r>
      <w:r>
        <w:rPr>
          <w:sz w:val="24"/>
          <w:szCs w:val="28"/>
        </w:rPr>
        <w:t>54</w:t>
      </w:r>
      <w:r>
        <w:rPr>
          <w:sz w:val="24"/>
          <w:szCs w:val="28"/>
        </w:rPr>
        <w:t>号）的有关要求。</w:t>
      </w:r>
    </w:p>
    <w:p w:rsidR="00240BCE" w:rsidRDefault="00AC0334" w:rsidP="009C5F33">
      <w:pPr>
        <w:adjustRightInd w:val="0"/>
        <w:snapToGrid w:val="0"/>
        <w:spacing w:beforeLines="70" w:afterLines="30"/>
        <w:jc w:val="left"/>
        <w:outlineLvl w:val="2"/>
        <w:rPr>
          <w:rFonts w:eastAsia="楷体"/>
          <w:b/>
          <w:bCs/>
          <w:kern w:val="28"/>
          <w:szCs w:val="28"/>
        </w:rPr>
      </w:pPr>
      <w:r>
        <w:rPr>
          <w:rFonts w:eastAsia="楷体"/>
          <w:b/>
          <w:bCs/>
          <w:kern w:val="28"/>
          <w:szCs w:val="28"/>
        </w:rPr>
        <w:t>10.3.</w:t>
      </w:r>
      <w:r w:rsidR="00EC66AD">
        <w:rPr>
          <w:rFonts w:eastAsia="楷体" w:hint="eastAsia"/>
          <w:b/>
          <w:bCs/>
          <w:kern w:val="28"/>
          <w:szCs w:val="28"/>
        </w:rPr>
        <w:t>6</w:t>
      </w:r>
      <w:r>
        <w:rPr>
          <w:rFonts w:eastAsia="楷体"/>
          <w:b/>
          <w:bCs/>
          <w:kern w:val="28"/>
          <w:szCs w:val="28"/>
        </w:rPr>
        <w:t>国务院《关于印发打赢蓝天保卫战三年行动计划的通知》（国发</w:t>
      </w:r>
      <w:r>
        <w:rPr>
          <w:rFonts w:eastAsia="楷体"/>
          <w:b/>
          <w:bCs/>
          <w:kern w:val="28"/>
          <w:szCs w:val="28"/>
        </w:rPr>
        <w:t>[2018]22</w:t>
      </w:r>
      <w:r>
        <w:rPr>
          <w:rFonts w:eastAsia="楷体"/>
          <w:b/>
          <w:bCs/>
          <w:kern w:val="28"/>
          <w:szCs w:val="28"/>
        </w:rPr>
        <w:t>号）</w:t>
      </w:r>
    </w:p>
    <w:p w:rsidR="00240BCE" w:rsidRDefault="00AC0334">
      <w:pPr>
        <w:spacing w:line="520" w:lineRule="exact"/>
        <w:ind w:firstLineChars="200" w:firstLine="480"/>
        <w:rPr>
          <w:kern w:val="28"/>
          <w:sz w:val="24"/>
        </w:rPr>
      </w:pPr>
      <w:r>
        <w:rPr>
          <w:kern w:val="28"/>
          <w:sz w:val="24"/>
        </w:rPr>
        <w:t>打赢蓝天保卫战，是党的十九大作出的重大决策部署，事关满足人民日益增长的美好生活需要，事关全面建成小康社会，事关经济高质量发展和美丽中国建设。为加快改善环境空气质量，打赢蓝天保卫战，</w:t>
      </w:r>
      <w:r>
        <w:rPr>
          <w:kern w:val="28"/>
          <w:sz w:val="24"/>
        </w:rPr>
        <w:t>2018</w:t>
      </w:r>
      <w:r>
        <w:rPr>
          <w:kern w:val="28"/>
          <w:sz w:val="24"/>
        </w:rPr>
        <w:t>年</w:t>
      </w:r>
      <w:r>
        <w:rPr>
          <w:kern w:val="28"/>
          <w:sz w:val="24"/>
        </w:rPr>
        <w:t>6</w:t>
      </w:r>
      <w:r>
        <w:rPr>
          <w:kern w:val="28"/>
          <w:sz w:val="24"/>
        </w:rPr>
        <w:t>月</w:t>
      </w:r>
      <w:r>
        <w:rPr>
          <w:kern w:val="28"/>
          <w:sz w:val="24"/>
        </w:rPr>
        <w:t>27</w:t>
      </w:r>
      <w:r>
        <w:rPr>
          <w:kern w:val="28"/>
          <w:sz w:val="24"/>
        </w:rPr>
        <w:t>日，国务院印发了《打赢蓝天保卫战三年行动计划的通知》（国发</w:t>
      </w:r>
      <w:r>
        <w:rPr>
          <w:kern w:val="28"/>
          <w:sz w:val="24"/>
        </w:rPr>
        <w:t>[2018]22</w:t>
      </w:r>
      <w:r>
        <w:rPr>
          <w:kern w:val="28"/>
          <w:sz w:val="24"/>
        </w:rPr>
        <w:t>号），该文件中与本项目相关的要求如下：</w:t>
      </w:r>
    </w:p>
    <w:p w:rsidR="00240BCE" w:rsidRDefault="00AC0334">
      <w:pPr>
        <w:spacing w:line="520" w:lineRule="exact"/>
        <w:ind w:firstLineChars="200" w:firstLine="480"/>
        <w:rPr>
          <w:kern w:val="28"/>
          <w:sz w:val="24"/>
        </w:rPr>
      </w:pPr>
      <w:r>
        <w:rPr>
          <w:kern w:val="28"/>
          <w:sz w:val="24"/>
        </w:rPr>
        <w:t>加强扬尘综合治理。严格施工扬尘监管。</w:t>
      </w:r>
      <w:r>
        <w:rPr>
          <w:kern w:val="28"/>
          <w:sz w:val="24"/>
        </w:rPr>
        <w:t>2018</w:t>
      </w:r>
      <w:r>
        <w:rPr>
          <w:kern w:val="28"/>
          <w:sz w:val="24"/>
        </w:rPr>
        <w:t>年底前，各地建立施工工地管理清单。因地制宜稳步发展装配式建筑。将施工工地扬尘污染防治纳入文明施工管理范畴，建立扬尘控制责任制度，扬尘治理费用列入工程造价。重点区域建筑施工工地要做到工地周边围挡、物料堆放覆盖、土方开挖湿法作业、路面硬化、出入车辆清洗、渣土车辆密闭运输</w:t>
      </w:r>
      <w:r>
        <w:rPr>
          <w:kern w:val="28"/>
          <w:sz w:val="24"/>
        </w:rPr>
        <w:t>“</w:t>
      </w:r>
      <w:r>
        <w:rPr>
          <w:kern w:val="28"/>
          <w:sz w:val="24"/>
        </w:rPr>
        <w:t>六个百分之百</w:t>
      </w:r>
      <w:r>
        <w:rPr>
          <w:kern w:val="28"/>
          <w:sz w:val="24"/>
        </w:rPr>
        <w:t>”</w:t>
      </w:r>
      <w:r>
        <w:rPr>
          <w:kern w:val="28"/>
          <w:sz w:val="24"/>
        </w:rPr>
        <w:t>，安装在线监测和视频监控设备，并与当地有关主管部门联网。将扬尘管理工作不到位的不良信息纳入建筑市场信用管理体系，情节严重的，列入建筑市场主体</w:t>
      </w:r>
      <w:r>
        <w:rPr>
          <w:kern w:val="28"/>
          <w:sz w:val="24"/>
        </w:rPr>
        <w:t>“</w:t>
      </w:r>
      <w:r>
        <w:rPr>
          <w:kern w:val="28"/>
          <w:sz w:val="24"/>
        </w:rPr>
        <w:t>黑名单</w:t>
      </w:r>
      <w:r>
        <w:rPr>
          <w:kern w:val="28"/>
          <w:sz w:val="24"/>
        </w:rPr>
        <w:t>”</w:t>
      </w:r>
      <w:r>
        <w:rPr>
          <w:kern w:val="28"/>
          <w:sz w:val="24"/>
        </w:rPr>
        <w:t>。加强道路扬尘综合整治。</w:t>
      </w:r>
    </w:p>
    <w:p w:rsidR="00240BCE" w:rsidRDefault="00AC0334">
      <w:pPr>
        <w:spacing w:line="520" w:lineRule="exact"/>
        <w:ind w:firstLineChars="200" w:firstLine="480"/>
        <w:rPr>
          <w:kern w:val="28"/>
          <w:sz w:val="24"/>
        </w:rPr>
      </w:pPr>
      <w:r>
        <w:rPr>
          <w:kern w:val="28"/>
          <w:sz w:val="24"/>
        </w:rPr>
        <w:t>本项目所在地许昌市禹州市不属于</w:t>
      </w:r>
      <w:r>
        <w:rPr>
          <w:kern w:val="28"/>
          <w:sz w:val="24"/>
        </w:rPr>
        <w:t>“</w:t>
      </w:r>
      <w:r>
        <w:rPr>
          <w:kern w:val="28"/>
          <w:sz w:val="24"/>
        </w:rPr>
        <w:t>国发</w:t>
      </w:r>
      <w:r>
        <w:rPr>
          <w:kern w:val="28"/>
          <w:sz w:val="24"/>
        </w:rPr>
        <w:t>[2018]22</w:t>
      </w:r>
      <w:r>
        <w:rPr>
          <w:kern w:val="28"/>
          <w:sz w:val="24"/>
        </w:rPr>
        <w:t>号</w:t>
      </w:r>
      <w:r>
        <w:rPr>
          <w:kern w:val="28"/>
          <w:sz w:val="24"/>
        </w:rPr>
        <w:t>”</w:t>
      </w:r>
      <w:r>
        <w:rPr>
          <w:kern w:val="28"/>
          <w:sz w:val="24"/>
        </w:rPr>
        <w:t>中的</w:t>
      </w:r>
      <w:r>
        <w:rPr>
          <w:kern w:val="28"/>
          <w:sz w:val="24"/>
        </w:rPr>
        <w:t>“</w:t>
      </w:r>
      <w:r>
        <w:rPr>
          <w:kern w:val="28"/>
          <w:sz w:val="24"/>
        </w:rPr>
        <w:t>重点区域</w:t>
      </w:r>
      <w:r>
        <w:rPr>
          <w:kern w:val="28"/>
          <w:sz w:val="24"/>
        </w:rPr>
        <w:t>”</w:t>
      </w:r>
      <w:r>
        <w:rPr>
          <w:kern w:val="28"/>
          <w:sz w:val="24"/>
        </w:rPr>
        <w:t>。本项目属</w:t>
      </w:r>
      <w:r>
        <w:rPr>
          <w:kern w:val="28"/>
          <w:sz w:val="24"/>
        </w:rPr>
        <w:lastRenderedPageBreak/>
        <w:t>于升级改造项目，主要在井下进行改造，且项目制定了严格的施工期扬尘污染防治措施，可满足</w:t>
      </w:r>
      <w:r>
        <w:rPr>
          <w:kern w:val="28"/>
          <w:sz w:val="24"/>
        </w:rPr>
        <w:t>“</w:t>
      </w:r>
      <w:r>
        <w:rPr>
          <w:kern w:val="28"/>
          <w:sz w:val="24"/>
        </w:rPr>
        <w:t>八个百分之百</w:t>
      </w:r>
      <w:r>
        <w:rPr>
          <w:kern w:val="28"/>
          <w:sz w:val="24"/>
        </w:rPr>
        <w:t>”</w:t>
      </w:r>
      <w:r>
        <w:rPr>
          <w:kern w:val="28"/>
          <w:sz w:val="24"/>
        </w:rPr>
        <w:t>的要求。因此，本项目符合国务院《打赢蓝天保卫战三年行动计划》（国发</w:t>
      </w:r>
      <w:r>
        <w:rPr>
          <w:kern w:val="28"/>
          <w:sz w:val="24"/>
        </w:rPr>
        <w:t>[2018]22</w:t>
      </w:r>
      <w:r>
        <w:rPr>
          <w:kern w:val="28"/>
          <w:sz w:val="24"/>
        </w:rPr>
        <w:t>号）的相关要求。</w:t>
      </w:r>
    </w:p>
    <w:p w:rsidR="00240BCE" w:rsidRDefault="00AC0334" w:rsidP="009C5F33">
      <w:pPr>
        <w:adjustRightInd w:val="0"/>
        <w:snapToGrid w:val="0"/>
        <w:spacing w:beforeLines="70" w:afterLines="30"/>
        <w:jc w:val="left"/>
        <w:outlineLvl w:val="2"/>
        <w:rPr>
          <w:rFonts w:eastAsia="楷体"/>
          <w:b/>
          <w:bCs/>
          <w:kern w:val="28"/>
          <w:szCs w:val="28"/>
        </w:rPr>
      </w:pPr>
      <w:r>
        <w:rPr>
          <w:rFonts w:eastAsia="楷体"/>
          <w:b/>
          <w:bCs/>
          <w:kern w:val="28"/>
          <w:szCs w:val="28"/>
        </w:rPr>
        <w:t>10.3.</w:t>
      </w:r>
      <w:r w:rsidR="00EC66AD">
        <w:rPr>
          <w:rFonts w:eastAsia="楷体" w:hint="eastAsia"/>
          <w:b/>
          <w:bCs/>
          <w:kern w:val="28"/>
          <w:szCs w:val="28"/>
        </w:rPr>
        <w:t>7</w:t>
      </w:r>
      <w:r>
        <w:rPr>
          <w:rFonts w:eastAsia="楷体"/>
          <w:b/>
          <w:bCs/>
          <w:kern w:val="28"/>
          <w:szCs w:val="28"/>
        </w:rPr>
        <w:t>《河南省污染防治攻坚战三年行动计划</w:t>
      </w:r>
      <w:r>
        <w:rPr>
          <w:rFonts w:eastAsia="楷体"/>
          <w:b/>
          <w:bCs/>
          <w:kern w:val="28"/>
          <w:szCs w:val="28"/>
        </w:rPr>
        <w:t>(2018—2020</w:t>
      </w:r>
      <w:r>
        <w:rPr>
          <w:rFonts w:eastAsia="楷体"/>
          <w:b/>
          <w:bCs/>
          <w:kern w:val="28"/>
          <w:szCs w:val="28"/>
        </w:rPr>
        <w:t>年</w:t>
      </w:r>
      <w:r>
        <w:rPr>
          <w:rFonts w:eastAsia="楷体"/>
          <w:b/>
          <w:bCs/>
          <w:kern w:val="28"/>
          <w:szCs w:val="28"/>
        </w:rPr>
        <w:t>)</w:t>
      </w:r>
      <w:r>
        <w:rPr>
          <w:rFonts w:eastAsia="楷体"/>
          <w:b/>
          <w:bCs/>
          <w:kern w:val="28"/>
          <w:szCs w:val="28"/>
        </w:rPr>
        <w:t>》（豫政</w:t>
      </w:r>
      <w:r>
        <w:rPr>
          <w:rFonts w:eastAsia="楷体"/>
          <w:b/>
          <w:bCs/>
          <w:kern w:val="28"/>
          <w:szCs w:val="28"/>
        </w:rPr>
        <w:t>[2018]30</w:t>
      </w:r>
      <w:r>
        <w:rPr>
          <w:rFonts w:eastAsia="楷体"/>
          <w:b/>
          <w:bCs/>
          <w:kern w:val="28"/>
          <w:szCs w:val="28"/>
        </w:rPr>
        <w:t>号）</w:t>
      </w:r>
    </w:p>
    <w:p w:rsidR="00240BCE" w:rsidRDefault="00AC0334">
      <w:pPr>
        <w:spacing w:line="520" w:lineRule="exact"/>
        <w:ind w:firstLineChars="200" w:firstLine="480"/>
        <w:rPr>
          <w:kern w:val="28"/>
          <w:sz w:val="24"/>
        </w:rPr>
      </w:pPr>
      <w:r>
        <w:rPr>
          <w:kern w:val="28"/>
          <w:sz w:val="24"/>
        </w:rPr>
        <w:t>2018</w:t>
      </w:r>
      <w:r>
        <w:rPr>
          <w:kern w:val="28"/>
          <w:sz w:val="24"/>
        </w:rPr>
        <w:t>年</w:t>
      </w:r>
      <w:r>
        <w:rPr>
          <w:kern w:val="28"/>
          <w:sz w:val="24"/>
        </w:rPr>
        <w:t>9</w:t>
      </w:r>
      <w:r>
        <w:rPr>
          <w:kern w:val="28"/>
          <w:sz w:val="24"/>
        </w:rPr>
        <w:t>月</w:t>
      </w:r>
      <w:r>
        <w:rPr>
          <w:kern w:val="28"/>
          <w:sz w:val="24"/>
        </w:rPr>
        <w:t>7</w:t>
      </w:r>
      <w:r>
        <w:rPr>
          <w:kern w:val="28"/>
          <w:sz w:val="24"/>
        </w:rPr>
        <w:t>日，河南省人民政府印发了《河南省污染防治攻坚战三年行动计划</w:t>
      </w:r>
      <w:r>
        <w:rPr>
          <w:kern w:val="28"/>
          <w:sz w:val="24"/>
        </w:rPr>
        <w:t>(2018—2020</w:t>
      </w:r>
      <w:r>
        <w:rPr>
          <w:kern w:val="28"/>
          <w:sz w:val="24"/>
        </w:rPr>
        <w:t>年</w:t>
      </w:r>
      <w:r>
        <w:rPr>
          <w:kern w:val="28"/>
          <w:sz w:val="24"/>
        </w:rPr>
        <w:t>)</w:t>
      </w:r>
      <w:r>
        <w:rPr>
          <w:kern w:val="28"/>
          <w:sz w:val="24"/>
        </w:rPr>
        <w:t>》（豫政</w:t>
      </w:r>
      <w:r>
        <w:rPr>
          <w:kern w:val="28"/>
          <w:sz w:val="24"/>
        </w:rPr>
        <w:t>[2018]30</w:t>
      </w:r>
      <w:r>
        <w:rPr>
          <w:kern w:val="28"/>
          <w:sz w:val="24"/>
        </w:rPr>
        <w:t>号）。该文件中与本项目相关的要求如下：</w:t>
      </w:r>
    </w:p>
    <w:p w:rsidR="00240BCE" w:rsidRDefault="00AC0334">
      <w:pPr>
        <w:spacing w:line="520" w:lineRule="exact"/>
        <w:ind w:firstLineChars="200" w:firstLine="480"/>
        <w:rPr>
          <w:kern w:val="28"/>
          <w:sz w:val="24"/>
        </w:rPr>
      </w:pPr>
      <w:r>
        <w:rPr>
          <w:kern w:val="28"/>
          <w:sz w:val="24"/>
        </w:rPr>
        <w:t>1</w:t>
      </w:r>
      <w:r>
        <w:rPr>
          <w:kern w:val="28"/>
          <w:sz w:val="24"/>
        </w:rPr>
        <w:t>）突出重型柴油运输车辆治理。开展重型柴油车等高排放车辆污染治理，按照《中华人民共和国大气污染防治法》要求，不达标重型柴油车安装尾气后处理装置，配备实时排放监控装置，并与环保部门联网，确保污染物达标排放。</w:t>
      </w:r>
    </w:p>
    <w:p w:rsidR="00240BCE" w:rsidRDefault="00AC0334">
      <w:pPr>
        <w:spacing w:line="520" w:lineRule="exact"/>
        <w:ind w:firstLineChars="200" w:firstLine="480"/>
        <w:rPr>
          <w:kern w:val="28"/>
          <w:sz w:val="24"/>
        </w:rPr>
      </w:pPr>
      <w:r>
        <w:rPr>
          <w:kern w:val="28"/>
          <w:sz w:val="24"/>
        </w:rPr>
        <w:t>2</w:t>
      </w:r>
      <w:r>
        <w:rPr>
          <w:kern w:val="28"/>
          <w:sz w:val="24"/>
        </w:rPr>
        <w:t>）严格施工扬尘污染管控。强化施工扬尘污染防治，将建筑、市政、拆除、公路、水利等各类施工工地扬尘污染防治纳入建筑施工安全生产文明施工管理范畴，严格执行开复工验收、</w:t>
      </w:r>
      <w:r>
        <w:rPr>
          <w:kern w:val="28"/>
          <w:sz w:val="24"/>
        </w:rPr>
        <w:t>“</w:t>
      </w:r>
      <w:r>
        <w:rPr>
          <w:kern w:val="28"/>
          <w:sz w:val="24"/>
        </w:rPr>
        <w:t>三员</w:t>
      </w:r>
      <w:r>
        <w:rPr>
          <w:kern w:val="28"/>
          <w:sz w:val="24"/>
        </w:rPr>
        <w:t>”(</w:t>
      </w:r>
      <w:r>
        <w:rPr>
          <w:kern w:val="28"/>
          <w:sz w:val="24"/>
        </w:rPr>
        <w:t>监督员、网络员、管理员</w:t>
      </w:r>
      <w:r>
        <w:rPr>
          <w:kern w:val="28"/>
          <w:sz w:val="24"/>
        </w:rPr>
        <w:t>)</w:t>
      </w:r>
      <w:r>
        <w:rPr>
          <w:kern w:val="28"/>
          <w:sz w:val="24"/>
        </w:rPr>
        <w:t>管理、城市建筑垃圾处置核准、扬尘防治预算管理等制度，做到工地周边围挡、物料堆放覆盖、土方开挖湿法作业、路面硬化、出入车辆清洗、渣土车辆密闭运输</w:t>
      </w:r>
      <w:r>
        <w:rPr>
          <w:kern w:val="28"/>
          <w:sz w:val="24"/>
        </w:rPr>
        <w:t>“</w:t>
      </w:r>
      <w:r>
        <w:rPr>
          <w:kern w:val="28"/>
          <w:sz w:val="24"/>
        </w:rPr>
        <w:t>六个百分之百</w:t>
      </w:r>
      <w:r>
        <w:rPr>
          <w:kern w:val="28"/>
          <w:sz w:val="24"/>
        </w:rPr>
        <w:t>”</w:t>
      </w:r>
      <w:r>
        <w:rPr>
          <w:kern w:val="28"/>
          <w:sz w:val="24"/>
        </w:rPr>
        <w:t>，禁止施工工地现场搅拌混凝土、现场配置砂浆，将扬尘管理工作不到位的不良信息纳入建筑市场信用管理体系，情节严重的，列入建筑市场主体</w:t>
      </w:r>
      <w:r>
        <w:rPr>
          <w:kern w:val="28"/>
          <w:sz w:val="24"/>
        </w:rPr>
        <w:t>“</w:t>
      </w:r>
      <w:r>
        <w:rPr>
          <w:kern w:val="28"/>
          <w:sz w:val="24"/>
        </w:rPr>
        <w:t>黑名单</w:t>
      </w:r>
      <w:r>
        <w:rPr>
          <w:kern w:val="28"/>
          <w:sz w:val="24"/>
        </w:rPr>
        <w:t>”</w:t>
      </w:r>
      <w:r>
        <w:rPr>
          <w:kern w:val="28"/>
          <w:sz w:val="24"/>
        </w:rPr>
        <w:t>。规模以上土石方建筑工地全部安装在线监测和视频监控，并与当地主管部门联网。</w:t>
      </w:r>
    </w:p>
    <w:p w:rsidR="00240BCE" w:rsidRDefault="00AC0334">
      <w:pPr>
        <w:spacing w:line="520" w:lineRule="exact"/>
        <w:ind w:firstLineChars="200" w:firstLine="480"/>
        <w:rPr>
          <w:kern w:val="28"/>
          <w:sz w:val="24"/>
        </w:rPr>
      </w:pPr>
      <w:r>
        <w:rPr>
          <w:kern w:val="28"/>
          <w:sz w:val="24"/>
        </w:rPr>
        <w:t>本项目所在地许昌市禹州市不属于</w:t>
      </w:r>
      <w:r>
        <w:rPr>
          <w:kern w:val="28"/>
          <w:sz w:val="24"/>
        </w:rPr>
        <w:t>“</w:t>
      </w:r>
      <w:r>
        <w:rPr>
          <w:kern w:val="28"/>
          <w:sz w:val="24"/>
        </w:rPr>
        <w:t>国发</w:t>
      </w:r>
      <w:r>
        <w:rPr>
          <w:kern w:val="28"/>
          <w:sz w:val="24"/>
        </w:rPr>
        <w:t>[2018]22</w:t>
      </w:r>
      <w:r>
        <w:rPr>
          <w:kern w:val="28"/>
          <w:sz w:val="24"/>
        </w:rPr>
        <w:t>号</w:t>
      </w:r>
      <w:r>
        <w:rPr>
          <w:kern w:val="28"/>
          <w:sz w:val="24"/>
        </w:rPr>
        <w:t>”</w:t>
      </w:r>
      <w:r>
        <w:rPr>
          <w:kern w:val="28"/>
          <w:sz w:val="24"/>
        </w:rPr>
        <w:t>中的</w:t>
      </w:r>
      <w:r>
        <w:rPr>
          <w:kern w:val="28"/>
          <w:sz w:val="24"/>
        </w:rPr>
        <w:t>“</w:t>
      </w:r>
      <w:r>
        <w:rPr>
          <w:kern w:val="28"/>
          <w:sz w:val="24"/>
        </w:rPr>
        <w:t>重点区域</w:t>
      </w:r>
      <w:r>
        <w:rPr>
          <w:kern w:val="28"/>
          <w:sz w:val="24"/>
        </w:rPr>
        <w:t>”</w:t>
      </w:r>
      <w:r>
        <w:rPr>
          <w:kern w:val="28"/>
          <w:sz w:val="24"/>
        </w:rPr>
        <w:t>。本项目属于升级改造项目，主要在井下进行改造，且项目制定了严格的施工期扬尘污染防治措施，可满足</w:t>
      </w:r>
      <w:r>
        <w:rPr>
          <w:kern w:val="28"/>
          <w:sz w:val="24"/>
        </w:rPr>
        <w:t>“</w:t>
      </w:r>
      <w:r>
        <w:rPr>
          <w:kern w:val="28"/>
          <w:sz w:val="24"/>
        </w:rPr>
        <w:t>八个百分之百</w:t>
      </w:r>
      <w:r>
        <w:rPr>
          <w:kern w:val="28"/>
          <w:sz w:val="24"/>
        </w:rPr>
        <w:t>”</w:t>
      </w:r>
      <w:r>
        <w:rPr>
          <w:kern w:val="28"/>
          <w:sz w:val="24"/>
        </w:rPr>
        <w:t>的要求。符合《河南省污染防治攻坚战三年行动计划</w:t>
      </w:r>
      <w:r>
        <w:rPr>
          <w:kern w:val="28"/>
          <w:sz w:val="24"/>
        </w:rPr>
        <w:t>(2018—2020</w:t>
      </w:r>
      <w:r>
        <w:rPr>
          <w:kern w:val="28"/>
          <w:sz w:val="24"/>
        </w:rPr>
        <w:t>年</w:t>
      </w:r>
      <w:r>
        <w:rPr>
          <w:kern w:val="28"/>
          <w:sz w:val="24"/>
        </w:rPr>
        <w:t>)</w:t>
      </w:r>
      <w:r>
        <w:rPr>
          <w:kern w:val="28"/>
          <w:sz w:val="24"/>
        </w:rPr>
        <w:t>》（豫政</w:t>
      </w:r>
      <w:r>
        <w:rPr>
          <w:kern w:val="28"/>
          <w:sz w:val="24"/>
        </w:rPr>
        <w:t>[2018]30</w:t>
      </w:r>
      <w:r>
        <w:rPr>
          <w:kern w:val="28"/>
          <w:sz w:val="24"/>
        </w:rPr>
        <w:t>号）的相关要求。</w:t>
      </w:r>
    </w:p>
    <w:p w:rsidR="00240BCE" w:rsidRDefault="00AC0334" w:rsidP="009C5F33">
      <w:pPr>
        <w:adjustRightInd w:val="0"/>
        <w:snapToGrid w:val="0"/>
        <w:spacing w:beforeLines="70" w:afterLines="30"/>
        <w:jc w:val="left"/>
        <w:outlineLvl w:val="2"/>
        <w:rPr>
          <w:rFonts w:eastAsia="楷体"/>
          <w:b/>
          <w:bCs/>
          <w:kern w:val="28"/>
          <w:szCs w:val="28"/>
        </w:rPr>
      </w:pPr>
      <w:r>
        <w:rPr>
          <w:rFonts w:eastAsia="楷体"/>
          <w:b/>
          <w:bCs/>
          <w:kern w:val="28"/>
          <w:szCs w:val="28"/>
        </w:rPr>
        <w:t>10.3.</w:t>
      </w:r>
      <w:r w:rsidR="00EC66AD">
        <w:rPr>
          <w:rFonts w:eastAsia="楷体" w:hint="eastAsia"/>
          <w:b/>
          <w:bCs/>
          <w:kern w:val="28"/>
          <w:szCs w:val="28"/>
        </w:rPr>
        <w:t>8</w:t>
      </w:r>
      <w:r>
        <w:rPr>
          <w:rFonts w:eastAsia="楷体"/>
          <w:b/>
          <w:bCs/>
          <w:kern w:val="28"/>
          <w:szCs w:val="28"/>
        </w:rPr>
        <w:t>《矿山生态环境保护与污染防治技术政策》（环发</w:t>
      </w:r>
      <w:r>
        <w:rPr>
          <w:rFonts w:eastAsia="楷体"/>
          <w:b/>
          <w:bCs/>
          <w:kern w:val="28"/>
          <w:szCs w:val="28"/>
        </w:rPr>
        <w:t>[2005]109</w:t>
      </w:r>
      <w:r>
        <w:rPr>
          <w:rFonts w:eastAsia="楷体"/>
          <w:b/>
          <w:bCs/>
          <w:kern w:val="28"/>
          <w:szCs w:val="28"/>
        </w:rPr>
        <w:t>号）</w:t>
      </w:r>
    </w:p>
    <w:p w:rsidR="00240BCE" w:rsidRDefault="00AC0334">
      <w:pPr>
        <w:spacing w:line="520" w:lineRule="exact"/>
        <w:ind w:firstLineChars="200" w:firstLine="480"/>
        <w:rPr>
          <w:kern w:val="28"/>
          <w:sz w:val="24"/>
        </w:rPr>
      </w:pPr>
      <w:r>
        <w:rPr>
          <w:kern w:val="28"/>
          <w:sz w:val="24"/>
        </w:rPr>
        <w:t>1</w:t>
      </w:r>
      <w:r>
        <w:rPr>
          <w:kern w:val="28"/>
          <w:sz w:val="24"/>
        </w:rPr>
        <w:t>）指导方针</w:t>
      </w:r>
    </w:p>
    <w:p w:rsidR="00240BCE" w:rsidRDefault="00AC0334">
      <w:pPr>
        <w:spacing w:line="520" w:lineRule="exact"/>
        <w:ind w:firstLineChars="200" w:firstLine="480"/>
        <w:rPr>
          <w:kern w:val="28"/>
          <w:sz w:val="24"/>
        </w:rPr>
      </w:pPr>
      <w:r>
        <w:rPr>
          <w:kern w:val="28"/>
          <w:sz w:val="24"/>
        </w:rPr>
        <w:t>矿产资源的开发应贯彻</w:t>
      </w:r>
      <w:r>
        <w:rPr>
          <w:kern w:val="28"/>
          <w:sz w:val="24"/>
        </w:rPr>
        <w:t>“</w:t>
      </w:r>
      <w:r>
        <w:rPr>
          <w:kern w:val="28"/>
          <w:sz w:val="24"/>
        </w:rPr>
        <w:t>污染防治与生态环境保护并重，生态环境保护与生态环</w:t>
      </w:r>
      <w:r>
        <w:rPr>
          <w:kern w:val="28"/>
          <w:sz w:val="24"/>
        </w:rPr>
        <w:lastRenderedPageBreak/>
        <w:t>境建设并举；以及预防为主、防治结合、过程控制、综合治理</w:t>
      </w:r>
      <w:r>
        <w:rPr>
          <w:kern w:val="28"/>
          <w:sz w:val="24"/>
        </w:rPr>
        <w:t>”</w:t>
      </w:r>
      <w:r>
        <w:rPr>
          <w:kern w:val="28"/>
          <w:sz w:val="24"/>
        </w:rPr>
        <w:t>的指导方针。</w:t>
      </w:r>
    </w:p>
    <w:p w:rsidR="00240BCE" w:rsidRDefault="00AC0334">
      <w:pPr>
        <w:spacing w:line="520" w:lineRule="exact"/>
        <w:ind w:firstLineChars="200" w:firstLine="480"/>
        <w:rPr>
          <w:kern w:val="28"/>
          <w:sz w:val="24"/>
        </w:rPr>
      </w:pPr>
      <w:r>
        <w:rPr>
          <w:kern w:val="28"/>
          <w:sz w:val="24"/>
        </w:rPr>
        <w:t>2</w:t>
      </w:r>
      <w:r>
        <w:rPr>
          <w:kern w:val="28"/>
          <w:sz w:val="24"/>
        </w:rPr>
        <w:t>）技术原则</w:t>
      </w:r>
    </w:p>
    <w:p w:rsidR="00240BCE" w:rsidRDefault="00AC0334">
      <w:pPr>
        <w:spacing w:line="520" w:lineRule="exact"/>
        <w:ind w:firstLineChars="200" w:firstLine="480"/>
        <w:rPr>
          <w:kern w:val="28"/>
          <w:sz w:val="24"/>
        </w:rPr>
      </w:pPr>
      <w:r>
        <w:rPr>
          <w:kern w:val="28"/>
          <w:sz w:val="24"/>
        </w:rPr>
        <w:t>矿产资源的开发应推行循环经济的</w:t>
      </w:r>
      <w:r>
        <w:rPr>
          <w:kern w:val="28"/>
          <w:sz w:val="24"/>
        </w:rPr>
        <w:t>“</w:t>
      </w:r>
      <w:r>
        <w:rPr>
          <w:kern w:val="28"/>
          <w:sz w:val="24"/>
        </w:rPr>
        <w:t>污染物减量、资源再利用和循环利用</w:t>
      </w:r>
      <w:r>
        <w:rPr>
          <w:kern w:val="28"/>
          <w:sz w:val="24"/>
        </w:rPr>
        <w:t>”</w:t>
      </w:r>
      <w:r>
        <w:rPr>
          <w:kern w:val="28"/>
          <w:sz w:val="24"/>
        </w:rPr>
        <w:t>的技术原则，具体包括：</w:t>
      </w:r>
    </w:p>
    <w:p w:rsidR="00240BCE" w:rsidRDefault="00AC0334">
      <w:pPr>
        <w:snapToGrid w:val="0"/>
        <w:spacing w:line="520" w:lineRule="exact"/>
        <w:ind w:firstLineChars="200" w:firstLine="480"/>
        <w:rPr>
          <w:kern w:val="28"/>
          <w:sz w:val="24"/>
        </w:rPr>
      </w:pPr>
      <w:r>
        <w:rPr>
          <w:kern w:val="28"/>
          <w:sz w:val="24"/>
        </w:rPr>
        <w:t>①</w:t>
      </w:r>
      <w:r>
        <w:rPr>
          <w:kern w:val="28"/>
          <w:sz w:val="24"/>
        </w:rPr>
        <w:t>发展绿色开采技术，实现矿区生态环境无损或受损最小；</w:t>
      </w:r>
    </w:p>
    <w:p w:rsidR="00240BCE" w:rsidRDefault="00AC0334">
      <w:pPr>
        <w:snapToGrid w:val="0"/>
        <w:spacing w:line="520" w:lineRule="exact"/>
        <w:ind w:firstLineChars="200" w:firstLine="480"/>
        <w:rPr>
          <w:kern w:val="28"/>
          <w:sz w:val="24"/>
        </w:rPr>
      </w:pPr>
      <w:r>
        <w:rPr>
          <w:kern w:val="28"/>
          <w:sz w:val="24"/>
        </w:rPr>
        <w:t>②</w:t>
      </w:r>
      <w:r>
        <w:rPr>
          <w:kern w:val="28"/>
          <w:sz w:val="24"/>
        </w:rPr>
        <w:t>发展干法或节水的工艺技术，减少水的使用量；</w:t>
      </w:r>
    </w:p>
    <w:p w:rsidR="00240BCE" w:rsidRDefault="00AC0334">
      <w:pPr>
        <w:snapToGrid w:val="0"/>
        <w:spacing w:line="520" w:lineRule="exact"/>
        <w:ind w:firstLineChars="200" w:firstLine="480"/>
        <w:rPr>
          <w:kern w:val="28"/>
          <w:sz w:val="24"/>
        </w:rPr>
      </w:pPr>
      <w:r>
        <w:rPr>
          <w:kern w:val="28"/>
          <w:sz w:val="24"/>
        </w:rPr>
        <w:t>③</w:t>
      </w:r>
      <w:r>
        <w:rPr>
          <w:kern w:val="28"/>
          <w:sz w:val="24"/>
        </w:rPr>
        <w:t>发展无废或少废的工艺技术，最大限度地减少废弃物的产生；</w:t>
      </w:r>
    </w:p>
    <w:p w:rsidR="00240BCE" w:rsidRDefault="00AC0334">
      <w:pPr>
        <w:snapToGrid w:val="0"/>
        <w:spacing w:line="520" w:lineRule="exact"/>
        <w:ind w:firstLineChars="200" w:firstLine="480"/>
        <w:rPr>
          <w:kern w:val="28"/>
          <w:sz w:val="24"/>
        </w:rPr>
      </w:pPr>
      <w:r>
        <w:rPr>
          <w:kern w:val="28"/>
          <w:sz w:val="24"/>
        </w:rPr>
        <w:t>④</w:t>
      </w:r>
      <w:r>
        <w:rPr>
          <w:kern w:val="28"/>
          <w:sz w:val="24"/>
        </w:rPr>
        <w:t>矿山废物按照先提取有价金属、组分或利用能源，再选择用于建材或其它用途，最后进行无害化处理处置的技术原则。</w:t>
      </w:r>
    </w:p>
    <w:p w:rsidR="00240BCE" w:rsidRDefault="00AC0334">
      <w:pPr>
        <w:snapToGrid w:val="0"/>
        <w:spacing w:line="520" w:lineRule="exact"/>
        <w:ind w:firstLineChars="200" w:firstLine="480"/>
        <w:rPr>
          <w:kern w:val="28"/>
          <w:sz w:val="24"/>
        </w:rPr>
      </w:pPr>
      <w:r>
        <w:rPr>
          <w:kern w:val="28"/>
          <w:sz w:val="24"/>
        </w:rPr>
        <w:t>3</w:t>
      </w:r>
      <w:r>
        <w:rPr>
          <w:kern w:val="28"/>
          <w:sz w:val="24"/>
        </w:rPr>
        <w:t>）禁止的矿产资源开发活动</w:t>
      </w:r>
    </w:p>
    <w:p w:rsidR="00240BCE" w:rsidRDefault="00AC0334">
      <w:pPr>
        <w:snapToGrid w:val="0"/>
        <w:spacing w:line="520" w:lineRule="exact"/>
        <w:ind w:firstLineChars="200" w:firstLine="480"/>
        <w:rPr>
          <w:kern w:val="28"/>
          <w:sz w:val="24"/>
        </w:rPr>
      </w:pPr>
      <w:r>
        <w:rPr>
          <w:kern w:val="28"/>
          <w:sz w:val="24"/>
        </w:rPr>
        <w:t>①</w:t>
      </w:r>
      <w:r>
        <w:rPr>
          <w:kern w:val="28"/>
          <w:sz w:val="24"/>
        </w:rPr>
        <w:t>禁止在依法划定的自然保护区（核心区、缓冲区）、风景名胜区、森林公园、饮用水水源保护区、重要湖泊周边、文物古迹所在地、地质遗迹保护区、基本农田保护区等区域内采矿。</w:t>
      </w:r>
    </w:p>
    <w:p w:rsidR="00240BCE" w:rsidRDefault="00AC0334">
      <w:pPr>
        <w:snapToGrid w:val="0"/>
        <w:spacing w:line="520" w:lineRule="exact"/>
        <w:ind w:firstLineChars="200" w:firstLine="480"/>
        <w:rPr>
          <w:kern w:val="28"/>
          <w:sz w:val="24"/>
        </w:rPr>
      </w:pPr>
      <w:r>
        <w:rPr>
          <w:kern w:val="28"/>
          <w:sz w:val="24"/>
        </w:rPr>
        <w:t>②</w:t>
      </w:r>
      <w:r>
        <w:rPr>
          <w:kern w:val="28"/>
          <w:sz w:val="24"/>
        </w:rPr>
        <w:t>禁止在铁路、国道、省道两侧的直观可视范围内进行露天开采。</w:t>
      </w:r>
    </w:p>
    <w:p w:rsidR="00240BCE" w:rsidRDefault="00AC0334">
      <w:pPr>
        <w:snapToGrid w:val="0"/>
        <w:spacing w:line="520" w:lineRule="exact"/>
        <w:ind w:firstLineChars="200" w:firstLine="480"/>
        <w:rPr>
          <w:kern w:val="28"/>
          <w:sz w:val="24"/>
        </w:rPr>
      </w:pPr>
      <w:r>
        <w:rPr>
          <w:kern w:val="28"/>
          <w:sz w:val="24"/>
        </w:rPr>
        <w:t>③</w:t>
      </w:r>
      <w:r>
        <w:rPr>
          <w:kern w:val="28"/>
          <w:sz w:val="24"/>
        </w:rPr>
        <w:t>禁止在地质灾害危险区开采矿产资源。</w:t>
      </w:r>
    </w:p>
    <w:p w:rsidR="00240BCE" w:rsidRDefault="00AC0334">
      <w:pPr>
        <w:snapToGrid w:val="0"/>
        <w:spacing w:line="520" w:lineRule="exact"/>
        <w:ind w:firstLineChars="200" w:firstLine="480"/>
        <w:rPr>
          <w:kern w:val="28"/>
          <w:sz w:val="24"/>
        </w:rPr>
      </w:pPr>
      <w:r>
        <w:rPr>
          <w:kern w:val="28"/>
          <w:sz w:val="24"/>
        </w:rPr>
        <w:t>④</w:t>
      </w:r>
      <w:r>
        <w:rPr>
          <w:kern w:val="28"/>
          <w:sz w:val="24"/>
        </w:rPr>
        <w:t>禁止土法采、选冶金矿和土法冶炼汞、砷、铅、锌、焦、硫、钒等矿产资源开发活动。</w:t>
      </w:r>
    </w:p>
    <w:p w:rsidR="00240BCE" w:rsidRDefault="00AC0334">
      <w:pPr>
        <w:snapToGrid w:val="0"/>
        <w:spacing w:line="520" w:lineRule="exact"/>
        <w:ind w:firstLineChars="200" w:firstLine="480"/>
        <w:rPr>
          <w:kern w:val="28"/>
          <w:sz w:val="24"/>
        </w:rPr>
      </w:pPr>
      <w:r>
        <w:rPr>
          <w:kern w:val="28"/>
          <w:sz w:val="24"/>
        </w:rPr>
        <w:t>⑤</w:t>
      </w:r>
      <w:r>
        <w:rPr>
          <w:kern w:val="28"/>
          <w:sz w:val="24"/>
        </w:rPr>
        <w:t>禁止新建对生态环境产生不可恢复利用的、产生破坏性影响的矿产资源开发项目。</w:t>
      </w:r>
    </w:p>
    <w:p w:rsidR="00240BCE" w:rsidRDefault="00AC0334">
      <w:pPr>
        <w:snapToGrid w:val="0"/>
        <w:spacing w:line="520" w:lineRule="exact"/>
        <w:ind w:firstLineChars="200" w:firstLine="480"/>
        <w:rPr>
          <w:kern w:val="28"/>
          <w:sz w:val="24"/>
        </w:rPr>
      </w:pPr>
      <w:r>
        <w:rPr>
          <w:kern w:val="28"/>
          <w:sz w:val="24"/>
        </w:rPr>
        <w:t>4</w:t>
      </w:r>
      <w:r>
        <w:rPr>
          <w:kern w:val="28"/>
          <w:sz w:val="24"/>
        </w:rPr>
        <w:t>）限制的矿产资源开发活动</w:t>
      </w:r>
    </w:p>
    <w:p w:rsidR="00240BCE" w:rsidRDefault="00AC0334">
      <w:pPr>
        <w:snapToGrid w:val="0"/>
        <w:spacing w:line="520" w:lineRule="exact"/>
        <w:ind w:firstLineChars="200" w:firstLine="480"/>
        <w:rPr>
          <w:kern w:val="28"/>
          <w:sz w:val="24"/>
        </w:rPr>
      </w:pPr>
      <w:r>
        <w:rPr>
          <w:kern w:val="28"/>
          <w:sz w:val="24"/>
        </w:rPr>
        <w:t>①</w:t>
      </w:r>
      <w:r>
        <w:rPr>
          <w:kern w:val="28"/>
          <w:sz w:val="24"/>
        </w:rPr>
        <w:t>限制在生态功能保护区和自然保护区（过渡区）内开采矿产资源。生态功能保护区内的开采活动必须符合当地的环境功能区规划，并按规定进行控制性开采，开采活动不得影响本功能区内的主导生态功能。</w:t>
      </w:r>
    </w:p>
    <w:p w:rsidR="00240BCE" w:rsidRDefault="00AC0334">
      <w:pPr>
        <w:snapToGrid w:val="0"/>
        <w:spacing w:line="520" w:lineRule="exact"/>
        <w:ind w:firstLineChars="200" w:firstLine="480"/>
        <w:rPr>
          <w:kern w:val="28"/>
          <w:sz w:val="24"/>
        </w:rPr>
      </w:pPr>
      <w:r>
        <w:rPr>
          <w:kern w:val="28"/>
          <w:sz w:val="24"/>
        </w:rPr>
        <w:t>②</w:t>
      </w:r>
      <w:r>
        <w:rPr>
          <w:kern w:val="28"/>
          <w:sz w:val="24"/>
        </w:rPr>
        <w:t>限制在地质灾害易发区、水土流失严重区域等生态脆弱区内开采矿产资源。</w:t>
      </w:r>
    </w:p>
    <w:p w:rsidR="00240BCE" w:rsidRDefault="00AC0334">
      <w:pPr>
        <w:spacing w:line="520" w:lineRule="exact"/>
        <w:ind w:firstLineChars="200" w:firstLine="480"/>
        <w:rPr>
          <w:kern w:val="28"/>
          <w:sz w:val="24"/>
        </w:rPr>
      </w:pPr>
      <w:r>
        <w:rPr>
          <w:kern w:val="28"/>
          <w:sz w:val="24"/>
        </w:rPr>
        <w:t>5</w:t>
      </w:r>
      <w:r>
        <w:rPr>
          <w:kern w:val="28"/>
          <w:sz w:val="24"/>
        </w:rPr>
        <w:t>）本项目和《矿山生态环境保护与污染防治技术政策》相符性分析</w:t>
      </w:r>
    </w:p>
    <w:p w:rsidR="00240BCE" w:rsidRDefault="00AC0334">
      <w:pPr>
        <w:snapToGrid w:val="0"/>
        <w:spacing w:line="520" w:lineRule="exact"/>
        <w:ind w:firstLineChars="200" w:firstLine="480"/>
        <w:rPr>
          <w:kern w:val="28"/>
          <w:sz w:val="24"/>
        </w:rPr>
      </w:pPr>
      <w:r>
        <w:rPr>
          <w:kern w:val="28"/>
          <w:sz w:val="24"/>
        </w:rPr>
        <w:lastRenderedPageBreak/>
        <w:t>①</w:t>
      </w:r>
      <w:r>
        <w:rPr>
          <w:kern w:val="28"/>
          <w:sz w:val="24"/>
        </w:rPr>
        <w:t>本项目的建设贯彻了</w:t>
      </w:r>
      <w:r>
        <w:rPr>
          <w:kern w:val="28"/>
          <w:sz w:val="24"/>
        </w:rPr>
        <w:t>“</w:t>
      </w:r>
      <w:r>
        <w:rPr>
          <w:kern w:val="28"/>
          <w:sz w:val="24"/>
        </w:rPr>
        <w:t>污染防治与生态环境保护并重，生态环境保护与生态环境建设并举；以及预防为主、防治结合、过程控制、综合治理</w:t>
      </w:r>
      <w:r>
        <w:rPr>
          <w:kern w:val="28"/>
          <w:sz w:val="24"/>
        </w:rPr>
        <w:t>”</w:t>
      </w:r>
      <w:r>
        <w:rPr>
          <w:kern w:val="28"/>
          <w:sz w:val="24"/>
        </w:rPr>
        <w:t>的指导方针；</w:t>
      </w:r>
    </w:p>
    <w:p w:rsidR="00240BCE" w:rsidRDefault="00AC0334">
      <w:pPr>
        <w:snapToGrid w:val="0"/>
        <w:spacing w:line="520" w:lineRule="exact"/>
        <w:ind w:firstLineChars="200" w:firstLine="480"/>
        <w:rPr>
          <w:kern w:val="28"/>
          <w:sz w:val="24"/>
        </w:rPr>
      </w:pPr>
      <w:r>
        <w:rPr>
          <w:kern w:val="28"/>
          <w:sz w:val="24"/>
        </w:rPr>
        <w:t>②</w:t>
      </w:r>
      <w:r>
        <w:rPr>
          <w:kern w:val="28"/>
          <w:sz w:val="24"/>
        </w:rPr>
        <w:t>本项目采用节水的工艺技术，减少了水的使用量；</w:t>
      </w:r>
    </w:p>
    <w:p w:rsidR="00240BCE" w:rsidRDefault="00AC0334">
      <w:pPr>
        <w:snapToGrid w:val="0"/>
        <w:spacing w:line="520" w:lineRule="exact"/>
        <w:ind w:firstLineChars="200" w:firstLine="480"/>
        <w:rPr>
          <w:kern w:val="28"/>
          <w:sz w:val="24"/>
        </w:rPr>
      </w:pPr>
      <w:r>
        <w:rPr>
          <w:kern w:val="28"/>
          <w:sz w:val="24"/>
        </w:rPr>
        <w:t>③</w:t>
      </w:r>
      <w:r>
        <w:rPr>
          <w:kern w:val="28"/>
          <w:sz w:val="24"/>
        </w:rPr>
        <w:t>本项目的采矿回采率、贫化率、综合利用率等矿产资源综合开发利用指标符合清洁生产的要求；</w:t>
      </w:r>
    </w:p>
    <w:p w:rsidR="00240BCE" w:rsidRDefault="00AC0334">
      <w:pPr>
        <w:snapToGrid w:val="0"/>
        <w:spacing w:line="520" w:lineRule="exact"/>
        <w:ind w:firstLineChars="200" w:firstLine="480"/>
        <w:rPr>
          <w:kern w:val="28"/>
          <w:sz w:val="24"/>
        </w:rPr>
      </w:pPr>
      <w:r>
        <w:rPr>
          <w:kern w:val="28"/>
          <w:sz w:val="24"/>
        </w:rPr>
        <w:t>④</w:t>
      </w:r>
      <w:r>
        <w:rPr>
          <w:kern w:val="28"/>
          <w:sz w:val="24"/>
        </w:rPr>
        <w:t>本项目的选址不在自然保护区（核心区、缓冲区）、风景名胜区等保护区域内，不在铁路、国道、省道两侧的直观可视范围内，不属于生态脆弱区，采用的工艺不在禁止和限制之列。</w:t>
      </w:r>
    </w:p>
    <w:p w:rsidR="00240BCE" w:rsidRDefault="00AC0334">
      <w:pPr>
        <w:spacing w:line="520" w:lineRule="exact"/>
        <w:ind w:firstLineChars="200" w:firstLine="480"/>
        <w:rPr>
          <w:kern w:val="28"/>
          <w:sz w:val="24"/>
        </w:rPr>
      </w:pPr>
      <w:r>
        <w:rPr>
          <w:kern w:val="28"/>
          <w:sz w:val="24"/>
        </w:rPr>
        <w:t>根据以上分析，本项目的建设符合《矿山生态环境保护与污染防治技术政策》的要求。</w:t>
      </w:r>
    </w:p>
    <w:p w:rsidR="00240BCE" w:rsidRDefault="00AC0334" w:rsidP="009C5F33">
      <w:pPr>
        <w:adjustRightInd w:val="0"/>
        <w:snapToGrid w:val="0"/>
        <w:spacing w:beforeLines="70" w:afterLines="30"/>
        <w:jc w:val="left"/>
        <w:outlineLvl w:val="2"/>
        <w:rPr>
          <w:rFonts w:eastAsia="楷体"/>
          <w:b/>
          <w:bCs/>
          <w:kern w:val="28"/>
          <w:szCs w:val="28"/>
        </w:rPr>
      </w:pPr>
      <w:r>
        <w:rPr>
          <w:rFonts w:eastAsia="楷体"/>
          <w:b/>
          <w:bCs/>
          <w:kern w:val="28"/>
          <w:szCs w:val="28"/>
        </w:rPr>
        <w:t>10.3.</w:t>
      </w:r>
      <w:r w:rsidR="00EC66AD">
        <w:rPr>
          <w:rFonts w:eastAsia="楷体" w:hint="eastAsia"/>
          <w:b/>
          <w:bCs/>
          <w:kern w:val="28"/>
          <w:szCs w:val="28"/>
        </w:rPr>
        <w:t>9</w:t>
      </w:r>
      <w:r>
        <w:rPr>
          <w:rFonts w:eastAsia="楷体"/>
          <w:b/>
          <w:bCs/>
          <w:kern w:val="28"/>
          <w:szCs w:val="28"/>
        </w:rPr>
        <w:t>《河南省人民政府关于全面深化矿产资源管理改革的若干意见》（豫政</w:t>
      </w:r>
      <w:r>
        <w:rPr>
          <w:rFonts w:eastAsia="楷体"/>
          <w:b/>
          <w:bCs/>
          <w:kern w:val="28"/>
          <w:szCs w:val="28"/>
        </w:rPr>
        <w:t>[2016]27</w:t>
      </w:r>
      <w:r>
        <w:rPr>
          <w:rFonts w:eastAsia="楷体"/>
          <w:b/>
          <w:bCs/>
          <w:kern w:val="28"/>
          <w:szCs w:val="28"/>
        </w:rPr>
        <w:t>号）</w:t>
      </w:r>
    </w:p>
    <w:p w:rsidR="00240BCE" w:rsidRDefault="00AC0334">
      <w:pPr>
        <w:spacing w:line="520" w:lineRule="exact"/>
        <w:ind w:firstLineChars="200" w:firstLine="480"/>
        <w:rPr>
          <w:kern w:val="28"/>
          <w:sz w:val="24"/>
        </w:rPr>
      </w:pPr>
      <w:r>
        <w:rPr>
          <w:kern w:val="28"/>
          <w:sz w:val="24"/>
        </w:rPr>
        <w:t>2016</w:t>
      </w:r>
      <w:r>
        <w:rPr>
          <w:kern w:val="28"/>
          <w:sz w:val="24"/>
        </w:rPr>
        <w:t>年</w:t>
      </w:r>
      <w:r>
        <w:rPr>
          <w:kern w:val="28"/>
          <w:sz w:val="24"/>
        </w:rPr>
        <w:t>4</w:t>
      </w:r>
      <w:r>
        <w:rPr>
          <w:kern w:val="28"/>
          <w:sz w:val="24"/>
        </w:rPr>
        <w:t>月，河南省人民政府提出了《关于全面深化矿产资源管理改革的若干意见》（豫政</w:t>
      </w:r>
      <w:r>
        <w:rPr>
          <w:kern w:val="28"/>
          <w:sz w:val="24"/>
        </w:rPr>
        <w:t>[2016]27</w:t>
      </w:r>
      <w:r>
        <w:rPr>
          <w:kern w:val="28"/>
          <w:sz w:val="24"/>
        </w:rPr>
        <w:t>号），其中与本项目相关的要求内容如下：</w:t>
      </w:r>
    </w:p>
    <w:p w:rsidR="00240BCE" w:rsidRDefault="00AC0334">
      <w:pPr>
        <w:spacing w:line="520" w:lineRule="exact"/>
        <w:ind w:firstLineChars="200" w:firstLine="480"/>
        <w:rPr>
          <w:kern w:val="28"/>
          <w:sz w:val="24"/>
        </w:rPr>
      </w:pPr>
      <w:r>
        <w:rPr>
          <w:kern w:val="28"/>
          <w:sz w:val="24"/>
        </w:rPr>
        <w:t>1</w:t>
      </w:r>
      <w:r>
        <w:rPr>
          <w:kern w:val="28"/>
          <w:sz w:val="24"/>
        </w:rPr>
        <w:t>）优化勘查开发布局。</w:t>
      </w:r>
      <w:r>
        <w:rPr>
          <w:kern w:val="28"/>
          <w:sz w:val="24"/>
        </w:rPr>
        <w:t>……</w:t>
      </w:r>
      <w:r>
        <w:rPr>
          <w:kern w:val="28"/>
          <w:sz w:val="24"/>
        </w:rPr>
        <w:t>持续引导矿山企业资源整合、兼并重组，解决因矿山小、散、乱造成的资源浪费、环境破坏和安全隐患等问题。</w:t>
      </w:r>
    </w:p>
    <w:p w:rsidR="00240BCE" w:rsidRDefault="00AC0334">
      <w:pPr>
        <w:spacing w:line="520" w:lineRule="exact"/>
        <w:ind w:firstLineChars="200" w:firstLine="480"/>
        <w:rPr>
          <w:kern w:val="28"/>
          <w:sz w:val="24"/>
        </w:rPr>
      </w:pPr>
      <w:r>
        <w:rPr>
          <w:kern w:val="28"/>
          <w:sz w:val="24"/>
        </w:rPr>
        <w:t>2</w:t>
      </w:r>
      <w:r>
        <w:rPr>
          <w:kern w:val="28"/>
          <w:sz w:val="24"/>
        </w:rPr>
        <w:t>）严格矿山开采准入条件。依据国家产业政策和矿产资源开采技术要求，以综合利用、集约开发、规模经营、安全生产为原则，合理确定不同矿种、不同开采方式的最小开采规模、最低服务年限和相邻矿山最小安全距离。</w:t>
      </w:r>
    </w:p>
    <w:p w:rsidR="00240BCE" w:rsidRDefault="00AC0334">
      <w:pPr>
        <w:spacing w:line="520" w:lineRule="exact"/>
        <w:ind w:firstLineChars="200" w:firstLine="480"/>
        <w:rPr>
          <w:kern w:val="28"/>
          <w:sz w:val="24"/>
        </w:rPr>
      </w:pPr>
      <w:r>
        <w:rPr>
          <w:kern w:val="28"/>
          <w:sz w:val="24"/>
        </w:rPr>
        <w:t>3</w:t>
      </w:r>
      <w:r>
        <w:rPr>
          <w:kern w:val="28"/>
          <w:sz w:val="24"/>
        </w:rPr>
        <w:t>）严守矿山开采生态红线。坚持环境保护优先的原则，严格矿山地质环境保护与恢复治理方案、土地复垦方案、环境影响评价报告等编制审查工作，从源头上控制和减少采矿活动对生态环境的影响。</w:t>
      </w:r>
      <w:r>
        <w:rPr>
          <w:kern w:val="28"/>
          <w:sz w:val="24"/>
        </w:rPr>
        <w:t>……</w:t>
      </w:r>
      <w:r>
        <w:rPr>
          <w:kern w:val="28"/>
          <w:sz w:val="24"/>
        </w:rPr>
        <w:t>矿山环保设施未经验收通过的，不得投入生产。大幅度减少露天开采矿山数量，严格控制新建露天开采矿山，全面关闭</w:t>
      </w:r>
      <w:r>
        <w:rPr>
          <w:kern w:val="28"/>
          <w:sz w:val="24"/>
        </w:rPr>
        <w:t>“</w:t>
      </w:r>
      <w:r>
        <w:rPr>
          <w:kern w:val="28"/>
          <w:sz w:val="24"/>
        </w:rPr>
        <w:t>三区两线</w:t>
      </w:r>
      <w:r>
        <w:rPr>
          <w:kern w:val="28"/>
          <w:sz w:val="24"/>
        </w:rPr>
        <w:t>”(</w:t>
      </w:r>
      <w:r>
        <w:rPr>
          <w:kern w:val="28"/>
          <w:sz w:val="24"/>
        </w:rPr>
        <w:t>重要自然保护区、景观区、居民集中生活区的周边和重要交通干线、河流湖泊直观可视范围</w:t>
      </w:r>
      <w:r>
        <w:rPr>
          <w:kern w:val="28"/>
          <w:sz w:val="24"/>
        </w:rPr>
        <w:t>)</w:t>
      </w:r>
      <w:r>
        <w:rPr>
          <w:kern w:val="28"/>
          <w:sz w:val="24"/>
        </w:rPr>
        <w:t>及特定生态保护区域内的露天开采矿山。</w:t>
      </w:r>
    </w:p>
    <w:p w:rsidR="00240BCE" w:rsidRDefault="00AC0334">
      <w:pPr>
        <w:spacing w:line="520" w:lineRule="exact"/>
        <w:ind w:firstLineChars="200" w:firstLine="480"/>
        <w:rPr>
          <w:kern w:val="28"/>
          <w:sz w:val="24"/>
        </w:rPr>
      </w:pPr>
      <w:r>
        <w:rPr>
          <w:kern w:val="28"/>
          <w:sz w:val="24"/>
        </w:rPr>
        <w:lastRenderedPageBreak/>
        <w:t>4</w:t>
      </w:r>
      <w:r>
        <w:rPr>
          <w:kern w:val="28"/>
          <w:sz w:val="24"/>
        </w:rPr>
        <w:t>）全面推进绿色和谐矿区建设。大力推广绿色采选方式，露天矿山必须采用中深孔爆破作业和台阶式开采方法，建筑石料类矿山尽量一次性采完、不留或少留边坡。</w:t>
      </w:r>
    </w:p>
    <w:p w:rsidR="00240BCE" w:rsidRDefault="00AC0334">
      <w:pPr>
        <w:spacing w:line="520" w:lineRule="exact"/>
        <w:ind w:firstLineChars="200" w:firstLine="480"/>
        <w:rPr>
          <w:kern w:val="28"/>
          <w:sz w:val="24"/>
        </w:rPr>
      </w:pPr>
      <w:r>
        <w:rPr>
          <w:color w:val="000000"/>
          <w:kern w:val="28"/>
          <w:sz w:val="24"/>
        </w:rPr>
        <w:t>本项目符合《河南省矿产资源总体规划（</w:t>
      </w:r>
      <w:r>
        <w:rPr>
          <w:color w:val="000000"/>
          <w:kern w:val="28"/>
          <w:sz w:val="24"/>
        </w:rPr>
        <w:t>2016</w:t>
      </w:r>
      <w:r>
        <w:rPr>
          <w:color w:val="000000"/>
          <w:kern w:val="28"/>
          <w:sz w:val="24"/>
        </w:rPr>
        <w:t>～</w:t>
      </w:r>
      <w:r>
        <w:rPr>
          <w:color w:val="000000"/>
          <w:kern w:val="28"/>
          <w:sz w:val="24"/>
        </w:rPr>
        <w:t>2020</w:t>
      </w:r>
      <w:r>
        <w:rPr>
          <w:color w:val="000000"/>
          <w:kern w:val="28"/>
          <w:sz w:val="24"/>
        </w:rPr>
        <w:t>年）》中矿山最低开采规模和最小服务年限的要求，拟按照绿色矿山标准建设，</w:t>
      </w:r>
      <w:r>
        <w:rPr>
          <w:kern w:val="28"/>
          <w:sz w:val="24"/>
        </w:rPr>
        <w:t>符合《河南省人民政府关于全面深化矿产资源管理改革的若干意见》（豫政</w:t>
      </w:r>
      <w:r>
        <w:rPr>
          <w:kern w:val="28"/>
          <w:sz w:val="24"/>
        </w:rPr>
        <w:t>[2016]27</w:t>
      </w:r>
      <w:r>
        <w:rPr>
          <w:kern w:val="28"/>
          <w:sz w:val="24"/>
        </w:rPr>
        <w:t>号）的要求。</w:t>
      </w:r>
    </w:p>
    <w:p w:rsidR="00240BCE" w:rsidRDefault="00AC0334" w:rsidP="009C5F33">
      <w:pPr>
        <w:pStyle w:val="3MB33XW3h33rdlevelH3l3CTH31H32H33u3112"/>
        <w:adjustRightInd w:val="0"/>
        <w:snapToGrid w:val="0"/>
        <w:spacing w:beforeLines="70" w:afterLines="30" w:line="240" w:lineRule="auto"/>
        <w:jc w:val="left"/>
        <w:rPr>
          <w:rFonts w:eastAsia="楷体" w:cs="Times New Roman"/>
          <w:b/>
          <w:bCs/>
          <w:szCs w:val="28"/>
        </w:rPr>
      </w:pPr>
      <w:r>
        <w:rPr>
          <w:rFonts w:eastAsia="楷体" w:cs="Times New Roman"/>
          <w:b/>
          <w:bCs/>
          <w:szCs w:val="28"/>
        </w:rPr>
        <w:t>10.3.</w:t>
      </w:r>
      <w:r w:rsidR="00EC66AD">
        <w:rPr>
          <w:rFonts w:eastAsia="楷体" w:cs="Times New Roman" w:hint="eastAsia"/>
          <w:b/>
          <w:bCs/>
          <w:szCs w:val="28"/>
        </w:rPr>
        <w:t>10</w:t>
      </w:r>
      <w:r>
        <w:rPr>
          <w:rFonts w:eastAsia="楷体" w:cs="Times New Roman"/>
          <w:b/>
          <w:bCs/>
          <w:szCs w:val="28"/>
        </w:rPr>
        <w:t>与《河南省环境保护厅河南省国土资源厅关于加强矿山采（选）矿扬尘综合治理的通知》（豫环文〔</w:t>
      </w:r>
      <w:r>
        <w:rPr>
          <w:rFonts w:eastAsia="楷体" w:cs="Times New Roman"/>
          <w:b/>
          <w:bCs/>
          <w:szCs w:val="28"/>
        </w:rPr>
        <w:t>2015</w:t>
      </w:r>
      <w:r>
        <w:rPr>
          <w:rFonts w:eastAsia="楷体" w:cs="Times New Roman"/>
          <w:b/>
          <w:bCs/>
          <w:szCs w:val="28"/>
        </w:rPr>
        <w:t>〕</w:t>
      </w:r>
      <w:r>
        <w:rPr>
          <w:rFonts w:eastAsia="楷体" w:cs="Times New Roman"/>
          <w:b/>
          <w:bCs/>
          <w:szCs w:val="28"/>
        </w:rPr>
        <w:t>107</w:t>
      </w:r>
      <w:r>
        <w:rPr>
          <w:rFonts w:eastAsia="楷体" w:cs="Times New Roman"/>
          <w:b/>
          <w:bCs/>
          <w:szCs w:val="28"/>
        </w:rPr>
        <w:t>号）的相符性分析</w:t>
      </w:r>
    </w:p>
    <w:p w:rsidR="00240BCE" w:rsidRDefault="00AC0334">
      <w:pPr>
        <w:pStyle w:val="Affffff1"/>
        <w:spacing w:line="520" w:lineRule="exact"/>
        <w:rPr>
          <w:rFonts w:ascii="Times New Roman" w:hAnsi="Times New Roman"/>
        </w:rPr>
      </w:pPr>
      <w:r>
        <w:rPr>
          <w:rFonts w:ascii="Times New Roman" w:hAnsi="Times New Roman"/>
        </w:rPr>
        <w:t>《河南省环境保护厅河南省国土资源厅关于加强矿山采（选）矿扬尘综合治理的通知》（豫环文〔</w:t>
      </w:r>
      <w:r>
        <w:rPr>
          <w:rFonts w:ascii="Times New Roman" w:hAnsi="Times New Roman"/>
        </w:rPr>
        <w:t>2015</w:t>
      </w:r>
      <w:r>
        <w:rPr>
          <w:rFonts w:ascii="Times New Roman" w:hAnsi="Times New Roman"/>
        </w:rPr>
        <w:t>〕</w:t>
      </w:r>
      <w:r>
        <w:rPr>
          <w:rFonts w:ascii="Times New Roman" w:hAnsi="Times New Roman"/>
        </w:rPr>
        <w:t>107</w:t>
      </w:r>
      <w:r>
        <w:rPr>
          <w:rFonts w:ascii="Times New Roman" w:hAnsi="Times New Roman"/>
        </w:rPr>
        <w:t>号）的治理范围为所有矿山开采和选矿加工企业，为加强对本项目的扬尘治理，选取与本项目相关文件对照分析如下表</w:t>
      </w:r>
      <w:r>
        <w:rPr>
          <w:rFonts w:ascii="Times New Roman" w:hAnsi="Times New Roman"/>
        </w:rPr>
        <w:t>10.3-</w:t>
      </w:r>
      <w:r w:rsidR="00EC66AD">
        <w:rPr>
          <w:rFonts w:ascii="Times New Roman" w:hAnsi="Times New Roman" w:hint="eastAsia"/>
        </w:rPr>
        <w:t>5</w:t>
      </w:r>
      <w:r>
        <w:rPr>
          <w:rFonts w:ascii="Times New Roman" w:hAnsi="Times New Roman"/>
        </w:rPr>
        <w:t>。</w:t>
      </w:r>
    </w:p>
    <w:p w:rsidR="00240BCE" w:rsidRDefault="00AC0334">
      <w:pPr>
        <w:spacing w:line="520" w:lineRule="exact"/>
        <w:jc w:val="center"/>
        <w:rPr>
          <w:sz w:val="24"/>
        </w:rPr>
      </w:pPr>
      <w:r>
        <w:rPr>
          <w:sz w:val="24"/>
        </w:rPr>
        <w:t>表</w:t>
      </w:r>
      <w:r>
        <w:rPr>
          <w:sz w:val="24"/>
        </w:rPr>
        <w:t>10.3-</w:t>
      </w:r>
      <w:r w:rsidR="00EC66AD">
        <w:rPr>
          <w:rFonts w:hint="eastAsia"/>
          <w:sz w:val="24"/>
        </w:rPr>
        <w:t>5</w:t>
      </w:r>
      <w:r>
        <w:rPr>
          <w:sz w:val="24"/>
        </w:rPr>
        <w:t xml:space="preserve">  </w:t>
      </w:r>
      <w:r>
        <w:rPr>
          <w:sz w:val="24"/>
        </w:rPr>
        <w:t>项目与</w:t>
      </w:r>
      <w:r>
        <w:rPr>
          <w:sz w:val="24"/>
        </w:rPr>
        <w:t>“</w:t>
      </w:r>
      <w:r>
        <w:rPr>
          <w:sz w:val="24"/>
        </w:rPr>
        <w:t>豫环文〔</w:t>
      </w:r>
      <w:r>
        <w:rPr>
          <w:sz w:val="24"/>
        </w:rPr>
        <w:t>2015</w:t>
      </w:r>
      <w:r>
        <w:rPr>
          <w:sz w:val="24"/>
        </w:rPr>
        <w:t>〕</w:t>
      </w:r>
      <w:r>
        <w:rPr>
          <w:sz w:val="24"/>
        </w:rPr>
        <w:t>107</w:t>
      </w:r>
      <w:r>
        <w:rPr>
          <w:sz w:val="24"/>
        </w:rPr>
        <w:t>号</w:t>
      </w:r>
      <w:r>
        <w:rPr>
          <w:sz w:val="24"/>
        </w:rPr>
        <w:t>”</w:t>
      </w:r>
      <w:r>
        <w:rPr>
          <w:sz w:val="24"/>
        </w:rPr>
        <w:t>的相符性分析一览表</w:t>
      </w:r>
    </w:p>
    <w:tbl>
      <w:tblPr>
        <w:tblW w:w="8880" w:type="dxa"/>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CellMar>
          <w:left w:w="0" w:type="dxa"/>
          <w:right w:w="0" w:type="dxa"/>
        </w:tblCellMar>
        <w:tblLook w:val="04A0"/>
      </w:tblPr>
      <w:tblGrid>
        <w:gridCol w:w="5544"/>
        <w:gridCol w:w="3336"/>
      </w:tblGrid>
      <w:tr w:rsidR="00240BCE">
        <w:trPr>
          <w:jc w:val="center"/>
        </w:trPr>
        <w:tc>
          <w:tcPr>
            <w:tcW w:w="5544" w:type="dxa"/>
            <w:tcBorders>
              <w:top w:val="single" w:sz="12" w:space="0" w:color="auto"/>
              <w:left w:val="single" w:sz="12" w:space="0" w:color="auto"/>
              <w:bottom w:val="dotted" w:sz="4" w:space="0" w:color="auto"/>
              <w:right w:val="dotted" w:sz="4" w:space="0" w:color="auto"/>
            </w:tcBorders>
            <w:vAlign w:val="center"/>
          </w:tcPr>
          <w:p w:rsidR="00240BCE" w:rsidRDefault="00AC0334">
            <w:pPr>
              <w:autoSpaceDE w:val="0"/>
              <w:autoSpaceDN w:val="0"/>
              <w:adjustRightInd w:val="0"/>
              <w:spacing w:line="240" w:lineRule="atLeast"/>
              <w:jc w:val="center"/>
              <w:rPr>
                <w:kern w:val="0"/>
                <w:sz w:val="21"/>
                <w:szCs w:val="21"/>
              </w:rPr>
            </w:pPr>
            <w:r>
              <w:rPr>
                <w:kern w:val="0"/>
                <w:sz w:val="21"/>
                <w:szCs w:val="21"/>
              </w:rPr>
              <w:t>治理要求</w:t>
            </w:r>
          </w:p>
        </w:tc>
        <w:tc>
          <w:tcPr>
            <w:tcW w:w="3336" w:type="dxa"/>
            <w:tcBorders>
              <w:top w:val="single" w:sz="12" w:space="0" w:color="auto"/>
              <w:left w:val="dotted" w:sz="4" w:space="0" w:color="auto"/>
              <w:bottom w:val="dotted" w:sz="4" w:space="0" w:color="auto"/>
              <w:right w:val="single" w:sz="12" w:space="0" w:color="auto"/>
            </w:tcBorders>
            <w:vAlign w:val="center"/>
          </w:tcPr>
          <w:p w:rsidR="00240BCE" w:rsidRDefault="00AC0334">
            <w:pPr>
              <w:autoSpaceDE w:val="0"/>
              <w:autoSpaceDN w:val="0"/>
              <w:adjustRightInd w:val="0"/>
              <w:spacing w:line="240" w:lineRule="atLeast"/>
              <w:jc w:val="center"/>
              <w:rPr>
                <w:kern w:val="0"/>
                <w:sz w:val="21"/>
                <w:szCs w:val="21"/>
              </w:rPr>
            </w:pPr>
            <w:r>
              <w:rPr>
                <w:kern w:val="0"/>
                <w:sz w:val="21"/>
                <w:szCs w:val="21"/>
              </w:rPr>
              <w:t>本项目情况</w:t>
            </w:r>
          </w:p>
        </w:tc>
      </w:tr>
      <w:tr w:rsidR="00240BCE">
        <w:trPr>
          <w:jc w:val="center"/>
        </w:trPr>
        <w:tc>
          <w:tcPr>
            <w:tcW w:w="5544" w:type="dxa"/>
            <w:tcBorders>
              <w:top w:val="dotted" w:sz="4" w:space="0" w:color="auto"/>
              <w:left w:val="single" w:sz="12" w:space="0" w:color="auto"/>
              <w:bottom w:val="dotted" w:sz="4" w:space="0" w:color="auto"/>
              <w:right w:val="dotted" w:sz="4" w:space="0" w:color="auto"/>
            </w:tcBorders>
            <w:vAlign w:val="center"/>
          </w:tcPr>
          <w:p w:rsidR="00240BCE" w:rsidRDefault="00AC0334">
            <w:pPr>
              <w:pStyle w:val="Affffff1"/>
              <w:spacing w:line="240" w:lineRule="atLeast"/>
              <w:ind w:firstLineChars="0" w:firstLine="0"/>
              <w:jc w:val="left"/>
              <w:rPr>
                <w:rFonts w:ascii="Times New Roman" w:hAnsi="Times New Roman"/>
                <w:sz w:val="21"/>
                <w:szCs w:val="21"/>
              </w:rPr>
            </w:pPr>
            <w:r>
              <w:rPr>
                <w:rFonts w:ascii="Times New Roman" w:hAnsi="Times New Roman"/>
                <w:sz w:val="21"/>
                <w:szCs w:val="21"/>
              </w:rPr>
              <w:t>（一）推进矿山开采低尘作业，露天开采矿山必须采取低尘爆破、机械采装、洒水作业等除尘降尘措施，推行台阶式等科学开采方式。同时，鼓励矿山企业进行技术改造，引进先进的环保设备，提高矿产资源采选和加工技术水平，降低矿山粉尘等污染。矿石、废石、选矿产品等堆存点应结合周边环境状况，采取封闭、洒水或覆盖等方式抑制扬尘产生。</w:t>
            </w:r>
            <w:r>
              <w:rPr>
                <w:rFonts w:ascii="Times New Roman" w:hAnsi="Times New Roman"/>
                <w:kern w:val="0"/>
                <w:sz w:val="21"/>
                <w:szCs w:val="21"/>
              </w:rPr>
              <w:t>（二）加强堆场扬尘污染防控。堆场外围建设围墙、防风抑尘网等设施，场内配备喷淋、覆盖和围挡等防风抑尘措施，有效控制堆场扬尘污染。</w:t>
            </w:r>
          </w:p>
        </w:tc>
        <w:tc>
          <w:tcPr>
            <w:tcW w:w="3336" w:type="dxa"/>
            <w:tcBorders>
              <w:top w:val="dotted" w:sz="4" w:space="0" w:color="auto"/>
              <w:left w:val="dotted" w:sz="4" w:space="0" w:color="auto"/>
              <w:bottom w:val="dotted" w:sz="4" w:space="0" w:color="auto"/>
              <w:right w:val="single" w:sz="12" w:space="0" w:color="auto"/>
            </w:tcBorders>
            <w:vAlign w:val="center"/>
          </w:tcPr>
          <w:p w:rsidR="00240BCE" w:rsidRDefault="00AC0334">
            <w:pPr>
              <w:spacing w:line="240" w:lineRule="atLeast"/>
              <w:rPr>
                <w:kern w:val="0"/>
                <w:sz w:val="21"/>
                <w:szCs w:val="21"/>
              </w:rPr>
            </w:pPr>
            <w:r>
              <w:rPr>
                <w:kern w:val="0"/>
                <w:sz w:val="21"/>
                <w:szCs w:val="21"/>
              </w:rPr>
              <w:t>本项目</w:t>
            </w:r>
            <w:r>
              <w:rPr>
                <w:sz w:val="21"/>
                <w:szCs w:val="21"/>
              </w:rPr>
              <w:t>全封闭</w:t>
            </w:r>
            <w:r w:rsidR="00802A62">
              <w:rPr>
                <w:sz w:val="21"/>
                <w:szCs w:val="21"/>
              </w:rPr>
              <w:t>储煤库</w:t>
            </w:r>
            <w:r>
              <w:rPr>
                <w:sz w:val="21"/>
                <w:szCs w:val="21"/>
              </w:rPr>
              <w:t>。</w:t>
            </w:r>
          </w:p>
        </w:tc>
      </w:tr>
      <w:tr w:rsidR="00240BCE">
        <w:trPr>
          <w:jc w:val="center"/>
        </w:trPr>
        <w:tc>
          <w:tcPr>
            <w:tcW w:w="5544" w:type="dxa"/>
            <w:tcBorders>
              <w:top w:val="dotted" w:sz="4" w:space="0" w:color="auto"/>
              <w:left w:val="single" w:sz="12" w:space="0" w:color="auto"/>
              <w:bottom w:val="single" w:sz="12" w:space="0" w:color="auto"/>
              <w:right w:val="dotted" w:sz="4" w:space="0" w:color="auto"/>
            </w:tcBorders>
            <w:vAlign w:val="center"/>
          </w:tcPr>
          <w:p w:rsidR="00240BCE" w:rsidRDefault="00AC0334">
            <w:pPr>
              <w:pStyle w:val="Affffff1"/>
              <w:spacing w:line="240" w:lineRule="atLeast"/>
              <w:ind w:firstLineChars="0" w:firstLine="0"/>
              <w:jc w:val="left"/>
              <w:rPr>
                <w:rFonts w:ascii="Times New Roman" w:hAnsi="Times New Roman"/>
                <w:sz w:val="21"/>
                <w:szCs w:val="21"/>
              </w:rPr>
            </w:pPr>
            <w:r>
              <w:rPr>
                <w:rFonts w:ascii="Times New Roman" w:hAnsi="Times New Roman"/>
                <w:sz w:val="21"/>
                <w:szCs w:val="21"/>
              </w:rPr>
              <w:t>（三）对运输环节扬尘污染进行治理，运输道路粉尘组织专人定点清扫、专车定时洒水，确保道路整洁；结合地形情况，对矿区专用运输道路两侧进行绿化。同时，重点加强矿区外运输道路的防尘、降尘监管措施。</w:t>
            </w:r>
          </w:p>
        </w:tc>
        <w:tc>
          <w:tcPr>
            <w:tcW w:w="3336" w:type="dxa"/>
            <w:tcBorders>
              <w:top w:val="dotted" w:sz="4" w:space="0" w:color="auto"/>
              <w:left w:val="dotted" w:sz="4" w:space="0" w:color="auto"/>
              <w:bottom w:val="single" w:sz="12" w:space="0" w:color="auto"/>
              <w:right w:val="single" w:sz="12" w:space="0" w:color="auto"/>
            </w:tcBorders>
            <w:vAlign w:val="center"/>
          </w:tcPr>
          <w:p w:rsidR="00240BCE" w:rsidRDefault="00AC0334">
            <w:pPr>
              <w:spacing w:line="240" w:lineRule="atLeast"/>
              <w:rPr>
                <w:sz w:val="21"/>
                <w:szCs w:val="21"/>
              </w:rPr>
            </w:pPr>
            <w:r>
              <w:rPr>
                <w:sz w:val="21"/>
                <w:szCs w:val="21"/>
              </w:rPr>
              <w:t>评价要求</w:t>
            </w:r>
            <w:r>
              <w:rPr>
                <w:kern w:val="0"/>
                <w:sz w:val="21"/>
                <w:szCs w:val="21"/>
              </w:rPr>
              <w:t>矿石湿法装卸，装车高度不高于车槽，运输车辆采用篷布覆盖，应减速慢行，减少车辆颠簸，应配置专人及时清扫路面，并配置</w:t>
            </w:r>
            <w:r>
              <w:rPr>
                <w:kern w:val="0"/>
                <w:sz w:val="21"/>
                <w:szCs w:val="21"/>
              </w:rPr>
              <w:t>1</w:t>
            </w:r>
            <w:r>
              <w:rPr>
                <w:kern w:val="0"/>
                <w:sz w:val="21"/>
                <w:szCs w:val="21"/>
              </w:rPr>
              <w:t>辆洒水车定时洒水防尘，以进一步抑制运输扬尘。</w:t>
            </w:r>
          </w:p>
        </w:tc>
      </w:tr>
    </w:tbl>
    <w:p w:rsidR="00240BCE" w:rsidRDefault="00AC0334">
      <w:pPr>
        <w:pStyle w:val="Affffff1"/>
        <w:spacing w:line="520" w:lineRule="exact"/>
        <w:rPr>
          <w:rFonts w:ascii="Times New Roman" w:hAnsi="Times New Roman"/>
        </w:rPr>
      </w:pPr>
      <w:r>
        <w:rPr>
          <w:rFonts w:ascii="Times New Roman" w:hAnsi="Times New Roman"/>
        </w:rPr>
        <w:t>从表</w:t>
      </w:r>
      <w:r>
        <w:rPr>
          <w:rFonts w:ascii="Times New Roman" w:hAnsi="Times New Roman"/>
        </w:rPr>
        <w:t>10.3-</w:t>
      </w:r>
      <w:r w:rsidR="00EC66AD">
        <w:rPr>
          <w:rFonts w:ascii="Times New Roman" w:hAnsi="Times New Roman" w:hint="eastAsia"/>
        </w:rPr>
        <w:t>5</w:t>
      </w:r>
      <w:r>
        <w:rPr>
          <w:rFonts w:ascii="Times New Roman" w:hAnsi="Times New Roman"/>
        </w:rPr>
        <w:t>可知，本项目符合《河南省环境保护厅河南省国土资源厅关于加强矿山采（选）矿扬尘综合治理的通知》（豫环文〔</w:t>
      </w:r>
      <w:r>
        <w:rPr>
          <w:rFonts w:ascii="Times New Roman" w:hAnsi="Times New Roman"/>
        </w:rPr>
        <w:t>2015</w:t>
      </w:r>
      <w:r>
        <w:rPr>
          <w:rFonts w:ascii="Times New Roman" w:hAnsi="Times New Roman"/>
        </w:rPr>
        <w:t>〕</w:t>
      </w:r>
      <w:r>
        <w:rPr>
          <w:rFonts w:ascii="Times New Roman" w:hAnsi="Times New Roman"/>
        </w:rPr>
        <w:t>107</w:t>
      </w:r>
      <w:r>
        <w:rPr>
          <w:rFonts w:ascii="Times New Roman" w:hAnsi="Times New Roman"/>
        </w:rPr>
        <w:t>号）的要求。</w:t>
      </w:r>
    </w:p>
    <w:p w:rsidR="00240BCE" w:rsidRDefault="00AC0334" w:rsidP="009C5F33">
      <w:pPr>
        <w:pStyle w:val="03"/>
        <w:adjustRightInd w:val="0"/>
        <w:snapToGrid w:val="0"/>
        <w:spacing w:beforeLines="70" w:afterLines="30" w:afterAutospacing="0" w:line="240" w:lineRule="auto"/>
        <w:rPr>
          <w:rFonts w:ascii="Times New Roman" w:eastAsia="楷体" w:hAnsi="Times New Roman"/>
        </w:rPr>
      </w:pPr>
      <w:r>
        <w:rPr>
          <w:rFonts w:ascii="Times New Roman" w:eastAsia="楷体" w:hAnsi="Times New Roman"/>
        </w:rPr>
        <w:t>10.3.1</w:t>
      </w:r>
      <w:r w:rsidR="00EC66AD">
        <w:rPr>
          <w:rFonts w:ascii="Times New Roman" w:eastAsia="楷体" w:hAnsi="Times New Roman" w:hint="eastAsia"/>
        </w:rPr>
        <w:t>1</w:t>
      </w:r>
      <w:r>
        <w:rPr>
          <w:rFonts w:ascii="Times New Roman" w:eastAsia="楷体" w:hAnsi="Times New Roman"/>
        </w:rPr>
        <w:t>与《河南省</w:t>
      </w:r>
      <w:r>
        <w:rPr>
          <w:rFonts w:ascii="Times New Roman" w:eastAsia="楷体" w:hAnsi="Times New Roman"/>
        </w:rPr>
        <w:t>202</w:t>
      </w:r>
      <w:r>
        <w:rPr>
          <w:rFonts w:ascii="Times New Roman" w:eastAsia="楷体" w:hAnsi="Times New Roman" w:hint="eastAsia"/>
        </w:rPr>
        <w:t>1</w:t>
      </w:r>
      <w:r>
        <w:rPr>
          <w:rFonts w:ascii="Times New Roman" w:eastAsia="楷体" w:hAnsi="Times New Roman"/>
        </w:rPr>
        <w:t>年大气、水、土壤污染防治攻坚战实施方案》相符性分析</w:t>
      </w:r>
    </w:p>
    <w:p w:rsidR="00240BCE" w:rsidRPr="00EC66AD" w:rsidRDefault="00EC66AD" w:rsidP="00EC66AD">
      <w:pPr>
        <w:spacing w:line="520" w:lineRule="exact"/>
        <w:ind w:firstLineChars="200" w:firstLine="480"/>
        <w:rPr>
          <w:sz w:val="24"/>
        </w:rPr>
      </w:pPr>
      <w:r w:rsidRPr="00EC66AD">
        <w:rPr>
          <w:rFonts w:hint="eastAsia"/>
          <w:sz w:val="24"/>
        </w:rPr>
        <w:t>本项目</w:t>
      </w:r>
      <w:r>
        <w:rPr>
          <w:rFonts w:hint="eastAsia"/>
          <w:sz w:val="24"/>
        </w:rPr>
        <w:t>与</w:t>
      </w:r>
      <w:r w:rsidRPr="00EC66AD">
        <w:rPr>
          <w:sz w:val="24"/>
        </w:rPr>
        <w:t>《河南省</w:t>
      </w:r>
      <w:r w:rsidRPr="00EC66AD">
        <w:rPr>
          <w:sz w:val="24"/>
        </w:rPr>
        <w:t>202</w:t>
      </w:r>
      <w:r w:rsidRPr="00EC66AD">
        <w:rPr>
          <w:rFonts w:hint="eastAsia"/>
          <w:sz w:val="24"/>
        </w:rPr>
        <w:t>1</w:t>
      </w:r>
      <w:r w:rsidRPr="00EC66AD">
        <w:rPr>
          <w:sz w:val="24"/>
        </w:rPr>
        <w:t>年大气、水、土壤污染防治攻坚战实施方案》</w:t>
      </w:r>
      <w:r>
        <w:rPr>
          <w:rFonts w:hint="eastAsia"/>
          <w:sz w:val="24"/>
        </w:rPr>
        <w:t>相符性分</w:t>
      </w:r>
      <w:r>
        <w:rPr>
          <w:rFonts w:hint="eastAsia"/>
          <w:sz w:val="24"/>
        </w:rPr>
        <w:lastRenderedPageBreak/>
        <w:t>析见表</w:t>
      </w:r>
      <w:r>
        <w:rPr>
          <w:rFonts w:hint="eastAsia"/>
          <w:sz w:val="24"/>
        </w:rPr>
        <w:t>10.3-6</w:t>
      </w:r>
      <w:r>
        <w:rPr>
          <w:rFonts w:ascii="宋体" w:hAnsi="宋体" w:hint="eastAsia"/>
          <w:sz w:val="24"/>
        </w:rPr>
        <w:t>～</w:t>
      </w:r>
      <w:r>
        <w:rPr>
          <w:rFonts w:hint="eastAsia"/>
          <w:sz w:val="24"/>
        </w:rPr>
        <w:t>表</w:t>
      </w:r>
      <w:r>
        <w:rPr>
          <w:rFonts w:hint="eastAsia"/>
          <w:sz w:val="24"/>
        </w:rPr>
        <w:t>10.3-8</w:t>
      </w:r>
      <w:r>
        <w:rPr>
          <w:rFonts w:hint="eastAsia"/>
          <w:sz w:val="24"/>
        </w:rPr>
        <w:t>，由表</w:t>
      </w:r>
      <w:r>
        <w:rPr>
          <w:rFonts w:hint="eastAsia"/>
          <w:sz w:val="24"/>
        </w:rPr>
        <w:t>10.3-6</w:t>
      </w:r>
      <w:r>
        <w:rPr>
          <w:rFonts w:ascii="宋体" w:hAnsi="宋体" w:hint="eastAsia"/>
          <w:sz w:val="24"/>
        </w:rPr>
        <w:t>～</w:t>
      </w:r>
      <w:r>
        <w:rPr>
          <w:rFonts w:hint="eastAsia"/>
          <w:sz w:val="24"/>
        </w:rPr>
        <w:t>表</w:t>
      </w:r>
      <w:r>
        <w:rPr>
          <w:rFonts w:hint="eastAsia"/>
          <w:sz w:val="24"/>
        </w:rPr>
        <w:t>10.3-8</w:t>
      </w:r>
      <w:r>
        <w:rPr>
          <w:rFonts w:hint="eastAsia"/>
          <w:sz w:val="24"/>
        </w:rPr>
        <w:t>可知，本项目建设符合</w:t>
      </w:r>
      <w:r w:rsidRPr="00EC66AD">
        <w:rPr>
          <w:sz w:val="24"/>
        </w:rPr>
        <w:t>《河南省</w:t>
      </w:r>
      <w:r w:rsidRPr="00EC66AD">
        <w:rPr>
          <w:sz w:val="24"/>
        </w:rPr>
        <w:t>202</w:t>
      </w:r>
      <w:r w:rsidRPr="00EC66AD">
        <w:rPr>
          <w:rFonts w:hint="eastAsia"/>
          <w:sz w:val="24"/>
        </w:rPr>
        <w:t>1</w:t>
      </w:r>
      <w:r w:rsidRPr="00EC66AD">
        <w:rPr>
          <w:sz w:val="24"/>
        </w:rPr>
        <w:t>年大气、水、土壤污染防治攻坚战实施方案》</w:t>
      </w:r>
      <w:r>
        <w:rPr>
          <w:rFonts w:hint="eastAsia"/>
          <w:sz w:val="24"/>
        </w:rPr>
        <w:t>相关要求。</w:t>
      </w:r>
    </w:p>
    <w:p w:rsidR="00240BCE" w:rsidRPr="00EC66AD" w:rsidRDefault="00AC0334" w:rsidP="00EC66AD">
      <w:pPr>
        <w:spacing w:line="520" w:lineRule="exact"/>
        <w:jc w:val="center"/>
        <w:rPr>
          <w:sz w:val="24"/>
        </w:rPr>
      </w:pPr>
      <w:r w:rsidRPr="00EC66AD">
        <w:rPr>
          <w:sz w:val="24"/>
        </w:rPr>
        <w:t>表</w:t>
      </w:r>
      <w:r w:rsidRPr="00EC66AD">
        <w:rPr>
          <w:sz w:val="24"/>
        </w:rPr>
        <w:t>10.3-</w:t>
      </w:r>
      <w:r w:rsidR="00EC66AD" w:rsidRPr="00EC66AD">
        <w:rPr>
          <w:rFonts w:hint="eastAsia"/>
          <w:sz w:val="24"/>
        </w:rPr>
        <w:t>6</w:t>
      </w:r>
      <w:r w:rsidRPr="00EC66AD">
        <w:rPr>
          <w:sz w:val="24"/>
        </w:rPr>
        <w:t xml:space="preserve">  </w:t>
      </w:r>
      <w:r w:rsidRPr="00EC66AD">
        <w:rPr>
          <w:rFonts w:hint="eastAsia"/>
          <w:sz w:val="24"/>
        </w:rPr>
        <w:t xml:space="preserve"> </w:t>
      </w:r>
      <w:r w:rsidRPr="00EC66AD">
        <w:rPr>
          <w:sz w:val="24"/>
        </w:rPr>
        <w:t>与《河南省</w:t>
      </w:r>
      <w:r w:rsidRPr="00EC66AD">
        <w:rPr>
          <w:sz w:val="24"/>
        </w:rPr>
        <w:t>202</w:t>
      </w:r>
      <w:r w:rsidRPr="00EC66AD">
        <w:rPr>
          <w:rFonts w:hint="eastAsia"/>
          <w:sz w:val="24"/>
        </w:rPr>
        <w:t>1</w:t>
      </w:r>
      <w:r w:rsidRPr="00EC66AD">
        <w:rPr>
          <w:sz w:val="24"/>
        </w:rPr>
        <w:t>年大气污染防治攻坚战实施方案》相符性分析</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71"/>
        <w:gridCol w:w="5855"/>
        <w:gridCol w:w="1372"/>
        <w:gridCol w:w="661"/>
      </w:tblGrid>
      <w:tr w:rsidR="00240BCE">
        <w:trPr>
          <w:trHeight w:val="319"/>
          <w:jc w:val="center"/>
        </w:trPr>
        <w:tc>
          <w:tcPr>
            <w:tcW w:w="7226" w:type="dxa"/>
            <w:gridSpan w:val="2"/>
            <w:tcBorders>
              <w:top w:val="single" w:sz="4" w:space="0" w:color="auto"/>
              <w:left w:val="single" w:sz="4" w:space="0" w:color="auto"/>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《河南省</w:t>
            </w:r>
            <w:r>
              <w:rPr>
                <w:rFonts w:ascii="Times New Roman" w:hAnsi="Times New Roman"/>
              </w:rPr>
              <w:t>202</w:t>
            </w:r>
            <w:r>
              <w:rPr>
                <w:rFonts w:ascii="Times New Roman" w:hAnsi="Times New Roman" w:hint="eastAsia"/>
              </w:rPr>
              <w:t>1</w:t>
            </w:r>
            <w:r>
              <w:rPr>
                <w:rFonts w:ascii="Times New Roman" w:hAnsi="Times New Roman"/>
              </w:rPr>
              <w:t>年大气污染防治攻坚战实施方案》相关要求</w:t>
            </w:r>
          </w:p>
        </w:tc>
        <w:tc>
          <w:tcPr>
            <w:tcW w:w="1372"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本项目情况</w:t>
            </w:r>
          </w:p>
        </w:tc>
        <w:tc>
          <w:tcPr>
            <w:tcW w:w="661"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相符性</w:t>
            </w:r>
          </w:p>
        </w:tc>
      </w:tr>
      <w:tr w:rsidR="00240BCE">
        <w:trPr>
          <w:trHeight w:val="3100"/>
          <w:jc w:val="center"/>
        </w:trPr>
        <w:tc>
          <w:tcPr>
            <w:tcW w:w="1371"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spacing w:line="300" w:lineRule="exact"/>
              <w:rPr>
                <w:rFonts w:ascii="Times New Roman" w:hAnsi="Times New Roman"/>
                <w:kern w:val="0"/>
                <w:szCs w:val="21"/>
              </w:rPr>
            </w:pPr>
            <w:r>
              <w:rPr>
                <w:rFonts w:ascii="宋体" w:hAnsi="宋体" w:cs="宋体"/>
                <w:szCs w:val="21"/>
              </w:rPr>
              <w:t>严格环境准入</w:t>
            </w:r>
          </w:p>
        </w:tc>
        <w:tc>
          <w:tcPr>
            <w:tcW w:w="5855"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jc w:val="left"/>
              <w:rPr>
                <w:rFonts w:ascii="Times New Roman" w:hAnsi="Times New Roman"/>
                <w:szCs w:val="21"/>
              </w:rPr>
            </w:pPr>
            <w:r>
              <w:rPr>
                <w:rFonts w:ascii="宋体" w:hAnsi="宋体" w:cs="宋体"/>
                <w:szCs w:val="21"/>
              </w:rPr>
              <w:t>落实“三线一单”（生态保护红线、环境质量底线、资源利用上线和生态环境准入清单）生态环境分区管控要求，从严从紧从实控制高耗能、高排放项目建设，全省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三同时”管理，国家、省绩效分级重点行业的新建、改建、扩建项目达到 B 级以上要求。</w:t>
            </w:r>
          </w:p>
        </w:tc>
        <w:tc>
          <w:tcPr>
            <w:tcW w:w="1372"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jc w:val="left"/>
              <w:rPr>
                <w:rFonts w:ascii="Times New Roman" w:hAnsi="Times New Roman"/>
                <w:szCs w:val="21"/>
              </w:rPr>
            </w:pPr>
            <w:r>
              <w:rPr>
                <w:rFonts w:ascii="Times New Roman" w:hAnsi="Times New Roman"/>
                <w:szCs w:val="21"/>
              </w:rPr>
              <w:t>本项目为煤矿开采项目</w:t>
            </w:r>
            <w:r>
              <w:rPr>
                <w:rFonts w:ascii="Times New Roman" w:hAnsi="Times New Roman" w:hint="eastAsia"/>
                <w:szCs w:val="21"/>
              </w:rPr>
              <w:t>，符合</w:t>
            </w:r>
            <w:r>
              <w:rPr>
                <w:rFonts w:ascii="宋体" w:hAnsi="宋体" w:cs="宋体"/>
                <w:szCs w:val="21"/>
              </w:rPr>
              <w:t>“三线一单”</w:t>
            </w:r>
            <w:r>
              <w:rPr>
                <w:rFonts w:ascii="宋体" w:hAnsi="宋体" w:cs="宋体" w:hint="eastAsia"/>
                <w:szCs w:val="21"/>
              </w:rPr>
              <w:t>的相关要求</w:t>
            </w:r>
          </w:p>
        </w:tc>
        <w:tc>
          <w:tcPr>
            <w:tcW w:w="661"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相符</w:t>
            </w:r>
          </w:p>
        </w:tc>
      </w:tr>
      <w:tr w:rsidR="00240BCE">
        <w:trPr>
          <w:trHeight w:val="1555"/>
          <w:jc w:val="center"/>
        </w:trPr>
        <w:tc>
          <w:tcPr>
            <w:tcW w:w="1371"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spacing w:line="300" w:lineRule="exact"/>
              <w:rPr>
                <w:rFonts w:ascii="Times New Roman" w:hAnsi="Times New Roman"/>
                <w:kern w:val="0"/>
                <w:szCs w:val="21"/>
              </w:rPr>
            </w:pPr>
            <w:r>
              <w:rPr>
                <w:rFonts w:ascii="宋体" w:hAnsi="宋体" w:cs="宋体"/>
                <w:szCs w:val="21"/>
              </w:rPr>
              <w:t>加快落后产能淘汰</w:t>
            </w:r>
          </w:p>
        </w:tc>
        <w:tc>
          <w:tcPr>
            <w:tcW w:w="5855"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jc w:val="left"/>
              <w:rPr>
                <w:rFonts w:ascii="宋体" w:hAnsi="宋体" w:cs="宋体"/>
                <w:szCs w:val="21"/>
              </w:rPr>
            </w:pPr>
            <w:r>
              <w:rPr>
                <w:rFonts w:ascii="宋体" w:hAnsi="宋体" w:cs="宋体"/>
                <w:szCs w:val="21"/>
              </w:rPr>
              <w:t>2021 年 5 月底前，工业和信息化部门牵头组织相关部门制定工作方案，对国家和我省明确的落后生产工艺装备和落后产品，开展全面排查摸底，实施落后产能清零行动，巩固落后产能淘汰工作成效，于 2021 年 10 月底前完成淘汰落后产能项目验收工作。</w:t>
            </w:r>
          </w:p>
        </w:tc>
        <w:tc>
          <w:tcPr>
            <w:tcW w:w="1372"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jc w:val="left"/>
              <w:rPr>
                <w:rFonts w:ascii="Times New Roman" w:hAnsi="Times New Roman"/>
                <w:szCs w:val="21"/>
              </w:rPr>
            </w:pPr>
            <w:r>
              <w:rPr>
                <w:rFonts w:ascii="宋体" w:hAnsi="宋体" w:cs="宋体" w:hint="eastAsia"/>
                <w:szCs w:val="21"/>
              </w:rPr>
              <w:t>本项目不存在</w:t>
            </w:r>
            <w:r>
              <w:rPr>
                <w:rFonts w:ascii="宋体" w:hAnsi="宋体" w:cs="宋体"/>
                <w:szCs w:val="21"/>
              </w:rPr>
              <w:t>落后生产工艺</w:t>
            </w:r>
            <w:r>
              <w:rPr>
                <w:rFonts w:ascii="宋体" w:hAnsi="宋体" w:cs="宋体" w:hint="eastAsia"/>
                <w:szCs w:val="21"/>
              </w:rPr>
              <w:t>及装备</w:t>
            </w:r>
          </w:p>
        </w:tc>
        <w:tc>
          <w:tcPr>
            <w:tcW w:w="661"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相符</w:t>
            </w:r>
          </w:p>
        </w:tc>
      </w:tr>
      <w:tr w:rsidR="00240BCE">
        <w:trPr>
          <w:trHeight w:val="1309"/>
          <w:jc w:val="center"/>
        </w:trPr>
        <w:tc>
          <w:tcPr>
            <w:tcW w:w="1371"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spacing w:line="300" w:lineRule="exact"/>
              <w:rPr>
                <w:rFonts w:ascii="宋体" w:hAnsi="宋体" w:cs="宋体"/>
                <w:szCs w:val="21"/>
              </w:rPr>
            </w:pPr>
            <w:r>
              <w:rPr>
                <w:szCs w:val="21"/>
              </w:rPr>
              <w:t>强化在用车排放监管</w:t>
            </w:r>
          </w:p>
        </w:tc>
        <w:tc>
          <w:tcPr>
            <w:tcW w:w="5855" w:type="dxa"/>
            <w:tcBorders>
              <w:top w:val="single" w:sz="4" w:space="0" w:color="auto"/>
              <w:left w:val="nil"/>
              <w:bottom w:val="single" w:sz="4" w:space="0" w:color="auto"/>
              <w:right w:val="single" w:sz="4" w:space="0" w:color="auto"/>
            </w:tcBorders>
            <w:vAlign w:val="center"/>
          </w:tcPr>
          <w:p w:rsidR="00240BCE" w:rsidRDefault="00AC0334">
            <w:pPr>
              <w:pStyle w:val="af7"/>
              <w:rPr>
                <w:rFonts w:ascii="宋体" w:hAnsi="宋体" w:cs="宋体"/>
                <w:sz w:val="21"/>
                <w:szCs w:val="21"/>
              </w:rPr>
            </w:pPr>
            <w:r>
              <w:rPr>
                <w:sz w:val="21"/>
                <w:szCs w:val="21"/>
              </w:rPr>
              <w:t>加快推进大宗物料运输企业门禁系统建设，建立运输车辆、厂内车辆、非道路移动机械电子台账，完善大宗物料运输管控平台，严格落实重污染天气运输管控措施。</w:t>
            </w:r>
            <w:r>
              <w:rPr>
                <w:sz w:val="21"/>
                <w:szCs w:val="21"/>
              </w:rPr>
              <w:t xml:space="preserve">2021 </w:t>
            </w:r>
            <w:r>
              <w:rPr>
                <w:sz w:val="21"/>
                <w:szCs w:val="21"/>
              </w:rPr>
              <w:t>年</w:t>
            </w:r>
            <w:r>
              <w:rPr>
                <w:sz w:val="21"/>
                <w:szCs w:val="21"/>
              </w:rPr>
              <w:t xml:space="preserve"> 10 </w:t>
            </w:r>
            <w:r>
              <w:rPr>
                <w:sz w:val="21"/>
                <w:szCs w:val="21"/>
              </w:rPr>
              <w:t>月</w:t>
            </w:r>
            <w:r>
              <w:rPr>
                <w:sz w:val="21"/>
                <w:szCs w:val="21"/>
              </w:rPr>
              <w:t xml:space="preserve"> 31 </w:t>
            </w:r>
            <w:r>
              <w:rPr>
                <w:sz w:val="21"/>
                <w:szCs w:val="21"/>
              </w:rPr>
              <w:t>日前，完成</w:t>
            </w:r>
            <w:r>
              <w:rPr>
                <w:sz w:val="21"/>
                <w:szCs w:val="21"/>
              </w:rPr>
              <w:t xml:space="preserve"> 26 </w:t>
            </w:r>
            <w:r>
              <w:rPr>
                <w:sz w:val="21"/>
                <w:szCs w:val="21"/>
              </w:rPr>
              <w:t>个行业大宗物料运输企业门禁系统建设。</w:t>
            </w:r>
          </w:p>
        </w:tc>
        <w:tc>
          <w:tcPr>
            <w:tcW w:w="1372"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jc w:val="left"/>
              <w:rPr>
                <w:rFonts w:ascii="宋体" w:hAnsi="宋体" w:cs="宋体"/>
                <w:szCs w:val="21"/>
              </w:rPr>
            </w:pPr>
            <w:r>
              <w:rPr>
                <w:rFonts w:ascii="宋体" w:hAnsi="宋体" w:cs="宋体" w:hint="eastAsia"/>
                <w:szCs w:val="21"/>
              </w:rPr>
              <w:t>矿方建立运输台账，对于运煤车辆集中管控</w:t>
            </w:r>
          </w:p>
        </w:tc>
        <w:tc>
          <w:tcPr>
            <w:tcW w:w="661"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相符</w:t>
            </w:r>
          </w:p>
        </w:tc>
      </w:tr>
      <w:tr w:rsidR="00240BCE">
        <w:trPr>
          <w:trHeight w:val="1864"/>
          <w:jc w:val="center"/>
        </w:trPr>
        <w:tc>
          <w:tcPr>
            <w:tcW w:w="1371"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spacing w:line="300" w:lineRule="exact"/>
              <w:rPr>
                <w:rFonts w:ascii="宋体" w:hAnsi="宋体" w:cs="宋体"/>
                <w:szCs w:val="21"/>
              </w:rPr>
            </w:pPr>
            <w:r>
              <w:rPr>
                <w:rFonts w:ascii="宋体" w:hAnsi="宋体" w:cs="宋体"/>
                <w:szCs w:val="21"/>
              </w:rPr>
              <w:t>加强扬尘综合治理</w:t>
            </w:r>
          </w:p>
        </w:tc>
        <w:tc>
          <w:tcPr>
            <w:tcW w:w="5855"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jc w:val="left"/>
              <w:rPr>
                <w:rFonts w:ascii="宋体" w:hAnsi="宋体" w:cs="宋体"/>
                <w:szCs w:val="21"/>
              </w:rPr>
            </w:pPr>
            <w:r>
              <w:rPr>
                <w:rFonts w:ascii="宋体" w:hAnsi="宋体" w:cs="宋体"/>
                <w:szCs w:val="21"/>
              </w:rPr>
              <w:t>开展扬尘污染综合治理提升行动，推动扬尘污染防治常态化、规范化、标准化。住房城乡建设、交通运输、自然资源、水利、商务等部门将落实《城市房屋建筑和市政基础设施工程及道路扬尘污染防治标准》要求、“六个百分之百”扬尘污染防治措施、“两个禁止”（禁止现场搅拌混凝土和现场配制砂浆）、渣土物料运输车辆管理纳入日常安全文明施工监督范围。</w:t>
            </w:r>
          </w:p>
        </w:tc>
        <w:tc>
          <w:tcPr>
            <w:tcW w:w="1372"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jc w:val="left"/>
              <w:rPr>
                <w:rFonts w:ascii="宋体" w:hAnsi="宋体" w:cs="宋体"/>
                <w:szCs w:val="21"/>
              </w:rPr>
            </w:pPr>
            <w:r>
              <w:rPr>
                <w:rFonts w:ascii="宋体" w:hAnsi="宋体" w:cs="宋体" w:hint="eastAsia"/>
                <w:szCs w:val="21"/>
              </w:rPr>
              <w:t>施工期按照</w:t>
            </w:r>
            <w:r>
              <w:rPr>
                <w:rFonts w:ascii="宋体" w:hAnsi="宋体" w:cs="宋体"/>
                <w:szCs w:val="21"/>
              </w:rPr>
              <w:t>“六个百分之百”扬尘污染防治措施、“两个禁止”</w:t>
            </w:r>
            <w:r>
              <w:rPr>
                <w:rFonts w:ascii="宋体" w:hAnsi="宋体" w:cs="宋体" w:hint="eastAsia"/>
                <w:szCs w:val="21"/>
              </w:rPr>
              <w:t>要求执行</w:t>
            </w:r>
          </w:p>
        </w:tc>
        <w:tc>
          <w:tcPr>
            <w:tcW w:w="661"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相符</w:t>
            </w:r>
          </w:p>
        </w:tc>
      </w:tr>
      <w:tr w:rsidR="00240BCE">
        <w:trPr>
          <w:trHeight w:val="2183"/>
          <w:jc w:val="center"/>
        </w:trPr>
        <w:tc>
          <w:tcPr>
            <w:tcW w:w="1371"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spacing w:line="300" w:lineRule="exact"/>
              <w:rPr>
                <w:rFonts w:ascii="宋体" w:hAnsi="宋体" w:cs="宋体"/>
                <w:szCs w:val="21"/>
              </w:rPr>
            </w:pPr>
            <w:r>
              <w:rPr>
                <w:rFonts w:ascii="宋体" w:hAnsi="宋体" w:cs="宋体"/>
                <w:szCs w:val="21"/>
              </w:rPr>
              <w:t>深化矿山综合整治行动</w:t>
            </w:r>
          </w:p>
        </w:tc>
        <w:tc>
          <w:tcPr>
            <w:tcW w:w="5855"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jc w:val="left"/>
              <w:rPr>
                <w:rFonts w:ascii="宋体" w:hAnsi="宋体" w:cs="宋体"/>
                <w:szCs w:val="21"/>
              </w:rPr>
            </w:pPr>
            <w:r>
              <w:rPr>
                <w:rFonts w:ascii="宋体" w:hAnsi="宋体" w:cs="宋体"/>
                <w:szCs w:val="21"/>
              </w:rPr>
              <w:t>持续推进绿色矿山建设，严格落实绿色矿山建设标准，确定绿色矿山建设目标，落实绿色矿山激励政策。推动矿石采选和砂石骨料企业全面开展装备升级及深度治理，针对原料运输、贮存、装卸、破碎、转运、筛分、出料等各个生产环节存在的无组织排放污染问题，进行全流程控制、收集、净化处理，并同步安装视频监控和相应的污染物排放监测设备，优化运输方式，减少污染物排放。</w:t>
            </w:r>
          </w:p>
        </w:tc>
        <w:tc>
          <w:tcPr>
            <w:tcW w:w="1372"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jc w:val="left"/>
              <w:rPr>
                <w:rFonts w:ascii="宋体" w:hAnsi="宋体" w:cs="宋体"/>
                <w:szCs w:val="21"/>
              </w:rPr>
            </w:pPr>
            <w:r>
              <w:rPr>
                <w:rFonts w:ascii="宋体" w:hAnsi="宋体" w:cs="宋体" w:hint="eastAsia"/>
                <w:szCs w:val="21"/>
              </w:rPr>
              <w:t>按照</w:t>
            </w:r>
            <w:r>
              <w:rPr>
                <w:rFonts w:ascii="宋体" w:hAnsi="宋体" w:cs="宋体"/>
                <w:szCs w:val="21"/>
              </w:rPr>
              <w:t>绿色矿山标准建设</w:t>
            </w:r>
            <w:r>
              <w:rPr>
                <w:rFonts w:ascii="宋体" w:hAnsi="宋体" w:cs="宋体" w:hint="eastAsia"/>
                <w:szCs w:val="21"/>
              </w:rPr>
              <w:t>，生产各环节进行优化，减少无组织排放污染</w:t>
            </w:r>
          </w:p>
        </w:tc>
        <w:tc>
          <w:tcPr>
            <w:tcW w:w="661" w:type="dxa"/>
            <w:tcBorders>
              <w:top w:val="single" w:sz="4" w:space="0" w:color="auto"/>
              <w:left w:val="nil"/>
              <w:bottom w:val="single" w:sz="4" w:space="0" w:color="auto"/>
              <w:right w:val="single" w:sz="4" w:space="0" w:color="auto"/>
            </w:tcBorders>
            <w:vAlign w:val="center"/>
          </w:tcPr>
          <w:p w:rsidR="00240BCE" w:rsidRDefault="00AC0334">
            <w:pPr>
              <w:pStyle w:val="00"/>
              <w:spacing w:line="300" w:lineRule="exact"/>
              <w:rPr>
                <w:rFonts w:ascii="Times New Roman" w:hAnsi="Times New Roman"/>
              </w:rPr>
            </w:pPr>
            <w:r>
              <w:rPr>
                <w:rFonts w:ascii="Times New Roman" w:hAnsi="Times New Roman"/>
              </w:rPr>
              <w:t>相符</w:t>
            </w:r>
          </w:p>
        </w:tc>
      </w:tr>
    </w:tbl>
    <w:p w:rsidR="00EC66AD" w:rsidRDefault="00EC66AD">
      <w:pPr>
        <w:rPr>
          <w:sz w:val="24"/>
          <w:szCs w:val="22"/>
        </w:rPr>
      </w:pPr>
    </w:p>
    <w:p w:rsidR="00EC66AD" w:rsidRDefault="00EC66AD">
      <w:pPr>
        <w:rPr>
          <w:sz w:val="24"/>
          <w:szCs w:val="22"/>
        </w:rPr>
      </w:pPr>
    </w:p>
    <w:p w:rsidR="00EC66AD" w:rsidRDefault="00EC66AD">
      <w:pPr>
        <w:rPr>
          <w:sz w:val="24"/>
          <w:szCs w:val="22"/>
        </w:rPr>
      </w:pPr>
    </w:p>
    <w:p w:rsidR="00EC66AD" w:rsidRDefault="00EC66AD">
      <w:pPr>
        <w:rPr>
          <w:sz w:val="24"/>
          <w:szCs w:val="22"/>
        </w:rPr>
      </w:pPr>
    </w:p>
    <w:p w:rsidR="00240BCE" w:rsidRDefault="00AC0334">
      <w:pPr>
        <w:rPr>
          <w:sz w:val="24"/>
          <w:szCs w:val="22"/>
        </w:rPr>
      </w:pPr>
      <w:r>
        <w:rPr>
          <w:sz w:val="24"/>
          <w:szCs w:val="22"/>
        </w:rPr>
        <w:lastRenderedPageBreak/>
        <w:t>表</w:t>
      </w:r>
      <w:r>
        <w:rPr>
          <w:sz w:val="24"/>
          <w:szCs w:val="22"/>
        </w:rPr>
        <w:t>10.3-</w:t>
      </w:r>
      <w:r w:rsidR="00EC66AD">
        <w:rPr>
          <w:rFonts w:hint="eastAsia"/>
          <w:sz w:val="24"/>
          <w:szCs w:val="22"/>
        </w:rPr>
        <w:t>7</w:t>
      </w:r>
      <w:r>
        <w:rPr>
          <w:sz w:val="24"/>
          <w:szCs w:val="22"/>
        </w:rPr>
        <w:t xml:space="preserve">   </w:t>
      </w:r>
      <w:r>
        <w:rPr>
          <w:sz w:val="24"/>
          <w:szCs w:val="22"/>
        </w:rPr>
        <w:t>与《河南省</w:t>
      </w:r>
      <w:r>
        <w:rPr>
          <w:sz w:val="24"/>
          <w:szCs w:val="22"/>
        </w:rPr>
        <w:t>202</w:t>
      </w:r>
      <w:r>
        <w:rPr>
          <w:rFonts w:hint="eastAsia"/>
          <w:sz w:val="24"/>
          <w:szCs w:val="22"/>
        </w:rPr>
        <w:t>1</w:t>
      </w:r>
      <w:r>
        <w:rPr>
          <w:sz w:val="24"/>
          <w:szCs w:val="22"/>
        </w:rPr>
        <w:t>年水污染防治攻坚战实施方案》相符性分析</w:t>
      </w:r>
      <w:r>
        <w:rPr>
          <w:sz w:val="24"/>
          <w:szCs w:val="22"/>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99"/>
        <w:gridCol w:w="4956"/>
        <w:gridCol w:w="1892"/>
        <w:gridCol w:w="751"/>
      </w:tblGrid>
      <w:tr w:rsidR="00240BCE">
        <w:trPr>
          <w:trHeight w:val="371"/>
          <w:jc w:val="center"/>
        </w:trPr>
        <w:tc>
          <w:tcPr>
            <w:tcW w:w="6855" w:type="dxa"/>
            <w:gridSpan w:val="2"/>
            <w:tcBorders>
              <w:tl2br w:val="nil"/>
              <w:tr2bl w:val="nil"/>
            </w:tcBorders>
            <w:vAlign w:val="center"/>
          </w:tcPr>
          <w:p w:rsidR="00240BCE" w:rsidRDefault="00AC0334">
            <w:pPr>
              <w:pStyle w:val="00"/>
              <w:rPr>
                <w:rFonts w:ascii="Times New Roman" w:hAnsi="Times New Roman"/>
                <w:szCs w:val="21"/>
              </w:rPr>
            </w:pPr>
            <w:r>
              <w:rPr>
                <w:rFonts w:ascii="Times New Roman" w:hAnsi="Times New Roman"/>
                <w:szCs w:val="21"/>
              </w:rPr>
              <w:t>《河南省</w:t>
            </w:r>
            <w:r>
              <w:rPr>
                <w:rFonts w:ascii="Times New Roman" w:hAnsi="Times New Roman"/>
                <w:szCs w:val="21"/>
              </w:rPr>
              <w:t>202</w:t>
            </w:r>
            <w:r>
              <w:rPr>
                <w:rFonts w:ascii="Times New Roman" w:hAnsi="Times New Roman" w:hint="eastAsia"/>
                <w:szCs w:val="21"/>
              </w:rPr>
              <w:t>1</w:t>
            </w:r>
            <w:r>
              <w:rPr>
                <w:rFonts w:ascii="Times New Roman" w:hAnsi="Times New Roman"/>
                <w:szCs w:val="21"/>
              </w:rPr>
              <w:t>年水污染防治攻坚战实施方案》相关要求</w:t>
            </w:r>
          </w:p>
        </w:tc>
        <w:tc>
          <w:tcPr>
            <w:tcW w:w="1892" w:type="dxa"/>
            <w:tcBorders>
              <w:tl2br w:val="nil"/>
              <w:tr2bl w:val="nil"/>
            </w:tcBorders>
            <w:vAlign w:val="center"/>
          </w:tcPr>
          <w:p w:rsidR="00240BCE" w:rsidRDefault="00AC0334">
            <w:pPr>
              <w:pStyle w:val="00"/>
              <w:rPr>
                <w:rFonts w:ascii="Times New Roman" w:hAnsi="Times New Roman"/>
                <w:szCs w:val="21"/>
              </w:rPr>
            </w:pPr>
            <w:r>
              <w:rPr>
                <w:rFonts w:ascii="Times New Roman" w:hAnsi="Times New Roman"/>
                <w:szCs w:val="21"/>
              </w:rPr>
              <w:t>本项目情况</w:t>
            </w:r>
          </w:p>
        </w:tc>
        <w:tc>
          <w:tcPr>
            <w:tcW w:w="751" w:type="dxa"/>
            <w:tcBorders>
              <w:tl2br w:val="nil"/>
              <w:tr2bl w:val="nil"/>
            </w:tcBorders>
            <w:vAlign w:val="center"/>
          </w:tcPr>
          <w:p w:rsidR="00240BCE" w:rsidRDefault="00AC0334">
            <w:pPr>
              <w:pStyle w:val="00"/>
              <w:rPr>
                <w:rFonts w:ascii="Times New Roman" w:hAnsi="Times New Roman"/>
                <w:szCs w:val="21"/>
              </w:rPr>
            </w:pPr>
            <w:r>
              <w:rPr>
                <w:rFonts w:ascii="Times New Roman" w:hAnsi="Times New Roman"/>
                <w:szCs w:val="21"/>
              </w:rPr>
              <w:t>相符性</w:t>
            </w:r>
          </w:p>
        </w:tc>
      </w:tr>
      <w:tr w:rsidR="00240BCE">
        <w:trPr>
          <w:trHeight w:val="1728"/>
          <w:jc w:val="center"/>
        </w:trPr>
        <w:tc>
          <w:tcPr>
            <w:tcW w:w="1899" w:type="dxa"/>
            <w:tcBorders>
              <w:tl2br w:val="nil"/>
              <w:tr2bl w:val="nil"/>
            </w:tcBorders>
            <w:vAlign w:val="center"/>
          </w:tcPr>
          <w:p w:rsidR="00240BCE" w:rsidRDefault="00AC0334">
            <w:pPr>
              <w:pStyle w:val="00"/>
              <w:rPr>
                <w:rFonts w:ascii="Times New Roman" w:hAnsi="Times New Roman"/>
                <w:szCs w:val="21"/>
              </w:rPr>
            </w:pPr>
            <w:r>
              <w:rPr>
                <w:rFonts w:ascii="宋体" w:hAnsi="宋体" w:cs="宋体"/>
                <w:szCs w:val="21"/>
              </w:rPr>
              <w:t>深入打好水源地保护攻坚战役</w:t>
            </w:r>
          </w:p>
        </w:tc>
        <w:tc>
          <w:tcPr>
            <w:tcW w:w="4956" w:type="dxa"/>
            <w:tcBorders>
              <w:tl2br w:val="nil"/>
              <w:tr2bl w:val="nil"/>
            </w:tcBorders>
            <w:vAlign w:val="center"/>
          </w:tcPr>
          <w:p w:rsidR="00240BCE" w:rsidRDefault="00AC0334">
            <w:pPr>
              <w:pStyle w:val="00"/>
              <w:rPr>
                <w:rFonts w:ascii="Times New Roman" w:hAnsi="Times New Roman"/>
                <w:szCs w:val="21"/>
              </w:rPr>
            </w:pPr>
            <w:r>
              <w:rPr>
                <w:rFonts w:ascii="宋体" w:hAnsi="宋体" w:cs="宋体"/>
                <w:szCs w:val="21"/>
              </w:rPr>
              <w:t>开展乡镇级集中式饮用水水源保护范围（区）的“、 划、 立、治” 。推进乡镇级集中式饮用水水源保护范围（区）的划定、标识标志设置。开展保护范围（区）内的环境问题排查整治，建立问题清单，推进问题整治。</w:t>
            </w:r>
          </w:p>
        </w:tc>
        <w:tc>
          <w:tcPr>
            <w:tcW w:w="1892" w:type="dxa"/>
            <w:tcBorders>
              <w:tl2br w:val="nil"/>
              <w:tr2bl w:val="nil"/>
            </w:tcBorders>
            <w:vAlign w:val="center"/>
          </w:tcPr>
          <w:p w:rsidR="00240BCE" w:rsidRDefault="00AC0334">
            <w:pPr>
              <w:pStyle w:val="00"/>
              <w:rPr>
                <w:rFonts w:ascii="Times New Roman" w:hAnsi="Times New Roman"/>
                <w:szCs w:val="21"/>
              </w:rPr>
            </w:pPr>
            <w:r>
              <w:rPr>
                <w:rFonts w:ascii="Times New Roman" w:hAnsi="Times New Roman"/>
                <w:szCs w:val="21"/>
              </w:rPr>
              <w:t>本项目严格按照导则、规范采取地下水防治措施</w:t>
            </w:r>
          </w:p>
        </w:tc>
        <w:tc>
          <w:tcPr>
            <w:tcW w:w="751" w:type="dxa"/>
            <w:tcBorders>
              <w:tl2br w:val="nil"/>
              <w:tr2bl w:val="nil"/>
            </w:tcBorders>
            <w:vAlign w:val="center"/>
          </w:tcPr>
          <w:p w:rsidR="00240BCE" w:rsidRDefault="00AC0334">
            <w:pPr>
              <w:pStyle w:val="00"/>
              <w:rPr>
                <w:rFonts w:ascii="Times New Roman" w:hAnsi="Times New Roman"/>
                <w:szCs w:val="21"/>
              </w:rPr>
            </w:pPr>
            <w:r>
              <w:rPr>
                <w:rFonts w:ascii="Times New Roman" w:hAnsi="Times New Roman"/>
                <w:szCs w:val="21"/>
              </w:rPr>
              <w:t>相符</w:t>
            </w:r>
          </w:p>
        </w:tc>
      </w:tr>
      <w:tr w:rsidR="00240BCE">
        <w:trPr>
          <w:trHeight w:val="1389"/>
          <w:jc w:val="center"/>
        </w:trPr>
        <w:tc>
          <w:tcPr>
            <w:tcW w:w="1899" w:type="dxa"/>
            <w:tcBorders>
              <w:tl2br w:val="nil"/>
              <w:tr2bl w:val="nil"/>
            </w:tcBorders>
            <w:vAlign w:val="center"/>
          </w:tcPr>
          <w:p w:rsidR="00240BCE" w:rsidRDefault="00AC0334">
            <w:pPr>
              <w:pStyle w:val="00"/>
              <w:rPr>
                <w:rFonts w:ascii="Times New Roman" w:hAnsi="Times New Roman"/>
                <w:szCs w:val="21"/>
              </w:rPr>
            </w:pPr>
            <w:r>
              <w:rPr>
                <w:rFonts w:ascii="宋体" w:hAnsi="宋体" w:cs="宋体"/>
                <w:szCs w:val="21"/>
              </w:rPr>
              <w:t>严格环境准入。</w:t>
            </w:r>
          </w:p>
        </w:tc>
        <w:tc>
          <w:tcPr>
            <w:tcW w:w="4956" w:type="dxa"/>
            <w:tcBorders>
              <w:tl2br w:val="nil"/>
              <w:tr2bl w:val="nil"/>
            </w:tcBorders>
            <w:vAlign w:val="center"/>
          </w:tcPr>
          <w:p w:rsidR="00240BCE" w:rsidRDefault="00AC0334">
            <w:pPr>
              <w:pStyle w:val="00"/>
              <w:rPr>
                <w:rFonts w:ascii="Times New Roman" w:hAnsi="Times New Roman"/>
                <w:szCs w:val="21"/>
              </w:rPr>
            </w:pPr>
            <w:r>
              <w:rPr>
                <w:rFonts w:ascii="宋体" w:hAnsi="宋体" w:cs="宋体"/>
                <w:szCs w:val="21"/>
              </w:rPr>
              <w:t>深化“放、管、服”改革，强化项目事中、事后监管，提升服务水平。推进“三线一单”生态环境分区管控要求落地应用，做好规划环评，严控新建高耗水、高排放工业项目，把好项目环境准入关。</w:t>
            </w:r>
          </w:p>
        </w:tc>
        <w:tc>
          <w:tcPr>
            <w:tcW w:w="1892" w:type="dxa"/>
            <w:tcBorders>
              <w:tl2br w:val="nil"/>
              <w:tr2bl w:val="nil"/>
            </w:tcBorders>
            <w:vAlign w:val="center"/>
          </w:tcPr>
          <w:p w:rsidR="00240BCE" w:rsidRDefault="00AC0334">
            <w:pPr>
              <w:pStyle w:val="00"/>
              <w:rPr>
                <w:rFonts w:ascii="Times New Roman" w:hAnsi="Times New Roman"/>
                <w:szCs w:val="21"/>
              </w:rPr>
            </w:pPr>
            <w:r>
              <w:rPr>
                <w:rFonts w:ascii="Times New Roman" w:hAnsi="Times New Roman" w:hint="eastAsia"/>
                <w:szCs w:val="21"/>
              </w:rPr>
              <w:t>项目符合</w:t>
            </w:r>
            <w:r>
              <w:rPr>
                <w:rFonts w:ascii="宋体" w:hAnsi="宋体" w:cs="宋体"/>
                <w:szCs w:val="21"/>
              </w:rPr>
              <w:t>“三线一单”</w:t>
            </w:r>
            <w:r>
              <w:rPr>
                <w:rFonts w:ascii="宋体" w:hAnsi="宋体" w:cs="宋体" w:hint="eastAsia"/>
                <w:szCs w:val="21"/>
              </w:rPr>
              <w:t>的相关要求</w:t>
            </w:r>
          </w:p>
        </w:tc>
        <w:tc>
          <w:tcPr>
            <w:tcW w:w="751" w:type="dxa"/>
            <w:tcBorders>
              <w:tl2br w:val="nil"/>
              <w:tr2bl w:val="nil"/>
            </w:tcBorders>
            <w:vAlign w:val="center"/>
          </w:tcPr>
          <w:p w:rsidR="00240BCE" w:rsidRDefault="00AC0334">
            <w:pPr>
              <w:pStyle w:val="00"/>
              <w:rPr>
                <w:rFonts w:ascii="Times New Roman" w:hAnsi="Times New Roman"/>
                <w:szCs w:val="21"/>
              </w:rPr>
            </w:pPr>
            <w:r>
              <w:rPr>
                <w:rFonts w:ascii="Times New Roman" w:hAnsi="Times New Roman"/>
                <w:szCs w:val="21"/>
              </w:rPr>
              <w:t>相符</w:t>
            </w:r>
          </w:p>
        </w:tc>
      </w:tr>
      <w:tr w:rsidR="00240BCE">
        <w:trPr>
          <w:trHeight w:val="1083"/>
          <w:jc w:val="center"/>
        </w:trPr>
        <w:tc>
          <w:tcPr>
            <w:tcW w:w="1899" w:type="dxa"/>
            <w:tcBorders>
              <w:tl2br w:val="nil"/>
              <w:tr2bl w:val="nil"/>
            </w:tcBorders>
            <w:vAlign w:val="center"/>
          </w:tcPr>
          <w:p w:rsidR="00240BCE" w:rsidRDefault="00AC0334">
            <w:pPr>
              <w:pStyle w:val="00"/>
              <w:rPr>
                <w:rFonts w:ascii="Times New Roman" w:hAnsi="Times New Roman"/>
                <w:szCs w:val="21"/>
              </w:rPr>
            </w:pPr>
            <w:r>
              <w:rPr>
                <w:rFonts w:ascii="宋体" w:hAnsi="宋体" w:cs="宋体"/>
                <w:szCs w:val="21"/>
              </w:rPr>
              <w:t>推进水资源节约</w:t>
            </w:r>
          </w:p>
        </w:tc>
        <w:tc>
          <w:tcPr>
            <w:tcW w:w="4956" w:type="dxa"/>
            <w:tcBorders>
              <w:tl2br w:val="nil"/>
              <w:tr2bl w:val="nil"/>
            </w:tcBorders>
            <w:vAlign w:val="center"/>
          </w:tcPr>
          <w:p w:rsidR="00240BCE" w:rsidRDefault="00AC0334">
            <w:pPr>
              <w:pStyle w:val="00"/>
              <w:rPr>
                <w:rFonts w:ascii="Times New Roman" w:hAnsi="Times New Roman"/>
                <w:szCs w:val="21"/>
              </w:rPr>
            </w:pPr>
            <w:r>
              <w:rPr>
                <w:rFonts w:ascii="宋体" w:hAnsi="宋体" w:cs="宋体"/>
                <w:szCs w:val="21"/>
              </w:rPr>
              <w:t>持续推进农业、工业、采矿业等重点领域节水，提高水资源利用效率。推动机关事业单位和城镇居民家庭等节约用水。</w:t>
            </w:r>
          </w:p>
        </w:tc>
        <w:tc>
          <w:tcPr>
            <w:tcW w:w="1892" w:type="dxa"/>
            <w:tcBorders>
              <w:tl2br w:val="nil"/>
              <w:tr2bl w:val="nil"/>
            </w:tcBorders>
            <w:vAlign w:val="center"/>
          </w:tcPr>
          <w:p w:rsidR="00240BCE" w:rsidRDefault="00AC0334">
            <w:pPr>
              <w:pStyle w:val="00"/>
              <w:rPr>
                <w:rFonts w:ascii="Times New Roman" w:hAnsi="Times New Roman"/>
                <w:szCs w:val="21"/>
              </w:rPr>
            </w:pPr>
            <w:r>
              <w:rPr>
                <w:rFonts w:ascii="Times New Roman" w:hAnsi="Times New Roman" w:hint="eastAsia"/>
                <w:szCs w:val="21"/>
              </w:rPr>
              <w:t>项目对废水进行综合利用，达到节约用水的要求</w:t>
            </w:r>
          </w:p>
        </w:tc>
        <w:tc>
          <w:tcPr>
            <w:tcW w:w="751" w:type="dxa"/>
            <w:tcBorders>
              <w:tl2br w:val="nil"/>
              <w:tr2bl w:val="nil"/>
            </w:tcBorders>
            <w:vAlign w:val="center"/>
          </w:tcPr>
          <w:p w:rsidR="00240BCE" w:rsidRDefault="00AC0334">
            <w:pPr>
              <w:pStyle w:val="00"/>
              <w:rPr>
                <w:rFonts w:ascii="Times New Roman" w:hAnsi="Times New Roman"/>
                <w:szCs w:val="21"/>
              </w:rPr>
            </w:pPr>
            <w:r>
              <w:rPr>
                <w:rFonts w:ascii="Times New Roman" w:hAnsi="Times New Roman"/>
                <w:szCs w:val="21"/>
              </w:rPr>
              <w:t>相符</w:t>
            </w:r>
          </w:p>
        </w:tc>
      </w:tr>
    </w:tbl>
    <w:p w:rsidR="00240BCE" w:rsidRDefault="00240BCE"/>
    <w:p w:rsidR="00240BCE" w:rsidRDefault="00AC0334">
      <w:r>
        <w:rPr>
          <w:sz w:val="24"/>
          <w:szCs w:val="22"/>
        </w:rPr>
        <w:t>表</w:t>
      </w:r>
      <w:r>
        <w:rPr>
          <w:sz w:val="24"/>
          <w:szCs w:val="22"/>
        </w:rPr>
        <w:t>10.3-</w:t>
      </w:r>
      <w:r w:rsidR="00EC66AD">
        <w:rPr>
          <w:rFonts w:hint="eastAsia"/>
          <w:sz w:val="24"/>
          <w:szCs w:val="22"/>
        </w:rPr>
        <w:t>8</w:t>
      </w:r>
      <w:r>
        <w:rPr>
          <w:sz w:val="24"/>
          <w:szCs w:val="22"/>
        </w:rPr>
        <w:t xml:space="preserve"> </w:t>
      </w:r>
      <w:r>
        <w:rPr>
          <w:sz w:val="24"/>
          <w:szCs w:val="22"/>
        </w:rPr>
        <w:t>与《河南省</w:t>
      </w:r>
      <w:r>
        <w:rPr>
          <w:sz w:val="24"/>
          <w:szCs w:val="22"/>
        </w:rPr>
        <w:t>202</w:t>
      </w:r>
      <w:r>
        <w:rPr>
          <w:rFonts w:hint="eastAsia"/>
          <w:sz w:val="24"/>
          <w:szCs w:val="22"/>
        </w:rPr>
        <w:t>1</w:t>
      </w:r>
      <w:r>
        <w:rPr>
          <w:sz w:val="24"/>
          <w:szCs w:val="22"/>
        </w:rPr>
        <w:t>年土壤污染防治攻坚战实施方案》相符性分析</w:t>
      </w:r>
      <w:r>
        <w:rPr>
          <w:sz w:val="24"/>
          <w:szCs w:val="22"/>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13"/>
        <w:gridCol w:w="4736"/>
        <w:gridCol w:w="2135"/>
        <w:gridCol w:w="735"/>
      </w:tblGrid>
      <w:tr w:rsidR="00240BCE">
        <w:trPr>
          <w:trHeight w:val="313"/>
          <w:jc w:val="center"/>
        </w:trPr>
        <w:tc>
          <w:tcPr>
            <w:tcW w:w="6549" w:type="dxa"/>
            <w:gridSpan w:val="2"/>
            <w:tcBorders>
              <w:top w:val="single" w:sz="4" w:space="0" w:color="auto"/>
              <w:left w:val="single" w:sz="4" w:space="0" w:color="auto"/>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szCs w:val="21"/>
              </w:rPr>
              <w:t>《河南省</w:t>
            </w:r>
            <w:r>
              <w:rPr>
                <w:rFonts w:ascii="Times New Roman" w:hAnsi="Times New Roman"/>
                <w:szCs w:val="21"/>
              </w:rPr>
              <w:t>202</w:t>
            </w:r>
            <w:r>
              <w:rPr>
                <w:rFonts w:ascii="Times New Roman" w:hAnsi="Times New Roman" w:hint="eastAsia"/>
                <w:szCs w:val="21"/>
              </w:rPr>
              <w:t>1</w:t>
            </w:r>
            <w:r>
              <w:rPr>
                <w:rFonts w:ascii="Times New Roman" w:hAnsi="Times New Roman"/>
                <w:szCs w:val="21"/>
              </w:rPr>
              <w:t>年土壤污染防治攻坚战实施方案》要求</w:t>
            </w:r>
          </w:p>
        </w:tc>
        <w:tc>
          <w:tcPr>
            <w:tcW w:w="21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szCs w:val="21"/>
              </w:rPr>
              <w:t>本项目情况</w:t>
            </w:r>
          </w:p>
        </w:tc>
        <w:tc>
          <w:tcPr>
            <w:tcW w:w="7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szCs w:val="21"/>
              </w:rPr>
              <w:t>相符性</w:t>
            </w:r>
          </w:p>
        </w:tc>
      </w:tr>
      <w:tr w:rsidR="00240BCE">
        <w:trPr>
          <w:trHeight w:val="2129"/>
          <w:jc w:val="center"/>
        </w:trPr>
        <w:tc>
          <w:tcPr>
            <w:tcW w:w="1813"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宋体" w:hAnsi="宋体" w:cs="宋体"/>
                <w:szCs w:val="21"/>
              </w:rPr>
              <w:t>严格危险废物管理</w:t>
            </w:r>
          </w:p>
        </w:tc>
        <w:tc>
          <w:tcPr>
            <w:tcW w:w="4736"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rPr>
                <w:rFonts w:ascii="宋体" w:hAnsi="宋体" w:cs="宋体"/>
                <w:szCs w:val="21"/>
              </w:rPr>
            </w:pPr>
            <w:r>
              <w:rPr>
                <w:rFonts w:ascii="宋体" w:hAnsi="宋体" w:cs="宋体"/>
                <w:szCs w:val="21"/>
              </w:rPr>
              <w:t>落实危险废物“三个能力”提升方案，制定危险废物集中处置设施建设规划，推进危险废物集中处置设施建设，健全危险废物收运体系，开展废铅蓄电池收集试点工作。深入开展危险废物规范化环境管理与专项整治，危险废物产生和经营单位规范化管理考核合格率均达到 92%以上，动态更新危险废物“四个清单”，强化危险废物信息化管理</w:t>
            </w:r>
          </w:p>
        </w:tc>
        <w:tc>
          <w:tcPr>
            <w:tcW w:w="21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hint="eastAsia"/>
                <w:szCs w:val="21"/>
              </w:rPr>
              <w:t>项目建设危废暂存间，对危废统一管理</w:t>
            </w:r>
          </w:p>
        </w:tc>
        <w:tc>
          <w:tcPr>
            <w:tcW w:w="7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szCs w:val="21"/>
              </w:rPr>
              <w:t>相符</w:t>
            </w:r>
          </w:p>
        </w:tc>
      </w:tr>
      <w:tr w:rsidR="00240BCE">
        <w:trPr>
          <w:trHeight w:val="1827"/>
          <w:jc w:val="center"/>
        </w:trPr>
        <w:tc>
          <w:tcPr>
            <w:tcW w:w="1813"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宋体" w:hAnsi="宋体" w:cs="宋体"/>
                <w:szCs w:val="21"/>
              </w:rPr>
              <w:t>防控矿产资源开发污染土壤</w:t>
            </w:r>
          </w:p>
        </w:tc>
        <w:tc>
          <w:tcPr>
            <w:tcW w:w="4736"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rPr>
                <w:rFonts w:ascii="宋体" w:hAnsi="宋体" w:cs="宋体"/>
                <w:szCs w:val="21"/>
              </w:rPr>
            </w:pPr>
            <w:r>
              <w:rPr>
                <w:rFonts w:ascii="宋体" w:hAnsi="宋体" w:cs="宋体"/>
                <w:szCs w:val="21"/>
              </w:rPr>
              <w:t>以黄河流域为重点，因地制宜管控矿区污染土壤和酸性废水环境风险，综合整治重有色金属矿区污染，重点保障农业生产和生活用水安全，鼓励采取自然恢复等措施，统筹推进矿区土壤污染治理与工矿废弃地复垦利用、矿山地质环境治理恢复、土地整治等工作，探索完善系统治理的支持政策。</w:t>
            </w:r>
          </w:p>
        </w:tc>
        <w:tc>
          <w:tcPr>
            <w:tcW w:w="21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hint="eastAsia"/>
                <w:szCs w:val="21"/>
              </w:rPr>
              <w:t>对于原有工矿废弃地均进行了整治</w:t>
            </w:r>
          </w:p>
        </w:tc>
        <w:tc>
          <w:tcPr>
            <w:tcW w:w="7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szCs w:val="21"/>
              </w:rPr>
              <w:t>相符</w:t>
            </w:r>
          </w:p>
        </w:tc>
      </w:tr>
      <w:tr w:rsidR="00240BCE">
        <w:trPr>
          <w:trHeight w:val="1523"/>
          <w:jc w:val="center"/>
        </w:trPr>
        <w:tc>
          <w:tcPr>
            <w:tcW w:w="1813"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rPr>
                <w:rFonts w:ascii="宋体" w:hAnsi="宋体" w:cs="宋体"/>
                <w:szCs w:val="21"/>
              </w:rPr>
            </w:pPr>
            <w:r>
              <w:rPr>
                <w:rFonts w:ascii="宋体" w:hAnsi="宋体" w:cs="宋体"/>
                <w:szCs w:val="21"/>
              </w:rPr>
              <w:t>严格建设项目环境准入</w:t>
            </w:r>
          </w:p>
        </w:tc>
        <w:tc>
          <w:tcPr>
            <w:tcW w:w="4736"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rPr>
                <w:rFonts w:ascii="宋体" w:hAnsi="宋体" w:cs="宋体"/>
                <w:szCs w:val="21"/>
              </w:rPr>
            </w:pPr>
            <w:r>
              <w:rPr>
                <w:rFonts w:ascii="宋体" w:hAnsi="宋体" w:cs="宋体"/>
                <w:szCs w:val="21"/>
              </w:rPr>
              <w:t>推进“三线一单”生态环境分区管控要求落地应用，严控不符合土壤环境管控要求的项目落地；把好建设项目环境准入关，对可能造成土壤污染的建设项目依法开展环境影响评价，并强化土壤环评相关内容，提出有效的防范措施。</w:t>
            </w:r>
          </w:p>
        </w:tc>
        <w:tc>
          <w:tcPr>
            <w:tcW w:w="21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hint="eastAsia"/>
                <w:szCs w:val="21"/>
              </w:rPr>
              <w:t>项目符合</w:t>
            </w:r>
            <w:r>
              <w:rPr>
                <w:rFonts w:ascii="宋体" w:hAnsi="宋体" w:cs="宋体"/>
                <w:szCs w:val="21"/>
              </w:rPr>
              <w:t>“三线一单”</w:t>
            </w:r>
            <w:r>
              <w:rPr>
                <w:rFonts w:ascii="宋体" w:hAnsi="宋体" w:cs="宋体" w:hint="eastAsia"/>
                <w:szCs w:val="21"/>
              </w:rPr>
              <w:t>的相关要求</w:t>
            </w:r>
          </w:p>
        </w:tc>
        <w:tc>
          <w:tcPr>
            <w:tcW w:w="7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szCs w:val="21"/>
              </w:rPr>
              <w:t>相符</w:t>
            </w:r>
          </w:p>
        </w:tc>
      </w:tr>
      <w:tr w:rsidR="00240BCE">
        <w:trPr>
          <w:trHeight w:val="1534"/>
          <w:jc w:val="center"/>
        </w:trPr>
        <w:tc>
          <w:tcPr>
            <w:tcW w:w="1813"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rPr>
                <w:rFonts w:ascii="宋体" w:hAnsi="宋体" w:cs="宋体"/>
                <w:szCs w:val="21"/>
              </w:rPr>
            </w:pPr>
            <w:r>
              <w:rPr>
                <w:rFonts w:ascii="宋体" w:hAnsi="宋体" w:cs="宋体"/>
                <w:szCs w:val="21"/>
              </w:rPr>
              <w:t>推动实施绿色化改造</w:t>
            </w:r>
          </w:p>
        </w:tc>
        <w:tc>
          <w:tcPr>
            <w:tcW w:w="4736" w:type="dxa"/>
            <w:tcBorders>
              <w:top w:val="single" w:sz="4" w:space="0" w:color="auto"/>
              <w:left w:val="single" w:sz="4" w:space="0" w:color="auto"/>
              <w:bottom w:val="single" w:sz="4" w:space="0" w:color="auto"/>
              <w:right w:val="single" w:sz="4" w:space="0" w:color="auto"/>
            </w:tcBorders>
            <w:vAlign w:val="center"/>
          </w:tcPr>
          <w:p w:rsidR="00240BCE" w:rsidRDefault="00AC0334">
            <w:pPr>
              <w:pStyle w:val="00"/>
              <w:rPr>
                <w:rFonts w:ascii="宋体" w:hAnsi="宋体" w:cs="宋体"/>
                <w:szCs w:val="21"/>
              </w:rPr>
            </w:pPr>
            <w:r>
              <w:rPr>
                <w:rFonts w:ascii="宋体" w:hAnsi="宋体" w:cs="宋体"/>
                <w:szCs w:val="21"/>
              </w:rPr>
              <w:t>推进工业绿色升级，加快实施钢铁、石化、化工、有色、皮革等行业绿色化改造。鼓励土壤污染重点监管单位因地制宜实施管道化、密闭化改造，重点区域防腐防渗改造，物料、污水、废气管线架空建设和改造，从源头上防范土壤污染。</w:t>
            </w:r>
          </w:p>
        </w:tc>
        <w:tc>
          <w:tcPr>
            <w:tcW w:w="21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szCs w:val="21"/>
              </w:rPr>
              <w:t>本项目拟严格按照绿色矿山建设规范进行建设</w:t>
            </w:r>
          </w:p>
        </w:tc>
        <w:tc>
          <w:tcPr>
            <w:tcW w:w="735" w:type="dxa"/>
            <w:tcBorders>
              <w:top w:val="single" w:sz="4" w:space="0" w:color="auto"/>
              <w:left w:val="nil"/>
              <w:bottom w:val="single" w:sz="4" w:space="0" w:color="auto"/>
              <w:right w:val="single" w:sz="4" w:space="0" w:color="auto"/>
            </w:tcBorders>
            <w:vAlign w:val="center"/>
          </w:tcPr>
          <w:p w:rsidR="00240BCE" w:rsidRDefault="00AC0334">
            <w:pPr>
              <w:pStyle w:val="00"/>
              <w:rPr>
                <w:rFonts w:ascii="Times New Roman" w:hAnsi="Times New Roman"/>
                <w:szCs w:val="21"/>
              </w:rPr>
            </w:pPr>
            <w:r>
              <w:rPr>
                <w:rFonts w:ascii="Times New Roman" w:hAnsi="Times New Roman"/>
                <w:szCs w:val="21"/>
              </w:rPr>
              <w:t>相符</w:t>
            </w:r>
          </w:p>
        </w:tc>
      </w:tr>
    </w:tbl>
    <w:p w:rsidR="00240BCE" w:rsidRDefault="00AC0334" w:rsidP="009C5F33">
      <w:pPr>
        <w:pStyle w:val="30"/>
        <w:adjustRightInd w:val="0"/>
        <w:snapToGrid w:val="0"/>
        <w:spacing w:beforeLines="70" w:afterLines="30" w:line="240" w:lineRule="auto"/>
        <w:jc w:val="left"/>
        <w:rPr>
          <w:rFonts w:eastAsia="楷体"/>
          <w:color w:val="000000"/>
          <w:sz w:val="28"/>
          <w:szCs w:val="28"/>
        </w:rPr>
      </w:pPr>
      <w:bookmarkStart w:id="888" w:name="_Toc79668748"/>
      <w:r>
        <w:rPr>
          <w:rFonts w:eastAsia="楷体"/>
          <w:color w:val="000000"/>
          <w:sz w:val="28"/>
          <w:szCs w:val="28"/>
        </w:rPr>
        <w:lastRenderedPageBreak/>
        <w:t>10.3.1</w:t>
      </w:r>
      <w:r w:rsidR="00EC66AD">
        <w:rPr>
          <w:rFonts w:eastAsia="楷体" w:hint="eastAsia"/>
          <w:color w:val="000000"/>
          <w:sz w:val="28"/>
          <w:szCs w:val="28"/>
        </w:rPr>
        <w:t>2</w:t>
      </w:r>
      <w:r>
        <w:rPr>
          <w:rFonts w:eastAsia="楷体"/>
          <w:color w:val="000000"/>
          <w:sz w:val="28"/>
          <w:szCs w:val="28"/>
        </w:rPr>
        <w:t>与《矿产资源节约与综合利用鼓励、限制和淘汰技术目录》的相符性分析</w:t>
      </w:r>
      <w:bookmarkEnd w:id="888"/>
    </w:p>
    <w:p w:rsidR="00240BCE" w:rsidRDefault="00AC0334">
      <w:pPr>
        <w:spacing w:line="520" w:lineRule="exact"/>
        <w:ind w:firstLineChars="200" w:firstLine="480"/>
        <w:textAlignment w:val="baseline"/>
        <w:rPr>
          <w:sz w:val="24"/>
          <w:shd w:val="clear" w:color="auto" w:fill="FFFFFF"/>
        </w:rPr>
      </w:pPr>
      <w:r>
        <w:rPr>
          <w:sz w:val="24"/>
          <w:shd w:val="clear" w:color="auto" w:fill="FFFFFF"/>
        </w:rPr>
        <w:t>2014</w:t>
      </w:r>
      <w:r>
        <w:rPr>
          <w:sz w:val="24"/>
          <w:shd w:val="clear" w:color="auto" w:fill="FFFFFF"/>
        </w:rPr>
        <w:t>年国土资源部印发了《矿产资源节能与综合利用鼓励、限制和淘汰技术目录（修订版）》（国土资发〔</w:t>
      </w:r>
      <w:r>
        <w:rPr>
          <w:sz w:val="24"/>
          <w:shd w:val="clear" w:color="auto" w:fill="FFFFFF"/>
        </w:rPr>
        <w:t>2014</w:t>
      </w:r>
      <w:r>
        <w:rPr>
          <w:sz w:val="24"/>
          <w:shd w:val="clear" w:color="auto" w:fill="FFFFFF"/>
        </w:rPr>
        <w:t>〕</w:t>
      </w:r>
      <w:r>
        <w:rPr>
          <w:sz w:val="24"/>
          <w:shd w:val="clear" w:color="auto" w:fill="FFFFFF"/>
        </w:rPr>
        <w:t>176</w:t>
      </w:r>
      <w:r>
        <w:rPr>
          <w:sz w:val="24"/>
          <w:shd w:val="clear" w:color="auto" w:fill="FFFFFF"/>
        </w:rPr>
        <w:t>号），目录由鼓励类技术、限制类技术及淘汰类技术三类组成。经对比知：本项目采矿工艺和设备均不在鼓励、限制和淘汰类技术目录中，符合《矿产资源节约与综合利用鼓励、限制和淘汰技术目录》相关要求。</w:t>
      </w:r>
    </w:p>
    <w:p w:rsidR="00240BCE" w:rsidRDefault="00AC0334" w:rsidP="009C5F33">
      <w:pPr>
        <w:pStyle w:val="30"/>
        <w:adjustRightInd w:val="0"/>
        <w:snapToGrid w:val="0"/>
        <w:spacing w:beforeLines="70" w:afterLines="30" w:line="240" w:lineRule="auto"/>
        <w:jc w:val="left"/>
        <w:rPr>
          <w:rFonts w:eastAsia="楷体"/>
          <w:color w:val="000000"/>
          <w:sz w:val="28"/>
          <w:szCs w:val="28"/>
        </w:rPr>
      </w:pPr>
      <w:bookmarkStart w:id="889" w:name="_Toc79668749"/>
      <w:r>
        <w:rPr>
          <w:rFonts w:eastAsia="楷体"/>
          <w:color w:val="000000"/>
          <w:sz w:val="28"/>
          <w:szCs w:val="28"/>
        </w:rPr>
        <w:t>10.3.1</w:t>
      </w:r>
      <w:r w:rsidR="00EC66AD">
        <w:rPr>
          <w:rFonts w:eastAsia="楷体" w:hint="eastAsia"/>
          <w:color w:val="000000"/>
          <w:sz w:val="28"/>
          <w:szCs w:val="28"/>
        </w:rPr>
        <w:t>3</w:t>
      </w:r>
      <w:r>
        <w:rPr>
          <w:rFonts w:eastAsia="楷体"/>
          <w:color w:val="000000"/>
          <w:sz w:val="28"/>
          <w:szCs w:val="28"/>
        </w:rPr>
        <w:t>与《金属非金属矿山禁止使用的设备及工艺目录》的相符性分析</w:t>
      </w:r>
      <w:bookmarkEnd w:id="889"/>
    </w:p>
    <w:p w:rsidR="00240BCE" w:rsidRDefault="00AC0334">
      <w:pPr>
        <w:spacing w:line="520" w:lineRule="exact"/>
        <w:ind w:firstLineChars="200" w:firstLine="480"/>
        <w:rPr>
          <w:sz w:val="24"/>
        </w:rPr>
      </w:pPr>
      <w:r>
        <w:rPr>
          <w:sz w:val="24"/>
        </w:rPr>
        <w:t>2013</w:t>
      </w:r>
      <w:r>
        <w:rPr>
          <w:sz w:val="24"/>
        </w:rPr>
        <w:t>年</w:t>
      </w:r>
      <w:r>
        <w:rPr>
          <w:sz w:val="24"/>
        </w:rPr>
        <w:t>9</w:t>
      </w:r>
      <w:r>
        <w:rPr>
          <w:sz w:val="24"/>
        </w:rPr>
        <w:t>月</w:t>
      </w:r>
      <w:r>
        <w:rPr>
          <w:sz w:val="24"/>
        </w:rPr>
        <w:t>6</w:t>
      </w:r>
      <w:r>
        <w:rPr>
          <w:sz w:val="24"/>
        </w:rPr>
        <w:t>日，国家安全监管总局发布了《国家安全监管总局关于发布</w:t>
      </w:r>
      <w:r>
        <w:rPr>
          <w:sz w:val="24"/>
        </w:rPr>
        <w:t>&lt;</w:t>
      </w:r>
      <w:r>
        <w:rPr>
          <w:sz w:val="24"/>
        </w:rPr>
        <w:t>金属非金属矿山禁止使用的设备及工艺目录（第一批）</w:t>
      </w:r>
      <w:r>
        <w:rPr>
          <w:sz w:val="24"/>
        </w:rPr>
        <w:t>&gt;</w:t>
      </w:r>
      <w:r>
        <w:rPr>
          <w:sz w:val="24"/>
        </w:rPr>
        <w:t>的通知》（安监总管一〔</w:t>
      </w:r>
      <w:r>
        <w:rPr>
          <w:sz w:val="24"/>
        </w:rPr>
        <w:t>2013</w:t>
      </w:r>
      <w:r>
        <w:rPr>
          <w:sz w:val="24"/>
        </w:rPr>
        <w:t>〕</w:t>
      </w:r>
      <w:r>
        <w:rPr>
          <w:sz w:val="24"/>
        </w:rPr>
        <w:t>101</w:t>
      </w:r>
      <w:r>
        <w:rPr>
          <w:sz w:val="24"/>
        </w:rPr>
        <w:t>号），</w:t>
      </w:r>
      <w:r>
        <w:rPr>
          <w:sz w:val="24"/>
        </w:rPr>
        <w:t>2015</w:t>
      </w:r>
      <w:r>
        <w:rPr>
          <w:sz w:val="24"/>
        </w:rPr>
        <w:t>年</w:t>
      </w:r>
      <w:r>
        <w:rPr>
          <w:sz w:val="24"/>
        </w:rPr>
        <w:t>2</w:t>
      </w:r>
      <w:r>
        <w:rPr>
          <w:sz w:val="24"/>
        </w:rPr>
        <w:t>月</w:t>
      </w:r>
      <w:r>
        <w:rPr>
          <w:sz w:val="24"/>
        </w:rPr>
        <w:t>13</w:t>
      </w:r>
      <w:r>
        <w:rPr>
          <w:sz w:val="24"/>
        </w:rPr>
        <w:t>日，国家安全监管总局发布了《国家安全监管总局关于发布</w:t>
      </w:r>
      <w:r>
        <w:rPr>
          <w:sz w:val="24"/>
        </w:rPr>
        <w:t>&lt;</w:t>
      </w:r>
      <w:r>
        <w:rPr>
          <w:sz w:val="24"/>
        </w:rPr>
        <w:t>金属非金属矿山禁止使用的设备及工艺目录（第二批）</w:t>
      </w:r>
      <w:r>
        <w:rPr>
          <w:sz w:val="24"/>
        </w:rPr>
        <w:t>&gt;</w:t>
      </w:r>
      <w:r>
        <w:rPr>
          <w:sz w:val="24"/>
        </w:rPr>
        <w:t>的通知》（安监总管一〔</w:t>
      </w:r>
      <w:r>
        <w:rPr>
          <w:sz w:val="24"/>
        </w:rPr>
        <w:t>2015</w:t>
      </w:r>
      <w:r>
        <w:rPr>
          <w:sz w:val="24"/>
        </w:rPr>
        <w:t>〕</w:t>
      </w:r>
      <w:r>
        <w:rPr>
          <w:sz w:val="24"/>
        </w:rPr>
        <w:t>13</w:t>
      </w:r>
      <w:r>
        <w:rPr>
          <w:sz w:val="24"/>
        </w:rPr>
        <w:t>号）。根据以上两个文件要求，新建、改建、扩建的矿山从目录发布之日起，一律禁止使用目录所列设备及工艺，现有生产矿山在用目录所列设备及工艺的，按照目录规定的时限予以强制淘汰。</w:t>
      </w:r>
    </w:p>
    <w:p w:rsidR="00240BCE" w:rsidRDefault="00AC0334">
      <w:pPr>
        <w:spacing w:line="520" w:lineRule="exact"/>
        <w:ind w:firstLineChars="200" w:firstLine="480"/>
        <w:rPr>
          <w:sz w:val="24"/>
        </w:rPr>
      </w:pPr>
      <w:r>
        <w:rPr>
          <w:sz w:val="24"/>
        </w:rPr>
        <w:t>经与《金属非金属矿山禁止使用的设备及工艺目录》（第一批）（第二批）对比知：本项目设计采矿工艺和设备均不在禁止使用的设备及工艺目录中，符合《金属非金属矿山禁止使用的设备及工艺目录》（第一批）（第二批）的要求。</w:t>
      </w:r>
    </w:p>
    <w:p w:rsidR="00240BCE" w:rsidRDefault="00AC0334" w:rsidP="009C5F33">
      <w:pPr>
        <w:pStyle w:val="30"/>
        <w:adjustRightInd w:val="0"/>
        <w:snapToGrid w:val="0"/>
        <w:spacing w:beforeLines="70" w:afterLines="30" w:line="240" w:lineRule="auto"/>
        <w:jc w:val="left"/>
        <w:rPr>
          <w:rFonts w:eastAsia="楷体"/>
          <w:color w:val="000000"/>
          <w:sz w:val="28"/>
          <w:szCs w:val="28"/>
        </w:rPr>
      </w:pPr>
      <w:bookmarkStart w:id="890" w:name="_Toc79668750"/>
      <w:r>
        <w:rPr>
          <w:rFonts w:eastAsia="楷体"/>
          <w:color w:val="000000"/>
          <w:sz w:val="28"/>
          <w:szCs w:val="28"/>
        </w:rPr>
        <w:t>10.3.1</w:t>
      </w:r>
      <w:bookmarkEnd w:id="890"/>
      <w:r w:rsidR="00EC66AD">
        <w:rPr>
          <w:rFonts w:eastAsia="楷体" w:hint="eastAsia"/>
          <w:color w:val="000000"/>
          <w:sz w:val="28"/>
          <w:szCs w:val="28"/>
        </w:rPr>
        <w:t>4</w:t>
      </w:r>
      <w:r w:rsidR="00607C34">
        <w:rPr>
          <w:rFonts w:eastAsia="楷体" w:hint="eastAsia"/>
          <w:color w:val="000000"/>
          <w:sz w:val="28"/>
          <w:szCs w:val="28"/>
        </w:rPr>
        <w:t>与</w:t>
      </w:r>
      <w:r w:rsidR="00607C34" w:rsidRPr="00607C34">
        <w:rPr>
          <w:rFonts w:eastAsia="楷体" w:hint="eastAsia"/>
          <w:color w:val="000000"/>
          <w:sz w:val="28"/>
          <w:szCs w:val="28"/>
        </w:rPr>
        <w:t>《许昌市</w:t>
      </w:r>
      <w:r w:rsidR="00607C34" w:rsidRPr="00607C34">
        <w:rPr>
          <w:rFonts w:eastAsia="楷体"/>
          <w:color w:val="000000"/>
          <w:sz w:val="28"/>
          <w:szCs w:val="28"/>
        </w:rPr>
        <w:t>2021</w:t>
      </w:r>
      <w:r w:rsidR="00607C34" w:rsidRPr="00607C34">
        <w:rPr>
          <w:rFonts w:eastAsia="楷体" w:hint="eastAsia"/>
          <w:color w:val="000000"/>
          <w:sz w:val="28"/>
          <w:szCs w:val="28"/>
        </w:rPr>
        <w:t>年大气、水、土壤污染防治攻坚战及农业农村污染治理攻坚战实施方案的通知》（许环攻坚办</w:t>
      </w:r>
      <w:r w:rsidR="00607C34" w:rsidRPr="00607C34">
        <w:rPr>
          <w:rFonts w:eastAsia="楷体" w:hint="eastAsia"/>
          <w:color w:val="000000"/>
          <w:sz w:val="28"/>
          <w:szCs w:val="28"/>
        </w:rPr>
        <w:t>[202</w:t>
      </w:r>
      <w:r w:rsidR="00607C34" w:rsidRPr="00607C34">
        <w:rPr>
          <w:rFonts w:eastAsia="楷体"/>
          <w:color w:val="000000"/>
          <w:sz w:val="28"/>
          <w:szCs w:val="28"/>
        </w:rPr>
        <w:t>1</w:t>
      </w:r>
      <w:r w:rsidR="00607C34" w:rsidRPr="00607C34">
        <w:rPr>
          <w:rFonts w:eastAsia="楷体" w:hint="eastAsia"/>
          <w:color w:val="000000"/>
          <w:sz w:val="28"/>
          <w:szCs w:val="28"/>
        </w:rPr>
        <w:t>]</w:t>
      </w:r>
      <w:r w:rsidR="00607C34" w:rsidRPr="00607C34">
        <w:rPr>
          <w:rFonts w:eastAsia="楷体"/>
          <w:color w:val="000000"/>
          <w:sz w:val="28"/>
          <w:szCs w:val="28"/>
        </w:rPr>
        <w:t>36</w:t>
      </w:r>
      <w:r w:rsidR="00607C34" w:rsidRPr="00607C34">
        <w:rPr>
          <w:rFonts w:eastAsia="楷体" w:hint="eastAsia"/>
          <w:color w:val="000000"/>
          <w:sz w:val="28"/>
          <w:szCs w:val="28"/>
        </w:rPr>
        <w:t>号）的相符性</w:t>
      </w:r>
    </w:p>
    <w:p w:rsidR="00607C34" w:rsidRPr="00607C34" w:rsidRDefault="00607C34" w:rsidP="00607C34">
      <w:pPr>
        <w:spacing w:line="520" w:lineRule="exact"/>
        <w:ind w:firstLineChars="200" w:firstLine="480"/>
        <w:rPr>
          <w:bCs/>
          <w:sz w:val="24"/>
        </w:rPr>
      </w:pPr>
      <w:r w:rsidRPr="00607C34">
        <w:rPr>
          <w:bCs/>
          <w:sz w:val="24"/>
        </w:rPr>
        <w:t>2021</w:t>
      </w:r>
      <w:r w:rsidRPr="00607C34">
        <w:rPr>
          <w:rFonts w:hint="eastAsia"/>
          <w:bCs/>
          <w:sz w:val="24"/>
        </w:rPr>
        <w:t>年</w:t>
      </w:r>
      <w:r w:rsidRPr="00607C34">
        <w:rPr>
          <w:bCs/>
          <w:sz w:val="24"/>
        </w:rPr>
        <w:t>5</w:t>
      </w:r>
      <w:r w:rsidRPr="00607C34">
        <w:rPr>
          <w:rFonts w:hint="eastAsia"/>
          <w:bCs/>
          <w:sz w:val="24"/>
        </w:rPr>
        <w:t>月</w:t>
      </w:r>
      <w:r w:rsidRPr="00607C34">
        <w:rPr>
          <w:bCs/>
          <w:sz w:val="24"/>
        </w:rPr>
        <w:t>29</w:t>
      </w:r>
      <w:r w:rsidRPr="00607C34">
        <w:rPr>
          <w:rFonts w:hint="eastAsia"/>
          <w:bCs/>
          <w:sz w:val="24"/>
        </w:rPr>
        <w:t>日，许昌市污染防治攻坚战领导小组办公室发布《关于印发许昌市</w:t>
      </w:r>
      <w:r w:rsidRPr="00607C34">
        <w:rPr>
          <w:rFonts w:hint="eastAsia"/>
          <w:bCs/>
          <w:sz w:val="24"/>
        </w:rPr>
        <w:t>2021</w:t>
      </w:r>
      <w:r w:rsidRPr="00607C34">
        <w:rPr>
          <w:rFonts w:hint="eastAsia"/>
          <w:bCs/>
          <w:sz w:val="24"/>
        </w:rPr>
        <w:t>年大气、水、土壤污染防治攻坚战及农业农村污染治理攻坚战实施方案的通知》（许环攻坚办</w:t>
      </w:r>
      <w:r w:rsidRPr="00607C34">
        <w:rPr>
          <w:bCs/>
          <w:sz w:val="24"/>
        </w:rPr>
        <w:t>[2021]36</w:t>
      </w:r>
      <w:r w:rsidRPr="00607C34">
        <w:rPr>
          <w:rFonts w:hint="eastAsia"/>
          <w:bCs/>
          <w:sz w:val="24"/>
        </w:rPr>
        <w:t>号），与项目相关内容摘录如下：</w:t>
      </w:r>
    </w:p>
    <w:p w:rsidR="00607C34" w:rsidRPr="00607C34" w:rsidRDefault="00607C34" w:rsidP="00607C34">
      <w:pPr>
        <w:pStyle w:val="a1"/>
        <w:spacing w:after="0" w:line="520" w:lineRule="exact"/>
        <w:rPr>
          <w:sz w:val="24"/>
        </w:rPr>
      </w:pPr>
      <w:r>
        <w:rPr>
          <w:rFonts w:hint="eastAsia"/>
          <w:b/>
          <w:bCs/>
          <w:sz w:val="24"/>
        </w:rPr>
        <w:t>10.3.1</w:t>
      </w:r>
      <w:r w:rsidR="00EC66AD">
        <w:rPr>
          <w:rFonts w:hint="eastAsia"/>
          <w:b/>
          <w:bCs/>
          <w:sz w:val="24"/>
        </w:rPr>
        <w:t>4</w:t>
      </w:r>
      <w:r>
        <w:rPr>
          <w:rFonts w:hint="eastAsia"/>
          <w:b/>
          <w:bCs/>
          <w:sz w:val="24"/>
        </w:rPr>
        <w:t>.1</w:t>
      </w:r>
      <w:r w:rsidRPr="00607C34">
        <w:rPr>
          <w:rFonts w:hint="eastAsia"/>
          <w:b/>
          <w:bCs/>
          <w:sz w:val="24"/>
        </w:rPr>
        <w:t>许昌市</w:t>
      </w:r>
      <w:r w:rsidRPr="00607C34">
        <w:rPr>
          <w:b/>
          <w:bCs/>
          <w:sz w:val="24"/>
        </w:rPr>
        <w:t>2021</w:t>
      </w:r>
      <w:r w:rsidRPr="00607C34">
        <w:rPr>
          <w:rFonts w:hint="eastAsia"/>
          <w:b/>
          <w:bCs/>
          <w:sz w:val="24"/>
        </w:rPr>
        <w:t>年大气污染防治攻坚战实施方案：</w:t>
      </w:r>
    </w:p>
    <w:p w:rsidR="00607C34" w:rsidRDefault="00607C34" w:rsidP="00607C34">
      <w:pPr>
        <w:spacing w:line="520" w:lineRule="exact"/>
        <w:ind w:firstLineChars="200" w:firstLine="480"/>
        <w:rPr>
          <w:sz w:val="24"/>
        </w:rPr>
      </w:pPr>
      <w:r w:rsidRPr="00607C34">
        <w:rPr>
          <w:rFonts w:hint="eastAsia"/>
          <w:sz w:val="24"/>
        </w:rPr>
        <w:t>（</w:t>
      </w:r>
      <w:r w:rsidRPr="00607C34">
        <w:rPr>
          <w:rFonts w:hint="eastAsia"/>
          <w:sz w:val="24"/>
        </w:rPr>
        <w:t>1</w:t>
      </w:r>
      <w:r w:rsidRPr="00607C34">
        <w:rPr>
          <w:rFonts w:hint="eastAsia"/>
          <w:sz w:val="24"/>
        </w:rPr>
        <w:t>）严格环境准入。落实“三线一单”（生态保护红线、环境质量底线、资源利用上线和生态环境准入清单）生态环境分区管控要求，从严从紧从实控制高耗能、</w:t>
      </w:r>
      <w:r w:rsidRPr="00607C34">
        <w:rPr>
          <w:rFonts w:hint="eastAsia"/>
          <w:sz w:val="24"/>
        </w:rPr>
        <w:lastRenderedPageBreak/>
        <w:t>高排放项目建设，全市原则上禁止新建、扩建单纯新增产能的钢铁、电解铝、水泥、平板玻璃、传统煤化工（甲醇、合成氨）、焦化、铸造、铝用炭素、耐火材料制品、砖瓦窑、铅锌冶炼（含再生铅）等高耗能、高排放和产能过剩的产业项目，禁止陶瓷等行业新建、扩建以煤炭为燃料的项目，禁止新建燃料类煤气发生炉和</w:t>
      </w:r>
      <w:r w:rsidRPr="00607C34">
        <w:rPr>
          <w:rFonts w:hint="eastAsia"/>
          <w:sz w:val="24"/>
        </w:rPr>
        <w:t>35</w:t>
      </w:r>
      <w:r w:rsidRPr="00607C34">
        <w:rPr>
          <w:rFonts w:hint="eastAsia"/>
          <w:sz w:val="24"/>
        </w:rPr>
        <w:t>蒸吨</w:t>
      </w:r>
      <w:r w:rsidRPr="00607C34">
        <w:rPr>
          <w:rFonts w:hint="eastAsia"/>
          <w:sz w:val="24"/>
        </w:rPr>
        <w:t>/</w:t>
      </w:r>
      <w:r w:rsidRPr="00607C34">
        <w:rPr>
          <w:rFonts w:hint="eastAsia"/>
          <w:sz w:val="24"/>
        </w:rPr>
        <w:t>时及以下燃煤锅炉。严格项目备案审查，强化项目现场核查，保持违规新增产能项目露头就打的高压态势。完善生态环境准入清单，强化项目环评及“三同时”管理，国家、省绩效分级重点行业的新建、改建、扩建项目达到</w:t>
      </w:r>
      <w:r w:rsidRPr="00607C34">
        <w:rPr>
          <w:rFonts w:hint="eastAsia"/>
          <w:sz w:val="24"/>
        </w:rPr>
        <w:t>B</w:t>
      </w:r>
      <w:r w:rsidRPr="00607C34">
        <w:rPr>
          <w:rFonts w:hint="eastAsia"/>
          <w:sz w:val="24"/>
        </w:rPr>
        <w:t>级以上要求。</w:t>
      </w:r>
    </w:p>
    <w:p w:rsidR="00607C34" w:rsidRDefault="00607C34" w:rsidP="00607C34">
      <w:pPr>
        <w:spacing w:line="520" w:lineRule="exact"/>
        <w:ind w:firstLineChars="200" w:firstLine="480"/>
        <w:rPr>
          <w:sz w:val="24"/>
        </w:rPr>
      </w:pPr>
      <w:r w:rsidRPr="00607C34">
        <w:rPr>
          <w:rFonts w:hint="eastAsia"/>
          <w:sz w:val="24"/>
        </w:rPr>
        <w:t>（</w:t>
      </w:r>
      <w:r w:rsidRPr="00607C34">
        <w:rPr>
          <w:rFonts w:hint="eastAsia"/>
          <w:sz w:val="24"/>
        </w:rPr>
        <w:t>2</w:t>
      </w:r>
      <w:r w:rsidRPr="00607C34">
        <w:rPr>
          <w:rFonts w:hint="eastAsia"/>
          <w:sz w:val="24"/>
        </w:rPr>
        <w:t>）加快落后产能淘汰。按照《河南省淘汰落后产能综合标准体系》（</w:t>
      </w:r>
      <w:r w:rsidRPr="00607C34">
        <w:rPr>
          <w:rFonts w:hint="eastAsia"/>
          <w:sz w:val="24"/>
        </w:rPr>
        <w:t>2020</w:t>
      </w:r>
      <w:r w:rsidRPr="00607C34">
        <w:rPr>
          <w:rFonts w:hint="eastAsia"/>
          <w:sz w:val="24"/>
        </w:rPr>
        <w:t>年本），严格执行能耗、环保、质量、安全、技术等法规标准，</w:t>
      </w:r>
      <w:r w:rsidRPr="00607C34">
        <w:rPr>
          <w:rFonts w:hint="eastAsia"/>
          <w:sz w:val="24"/>
        </w:rPr>
        <w:t>2</w:t>
      </w:r>
      <w:r w:rsidRPr="00607C34">
        <w:rPr>
          <w:sz w:val="24"/>
        </w:rPr>
        <w:t>021</w:t>
      </w:r>
      <w:r w:rsidRPr="00607C34">
        <w:rPr>
          <w:rFonts w:hint="eastAsia"/>
          <w:sz w:val="24"/>
        </w:rPr>
        <w:t>年</w:t>
      </w:r>
      <w:r w:rsidRPr="00607C34">
        <w:rPr>
          <w:rFonts w:hint="eastAsia"/>
          <w:sz w:val="24"/>
        </w:rPr>
        <w:t>5</w:t>
      </w:r>
      <w:r w:rsidRPr="00607C34">
        <w:rPr>
          <w:rFonts w:hint="eastAsia"/>
          <w:sz w:val="24"/>
        </w:rPr>
        <w:t>月底前，市工信局牵头组织相关部门制定工作方案，对国家和我省明确的落后生产工艺装备和落后产品开展全面排查摸底，实施落后产能清零行动，巩固落后产能淘汰工作成效，于</w:t>
      </w:r>
      <w:r w:rsidRPr="00607C34">
        <w:rPr>
          <w:rFonts w:hint="eastAsia"/>
          <w:sz w:val="24"/>
        </w:rPr>
        <w:t>2021</w:t>
      </w:r>
      <w:r w:rsidRPr="00607C34">
        <w:rPr>
          <w:rFonts w:hint="eastAsia"/>
          <w:sz w:val="24"/>
        </w:rPr>
        <w:t>年</w:t>
      </w:r>
      <w:r w:rsidRPr="00607C34">
        <w:rPr>
          <w:sz w:val="24"/>
        </w:rPr>
        <w:t>10</w:t>
      </w:r>
      <w:r w:rsidRPr="00607C34">
        <w:rPr>
          <w:rFonts w:hint="eastAsia"/>
          <w:sz w:val="24"/>
        </w:rPr>
        <w:t>月底前完成淘汰落后产能项目验收工作。</w:t>
      </w:r>
    </w:p>
    <w:p w:rsidR="00607C34" w:rsidRDefault="00607C34" w:rsidP="00607C34">
      <w:pPr>
        <w:spacing w:line="520" w:lineRule="exact"/>
        <w:ind w:firstLineChars="200" w:firstLine="480"/>
        <w:rPr>
          <w:sz w:val="24"/>
        </w:rPr>
      </w:pPr>
      <w:r w:rsidRPr="00607C34">
        <w:rPr>
          <w:rFonts w:hint="eastAsia"/>
          <w:sz w:val="24"/>
        </w:rPr>
        <w:t>（</w:t>
      </w:r>
      <w:r w:rsidRPr="00607C34">
        <w:rPr>
          <w:rFonts w:hint="eastAsia"/>
          <w:sz w:val="24"/>
        </w:rPr>
        <w:t>3</w:t>
      </w:r>
      <w:r w:rsidRPr="00607C34">
        <w:rPr>
          <w:rFonts w:hint="eastAsia"/>
          <w:sz w:val="24"/>
        </w:rPr>
        <w:t>）加强扬尘综合治理。开展扬尘污染综合治理提升行动，推动扬尘污染防治常态化、规范化、标准化。市控尘办结合扬尘污染治理实际，分解下达各县（市、区）可吸入颗粒物（</w:t>
      </w:r>
      <w:r w:rsidRPr="00607C34">
        <w:rPr>
          <w:rFonts w:hint="eastAsia"/>
          <w:sz w:val="24"/>
        </w:rPr>
        <w:t>PM</w:t>
      </w:r>
      <w:r w:rsidRPr="00607C34">
        <w:rPr>
          <w:rFonts w:hint="eastAsia"/>
          <w:sz w:val="24"/>
          <w:vertAlign w:val="subscript"/>
        </w:rPr>
        <w:t>10</w:t>
      </w:r>
      <w:r w:rsidRPr="00607C34">
        <w:rPr>
          <w:rFonts w:hint="eastAsia"/>
          <w:sz w:val="24"/>
        </w:rPr>
        <w:t>）年度目标值，强化调度督办，做好定期通报和年度考核工作。住建、交通、自然资源、水利、商务等部门将落实《城市房屋建筑和市政基础设施工程及道路扬尘污染防治标准》要求、“十个百分之百”扬尘污染防治措施、“两个禁止”（禁止现场搅拌混凝土和现场配制砂浆）、渣土物料运输车辆管理纳入日常安全文明施工监督范围，组织做好重污染天气预警、大风天气条件下施工工地、道路扬尘管控，建立举报监督、明查暗访工作机制，将工程建设活动中未按规定采取控制措施、减少扬尘污染受到通报、约谈或行政处罚的列为不良行为。住建部门负责组织开展全市预拌商品混凝土生产企业绿色化改造工作，全面提升扬尘污染治理水平。进一步扩大道路机械化清扫和洒水范围，强化道路清洗保洁作业，持续开展城市清洁行动。</w:t>
      </w:r>
      <w:r w:rsidRPr="00607C34">
        <w:rPr>
          <w:rFonts w:hint="eastAsia"/>
          <w:sz w:val="24"/>
        </w:rPr>
        <w:t>2021</w:t>
      </w:r>
      <w:r w:rsidRPr="00607C34">
        <w:rPr>
          <w:rFonts w:hint="eastAsia"/>
          <w:sz w:val="24"/>
        </w:rPr>
        <w:t>年全市平均降尘量不得高于</w:t>
      </w:r>
      <w:r w:rsidRPr="00607C34">
        <w:rPr>
          <w:rFonts w:hint="eastAsia"/>
          <w:sz w:val="24"/>
        </w:rPr>
        <w:t>8</w:t>
      </w:r>
      <w:r w:rsidRPr="00607C34">
        <w:rPr>
          <w:rFonts w:hint="eastAsia"/>
          <w:sz w:val="24"/>
        </w:rPr>
        <w:t>吨</w:t>
      </w:r>
      <w:r w:rsidRPr="00607C34">
        <w:rPr>
          <w:rFonts w:hint="eastAsia"/>
          <w:sz w:val="24"/>
        </w:rPr>
        <w:t>/</w:t>
      </w:r>
      <w:r w:rsidRPr="00607C34">
        <w:rPr>
          <w:rFonts w:hint="eastAsia"/>
          <w:sz w:val="24"/>
        </w:rPr>
        <w:t>月平方公里，不断加严降尘量控制指标，实施网格化降尘量监测考核。</w:t>
      </w:r>
    </w:p>
    <w:p w:rsidR="00607C34" w:rsidRDefault="00607C34" w:rsidP="00607C34">
      <w:pPr>
        <w:spacing w:line="520" w:lineRule="exact"/>
        <w:ind w:firstLineChars="200" w:firstLine="480"/>
        <w:rPr>
          <w:sz w:val="24"/>
        </w:rPr>
      </w:pPr>
      <w:r w:rsidRPr="00607C34">
        <w:rPr>
          <w:rFonts w:hint="eastAsia"/>
          <w:sz w:val="24"/>
        </w:rPr>
        <w:lastRenderedPageBreak/>
        <w:t>（</w:t>
      </w:r>
      <w:r w:rsidRPr="00607C34">
        <w:rPr>
          <w:sz w:val="24"/>
        </w:rPr>
        <w:t>4</w:t>
      </w:r>
      <w:r w:rsidRPr="00607C34">
        <w:rPr>
          <w:rFonts w:hint="eastAsia"/>
          <w:sz w:val="24"/>
        </w:rPr>
        <w:t>）深化矿山综合整治行动。持续推进绿色矿山建设，严格落实绿色矿山建设标准，确定绿色矿山建设目标，落实绿色矿山激励政策。推动矿石采选和砂石骨料企业全面开展装备升级及深度治理，针对原料运输、贮存、装卸、破碎、转运、筛分、出料等各个生产环节存在的无组织排放污染问题，进行全流程控制、收集、净化处理，并同步安装视频监控和相应的污染物排放监测设备，优化运输方式，减少污染物排放。</w:t>
      </w:r>
    </w:p>
    <w:p w:rsidR="00607C34" w:rsidRDefault="00607C34" w:rsidP="00607C34">
      <w:pPr>
        <w:spacing w:line="520" w:lineRule="exact"/>
        <w:ind w:firstLineChars="200" w:firstLine="482"/>
        <w:rPr>
          <w:sz w:val="24"/>
        </w:rPr>
      </w:pPr>
      <w:r w:rsidRPr="00607C34">
        <w:rPr>
          <w:rFonts w:hint="eastAsia"/>
          <w:b/>
          <w:sz w:val="24"/>
        </w:rPr>
        <w:t>相符性分析：</w:t>
      </w:r>
      <w:r w:rsidRPr="00607C34">
        <w:rPr>
          <w:rFonts w:hint="eastAsia"/>
          <w:sz w:val="24"/>
        </w:rPr>
        <w:t>本项目为井工</w:t>
      </w:r>
      <w:r>
        <w:rPr>
          <w:rFonts w:hint="eastAsia"/>
          <w:sz w:val="24"/>
        </w:rPr>
        <w:t>（</w:t>
      </w:r>
      <w:r w:rsidRPr="00607C34">
        <w:rPr>
          <w:rFonts w:hint="eastAsia"/>
          <w:sz w:val="24"/>
        </w:rPr>
        <w:t>地下</w:t>
      </w:r>
      <w:r>
        <w:rPr>
          <w:rFonts w:hint="eastAsia"/>
          <w:sz w:val="24"/>
        </w:rPr>
        <w:t>）</w:t>
      </w:r>
      <w:r w:rsidRPr="00607C34">
        <w:rPr>
          <w:rFonts w:hint="eastAsia"/>
          <w:sz w:val="24"/>
        </w:rPr>
        <w:t>开采煤矿，按照《河南省淘汰落后产能综合标准体系》（</w:t>
      </w:r>
      <w:r w:rsidRPr="00607C34">
        <w:rPr>
          <w:rFonts w:hint="eastAsia"/>
          <w:sz w:val="24"/>
        </w:rPr>
        <w:t>2020</w:t>
      </w:r>
      <w:r w:rsidRPr="00607C34">
        <w:rPr>
          <w:rFonts w:hint="eastAsia"/>
          <w:sz w:val="24"/>
        </w:rPr>
        <w:t>年本），按照《煤炭井工开采单位产品能源消耗限额》（</w:t>
      </w:r>
      <w:r w:rsidRPr="00607C34">
        <w:rPr>
          <w:rFonts w:hint="eastAsia"/>
          <w:sz w:val="24"/>
        </w:rPr>
        <w:t>GB29444-2012</w:t>
      </w:r>
      <w:r w:rsidRPr="00607C34">
        <w:rPr>
          <w:rFonts w:hint="eastAsia"/>
          <w:sz w:val="24"/>
        </w:rPr>
        <w:t>）计算单矿井煤炭井工开采企业单位产品能耗计算，本项目单位产品能耗指标为</w:t>
      </w:r>
      <w:r>
        <w:rPr>
          <w:rFonts w:hint="eastAsia"/>
          <w:sz w:val="24"/>
        </w:rPr>
        <w:t>4.0</w:t>
      </w:r>
      <w:r w:rsidR="00D82279">
        <w:rPr>
          <w:rFonts w:hint="eastAsia"/>
          <w:sz w:val="24"/>
        </w:rPr>
        <w:t>3</w:t>
      </w:r>
      <w:r w:rsidRPr="00607C34">
        <w:rPr>
          <w:rFonts w:hint="eastAsia"/>
          <w:sz w:val="24"/>
        </w:rPr>
        <w:t>kgce</w:t>
      </w:r>
      <w:r w:rsidRPr="00607C34">
        <w:rPr>
          <w:sz w:val="24"/>
        </w:rPr>
        <w:t>/t</w:t>
      </w:r>
      <w:r w:rsidRPr="00607C34">
        <w:rPr>
          <w:rFonts w:hint="eastAsia"/>
          <w:sz w:val="24"/>
        </w:rPr>
        <w:t>，满足现有企业井工开采企业单位产品能耗限定值（≤</w:t>
      </w:r>
      <w:r w:rsidRPr="00607C34">
        <w:rPr>
          <w:rFonts w:hint="eastAsia"/>
          <w:sz w:val="24"/>
        </w:rPr>
        <w:t>1</w:t>
      </w:r>
      <w:r w:rsidRPr="00607C34">
        <w:rPr>
          <w:sz w:val="24"/>
        </w:rPr>
        <w:t>1.8</w:t>
      </w:r>
      <w:r w:rsidRPr="00607C34">
        <w:rPr>
          <w:rFonts w:hint="eastAsia"/>
          <w:sz w:val="24"/>
        </w:rPr>
        <w:t>kgce/t</w:t>
      </w:r>
      <w:r w:rsidRPr="00607C34">
        <w:rPr>
          <w:rFonts w:hint="eastAsia"/>
          <w:sz w:val="24"/>
        </w:rPr>
        <w:t>）及新建煤炭井工开采企业单位产品能耗限定值（≤</w:t>
      </w:r>
      <w:r w:rsidRPr="00607C34">
        <w:rPr>
          <w:rFonts w:hint="eastAsia"/>
          <w:sz w:val="24"/>
        </w:rPr>
        <w:t>7</w:t>
      </w:r>
      <w:r w:rsidRPr="00607C34">
        <w:rPr>
          <w:sz w:val="24"/>
        </w:rPr>
        <w:t>.0</w:t>
      </w:r>
      <w:r w:rsidRPr="00607C34">
        <w:rPr>
          <w:rFonts w:hint="eastAsia"/>
          <w:sz w:val="24"/>
        </w:rPr>
        <w:t>kgce/t</w:t>
      </w:r>
      <w:r w:rsidRPr="00607C34">
        <w:rPr>
          <w:rFonts w:hint="eastAsia"/>
          <w:sz w:val="24"/>
        </w:rPr>
        <w:t>）要求，且项目污染物排放满足相应排放标准要求。项目符合《产业结构调整指导目录（</w:t>
      </w:r>
      <w:r w:rsidRPr="00607C34">
        <w:rPr>
          <w:sz w:val="24"/>
        </w:rPr>
        <w:t>2019</w:t>
      </w:r>
      <w:r w:rsidRPr="00607C34">
        <w:rPr>
          <w:rFonts w:hint="eastAsia"/>
          <w:sz w:val="24"/>
        </w:rPr>
        <w:t>年本）》要求，不在《河南省部分工业行业淘汰落后生产工艺装备和产品目录》内，不属于禁止新增产能行业项目，属于《河南省工业和信息化厅关于切实做好全省</w:t>
      </w:r>
      <w:r w:rsidRPr="00607C34">
        <w:rPr>
          <w:sz w:val="24"/>
        </w:rPr>
        <w:t>30</w:t>
      </w:r>
      <w:r w:rsidRPr="00607C34">
        <w:rPr>
          <w:rFonts w:hint="eastAsia"/>
          <w:sz w:val="24"/>
        </w:rPr>
        <w:t>万吨</w:t>
      </w:r>
      <w:r w:rsidRPr="00607C34">
        <w:rPr>
          <w:sz w:val="24"/>
        </w:rPr>
        <w:t>/</w:t>
      </w:r>
      <w:r w:rsidRPr="00607C34">
        <w:rPr>
          <w:rFonts w:hint="eastAsia"/>
          <w:sz w:val="24"/>
        </w:rPr>
        <w:t>年以下煤矿分类处置工作的通知》（豫工信办煤行〔</w:t>
      </w:r>
      <w:r w:rsidRPr="00607C34">
        <w:rPr>
          <w:sz w:val="24"/>
        </w:rPr>
        <w:t>2020</w:t>
      </w:r>
      <w:r w:rsidRPr="00607C34">
        <w:rPr>
          <w:rFonts w:hint="eastAsia"/>
          <w:sz w:val="24"/>
        </w:rPr>
        <w:t>〕</w:t>
      </w:r>
      <w:r w:rsidRPr="00607C34">
        <w:rPr>
          <w:sz w:val="24"/>
        </w:rPr>
        <w:t>54</w:t>
      </w:r>
      <w:r w:rsidRPr="00607C34">
        <w:rPr>
          <w:rFonts w:hint="eastAsia"/>
          <w:sz w:val="24"/>
        </w:rPr>
        <w:t>号）分类处置中的（</w:t>
      </w:r>
      <w:r w:rsidRPr="00607C34">
        <w:rPr>
          <w:sz w:val="24"/>
        </w:rPr>
        <w:t>3</w:t>
      </w:r>
      <w:r w:rsidRPr="00607C34">
        <w:rPr>
          <w:rFonts w:hint="eastAsia"/>
          <w:sz w:val="24"/>
        </w:rPr>
        <w:t>）具备条件升级改造的一批。项目在施工期严格执行相关政策、初步设计和环评要求：严格落实“十个百分之百”要求：施工土方的挖掘、堆放要规范有序，施工物料堆存采取防风抑尘网遮盖，人工定时洒水；工地周边全部围挡、物料堆放全部覆盖、设洒水车对运输道路定时洒水，车辆运输等建筑材料时一定要加盖帆布篷；设置简易冲洗池、车辆冲洗设施，对施工期进出运输车辆除泥、冲洗。运营期：项目</w:t>
      </w:r>
      <w:r>
        <w:rPr>
          <w:rFonts w:hint="eastAsia"/>
          <w:sz w:val="24"/>
        </w:rPr>
        <w:t>空气能</w:t>
      </w:r>
      <w:r w:rsidRPr="00607C34">
        <w:rPr>
          <w:rFonts w:hint="eastAsia"/>
          <w:sz w:val="24"/>
        </w:rPr>
        <w:t>提供洗浴热水，空调供暖；储煤库、筛分楼、原煤运输廊道全部封闭，设置喷干雾抑尘装置湿法作业；运输车辆全部密闭运输，出入口进行清洗降低运输扬尘，运输道路设专人定期清扫，洒水车定时洒水，一天</w:t>
      </w:r>
      <w:r w:rsidRPr="00607C34">
        <w:rPr>
          <w:rFonts w:hint="eastAsia"/>
          <w:sz w:val="24"/>
        </w:rPr>
        <w:t>6</w:t>
      </w:r>
      <w:r w:rsidRPr="00607C34">
        <w:rPr>
          <w:rFonts w:hint="eastAsia"/>
          <w:sz w:val="24"/>
        </w:rPr>
        <w:t>次（早中晚各</w:t>
      </w:r>
      <w:r w:rsidRPr="00607C34">
        <w:rPr>
          <w:rFonts w:hint="eastAsia"/>
          <w:sz w:val="24"/>
        </w:rPr>
        <w:t>2</w:t>
      </w:r>
      <w:r w:rsidRPr="00607C34">
        <w:rPr>
          <w:rFonts w:hint="eastAsia"/>
          <w:sz w:val="24"/>
        </w:rPr>
        <w:t>次），干燥大风天气应加大洒水频率。</w:t>
      </w:r>
    </w:p>
    <w:p w:rsidR="00607C34" w:rsidRPr="00607C34" w:rsidRDefault="00607C34" w:rsidP="00607C34">
      <w:pPr>
        <w:spacing w:line="520" w:lineRule="exact"/>
        <w:ind w:firstLineChars="200" w:firstLine="480"/>
        <w:rPr>
          <w:sz w:val="24"/>
        </w:rPr>
      </w:pPr>
      <w:r w:rsidRPr="00607C34">
        <w:rPr>
          <w:rFonts w:hint="eastAsia"/>
          <w:sz w:val="24"/>
        </w:rPr>
        <w:t>因此，项目建设符合《许昌市</w:t>
      </w:r>
      <w:r w:rsidRPr="00607C34">
        <w:rPr>
          <w:sz w:val="24"/>
        </w:rPr>
        <w:t>2021</w:t>
      </w:r>
      <w:r w:rsidRPr="00607C34">
        <w:rPr>
          <w:rFonts w:hint="eastAsia"/>
          <w:sz w:val="24"/>
        </w:rPr>
        <w:t>年大气污染防治攻坚战实施方案的通知》相</w:t>
      </w:r>
      <w:r w:rsidRPr="00607C34">
        <w:rPr>
          <w:rFonts w:hint="eastAsia"/>
          <w:sz w:val="24"/>
        </w:rPr>
        <w:lastRenderedPageBreak/>
        <w:t>关要求。</w:t>
      </w:r>
      <w:r>
        <w:rPr>
          <w:rFonts w:hint="eastAsia"/>
          <w:b/>
          <w:bCs/>
          <w:sz w:val="24"/>
        </w:rPr>
        <w:t>.</w:t>
      </w:r>
    </w:p>
    <w:p w:rsidR="00607C34" w:rsidRPr="00607C34" w:rsidRDefault="00607C34" w:rsidP="00607C34">
      <w:pPr>
        <w:spacing w:line="520" w:lineRule="exact"/>
        <w:rPr>
          <w:b/>
          <w:bCs/>
          <w:sz w:val="24"/>
        </w:rPr>
      </w:pPr>
      <w:r>
        <w:rPr>
          <w:rFonts w:hint="eastAsia"/>
          <w:b/>
          <w:bCs/>
          <w:sz w:val="24"/>
        </w:rPr>
        <w:t>10.3.1</w:t>
      </w:r>
      <w:r w:rsidR="00EC66AD">
        <w:rPr>
          <w:rFonts w:hint="eastAsia"/>
          <w:b/>
          <w:bCs/>
          <w:sz w:val="24"/>
        </w:rPr>
        <w:t>4</w:t>
      </w:r>
      <w:r>
        <w:rPr>
          <w:rFonts w:hint="eastAsia"/>
          <w:b/>
          <w:bCs/>
          <w:sz w:val="24"/>
        </w:rPr>
        <w:t>.2</w:t>
      </w:r>
      <w:r w:rsidRPr="00607C34">
        <w:rPr>
          <w:rFonts w:hint="eastAsia"/>
          <w:b/>
          <w:bCs/>
          <w:sz w:val="24"/>
        </w:rPr>
        <w:t>许昌市</w:t>
      </w:r>
      <w:r w:rsidRPr="00607C34">
        <w:rPr>
          <w:b/>
          <w:bCs/>
          <w:sz w:val="24"/>
        </w:rPr>
        <w:t>2021</w:t>
      </w:r>
      <w:r w:rsidRPr="00607C34">
        <w:rPr>
          <w:rFonts w:hint="eastAsia"/>
          <w:b/>
          <w:bCs/>
          <w:sz w:val="24"/>
        </w:rPr>
        <w:t>年水污染防治攻坚战实施方案</w:t>
      </w:r>
    </w:p>
    <w:p w:rsidR="00607C34" w:rsidRPr="00607C34" w:rsidRDefault="00607C34" w:rsidP="00607C34">
      <w:pPr>
        <w:spacing w:line="520" w:lineRule="exact"/>
        <w:ind w:firstLineChars="200" w:firstLine="480"/>
        <w:rPr>
          <w:sz w:val="24"/>
        </w:rPr>
      </w:pPr>
      <w:r w:rsidRPr="00607C34">
        <w:rPr>
          <w:rFonts w:hint="eastAsia"/>
          <w:sz w:val="24"/>
        </w:rPr>
        <w:t>1</w:t>
      </w:r>
      <w:r w:rsidRPr="00607C34">
        <w:rPr>
          <w:sz w:val="24"/>
        </w:rPr>
        <w:t>8</w:t>
      </w:r>
      <w:r w:rsidRPr="00607C34">
        <w:rPr>
          <w:rFonts w:hint="eastAsia"/>
          <w:sz w:val="24"/>
        </w:rPr>
        <w:t>、严格环境准入。深化“放、管、服”改革，强化项目事中、事后监管，提升服务水平。推进“三线一单”生态环境分区管控要求落地应用，做好规划环评，严控新建高耗水、高排放工业项目，把好项目环境准入关。</w:t>
      </w:r>
    </w:p>
    <w:p w:rsidR="00607C34" w:rsidRPr="00607C34" w:rsidRDefault="00607C34" w:rsidP="00607C34">
      <w:pPr>
        <w:spacing w:line="520" w:lineRule="exact"/>
        <w:ind w:firstLineChars="200" w:firstLine="480"/>
        <w:rPr>
          <w:sz w:val="24"/>
        </w:rPr>
      </w:pPr>
      <w:r w:rsidRPr="00607C34">
        <w:rPr>
          <w:rFonts w:hint="eastAsia"/>
          <w:sz w:val="24"/>
        </w:rPr>
        <w:t>2</w:t>
      </w:r>
      <w:r w:rsidRPr="00607C34">
        <w:rPr>
          <w:sz w:val="24"/>
        </w:rPr>
        <w:t>4</w:t>
      </w:r>
      <w:r w:rsidRPr="00607C34">
        <w:rPr>
          <w:rFonts w:hint="eastAsia"/>
          <w:sz w:val="24"/>
        </w:rPr>
        <w:t>、健全涉水污染源自动监控体系。开展涉水污染源自动监控设施建设情况排查，扩大监控覆盖范围；加大自动在线监控设施运行监管和日常监督检查力度，确保数据真实有效。探索开展涉水污染源污染治理设施运行状态监控。通过水环境决策平台整合水质自动站监测数据，充分发挥决策平台综合决策分析、应急指挥等功能，提高许昌市水环境管理信息化水平。</w:t>
      </w:r>
    </w:p>
    <w:p w:rsidR="00607C34" w:rsidRPr="00607C34" w:rsidRDefault="00607C34" w:rsidP="00607C34">
      <w:pPr>
        <w:spacing w:line="520" w:lineRule="exact"/>
        <w:ind w:firstLineChars="200" w:firstLine="482"/>
        <w:rPr>
          <w:b/>
          <w:sz w:val="24"/>
        </w:rPr>
      </w:pPr>
      <w:r w:rsidRPr="00607C34">
        <w:rPr>
          <w:rFonts w:hint="eastAsia"/>
          <w:b/>
          <w:sz w:val="24"/>
        </w:rPr>
        <w:t>相符性分析：</w:t>
      </w:r>
      <w:r w:rsidRPr="00607C34">
        <w:rPr>
          <w:rFonts w:hint="eastAsia"/>
          <w:sz w:val="24"/>
        </w:rPr>
        <w:t>本项目不属于火电、钢铁、焦化、化工等高耗水、高排放行业，项目运营后废水排放将按规范要求安装自动在线监控设施，按管理部门要求落实信息化管理水平。项目矿井水、生活污水通过各自污水处理站处理后部分综合利用于生产生活，不能充分利用部分全部达标外排。因此，项目建设符合许昌市</w:t>
      </w:r>
      <w:r w:rsidRPr="00607C34">
        <w:rPr>
          <w:rFonts w:hint="eastAsia"/>
          <w:sz w:val="24"/>
        </w:rPr>
        <w:t>2021</w:t>
      </w:r>
      <w:r w:rsidRPr="00607C34">
        <w:rPr>
          <w:rFonts w:hint="eastAsia"/>
          <w:sz w:val="24"/>
        </w:rPr>
        <w:t>年水污染攻坚战实施方案要求。</w:t>
      </w:r>
    </w:p>
    <w:p w:rsidR="00607C34" w:rsidRPr="00607C34" w:rsidRDefault="00607C34" w:rsidP="00607C34">
      <w:pPr>
        <w:spacing w:line="520" w:lineRule="exact"/>
        <w:rPr>
          <w:b/>
          <w:sz w:val="24"/>
        </w:rPr>
      </w:pPr>
      <w:r>
        <w:rPr>
          <w:rFonts w:hint="eastAsia"/>
          <w:b/>
          <w:bCs/>
          <w:sz w:val="24"/>
        </w:rPr>
        <w:t>10.3.1</w:t>
      </w:r>
      <w:r w:rsidR="00EC66AD">
        <w:rPr>
          <w:rFonts w:hint="eastAsia"/>
          <w:b/>
          <w:bCs/>
          <w:sz w:val="24"/>
        </w:rPr>
        <w:t>4</w:t>
      </w:r>
      <w:r>
        <w:rPr>
          <w:rFonts w:hint="eastAsia"/>
          <w:b/>
          <w:bCs/>
          <w:sz w:val="24"/>
        </w:rPr>
        <w:t>.3</w:t>
      </w:r>
      <w:r w:rsidRPr="00607C34">
        <w:rPr>
          <w:rFonts w:hint="eastAsia"/>
          <w:b/>
          <w:sz w:val="24"/>
        </w:rPr>
        <w:t>许昌市</w:t>
      </w:r>
      <w:r w:rsidRPr="00607C34">
        <w:rPr>
          <w:rFonts w:hint="eastAsia"/>
          <w:b/>
          <w:sz w:val="24"/>
        </w:rPr>
        <w:t>2</w:t>
      </w:r>
      <w:r w:rsidRPr="00607C34">
        <w:rPr>
          <w:b/>
          <w:sz w:val="24"/>
        </w:rPr>
        <w:t>021</w:t>
      </w:r>
      <w:r w:rsidRPr="00607C34">
        <w:rPr>
          <w:rFonts w:hint="eastAsia"/>
          <w:b/>
          <w:sz w:val="24"/>
        </w:rPr>
        <w:t>年土壤污染攻坚战实施方案</w:t>
      </w:r>
    </w:p>
    <w:p w:rsidR="00607C34" w:rsidRPr="00607C34" w:rsidRDefault="00607C34" w:rsidP="00607C34">
      <w:pPr>
        <w:spacing w:line="520" w:lineRule="exact"/>
        <w:ind w:firstLineChars="200" w:firstLine="480"/>
        <w:rPr>
          <w:sz w:val="24"/>
        </w:rPr>
      </w:pPr>
      <w:r w:rsidRPr="00607C34">
        <w:rPr>
          <w:rFonts w:hint="eastAsia"/>
          <w:sz w:val="24"/>
        </w:rPr>
        <w:t>1</w:t>
      </w:r>
      <w:r w:rsidRPr="00607C34">
        <w:rPr>
          <w:rFonts w:hint="eastAsia"/>
          <w:sz w:val="24"/>
        </w:rPr>
        <w:t>、完成重点行业企业用地调查成果集成。基于</w:t>
      </w:r>
      <w:r w:rsidRPr="00607C34">
        <w:rPr>
          <w:rFonts w:hint="eastAsia"/>
          <w:sz w:val="24"/>
        </w:rPr>
        <w:t>2</w:t>
      </w:r>
      <w:r w:rsidRPr="00607C34">
        <w:rPr>
          <w:sz w:val="24"/>
        </w:rPr>
        <w:t>020</w:t>
      </w:r>
      <w:r w:rsidRPr="00607C34">
        <w:rPr>
          <w:rFonts w:hint="eastAsia"/>
          <w:sz w:val="24"/>
        </w:rPr>
        <w:t>年企业用地调查，完成全市重点行业企业用地调查数据成果、图件成果、文字成果的汇总编报工作，并通过专家评审。</w:t>
      </w:r>
    </w:p>
    <w:p w:rsidR="00607C34" w:rsidRPr="00607C34" w:rsidRDefault="00607C34" w:rsidP="00607C34">
      <w:pPr>
        <w:spacing w:line="520" w:lineRule="exact"/>
        <w:ind w:firstLineChars="200" w:firstLine="480"/>
        <w:rPr>
          <w:sz w:val="24"/>
        </w:rPr>
      </w:pPr>
      <w:r w:rsidRPr="00607C34">
        <w:rPr>
          <w:sz w:val="24"/>
        </w:rPr>
        <w:t>2</w:t>
      </w:r>
      <w:r w:rsidRPr="00607C34">
        <w:rPr>
          <w:rFonts w:hint="eastAsia"/>
          <w:sz w:val="24"/>
        </w:rPr>
        <w:t>、防控矿产资源开发污染土壤。因地制宜管控矿区污染土壤和酸性废水环境风险，综合整治重有色金属矿区污染，重点保障农业生产和生活用水安全，鼓励采取自然恢复等措施，统筹推进矿区土壤污染治理与绿色矿山建设、工矿废弃地复垦利用、矿山地质环境治理恢复、土地整治等工作。</w:t>
      </w:r>
    </w:p>
    <w:p w:rsidR="00607C34" w:rsidRDefault="00607C34" w:rsidP="00607C34">
      <w:pPr>
        <w:spacing w:line="520" w:lineRule="exact"/>
        <w:ind w:firstLineChars="200" w:firstLine="480"/>
        <w:rPr>
          <w:sz w:val="24"/>
        </w:rPr>
      </w:pPr>
      <w:r w:rsidRPr="00607C34">
        <w:rPr>
          <w:rFonts w:hint="eastAsia"/>
          <w:sz w:val="24"/>
        </w:rPr>
        <w:t>3</w:t>
      </w:r>
      <w:r w:rsidRPr="00607C34">
        <w:rPr>
          <w:rFonts w:hint="eastAsia"/>
          <w:sz w:val="24"/>
        </w:rPr>
        <w:t>、严格建设项目环境准入。落实“三线一单”生态环境分区管控要求，严控不符合土壤环境管控要求的项目落地；把好建设项目环境准入关，对可能造成土壤污</w:t>
      </w:r>
      <w:r w:rsidRPr="00607C34">
        <w:rPr>
          <w:rFonts w:hint="eastAsia"/>
          <w:sz w:val="24"/>
        </w:rPr>
        <w:lastRenderedPageBreak/>
        <w:t>染的建设项目依法开展环境影响评价，提出并落实有关防腐蚀、防渗漏、防遗撒等土壤污染防治具体措施。</w:t>
      </w:r>
    </w:p>
    <w:p w:rsidR="00240BCE" w:rsidRDefault="00607C34" w:rsidP="00607C34">
      <w:pPr>
        <w:spacing w:line="520" w:lineRule="exact"/>
        <w:ind w:firstLineChars="200" w:firstLine="482"/>
        <w:rPr>
          <w:sz w:val="24"/>
        </w:rPr>
      </w:pPr>
      <w:r w:rsidRPr="00607C34">
        <w:rPr>
          <w:rFonts w:hint="eastAsia"/>
          <w:b/>
          <w:sz w:val="24"/>
        </w:rPr>
        <w:t>符合性分析：</w:t>
      </w:r>
      <w:r w:rsidRPr="00607C34">
        <w:rPr>
          <w:rFonts w:hint="eastAsia"/>
          <w:sz w:val="24"/>
        </w:rPr>
        <w:t>本项目为地下井工开采煤矿，根据《工矿用地土壤环境管理办法（试行）》，本项目不属于土壤环境污染重点监管单位，本项目将按照绿色矿山标准进行建设，服务期满后，对废弃场地进行复垦利用、矿山地质环境治理恢复、土地整治等工作。本项目按要求开展了环境影响评价工作，对危废暂存间等提出了防腐蚀、防渗漏、防遗撒等土壤污染防治措施。因此，项目建设符合许昌市</w:t>
      </w:r>
      <w:r w:rsidRPr="00607C34">
        <w:rPr>
          <w:rFonts w:hint="eastAsia"/>
          <w:sz w:val="24"/>
        </w:rPr>
        <w:t>2021</w:t>
      </w:r>
      <w:r w:rsidRPr="00607C34">
        <w:rPr>
          <w:rFonts w:hint="eastAsia"/>
          <w:sz w:val="24"/>
        </w:rPr>
        <w:t>年土壤污染攻坚战实施方案要求。</w:t>
      </w:r>
      <w:r>
        <w:rPr>
          <w:rFonts w:hint="eastAsia"/>
          <w:sz w:val="24"/>
        </w:rPr>
        <w:t>.</w:t>
      </w:r>
    </w:p>
    <w:p w:rsidR="00240BCE" w:rsidRDefault="00AC0334" w:rsidP="009C5F33">
      <w:pPr>
        <w:pStyle w:val="30"/>
        <w:adjustRightInd w:val="0"/>
        <w:snapToGrid w:val="0"/>
        <w:spacing w:beforeLines="70" w:afterLines="30" w:line="240" w:lineRule="auto"/>
        <w:jc w:val="left"/>
        <w:rPr>
          <w:rFonts w:eastAsia="楷体"/>
          <w:color w:val="000000"/>
          <w:sz w:val="28"/>
          <w:szCs w:val="28"/>
        </w:rPr>
      </w:pPr>
      <w:bookmarkStart w:id="891" w:name="_Toc79668751"/>
      <w:r>
        <w:rPr>
          <w:rFonts w:eastAsia="楷体"/>
          <w:color w:val="000000"/>
          <w:sz w:val="28"/>
          <w:szCs w:val="28"/>
        </w:rPr>
        <w:t>10.3.1</w:t>
      </w:r>
      <w:r w:rsidR="00EC66AD">
        <w:rPr>
          <w:rFonts w:eastAsia="楷体" w:hint="eastAsia"/>
          <w:color w:val="000000"/>
          <w:sz w:val="28"/>
          <w:szCs w:val="28"/>
        </w:rPr>
        <w:t>5</w:t>
      </w:r>
      <w:r>
        <w:rPr>
          <w:rFonts w:eastAsia="楷体"/>
          <w:color w:val="000000"/>
          <w:sz w:val="28"/>
          <w:szCs w:val="28"/>
        </w:rPr>
        <w:t xml:space="preserve"> </w:t>
      </w:r>
      <w:r>
        <w:rPr>
          <w:rFonts w:eastAsia="楷体"/>
          <w:color w:val="000000"/>
          <w:sz w:val="28"/>
          <w:szCs w:val="28"/>
        </w:rPr>
        <w:t>与</w:t>
      </w:r>
      <w:bookmarkEnd w:id="891"/>
      <w:r w:rsidR="00607C34" w:rsidRPr="00607C34">
        <w:rPr>
          <w:rFonts w:eastAsia="楷体" w:hint="eastAsia"/>
          <w:color w:val="000000"/>
          <w:sz w:val="28"/>
          <w:szCs w:val="28"/>
        </w:rPr>
        <w:t>《禹州市</w:t>
      </w:r>
      <w:r w:rsidR="00607C34" w:rsidRPr="00607C34">
        <w:rPr>
          <w:rFonts w:eastAsia="楷体"/>
          <w:color w:val="000000"/>
          <w:sz w:val="28"/>
          <w:szCs w:val="28"/>
        </w:rPr>
        <w:t>2021</w:t>
      </w:r>
      <w:r w:rsidR="00607C34" w:rsidRPr="00607C34">
        <w:rPr>
          <w:rFonts w:eastAsia="楷体" w:hint="eastAsia"/>
          <w:color w:val="000000"/>
          <w:sz w:val="28"/>
          <w:szCs w:val="28"/>
        </w:rPr>
        <w:t>年大气、水、土壤污染防治攻坚战及农业农村污染治理攻坚战实施方案的通知》（禹环攻坚办</w:t>
      </w:r>
      <w:r w:rsidR="00607C34" w:rsidRPr="00607C34">
        <w:rPr>
          <w:rFonts w:eastAsia="楷体" w:hint="eastAsia"/>
          <w:color w:val="000000"/>
          <w:sz w:val="28"/>
          <w:szCs w:val="28"/>
        </w:rPr>
        <w:t>[202</w:t>
      </w:r>
      <w:r w:rsidR="00607C34" w:rsidRPr="00607C34">
        <w:rPr>
          <w:rFonts w:eastAsia="楷体"/>
          <w:color w:val="000000"/>
          <w:sz w:val="28"/>
          <w:szCs w:val="28"/>
        </w:rPr>
        <w:t>1</w:t>
      </w:r>
      <w:r w:rsidR="00607C34" w:rsidRPr="00607C34">
        <w:rPr>
          <w:rFonts w:eastAsia="楷体" w:hint="eastAsia"/>
          <w:color w:val="000000"/>
          <w:sz w:val="28"/>
          <w:szCs w:val="28"/>
        </w:rPr>
        <w:t>]</w:t>
      </w:r>
      <w:r w:rsidR="00607C34" w:rsidRPr="00607C34">
        <w:rPr>
          <w:rFonts w:eastAsia="楷体"/>
          <w:color w:val="000000"/>
          <w:sz w:val="28"/>
          <w:szCs w:val="28"/>
        </w:rPr>
        <w:t>18</w:t>
      </w:r>
      <w:r w:rsidR="00607C34" w:rsidRPr="00607C34">
        <w:rPr>
          <w:rFonts w:eastAsia="楷体" w:hint="eastAsia"/>
          <w:color w:val="000000"/>
          <w:sz w:val="28"/>
          <w:szCs w:val="28"/>
        </w:rPr>
        <w:t>号）的相符性</w:t>
      </w:r>
    </w:p>
    <w:p w:rsidR="00F8114F" w:rsidRPr="005C3E3C" w:rsidRDefault="00F8114F" w:rsidP="005C3E3C">
      <w:pPr>
        <w:spacing w:line="520" w:lineRule="exact"/>
        <w:ind w:firstLineChars="200" w:firstLine="480"/>
        <w:rPr>
          <w:bCs/>
          <w:sz w:val="24"/>
        </w:rPr>
      </w:pPr>
      <w:r w:rsidRPr="005C3E3C">
        <w:rPr>
          <w:rFonts w:hint="eastAsia"/>
          <w:bCs/>
          <w:sz w:val="24"/>
        </w:rPr>
        <w:t>根据禹州市污染防治攻坚战领导小组办公室文件《关于印发禹州市</w:t>
      </w:r>
      <w:r w:rsidRPr="005C3E3C">
        <w:rPr>
          <w:rFonts w:hint="eastAsia"/>
          <w:bCs/>
          <w:sz w:val="24"/>
        </w:rPr>
        <w:t xml:space="preserve"> 2021 </w:t>
      </w:r>
      <w:r w:rsidRPr="005C3E3C">
        <w:rPr>
          <w:rFonts w:hint="eastAsia"/>
          <w:bCs/>
          <w:sz w:val="24"/>
        </w:rPr>
        <w:t>年大气、水、土壤污染防治攻坚战及农业农村污染治理攻坚战实施方案的通知》（禹环攻坚办</w:t>
      </w:r>
      <w:r w:rsidRPr="005C3E3C">
        <w:rPr>
          <w:rFonts w:hint="eastAsia"/>
          <w:bCs/>
          <w:sz w:val="24"/>
        </w:rPr>
        <w:t xml:space="preserve">[2021]18 </w:t>
      </w:r>
      <w:r w:rsidRPr="005C3E3C">
        <w:rPr>
          <w:rFonts w:hint="eastAsia"/>
          <w:bCs/>
          <w:sz w:val="24"/>
        </w:rPr>
        <w:t>号），相关要求摘录如下</w:t>
      </w:r>
      <w:r w:rsidR="00AC0334" w:rsidRPr="005C3E3C">
        <w:rPr>
          <w:bCs/>
          <w:sz w:val="24"/>
        </w:rPr>
        <w:t>：</w:t>
      </w:r>
    </w:p>
    <w:p w:rsidR="005C3E3C" w:rsidRPr="005C3E3C" w:rsidRDefault="00D82279" w:rsidP="00D82279">
      <w:pPr>
        <w:spacing w:line="520" w:lineRule="exact"/>
        <w:rPr>
          <w:b/>
          <w:bCs/>
          <w:sz w:val="24"/>
        </w:rPr>
      </w:pPr>
      <w:bookmarkStart w:id="892" w:name="_Toc79668752"/>
      <w:r>
        <w:rPr>
          <w:rFonts w:hint="eastAsia"/>
          <w:b/>
          <w:bCs/>
          <w:sz w:val="24"/>
        </w:rPr>
        <w:t>10.3.1</w:t>
      </w:r>
      <w:r w:rsidR="00EC66AD">
        <w:rPr>
          <w:rFonts w:hint="eastAsia"/>
          <w:b/>
          <w:bCs/>
          <w:sz w:val="24"/>
        </w:rPr>
        <w:t>5</w:t>
      </w:r>
      <w:r>
        <w:rPr>
          <w:rFonts w:hint="eastAsia"/>
          <w:b/>
          <w:bCs/>
          <w:sz w:val="24"/>
        </w:rPr>
        <w:t>.1</w:t>
      </w:r>
      <w:r w:rsidR="005C3E3C" w:rsidRPr="005C3E3C">
        <w:rPr>
          <w:rFonts w:hint="eastAsia"/>
          <w:b/>
          <w:bCs/>
          <w:sz w:val="24"/>
        </w:rPr>
        <w:t>禹州市</w:t>
      </w:r>
      <w:r w:rsidR="005C3E3C" w:rsidRPr="005C3E3C">
        <w:rPr>
          <w:b/>
          <w:bCs/>
          <w:sz w:val="24"/>
        </w:rPr>
        <w:t>2021</w:t>
      </w:r>
      <w:r w:rsidR="005C3E3C" w:rsidRPr="005C3E3C">
        <w:rPr>
          <w:rFonts w:hint="eastAsia"/>
          <w:b/>
          <w:bCs/>
          <w:sz w:val="24"/>
        </w:rPr>
        <w:t>年大气污染防治攻坚战实施方案</w:t>
      </w:r>
    </w:p>
    <w:p w:rsidR="005C3E3C" w:rsidRPr="005C3E3C" w:rsidRDefault="005C3E3C" w:rsidP="005C3E3C">
      <w:pPr>
        <w:spacing w:line="520" w:lineRule="exact"/>
        <w:ind w:firstLineChars="200" w:firstLine="480"/>
        <w:rPr>
          <w:sz w:val="24"/>
        </w:rPr>
      </w:pPr>
      <w:r w:rsidRPr="005C3E3C">
        <w:rPr>
          <w:rFonts w:hint="eastAsia"/>
          <w:sz w:val="24"/>
        </w:rPr>
        <w:t>（</w:t>
      </w:r>
      <w:r w:rsidRPr="005C3E3C">
        <w:rPr>
          <w:rFonts w:hint="eastAsia"/>
          <w:sz w:val="24"/>
        </w:rPr>
        <w:t>1</w:t>
      </w:r>
      <w:r w:rsidRPr="005C3E3C">
        <w:rPr>
          <w:rFonts w:hint="eastAsia"/>
          <w:sz w:val="24"/>
        </w:rPr>
        <w:t>）严格环境准入。落实“三线一单”（生态保护红线、环境质量底线、资源利用上线和生态环境准入清单）生态环境分区管控要求，从严从紧从实控制高耗能、高排放项目建设，全市原则上禁止新建、扩建单纯新增产能的钢铁、电解铝、水泥、平板玻璃、传统煤化工（甲醇、合成氨）、焦化、铸造、铝用炭素、耐火材料、砖瓦窑、铅锌冶炼（含再生铅）等高耗能、高排放和产能过剩的产业项目，禁止陶瓷等行业新建、扩建以煤炭为燃料的项目，禁止新建燃料类煤气发生炉和</w:t>
      </w:r>
      <w:r w:rsidRPr="005C3E3C">
        <w:rPr>
          <w:rFonts w:hint="eastAsia"/>
          <w:sz w:val="24"/>
        </w:rPr>
        <w:t>35</w:t>
      </w:r>
      <w:r w:rsidRPr="005C3E3C">
        <w:rPr>
          <w:rFonts w:hint="eastAsia"/>
          <w:sz w:val="24"/>
        </w:rPr>
        <w:t>蒸吨</w:t>
      </w:r>
      <w:r w:rsidRPr="005C3E3C">
        <w:rPr>
          <w:rFonts w:hint="eastAsia"/>
          <w:sz w:val="24"/>
        </w:rPr>
        <w:t>/</w:t>
      </w:r>
      <w:r w:rsidRPr="005C3E3C">
        <w:rPr>
          <w:rFonts w:hint="eastAsia"/>
          <w:sz w:val="24"/>
        </w:rPr>
        <w:t>时及以下燃煤锅炉。严格项目备案审查，强化项目现场核查，保持违规新增产能项目露头就打的高压态势。完善生态环境准入清单，强化项目环评及“三同时”管理，国家、省绩效分级重点行业的新建、改建、扩建项目达到</w:t>
      </w:r>
      <w:r w:rsidRPr="005C3E3C">
        <w:rPr>
          <w:rFonts w:hint="eastAsia"/>
          <w:sz w:val="24"/>
        </w:rPr>
        <w:t>B</w:t>
      </w:r>
      <w:r w:rsidRPr="005C3E3C">
        <w:rPr>
          <w:rFonts w:hint="eastAsia"/>
          <w:sz w:val="24"/>
        </w:rPr>
        <w:t>级以上要求。</w:t>
      </w:r>
    </w:p>
    <w:p w:rsidR="005C3E3C" w:rsidRPr="005C3E3C" w:rsidRDefault="005C3E3C" w:rsidP="005C3E3C">
      <w:pPr>
        <w:spacing w:line="520" w:lineRule="exact"/>
        <w:ind w:firstLineChars="200" w:firstLine="480"/>
        <w:rPr>
          <w:sz w:val="24"/>
        </w:rPr>
      </w:pPr>
      <w:r w:rsidRPr="005C3E3C">
        <w:rPr>
          <w:rFonts w:hint="eastAsia"/>
          <w:sz w:val="24"/>
        </w:rPr>
        <w:t>（</w:t>
      </w:r>
      <w:r w:rsidRPr="005C3E3C">
        <w:rPr>
          <w:rFonts w:hint="eastAsia"/>
          <w:sz w:val="24"/>
        </w:rPr>
        <w:t>2</w:t>
      </w:r>
      <w:r w:rsidRPr="005C3E3C">
        <w:rPr>
          <w:rFonts w:hint="eastAsia"/>
          <w:sz w:val="24"/>
        </w:rPr>
        <w:t>）加快落后产能淘汰。按照《河南省淘汰落后产能综合标准体系》（</w:t>
      </w:r>
      <w:r w:rsidRPr="005C3E3C">
        <w:rPr>
          <w:rFonts w:hint="eastAsia"/>
          <w:sz w:val="24"/>
        </w:rPr>
        <w:t>2020</w:t>
      </w:r>
      <w:r w:rsidRPr="005C3E3C">
        <w:rPr>
          <w:rFonts w:hint="eastAsia"/>
          <w:sz w:val="24"/>
        </w:rPr>
        <w:t>年本），严格执行能耗、环保、质量、安全、技术等法规标准，</w:t>
      </w:r>
      <w:r w:rsidRPr="005C3E3C">
        <w:rPr>
          <w:rFonts w:hint="eastAsia"/>
          <w:sz w:val="24"/>
        </w:rPr>
        <w:t>2</w:t>
      </w:r>
      <w:r w:rsidRPr="005C3E3C">
        <w:rPr>
          <w:sz w:val="24"/>
        </w:rPr>
        <w:t>021</w:t>
      </w:r>
      <w:r w:rsidRPr="005C3E3C">
        <w:rPr>
          <w:rFonts w:hint="eastAsia"/>
          <w:sz w:val="24"/>
        </w:rPr>
        <w:t>年</w:t>
      </w:r>
      <w:r w:rsidRPr="005C3E3C">
        <w:rPr>
          <w:sz w:val="24"/>
        </w:rPr>
        <w:t>6</w:t>
      </w:r>
      <w:r w:rsidRPr="005C3E3C">
        <w:rPr>
          <w:rFonts w:hint="eastAsia"/>
          <w:sz w:val="24"/>
        </w:rPr>
        <w:t>月</w:t>
      </w:r>
      <w:r w:rsidRPr="005C3E3C">
        <w:rPr>
          <w:rFonts w:hint="eastAsia"/>
          <w:sz w:val="24"/>
        </w:rPr>
        <w:t>1</w:t>
      </w:r>
      <w:r w:rsidRPr="005C3E3C">
        <w:rPr>
          <w:sz w:val="24"/>
        </w:rPr>
        <w:t>0</w:t>
      </w:r>
      <w:r w:rsidRPr="005C3E3C">
        <w:rPr>
          <w:rFonts w:hint="eastAsia"/>
          <w:sz w:val="24"/>
        </w:rPr>
        <w:t>日前，</w:t>
      </w:r>
      <w:r w:rsidRPr="005C3E3C">
        <w:rPr>
          <w:rFonts w:hint="eastAsia"/>
          <w:sz w:val="24"/>
        </w:rPr>
        <w:lastRenderedPageBreak/>
        <w:t>市工信局牵头组织相关部门制定工作方案，对国家和我省明确的落后生产工艺装备和落后产品开展全面排查摸底，实施落后产能清零行动，巩固落后产能淘汰工作成效，于</w:t>
      </w:r>
      <w:r w:rsidRPr="005C3E3C">
        <w:rPr>
          <w:rFonts w:hint="eastAsia"/>
          <w:sz w:val="24"/>
        </w:rPr>
        <w:t>2021</w:t>
      </w:r>
      <w:r w:rsidRPr="005C3E3C">
        <w:rPr>
          <w:rFonts w:hint="eastAsia"/>
          <w:sz w:val="24"/>
        </w:rPr>
        <w:t>年</w:t>
      </w:r>
      <w:r w:rsidRPr="005C3E3C">
        <w:rPr>
          <w:sz w:val="24"/>
        </w:rPr>
        <w:t>9</w:t>
      </w:r>
      <w:r w:rsidRPr="005C3E3C">
        <w:rPr>
          <w:rFonts w:hint="eastAsia"/>
          <w:sz w:val="24"/>
        </w:rPr>
        <w:t>月底前完成淘汰落后产能项目验收工作。</w:t>
      </w:r>
    </w:p>
    <w:p w:rsidR="005C3E3C" w:rsidRPr="005C3E3C" w:rsidRDefault="005C3E3C" w:rsidP="005C3E3C">
      <w:pPr>
        <w:spacing w:line="520" w:lineRule="exact"/>
        <w:ind w:firstLineChars="200" w:firstLine="480"/>
        <w:rPr>
          <w:sz w:val="24"/>
        </w:rPr>
      </w:pPr>
      <w:r w:rsidRPr="005C3E3C">
        <w:rPr>
          <w:rFonts w:hint="eastAsia"/>
          <w:sz w:val="24"/>
        </w:rPr>
        <w:t>（</w:t>
      </w:r>
      <w:r w:rsidRPr="005C3E3C">
        <w:rPr>
          <w:rFonts w:hint="eastAsia"/>
          <w:sz w:val="24"/>
        </w:rPr>
        <w:t>3</w:t>
      </w:r>
      <w:r w:rsidRPr="005C3E3C">
        <w:rPr>
          <w:rFonts w:hint="eastAsia"/>
          <w:sz w:val="24"/>
        </w:rPr>
        <w:t>）加强扬尘综合治理。开展扬尘污染综合治理提升行动，推动扬尘污染防治常态化、规范化、标准化。住房城乡建设、交通运输、自然资源、水利、商务部门将落实《城市房屋建筑和市政基础设施工程及道路扬尘污染防治标准》要求、“十个百分之百”扬尘污染防治措施、“两个禁止”（禁止现场搅拌混凝土和现场配制砂浆）、渣土物料运输车辆管理纳入日常安全文明施工监督范围，组织做好重污染天气预警、大风天气条件下施工工地、道路扬尘管控，建立举报监督、明查暗访工作机制，将工程建设活动中未按规定采取控制措施、减少扬尘污染受到通报、约谈或行政处罚的列为不良行为。住建局负责组织开展全市预拌商品混凝土生产企业绿色化改造工作，全面提升扬尘污染治理水平。进一步扩大道路机械化清扫和洒水范围，强化道路清洗保洁作业，持续开展城市清洁行动。</w:t>
      </w:r>
      <w:r w:rsidRPr="005C3E3C">
        <w:rPr>
          <w:rFonts w:hint="eastAsia"/>
          <w:sz w:val="24"/>
        </w:rPr>
        <w:t>2021</w:t>
      </w:r>
      <w:r w:rsidRPr="005C3E3C">
        <w:rPr>
          <w:rFonts w:hint="eastAsia"/>
          <w:sz w:val="24"/>
        </w:rPr>
        <w:t>年全市平均降尘量不得高于</w:t>
      </w:r>
      <w:r w:rsidRPr="005C3E3C">
        <w:rPr>
          <w:rFonts w:hint="eastAsia"/>
          <w:sz w:val="24"/>
        </w:rPr>
        <w:t>8</w:t>
      </w:r>
      <w:r w:rsidRPr="005C3E3C">
        <w:rPr>
          <w:rFonts w:hint="eastAsia"/>
          <w:sz w:val="24"/>
        </w:rPr>
        <w:t>吨</w:t>
      </w:r>
      <w:r w:rsidRPr="005C3E3C">
        <w:rPr>
          <w:rFonts w:hint="eastAsia"/>
          <w:sz w:val="24"/>
        </w:rPr>
        <w:t>/</w:t>
      </w:r>
      <w:r w:rsidRPr="005C3E3C">
        <w:rPr>
          <w:rFonts w:hint="eastAsia"/>
          <w:sz w:val="24"/>
        </w:rPr>
        <w:t>月平方公里，不断加严降尘量控制指标，实施网格化降尘量监测考核。</w:t>
      </w:r>
    </w:p>
    <w:p w:rsidR="005C3E3C" w:rsidRPr="005C3E3C" w:rsidRDefault="005C3E3C" w:rsidP="005C3E3C">
      <w:pPr>
        <w:spacing w:line="520" w:lineRule="exact"/>
        <w:ind w:firstLineChars="200" w:firstLine="480"/>
        <w:rPr>
          <w:sz w:val="24"/>
        </w:rPr>
      </w:pPr>
      <w:r w:rsidRPr="005C3E3C">
        <w:rPr>
          <w:rFonts w:hint="eastAsia"/>
          <w:sz w:val="24"/>
        </w:rPr>
        <w:t>（</w:t>
      </w:r>
      <w:r w:rsidRPr="005C3E3C">
        <w:rPr>
          <w:sz w:val="24"/>
        </w:rPr>
        <w:t>4</w:t>
      </w:r>
      <w:r w:rsidRPr="005C3E3C">
        <w:rPr>
          <w:rFonts w:hint="eastAsia"/>
          <w:sz w:val="24"/>
        </w:rPr>
        <w:t>）深化矿山综合整治行动。持续推进绿色矿山建设，严格落实绿色矿山建设标准，确定绿色矿山建设目标，落实绿色矿山激励政策。推动矿石采选和砂石骨料企业全面开展装备升级及深度治理，针对原料运输、贮存、装卸、破碎、转运、筛分、出料等各个生产环节存在的无组织排放污染问题，进行全流程控制、收集、净化处理，并同步安装视频监控和相应的污染物排放监测设备，优化运输方式，减少污染物排放。</w:t>
      </w:r>
    </w:p>
    <w:p w:rsidR="005C3E3C" w:rsidRPr="005C3E3C" w:rsidRDefault="005C3E3C" w:rsidP="005C3E3C">
      <w:pPr>
        <w:spacing w:line="520" w:lineRule="exact"/>
        <w:ind w:firstLineChars="200" w:firstLine="482"/>
        <w:rPr>
          <w:sz w:val="24"/>
        </w:rPr>
      </w:pPr>
      <w:r w:rsidRPr="005C3E3C">
        <w:rPr>
          <w:rFonts w:hint="eastAsia"/>
          <w:b/>
          <w:sz w:val="24"/>
        </w:rPr>
        <w:t>相符性分析：</w:t>
      </w:r>
      <w:r w:rsidRPr="005C3E3C">
        <w:rPr>
          <w:rFonts w:hint="eastAsia"/>
          <w:sz w:val="24"/>
        </w:rPr>
        <w:t>本项目为井工</w:t>
      </w:r>
      <w:r w:rsidR="00D82279">
        <w:rPr>
          <w:rFonts w:hint="eastAsia"/>
          <w:sz w:val="24"/>
        </w:rPr>
        <w:t>（地下）</w:t>
      </w:r>
      <w:r w:rsidRPr="005C3E3C">
        <w:rPr>
          <w:rFonts w:hint="eastAsia"/>
          <w:sz w:val="24"/>
        </w:rPr>
        <w:t>开采煤矿，按照《河南省淘汰落后产能综合标准体系》（</w:t>
      </w:r>
      <w:r w:rsidRPr="005C3E3C">
        <w:rPr>
          <w:rFonts w:hint="eastAsia"/>
          <w:sz w:val="24"/>
        </w:rPr>
        <w:t>2020</w:t>
      </w:r>
      <w:r w:rsidRPr="005C3E3C">
        <w:rPr>
          <w:rFonts w:hint="eastAsia"/>
          <w:sz w:val="24"/>
        </w:rPr>
        <w:t>年本），按照《煤炭井工开采单位产品能源消耗限额》（</w:t>
      </w:r>
      <w:r w:rsidRPr="005C3E3C">
        <w:rPr>
          <w:rFonts w:hint="eastAsia"/>
          <w:sz w:val="24"/>
        </w:rPr>
        <w:t>GB29444-2012</w:t>
      </w:r>
      <w:r w:rsidRPr="005C3E3C">
        <w:rPr>
          <w:rFonts w:hint="eastAsia"/>
          <w:sz w:val="24"/>
        </w:rPr>
        <w:t>）计算单矿井煤炭井工开采企业单位产品能耗计算，本项目单位产品能耗指标为</w:t>
      </w:r>
      <w:r w:rsidR="00D82279">
        <w:rPr>
          <w:rFonts w:hint="eastAsia"/>
          <w:sz w:val="24"/>
        </w:rPr>
        <w:t>4.03</w:t>
      </w:r>
      <w:r w:rsidRPr="005C3E3C">
        <w:rPr>
          <w:rFonts w:hint="eastAsia"/>
          <w:sz w:val="24"/>
        </w:rPr>
        <w:t>kgce</w:t>
      </w:r>
      <w:r w:rsidRPr="005C3E3C">
        <w:rPr>
          <w:sz w:val="24"/>
        </w:rPr>
        <w:t>/t</w:t>
      </w:r>
      <w:r w:rsidRPr="005C3E3C">
        <w:rPr>
          <w:rFonts w:hint="eastAsia"/>
          <w:sz w:val="24"/>
        </w:rPr>
        <w:t>，满足现有企业井工开采企业单位产品能耗限定值（≤</w:t>
      </w:r>
      <w:r w:rsidRPr="005C3E3C">
        <w:rPr>
          <w:rFonts w:hint="eastAsia"/>
          <w:sz w:val="24"/>
        </w:rPr>
        <w:t>1</w:t>
      </w:r>
      <w:r w:rsidRPr="005C3E3C">
        <w:rPr>
          <w:sz w:val="24"/>
        </w:rPr>
        <w:t>1.8</w:t>
      </w:r>
      <w:r w:rsidRPr="005C3E3C">
        <w:rPr>
          <w:rFonts w:hint="eastAsia"/>
          <w:sz w:val="24"/>
        </w:rPr>
        <w:t>kgce/t</w:t>
      </w:r>
      <w:r w:rsidRPr="005C3E3C">
        <w:rPr>
          <w:rFonts w:hint="eastAsia"/>
          <w:sz w:val="24"/>
        </w:rPr>
        <w:t>）及新建煤炭井工开采企业单位产品能耗限定值（≤</w:t>
      </w:r>
      <w:r w:rsidRPr="005C3E3C">
        <w:rPr>
          <w:rFonts w:hint="eastAsia"/>
          <w:sz w:val="24"/>
        </w:rPr>
        <w:t>7</w:t>
      </w:r>
      <w:r w:rsidRPr="005C3E3C">
        <w:rPr>
          <w:sz w:val="24"/>
        </w:rPr>
        <w:t>.0</w:t>
      </w:r>
      <w:r w:rsidRPr="005C3E3C">
        <w:rPr>
          <w:rFonts w:hint="eastAsia"/>
          <w:sz w:val="24"/>
        </w:rPr>
        <w:t>kgce/t</w:t>
      </w:r>
      <w:r w:rsidRPr="005C3E3C">
        <w:rPr>
          <w:rFonts w:hint="eastAsia"/>
          <w:sz w:val="24"/>
        </w:rPr>
        <w:t>）要求，且项</w:t>
      </w:r>
      <w:r w:rsidRPr="005C3E3C">
        <w:rPr>
          <w:rFonts w:hint="eastAsia"/>
          <w:sz w:val="24"/>
        </w:rPr>
        <w:lastRenderedPageBreak/>
        <w:t>目污染物排放满足相应排放标准要求。项目符合《产业结构调整指导目录（</w:t>
      </w:r>
      <w:r w:rsidRPr="005C3E3C">
        <w:rPr>
          <w:sz w:val="24"/>
        </w:rPr>
        <w:t>2019</w:t>
      </w:r>
      <w:r w:rsidRPr="005C3E3C">
        <w:rPr>
          <w:rFonts w:hint="eastAsia"/>
          <w:sz w:val="24"/>
        </w:rPr>
        <w:t>年本）》要求，不在《河南省部分工业行业淘汰落后生产工艺装备和产品目录》内，不属于禁止新增产能行业项目，属于《河南省工业和信息化厅关于切实做好全省</w:t>
      </w:r>
      <w:r w:rsidRPr="005C3E3C">
        <w:rPr>
          <w:sz w:val="24"/>
        </w:rPr>
        <w:t>30</w:t>
      </w:r>
      <w:r w:rsidRPr="005C3E3C">
        <w:rPr>
          <w:rFonts w:hint="eastAsia"/>
          <w:sz w:val="24"/>
        </w:rPr>
        <w:t>万吨</w:t>
      </w:r>
      <w:r w:rsidRPr="005C3E3C">
        <w:rPr>
          <w:sz w:val="24"/>
        </w:rPr>
        <w:t>/</w:t>
      </w:r>
      <w:r w:rsidRPr="005C3E3C">
        <w:rPr>
          <w:rFonts w:hint="eastAsia"/>
          <w:sz w:val="24"/>
        </w:rPr>
        <w:t>年以下煤矿分类处置工作的通知》（豫工信办煤行〔</w:t>
      </w:r>
      <w:r w:rsidRPr="005C3E3C">
        <w:rPr>
          <w:sz w:val="24"/>
        </w:rPr>
        <w:t>2020</w:t>
      </w:r>
      <w:r w:rsidRPr="005C3E3C">
        <w:rPr>
          <w:rFonts w:hint="eastAsia"/>
          <w:sz w:val="24"/>
        </w:rPr>
        <w:t>〕</w:t>
      </w:r>
      <w:r w:rsidRPr="005C3E3C">
        <w:rPr>
          <w:sz w:val="24"/>
        </w:rPr>
        <w:t>54</w:t>
      </w:r>
      <w:r w:rsidRPr="005C3E3C">
        <w:rPr>
          <w:rFonts w:hint="eastAsia"/>
          <w:sz w:val="24"/>
        </w:rPr>
        <w:t>号）分类处置中的（</w:t>
      </w:r>
      <w:r w:rsidRPr="005C3E3C">
        <w:rPr>
          <w:sz w:val="24"/>
        </w:rPr>
        <w:t>3</w:t>
      </w:r>
      <w:r w:rsidRPr="005C3E3C">
        <w:rPr>
          <w:rFonts w:hint="eastAsia"/>
          <w:sz w:val="24"/>
        </w:rPr>
        <w:t>）具备条件升级改造的一批。施工土方的挖掘、堆放要规范有序，施工物料堆存采取防风抑尘网遮盖，人工定时洒水；工地周边全部围挡、物料堆放全部覆盖、设洒水车对运输道路定时洒水，车辆运输等建筑材料时一定要加盖帆布篷；设置简易冲洗池、车辆冲洗设施，对施工期进出运输车辆除泥、冲洗。运营期：项目</w:t>
      </w:r>
      <w:r w:rsidR="00D82279">
        <w:rPr>
          <w:rFonts w:hint="eastAsia"/>
          <w:sz w:val="24"/>
        </w:rPr>
        <w:t>采用空气能</w:t>
      </w:r>
      <w:r w:rsidRPr="005C3E3C">
        <w:rPr>
          <w:rFonts w:hint="eastAsia"/>
          <w:sz w:val="24"/>
        </w:rPr>
        <w:t>提供洗浴热水，空调供暖；储煤库、原煤运输廊道全部封闭，并喷雾洒水降尘；运输车辆全部密闭运输，出入口进行清洗降低运输扬尘，运输道路设专人定期清扫，洒水车定时洒水一天</w:t>
      </w:r>
      <w:r w:rsidRPr="005C3E3C">
        <w:rPr>
          <w:rFonts w:hint="eastAsia"/>
          <w:sz w:val="24"/>
        </w:rPr>
        <w:t>6</w:t>
      </w:r>
      <w:r w:rsidRPr="005C3E3C">
        <w:rPr>
          <w:rFonts w:hint="eastAsia"/>
          <w:sz w:val="24"/>
        </w:rPr>
        <w:t>次（早中晚各</w:t>
      </w:r>
      <w:r w:rsidRPr="005C3E3C">
        <w:rPr>
          <w:rFonts w:hint="eastAsia"/>
          <w:sz w:val="24"/>
        </w:rPr>
        <w:t>2</w:t>
      </w:r>
      <w:r w:rsidRPr="005C3E3C">
        <w:rPr>
          <w:rFonts w:hint="eastAsia"/>
          <w:sz w:val="24"/>
        </w:rPr>
        <w:t>次），干燥大风天气应加大洒水频率。项目矿井涌水、生活污水通过各自污水处理站处理后部分综合利用于生产生活，不能充分利用部分全部达标外排。</w:t>
      </w:r>
    </w:p>
    <w:p w:rsidR="005C3E3C" w:rsidRPr="005C3E3C" w:rsidRDefault="005C3E3C" w:rsidP="005C3E3C">
      <w:pPr>
        <w:spacing w:line="520" w:lineRule="exact"/>
        <w:ind w:firstLineChars="200" w:firstLine="480"/>
        <w:rPr>
          <w:sz w:val="24"/>
        </w:rPr>
      </w:pPr>
      <w:r w:rsidRPr="005C3E3C">
        <w:rPr>
          <w:rFonts w:hint="eastAsia"/>
          <w:sz w:val="24"/>
        </w:rPr>
        <w:t>因此，项目整体建设符合《禹州市</w:t>
      </w:r>
      <w:r w:rsidRPr="005C3E3C">
        <w:rPr>
          <w:sz w:val="24"/>
        </w:rPr>
        <w:t>2021</w:t>
      </w:r>
      <w:r w:rsidRPr="005C3E3C">
        <w:rPr>
          <w:rFonts w:hint="eastAsia"/>
          <w:sz w:val="24"/>
        </w:rPr>
        <w:t>年大气污染防治攻坚战实施方案的通知》相关要求。</w:t>
      </w:r>
    </w:p>
    <w:p w:rsidR="005C3E3C" w:rsidRPr="005C3E3C" w:rsidRDefault="00D82279" w:rsidP="00D82279">
      <w:pPr>
        <w:spacing w:line="520" w:lineRule="exact"/>
        <w:rPr>
          <w:b/>
          <w:bCs/>
          <w:sz w:val="24"/>
        </w:rPr>
      </w:pPr>
      <w:r>
        <w:rPr>
          <w:rFonts w:hint="eastAsia"/>
          <w:b/>
          <w:bCs/>
          <w:sz w:val="24"/>
        </w:rPr>
        <w:t>10.3.1</w:t>
      </w:r>
      <w:r w:rsidR="00EC66AD">
        <w:rPr>
          <w:rFonts w:hint="eastAsia"/>
          <w:b/>
          <w:bCs/>
          <w:sz w:val="24"/>
        </w:rPr>
        <w:t>5</w:t>
      </w:r>
      <w:r>
        <w:rPr>
          <w:rFonts w:hint="eastAsia"/>
          <w:b/>
          <w:bCs/>
          <w:sz w:val="24"/>
        </w:rPr>
        <w:t>.2</w:t>
      </w:r>
      <w:r w:rsidR="005C3E3C" w:rsidRPr="005C3E3C">
        <w:rPr>
          <w:rFonts w:hint="eastAsia"/>
          <w:b/>
          <w:bCs/>
          <w:sz w:val="24"/>
        </w:rPr>
        <w:t>禹州市</w:t>
      </w:r>
      <w:r w:rsidR="005C3E3C" w:rsidRPr="005C3E3C">
        <w:rPr>
          <w:b/>
          <w:bCs/>
          <w:sz w:val="24"/>
        </w:rPr>
        <w:t>2021</w:t>
      </w:r>
      <w:r w:rsidR="005C3E3C" w:rsidRPr="005C3E3C">
        <w:rPr>
          <w:rFonts w:hint="eastAsia"/>
          <w:b/>
          <w:bCs/>
          <w:sz w:val="24"/>
        </w:rPr>
        <w:t>年水污染防治攻坚战实施方案：</w:t>
      </w:r>
    </w:p>
    <w:p w:rsidR="005C3E3C" w:rsidRPr="005C3E3C" w:rsidRDefault="005C3E3C" w:rsidP="005C3E3C">
      <w:pPr>
        <w:spacing w:line="520" w:lineRule="exact"/>
        <w:ind w:firstLineChars="200" w:firstLine="480"/>
        <w:rPr>
          <w:sz w:val="24"/>
        </w:rPr>
      </w:pPr>
      <w:r w:rsidRPr="005C3E3C">
        <w:rPr>
          <w:rFonts w:hint="eastAsia"/>
          <w:sz w:val="24"/>
        </w:rPr>
        <w:t>1</w:t>
      </w:r>
      <w:r w:rsidRPr="005C3E3C">
        <w:rPr>
          <w:sz w:val="24"/>
        </w:rPr>
        <w:t>8</w:t>
      </w:r>
      <w:r w:rsidRPr="005C3E3C">
        <w:rPr>
          <w:rFonts w:hint="eastAsia"/>
          <w:sz w:val="24"/>
        </w:rPr>
        <w:t>、严格环境准入。深化“放、管、服”改革，强化项目事中、事后监管，提升服务水平。推进“三线一单”生态环境分区管控要求落地应用，做好规划环评，严控新建高耗水、高排放工业项目，把好项目环境准入关。</w:t>
      </w:r>
    </w:p>
    <w:p w:rsidR="005C3E3C" w:rsidRPr="005C3E3C" w:rsidRDefault="005C3E3C" w:rsidP="005C3E3C">
      <w:pPr>
        <w:spacing w:line="520" w:lineRule="exact"/>
        <w:ind w:firstLineChars="200" w:firstLine="480"/>
        <w:rPr>
          <w:sz w:val="24"/>
        </w:rPr>
      </w:pPr>
      <w:r w:rsidRPr="005C3E3C">
        <w:rPr>
          <w:rFonts w:hint="eastAsia"/>
          <w:sz w:val="24"/>
        </w:rPr>
        <w:t>2</w:t>
      </w:r>
      <w:r w:rsidRPr="005C3E3C">
        <w:rPr>
          <w:sz w:val="24"/>
        </w:rPr>
        <w:t>4</w:t>
      </w:r>
      <w:r w:rsidRPr="005C3E3C">
        <w:rPr>
          <w:rFonts w:hint="eastAsia"/>
          <w:sz w:val="24"/>
        </w:rPr>
        <w:t>、健全涉水污染源自动监控体系。开展涉水污染源自动监控设施建设情况排查，扩大监控覆盖范围；加大自动在线监控设施运行监管和日常监督检查力度，确保数据真实有效。探索开展涉水污染源污染治理设施运行状态监控。通过水环境决策平台整合水质自动站监测数据，充分发挥决策平台综合决策分析、应急指挥等功能，提高禹州水环境管理信息化水平。</w:t>
      </w:r>
    </w:p>
    <w:p w:rsidR="005C3E3C" w:rsidRPr="005C3E3C" w:rsidRDefault="005C3E3C" w:rsidP="005C3E3C">
      <w:pPr>
        <w:spacing w:line="520" w:lineRule="exact"/>
        <w:ind w:firstLineChars="200" w:firstLine="482"/>
        <w:rPr>
          <w:sz w:val="24"/>
        </w:rPr>
      </w:pPr>
      <w:r w:rsidRPr="005C3E3C">
        <w:rPr>
          <w:rFonts w:hint="eastAsia"/>
          <w:b/>
          <w:sz w:val="24"/>
        </w:rPr>
        <w:t>相符性分析：</w:t>
      </w:r>
      <w:r w:rsidRPr="005C3E3C">
        <w:rPr>
          <w:rFonts w:hint="eastAsia"/>
          <w:sz w:val="24"/>
        </w:rPr>
        <w:t>本项目不属于火电、钢铁、焦化、化工等高耗水、高排放行业，</w:t>
      </w:r>
      <w:r w:rsidRPr="005C3E3C">
        <w:rPr>
          <w:rFonts w:hint="eastAsia"/>
          <w:sz w:val="24"/>
        </w:rPr>
        <w:lastRenderedPageBreak/>
        <w:t>项目运营后废水排放将按规范要求安装自动在线监控设施，按管理部门要求落实信息化管理水平。项目矿井水、生活污水通过各自污水处理站处理后部分综合利用于生产生活，不能充分利用部分全部达标外排。</w:t>
      </w:r>
    </w:p>
    <w:p w:rsidR="005C3E3C" w:rsidRPr="005C3E3C" w:rsidRDefault="005C3E3C" w:rsidP="005C3E3C">
      <w:pPr>
        <w:spacing w:line="520" w:lineRule="exact"/>
        <w:ind w:firstLineChars="200" w:firstLine="480"/>
        <w:rPr>
          <w:b/>
          <w:sz w:val="24"/>
        </w:rPr>
      </w:pPr>
      <w:r w:rsidRPr="005C3E3C">
        <w:rPr>
          <w:rFonts w:hint="eastAsia"/>
          <w:sz w:val="24"/>
        </w:rPr>
        <w:t>因此，项目建设符合禹州市</w:t>
      </w:r>
      <w:r w:rsidRPr="005C3E3C">
        <w:rPr>
          <w:rFonts w:hint="eastAsia"/>
          <w:sz w:val="24"/>
        </w:rPr>
        <w:t>2021</w:t>
      </w:r>
      <w:r w:rsidRPr="005C3E3C">
        <w:rPr>
          <w:rFonts w:hint="eastAsia"/>
          <w:sz w:val="24"/>
        </w:rPr>
        <w:t>年水污染攻坚战实施方案要求。</w:t>
      </w:r>
    </w:p>
    <w:p w:rsidR="005C3E3C" w:rsidRPr="005C3E3C" w:rsidRDefault="00D82279" w:rsidP="00D82279">
      <w:pPr>
        <w:spacing w:line="520" w:lineRule="exact"/>
        <w:rPr>
          <w:b/>
          <w:sz w:val="24"/>
        </w:rPr>
      </w:pPr>
      <w:r>
        <w:rPr>
          <w:rFonts w:hint="eastAsia"/>
          <w:b/>
          <w:bCs/>
          <w:sz w:val="24"/>
        </w:rPr>
        <w:t>10.3.1</w:t>
      </w:r>
      <w:r w:rsidR="00EC66AD">
        <w:rPr>
          <w:rFonts w:hint="eastAsia"/>
          <w:b/>
          <w:bCs/>
          <w:sz w:val="24"/>
        </w:rPr>
        <w:t>5</w:t>
      </w:r>
      <w:r>
        <w:rPr>
          <w:rFonts w:hint="eastAsia"/>
          <w:b/>
          <w:bCs/>
          <w:sz w:val="24"/>
        </w:rPr>
        <w:t>.3</w:t>
      </w:r>
      <w:r w:rsidR="005C3E3C" w:rsidRPr="005C3E3C">
        <w:rPr>
          <w:rFonts w:hint="eastAsia"/>
          <w:b/>
          <w:sz w:val="24"/>
        </w:rPr>
        <w:t>禹州市</w:t>
      </w:r>
      <w:r w:rsidR="005C3E3C" w:rsidRPr="005C3E3C">
        <w:rPr>
          <w:rFonts w:hint="eastAsia"/>
          <w:b/>
          <w:sz w:val="24"/>
        </w:rPr>
        <w:t>2</w:t>
      </w:r>
      <w:r w:rsidR="005C3E3C" w:rsidRPr="005C3E3C">
        <w:rPr>
          <w:b/>
          <w:sz w:val="24"/>
        </w:rPr>
        <w:t>021</w:t>
      </w:r>
      <w:r w:rsidR="005C3E3C" w:rsidRPr="005C3E3C">
        <w:rPr>
          <w:rFonts w:hint="eastAsia"/>
          <w:b/>
          <w:sz w:val="24"/>
        </w:rPr>
        <w:t>年土壤污染攻坚战实施方案：</w:t>
      </w:r>
    </w:p>
    <w:p w:rsidR="005C3E3C" w:rsidRPr="005C3E3C" w:rsidRDefault="005C3E3C" w:rsidP="005C3E3C">
      <w:pPr>
        <w:spacing w:line="520" w:lineRule="exact"/>
        <w:ind w:firstLineChars="200" w:firstLine="480"/>
        <w:rPr>
          <w:sz w:val="24"/>
        </w:rPr>
      </w:pPr>
      <w:r w:rsidRPr="005C3E3C">
        <w:rPr>
          <w:sz w:val="24"/>
        </w:rPr>
        <w:t>1</w:t>
      </w:r>
      <w:r w:rsidRPr="005C3E3C">
        <w:rPr>
          <w:rFonts w:hint="eastAsia"/>
          <w:sz w:val="24"/>
        </w:rPr>
        <w:t>、防控矿产资源开发污染土壤。因地制宜管控矿区污染土壤和酸性废水环境风险，综合整治重有色金属矿区污染，重点保障农业生产和生活用水安全，鼓励采取自然恢复等措施，统筹推进矿区土壤污染治理与绿色矿山建设、工矿废弃地复垦利用、矿山地质环境治理恢复、土地整治等工作。</w:t>
      </w:r>
    </w:p>
    <w:p w:rsidR="005C3E3C" w:rsidRPr="005C3E3C" w:rsidRDefault="005C3E3C" w:rsidP="005C3E3C">
      <w:pPr>
        <w:spacing w:line="520" w:lineRule="exact"/>
        <w:ind w:firstLineChars="200" w:firstLine="480"/>
        <w:rPr>
          <w:sz w:val="24"/>
        </w:rPr>
      </w:pPr>
      <w:r w:rsidRPr="005C3E3C">
        <w:rPr>
          <w:sz w:val="24"/>
        </w:rPr>
        <w:t>2</w:t>
      </w:r>
      <w:r w:rsidRPr="005C3E3C">
        <w:rPr>
          <w:rFonts w:hint="eastAsia"/>
          <w:sz w:val="24"/>
        </w:rPr>
        <w:t>、落实“三线一单”生态环境分区管控要求，严控不符合土壤环境管控要求的项目落地；把好建设项目环境准入关，对可能造成土壤污染的建设项目依法开展环境影响评价，提出并落实有关防腐蚀、防渗漏、防遗撒等土壤污染防治具体措施。</w:t>
      </w:r>
    </w:p>
    <w:p w:rsidR="00F8114F" w:rsidRPr="005C3E3C" w:rsidRDefault="005C3E3C" w:rsidP="005C3E3C">
      <w:pPr>
        <w:spacing w:line="520" w:lineRule="exact"/>
        <w:ind w:firstLineChars="200" w:firstLine="482"/>
        <w:rPr>
          <w:sz w:val="24"/>
        </w:rPr>
      </w:pPr>
      <w:r w:rsidRPr="005C3E3C">
        <w:rPr>
          <w:rFonts w:hint="eastAsia"/>
          <w:b/>
          <w:sz w:val="24"/>
        </w:rPr>
        <w:t>符合性分析：</w:t>
      </w:r>
      <w:r w:rsidRPr="005C3E3C">
        <w:rPr>
          <w:rFonts w:hint="eastAsia"/>
          <w:sz w:val="24"/>
        </w:rPr>
        <w:t>本项目为井工开采煤矿，根据《工矿用地土壤环境管理办法（试行）》，本项目不属于土壤环境污染重点监管单位，本项目将按照绿色矿山标准进行建设，服务期满后，对废弃场地进行复垦利用、矿山地质环境治理恢复、土地整治等工作。本项目按要求开展了环境影响评价工作，对危废暂存间等提出了防腐蚀、防渗漏、防遗撒等土壤污染防治措施。因此，项目建设符合禹州市</w:t>
      </w:r>
      <w:r w:rsidRPr="005C3E3C">
        <w:rPr>
          <w:rFonts w:hint="eastAsia"/>
          <w:sz w:val="24"/>
        </w:rPr>
        <w:t>2021</w:t>
      </w:r>
      <w:r w:rsidRPr="005C3E3C">
        <w:rPr>
          <w:rFonts w:hint="eastAsia"/>
          <w:sz w:val="24"/>
        </w:rPr>
        <w:t>年土壤污染攻坚战实施方案要求。</w:t>
      </w:r>
    </w:p>
    <w:p w:rsidR="00EB5150" w:rsidRDefault="00EB5150" w:rsidP="009C5F33">
      <w:pPr>
        <w:pStyle w:val="03"/>
        <w:adjustRightInd w:val="0"/>
        <w:snapToGrid w:val="0"/>
        <w:spacing w:beforeLines="70" w:afterLines="30" w:afterAutospacing="0" w:line="520" w:lineRule="exact"/>
        <w:rPr>
          <w:rFonts w:ascii="Times New Roman" w:eastAsia="楷体" w:hAnsi="Times New Roman"/>
        </w:rPr>
      </w:pPr>
      <w:r>
        <w:rPr>
          <w:rFonts w:ascii="Times New Roman" w:eastAsia="楷体" w:hAnsi="Times New Roman"/>
        </w:rPr>
        <w:t>10.3.1</w:t>
      </w:r>
      <w:r w:rsidR="00EC66AD">
        <w:rPr>
          <w:rFonts w:ascii="Times New Roman" w:eastAsia="楷体" w:hAnsi="Times New Roman" w:hint="eastAsia"/>
        </w:rPr>
        <w:t>6</w:t>
      </w:r>
      <w:r>
        <w:rPr>
          <w:rFonts w:ascii="Times New Roman" w:eastAsia="楷体" w:hAnsi="Times New Roman"/>
        </w:rPr>
        <w:t>与</w:t>
      </w:r>
      <w:r w:rsidRPr="00A42A5B">
        <w:rPr>
          <w:rFonts w:ascii="Times New Roman" w:eastAsia="楷体" w:hAnsi="Times New Roman"/>
        </w:rPr>
        <w:t>《河南省煤炭绿色矿山建设规范》（</w:t>
      </w:r>
      <w:r w:rsidRPr="00A42A5B">
        <w:rPr>
          <w:rFonts w:ascii="Times New Roman" w:eastAsia="楷体" w:hAnsi="Times New Roman"/>
        </w:rPr>
        <w:t>DB41/T1664-2018</w:t>
      </w:r>
      <w:r w:rsidRPr="00A42A5B">
        <w:rPr>
          <w:rFonts w:ascii="Times New Roman" w:eastAsia="楷体" w:hAnsi="Times New Roman"/>
        </w:rPr>
        <w:t>）</w:t>
      </w:r>
      <w:r>
        <w:rPr>
          <w:rFonts w:ascii="Times New Roman" w:eastAsia="楷体" w:hAnsi="Times New Roman"/>
        </w:rPr>
        <w:t>相符性分析</w:t>
      </w:r>
    </w:p>
    <w:p w:rsidR="00EB5150" w:rsidRDefault="00EB5150" w:rsidP="00EB5150">
      <w:pPr>
        <w:spacing w:line="520" w:lineRule="exact"/>
        <w:ind w:firstLineChars="200" w:firstLine="480"/>
        <w:rPr>
          <w:kern w:val="28"/>
          <w:sz w:val="24"/>
        </w:rPr>
      </w:pPr>
      <w:r w:rsidRPr="002C09EA">
        <w:rPr>
          <w:kern w:val="28"/>
          <w:sz w:val="24"/>
        </w:rPr>
        <w:t>2018</w:t>
      </w:r>
      <w:r w:rsidRPr="002C09EA">
        <w:rPr>
          <w:kern w:val="28"/>
          <w:sz w:val="24"/>
        </w:rPr>
        <w:t>月</w:t>
      </w:r>
      <w:r w:rsidRPr="002C09EA">
        <w:rPr>
          <w:rFonts w:hint="eastAsia"/>
          <w:kern w:val="28"/>
          <w:sz w:val="24"/>
        </w:rPr>
        <w:t>9</w:t>
      </w:r>
      <w:r w:rsidRPr="002C09EA">
        <w:rPr>
          <w:kern w:val="28"/>
          <w:sz w:val="24"/>
        </w:rPr>
        <w:t>月</w:t>
      </w:r>
      <w:r w:rsidRPr="002C09EA">
        <w:rPr>
          <w:kern w:val="28"/>
          <w:sz w:val="24"/>
        </w:rPr>
        <w:t>2</w:t>
      </w:r>
      <w:r w:rsidRPr="002C09EA">
        <w:rPr>
          <w:rFonts w:hint="eastAsia"/>
          <w:kern w:val="28"/>
          <w:sz w:val="24"/>
        </w:rPr>
        <w:t>9</w:t>
      </w:r>
      <w:r w:rsidRPr="002C09EA">
        <w:rPr>
          <w:kern w:val="28"/>
          <w:sz w:val="24"/>
        </w:rPr>
        <w:t>日，河南省</w:t>
      </w:r>
      <w:r w:rsidRPr="002C09EA">
        <w:rPr>
          <w:rFonts w:hint="eastAsia"/>
          <w:kern w:val="28"/>
          <w:sz w:val="24"/>
        </w:rPr>
        <w:t>质量技术监督局</w:t>
      </w:r>
      <w:r w:rsidRPr="002C09EA">
        <w:rPr>
          <w:kern w:val="28"/>
          <w:sz w:val="24"/>
        </w:rPr>
        <w:t>发布了《河南省煤炭绿色矿山建设规范》（</w:t>
      </w:r>
      <w:r w:rsidRPr="002C09EA">
        <w:rPr>
          <w:kern w:val="28"/>
          <w:sz w:val="24"/>
        </w:rPr>
        <w:t>DB41/T1664-2018</w:t>
      </w:r>
      <w:r w:rsidRPr="002C09EA">
        <w:rPr>
          <w:kern w:val="28"/>
          <w:sz w:val="24"/>
        </w:rPr>
        <w:t>），</w:t>
      </w:r>
      <w:r w:rsidRPr="002C09EA">
        <w:rPr>
          <w:rFonts w:hint="eastAsia"/>
          <w:kern w:val="28"/>
          <w:sz w:val="24"/>
        </w:rPr>
        <w:t>其相关内容</w:t>
      </w:r>
      <w:r w:rsidRPr="002C09EA">
        <w:rPr>
          <w:rFonts w:hint="eastAsia"/>
          <w:sz w:val="24"/>
        </w:rPr>
        <w:t>及</w:t>
      </w:r>
      <w:r w:rsidRPr="002C09EA">
        <w:rPr>
          <w:sz w:val="24"/>
        </w:rPr>
        <w:t>相符性</w:t>
      </w:r>
      <w:r w:rsidRPr="002C09EA">
        <w:rPr>
          <w:rFonts w:hint="eastAsia"/>
          <w:sz w:val="24"/>
        </w:rPr>
        <w:t>分析</w:t>
      </w:r>
      <w:r w:rsidRPr="002C09EA">
        <w:rPr>
          <w:sz w:val="24"/>
        </w:rPr>
        <w:t>见表</w:t>
      </w:r>
      <w:r w:rsidRPr="002C09EA">
        <w:rPr>
          <w:sz w:val="24"/>
        </w:rPr>
        <w:t>10.3-</w:t>
      </w:r>
      <w:r w:rsidR="00EC66AD">
        <w:rPr>
          <w:rFonts w:hint="eastAsia"/>
          <w:sz w:val="24"/>
        </w:rPr>
        <w:t>9</w:t>
      </w:r>
      <w:r w:rsidRPr="002C09EA">
        <w:rPr>
          <w:sz w:val="24"/>
        </w:rPr>
        <w:t>。</w:t>
      </w:r>
      <w:r w:rsidRPr="002C09EA">
        <w:rPr>
          <w:kern w:val="28"/>
          <w:sz w:val="24"/>
        </w:rPr>
        <w:t>由表</w:t>
      </w:r>
      <w:r w:rsidRPr="002C09EA">
        <w:rPr>
          <w:kern w:val="28"/>
          <w:sz w:val="24"/>
        </w:rPr>
        <w:t>10.3-</w:t>
      </w:r>
      <w:r w:rsidR="00EC66AD">
        <w:rPr>
          <w:rFonts w:hint="eastAsia"/>
          <w:kern w:val="28"/>
          <w:sz w:val="24"/>
        </w:rPr>
        <w:t>9</w:t>
      </w:r>
      <w:r w:rsidRPr="002C09EA">
        <w:rPr>
          <w:kern w:val="28"/>
          <w:sz w:val="24"/>
        </w:rPr>
        <w:t>分析可知，本项目符合《《河南省煤炭绿色矿山建设规范》（</w:t>
      </w:r>
      <w:r w:rsidRPr="002C09EA">
        <w:rPr>
          <w:kern w:val="28"/>
          <w:sz w:val="24"/>
        </w:rPr>
        <w:t>DB41/T1664-2018</w:t>
      </w:r>
      <w:r w:rsidRPr="002C09EA">
        <w:rPr>
          <w:kern w:val="28"/>
          <w:sz w:val="24"/>
        </w:rPr>
        <w:t>）的相关要求。</w:t>
      </w:r>
    </w:p>
    <w:p w:rsidR="00EB5150" w:rsidRDefault="00EB5150" w:rsidP="00EB5150">
      <w:pPr>
        <w:spacing w:line="520" w:lineRule="exact"/>
        <w:jc w:val="center"/>
        <w:rPr>
          <w:sz w:val="24"/>
          <w:szCs w:val="22"/>
        </w:rPr>
      </w:pPr>
      <w:r>
        <w:rPr>
          <w:sz w:val="24"/>
          <w:szCs w:val="22"/>
        </w:rPr>
        <w:lastRenderedPageBreak/>
        <w:t>表</w:t>
      </w:r>
      <w:r>
        <w:rPr>
          <w:sz w:val="24"/>
          <w:szCs w:val="22"/>
        </w:rPr>
        <w:t>10.3-</w:t>
      </w:r>
      <w:r w:rsidR="00EC66AD">
        <w:rPr>
          <w:rFonts w:hint="eastAsia"/>
          <w:sz w:val="24"/>
          <w:szCs w:val="22"/>
        </w:rPr>
        <w:t>9</w:t>
      </w:r>
      <w:r>
        <w:rPr>
          <w:sz w:val="24"/>
          <w:szCs w:val="22"/>
        </w:rPr>
        <w:t xml:space="preserve"> </w:t>
      </w:r>
      <w:r>
        <w:rPr>
          <w:sz w:val="24"/>
          <w:szCs w:val="22"/>
        </w:rPr>
        <w:t>与</w:t>
      </w:r>
      <w:r w:rsidRPr="00A42A5B">
        <w:rPr>
          <w:sz w:val="24"/>
          <w:szCs w:val="22"/>
        </w:rPr>
        <w:t>《河南省煤炭绿色矿山建设规范》（</w:t>
      </w:r>
      <w:r w:rsidRPr="00A42A5B">
        <w:rPr>
          <w:sz w:val="24"/>
          <w:szCs w:val="22"/>
        </w:rPr>
        <w:t>DB41/T1664-2018</w:t>
      </w:r>
      <w:r w:rsidRPr="00A42A5B">
        <w:rPr>
          <w:sz w:val="24"/>
          <w:szCs w:val="22"/>
        </w:rPr>
        <w:t>）</w:t>
      </w:r>
      <w:r>
        <w:rPr>
          <w:sz w:val="24"/>
          <w:szCs w:val="22"/>
        </w:rPr>
        <w:t>相符性分析</w:t>
      </w:r>
    </w:p>
    <w:tbl>
      <w:tblPr>
        <w:tblW w:w="9583"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08"/>
        <w:gridCol w:w="454"/>
        <w:gridCol w:w="5194"/>
        <w:gridCol w:w="2921"/>
        <w:gridCol w:w="706"/>
      </w:tblGrid>
      <w:tr w:rsidR="00EB5150" w:rsidRPr="00BC4D95" w:rsidTr="00B86E96">
        <w:trPr>
          <w:cantSplit/>
          <w:jc w:val="center"/>
        </w:trPr>
        <w:tc>
          <w:tcPr>
            <w:tcW w:w="5956" w:type="dxa"/>
            <w:gridSpan w:val="3"/>
            <w:vAlign w:val="center"/>
            <w:hideMark/>
          </w:tcPr>
          <w:p w:rsidR="00EB5150" w:rsidRPr="00BC4D95" w:rsidRDefault="00EB5150" w:rsidP="00EB5150">
            <w:pPr>
              <w:snapToGrid w:val="0"/>
              <w:spacing w:line="280" w:lineRule="exact"/>
              <w:jc w:val="center"/>
              <w:rPr>
                <w:snapToGrid w:val="0"/>
                <w:color w:val="000000"/>
                <w:kern w:val="28"/>
                <w:sz w:val="21"/>
                <w:szCs w:val="21"/>
              </w:rPr>
            </w:pPr>
            <w:r w:rsidRPr="002C09EA">
              <w:rPr>
                <w:snapToGrid w:val="0"/>
                <w:color w:val="000000"/>
                <w:kern w:val="28"/>
                <w:sz w:val="21"/>
                <w:szCs w:val="21"/>
              </w:rPr>
              <w:t>《河南省煤炭绿色矿山建设规范》（</w:t>
            </w:r>
            <w:r w:rsidRPr="002C09EA">
              <w:rPr>
                <w:snapToGrid w:val="0"/>
                <w:color w:val="000000"/>
                <w:kern w:val="28"/>
                <w:sz w:val="21"/>
                <w:szCs w:val="21"/>
              </w:rPr>
              <w:t>DB41/T1664-2018</w:t>
            </w:r>
            <w:r w:rsidRPr="002C09EA">
              <w:rPr>
                <w:snapToGrid w:val="0"/>
                <w:color w:val="000000"/>
                <w:kern w:val="28"/>
                <w:sz w:val="21"/>
                <w:szCs w:val="21"/>
              </w:rPr>
              <w:t>）相关要求</w:t>
            </w:r>
          </w:p>
        </w:tc>
        <w:tc>
          <w:tcPr>
            <w:tcW w:w="2921" w:type="dxa"/>
            <w:vAlign w:val="center"/>
            <w:hideMark/>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本项目建设内容</w:t>
            </w:r>
          </w:p>
        </w:tc>
        <w:tc>
          <w:tcPr>
            <w:tcW w:w="706" w:type="dxa"/>
            <w:vAlign w:val="center"/>
            <w:hideMark/>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相符性</w:t>
            </w:r>
          </w:p>
        </w:tc>
      </w:tr>
      <w:tr w:rsidR="00EB5150" w:rsidRPr="00BC4D95" w:rsidTr="00B86E96">
        <w:trPr>
          <w:cantSplit/>
          <w:jc w:val="center"/>
        </w:trPr>
        <w:tc>
          <w:tcPr>
            <w:tcW w:w="308" w:type="dxa"/>
            <w:vAlign w:val="center"/>
          </w:tcPr>
          <w:p w:rsidR="00EB5150" w:rsidRPr="00BC4D95"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总则</w:t>
            </w:r>
          </w:p>
        </w:tc>
        <w:tc>
          <w:tcPr>
            <w:tcW w:w="5648" w:type="dxa"/>
            <w:gridSpan w:val="2"/>
            <w:vAlign w:val="center"/>
          </w:tcPr>
          <w:p w:rsidR="00EB5150" w:rsidRPr="002C09EA" w:rsidRDefault="00EB5150" w:rsidP="00EB5150">
            <w:pPr>
              <w:snapToGrid w:val="0"/>
              <w:spacing w:line="280" w:lineRule="exact"/>
              <w:jc w:val="left"/>
              <w:rPr>
                <w:snapToGrid w:val="0"/>
                <w:color w:val="000000"/>
                <w:kern w:val="28"/>
                <w:sz w:val="21"/>
                <w:szCs w:val="21"/>
              </w:rPr>
            </w:pPr>
            <w:r w:rsidRPr="002C09EA">
              <w:rPr>
                <w:rFonts w:hint="eastAsia"/>
                <w:snapToGrid w:val="0"/>
                <w:color w:val="000000"/>
                <w:kern w:val="28"/>
                <w:sz w:val="21"/>
                <w:szCs w:val="21"/>
              </w:rPr>
              <w:t xml:space="preserve">4.1 </w:t>
            </w:r>
            <w:r w:rsidRPr="002C09EA">
              <w:rPr>
                <w:rFonts w:hint="eastAsia"/>
                <w:snapToGrid w:val="0"/>
                <w:color w:val="000000"/>
                <w:kern w:val="28"/>
                <w:sz w:val="21"/>
                <w:szCs w:val="21"/>
              </w:rPr>
              <w:t>矿山企业应遵守国家法律法规，符合相关产业政策，坚持以人为本，依法办矿。</w:t>
            </w:r>
          </w:p>
          <w:p w:rsidR="00EB5150" w:rsidRPr="002C09EA" w:rsidRDefault="00EB5150" w:rsidP="00EB5150">
            <w:pPr>
              <w:snapToGrid w:val="0"/>
              <w:spacing w:line="280" w:lineRule="exact"/>
              <w:jc w:val="left"/>
              <w:rPr>
                <w:snapToGrid w:val="0"/>
                <w:color w:val="000000"/>
                <w:kern w:val="28"/>
                <w:sz w:val="21"/>
                <w:szCs w:val="21"/>
              </w:rPr>
            </w:pPr>
            <w:r w:rsidRPr="002C09EA">
              <w:rPr>
                <w:rFonts w:hint="eastAsia"/>
                <w:snapToGrid w:val="0"/>
                <w:color w:val="000000"/>
                <w:kern w:val="28"/>
                <w:sz w:val="21"/>
                <w:szCs w:val="21"/>
              </w:rPr>
              <w:t xml:space="preserve">4.2 </w:t>
            </w:r>
            <w:r w:rsidRPr="002C09EA">
              <w:rPr>
                <w:rFonts w:hint="eastAsia"/>
                <w:snapToGrid w:val="0"/>
                <w:color w:val="000000"/>
                <w:kern w:val="28"/>
                <w:sz w:val="21"/>
                <w:szCs w:val="21"/>
              </w:rPr>
              <w:t>矿山应贯彻创新、协调、绿色、开放、共享的发展理念，节约集约利用自然资源。遵循因矿制宜的原则，实现矿产资源开发全过程的资源利用、节能减排、环境保护、土地复垦、企业文化和企地和谐等统筹兼顾、全面发展。</w:t>
            </w:r>
          </w:p>
          <w:p w:rsidR="00EB5150" w:rsidRPr="002C09EA" w:rsidRDefault="00EB5150" w:rsidP="00EB5150">
            <w:pPr>
              <w:snapToGrid w:val="0"/>
              <w:spacing w:line="280" w:lineRule="exact"/>
              <w:jc w:val="left"/>
              <w:rPr>
                <w:snapToGrid w:val="0"/>
                <w:color w:val="000000"/>
                <w:kern w:val="28"/>
                <w:sz w:val="21"/>
                <w:szCs w:val="21"/>
              </w:rPr>
            </w:pPr>
            <w:r w:rsidRPr="002C09EA">
              <w:rPr>
                <w:rFonts w:hint="eastAsia"/>
                <w:snapToGrid w:val="0"/>
                <w:color w:val="000000"/>
                <w:kern w:val="28"/>
                <w:sz w:val="21"/>
                <w:szCs w:val="21"/>
              </w:rPr>
              <w:t xml:space="preserve">4.3 </w:t>
            </w:r>
            <w:r w:rsidRPr="002C09EA">
              <w:rPr>
                <w:rFonts w:hint="eastAsia"/>
                <w:snapToGrid w:val="0"/>
                <w:color w:val="000000"/>
                <w:kern w:val="28"/>
                <w:sz w:val="21"/>
                <w:szCs w:val="21"/>
              </w:rPr>
              <w:t>新建、改扩建矿山在技术经济评价时，应将生态环境保护治理、土地复垦等费用纳入矿山建设投资和生产成本。</w:t>
            </w:r>
          </w:p>
          <w:p w:rsidR="00EB5150" w:rsidRPr="00BC4D95" w:rsidRDefault="00EB5150" w:rsidP="00EB5150">
            <w:pPr>
              <w:snapToGrid w:val="0"/>
              <w:spacing w:line="280" w:lineRule="exact"/>
              <w:jc w:val="left"/>
              <w:rPr>
                <w:snapToGrid w:val="0"/>
                <w:color w:val="000000"/>
                <w:kern w:val="28"/>
                <w:sz w:val="21"/>
                <w:szCs w:val="21"/>
              </w:rPr>
            </w:pPr>
            <w:r w:rsidRPr="002C09EA">
              <w:rPr>
                <w:rFonts w:hint="eastAsia"/>
                <w:snapToGrid w:val="0"/>
                <w:color w:val="000000"/>
                <w:kern w:val="28"/>
                <w:sz w:val="21"/>
                <w:szCs w:val="21"/>
              </w:rPr>
              <w:t xml:space="preserve">4.4 </w:t>
            </w:r>
            <w:r w:rsidRPr="002C09EA">
              <w:rPr>
                <w:rFonts w:hint="eastAsia"/>
                <w:snapToGrid w:val="0"/>
                <w:color w:val="000000"/>
                <w:kern w:val="28"/>
                <w:sz w:val="21"/>
                <w:szCs w:val="21"/>
              </w:rPr>
              <w:t>新建、改扩建矿山应根据本标准建设，生产矿山应根据本标准进行升级改造。绿色矿山建设应贯穿设计、建设、运营、闭坑全过程。</w:t>
            </w:r>
          </w:p>
        </w:tc>
        <w:tc>
          <w:tcPr>
            <w:tcW w:w="2921" w:type="dxa"/>
            <w:vAlign w:val="center"/>
          </w:tcPr>
          <w:p w:rsidR="00EB5150" w:rsidRPr="003C403B" w:rsidRDefault="00EB5150" w:rsidP="00EB5150">
            <w:pPr>
              <w:snapToGrid w:val="0"/>
              <w:spacing w:line="280" w:lineRule="exact"/>
              <w:jc w:val="center"/>
              <w:rPr>
                <w:snapToGrid w:val="0"/>
                <w:color w:val="000000"/>
                <w:kern w:val="28"/>
                <w:sz w:val="21"/>
                <w:szCs w:val="21"/>
              </w:rPr>
            </w:pPr>
            <w:r w:rsidRPr="003C403B">
              <w:rPr>
                <w:rFonts w:hint="eastAsia"/>
                <w:snapToGrid w:val="0"/>
                <w:color w:val="000000"/>
                <w:kern w:val="28"/>
                <w:sz w:val="21"/>
                <w:szCs w:val="21"/>
              </w:rPr>
              <w:t>本项目为</w:t>
            </w:r>
            <w:r>
              <w:rPr>
                <w:rFonts w:hint="eastAsia"/>
                <w:snapToGrid w:val="0"/>
                <w:color w:val="000000"/>
                <w:kern w:val="28"/>
                <w:sz w:val="21"/>
                <w:szCs w:val="21"/>
              </w:rPr>
              <w:t>煤矿</w:t>
            </w:r>
            <w:r w:rsidRPr="003C403B">
              <w:rPr>
                <w:rFonts w:hint="eastAsia"/>
                <w:snapToGrid w:val="0"/>
                <w:color w:val="000000"/>
                <w:kern w:val="28"/>
                <w:sz w:val="21"/>
                <w:szCs w:val="21"/>
              </w:rPr>
              <w:t>开采，开采方式为地下开采。项目矿山已取得河南省国土资源厅的</w:t>
            </w:r>
            <w:r>
              <w:rPr>
                <w:rFonts w:hint="eastAsia"/>
                <w:snapToGrid w:val="0"/>
                <w:color w:val="000000"/>
                <w:kern w:val="28"/>
                <w:sz w:val="21"/>
                <w:szCs w:val="21"/>
              </w:rPr>
              <w:t>采矿证</w:t>
            </w:r>
            <w:r w:rsidRPr="003C403B">
              <w:rPr>
                <w:rFonts w:hint="eastAsia"/>
                <w:snapToGrid w:val="0"/>
                <w:color w:val="000000"/>
                <w:kern w:val="28"/>
                <w:sz w:val="21"/>
                <w:szCs w:val="21"/>
              </w:rPr>
              <w:t>；项目建设符合《产业结构调整指导目录（</w:t>
            </w:r>
            <w:r w:rsidRPr="003C403B">
              <w:rPr>
                <w:rFonts w:hint="eastAsia"/>
                <w:snapToGrid w:val="0"/>
                <w:color w:val="000000"/>
                <w:kern w:val="28"/>
                <w:sz w:val="21"/>
                <w:szCs w:val="21"/>
              </w:rPr>
              <w:t>201</w:t>
            </w:r>
            <w:r>
              <w:rPr>
                <w:rFonts w:hint="eastAsia"/>
                <w:snapToGrid w:val="0"/>
                <w:color w:val="000000"/>
                <w:kern w:val="28"/>
                <w:sz w:val="21"/>
                <w:szCs w:val="21"/>
              </w:rPr>
              <w:t>9</w:t>
            </w:r>
            <w:r w:rsidRPr="003C403B">
              <w:rPr>
                <w:rFonts w:hint="eastAsia"/>
                <w:snapToGrid w:val="0"/>
                <w:color w:val="000000"/>
                <w:kern w:val="28"/>
                <w:sz w:val="21"/>
                <w:szCs w:val="21"/>
              </w:rPr>
              <w:t xml:space="preserve"> </w:t>
            </w:r>
            <w:r w:rsidRPr="003C403B">
              <w:rPr>
                <w:rFonts w:hint="eastAsia"/>
                <w:snapToGrid w:val="0"/>
                <w:color w:val="000000"/>
                <w:kern w:val="28"/>
                <w:sz w:val="21"/>
                <w:szCs w:val="21"/>
              </w:rPr>
              <w:t>年本）》</w:t>
            </w:r>
            <w:r>
              <w:rPr>
                <w:rFonts w:hint="eastAsia"/>
                <w:snapToGrid w:val="0"/>
                <w:color w:val="000000"/>
                <w:kern w:val="28"/>
                <w:sz w:val="21"/>
                <w:szCs w:val="21"/>
              </w:rPr>
              <w:t>等相关产业政策</w:t>
            </w:r>
            <w:r w:rsidRPr="003C403B">
              <w:rPr>
                <w:rFonts w:hint="eastAsia"/>
                <w:snapToGrid w:val="0"/>
                <w:color w:val="000000"/>
                <w:kern w:val="28"/>
                <w:sz w:val="21"/>
                <w:szCs w:val="21"/>
              </w:rPr>
              <w:t>；项目开采规模和服务年限符合河南省、</w:t>
            </w:r>
            <w:r>
              <w:rPr>
                <w:rFonts w:hint="eastAsia"/>
                <w:snapToGrid w:val="0"/>
                <w:color w:val="000000"/>
                <w:kern w:val="28"/>
                <w:sz w:val="21"/>
                <w:szCs w:val="21"/>
              </w:rPr>
              <w:t>许昌</w:t>
            </w:r>
            <w:r w:rsidRPr="003C403B">
              <w:rPr>
                <w:rFonts w:hint="eastAsia"/>
                <w:snapToGrid w:val="0"/>
                <w:color w:val="000000"/>
                <w:kern w:val="28"/>
                <w:sz w:val="21"/>
                <w:szCs w:val="21"/>
              </w:rPr>
              <w:t>市及</w:t>
            </w:r>
            <w:r>
              <w:rPr>
                <w:rFonts w:hint="eastAsia"/>
                <w:snapToGrid w:val="0"/>
                <w:color w:val="000000"/>
                <w:kern w:val="28"/>
                <w:sz w:val="21"/>
                <w:szCs w:val="21"/>
              </w:rPr>
              <w:t>禹州市</w:t>
            </w:r>
            <w:r w:rsidRPr="003C403B">
              <w:rPr>
                <w:rFonts w:hint="eastAsia"/>
                <w:snapToGrid w:val="0"/>
                <w:color w:val="000000"/>
                <w:kern w:val="28"/>
                <w:sz w:val="21"/>
                <w:szCs w:val="21"/>
              </w:rPr>
              <w:t>矿产资源规划；矿山建设各项污染防治措施均符合绿色矿山建设规范要求。</w:t>
            </w:r>
          </w:p>
        </w:tc>
        <w:tc>
          <w:tcPr>
            <w:tcW w:w="706" w:type="dxa"/>
            <w:vAlign w:val="center"/>
          </w:tcPr>
          <w:p w:rsidR="00EB5150" w:rsidRPr="00BC4D95"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相符</w:t>
            </w:r>
          </w:p>
        </w:tc>
      </w:tr>
      <w:tr w:rsidR="00EB5150" w:rsidRPr="00BC4D95" w:rsidTr="00B86E96">
        <w:trPr>
          <w:cantSplit/>
          <w:jc w:val="center"/>
        </w:trPr>
        <w:tc>
          <w:tcPr>
            <w:tcW w:w="308" w:type="dxa"/>
            <w:vMerge w:val="restart"/>
            <w:vAlign w:val="center"/>
          </w:tcPr>
          <w:p w:rsidR="00EB5150"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矿区环境</w:t>
            </w:r>
          </w:p>
        </w:tc>
        <w:tc>
          <w:tcPr>
            <w:tcW w:w="454"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矿容矿貌</w:t>
            </w:r>
          </w:p>
        </w:tc>
        <w:tc>
          <w:tcPr>
            <w:tcW w:w="5194" w:type="dxa"/>
            <w:vAlign w:val="center"/>
          </w:tcPr>
          <w:p w:rsidR="00EB5150" w:rsidRPr="00BC4D95" w:rsidRDefault="00EB5150" w:rsidP="00EB5150">
            <w:pPr>
              <w:snapToGrid w:val="0"/>
              <w:spacing w:line="280" w:lineRule="exact"/>
              <w:jc w:val="center"/>
              <w:rPr>
                <w:snapToGrid w:val="0"/>
                <w:color w:val="000000"/>
                <w:kern w:val="28"/>
                <w:sz w:val="21"/>
                <w:szCs w:val="21"/>
              </w:rPr>
            </w:pPr>
            <w:r w:rsidRPr="002C09EA">
              <w:rPr>
                <w:rFonts w:hint="eastAsia"/>
                <w:snapToGrid w:val="0"/>
                <w:color w:val="000000"/>
                <w:kern w:val="28"/>
                <w:sz w:val="21"/>
                <w:szCs w:val="21"/>
              </w:rPr>
              <w:t xml:space="preserve">5.1.1 </w:t>
            </w:r>
            <w:r w:rsidRPr="002C09EA">
              <w:rPr>
                <w:rFonts w:hint="eastAsia"/>
                <w:snapToGrid w:val="0"/>
                <w:color w:val="000000"/>
                <w:kern w:val="28"/>
                <w:sz w:val="21"/>
                <w:szCs w:val="21"/>
              </w:rPr>
              <w:t>矿区范围应符合相关规划，不应涉及禁止、限制开采区，资源开采应与城乡建设、环境保护、资源保护相协调。周边安全距离应符合要求。</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本项目</w:t>
            </w:r>
            <w:r>
              <w:rPr>
                <w:rFonts w:hint="eastAsia"/>
                <w:snapToGrid w:val="0"/>
                <w:color w:val="000000"/>
                <w:kern w:val="28"/>
                <w:sz w:val="21"/>
                <w:szCs w:val="21"/>
              </w:rPr>
              <w:t>矿区范围</w:t>
            </w:r>
            <w:r w:rsidRPr="00BC4D95">
              <w:rPr>
                <w:rFonts w:hint="eastAsia"/>
                <w:snapToGrid w:val="0"/>
                <w:color w:val="000000"/>
                <w:kern w:val="28"/>
                <w:sz w:val="21"/>
                <w:szCs w:val="21"/>
              </w:rPr>
              <w:t>符合相关规划，不涉及禁止、限制开采区，且与城乡建设、环境保护、资源保护相协调。</w:t>
            </w:r>
          </w:p>
        </w:tc>
        <w:tc>
          <w:tcPr>
            <w:tcW w:w="706" w:type="dxa"/>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FF0DC6" w:rsidRDefault="00EB5150" w:rsidP="00EB5150">
            <w:pPr>
              <w:snapToGrid w:val="0"/>
              <w:spacing w:line="280" w:lineRule="exact"/>
              <w:jc w:val="center"/>
              <w:rPr>
                <w:snapToGrid w:val="0"/>
                <w:color w:val="000000"/>
                <w:w w:val="95"/>
                <w:kern w:val="28"/>
                <w:sz w:val="21"/>
                <w:szCs w:val="21"/>
              </w:rPr>
            </w:pPr>
            <w:r w:rsidRPr="002C09EA">
              <w:rPr>
                <w:rFonts w:hint="eastAsia"/>
                <w:snapToGrid w:val="0"/>
                <w:color w:val="000000"/>
                <w:kern w:val="28"/>
                <w:sz w:val="21"/>
                <w:szCs w:val="21"/>
              </w:rPr>
              <w:t xml:space="preserve">5.1.2 </w:t>
            </w:r>
            <w:r w:rsidRPr="002C09EA">
              <w:rPr>
                <w:rFonts w:hint="eastAsia"/>
                <w:snapToGrid w:val="0"/>
                <w:color w:val="000000"/>
                <w:kern w:val="28"/>
                <w:sz w:val="21"/>
                <w:szCs w:val="21"/>
              </w:rPr>
              <w:t>工业场地、选矿厂、煤矸石（废石）临时堆放区、矿区生产道路、办公区、生活区等矿山主要功能区选址、布局应符合</w:t>
            </w:r>
            <w:r w:rsidRPr="002C09EA">
              <w:rPr>
                <w:rFonts w:hint="eastAsia"/>
                <w:snapToGrid w:val="0"/>
                <w:color w:val="000000"/>
                <w:kern w:val="28"/>
                <w:sz w:val="21"/>
                <w:szCs w:val="21"/>
              </w:rPr>
              <w:t xml:space="preserve"> GB 50187 </w:t>
            </w:r>
            <w:r w:rsidRPr="002C09EA">
              <w:rPr>
                <w:rFonts w:hint="eastAsia"/>
                <w:snapToGrid w:val="0"/>
                <w:color w:val="000000"/>
                <w:kern w:val="28"/>
                <w:sz w:val="21"/>
                <w:szCs w:val="21"/>
              </w:rPr>
              <w:t>的规定。</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项目拟按照</w:t>
            </w:r>
            <w:r>
              <w:rPr>
                <w:rFonts w:hint="eastAsia"/>
                <w:snapToGrid w:val="0"/>
                <w:color w:val="000000"/>
                <w:kern w:val="28"/>
                <w:sz w:val="21"/>
                <w:szCs w:val="21"/>
              </w:rPr>
              <w:t>初步设计</w:t>
            </w:r>
            <w:r w:rsidRPr="00BC4D95">
              <w:rPr>
                <w:rFonts w:hint="eastAsia"/>
                <w:snapToGrid w:val="0"/>
                <w:color w:val="000000"/>
                <w:kern w:val="28"/>
                <w:sz w:val="21"/>
                <w:szCs w:val="21"/>
              </w:rPr>
              <w:t>等进行开采建设，选址、布局符合《工业企业平面设计规范》（</w:t>
            </w:r>
            <w:r w:rsidRPr="00BC4D95">
              <w:rPr>
                <w:snapToGrid w:val="0"/>
                <w:color w:val="000000"/>
                <w:kern w:val="28"/>
                <w:sz w:val="21"/>
                <w:szCs w:val="21"/>
              </w:rPr>
              <w:t>GB50187-2012</w:t>
            </w:r>
            <w:r w:rsidRPr="00BC4D95">
              <w:rPr>
                <w:rFonts w:hint="eastAsia"/>
                <w:snapToGrid w:val="0"/>
                <w:color w:val="000000"/>
                <w:kern w:val="28"/>
                <w:sz w:val="21"/>
                <w:szCs w:val="21"/>
              </w:rPr>
              <w:t>）的规定</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jc w:val="center"/>
              <w:rPr>
                <w:snapToGrid w:val="0"/>
                <w:color w:val="000000"/>
                <w:kern w:val="28"/>
                <w:sz w:val="21"/>
                <w:szCs w:val="21"/>
              </w:rPr>
            </w:pPr>
            <w:r w:rsidRPr="002C09EA">
              <w:rPr>
                <w:rFonts w:hint="eastAsia"/>
                <w:snapToGrid w:val="0"/>
                <w:color w:val="000000"/>
                <w:kern w:val="28"/>
                <w:sz w:val="21"/>
                <w:szCs w:val="21"/>
              </w:rPr>
              <w:t xml:space="preserve">5.1.3 </w:t>
            </w:r>
            <w:r w:rsidRPr="002C09EA">
              <w:rPr>
                <w:rFonts w:hint="eastAsia"/>
                <w:snapToGrid w:val="0"/>
                <w:color w:val="000000"/>
                <w:kern w:val="28"/>
                <w:sz w:val="21"/>
                <w:szCs w:val="21"/>
              </w:rPr>
              <w:t>生产区应整洁卫生、环境优美、管理规范。机械设备、物资材料应摆放有序、场地保持清洁。</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本项目工业场地应</w:t>
            </w:r>
            <w:r w:rsidRPr="00BC4D95">
              <w:rPr>
                <w:rFonts w:hint="eastAsia"/>
                <w:snapToGrid w:val="0"/>
                <w:color w:val="000000"/>
                <w:kern w:val="28"/>
                <w:sz w:val="21"/>
                <w:szCs w:val="21"/>
              </w:rPr>
              <w:t>整洁卫生，管理规范。矿山机械设备、物资材料摆放有序，场地保持清洁</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jc w:val="center"/>
              <w:rPr>
                <w:snapToGrid w:val="0"/>
                <w:color w:val="000000"/>
                <w:kern w:val="28"/>
                <w:sz w:val="21"/>
                <w:szCs w:val="21"/>
              </w:rPr>
            </w:pPr>
            <w:r w:rsidRPr="002C09EA">
              <w:rPr>
                <w:rFonts w:hint="eastAsia"/>
                <w:snapToGrid w:val="0"/>
                <w:color w:val="000000"/>
                <w:kern w:val="28"/>
                <w:sz w:val="21"/>
                <w:szCs w:val="21"/>
              </w:rPr>
              <w:t xml:space="preserve">5.1.4 </w:t>
            </w:r>
            <w:r w:rsidRPr="002C09EA">
              <w:rPr>
                <w:rFonts w:hint="eastAsia"/>
                <w:snapToGrid w:val="0"/>
                <w:color w:val="000000"/>
                <w:kern w:val="28"/>
                <w:sz w:val="21"/>
                <w:szCs w:val="21"/>
              </w:rPr>
              <w:t>办公区、生活区设施应齐全，布置有序，干净卫生，符合相关要求。</w:t>
            </w:r>
          </w:p>
        </w:tc>
        <w:tc>
          <w:tcPr>
            <w:tcW w:w="2921" w:type="dxa"/>
            <w:vAlign w:val="center"/>
          </w:tcPr>
          <w:p w:rsidR="00EB5150" w:rsidRPr="00BC4D95" w:rsidRDefault="00EB5150" w:rsidP="00B86E96">
            <w:pPr>
              <w:snapToGrid w:val="0"/>
              <w:spacing w:line="280" w:lineRule="exact"/>
              <w:rPr>
                <w:snapToGrid w:val="0"/>
                <w:color w:val="000000"/>
                <w:kern w:val="28"/>
                <w:sz w:val="21"/>
                <w:szCs w:val="21"/>
              </w:rPr>
            </w:pPr>
            <w:r w:rsidRPr="00BC4D95">
              <w:rPr>
                <w:rFonts w:hint="eastAsia"/>
                <w:snapToGrid w:val="0"/>
                <w:color w:val="000000"/>
                <w:kern w:val="28"/>
                <w:sz w:val="21"/>
                <w:szCs w:val="21"/>
              </w:rPr>
              <w:t>办公区、生活区设施齐全，布置有序，干净卫生，符合相关要求</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2C09EA" w:rsidRDefault="00EB5150" w:rsidP="00EB5150">
            <w:pPr>
              <w:snapToGrid w:val="0"/>
              <w:spacing w:line="280" w:lineRule="exact"/>
              <w:jc w:val="center"/>
              <w:rPr>
                <w:snapToGrid w:val="0"/>
                <w:color w:val="000000"/>
                <w:kern w:val="28"/>
                <w:sz w:val="21"/>
                <w:szCs w:val="21"/>
              </w:rPr>
            </w:pPr>
            <w:r w:rsidRPr="002C09EA">
              <w:rPr>
                <w:rFonts w:hint="eastAsia"/>
                <w:snapToGrid w:val="0"/>
                <w:color w:val="000000"/>
                <w:kern w:val="28"/>
                <w:sz w:val="21"/>
                <w:szCs w:val="21"/>
              </w:rPr>
              <w:t xml:space="preserve">5.1.5 </w:t>
            </w:r>
            <w:r w:rsidRPr="002C09EA">
              <w:rPr>
                <w:rFonts w:hint="eastAsia"/>
                <w:snapToGrid w:val="0"/>
                <w:color w:val="000000"/>
                <w:kern w:val="28"/>
                <w:sz w:val="21"/>
                <w:szCs w:val="21"/>
              </w:rPr>
              <w:t>矿山标牌、安全、环保等警示标志应齐全、规范，标牌设置应符合</w:t>
            </w:r>
            <w:r w:rsidRPr="002C09EA">
              <w:rPr>
                <w:rFonts w:hint="eastAsia"/>
                <w:snapToGrid w:val="0"/>
                <w:color w:val="000000"/>
                <w:kern w:val="28"/>
                <w:sz w:val="21"/>
                <w:szCs w:val="21"/>
              </w:rPr>
              <w:t xml:space="preserve"> GB/T 13306 </w:t>
            </w:r>
            <w:r w:rsidRPr="002C09EA">
              <w:rPr>
                <w:rFonts w:hint="eastAsia"/>
                <w:snapToGrid w:val="0"/>
                <w:color w:val="000000"/>
                <w:kern w:val="28"/>
                <w:sz w:val="21"/>
                <w:szCs w:val="21"/>
              </w:rPr>
              <w:t>的规定，安全警示标志设置应符合</w:t>
            </w:r>
            <w:r w:rsidRPr="002C09EA">
              <w:rPr>
                <w:rFonts w:hint="eastAsia"/>
                <w:snapToGrid w:val="0"/>
                <w:color w:val="000000"/>
                <w:kern w:val="28"/>
                <w:sz w:val="21"/>
                <w:szCs w:val="21"/>
              </w:rPr>
              <w:t xml:space="preserve"> GB 14161 </w:t>
            </w:r>
            <w:r w:rsidRPr="002C09EA">
              <w:rPr>
                <w:rFonts w:hint="eastAsia"/>
                <w:snapToGrid w:val="0"/>
                <w:color w:val="000000"/>
                <w:kern w:val="28"/>
                <w:sz w:val="21"/>
                <w:szCs w:val="21"/>
              </w:rPr>
              <w:t>的规定。</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矿山标牌、安全、环保等警示标志齐全、规范，符合相关规定</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2C09EA">
              <w:rPr>
                <w:rFonts w:hint="eastAsia"/>
                <w:snapToGrid w:val="0"/>
                <w:color w:val="000000"/>
                <w:kern w:val="28"/>
                <w:sz w:val="21"/>
                <w:szCs w:val="21"/>
              </w:rPr>
              <w:t xml:space="preserve">5.1.6 </w:t>
            </w:r>
            <w:r w:rsidRPr="002C09EA">
              <w:rPr>
                <w:rFonts w:hint="eastAsia"/>
                <w:snapToGrid w:val="0"/>
                <w:color w:val="000000"/>
                <w:kern w:val="28"/>
                <w:sz w:val="21"/>
                <w:szCs w:val="21"/>
              </w:rPr>
              <w:t>矿容矿貌应与周边地表、植被等自然环境相协调。</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2C09EA">
              <w:rPr>
                <w:rFonts w:hint="eastAsia"/>
                <w:snapToGrid w:val="0"/>
                <w:color w:val="000000"/>
                <w:kern w:val="28"/>
                <w:sz w:val="21"/>
                <w:szCs w:val="21"/>
              </w:rPr>
              <w:t>矿容矿貌与周边地表、植被等自然环境相协调。</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环境保护</w:t>
            </w:r>
          </w:p>
        </w:tc>
        <w:tc>
          <w:tcPr>
            <w:tcW w:w="5194" w:type="dxa"/>
            <w:vAlign w:val="center"/>
          </w:tcPr>
          <w:p w:rsidR="00EB5150" w:rsidRPr="002C09EA" w:rsidRDefault="00EB5150" w:rsidP="00EB5150">
            <w:pPr>
              <w:snapToGrid w:val="0"/>
              <w:spacing w:line="280" w:lineRule="exact"/>
              <w:rPr>
                <w:snapToGrid w:val="0"/>
                <w:color w:val="000000"/>
                <w:kern w:val="28"/>
                <w:sz w:val="21"/>
                <w:szCs w:val="21"/>
              </w:rPr>
            </w:pPr>
            <w:r w:rsidRPr="002C09EA">
              <w:rPr>
                <w:rFonts w:hint="eastAsia"/>
                <w:snapToGrid w:val="0"/>
                <w:color w:val="000000"/>
                <w:kern w:val="28"/>
                <w:sz w:val="21"/>
                <w:szCs w:val="21"/>
              </w:rPr>
              <w:t xml:space="preserve">5.2.1 </w:t>
            </w:r>
            <w:r w:rsidRPr="002C09EA">
              <w:rPr>
                <w:rFonts w:hint="eastAsia"/>
                <w:snapToGrid w:val="0"/>
                <w:color w:val="000000"/>
                <w:kern w:val="28"/>
                <w:sz w:val="21"/>
                <w:szCs w:val="21"/>
              </w:rPr>
              <w:t>矿山固体废弃物堆存与处置应符合以下规定：</w:t>
            </w:r>
          </w:p>
          <w:p w:rsidR="00EB5150" w:rsidRPr="00BC4D95" w:rsidRDefault="00EB5150" w:rsidP="00B86E96">
            <w:pPr>
              <w:snapToGrid w:val="0"/>
              <w:spacing w:line="280" w:lineRule="exact"/>
              <w:rPr>
                <w:snapToGrid w:val="0"/>
                <w:color w:val="000000"/>
                <w:kern w:val="28"/>
                <w:sz w:val="21"/>
                <w:szCs w:val="21"/>
              </w:rPr>
            </w:pPr>
            <w:r w:rsidRPr="002C09EA">
              <w:rPr>
                <w:rFonts w:hint="eastAsia"/>
                <w:snapToGrid w:val="0"/>
                <w:color w:val="000000"/>
                <w:kern w:val="28"/>
                <w:sz w:val="21"/>
                <w:szCs w:val="21"/>
              </w:rPr>
              <w:t xml:space="preserve">a) </w:t>
            </w:r>
            <w:r w:rsidRPr="002C09EA">
              <w:rPr>
                <w:rFonts w:hint="eastAsia"/>
                <w:snapToGrid w:val="0"/>
                <w:color w:val="000000"/>
                <w:kern w:val="28"/>
                <w:sz w:val="21"/>
                <w:szCs w:val="21"/>
              </w:rPr>
              <w:t>固体废弃物应有专用堆存场所，其建设、运行和管理应符合</w:t>
            </w:r>
            <w:r w:rsidRPr="002C09EA">
              <w:rPr>
                <w:rFonts w:hint="eastAsia"/>
                <w:snapToGrid w:val="0"/>
                <w:color w:val="000000"/>
                <w:kern w:val="28"/>
                <w:sz w:val="21"/>
                <w:szCs w:val="21"/>
              </w:rPr>
              <w:t xml:space="preserve"> GB 18599 </w:t>
            </w:r>
            <w:r w:rsidRPr="002C09EA">
              <w:rPr>
                <w:rFonts w:hint="eastAsia"/>
                <w:snapToGrid w:val="0"/>
                <w:color w:val="000000"/>
                <w:kern w:val="28"/>
                <w:sz w:val="21"/>
                <w:szCs w:val="21"/>
              </w:rPr>
              <w:t>的规定。</w:t>
            </w:r>
            <w:r w:rsidRPr="002C09EA">
              <w:rPr>
                <w:rFonts w:hint="eastAsia"/>
                <w:snapToGrid w:val="0"/>
                <w:color w:val="000000"/>
                <w:kern w:val="28"/>
                <w:sz w:val="21"/>
                <w:szCs w:val="21"/>
              </w:rPr>
              <w:t xml:space="preserve">b) </w:t>
            </w:r>
            <w:r w:rsidRPr="002C09EA">
              <w:rPr>
                <w:rFonts w:hint="eastAsia"/>
                <w:snapToGrid w:val="0"/>
                <w:color w:val="000000"/>
                <w:kern w:val="28"/>
                <w:sz w:val="21"/>
                <w:szCs w:val="21"/>
              </w:rPr>
              <w:t>煤矸石、废石等固体废弃物应分类处置，处置率应达到</w:t>
            </w:r>
            <w:r w:rsidRPr="002C09EA">
              <w:rPr>
                <w:rFonts w:hint="eastAsia"/>
                <w:snapToGrid w:val="0"/>
                <w:color w:val="000000"/>
                <w:kern w:val="28"/>
                <w:sz w:val="21"/>
                <w:szCs w:val="21"/>
              </w:rPr>
              <w:t xml:space="preserve"> 100%</w:t>
            </w:r>
            <w:r w:rsidRPr="002C09EA">
              <w:rPr>
                <w:rFonts w:hint="eastAsia"/>
                <w:snapToGrid w:val="0"/>
                <w:color w:val="000000"/>
                <w:kern w:val="28"/>
                <w:sz w:val="21"/>
                <w:szCs w:val="21"/>
              </w:rPr>
              <w:t>。</w:t>
            </w:r>
            <w:r w:rsidRPr="002C09EA">
              <w:rPr>
                <w:rFonts w:hint="eastAsia"/>
                <w:snapToGrid w:val="0"/>
                <w:color w:val="000000"/>
                <w:kern w:val="28"/>
                <w:sz w:val="21"/>
                <w:szCs w:val="21"/>
              </w:rPr>
              <w:t xml:space="preserve">c) </w:t>
            </w:r>
            <w:r w:rsidRPr="002C09EA">
              <w:rPr>
                <w:rFonts w:hint="eastAsia"/>
                <w:snapToGrid w:val="0"/>
                <w:color w:val="000000"/>
                <w:kern w:val="28"/>
                <w:sz w:val="21"/>
                <w:szCs w:val="21"/>
              </w:rPr>
              <w:t>矿山办公、生活垃圾排放与处置应符合环保、安全规定。</w:t>
            </w:r>
            <w:r w:rsidRPr="002C09EA">
              <w:rPr>
                <w:rFonts w:hint="eastAsia"/>
                <w:snapToGrid w:val="0"/>
                <w:color w:val="000000"/>
                <w:kern w:val="28"/>
                <w:sz w:val="21"/>
                <w:szCs w:val="21"/>
              </w:rPr>
              <w:t xml:space="preserve">d) </w:t>
            </w:r>
            <w:r w:rsidRPr="002C09EA">
              <w:rPr>
                <w:rFonts w:hint="eastAsia"/>
                <w:snapToGrid w:val="0"/>
                <w:color w:val="000000"/>
                <w:kern w:val="28"/>
                <w:sz w:val="21"/>
                <w:szCs w:val="21"/>
              </w:rPr>
              <w:t>生产过程中产生的有毒有害物质应采取有效的防治措施，排放指标控制及堆存处置应符合环保和职业健康要求。</w:t>
            </w:r>
          </w:p>
        </w:tc>
        <w:tc>
          <w:tcPr>
            <w:tcW w:w="2921" w:type="dxa"/>
            <w:vAlign w:val="center"/>
          </w:tcPr>
          <w:p w:rsidR="00EB5150" w:rsidRPr="00BC4D95" w:rsidRDefault="00EB5150" w:rsidP="00B86E96">
            <w:pPr>
              <w:snapToGrid w:val="0"/>
              <w:spacing w:line="280" w:lineRule="exact"/>
              <w:rPr>
                <w:snapToGrid w:val="0"/>
                <w:color w:val="000000"/>
                <w:kern w:val="28"/>
                <w:sz w:val="21"/>
                <w:szCs w:val="21"/>
              </w:rPr>
            </w:pPr>
            <w:r w:rsidRPr="00BC4D95">
              <w:rPr>
                <w:rFonts w:hint="eastAsia"/>
                <w:snapToGrid w:val="0"/>
                <w:color w:val="000000"/>
                <w:kern w:val="28"/>
                <w:sz w:val="21"/>
                <w:szCs w:val="21"/>
              </w:rPr>
              <w:t>项目</w:t>
            </w:r>
            <w:r>
              <w:rPr>
                <w:rFonts w:hint="eastAsia"/>
                <w:snapToGrid w:val="0"/>
                <w:color w:val="000000"/>
                <w:kern w:val="28"/>
                <w:sz w:val="21"/>
                <w:szCs w:val="21"/>
              </w:rPr>
              <w:t>矸石、生活垃圾等分类处置</w:t>
            </w:r>
            <w:r w:rsidRPr="00BC4D95">
              <w:rPr>
                <w:rFonts w:hint="eastAsia"/>
                <w:snapToGrid w:val="0"/>
                <w:color w:val="000000"/>
                <w:kern w:val="28"/>
                <w:sz w:val="21"/>
                <w:szCs w:val="21"/>
              </w:rPr>
              <w:t>，处置率达到</w:t>
            </w:r>
            <w:r w:rsidRPr="00BC4D95">
              <w:rPr>
                <w:snapToGrid w:val="0"/>
                <w:color w:val="000000"/>
                <w:kern w:val="28"/>
                <w:sz w:val="21"/>
                <w:szCs w:val="21"/>
              </w:rPr>
              <w:t>100%</w:t>
            </w:r>
            <w:r w:rsidRPr="00BC4D95">
              <w:rPr>
                <w:rFonts w:hint="eastAsia"/>
                <w:snapToGrid w:val="0"/>
                <w:color w:val="000000"/>
                <w:kern w:val="28"/>
                <w:sz w:val="21"/>
                <w:szCs w:val="21"/>
              </w:rPr>
              <w:t>，选址符合《</w:t>
            </w:r>
            <w:r w:rsidRPr="00B86E96">
              <w:rPr>
                <w:rFonts w:hint="eastAsia"/>
                <w:snapToGrid w:val="0"/>
                <w:color w:val="000000"/>
                <w:w w:val="90"/>
                <w:kern w:val="28"/>
                <w:sz w:val="21"/>
                <w:szCs w:val="21"/>
              </w:rPr>
              <w:t>一般工业固体废物贮存、</w:t>
            </w:r>
            <w:r w:rsidR="00B86E96" w:rsidRPr="00B86E96">
              <w:rPr>
                <w:rFonts w:hint="eastAsia"/>
                <w:snapToGrid w:val="0"/>
                <w:color w:val="000000"/>
                <w:w w:val="90"/>
                <w:kern w:val="28"/>
                <w:sz w:val="21"/>
                <w:szCs w:val="21"/>
              </w:rPr>
              <w:t>填埋</w:t>
            </w:r>
            <w:r w:rsidRPr="00B86E96">
              <w:rPr>
                <w:rFonts w:hint="eastAsia"/>
                <w:snapToGrid w:val="0"/>
                <w:color w:val="000000"/>
                <w:w w:val="90"/>
                <w:kern w:val="28"/>
                <w:sz w:val="21"/>
                <w:szCs w:val="21"/>
              </w:rPr>
              <w:t>污染控制标准》</w:t>
            </w:r>
            <w:r w:rsidRPr="00B86E96">
              <w:rPr>
                <w:snapToGrid w:val="0"/>
                <w:color w:val="000000"/>
                <w:w w:val="90"/>
                <w:kern w:val="28"/>
                <w:sz w:val="21"/>
                <w:szCs w:val="21"/>
              </w:rPr>
              <w:t>(GB18599-20</w:t>
            </w:r>
            <w:r w:rsidR="00B86E96" w:rsidRPr="00B86E96">
              <w:rPr>
                <w:rFonts w:hint="eastAsia"/>
                <w:snapToGrid w:val="0"/>
                <w:color w:val="000000"/>
                <w:w w:val="90"/>
                <w:kern w:val="28"/>
                <w:sz w:val="21"/>
                <w:szCs w:val="21"/>
              </w:rPr>
              <w:t>20</w:t>
            </w:r>
            <w:r w:rsidRPr="00B86E96">
              <w:rPr>
                <w:snapToGrid w:val="0"/>
                <w:color w:val="000000"/>
                <w:w w:val="90"/>
                <w:kern w:val="28"/>
                <w:sz w:val="21"/>
                <w:szCs w:val="21"/>
              </w:rPr>
              <w:t>)</w:t>
            </w:r>
            <w:r w:rsidRPr="00BC4D95">
              <w:rPr>
                <w:rFonts w:hint="eastAsia"/>
                <w:snapToGrid w:val="0"/>
                <w:color w:val="000000"/>
                <w:kern w:val="28"/>
                <w:sz w:val="21"/>
                <w:szCs w:val="21"/>
              </w:rPr>
              <w:t>要求。矿山办公、生活垃圾设垃圾桶定期收集外运，符合环保、安全的规定</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1557D7" w:rsidRDefault="00EB5150" w:rsidP="00EB5150">
            <w:pPr>
              <w:snapToGrid w:val="0"/>
              <w:spacing w:line="280" w:lineRule="exact"/>
              <w:jc w:val="left"/>
              <w:rPr>
                <w:snapToGrid w:val="0"/>
                <w:color w:val="000000"/>
                <w:kern w:val="28"/>
                <w:sz w:val="21"/>
                <w:szCs w:val="21"/>
              </w:rPr>
            </w:pPr>
            <w:r w:rsidRPr="001557D7">
              <w:rPr>
                <w:rFonts w:hint="eastAsia"/>
                <w:snapToGrid w:val="0"/>
                <w:color w:val="000000"/>
                <w:kern w:val="28"/>
                <w:sz w:val="21"/>
                <w:szCs w:val="21"/>
              </w:rPr>
              <w:t xml:space="preserve">5.2.2 </w:t>
            </w:r>
            <w:r w:rsidRPr="001557D7">
              <w:rPr>
                <w:rFonts w:hint="eastAsia"/>
                <w:snapToGrid w:val="0"/>
                <w:color w:val="000000"/>
                <w:kern w:val="28"/>
                <w:sz w:val="21"/>
                <w:szCs w:val="21"/>
              </w:rPr>
              <w:t>矿井水及污水、废水的处置与排放应符合以下要求：</w:t>
            </w:r>
          </w:p>
          <w:p w:rsidR="00EB5150" w:rsidRPr="00BC4D95" w:rsidRDefault="00EB5150" w:rsidP="00B86E96">
            <w:pPr>
              <w:snapToGrid w:val="0"/>
              <w:spacing w:line="280" w:lineRule="exact"/>
              <w:jc w:val="left"/>
              <w:rPr>
                <w:snapToGrid w:val="0"/>
                <w:color w:val="000000"/>
                <w:kern w:val="28"/>
                <w:sz w:val="21"/>
                <w:szCs w:val="21"/>
              </w:rPr>
            </w:pPr>
            <w:r w:rsidRPr="001557D7">
              <w:rPr>
                <w:rFonts w:hint="eastAsia"/>
                <w:snapToGrid w:val="0"/>
                <w:color w:val="000000"/>
                <w:kern w:val="28"/>
                <w:sz w:val="21"/>
                <w:szCs w:val="21"/>
              </w:rPr>
              <w:t xml:space="preserve">a) </w:t>
            </w:r>
            <w:r w:rsidRPr="001557D7">
              <w:rPr>
                <w:rFonts w:hint="eastAsia"/>
                <w:snapToGrid w:val="0"/>
                <w:color w:val="000000"/>
                <w:kern w:val="28"/>
                <w:sz w:val="21"/>
                <w:szCs w:val="21"/>
              </w:rPr>
              <w:t>矿区应建立生产、生活污水处理站，实现雨污分流、清污分流。污水排放应符合</w:t>
            </w:r>
            <w:r w:rsidRPr="001557D7">
              <w:rPr>
                <w:rFonts w:hint="eastAsia"/>
                <w:snapToGrid w:val="0"/>
                <w:color w:val="000000"/>
                <w:kern w:val="28"/>
                <w:sz w:val="21"/>
                <w:szCs w:val="21"/>
              </w:rPr>
              <w:t xml:space="preserve"> GB 8978 </w:t>
            </w:r>
            <w:r w:rsidRPr="001557D7">
              <w:rPr>
                <w:rFonts w:hint="eastAsia"/>
                <w:snapToGrid w:val="0"/>
                <w:color w:val="000000"/>
                <w:kern w:val="28"/>
                <w:sz w:val="21"/>
                <w:szCs w:val="21"/>
              </w:rPr>
              <w:t>的规定。</w:t>
            </w:r>
            <w:r w:rsidRPr="001557D7">
              <w:rPr>
                <w:rFonts w:hint="eastAsia"/>
                <w:snapToGrid w:val="0"/>
                <w:color w:val="000000"/>
                <w:kern w:val="28"/>
                <w:sz w:val="21"/>
                <w:szCs w:val="21"/>
              </w:rPr>
              <w:t xml:space="preserve">b) </w:t>
            </w:r>
            <w:r w:rsidRPr="001557D7">
              <w:rPr>
                <w:rFonts w:hint="eastAsia"/>
                <w:snapToGrid w:val="0"/>
                <w:color w:val="000000"/>
                <w:kern w:val="28"/>
                <w:sz w:val="21"/>
                <w:szCs w:val="21"/>
              </w:rPr>
              <w:t>矿井水、选矿废水、冲洗废水应合理处置，排放应符合</w:t>
            </w:r>
            <w:r w:rsidRPr="001557D7">
              <w:rPr>
                <w:rFonts w:hint="eastAsia"/>
                <w:snapToGrid w:val="0"/>
                <w:color w:val="000000"/>
                <w:kern w:val="28"/>
                <w:sz w:val="21"/>
                <w:szCs w:val="21"/>
              </w:rPr>
              <w:t xml:space="preserve"> GB 20426 </w:t>
            </w:r>
            <w:r w:rsidRPr="001557D7">
              <w:rPr>
                <w:rFonts w:hint="eastAsia"/>
                <w:snapToGrid w:val="0"/>
                <w:color w:val="000000"/>
                <w:kern w:val="28"/>
                <w:sz w:val="21"/>
                <w:szCs w:val="21"/>
              </w:rPr>
              <w:t>的规定。</w:t>
            </w:r>
            <w:r w:rsidRPr="001557D7">
              <w:rPr>
                <w:rFonts w:hint="eastAsia"/>
                <w:snapToGrid w:val="0"/>
                <w:color w:val="000000"/>
                <w:kern w:val="28"/>
                <w:sz w:val="21"/>
                <w:szCs w:val="21"/>
              </w:rPr>
              <w:t xml:space="preserve">c) </w:t>
            </w:r>
            <w:r w:rsidRPr="001557D7">
              <w:rPr>
                <w:rFonts w:hint="eastAsia"/>
                <w:snapToGrid w:val="0"/>
                <w:color w:val="000000"/>
                <w:kern w:val="28"/>
                <w:sz w:val="21"/>
                <w:szCs w:val="21"/>
              </w:rPr>
              <w:t>工业场地、储煤场、煤矸石临时堆放场所应建有雨水截（排）水系统，初期雨水经沉淀处理后回用或达标排放。</w:t>
            </w:r>
          </w:p>
        </w:tc>
        <w:tc>
          <w:tcPr>
            <w:tcW w:w="2921" w:type="dxa"/>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项目</w:t>
            </w:r>
            <w:r>
              <w:rPr>
                <w:rFonts w:hint="eastAsia"/>
                <w:snapToGrid w:val="0"/>
                <w:color w:val="000000"/>
                <w:kern w:val="28"/>
                <w:sz w:val="21"/>
                <w:szCs w:val="21"/>
              </w:rPr>
              <w:t>建设有矿井水、生活污水处理站，</w:t>
            </w:r>
            <w:r w:rsidRPr="00BC4D95">
              <w:rPr>
                <w:rFonts w:hint="eastAsia"/>
                <w:snapToGrid w:val="0"/>
                <w:color w:val="000000"/>
                <w:kern w:val="28"/>
                <w:sz w:val="21"/>
                <w:szCs w:val="21"/>
              </w:rPr>
              <w:t>设有</w:t>
            </w:r>
            <w:r>
              <w:rPr>
                <w:rFonts w:hint="eastAsia"/>
                <w:snapToGrid w:val="0"/>
                <w:color w:val="000000"/>
                <w:kern w:val="28"/>
                <w:sz w:val="21"/>
                <w:szCs w:val="21"/>
              </w:rPr>
              <w:t>完善的雨污分流设施，</w:t>
            </w:r>
            <w:r w:rsidRPr="00BC4D95">
              <w:rPr>
                <w:rFonts w:hint="eastAsia"/>
                <w:snapToGrid w:val="0"/>
                <w:color w:val="000000"/>
                <w:kern w:val="28"/>
                <w:sz w:val="21"/>
                <w:szCs w:val="21"/>
              </w:rPr>
              <w:t>初期雨水</w:t>
            </w:r>
            <w:r>
              <w:rPr>
                <w:rFonts w:hint="eastAsia"/>
                <w:snapToGrid w:val="0"/>
                <w:color w:val="000000"/>
                <w:kern w:val="28"/>
                <w:sz w:val="21"/>
                <w:szCs w:val="21"/>
              </w:rPr>
              <w:t>收集处置设施</w:t>
            </w:r>
            <w:r w:rsidRPr="00BC4D95">
              <w:rPr>
                <w:rFonts w:hint="eastAsia"/>
                <w:snapToGrid w:val="0"/>
                <w:color w:val="000000"/>
                <w:kern w:val="28"/>
                <w:sz w:val="21"/>
                <w:szCs w:val="21"/>
              </w:rPr>
              <w:t>，经处理后</w:t>
            </w:r>
            <w:r>
              <w:rPr>
                <w:rFonts w:hint="eastAsia"/>
                <w:snapToGrid w:val="0"/>
                <w:color w:val="000000"/>
                <w:kern w:val="28"/>
                <w:sz w:val="21"/>
                <w:szCs w:val="21"/>
              </w:rPr>
              <w:t>全部回用</w:t>
            </w:r>
            <w:r w:rsidRPr="00BC4D95">
              <w:rPr>
                <w:rFonts w:hint="eastAsia"/>
                <w:snapToGrid w:val="0"/>
                <w:color w:val="000000"/>
                <w:kern w:val="28"/>
                <w:sz w:val="21"/>
                <w:szCs w:val="21"/>
              </w:rPr>
              <w:t>，不外排</w:t>
            </w:r>
          </w:p>
        </w:tc>
        <w:tc>
          <w:tcPr>
            <w:tcW w:w="706" w:type="dxa"/>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jc w:val="center"/>
              <w:rPr>
                <w:snapToGrid w:val="0"/>
                <w:color w:val="000000"/>
                <w:kern w:val="28"/>
                <w:sz w:val="21"/>
                <w:szCs w:val="21"/>
              </w:rPr>
            </w:pPr>
            <w:r w:rsidRPr="001557D7">
              <w:rPr>
                <w:rFonts w:hint="eastAsia"/>
                <w:snapToGrid w:val="0"/>
                <w:color w:val="000000"/>
                <w:kern w:val="28"/>
                <w:sz w:val="21"/>
                <w:szCs w:val="21"/>
              </w:rPr>
              <w:t xml:space="preserve">5.2.3 </w:t>
            </w:r>
            <w:r w:rsidRPr="001557D7">
              <w:rPr>
                <w:rFonts w:hint="eastAsia"/>
                <w:snapToGrid w:val="0"/>
                <w:color w:val="000000"/>
                <w:kern w:val="28"/>
                <w:sz w:val="21"/>
                <w:szCs w:val="21"/>
              </w:rPr>
              <w:t>应采用合理有效的技术措施对高噪声设备进行降噪处理，工作场所噪声接触限值应符合</w:t>
            </w:r>
            <w:r w:rsidRPr="001557D7">
              <w:rPr>
                <w:rFonts w:hint="eastAsia"/>
                <w:snapToGrid w:val="0"/>
                <w:color w:val="000000"/>
                <w:kern w:val="28"/>
                <w:sz w:val="21"/>
                <w:szCs w:val="21"/>
              </w:rPr>
              <w:t xml:space="preserve"> GBZ 2.2</w:t>
            </w:r>
            <w:r w:rsidRPr="001557D7">
              <w:rPr>
                <w:rFonts w:hint="eastAsia"/>
                <w:snapToGrid w:val="0"/>
                <w:color w:val="000000"/>
                <w:kern w:val="28"/>
                <w:sz w:val="21"/>
                <w:szCs w:val="21"/>
              </w:rPr>
              <w:t>的规定，工业企业厂界噪声排放限值应符合</w:t>
            </w:r>
            <w:r w:rsidRPr="001557D7">
              <w:rPr>
                <w:rFonts w:hint="eastAsia"/>
                <w:snapToGrid w:val="0"/>
                <w:color w:val="000000"/>
                <w:kern w:val="28"/>
                <w:sz w:val="21"/>
                <w:szCs w:val="21"/>
              </w:rPr>
              <w:t xml:space="preserve"> GB 12348 </w:t>
            </w:r>
            <w:r w:rsidRPr="001557D7">
              <w:rPr>
                <w:rFonts w:hint="eastAsia"/>
                <w:snapToGrid w:val="0"/>
                <w:color w:val="000000"/>
                <w:kern w:val="28"/>
                <w:sz w:val="21"/>
                <w:szCs w:val="21"/>
              </w:rPr>
              <w:t>的规定，建筑施工场界噪声排放限值应符合</w:t>
            </w:r>
            <w:r w:rsidRPr="001557D7">
              <w:rPr>
                <w:rFonts w:hint="eastAsia"/>
                <w:snapToGrid w:val="0"/>
                <w:color w:val="000000"/>
                <w:kern w:val="28"/>
                <w:sz w:val="21"/>
                <w:szCs w:val="21"/>
              </w:rPr>
              <w:t xml:space="preserve"> GB12523 </w:t>
            </w:r>
            <w:r w:rsidRPr="001557D7">
              <w:rPr>
                <w:rFonts w:hint="eastAsia"/>
                <w:snapToGrid w:val="0"/>
                <w:color w:val="000000"/>
                <w:kern w:val="28"/>
                <w:sz w:val="21"/>
                <w:szCs w:val="21"/>
              </w:rPr>
              <w:t>的规定。</w:t>
            </w:r>
          </w:p>
        </w:tc>
        <w:tc>
          <w:tcPr>
            <w:tcW w:w="2921" w:type="dxa"/>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项目采取了有针对的基础减震、消声、隔声等降噪措施，根据</w:t>
            </w:r>
            <w:r>
              <w:rPr>
                <w:rFonts w:hint="eastAsia"/>
                <w:snapToGrid w:val="0"/>
                <w:color w:val="000000"/>
                <w:kern w:val="28"/>
                <w:sz w:val="21"/>
                <w:szCs w:val="21"/>
              </w:rPr>
              <w:t>监测</w:t>
            </w:r>
            <w:r w:rsidRPr="00BC4D95">
              <w:rPr>
                <w:rFonts w:hint="eastAsia"/>
                <w:snapToGrid w:val="0"/>
                <w:color w:val="000000"/>
                <w:kern w:val="28"/>
                <w:sz w:val="21"/>
                <w:szCs w:val="21"/>
              </w:rPr>
              <w:t>，施工噪声和运营期噪声均可达标排放</w:t>
            </w:r>
          </w:p>
        </w:tc>
        <w:tc>
          <w:tcPr>
            <w:tcW w:w="706" w:type="dxa"/>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1557D7" w:rsidRDefault="00EB5150" w:rsidP="00EB5150">
            <w:pPr>
              <w:snapToGrid w:val="0"/>
              <w:spacing w:line="280" w:lineRule="exact"/>
              <w:rPr>
                <w:snapToGrid w:val="0"/>
                <w:color w:val="000000"/>
                <w:kern w:val="28"/>
                <w:sz w:val="21"/>
                <w:szCs w:val="21"/>
              </w:rPr>
            </w:pPr>
            <w:r w:rsidRPr="001557D7">
              <w:rPr>
                <w:rFonts w:hint="eastAsia"/>
                <w:snapToGrid w:val="0"/>
                <w:color w:val="000000"/>
                <w:kern w:val="28"/>
                <w:sz w:val="21"/>
                <w:szCs w:val="21"/>
              </w:rPr>
              <w:t xml:space="preserve">5.2.4 </w:t>
            </w:r>
            <w:r w:rsidRPr="001557D7">
              <w:rPr>
                <w:rFonts w:hint="eastAsia"/>
                <w:snapToGrid w:val="0"/>
                <w:color w:val="000000"/>
                <w:kern w:val="28"/>
                <w:sz w:val="21"/>
                <w:szCs w:val="21"/>
              </w:rPr>
              <w:t>矿山粉尘和废气控制应符合以下要求：</w:t>
            </w:r>
          </w:p>
          <w:p w:rsidR="00EB5150" w:rsidRPr="00BC4D95" w:rsidRDefault="00EB5150" w:rsidP="00B86E96">
            <w:pPr>
              <w:snapToGrid w:val="0"/>
              <w:spacing w:line="280" w:lineRule="exact"/>
              <w:rPr>
                <w:snapToGrid w:val="0"/>
                <w:color w:val="000000"/>
                <w:kern w:val="28"/>
                <w:sz w:val="21"/>
                <w:szCs w:val="21"/>
              </w:rPr>
            </w:pPr>
            <w:r w:rsidRPr="001557D7">
              <w:rPr>
                <w:rFonts w:hint="eastAsia"/>
                <w:snapToGrid w:val="0"/>
                <w:color w:val="000000"/>
                <w:kern w:val="28"/>
                <w:sz w:val="21"/>
                <w:szCs w:val="21"/>
              </w:rPr>
              <w:t xml:space="preserve">a) </w:t>
            </w:r>
            <w:r w:rsidRPr="001557D7">
              <w:rPr>
                <w:rFonts w:hint="eastAsia"/>
                <w:snapToGrid w:val="0"/>
                <w:color w:val="000000"/>
                <w:kern w:val="28"/>
                <w:sz w:val="21"/>
                <w:szCs w:val="21"/>
              </w:rPr>
              <w:t>井下作业场所应采取有效的粉尘防治措施和处理设施，降低粉尘、废气排放量，粉尘和污染物浓度指标控制应符合</w:t>
            </w:r>
            <w:r w:rsidRPr="001557D7">
              <w:rPr>
                <w:rFonts w:hint="eastAsia"/>
                <w:snapToGrid w:val="0"/>
                <w:color w:val="000000"/>
                <w:kern w:val="28"/>
                <w:sz w:val="21"/>
                <w:szCs w:val="21"/>
              </w:rPr>
              <w:t xml:space="preserve"> GBZ 2.1 </w:t>
            </w:r>
            <w:r w:rsidRPr="001557D7">
              <w:rPr>
                <w:rFonts w:hint="eastAsia"/>
                <w:snapToGrid w:val="0"/>
                <w:color w:val="000000"/>
                <w:kern w:val="28"/>
                <w:sz w:val="21"/>
                <w:szCs w:val="21"/>
              </w:rPr>
              <w:t>的规定。</w:t>
            </w:r>
            <w:r w:rsidRPr="001557D7">
              <w:rPr>
                <w:rFonts w:hint="eastAsia"/>
                <w:snapToGrid w:val="0"/>
                <w:color w:val="000000"/>
                <w:kern w:val="28"/>
                <w:sz w:val="21"/>
                <w:szCs w:val="21"/>
              </w:rPr>
              <w:t xml:space="preserve">b) </w:t>
            </w:r>
            <w:r w:rsidRPr="001557D7">
              <w:rPr>
                <w:rFonts w:hint="eastAsia"/>
                <w:snapToGrid w:val="0"/>
                <w:color w:val="000000"/>
                <w:kern w:val="28"/>
                <w:sz w:val="21"/>
                <w:szCs w:val="21"/>
              </w:rPr>
              <w:t>地面运输系统、运输设备、煤炭贮存场所、煤矸石临时堆放场所应采取有效的粉尘防治措施。地面生产系统大气污染物排放限值应符合</w:t>
            </w:r>
            <w:r w:rsidRPr="001557D7">
              <w:rPr>
                <w:rFonts w:hint="eastAsia"/>
                <w:snapToGrid w:val="0"/>
                <w:color w:val="000000"/>
                <w:kern w:val="28"/>
                <w:sz w:val="21"/>
                <w:szCs w:val="21"/>
              </w:rPr>
              <w:t xml:space="preserve"> GB 20426 </w:t>
            </w:r>
            <w:r w:rsidRPr="001557D7">
              <w:rPr>
                <w:rFonts w:hint="eastAsia"/>
                <w:snapToGrid w:val="0"/>
                <w:color w:val="000000"/>
                <w:kern w:val="28"/>
                <w:sz w:val="21"/>
                <w:szCs w:val="21"/>
              </w:rPr>
              <w:t>的要求，周边环境空气质量应符合</w:t>
            </w:r>
            <w:r w:rsidRPr="001557D7">
              <w:rPr>
                <w:rFonts w:hint="eastAsia"/>
                <w:snapToGrid w:val="0"/>
                <w:color w:val="000000"/>
                <w:kern w:val="28"/>
                <w:sz w:val="21"/>
                <w:szCs w:val="21"/>
              </w:rPr>
              <w:t xml:space="preserve"> GB 3095</w:t>
            </w:r>
            <w:r w:rsidRPr="001557D7">
              <w:rPr>
                <w:rFonts w:hint="eastAsia"/>
                <w:snapToGrid w:val="0"/>
                <w:color w:val="000000"/>
                <w:kern w:val="28"/>
                <w:sz w:val="21"/>
                <w:szCs w:val="21"/>
              </w:rPr>
              <w:t>的规定。对环保有特别要求的区域、时段，粉尘排放应达到其要求的标准。</w:t>
            </w:r>
            <w:r w:rsidRPr="001557D7">
              <w:rPr>
                <w:rFonts w:hint="eastAsia"/>
                <w:snapToGrid w:val="0"/>
                <w:color w:val="000000"/>
                <w:kern w:val="28"/>
                <w:sz w:val="21"/>
                <w:szCs w:val="21"/>
              </w:rPr>
              <w:t xml:space="preserve">c) </w:t>
            </w:r>
            <w:r w:rsidRPr="001557D7">
              <w:rPr>
                <w:rFonts w:hint="eastAsia"/>
                <w:snapToGrid w:val="0"/>
                <w:color w:val="000000"/>
                <w:kern w:val="28"/>
                <w:sz w:val="21"/>
                <w:szCs w:val="21"/>
              </w:rPr>
              <w:t>煤层气（煤矿瓦斯）排放限值应符合</w:t>
            </w:r>
            <w:r w:rsidRPr="001557D7">
              <w:rPr>
                <w:rFonts w:hint="eastAsia"/>
                <w:snapToGrid w:val="0"/>
                <w:color w:val="000000"/>
                <w:kern w:val="28"/>
                <w:sz w:val="21"/>
                <w:szCs w:val="21"/>
              </w:rPr>
              <w:t xml:space="preserve"> GB 21522 </w:t>
            </w:r>
            <w:r w:rsidRPr="001557D7">
              <w:rPr>
                <w:rFonts w:hint="eastAsia"/>
                <w:snapToGrid w:val="0"/>
                <w:color w:val="000000"/>
                <w:kern w:val="28"/>
                <w:sz w:val="21"/>
                <w:szCs w:val="21"/>
              </w:rPr>
              <w:t>的规定。</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矿山开采采取了有效的粉尘防治措施，</w:t>
            </w:r>
            <w:r w:rsidRPr="00BC4D95">
              <w:rPr>
                <w:snapToGrid w:val="0"/>
                <w:color w:val="000000"/>
                <w:kern w:val="28"/>
                <w:sz w:val="21"/>
                <w:szCs w:val="21"/>
              </w:rPr>
              <w:t>工作场所粉尘浓度符合</w:t>
            </w:r>
            <w:r w:rsidRPr="00BC4D95">
              <w:rPr>
                <w:snapToGrid w:val="0"/>
                <w:color w:val="000000"/>
                <w:kern w:val="28"/>
                <w:sz w:val="21"/>
                <w:szCs w:val="21"/>
              </w:rPr>
              <w:t xml:space="preserve">GBZ 2.1 </w:t>
            </w:r>
            <w:r w:rsidRPr="00BC4D95">
              <w:rPr>
                <w:snapToGrid w:val="0"/>
                <w:color w:val="000000"/>
                <w:kern w:val="28"/>
                <w:sz w:val="21"/>
                <w:szCs w:val="21"/>
              </w:rPr>
              <w:t>规定的粉尘容许浓度要求</w:t>
            </w:r>
            <w:r w:rsidRPr="00BC4D95">
              <w:rPr>
                <w:rFonts w:hint="eastAsia"/>
                <w:snapToGrid w:val="0"/>
                <w:color w:val="000000"/>
                <w:kern w:val="28"/>
                <w:sz w:val="21"/>
                <w:szCs w:val="21"/>
              </w:rPr>
              <w:t>；</w:t>
            </w:r>
            <w:r w:rsidRPr="00BC4D95">
              <w:rPr>
                <w:snapToGrid w:val="0"/>
                <w:color w:val="000000"/>
                <w:kern w:val="28"/>
                <w:sz w:val="21"/>
                <w:szCs w:val="21"/>
              </w:rPr>
              <w:t>根据预测结果，项目粉尘对周边环境空气影响较小，仍可满足</w:t>
            </w:r>
            <w:r w:rsidRPr="00BC4D95">
              <w:rPr>
                <w:snapToGrid w:val="0"/>
                <w:color w:val="000000"/>
                <w:kern w:val="28"/>
                <w:sz w:val="21"/>
                <w:szCs w:val="21"/>
              </w:rPr>
              <w:t>GB3095-2012</w:t>
            </w:r>
            <w:r w:rsidRPr="00BC4D95">
              <w:rPr>
                <w:snapToGrid w:val="0"/>
                <w:color w:val="000000"/>
                <w:kern w:val="28"/>
                <w:sz w:val="21"/>
                <w:szCs w:val="21"/>
              </w:rPr>
              <w:t>的要求。</w:t>
            </w:r>
          </w:p>
          <w:p w:rsidR="00EB5150" w:rsidRPr="00BC4D95" w:rsidRDefault="00EB5150" w:rsidP="00EB5150">
            <w:pPr>
              <w:snapToGrid w:val="0"/>
              <w:spacing w:line="280" w:lineRule="exact"/>
              <w:jc w:val="center"/>
              <w:rPr>
                <w:snapToGrid w:val="0"/>
                <w:color w:val="000000"/>
                <w:kern w:val="28"/>
                <w:sz w:val="21"/>
                <w:szCs w:val="21"/>
              </w:rPr>
            </w:pPr>
            <w:r w:rsidRPr="00BC4D95">
              <w:rPr>
                <w:snapToGrid w:val="0"/>
                <w:color w:val="000000"/>
                <w:kern w:val="28"/>
                <w:sz w:val="21"/>
                <w:szCs w:val="21"/>
              </w:rPr>
              <w:t>生产、运输过程中污染物排放指标控制符合</w:t>
            </w:r>
            <w:r w:rsidRPr="00BC4D95">
              <w:rPr>
                <w:snapToGrid w:val="0"/>
                <w:color w:val="000000"/>
                <w:kern w:val="28"/>
                <w:sz w:val="21"/>
                <w:szCs w:val="21"/>
              </w:rPr>
              <w:t>GB</w:t>
            </w:r>
            <w:r w:rsidRPr="00BC4D95">
              <w:rPr>
                <w:rFonts w:hint="eastAsia"/>
                <w:snapToGrid w:val="0"/>
                <w:color w:val="000000"/>
                <w:kern w:val="28"/>
                <w:sz w:val="21"/>
                <w:szCs w:val="21"/>
              </w:rPr>
              <w:t>25465-2010</w:t>
            </w:r>
            <w:r w:rsidRPr="00BC4D95">
              <w:rPr>
                <w:rFonts w:hint="eastAsia"/>
                <w:snapToGrid w:val="0"/>
                <w:color w:val="000000"/>
                <w:kern w:val="28"/>
                <w:sz w:val="21"/>
                <w:szCs w:val="21"/>
              </w:rPr>
              <w:t>及修改单</w:t>
            </w:r>
            <w:r w:rsidRPr="00BC4D95">
              <w:rPr>
                <w:snapToGrid w:val="0"/>
                <w:color w:val="000000"/>
                <w:kern w:val="28"/>
                <w:sz w:val="21"/>
                <w:szCs w:val="21"/>
              </w:rPr>
              <w:t>的规定</w:t>
            </w:r>
            <w:r w:rsidRPr="00BC4D95">
              <w:rPr>
                <w:rFonts w:hint="eastAsia"/>
                <w:snapToGrid w:val="0"/>
                <w:color w:val="000000"/>
                <w:kern w:val="28"/>
                <w:sz w:val="21"/>
                <w:szCs w:val="21"/>
              </w:rPr>
              <w:t>。</w:t>
            </w:r>
          </w:p>
        </w:tc>
        <w:tc>
          <w:tcPr>
            <w:tcW w:w="706" w:type="dxa"/>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B86E96">
            <w:pPr>
              <w:snapToGrid w:val="0"/>
              <w:spacing w:line="280" w:lineRule="exact"/>
              <w:rPr>
                <w:snapToGrid w:val="0"/>
                <w:color w:val="000000"/>
                <w:kern w:val="28"/>
                <w:sz w:val="21"/>
                <w:szCs w:val="21"/>
              </w:rPr>
            </w:pPr>
            <w:r w:rsidRPr="001557D7">
              <w:rPr>
                <w:rFonts w:hint="eastAsia"/>
                <w:snapToGrid w:val="0"/>
                <w:color w:val="000000"/>
                <w:kern w:val="28"/>
                <w:sz w:val="21"/>
                <w:szCs w:val="21"/>
              </w:rPr>
              <w:t xml:space="preserve">5.2.5 </w:t>
            </w:r>
            <w:r w:rsidRPr="001557D7">
              <w:rPr>
                <w:rFonts w:hint="eastAsia"/>
                <w:snapToGrid w:val="0"/>
                <w:color w:val="000000"/>
                <w:kern w:val="28"/>
                <w:sz w:val="21"/>
                <w:szCs w:val="21"/>
              </w:rPr>
              <w:t>应建立环境监测系统，对生产废水、噪声、粉尘等污染源和污染物实行动态监测，并制定突发环境事件处置应急预案。</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制定有环境监测方案，</w:t>
            </w:r>
            <w:r w:rsidRPr="00BC4D95">
              <w:rPr>
                <w:rFonts w:hint="eastAsia"/>
                <w:snapToGrid w:val="0"/>
                <w:color w:val="000000"/>
                <w:kern w:val="28"/>
                <w:sz w:val="21"/>
                <w:szCs w:val="21"/>
              </w:rPr>
              <w:t>委托第三方资质单位进行</w:t>
            </w:r>
            <w:r>
              <w:rPr>
                <w:rFonts w:hint="eastAsia"/>
                <w:snapToGrid w:val="0"/>
                <w:color w:val="000000"/>
                <w:kern w:val="28"/>
                <w:sz w:val="21"/>
                <w:szCs w:val="21"/>
              </w:rPr>
              <w:t>动态</w:t>
            </w:r>
            <w:r w:rsidRPr="00BC4D95">
              <w:rPr>
                <w:rFonts w:hint="eastAsia"/>
                <w:snapToGrid w:val="0"/>
                <w:color w:val="000000"/>
                <w:kern w:val="28"/>
                <w:sz w:val="21"/>
                <w:szCs w:val="21"/>
              </w:rPr>
              <w:t>监测，并制定突发环境事件处置应急预案</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矿区绿化</w:t>
            </w: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667051">
              <w:rPr>
                <w:rFonts w:hint="eastAsia"/>
                <w:snapToGrid w:val="0"/>
                <w:color w:val="000000"/>
                <w:kern w:val="28"/>
                <w:sz w:val="21"/>
                <w:szCs w:val="21"/>
              </w:rPr>
              <w:t xml:space="preserve">5.3.1 </w:t>
            </w:r>
            <w:r w:rsidRPr="00667051">
              <w:rPr>
                <w:rFonts w:hint="eastAsia"/>
                <w:snapToGrid w:val="0"/>
                <w:color w:val="000000"/>
                <w:kern w:val="28"/>
                <w:sz w:val="21"/>
                <w:szCs w:val="21"/>
              </w:rPr>
              <w:t>因地制宜绿化、美化矿区环境，矿区绿化覆盖率应达到</w:t>
            </w:r>
            <w:r w:rsidRPr="00667051">
              <w:rPr>
                <w:rFonts w:hint="eastAsia"/>
                <w:snapToGrid w:val="0"/>
                <w:color w:val="000000"/>
                <w:kern w:val="28"/>
                <w:sz w:val="21"/>
                <w:szCs w:val="21"/>
              </w:rPr>
              <w:t xml:space="preserve"> 100%</w:t>
            </w:r>
            <w:r w:rsidRPr="00667051">
              <w:rPr>
                <w:rFonts w:hint="eastAsia"/>
                <w:snapToGrid w:val="0"/>
                <w:color w:val="000000"/>
                <w:kern w:val="28"/>
                <w:sz w:val="21"/>
                <w:szCs w:val="21"/>
              </w:rPr>
              <w:t>。</w:t>
            </w:r>
          </w:p>
        </w:tc>
        <w:tc>
          <w:tcPr>
            <w:tcW w:w="2921" w:type="dxa"/>
            <w:vMerge w:val="restart"/>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因地制宜绿化、美化矿区环境，绿化注重与周边环境协调，绿化树种及植物搭配合理，可绿化区域绿化覆盖率达到</w:t>
            </w:r>
            <w:r w:rsidRPr="00BC4D95">
              <w:rPr>
                <w:snapToGrid w:val="0"/>
                <w:color w:val="000000"/>
                <w:kern w:val="28"/>
                <w:sz w:val="21"/>
                <w:szCs w:val="21"/>
              </w:rPr>
              <w:t>100%</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667051">
              <w:rPr>
                <w:rFonts w:hint="eastAsia"/>
                <w:snapToGrid w:val="0"/>
                <w:color w:val="000000"/>
                <w:kern w:val="28"/>
                <w:sz w:val="21"/>
                <w:szCs w:val="21"/>
              </w:rPr>
              <w:t xml:space="preserve">5.3.2 </w:t>
            </w:r>
            <w:r w:rsidRPr="00667051">
              <w:rPr>
                <w:rFonts w:hint="eastAsia"/>
                <w:snapToGrid w:val="0"/>
                <w:color w:val="000000"/>
                <w:kern w:val="28"/>
                <w:sz w:val="21"/>
                <w:szCs w:val="21"/>
              </w:rPr>
              <w:t>绿化树种及植物搭配合理，长势良好。</w:t>
            </w:r>
          </w:p>
        </w:tc>
        <w:tc>
          <w:tcPr>
            <w:tcW w:w="2921"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资源开发利用</w:t>
            </w:r>
          </w:p>
        </w:tc>
        <w:tc>
          <w:tcPr>
            <w:tcW w:w="454"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开采方式与方法</w:t>
            </w: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667051">
              <w:rPr>
                <w:rFonts w:hint="eastAsia"/>
                <w:snapToGrid w:val="0"/>
                <w:color w:val="000000"/>
                <w:kern w:val="28"/>
                <w:sz w:val="21"/>
                <w:szCs w:val="21"/>
              </w:rPr>
              <w:t xml:space="preserve">6.1.1 </w:t>
            </w:r>
            <w:r w:rsidRPr="00667051">
              <w:rPr>
                <w:rFonts w:hint="eastAsia"/>
                <w:snapToGrid w:val="0"/>
                <w:color w:val="000000"/>
                <w:kern w:val="28"/>
                <w:sz w:val="21"/>
                <w:szCs w:val="21"/>
              </w:rPr>
              <w:t>新建、改扩建矿山设计应符合</w:t>
            </w:r>
            <w:r w:rsidRPr="00667051">
              <w:rPr>
                <w:rFonts w:hint="eastAsia"/>
                <w:snapToGrid w:val="0"/>
                <w:color w:val="000000"/>
                <w:kern w:val="28"/>
                <w:sz w:val="21"/>
                <w:szCs w:val="21"/>
              </w:rPr>
              <w:t xml:space="preserve"> GB 50197 </w:t>
            </w:r>
            <w:r w:rsidRPr="00667051">
              <w:rPr>
                <w:rFonts w:hint="eastAsia"/>
                <w:snapToGrid w:val="0"/>
                <w:color w:val="000000"/>
                <w:kern w:val="28"/>
                <w:sz w:val="21"/>
                <w:szCs w:val="21"/>
              </w:rPr>
              <w:t>和</w:t>
            </w:r>
            <w:r w:rsidRPr="00667051">
              <w:rPr>
                <w:rFonts w:hint="eastAsia"/>
                <w:snapToGrid w:val="0"/>
                <w:color w:val="000000"/>
                <w:kern w:val="28"/>
                <w:sz w:val="21"/>
                <w:szCs w:val="21"/>
              </w:rPr>
              <w:t xml:space="preserve"> GB 50215 </w:t>
            </w:r>
            <w:r w:rsidRPr="00667051">
              <w:rPr>
                <w:rFonts w:hint="eastAsia"/>
                <w:snapToGrid w:val="0"/>
                <w:color w:val="000000"/>
                <w:kern w:val="28"/>
                <w:sz w:val="21"/>
                <w:szCs w:val="21"/>
              </w:rPr>
              <w:t>的规定。</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初步设计符合相关设计规范的要求，</w:t>
            </w:r>
            <w:r w:rsidRPr="00BC4D95">
              <w:rPr>
                <w:rFonts w:hint="eastAsia"/>
                <w:snapToGrid w:val="0"/>
                <w:color w:val="000000"/>
                <w:kern w:val="28"/>
                <w:sz w:val="21"/>
                <w:szCs w:val="21"/>
              </w:rPr>
              <w:t>后续开采中将严格按照</w:t>
            </w:r>
            <w:r>
              <w:rPr>
                <w:rFonts w:hint="eastAsia"/>
                <w:snapToGrid w:val="0"/>
                <w:color w:val="000000"/>
                <w:kern w:val="28"/>
                <w:sz w:val="21"/>
                <w:szCs w:val="21"/>
              </w:rPr>
              <w:t>设计</w:t>
            </w:r>
            <w:r w:rsidRPr="00BC4D95">
              <w:rPr>
                <w:rFonts w:hint="eastAsia"/>
                <w:snapToGrid w:val="0"/>
                <w:color w:val="000000"/>
                <w:kern w:val="28"/>
                <w:sz w:val="21"/>
                <w:szCs w:val="21"/>
              </w:rPr>
              <w:t>进行建设</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667051">
              <w:rPr>
                <w:rFonts w:hint="eastAsia"/>
                <w:snapToGrid w:val="0"/>
                <w:color w:val="000000"/>
                <w:kern w:val="28"/>
                <w:sz w:val="21"/>
                <w:szCs w:val="21"/>
              </w:rPr>
              <w:t xml:space="preserve">6.1.2 </w:t>
            </w:r>
            <w:r w:rsidRPr="00667051">
              <w:rPr>
                <w:rFonts w:hint="eastAsia"/>
                <w:snapToGrid w:val="0"/>
                <w:color w:val="000000"/>
                <w:kern w:val="28"/>
                <w:sz w:val="21"/>
                <w:szCs w:val="21"/>
              </w:rPr>
              <w:t>矿山建设和开采活动应最大限度地减少对自然环境的扰动和破坏，兼顾矿山闭坑时生态环境恢复和土地复垦利用，选择资源节约型、环境友好型开发方式。</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矿山建设和开采应按设计和开发利用方案实施，最大限度地减少对自然环境的扰动和破坏</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667051">
              <w:rPr>
                <w:rFonts w:hint="eastAsia"/>
                <w:snapToGrid w:val="0"/>
                <w:color w:val="000000"/>
                <w:kern w:val="28"/>
                <w:sz w:val="21"/>
                <w:szCs w:val="21"/>
              </w:rPr>
              <w:t xml:space="preserve">6.1.3 </w:t>
            </w:r>
            <w:r w:rsidRPr="00667051">
              <w:rPr>
                <w:rFonts w:hint="eastAsia"/>
                <w:snapToGrid w:val="0"/>
                <w:color w:val="000000"/>
                <w:kern w:val="28"/>
                <w:sz w:val="21"/>
                <w:szCs w:val="21"/>
              </w:rPr>
              <w:t>采矿方法应先进合理，开采回采率应不低于开采设计和附录</w:t>
            </w:r>
            <w:r w:rsidRPr="00667051">
              <w:rPr>
                <w:rFonts w:hint="eastAsia"/>
                <w:snapToGrid w:val="0"/>
                <w:color w:val="000000"/>
                <w:kern w:val="28"/>
                <w:sz w:val="21"/>
                <w:szCs w:val="21"/>
              </w:rPr>
              <w:t xml:space="preserve"> A </w:t>
            </w:r>
            <w:r w:rsidRPr="00667051">
              <w:rPr>
                <w:rFonts w:hint="eastAsia"/>
                <w:snapToGrid w:val="0"/>
                <w:color w:val="000000"/>
                <w:kern w:val="28"/>
                <w:sz w:val="21"/>
                <w:szCs w:val="21"/>
              </w:rPr>
              <w:t>表</w:t>
            </w:r>
            <w:r w:rsidRPr="00667051">
              <w:rPr>
                <w:rFonts w:hint="eastAsia"/>
                <w:snapToGrid w:val="0"/>
                <w:color w:val="000000"/>
                <w:kern w:val="28"/>
                <w:sz w:val="21"/>
                <w:szCs w:val="21"/>
              </w:rPr>
              <w:t xml:space="preserve"> A.1</w:t>
            </w:r>
            <w:r w:rsidRPr="00667051">
              <w:rPr>
                <w:rFonts w:hint="eastAsia"/>
                <w:snapToGrid w:val="0"/>
                <w:color w:val="000000"/>
                <w:kern w:val="28"/>
                <w:sz w:val="21"/>
                <w:szCs w:val="21"/>
              </w:rPr>
              <w:t>、表</w:t>
            </w:r>
            <w:r w:rsidRPr="00667051">
              <w:rPr>
                <w:rFonts w:hint="eastAsia"/>
                <w:snapToGrid w:val="0"/>
                <w:color w:val="000000"/>
                <w:kern w:val="28"/>
                <w:sz w:val="21"/>
                <w:szCs w:val="21"/>
              </w:rPr>
              <w:t xml:space="preserve"> A.2 </w:t>
            </w:r>
            <w:r w:rsidRPr="00667051">
              <w:rPr>
                <w:rFonts w:hint="eastAsia"/>
                <w:snapToGrid w:val="0"/>
                <w:color w:val="000000"/>
                <w:kern w:val="28"/>
                <w:sz w:val="21"/>
                <w:szCs w:val="21"/>
              </w:rPr>
              <w:t>指标要求。特殊和稀缺煤种开采回采率应符合</w:t>
            </w:r>
            <w:r w:rsidRPr="00667051">
              <w:rPr>
                <w:rFonts w:hint="eastAsia"/>
                <w:snapToGrid w:val="0"/>
                <w:color w:val="000000"/>
                <w:kern w:val="28"/>
                <w:sz w:val="21"/>
                <w:szCs w:val="21"/>
              </w:rPr>
              <w:t xml:space="preserve"> GB 21522 </w:t>
            </w:r>
            <w:r w:rsidRPr="00667051">
              <w:rPr>
                <w:rFonts w:hint="eastAsia"/>
                <w:snapToGrid w:val="0"/>
                <w:color w:val="000000"/>
                <w:kern w:val="28"/>
                <w:sz w:val="21"/>
                <w:szCs w:val="21"/>
              </w:rPr>
              <w:t>的要求。</w:t>
            </w:r>
          </w:p>
        </w:tc>
        <w:tc>
          <w:tcPr>
            <w:tcW w:w="2921" w:type="dxa"/>
            <w:vMerge w:val="restart"/>
            <w:vAlign w:val="center"/>
          </w:tcPr>
          <w:p w:rsidR="00EB5150" w:rsidRPr="00BC4D95" w:rsidRDefault="00EB5150" w:rsidP="00EB5150">
            <w:pPr>
              <w:widowControl/>
              <w:spacing w:line="280" w:lineRule="exact"/>
              <w:jc w:val="left"/>
              <w:rPr>
                <w:snapToGrid w:val="0"/>
                <w:color w:val="000000"/>
                <w:kern w:val="28"/>
                <w:sz w:val="21"/>
                <w:szCs w:val="21"/>
              </w:rPr>
            </w:pPr>
            <w:r>
              <w:rPr>
                <w:rFonts w:hint="eastAsia"/>
                <w:snapToGrid w:val="0"/>
                <w:color w:val="000000"/>
                <w:kern w:val="28"/>
                <w:sz w:val="21"/>
                <w:szCs w:val="21"/>
              </w:rPr>
              <w:t>采矿方法先进合理，设计开采回采率符合指标要求；回采工艺先进</w:t>
            </w:r>
            <w:r w:rsidRPr="00BC4D95">
              <w:rPr>
                <w:rFonts w:hint="eastAsia"/>
                <w:snapToGrid w:val="0"/>
                <w:color w:val="000000"/>
                <w:kern w:val="28"/>
                <w:sz w:val="21"/>
                <w:szCs w:val="21"/>
              </w:rPr>
              <w:t>，不使用国家规定的限制类和淘汰类技术、材料、装备，</w:t>
            </w:r>
            <w:r>
              <w:rPr>
                <w:rFonts w:hint="eastAsia"/>
                <w:snapToGrid w:val="0"/>
                <w:color w:val="000000"/>
                <w:kern w:val="28"/>
                <w:sz w:val="21"/>
                <w:szCs w:val="21"/>
              </w:rPr>
              <w:t>符合要求。</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w w:val="98"/>
                <w:kern w:val="28"/>
                <w:sz w:val="21"/>
                <w:szCs w:val="21"/>
              </w:rPr>
            </w:pPr>
            <w:r w:rsidRPr="00667051">
              <w:rPr>
                <w:rFonts w:hint="eastAsia"/>
                <w:snapToGrid w:val="0"/>
                <w:color w:val="000000"/>
                <w:kern w:val="28"/>
                <w:sz w:val="21"/>
                <w:szCs w:val="21"/>
              </w:rPr>
              <w:t xml:space="preserve">6.1.4 </w:t>
            </w:r>
            <w:r w:rsidRPr="00667051">
              <w:rPr>
                <w:rFonts w:hint="eastAsia"/>
                <w:snapToGrid w:val="0"/>
                <w:color w:val="000000"/>
                <w:kern w:val="28"/>
                <w:sz w:val="21"/>
                <w:szCs w:val="21"/>
              </w:rPr>
              <w:t>回采工艺应先进，不应使用国家规定的限制类和淘汰类技术、材料、装备。</w:t>
            </w:r>
          </w:p>
        </w:tc>
        <w:tc>
          <w:tcPr>
            <w:tcW w:w="2921" w:type="dxa"/>
            <w:vMerge/>
            <w:vAlign w:val="center"/>
          </w:tcPr>
          <w:p w:rsidR="00EB5150" w:rsidRPr="00BC4D95" w:rsidRDefault="00EB5150" w:rsidP="00EB5150">
            <w:pPr>
              <w:snapToGrid w:val="0"/>
              <w:spacing w:line="280" w:lineRule="exact"/>
              <w:rPr>
                <w:snapToGrid w:val="0"/>
                <w:color w:val="000000"/>
                <w:kern w:val="28"/>
                <w:sz w:val="21"/>
                <w:szCs w:val="21"/>
              </w:rPr>
            </w:pP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86E96" w:rsidRDefault="00EB5150" w:rsidP="00EB5150">
            <w:pPr>
              <w:snapToGrid w:val="0"/>
              <w:spacing w:line="280" w:lineRule="exact"/>
              <w:rPr>
                <w:snapToGrid w:val="0"/>
                <w:color w:val="000000"/>
                <w:w w:val="90"/>
                <w:kern w:val="28"/>
                <w:sz w:val="21"/>
                <w:szCs w:val="21"/>
              </w:rPr>
            </w:pPr>
            <w:r w:rsidRPr="00B86E96">
              <w:rPr>
                <w:rFonts w:hint="eastAsia"/>
                <w:snapToGrid w:val="0"/>
                <w:color w:val="000000"/>
                <w:w w:val="90"/>
                <w:kern w:val="28"/>
                <w:sz w:val="21"/>
                <w:szCs w:val="21"/>
              </w:rPr>
              <w:t xml:space="preserve">6.1.5 </w:t>
            </w:r>
            <w:r w:rsidRPr="00B86E96">
              <w:rPr>
                <w:rFonts w:hint="eastAsia"/>
                <w:snapToGrid w:val="0"/>
                <w:color w:val="000000"/>
                <w:w w:val="90"/>
                <w:kern w:val="28"/>
                <w:sz w:val="21"/>
                <w:szCs w:val="21"/>
              </w:rPr>
              <w:t>宜采用资源利用率高、废物产生量小、对生态破坏小的采矿技术、工艺与装备。矿山生产应符合</w:t>
            </w:r>
            <w:r w:rsidRPr="00B86E96">
              <w:rPr>
                <w:rFonts w:hint="eastAsia"/>
                <w:snapToGrid w:val="0"/>
                <w:color w:val="000000"/>
                <w:w w:val="90"/>
                <w:kern w:val="28"/>
                <w:sz w:val="21"/>
                <w:szCs w:val="21"/>
              </w:rPr>
              <w:t xml:space="preserve"> HJ 446 </w:t>
            </w:r>
            <w:r w:rsidRPr="00B86E96">
              <w:rPr>
                <w:rFonts w:hint="eastAsia"/>
                <w:snapToGrid w:val="0"/>
                <w:color w:val="000000"/>
                <w:w w:val="90"/>
                <w:kern w:val="28"/>
                <w:sz w:val="21"/>
                <w:szCs w:val="21"/>
              </w:rPr>
              <w:t>的规定。</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采用绿色开采技术与装备，符合清洁生产的要求</w:t>
            </w:r>
            <w:r>
              <w:rPr>
                <w:rFonts w:hint="eastAsia"/>
                <w:snapToGrid w:val="0"/>
                <w:color w:val="000000"/>
                <w:kern w:val="28"/>
                <w:sz w:val="21"/>
                <w:szCs w:val="21"/>
              </w:rPr>
              <w:t>。</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667051">
              <w:rPr>
                <w:rFonts w:hint="eastAsia"/>
                <w:snapToGrid w:val="0"/>
                <w:color w:val="000000"/>
                <w:kern w:val="28"/>
                <w:sz w:val="21"/>
                <w:szCs w:val="21"/>
              </w:rPr>
              <w:t xml:space="preserve">6.1.6 </w:t>
            </w:r>
            <w:r w:rsidRPr="00667051">
              <w:rPr>
                <w:rFonts w:hint="eastAsia"/>
                <w:snapToGrid w:val="0"/>
                <w:color w:val="000000"/>
                <w:kern w:val="28"/>
                <w:sz w:val="21"/>
                <w:szCs w:val="21"/>
              </w:rPr>
              <w:t>针对“三下压煤”和重要含水层，宜按照设计要求采用充填开采、保水开采、共伴生资源共采（煤与瓦斯共采）等开采技术。高瓦斯矿井和瓦斯突出煤矿应采用先抽后建、先抽后掘、先抽后采，实现应抽尽抽、抽掘采平衡。</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属于低瓦斯矿井</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667051">
              <w:rPr>
                <w:rFonts w:hint="eastAsia"/>
                <w:snapToGrid w:val="0"/>
                <w:color w:val="000000"/>
                <w:kern w:val="28"/>
                <w:sz w:val="21"/>
                <w:szCs w:val="21"/>
              </w:rPr>
              <w:t xml:space="preserve">6.1.7 </w:t>
            </w:r>
            <w:r w:rsidRPr="00667051">
              <w:rPr>
                <w:rFonts w:hint="eastAsia"/>
                <w:snapToGrid w:val="0"/>
                <w:color w:val="000000"/>
                <w:kern w:val="28"/>
                <w:sz w:val="21"/>
                <w:szCs w:val="21"/>
              </w:rPr>
              <w:t>矿山应建立采空区基本信息数据库和相关记录台帐。</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要求</w:t>
            </w:r>
            <w:r w:rsidRPr="00BC4D95">
              <w:rPr>
                <w:rFonts w:hint="eastAsia"/>
                <w:snapToGrid w:val="0"/>
                <w:color w:val="000000"/>
                <w:kern w:val="28"/>
                <w:sz w:val="21"/>
                <w:szCs w:val="21"/>
              </w:rPr>
              <w:t>矿山建立采空区（群）基本信息库和相关记录台账</w:t>
            </w:r>
          </w:p>
        </w:tc>
        <w:tc>
          <w:tcPr>
            <w:tcW w:w="706" w:type="dxa"/>
            <w:vAlign w:val="center"/>
          </w:tcPr>
          <w:p w:rsidR="00EB5150" w:rsidRPr="00BC4D95" w:rsidRDefault="00EB5150" w:rsidP="00EB5150">
            <w:pPr>
              <w:spacing w:line="280" w:lineRule="exact"/>
              <w:jc w:val="center"/>
              <w:rPr>
                <w:color w:val="000000"/>
                <w:sz w:val="21"/>
                <w:szCs w:val="21"/>
              </w:rPr>
            </w:pPr>
            <w:r>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矿山地质环境保护与土地复</w:t>
            </w:r>
            <w:r w:rsidRPr="00BC4D95">
              <w:rPr>
                <w:rFonts w:hint="eastAsia"/>
                <w:snapToGrid w:val="0"/>
                <w:color w:val="000000"/>
                <w:kern w:val="28"/>
                <w:sz w:val="21"/>
                <w:szCs w:val="21"/>
              </w:rPr>
              <w:lastRenderedPageBreak/>
              <w:t>垦</w:t>
            </w: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lastRenderedPageBreak/>
              <w:t>矿山建设、生产活动应统筹部署地质环境保护和土地复垦，使矿山地质环境能恢复、易恢复，土地复垦效果好</w:t>
            </w:r>
          </w:p>
        </w:tc>
        <w:tc>
          <w:tcPr>
            <w:tcW w:w="2921" w:type="dxa"/>
            <w:vMerge w:val="restart"/>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项目已编制矿山地质环境保护和土地复垦方案，在开采过程中将严格落实相关目标任务</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w w:val="98"/>
                <w:kern w:val="28"/>
                <w:sz w:val="21"/>
                <w:szCs w:val="21"/>
              </w:rPr>
            </w:pPr>
            <w:r w:rsidRPr="00BC4D95">
              <w:rPr>
                <w:rFonts w:hint="eastAsia"/>
                <w:snapToGrid w:val="0"/>
                <w:color w:val="000000"/>
                <w:w w:val="98"/>
                <w:kern w:val="28"/>
                <w:sz w:val="21"/>
                <w:szCs w:val="21"/>
              </w:rPr>
              <w:t>企业应履行矿山地质环境保护与土地复垦相关义务，建立责任机制，落实经费和各项措施，按矿山地质环境保护与土地复垦方案完成地质环境保护、治理和土地复垦、监测、管护等目标任务</w:t>
            </w:r>
          </w:p>
        </w:tc>
        <w:tc>
          <w:tcPr>
            <w:tcW w:w="2921"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应按照边开采、边治理、边复垦的要求，及时治理恢复矿山地质环境，复垦损毁土地；暂时难以治理的，应采取有效措施控制对环境的负效应</w:t>
            </w:r>
          </w:p>
        </w:tc>
        <w:tc>
          <w:tcPr>
            <w:tcW w:w="2921" w:type="dxa"/>
            <w:vAlign w:val="center"/>
          </w:tcPr>
          <w:p w:rsidR="00EB5150" w:rsidRPr="00BC4D95" w:rsidRDefault="00EB5150" w:rsidP="00B86E96">
            <w:pPr>
              <w:snapToGrid w:val="0"/>
              <w:spacing w:line="280" w:lineRule="exact"/>
              <w:rPr>
                <w:snapToGrid w:val="0"/>
                <w:color w:val="000000"/>
                <w:kern w:val="28"/>
                <w:sz w:val="21"/>
                <w:szCs w:val="21"/>
              </w:rPr>
            </w:pPr>
            <w:r w:rsidRPr="00BC4D95">
              <w:rPr>
                <w:rFonts w:hint="eastAsia"/>
                <w:snapToGrid w:val="0"/>
                <w:color w:val="000000"/>
                <w:kern w:val="28"/>
                <w:sz w:val="21"/>
                <w:szCs w:val="21"/>
              </w:rPr>
              <w:t>按照边开采、边治理、边复垦的要求，及时治理恢复矿山地质环境，复垦损毁土地；</w:t>
            </w:r>
            <w:r w:rsidR="00B86E96" w:rsidRPr="00BC4D95">
              <w:rPr>
                <w:snapToGrid w:val="0"/>
                <w:color w:val="000000"/>
                <w:kern w:val="28"/>
                <w:sz w:val="21"/>
                <w:szCs w:val="21"/>
              </w:rPr>
              <w:t xml:space="preserve"> </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应落实表土（土壤）剥离与保护措施，表土堆放场应布置合理、堆存有序，耕作层土壤剥离应符合</w:t>
            </w:r>
            <w:r w:rsidRPr="00BC4D95">
              <w:rPr>
                <w:snapToGrid w:val="0"/>
                <w:color w:val="000000"/>
                <w:kern w:val="28"/>
                <w:sz w:val="21"/>
                <w:szCs w:val="21"/>
              </w:rPr>
              <w:t>TD/T1048</w:t>
            </w:r>
            <w:r w:rsidRPr="00BC4D95">
              <w:rPr>
                <w:rFonts w:hint="eastAsia"/>
                <w:snapToGrid w:val="0"/>
                <w:color w:val="000000"/>
                <w:kern w:val="28"/>
                <w:sz w:val="21"/>
                <w:szCs w:val="21"/>
              </w:rPr>
              <w:t>的规定</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开采前先剥离表土（耕作层土壤剥离符合</w:t>
            </w:r>
            <w:r w:rsidRPr="00BC4D95">
              <w:rPr>
                <w:snapToGrid w:val="0"/>
                <w:color w:val="000000"/>
                <w:kern w:val="28"/>
                <w:sz w:val="21"/>
                <w:szCs w:val="21"/>
              </w:rPr>
              <w:t>TD/T1048</w:t>
            </w:r>
            <w:r w:rsidRPr="00BC4D95">
              <w:rPr>
                <w:rFonts w:hint="eastAsia"/>
                <w:snapToGrid w:val="0"/>
                <w:color w:val="000000"/>
                <w:kern w:val="28"/>
                <w:sz w:val="21"/>
                <w:szCs w:val="21"/>
              </w:rPr>
              <w:t>的规定），暂存在</w:t>
            </w:r>
            <w:r>
              <w:rPr>
                <w:rFonts w:hint="eastAsia"/>
                <w:snapToGrid w:val="0"/>
                <w:color w:val="000000"/>
                <w:kern w:val="28"/>
                <w:sz w:val="21"/>
                <w:szCs w:val="21"/>
              </w:rPr>
              <w:t>表土临时堆场</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矿山地质环境恢复治理后的各类场地应达到</w:t>
            </w:r>
            <w:r>
              <w:rPr>
                <w:rFonts w:hint="eastAsia"/>
                <w:snapToGrid w:val="0"/>
                <w:color w:val="000000"/>
                <w:kern w:val="28"/>
                <w:sz w:val="21"/>
                <w:szCs w:val="21"/>
              </w:rPr>
              <w:t>：</w:t>
            </w:r>
            <w:r w:rsidRPr="00BC4D95">
              <w:rPr>
                <w:rFonts w:hint="eastAsia"/>
                <w:snapToGrid w:val="0"/>
                <w:color w:val="000000"/>
                <w:kern w:val="28"/>
                <w:sz w:val="21"/>
                <w:szCs w:val="21"/>
              </w:rPr>
              <w:t>安全稳定，对周边环境不产生污染，与周边自然环境和景观相协调，区域整体生态功能得到保护和恢复</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矿山地质环境恢复治理后的各类场地安全稳定，对周边环境不产生污染，与周边自然环境和景观相协调，区域整体生态功能得到保护和恢复</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土地复垦应恢复土地基本功能，因地制宜实现土地可持续利用，土地复垦质量应符合</w:t>
            </w:r>
            <w:r w:rsidRPr="00BC4D95">
              <w:rPr>
                <w:snapToGrid w:val="0"/>
                <w:color w:val="000000"/>
                <w:kern w:val="28"/>
                <w:sz w:val="21"/>
                <w:szCs w:val="21"/>
              </w:rPr>
              <w:t>TD/T1036</w:t>
            </w:r>
            <w:r w:rsidRPr="00BC4D95">
              <w:rPr>
                <w:rFonts w:hint="eastAsia"/>
                <w:snapToGrid w:val="0"/>
                <w:color w:val="000000"/>
                <w:kern w:val="28"/>
                <w:sz w:val="21"/>
                <w:szCs w:val="21"/>
              </w:rPr>
              <w:t>的规定。复垦为农用地的土壤环境质量应符合</w:t>
            </w:r>
            <w:r w:rsidRPr="00BC4D95">
              <w:rPr>
                <w:snapToGrid w:val="0"/>
                <w:color w:val="000000"/>
                <w:kern w:val="28"/>
                <w:sz w:val="21"/>
                <w:szCs w:val="21"/>
              </w:rPr>
              <w:t>GB15618</w:t>
            </w:r>
            <w:r w:rsidRPr="00BC4D95">
              <w:rPr>
                <w:rFonts w:hint="eastAsia"/>
                <w:snapToGrid w:val="0"/>
                <w:color w:val="000000"/>
                <w:kern w:val="28"/>
                <w:sz w:val="21"/>
                <w:szCs w:val="21"/>
              </w:rPr>
              <w:t>的规定；复垦为建设用地的土壤环境质量应符合</w:t>
            </w:r>
            <w:r w:rsidRPr="00BC4D95">
              <w:rPr>
                <w:snapToGrid w:val="0"/>
                <w:color w:val="000000"/>
                <w:kern w:val="28"/>
                <w:sz w:val="21"/>
                <w:szCs w:val="21"/>
              </w:rPr>
              <w:t>GB36600</w:t>
            </w:r>
            <w:r w:rsidRPr="00BC4D95">
              <w:rPr>
                <w:rFonts w:hint="eastAsia"/>
                <w:snapToGrid w:val="0"/>
                <w:color w:val="000000"/>
                <w:kern w:val="28"/>
                <w:sz w:val="21"/>
                <w:szCs w:val="21"/>
              </w:rPr>
              <w:t>的规定</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项目视情况复垦为</w:t>
            </w:r>
            <w:r>
              <w:rPr>
                <w:rFonts w:hint="eastAsia"/>
                <w:snapToGrid w:val="0"/>
                <w:color w:val="000000"/>
                <w:kern w:val="28"/>
                <w:sz w:val="21"/>
                <w:szCs w:val="21"/>
              </w:rPr>
              <w:t>林地</w:t>
            </w:r>
            <w:r w:rsidRPr="00BC4D95">
              <w:rPr>
                <w:rFonts w:hint="eastAsia"/>
                <w:snapToGrid w:val="0"/>
                <w:color w:val="000000"/>
                <w:kern w:val="28"/>
                <w:sz w:val="21"/>
                <w:szCs w:val="21"/>
              </w:rPr>
              <w:t>，土壤环境质量符合《土壤环境质量农用地土壤污染风险管控标准</w:t>
            </w:r>
            <w:r w:rsidRPr="00BC4D95">
              <w:rPr>
                <w:snapToGrid w:val="0"/>
                <w:color w:val="000000"/>
                <w:kern w:val="28"/>
                <w:sz w:val="21"/>
                <w:szCs w:val="21"/>
              </w:rPr>
              <w:t>(</w:t>
            </w:r>
            <w:r w:rsidRPr="00BC4D95">
              <w:rPr>
                <w:rFonts w:hint="eastAsia"/>
                <w:snapToGrid w:val="0"/>
                <w:color w:val="000000"/>
                <w:kern w:val="28"/>
                <w:sz w:val="21"/>
                <w:szCs w:val="21"/>
              </w:rPr>
              <w:t>试行</w:t>
            </w:r>
            <w:r w:rsidRPr="00BC4D95">
              <w:rPr>
                <w:snapToGrid w:val="0"/>
                <w:color w:val="000000"/>
                <w:kern w:val="28"/>
                <w:sz w:val="21"/>
                <w:szCs w:val="21"/>
              </w:rPr>
              <w:t>)</w:t>
            </w:r>
            <w:r w:rsidRPr="00BC4D95">
              <w:rPr>
                <w:rFonts w:hint="eastAsia"/>
                <w:snapToGrid w:val="0"/>
                <w:color w:val="000000"/>
                <w:kern w:val="28"/>
                <w:sz w:val="21"/>
                <w:szCs w:val="21"/>
              </w:rPr>
              <w:t>》</w:t>
            </w:r>
            <w:r w:rsidRPr="00BC4D95">
              <w:rPr>
                <w:snapToGrid w:val="0"/>
                <w:color w:val="000000"/>
                <w:kern w:val="28"/>
                <w:sz w:val="21"/>
                <w:szCs w:val="21"/>
              </w:rPr>
              <w:t>(GB 15618-2018)</w:t>
            </w:r>
            <w:r w:rsidRPr="00BC4D95">
              <w:rPr>
                <w:rFonts w:hint="eastAsia"/>
                <w:snapToGrid w:val="0"/>
                <w:color w:val="000000"/>
                <w:kern w:val="28"/>
                <w:sz w:val="21"/>
                <w:szCs w:val="21"/>
              </w:rPr>
              <w:t>的规定</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9340C2"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应建立地质环境监测与地质灾害应急预警机制。具体要求如下：</w:t>
            </w:r>
          </w:p>
          <w:p w:rsidR="00EB5150" w:rsidRPr="00BC4D95" w:rsidRDefault="00EB5150" w:rsidP="007C5CAC">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a) </w:t>
            </w:r>
            <w:r w:rsidRPr="009340C2">
              <w:rPr>
                <w:rFonts w:hint="eastAsia"/>
                <w:snapToGrid w:val="0"/>
                <w:color w:val="000000"/>
                <w:kern w:val="28"/>
                <w:sz w:val="21"/>
                <w:szCs w:val="21"/>
              </w:rPr>
              <w:t>对地下水、地表水、土壤环境、地面变形及地质灾害实行动态监测。</w:t>
            </w:r>
            <w:r w:rsidRPr="009340C2">
              <w:rPr>
                <w:rFonts w:hint="eastAsia"/>
                <w:snapToGrid w:val="0"/>
                <w:color w:val="000000"/>
                <w:kern w:val="28"/>
                <w:sz w:val="21"/>
                <w:szCs w:val="21"/>
              </w:rPr>
              <w:t xml:space="preserve">b) </w:t>
            </w:r>
            <w:r w:rsidRPr="009340C2">
              <w:rPr>
                <w:rFonts w:hint="eastAsia"/>
                <w:snapToGrid w:val="0"/>
                <w:color w:val="000000"/>
                <w:kern w:val="28"/>
                <w:sz w:val="21"/>
                <w:szCs w:val="21"/>
              </w:rPr>
              <w:t>对复垦区土地损毁情况、稳定状态、复垦质量等实行动态监测。</w:t>
            </w:r>
            <w:r w:rsidRPr="009340C2">
              <w:rPr>
                <w:rFonts w:hint="eastAsia"/>
                <w:snapToGrid w:val="0"/>
                <w:color w:val="000000"/>
                <w:kern w:val="28"/>
                <w:sz w:val="21"/>
                <w:szCs w:val="21"/>
              </w:rPr>
              <w:t xml:space="preserve">c) </w:t>
            </w:r>
            <w:r w:rsidRPr="009340C2">
              <w:rPr>
                <w:rFonts w:hint="eastAsia"/>
                <w:snapToGrid w:val="0"/>
                <w:color w:val="000000"/>
                <w:kern w:val="28"/>
                <w:sz w:val="21"/>
                <w:szCs w:val="21"/>
              </w:rPr>
              <w:t>对瓦斯、矿山深部地压实行动态监测。</w:t>
            </w:r>
            <w:r w:rsidRPr="009340C2">
              <w:rPr>
                <w:rFonts w:hint="eastAsia"/>
                <w:snapToGrid w:val="0"/>
                <w:color w:val="000000"/>
                <w:kern w:val="28"/>
                <w:sz w:val="21"/>
                <w:szCs w:val="21"/>
              </w:rPr>
              <w:t xml:space="preserve">d) </w:t>
            </w:r>
            <w:r w:rsidRPr="009340C2">
              <w:rPr>
                <w:rFonts w:hint="eastAsia"/>
                <w:snapToGrid w:val="0"/>
                <w:color w:val="000000"/>
                <w:kern w:val="28"/>
                <w:sz w:val="21"/>
                <w:szCs w:val="21"/>
              </w:rPr>
              <w:t>矿山地质灾害隐患区（点）应设有警示标志，并制定防治应急预案，符合治理条件的应及时治理。</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建设由地表变形观测站，</w:t>
            </w:r>
            <w:r w:rsidRPr="00BC4D95">
              <w:rPr>
                <w:rFonts w:hint="eastAsia"/>
                <w:snapToGrid w:val="0"/>
                <w:color w:val="000000"/>
                <w:kern w:val="28"/>
                <w:sz w:val="21"/>
                <w:szCs w:val="21"/>
              </w:rPr>
              <w:t>按要求定期对地下水、地表水、土壤环境质量等进行监测，建立地质环境监测与地质灾害应急预警机制</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color w:val="000000"/>
                <w:sz w:val="21"/>
                <w:szCs w:val="21"/>
              </w:rPr>
              <w:t>资源综合利用</w:t>
            </w:r>
          </w:p>
        </w:tc>
        <w:tc>
          <w:tcPr>
            <w:tcW w:w="45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7.1 </w:t>
            </w:r>
            <w:r w:rsidRPr="009340C2">
              <w:rPr>
                <w:rFonts w:hint="eastAsia"/>
                <w:snapToGrid w:val="0"/>
                <w:color w:val="000000"/>
                <w:kern w:val="28"/>
                <w:sz w:val="21"/>
                <w:szCs w:val="21"/>
              </w:rPr>
              <w:t>共伴生矿产综合利用</w:t>
            </w:r>
          </w:p>
        </w:tc>
        <w:tc>
          <w:tcPr>
            <w:tcW w:w="5194" w:type="dxa"/>
            <w:vAlign w:val="center"/>
          </w:tcPr>
          <w:p w:rsidR="00EB5150" w:rsidRPr="009340C2" w:rsidRDefault="00EB5150" w:rsidP="007C5CAC">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7.1.1 </w:t>
            </w:r>
            <w:r w:rsidRPr="009340C2">
              <w:rPr>
                <w:rFonts w:hint="eastAsia"/>
                <w:snapToGrid w:val="0"/>
                <w:color w:val="000000"/>
                <w:kern w:val="28"/>
                <w:sz w:val="21"/>
                <w:szCs w:val="21"/>
              </w:rPr>
              <w:t>应对共伴生资源进行综合勘查、综合评价、综合开发。</w:t>
            </w:r>
            <w:r w:rsidRPr="009340C2">
              <w:rPr>
                <w:rFonts w:hint="eastAsia"/>
                <w:snapToGrid w:val="0"/>
                <w:color w:val="000000"/>
                <w:kern w:val="28"/>
                <w:sz w:val="21"/>
                <w:szCs w:val="21"/>
              </w:rPr>
              <w:t xml:space="preserve">7.1.2 </w:t>
            </w:r>
            <w:r w:rsidRPr="009340C2">
              <w:rPr>
                <w:rFonts w:hint="eastAsia"/>
                <w:snapToGrid w:val="0"/>
                <w:color w:val="000000"/>
                <w:kern w:val="28"/>
                <w:sz w:val="21"/>
                <w:szCs w:val="21"/>
              </w:rPr>
              <w:t>推进煤矿瓦斯（煤层气）安全利用、梯级利用和规模化利用，不断提高煤矿瓦斯（煤层气）利用率。抽采瓦斯（煤层气）利用宜符合附录</w:t>
            </w:r>
            <w:r w:rsidRPr="009340C2">
              <w:rPr>
                <w:rFonts w:hint="eastAsia"/>
                <w:snapToGrid w:val="0"/>
                <w:color w:val="000000"/>
                <w:kern w:val="28"/>
                <w:sz w:val="21"/>
                <w:szCs w:val="21"/>
              </w:rPr>
              <w:t xml:space="preserve"> B </w:t>
            </w:r>
            <w:r w:rsidRPr="009340C2">
              <w:rPr>
                <w:rFonts w:hint="eastAsia"/>
                <w:snapToGrid w:val="0"/>
                <w:color w:val="000000"/>
                <w:kern w:val="28"/>
                <w:sz w:val="21"/>
                <w:szCs w:val="21"/>
              </w:rPr>
              <w:t>表</w:t>
            </w:r>
            <w:r w:rsidRPr="009340C2">
              <w:rPr>
                <w:rFonts w:hint="eastAsia"/>
                <w:snapToGrid w:val="0"/>
                <w:color w:val="000000"/>
                <w:kern w:val="28"/>
                <w:sz w:val="21"/>
                <w:szCs w:val="21"/>
              </w:rPr>
              <w:t xml:space="preserve"> B.1</w:t>
            </w:r>
            <w:r w:rsidRPr="009340C2">
              <w:rPr>
                <w:rFonts w:hint="eastAsia"/>
                <w:snapToGrid w:val="0"/>
                <w:color w:val="000000"/>
                <w:kern w:val="28"/>
                <w:sz w:val="21"/>
                <w:szCs w:val="21"/>
              </w:rPr>
              <w:t>、表</w:t>
            </w:r>
            <w:r w:rsidRPr="009340C2">
              <w:rPr>
                <w:rFonts w:hint="eastAsia"/>
                <w:snapToGrid w:val="0"/>
                <w:color w:val="000000"/>
                <w:kern w:val="28"/>
                <w:sz w:val="21"/>
                <w:szCs w:val="21"/>
              </w:rPr>
              <w:t xml:space="preserve"> B.2 </w:t>
            </w:r>
            <w:r w:rsidRPr="009340C2">
              <w:rPr>
                <w:rFonts w:hint="eastAsia"/>
                <w:snapToGrid w:val="0"/>
                <w:color w:val="000000"/>
                <w:kern w:val="28"/>
                <w:sz w:val="21"/>
                <w:szCs w:val="21"/>
              </w:rPr>
              <w:t>的限定指标。</w:t>
            </w:r>
            <w:r w:rsidRPr="009340C2">
              <w:rPr>
                <w:rFonts w:hint="eastAsia"/>
                <w:snapToGrid w:val="0"/>
                <w:color w:val="000000"/>
                <w:kern w:val="28"/>
                <w:sz w:val="21"/>
                <w:szCs w:val="21"/>
              </w:rPr>
              <w:t xml:space="preserve">7.1.3 </w:t>
            </w:r>
            <w:r w:rsidRPr="009340C2">
              <w:rPr>
                <w:rFonts w:hint="eastAsia"/>
                <w:snapToGrid w:val="0"/>
                <w:color w:val="000000"/>
                <w:kern w:val="28"/>
                <w:sz w:val="21"/>
                <w:szCs w:val="21"/>
              </w:rPr>
              <w:t>对暂不能回收利用的共伴生矿产应采取保护性措施。</w:t>
            </w:r>
            <w:r w:rsidRPr="009340C2">
              <w:rPr>
                <w:rFonts w:hint="eastAsia"/>
                <w:snapToGrid w:val="0"/>
                <w:color w:val="000000"/>
                <w:kern w:val="28"/>
                <w:sz w:val="21"/>
                <w:szCs w:val="21"/>
              </w:rPr>
              <w:t xml:space="preserve">7.1.4 </w:t>
            </w:r>
            <w:r w:rsidRPr="009340C2">
              <w:rPr>
                <w:rFonts w:hint="eastAsia"/>
                <w:snapToGrid w:val="0"/>
                <w:color w:val="000000"/>
                <w:kern w:val="28"/>
                <w:sz w:val="21"/>
                <w:szCs w:val="21"/>
              </w:rPr>
              <w:t>宜开展与煤共伴生的高铝矸石、镓、锗等资源的综合开发利用。</w:t>
            </w:r>
            <w:r w:rsidRPr="009340C2">
              <w:rPr>
                <w:rFonts w:hint="eastAsia"/>
                <w:snapToGrid w:val="0"/>
                <w:color w:val="000000"/>
                <w:kern w:val="28"/>
                <w:sz w:val="21"/>
                <w:szCs w:val="21"/>
              </w:rPr>
              <w:t xml:space="preserve">7.1.5 </w:t>
            </w:r>
            <w:r w:rsidRPr="009340C2">
              <w:rPr>
                <w:rFonts w:hint="eastAsia"/>
                <w:snapToGrid w:val="0"/>
                <w:color w:val="000000"/>
                <w:kern w:val="28"/>
                <w:sz w:val="21"/>
                <w:szCs w:val="21"/>
              </w:rPr>
              <w:t>宜充分利用井下热能，推进矿井地热能资源化利用，改善矿山能源利用结构。</w:t>
            </w:r>
          </w:p>
        </w:tc>
        <w:tc>
          <w:tcPr>
            <w:tcW w:w="2921" w:type="dxa"/>
            <w:vAlign w:val="center"/>
          </w:tcPr>
          <w:p w:rsidR="00EB5150" w:rsidRPr="009340C2"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低瓦斯矿井，不存在</w:t>
            </w:r>
            <w:r w:rsidRPr="009340C2">
              <w:rPr>
                <w:rFonts w:hint="eastAsia"/>
                <w:snapToGrid w:val="0"/>
                <w:color w:val="000000"/>
                <w:kern w:val="28"/>
                <w:sz w:val="21"/>
                <w:szCs w:val="21"/>
              </w:rPr>
              <w:t>共伴生矿产综合利用</w:t>
            </w:r>
            <w:r>
              <w:rPr>
                <w:rFonts w:hint="eastAsia"/>
                <w:snapToGrid w:val="0"/>
                <w:color w:val="000000"/>
                <w:kern w:val="28"/>
                <w:sz w:val="21"/>
                <w:szCs w:val="21"/>
              </w:rPr>
              <w:t>情况</w:t>
            </w:r>
          </w:p>
        </w:tc>
        <w:tc>
          <w:tcPr>
            <w:tcW w:w="706" w:type="dxa"/>
            <w:vAlign w:val="center"/>
          </w:tcPr>
          <w:p w:rsidR="00EB5150" w:rsidRPr="009340C2" w:rsidRDefault="00EB5150" w:rsidP="00EB5150">
            <w:pPr>
              <w:spacing w:line="280" w:lineRule="exact"/>
              <w:jc w:val="center"/>
              <w:rPr>
                <w:snapToGrid w:val="0"/>
                <w:color w:val="000000"/>
                <w:kern w:val="28"/>
                <w:sz w:val="21"/>
                <w:szCs w:val="21"/>
              </w:rPr>
            </w:pPr>
            <w:r>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restart"/>
            <w:vAlign w:val="center"/>
          </w:tcPr>
          <w:p w:rsidR="00EB5150" w:rsidRPr="00BC4D95" w:rsidRDefault="00EB5150" w:rsidP="00EB5150">
            <w:pPr>
              <w:widowControl/>
              <w:spacing w:line="280" w:lineRule="exact"/>
              <w:jc w:val="left"/>
              <w:rPr>
                <w:snapToGrid w:val="0"/>
                <w:color w:val="000000"/>
                <w:kern w:val="28"/>
                <w:sz w:val="21"/>
                <w:szCs w:val="21"/>
              </w:rPr>
            </w:pPr>
            <w:r w:rsidRPr="00912E36">
              <w:rPr>
                <w:rFonts w:hint="eastAsia"/>
                <w:snapToGrid w:val="0"/>
                <w:color w:val="000000"/>
                <w:kern w:val="28"/>
                <w:sz w:val="21"/>
                <w:szCs w:val="21"/>
              </w:rPr>
              <w:t>固体废弃物资源化利用</w:t>
            </w: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w w:val="95"/>
                <w:kern w:val="28"/>
                <w:sz w:val="21"/>
                <w:szCs w:val="21"/>
              </w:rPr>
              <w:t xml:space="preserve">7.2.1 </w:t>
            </w:r>
            <w:r w:rsidRPr="009340C2">
              <w:rPr>
                <w:rFonts w:hint="eastAsia"/>
                <w:snapToGrid w:val="0"/>
                <w:color w:val="000000"/>
                <w:w w:val="95"/>
                <w:kern w:val="28"/>
                <w:sz w:val="21"/>
                <w:szCs w:val="21"/>
              </w:rPr>
              <w:t>煤矸石当年综合利用率应不低于</w:t>
            </w:r>
            <w:r w:rsidRPr="009340C2">
              <w:rPr>
                <w:rFonts w:hint="eastAsia"/>
                <w:snapToGrid w:val="0"/>
                <w:color w:val="000000"/>
                <w:w w:val="95"/>
                <w:kern w:val="28"/>
                <w:sz w:val="21"/>
                <w:szCs w:val="21"/>
              </w:rPr>
              <w:t>70%</w:t>
            </w:r>
            <w:r w:rsidRPr="009340C2">
              <w:rPr>
                <w:rFonts w:hint="eastAsia"/>
                <w:snapToGrid w:val="0"/>
                <w:color w:val="000000"/>
                <w:w w:val="95"/>
                <w:kern w:val="28"/>
                <w:sz w:val="21"/>
                <w:szCs w:val="21"/>
              </w:rPr>
              <w:t>。</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煤矸石综合利用率</w:t>
            </w:r>
            <w:r>
              <w:rPr>
                <w:rFonts w:hint="eastAsia"/>
                <w:snapToGrid w:val="0"/>
                <w:color w:val="000000"/>
                <w:kern w:val="28"/>
                <w:sz w:val="21"/>
                <w:szCs w:val="21"/>
              </w:rPr>
              <w:t>100</w:t>
            </w:r>
            <w:r w:rsidRPr="009340C2">
              <w:rPr>
                <w:rFonts w:hint="eastAsia"/>
                <w:snapToGrid w:val="0"/>
                <w:color w:val="000000"/>
                <w:w w:val="95"/>
                <w:kern w:val="28"/>
                <w:sz w:val="21"/>
                <w:szCs w:val="21"/>
              </w:rPr>
              <w:t>%</w:t>
            </w:r>
            <w:r w:rsidRPr="009340C2">
              <w:rPr>
                <w:rFonts w:hint="eastAsia"/>
                <w:snapToGrid w:val="0"/>
                <w:color w:val="000000"/>
                <w:w w:val="95"/>
                <w:kern w:val="28"/>
                <w:sz w:val="21"/>
                <w:szCs w:val="21"/>
              </w:rPr>
              <w:t>。</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w w:val="95"/>
                <w:kern w:val="28"/>
                <w:sz w:val="21"/>
                <w:szCs w:val="21"/>
              </w:rPr>
              <w:t xml:space="preserve">7.2.2 </w:t>
            </w:r>
            <w:r w:rsidRPr="009340C2">
              <w:rPr>
                <w:rFonts w:hint="eastAsia"/>
                <w:snapToGrid w:val="0"/>
                <w:color w:val="000000"/>
                <w:w w:val="95"/>
                <w:kern w:val="28"/>
                <w:sz w:val="21"/>
                <w:szCs w:val="21"/>
              </w:rPr>
              <w:t>废石等矿山固体废弃物应分类处理，宜采用井下回填、铺路、环保型制砖等措施进行资源化利用，提高固体废弃物利用率。</w:t>
            </w:r>
          </w:p>
        </w:tc>
        <w:tc>
          <w:tcPr>
            <w:tcW w:w="2921" w:type="dxa"/>
            <w:vAlign w:val="center"/>
          </w:tcPr>
          <w:p w:rsidR="00EB5150" w:rsidRPr="00912E36" w:rsidRDefault="00EB5150" w:rsidP="00EB5150">
            <w:pPr>
              <w:widowControl/>
              <w:spacing w:line="280" w:lineRule="exact"/>
              <w:jc w:val="left"/>
              <w:rPr>
                <w:snapToGrid w:val="0"/>
                <w:color w:val="000000"/>
                <w:kern w:val="28"/>
                <w:sz w:val="21"/>
                <w:szCs w:val="21"/>
              </w:rPr>
            </w:pPr>
            <w:r>
              <w:rPr>
                <w:rFonts w:hint="eastAsia"/>
                <w:snapToGrid w:val="0"/>
                <w:color w:val="000000"/>
                <w:kern w:val="28"/>
                <w:sz w:val="21"/>
                <w:szCs w:val="21"/>
              </w:rPr>
              <w:t>生产期矸石、生活垃圾等分类安全处置，矸石全部综合利用。</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restart"/>
            <w:vAlign w:val="center"/>
          </w:tcPr>
          <w:p w:rsidR="00EB5150" w:rsidRPr="00BC4D95" w:rsidRDefault="00EB5150" w:rsidP="00EB5150">
            <w:pPr>
              <w:widowControl/>
              <w:spacing w:line="280" w:lineRule="exact"/>
              <w:jc w:val="left"/>
              <w:rPr>
                <w:snapToGrid w:val="0"/>
                <w:color w:val="000000"/>
                <w:kern w:val="28"/>
                <w:sz w:val="21"/>
                <w:szCs w:val="21"/>
              </w:rPr>
            </w:pPr>
            <w:r>
              <w:rPr>
                <w:rFonts w:hint="eastAsia"/>
                <w:snapToGrid w:val="0"/>
                <w:color w:val="000000"/>
                <w:kern w:val="28"/>
                <w:sz w:val="21"/>
                <w:szCs w:val="21"/>
              </w:rPr>
              <w:t>废水利用</w:t>
            </w:r>
          </w:p>
        </w:tc>
        <w:tc>
          <w:tcPr>
            <w:tcW w:w="5194" w:type="dxa"/>
            <w:vAlign w:val="center"/>
          </w:tcPr>
          <w:p w:rsidR="00EB5150" w:rsidRPr="009340C2" w:rsidRDefault="00EB5150" w:rsidP="00EB5150">
            <w:pPr>
              <w:snapToGrid w:val="0"/>
              <w:spacing w:line="280" w:lineRule="exact"/>
              <w:rPr>
                <w:snapToGrid w:val="0"/>
                <w:color w:val="000000"/>
                <w:w w:val="95"/>
                <w:kern w:val="28"/>
                <w:sz w:val="21"/>
                <w:szCs w:val="21"/>
              </w:rPr>
            </w:pPr>
            <w:r w:rsidRPr="009340C2">
              <w:rPr>
                <w:rFonts w:hint="eastAsia"/>
                <w:snapToGrid w:val="0"/>
                <w:color w:val="000000"/>
                <w:w w:val="95"/>
                <w:kern w:val="28"/>
                <w:sz w:val="21"/>
                <w:szCs w:val="21"/>
              </w:rPr>
              <w:t xml:space="preserve">7.3.1 </w:t>
            </w:r>
            <w:r w:rsidRPr="009340C2">
              <w:rPr>
                <w:rFonts w:hint="eastAsia"/>
                <w:snapToGrid w:val="0"/>
                <w:color w:val="000000"/>
                <w:w w:val="95"/>
                <w:kern w:val="28"/>
                <w:sz w:val="21"/>
                <w:szCs w:val="21"/>
              </w:rPr>
              <w:t>应建立废水处理和利用系统，处理达标后资源化利用。</w:t>
            </w:r>
          </w:p>
        </w:tc>
        <w:tc>
          <w:tcPr>
            <w:tcW w:w="2921" w:type="dxa"/>
            <w:vAlign w:val="center"/>
          </w:tcPr>
          <w:p w:rsidR="00EB5150" w:rsidRPr="00912E36" w:rsidRDefault="00EB5150" w:rsidP="00EB5150">
            <w:pPr>
              <w:widowControl/>
              <w:spacing w:line="280" w:lineRule="exact"/>
              <w:jc w:val="left"/>
              <w:rPr>
                <w:snapToGrid w:val="0"/>
                <w:color w:val="000000"/>
                <w:kern w:val="28"/>
                <w:sz w:val="21"/>
                <w:szCs w:val="21"/>
              </w:rPr>
            </w:pPr>
            <w:r>
              <w:rPr>
                <w:rFonts w:hint="eastAsia"/>
                <w:snapToGrid w:val="0"/>
                <w:color w:val="000000"/>
                <w:kern w:val="28"/>
                <w:sz w:val="21"/>
                <w:szCs w:val="21"/>
              </w:rPr>
              <w:t>拟建设</w:t>
            </w:r>
            <w:r w:rsidRPr="00912E36">
              <w:rPr>
                <w:rFonts w:hint="eastAsia"/>
                <w:snapToGrid w:val="0"/>
                <w:color w:val="000000"/>
                <w:w w:val="95"/>
                <w:kern w:val="28"/>
                <w:sz w:val="21"/>
                <w:szCs w:val="21"/>
              </w:rPr>
              <w:t>废水处理和利用系统，处理达标后</w:t>
            </w:r>
            <w:r>
              <w:rPr>
                <w:rFonts w:hint="eastAsia"/>
                <w:snapToGrid w:val="0"/>
                <w:color w:val="000000"/>
                <w:w w:val="95"/>
                <w:kern w:val="28"/>
                <w:sz w:val="21"/>
                <w:szCs w:val="21"/>
              </w:rPr>
              <w:t>全部回用，不外排</w:t>
            </w:r>
            <w:r w:rsidRPr="00912E36">
              <w:rPr>
                <w:rFonts w:hint="eastAsia"/>
                <w:snapToGrid w:val="0"/>
                <w:color w:val="000000"/>
                <w:w w:val="95"/>
                <w:kern w:val="28"/>
                <w:sz w:val="21"/>
                <w:szCs w:val="21"/>
              </w:rPr>
              <w:t>。</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w w:val="95"/>
                <w:kern w:val="28"/>
                <w:sz w:val="21"/>
                <w:szCs w:val="21"/>
              </w:rPr>
              <w:t xml:space="preserve">7.3.2 </w:t>
            </w:r>
            <w:r w:rsidRPr="009340C2">
              <w:rPr>
                <w:rFonts w:hint="eastAsia"/>
                <w:snapToGrid w:val="0"/>
                <w:color w:val="000000"/>
                <w:w w:val="95"/>
                <w:kern w:val="28"/>
                <w:sz w:val="21"/>
                <w:szCs w:val="21"/>
              </w:rPr>
              <w:t>应制定明确的矿井水排采利用方案，采用洁净化、资源化技术和工艺合理处置，矿井水利用率应符合</w:t>
            </w:r>
            <w:r w:rsidRPr="009340C2">
              <w:rPr>
                <w:rFonts w:hint="eastAsia"/>
                <w:snapToGrid w:val="0"/>
                <w:color w:val="000000"/>
                <w:w w:val="95"/>
                <w:kern w:val="28"/>
                <w:sz w:val="21"/>
                <w:szCs w:val="21"/>
              </w:rPr>
              <w:t xml:space="preserve"> HJ 446 </w:t>
            </w:r>
            <w:r w:rsidRPr="009340C2">
              <w:rPr>
                <w:rFonts w:hint="eastAsia"/>
                <w:snapToGrid w:val="0"/>
                <w:color w:val="000000"/>
                <w:w w:val="95"/>
                <w:kern w:val="28"/>
                <w:sz w:val="21"/>
                <w:szCs w:val="21"/>
              </w:rPr>
              <w:t>的规定。</w:t>
            </w:r>
          </w:p>
        </w:tc>
        <w:tc>
          <w:tcPr>
            <w:tcW w:w="2921" w:type="dxa"/>
            <w:vAlign w:val="center"/>
          </w:tcPr>
          <w:p w:rsidR="00EB5150" w:rsidRPr="00BC4D95" w:rsidRDefault="00EB5150" w:rsidP="007C5CAC">
            <w:pPr>
              <w:snapToGrid w:val="0"/>
              <w:spacing w:line="280" w:lineRule="exact"/>
              <w:rPr>
                <w:snapToGrid w:val="0"/>
                <w:color w:val="000000"/>
                <w:kern w:val="28"/>
                <w:sz w:val="21"/>
                <w:szCs w:val="21"/>
              </w:rPr>
            </w:pPr>
            <w:r>
              <w:rPr>
                <w:rFonts w:hint="eastAsia"/>
                <w:snapToGrid w:val="0"/>
                <w:color w:val="000000"/>
                <w:kern w:val="28"/>
                <w:sz w:val="21"/>
                <w:szCs w:val="21"/>
              </w:rPr>
              <w:t>已制定矿井水综合利用方案，并签订综合利用协议，</w:t>
            </w:r>
            <w:r w:rsidRPr="009340C2">
              <w:rPr>
                <w:rFonts w:hint="eastAsia"/>
                <w:snapToGrid w:val="0"/>
                <w:color w:val="000000"/>
                <w:w w:val="95"/>
                <w:kern w:val="28"/>
                <w:sz w:val="21"/>
                <w:szCs w:val="21"/>
              </w:rPr>
              <w:t>矿井水利用率应符合</w:t>
            </w:r>
            <w:r w:rsidRPr="009340C2">
              <w:rPr>
                <w:rFonts w:hint="eastAsia"/>
                <w:snapToGrid w:val="0"/>
                <w:color w:val="000000"/>
                <w:w w:val="95"/>
                <w:kern w:val="28"/>
                <w:sz w:val="21"/>
                <w:szCs w:val="21"/>
              </w:rPr>
              <w:t xml:space="preserve">HJ 446 </w:t>
            </w:r>
            <w:r w:rsidRPr="009340C2">
              <w:rPr>
                <w:rFonts w:hint="eastAsia"/>
                <w:snapToGrid w:val="0"/>
                <w:color w:val="000000"/>
                <w:w w:val="95"/>
                <w:kern w:val="28"/>
                <w:sz w:val="21"/>
                <w:szCs w:val="21"/>
              </w:rPr>
              <w:t>的规定。</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w w:val="95"/>
                <w:kern w:val="28"/>
                <w:sz w:val="21"/>
                <w:szCs w:val="21"/>
              </w:rPr>
              <w:t xml:space="preserve">7.3.3 </w:t>
            </w:r>
            <w:r w:rsidRPr="009340C2">
              <w:rPr>
                <w:rFonts w:hint="eastAsia"/>
                <w:snapToGrid w:val="0"/>
                <w:color w:val="000000"/>
                <w:w w:val="95"/>
                <w:kern w:val="28"/>
                <w:sz w:val="21"/>
                <w:szCs w:val="21"/>
              </w:rPr>
              <w:t>选矿优先使用矿井水，选矿废水应循环使用，选矿废水重复利用率应符合设计要求。</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w w:val="95"/>
                <w:kern w:val="28"/>
                <w:sz w:val="21"/>
                <w:szCs w:val="21"/>
              </w:rPr>
              <w:t>/</w:t>
            </w:r>
          </w:p>
        </w:tc>
        <w:tc>
          <w:tcPr>
            <w:tcW w:w="706" w:type="dxa"/>
            <w:vAlign w:val="center"/>
          </w:tcPr>
          <w:p w:rsidR="00EB5150" w:rsidRPr="00BC4D95" w:rsidRDefault="00EB5150" w:rsidP="00EB5150">
            <w:pPr>
              <w:spacing w:line="280" w:lineRule="exact"/>
              <w:jc w:val="center"/>
              <w:rPr>
                <w:color w:val="000000"/>
                <w:sz w:val="21"/>
                <w:szCs w:val="21"/>
              </w:rPr>
            </w:pPr>
            <w:r>
              <w:rPr>
                <w:rFonts w:hint="eastAsia"/>
                <w:snapToGrid w:val="0"/>
                <w:color w:val="000000"/>
                <w:kern w:val="28"/>
                <w:sz w:val="21"/>
                <w:szCs w:val="21"/>
              </w:rPr>
              <w:t>/</w:t>
            </w:r>
          </w:p>
        </w:tc>
      </w:tr>
      <w:tr w:rsidR="00EB5150" w:rsidRPr="00BC4D95" w:rsidTr="00B86E96">
        <w:trPr>
          <w:cantSplit/>
          <w:jc w:val="center"/>
        </w:trPr>
        <w:tc>
          <w:tcPr>
            <w:tcW w:w="308"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节能减排</w:t>
            </w:r>
          </w:p>
        </w:tc>
        <w:tc>
          <w:tcPr>
            <w:tcW w:w="454"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节能降耗</w:t>
            </w: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8.1.1 </w:t>
            </w:r>
            <w:r w:rsidRPr="009340C2">
              <w:rPr>
                <w:rFonts w:hint="eastAsia"/>
                <w:snapToGrid w:val="0"/>
                <w:color w:val="000000"/>
                <w:kern w:val="28"/>
                <w:sz w:val="21"/>
                <w:szCs w:val="21"/>
              </w:rPr>
              <w:t>应建立矿山生产全过程能耗核算体系，通过采取节能减排措施，控制并减少单位产品能耗、物耗、水耗。矿井单位产品能耗限额应符合</w:t>
            </w:r>
            <w:r w:rsidRPr="009340C2">
              <w:rPr>
                <w:rFonts w:hint="eastAsia"/>
                <w:snapToGrid w:val="0"/>
                <w:color w:val="000000"/>
                <w:kern w:val="28"/>
                <w:sz w:val="21"/>
                <w:szCs w:val="21"/>
              </w:rPr>
              <w:t xml:space="preserve"> GB/T 29444 </w:t>
            </w:r>
            <w:r w:rsidRPr="009340C2">
              <w:rPr>
                <w:rFonts w:hint="eastAsia"/>
                <w:snapToGrid w:val="0"/>
                <w:color w:val="000000"/>
                <w:kern w:val="28"/>
                <w:sz w:val="21"/>
                <w:szCs w:val="21"/>
              </w:rPr>
              <w:t>的要求。</w:t>
            </w:r>
          </w:p>
        </w:tc>
        <w:tc>
          <w:tcPr>
            <w:tcW w:w="2921" w:type="dxa"/>
            <w:vAlign w:val="center"/>
          </w:tcPr>
          <w:p w:rsidR="00EB5150" w:rsidRPr="00BC4D95" w:rsidRDefault="00EB5150" w:rsidP="00EB5150">
            <w:pPr>
              <w:snapToGrid w:val="0"/>
              <w:spacing w:line="280" w:lineRule="exact"/>
              <w:rPr>
                <w:snapToGrid w:val="0"/>
                <w:color w:val="000000"/>
                <w:w w:val="93"/>
                <w:kern w:val="28"/>
                <w:sz w:val="21"/>
                <w:szCs w:val="21"/>
              </w:rPr>
            </w:pPr>
            <w:r w:rsidRPr="00BC4D95">
              <w:rPr>
                <w:rFonts w:hint="eastAsia"/>
                <w:snapToGrid w:val="0"/>
                <w:color w:val="000000"/>
                <w:w w:val="93"/>
                <w:kern w:val="28"/>
                <w:sz w:val="21"/>
                <w:szCs w:val="21"/>
              </w:rPr>
              <w:t>拟建立矿山全过程能耗</w:t>
            </w:r>
            <w:r>
              <w:rPr>
                <w:rFonts w:hint="eastAsia"/>
                <w:snapToGrid w:val="0"/>
                <w:color w:val="000000"/>
                <w:w w:val="93"/>
                <w:kern w:val="28"/>
                <w:sz w:val="21"/>
                <w:szCs w:val="21"/>
              </w:rPr>
              <w:t>、水耗</w:t>
            </w:r>
            <w:r w:rsidRPr="00BC4D95">
              <w:rPr>
                <w:rFonts w:hint="eastAsia"/>
                <w:snapToGrid w:val="0"/>
                <w:color w:val="000000"/>
                <w:w w:val="93"/>
                <w:kern w:val="28"/>
                <w:sz w:val="21"/>
                <w:szCs w:val="21"/>
              </w:rPr>
              <w:t>核算体系，控制并减少单位产品能耗、物耗、水耗，单位产品能耗等指标符合相关管理规定</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8.1.2 </w:t>
            </w:r>
            <w:r w:rsidRPr="009340C2">
              <w:rPr>
                <w:rFonts w:hint="eastAsia"/>
                <w:snapToGrid w:val="0"/>
                <w:color w:val="000000"/>
                <w:kern w:val="28"/>
                <w:sz w:val="21"/>
                <w:szCs w:val="21"/>
              </w:rPr>
              <w:t>开发利用高效节能的新技术、新工艺、新设备和新材料，淘汰高能耗、高污染、低效率的工艺和设备。宜使用变频设备及节能照明灯具。</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利用高效节能的新技术、新工艺、新设备和新材料，使用变频设备和节能照明灯具</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8.1.3 </w:t>
            </w:r>
            <w:r w:rsidRPr="009340C2">
              <w:rPr>
                <w:rFonts w:hint="eastAsia"/>
                <w:snapToGrid w:val="0"/>
                <w:color w:val="000000"/>
                <w:kern w:val="28"/>
                <w:sz w:val="21"/>
                <w:szCs w:val="21"/>
              </w:rPr>
              <w:t>应改进井下支护工艺，在保证安全的前提下，科学减少可缩性能有限的钢棚梁使用数量，使用可缩性</w:t>
            </w:r>
            <w:r w:rsidRPr="009340C2">
              <w:rPr>
                <w:rFonts w:hint="eastAsia"/>
                <w:snapToGrid w:val="0"/>
                <w:color w:val="000000"/>
                <w:kern w:val="28"/>
                <w:sz w:val="21"/>
                <w:szCs w:val="21"/>
              </w:rPr>
              <w:t>U</w:t>
            </w:r>
            <w:r w:rsidRPr="009340C2">
              <w:rPr>
                <w:rFonts w:hint="eastAsia"/>
                <w:snapToGrid w:val="0"/>
                <w:color w:val="000000"/>
                <w:kern w:val="28"/>
                <w:sz w:val="21"/>
                <w:szCs w:val="21"/>
              </w:rPr>
              <w:t>型钢支架，或应用锚网支护技术，减少钢材损耗，提升支护安全可靠程度。</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使用可缩性</w:t>
            </w:r>
            <w:r w:rsidRPr="009340C2">
              <w:rPr>
                <w:rFonts w:hint="eastAsia"/>
                <w:snapToGrid w:val="0"/>
                <w:color w:val="000000"/>
                <w:kern w:val="28"/>
                <w:sz w:val="21"/>
                <w:szCs w:val="21"/>
              </w:rPr>
              <w:t>U</w:t>
            </w:r>
            <w:r w:rsidRPr="009340C2">
              <w:rPr>
                <w:rFonts w:hint="eastAsia"/>
                <w:snapToGrid w:val="0"/>
                <w:color w:val="000000"/>
                <w:kern w:val="28"/>
                <w:sz w:val="21"/>
                <w:szCs w:val="21"/>
              </w:rPr>
              <w:t>型钢支架</w:t>
            </w:r>
            <w:r>
              <w:rPr>
                <w:rFonts w:hint="eastAsia"/>
                <w:snapToGrid w:val="0"/>
                <w:color w:val="000000"/>
                <w:kern w:val="28"/>
                <w:sz w:val="21"/>
                <w:szCs w:val="21"/>
              </w:rPr>
              <w:t>或</w:t>
            </w:r>
            <w:r w:rsidRPr="009340C2">
              <w:rPr>
                <w:rFonts w:hint="eastAsia"/>
                <w:snapToGrid w:val="0"/>
                <w:color w:val="000000"/>
                <w:kern w:val="28"/>
                <w:sz w:val="21"/>
                <w:szCs w:val="21"/>
              </w:rPr>
              <w:t>锚网支护技术</w:t>
            </w:r>
          </w:p>
        </w:tc>
        <w:tc>
          <w:tcPr>
            <w:tcW w:w="706" w:type="dxa"/>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restart"/>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减排</w:t>
            </w: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8.2.1 </w:t>
            </w:r>
            <w:r w:rsidRPr="009340C2">
              <w:rPr>
                <w:rFonts w:hint="eastAsia"/>
                <w:snapToGrid w:val="0"/>
                <w:color w:val="000000"/>
                <w:kern w:val="28"/>
                <w:sz w:val="21"/>
                <w:szCs w:val="21"/>
              </w:rPr>
              <w:t>应优化采煤、洗选技术和工艺，加强综合利用，减少煤矸石、煤泥等固体废弃物的排放。</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逐步探索使用清洁能源车辆、油电混合车辆等新型运输工具，减少尾气污染</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9340C2"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8.2.2 </w:t>
            </w:r>
            <w:r w:rsidRPr="009340C2">
              <w:rPr>
                <w:rFonts w:hint="eastAsia"/>
                <w:snapToGrid w:val="0"/>
                <w:color w:val="000000"/>
                <w:kern w:val="28"/>
                <w:sz w:val="21"/>
                <w:szCs w:val="21"/>
              </w:rPr>
              <w:t>井下应设置矿井水处理及利用系统，减少地面污水处理厂占地面积。</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井下设置水仓</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5194" w:type="dxa"/>
            <w:vAlign w:val="center"/>
          </w:tcPr>
          <w:p w:rsidR="00EB5150" w:rsidRPr="009340C2"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8.2.3 </w:t>
            </w:r>
            <w:r w:rsidRPr="009340C2">
              <w:rPr>
                <w:rFonts w:hint="eastAsia"/>
                <w:snapToGrid w:val="0"/>
                <w:color w:val="000000"/>
                <w:kern w:val="28"/>
                <w:sz w:val="21"/>
                <w:szCs w:val="21"/>
              </w:rPr>
              <w:t>宜使用清洁动力设备替代内燃动力设备，降低废气排放对空气的污染。</w:t>
            </w:r>
          </w:p>
        </w:tc>
        <w:tc>
          <w:tcPr>
            <w:tcW w:w="2921" w:type="dxa"/>
            <w:vAlign w:val="center"/>
          </w:tcPr>
          <w:p w:rsidR="00EB5150" w:rsidRPr="00BC4D95" w:rsidRDefault="00EB5150" w:rsidP="007C5CAC">
            <w:pPr>
              <w:snapToGrid w:val="0"/>
              <w:spacing w:line="280" w:lineRule="exact"/>
              <w:rPr>
                <w:snapToGrid w:val="0"/>
                <w:color w:val="000000"/>
                <w:kern w:val="28"/>
                <w:sz w:val="21"/>
                <w:szCs w:val="21"/>
              </w:rPr>
            </w:pPr>
            <w:r w:rsidRPr="00BC4D95">
              <w:rPr>
                <w:rFonts w:hint="eastAsia"/>
                <w:snapToGrid w:val="0"/>
                <w:color w:val="000000"/>
                <w:kern w:val="28"/>
                <w:sz w:val="21"/>
                <w:szCs w:val="21"/>
              </w:rPr>
              <w:t>逐步探索使用清洁能源车辆等新型运输工具，减少尾气污染</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308" w:type="dxa"/>
            <w:vMerge/>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454" w:type="dxa"/>
            <w:vMerge/>
            <w:vAlign w:val="center"/>
          </w:tcPr>
          <w:p w:rsidR="00EB5150" w:rsidRPr="00BC4D95" w:rsidRDefault="00EB5150" w:rsidP="00EB5150">
            <w:pPr>
              <w:widowControl/>
              <w:spacing w:line="280" w:lineRule="exact"/>
              <w:jc w:val="left"/>
              <w:rPr>
                <w:snapToGrid w:val="0"/>
                <w:color w:val="000000"/>
                <w:kern w:val="28"/>
                <w:sz w:val="21"/>
                <w:szCs w:val="21"/>
              </w:rPr>
            </w:pPr>
          </w:p>
        </w:tc>
        <w:tc>
          <w:tcPr>
            <w:tcW w:w="5194" w:type="dxa"/>
            <w:vAlign w:val="center"/>
          </w:tcPr>
          <w:p w:rsidR="00EB5150" w:rsidRPr="00BC4D95" w:rsidRDefault="00EB5150" w:rsidP="00EB5150">
            <w:pPr>
              <w:snapToGrid w:val="0"/>
              <w:spacing w:line="280" w:lineRule="exact"/>
              <w:rPr>
                <w:snapToGrid w:val="0"/>
                <w:color w:val="000000"/>
                <w:kern w:val="28"/>
                <w:sz w:val="21"/>
                <w:szCs w:val="21"/>
              </w:rPr>
            </w:pPr>
            <w:r w:rsidRPr="009340C2">
              <w:rPr>
                <w:rFonts w:hint="eastAsia"/>
                <w:snapToGrid w:val="0"/>
                <w:color w:val="000000"/>
                <w:kern w:val="28"/>
                <w:sz w:val="21"/>
                <w:szCs w:val="21"/>
              </w:rPr>
              <w:t xml:space="preserve">8.2.4 </w:t>
            </w:r>
            <w:r w:rsidRPr="009340C2">
              <w:rPr>
                <w:rFonts w:hint="eastAsia"/>
                <w:snapToGrid w:val="0"/>
                <w:color w:val="000000"/>
                <w:kern w:val="28"/>
                <w:sz w:val="21"/>
                <w:szCs w:val="21"/>
              </w:rPr>
              <w:t>有条件矿山宜对地下水含水层实施局部隔离，采取有效封堵措施，减少地下水排放。</w:t>
            </w:r>
          </w:p>
        </w:tc>
        <w:tc>
          <w:tcPr>
            <w:tcW w:w="2921" w:type="dxa"/>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采用灌浆技术进行封堵</w:t>
            </w:r>
          </w:p>
        </w:tc>
        <w:tc>
          <w:tcPr>
            <w:tcW w:w="706" w:type="dxa"/>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bl>
    <w:p w:rsidR="00EB5150" w:rsidRDefault="00EB5150" w:rsidP="009C5F33">
      <w:pPr>
        <w:pStyle w:val="03"/>
        <w:adjustRightInd w:val="0"/>
        <w:snapToGrid w:val="0"/>
        <w:spacing w:beforeLines="70" w:afterLines="30" w:afterAutospacing="0" w:line="520" w:lineRule="exact"/>
        <w:rPr>
          <w:rFonts w:ascii="Times New Roman" w:eastAsia="楷体" w:hAnsi="Times New Roman"/>
        </w:rPr>
      </w:pPr>
      <w:r>
        <w:rPr>
          <w:rFonts w:ascii="Times New Roman" w:eastAsia="楷体" w:hAnsi="Times New Roman"/>
        </w:rPr>
        <w:t>10.3.1</w:t>
      </w:r>
      <w:r w:rsidR="00B86E96">
        <w:rPr>
          <w:rFonts w:ascii="Times New Roman" w:eastAsia="楷体" w:hAnsi="Times New Roman" w:hint="eastAsia"/>
        </w:rPr>
        <w:t>7</w:t>
      </w:r>
      <w:r>
        <w:rPr>
          <w:rFonts w:ascii="Times New Roman" w:eastAsia="楷体" w:hAnsi="Times New Roman"/>
        </w:rPr>
        <w:t>与《</w:t>
      </w:r>
      <w:r w:rsidRPr="00A42A5B">
        <w:rPr>
          <w:rFonts w:ascii="Times New Roman" w:eastAsia="楷体" w:hAnsi="Times New Roman"/>
        </w:rPr>
        <w:t>煤矿行业绿色矿山建设规范》</w:t>
      </w:r>
      <w:r>
        <w:rPr>
          <w:rFonts w:ascii="Times New Roman" w:eastAsia="楷体" w:hAnsi="Times New Roman" w:hint="eastAsia"/>
        </w:rPr>
        <w:t>（</w:t>
      </w:r>
      <w:r w:rsidRPr="00A42A5B">
        <w:rPr>
          <w:rFonts w:ascii="Times New Roman" w:eastAsia="楷体" w:hAnsi="Times New Roman"/>
        </w:rPr>
        <w:t>DZ/T0315-2018</w:t>
      </w:r>
      <w:r>
        <w:rPr>
          <w:rFonts w:ascii="Times New Roman" w:eastAsia="楷体" w:hAnsi="Times New Roman" w:hint="eastAsia"/>
        </w:rPr>
        <w:t>）</w:t>
      </w:r>
      <w:r>
        <w:rPr>
          <w:rFonts w:ascii="Times New Roman" w:eastAsia="楷体" w:hAnsi="Times New Roman"/>
        </w:rPr>
        <w:t>相符性分析</w:t>
      </w:r>
    </w:p>
    <w:p w:rsidR="00EB5150" w:rsidRPr="001E051F" w:rsidRDefault="00EB5150" w:rsidP="00EB5150">
      <w:pPr>
        <w:spacing w:line="520" w:lineRule="exact"/>
        <w:ind w:firstLineChars="200" w:firstLine="480"/>
        <w:rPr>
          <w:color w:val="000000" w:themeColor="text1"/>
          <w:kern w:val="28"/>
          <w:sz w:val="24"/>
        </w:rPr>
      </w:pPr>
      <w:r w:rsidRPr="002C09EA">
        <w:rPr>
          <w:kern w:val="28"/>
          <w:sz w:val="24"/>
        </w:rPr>
        <w:t>2018</w:t>
      </w:r>
      <w:r w:rsidRPr="002C09EA">
        <w:rPr>
          <w:kern w:val="28"/>
          <w:sz w:val="24"/>
        </w:rPr>
        <w:t>月</w:t>
      </w:r>
      <w:r>
        <w:rPr>
          <w:rFonts w:hint="eastAsia"/>
          <w:kern w:val="28"/>
          <w:sz w:val="24"/>
        </w:rPr>
        <w:t>6</w:t>
      </w:r>
      <w:r w:rsidRPr="002C09EA">
        <w:rPr>
          <w:kern w:val="28"/>
          <w:sz w:val="24"/>
        </w:rPr>
        <w:t>月，</w:t>
      </w:r>
      <w:r>
        <w:rPr>
          <w:rFonts w:hint="eastAsia"/>
          <w:kern w:val="28"/>
          <w:sz w:val="24"/>
        </w:rPr>
        <w:t>自然资源部</w:t>
      </w:r>
      <w:r w:rsidRPr="002C09EA">
        <w:rPr>
          <w:kern w:val="28"/>
          <w:sz w:val="24"/>
        </w:rPr>
        <w:t>发布了《煤炭</w:t>
      </w:r>
      <w:r>
        <w:rPr>
          <w:rFonts w:hint="eastAsia"/>
          <w:kern w:val="28"/>
          <w:sz w:val="24"/>
        </w:rPr>
        <w:t>行业</w:t>
      </w:r>
      <w:r w:rsidRPr="002C09EA">
        <w:rPr>
          <w:kern w:val="28"/>
          <w:sz w:val="24"/>
        </w:rPr>
        <w:t>绿色矿山建设规范》（</w:t>
      </w:r>
      <w:r w:rsidRPr="002C09EA">
        <w:rPr>
          <w:kern w:val="28"/>
          <w:sz w:val="24"/>
        </w:rPr>
        <w:t>D</w:t>
      </w:r>
      <w:r>
        <w:rPr>
          <w:rFonts w:hint="eastAsia"/>
          <w:kern w:val="28"/>
          <w:sz w:val="24"/>
        </w:rPr>
        <w:t>Z</w:t>
      </w:r>
      <w:r w:rsidRPr="002C09EA">
        <w:rPr>
          <w:kern w:val="28"/>
          <w:sz w:val="24"/>
        </w:rPr>
        <w:t>/T</w:t>
      </w:r>
      <w:r>
        <w:rPr>
          <w:rFonts w:hint="eastAsia"/>
          <w:kern w:val="28"/>
          <w:sz w:val="24"/>
        </w:rPr>
        <w:t>0315</w:t>
      </w:r>
      <w:r w:rsidRPr="002C09EA">
        <w:rPr>
          <w:kern w:val="28"/>
          <w:sz w:val="24"/>
        </w:rPr>
        <w:t>-2018</w:t>
      </w:r>
      <w:r w:rsidRPr="002C09EA">
        <w:rPr>
          <w:kern w:val="28"/>
          <w:sz w:val="24"/>
        </w:rPr>
        <w:t>），</w:t>
      </w:r>
      <w:r w:rsidRPr="002C09EA">
        <w:rPr>
          <w:rFonts w:hint="eastAsia"/>
          <w:kern w:val="28"/>
          <w:sz w:val="24"/>
        </w:rPr>
        <w:t>其相关内容</w:t>
      </w:r>
      <w:r w:rsidRPr="002C09EA">
        <w:rPr>
          <w:rFonts w:hint="eastAsia"/>
          <w:sz w:val="24"/>
        </w:rPr>
        <w:t>及</w:t>
      </w:r>
      <w:r w:rsidRPr="001E051F">
        <w:rPr>
          <w:color w:val="000000" w:themeColor="text1"/>
          <w:sz w:val="24"/>
        </w:rPr>
        <w:t>相符性</w:t>
      </w:r>
      <w:r w:rsidRPr="001E051F">
        <w:rPr>
          <w:rFonts w:hint="eastAsia"/>
          <w:color w:val="000000" w:themeColor="text1"/>
          <w:sz w:val="24"/>
        </w:rPr>
        <w:t>分析</w:t>
      </w:r>
      <w:r w:rsidRPr="001E051F">
        <w:rPr>
          <w:color w:val="000000" w:themeColor="text1"/>
          <w:sz w:val="24"/>
        </w:rPr>
        <w:t>见表</w:t>
      </w:r>
      <w:r w:rsidRPr="001E051F">
        <w:rPr>
          <w:color w:val="000000" w:themeColor="text1"/>
          <w:sz w:val="24"/>
        </w:rPr>
        <w:t>10.3-</w:t>
      </w:r>
      <w:r w:rsidR="00B86E96">
        <w:rPr>
          <w:rFonts w:hint="eastAsia"/>
          <w:color w:val="000000" w:themeColor="text1"/>
          <w:sz w:val="24"/>
        </w:rPr>
        <w:t>10</w:t>
      </w:r>
      <w:r w:rsidRPr="001E051F">
        <w:rPr>
          <w:color w:val="000000" w:themeColor="text1"/>
          <w:sz w:val="24"/>
        </w:rPr>
        <w:t>。</w:t>
      </w:r>
      <w:r w:rsidRPr="001E051F">
        <w:rPr>
          <w:color w:val="000000" w:themeColor="text1"/>
          <w:kern w:val="28"/>
          <w:sz w:val="24"/>
        </w:rPr>
        <w:t>由上表</w:t>
      </w:r>
      <w:r w:rsidRPr="001E051F">
        <w:rPr>
          <w:color w:val="000000" w:themeColor="text1"/>
          <w:kern w:val="28"/>
          <w:sz w:val="24"/>
        </w:rPr>
        <w:t>10.3-</w:t>
      </w:r>
      <w:r w:rsidR="00B86E96">
        <w:rPr>
          <w:rFonts w:hint="eastAsia"/>
          <w:color w:val="000000" w:themeColor="text1"/>
          <w:kern w:val="28"/>
          <w:sz w:val="24"/>
        </w:rPr>
        <w:t>10</w:t>
      </w:r>
      <w:r w:rsidRPr="001E051F">
        <w:rPr>
          <w:color w:val="000000" w:themeColor="text1"/>
          <w:kern w:val="28"/>
          <w:sz w:val="24"/>
        </w:rPr>
        <w:t>分析可知，本项目符合《煤矿行业绿色矿山建设规范》</w:t>
      </w:r>
      <w:r w:rsidRPr="001E051F">
        <w:rPr>
          <w:rFonts w:hint="eastAsia"/>
          <w:color w:val="000000" w:themeColor="text1"/>
          <w:kern w:val="28"/>
          <w:sz w:val="24"/>
        </w:rPr>
        <w:t>（</w:t>
      </w:r>
      <w:r w:rsidRPr="001E051F">
        <w:rPr>
          <w:color w:val="000000" w:themeColor="text1"/>
          <w:kern w:val="28"/>
          <w:sz w:val="24"/>
        </w:rPr>
        <w:t>DZ/T0315-2018</w:t>
      </w:r>
      <w:r w:rsidRPr="001E051F">
        <w:rPr>
          <w:rFonts w:hint="eastAsia"/>
          <w:color w:val="000000" w:themeColor="text1"/>
          <w:kern w:val="28"/>
          <w:sz w:val="24"/>
        </w:rPr>
        <w:t>）</w:t>
      </w:r>
      <w:r w:rsidRPr="001E051F">
        <w:rPr>
          <w:color w:val="000000" w:themeColor="text1"/>
          <w:kern w:val="28"/>
          <w:sz w:val="24"/>
        </w:rPr>
        <w:t>的相关要求。</w:t>
      </w:r>
    </w:p>
    <w:p w:rsidR="00EB5150" w:rsidRDefault="00EB5150" w:rsidP="00B86E96">
      <w:pPr>
        <w:jc w:val="left"/>
        <w:rPr>
          <w:sz w:val="24"/>
          <w:szCs w:val="22"/>
        </w:rPr>
      </w:pPr>
      <w:r>
        <w:rPr>
          <w:sz w:val="24"/>
          <w:szCs w:val="22"/>
        </w:rPr>
        <w:t>表</w:t>
      </w:r>
      <w:r>
        <w:rPr>
          <w:sz w:val="24"/>
          <w:szCs w:val="22"/>
        </w:rPr>
        <w:t>10.3-</w:t>
      </w:r>
      <w:r w:rsidR="00B86E96">
        <w:rPr>
          <w:rFonts w:hint="eastAsia"/>
          <w:sz w:val="24"/>
          <w:szCs w:val="22"/>
        </w:rPr>
        <w:t>10</w:t>
      </w:r>
      <w:r>
        <w:rPr>
          <w:sz w:val="24"/>
          <w:szCs w:val="22"/>
        </w:rPr>
        <w:t xml:space="preserve"> </w:t>
      </w:r>
      <w:r>
        <w:rPr>
          <w:rFonts w:hint="eastAsia"/>
          <w:sz w:val="24"/>
          <w:szCs w:val="22"/>
        </w:rPr>
        <w:t xml:space="preserve"> </w:t>
      </w:r>
      <w:r>
        <w:rPr>
          <w:sz w:val="24"/>
          <w:szCs w:val="22"/>
        </w:rPr>
        <w:t>与</w:t>
      </w:r>
      <w:r w:rsidRPr="00A42A5B">
        <w:rPr>
          <w:sz w:val="24"/>
          <w:szCs w:val="22"/>
        </w:rPr>
        <w:t>《煤矿行业绿色矿山建设规范</w:t>
      </w:r>
      <w:r w:rsidRPr="00A42A5B">
        <w:rPr>
          <w:sz w:val="24"/>
          <w:szCs w:val="22"/>
        </w:rPr>
        <w:t xml:space="preserve"> DZ/T0315-2018</w:t>
      </w:r>
      <w:r w:rsidRPr="00A42A5B">
        <w:rPr>
          <w:sz w:val="24"/>
          <w:szCs w:val="22"/>
        </w:rPr>
        <w:t>》</w:t>
      </w:r>
      <w:r>
        <w:rPr>
          <w:sz w:val="24"/>
          <w:szCs w:val="22"/>
        </w:rPr>
        <w:t>相符性分析</w:t>
      </w:r>
    </w:p>
    <w:tbl>
      <w:tblPr>
        <w:tblW w:w="9583"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7"/>
        <w:gridCol w:w="1078"/>
        <w:gridCol w:w="1546"/>
        <w:gridCol w:w="3543"/>
        <w:gridCol w:w="2213"/>
        <w:gridCol w:w="706"/>
      </w:tblGrid>
      <w:tr w:rsidR="00EB5150" w:rsidRPr="00BC4D95" w:rsidTr="00EB5150">
        <w:trPr>
          <w:cantSplit/>
          <w:jc w:val="center"/>
        </w:trPr>
        <w:tc>
          <w:tcPr>
            <w:tcW w:w="3121" w:type="dxa"/>
            <w:gridSpan w:val="3"/>
            <w:tcBorders>
              <w:top w:val="single" w:sz="4" w:space="0" w:color="auto"/>
              <w:left w:val="single" w:sz="4" w:space="0" w:color="auto"/>
              <w:bottom w:val="single" w:sz="4" w:space="0" w:color="auto"/>
              <w:right w:val="single" w:sz="4" w:space="0" w:color="auto"/>
            </w:tcBorders>
            <w:vAlign w:val="center"/>
            <w:hideMark/>
          </w:tcPr>
          <w:p w:rsidR="00EB5150" w:rsidRPr="00BC4D95"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指标名称</w:t>
            </w:r>
          </w:p>
        </w:tc>
        <w:tc>
          <w:tcPr>
            <w:tcW w:w="3543" w:type="dxa"/>
            <w:tcBorders>
              <w:top w:val="single" w:sz="4" w:space="0" w:color="auto"/>
              <w:left w:val="single" w:sz="4" w:space="0" w:color="auto"/>
              <w:bottom w:val="single" w:sz="4" w:space="0" w:color="auto"/>
              <w:right w:val="single" w:sz="4" w:space="0" w:color="auto"/>
            </w:tcBorders>
            <w:vAlign w:val="center"/>
            <w:hideMark/>
          </w:tcPr>
          <w:p w:rsidR="00EB5150" w:rsidRPr="00BC4D95"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指标要求</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本项目</w:t>
            </w:r>
            <w:r>
              <w:rPr>
                <w:rFonts w:hint="eastAsia"/>
                <w:snapToGrid w:val="0"/>
                <w:color w:val="000000"/>
                <w:kern w:val="28"/>
                <w:sz w:val="21"/>
                <w:szCs w:val="21"/>
              </w:rPr>
              <w:t>情况</w:t>
            </w:r>
          </w:p>
        </w:tc>
        <w:tc>
          <w:tcPr>
            <w:tcW w:w="706" w:type="dxa"/>
            <w:tcBorders>
              <w:top w:val="single" w:sz="4" w:space="0" w:color="auto"/>
              <w:left w:val="single" w:sz="4" w:space="0" w:color="auto"/>
              <w:bottom w:val="single" w:sz="4" w:space="0" w:color="auto"/>
              <w:right w:val="single" w:sz="4" w:space="0" w:color="auto"/>
            </w:tcBorders>
            <w:vAlign w:val="center"/>
            <w:hideMark/>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相符性</w:t>
            </w:r>
          </w:p>
        </w:tc>
      </w:tr>
      <w:tr w:rsidR="00EB5150" w:rsidRPr="00BC4D95" w:rsidTr="00B86E96">
        <w:trPr>
          <w:cantSplit/>
          <w:jc w:val="center"/>
        </w:trPr>
        <w:tc>
          <w:tcPr>
            <w:tcW w:w="497" w:type="dxa"/>
            <w:tcBorders>
              <w:top w:val="single" w:sz="4" w:space="0" w:color="auto"/>
              <w:left w:val="single" w:sz="4" w:space="0" w:color="auto"/>
              <w:right w:val="single" w:sz="4" w:space="0" w:color="auto"/>
            </w:tcBorders>
            <w:vAlign w:val="center"/>
          </w:tcPr>
          <w:p w:rsidR="00EB5150"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绿化</w:t>
            </w:r>
          </w:p>
        </w:tc>
        <w:tc>
          <w:tcPr>
            <w:tcW w:w="2624" w:type="dxa"/>
            <w:gridSpan w:val="2"/>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矿区绿化</w:t>
            </w:r>
            <w:r>
              <w:rPr>
                <w:rFonts w:hint="eastAsia"/>
                <w:snapToGrid w:val="0"/>
                <w:color w:val="000000"/>
                <w:kern w:val="28"/>
                <w:sz w:val="21"/>
                <w:szCs w:val="21"/>
              </w:rPr>
              <w:t>覆盖率</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100</w:t>
            </w:r>
            <w:r w:rsidRPr="00667051">
              <w:rPr>
                <w:rFonts w:hint="eastAsia"/>
                <w:snapToGrid w:val="0"/>
                <w:color w:val="000000"/>
                <w:kern w:val="28"/>
                <w:sz w:val="21"/>
                <w:szCs w:val="21"/>
              </w:rPr>
              <w:t>%</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BC4D95">
              <w:rPr>
                <w:rFonts w:hint="eastAsia"/>
                <w:snapToGrid w:val="0"/>
                <w:color w:val="000000"/>
                <w:kern w:val="28"/>
                <w:sz w:val="21"/>
                <w:szCs w:val="21"/>
              </w:rPr>
              <w:t>可绿化区域绿化覆盖率达到</w:t>
            </w:r>
            <w:r w:rsidRPr="00BC4D95">
              <w:rPr>
                <w:snapToGrid w:val="0"/>
                <w:color w:val="000000"/>
                <w:kern w:val="28"/>
                <w:sz w:val="21"/>
                <w:szCs w:val="21"/>
              </w:rPr>
              <w:t>100%</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符合</w:t>
            </w:r>
          </w:p>
        </w:tc>
      </w:tr>
      <w:tr w:rsidR="00EB5150" w:rsidRPr="00BC4D95" w:rsidTr="00B86E96">
        <w:trPr>
          <w:cantSplit/>
          <w:jc w:val="center"/>
        </w:trPr>
        <w:tc>
          <w:tcPr>
            <w:tcW w:w="497" w:type="dxa"/>
            <w:vMerge w:val="restart"/>
            <w:tcBorders>
              <w:top w:val="single" w:sz="4" w:space="0" w:color="auto"/>
              <w:left w:val="single" w:sz="4" w:space="0" w:color="auto"/>
              <w:right w:val="single" w:sz="4" w:space="0" w:color="auto"/>
            </w:tcBorders>
            <w:vAlign w:val="center"/>
          </w:tcPr>
          <w:p w:rsidR="00EB5150"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资源开发利用</w:t>
            </w:r>
          </w:p>
        </w:tc>
        <w:tc>
          <w:tcPr>
            <w:tcW w:w="1078" w:type="dxa"/>
            <w:vMerge w:val="restart"/>
            <w:tcBorders>
              <w:top w:val="single" w:sz="4" w:space="0" w:color="auto"/>
              <w:left w:val="single" w:sz="4" w:space="0" w:color="auto"/>
              <w:right w:val="single" w:sz="4" w:space="0" w:color="auto"/>
            </w:tcBorders>
            <w:vAlign w:val="center"/>
          </w:tcPr>
          <w:p w:rsidR="00EB5150" w:rsidRPr="0043145B" w:rsidRDefault="00EB5150" w:rsidP="00EB5150">
            <w:pPr>
              <w:snapToGrid w:val="0"/>
              <w:spacing w:line="280" w:lineRule="exact"/>
              <w:jc w:val="center"/>
              <w:rPr>
                <w:snapToGrid w:val="0"/>
                <w:color w:val="000000"/>
                <w:kern w:val="28"/>
                <w:sz w:val="21"/>
                <w:szCs w:val="21"/>
              </w:rPr>
            </w:pPr>
            <w:r w:rsidRPr="0043145B">
              <w:rPr>
                <w:rFonts w:hint="eastAsia"/>
                <w:snapToGrid w:val="0"/>
                <w:color w:val="000000"/>
                <w:kern w:val="28"/>
                <w:sz w:val="21"/>
                <w:szCs w:val="21"/>
              </w:rPr>
              <w:t>减排保护</w:t>
            </w:r>
          </w:p>
          <w:p w:rsidR="00EB5150" w:rsidRPr="00BC4D95" w:rsidRDefault="00EB5150" w:rsidP="00EB5150">
            <w:pPr>
              <w:snapToGrid w:val="0"/>
              <w:spacing w:line="280" w:lineRule="exact"/>
              <w:jc w:val="center"/>
              <w:rPr>
                <w:snapToGrid w:val="0"/>
                <w:color w:val="000000"/>
                <w:kern w:val="28"/>
                <w:sz w:val="21"/>
                <w:szCs w:val="21"/>
              </w:rPr>
            </w:pPr>
            <w:r w:rsidRPr="0043145B">
              <w:rPr>
                <w:rFonts w:hint="eastAsia"/>
                <w:snapToGrid w:val="0"/>
                <w:color w:val="000000"/>
                <w:kern w:val="28"/>
                <w:sz w:val="21"/>
                <w:szCs w:val="21"/>
              </w:rPr>
              <w:t>开采技术</w:t>
            </w:r>
          </w:p>
        </w:tc>
        <w:tc>
          <w:tcPr>
            <w:tcW w:w="1546" w:type="dxa"/>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sidRPr="0043145B">
              <w:rPr>
                <w:rFonts w:hint="eastAsia"/>
                <w:snapToGrid w:val="0"/>
                <w:color w:val="000000"/>
                <w:kern w:val="28"/>
                <w:sz w:val="21"/>
                <w:szCs w:val="21"/>
              </w:rPr>
              <w:t>充填开采</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B86E96" w:rsidRDefault="00EB5150" w:rsidP="00EB5150">
            <w:pPr>
              <w:snapToGrid w:val="0"/>
              <w:spacing w:line="280" w:lineRule="exact"/>
              <w:rPr>
                <w:snapToGrid w:val="0"/>
                <w:color w:val="000000"/>
                <w:w w:val="85"/>
                <w:kern w:val="28"/>
                <w:sz w:val="21"/>
                <w:szCs w:val="21"/>
              </w:rPr>
            </w:pPr>
            <w:r w:rsidRPr="00B86E96">
              <w:rPr>
                <w:rFonts w:hint="eastAsia"/>
                <w:snapToGrid w:val="0"/>
                <w:color w:val="000000"/>
                <w:w w:val="85"/>
                <w:kern w:val="28"/>
                <w:sz w:val="21"/>
                <w:szCs w:val="21"/>
              </w:rPr>
              <w:t>优先采用充填开采，在不产生二次污染的前提下，优先利用煤矸石等固体废物充填采空区</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w:t>
            </w:r>
          </w:p>
        </w:tc>
      </w:tr>
      <w:tr w:rsidR="00EB5150" w:rsidRPr="00BC4D95" w:rsidTr="00B86E96">
        <w:trPr>
          <w:cantSplit/>
          <w:jc w:val="center"/>
        </w:trPr>
        <w:tc>
          <w:tcPr>
            <w:tcW w:w="497" w:type="dxa"/>
            <w:vMerge/>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vMerge/>
            <w:tcBorders>
              <w:left w:val="single" w:sz="4" w:space="0" w:color="auto"/>
              <w:right w:val="single" w:sz="4" w:space="0" w:color="auto"/>
            </w:tcBorders>
            <w:vAlign w:val="center"/>
          </w:tcPr>
          <w:p w:rsidR="00EB5150" w:rsidRPr="0043145B" w:rsidRDefault="00EB5150" w:rsidP="00EB5150">
            <w:pPr>
              <w:snapToGrid w:val="0"/>
              <w:spacing w:line="280" w:lineRule="exact"/>
              <w:jc w:val="center"/>
              <w:rPr>
                <w:snapToGrid w:val="0"/>
                <w:color w:val="000000"/>
                <w:kern w:val="28"/>
                <w:sz w:val="21"/>
                <w:szCs w:val="21"/>
              </w:rPr>
            </w:pPr>
          </w:p>
        </w:tc>
        <w:tc>
          <w:tcPr>
            <w:tcW w:w="1546" w:type="dxa"/>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sidRPr="0043145B">
              <w:rPr>
                <w:rFonts w:hint="eastAsia"/>
                <w:snapToGrid w:val="0"/>
                <w:color w:val="000000"/>
                <w:kern w:val="28"/>
                <w:sz w:val="21"/>
                <w:szCs w:val="21"/>
              </w:rPr>
              <w:t>保水开采</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B86E96" w:rsidRDefault="00EB5150" w:rsidP="00EB5150">
            <w:pPr>
              <w:snapToGrid w:val="0"/>
              <w:spacing w:line="280" w:lineRule="exact"/>
              <w:rPr>
                <w:snapToGrid w:val="0"/>
                <w:color w:val="000000"/>
                <w:w w:val="90"/>
                <w:kern w:val="28"/>
                <w:sz w:val="21"/>
                <w:szCs w:val="21"/>
              </w:rPr>
            </w:pPr>
            <w:r w:rsidRPr="00B86E96">
              <w:rPr>
                <w:rFonts w:hint="eastAsia"/>
                <w:snapToGrid w:val="0"/>
                <w:color w:val="000000"/>
                <w:w w:val="90"/>
                <w:kern w:val="28"/>
                <w:sz w:val="21"/>
                <w:szCs w:val="21"/>
              </w:rPr>
              <w:t>西部生态脆弱区、井下强含水层或地下水严重渗漏区应采用保水开采技术；有可能与重要河流、水库、民用水源联通的区域应通过帷幕、隔水层加固等方式有效隔离</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w:t>
            </w:r>
          </w:p>
        </w:tc>
      </w:tr>
      <w:tr w:rsidR="00EB5150" w:rsidRPr="00BC4D95" w:rsidTr="00B86E96">
        <w:trPr>
          <w:cantSplit/>
          <w:jc w:val="center"/>
        </w:trPr>
        <w:tc>
          <w:tcPr>
            <w:tcW w:w="497" w:type="dxa"/>
            <w:vMerge/>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vMerge w:val="restart"/>
            <w:tcBorders>
              <w:left w:val="single" w:sz="4" w:space="0" w:color="auto"/>
              <w:right w:val="single" w:sz="4" w:space="0" w:color="auto"/>
            </w:tcBorders>
            <w:vAlign w:val="center"/>
          </w:tcPr>
          <w:p w:rsidR="00EB5150" w:rsidRPr="0043145B"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开采方式与方法</w:t>
            </w:r>
          </w:p>
        </w:tc>
        <w:tc>
          <w:tcPr>
            <w:tcW w:w="1546" w:type="dxa"/>
            <w:tcBorders>
              <w:top w:val="single" w:sz="4" w:space="0" w:color="auto"/>
              <w:left w:val="single" w:sz="4" w:space="0" w:color="auto"/>
              <w:right w:val="single" w:sz="4" w:space="0" w:color="auto"/>
            </w:tcBorders>
            <w:vAlign w:val="center"/>
          </w:tcPr>
          <w:p w:rsidR="00EB5150" w:rsidRPr="0043145B" w:rsidRDefault="00EB5150" w:rsidP="00EB5150">
            <w:pPr>
              <w:snapToGrid w:val="0"/>
              <w:spacing w:line="280" w:lineRule="exact"/>
              <w:jc w:val="center"/>
              <w:rPr>
                <w:snapToGrid w:val="0"/>
                <w:color w:val="000000"/>
                <w:kern w:val="28"/>
                <w:sz w:val="21"/>
                <w:szCs w:val="21"/>
              </w:rPr>
            </w:pPr>
            <w:r w:rsidRPr="0043145B">
              <w:rPr>
                <w:rFonts w:hint="eastAsia"/>
                <w:snapToGrid w:val="0"/>
                <w:color w:val="000000"/>
                <w:kern w:val="28"/>
                <w:sz w:val="21"/>
                <w:szCs w:val="21"/>
              </w:rPr>
              <w:t>综掘机械化程度</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43145B" w:rsidRDefault="00EB5150" w:rsidP="00EB5150">
            <w:pPr>
              <w:snapToGrid w:val="0"/>
              <w:spacing w:line="280" w:lineRule="exact"/>
              <w:rPr>
                <w:snapToGrid w:val="0"/>
                <w:color w:val="000000"/>
                <w:kern w:val="28"/>
                <w:sz w:val="21"/>
                <w:szCs w:val="21"/>
              </w:rPr>
            </w:pPr>
            <w:r w:rsidRPr="0043145B">
              <w:rPr>
                <w:rFonts w:hint="eastAsia"/>
                <w:snapToGrid w:val="0"/>
                <w:color w:val="000000"/>
                <w:kern w:val="28"/>
                <w:sz w:val="21"/>
                <w:szCs w:val="21"/>
              </w:rPr>
              <w:t>≥</w:t>
            </w:r>
            <w:r w:rsidRPr="0043145B">
              <w:rPr>
                <w:rFonts w:hint="eastAsia"/>
                <w:snapToGrid w:val="0"/>
                <w:color w:val="000000"/>
                <w:kern w:val="28"/>
                <w:sz w:val="21"/>
                <w:szCs w:val="21"/>
              </w:rPr>
              <w:t>65%</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70</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符合</w:t>
            </w:r>
          </w:p>
        </w:tc>
      </w:tr>
      <w:tr w:rsidR="00EB5150" w:rsidRPr="00BC4D95" w:rsidTr="00B86E96">
        <w:trPr>
          <w:cantSplit/>
          <w:jc w:val="center"/>
        </w:trPr>
        <w:tc>
          <w:tcPr>
            <w:tcW w:w="497" w:type="dxa"/>
            <w:vMerge/>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vMerge/>
            <w:tcBorders>
              <w:left w:val="single" w:sz="4" w:space="0" w:color="auto"/>
              <w:right w:val="single" w:sz="4" w:space="0" w:color="auto"/>
            </w:tcBorders>
            <w:vAlign w:val="center"/>
          </w:tcPr>
          <w:p w:rsidR="00EB5150" w:rsidRPr="0043145B" w:rsidRDefault="00EB5150" w:rsidP="00EB5150">
            <w:pPr>
              <w:snapToGrid w:val="0"/>
              <w:spacing w:line="280" w:lineRule="exact"/>
              <w:jc w:val="center"/>
              <w:rPr>
                <w:snapToGrid w:val="0"/>
                <w:color w:val="000000"/>
                <w:kern w:val="28"/>
                <w:sz w:val="21"/>
                <w:szCs w:val="21"/>
              </w:rPr>
            </w:pPr>
          </w:p>
        </w:tc>
        <w:tc>
          <w:tcPr>
            <w:tcW w:w="1546" w:type="dxa"/>
            <w:tcBorders>
              <w:top w:val="single" w:sz="4" w:space="0" w:color="auto"/>
              <w:left w:val="single" w:sz="4" w:space="0" w:color="auto"/>
              <w:right w:val="single" w:sz="4" w:space="0" w:color="auto"/>
            </w:tcBorders>
            <w:vAlign w:val="center"/>
          </w:tcPr>
          <w:p w:rsidR="00EB5150" w:rsidRPr="0043145B" w:rsidRDefault="00EB5150" w:rsidP="00EB5150">
            <w:pPr>
              <w:snapToGrid w:val="0"/>
              <w:spacing w:line="280" w:lineRule="exact"/>
              <w:jc w:val="center"/>
              <w:rPr>
                <w:snapToGrid w:val="0"/>
                <w:color w:val="000000"/>
                <w:kern w:val="28"/>
                <w:sz w:val="21"/>
                <w:szCs w:val="21"/>
              </w:rPr>
            </w:pPr>
            <w:r w:rsidRPr="0043145B">
              <w:rPr>
                <w:rFonts w:hint="eastAsia"/>
                <w:snapToGrid w:val="0"/>
                <w:color w:val="000000"/>
                <w:kern w:val="28"/>
                <w:sz w:val="21"/>
                <w:szCs w:val="21"/>
              </w:rPr>
              <w:t>综采机械化程度</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43145B" w:rsidRDefault="00EB5150" w:rsidP="00EB5150">
            <w:pPr>
              <w:snapToGrid w:val="0"/>
              <w:spacing w:line="280" w:lineRule="exact"/>
              <w:rPr>
                <w:snapToGrid w:val="0"/>
                <w:color w:val="000000"/>
                <w:kern w:val="28"/>
                <w:sz w:val="21"/>
                <w:szCs w:val="21"/>
              </w:rPr>
            </w:pPr>
            <w:r w:rsidRPr="0043145B">
              <w:rPr>
                <w:rFonts w:hint="eastAsia"/>
                <w:snapToGrid w:val="0"/>
                <w:color w:val="000000"/>
                <w:kern w:val="28"/>
                <w:sz w:val="21"/>
                <w:szCs w:val="21"/>
              </w:rPr>
              <w:t>≥</w:t>
            </w:r>
            <w:r>
              <w:rPr>
                <w:rFonts w:hint="eastAsia"/>
                <w:snapToGrid w:val="0"/>
                <w:color w:val="000000"/>
                <w:kern w:val="28"/>
                <w:sz w:val="21"/>
                <w:szCs w:val="21"/>
              </w:rPr>
              <w:t>8</w:t>
            </w:r>
            <w:r w:rsidRPr="0043145B">
              <w:rPr>
                <w:rFonts w:hint="eastAsia"/>
                <w:snapToGrid w:val="0"/>
                <w:color w:val="000000"/>
                <w:kern w:val="28"/>
                <w:sz w:val="21"/>
                <w:szCs w:val="21"/>
              </w:rPr>
              <w:t>5%</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85</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符合</w:t>
            </w:r>
          </w:p>
        </w:tc>
      </w:tr>
      <w:tr w:rsidR="00EB5150" w:rsidRPr="00BC4D95" w:rsidTr="00B86E96">
        <w:trPr>
          <w:cantSplit/>
          <w:jc w:val="center"/>
        </w:trPr>
        <w:tc>
          <w:tcPr>
            <w:tcW w:w="497" w:type="dxa"/>
            <w:vMerge/>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tcBorders>
              <w:left w:val="single" w:sz="4" w:space="0" w:color="auto"/>
              <w:right w:val="single" w:sz="4" w:space="0" w:color="auto"/>
            </w:tcBorders>
            <w:vAlign w:val="center"/>
          </w:tcPr>
          <w:p w:rsidR="00EB5150" w:rsidRPr="00BC4D95" w:rsidRDefault="00EB5150" w:rsidP="00B86E96">
            <w:pPr>
              <w:snapToGrid w:val="0"/>
              <w:spacing w:line="280" w:lineRule="exact"/>
              <w:jc w:val="center"/>
              <w:rPr>
                <w:snapToGrid w:val="0"/>
                <w:color w:val="000000"/>
                <w:kern w:val="28"/>
                <w:sz w:val="21"/>
                <w:szCs w:val="21"/>
              </w:rPr>
            </w:pPr>
            <w:r w:rsidRPr="0043145B">
              <w:rPr>
                <w:rFonts w:hint="eastAsia"/>
                <w:snapToGrid w:val="0"/>
                <w:color w:val="000000"/>
                <w:kern w:val="28"/>
                <w:sz w:val="21"/>
                <w:szCs w:val="21"/>
              </w:rPr>
              <w:t>采区回采率</w:t>
            </w:r>
          </w:p>
        </w:tc>
        <w:tc>
          <w:tcPr>
            <w:tcW w:w="154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sidRPr="0043145B">
              <w:rPr>
                <w:rFonts w:hint="eastAsia"/>
                <w:snapToGrid w:val="0"/>
                <w:color w:val="000000"/>
                <w:kern w:val="28"/>
                <w:sz w:val="21"/>
                <w:szCs w:val="21"/>
              </w:rPr>
              <w:t>1.5m&lt;</w:t>
            </w:r>
            <w:r w:rsidRPr="0043145B">
              <w:rPr>
                <w:rFonts w:hint="eastAsia"/>
                <w:snapToGrid w:val="0"/>
                <w:color w:val="000000"/>
                <w:kern w:val="28"/>
                <w:sz w:val="21"/>
                <w:szCs w:val="21"/>
              </w:rPr>
              <w:t>煤厚≤</w:t>
            </w:r>
            <w:r w:rsidRPr="0043145B">
              <w:rPr>
                <w:rFonts w:hint="eastAsia"/>
                <w:snapToGrid w:val="0"/>
                <w:color w:val="000000"/>
                <w:kern w:val="28"/>
                <w:sz w:val="21"/>
                <w:szCs w:val="21"/>
              </w:rPr>
              <w:t>4m</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43145B">
              <w:rPr>
                <w:rFonts w:hint="eastAsia"/>
                <w:snapToGrid w:val="0"/>
                <w:color w:val="000000"/>
                <w:kern w:val="28"/>
                <w:sz w:val="21"/>
                <w:szCs w:val="21"/>
              </w:rPr>
              <w:t>≥</w:t>
            </w:r>
            <w:r w:rsidRPr="0043145B">
              <w:rPr>
                <w:rFonts w:hint="eastAsia"/>
                <w:snapToGrid w:val="0"/>
                <w:color w:val="000000"/>
                <w:kern w:val="28"/>
                <w:sz w:val="21"/>
                <w:szCs w:val="21"/>
              </w:rPr>
              <w:t>84%</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Pr>
                <w:rFonts w:hint="eastAsia"/>
                <w:snapToGrid w:val="0"/>
                <w:color w:val="000000"/>
                <w:kern w:val="28"/>
                <w:sz w:val="21"/>
                <w:szCs w:val="21"/>
              </w:rPr>
              <w:t>85</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497" w:type="dxa"/>
            <w:vMerge/>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vMerge w:val="restart"/>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Pr>
                <w:rFonts w:hint="eastAsia"/>
                <w:snapToGrid w:val="0"/>
                <w:color w:val="000000"/>
                <w:kern w:val="28"/>
                <w:sz w:val="21"/>
                <w:szCs w:val="21"/>
              </w:rPr>
              <w:t>生态环境</w:t>
            </w:r>
          </w:p>
        </w:tc>
        <w:tc>
          <w:tcPr>
            <w:tcW w:w="5089" w:type="dxa"/>
            <w:gridSpan w:val="2"/>
            <w:vMerge w:val="restart"/>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400C99">
              <w:rPr>
                <w:rFonts w:hint="eastAsia"/>
                <w:snapToGrid w:val="0"/>
                <w:color w:val="000000"/>
                <w:kern w:val="28"/>
                <w:sz w:val="21"/>
                <w:szCs w:val="21"/>
              </w:rPr>
              <w:t>对地表沉陷进行动态监测；建立环境监测机制，对瓦斯、矿井水、噪音等污染物进行动态监测；对开采中、开采后的土地复垦区域稳定性进行动态监测</w:t>
            </w:r>
          </w:p>
        </w:tc>
        <w:tc>
          <w:tcPr>
            <w:tcW w:w="2213" w:type="dxa"/>
            <w:vMerge w:val="restart"/>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400C99">
              <w:rPr>
                <w:rFonts w:hint="eastAsia"/>
                <w:snapToGrid w:val="0"/>
                <w:color w:val="000000"/>
                <w:kern w:val="28"/>
                <w:sz w:val="21"/>
                <w:szCs w:val="21"/>
              </w:rPr>
              <w:t>环评要求对地表沉陷、土地复垦进行动态监测；对矿井水、噪音等污染物按计划进行监测</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497" w:type="dxa"/>
            <w:vMerge/>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vMerge/>
            <w:tcBorders>
              <w:left w:val="single" w:sz="4" w:space="0" w:color="auto"/>
              <w:right w:val="single" w:sz="4" w:space="0" w:color="auto"/>
            </w:tcBorders>
            <w:vAlign w:val="center"/>
          </w:tcPr>
          <w:p w:rsidR="00EB5150" w:rsidRPr="00BC4D95" w:rsidRDefault="00EB5150" w:rsidP="00EB5150">
            <w:pPr>
              <w:widowControl/>
              <w:spacing w:line="280" w:lineRule="exact"/>
              <w:jc w:val="left"/>
              <w:rPr>
                <w:snapToGrid w:val="0"/>
                <w:color w:val="000000"/>
                <w:kern w:val="28"/>
                <w:sz w:val="21"/>
                <w:szCs w:val="21"/>
              </w:rPr>
            </w:pPr>
          </w:p>
        </w:tc>
        <w:tc>
          <w:tcPr>
            <w:tcW w:w="5089" w:type="dxa"/>
            <w:gridSpan w:val="2"/>
            <w:vMerge/>
            <w:tcBorders>
              <w:left w:val="single" w:sz="4" w:space="0" w:color="auto"/>
              <w:bottom w:val="single" w:sz="4" w:space="0" w:color="auto"/>
              <w:right w:val="single" w:sz="4" w:space="0" w:color="auto"/>
            </w:tcBorders>
            <w:vAlign w:val="center"/>
          </w:tcPr>
          <w:p w:rsidR="00EB5150" w:rsidRPr="00BC4D95" w:rsidRDefault="00EB5150" w:rsidP="00EB5150">
            <w:pPr>
              <w:widowControl/>
              <w:spacing w:line="280" w:lineRule="exact"/>
              <w:jc w:val="left"/>
              <w:rPr>
                <w:snapToGrid w:val="0"/>
                <w:color w:val="000000"/>
                <w:kern w:val="28"/>
                <w:sz w:val="21"/>
                <w:szCs w:val="21"/>
              </w:rPr>
            </w:pPr>
          </w:p>
        </w:tc>
        <w:tc>
          <w:tcPr>
            <w:tcW w:w="2213" w:type="dxa"/>
            <w:vMerge/>
            <w:tcBorders>
              <w:left w:val="single" w:sz="4" w:space="0" w:color="auto"/>
              <w:bottom w:val="single" w:sz="4" w:space="0" w:color="auto"/>
              <w:right w:val="single" w:sz="4" w:space="0" w:color="auto"/>
            </w:tcBorders>
            <w:vAlign w:val="center"/>
          </w:tcPr>
          <w:p w:rsidR="00EB5150" w:rsidRPr="00BC4D95" w:rsidRDefault="00EB5150" w:rsidP="00EB5150">
            <w:pPr>
              <w:widowControl/>
              <w:spacing w:line="280" w:lineRule="exact"/>
              <w:jc w:val="left"/>
              <w:rPr>
                <w:snapToGrid w:val="0"/>
                <w:color w:val="000000"/>
                <w:kern w:val="28"/>
                <w:sz w:val="21"/>
                <w:szCs w:val="21"/>
              </w:rPr>
            </w:pP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497" w:type="dxa"/>
            <w:vMerge w:val="restart"/>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color w:val="000000"/>
                <w:sz w:val="21"/>
                <w:szCs w:val="21"/>
              </w:rPr>
              <w:t>资源综合利用</w:t>
            </w:r>
          </w:p>
        </w:tc>
        <w:tc>
          <w:tcPr>
            <w:tcW w:w="1078" w:type="dxa"/>
            <w:tcBorders>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912E36">
              <w:rPr>
                <w:rFonts w:hint="eastAsia"/>
                <w:snapToGrid w:val="0"/>
                <w:color w:val="000000"/>
                <w:kern w:val="28"/>
                <w:sz w:val="21"/>
                <w:szCs w:val="21"/>
              </w:rPr>
              <w:t>固体废弃物资源化利用</w:t>
            </w:r>
          </w:p>
        </w:tc>
        <w:tc>
          <w:tcPr>
            <w:tcW w:w="1546" w:type="dxa"/>
            <w:tcBorders>
              <w:top w:val="single" w:sz="4" w:space="0" w:color="auto"/>
              <w:left w:val="single" w:sz="4" w:space="0" w:color="auto"/>
              <w:bottom w:val="single" w:sz="4" w:space="0" w:color="auto"/>
              <w:right w:val="single" w:sz="4" w:space="0" w:color="auto"/>
            </w:tcBorders>
            <w:vAlign w:val="center"/>
          </w:tcPr>
          <w:p w:rsidR="00EB5150" w:rsidRPr="009340C2" w:rsidRDefault="00EB5150" w:rsidP="00EB5150">
            <w:pPr>
              <w:snapToGrid w:val="0"/>
              <w:spacing w:line="280" w:lineRule="exact"/>
              <w:rPr>
                <w:snapToGrid w:val="0"/>
                <w:color w:val="000000"/>
                <w:kern w:val="28"/>
                <w:sz w:val="21"/>
                <w:szCs w:val="21"/>
              </w:rPr>
            </w:pPr>
            <w:r w:rsidRPr="00400C99">
              <w:rPr>
                <w:rFonts w:hint="eastAsia"/>
                <w:snapToGrid w:val="0"/>
                <w:color w:val="000000"/>
                <w:kern w:val="28"/>
                <w:sz w:val="21"/>
                <w:szCs w:val="21"/>
              </w:rPr>
              <w:t>矸石处置率</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9340C2" w:rsidRDefault="00EB5150" w:rsidP="00EB5150">
            <w:pPr>
              <w:snapToGrid w:val="0"/>
              <w:spacing w:line="280" w:lineRule="exact"/>
              <w:rPr>
                <w:snapToGrid w:val="0"/>
                <w:color w:val="000000"/>
                <w:kern w:val="28"/>
                <w:sz w:val="21"/>
                <w:szCs w:val="21"/>
              </w:rPr>
            </w:pPr>
            <w:r w:rsidRPr="00400C99">
              <w:rPr>
                <w:snapToGrid w:val="0"/>
                <w:color w:val="000000"/>
                <w:kern w:val="28"/>
                <w:sz w:val="21"/>
                <w:szCs w:val="21"/>
              </w:rPr>
              <w:t>100%</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9340C2" w:rsidRDefault="00EB5150" w:rsidP="00EB5150">
            <w:pPr>
              <w:snapToGrid w:val="0"/>
              <w:spacing w:line="280" w:lineRule="exact"/>
              <w:rPr>
                <w:snapToGrid w:val="0"/>
                <w:color w:val="000000"/>
                <w:kern w:val="28"/>
                <w:sz w:val="21"/>
                <w:szCs w:val="21"/>
              </w:rPr>
            </w:pPr>
            <w:r w:rsidRPr="00400C99">
              <w:rPr>
                <w:snapToGrid w:val="0"/>
                <w:color w:val="000000"/>
                <w:kern w:val="28"/>
                <w:sz w:val="21"/>
                <w:szCs w:val="21"/>
              </w:rPr>
              <w:t>100%</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9340C2" w:rsidRDefault="00EB5150" w:rsidP="00EB5150">
            <w:pPr>
              <w:spacing w:line="280" w:lineRule="exact"/>
              <w:jc w:val="center"/>
              <w:rPr>
                <w:snapToGrid w:val="0"/>
                <w:color w:val="000000"/>
                <w:kern w:val="28"/>
                <w:sz w:val="21"/>
                <w:szCs w:val="21"/>
              </w:rPr>
            </w:pPr>
            <w:r>
              <w:rPr>
                <w:rFonts w:hint="eastAsia"/>
                <w:snapToGrid w:val="0"/>
                <w:color w:val="000000"/>
                <w:kern w:val="28"/>
                <w:sz w:val="21"/>
                <w:szCs w:val="21"/>
              </w:rPr>
              <w:t>符合</w:t>
            </w:r>
          </w:p>
        </w:tc>
      </w:tr>
      <w:tr w:rsidR="00EB5150" w:rsidRPr="00BC4D95" w:rsidTr="00B86E96">
        <w:trPr>
          <w:cantSplit/>
          <w:jc w:val="center"/>
        </w:trPr>
        <w:tc>
          <w:tcPr>
            <w:tcW w:w="497" w:type="dxa"/>
            <w:vMerge/>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vMerge w:val="restart"/>
            <w:tcBorders>
              <w:left w:val="single" w:sz="4" w:space="0" w:color="auto"/>
              <w:right w:val="single" w:sz="4" w:space="0" w:color="auto"/>
            </w:tcBorders>
            <w:vAlign w:val="center"/>
          </w:tcPr>
          <w:p w:rsidR="00EB5150" w:rsidRPr="00BC4D95" w:rsidRDefault="00EB5150" w:rsidP="00EB5150">
            <w:pPr>
              <w:widowControl/>
              <w:spacing w:line="280" w:lineRule="exact"/>
              <w:jc w:val="left"/>
              <w:rPr>
                <w:snapToGrid w:val="0"/>
                <w:color w:val="000000"/>
                <w:kern w:val="28"/>
                <w:sz w:val="21"/>
                <w:szCs w:val="21"/>
              </w:rPr>
            </w:pPr>
            <w:r>
              <w:rPr>
                <w:rFonts w:hint="eastAsia"/>
                <w:snapToGrid w:val="0"/>
                <w:color w:val="000000"/>
                <w:kern w:val="28"/>
                <w:sz w:val="21"/>
                <w:szCs w:val="21"/>
              </w:rPr>
              <w:t>矿井水利用</w:t>
            </w:r>
          </w:p>
        </w:tc>
        <w:tc>
          <w:tcPr>
            <w:tcW w:w="1546" w:type="dxa"/>
            <w:tcBorders>
              <w:top w:val="single" w:sz="4" w:space="0" w:color="auto"/>
              <w:left w:val="single" w:sz="4" w:space="0" w:color="auto"/>
              <w:bottom w:val="single" w:sz="4" w:space="0" w:color="auto"/>
              <w:right w:val="single" w:sz="4" w:space="0" w:color="auto"/>
            </w:tcBorders>
            <w:vAlign w:val="center"/>
          </w:tcPr>
          <w:p w:rsidR="00EB5150" w:rsidRPr="009340C2" w:rsidRDefault="00EB5150" w:rsidP="00EB5150">
            <w:pPr>
              <w:snapToGrid w:val="0"/>
              <w:spacing w:line="280" w:lineRule="exact"/>
              <w:rPr>
                <w:snapToGrid w:val="0"/>
                <w:color w:val="000000"/>
                <w:w w:val="95"/>
                <w:kern w:val="28"/>
                <w:sz w:val="21"/>
                <w:szCs w:val="21"/>
              </w:rPr>
            </w:pPr>
            <w:r w:rsidRPr="00400C99">
              <w:rPr>
                <w:rFonts w:hint="eastAsia"/>
                <w:snapToGrid w:val="0"/>
                <w:color w:val="000000"/>
                <w:w w:val="95"/>
                <w:kern w:val="28"/>
                <w:sz w:val="21"/>
                <w:szCs w:val="21"/>
              </w:rPr>
              <w:t>矿井水处置率</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912E36" w:rsidRDefault="00EB5150" w:rsidP="00EB5150">
            <w:pPr>
              <w:widowControl/>
              <w:spacing w:line="280" w:lineRule="exact"/>
              <w:jc w:val="left"/>
              <w:rPr>
                <w:snapToGrid w:val="0"/>
                <w:color w:val="000000"/>
                <w:kern w:val="28"/>
                <w:sz w:val="21"/>
                <w:szCs w:val="21"/>
              </w:rPr>
            </w:pPr>
            <w:r w:rsidRPr="00400C99">
              <w:rPr>
                <w:snapToGrid w:val="0"/>
                <w:color w:val="000000"/>
                <w:kern w:val="28"/>
                <w:sz w:val="21"/>
                <w:szCs w:val="21"/>
              </w:rPr>
              <w:t>100%</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912E36" w:rsidRDefault="00EB5150" w:rsidP="00EB5150">
            <w:pPr>
              <w:widowControl/>
              <w:spacing w:line="280" w:lineRule="exact"/>
              <w:jc w:val="left"/>
              <w:rPr>
                <w:snapToGrid w:val="0"/>
                <w:color w:val="000000"/>
                <w:kern w:val="28"/>
                <w:sz w:val="21"/>
                <w:szCs w:val="21"/>
              </w:rPr>
            </w:pPr>
            <w:r w:rsidRPr="00400C99">
              <w:rPr>
                <w:snapToGrid w:val="0"/>
                <w:color w:val="000000"/>
                <w:kern w:val="28"/>
                <w:sz w:val="21"/>
                <w:szCs w:val="21"/>
              </w:rPr>
              <w:t>100%</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497" w:type="dxa"/>
            <w:vMerge/>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vMerge/>
            <w:tcBorders>
              <w:left w:val="single" w:sz="4" w:space="0" w:color="auto"/>
              <w:right w:val="single" w:sz="4" w:space="0" w:color="auto"/>
            </w:tcBorders>
            <w:vAlign w:val="center"/>
          </w:tcPr>
          <w:p w:rsidR="00EB5150" w:rsidRPr="00BC4D95" w:rsidRDefault="00EB5150" w:rsidP="00EB5150">
            <w:pPr>
              <w:widowControl/>
              <w:spacing w:line="280" w:lineRule="exact"/>
              <w:jc w:val="left"/>
              <w:rPr>
                <w:snapToGrid w:val="0"/>
                <w:color w:val="000000"/>
                <w:kern w:val="28"/>
                <w:sz w:val="21"/>
                <w:szCs w:val="21"/>
              </w:rPr>
            </w:pPr>
          </w:p>
        </w:tc>
        <w:tc>
          <w:tcPr>
            <w:tcW w:w="154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400C99">
              <w:rPr>
                <w:rFonts w:hint="eastAsia"/>
                <w:snapToGrid w:val="0"/>
                <w:color w:val="000000"/>
                <w:w w:val="95"/>
                <w:kern w:val="28"/>
                <w:sz w:val="21"/>
                <w:szCs w:val="21"/>
              </w:rPr>
              <w:t>矿井水利用率</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400C99">
              <w:rPr>
                <w:rFonts w:hint="eastAsia"/>
                <w:snapToGrid w:val="0"/>
                <w:color w:val="000000"/>
                <w:kern w:val="28"/>
                <w:sz w:val="21"/>
                <w:szCs w:val="21"/>
              </w:rPr>
              <w:t>水资源短缺区域</w:t>
            </w:r>
            <w:r w:rsidRPr="00400C99">
              <w:rPr>
                <w:rFonts w:hint="eastAsia"/>
                <w:snapToGrid w:val="0"/>
                <w:color w:val="000000"/>
                <w:kern w:val="28"/>
                <w:sz w:val="21"/>
                <w:szCs w:val="21"/>
              </w:rPr>
              <w:t xml:space="preserve"> 100%</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400C99">
              <w:rPr>
                <w:snapToGrid w:val="0"/>
                <w:color w:val="000000"/>
                <w:kern w:val="28"/>
                <w:sz w:val="21"/>
                <w:szCs w:val="21"/>
              </w:rPr>
              <w:t>100%</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pacing w:line="280" w:lineRule="exact"/>
              <w:jc w:val="center"/>
              <w:rPr>
                <w:snapToGrid w:val="0"/>
                <w:color w:val="000000"/>
                <w:kern w:val="28"/>
                <w:sz w:val="21"/>
                <w:szCs w:val="21"/>
              </w:rPr>
            </w:pPr>
            <w:r>
              <w:rPr>
                <w:rFonts w:hint="eastAsia"/>
                <w:snapToGrid w:val="0"/>
                <w:color w:val="000000"/>
                <w:kern w:val="28"/>
                <w:sz w:val="21"/>
                <w:szCs w:val="21"/>
              </w:rPr>
              <w:t>相符</w:t>
            </w:r>
          </w:p>
        </w:tc>
      </w:tr>
      <w:tr w:rsidR="00EB5150" w:rsidRPr="00BC4D95" w:rsidTr="00B86E96">
        <w:trPr>
          <w:cantSplit/>
          <w:jc w:val="center"/>
        </w:trPr>
        <w:tc>
          <w:tcPr>
            <w:tcW w:w="497" w:type="dxa"/>
            <w:vMerge w:val="restart"/>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lastRenderedPageBreak/>
              <w:t>节能减排</w:t>
            </w:r>
          </w:p>
        </w:tc>
        <w:tc>
          <w:tcPr>
            <w:tcW w:w="1078" w:type="dxa"/>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sidRPr="00BC4D95">
              <w:rPr>
                <w:rFonts w:hint="eastAsia"/>
                <w:snapToGrid w:val="0"/>
                <w:color w:val="000000"/>
                <w:kern w:val="28"/>
                <w:sz w:val="21"/>
                <w:szCs w:val="21"/>
              </w:rPr>
              <w:t>节能降耗</w:t>
            </w:r>
          </w:p>
        </w:tc>
        <w:tc>
          <w:tcPr>
            <w:tcW w:w="154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400C99">
              <w:rPr>
                <w:rFonts w:hint="eastAsia"/>
                <w:snapToGrid w:val="0"/>
                <w:color w:val="000000"/>
                <w:kern w:val="28"/>
                <w:sz w:val="21"/>
                <w:szCs w:val="21"/>
              </w:rPr>
              <w:t>单位产品能耗（</w:t>
            </w:r>
            <w:r w:rsidRPr="00400C99">
              <w:rPr>
                <w:rFonts w:hint="eastAsia"/>
                <w:snapToGrid w:val="0"/>
                <w:color w:val="000000"/>
                <w:kern w:val="28"/>
                <w:sz w:val="21"/>
                <w:szCs w:val="21"/>
              </w:rPr>
              <w:t>kgce/t</w:t>
            </w:r>
            <w:r w:rsidRPr="00400C99">
              <w:rPr>
                <w:rFonts w:hint="eastAsia"/>
                <w:snapToGrid w:val="0"/>
                <w:color w:val="000000"/>
                <w:kern w:val="28"/>
                <w:sz w:val="21"/>
                <w:szCs w:val="21"/>
              </w:rPr>
              <w:t>）</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w w:val="93"/>
                <w:kern w:val="28"/>
                <w:sz w:val="21"/>
                <w:szCs w:val="21"/>
              </w:rPr>
            </w:pPr>
            <w:r w:rsidRPr="00400C99">
              <w:rPr>
                <w:rFonts w:hint="eastAsia"/>
                <w:snapToGrid w:val="0"/>
                <w:color w:val="000000"/>
                <w:w w:val="93"/>
                <w:kern w:val="28"/>
                <w:sz w:val="21"/>
                <w:szCs w:val="21"/>
              </w:rPr>
              <w:t>≤</w:t>
            </w:r>
            <w:r w:rsidRPr="00400C99">
              <w:rPr>
                <w:rFonts w:hint="eastAsia"/>
                <w:snapToGrid w:val="0"/>
                <w:color w:val="000000"/>
                <w:w w:val="93"/>
                <w:kern w:val="28"/>
                <w:sz w:val="21"/>
                <w:szCs w:val="21"/>
              </w:rPr>
              <w:t>7.0</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D82279">
            <w:pPr>
              <w:snapToGrid w:val="0"/>
              <w:spacing w:line="280" w:lineRule="exact"/>
              <w:rPr>
                <w:snapToGrid w:val="0"/>
                <w:color w:val="000000"/>
                <w:w w:val="93"/>
                <w:kern w:val="28"/>
                <w:sz w:val="21"/>
                <w:szCs w:val="21"/>
              </w:rPr>
            </w:pPr>
            <w:r>
              <w:rPr>
                <w:rFonts w:hint="eastAsia"/>
                <w:snapToGrid w:val="0"/>
                <w:color w:val="000000"/>
                <w:w w:val="93"/>
                <w:kern w:val="28"/>
                <w:sz w:val="21"/>
                <w:szCs w:val="21"/>
              </w:rPr>
              <w:t>4.0</w:t>
            </w:r>
            <w:r w:rsidR="00D82279">
              <w:rPr>
                <w:rFonts w:hint="eastAsia"/>
                <w:snapToGrid w:val="0"/>
                <w:color w:val="000000"/>
                <w:w w:val="93"/>
                <w:kern w:val="28"/>
                <w:sz w:val="21"/>
                <w:szCs w:val="21"/>
              </w:rPr>
              <w:t>3</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pacing w:line="280" w:lineRule="exact"/>
              <w:jc w:val="center"/>
              <w:rPr>
                <w:color w:val="000000"/>
                <w:sz w:val="21"/>
                <w:szCs w:val="21"/>
              </w:rPr>
            </w:pPr>
            <w:r w:rsidRPr="00BC4D95">
              <w:rPr>
                <w:rFonts w:hint="eastAsia"/>
                <w:snapToGrid w:val="0"/>
                <w:color w:val="000000"/>
                <w:kern w:val="28"/>
                <w:sz w:val="21"/>
                <w:szCs w:val="21"/>
              </w:rPr>
              <w:t>相符</w:t>
            </w:r>
          </w:p>
        </w:tc>
      </w:tr>
      <w:tr w:rsidR="00EB5150" w:rsidRPr="00BC4D95" w:rsidTr="00B86E96">
        <w:trPr>
          <w:cantSplit/>
          <w:jc w:val="center"/>
        </w:trPr>
        <w:tc>
          <w:tcPr>
            <w:tcW w:w="497" w:type="dxa"/>
            <w:vMerge/>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vMerge w:val="restart"/>
            <w:tcBorders>
              <w:left w:val="single" w:sz="4" w:space="0" w:color="auto"/>
              <w:right w:val="single" w:sz="4" w:space="0" w:color="auto"/>
            </w:tcBorders>
            <w:vAlign w:val="center"/>
          </w:tcPr>
          <w:p w:rsidR="00EB5150" w:rsidRPr="00BC4D95" w:rsidRDefault="00EB5150" w:rsidP="00B86E96">
            <w:pPr>
              <w:snapToGrid w:val="0"/>
              <w:spacing w:line="280" w:lineRule="exact"/>
              <w:jc w:val="center"/>
              <w:rPr>
                <w:snapToGrid w:val="0"/>
                <w:color w:val="000000"/>
                <w:kern w:val="28"/>
                <w:sz w:val="21"/>
                <w:szCs w:val="21"/>
              </w:rPr>
            </w:pPr>
            <w:r w:rsidRPr="00400C99">
              <w:rPr>
                <w:rFonts w:hint="eastAsia"/>
                <w:snapToGrid w:val="0"/>
                <w:color w:val="000000"/>
                <w:kern w:val="28"/>
                <w:sz w:val="21"/>
                <w:szCs w:val="21"/>
              </w:rPr>
              <w:t>废气、粉尘、噪声排放</w:t>
            </w:r>
          </w:p>
        </w:tc>
        <w:tc>
          <w:tcPr>
            <w:tcW w:w="1546" w:type="dxa"/>
            <w:tcBorders>
              <w:top w:val="single" w:sz="4" w:space="0" w:color="auto"/>
              <w:left w:val="single" w:sz="4" w:space="0" w:color="auto"/>
              <w:bottom w:val="single" w:sz="4" w:space="0" w:color="auto"/>
              <w:right w:val="single" w:sz="4" w:space="0" w:color="auto"/>
            </w:tcBorders>
            <w:vAlign w:val="center"/>
          </w:tcPr>
          <w:p w:rsidR="00EB5150" w:rsidRPr="00400C99" w:rsidRDefault="00EB5150" w:rsidP="00EB5150">
            <w:pPr>
              <w:snapToGrid w:val="0"/>
              <w:spacing w:line="280" w:lineRule="exact"/>
              <w:rPr>
                <w:snapToGrid w:val="0"/>
                <w:color w:val="000000"/>
                <w:kern w:val="28"/>
                <w:sz w:val="21"/>
                <w:szCs w:val="21"/>
              </w:rPr>
            </w:pPr>
            <w:r w:rsidRPr="00400C99">
              <w:rPr>
                <w:rFonts w:hint="eastAsia"/>
                <w:snapToGrid w:val="0"/>
                <w:color w:val="000000"/>
                <w:kern w:val="28"/>
                <w:sz w:val="21"/>
                <w:szCs w:val="21"/>
              </w:rPr>
              <w:t>产生煤尘作业场所</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400C99" w:rsidRDefault="00EB5150" w:rsidP="00EB5150">
            <w:pPr>
              <w:snapToGrid w:val="0"/>
              <w:spacing w:line="280" w:lineRule="exact"/>
              <w:rPr>
                <w:snapToGrid w:val="0"/>
                <w:color w:val="000000"/>
                <w:w w:val="93"/>
                <w:kern w:val="28"/>
                <w:sz w:val="21"/>
                <w:szCs w:val="21"/>
              </w:rPr>
            </w:pPr>
            <w:r w:rsidRPr="00400C99">
              <w:rPr>
                <w:rFonts w:hint="eastAsia"/>
                <w:snapToGrid w:val="0"/>
                <w:color w:val="000000"/>
                <w:w w:val="93"/>
                <w:kern w:val="28"/>
                <w:sz w:val="21"/>
                <w:szCs w:val="21"/>
              </w:rPr>
              <w:t>除尘器呼吸性粉尘除尘效率不低于</w:t>
            </w:r>
            <w:r w:rsidRPr="00400C99">
              <w:rPr>
                <w:rFonts w:hint="eastAsia"/>
                <w:snapToGrid w:val="0"/>
                <w:color w:val="000000"/>
                <w:w w:val="93"/>
                <w:kern w:val="28"/>
                <w:sz w:val="21"/>
                <w:szCs w:val="21"/>
              </w:rPr>
              <w:t xml:space="preserve"> 90%</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400C99" w:rsidRDefault="00EB5150" w:rsidP="00EB5150">
            <w:pPr>
              <w:snapToGrid w:val="0"/>
              <w:spacing w:line="280" w:lineRule="exact"/>
              <w:rPr>
                <w:snapToGrid w:val="0"/>
                <w:color w:val="000000"/>
                <w:w w:val="93"/>
                <w:kern w:val="28"/>
                <w:sz w:val="21"/>
                <w:szCs w:val="21"/>
              </w:rPr>
            </w:pPr>
            <w:r>
              <w:rPr>
                <w:rFonts w:hint="eastAsia"/>
                <w:snapToGrid w:val="0"/>
                <w:color w:val="000000"/>
                <w:w w:val="93"/>
                <w:kern w:val="28"/>
                <w:sz w:val="21"/>
                <w:szCs w:val="21"/>
              </w:rPr>
              <w:t>储煤场全封闭并</w:t>
            </w:r>
            <w:r w:rsidRPr="00400C99">
              <w:rPr>
                <w:rFonts w:hint="eastAsia"/>
                <w:snapToGrid w:val="0"/>
                <w:color w:val="000000"/>
                <w:w w:val="93"/>
                <w:kern w:val="28"/>
                <w:sz w:val="21"/>
                <w:szCs w:val="21"/>
              </w:rPr>
              <w:t>采取喷雾洒水，效率</w:t>
            </w:r>
            <w:r w:rsidRPr="00400C99">
              <w:rPr>
                <w:rFonts w:hint="eastAsia"/>
                <w:snapToGrid w:val="0"/>
                <w:color w:val="000000"/>
                <w:w w:val="93"/>
                <w:kern w:val="28"/>
                <w:sz w:val="21"/>
                <w:szCs w:val="21"/>
              </w:rPr>
              <w:t>&gt;9</w:t>
            </w:r>
            <w:r>
              <w:rPr>
                <w:rFonts w:hint="eastAsia"/>
                <w:snapToGrid w:val="0"/>
                <w:color w:val="000000"/>
                <w:w w:val="93"/>
                <w:kern w:val="28"/>
                <w:sz w:val="21"/>
                <w:szCs w:val="21"/>
              </w:rPr>
              <w:t>0</w:t>
            </w:r>
            <w:r w:rsidRPr="00400C99">
              <w:rPr>
                <w:rFonts w:hint="eastAsia"/>
                <w:snapToGrid w:val="0"/>
                <w:color w:val="000000"/>
                <w:w w:val="93"/>
                <w:kern w:val="28"/>
                <w:sz w:val="21"/>
                <w:szCs w:val="21"/>
              </w:rPr>
              <w:t>%</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400C99" w:rsidRDefault="00EB5150" w:rsidP="00EB5150">
            <w:pPr>
              <w:spacing w:line="280" w:lineRule="exact"/>
              <w:jc w:val="center"/>
              <w:rPr>
                <w:snapToGrid w:val="0"/>
                <w:color w:val="000000"/>
                <w:kern w:val="28"/>
                <w:sz w:val="21"/>
                <w:szCs w:val="21"/>
              </w:rPr>
            </w:pPr>
            <w:r>
              <w:rPr>
                <w:rFonts w:hint="eastAsia"/>
                <w:snapToGrid w:val="0"/>
                <w:color w:val="000000"/>
                <w:kern w:val="28"/>
                <w:sz w:val="21"/>
                <w:szCs w:val="21"/>
              </w:rPr>
              <w:t>符合</w:t>
            </w:r>
          </w:p>
        </w:tc>
      </w:tr>
      <w:tr w:rsidR="00EB5150" w:rsidRPr="00BC4D95" w:rsidTr="00B86E96">
        <w:trPr>
          <w:cantSplit/>
          <w:jc w:val="center"/>
        </w:trPr>
        <w:tc>
          <w:tcPr>
            <w:tcW w:w="497" w:type="dxa"/>
            <w:vMerge/>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vMerge/>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546" w:type="dxa"/>
            <w:tcBorders>
              <w:top w:val="single" w:sz="4" w:space="0" w:color="auto"/>
              <w:left w:val="single" w:sz="4" w:space="0" w:color="auto"/>
              <w:bottom w:val="single" w:sz="4" w:space="0" w:color="auto"/>
              <w:right w:val="single" w:sz="4" w:space="0" w:color="auto"/>
            </w:tcBorders>
            <w:vAlign w:val="center"/>
          </w:tcPr>
          <w:p w:rsidR="00EB5150" w:rsidRPr="00400C99" w:rsidRDefault="00EB5150" w:rsidP="00EB5150">
            <w:pPr>
              <w:snapToGrid w:val="0"/>
              <w:spacing w:line="280" w:lineRule="exact"/>
              <w:rPr>
                <w:snapToGrid w:val="0"/>
                <w:color w:val="000000"/>
                <w:kern w:val="28"/>
                <w:sz w:val="21"/>
                <w:szCs w:val="21"/>
              </w:rPr>
            </w:pPr>
            <w:r w:rsidRPr="00400C99">
              <w:rPr>
                <w:rFonts w:hint="eastAsia"/>
                <w:snapToGrid w:val="0"/>
                <w:color w:val="000000"/>
                <w:kern w:val="28"/>
                <w:sz w:val="21"/>
                <w:szCs w:val="21"/>
              </w:rPr>
              <w:t>噪声</w:t>
            </w:r>
          </w:p>
        </w:tc>
        <w:tc>
          <w:tcPr>
            <w:tcW w:w="3543" w:type="dxa"/>
            <w:tcBorders>
              <w:top w:val="single" w:sz="4" w:space="0" w:color="auto"/>
              <w:left w:val="single" w:sz="4" w:space="0" w:color="auto"/>
              <w:bottom w:val="single" w:sz="4" w:space="0" w:color="auto"/>
              <w:right w:val="single" w:sz="4" w:space="0" w:color="auto"/>
            </w:tcBorders>
            <w:vAlign w:val="center"/>
          </w:tcPr>
          <w:p w:rsidR="00EB5150" w:rsidRPr="00400C99" w:rsidRDefault="00EB5150" w:rsidP="00EB5150">
            <w:pPr>
              <w:snapToGrid w:val="0"/>
              <w:spacing w:line="280" w:lineRule="exact"/>
              <w:rPr>
                <w:snapToGrid w:val="0"/>
                <w:color w:val="000000"/>
                <w:w w:val="93"/>
                <w:kern w:val="28"/>
                <w:sz w:val="21"/>
                <w:szCs w:val="21"/>
              </w:rPr>
            </w:pPr>
            <w:r w:rsidRPr="00400C99">
              <w:rPr>
                <w:rFonts w:hint="eastAsia"/>
                <w:snapToGrid w:val="0"/>
                <w:color w:val="000000"/>
                <w:w w:val="93"/>
                <w:kern w:val="28"/>
                <w:sz w:val="21"/>
                <w:szCs w:val="21"/>
              </w:rPr>
              <w:t>作业场所噪声</w:t>
            </w:r>
            <w:r w:rsidRPr="00400C99">
              <w:rPr>
                <w:rFonts w:hint="eastAsia"/>
                <w:snapToGrid w:val="0"/>
                <w:color w:val="000000"/>
                <w:w w:val="93"/>
                <w:kern w:val="28"/>
                <w:sz w:val="21"/>
                <w:szCs w:val="21"/>
              </w:rPr>
              <w:t xml:space="preserve"> </w:t>
            </w:r>
            <w:r w:rsidRPr="00400C99">
              <w:rPr>
                <w:rFonts w:hint="eastAsia"/>
                <w:snapToGrid w:val="0"/>
                <w:color w:val="000000"/>
                <w:w w:val="93"/>
                <w:kern w:val="28"/>
                <w:sz w:val="21"/>
                <w:szCs w:val="21"/>
              </w:rPr>
              <w:t>≤</w:t>
            </w:r>
            <w:r w:rsidRPr="00400C99">
              <w:rPr>
                <w:rFonts w:hint="eastAsia"/>
                <w:snapToGrid w:val="0"/>
                <w:color w:val="000000"/>
                <w:w w:val="93"/>
                <w:kern w:val="28"/>
                <w:sz w:val="21"/>
                <w:szCs w:val="21"/>
              </w:rPr>
              <w:t>85dB</w:t>
            </w:r>
            <w:r w:rsidRPr="00400C99">
              <w:rPr>
                <w:rFonts w:hint="eastAsia"/>
                <w:snapToGrid w:val="0"/>
                <w:color w:val="000000"/>
                <w:w w:val="93"/>
                <w:kern w:val="28"/>
                <w:sz w:val="21"/>
                <w:szCs w:val="21"/>
              </w:rPr>
              <w:t>（</w:t>
            </w:r>
            <w:r w:rsidRPr="00400C99">
              <w:rPr>
                <w:rFonts w:hint="eastAsia"/>
                <w:snapToGrid w:val="0"/>
                <w:color w:val="000000"/>
                <w:w w:val="93"/>
                <w:kern w:val="28"/>
                <w:sz w:val="21"/>
                <w:szCs w:val="21"/>
              </w:rPr>
              <w:t>A</w:t>
            </w:r>
            <w:r w:rsidRPr="00400C99">
              <w:rPr>
                <w:rFonts w:hint="eastAsia"/>
                <w:snapToGrid w:val="0"/>
                <w:color w:val="000000"/>
                <w:w w:val="93"/>
                <w:kern w:val="28"/>
                <w:sz w:val="21"/>
                <w:szCs w:val="21"/>
              </w:rPr>
              <w:t>）</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Default="00EB5150" w:rsidP="00EB5150">
            <w:pPr>
              <w:snapToGrid w:val="0"/>
              <w:spacing w:line="280" w:lineRule="exact"/>
              <w:rPr>
                <w:snapToGrid w:val="0"/>
                <w:color w:val="000000"/>
                <w:w w:val="93"/>
                <w:kern w:val="28"/>
                <w:sz w:val="21"/>
                <w:szCs w:val="21"/>
              </w:rPr>
            </w:pPr>
            <w:r w:rsidRPr="00400C99">
              <w:rPr>
                <w:rFonts w:hint="eastAsia"/>
                <w:snapToGrid w:val="0"/>
                <w:color w:val="000000"/>
                <w:w w:val="93"/>
                <w:kern w:val="28"/>
                <w:sz w:val="21"/>
                <w:szCs w:val="21"/>
              </w:rPr>
              <w:t>采取相应降噪措施</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pacing w:line="280" w:lineRule="exact"/>
              <w:jc w:val="center"/>
              <w:rPr>
                <w:snapToGrid w:val="0"/>
                <w:color w:val="000000"/>
                <w:kern w:val="28"/>
                <w:sz w:val="21"/>
                <w:szCs w:val="21"/>
              </w:rPr>
            </w:pPr>
            <w:r>
              <w:rPr>
                <w:rFonts w:hint="eastAsia"/>
                <w:snapToGrid w:val="0"/>
                <w:color w:val="000000"/>
                <w:kern w:val="28"/>
                <w:sz w:val="21"/>
                <w:szCs w:val="21"/>
              </w:rPr>
              <w:t>符合</w:t>
            </w:r>
          </w:p>
        </w:tc>
      </w:tr>
      <w:tr w:rsidR="00EB5150" w:rsidRPr="00BC4D95" w:rsidTr="00B86E96">
        <w:trPr>
          <w:cantSplit/>
          <w:jc w:val="center"/>
        </w:trPr>
        <w:tc>
          <w:tcPr>
            <w:tcW w:w="497" w:type="dxa"/>
            <w:vMerge/>
            <w:tcBorders>
              <w:top w:val="single" w:sz="4" w:space="0" w:color="auto"/>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p>
        </w:tc>
        <w:tc>
          <w:tcPr>
            <w:tcW w:w="1078" w:type="dxa"/>
            <w:tcBorders>
              <w:left w:val="single" w:sz="4" w:space="0" w:color="auto"/>
              <w:right w:val="single" w:sz="4" w:space="0" w:color="auto"/>
            </w:tcBorders>
            <w:vAlign w:val="center"/>
          </w:tcPr>
          <w:p w:rsidR="00EB5150" w:rsidRPr="00BC4D95" w:rsidRDefault="00EB5150" w:rsidP="00EB5150">
            <w:pPr>
              <w:snapToGrid w:val="0"/>
              <w:spacing w:line="280" w:lineRule="exact"/>
              <w:jc w:val="center"/>
              <w:rPr>
                <w:snapToGrid w:val="0"/>
                <w:color w:val="000000"/>
                <w:kern w:val="28"/>
                <w:sz w:val="21"/>
                <w:szCs w:val="21"/>
              </w:rPr>
            </w:pPr>
            <w:r w:rsidRPr="00400C99">
              <w:rPr>
                <w:rFonts w:hint="eastAsia"/>
                <w:snapToGrid w:val="0"/>
                <w:color w:val="000000"/>
                <w:kern w:val="28"/>
                <w:sz w:val="21"/>
                <w:szCs w:val="21"/>
              </w:rPr>
              <w:t>污水排放</w:t>
            </w:r>
          </w:p>
        </w:tc>
        <w:tc>
          <w:tcPr>
            <w:tcW w:w="5089" w:type="dxa"/>
            <w:gridSpan w:val="2"/>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napToGrid w:val="0"/>
              <w:spacing w:line="280" w:lineRule="exact"/>
              <w:rPr>
                <w:snapToGrid w:val="0"/>
                <w:color w:val="000000"/>
                <w:kern w:val="28"/>
                <w:sz w:val="21"/>
                <w:szCs w:val="21"/>
              </w:rPr>
            </w:pPr>
            <w:r w:rsidRPr="00400C99">
              <w:rPr>
                <w:rFonts w:hint="eastAsia"/>
                <w:snapToGrid w:val="0"/>
                <w:color w:val="000000"/>
                <w:kern w:val="28"/>
                <w:sz w:val="21"/>
                <w:szCs w:val="21"/>
              </w:rPr>
              <w:t>建设污水处理站，处理矿井水，实现清污分流；矿区设置雨水截水沟，地表径流沉淀后达标排放；矿井污采煤、选煤废水应满足</w:t>
            </w:r>
            <w:r w:rsidRPr="00400C99">
              <w:rPr>
                <w:rFonts w:hint="eastAsia"/>
                <w:snapToGrid w:val="0"/>
                <w:color w:val="000000"/>
                <w:kern w:val="28"/>
                <w:sz w:val="21"/>
                <w:szCs w:val="21"/>
              </w:rPr>
              <w:t xml:space="preserve"> GB20426-2006 </w:t>
            </w:r>
            <w:r w:rsidRPr="00400C99">
              <w:rPr>
                <w:rFonts w:hint="eastAsia"/>
                <w:snapToGrid w:val="0"/>
                <w:color w:val="000000"/>
                <w:kern w:val="28"/>
                <w:sz w:val="21"/>
                <w:szCs w:val="21"/>
              </w:rPr>
              <w:t>相关规定</w:t>
            </w:r>
          </w:p>
        </w:tc>
        <w:tc>
          <w:tcPr>
            <w:tcW w:w="2213" w:type="dxa"/>
            <w:tcBorders>
              <w:top w:val="single" w:sz="4" w:space="0" w:color="auto"/>
              <w:left w:val="single" w:sz="4" w:space="0" w:color="auto"/>
              <w:bottom w:val="single" w:sz="4" w:space="0" w:color="auto"/>
              <w:right w:val="single" w:sz="4" w:space="0" w:color="auto"/>
            </w:tcBorders>
            <w:vAlign w:val="center"/>
          </w:tcPr>
          <w:p w:rsidR="00EB5150" w:rsidRPr="00400C99" w:rsidRDefault="00EB5150" w:rsidP="007C5CAC">
            <w:pPr>
              <w:snapToGrid w:val="0"/>
              <w:spacing w:line="280" w:lineRule="exact"/>
              <w:rPr>
                <w:snapToGrid w:val="0"/>
                <w:color w:val="000000"/>
                <w:kern w:val="28"/>
                <w:sz w:val="21"/>
                <w:szCs w:val="21"/>
              </w:rPr>
            </w:pPr>
            <w:r w:rsidRPr="00400C99">
              <w:rPr>
                <w:rFonts w:hint="eastAsia"/>
                <w:snapToGrid w:val="0"/>
                <w:color w:val="000000"/>
                <w:kern w:val="28"/>
                <w:sz w:val="21"/>
                <w:szCs w:val="21"/>
              </w:rPr>
              <w:t>建设生活污水、矿井水处理站，厂区设初期雨水收集池，生活污水</w:t>
            </w:r>
            <w:r w:rsidR="007C5CAC">
              <w:rPr>
                <w:rFonts w:hint="eastAsia"/>
                <w:snapToGrid w:val="0"/>
                <w:color w:val="000000"/>
                <w:kern w:val="28"/>
                <w:sz w:val="21"/>
                <w:szCs w:val="21"/>
              </w:rPr>
              <w:t>、</w:t>
            </w:r>
            <w:r w:rsidRPr="00400C99">
              <w:rPr>
                <w:rFonts w:hint="eastAsia"/>
                <w:snapToGrid w:val="0"/>
                <w:color w:val="000000"/>
                <w:kern w:val="28"/>
                <w:sz w:val="21"/>
                <w:szCs w:val="21"/>
              </w:rPr>
              <w:t>矿井水</w:t>
            </w:r>
            <w:r w:rsidR="007C5CAC">
              <w:rPr>
                <w:rFonts w:hint="eastAsia"/>
                <w:snapToGrid w:val="0"/>
                <w:color w:val="000000"/>
                <w:kern w:val="28"/>
                <w:sz w:val="21"/>
                <w:szCs w:val="21"/>
              </w:rPr>
              <w:t>处理后</w:t>
            </w:r>
            <w:r w:rsidRPr="00400C99">
              <w:rPr>
                <w:rFonts w:hint="eastAsia"/>
                <w:snapToGrid w:val="0"/>
                <w:color w:val="000000"/>
                <w:kern w:val="28"/>
                <w:sz w:val="21"/>
                <w:szCs w:val="21"/>
              </w:rPr>
              <w:t>全部回用或综合利用，不外排</w:t>
            </w:r>
          </w:p>
        </w:tc>
        <w:tc>
          <w:tcPr>
            <w:tcW w:w="706" w:type="dxa"/>
            <w:tcBorders>
              <w:top w:val="single" w:sz="4" w:space="0" w:color="auto"/>
              <w:left w:val="single" w:sz="4" w:space="0" w:color="auto"/>
              <w:bottom w:val="single" w:sz="4" w:space="0" w:color="auto"/>
              <w:right w:val="single" w:sz="4" w:space="0" w:color="auto"/>
            </w:tcBorders>
            <w:vAlign w:val="center"/>
          </w:tcPr>
          <w:p w:rsidR="00EB5150" w:rsidRPr="00BC4D95" w:rsidRDefault="00EB5150" w:rsidP="00EB5150">
            <w:pPr>
              <w:spacing w:line="280" w:lineRule="exact"/>
              <w:jc w:val="center"/>
              <w:rPr>
                <w:snapToGrid w:val="0"/>
                <w:color w:val="000000"/>
                <w:kern w:val="28"/>
                <w:sz w:val="21"/>
                <w:szCs w:val="21"/>
              </w:rPr>
            </w:pPr>
            <w:r w:rsidRPr="00BC4D95">
              <w:rPr>
                <w:rFonts w:hint="eastAsia"/>
                <w:snapToGrid w:val="0"/>
                <w:color w:val="000000"/>
                <w:kern w:val="28"/>
                <w:sz w:val="21"/>
                <w:szCs w:val="21"/>
              </w:rPr>
              <w:t>相符</w:t>
            </w:r>
          </w:p>
        </w:tc>
      </w:tr>
    </w:tbl>
    <w:p w:rsidR="00EB5150" w:rsidRDefault="00EB5150" w:rsidP="009C5F33">
      <w:pPr>
        <w:pStyle w:val="03"/>
        <w:adjustRightInd w:val="0"/>
        <w:snapToGrid w:val="0"/>
        <w:spacing w:beforeLines="70" w:afterLines="30" w:line="520" w:lineRule="exact"/>
        <w:rPr>
          <w:rFonts w:ascii="Times New Roman" w:eastAsia="楷体" w:hAnsi="Times New Roman"/>
        </w:rPr>
      </w:pPr>
      <w:r>
        <w:rPr>
          <w:rFonts w:ascii="Times New Roman" w:eastAsia="楷体" w:hAnsi="Times New Roman"/>
        </w:rPr>
        <w:t>10.3.1</w:t>
      </w:r>
      <w:r w:rsidR="00B86E96">
        <w:rPr>
          <w:rFonts w:ascii="Times New Roman" w:eastAsia="楷体" w:hAnsi="Times New Roman" w:hint="eastAsia"/>
        </w:rPr>
        <w:t>8</w:t>
      </w:r>
      <w:r w:rsidR="00712722" w:rsidRPr="00712722">
        <w:rPr>
          <w:rFonts w:ascii="Times New Roman" w:eastAsia="楷体" w:hAnsi="Times New Roman" w:hint="eastAsia"/>
        </w:rPr>
        <w:t xml:space="preserve"> </w:t>
      </w:r>
      <w:r w:rsidR="00712722" w:rsidRPr="00712722">
        <w:rPr>
          <w:rFonts w:ascii="Times New Roman" w:eastAsia="楷体" w:hAnsi="Times New Roman" w:hint="eastAsia"/>
        </w:rPr>
        <w:t>与《</w:t>
      </w:r>
      <w:r w:rsidR="007A5747" w:rsidRPr="007A5747">
        <w:rPr>
          <w:rFonts w:ascii="Times New Roman" w:eastAsia="楷体" w:hAnsi="Times New Roman" w:hint="eastAsia"/>
        </w:rPr>
        <w:t>河南省重污染重点行业应急减排措施制定技术指南（</w:t>
      </w:r>
      <w:r w:rsidR="007A5747" w:rsidRPr="007A5747">
        <w:rPr>
          <w:rFonts w:ascii="Times New Roman" w:eastAsia="楷体" w:hAnsi="Times New Roman" w:hint="eastAsia"/>
        </w:rPr>
        <w:t xml:space="preserve">2021 </w:t>
      </w:r>
      <w:r w:rsidR="007A5747" w:rsidRPr="007A5747">
        <w:rPr>
          <w:rFonts w:ascii="Times New Roman" w:eastAsia="楷体" w:hAnsi="Times New Roman" w:hint="eastAsia"/>
        </w:rPr>
        <w:t>年修订版）</w:t>
      </w:r>
      <w:r w:rsidR="00712722" w:rsidRPr="00712722">
        <w:rPr>
          <w:rFonts w:ascii="Times New Roman" w:eastAsia="楷体" w:hAnsi="Times New Roman" w:hint="eastAsia"/>
        </w:rPr>
        <w:t>》相符性分析</w:t>
      </w:r>
    </w:p>
    <w:p w:rsidR="007A5747" w:rsidRPr="007A5747" w:rsidRDefault="007A5747" w:rsidP="00B86E96">
      <w:pPr>
        <w:spacing w:line="520" w:lineRule="exact"/>
        <w:ind w:firstLineChars="200" w:firstLine="480"/>
        <w:rPr>
          <w:kern w:val="28"/>
          <w:sz w:val="24"/>
        </w:rPr>
      </w:pPr>
      <w:r w:rsidRPr="007A5747">
        <w:rPr>
          <w:rFonts w:hint="eastAsia"/>
          <w:kern w:val="28"/>
          <w:sz w:val="24"/>
        </w:rPr>
        <w:t>河南省生态环境厅豫环文〔</w:t>
      </w:r>
      <w:r w:rsidRPr="007A5747">
        <w:rPr>
          <w:rFonts w:hint="eastAsia"/>
          <w:kern w:val="28"/>
          <w:sz w:val="24"/>
        </w:rPr>
        <w:t>2021</w:t>
      </w:r>
      <w:r w:rsidRPr="007A5747">
        <w:rPr>
          <w:rFonts w:hint="eastAsia"/>
          <w:kern w:val="28"/>
          <w:sz w:val="24"/>
        </w:rPr>
        <w:t>〕</w:t>
      </w:r>
      <w:r w:rsidRPr="007A5747">
        <w:rPr>
          <w:rFonts w:hint="eastAsia"/>
          <w:kern w:val="28"/>
          <w:sz w:val="24"/>
        </w:rPr>
        <w:t xml:space="preserve">94 </w:t>
      </w:r>
      <w:r w:rsidRPr="007A5747">
        <w:rPr>
          <w:rFonts w:hint="eastAsia"/>
          <w:kern w:val="28"/>
          <w:sz w:val="24"/>
        </w:rPr>
        <w:t>号</w:t>
      </w:r>
      <w:r>
        <w:rPr>
          <w:rFonts w:hint="eastAsia"/>
          <w:kern w:val="28"/>
          <w:sz w:val="24"/>
        </w:rPr>
        <w:t>《</w:t>
      </w:r>
      <w:r w:rsidRPr="007A5747">
        <w:rPr>
          <w:rFonts w:hint="eastAsia"/>
          <w:color w:val="000000"/>
          <w:kern w:val="28"/>
          <w:sz w:val="24"/>
        </w:rPr>
        <w:t>河南省生态环境厅关于做好</w:t>
      </w:r>
      <w:r w:rsidRPr="007A5747">
        <w:rPr>
          <w:rFonts w:hint="eastAsia"/>
          <w:color w:val="000000"/>
          <w:kern w:val="28"/>
          <w:sz w:val="24"/>
        </w:rPr>
        <w:t xml:space="preserve"> 2021 </w:t>
      </w:r>
      <w:r w:rsidRPr="007A5747">
        <w:rPr>
          <w:rFonts w:hint="eastAsia"/>
          <w:color w:val="000000"/>
          <w:kern w:val="28"/>
          <w:sz w:val="24"/>
        </w:rPr>
        <w:t>年重点行业绩效分级和重污染天气应急减排清单修订工作的通知</w:t>
      </w:r>
      <w:r>
        <w:rPr>
          <w:rFonts w:hint="eastAsia"/>
          <w:kern w:val="28"/>
          <w:sz w:val="24"/>
        </w:rPr>
        <w:t>》</w:t>
      </w:r>
      <w:r w:rsidR="00D91D16">
        <w:rPr>
          <w:rFonts w:hint="eastAsia"/>
          <w:kern w:val="28"/>
          <w:sz w:val="24"/>
        </w:rPr>
        <w:t>发布了</w:t>
      </w:r>
      <w:r w:rsidR="00D91D16" w:rsidRPr="00D91D16">
        <w:rPr>
          <w:rFonts w:hint="eastAsia"/>
          <w:kern w:val="28"/>
          <w:sz w:val="24"/>
        </w:rPr>
        <w:t>《河南省重污染重点行业应急减排措施制定技术指南（</w:t>
      </w:r>
      <w:r w:rsidR="00D91D16" w:rsidRPr="00D91D16">
        <w:rPr>
          <w:rFonts w:hint="eastAsia"/>
          <w:kern w:val="28"/>
          <w:sz w:val="24"/>
        </w:rPr>
        <w:t xml:space="preserve">2021 </w:t>
      </w:r>
      <w:r w:rsidR="00D91D16" w:rsidRPr="00D91D16">
        <w:rPr>
          <w:rFonts w:hint="eastAsia"/>
          <w:kern w:val="28"/>
          <w:sz w:val="24"/>
        </w:rPr>
        <w:t>年修订版）》和《河南省重污染天气通用行业应急减排措施制定技术指南（</w:t>
      </w:r>
      <w:r w:rsidR="00D91D16" w:rsidRPr="00D91D16">
        <w:rPr>
          <w:rFonts w:hint="eastAsia"/>
          <w:kern w:val="28"/>
          <w:sz w:val="24"/>
        </w:rPr>
        <w:t xml:space="preserve">2021 </w:t>
      </w:r>
      <w:r w:rsidR="00D91D16" w:rsidRPr="00D91D16">
        <w:rPr>
          <w:rFonts w:hint="eastAsia"/>
          <w:kern w:val="28"/>
          <w:sz w:val="24"/>
        </w:rPr>
        <w:t>年修订版）》</w:t>
      </w:r>
      <w:r w:rsidR="00D91D16">
        <w:rPr>
          <w:rFonts w:hint="eastAsia"/>
          <w:kern w:val="28"/>
          <w:sz w:val="24"/>
        </w:rPr>
        <w:t>，本项目为煤矿开采项目，属于</w:t>
      </w:r>
      <w:r w:rsidR="00CC67BE" w:rsidRPr="00CC67BE">
        <w:rPr>
          <w:rFonts w:hint="eastAsia"/>
          <w:kern w:val="28"/>
          <w:sz w:val="24"/>
        </w:rPr>
        <w:t>国家</w:t>
      </w:r>
      <w:r w:rsidR="00CC67BE" w:rsidRPr="00CC67BE">
        <w:rPr>
          <w:rFonts w:hint="eastAsia"/>
          <w:kern w:val="28"/>
          <w:sz w:val="24"/>
        </w:rPr>
        <w:t xml:space="preserve"> 39 </w:t>
      </w:r>
      <w:r w:rsidR="00CC67BE" w:rsidRPr="00CC67BE">
        <w:rPr>
          <w:rFonts w:hint="eastAsia"/>
          <w:kern w:val="28"/>
          <w:sz w:val="24"/>
        </w:rPr>
        <w:t>个重点行业和省级</w:t>
      </w:r>
      <w:r w:rsidR="00CC67BE" w:rsidRPr="00CC67BE">
        <w:rPr>
          <w:rFonts w:hint="eastAsia"/>
          <w:kern w:val="28"/>
          <w:sz w:val="24"/>
        </w:rPr>
        <w:t xml:space="preserve"> 12 </w:t>
      </w:r>
      <w:r w:rsidR="00CC67BE" w:rsidRPr="00CC67BE">
        <w:rPr>
          <w:rFonts w:hint="eastAsia"/>
          <w:kern w:val="28"/>
          <w:sz w:val="24"/>
        </w:rPr>
        <w:t>个重点行业</w:t>
      </w:r>
      <w:r w:rsidR="00CC67BE">
        <w:rPr>
          <w:rFonts w:hint="eastAsia"/>
          <w:kern w:val="28"/>
          <w:sz w:val="24"/>
        </w:rPr>
        <w:t>中的</w:t>
      </w:r>
      <w:r w:rsidR="00CC67BE" w:rsidRPr="00CC67BE">
        <w:rPr>
          <w:rFonts w:hint="eastAsia"/>
          <w:kern w:val="28"/>
          <w:sz w:val="24"/>
        </w:rPr>
        <w:t>矿石（煤炭）采选与加工</w:t>
      </w:r>
      <w:r w:rsidR="00CC67BE">
        <w:rPr>
          <w:rFonts w:hint="eastAsia"/>
          <w:kern w:val="28"/>
          <w:sz w:val="24"/>
        </w:rPr>
        <w:t>，适用</w:t>
      </w:r>
      <w:r w:rsidR="00CC67BE" w:rsidRPr="00D91D16">
        <w:rPr>
          <w:rFonts w:hint="eastAsia"/>
          <w:kern w:val="28"/>
          <w:sz w:val="24"/>
        </w:rPr>
        <w:t>《河南省重污染重点行业应急减排措施制定技术指南（</w:t>
      </w:r>
      <w:r w:rsidR="00CC67BE" w:rsidRPr="00D91D16">
        <w:rPr>
          <w:rFonts w:hint="eastAsia"/>
          <w:kern w:val="28"/>
          <w:sz w:val="24"/>
        </w:rPr>
        <w:t xml:space="preserve">2021 </w:t>
      </w:r>
      <w:r w:rsidR="00CC67BE" w:rsidRPr="00D91D16">
        <w:rPr>
          <w:rFonts w:hint="eastAsia"/>
          <w:kern w:val="28"/>
          <w:sz w:val="24"/>
        </w:rPr>
        <w:t>年修订版）》</w:t>
      </w:r>
      <w:r w:rsidR="00CC67BE">
        <w:rPr>
          <w:rFonts w:hint="eastAsia"/>
          <w:kern w:val="28"/>
          <w:sz w:val="24"/>
        </w:rPr>
        <w:t>。</w:t>
      </w:r>
    </w:p>
    <w:p w:rsidR="00712722" w:rsidRPr="001E051F" w:rsidRDefault="006855A6" w:rsidP="007A5747">
      <w:pPr>
        <w:spacing w:line="520" w:lineRule="exact"/>
        <w:ind w:firstLineChars="200" w:firstLine="480"/>
        <w:rPr>
          <w:color w:val="000000" w:themeColor="text1"/>
          <w:kern w:val="28"/>
          <w:sz w:val="24"/>
        </w:rPr>
      </w:pPr>
      <w:r>
        <w:rPr>
          <w:rFonts w:hint="eastAsia"/>
          <w:kern w:val="28"/>
          <w:sz w:val="24"/>
        </w:rPr>
        <w:t>根据</w:t>
      </w:r>
      <w:r w:rsidR="00543872" w:rsidRPr="00D91D16">
        <w:rPr>
          <w:rFonts w:hint="eastAsia"/>
          <w:kern w:val="28"/>
          <w:sz w:val="24"/>
        </w:rPr>
        <w:t>《河南省重污染重点行业应急减排措施制定技术指南（</w:t>
      </w:r>
      <w:r w:rsidR="00543872" w:rsidRPr="00D91D16">
        <w:rPr>
          <w:rFonts w:hint="eastAsia"/>
          <w:kern w:val="28"/>
          <w:sz w:val="24"/>
        </w:rPr>
        <w:t xml:space="preserve">2021 </w:t>
      </w:r>
      <w:r w:rsidR="00543872" w:rsidRPr="00D91D16">
        <w:rPr>
          <w:rFonts w:hint="eastAsia"/>
          <w:kern w:val="28"/>
          <w:sz w:val="24"/>
        </w:rPr>
        <w:t>年修订版）》</w:t>
      </w:r>
      <w:r>
        <w:rPr>
          <w:rFonts w:hint="eastAsia"/>
          <w:kern w:val="28"/>
          <w:sz w:val="24"/>
        </w:rPr>
        <w:t>，</w:t>
      </w:r>
      <w:r w:rsidRPr="006855A6">
        <w:rPr>
          <w:rFonts w:hint="eastAsia"/>
          <w:kern w:val="28"/>
          <w:sz w:val="24"/>
        </w:rPr>
        <w:t>矿石（</w:t>
      </w:r>
      <w:r w:rsidRPr="001E051F">
        <w:rPr>
          <w:rFonts w:hint="eastAsia"/>
          <w:color w:val="000000" w:themeColor="text1"/>
          <w:kern w:val="28"/>
          <w:sz w:val="24"/>
        </w:rPr>
        <w:t>煤炭）采选与加工企业绩效分级指标</w:t>
      </w:r>
      <w:r w:rsidR="00543872" w:rsidRPr="001E051F">
        <w:rPr>
          <w:rFonts w:hint="eastAsia"/>
          <w:color w:val="000000" w:themeColor="text1"/>
          <w:kern w:val="28"/>
          <w:sz w:val="24"/>
        </w:rPr>
        <w:t>相关内容</w:t>
      </w:r>
      <w:r w:rsidR="00712722" w:rsidRPr="001E051F">
        <w:rPr>
          <w:rFonts w:hint="eastAsia"/>
          <w:color w:val="000000" w:themeColor="text1"/>
          <w:kern w:val="28"/>
          <w:sz w:val="24"/>
        </w:rPr>
        <w:t>见表</w:t>
      </w:r>
      <w:r w:rsidR="00712722" w:rsidRPr="001E051F">
        <w:rPr>
          <w:rFonts w:hint="eastAsia"/>
          <w:color w:val="000000" w:themeColor="text1"/>
          <w:kern w:val="28"/>
          <w:sz w:val="24"/>
        </w:rPr>
        <w:t>10.3-1</w:t>
      </w:r>
      <w:r w:rsidR="00B86E96">
        <w:rPr>
          <w:rFonts w:hint="eastAsia"/>
          <w:color w:val="000000" w:themeColor="text1"/>
          <w:kern w:val="28"/>
          <w:sz w:val="24"/>
        </w:rPr>
        <w:t>1</w:t>
      </w:r>
      <w:r w:rsidR="00712722" w:rsidRPr="001E051F">
        <w:rPr>
          <w:rFonts w:hint="eastAsia"/>
          <w:color w:val="000000" w:themeColor="text1"/>
          <w:kern w:val="28"/>
          <w:sz w:val="24"/>
        </w:rPr>
        <w:t>。</w:t>
      </w:r>
      <w:r w:rsidR="00543872" w:rsidRPr="001E051F">
        <w:rPr>
          <w:rFonts w:hint="eastAsia"/>
          <w:color w:val="000000" w:themeColor="text1"/>
          <w:kern w:val="28"/>
          <w:sz w:val="24"/>
        </w:rPr>
        <w:t>由表</w:t>
      </w:r>
      <w:r w:rsidR="00543872" w:rsidRPr="001E051F">
        <w:rPr>
          <w:rFonts w:hint="eastAsia"/>
          <w:color w:val="000000" w:themeColor="text1"/>
          <w:kern w:val="28"/>
          <w:sz w:val="24"/>
        </w:rPr>
        <w:t>10.3-1</w:t>
      </w:r>
      <w:r w:rsidR="00B86E96">
        <w:rPr>
          <w:rFonts w:hint="eastAsia"/>
          <w:color w:val="000000" w:themeColor="text1"/>
          <w:kern w:val="28"/>
          <w:sz w:val="24"/>
        </w:rPr>
        <w:t>1</w:t>
      </w:r>
      <w:r w:rsidR="00543872" w:rsidRPr="001E051F">
        <w:rPr>
          <w:rFonts w:hint="eastAsia"/>
          <w:color w:val="000000" w:themeColor="text1"/>
          <w:kern w:val="28"/>
          <w:sz w:val="24"/>
        </w:rPr>
        <w:t>分析可知，本</w:t>
      </w:r>
      <w:r w:rsidR="00944E78" w:rsidRPr="001E051F">
        <w:rPr>
          <w:rFonts w:hint="eastAsia"/>
          <w:color w:val="000000" w:themeColor="text1"/>
          <w:kern w:val="28"/>
          <w:sz w:val="24"/>
        </w:rPr>
        <w:t>矿山</w:t>
      </w:r>
      <w:r w:rsidR="00543872" w:rsidRPr="001E051F">
        <w:rPr>
          <w:rFonts w:hint="eastAsia"/>
          <w:color w:val="000000" w:themeColor="text1"/>
          <w:kern w:val="28"/>
          <w:sz w:val="24"/>
        </w:rPr>
        <w:t>基本符合</w:t>
      </w:r>
      <w:r w:rsidRPr="001E051F">
        <w:rPr>
          <w:rFonts w:hint="eastAsia"/>
          <w:color w:val="000000" w:themeColor="text1"/>
          <w:kern w:val="28"/>
          <w:sz w:val="24"/>
        </w:rPr>
        <w:t>B</w:t>
      </w:r>
      <w:r w:rsidRPr="001E051F">
        <w:rPr>
          <w:rFonts w:hint="eastAsia"/>
          <w:color w:val="000000" w:themeColor="text1"/>
          <w:kern w:val="28"/>
          <w:sz w:val="24"/>
        </w:rPr>
        <w:t>级</w:t>
      </w:r>
      <w:r w:rsidR="00944E78" w:rsidRPr="001E051F">
        <w:rPr>
          <w:rFonts w:hint="eastAsia"/>
          <w:color w:val="000000" w:themeColor="text1"/>
          <w:kern w:val="28"/>
          <w:sz w:val="24"/>
        </w:rPr>
        <w:t>企业</w:t>
      </w:r>
      <w:r w:rsidRPr="001E051F">
        <w:rPr>
          <w:rFonts w:hint="eastAsia"/>
          <w:color w:val="000000" w:themeColor="text1"/>
          <w:kern w:val="28"/>
          <w:sz w:val="24"/>
        </w:rPr>
        <w:t>，</w:t>
      </w:r>
    </w:p>
    <w:p w:rsidR="00EB5150" w:rsidRPr="00712722" w:rsidRDefault="00712722" w:rsidP="00712722">
      <w:pPr>
        <w:spacing w:line="520" w:lineRule="exact"/>
        <w:jc w:val="center"/>
        <w:rPr>
          <w:b/>
          <w:color w:val="FF0000"/>
          <w:kern w:val="28"/>
          <w:sz w:val="24"/>
        </w:rPr>
      </w:pPr>
      <w:r w:rsidRPr="00176F38">
        <w:rPr>
          <w:rFonts w:hint="eastAsia"/>
          <w:color w:val="000000" w:themeColor="text1"/>
          <w:kern w:val="28"/>
          <w:sz w:val="24"/>
        </w:rPr>
        <w:t>表</w:t>
      </w:r>
      <w:r w:rsidRPr="00176F38">
        <w:rPr>
          <w:rFonts w:hint="eastAsia"/>
          <w:color w:val="000000" w:themeColor="text1"/>
          <w:kern w:val="28"/>
          <w:sz w:val="24"/>
        </w:rPr>
        <w:t>10.3-1</w:t>
      </w:r>
      <w:r w:rsidR="00B86E96" w:rsidRPr="00176F38">
        <w:rPr>
          <w:rFonts w:hint="eastAsia"/>
          <w:color w:val="000000" w:themeColor="text1"/>
          <w:kern w:val="28"/>
          <w:sz w:val="24"/>
        </w:rPr>
        <w:t>1</w:t>
      </w:r>
      <w:r w:rsidRPr="00176F38">
        <w:rPr>
          <w:rFonts w:hint="eastAsia"/>
          <w:color w:val="000000" w:themeColor="text1"/>
          <w:kern w:val="28"/>
          <w:sz w:val="24"/>
        </w:rPr>
        <w:t xml:space="preserve"> </w:t>
      </w:r>
      <w:r w:rsidR="000646E0" w:rsidRPr="00176F38">
        <w:rPr>
          <w:rFonts w:hint="eastAsia"/>
          <w:color w:val="000000" w:themeColor="text1"/>
          <w:kern w:val="28"/>
          <w:sz w:val="24"/>
        </w:rPr>
        <w:t xml:space="preserve"> </w:t>
      </w:r>
      <w:r w:rsidRPr="00176F38">
        <w:rPr>
          <w:rFonts w:hint="eastAsia"/>
          <w:color w:val="000000" w:themeColor="text1"/>
          <w:kern w:val="28"/>
          <w:sz w:val="24"/>
        </w:rPr>
        <w:t>与</w:t>
      </w:r>
      <w:r w:rsidR="000646E0" w:rsidRPr="001E051F">
        <w:rPr>
          <w:rFonts w:hint="eastAsia"/>
          <w:color w:val="000000" w:themeColor="text1"/>
          <w:kern w:val="28"/>
          <w:sz w:val="24"/>
        </w:rPr>
        <w:t>矿石（煤炭）采选</w:t>
      </w:r>
      <w:r w:rsidR="000646E0" w:rsidRPr="000646E0">
        <w:rPr>
          <w:rFonts w:hint="eastAsia"/>
          <w:kern w:val="28"/>
          <w:sz w:val="24"/>
        </w:rPr>
        <w:t>与加工企业绩效分级指标</w:t>
      </w:r>
      <w:r w:rsidR="000646E0">
        <w:rPr>
          <w:rFonts w:hint="eastAsia"/>
          <w:kern w:val="28"/>
          <w:sz w:val="24"/>
        </w:rPr>
        <w:t>对比分析表</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7"/>
        <w:gridCol w:w="497"/>
        <w:gridCol w:w="2268"/>
        <w:gridCol w:w="2977"/>
        <w:gridCol w:w="1134"/>
        <w:gridCol w:w="1701"/>
        <w:gridCol w:w="509"/>
      </w:tblGrid>
      <w:tr w:rsidR="000646E0" w:rsidRPr="00BC4D95" w:rsidTr="007C5CAC">
        <w:trPr>
          <w:cantSplit/>
          <w:jc w:val="center"/>
        </w:trPr>
        <w:tc>
          <w:tcPr>
            <w:tcW w:w="994" w:type="dxa"/>
            <w:gridSpan w:val="2"/>
            <w:vMerge w:val="restart"/>
            <w:tcBorders>
              <w:top w:val="single" w:sz="4" w:space="0" w:color="auto"/>
              <w:left w:val="single" w:sz="4" w:space="0" w:color="auto"/>
              <w:right w:val="single" w:sz="4" w:space="0" w:color="auto"/>
            </w:tcBorders>
            <w:noWrap/>
            <w:vAlign w:val="center"/>
          </w:tcPr>
          <w:p w:rsidR="00E24131"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差异化</w:t>
            </w:r>
          </w:p>
          <w:p w:rsidR="000646E0"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指标</w:t>
            </w:r>
          </w:p>
        </w:tc>
        <w:tc>
          <w:tcPr>
            <w:tcW w:w="2268" w:type="dxa"/>
            <w:vMerge w:val="restart"/>
            <w:tcBorders>
              <w:top w:val="single" w:sz="4" w:space="0" w:color="auto"/>
              <w:left w:val="single" w:sz="4" w:space="0" w:color="auto"/>
              <w:right w:val="single" w:sz="4" w:space="0" w:color="auto"/>
            </w:tcBorders>
            <w:noWrap/>
            <w:vAlign w:val="center"/>
          </w:tcPr>
          <w:p w:rsidR="000646E0" w:rsidRPr="00BC4D95"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A</w:t>
            </w:r>
            <w:r>
              <w:rPr>
                <w:rFonts w:hint="eastAsia"/>
                <w:snapToGrid w:val="0"/>
                <w:color w:val="000000"/>
                <w:kern w:val="28"/>
                <w:sz w:val="21"/>
                <w:szCs w:val="21"/>
              </w:rPr>
              <w:t>级企业</w:t>
            </w:r>
          </w:p>
        </w:tc>
        <w:tc>
          <w:tcPr>
            <w:tcW w:w="2977" w:type="dxa"/>
            <w:vMerge w:val="restart"/>
            <w:tcBorders>
              <w:top w:val="single" w:sz="4" w:space="0" w:color="auto"/>
              <w:left w:val="single" w:sz="4" w:space="0" w:color="auto"/>
              <w:right w:val="single" w:sz="4" w:space="0" w:color="auto"/>
            </w:tcBorders>
            <w:noWrap/>
            <w:vAlign w:val="center"/>
          </w:tcPr>
          <w:p w:rsidR="000646E0" w:rsidRPr="00BC4D95"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B</w:t>
            </w:r>
            <w:r>
              <w:rPr>
                <w:rFonts w:hint="eastAsia"/>
                <w:snapToGrid w:val="0"/>
                <w:color w:val="000000"/>
                <w:kern w:val="28"/>
                <w:sz w:val="21"/>
                <w:szCs w:val="21"/>
              </w:rPr>
              <w:t>级企业</w:t>
            </w:r>
          </w:p>
        </w:tc>
        <w:tc>
          <w:tcPr>
            <w:tcW w:w="1134" w:type="dxa"/>
            <w:vMerge w:val="restart"/>
            <w:tcBorders>
              <w:top w:val="single" w:sz="4" w:space="0" w:color="auto"/>
              <w:left w:val="single" w:sz="4" w:space="0" w:color="auto"/>
              <w:right w:val="single" w:sz="4" w:space="0" w:color="auto"/>
            </w:tcBorders>
            <w:noWrap/>
            <w:vAlign w:val="center"/>
          </w:tcPr>
          <w:p w:rsidR="000646E0" w:rsidRPr="00BC4D95"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C</w:t>
            </w:r>
            <w:r>
              <w:rPr>
                <w:rFonts w:hint="eastAsia"/>
                <w:snapToGrid w:val="0"/>
                <w:color w:val="000000"/>
                <w:kern w:val="28"/>
                <w:sz w:val="21"/>
                <w:szCs w:val="21"/>
              </w:rPr>
              <w:t>级企业</w:t>
            </w:r>
          </w:p>
        </w:tc>
        <w:tc>
          <w:tcPr>
            <w:tcW w:w="2210" w:type="dxa"/>
            <w:gridSpan w:val="2"/>
            <w:tcBorders>
              <w:top w:val="single" w:sz="4" w:space="0" w:color="auto"/>
              <w:left w:val="single" w:sz="4" w:space="0" w:color="auto"/>
              <w:bottom w:val="single" w:sz="4" w:space="0" w:color="auto"/>
              <w:right w:val="single" w:sz="4" w:space="0" w:color="auto"/>
            </w:tcBorders>
            <w:noWrap/>
            <w:vAlign w:val="center"/>
          </w:tcPr>
          <w:p w:rsidR="000646E0" w:rsidRPr="00BC4D95"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本项目</w:t>
            </w:r>
          </w:p>
        </w:tc>
      </w:tr>
      <w:tr w:rsidR="000646E0" w:rsidRPr="00BC4D95" w:rsidTr="007C5CAC">
        <w:trPr>
          <w:cantSplit/>
          <w:jc w:val="center"/>
        </w:trPr>
        <w:tc>
          <w:tcPr>
            <w:tcW w:w="994" w:type="dxa"/>
            <w:gridSpan w:val="2"/>
            <w:vMerge/>
            <w:tcBorders>
              <w:left w:val="single" w:sz="4" w:space="0" w:color="auto"/>
              <w:bottom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p>
        </w:tc>
        <w:tc>
          <w:tcPr>
            <w:tcW w:w="2268" w:type="dxa"/>
            <w:vMerge/>
            <w:tcBorders>
              <w:left w:val="single" w:sz="4" w:space="0" w:color="auto"/>
              <w:bottom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p>
        </w:tc>
        <w:tc>
          <w:tcPr>
            <w:tcW w:w="2977" w:type="dxa"/>
            <w:vMerge/>
            <w:tcBorders>
              <w:left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p>
        </w:tc>
        <w:tc>
          <w:tcPr>
            <w:tcW w:w="1134" w:type="dxa"/>
            <w:vMerge/>
            <w:tcBorders>
              <w:left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0646E0" w:rsidRPr="00BC4D95"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相关指标</w:t>
            </w:r>
          </w:p>
        </w:tc>
        <w:tc>
          <w:tcPr>
            <w:tcW w:w="509" w:type="dxa"/>
            <w:tcBorders>
              <w:top w:val="single" w:sz="4" w:space="0" w:color="auto"/>
              <w:left w:val="single" w:sz="4" w:space="0" w:color="auto"/>
              <w:bottom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分级结果</w:t>
            </w:r>
          </w:p>
        </w:tc>
      </w:tr>
      <w:tr w:rsidR="000646E0" w:rsidRPr="00BC4D95" w:rsidTr="007C5CAC">
        <w:trPr>
          <w:cantSplit/>
          <w:jc w:val="center"/>
        </w:trPr>
        <w:tc>
          <w:tcPr>
            <w:tcW w:w="994" w:type="dxa"/>
            <w:gridSpan w:val="2"/>
            <w:tcBorders>
              <w:top w:val="single" w:sz="4" w:space="0" w:color="auto"/>
              <w:left w:val="single" w:sz="4" w:space="0" w:color="auto"/>
              <w:bottom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r w:rsidRPr="000646E0">
              <w:rPr>
                <w:rFonts w:hint="eastAsia"/>
                <w:snapToGrid w:val="0"/>
                <w:color w:val="000000"/>
                <w:kern w:val="28"/>
                <w:sz w:val="21"/>
                <w:szCs w:val="21"/>
              </w:rPr>
              <w:t>能源类型</w:t>
            </w:r>
          </w:p>
        </w:tc>
        <w:tc>
          <w:tcPr>
            <w:tcW w:w="5245" w:type="dxa"/>
            <w:gridSpan w:val="2"/>
            <w:tcBorders>
              <w:top w:val="single" w:sz="4" w:space="0" w:color="auto"/>
              <w:left w:val="single" w:sz="4" w:space="0" w:color="auto"/>
              <w:bottom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r w:rsidRPr="000646E0">
              <w:rPr>
                <w:rFonts w:hint="eastAsia"/>
                <w:snapToGrid w:val="0"/>
                <w:color w:val="000000"/>
                <w:kern w:val="28"/>
                <w:sz w:val="21"/>
                <w:szCs w:val="21"/>
              </w:rPr>
              <w:t>锅炉采用电、天然气、煤层气等能源</w:t>
            </w:r>
          </w:p>
        </w:tc>
        <w:tc>
          <w:tcPr>
            <w:tcW w:w="1134" w:type="dxa"/>
            <w:tcBorders>
              <w:left w:val="single" w:sz="4" w:space="0" w:color="auto"/>
              <w:right w:val="single" w:sz="4" w:space="0" w:color="auto"/>
            </w:tcBorders>
            <w:noWrap/>
            <w:vAlign w:val="center"/>
          </w:tcPr>
          <w:p w:rsidR="000646E0" w:rsidRDefault="000646E0" w:rsidP="00995823">
            <w:pPr>
              <w:snapToGrid w:val="0"/>
              <w:spacing w:line="280" w:lineRule="exact"/>
              <w:jc w:val="center"/>
              <w:rPr>
                <w:snapToGrid w:val="0"/>
                <w:color w:val="000000"/>
                <w:kern w:val="28"/>
                <w:sz w:val="21"/>
                <w:szCs w:val="21"/>
              </w:rPr>
            </w:pPr>
            <w:r w:rsidRPr="000646E0">
              <w:rPr>
                <w:rFonts w:hint="eastAsia"/>
                <w:snapToGrid w:val="0"/>
                <w:color w:val="000000"/>
                <w:kern w:val="28"/>
                <w:sz w:val="21"/>
                <w:szCs w:val="21"/>
              </w:rPr>
              <w:t>未达到</w:t>
            </w:r>
            <w:r w:rsidRPr="000646E0">
              <w:rPr>
                <w:rFonts w:hint="eastAsia"/>
                <w:snapToGrid w:val="0"/>
                <w:color w:val="000000"/>
                <w:kern w:val="28"/>
                <w:sz w:val="21"/>
                <w:szCs w:val="21"/>
              </w:rPr>
              <w:t>A</w:t>
            </w:r>
            <w:r w:rsidRPr="000646E0">
              <w:rPr>
                <w:rFonts w:hint="eastAsia"/>
                <w:snapToGrid w:val="0"/>
                <w:color w:val="000000"/>
                <w:kern w:val="28"/>
                <w:sz w:val="21"/>
                <w:szCs w:val="21"/>
              </w:rPr>
              <w:t>、</w:t>
            </w:r>
            <w:r w:rsidRPr="000646E0">
              <w:rPr>
                <w:rFonts w:hint="eastAsia"/>
                <w:snapToGrid w:val="0"/>
                <w:color w:val="000000"/>
                <w:kern w:val="28"/>
                <w:sz w:val="21"/>
                <w:szCs w:val="21"/>
              </w:rPr>
              <w:t xml:space="preserve">B </w:t>
            </w:r>
            <w:r w:rsidRPr="000646E0">
              <w:rPr>
                <w:rFonts w:hint="eastAsia"/>
                <w:snapToGrid w:val="0"/>
                <w:color w:val="000000"/>
                <w:kern w:val="28"/>
                <w:sz w:val="21"/>
                <w:szCs w:val="21"/>
              </w:rPr>
              <w:t>级要求</w:t>
            </w:r>
          </w:p>
        </w:tc>
        <w:tc>
          <w:tcPr>
            <w:tcW w:w="1701" w:type="dxa"/>
            <w:tcBorders>
              <w:top w:val="single" w:sz="4" w:space="0" w:color="auto"/>
              <w:left w:val="single" w:sz="4" w:space="0" w:color="auto"/>
              <w:bottom w:val="single" w:sz="4" w:space="0" w:color="auto"/>
              <w:right w:val="single" w:sz="4" w:space="0" w:color="auto"/>
            </w:tcBorders>
            <w:noWrap/>
            <w:vAlign w:val="center"/>
          </w:tcPr>
          <w:p w:rsidR="000646E0" w:rsidRPr="00BC4D95"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没有锅炉，采用电、空气能等清洁能源</w:t>
            </w:r>
          </w:p>
        </w:tc>
        <w:tc>
          <w:tcPr>
            <w:tcW w:w="509" w:type="dxa"/>
            <w:tcBorders>
              <w:top w:val="single" w:sz="4" w:space="0" w:color="auto"/>
              <w:left w:val="single" w:sz="4" w:space="0" w:color="auto"/>
              <w:bottom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A</w:t>
            </w:r>
          </w:p>
        </w:tc>
      </w:tr>
      <w:tr w:rsidR="000646E0" w:rsidRPr="00BC4D95" w:rsidTr="007C5CAC">
        <w:trPr>
          <w:cantSplit/>
          <w:jc w:val="center"/>
        </w:trPr>
        <w:tc>
          <w:tcPr>
            <w:tcW w:w="994" w:type="dxa"/>
            <w:gridSpan w:val="2"/>
            <w:tcBorders>
              <w:top w:val="single" w:sz="4" w:space="0" w:color="auto"/>
              <w:left w:val="single" w:sz="4" w:space="0" w:color="auto"/>
              <w:bottom w:val="single" w:sz="4" w:space="0" w:color="auto"/>
              <w:right w:val="single" w:sz="4" w:space="0" w:color="auto"/>
            </w:tcBorders>
            <w:noWrap/>
            <w:vAlign w:val="center"/>
          </w:tcPr>
          <w:p w:rsidR="000646E0" w:rsidRPr="000646E0" w:rsidRDefault="000646E0" w:rsidP="000646E0">
            <w:pPr>
              <w:snapToGrid w:val="0"/>
              <w:spacing w:line="280" w:lineRule="exact"/>
              <w:jc w:val="center"/>
              <w:rPr>
                <w:snapToGrid w:val="0"/>
                <w:color w:val="000000"/>
                <w:kern w:val="28"/>
                <w:sz w:val="21"/>
                <w:szCs w:val="21"/>
              </w:rPr>
            </w:pPr>
            <w:r w:rsidRPr="000646E0">
              <w:rPr>
                <w:rFonts w:hint="eastAsia"/>
                <w:snapToGrid w:val="0"/>
                <w:color w:val="000000"/>
                <w:kern w:val="28"/>
                <w:sz w:val="21"/>
                <w:szCs w:val="21"/>
              </w:rPr>
              <w:t>污染治理技术</w:t>
            </w:r>
          </w:p>
        </w:tc>
        <w:tc>
          <w:tcPr>
            <w:tcW w:w="2268" w:type="dxa"/>
            <w:tcBorders>
              <w:top w:val="single" w:sz="4" w:space="0" w:color="auto"/>
              <w:left w:val="single" w:sz="4" w:space="0" w:color="auto"/>
              <w:bottom w:val="single" w:sz="4" w:space="0" w:color="auto"/>
              <w:right w:val="single" w:sz="4" w:space="0" w:color="auto"/>
            </w:tcBorders>
            <w:noWrap/>
            <w:vAlign w:val="center"/>
          </w:tcPr>
          <w:p w:rsidR="000646E0" w:rsidRPr="007C5CAC" w:rsidRDefault="000646E0" w:rsidP="00944E78">
            <w:pPr>
              <w:snapToGrid w:val="0"/>
              <w:spacing w:line="280" w:lineRule="exact"/>
              <w:jc w:val="center"/>
              <w:rPr>
                <w:snapToGrid w:val="0"/>
                <w:color w:val="000000"/>
                <w:w w:val="90"/>
                <w:kern w:val="28"/>
                <w:sz w:val="21"/>
                <w:szCs w:val="21"/>
              </w:rPr>
            </w:pPr>
            <w:r w:rsidRPr="007C5CAC">
              <w:rPr>
                <w:rFonts w:hint="eastAsia"/>
                <w:snapToGrid w:val="0"/>
                <w:color w:val="000000"/>
                <w:w w:val="90"/>
                <w:kern w:val="28"/>
                <w:sz w:val="21"/>
                <w:szCs w:val="21"/>
              </w:rPr>
              <w:t>1.</w:t>
            </w:r>
            <w:r w:rsidRPr="007C5CAC">
              <w:rPr>
                <w:rFonts w:hint="eastAsia"/>
                <w:snapToGrid w:val="0"/>
                <w:color w:val="000000"/>
                <w:w w:val="90"/>
                <w:kern w:val="28"/>
                <w:sz w:val="21"/>
                <w:szCs w:val="21"/>
              </w:rPr>
              <w:t>除尘采用覆膜滤袋、滤筒等高效除尘技术（设计除尘效率不低于</w:t>
            </w:r>
            <w:r w:rsidRPr="007C5CAC">
              <w:rPr>
                <w:rFonts w:hint="eastAsia"/>
                <w:snapToGrid w:val="0"/>
                <w:color w:val="000000"/>
                <w:w w:val="90"/>
                <w:kern w:val="28"/>
                <w:sz w:val="21"/>
                <w:szCs w:val="21"/>
              </w:rPr>
              <w:t>99%</w:t>
            </w:r>
            <w:r w:rsidRPr="007C5CAC">
              <w:rPr>
                <w:rFonts w:hint="eastAsia"/>
                <w:snapToGrid w:val="0"/>
                <w:color w:val="000000"/>
                <w:w w:val="90"/>
                <w:kern w:val="28"/>
                <w:sz w:val="21"/>
                <w:szCs w:val="21"/>
              </w:rPr>
              <w:t>）；</w:t>
            </w:r>
            <w:r w:rsidRPr="007C5CAC">
              <w:rPr>
                <w:rFonts w:hint="eastAsia"/>
                <w:snapToGrid w:val="0"/>
                <w:color w:val="000000"/>
                <w:w w:val="90"/>
                <w:kern w:val="28"/>
                <w:sz w:val="21"/>
                <w:szCs w:val="21"/>
              </w:rPr>
              <w:t>2.NOx</w:t>
            </w:r>
            <w:r w:rsidRPr="007C5CAC">
              <w:rPr>
                <w:rFonts w:hint="eastAsia"/>
                <w:snapToGrid w:val="0"/>
                <w:color w:val="000000"/>
                <w:w w:val="90"/>
                <w:kern w:val="28"/>
                <w:sz w:val="21"/>
                <w:szCs w:val="21"/>
              </w:rPr>
              <w:t>治理采用低氮燃烧、</w:t>
            </w:r>
            <w:r w:rsidRPr="007C5CAC">
              <w:rPr>
                <w:rFonts w:hint="eastAsia"/>
                <w:snapToGrid w:val="0"/>
                <w:color w:val="000000"/>
                <w:w w:val="90"/>
                <w:kern w:val="28"/>
                <w:sz w:val="21"/>
                <w:szCs w:val="21"/>
              </w:rPr>
              <w:t>SNCR/SCR</w:t>
            </w:r>
            <w:r w:rsidRPr="007C5CAC">
              <w:rPr>
                <w:rFonts w:hint="eastAsia"/>
                <w:snapToGrid w:val="0"/>
                <w:color w:val="000000"/>
                <w:w w:val="90"/>
                <w:kern w:val="28"/>
                <w:sz w:val="21"/>
                <w:szCs w:val="21"/>
              </w:rPr>
              <w:t>等适宜技术。</w:t>
            </w:r>
          </w:p>
        </w:tc>
        <w:tc>
          <w:tcPr>
            <w:tcW w:w="2977" w:type="dxa"/>
            <w:tcBorders>
              <w:left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r w:rsidRPr="000646E0">
              <w:rPr>
                <w:rFonts w:hint="eastAsia"/>
                <w:snapToGrid w:val="0"/>
                <w:color w:val="000000"/>
                <w:kern w:val="28"/>
                <w:sz w:val="21"/>
                <w:szCs w:val="21"/>
              </w:rPr>
              <w:t>除尘采用袋式除尘、电袋复合除尘等除尘技术。</w:t>
            </w:r>
          </w:p>
        </w:tc>
        <w:tc>
          <w:tcPr>
            <w:tcW w:w="1134" w:type="dxa"/>
            <w:tcBorders>
              <w:left w:val="single" w:sz="4" w:space="0" w:color="auto"/>
              <w:right w:val="single" w:sz="4" w:space="0" w:color="auto"/>
            </w:tcBorders>
            <w:noWrap/>
            <w:vAlign w:val="center"/>
          </w:tcPr>
          <w:p w:rsidR="000646E0" w:rsidRDefault="000646E0" w:rsidP="000646E0">
            <w:pPr>
              <w:snapToGrid w:val="0"/>
              <w:spacing w:line="280" w:lineRule="exact"/>
              <w:jc w:val="center"/>
              <w:rPr>
                <w:snapToGrid w:val="0"/>
                <w:color w:val="000000"/>
                <w:kern w:val="28"/>
                <w:sz w:val="21"/>
                <w:szCs w:val="21"/>
              </w:rPr>
            </w:pPr>
            <w:r w:rsidRPr="000646E0">
              <w:rPr>
                <w:rFonts w:hint="eastAsia"/>
                <w:snapToGrid w:val="0"/>
                <w:color w:val="000000"/>
                <w:kern w:val="28"/>
                <w:sz w:val="21"/>
                <w:szCs w:val="21"/>
              </w:rPr>
              <w:t>未达到</w:t>
            </w:r>
            <w:r w:rsidRPr="000646E0">
              <w:rPr>
                <w:rFonts w:hint="eastAsia"/>
                <w:snapToGrid w:val="0"/>
                <w:color w:val="000000"/>
                <w:kern w:val="28"/>
                <w:sz w:val="21"/>
                <w:szCs w:val="21"/>
              </w:rPr>
              <w:t>B</w:t>
            </w:r>
            <w:r w:rsidRPr="000646E0">
              <w:rPr>
                <w:rFonts w:hint="eastAsia"/>
                <w:snapToGrid w:val="0"/>
                <w:color w:val="000000"/>
                <w:kern w:val="28"/>
                <w:sz w:val="21"/>
                <w:szCs w:val="21"/>
              </w:rPr>
              <w:t>级要求</w:t>
            </w:r>
          </w:p>
        </w:tc>
        <w:tc>
          <w:tcPr>
            <w:tcW w:w="1701" w:type="dxa"/>
            <w:tcBorders>
              <w:top w:val="single" w:sz="4" w:space="0" w:color="auto"/>
              <w:left w:val="single" w:sz="4" w:space="0" w:color="auto"/>
              <w:bottom w:val="single" w:sz="4" w:space="0" w:color="auto"/>
              <w:right w:val="single" w:sz="4" w:space="0" w:color="auto"/>
            </w:tcBorders>
            <w:noWrap/>
            <w:vAlign w:val="center"/>
          </w:tcPr>
          <w:p w:rsidR="000646E0" w:rsidRPr="00BC4D95" w:rsidRDefault="00176F3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卸煤口安装袋式除尘器</w:t>
            </w:r>
            <w:r w:rsidR="00E24131">
              <w:rPr>
                <w:rFonts w:hint="eastAsia"/>
                <w:snapToGrid w:val="0"/>
                <w:color w:val="000000"/>
                <w:kern w:val="28"/>
                <w:sz w:val="21"/>
                <w:szCs w:val="21"/>
              </w:rPr>
              <w:t>，无组织排放采用全封闭及喷雾洒水措施除尘</w:t>
            </w:r>
          </w:p>
        </w:tc>
        <w:tc>
          <w:tcPr>
            <w:tcW w:w="509" w:type="dxa"/>
            <w:tcBorders>
              <w:top w:val="single" w:sz="4" w:space="0" w:color="auto"/>
              <w:left w:val="single" w:sz="4" w:space="0" w:color="auto"/>
              <w:bottom w:val="single" w:sz="4" w:space="0" w:color="auto"/>
              <w:right w:val="single" w:sz="4" w:space="0" w:color="auto"/>
            </w:tcBorders>
            <w:noWrap/>
            <w:vAlign w:val="center"/>
          </w:tcPr>
          <w:p w:rsidR="000646E0" w:rsidRPr="00E24131" w:rsidRDefault="00E24131"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B</w:t>
            </w:r>
          </w:p>
        </w:tc>
      </w:tr>
      <w:tr w:rsidR="007E1E4A" w:rsidRPr="00BC4D95" w:rsidTr="007C5CAC">
        <w:trPr>
          <w:cantSplit/>
          <w:jc w:val="center"/>
        </w:trPr>
        <w:tc>
          <w:tcPr>
            <w:tcW w:w="994" w:type="dxa"/>
            <w:gridSpan w:val="2"/>
            <w:tcBorders>
              <w:top w:val="single" w:sz="4" w:space="0" w:color="auto"/>
              <w:left w:val="single" w:sz="4" w:space="0" w:color="auto"/>
              <w:bottom w:val="single" w:sz="4" w:space="0" w:color="auto"/>
              <w:right w:val="single" w:sz="4" w:space="0" w:color="auto"/>
            </w:tcBorders>
            <w:noWrap/>
            <w:vAlign w:val="center"/>
          </w:tcPr>
          <w:p w:rsidR="007E1E4A" w:rsidRPr="000646E0" w:rsidRDefault="007E1E4A" w:rsidP="000646E0">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lastRenderedPageBreak/>
              <w:t>无组织管控</w:t>
            </w:r>
          </w:p>
        </w:tc>
        <w:tc>
          <w:tcPr>
            <w:tcW w:w="5245" w:type="dxa"/>
            <w:gridSpan w:val="2"/>
            <w:tcBorders>
              <w:top w:val="single" w:sz="4" w:space="0" w:color="auto"/>
              <w:left w:val="single" w:sz="4" w:space="0" w:color="auto"/>
              <w:bottom w:val="single" w:sz="4" w:space="0" w:color="auto"/>
              <w:right w:val="single" w:sz="4" w:space="0" w:color="auto"/>
            </w:tcBorders>
            <w:noWrap/>
            <w:vAlign w:val="center"/>
          </w:tcPr>
          <w:p w:rsidR="007E1E4A" w:rsidRPr="007E1E4A" w:rsidRDefault="007E1E4A" w:rsidP="00E24131">
            <w:pPr>
              <w:snapToGrid w:val="0"/>
              <w:spacing w:line="280" w:lineRule="exact"/>
              <w:rPr>
                <w:snapToGrid w:val="0"/>
                <w:color w:val="000000"/>
                <w:kern w:val="28"/>
                <w:sz w:val="21"/>
                <w:szCs w:val="21"/>
              </w:rPr>
            </w:pPr>
            <w:r w:rsidRPr="007E1E4A">
              <w:rPr>
                <w:rFonts w:hint="eastAsia"/>
                <w:snapToGrid w:val="0"/>
                <w:color w:val="000000"/>
                <w:kern w:val="28"/>
                <w:sz w:val="21"/>
                <w:szCs w:val="21"/>
              </w:rPr>
              <w:t>1.</w:t>
            </w:r>
            <w:r w:rsidRPr="007E1E4A">
              <w:rPr>
                <w:rFonts w:hint="eastAsia"/>
                <w:snapToGrid w:val="0"/>
                <w:color w:val="000000"/>
                <w:kern w:val="28"/>
                <w:sz w:val="21"/>
                <w:szCs w:val="21"/>
              </w:rPr>
              <w:t>露天采矿采取自上而下水平分层开采，采取深孔微差、低尘爆破、机械采装，铲装作业同时喷水雾，并及时洒水抑尘；</w:t>
            </w:r>
            <w:r w:rsidRPr="007E1E4A">
              <w:rPr>
                <w:rFonts w:hint="eastAsia"/>
                <w:snapToGrid w:val="0"/>
                <w:color w:val="000000"/>
                <w:kern w:val="28"/>
                <w:sz w:val="21"/>
                <w:szCs w:val="21"/>
              </w:rPr>
              <w:t>2.</w:t>
            </w:r>
            <w:r w:rsidRPr="007E1E4A">
              <w:rPr>
                <w:rFonts w:hint="eastAsia"/>
                <w:snapToGrid w:val="0"/>
                <w:color w:val="000000"/>
                <w:kern w:val="28"/>
                <w:sz w:val="21"/>
                <w:szCs w:val="21"/>
              </w:rPr>
              <w:t>矿石（原煤）装卸、破碎、筛分等产尘工序应在封闭厂房内作业，产尘点采取二次封闭或设置集尘罩负压收集后采用袋式除尘处理；石材加工企业切割、打磨、雕刻、抛光等产尘工序，应采用湿法作业，分类设置作业区域，作业区内建有规范的围堰、排水渠，将作业废水导排至封闭集水池进行有效收集；采用干法作业的，切割、打磨、雕刻、抛光等作业过程保持封闭，配备粉尘收集处理装置，进行有效收集和处置；生产车间无可见粉尘外逸；</w:t>
            </w:r>
          </w:p>
          <w:p w:rsidR="007E1E4A" w:rsidRDefault="007E1E4A" w:rsidP="007C5CAC">
            <w:pPr>
              <w:snapToGrid w:val="0"/>
              <w:spacing w:line="280" w:lineRule="exact"/>
              <w:rPr>
                <w:snapToGrid w:val="0"/>
                <w:color w:val="000000"/>
                <w:kern w:val="28"/>
                <w:sz w:val="21"/>
                <w:szCs w:val="21"/>
              </w:rPr>
            </w:pPr>
            <w:r w:rsidRPr="007E1E4A">
              <w:rPr>
                <w:rFonts w:hint="eastAsia"/>
                <w:snapToGrid w:val="0"/>
                <w:color w:val="000000"/>
                <w:kern w:val="28"/>
                <w:sz w:val="21"/>
                <w:szCs w:val="21"/>
              </w:rPr>
              <w:t>3.</w:t>
            </w:r>
            <w:r w:rsidRPr="007E1E4A">
              <w:rPr>
                <w:rFonts w:hint="eastAsia"/>
                <w:snapToGrid w:val="0"/>
                <w:color w:val="000000"/>
                <w:kern w:val="28"/>
                <w:sz w:val="21"/>
                <w:szCs w:val="21"/>
              </w:rPr>
              <w:t>粉状物料全部采取储罐、筒仓或覆膜吨包袋等密闭储存；粒状、块状物料全部封闭或密闭储存，封闭料场内装固定喷干雾装置，料场货物进出大门为硬质材料门或自动感应门，在确保安全的情况下，所有门窗保持常闭状态；</w:t>
            </w:r>
            <w:r w:rsidRPr="007E1E4A">
              <w:rPr>
                <w:rFonts w:hint="eastAsia"/>
                <w:snapToGrid w:val="0"/>
                <w:color w:val="000000"/>
                <w:kern w:val="28"/>
                <w:sz w:val="21"/>
                <w:szCs w:val="21"/>
              </w:rPr>
              <w:t>4.</w:t>
            </w:r>
            <w:r w:rsidRPr="007E1E4A">
              <w:rPr>
                <w:rFonts w:hint="eastAsia"/>
                <w:snapToGrid w:val="0"/>
                <w:color w:val="000000"/>
                <w:kern w:val="28"/>
                <w:sz w:val="21"/>
                <w:szCs w:val="21"/>
              </w:rPr>
              <w:t>各工序粉状、粒状等易产尘物料厂内转移、输送过程应采用气力输送、封闭皮带等；无法封闭的产尘点（物料转载、下料口等）应采取集气除尘措施；</w:t>
            </w:r>
            <w:r w:rsidRPr="007E1E4A">
              <w:rPr>
                <w:rFonts w:hint="eastAsia"/>
                <w:snapToGrid w:val="0"/>
                <w:color w:val="000000"/>
                <w:kern w:val="28"/>
                <w:sz w:val="21"/>
                <w:szCs w:val="21"/>
              </w:rPr>
              <w:t>5.</w:t>
            </w:r>
            <w:r w:rsidRPr="007E1E4A">
              <w:rPr>
                <w:rFonts w:hint="eastAsia"/>
                <w:snapToGrid w:val="0"/>
                <w:color w:val="000000"/>
                <w:kern w:val="28"/>
                <w:sz w:val="21"/>
                <w:szCs w:val="21"/>
              </w:rPr>
              <w:t>采矿企业料场出口处配备车轮车身高压清洗装置，洗车平台四周应设置洗车废水收集处理设施；</w:t>
            </w:r>
            <w:r w:rsidRPr="007E1E4A">
              <w:rPr>
                <w:rFonts w:hint="eastAsia"/>
                <w:snapToGrid w:val="0"/>
                <w:color w:val="000000"/>
                <w:kern w:val="28"/>
                <w:sz w:val="21"/>
                <w:szCs w:val="21"/>
              </w:rPr>
              <w:t>6.</w:t>
            </w:r>
            <w:r w:rsidRPr="007E1E4A">
              <w:rPr>
                <w:rFonts w:hint="eastAsia"/>
                <w:snapToGrid w:val="0"/>
                <w:color w:val="000000"/>
                <w:kern w:val="28"/>
                <w:sz w:val="21"/>
                <w:szCs w:val="21"/>
              </w:rPr>
              <w:t>除尘器应设置密闭灰仓，除尘灰应通过气力输送、罐车、袋子等封闭方式卸灰，不得直接卸落到地面；</w:t>
            </w:r>
            <w:r w:rsidRPr="007E1E4A">
              <w:rPr>
                <w:rFonts w:hint="eastAsia"/>
                <w:snapToGrid w:val="0"/>
                <w:color w:val="000000"/>
                <w:kern w:val="28"/>
                <w:sz w:val="21"/>
                <w:szCs w:val="21"/>
              </w:rPr>
              <w:t>7.</w:t>
            </w:r>
            <w:r w:rsidRPr="007E1E4A">
              <w:rPr>
                <w:rFonts w:hint="eastAsia"/>
                <w:snapToGrid w:val="0"/>
                <w:color w:val="000000"/>
                <w:kern w:val="28"/>
                <w:sz w:val="21"/>
                <w:szCs w:val="21"/>
              </w:rPr>
              <w:t>矿石运输、尾矿库、废石场道路，路面应硬化，并采取定期清扫、洒水等抑尘措施；企业厂区内道路、堆场等路面应硬化，保持清洁，路面无明显可见积尘。</w:t>
            </w:r>
          </w:p>
        </w:tc>
        <w:tc>
          <w:tcPr>
            <w:tcW w:w="1134" w:type="dxa"/>
            <w:tcBorders>
              <w:left w:val="single" w:sz="4" w:space="0" w:color="auto"/>
              <w:right w:val="single" w:sz="4" w:space="0" w:color="auto"/>
            </w:tcBorders>
            <w:noWrap/>
            <w:vAlign w:val="center"/>
          </w:tcPr>
          <w:p w:rsidR="007E1E4A" w:rsidRDefault="007E1E4A" w:rsidP="007E1E4A">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t>未达到</w:t>
            </w:r>
            <w:r w:rsidRPr="007E1E4A">
              <w:rPr>
                <w:rFonts w:hint="eastAsia"/>
                <w:snapToGrid w:val="0"/>
                <w:color w:val="000000"/>
                <w:kern w:val="28"/>
                <w:sz w:val="21"/>
                <w:szCs w:val="21"/>
              </w:rPr>
              <w:t xml:space="preserve"> A</w:t>
            </w:r>
            <w:r w:rsidRPr="007E1E4A">
              <w:rPr>
                <w:rFonts w:hint="eastAsia"/>
                <w:snapToGrid w:val="0"/>
                <w:color w:val="000000"/>
                <w:kern w:val="28"/>
                <w:sz w:val="21"/>
                <w:szCs w:val="21"/>
              </w:rPr>
              <w:t>、</w:t>
            </w:r>
            <w:r w:rsidRPr="007E1E4A">
              <w:rPr>
                <w:rFonts w:hint="eastAsia"/>
                <w:snapToGrid w:val="0"/>
                <w:color w:val="000000"/>
                <w:kern w:val="28"/>
                <w:sz w:val="21"/>
                <w:szCs w:val="21"/>
              </w:rPr>
              <w:t xml:space="preserve">B </w:t>
            </w:r>
            <w:r w:rsidRPr="007E1E4A">
              <w:rPr>
                <w:rFonts w:hint="eastAsia"/>
                <w:snapToGrid w:val="0"/>
                <w:color w:val="000000"/>
                <w:kern w:val="28"/>
                <w:sz w:val="21"/>
                <w:szCs w:val="21"/>
              </w:rPr>
              <w:t>级要求</w:t>
            </w:r>
          </w:p>
        </w:tc>
        <w:tc>
          <w:tcPr>
            <w:tcW w:w="1701" w:type="dxa"/>
            <w:tcBorders>
              <w:top w:val="single" w:sz="4" w:space="0" w:color="auto"/>
              <w:left w:val="single" w:sz="4" w:space="0" w:color="auto"/>
              <w:bottom w:val="single" w:sz="4" w:space="0" w:color="auto"/>
              <w:right w:val="single" w:sz="4" w:space="0" w:color="auto"/>
            </w:tcBorders>
            <w:noWrap/>
            <w:vAlign w:val="center"/>
          </w:tcPr>
          <w:p w:rsidR="00FF14E6" w:rsidRPr="007E1E4A" w:rsidRDefault="00FF14E6" w:rsidP="00FF14E6">
            <w:pPr>
              <w:snapToGrid w:val="0"/>
              <w:spacing w:line="280" w:lineRule="exact"/>
              <w:rPr>
                <w:snapToGrid w:val="0"/>
                <w:color w:val="000000"/>
                <w:kern w:val="28"/>
                <w:sz w:val="21"/>
                <w:szCs w:val="21"/>
              </w:rPr>
            </w:pPr>
            <w:r w:rsidRPr="007E1E4A">
              <w:rPr>
                <w:rFonts w:hint="eastAsia"/>
                <w:snapToGrid w:val="0"/>
                <w:color w:val="000000"/>
                <w:kern w:val="28"/>
                <w:sz w:val="21"/>
                <w:szCs w:val="21"/>
              </w:rPr>
              <w:t>1.</w:t>
            </w:r>
            <w:r>
              <w:rPr>
                <w:rFonts w:hint="eastAsia"/>
                <w:snapToGrid w:val="0"/>
                <w:color w:val="000000"/>
                <w:kern w:val="28"/>
                <w:sz w:val="21"/>
                <w:szCs w:val="21"/>
              </w:rPr>
              <w:t>地下开采</w:t>
            </w:r>
            <w:r w:rsidRPr="007E1E4A">
              <w:rPr>
                <w:rFonts w:hint="eastAsia"/>
                <w:snapToGrid w:val="0"/>
                <w:color w:val="000000"/>
                <w:kern w:val="28"/>
                <w:sz w:val="21"/>
                <w:szCs w:val="21"/>
              </w:rPr>
              <w:t>；</w:t>
            </w:r>
            <w:r w:rsidRPr="007E1E4A">
              <w:rPr>
                <w:rFonts w:hint="eastAsia"/>
                <w:snapToGrid w:val="0"/>
                <w:color w:val="000000"/>
                <w:kern w:val="28"/>
                <w:sz w:val="21"/>
                <w:szCs w:val="21"/>
              </w:rPr>
              <w:t>2.</w:t>
            </w:r>
            <w:r w:rsidRPr="007E1E4A">
              <w:rPr>
                <w:rFonts w:hint="eastAsia"/>
                <w:snapToGrid w:val="0"/>
                <w:color w:val="000000"/>
                <w:kern w:val="28"/>
                <w:sz w:val="21"/>
                <w:szCs w:val="21"/>
              </w:rPr>
              <w:t>矿石（原煤）装卸等产尘工序应在封闭</w:t>
            </w:r>
            <w:r>
              <w:rPr>
                <w:rFonts w:hint="eastAsia"/>
                <w:snapToGrid w:val="0"/>
                <w:color w:val="000000"/>
                <w:kern w:val="28"/>
                <w:sz w:val="21"/>
                <w:szCs w:val="21"/>
              </w:rPr>
              <w:t>全封闭</w:t>
            </w:r>
            <w:r w:rsidR="00802A62">
              <w:rPr>
                <w:rFonts w:hint="eastAsia"/>
                <w:snapToGrid w:val="0"/>
                <w:color w:val="000000"/>
                <w:kern w:val="28"/>
                <w:sz w:val="21"/>
                <w:szCs w:val="21"/>
              </w:rPr>
              <w:t>储煤库</w:t>
            </w:r>
            <w:r>
              <w:rPr>
                <w:rFonts w:hint="eastAsia"/>
                <w:snapToGrid w:val="0"/>
                <w:color w:val="000000"/>
                <w:kern w:val="28"/>
                <w:sz w:val="21"/>
                <w:szCs w:val="21"/>
              </w:rPr>
              <w:t>内</w:t>
            </w:r>
            <w:r w:rsidRPr="007E1E4A">
              <w:rPr>
                <w:rFonts w:hint="eastAsia"/>
                <w:snapToGrid w:val="0"/>
                <w:color w:val="000000"/>
                <w:kern w:val="28"/>
                <w:sz w:val="21"/>
                <w:szCs w:val="21"/>
              </w:rPr>
              <w:t>作业，产尘点采取二次封闭或</w:t>
            </w:r>
            <w:r>
              <w:rPr>
                <w:rFonts w:hint="eastAsia"/>
                <w:snapToGrid w:val="0"/>
                <w:color w:val="000000"/>
                <w:kern w:val="28"/>
                <w:sz w:val="21"/>
                <w:szCs w:val="21"/>
              </w:rPr>
              <w:t>喷雾洒水措施</w:t>
            </w:r>
            <w:r w:rsidRPr="007E1E4A">
              <w:rPr>
                <w:rFonts w:hint="eastAsia"/>
                <w:snapToGrid w:val="0"/>
                <w:color w:val="000000"/>
                <w:kern w:val="28"/>
                <w:sz w:val="21"/>
                <w:szCs w:val="21"/>
              </w:rPr>
              <w:t>；</w:t>
            </w:r>
            <w:r w:rsidRPr="007E1E4A">
              <w:rPr>
                <w:rFonts w:hint="eastAsia"/>
                <w:snapToGrid w:val="0"/>
                <w:color w:val="000000"/>
                <w:kern w:val="28"/>
                <w:sz w:val="21"/>
                <w:szCs w:val="21"/>
              </w:rPr>
              <w:t xml:space="preserve"> 3.</w:t>
            </w:r>
            <w:r>
              <w:rPr>
                <w:rFonts w:hint="eastAsia"/>
                <w:snapToGrid w:val="0"/>
                <w:color w:val="000000"/>
                <w:kern w:val="28"/>
                <w:sz w:val="21"/>
                <w:szCs w:val="21"/>
              </w:rPr>
              <w:t>原煤及矸石</w:t>
            </w:r>
            <w:r w:rsidRPr="007E1E4A">
              <w:rPr>
                <w:rFonts w:hint="eastAsia"/>
                <w:snapToGrid w:val="0"/>
                <w:color w:val="000000"/>
                <w:kern w:val="28"/>
                <w:sz w:val="21"/>
                <w:szCs w:val="21"/>
              </w:rPr>
              <w:t>全部采取全封闭</w:t>
            </w:r>
            <w:r w:rsidR="00802A62">
              <w:rPr>
                <w:rFonts w:hint="eastAsia"/>
                <w:snapToGrid w:val="0"/>
                <w:color w:val="000000"/>
                <w:kern w:val="28"/>
                <w:sz w:val="21"/>
                <w:szCs w:val="21"/>
              </w:rPr>
              <w:t>储煤库</w:t>
            </w:r>
            <w:r w:rsidRPr="007E1E4A">
              <w:rPr>
                <w:rFonts w:hint="eastAsia"/>
                <w:snapToGrid w:val="0"/>
                <w:color w:val="000000"/>
                <w:kern w:val="28"/>
                <w:sz w:val="21"/>
                <w:szCs w:val="21"/>
              </w:rPr>
              <w:t>储存，内装固定喷干雾装置，进出大门为硬质材料门；</w:t>
            </w:r>
            <w:r w:rsidRPr="007E1E4A">
              <w:rPr>
                <w:rFonts w:hint="eastAsia"/>
                <w:snapToGrid w:val="0"/>
                <w:color w:val="000000"/>
                <w:kern w:val="28"/>
                <w:sz w:val="21"/>
                <w:szCs w:val="21"/>
              </w:rPr>
              <w:t>4.</w:t>
            </w:r>
            <w:r>
              <w:rPr>
                <w:rFonts w:hint="eastAsia"/>
                <w:snapToGrid w:val="0"/>
                <w:color w:val="000000"/>
                <w:kern w:val="28"/>
                <w:sz w:val="21"/>
                <w:szCs w:val="21"/>
              </w:rPr>
              <w:t>原煤采用封闭皮带廊输送</w:t>
            </w:r>
            <w:r w:rsidRPr="007E1E4A">
              <w:rPr>
                <w:rFonts w:hint="eastAsia"/>
                <w:snapToGrid w:val="0"/>
                <w:color w:val="000000"/>
                <w:kern w:val="28"/>
                <w:sz w:val="21"/>
                <w:szCs w:val="21"/>
              </w:rPr>
              <w:t>；</w:t>
            </w:r>
          </w:p>
          <w:p w:rsidR="007E1E4A" w:rsidRPr="00BC4D95" w:rsidRDefault="00FF14E6" w:rsidP="00FF14E6">
            <w:pPr>
              <w:snapToGrid w:val="0"/>
              <w:spacing w:line="280" w:lineRule="exact"/>
              <w:rPr>
                <w:snapToGrid w:val="0"/>
                <w:color w:val="000000"/>
                <w:kern w:val="28"/>
                <w:sz w:val="21"/>
                <w:szCs w:val="21"/>
              </w:rPr>
            </w:pPr>
            <w:r w:rsidRPr="007E1E4A">
              <w:rPr>
                <w:rFonts w:hint="eastAsia"/>
                <w:snapToGrid w:val="0"/>
                <w:color w:val="000000"/>
                <w:kern w:val="28"/>
                <w:sz w:val="21"/>
                <w:szCs w:val="21"/>
              </w:rPr>
              <w:t>5.</w:t>
            </w:r>
            <w:r w:rsidRPr="007E1E4A">
              <w:rPr>
                <w:rFonts w:hint="eastAsia"/>
                <w:snapToGrid w:val="0"/>
                <w:color w:val="000000"/>
                <w:kern w:val="28"/>
                <w:sz w:val="21"/>
                <w:szCs w:val="21"/>
              </w:rPr>
              <w:t>出口处配备车轮车身高压清洗装置，洗车平台四周应设置洗车废水收集处理设施；</w:t>
            </w:r>
            <w:r w:rsidRPr="007E1E4A">
              <w:rPr>
                <w:rFonts w:hint="eastAsia"/>
                <w:snapToGrid w:val="0"/>
                <w:color w:val="000000"/>
                <w:kern w:val="28"/>
                <w:sz w:val="21"/>
                <w:szCs w:val="21"/>
              </w:rPr>
              <w:t>6.</w:t>
            </w:r>
            <w:r>
              <w:rPr>
                <w:rFonts w:hint="eastAsia"/>
                <w:snapToGrid w:val="0"/>
                <w:color w:val="000000"/>
                <w:kern w:val="28"/>
                <w:sz w:val="21"/>
                <w:szCs w:val="21"/>
              </w:rPr>
              <w:t>无组织排放，密闭及洒水措施</w:t>
            </w:r>
            <w:r w:rsidRPr="007E1E4A">
              <w:rPr>
                <w:rFonts w:hint="eastAsia"/>
                <w:snapToGrid w:val="0"/>
                <w:color w:val="000000"/>
                <w:kern w:val="28"/>
                <w:sz w:val="21"/>
                <w:szCs w:val="21"/>
              </w:rPr>
              <w:t>；</w:t>
            </w:r>
            <w:r w:rsidRPr="007E1E4A">
              <w:rPr>
                <w:rFonts w:hint="eastAsia"/>
                <w:snapToGrid w:val="0"/>
                <w:color w:val="000000"/>
                <w:kern w:val="28"/>
                <w:sz w:val="21"/>
                <w:szCs w:val="21"/>
              </w:rPr>
              <w:t>7.</w:t>
            </w:r>
            <w:r>
              <w:rPr>
                <w:rFonts w:hint="eastAsia"/>
                <w:snapToGrid w:val="0"/>
                <w:color w:val="000000"/>
                <w:kern w:val="28"/>
                <w:sz w:val="21"/>
                <w:szCs w:val="21"/>
              </w:rPr>
              <w:t>运输道路及厂区内道路</w:t>
            </w:r>
            <w:r w:rsidRPr="007E1E4A">
              <w:rPr>
                <w:rFonts w:hint="eastAsia"/>
                <w:snapToGrid w:val="0"/>
                <w:color w:val="000000"/>
                <w:kern w:val="28"/>
                <w:sz w:val="21"/>
                <w:szCs w:val="21"/>
              </w:rPr>
              <w:t>路面</w:t>
            </w:r>
            <w:r>
              <w:rPr>
                <w:rFonts w:hint="eastAsia"/>
                <w:snapToGrid w:val="0"/>
                <w:color w:val="000000"/>
                <w:kern w:val="28"/>
                <w:sz w:val="21"/>
                <w:szCs w:val="21"/>
              </w:rPr>
              <w:t>均硬化，并采取定期清扫、洒水等抑尘措施</w:t>
            </w:r>
            <w:r w:rsidRPr="007E1E4A">
              <w:rPr>
                <w:rFonts w:hint="eastAsia"/>
                <w:snapToGrid w:val="0"/>
                <w:color w:val="000000"/>
                <w:kern w:val="28"/>
                <w:sz w:val="21"/>
                <w:szCs w:val="21"/>
              </w:rPr>
              <w:t>。</w:t>
            </w:r>
          </w:p>
        </w:tc>
        <w:tc>
          <w:tcPr>
            <w:tcW w:w="509" w:type="dxa"/>
            <w:tcBorders>
              <w:top w:val="single" w:sz="4" w:space="0" w:color="auto"/>
              <w:left w:val="single" w:sz="4" w:space="0" w:color="auto"/>
              <w:bottom w:val="single" w:sz="4" w:space="0" w:color="auto"/>
              <w:right w:val="single" w:sz="4" w:space="0" w:color="auto"/>
            </w:tcBorders>
            <w:noWrap/>
            <w:vAlign w:val="center"/>
          </w:tcPr>
          <w:p w:rsidR="007E1E4A" w:rsidRDefault="00FF14E6"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B</w:t>
            </w:r>
          </w:p>
        </w:tc>
      </w:tr>
      <w:tr w:rsidR="007E1E4A" w:rsidRPr="00BC4D95" w:rsidTr="007C5CAC">
        <w:trPr>
          <w:cantSplit/>
          <w:jc w:val="center"/>
        </w:trPr>
        <w:tc>
          <w:tcPr>
            <w:tcW w:w="994" w:type="dxa"/>
            <w:gridSpan w:val="2"/>
            <w:vMerge w:val="restart"/>
            <w:tcBorders>
              <w:top w:val="single" w:sz="4" w:space="0" w:color="auto"/>
              <w:left w:val="single" w:sz="4" w:space="0" w:color="auto"/>
              <w:right w:val="single" w:sz="4" w:space="0" w:color="auto"/>
            </w:tcBorders>
            <w:noWrap/>
            <w:vAlign w:val="center"/>
          </w:tcPr>
          <w:p w:rsidR="007E1E4A" w:rsidRPr="000646E0" w:rsidRDefault="007E1E4A" w:rsidP="000646E0">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t>排放限值</w:t>
            </w:r>
          </w:p>
        </w:tc>
        <w:tc>
          <w:tcPr>
            <w:tcW w:w="5245" w:type="dxa"/>
            <w:gridSpan w:val="2"/>
            <w:tcBorders>
              <w:top w:val="single" w:sz="4" w:space="0" w:color="auto"/>
              <w:left w:val="single" w:sz="4" w:space="0" w:color="auto"/>
              <w:bottom w:val="single" w:sz="4" w:space="0" w:color="auto"/>
              <w:right w:val="single" w:sz="4" w:space="0" w:color="auto"/>
            </w:tcBorders>
            <w:noWrap/>
            <w:vAlign w:val="center"/>
          </w:tcPr>
          <w:p w:rsidR="007E1E4A" w:rsidRDefault="007E1E4A" w:rsidP="00995823">
            <w:pPr>
              <w:snapToGrid w:val="0"/>
              <w:spacing w:line="280" w:lineRule="exact"/>
              <w:jc w:val="left"/>
              <w:rPr>
                <w:snapToGrid w:val="0"/>
                <w:color w:val="000000"/>
                <w:kern w:val="28"/>
                <w:sz w:val="21"/>
                <w:szCs w:val="21"/>
              </w:rPr>
            </w:pPr>
            <w:r w:rsidRPr="007E1E4A">
              <w:rPr>
                <w:rFonts w:hint="eastAsia"/>
                <w:snapToGrid w:val="0"/>
                <w:color w:val="000000"/>
                <w:kern w:val="28"/>
                <w:sz w:val="21"/>
                <w:szCs w:val="21"/>
              </w:rPr>
              <w:t>1.PM</w:t>
            </w:r>
            <w:r w:rsidRPr="007E1E4A">
              <w:rPr>
                <w:rFonts w:hint="eastAsia"/>
                <w:snapToGrid w:val="0"/>
                <w:color w:val="000000"/>
                <w:kern w:val="28"/>
                <w:sz w:val="21"/>
                <w:szCs w:val="21"/>
              </w:rPr>
              <w:t>排放浓度不超过</w:t>
            </w:r>
            <w:r w:rsidRPr="007E1E4A">
              <w:rPr>
                <w:rFonts w:hint="eastAsia"/>
                <w:snapToGrid w:val="0"/>
                <w:color w:val="000000"/>
                <w:kern w:val="28"/>
                <w:sz w:val="21"/>
                <w:szCs w:val="21"/>
              </w:rPr>
              <w:t>10mg/m</w:t>
            </w:r>
            <w:r w:rsidRPr="007E1E4A">
              <w:rPr>
                <w:rFonts w:hint="eastAsia"/>
                <w:snapToGrid w:val="0"/>
                <w:color w:val="000000"/>
                <w:kern w:val="28"/>
                <w:sz w:val="21"/>
                <w:szCs w:val="21"/>
                <w:vertAlign w:val="superscript"/>
              </w:rPr>
              <w:t>3</w:t>
            </w:r>
            <w:r w:rsidRPr="007E1E4A">
              <w:rPr>
                <w:rFonts w:hint="eastAsia"/>
                <w:snapToGrid w:val="0"/>
                <w:color w:val="000000"/>
                <w:kern w:val="28"/>
                <w:sz w:val="21"/>
                <w:szCs w:val="21"/>
              </w:rPr>
              <w:t>；</w:t>
            </w:r>
          </w:p>
        </w:tc>
        <w:tc>
          <w:tcPr>
            <w:tcW w:w="1134" w:type="dxa"/>
            <w:tcBorders>
              <w:left w:val="single" w:sz="4" w:space="0" w:color="auto"/>
              <w:right w:val="single" w:sz="4" w:space="0" w:color="auto"/>
            </w:tcBorders>
            <w:noWrap/>
            <w:vAlign w:val="center"/>
          </w:tcPr>
          <w:p w:rsidR="007E1E4A" w:rsidRPr="007E1E4A" w:rsidRDefault="007E1E4A" w:rsidP="007C5CAC">
            <w:pPr>
              <w:snapToGrid w:val="0"/>
              <w:spacing w:line="280" w:lineRule="exact"/>
              <w:jc w:val="center"/>
              <w:rPr>
                <w:snapToGrid w:val="0"/>
                <w:color w:val="000000"/>
                <w:kern w:val="28"/>
                <w:sz w:val="21"/>
                <w:szCs w:val="21"/>
                <w:vertAlign w:val="superscript"/>
              </w:rPr>
            </w:pPr>
            <w:r w:rsidRPr="007E1E4A">
              <w:rPr>
                <w:rFonts w:hint="eastAsia"/>
                <w:snapToGrid w:val="0"/>
                <w:color w:val="000000"/>
                <w:kern w:val="28"/>
                <w:sz w:val="21"/>
                <w:szCs w:val="21"/>
              </w:rPr>
              <w:t>PM</w:t>
            </w:r>
            <w:r w:rsidRPr="007E1E4A">
              <w:rPr>
                <w:rFonts w:hint="eastAsia"/>
                <w:snapToGrid w:val="0"/>
                <w:color w:val="000000"/>
                <w:kern w:val="28"/>
                <w:sz w:val="21"/>
                <w:szCs w:val="21"/>
              </w:rPr>
              <w:t>排放浓度不超过</w:t>
            </w:r>
            <w:r w:rsidRPr="007E1E4A">
              <w:rPr>
                <w:snapToGrid w:val="0"/>
                <w:color w:val="000000"/>
                <w:kern w:val="28"/>
                <w:sz w:val="21"/>
                <w:szCs w:val="21"/>
              </w:rPr>
              <w:t>20mg/m</w:t>
            </w:r>
            <w:r>
              <w:rPr>
                <w:rFonts w:hint="eastAsia"/>
                <w:snapToGrid w:val="0"/>
                <w:color w:val="000000"/>
                <w:kern w:val="28"/>
                <w:sz w:val="21"/>
                <w:szCs w:val="21"/>
                <w:vertAlign w:val="superscript"/>
              </w:rPr>
              <w:t>3</w:t>
            </w:r>
          </w:p>
        </w:tc>
        <w:tc>
          <w:tcPr>
            <w:tcW w:w="1701" w:type="dxa"/>
            <w:tcBorders>
              <w:top w:val="single" w:sz="4" w:space="0" w:color="auto"/>
              <w:left w:val="single" w:sz="4" w:space="0" w:color="auto"/>
              <w:bottom w:val="single" w:sz="4" w:space="0" w:color="auto"/>
              <w:right w:val="single" w:sz="4" w:space="0" w:color="auto"/>
            </w:tcBorders>
            <w:noWrap/>
            <w:vAlign w:val="center"/>
          </w:tcPr>
          <w:p w:rsidR="007E1E4A" w:rsidRPr="00BC4D95" w:rsidRDefault="00FF14E6"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厂界不超过</w:t>
            </w:r>
            <w:r>
              <w:rPr>
                <w:rFonts w:hint="eastAsia"/>
                <w:snapToGrid w:val="0"/>
                <w:color w:val="000000"/>
                <w:kern w:val="28"/>
                <w:sz w:val="21"/>
                <w:szCs w:val="21"/>
              </w:rPr>
              <w:t>1</w:t>
            </w:r>
            <w:r w:rsidRPr="007E1E4A">
              <w:rPr>
                <w:snapToGrid w:val="0"/>
                <w:color w:val="000000"/>
                <w:kern w:val="28"/>
                <w:sz w:val="21"/>
                <w:szCs w:val="21"/>
              </w:rPr>
              <w:t xml:space="preserve"> mg/m</w:t>
            </w:r>
            <w:r>
              <w:rPr>
                <w:rFonts w:hint="eastAsia"/>
                <w:snapToGrid w:val="0"/>
                <w:color w:val="000000"/>
                <w:kern w:val="28"/>
                <w:sz w:val="21"/>
                <w:szCs w:val="21"/>
                <w:vertAlign w:val="superscript"/>
              </w:rPr>
              <w:t>3</w:t>
            </w:r>
          </w:p>
        </w:tc>
        <w:tc>
          <w:tcPr>
            <w:tcW w:w="509" w:type="dxa"/>
            <w:tcBorders>
              <w:top w:val="single" w:sz="4" w:space="0" w:color="auto"/>
              <w:left w:val="single" w:sz="4" w:space="0" w:color="auto"/>
              <w:bottom w:val="single" w:sz="4" w:space="0" w:color="auto"/>
              <w:right w:val="single" w:sz="4" w:space="0" w:color="auto"/>
            </w:tcBorders>
            <w:noWrap/>
            <w:vAlign w:val="center"/>
          </w:tcPr>
          <w:p w:rsidR="007E1E4A" w:rsidRDefault="00FF14E6"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B</w:t>
            </w:r>
          </w:p>
        </w:tc>
      </w:tr>
      <w:tr w:rsidR="007E1E4A" w:rsidRPr="00BC4D95" w:rsidTr="007C5CAC">
        <w:trPr>
          <w:cantSplit/>
          <w:jc w:val="center"/>
        </w:trPr>
        <w:tc>
          <w:tcPr>
            <w:tcW w:w="994" w:type="dxa"/>
            <w:gridSpan w:val="2"/>
            <w:vMerge/>
            <w:tcBorders>
              <w:left w:val="single" w:sz="4" w:space="0" w:color="auto"/>
              <w:bottom w:val="single" w:sz="4" w:space="0" w:color="auto"/>
              <w:right w:val="single" w:sz="4" w:space="0" w:color="auto"/>
            </w:tcBorders>
            <w:noWrap/>
            <w:vAlign w:val="center"/>
          </w:tcPr>
          <w:p w:rsidR="007E1E4A" w:rsidRPr="007E1E4A" w:rsidRDefault="007E1E4A" w:rsidP="000646E0">
            <w:pPr>
              <w:snapToGrid w:val="0"/>
              <w:spacing w:line="280" w:lineRule="exact"/>
              <w:jc w:val="center"/>
              <w:rPr>
                <w:snapToGrid w:val="0"/>
                <w:color w:val="000000"/>
                <w:kern w:val="28"/>
                <w:sz w:val="21"/>
                <w:szCs w:val="21"/>
              </w:rPr>
            </w:pPr>
          </w:p>
        </w:tc>
        <w:tc>
          <w:tcPr>
            <w:tcW w:w="5245" w:type="dxa"/>
            <w:gridSpan w:val="2"/>
            <w:tcBorders>
              <w:top w:val="single" w:sz="4" w:space="0" w:color="auto"/>
              <w:left w:val="single" w:sz="4" w:space="0" w:color="auto"/>
              <w:bottom w:val="single" w:sz="4" w:space="0" w:color="auto"/>
              <w:right w:val="single" w:sz="4" w:space="0" w:color="auto"/>
            </w:tcBorders>
            <w:noWrap/>
            <w:vAlign w:val="center"/>
          </w:tcPr>
          <w:p w:rsidR="007E1E4A" w:rsidRPr="007E1E4A" w:rsidRDefault="007E1E4A" w:rsidP="007E1E4A">
            <w:pPr>
              <w:snapToGrid w:val="0"/>
              <w:spacing w:line="280" w:lineRule="exact"/>
              <w:jc w:val="left"/>
              <w:rPr>
                <w:snapToGrid w:val="0"/>
                <w:color w:val="000000"/>
                <w:kern w:val="28"/>
                <w:sz w:val="21"/>
                <w:szCs w:val="21"/>
              </w:rPr>
            </w:pPr>
            <w:r w:rsidRPr="007E1E4A">
              <w:rPr>
                <w:rFonts w:hint="eastAsia"/>
                <w:snapToGrid w:val="0"/>
                <w:color w:val="000000"/>
                <w:kern w:val="28"/>
                <w:sz w:val="21"/>
                <w:szCs w:val="21"/>
              </w:rPr>
              <w:t>2.</w:t>
            </w:r>
            <w:r w:rsidRPr="007E1E4A">
              <w:rPr>
                <w:rFonts w:hint="eastAsia"/>
                <w:snapToGrid w:val="0"/>
                <w:color w:val="000000"/>
                <w:kern w:val="28"/>
                <w:sz w:val="21"/>
                <w:szCs w:val="21"/>
              </w:rPr>
              <w:t>锅炉排放限值：</w:t>
            </w:r>
          </w:p>
          <w:p w:rsidR="007E1E4A" w:rsidRPr="007E1E4A" w:rsidRDefault="007E1E4A" w:rsidP="00FF14E6">
            <w:pPr>
              <w:snapToGrid w:val="0"/>
              <w:spacing w:line="280" w:lineRule="exact"/>
              <w:jc w:val="left"/>
              <w:rPr>
                <w:snapToGrid w:val="0"/>
                <w:color w:val="000000"/>
                <w:kern w:val="28"/>
                <w:sz w:val="21"/>
                <w:szCs w:val="21"/>
              </w:rPr>
            </w:pPr>
            <w:r w:rsidRPr="007E1E4A">
              <w:rPr>
                <w:rFonts w:hint="eastAsia"/>
                <w:snapToGrid w:val="0"/>
                <w:color w:val="000000"/>
                <w:kern w:val="28"/>
                <w:sz w:val="21"/>
                <w:szCs w:val="21"/>
              </w:rPr>
              <w:t>（</w:t>
            </w:r>
            <w:r w:rsidRPr="007E1E4A">
              <w:rPr>
                <w:rFonts w:hint="eastAsia"/>
                <w:snapToGrid w:val="0"/>
                <w:color w:val="000000"/>
                <w:kern w:val="28"/>
                <w:sz w:val="21"/>
                <w:szCs w:val="21"/>
              </w:rPr>
              <w:t>1</w:t>
            </w:r>
            <w:r w:rsidRPr="007E1E4A">
              <w:rPr>
                <w:rFonts w:hint="eastAsia"/>
                <w:snapToGrid w:val="0"/>
                <w:color w:val="000000"/>
                <w:kern w:val="28"/>
                <w:sz w:val="21"/>
                <w:szCs w:val="21"/>
              </w:rPr>
              <w:t>）</w:t>
            </w:r>
            <w:r w:rsidRPr="007E1E4A">
              <w:rPr>
                <w:rFonts w:hint="eastAsia"/>
                <w:snapToGrid w:val="0"/>
                <w:color w:val="000000"/>
                <w:kern w:val="28"/>
                <w:sz w:val="21"/>
                <w:szCs w:val="21"/>
              </w:rPr>
              <w:t>PM</w:t>
            </w:r>
            <w:r w:rsidRPr="007E1E4A">
              <w:rPr>
                <w:rFonts w:hint="eastAsia"/>
                <w:snapToGrid w:val="0"/>
                <w:color w:val="000000"/>
                <w:kern w:val="28"/>
                <w:sz w:val="21"/>
                <w:szCs w:val="21"/>
              </w:rPr>
              <w:t>、</w:t>
            </w:r>
            <w:r w:rsidRPr="007E1E4A">
              <w:rPr>
                <w:rFonts w:hint="eastAsia"/>
                <w:snapToGrid w:val="0"/>
                <w:color w:val="000000"/>
                <w:kern w:val="28"/>
                <w:sz w:val="21"/>
                <w:szCs w:val="21"/>
              </w:rPr>
              <w:t>SO</w:t>
            </w:r>
            <w:r w:rsidRPr="007E1E4A">
              <w:rPr>
                <w:rFonts w:hint="eastAsia"/>
                <w:snapToGrid w:val="0"/>
                <w:color w:val="000000"/>
                <w:kern w:val="28"/>
                <w:sz w:val="21"/>
                <w:szCs w:val="21"/>
                <w:vertAlign w:val="subscript"/>
              </w:rPr>
              <w:t>2</w:t>
            </w:r>
            <w:r w:rsidRPr="007E1E4A">
              <w:rPr>
                <w:rFonts w:hint="eastAsia"/>
                <w:snapToGrid w:val="0"/>
                <w:color w:val="000000"/>
                <w:kern w:val="28"/>
                <w:sz w:val="21"/>
                <w:szCs w:val="21"/>
              </w:rPr>
              <w:t>、</w:t>
            </w:r>
            <w:r w:rsidRPr="007E1E4A">
              <w:rPr>
                <w:rFonts w:hint="eastAsia"/>
                <w:snapToGrid w:val="0"/>
                <w:color w:val="000000"/>
                <w:kern w:val="28"/>
                <w:sz w:val="21"/>
                <w:szCs w:val="21"/>
              </w:rPr>
              <w:t>NOx</w:t>
            </w:r>
            <w:r w:rsidRPr="007E1E4A">
              <w:rPr>
                <w:rFonts w:hint="eastAsia"/>
                <w:snapToGrid w:val="0"/>
                <w:color w:val="000000"/>
                <w:kern w:val="28"/>
                <w:sz w:val="21"/>
                <w:szCs w:val="21"/>
              </w:rPr>
              <w:t>排放浓度分别不高于：</w:t>
            </w:r>
            <w:r w:rsidRPr="007E1E4A">
              <w:rPr>
                <w:rFonts w:hint="eastAsia"/>
                <w:snapToGrid w:val="0"/>
                <w:color w:val="000000"/>
                <w:kern w:val="28"/>
                <w:sz w:val="21"/>
                <w:szCs w:val="21"/>
              </w:rPr>
              <w:t>5</w:t>
            </w:r>
            <w:r w:rsidRPr="007E1E4A">
              <w:rPr>
                <w:rFonts w:hint="eastAsia"/>
                <w:snapToGrid w:val="0"/>
                <w:color w:val="000000"/>
                <w:kern w:val="28"/>
                <w:sz w:val="21"/>
                <w:szCs w:val="21"/>
              </w:rPr>
              <w:t>、</w:t>
            </w:r>
            <w:r w:rsidRPr="007E1E4A">
              <w:rPr>
                <w:rFonts w:hint="eastAsia"/>
                <w:snapToGrid w:val="0"/>
                <w:color w:val="000000"/>
                <w:kern w:val="28"/>
                <w:sz w:val="21"/>
                <w:szCs w:val="21"/>
              </w:rPr>
              <w:t>10</w:t>
            </w:r>
            <w:r w:rsidRPr="007E1E4A">
              <w:rPr>
                <w:rFonts w:hint="eastAsia"/>
                <w:snapToGrid w:val="0"/>
                <w:color w:val="000000"/>
                <w:kern w:val="28"/>
                <w:sz w:val="21"/>
                <w:szCs w:val="21"/>
              </w:rPr>
              <w:t>、</w:t>
            </w:r>
            <w:r w:rsidRPr="007E1E4A">
              <w:rPr>
                <w:rFonts w:hint="eastAsia"/>
                <w:snapToGrid w:val="0"/>
                <w:color w:val="000000"/>
                <w:kern w:val="28"/>
                <w:sz w:val="21"/>
                <w:szCs w:val="21"/>
              </w:rPr>
              <w:t>50/30</w:t>
            </w:r>
            <w:r w:rsidRPr="007E1E4A">
              <w:rPr>
                <w:rFonts w:hint="eastAsia"/>
                <w:snapToGrid w:val="0"/>
                <w:color w:val="000000"/>
                <w:kern w:val="28"/>
                <w:sz w:val="21"/>
                <w:szCs w:val="21"/>
                <w:vertAlign w:val="superscript"/>
              </w:rPr>
              <w:t>【</w:t>
            </w:r>
            <w:r w:rsidRPr="007E1E4A">
              <w:rPr>
                <w:rFonts w:hint="eastAsia"/>
                <w:snapToGrid w:val="0"/>
                <w:color w:val="000000"/>
                <w:kern w:val="28"/>
                <w:sz w:val="21"/>
                <w:szCs w:val="21"/>
                <w:vertAlign w:val="superscript"/>
              </w:rPr>
              <w:t>1</w:t>
            </w:r>
            <w:r w:rsidRPr="007E1E4A">
              <w:rPr>
                <w:rFonts w:hint="eastAsia"/>
                <w:snapToGrid w:val="0"/>
                <w:color w:val="000000"/>
                <w:kern w:val="28"/>
                <w:sz w:val="21"/>
                <w:szCs w:val="21"/>
                <w:vertAlign w:val="superscript"/>
              </w:rPr>
              <w:t>】</w:t>
            </w:r>
            <w:r w:rsidRPr="007E1E4A">
              <w:rPr>
                <w:rFonts w:hint="eastAsia"/>
                <w:snapToGrid w:val="0"/>
                <w:color w:val="000000"/>
                <w:kern w:val="28"/>
                <w:sz w:val="21"/>
                <w:szCs w:val="21"/>
              </w:rPr>
              <w:t>mg/m</w:t>
            </w:r>
            <w:r w:rsidRPr="007E1E4A">
              <w:rPr>
                <w:rFonts w:hint="eastAsia"/>
                <w:snapToGrid w:val="0"/>
                <w:color w:val="000000"/>
                <w:kern w:val="28"/>
                <w:sz w:val="21"/>
                <w:szCs w:val="21"/>
                <w:vertAlign w:val="superscript"/>
              </w:rPr>
              <w:t>3</w:t>
            </w:r>
            <w:r w:rsidRPr="007E1E4A">
              <w:rPr>
                <w:rFonts w:hint="eastAsia"/>
                <w:snapToGrid w:val="0"/>
                <w:color w:val="000000"/>
                <w:kern w:val="28"/>
                <w:sz w:val="21"/>
                <w:szCs w:val="21"/>
              </w:rPr>
              <w:t>（基准氧含量：燃气</w:t>
            </w:r>
            <w:r w:rsidRPr="007E1E4A">
              <w:rPr>
                <w:rFonts w:hint="eastAsia"/>
                <w:snapToGrid w:val="0"/>
                <w:color w:val="000000"/>
                <w:kern w:val="28"/>
                <w:sz w:val="21"/>
                <w:szCs w:val="21"/>
              </w:rPr>
              <w:t>3.5%</w:t>
            </w:r>
            <w:r w:rsidRPr="007E1E4A">
              <w:rPr>
                <w:rFonts w:hint="eastAsia"/>
                <w:snapToGrid w:val="0"/>
                <w:color w:val="000000"/>
                <w:kern w:val="28"/>
                <w:sz w:val="21"/>
                <w:szCs w:val="21"/>
              </w:rPr>
              <w:t>）；（</w:t>
            </w:r>
            <w:r w:rsidRPr="007E1E4A">
              <w:rPr>
                <w:rFonts w:hint="eastAsia"/>
                <w:snapToGrid w:val="0"/>
                <w:color w:val="000000"/>
                <w:kern w:val="28"/>
                <w:sz w:val="21"/>
                <w:szCs w:val="21"/>
              </w:rPr>
              <w:t>2</w:t>
            </w:r>
            <w:r w:rsidRPr="007E1E4A">
              <w:rPr>
                <w:rFonts w:hint="eastAsia"/>
                <w:snapToGrid w:val="0"/>
                <w:color w:val="000000"/>
                <w:kern w:val="28"/>
                <w:sz w:val="21"/>
                <w:szCs w:val="21"/>
              </w:rPr>
              <w:t>）氨逃逸排放浓度不高于</w:t>
            </w:r>
            <w:r w:rsidRPr="007E1E4A">
              <w:rPr>
                <w:rFonts w:hint="eastAsia"/>
                <w:snapToGrid w:val="0"/>
                <w:color w:val="000000"/>
                <w:kern w:val="28"/>
                <w:sz w:val="21"/>
                <w:szCs w:val="21"/>
              </w:rPr>
              <w:t>8mg/m</w:t>
            </w:r>
            <w:r w:rsidRPr="007E1E4A">
              <w:rPr>
                <w:rFonts w:hint="eastAsia"/>
                <w:snapToGrid w:val="0"/>
                <w:color w:val="000000"/>
                <w:kern w:val="28"/>
                <w:sz w:val="21"/>
                <w:szCs w:val="21"/>
                <w:vertAlign w:val="superscript"/>
              </w:rPr>
              <w:t>3</w:t>
            </w:r>
            <w:r w:rsidRPr="007E1E4A">
              <w:rPr>
                <w:rFonts w:hint="eastAsia"/>
                <w:snapToGrid w:val="0"/>
                <w:color w:val="000000"/>
                <w:kern w:val="28"/>
                <w:sz w:val="21"/>
                <w:szCs w:val="21"/>
              </w:rPr>
              <w:t>（使用氨水、尿素作还原剂）。</w:t>
            </w:r>
          </w:p>
        </w:tc>
        <w:tc>
          <w:tcPr>
            <w:tcW w:w="1134" w:type="dxa"/>
            <w:tcBorders>
              <w:left w:val="single" w:sz="4" w:space="0" w:color="auto"/>
              <w:right w:val="single" w:sz="4" w:space="0" w:color="auto"/>
            </w:tcBorders>
            <w:noWrap/>
            <w:vAlign w:val="center"/>
          </w:tcPr>
          <w:p w:rsidR="007E1E4A" w:rsidRPr="007E1E4A" w:rsidRDefault="007E1E4A" w:rsidP="00FF14E6">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t>采用其他能源并达到锅炉排放标准限值要求</w:t>
            </w:r>
          </w:p>
        </w:tc>
        <w:tc>
          <w:tcPr>
            <w:tcW w:w="1701" w:type="dxa"/>
            <w:tcBorders>
              <w:top w:val="single" w:sz="4" w:space="0" w:color="auto"/>
              <w:left w:val="single" w:sz="4" w:space="0" w:color="auto"/>
              <w:bottom w:val="single" w:sz="4" w:space="0" w:color="auto"/>
              <w:right w:val="single" w:sz="4" w:space="0" w:color="auto"/>
            </w:tcBorders>
            <w:noWrap/>
            <w:vAlign w:val="center"/>
          </w:tcPr>
          <w:p w:rsidR="007E1E4A" w:rsidRPr="00BC4D95" w:rsidRDefault="00FF14E6"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不涉及</w:t>
            </w:r>
          </w:p>
        </w:tc>
        <w:tc>
          <w:tcPr>
            <w:tcW w:w="509" w:type="dxa"/>
            <w:tcBorders>
              <w:top w:val="single" w:sz="4" w:space="0" w:color="auto"/>
              <w:left w:val="single" w:sz="4" w:space="0" w:color="auto"/>
              <w:bottom w:val="single" w:sz="4" w:space="0" w:color="auto"/>
              <w:right w:val="single" w:sz="4" w:space="0" w:color="auto"/>
            </w:tcBorders>
            <w:noWrap/>
            <w:vAlign w:val="center"/>
          </w:tcPr>
          <w:p w:rsidR="007E1E4A" w:rsidRDefault="00FF14E6"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不涉及</w:t>
            </w:r>
          </w:p>
        </w:tc>
      </w:tr>
      <w:tr w:rsidR="007E1E4A" w:rsidRPr="00BC4D95" w:rsidTr="007C5CAC">
        <w:trPr>
          <w:cantSplit/>
          <w:jc w:val="center"/>
        </w:trPr>
        <w:tc>
          <w:tcPr>
            <w:tcW w:w="994" w:type="dxa"/>
            <w:gridSpan w:val="2"/>
            <w:tcBorders>
              <w:top w:val="single" w:sz="4" w:space="0" w:color="auto"/>
              <w:left w:val="single" w:sz="4" w:space="0" w:color="auto"/>
              <w:bottom w:val="single" w:sz="4" w:space="0" w:color="auto"/>
              <w:right w:val="single" w:sz="4" w:space="0" w:color="auto"/>
            </w:tcBorders>
            <w:noWrap/>
            <w:vAlign w:val="center"/>
          </w:tcPr>
          <w:p w:rsidR="007E1E4A" w:rsidRPr="000646E0" w:rsidRDefault="007E1E4A" w:rsidP="007E1E4A">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t>监测监控水平</w:t>
            </w:r>
          </w:p>
        </w:tc>
        <w:tc>
          <w:tcPr>
            <w:tcW w:w="5245" w:type="dxa"/>
            <w:gridSpan w:val="2"/>
            <w:tcBorders>
              <w:top w:val="single" w:sz="4" w:space="0" w:color="auto"/>
              <w:left w:val="single" w:sz="4" w:space="0" w:color="auto"/>
              <w:bottom w:val="single" w:sz="4" w:space="0" w:color="auto"/>
              <w:right w:val="single" w:sz="4" w:space="0" w:color="auto"/>
            </w:tcBorders>
            <w:noWrap/>
            <w:vAlign w:val="center"/>
          </w:tcPr>
          <w:p w:rsidR="007E1E4A" w:rsidRDefault="007E1E4A" w:rsidP="00944E78">
            <w:pPr>
              <w:snapToGrid w:val="0"/>
              <w:spacing w:line="280" w:lineRule="exact"/>
              <w:rPr>
                <w:snapToGrid w:val="0"/>
                <w:color w:val="000000"/>
                <w:kern w:val="28"/>
                <w:sz w:val="21"/>
                <w:szCs w:val="21"/>
              </w:rPr>
            </w:pPr>
            <w:r w:rsidRPr="007E1E4A">
              <w:rPr>
                <w:rFonts w:hint="eastAsia"/>
                <w:snapToGrid w:val="0"/>
                <w:color w:val="000000"/>
                <w:kern w:val="28"/>
                <w:sz w:val="21"/>
                <w:szCs w:val="21"/>
              </w:rPr>
              <w:t>1.</w:t>
            </w:r>
            <w:r w:rsidRPr="007E1E4A">
              <w:rPr>
                <w:rFonts w:hint="eastAsia"/>
                <w:snapToGrid w:val="0"/>
                <w:color w:val="000000"/>
                <w:kern w:val="28"/>
                <w:sz w:val="21"/>
                <w:szCs w:val="21"/>
              </w:rPr>
              <w:t>有组织排放口按生态环境部门要求安装烟气排放自动监控设施（</w:t>
            </w:r>
            <w:r w:rsidRPr="007E1E4A">
              <w:rPr>
                <w:rFonts w:hint="eastAsia"/>
                <w:snapToGrid w:val="0"/>
                <w:color w:val="000000"/>
                <w:kern w:val="28"/>
                <w:sz w:val="21"/>
                <w:szCs w:val="21"/>
              </w:rPr>
              <w:t>CEMS</w:t>
            </w:r>
            <w:r w:rsidRPr="007E1E4A">
              <w:rPr>
                <w:rFonts w:hint="eastAsia"/>
                <w:snapToGrid w:val="0"/>
                <w:color w:val="000000"/>
                <w:kern w:val="28"/>
                <w:sz w:val="21"/>
                <w:szCs w:val="21"/>
              </w:rPr>
              <w:t>），并按要求联网；</w:t>
            </w:r>
            <w:r w:rsidRPr="007E1E4A">
              <w:rPr>
                <w:rFonts w:hint="eastAsia"/>
                <w:snapToGrid w:val="0"/>
                <w:color w:val="000000"/>
                <w:kern w:val="28"/>
                <w:sz w:val="21"/>
                <w:szCs w:val="21"/>
              </w:rPr>
              <w:t>2.</w:t>
            </w:r>
            <w:r w:rsidRPr="007E1E4A">
              <w:rPr>
                <w:rFonts w:hint="eastAsia"/>
                <w:snapToGrid w:val="0"/>
                <w:color w:val="000000"/>
                <w:kern w:val="28"/>
                <w:sz w:val="21"/>
                <w:szCs w:val="21"/>
              </w:rPr>
              <w:t>有组织排放口按照排污许可证要求开展自行监测；</w:t>
            </w:r>
            <w:r w:rsidRPr="007E1E4A">
              <w:rPr>
                <w:rFonts w:hint="eastAsia"/>
                <w:snapToGrid w:val="0"/>
                <w:color w:val="000000"/>
                <w:kern w:val="28"/>
                <w:sz w:val="21"/>
                <w:szCs w:val="21"/>
              </w:rPr>
              <w:t>3.</w:t>
            </w:r>
            <w:r w:rsidRPr="007E1E4A">
              <w:rPr>
                <w:rFonts w:hint="eastAsia"/>
                <w:snapToGrid w:val="0"/>
                <w:color w:val="000000"/>
                <w:kern w:val="28"/>
                <w:sz w:val="21"/>
                <w:szCs w:val="21"/>
              </w:rPr>
              <w:t>露天开采作业周边、装卸点，破碎、筛分车间等主要涉气工序、生产装置及污染治理设施，按生态环境部门要求安装用电监管设备，用电监管数据与省、市生态环境部门用电监管平台联网；</w:t>
            </w:r>
            <w:r w:rsidRPr="007E1E4A">
              <w:rPr>
                <w:rFonts w:hint="eastAsia"/>
                <w:snapToGrid w:val="0"/>
                <w:color w:val="000000"/>
                <w:kern w:val="28"/>
                <w:sz w:val="21"/>
                <w:szCs w:val="21"/>
              </w:rPr>
              <w:t>4.</w:t>
            </w:r>
            <w:r w:rsidRPr="007E1E4A">
              <w:rPr>
                <w:rFonts w:hint="eastAsia"/>
                <w:snapToGrid w:val="0"/>
                <w:color w:val="000000"/>
                <w:kern w:val="28"/>
                <w:sz w:val="21"/>
                <w:szCs w:val="21"/>
              </w:rPr>
              <w:t>厂区主要产尘点周边安装高清视频监控，视频监控数据保存</w:t>
            </w:r>
            <w:r w:rsidRPr="007E1E4A">
              <w:rPr>
                <w:rFonts w:hint="eastAsia"/>
                <w:snapToGrid w:val="0"/>
                <w:color w:val="000000"/>
                <w:kern w:val="28"/>
                <w:sz w:val="21"/>
                <w:szCs w:val="21"/>
              </w:rPr>
              <w:t>3</w:t>
            </w:r>
            <w:r w:rsidRPr="007E1E4A">
              <w:rPr>
                <w:rFonts w:hint="eastAsia"/>
                <w:snapToGrid w:val="0"/>
                <w:color w:val="000000"/>
                <w:kern w:val="28"/>
                <w:sz w:val="21"/>
                <w:szCs w:val="21"/>
              </w:rPr>
              <w:t>个月以上。</w:t>
            </w:r>
          </w:p>
        </w:tc>
        <w:tc>
          <w:tcPr>
            <w:tcW w:w="1134" w:type="dxa"/>
            <w:tcBorders>
              <w:left w:val="single" w:sz="4" w:space="0" w:color="auto"/>
              <w:right w:val="single" w:sz="4" w:space="0" w:color="auto"/>
            </w:tcBorders>
            <w:noWrap/>
            <w:vAlign w:val="center"/>
          </w:tcPr>
          <w:p w:rsidR="007E1E4A" w:rsidRDefault="007E1E4A" w:rsidP="000646E0">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t>未达到</w:t>
            </w:r>
            <w:r w:rsidRPr="007E1E4A">
              <w:rPr>
                <w:rFonts w:hint="eastAsia"/>
                <w:snapToGrid w:val="0"/>
                <w:color w:val="000000"/>
                <w:kern w:val="28"/>
                <w:sz w:val="21"/>
                <w:szCs w:val="21"/>
              </w:rPr>
              <w:t xml:space="preserve"> A</w:t>
            </w:r>
            <w:r w:rsidRPr="007E1E4A">
              <w:rPr>
                <w:rFonts w:hint="eastAsia"/>
                <w:snapToGrid w:val="0"/>
                <w:color w:val="000000"/>
                <w:kern w:val="28"/>
                <w:sz w:val="21"/>
                <w:szCs w:val="21"/>
              </w:rPr>
              <w:t>、</w:t>
            </w:r>
            <w:r w:rsidRPr="007E1E4A">
              <w:rPr>
                <w:rFonts w:hint="eastAsia"/>
                <w:snapToGrid w:val="0"/>
                <w:color w:val="000000"/>
                <w:kern w:val="28"/>
                <w:sz w:val="21"/>
                <w:szCs w:val="21"/>
              </w:rPr>
              <w:t xml:space="preserve">B </w:t>
            </w:r>
            <w:r w:rsidRPr="007E1E4A">
              <w:rPr>
                <w:rFonts w:hint="eastAsia"/>
                <w:snapToGrid w:val="0"/>
                <w:color w:val="000000"/>
                <w:kern w:val="28"/>
                <w:sz w:val="21"/>
                <w:szCs w:val="21"/>
              </w:rPr>
              <w:t>级要求</w:t>
            </w:r>
          </w:p>
        </w:tc>
        <w:tc>
          <w:tcPr>
            <w:tcW w:w="1701" w:type="dxa"/>
            <w:tcBorders>
              <w:top w:val="single" w:sz="4" w:space="0" w:color="auto"/>
              <w:left w:val="single" w:sz="4" w:space="0" w:color="auto"/>
              <w:bottom w:val="single" w:sz="4" w:space="0" w:color="auto"/>
              <w:right w:val="single" w:sz="4" w:space="0" w:color="auto"/>
            </w:tcBorders>
            <w:noWrap/>
            <w:vAlign w:val="center"/>
          </w:tcPr>
          <w:p w:rsidR="007E1E4A" w:rsidRPr="00BC4D95" w:rsidRDefault="00944E7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要求</w:t>
            </w:r>
            <w:r w:rsidR="00802A62">
              <w:rPr>
                <w:rFonts w:hint="eastAsia"/>
                <w:snapToGrid w:val="0"/>
                <w:color w:val="000000"/>
                <w:kern w:val="28"/>
                <w:sz w:val="21"/>
                <w:szCs w:val="21"/>
              </w:rPr>
              <w:t>储煤库</w:t>
            </w:r>
            <w:r>
              <w:rPr>
                <w:rFonts w:hint="eastAsia"/>
                <w:snapToGrid w:val="0"/>
                <w:color w:val="000000"/>
                <w:kern w:val="28"/>
                <w:sz w:val="21"/>
                <w:szCs w:val="21"/>
              </w:rPr>
              <w:t>周边按照高清视频监控</w:t>
            </w:r>
          </w:p>
        </w:tc>
        <w:tc>
          <w:tcPr>
            <w:tcW w:w="509" w:type="dxa"/>
            <w:tcBorders>
              <w:top w:val="single" w:sz="4" w:space="0" w:color="auto"/>
              <w:left w:val="single" w:sz="4" w:space="0" w:color="auto"/>
              <w:bottom w:val="single" w:sz="4" w:space="0" w:color="auto"/>
              <w:right w:val="single" w:sz="4" w:space="0" w:color="auto"/>
            </w:tcBorders>
            <w:noWrap/>
            <w:vAlign w:val="center"/>
          </w:tcPr>
          <w:p w:rsidR="007E1E4A" w:rsidRDefault="00944E7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B</w:t>
            </w:r>
          </w:p>
        </w:tc>
      </w:tr>
      <w:tr w:rsidR="00E24131" w:rsidRPr="00BC4D95" w:rsidTr="007C5CAC">
        <w:trPr>
          <w:cantSplit/>
          <w:jc w:val="center"/>
        </w:trPr>
        <w:tc>
          <w:tcPr>
            <w:tcW w:w="497" w:type="dxa"/>
            <w:vMerge w:val="restart"/>
            <w:tcBorders>
              <w:top w:val="single" w:sz="4" w:space="0" w:color="auto"/>
              <w:left w:val="single" w:sz="4" w:space="0" w:color="auto"/>
              <w:right w:val="single" w:sz="4" w:space="0" w:color="auto"/>
            </w:tcBorders>
            <w:noWrap/>
            <w:vAlign w:val="center"/>
          </w:tcPr>
          <w:p w:rsidR="00E24131" w:rsidRPr="000646E0" w:rsidRDefault="00E24131" w:rsidP="00E24131">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t>环境管理水平</w:t>
            </w:r>
          </w:p>
        </w:tc>
        <w:tc>
          <w:tcPr>
            <w:tcW w:w="497" w:type="dxa"/>
            <w:tcBorders>
              <w:top w:val="single" w:sz="4" w:space="0" w:color="auto"/>
              <w:left w:val="single" w:sz="4" w:space="0" w:color="auto"/>
              <w:right w:val="single" w:sz="4" w:space="0" w:color="auto"/>
            </w:tcBorders>
            <w:noWrap/>
            <w:vAlign w:val="center"/>
          </w:tcPr>
          <w:p w:rsidR="00E24131" w:rsidRPr="00E24131" w:rsidRDefault="00E24131" w:rsidP="00E24131">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环保</w:t>
            </w:r>
          </w:p>
          <w:p w:rsidR="00E24131" w:rsidRPr="000646E0" w:rsidRDefault="00E24131" w:rsidP="00E24131">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档案</w:t>
            </w:r>
          </w:p>
        </w:tc>
        <w:tc>
          <w:tcPr>
            <w:tcW w:w="5245" w:type="dxa"/>
            <w:gridSpan w:val="2"/>
            <w:tcBorders>
              <w:top w:val="single" w:sz="4" w:space="0" w:color="auto"/>
              <w:left w:val="single" w:sz="4" w:space="0" w:color="auto"/>
              <w:bottom w:val="single" w:sz="4" w:space="0" w:color="auto"/>
              <w:right w:val="single" w:sz="4" w:space="0" w:color="auto"/>
            </w:tcBorders>
            <w:noWrap/>
            <w:vAlign w:val="center"/>
          </w:tcPr>
          <w:p w:rsidR="00E24131" w:rsidRDefault="00E24131" w:rsidP="00944E78">
            <w:pPr>
              <w:snapToGrid w:val="0"/>
              <w:spacing w:line="280" w:lineRule="exact"/>
              <w:rPr>
                <w:snapToGrid w:val="0"/>
                <w:color w:val="000000"/>
                <w:kern w:val="28"/>
                <w:sz w:val="21"/>
                <w:szCs w:val="21"/>
              </w:rPr>
            </w:pPr>
            <w:r w:rsidRPr="00E24131">
              <w:rPr>
                <w:rFonts w:hint="eastAsia"/>
                <w:snapToGrid w:val="0"/>
                <w:color w:val="000000"/>
                <w:kern w:val="28"/>
                <w:sz w:val="21"/>
                <w:szCs w:val="21"/>
              </w:rPr>
              <w:t>1.</w:t>
            </w:r>
            <w:r w:rsidRPr="00E24131">
              <w:rPr>
                <w:rFonts w:hint="eastAsia"/>
                <w:snapToGrid w:val="0"/>
                <w:color w:val="000000"/>
                <w:kern w:val="28"/>
                <w:sz w:val="21"/>
                <w:szCs w:val="21"/>
              </w:rPr>
              <w:t>环评批复文件和竣工环保验收文件或环境现状评估备案证明；</w:t>
            </w:r>
            <w:r w:rsidRPr="00E24131">
              <w:rPr>
                <w:rFonts w:hint="eastAsia"/>
                <w:snapToGrid w:val="0"/>
                <w:color w:val="000000"/>
                <w:kern w:val="28"/>
                <w:sz w:val="21"/>
                <w:szCs w:val="21"/>
              </w:rPr>
              <w:t>2.</w:t>
            </w:r>
            <w:r w:rsidRPr="00E24131">
              <w:rPr>
                <w:rFonts w:hint="eastAsia"/>
                <w:snapToGrid w:val="0"/>
                <w:color w:val="000000"/>
                <w:kern w:val="28"/>
                <w:sz w:val="21"/>
                <w:szCs w:val="21"/>
              </w:rPr>
              <w:t>国家版排污许可证；</w:t>
            </w:r>
            <w:r w:rsidRPr="00E24131">
              <w:rPr>
                <w:rFonts w:hint="eastAsia"/>
                <w:snapToGrid w:val="0"/>
                <w:color w:val="000000"/>
                <w:kern w:val="28"/>
                <w:sz w:val="21"/>
                <w:szCs w:val="21"/>
              </w:rPr>
              <w:t>3.</w:t>
            </w:r>
            <w:r w:rsidRPr="00E24131">
              <w:rPr>
                <w:rFonts w:hint="eastAsia"/>
                <w:snapToGrid w:val="0"/>
                <w:color w:val="000000"/>
                <w:kern w:val="28"/>
                <w:sz w:val="21"/>
                <w:szCs w:val="21"/>
              </w:rPr>
              <w:t>环境管理制度（有组织、无组织排放长效管理机制，主要包括岗位责任制度、达标公示制度和定期巡查维护制度等）；</w:t>
            </w:r>
            <w:r w:rsidRPr="00E24131">
              <w:rPr>
                <w:rFonts w:hint="eastAsia"/>
                <w:snapToGrid w:val="0"/>
                <w:color w:val="000000"/>
                <w:kern w:val="28"/>
                <w:sz w:val="21"/>
                <w:szCs w:val="21"/>
              </w:rPr>
              <w:t>4.</w:t>
            </w:r>
            <w:r w:rsidRPr="00E24131">
              <w:rPr>
                <w:rFonts w:hint="eastAsia"/>
                <w:snapToGrid w:val="0"/>
                <w:color w:val="000000"/>
                <w:kern w:val="28"/>
                <w:sz w:val="21"/>
                <w:szCs w:val="21"/>
              </w:rPr>
              <w:t>废气治理设施运行管理规程；</w:t>
            </w:r>
            <w:r w:rsidRPr="00E24131">
              <w:rPr>
                <w:rFonts w:hint="eastAsia"/>
                <w:snapToGrid w:val="0"/>
                <w:color w:val="000000"/>
                <w:kern w:val="28"/>
                <w:sz w:val="21"/>
                <w:szCs w:val="21"/>
              </w:rPr>
              <w:t>5.</w:t>
            </w:r>
            <w:r w:rsidRPr="00E24131">
              <w:rPr>
                <w:rFonts w:hint="eastAsia"/>
                <w:snapToGrid w:val="0"/>
                <w:color w:val="000000"/>
                <w:kern w:val="28"/>
                <w:sz w:val="21"/>
                <w:szCs w:val="21"/>
              </w:rPr>
              <w:t>一年内废气监测报告（符合排污许可证监测项目及频次要求）。</w:t>
            </w:r>
          </w:p>
        </w:tc>
        <w:tc>
          <w:tcPr>
            <w:tcW w:w="1134" w:type="dxa"/>
            <w:tcBorders>
              <w:left w:val="single" w:sz="4" w:space="0" w:color="auto"/>
              <w:right w:val="single" w:sz="4" w:space="0" w:color="auto"/>
            </w:tcBorders>
            <w:noWrap/>
            <w:vAlign w:val="center"/>
          </w:tcPr>
          <w:p w:rsidR="00E24131" w:rsidRDefault="00E24131" w:rsidP="000646E0">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t>未达到</w:t>
            </w:r>
            <w:r w:rsidRPr="007E1E4A">
              <w:rPr>
                <w:rFonts w:hint="eastAsia"/>
                <w:snapToGrid w:val="0"/>
                <w:color w:val="000000"/>
                <w:kern w:val="28"/>
                <w:sz w:val="21"/>
                <w:szCs w:val="21"/>
              </w:rPr>
              <w:t xml:space="preserve"> A</w:t>
            </w:r>
            <w:r w:rsidRPr="007E1E4A">
              <w:rPr>
                <w:rFonts w:hint="eastAsia"/>
                <w:snapToGrid w:val="0"/>
                <w:color w:val="000000"/>
                <w:kern w:val="28"/>
                <w:sz w:val="21"/>
                <w:szCs w:val="21"/>
              </w:rPr>
              <w:t>、</w:t>
            </w:r>
            <w:r w:rsidRPr="007E1E4A">
              <w:rPr>
                <w:rFonts w:hint="eastAsia"/>
                <w:snapToGrid w:val="0"/>
                <w:color w:val="000000"/>
                <w:kern w:val="28"/>
                <w:sz w:val="21"/>
                <w:szCs w:val="21"/>
              </w:rPr>
              <w:t xml:space="preserve">B </w:t>
            </w:r>
            <w:r w:rsidRPr="007E1E4A">
              <w:rPr>
                <w:rFonts w:hint="eastAsia"/>
                <w:snapToGrid w:val="0"/>
                <w:color w:val="000000"/>
                <w:kern w:val="28"/>
                <w:sz w:val="21"/>
                <w:szCs w:val="21"/>
              </w:rPr>
              <w:t>级要求</w:t>
            </w:r>
          </w:p>
        </w:tc>
        <w:tc>
          <w:tcPr>
            <w:tcW w:w="1701" w:type="dxa"/>
            <w:tcBorders>
              <w:top w:val="single" w:sz="4" w:space="0" w:color="auto"/>
              <w:left w:val="single" w:sz="4" w:space="0" w:color="auto"/>
              <w:bottom w:val="single" w:sz="4" w:space="0" w:color="auto"/>
              <w:right w:val="single" w:sz="4" w:space="0" w:color="auto"/>
            </w:tcBorders>
            <w:noWrap/>
            <w:vAlign w:val="center"/>
          </w:tcPr>
          <w:p w:rsidR="00E24131" w:rsidRPr="00BC4D95" w:rsidRDefault="00944E7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制定有环境管理制度，要求环评批复后及时存档</w:t>
            </w:r>
          </w:p>
        </w:tc>
        <w:tc>
          <w:tcPr>
            <w:tcW w:w="509" w:type="dxa"/>
            <w:tcBorders>
              <w:top w:val="single" w:sz="4" w:space="0" w:color="auto"/>
              <w:left w:val="single" w:sz="4" w:space="0" w:color="auto"/>
              <w:bottom w:val="single" w:sz="4" w:space="0" w:color="auto"/>
              <w:right w:val="single" w:sz="4" w:space="0" w:color="auto"/>
            </w:tcBorders>
            <w:noWrap/>
            <w:vAlign w:val="center"/>
          </w:tcPr>
          <w:p w:rsidR="00E24131" w:rsidRPr="00944E78" w:rsidRDefault="00944E7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B</w:t>
            </w:r>
          </w:p>
        </w:tc>
      </w:tr>
      <w:tr w:rsidR="00E24131" w:rsidRPr="00BC4D95" w:rsidTr="007C5CAC">
        <w:trPr>
          <w:cantSplit/>
          <w:jc w:val="center"/>
        </w:trPr>
        <w:tc>
          <w:tcPr>
            <w:tcW w:w="497" w:type="dxa"/>
            <w:vMerge/>
            <w:tcBorders>
              <w:top w:val="single" w:sz="4" w:space="0" w:color="auto"/>
              <w:left w:val="single" w:sz="4" w:space="0" w:color="auto"/>
              <w:right w:val="single" w:sz="4" w:space="0" w:color="auto"/>
            </w:tcBorders>
            <w:noWrap/>
            <w:vAlign w:val="center"/>
          </w:tcPr>
          <w:p w:rsidR="00E24131" w:rsidRPr="007E1E4A" w:rsidRDefault="00E24131" w:rsidP="00E24131">
            <w:pPr>
              <w:snapToGrid w:val="0"/>
              <w:spacing w:line="280" w:lineRule="exact"/>
              <w:jc w:val="center"/>
              <w:rPr>
                <w:snapToGrid w:val="0"/>
                <w:color w:val="000000"/>
                <w:kern w:val="28"/>
                <w:sz w:val="21"/>
                <w:szCs w:val="21"/>
              </w:rPr>
            </w:pPr>
          </w:p>
        </w:tc>
        <w:tc>
          <w:tcPr>
            <w:tcW w:w="497" w:type="dxa"/>
            <w:tcBorders>
              <w:top w:val="single" w:sz="4" w:space="0" w:color="auto"/>
              <w:left w:val="single" w:sz="4" w:space="0" w:color="auto"/>
              <w:right w:val="single" w:sz="4" w:space="0" w:color="auto"/>
            </w:tcBorders>
            <w:noWrap/>
            <w:vAlign w:val="center"/>
          </w:tcPr>
          <w:p w:rsidR="00E24131" w:rsidRPr="00E24131" w:rsidRDefault="00E24131" w:rsidP="00E24131">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台账</w:t>
            </w:r>
          </w:p>
          <w:p w:rsidR="00E24131" w:rsidRPr="000646E0" w:rsidRDefault="00E24131" w:rsidP="00E24131">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记录</w:t>
            </w:r>
          </w:p>
        </w:tc>
        <w:tc>
          <w:tcPr>
            <w:tcW w:w="5245" w:type="dxa"/>
            <w:gridSpan w:val="2"/>
            <w:tcBorders>
              <w:top w:val="single" w:sz="4" w:space="0" w:color="auto"/>
              <w:left w:val="single" w:sz="4" w:space="0" w:color="auto"/>
              <w:bottom w:val="single" w:sz="4" w:space="0" w:color="auto"/>
              <w:right w:val="single" w:sz="4" w:space="0" w:color="auto"/>
            </w:tcBorders>
            <w:noWrap/>
            <w:vAlign w:val="center"/>
          </w:tcPr>
          <w:p w:rsidR="00E24131" w:rsidRPr="00E24131" w:rsidRDefault="00E24131" w:rsidP="00FF14E6">
            <w:pPr>
              <w:snapToGrid w:val="0"/>
              <w:spacing w:line="280" w:lineRule="exact"/>
              <w:rPr>
                <w:snapToGrid w:val="0"/>
                <w:color w:val="000000"/>
                <w:kern w:val="28"/>
                <w:sz w:val="21"/>
                <w:szCs w:val="21"/>
              </w:rPr>
            </w:pPr>
            <w:r w:rsidRPr="00E24131">
              <w:rPr>
                <w:rFonts w:hint="eastAsia"/>
                <w:snapToGrid w:val="0"/>
                <w:color w:val="000000"/>
                <w:kern w:val="28"/>
                <w:sz w:val="21"/>
                <w:szCs w:val="21"/>
              </w:rPr>
              <w:t>1.</w:t>
            </w:r>
            <w:r w:rsidRPr="00E24131">
              <w:rPr>
                <w:rFonts w:hint="eastAsia"/>
                <w:snapToGrid w:val="0"/>
                <w:color w:val="000000"/>
                <w:kern w:val="28"/>
                <w:sz w:val="21"/>
                <w:szCs w:val="21"/>
              </w:rPr>
              <w:t>生产设施运行管理信息（生产时间、运行负荷、产品产量等）；</w:t>
            </w:r>
            <w:r w:rsidRPr="00E24131">
              <w:rPr>
                <w:rFonts w:hint="eastAsia"/>
                <w:snapToGrid w:val="0"/>
                <w:color w:val="000000"/>
                <w:kern w:val="28"/>
                <w:sz w:val="21"/>
                <w:szCs w:val="21"/>
              </w:rPr>
              <w:t>2.</w:t>
            </w:r>
            <w:r w:rsidRPr="00E24131">
              <w:rPr>
                <w:rFonts w:hint="eastAsia"/>
                <w:snapToGrid w:val="0"/>
                <w:color w:val="000000"/>
                <w:kern w:val="28"/>
                <w:sz w:val="21"/>
                <w:szCs w:val="21"/>
              </w:rPr>
              <w:t>废气污染治理设施运行管理信息；</w:t>
            </w:r>
            <w:r w:rsidRPr="00E24131">
              <w:rPr>
                <w:rFonts w:hint="eastAsia"/>
                <w:snapToGrid w:val="0"/>
                <w:color w:val="000000"/>
                <w:kern w:val="28"/>
                <w:sz w:val="21"/>
                <w:szCs w:val="21"/>
              </w:rPr>
              <w:t>3.</w:t>
            </w:r>
            <w:r w:rsidRPr="00E24131">
              <w:rPr>
                <w:rFonts w:hint="eastAsia"/>
                <w:snapToGrid w:val="0"/>
                <w:color w:val="000000"/>
                <w:kern w:val="28"/>
                <w:sz w:val="21"/>
                <w:szCs w:val="21"/>
              </w:rPr>
              <w:t>监测记录信息（主要污染排放口废气排放记录等）；</w:t>
            </w:r>
            <w:r w:rsidRPr="00E24131">
              <w:rPr>
                <w:rFonts w:hint="eastAsia"/>
                <w:snapToGrid w:val="0"/>
                <w:color w:val="000000"/>
                <w:kern w:val="28"/>
                <w:sz w:val="21"/>
                <w:szCs w:val="21"/>
              </w:rPr>
              <w:t>4.</w:t>
            </w:r>
            <w:r w:rsidRPr="00E24131">
              <w:rPr>
                <w:rFonts w:hint="eastAsia"/>
                <w:snapToGrid w:val="0"/>
                <w:color w:val="000000"/>
                <w:kern w:val="28"/>
                <w:sz w:val="21"/>
                <w:szCs w:val="21"/>
              </w:rPr>
              <w:t>主要原辅材料消耗记录；</w:t>
            </w:r>
            <w:r w:rsidRPr="00E24131">
              <w:rPr>
                <w:rFonts w:hint="eastAsia"/>
                <w:snapToGrid w:val="0"/>
                <w:color w:val="000000"/>
                <w:kern w:val="28"/>
                <w:sz w:val="21"/>
                <w:szCs w:val="21"/>
              </w:rPr>
              <w:t>5.</w:t>
            </w:r>
            <w:r w:rsidRPr="00E24131">
              <w:rPr>
                <w:rFonts w:hint="eastAsia"/>
                <w:snapToGrid w:val="0"/>
                <w:color w:val="000000"/>
                <w:kern w:val="28"/>
                <w:sz w:val="21"/>
                <w:szCs w:val="21"/>
              </w:rPr>
              <w:t>燃料消耗记录；</w:t>
            </w:r>
            <w:r w:rsidRPr="00E24131">
              <w:rPr>
                <w:rFonts w:hint="eastAsia"/>
                <w:snapToGrid w:val="0"/>
                <w:color w:val="000000"/>
                <w:kern w:val="28"/>
                <w:sz w:val="21"/>
                <w:szCs w:val="21"/>
              </w:rPr>
              <w:t>6.</w:t>
            </w:r>
            <w:r w:rsidRPr="00E24131">
              <w:rPr>
                <w:rFonts w:hint="eastAsia"/>
                <w:snapToGrid w:val="0"/>
                <w:color w:val="000000"/>
                <w:kern w:val="28"/>
                <w:sz w:val="21"/>
                <w:szCs w:val="21"/>
              </w:rPr>
              <w:t>固废、危废处理记录；</w:t>
            </w:r>
          </w:p>
          <w:p w:rsidR="00E24131" w:rsidRDefault="00E24131" w:rsidP="00FF14E6">
            <w:pPr>
              <w:snapToGrid w:val="0"/>
              <w:spacing w:line="280" w:lineRule="exact"/>
              <w:rPr>
                <w:snapToGrid w:val="0"/>
                <w:color w:val="000000"/>
                <w:kern w:val="28"/>
                <w:sz w:val="21"/>
                <w:szCs w:val="21"/>
              </w:rPr>
            </w:pPr>
            <w:r w:rsidRPr="00E24131">
              <w:rPr>
                <w:rFonts w:hint="eastAsia"/>
                <w:snapToGrid w:val="0"/>
                <w:color w:val="000000"/>
                <w:kern w:val="28"/>
                <w:sz w:val="21"/>
                <w:szCs w:val="21"/>
              </w:rPr>
              <w:t>7.</w:t>
            </w:r>
            <w:r w:rsidRPr="00E24131">
              <w:rPr>
                <w:rFonts w:hint="eastAsia"/>
                <w:snapToGrid w:val="0"/>
                <w:color w:val="000000"/>
                <w:kern w:val="28"/>
                <w:sz w:val="21"/>
                <w:szCs w:val="21"/>
              </w:rPr>
              <w:t>运输车辆、厂内车辆、非道路移动机械电子台账（进出场时间、车辆或非道路移动机械信息、运送货物名称及运量等）。</w:t>
            </w:r>
          </w:p>
        </w:tc>
        <w:tc>
          <w:tcPr>
            <w:tcW w:w="1134" w:type="dxa"/>
            <w:tcBorders>
              <w:left w:val="single" w:sz="4" w:space="0" w:color="auto"/>
              <w:right w:val="single" w:sz="4" w:space="0" w:color="auto"/>
            </w:tcBorders>
            <w:noWrap/>
            <w:vAlign w:val="center"/>
          </w:tcPr>
          <w:p w:rsidR="00E24131" w:rsidRDefault="00E24131" w:rsidP="000646E0">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t>未达到</w:t>
            </w:r>
            <w:r w:rsidRPr="007E1E4A">
              <w:rPr>
                <w:rFonts w:hint="eastAsia"/>
                <w:snapToGrid w:val="0"/>
                <w:color w:val="000000"/>
                <w:kern w:val="28"/>
                <w:sz w:val="21"/>
                <w:szCs w:val="21"/>
              </w:rPr>
              <w:t xml:space="preserve"> A</w:t>
            </w:r>
            <w:r w:rsidRPr="007E1E4A">
              <w:rPr>
                <w:rFonts w:hint="eastAsia"/>
                <w:snapToGrid w:val="0"/>
                <w:color w:val="000000"/>
                <w:kern w:val="28"/>
                <w:sz w:val="21"/>
                <w:szCs w:val="21"/>
              </w:rPr>
              <w:t>、</w:t>
            </w:r>
            <w:r w:rsidRPr="007E1E4A">
              <w:rPr>
                <w:rFonts w:hint="eastAsia"/>
                <w:snapToGrid w:val="0"/>
                <w:color w:val="000000"/>
                <w:kern w:val="28"/>
                <w:sz w:val="21"/>
                <w:szCs w:val="21"/>
              </w:rPr>
              <w:t xml:space="preserve">B </w:t>
            </w:r>
            <w:r w:rsidRPr="007E1E4A">
              <w:rPr>
                <w:rFonts w:hint="eastAsia"/>
                <w:snapToGrid w:val="0"/>
                <w:color w:val="000000"/>
                <w:kern w:val="28"/>
                <w:sz w:val="21"/>
                <w:szCs w:val="21"/>
              </w:rPr>
              <w:t>级要求</w:t>
            </w:r>
          </w:p>
        </w:tc>
        <w:tc>
          <w:tcPr>
            <w:tcW w:w="1701" w:type="dxa"/>
            <w:tcBorders>
              <w:top w:val="single" w:sz="4" w:space="0" w:color="auto"/>
              <w:left w:val="single" w:sz="4" w:space="0" w:color="auto"/>
              <w:bottom w:val="single" w:sz="4" w:space="0" w:color="auto"/>
              <w:right w:val="single" w:sz="4" w:space="0" w:color="auto"/>
            </w:tcBorders>
            <w:noWrap/>
            <w:vAlign w:val="center"/>
          </w:tcPr>
          <w:p w:rsidR="00E24131" w:rsidRPr="00BC4D95" w:rsidRDefault="00944E7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环评要求严格按台账记录要求进行记录生产设施运行管理信息、废气污染治理设施运行管理信息、监测记录新等</w:t>
            </w:r>
          </w:p>
        </w:tc>
        <w:tc>
          <w:tcPr>
            <w:tcW w:w="509" w:type="dxa"/>
            <w:tcBorders>
              <w:top w:val="single" w:sz="4" w:space="0" w:color="auto"/>
              <w:left w:val="single" w:sz="4" w:space="0" w:color="auto"/>
              <w:bottom w:val="single" w:sz="4" w:space="0" w:color="auto"/>
              <w:right w:val="single" w:sz="4" w:space="0" w:color="auto"/>
            </w:tcBorders>
            <w:noWrap/>
            <w:vAlign w:val="center"/>
          </w:tcPr>
          <w:p w:rsidR="00E24131" w:rsidRPr="00944E78" w:rsidRDefault="00944E7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B</w:t>
            </w:r>
          </w:p>
        </w:tc>
      </w:tr>
      <w:tr w:rsidR="00E24131" w:rsidRPr="00BC4D95" w:rsidTr="007C5CAC">
        <w:trPr>
          <w:cantSplit/>
          <w:jc w:val="center"/>
        </w:trPr>
        <w:tc>
          <w:tcPr>
            <w:tcW w:w="497" w:type="dxa"/>
            <w:vMerge/>
            <w:tcBorders>
              <w:left w:val="single" w:sz="4" w:space="0" w:color="auto"/>
              <w:bottom w:val="single" w:sz="4" w:space="0" w:color="auto"/>
              <w:right w:val="single" w:sz="4" w:space="0" w:color="auto"/>
            </w:tcBorders>
            <w:noWrap/>
            <w:vAlign w:val="center"/>
          </w:tcPr>
          <w:p w:rsidR="00E24131" w:rsidRPr="000646E0" w:rsidRDefault="00E24131" w:rsidP="000646E0">
            <w:pPr>
              <w:snapToGrid w:val="0"/>
              <w:spacing w:line="280" w:lineRule="exact"/>
              <w:jc w:val="center"/>
              <w:rPr>
                <w:snapToGrid w:val="0"/>
                <w:color w:val="000000"/>
                <w:kern w:val="28"/>
                <w:sz w:val="21"/>
                <w:szCs w:val="21"/>
              </w:rPr>
            </w:pPr>
          </w:p>
        </w:tc>
        <w:tc>
          <w:tcPr>
            <w:tcW w:w="497" w:type="dxa"/>
            <w:tcBorders>
              <w:left w:val="single" w:sz="4" w:space="0" w:color="auto"/>
              <w:bottom w:val="single" w:sz="4" w:space="0" w:color="auto"/>
              <w:right w:val="single" w:sz="4" w:space="0" w:color="auto"/>
            </w:tcBorders>
            <w:noWrap/>
            <w:vAlign w:val="center"/>
          </w:tcPr>
          <w:p w:rsidR="00E24131" w:rsidRPr="000646E0" w:rsidRDefault="00E24131"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人员配置</w:t>
            </w:r>
          </w:p>
        </w:tc>
        <w:tc>
          <w:tcPr>
            <w:tcW w:w="5245" w:type="dxa"/>
            <w:gridSpan w:val="2"/>
            <w:tcBorders>
              <w:top w:val="single" w:sz="4" w:space="0" w:color="auto"/>
              <w:left w:val="single" w:sz="4" w:space="0" w:color="auto"/>
              <w:bottom w:val="single" w:sz="4" w:space="0" w:color="auto"/>
              <w:right w:val="single" w:sz="4" w:space="0" w:color="auto"/>
            </w:tcBorders>
            <w:noWrap/>
            <w:vAlign w:val="center"/>
          </w:tcPr>
          <w:p w:rsidR="00E24131" w:rsidRDefault="00E24131" w:rsidP="000646E0">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配备专职环保人员，并具备相应的环境管理能力（学历、培训、从业经验等）。</w:t>
            </w:r>
          </w:p>
        </w:tc>
        <w:tc>
          <w:tcPr>
            <w:tcW w:w="1134" w:type="dxa"/>
            <w:tcBorders>
              <w:left w:val="single" w:sz="4" w:space="0" w:color="auto"/>
              <w:right w:val="single" w:sz="4" w:space="0" w:color="auto"/>
            </w:tcBorders>
            <w:noWrap/>
            <w:vAlign w:val="center"/>
          </w:tcPr>
          <w:p w:rsidR="00E24131" w:rsidRDefault="00E24131" w:rsidP="000646E0">
            <w:pPr>
              <w:snapToGrid w:val="0"/>
              <w:spacing w:line="280" w:lineRule="exact"/>
              <w:jc w:val="center"/>
              <w:rPr>
                <w:snapToGrid w:val="0"/>
                <w:color w:val="000000"/>
                <w:kern w:val="28"/>
                <w:sz w:val="21"/>
                <w:szCs w:val="21"/>
              </w:rPr>
            </w:pPr>
            <w:r w:rsidRPr="007E1E4A">
              <w:rPr>
                <w:rFonts w:hint="eastAsia"/>
                <w:snapToGrid w:val="0"/>
                <w:color w:val="000000"/>
                <w:kern w:val="28"/>
                <w:sz w:val="21"/>
                <w:szCs w:val="21"/>
              </w:rPr>
              <w:t>未达到</w:t>
            </w:r>
            <w:r w:rsidRPr="007E1E4A">
              <w:rPr>
                <w:rFonts w:hint="eastAsia"/>
                <w:snapToGrid w:val="0"/>
                <w:color w:val="000000"/>
                <w:kern w:val="28"/>
                <w:sz w:val="21"/>
                <w:szCs w:val="21"/>
              </w:rPr>
              <w:t xml:space="preserve"> A</w:t>
            </w:r>
            <w:r w:rsidRPr="007E1E4A">
              <w:rPr>
                <w:rFonts w:hint="eastAsia"/>
                <w:snapToGrid w:val="0"/>
                <w:color w:val="000000"/>
                <w:kern w:val="28"/>
                <w:sz w:val="21"/>
                <w:szCs w:val="21"/>
              </w:rPr>
              <w:t>、</w:t>
            </w:r>
            <w:r w:rsidRPr="007E1E4A">
              <w:rPr>
                <w:rFonts w:hint="eastAsia"/>
                <w:snapToGrid w:val="0"/>
                <w:color w:val="000000"/>
                <w:kern w:val="28"/>
                <w:sz w:val="21"/>
                <w:szCs w:val="21"/>
              </w:rPr>
              <w:t xml:space="preserve">B </w:t>
            </w:r>
            <w:r w:rsidRPr="007E1E4A">
              <w:rPr>
                <w:rFonts w:hint="eastAsia"/>
                <w:snapToGrid w:val="0"/>
                <w:color w:val="000000"/>
                <w:kern w:val="28"/>
                <w:sz w:val="21"/>
                <w:szCs w:val="21"/>
              </w:rPr>
              <w:t>级要求</w:t>
            </w:r>
          </w:p>
        </w:tc>
        <w:tc>
          <w:tcPr>
            <w:tcW w:w="1701" w:type="dxa"/>
            <w:tcBorders>
              <w:top w:val="single" w:sz="4" w:space="0" w:color="auto"/>
              <w:left w:val="single" w:sz="4" w:space="0" w:color="auto"/>
              <w:bottom w:val="single" w:sz="4" w:space="0" w:color="auto"/>
              <w:right w:val="single" w:sz="4" w:space="0" w:color="auto"/>
            </w:tcBorders>
            <w:noWrap/>
            <w:vAlign w:val="center"/>
          </w:tcPr>
          <w:p w:rsidR="00E24131" w:rsidRPr="00BC4D95" w:rsidRDefault="00944E7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配备有专职环保人员，并具有相应的环境管理能力</w:t>
            </w:r>
          </w:p>
        </w:tc>
        <w:tc>
          <w:tcPr>
            <w:tcW w:w="509" w:type="dxa"/>
            <w:tcBorders>
              <w:top w:val="single" w:sz="4" w:space="0" w:color="auto"/>
              <w:left w:val="single" w:sz="4" w:space="0" w:color="auto"/>
              <w:bottom w:val="single" w:sz="4" w:space="0" w:color="auto"/>
              <w:right w:val="single" w:sz="4" w:space="0" w:color="auto"/>
            </w:tcBorders>
            <w:noWrap/>
            <w:vAlign w:val="center"/>
          </w:tcPr>
          <w:p w:rsidR="00E24131" w:rsidRPr="00944E78" w:rsidRDefault="00944E7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A</w:t>
            </w:r>
          </w:p>
        </w:tc>
      </w:tr>
      <w:tr w:rsidR="007E1E4A" w:rsidRPr="00BC4D95" w:rsidTr="007C5CAC">
        <w:trPr>
          <w:cantSplit/>
          <w:jc w:val="center"/>
        </w:trPr>
        <w:tc>
          <w:tcPr>
            <w:tcW w:w="994" w:type="dxa"/>
            <w:gridSpan w:val="2"/>
            <w:tcBorders>
              <w:top w:val="single" w:sz="4" w:space="0" w:color="auto"/>
              <w:left w:val="single" w:sz="4" w:space="0" w:color="auto"/>
              <w:bottom w:val="single" w:sz="4" w:space="0" w:color="auto"/>
              <w:right w:val="single" w:sz="4" w:space="0" w:color="auto"/>
            </w:tcBorders>
            <w:noWrap/>
            <w:vAlign w:val="center"/>
          </w:tcPr>
          <w:p w:rsidR="007E1E4A" w:rsidRPr="000646E0" w:rsidRDefault="00E24131" w:rsidP="000646E0">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运输方式</w:t>
            </w:r>
          </w:p>
        </w:tc>
        <w:tc>
          <w:tcPr>
            <w:tcW w:w="2268" w:type="dxa"/>
            <w:tcBorders>
              <w:top w:val="single" w:sz="4" w:space="0" w:color="auto"/>
              <w:left w:val="single" w:sz="4" w:space="0" w:color="auto"/>
              <w:bottom w:val="single" w:sz="4" w:space="0" w:color="auto"/>
              <w:right w:val="single" w:sz="4" w:space="0" w:color="auto"/>
            </w:tcBorders>
            <w:noWrap/>
            <w:vAlign w:val="center"/>
          </w:tcPr>
          <w:p w:rsidR="00E24131" w:rsidRPr="00E24131" w:rsidRDefault="00E24131" w:rsidP="00944E78">
            <w:pPr>
              <w:snapToGrid w:val="0"/>
              <w:spacing w:line="280" w:lineRule="exact"/>
              <w:rPr>
                <w:snapToGrid w:val="0"/>
                <w:color w:val="000000"/>
                <w:kern w:val="28"/>
                <w:sz w:val="21"/>
                <w:szCs w:val="21"/>
              </w:rPr>
            </w:pPr>
            <w:r w:rsidRPr="00E24131">
              <w:rPr>
                <w:rFonts w:hint="eastAsia"/>
                <w:snapToGrid w:val="0"/>
                <w:color w:val="000000"/>
                <w:kern w:val="28"/>
                <w:sz w:val="21"/>
                <w:szCs w:val="21"/>
              </w:rPr>
              <w:t>1.</w:t>
            </w:r>
            <w:r w:rsidRPr="00E24131">
              <w:rPr>
                <w:rFonts w:hint="eastAsia"/>
                <w:snapToGrid w:val="0"/>
                <w:color w:val="000000"/>
                <w:kern w:val="28"/>
                <w:sz w:val="21"/>
                <w:szCs w:val="21"/>
              </w:rPr>
              <w:t>煤炭及矿石开采运输采用廊道运输、铁路、电动重型载货车辆等清洁运输方式的比例不低于</w:t>
            </w:r>
            <w:r w:rsidRPr="00E24131">
              <w:rPr>
                <w:rFonts w:hint="eastAsia"/>
                <w:snapToGrid w:val="0"/>
                <w:color w:val="000000"/>
                <w:kern w:val="28"/>
                <w:sz w:val="21"/>
                <w:szCs w:val="21"/>
              </w:rPr>
              <w:t xml:space="preserve"> 80%</w:t>
            </w:r>
            <w:r w:rsidRPr="00E24131">
              <w:rPr>
                <w:rFonts w:hint="eastAsia"/>
                <w:snapToGrid w:val="0"/>
                <w:color w:val="000000"/>
                <w:kern w:val="28"/>
                <w:sz w:val="21"/>
                <w:szCs w:val="21"/>
              </w:rPr>
              <w:t>；其他达到国六排放标准的重型载货车辆【</w:t>
            </w:r>
            <w:r w:rsidRPr="00E24131">
              <w:rPr>
                <w:rFonts w:hint="eastAsia"/>
                <w:snapToGrid w:val="0"/>
                <w:color w:val="000000"/>
                <w:kern w:val="28"/>
                <w:sz w:val="21"/>
                <w:szCs w:val="21"/>
              </w:rPr>
              <w:t>2</w:t>
            </w:r>
            <w:r w:rsidRPr="00E24131">
              <w:rPr>
                <w:rFonts w:hint="eastAsia"/>
                <w:snapToGrid w:val="0"/>
                <w:color w:val="000000"/>
                <w:kern w:val="28"/>
                <w:sz w:val="21"/>
                <w:szCs w:val="21"/>
              </w:rPr>
              <w:t>】；</w:t>
            </w:r>
            <w:r w:rsidRPr="00E24131">
              <w:rPr>
                <w:rFonts w:hint="eastAsia"/>
                <w:snapToGrid w:val="0"/>
                <w:color w:val="000000"/>
                <w:kern w:val="28"/>
                <w:sz w:val="21"/>
                <w:szCs w:val="21"/>
              </w:rPr>
              <w:t>2.</w:t>
            </w:r>
            <w:r w:rsidRPr="00E24131">
              <w:rPr>
                <w:rFonts w:hint="eastAsia"/>
                <w:snapToGrid w:val="0"/>
                <w:color w:val="000000"/>
                <w:kern w:val="28"/>
                <w:sz w:val="21"/>
                <w:szCs w:val="21"/>
              </w:rPr>
              <w:t>煤炭洗选企业运输采用电动重型载货车辆或达到国六排放标准的重型载货车辆【</w:t>
            </w:r>
            <w:r w:rsidRPr="00E24131">
              <w:rPr>
                <w:rFonts w:hint="eastAsia"/>
                <w:snapToGrid w:val="0"/>
                <w:color w:val="000000"/>
                <w:kern w:val="28"/>
                <w:sz w:val="21"/>
                <w:szCs w:val="21"/>
              </w:rPr>
              <w:t>2</w:t>
            </w:r>
            <w:r w:rsidRPr="00E24131">
              <w:rPr>
                <w:rFonts w:hint="eastAsia"/>
                <w:snapToGrid w:val="0"/>
                <w:color w:val="000000"/>
                <w:kern w:val="28"/>
                <w:sz w:val="21"/>
                <w:szCs w:val="21"/>
              </w:rPr>
              <w:t>】；</w:t>
            </w:r>
          </w:p>
          <w:p w:rsidR="007E1E4A" w:rsidRPr="00BC4D95" w:rsidRDefault="00E24131" w:rsidP="007C5CAC">
            <w:pPr>
              <w:snapToGrid w:val="0"/>
              <w:spacing w:line="280" w:lineRule="exact"/>
              <w:rPr>
                <w:snapToGrid w:val="0"/>
                <w:color w:val="000000"/>
                <w:kern w:val="28"/>
                <w:sz w:val="21"/>
                <w:szCs w:val="21"/>
              </w:rPr>
            </w:pPr>
            <w:r w:rsidRPr="00E24131">
              <w:rPr>
                <w:rFonts w:hint="eastAsia"/>
                <w:snapToGrid w:val="0"/>
                <w:color w:val="000000"/>
                <w:kern w:val="28"/>
                <w:sz w:val="21"/>
                <w:szCs w:val="21"/>
              </w:rPr>
              <w:t>3.</w:t>
            </w:r>
            <w:r w:rsidRPr="00E24131">
              <w:rPr>
                <w:rFonts w:hint="eastAsia"/>
                <w:snapToGrid w:val="0"/>
                <w:color w:val="000000"/>
                <w:kern w:val="28"/>
                <w:sz w:val="21"/>
                <w:szCs w:val="21"/>
              </w:rPr>
              <w:t>石材加工企业物料、产品运输全部使用国五及以上的重型载货车辆（重型燃气车辆达到国六排放标准）或其他清洁运输方式；</w:t>
            </w:r>
            <w:r w:rsidRPr="00E24131">
              <w:rPr>
                <w:rFonts w:hint="eastAsia"/>
                <w:snapToGrid w:val="0"/>
                <w:color w:val="000000"/>
                <w:kern w:val="28"/>
                <w:sz w:val="21"/>
                <w:szCs w:val="21"/>
              </w:rPr>
              <w:t>4.</w:t>
            </w:r>
            <w:r w:rsidRPr="00E24131">
              <w:rPr>
                <w:rFonts w:hint="eastAsia"/>
                <w:snapToGrid w:val="0"/>
                <w:color w:val="000000"/>
                <w:kern w:val="28"/>
                <w:sz w:val="21"/>
                <w:szCs w:val="21"/>
              </w:rPr>
              <w:t>厂内非道路移动机械达到国三及以上标准或使用新能源机械。</w:t>
            </w:r>
          </w:p>
        </w:tc>
        <w:tc>
          <w:tcPr>
            <w:tcW w:w="2977" w:type="dxa"/>
            <w:tcBorders>
              <w:left w:val="single" w:sz="4" w:space="0" w:color="auto"/>
              <w:right w:val="single" w:sz="4" w:space="0" w:color="auto"/>
            </w:tcBorders>
            <w:noWrap/>
            <w:vAlign w:val="center"/>
          </w:tcPr>
          <w:p w:rsidR="007E1E4A" w:rsidRDefault="00E24131" w:rsidP="00944E78">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1.</w:t>
            </w:r>
            <w:r w:rsidRPr="00E24131">
              <w:rPr>
                <w:rFonts w:hint="eastAsia"/>
                <w:snapToGrid w:val="0"/>
                <w:color w:val="000000"/>
                <w:kern w:val="28"/>
                <w:sz w:val="21"/>
                <w:szCs w:val="21"/>
              </w:rPr>
              <w:t>煤炭及矿石开采运输采用廊道运输、铁路、电动重型载货车辆等清洁运输方式的比例不低于</w:t>
            </w:r>
            <w:r w:rsidRPr="00E24131">
              <w:rPr>
                <w:rFonts w:hint="eastAsia"/>
                <w:snapToGrid w:val="0"/>
                <w:color w:val="000000"/>
                <w:kern w:val="28"/>
                <w:sz w:val="21"/>
                <w:szCs w:val="21"/>
              </w:rPr>
              <w:t xml:space="preserve"> 50%</w:t>
            </w:r>
            <w:r w:rsidRPr="00E24131">
              <w:rPr>
                <w:rFonts w:hint="eastAsia"/>
                <w:snapToGrid w:val="0"/>
                <w:color w:val="000000"/>
                <w:kern w:val="28"/>
                <w:sz w:val="21"/>
                <w:szCs w:val="21"/>
              </w:rPr>
              <w:t>；其他运输车辆达到国五及以上排放标准（重型燃气车辆达到国六排放标准）；</w:t>
            </w:r>
            <w:r w:rsidRPr="00E24131">
              <w:rPr>
                <w:rFonts w:hint="eastAsia"/>
                <w:snapToGrid w:val="0"/>
                <w:color w:val="000000"/>
                <w:kern w:val="28"/>
                <w:sz w:val="21"/>
                <w:szCs w:val="21"/>
              </w:rPr>
              <w:t>2.</w:t>
            </w:r>
            <w:r w:rsidRPr="00E24131">
              <w:rPr>
                <w:rFonts w:hint="eastAsia"/>
                <w:snapToGrid w:val="0"/>
                <w:color w:val="000000"/>
                <w:kern w:val="28"/>
                <w:sz w:val="21"/>
                <w:szCs w:val="21"/>
              </w:rPr>
              <w:t>煤炭洗选企业运输采用电动重型载货车辆或达到国五排放标准的重型载货车辆（不含国五重型燃气车辆）；</w:t>
            </w:r>
            <w:r w:rsidRPr="00E24131">
              <w:rPr>
                <w:rFonts w:hint="eastAsia"/>
                <w:snapToGrid w:val="0"/>
                <w:color w:val="000000"/>
                <w:kern w:val="28"/>
                <w:sz w:val="21"/>
                <w:szCs w:val="21"/>
              </w:rPr>
              <w:t>3.</w:t>
            </w:r>
            <w:r w:rsidRPr="00E24131">
              <w:rPr>
                <w:rFonts w:hint="eastAsia"/>
                <w:snapToGrid w:val="0"/>
                <w:color w:val="000000"/>
                <w:kern w:val="28"/>
                <w:sz w:val="21"/>
                <w:szCs w:val="21"/>
              </w:rPr>
              <w:t>石材加工企业物料、产品运输车辆达到国五及以上排放标准（重型燃气车辆达到国六排放标准）或使用新能源车辆比例不低于</w:t>
            </w:r>
            <w:r w:rsidRPr="00E24131">
              <w:rPr>
                <w:rFonts w:hint="eastAsia"/>
                <w:snapToGrid w:val="0"/>
                <w:color w:val="000000"/>
                <w:kern w:val="28"/>
                <w:sz w:val="21"/>
                <w:szCs w:val="21"/>
              </w:rPr>
              <w:t xml:space="preserve"> 80%</w:t>
            </w:r>
            <w:r w:rsidRPr="00E24131">
              <w:rPr>
                <w:rFonts w:hint="eastAsia"/>
                <w:snapToGrid w:val="0"/>
                <w:color w:val="000000"/>
                <w:kern w:val="28"/>
                <w:sz w:val="21"/>
                <w:szCs w:val="21"/>
              </w:rPr>
              <w:t>，其他车辆达到国四排放标准（重型燃气车辆达到国五及以上排放标准）；</w:t>
            </w:r>
            <w:r w:rsidRPr="00E24131">
              <w:rPr>
                <w:rFonts w:hint="eastAsia"/>
                <w:snapToGrid w:val="0"/>
                <w:color w:val="000000"/>
                <w:kern w:val="28"/>
                <w:sz w:val="21"/>
                <w:szCs w:val="21"/>
              </w:rPr>
              <w:t>4.</w:t>
            </w:r>
            <w:r w:rsidRPr="00E24131">
              <w:rPr>
                <w:rFonts w:hint="eastAsia"/>
                <w:snapToGrid w:val="0"/>
                <w:color w:val="000000"/>
                <w:kern w:val="28"/>
                <w:sz w:val="21"/>
                <w:szCs w:val="21"/>
              </w:rPr>
              <w:t>厂内非道路移动机械达到国三及以上排放标准或使用新能源机械比例不低于</w:t>
            </w:r>
            <w:r w:rsidRPr="00E24131">
              <w:rPr>
                <w:rFonts w:hint="eastAsia"/>
                <w:snapToGrid w:val="0"/>
                <w:color w:val="000000"/>
                <w:kern w:val="28"/>
                <w:sz w:val="21"/>
                <w:szCs w:val="21"/>
              </w:rPr>
              <w:t xml:space="preserve"> 80%</w:t>
            </w:r>
            <w:r w:rsidRPr="00E24131">
              <w:rPr>
                <w:rFonts w:hint="eastAsia"/>
                <w:snapToGrid w:val="0"/>
                <w:color w:val="000000"/>
                <w:kern w:val="28"/>
                <w:sz w:val="21"/>
                <w:szCs w:val="21"/>
              </w:rPr>
              <w:t>。</w:t>
            </w:r>
          </w:p>
        </w:tc>
        <w:tc>
          <w:tcPr>
            <w:tcW w:w="1134" w:type="dxa"/>
            <w:tcBorders>
              <w:left w:val="single" w:sz="4" w:space="0" w:color="auto"/>
              <w:right w:val="single" w:sz="4" w:space="0" w:color="auto"/>
            </w:tcBorders>
            <w:noWrap/>
            <w:vAlign w:val="center"/>
          </w:tcPr>
          <w:p w:rsidR="00E24131" w:rsidRPr="00E24131" w:rsidRDefault="00E24131" w:rsidP="00E24131">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未达到</w:t>
            </w:r>
            <w:r w:rsidRPr="00E24131">
              <w:rPr>
                <w:rFonts w:hint="eastAsia"/>
                <w:snapToGrid w:val="0"/>
                <w:color w:val="000000"/>
                <w:kern w:val="28"/>
                <w:sz w:val="21"/>
                <w:szCs w:val="21"/>
              </w:rPr>
              <w:t>B</w:t>
            </w:r>
            <w:r w:rsidRPr="00E24131">
              <w:rPr>
                <w:rFonts w:hint="eastAsia"/>
                <w:snapToGrid w:val="0"/>
                <w:color w:val="000000"/>
                <w:kern w:val="28"/>
                <w:sz w:val="21"/>
                <w:szCs w:val="21"/>
              </w:rPr>
              <w:t>级</w:t>
            </w:r>
          </w:p>
          <w:p w:rsidR="007E1E4A" w:rsidRDefault="00E24131" w:rsidP="00E24131">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要求</w:t>
            </w:r>
          </w:p>
        </w:tc>
        <w:tc>
          <w:tcPr>
            <w:tcW w:w="1701" w:type="dxa"/>
            <w:tcBorders>
              <w:top w:val="single" w:sz="4" w:space="0" w:color="auto"/>
              <w:left w:val="single" w:sz="4" w:space="0" w:color="auto"/>
              <w:bottom w:val="single" w:sz="4" w:space="0" w:color="auto"/>
              <w:right w:val="single" w:sz="4" w:space="0" w:color="auto"/>
            </w:tcBorders>
            <w:noWrap/>
            <w:vAlign w:val="center"/>
          </w:tcPr>
          <w:p w:rsidR="007E1E4A" w:rsidRPr="00BC4D95" w:rsidRDefault="00944E78" w:rsidP="00944E78">
            <w:pPr>
              <w:snapToGrid w:val="0"/>
              <w:spacing w:line="280" w:lineRule="exact"/>
              <w:jc w:val="center"/>
              <w:rPr>
                <w:snapToGrid w:val="0"/>
                <w:color w:val="000000"/>
                <w:kern w:val="28"/>
                <w:sz w:val="21"/>
                <w:szCs w:val="21"/>
              </w:rPr>
            </w:pPr>
            <w:r>
              <w:rPr>
                <w:rFonts w:hint="eastAsia"/>
                <w:snapToGrid w:val="0"/>
                <w:color w:val="000000"/>
                <w:kern w:val="28"/>
                <w:sz w:val="21"/>
                <w:szCs w:val="21"/>
              </w:rPr>
              <w:t>厂内运输采用皮带廊道，原煤外运采用</w:t>
            </w:r>
            <w:r w:rsidRPr="00E24131">
              <w:rPr>
                <w:rFonts w:hint="eastAsia"/>
                <w:snapToGrid w:val="0"/>
                <w:color w:val="000000"/>
                <w:kern w:val="28"/>
                <w:sz w:val="21"/>
                <w:szCs w:val="21"/>
              </w:rPr>
              <w:t>国五及以上排放标准</w:t>
            </w:r>
            <w:r>
              <w:rPr>
                <w:rFonts w:hint="eastAsia"/>
                <w:snapToGrid w:val="0"/>
                <w:color w:val="000000"/>
                <w:kern w:val="28"/>
                <w:sz w:val="21"/>
                <w:szCs w:val="21"/>
              </w:rPr>
              <w:t>汽车；</w:t>
            </w:r>
            <w:r w:rsidRPr="00E24131">
              <w:rPr>
                <w:rFonts w:hint="eastAsia"/>
                <w:snapToGrid w:val="0"/>
                <w:color w:val="000000"/>
                <w:kern w:val="28"/>
                <w:sz w:val="21"/>
                <w:szCs w:val="21"/>
              </w:rPr>
              <w:t>厂内非道路移动机械达到国三及以上排放标准</w:t>
            </w:r>
            <w:r>
              <w:rPr>
                <w:rFonts w:hint="eastAsia"/>
                <w:snapToGrid w:val="0"/>
                <w:color w:val="000000"/>
                <w:kern w:val="28"/>
                <w:sz w:val="21"/>
                <w:szCs w:val="21"/>
              </w:rPr>
              <w:t>机械</w:t>
            </w:r>
            <w:r w:rsidRPr="00E24131">
              <w:rPr>
                <w:rFonts w:hint="eastAsia"/>
                <w:snapToGrid w:val="0"/>
                <w:color w:val="000000"/>
                <w:kern w:val="28"/>
                <w:sz w:val="21"/>
                <w:szCs w:val="21"/>
              </w:rPr>
              <w:t>。</w:t>
            </w:r>
          </w:p>
        </w:tc>
        <w:tc>
          <w:tcPr>
            <w:tcW w:w="509" w:type="dxa"/>
            <w:tcBorders>
              <w:top w:val="single" w:sz="4" w:space="0" w:color="auto"/>
              <w:left w:val="single" w:sz="4" w:space="0" w:color="auto"/>
              <w:bottom w:val="single" w:sz="4" w:space="0" w:color="auto"/>
              <w:right w:val="single" w:sz="4" w:space="0" w:color="auto"/>
            </w:tcBorders>
            <w:noWrap/>
            <w:vAlign w:val="center"/>
          </w:tcPr>
          <w:p w:rsidR="007E1E4A" w:rsidRPr="00944E78" w:rsidRDefault="00944E78" w:rsidP="000646E0">
            <w:pPr>
              <w:snapToGrid w:val="0"/>
              <w:spacing w:line="280" w:lineRule="exact"/>
              <w:jc w:val="center"/>
              <w:rPr>
                <w:snapToGrid w:val="0"/>
                <w:color w:val="000000"/>
                <w:kern w:val="28"/>
                <w:sz w:val="21"/>
                <w:szCs w:val="21"/>
              </w:rPr>
            </w:pPr>
            <w:r>
              <w:rPr>
                <w:rFonts w:hint="eastAsia"/>
                <w:snapToGrid w:val="0"/>
                <w:color w:val="000000"/>
                <w:kern w:val="28"/>
                <w:sz w:val="21"/>
                <w:szCs w:val="21"/>
              </w:rPr>
              <w:t>B</w:t>
            </w:r>
          </w:p>
        </w:tc>
      </w:tr>
      <w:tr w:rsidR="00E24131" w:rsidRPr="00BC4D95" w:rsidTr="007C5CAC">
        <w:trPr>
          <w:cantSplit/>
          <w:jc w:val="center"/>
        </w:trPr>
        <w:tc>
          <w:tcPr>
            <w:tcW w:w="994" w:type="dxa"/>
            <w:gridSpan w:val="2"/>
            <w:tcBorders>
              <w:top w:val="single" w:sz="4" w:space="0" w:color="auto"/>
              <w:left w:val="single" w:sz="4" w:space="0" w:color="auto"/>
              <w:bottom w:val="single" w:sz="4" w:space="0" w:color="auto"/>
              <w:right w:val="single" w:sz="4" w:space="0" w:color="auto"/>
            </w:tcBorders>
            <w:noWrap/>
            <w:vAlign w:val="center"/>
          </w:tcPr>
          <w:p w:rsidR="00E24131" w:rsidRPr="000646E0" w:rsidRDefault="00E24131" w:rsidP="000646E0">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运输监管</w:t>
            </w:r>
          </w:p>
        </w:tc>
        <w:tc>
          <w:tcPr>
            <w:tcW w:w="5245" w:type="dxa"/>
            <w:gridSpan w:val="2"/>
            <w:tcBorders>
              <w:top w:val="single" w:sz="4" w:space="0" w:color="auto"/>
              <w:left w:val="single" w:sz="4" w:space="0" w:color="auto"/>
              <w:bottom w:val="single" w:sz="4" w:space="0" w:color="auto"/>
              <w:right w:val="single" w:sz="4" w:space="0" w:color="auto"/>
            </w:tcBorders>
            <w:noWrap/>
            <w:vAlign w:val="center"/>
          </w:tcPr>
          <w:p w:rsidR="00E24131" w:rsidRDefault="00E24131" w:rsidP="00E24131">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日均进出货物</w:t>
            </w:r>
            <w:r w:rsidRPr="00E24131">
              <w:rPr>
                <w:rFonts w:hint="eastAsia"/>
                <w:snapToGrid w:val="0"/>
                <w:color w:val="000000"/>
                <w:kern w:val="28"/>
                <w:sz w:val="21"/>
                <w:szCs w:val="21"/>
              </w:rPr>
              <w:t xml:space="preserve"> 150 </w:t>
            </w:r>
            <w:r w:rsidRPr="00E24131">
              <w:rPr>
                <w:rFonts w:hint="eastAsia"/>
                <w:snapToGrid w:val="0"/>
                <w:color w:val="000000"/>
                <w:kern w:val="28"/>
                <w:sz w:val="21"/>
                <w:szCs w:val="21"/>
              </w:rPr>
              <w:t>吨（或载货车辆日进出</w:t>
            </w:r>
            <w:r w:rsidRPr="00E24131">
              <w:rPr>
                <w:rFonts w:hint="eastAsia"/>
                <w:snapToGrid w:val="0"/>
                <w:color w:val="000000"/>
                <w:kern w:val="28"/>
                <w:sz w:val="21"/>
                <w:szCs w:val="21"/>
              </w:rPr>
              <w:t xml:space="preserve"> 10 </w:t>
            </w:r>
            <w:r w:rsidRPr="00E24131">
              <w:rPr>
                <w:rFonts w:hint="eastAsia"/>
                <w:snapToGrid w:val="0"/>
                <w:color w:val="000000"/>
                <w:kern w:val="28"/>
                <w:sz w:val="21"/>
                <w:szCs w:val="21"/>
              </w:rPr>
              <w:t>辆次）及以上（货物包括原料、辅料、燃料、产品和其他与生产相关物料）的企业，或纳入我省重点行业年产值</w:t>
            </w:r>
            <w:r w:rsidRPr="00E24131">
              <w:rPr>
                <w:rFonts w:hint="eastAsia"/>
                <w:snapToGrid w:val="0"/>
                <w:color w:val="000000"/>
                <w:kern w:val="28"/>
                <w:sz w:val="21"/>
                <w:szCs w:val="21"/>
              </w:rPr>
              <w:t xml:space="preserve"> 1000 </w:t>
            </w:r>
            <w:r w:rsidRPr="00E24131">
              <w:rPr>
                <w:rFonts w:hint="eastAsia"/>
                <w:snapToGrid w:val="0"/>
                <w:color w:val="000000"/>
                <w:kern w:val="28"/>
                <w:sz w:val="21"/>
                <w:szCs w:val="21"/>
              </w:rPr>
              <w:t>万及以上的企业，应参照《重污染天气重点行业移动源应急管理技术指南》建立门禁视频监控系统和电子台账；其他企业建立电子台账。</w:t>
            </w:r>
          </w:p>
        </w:tc>
        <w:tc>
          <w:tcPr>
            <w:tcW w:w="1134" w:type="dxa"/>
            <w:tcBorders>
              <w:left w:val="single" w:sz="4" w:space="0" w:color="auto"/>
              <w:right w:val="single" w:sz="4" w:space="0" w:color="auto"/>
            </w:tcBorders>
            <w:noWrap/>
            <w:vAlign w:val="center"/>
          </w:tcPr>
          <w:p w:rsidR="00E24131" w:rsidRDefault="00E24131" w:rsidP="000646E0">
            <w:pPr>
              <w:snapToGrid w:val="0"/>
              <w:spacing w:line="280" w:lineRule="exact"/>
              <w:jc w:val="center"/>
              <w:rPr>
                <w:snapToGrid w:val="0"/>
                <w:color w:val="000000"/>
                <w:kern w:val="28"/>
                <w:sz w:val="21"/>
                <w:szCs w:val="21"/>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E24131" w:rsidRPr="00BC4D95" w:rsidRDefault="00E24131" w:rsidP="000646E0">
            <w:pPr>
              <w:snapToGrid w:val="0"/>
              <w:spacing w:line="280" w:lineRule="exact"/>
              <w:jc w:val="center"/>
              <w:rPr>
                <w:snapToGrid w:val="0"/>
                <w:color w:val="000000"/>
                <w:kern w:val="28"/>
                <w:sz w:val="21"/>
                <w:szCs w:val="21"/>
              </w:rPr>
            </w:pPr>
          </w:p>
        </w:tc>
        <w:tc>
          <w:tcPr>
            <w:tcW w:w="509" w:type="dxa"/>
            <w:tcBorders>
              <w:top w:val="single" w:sz="4" w:space="0" w:color="auto"/>
              <w:left w:val="single" w:sz="4" w:space="0" w:color="auto"/>
              <w:bottom w:val="single" w:sz="4" w:space="0" w:color="auto"/>
              <w:right w:val="single" w:sz="4" w:space="0" w:color="auto"/>
            </w:tcBorders>
            <w:noWrap/>
            <w:vAlign w:val="center"/>
          </w:tcPr>
          <w:p w:rsidR="00E24131" w:rsidRDefault="00E24131" w:rsidP="000646E0">
            <w:pPr>
              <w:snapToGrid w:val="0"/>
              <w:spacing w:line="280" w:lineRule="exact"/>
              <w:jc w:val="center"/>
              <w:rPr>
                <w:snapToGrid w:val="0"/>
                <w:color w:val="000000"/>
                <w:kern w:val="28"/>
                <w:sz w:val="21"/>
                <w:szCs w:val="21"/>
              </w:rPr>
            </w:pPr>
          </w:p>
        </w:tc>
      </w:tr>
      <w:tr w:rsidR="007E1E4A" w:rsidRPr="00BC4D95" w:rsidTr="007C5CAC">
        <w:trPr>
          <w:cantSplit/>
          <w:jc w:val="center"/>
        </w:trPr>
        <w:tc>
          <w:tcPr>
            <w:tcW w:w="994" w:type="dxa"/>
            <w:gridSpan w:val="2"/>
            <w:tcBorders>
              <w:top w:val="single" w:sz="4" w:space="0" w:color="auto"/>
              <w:left w:val="single" w:sz="4" w:space="0" w:color="auto"/>
              <w:bottom w:val="single" w:sz="4" w:space="0" w:color="auto"/>
              <w:right w:val="single" w:sz="4" w:space="0" w:color="auto"/>
            </w:tcBorders>
            <w:noWrap/>
            <w:vAlign w:val="center"/>
          </w:tcPr>
          <w:p w:rsidR="007E1E4A" w:rsidRPr="000646E0" w:rsidRDefault="00E24131" w:rsidP="00E24131">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综合发展指标</w:t>
            </w:r>
          </w:p>
        </w:tc>
        <w:tc>
          <w:tcPr>
            <w:tcW w:w="2268" w:type="dxa"/>
            <w:tcBorders>
              <w:top w:val="single" w:sz="4" w:space="0" w:color="auto"/>
              <w:left w:val="single" w:sz="4" w:space="0" w:color="auto"/>
              <w:bottom w:val="single" w:sz="4" w:space="0" w:color="auto"/>
              <w:right w:val="single" w:sz="4" w:space="0" w:color="auto"/>
            </w:tcBorders>
            <w:noWrap/>
            <w:vAlign w:val="center"/>
          </w:tcPr>
          <w:p w:rsidR="007E1E4A" w:rsidRPr="00BC4D95" w:rsidRDefault="00E24131" w:rsidP="000646E0">
            <w:pPr>
              <w:snapToGrid w:val="0"/>
              <w:spacing w:line="280" w:lineRule="exact"/>
              <w:jc w:val="center"/>
              <w:rPr>
                <w:snapToGrid w:val="0"/>
                <w:color w:val="000000"/>
                <w:kern w:val="28"/>
                <w:sz w:val="21"/>
                <w:szCs w:val="21"/>
              </w:rPr>
            </w:pPr>
            <w:r w:rsidRPr="00E24131">
              <w:rPr>
                <w:rFonts w:hint="eastAsia"/>
                <w:snapToGrid w:val="0"/>
                <w:color w:val="000000"/>
                <w:kern w:val="28"/>
                <w:sz w:val="21"/>
                <w:szCs w:val="21"/>
              </w:rPr>
              <w:t>对于矿山开采企业，需纳入河南省绿色矿山名录。</w:t>
            </w:r>
          </w:p>
        </w:tc>
        <w:tc>
          <w:tcPr>
            <w:tcW w:w="2977" w:type="dxa"/>
            <w:tcBorders>
              <w:left w:val="single" w:sz="4" w:space="0" w:color="auto"/>
              <w:right w:val="single" w:sz="4" w:space="0" w:color="auto"/>
            </w:tcBorders>
            <w:noWrap/>
            <w:vAlign w:val="center"/>
          </w:tcPr>
          <w:p w:rsidR="007E1E4A" w:rsidRDefault="007E1E4A" w:rsidP="000646E0">
            <w:pPr>
              <w:snapToGrid w:val="0"/>
              <w:spacing w:line="280" w:lineRule="exact"/>
              <w:jc w:val="center"/>
              <w:rPr>
                <w:snapToGrid w:val="0"/>
                <w:color w:val="000000"/>
                <w:kern w:val="28"/>
                <w:sz w:val="21"/>
                <w:szCs w:val="21"/>
              </w:rPr>
            </w:pPr>
          </w:p>
        </w:tc>
        <w:tc>
          <w:tcPr>
            <w:tcW w:w="1134" w:type="dxa"/>
            <w:tcBorders>
              <w:left w:val="single" w:sz="4" w:space="0" w:color="auto"/>
              <w:right w:val="single" w:sz="4" w:space="0" w:color="auto"/>
            </w:tcBorders>
            <w:noWrap/>
            <w:vAlign w:val="center"/>
          </w:tcPr>
          <w:p w:rsidR="007E1E4A" w:rsidRDefault="007E1E4A" w:rsidP="000646E0">
            <w:pPr>
              <w:snapToGrid w:val="0"/>
              <w:spacing w:line="280" w:lineRule="exact"/>
              <w:jc w:val="center"/>
              <w:rPr>
                <w:snapToGrid w:val="0"/>
                <w:color w:val="000000"/>
                <w:kern w:val="28"/>
                <w:sz w:val="21"/>
                <w:szCs w:val="21"/>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7E1E4A" w:rsidRPr="00BC4D95" w:rsidRDefault="007E1E4A" w:rsidP="000646E0">
            <w:pPr>
              <w:snapToGrid w:val="0"/>
              <w:spacing w:line="280" w:lineRule="exact"/>
              <w:jc w:val="center"/>
              <w:rPr>
                <w:snapToGrid w:val="0"/>
                <w:color w:val="000000"/>
                <w:kern w:val="28"/>
                <w:sz w:val="21"/>
                <w:szCs w:val="21"/>
              </w:rPr>
            </w:pPr>
          </w:p>
        </w:tc>
        <w:tc>
          <w:tcPr>
            <w:tcW w:w="509" w:type="dxa"/>
            <w:tcBorders>
              <w:top w:val="single" w:sz="4" w:space="0" w:color="auto"/>
              <w:left w:val="single" w:sz="4" w:space="0" w:color="auto"/>
              <w:bottom w:val="single" w:sz="4" w:space="0" w:color="auto"/>
              <w:right w:val="single" w:sz="4" w:space="0" w:color="auto"/>
            </w:tcBorders>
            <w:noWrap/>
            <w:vAlign w:val="center"/>
          </w:tcPr>
          <w:p w:rsidR="007E1E4A" w:rsidRDefault="007E1E4A" w:rsidP="000646E0">
            <w:pPr>
              <w:snapToGrid w:val="0"/>
              <w:spacing w:line="280" w:lineRule="exact"/>
              <w:jc w:val="center"/>
              <w:rPr>
                <w:snapToGrid w:val="0"/>
                <w:color w:val="000000"/>
                <w:kern w:val="28"/>
                <w:sz w:val="21"/>
                <w:szCs w:val="21"/>
              </w:rPr>
            </w:pPr>
          </w:p>
        </w:tc>
      </w:tr>
      <w:tr w:rsidR="00E24131" w:rsidRPr="00BC4D95" w:rsidTr="007C5CAC">
        <w:trPr>
          <w:cantSplit/>
          <w:trHeight w:val="570"/>
          <w:jc w:val="center"/>
        </w:trPr>
        <w:tc>
          <w:tcPr>
            <w:tcW w:w="9583" w:type="dxa"/>
            <w:gridSpan w:val="7"/>
            <w:tcBorders>
              <w:top w:val="single" w:sz="4" w:space="0" w:color="auto"/>
              <w:left w:val="single" w:sz="4" w:space="0" w:color="auto"/>
              <w:right w:val="single" w:sz="4" w:space="0" w:color="auto"/>
            </w:tcBorders>
            <w:noWrap/>
            <w:vAlign w:val="center"/>
          </w:tcPr>
          <w:p w:rsidR="00E24131" w:rsidRPr="00E24131" w:rsidRDefault="00E24131" w:rsidP="00E24131">
            <w:pPr>
              <w:snapToGrid w:val="0"/>
              <w:spacing w:line="280" w:lineRule="exact"/>
              <w:rPr>
                <w:snapToGrid w:val="0"/>
                <w:color w:val="000000"/>
                <w:kern w:val="28"/>
                <w:sz w:val="21"/>
                <w:szCs w:val="21"/>
              </w:rPr>
            </w:pPr>
            <w:r w:rsidRPr="00E24131">
              <w:rPr>
                <w:rFonts w:hint="eastAsia"/>
                <w:snapToGrid w:val="0"/>
                <w:color w:val="000000"/>
                <w:kern w:val="28"/>
                <w:sz w:val="21"/>
                <w:szCs w:val="21"/>
              </w:rPr>
              <w:t>备注【</w:t>
            </w:r>
            <w:r w:rsidRPr="00E24131">
              <w:rPr>
                <w:rFonts w:hint="eastAsia"/>
                <w:snapToGrid w:val="0"/>
                <w:color w:val="000000"/>
                <w:kern w:val="28"/>
                <w:sz w:val="21"/>
                <w:szCs w:val="21"/>
              </w:rPr>
              <w:t>1</w:t>
            </w:r>
            <w:r w:rsidRPr="00E24131">
              <w:rPr>
                <w:rFonts w:hint="eastAsia"/>
                <w:snapToGrid w:val="0"/>
                <w:color w:val="000000"/>
                <w:kern w:val="28"/>
                <w:sz w:val="21"/>
                <w:szCs w:val="21"/>
              </w:rPr>
              <w:t>】</w:t>
            </w:r>
            <w:r w:rsidRPr="00E24131">
              <w:rPr>
                <w:rFonts w:hint="eastAsia"/>
                <w:snapToGrid w:val="0"/>
                <w:color w:val="000000"/>
                <w:kern w:val="28"/>
                <w:sz w:val="21"/>
                <w:szCs w:val="21"/>
              </w:rPr>
              <w:t xml:space="preserve"> </w:t>
            </w:r>
            <w:r w:rsidRPr="00E24131">
              <w:rPr>
                <w:rFonts w:hint="eastAsia"/>
                <w:snapToGrid w:val="0"/>
                <w:color w:val="000000"/>
                <w:kern w:val="28"/>
                <w:sz w:val="21"/>
                <w:szCs w:val="21"/>
              </w:rPr>
              <w:t>：新建燃气锅炉和需要采取特别保护措施的区域，执行该排放限值；</w:t>
            </w:r>
          </w:p>
          <w:p w:rsidR="00E24131" w:rsidRDefault="00E24131" w:rsidP="00E24131">
            <w:pPr>
              <w:snapToGrid w:val="0"/>
              <w:spacing w:line="280" w:lineRule="exact"/>
              <w:rPr>
                <w:snapToGrid w:val="0"/>
                <w:color w:val="000000"/>
                <w:kern w:val="28"/>
                <w:sz w:val="21"/>
                <w:szCs w:val="21"/>
              </w:rPr>
            </w:pPr>
            <w:r w:rsidRPr="00E24131">
              <w:rPr>
                <w:rFonts w:hint="eastAsia"/>
                <w:snapToGrid w:val="0"/>
                <w:color w:val="000000"/>
                <w:kern w:val="28"/>
                <w:sz w:val="21"/>
                <w:szCs w:val="21"/>
              </w:rPr>
              <w:t>备注【</w:t>
            </w:r>
            <w:r>
              <w:rPr>
                <w:rFonts w:hint="eastAsia"/>
                <w:snapToGrid w:val="0"/>
                <w:color w:val="000000"/>
                <w:kern w:val="28"/>
                <w:sz w:val="21"/>
                <w:szCs w:val="21"/>
              </w:rPr>
              <w:t>2</w:t>
            </w:r>
            <w:r w:rsidRPr="00E24131">
              <w:rPr>
                <w:rFonts w:hint="eastAsia"/>
                <w:snapToGrid w:val="0"/>
                <w:color w:val="000000"/>
                <w:kern w:val="28"/>
                <w:sz w:val="21"/>
                <w:szCs w:val="21"/>
              </w:rPr>
              <w:t>】</w:t>
            </w:r>
            <w:r w:rsidRPr="00E24131">
              <w:rPr>
                <w:rFonts w:hint="eastAsia"/>
                <w:snapToGrid w:val="0"/>
                <w:color w:val="000000"/>
                <w:kern w:val="28"/>
                <w:sz w:val="21"/>
                <w:szCs w:val="21"/>
              </w:rPr>
              <w:t xml:space="preserve"> </w:t>
            </w:r>
            <w:r w:rsidRPr="00E24131">
              <w:rPr>
                <w:rFonts w:hint="eastAsia"/>
                <w:snapToGrid w:val="0"/>
                <w:color w:val="000000"/>
                <w:kern w:val="28"/>
                <w:sz w:val="21"/>
                <w:szCs w:val="21"/>
              </w:rPr>
              <w:t>：</w:t>
            </w:r>
            <w:r w:rsidRPr="00E24131">
              <w:rPr>
                <w:rFonts w:hint="eastAsia"/>
                <w:snapToGrid w:val="0"/>
                <w:color w:val="000000"/>
                <w:kern w:val="28"/>
                <w:sz w:val="21"/>
                <w:szCs w:val="21"/>
              </w:rPr>
              <w:t xml:space="preserve">2021 </w:t>
            </w:r>
            <w:r w:rsidRPr="00E24131">
              <w:rPr>
                <w:rFonts w:hint="eastAsia"/>
                <w:snapToGrid w:val="0"/>
                <w:color w:val="000000"/>
                <w:kern w:val="28"/>
                <w:sz w:val="21"/>
                <w:szCs w:val="21"/>
              </w:rPr>
              <w:t>年底前可采用国五排放标准的重型载货车辆（不含燃气）；清洁运输方式包含铁路、水路、管道、新能源等。</w:t>
            </w:r>
          </w:p>
        </w:tc>
      </w:tr>
    </w:tbl>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93" w:name="_Toc81934411"/>
      <w:r>
        <w:rPr>
          <w:rFonts w:ascii="Times New Roman" w:eastAsia="宋体" w:hAnsi="Times New Roman"/>
          <w:bCs/>
          <w:szCs w:val="32"/>
        </w:rPr>
        <w:t xml:space="preserve">10.4 </w:t>
      </w:r>
      <w:r>
        <w:rPr>
          <w:rFonts w:ascii="Times New Roman" w:eastAsia="宋体" w:hAnsi="Times New Roman"/>
          <w:bCs/>
          <w:szCs w:val="32"/>
        </w:rPr>
        <w:t>与矿产资源规划的相符性分析</w:t>
      </w:r>
      <w:bookmarkEnd w:id="892"/>
      <w:bookmarkEnd w:id="893"/>
    </w:p>
    <w:p w:rsidR="00240BCE" w:rsidRDefault="00AC0334" w:rsidP="009C5F33">
      <w:pPr>
        <w:adjustRightInd w:val="0"/>
        <w:snapToGrid w:val="0"/>
        <w:spacing w:beforeLines="70" w:afterLines="30"/>
        <w:jc w:val="left"/>
        <w:outlineLvl w:val="2"/>
        <w:rPr>
          <w:rFonts w:eastAsia="楷体"/>
          <w:b/>
          <w:bCs/>
          <w:color w:val="000000"/>
          <w:szCs w:val="28"/>
        </w:rPr>
      </w:pPr>
      <w:r>
        <w:rPr>
          <w:rFonts w:eastAsia="楷体"/>
          <w:b/>
          <w:bCs/>
          <w:color w:val="000000"/>
          <w:szCs w:val="28"/>
        </w:rPr>
        <w:t>10.4.1</w:t>
      </w:r>
      <w:r>
        <w:rPr>
          <w:rFonts w:eastAsia="楷体"/>
          <w:b/>
          <w:bCs/>
          <w:color w:val="000000"/>
          <w:szCs w:val="28"/>
        </w:rPr>
        <w:t>与《河南省矿产资源总体规划（</w:t>
      </w:r>
      <w:r>
        <w:rPr>
          <w:rFonts w:eastAsia="楷体"/>
          <w:b/>
          <w:bCs/>
          <w:color w:val="000000"/>
          <w:szCs w:val="28"/>
        </w:rPr>
        <w:t>2016-2020</w:t>
      </w:r>
      <w:r>
        <w:rPr>
          <w:rFonts w:eastAsia="楷体"/>
          <w:b/>
          <w:bCs/>
          <w:color w:val="000000"/>
          <w:szCs w:val="28"/>
        </w:rPr>
        <w:t>）》的相符性分析</w:t>
      </w:r>
    </w:p>
    <w:p w:rsidR="00240BCE" w:rsidRDefault="00AC0334">
      <w:pPr>
        <w:spacing w:line="520" w:lineRule="exact"/>
        <w:ind w:firstLineChars="200" w:firstLine="480"/>
        <w:rPr>
          <w:color w:val="000000"/>
          <w:sz w:val="24"/>
        </w:rPr>
      </w:pPr>
      <w:r>
        <w:rPr>
          <w:color w:val="000000"/>
          <w:sz w:val="24"/>
        </w:rPr>
        <w:t>1</w:t>
      </w:r>
      <w:r>
        <w:rPr>
          <w:color w:val="000000"/>
          <w:sz w:val="24"/>
        </w:rPr>
        <w:t>、《河南省矿产资源总体规划</w:t>
      </w:r>
      <w:r>
        <w:rPr>
          <w:color w:val="000000"/>
          <w:sz w:val="24"/>
        </w:rPr>
        <w:t>(2016-2020</w:t>
      </w:r>
      <w:r>
        <w:rPr>
          <w:color w:val="000000"/>
          <w:sz w:val="24"/>
        </w:rPr>
        <w:t>年</w:t>
      </w:r>
      <w:r>
        <w:rPr>
          <w:color w:val="000000"/>
          <w:sz w:val="24"/>
        </w:rPr>
        <w:t>)</w:t>
      </w:r>
      <w:r>
        <w:rPr>
          <w:color w:val="000000"/>
          <w:sz w:val="24"/>
        </w:rPr>
        <w:t>》相关的内容摘录如下：</w:t>
      </w:r>
    </w:p>
    <w:p w:rsidR="00240BCE" w:rsidRDefault="00AC0334">
      <w:pPr>
        <w:spacing w:line="520" w:lineRule="exact"/>
        <w:ind w:firstLineChars="200" w:firstLine="480"/>
        <w:rPr>
          <w:color w:val="000000"/>
          <w:sz w:val="24"/>
        </w:rPr>
      </w:pPr>
      <w:r>
        <w:rPr>
          <w:color w:val="000000"/>
          <w:sz w:val="24"/>
        </w:rPr>
        <w:lastRenderedPageBreak/>
        <w:t>（</w:t>
      </w:r>
      <w:r>
        <w:rPr>
          <w:color w:val="000000"/>
          <w:sz w:val="24"/>
        </w:rPr>
        <w:t>1</w:t>
      </w:r>
      <w:r>
        <w:rPr>
          <w:color w:val="000000"/>
          <w:sz w:val="24"/>
        </w:rPr>
        <w:t>）适用年限</w:t>
      </w:r>
    </w:p>
    <w:p w:rsidR="00240BCE" w:rsidRDefault="00AC0334">
      <w:pPr>
        <w:spacing w:line="520" w:lineRule="exact"/>
        <w:ind w:firstLineChars="200" w:firstLine="480"/>
        <w:rPr>
          <w:color w:val="000000"/>
          <w:sz w:val="24"/>
        </w:rPr>
      </w:pPr>
      <w:r>
        <w:rPr>
          <w:color w:val="000000"/>
          <w:sz w:val="24"/>
        </w:rPr>
        <w:t>基期年为</w:t>
      </w:r>
      <w:r>
        <w:rPr>
          <w:color w:val="000000"/>
          <w:sz w:val="24"/>
        </w:rPr>
        <w:t>2015</w:t>
      </w:r>
      <w:r>
        <w:rPr>
          <w:color w:val="000000"/>
          <w:sz w:val="24"/>
        </w:rPr>
        <w:t>年，规划期</w:t>
      </w:r>
      <w:r>
        <w:rPr>
          <w:color w:val="000000"/>
          <w:sz w:val="24"/>
        </w:rPr>
        <w:t>2016-2020</w:t>
      </w:r>
      <w:r>
        <w:rPr>
          <w:color w:val="000000"/>
          <w:sz w:val="24"/>
        </w:rPr>
        <w:t>年，展望到</w:t>
      </w:r>
      <w:r>
        <w:rPr>
          <w:color w:val="000000"/>
          <w:sz w:val="24"/>
        </w:rPr>
        <w:t>2025</w:t>
      </w:r>
      <w:r>
        <w:rPr>
          <w:color w:val="000000"/>
          <w:sz w:val="24"/>
        </w:rPr>
        <w:t>年。</w:t>
      </w:r>
    </w:p>
    <w:p w:rsidR="00240BCE" w:rsidRDefault="00AC0334">
      <w:pPr>
        <w:spacing w:line="520" w:lineRule="exact"/>
        <w:ind w:firstLineChars="200" w:firstLine="480"/>
        <w:rPr>
          <w:color w:val="000000"/>
          <w:sz w:val="24"/>
        </w:rPr>
      </w:pPr>
      <w:r>
        <w:rPr>
          <w:color w:val="000000"/>
          <w:sz w:val="24"/>
        </w:rPr>
        <w:t>（</w:t>
      </w:r>
      <w:r>
        <w:rPr>
          <w:color w:val="000000"/>
          <w:sz w:val="24"/>
        </w:rPr>
        <w:t>2</w:t>
      </w:r>
      <w:r>
        <w:rPr>
          <w:color w:val="000000"/>
          <w:sz w:val="24"/>
        </w:rPr>
        <w:t>）规划目标</w:t>
      </w:r>
    </w:p>
    <w:p w:rsidR="00240BCE" w:rsidRDefault="00AC0334">
      <w:pPr>
        <w:spacing w:line="520" w:lineRule="exact"/>
        <w:ind w:firstLineChars="200" w:firstLine="480"/>
        <w:rPr>
          <w:color w:val="000000"/>
          <w:sz w:val="24"/>
        </w:rPr>
      </w:pPr>
      <w:r>
        <w:rPr>
          <w:color w:val="000000"/>
          <w:sz w:val="24"/>
        </w:rPr>
        <w:t>总体目标：到</w:t>
      </w:r>
      <w:r>
        <w:rPr>
          <w:color w:val="000000"/>
          <w:sz w:val="24"/>
        </w:rPr>
        <w:t>2020</w:t>
      </w:r>
      <w:r>
        <w:rPr>
          <w:color w:val="000000"/>
          <w:sz w:val="24"/>
        </w:rPr>
        <w:t>年，非常规能源、战略性新兴产业矿产及传统优势矿产实现找矿新突破，开发利用布局结构得到进一步优化，节约集约和高效利用水平明显提升，绿色矿山建设全面普及，矿山地质环境根本好转，呈现矿产资源勘查开发与环境保护协调发展新局面。</w:t>
      </w:r>
    </w:p>
    <w:p w:rsidR="00240BCE" w:rsidRDefault="00AC0334">
      <w:pPr>
        <w:spacing w:line="520" w:lineRule="exact"/>
        <w:ind w:firstLineChars="200" w:firstLine="480"/>
        <w:rPr>
          <w:color w:val="000000"/>
          <w:sz w:val="24"/>
        </w:rPr>
      </w:pPr>
      <w:r>
        <w:rPr>
          <w:color w:val="000000"/>
          <w:sz w:val="24"/>
        </w:rPr>
        <w:t>2025</w:t>
      </w:r>
      <w:r>
        <w:rPr>
          <w:color w:val="000000"/>
          <w:sz w:val="24"/>
        </w:rPr>
        <w:t>年展望目标：矿产资源保障和有效供给能力进一步提升</w:t>
      </w:r>
      <w:r>
        <w:rPr>
          <w:rFonts w:hint="eastAsia"/>
          <w:color w:val="000000"/>
          <w:sz w:val="24"/>
        </w:rPr>
        <w:t>，</w:t>
      </w:r>
      <w:r>
        <w:rPr>
          <w:color w:val="000000"/>
          <w:sz w:val="24"/>
        </w:rPr>
        <w:t>稳定开放的矿产资源安全保障体系全面建立</w:t>
      </w:r>
      <w:r>
        <w:rPr>
          <w:rFonts w:hint="eastAsia"/>
          <w:color w:val="000000"/>
          <w:sz w:val="24"/>
        </w:rPr>
        <w:t>，</w:t>
      </w:r>
      <w:r>
        <w:rPr>
          <w:color w:val="000000"/>
          <w:sz w:val="24"/>
        </w:rPr>
        <w:t>矿产资源保护更加有效</w:t>
      </w:r>
      <w:r>
        <w:rPr>
          <w:rFonts w:hint="eastAsia"/>
          <w:color w:val="000000"/>
          <w:sz w:val="24"/>
        </w:rPr>
        <w:t>，</w:t>
      </w:r>
      <w:r>
        <w:rPr>
          <w:color w:val="000000"/>
          <w:sz w:val="24"/>
        </w:rPr>
        <w:t>矿业实现全面转型和绿色发展</w:t>
      </w:r>
      <w:r>
        <w:rPr>
          <w:rFonts w:hint="eastAsia"/>
          <w:color w:val="000000"/>
          <w:sz w:val="24"/>
        </w:rPr>
        <w:t>，</w:t>
      </w:r>
      <w:r>
        <w:rPr>
          <w:color w:val="000000"/>
          <w:sz w:val="24"/>
        </w:rPr>
        <w:t>矿产资源勘查开发与经济社会发展、生态环境保护相协调新格局基本形成。</w:t>
      </w:r>
    </w:p>
    <w:p w:rsidR="00240BCE" w:rsidRDefault="00AC0334">
      <w:pPr>
        <w:spacing w:line="520" w:lineRule="exact"/>
        <w:ind w:firstLineChars="200" w:firstLine="480"/>
        <w:rPr>
          <w:color w:val="000000"/>
          <w:sz w:val="24"/>
        </w:rPr>
      </w:pPr>
      <w:r>
        <w:rPr>
          <w:color w:val="000000"/>
          <w:sz w:val="24"/>
        </w:rPr>
        <w:t>（</w:t>
      </w:r>
      <w:r>
        <w:rPr>
          <w:color w:val="000000"/>
          <w:sz w:val="24"/>
        </w:rPr>
        <w:t>3</w:t>
      </w:r>
      <w:r>
        <w:rPr>
          <w:color w:val="000000"/>
          <w:sz w:val="24"/>
        </w:rPr>
        <w:t>）优势矿产和重点区域发展方向</w:t>
      </w:r>
    </w:p>
    <w:p w:rsidR="00240BCE" w:rsidRDefault="00AC0334">
      <w:pPr>
        <w:spacing w:line="520" w:lineRule="exact"/>
        <w:ind w:firstLineChars="200" w:firstLine="480"/>
        <w:rPr>
          <w:color w:val="000000"/>
          <w:sz w:val="24"/>
        </w:rPr>
      </w:pPr>
      <w:r>
        <w:rPr>
          <w:color w:val="000000"/>
          <w:sz w:val="24"/>
        </w:rPr>
        <w:t>优势矿产勘查开发方向。根据我省优势矿产资源特点和矿业现状，以供给侧结构性改革、提高发展质量和效益为出发点，调整优势矿产勘查开发方向。</w:t>
      </w:r>
    </w:p>
    <w:p w:rsidR="00240BCE" w:rsidRDefault="00AC0334">
      <w:pPr>
        <w:spacing w:line="520" w:lineRule="exact"/>
        <w:ind w:firstLineChars="200" w:firstLine="480"/>
        <w:rPr>
          <w:color w:val="000000"/>
          <w:sz w:val="24"/>
        </w:rPr>
      </w:pPr>
      <w:r>
        <w:rPr>
          <w:color w:val="000000"/>
          <w:sz w:val="24"/>
        </w:rPr>
        <w:t>重点区域差别化协调发展。根据我省矿产资源禀赋和矿业发展布局</w:t>
      </w:r>
      <w:r>
        <w:rPr>
          <w:rFonts w:hint="eastAsia"/>
          <w:color w:val="000000"/>
          <w:sz w:val="24"/>
        </w:rPr>
        <w:t>，</w:t>
      </w:r>
      <w:r>
        <w:rPr>
          <w:color w:val="000000"/>
          <w:sz w:val="24"/>
        </w:rPr>
        <w:t>采取差别化发展方向</w:t>
      </w:r>
      <w:r>
        <w:rPr>
          <w:rFonts w:hint="eastAsia"/>
          <w:color w:val="000000"/>
          <w:sz w:val="24"/>
        </w:rPr>
        <w:t>，</w:t>
      </w:r>
      <w:r>
        <w:rPr>
          <w:color w:val="000000"/>
          <w:sz w:val="24"/>
        </w:rPr>
        <w:t>促进重点区域内矿业的优势互补、协调发展。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6"/>
      </w:tblGrid>
      <w:tr w:rsidR="00240BCE" w:rsidTr="00B86E96">
        <w:tc>
          <w:tcPr>
            <w:tcW w:w="8946" w:type="dxa"/>
            <w:tcBorders>
              <w:top w:val="single" w:sz="4" w:space="0" w:color="auto"/>
              <w:left w:val="single" w:sz="4" w:space="0" w:color="auto"/>
              <w:bottom w:val="single" w:sz="4" w:space="0" w:color="auto"/>
              <w:right w:val="single" w:sz="4" w:space="0" w:color="auto"/>
            </w:tcBorders>
          </w:tcPr>
          <w:p w:rsidR="00240BCE" w:rsidRDefault="00AC0334">
            <w:pPr>
              <w:spacing w:line="340" w:lineRule="exact"/>
              <w:jc w:val="center"/>
              <w:rPr>
                <w:color w:val="000000"/>
                <w:sz w:val="21"/>
                <w:szCs w:val="21"/>
              </w:rPr>
            </w:pPr>
            <w:r>
              <w:rPr>
                <w:color w:val="000000"/>
                <w:sz w:val="24"/>
              </w:rPr>
              <w:br w:type="page"/>
            </w:r>
            <w:r>
              <w:rPr>
                <w:color w:val="000000"/>
                <w:sz w:val="21"/>
                <w:szCs w:val="21"/>
              </w:rPr>
              <w:t>专栏</w:t>
            </w:r>
            <w:r>
              <w:rPr>
                <w:color w:val="000000"/>
                <w:sz w:val="21"/>
                <w:szCs w:val="21"/>
              </w:rPr>
              <w:t xml:space="preserve">3 </w:t>
            </w:r>
            <w:r>
              <w:rPr>
                <w:color w:val="000000"/>
                <w:sz w:val="21"/>
                <w:szCs w:val="21"/>
              </w:rPr>
              <w:t>优势矿产勘查开发方向</w:t>
            </w:r>
          </w:p>
        </w:tc>
      </w:tr>
      <w:tr w:rsidR="00240BCE" w:rsidTr="00B86E96">
        <w:tc>
          <w:tcPr>
            <w:tcW w:w="8946" w:type="dxa"/>
            <w:tcBorders>
              <w:top w:val="single" w:sz="4" w:space="0" w:color="auto"/>
              <w:left w:val="single" w:sz="4" w:space="0" w:color="auto"/>
              <w:bottom w:val="single" w:sz="4" w:space="0" w:color="auto"/>
              <w:right w:val="single" w:sz="4" w:space="0" w:color="auto"/>
            </w:tcBorders>
          </w:tcPr>
          <w:p w:rsidR="00240BCE" w:rsidRDefault="00AC0334">
            <w:pPr>
              <w:spacing w:line="340" w:lineRule="exact"/>
              <w:ind w:firstLineChars="200" w:firstLine="420"/>
              <w:rPr>
                <w:color w:val="000000"/>
                <w:sz w:val="21"/>
                <w:szCs w:val="21"/>
              </w:rPr>
            </w:pPr>
            <w:r>
              <w:rPr>
                <w:color w:val="000000"/>
                <w:sz w:val="21"/>
                <w:szCs w:val="21"/>
              </w:rPr>
              <w:t>1</w:t>
            </w:r>
            <w:r>
              <w:rPr>
                <w:color w:val="000000"/>
                <w:sz w:val="21"/>
                <w:szCs w:val="21"/>
              </w:rPr>
              <w:t>、煤炭：以骨干煤炭企业为主体，优化存量产能，控制新增产能，推进清洁高效、安全集约生产，推动煤炭产业转型升级，巩固河南作为全国煤炭基地的地位。</w:t>
            </w:r>
          </w:p>
          <w:p w:rsidR="00240BCE" w:rsidRDefault="00AC0334">
            <w:pPr>
              <w:spacing w:line="340" w:lineRule="exact"/>
              <w:ind w:firstLineChars="200" w:firstLine="420"/>
              <w:rPr>
                <w:color w:val="000000"/>
                <w:sz w:val="21"/>
                <w:szCs w:val="21"/>
              </w:rPr>
            </w:pPr>
            <w:r>
              <w:rPr>
                <w:color w:val="000000"/>
                <w:sz w:val="21"/>
                <w:szCs w:val="21"/>
              </w:rPr>
              <w:t>2</w:t>
            </w:r>
            <w:r>
              <w:rPr>
                <w:color w:val="000000"/>
                <w:sz w:val="21"/>
                <w:szCs w:val="21"/>
              </w:rPr>
              <w:t>、铝（粘）土矿：加强煤下铝（粘）土矿综合勘查，合理高效利用铝土矿、高铝粘土矿、耐火粘土矿资源，加快突破伴生锂、镓、铷等资源开发利用技术瓶颈，大力发展高附加值产品。</w:t>
            </w:r>
          </w:p>
          <w:p w:rsidR="00240BCE" w:rsidRDefault="00AC0334">
            <w:pPr>
              <w:spacing w:line="340" w:lineRule="exact"/>
              <w:ind w:firstLineChars="200" w:firstLine="420"/>
              <w:rPr>
                <w:color w:val="000000"/>
                <w:sz w:val="21"/>
                <w:szCs w:val="21"/>
              </w:rPr>
            </w:pPr>
            <w:r>
              <w:rPr>
                <w:color w:val="000000"/>
                <w:sz w:val="21"/>
                <w:szCs w:val="21"/>
              </w:rPr>
              <w:t>3</w:t>
            </w:r>
            <w:r>
              <w:rPr>
                <w:color w:val="000000"/>
                <w:sz w:val="21"/>
                <w:szCs w:val="21"/>
              </w:rPr>
              <w:t>、金、银矿：加强主要成矿区带金银多金属矿深部找矿，解决危机矿山的后备资源问题，勘查开发重点地区为小秦岭、崤山、熊耳山和桐柏一大别山地区，积极推动绿色转型发展。</w:t>
            </w:r>
          </w:p>
          <w:p w:rsidR="00240BCE" w:rsidRDefault="00AC0334">
            <w:pPr>
              <w:spacing w:line="340" w:lineRule="exact"/>
              <w:ind w:firstLineChars="200" w:firstLine="420"/>
              <w:rPr>
                <w:color w:val="000000"/>
                <w:sz w:val="21"/>
                <w:szCs w:val="21"/>
              </w:rPr>
            </w:pPr>
            <w:r>
              <w:rPr>
                <w:color w:val="000000"/>
                <w:sz w:val="21"/>
                <w:szCs w:val="21"/>
              </w:rPr>
              <w:t>4</w:t>
            </w:r>
            <w:r>
              <w:rPr>
                <w:color w:val="000000"/>
                <w:sz w:val="21"/>
                <w:szCs w:val="21"/>
              </w:rPr>
              <w:t>、钼、钨矿：加强钨矿勘查，提高钼矿开发准人门槛，推动难选冶钼矿选冶攻关，高效利用共伴生钨、铜、铼等资源，加快发展钨钼新产品。</w:t>
            </w:r>
          </w:p>
          <w:p w:rsidR="00240BCE" w:rsidRDefault="00AC0334">
            <w:pPr>
              <w:spacing w:line="340" w:lineRule="exact"/>
              <w:ind w:firstLineChars="200" w:firstLine="420"/>
              <w:rPr>
                <w:color w:val="000000"/>
                <w:sz w:val="21"/>
                <w:szCs w:val="21"/>
              </w:rPr>
            </w:pPr>
            <w:r>
              <w:rPr>
                <w:color w:val="000000"/>
                <w:sz w:val="21"/>
                <w:szCs w:val="21"/>
              </w:rPr>
              <w:t>5</w:t>
            </w:r>
            <w:r>
              <w:rPr>
                <w:color w:val="000000"/>
                <w:sz w:val="21"/>
                <w:szCs w:val="21"/>
              </w:rPr>
              <w:t>、水泥用灰岩：以规模化、绿色开采为主导，优矿优用，支持优势企业通过兼并重组化解过剩产能，进一步提高产业集中度。</w:t>
            </w:r>
          </w:p>
          <w:p w:rsidR="00240BCE" w:rsidRDefault="00AC0334">
            <w:pPr>
              <w:spacing w:line="340" w:lineRule="exact"/>
              <w:ind w:firstLineChars="200" w:firstLine="420"/>
              <w:rPr>
                <w:color w:val="000000"/>
                <w:sz w:val="21"/>
                <w:szCs w:val="21"/>
              </w:rPr>
            </w:pPr>
            <w:r>
              <w:rPr>
                <w:color w:val="000000"/>
                <w:sz w:val="21"/>
                <w:szCs w:val="21"/>
              </w:rPr>
              <w:t>6</w:t>
            </w:r>
            <w:r>
              <w:rPr>
                <w:color w:val="000000"/>
                <w:sz w:val="21"/>
                <w:szCs w:val="21"/>
              </w:rPr>
              <w:t>、珍珠岩、岩盐：以规模化、集约化、绿色开采为主导，大力发展规模化、系列化的深加工产品和高附加值产品。</w:t>
            </w:r>
          </w:p>
          <w:p w:rsidR="00240BCE" w:rsidRDefault="00AC0334">
            <w:pPr>
              <w:spacing w:line="340" w:lineRule="exact"/>
              <w:ind w:firstLineChars="200" w:firstLine="420"/>
              <w:rPr>
                <w:color w:val="000000"/>
                <w:sz w:val="21"/>
                <w:szCs w:val="21"/>
              </w:rPr>
            </w:pPr>
            <w:r>
              <w:rPr>
                <w:color w:val="000000"/>
                <w:sz w:val="21"/>
                <w:szCs w:val="21"/>
              </w:rPr>
              <w:t>7</w:t>
            </w:r>
            <w:r>
              <w:rPr>
                <w:color w:val="000000"/>
                <w:sz w:val="21"/>
                <w:szCs w:val="21"/>
              </w:rPr>
              <w:t>、非常规天然气：在鹤壁、平顶山、焦作等矿区实施地面煤层气开发项目。加大页岩气和致密气潜力评价与选区工作力度，加快重点区域页岩气和致密气勘查，加强页岩气开发核心技术</w:t>
            </w:r>
            <w:r>
              <w:rPr>
                <w:color w:val="000000"/>
                <w:sz w:val="21"/>
                <w:szCs w:val="21"/>
              </w:rPr>
              <w:lastRenderedPageBreak/>
              <w:t>攻关，争取实现产业化突破。</w:t>
            </w:r>
          </w:p>
          <w:p w:rsidR="00240BCE" w:rsidRDefault="00AC0334">
            <w:pPr>
              <w:spacing w:line="340" w:lineRule="exact"/>
              <w:ind w:firstLineChars="200" w:firstLine="420"/>
              <w:rPr>
                <w:color w:val="000000"/>
                <w:sz w:val="21"/>
                <w:szCs w:val="21"/>
              </w:rPr>
            </w:pPr>
            <w:r>
              <w:rPr>
                <w:color w:val="000000"/>
                <w:sz w:val="21"/>
                <w:szCs w:val="21"/>
              </w:rPr>
              <w:t>8</w:t>
            </w:r>
            <w:r>
              <w:rPr>
                <w:color w:val="000000"/>
                <w:sz w:val="21"/>
                <w:szCs w:val="21"/>
              </w:rPr>
              <w:t>、晶质石墨等战略性新兴产业矿产：合理勘查开发晶质石墨、萤石等，加快突破晶质石墨、</w:t>
            </w:r>
            <w:r>
              <w:rPr>
                <w:color w:val="000000"/>
                <w:sz w:val="21"/>
                <w:szCs w:val="21"/>
              </w:rPr>
              <w:t>“</w:t>
            </w:r>
            <w:r>
              <w:rPr>
                <w:color w:val="000000"/>
                <w:sz w:val="21"/>
                <w:szCs w:val="21"/>
              </w:rPr>
              <w:t>高铝三石</w:t>
            </w:r>
            <w:r>
              <w:rPr>
                <w:color w:val="000000"/>
                <w:sz w:val="21"/>
                <w:szCs w:val="21"/>
              </w:rPr>
              <w:t>”</w:t>
            </w:r>
            <w:r>
              <w:rPr>
                <w:color w:val="000000"/>
                <w:sz w:val="21"/>
                <w:szCs w:val="21"/>
              </w:rPr>
              <w:t>（蓝晶石、红柱石、夕线石）等矿产的开发利用技术瓶颈，争取实现产业化突破，形成新的资源产业。</w:t>
            </w:r>
          </w:p>
        </w:tc>
      </w:tr>
      <w:tr w:rsidR="00240BCE" w:rsidTr="00B86E96">
        <w:tc>
          <w:tcPr>
            <w:tcW w:w="8946" w:type="dxa"/>
            <w:tcBorders>
              <w:top w:val="single" w:sz="4" w:space="0" w:color="auto"/>
              <w:left w:val="single" w:sz="4" w:space="0" w:color="auto"/>
              <w:bottom w:val="single" w:sz="4" w:space="0" w:color="auto"/>
              <w:right w:val="single" w:sz="4" w:space="0" w:color="auto"/>
            </w:tcBorders>
          </w:tcPr>
          <w:p w:rsidR="00240BCE" w:rsidRDefault="00AC0334">
            <w:pPr>
              <w:spacing w:line="340" w:lineRule="exact"/>
              <w:jc w:val="center"/>
              <w:rPr>
                <w:color w:val="000000"/>
                <w:sz w:val="21"/>
                <w:szCs w:val="21"/>
              </w:rPr>
            </w:pPr>
            <w:r>
              <w:rPr>
                <w:color w:val="000000"/>
                <w:sz w:val="21"/>
                <w:szCs w:val="21"/>
              </w:rPr>
              <w:lastRenderedPageBreak/>
              <w:t>专栏</w:t>
            </w:r>
            <w:r>
              <w:rPr>
                <w:color w:val="000000"/>
                <w:sz w:val="21"/>
                <w:szCs w:val="21"/>
              </w:rPr>
              <w:t xml:space="preserve">4   </w:t>
            </w:r>
            <w:r>
              <w:rPr>
                <w:color w:val="000000"/>
                <w:sz w:val="21"/>
                <w:szCs w:val="21"/>
              </w:rPr>
              <w:t>重点区域差别化发展方向</w:t>
            </w:r>
          </w:p>
        </w:tc>
      </w:tr>
      <w:tr w:rsidR="00240BCE" w:rsidTr="00B86E96">
        <w:tc>
          <w:tcPr>
            <w:tcW w:w="8946" w:type="dxa"/>
            <w:tcBorders>
              <w:top w:val="single" w:sz="4" w:space="0" w:color="auto"/>
              <w:left w:val="single" w:sz="4" w:space="0" w:color="auto"/>
              <w:bottom w:val="single" w:sz="4" w:space="0" w:color="auto"/>
              <w:right w:val="single" w:sz="4" w:space="0" w:color="auto"/>
            </w:tcBorders>
          </w:tcPr>
          <w:p w:rsidR="00240BCE" w:rsidRDefault="00AC0334">
            <w:pPr>
              <w:spacing w:line="340" w:lineRule="exact"/>
              <w:ind w:firstLineChars="200" w:firstLine="420"/>
              <w:rPr>
                <w:color w:val="000000"/>
                <w:sz w:val="21"/>
                <w:szCs w:val="21"/>
              </w:rPr>
            </w:pPr>
            <w:r>
              <w:rPr>
                <w:color w:val="000000"/>
                <w:sz w:val="21"/>
                <w:szCs w:val="21"/>
              </w:rPr>
              <w:t>1</w:t>
            </w:r>
            <w:r>
              <w:rPr>
                <w:color w:val="000000"/>
                <w:sz w:val="21"/>
                <w:szCs w:val="21"/>
              </w:rPr>
              <w:t>、安阳一新乡一焦作一济源地区：以调整开发利用结构、降低煤炭产能、煤层气高效利用、石灰岩矿规模化集约化绿色开采为核心，重点发展煤层气、煤化工、煤电、耐材及建材业，打造有全国影响力的鹤壁清洁能源与新材料基地。</w:t>
            </w:r>
          </w:p>
          <w:p w:rsidR="00240BCE" w:rsidRDefault="00AC0334">
            <w:pPr>
              <w:spacing w:line="340" w:lineRule="exact"/>
              <w:ind w:firstLineChars="200" w:firstLine="420"/>
              <w:rPr>
                <w:color w:val="000000"/>
                <w:sz w:val="21"/>
                <w:szCs w:val="21"/>
              </w:rPr>
            </w:pPr>
            <w:r>
              <w:rPr>
                <w:color w:val="000000"/>
                <w:sz w:val="21"/>
                <w:szCs w:val="21"/>
              </w:rPr>
              <w:t>2</w:t>
            </w:r>
            <w:r>
              <w:rPr>
                <w:color w:val="000000"/>
                <w:sz w:val="21"/>
                <w:szCs w:val="21"/>
              </w:rPr>
              <w:t>、濮阳地区：重点发展石油天然气、岩盐、非常规能源开采及后续产业。</w:t>
            </w:r>
          </w:p>
          <w:p w:rsidR="00240BCE" w:rsidRDefault="00AC0334">
            <w:pPr>
              <w:spacing w:line="340" w:lineRule="exact"/>
              <w:ind w:firstLineChars="200" w:firstLine="420"/>
              <w:rPr>
                <w:color w:val="000000"/>
                <w:sz w:val="21"/>
                <w:szCs w:val="21"/>
              </w:rPr>
            </w:pPr>
            <w:r>
              <w:rPr>
                <w:color w:val="000000"/>
                <w:sz w:val="21"/>
                <w:szCs w:val="21"/>
              </w:rPr>
              <w:t>3</w:t>
            </w:r>
            <w:r>
              <w:rPr>
                <w:color w:val="000000"/>
                <w:sz w:val="21"/>
                <w:szCs w:val="21"/>
              </w:rPr>
              <w:t>、陕县一渑池一新安一偃师一禹州地区：稳定煤炭产能，提升铝土矿产能，以煤铝兼探联采、规模化集约化绿色开采为核心，推动煤一电一铝和深加工联合发展，拉长煤电铝、超硬材料、耐材、建材产业链。</w:t>
            </w:r>
          </w:p>
          <w:p w:rsidR="00240BCE" w:rsidRDefault="00AC0334">
            <w:pPr>
              <w:spacing w:line="340" w:lineRule="exact"/>
              <w:ind w:firstLineChars="200" w:firstLine="420"/>
              <w:rPr>
                <w:color w:val="000000"/>
                <w:sz w:val="21"/>
                <w:szCs w:val="21"/>
              </w:rPr>
            </w:pPr>
            <w:r>
              <w:rPr>
                <w:color w:val="000000"/>
                <w:sz w:val="21"/>
                <w:szCs w:val="21"/>
              </w:rPr>
              <w:t>4</w:t>
            </w:r>
            <w:r>
              <w:rPr>
                <w:color w:val="000000"/>
                <w:sz w:val="21"/>
                <w:szCs w:val="21"/>
              </w:rPr>
              <w:t>、开封一商丘一周口地区：加大非常规能源调查评价和勘查开发投入，优选有利区域，力争实现非常规能源勘查开采突破</w:t>
            </w:r>
            <w:r>
              <w:rPr>
                <w:color w:val="000000"/>
                <w:sz w:val="21"/>
                <w:szCs w:val="21"/>
              </w:rPr>
              <w:t>;</w:t>
            </w:r>
            <w:r>
              <w:rPr>
                <w:color w:val="000000"/>
                <w:sz w:val="21"/>
                <w:szCs w:val="21"/>
              </w:rPr>
              <w:t>稳定永夏矿区煤炭产能，重点发展煤电等。</w:t>
            </w:r>
          </w:p>
          <w:p w:rsidR="00240BCE" w:rsidRDefault="00AC0334">
            <w:pPr>
              <w:spacing w:line="340" w:lineRule="exact"/>
              <w:ind w:firstLineChars="200" w:firstLine="420"/>
              <w:rPr>
                <w:color w:val="000000"/>
                <w:sz w:val="21"/>
                <w:szCs w:val="21"/>
              </w:rPr>
            </w:pPr>
            <w:r>
              <w:rPr>
                <w:color w:val="000000"/>
                <w:sz w:val="21"/>
                <w:szCs w:val="21"/>
              </w:rPr>
              <w:t>5</w:t>
            </w:r>
            <w:r>
              <w:rPr>
                <w:color w:val="000000"/>
                <w:sz w:val="21"/>
                <w:szCs w:val="21"/>
              </w:rPr>
              <w:t>、灵宝一卢氏一栾川一洛宁一嵩县一汝阳地区：加强金银铅锌矿、萤石矿勘查，稳定金银铅锌矿产能，重点发展贵金属、有色金属冶炼业、氟化工及矿产品深加工业。</w:t>
            </w:r>
          </w:p>
          <w:p w:rsidR="00240BCE" w:rsidRDefault="00AC0334">
            <w:pPr>
              <w:spacing w:line="340" w:lineRule="exact"/>
              <w:ind w:firstLineChars="200" w:firstLine="420"/>
              <w:rPr>
                <w:color w:val="000000"/>
                <w:sz w:val="21"/>
                <w:szCs w:val="21"/>
              </w:rPr>
            </w:pPr>
            <w:r>
              <w:rPr>
                <w:color w:val="000000"/>
                <w:sz w:val="21"/>
                <w:szCs w:val="21"/>
              </w:rPr>
              <w:t>6</w:t>
            </w:r>
            <w:r>
              <w:rPr>
                <w:color w:val="000000"/>
                <w:sz w:val="21"/>
                <w:szCs w:val="21"/>
              </w:rPr>
              <w:t>、桐柏一信阳地区：加强金银多金属矿、萤石矿勘查，重点发展金银、萤石、天然碱、珍珠岩等采选业及后续加工业。</w:t>
            </w:r>
          </w:p>
          <w:p w:rsidR="00240BCE" w:rsidRDefault="00AC0334">
            <w:pPr>
              <w:spacing w:line="340" w:lineRule="exact"/>
              <w:ind w:firstLineChars="200" w:firstLine="420"/>
              <w:rPr>
                <w:color w:val="000000"/>
                <w:sz w:val="21"/>
                <w:szCs w:val="21"/>
              </w:rPr>
            </w:pPr>
            <w:r>
              <w:rPr>
                <w:color w:val="000000"/>
                <w:sz w:val="21"/>
                <w:szCs w:val="21"/>
              </w:rPr>
              <w:t>7</w:t>
            </w:r>
            <w:r>
              <w:rPr>
                <w:color w:val="000000"/>
                <w:sz w:val="21"/>
                <w:szCs w:val="21"/>
              </w:rPr>
              <w:t>、南阳地区：加强晶质石墨矿勘查，加大对晶质石墨及</w:t>
            </w:r>
            <w:r>
              <w:rPr>
                <w:color w:val="000000"/>
                <w:sz w:val="21"/>
                <w:szCs w:val="21"/>
              </w:rPr>
              <w:t>“</w:t>
            </w:r>
            <w:r>
              <w:rPr>
                <w:color w:val="000000"/>
                <w:sz w:val="21"/>
                <w:szCs w:val="21"/>
              </w:rPr>
              <w:t>高铝三石</w:t>
            </w:r>
            <w:r>
              <w:rPr>
                <w:color w:val="000000"/>
                <w:sz w:val="21"/>
                <w:szCs w:val="21"/>
              </w:rPr>
              <w:t>”</w:t>
            </w:r>
            <w:r>
              <w:rPr>
                <w:color w:val="000000"/>
                <w:sz w:val="21"/>
                <w:szCs w:val="21"/>
              </w:rPr>
              <w:t>等战略性新兴产业矿产采选应用技术突破的投入，重点发展战略性新兴产业矿产、化工非金属矿采选业和后续加工业。</w:t>
            </w:r>
          </w:p>
          <w:p w:rsidR="00240BCE" w:rsidRDefault="00AC0334">
            <w:pPr>
              <w:spacing w:line="340" w:lineRule="exact"/>
              <w:ind w:firstLineChars="200" w:firstLine="420"/>
              <w:rPr>
                <w:color w:val="000000"/>
                <w:sz w:val="21"/>
                <w:szCs w:val="21"/>
              </w:rPr>
            </w:pPr>
            <w:r>
              <w:rPr>
                <w:color w:val="000000"/>
                <w:sz w:val="21"/>
                <w:szCs w:val="21"/>
              </w:rPr>
              <w:t>8</w:t>
            </w:r>
            <w:r>
              <w:rPr>
                <w:color w:val="000000"/>
                <w:sz w:val="21"/>
                <w:szCs w:val="21"/>
              </w:rPr>
              <w:t>、许昌一舞阳地区：稳定铁矿产能，重点发展岩盐开采、盐化工及后续服务业。</w:t>
            </w:r>
          </w:p>
        </w:tc>
      </w:tr>
    </w:tbl>
    <w:p w:rsidR="00240BCE" w:rsidRDefault="00AC0334">
      <w:pPr>
        <w:spacing w:line="520" w:lineRule="exact"/>
        <w:ind w:firstLineChars="200" w:firstLine="480"/>
        <w:rPr>
          <w:color w:val="000000"/>
          <w:sz w:val="24"/>
        </w:rPr>
      </w:pPr>
      <w:r>
        <w:rPr>
          <w:color w:val="000000"/>
          <w:sz w:val="24"/>
        </w:rPr>
        <w:t>（</w:t>
      </w:r>
      <w:r>
        <w:rPr>
          <w:color w:val="000000"/>
          <w:sz w:val="24"/>
        </w:rPr>
        <w:t>4</w:t>
      </w:r>
      <w:r>
        <w:rPr>
          <w:color w:val="000000"/>
          <w:sz w:val="24"/>
        </w:rPr>
        <w:t>）矿产资源开采规划区划分</w:t>
      </w:r>
    </w:p>
    <w:p w:rsidR="00240BCE" w:rsidRDefault="00AC0334">
      <w:pPr>
        <w:spacing w:line="520" w:lineRule="exact"/>
        <w:ind w:firstLineChars="200" w:firstLine="480"/>
        <w:rPr>
          <w:color w:val="000000"/>
          <w:sz w:val="24"/>
        </w:rPr>
      </w:pPr>
      <w:r>
        <w:rPr>
          <w:color w:val="000000"/>
          <w:sz w:val="24"/>
        </w:rPr>
        <w:t>为优化矿产开发布局，合理有序开发矿产资源，促进矿产资源开发与生态环境保护友好协调发展，空间上划分出重点矿区、禁止开采区和限制开采区。</w:t>
      </w:r>
    </w:p>
    <w:p w:rsidR="00240BCE" w:rsidRDefault="00AC0334">
      <w:pPr>
        <w:spacing w:line="520" w:lineRule="exact"/>
        <w:ind w:firstLineChars="200" w:firstLine="480"/>
        <w:rPr>
          <w:color w:val="000000"/>
          <w:sz w:val="24"/>
        </w:rPr>
      </w:pPr>
      <w:r>
        <w:rPr>
          <w:color w:val="000000"/>
          <w:sz w:val="24"/>
        </w:rPr>
        <w:t>①</w:t>
      </w:r>
      <w:r>
        <w:rPr>
          <w:color w:val="000000"/>
          <w:sz w:val="24"/>
        </w:rPr>
        <w:t>重点矿区：将我省重要矿种大型矿区，以及大中型矿区集中分布区划分为</w:t>
      </w:r>
      <w:r>
        <w:rPr>
          <w:color w:val="000000"/>
          <w:sz w:val="24"/>
        </w:rPr>
        <w:t>13</w:t>
      </w:r>
      <w:r>
        <w:rPr>
          <w:color w:val="000000"/>
          <w:sz w:val="24"/>
        </w:rPr>
        <w:t>处重点矿区。分别为陕县一渑池铝土矿重点矿区，新安铝土矿重点矿区，荥阳一巩义铝土矿重点矿区，新密一登封铝土矿重点矿区，小秦岭金矿重点矿区，卢氏钼铁铜多金属矿重点矿区，栾川钼钨铅锌矿重点矿区，熊耳山金银钼矿矿区，汝阳钼铅锌多金属矿重点矿区，桐柏金银多金属矿重点矿区，桐柏安棚天然碱矿重点矿区，信阳上天梯非金属矿重点矿区，叶县一舞阳地区岩盐重点矿区。</w:t>
      </w:r>
    </w:p>
    <w:p w:rsidR="00240BCE" w:rsidRDefault="00AC0334">
      <w:pPr>
        <w:spacing w:line="520" w:lineRule="exact"/>
        <w:ind w:firstLineChars="200" w:firstLine="480"/>
        <w:rPr>
          <w:color w:val="000000"/>
          <w:sz w:val="24"/>
        </w:rPr>
      </w:pPr>
      <w:r>
        <w:rPr>
          <w:color w:val="000000"/>
          <w:sz w:val="24"/>
        </w:rPr>
        <w:t>②</w:t>
      </w:r>
      <w:r>
        <w:rPr>
          <w:color w:val="000000"/>
          <w:sz w:val="24"/>
        </w:rPr>
        <w:t>禁止开采区：非经国务院授权的有关主管部门同意，不得在以下地区开采矿产资源</w:t>
      </w:r>
      <w:r>
        <w:rPr>
          <w:color w:val="000000"/>
          <w:sz w:val="24"/>
        </w:rPr>
        <w:t xml:space="preserve"> </w:t>
      </w:r>
      <w:r>
        <w:rPr>
          <w:color w:val="000000"/>
          <w:sz w:val="24"/>
        </w:rPr>
        <w:t>：港口、机场、国防工程建设设施圈定地区以内；重要工业区、大型水利工</w:t>
      </w:r>
      <w:r>
        <w:rPr>
          <w:color w:val="000000"/>
          <w:sz w:val="24"/>
        </w:rPr>
        <w:lastRenderedPageBreak/>
        <w:t>程设施、城镇市政工程设施附近一定距离以内；铁路、重要公路两侧一定距离以内；重要河流、堤坝两侧一定距离以内；国家划定的自然保护区、重要风景名胜区，国家重点保护的不能移动的历史文物和名胜古迹所在地；国家规定不得开采矿产资源的其他区域。</w:t>
      </w:r>
    </w:p>
    <w:p w:rsidR="00240BCE" w:rsidRDefault="00AC0334">
      <w:pPr>
        <w:spacing w:line="520" w:lineRule="exact"/>
        <w:ind w:firstLineChars="200" w:firstLine="480"/>
        <w:rPr>
          <w:color w:val="000000"/>
          <w:sz w:val="24"/>
        </w:rPr>
      </w:pPr>
      <w:r>
        <w:rPr>
          <w:color w:val="000000"/>
          <w:sz w:val="24"/>
        </w:rPr>
        <w:t>禁止在自然保护区内从事采矿活动。对自然保护区内已有探矿权和采矿权，在维护矿业权人合法权益的前提下，依法有序退出。</w:t>
      </w:r>
    </w:p>
    <w:p w:rsidR="00240BCE" w:rsidRDefault="00AC0334">
      <w:pPr>
        <w:spacing w:line="520" w:lineRule="exact"/>
        <w:ind w:firstLineChars="200" w:firstLine="480"/>
        <w:rPr>
          <w:color w:val="000000"/>
          <w:sz w:val="24"/>
        </w:rPr>
      </w:pPr>
      <w:r>
        <w:rPr>
          <w:color w:val="000000"/>
          <w:sz w:val="24"/>
        </w:rPr>
        <w:t>③</w:t>
      </w:r>
      <w:r>
        <w:rPr>
          <w:color w:val="000000"/>
          <w:sz w:val="24"/>
        </w:rPr>
        <w:t>限制开采区：国家、省级生态公益林，省级森林公园的集体林范围，国家、省级地质公园内地质遗迹保护区之外的区域；目前开采技术经济条件不成熟的限制开采区</w:t>
      </w:r>
      <w:r>
        <w:rPr>
          <w:color w:val="000000"/>
          <w:sz w:val="24"/>
        </w:rPr>
        <w:t>4</w:t>
      </w:r>
      <w:r>
        <w:rPr>
          <w:color w:val="000000"/>
          <w:sz w:val="24"/>
        </w:rPr>
        <w:t>处，方城县罗庄等金红石矿区、新县杨冲金红石矿区、新县红昱金红石矿区和西峡县八庙金红石矿区；开采可能会对环境产生一定影响的</w:t>
      </w:r>
      <w:r>
        <w:rPr>
          <w:color w:val="000000"/>
          <w:sz w:val="24"/>
        </w:rPr>
        <w:t>2</w:t>
      </w:r>
      <w:r>
        <w:rPr>
          <w:color w:val="000000"/>
          <w:sz w:val="24"/>
        </w:rPr>
        <w:t>处，淅川县下集砂金矿区和嵩县高都川砂金矿区。</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240BCE" w:rsidTr="00326173">
        <w:tc>
          <w:tcPr>
            <w:tcW w:w="9360" w:type="dxa"/>
            <w:tcBorders>
              <w:top w:val="single" w:sz="4" w:space="0" w:color="auto"/>
              <w:left w:val="single" w:sz="4" w:space="0" w:color="auto"/>
              <w:bottom w:val="single" w:sz="4" w:space="0" w:color="auto"/>
              <w:right w:val="single" w:sz="4" w:space="0" w:color="auto"/>
            </w:tcBorders>
          </w:tcPr>
          <w:p w:rsidR="00240BCE" w:rsidRDefault="00AC0334" w:rsidP="00326173">
            <w:pPr>
              <w:spacing w:line="340" w:lineRule="exact"/>
              <w:jc w:val="center"/>
              <w:rPr>
                <w:color w:val="000000"/>
                <w:sz w:val="21"/>
                <w:szCs w:val="21"/>
              </w:rPr>
            </w:pPr>
            <w:r>
              <w:rPr>
                <w:color w:val="000000"/>
                <w:sz w:val="21"/>
                <w:szCs w:val="21"/>
              </w:rPr>
              <w:t>专栏</w:t>
            </w:r>
            <w:r>
              <w:rPr>
                <w:color w:val="000000"/>
                <w:sz w:val="21"/>
                <w:szCs w:val="21"/>
              </w:rPr>
              <w:t xml:space="preserve">11  </w:t>
            </w:r>
            <w:r>
              <w:rPr>
                <w:color w:val="000000"/>
                <w:sz w:val="21"/>
                <w:szCs w:val="21"/>
              </w:rPr>
              <w:t>具有生态环境保护功能的禁止开采区</w:t>
            </w:r>
          </w:p>
        </w:tc>
      </w:tr>
      <w:tr w:rsidR="00240BCE" w:rsidTr="00326173">
        <w:tc>
          <w:tcPr>
            <w:tcW w:w="9360" w:type="dxa"/>
            <w:tcBorders>
              <w:top w:val="single" w:sz="4" w:space="0" w:color="auto"/>
              <w:left w:val="single" w:sz="4" w:space="0" w:color="auto"/>
              <w:bottom w:val="single" w:sz="4" w:space="0" w:color="auto"/>
              <w:right w:val="single" w:sz="4" w:space="0" w:color="auto"/>
            </w:tcBorders>
          </w:tcPr>
          <w:p w:rsidR="00240BCE" w:rsidRDefault="00AC0334" w:rsidP="00326173">
            <w:pPr>
              <w:spacing w:line="340" w:lineRule="exact"/>
              <w:ind w:firstLineChars="200" w:firstLine="420"/>
              <w:rPr>
                <w:color w:val="000000"/>
                <w:sz w:val="21"/>
                <w:szCs w:val="21"/>
              </w:rPr>
            </w:pPr>
            <w:r>
              <w:rPr>
                <w:color w:val="000000"/>
                <w:sz w:val="21"/>
                <w:szCs w:val="21"/>
              </w:rPr>
              <w:t>1</w:t>
            </w:r>
            <w:r>
              <w:rPr>
                <w:color w:val="000000"/>
                <w:sz w:val="21"/>
                <w:szCs w:val="21"/>
              </w:rPr>
              <w:t>、自然保护区：宝天曼、鸡公山、新乡黄河湿地鸟类、伏牛山、太行山猕猴、河南董寨、河南黄河湿地、南阳恐龙蛋化石群、河南连康山、河南小秦岭、河南大别山、桐柏高乐山、河南丹江湿地等国家级自然保护区；卢氏大鲵、桐柏太白顶、西峡大鲵、开封柳园口湿地、内乡县湍河湿地、汝南宿鸭湖湿地、新安青要山、淮滨淮南湿地、信阳天目山、林州万宝山、信阳黄缘闭壳龟、信阳四望山、郑州黄河湿地、洛阳熊耳山、濮阳黄河湿地、固始淮河湿地、平顶山白龟山湿地等省级自然保护区。</w:t>
            </w:r>
          </w:p>
          <w:p w:rsidR="00240BCE" w:rsidRDefault="00AC0334" w:rsidP="00326173">
            <w:pPr>
              <w:spacing w:line="340" w:lineRule="exact"/>
              <w:ind w:firstLineChars="200" w:firstLine="420"/>
              <w:rPr>
                <w:color w:val="000000"/>
                <w:sz w:val="21"/>
                <w:szCs w:val="21"/>
              </w:rPr>
            </w:pPr>
            <w:r>
              <w:rPr>
                <w:color w:val="000000"/>
                <w:sz w:val="21"/>
                <w:szCs w:val="21"/>
              </w:rPr>
              <w:t>2</w:t>
            </w:r>
            <w:r>
              <w:rPr>
                <w:color w:val="000000"/>
                <w:sz w:val="21"/>
                <w:szCs w:val="21"/>
              </w:rPr>
              <w:t>、风景名胜区：嵩山、鸡公山、洛阳龙门、王屋山、云台山、尧山、林虑山、神农山、环翠峪、五龙口、黄河、白云山、嵩县天池山、青天河、桐柏淮源、铜山、老君山鸡冠洞、昭平湖、辉县百泉、薄山湖、云梦山、丹江、南湾湖、亚武山、大伾山、浮戏山一雪花洞、灵山、青龙峡、雷震山、淮阳羲皇故都、新密黄帝宫、商丘睢阳古城、新安青要山、遂平嵖岈山、沙澧河等风景名胜区。</w:t>
            </w:r>
          </w:p>
          <w:p w:rsidR="00240BCE" w:rsidRDefault="00AC0334" w:rsidP="00326173">
            <w:pPr>
              <w:spacing w:line="340" w:lineRule="exact"/>
              <w:ind w:firstLineChars="200" w:firstLine="420"/>
              <w:rPr>
                <w:color w:val="000000"/>
                <w:sz w:val="21"/>
                <w:szCs w:val="21"/>
              </w:rPr>
            </w:pPr>
            <w:r>
              <w:rPr>
                <w:color w:val="000000"/>
                <w:sz w:val="21"/>
                <w:szCs w:val="21"/>
              </w:rPr>
              <w:t>3</w:t>
            </w:r>
            <w:r>
              <w:rPr>
                <w:color w:val="000000"/>
                <w:sz w:val="21"/>
                <w:szCs w:val="21"/>
              </w:rPr>
              <w:t>、地质公园内地质遗迹保护区：嵩山、焦作云台山、内乡宝天曼、王屋山、西峡伏牛山、嵖岈山、郑州黄河、关山、洛宁神灵寨、黛眉山、信阳金刚台、小秦岭、红旗渠</w:t>
            </w:r>
            <w:r>
              <w:rPr>
                <w:color w:val="000000"/>
                <w:sz w:val="21"/>
                <w:szCs w:val="21"/>
              </w:rPr>
              <w:t>·</w:t>
            </w:r>
            <w:r>
              <w:rPr>
                <w:color w:val="000000"/>
                <w:sz w:val="21"/>
                <w:szCs w:val="21"/>
              </w:rPr>
              <w:t>林虑山、汝阳恐龙、尧山等国家地质公园；卢氏玉皇山、沁阳神农山、邓州杏山、汝州大红寨、桐柏山、栾川、嵩县白云山、卫辉跑马岭、渑池韶山、唐河凤山、新县大别山、永城芒砀山、宜阳花果山、固始西九华山、禹州华夏植物群、林州万宝山、淮阳龙湖等省级地质公园。</w:t>
            </w:r>
          </w:p>
          <w:p w:rsidR="00240BCE" w:rsidRDefault="00AC0334" w:rsidP="00326173">
            <w:pPr>
              <w:spacing w:line="340" w:lineRule="exact"/>
              <w:ind w:firstLineChars="200" w:firstLine="420"/>
              <w:rPr>
                <w:color w:val="000000"/>
                <w:sz w:val="21"/>
                <w:szCs w:val="21"/>
              </w:rPr>
            </w:pPr>
            <w:r>
              <w:rPr>
                <w:color w:val="000000"/>
                <w:sz w:val="21"/>
                <w:szCs w:val="21"/>
              </w:rPr>
              <w:t>4</w:t>
            </w:r>
            <w:r>
              <w:rPr>
                <w:color w:val="000000"/>
                <w:sz w:val="21"/>
                <w:szCs w:val="21"/>
              </w:rPr>
              <w:t>、森林公园、湿地公园：国家级、省级湿地公园保护范围；国家森林公园范围、省级森林公园的国有林范围。</w:t>
            </w:r>
          </w:p>
          <w:p w:rsidR="00240BCE" w:rsidRDefault="00AC0334" w:rsidP="00326173">
            <w:pPr>
              <w:spacing w:line="340" w:lineRule="exact"/>
              <w:ind w:firstLineChars="200" w:firstLine="420"/>
              <w:rPr>
                <w:color w:val="000000"/>
                <w:sz w:val="21"/>
                <w:szCs w:val="21"/>
              </w:rPr>
            </w:pPr>
            <w:r>
              <w:rPr>
                <w:color w:val="000000"/>
                <w:sz w:val="21"/>
                <w:szCs w:val="21"/>
              </w:rPr>
              <w:t>5</w:t>
            </w:r>
            <w:r>
              <w:rPr>
                <w:color w:val="000000"/>
                <w:sz w:val="21"/>
                <w:szCs w:val="21"/>
              </w:rPr>
              <w:t>、文化遗产：各级文物保护单位的文物保护范围。</w:t>
            </w:r>
          </w:p>
          <w:p w:rsidR="00240BCE" w:rsidRDefault="00AC0334" w:rsidP="00326173">
            <w:pPr>
              <w:spacing w:line="340" w:lineRule="exact"/>
              <w:ind w:firstLineChars="200" w:firstLine="420"/>
              <w:rPr>
                <w:color w:val="000000"/>
                <w:sz w:val="21"/>
                <w:szCs w:val="21"/>
              </w:rPr>
            </w:pPr>
            <w:r>
              <w:rPr>
                <w:color w:val="000000"/>
                <w:sz w:val="21"/>
                <w:szCs w:val="21"/>
              </w:rPr>
              <w:t>6</w:t>
            </w:r>
            <w:r>
              <w:rPr>
                <w:color w:val="000000"/>
                <w:sz w:val="21"/>
                <w:szCs w:val="21"/>
              </w:rPr>
              <w:t>、饮用水水源保护区：饮用水水源保护区（包括地下水饮用水水源保护区）的一级保护区和二级保护区。</w:t>
            </w:r>
          </w:p>
          <w:p w:rsidR="00240BCE" w:rsidRDefault="00AC0334" w:rsidP="00326173">
            <w:pPr>
              <w:spacing w:line="340" w:lineRule="exact"/>
              <w:ind w:firstLineChars="200" w:firstLine="420"/>
              <w:rPr>
                <w:color w:val="000000"/>
                <w:sz w:val="21"/>
                <w:szCs w:val="21"/>
              </w:rPr>
            </w:pPr>
            <w:r>
              <w:rPr>
                <w:color w:val="000000"/>
                <w:sz w:val="21"/>
                <w:szCs w:val="21"/>
              </w:rPr>
              <w:t>7</w:t>
            </w:r>
            <w:r>
              <w:rPr>
                <w:color w:val="000000"/>
                <w:sz w:val="21"/>
                <w:szCs w:val="21"/>
              </w:rPr>
              <w:t>、国家规定的其他不得开采矿产的区域：重要城镇、重要基础设施、重要交通干道等。</w:t>
            </w:r>
          </w:p>
        </w:tc>
      </w:tr>
    </w:tbl>
    <w:p w:rsidR="00240BCE" w:rsidRDefault="00AC0334">
      <w:pPr>
        <w:spacing w:line="520" w:lineRule="exact"/>
        <w:ind w:firstLineChars="200" w:firstLine="480"/>
        <w:rPr>
          <w:color w:val="000000"/>
          <w:sz w:val="24"/>
        </w:rPr>
      </w:pPr>
      <w:r>
        <w:rPr>
          <w:color w:val="000000"/>
          <w:sz w:val="24"/>
        </w:rPr>
        <w:lastRenderedPageBreak/>
        <w:t>（</w:t>
      </w:r>
      <w:r>
        <w:rPr>
          <w:color w:val="000000"/>
          <w:sz w:val="24"/>
        </w:rPr>
        <w:t>5</w:t>
      </w:r>
      <w:r>
        <w:rPr>
          <w:color w:val="000000"/>
          <w:sz w:val="24"/>
        </w:rPr>
        <w:t>）开发准入管理</w:t>
      </w:r>
    </w:p>
    <w:p w:rsidR="00240BCE" w:rsidRDefault="00AC0334">
      <w:pPr>
        <w:spacing w:line="520" w:lineRule="exact"/>
        <w:ind w:firstLineChars="200" w:firstLine="480"/>
        <w:rPr>
          <w:color w:val="000000"/>
          <w:sz w:val="24"/>
        </w:rPr>
      </w:pPr>
      <w:r>
        <w:rPr>
          <w:color w:val="000000"/>
          <w:sz w:val="24"/>
        </w:rPr>
        <w:t>严格执行新建矿山最低开采规模和最低服务年限要求。矿山开采规模必须与矿山所占有的矿产资源储量规模相适应。新建大中型矿山开采规模不得低于相应矿山最低开采规模；新建小型矿山开采规模和服务年限不得低于相应矿山最低开采规模和最低服务年限。鼓励老矿山通过整合、提升规模达到相应矿山最低开采规模要求。</w:t>
      </w:r>
    </w:p>
    <w:tbl>
      <w:tblPr>
        <w:tblW w:w="9129" w:type="dxa"/>
        <w:jc w:val="center"/>
        <w:tblLayout w:type="fixed"/>
        <w:tblCellMar>
          <w:left w:w="28" w:type="dxa"/>
          <w:right w:w="28" w:type="dxa"/>
        </w:tblCellMar>
        <w:tblLook w:val="04A0"/>
      </w:tblPr>
      <w:tblGrid>
        <w:gridCol w:w="763"/>
        <w:gridCol w:w="2442"/>
        <w:gridCol w:w="1591"/>
        <w:gridCol w:w="984"/>
        <w:gridCol w:w="984"/>
        <w:gridCol w:w="985"/>
        <w:gridCol w:w="1380"/>
      </w:tblGrid>
      <w:tr w:rsidR="00240BCE">
        <w:trPr>
          <w:jc w:val="center"/>
        </w:trPr>
        <w:tc>
          <w:tcPr>
            <w:tcW w:w="9129" w:type="dxa"/>
            <w:gridSpan w:val="7"/>
            <w:tcBorders>
              <w:top w:val="single" w:sz="4" w:space="0" w:color="auto"/>
              <w:left w:val="single" w:sz="4" w:space="0" w:color="000000"/>
              <w:bottom w:val="nil"/>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专栏</w:t>
            </w:r>
            <w:r>
              <w:rPr>
                <w:sz w:val="21"/>
                <w:szCs w:val="21"/>
              </w:rPr>
              <w:t xml:space="preserve">12   </w:t>
            </w:r>
            <w:r>
              <w:rPr>
                <w:sz w:val="21"/>
                <w:szCs w:val="21"/>
              </w:rPr>
              <w:t>新建矿产最低开采规模和最低服务年限设计标准</w:t>
            </w:r>
          </w:p>
        </w:tc>
      </w:tr>
      <w:tr w:rsidR="00240BCE">
        <w:trPr>
          <w:jc w:val="center"/>
        </w:trPr>
        <w:tc>
          <w:tcPr>
            <w:tcW w:w="763" w:type="dxa"/>
            <w:vMerge w:val="restart"/>
            <w:tcBorders>
              <w:top w:val="single" w:sz="4" w:space="0" w:color="auto"/>
              <w:left w:val="single" w:sz="4" w:space="0" w:color="000000"/>
              <w:bottom w:val="nil"/>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序号</w:t>
            </w:r>
          </w:p>
        </w:tc>
        <w:tc>
          <w:tcPr>
            <w:tcW w:w="2442" w:type="dxa"/>
            <w:vMerge w:val="restart"/>
            <w:tcBorders>
              <w:top w:val="single" w:sz="4" w:space="0" w:color="auto"/>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矿产名称</w:t>
            </w:r>
          </w:p>
        </w:tc>
        <w:tc>
          <w:tcPr>
            <w:tcW w:w="1591" w:type="dxa"/>
            <w:vMerge w:val="restart"/>
            <w:tcBorders>
              <w:top w:val="single" w:sz="4" w:space="0" w:color="000000"/>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单位</w:t>
            </w:r>
            <w:r>
              <w:rPr>
                <w:sz w:val="21"/>
                <w:szCs w:val="21"/>
              </w:rPr>
              <w:t>/</w:t>
            </w:r>
            <w:r>
              <w:rPr>
                <w:sz w:val="21"/>
                <w:szCs w:val="21"/>
              </w:rPr>
              <w:t>年</w:t>
            </w:r>
          </w:p>
        </w:tc>
        <w:tc>
          <w:tcPr>
            <w:tcW w:w="2953" w:type="dxa"/>
            <w:gridSpan w:val="3"/>
            <w:tcBorders>
              <w:top w:val="single" w:sz="4" w:space="0" w:color="000000"/>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最低开采规模标准</w:t>
            </w:r>
          </w:p>
        </w:tc>
        <w:tc>
          <w:tcPr>
            <w:tcW w:w="1380" w:type="dxa"/>
            <w:tcBorders>
              <w:top w:val="single" w:sz="4" w:space="0" w:color="000000"/>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最低服务年限</w:t>
            </w:r>
          </w:p>
        </w:tc>
      </w:tr>
      <w:tr w:rsidR="00240BCE" w:rsidTr="00326173">
        <w:trPr>
          <w:jc w:val="center"/>
        </w:trPr>
        <w:tc>
          <w:tcPr>
            <w:tcW w:w="763" w:type="dxa"/>
            <w:vMerge/>
            <w:tcBorders>
              <w:top w:val="single" w:sz="4" w:space="0" w:color="auto"/>
              <w:left w:val="single" w:sz="4" w:space="0" w:color="000000"/>
              <w:bottom w:val="nil"/>
              <w:right w:val="single" w:sz="4" w:space="0" w:color="000000"/>
            </w:tcBorders>
            <w:shd w:val="clear" w:color="auto" w:fill="auto"/>
            <w:vAlign w:val="center"/>
          </w:tcPr>
          <w:p w:rsidR="00240BCE" w:rsidRDefault="00240BCE">
            <w:pPr>
              <w:widowControl/>
              <w:jc w:val="left"/>
              <w:rPr>
                <w:sz w:val="21"/>
                <w:szCs w:val="21"/>
              </w:rPr>
            </w:pPr>
          </w:p>
        </w:tc>
        <w:tc>
          <w:tcPr>
            <w:tcW w:w="2442" w:type="dxa"/>
            <w:vMerge/>
            <w:tcBorders>
              <w:top w:val="single" w:sz="4" w:space="0" w:color="auto"/>
              <w:left w:val="nil"/>
              <w:bottom w:val="single" w:sz="4" w:space="0" w:color="000000"/>
              <w:right w:val="single" w:sz="4" w:space="0" w:color="000000"/>
            </w:tcBorders>
            <w:shd w:val="clear" w:color="auto" w:fill="auto"/>
            <w:vAlign w:val="center"/>
          </w:tcPr>
          <w:p w:rsidR="00240BCE" w:rsidRDefault="00240BCE">
            <w:pPr>
              <w:widowControl/>
              <w:jc w:val="left"/>
              <w:rPr>
                <w:sz w:val="21"/>
                <w:szCs w:val="21"/>
              </w:rPr>
            </w:pPr>
          </w:p>
        </w:tc>
        <w:tc>
          <w:tcPr>
            <w:tcW w:w="1591" w:type="dxa"/>
            <w:vMerge/>
            <w:tcBorders>
              <w:top w:val="single" w:sz="4" w:space="0" w:color="000000"/>
              <w:left w:val="nil"/>
              <w:bottom w:val="single" w:sz="4" w:space="0" w:color="000000"/>
              <w:right w:val="single" w:sz="4" w:space="0" w:color="000000"/>
            </w:tcBorders>
            <w:shd w:val="clear" w:color="auto" w:fill="auto"/>
            <w:vAlign w:val="center"/>
          </w:tcPr>
          <w:p w:rsidR="00240BCE" w:rsidRDefault="00240BCE">
            <w:pPr>
              <w:widowControl/>
              <w:jc w:val="left"/>
              <w:rPr>
                <w:sz w:val="21"/>
                <w:szCs w:val="21"/>
              </w:rPr>
            </w:pP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大型</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中型</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小型</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小型</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煤炭（地下）</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原煤万吨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120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60/90</w:t>
            </w:r>
          </w:p>
        </w:tc>
        <w:tc>
          <w:tcPr>
            <w:tcW w:w="985"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c>
          <w:tcPr>
            <w:tcW w:w="1380"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2</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铁矿（地下</w:t>
            </w:r>
            <w:r>
              <w:rPr>
                <w:sz w:val="21"/>
                <w:szCs w:val="21"/>
              </w:rPr>
              <w:t>/</w:t>
            </w:r>
            <w:r>
              <w:rPr>
                <w:sz w:val="21"/>
                <w:szCs w:val="21"/>
              </w:rPr>
              <w:t>露天）</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100/200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30/60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10/20</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6</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铜矿</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4</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锰矿</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c>
          <w:tcPr>
            <w:tcW w:w="985"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c>
          <w:tcPr>
            <w:tcW w:w="1380"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铅矿</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6</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锌矿</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r>
      <w:tr w:rsidR="00240BCE">
        <w:trPr>
          <w:jc w:val="center"/>
        </w:trPr>
        <w:tc>
          <w:tcPr>
            <w:tcW w:w="763" w:type="dxa"/>
            <w:vMerge w:val="restart"/>
            <w:tcBorders>
              <w:top w:val="nil"/>
              <w:left w:val="single" w:sz="4" w:space="0" w:color="000000"/>
              <w:bottom w:val="nil"/>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7</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铝土矿（露天）</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r>
      <w:tr w:rsidR="00240BCE" w:rsidTr="00326173">
        <w:trPr>
          <w:jc w:val="center"/>
        </w:trPr>
        <w:tc>
          <w:tcPr>
            <w:tcW w:w="763" w:type="dxa"/>
            <w:vMerge/>
            <w:tcBorders>
              <w:top w:val="nil"/>
              <w:left w:val="single" w:sz="4" w:space="0" w:color="000000"/>
              <w:bottom w:val="nil"/>
              <w:right w:val="single" w:sz="4" w:space="0" w:color="000000"/>
            </w:tcBorders>
            <w:shd w:val="clear" w:color="auto" w:fill="auto"/>
            <w:vAlign w:val="center"/>
          </w:tcPr>
          <w:p w:rsidR="00240BCE" w:rsidRDefault="00240BCE">
            <w:pPr>
              <w:widowControl/>
              <w:jc w:val="left"/>
              <w:rPr>
                <w:sz w:val="21"/>
                <w:szCs w:val="21"/>
              </w:rPr>
            </w:pP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铝土矿（地下）</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5"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c>
          <w:tcPr>
            <w:tcW w:w="1380"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8</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钼矿</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5"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c>
          <w:tcPr>
            <w:tcW w:w="1380"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9</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锑矿</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金矿（岩金）</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15</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6</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6</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11</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银矿</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20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r>
      <w:tr w:rsidR="00240BCE">
        <w:trPr>
          <w:jc w:val="center"/>
        </w:trPr>
        <w:tc>
          <w:tcPr>
            <w:tcW w:w="763" w:type="dxa"/>
            <w:vMerge w:val="restart"/>
            <w:tcBorders>
              <w:top w:val="nil"/>
              <w:left w:val="single" w:sz="4" w:space="0" w:color="000000"/>
              <w:bottom w:val="nil"/>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12</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硫铁矿</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20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r>
      <w:tr w:rsidR="00240BCE" w:rsidTr="00326173">
        <w:trPr>
          <w:jc w:val="center"/>
        </w:trPr>
        <w:tc>
          <w:tcPr>
            <w:tcW w:w="763" w:type="dxa"/>
            <w:vMerge/>
            <w:tcBorders>
              <w:top w:val="nil"/>
              <w:left w:val="single" w:sz="4" w:space="0" w:color="000000"/>
              <w:bottom w:val="nil"/>
              <w:right w:val="single" w:sz="4" w:space="0" w:color="000000"/>
            </w:tcBorders>
            <w:shd w:val="clear" w:color="auto" w:fill="auto"/>
            <w:vAlign w:val="center"/>
          </w:tcPr>
          <w:p w:rsidR="00240BCE" w:rsidRDefault="00240BCE">
            <w:pPr>
              <w:widowControl/>
              <w:jc w:val="left"/>
              <w:rPr>
                <w:sz w:val="21"/>
                <w:szCs w:val="21"/>
              </w:rPr>
            </w:pP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硫铁矿（与煤矿共伴生）</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5"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c>
          <w:tcPr>
            <w:tcW w:w="1380"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13</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萤石</w:t>
            </w:r>
            <w:r>
              <w:rPr>
                <w:sz w:val="21"/>
                <w:szCs w:val="21"/>
              </w:rPr>
              <w:t>(CaF2)</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8</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14</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石膏</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5"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c>
          <w:tcPr>
            <w:tcW w:w="1380" w:type="dxa"/>
            <w:tcBorders>
              <w:top w:val="nil"/>
              <w:left w:val="nil"/>
              <w:bottom w:val="single" w:sz="4" w:space="0" w:color="000000"/>
              <w:right w:val="single" w:sz="4" w:space="0" w:color="000000"/>
            </w:tcBorders>
            <w:shd w:val="clear" w:color="auto" w:fill="FFFFFF"/>
            <w:vAlign w:val="center"/>
          </w:tcPr>
          <w:p w:rsidR="00240BCE" w:rsidRDefault="00240BCE">
            <w:pPr>
              <w:widowControl/>
              <w:spacing w:line="320" w:lineRule="exact"/>
              <w:jc w:val="center"/>
              <w:rPr>
                <w:sz w:val="21"/>
                <w:szCs w:val="21"/>
              </w:rPr>
            </w:pP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15</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高岭土</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16</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晶质石墨</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矿物</w:t>
            </w:r>
            <w:r>
              <w:rPr>
                <w:sz w:val="21"/>
                <w:szCs w:val="21"/>
              </w:rPr>
              <w:t>/</w:t>
            </w: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1/10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0.6/8</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0.3/5</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17</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水泥用灰岩</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18</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建筑石料</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19</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冶金用石英岩</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60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20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20</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玻璃用石英岩</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30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21</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耐火粘土</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20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5</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r>
      <w:tr w:rsidR="00240BCE">
        <w:trPr>
          <w:jc w:val="center"/>
        </w:trPr>
        <w:tc>
          <w:tcPr>
            <w:tcW w:w="763" w:type="dxa"/>
            <w:tcBorders>
              <w:top w:val="nil"/>
              <w:left w:val="single" w:sz="4" w:space="0" w:color="000000"/>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22</w:t>
            </w:r>
          </w:p>
        </w:tc>
        <w:tc>
          <w:tcPr>
            <w:tcW w:w="2442"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岩盐</w:t>
            </w:r>
          </w:p>
        </w:tc>
        <w:tc>
          <w:tcPr>
            <w:tcW w:w="1591"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矿石万吨</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20</w:t>
            </w:r>
          </w:p>
        </w:tc>
        <w:tc>
          <w:tcPr>
            <w:tcW w:w="984"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15</w:t>
            </w:r>
          </w:p>
        </w:tc>
        <w:tc>
          <w:tcPr>
            <w:tcW w:w="985"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c>
          <w:tcPr>
            <w:tcW w:w="1380" w:type="dxa"/>
            <w:tcBorders>
              <w:top w:val="nil"/>
              <w:left w:val="nil"/>
              <w:bottom w:val="single" w:sz="4" w:space="0" w:color="000000"/>
              <w:right w:val="single" w:sz="4" w:space="0" w:color="000000"/>
            </w:tcBorders>
            <w:shd w:val="clear" w:color="auto" w:fill="FFFFFF"/>
            <w:vAlign w:val="center"/>
          </w:tcPr>
          <w:p w:rsidR="00240BCE" w:rsidRDefault="00AC0334">
            <w:pPr>
              <w:widowControl/>
              <w:spacing w:line="320" w:lineRule="exact"/>
              <w:jc w:val="center"/>
              <w:rPr>
                <w:sz w:val="21"/>
                <w:szCs w:val="21"/>
              </w:rPr>
            </w:pPr>
            <w:r>
              <w:rPr>
                <w:sz w:val="21"/>
                <w:szCs w:val="21"/>
              </w:rPr>
              <w:t>10</w:t>
            </w:r>
          </w:p>
        </w:tc>
      </w:tr>
    </w:tbl>
    <w:p w:rsidR="00240BCE" w:rsidRDefault="00AC0334">
      <w:pPr>
        <w:ind w:firstLineChars="200" w:firstLine="420"/>
        <w:rPr>
          <w:color w:val="000000"/>
          <w:sz w:val="21"/>
          <w:szCs w:val="21"/>
        </w:rPr>
      </w:pPr>
      <w:r>
        <w:rPr>
          <w:color w:val="000000"/>
          <w:sz w:val="21"/>
          <w:szCs w:val="21"/>
        </w:rPr>
        <w:t>备注：</w:t>
      </w:r>
      <w:r>
        <w:rPr>
          <w:color w:val="000000"/>
          <w:sz w:val="21"/>
          <w:szCs w:val="21"/>
        </w:rPr>
        <w:t>1.</w:t>
      </w:r>
      <w:r>
        <w:rPr>
          <w:color w:val="000000"/>
          <w:sz w:val="21"/>
          <w:szCs w:val="21"/>
        </w:rPr>
        <w:t>煤炭最低开采规模不低于</w:t>
      </w:r>
      <w:r>
        <w:rPr>
          <w:color w:val="000000"/>
          <w:sz w:val="21"/>
          <w:szCs w:val="21"/>
        </w:rPr>
        <w:t>60</w:t>
      </w:r>
      <w:r>
        <w:rPr>
          <w:color w:val="000000"/>
          <w:sz w:val="21"/>
          <w:szCs w:val="21"/>
        </w:rPr>
        <w:t>万吨</w:t>
      </w:r>
      <w:r>
        <w:rPr>
          <w:color w:val="000000"/>
          <w:sz w:val="21"/>
          <w:szCs w:val="21"/>
        </w:rPr>
        <w:t>/</w:t>
      </w:r>
      <w:r>
        <w:rPr>
          <w:color w:val="000000"/>
          <w:sz w:val="21"/>
          <w:szCs w:val="21"/>
        </w:rPr>
        <w:t>年，高瓦斯、煤与瓦斯突出矿井不低于</w:t>
      </w:r>
      <w:r>
        <w:rPr>
          <w:color w:val="000000"/>
          <w:sz w:val="21"/>
          <w:szCs w:val="21"/>
        </w:rPr>
        <w:t>90</w:t>
      </w:r>
      <w:r>
        <w:rPr>
          <w:color w:val="000000"/>
          <w:sz w:val="21"/>
          <w:szCs w:val="21"/>
        </w:rPr>
        <w:t>万吨</w:t>
      </w:r>
      <w:r>
        <w:rPr>
          <w:color w:val="000000"/>
          <w:sz w:val="21"/>
          <w:szCs w:val="21"/>
        </w:rPr>
        <w:t>/</w:t>
      </w:r>
      <w:r>
        <w:rPr>
          <w:color w:val="000000"/>
          <w:sz w:val="21"/>
          <w:szCs w:val="21"/>
        </w:rPr>
        <w:t>年。</w:t>
      </w:r>
      <w:r>
        <w:rPr>
          <w:color w:val="000000"/>
          <w:sz w:val="21"/>
          <w:szCs w:val="21"/>
        </w:rPr>
        <w:t>2.</w:t>
      </w:r>
      <w:r>
        <w:rPr>
          <w:color w:val="000000"/>
          <w:sz w:val="21"/>
          <w:szCs w:val="21"/>
        </w:rPr>
        <w:t>《规划》发布实施前，已批复划定矿区范围申请采矿权且与国家现行有关规定一致的，可按《河南省矿产资源总体规划</w:t>
      </w:r>
      <w:r>
        <w:rPr>
          <w:color w:val="000000"/>
          <w:sz w:val="21"/>
          <w:szCs w:val="21"/>
        </w:rPr>
        <w:t>(2008-2015</w:t>
      </w:r>
      <w:r>
        <w:rPr>
          <w:color w:val="000000"/>
          <w:sz w:val="21"/>
          <w:szCs w:val="21"/>
        </w:rPr>
        <w:t>年</w:t>
      </w:r>
      <w:r>
        <w:rPr>
          <w:color w:val="000000"/>
          <w:sz w:val="21"/>
          <w:szCs w:val="21"/>
        </w:rPr>
        <w:t>)</w:t>
      </w:r>
      <w:r>
        <w:rPr>
          <w:color w:val="000000"/>
          <w:sz w:val="21"/>
          <w:szCs w:val="21"/>
        </w:rPr>
        <w:t>》相应的最低开采规模和最低服务年限要求执行。</w:t>
      </w:r>
    </w:p>
    <w:p w:rsidR="00240BCE" w:rsidRDefault="00AC0334">
      <w:pPr>
        <w:spacing w:line="520" w:lineRule="exact"/>
        <w:ind w:firstLineChars="200" w:firstLine="480"/>
        <w:rPr>
          <w:color w:val="000000"/>
          <w:sz w:val="24"/>
        </w:rPr>
      </w:pPr>
      <w:r>
        <w:rPr>
          <w:color w:val="000000"/>
          <w:sz w:val="24"/>
        </w:rPr>
        <w:t>严格新建矿山准入管理。新建矿山应符合国家和省生态保护相关的法律、法规</w:t>
      </w:r>
      <w:r>
        <w:rPr>
          <w:color w:val="000000"/>
          <w:sz w:val="24"/>
        </w:rPr>
        <w:lastRenderedPageBreak/>
        <w:t>要求；地质勘查程度应满足相应矿山设计的要求。大中型煤矿应达到勘探程度；非煤矿山、小型煤矿原则上应达到勘探程度；简单矿床应达到详查程度并符合开采设计要求；第三类矿产应达到矿山设计要求的地质工作程度。对共伴生多种重要矿种的矿产地，开发利用方案要进行开采主矿种论证，根据国家政策、开采条件以及矿种的重要程度确定开采顺序。</w:t>
      </w:r>
    </w:p>
    <w:p w:rsidR="00240BCE" w:rsidRDefault="00AC0334">
      <w:pPr>
        <w:spacing w:line="520" w:lineRule="exact"/>
        <w:ind w:firstLineChars="200" w:firstLine="480"/>
        <w:rPr>
          <w:color w:val="000000"/>
          <w:sz w:val="24"/>
        </w:rPr>
      </w:pPr>
      <w:r>
        <w:rPr>
          <w:color w:val="000000"/>
          <w:sz w:val="24"/>
        </w:rPr>
        <w:t>严格控制新建露天开采矿山。相邻露天矿山采矿许可证边界之间最小安全距离不小于</w:t>
      </w:r>
      <w:r>
        <w:rPr>
          <w:color w:val="000000"/>
          <w:sz w:val="24"/>
        </w:rPr>
        <w:t>300</w:t>
      </w:r>
      <w:r>
        <w:rPr>
          <w:color w:val="000000"/>
          <w:sz w:val="24"/>
        </w:rPr>
        <w:t>米。</w:t>
      </w:r>
      <w:r>
        <w:rPr>
          <w:color w:val="000000"/>
          <w:sz w:val="24"/>
        </w:rPr>
        <w:t>“</w:t>
      </w:r>
      <w:r>
        <w:rPr>
          <w:color w:val="000000"/>
          <w:sz w:val="24"/>
        </w:rPr>
        <w:t>三区两线</w:t>
      </w:r>
      <w:r>
        <w:rPr>
          <w:color w:val="000000"/>
          <w:sz w:val="24"/>
        </w:rPr>
        <w:t>”</w:t>
      </w:r>
      <w:r>
        <w:rPr>
          <w:color w:val="000000"/>
          <w:sz w:val="24"/>
        </w:rPr>
        <w:t>及特定生态保护区域严禁新建露天开采矿山，其他区域严格控制新建露天开采矿山数量，严格采矿权准入管理，必须采用绿色开采方式，集中连片规模化开采、不留死角整体开发。</w:t>
      </w:r>
    </w:p>
    <w:p w:rsidR="00240BCE" w:rsidRDefault="00AC0334">
      <w:pPr>
        <w:spacing w:line="520" w:lineRule="exact"/>
        <w:ind w:firstLineChars="200" w:firstLine="480"/>
        <w:rPr>
          <w:color w:val="000000"/>
          <w:sz w:val="24"/>
        </w:rPr>
      </w:pPr>
      <w:r>
        <w:rPr>
          <w:color w:val="000000"/>
          <w:sz w:val="24"/>
        </w:rPr>
        <w:t>（</w:t>
      </w:r>
      <w:r>
        <w:rPr>
          <w:color w:val="000000"/>
          <w:sz w:val="24"/>
        </w:rPr>
        <w:t>6</w:t>
      </w:r>
      <w:r>
        <w:rPr>
          <w:color w:val="000000"/>
          <w:sz w:val="24"/>
        </w:rPr>
        <w:t>）绿色矿山建设</w:t>
      </w:r>
    </w:p>
    <w:p w:rsidR="00240BCE" w:rsidRDefault="00AC0334">
      <w:pPr>
        <w:spacing w:line="520" w:lineRule="exact"/>
        <w:ind w:firstLineChars="200" w:firstLine="480"/>
        <w:rPr>
          <w:color w:val="000000"/>
          <w:sz w:val="24"/>
        </w:rPr>
      </w:pPr>
      <w:r>
        <w:rPr>
          <w:color w:val="000000"/>
          <w:sz w:val="24"/>
        </w:rPr>
        <w:t>着力推广绿色采选方式。露天矿山必须采用中深孔爆破作业和台阶式开采方法，建筑石料类矿山尽可能一次性采完、不留边坡或少留边坡，对现存的高边坡一面墙推进采矿方式限期完成整改；地下开采矿山具备充填开采条件的要积极推广充填法开采技术；推广干式堆存尾矿库技术，加强废石、尾矿的再开发再利用。</w:t>
      </w:r>
    </w:p>
    <w:p w:rsidR="00240BCE" w:rsidRDefault="00AC0334">
      <w:pPr>
        <w:spacing w:line="520" w:lineRule="exact"/>
        <w:ind w:firstLineChars="200" w:firstLine="480"/>
        <w:rPr>
          <w:color w:val="000000"/>
          <w:sz w:val="24"/>
        </w:rPr>
      </w:pPr>
      <w:r>
        <w:rPr>
          <w:color w:val="000000"/>
          <w:sz w:val="24"/>
        </w:rPr>
        <w:t>2</w:t>
      </w:r>
      <w:r>
        <w:rPr>
          <w:color w:val="000000"/>
          <w:sz w:val="24"/>
        </w:rPr>
        <w:t>、本项目与《河南省矿产资源总体规划（</w:t>
      </w:r>
      <w:r>
        <w:rPr>
          <w:color w:val="000000"/>
          <w:sz w:val="24"/>
        </w:rPr>
        <w:t>2016-2020</w:t>
      </w:r>
      <w:r>
        <w:rPr>
          <w:color w:val="000000"/>
          <w:sz w:val="24"/>
        </w:rPr>
        <w:t>）》相符性分析</w:t>
      </w:r>
    </w:p>
    <w:p w:rsidR="00240BCE" w:rsidRPr="00326173" w:rsidRDefault="00AC0334" w:rsidP="00326173">
      <w:pPr>
        <w:spacing w:line="520" w:lineRule="exact"/>
        <w:ind w:firstLineChars="200" w:firstLine="482"/>
        <w:rPr>
          <w:b/>
          <w:i/>
          <w:color w:val="000000"/>
          <w:sz w:val="24"/>
          <w:u w:val="single"/>
          <w:lang w:val="de-DE"/>
        </w:rPr>
      </w:pPr>
      <w:r w:rsidRPr="00326173">
        <w:rPr>
          <w:b/>
          <w:i/>
          <w:color w:val="000000"/>
          <w:sz w:val="24"/>
          <w:u w:val="single"/>
        </w:rPr>
        <w:t>本项目为煤矿开采项目，属于规划中的优势矿种和重点区域发展方向；本项目位于</w:t>
      </w:r>
      <w:r w:rsidRPr="00326173">
        <w:rPr>
          <w:b/>
          <w:i/>
          <w:sz w:val="24"/>
          <w:u w:val="single"/>
        </w:rPr>
        <w:t>禹州市鸠山镇</w:t>
      </w:r>
      <w:r w:rsidRPr="00326173">
        <w:rPr>
          <w:b/>
          <w:i/>
          <w:color w:val="000000"/>
          <w:sz w:val="24"/>
          <w:u w:val="single"/>
        </w:rPr>
        <w:t>，矿区不在自然保护区、风景名胜区、饮用水源地等需要特殊保护的区域，不在</w:t>
      </w:r>
      <w:r w:rsidR="00326173" w:rsidRPr="00326173">
        <w:rPr>
          <w:rFonts w:hint="eastAsia"/>
          <w:b/>
          <w:i/>
          <w:color w:val="000000"/>
          <w:sz w:val="24"/>
          <w:u w:val="single"/>
        </w:rPr>
        <w:t>重点开采区、</w:t>
      </w:r>
      <w:r w:rsidRPr="00326173">
        <w:rPr>
          <w:b/>
          <w:i/>
          <w:color w:val="000000"/>
          <w:sz w:val="24"/>
          <w:u w:val="single"/>
        </w:rPr>
        <w:t>禁止开采区和限制开采区内；且本项目属于升级改造项目，不受新建矿山最低开采规模和最低服务年限要求限制，</w:t>
      </w:r>
      <w:r w:rsidRPr="00326173">
        <w:rPr>
          <w:b/>
          <w:i/>
          <w:sz w:val="24"/>
          <w:u w:val="single"/>
        </w:rPr>
        <w:t>项目符合《产业结构调整指导目录（</w:t>
      </w:r>
      <w:r w:rsidRPr="00326173">
        <w:rPr>
          <w:b/>
          <w:i/>
          <w:sz w:val="24"/>
          <w:u w:val="single"/>
        </w:rPr>
        <w:t>2019</w:t>
      </w:r>
      <w:r w:rsidRPr="00326173">
        <w:rPr>
          <w:b/>
          <w:i/>
          <w:sz w:val="24"/>
          <w:u w:val="single"/>
        </w:rPr>
        <w:t>年本）》要求，属于《河南省工业和信息化厅关于切实做好全省</w:t>
      </w:r>
      <w:r w:rsidRPr="00326173">
        <w:rPr>
          <w:b/>
          <w:i/>
          <w:sz w:val="24"/>
          <w:u w:val="single"/>
        </w:rPr>
        <w:t>30</w:t>
      </w:r>
      <w:r w:rsidRPr="00326173">
        <w:rPr>
          <w:b/>
          <w:i/>
          <w:sz w:val="24"/>
          <w:u w:val="single"/>
        </w:rPr>
        <w:t>万吨</w:t>
      </w:r>
      <w:r w:rsidRPr="00326173">
        <w:rPr>
          <w:b/>
          <w:i/>
          <w:sz w:val="24"/>
          <w:u w:val="single"/>
        </w:rPr>
        <w:t>/</w:t>
      </w:r>
      <w:r w:rsidRPr="00326173">
        <w:rPr>
          <w:b/>
          <w:i/>
          <w:sz w:val="24"/>
          <w:u w:val="single"/>
        </w:rPr>
        <w:t>年以下煤矿分类处置工作的通知》（豫工信办煤行〔</w:t>
      </w:r>
      <w:r w:rsidRPr="00326173">
        <w:rPr>
          <w:b/>
          <w:i/>
          <w:sz w:val="24"/>
          <w:u w:val="single"/>
        </w:rPr>
        <w:t>2020</w:t>
      </w:r>
      <w:r w:rsidRPr="00326173">
        <w:rPr>
          <w:b/>
          <w:i/>
          <w:sz w:val="24"/>
          <w:u w:val="single"/>
        </w:rPr>
        <w:t>〕</w:t>
      </w:r>
      <w:r w:rsidRPr="00326173">
        <w:rPr>
          <w:b/>
          <w:i/>
          <w:sz w:val="24"/>
          <w:u w:val="single"/>
        </w:rPr>
        <w:t>54</w:t>
      </w:r>
      <w:r w:rsidRPr="00326173">
        <w:rPr>
          <w:b/>
          <w:i/>
          <w:sz w:val="24"/>
          <w:u w:val="single"/>
        </w:rPr>
        <w:t>号）分类处置中的（</w:t>
      </w:r>
      <w:r w:rsidRPr="00326173">
        <w:rPr>
          <w:b/>
          <w:i/>
          <w:sz w:val="24"/>
          <w:u w:val="single"/>
        </w:rPr>
        <w:t>3</w:t>
      </w:r>
      <w:r w:rsidRPr="00326173">
        <w:rPr>
          <w:b/>
          <w:i/>
          <w:sz w:val="24"/>
          <w:u w:val="single"/>
        </w:rPr>
        <w:t>）具备条件升级改造的一批。因此本项目建设</w:t>
      </w:r>
      <w:r w:rsidRPr="00326173">
        <w:rPr>
          <w:b/>
          <w:i/>
          <w:color w:val="000000"/>
          <w:sz w:val="24"/>
          <w:u w:val="single"/>
        </w:rPr>
        <w:t>符合</w:t>
      </w:r>
      <w:r w:rsidRPr="00326173">
        <w:rPr>
          <w:b/>
          <w:i/>
          <w:color w:val="000000"/>
          <w:sz w:val="24"/>
          <w:u w:val="single"/>
          <w:lang w:val="de-DE"/>
        </w:rPr>
        <w:t>《河南省矿产资源总体规划（</w:t>
      </w:r>
      <w:r w:rsidRPr="00326173">
        <w:rPr>
          <w:b/>
          <w:i/>
          <w:color w:val="000000"/>
          <w:sz w:val="24"/>
          <w:u w:val="single"/>
          <w:lang w:val="de-DE"/>
        </w:rPr>
        <w:t>2016—2020</w:t>
      </w:r>
      <w:r w:rsidRPr="00326173">
        <w:rPr>
          <w:b/>
          <w:i/>
          <w:color w:val="000000"/>
          <w:sz w:val="24"/>
          <w:u w:val="single"/>
          <w:lang w:val="de-DE"/>
        </w:rPr>
        <w:t>年）》的要求。</w:t>
      </w:r>
    </w:p>
    <w:p w:rsidR="00F8114F" w:rsidRDefault="00F8114F" w:rsidP="009C5F33">
      <w:pPr>
        <w:adjustRightInd w:val="0"/>
        <w:snapToGrid w:val="0"/>
        <w:spacing w:beforeLines="70" w:afterLines="30"/>
        <w:jc w:val="left"/>
        <w:outlineLvl w:val="2"/>
        <w:rPr>
          <w:rFonts w:eastAsia="楷体"/>
          <w:b/>
          <w:bCs/>
          <w:color w:val="000000"/>
          <w:szCs w:val="28"/>
        </w:rPr>
      </w:pPr>
      <w:r>
        <w:rPr>
          <w:rFonts w:eastAsia="楷体"/>
          <w:b/>
          <w:bCs/>
          <w:color w:val="000000"/>
          <w:szCs w:val="28"/>
        </w:rPr>
        <w:t>10.4.2</w:t>
      </w:r>
      <w:r>
        <w:rPr>
          <w:rFonts w:eastAsia="楷体"/>
          <w:b/>
          <w:bCs/>
          <w:color w:val="000000"/>
          <w:szCs w:val="28"/>
        </w:rPr>
        <w:t>与《</w:t>
      </w:r>
      <w:r>
        <w:rPr>
          <w:rFonts w:eastAsia="楷体" w:hint="eastAsia"/>
          <w:b/>
          <w:bCs/>
          <w:color w:val="000000"/>
          <w:szCs w:val="28"/>
        </w:rPr>
        <w:t>许昌</w:t>
      </w:r>
      <w:r>
        <w:rPr>
          <w:rFonts w:eastAsia="楷体"/>
          <w:b/>
          <w:bCs/>
          <w:color w:val="000000"/>
          <w:szCs w:val="28"/>
        </w:rPr>
        <w:t>市矿产资源总体规划》（</w:t>
      </w:r>
      <w:r>
        <w:rPr>
          <w:rFonts w:eastAsia="楷体"/>
          <w:b/>
          <w:bCs/>
          <w:color w:val="000000"/>
          <w:szCs w:val="28"/>
        </w:rPr>
        <w:t>2016-2020</w:t>
      </w:r>
      <w:r>
        <w:rPr>
          <w:rFonts w:eastAsia="楷体"/>
          <w:b/>
          <w:bCs/>
          <w:color w:val="000000"/>
          <w:szCs w:val="28"/>
        </w:rPr>
        <w:t>）的相符性分析</w:t>
      </w:r>
    </w:p>
    <w:p w:rsidR="00F8114F" w:rsidRDefault="00F8114F" w:rsidP="00F8114F">
      <w:pPr>
        <w:spacing w:line="520" w:lineRule="exact"/>
        <w:rPr>
          <w:color w:val="000000"/>
          <w:sz w:val="24"/>
        </w:rPr>
      </w:pPr>
      <w:r>
        <w:rPr>
          <w:color w:val="000000"/>
          <w:sz w:val="24"/>
        </w:rPr>
        <w:t>10.4.2.1</w:t>
      </w:r>
      <w:r>
        <w:rPr>
          <w:b/>
          <w:bCs/>
          <w:color w:val="000000"/>
          <w:sz w:val="24"/>
        </w:rPr>
        <w:t>《</w:t>
      </w:r>
      <w:r>
        <w:rPr>
          <w:rFonts w:hint="eastAsia"/>
          <w:b/>
          <w:bCs/>
          <w:color w:val="000000"/>
          <w:sz w:val="24"/>
        </w:rPr>
        <w:t>许昌</w:t>
      </w:r>
      <w:r>
        <w:rPr>
          <w:b/>
          <w:bCs/>
          <w:color w:val="000000"/>
          <w:sz w:val="24"/>
        </w:rPr>
        <w:t>市矿产资源总体规划》（</w:t>
      </w:r>
      <w:r>
        <w:rPr>
          <w:b/>
          <w:bCs/>
          <w:color w:val="000000"/>
          <w:sz w:val="24"/>
        </w:rPr>
        <w:t>2016-2020</w:t>
      </w:r>
      <w:r>
        <w:rPr>
          <w:b/>
          <w:bCs/>
          <w:color w:val="000000"/>
          <w:sz w:val="24"/>
        </w:rPr>
        <w:t>）</w:t>
      </w:r>
    </w:p>
    <w:p w:rsidR="00E87823" w:rsidRDefault="00F8114F" w:rsidP="00F8114F">
      <w:pPr>
        <w:spacing w:line="520" w:lineRule="exact"/>
        <w:ind w:firstLineChars="200" w:firstLine="480"/>
        <w:rPr>
          <w:sz w:val="24"/>
        </w:rPr>
      </w:pPr>
      <w:r w:rsidRPr="00F8114F">
        <w:rPr>
          <w:sz w:val="24"/>
        </w:rPr>
        <w:lastRenderedPageBreak/>
        <w:t>相关内容摘录如下：</w:t>
      </w:r>
    </w:p>
    <w:p w:rsidR="00E87823" w:rsidRDefault="00E87823" w:rsidP="00F8114F">
      <w:pPr>
        <w:spacing w:line="520" w:lineRule="exact"/>
        <w:ind w:firstLineChars="200" w:firstLine="480"/>
        <w:rPr>
          <w:sz w:val="24"/>
        </w:rPr>
      </w:pPr>
      <w:r>
        <w:rPr>
          <w:sz w:val="24"/>
        </w:rPr>
        <w:t>《规划》基期年为</w:t>
      </w:r>
      <w:r>
        <w:rPr>
          <w:sz w:val="24"/>
        </w:rPr>
        <w:t>2015</w:t>
      </w:r>
      <w:r>
        <w:rPr>
          <w:sz w:val="24"/>
        </w:rPr>
        <w:t>年，规划期</w:t>
      </w:r>
      <w:r>
        <w:rPr>
          <w:sz w:val="24"/>
        </w:rPr>
        <w:t>2016-2020</w:t>
      </w:r>
      <w:r>
        <w:rPr>
          <w:sz w:val="24"/>
        </w:rPr>
        <w:t>年，展望到</w:t>
      </w:r>
      <w:r>
        <w:rPr>
          <w:sz w:val="24"/>
        </w:rPr>
        <w:t>2025</w:t>
      </w:r>
      <w:r>
        <w:rPr>
          <w:sz w:val="24"/>
        </w:rPr>
        <w:t>年。</w:t>
      </w:r>
    </w:p>
    <w:p w:rsidR="005C1509" w:rsidRDefault="00E87823" w:rsidP="005C1509">
      <w:pPr>
        <w:spacing w:line="520" w:lineRule="exact"/>
        <w:ind w:firstLineChars="200" w:firstLine="480"/>
        <w:rPr>
          <w:bCs/>
          <w:sz w:val="24"/>
        </w:rPr>
      </w:pPr>
      <w:r>
        <w:rPr>
          <w:rFonts w:hint="eastAsia"/>
          <w:bCs/>
          <w:sz w:val="24"/>
        </w:rPr>
        <w:t>1</w:t>
      </w:r>
      <w:r>
        <w:rPr>
          <w:rFonts w:hint="eastAsia"/>
          <w:bCs/>
          <w:sz w:val="24"/>
        </w:rPr>
        <w:t>、</w:t>
      </w:r>
      <w:r w:rsidR="005C1509" w:rsidRPr="005C1509">
        <w:rPr>
          <w:rFonts w:hint="eastAsia"/>
          <w:bCs/>
          <w:sz w:val="24"/>
        </w:rPr>
        <w:t>规划总体目标：实现矿产资源的有效保护；建立和保持正常的矿业秩序；实现其它自然资源及人文资源的有效保护，实现矿产资源开发与环境保护的良性循环，促进社会、经济的可持续发展。</w:t>
      </w:r>
    </w:p>
    <w:p w:rsidR="005C1509" w:rsidRDefault="005C1509" w:rsidP="005C1509">
      <w:pPr>
        <w:spacing w:line="520" w:lineRule="exact"/>
        <w:ind w:firstLineChars="200" w:firstLine="480"/>
        <w:rPr>
          <w:bCs/>
          <w:sz w:val="24"/>
        </w:rPr>
      </w:pPr>
      <w:r w:rsidRPr="005C1509">
        <w:rPr>
          <w:rFonts w:hint="eastAsia"/>
          <w:bCs/>
          <w:sz w:val="24"/>
        </w:rPr>
        <w:t>落实国家、省有关产业政策及省级矿产资源规划相关指标，结合我市资源特点及开发利用现状，参照国土资发［</w:t>
      </w:r>
      <w:r w:rsidRPr="005C1509">
        <w:rPr>
          <w:rFonts w:hint="eastAsia"/>
          <w:bCs/>
          <w:sz w:val="24"/>
        </w:rPr>
        <w:t>2004]208</w:t>
      </w:r>
      <w:r w:rsidRPr="005C1509">
        <w:rPr>
          <w:rFonts w:hint="eastAsia"/>
          <w:bCs/>
          <w:sz w:val="24"/>
        </w:rPr>
        <w:t>号文件精神，制定我市主要矿产矿山最低开采规模（见表</w:t>
      </w:r>
      <w:r w:rsidRPr="005C1509">
        <w:rPr>
          <w:rFonts w:hint="eastAsia"/>
          <w:bCs/>
          <w:sz w:val="24"/>
        </w:rPr>
        <w:t>2)</w:t>
      </w:r>
      <w:r>
        <w:rPr>
          <w:rFonts w:hint="eastAsia"/>
          <w:bCs/>
          <w:sz w:val="24"/>
        </w:rPr>
        <w:t>。</w:t>
      </w:r>
    </w:p>
    <w:p w:rsidR="005C1509" w:rsidRDefault="005C1509" w:rsidP="005C1509">
      <w:pPr>
        <w:spacing w:line="520" w:lineRule="exact"/>
        <w:jc w:val="center"/>
        <w:rPr>
          <w:bCs/>
          <w:sz w:val="24"/>
        </w:rPr>
      </w:pPr>
      <w:r>
        <w:rPr>
          <w:rFonts w:eastAsia="仿宋_GB2312" w:hint="eastAsia"/>
          <w:b/>
          <w:bCs/>
          <w:color w:val="333333"/>
        </w:rPr>
        <w:t>表</w:t>
      </w:r>
      <w:r>
        <w:rPr>
          <w:rFonts w:eastAsia="仿宋_GB2312" w:hint="eastAsia"/>
          <w:b/>
          <w:bCs/>
          <w:color w:val="333333"/>
        </w:rPr>
        <w:t>2</w:t>
      </w:r>
      <w:r>
        <w:rPr>
          <w:rFonts w:eastAsia="仿宋_GB2312"/>
          <w:b/>
          <w:bCs/>
          <w:color w:val="333333"/>
        </w:rPr>
        <w:t>   </w:t>
      </w:r>
      <w:r>
        <w:rPr>
          <w:rFonts w:eastAsia="仿宋_GB2312" w:hint="eastAsia"/>
          <w:b/>
          <w:bCs/>
          <w:color w:val="333333"/>
        </w:rPr>
        <w:t>许昌市主要矿产</w:t>
      </w:r>
      <w:r>
        <w:rPr>
          <w:rFonts w:eastAsia="仿宋_GB2312"/>
          <w:b/>
          <w:bCs/>
          <w:color w:val="333333"/>
        </w:rPr>
        <w:t>矿山最低开采规模</w:t>
      </w:r>
      <w:r>
        <w:rPr>
          <w:rFonts w:eastAsia="仿宋_GB2312" w:hint="eastAsia"/>
          <w:b/>
          <w:bCs/>
          <w:color w:val="333333"/>
        </w:rPr>
        <w:t>规划指标表</w:t>
      </w:r>
    </w:p>
    <w:tbl>
      <w:tblPr>
        <w:tblW w:w="48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tblPr>
      <w:tblGrid>
        <w:gridCol w:w="868"/>
        <w:gridCol w:w="912"/>
        <w:gridCol w:w="912"/>
        <w:gridCol w:w="911"/>
        <w:gridCol w:w="916"/>
        <w:gridCol w:w="980"/>
        <w:gridCol w:w="980"/>
        <w:gridCol w:w="980"/>
        <w:gridCol w:w="979"/>
      </w:tblGrid>
      <w:tr w:rsidR="005C1509" w:rsidTr="00C37952">
        <w:tc>
          <w:tcPr>
            <w:tcW w:w="514" w:type="pct"/>
            <w:vMerge w:val="restart"/>
            <w:vAlign w:val="center"/>
          </w:tcPr>
          <w:p w:rsidR="005C1509" w:rsidRDefault="005C1509" w:rsidP="005C1509">
            <w:pPr>
              <w:jc w:val="center"/>
              <w:rPr>
                <w:color w:val="333333"/>
                <w:sz w:val="21"/>
                <w:szCs w:val="21"/>
              </w:rPr>
            </w:pPr>
            <w:r>
              <w:rPr>
                <w:rFonts w:eastAsia="仿宋_GB2312"/>
                <w:color w:val="333333"/>
                <w:sz w:val="21"/>
                <w:szCs w:val="21"/>
              </w:rPr>
              <w:t>矿产名称</w:t>
            </w:r>
          </w:p>
        </w:tc>
        <w:tc>
          <w:tcPr>
            <w:tcW w:w="2163" w:type="pct"/>
            <w:gridSpan w:val="4"/>
            <w:vAlign w:val="center"/>
          </w:tcPr>
          <w:p w:rsidR="005C1509" w:rsidRDefault="005C1509" w:rsidP="005C1509">
            <w:pPr>
              <w:jc w:val="center"/>
              <w:rPr>
                <w:color w:val="333333"/>
                <w:sz w:val="21"/>
                <w:szCs w:val="21"/>
              </w:rPr>
            </w:pPr>
            <w:r>
              <w:rPr>
                <w:rFonts w:hint="eastAsia"/>
                <w:color w:val="333333"/>
                <w:sz w:val="21"/>
                <w:szCs w:val="21"/>
              </w:rPr>
              <w:t>矿产规模划分标准</w:t>
            </w:r>
          </w:p>
        </w:tc>
        <w:tc>
          <w:tcPr>
            <w:tcW w:w="2322" w:type="pct"/>
            <w:gridSpan w:val="4"/>
            <w:vAlign w:val="center"/>
          </w:tcPr>
          <w:p w:rsidR="005C1509" w:rsidRDefault="005C1509" w:rsidP="00F4122C">
            <w:pPr>
              <w:pStyle w:val="af7"/>
              <w:spacing w:before="0" w:beforeAutospacing="0" w:after="0" w:afterAutospacing="0" w:line="315" w:lineRule="atLeast"/>
              <w:jc w:val="center"/>
              <w:rPr>
                <w:rFonts w:eastAsia="仿宋_GB2312"/>
                <w:color w:val="333333"/>
                <w:sz w:val="21"/>
                <w:szCs w:val="21"/>
              </w:rPr>
            </w:pPr>
            <w:r>
              <w:rPr>
                <w:rFonts w:eastAsia="仿宋_GB2312" w:hint="eastAsia"/>
                <w:color w:val="333333"/>
                <w:sz w:val="21"/>
                <w:szCs w:val="21"/>
              </w:rPr>
              <w:t>矿山最低开采规模标准</w:t>
            </w:r>
          </w:p>
        </w:tc>
      </w:tr>
      <w:tr w:rsidR="005C1509" w:rsidTr="00C37952">
        <w:tc>
          <w:tcPr>
            <w:tcW w:w="514" w:type="pct"/>
            <w:vMerge/>
            <w:vAlign w:val="center"/>
          </w:tcPr>
          <w:p w:rsidR="005C1509" w:rsidRDefault="005C1509" w:rsidP="00F4122C">
            <w:pPr>
              <w:rPr>
                <w:color w:val="333333"/>
                <w:sz w:val="21"/>
                <w:szCs w:val="21"/>
              </w:rPr>
            </w:pPr>
          </w:p>
        </w:tc>
        <w:tc>
          <w:tcPr>
            <w:tcW w:w="540" w:type="pct"/>
            <w:vAlign w:val="center"/>
          </w:tcPr>
          <w:p w:rsidR="005C1509" w:rsidRDefault="005C1509" w:rsidP="00F4122C">
            <w:pPr>
              <w:rPr>
                <w:color w:val="333333"/>
                <w:sz w:val="21"/>
                <w:szCs w:val="21"/>
              </w:rPr>
            </w:pPr>
            <w:r>
              <w:rPr>
                <w:rFonts w:hint="eastAsia"/>
                <w:color w:val="333333"/>
                <w:sz w:val="21"/>
                <w:szCs w:val="21"/>
              </w:rPr>
              <w:t>资源储量单位</w:t>
            </w:r>
          </w:p>
        </w:tc>
        <w:tc>
          <w:tcPr>
            <w:tcW w:w="540" w:type="pct"/>
            <w:vAlign w:val="center"/>
          </w:tcPr>
          <w:p w:rsidR="005C1509" w:rsidRDefault="005C1509" w:rsidP="00F4122C">
            <w:pPr>
              <w:jc w:val="center"/>
              <w:rPr>
                <w:color w:val="333333"/>
                <w:sz w:val="21"/>
                <w:szCs w:val="21"/>
              </w:rPr>
            </w:pPr>
            <w:r>
              <w:rPr>
                <w:rFonts w:hint="eastAsia"/>
                <w:color w:val="333333"/>
                <w:sz w:val="21"/>
                <w:szCs w:val="21"/>
              </w:rPr>
              <w:t>大型</w:t>
            </w:r>
          </w:p>
        </w:tc>
        <w:tc>
          <w:tcPr>
            <w:tcW w:w="540"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eastAsia="仿宋_GB2312"/>
                <w:color w:val="333333"/>
                <w:sz w:val="21"/>
                <w:szCs w:val="21"/>
              </w:rPr>
              <w:t>中型</w:t>
            </w:r>
          </w:p>
        </w:tc>
        <w:tc>
          <w:tcPr>
            <w:tcW w:w="543"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eastAsia="仿宋_GB2312"/>
                <w:color w:val="333333"/>
                <w:sz w:val="21"/>
                <w:szCs w:val="21"/>
              </w:rPr>
              <w:t>小型</w:t>
            </w:r>
          </w:p>
        </w:tc>
        <w:tc>
          <w:tcPr>
            <w:tcW w:w="581" w:type="pct"/>
            <w:vAlign w:val="center"/>
          </w:tcPr>
          <w:p w:rsidR="005C1509" w:rsidRDefault="005C1509" w:rsidP="00F4122C">
            <w:pPr>
              <w:pStyle w:val="af7"/>
              <w:spacing w:before="0" w:beforeAutospacing="0" w:after="0" w:afterAutospacing="0" w:line="315" w:lineRule="atLeast"/>
              <w:jc w:val="center"/>
              <w:rPr>
                <w:rFonts w:eastAsia="仿宋_GB2312"/>
                <w:color w:val="333333"/>
                <w:sz w:val="21"/>
                <w:szCs w:val="21"/>
              </w:rPr>
            </w:pPr>
            <w:r>
              <w:rPr>
                <w:rFonts w:eastAsia="仿宋_GB2312" w:hint="eastAsia"/>
                <w:color w:val="333333"/>
                <w:sz w:val="21"/>
                <w:szCs w:val="21"/>
              </w:rPr>
              <w:t>开采规模单位</w:t>
            </w:r>
          </w:p>
        </w:tc>
        <w:tc>
          <w:tcPr>
            <w:tcW w:w="581" w:type="pct"/>
            <w:vAlign w:val="center"/>
          </w:tcPr>
          <w:p w:rsidR="005C1509" w:rsidRDefault="005C1509" w:rsidP="00F4122C">
            <w:pPr>
              <w:rPr>
                <w:color w:val="333333"/>
                <w:sz w:val="21"/>
                <w:szCs w:val="21"/>
              </w:rPr>
            </w:pPr>
            <w:r>
              <w:rPr>
                <w:rFonts w:hint="eastAsia"/>
                <w:color w:val="333333"/>
                <w:sz w:val="21"/>
                <w:szCs w:val="21"/>
              </w:rPr>
              <w:t>大型</w:t>
            </w:r>
          </w:p>
        </w:tc>
        <w:tc>
          <w:tcPr>
            <w:tcW w:w="581"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eastAsia="仿宋_GB2312"/>
                <w:color w:val="333333"/>
                <w:sz w:val="21"/>
                <w:szCs w:val="21"/>
              </w:rPr>
              <w:t>中型</w:t>
            </w:r>
          </w:p>
        </w:tc>
        <w:tc>
          <w:tcPr>
            <w:tcW w:w="580"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eastAsia="仿宋_GB2312"/>
                <w:color w:val="333333"/>
                <w:sz w:val="21"/>
                <w:szCs w:val="21"/>
              </w:rPr>
              <w:t>小型</w:t>
            </w:r>
          </w:p>
        </w:tc>
      </w:tr>
      <w:tr w:rsidR="005C1509" w:rsidTr="00C37952">
        <w:tc>
          <w:tcPr>
            <w:tcW w:w="514" w:type="pct"/>
            <w:vAlign w:val="center"/>
          </w:tcPr>
          <w:p w:rsidR="005C1509" w:rsidRDefault="005C1509" w:rsidP="005C1509">
            <w:pPr>
              <w:pStyle w:val="af7"/>
              <w:spacing w:before="0" w:beforeAutospacing="0" w:after="0" w:afterAutospacing="0" w:line="315" w:lineRule="atLeast"/>
              <w:jc w:val="center"/>
              <w:rPr>
                <w:color w:val="333333"/>
                <w:sz w:val="21"/>
                <w:szCs w:val="21"/>
              </w:rPr>
            </w:pPr>
            <w:r>
              <w:rPr>
                <w:rFonts w:eastAsia="仿宋_GB2312"/>
                <w:color w:val="333333"/>
                <w:sz w:val="21"/>
                <w:szCs w:val="21"/>
              </w:rPr>
              <w:t>煤</w:t>
            </w:r>
          </w:p>
        </w:tc>
        <w:tc>
          <w:tcPr>
            <w:tcW w:w="540"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hint="eastAsia"/>
                <w:color w:val="333333"/>
                <w:sz w:val="21"/>
                <w:szCs w:val="21"/>
              </w:rPr>
              <w:t>矿石亿吨</w:t>
            </w:r>
          </w:p>
        </w:tc>
        <w:tc>
          <w:tcPr>
            <w:tcW w:w="540"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hint="eastAsia"/>
                <w:color w:val="333333"/>
                <w:sz w:val="21"/>
                <w:szCs w:val="21"/>
              </w:rPr>
              <w:t>&gt;5</w:t>
            </w:r>
          </w:p>
        </w:tc>
        <w:tc>
          <w:tcPr>
            <w:tcW w:w="540"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hint="eastAsia"/>
                <w:color w:val="333333"/>
                <w:sz w:val="21"/>
                <w:szCs w:val="21"/>
              </w:rPr>
              <w:t>2-5</w:t>
            </w:r>
          </w:p>
        </w:tc>
        <w:tc>
          <w:tcPr>
            <w:tcW w:w="543"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hint="eastAsia"/>
                <w:color w:val="333333"/>
                <w:sz w:val="21"/>
                <w:szCs w:val="21"/>
              </w:rPr>
              <w:t>&lt;2</w:t>
            </w:r>
          </w:p>
        </w:tc>
        <w:tc>
          <w:tcPr>
            <w:tcW w:w="581"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eastAsia="仿宋_GB2312"/>
                <w:color w:val="333333"/>
                <w:sz w:val="21"/>
                <w:szCs w:val="21"/>
              </w:rPr>
              <w:t>万吨</w:t>
            </w:r>
            <w:r>
              <w:rPr>
                <w:rFonts w:eastAsia="仿宋_GB2312"/>
                <w:color w:val="333333"/>
                <w:sz w:val="21"/>
                <w:szCs w:val="21"/>
              </w:rPr>
              <w:t>/</w:t>
            </w:r>
            <w:r>
              <w:rPr>
                <w:rFonts w:eastAsia="仿宋_GB2312"/>
                <w:color w:val="333333"/>
                <w:sz w:val="21"/>
                <w:szCs w:val="21"/>
              </w:rPr>
              <w:t>年</w:t>
            </w:r>
          </w:p>
        </w:tc>
        <w:tc>
          <w:tcPr>
            <w:tcW w:w="581"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eastAsia="仿宋_GB2312" w:hint="eastAsia"/>
                <w:color w:val="333333"/>
                <w:sz w:val="21"/>
                <w:szCs w:val="21"/>
              </w:rPr>
              <w:t>120</w:t>
            </w:r>
          </w:p>
        </w:tc>
        <w:tc>
          <w:tcPr>
            <w:tcW w:w="581"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hint="eastAsia"/>
                <w:color w:val="333333"/>
                <w:sz w:val="21"/>
                <w:szCs w:val="21"/>
              </w:rPr>
              <w:t>45</w:t>
            </w:r>
          </w:p>
        </w:tc>
        <w:tc>
          <w:tcPr>
            <w:tcW w:w="580"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hint="eastAsia"/>
                <w:color w:val="333333"/>
                <w:sz w:val="21"/>
                <w:szCs w:val="21"/>
              </w:rPr>
              <w:t>9</w:t>
            </w:r>
          </w:p>
        </w:tc>
      </w:tr>
      <w:tr w:rsidR="005C1509" w:rsidTr="00C37952">
        <w:tc>
          <w:tcPr>
            <w:tcW w:w="514"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eastAsia="仿宋_GB2312"/>
                <w:color w:val="333333"/>
                <w:sz w:val="21"/>
                <w:szCs w:val="21"/>
              </w:rPr>
              <w:t>铁矿（地下</w:t>
            </w:r>
            <w:r w:rsidR="00F4122C">
              <w:rPr>
                <w:rFonts w:eastAsia="仿宋_GB2312" w:hint="eastAsia"/>
                <w:color w:val="333333"/>
                <w:sz w:val="21"/>
                <w:szCs w:val="21"/>
              </w:rPr>
              <w:t>开采</w:t>
            </w:r>
            <w:r>
              <w:rPr>
                <w:rFonts w:eastAsia="仿宋_GB2312"/>
                <w:color w:val="333333"/>
                <w:sz w:val="21"/>
                <w:szCs w:val="21"/>
              </w:rPr>
              <w:t>）</w:t>
            </w:r>
          </w:p>
        </w:tc>
        <w:tc>
          <w:tcPr>
            <w:tcW w:w="540"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hint="eastAsia"/>
                <w:color w:val="333333"/>
                <w:sz w:val="21"/>
                <w:szCs w:val="21"/>
              </w:rPr>
              <w:t>矿石亿吨</w:t>
            </w:r>
          </w:p>
        </w:tc>
        <w:tc>
          <w:tcPr>
            <w:tcW w:w="540"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r>
              <w:rPr>
                <w:rFonts w:hint="eastAsia"/>
                <w:color w:val="333333"/>
                <w:sz w:val="21"/>
                <w:szCs w:val="21"/>
              </w:rPr>
              <w:t>1</w:t>
            </w:r>
          </w:p>
        </w:tc>
        <w:tc>
          <w:tcPr>
            <w:tcW w:w="540"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hint="eastAsia"/>
                <w:color w:val="333333"/>
                <w:sz w:val="21"/>
                <w:szCs w:val="21"/>
              </w:rPr>
              <w:t>0.5-1</w:t>
            </w:r>
          </w:p>
        </w:tc>
        <w:tc>
          <w:tcPr>
            <w:tcW w:w="543"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hint="eastAsia"/>
                <w:color w:val="333333"/>
                <w:sz w:val="21"/>
                <w:szCs w:val="21"/>
              </w:rPr>
              <w:t>&lt;0.5</w:t>
            </w:r>
          </w:p>
        </w:tc>
        <w:tc>
          <w:tcPr>
            <w:tcW w:w="581"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81"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eastAsia="仿宋_GB2312" w:hint="eastAsia"/>
                <w:color w:val="333333"/>
                <w:sz w:val="21"/>
                <w:szCs w:val="21"/>
              </w:rPr>
              <w:t>10</w:t>
            </w:r>
            <w:r w:rsidR="005C1509">
              <w:rPr>
                <w:rFonts w:eastAsia="仿宋_GB2312"/>
                <w:color w:val="333333"/>
                <w:sz w:val="21"/>
                <w:szCs w:val="21"/>
              </w:rPr>
              <w:t>0</w:t>
            </w:r>
          </w:p>
        </w:tc>
        <w:tc>
          <w:tcPr>
            <w:tcW w:w="581"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eastAsia="仿宋_GB2312" w:hint="eastAsia"/>
                <w:color w:val="333333"/>
                <w:sz w:val="21"/>
                <w:szCs w:val="21"/>
              </w:rPr>
              <w:t>3</w:t>
            </w:r>
            <w:r w:rsidR="005C1509">
              <w:rPr>
                <w:rFonts w:eastAsia="仿宋_GB2312"/>
                <w:color w:val="333333"/>
                <w:sz w:val="21"/>
                <w:szCs w:val="21"/>
              </w:rPr>
              <w:t>0</w:t>
            </w:r>
          </w:p>
        </w:tc>
        <w:tc>
          <w:tcPr>
            <w:tcW w:w="580"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eastAsia="仿宋_GB2312" w:hint="eastAsia"/>
                <w:color w:val="333333"/>
                <w:sz w:val="21"/>
                <w:szCs w:val="21"/>
              </w:rPr>
              <w:t>3*</w:t>
            </w:r>
          </w:p>
        </w:tc>
      </w:tr>
      <w:tr w:rsidR="005C1509" w:rsidTr="00C37952">
        <w:tc>
          <w:tcPr>
            <w:tcW w:w="514"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eastAsia="仿宋_GB2312"/>
                <w:color w:val="333333"/>
                <w:sz w:val="21"/>
                <w:szCs w:val="21"/>
              </w:rPr>
              <w:t>铝土矿</w:t>
            </w:r>
          </w:p>
        </w:tc>
        <w:tc>
          <w:tcPr>
            <w:tcW w:w="540" w:type="pct"/>
            <w:vAlign w:val="center"/>
          </w:tcPr>
          <w:p w:rsidR="005C1509" w:rsidRDefault="00F4122C" w:rsidP="00F4122C">
            <w:pPr>
              <w:pStyle w:val="af7"/>
              <w:spacing w:before="0" w:beforeAutospacing="0" w:after="0" w:afterAutospacing="0" w:line="315" w:lineRule="atLeast"/>
              <w:jc w:val="center"/>
              <w:rPr>
                <w:color w:val="333333"/>
                <w:sz w:val="21"/>
                <w:szCs w:val="21"/>
              </w:rPr>
            </w:pPr>
            <w:r>
              <w:rPr>
                <w:rFonts w:hint="eastAsia"/>
                <w:color w:val="333333"/>
                <w:sz w:val="21"/>
                <w:szCs w:val="21"/>
              </w:rPr>
              <w:t>矿石万吨</w:t>
            </w:r>
          </w:p>
        </w:tc>
        <w:tc>
          <w:tcPr>
            <w:tcW w:w="540" w:type="pct"/>
            <w:vAlign w:val="center"/>
          </w:tcPr>
          <w:p w:rsidR="005C1509" w:rsidRDefault="00272417"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≥2000</w:t>
            </w:r>
          </w:p>
        </w:tc>
        <w:tc>
          <w:tcPr>
            <w:tcW w:w="540"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hint="eastAsia"/>
                <w:color w:val="333333"/>
                <w:sz w:val="21"/>
                <w:szCs w:val="21"/>
              </w:rPr>
              <w:t>500-2000</w:t>
            </w:r>
          </w:p>
        </w:tc>
        <w:tc>
          <w:tcPr>
            <w:tcW w:w="543" w:type="pct"/>
            <w:vAlign w:val="center"/>
          </w:tcPr>
          <w:p w:rsidR="005C1509" w:rsidRDefault="00C37952" w:rsidP="00C37952">
            <w:pPr>
              <w:pStyle w:val="af7"/>
              <w:spacing w:before="0" w:beforeAutospacing="0" w:after="0" w:afterAutospacing="0" w:line="315" w:lineRule="atLeast"/>
              <w:jc w:val="center"/>
              <w:rPr>
                <w:color w:val="333333"/>
                <w:sz w:val="21"/>
                <w:szCs w:val="21"/>
              </w:rPr>
            </w:pPr>
            <w:r>
              <w:rPr>
                <w:rFonts w:hint="eastAsia"/>
                <w:color w:val="333333"/>
                <w:sz w:val="21"/>
                <w:szCs w:val="21"/>
              </w:rPr>
              <w:t>&lt;500</w:t>
            </w:r>
          </w:p>
        </w:tc>
        <w:tc>
          <w:tcPr>
            <w:tcW w:w="581" w:type="pct"/>
            <w:vAlign w:val="center"/>
          </w:tcPr>
          <w:p w:rsidR="005C1509" w:rsidRDefault="005C1509" w:rsidP="00F4122C">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81"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eastAsia="仿宋_GB2312" w:hint="eastAsia"/>
                <w:color w:val="333333"/>
                <w:sz w:val="21"/>
                <w:szCs w:val="21"/>
              </w:rPr>
              <w:t>10</w:t>
            </w:r>
            <w:r w:rsidR="005C1509">
              <w:rPr>
                <w:rFonts w:eastAsia="仿宋_GB2312"/>
                <w:color w:val="333333"/>
                <w:sz w:val="21"/>
                <w:szCs w:val="21"/>
              </w:rPr>
              <w:t>0</w:t>
            </w:r>
          </w:p>
        </w:tc>
        <w:tc>
          <w:tcPr>
            <w:tcW w:w="581"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eastAsia="仿宋_GB2312" w:hint="eastAsia"/>
                <w:color w:val="333333"/>
                <w:sz w:val="21"/>
                <w:szCs w:val="21"/>
              </w:rPr>
              <w:t>3</w:t>
            </w:r>
            <w:r w:rsidR="005C1509">
              <w:rPr>
                <w:rFonts w:eastAsia="仿宋_GB2312"/>
                <w:color w:val="333333"/>
                <w:sz w:val="21"/>
                <w:szCs w:val="21"/>
              </w:rPr>
              <w:t>0</w:t>
            </w:r>
          </w:p>
        </w:tc>
        <w:tc>
          <w:tcPr>
            <w:tcW w:w="580"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eastAsia="仿宋_GB2312" w:hint="eastAsia"/>
                <w:color w:val="333333"/>
                <w:sz w:val="21"/>
                <w:szCs w:val="21"/>
              </w:rPr>
              <w:t>6</w:t>
            </w:r>
          </w:p>
        </w:tc>
      </w:tr>
      <w:tr w:rsidR="005C1509" w:rsidTr="00C37952">
        <w:tc>
          <w:tcPr>
            <w:tcW w:w="514" w:type="pct"/>
            <w:vAlign w:val="center"/>
          </w:tcPr>
          <w:p w:rsidR="005C1509" w:rsidRDefault="00C37952" w:rsidP="00C37952">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p>
        </w:tc>
        <w:tc>
          <w:tcPr>
            <w:tcW w:w="540"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p>
        </w:tc>
        <w:tc>
          <w:tcPr>
            <w:tcW w:w="540"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p>
        </w:tc>
        <w:tc>
          <w:tcPr>
            <w:tcW w:w="540"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p>
        </w:tc>
        <w:tc>
          <w:tcPr>
            <w:tcW w:w="543"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p>
        </w:tc>
        <w:tc>
          <w:tcPr>
            <w:tcW w:w="581"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p>
        </w:tc>
        <w:tc>
          <w:tcPr>
            <w:tcW w:w="581"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p>
        </w:tc>
        <w:tc>
          <w:tcPr>
            <w:tcW w:w="581"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r w:rsidR="005C1509">
              <w:rPr>
                <w:color w:val="333333"/>
                <w:sz w:val="21"/>
                <w:szCs w:val="21"/>
              </w:rPr>
              <w:t> </w:t>
            </w:r>
          </w:p>
        </w:tc>
        <w:tc>
          <w:tcPr>
            <w:tcW w:w="580" w:type="pct"/>
            <w:vAlign w:val="center"/>
          </w:tcPr>
          <w:p w:rsidR="005C1509" w:rsidRDefault="00C37952" w:rsidP="00F4122C">
            <w:pPr>
              <w:pStyle w:val="af7"/>
              <w:spacing w:before="0" w:beforeAutospacing="0" w:after="0" w:afterAutospacing="0" w:line="315" w:lineRule="atLeast"/>
              <w:jc w:val="center"/>
              <w:rPr>
                <w:color w:val="333333"/>
                <w:sz w:val="21"/>
                <w:szCs w:val="21"/>
              </w:rPr>
            </w:pPr>
            <w:r>
              <w:rPr>
                <w:rFonts w:ascii="宋体" w:hAnsi="宋体" w:hint="eastAsia"/>
                <w:color w:val="333333"/>
                <w:sz w:val="21"/>
                <w:szCs w:val="21"/>
              </w:rPr>
              <w:t>…</w:t>
            </w:r>
            <w:r w:rsidR="005C1509">
              <w:rPr>
                <w:color w:val="333333"/>
                <w:sz w:val="21"/>
                <w:szCs w:val="21"/>
              </w:rPr>
              <w:t> </w:t>
            </w:r>
          </w:p>
        </w:tc>
      </w:tr>
    </w:tbl>
    <w:p w:rsidR="00F8114F" w:rsidRPr="00F8114F" w:rsidRDefault="005C1509" w:rsidP="00F8114F">
      <w:pPr>
        <w:spacing w:line="520" w:lineRule="exact"/>
        <w:ind w:firstLineChars="200" w:firstLine="480"/>
        <w:rPr>
          <w:sz w:val="24"/>
        </w:rPr>
      </w:pPr>
      <w:r>
        <w:rPr>
          <w:rFonts w:hint="eastAsia"/>
          <w:bCs/>
          <w:sz w:val="24"/>
        </w:rPr>
        <w:t>2</w:t>
      </w:r>
      <w:r>
        <w:rPr>
          <w:rFonts w:hint="eastAsia"/>
          <w:bCs/>
          <w:sz w:val="24"/>
        </w:rPr>
        <w:t>、</w:t>
      </w:r>
      <w:r w:rsidR="00E87823">
        <w:rPr>
          <w:rFonts w:hint="eastAsia"/>
          <w:bCs/>
          <w:sz w:val="24"/>
        </w:rPr>
        <w:t>矿产资源</w:t>
      </w:r>
      <w:r w:rsidR="00F8114F" w:rsidRPr="00F8114F">
        <w:rPr>
          <w:rFonts w:hint="eastAsia"/>
          <w:bCs/>
          <w:sz w:val="24"/>
        </w:rPr>
        <w:t>总量调控：</w:t>
      </w:r>
    </w:p>
    <w:p w:rsidR="00E87823" w:rsidRDefault="00F8114F" w:rsidP="00E87823">
      <w:pPr>
        <w:spacing w:line="520" w:lineRule="exact"/>
        <w:ind w:firstLineChars="200" w:firstLine="480"/>
        <w:rPr>
          <w:bCs/>
          <w:sz w:val="24"/>
        </w:rPr>
      </w:pPr>
      <w:r w:rsidRPr="00F8114F">
        <w:rPr>
          <w:rFonts w:hint="eastAsia"/>
          <w:bCs/>
          <w:sz w:val="24"/>
        </w:rPr>
        <w:t>煤炭：煤炭是许昌市传统优势矿产，现开发利用能力强，今后开发要根据市场需求调控开采总量，通过资源、资金、技术、产业整合，尽快形成</w:t>
      </w:r>
      <w:r w:rsidRPr="00F8114F">
        <w:rPr>
          <w:rFonts w:hint="eastAsia"/>
          <w:bCs/>
          <w:sz w:val="24"/>
        </w:rPr>
        <w:t>2</w:t>
      </w:r>
      <w:r w:rsidRPr="00F8114F">
        <w:rPr>
          <w:rFonts w:hint="eastAsia"/>
          <w:bCs/>
          <w:sz w:val="24"/>
        </w:rPr>
        <w:t>—</w:t>
      </w:r>
      <w:r w:rsidRPr="00F8114F">
        <w:rPr>
          <w:rFonts w:hint="eastAsia"/>
          <w:bCs/>
          <w:sz w:val="24"/>
        </w:rPr>
        <w:t>3</w:t>
      </w:r>
      <w:r w:rsidRPr="00F8114F">
        <w:rPr>
          <w:rFonts w:hint="eastAsia"/>
          <w:bCs/>
          <w:sz w:val="24"/>
        </w:rPr>
        <w:t>个生产能力在</w:t>
      </w:r>
      <w:r w:rsidRPr="00F8114F">
        <w:rPr>
          <w:rFonts w:hint="eastAsia"/>
          <w:bCs/>
          <w:sz w:val="24"/>
        </w:rPr>
        <w:t>500</w:t>
      </w:r>
      <w:r w:rsidRPr="00F8114F">
        <w:rPr>
          <w:rFonts w:hint="eastAsia"/>
          <w:bCs/>
          <w:sz w:val="24"/>
        </w:rPr>
        <w:t>万吨</w:t>
      </w:r>
      <w:r w:rsidRPr="00F8114F">
        <w:rPr>
          <w:rFonts w:hint="eastAsia"/>
          <w:bCs/>
          <w:sz w:val="24"/>
        </w:rPr>
        <w:t>/</w:t>
      </w:r>
      <w:r w:rsidRPr="00F8114F">
        <w:rPr>
          <w:rFonts w:hint="eastAsia"/>
          <w:bCs/>
          <w:sz w:val="24"/>
        </w:rPr>
        <w:t>年以上的大型煤炭企业或企业集团，煤炭及煤炭加工生产总值年均增长速度达到</w:t>
      </w:r>
      <w:r w:rsidRPr="00F8114F">
        <w:rPr>
          <w:rFonts w:hint="eastAsia"/>
          <w:bCs/>
          <w:sz w:val="24"/>
        </w:rPr>
        <w:t>20%</w:t>
      </w:r>
      <w:r w:rsidRPr="00F8114F">
        <w:rPr>
          <w:rFonts w:hint="eastAsia"/>
          <w:bCs/>
          <w:sz w:val="24"/>
        </w:rPr>
        <w:t>以上。到</w:t>
      </w:r>
      <w:r w:rsidRPr="00F8114F">
        <w:rPr>
          <w:rFonts w:hint="eastAsia"/>
          <w:bCs/>
          <w:sz w:val="24"/>
        </w:rPr>
        <w:t>2012</w:t>
      </w:r>
      <w:r w:rsidRPr="00F8114F">
        <w:rPr>
          <w:rFonts w:hint="eastAsia"/>
          <w:bCs/>
          <w:sz w:val="24"/>
        </w:rPr>
        <w:t>年，煤炭及煤炭加工业生产总值占</w:t>
      </w:r>
      <w:r w:rsidRPr="00F8114F">
        <w:rPr>
          <w:rFonts w:hint="eastAsia"/>
          <w:bCs/>
          <w:sz w:val="24"/>
        </w:rPr>
        <w:t>GDP</w:t>
      </w:r>
      <w:r w:rsidRPr="00F8114F">
        <w:rPr>
          <w:rFonts w:hint="eastAsia"/>
          <w:bCs/>
          <w:sz w:val="24"/>
        </w:rPr>
        <w:t>的比重达到</w:t>
      </w:r>
      <w:r w:rsidRPr="00F8114F">
        <w:rPr>
          <w:rFonts w:hint="eastAsia"/>
          <w:bCs/>
          <w:sz w:val="24"/>
        </w:rPr>
        <w:t>11%</w:t>
      </w:r>
      <w:r w:rsidRPr="00F8114F">
        <w:rPr>
          <w:rFonts w:hint="eastAsia"/>
          <w:bCs/>
          <w:sz w:val="24"/>
        </w:rPr>
        <w:t>以上，原煤生产能力达到</w:t>
      </w:r>
      <w:r w:rsidRPr="00F8114F">
        <w:rPr>
          <w:rFonts w:hint="eastAsia"/>
          <w:bCs/>
          <w:sz w:val="24"/>
        </w:rPr>
        <w:t>3200</w:t>
      </w:r>
      <w:r w:rsidRPr="00F8114F">
        <w:rPr>
          <w:rFonts w:hint="eastAsia"/>
          <w:bCs/>
          <w:sz w:val="24"/>
        </w:rPr>
        <w:t>万吨，发电装机容量达到</w:t>
      </w:r>
      <w:r w:rsidRPr="00F8114F">
        <w:rPr>
          <w:rFonts w:hint="eastAsia"/>
          <w:bCs/>
          <w:sz w:val="24"/>
        </w:rPr>
        <w:t>450</w:t>
      </w:r>
      <w:r w:rsidRPr="00F8114F">
        <w:rPr>
          <w:rFonts w:hint="eastAsia"/>
          <w:bCs/>
          <w:sz w:val="24"/>
        </w:rPr>
        <w:t>万千瓦，煤炭洗选能力达到</w:t>
      </w:r>
      <w:r w:rsidRPr="00F8114F">
        <w:rPr>
          <w:rFonts w:hint="eastAsia"/>
          <w:bCs/>
          <w:sz w:val="24"/>
        </w:rPr>
        <w:t>1300</w:t>
      </w:r>
      <w:r w:rsidRPr="00F8114F">
        <w:rPr>
          <w:rFonts w:hint="eastAsia"/>
          <w:bCs/>
          <w:sz w:val="24"/>
        </w:rPr>
        <w:t>万吨，煤化工产值达到</w:t>
      </w:r>
      <w:r w:rsidRPr="00F8114F">
        <w:rPr>
          <w:rFonts w:hint="eastAsia"/>
          <w:bCs/>
          <w:sz w:val="24"/>
        </w:rPr>
        <w:t>50</w:t>
      </w:r>
      <w:r w:rsidRPr="00F8114F">
        <w:rPr>
          <w:rFonts w:hint="eastAsia"/>
          <w:bCs/>
          <w:sz w:val="24"/>
        </w:rPr>
        <w:t>亿元，使许昌成为河南主要的能源和煤化工基地；加强优质动力煤的保护性开采，各级发展改革部门要严把市场准入关，一律不得核准、备案（或报请核准、备案）生产能力低于</w:t>
      </w:r>
      <w:r w:rsidRPr="00F8114F">
        <w:rPr>
          <w:rFonts w:hint="eastAsia"/>
          <w:bCs/>
          <w:sz w:val="24"/>
        </w:rPr>
        <w:t>60</w:t>
      </w:r>
      <w:r w:rsidRPr="00F8114F">
        <w:rPr>
          <w:rFonts w:hint="eastAsia"/>
          <w:bCs/>
          <w:sz w:val="24"/>
        </w:rPr>
        <w:t>万吨</w:t>
      </w:r>
      <w:r w:rsidRPr="00F8114F">
        <w:rPr>
          <w:rFonts w:hint="eastAsia"/>
          <w:bCs/>
          <w:sz w:val="24"/>
        </w:rPr>
        <w:t>/</w:t>
      </w:r>
      <w:r w:rsidRPr="00F8114F">
        <w:rPr>
          <w:rFonts w:hint="eastAsia"/>
          <w:bCs/>
          <w:sz w:val="24"/>
        </w:rPr>
        <w:t>年的新建矿井、</w:t>
      </w:r>
      <w:r w:rsidRPr="00F8114F">
        <w:rPr>
          <w:rFonts w:hint="eastAsia"/>
          <w:bCs/>
          <w:sz w:val="24"/>
        </w:rPr>
        <w:t>30</w:t>
      </w:r>
      <w:r w:rsidRPr="00F8114F">
        <w:rPr>
          <w:rFonts w:hint="eastAsia"/>
          <w:bCs/>
          <w:sz w:val="24"/>
        </w:rPr>
        <w:t>万吨</w:t>
      </w:r>
      <w:r w:rsidRPr="00F8114F">
        <w:rPr>
          <w:rFonts w:hint="eastAsia"/>
          <w:bCs/>
          <w:sz w:val="24"/>
        </w:rPr>
        <w:t>/</w:t>
      </w:r>
      <w:r w:rsidRPr="00F8114F">
        <w:rPr>
          <w:rFonts w:hint="eastAsia"/>
          <w:bCs/>
          <w:sz w:val="24"/>
        </w:rPr>
        <w:t>年以下的煤炭洗选工程，</w:t>
      </w:r>
      <w:r w:rsidRPr="00F8114F">
        <w:rPr>
          <w:rFonts w:hint="eastAsia"/>
          <w:bCs/>
          <w:sz w:val="24"/>
        </w:rPr>
        <w:t>2012</w:t>
      </w:r>
      <w:r w:rsidRPr="00F8114F">
        <w:rPr>
          <w:rFonts w:hint="eastAsia"/>
          <w:bCs/>
          <w:sz w:val="24"/>
        </w:rPr>
        <w:t>年前关闭所有</w:t>
      </w:r>
      <w:r w:rsidRPr="00F8114F">
        <w:rPr>
          <w:rFonts w:hint="eastAsia"/>
          <w:bCs/>
          <w:sz w:val="24"/>
        </w:rPr>
        <w:t>15</w:t>
      </w:r>
      <w:r w:rsidRPr="00F8114F">
        <w:rPr>
          <w:rFonts w:hint="eastAsia"/>
          <w:bCs/>
          <w:sz w:val="24"/>
        </w:rPr>
        <w:t>万吨</w:t>
      </w:r>
      <w:r w:rsidRPr="00F8114F">
        <w:rPr>
          <w:rFonts w:hint="eastAsia"/>
          <w:bCs/>
          <w:sz w:val="24"/>
        </w:rPr>
        <w:t>/</w:t>
      </w:r>
      <w:r w:rsidRPr="00F8114F">
        <w:rPr>
          <w:rFonts w:hint="eastAsia"/>
          <w:bCs/>
          <w:sz w:val="24"/>
        </w:rPr>
        <w:t>年以下（不含</w:t>
      </w:r>
      <w:r w:rsidRPr="00F8114F">
        <w:rPr>
          <w:rFonts w:hint="eastAsia"/>
          <w:bCs/>
          <w:sz w:val="24"/>
        </w:rPr>
        <w:t>15</w:t>
      </w:r>
      <w:r w:rsidRPr="00F8114F">
        <w:rPr>
          <w:rFonts w:hint="eastAsia"/>
          <w:bCs/>
          <w:sz w:val="24"/>
        </w:rPr>
        <w:t>万吨</w:t>
      </w:r>
      <w:r w:rsidRPr="00F8114F">
        <w:rPr>
          <w:rFonts w:hint="eastAsia"/>
          <w:bCs/>
          <w:sz w:val="24"/>
        </w:rPr>
        <w:t>/</w:t>
      </w:r>
      <w:r w:rsidRPr="00F8114F">
        <w:rPr>
          <w:rFonts w:hint="eastAsia"/>
          <w:bCs/>
          <w:sz w:val="24"/>
        </w:rPr>
        <w:t>年）的小</w:t>
      </w:r>
      <w:r w:rsidRPr="00F8114F">
        <w:rPr>
          <w:rFonts w:hint="eastAsia"/>
          <w:bCs/>
          <w:sz w:val="24"/>
        </w:rPr>
        <w:lastRenderedPageBreak/>
        <w:t>型矿井；满足许昌市建设省重要的火电基地和市热电联产工程的需求及其它工业、生活用煤需求。</w:t>
      </w:r>
    </w:p>
    <w:p w:rsidR="00F8114F" w:rsidRPr="00F8114F" w:rsidRDefault="00C37952" w:rsidP="00E87823">
      <w:pPr>
        <w:spacing w:line="520" w:lineRule="exact"/>
        <w:ind w:firstLineChars="200" w:firstLine="480"/>
        <w:rPr>
          <w:bCs/>
          <w:sz w:val="24"/>
        </w:rPr>
      </w:pPr>
      <w:r>
        <w:rPr>
          <w:rFonts w:hint="eastAsia"/>
          <w:bCs/>
          <w:sz w:val="24"/>
        </w:rPr>
        <w:t>3</w:t>
      </w:r>
      <w:r w:rsidR="00E87823">
        <w:rPr>
          <w:rFonts w:hint="eastAsia"/>
          <w:bCs/>
          <w:sz w:val="24"/>
        </w:rPr>
        <w:t>、矿产资源开发</w:t>
      </w:r>
      <w:r w:rsidR="00F8114F" w:rsidRPr="00F8114F">
        <w:rPr>
          <w:rFonts w:hint="eastAsia"/>
          <w:bCs/>
          <w:sz w:val="24"/>
        </w:rPr>
        <w:t>规划区划分：</w:t>
      </w:r>
    </w:p>
    <w:p w:rsidR="00F8114F" w:rsidRPr="00F8114F" w:rsidRDefault="00F8114F" w:rsidP="00F8114F">
      <w:pPr>
        <w:spacing w:line="520" w:lineRule="exact"/>
        <w:ind w:firstLineChars="200" w:firstLine="480"/>
        <w:rPr>
          <w:bCs/>
          <w:sz w:val="24"/>
        </w:rPr>
      </w:pPr>
      <w:r w:rsidRPr="00F8114F">
        <w:rPr>
          <w:rFonts w:hint="eastAsia"/>
          <w:bCs/>
          <w:sz w:val="24"/>
        </w:rPr>
        <w:t>重点开采区：禹州市神后—褚河煤炭开采区、平顶山矿务局十三矿、襄城县首山一矿、许昌铁矿开采区、禹州市大鸡山水泥灰岩矿区、禹州市角子山水泥灰岩矿区等</w:t>
      </w:r>
      <w:r w:rsidRPr="00F8114F">
        <w:rPr>
          <w:rFonts w:hint="eastAsia"/>
          <w:bCs/>
          <w:sz w:val="24"/>
        </w:rPr>
        <w:t>6</w:t>
      </w:r>
      <w:r w:rsidRPr="00F8114F">
        <w:rPr>
          <w:rFonts w:hint="eastAsia"/>
          <w:bCs/>
          <w:sz w:val="24"/>
        </w:rPr>
        <w:t>处。</w:t>
      </w:r>
    </w:p>
    <w:p w:rsidR="00F8114F" w:rsidRPr="00F8114F" w:rsidRDefault="00F8114F" w:rsidP="00F8114F">
      <w:pPr>
        <w:spacing w:line="520" w:lineRule="exact"/>
        <w:ind w:firstLineChars="200" w:firstLine="480"/>
        <w:rPr>
          <w:bCs/>
          <w:sz w:val="24"/>
        </w:rPr>
      </w:pPr>
      <w:r w:rsidRPr="00F8114F">
        <w:rPr>
          <w:rFonts w:hint="eastAsia"/>
          <w:bCs/>
          <w:sz w:val="24"/>
        </w:rPr>
        <w:t>鼓励开采区：禹州市方山煤矿、禹州市新峰一矿、禹州市磨街—文殊煤炭开采区、平顶山市十二矿、平顶山市八矿、禹州市方山铝土矿区、禹州市鸿畅铝土矿（粘土矿）区、禹州市杨垌沟水泥灰岩矿区、禹州市无梁灵山水泥用灰岩矿区、禹州市诸候山建筑石料开采区、长葛市陉山建材开采区、襄城县灵武山建材开采区、襄城县首山建材开采区、鄢陵县陈化店地热、矿泉水开采区等</w:t>
      </w:r>
      <w:r w:rsidRPr="00F8114F">
        <w:rPr>
          <w:rFonts w:hint="eastAsia"/>
          <w:bCs/>
          <w:sz w:val="24"/>
        </w:rPr>
        <w:t>14</w:t>
      </w:r>
      <w:r w:rsidRPr="00F8114F">
        <w:rPr>
          <w:rFonts w:hint="eastAsia"/>
          <w:bCs/>
          <w:sz w:val="24"/>
        </w:rPr>
        <w:t>处。</w:t>
      </w:r>
    </w:p>
    <w:p w:rsidR="00F8114F" w:rsidRPr="00F8114F" w:rsidRDefault="00F8114F" w:rsidP="00F8114F">
      <w:pPr>
        <w:spacing w:line="520" w:lineRule="exact"/>
        <w:ind w:firstLineChars="200" w:firstLine="480"/>
        <w:rPr>
          <w:bCs/>
          <w:sz w:val="24"/>
        </w:rPr>
      </w:pPr>
      <w:r w:rsidRPr="00F8114F">
        <w:rPr>
          <w:rFonts w:hint="eastAsia"/>
          <w:bCs/>
          <w:sz w:val="24"/>
        </w:rPr>
        <w:t>限制开采区：禹州市苌庄铝土矿（粘土矿）区、禹州市佛山黄铁矿区、禹州市包炉水泥配料用粘土矿区、许昌县水道杨水泥配料用粘土、许昌市区地热、地下水资源开采区等。</w:t>
      </w:r>
    </w:p>
    <w:p w:rsidR="00F8114F" w:rsidRPr="00F8114F" w:rsidRDefault="00F8114F" w:rsidP="00F8114F">
      <w:pPr>
        <w:spacing w:line="520" w:lineRule="exact"/>
        <w:ind w:firstLineChars="200" w:firstLine="480"/>
        <w:rPr>
          <w:bCs/>
          <w:sz w:val="24"/>
        </w:rPr>
      </w:pPr>
      <w:r w:rsidRPr="00F8114F">
        <w:rPr>
          <w:rFonts w:hint="eastAsia"/>
          <w:bCs/>
          <w:sz w:val="24"/>
        </w:rPr>
        <w:t>资源储备区：岗于铁矿资源储备区、泉店铁矿资源储备区、灵井铁矿资源储备区等</w:t>
      </w:r>
      <w:r w:rsidRPr="00F8114F">
        <w:rPr>
          <w:rFonts w:hint="eastAsia"/>
          <w:bCs/>
          <w:sz w:val="24"/>
        </w:rPr>
        <w:t>3</w:t>
      </w:r>
      <w:r w:rsidRPr="00F8114F">
        <w:rPr>
          <w:rFonts w:hint="eastAsia"/>
          <w:bCs/>
          <w:sz w:val="24"/>
        </w:rPr>
        <w:t>处。</w:t>
      </w:r>
    </w:p>
    <w:p w:rsidR="00F8114F" w:rsidRPr="00F8114F" w:rsidRDefault="00C37952" w:rsidP="00C37952">
      <w:pPr>
        <w:spacing w:line="520" w:lineRule="exact"/>
        <w:rPr>
          <w:bCs/>
          <w:sz w:val="24"/>
        </w:rPr>
      </w:pPr>
      <w:r>
        <w:rPr>
          <w:color w:val="000000"/>
          <w:sz w:val="24"/>
        </w:rPr>
        <w:t>10.4.2.</w:t>
      </w:r>
      <w:r>
        <w:rPr>
          <w:rFonts w:hint="eastAsia"/>
          <w:color w:val="000000"/>
          <w:sz w:val="24"/>
        </w:rPr>
        <w:t>2</w:t>
      </w:r>
      <w:r w:rsidR="00F8114F" w:rsidRPr="00F8114F">
        <w:rPr>
          <w:rFonts w:hint="eastAsia"/>
          <w:bCs/>
          <w:sz w:val="24"/>
        </w:rPr>
        <w:t>相符性分析</w:t>
      </w:r>
    </w:p>
    <w:p w:rsidR="00F8114F" w:rsidRPr="00F8114F" w:rsidRDefault="00C37952" w:rsidP="00C37952">
      <w:pPr>
        <w:adjustRightInd w:val="0"/>
        <w:spacing w:line="520" w:lineRule="exact"/>
        <w:ind w:firstLineChars="200" w:firstLine="480"/>
        <w:jc w:val="left"/>
        <w:rPr>
          <w:lang w:val="de-DE"/>
        </w:rPr>
      </w:pPr>
      <w:r w:rsidRPr="00C37952">
        <w:rPr>
          <w:bCs/>
          <w:sz w:val="24"/>
        </w:rPr>
        <w:t>本项目位于禹州市鸠山镇，矿区不在禁止开采区和限制开采区内；项目属于煤炭开采升级改造项目，</w:t>
      </w:r>
      <w:r>
        <w:rPr>
          <w:rFonts w:hint="eastAsia"/>
          <w:bCs/>
          <w:sz w:val="24"/>
        </w:rPr>
        <w:t>开采规模符合许昌市</w:t>
      </w:r>
      <w:r w:rsidRPr="00C37952">
        <w:rPr>
          <w:bCs/>
          <w:sz w:val="24"/>
        </w:rPr>
        <w:t>矿山最低开采规模要求。因此本项目建设符合</w:t>
      </w:r>
      <w:r w:rsidRPr="00C37952">
        <w:rPr>
          <w:bCs/>
          <w:sz w:val="24"/>
          <w:lang w:val="de-DE"/>
        </w:rPr>
        <w:t>《</w:t>
      </w:r>
      <w:r>
        <w:rPr>
          <w:rFonts w:hint="eastAsia"/>
          <w:bCs/>
          <w:sz w:val="24"/>
          <w:lang w:val="de-DE"/>
        </w:rPr>
        <w:t>许昌</w:t>
      </w:r>
      <w:r w:rsidRPr="00C37952">
        <w:rPr>
          <w:bCs/>
          <w:sz w:val="24"/>
          <w:lang w:val="de-DE"/>
        </w:rPr>
        <w:t>市矿产资源总体规划（</w:t>
      </w:r>
      <w:r w:rsidRPr="00C37952">
        <w:rPr>
          <w:bCs/>
          <w:sz w:val="24"/>
          <w:lang w:val="de-DE"/>
        </w:rPr>
        <w:t>2016—2020</w:t>
      </w:r>
      <w:r w:rsidRPr="00C37952">
        <w:rPr>
          <w:bCs/>
          <w:sz w:val="24"/>
          <w:lang w:val="de-DE"/>
        </w:rPr>
        <w:t>年）》的要求。</w:t>
      </w:r>
    </w:p>
    <w:p w:rsidR="00240BCE" w:rsidRDefault="00AC0334" w:rsidP="009C5F33">
      <w:pPr>
        <w:adjustRightInd w:val="0"/>
        <w:snapToGrid w:val="0"/>
        <w:spacing w:beforeLines="70" w:afterLines="30"/>
        <w:jc w:val="left"/>
        <w:outlineLvl w:val="2"/>
        <w:rPr>
          <w:rFonts w:eastAsia="楷体"/>
          <w:b/>
          <w:bCs/>
          <w:color w:val="000000"/>
          <w:szCs w:val="28"/>
        </w:rPr>
      </w:pPr>
      <w:r>
        <w:rPr>
          <w:rFonts w:eastAsia="楷体"/>
          <w:b/>
          <w:bCs/>
          <w:color w:val="000000"/>
          <w:szCs w:val="28"/>
        </w:rPr>
        <w:t>10.4.</w:t>
      </w:r>
      <w:r w:rsidR="00C37952">
        <w:rPr>
          <w:rFonts w:eastAsia="楷体" w:hint="eastAsia"/>
          <w:b/>
          <w:bCs/>
          <w:color w:val="000000"/>
          <w:szCs w:val="28"/>
        </w:rPr>
        <w:t>3</w:t>
      </w:r>
      <w:r>
        <w:rPr>
          <w:rFonts w:eastAsia="楷体"/>
          <w:b/>
          <w:bCs/>
          <w:color w:val="000000"/>
          <w:szCs w:val="28"/>
        </w:rPr>
        <w:t>与《禹州市矿产资源总体规划》（</w:t>
      </w:r>
      <w:r>
        <w:rPr>
          <w:rFonts w:eastAsia="楷体"/>
          <w:b/>
          <w:bCs/>
          <w:color w:val="000000"/>
          <w:szCs w:val="28"/>
        </w:rPr>
        <w:t>2016-2020</w:t>
      </w:r>
      <w:r>
        <w:rPr>
          <w:rFonts w:eastAsia="楷体"/>
          <w:b/>
          <w:bCs/>
          <w:color w:val="000000"/>
          <w:szCs w:val="28"/>
        </w:rPr>
        <w:t>）的相符性分析</w:t>
      </w:r>
    </w:p>
    <w:p w:rsidR="00240BCE" w:rsidRDefault="00AC0334">
      <w:pPr>
        <w:spacing w:line="520" w:lineRule="exact"/>
        <w:rPr>
          <w:color w:val="000000"/>
          <w:sz w:val="24"/>
        </w:rPr>
      </w:pPr>
      <w:r>
        <w:rPr>
          <w:color w:val="000000"/>
          <w:sz w:val="24"/>
        </w:rPr>
        <w:t>10.4.</w:t>
      </w:r>
      <w:r w:rsidR="00C37952">
        <w:rPr>
          <w:rFonts w:hint="eastAsia"/>
          <w:color w:val="000000"/>
          <w:sz w:val="24"/>
        </w:rPr>
        <w:t>3</w:t>
      </w:r>
      <w:r>
        <w:rPr>
          <w:color w:val="000000"/>
          <w:sz w:val="24"/>
        </w:rPr>
        <w:t>.1</w:t>
      </w:r>
      <w:r>
        <w:rPr>
          <w:b/>
          <w:bCs/>
          <w:color w:val="000000"/>
          <w:sz w:val="24"/>
        </w:rPr>
        <w:t>《禹州市矿产资源总体规划》（</w:t>
      </w:r>
      <w:r>
        <w:rPr>
          <w:b/>
          <w:bCs/>
          <w:color w:val="000000"/>
          <w:sz w:val="24"/>
        </w:rPr>
        <w:t>2016-2020</w:t>
      </w:r>
      <w:r>
        <w:rPr>
          <w:b/>
          <w:bCs/>
          <w:color w:val="000000"/>
          <w:sz w:val="24"/>
        </w:rPr>
        <w:t>）</w:t>
      </w:r>
    </w:p>
    <w:p w:rsidR="00240BCE" w:rsidRDefault="00AC0334">
      <w:pPr>
        <w:adjustRightInd w:val="0"/>
        <w:spacing w:line="520" w:lineRule="exact"/>
        <w:ind w:firstLineChars="200" w:firstLine="480"/>
        <w:jc w:val="left"/>
        <w:rPr>
          <w:sz w:val="24"/>
        </w:rPr>
      </w:pPr>
      <w:r>
        <w:rPr>
          <w:sz w:val="24"/>
        </w:rPr>
        <w:t>相关内容摘录如下：</w:t>
      </w:r>
    </w:p>
    <w:p w:rsidR="00240BCE" w:rsidRDefault="00AC0334">
      <w:pPr>
        <w:adjustRightInd w:val="0"/>
        <w:spacing w:line="520" w:lineRule="exact"/>
        <w:ind w:firstLineChars="200" w:firstLine="480"/>
        <w:jc w:val="left"/>
        <w:rPr>
          <w:sz w:val="24"/>
        </w:rPr>
      </w:pPr>
      <w:r>
        <w:rPr>
          <w:sz w:val="24"/>
        </w:rPr>
        <w:t>《规划》基期年为</w:t>
      </w:r>
      <w:r>
        <w:rPr>
          <w:sz w:val="24"/>
        </w:rPr>
        <w:t>2015</w:t>
      </w:r>
      <w:r>
        <w:rPr>
          <w:sz w:val="24"/>
        </w:rPr>
        <w:t>年，规划期</w:t>
      </w:r>
      <w:r>
        <w:rPr>
          <w:sz w:val="24"/>
        </w:rPr>
        <w:t>2016-2020</w:t>
      </w:r>
      <w:r>
        <w:rPr>
          <w:sz w:val="24"/>
        </w:rPr>
        <w:t>年，展望到</w:t>
      </w:r>
      <w:r>
        <w:rPr>
          <w:sz w:val="24"/>
        </w:rPr>
        <w:t>2025</w:t>
      </w:r>
      <w:r>
        <w:rPr>
          <w:sz w:val="24"/>
        </w:rPr>
        <w:t>年。</w:t>
      </w:r>
    </w:p>
    <w:p w:rsidR="00240BCE" w:rsidRDefault="00AC0334">
      <w:pPr>
        <w:spacing w:line="520" w:lineRule="exact"/>
        <w:ind w:firstLineChars="200" w:firstLine="480"/>
        <w:rPr>
          <w:sz w:val="24"/>
        </w:rPr>
      </w:pPr>
      <w:r>
        <w:rPr>
          <w:sz w:val="24"/>
        </w:rPr>
        <w:t>第四节</w:t>
      </w:r>
      <w:r>
        <w:rPr>
          <w:sz w:val="24"/>
        </w:rPr>
        <w:t>  </w:t>
      </w:r>
      <w:r>
        <w:rPr>
          <w:sz w:val="24"/>
        </w:rPr>
        <w:t>矿产资源开发利用与保护</w:t>
      </w:r>
    </w:p>
    <w:p w:rsidR="00240BCE" w:rsidRDefault="00AC0334">
      <w:pPr>
        <w:spacing w:line="520" w:lineRule="exact"/>
        <w:ind w:firstLineChars="200" w:firstLine="480"/>
        <w:rPr>
          <w:sz w:val="24"/>
        </w:rPr>
      </w:pPr>
      <w:r>
        <w:rPr>
          <w:sz w:val="24"/>
        </w:rPr>
        <w:lastRenderedPageBreak/>
        <w:t>一、开发利用方向</w:t>
      </w:r>
    </w:p>
    <w:p w:rsidR="00240BCE" w:rsidRDefault="00AC0334">
      <w:pPr>
        <w:spacing w:line="520" w:lineRule="exact"/>
        <w:ind w:firstLineChars="200" w:firstLine="480"/>
        <w:rPr>
          <w:sz w:val="24"/>
        </w:rPr>
      </w:pPr>
      <w:r>
        <w:rPr>
          <w:sz w:val="24"/>
        </w:rPr>
        <w:t>鼓励开采铝土矿、耐火粘土、水泥用灰岩、建筑石料用灰岩等矿种。限制开采高硫、高灰煤（已建矿井）。禁止开采高硫、高灰煤（新建矿井）；禁止开采已有土壤覆盖层的古河道埋藏沙，禁止开挖耕地烧制实心砖瓦。</w:t>
      </w:r>
    </w:p>
    <w:p w:rsidR="00240BCE" w:rsidRDefault="00AC0334">
      <w:pPr>
        <w:spacing w:line="520" w:lineRule="exact"/>
        <w:ind w:firstLineChars="200" w:firstLine="480"/>
        <w:rPr>
          <w:sz w:val="24"/>
        </w:rPr>
      </w:pPr>
      <w:r>
        <w:rPr>
          <w:sz w:val="24"/>
        </w:rPr>
        <w:t>控制产能过剩矿产开发。煤炭产能过剩，严禁超能力生产，严格控制新建矿山。除国家批准外，严格控制新增煤炭产能，规划期内原则上停止新建煤矿项目、新增产能的技术改造项目和产能核增项目；因结构调整、转型升级等原因确需新建煤矿的，一律实行减量置换。</w:t>
      </w:r>
    </w:p>
    <w:p w:rsidR="00240BCE" w:rsidRDefault="00AC0334">
      <w:pPr>
        <w:spacing w:line="520" w:lineRule="exact"/>
        <w:ind w:firstLineChars="200" w:firstLine="480"/>
        <w:rPr>
          <w:sz w:val="24"/>
        </w:rPr>
      </w:pPr>
      <w:r>
        <w:rPr>
          <w:sz w:val="24"/>
        </w:rPr>
        <w:t>加强共伴生矿产综合利用与保护。鼓励煤炭开采前，优先开采煤层气，鼓励煤炭矿山进一步加强对煤矸石、矿井水的回收利用；鼓励氧化铝企业加强对铝土矿中伴生锂、镓的综合回收，尚不能回收的要进行保护。</w:t>
      </w:r>
    </w:p>
    <w:p w:rsidR="00240BCE" w:rsidRDefault="00AC0334">
      <w:pPr>
        <w:spacing w:line="520" w:lineRule="exact"/>
        <w:ind w:firstLineChars="200" w:firstLine="480"/>
        <w:rPr>
          <w:sz w:val="24"/>
        </w:rPr>
      </w:pPr>
      <w:r>
        <w:rPr>
          <w:sz w:val="24"/>
        </w:rPr>
        <w:t>实施石灰岩矿山资源开发整合。一个矿体原则只设一个采矿权，结合矿山资源储量、开采难易程度和区域分布情况，按照尊重实际、就近适量、相对集中、科学合理的原则，推动矿产资源向优势骨干企业聚集，促进石灰岩矿山规模化、集约化发展。</w:t>
      </w:r>
    </w:p>
    <w:p w:rsidR="00240BCE" w:rsidRDefault="00AC0334">
      <w:pPr>
        <w:spacing w:line="520" w:lineRule="exact"/>
        <w:ind w:firstLineChars="200" w:firstLine="480"/>
        <w:rPr>
          <w:sz w:val="24"/>
        </w:rPr>
      </w:pPr>
      <w:r>
        <w:rPr>
          <w:sz w:val="24"/>
        </w:rPr>
        <w:t>二、开采规划分区</w:t>
      </w:r>
    </w:p>
    <w:p w:rsidR="00240BCE" w:rsidRDefault="00AC0334">
      <w:pPr>
        <w:spacing w:line="520" w:lineRule="exact"/>
        <w:ind w:firstLineChars="200" w:firstLine="480"/>
        <w:rPr>
          <w:sz w:val="24"/>
        </w:rPr>
      </w:pPr>
      <w:r>
        <w:rPr>
          <w:sz w:val="24"/>
        </w:rPr>
        <w:t>根据资源分布规律和开发利用现状，结合国民经济与社会发展需要，综合考虑资源保护、生态环境、重要城镇及基础设施保护等约束条件，划定重点矿区、禁止开采区和限制开采区。</w:t>
      </w:r>
    </w:p>
    <w:p w:rsidR="00240BCE" w:rsidRDefault="00AC0334">
      <w:pPr>
        <w:spacing w:line="520" w:lineRule="exact"/>
        <w:ind w:firstLineChars="200" w:firstLine="480"/>
        <w:rPr>
          <w:sz w:val="24"/>
        </w:rPr>
      </w:pPr>
      <w:r>
        <w:rPr>
          <w:sz w:val="24"/>
        </w:rPr>
        <w:t>1</w:t>
      </w:r>
      <w:r>
        <w:rPr>
          <w:sz w:val="24"/>
        </w:rPr>
        <w:t>、重点矿区</w:t>
      </w:r>
    </w:p>
    <w:p w:rsidR="00240BCE" w:rsidRDefault="00AC0334">
      <w:pPr>
        <w:spacing w:line="520" w:lineRule="exact"/>
        <w:ind w:firstLineChars="200" w:firstLine="480"/>
        <w:rPr>
          <w:sz w:val="24"/>
        </w:rPr>
      </w:pPr>
      <w:r>
        <w:rPr>
          <w:sz w:val="24"/>
        </w:rPr>
        <w:t>重点矿区划分原则。指以战略性矿产或区域优势特色矿产为主，所划定的资源储量大、资源条件好、具有开发利用基础、对全省乃至全国资源开发具有举足轻重作用的大型矿产地和矿集区。</w:t>
      </w:r>
    </w:p>
    <w:p w:rsidR="00240BCE" w:rsidRDefault="00AC0334">
      <w:pPr>
        <w:spacing w:line="520" w:lineRule="exact"/>
        <w:ind w:firstLineChars="200" w:firstLine="480"/>
        <w:rPr>
          <w:sz w:val="24"/>
        </w:rPr>
      </w:pPr>
      <w:r>
        <w:rPr>
          <w:sz w:val="24"/>
        </w:rPr>
        <w:t>重点矿区划分。重点矿区包括国家规划矿区、对国民经济具有重要价值的矿区。划定重点矿区</w:t>
      </w:r>
      <w:r>
        <w:rPr>
          <w:sz w:val="24"/>
        </w:rPr>
        <w:t>2</w:t>
      </w:r>
      <w:r>
        <w:rPr>
          <w:sz w:val="24"/>
        </w:rPr>
        <w:t>处，矿种包括煤炭、铝土矿、石灰岩等。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46"/>
      </w:tblGrid>
      <w:tr w:rsidR="00240BCE">
        <w:trPr>
          <w:trHeight w:val="570"/>
        </w:trPr>
        <w:tc>
          <w:tcPr>
            <w:tcW w:w="5000" w:type="pct"/>
            <w:vAlign w:val="center"/>
          </w:tcPr>
          <w:p w:rsidR="00240BCE" w:rsidRDefault="00AC0334">
            <w:pPr>
              <w:pStyle w:val="af7"/>
              <w:spacing w:before="0" w:beforeAutospacing="0" w:after="0" w:afterAutospacing="0" w:line="315" w:lineRule="atLeast"/>
              <w:ind w:firstLine="562"/>
              <w:jc w:val="center"/>
              <w:rPr>
                <w:color w:val="333333"/>
                <w:sz w:val="21"/>
                <w:szCs w:val="21"/>
              </w:rPr>
            </w:pPr>
            <w:r>
              <w:rPr>
                <w:b/>
                <w:bCs/>
                <w:color w:val="333333"/>
                <w:sz w:val="21"/>
                <w:szCs w:val="21"/>
              </w:rPr>
              <w:lastRenderedPageBreak/>
              <w:t>专栏</w:t>
            </w:r>
            <w:r>
              <w:rPr>
                <w:b/>
                <w:bCs/>
                <w:color w:val="333333"/>
                <w:sz w:val="21"/>
                <w:szCs w:val="21"/>
              </w:rPr>
              <w:t>5    </w:t>
            </w:r>
            <w:r>
              <w:rPr>
                <w:b/>
                <w:bCs/>
                <w:color w:val="333333"/>
                <w:sz w:val="21"/>
                <w:szCs w:val="21"/>
              </w:rPr>
              <w:t>禹州市重点矿区一览表</w:t>
            </w:r>
          </w:p>
        </w:tc>
      </w:tr>
      <w:tr w:rsidR="00240BCE">
        <w:trPr>
          <w:trHeight w:val="1236"/>
        </w:trPr>
        <w:tc>
          <w:tcPr>
            <w:tcW w:w="5000" w:type="pct"/>
          </w:tcPr>
          <w:p w:rsidR="00240BCE" w:rsidRDefault="00AC0334">
            <w:pPr>
              <w:pStyle w:val="af7"/>
              <w:spacing w:before="0" w:beforeAutospacing="0" w:after="0" w:afterAutospacing="0" w:line="315" w:lineRule="atLeast"/>
              <w:ind w:firstLine="420"/>
              <w:jc w:val="both"/>
              <w:rPr>
                <w:color w:val="333333"/>
                <w:sz w:val="21"/>
                <w:szCs w:val="21"/>
              </w:rPr>
            </w:pPr>
            <w:r>
              <w:rPr>
                <w:color w:val="333333"/>
                <w:sz w:val="21"/>
                <w:szCs w:val="21"/>
              </w:rPr>
              <w:t>1</w:t>
            </w:r>
            <w:r>
              <w:rPr>
                <w:color w:val="333333"/>
                <w:sz w:val="21"/>
                <w:szCs w:val="21"/>
              </w:rPr>
              <w:t>、禹州市苌庄</w:t>
            </w:r>
            <w:r>
              <w:rPr>
                <w:color w:val="333333"/>
                <w:sz w:val="21"/>
                <w:szCs w:val="21"/>
              </w:rPr>
              <w:t>-</w:t>
            </w:r>
            <w:r>
              <w:rPr>
                <w:color w:val="333333"/>
                <w:sz w:val="21"/>
                <w:szCs w:val="21"/>
              </w:rPr>
              <w:t>无梁煤、铝、建材重点矿区</w:t>
            </w:r>
          </w:p>
          <w:p w:rsidR="00240BCE" w:rsidRDefault="00AC0334">
            <w:pPr>
              <w:pStyle w:val="af7"/>
              <w:spacing w:before="0" w:beforeAutospacing="0" w:after="0" w:afterAutospacing="0" w:line="315" w:lineRule="atLeast"/>
              <w:ind w:firstLine="420"/>
              <w:jc w:val="both"/>
              <w:rPr>
                <w:color w:val="333333"/>
                <w:sz w:val="21"/>
                <w:szCs w:val="21"/>
              </w:rPr>
            </w:pPr>
            <w:r>
              <w:rPr>
                <w:color w:val="333333"/>
                <w:sz w:val="21"/>
                <w:szCs w:val="21"/>
              </w:rPr>
              <w:t>区现有采矿权</w:t>
            </w:r>
            <w:r>
              <w:rPr>
                <w:color w:val="333333"/>
                <w:sz w:val="21"/>
                <w:szCs w:val="21"/>
              </w:rPr>
              <w:t>65</w:t>
            </w:r>
            <w:r>
              <w:rPr>
                <w:color w:val="333333"/>
                <w:sz w:val="21"/>
                <w:szCs w:val="21"/>
              </w:rPr>
              <w:t>个，其中煤炭</w:t>
            </w:r>
            <w:r>
              <w:rPr>
                <w:color w:val="333333"/>
                <w:sz w:val="21"/>
                <w:szCs w:val="21"/>
              </w:rPr>
              <w:t>11</w:t>
            </w:r>
            <w:r>
              <w:rPr>
                <w:color w:val="333333"/>
                <w:sz w:val="21"/>
                <w:szCs w:val="21"/>
              </w:rPr>
              <w:t>个、水泥用灰岩</w:t>
            </w:r>
            <w:r>
              <w:rPr>
                <w:color w:val="333333"/>
                <w:sz w:val="21"/>
                <w:szCs w:val="21"/>
              </w:rPr>
              <w:t>10</w:t>
            </w:r>
            <w:r>
              <w:rPr>
                <w:color w:val="333333"/>
                <w:sz w:val="21"/>
                <w:szCs w:val="21"/>
              </w:rPr>
              <w:t>个、建筑石料用灰岩</w:t>
            </w:r>
            <w:r>
              <w:rPr>
                <w:color w:val="333333"/>
                <w:sz w:val="21"/>
                <w:szCs w:val="21"/>
              </w:rPr>
              <w:t>34</w:t>
            </w:r>
            <w:r>
              <w:rPr>
                <w:color w:val="333333"/>
                <w:sz w:val="21"/>
                <w:szCs w:val="21"/>
              </w:rPr>
              <w:t>个、铝土矿</w:t>
            </w:r>
            <w:r>
              <w:rPr>
                <w:color w:val="333333"/>
                <w:sz w:val="21"/>
                <w:szCs w:val="21"/>
              </w:rPr>
              <w:t>2</w:t>
            </w:r>
            <w:r>
              <w:rPr>
                <w:color w:val="333333"/>
                <w:sz w:val="21"/>
                <w:szCs w:val="21"/>
              </w:rPr>
              <w:t>个、石英岩</w:t>
            </w:r>
            <w:r>
              <w:rPr>
                <w:color w:val="333333"/>
                <w:sz w:val="21"/>
                <w:szCs w:val="21"/>
              </w:rPr>
              <w:t>8</w:t>
            </w:r>
            <w:r>
              <w:rPr>
                <w:color w:val="333333"/>
                <w:sz w:val="21"/>
                <w:szCs w:val="21"/>
              </w:rPr>
              <w:t>个。主要矿产设计开采能力：煤炭</w:t>
            </w:r>
            <w:r>
              <w:rPr>
                <w:color w:val="333333"/>
                <w:sz w:val="21"/>
                <w:szCs w:val="21"/>
              </w:rPr>
              <w:t>297</w:t>
            </w:r>
            <w:r>
              <w:rPr>
                <w:color w:val="333333"/>
                <w:sz w:val="21"/>
                <w:szCs w:val="21"/>
              </w:rPr>
              <w:t>万吨</w:t>
            </w:r>
            <w:r>
              <w:rPr>
                <w:color w:val="333333"/>
                <w:sz w:val="21"/>
                <w:szCs w:val="21"/>
              </w:rPr>
              <w:t>/</w:t>
            </w:r>
            <w:r>
              <w:rPr>
                <w:color w:val="333333"/>
                <w:sz w:val="21"/>
                <w:szCs w:val="21"/>
              </w:rPr>
              <w:t>年、水泥用灰岩</w:t>
            </w:r>
            <w:r>
              <w:rPr>
                <w:color w:val="333333"/>
                <w:sz w:val="21"/>
                <w:szCs w:val="21"/>
              </w:rPr>
              <w:t>510</w:t>
            </w:r>
            <w:r>
              <w:rPr>
                <w:color w:val="333333"/>
                <w:sz w:val="21"/>
                <w:szCs w:val="21"/>
              </w:rPr>
              <w:t>万吨</w:t>
            </w:r>
            <w:r>
              <w:rPr>
                <w:color w:val="333333"/>
                <w:sz w:val="21"/>
                <w:szCs w:val="21"/>
              </w:rPr>
              <w:t>/</w:t>
            </w:r>
            <w:r>
              <w:rPr>
                <w:color w:val="333333"/>
                <w:sz w:val="21"/>
                <w:szCs w:val="21"/>
              </w:rPr>
              <w:t>年、建筑石料用灰岩</w:t>
            </w:r>
            <w:r>
              <w:rPr>
                <w:color w:val="333333"/>
                <w:sz w:val="21"/>
                <w:szCs w:val="21"/>
              </w:rPr>
              <w:t>1710</w:t>
            </w:r>
            <w:r>
              <w:rPr>
                <w:color w:val="333333"/>
                <w:sz w:val="21"/>
                <w:szCs w:val="21"/>
              </w:rPr>
              <w:t>万吨</w:t>
            </w:r>
            <w:r>
              <w:rPr>
                <w:color w:val="333333"/>
                <w:sz w:val="21"/>
                <w:szCs w:val="21"/>
              </w:rPr>
              <w:t>/</w:t>
            </w:r>
            <w:r>
              <w:rPr>
                <w:color w:val="333333"/>
                <w:sz w:val="21"/>
                <w:szCs w:val="21"/>
              </w:rPr>
              <w:t>年、铝土矿</w:t>
            </w:r>
            <w:r>
              <w:rPr>
                <w:color w:val="333333"/>
                <w:sz w:val="21"/>
                <w:szCs w:val="21"/>
              </w:rPr>
              <w:t>20</w:t>
            </w:r>
            <w:r>
              <w:rPr>
                <w:color w:val="333333"/>
                <w:sz w:val="21"/>
                <w:szCs w:val="21"/>
              </w:rPr>
              <w:t>万吨</w:t>
            </w:r>
            <w:r>
              <w:rPr>
                <w:color w:val="333333"/>
                <w:sz w:val="21"/>
                <w:szCs w:val="21"/>
              </w:rPr>
              <w:t>/</w:t>
            </w:r>
            <w:r>
              <w:rPr>
                <w:color w:val="333333"/>
                <w:sz w:val="21"/>
                <w:szCs w:val="21"/>
              </w:rPr>
              <w:t>年、石英岩</w:t>
            </w:r>
            <w:r>
              <w:rPr>
                <w:color w:val="333333"/>
                <w:sz w:val="21"/>
                <w:szCs w:val="21"/>
              </w:rPr>
              <w:t>150</w:t>
            </w:r>
            <w:r>
              <w:rPr>
                <w:color w:val="333333"/>
                <w:sz w:val="21"/>
                <w:szCs w:val="21"/>
              </w:rPr>
              <w:t>万吨</w:t>
            </w:r>
            <w:r>
              <w:rPr>
                <w:color w:val="333333"/>
                <w:sz w:val="21"/>
                <w:szCs w:val="21"/>
              </w:rPr>
              <w:t>/</w:t>
            </w:r>
            <w:r>
              <w:rPr>
                <w:color w:val="333333"/>
                <w:sz w:val="21"/>
                <w:szCs w:val="21"/>
              </w:rPr>
              <w:t>年。</w:t>
            </w:r>
          </w:p>
          <w:p w:rsidR="00240BCE" w:rsidRDefault="00AC0334">
            <w:pPr>
              <w:pStyle w:val="af7"/>
              <w:spacing w:before="0" w:beforeAutospacing="0" w:after="0" w:afterAutospacing="0" w:line="315" w:lineRule="atLeast"/>
              <w:ind w:firstLine="420"/>
              <w:jc w:val="both"/>
              <w:rPr>
                <w:color w:val="333333"/>
                <w:sz w:val="21"/>
                <w:szCs w:val="21"/>
              </w:rPr>
            </w:pPr>
            <w:r>
              <w:rPr>
                <w:color w:val="333333"/>
                <w:sz w:val="21"/>
                <w:szCs w:val="21"/>
              </w:rPr>
              <w:t>区内设置开采规划区块</w:t>
            </w:r>
            <w:r>
              <w:rPr>
                <w:color w:val="333333"/>
                <w:sz w:val="21"/>
                <w:szCs w:val="21"/>
              </w:rPr>
              <w:t>7</w:t>
            </w:r>
            <w:r>
              <w:rPr>
                <w:color w:val="333333"/>
                <w:sz w:val="21"/>
                <w:szCs w:val="21"/>
              </w:rPr>
              <w:t>个，其中空白区新设</w:t>
            </w:r>
            <w:r>
              <w:rPr>
                <w:color w:val="333333"/>
                <w:sz w:val="21"/>
                <w:szCs w:val="21"/>
              </w:rPr>
              <w:t>5</w:t>
            </w:r>
            <w:r>
              <w:rPr>
                <w:color w:val="333333"/>
                <w:sz w:val="21"/>
                <w:szCs w:val="21"/>
              </w:rPr>
              <w:t>个，已设采矿权整合</w:t>
            </w:r>
            <w:r>
              <w:rPr>
                <w:color w:val="333333"/>
                <w:sz w:val="21"/>
                <w:szCs w:val="21"/>
              </w:rPr>
              <w:t>2</w:t>
            </w:r>
            <w:r>
              <w:rPr>
                <w:color w:val="333333"/>
                <w:sz w:val="21"/>
                <w:szCs w:val="21"/>
              </w:rPr>
              <w:t>个。按矿种分：水泥用灰岩</w:t>
            </w:r>
            <w:r>
              <w:rPr>
                <w:color w:val="333333"/>
                <w:sz w:val="21"/>
                <w:szCs w:val="21"/>
              </w:rPr>
              <w:t>3</w:t>
            </w:r>
            <w:r>
              <w:rPr>
                <w:color w:val="333333"/>
                <w:sz w:val="21"/>
                <w:szCs w:val="21"/>
              </w:rPr>
              <w:t>个、建筑石料用灰岩</w:t>
            </w:r>
            <w:r>
              <w:rPr>
                <w:color w:val="333333"/>
                <w:sz w:val="21"/>
                <w:szCs w:val="21"/>
              </w:rPr>
              <w:t>2</w:t>
            </w:r>
            <w:r>
              <w:rPr>
                <w:color w:val="333333"/>
                <w:sz w:val="21"/>
                <w:szCs w:val="21"/>
              </w:rPr>
              <w:t>个、砂岩</w:t>
            </w:r>
            <w:r>
              <w:rPr>
                <w:color w:val="333333"/>
                <w:sz w:val="21"/>
                <w:szCs w:val="21"/>
              </w:rPr>
              <w:t>2</w:t>
            </w:r>
            <w:r>
              <w:rPr>
                <w:color w:val="333333"/>
                <w:sz w:val="21"/>
                <w:szCs w:val="21"/>
              </w:rPr>
              <w:t>个。</w:t>
            </w:r>
          </w:p>
          <w:p w:rsidR="00240BCE" w:rsidRDefault="00AC0334">
            <w:pPr>
              <w:pStyle w:val="af7"/>
              <w:spacing w:before="0" w:beforeAutospacing="0" w:after="0" w:afterAutospacing="0" w:line="315" w:lineRule="atLeast"/>
              <w:ind w:firstLine="420"/>
              <w:jc w:val="both"/>
              <w:rPr>
                <w:color w:val="333333"/>
                <w:sz w:val="21"/>
                <w:szCs w:val="21"/>
              </w:rPr>
            </w:pPr>
            <w:r>
              <w:rPr>
                <w:color w:val="333333"/>
                <w:sz w:val="21"/>
                <w:szCs w:val="21"/>
              </w:rPr>
              <w:t>截至</w:t>
            </w:r>
            <w:r>
              <w:rPr>
                <w:color w:val="333333"/>
                <w:sz w:val="21"/>
                <w:szCs w:val="21"/>
              </w:rPr>
              <w:t>2015</w:t>
            </w:r>
            <w:r>
              <w:rPr>
                <w:color w:val="333333"/>
                <w:sz w:val="21"/>
                <w:szCs w:val="21"/>
              </w:rPr>
              <w:t>年底，区内主要矿产保有资源储量：煤炭</w:t>
            </w:r>
            <w:r>
              <w:rPr>
                <w:color w:val="333333"/>
                <w:sz w:val="21"/>
                <w:szCs w:val="21"/>
              </w:rPr>
              <w:t>7589.02</w:t>
            </w:r>
            <w:r>
              <w:rPr>
                <w:color w:val="333333"/>
                <w:sz w:val="21"/>
                <w:szCs w:val="21"/>
              </w:rPr>
              <w:t>万吨，铝土矿</w:t>
            </w:r>
            <w:r>
              <w:rPr>
                <w:color w:val="333333"/>
                <w:sz w:val="21"/>
                <w:szCs w:val="21"/>
              </w:rPr>
              <w:t>416.08</w:t>
            </w:r>
            <w:r>
              <w:rPr>
                <w:color w:val="333333"/>
                <w:sz w:val="21"/>
                <w:szCs w:val="21"/>
              </w:rPr>
              <w:t>万吨，水泥用灰岩</w:t>
            </w:r>
            <w:r>
              <w:rPr>
                <w:color w:val="333333"/>
                <w:sz w:val="21"/>
                <w:szCs w:val="21"/>
              </w:rPr>
              <w:t>32719.58</w:t>
            </w:r>
            <w:r>
              <w:rPr>
                <w:color w:val="333333"/>
                <w:sz w:val="21"/>
                <w:szCs w:val="21"/>
              </w:rPr>
              <w:t>万吨，水泥配料用粘土</w:t>
            </w:r>
            <w:r>
              <w:rPr>
                <w:color w:val="333333"/>
                <w:sz w:val="21"/>
                <w:szCs w:val="21"/>
              </w:rPr>
              <w:t>1081.00</w:t>
            </w:r>
            <w:r>
              <w:rPr>
                <w:color w:val="333333"/>
                <w:sz w:val="21"/>
                <w:szCs w:val="21"/>
              </w:rPr>
              <w:t>万吨，耐火粘土</w:t>
            </w:r>
            <w:r>
              <w:rPr>
                <w:color w:val="333333"/>
                <w:sz w:val="21"/>
                <w:szCs w:val="21"/>
              </w:rPr>
              <w:t>9.59</w:t>
            </w:r>
            <w:r>
              <w:rPr>
                <w:color w:val="333333"/>
                <w:sz w:val="21"/>
                <w:szCs w:val="21"/>
              </w:rPr>
              <w:t>万吨，铁矿</w:t>
            </w:r>
            <w:r>
              <w:rPr>
                <w:color w:val="333333"/>
                <w:sz w:val="21"/>
                <w:szCs w:val="21"/>
              </w:rPr>
              <w:t>17.07</w:t>
            </w:r>
            <w:r>
              <w:rPr>
                <w:color w:val="333333"/>
                <w:sz w:val="21"/>
                <w:szCs w:val="21"/>
              </w:rPr>
              <w:t>万吨，镓矿</w:t>
            </w:r>
            <w:r>
              <w:rPr>
                <w:color w:val="333333"/>
                <w:sz w:val="21"/>
                <w:szCs w:val="21"/>
              </w:rPr>
              <w:t>396.45</w:t>
            </w:r>
            <w:r>
              <w:rPr>
                <w:color w:val="333333"/>
                <w:sz w:val="21"/>
                <w:szCs w:val="21"/>
              </w:rPr>
              <w:t>万吨。</w:t>
            </w:r>
          </w:p>
          <w:p w:rsidR="00240BCE" w:rsidRDefault="00AC0334">
            <w:pPr>
              <w:pStyle w:val="af7"/>
              <w:spacing w:before="0" w:beforeAutospacing="0" w:after="0" w:afterAutospacing="0" w:line="315" w:lineRule="atLeast"/>
              <w:ind w:firstLine="420"/>
              <w:jc w:val="both"/>
              <w:rPr>
                <w:color w:val="333333"/>
                <w:sz w:val="21"/>
                <w:szCs w:val="21"/>
              </w:rPr>
            </w:pPr>
            <w:r>
              <w:rPr>
                <w:color w:val="333333"/>
                <w:sz w:val="21"/>
                <w:szCs w:val="21"/>
              </w:rPr>
              <w:t>2</w:t>
            </w:r>
            <w:r>
              <w:rPr>
                <w:color w:val="333333"/>
                <w:sz w:val="21"/>
                <w:szCs w:val="21"/>
              </w:rPr>
              <w:t>、禹州市方山</w:t>
            </w:r>
            <w:r>
              <w:rPr>
                <w:color w:val="333333"/>
                <w:sz w:val="21"/>
                <w:szCs w:val="21"/>
              </w:rPr>
              <w:t>-</w:t>
            </w:r>
            <w:r>
              <w:rPr>
                <w:color w:val="333333"/>
                <w:sz w:val="21"/>
                <w:szCs w:val="21"/>
              </w:rPr>
              <w:t>磨街</w:t>
            </w:r>
            <w:r>
              <w:rPr>
                <w:color w:val="333333"/>
                <w:sz w:val="21"/>
                <w:szCs w:val="21"/>
              </w:rPr>
              <w:t>-</w:t>
            </w:r>
            <w:r>
              <w:rPr>
                <w:color w:val="333333"/>
                <w:sz w:val="21"/>
                <w:szCs w:val="21"/>
              </w:rPr>
              <w:t>梁北煤、铝、建材重点矿区</w:t>
            </w:r>
          </w:p>
          <w:p w:rsidR="00240BCE" w:rsidRDefault="00AC0334">
            <w:pPr>
              <w:pStyle w:val="af7"/>
              <w:spacing w:before="0" w:beforeAutospacing="0" w:after="0" w:afterAutospacing="0" w:line="315" w:lineRule="atLeast"/>
              <w:ind w:firstLine="420"/>
              <w:jc w:val="both"/>
              <w:rPr>
                <w:color w:val="333333"/>
                <w:sz w:val="21"/>
                <w:szCs w:val="21"/>
              </w:rPr>
            </w:pPr>
            <w:r>
              <w:rPr>
                <w:color w:val="333333"/>
                <w:sz w:val="21"/>
                <w:szCs w:val="21"/>
              </w:rPr>
              <w:t>区现有采矿权</w:t>
            </w:r>
            <w:r>
              <w:rPr>
                <w:color w:val="333333"/>
                <w:sz w:val="21"/>
                <w:szCs w:val="21"/>
              </w:rPr>
              <w:t>90</w:t>
            </w:r>
            <w:r>
              <w:rPr>
                <w:color w:val="333333"/>
                <w:sz w:val="21"/>
                <w:szCs w:val="21"/>
              </w:rPr>
              <w:t>个，其中煤炭</w:t>
            </w:r>
            <w:r>
              <w:rPr>
                <w:color w:val="333333"/>
                <w:sz w:val="21"/>
                <w:szCs w:val="21"/>
              </w:rPr>
              <w:t>61</w:t>
            </w:r>
            <w:r>
              <w:rPr>
                <w:color w:val="333333"/>
                <w:sz w:val="21"/>
                <w:szCs w:val="21"/>
              </w:rPr>
              <w:t>个、水泥用灰岩</w:t>
            </w:r>
            <w:r>
              <w:rPr>
                <w:color w:val="333333"/>
                <w:sz w:val="21"/>
                <w:szCs w:val="21"/>
              </w:rPr>
              <w:t>4</w:t>
            </w:r>
            <w:r>
              <w:rPr>
                <w:color w:val="333333"/>
                <w:sz w:val="21"/>
                <w:szCs w:val="21"/>
              </w:rPr>
              <w:t>个、建筑石料用灰岩</w:t>
            </w:r>
            <w:r>
              <w:rPr>
                <w:color w:val="333333"/>
                <w:sz w:val="21"/>
                <w:szCs w:val="21"/>
              </w:rPr>
              <w:t>16</w:t>
            </w:r>
            <w:r>
              <w:rPr>
                <w:color w:val="333333"/>
                <w:sz w:val="21"/>
                <w:szCs w:val="21"/>
              </w:rPr>
              <w:t>个、铝土矿</w:t>
            </w:r>
            <w:r>
              <w:rPr>
                <w:color w:val="333333"/>
                <w:sz w:val="21"/>
                <w:szCs w:val="21"/>
              </w:rPr>
              <w:t>5</w:t>
            </w:r>
            <w:r>
              <w:rPr>
                <w:color w:val="333333"/>
                <w:sz w:val="21"/>
                <w:szCs w:val="21"/>
              </w:rPr>
              <w:t>个、砂岩</w:t>
            </w:r>
            <w:r>
              <w:rPr>
                <w:color w:val="333333"/>
                <w:sz w:val="21"/>
                <w:szCs w:val="21"/>
              </w:rPr>
              <w:t>4</w:t>
            </w:r>
            <w:r>
              <w:rPr>
                <w:color w:val="333333"/>
                <w:sz w:val="21"/>
                <w:szCs w:val="21"/>
              </w:rPr>
              <w:t>个。主要矿产设计开采能力：煤炭</w:t>
            </w:r>
            <w:r>
              <w:rPr>
                <w:color w:val="333333"/>
                <w:sz w:val="21"/>
                <w:szCs w:val="21"/>
              </w:rPr>
              <w:t>1316</w:t>
            </w:r>
            <w:r>
              <w:rPr>
                <w:color w:val="333333"/>
                <w:sz w:val="21"/>
                <w:szCs w:val="21"/>
              </w:rPr>
              <w:t>万吨</w:t>
            </w:r>
            <w:r>
              <w:rPr>
                <w:color w:val="333333"/>
                <w:sz w:val="21"/>
                <w:szCs w:val="21"/>
              </w:rPr>
              <w:t>/</w:t>
            </w:r>
            <w:r>
              <w:rPr>
                <w:color w:val="333333"/>
                <w:sz w:val="21"/>
                <w:szCs w:val="21"/>
              </w:rPr>
              <w:t>年、水泥用灰岩</w:t>
            </w:r>
            <w:r>
              <w:rPr>
                <w:color w:val="333333"/>
                <w:sz w:val="21"/>
                <w:szCs w:val="21"/>
              </w:rPr>
              <w:t>120</w:t>
            </w:r>
            <w:r>
              <w:rPr>
                <w:color w:val="333333"/>
                <w:sz w:val="21"/>
                <w:szCs w:val="21"/>
              </w:rPr>
              <w:t>万吨</w:t>
            </w:r>
            <w:r>
              <w:rPr>
                <w:color w:val="333333"/>
                <w:sz w:val="21"/>
                <w:szCs w:val="21"/>
              </w:rPr>
              <w:t>/</w:t>
            </w:r>
            <w:r>
              <w:rPr>
                <w:color w:val="333333"/>
                <w:sz w:val="21"/>
                <w:szCs w:val="21"/>
              </w:rPr>
              <w:t>年、建筑石料用灰岩</w:t>
            </w:r>
            <w:r>
              <w:rPr>
                <w:color w:val="333333"/>
                <w:sz w:val="21"/>
                <w:szCs w:val="21"/>
              </w:rPr>
              <w:t>740</w:t>
            </w:r>
            <w:r>
              <w:rPr>
                <w:color w:val="333333"/>
                <w:sz w:val="21"/>
                <w:szCs w:val="21"/>
              </w:rPr>
              <w:t>万吨</w:t>
            </w:r>
            <w:r>
              <w:rPr>
                <w:color w:val="333333"/>
                <w:sz w:val="21"/>
                <w:szCs w:val="21"/>
              </w:rPr>
              <w:t>/</w:t>
            </w:r>
            <w:r>
              <w:rPr>
                <w:color w:val="333333"/>
                <w:sz w:val="21"/>
                <w:szCs w:val="21"/>
              </w:rPr>
              <w:t>年、铝土矿</w:t>
            </w:r>
            <w:r>
              <w:rPr>
                <w:color w:val="333333"/>
                <w:sz w:val="21"/>
                <w:szCs w:val="21"/>
              </w:rPr>
              <w:t>60</w:t>
            </w:r>
            <w:r>
              <w:rPr>
                <w:color w:val="333333"/>
                <w:sz w:val="21"/>
                <w:szCs w:val="21"/>
              </w:rPr>
              <w:t>万吨</w:t>
            </w:r>
            <w:r>
              <w:rPr>
                <w:color w:val="333333"/>
                <w:sz w:val="21"/>
                <w:szCs w:val="21"/>
              </w:rPr>
              <w:t>/</w:t>
            </w:r>
            <w:r>
              <w:rPr>
                <w:color w:val="333333"/>
                <w:sz w:val="21"/>
                <w:szCs w:val="21"/>
              </w:rPr>
              <w:t>年、砂岩</w:t>
            </w:r>
            <w:r>
              <w:rPr>
                <w:color w:val="333333"/>
                <w:sz w:val="21"/>
                <w:szCs w:val="21"/>
              </w:rPr>
              <w:t>110</w:t>
            </w:r>
            <w:r>
              <w:rPr>
                <w:color w:val="333333"/>
                <w:sz w:val="21"/>
                <w:szCs w:val="21"/>
              </w:rPr>
              <w:t>万吨</w:t>
            </w:r>
            <w:r>
              <w:rPr>
                <w:color w:val="333333"/>
                <w:sz w:val="21"/>
                <w:szCs w:val="21"/>
              </w:rPr>
              <w:t>/</w:t>
            </w:r>
            <w:r>
              <w:rPr>
                <w:color w:val="333333"/>
                <w:sz w:val="21"/>
                <w:szCs w:val="21"/>
              </w:rPr>
              <w:t>年。</w:t>
            </w:r>
          </w:p>
          <w:p w:rsidR="00240BCE" w:rsidRDefault="00AC0334">
            <w:pPr>
              <w:pStyle w:val="af7"/>
              <w:spacing w:before="0" w:beforeAutospacing="0" w:after="0" w:afterAutospacing="0" w:line="315" w:lineRule="atLeast"/>
              <w:ind w:firstLine="420"/>
              <w:jc w:val="both"/>
              <w:rPr>
                <w:color w:val="333333"/>
                <w:sz w:val="21"/>
                <w:szCs w:val="21"/>
              </w:rPr>
            </w:pPr>
            <w:r>
              <w:rPr>
                <w:color w:val="333333"/>
                <w:sz w:val="21"/>
                <w:szCs w:val="21"/>
              </w:rPr>
              <w:t>区内设置开采规划区块</w:t>
            </w:r>
            <w:r>
              <w:rPr>
                <w:color w:val="333333"/>
                <w:sz w:val="21"/>
                <w:szCs w:val="21"/>
              </w:rPr>
              <w:t>14</w:t>
            </w:r>
            <w:r>
              <w:rPr>
                <w:color w:val="333333"/>
                <w:sz w:val="21"/>
                <w:szCs w:val="21"/>
              </w:rPr>
              <w:t>个，其中空白区新设</w:t>
            </w:r>
            <w:r>
              <w:rPr>
                <w:color w:val="333333"/>
                <w:sz w:val="21"/>
                <w:szCs w:val="21"/>
              </w:rPr>
              <w:t>9</w:t>
            </w:r>
            <w:r>
              <w:rPr>
                <w:color w:val="333333"/>
                <w:sz w:val="21"/>
                <w:szCs w:val="21"/>
              </w:rPr>
              <w:t>个，已设采矿权整合</w:t>
            </w:r>
            <w:r>
              <w:rPr>
                <w:color w:val="333333"/>
                <w:sz w:val="21"/>
                <w:szCs w:val="21"/>
              </w:rPr>
              <w:t>3</w:t>
            </w:r>
            <w:r>
              <w:rPr>
                <w:color w:val="333333"/>
                <w:sz w:val="21"/>
                <w:szCs w:val="21"/>
              </w:rPr>
              <w:t>个、探矿权转采矿权</w:t>
            </w:r>
            <w:r>
              <w:rPr>
                <w:color w:val="333333"/>
                <w:sz w:val="21"/>
                <w:szCs w:val="21"/>
              </w:rPr>
              <w:t>1</w:t>
            </w:r>
            <w:r>
              <w:rPr>
                <w:color w:val="333333"/>
                <w:sz w:val="21"/>
                <w:szCs w:val="21"/>
              </w:rPr>
              <w:t>个、已设采矿权调整</w:t>
            </w:r>
            <w:r>
              <w:rPr>
                <w:color w:val="333333"/>
                <w:sz w:val="21"/>
                <w:szCs w:val="21"/>
              </w:rPr>
              <w:t>1</w:t>
            </w:r>
            <w:r>
              <w:rPr>
                <w:color w:val="333333"/>
                <w:sz w:val="21"/>
                <w:szCs w:val="21"/>
              </w:rPr>
              <w:t>个。按矿种分：煤炭</w:t>
            </w:r>
            <w:r>
              <w:rPr>
                <w:color w:val="333333"/>
                <w:sz w:val="21"/>
                <w:szCs w:val="21"/>
              </w:rPr>
              <w:t>2</w:t>
            </w:r>
            <w:r>
              <w:rPr>
                <w:color w:val="333333"/>
                <w:sz w:val="21"/>
                <w:szCs w:val="21"/>
              </w:rPr>
              <w:t>个、铝土矿</w:t>
            </w:r>
            <w:r>
              <w:rPr>
                <w:color w:val="333333"/>
                <w:sz w:val="21"/>
                <w:szCs w:val="21"/>
              </w:rPr>
              <w:t>5</w:t>
            </w:r>
            <w:r>
              <w:rPr>
                <w:color w:val="333333"/>
                <w:sz w:val="21"/>
                <w:szCs w:val="21"/>
              </w:rPr>
              <w:t>个、水泥用灰岩</w:t>
            </w:r>
            <w:r>
              <w:rPr>
                <w:color w:val="333333"/>
                <w:sz w:val="21"/>
                <w:szCs w:val="21"/>
              </w:rPr>
              <w:t>2</w:t>
            </w:r>
            <w:r>
              <w:rPr>
                <w:color w:val="333333"/>
                <w:sz w:val="21"/>
                <w:szCs w:val="21"/>
              </w:rPr>
              <w:t>个、建筑石料用灰岩</w:t>
            </w:r>
            <w:r>
              <w:rPr>
                <w:color w:val="333333"/>
                <w:sz w:val="21"/>
                <w:szCs w:val="21"/>
              </w:rPr>
              <w:t>5</w:t>
            </w:r>
            <w:r>
              <w:rPr>
                <w:color w:val="333333"/>
                <w:sz w:val="21"/>
                <w:szCs w:val="21"/>
              </w:rPr>
              <w:t>个。</w:t>
            </w:r>
          </w:p>
          <w:p w:rsidR="00240BCE" w:rsidRDefault="00AC0334">
            <w:pPr>
              <w:pStyle w:val="af7"/>
              <w:spacing w:before="0" w:beforeAutospacing="0" w:after="0" w:afterAutospacing="0" w:line="315" w:lineRule="atLeast"/>
              <w:ind w:firstLine="420"/>
              <w:jc w:val="both"/>
              <w:rPr>
                <w:color w:val="333333"/>
                <w:sz w:val="21"/>
                <w:szCs w:val="21"/>
              </w:rPr>
            </w:pPr>
            <w:r>
              <w:rPr>
                <w:color w:val="333333"/>
                <w:sz w:val="21"/>
                <w:szCs w:val="21"/>
              </w:rPr>
              <w:t>截至</w:t>
            </w:r>
            <w:r>
              <w:rPr>
                <w:color w:val="333333"/>
                <w:sz w:val="21"/>
                <w:szCs w:val="21"/>
              </w:rPr>
              <w:t>2015</w:t>
            </w:r>
            <w:r>
              <w:rPr>
                <w:color w:val="333333"/>
                <w:sz w:val="21"/>
                <w:szCs w:val="21"/>
              </w:rPr>
              <w:t>年底，区内主要矿产保有资源储量：煤炭</w:t>
            </w:r>
            <w:r>
              <w:rPr>
                <w:color w:val="333333"/>
                <w:sz w:val="21"/>
                <w:szCs w:val="21"/>
              </w:rPr>
              <w:t>83414.28</w:t>
            </w:r>
            <w:r>
              <w:rPr>
                <w:color w:val="333333"/>
                <w:sz w:val="21"/>
                <w:szCs w:val="21"/>
              </w:rPr>
              <w:t>万吨，铝土矿</w:t>
            </w:r>
            <w:r>
              <w:rPr>
                <w:color w:val="333333"/>
                <w:sz w:val="21"/>
                <w:szCs w:val="21"/>
              </w:rPr>
              <w:t>837.77</w:t>
            </w:r>
            <w:r>
              <w:rPr>
                <w:color w:val="333333"/>
                <w:sz w:val="21"/>
                <w:szCs w:val="21"/>
              </w:rPr>
              <w:t>万吨，水泥用灰岩</w:t>
            </w:r>
            <w:r>
              <w:rPr>
                <w:color w:val="333333"/>
                <w:sz w:val="21"/>
                <w:szCs w:val="21"/>
              </w:rPr>
              <w:t>16986.60</w:t>
            </w:r>
            <w:r>
              <w:rPr>
                <w:color w:val="333333"/>
                <w:sz w:val="21"/>
                <w:szCs w:val="21"/>
              </w:rPr>
              <w:t>万吨，硫铁矿</w:t>
            </w:r>
            <w:r>
              <w:rPr>
                <w:color w:val="333333"/>
                <w:sz w:val="21"/>
                <w:szCs w:val="21"/>
              </w:rPr>
              <w:t>198.80</w:t>
            </w:r>
            <w:r>
              <w:rPr>
                <w:color w:val="333333"/>
                <w:sz w:val="21"/>
                <w:szCs w:val="21"/>
              </w:rPr>
              <w:t>万吨，耐火粘土</w:t>
            </w:r>
            <w:r>
              <w:rPr>
                <w:color w:val="333333"/>
                <w:sz w:val="21"/>
                <w:szCs w:val="21"/>
              </w:rPr>
              <w:t>675.73</w:t>
            </w:r>
            <w:r>
              <w:rPr>
                <w:color w:val="333333"/>
                <w:sz w:val="21"/>
                <w:szCs w:val="21"/>
              </w:rPr>
              <w:t>万吨。</w:t>
            </w:r>
          </w:p>
        </w:tc>
      </w:tr>
    </w:tbl>
    <w:p w:rsidR="00240BCE" w:rsidRDefault="00AC0334">
      <w:pPr>
        <w:spacing w:line="520" w:lineRule="exact"/>
        <w:ind w:firstLineChars="200" w:firstLine="480"/>
        <w:rPr>
          <w:sz w:val="24"/>
        </w:rPr>
      </w:pPr>
      <w:r>
        <w:rPr>
          <w:sz w:val="24"/>
        </w:rPr>
        <w:t>重点矿区管理政策。重点矿区要整装开发，在矿产资源配置上向资源利用率高、技术先进的大型矿山企业倾斜，对区内已设置的、影响大矿统一开采规划的矿山，要进行资源整合，确定整合主体时，优先考虑大型矿山企业。重点开采矿区内矿山必须节约与综合利用矿产资源，切实保护和同步治理矿山地质环境。</w:t>
      </w:r>
    </w:p>
    <w:p w:rsidR="00240BCE" w:rsidRDefault="00AC0334">
      <w:pPr>
        <w:spacing w:line="520" w:lineRule="exact"/>
        <w:ind w:firstLineChars="200" w:firstLine="480"/>
        <w:rPr>
          <w:sz w:val="24"/>
        </w:rPr>
      </w:pPr>
      <w:r>
        <w:rPr>
          <w:sz w:val="24"/>
        </w:rPr>
        <w:t>2</w:t>
      </w:r>
      <w:r>
        <w:rPr>
          <w:sz w:val="24"/>
        </w:rPr>
        <w:t>、禁止开采区</w:t>
      </w:r>
    </w:p>
    <w:p w:rsidR="00240BCE" w:rsidRDefault="00AC0334">
      <w:pPr>
        <w:spacing w:line="520" w:lineRule="exact"/>
        <w:ind w:firstLineChars="200" w:firstLine="480"/>
        <w:rPr>
          <w:sz w:val="24"/>
        </w:rPr>
      </w:pPr>
      <w:r>
        <w:rPr>
          <w:sz w:val="24"/>
        </w:rPr>
        <w:t>严格执行矿产资源法、自然保护区条例等法律法规有关规定，依法划定禁止开采区，并严格管理。非经国务院授权的有关主管部门同意，不得在以下地区开采矿产资源：（</w:t>
      </w:r>
      <w:r>
        <w:rPr>
          <w:sz w:val="24"/>
        </w:rPr>
        <w:t>1</w:t>
      </w:r>
      <w:r>
        <w:rPr>
          <w:sz w:val="24"/>
        </w:rPr>
        <w:t>）国防工程建设设施圈定地区以内；（</w:t>
      </w:r>
      <w:r>
        <w:rPr>
          <w:sz w:val="24"/>
        </w:rPr>
        <w:t>2</w:t>
      </w:r>
      <w:r>
        <w:rPr>
          <w:sz w:val="24"/>
        </w:rPr>
        <w:t>）重要工业区、大型水利工程设施、城镇市政工程设施附近一定距离以内；（</w:t>
      </w:r>
      <w:r>
        <w:rPr>
          <w:sz w:val="24"/>
        </w:rPr>
        <w:t>3</w:t>
      </w:r>
      <w:r>
        <w:rPr>
          <w:sz w:val="24"/>
        </w:rPr>
        <w:t>）铁路、重要公路两侧一定距离以内；（</w:t>
      </w:r>
      <w:r>
        <w:rPr>
          <w:sz w:val="24"/>
        </w:rPr>
        <w:t>4</w:t>
      </w:r>
      <w:r>
        <w:rPr>
          <w:sz w:val="24"/>
        </w:rPr>
        <w:t>）重要河流、堤坝两侧一定距离以内；（</w:t>
      </w:r>
      <w:r>
        <w:rPr>
          <w:sz w:val="24"/>
        </w:rPr>
        <w:t>5</w:t>
      </w:r>
      <w:r>
        <w:rPr>
          <w:sz w:val="24"/>
        </w:rPr>
        <w:t>）国家划定的自然保护区、重要风景名胜区、国家重点保护的不能移动的历史文物和名胜古迹所在地；（</w:t>
      </w:r>
      <w:r>
        <w:rPr>
          <w:sz w:val="24"/>
        </w:rPr>
        <w:t>6</w:t>
      </w:r>
      <w:r>
        <w:rPr>
          <w:sz w:val="24"/>
        </w:rPr>
        <w:t>）国家规定不得开采矿产资源的其他地区。</w:t>
      </w:r>
    </w:p>
    <w:p w:rsidR="00240BCE" w:rsidRDefault="00AC0334">
      <w:pPr>
        <w:spacing w:line="520" w:lineRule="exact"/>
        <w:ind w:firstLineChars="200" w:firstLine="480"/>
        <w:rPr>
          <w:sz w:val="24"/>
        </w:rPr>
      </w:pPr>
      <w:r>
        <w:rPr>
          <w:sz w:val="24"/>
        </w:rPr>
        <w:t>禁止在自然保护区内从事采矿活动。自然保护区内已有探矿权和采矿权，在维</w:t>
      </w:r>
      <w:r>
        <w:rPr>
          <w:sz w:val="24"/>
        </w:rPr>
        <w:lastRenderedPageBreak/>
        <w:t>护矿业权人合法权益的前提下，依法有序退出。</w:t>
      </w:r>
    </w:p>
    <w:p w:rsidR="00240BCE" w:rsidRDefault="00AC0334">
      <w:pPr>
        <w:spacing w:line="520" w:lineRule="exact"/>
        <w:ind w:firstLineChars="200" w:firstLine="480"/>
      </w:pPr>
      <w:r>
        <w:rPr>
          <w:sz w:val="24"/>
        </w:rPr>
        <w:t>禁止开采区划分：风景名胜和人文文化保护区</w:t>
      </w:r>
      <w:r>
        <w:rPr>
          <w:sz w:val="24"/>
        </w:rPr>
        <w:t>5</w:t>
      </w:r>
      <w:r>
        <w:rPr>
          <w:sz w:val="24"/>
        </w:rPr>
        <w:t>处、省级地质公园</w:t>
      </w:r>
      <w:r>
        <w:rPr>
          <w:sz w:val="24"/>
        </w:rPr>
        <w:t>1</w:t>
      </w:r>
      <w:r>
        <w:rPr>
          <w:sz w:val="24"/>
        </w:rPr>
        <w:t>处、水源地保护区</w:t>
      </w:r>
      <w:r>
        <w:rPr>
          <w:sz w:val="24"/>
        </w:rPr>
        <w:t>2</w:t>
      </w:r>
      <w:r>
        <w:rPr>
          <w:sz w:val="24"/>
        </w:rPr>
        <w:t>处、重点文物保护单位</w:t>
      </w:r>
      <w:r>
        <w:rPr>
          <w:sz w:val="24"/>
        </w:rPr>
        <w:t>32</w:t>
      </w:r>
      <w:r>
        <w:rPr>
          <w:sz w:val="24"/>
        </w:rPr>
        <w:t>处；重要城镇、重要河流、水库、重要交通干道、重大工程设施的一定范围内；国家规定不得开采矿产资源的其他地区。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60"/>
      </w:tblGrid>
      <w:tr w:rsidR="00240BCE">
        <w:trPr>
          <w:trHeight w:val="654"/>
          <w:jc w:val="center"/>
        </w:trPr>
        <w:tc>
          <w:tcPr>
            <w:tcW w:w="8760" w:type="dxa"/>
            <w:vAlign w:val="center"/>
          </w:tcPr>
          <w:p w:rsidR="00240BCE" w:rsidRDefault="00AC0334">
            <w:pPr>
              <w:pStyle w:val="af7"/>
              <w:spacing w:before="0" w:beforeAutospacing="0" w:after="0" w:afterAutospacing="0" w:line="315" w:lineRule="atLeast"/>
              <w:ind w:firstLine="562"/>
              <w:jc w:val="center"/>
              <w:rPr>
                <w:color w:val="333333"/>
                <w:sz w:val="21"/>
                <w:szCs w:val="21"/>
              </w:rPr>
            </w:pPr>
            <w:r>
              <w:rPr>
                <w:rFonts w:eastAsia="仿宋_GB2312"/>
                <w:b/>
                <w:bCs/>
                <w:color w:val="333333"/>
              </w:rPr>
              <w:t>专栏</w:t>
            </w:r>
            <w:r>
              <w:rPr>
                <w:rFonts w:eastAsia="仿宋_GB2312"/>
                <w:b/>
                <w:bCs/>
                <w:color w:val="333333"/>
              </w:rPr>
              <w:t>6    </w:t>
            </w:r>
            <w:r>
              <w:rPr>
                <w:rFonts w:eastAsia="仿宋_GB2312"/>
                <w:b/>
                <w:bCs/>
                <w:color w:val="333333"/>
              </w:rPr>
              <w:t>具有保护功能的禁止开采区</w:t>
            </w:r>
          </w:p>
        </w:tc>
      </w:tr>
      <w:tr w:rsidR="00240BCE">
        <w:trPr>
          <w:trHeight w:val="2657"/>
          <w:jc w:val="center"/>
        </w:trPr>
        <w:tc>
          <w:tcPr>
            <w:tcW w:w="8760" w:type="dxa"/>
          </w:tcPr>
          <w:p w:rsidR="00240BCE" w:rsidRDefault="00AC0334">
            <w:pPr>
              <w:pStyle w:val="af7"/>
              <w:spacing w:before="0" w:beforeAutospacing="0" w:after="0" w:afterAutospacing="0" w:line="315" w:lineRule="atLeast"/>
              <w:ind w:firstLine="420"/>
              <w:jc w:val="both"/>
              <w:rPr>
                <w:rFonts w:ascii="宋体" w:hAnsi="宋体" w:cs="宋体"/>
                <w:color w:val="333333"/>
                <w:sz w:val="21"/>
                <w:szCs w:val="21"/>
              </w:rPr>
            </w:pPr>
            <w:r>
              <w:rPr>
                <w:rFonts w:ascii="宋体" w:hAnsi="宋体" w:cs="宋体" w:hint="eastAsia"/>
                <w:color w:val="333333"/>
                <w:sz w:val="21"/>
                <w:szCs w:val="21"/>
              </w:rPr>
              <w:t>1、风景名胜和人文文化保护区：逍遥观风景保护区、九龙山风景保护区、吴道子故里风景保护区、神垕钧窑保护区、大鸿寨风景区。</w:t>
            </w:r>
          </w:p>
          <w:p w:rsidR="00240BCE" w:rsidRDefault="00AC0334">
            <w:pPr>
              <w:pStyle w:val="af7"/>
              <w:spacing w:before="0" w:beforeAutospacing="0" w:after="0" w:afterAutospacing="0" w:line="315" w:lineRule="atLeast"/>
              <w:ind w:firstLine="420"/>
              <w:jc w:val="both"/>
              <w:rPr>
                <w:rFonts w:ascii="宋体" w:hAnsi="宋体" w:cs="宋体"/>
                <w:color w:val="333333"/>
                <w:sz w:val="21"/>
                <w:szCs w:val="21"/>
              </w:rPr>
            </w:pPr>
            <w:r>
              <w:rPr>
                <w:rFonts w:ascii="宋体" w:hAnsi="宋体" w:cs="宋体" w:hint="eastAsia"/>
                <w:color w:val="333333"/>
                <w:sz w:val="21"/>
                <w:szCs w:val="21"/>
              </w:rPr>
              <w:t>2、地质公园内地质遗迹保护区：华夏植物群省级地质公园。</w:t>
            </w:r>
          </w:p>
          <w:p w:rsidR="00240BCE" w:rsidRDefault="00AC0334">
            <w:pPr>
              <w:pStyle w:val="af7"/>
              <w:spacing w:before="0" w:beforeAutospacing="0" w:after="0" w:afterAutospacing="0" w:line="315" w:lineRule="atLeast"/>
              <w:ind w:firstLine="420"/>
              <w:jc w:val="both"/>
              <w:rPr>
                <w:rFonts w:ascii="宋体" w:hAnsi="宋体" w:cs="宋体"/>
                <w:color w:val="333333"/>
                <w:sz w:val="21"/>
                <w:szCs w:val="21"/>
              </w:rPr>
            </w:pPr>
            <w:r>
              <w:rPr>
                <w:rFonts w:ascii="宋体" w:hAnsi="宋体" w:cs="宋体" w:hint="eastAsia"/>
                <w:color w:val="333333"/>
                <w:sz w:val="21"/>
                <w:szCs w:val="21"/>
              </w:rPr>
              <w:t>3、饮用水水源保护区：禹州市颍河地表水饮用水源保护区的一级保护区和二级保护区。</w:t>
            </w:r>
          </w:p>
          <w:p w:rsidR="00240BCE" w:rsidRDefault="00AC0334">
            <w:pPr>
              <w:pStyle w:val="af7"/>
              <w:spacing w:before="0" w:beforeAutospacing="0" w:after="0" w:afterAutospacing="0" w:line="315" w:lineRule="atLeast"/>
              <w:ind w:firstLine="420"/>
              <w:jc w:val="both"/>
              <w:rPr>
                <w:rFonts w:ascii="宋体" w:hAnsi="宋体" w:cs="宋体"/>
                <w:color w:val="333333"/>
                <w:sz w:val="21"/>
                <w:szCs w:val="21"/>
              </w:rPr>
            </w:pPr>
            <w:r>
              <w:rPr>
                <w:rFonts w:ascii="宋体" w:hAnsi="宋体" w:cs="宋体" w:hint="eastAsia"/>
                <w:color w:val="333333"/>
                <w:sz w:val="21"/>
                <w:szCs w:val="21"/>
              </w:rPr>
              <w:t>4、文物保护单位：国家级文物保护单位7处，省级文物保护单位25处。</w:t>
            </w:r>
          </w:p>
          <w:p w:rsidR="00240BCE" w:rsidRDefault="00AC0334">
            <w:pPr>
              <w:pStyle w:val="af7"/>
              <w:spacing w:before="0" w:beforeAutospacing="0" w:after="0" w:afterAutospacing="0" w:line="315" w:lineRule="atLeast"/>
              <w:ind w:firstLine="420"/>
              <w:jc w:val="both"/>
              <w:rPr>
                <w:rFonts w:ascii="宋体" w:hAnsi="宋体" w:cs="宋体"/>
                <w:color w:val="333333"/>
                <w:sz w:val="21"/>
                <w:szCs w:val="21"/>
              </w:rPr>
            </w:pPr>
            <w:r>
              <w:rPr>
                <w:rFonts w:ascii="宋体" w:hAnsi="宋体" w:cs="宋体" w:hint="eastAsia"/>
                <w:color w:val="333333"/>
                <w:sz w:val="21"/>
                <w:szCs w:val="21"/>
              </w:rPr>
              <w:t>5、森林公园、湿地公园：国家级、省级湿地公园保护范围；国家森林公园范围、省级森林公园的国有林范围。</w:t>
            </w:r>
          </w:p>
          <w:p w:rsidR="00240BCE" w:rsidRDefault="00AC0334">
            <w:pPr>
              <w:pStyle w:val="af7"/>
              <w:spacing w:before="0" w:beforeAutospacing="0" w:after="0" w:afterAutospacing="0" w:line="315" w:lineRule="atLeast"/>
              <w:ind w:firstLine="420"/>
              <w:jc w:val="both"/>
              <w:rPr>
                <w:color w:val="333333"/>
                <w:sz w:val="21"/>
                <w:szCs w:val="21"/>
              </w:rPr>
            </w:pPr>
            <w:r>
              <w:rPr>
                <w:rFonts w:ascii="宋体" w:hAnsi="宋体" w:cs="宋体" w:hint="eastAsia"/>
                <w:color w:val="333333"/>
                <w:sz w:val="21"/>
                <w:szCs w:val="21"/>
              </w:rPr>
              <w:t>6、国家规定的其他不得开采矿产的区域：重要城镇、重要基础设施、重要交通干道等。</w:t>
            </w:r>
          </w:p>
        </w:tc>
      </w:tr>
    </w:tbl>
    <w:p w:rsidR="00240BCE" w:rsidRDefault="00AC0334">
      <w:pPr>
        <w:spacing w:line="520" w:lineRule="exact"/>
        <w:ind w:firstLineChars="200" w:firstLine="480"/>
        <w:rPr>
          <w:sz w:val="24"/>
        </w:rPr>
      </w:pPr>
      <w:r>
        <w:rPr>
          <w:sz w:val="24"/>
        </w:rPr>
        <w:t>禁止开采区管理政策。禁止开采区内，除国家基础性、公益性地质调查及符合政策要求的、以国家战略性矿产地储备为目的的矿产资源勘查项目外，一律不得新设探矿权、采矿权，严厉打击和取缔违法采矿活动，在不影响禁止区主体功能，并征得相关管理部门同意的情况下，可以进行地热、矿泉水等矿产的勘查开发利用。</w:t>
      </w:r>
    </w:p>
    <w:p w:rsidR="00240BCE" w:rsidRDefault="00AC0334">
      <w:pPr>
        <w:spacing w:line="520" w:lineRule="exact"/>
        <w:ind w:firstLineChars="200" w:firstLine="480"/>
        <w:rPr>
          <w:sz w:val="24"/>
        </w:rPr>
      </w:pPr>
      <w:r>
        <w:rPr>
          <w:sz w:val="24"/>
        </w:rPr>
        <w:t>禁止开采区设立及调整。具有生态环境保护功能的自然保护区、风景名胜区、文物保护单位、地质遗迹保护区、饮用水水源保护区等新设以及区域范围规划调整时，相关主管部门应统筹兼顾经济社会发展对矿产资源的需求，必须妥善解决区内已设矿业权，明确已有矿业权的处置意见，维护保护区内已设矿业权人的合法权益，合理划定保护区域范围，方可纳入禁止开采区名录。</w:t>
      </w:r>
    </w:p>
    <w:p w:rsidR="00240BCE" w:rsidRDefault="00AC0334">
      <w:pPr>
        <w:spacing w:line="520" w:lineRule="exact"/>
        <w:ind w:firstLineChars="200" w:firstLine="480"/>
        <w:rPr>
          <w:sz w:val="24"/>
        </w:rPr>
      </w:pPr>
      <w:r>
        <w:rPr>
          <w:sz w:val="24"/>
        </w:rPr>
        <w:t>禁止开采区内已有矿业权处置。在禁止开采区内已设置的矿业权不得转让、变更，已设置的探矿权不得转为采矿权。已设置的采矿权，坚持分类处置和不扩大矿区范围、不变更矿种、不变更生产规模原则。对各类自然保护区内矿业权进行全面清理，实行差别化补偿政策，在坚持生态环境保护优先和保障矿业权人合法利益的前提下，依法有序全面退出。</w:t>
      </w:r>
    </w:p>
    <w:p w:rsidR="00240BCE" w:rsidRDefault="00AC0334">
      <w:pPr>
        <w:spacing w:line="520" w:lineRule="exact"/>
        <w:ind w:firstLineChars="200" w:firstLine="480"/>
        <w:rPr>
          <w:sz w:val="24"/>
        </w:rPr>
      </w:pPr>
      <w:r>
        <w:rPr>
          <w:sz w:val="24"/>
        </w:rPr>
        <w:lastRenderedPageBreak/>
        <w:t>3</w:t>
      </w:r>
      <w:r>
        <w:rPr>
          <w:sz w:val="24"/>
        </w:rPr>
        <w:t>、限制开采区</w:t>
      </w:r>
    </w:p>
    <w:p w:rsidR="00240BCE" w:rsidRDefault="00AC0334">
      <w:pPr>
        <w:spacing w:line="520" w:lineRule="exact"/>
        <w:ind w:firstLineChars="200" w:firstLine="480"/>
        <w:rPr>
          <w:sz w:val="24"/>
        </w:rPr>
      </w:pPr>
      <w:r>
        <w:rPr>
          <w:sz w:val="24"/>
        </w:rPr>
        <w:t>限制开采区划分原则。指在规划期内根据国家产业政策、经济社会发展及资源环境保护的要求或国家特殊需要等，受经济、技术、安全、环境等多种因素的制约，对矿产资源开发利用活动实行一定限制的区域。包括：受国家产业政策调控，国家规定实行保护性开采的特定矿种分布区域；具有地方特色且需保护性限量开采矿种分布的区域；虽有可靠的资源基础，但当前市场容量有限，应用研究不够，资源利用方式不合理的区域；在较高技术经济条件与一定外部条件下，才能达到资源合理利用的区域；需要进行矿产资源储备和保护的矿产地；国家、省级地质公园地质遗迹保护区外园区；国家和地方规定的其他限制开采矿产资源的区域。</w:t>
      </w:r>
    </w:p>
    <w:p w:rsidR="00240BCE" w:rsidRDefault="00AC0334">
      <w:pPr>
        <w:spacing w:line="520" w:lineRule="exact"/>
        <w:ind w:firstLineChars="200" w:firstLine="480"/>
        <w:rPr>
          <w:sz w:val="24"/>
        </w:rPr>
      </w:pPr>
      <w:r>
        <w:rPr>
          <w:sz w:val="24"/>
        </w:rPr>
        <w:t>限制开采区划分。华夏植物群省级地质公园地质遗迹保护区以外的区域；国家、省级生态公益林，省级森林公园的集体林范围。</w:t>
      </w:r>
    </w:p>
    <w:p w:rsidR="00240BCE" w:rsidRDefault="00AC0334">
      <w:pPr>
        <w:spacing w:line="520" w:lineRule="exact"/>
        <w:ind w:firstLineChars="200" w:firstLine="480"/>
        <w:rPr>
          <w:sz w:val="24"/>
        </w:rPr>
      </w:pPr>
      <w:r>
        <w:rPr>
          <w:sz w:val="24"/>
        </w:rPr>
        <w:t>限制开采区管理政策。在限制开采区内，要严格控制限制开采矿种矿业权的设置，确实需要设置矿业权时，要严格规划审查，必须进行规划论证。</w:t>
      </w:r>
    </w:p>
    <w:p w:rsidR="00240BCE" w:rsidRDefault="00AC0334">
      <w:pPr>
        <w:spacing w:line="520" w:lineRule="exact"/>
        <w:ind w:firstLineChars="200" w:firstLine="480"/>
        <w:rPr>
          <w:sz w:val="24"/>
        </w:rPr>
      </w:pPr>
      <w:r>
        <w:rPr>
          <w:sz w:val="24"/>
        </w:rPr>
        <w:t>三、开采规划区块</w:t>
      </w:r>
      <w:r>
        <w:rPr>
          <w:sz w:val="24"/>
        </w:rPr>
        <w:t> </w:t>
      </w:r>
    </w:p>
    <w:p w:rsidR="00240BCE" w:rsidRDefault="00AC0334">
      <w:pPr>
        <w:spacing w:line="520" w:lineRule="exact"/>
        <w:ind w:firstLineChars="200" w:firstLine="480"/>
        <w:rPr>
          <w:sz w:val="24"/>
        </w:rPr>
      </w:pPr>
      <w:r>
        <w:rPr>
          <w:sz w:val="24"/>
        </w:rPr>
        <w:t>开采规划区块划分原则。严格落实省规划划定的辖区内的开采规划区块。地质工作程度已达到详查和勘探、开采技术条件基本或详细查明、而且查明资源量可以满足相应矿种最低开采规模的探矿权区块可以作为采矿权区块进行划定；一个矿床原则上划定为一个采矿权区块，遵循集约开发原则；采矿权区块划分必须符合国家和地区产业发展、资源保护和生态环境及文物保护条件。</w:t>
      </w:r>
    </w:p>
    <w:p w:rsidR="00240BCE" w:rsidRDefault="00AC0334">
      <w:pPr>
        <w:spacing w:line="520" w:lineRule="exact"/>
        <w:ind w:firstLineChars="200" w:firstLine="480"/>
        <w:rPr>
          <w:sz w:val="24"/>
        </w:rPr>
      </w:pPr>
      <w:r>
        <w:rPr>
          <w:sz w:val="24"/>
        </w:rPr>
        <w:t>开采规划区块划分。区内设置开采规划区块</w:t>
      </w:r>
      <w:r>
        <w:rPr>
          <w:sz w:val="24"/>
        </w:rPr>
        <w:t>18</w:t>
      </w:r>
      <w:r>
        <w:rPr>
          <w:sz w:val="24"/>
        </w:rPr>
        <w:t>个（其中落实省规划</w:t>
      </w:r>
      <w:r>
        <w:rPr>
          <w:sz w:val="24"/>
        </w:rPr>
        <w:t>2</w:t>
      </w:r>
      <w:r>
        <w:rPr>
          <w:sz w:val="24"/>
        </w:rPr>
        <w:t>个），总面积</w:t>
      </w:r>
      <w:r>
        <w:rPr>
          <w:sz w:val="24"/>
        </w:rPr>
        <w:t>34.03</w:t>
      </w:r>
      <w:r>
        <w:rPr>
          <w:sz w:val="24"/>
        </w:rPr>
        <w:t>平方千米。其中空白区新设</w:t>
      </w:r>
      <w:r>
        <w:rPr>
          <w:sz w:val="24"/>
        </w:rPr>
        <w:t>11</w:t>
      </w:r>
      <w:r>
        <w:rPr>
          <w:sz w:val="24"/>
        </w:rPr>
        <w:t>个，面积</w:t>
      </w:r>
      <w:r>
        <w:rPr>
          <w:sz w:val="24"/>
        </w:rPr>
        <w:t>27.72</w:t>
      </w:r>
      <w:r>
        <w:rPr>
          <w:sz w:val="24"/>
        </w:rPr>
        <w:t>平方千米；已设采矿权整合</w:t>
      </w:r>
      <w:r>
        <w:rPr>
          <w:sz w:val="24"/>
        </w:rPr>
        <w:t>6</w:t>
      </w:r>
      <w:r>
        <w:rPr>
          <w:sz w:val="24"/>
        </w:rPr>
        <w:t>个，面积</w:t>
      </w:r>
      <w:r>
        <w:rPr>
          <w:sz w:val="24"/>
        </w:rPr>
        <w:t>2.68</w:t>
      </w:r>
      <w:r>
        <w:rPr>
          <w:sz w:val="24"/>
        </w:rPr>
        <w:t>平方千米；已设采矿权调整</w:t>
      </w:r>
      <w:r>
        <w:rPr>
          <w:sz w:val="24"/>
        </w:rPr>
        <w:t>1</w:t>
      </w:r>
      <w:r>
        <w:rPr>
          <w:sz w:val="24"/>
        </w:rPr>
        <w:t>个，面积</w:t>
      </w:r>
      <w:r>
        <w:rPr>
          <w:sz w:val="24"/>
        </w:rPr>
        <w:t>3.63</w:t>
      </w:r>
      <w:r>
        <w:rPr>
          <w:sz w:val="24"/>
        </w:rPr>
        <w:t>平方千米。</w:t>
      </w:r>
    </w:p>
    <w:p w:rsidR="00240BCE" w:rsidRDefault="00AC0334">
      <w:pPr>
        <w:spacing w:line="520" w:lineRule="exact"/>
        <w:ind w:firstLineChars="200" w:firstLine="480"/>
        <w:rPr>
          <w:sz w:val="24"/>
        </w:rPr>
      </w:pPr>
      <w:r>
        <w:rPr>
          <w:sz w:val="24"/>
        </w:rPr>
        <w:t>按矿种划分，煤炭</w:t>
      </w:r>
      <w:r>
        <w:rPr>
          <w:sz w:val="24"/>
        </w:rPr>
        <w:t>2</w:t>
      </w:r>
      <w:r>
        <w:rPr>
          <w:sz w:val="24"/>
        </w:rPr>
        <w:t>个（均为落实省规划），其中空白区新设</w:t>
      </w:r>
      <w:r>
        <w:rPr>
          <w:sz w:val="24"/>
        </w:rPr>
        <w:t>1</w:t>
      </w:r>
      <w:r>
        <w:rPr>
          <w:sz w:val="24"/>
        </w:rPr>
        <w:t>个，已设采矿权调整</w:t>
      </w:r>
      <w:r>
        <w:rPr>
          <w:sz w:val="24"/>
        </w:rPr>
        <w:t>1</w:t>
      </w:r>
      <w:r>
        <w:rPr>
          <w:sz w:val="24"/>
        </w:rPr>
        <w:t>个；水泥用灰岩</w:t>
      </w:r>
      <w:r>
        <w:rPr>
          <w:sz w:val="24"/>
        </w:rPr>
        <w:t>3</w:t>
      </w:r>
      <w:r>
        <w:rPr>
          <w:sz w:val="24"/>
        </w:rPr>
        <w:t>个，其中空白区新设</w:t>
      </w:r>
      <w:r>
        <w:rPr>
          <w:sz w:val="24"/>
        </w:rPr>
        <w:t>1</w:t>
      </w:r>
      <w:r>
        <w:rPr>
          <w:sz w:val="24"/>
        </w:rPr>
        <w:t>个、已设采矿权整合</w:t>
      </w:r>
      <w:r>
        <w:rPr>
          <w:sz w:val="24"/>
        </w:rPr>
        <w:t>2</w:t>
      </w:r>
      <w:r>
        <w:rPr>
          <w:sz w:val="24"/>
        </w:rPr>
        <w:t>个；砂岩</w:t>
      </w:r>
      <w:r>
        <w:rPr>
          <w:sz w:val="24"/>
        </w:rPr>
        <w:t>6</w:t>
      </w:r>
      <w:r>
        <w:rPr>
          <w:sz w:val="24"/>
        </w:rPr>
        <w:t>个，均为空白区新设；建筑石料用灰岩</w:t>
      </w:r>
      <w:r>
        <w:rPr>
          <w:sz w:val="24"/>
        </w:rPr>
        <w:t>7</w:t>
      </w:r>
      <w:r>
        <w:rPr>
          <w:sz w:val="24"/>
        </w:rPr>
        <w:t>个，其中空白区新设</w:t>
      </w:r>
      <w:r>
        <w:rPr>
          <w:sz w:val="24"/>
        </w:rPr>
        <w:t>3</w:t>
      </w:r>
      <w:r>
        <w:rPr>
          <w:sz w:val="24"/>
        </w:rPr>
        <w:t>个、已设采矿权整</w:t>
      </w:r>
      <w:r>
        <w:rPr>
          <w:sz w:val="24"/>
        </w:rPr>
        <w:lastRenderedPageBreak/>
        <w:t>合</w:t>
      </w:r>
      <w:r>
        <w:rPr>
          <w:sz w:val="24"/>
        </w:rPr>
        <w:t>4</w:t>
      </w:r>
      <w:r>
        <w:rPr>
          <w:sz w:val="24"/>
        </w:rPr>
        <w:t>个。</w:t>
      </w:r>
    </w:p>
    <w:p w:rsidR="00240BCE" w:rsidRDefault="00AC0334">
      <w:pPr>
        <w:spacing w:line="520" w:lineRule="exact"/>
        <w:ind w:firstLineChars="200" w:firstLine="480"/>
        <w:rPr>
          <w:sz w:val="24"/>
        </w:rPr>
      </w:pPr>
      <w:r>
        <w:rPr>
          <w:sz w:val="24"/>
        </w:rPr>
        <w:t>开采规划区块管理政策。原则上按照开采规划区块划分设置采矿权，一个开采规划区块一个开采主体，在开采规划区块之外申请设置采矿权的，要进行规划调整论证。以下情况视同符合开采规划区块划分：已设探矿权转采矿权，且拟设采矿权矿区范围未超出已设探矿权勘查范围的新设采矿权；扩大开采范围不超过原面积</w:t>
      </w:r>
      <w:r>
        <w:rPr>
          <w:sz w:val="24"/>
        </w:rPr>
        <w:t>25%</w:t>
      </w:r>
      <w:r>
        <w:rPr>
          <w:sz w:val="24"/>
        </w:rPr>
        <w:t>的采矿权调整。已设砂石土矿产、零星分散矿产资源采矿权和其他不符合矿产资源规划的采矿权，不得批准扩大矿区范围。</w:t>
      </w:r>
    </w:p>
    <w:p w:rsidR="00240BCE" w:rsidRDefault="00AC0334">
      <w:pPr>
        <w:spacing w:line="520" w:lineRule="exact"/>
        <w:ind w:firstLineChars="200" w:firstLine="480"/>
        <w:rPr>
          <w:sz w:val="24"/>
        </w:rPr>
      </w:pPr>
      <w:r>
        <w:rPr>
          <w:sz w:val="24"/>
        </w:rPr>
        <w:t>四、开发准入管理</w:t>
      </w:r>
    </w:p>
    <w:p w:rsidR="00240BCE" w:rsidRDefault="00AC0334">
      <w:pPr>
        <w:spacing w:line="520" w:lineRule="exact"/>
        <w:ind w:firstLineChars="200" w:firstLine="480"/>
        <w:rPr>
          <w:sz w:val="24"/>
        </w:rPr>
      </w:pPr>
      <w:r>
        <w:rPr>
          <w:sz w:val="24"/>
        </w:rPr>
        <w:t>严格执行矿山最低开采规模和最低服务年限要求。矿山开采规模必须与矿山所占有的矿产资源储量规模相适应。新建大中型矿山开采规模不得低于规划确定的相应矿山最低开采规模，新建小型矿山开采规模和服务年限不得低于规划确定的相应矿山最低开采规模和最低服务年限。对于达到上轮规划确定的最低开采规模的老矿山，采矿权可以延续、转让和变更，鼓励老矿山通过整合，提升规模达到本规划要求。新建地下开采铝土矿、与煤矿共伴生硫铁矿必须达到中型及以上规模。</w:t>
      </w:r>
    </w:p>
    <w:tbl>
      <w:tblPr>
        <w:tblW w:w="5000" w:type="pct"/>
        <w:tblCellMar>
          <w:top w:w="15" w:type="dxa"/>
          <w:left w:w="15" w:type="dxa"/>
          <w:bottom w:w="15" w:type="dxa"/>
          <w:right w:w="15" w:type="dxa"/>
        </w:tblCellMar>
        <w:tblLook w:val="04A0"/>
      </w:tblPr>
      <w:tblGrid>
        <w:gridCol w:w="590"/>
        <w:gridCol w:w="1827"/>
        <w:gridCol w:w="1820"/>
        <w:gridCol w:w="915"/>
        <w:gridCol w:w="913"/>
        <w:gridCol w:w="915"/>
        <w:gridCol w:w="1780"/>
      </w:tblGrid>
      <w:tr w:rsidR="00240BCE">
        <w:trPr>
          <w:trHeight w:val="598"/>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ind w:firstLine="562"/>
              <w:jc w:val="center"/>
              <w:rPr>
                <w:color w:val="333333"/>
                <w:sz w:val="21"/>
                <w:szCs w:val="21"/>
              </w:rPr>
            </w:pPr>
            <w:r>
              <w:rPr>
                <w:rFonts w:eastAsia="仿宋_GB2312"/>
                <w:b/>
                <w:bCs/>
                <w:color w:val="333333"/>
              </w:rPr>
              <w:t>专栏</w:t>
            </w:r>
            <w:r>
              <w:rPr>
                <w:rFonts w:eastAsia="仿宋_GB2312"/>
                <w:b/>
                <w:bCs/>
                <w:color w:val="333333"/>
              </w:rPr>
              <w:t>7    </w:t>
            </w:r>
            <w:r>
              <w:rPr>
                <w:rFonts w:eastAsia="仿宋_GB2312"/>
                <w:b/>
                <w:bCs/>
                <w:color w:val="333333"/>
              </w:rPr>
              <w:t>新建矿山最低开采规模和最低服务年限设计标准</w:t>
            </w:r>
            <w:r>
              <w:rPr>
                <w:rFonts w:eastAsia="仿宋_GB2312"/>
                <w:b/>
                <w:bCs/>
                <w:color w:val="333333"/>
              </w:rPr>
              <w:t> </w:t>
            </w:r>
          </w:p>
        </w:tc>
      </w:tr>
      <w:tr w:rsidR="00240BCE">
        <w:tc>
          <w:tcPr>
            <w:tcW w:w="337" w:type="pct"/>
            <w:vMerge w:val="restar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序号</w:t>
            </w:r>
          </w:p>
        </w:tc>
        <w:tc>
          <w:tcPr>
            <w:tcW w:w="1043" w:type="pct"/>
            <w:vMerge w:val="restart"/>
            <w:tcBorders>
              <w:top w:val="single" w:sz="4" w:space="0" w:color="000000"/>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矿产名称</w:t>
            </w:r>
          </w:p>
        </w:tc>
        <w:tc>
          <w:tcPr>
            <w:tcW w:w="1039" w:type="pct"/>
            <w:vMerge w:val="restart"/>
            <w:tcBorders>
              <w:top w:val="single" w:sz="4" w:space="0" w:color="000000"/>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单位</w:t>
            </w:r>
          </w:p>
        </w:tc>
        <w:tc>
          <w:tcPr>
            <w:tcW w:w="1565" w:type="pct"/>
            <w:gridSpan w:val="3"/>
            <w:tcBorders>
              <w:top w:val="single" w:sz="4" w:space="0" w:color="000000"/>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最低开采规模</w:t>
            </w:r>
          </w:p>
        </w:tc>
        <w:tc>
          <w:tcPr>
            <w:tcW w:w="1016" w:type="pct"/>
            <w:tcBorders>
              <w:top w:val="single" w:sz="4" w:space="0" w:color="000000"/>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最低服务年限</w:t>
            </w:r>
          </w:p>
        </w:tc>
      </w:tr>
      <w:tr w:rsidR="00240BCE">
        <w:tc>
          <w:tcPr>
            <w:tcW w:w="337" w:type="pct"/>
            <w:vMerge/>
            <w:tcBorders>
              <w:top w:val="nil"/>
              <w:left w:val="single" w:sz="4" w:space="0" w:color="000000"/>
              <w:bottom w:val="single" w:sz="4" w:space="0" w:color="000000"/>
              <w:right w:val="single" w:sz="4" w:space="0" w:color="000000"/>
            </w:tcBorders>
            <w:vAlign w:val="center"/>
          </w:tcPr>
          <w:p w:rsidR="00240BCE" w:rsidRDefault="00240BCE">
            <w:pPr>
              <w:rPr>
                <w:color w:val="333333"/>
                <w:sz w:val="21"/>
                <w:szCs w:val="21"/>
              </w:rPr>
            </w:pPr>
          </w:p>
        </w:tc>
        <w:tc>
          <w:tcPr>
            <w:tcW w:w="1043" w:type="pct"/>
            <w:vMerge/>
            <w:tcBorders>
              <w:top w:val="single" w:sz="4" w:space="0" w:color="000000"/>
              <w:left w:val="nil"/>
              <w:bottom w:val="single" w:sz="4" w:space="0" w:color="000000"/>
              <w:right w:val="single" w:sz="4" w:space="0" w:color="000000"/>
            </w:tcBorders>
            <w:vAlign w:val="center"/>
          </w:tcPr>
          <w:p w:rsidR="00240BCE" w:rsidRDefault="00240BCE">
            <w:pPr>
              <w:rPr>
                <w:color w:val="333333"/>
                <w:sz w:val="21"/>
                <w:szCs w:val="21"/>
              </w:rPr>
            </w:pPr>
          </w:p>
        </w:tc>
        <w:tc>
          <w:tcPr>
            <w:tcW w:w="1039" w:type="pct"/>
            <w:vMerge/>
            <w:tcBorders>
              <w:top w:val="single" w:sz="4" w:space="0" w:color="000000"/>
              <w:left w:val="nil"/>
              <w:bottom w:val="single" w:sz="4" w:space="0" w:color="000000"/>
              <w:right w:val="single" w:sz="4" w:space="0" w:color="000000"/>
            </w:tcBorders>
            <w:vAlign w:val="center"/>
          </w:tcPr>
          <w:p w:rsidR="00240BCE" w:rsidRDefault="00240BCE">
            <w:pPr>
              <w:rPr>
                <w:color w:val="333333"/>
                <w:sz w:val="21"/>
                <w:szCs w:val="21"/>
              </w:rPr>
            </w:pP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大型</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中型</w:t>
            </w:r>
          </w:p>
        </w:tc>
        <w:tc>
          <w:tcPr>
            <w:tcW w:w="522" w:type="pct"/>
            <w:tcBorders>
              <w:top w:val="single" w:sz="4" w:space="0" w:color="000000"/>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小型</w:t>
            </w:r>
          </w:p>
        </w:tc>
        <w:tc>
          <w:tcPr>
            <w:tcW w:w="1016" w:type="pct"/>
            <w:tcBorders>
              <w:top w:val="single" w:sz="4" w:space="0" w:color="000000"/>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小型</w:t>
            </w:r>
          </w:p>
        </w:tc>
      </w:tr>
      <w:tr w:rsidR="00240BCE">
        <w:tc>
          <w:tcPr>
            <w:tcW w:w="337" w:type="pc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w:t>
            </w: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煤炭（地下）</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原煤万吨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120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60/90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r>
      <w:tr w:rsidR="00240BCE">
        <w:tc>
          <w:tcPr>
            <w:tcW w:w="337" w:type="pc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2</w:t>
            </w: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铁矿（地下</w:t>
            </w:r>
            <w:r>
              <w:rPr>
                <w:rFonts w:eastAsia="仿宋_GB2312"/>
                <w:color w:val="333333"/>
                <w:sz w:val="21"/>
                <w:szCs w:val="21"/>
              </w:rPr>
              <w:t>/</w:t>
            </w:r>
            <w:r>
              <w:rPr>
                <w:rFonts w:eastAsia="仿宋_GB2312"/>
                <w:color w:val="333333"/>
                <w:sz w:val="21"/>
                <w:szCs w:val="21"/>
              </w:rPr>
              <w:t>露天）</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100/200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30/60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10/20</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6</w:t>
            </w:r>
          </w:p>
        </w:tc>
      </w:tr>
      <w:tr w:rsidR="00240BCE">
        <w:tc>
          <w:tcPr>
            <w:tcW w:w="337" w:type="pct"/>
            <w:vMerge w:val="restar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3</w:t>
            </w: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铝土矿（露天）</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30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5</w:t>
            </w:r>
          </w:p>
        </w:tc>
      </w:tr>
      <w:tr w:rsidR="00240BCE">
        <w:tc>
          <w:tcPr>
            <w:tcW w:w="337" w:type="pct"/>
            <w:vMerge/>
            <w:tcBorders>
              <w:top w:val="nil"/>
              <w:left w:val="single" w:sz="4" w:space="0" w:color="000000"/>
              <w:bottom w:val="single" w:sz="4" w:space="0" w:color="000000"/>
              <w:right w:val="single" w:sz="4" w:space="0" w:color="000000"/>
            </w:tcBorders>
            <w:vAlign w:val="center"/>
          </w:tcPr>
          <w:p w:rsidR="00240BCE" w:rsidRDefault="00240BCE">
            <w:pPr>
              <w:rPr>
                <w:color w:val="333333"/>
                <w:sz w:val="21"/>
                <w:szCs w:val="21"/>
              </w:rPr>
            </w:pP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铝土矿（地下）</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30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r>
      <w:tr w:rsidR="00240BCE">
        <w:tc>
          <w:tcPr>
            <w:tcW w:w="337" w:type="pc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4</w:t>
            </w: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水泥用灰岩</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50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r>
      <w:tr w:rsidR="00240BCE">
        <w:tc>
          <w:tcPr>
            <w:tcW w:w="337" w:type="pc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5</w:t>
            </w: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建筑石料用灰岩</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50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r>
      <w:tr w:rsidR="00240BCE">
        <w:tc>
          <w:tcPr>
            <w:tcW w:w="337" w:type="pc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6</w:t>
            </w: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石英岩</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60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30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r>
      <w:tr w:rsidR="00240BCE">
        <w:tc>
          <w:tcPr>
            <w:tcW w:w="337" w:type="pc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7</w:t>
            </w: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砂岩</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60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30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color w:val="333333"/>
                <w:sz w:val="21"/>
                <w:szCs w:val="21"/>
              </w:rPr>
              <w:t> </w:t>
            </w:r>
          </w:p>
        </w:tc>
      </w:tr>
      <w:tr w:rsidR="00240BCE">
        <w:tc>
          <w:tcPr>
            <w:tcW w:w="337" w:type="pc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8</w:t>
            </w: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建筑石料</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50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30</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w:t>
            </w:r>
          </w:p>
        </w:tc>
      </w:tr>
      <w:tr w:rsidR="00240BCE">
        <w:tc>
          <w:tcPr>
            <w:tcW w:w="337" w:type="pct"/>
            <w:tcBorders>
              <w:top w:val="nil"/>
              <w:left w:val="single" w:sz="4" w:space="0" w:color="000000"/>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9</w:t>
            </w:r>
          </w:p>
        </w:tc>
        <w:tc>
          <w:tcPr>
            <w:tcW w:w="1043"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耐火粘土</w:t>
            </w:r>
          </w:p>
        </w:tc>
        <w:tc>
          <w:tcPr>
            <w:tcW w:w="1039"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矿石万吨</w:t>
            </w:r>
            <w:r>
              <w:rPr>
                <w:rFonts w:eastAsia="仿宋_GB2312"/>
                <w:color w:val="333333"/>
                <w:sz w:val="21"/>
                <w:szCs w:val="21"/>
              </w:rPr>
              <w:t>/</w:t>
            </w:r>
            <w:r>
              <w:rPr>
                <w:rFonts w:eastAsia="仿宋_GB2312"/>
                <w:color w:val="333333"/>
                <w:sz w:val="21"/>
                <w:szCs w:val="21"/>
              </w:rPr>
              <w:t>年</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20</w:t>
            </w:r>
          </w:p>
        </w:tc>
        <w:tc>
          <w:tcPr>
            <w:tcW w:w="521"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w:t>
            </w:r>
          </w:p>
        </w:tc>
        <w:tc>
          <w:tcPr>
            <w:tcW w:w="522"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5</w:t>
            </w:r>
          </w:p>
        </w:tc>
        <w:tc>
          <w:tcPr>
            <w:tcW w:w="1016" w:type="pct"/>
            <w:tcBorders>
              <w:top w:val="nil"/>
              <w:left w:val="nil"/>
              <w:bottom w:val="single" w:sz="4" w:space="0" w:color="000000"/>
              <w:right w:val="single" w:sz="4" w:space="0" w:color="000000"/>
            </w:tcBorders>
            <w:vAlign w:val="center"/>
          </w:tcPr>
          <w:p w:rsidR="00240BCE" w:rsidRDefault="00AC0334">
            <w:pPr>
              <w:pStyle w:val="af7"/>
              <w:spacing w:before="0" w:beforeAutospacing="0" w:after="0" w:afterAutospacing="0" w:line="315" w:lineRule="atLeast"/>
              <w:jc w:val="center"/>
              <w:rPr>
                <w:color w:val="333333"/>
                <w:sz w:val="21"/>
                <w:szCs w:val="21"/>
              </w:rPr>
            </w:pPr>
            <w:r>
              <w:rPr>
                <w:rFonts w:eastAsia="仿宋_GB2312"/>
                <w:color w:val="333333"/>
                <w:sz w:val="21"/>
                <w:szCs w:val="21"/>
              </w:rPr>
              <w:t>10</w:t>
            </w:r>
          </w:p>
        </w:tc>
      </w:tr>
    </w:tbl>
    <w:p w:rsidR="00240BCE" w:rsidRDefault="00AC0334">
      <w:pPr>
        <w:pStyle w:val="af7"/>
        <w:shd w:val="clear" w:color="auto" w:fill="FFFFFF"/>
        <w:spacing w:before="0" w:beforeAutospacing="0" w:after="0" w:afterAutospacing="0" w:line="315" w:lineRule="atLeast"/>
        <w:ind w:firstLine="560"/>
        <w:jc w:val="both"/>
        <w:rPr>
          <w:color w:val="333333"/>
          <w:sz w:val="21"/>
          <w:szCs w:val="21"/>
        </w:rPr>
      </w:pPr>
      <w:r>
        <w:rPr>
          <w:rFonts w:eastAsia="仿宋_GB2312"/>
          <w:color w:val="333333"/>
          <w:sz w:val="21"/>
          <w:szCs w:val="21"/>
        </w:rPr>
        <w:t>备注：</w:t>
      </w:r>
      <w:r>
        <w:rPr>
          <w:rFonts w:eastAsia="仿宋_GB2312"/>
          <w:color w:val="333333"/>
          <w:sz w:val="21"/>
          <w:szCs w:val="21"/>
        </w:rPr>
        <w:t>1</w:t>
      </w:r>
      <w:r>
        <w:rPr>
          <w:rFonts w:eastAsia="仿宋_GB2312"/>
          <w:color w:val="333333"/>
          <w:sz w:val="21"/>
          <w:szCs w:val="21"/>
        </w:rPr>
        <w:t>、煤炭最低开采规模不低于</w:t>
      </w:r>
      <w:r>
        <w:rPr>
          <w:rFonts w:eastAsia="仿宋_GB2312"/>
          <w:color w:val="333333"/>
          <w:sz w:val="21"/>
          <w:szCs w:val="21"/>
        </w:rPr>
        <w:t>60</w:t>
      </w:r>
      <w:r>
        <w:rPr>
          <w:rFonts w:eastAsia="仿宋_GB2312"/>
          <w:color w:val="333333"/>
          <w:sz w:val="21"/>
          <w:szCs w:val="21"/>
        </w:rPr>
        <w:t>万吨</w:t>
      </w:r>
      <w:r>
        <w:rPr>
          <w:rFonts w:eastAsia="仿宋_GB2312"/>
          <w:color w:val="333333"/>
          <w:sz w:val="21"/>
          <w:szCs w:val="21"/>
        </w:rPr>
        <w:t>/</w:t>
      </w:r>
      <w:r>
        <w:rPr>
          <w:rFonts w:eastAsia="仿宋_GB2312"/>
          <w:color w:val="333333"/>
          <w:sz w:val="21"/>
          <w:szCs w:val="21"/>
        </w:rPr>
        <w:t>年，高瓦斯、煤与瓦斯突出矿井不低于</w:t>
      </w:r>
      <w:r>
        <w:rPr>
          <w:rFonts w:eastAsia="仿宋_GB2312"/>
          <w:color w:val="333333"/>
          <w:sz w:val="21"/>
          <w:szCs w:val="21"/>
        </w:rPr>
        <w:t>90</w:t>
      </w:r>
      <w:r>
        <w:rPr>
          <w:rFonts w:eastAsia="仿宋_GB2312"/>
          <w:color w:val="333333"/>
          <w:sz w:val="21"/>
          <w:szCs w:val="21"/>
        </w:rPr>
        <w:t>万吨</w:t>
      </w:r>
      <w:r>
        <w:rPr>
          <w:rFonts w:eastAsia="仿宋_GB2312"/>
          <w:color w:val="333333"/>
          <w:sz w:val="21"/>
          <w:szCs w:val="21"/>
        </w:rPr>
        <w:t>/</w:t>
      </w:r>
      <w:r>
        <w:rPr>
          <w:rFonts w:eastAsia="仿宋_GB2312"/>
          <w:color w:val="333333"/>
          <w:sz w:val="21"/>
          <w:szCs w:val="21"/>
        </w:rPr>
        <w:t>年。</w:t>
      </w:r>
      <w:r>
        <w:rPr>
          <w:rFonts w:eastAsia="仿宋_GB2312"/>
          <w:color w:val="333333"/>
          <w:sz w:val="21"/>
          <w:szCs w:val="21"/>
        </w:rPr>
        <w:t>2</w:t>
      </w:r>
      <w:r>
        <w:rPr>
          <w:rFonts w:eastAsia="仿宋_GB2312"/>
          <w:color w:val="333333"/>
          <w:sz w:val="21"/>
          <w:szCs w:val="21"/>
        </w:rPr>
        <w:t>、《规划》发布实施前，已批复划定矿区范围申请采矿权且与国家现行有关规定一致的，</w:t>
      </w:r>
      <w:r>
        <w:rPr>
          <w:rFonts w:eastAsia="仿宋_GB2312"/>
          <w:color w:val="333333"/>
          <w:sz w:val="21"/>
          <w:szCs w:val="21"/>
        </w:rPr>
        <w:lastRenderedPageBreak/>
        <w:t>可按《禹州市矿产资源总体规划（</w:t>
      </w:r>
      <w:r>
        <w:rPr>
          <w:rFonts w:eastAsia="仿宋_GB2312"/>
          <w:color w:val="333333"/>
          <w:sz w:val="21"/>
          <w:szCs w:val="21"/>
        </w:rPr>
        <w:t>2008-2015</w:t>
      </w:r>
      <w:r>
        <w:rPr>
          <w:rFonts w:eastAsia="仿宋_GB2312"/>
          <w:color w:val="333333"/>
          <w:sz w:val="21"/>
          <w:szCs w:val="21"/>
        </w:rPr>
        <w:t>年）》相应的最低开采规模和最低服务年限要求执行。</w:t>
      </w:r>
    </w:p>
    <w:p w:rsidR="00240BCE" w:rsidRDefault="00AC0334">
      <w:pPr>
        <w:spacing w:line="520" w:lineRule="exact"/>
        <w:ind w:firstLineChars="200" w:firstLine="480"/>
        <w:rPr>
          <w:sz w:val="24"/>
        </w:rPr>
      </w:pPr>
      <w:r>
        <w:rPr>
          <w:sz w:val="24"/>
        </w:rPr>
        <w:t>严格新建矿山准入管理：新建矿山应当符合国家和省生态保护相关的法律法规要求；地质勘查程度应满足相应矿山建设的要求。大中型煤矿应达到勘探程度；非煤矿山、小型煤矿原则上应达到勘探程度，简单矿床应达到详查程度并符合开采设计要求；第三类矿产应达到矿山建设要求的地质工作程度。对于共伴生多种重要矿种的矿产地，开发利用方案或设计要进行开采主矿种论证，根据国家政策、开采条件以及矿种的重要程度确定开采顺序。</w:t>
      </w:r>
    </w:p>
    <w:p w:rsidR="00240BCE" w:rsidRDefault="00AC0334">
      <w:pPr>
        <w:spacing w:line="520" w:lineRule="exact"/>
        <w:ind w:firstLineChars="200" w:firstLine="480"/>
        <w:rPr>
          <w:sz w:val="24"/>
        </w:rPr>
      </w:pPr>
      <w:r>
        <w:rPr>
          <w:sz w:val="24"/>
        </w:rPr>
        <w:t>严格控制新建露天开采矿山：</w:t>
      </w:r>
      <w:r>
        <w:rPr>
          <w:sz w:val="24"/>
        </w:rPr>
        <w:t>“</w:t>
      </w:r>
      <w:r>
        <w:rPr>
          <w:sz w:val="24"/>
        </w:rPr>
        <w:t>三区两线</w:t>
      </w:r>
      <w:r>
        <w:rPr>
          <w:sz w:val="24"/>
        </w:rPr>
        <w:t>”</w:t>
      </w:r>
      <w:r>
        <w:rPr>
          <w:sz w:val="24"/>
        </w:rPr>
        <w:t>及特定生态保护区域严禁新建露天开采矿山。严格采矿权准入管理，必须采用绿色开采方式，对于露天开采建材类矿山应集中连片规模化布局，不留死角整体开发。</w:t>
      </w:r>
    </w:p>
    <w:p w:rsidR="00240BCE" w:rsidRDefault="00AC0334">
      <w:pPr>
        <w:spacing w:line="520" w:lineRule="exact"/>
        <w:rPr>
          <w:sz w:val="24"/>
        </w:rPr>
      </w:pPr>
      <w:r>
        <w:rPr>
          <w:sz w:val="24"/>
        </w:rPr>
        <w:t>10.4.2.2</w:t>
      </w:r>
      <w:r>
        <w:rPr>
          <w:sz w:val="24"/>
        </w:rPr>
        <w:t>项目建设与《禹州市矿产资源总体规划</w:t>
      </w:r>
      <w:r>
        <w:rPr>
          <w:sz w:val="24"/>
        </w:rPr>
        <w:t>(2016-2020</w:t>
      </w:r>
      <w:r>
        <w:rPr>
          <w:sz w:val="24"/>
        </w:rPr>
        <w:t>年</w:t>
      </w:r>
      <w:r>
        <w:rPr>
          <w:sz w:val="24"/>
        </w:rPr>
        <w:t>)</w:t>
      </w:r>
      <w:r>
        <w:rPr>
          <w:sz w:val="24"/>
        </w:rPr>
        <w:t>》相符性分析</w:t>
      </w:r>
    </w:p>
    <w:p w:rsidR="00593CEB" w:rsidRDefault="00AC0334">
      <w:pPr>
        <w:spacing w:line="520" w:lineRule="exact"/>
        <w:ind w:firstLineChars="200" w:firstLine="488"/>
        <w:rPr>
          <w:sz w:val="24"/>
        </w:rPr>
      </w:pPr>
      <w:r>
        <w:rPr>
          <w:color w:val="000000"/>
          <w:spacing w:val="2"/>
          <w:sz w:val="24"/>
        </w:rPr>
        <w:t>本项目位于河南禹州市鸠山镇，</w:t>
      </w:r>
      <w:r>
        <w:rPr>
          <w:color w:val="000000"/>
          <w:sz w:val="24"/>
        </w:rPr>
        <w:t>矿区不在自然保护区、风景名胜区、饮用水源地等需要特殊保护的区域，不在禁止开采区和限制开采区内；项目</w:t>
      </w:r>
      <w:r>
        <w:rPr>
          <w:sz w:val="24"/>
        </w:rPr>
        <w:t>属于《河南省工业和信息化厅关于切实做好全省</w:t>
      </w:r>
      <w:r>
        <w:rPr>
          <w:sz w:val="24"/>
        </w:rPr>
        <w:t>30</w:t>
      </w:r>
      <w:r>
        <w:rPr>
          <w:sz w:val="24"/>
        </w:rPr>
        <w:t>万吨</w:t>
      </w:r>
      <w:r>
        <w:rPr>
          <w:sz w:val="24"/>
        </w:rPr>
        <w:t>/</w:t>
      </w:r>
      <w:r>
        <w:rPr>
          <w:sz w:val="24"/>
        </w:rPr>
        <w:t>年以下煤矿分类处置工作的通知》（豫工信办煤行〔</w:t>
      </w:r>
      <w:r>
        <w:rPr>
          <w:sz w:val="24"/>
        </w:rPr>
        <w:t>2020</w:t>
      </w:r>
      <w:r>
        <w:rPr>
          <w:sz w:val="24"/>
        </w:rPr>
        <w:t>〕</w:t>
      </w:r>
      <w:r>
        <w:rPr>
          <w:sz w:val="24"/>
        </w:rPr>
        <w:t>54</w:t>
      </w:r>
      <w:r>
        <w:rPr>
          <w:sz w:val="24"/>
        </w:rPr>
        <w:t>号）分类处置中的（</w:t>
      </w:r>
      <w:r>
        <w:rPr>
          <w:sz w:val="24"/>
        </w:rPr>
        <w:t>3</w:t>
      </w:r>
      <w:r>
        <w:rPr>
          <w:sz w:val="24"/>
        </w:rPr>
        <w:t>）具备条件升级改造的一批，</w:t>
      </w:r>
      <w:r>
        <w:rPr>
          <w:color w:val="000000"/>
          <w:sz w:val="24"/>
        </w:rPr>
        <w:t>升级改造后设计规模为</w:t>
      </w:r>
      <w:r>
        <w:rPr>
          <w:color w:val="000000"/>
          <w:sz w:val="24"/>
        </w:rPr>
        <w:t>30</w:t>
      </w:r>
      <w:r>
        <w:rPr>
          <w:color w:val="000000"/>
          <w:sz w:val="24"/>
        </w:rPr>
        <w:t>万</w:t>
      </w:r>
      <w:r>
        <w:rPr>
          <w:color w:val="000000"/>
          <w:sz w:val="24"/>
        </w:rPr>
        <w:t>t/a</w:t>
      </w:r>
      <w:r>
        <w:rPr>
          <w:color w:val="000000"/>
          <w:sz w:val="24"/>
        </w:rPr>
        <w:t>，服务年限为</w:t>
      </w:r>
      <w:r>
        <w:rPr>
          <w:color w:val="000000"/>
          <w:sz w:val="24"/>
        </w:rPr>
        <w:t>11.6a</w:t>
      </w:r>
      <w:r>
        <w:rPr>
          <w:color w:val="000000"/>
          <w:sz w:val="24"/>
        </w:rPr>
        <w:t>，</w:t>
      </w:r>
      <w:r>
        <w:rPr>
          <w:sz w:val="24"/>
        </w:rPr>
        <w:t>符合《产业结构调整指导目录（</w:t>
      </w:r>
      <w:r>
        <w:rPr>
          <w:sz w:val="24"/>
        </w:rPr>
        <w:t>2019</w:t>
      </w:r>
      <w:r>
        <w:rPr>
          <w:sz w:val="24"/>
        </w:rPr>
        <w:t>年本）》及《河南省工业和信息化厅关于切实做好全省</w:t>
      </w:r>
      <w:r>
        <w:rPr>
          <w:sz w:val="24"/>
        </w:rPr>
        <w:t>30</w:t>
      </w:r>
      <w:r>
        <w:rPr>
          <w:sz w:val="24"/>
        </w:rPr>
        <w:t>万吨</w:t>
      </w:r>
      <w:r>
        <w:rPr>
          <w:sz w:val="24"/>
        </w:rPr>
        <w:t>/</w:t>
      </w:r>
      <w:r>
        <w:rPr>
          <w:sz w:val="24"/>
        </w:rPr>
        <w:t>年以下煤矿分类处置工作的通知》（豫工信办煤行〔</w:t>
      </w:r>
      <w:r>
        <w:rPr>
          <w:sz w:val="24"/>
        </w:rPr>
        <w:t>2020</w:t>
      </w:r>
      <w:r>
        <w:rPr>
          <w:sz w:val="24"/>
        </w:rPr>
        <w:t>〕</w:t>
      </w:r>
      <w:r>
        <w:rPr>
          <w:sz w:val="24"/>
        </w:rPr>
        <w:t>54</w:t>
      </w:r>
      <w:r>
        <w:rPr>
          <w:sz w:val="24"/>
        </w:rPr>
        <w:t>号）要求。</w:t>
      </w:r>
    </w:p>
    <w:p w:rsidR="00593CEB" w:rsidRDefault="00593CEB" w:rsidP="00593CEB">
      <w:pPr>
        <w:spacing w:line="520" w:lineRule="exact"/>
        <w:ind w:firstLineChars="200" w:firstLine="482"/>
        <w:rPr>
          <w:sz w:val="24"/>
        </w:rPr>
      </w:pPr>
      <w:r w:rsidRPr="00593CEB">
        <w:rPr>
          <w:b/>
          <w:color w:val="000000"/>
          <w:sz w:val="24"/>
        </w:rPr>
        <w:t>项目</w:t>
      </w:r>
      <w:r w:rsidRPr="00593CEB">
        <w:rPr>
          <w:b/>
          <w:color w:val="000000"/>
          <w:spacing w:val="2"/>
          <w:sz w:val="24"/>
        </w:rPr>
        <w:t>属于</w:t>
      </w:r>
      <w:r w:rsidRPr="00593CEB">
        <w:rPr>
          <w:b/>
          <w:color w:val="000000"/>
          <w:sz w:val="24"/>
        </w:rPr>
        <w:t>煤炭开采升级改造项目，不受新建矿山最低开采规模和最低服务年限要求限制；</w:t>
      </w:r>
      <w:r w:rsidRPr="00593CEB">
        <w:rPr>
          <w:rFonts w:hint="eastAsia"/>
          <w:b/>
          <w:sz w:val="24"/>
        </w:rPr>
        <w:t>项目新增产能进行了产能置换，符合符合产能置换要求：</w:t>
      </w:r>
      <w:r w:rsidRPr="00593CEB">
        <w:rPr>
          <w:rFonts w:hint="eastAsia"/>
          <w:sz w:val="24"/>
        </w:rPr>
        <w:t>根据国家和省关于煤炭产能置换的有关文件要求，</w:t>
      </w:r>
      <w:r>
        <w:rPr>
          <w:rFonts w:hint="eastAsia"/>
          <w:sz w:val="24"/>
        </w:rPr>
        <w:t>隆庆煤矿</w:t>
      </w:r>
      <w:r w:rsidRPr="00593CEB">
        <w:rPr>
          <w:rFonts w:hint="eastAsia"/>
          <w:sz w:val="24"/>
        </w:rPr>
        <w:t>对技术改造项目进行产能置换，按照《关于进一步完善煤炭产能置换政策的补充通知》（发改办能源</w:t>
      </w:r>
      <w:r w:rsidRPr="00593CEB">
        <w:rPr>
          <w:rFonts w:hint="eastAsia"/>
          <w:sz w:val="24"/>
        </w:rPr>
        <w:t>[2018]1042</w:t>
      </w:r>
      <w:r w:rsidRPr="00593CEB">
        <w:rPr>
          <w:rFonts w:hint="eastAsia"/>
          <w:sz w:val="24"/>
        </w:rPr>
        <w:t>号）第一条，进一步改进增减挂钩产能置换的相关要求。随着煤炭供给侧结构性改革的全面深化，煤炭去产能将由总量性去产能转向结构性去产能、系统性优产能。根据国家发展改革委等四部委联合下发的《关于做好符合条件的优质产能煤矿生产能力核定</w:t>
      </w:r>
      <w:r w:rsidRPr="00593CEB">
        <w:rPr>
          <w:rFonts w:hint="eastAsia"/>
          <w:sz w:val="24"/>
        </w:rPr>
        <w:lastRenderedPageBreak/>
        <w:t>工作的通知》（发改运行〔</w:t>
      </w:r>
      <w:r w:rsidRPr="00593CEB">
        <w:rPr>
          <w:rFonts w:hint="eastAsia"/>
          <w:sz w:val="24"/>
        </w:rPr>
        <w:t>2017</w:t>
      </w:r>
      <w:r w:rsidRPr="00593CEB">
        <w:rPr>
          <w:rFonts w:hint="eastAsia"/>
          <w:sz w:val="24"/>
        </w:rPr>
        <w:t>〕</w:t>
      </w:r>
      <w:r w:rsidRPr="00593CEB">
        <w:rPr>
          <w:rFonts w:hint="eastAsia"/>
          <w:sz w:val="24"/>
        </w:rPr>
        <w:t>763</w:t>
      </w:r>
      <w:r w:rsidRPr="00593CEB">
        <w:rPr>
          <w:rFonts w:hint="eastAsia"/>
          <w:sz w:val="24"/>
        </w:rPr>
        <w:t>号）文第二条第一款申请核增生产能力的煤矿，制定产能置换方案，严格实施产能减量置换要求。置换、淘汰退出的煤矿产能不小于核增产能的</w:t>
      </w:r>
      <w:r w:rsidRPr="00593CEB">
        <w:rPr>
          <w:rFonts w:hint="eastAsia"/>
          <w:sz w:val="24"/>
        </w:rPr>
        <w:t>110%</w:t>
      </w:r>
      <w:r w:rsidRPr="00593CEB">
        <w:rPr>
          <w:rFonts w:hint="eastAsia"/>
          <w:sz w:val="24"/>
        </w:rPr>
        <w:t>。</w:t>
      </w:r>
      <w:r>
        <w:rPr>
          <w:rFonts w:hint="eastAsia"/>
          <w:sz w:val="24"/>
        </w:rPr>
        <w:t>隆庆煤矿</w:t>
      </w:r>
      <w:r w:rsidRPr="00593CEB">
        <w:rPr>
          <w:rFonts w:hint="eastAsia"/>
          <w:sz w:val="24"/>
        </w:rPr>
        <w:t>原生产能力</w:t>
      </w:r>
      <w:r w:rsidRPr="00593CEB">
        <w:rPr>
          <w:rFonts w:hint="eastAsia"/>
          <w:sz w:val="24"/>
        </w:rPr>
        <w:t>15</w:t>
      </w:r>
      <w:r w:rsidRPr="00593CEB">
        <w:rPr>
          <w:rFonts w:hint="eastAsia"/>
          <w:sz w:val="24"/>
        </w:rPr>
        <w:t>万吨</w:t>
      </w:r>
      <w:r w:rsidRPr="00593CEB">
        <w:rPr>
          <w:rFonts w:hint="eastAsia"/>
          <w:sz w:val="24"/>
        </w:rPr>
        <w:t>/</w:t>
      </w:r>
      <w:r w:rsidRPr="00593CEB">
        <w:rPr>
          <w:rFonts w:hint="eastAsia"/>
          <w:sz w:val="24"/>
        </w:rPr>
        <w:t>年，根据河南省工业与信息化厅《关于切实做好全省</w:t>
      </w:r>
      <w:r w:rsidRPr="00593CEB">
        <w:rPr>
          <w:rFonts w:hint="eastAsia"/>
          <w:sz w:val="24"/>
        </w:rPr>
        <w:t>30</w:t>
      </w:r>
      <w:r w:rsidRPr="00593CEB">
        <w:rPr>
          <w:rFonts w:hint="eastAsia"/>
          <w:sz w:val="24"/>
        </w:rPr>
        <w:t>万吨</w:t>
      </w:r>
      <w:r w:rsidRPr="00593CEB">
        <w:rPr>
          <w:rFonts w:hint="eastAsia"/>
          <w:sz w:val="24"/>
        </w:rPr>
        <w:t>/</w:t>
      </w:r>
      <w:r w:rsidRPr="00593CEB">
        <w:rPr>
          <w:rFonts w:hint="eastAsia"/>
          <w:sz w:val="24"/>
        </w:rPr>
        <w:t>年以下煤矿分类处置工作的通知》豫工信煤行［</w:t>
      </w:r>
      <w:r w:rsidRPr="00593CEB">
        <w:rPr>
          <w:rFonts w:hint="eastAsia"/>
          <w:sz w:val="24"/>
        </w:rPr>
        <w:t>2020</w:t>
      </w:r>
      <w:r w:rsidRPr="00593CEB">
        <w:rPr>
          <w:rFonts w:hint="eastAsia"/>
          <w:sz w:val="24"/>
        </w:rPr>
        <w:t>］</w:t>
      </w:r>
      <w:r w:rsidRPr="00593CEB">
        <w:rPr>
          <w:rFonts w:hint="eastAsia"/>
          <w:sz w:val="24"/>
        </w:rPr>
        <w:t>54</w:t>
      </w:r>
      <w:r w:rsidRPr="00593CEB">
        <w:rPr>
          <w:rFonts w:hint="eastAsia"/>
          <w:sz w:val="24"/>
        </w:rPr>
        <w:t>号文件，批准</w:t>
      </w:r>
      <w:r>
        <w:rPr>
          <w:rFonts w:hint="eastAsia"/>
          <w:sz w:val="24"/>
        </w:rPr>
        <w:t>隆庆煤矿</w:t>
      </w:r>
      <w:r w:rsidRPr="00593CEB">
        <w:rPr>
          <w:rFonts w:hint="eastAsia"/>
          <w:sz w:val="24"/>
        </w:rPr>
        <w:t>为</w:t>
      </w:r>
      <w:r w:rsidRPr="00593CEB">
        <w:rPr>
          <w:rFonts w:hint="eastAsia"/>
          <w:sz w:val="24"/>
        </w:rPr>
        <w:t>30</w:t>
      </w:r>
      <w:r w:rsidRPr="00593CEB">
        <w:rPr>
          <w:rFonts w:hint="eastAsia"/>
          <w:sz w:val="24"/>
        </w:rPr>
        <w:t>万吨</w:t>
      </w:r>
      <w:r w:rsidRPr="00593CEB">
        <w:rPr>
          <w:rFonts w:hint="eastAsia"/>
          <w:sz w:val="24"/>
        </w:rPr>
        <w:t>/</w:t>
      </w:r>
      <w:r w:rsidRPr="00593CEB">
        <w:rPr>
          <w:rFonts w:hint="eastAsia"/>
          <w:sz w:val="24"/>
        </w:rPr>
        <w:t>年规模矿井，即需要增加产能</w:t>
      </w:r>
      <w:r w:rsidRPr="00593CEB">
        <w:rPr>
          <w:rFonts w:hint="eastAsia"/>
          <w:sz w:val="24"/>
        </w:rPr>
        <w:t>15</w:t>
      </w:r>
      <w:r w:rsidRPr="00593CEB">
        <w:rPr>
          <w:rFonts w:hint="eastAsia"/>
          <w:sz w:val="24"/>
        </w:rPr>
        <w:t>万吨</w:t>
      </w:r>
      <w:r w:rsidRPr="00593CEB">
        <w:rPr>
          <w:rFonts w:hint="eastAsia"/>
          <w:sz w:val="24"/>
        </w:rPr>
        <w:t>/</w:t>
      </w:r>
      <w:r w:rsidRPr="00593CEB">
        <w:rPr>
          <w:rFonts w:hint="eastAsia"/>
          <w:sz w:val="24"/>
        </w:rPr>
        <w:t>年，需落实产能置换指标为</w:t>
      </w:r>
      <w:r w:rsidRPr="00593CEB">
        <w:rPr>
          <w:rFonts w:hint="eastAsia"/>
          <w:sz w:val="24"/>
        </w:rPr>
        <w:t>16.5</w:t>
      </w:r>
      <w:r w:rsidRPr="00593CEB">
        <w:rPr>
          <w:rFonts w:hint="eastAsia"/>
          <w:sz w:val="24"/>
        </w:rPr>
        <w:t>万吨</w:t>
      </w:r>
      <w:r w:rsidRPr="00593CEB">
        <w:rPr>
          <w:rFonts w:hint="eastAsia"/>
          <w:sz w:val="24"/>
        </w:rPr>
        <w:t>/</w:t>
      </w:r>
      <w:r w:rsidRPr="00593CEB">
        <w:rPr>
          <w:rFonts w:hint="eastAsia"/>
          <w:sz w:val="24"/>
        </w:rPr>
        <w:t>年。</w:t>
      </w:r>
      <w:r>
        <w:rPr>
          <w:rFonts w:hint="eastAsia"/>
          <w:sz w:val="24"/>
        </w:rPr>
        <w:t>隆庆煤矿</w:t>
      </w:r>
      <w:r w:rsidRPr="00593CEB">
        <w:rPr>
          <w:rFonts w:hint="eastAsia"/>
          <w:sz w:val="24"/>
        </w:rPr>
        <w:t>通过购买</w:t>
      </w:r>
      <w:r>
        <w:rPr>
          <w:rFonts w:hint="eastAsia"/>
          <w:sz w:val="24"/>
        </w:rPr>
        <w:t>神火集团</w:t>
      </w:r>
      <w:r w:rsidRPr="00593CEB">
        <w:rPr>
          <w:rFonts w:hint="eastAsia"/>
          <w:sz w:val="24"/>
        </w:rPr>
        <w:t>减产指标中的</w:t>
      </w:r>
      <w:r w:rsidRPr="00593CEB">
        <w:rPr>
          <w:rFonts w:hint="eastAsia"/>
          <w:sz w:val="24"/>
        </w:rPr>
        <w:t>16.5</w:t>
      </w:r>
      <w:r w:rsidRPr="00593CEB">
        <w:rPr>
          <w:rFonts w:hint="eastAsia"/>
          <w:sz w:val="24"/>
        </w:rPr>
        <w:t>万吨用于本次</w:t>
      </w:r>
      <w:r>
        <w:rPr>
          <w:rFonts w:hint="eastAsia"/>
          <w:sz w:val="24"/>
        </w:rPr>
        <w:t>升级</w:t>
      </w:r>
      <w:r w:rsidRPr="00593CEB">
        <w:rPr>
          <w:rFonts w:hint="eastAsia"/>
          <w:sz w:val="24"/>
        </w:rPr>
        <w:t>改造项目。其产能置换文件见附件</w:t>
      </w:r>
      <w:r>
        <w:rPr>
          <w:rFonts w:hint="eastAsia"/>
          <w:sz w:val="24"/>
        </w:rPr>
        <w:t>11</w:t>
      </w:r>
      <w:r w:rsidRPr="00593CEB">
        <w:rPr>
          <w:rFonts w:hint="eastAsia"/>
          <w:sz w:val="24"/>
        </w:rPr>
        <w:t>。</w:t>
      </w:r>
    </w:p>
    <w:p w:rsidR="00240BCE" w:rsidRDefault="00AC0334" w:rsidP="00593CEB">
      <w:pPr>
        <w:spacing w:line="520" w:lineRule="exact"/>
        <w:ind w:firstLineChars="200" w:firstLine="480"/>
        <w:rPr>
          <w:szCs w:val="28"/>
        </w:rPr>
      </w:pPr>
      <w:r>
        <w:rPr>
          <w:sz w:val="24"/>
        </w:rPr>
        <w:t>因此本项目建设</w:t>
      </w:r>
      <w:r>
        <w:rPr>
          <w:color w:val="000000"/>
          <w:sz w:val="24"/>
        </w:rPr>
        <w:t>符合</w:t>
      </w:r>
      <w:r>
        <w:rPr>
          <w:color w:val="000000"/>
          <w:sz w:val="24"/>
          <w:lang w:val="de-DE"/>
        </w:rPr>
        <w:t>《禹州市矿产资源总体规划（</w:t>
      </w:r>
      <w:r>
        <w:rPr>
          <w:color w:val="000000"/>
          <w:sz w:val="24"/>
          <w:lang w:val="de-DE"/>
        </w:rPr>
        <w:t>2016—2020</w:t>
      </w:r>
      <w:r>
        <w:rPr>
          <w:color w:val="000000"/>
          <w:sz w:val="24"/>
          <w:lang w:val="de-DE"/>
        </w:rPr>
        <w:t>年）》的要求。</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94" w:name="_Toc79668753"/>
      <w:bookmarkStart w:id="895" w:name="_Toc81934412"/>
      <w:r>
        <w:rPr>
          <w:rFonts w:ascii="Times New Roman" w:eastAsia="宋体" w:hAnsi="Times New Roman"/>
          <w:bCs/>
          <w:szCs w:val="32"/>
        </w:rPr>
        <w:t>10.5</w:t>
      </w:r>
      <w:r>
        <w:rPr>
          <w:rFonts w:ascii="Times New Roman" w:eastAsia="宋体" w:hAnsi="Times New Roman"/>
          <w:bCs/>
          <w:szCs w:val="32"/>
        </w:rPr>
        <w:t>与《禹州市城市总体规划（</w:t>
      </w:r>
      <w:r>
        <w:rPr>
          <w:rFonts w:ascii="Times New Roman" w:eastAsia="宋体" w:hAnsi="Times New Roman"/>
          <w:bCs/>
          <w:szCs w:val="32"/>
        </w:rPr>
        <w:t>2015—2030</w:t>
      </w:r>
      <w:r>
        <w:rPr>
          <w:rFonts w:ascii="Times New Roman" w:eastAsia="宋体" w:hAnsi="Times New Roman"/>
          <w:bCs/>
          <w:szCs w:val="32"/>
        </w:rPr>
        <w:t>年）》的相符性分析</w:t>
      </w:r>
      <w:bookmarkEnd w:id="894"/>
      <w:bookmarkEnd w:id="895"/>
    </w:p>
    <w:p w:rsidR="00240BCE" w:rsidRDefault="00AC0334">
      <w:pPr>
        <w:spacing w:line="520" w:lineRule="exact"/>
        <w:ind w:firstLineChars="200" w:firstLine="480"/>
        <w:rPr>
          <w:sz w:val="24"/>
        </w:rPr>
      </w:pPr>
      <w:r>
        <w:rPr>
          <w:sz w:val="24"/>
        </w:rPr>
        <w:t>1</w:t>
      </w:r>
      <w:r>
        <w:rPr>
          <w:sz w:val="24"/>
        </w:rPr>
        <w:t>、《禹州市城乡总体规划（</w:t>
      </w:r>
      <w:r>
        <w:rPr>
          <w:sz w:val="24"/>
        </w:rPr>
        <w:t xml:space="preserve">2015-2030 </w:t>
      </w:r>
      <w:r>
        <w:rPr>
          <w:sz w:val="24"/>
        </w:rPr>
        <w:t>年）》主要内容摘录</w:t>
      </w:r>
    </w:p>
    <w:p w:rsidR="00240BCE" w:rsidRDefault="00AC0334">
      <w:pPr>
        <w:spacing w:line="520" w:lineRule="exact"/>
        <w:ind w:firstLineChars="200" w:firstLine="480"/>
        <w:rPr>
          <w:sz w:val="24"/>
        </w:rPr>
      </w:pPr>
      <w:r>
        <w:rPr>
          <w:sz w:val="24"/>
        </w:rPr>
        <w:t>本次规划期限为</w:t>
      </w:r>
      <w:r>
        <w:rPr>
          <w:sz w:val="24"/>
        </w:rPr>
        <w:t>2015-2030</w:t>
      </w:r>
      <w:r>
        <w:rPr>
          <w:sz w:val="24"/>
        </w:rPr>
        <w:t>年。近期</w:t>
      </w:r>
      <w:r>
        <w:rPr>
          <w:sz w:val="24"/>
        </w:rPr>
        <w:t>2015-2020</w:t>
      </w:r>
      <w:r>
        <w:rPr>
          <w:sz w:val="24"/>
        </w:rPr>
        <w:t>年，远期为</w:t>
      </w:r>
      <w:r>
        <w:rPr>
          <w:sz w:val="24"/>
        </w:rPr>
        <w:t>2021-2030</w:t>
      </w:r>
      <w:r>
        <w:rPr>
          <w:sz w:val="24"/>
        </w:rPr>
        <w:t>年。</w:t>
      </w:r>
    </w:p>
    <w:p w:rsidR="00240BCE" w:rsidRDefault="00AC0334">
      <w:pPr>
        <w:spacing w:line="520" w:lineRule="exact"/>
        <w:ind w:firstLineChars="200" w:firstLine="480"/>
        <w:rPr>
          <w:sz w:val="24"/>
        </w:rPr>
      </w:pPr>
      <w:r>
        <w:rPr>
          <w:sz w:val="24"/>
        </w:rPr>
        <w:t>（</w:t>
      </w:r>
      <w:r>
        <w:rPr>
          <w:sz w:val="24"/>
        </w:rPr>
        <w:t>1</w:t>
      </w:r>
      <w:r>
        <w:rPr>
          <w:sz w:val="24"/>
        </w:rPr>
        <w:t>）规划范围</w:t>
      </w:r>
    </w:p>
    <w:p w:rsidR="00240BCE" w:rsidRDefault="00AC0334">
      <w:pPr>
        <w:spacing w:line="520" w:lineRule="exact"/>
        <w:ind w:firstLineChars="200" w:firstLine="480"/>
        <w:rPr>
          <w:sz w:val="24"/>
        </w:rPr>
      </w:pPr>
      <w:r>
        <w:rPr>
          <w:sz w:val="24"/>
        </w:rPr>
        <w:t>规划范围分为市域、城市规划区、中心城区三个层次。</w:t>
      </w:r>
    </w:p>
    <w:p w:rsidR="00240BCE" w:rsidRDefault="00AC0334">
      <w:pPr>
        <w:spacing w:line="520" w:lineRule="exact"/>
        <w:ind w:firstLineChars="200" w:firstLine="480"/>
        <w:rPr>
          <w:sz w:val="24"/>
        </w:rPr>
      </w:pPr>
      <w:r>
        <w:rPr>
          <w:sz w:val="24"/>
        </w:rPr>
        <w:t>市域行政辖区范围总土地面积</w:t>
      </w:r>
      <w:r>
        <w:rPr>
          <w:sz w:val="24"/>
        </w:rPr>
        <w:t>1469</w:t>
      </w:r>
      <w:r>
        <w:rPr>
          <w:sz w:val="24"/>
        </w:rPr>
        <w:t>平方公里。</w:t>
      </w:r>
    </w:p>
    <w:p w:rsidR="00240BCE" w:rsidRDefault="00AC0334">
      <w:pPr>
        <w:spacing w:line="520" w:lineRule="exact"/>
        <w:ind w:firstLineChars="200" w:firstLine="480"/>
        <w:rPr>
          <w:sz w:val="24"/>
        </w:rPr>
      </w:pPr>
      <w:r>
        <w:rPr>
          <w:sz w:val="24"/>
        </w:rPr>
        <w:t>城市规划区为市区四个办事处、火龙、方岗、梁北、褚河、郭连、朱阁的全部行政区域和鸿畅镇兰河以东、李家沟以北区域，合计</w:t>
      </w:r>
      <w:r>
        <w:rPr>
          <w:sz w:val="24"/>
        </w:rPr>
        <w:t>394</w:t>
      </w:r>
      <w:r>
        <w:rPr>
          <w:sz w:val="24"/>
        </w:rPr>
        <w:t>平方公里。</w:t>
      </w:r>
    </w:p>
    <w:p w:rsidR="00240BCE" w:rsidRDefault="00AC0334">
      <w:pPr>
        <w:spacing w:line="520" w:lineRule="exact"/>
        <w:ind w:firstLineChars="200" w:firstLine="480"/>
        <w:rPr>
          <w:sz w:val="24"/>
        </w:rPr>
      </w:pPr>
      <w:r>
        <w:rPr>
          <w:sz w:val="24"/>
        </w:rPr>
        <w:t>中心城区开发边界北至南水北调干渠和永登高速，东至行政边界，西至南水北调干渠，南至平禹、禹登铁路和东南侧颍河滨河道路，总计面积</w:t>
      </w:r>
      <w:r>
        <w:rPr>
          <w:sz w:val="24"/>
        </w:rPr>
        <w:t>115.6</w:t>
      </w:r>
      <w:r>
        <w:rPr>
          <w:sz w:val="24"/>
        </w:rPr>
        <w:t>平方公里，其中城市建设用地面积</w:t>
      </w:r>
      <w:r>
        <w:rPr>
          <w:sz w:val="24"/>
        </w:rPr>
        <w:t>74</w:t>
      </w:r>
      <w:r>
        <w:rPr>
          <w:sz w:val="24"/>
        </w:rPr>
        <w:t>平方公里。</w:t>
      </w:r>
    </w:p>
    <w:p w:rsidR="00240BCE" w:rsidRDefault="00AC0334">
      <w:pPr>
        <w:spacing w:line="520" w:lineRule="exact"/>
        <w:ind w:firstLineChars="200" w:firstLine="480"/>
        <w:rPr>
          <w:sz w:val="24"/>
        </w:rPr>
      </w:pPr>
      <w:r>
        <w:rPr>
          <w:sz w:val="24"/>
        </w:rPr>
        <w:t>（</w:t>
      </w:r>
      <w:r>
        <w:rPr>
          <w:sz w:val="24"/>
        </w:rPr>
        <w:t>2</w:t>
      </w:r>
      <w:r>
        <w:rPr>
          <w:sz w:val="24"/>
        </w:rPr>
        <w:t>）城市性质</w:t>
      </w:r>
    </w:p>
    <w:p w:rsidR="00240BCE" w:rsidRDefault="00AC0334">
      <w:pPr>
        <w:spacing w:line="520" w:lineRule="exact"/>
        <w:ind w:firstLineChars="200" w:firstLine="480"/>
        <w:rPr>
          <w:sz w:val="24"/>
        </w:rPr>
      </w:pPr>
      <w:r>
        <w:rPr>
          <w:sz w:val="24"/>
        </w:rPr>
        <w:t>全国重要的中医药集散和加工、陶瓷研发、先进制造业基地，中原经济区西南部区域性副中心城市，河南省历史文化名城。</w:t>
      </w:r>
    </w:p>
    <w:p w:rsidR="00240BCE" w:rsidRDefault="00AC0334">
      <w:pPr>
        <w:spacing w:line="520" w:lineRule="exact"/>
        <w:ind w:firstLineChars="200" w:firstLine="480"/>
        <w:rPr>
          <w:sz w:val="24"/>
        </w:rPr>
      </w:pPr>
      <w:r>
        <w:rPr>
          <w:sz w:val="24"/>
        </w:rPr>
        <w:t>（</w:t>
      </w:r>
      <w:r>
        <w:rPr>
          <w:sz w:val="24"/>
        </w:rPr>
        <w:t>3</w:t>
      </w:r>
      <w:r>
        <w:rPr>
          <w:sz w:val="24"/>
        </w:rPr>
        <w:t>）产业职能</w:t>
      </w:r>
    </w:p>
    <w:p w:rsidR="00240BCE" w:rsidRDefault="00AC0334">
      <w:pPr>
        <w:spacing w:line="520" w:lineRule="exact"/>
        <w:ind w:firstLineChars="200" w:firstLine="480"/>
        <w:rPr>
          <w:sz w:val="24"/>
        </w:rPr>
      </w:pPr>
      <w:r>
        <w:rPr>
          <w:sz w:val="24"/>
        </w:rPr>
        <w:t>全国重要的钧瓷研发、制造基地；国家中药材集散、加工基地之一；能源资源</w:t>
      </w:r>
      <w:r>
        <w:rPr>
          <w:sz w:val="24"/>
        </w:rPr>
        <w:lastRenderedPageBreak/>
        <w:t>的供给和后备基地；先进制造业基地。</w:t>
      </w:r>
    </w:p>
    <w:p w:rsidR="00240BCE" w:rsidRDefault="00AC0334">
      <w:pPr>
        <w:spacing w:line="520" w:lineRule="exact"/>
        <w:ind w:firstLineChars="200" w:firstLine="480"/>
        <w:rPr>
          <w:sz w:val="24"/>
        </w:rPr>
      </w:pPr>
      <w:r>
        <w:rPr>
          <w:sz w:val="24"/>
        </w:rPr>
        <w:t>（</w:t>
      </w:r>
      <w:r>
        <w:rPr>
          <w:sz w:val="24"/>
        </w:rPr>
        <w:t>4</w:t>
      </w:r>
      <w:r>
        <w:rPr>
          <w:sz w:val="24"/>
        </w:rPr>
        <w:t>）市域城乡用地规模</w:t>
      </w:r>
    </w:p>
    <w:p w:rsidR="00240BCE" w:rsidRDefault="00AC0334">
      <w:pPr>
        <w:spacing w:line="520" w:lineRule="exact"/>
        <w:ind w:firstLineChars="200" w:firstLine="480"/>
        <w:rPr>
          <w:sz w:val="24"/>
        </w:rPr>
      </w:pPr>
      <w:r>
        <w:rPr>
          <w:sz w:val="24"/>
        </w:rPr>
        <w:t>至</w:t>
      </w:r>
      <w:r>
        <w:rPr>
          <w:sz w:val="24"/>
        </w:rPr>
        <w:t xml:space="preserve">2030 </w:t>
      </w:r>
      <w:r>
        <w:rPr>
          <w:sz w:val="24"/>
        </w:rPr>
        <w:t>年，全市规划城乡建设用地</w:t>
      </w:r>
      <w:r>
        <w:rPr>
          <w:sz w:val="24"/>
        </w:rPr>
        <w:t>263.34</w:t>
      </w:r>
      <w:r>
        <w:rPr>
          <w:sz w:val="24"/>
        </w:rPr>
        <w:t>平方公里，非建设用地</w:t>
      </w:r>
      <w:r>
        <w:rPr>
          <w:sz w:val="24"/>
        </w:rPr>
        <w:t>1205.68</w:t>
      </w:r>
      <w:r>
        <w:rPr>
          <w:sz w:val="24"/>
        </w:rPr>
        <w:t>平方公里。建设用地包括：城乡居民点建设用地</w:t>
      </w:r>
      <w:r>
        <w:rPr>
          <w:sz w:val="24"/>
        </w:rPr>
        <w:t>197.61</w:t>
      </w:r>
      <w:r>
        <w:rPr>
          <w:sz w:val="24"/>
        </w:rPr>
        <w:t>平方公里，区域交通设施用地</w:t>
      </w:r>
      <w:r>
        <w:rPr>
          <w:sz w:val="24"/>
        </w:rPr>
        <w:t>34.56</w:t>
      </w:r>
      <w:r>
        <w:rPr>
          <w:sz w:val="24"/>
        </w:rPr>
        <w:t>平方公里，区域公用设施用地</w:t>
      </w:r>
      <w:r>
        <w:rPr>
          <w:sz w:val="24"/>
        </w:rPr>
        <w:t xml:space="preserve">7.12 </w:t>
      </w:r>
      <w:r>
        <w:rPr>
          <w:sz w:val="24"/>
        </w:rPr>
        <w:t>平方公里，采矿用地</w:t>
      </w:r>
      <w:r>
        <w:rPr>
          <w:sz w:val="24"/>
        </w:rPr>
        <w:t>20.03</w:t>
      </w:r>
      <w:r>
        <w:rPr>
          <w:sz w:val="24"/>
        </w:rPr>
        <w:t>平方公里，特殊用地和其它建设用地</w:t>
      </w:r>
      <w:r>
        <w:rPr>
          <w:sz w:val="24"/>
        </w:rPr>
        <w:t>4.01</w:t>
      </w:r>
      <w:r>
        <w:rPr>
          <w:sz w:val="24"/>
        </w:rPr>
        <w:t>平方公里。非建设用地包括：水域</w:t>
      </w:r>
      <w:r>
        <w:rPr>
          <w:sz w:val="24"/>
        </w:rPr>
        <w:t>16.83</w:t>
      </w:r>
      <w:r>
        <w:rPr>
          <w:sz w:val="24"/>
        </w:rPr>
        <w:t>平方公里，农林用地</w:t>
      </w:r>
      <w:r>
        <w:rPr>
          <w:sz w:val="24"/>
        </w:rPr>
        <w:t>1097.6</w:t>
      </w:r>
      <w:r>
        <w:rPr>
          <w:sz w:val="24"/>
        </w:rPr>
        <w:t>平方公里，其它非建设用地</w:t>
      </w:r>
      <w:r>
        <w:rPr>
          <w:sz w:val="24"/>
        </w:rPr>
        <w:t>91.26</w:t>
      </w:r>
      <w:r>
        <w:rPr>
          <w:sz w:val="24"/>
        </w:rPr>
        <w:t>平方公里。</w:t>
      </w:r>
    </w:p>
    <w:p w:rsidR="00240BCE" w:rsidRDefault="00AC0334">
      <w:pPr>
        <w:spacing w:line="520" w:lineRule="exact"/>
        <w:ind w:firstLineChars="200" w:firstLine="480"/>
        <w:rPr>
          <w:sz w:val="24"/>
        </w:rPr>
      </w:pPr>
      <w:r>
        <w:rPr>
          <w:sz w:val="24"/>
        </w:rPr>
        <w:t>（</w:t>
      </w:r>
      <w:r>
        <w:rPr>
          <w:sz w:val="24"/>
        </w:rPr>
        <w:t>5</w:t>
      </w:r>
      <w:r>
        <w:rPr>
          <w:sz w:val="24"/>
        </w:rPr>
        <w:t>）城市发展方向</w:t>
      </w:r>
    </w:p>
    <w:p w:rsidR="00240BCE" w:rsidRDefault="00AC0334">
      <w:pPr>
        <w:spacing w:line="520" w:lineRule="exact"/>
        <w:ind w:firstLineChars="200" w:firstLine="480"/>
        <w:rPr>
          <w:sz w:val="24"/>
        </w:rPr>
      </w:pPr>
      <w:r>
        <w:rPr>
          <w:sz w:val="24"/>
        </w:rPr>
        <w:t>中心城区空间发展策略为</w:t>
      </w:r>
      <w:r>
        <w:rPr>
          <w:sz w:val="24"/>
        </w:rPr>
        <w:t>“</w:t>
      </w:r>
      <w:r>
        <w:rPr>
          <w:sz w:val="24"/>
        </w:rPr>
        <w:t>北跨拥河、联动区域，立足南控、生态立城，东进西优、轴向发展</w:t>
      </w:r>
      <w:r>
        <w:rPr>
          <w:sz w:val="24"/>
        </w:rPr>
        <w:t>”</w:t>
      </w:r>
      <w:r>
        <w:rPr>
          <w:sz w:val="24"/>
        </w:rPr>
        <w:t>，向东、向北为主要发展方向，西部提升优化，辐射带动市域西部大部分其他乡镇发展，南部控制发展。</w:t>
      </w:r>
    </w:p>
    <w:p w:rsidR="00240BCE" w:rsidRDefault="00AC0334">
      <w:pPr>
        <w:spacing w:line="520" w:lineRule="exact"/>
        <w:ind w:firstLineChars="200" w:firstLine="480"/>
        <w:rPr>
          <w:sz w:val="24"/>
        </w:rPr>
      </w:pPr>
      <w:r>
        <w:rPr>
          <w:sz w:val="24"/>
        </w:rPr>
        <w:t>（</w:t>
      </w:r>
      <w:r>
        <w:rPr>
          <w:sz w:val="24"/>
        </w:rPr>
        <w:t>6</w:t>
      </w:r>
      <w:r>
        <w:rPr>
          <w:sz w:val="24"/>
        </w:rPr>
        <w:t>）城区总体布局结构</w:t>
      </w:r>
    </w:p>
    <w:p w:rsidR="00240BCE" w:rsidRDefault="00AC0334">
      <w:pPr>
        <w:spacing w:line="520" w:lineRule="exact"/>
        <w:ind w:firstLineChars="200" w:firstLine="480"/>
        <w:rPr>
          <w:sz w:val="24"/>
        </w:rPr>
      </w:pPr>
      <w:r>
        <w:rPr>
          <w:sz w:val="24"/>
        </w:rPr>
        <w:t>“</w:t>
      </w:r>
      <w:r>
        <w:rPr>
          <w:sz w:val="24"/>
        </w:rPr>
        <w:t>玉带环绕、一河串珠、两轴四区</w:t>
      </w:r>
      <w:r>
        <w:rPr>
          <w:sz w:val="24"/>
        </w:rPr>
        <w:t>”</w:t>
      </w:r>
    </w:p>
    <w:p w:rsidR="00240BCE" w:rsidRDefault="00AC0334">
      <w:pPr>
        <w:spacing w:line="520" w:lineRule="exact"/>
        <w:ind w:firstLineChars="200" w:firstLine="480"/>
        <w:rPr>
          <w:sz w:val="24"/>
        </w:rPr>
      </w:pPr>
      <w:r>
        <w:rPr>
          <w:sz w:val="24"/>
        </w:rPr>
        <w:t>玉带环绕：南水北调干渠环绕城区</w:t>
      </w:r>
    </w:p>
    <w:p w:rsidR="00240BCE" w:rsidRDefault="00AC0334">
      <w:pPr>
        <w:spacing w:line="520" w:lineRule="exact"/>
        <w:ind w:firstLineChars="200" w:firstLine="480"/>
        <w:rPr>
          <w:sz w:val="24"/>
        </w:rPr>
      </w:pPr>
      <w:r>
        <w:rPr>
          <w:sz w:val="24"/>
        </w:rPr>
        <w:t>一河串珠：以颍河为魂，串联城市中心和各功能片区</w:t>
      </w:r>
    </w:p>
    <w:p w:rsidR="00240BCE" w:rsidRDefault="00AC0334">
      <w:pPr>
        <w:spacing w:line="520" w:lineRule="exact"/>
        <w:ind w:firstLineChars="200" w:firstLine="480"/>
        <w:rPr>
          <w:sz w:val="24"/>
        </w:rPr>
      </w:pPr>
      <w:r>
        <w:rPr>
          <w:sz w:val="24"/>
        </w:rPr>
        <w:t>两轴：东西向产城互动发展主轴、沿药城路南北发展主轴</w:t>
      </w:r>
    </w:p>
    <w:p w:rsidR="00240BCE" w:rsidRDefault="00AC0334">
      <w:pPr>
        <w:spacing w:line="520" w:lineRule="exact"/>
        <w:ind w:firstLineChars="200" w:firstLine="480"/>
        <w:rPr>
          <w:sz w:val="24"/>
        </w:rPr>
      </w:pPr>
      <w:r>
        <w:rPr>
          <w:sz w:val="24"/>
        </w:rPr>
        <w:t>四区：西部综合提升区、城东新区、东部现代产业综合区、颍北拓展区。</w:t>
      </w:r>
    </w:p>
    <w:p w:rsidR="00240BCE" w:rsidRDefault="00AC0334">
      <w:pPr>
        <w:spacing w:line="520" w:lineRule="exact"/>
        <w:ind w:firstLineChars="200" w:firstLine="480"/>
        <w:rPr>
          <w:sz w:val="24"/>
        </w:rPr>
      </w:pPr>
      <w:r>
        <w:rPr>
          <w:sz w:val="24"/>
        </w:rPr>
        <w:t>2</w:t>
      </w:r>
      <w:r>
        <w:rPr>
          <w:sz w:val="24"/>
        </w:rPr>
        <w:t>、本项目与《禹州市城乡总体规划》相符性分析</w:t>
      </w:r>
    </w:p>
    <w:p w:rsidR="00240BCE" w:rsidRDefault="00AC0334">
      <w:pPr>
        <w:spacing w:line="520" w:lineRule="exact"/>
        <w:ind w:firstLineChars="200" w:firstLine="480"/>
        <w:rPr>
          <w:sz w:val="24"/>
        </w:rPr>
      </w:pPr>
      <w:r>
        <w:rPr>
          <w:sz w:val="24"/>
        </w:rPr>
        <w:t>本项目位于禹州市鸠山镇，不在《禹州市城乡总体规划》确定的中心城区规划范围内</w:t>
      </w:r>
      <w:r>
        <w:rPr>
          <w:rFonts w:hint="eastAsia"/>
          <w:sz w:val="24"/>
        </w:rPr>
        <w:t>，</w:t>
      </w:r>
      <w:r>
        <w:rPr>
          <w:sz w:val="24"/>
        </w:rPr>
        <w:t>符合《禹州市城乡总体规划（</w:t>
      </w:r>
      <w:r>
        <w:rPr>
          <w:sz w:val="24"/>
        </w:rPr>
        <w:t>2015-2030</w:t>
      </w:r>
      <w:r>
        <w:rPr>
          <w:sz w:val="24"/>
        </w:rPr>
        <w:t>）》</w:t>
      </w:r>
      <w:r>
        <w:rPr>
          <w:rFonts w:hint="eastAsia"/>
          <w:sz w:val="24"/>
        </w:rPr>
        <w:t>的相关要求</w:t>
      </w:r>
      <w:r>
        <w:rPr>
          <w:sz w:val="24"/>
        </w:rPr>
        <w:t>。</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896" w:name="_Toc79668754"/>
      <w:bookmarkStart w:id="897" w:name="_Toc81934413"/>
      <w:r>
        <w:rPr>
          <w:rFonts w:ascii="Times New Roman" w:eastAsia="宋体" w:hAnsi="Times New Roman"/>
          <w:bCs/>
          <w:szCs w:val="32"/>
        </w:rPr>
        <w:t>10.6</w:t>
      </w:r>
      <w:r>
        <w:rPr>
          <w:rFonts w:ascii="Times New Roman" w:eastAsia="宋体" w:hAnsi="Times New Roman"/>
          <w:bCs/>
          <w:szCs w:val="32"/>
        </w:rPr>
        <w:t>与饮用水源地保护规划相符性分析</w:t>
      </w:r>
      <w:bookmarkEnd w:id="896"/>
      <w:bookmarkEnd w:id="897"/>
    </w:p>
    <w:p w:rsidR="00240BCE" w:rsidRDefault="00AC0334" w:rsidP="009C5F33">
      <w:pPr>
        <w:pStyle w:val="30"/>
        <w:adjustRightInd w:val="0"/>
        <w:snapToGrid w:val="0"/>
        <w:spacing w:beforeLines="70" w:afterLines="30" w:line="240" w:lineRule="auto"/>
        <w:jc w:val="left"/>
        <w:rPr>
          <w:rFonts w:eastAsia="楷体"/>
          <w:sz w:val="28"/>
          <w:szCs w:val="28"/>
        </w:rPr>
      </w:pPr>
      <w:bookmarkStart w:id="898" w:name="_Toc79668755"/>
      <w:r>
        <w:rPr>
          <w:rFonts w:eastAsia="楷体"/>
          <w:color w:val="000000"/>
          <w:sz w:val="28"/>
          <w:szCs w:val="28"/>
        </w:rPr>
        <w:t>10.6.1</w:t>
      </w:r>
      <w:r>
        <w:rPr>
          <w:rFonts w:eastAsia="楷体"/>
          <w:color w:val="000000"/>
          <w:sz w:val="28"/>
          <w:szCs w:val="28"/>
        </w:rPr>
        <w:t>与《河南省城市集中式饮用水源保护区划》相符性分析</w:t>
      </w:r>
      <w:bookmarkEnd w:id="898"/>
    </w:p>
    <w:p w:rsidR="00240BCE" w:rsidRDefault="00AC0334">
      <w:pPr>
        <w:spacing w:line="520" w:lineRule="exact"/>
        <w:ind w:firstLineChars="200" w:firstLine="480"/>
        <w:rPr>
          <w:sz w:val="24"/>
        </w:rPr>
      </w:pPr>
      <w:r>
        <w:rPr>
          <w:sz w:val="24"/>
        </w:rPr>
        <w:t>《河南省人民政府办公厅关于印发河南省城市集中式饮用水源保护区划的通知》（豫政办〔</w:t>
      </w:r>
      <w:r>
        <w:rPr>
          <w:sz w:val="24"/>
        </w:rPr>
        <w:t>2007</w:t>
      </w:r>
      <w:r>
        <w:rPr>
          <w:sz w:val="24"/>
        </w:rPr>
        <w:t>〕</w:t>
      </w:r>
      <w:r>
        <w:rPr>
          <w:sz w:val="24"/>
        </w:rPr>
        <w:t>125</w:t>
      </w:r>
      <w:r>
        <w:rPr>
          <w:sz w:val="24"/>
        </w:rPr>
        <w:t>号）发布了禹州市颍河饮用水水源保护区，河南省人民政府豫</w:t>
      </w:r>
      <w:r>
        <w:rPr>
          <w:sz w:val="24"/>
        </w:rPr>
        <w:lastRenderedPageBreak/>
        <w:t>政文【</w:t>
      </w:r>
      <w:r>
        <w:rPr>
          <w:sz w:val="24"/>
        </w:rPr>
        <w:t>2019</w:t>
      </w:r>
      <w:r>
        <w:rPr>
          <w:sz w:val="24"/>
        </w:rPr>
        <w:t>】</w:t>
      </w:r>
      <w:r>
        <w:rPr>
          <w:sz w:val="24"/>
        </w:rPr>
        <w:t>125</w:t>
      </w:r>
      <w:r>
        <w:rPr>
          <w:sz w:val="24"/>
        </w:rPr>
        <w:t>号《河南省人民政府关于划定调整取消部分集中式饮用水水源保护区的通知》调整了禹州市颍河饮用水水源保护区，调整后的禹州市颍河饮用水水源保护区具体范围如下</w:t>
      </w:r>
      <w:r>
        <w:rPr>
          <w:sz w:val="24"/>
        </w:rPr>
        <w:t>:</w:t>
      </w:r>
    </w:p>
    <w:p w:rsidR="00240BCE" w:rsidRDefault="00AC0334">
      <w:pPr>
        <w:spacing w:line="520" w:lineRule="exact"/>
        <w:ind w:firstLineChars="200" w:firstLine="480"/>
        <w:rPr>
          <w:sz w:val="24"/>
        </w:rPr>
      </w:pPr>
      <w:r>
        <w:rPr>
          <w:sz w:val="24"/>
        </w:rPr>
        <w:t>1.</w:t>
      </w:r>
      <w:r>
        <w:rPr>
          <w:sz w:val="24"/>
        </w:rPr>
        <w:t>一级保护区</w:t>
      </w:r>
      <w:r>
        <w:rPr>
          <w:sz w:val="24"/>
        </w:rPr>
        <w:t>:</w:t>
      </w:r>
      <w:r>
        <w:rPr>
          <w:sz w:val="24"/>
        </w:rPr>
        <w:t>颍河橡胶一坝至上游</w:t>
      </w:r>
      <w:r>
        <w:rPr>
          <w:sz w:val="24"/>
        </w:rPr>
        <w:t>6300</w:t>
      </w:r>
      <w:r>
        <w:rPr>
          <w:sz w:val="24"/>
        </w:rPr>
        <w:t>米</w:t>
      </w:r>
      <w:r>
        <w:rPr>
          <w:sz w:val="24"/>
        </w:rPr>
        <w:t>(</w:t>
      </w:r>
      <w:r>
        <w:rPr>
          <w:sz w:val="24"/>
        </w:rPr>
        <w:t>西十里村西侧村道</w:t>
      </w:r>
      <w:r>
        <w:rPr>
          <w:sz w:val="24"/>
        </w:rPr>
        <w:t>)</w:t>
      </w:r>
      <w:r>
        <w:rPr>
          <w:sz w:val="24"/>
        </w:rPr>
        <w:t>河道内的区域及河道外两侧</w:t>
      </w:r>
      <w:r>
        <w:rPr>
          <w:sz w:val="24"/>
        </w:rPr>
        <w:t>50</w:t>
      </w:r>
      <w:r>
        <w:rPr>
          <w:sz w:val="24"/>
        </w:rPr>
        <w:t>米的区域；南水北调中线工程总干渠退水闸至入颍河口渠道内的区域及渠道外两侧</w:t>
      </w:r>
      <w:r>
        <w:rPr>
          <w:sz w:val="24"/>
        </w:rPr>
        <w:t>50</w:t>
      </w:r>
      <w:r>
        <w:rPr>
          <w:sz w:val="24"/>
        </w:rPr>
        <w:t>米的区域。</w:t>
      </w:r>
    </w:p>
    <w:p w:rsidR="00240BCE" w:rsidRDefault="00AC0334">
      <w:pPr>
        <w:spacing w:line="520" w:lineRule="exact"/>
        <w:ind w:firstLineChars="200" w:firstLine="480"/>
        <w:rPr>
          <w:sz w:val="24"/>
        </w:rPr>
      </w:pPr>
      <w:r>
        <w:rPr>
          <w:sz w:val="24"/>
        </w:rPr>
        <w:t xml:space="preserve">2. </w:t>
      </w:r>
      <w:r>
        <w:rPr>
          <w:sz w:val="24"/>
        </w:rPr>
        <w:t>二级保护区</w:t>
      </w:r>
      <w:r>
        <w:rPr>
          <w:sz w:val="24"/>
        </w:rPr>
        <w:t>:</w:t>
      </w:r>
      <w:r>
        <w:rPr>
          <w:sz w:val="24"/>
        </w:rPr>
        <w:t>一级保护区外</w:t>
      </w:r>
      <w:r>
        <w:rPr>
          <w:rFonts w:hint="eastAsia"/>
          <w:sz w:val="24"/>
        </w:rPr>
        <w:t>，</w:t>
      </w:r>
      <w:r>
        <w:rPr>
          <w:sz w:val="24"/>
        </w:rPr>
        <w:t>颍河橡胶一坝至上游</w:t>
      </w:r>
      <w:r>
        <w:rPr>
          <w:sz w:val="24"/>
        </w:rPr>
        <w:t>10600</w:t>
      </w:r>
      <w:r>
        <w:rPr>
          <w:sz w:val="24"/>
        </w:rPr>
        <w:t>米</w:t>
      </w:r>
      <w:r>
        <w:rPr>
          <w:sz w:val="24"/>
        </w:rPr>
        <w:t>(</w:t>
      </w:r>
      <w:r>
        <w:rPr>
          <w:sz w:val="24"/>
        </w:rPr>
        <w:t>张王线东王庄桥</w:t>
      </w:r>
      <w:r>
        <w:rPr>
          <w:sz w:val="24"/>
        </w:rPr>
        <w:t>)</w:t>
      </w:r>
      <w:r>
        <w:rPr>
          <w:sz w:val="24"/>
        </w:rPr>
        <w:t>河道内的区域及河道外两侧</w:t>
      </w:r>
      <w:r>
        <w:rPr>
          <w:sz w:val="24"/>
        </w:rPr>
        <w:t>1000</w:t>
      </w:r>
      <w:r>
        <w:rPr>
          <w:sz w:val="24"/>
        </w:rPr>
        <w:t>米、左岸至颍北大道、右岸至前进路</w:t>
      </w:r>
      <w:r>
        <w:rPr>
          <w:sz w:val="24"/>
        </w:rPr>
        <w:t>—</w:t>
      </w:r>
      <w:r>
        <w:rPr>
          <w:sz w:val="24"/>
        </w:rPr>
        <w:t>西关街</w:t>
      </w:r>
      <w:r>
        <w:rPr>
          <w:sz w:val="24"/>
        </w:rPr>
        <w:t>—</w:t>
      </w:r>
      <w:r>
        <w:rPr>
          <w:sz w:val="24"/>
        </w:rPr>
        <w:t>南水北调中线工程总干渠的区域；犊水河入颍河口至上游</w:t>
      </w:r>
      <w:r>
        <w:rPr>
          <w:sz w:val="24"/>
        </w:rPr>
        <w:t xml:space="preserve"> 2000 </w:t>
      </w:r>
      <w:r>
        <w:rPr>
          <w:sz w:val="24"/>
        </w:rPr>
        <w:t>米河道内的区域及河道外两侧</w:t>
      </w:r>
      <w:r>
        <w:rPr>
          <w:sz w:val="24"/>
        </w:rPr>
        <w:t>1000</w:t>
      </w:r>
      <w:r>
        <w:rPr>
          <w:sz w:val="24"/>
        </w:rPr>
        <w:t>米的区域</w:t>
      </w:r>
      <w:r>
        <w:rPr>
          <w:sz w:val="24"/>
        </w:rPr>
        <w:t>;</w:t>
      </w:r>
      <w:r>
        <w:rPr>
          <w:sz w:val="24"/>
        </w:rPr>
        <w:t>沙陀河入颍河口至上游</w:t>
      </w:r>
      <w:r>
        <w:rPr>
          <w:sz w:val="24"/>
        </w:rPr>
        <w:t>2000</w:t>
      </w:r>
      <w:r>
        <w:rPr>
          <w:sz w:val="24"/>
        </w:rPr>
        <w:t>米河道内的区域及河道外两侧</w:t>
      </w:r>
      <w:r>
        <w:rPr>
          <w:sz w:val="24"/>
        </w:rPr>
        <w:t xml:space="preserve"> 1000 </w:t>
      </w:r>
      <w:r>
        <w:rPr>
          <w:sz w:val="24"/>
        </w:rPr>
        <w:t>米的区域。</w:t>
      </w:r>
    </w:p>
    <w:p w:rsidR="00240BCE" w:rsidRDefault="00AC0334">
      <w:pPr>
        <w:spacing w:line="520" w:lineRule="exact"/>
        <w:ind w:firstLineChars="200" w:firstLine="480"/>
      </w:pPr>
      <w:r>
        <w:rPr>
          <w:sz w:val="24"/>
        </w:rPr>
        <w:t>3.</w:t>
      </w:r>
      <w:r>
        <w:rPr>
          <w:sz w:val="24"/>
        </w:rPr>
        <w:t>准保护区</w:t>
      </w:r>
      <w:r>
        <w:rPr>
          <w:sz w:val="24"/>
        </w:rPr>
        <w:t>:</w:t>
      </w:r>
      <w:r>
        <w:rPr>
          <w:sz w:val="24"/>
        </w:rPr>
        <w:t>二级保护区外</w:t>
      </w:r>
      <w:r>
        <w:rPr>
          <w:rFonts w:hint="eastAsia"/>
          <w:sz w:val="24"/>
        </w:rPr>
        <w:t>，</w:t>
      </w:r>
      <w:r>
        <w:rPr>
          <w:sz w:val="24"/>
        </w:rPr>
        <w:t>颍河张王线东王庄桥至白沙水库大坝下河道内的区域及河道外两侧</w:t>
      </w:r>
      <w:r>
        <w:rPr>
          <w:sz w:val="24"/>
        </w:rPr>
        <w:t>1000</w:t>
      </w:r>
      <w:r>
        <w:rPr>
          <w:sz w:val="24"/>
        </w:rPr>
        <w:t>米的区域；犊水河河道内的区域及河道外两侧</w:t>
      </w:r>
      <w:r>
        <w:rPr>
          <w:sz w:val="24"/>
        </w:rPr>
        <w:t>1000</w:t>
      </w:r>
      <w:r>
        <w:rPr>
          <w:sz w:val="24"/>
        </w:rPr>
        <w:t>米的区域；沙陀河河道内的区域及河道外两侧</w:t>
      </w:r>
      <w:r>
        <w:rPr>
          <w:sz w:val="24"/>
        </w:rPr>
        <w:t>1000</w:t>
      </w:r>
      <w:r>
        <w:rPr>
          <w:sz w:val="24"/>
        </w:rPr>
        <w:t>米的区域。</w:t>
      </w:r>
    </w:p>
    <w:p w:rsidR="00240BCE" w:rsidRDefault="00AC0334">
      <w:pPr>
        <w:spacing w:line="520" w:lineRule="exact"/>
        <w:ind w:firstLineChars="200" w:firstLine="480"/>
        <w:rPr>
          <w:sz w:val="24"/>
        </w:rPr>
      </w:pPr>
      <w:r>
        <w:rPr>
          <w:sz w:val="24"/>
        </w:rPr>
        <w:t>本项目位于禹州市鸠山镇赵沟村，东距禹州市颍河饮用水水源准保护区约</w:t>
      </w:r>
      <w:r>
        <w:rPr>
          <w:sz w:val="24"/>
        </w:rPr>
        <w:t>19.5km</w:t>
      </w:r>
      <w:r>
        <w:rPr>
          <w:sz w:val="24"/>
        </w:rPr>
        <w:t>，东距禹州市颍河饮用水水源二级保护区约</w:t>
      </w:r>
      <w:r>
        <w:rPr>
          <w:sz w:val="24"/>
        </w:rPr>
        <w:t>23.5km</w:t>
      </w:r>
      <w:r>
        <w:rPr>
          <w:sz w:val="24"/>
        </w:rPr>
        <w:t>，东偏南距禹州市颍河饮用水水源一级保护区</w:t>
      </w:r>
      <w:r>
        <w:rPr>
          <w:sz w:val="24"/>
        </w:rPr>
        <w:t>27.5km</w:t>
      </w:r>
      <w:r>
        <w:rPr>
          <w:sz w:val="24"/>
        </w:rPr>
        <w:t>，远在禹州市颍河饮用水水源保护区外，且本项目废污水全部综合利用，因此，本项目建设符合《河南省城市集中式饮用水源保护区划》的要求。</w:t>
      </w:r>
    </w:p>
    <w:p w:rsidR="00240BCE" w:rsidRDefault="00AC0334" w:rsidP="009C5F33">
      <w:pPr>
        <w:pStyle w:val="30"/>
        <w:adjustRightInd w:val="0"/>
        <w:snapToGrid w:val="0"/>
        <w:spacing w:beforeLines="70" w:afterLines="30" w:line="240" w:lineRule="auto"/>
        <w:jc w:val="left"/>
        <w:rPr>
          <w:rFonts w:eastAsia="楷体"/>
          <w:color w:val="000000"/>
          <w:sz w:val="28"/>
          <w:szCs w:val="28"/>
        </w:rPr>
      </w:pPr>
      <w:bookmarkStart w:id="899" w:name="_Toc79668756"/>
      <w:r>
        <w:rPr>
          <w:rFonts w:eastAsia="楷体"/>
          <w:color w:val="000000"/>
          <w:sz w:val="28"/>
          <w:szCs w:val="28"/>
        </w:rPr>
        <w:t>10.6.2</w:t>
      </w:r>
      <w:r>
        <w:rPr>
          <w:rFonts w:eastAsia="楷体"/>
          <w:color w:val="000000"/>
          <w:sz w:val="28"/>
          <w:szCs w:val="28"/>
        </w:rPr>
        <w:t>与《河南省乡镇集中式饮用水水源保护区划》相符性分析</w:t>
      </w:r>
      <w:bookmarkEnd w:id="899"/>
    </w:p>
    <w:p w:rsidR="00240BCE" w:rsidRDefault="00AC0334">
      <w:pPr>
        <w:spacing w:line="520" w:lineRule="exact"/>
        <w:ind w:firstLineChars="200" w:firstLine="480"/>
        <w:rPr>
          <w:color w:val="000000"/>
          <w:sz w:val="24"/>
        </w:rPr>
      </w:pPr>
      <w:r>
        <w:rPr>
          <w:color w:val="000000"/>
          <w:kern w:val="0"/>
          <w:sz w:val="24"/>
        </w:rPr>
        <w:t>根据《河南省乡镇集中式饮用水水源保护区划》（豫政办〔</w:t>
      </w:r>
      <w:r>
        <w:rPr>
          <w:color w:val="000000"/>
          <w:kern w:val="0"/>
          <w:sz w:val="24"/>
        </w:rPr>
        <w:t>2016</w:t>
      </w:r>
      <w:r>
        <w:rPr>
          <w:color w:val="000000"/>
          <w:kern w:val="0"/>
          <w:sz w:val="24"/>
        </w:rPr>
        <w:t>〕</w:t>
      </w:r>
      <w:r>
        <w:rPr>
          <w:color w:val="000000"/>
          <w:kern w:val="0"/>
          <w:sz w:val="24"/>
        </w:rPr>
        <w:t>23</w:t>
      </w:r>
      <w:r>
        <w:rPr>
          <w:color w:val="000000"/>
          <w:kern w:val="0"/>
          <w:sz w:val="24"/>
        </w:rPr>
        <w:t>号）</w:t>
      </w:r>
      <w:r>
        <w:rPr>
          <w:color w:val="000000"/>
          <w:sz w:val="24"/>
        </w:rPr>
        <w:t>，禹州市乡镇集中式饮用水水源保护区划如下：</w:t>
      </w:r>
    </w:p>
    <w:p w:rsidR="00240BCE" w:rsidRDefault="00AC0334">
      <w:pPr>
        <w:spacing w:line="520" w:lineRule="exact"/>
        <w:ind w:firstLineChars="200" w:firstLine="480"/>
        <w:rPr>
          <w:color w:val="000000"/>
          <w:kern w:val="0"/>
          <w:sz w:val="24"/>
        </w:rPr>
      </w:pPr>
      <w:r>
        <w:rPr>
          <w:color w:val="000000"/>
          <w:kern w:val="0"/>
          <w:sz w:val="24"/>
        </w:rPr>
        <w:t>(1)</w:t>
      </w:r>
      <w:r>
        <w:rPr>
          <w:color w:val="000000"/>
          <w:kern w:val="0"/>
          <w:sz w:val="24"/>
        </w:rPr>
        <w:t>禹州市范坡镇地下水井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p>
    <w:p w:rsidR="00240BCE" w:rsidRDefault="00AC0334">
      <w:pPr>
        <w:spacing w:line="520" w:lineRule="exact"/>
        <w:ind w:firstLineChars="200" w:firstLine="480"/>
        <w:rPr>
          <w:color w:val="000000"/>
          <w:kern w:val="0"/>
          <w:sz w:val="24"/>
        </w:rPr>
      </w:pPr>
      <w:r>
        <w:rPr>
          <w:color w:val="000000"/>
          <w:kern w:val="0"/>
          <w:sz w:val="24"/>
        </w:rPr>
        <w:t>一级保护区范围</w:t>
      </w:r>
      <w:r>
        <w:rPr>
          <w:color w:val="000000"/>
          <w:kern w:val="0"/>
          <w:sz w:val="24"/>
        </w:rPr>
        <w:t>:</w:t>
      </w:r>
      <w:r>
        <w:rPr>
          <w:color w:val="000000"/>
          <w:kern w:val="0"/>
          <w:sz w:val="24"/>
        </w:rPr>
        <w:t>取水井外围</w:t>
      </w:r>
      <w:r>
        <w:rPr>
          <w:color w:val="000000"/>
          <w:kern w:val="0"/>
          <w:sz w:val="24"/>
        </w:rPr>
        <w:t>30</w:t>
      </w:r>
      <w:r>
        <w:rPr>
          <w:color w:val="000000"/>
          <w:kern w:val="0"/>
          <w:sz w:val="24"/>
        </w:rPr>
        <w:t>米的区域。</w:t>
      </w:r>
    </w:p>
    <w:p w:rsidR="00240BCE" w:rsidRDefault="00AC0334">
      <w:pPr>
        <w:spacing w:line="520" w:lineRule="exact"/>
        <w:ind w:firstLineChars="200" w:firstLine="480"/>
        <w:rPr>
          <w:color w:val="000000"/>
          <w:kern w:val="0"/>
          <w:sz w:val="24"/>
        </w:rPr>
      </w:pPr>
      <w:r>
        <w:rPr>
          <w:color w:val="000000"/>
          <w:kern w:val="0"/>
          <w:sz w:val="24"/>
        </w:rPr>
        <w:t>(2)</w:t>
      </w:r>
      <w:r>
        <w:rPr>
          <w:color w:val="000000"/>
          <w:kern w:val="0"/>
          <w:sz w:val="24"/>
        </w:rPr>
        <w:t>禹州市鸠山镇地下水井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p>
    <w:p w:rsidR="00240BCE" w:rsidRDefault="00AC0334">
      <w:pPr>
        <w:spacing w:line="520" w:lineRule="exact"/>
        <w:ind w:firstLineChars="200" w:firstLine="480"/>
        <w:rPr>
          <w:color w:val="000000"/>
          <w:kern w:val="0"/>
          <w:sz w:val="24"/>
        </w:rPr>
      </w:pPr>
      <w:r>
        <w:rPr>
          <w:color w:val="000000"/>
          <w:kern w:val="0"/>
          <w:sz w:val="24"/>
        </w:rPr>
        <w:lastRenderedPageBreak/>
        <w:t>一级保护区范围</w:t>
      </w:r>
      <w:r>
        <w:rPr>
          <w:color w:val="000000"/>
          <w:kern w:val="0"/>
          <w:sz w:val="24"/>
        </w:rPr>
        <w:t>:</w:t>
      </w:r>
      <w:r>
        <w:rPr>
          <w:color w:val="000000"/>
          <w:kern w:val="0"/>
          <w:sz w:val="24"/>
        </w:rPr>
        <w:t>取水井外围</w:t>
      </w:r>
      <w:r>
        <w:rPr>
          <w:color w:val="000000"/>
          <w:kern w:val="0"/>
          <w:sz w:val="24"/>
        </w:rPr>
        <w:t>30</w:t>
      </w:r>
      <w:r>
        <w:rPr>
          <w:color w:val="000000"/>
          <w:kern w:val="0"/>
          <w:sz w:val="24"/>
        </w:rPr>
        <w:t>米的区域。</w:t>
      </w:r>
    </w:p>
    <w:p w:rsidR="00240BCE" w:rsidRDefault="00AC0334">
      <w:pPr>
        <w:spacing w:line="520" w:lineRule="exact"/>
        <w:ind w:firstLineChars="200" w:firstLine="480"/>
        <w:rPr>
          <w:color w:val="000000"/>
          <w:kern w:val="0"/>
          <w:sz w:val="24"/>
        </w:rPr>
      </w:pPr>
      <w:r>
        <w:rPr>
          <w:color w:val="000000"/>
          <w:kern w:val="0"/>
          <w:sz w:val="24"/>
        </w:rPr>
        <w:t>(3)</w:t>
      </w:r>
      <w:r>
        <w:rPr>
          <w:color w:val="000000"/>
          <w:kern w:val="0"/>
          <w:sz w:val="24"/>
        </w:rPr>
        <w:t>禹州市方山镇地下水井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p>
    <w:p w:rsidR="00240BCE" w:rsidRDefault="00AC0334">
      <w:pPr>
        <w:spacing w:line="520" w:lineRule="exact"/>
        <w:ind w:firstLineChars="200" w:firstLine="480"/>
        <w:rPr>
          <w:color w:val="000000"/>
          <w:kern w:val="0"/>
          <w:sz w:val="24"/>
        </w:rPr>
      </w:pPr>
      <w:r>
        <w:rPr>
          <w:color w:val="000000"/>
          <w:kern w:val="0"/>
          <w:sz w:val="24"/>
        </w:rPr>
        <w:t>一级保护区范围</w:t>
      </w:r>
      <w:r>
        <w:rPr>
          <w:color w:val="000000"/>
          <w:kern w:val="0"/>
          <w:sz w:val="24"/>
        </w:rPr>
        <w:t>:</w:t>
      </w:r>
      <w:r>
        <w:rPr>
          <w:color w:val="000000"/>
          <w:kern w:val="0"/>
          <w:sz w:val="24"/>
        </w:rPr>
        <w:t>取水井外围</w:t>
      </w:r>
      <w:r>
        <w:rPr>
          <w:color w:val="000000"/>
          <w:kern w:val="0"/>
          <w:sz w:val="24"/>
        </w:rPr>
        <w:t>30</w:t>
      </w:r>
      <w:r>
        <w:rPr>
          <w:color w:val="000000"/>
          <w:kern w:val="0"/>
          <w:sz w:val="24"/>
        </w:rPr>
        <w:t>米的区域。</w:t>
      </w:r>
    </w:p>
    <w:p w:rsidR="00240BCE" w:rsidRDefault="00AC0334">
      <w:pPr>
        <w:spacing w:line="520" w:lineRule="exact"/>
        <w:ind w:firstLineChars="200" w:firstLine="480"/>
        <w:rPr>
          <w:color w:val="000000"/>
          <w:kern w:val="0"/>
          <w:sz w:val="24"/>
        </w:rPr>
      </w:pPr>
      <w:r>
        <w:rPr>
          <w:color w:val="000000"/>
          <w:kern w:val="0"/>
          <w:sz w:val="24"/>
        </w:rPr>
        <w:t>(4)</w:t>
      </w:r>
      <w:r>
        <w:rPr>
          <w:color w:val="000000"/>
          <w:kern w:val="0"/>
          <w:sz w:val="24"/>
        </w:rPr>
        <w:t>禹州市文殊镇地下水井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p>
    <w:p w:rsidR="00240BCE" w:rsidRDefault="00AC0334">
      <w:pPr>
        <w:spacing w:line="520" w:lineRule="exact"/>
        <w:ind w:firstLineChars="200" w:firstLine="480"/>
        <w:rPr>
          <w:color w:val="000000"/>
          <w:kern w:val="0"/>
          <w:sz w:val="24"/>
        </w:rPr>
      </w:pPr>
      <w:r>
        <w:rPr>
          <w:color w:val="000000"/>
          <w:kern w:val="0"/>
          <w:sz w:val="24"/>
        </w:rPr>
        <w:t>一级保护区范围</w:t>
      </w:r>
      <w:r>
        <w:rPr>
          <w:color w:val="000000"/>
          <w:kern w:val="0"/>
          <w:sz w:val="24"/>
        </w:rPr>
        <w:t>:</w:t>
      </w:r>
      <w:r>
        <w:rPr>
          <w:color w:val="000000"/>
          <w:kern w:val="0"/>
          <w:sz w:val="24"/>
        </w:rPr>
        <w:t>取水井外围</w:t>
      </w:r>
      <w:r>
        <w:rPr>
          <w:color w:val="000000"/>
          <w:kern w:val="0"/>
          <w:sz w:val="24"/>
        </w:rPr>
        <w:t>30</w:t>
      </w:r>
      <w:r>
        <w:rPr>
          <w:color w:val="000000"/>
          <w:kern w:val="0"/>
          <w:sz w:val="24"/>
        </w:rPr>
        <w:t>米的区域。</w:t>
      </w:r>
    </w:p>
    <w:p w:rsidR="00240BCE" w:rsidRDefault="00AC0334">
      <w:pPr>
        <w:spacing w:line="520" w:lineRule="exact"/>
        <w:ind w:firstLineChars="200" w:firstLine="480"/>
        <w:rPr>
          <w:color w:val="000000"/>
          <w:kern w:val="0"/>
          <w:sz w:val="24"/>
        </w:rPr>
      </w:pPr>
      <w:r>
        <w:rPr>
          <w:color w:val="000000"/>
          <w:kern w:val="0"/>
          <w:sz w:val="24"/>
        </w:rPr>
        <w:t>(5)</w:t>
      </w:r>
      <w:r>
        <w:rPr>
          <w:color w:val="000000"/>
          <w:kern w:val="0"/>
          <w:sz w:val="24"/>
        </w:rPr>
        <w:t>禹州市磨街乡地下水井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p>
    <w:p w:rsidR="00240BCE" w:rsidRDefault="00AC0334">
      <w:pPr>
        <w:spacing w:line="520" w:lineRule="exact"/>
        <w:ind w:firstLineChars="200" w:firstLine="480"/>
        <w:rPr>
          <w:color w:val="000000"/>
          <w:kern w:val="0"/>
          <w:sz w:val="24"/>
        </w:rPr>
      </w:pPr>
      <w:r>
        <w:rPr>
          <w:color w:val="000000"/>
          <w:kern w:val="0"/>
          <w:sz w:val="24"/>
        </w:rPr>
        <w:t>一级保护区范围</w:t>
      </w:r>
      <w:r>
        <w:rPr>
          <w:color w:val="000000"/>
          <w:kern w:val="0"/>
          <w:sz w:val="24"/>
        </w:rPr>
        <w:t>:</w:t>
      </w:r>
      <w:r>
        <w:rPr>
          <w:color w:val="000000"/>
          <w:kern w:val="0"/>
          <w:sz w:val="24"/>
        </w:rPr>
        <w:t>取水井外围</w:t>
      </w:r>
      <w:r>
        <w:rPr>
          <w:color w:val="000000"/>
          <w:kern w:val="0"/>
          <w:sz w:val="24"/>
        </w:rPr>
        <w:t>30</w:t>
      </w:r>
      <w:r>
        <w:rPr>
          <w:color w:val="000000"/>
          <w:kern w:val="0"/>
          <w:sz w:val="24"/>
        </w:rPr>
        <w:t>米的区域。</w:t>
      </w:r>
    </w:p>
    <w:p w:rsidR="00240BCE" w:rsidRDefault="00AC0334">
      <w:pPr>
        <w:spacing w:line="520" w:lineRule="exact"/>
        <w:ind w:firstLineChars="200" w:firstLine="480"/>
        <w:rPr>
          <w:color w:val="000000"/>
          <w:kern w:val="0"/>
          <w:sz w:val="24"/>
        </w:rPr>
      </w:pPr>
      <w:r>
        <w:rPr>
          <w:color w:val="000000"/>
          <w:kern w:val="0"/>
          <w:sz w:val="24"/>
        </w:rPr>
        <w:t>(6)</w:t>
      </w:r>
      <w:r>
        <w:rPr>
          <w:color w:val="000000"/>
          <w:kern w:val="0"/>
          <w:sz w:val="24"/>
        </w:rPr>
        <w:t>禹州市褚河镇颍东社区地下水井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p>
    <w:p w:rsidR="00240BCE" w:rsidRDefault="00AC0334">
      <w:pPr>
        <w:spacing w:line="520" w:lineRule="exact"/>
        <w:ind w:firstLineChars="200" w:firstLine="480"/>
        <w:rPr>
          <w:color w:val="000000"/>
          <w:kern w:val="0"/>
          <w:sz w:val="24"/>
        </w:rPr>
      </w:pPr>
      <w:r>
        <w:rPr>
          <w:color w:val="000000"/>
          <w:kern w:val="0"/>
          <w:sz w:val="24"/>
        </w:rPr>
        <w:t>一级保护区范围</w:t>
      </w:r>
      <w:r>
        <w:rPr>
          <w:color w:val="000000"/>
          <w:kern w:val="0"/>
          <w:sz w:val="24"/>
        </w:rPr>
        <w:t>:</w:t>
      </w:r>
      <w:r>
        <w:rPr>
          <w:color w:val="000000"/>
          <w:kern w:val="0"/>
          <w:sz w:val="24"/>
        </w:rPr>
        <w:t>取水井外围</w:t>
      </w:r>
      <w:r>
        <w:rPr>
          <w:color w:val="000000"/>
          <w:kern w:val="0"/>
          <w:sz w:val="24"/>
        </w:rPr>
        <w:t>30</w:t>
      </w:r>
      <w:r>
        <w:rPr>
          <w:color w:val="000000"/>
          <w:kern w:val="0"/>
          <w:sz w:val="24"/>
        </w:rPr>
        <w:t>米的区域。</w:t>
      </w:r>
    </w:p>
    <w:p w:rsidR="00240BCE" w:rsidRDefault="00AC0334">
      <w:pPr>
        <w:spacing w:line="520" w:lineRule="exact"/>
        <w:ind w:firstLineChars="200" w:firstLine="480"/>
        <w:rPr>
          <w:color w:val="000000"/>
          <w:kern w:val="0"/>
          <w:sz w:val="24"/>
        </w:rPr>
      </w:pPr>
      <w:r>
        <w:rPr>
          <w:color w:val="000000"/>
          <w:kern w:val="0"/>
          <w:sz w:val="24"/>
        </w:rPr>
        <w:t>(7)</w:t>
      </w:r>
      <w:r>
        <w:rPr>
          <w:color w:val="000000"/>
          <w:kern w:val="0"/>
          <w:sz w:val="24"/>
        </w:rPr>
        <w:t>禹州市苌庄乡苌弘社区地下水井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p>
    <w:p w:rsidR="00240BCE" w:rsidRDefault="00AC0334">
      <w:pPr>
        <w:spacing w:line="520" w:lineRule="exact"/>
        <w:ind w:firstLineChars="200" w:firstLine="480"/>
        <w:rPr>
          <w:color w:val="000000"/>
          <w:kern w:val="0"/>
          <w:sz w:val="24"/>
        </w:rPr>
      </w:pPr>
      <w:r>
        <w:rPr>
          <w:color w:val="000000"/>
          <w:kern w:val="0"/>
          <w:sz w:val="24"/>
        </w:rPr>
        <w:t>一级保护区范围</w:t>
      </w:r>
      <w:r>
        <w:rPr>
          <w:color w:val="000000"/>
          <w:kern w:val="0"/>
          <w:sz w:val="24"/>
        </w:rPr>
        <w:t>:</w:t>
      </w:r>
      <w:r>
        <w:rPr>
          <w:color w:val="000000"/>
          <w:kern w:val="0"/>
          <w:sz w:val="24"/>
        </w:rPr>
        <w:t>取水井外围</w:t>
      </w:r>
      <w:r>
        <w:rPr>
          <w:color w:val="000000"/>
          <w:kern w:val="0"/>
          <w:sz w:val="24"/>
        </w:rPr>
        <w:t>30</w:t>
      </w:r>
      <w:r>
        <w:rPr>
          <w:color w:val="000000"/>
          <w:kern w:val="0"/>
          <w:sz w:val="24"/>
        </w:rPr>
        <w:t>米的区域。</w:t>
      </w:r>
    </w:p>
    <w:p w:rsidR="00240BCE" w:rsidRDefault="00AC0334">
      <w:pPr>
        <w:spacing w:line="520" w:lineRule="exact"/>
        <w:ind w:firstLineChars="200" w:firstLine="480"/>
        <w:rPr>
          <w:color w:val="000000"/>
          <w:kern w:val="0"/>
          <w:sz w:val="24"/>
        </w:rPr>
      </w:pPr>
      <w:r>
        <w:rPr>
          <w:color w:val="000000"/>
          <w:kern w:val="0"/>
          <w:sz w:val="24"/>
        </w:rPr>
        <w:t>(8)</w:t>
      </w:r>
      <w:r>
        <w:rPr>
          <w:color w:val="000000"/>
          <w:kern w:val="0"/>
          <w:sz w:val="24"/>
        </w:rPr>
        <w:t>禹州市朱阁镇石河社区地下水井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p>
    <w:p w:rsidR="00240BCE" w:rsidRDefault="00AC0334">
      <w:pPr>
        <w:spacing w:line="520" w:lineRule="exact"/>
        <w:ind w:firstLineChars="200" w:firstLine="480"/>
        <w:rPr>
          <w:color w:val="000000"/>
          <w:kern w:val="0"/>
          <w:sz w:val="24"/>
        </w:rPr>
      </w:pPr>
      <w:r>
        <w:rPr>
          <w:color w:val="000000"/>
          <w:kern w:val="0"/>
          <w:sz w:val="24"/>
        </w:rPr>
        <w:t>一级保护区范围</w:t>
      </w:r>
      <w:r>
        <w:rPr>
          <w:color w:val="000000"/>
          <w:kern w:val="0"/>
          <w:sz w:val="24"/>
        </w:rPr>
        <w:t>:</w:t>
      </w:r>
      <w:r>
        <w:rPr>
          <w:color w:val="000000"/>
          <w:kern w:val="0"/>
          <w:sz w:val="24"/>
        </w:rPr>
        <w:t>取水井外围</w:t>
      </w:r>
      <w:r>
        <w:rPr>
          <w:color w:val="000000"/>
          <w:kern w:val="0"/>
          <w:sz w:val="24"/>
        </w:rPr>
        <w:t>30</w:t>
      </w:r>
      <w:r>
        <w:rPr>
          <w:color w:val="000000"/>
          <w:kern w:val="0"/>
          <w:sz w:val="24"/>
        </w:rPr>
        <w:t>米的区域。</w:t>
      </w:r>
    </w:p>
    <w:p w:rsidR="00240BCE" w:rsidRDefault="00AC0334">
      <w:pPr>
        <w:spacing w:line="520" w:lineRule="exact"/>
        <w:ind w:firstLineChars="200" w:firstLine="480"/>
        <w:rPr>
          <w:color w:val="000000"/>
          <w:kern w:val="0"/>
          <w:sz w:val="24"/>
        </w:rPr>
      </w:pPr>
      <w:r>
        <w:rPr>
          <w:color w:val="000000"/>
          <w:kern w:val="0"/>
          <w:sz w:val="24"/>
        </w:rPr>
        <w:t>(9)</w:t>
      </w:r>
      <w:r>
        <w:rPr>
          <w:color w:val="000000"/>
          <w:kern w:val="0"/>
          <w:sz w:val="24"/>
        </w:rPr>
        <w:t>禹州市梁北镇中心社区地下水井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p>
    <w:p w:rsidR="00240BCE" w:rsidRDefault="00AC0334">
      <w:pPr>
        <w:spacing w:line="520" w:lineRule="exact"/>
        <w:ind w:firstLineChars="200" w:firstLine="480"/>
        <w:rPr>
          <w:color w:val="000000"/>
          <w:kern w:val="0"/>
          <w:sz w:val="24"/>
        </w:rPr>
      </w:pPr>
      <w:r>
        <w:rPr>
          <w:color w:val="000000"/>
          <w:kern w:val="0"/>
          <w:sz w:val="24"/>
        </w:rPr>
        <w:t>一级保护区范围</w:t>
      </w:r>
      <w:r>
        <w:rPr>
          <w:color w:val="000000"/>
          <w:kern w:val="0"/>
          <w:sz w:val="24"/>
        </w:rPr>
        <w:t>:</w:t>
      </w:r>
      <w:r>
        <w:rPr>
          <w:color w:val="000000"/>
          <w:kern w:val="0"/>
          <w:sz w:val="24"/>
        </w:rPr>
        <w:t>取水井外围</w:t>
      </w:r>
      <w:r>
        <w:rPr>
          <w:color w:val="000000"/>
          <w:kern w:val="0"/>
          <w:sz w:val="24"/>
        </w:rPr>
        <w:t>30</w:t>
      </w:r>
      <w:r>
        <w:rPr>
          <w:color w:val="000000"/>
          <w:kern w:val="0"/>
          <w:sz w:val="24"/>
        </w:rPr>
        <w:t>米的区域。</w:t>
      </w:r>
    </w:p>
    <w:p w:rsidR="00240BCE" w:rsidRDefault="00AC0334">
      <w:pPr>
        <w:spacing w:line="520" w:lineRule="exact"/>
        <w:ind w:firstLineChars="200" w:firstLine="480"/>
        <w:rPr>
          <w:sz w:val="24"/>
        </w:rPr>
      </w:pPr>
      <w:r>
        <w:rPr>
          <w:sz w:val="24"/>
        </w:rPr>
        <w:t>本项目位于禹州市鸠山镇赵沟村，与上述乡镇集中式饮用水源保护区距离最近的为</w:t>
      </w:r>
      <w:r>
        <w:rPr>
          <w:color w:val="000000"/>
          <w:kern w:val="0"/>
          <w:sz w:val="24"/>
        </w:rPr>
        <w:t>禹州市鸠山镇地下水井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r>
        <w:rPr>
          <w:sz w:val="24"/>
        </w:rPr>
        <w:t>，矿区北距该地下水井一级保护区的最近距离约为</w:t>
      </w:r>
      <w:r>
        <w:rPr>
          <w:sz w:val="24"/>
        </w:rPr>
        <w:t>720m</w:t>
      </w:r>
      <w:r>
        <w:rPr>
          <w:sz w:val="24"/>
        </w:rPr>
        <w:t>，工业广场北距</w:t>
      </w:r>
      <w:r>
        <w:rPr>
          <w:color w:val="000000"/>
          <w:kern w:val="0"/>
          <w:sz w:val="24"/>
        </w:rPr>
        <w:t>禹州市鸠山镇地下水井</w:t>
      </w:r>
      <w:r>
        <w:rPr>
          <w:color w:val="000000"/>
          <w:kern w:val="0"/>
          <w:sz w:val="24"/>
        </w:rPr>
        <w:t>(</w:t>
      </w:r>
      <w:r>
        <w:rPr>
          <w:color w:val="000000"/>
          <w:kern w:val="0"/>
          <w:sz w:val="24"/>
        </w:rPr>
        <w:t>共</w:t>
      </w:r>
      <w:r>
        <w:rPr>
          <w:color w:val="000000"/>
          <w:kern w:val="0"/>
          <w:sz w:val="24"/>
        </w:rPr>
        <w:t>1</w:t>
      </w:r>
      <w:r>
        <w:rPr>
          <w:color w:val="000000"/>
          <w:kern w:val="0"/>
          <w:sz w:val="24"/>
        </w:rPr>
        <w:t>眼井</w:t>
      </w:r>
      <w:r>
        <w:rPr>
          <w:color w:val="000000"/>
          <w:kern w:val="0"/>
          <w:sz w:val="24"/>
        </w:rPr>
        <w:t>)</w:t>
      </w:r>
      <w:r>
        <w:rPr>
          <w:color w:val="000000"/>
          <w:kern w:val="0"/>
          <w:sz w:val="24"/>
        </w:rPr>
        <w:t>集中式乡镇水源保护区一级保护区最近距离</w:t>
      </w:r>
      <w:r>
        <w:rPr>
          <w:color w:val="000000"/>
          <w:kern w:val="0"/>
          <w:sz w:val="24"/>
        </w:rPr>
        <w:t>950m</w:t>
      </w:r>
      <w:r>
        <w:rPr>
          <w:color w:val="000000"/>
          <w:kern w:val="0"/>
          <w:sz w:val="24"/>
        </w:rPr>
        <w:t>，与矿区有涌泉河阻隔，</w:t>
      </w:r>
      <w:r>
        <w:rPr>
          <w:sz w:val="24"/>
        </w:rPr>
        <w:t>不在一个水文地质单元，因此，本项目建设符合《河南省</w:t>
      </w:r>
      <w:r>
        <w:rPr>
          <w:bCs/>
          <w:sz w:val="24"/>
        </w:rPr>
        <w:t>乡镇集中式饮用水水源保护区划</w:t>
      </w:r>
      <w:r>
        <w:rPr>
          <w:sz w:val="24"/>
        </w:rPr>
        <w:t>》的要求。</w:t>
      </w:r>
    </w:p>
    <w:p w:rsidR="00B70346" w:rsidRDefault="00B70346" w:rsidP="009C5F33">
      <w:pPr>
        <w:pStyle w:val="30"/>
        <w:adjustRightInd w:val="0"/>
        <w:snapToGrid w:val="0"/>
        <w:spacing w:beforeLines="70" w:afterLines="30" w:line="240" w:lineRule="auto"/>
        <w:jc w:val="left"/>
        <w:rPr>
          <w:rFonts w:eastAsia="楷体"/>
          <w:color w:val="000000"/>
          <w:sz w:val="28"/>
          <w:szCs w:val="28"/>
        </w:rPr>
      </w:pPr>
      <w:r>
        <w:rPr>
          <w:rFonts w:eastAsia="楷体"/>
          <w:color w:val="000000"/>
          <w:sz w:val="28"/>
          <w:szCs w:val="28"/>
        </w:rPr>
        <w:t>10.6.</w:t>
      </w:r>
      <w:r>
        <w:rPr>
          <w:rFonts w:eastAsia="楷体" w:hint="eastAsia"/>
          <w:color w:val="000000"/>
          <w:sz w:val="28"/>
          <w:szCs w:val="28"/>
        </w:rPr>
        <w:t>3</w:t>
      </w:r>
      <w:r>
        <w:rPr>
          <w:rFonts w:eastAsia="楷体"/>
          <w:color w:val="000000"/>
          <w:sz w:val="28"/>
          <w:szCs w:val="28"/>
        </w:rPr>
        <w:t>与《</w:t>
      </w:r>
      <w:r w:rsidRPr="00B70346">
        <w:rPr>
          <w:rFonts w:eastAsia="楷体" w:hint="eastAsia"/>
          <w:color w:val="000000"/>
          <w:sz w:val="28"/>
          <w:szCs w:val="28"/>
        </w:rPr>
        <w:t>南水北调饮用水源保护规划</w:t>
      </w:r>
      <w:r>
        <w:rPr>
          <w:rFonts w:eastAsia="楷体"/>
          <w:color w:val="000000"/>
          <w:sz w:val="28"/>
          <w:szCs w:val="28"/>
        </w:rPr>
        <w:t>》相符性分析</w:t>
      </w:r>
    </w:p>
    <w:p w:rsidR="00B70346" w:rsidRDefault="00B70346" w:rsidP="00B70346">
      <w:pPr>
        <w:spacing w:line="520" w:lineRule="exact"/>
        <w:ind w:firstLineChars="200" w:firstLine="480"/>
        <w:rPr>
          <w:color w:val="000000"/>
          <w:sz w:val="24"/>
        </w:rPr>
      </w:pPr>
      <w:r w:rsidRPr="00B70346">
        <w:rPr>
          <w:rFonts w:hint="eastAsia"/>
          <w:color w:val="000000"/>
          <w:kern w:val="0"/>
          <w:sz w:val="24"/>
        </w:rPr>
        <w:t>根据</w:t>
      </w:r>
      <w:r>
        <w:rPr>
          <w:rFonts w:hint="eastAsia"/>
          <w:color w:val="000000"/>
          <w:kern w:val="0"/>
          <w:sz w:val="24"/>
        </w:rPr>
        <w:t>《</w:t>
      </w:r>
      <w:r w:rsidRPr="00B70346">
        <w:rPr>
          <w:rFonts w:hint="eastAsia"/>
          <w:color w:val="000000"/>
          <w:kern w:val="0"/>
          <w:sz w:val="24"/>
        </w:rPr>
        <w:t>河南省南水北调中线工程建设领导小组办公室</w:t>
      </w:r>
      <w:r>
        <w:rPr>
          <w:rFonts w:hint="eastAsia"/>
          <w:color w:val="000000"/>
          <w:kern w:val="0"/>
          <w:sz w:val="24"/>
        </w:rPr>
        <w:t>、</w:t>
      </w:r>
      <w:r w:rsidRPr="00B70346">
        <w:rPr>
          <w:rFonts w:hint="eastAsia"/>
          <w:color w:val="000000"/>
          <w:kern w:val="0"/>
          <w:sz w:val="24"/>
        </w:rPr>
        <w:t>河南省环境保护厅、河南省水利厅、河南省国土资源厅关于印发南水北调中线一期工程总干渠（河南段）两侧饮用水水源保护区划的通知</w:t>
      </w:r>
      <w:r>
        <w:rPr>
          <w:rFonts w:hint="eastAsia"/>
          <w:color w:val="000000"/>
          <w:kern w:val="0"/>
          <w:sz w:val="24"/>
        </w:rPr>
        <w:t>》</w:t>
      </w:r>
      <w:r w:rsidRPr="00B70346">
        <w:rPr>
          <w:rFonts w:hint="eastAsia"/>
          <w:color w:val="000000"/>
          <w:kern w:val="0"/>
          <w:sz w:val="24"/>
        </w:rPr>
        <w:t>（豫调办</w:t>
      </w:r>
      <w:r w:rsidRPr="00B70346">
        <w:rPr>
          <w:rFonts w:hint="eastAsia"/>
          <w:color w:val="000000"/>
          <w:kern w:val="0"/>
          <w:sz w:val="24"/>
        </w:rPr>
        <w:t xml:space="preserve">[2018]56 </w:t>
      </w:r>
      <w:r w:rsidRPr="00B70346">
        <w:rPr>
          <w:rFonts w:hint="eastAsia"/>
          <w:color w:val="000000"/>
          <w:kern w:val="0"/>
          <w:sz w:val="24"/>
        </w:rPr>
        <w:t>号）</w:t>
      </w:r>
      <w:r>
        <w:rPr>
          <w:rFonts w:hint="eastAsia"/>
          <w:color w:val="000000"/>
          <w:kern w:val="0"/>
          <w:sz w:val="24"/>
        </w:rPr>
        <w:t>，</w:t>
      </w:r>
      <w:r w:rsidRPr="00B70346">
        <w:rPr>
          <w:rFonts w:hint="eastAsia"/>
          <w:color w:val="000000"/>
          <w:kern w:val="0"/>
          <w:sz w:val="24"/>
        </w:rPr>
        <w:t>南水北调中线一期工程总干渠（河南段）两侧饮用水水源保护区划</w:t>
      </w:r>
      <w:r>
        <w:rPr>
          <w:rFonts w:hint="eastAsia"/>
          <w:color w:val="000000"/>
          <w:kern w:val="0"/>
          <w:sz w:val="24"/>
        </w:rPr>
        <w:t>如下</w:t>
      </w:r>
      <w:r>
        <w:rPr>
          <w:color w:val="000000"/>
          <w:sz w:val="24"/>
        </w:rPr>
        <w:t>：</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lastRenderedPageBreak/>
        <w:t>一、保护区涉及行政区范围</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南水北调中线一期总干渠（河南段）两侧饮用水水源保护区涉及南阳市、平顶山市、许昌市、郑州市、焦作市、新乡市、鹤壁市、安阳市等</w:t>
      </w:r>
      <w:r w:rsidRPr="00B70346">
        <w:rPr>
          <w:rFonts w:hint="eastAsia"/>
          <w:color w:val="000000"/>
          <w:sz w:val="24"/>
        </w:rPr>
        <w:t>8</w:t>
      </w:r>
      <w:r w:rsidRPr="00B70346">
        <w:rPr>
          <w:rFonts w:hint="eastAsia"/>
          <w:color w:val="000000"/>
          <w:sz w:val="24"/>
        </w:rPr>
        <w:t>个省辖市和邓州市。</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二、总干渠两侧饮用水水源保护区划范围</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南水北调中线一期总干渠在河南省境内的工程类型分为建筑物段和总干渠明渠段。</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（一）建筑物段（倒虹吸、隧洞、渡槽、暗涵等）。一级保护区范围自总干渠管理范围边线（防护栏网）外延</w:t>
      </w:r>
      <w:r w:rsidRPr="00B70346">
        <w:rPr>
          <w:rFonts w:hint="eastAsia"/>
          <w:color w:val="000000"/>
          <w:sz w:val="24"/>
        </w:rPr>
        <w:t xml:space="preserve"> 50m</w:t>
      </w:r>
      <w:r w:rsidRPr="00B70346">
        <w:rPr>
          <w:rFonts w:hint="eastAsia"/>
          <w:color w:val="000000"/>
          <w:sz w:val="24"/>
        </w:rPr>
        <w:t>；不设二级保护区。</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（二）总干渠明渠段。根据地下水位与总干渠渠底高程的关系分为以下几种类型：</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1</w:t>
      </w:r>
      <w:r w:rsidRPr="00B70346">
        <w:rPr>
          <w:rFonts w:hint="eastAsia"/>
          <w:color w:val="000000"/>
          <w:sz w:val="24"/>
        </w:rPr>
        <w:t>、地下水水位低于总干渠渠底的渠段。一级保护区范围自总干渠管理范围边线（防护栏网）外延</w:t>
      </w:r>
      <w:r w:rsidRPr="00B70346">
        <w:rPr>
          <w:rFonts w:hint="eastAsia"/>
          <w:color w:val="000000"/>
          <w:sz w:val="24"/>
        </w:rPr>
        <w:t xml:space="preserve"> 50m</w:t>
      </w:r>
      <w:r w:rsidRPr="00B70346">
        <w:rPr>
          <w:rFonts w:hint="eastAsia"/>
          <w:color w:val="000000"/>
          <w:sz w:val="24"/>
        </w:rPr>
        <w:t>；二级保护区范围自一级保护区边线外延</w:t>
      </w:r>
      <w:r w:rsidRPr="00B70346">
        <w:rPr>
          <w:rFonts w:hint="eastAsia"/>
          <w:color w:val="000000"/>
          <w:sz w:val="24"/>
        </w:rPr>
        <w:t xml:space="preserve"> 150m</w:t>
      </w:r>
      <w:r w:rsidRPr="00B70346">
        <w:rPr>
          <w:rFonts w:hint="eastAsia"/>
          <w:color w:val="000000"/>
          <w:sz w:val="24"/>
        </w:rPr>
        <w:t>。</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2</w:t>
      </w:r>
      <w:r w:rsidRPr="00B70346">
        <w:rPr>
          <w:rFonts w:hint="eastAsia"/>
          <w:color w:val="000000"/>
          <w:sz w:val="24"/>
        </w:rPr>
        <w:t>、地下水水位高于总干渠渠底的渠段。</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微</w:t>
      </w:r>
      <w:r w:rsidRPr="00B70346">
        <w:rPr>
          <w:rFonts w:hint="eastAsia"/>
          <w:color w:val="000000"/>
          <w:sz w:val="24"/>
        </w:rPr>
        <w:t>~</w:t>
      </w:r>
      <w:r w:rsidRPr="00B70346">
        <w:rPr>
          <w:rFonts w:hint="eastAsia"/>
          <w:color w:val="000000"/>
          <w:sz w:val="24"/>
        </w:rPr>
        <w:t>弱透水性地层：一级保护区范围自总干渠管理范围边线（防护栏网）外延</w:t>
      </w:r>
      <w:r w:rsidRPr="00B70346">
        <w:rPr>
          <w:rFonts w:hint="eastAsia"/>
          <w:color w:val="000000"/>
          <w:sz w:val="24"/>
        </w:rPr>
        <w:t xml:space="preserve"> 50m</w:t>
      </w:r>
      <w:r w:rsidRPr="00B70346">
        <w:rPr>
          <w:rFonts w:hint="eastAsia"/>
          <w:color w:val="000000"/>
          <w:sz w:val="24"/>
        </w:rPr>
        <w:t>；二级保护区范围自一级保护区边线外延</w:t>
      </w:r>
      <w:r w:rsidRPr="00B70346">
        <w:rPr>
          <w:rFonts w:hint="eastAsia"/>
          <w:color w:val="000000"/>
          <w:sz w:val="24"/>
        </w:rPr>
        <w:t xml:space="preserve"> 500m</w:t>
      </w:r>
      <w:r w:rsidRPr="00B70346">
        <w:rPr>
          <w:rFonts w:hint="eastAsia"/>
          <w:color w:val="000000"/>
          <w:sz w:val="24"/>
        </w:rPr>
        <w:t>。</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弱</w:t>
      </w:r>
      <w:r w:rsidRPr="00B70346">
        <w:rPr>
          <w:rFonts w:hint="eastAsia"/>
          <w:color w:val="000000"/>
          <w:sz w:val="24"/>
        </w:rPr>
        <w:t>~</w:t>
      </w:r>
      <w:r w:rsidRPr="00B70346">
        <w:rPr>
          <w:rFonts w:hint="eastAsia"/>
          <w:color w:val="000000"/>
          <w:sz w:val="24"/>
        </w:rPr>
        <w:t>中等透水性地层：一级保护区范围自总干渠管理范围边线（防护栏网）外延</w:t>
      </w:r>
      <w:r w:rsidRPr="00B70346">
        <w:rPr>
          <w:rFonts w:hint="eastAsia"/>
          <w:color w:val="000000"/>
          <w:sz w:val="24"/>
        </w:rPr>
        <w:t xml:space="preserve"> 100m</w:t>
      </w:r>
      <w:r w:rsidRPr="00B70346">
        <w:rPr>
          <w:rFonts w:hint="eastAsia"/>
          <w:color w:val="000000"/>
          <w:sz w:val="24"/>
        </w:rPr>
        <w:t>；二级保护区范围自一级保护区边线外延</w:t>
      </w:r>
      <w:r w:rsidRPr="00B70346">
        <w:rPr>
          <w:rFonts w:hint="eastAsia"/>
          <w:color w:val="000000"/>
          <w:sz w:val="24"/>
        </w:rPr>
        <w:t xml:space="preserve"> 1000m</w:t>
      </w:r>
      <w:r w:rsidRPr="00B70346">
        <w:rPr>
          <w:rFonts w:hint="eastAsia"/>
          <w:color w:val="000000"/>
          <w:sz w:val="24"/>
        </w:rPr>
        <w:t>。</w:t>
      </w:r>
    </w:p>
    <w:p w:rsidR="00B70346" w:rsidRPr="00B70346" w:rsidRDefault="00B70346" w:rsidP="00B70346">
      <w:pPr>
        <w:spacing w:line="520" w:lineRule="exact"/>
        <w:ind w:firstLineChars="200" w:firstLine="480"/>
        <w:rPr>
          <w:color w:val="000000"/>
          <w:sz w:val="24"/>
        </w:rPr>
      </w:pPr>
      <w:r w:rsidRPr="00B70346">
        <w:rPr>
          <w:rFonts w:hint="eastAsia"/>
          <w:color w:val="000000"/>
          <w:sz w:val="24"/>
        </w:rPr>
        <w:t>强透水性地层：一级保护区范围自总干渠管理范围边线（防护栏网）外延</w:t>
      </w:r>
      <w:r w:rsidRPr="00B70346">
        <w:rPr>
          <w:rFonts w:hint="eastAsia"/>
          <w:color w:val="000000"/>
          <w:sz w:val="24"/>
        </w:rPr>
        <w:t xml:space="preserve"> 200m</w:t>
      </w:r>
      <w:r w:rsidRPr="00B70346">
        <w:rPr>
          <w:rFonts w:hint="eastAsia"/>
          <w:color w:val="000000"/>
          <w:sz w:val="24"/>
        </w:rPr>
        <w:t>；二级保护区范围自一级保护区边线外延</w:t>
      </w:r>
      <w:r w:rsidRPr="00B70346">
        <w:rPr>
          <w:rFonts w:hint="eastAsia"/>
          <w:color w:val="000000"/>
          <w:sz w:val="24"/>
        </w:rPr>
        <w:t xml:space="preserve"> 2000m</w:t>
      </w:r>
      <w:r w:rsidRPr="00B70346">
        <w:rPr>
          <w:rFonts w:hint="eastAsia"/>
          <w:color w:val="000000"/>
          <w:sz w:val="24"/>
        </w:rPr>
        <w:t>、</w:t>
      </w:r>
      <w:r w:rsidRPr="00B70346">
        <w:rPr>
          <w:rFonts w:hint="eastAsia"/>
          <w:color w:val="000000"/>
          <w:sz w:val="24"/>
        </w:rPr>
        <w:t>1500m</w:t>
      </w:r>
      <w:r w:rsidRPr="00B70346">
        <w:rPr>
          <w:rFonts w:hint="eastAsia"/>
          <w:color w:val="000000"/>
          <w:sz w:val="24"/>
        </w:rPr>
        <w:t>。</w:t>
      </w:r>
    </w:p>
    <w:p w:rsidR="00B70346" w:rsidRDefault="00B70346" w:rsidP="00B70346">
      <w:pPr>
        <w:spacing w:line="520" w:lineRule="exact"/>
        <w:ind w:firstLineChars="200" w:firstLine="480"/>
        <w:rPr>
          <w:color w:val="000000"/>
          <w:sz w:val="24"/>
        </w:rPr>
      </w:pPr>
      <w:r w:rsidRPr="00B70346">
        <w:rPr>
          <w:rFonts w:hint="eastAsia"/>
          <w:color w:val="000000"/>
          <w:sz w:val="24"/>
        </w:rPr>
        <w:t>南水北调在禹州市段地下水位高于总干渠渠底的渠段均为微</w:t>
      </w:r>
      <w:r w:rsidRPr="00B70346">
        <w:rPr>
          <w:rFonts w:hint="eastAsia"/>
          <w:color w:val="000000"/>
          <w:sz w:val="24"/>
        </w:rPr>
        <w:t>~</w:t>
      </w:r>
      <w:r w:rsidRPr="00B70346">
        <w:rPr>
          <w:rFonts w:hint="eastAsia"/>
          <w:color w:val="000000"/>
          <w:sz w:val="24"/>
        </w:rPr>
        <w:t>弱透水性地层，南水北调总干渠中线工程位于禹州市城区西侧，本项目位于禹州市</w:t>
      </w:r>
      <w:r w:rsidR="001B1F4C">
        <w:rPr>
          <w:rFonts w:hint="eastAsia"/>
          <w:color w:val="000000"/>
          <w:sz w:val="24"/>
        </w:rPr>
        <w:t>鸠山镇</w:t>
      </w:r>
      <w:r w:rsidRPr="00B70346">
        <w:rPr>
          <w:rFonts w:hint="eastAsia"/>
          <w:color w:val="000000"/>
          <w:sz w:val="24"/>
        </w:rPr>
        <w:t>，距离南水北调总干渠中线工程</w:t>
      </w:r>
      <w:r w:rsidR="001B1F4C">
        <w:rPr>
          <w:rFonts w:hint="eastAsia"/>
          <w:color w:val="000000"/>
          <w:sz w:val="24"/>
        </w:rPr>
        <w:t>最近直线距离约</w:t>
      </w:r>
      <w:r w:rsidR="001B1F4C">
        <w:rPr>
          <w:rFonts w:hint="eastAsia"/>
          <w:color w:val="000000"/>
          <w:sz w:val="24"/>
        </w:rPr>
        <w:t>21.8k</w:t>
      </w:r>
      <w:r w:rsidRPr="00B70346">
        <w:rPr>
          <w:rFonts w:hint="eastAsia"/>
          <w:color w:val="000000"/>
          <w:sz w:val="24"/>
        </w:rPr>
        <w:t>m</w:t>
      </w:r>
      <w:r w:rsidRPr="00B70346">
        <w:rPr>
          <w:rFonts w:hint="eastAsia"/>
          <w:color w:val="000000"/>
          <w:sz w:val="24"/>
        </w:rPr>
        <w:t>，不在南水北调总干渠保护范围内。</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900" w:name="_Toc79668757"/>
      <w:bookmarkStart w:id="901" w:name="_Toc81934414"/>
      <w:r>
        <w:rPr>
          <w:rFonts w:ascii="Times New Roman" w:eastAsia="宋体" w:hAnsi="Times New Roman"/>
          <w:bCs/>
          <w:szCs w:val="32"/>
        </w:rPr>
        <w:t xml:space="preserve">10.7 </w:t>
      </w:r>
      <w:r>
        <w:rPr>
          <w:rFonts w:ascii="Times New Roman" w:eastAsia="宋体" w:hAnsi="Times New Roman"/>
          <w:bCs/>
          <w:szCs w:val="32"/>
        </w:rPr>
        <w:t>与《河南省主体功能区划》的相符性</w:t>
      </w:r>
      <w:bookmarkEnd w:id="900"/>
      <w:bookmarkEnd w:id="901"/>
    </w:p>
    <w:p w:rsidR="00240BCE" w:rsidRDefault="00AC0334">
      <w:pPr>
        <w:pStyle w:val="a1"/>
        <w:spacing w:after="0" w:line="520" w:lineRule="exact"/>
        <w:ind w:firstLineChars="200" w:firstLine="480"/>
        <w:rPr>
          <w:bCs/>
          <w:sz w:val="24"/>
        </w:rPr>
      </w:pPr>
      <w:r>
        <w:rPr>
          <w:bCs/>
          <w:sz w:val="24"/>
        </w:rPr>
        <w:t>根据河南省人民政府</w:t>
      </w:r>
      <w:r>
        <w:rPr>
          <w:bCs/>
          <w:sz w:val="24"/>
        </w:rPr>
        <w:t>2014</w:t>
      </w:r>
      <w:r>
        <w:rPr>
          <w:bCs/>
          <w:sz w:val="24"/>
        </w:rPr>
        <w:t>年</w:t>
      </w:r>
      <w:r>
        <w:rPr>
          <w:bCs/>
          <w:sz w:val="24"/>
        </w:rPr>
        <w:t>1</w:t>
      </w:r>
      <w:r>
        <w:rPr>
          <w:bCs/>
          <w:sz w:val="24"/>
        </w:rPr>
        <w:t>月</w:t>
      </w:r>
      <w:r>
        <w:rPr>
          <w:bCs/>
          <w:sz w:val="24"/>
        </w:rPr>
        <w:t>21</w:t>
      </w:r>
      <w:r>
        <w:rPr>
          <w:bCs/>
          <w:sz w:val="24"/>
        </w:rPr>
        <w:t>日印发</w:t>
      </w:r>
      <w:r>
        <w:rPr>
          <w:rFonts w:hint="eastAsia"/>
          <w:bCs/>
          <w:sz w:val="24"/>
        </w:rPr>
        <w:t>的</w:t>
      </w:r>
      <w:r>
        <w:rPr>
          <w:bCs/>
          <w:sz w:val="24"/>
        </w:rPr>
        <w:t>《河南省主体功能区规划》（豫政</w:t>
      </w:r>
      <w:r>
        <w:rPr>
          <w:bCs/>
          <w:sz w:val="24"/>
        </w:rPr>
        <w:lastRenderedPageBreak/>
        <w:t>[2014]14</w:t>
      </w:r>
      <w:r>
        <w:rPr>
          <w:bCs/>
          <w:sz w:val="24"/>
        </w:rPr>
        <w:t>号）</w:t>
      </w:r>
      <w:r>
        <w:rPr>
          <w:rFonts w:hint="eastAsia"/>
          <w:bCs/>
          <w:sz w:val="24"/>
        </w:rPr>
        <w:t>，</w:t>
      </w:r>
      <w:r>
        <w:rPr>
          <w:bCs/>
          <w:sz w:val="24"/>
        </w:rPr>
        <w:t>主要规划内容如下：</w:t>
      </w:r>
    </w:p>
    <w:p w:rsidR="00240BCE" w:rsidRDefault="00AC0334">
      <w:pPr>
        <w:pStyle w:val="a1"/>
        <w:spacing w:after="0" w:line="520" w:lineRule="exact"/>
        <w:ind w:firstLineChars="200" w:firstLine="480"/>
        <w:rPr>
          <w:bCs/>
          <w:sz w:val="24"/>
        </w:rPr>
      </w:pPr>
      <w:r>
        <w:rPr>
          <w:bCs/>
          <w:sz w:val="24"/>
        </w:rPr>
        <w:t>一、主体功能区</w:t>
      </w:r>
    </w:p>
    <w:p w:rsidR="00240BCE" w:rsidRDefault="00AC0334">
      <w:pPr>
        <w:pStyle w:val="a1"/>
        <w:spacing w:after="0" w:line="520" w:lineRule="exact"/>
        <w:ind w:firstLineChars="200" w:firstLine="480"/>
        <w:rPr>
          <w:bCs/>
          <w:sz w:val="24"/>
        </w:rPr>
      </w:pPr>
      <w:r>
        <w:rPr>
          <w:bCs/>
          <w:sz w:val="24"/>
        </w:rPr>
        <w:t>按照国家宏观战略布局和综合评价指标体系</w:t>
      </w:r>
      <w:r>
        <w:rPr>
          <w:rFonts w:hint="eastAsia"/>
          <w:bCs/>
          <w:sz w:val="24"/>
        </w:rPr>
        <w:t>，</w:t>
      </w:r>
      <w:r>
        <w:rPr>
          <w:bCs/>
          <w:sz w:val="24"/>
        </w:rPr>
        <w:t>结合我省发展实际，明确重点开发区域、农产品主产区、重点生态功能区、禁止开发区域的功能定位、主要目标、发展方向和开发管制原则，加快推进形成主体功能区。</w:t>
      </w:r>
    </w:p>
    <w:p w:rsidR="00240BCE" w:rsidRDefault="00AC0334">
      <w:pPr>
        <w:pStyle w:val="a1"/>
        <w:spacing w:after="0" w:line="520" w:lineRule="exact"/>
        <w:ind w:firstLineChars="200" w:firstLine="480"/>
        <w:rPr>
          <w:bCs/>
          <w:sz w:val="24"/>
        </w:rPr>
      </w:pPr>
      <w:r>
        <w:rPr>
          <w:bCs/>
          <w:sz w:val="24"/>
        </w:rPr>
        <w:t>二、重点开发区域</w:t>
      </w:r>
    </w:p>
    <w:p w:rsidR="00240BCE" w:rsidRDefault="00AC0334">
      <w:pPr>
        <w:pStyle w:val="a1"/>
        <w:spacing w:after="0" w:line="520" w:lineRule="exact"/>
        <w:ind w:firstLineChars="200" w:firstLine="480"/>
        <w:rPr>
          <w:bCs/>
          <w:sz w:val="24"/>
        </w:rPr>
      </w:pPr>
      <w:r>
        <w:rPr>
          <w:bCs/>
          <w:sz w:val="24"/>
        </w:rPr>
        <w:t>我省重点开发区域分为国家级重点开发区域和省级重点开发区域，重点开发区域面积</w:t>
      </w:r>
      <w:r>
        <w:rPr>
          <w:bCs/>
          <w:sz w:val="24"/>
        </w:rPr>
        <w:t>4.72</w:t>
      </w:r>
      <w:r>
        <w:rPr>
          <w:bCs/>
          <w:sz w:val="24"/>
        </w:rPr>
        <w:t>万平方公里，占全省国土面积的</w:t>
      </w:r>
      <w:r>
        <w:rPr>
          <w:bCs/>
          <w:sz w:val="24"/>
        </w:rPr>
        <w:t>28.53%</w:t>
      </w:r>
      <w:r>
        <w:rPr>
          <w:bCs/>
          <w:sz w:val="24"/>
        </w:rPr>
        <w:t>；该区域</w:t>
      </w:r>
      <w:r>
        <w:rPr>
          <w:bCs/>
          <w:sz w:val="24"/>
        </w:rPr>
        <w:t>2012</w:t>
      </w:r>
      <w:r>
        <w:rPr>
          <w:bCs/>
          <w:sz w:val="24"/>
        </w:rPr>
        <w:t>年人口</w:t>
      </w:r>
      <w:r>
        <w:rPr>
          <w:bCs/>
          <w:sz w:val="24"/>
        </w:rPr>
        <w:t>4619</w:t>
      </w:r>
      <w:r>
        <w:rPr>
          <w:bCs/>
          <w:sz w:val="24"/>
        </w:rPr>
        <w:t>万人，占全省总人口的</w:t>
      </w:r>
      <w:r>
        <w:rPr>
          <w:bCs/>
          <w:sz w:val="24"/>
        </w:rPr>
        <w:t>43.8%</w:t>
      </w:r>
      <w:r>
        <w:rPr>
          <w:bCs/>
          <w:sz w:val="24"/>
        </w:rPr>
        <w:t>。重点开发区域的功能定位是：支撑全省乃至全国经济发展的重要增长极，提升综合实力和产业竞争力的核心区，引领科技创新和推动经济发展方式转变的示范区，全省人口和经济密集区。</w:t>
      </w:r>
    </w:p>
    <w:p w:rsidR="00240BCE" w:rsidRDefault="00AC0334">
      <w:pPr>
        <w:pStyle w:val="a1"/>
        <w:spacing w:after="0" w:line="520" w:lineRule="exact"/>
        <w:ind w:firstLineChars="200" w:firstLine="480"/>
        <w:rPr>
          <w:bCs/>
          <w:sz w:val="24"/>
        </w:rPr>
      </w:pPr>
      <w:r>
        <w:rPr>
          <w:bCs/>
          <w:sz w:val="24"/>
        </w:rPr>
        <w:t>国家级重点开发区域范围包括郑州、开封、洛阳、平顶山、新乡、焦作、许昌、漯河、三门峡等</w:t>
      </w:r>
      <w:r>
        <w:rPr>
          <w:bCs/>
          <w:sz w:val="24"/>
        </w:rPr>
        <w:t>9</w:t>
      </w:r>
      <w:r>
        <w:rPr>
          <w:bCs/>
          <w:sz w:val="24"/>
        </w:rPr>
        <w:t>个省辖市市区，以及所辖的</w:t>
      </w:r>
      <w:r>
        <w:rPr>
          <w:bCs/>
          <w:sz w:val="24"/>
        </w:rPr>
        <w:t>12</w:t>
      </w:r>
      <w:r>
        <w:rPr>
          <w:bCs/>
          <w:sz w:val="24"/>
        </w:rPr>
        <w:t>个县</w:t>
      </w:r>
      <w:r>
        <w:rPr>
          <w:bCs/>
          <w:sz w:val="24"/>
        </w:rPr>
        <w:t>(</w:t>
      </w:r>
      <w:r>
        <w:rPr>
          <w:bCs/>
          <w:sz w:val="24"/>
        </w:rPr>
        <w:t>市</w:t>
      </w:r>
      <w:r>
        <w:rPr>
          <w:bCs/>
          <w:sz w:val="24"/>
        </w:rPr>
        <w:t>)</w:t>
      </w:r>
      <w:r>
        <w:rPr>
          <w:bCs/>
          <w:sz w:val="24"/>
        </w:rPr>
        <w:t>和济源市、巩义市。整区域划为国家级重点开发区域的县</w:t>
      </w:r>
      <w:r>
        <w:rPr>
          <w:bCs/>
          <w:sz w:val="24"/>
        </w:rPr>
        <w:t>(</w:t>
      </w:r>
      <w:r>
        <w:rPr>
          <w:bCs/>
          <w:sz w:val="24"/>
        </w:rPr>
        <w:t>市</w:t>
      </w:r>
      <w:r>
        <w:rPr>
          <w:bCs/>
          <w:sz w:val="24"/>
        </w:rPr>
        <w:t>)</w:t>
      </w:r>
      <w:r>
        <w:rPr>
          <w:bCs/>
          <w:sz w:val="24"/>
        </w:rPr>
        <w:t>为：郑州市的新郑市、荥阳市、新密市、中牟县，开封市的开封县，洛阳市的偃师市、伊川县，平顶山市的宝丰县，新乡市的新乡县，焦作市的沁阳市，许昌市的长葛市、许昌县，以及省直管县</w:t>
      </w:r>
      <w:r>
        <w:rPr>
          <w:bCs/>
          <w:sz w:val="24"/>
        </w:rPr>
        <w:t>(</w:t>
      </w:r>
      <w:r>
        <w:rPr>
          <w:bCs/>
          <w:sz w:val="24"/>
        </w:rPr>
        <w:t>市</w:t>
      </w:r>
      <w:r>
        <w:rPr>
          <w:bCs/>
          <w:sz w:val="24"/>
        </w:rPr>
        <w:t>)</w:t>
      </w:r>
      <w:r>
        <w:rPr>
          <w:bCs/>
          <w:sz w:val="24"/>
        </w:rPr>
        <w:t>巩义市。</w:t>
      </w:r>
    </w:p>
    <w:p w:rsidR="00240BCE" w:rsidRDefault="00AC0334">
      <w:pPr>
        <w:pStyle w:val="a1"/>
        <w:spacing w:after="0" w:line="520" w:lineRule="exact"/>
        <w:ind w:firstLineChars="200" w:firstLine="480"/>
        <w:rPr>
          <w:bCs/>
          <w:sz w:val="24"/>
        </w:rPr>
      </w:pPr>
      <w:r>
        <w:rPr>
          <w:bCs/>
          <w:sz w:val="24"/>
        </w:rPr>
        <w:t>我省省级重点开发区域范围为重要产业带结点城市</w:t>
      </w:r>
      <w:r>
        <w:rPr>
          <w:bCs/>
          <w:sz w:val="24"/>
        </w:rPr>
        <w:t>(</w:t>
      </w:r>
      <w:r>
        <w:rPr>
          <w:bCs/>
          <w:sz w:val="24"/>
        </w:rPr>
        <w:t>包括县城</w:t>
      </w:r>
      <w:r>
        <w:rPr>
          <w:bCs/>
          <w:sz w:val="24"/>
        </w:rPr>
        <w:t>)</w:t>
      </w:r>
      <w:r>
        <w:rPr>
          <w:bCs/>
          <w:sz w:val="24"/>
        </w:rPr>
        <w:t>，呈点状分布、局部相连特征。包括安阳、濮阳、鹤壁、南阳、商丘、周口、驻马店等</w:t>
      </w:r>
      <w:r>
        <w:rPr>
          <w:bCs/>
          <w:sz w:val="24"/>
        </w:rPr>
        <w:t>7</w:t>
      </w:r>
      <w:r>
        <w:rPr>
          <w:bCs/>
          <w:sz w:val="24"/>
        </w:rPr>
        <w:t>个省辖市市区和信阳市平桥区，</w:t>
      </w:r>
      <w:r>
        <w:rPr>
          <w:bCs/>
          <w:sz w:val="24"/>
        </w:rPr>
        <w:t>17</w:t>
      </w:r>
      <w:r>
        <w:rPr>
          <w:bCs/>
          <w:sz w:val="24"/>
        </w:rPr>
        <w:t>个位于重要产业带发展条件较好的县</w:t>
      </w:r>
      <w:r>
        <w:rPr>
          <w:bCs/>
          <w:sz w:val="24"/>
        </w:rPr>
        <w:t>(</w:t>
      </w:r>
      <w:r>
        <w:rPr>
          <w:bCs/>
          <w:sz w:val="24"/>
        </w:rPr>
        <w:t>市</w:t>
      </w:r>
      <w:r>
        <w:rPr>
          <w:bCs/>
          <w:sz w:val="24"/>
        </w:rPr>
        <w:t>)</w:t>
      </w:r>
      <w:r>
        <w:rPr>
          <w:bCs/>
          <w:sz w:val="24"/>
        </w:rPr>
        <w:t>或省辖市近郊县</w:t>
      </w:r>
      <w:r>
        <w:rPr>
          <w:bCs/>
          <w:sz w:val="24"/>
        </w:rPr>
        <w:t>(</w:t>
      </w:r>
      <w:r>
        <w:rPr>
          <w:bCs/>
          <w:sz w:val="24"/>
        </w:rPr>
        <w:t>市</w:t>
      </w:r>
      <w:r>
        <w:rPr>
          <w:bCs/>
          <w:sz w:val="24"/>
        </w:rPr>
        <w:t>)</w:t>
      </w:r>
      <w:r>
        <w:rPr>
          <w:bCs/>
          <w:sz w:val="24"/>
        </w:rPr>
        <w:t>以及省直管县</w:t>
      </w:r>
      <w:r>
        <w:rPr>
          <w:bCs/>
          <w:sz w:val="24"/>
        </w:rPr>
        <w:t>(</w:t>
      </w:r>
      <w:r>
        <w:rPr>
          <w:bCs/>
          <w:sz w:val="24"/>
        </w:rPr>
        <w:t>市</w:t>
      </w:r>
      <w:r>
        <w:rPr>
          <w:bCs/>
          <w:sz w:val="24"/>
        </w:rPr>
        <w:t>)</w:t>
      </w:r>
      <w:r>
        <w:rPr>
          <w:bCs/>
          <w:sz w:val="24"/>
        </w:rPr>
        <w:t>，国家农产品主产区和省级重点生态功能区的县城关镇、少数建制镇镇区以及产业集聚区。整区域划为省级重点开发区域的县</w:t>
      </w:r>
      <w:r>
        <w:rPr>
          <w:bCs/>
          <w:sz w:val="24"/>
        </w:rPr>
        <w:t>(</w:t>
      </w:r>
      <w:r>
        <w:rPr>
          <w:bCs/>
          <w:sz w:val="24"/>
        </w:rPr>
        <w:t>市</w:t>
      </w:r>
      <w:r>
        <w:rPr>
          <w:bCs/>
          <w:sz w:val="24"/>
        </w:rPr>
        <w:t>)</w:t>
      </w:r>
      <w:r>
        <w:rPr>
          <w:bCs/>
          <w:sz w:val="24"/>
        </w:rPr>
        <w:t>为：郑州市的登封市，开封市的尉氏县，洛阳市的孟津县，焦作市的孟州市，安阳市的安阳县，新乡市的卫辉市，濮阳市的濮阳县，三门峡市的义马市、陕县，南阳市的镇平县，周口市的项城市，驻马店市的遂平县，以及省直管县</w:t>
      </w:r>
      <w:r>
        <w:rPr>
          <w:bCs/>
          <w:sz w:val="24"/>
        </w:rPr>
        <w:t>(</w:t>
      </w:r>
      <w:r>
        <w:rPr>
          <w:bCs/>
          <w:sz w:val="24"/>
        </w:rPr>
        <w:t>市</w:t>
      </w:r>
      <w:r>
        <w:rPr>
          <w:bCs/>
          <w:sz w:val="24"/>
        </w:rPr>
        <w:t>)</w:t>
      </w:r>
      <w:r>
        <w:rPr>
          <w:bCs/>
          <w:sz w:val="24"/>
        </w:rPr>
        <w:t>兰考县、汝州市、长垣县、永城市、固始县。</w:t>
      </w:r>
    </w:p>
    <w:p w:rsidR="00240BCE" w:rsidRDefault="00AC0334">
      <w:pPr>
        <w:pStyle w:val="a1"/>
        <w:spacing w:after="0" w:line="520" w:lineRule="exact"/>
        <w:ind w:firstLineChars="200" w:firstLine="480"/>
        <w:rPr>
          <w:bCs/>
          <w:sz w:val="24"/>
        </w:rPr>
      </w:pPr>
      <w:r>
        <w:rPr>
          <w:bCs/>
          <w:sz w:val="24"/>
        </w:rPr>
        <w:lastRenderedPageBreak/>
        <w:t>三、农产品主产区</w:t>
      </w:r>
    </w:p>
    <w:p w:rsidR="00240BCE" w:rsidRDefault="00AC0334">
      <w:pPr>
        <w:pStyle w:val="a1"/>
        <w:spacing w:after="0" w:line="520" w:lineRule="exact"/>
        <w:ind w:firstLineChars="200" w:firstLine="480"/>
        <w:rPr>
          <w:bCs/>
          <w:sz w:val="24"/>
        </w:rPr>
      </w:pPr>
      <w:r>
        <w:rPr>
          <w:bCs/>
          <w:sz w:val="24"/>
        </w:rPr>
        <w:t>农产品主产区是指以提供农产品为主体功能，承担国家粮食生产核心区建设重要任务的农业地区。具体包括黄淮海平原、南阳盆地和豫西山丘区的</w:t>
      </w:r>
      <w:r>
        <w:rPr>
          <w:bCs/>
          <w:sz w:val="24"/>
        </w:rPr>
        <w:t>66</w:t>
      </w:r>
      <w:r>
        <w:rPr>
          <w:bCs/>
          <w:sz w:val="24"/>
        </w:rPr>
        <w:t>个国家级农产品主产县。农产品主产区国土面积</w:t>
      </w:r>
      <w:r>
        <w:rPr>
          <w:bCs/>
          <w:sz w:val="24"/>
        </w:rPr>
        <w:t>8.69</w:t>
      </w:r>
      <w:r>
        <w:rPr>
          <w:bCs/>
          <w:sz w:val="24"/>
        </w:rPr>
        <w:t>万平方公里，占全省国土面积的</w:t>
      </w:r>
      <w:r>
        <w:rPr>
          <w:bCs/>
          <w:sz w:val="24"/>
        </w:rPr>
        <w:t>52.45%</w:t>
      </w:r>
      <w:r>
        <w:rPr>
          <w:bCs/>
          <w:sz w:val="24"/>
        </w:rPr>
        <w:t>；该区域</w:t>
      </w:r>
      <w:r>
        <w:rPr>
          <w:bCs/>
          <w:sz w:val="24"/>
        </w:rPr>
        <w:t>2012</w:t>
      </w:r>
      <w:r>
        <w:rPr>
          <w:bCs/>
          <w:sz w:val="24"/>
        </w:rPr>
        <w:t>年人口</w:t>
      </w:r>
      <w:r>
        <w:rPr>
          <w:bCs/>
          <w:sz w:val="24"/>
        </w:rPr>
        <w:t>5029</w:t>
      </w:r>
      <w:r>
        <w:rPr>
          <w:bCs/>
          <w:sz w:val="24"/>
        </w:rPr>
        <w:t>万人，占全省总人口的</w:t>
      </w:r>
      <w:r>
        <w:rPr>
          <w:bCs/>
          <w:sz w:val="24"/>
        </w:rPr>
        <w:t>47.7%</w:t>
      </w:r>
      <w:r>
        <w:rPr>
          <w:bCs/>
          <w:sz w:val="24"/>
        </w:rPr>
        <w:t>。</w:t>
      </w:r>
    </w:p>
    <w:p w:rsidR="00240BCE" w:rsidRDefault="00AC0334">
      <w:pPr>
        <w:pStyle w:val="a1"/>
        <w:spacing w:after="0" w:line="520" w:lineRule="exact"/>
        <w:ind w:firstLineChars="200" w:firstLine="480"/>
        <w:rPr>
          <w:bCs/>
          <w:sz w:val="24"/>
        </w:rPr>
      </w:pPr>
      <w:r>
        <w:rPr>
          <w:bCs/>
          <w:sz w:val="24"/>
        </w:rPr>
        <w:t>四、重点生态功能区</w:t>
      </w:r>
    </w:p>
    <w:p w:rsidR="00240BCE" w:rsidRDefault="00AC0334">
      <w:pPr>
        <w:pStyle w:val="a1"/>
        <w:spacing w:after="0" w:line="520" w:lineRule="exact"/>
        <w:ind w:firstLineChars="200" w:firstLine="480"/>
        <w:rPr>
          <w:bCs/>
          <w:sz w:val="24"/>
        </w:rPr>
      </w:pPr>
      <w:r>
        <w:rPr>
          <w:bCs/>
          <w:sz w:val="24"/>
        </w:rPr>
        <w:t>重点生态功能区是指生态系统重要、关系到较大空间范围生态安全的区域。我省重点生态功能区主要分布在豫北太行山、豫西伏牛山、豫南大别山等区域。</w:t>
      </w:r>
    </w:p>
    <w:p w:rsidR="00240BCE" w:rsidRDefault="00AC0334">
      <w:pPr>
        <w:pStyle w:val="a1"/>
        <w:spacing w:after="0" w:line="520" w:lineRule="exact"/>
        <w:ind w:firstLineChars="200" w:firstLine="480"/>
        <w:rPr>
          <w:bCs/>
          <w:sz w:val="24"/>
        </w:rPr>
      </w:pPr>
      <w:r>
        <w:rPr>
          <w:bCs/>
          <w:sz w:val="24"/>
        </w:rPr>
        <w:t>我省重点生态功能区分为国家级和省级两个层面，包括</w:t>
      </w:r>
      <w:r>
        <w:rPr>
          <w:bCs/>
          <w:sz w:val="24"/>
        </w:rPr>
        <w:t>13</w:t>
      </w:r>
      <w:r>
        <w:rPr>
          <w:bCs/>
          <w:sz w:val="24"/>
        </w:rPr>
        <w:t>个县</w:t>
      </w:r>
      <w:r>
        <w:rPr>
          <w:bCs/>
          <w:sz w:val="24"/>
        </w:rPr>
        <w:t>(</w:t>
      </w:r>
      <w:r>
        <w:rPr>
          <w:bCs/>
          <w:sz w:val="24"/>
        </w:rPr>
        <w:t>市、区</w:t>
      </w:r>
      <w:r>
        <w:rPr>
          <w:bCs/>
          <w:sz w:val="24"/>
        </w:rPr>
        <w:t>)</w:t>
      </w:r>
      <w:r>
        <w:rPr>
          <w:bCs/>
          <w:sz w:val="24"/>
        </w:rPr>
        <w:t>。该区域国土面积</w:t>
      </w:r>
      <w:r>
        <w:rPr>
          <w:bCs/>
          <w:sz w:val="24"/>
        </w:rPr>
        <w:t>3.15</w:t>
      </w:r>
      <w:r>
        <w:rPr>
          <w:bCs/>
          <w:sz w:val="24"/>
        </w:rPr>
        <w:t>万平方公里，占全省国土面积的</w:t>
      </w:r>
      <w:r>
        <w:rPr>
          <w:bCs/>
          <w:sz w:val="24"/>
        </w:rPr>
        <w:t>19.02%</w:t>
      </w:r>
      <w:r>
        <w:rPr>
          <w:bCs/>
          <w:sz w:val="24"/>
        </w:rPr>
        <w:t>。</w:t>
      </w:r>
    </w:p>
    <w:p w:rsidR="00240BCE" w:rsidRDefault="00AC0334">
      <w:pPr>
        <w:pStyle w:val="a1"/>
        <w:spacing w:after="0" w:line="520" w:lineRule="exact"/>
        <w:ind w:firstLineChars="200" w:firstLine="480"/>
        <w:rPr>
          <w:bCs/>
          <w:sz w:val="24"/>
        </w:rPr>
      </w:pPr>
      <w:r>
        <w:rPr>
          <w:bCs/>
          <w:sz w:val="24"/>
        </w:rPr>
        <w:t>国家级重点生态功能区包括大别山土壤侵蚀防治区范围内的新县、商城县</w:t>
      </w:r>
      <w:r>
        <w:rPr>
          <w:bCs/>
          <w:sz w:val="24"/>
        </w:rPr>
        <w:t>2</w:t>
      </w:r>
      <w:r>
        <w:rPr>
          <w:bCs/>
          <w:sz w:val="24"/>
        </w:rPr>
        <w:t>县全域。该区域国土面积</w:t>
      </w:r>
      <w:r>
        <w:rPr>
          <w:bCs/>
          <w:sz w:val="24"/>
        </w:rPr>
        <w:t>0.37</w:t>
      </w:r>
      <w:r>
        <w:rPr>
          <w:bCs/>
          <w:sz w:val="24"/>
        </w:rPr>
        <w:t>万平方公里，占全省国土面积的</w:t>
      </w:r>
      <w:r>
        <w:rPr>
          <w:bCs/>
          <w:sz w:val="24"/>
        </w:rPr>
        <w:t>2.21%</w:t>
      </w:r>
      <w:r>
        <w:rPr>
          <w:bCs/>
          <w:sz w:val="24"/>
        </w:rPr>
        <w:t>；该区域</w:t>
      </w:r>
      <w:r>
        <w:rPr>
          <w:bCs/>
          <w:sz w:val="24"/>
        </w:rPr>
        <w:t>2012</w:t>
      </w:r>
      <w:r>
        <w:rPr>
          <w:bCs/>
          <w:sz w:val="24"/>
        </w:rPr>
        <w:t>年人口</w:t>
      </w:r>
      <w:r>
        <w:rPr>
          <w:bCs/>
          <w:sz w:val="24"/>
        </w:rPr>
        <w:t>113.4</w:t>
      </w:r>
      <w:r>
        <w:rPr>
          <w:bCs/>
          <w:sz w:val="24"/>
        </w:rPr>
        <w:t>万人，占全省总人口的</w:t>
      </w:r>
      <w:r>
        <w:rPr>
          <w:bCs/>
          <w:sz w:val="24"/>
        </w:rPr>
        <w:t>1.08%</w:t>
      </w:r>
      <w:r>
        <w:rPr>
          <w:bCs/>
          <w:sz w:val="24"/>
        </w:rPr>
        <w:t>。</w:t>
      </w:r>
    </w:p>
    <w:p w:rsidR="00240BCE" w:rsidRDefault="00AC0334">
      <w:pPr>
        <w:pStyle w:val="a1"/>
        <w:spacing w:after="0" w:line="520" w:lineRule="exact"/>
        <w:ind w:firstLineChars="200" w:firstLine="480"/>
        <w:rPr>
          <w:bCs/>
          <w:sz w:val="24"/>
        </w:rPr>
      </w:pPr>
      <w:r>
        <w:rPr>
          <w:bCs/>
          <w:sz w:val="24"/>
        </w:rPr>
        <w:t>省级重点生态功能区包括淅川县、西峡县、卢氏县、栾川县、内乡县、邓州市、桐柏县、嵩县、罗山县、光山县、信阳市浉河区</w:t>
      </w:r>
      <w:r>
        <w:rPr>
          <w:bCs/>
          <w:sz w:val="24"/>
        </w:rPr>
        <w:t>11</w:t>
      </w:r>
      <w:r>
        <w:rPr>
          <w:bCs/>
          <w:sz w:val="24"/>
        </w:rPr>
        <w:t>个县</w:t>
      </w:r>
      <w:r>
        <w:rPr>
          <w:bCs/>
          <w:sz w:val="24"/>
        </w:rPr>
        <w:t>(</w:t>
      </w:r>
      <w:r>
        <w:rPr>
          <w:bCs/>
          <w:sz w:val="24"/>
        </w:rPr>
        <w:t>市、区</w:t>
      </w:r>
      <w:r>
        <w:rPr>
          <w:bCs/>
          <w:sz w:val="24"/>
        </w:rPr>
        <w:t>)</w:t>
      </w:r>
      <w:r>
        <w:rPr>
          <w:bCs/>
          <w:sz w:val="24"/>
        </w:rPr>
        <w:t>。该区域国土面积</w:t>
      </w:r>
      <w:r>
        <w:rPr>
          <w:bCs/>
          <w:sz w:val="24"/>
        </w:rPr>
        <w:t>2.78</w:t>
      </w:r>
      <w:r>
        <w:rPr>
          <w:bCs/>
          <w:sz w:val="24"/>
        </w:rPr>
        <w:t>万平方公里，占全省国土面积的</w:t>
      </w:r>
      <w:r>
        <w:rPr>
          <w:bCs/>
          <w:sz w:val="24"/>
        </w:rPr>
        <w:t>16.81%</w:t>
      </w:r>
      <w:r>
        <w:rPr>
          <w:bCs/>
          <w:sz w:val="24"/>
        </w:rPr>
        <w:t>；该区域</w:t>
      </w:r>
      <w:r>
        <w:rPr>
          <w:bCs/>
          <w:sz w:val="24"/>
        </w:rPr>
        <w:t>2012</w:t>
      </w:r>
      <w:r>
        <w:rPr>
          <w:bCs/>
          <w:sz w:val="24"/>
        </w:rPr>
        <w:t>年人口</w:t>
      </w:r>
      <w:r>
        <w:rPr>
          <w:bCs/>
          <w:sz w:val="24"/>
        </w:rPr>
        <w:t>782</w:t>
      </w:r>
      <w:r>
        <w:rPr>
          <w:bCs/>
          <w:sz w:val="24"/>
        </w:rPr>
        <w:t>万人，占全省总人口的</w:t>
      </w:r>
      <w:r>
        <w:rPr>
          <w:bCs/>
          <w:sz w:val="24"/>
        </w:rPr>
        <w:t>7.41%</w:t>
      </w:r>
      <w:r>
        <w:rPr>
          <w:bCs/>
          <w:sz w:val="24"/>
        </w:rPr>
        <w:t>。</w:t>
      </w:r>
    </w:p>
    <w:p w:rsidR="00240BCE" w:rsidRDefault="00AC0334">
      <w:pPr>
        <w:pStyle w:val="a1"/>
        <w:spacing w:after="0" w:line="520" w:lineRule="exact"/>
        <w:ind w:firstLineChars="200" w:firstLine="480"/>
        <w:rPr>
          <w:bCs/>
          <w:sz w:val="24"/>
        </w:rPr>
      </w:pPr>
      <w:r>
        <w:rPr>
          <w:bCs/>
          <w:sz w:val="24"/>
        </w:rPr>
        <w:t>五、禁止开发区域</w:t>
      </w:r>
    </w:p>
    <w:p w:rsidR="00240BCE" w:rsidRDefault="00AC0334">
      <w:pPr>
        <w:pStyle w:val="a1"/>
        <w:spacing w:after="0" w:line="520" w:lineRule="exact"/>
        <w:ind w:firstLineChars="200" w:firstLine="480"/>
        <w:rPr>
          <w:bCs/>
          <w:sz w:val="24"/>
        </w:rPr>
      </w:pPr>
      <w:r>
        <w:rPr>
          <w:bCs/>
          <w:sz w:val="24"/>
        </w:rPr>
        <w:t>禁止开发区域是指有代表性的自然生态系统、珍稀濒危野生动植物物种的天然集中分布地、有特殊价值的自然遗迹所在地和文化遗址等点状分布的重点生态功能区。禁止开发区域的功能定位是：我省保护自然文化资源的重要区域，点状分布的重点生态功能区，珍贵动植物基因资源保护地。</w:t>
      </w:r>
    </w:p>
    <w:p w:rsidR="00240BCE" w:rsidRDefault="00AC0334">
      <w:pPr>
        <w:pStyle w:val="a1"/>
        <w:spacing w:after="0" w:line="520" w:lineRule="exact"/>
        <w:ind w:firstLineChars="200" w:firstLine="480"/>
        <w:rPr>
          <w:bCs/>
          <w:sz w:val="24"/>
        </w:rPr>
      </w:pPr>
      <w:r>
        <w:rPr>
          <w:bCs/>
          <w:sz w:val="24"/>
        </w:rPr>
        <w:t>根据法律、法规和有关规定，我省禁止开发区域共</w:t>
      </w:r>
      <w:r>
        <w:rPr>
          <w:bCs/>
          <w:sz w:val="24"/>
        </w:rPr>
        <w:t>233</w:t>
      </w:r>
      <w:r>
        <w:rPr>
          <w:bCs/>
          <w:sz w:val="24"/>
        </w:rPr>
        <w:t>处，总面积约</w:t>
      </w:r>
      <w:r>
        <w:rPr>
          <w:bCs/>
          <w:sz w:val="24"/>
        </w:rPr>
        <w:t>15070</w:t>
      </w:r>
      <w:r>
        <w:rPr>
          <w:bCs/>
          <w:sz w:val="24"/>
        </w:rPr>
        <w:t>平方公里，占全省国土面积的</w:t>
      </w:r>
      <w:r>
        <w:rPr>
          <w:bCs/>
          <w:sz w:val="24"/>
        </w:rPr>
        <w:t>9.1%</w:t>
      </w:r>
      <w:r>
        <w:rPr>
          <w:bCs/>
          <w:sz w:val="24"/>
        </w:rPr>
        <w:t>。今后新设立的国家级和省级自然保护区、世界文化自然遗产、风景名胜区、森林公园、地质公园、湿地和湿地公园、水产种质资源</w:t>
      </w:r>
      <w:r>
        <w:rPr>
          <w:bCs/>
          <w:sz w:val="24"/>
        </w:rPr>
        <w:lastRenderedPageBreak/>
        <w:t>保护区，自动进入禁止开发区域名录。</w:t>
      </w:r>
    </w:p>
    <w:p w:rsidR="00240BCE" w:rsidRDefault="00AC0334">
      <w:pPr>
        <w:pStyle w:val="a1"/>
        <w:spacing w:after="0" w:line="520" w:lineRule="exact"/>
        <w:ind w:firstLineChars="200" w:firstLine="480"/>
        <w:rPr>
          <w:sz w:val="24"/>
        </w:rPr>
      </w:pPr>
      <w:r>
        <w:rPr>
          <w:bCs/>
          <w:sz w:val="24"/>
        </w:rPr>
        <w:t>本项目位于禹州市鸠山镇，不属于重点生态功能区或禁止开发区域，符合《河南省主体功能区规划》的要求。</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902" w:name="_Toc79668758"/>
      <w:bookmarkStart w:id="903" w:name="_Toc81934415"/>
      <w:r>
        <w:rPr>
          <w:rFonts w:ascii="Times New Roman" w:eastAsia="宋体" w:hAnsi="Times New Roman"/>
          <w:bCs/>
          <w:szCs w:val="32"/>
        </w:rPr>
        <w:t xml:space="preserve">10.8 </w:t>
      </w:r>
      <w:r>
        <w:rPr>
          <w:rFonts w:ascii="Times New Roman" w:eastAsia="宋体" w:hAnsi="Times New Roman"/>
          <w:bCs/>
          <w:szCs w:val="32"/>
        </w:rPr>
        <w:t>与禹州华夏植物群地质公园的相符性</w:t>
      </w:r>
      <w:bookmarkEnd w:id="902"/>
      <w:bookmarkEnd w:id="903"/>
    </w:p>
    <w:p w:rsidR="00240BCE" w:rsidRDefault="00AC0334">
      <w:pPr>
        <w:pStyle w:val="a1"/>
        <w:spacing w:after="0" w:line="520" w:lineRule="exact"/>
        <w:ind w:firstLineChars="200" w:firstLine="480"/>
        <w:rPr>
          <w:sz w:val="24"/>
        </w:rPr>
      </w:pPr>
      <w:r>
        <w:rPr>
          <w:sz w:val="24"/>
        </w:rPr>
        <w:t>河南禹州华夏植物群地质公园位于河南省禹州市境内，行政区划隶属神垕镇、磨街乡、鸠山乡和浅井乡。由大风口、大鸿寨和具茨山三个园区组成。地貌上分属箕山和具茨山山系，大地构造位置处于嵩箕台隆与华北凹陷的过渡地带。地理坐标为：东径</w:t>
      </w:r>
      <w:r>
        <w:rPr>
          <w:sz w:val="24"/>
        </w:rPr>
        <w:t>113°04′10″</w:t>
      </w:r>
      <w:r>
        <w:rPr>
          <w:sz w:val="24"/>
        </w:rPr>
        <w:t>～</w:t>
      </w:r>
      <w:r>
        <w:rPr>
          <w:sz w:val="24"/>
        </w:rPr>
        <w:t>113°36′45″</w:t>
      </w:r>
      <w:r>
        <w:rPr>
          <w:sz w:val="24"/>
        </w:rPr>
        <w:t>，北纬</w:t>
      </w:r>
      <w:r>
        <w:rPr>
          <w:sz w:val="24"/>
        </w:rPr>
        <w:t>34°07′30″</w:t>
      </w:r>
      <w:r>
        <w:rPr>
          <w:sz w:val="24"/>
        </w:rPr>
        <w:t>～</w:t>
      </w:r>
      <w:r>
        <w:rPr>
          <w:sz w:val="24"/>
        </w:rPr>
        <w:t>34°23′15″</w:t>
      </w:r>
      <w:r>
        <w:rPr>
          <w:sz w:val="24"/>
        </w:rPr>
        <w:t>，公园规划区总面积</w:t>
      </w:r>
      <w:r>
        <w:rPr>
          <w:sz w:val="24"/>
        </w:rPr>
        <w:t>115</w:t>
      </w:r>
      <w:r>
        <w:rPr>
          <w:sz w:val="24"/>
        </w:rPr>
        <w:t>平方千米，核心景区面积</w:t>
      </w:r>
      <w:r>
        <w:rPr>
          <w:sz w:val="24"/>
        </w:rPr>
        <w:t>48</w:t>
      </w:r>
      <w:r>
        <w:rPr>
          <w:sz w:val="24"/>
        </w:rPr>
        <w:t>平方千米，是一座以华夏植物群化石景观和典型含煤地层剖面为主，以钧瓷文化产业链为辅，并融合自然、生态和人文相互辉映，集美学价值与科学价值于一身的综合性地质公园。</w:t>
      </w:r>
    </w:p>
    <w:p w:rsidR="00240BCE" w:rsidRDefault="00AC0334">
      <w:pPr>
        <w:pStyle w:val="a1"/>
        <w:spacing w:after="0" w:line="520" w:lineRule="exact"/>
        <w:ind w:firstLineChars="200" w:firstLine="480"/>
        <w:rPr>
          <w:sz w:val="24"/>
        </w:rPr>
      </w:pPr>
      <w:r>
        <w:rPr>
          <w:sz w:val="24"/>
        </w:rPr>
        <w:t>距离本项目较近的园区为大风口园区</w:t>
      </w:r>
      <w:r w:rsidR="00D21A83">
        <w:rPr>
          <w:rFonts w:hint="eastAsia"/>
          <w:sz w:val="24"/>
        </w:rPr>
        <w:t>和大鸿寨</w:t>
      </w:r>
      <w:r>
        <w:rPr>
          <w:sz w:val="24"/>
        </w:rPr>
        <w:t>，</w:t>
      </w:r>
      <w:r w:rsidR="00D21A83">
        <w:rPr>
          <w:rFonts w:hint="eastAsia"/>
          <w:sz w:val="24"/>
        </w:rPr>
        <w:t>其中</w:t>
      </w:r>
      <w:r w:rsidR="00D21A83">
        <w:rPr>
          <w:sz w:val="24"/>
        </w:rPr>
        <w:t>大风口</w:t>
      </w:r>
      <w:r>
        <w:rPr>
          <w:sz w:val="24"/>
        </w:rPr>
        <w:t>位于禹州市神垕镇、磨街乡，规划范围北至燕磨路，西至西坡山，西南至花岭山，南至日月湖，东南至牛头山，东至车沟村</w:t>
      </w:r>
      <w:r w:rsidR="00D21A83">
        <w:rPr>
          <w:rFonts w:hint="eastAsia"/>
          <w:sz w:val="24"/>
        </w:rPr>
        <w:t>；大鸿寨位于</w:t>
      </w:r>
      <w:r w:rsidR="00D21A83" w:rsidRPr="00D21A83">
        <w:rPr>
          <w:rFonts w:hint="eastAsia"/>
          <w:sz w:val="24"/>
        </w:rPr>
        <w:t>禹州市西北部鸠山镇境内</w:t>
      </w:r>
      <w:r w:rsidR="00D21A83">
        <w:rPr>
          <w:rFonts w:hint="eastAsia"/>
          <w:sz w:val="24"/>
        </w:rPr>
        <w:t>，</w:t>
      </w:r>
      <w:r w:rsidR="00D21A83" w:rsidRPr="00D21A83">
        <w:rPr>
          <w:rFonts w:hint="eastAsia"/>
          <w:sz w:val="24"/>
        </w:rPr>
        <w:t>涉及禹州鸠山镇崔家庄、焦庄、魏井、老王沟、官寺、上官寺、陈窑、后地等</w:t>
      </w:r>
      <w:r w:rsidR="00D21A83" w:rsidRPr="00D21A83">
        <w:rPr>
          <w:rFonts w:hint="eastAsia"/>
          <w:sz w:val="24"/>
        </w:rPr>
        <w:t xml:space="preserve"> 8 </w:t>
      </w:r>
      <w:r w:rsidR="00D21A83" w:rsidRPr="00D21A83">
        <w:rPr>
          <w:rFonts w:hint="eastAsia"/>
          <w:sz w:val="24"/>
        </w:rPr>
        <w:t>个行政村以及禹州国有林场。</w:t>
      </w:r>
    </w:p>
    <w:p w:rsidR="00240BCE" w:rsidRDefault="00D21A83">
      <w:pPr>
        <w:pStyle w:val="a1"/>
        <w:spacing w:after="0" w:line="520" w:lineRule="exact"/>
        <w:ind w:firstLineChars="200" w:firstLine="480"/>
        <w:rPr>
          <w:sz w:val="24"/>
        </w:rPr>
      </w:pPr>
      <w:r>
        <w:rPr>
          <w:rFonts w:hint="eastAsia"/>
          <w:sz w:val="24"/>
        </w:rPr>
        <w:t>本项目位于大鸿寨园区东南侧，与大鸿寨园区</w:t>
      </w:r>
      <w:r>
        <w:rPr>
          <w:sz w:val="24"/>
        </w:rPr>
        <w:t>最近距离约</w:t>
      </w:r>
      <w:r>
        <w:rPr>
          <w:rFonts w:hint="eastAsia"/>
          <w:sz w:val="24"/>
        </w:rPr>
        <w:t>2.8</w:t>
      </w:r>
      <w:r>
        <w:rPr>
          <w:sz w:val="24"/>
        </w:rPr>
        <w:t>km</w:t>
      </w:r>
      <w:r>
        <w:rPr>
          <w:rFonts w:hint="eastAsia"/>
          <w:sz w:val="24"/>
        </w:rPr>
        <w:t>；</w:t>
      </w:r>
      <w:r w:rsidR="00AC0334">
        <w:rPr>
          <w:sz w:val="24"/>
        </w:rPr>
        <w:t>本项目位于大风口园区北侧，与</w:t>
      </w:r>
      <w:r>
        <w:rPr>
          <w:rFonts w:hint="eastAsia"/>
          <w:sz w:val="24"/>
        </w:rPr>
        <w:t>大风口园区</w:t>
      </w:r>
      <w:r w:rsidR="00AC0334">
        <w:rPr>
          <w:sz w:val="24"/>
        </w:rPr>
        <w:t>最近距离约</w:t>
      </w:r>
      <w:r w:rsidR="00AC0334">
        <w:rPr>
          <w:sz w:val="24"/>
        </w:rPr>
        <w:t>3.6km</w:t>
      </w:r>
      <w:r>
        <w:rPr>
          <w:rFonts w:hint="eastAsia"/>
          <w:sz w:val="24"/>
        </w:rPr>
        <w:t>；</w:t>
      </w:r>
      <w:r w:rsidR="00AC0334">
        <w:rPr>
          <w:sz w:val="24"/>
        </w:rPr>
        <w:t>不在河南禹州华夏植物群地质公园范围内。</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904" w:name="_Toc79668759"/>
      <w:bookmarkStart w:id="905" w:name="_Toc81934416"/>
      <w:r>
        <w:rPr>
          <w:rFonts w:ascii="Times New Roman" w:eastAsia="宋体" w:hAnsi="Times New Roman"/>
          <w:bCs/>
          <w:szCs w:val="32"/>
        </w:rPr>
        <w:t xml:space="preserve">10.9 </w:t>
      </w:r>
      <w:r>
        <w:rPr>
          <w:rFonts w:ascii="Times New Roman" w:eastAsia="宋体" w:hAnsi="Times New Roman"/>
          <w:bCs/>
          <w:szCs w:val="32"/>
        </w:rPr>
        <w:t>与神垕钧窑遗址文物保护单位的相符性</w:t>
      </w:r>
      <w:bookmarkEnd w:id="904"/>
      <w:bookmarkEnd w:id="905"/>
    </w:p>
    <w:p w:rsidR="00240BCE" w:rsidRDefault="00AC0334">
      <w:pPr>
        <w:pStyle w:val="a1"/>
        <w:spacing w:after="0" w:line="520" w:lineRule="exact"/>
        <w:ind w:firstLineChars="200" w:firstLine="480"/>
        <w:rPr>
          <w:sz w:val="24"/>
        </w:rPr>
      </w:pPr>
      <w:r>
        <w:rPr>
          <w:sz w:val="24"/>
        </w:rPr>
        <w:t>神垕钧窑遗址位于禹州市神垕镇下白峪村和刘家门村之间，由刘家门东、西窑址，河北地窑址，下白峪窑址组成。遗址面积</w:t>
      </w:r>
      <w:r>
        <w:rPr>
          <w:sz w:val="24"/>
        </w:rPr>
        <w:t>7</w:t>
      </w:r>
      <w:r>
        <w:rPr>
          <w:sz w:val="24"/>
        </w:rPr>
        <w:t>万多平方米，文化层厚达</w:t>
      </w:r>
      <w:r>
        <w:rPr>
          <w:sz w:val="24"/>
        </w:rPr>
        <w:t>4</w:t>
      </w:r>
      <w:r>
        <w:rPr>
          <w:sz w:val="24"/>
        </w:rPr>
        <w:t>米，文化遗存非常丰富。</w:t>
      </w:r>
    </w:p>
    <w:p w:rsidR="00240BCE" w:rsidRDefault="00AC0334">
      <w:pPr>
        <w:pStyle w:val="a1"/>
        <w:spacing w:after="0" w:line="520" w:lineRule="exact"/>
        <w:ind w:firstLineChars="200" w:firstLine="480"/>
        <w:rPr>
          <w:sz w:val="24"/>
        </w:rPr>
      </w:pPr>
      <w:r>
        <w:rPr>
          <w:sz w:val="24"/>
        </w:rPr>
        <w:t>保护范围：南至白峪河北岸，北至乡村小公路南侧，东至刘家门村东，西至白</w:t>
      </w:r>
      <w:r>
        <w:rPr>
          <w:sz w:val="24"/>
        </w:rPr>
        <w:lastRenderedPageBreak/>
        <w:t>峪河西岸。</w:t>
      </w:r>
    </w:p>
    <w:p w:rsidR="00240BCE" w:rsidRDefault="00AC0334">
      <w:pPr>
        <w:pStyle w:val="a1"/>
        <w:spacing w:after="0" w:line="520" w:lineRule="exact"/>
        <w:ind w:firstLineChars="200" w:firstLine="480"/>
        <w:rPr>
          <w:sz w:val="24"/>
        </w:rPr>
      </w:pPr>
      <w:r>
        <w:rPr>
          <w:sz w:val="24"/>
        </w:rPr>
        <w:t>建设控制地带</w:t>
      </w:r>
      <w:r>
        <w:rPr>
          <w:sz w:val="24"/>
        </w:rPr>
        <w:t>:</w:t>
      </w:r>
      <w:r>
        <w:rPr>
          <w:sz w:val="24"/>
        </w:rPr>
        <w:t>保护范围四周各向外延伸</w:t>
      </w:r>
      <w:r>
        <w:rPr>
          <w:sz w:val="24"/>
        </w:rPr>
        <w:t>100</w:t>
      </w:r>
      <w:r>
        <w:rPr>
          <w:sz w:val="24"/>
        </w:rPr>
        <w:t>米。</w:t>
      </w:r>
    </w:p>
    <w:p w:rsidR="00240BCE" w:rsidRDefault="00AC0334">
      <w:pPr>
        <w:pStyle w:val="a1"/>
        <w:spacing w:after="0" w:line="520" w:lineRule="exact"/>
        <w:ind w:firstLineChars="200" w:firstLine="480"/>
        <w:rPr>
          <w:sz w:val="24"/>
        </w:rPr>
      </w:pPr>
      <w:r>
        <w:rPr>
          <w:sz w:val="24"/>
        </w:rPr>
        <w:t>本项目矿区范围距离</w:t>
      </w:r>
      <w:r>
        <w:rPr>
          <w:bCs/>
          <w:sz w:val="24"/>
        </w:rPr>
        <w:t>神垕钧窑保护区约</w:t>
      </w:r>
      <w:r>
        <w:rPr>
          <w:bCs/>
          <w:sz w:val="24"/>
        </w:rPr>
        <w:t>7.8km</w:t>
      </w:r>
      <w:r>
        <w:rPr>
          <w:bCs/>
          <w:sz w:val="24"/>
        </w:rPr>
        <w:t>，不在其保护范围内。</w:t>
      </w:r>
    </w:p>
    <w:p w:rsidR="00240BCE" w:rsidRPr="00326173" w:rsidRDefault="00AC0334" w:rsidP="009C5F33">
      <w:pPr>
        <w:pStyle w:val="2"/>
        <w:adjustRightInd w:val="0"/>
        <w:snapToGrid w:val="0"/>
        <w:spacing w:beforeLines="100" w:afterLines="50" w:line="240" w:lineRule="auto"/>
        <w:jc w:val="left"/>
        <w:rPr>
          <w:rFonts w:ascii="Times New Roman" w:eastAsia="宋体" w:hAnsi="Times New Roman"/>
          <w:bCs/>
          <w:i/>
          <w:szCs w:val="32"/>
          <w:u w:val="single"/>
        </w:rPr>
      </w:pPr>
      <w:bookmarkStart w:id="906" w:name="_Toc79668760"/>
      <w:bookmarkStart w:id="907" w:name="_Toc81934417"/>
      <w:r w:rsidRPr="00326173">
        <w:rPr>
          <w:rFonts w:ascii="Times New Roman" w:eastAsia="宋体" w:hAnsi="Times New Roman"/>
          <w:bCs/>
          <w:i/>
          <w:szCs w:val="32"/>
          <w:u w:val="single"/>
        </w:rPr>
        <w:t xml:space="preserve">10.10 </w:t>
      </w:r>
      <w:r w:rsidRPr="00326173">
        <w:rPr>
          <w:rFonts w:ascii="Times New Roman" w:eastAsia="宋体" w:hAnsi="Times New Roman"/>
          <w:bCs/>
          <w:i/>
          <w:szCs w:val="32"/>
          <w:u w:val="single"/>
        </w:rPr>
        <w:t>与河南省</w:t>
      </w:r>
      <w:r w:rsidRPr="00326173">
        <w:rPr>
          <w:rFonts w:ascii="Times New Roman" w:eastAsia="宋体" w:hAnsi="Times New Roman"/>
          <w:bCs/>
          <w:i/>
          <w:szCs w:val="32"/>
          <w:u w:val="single"/>
        </w:rPr>
        <w:t>“</w:t>
      </w:r>
      <w:r w:rsidRPr="00326173">
        <w:rPr>
          <w:rFonts w:ascii="Times New Roman" w:eastAsia="宋体" w:hAnsi="Times New Roman"/>
          <w:bCs/>
          <w:i/>
          <w:szCs w:val="32"/>
          <w:u w:val="single"/>
        </w:rPr>
        <w:t>三线一单</w:t>
      </w:r>
      <w:r w:rsidRPr="00326173">
        <w:rPr>
          <w:rFonts w:ascii="Times New Roman" w:eastAsia="宋体" w:hAnsi="Times New Roman"/>
          <w:bCs/>
          <w:i/>
          <w:szCs w:val="32"/>
          <w:u w:val="single"/>
        </w:rPr>
        <w:t>”</w:t>
      </w:r>
      <w:r w:rsidRPr="00326173">
        <w:rPr>
          <w:rFonts w:ascii="Times New Roman" w:eastAsia="宋体" w:hAnsi="Times New Roman"/>
          <w:bCs/>
          <w:i/>
          <w:szCs w:val="32"/>
          <w:u w:val="single"/>
        </w:rPr>
        <w:t>相符性分析</w:t>
      </w:r>
      <w:bookmarkEnd w:id="906"/>
      <w:bookmarkEnd w:id="907"/>
    </w:p>
    <w:p w:rsidR="00794270" w:rsidRPr="00326173" w:rsidRDefault="00794270" w:rsidP="00326173">
      <w:pPr>
        <w:spacing w:line="520" w:lineRule="exact"/>
        <w:ind w:firstLineChars="200" w:firstLine="482"/>
        <w:rPr>
          <w:b/>
          <w:i/>
          <w:sz w:val="24"/>
          <w:u w:val="single"/>
        </w:rPr>
      </w:pPr>
      <w:bookmarkStart w:id="908" w:name="_Toc79668761"/>
      <w:r w:rsidRPr="00326173">
        <w:rPr>
          <w:rFonts w:hint="eastAsia"/>
          <w:b/>
          <w:i/>
          <w:sz w:val="24"/>
          <w:u w:val="single"/>
        </w:rPr>
        <w:t>根据河南省人民政府《关于实施“三线一单”生态环境分区管控的意见》（豫政</w:t>
      </w:r>
      <w:r w:rsidRPr="00326173">
        <w:rPr>
          <w:rFonts w:hint="eastAsia"/>
          <w:b/>
          <w:i/>
          <w:sz w:val="24"/>
          <w:u w:val="single"/>
        </w:rPr>
        <w:t xml:space="preserve">[2020]37 </w:t>
      </w:r>
      <w:r w:rsidRPr="00326173">
        <w:rPr>
          <w:rFonts w:hint="eastAsia"/>
          <w:b/>
          <w:i/>
          <w:sz w:val="24"/>
          <w:u w:val="single"/>
        </w:rPr>
        <w:t>号）</w:t>
      </w:r>
      <w:r w:rsidR="00CA409C" w:rsidRPr="00326173">
        <w:rPr>
          <w:rFonts w:hint="eastAsia"/>
          <w:b/>
          <w:i/>
          <w:sz w:val="24"/>
          <w:u w:val="single"/>
        </w:rPr>
        <w:t>，本项目与</w:t>
      </w:r>
      <w:r w:rsidR="006407AE">
        <w:rPr>
          <w:rFonts w:hint="eastAsia"/>
          <w:b/>
          <w:i/>
          <w:sz w:val="24"/>
          <w:u w:val="single"/>
        </w:rPr>
        <w:t>河南省</w:t>
      </w:r>
      <w:r w:rsidR="00CA409C" w:rsidRPr="00326173">
        <w:rPr>
          <w:rFonts w:hint="eastAsia"/>
          <w:b/>
          <w:i/>
          <w:sz w:val="24"/>
          <w:u w:val="single"/>
        </w:rPr>
        <w:t>“三线一单”</w:t>
      </w:r>
      <w:r w:rsidRPr="00326173">
        <w:rPr>
          <w:rFonts w:hint="eastAsia"/>
          <w:b/>
          <w:i/>
          <w:sz w:val="24"/>
          <w:u w:val="single"/>
        </w:rPr>
        <w:t>相符性分析如下：</w:t>
      </w:r>
    </w:p>
    <w:p w:rsidR="00240BCE" w:rsidRPr="00326173" w:rsidRDefault="00AC0334" w:rsidP="009C5F33">
      <w:pPr>
        <w:pStyle w:val="30"/>
        <w:adjustRightInd w:val="0"/>
        <w:snapToGrid w:val="0"/>
        <w:spacing w:beforeLines="70" w:afterLines="30" w:line="240" w:lineRule="auto"/>
        <w:jc w:val="left"/>
        <w:rPr>
          <w:rFonts w:eastAsia="楷体"/>
          <w:i/>
          <w:color w:val="000000"/>
          <w:sz w:val="28"/>
          <w:szCs w:val="28"/>
          <w:u w:val="single"/>
        </w:rPr>
      </w:pPr>
      <w:r w:rsidRPr="00326173">
        <w:rPr>
          <w:rFonts w:eastAsia="楷体"/>
          <w:i/>
          <w:color w:val="000000"/>
          <w:sz w:val="28"/>
          <w:szCs w:val="28"/>
          <w:u w:val="single"/>
        </w:rPr>
        <w:t xml:space="preserve">10.10.1 </w:t>
      </w:r>
      <w:r w:rsidRPr="00326173">
        <w:rPr>
          <w:rFonts w:eastAsia="楷体"/>
          <w:i/>
          <w:color w:val="000000"/>
          <w:sz w:val="28"/>
          <w:szCs w:val="28"/>
          <w:u w:val="single"/>
        </w:rPr>
        <w:t>与</w:t>
      </w:r>
      <w:r w:rsidR="00326173">
        <w:rPr>
          <w:rFonts w:eastAsia="楷体" w:hint="eastAsia"/>
          <w:i/>
          <w:color w:val="000000"/>
          <w:sz w:val="28"/>
          <w:szCs w:val="28"/>
          <w:u w:val="single"/>
        </w:rPr>
        <w:t>河南省</w:t>
      </w:r>
      <w:r w:rsidRPr="00326173">
        <w:rPr>
          <w:rFonts w:eastAsia="楷体"/>
          <w:i/>
          <w:color w:val="000000"/>
          <w:sz w:val="28"/>
          <w:szCs w:val="28"/>
          <w:u w:val="single"/>
        </w:rPr>
        <w:t>生态红线的相符性</w:t>
      </w:r>
      <w:bookmarkEnd w:id="908"/>
    </w:p>
    <w:p w:rsidR="00240BCE" w:rsidRPr="00326173" w:rsidRDefault="00AC0334" w:rsidP="00326173">
      <w:pPr>
        <w:snapToGrid w:val="0"/>
        <w:spacing w:line="520" w:lineRule="exact"/>
        <w:ind w:firstLineChars="200" w:firstLine="482"/>
        <w:rPr>
          <w:b/>
          <w:i/>
          <w:sz w:val="24"/>
          <w:u w:val="single"/>
        </w:rPr>
      </w:pPr>
      <w:r w:rsidRPr="00326173">
        <w:rPr>
          <w:b/>
          <w:i/>
          <w:sz w:val="24"/>
          <w:u w:val="single"/>
        </w:rPr>
        <w:t>2016</w:t>
      </w:r>
      <w:r w:rsidRPr="00326173">
        <w:rPr>
          <w:b/>
          <w:i/>
          <w:sz w:val="24"/>
          <w:u w:val="single"/>
        </w:rPr>
        <w:t>年</w:t>
      </w:r>
      <w:r w:rsidRPr="00326173">
        <w:rPr>
          <w:b/>
          <w:i/>
          <w:sz w:val="24"/>
          <w:u w:val="single"/>
        </w:rPr>
        <w:t>6</w:t>
      </w:r>
      <w:r w:rsidRPr="00326173">
        <w:rPr>
          <w:b/>
          <w:i/>
          <w:sz w:val="24"/>
          <w:u w:val="single"/>
        </w:rPr>
        <w:t>月，河南省环保厅公示了《河南省生态保护红线划定方案》（征求意见稿），该方案按照国家要求，根据生态系统服务功能，结合省</w:t>
      </w:r>
      <w:r w:rsidRPr="00326173">
        <w:rPr>
          <w:b/>
          <w:i/>
          <w:sz w:val="24"/>
          <w:u w:val="single"/>
        </w:rPr>
        <w:t>“</w:t>
      </w:r>
      <w:r w:rsidRPr="00326173">
        <w:rPr>
          <w:b/>
          <w:i/>
          <w:sz w:val="24"/>
          <w:u w:val="single"/>
        </w:rPr>
        <w:t>四区三带</w:t>
      </w:r>
      <w:r w:rsidRPr="00326173">
        <w:rPr>
          <w:b/>
          <w:i/>
          <w:sz w:val="24"/>
          <w:u w:val="single"/>
        </w:rPr>
        <w:t>”</w:t>
      </w:r>
      <w:r w:rsidRPr="00326173">
        <w:rPr>
          <w:b/>
          <w:i/>
          <w:sz w:val="24"/>
          <w:u w:val="single"/>
        </w:rPr>
        <w:t>的区域生态安全格局，共划分</w:t>
      </w:r>
      <w:r w:rsidRPr="00326173">
        <w:rPr>
          <w:b/>
          <w:i/>
          <w:sz w:val="24"/>
          <w:u w:val="single"/>
        </w:rPr>
        <w:t>63</w:t>
      </w:r>
      <w:r w:rsidRPr="00326173">
        <w:rPr>
          <w:b/>
          <w:i/>
          <w:sz w:val="24"/>
          <w:u w:val="single"/>
        </w:rPr>
        <w:t>个生态保护红线区，分为</w:t>
      </w:r>
      <w:r w:rsidRPr="00326173">
        <w:rPr>
          <w:b/>
          <w:i/>
          <w:sz w:val="24"/>
          <w:u w:val="single"/>
        </w:rPr>
        <w:t>3</w:t>
      </w:r>
      <w:r w:rsidRPr="00326173">
        <w:rPr>
          <w:b/>
          <w:i/>
          <w:sz w:val="24"/>
          <w:u w:val="single"/>
        </w:rPr>
        <w:t>个类型、</w:t>
      </w:r>
      <w:r w:rsidRPr="00326173">
        <w:rPr>
          <w:b/>
          <w:i/>
          <w:sz w:val="24"/>
          <w:u w:val="single"/>
        </w:rPr>
        <w:t xml:space="preserve">7 </w:t>
      </w:r>
      <w:r w:rsidRPr="00326173">
        <w:rPr>
          <w:b/>
          <w:i/>
          <w:sz w:val="24"/>
          <w:u w:val="single"/>
        </w:rPr>
        <w:t>个区域、两类管控区。全省共划定生态保护红线区面积</w:t>
      </w:r>
      <w:r w:rsidRPr="00326173">
        <w:rPr>
          <w:b/>
          <w:i/>
          <w:sz w:val="24"/>
          <w:u w:val="single"/>
        </w:rPr>
        <w:t>33094.16km</w:t>
      </w:r>
      <w:r w:rsidRPr="00326173">
        <w:rPr>
          <w:b/>
          <w:i/>
          <w:sz w:val="24"/>
          <w:u w:val="single"/>
          <w:vertAlign w:val="superscript"/>
        </w:rPr>
        <w:t>2</w:t>
      </w:r>
      <w:r w:rsidRPr="00326173">
        <w:rPr>
          <w:b/>
          <w:i/>
          <w:sz w:val="24"/>
          <w:u w:val="single"/>
        </w:rPr>
        <w:t>，占河南省国土面积的</w:t>
      </w:r>
      <w:r w:rsidRPr="00326173">
        <w:rPr>
          <w:b/>
          <w:i/>
          <w:sz w:val="24"/>
          <w:u w:val="single"/>
        </w:rPr>
        <w:t>19.98%</w:t>
      </w:r>
      <w:r w:rsidRPr="00326173">
        <w:rPr>
          <w:b/>
          <w:i/>
          <w:sz w:val="24"/>
          <w:u w:val="single"/>
        </w:rPr>
        <w:t>，主要分布于北部的太行山区，西部的伏牛山、熊耳山和外方山区，南部的桐柏山和大别山区，丹江口水库等大型水库，南水北调中线干渠、黄河干流和淮河干流沿线。划分结果涵盖全部省级以上自然保护区、地质公园、水产种质资源保护区，部分省级以上风景名胜区、森林公园、湿地公园，部分国家级重要农业野生植物种质资源保护区（点），南水北调中线干渠水源保护区和重要饮用水水源保护区。</w:t>
      </w:r>
      <w:r w:rsidRPr="00326173">
        <w:rPr>
          <w:b/>
          <w:i/>
          <w:sz w:val="24"/>
          <w:u w:val="single"/>
        </w:rPr>
        <w:t>2018</w:t>
      </w:r>
      <w:r w:rsidRPr="00326173">
        <w:rPr>
          <w:b/>
          <w:i/>
          <w:sz w:val="24"/>
          <w:u w:val="single"/>
        </w:rPr>
        <w:t>年</w:t>
      </w:r>
      <w:r w:rsidRPr="00326173">
        <w:rPr>
          <w:b/>
          <w:i/>
          <w:sz w:val="24"/>
          <w:u w:val="single"/>
        </w:rPr>
        <w:t>10</w:t>
      </w:r>
      <w:r w:rsidRPr="00326173">
        <w:rPr>
          <w:b/>
          <w:i/>
          <w:sz w:val="24"/>
          <w:u w:val="single"/>
        </w:rPr>
        <w:t>月</w:t>
      </w:r>
      <w:r w:rsidRPr="00326173">
        <w:rPr>
          <w:b/>
          <w:i/>
          <w:sz w:val="24"/>
          <w:u w:val="single"/>
        </w:rPr>
        <w:t xml:space="preserve">17 </w:t>
      </w:r>
      <w:r w:rsidRPr="00326173">
        <w:rPr>
          <w:b/>
          <w:i/>
          <w:sz w:val="24"/>
          <w:u w:val="single"/>
        </w:rPr>
        <w:t>日，生态环境部、自然资源部会同有关部门，组织红线划定专家委员会专家，对河南省生态保护红线划定方案进行了审核，划定方案顺利通过。根据国家要求，生态保护红线划定方案将在进一步修订完善后，报国务院批准，之后由河南省政府发布实施。《河南省生态保护红线划定方案》调整后，河南省生态保护红线面积</w:t>
      </w:r>
      <w:r w:rsidRPr="00326173">
        <w:rPr>
          <w:b/>
          <w:i/>
          <w:sz w:val="24"/>
          <w:u w:val="single"/>
        </w:rPr>
        <w:t>16835.70</w:t>
      </w:r>
      <w:r w:rsidRPr="00326173">
        <w:rPr>
          <w:b/>
          <w:i/>
          <w:sz w:val="24"/>
          <w:u w:val="single"/>
        </w:rPr>
        <w:t>平方公里，占全省国土面积的</w:t>
      </w:r>
      <w:r w:rsidRPr="00326173">
        <w:rPr>
          <w:b/>
          <w:i/>
          <w:sz w:val="24"/>
          <w:u w:val="single"/>
        </w:rPr>
        <w:t>10.08%</w:t>
      </w:r>
      <w:r w:rsidRPr="00326173">
        <w:rPr>
          <w:b/>
          <w:i/>
          <w:sz w:val="24"/>
          <w:u w:val="single"/>
        </w:rPr>
        <w:t>，主要分布于北部的太行山区，西部的小秦岭、崤山、熊耳山、伏牛山和外方山区，南部的桐柏山和大别山区，零星分布于南水北调中线干渠沿线、黄河干流沿线、淮河干流沿线、豫北平原和黄淮平原，总体分布格局为</w:t>
      </w:r>
      <w:r w:rsidRPr="00326173">
        <w:rPr>
          <w:b/>
          <w:i/>
          <w:sz w:val="24"/>
          <w:u w:val="single"/>
        </w:rPr>
        <w:t>“</w:t>
      </w:r>
      <w:r w:rsidRPr="00326173">
        <w:rPr>
          <w:b/>
          <w:i/>
          <w:sz w:val="24"/>
          <w:u w:val="single"/>
        </w:rPr>
        <w:t>三屏多点</w:t>
      </w:r>
      <w:r w:rsidRPr="00326173">
        <w:rPr>
          <w:b/>
          <w:i/>
          <w:sz w:val="24"/>
          <w:u w:val="single"/>
        </w:rPr>
        <w:t>”</w:t>
      </w:r>
      <w:r w:rsidRPr="00326173">
        <w:rPr>
          <w:b/>
          <w:i/>
          <w:sz w:val="24"/>
          <w:u w:val="single"/>
        </w:rPr>
        <w:t>。</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lastRenderedPageBreak/>
        <w:t>目前河南省生态红线正式稿尚未颁布。根据已公示版本，</w:t>
      </w:r>
      <w:r w:rsidR="00794270" w:rsidRPr="00326173">
        <w:rPr>
          <w:rFonts w:hint="eastAsia"/>
          <w:b/>
          <w:i/>
          <w:sz w:val="24"/>
          <w:u w:val="single"/>
        </w:rPr>
        <w:t>本项目在现有矿区范围内进行扩建，不在生态红线保护区内，符合《河南省生态保护红线划定方案》相关要求。</w:t>
      </w:r>
    </w:p>
    <w:p w:rsidR="00240BCE" w:rsidRPr="00326173" w:rsidRDefault="00AC0334" w:rsidP="009C5F33">
      <w:pPr>
        <w:pStyle w:val="30"/>
        <w:adjustRightInd w:val="0"/>
        <w:snapToGrid w:val="0"/>
        <w:spacing w:beforeLines="70" w:afterLines="30" w:line="240" w:lineRule="auto"/>
        <w:jc w:val="left"/>
        <w:rPr>
          <w:rFonts w:eastAsia="楷体"/>
          <w:i/>
          <w:color w:val="000000"/>
          <w:sz w:val="28"/>
          <w:szCs w:val="28"/>
          <w:u w:val="single"/>
        </w:rPr>
      </w:pPr>
      <w:bookmarkStart w:id="909" w:name="_Toc79668762"/>
      <w:r w:rsidRPr="00326173">
        <w:rPr>
          <w:rFonts w:eastAsia="楷体"/>
          <w:i/>
          <w:color w:val="000000"/>
          <w:sz w:val="28"/>
          <w:szCs w:val="28"/>
          <w:u w:val="single"/>
        </w:rPr>
        <w:t xml:space="preserve">10.10.2 </w:t>
      </w:r>
      <w:r w:rsidRPr="00326173">
        <w:rPr>
          <w:rFonts w:eastAsia="楷体"/>
          <w:i/>
          <w:color w:val="000000"/>
          <w:sz w:val="28"/>
          <w:szCs w:val="28"/>
          <w:u w:val="single"/>
        </w:rPr>
        <w:t>环境质量底线相符性</w:t>
      </w:r>
      <w:bookmarkEnd w:id="909"/>
    </w:p>
    <w:p w:rsidR="00240BCE" w:rsidRPr="00326173" w:rsidRDefault="00AC0334" w:rsidP="00326173">
      <w:pPr>
        <w:snapToGrid w:val="0"/>
        <w:spacing w:line="520" w:lineRule="exact"/>
        <w:ind w:firstLineChars="200" w:firstLine="482"/>
        <w:rPr>
          <w:b/>
          <w:i/>
          <w:sz w:val="24"/>
          <w:u w:val="single"/>
        </w:rPr>
      </w:pPr>
      <w:r w:rsidRPr="00326173">
        <w:rPr>
          <w:b/>
          <w:i/>
          <w:sz w:val="24"/>
          <w:u w:val="single"/>
        </w:rPr>
        <w:t>（</w:t>
      </w:r>
      <w:r w:rsidRPr="00326173">
        <w:rPr>
          <w:b/>
          <w:i/>
          <w:sz w:val="24"/>
          <w:u w:val="single"/>
        </w:rPr>
        <w:t>1</w:t>
      </w:r>
      <w:r w:rsidRPr="00326173">
        <w:rPr>
          <w:b/>
          <w:i/>
          <w:sz w:val="24"/>
          <w:u w:val="single"/>
        </w:rPr>
        <w:t>）水环境质量底线</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t>根据《</w:t>
      </w:r>
      <w:r w:rsidRPr="00326173">
        <w:rPr>
          <w:b/>
          <w:i/>
          <w:sz w:val="24"/>
          <w:u w:val="single"/>
        </w:rPr>
        <w:t>20</w:t>
      </w:r>
      <w:r w:rsidRPr="00326173">
        <w:rPr>
          <w:rFonts w:hint="eastAsia"/>
          <w:b/>
          <w:i/>
          <w:sz w:val="24"/>
          <w:u w:val="single"/>
        </w:rPr>
        <w:t>20</w:t>
      </w:r>
      <w:r w:rsidRPr="00326173">
        <w:rPr>
          <w:b/>
          <w:i/>
          <w:sz w:val="24"/>
          <w:u w:val="single"/>
        </w:rPr>
        <w:t>年许昌市生态环境状况公报》，</w:t>
      </w:r>
      <w:r w:rsidRPr="00326173">
        <w:rPr>
          <w:b/>
          <w:i/>
          <w:sz w:val="24"/>
          <w:u w:val="single"/>
        </w:rPr>
        <w:t xml:space="preserve"> 2020</w:t>
      </w:r>
      <w:r w:rsidRPr="00326173">
        <w:rPr>
          <w:b/>
          <w:i/>
          <w:sz w:val="24"/>
          <w:u w:val="single"/>
        </w:rPr>
        <w:t>年许昌市地表水环境质量监测共涉及到</w:t>
      </w:r>
      <w:r w:rsidRPr="00326173">
        <w:rPr>
          <w:b/>
          <w:i/>
          <w:sz w:val="24"/>
          <w:u w:val="single"/>
        </w:rPr>
        <w:t>12</w:t>
      </w:r>
      <w:r w:rsidRPr="00326173">
        <w:rPr>
          <w:b/>
          <w:i/>
          <w:sz w:val="24"/>
          <w:u w:val="single"/>
        </w:rPr>
        <w:t>条河流、</w:t>
      </w:r>
      <w:r w:rsidRPr="00326173">
        <w:rPr>
          <w:b/>
          <w:i/>
          <w:sz w:val="24"/>
          <w:u w:val="single"/>
        </w:rPr>
        <w:t>23</w:t>
      </w:r>
      <w:r w:rsidRPr="00326173">
        <w:rPr>
          <w:b/>
          <w:i/>
          <w:sz w:val="24"/>
          <w:u w:val="single"/>
        </w:rPr>
        <w:t>个监测断面，达到</w:t>
      </w:r>
      <w:r w:rsidRPr="00326173">
        <w:rPr>
          <w:b/>
          <w:i/>
          <w:sz w:val="24"/>
          <w:u w:val="single"/>
        </w:rPr>
        <w:t>Ⅰ</w:t>
      </w:r>
      <w:r w:rsidRPr="00326173">
        <w:rPr>
          <w:b/>
          <w:i/>
          <w:sz w:val="24"/>
          <w:u w:val="single"/>
        </w:rPr>
        <w:t>～</w:t>
      </w:r>
      <w:r w:rsidRPr="00326173">
        <w:rPr>
          <w:b/>
          <w:i/>
          <w:sz w:val="24"/>
          <w:u w:val="single"/>
        </w:rPr>
        <w:t>Ⅱ</w:t>
      </w:r>
      <w:r w:rsidRPr="00326173">
        <w:rPr>
          <w:b/>
          <w:i/>
          <w:sz w:val="24"/>
          <w:u w:val="single"/>
        </w:rPr>
        <w:t>类水质的断面有</w:t>
      </w:r>
      <w:r w:rsidRPr="00326173">
        <w:rPr>
          <w:b/>
          <w:i/>
          <w:sz w:val="24"/>
          <w:u w:val="single"/>
        </w:rPr>
        <w:t>3</w:t>
      </w:r>
      <w:r w:rsidRPr="00326173">
        <w:rPr>
          <w:b/>
          <w:i/>
          <w:sz w:val="24"/>
          <w:u w:val="single"/>
        </w:rPr>
        <w:t>个，达到</w:t>
      </w:r>
      <w:r w:rsidRPr="00326173">
        <w:rPr>
          <w:b/>
          <w:i/>
          <w:sz w:val="24"/>
          <w:u w:val="single"/>
        </w:rPr>
        <w:t>Ⅲ</w:t>
      </w:r>
      <w:r w:rsidRPr="00326173">
        <w:rPr>
          <w:b/>
          <w:i/>
          <w:sz w:val="24"/>
          <w:u w:val="single"/>
        </w:rPr>
        <w:t>类水质的断面有</w:t>
      </w:r>
      <w:r w:rsidRPr="00326173">
        <w:rPr>
          <w:b/>
          <w:i/>
          <w:sz w:val="24"/>
          <w:u w:val="single"/>
        </w:rPr>
        <w:t>18</w:t>
      </w:r>
      <w:r w:rsidRPr="00326173">
        <w:rPr>
          <w:b/>
          <w:i/>
          <w:sz w:val="24"/>
          <w:u w:val="single"/>
        </w:rPr>
        <w:t>个，达到</w:t>
      </w:r>
      <w:r w:rsidRPr="00326173">
        <w:rPr>
          <w:b/>
          <w:i/>
          <w:sz w:val="24"/>
          <w:u w:val="single"/>
        </w:rPr>
        <w:t>Ⅳ</w:t>
      </w:r>
      <w:r w:rsidRPr="00326173">
        <w:rPr>
          <w:b/>
          <w:i/>
          <w:sz w:val="24"/>
          <w:u w:val="single"/>
        </w:rPr>
        <w:t>类水质的断面有</w:t>
      </w:r>
      <w:r w:rsidRPr="00326173">
        <w:rPr>
          <w:b/>
          <w:i/>
          <w:sz w:val="24"/>
          <w:u w:val="single"/>
        </w:rPr>
        <w:t>2</w:t>
      </w:r>
      <w:r w:rsidRPr="00326173">
        <w:rPr>
          <w:b/>
          <w:i/>
          <w:sz w:val="24"/>
          <w:u w:val="single"/>
        </w:rPr>
        <w:t>个，无</w:t>
      </w:r>
      <w:r w:rsidRPr="00326173">
        <w:rPr>
          <w:b/>
          <w:i/>
          <w:sz w:val="24"/>
          <w:u w:val="single"/>
        </w:rPr>
        <w:t>Ⅴ</w:t>
      </w:r>
      <w:r w:rsidRPr="00326173">
        <w:rPr>
          <w:b/>
          <w:i/>
          <w:sz w:val="24"/>
          <w:u w:val="single"/>
        </w:rPr>
        <w:t>类及以下断面。清潩河临颍高村桥、颍河吴刘闸和北汝河大陈闸三个国控断面水质平均浓度值均达到</w:t>
      </w:r>
      <w:r w:rsidRPr="00326173">
        <w:rPr>
          <w:b/>
          <w:i/>
          <w:sz w:val="24"/>
          <w:u w:val="single"/>
        </w:rPr>
        <w:t>Ⅲ</w:t>
      </w:r>
      <w:r w:rsidRPr="00326173">
        <w:rPr>
          <w:b/>
          <w:i/>
          <w:sz w:val="24"/>
          <w:u w:val="single"/>
        </w:rPr>
        <w:t>类目标，达到考核目标要求。</w:t>
      </w:r>
    </w:p>
    <w:p w:rsidR="00240BCE" w:rsidRPr="00326173" w:rsidRDefault="00CA409C" w:rsidP="00326173">
      <w:pPr>
        <w:spacing w:line="520" w:lineRule="exact"/>
        <w:ind w:firstLineChars="200" w:firstLine="482"/>
        <w:rPr>
          <w:b/>
          <w:i/>
          <w:sz w:val="24"/>
          <w:u w:val="single"/>
        </w:rPr>
      </w:pPr>
      <w:r w:rsidRPr="00326173">
        <w:rPr>
          <w:rFonts w:hint="eastAsia"/>
          <w:b/>
          <w:i/>
          <w:sz w:val="24"/>
          <w:u w:val="single"/>
        </w:rPr>
        <w:t>项目生活污水通过生活污水处理站处理后满足《生活污水综合排放标准》（</w:t>
      </w:r>
      <w:r w:rsidRPr="00326173">
        <w:rPr>
          <w:rFonts w:hint="eastAsia"/>
          <w:b/>
          <w:i/>
          <w:sz w:val="24"/>
          <w:u w:val="single"/>
        </w:rPr>
        <w:t>GB</w:t>
      </w:r>
      <w:r w:rsidRPr="00326173">
        <w:rPr>
          <w:b/>
          <w:bCs/>
          <w:i/>
          <w:iCs/>
          <w:u w:val="single"/>
        </w:rPr>
        <w:t>8978-1996</w:t>
      </w:r>
      <w:r w:rsidRPr="00326173">
        <w:rPr>
          <w:rFonts w:hint="eastAsia"/>
          <w:b/>
          <w:i/>
          <w:sz w:val="24"/>
          <w:u w:val="single"/>
        </w:rPr>
        <w:t>）一级标准及《城市污水再生利用城市杂用水水质》（</w:t>
      </w:r>
      <w:r w:rsidRPr="00326173">
        <w:rPr>
          <w:rFonts w:hint="eastAsia"/>
          <w:b/>
          <w:i/>
          <w:sz w:val="24"/>
          <w:u w:val="single"/>
        </w:rPr>
        <w:t>GB/T18920-2020</w:t>
      </w:r>
      <w:r w:rsidRPr="00326173">
        <w:rPr>
          <w:rFonts w:hint="eastAsia"/>
          <w:b/>
          <w:i/>
          <w:sz w:val="24"/>
          <w:u w:val="single"/>
        </w:rPr>
        <w:t>）标准要求后进行综合利用，不外排；项目矿井水经矿井水处理站处理后优先回用于生产生活用水，不能充分利用部分满足《煤炭工业污染物排放标准》（</w:t>
      </w:r>
      <w:r w:rsidRPr="00326173">
        <w:rPr>
          <w:b/>
          <w:i/>
          <w:sz w:val="24"/>
          <w:u w:val="single"/>
        </w:rPr>
        <w:t>GB20426-2006</w:t>
      </w:r>
      <w:r w:rsidRPr="00326173">
        <w:rPr>
          <w:rFonts w:hint="eastAsia"/>
          <w:b/>
          <w:i/>
          <w:sz w:val="24"/>
          <w:u w:val="single"/>
        </w:rPr>
        <w:t>）表</w:t>
      </w:r>
      <w:r w:rsidRPr="00326173">
        <w:rPr>
          <w:b/>
          <w:i/>
          <w:sz w:val="24"/>
          <w:u w:val="single"/>
        </w:rPr>
        <w:t>1</w:t>
      </w:r>
      <w:r w:rsidRPr="00326173">
        <w:rPr>
          <w:rFonts w:hint="eastAsia"/>
          <w:b/>
          <w:i/>
          <w:sz w:val="24"/>
          <w:u w:val="single"/>
        </w:rPr>
        <w:t>，表</w:t>
      </w:r>
      <w:r w:rsidRPr="00326173">
        <w:rPr>
          <w:b/>
          <w:i/>
          <w:sz w:val="24"/>
          <w:u w:val="single"/>
        </w:rPr>
        <w:t>2</w:t>
      </w:r>
      <w:r w:rsidRPr="00326173">
        <w:rPr>
          <w:rFonts w:hint="eastAsia"/>
          <w:b/>
          <w:i/>
          <w:sz w:val="24"/>
          <w:u w:val="single"/>
        </w:rPr>
        <w:t>采煤废水排放限值以及《地表水环境质量标准》（</w:t>
      </w:r>
      <w:r w:rsidRPr="00326173">
        <w:rPr>
          <w:b/>
          <w:i/>
          <w:sz w:val="24"/>
          <w:u w:val="single"/>
        </w:rPr>
        <w:t>GB3838-2002</w:t>
      </w:r>
      <w:r w:rsidRPr="00326173">
        <w:rPr>
          <w:rFonts w:hint="eastAsia"/>
          <w:b/>
          <w:i/>
          <w:sz w:val="24"/>
          <w:u w:val="single"/>
        </w:rPr>
        <w:t>）Ⅲ类水质要求外排</w:t>
      </w:r>
      <w:r w:rsidR="00AC0334" w:rsidRPr="00326173">
        <w:rPr>
          <w:b/>
          <w:i/>
          <w:sz w:val="24"/>
          <w:u w:val="single"/>
        </w:rPr>
        <w:t>至赵沟河、纸坊水库（</w:t>
      </w:r>
      <w:r w:rsidRPr="00326173">
        <w:rPr>
          <w:rFonts w:hint="eastAsia"/>
          <w:b/>
          <w:i/>
          <w:sz w:val="24"/>
          <w:u w:val="single"/>
        </w:rPr>
        <w:t>现状无水，</w:t>
      </w:r>
      <w:r w:rsidR="00AC0334" w:rsidRPr="00326173">
        <w:rPr>
          <w:b/>
          <w:i/>
          <w:sz w:val="24"/>
          <w:u w:val="single"/>
        </w:rPr>
        <w:t>总库容</w:t>
      </w:r>
      <w:r w:rsidR="00AC0334" w:rsidRPr="00326173">
        <w:rPr>
          <w:b/>
          <w:i/>
          <w:sz w:val="24"/>
          <w:u w:val="single"/>
        </w:rPr>
        <w:t>4425.5</w:t>
      </w:r>
      <w:r w:rsidR="00AC0334" w:rsidRPr="00326173">
        <w:rPr>
          <w:b/>
          <w:i/>
          <w:sz w:val="24"/>
          <w:u w:val="single"/>
        </w:rPr>
        <w:t>万</w:t>
      </w:r>
      <w:r w:rsidR="00AC0334" w:rsidRPr="00326173">
        <w:rPr>
          <w:b/>
          <w:i/>
          <w:sz w:val="24"/>
          <w:u w:val="single"/>
        </w:rPr>
        <w:t>m</w:t>
      </w:r>
      <w:r w:rsidR="00AC0334" w:rsidRPr="00326173">
        <w:rPr>
          <w:b/>
          <w:i/>
          <w:sz w:val="24"/>
          <w:u w:val="single"/>
          <w:vertAlign w:val="superscript"/>
        </w:rPr>
        <w:t>3</w:t>
      </w:r>
      <w:r w:rsidR="00AC0334" w:rsidRPr="00326173">
        <w:rPr>
          <w:b/>
          <w:i/>
          <w:sz w:val="24"/>
          <w:u w:val="single"/>
        </w:rPr>
        <w:t>，是一座以防洪、灌溉为主的中型水库，配套有灌溉渠及灌溉设施）后用于周边农田灌溉</w:t>
      </w:r>
      <w:r w:rsidRPr="00326173">
        <w:rPr>
          <w:rFonts w:hint="eastAsia"/>
          <w:b/>
          <w:i/>
          <w:sz w:val="24"/>
          <w:u w:val="single"/>
        </w:rPr>
        <w:t>或生态补水，</w:t>
      </w:r>
      <w:r w:rsidR="00AC0334" w:rsidRPr="00326173">
        <w:rPr>
          <w:b/>
          <w:i/>
          <w:sz w:val="24"/>
          <w:u w:val="single"/>
        </w:rPr>
        <w:t>不会对地表水体功能造成影响。</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t>（</w:t>
      </w:r>
      <w:r w:rsidRPr="00326173">
        <w:rPr>
          <w:b/>
          <w:i/>
          <w:sz w:val="24"/>
          <w:u w:val="single"/>
        </w:rPr>
        <w:t>2</w:t>
      </w:r>
      <w:r w:rsidRPr="00326173">
        <w:rPr>
          <w:b/>
          <w:i/>
          <w:sz w:val="24"/>
          <w:u w:val="single"/>
        </w:rPr>
        <w:t>）环境空气质量底线</w:t>
      </w:r>
    </w:p>
    <w:p w:rsidR="00240BCE" w:rsidRPr="00326173" w:rsidRDefault="00AC0334" w:rsidP="00326173">
      <w:pPr>
        <w:pStyle w:val="01"/>
        <w:snapToGrid w:val="0"/>
        <w:spacing w:line="520" w:lineRule="exact"/>
        <w:ind w:firstLine="482"/>
        <w:rPr>
          <w:rFonts w:ascii="Times New Roman" w:hAnsi="Times New Roman"/>
          <w:b/>
          <w:i/>
          <w:u w:val="single"/>
        </w:rPr>
      </w:pPr>
      <w:r w:rsidRPr="00326173">
        <w:rPr>
          <w:rFonts w:ascii="Times New Roman" w:hAnsi="Times New Roman"/>
          <w:b/>
          <w:i/>
          <w:u w:val="single"/>
        </w:rPr>
        <w:t>根据</w:t>
      </w:r>
      <w:r w:rsidRPr="00326173">
        <w:rPr>
          <w:rFonts w:ascii="Times New Roman" w:hAnsi="Times New Roman" w:hint="eastAsia"/>
          <w:b/>
          <w:i/>
          <w:u w:val="single"/>
          <w:lang w:val="en-US"/>
        </w:rPr>
        <w:t>2020</w:t>
      </w:r>
      <w:r w:rsidRPr="00326173">
        <w:rPr>
          <w:rFonts w:ascii="Times New Roman" w:hAnsi="Times New Roman" w:hint="eastAsia"/>
          <w:b/>
          <w:i/>
          <w:u w:val="single"/>
          <w:lang w:val="en-US"/>
        </w:rPr>
        <w:t>年</w:t>
      </w:r>
      <w:r w:rsidRPr="00326173">
        <w:rPr>
          <w:rFonts w:ascii="Times New Roman" w:hAnsi="Times New Roman"/>
          <w:b/>
          <w:i/>
          <w:u w:val="single"/>
        </w:rPr>
        <w:t>区域环境空气统计数据显示，区域环境空气质量为不达标区，超标因子主要为</w:t>
      </w:r>
      <w:r w:rsidRPr="00326173">
        <w:rPr>
          <w:rFonts w:ascii="Times New Roman" w:hAnsi="Times New Roman"/>
          <w:b/>
          <w:i/>
          <w:u w:val="single"/>
        </w:rPr>
        <w:t>PM</w:t>
      </w:r>
      <w:r w:rsidRPr="00326173">
        <w:rPr>
          <w:rFonts w:ascii="Times New Roman" w:hAnsi="Times New Roman"/>
          <w:b/>
          <w:i/>
          <w:u w:val="single"/>
          <w:vertAlign w:val="subscript"/>
        </w:rPr>
        <w:t>10</w:t>
      </w:r>
      <w:r w:rsidRPr="00326173">
        <w:rPr>
          <w:rFonts w:ascii="Times New Roman" w:hAnsi="Times New Roman"/>
          <w:b/>
          <w:i/>
          <w:u w:val="single"/>
        </w:rPr>
        <w:t>、</w:t>
      </w:r>
      <w:r w:rsidRPr="00326173">
        <w:rPr>
          <w:rFonts w:ascii="Times New Roman" w:hAnsi="Times New Roman"/>
          <w:b/>
          <w:i/>
          <w:u w:val="single"/>
        </w:rPr>
        <w:t>PM</w:t>
      </w:r>
      <w:r w:rsidRPr="00326173">
        <w:rPr>
          <w:rFonts w:ascii="Times New Roman" w:hAnsi="Times New Roman"/>
          <w:b/>
          <w:i/>
          <w:u w:val="single"/>
          <w:vertAlign w:val="subscript"/>
        </w:rPr>
        <w:t>2.5</w:t>
      </w:r>
      <w:r w:rsidRPr="00326173">
        <w:rPr>
          <w:rFonts w:ascii="Times New Roman" w:hAnsi="Times New Roman"/>
          <w:b/>
          <w:i/>
          <w:u w:val="single"/>
        </w:rPr>
        <w:t>，为进一步促进空气质量改善，保证空气质量达标，</w:t>
      </w:r>
      <w:r w:rsidRPr="00326173">
        <w:rPr>
          <w:rFonts w:ascii="Times New Roman" w:hAnsi="Times New Roman"/>
          <w:b/>
          <w:bCs/>
          <w:i/>
          <w:color w:val="000000"/>
          <w:u w:val="single"/>
          <w:lang w:val="en-US"/>
        </w:rPr>
        <w:t>禹州市人民政府正在实施《河南省</w:t>
      </w:r>
      <w:r w:rsidRPr="00326173">
        <w:rPr>
          <w:rFonts w:ascii="Times New Roman" w:hAnsi="Times New Roman"/>
          <w:b/>
          <w:bCs/>
          <w:i/>
          <w:color w:val="000000"/>
          <w:u w:val="single"/>
          <w:lang w:val="en-US"/>
        </w:rPr>
        <w:t xml:space="preserve"> 2021 </w:t>
      </w:r>
      <w:r w:rsidRPr="00326173">
        <w:rPr>
          <w:rFonts w:ascii="Times New Roman" w:hAnsi="Times New Roman"/>
          <w:b/>
          <w:bCs/>
          <w:i/>
          <w:color w:val="000000"/>
          <w:u w:val="single"/>
          <w:lang w:val="en-US"/>
        </w:rPr>
        <w:t>年大气污染防治攻坚战实施方案》（豫环攻坚政办</w:t>
      </w:r>
      <w:r w:rsidRPr="00326173">
        <w:rPr>
          <w:rFonts w:ascii="Times New Roman" w:hAnsi="Times New Roman"/>
          <w:b/>
          <w:bCs/>
          <w:i/>
          <w:color w:val="000000"/>
          <w:u w:val="single"/>
          <w:lang w:val="en-US"/>
        </w:rPr>
        <w:t xml:space="preserve">[2021]20 </w:t>
      </w:r>
      <w:r w:rsidRPr="00326173">
        <w:rPr>
          <w:rFonts w:ascii="Times New Roman" w:hAnsi="Times New Roman"/>
          <w:b/>
          <w:bCs/>
          <w:i/>
          <w:color w:val="000000"/>
          <w:u w:val="single"/>
          <w:lang w:val="en-US"/>
        </w:rPr>
        <w:t>号）、《许昌市污染防治攻坚战领导小组办公室关于印发许昌市</w:t>
      </w:r>
      <w:r w:rsidRPr="00326173">
        <w:rPr>
          <w:rFonts w:ascii="Times New Roman" w:hAnsi="Times New Roman"/>
          <w:b/>
          <w:bCs/>
          <w:i/>
          <w:color w:val="000000"/>
          <w:u w:val="single"/>
          <w:lang w:val="en-US"/>
        </w:rPr>
        <w:t xml:space="preserve"> 2021 </w:t>
      </w:r>
      <w:r w:rsidRPr="00326173">
        <w:rPr>
          <w:rFonts w:ascii="Times New Roman" w:hAnsi="Times New Roman"/>
          <w:b/>
          <w:bCs/>
          <w:i/>
          <w:color w:val="000000"/>
          <w:u w:val="single"/>
          <w:lang w:val="en-US"/>
        </w:rPr>
        <w:t>年大气、水、土壤污染防治攻坚战及农业农村污染治理攻坚战实施方案的通知》（许环攻坚办〔</w:t>
      </w:r>
      <w:r w:rsidRPr="00326173">
        <w:rPr>
          <w:rFonts w:ascii="Times New Roman" w:hAnsi="Times New Roman"/>
          <w:b/>
          <w:bCs/>
          <w:i/>
          <w:color w:val="000000"/>
          <w:u w:val="single"/>
          <w:lang w:val="en-US"/>
        </w:rPr>
        <w:t>2021</w:t>
      </w:r>
      <w:r w:rsidRPr="00326173">
        <w:rPr>
          <w:rFonts w:ascii="Times New Roman" w:hAnsi="Times New Roman"/>
          <w:b/>
          <w:bCs/>
          <w:i/>
          <w:color w:val="000000"/>
          <w:u w:val="single"/>
          <w:lang w:val="en-US"/>
        </w:rPr>
        <w:t>〕</w:t>
      </w:r>
      <w:r w:rsidRPr="00326173">
        <w:rPr>
          <w:rFonts w:ascii="Times New Roman" w:hAnsi="Times New Roman"/>
          <w:b/>
          <w:bCs/>
          <w:i/>
          <w:color w:val="000000"/>
          <w:u w:val="single"/>
          <w:lang w:val="en-US"/>
        </w:rPr>
        <w:t>36</w:t>
      </w:r>
      <w:r w:rsidRPr="00326173">
        <w:rPr>
          <w:rFonts w:ascii="Times New Roman" w:hAnsi="Times New Roman"/>
          <w:b/>
          <w:bCs/>
          <w:i/>
          <w:color w:val="000000"/>
          <w:u w:val="single"/>
          <w:lang w:val="en-US"/>
        </w:rPr>
        <w:t>号），河南省</w:t>
      </w:r>
      <w:r w:rsidRPr="00326173">
        <w:rPr>
          <w:rFonts w:ascii="Times New Roman" w:hAnsi="Times New Roman"/>
          <w:b/>
          <w:bCs/>
          <w:i/>
          <w:color w:val="000000"/>
          <w:u w:val="single"/>
          <w:lang w:val="en-US"/>
        </w:rPr>
        <w:t xml:space="preserve"> 2021 </w:t>
      </w:r>
      <w:r w:rsidRPr="00326173">
        <w:rPr>
          <w:rFonts w:ascii="Times New Roman" w:hAnsi="Times New Roman"/>
          <w:b/>
          <w:bCs/>
          <w:i/>
          <w:color w:val="000000"/>
          <w:u w:val="single"/>
          <w:lang w:val="en-US"/>
        </w:rPr>
        <w:t>年年度目标：全省细颗粒物</w:t>
      </w:r>
      <w:r w:rsidRPr="00326173">
        <w:rPr>
          <w:rFonts w:ascii="Times New Roman" w:hAnsi="Times New Roman"/>
          <w:b/>
          <w:bCs/>
          <w:i/>
          <w:color w:val="000000"/>
          <w:u w:val="single"/>
          <w:lang w:val="en-US"/>
        </w:rPr>
        <w:t>(PM 2.5 )</w:t>
      </w:r>
      <w:r w:rsidRPr="00326173">
        <w:rPr>
          <w:rFonts w:ascii="Times New Roman" w:hAnsi="Times New Roman"/>
          <w:b/>
          <w:bCs/>
          <w:i/>
          <w:color w:val="000000"/>
          <w:u w:val="single"/>
          <w:lang w:val="en-US"/>
        </w:rPr>
        <w:t>平均浓度控</w:t>
      </w:r>
      <w:r w:rsidRPr="00326173">
        <w:rPr>
          <w:rFonts w:ascii="Times New Roman" w:hAnsi="Times New Roman"/>
          <w:b/>
          <w:bCs/>
          <w:i/>
          <w:color w:val="000000"/>
          <w:u w:val="single"/>
          <w:lang w:val="en-US"/>
        </w:rPr>
        <w:lastRenderedPageBreak/>
        <w:t>制在</w:t>
      </w:r>
      <w:r w:rsidRPr="00326173">
        <w:rPr>
          <w:rFonts w:ascii="Times New Roman" w:hAnsi="Times New Roman"/>
          <w:b/>
          <w:bCs/>
          <w:i/>
          <w:color w:val="000000"/>
          <w:u w:val="single"/>
          <w:lang w:val="en-US"/>
        </w:rPr>
        <w:t xml:space="preserve"> 53 </w:t>
      </w:r>
      <w:r w:rsidRPr="00326173">
        <w:rPr>
          <w:rFonts w:ascii="Times New Roman" w:hAnsi="Times New Roman"/>
          <w:b/>
          <w:bCs/>
          <w:i/>
          <w:color w:val="000000"/>
          <w:u w:val="single"/>
          <w:lang w:val="en-US"/>
        </w:rPr>
        <w:t>微克</w:t>
      </w:r>
      <w:r w:rsidRPr="00326173">
        <w:rPr>
          <w:rFonts w:ascii="Times New Roman" w:hAnsi="Times New Roman"/>
          <w:b/>
          <w:bCs/>
          <w:i/>
          <w:color w:val="000000"/>
          <w:u w:val="single"/>
          <w:lang w:val="en-US"/>
        </w:rPr>
        <w:t>/</w:t>
      </w:r>
      <w:r w:rsidRPr="00326173">
        <w:rPr>
          <w:rFonts w:ascii="Times New Roman" w:hAnsi="Times New Roman"/>
          <w:b/>
          <w:bCs/>
          <w:i/>
          <w:color w:val="000000"/>
          <w:u w:val="single"/>
          <w:lang w:val="en-US"/>
        </w:rPr>
        <w:t>立方米以下，可吸入颗粒物</w:t>
      </w:r>
      <w:r w:rsidRPr="00326173">
        <w:rPr>
          <w:rFonts w:ascii="Times New Roman" w:hAnsi="Times New Roman"/>
          <w:b/>
          <w:bCs/>
          <w:i/>
          <w:color w:val="000000"/>
          <w:u w:val="single"/>
          <w:lang w:val="en-US"/>
        </w:rPr>
        <w:t>(PM10)</w:t>
      </w:r>
      <w:r w:rsidRPr="00326173">
        <w:rPr>
          <w:rFonts w:ascii="Times New Roman" w:hAnsi="Times New Roman"/>
          <w:b/>
          <w:bCs/>
          <w:i/>
          <w:color w:val="000000"/>
          <w:u w:val="single"/>
          <w:lang w:val="en-US"/>
        </w:rPr>
        <w:t>平均浓度控制在</w:t>
      </w:r>
      <w:r w:rsidRPr="00326173">
        <w:rPr>
          <w:rFonts w:ascii="Times New Roman" w:hAnsi="Times New Roman"/>
          <w:b/>
          <w:bCs/>
          <w:i/>
          <w:color w:val="000000"/>
          <w:u w:val="single"/>
          <w:lang w:val="en-US"/>
        </w:rPr>
        <w:t xml:space="preserve"> 87 </w:t>
      </w:r>
      <w:r w:rsidRPr="00326173">
        <w:rPr>
          <w:rFonts w:ascii="Times New Roman" w:hAnsi="Times New Roman"/>
          <w:b/>
          <w:bCs/>
          <w:i/>
          <w:color w:val="000000"/>
          <w:u w:val="single"/>
          <w:lang w:val="en-US"/>
        </w:rPr>
        <w:t>微克</w:t>
      </w:r>
      <w:r w:rsidRPr="00326173">
        <w:rPr>
          <w:rFonts w:ascii="Times New Roman" w:hAnsi="Times New Roman"/>
          <w:b/>
          <w:bCs/>
          <w:i/>
          <w:color w:val="000000"/>
          <w:u w:val="single"/>
          <w:lang w:val="en-US"/>
        </w:rPr>
        <w:t>/</w:t>
      </w:r>
      <w:r w:rsidRPr="00326173">
        <w:rPr>
          <w:rFonts w:ascii="Times New Roman" w:hAnsi="Times New Roman"/>
          <w:b/>
          <w:bCs/>
          <w:i/>
          <w:color w:val="000000"/>
          <w:u w:val="single"/>
          <w:lang w:val="en-US"/>
        </w:rPr>
        <w:t>立方米以下</w:t>
      </w:r>
      <w:r w:rsidRPr="00326173">
        <w:rPr>
          <w:rFonts w:ascii="Times New Roman" w:hAnsi="Times New Roman" w:hint="eastAsia"/>
          <w:b/>
          <w:bCs/>
          <w:i/>
          <w:color w:val="000000"/>
          <w:u w:val="single"/>
          <w:lang w:val="en-US"/>
        </w:rPr>
        <w:t>，</w:t>
      </w:r>
      <w:r w:rsidRPr="00326173">
        <w:rPr>
          <w:rFonts w:ascii="Times New Roman" w:hAnsi="Times New Roman"/>
          <w:b/>
          <w:bCs/>
          <w:i/>
          <w:color w:val="000000"/>
          <w:u w:val="single"/>
          <w:lang w:val="en-US"/>
        </w:rPr>
        <w:t>臭氧超标率控制在</w:t>
      </w:r>
      <w:r w:rsidRPr="00326173">
        <w:rPr>
          <w:rFonts w:ascii="Times New Roman" w:hAnsi="Times New Roman"/>
          <w:b/>
          <w:bCs/>
          <w:i/>
          <w:color w:val="000000"/>
          <w:u w:val="single"/>
          <w:lang w:val="en-US"/>
        </w:rPr>
        <w:t xml:space="preserve"> 15%</w:t>
      </w:r>
      <w:r w:rsidRPr="00326173">
        <w:rPr>
          <w:rFonts w:ascii="Times New Roman" w:hAnsi="Times New Roman"/>
          <w:b/>
          <w:bCs/>
          <w:i/>
          <w:color w:val="000000"/>
          <w:u w:val="single"/>
          <w:lang w:val="en-US"/>
        </w:rPr>
        <w:t>以下，环境空气质量优良天数比例不低于</w:t>
      </w:r>
      <w:r w:rsidRPr="00326173">
        <w:rPr>
          <w:rFonts w:ascii="Times New Roman" w:hAnsi="Times New Roman"/>
          <w:b/>
          <w:bCs/>
          <w:i/>
          <w:color w:val="000000"/>
          <w:u w:val="single"/>
          <w:lang w:val="en-US"/>
        </w:rPr>
        <w:t xml:space="preserve"> 65%</w:t>
      </w:r>
      <w:r w:rsidRPr="00326173">
        <w:rPr>
          <w:rFonts w:ascii="Times New Roman" w:hAnsi="Times New Roman" w:hint="eastAsia"/>
          <w:b/>
          <w:bCs/>
          <w:i/>
          <w:color w:val="000000"/>
          <w:u w:val="single"/>
          <w:lang w:val="en-US"/>
        </w:rPr>
        <w:t>，</w:t>
      </w:r>
      <w:r w:rsidRPr="00326173">
        <w:rPr>
          <w:rFonts w:ascii="Times New Roman" w:hAnsi="Times New Roman"/>
          <w:b/>
          <w:bCs/>
          <w:i/>
          <w:color w:val="000000"/>
          <w:u w:val="single"/>
          <w:lang w:val="en-US"/>
        </w:rPr>
        <w:t>重污染天数比例控制在</w:t>
      </w:r>
      <w:r w:rsidRPr="00326173">
        <w:rPr>
          <w:rFonts w:ascii="Times New Roman" w:hAnsi="Times New Roman"/>
          <w:b/>
          <w:bCs/>
          <w:i/>
          <w:color w:val="000000"/>
          <w:u w:val="single"/>
          <w:lang w:val="en-US"/>
        </w:rPr>
        <w:t xml:space="preserve"> 4%</w:t>
      </w:r>
      <w:r w:rsidRPr="00326173">
        <w:rPr>
          <w:rFonts w:ascii="Times New Roman" w:hAnsi="Times New Roman"/>
          <w:b/>
          <w:bCs/>
          <w:i/>
          <w:color w:val="000000"/>
          <w:u w:val="single"/>
          <w:lang w:val="en-US"/>
        </w:rPr>
        <w:t>以下。</w:t>
      </w:r>
      <w:r w:rsidRPr="00326173">
        <w:rPr>
          <w:rFonts w:ascii="Times New Roman" w:hAnsi="Times New Roman"/>
          <w:b/>
          <w:i/>
          <w:u w:val="single"/>
        </w:rPr>
        <w:t>通过持续落实这些措施，禹州市环境空气质量将持续改善。</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t>本项目施工期严格落实</w:t>
      </w:r>
      <w:r w:rsidRPr="00326173">
        <w:rPr>
          <w:b/>
          <w:i/>
          <w:sz w:val="24"/>
          <w:u w:val="single"/>
        </w:rPr>
        <w:t>“</w:t>
      </w:r>
      <w:r w:rsidRPr="00326173">
        <w:rPr>
          <w:b/>
          <w:i/>
          <w:sz w:val="24"/>
          <w:u w:val="single"/>
        </w:rPr>
        <w:t>六个百分之百</w:t>
      </w:r>
      <w:r w:rsidRPr="00326173">
        <w:rPr>
          <w:b/>
          <w:i/>
          <w:sz w:val="24"/>
          <w:u w:val="single"/>
        </w:rPr>
        <w:t>”</w:t>
      </w:r>
      <w:r w:rsidRPr="00326173">
        <w:rPr>
          <w:b/>
          <w:i/>
          <w:sz w:val="24"/>
          <w:u w:val="single"/>
        </w:rPr>
        <w:t>要求，施工土方的挖掘、堆放要规范有序，施工物料堆存采取防风抑尘网遮盖，人工定时洒水；工地周边全部围挡、物料堆放全部覆盖、设洒水车对运输道路定时洒水，车辆运输等建筑材料时一定要加盖帆布篷；设置简易冲洗池、车辆冲洗设施，对施工期进出运输车辆除泥、冲洗。运营期：项目拆除燃煤供热锅炉，改用空调源热泵机组提供洗浴热水，空调供暖；</w:t>
      </w:r>
      <w:r w:rsidR="00802A62">
        <w:rPr>
          <w:b/>
          <w:i/>
          <w:sz w:val="24"/>
          <w:u w:val="single"/>
        </w:rPr>
        <w:t>储煤库</w:t>
      </w:r>
      <w:r w:rsidRPr="00326173">
        <w:rPr>
          <w:b/>
          <w:i/>
          <w:sz w:val="24"/>
          <w:u w:val="single"/>
        </w:rPr>
        <w:t>、筛分楼、原煤运输廊道全部封闭，并喷雾洒水降尘；运输车辆全部密闭运输，出入口进行清洗降低运输扬尘，运输道路设专人定期清扫，洒水车定时洒水一天</w:t>
      </w:r>
      <w:r w:rsidRPr="00326173">
        <w:rPr>
          <w:b/>
          <w:i/>
          <w:sz w:val="24"/>
          <w:u w:val="single"/>
        </w:rPr>
        <w:t>6</w:t>
      </w:r>
      <w:r w:rsidRPr="00326173">
        <w:rPr>
          <w:b/>
          <w:i/>
          <w:sz w:val="24"/>
          <w:u w:val="single"/>
        </w:rPr>
        <w:t>次（早中晚各</w:t>
      </w:r>
      <w:r w:rsidRPr="00326173">
        <w:rPr>
          <w:b/>
          <w:i/>
          <w:sz w:val="24"/>
          <w:u w:val="single"/>
        </w:rPr>
        <w:t>2</w:t>
      </w:r>
      <w:r w:rsidRPr="00326173">
        <w:rPr>
          <w:b/>
          <w:i/>
          <w:sz w:val="24"/>
          <w:u w:val="single"/>
        </w:rPr>
        <w:t>次），干燥大风天气应加大洒水频率，通过以上措施可降低施工期、运营期对环境空气的污染影响。</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t>（</w:t>
      </w:r>
      <w:r w:rsidRPr="00326173">
        <w:rPr>
          <w:b/>
          <w:i/>
          <w:sz w:val="24"/>
          <w:u w:val="single"/>
        </w:rPr>
        <w:t>3</w:t>
      </w:r>
      <w:r w:rsidRPr="00326173">
        <w:rPr>
          <w:b/>
          <w:i/>
          <w:sz w:val="24"/>
          <w:u w:val="single"/>
        </w:rPr>
        <w:t>）声环境质量</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t>根据调查，经采取开采设备合理布局，运输车辆限速、禁止鸣笛、合理安排运输时间等措施，项目对周边敏感点贡献值较小，运营期项目周边声环境质量能够满足《声环境质量标准》（</w:t>
      </w:r>
      <w:r w:rsidRPr="00326173">
        <w:rPr>
          <w:b/>
          <w:i/>
          <w:sz w:val="24"/>
          <w:u w:val="single"/>
        </w:rPr>
        <w:t>GB3096-2008</w:t>
      </w:r>
      <w:r w:rsidRPr="00326173">
        <w:rPr>
          <w:b/>
          <w:i/>
          <w:sz w:val="24"/>
          <w:u w:val="single"/>
        </w:rPr>
        <w:t>）中的</w:t>
      </w:r>
      <w:r w:rsidRPr="00326173">
        <w:rPr>
          <w:b/>
          <w:i/>
          <w:sz w:val="24"/>
          <w:u w:val="single"/>
        </w:rPr>
        <w:t>2</w:t>
      </w:r>
      <w:r w:rsidRPr="00326173">
        <w:rPr>
          <w:b/>
          <w:i/>
          <w:sz w:val="24"/>
          <w:u w:val="single"/>
        </w:rPr>
        <w:t>类标准的要求，对区域声环境质量影响较小。</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t>（</w:t>
      </w:r>
      <w:r w:rsidRPr="00326173">
        <w:rPr>
          <w:b/>
          <w:i/>
          <w:sz w:val="24"/>
          <w:u w:val="single"/>
        </w:rPr>
        <w:t>4</w:t>
      </w:r>
      <w:r w:rsidRPr="00326173">
        <w:rPr>
          <w:b/>
          <w:i/>
          <w:sz w:val="24"/>
          <w:u w:val="single"/>
        </w:rPr>
        <w:t>）土壤环境和地下水环境</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t>项目为煤矿改扩建项目，根据检测结果，占地范围内、外土壤环境质量满足《土壤环境质量建设用地土壤污染风险管控标准（试行）》（</w:t>
      </w:r>
      <w:r w:rsidRPr="00326173">
        <w:rPr>
          <w:b/>
          <w:i/>
          <w:sz w:val="24"/>
          <w:u w:val="single"/>
        </w:rPr>
        <w:t>GB36600-2018</w:t>
      </w:r>
      <w:r w:rsidRPr="00326173">
        <w:rPr>
          <w:b/>
          <w:i/>
          <w:sz w:val="24"/>
          <w:u w:val="single"/>
        </w:rPr>
        <w:t>）表</w:t>
      </w:r>
      <w:r w:rsidRPr="00326173">
        <w:rPr>
          <w:b/>
          <w:i/>
          <w:sz w:val="24"/>
          <w:u w:val="single"/>
        </w:rPr>
        <w:t>1</w:t>
      </w:r>
      <w:r w:rsidRPr="00326173">
        <w:rPr>
          <w:b/>
          <w:i/>
          <w:sz w:val="24"/>
          <w:u w:val="single"/>
        </w:rPr>
        <w:t>筛选值第一类、第二类用地标准相关要求，附近敏感点处地下水、矿井涌水水质满足《地下水质量标准》</w:t>
      </w:r>
      <w:r w:rsidRPr="00326173">
        <w:rPr>
          <w:b/>
          <w:i/>
          <w:sz w:val="24"/>
          <w:u w:val="single"/>
        </w:rPr>
        <w:t>(GB/T14848-2017)</w:t>
      </w:r>
      <w:r w:rsidRPr="00326173">
        <w:rPr>
          <w:b/>
          <w:i/>
          <w:sz w:val="24"/>
          <w:u w:val="single"/>
        </w:rPr>
        <w:t>中的</w:t>
      </w:r>
      <w:r w:rsidRPr="00326173">
        <w:rPr>
          <w:b/>
          <w:i/>
          <w:sz w:val="24"/>
          <w:u w:val="single"/>
        </w:rPr>
        <w:t>Ⅲ</w:t>
      </w:r>
      <w:r w:rsidRPr="00326173">
        <w:rPr>
          <w:b/>
          <w:i/>
          <w:sz w:val="24"/>
          <w:u w:val="single"/>
        </w:rPr>
        <w:t>类标准要求。项目矸石为一般固体废物，不在厂区内长期储存，运至建材厂制砖，场区内各个区根据防渗要求进行硬化防渗措施，加强环境管理，降低项目对地下水环境和土壤环境影响。</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lastRenderedPageBreak/>
        <w:t>上述环保措施可以确保拟建项目污染物排放对周围环境的影响降到最低，不突破区域环境质量底线。</w:t>
      </w:r>
    </w:p>
    <w:p w:rsidR="00240BCE" w:rsidRPr="00326173" w:rsidRDefault="00AC0334" w:rsidP="009C5F33">
      <w:pPr>
        <w:pStyle w:val="30"/>
        <w:adjustRightInd w:val="0"/>
        <w:snapToGrid w:val="0"/>
        <w:spacing w:beforeLines="70" w:afterLines="30" w:line="240" w:lineRule="auto"/>
        <w:jc w:val="left"/>
        <w:rPr>
          <w:rFonts w:eastAsia="楷体"/>
          <w:i/>
          <w:color w:val="000000"/>
          <w:sz w:val="28"/>
          <w:szCs w:val="28"/>
          <w:u w:val="single"/>
        </w:rPr>
      </w:pPr>
      <w:bookmarkStart w:id="910" w:name="_Toc79668763"/>
      <w:r w:rsidRPr="00326173">
        <w:rPr>
          <w:rFonts w:eastAsia="楷体"/>
          <w:i/>
          <w:color w:val="000000"/>
          <w:sz w:val="28"/>
          <w:szCs w:val="28"/>
          <w:u w:val="single"/>
        </w:rPr>
        <w:t xml:space="preserve">10.10.3 </w:t>
      </w:r>
      <w:r w:rsidRPr="00326173">
        <w:rPr>
          <w:rFonts w:eastAsia="楷体"/>
          <w:i/>
          <w:color w:val="000000"/>
          <w:sz w:val="28"/>
          <w:szCs w:val="28"/>
          <w:u w:val="single"/>
        </w:rPr>
        <w:t>资源利用上线相符性</w:t>
      </w:r>
      <w:bookmarkEnd w:id="910"/>
    </w:p>
    <w:p w:rsidR="00240BCE" w:rsidRPr="00326173" w:rsidRDefault="00AC0334" w:rsidP="00326173">
      <w:pPr>
        <w:snapToGrid w:val="0"/>
        <w:spacing w:line="520" w:lineRule="exact"/>
        <w:ind w:firstLineChars="200" w:firstLine="482"/>
        <w:rPr>
          <w:b/>
          <w:i/>
          <w:sz w:val="24"/>
          <w:u w:val="single"/>
        </w:rPr>
      </w:pPr>
      <w:r w:rsidRPr="00326173">
        <w:rPr>
          <w:b/>
          <w:i/>
          <w:sz w:val="24"/>
          <w:u w:val="single"/>
        </w:rPr>
        <w:t>按照自然资源资产</w:t>
      </w:r>
      <w:r w:rsidRPr="00326173">
        <w:rPr>
          <w:b/>
          <w:i/>
          <w:sz w:val="24"/>
          <w:u w:val="single"/>
        </w:rPr>
        <w:t>“</w:t>
      </w:r>
      <w:r w:rsidRPr="00326173">
        <w:rPr>
          <w:b/>
          <w:i/>
          <w:sz w:val="24"/>
          <w:u w:val="single"/>
        </w:rPr>
        <w:t>只能增值，不能贬值</w:t>
      </w:r>
      <w:r w:rsidRPr="00326173">
        <w:rPr>
          <w:b/>
          <w:i/>
          <w:sz w:val="24"/>
          <w:u w:val="single"/>
        </w:rPr>
        <w:t>”</w:t>
      </w:r>
      <w:r w:rsidRPr="00326173">
        <w:rPr>
          <w:b/>
          <w:i/>
          <w:sz w:val="24"/>
          <w:u w:val="single"/>
        </w:rPr>
        <w:t>的原则，以保障生态安全和改善环境质量为目的，利用自然资源资产负债表，结合自然资源开发管控，提出分区域分阶段的资源开发利用总量、强度、效率等上限管理要求。</w:t>
      </w:r>
    </w:p>
    <w:p w:rsidR="00240BCE" w:rsidRPr="00326173" w:rsidRDefault="00AC0334" w:rsidP="00326173">
      <w:pPr>
        <w:snapToGrid w:val="0"/>
        <w:spacing w:line="520" w:lineRule="exact"/>
        <w:ind w:firstLineChars="200" w:firstLine="482"/>
        <w:rPr>
          <w:b/>
          <w:i/>
          <w:sz w:val="24"/>
          <w:u w:val="single"/>
        </w:rPr>
      </w:pPr>
      <w:r w:rsidRPr="00326173">
        <w:rPr>
          <w:b/>
          <w:i/>
          <w:sz w:val="24"/>
          <w:u w:val="single"/>
        </w:rPr>
        <w:t>本项目为煤矿开采，所利用资源主要为电能及生产用水等，矿山电源由鸠山镇电管站提供，电力充足，可满足生产及照明用电；生产用水外购。因此本项目的建设不会对区域资源利用造成压力。符合区域资源利用上线要求。</w:t>
      </w:r>
    </w:p>
    <w:p w:rsidR="00240BCE" w:rsidRPr="00326173" w:rsidRDefault="00AC0334" w:rsidP="009C5F33">
      <w:pPr>
        <w:pStyle w:val="30"/>
        <w:adjustRightInd w:val="0"/>
        <w:snapToGrid w:val="0"/>
        <w:spacing w:beforeLines="70" w:afterLines="30" w:line="240" w:lineRule="auto"/>
        <w:jc w:val="left"/>
        <w:rPr>
          <w:rFonts w:eastAsia="楷体"/>
          <w:i/>
          <w:color w:val="000000"/>
          <w:sz w:val="28"/>
          <w:szCs w:val="28"/>
          <w:u w:val="single"/>
        </w:rPr>
      </w:pPr>
      <w:bookmarkStart w:id="911" w:name="_Toc79668764"/>
      <w:r w:rsidRPr="00326173">
        <w:rPr>
          <w:rFonts w:eastAsia="楷体"/>
          <w:i/>
          <w:color w:val="000000"/>
          <w:sz w:val="28"/>
          <w:szCs w:val="28"/>
          <w:u w:val="single"/>
        </w:rPr>
        <w:t xml:space="preserve">10.10.4 </w:t>
      </w:r>
      <w:r w:rsidRPr="00326173">
        <w:rPr>
          <w:rFonts w:eastAsia="楷体"/>
          <w:i/>
          <w:color w:val="000000"/>
          <w:sz w:val="28"/>
          <w:szCs w:val="28"/>
          <w:u w:val="single"/>
        </w:rPr>
        <w:t>环境准入负面清单相符性</w:t>
      </w:r>
      <w:bookmarkEnd w:id="911"/>
    </w:p>
    <w:p w:rsidR="001E051F" w:rsidRPr="00326173" w:rsidRDefault="00CA409C" w:rsidP="006407AE">
      <w:pPr>
        <w:autoSpaceDE w:val="0"/>
        <w:autoSpaceDN w:val="0"/>
        <w:adjustRightInd w:val="0"/>
        <w:snapToGrid w:val="0"/>
        <w:spacing w:line="520" w:lineRule="exact"/>
        <w:ind w:firstLineChars="200" w:firstLine="482"/>
        <w:jc w:val="left"/>
        <w:rPr>
          <w:b/>
          <w:i/>
          <w:sz w:val="24"/>
          <w:u w:val="single"/>
        </w:rPr>
      </w:pPr>
      <w:r w:rsidRPr="00326173">
        <w:rPr>
          <w:b/>
          <w:i/>
          <w:sz w:val="24"/>
          <w:u w:val="single"/>
        </w:rPr>
        <w:t>本项目位于禹州市鸠山镇，</w:t>
      </w:r>
      <w:r w:rsidRPr="00326173">
        <w:rPr>
          <w:rFonts w:hint="eastAsia"/>
          <w:b/>
          <w:i/>
          <w:sz w:val="24"/>
          <w:u w:val="single"/>
        </w:rPr>
        <w:t>不在</w:t>
      </w:r>
      <w:r w:rsidR="00AC0334" w:rsidRPr="00326173">
        <w:rPr>
          <w:b/>
          <w:i/>
          <w:sz w:val="24"/>
          <w:u w:val="single"/>
        </w:rPr>
        <w:t>《卢氏县等</w:t>
      </w:r>
      <w:r w:rsidR="00AC0334" w:rsidRPr="00326173">
        <w:rPr>
          <w:b/>
          <w:i/>
          <w:sz w:val="24"/>
          <w:u w:val="single"/>
        </w:rPr>
        <w:t>8</w:t>
      </w:r>
      <w:r w:rsidR="00AC0334" w:rsidRPr="00326173">
        <w:rPr>
          <w:b/>
          <w:i/>
          <w:sz w:val="24"/>
          <w:u w:val="single"/>
        </w:rPr>
        <w:t>个国家重点生态功能区产业准入负面清单（试行）》（豫发改规划</w:t>
      </w:r>
      <w:r w:rsidR="00AC0334" w:rsidRPr="00326173">
        <w:rPr>
          <w:b/>
          <w:i/>
          <w:sz w:val="24"/>
          <w:u w:val="single"/>
        </w:rPr>
        <w:t xml:space="preserve">[2018]436 </w:t>
      </w:r>
      <w:r w:rsidR="00AC0334" w:rsidRPr="00326173">
        <w:rPr>
          <w:b/>
          <w:i/>
          <w:sz w:val="24"/>
          <w:u w:val="single"/>
        </w:rPr>
        <w:t>号）发布的</w:t>
      </w:r>
      <w:r w:rsidR="00AC0334" w:rsidRPr="00326173">
        <w:rPr>
          <w:b/>
          <w:i/>
          <w:sz w:val="24"/>
          <w:u w:val="single"/>
        </w:rPr>
        <w:t>8</w:t>
      </w:r>
      <w:r w:rsidR="00AC0334" w:rsidRPr="00326173">
        <w:rPr>
          <w:b/>
          <w:i/>
          <w:sz w:val="24"/>
          <w:u w:val="single"/>
        </w:rPr>
        <w:t>个国家重点生态功能区范围内</w:t>
      </w:r>
      <w:r w:rsidR="00CC2028" w:rsidRPr="00326173">
        <w:rPr>
          <w:rFonts w:hint="eastAsia"/>
          <w:b/>
          <w:i/>
          <w:sz w:val="24"/>
          <w:u w:val="single"/>
        </w:rPr>
        <w:t>。</w:t>
      </w:r>
      <w:r w:rsidRPr="00326173">
        <w:rPr>
          <w:rFonts w:hint="eastAsia"/>
          <w:b/>
          <w:i/>
          <w:kern w:val="0"/>
          <w:sz w:val="24"/>
          <w:u w:val="single"/>
        </w:rPr>
        <w:t>比对《河南省生态环境准入清单》（</w:t>
      </w:r>
      <w:r w:rsidRPr="00326173">
        <w:rPr>
          <w:rFonts w:hint="eastAsia"/>
          <w:b/>
          <w:i/>
          <w:kern w:val="0"/>
          <w:sz w:val="24"/>
          <w:u w:val="single"/>
        </w:rPr>
        <w:t>2020</w:t>
      </w:r>
      <w:r w:rsidRPr="00326173">
        <w:rPr>
          <w:rFonts w:hint="eastAsia"/>
          <w:b/>
          <w:i/>
          <w:kern w:val="0"/>
          <w:sz w:val="24"/>
          <w:u w:val="single"/>
        </w:rPr>
        <w:t>年</w:t>
      </w:r>
      <w:r w:rsidRPr="00326173">
        <w:rPr>
          <w:b/>
          <w:i/>
          <w:kern w:val="0"/>
          <w:sz w:val="24"/>
          <w:u w:val="single"/>
        </w:rPr>
        <w:t>12</w:t>
      </w:r>
      <w:r w:rsidRPr="00326173">
        <w:rPr>
          <w:rFonts w:hint="eastAsia"/>
          <w:b/>
          <w:i/>
          <w:kern w:val="0"/>
          <w:sz w:val="24"/>
          <w:u w:val="single"/>
        </w:rPr>
        <w:t>月），</w:t>
      </w:r>
      <w:r w:rsidR="00C419A9" w:rsidRPr="00326173">
        <w:rPr>
          <w:rFonts w:hint="eastAsia"/>
          <w:b/>
          <w:i/>
          <w:kern w:val="0"/>
          <w:sz w:val="24"/>
          <w:u w:val="single"/>
        </w:rPr>
        <w:t>环境准入</w:t>
      </w:r>
      <w:r w:rsidRPr="00326173">
        <w:rPr>
          <w:rFonts w:hint="eastAsia"/>
          <w:b/>
          <w:i/>
          <w:kern w:val="0"/>
          <w:sz w:val="24"/>
          <w:u w:val="single"/>
        </w:rPr>
        <w:t>管控要求相符性分析表</w:t>
      </w:r>
      <w:r w:rsidR="00CC2028" w:rsidRPr="00326173">
        <w:rPr>
          <w:rFonts w:hint="eastAsia"/>
          <w:b/>
          <w:i/>
          <w:kern w:val="0"/>
          <w:sz w:val="24"/>
          <w:u w:val="single"/>
        </w:rPr>
        <w:t>10.10-1</w:t>
      </w:r>
      <w:r w:rsidR="00CC2028" w:rsidRPr="00326173">
        <w:rPr>
          <w:rFonts w:hint="eastAsia"/>
          <w:b/>
          <w:i/>
          <w:kern w:val="0"/>
          <w:sz w:val="24"/>
          <w:u w:val="single"/>
        </w:rPr>
        <w:t>，由表</w:t>
      </w:r>
      <w:r w:rsidR="00CC2028" w:rsidRPr="00326173">
        <w:rPr>
          <w:rFonts w:hint="eastAsia"/>
          <w:b/>
          <w:i/>
          <w:kern w:val="0"/>
          <w:sz w:val="24"/>
          <w:u w:val="single"/>
        </w:rPr>
        <w:t>10.10-1</w:t>
      </w:r>
      <w:r w:rsidR="00CC2028" w:rsidRPr="00326173">
        <w:rPr>
          <w:rFonts w:hint="eastAsia"/>
          <w:b/>
          <w:i/>
          <w:kern w:val="0"/>
          <w:sz w:val="24"/>
          <w:u w:val="single"/>
        </w:rPr>
        <w:t>可知，本项目符合</w:t>
      </w:r>
      <w:r w:rsidR="006407AE">
        <w:rPr>
          <w:rFonts w:hint="eastAsia"/>
          <w:b/>
          <w:i/>
          <w:kern w:val="0"/>
          <w:sz w:val="24"/>
          <w:u w:val="single"/>
        </w:rPr>
        <w:t>河南省</w:t>
      </w:r>
      <w:r w:rsidR="00CC2028" w:rsidRPr="00326173">
        <w:rPr>
          <w:rFonts w:hint="eastAsia"/>
          <w:b/>
          <w:i/>
          <w:kern w:val="0"/>
          <w:sz w:val="24"/>
          <w:u w:val="single"/>
        </w:rPr>
        <w:t>环境准入负面清单的要求。</w:t>
      </w:r>
    </w:p>
    <w:p w:rsidR="006407AE" w:rsidRPr="00326173" w:rsidRDefault="00CA409C" w:rsidP="006407AE">
      <w:pPr>
        <w:autoSpaceDE w:val="0"/>
        <w:autoSpaceDN w:val="0"/>
        <w:adjustRightInd w:val="0"/>
        <w:snapToGrid w:val="0"/>
        <w:spacing w:line="520" w:lineRule="exact"/>
        <w:jc w:val="center"/>
        <w:rPr>
          <w:b/>
          <w:i/>
          <w:sz w:val="24"/>
          <w:u w:val="single"/>
        </w:rPr>
      </w:pPr>
      <w:r w:rsidRPr="00326173">
        <w:rPr>
          <w:b/>
          <w:i/>
          <w:sz w:val="24"/>
          <w:u w:val="single"/>
        </w:rPr>
        <w:t>表</w:t>
      </w:r>
      <w:r w:rsidR="00C419A9" w:rsidRPr="00326173">
        <w:rPr>
          <w:rFonts w:hint="eastAsia"/>
          <w:b/>
          <w:i/>
          <w:sz w:val="24"/>
          <w:u w:val="single"/>
        </w:rPr>
        <w:t>10.10-1</w:t>
      </w:r>
      <w:r w:rsidRPr="00326173">
        <w:rPr>
          <w:rFonts w:hint="eastAsia"/>
          <w:b/>
          <w:i/>
          <w:kern w:val="0"/>
          <w:sz w:val="24"/>
          <w:u w:val="single"/>
        </w:rPr>
        <w:t xml:space="preserve"> </w:t>
      </w:r>
      <w:r w:rsidR="006407AE" w:rsidRPr="00326173">
        <w:rPr>
          <w:rFonts w:hint="eastAsia"/>
          <w:b/>
          <w:i/>
          <w:kern w:val="0"/>
          <w:sz w:val="24"/>
          <w:u w:val="single"/>
        </w:rPr>
        <w:t xml:space="preserve">  </w:t>
      </w:r>
      <w:r w:rsidR="006407AE" w:rsidRPr="00326173">
        <w:rPr>
          <w:b/>
          <w:i/>
          <w:sz w:val="24"/>
          <w:u w:val="single"/>
        </w:rPr>
        <w:t>与</w:t>
      </w:r>
      <w:r w:rsidR="006407AE" w:rsidRPr="00326173">
        <w:rPr>
          <w:rFonts w:hint="eastAsia"/>
          <w:b/>
          <w:i/>
          <w:sz w:val="24"/>
          <w:u w:val="single"/>
        </w:rPr>
        <w:t>《河南省生态环境准入清单》</w:t>
      </w:r>
      <w:r w:rsidR="006407AE" w:rsidRPr="00326173">
        <w:rPr>
          <w:b/>
          <w:i/>
          <w:sz w:val="24"/>
          <w:u w:val="single"/>
        </w:rPr>
        <w:t>相符性分析表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3"/>
        <w:gridCol w:w="3120"/>
        <w:gridCol w:w="4113"/>
        <w:gridCol w:w="794"/>
      </w:tblGrid>
      <w:tr w:rsidR="006407AE" w:rsidRPr="00326173" w:rsidTr="00DA246A">
        <w:trPr>
          <w:jc w:val="center"/>
        </w:trPr>
        <w:tc>
          <w:tcPr>
            <w:tcW w:w="2193" w:type="pct"/>
            <w:gridSpan w:val="2"/>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与本项目相关条文</w:t>
            </w:r>
          </w:p>
        </w:tc>
        <w:tc>
          <w:tcPr>
            <w:tcW w:w="2353"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本项目情况</w:t>
            </w:r>
          </w:p>
        </w:tc>
        <w:tc>
          <w:tcPr>
            <w:tcW w:w="454" w:type="pct"/>
            <w:vAlign w:val="center"/>
          </w:tcPr>
          <w:p w:rsidR="006407AE" w:rsidRPr="00326173" w:rsidRDefault="006407AE" w:rsidP="00DA246A">
            <w:pPr>
              <w:widowControl/>
              <w:spacing w:line="320" w:lineRule="exact"/>
              <w:jc w:val="center"/>
              <w:rPr>
                <w:b/>
                <w:bCs/>
                <w:i/>
                <w:sz w:val="21"/>
                <w:szCs w:val="21"/>
                <w:u w:val="single"/>
              </w:rPr>
            </w:pPr>
            <w:r w:rsidRPr="00326173">
              <w:rPr>
                <w:b/>
                <w:bCs/>
                <w:i/>
                <w:sz w:val="21"/>
                <w:szCs w:val="21"/>
                <w:u w:val="single"/>
              </w:rPr>
              <w:t>符合性分析</w:t>
            </w:r>
          </w:p>
        </w:tc>
      </w:tr>
      <w:tr w:rsidR="006407AE" w:rsidRPr="00326173" w:rsidTr="00DA246A">
        <w:trPr>
          <w:jc w:val="center"/>
        </w:trPr>
        <w:tc>
          <w:tcPr>
            <w:tcW w:w="408" w:type="pct"/>
            <w:vMerge w:val="restart"/>
            <w:vAlign w:val="center"/>
          </w:tcPr>
          <w:p w:rsidR="006407AE" w:rsidRPr="00326173" w:rsidRDefault="006407AE" w:rsidP="00DA246A">
            <w:pPr>
              <w:widowControl/>
              <w:spacing w:line="320" w:lineRule="exact"/>
              <w:jc w:val="left"/>
              <w:rPr>
                <w:b/>
                <w:bCs/>
                <w:i/>
                <w:sz w:val="21"/>
                <w:szCs w:val="21"/>
                <w:u w:val="single"/>
              </w:rPr>
            </w:pPr>
            <w:r w:rsidRPr="00326173">
              <w:rPr>
                <w:rFonts w:hint="eastAsia"/>
                <w:b/>
                <w:bCs/>
                <w:i/>
                <w:sz w:val="21"/>
                <w:szCs w:val="21"/>
                <w:u w:val="single"/>
              </w:rPr>
              <w:t>空间布局约束</w:t>
            </w:r>
          </w:p>
        </w:tc>
        <w:tc>
          <w:tcPr>
            <w:tcW w:w="1785" w:type="pct"/>
            <w:vAlign w:val="center"/>
          </w:tcPr>
          <w:p w:rsidR="006407AE" w:rsidRPr="00326173" w:rsidRDefault="006407AE" w:rsidP="00DA246A">
            <w:pPr>
              <w:widowControl/>
              <w:spacing w:line="320" w:lineRule="exact"/>
              <w:jc w:val="left"/>
              <w:rPr>
                <w:b/>
                <w:bCs/>
                <w:i/>
                <w:sz w:val="21"/>
                <w:szCs w:val="21"/>
                <w:u w:val="single"/>
              </w:rPr>
            </w:pPr>
            <w:r w:rsidRPr="00326173">
              <w:rPr>
                <w:rFonts w:hint="eastAsia"/>
                <w:b/>
                <w:bCs/>
                <w:i/>
                <w:sz w:val="21"/>
                <w:szCs w:val="21"/>
                <w:u w:val="single"/>
              </w:rPr>
              <w:t>1</w:t>
            </w:r>
            <w:r w:rsidRPr="00326173">
              <w:rPr>
                <w:rFonts w:hint="eastAsia"/>
                <w:b/>
                <w:bCs/>
                <w:i/>
                <w:sz w:val="21"/>
                <w:szCs w:val="21"/>
                <w:u w:val="single"/>
              </w:rPr>
              <w:t>、加强对农业空间转为生态空间的监督管理，未经国务院批准，禁止将永久基本农田转为城镇空间。鼓励城镇空间和符合国家生态退耕条件的农业空间转为生态空间。</w:t>
            </w:r>
          </w:p>
        </w:tc>
        <w:tc>
          <w:tcPr>
            <w:tcW w:w="2353"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本项目为改扩建项目，利用现有工业场地进行建设且矿区范围不变</w:t>
            </w:r>
          </w:p>
        </w:tc>
        <w:tc>
          <w:tcPr>
            <w:tcW w:w="454"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不涉及</w:t>
            </w:r>
          </w:p>
        </w:tc>
      </w:tr>
      <w:tr w:rsidR="006407AE" w:rsidRPr="00326173" w:rsidTr="00DA246A">
        <w:trPr>
          <w:jc w:val="center"/>
        </w:trPr>
        <w:tc>
          <w:tcPr>
            <w:tcW w:w="408" w:type="pct"/>
            <w:vMerge/>
            <w:vAlign w:val="center"/>
          </w:tcPr>
          <w:p w:rsidR="006407AE" w:rsidRPr="00326173" w:rsidRDefault="006407AE" w:rsidP="00DA246A">
            <w:pPr>
              <w:widowControl/>
              <w:spacing w:line="320" w:lineRule="exact"/>
              <w:jc w:val="left"/>
              <w:rPr>
                <w:b/>
                <w:bCs/>
                <w:i/>
                <w:sz w:val="21"/>
                <w:szCs w:val="21"/>
                <w:u w:val="single"/>
              </w:rPr>
            </w:pPr>
          </w:p>
        </w:tc>
        <w:tc>
          <w:tcPr>
            <w:tcW w:w="1785" w:type="pct"/>
            <w:vAlign w:val="center"/>
          </w:tcPr>
          <w:p w:rsidR="006407AE" w:rsidRPr="00326173" w:rsidRDefault="006407AE" w:rsidP="00DA246A">
            <w:pPr>
              <w:widowControl/>
              <w:spacing w:line="320" w:lineRule="exact"/>
              <w:jc w:val="left"/>
              <w:rPr>
                <w:b/>
                <w:bCs/>
                <w:i/>
                <w:sz w:val="21"/>
                <w:szCs w:val="21"/>
                <w:u w:val="single"/>
              </w:rPr>
            </w:pPr>
            <w:r w:rsidRPr="00326173">
              <w:rPr>
                <w:rFonts w:hint="eastAsia"/>
                <w:b/>
                <w:bCs/>
                <w:i/>
                <w:sz w:val="21"/>
                <w:szCs w:val="21"/>
                <w:u w:val="single"/>
              </w:rPr>
              <w:t>2</w:t>
            </w:r>
            <w:r w:rsidRPr="00326173">
              <w:rPr>
                <w:rFonts w:hint="eastAsia"/>
                <w:b/>
                <w:bCs/>
                <w:i/>
                <w:sz w:val="21"/>
                <w:szCs w:val="21"/>
                <w:u w:val="single"/>
              </w:rPr>
              <w:t>、严禁在优先保护类耕地集中区域新建有色金属冶炼、石油化工、化工、焦化、电镀、制革等行业企业以及可能造成耕地土壤污染的建设项目。</w:t>
            </w:r>
          </w:p>
        </w:tc>
        <w:tc>
          <w:tcPr>
            <w:tcW w:w="2353"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根据《工矿用地土壤环境管理办法（试行）》，本项目不属于土壤环境污染重点监管单位</w:t>
            </w:r>
          </w:p>
        </w:tc>
        <w:tc>
          <w:tcPr>
            <w:tcW w:w="454"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不涉及</w:t>
            </w:r>
          </w:p>
        </w:tc>
      </w:tr>
      <w:tr w:rsidR="006407AE" w:rsidRPr="00326173" w:rsidTr="00DA246A">
        <w:trPr>
          <w:jc w:val="center"/>
        </w:trPr>
        <w:tc>
          <w:tcPr>
            <w:tcW w:w="408" w:type="pct"/>
            <w:vMerge w:val="restart"/>
            <w:vAlign w:val="center"/>
          </w:tcPr>
          <w:p w:rsidR="006407AE" w:rsidRPr="00326173" w:rsidRDefault="006407AE" w:rsidP="00DA246A">
            <w:pPr>
              <w:widowControl/>
              <w:spacing w:line="320" w:lineRule="exact"/>
              <w:jc w:val="left"/>
              <w:rPr>
                <w:b/>
                <w:bCs/>
                <w:i/>
                <w:sz w:val="21"/>
                <w:szCs w:val="21"/>
                <w:u w:val="single"/>
              </w:rPr>
            </w:pPr>
            <w:r w:rsidRPr="00326173">
              <w:rPr>
                <w:rFonts w:hint="eastAsia"/>
                <w:b/>
                <w:bCs/>
                <w:i/>
                <w:sz w:val="21"/>
                <w:szCs w:val="21"/>
                <w:u w:val="single"/>
              </w:rPr>
              <w:t>污染物排放管控</w:t>
            </w:r>
          </w:p>
        </w:tc>
        <w:tc>
          <w:tcPr>
            <w:tcW w:w="1785" w:type="pct"/>
            <w:vAlign w:val="center"/>
          </w:tcPr>
          <w:p w:rsidR="006407AE" w:rsidRPr="00326173" w:rsidRDefault="006407AE" w:rsidP="00DA246A">
            <w:pPr>
              <w:widowControl/>
              <w:spacing w:line="320" w:lineRule="exact"/>
              <w:jc w:val="left"/>
              <w:rPr>
                <w:b/>
                <w:bCs/>
                <w:i/>
                <w:sz w:val="21"/>
                <w:szCs w:val="21"/>
                <w:u w:val="single"/>
              </w:rPr>
            </w:pPr>
            <w:r w:rsidRPr="00326173">
              <w:rPr>
                <w:rFonts w:hint="eastAsia"/>
                <w:b/>
                <w:bCs/>
                <w:i/>
                <w:sz w:val="21"/>
                <w:szCs w:val="21"/>
                <w:u w:val="single"/>
              </w:rPr>
              <w:t>1</w:t>
            </w:r>
            <w:r w:rsidRPr="00326173">
              <w:rPr>
                <w:rFonts w:hint="eastAsia"/>
                <w:b/>
                <w:bCs/>
                <w:i/>
                <w:sz w:val="21"/>
                <w:szCs w:val="21"/>
                <w:u w:val="single"/>
              </w:rPr>
              <w:t>、禁止向耕地及农田沟渠中排放有毒有害工业、生活废水和未经处理的养殖小区畜禽粪便；禁止占用耕地倾倒、堆放城乡生活垃圾、建</w:t>
            </w:r>
            <w:r w:rsidRPr="00326173">
              <w:rPr>
                <w:rFonts w:hint="eastAsia"/>
                <w:b/>
                <w:bCs/>
                <w:i/>
                <w:sz w:val="21"/>
                <w:szCs w:val="21"/>
                <w:u w:val="single"/>
              </w:rPr>
              <w:lastRenderedPageBreak/>
              <w:t>筑垃圾、医疗垃圾、工业废料及废渣等废弃物。</w:t>
            </w:r>
          </w:p>
        </w:tc>
        <w:tc>
          <w:tcPr>
            <w:tcW w:w="2353"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lastRenderedPageBreak/>
              <w:t>项目生活污水通过生活污水处理站处理后满足《污水综合排放标准》（</w:t>
            </w:r>
            <w:r w:rsidRPr="00326173">
              <w:rPr>
                <w:rFonts w:hint="eastAsia"/>
                <w:b/>
                <w:bCs/>
                <w:i/>
                <w:sz w:val="21"/>
                <w:szCs w:val="21"/>
                <w:u w:val="single"/>
              </w:rPr>
              <w:t>GB8978-1996</w:t>
            </w:r>
            <w:r w:rsidRPr="00326173">
              <w:rPr>
                <w:rFonts w:hint="eastAsia"/>
                <w:b/>
                <w:bCs/>
                <w:i/>
                <w:sz w:val="21"/>
                <w:szCs w:val="21"/>
                <w:u w:val="single"/>
              </w:rPr>
              <w:t>）一级标准及《城市污水再生利用</w:t>
            </w:r>
            <w:r w:rsidRPr="00326173">
              <w:rPr>
                <w:rFonts w:hint="eastAsia"/>
                <w:b/>
                <w:bCs/>
                <w:i/>
                <w:sz w:val="21"/>
                <w:szCs w:val="21"/>
                <w:u w:val="single"/>
              </w:rPr>
              <w:t xml:space="preserve"> </w:t>
            </w:r>
            <w:r w:rsidRPr="00326173">
              <w:rPr>
                <w:rFonts w:hint="eastAsia"/>
                <w:b/>
                <w:bCs/>
                <w:i/>
                <w:sz w:val="21"/>
                <w:szCs w:val="21"/>
                <w:u w:val="single"/>
              </w:rPr>
              <w:t>城市杂用水水质》（</w:t>
            </w:r>
            <w:r w:rsidRPr="00326173">
              <w:rPr>
                <w:b/>
                <w:bCs/>
                <w:i/>
                <w:sz w:val="21"/>
                <w:szCs w:val="21"/>
                <w:u w:val="single"/>
              </w:rPr>
              <w:t>GB</w:t>
            </w:r>
            <w:r w:rsidRPr="00326173">
              <w:rPr>
                <w:rFonts w:hint="eastAsia"/>
                <w:b/>
                <w:bCs/>
                <w:i/>
                <w:sz w:val="21"/>
                <w:szCs w:val="21"/>
                <w:u w:val="single"/>
              </w:rPr>
              <w:t>/T18920</w:t>
            </w:r>
            <w:r w:rsidRPr="00326173">
              <w:rPr>
                <w:b/>
                <w:bCs/>
                <w:i/>
                <w:sz w:val="21"/>
                <w:szCs w:val="21"/>
                <w:u w:val="single"/>
              </w:rPr>
              <w:t>-20</w:t>
            </w:r>
            <w:r w:rsidRPr="00326173">
              <w:rPr>
                <w:rFonts w:hint="eastAsia"/>
                <w:b/>
                <w:bCs/>
                <w:i/>
                <w:sz w:val="21"/>
                <w:szCs w:val="21"/>
                <w:u w:val="single"/>
              </w:rPr>
              <w:t>20</w:t>
            </w:r>
            <w:r w:rsidRPr="00326173">
              <w:rPr>
                <w:rFonts w:hint="eastAsia"/>
                <w:b/>
                <w:bCs/>
                <w:i/>
                <w:sz w:val="21"/>
                <w:szCs w:val="21"/>
                <w:u w:val="single"/>
              </w:rPr>
              <w:t>）标准要求后进行综合</w:t>
            </w:r>
            <w:r w:rsidRPr="00326173">
              <w:rPr>
                <w:rFonts w:hint="eastAsia"/>
                <w:b/>
                <w:bCs/>
                <w:i/>
                <w:sz w:val="21"/>
                <w:szCs w:val="21"/>
                <w:u w:val="single"/>
              </w:rPr>
              <w:lastRenderedPageBreak/>
              <w:t>利用，不外排；项目矿井水经处理后优先回用于生产生活，不能充分利用部分满足《煤炭工业污染物排放标准》（</w:t>
            </w:r>
            <w:r w:rsidRPr="00326173">
              <w:rPr>
                <w:rFonts w:hint="eastAsia"/>
                <w:b/>
                <w:bCs/>
                <w:i/>
                <w:sz w:val="21"/>
                <w:szCs w:val="21"/>
                <w:u w:val="single"/>
              </w:rPr>
              <w:t>GB20426-2006</w:t>
            </w:r>
            <w:r w:rsidRPr="00326173">
              <w:rPr>
                <w:rFonts w:hint="eastAsia"/>
                <w:b/>
                <w:bCs/>
                <w:i/>
                <w:sz w:val="21"/>
                <w:szCs w:val="21"/>
                <w:u w:val="single"/>
              </w:rPr>
              <w:t>）表</w:t>
            </w:r>
            <w:r w:rsidRPr="00326173">
              <w:rPr>
                <w:rFonts w:hint="eastAsia"/>
                <w:b/>
                <w:bCs/>
                <w:i/>
                <w:sz w:val="21"/>
                <w:szCs w:val="21"/>
                <w:u w:val="single"/>
              </w:rPr>
              <w:t>1</w:t>
            </w:r>
            <w:r w:rsidRPr="00326173">
              <w:rPr>
                <w:rFonts w:hint="eastAsia"/>
                <w:b/>
                <w:bCs/>
                <w:i/>
                <w:sz w:val="21"/>
                <w:szCs w:val="21"/>
                <w:u w:val="single"/>
              </w:rPr>
              <w:t>，表</w:t>
            </w:r>
            <w:r w:rsidRPr="00326173">
              <w:rPr>
                <w:rFonts w:hint="eastAsia"/>
                <w:b/>
                <w:bCs/>
                <w:i/>
                <w:sz w:val="21"/>
                <w:szCs w:val="21"/>
                <w:u w:val="single"/>
              </w:rPr>
              <w:t>2</w:t>
            </w:r>
            <w:r w:rsidRPr="00326173">
              <w:rPr>
                <w:rFonts w:hint="eastAsia"/>
                <w:b/>
                <w:bCs/>
                <w:i/>
                <w:sz w:val="21"/>
                <w:szCs w:val="21"/>
                <w:u w:val="single"/>
              </w:rPr>
              <w:t>采煤废水排放限值以及《地表水环境质量标准》（</w:t>
            </w:r>
            <w:r w:rsidRPr="00326173">
              <w:rPr>
                <w:rFonts w:hint="eastAsia"/>
                <w:b/>
                <w:bCs/>
                <w:i/>
                <w:sz w:val="21"/>
                <w:szCs w:val="21"/>
                <w:u w:val="single"/>
              </w:rPr>
              <w:t>GB3838-2002</w:t>
            </w:r>
            <w:r w:rsidRPr="00326173">
              <w:rPr>
                <w:rFonts w:hint="eastAsia"/>
                <w:b/>
                <w:bCs/>
                <w:i/>
                <w:sz w:val="21"/>
                <w:szCs w:val="21"/>
                <w:u w:val="single"/>
              </w:rPr>
              <w:t>）Ⅲ类水质要求后达标排放</w:t>
            </w:r>
            <w:r w:rsidRPr="00326173">
              <w:rPr>
                <w:b/>
                <w:i/>
                <w:sz w:val="21"/>
                <w:szCs w:val="21"/>
                <w:u w:val="single"/>
              </w:rPr>
              <w:t>至赵沟河、纸坊水库后用于周边农田灌溉</w:t>
            </w:r>
            <w:r w:rsidRPr="00326173">
              <w:rPr>
                <w:rFonts w:hint="eastAsia"/>
                <w:b/>
                <w:i/>
                <w:sz w:val="21"/>
                <w:szCs w:val="21"/>
                <w:u w:val="single"/>
              </w:rPr>
              <w:t>或生态补水</w:t>
            </w:r>
            <w:r w:rsidRPr="00326173">
              <w:rPr>
                <w:rFonts w:hint="eastAsia"/>
                <w:b/>
                <w:bCs/>
                <w:i/>
                <w:sz w:val="21"/>
                <w:szCs w:val="21"/>
                <w:u w:val="single"/>
              </w:rPr>
              <w:t>。项目产生的固体废物全部综合利用或合理处置。</w:t>
            </w:r>
          </w:p>
        </w:tc>
        <w:tc>
          <w:tcPr>
            <w:tcW w:w="454"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lastRenderedPageBreak/>
              <w:t>相符</w:t>
            </w:r>
          </w:p>
        </w:tc>
      </w:tr>
      <w:tr w:rsidR="006407AE" w:rsidRPr="00326173" w:rsidTr="00DA246A">
        <w:trPr>
          <w:jc w:val="center"/>
        </w:trPr>
        <w:tc>
          <w:tcPr>
            <w:tcW w:w="408" w:type="pct"/>
            <w:vMerge/>
            <w:vAlign w:val="center"/>
          </w:tcPr>
          <w:p w:rsidR="006407AE" w:rsidRPr="00326173" w:rsidRDefault="006407AE" w:rsidP="00DA246A">
            <w:pPr>
              <w:widowControl/>
              <w:spacing w:line="320" w:lineRule="exact"/>
              <w:jc w:val="left"/>
              <w:rPr>
                <w:b/>
                <w:bCs/>
                <w:i/>
                <w:sz w:val="21"/>
                <w:szCs w:val="21"/>
                <w:u w:val="single"/>
              </w:rPr>
            </w:pPr>
          </w:p>
        </w:tc>
        <w:tc>
          <w:tcPr>
            <w:tcW w:w="1785" w:type="pct"/>
            <w:vAlign w:val="center"/>
          </w:tcPr>
          <w:p w:rsidR="006407AE" w:rsidRPr="00326173" w:rsidRDefault="006407AE" w:rsidP="00DA246A">
            <w:pPr>
              <w:widowControl/>
              <w:spacing w:line="320" w:lineRule="exact"/>
              <w:jc w:val="left"/>
              <w:rPr>
                <w:b/>
                <w:bCs/>
                <w:i/>
                <w:sz w:val="21"/>
                <w:szCs w:val="21"/>
                <w:u w:val="single"/>
              </w:rPr>
            </w:pPr>
            <w:r w:rsidRPr="00326173">
              <w:rPr>
                <w:rFonts w:hint="eastAsia"/>
                <w:b/>
                <w:bCs/>
                <w:i/>
                <w:sz w:val="21"/>
                <w:szCs w:val="21"/>
                <w:u w:val="single"/>
              </w:rPr>
              <w:t>2</w:t>
            </w:r>
            <w:r w:rsidRPr="00326173">
              <w:rPr>
                <w:rFonts w:hint="eastAsia"/>
                <w:b/>
                <w:bCs/>
                <w:i/>
                <w:sz w:val="21"/>
                <w:szCs w:val="21"/>
                <w:u w:val="single"/>
              </w:rPr>
              <w:t>、持续开展养殖污染物治理工作。</w:t>
            </w:r>
          </w:p>
        </w:tc>
        <w:tc>
          <w:tcPr>
            <w:tcW w:w="2353"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w:t>
            </w:r>
          </w:p>
        </w:tc>
        <w:tc>
          <w:tcPr>
            <w:tcW w:w="454"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不涉及</w:t>
            </w:r>
          </w:p>
        </w:tc>
      </w:tr>
      <w:tr w:rsidR="006407AE" w:rsidRPr="00326173" w:rsidTr="00DA246A">
        <w:trPr>
          <w:jc w:val="center"/>
        </w:trPr>
        <w:tc>
          <w:tcPr>
            <w:tcW w:w="408" w:type="pct"/>
            <w:vMerge/>
            <w:vAlign w:val="center"/>
          </w:tcPr>
          <w:p w:rsidR="006407AE" w:rsidRPr="00326173" w:rsidRDefault="006407AE" w:rsidP="00DA246A">
            <w:pPr>
              <w:widowControl/>
              <w:spacing w:line="320" w:lineRule="exact"/>
              <w:jc w:val="left"/>
              <w:rPr>
                <w:b/>
                <w:bCs/>
                <w:i/>
                <w:sz w:val="21"/>
                <w:szCs w:val="21"/>
                <w:u w:val="single"/>
              </w:rPr>
            </w:pPr>
          </w:p>
        </w:tc>
        <w:tc>
          <w:tcPr>
            <w:tcW w:w="1785" w:type="pct"/>
            <w:vAlign w:val="center"/>
          </w:tcPr>
          <w:p w:rsidR="006407AE" w:rsidRPr="00326173" w:rsidRDefault="006407AE" w:rsidP="00DA246A">
            <w:pPr>
              <w:widowControl/>
              <w:spacing w:line="320" w:lineRule="exact"/>
              <w:jc w:val="left"/>
              <w:rPr>
                <w:b/>
                <w:bCs/>
                <w:i/>
                <w:sz w:val="21"/>
                <w:szCs w:val="21"/>
                <w:u w:val="single"/>
              </w:rPr>
            </w:pPr>
            <w:r w:rsidRPr="00326173">
              <w:rPr>
                <w:rFonts w:hint="eastAsia"/>
                <w:b/>
                <w:bCs/>
                <w:i/>
                <w:sz w:val="21"/>
                <w:szCs w:val="21"/>
                <w:u w:val="single"/>
              </w:rPr>
              <w:t>3</w:t>
            </w:r>
            <w:r w:rsidRPr="00326173">
              <w:rPr>
                <w:rFonts w:hint="eastAsia"/>
                <w:b/>
                <w:bCs/>
                <w:i/>
                <w:sz w:val="21"/>
                <w:szCs w:val="21"/>
                <w:u w:val="single"/>
              </w:rPr>
              <w:t>、加强矿山开采及建材行业粉尘污染治理。</w:t>
            </w:r>
          </w:p>
        </w:tc>
        <w:tc>
          <w:tcPr>
            <w:tcW w:w="2353"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项目运营期采用空气能提供洗浴热水，空调供暖；储煤库全部封闭，筛分楼、原煤运输廊道在密闭储煤库内二次密闭，并喷干雾洒水降尘；运输车辆全部密闭运输，出入口进行清洗降低运输扬尘，运输道路设专人定期清扫，洒水车定时洒水一天</w:t>
            </w:r>
            <w:r w:rsidRPr="00326173">
              <w:rPr>
                <w:rFonts w:hint="eastAsia"/>
                <w:b/>
                <w:bCs/>
                <w:i/>
                <w:sz w:val="21"/>
                <w:szCs w:val="21"/>
                <w:u w:val="single"/>
              </w:rPr>
              <w:t>6</w:t>
            </w:r>
            <w:r w:rsidRPr="00326173">
              <w:rPr>
                <w:rFonts w:hint="eastAsia"/>
                <w:b/>
                <w:bCs/>
                <w:i/>
                <w:sz w:val="21"/>
                <w:szCs w:val="21"/>
                <w:u w:val="single"/>
              </w:rPr>
              <w:t>次（早中晚各</w:t>
            </w:r>
            <w:r w:rsidRPr="00326173">
              <w:rPr>
                <w:rFonts w:hint="eastAsia"/>
                <w:b/>
                <w:bCs/>
                <w:i/>
                <w:sz w:val="21"/>
                <w:szCs w:val="21"/>
                <w:u w:val="single"/>
              </w:rPr>
              <w:t>2</w:t>
            </w:r>
            <w:r w:rsidRPr="00326173">
              <w:rPr>
                <w:rFonts w:hint="eastAsia"/>
                <w:b/>
                <w:bCs/>
                <w:i/>
                <w:sz w:val="21"/>
                <w:szCs w:val="21"/>
                <w:u w:val="single"/>
              </w:rPr>
              <w:t>次），干燥大风天气应加大洒水频率，通过以上措施可降低运营期对环境空气的污染影响</w:t>
            </w:r>
          </w:p>
        </w:tc>
        <w:tc>
          <w:tcPr>
            <w:tcW w:w="454"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相符</w:t>
            </w:r>
          </w:p>
        </w:tc>
      </w:tr>
      <w:tr w:rsidR="006407AE" w:rsidRPr="00326173" w:rsidTr="00DA246A">
        <w:trPr>
          <w:jc w:val="center"/>
        </w:trPr>
        <w:tc>
          <w:tcPr>
            <w:tcW w:w="408" w:type="pct"/>
            <w:vMerge/>
            <w:vAlign w:val="center"/>
          </w:tcPr>
          <w:p w:rsidR="006407AE" w:rsidRPr="00326173" w:rsidRDefault="006407AE" w:rsidP="00DA246A">
            <w:pPr>
              <w:widowControl/>
              <w:spacing w:line="320" w:lineRule="exact"/>
              <w:jc w:val="left"/>
              <w:rPr>
                <w:b/>
                <w:bCs/>
                <w:i/>
                <w:sz w:val="21"/>
                <w:szCs w:val="21"/>
                <w:u w:val="single"/>
              </w:rPr>
            </w:pPr>
          </w:p>
        </w:tc>
        <w:tc>
          <w:tcPr>
            <w:tcW w:w="1785" w:type="pct"/>
            <w:vAlign w:val="center"/>
          </w:tcPr>
          <w:p w:rsidR="006407AE" w:rsidRPr="00326173" w:rsidRDefault="006407AE" w:rsidP="00DA246A">
            <w:pPr>
              <w:widowControl/>
              <w:spacing w:line="320" w:lineRule="exact"/>
              <w:jc w:val="left"/>
              <w:rPr>
                <w:b/>
                <w:bCs/>
                <w:i/>
                <w:sz w:val="21"/>
                <w:szCs w:val="21"/>
                <w:u w:val="single"/>
              </w:rPr>
            </w:pPr>
            <w:r w:rsidRPr="00326173">
              <w:rPr>
                <w:rFonts w:hint="eastAsia"/>
                <w:b/>
                <w:bCs/>
                <w:i/>
                <w:sz w:val="21"/>
                <w:szCs w:val="21"/>
                <w:u w:val="single"/>
              </w:rPr>
              <w:t>4</w:t>
            </w:r>
            <w:r w:rsidRPr="00326173">
              <w:rPr>
                <w:rFonts w:hint="eastAsia"/>
                <w:b/>
                <w:bCs/>
                <w:i/>
                <w:sz w:val="21"/>
                <w:szCs w:val="21"/>
                <w:u w:val="single"/>
              </w:rPr>
              <w:t>、加强工业炉窑及锅炉超低排放改造。</w:t>
            </w:r>
          </w:p>
        </w:tc>
        <w:tc>
          <w:tcPr>
            <w:tcW w:w="2353"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w:t>
            </w:r>
          </w:p>
        </w:tc>
        <w:tc>
          <w:tcPr>
            <w:tcW w:w="454" w:type="pct"/>
            <w:vAlign w:val="center"/>
          </w:tcPr>
          <w:p w:rsidR="006407AE" w:rsidRPr="00326173" w:rsidRDefault="006407AE" w:rsidP="00DA246A">
            <w:pPr>
              <w:widowControl/>
              <w:spacing w:line="320" w:lineRule="exact"/>
              <w:jc w:val="center"/>
              <w:rPr>
                <w:b/>
                <w:bCs/>
                <w:i/>
                <w:sz w:val="21"/>
                <w:szCs w:val="21"/>
                <w:u w:val="single"/>
              </w:rPr>
            </w:pPr>
            <w:r w:rsidRPr="00326173">
              <w:rPr>
                <w:rFonts w:hint="eastAsia"/>
                <w:b/>
                <w:bCs/>
                <w:i/>
                <w:sz w:val="21"/>
                <w:szCs w:val="21"/>
                <w:u w:val="single"/>
              </w:rPr>
              <w:t>不涉及</w:t>
            </w:r>
          </w:p>
        </w:tc>
      </w:tr>
    </w:tbl>
    <w:p w:rsidR="006407AE" w:rsidRDefault="006407AE" w:rsidP="006407AE">
      <w:pPr>
        <w:autoSpaceDE w:val="0"/>
        <w:autoSpaceDN w:val="0"/>
        <w:adjustRightInd w:val="0"/>
        <w:snapToGrid w:val="0"/>
        <w:spacing w:line="520" w:lineRule="exact"/>
        <w:jc w:val="left"/>
        <w:rPr>
          <w:b/>
          <w:i/>
          <w:kern w:val="0"/>
          <w:sz w:val="24"/>
          <w:u w:val="single"/>
        </w:rPr>
      </w:pPr>
      <w:r w:rsidRPr="00326173">
        <w:rPr>
          <w:b/>
          <w:i/>
          <w:sz w:val="24"/>
          <w:u w:val="single"/>
        </w:rPr>
        <w:t>综上，本项目满足</w:t>
      </w:r>
      <w:r w:rsidRPr="00326173">
        <w:rPr>
          <w:rFonts w:hint="eastAsia"/>
          <w:b/>
          <w:i/>
          <w:sz w:val="24"/>
          <w:u w:val="single"/>
        </w:rPr>
        <w:t>河南省</w:t>
      </w:r>
      <w:r w:rsidRPr="00326173">
        <w:rPr>
          <w:b/>
          <w:i/>
          <w:sz w:val="24"/>
          <w:u w:val="single"/>
        </w:rPr>
        <w:t>“</w:t>
      </w:r>
      <w:r w:rsidRPr="00326173">
        <w:rPr>
          <w:b/>
          <w:i/>
          <w:sz w:val="24"/>
          <w:u w:val="single"/>
        </w:rPr>
        <w:t>三线一单</w:t>
      </w:r>
      <w:r w:rsidRPr="00326173">
        <w:rPr>
          <w:b/>
          <w:i/>
          <w:sz w:val="24"/>
          <w:u w:val="single"/>
        </w:rPr>
        <w:t>”</w:t>
      </w:r>
      <w:r w:rsidRPr="00326173">
        <w:rPr>
          <w:b/>
          <w:i/>
          <w:sz w:val="24"/>
          <w:u w:val="single"/>
        </w:rPr>
        <w:t>相关要求。</w:t>
      </w:r>
    </w:p>
    <w:p w:rsidR="00326173" w:rsidRPr="00326173" w:rsidRDefault="00326173" w:rsidP="009C5F33">
      <w:pPr>
        <w:pStyle w:val="2"/>
        <w:adjustRightInd w:val="0"/>
        <w:snapToGrid w:val="0"/>
        <w:spacing w:beforeLines="100" w:afterLines="50" w:line="240" w:lineRule="auto"/>
        <w:jc w:val="left"/>
        <w:rPr>
          <w:rFonts w:ascii="Times New Roman" w:eastAsia="宋体" w:hAnsi="Times New Roman"/>
          <w:bCs/>
          <w:i/>
          <w:szCs w:val="32"/>
          <w:u w:val="single"/>
        </w:rPr>
      </w:pPr>
      <w:bookmarkStart w:id="912" w:name="_Toc81934418"/>
      <w:r w:rsidRPr="00326173">
        <w:rPr>
          <w:rFonts w:ascii="Times New Roman" w:eastAsia="宋体" w:hAnsi="Times New Roman"/>
          <w:bCs/>
          <w:i/>
          <w:szCs w:val="32"/>
          <w:u w:val="single"/>
        </w:rPr>
        <w:t>10.1</w:t>
      </w:r>
      <w:r w:rsidR="006407AE">
        <w:rPr>
          <w:rFonts w:ascii="Times New Roman" w:eastAsia="宋体" w:hAnsi="Times New Roman" w:hint="eastAsia"/>
          <w:bCs/>
          <w:i/>
          <w:szCs w:val="32"/>
          <w:u w:val="single"/>
        </w:rPr>
        <w:t>1</w:t>
      </w:r>
      <w:r w:rsidRPr="00326173">
        <w:rPr>
          <w:rFonts w:ascii="Times New Roman" w:eastAsia="宋体" w:hAnsi="Times New Roman"/>
          <w:bCs/>
          <w:i/>
          <w:szCs w:val="32"/>
          <w:u w:val="single"/>
        </w:rPr>
        <w:t xml:space="preserve"> </w:t>
      </w:r>
      <w:r w:rsidRPr="00326173">
        <w:rPr>
          <w:rFonts w:ascii="Times New Roman" w:eastAsia="宋体" w:hAnsi="Times New Roman"/>
          <w:bCs/>
          <w:i/>
          <w:szCs w:val="32"/>
          <w:u w:val="single"/>
        </w:rPr>
        <w:t>与</w:t>
      </w:r>
      <w:r w:rsidR="006407AE">
        <w:rPr>
          <w:rFonts w:ascii="Times New Roman" w:eastAsia="宋体" w:hAnsi="Times New Roman" w:hint="eastAsia"/>
          <w:bCs/>
          <w:i/>
          <w:szCs w:val="32"/>
          <w:u w:val="single"/>
        </w:rPr>
        <w:t>许昌市</w:t>
      </w:r>
      <w:r w:rsidRPr="00326173">
        <w:rPr>
          <w:rFonts w:ascii="Times New Roman" w:eastAsia="宋体" w:hAnsi="Times New Roman"/>
          <w:bCs/>
          <w:i/>
          <w:szCs w:val="32"/>
          <w:u w:val="single"/>
        </w:rPr>
        <w:t>“</w:t>
      </w:r>
      <w:r w:rsidRPr="00326173">
        <w:rPr>
          <w:rFonts w:ascii="Times New Roman" w:eastAsia="宋体" w:hAnsi="Times New Roman"/>
          <w:bCs/>
          <w:i/>
          <w:szCs w:val="32"/>
          <w:u w:val="single"/>
        </w:rPr>
        <w:t>三线一单</w:t>
      </w:r>
      <w:r w:rsidRPr="00326173">
        <w:rPr>
          <w:rFonts w:ascii="Times New Roman" w:eastAsia="宋体" w:hAnsi="Times New Roman"/>
          <w:bCs/>
          <w:i/>
          <w:szCs w:val="32"/>
          <w:u w:val="single"/>
        </w:rPr>
        <w:t>”</w:t>
      </w:r>
      <w:r w:rsidRPr="00326173">
        <w:rPr>
          <w:rFonts w:ascii="Times New Roman" w:eastAsia="宋体" w:hAnsi="Times New Roman"/>
          <w:bCs/>
          <w:i/>
          <w:szCs w:val="32"/>
          <w:u w:val="single"/>
        </w:rPr>
        <w:t>相符性分析</w:t>
      </w:r>
      <w:bookmarkEnd w:id="912"/>
    </w:p>
    <w:p w:rsidR="00947F08" w:rsidRPr="00947F08" w:rsidRDefault="00947F08" w:rsidP="00947F08">
      <w:pPr>
        <w:spacing w:line="520" w:lineRule="exact"/>
        <w:ind w:firstLineChars="200" w:firstLine="480"/>
        <w:rPr>
          <w:sz w:val="24"/>
        </w:rPr>
      </w:pPr>
      <w:r w:rsidRPr="00947F08">
        <w:rPr>
          <w:rFonts w:hint="eastAsia"/>
          <w:sz w:val="24"/>
        </w:rPr>
        <w:t>2021</w:t>
      </w:r>
      <w:r w:rsidRPr="00947F08">
        <w:rPr>
          <w:rFonts w:hint="eastAsia"/>
          <w:sz w:val="24"/>
        </w:rPr>
        <w:t>年</w:t>
      </w:r>
      <w:r w:rsidRPr="00947F08">
        <w:rPr>
          <w:rFonts w:hint="eastAsia"/>
          <w:sz w:val="24"/>
        </w:rPr>
        <w:t>7</w:t>
      </w:r>
      <w:r w:rsidRPr="00947F08">
        <w:rPr>
          <w:rFonts w:hint="eastAsia"/>
          <w:sz w:val="24"/>
        </w:rPr>
        <w:t>月</w:t>
      </w:r>
      <w:r w:rsidRPr="00947F08">
        <w:rPr>
          <w:rFonts w:hint="eastAsia"/>
          <w:sz w:val="24"/>
        </w:rPr>
        <w:t>1</w:t>
      </w:r>
      <w:r w:rsidRPr="00947F08">
        <w:rPr>
          <w:rFonts w:hint="eastAsia"/>
          <w:sz w:val="24"/>
        </w:rPr>
        <w:t>日，</w:t>
      </w:r>
      <w:r w:rsidRPr="00947F08">
        <w:rPr>
          <w:sz w:val="24"/>
        </w:rPr>
        <w:t>许昌市人民政府</w:t>
      </w:r>
      <w:r w:rsidRPr="00947F08">
        <w:rPr>
          <w:rFonts w:hint="eastAsia"/>
          <w:sz w:val="24"/>
        </w:rPr>
        <w:t>发布了《</w:t>
      </w:r>
      <w:r w:rsidRPr="00947F08">
        <w:rPr>
          <w:sz w:val="24"/>
        </w:rPr>
        <w:t>许昌市人民政府关于实施</w:t>
      </w:r>
      <w:r w:rsidRPr="00947F08">
        <w:rPr>
          <w:sz w:val="24"/>
        </w:rPr>
        <w:t>“</w:t>
      </w:r>
      <w:r w:rsidRPr="00947F08">
        <w:rPr>
          <w:sz w:val="24"/>
        </w:rPr>
        <w:t>三线一单</w:t>
      </w:r>
      <w:r w:rsidRPr="00947F08">
        <w:rPr>
          <w:sz w:val="24"/>
        </w:rPr>
        <w:t>”</w:t>
      </w:r>
      <w:r w:rsidRPr="00947F08">
        <w:rPr>
          <w:sz w:val="24"/>
        </w:rPr>
        <w:t>生态环境分区管控的意见</w:t>
      </w:r>
      <w:r w:rsidRPr="00947F08">
        <w:rPr>
          <w:rFonts w:hint="eastAsia"/>
          <w:sz w:val="24"/>
        </w:rPr>
        <w:t>》</w:t>
      </w:r>
      <w:r w:rsidRPr="00947F08">
        <w:rPr>
          <w:sz w:val="24"/>
        </w:rPr>
        <w:t>许政</w:t>
      </w:r>
      <w:r w:rsidRPr="00947F08">
        <w:rPr>
          <w:sz w:val="24"/>
        </w:rPr>
        <w:t xml:space="preserve"> [2021] 18</w:t>
      </w:r>
      <w:r w:rsidRPr="00947F08">
        <w:rPr>
          <w:sz w:val="24"/>
        </w:rPr>
        <w:t>号</w:t>
      </w:r>
      <w:r w:rsidRPr="00947F08">
        <w:rPr>
          <w:rFonts w:hint="eastAsia"/>
          <w:sz w:val="24"/>
        </w:rPr>
        <w:t>。全市共划定生态环境管控单元</w:t>
      </w:r>
      <w:r w:rsidRPr="00947F08">
        <w:rPr>
          <w:rFonts w:hint="eastAsia"/>
          <w:sz w:val="24"/>
        </w:rPr>
        <w:t>48</w:t>
      </w:r>
      <w:r w:rsidRPr="00947F08">
        <w:rPr>
          <w:rFonts w:hint="eastAsia"/>
          <w:sz w:val="24"/>
        </w:rPr>
        <w:t>个，包括优先保护单元、重点管控单元和一般管控单元三类，环境管控单元内开发建设活动实施差异化管理。</w:t>
      </w:r>
    </w:p>
    <w:p w:rsidR="00947F08" w:rsidRPr="00947F08" w:rsidRDefault="00947F08" w:rsidP="00947F08">
      <w:pPr>
        <w:spacing w:line="520" w:lineRule="exact"/>
        <w:ind w:firstLineChars="200" w:firstLine="480"/>
        <w:rPr>
          <w:sz w:val="24"/>
        </w:rPr>
      </w:pPr>
      <w:r w:rsidRPr="00947F08">
        <w:rPr>
          <w:rFonts w:hint="eastAsia"/>
          <w:sz w:val="24"/>
        </w:rPr>
        <w:t>(</w:t>
      </w:r>
      <w:r w:rsidRPr="00947F08">
        <w:rPr>
          <w:rFonts w:hint="eastAsia"/>
          <w:sz w:val="24"/>
        </w:rPr>
        <w:t>一</w:t>
      </w:r>
      <w:r w:rsidRPr="00947F08">
        <w:rPr>
          <w:rFonts w:hint="eastAsia"/>
          <w:sz w:val="24"/>
        </w:rPr>
        <w:t>)</w:t>
      </w:r>
      <w:r w:rsidRPr="00947F08">
        <w:rPr>
          <w:rFonts w:hint="eastAsia"/>
          <w:sz w:val="24"/>
        </w:rPr>
        <w:t>优先保护单元。优先保护单元</w:t>
      </w:r>
      <w:r w:rsidRPr="00947F08">
        <w:rPr>
          <w:rFonts w:hint="eastAsia"/>
          <w:sz w:val="24"/>
        </w:rPr>
        <w:t>9</w:t>
      </w:r>
      <w:r w:rsidRPr="00947F08">
        <w:rPr>
          <w:rFonts w:hint="eastAsia"/>
          <w:sz w:val="24"/>
        </w:rPr>
        <w:t>个，占全市国土面积的</w:t>
      </w:r>
      <w:r w:rsidRPr="00947F08">
        <w:rPr>
          <w:rFonts w:hint="eastAsia"/>
          <w:sz w:val="24"/>
        </w:rPr>
        <w:t>6.2%</w:t>
      </w:r>
      <w:r w:rsidRPr="00947F08">
        <w:rPr>
          <w:rFonts w:hint="eastAsia"/>
          <w:sz w:val="24"/>
        </w:rPr>
        <w:t>。主要包括生态保护红线、饮用水水源地及保护区、南水北调干渠及保护区、湿地公园、地质公园、森林公园及其他生态功能重要区和生态环境敏感区。优先保护单元以生态环境保护优先为原则，按照保护对象不同属性和功能，严格按照法律法规和有关规定，依法禁止或限制有关开发建设活动，优先开展生态保护修复，提高生态系统服务功能，确保生态环境功能不降低。</w:t>
      </w:r>
    </w:p>
    <w:p w:rsidR="00947F08" w:rsidRPr="00947F08" w:rsidRDefault="00947F08" w:rsidP="00947F08">
      <w:pPr>
        <w:spacing w:line="520" w:lineRule="exact"/>
        <w:ind w:firstLineChars="200" w:firstLine="480"/>
        <w:rPr>
          <w:sz w:val="24"/>
        </w:rPr>
      </w:pPr>
      <w:r w:rsidRPr="00947F08">
        <w:rPr>
          <w:rFonts w:hint="eastAsia"/>
          <w:sz w:val="24"/>
        </w:rPr>
        <w:t>(</w:t>
      </w:r>
      <w:r w:rsidRPr="00947F08">
        <w:rPr>
          <w:rFonts w:hint="eastAsia"/>
          <w:sz w:val="24"/>
        </w:rPr>
        <w:t>二</w:t>
      </w:r>
      <w:r w:rsidRPr="00947F08">
        <w:rPr>
          <w:rFonts w:hint="eastAsia"/>
          <w:sz w:val="24"/>
        </w:rPr>
        <w:t>)</w:t>
      </w:r>
      <w:r w:rsidRPr="00947F08">
        <w:rPr>
          <w:rFonts w:hint="eastAsia"/>
          <w:sz w:val="24"/>
        </w:rPr>
        <w:t>重点管控单元。重点管控单元</w:t>
      </w:r>
      <w:r w:rsidRPr="00947F08">
        <w:rPr>
          <w:rFonts w:hint="eastAsia"/>
          <w:sz w:val="24"/>
        </w:rPr>
        <w:t>34</w:t>
      </w:r>
      <w:r w:rsidRPr="00947F08">
        <w:rPr>
          <w:rFonts w:hint="eastAsia"/>
          <w:sz w:val="24"/>
        </w:rPr>
        <w:t>个，占全市国土面积的</w:t>
      </w:r>
      <w:r w:rsidRPr="00947F08">
        <w:rPr>
          <w:rFonts w:hint="eastAsia"/>
          <w:sz w:val="24"/>
        </w:rPr>
        <w:t>67.68%</w:t>
      </w:r>
      <w:r w:rsidRPr="00947F08">
        <w:rPr>
          <w:rFonts w:hint="eastAsia"/>
          <w:sz w:val="24"/>
        </w:rPr>
        <w:t>。主要包括</w:t>
      </w:r>
      <w:r w:rsidRPr="00947F08">
        <w:rPr>
          <w:rFonts w:hint="eastAsia"/>
          <w:sz w:val="24"/>
        </w:rPr>
        <w:lastRenderedPageBreak/>
        <w:t>产业集聚区、各类园区、重点城镇规划区内等开发强度高、污染物排放强度大的区域及生态环境问题相对集中的区域。重点管控单元主要推动空间布局优化和产业结构转型升级，按照差别化的生态环境准入要求，坚决遏制高耗能、高排放项目盲目发展，深化污染治理，提高资源利用效率，减少污染物排放，防控生态环境风险，稳步改善生态环境质量。</w:t>
      </w:r>
    </w:p>
    <w:p w:rsidR="00947F08" w:rsidRPr="00947F08" w:rsidRDefault="00947F08" w:rsidP="00947F08">
      <w:pPr>
        <w:spacing w:line="520" w:lineRule="exact"/>
        <w:ind w:firstLineChars="200" w:firstLine="480"/>
        <w:rPr>
          <w:sz w:val="24"/>
        </w:rPr>
      </w:pPr>
      <w:r w:rsidRPr="00947F08">
        <w:rPr>
          <w:rFonts w:hint="eastAsia"/>
          <w:sz w:val="24"/>
        </w:rPr>
        <w:t>(</w:t>
      </w:r>
      <w:r w:rsidRPr="00947F08">
        <w:rPr>
          <w:rFonts w:hint="eastAsia"/>
          <w:sz w:val="24"/>
        </w:rPr>
        <w:t>三</w:t>
      </w:r>
      <w:r w:rsidRPr="00947F08">
        <w:rPr>
          <w:rFonts w:hint="eastAsia"/>
          <w:sz w:val="24"/>
        </w:rPr>
        <w:t>)</w:t>
      </w:r>
      <w:r w:rsidRPr="00947F08">
        <w:rPr>
          <w:rFonts w:hint="eastAsia"/>
          <w:sz w:val="24"/>
        </w:rPr>
        <w:t>一般管控单元。一般管控单元</w:t>
      </w:r>
      <w:r w:rsidRPr="00947F08">
        <w:rPr>
          <w:rFonts w:hint="eastAsia"/>
          <w:sz w:val="24"/>
        </w:rPr>
        <w:t>5</w:t>
      </w:r>
      <w:r w:rsidRPr="00947F08">
        <w:rPr>
          <w:rFonts w:hint="eastAsia"/>
          <w:sz w:val="24"/>
        </w:rPr>
        <w:t>个，占全市国土面积的</w:t>
      </w:r>
      <w:r w:rsidRPr="00947F08">
        <w:rPr>
          <w:rFonts w:hint="eastAsia"/>
          <w:sz w:val="24"/>
        </w:rPr>
        <w:t>26.12%</w:t>
      </w:r>
      <w:r w:rsidRPr="00947F08">
        <w:rPr>
          <w:rFonts w:hint="eastAsia"/>
          <w:sz w:val="24"/>
        </w:rPr>
        <w:t>，主要是以农业生产活动为主的区域，为优先保护单元、重点管控单元以外的区域。一般管控单元以经济社会可持续发展为导向，主要落实生态环境保护的基本要求，生态环境质量得到保持或改善。</w:t>
      </w:r>
    </w:p>
    <w:p w:rsidR="00947F08" w:rsidRDefault="00947F08" w:rsidP="00947F08">
      <w:pPr>
        <w:spacing w:line="520" w:lineRule="exact"/>
        <w:ind w:firstLineChars="200" w:firstLine="480"/>
        <w:rPr>
          <w:rFonts w:hint="eastAsia"/>
          <w:sz w:val="24"/>
        </w:rPr>
      </w:pPr>
      <w:r w:rsidRPr="00947F08">
        <w:rPr>
          <w:rFonts w:hint="eastAsia"/>
          <w:sz w:val="24"/>
        </w:rPr>
        <w:t>(</w:t>
      </w:r>
      <w:r w:rsidRPr="00947F08">
        <w:rPr>
          <w:rFonts w:hint="eastAsia"/>
          <w:sz w:val="24"/>
        </w:rPr>
        <w:t>四</w:t>
      </w:r>
      <w:r w:rsidRPr="00947F08">
        <w:rPr>
          <w:rFonts w:hint="eastAsia"/>
          <w:sz w:val="24"/>
        </w:rPr>
        <w:t>)</w:t>
      </w:r>
      <w:r w:rsidRPr="00947F08">
        <w:rPr>
          <w:rFonts w:hint="eastAsia"/>
          <w:sz w:val="24"/>
        </w:rPr>
        <w:t>生态环境准入清单。以环境管控单元为基础，从空间布局约束、污染物排放管控、环境风险防控、资源开发利用效率四个维度，建立“</w:t>
      </w:r>
      <w:r w:rsidRPr="00947F08">
        <w:rPr>
          <w:rFonts w:hint="eastAsia"/>
          <w:sz w:val="24"/>
        </w:rPr>
        <w:t>1+48</w:t>
      </w:r>
      <w:r w:rsidRPr="00947F08">
        <w:rPr>
          <w:rFonts w:hint="eastAsia"/>
          <w:sz w:val="24"/>
        </w:rPr>
        <w:t>”两个层级的生态环境准入清单。“</w:t>
      </w:r>
      <w:r w:rsidRPr="00947F08">
        <w:rPr>
          <w:rFonts w:hint="eastAsia"/>
          <w:sz w:val="24"/>
        </w:rPr>
        <w:t>1</w:t>
      </w:r>
      <w:r w:rsidRPr="00947F08">
        <w:rPr>
          <w:rFonts w:hint="eastAsia"/>
          <w:sz w:val="24"/>
        </w:rPr>
        <w:t>”为全市生态环境总体准入要求，“</w:t>
      </w:r>
      <w:r w:rsidRPr="00947F08">
        <w:rPr>
          <w:rFonts w:hint="eastAsia"/>
          <w:sz w:val="24"/>
        </w:rPr>
        <w:t>48</w:t>
      </w:r>
      <w:r w:rsidRPr="00947F08">
        <w:rPr>
          <w:rFonts w:hint="eastAsia"/>
          <w:sz w:val="24"/>
        </w:rPr>
        <w:t>”为各环境管控单元环境准入及管控要求。</w:t>
      </w:r>
    </w:p>
    <w:p w:rsidR="00DD3693" w:rsidRDefault="00947F08" w:rsidP="00947F08">
      <w:pPr>
        <w:spacing w:line="520" w:lineRule="exact"/>
        <w:ind w:firstLineChars="200" w:firstLine="482"/>
        <w:rPr>
          <w:b/>
          <w:i/>
          <w:sz w:val="24"/>
          <w:u w:val="single"/>
        </w:rPr>
      </w:pPr>
      <w:r w:rsidRPr="00326173">
        <w:rPr>
          <w:rFonts w:hint="eastAsia"/>
          <w:b/>
          <w:i/>
          <w:sz w:val="24"/>
          <w:u w:val="single"/>
        </w:rPr>
        <w:t>根据《许昌市人民政府关于实施“三线一单”生态环境分区管控的意见》（许政</w:t>
      </w:r>
      <w:r w:rsidRPr="00326173">
        <w:rPr>
          <w:rFonts w:hint="eastAsia"/>
          <w:b/>
          <w:i/>
          <w:sz w:val="24"/>
          <w:u w:val="single"/>
        </w:rPr>
        <w:t xml:space="preserve">[2021]18 </w:t>
      </w:r>
      <w:r w:rsidRPr="00326173">
        <w:rPr>
          <w:rFonts w:hint="eastAsia"/>
          <w:b/>
          <w:i/>
          <w:sz w:val="24"/>
          <w:u w:val="single"/>
        </w:rPr>
        <w:t>号）</w:t>
      </w:r>
      <w:r w:rsidRPr="00947F08">
        <w:rPr>
          <w:b/>
          <w:i/>
          <w:sz w:val="24"/>
          <w:u w:val="single"/>
        </w:rPr>
        <w:t>，本项目位于</w:t>
      </w:r>
      <w:r>
        <w:rPr>
          <w:rFonts w:hint="eastAsia"/>
          <w:b/>
          <w:i/>
          <w:sz w:val="24"/>
          <w:u w:val="single"/>
        </w:rPr>
        <w:t>禹州市鸠山镇</w:t>
      </w:r>
      <w:r w:rsidRPr="00947F08">
        <w:rPr>
          <w:b/>
          <w:i/>
          <w:sz w:val="24"/>
          <w:u w:val="single"/>
        </w:rPr>
        <w:t>，不涉及自然保护区、风景名胜区、饮用水水源保护区，不占用永久基本农田。</w:t>
      </w:r>
      <w:r w:rsidR="00DD3693" w:rsidRPr="00DD3693">
        <w:rPr>
          <w:b/>
          <w:i/>
          <w:sz w:val="24"/>
          <w:u w:val="single"/>
        </w:rPr>
        <w:t>不涉及生态保护红线，因此符合生态保护红线要求。</w:t>
      </w:r>
    </w:p>
    <w:p w:rsidR="00947F08" w:rsidRDefault="00947F08" w:rsidP="00947F08">
      <w:pPr>
        <w:spacing w:line="520" w:lineRule="exact"/>
        <w:ind w:firstLineChars="200" w:firstLine="482"/>
        <w:rPr>
          <w:b/>
          <w:i/>
          <w:sz w:val="24"/>
          <w:u w:val="single"/>
        </w:rPr>
      </w:pPr>
      <w:r w:rsidRPr="00947F08">
        <w:rPr>
          <w:b/>
          <w:i/>
          <w:sz w:val="24"/>
          <w:u w:val="single"/>
        </w:rPr>
        <w:t>本项目位于重点管控单元，重点管控单元主要推动空间布局优化和产业结构转型升级，按照差别化的生态环境准入要求，坚决遏制高耗能、高排放项目盲目发展，深化污染治理，提高资源利用效率，减少污染物排放，防控生态环境风险，稳步改善生态环境质量。</w:t>
      </w:r>
      <w:r w:rsidRPr="00947F08">
        <w:rPr>
          <w:b/>
          <w:i/>
          <w:sz w:val="24"/>
          <w:u w:val="single"/>
        </w:rPr>
        <w:t xml:space="preserve"> </w:t>
      </w:r>
    </w:p>
    <w:p w:rsidR="00240BCE" w:rsidRPr="00326173" w:rsidRDefault="00947F08" w:rsidP="00947F08">
      <w:pPr>
        <w:spacing w:line="520" w:lineRule="exact"/>
        <w:ind w:firstLineChars="200" w:firstLine="482"/>
        <w:rPr>
          <w:b/>
          <w:i/>
          <w:sz w:val="24"/>
          <w:u w:val="single"/>
        </w:rPr>
      </w:pPr>
      <w:r w:rsidRPr="00947F08">
        <w:rPr>
          <w:b/>
          <w:i/>
          <w:sz w:val="24"/>
          <w:u w:val="single"/>
        </w:rPr>
        <w:t>本项目</w:t>
      </w:r>
      <w:r>
        <w:rPr>
          <w:rFonts w:hint="eastAsia"/>
          <w:b/>
          <w:i/>
          <w:sz w:val="24"/>
          <w:u w:val="single"/>
        </w:rPr>
        <w:t>为煤矿地下开采项目</w:t>
      </w:r>
      <w:r w:rsidRPr="00947F08">
        <w:rPr>
          <w:b/>
          <w:i/>
          <w:sz w:val="24"/>
          <w:u w:val="single"/>
        </w:rPr>
        <w:t>，</w:t>
      </w:r>
      <w:r>
        <w:rPr>
          <w:rFonts w:hint="eastAsia"/>
          <w:b/>
          <w:i/>
          <w:sz w:val="24"/>
          <w:u w:val="single"/>
        </w:rPr>
        <w:t>不属于</w:t>
      </w:r>
      <w:r w:rsidRPr="00947F08">
        <w:rPr>
          <w:b/>
          <w:i/>
          <w:sz w:val="24"/>
          <w:u w:val="single"/>
        </w:rPr>
        <w:t>高耗能、高排放项目，</w:t>
      </w:r>
      <w:r>
        <w:rPr>
          <w:rFonts w:hint="eastAsia"/>
          <w:b/>
          <w:i/>
          <w:sz w:val="24"/>
          <w:u w:val="single"/>
        </w:rPr>
        <w:t>采取污染防治措施后</w:t>
      </w:r>
      <w:r w:rsidRPr="00947F08">
        <w:rPr>
          <w:b/>
          <w:i/>
          <w:sz w:val="24"/>
          <w:u w:val="single"/>
        </w:rPr>
        <w:t>，满足</w:t>
      </w:r>
      <w:r>
        <w:rPr>
          <w:rFonts w:hint="eastAsia"/>
          <w:b/>
          <w:i/>
          <w:sz w:val="24"/>
          <w:u w:val="single"/>
        </w:rPr>
        <w:t>达标排放等</w:t>
      </w:r>
      <w:r w:rsidRPr="00947F08">
        <w:rPr>
          <w:b/>
          <w:i/>
          <w:sz w:val="24"/>
          <w:u w:val="single"/>
        </w:rPr>
        <w:t>生态环境保护要求。</w:t>
      </w:r>
      <w:r w:rsidRPr="00947F08">
        <w:rPr>
          <w:b/>
          <w:i/>
          <w:sz w:val="24"/>
          <w:u w:val="single"/>
        </w:rPr>
        <w:t xml:space="preserve"> </w:t>
      </w:r>
      <w:r>
        <w:rPr>
          <w:rFonts w:hint="eastAsia"/>
          <w:b/>
          <w:i/>
          <w:sz w:val="24"/>
          <w:u w:val="single"/>
        </w:rPr>
        <w:t>因此</w:t>
      </w:r>
      <w:r w:rsidRPr="00947F08">
        <w:rPr>
          <w:b/>
          <w:i/>
          <w:sz w:val="24"/>
          <w:u w:val="single"/>
        </w:rPr>
        <w:t>项目建设符合</w:t>
      </w:r>
      <w:r>
        <w:rPr>
          <w:rFonts w:hint="eastAsia"/>
          <w:b/>
          <w:i/>
          <w:sz w:val="24"/>
          <w:u w:val="single"/>
        </w:rPr>
        <w:t>许昌市</w:t>
      </w:r>
      <w:r w:rsidRPr="00947F08">
        <w:rPr>
          <w:b/>
          <w:i/>
          <w:sz w:val="24"/>
          <w:u w:val="single"/>
        </w:rPr>
        <w:t>“</w:t>
      </w:r>
      <w:r w:rsidRPr="00947F08">
        <w:rPr>
          <w:b/>
          <w:i/>
          <w:sz w:val="24"/>
          <w:u w:val="single"/>
        </w:rPr>
        <w:t>三线一单</w:t>
      </w:r>
      <w:r w:rsidRPr="00947F08">
        <w:rPr>
          <w:b/>
          <w:i/>
          <w:sz w:val="24"/>
          <w:u w:val="single"/>
        </w:rPr>
        <w:t>”</w:t>
      </w:r>
      <w:r w:rsidRPr="00947F08">
        <w:rPr>
          <w:b/>
          <w:i/>
          <w:sz w:val="24"/>
          <w:u w:val="single"/>
        </w:rPr>
        <w:t>要求。</w:t>
      </w:r>
    </w:p>
    <w:p w:rsidR="00240BCE" w:rsidRDefault="006D7D3F" w:rsidP="00D96421">
      <w:pPr>
        <w:spacing w:line="520" w:lineRule="exact"/>
        <w:ind w:firstLineChars="200" w:firstLine="482"/>
        <w:rPr>
          <w:sz w:val="24"/>
        </w:rPr>
      </w:pPr>
      <w:r w:rsidRPr="006D7D3F">
        <w:rPr>
          <w:rFonts w:hint="eastAsia"/>
          <w:b/>
          <w:i/>
          <w:sz w:val="24"/>
          <w:u w:val="single"/>
        </w:rPr>
        <w:t>另外根据</w:t>
      </w:r>
      <w:r>
        <w:rPr>
          <w:rFonts w:hint="eastAsia"/>
          <w:b/>
          <w:i/>
          <w:sz w:val="24"/>
          <w:u w:val="single"/>
        </w:rPr>
        <w:t>《</w:t>
      </w:r>
      <w:r w:rsidRPr="006D7D3F">
        <w:rPr>
          <w:rFonts w:hint="eastAsia"/>
          <w:b/>
          <w:i/>
          <w:sz w:val="24"/>
          <w:u w:val="single"/>
        </w:rPr>
        <w:t>许昌市</w:t>
      </w:r>
      <w:r w:rsidRPr="006D7D3F">
        <w:rPr>
          <w:b/>
          <w:i/>
          <w:sz w:val="24"/>
          <w:u w:val="single"/>
        </w:rPr>
        <w:t>生态环境准入清单</w:t>
      </w:r>
      <w:r>
        <w:rPr>
          <w:rFonts w:hint="eastAsia"/>
          <w:b/>
          <w:i/>
          <w:sz w:val="24"/>
          <w:u w:val="single"/>
        </w:rPr>
        <w:t>》（</w:t>
      </w:r>
      <w:r>
        <w:rPr>
          <w:rFonts w:hint="eastAsia"/>
          <w:b/>
          <w:i/>
          <w:sz w:val="24"/>
          <w:u w:val="single"/>
        </w:rPr>
        <w:t>2021</w:t>
      </w:r>
      <w:r>
        <w:rPr>
          <w:rFonts w:hint="eastAsia"/>
          <w:b/>
          <w:i/>
          <w:sz w:val="24"/>
          <w:u w:val="single"/>
        </w:rPr>
        <w:t>），</w:t>
      </w:r>
      <w:r w:rsidR="00CE2B24">
        <w:rPr>
          <w:rFonts w:hint="eastAsia"/>
          <w:b/>
          <w:i/>
          <w:sz w:val="24"/>
          <w:u w:val="single"/>
        </w:rPr>
        <w:t>本项目位于禹州市生态环境重点管控单元，不在生态红线内，项目类别符合相关管控要求。</w:t>
      </w:r>
      <w:r w:rsidR="00F845DF">
        <w:rPr>
          <w:rFonts w:hint="eastAsia"/>
          <w:b/>
          <w:i/>
          <w:sz w:val="24"/>
          <w:u w:val="single"/>
        </w:rPr>
        <w:t>见附图</w:t>
      </w:r>
      <w:r w:rsidR="00F845DF">
        <w:rPr>
          <w:rFonts w:hint="eastAsia"/>
          <w:b/>
          <w:i/>
          <w:sz w:val="24"/>
          <w:u w:val="single"/>
        </w:rPr>
        <w:t>16</w:t>
      </w:r>
      <w:r w:rsidR="00863127">
        <w:rPr>
          <w:rFonts w:hint="eastAsia"/>
          <w:b/>
          <w:i/>
          <w:sz w:val="24"/>
          <w:u w:val="single"/>
        </w:rPr>
        <w:t>。</w:t>
      </w:r>
    </w:p>
    <w:p w:rsidR="00240BCE" w:rsidRDefault="00AC0334">
      <w:pPr>
        <w:pStyle w:val="1"/>
        <w:spacing w:before="120" w:after="120" w:line="360" w:lineRule="auto"/>
        <w:jc w:val="center"/>
        <w:rPr>
          <w:rFonts w:eastAsia="黑体"/>
          <w:b w:val="0"/>
          <w:sz w:val="36"/>
          <w:szCs w:val="36"/>
        </w:rPr>
      </w:pPr>
      <w:bookmarkStart w:id="913" w:name="_Toc145154973"/>
      <w:bookmarkStart w:id="914" w:name="_Toc145246850"/>
      <w:bookmarkStart w:id="915" w:name="_Toc151179243"/>
      <w:bookmarkStart w:id="916" w:name="_Toc158525085"/>
      <w:bookmarkStart w:id="917" w:name="_Toc79668765"/>
      <w:bookmarkEnd w:id="879"/>
      <w:bookmarkEnd w:id="880"/>
      <w:bookmarkEnd w:id="881"/>
      <w:r>
        <w:rPr>
          <w:rFonts w:eastAsia="黑体"/>
          <w:b w:val="0"/>
          <w:sz w:val="36"/>
          <w:szCs w:val="36"/>
        </w:rPr>
        <w:br w:type="page"/>
      </w:r>
      <w:bookmarkStart w:id="918" w:name="_Toc81934419"/>
      <w:r>
        <w:rPr>
          <w:rFonts w:eastAsia="黑体"/>
          <w:b w:val="0"/>
          <w:sz w:val="36"/>
          <w:szCs w:val="36"/>
        </w:rPr>
        <w:lastRenderedPageBreak/>
        <w:t xml:space="preserve">11 </w:t>
      </w:r>
      <w:r>
        <w:rPr>
          <w:rFonts w:eastAsia="黑体"/>
          <w:b w:val="0"/>
          <w:sz w:val="36"/>
          <w:szCs w:val="36"/>
        </w:rPr>
        <w:t>评价结论与建议</w:t>
      </w:r>
      <w:bookmarkEnd w:id="913"/>
      <w:bookmarkEnd w:id="914"/>
      <w:bookmarkEnd w:id="915"/>
      <w:bookmarkEnd w:id="916"/>
      <w:bookmarkEnd w:id="917"/>
      <w:bookmarkEnd w:id="918"/>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919" w:name="_Toc154205619"/>
      <w:bookmarkStart w:id="920" w:name="_Toc158525086"/>
      <w:bookmarkStart w:id="921" w:name="_Toc79668766"/>
      <w:bookmarkStart w:id="922" w:name="_Toc81934420"/>
      <w:r>
        <w:rPr>
          <w:rFonts w:ascii="Times New Roman" w:eastAsia="宋体" w:hAnsi="Times New Roman"/>
          <w:bCs/>
          <w:szCs w:val="32"/>
        </w:rPr>
        <w:t xml:space="preserve">11.1 </w:t>
      </w:r>
      <w:bookmarkEnd w:id="919"/>
      <w:bookmarkEnd w:id="920"/>
      <w:r>
        <w:rPr>
          <w:rFonts w:ascii="Times New Roman" w:eastAsia="宋体" w:hAnsi="Times New Roman"/>
          <w:bCs/>
          <w:szCs w:val="32"/>
        </w:rPr>
        <w:t>项目概况及主要建设内容结论</w:t>
      </w:r>
      <w:bookmarkEnd w:id="921"/>
      <w:bookmarkEnd w:id="922"/>
    </w:p>
    <w:p w:rsidR="00240BCE" w:rsidRDefault="00AC0334">
      <w:pPr>
        <w:spacing w:line="520" w:lineRule="exact"/>
        <w:ind w:firstLineChars="200" w:firstLine="480"/>
        <w:rPr>
          <w:sz w:val="24"/>
        </w:rPr>
      </w:pPr>
      <w:r>
        <w:rPr>
          <w:sz w:val="24"/>
        </w:rPr>
        <w:t>禹州神火隆庆矿业有限公司隶属于河南神火集团有限公司下辖的郑州裕中煤业有限公司，前身为禹州市大山煤业有限公司，原禹州市大山煤业有限公司是由原禹州市鸠山乡东明煤矿、禹州市黄庄一矿及赵沟联办煤矿整合而成，整合后规模为</w:t>
      </w:r>
      <w:r>
        <w:rPr>
          <w:sz w:val="24"/>
        </w:rPr>
        <w:t>15t/a</w:t>
      </w:r>
      <w:r>
        <w:rPr>
          <w:sz w:val="24"/>
        </w:rPr>
        <w:t>。</w:t>
      </w:r>
      <w:r>
        <w:rPr>
          <w:sz w:val="24"/>
        </w:rPr>
        <w:t>2005</w:t>
      </w:r>
      <w:r>
        <w:rPr>
          <w:sz w:val="24"/>
        </w:rPr>
        <w:t>年，义马广宇工程设计咨询有限责任公司完成了《禹州市大山煤业有限公司技术改造初步设计》，原河南省煤炭工业局以豫煤行〔</w:t>
      </w:r>
      <w:r>
        <w:rPr>
          <w:sz w:val="24"/>
        </w:rPr>
        <w:t>2006</w:t>
      </w:r>
      <w:r>
        <w:rPr>
          <w:sz w:val="24"/>
        </w:rPr>
        <w:t>〕</w:t>
      </w:r>
      <w:r>
        <w:rPr>
          <w:sz w:val="24"/>
        </w:rPr>
        <w:t>389</w:t>
      </w:r>
      <w:r>
        <w:rPr>
          <w:sz w:val="24"/>
        </w:rPr>
        <w:t>号文批复了该初步设计。</w:t>
      </w:r>
      <w:r>
        <w:rPr>
          <w:sz w:val="24"/>
        </w:rPr>
        <w:t>2005</w:t>
      </w:r>
      <w:r>
        <w:rPr>
          <w:sz w:val="24"/>
        </w:rPr>
        <w:t>年</w:t>
      </w:r>
      <w:r>
        <w:rPr>
          <w:sz w:val="24"/>
        </w:rPr>
        <w:t>10</w:t>
      </w:r>
      <w:r>
        <w:rPr>
          <w:sz w:val="24"/>
        </w:rPr>
        <w:t>月许昌市环保研究所编写完成了《禹州市大山煤业有限公司年产</w:t>
      </w:r>
      <w:r>
        <w:rPr>
          <w:sz w:val="24"/>
        </w:rPr>
        <w:t>15</w:t>
      </w:r>
      <w:r>
        <w:rPr>
          <w:sz w:val="24"/>
        </w:rPr>
        <w:t>万吨煤炭开采技改项目环境影响报告表》，</w:t>
      </w:r>
      <w:r>
        <w:rPr>
          <w:sz w:val="24"/>
        </w:rPr>
        <w:t>2005</w:t>
      </w:r>
      <w:r>
        <w:rPr>
          <w:sz w:val="24"/>
        </w:rPr>
        <w:t>年</w:t>
      </w:r>
      <w:r>
        <w:rPr>
          <w:sz w:val="24"/>
        </w:rPr>
        <w:t>10</w:t>
      </w:r>
      <w:r>
        <w:rPr>
          <w:sz w:val="24"/>
        </w:rPr>
        <w:t>月</w:t>
      </w:r>
      <w:r>
        <w:rPr>
          <w:sz w:val="24"/>
        </w:rPr>
        <w:t>26</w:t>
      </w:r>
      <w:r>
        <w:rPr>
          <w:sz w:val="24"/>
        </w:rPr>
        <w:t>日许昌市环境保护局以许环建审【</w:t>
      </w:r>
      <w:r>
        <w:rPr>
          <w:sz w:val="24"/>
        </w:rPr>
        <w:t>2005</w:t>
      </w:r>
      <w:r>
        <w:rPr>
          <w:sz w:val="24"/>
        </w:rPr>
        <w:t>】</w:t>
      </w:r>
      <w:r>
        <w:rPr>
          <w:sz w:val="24"/>
        </w:rPr>
        <w:t>231</w:t>
      </w:r>
      <w:r>
        <w:rPr>
          <w:sz w:val="24"/>
        </w:rPr>
        <w:t>号批复了该报告表。</w:t>
      </w:r>
      <w:r>
        <w:rPr>
          <w:sz w:val="24"/>
        </w:rPr>
        <w:t>2010</w:t>
      </w:r>
      <w:r>
        <w:rPr>
          <w:sz w:val="24"/>
        </w:rPr>
        <w:t>年</w:t>
      </w:r>
      <w:r>
        <w:rPr>
          <w:sz w:val="24"/>
        </w:rPr>
        <w:t>5</w:t>
      </w:r>
      <w:r>
        <w:rPr>
          <w:sz w:val="24"/>
        </w:rPr>
        <w:t>月按照河南省兼并重组有关政策的要求，由神火集团对该矿实施兼并重组，其中神火集团控股</w:t>
      </w:r>
      <w:r>
        <w:rPr>
          <w:sz w:val="24"/>
        </w:rPr>
        <w:t>51%</w:t>
      </w:r>
      <w:r>
        <w:rPr>
          <w:sz w:val="24"/>
        </w:rPr>
        <w:t>，其他企业控股</w:t>
      </w:r>
      <w:r>
        <w:rPr>
          <w:sz w:val="24"/>
        </w:rPr>
        <w:t>49%</w:t>
      </w:r>
      <w:r>
        <w:rPr>
          <w:sz w:val="24"/>
        </w:rPr>
        <w:t>。</w:t>
      </w:r>
      <w:r>
        <w:rPr>
          <w:sz w:val="24"/>
        </w:rPr>
        <w:t>2011</w:t>
      </w:r>
      <w:r>
        <w:rPr>
          <w:sz w:val="24"/>
        </w:rPr>
        <w:t>年</w:t>
      </w:r>
      <w:r>
        <w:rPr>
          <w:sz w:val="24"/>
        </w:rPr>
        <w:t>9</w:t>
      </w:r>
      <w:r>
        <w:rPr>
          <w:sz w:val="24"/>
        </w:rPr>
        <w:t>月矿权人变更为</w:t>
      </w:r>
      <w:r>
        <w:rPr>
          <w:sz w:val="24"/>
        </w:rPr>
        <w:t>“</w:t>
      </w:r>
      <w:r>
        <w:rPr>
          <w:sz w:val="24"/>
        </w:rPr>
        <w:t>禹州神火隆庆矿业有限公司</w:t>
      </w:r>
      <w:r>
        <w:rPr>
          <w:sz w:val="24"/>
        </w:rPr>
        <w:t>”</w:t>
      </w:r>
      <w:r>
        <w:rPr>
          <w:sz w:val="24"/>
        </w:rPr>
        <w:t>。</w:t>
      </w:r>
      <w:r>
        <w:rPr>
          <w:sz w:val="24"/>
        </w:rPr>
        <w:t xml:space="preserve">2013 </w:t>
      </w:r>
      <w:r>
        <w:rPr>
          <w:sz w:val="24"/>
        </w:rPr>
        <w:t>年</w:t>
      </w:r>
      <w:r>
        <w:rPr>
          <w:sz w:val="24"/>
        </w:rPr>
        <w:t xml:space="preserve"> 9 </w:t>
      </w:r>
      <w:r>
        <w:rPr>
          <w:sz w:val="24"/>
        </w:rPr>
        <w:t>月办理了采矿许可证延续，有效期限</w:t>
      </w:r>
      <w:r>
        <w:rPr>
          <w:sz w:val="24"/>
        </w:rPr>
        <w:t xml:space="preserve"> 2013 </w:t>
      </w:r>
      <w:r>
        <w:rPr>
          <w:sz w:val="24"/>
        </w:rPr>
        <w:t>年</w:t>
      </w:r>
      <w:r>
        <w:rPr>
          <w:sz w:val="24"/>
        </w:rPr>
        <w:t xml:space="preserve"> 9 </w:t>
      </w:r>
      <w:r>
        <w:rPr>
          <w:sz w:val="24"/>
        </w:rPr>
        <w:t>月～</w:t>
      </w:r>
      <w:r>
        <w:rPr>
          <w:sz w:val="24"/>
        </w:rPr>
        <w:t xml:space="preserve">2023 </w:t>
      </w:r>
      <w:r>
        <w:rPr>
          <w:sz w:val="24"/>
        </w:rPr>
        <w:t>年</w:t>
      </w:r>
      <w:r>
        <w:rPr>
          <w:sz w:val="24"/>
        </w:rPr>
        <w:t xml:space="preserve"> 9 </w:t>
      </w:r>
      <w:r>
        <w:rPr>
          <w:sz w:val="24"/>
        </w:rPr>
        <w:t>月。根据采矿许可证，矿区面积</w:t>
      </w:r>
      <w:r>
        <w:rPr>
          <w:sz w:val="24"/>
        </w:rPr>
        <w:t>2.2726km</w:t>
      </w:r>
      <w:r>
        <w:rPr>
          <w:sz w:val="24"/>
          <w:vertAlign w:val="superscript"/>
        </w:rPr>
        <w:t>2</w:t>
      </w:r>
      <w:r>
        <w:rPr>
          <w:sz w:val="24"/>
        </w:rPr>
        <w:t>，限采二</w:t>
      </w:r>
      <w:r>
        <w:rPr>
          <w:sz w:val="24"/>
          <w:vertAlign w:val="subscript"/>
        </w:rPr>
        <w:t>1</w:t>
      </w:r>
      <w:r>
        <w:rPr>
          <w:sz w:val="24"/>
        </w:rPr>
        <w:t>、四</w:t>
      </w:r>
      <w:r>
        <w:rPr>
          <w:sz w:val="24"/>
          <w:vertAlign w:val="subscript"/>
        </w:rPr>
        <w:t>2</w:t>
      </w:r>
      <w:r>
        <w:rPr>
          <w:sz w:val="24"/>
        </w:rPr>
        <w:t>煤层，限采标高</w:t>
      </w:r>
      <w:r>
        <w:rPr>
          <w:sz w:val="24"/>
        </w:rPr>
        <w:t>+270</w:t>
      </w:r>
      <w:r>
        <w:rPr>
          <w:sz w:val="24"/>
        </w:rPr>
        <w:t>～</w:t>
      </w:r>
      <w:r>
        <w:rPr>
          <w:sz w:val="24"/>
        </w:rPr>
        <w:t>-465m</w:t>
      </w:r>
      <w:r>
        <w:rPr>
          <w:sz w:val="24"/>
        </w:rPr>
        <w:t>。</w:t>
      </w:r>
    </w:p>
    <w:p w:rsidR="00240BCE" w:rsidRDefault="00AC0334">
      <w:pPr>
        <w:spacing w:line="520" w:lineRule="exact"/>
        <w:ind w:firstLineChars="200" w:firstLine="480"/>
        <w:rPr>
          <w:sz w:val="24"/>
        </w:rPr>
      </w:pPr>
      <w:r>
        <w:rPr>
          <w:sz w:val="24"/>
        </w:rPr>
        <w:t>2017</w:t>
      </w:r>
      <w:r>
        <w:rPr>
          <w:sz w:val="24"/>
        </w:rPr>
        <w:t>年</w:t>
      </w:r>
      <w:r>
        <w:rPr>
          <w:sz w:val="24"/>
        </w:rPr>
        <w:t>6</w:t>
      </w:r>
      <w:r>
        <w:rPr>
          <w:sz w:val="24"/>
        </w:rPr>
        <w:t>月，隆庆煤矿根据禹州市煤炭企业兼并重组领导小组办公室下发《关于批准禹州神火隆庆矿业有限公司进行井下隐患整改的通知》（禹煤重组办〔</w:t>
      </w:r>
      <w:r>
        <w:rPr>
          <w:sz w:val="24"/>
        </w:rPr>
        <w:t>2017</w:t>
      </w:r>
      <w:r>
        <w:rPr>
          <w:sz w:val="24"/>
        </w:rPr>
        <w:t>〕</w:t>
      </w:r>
      <w:r>
        <w:rPr>
          <w:sz w:val="24"/>
        </w:rPr>
        <w:t>1</w:t>
      </w:r>
      <w:r>
        <w:rPr>
          <w:sz w:val="24"/>
        </w:rPr>
        <w:t>号）开始隐患整改工作。</w:t>
      </w:r>
    </w:p>
    <w:p w:rsidR="00240BCE" w:rsidRDefault="008A6E6B">
      <w:pPr>
        <w:spacing w:line="520" w:lineRule="exact"/>
        <w:ind w:firstLineChars="200" w:firstLine="480"/>
        <w:rPr>
          <w:sz w:val="24"/>
        </w:rPr>
      </w:pPr>
      <w:r>
        <w:rPr>
          <w:rFonts w:hint="eastAsia"/>
          <w:sz w:val="24"/>
        </w:rPr>
        <w:t>由于</w:t>
      </w:r>
      <w:r w:rsidR="00AC0334">
        <w:rPr>
          <w:sz w:val="24"/>
        </w:rPr>
        <w:t>技改工作断断续续，时间跨度较大，根据</w:t>
      </w:r>
      <w:r w:rsidR="00AC0334">
        <w:rPr>
          <w:sz w:val="24"/>
        </w:rPr>
        <w:t>2011</w:t>
      </w:r>
      <w:r w:rsidR="00AC0334">
        <w:rPr>
          <w:sz w:val="24"/>
        </w:rPr>
        <w:t>年</w:t>
      </w:r>
      <w:r w:rsidR="00AC0334">
        <w:rPr>
          <w:sz w:val="24"/>
        </w:rPr>
        <w:t>8</w:t>
      </w:r>
      <w:r w:rsidR="00AC0334">
        <w:rPr>
          <w:sz w:val="24"/>
        </w:rPr>
        <w:t>月矿方提供的煤炭资源储量核实报告和</w:t>
      </w:r>
      <w:r w:rsidR="00AC0334">
        <w:rPr>
          <w:sz w:val="24"/>
        </w:rPr>
        <w:t>2017</w:t>
      </w:r>
      <w:r w:rsidR="00AC0334">
        <w:rPr>
          <w:sz w:val="24"/>
        </w:rPr>
        <w:t>年</w:t>
      </w:r>
      <w:r w:rsidR="00AC0334">
        <w:rPr>
          <w:sz w:val="24"/>
        </w:rPr>
        <w:t>7</w:t>
      </w:r>
      <w:r w:rsidR="00AC0334">
        <w:rPr>
          <w:sz w:val="24"/>
        </w:rPr>
        <w:t>月矿方提供的水文地质报告，井下地质条件发生变化，矿井涌水量亦发生了较大变化。为能够真实反映矿井的建设状况，同时为矿井下一步的建设、生产管理提供较为准确、详实的资料，</w:t>
      </w:r>
      <w:r w:rsidR="00AC0334">
        <w:rPr>
          <w:sz w:val="24"/>
        </w:rPr>
        <w:t>2018</w:t>
      </w:r>
      <w:r w:rsidR="00AC0334">
        <w:rPr>
          <w:sz w:val="24"/>
        </w:rPr>
        <w:t>年</w:t>
      </w:r>
      <w:r w:rsidR="00AC0334">
        <w:rPr>
          <w:sz w:val="24"/>
        </w:rPr>
        <w:t>3</w:t>
      </w:r>
      <w:r w:rsidR="00AC0334">
        <w:rPr>
          <w:sz w:val="24"/>
        </w:rPr>
        <w:t>月，隆庆煤矿委托原中赟国际工程股份有限公司编制了《禹州神火隆庆矿业有限公司技术改造初步设计（修改）》，该报告获河南省煤炭工业管理办公室以</w:t>
      </w:r>
      <w:r w:rsidR="00AC0334">
        <w:rPr>
          <w:sz w:val="24"/>
        </w:rPr>
        <w:t>“</w:t>
      </w:r>
      <w:r w:rsidR="00AC0334">
        <w:rPr>
          <w:sz w:val="24"/>
        </w:rPr>
        <w:t>豫煤行〔</w:t>
      </w:r>
      <w:r w:rsidR="00AC0334">
        <w:rPr>
          <w:sz w:val="24"/>
        </w:rPr>
        <w:t>2018</w:t>
      </w:r>
      <w:r w:rsidR="00AC0334">
        <w:rPr>
          <w:sz w:val="24"/>
        </w:rPr>
        <w:t>〕</w:t>
      </w:r>
      <w:r w:rsidR="00AC0334">
        <w:rPr>
          <w:sz w:val="24"/>
        </w:rPr>
        <w:t>105</w:t>
      </w:r>
      <w:r w:rsidR="00AC0334">
        <w:rPr>
          <w:sz w:val="24"/>
        </w:rPr>
        <w:t>号</w:t>
      </w:r>
      <w:r w:rsidR="00AC0334">
        <w:rPr>
          <w:sz w:val="24"/>
        </w:rPr>
        <w:t>”</w:t>
      </w:r>
      <w:r w:rsidR="00AC0334">
        <w:rPr>
          <w:sz w:val="24"/>
        </w:rPr>
        <w:t>文批复同意，矿井设计生产能力</w:t>
      </w:r>
      <w:r w:rsidR="00AC0334">
        <w:rPr>
          <w:sz w:val="24"/>
        </w:rPr>
        <w:t>0.15Mt/a</w:t>
      </w:r>
      <w:r w:rsidR="00AC0334">
        <w:rPr>
          <w:sz w:val="24"/>
        </w:rPr>
        <w:t>，开采二</w:t>
      </w:r>
      <w:r w:rsidR="00AC0334">
        <w:rPr>
          <w:sz w:val="24"/>
          <w:vertAlign w:val="subscript"/>
        </w:rPr>
        <w:t>1</w:t>
      </w:r>
      <w:r w:rsidR="00AC0334">
        <w:rPr>
          <w:sz w:val="24"/>
        </w:rPr>
        <w:t>、四</w:t>
      </w:r>
      <w:r w:rsidR="00AC0334">
        <w:rPr>
          <w:sz w:val="24"/>
          <w:vertAlign w:val="subscript"/>
        </w:rPr>
        <w:t>2</w:t>
      </w:r>
      <w:r w:rsidR="00AC0334">
        <w:rPr>
          <w:sz w:val="24"/>
        </w:rPr>
        <w:t>煤层，先开采二</w:t>
      </w:r>
      <w:r w:rsidR="00AC0334">
        <w:rPr>
          <w:sz w:val="24"/>
          <w:vertAlign w:val="subscript"/>
        </w:rPr>
        <w:t>1</w:t>
      </w:r>
      <w:r w:rsidR="00AC0334">
        <w:rPr>
          <w:sz w:val="24"/>
        </w:rPr>
        <w:t>煤层，后开采四</w:t>
      </w:r>
      <w:r w:rsidR="00AC0334">
        <w:rPr>
          <w:sz w:val="24"/>
          <w:vertAlign w:val="subscript"/>
        </w:rPr>
        <w:t>2</w:t>
      </w:r>
      <w:r w:rsidR="00AC0334">
        <w:rPr>
          <w:sz w:val="24"/>
        </w:rPr>
        <w:t>煤层，</w:t>
      </w:r>
      <w:r w:rsidR="00AC0334">
        <w:rPr>
          <w:sz w:val="24"/>
        </w:rPr>
        <w:lastRenderedPageBreak/>
        <w:t>限采标高</w:t>
      </w:r>
      <w:r w:rsidR="00AC0334">
        <w:rPr>
          <w:sz w:val="24"/>
        </w:rPr>
        <w:t>+270</w:t>
      </w:r>
      <w:r w:rsidR="00AC0334">
        <w:rPr>
          <w:sz w:val="24"/>
        </w:rPr>
        <w:t>～</w:t>
      </w:r>
      <w:r w:rsidR="00AC0334">
        <w:rPr>
          <w:sz w:val="24"/>
        </w:rPr>
        <w:t>-465m</w:t>
      </w:r>
      <w:r w:rsidR="00AC0334">
        <w:rPr>
          <w:sz w:val="24"/>
        </w:rPr>
        <w:t>。矿井首采工作面采用悬移支架炮采放顶煤采煤工艺，接替工作面采用综合机械化放顶煤采煤工艺。</w:t>
      </w:r>
    </w:p>
    <w:p w:rsidR="00240BCE" w:rsidRDefault="00AC0334">
      <w:pPr>
        <w:spacing w:line="520" w:lineRule="exact"/>
        <w:ind w:firstLineChars="200" w:firstLine="480"/>
        <w:rPr>
          <w:sz w:val="24"/>
        </w:rPr>
      </w:pPr>
      <w:r>
        <w:rPr>
          <w:sz w:val="24"/>
        </w:rPr>
        <w:t>根据国家发展改革委《关于印发</w:t>
      </w:r>
      <w:r>
        <w:rPr>
          <w:sz w:val="24"/>
        </w:rPr>
        <w:t>30</w:t>
      </w:r>
      <w:r>
        <w:rPr>
          <w:sz w:val="24"/>
        </w:rPr>
        <w:t>万吨</w:t>
      </w:r>
      <w:r>
        <w:rPr>
          <w:sz w:val="24"/>
        </w:rPr>
        <w:t>/</w:t>
      </w:r>
      <w:r>
        <w:rPr>
          <w:sz w:val="24"/>
        </w:rPr>
        <w:t>年以下煤矿分类处置工作方案的通知》（</w:t>
      </w:r>
      <w:r>
        <w:rPr>
          <w:sz w:val="24"/>
        </w:rPr>
        <w:t>“</w:t>
      </w:r>
      <w:r>
        <w:rPr>
          <w:sz w:val="24"/>
        </w:rPr>
        <w:t>发改能源〔</w:t>
      </w:r>
      <w:r>
        <w:rPr>
          <w:sz w:val="24"/>
        </w:rPr>
        <w:t>2019</w:t>
      </w:r>
      <w:r>
        <w:rPr>
          <w:sz w:val="24"/>
        </w:rPr>
        <w:t>〕</w:t>
      </w:r>
      <w:r>
        <w:rPr>
          <w:sz w:val="24"/>
        </w:rPr>
        <w:t>1377</w:t>
      </w:r>
      <w:r>
        <w:rPr>
          <w:sz w:val="24"/>
        </w:rPr>
        <w:t>号</w:t>
      </w:r>
      <w:r>
        <w:rPr>
          <w:sz w:val="24"/>
        </w:rPr>
        <w:t>”</w:t>
      </w:r>
      <w:r>
        <w:rPr>
          <w:sz w:val="24"/>
        </w:rPr>
        <w:t>）文</w:t>
      </w:r>
      <w:r>
        <w:rPr>
          <w:sz w:val="24"/>
        </w:rPr>
        <w:t>“</w:t>
      </w:r>
      <w:r>
        <w:rPr>
          <w:sz w:val="24"/>
        </w:rPr>
        <w:t>支持剩余资源有保障，安全条件较好的煤矿改造提升至</w:t>
      </w:r>
      <w:r>
        <w:rPr>
          <w:sz w:val="24"/>
        </w:rPr>
        <w:t>30</w:t>
      </w:r>
      <w:r>
        <w:rPr>
          <w:sz w:val="24"/>
        </w:rPr>
        <w:t>万吨</w:t>
      </w:r>
      <w:r>
        <w:rPr>
          <w:sz w:val="24"/>
        </w:rPr>
        <w:t>/</w:t>
      </w:r>
      <w:r>
        <w:rPr>
          <w:sz w:val="24"/>
        </w:rPr>
        <w:t>年以上规模并实现机械化开采</w:t>
      </w:r>
      <w:r>
        <w:rPr>
          <w:sz w:val="24"/>
        </w:rPr>
        <w:t>”</w:t>
      </w:r>
      <w:r>
        <w:rPr>
          <w:sz w:val="24"/>
        </w:rPr>
        <w:t>的要求；根据河南省工业和信息化厅《关于切实做好全省</w:t>
      </w:r>
      <w:r>
        <w:rPr>
          <w:sz w:val="24"/>
        </w:rPr>
        <w:t>30</w:t>
      </w:r>
      <w:r>
        <w:rPr>
          <w:sz w:val="24"/>
        </w:rPr>
        <w:t>万吨</w:t>
      </w:r>
      <w:r>
        <w:rPr>
          <w:sz w:val="24"/>
        </w:rPr>
        <w:t>/</w:t>
      </w:r>
      <w:r>
        <w:rPr>
          <w:sz w:val="24"/>
        </w:rPr>
        <w:t>年以下煤矿分类处置工作的通知》（豫工信煤行〔</w:t>
      </w:r>
      <w:r>
        <w:rPr>
          <w:sz w:val="24"/>
        </w:rPr>
        <w:t>2020</w:t>
      </w:r>
      <w:r>
        <w:rPr>
          <w:sz w:val="24"/>
        </w:rPr>
        <w:t>〕</w:t>
      </w:r>
      <w:r>
        <w:rPr>
          <w:sz w:val="24"/>
        </w:rPr>
        <w:t>54</w:t>
      </w:r>
      <w:r>
        <w:rPr>
          <w:sz w:val="24"/>
        </w:rPr>
        <w:t>号）文：禹州神火隆庆矿业有限公司位于河南省</w:t>
      </w:r>
      <w:r>
        <w:rPr>
          <w:sz w:val="24"/>
        </w:rPr>
        <w:t>30</w:t>
      </w:r>
      <w:r>
        <w:rPr>
          <w:sz w:val="24"/>
        </w:rPr>
        <w:t>万吨</w:t>
      </w:r>
      <w:r>
        <w:rPr>
          <w:sz w:val="24"/>
        </w:rPr>
        <w:t>/</w:t>
      </w:r>
      <w:r>
        <w:rPr>
          <w:sz w:val="24"/>
        </w:rPr>
        <w:t>年以下煤矿分类处置中的</w:t>
      </w:r>
      <w:r>
        <w:rPr>
          <w:sz w:val="24"/>
        </w:rPr>
        <w:t>“</w:t>
      </w:r>
      <w:r>
        <w:rPr>
          <w:sz w:val="24"/>
        </w:rPr>
        <w:t>三、具备条件升级改造一批</w:t>
      </w:r>
      <w:r>
        <w:rPr>
          <w:sz w:val="24"/>
        </w:rPr>
        <w:t>”</w:t>
      </w:r>
      <w:r>
        <w:rPr>
          <w:sz w:val="24"/>
        </w:rPr>
        <w:t>名单中，应科学合理实施升级改造，升级改造方案由有资质的单位进行初步设计，按规定程序经批准后方可组织实施。鉴于以上原因，</w:t>
      </w:r>
      <w:r>
        <w:rPr>
          <w:sz w:val="24"/>
        </w:rPr>
        <w:t>2020</w:t>
      </w:r>
      <w:r>
        <w:rPr>
          <w:sz w:val="24"/>
        </w:rPr>
        <w:t>年</w:t>
      </w:r>
      <w:r>
        <w:rPr>
          <w:sz w:val="24"/>
        </w:rPr>
        <w:t>6</w:t>
      </w:r>
      <w:r>
        <w:rPr>
          <w:sz w:val="24"/>
        </w:rPr>
        <w:t>月，隆庆煤矿委托中赟国际工程有限公司编制完成了《禹州神火隆庆矿业有限公司技术改造初步设计》，该报告获河南省煤炭工业管理办公室以</w:t>
      </w:r>
      <w:r>
        <w:rPr>
          <w:sz w:val="24"/>
        </w:rPr>
        <w:t>“</w:t>
      </w:r>
      <w:r>
        <w:rPr>
          <w:sz w:val="24"/>
        </w:rPr>
        <w:t>豫煤行〔</w:t>
      </w:r>
      <w:r>
        <w:rPr>
          <w:sz w:val="24"/>
        </w:rPr>
        <w:t>2018</w:t>
      </w:r>
      <w:r>
        <w:rPr>
          <w:sz w:val="24"/>
        </w:rPr>
        <w:t>〕</w:t>
      </w:r>
      <w:r>
        <w:rPr>
          <w:sz w:val="24"/>
        </w:rPr>
        <w:t>105</w:t>
      </w:r>
      <w:r>
        <w:rPr>
          <w:sz w:val="24"/>
        </w:rPr>
        <w:t>号</w:t>
      </w:r>
      <w:r>
        <w:rPr>
          <w:sz w:val="24"/>
        </w:rPr>
        <w:t>”</w:t>
      </w:r>
      <w:r>
        <w:rPr>
          <w:sz w:val="24"/>
        </w:rPr>
        <w:t>文批复，本次升级改造主要将采煤工艺由悬移支架炮采放顶煤工艺变更为综合机械化放顶煤、安全监测监控系统由</w:t>
      </w:r>
      <w:r>
        <w:rPr>
          <w:sz w:val="24"/>
        </w:rPr>
        <w:t>KJ740X</w:t>
      </w:r>
      <w:r>
        <w:rPr>
          <w:sz w:val="24"/>
        </w:rPr>
        <w:t>型升级改造为</w:t>
      </w:r>
      <w:r>
        <w:rPr>
          <w:sz w:val="24"/>
        </w:rPr>
        <w:t>KJ101X</w:t>
      </w:r>
      <w:r>
        <w:rPr>
          <w:sz w:val="24"/>
        </w:rPr>
        <w:t>（</w:t>
      </w:r>
      <w:r>
        <w:rPr>
          <w:sz w:val="24"/>
        </w:rPr>
        <w:t>A</w:t>
      </w:r>
      <w:r>
        <w:rPr>
          <w:sz w:val="24"/>
        </w:rPr>
        <w:t>）型、对矿井现有</w:t>
      </w:r>
      <w:r>
        <w:rPr>
          <w:sz w:val="24"/>
        </w:rPr>
        <w:t>21010</w:t>
      </w:r>
      <w:r>
        <w:rPr>
          <w:sz w:val="24"/>
        </w:rPr>
        <w:t>工作面轨道运输顺槽和胶带运输顺槽进行扩刷以及对矿井现有各系统按照</w:t>
      </w:r>
      <w:r>
        <w:rPr>
          <w:sz w:val="24"/>
        </w:rPr>
        <w:t>0.30Mt/a</w:t>
      </w:r>
      <w:r>
        <w:rPr>
          <w:sz w:val="24"/>
        </w:rPr>
        <w:t>进行校核等，升级改造后设计生产能力</w:t>
      </w:r>
      <w:r>
        <w:rPr>
          <w:sz w:val="24"/>
        </w:rPr>
        <w:t>0.30Mt/a</w:t>
      </w:r>
      <w:r>
        <w:rPr>
          <w:sz w:val="24"/>
        </w:rPr>
        <w:t>，采用综采放顶煤采煤工艺。</w:t>
      </w:r>
    </w:p>
    <w:p w:rsidR="00240BCE" w:rsidRDefault="00AC0334">
      <w:pPr>
        <w:spacing w:line="520" w:lineRule="exact"/>
        <w:ind w:firstLineChars="200" w:firstLine="480"/>
        <w:rPr>
          <w:sz w:val="24"/>
        </w:rPr>
      </w:pPr>
      <w:r>
        <w:rPr>
          <w:sz w:val="24"/>
        </w:rPr>
        <w:t>根据初步设计，禹州神火隆庆矿业有限公司</w:t>
      </w:r>
      <w:r>
        <w:rPr>
          <w:sz w:val="24"/>
        </w:rPr>
        <w:t>30</w:t>
      </w:r>
      <w:r>
        <w:rPr>
          <w:sz w:val="24"/>
        </w:rPr>
        <w:t>万吨</w:t>
      </w:r>
      <w:r>
        <w:rPr>
          <w:sz w:val="24"/>
        </w:rPr>
        <w:t>/</w:t>
      </w:r>
      <w:r>
        <w:rPr>
          <w:sz w:val="24"/>
        </w:rPr>
        <w:t>年升级改造项目属于技术改造项目，</w:t>
      </w:r>
      <w:r>
        <w:rPr>
          <w:bCs/>
          <w:sz w:val="24"/>
        </w:rPr>
        <w:t>项目矿区范围由</w:t>
      </w:r>
      <w:r>
        <w:rPr>
          <w:bCs/>
          <w:sz w:val="24"/>
        </w:rPr>
        <w:t>9</w:t>
      </w:r>
      <w:r>
        <w:rPr>
          <w:bCs/>
          <w:sz w:val="24"/>
        </w:rPr>
        <w:t>个拐点圈定，矿区面积</w:t>
      </w:r>
      <w:r>
        <w:rPr>
          <w:bCs/>
          <w:sz w:val="24"/>
        </w:rPr>
        <w:t>2.2726km</w:t>
      </w:r>
      <w:r>
        <w:rPr>
          <w:bCs/>
          <w:sz w:val="24"/>
          <w:vertAlign w:val="superscript"/>
        </w:rPr>
        <w:t>2</w:t>
      </w:r>
      <w:r>
        <w:rPr>
          <w:bCs/>
          <w:sz w:val="24"/>
        </w:rPr>
        <w:t>，开采标高</w:t>
      </w:r>
      <w:r>
        <w:rPr>
          <w:bCs/>
          <w:sz w:val="24"/>
        </w:rPr>
        <w:t>+270</w:t>
      </w:r>
      <w:r>
        <w:rPr>
          <w:bCs/>
          <w:sz w:val="24"/>
        </w:rPr>
        <w:t>～</w:t>
      </w:r>
      <w:r>
        <w:rPr>
          <w:bCs/>
          <w:sz w:val="24"/>
        </w:rPr>
        <w:t>-465m</w:t>
      </w:r>
      <w:r>
        <w:rPr>
          <w:bCs/>
          <w:sz w:val="24"/>
        </w:rPr>
        <w:t>，</w:t>
      </w:r>
      <w:r>
        <w:rPr>
          <w:sz w:val="24"/>
        </w:rPr>
        <w:t>设计开采井田范围内的二</w:t>
      </w:r>
      <w:r>
        <w:rPr>
          <w:sz w:val="24"/>
          <w:vertAlign w:val="subscript"/>
        </w:rPr>
        <w:t>1</w:t>
      </w:r>
      <w:r>
        <w:rPr>
          <w:sz w:val="24"/>
        </w:rPr>
        <w:t>、四</w:t>
      </w:r>
      <w:r>
        <w:rPr>
          <w:sz w:val="24"/>
          <w:vertAlign w:val="subscript"/>
        </w:rPr>
        <w:t>2</w:t>
      </w:r>
      <w:r>
        <w:rPr>
          <w:sz w:val="24"/>
        </w:rPr>
        <w:t>两个可采煤层，</w:t>
      </w:r>
      <w:r>
        <w:rPr>
          <w:bCs/>
          <w:sz w:val="24"/>
        </w:rPr>
        <w:t>保有资源储量</w:t>
      </w:r>
      <w:r>
        <w:rPr>
          <w:bCs/>
          <w:sz w:val="24"/>
        </w:rPr>
        <w:t>795.6</w:t>
      </w:r>
      <w:r>
        <w:rPr>
          <w:bCs/>
          <w:sz w:val="24"/>
        </w:rPr>
        <w:t>万</w:t>
      </w:r>
      <w:r>
        <w:rPr>
          <w:bCs/>
          <w:sz w:val="24"/>
        </w:rPr>
        <w:t>t</w:t>
      </w:r>
      <w:r>
        <w:rPr>
          <w:bCs/>
          <w:sz w:val="24"/>
        </w:rPr>
        <w:t>，设计资源储量为</w:t>
      </w:r>
      <w:r>
        <w:rPr>
          <w:bCs/>
          <w:sz w:val="24"/>
        </w:rPr>
        <w:t>650.3</w:t>
      </w:r>
      <w:r>
        <w:rPr>
          <w:bCs/>
          <w:sz w:val="24"/>
        </w:rPr>
        <w:t>万</w:t>
      </w:r>
      <w:r>
        <w:rPr>
          <w:bCs/>
          <w:sz w:val="24"/>
        </w:rPr>
        <w:t>t</w:t>
      </w:r>
      <w:r>
        <w:rPr>
          <w:bCs/>
          <w:sz w:val="24"/>
        </w:rPr>
        <w:t>，设计可采储量</w:t>
      </w:r>
      <w:r>
        <w:rPr>
          <w:bCs/>
          <w:sz w:val="24"/>
        </w:rPr>
        <w:t>486.98</w:t>
      </w:r>
      <w:r>
        <w:rPr>
          <w:bCs/>
          <w:sz w:val="24"/>
        </w:rPr>
        <w:t>万</w:t>
      </w:r>
      <w:r>
        <w:rPr>
          <w:bCs/>
          <w:sz w:val="24"/>
        </w:rPr>
        <w:t>t</w:t>
      </w:r>
      <w:r>
        <w:rPr>
          <w:bCs/>
          <w:sz w:val="24"/>
        </w:rPr>
        <w:t>，设计生产能力为</w:t>
      </w:r>
      <w:r>
        <w:rPr>
          <w:bCs/>
          <w:sz w:val="24"/>
        </w:rPr>
        <w:t>30</w:t>
      </w:r>
      <w:r>
        <w:rPr>
          <w:bCs/>
          <w:sz w:val="24"/>
        </w:rPr>
        <w:t>万</w:t>
      </w:r>
      <w:r>
        <w:rPr>
          <w:bCs/>
          <w:sz w:val="24"/>
        </w:rPr>
        <w:t>t/a</w:t>
      </w:r>
      <w:r>
        <w:rPr>
          <w:sz w:val="24"/>
        </w:rPr>
        <w:t>，本次设计仅开采二</w:t>
      </w:r>
      <w:r>
        <w:rPr>
          <w:sz w:val="24"/>
          <w:vertAlign w:val="subscript"/>
        </w:rPr>
        <w:t>1</w:t>
      </w:r>
      <w:r>
        <w:rPr>
          <w:sz w:val="24"/>
        </w:rPr>
        <w:t>煤层，</w:t>
      </w:r>
      <w:r>
        <w:rPr>
          <w:bCs/>
          <w:sz w:val="24"/>
        </w:rPr>
        <w:t>设计服务年限为</w:t>
      </w:r>
      <w:r>
        <w:rPr>
          <w:bCs/>
          <w:sz w:val="24"/>
        </w:rPr>
        <w:t>11.6a</w:t>
      </w:r>
      <w:r>
        <w:rPr>
          <w:bCs/>
          <w:sz w:val="24"/>
        </w:rPr>
        <w:t>。</w:t>
      </w:r>
      <w:r>
        <w:rPr>
          <w:sz w:val="24"/>
        </w:rPr>
        <w:t>设计采用三立井单水平下山开拓方式。全井田共布置</w:t>
      </w:r>
      <w:r>
        <w:rPr>
          <w:sz w:val="24"/>
        </w:rPr>
        <w:t>2</w:t>
      </w:r>
      <w:r>
        <w:rPr>
          <w:sz w:val="24"/>
        </w:rPr>
        <w:t>个采区，均为下山采区；</w:t>
      </w:r>
      <w:r>
        <w:rPr>
          <w:sz w:val="24"/>
        </w:rPr>
        <w:t>-100m</w:t>
      </w:r>
      <w:r>
        <w:rPr>
          <w:sz w:val="24"/>
        </w:rPr>
        <w:t>水平以浅为</w:t>
      </w:r>
      <w:r>
        <w:rPr>
          <w:sz w:val="24"/>
        </w:rPr>
        <w:t>21</w:t>
      </w:r>
      <w:r>
        <w:rPr>
          <w:sz w:val="24"/>
        </w:rPr>
        <w:t>采区，</w:t>
      </w:r>
      <w:r>
        <w:rPr>
          <w:sz w:val="24"/>
        </w:rPr>
        <w:t>-100m</w:t>
      </w:r>
      <w:r>
        <w:rPr>
          <w:sz w:val="24"/>
        </w:rPr>
        <w:t>水平以深为</w:t>
      </w:r>
      <w:r>
        <w:rPr>
          <w:sz w:val="24"/>
        </w:rPr>
        <w:t>22</w:t>
      </w:r>
      <w:r>
        <w:rPr>
          <w:sz w:val="24"/>
        </w:rPr>
        <w:t>采区。采区开采顺序为先</w:t>
      </w:r>
      <w:r>
        <w:rPr>
          <w:sz w:val="24"/>
        </w:rPr>
        <w:t>21</w:t>
      </w:r>
      <w:r>
        <w:rPr>
          <w:sz w:val="24"/>
        </w:rPr>
        <w:t>采区，后</w:t>
      </w:r>
      <w:r>
        <w:rPr>
          <w:sz w:val="24"/>
        </w:rPr>
        <w:t>22</w:t>
      </w:r>
      <w:r>
        <w:rPr>
          <w:sz w:val="24"/>
        </w:rPr>
        <w:t>采区。</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923" w:name="_Toc79668767"/>
      <w:bookmarkStart w:id="924" w:name="_Toc81934421"/>
      <w:r>
        <w:rPr>
          <w:rFonts w:ascii="Times New Roman" w:eastAsia="宋体" w:hAnsi="Times New Roman"/>
          <w:bCs/>
          <w:szCs w:val="32"/>
        </w:rPr>
        <w:lastRenderedPageBreak/>
        <w:t xml:space="preserve">11.2 </w:t>
      </w:r>
      <w:r>
        <w:rPr>
          <w:rFonts w:ascii="Times New Roman" w:eastAsia="宋体" w:hAnsi="Times New Roman"/>
          <w:bCs/>
          <w:szCs w:val="32"/>
        </w:rPr>
        <w:t>项目环境影响结论</w:t>
      </w:r>
      <w:bookmarkEnd w:id="923"/>
      <w:bookmarkEnd w:id="924"/>
    </w:p>
    <w:p w:rsidR="00240BCE" w:rsidRDefault="00AC0334" w:rsidP="009C5F33">
      <w:pPr>
        <w:pStyle w:val="30"/>
        <w:adjustRightInd w:val="0"/>
        <w:snapToGrid w:val="0"/>
        <w:spacing w:beforeLines="70" w:afterLines="30" w:line="240" w:lineRule="auto"/>
        <w:jc w:val="left"/>
        <w:rPr>
          <w:rFonts w:eastAsia="楷体"/>
          <w:sz w:val="28"/>
          <w:szCs w:val="28"/>
        </w:rPr>
      </w:pPr>
      <w:bookmarkStart w:id="925" w:name="_Toc79668768"/>
      <w:r>
        <w:rPr>
          <w:rFonts w:eastAsia="楷体"/>
          <w:sz w:val="28"/>
          <w:szCs w:val="28"/>
        </w:rPr>
        <w:t xml:space="preserve">11.2.1 </w:t>
      </w:r>
      <w:r>
        <w:rPr>
          <w:rFonts w:eastAsia="楷体"/>
          <w:sz w:val="28"/>
          <w:szCs w:val="28"/>
        </w:rPr>
        <w:t>生态环境</w:t>
      </w:r>
      <w:bookmarkEnd w:id="925"/>
    </w:p>
    <w:p w:rsidR="00240BCE" w:rsidRDefault="00AC0334">
      <w:pPr>
        <w:spacing w:line="520" w:lineRule="exact"/>
        <w:ind w:firstLineChars="200" w:firstLine="480"/>
        <w:rPr>
          <w:sz w:val="24"/>
        </w:rPr>
      </w:pPr>
      <w:r>
        <w:rPr>
          <w:sz w:val="24"/>
        </w:rPr>
        <w:t>1</w:t>
      </w:r>
      <w:r>
        <w:rPr>
          <w:sz w:val="24"/>
        </w:rPr>
        <w:t>、生态环境现状</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评价区</w:t>
      </w:r>
      <w:r>
        <w:rPr>
          <w:rFonts w:ascii="Times New Roman" w:hAnsi="Times New Roman"/>
          <w:bCs/>
          <w:color w:val="000000"/>
          <w:sz w:val="24"/>
        </w:rPr>
        <w:t>地处低山丘陵区，起伏不大、较为平缓，地势呈西高东低变化。</w:t>
      </w:r>
      <w:r>
        <w:rPr>
          <w:rFonts w:ascii="Times New Roman" w:hAnsi="Times New Roman"/>
          <w:sz w:val="24"/>
          <w:szCs w:val="24"/>
        </w:rPr>
        <w:t>评价区地处暖温带华北区，兼有较多亚热带华中区系成份，现存的主要植被类型主要是落叶阔叶林、落叶阔叶灌丛、草地等。评价区以林地生态系统为主，分布广，遍布评价区各地。评价区内没有珍稀濒危和保护植物分布、无国家级保护动物。</w:t>
      </w:r>
    </w:p>
    <w:p w:rsidR="00240BCE" w:rsidRDefault="00AC0334">
      <w:pPr>
        <w:spacing w:line="520" w:lineRule="exact"/>
        <w:ind w:firstLineChars="200" w:firstLine="480"/>
        <w:rPr>
          <w:sz w:val="24"/>
        </w:rPr>
      </w:pPr>
      <w:r>
        <w:rPr>
          <w:sz w:val="24"/>
        </w:rPr>
        <w:t>2</w:t>
      </w:r>
      <w:r>
        <w:rPr>
          <w:sz w:val="24"/>
        </w:rPr>
        <w:t>、生态环境影响及减缓措施</w:t>
      </w:r>
    </w:p>
    <w:p w:rsidR="00240BCE" w:rsidRDefault="00AC0334">
      <w:pPr>
        <w:spacing w:line="520" w:lineRule="exact"/>
        <w:ind w:firstLineChars="200" w:firstLine="480"/>
        <w:rPr>
          <w:sz w:val="24"/>
        </w:rPr>
      </w:pPr>
      <w:r>
        <w:rPr>
          <w:sz w:val="24"/>
        </w:rPr>
        <w:t>（</w:t>
      </w:r>
      <w:r>
        <w:rPr>
          <w:sz w:val="24"/>
        </w:rPr>
        <w:t>1</w:t>
      </w:r>
      <w:r>
        <w:rPr>
          <w:sz w:val="24"/>
        </w:rPr>
        <w:t>）采煤地表沉陷特征</w:t>
      </w:r>
    </w:p>
    <w:p w:rsidR="00240BCE" w:rsidRDefault="00AC0334">
      <w:pPr>
        <w:autoSpaceDE w:val="0"/>
        <w:autoSpaceDN w:val="0"/>
        <w:adjustRightInd w:val="0"/>
        <w:spacing w:line="520" w:lineRule="exact"/>
        <w:ind w:firstLine="480"/>
        <w:rPr>
          <w:sz w:val="24"/>
          <w:lang w:val="zh-CN"/>
        </w:rPr>
      </w:pPr>
      <w:r>
        <w:rPr>
          <w:sz w:val="24"/>
          <w:lang w:val="zh-CN"/>
        </w:rPr>
        <w:t>首采区地表最大下沉值为：</w:t>
      </w:r>
      <w:r>
        <w:rPr>
          <w:sz w:val="24"/>
          <w:lang w:val="zh-CN"/>
        </w:rPr>
        <w:t>2070.5</w:t>
      </w:r>
      <w:r>
        <w:rPr>
          <w:rFonts w:hint="eastAsia"/>
          <w:sz w:val="24"/>
        </w:rPr>
        <w:t>2</w:t>
      </w:r>
      <w:r>
        <w:rPr>
          <w:sz w:val="24"/>
          <w:lang w:val="zh-CN"/>
        </w:rPr>
        <w:t>mm</w:t>
      </w:r>
      <w:r>
        <w:rPr>
          <w:sz w:val="24"/>
          <w:lang w:val="zh-CN"/>
        </w:rPr>
        <w:t>，最大倾斜值为</w:t>
      </w:r>
      <w:r>
        <w:rPr>
          <w:rFonts w:hint="eastAsia"/>
          <w:sz w:val="24"/>
        </w:rPr>
        <w:t>22.31</w:t>
      </w:r>
      <w:r>
        <w:rPr>
          <w:sz w:val="24"/>
          <w:lang w:val="zh-CN"/>
        </w:rPr>
        <w:t>mm/m</w:t>
      </w:r>
      <w:r>
        <w:rPr>
          <w:sz w:val="24"/>
          <w:lang w:val="zh-CN"/>
        </w:rPr>
        <w:t>，最大曲率值为</w:t>
      </w:r>
      <w:r>
        <w:rPr>
          <w:sz w:val="24"/>
          <w:lang w:val="zh-CN"/>
        </w:rPr>
        <w:t>0.</w:t>
      </w:r>
      <w:r>
        <w:rPr>
          <w:rFonts w:hint="eastAsia"/>
          <w:sz w:val="24"/>
        </w:rPr>
        <w:t>38</w:t>
      </w:r>
      <w:r>
        <w:rPr>
          <w:sz w:val="24"/>
          <w:lang w:val="zh-CN"/>
        </w:rPr>
        <w:t>×10</w:t>
      </w:r>
      <w:r>
        <w:rPr>
          <w:sz w:val="24"/>
          <w:vertAlign w:val="superscript"/>
          <w:lang w:val="zh-CN"/>
        </w:rPr>
        <w:t>-3</w:t>
      </w:r>
      <w:r>
        <w:rPr>
          <w:sz w:val="24"/>
          <w:lang w:val="zh-CN"/>
        </w:rPr>
        <w:t>/m</w:t>
      </w:r>
      <w:r>
        <w:rPr>
          <w:sz w:val="24"/>
          <w:lang w:val="zh-CN"/>
        </w:rPr>
        <w:t>，最大水平变形值为</w:t>
      </w:r>
      <w:r>
        <w:rPr>
          <w:rFonts w:hint="eastAsia"/>
          <w:sz w:val="24"/>
        </w:rPr>
        <w:t>10.17</w:t>
      </w:r>
      <w:r>
        <w:rPr>
          <w:sz w:val="24"/>
          <w:lang w:val="zh-CN"/>
        </w:rPr>
        <w:t>mm/m</w:t>
      </w:r>
      <w:r>
        <w:rPr>
          <w:sz w:val="24"/>
          <w:lang w:val="zh-CN"/>
        </w:rPr>
        <w:t>，最大水平移动为</w:t>
      </w:r>
      <w:r>
        <w:rPr>
          <w:rFonts w:hint="eastAsia"/>
          <w:sz w:val="24"/>
        </w:rPr>
        <w:t>602.26</w:t>
      </w:r>
      <w:r>
        <w:rPr>
          <w:sz w:val="24"/>
          <w:lang w:val="zh-CN"/>
        </w:rPr>
        <w:t>mm/m</w:t>
      </w:r>
      <w:r>
        <w:rPr>
          <w:sz w:val="24"/>
          <w:lang w:val="zh-CN"/>
        </w:rPr>
        <w:t>。首采区地表沉陷面积为</w:t>
      </w:r>
      <w:r>
        <w:rPr>
          <w:sz w:val="24"/>
          <w:lang w:val="zh-CN"/>
        </w:rPr>
        <w:t>0.87km</w:t>
      </w:r>
      <w:r>
        <w:rPr>
          <w:sz w:val="24"/>
          <w:vertAlign w:val="superscript"/>
          <w:lang w:val="zh-CN"/>
        </w:rPr>
        <w:t>2</w:t>
      </w:r>
      <w:r>
        <w:rPr>
          <w:sz w:val="24"/>
          <w:lang w:val="zh-CN"/>
        </w:rPr>
        <w:t>。</w:t>
      </w:r>
    </w:p>
    <w:p w:rsidR="00240BCE" w:rsidRDefault="00AC0334">
      <w:pPr>
        <w:autoSpaceDE w:val="0"/>
        <w:autoSpaceDN w:val="0"/>
        <w:adjustRightInd w:val="0"/>
        <w:spacing w:line="520" w:lineRule="exact"/>
        <w:ind w:firstLine="480"/>
        <w:rPr>
          <w:sz w:val="24"/>
          <w:lang w:val="zh-CN"/>
        </w:rPr>
      </w:pPr>
      <w:r>
        <w:rPr>
          <w:sz w:val="24"/>
          <w:lang w:val="zh-CN"/>
        </w:rPr>
        <w:t>全井田地表</w:t>
      </w:r>
      <w:r>
        <w:rPr>
          <w:sz w:val="24"/>
        </w:rPr>
        <w:t>最大下沉值为</w:t>
      </w:r>
      <w:r>
        <w:rPr>
          <w:sz w:val="24"/>
        </w:rPr>
        <w:t>2007.52mm</w:t>
      </w:r>
      <w:r>
        <w:rPr>
          <w:sz w:val="24"/>
        </w:rPr>
        <w:t>，最大倾斜值为</w:t>
      </w:r>
      <w:r>
        <w:rPr>
          <w:sz w:val="24"/>
        </w:rPr>
        <w:t>22.31mm/m</w:t>
      </w:r>
      <w:r>
        <w:rPr>
          <w:sz w:val="24"/>
        </w:rPr>
        <w:t>，最大曲率变形值为</w:t>
      </w:r>
      <w:r>
        <w:rPr>
          <w:sz w:val="24"/>
        </w:rPr>
        <w:t xml:space="preserve"> 0.38×10</w:t>
      </w:r>
      <w:r>
        <w:rPr>
          <w:sz w:val="24"/>
          <w:vertAlign w:val="superscript"/>
        </w:rPr>
        <w:t>-3</w:t>
      </w:r>
      <w:r>
        <w:rPr>
          <w:sz w:val="24"/>
        </w:rPr>
        <w:t>/m</w:t>
      </w:r>
      <w:r>
        <w:rPr>
          <w:sz w:val="24"/>
        </w:rPr>
        <w:t>，最大水平变形值为</w:t>
      </w:r>
      <w:r>
        <w:rPr>
          <w:sz w:val="24"/>
        </w:rPr>
        <w:t>10.17mm/m</w:t>
      </w:r>
      <w:r>
        <w:rPr>
          <w:sz w:val="24"/>
          <w:lang w:val="zh-CN"/>
        </w:rPr>
        <w:t>，全井田地表沉陷面积为</w:t>
      </w:r>
      <w:r>
        <w:rPr>
          <w:sz w:val="24"/>
          <w:lang w:val="zh-CN"/>
        </w:rPr>
        <w:t>2.35km</w:t>
      </w:r>
      <w:r>
        <w:rPr>
          <w:sz w:val="24"/>
          <w:vertAlign w:val="superscript"/>
          <w:lang w:val="zh-CN"/>
        </w:rPr>
        <w:t>2</w:t>
      </w:r>
      <w:r>
        <w:rPr>
          <w:sz w:val="24"/>
          <w:lang w:val="zh-CN"/>
        </w:rPr>
        <w:t>。</w:t>
      </w:r>
    </w:p>
    <w:p w:rsidR="00240BCE" w:rsidRDefault="00AC0334">
      <w:pPr>
        <w:spacing w:line="520" w:lineRule="exact"/>
        <w:ind w:firstLineChars="200" w:firstLine="480"/>
        <w:rPr>
          <w:sz w:val="24"/>
        </w:rPr>
      </w:pPr>
      <w:r>
        <w:rPr>
          <w:sz w:val="24"/>
        </w:rPr>
        <w:t>（</w:t>
      </w:r>
      <w:r>
        <w:rPr>
          <w:sz w:val="24"/>
        </w:rPr>
        <w:t>2</w:t>
      </w:r>
      <w:r>
        <w:rPr>
          <w:sz w:val="24"/>
        </w:rPr>
        <w:t>）生态环境影响及减缓措施</w:t>
      </w:r>
    </w:p>
    <w:p w:rsidR="00240BCE" w:rsidRDefault="00AC0334">
      <w:pPr>
        <w:spacing w:line="520" w:lineRule="exact"/>
        <w:ind w:firstLineChars="200" w:firstLine="480"/>
        <w:rPr>
          <w:sz w:val="24"/>
        </w:rPr>
      </w:pPr>
      <w:r>
        <w:rPr>
          <w:sz w:val="24"/>
        </w:rPr>
        <w:t>①</w:t>
      </w:r>
      <w:r>
        <w:rPr>
          <w:sz w:val="24"/>
        </w:rPr>
        <w:t>对地表建筑物的影响</w:t>
      </w:r>
    </w:p>
    <w:p w:rsidR="00240BCE" w:rsidRDefault="00AC0334">
      <w:pPr>
        <w:spacing w:line="520" w:lineRule="exact"/>
        <w:ind w:firstLineChars="200" w:firstLine="480"/>
        <w:rPr>
          <w:sz w:val="24"/>
        </w:rPr>
      </w:pPr>
      <w:r>
        <w:rPr>
          <w:sz w:val="24"/>
        </w:rPr>
        <w:t>工业场地不受开采地表沉陷影响；</w:t>
      </w:r>
      <w:r>
        <w:rPr>
          <w:bCs/>
          <w:sz w:val="24"/>
        </w:rPr>
        <w:t>连庄村、鸠山乡赵沟村、楼院村、楼院小学</w:t>
      </w:r>
      <w:r>
        <w:rPr>
          <w:sz w:val="24"/>
        </w:rPr>
        <w:t>受地表沉陷影响破坏程度达到</w:t>
      </w:r>
      <w:r>
        <w:rPr>
          <w:sz w:val="24"/>
        </w:rPr>
        <w:t>Ⅳ</w:t>
      </w:r>
      <w:r>
        <w:rPr>
          <w:sz w:val="24"/>
        </w:rPr>
        <w:t>级，</w:t>
      </w:r>
      <w:r w:rsidR="00744D8F">
        <w:rPr>
          <w:rFonts w:hint="eastAsia"/>
          <w:sz w:val="24"/>
        </w:rPr>
        <w:t>根据设计，</w:t>
      </w:r>
      <w:r w:rsidR="00744D8F">
        <w:rPr>
          <w:sz w:val="24"/>
        </w:rPr>
        <w:t>需要</w:t>
      </w:r>
      <w:r w:rsidR="00744D8F">
        <w:rPr>
          <w:rFonts w:hint="eastAsia"/>
          <w:sz w:val="24"/>
        </w:rPr>
        <w:t>逐步实施工程</w:t>
      </w:r>
      <w:r>
        <w:rPr>
          <w:sz w:val="24"/>
        </w:rPr>
        <w:t>搬迁。</w:t>
      </w:r>
    </w:p>
    <w:p w:rsidR="00240BCE" w:rsidRDefault="00AC0334">
      <w:pPr>
        <w:spacing w:line="500" w:lineRule="exact"/>
        <w:ind w:firstLine="482"/>
        <w:rPr>
          <w:sz w:val="24"/>
        </w:rPr>
      </w:pPr>
      <w:r>
        <w:rPr>
          <w:sz w:val="24"/>
        </w:rPr>
        <w:t>②</w:t>
      </w:r>
      <w:r>
        <w:rPr>
          <w:sz w:val="24"/>
        </w:rPr>
        <w:t>对农田水利设施的影响分析</w:t>
      </w:r>
    </w:p>
    <w:p w:rsidR="00240BCE" w:rsidRDefault="00AC0334">
      <w:pPr>
        <w:spacing w:line="500" w:lineRule="exact"/>
        <w:ind w:firstLine="482"/>
        <w:rPr>
          <w:sz w:val="24"/>
        </w:rPr>
      </w:pPr>
      <w:r>
        <w:rPr>
          <w:sz w:val="24"/>
        </w:rPr>
        <w:t>根据实地调查，井田范围内以林地为主，井田内没有农田水利设施和农灌井，当地农田均为旱地，望天收，目前基本上均已退耕还林。因此，地表沉陷对当地农田水利设施没有影响。</w:t>
      </w:r>
    </w:p>
    <w:p w:rsidR="00240BCE" w:rsidRDefault="00AC0334">
      <w:pPr>
        <w:spacing w:line="520" w:lineRule="exact"/>
        <w:ind w:left="540"/>
        <w:rPr>
          <w:sz w:val="24"/>
        </w:rPr>
      </w:pPr>
      <w:r>
        <w:rPr>
          <w:sz w:val="24"/>
        </w:rPr>
        <w:t>③</w:t>
      </w:r>
      <w:r>
        <w:rPr>
          <w:rFonts w:hint="eastAsia"/>
          <w:sz w:val="24"/>
        </w:rPr>
        <w:t>地</w:t>
      </w:r>
      <w:r>
        <w:rPr>
          <w:sz w:val="24"/>
        </w:rPr>
        <w:t>表沉陷对道路的影响分析</w:t>
      </w:r>
    </w:p>
    <w:p w:rsidR="00240BCE" w:rsidRDefault="00AC0334">
      <w:pPr>
        <w:spacing w:line="520" w:lineRule="exact"/>
        <w:ind w:firstLine="480"/>
        <w:rPr>
          <w:sz w:val="24"/>
        </w:rPr>
      </w:pPr>
      <w:r>
        <w:rPr>
          <w:sz w:val="24"/>
        </w:rPr>
        <w:t>S325</w:t>
      </w:r>
      <w:r>
        <w:rPr>
          <w:sz w:val="24"/>
        </w:rPr>
        <w:t>省道在井田北部边界外约</w:t>
      </w:r>
      <w:r>
        <w:rPr>
          <w:sz w:val="24"/>
        </w:rPr>
        <w:t>90m</w:t>
      </w:r>
      <w:r>
        <w:rPr>
          <w:sz w:val="24"/>
        </w:rPr>
        <w:t>～</w:t>
      </w:r>
      <w:r>
        <w:rPr>
          <w:sz w:val="24"/>
        </w:rPr>
        <w:t>500m</w:t>
      </w:r>
      <w:r>
        <w:rPr>
          <w:sz w:val="24"/>
        </w:rPr>
        <w:t>，首采区开采时不受地表沉陷影响，后期</w:t>
      </w:r>
      <w:r>
        <w:rPr>
          <w:sz w:val="24"/>
        </w:rPr>
        <w:t>22</w:t>
      </w:r>
      <w:r>
        <w:rPr>
          <w:sz w:val="24"/>
        </w:rPr>
        <w:t>采区开采时有部分路段不受开采地表沉陷影响，受影响路段总长约</w:t>
      </w:r>
      <w:r>
        <w:rPr>
          <w:sz w:val="24"/>
        </w:rPr>
        <w:t>1030m</w:t>
      </w:r>
      <w:r>
        <w:rPr>
          <w:sz w:val="24"/>
        </w:rPr>
        <w:t>，</w:t>
      </w:r>
      <w:r>
        <w:rPr>
          <w:sz w:val="24"/>
        </w:rPr>
        <w:lastRenderedPageBreak/>
        <w:t>下沉量在</w:t>
      </w:r>
      <w:r>
        <w:rPr>
          <w:sz w:val="24"/>
        </w:rPr>
        <w:t>10-50mm</w:t>
      </w:r>
      <w:r>
        <w:rPr>
          <w:sz w:val="24"/>
        </w:rPr>
        <w:t>之间，受地表沉陷影响很小。</w:t>
      </w:r>
    </w:p>
    <w:p w:rsidR="00240BCE" w:rsidRDefault="00AC0334">
      <w:pPr>
        <w:spacing w:line="520" w:lineRule="exact"/>
        <w:ind w:firstLineChars="200" w:firstLine="480"/>
        <w:rPr>
          <w:sz w:val="24"/>
        </w:rPr>
      </w:pPr>
      <w:r>
        <w:rPr>
          <w:sz w:val="24"/>
        </w:rPr>
        <w:t>地表沉陷对乡村间道路的影响主要表现在地表下沉造成路面低凹不平、开裂等路面损坏。对于等级公路，一般留设保护煤柱；对于其它公路，国内许多矿区的实践证明，及时维护后一般不会影响正常交通，通常的维护措施为垫高路基，垫高夯实，路基垫高可采用矿井排出的矸石。可以采取随沉随填、填后夯实的措施保持原来的高度和强度。</w:t>
      </w:r>
    </w:p>
    <w:p w:rsidR="00240BCE" w:rsidRDefault="00AC0334">
      <w:pPr>
        <w:spacing w:line="520" w:lineRule="exact"/>
        <w:ind w:left="560"/>
        <w:rPr>
          <w:sz w:val="24"/>
        </w:rPr>
      </w:pPr>
      <w:r>
        <w:rPr>
          <w:rFonts w:ascii="宋体" w:hAnsi="宋体" w:cs="宋体" w:hint="eastAsia"/>
          <w:sz w:val="24"/>
        </w:rPr>
        <w:t>④地</w:t>
      </w:r>
      <w:r>
        <w:rPr>
          <w:sz w:val="24"/>
        </w:rPr>
        <w:t>表沉陷对地表水体的影响</w:t>
      </w:r>
    </w:p>
    <w:p w:rsidR="00240BCE" w:rsidRDefault="00AC0334">
      <w:pPr>
        <w:autoSpaceDE w:val="0"/>
        <w:autoSpaceDN w:val="0"/>
        <w:adjustRightInd w:val="0"/>
        <w:spacing w:line="500" w:lineRule="exact"/>
        <w:ind w:firstLineChars="200" w:firstLine="496"/>
        <w:jc w:val="left"/>
        <w:rPr>
          <w:sz w:val="24"/>
        </w:rPr>
      </w:pPr>
      <w:r>
        <w:rPr>
          <w:spacing w:val="4"/>
          <w:sz w:val="24"/>
        </w:rPr>
        <w:t>赵沟河为季节性河流，一般情况下无水，位于井田中部，近东西穿越</w:t>
      </w:r>
      <w:r>
        <w:rPr>
          <w:sz w:val="24"/>
        </w:rPr>
        <w:t>扩界区井田</w:t>
      </w:r>
      <w:r>
        <w:rPr>
          <w:sz w:val="24"/>
        </w:rPr>
        <w:t>2.75km</w:t>
      </w:r>
      <w:r>
        <w:rPr>
          <w:sz w:val="24"/>
        </w:rPr>
        <w:t>，根据地表沉陷预测结果，开采将会对项目区的季节性冲沟赵沟河造成影响，当采煤沉陷区最终稳定后，影响长度</w:t>
      </w:r>
      <w:r>
        <w:rPr>
          <w:sz w:val="24"/>
        </w:rPr>
        <w:t>3.35km</w:t>
      </w:r>
      <w:r>
        <w:rPr>
          <w:sz w:val="24"/>
        </w:rPr>
        <w:t>，下沉值在</w:t>
      </w:r>
      <w:r>
        <w:rPr>
          <w:sz w:val="24"/>
        </w:rPr>
        <w:t>10mm</w:t>
      </w:r>
      <w:r>
        <w:rPr>
          <w:sz w:val="24"/>
        </w:rPr>
        <w:t>～</w:t>
      </w:r>
      <w:r>
        <w:rPr>
          <w:sz w:val="24"/>
        </w:rPr>
        <w:t>1.5m</w:t>
      </w:r>
      <w:r>
        <w:rPr>
          <w:sz w:val="24"/>
        </w:rPr>
        <w:t>之间，由于赵沟河为山间季节性冲沟，主要为泄洪排水，目前常年无水，沉陷后不会影响到其泄洪功能，因此对其影响较小。</w:t>
      </w:r>
    </w:p>
    <w:p w:rsidR="00240BCE" w:rsidRDefault="00AC0334">
      <w:pPr>
        <w:spacing w:line="520" w:lineRule="exact"/>
        <w:ind w:firstLineChars="200" w:firstLine="480"/>
        <w:rPr>
          <w:sz w:val="24"/>
        </w:rPr>
      </w:pPr>
      <w:r>
        <w:rPr>
          <w:rFonts w:ascii="宋体" w:hAnsi="宋体" w:cs="宋体" w:hint="eastAsia"/>
          <w:sz w:val="24"/>
        </w:rPr>
        <w:t>⑤</w:t>
      </w:r>
      <w:r>
        <w:rPr>
          <w:sz w:val="24"/>
        </w:rPr>
        <w:t>地表沉陷引起的土地利用变化及对林地的影响分析</w:t>
      </w:r>
    </w:p>
    <w:p w:rsidR="00240BCE" w:rsidRDefault="00AC0334">
      <w:pPr>
        <w:spacing w:line="520" w:lineRule="exact"/>
        <w:ind w:firstLine="480"/>
        <w:rPr>
          <w:sz w:val="24"/>
        </w:rPr>
      </w:pPr>
      <w:r>
        <w:rPr>
          <w:sz w:val="24"/>
        </w:rPr>
        <w:t>根据预测结果，全井田地表沉陷影响范围为</w:t>
      </w:r>
      <w:r>
        <w:rPr>
          <w:sz w:val="24"/>
        </w:rPr>
        <w:t>2.35km</w:t>
      </w:r>
      <w:r>
        <w:rPr>
          <w:sz w:val="24"/>
          <w:vertAlign w:val="superscript"/>
        </w:rPr>
        <w:t>2</w:t>
      </w:r>
      <w:r>
        <w:rPr>
          <w:sz w:val="24"/>
        </w:rPr>
        <w:t>。目前，井田范围内的土地利用类型主要为林地，此外，还有一部分道路用地和村庄工矿等建筑用地，地表沉陷虽然会对林地产生轻微的不利影响，但是不会影响林地的继续使用。对本井田所在的村庄而言，各类用地比例变化很小。</w:t>
      </w:r>
    </w:p>
    <w:p w:rsidR="00240BCE" w:rsidRDefault="00AC0334">
      <w:pPr>
        <w:spacing w:line="520" w:lineRule="exact"/>
        <w:ind w:firstLine="570"/>
        <w:rPr>
          <w:sz w:val="24"/>
        </w:rPr>
      </w:pPr>
      <w:r>
        <w:rPr>
          <w:sz w:val="24"/>
        </w:rPr>
        <w:t>经以上分析可知，地面沉陷对区域生态环境和林业局部短时有影响，复垦后对土地利用影响不大。</w:t>
      </w:r>
    </w:p>
    <w:p w:rsidR="00240BCE" w:rsidRDefault="00AC0334" w:rsidP="009C5F33">
      <w:pPr>
        <w:pStyle w:val="30"/>
        <w:adjustRightInd w:val="0"/>
        <w:snapToGrid w:val="0"/>
        <w:spacing w:beforeLines="70" w:afterLines="30" w:line="240" w:lineRule="auto"/>
        <w:jc w:val="left"/>
        <w:rPr>
          <w:rFonts w:eastAsia="楷体"/>
          <w:sz w:val="28"/>
          <w:szCs w:val="28"/>
        </w:rPr>
      </w:pPr>
      <w:bookmarkStart w:id="926" w:name="_Toc154205621"/>
      <w:bookmarkStart w:id="927" w:name="_Toc158525088"/>
      <w:bookmarkStart w:id="928" w:name="_Toc79668769"/>
      <w:r>
        <w:rPr>
          <w:rFonts w:eastAsia="楷体"/>
          <w:sz w:val="28"/>
          <w:szCs w:val="28"/>
        </w:rPr>
        <w:t xml:space="preserve">11.2.2 </w:t>
      </w:r>
      <w:bookmarkEnd w:id="926"/>
      <w:bookmarkEnd w:id="927"/>
      <w:r>
        <w:rPr>
          <w:rFonts w:eastAsia="楷体"/>
          <w:sz w:val="28"/>
          <w:szCs w:val="28"/>
        </w:rPr>
        <w:t>地下水环境</w:t>
      </w:r>
      <w:bookmarkEnd w:id="928"/>
    </w:p>
    <w:p w:rsidR="00240BCE" w:rsidRDefault="00AC0334">
      <w:pPr>
        <w:spacing w:line="520" w:lineRule="exact"/>
        <w:ind w:firstLine="570"/>
        <w:rPr>
          <w:sz w:val="24"/>
        </w:rPr>
      </w:pPr>
      <w:r>
        <w:rPr>
          <w:sz w:val="24"/>
        </w:rPr>
        <w:t>1</w:t>
      </w:r>
      <w:r>
        <w:rPr>
          <w:sz w:val="24"/>
        </w:rPr>
        <w:t>、采煤沉陷</w:t>
      </w:r>
      <w:r>
        <w:rPr>
          <w:sz w:val="24"/>
        </w:rPr>
        <w:t>“</w:t>
      </w:r>
      <w:r>
        <w:rPr>
          <w:sz w:val="24"/>
        </w:rPr>
        <w:t>导水裂隙带</w:t>
      </w:r>
      <w:r>
        <w:rPr>
          <w:sz w:val="24"/>
        </w:rPr>
        <w:t>”</w:t>
      </w:r>
    </w:p>
    <w:p w:rsidR="00240BCE" w:rsidRDefault="00AC0334">
      <w:pPr>
        <w:spacing w:line="520" w:lineRule="exact"/>
        <w:ind w:firstLine="570"/>
        <w:rPr>
          <w:sz w:val="24"/>
        </w:rPr>
      </w:pPr>
      <w:r>
        <w:rPr>
          <w:sz w:val="24"/>
        </w:rPr>
        <w:t>根据预测，全井田开采后导水裂隙带最大高度约为</w:t>
      </w:r>
      <w:r>
        <w:rPr>
          <w:sz w:val="24"/>
        </w:rPr>
        <w:t>55.58m</w:t>
      </w:r>
      <w:r>
        <w:rPr>
          <w:sz w:val="24"/>
        </w:rPr>
        <w:t>，均值为</w:t>
      </w:r>
      <w:r>
        <w:rPr>
          <w:sz w:val="24"/>
        </w:rPr>
        <w:t>41.00m</w:t>
      </w:r>
      <w:r>
        <w:rPr>
          <w:sz w:val="24"/>
        </w:rPr>
        <w:t>。</w:t>
      </w:r>
      <w:r>
        <w:rPr>
          <w:sz w:val="24"/>
        </w:rPr>
        <w:t xml:space="preserve"> </w:t>
      </w:r>
    </w:p>
    <w:p w:rsidR="00240BCE" w:rsidRDefault="00AC0334">
      <w:pPr>
        <w:spacing w:line="520" w:lineRule="exact"/>
        <w:ind w:firstLine="570"/>
        <w:rPr>
          <w:sz w:val="24"/>
        </w:rPr>
      </w:pPr>
      <w:r>
        <w:rPr>
          <w:sz w:val="24"/>
        </w:rPr>
        <w:t>2</w:t>
      </w:r>
      <w:r>
        <w:rPr>
          <w:sz w:val="24"/>
        </w:rPr>
        <w:t>、煤炭开采地下水影响半径计算</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根据《环境影响评价技术导则</w:t>
      </w:r>
      <w:r>
        <w:rPr>
          <w:rFonts w:ascii="Times New Roman" w:hAnsi="Times New Roman"/>
          <w:sz w:val="24"/>
          <w:szCs w:val="24"/>
        </w:rPr>
        <w:t xml:space="preserve"> </w:t>
      </w:r>
      <w:r>
        <w:rPr>
          <w:rFonts w:ascii="Times New Roman" w:hAnsi="Times New Roman"/>
          <w:sz w:val="24"/>
          <w:szCs w:val="24"/>
        </w:rPr>
        <w:t>地下水环境》（</w:t>
      </w:r>
      <w:r>
        <w:rPr>
          <w:rFonts w:ascii="Times New Roman" w:hAnsi="Times New Roman"/>
          <w:sz w:val="24"/>
          <w:szCs w:val="24"/>
        </w:rPr>
        <w:t xml:space="preserve"> HJ610-2011</w:t>
      </w:r>
      <w:r>
        <w:rPr>
          <w:rFonts w:ascii="Times New Roman" w:hAnsi="Times New Roman"/>
          <w:sz w:val="24"/>
          <w:szCs w:val="24"/>
        </w:rPr>
        <w:t>）中附录</w:t>
      </w:r>
      <w:r>
        <w:rPr>
          <w:rFonts w:ascii="Times New Roman" w:hAnsi="Times New Roman"/>
          <w:sz w:val="24"/>
          <w:szCs w:val="24"/>
        </w:rPr>
        <w:t xml:space="preserve"> C </w:t>
      </w:r>
      <w:r>
        <w:rPr>
          <w:rFonts w:ascii="Times New Roman" w:hAnsi="Times New Roman"/>
          <w:sz w:val="24"/>
          <w:szCs w:val="24"/>
        </w:rPr>
        <w:t>推荐的经验公式估算技改后矿井排水最大水位降深时的地下水影响半径为</w:t>
      </w:r>
      <w:r>
        <w:rPr>
          <w:rFonts w:ascii="Times New Roman" w:hAnsi="Times New Roman"/>
          <w:sz w:val="24"/>
          <w:szCs w:val="24"/>
        </w:rPr>
        <w:t>1930m</w:t>
      </w:r>
      <w:r>
        <w:rPr>
          <w:rFonts w:ascii="Times New Roman" w:hAnsi="Times New Roman"/>
          <w:sz w:val="24"/>
          <w:szCs w:val="24"/>
        </w:rPr>
        <w:t>，</w:t>
      </w:r>
    </w:p>
    <w:p w:rsidR="00240BCE" w:rsidRDefault="00AC0334">
      <w:pPr>
        <w:spacing w:line="520" w:lineRule="exact"/>
        <w:ind w:firstLine="570"/>
        <w:rPr>
          <w:sz w:val="24"/>
        </w:rPr>
      </w:pPr>
      <w:r>
        <w:rPr>
          <w:sz w:val="24"/>
        </w:rPr>
        <w:lastRenderedPageBreak/>
        <w:t>3</w:t>
      </w:r>
      <w:r>
        <w:rPr>
          <w:sz w:val="24"/>
        </w:rPr>
        <w:t>、矿井开采对含（隔）水层的影响</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①</w:t>
      </w:r>
      <w:r>
        <w:rPr>
          <w:rFonts w:ascii="Times New Roman" w:hAnsi="Times New Roman"/>
          <w:sz w:val="24"/>
        </w:rPr>
        <w:t>对</w:t>
      </w:r>
      <w:r>
        <w:rPr>
          <w:rFonts w:ascii="Times New Roman" w:hAnsi="Times New Roman"/>
          <w:bCs/>
          <w:color w:val="000000"/>
          <w:sz w:val="24"/>
          <w:szCs w:val="24"/>
        </w:rPr>
        <w:t>新近系泥灰岩岩溶裂隙含水层</w:t>
      </w:r>
      <w:r>
        <w:rPr>
          <w:rFonts w:ascii="Times New Roman" w:hAnsi="Times New Roman"/>
          <w:sz w:val="24"/>
        </w:rPr>
        <w:t>的影响分析</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从前述计算可知本项目全矿导水裂隙带高度在</w:t>
      </w:r>
      <w:r>
        <w:rPr>
          <w:rFonts w:ascii="Times New Roman" w:hAnsi="Times New Roman"/>
          <w:sz w:val="24"/>
        </w:rPr>
        <w:t>0</w:t>
      </w:r>
      <w:r>
        <w:rPr>
          <w:rFonts w:ascii="Times New Roman" w:hAnsi="Times New Roman"/>
          <w:sz w:val="24"/>
        </w:rPr>
        <w:t>～</w:t>
      </w:r>
      <w:r>
        <w:rPr>
          <w:rFonts w:ascii="Times New Roman" w:hAnsi="Times New Roman"/>
          <w:sz w:val="24"/>
        </w:rPr>
        <w:t>55.58m</w:t>
      </w:r>
      <w:r>
        <w:rPr>
          <w:rFonts w:ascii="Times New Roman" w:hAnsi="Times New Roman"/>
          <w:sz w:val="24"/>
        </w:rPr>
        <w:t>之间，均值为</w:t>
      </w:r>
      <w:r>
        <w:rPr>
          <w:rFonts w:ascii="Times New Roman" w:hAnsi="Times New Roman"/>
          <w:sz w:val="24"/>
        </w:rPr>
        <w:t>41m</w:t>
      </w:r>
      <w:r>
        <w:rPr>
          <w:rFonts w:ascii="Times New Roman" w:hAnsi="Times New Roman"/>
          <w:sz w:val="24"/>
        </w:rPr>
        <w:t>，隆庆煤矿开采的二</w:t>
      </w:r>
      <w:r>
        <w:rPr>
          <w:rFonts w:ascii="Times New Roman" w:hAnsi="Times New Roman"/>
          <w:sz w:val="24"/>
          <w:vertAlign w:val="subscript"/>
        </w:rPr>
        <w:t>1</w:t>
      </w:r>
      <w:r>
        <w:rPr>
          <w:rFonts w:ascii="Times New Roman" w:hAnsi="Times New Roman"/>
          <w:sz w:val="24"/>
        </w:rPr>
        <w:t>煤层距</w:t>
      </w:r>
      <w:r>
        <w:rPr>
          <w:rFonts w:ascii="Times New Roman" w:hAnsi="Times New Roman"/>
          <w:bCs/>
          <w:color w:val="000000"/>
          <w:sz w:val="24"/>
          <w:szCs w:val="24"/>
        </w:rPr>
        <w:t>新近系泥灰岩岩溶裂隙含水层</w:t>
      </w:r>
      <w:r>
        <w:rPr>
          <w:rFonts w:ascii="Times New Roman" w:hAnsi="Times New Roman"/>
          <w:sz w:val="24"/>
        </w:rPr>
        <w:t>在</w:t>
      </w:r>
      <w:r>
        <w:rPr>
          <w:rFonts w:ascii="Times New Roman" w:hAnsi="Times New Roman"/>
          <w:sz w:val="24"/>
        </w:rPr>
        <w:t>124.45</w:t>
      </w:r>
      <w:r>
        <w:rPr>
          <w:rFonts w:ascii="Times New Roman" w:hAnsi="Times New Roman"/>
          <w:bCs/>
          <w:color w:val="000000"/>
          <w:sz w:val="24"/>
          <w:szCs w:val="24"/>
        </w:rPr>
        <w:t>～</w:t>
      </w:r>
      <w:r>
        <w:rPr>
          <w:rFonts w:ascii="Times New Roman" w:hAnsi="Times New Roman"/>
          <w:bCs/>
          <w:color w:val="000000"/>
          <w:sz w:val="24"/>
          <w:szCs w:val="24"/>
        </w:rPr>
        <w:t>490.25m</w:t>
      </w:r>
      <w:r>
        <w:rPr>
          <w:rFonts w:ascii="Times New Roman" w:hAnsi="Times New Roman"/>
          <w:bCs/>
          <w:color w:val="000000"/>
          <w:sz w:val="24"/>
          <w:szCs w:val="24"/>
        </w:rPr>
        <w:t>之间</w:t>
      </w:r>
      <w:r>
        <w:rPr>
          <w:rFonts w:ascii="Times New Roman" w:hAnsi="Times New Roman"/>
          <w:sz w:val="24"/>
        </w:rPr>
        <w:t>，远远大于</w:t>
      </w:r>
      <w:r>
        <w:rPr>
          <w:rFonts w:ascii="Times New Roman" w:hAnsi="Times New Roman"/>
          <w:sz w:val="24"/>
        </w:rPr>
        <w:t>55.58m</w:t>
      </w:r>
      <w:r>
        <w:rPr>
          <w:rFonts w:ascii="Times New Roman" w:hAnsi="Times New Roman"/>
          <w:sz w:val="24"/>
        </w:rPr>
        <w:t>，且其期间又受</w:t>
      </w:r>
      <w:r>
        <w:rPr>
          <w:rFonts w:ascii="Times New Roman" w:hAnsi="Times New Roman"/>
          <w:bCs/>
          <w:color w:val="000000"/>
          <w:sz w:val="24"/>
          <w:szCs w:val="24"/>
        </w:rPr>
        <w:t>二叠系上、下石盒子组碎屑岩段隔水层的</w:t>
      </w:r>
      <w:r>
        <w:rPr>
          <w:rFonts w:ascii="Times New Roman" w:hAnsi="Times New Roman"/>
          <w:sz w:val="24"/>
        </w:rPr>
        <w:t>阻隔，导水裂隙带不会波及到</w:t>
      </w:r>
      <w:r>
        <w:rPr>
          <w:rFonts w:ascii="Times New Roman" w:hAnsi="Times New Roman"/>
          <w:bCs/>
          <w:color w:val="000000"/>
          <w:sz w:val="24"/>
          <w:szCs w:val="24"/>
        </w:rPr>
        <w:t>新近系泥灰岩岩溶裂隙含水层</w:t>
      </w:r>
      <w:r>
        <w:rPr>
          <w:rFonts w:ascii="Times New Roman" w:hAnsi="Times New Roman"/>
          <w:sz w:val="24"/>
        </w:rPr>
        <w:t>，因此，正常情况下矿井开采对</w:t>
      </w:r>
      <w:r>
        <w:rPr>
          <w:rFonts w:ascii="Times New Roman" w:hAnsi="Times New Roman"/>
          <w:bCs/>
          <w:color w:val="000000"/>
          <w:sz w:val="24"/>
          <w:szCs w:val="24"/>
        </w:rPr>
        <w:t>新近系泥灰岩岩溶裂隙含水层</w:t>
      </w:r>
      <w:r>
        <w:rPr>
          <w:rFonts w:ascii="Times New Roman" w:hAnsi="Times New Roman"/>
          <w:sz w:val="24"/>
        </w:rPr>
        <w:t>影响不大。</w:t>
      </w:r>
    </w:p>
    <w:p w:rsidR="00240BCE" w:rsidRDefault="00AC0334">
      <w:pPr>
        <w:pStyle w:val="ae"/>
        <w:spacing w:line="520" w:lineRule="exact"/>
        <w:ind w:firstLineChars="200" w:firstLine="480"/>
        <w:rPr>
          <w:rFonts w:ascii="Times New Roman" w:hAnsi="Times New Roman"/>
          <w:bCs/>
          <w:color w:val="000000"/>
          <w:sz w:val="24"/>
          <w:szCs w:val="24"/>
        </w:rPr>
      </w:pPr>
      <w:r>
        <w:rPr>
          <w:rFonts w:ascii="Times New Roman" w:hAnsi="Times New Roman"/>
          <w:sz w:val="24"/>
        </w:rPr>
        <w:t>②</w:t>
      </w:r>
      <w:r>
        <w:rPr>
          <w:rFonts w:ascii="Times New Roman" w:hAnsi="Times New Roman"/>
          <w:sz w:val="24"/>
        </w:rPr>
        <w:t>对</w:t>
      </w:r>
      <w:r>
        <w:rPr>
          <w:rFonts w:ascii="Times New Roman" w:hAnsi="Times New Roman"/>
          <w:bCs/>
          <w:color w:val="000000"/>
          <w:sz w:val="24"/>
          <w:szCs w:val="24"/>
        </w:rPr>
        <w:t>二叠系上、下石盒子组碎屑岩段隔水层的影响</w:t>
      </w:r>
    </w:p>
    <w:p w:rsidR="00240BCE" w:rsidRDefault="00AC0334">
      <w:pPr>
        <w:snapToGrid w:val="0"/>
        <w:spacing w:line="520" w:lineRule="exact"/>
        <w:ind w:firstLineChars="200" w:firstLine="480"/>
        <w:rPr>
          <w:sz w:val="24"/>
        </w:rPr>
      </w:pPr>
      <w:r>
        <w:rPr>
          <w:sz w:val="24"/>
        </w:rPr>
        <w:t>二叠系上、下石盒子组碎屑岩段隔水层指上、下石盒子组各含煤段中的砂泥岩段。本区残留厚度</w:t>
      </w:r>
      <w:r>
        <w:rPr>
          <w:sz w:val="24"/>
        </w:rPr>
        <w:t>30</w:t>
      </w:r>
      <w:r>
        <w:rPr>
          <w:sz w:val="24"/>
        </w:rPr>
        <w:t>～</w:t>
      </w:r>
      <w:r>
        <w:rPr>
          <w:sz w:val="24"/>
        </w:rPr>
        <w:t>300m</w:t>
      </w:r>
      <w:r>
        <w:rPr>
          <w:sz w:val="24"/>
        </w:rPr>
        <w:t>，西南部较薄，往东北部逐渐变厚，岩性以泥岩、砂质泥岩为主，致密细腻，隔水性能良好，能对上部新近系泥灰岩含水层和下部二</w:t>
      </w:r>
      <w:r>
        <w:rPr>
          <w:sz w:val="24"/>
          <w:vertAlign w:val="subscript"/>
        </w:rPr>
        <w:t>1</w:t>
      </w:r>
      <w:r>
        <w:rPr>
          <w:sz w:val="24"/>
        </w:rPr>
        <w:t>煤层顶板砂岩承压含水层之间的水力联系，起到良好的阻隔作用。</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③</w:t>
      </w:r>
      <w:r>
        <w:rPr>
          <w:rFonts w:ascii="Times New Roman" w:hAnsi="Times New Roman"/>
          <w:sz w:val="24"/>
        </w:rPr>
        <w:t>对二</w:t>
      </w:r>
      <w:r>
        <w:rPr>
          <w:rFonts w:ascii="Times New Roman" w:hAnsi="Times New Roman"/>
          <w:sz w:val="24"/>
          <w:vertAlign w:val="subscript"/>
        </w:rPr>
        <w:t>1</w:t>
      </w:r>
      <w:r>
        <w:rPr>
          <w:rFonts w:ascii="Times New Roman" w:hAnsi="Times New Roman"/>
          <w:sz w:val="24"/>
        </w:rPr>
        <w:t>煤顶板砂岩孔隙裂隙承压含水层的影响分析</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由于该含水层位于二</w:t>
      </w:r>
      <w:r>
        <w:rPr>
          <w:rFonts w:ascii="Times New Roman" w:hAnsi="Times New Roman"/>
          <w:sz w:val="24"/>
          <w:szCs w:val="24"/>
          <w:vertAlign w:val="subscript"/>
        </w:rPr>
        <w:t>1</w:t>
      </w:r>
      <w:r>
        <w:rPr>
          <w:rFonts w:ascii="Times New Roman" w:hAnsi="Times New Roman"/>
          <w:sz w:val="24"/>
          <w:szCs w:val="24"/>
        </w:rPr>
        <w:t>煤层顶板之上，煤炭开采将使该含水层中地下水通过导水裂隙带渗入到开采区而被疏排，最终以矿井水的形式排出。因此，煤矿开采会对</w:t>
      </w:r>
      <w:r>
        <w:rPr>
          <w:rFonts w:ascii="Times New Roman" w:hAnsi="Times New Roman"/>
          <w:sz w:val="24"/>
        </w:rPr>
        <w:t>二</w:t>
      </w:r>
      <w:r>
        <w:rPr>
          <w:rFonts w:ascii="Times New Roman" w:hAnsi="Times New Roman"/>
          <w:sz w:val="24"/>
          <w:vertAlign w:val="subscript"/>
        </w:rPr>
        <w:t>1</w:t>
      </w:r>
      <w:r>
        <w:rPr>
          <w:rFonts w:ascii="Times New Roman" w:hAnsi="Times New Roman"/>
          <w:sz w:val="24"/>
        </w:rPr>
        <w:t>煤顶板砂岩孔隙裂隙承压含水层产生较大的影响，</w:t>
      </w:r>
      <w:r>
        <w:rPr>
          <w:rFonts w:ascii="Times New Roman" w:hAnsi="Times New Roman"/>
          <w:sz w:val="24"/>
          <w:szCs w:val="24"/>
        </w:rPr>
        <w:t>根据前述计算，对该含水层的影响半径为</w:t>
      </w:r>
      <w:r>
        <w:rPr>
          <w:rFonts w:ascii="Times New Roman" w:hAnsi="Times New Roman"/>
          <w:sz w:val="24"/>
          <w:szCs w:val="24"/>
        </w:rPr>
        <w:t>1930m</w:t>
      </w:r>
      <w:r>
        <w:rPr>
          <w:rFonts w:ascii="Times New Roman" w:hAnsi="Times New Roman"/>
          <w:sz w:val="24"/>
          <w:szCs w:val="24"/>
        </w:rPr>
        <w:t>。</w:t>
      </w:r>
    </w:p>
    <w:p w:rsidR="00240BCE" w:rsidRDefault="00AC0334">
      <w:pPr>
        <w:pStyle w:val="ae"/>
        <w:spacing w:line="520" w:lineRule="exact"/>
        <w:ind w:firstLineChars="200" w:firstLine="480"/>
        <w:rPr>
          <w:rFonts w:ascii="Times New Roman" w:hAnsi="Times New Roman"/>
          <w:bCs/>
          <w:sz w:val="24"/>
          <w:szCs w:val="24"/>
        </w:rPr>
      </w:pPr>
      <w:r>
        <w:rPr>
          <w:rFonts w:ascii="Times New Roman" w:hAnsi="Times New Roman"/>
          <w:sz w:val="24"/>
          <w:szCs w:val="24"/>
        </w:rPr>
        <w:t>④</w:t>
      </w:r>
      <w:r>
        <w:rPr>
          <w:rFonts w:ascii="Times New Roman" w:hAnsi="Times New Roman"/>
          <w:sz w:val="24"/>
          <w:szCs w:val="24"/>
        </w:rPr>
        <w:t>对</w:t>
      </w:r>
      <w:r>
        <w:rPr>
          <w:rFonts w:ascii="Times New Roman" w:hAnsi="Times New Roman"/>
          <w:bCs/>
          <w:sz w:val="24"/>
          <w:szCs w:val="24"/>
        </w:rPr>
        <w:t>二</w:t>
      </w:r>
      <w:r>
        <w:rPr>
          <w:rFonts w:ascii="Times New Roman" w:hAnsi="Times New Roman"/>
          <w:bCs/>
          <w:sz w:val="24"/>
          <w:szCs w:val="24"/>
          <w:vertAlign w:val="subscript"/>
        </w:rPr>
        <w:t>1</w:t>
      </w:r>
      <w:r>
        <w:rPr>
          <w:rFonts w:ascii="Times New Roman" w:hAnsi="Times New Roman"/>
          <w:bCs/>
          <w:sz w:val="24"/>
          <w:szCs w:val="24"/>
        </w:rPr>
        <w:t>煤层顶板碎屑岩段隔水层的影响</w:t>
      </w:r>
    </w:p>
    <w:p w:rsidR="00240BCE" w:rsidRDefault="00AC0334">
      <w:pPr>
        <w:snapToGrid w:val="0"/>
        <w:spacing w:line="520" w:lineRule="exact"/>
        <w:ind w:firstLineChars="200" w:firstLine="480"/>
        <w:rPr>
          <w:sz w:val="24"/>
        </w:rPr>
      </w:pPr>
      <w:r>
        <w:rPr>
          <w:sz w:val="24"/>
        </w:rPr>
        <w:t>位于采动后形成的导水裂隙带内，只能起到暂时的隔水作用。</w:t>
      </w:r>
    </w:p>
    <w:p w:rsidR="00240BCE" w:rsidRDefault="00AC0334">
      <w:pPr>
        <w:pStyle w:val="ae"/>
        <w:spacing w:line="520" w:lineRule="exact"/>
        <w:ind w:firstLineChars="200" w:firstLine="480"/>
        <w:rPr>
          <w:rFonts w:ascii="Times New Roman" w:hAnsi="Times New Roman"/>
          <w:sz w:val="24"/>
        </w:rPr>
      </w:pPr>
      <w:r>
        <w:rPr>
          <w:rFonts w:ascii="Times New Roman" w:hAnsi="Times New Roman"/>
          <w:bCs/>
          <w:color w:val="000000"/>
          <w:sz w:val="24"/>
          <w:szCs w:val="24"/>
        </w:rPr>
        <w:t>⑤</w:t>
      </w:r>
      <w:r>
        <w:rPr>
          <w:rFonts w:ascii="Times New Roman" w:hAnsi="Times New Roman"/>
          <w:sz w:val="24"/>
        </w:rPr>
        <w:t>对太原组上段</w:t>
      </w:r>
      <w:r>
        <w:rPr>
          <w:rFonts w:ascii="Times New Roman" w:hAnsi="Times New Roman"/>
          <w:sz w:val="24"/>
        </w:rPr>
        <w:t>L</w:t>
      </w:r>
      <w:r>
        <w:rPr>
          <w:rFonts w:ascii="Times New Roman" w:hAnsi="Times New Roman"/>
          <w:sz w:val="24"/>
          <w:vertAlign w:val="subscript"/>
        </w:rPr>
        <w:t>7-8</w:t>
      </w:r>
      <w:r>
        <w:rPr>
          <w:rFonts w:ascii="Times New Roman" w:hAnsi="Times New Roman"/>
          <w:sz w:val="24"/>
        </w:rPr>
        <w:t>灰岩裂隙承压含水层的影响</w:t>
      </w:r>
    </w:p>
    <w:p w:rsidR="00240BCE" w:rsidRDefault="00AC0334">
      <w:pPr>
        <w:pStyle w:val="ae"/>
        <w:spacing w:line="520" w:lineRule="exact"/>
        <w:ind w:firstLineChars="200" w:firstLine="504"/>
        <w:rPr>
          <w:rFonts w:ascii="Times New Roman" w:hAnsi="Times New Roman"/>
          <w:sz w:val="24"/>
          <w:szCs w:val="24"/>
        </w:rPr>
      </w:pPr>
      <w:r>
        <w:rPr>
          <w:rFonts w:ascii="Times New Roman" w:hAnsi="Times New Roman"/>
          <w:bCs/>
          <w:color w:val="000000"/>
          <w:spacing w:val="6"/>
          <w:sz w:val="24"/>
        </w:rPr>
        <w:t>为二</w:t>
      </w:r>
      <w:r>
        <w:rPr>
          <w:rFonts w:ascii="Times New Roman" w:hAnsi="Times New Roman"/>
          <w:bCs/>
          <w:color w:val="000000"/>
          <w:spacing w:val="6"/>
          <w:sz w:val="24"/>
          <w:vertAlign w:val="subscript"/>
        </w:rPr>
        <w:t>1</w:t>
      </w:r>
      <w:r>
        <w:rPr>
          <w:rFonts w:ascii="Times New Roman" w:hAnsi="Times New Roman"/>
          <w:bCs/>
          <w:color w:val="000000"/>
          <w:spacing w:val="6"/>
          <w:sz w:val="24"/>
        </w:rPr>
        <w:t>煤层底板直接充水含水层</w:t>
      </w:r>
      <w:r>
        <w:rPr>
          <w:rFonts w:ascii="Times New Roman" w:hAnsi="Times New Roman"/>
          <w:sz w:val="24"/>
        </w:rPr>
        <w:t>。</w:t>
      </w:r>
      <w:r>
        <w:rPr>
          <w:rFonts w:ascii="Times New Roman" w:hAnsi="Times New Roman"/>
          <w:sz w:val="24"/>
          <w:szCs w:val="24"/>
        </w:rPr>
        <w:t>煤矿开采会对</w:t>
      </w:r>
      <w:r>
        <w:rPr>
          <w:rFonts w:ascii="Times New Roman" w:hAnsi="Times New Roman"/>
          <w:bCs/>
          <w:color w:val="000000"/>
          <w:sz w:val="24"/>
          <w:szCs w:val="24"/>
        </w:rPr>
        <w:t>L</w:t>
      </w:r>
      <w:r>
        <w:rPr>
          <w:rFonts w:ascii="Times New Roman" w:hAnsi="Times New Roman"/>
          <w:bCs/>
          <w:color w:val="000000"/>
          <w:sz w:val="24"/>
          <w:szCs w:val="24"/>
          <w:vertAlign w:val="subscript"/>
        </w:rPr>
        <w:t>7-8</w:t>
      </w:r>
      <w:r>
        <w:rPr>
          <w:rFonts w:ascii="Times New Roman" w:hAnsi="Times New Roman"/>
          <w:bCs/>
          <w:color w:val="000000"/>
          <w:sz w:val="24"/>
          <w:szCs w:val="24"/>
        </w:rPr>
        <w:t>灰岩岩溶裂隙含水层</w:t>
      </w:r>
      <w:r>
        <w:rPr>
          <w:rFonts w:ascii="Times New Roman" w:hAnsi="Times New Roman"/>
          <w:sz w:val="24"/>
          <w:szCs w:val="24"/>
        </w:rPr>
        <w:t>产生较大的影响，根据前述计算，对该含水层的影响半径为</w:t>
      </w:r>
      <w:r>
        <w:rPr>
          <w:rFonts w:ascii="Times New Roman" w:hAnsi="Times New Roman"/>
          <w:sz w:val="24"/>
          <w:szCs w:val="24"/>
        </w:rPr>
        <w:t>247.9m</w:t>
      </w:r>
      <w:r>
        <w:rPr>
          <w:rFonts w:ascii="Times New Roman" w:hAnsi="Times New Roman"/>
          <w:sz w:val="24"/>
          <w:szCs w:val="24"/>
        </w:rPr>
        <w:t>。</w:t>
      </w:r>
    </w:p>
    <w:p w:rsidR="00240BCE" w:rsidRDefault="00AC0334">
      <w:pPr>
        <w:pStyle w:val="ae"/>
        <w:spacing w:line="540" w:lineRule="exact"/>
        <w:ind w:firstLineChars="200" w:firstLine="480"/>
        <w:rPr>
          <w:rFonts w:ascii="Times New Roman" w:hAnsi="Times New Roman"/>
          <w:sz w:val="24"/>
        </w:rPr>
      </w:pPr>
      <w:r>
        <w:rPr>
          <w:rFonts w:ascii="Times New Roman" w:hAnsi="Times New Roman"/>
          <w:sz w:val="24"/>
        </w:rPr>
        <w:t>⑥</w:t>
      </w:r>
      <w:r>
        <w:rPr>
          <w:rFonts w:ascii="Times New Roman" w:hAnsi="Times New Roman"/>
          <w:sz w:val="24"/>
        </w:rPr>
        <w:t>对太原组下段</w:t>
      </w:r>
      <w:r>
        <w:rPr>
          <w:rFonts w:ascii="Times New Roman" w:hAnsi="Times New Roman"/>
          <w:sz w:val="24"/>
        </w:rPr>
        <w:t>L</w:t>
      </w:r>
      <w:r>
        <w:rPr>
          <w:rFonts w:ascii="Times New Roman" w:hAnsi="Times New Roman"/>
          <w:sz w:val="24"/>
          <w:vertAlign w:val="subscript"/>
        </w:rPr>
        <w:t>1-3</w:t>
      </w:r>
      <w:r>
        <w:rPr>
          <w:rFonts w:ascii="Times New Roman" w:hAnsi="Times New Roman"/>
          <w:sz w:val="24"/>
        </w:rPr>
        <w:t>灰岩岩溶裂隙承压含水层的影响分析</w:t>
      </w:r>
    </w:p>
    <w:p w:rsidR="00240BCE" w:rsidRDefault="00AC0334">
      <w:pPr>
        <w:snapToGrid w:val="0"/>
        <w:spacing w:line="520" w:lineRule="exact"/>
        <w:ind w:firstLineChars="200" w:firstLine="480"/>
        <w:rPr>
          <w:sz w:val="24"/>
        </w:rPr>
      </w:pPr>
      <w:r>
        <w:rPr>
          <w:sz w:val="24"/>
        </w:rPr>
        <w:t>该含水层与煤层主要充水水源的太原组上段</w:t>
      </w:r>
      <w:r>
        <w:rPr>
          <w:sz w:val="24"/>
        </w:rPr>
        <w:t>C</w:t>
      </w:r>
      <w:r>
        <w:rPr>
          <w:sz w:val="24"/>
          <w:vertAlign w:val="subscript"/>
        </w:rPr>
        <w:t>3</w:t>
      </w:r>
      <w:r>
        <w:rPr>
          <w:sz w:val="24"/>
        </w:rPr>
        <w:t>tL</w:t>
      </w:r>
      <w:r>
        <w:rPr>
          <w:sz w:val="24"/>
          <w:vertAlign w:val="subscript"/>
        </w:rPr>
        <w:t>7-8</w:t>
      </w:r>
      <w:r>
        <w:rPr>
          <w:sz w:val="24"/>
        </w:rPr>
        <w:t>灰岩裂隙承压含水层之间存在太原组中段碎屑岩段隔水层，该隔水层下自一</w:t>
      </w:r>
      <w:r>
        <w:rPr>
          <w:sz w:val="24"/>
          <w:vertAlign w:val="subscript"/>
        </w:rPr>
        <w:t>4</w:t>
      </w:r>
      <w:r>
        <w:rPr>
          <w:sz w:val="24"/>
        </w:rPr>
        <w:t>灰岩顶面上至</w:t>
      </w:r>
      <w:r>
        <w:rPr>
          <w:sz w:val="24"/>
        </w:rPr>
        <w:t>L</w:t>
      </w:r>
      <w:r>
        <w:rPr>
          <w:sz w:val="24"/>
          <w:vertAlign w:val="subscript"/>
        </w:rPr>
        <w:t>7</w:t>
      </w:r>
      <w:r>
        <w:rPr>
          <w:sz w:val="24"/>
        </w:rPr>
        <w:t>灰岩底面之间，</w:t>
      </w:r>
      <w:r>
        <w:rPr>
          <w:sz w:val="24"/>
        </w:rPr>
        <w:lastRenderedPageBreak/>
        <w:t>厚度</w:t>
      </w:r>
      <w:r>
        <w:rPr>
          <w:sz w:val="24"/>
        </w:rPr>
        <w:t>30.39</w:t>
      </w:r>
      <w:r>
        <w:rPr>
          <w:sz w:val="24"/>
        </w:rPr>
        <w:t>～</w:t>
      </w:r>
      <w:r>
        <w:rPr>
          <w:sz w:val="24"/>
        </w:rPr>
        <w:t>37.33m</w:t>
      </w:r>
      <w:r>
        <w:rPr>
          <w:sz w:val="24"/>
        </w:rPr>
        <w:t>，平均</w:t>
      </w:r>
      <w:r>
        <w:rPr>
          <w:sz w:val="24"/>
        </w:rPr>
        <w:t>33.88m</w:t>
      </w:r>
      <w:r>
        <w:rPr>
          <w:sz w:val="24"/>
        </w:rPr>
        <w:t>，由泥岩、砂质泥岩、粉砂岩、细粒砂岩等碎屑岩和两层石灰岩组成，间夹数层薄煤层，岩性致密完整，透水性差，是阻隔太原组上、下段灰岩含水层间水力联系的良好隔水层。因此，煤矿开采对太原组下段</w:t>
      </w:r>
      <w:r>
        <w:rPr>
          <w:sz w:val="24"/>
        </w:rPr>
        <w:t>L</w:t>
      </w:r>
      <w:r>
        <w:rPr>
          <w:sz w:val="24"/>
          <w:vertAlign w:val="subscript"/>
        </w:rPr>
        <w:t>1-3</w:t>
      </w:r>
      <w:r>
        <w:rPr>
          <w:sz w:val="24"/>
        </w:rPr>
        <w:t>灰岩裂隙承压含水层影响不大。</w:t>
      </w:r>
    </w:p>
    <w:p w:rsidR="00240BCE" w:rsidRDefault="00AC0334">
      <w:pPr>
        <w:pStyle w:val="ae"/>
        <w:spacing w:line="540" w:lineRule="exact"/>
        <w:ind w:firstLineChars="200" w:firstLine="480"/>
        <w:rPr>
          <w:rFonts w:ascii="Times New Roman" w:hAnsi="Times New Roman"/>
          <w:sz w:val="24"/>
          <w:szCs w:val="24"/>
        </w:rPr>
      </w:pPr>
      <w:r>
        <w:rPr>
          <w:rFonts w:ascii="Times New Roman" w:hAnsi="Times New Roman"/>
          <w:sz w:val="24"/>
          <w:szCs w:val="24"/>
        </w:rPr>
        <w:t>⑦</w:t>
      </w:r>
      <w:r>
        <w:rPr>
          <w:rFonts w:ascii="Times New Roman" w:hAnsi="Times New Roman"/>
          <w:sz w:val="24"/>
          <w:szCs w:val="24"/>
        </w:rPr>
        <w:t>对</w:t>
      </w:r>
      <w:r>
        <w:rPr>
          <w:rFonts w:ascii="Times New Roman" w:hAnsi="Times New Roman"/>
          <w:bCs/>
          <w:color w:val="000000"/>
          <w:sz w:val="24"/>
          <w:szCs w:val="24"/>
        </w:rPr>
        <w:t>寒武系灰岩岩溶裂隙含水层</w:t>
      </w:r>
      <w:r>
        <w:rPr>
          <w:rFonts w:ascii="Times New Roman" w:hAnsi="Times New Roman"/>
          <w:sz w:val="24"/>
          <w:szCs w:val="24"/>
        </w:rPr>
        <w:t>的影响分析</w:t>
      </w:r>
    </w:p>
    <w:p w:rsidR="00240BCE" w:rsidRDefault="00AC0334">
      <w:pPr>
        <w:pStyle w:val="ae"/>
        <w:spacing w:line="540" w:lineRule="exact"/>
        <w:ind w:firstLineChars="200" w:firstLine="480"/>
        <w:rPr>
          <w:rFonts w:ascii="Times New Roman" w:hAnsi="Times New Roman"/>
          <w:sz w:val="24"/>
          <w:szCs w:val="24"/>
        </w:rPr>
      </w:pPr>
      <w:r>
        <w:rPr>
          <w:rFonts w:ascii="Times New Roman" w:hAnsi="Times New Roman"/>
          <w:sz w:val="24"/>
          <w:szCs w:val="24"/>
        </w:rPr>
        <w:t>由于太原组中段碎屑岩段隔水层和本溪组泥岩、铝土质泥岩隔水层的存在，</w:t>
      </w:r>
      <w:r>
        <w:rPr>
          <w:rFonts w:ascii="Times New Roman" w:hAnsi="Times New Roman"/>
          <w:spacing w:val="4"/>
          <w:sz w:val="24"/>
          <w:szCs w:val="24"/>
        </w:rPr>
        <w:t>能够阻隔上部太原组灰岩含水层和下部寒武系上统灰岩含水层之间的水力联系</w:t>
      </w:r>
      <w:r>
        <w:rPr>
          <w:rFonts w:ascii="Times New Roman" w:hAnsi="Times New Roman"/>
          <w:sz w:val="24"/>
          <w:szCs w:val="24"/>
        </w:rPr>
        <w:t>，因此，煤矿开采对寒武系灰岩岩溶裂隙含水层的影响不大。</w:t>
      </w:r>
    </w:p>
    <w:p w:rsidR="00240BCE" w:rsidRDefault="00AC0334">
      <w:pPr>
        <w:pStyle w:val="ae"/>
        <w:spacing w:line="540" w:lineRule="exact"/>
        <w:ind w:firstLineChars="200" w:firstLine="48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、煤炭开采对居民地下饮用水源的影响分析</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根据前述分析计算可知，技改后煤炭开采后对</w:t>
      </w:r>
      <w:r>
        <w:rPr>
          <w:rFonts w:ascii="Times New Roman" w:hAnsi="Times New Roman"/>
          <w:bCs/>
          <w:color w:val="000000"/>
          <w:sz w:val="24"/>
          <w:szCs w:val="24"/>
        </w:rPr>
        <w:t>寒武系上统灰岩岩溶裂隙含水层、</w:t>
      </w:r>
      <w:r>
        <w:rPr>
          <w:rFonts w:ascii="Times New Roman" w:hAnsi="Times New Roman"/>
          <w:sz w:val="24"/>
        </w:rPr>
        <w:t>太原组下段</w:t>
      </w:r>
      <w:r>
        <w:rPr>
          <w:rFonts w:ascii="Times New Roman" w:hAnsi="Times New Roman"/>
          <w:sz w:val="24"/>
        </w:rPr>
        <w:t>L</w:t>
      </w:r>
      <w:r>
        <w:rPr>
          <w:rFonts w:ascii="Times New Roman" w:hAnsi="Times New Roman"/>
          <w:sz w:val="24"/>
          <w:vertAlign w:val="subscript"/>
        </w:rPr>
        <w:t>1-3</w:t>
      </w:r>
      <w:r>
        <w:rPr>
          <w:rFonts w:ascii="Times New Roman" w:hAnsi="Times New Roman"/>
          <w:sz w:val="24"/>
        </w:rPr>
        <w:t>灰岩岩溶裂隙承压含水层</w:t>
      </w:r>
      <w:r>
        <w:rPr>
          <w:rFonts w:ascii="Times New Roman" w:hAnsi="Times New Roman"/>
          <w:bCs/>
          <w:color w:val="000000"/>
          <w:sz w:val="24"/>
          <w:szCs w:val="24"/>
        </w:rPr>
        <w:t>、</w:t>
      </w:r>
      <w:r>
        <w:rPr>
          <w:rFonts w:ascii="Times New Roman" w:hAnsi="Times New Roman"/>
          <w:bCs/>
          <w:color w:val="000000"/>
          <w:sz w:val="24"/>
        </w:rPr>
        <w:t>新近系泥灰岩岩溶裂隙含水层</w:t>
      </w:r>
      <w:r>
        <w:rPr>
          <w:rFonts w:ascii="Times New Roman" w:hAnsi="Times New Roman"/>
          <w:sz w:val="24"/>
        </w:rPr>
        <w:t>影响不大，对</w:t>
      </w:r>
      <w:r>
        <w:rPr>
          <w:rFonts w:ascii="Times New Roman" w:hAnsi="Times New Roman"/>
          <w:bCs/>
          <w:color w:val="000000"/>
          <w:sz w:val="24"/>
        </w:rPr>
        <w:t>二</w:t>
      </w:r>
      <w:r>
        <w:rPr>
          <w:rFonts w:ascii="Times New Roman" w:hAnsi="Times New Roman"/>
          <w:bCs/>
          <w:color w:val="000000"/>
          <w:sz w:val="24"/>
          <w:vertAlign w:val="subscript"/>
        </w:rPr>
        <w:t>1</w:t>
      </w:r>
      <w:r>
        <w:rPr>
          <w:rFonts w:ascii="Times New Roman" w:hAnsi="Times New Roman"/>
          <w:bCs/>
          <w:color w:val="000000"/>
          <w:sz w:val="24"/>
        </w:rPr>
        <w:t>煤层顶板砂岩裂隙含水层和</w:t>
      </w:r>
      <w:r>
        <w:rPr>
          <w:rFonts w:ascii="Times New Roman" w:hAnsi="Times New Roman"/>
          <w:sz w:val="24"/>
        </w:rPr>
        <w:t>太原组上段</w:t>
      </w:r>
      <w:r>
        <w:rPr>
          <w:rFonts w:ascii="Times New Roman" w:hAnsi="Times New Roman"/>
          <w:sz w:val="24"/>
        </w:rPr>
        <w:t>L</w:t>
      </w:r>
      <w:r>
        <w:rPr>
          <w:rFonts w:ascii="Times New Roman" w:hAnsi="Times New Roman"/>
          <w:sz w:val="24"/>
          <w:vertAlign w:val="subscript"/>
        </w:rPr>
        <w:t>7-8</w:t>
      </w:r>
      <w:r>
        <w:rPr>
          <w:rFonts w:ascii="Times New Roman" w:hAnsi="Times New Roman"/>
          <w:sz w:val="24"/>
        </w:rPr>
        <w:t>灰岩裂隙承压含水层影响较大，矿井水主要来源于</w:t>
      </w:r>
      <w:r>
        <w:rPr>
          <w:rFonts w:ascii="Times New Roman" w:hAnsi="Times New Roman"/>
          <w:bCs/>
          <w:color w:val="000000"/>
          <w:sz w:val="24"/>
        </w:rPr>
        <w:t>二</w:t>
      </w:r>
      <w:r>
        <w:rPr>
          <w:rFonts w:ascii="Times New Roman" w:hAnsi="Times New Roman"/>
          <w:bCs/>
          <w:color w:val="000000"/>
          <w:sz w:val="24"/>
          <w:vertAlign w:val="subscript"/>
        </w:rPr>
        <w:t>1</w:t>
      </w:r>
      <w:r>
        <w:rPr>
          <w:rFonts w:ascii="Times New Roman" w:hAnsi="Times New Roman"/>
          <w:bCs/>
          <w:color w:val="000000"/>
          <w:sz w:val="24"/>
        </w:rPr>
        <w:t>煤层顶板砂岩裂隙含水层和</w:t>
      </w:r>
      <w:r>
        <w:rPr>
          <w:rFonts w:ascii="Times New Roman" w:hAnsi="Times New Roman"/>
          <w:sz w:val="24"/>
        </w:rPr>
        <w:t>太原组上段</w:t>
      </w:r>
      <w:r>
        <w:rPr>
          <w:rFonts w:ascii="Times New Roman" w:hAnsi="Times New Roman"/>
          <w:sz w:val="24"/>
        </w:rPr>
        <w:t>L</w:t>
      </w:r>
      <w:r>
        <w:rPr>
          <w:rFonts w:ascii="Times New Roman" w:hAnsi="Times New Roman"/>
          <w:sz w:val="24"/>
          <w:vertAlign w:val="subscript"/>
        </w:rPr>
        <w:t>7-8</w:t>
      </w:r>
      <w:r>
        <w:rPr>
          <w:rFonts w:ascii="Times New Roman" w:hAnsi="Times New Roman"/>
          <w:sz w:val="24"/>
        </w:rPr>
        <w:t>灰岩裂隙承压含水层。</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由于赵沟村、楼院村、连庄村、官庄窑村、楚黄庄村水井水源为</w:t>
      </w:r>
      <w:r>
        <w:rPr>
          <w:rFonts w:ascii="Times New Roman" w:hAnsi="Times New Roman"/>
          <w:bCs/>
          <w:color w:val="000000"/>
          <w:sz w:val="24"/>
        </w:rPr>
        <w:t>寒武系上统灰岩岩溶裂隙含水层</w:t>
      </w:r>
      <w:r>
        <w:rPr>
          <w:rFonts w:ascii="Times New Roman" w:hAnsi="Times New Roman"/>
          <w:sz w:val="24"/>
        </w:rPr>
        <w:t>，根据前述预测矿井水主要来源于</w:t>
      </w:r>
      <w:r>
        <w:rPr>
          <w:rFonts w:ascii="Times New Roman" w:hAnsi="Times New Roman"/>
          <w:bCs/>
          <w:color w:val="000000"/>
          <w:sz w:val="24"/>
        </w:rPr>
        <w:t>二</w:t>
      </w:r>
      <w:r>
        <w:rPr>
          <w:rFonts w:ascii="Times New Roman" w:hAnsi="Times New Roman"/>
          <w:bCs/>
          <w:color w:val="000000"/>
          <w:sz w:val="24"/>
          <w:vertAlign w:val="subscript"/>
        </w:rPr>
        <w:t>1</w:t>
      </w:r>
      <w:r>
        <w:rPr>
          <w:rFonts w:ascii="Times New Roman" w:hAnsi="Times New Roman"/>
          <w:bCs/>
          <w:color w:val="000000"/>
          <w:sz w:val="24"/>
        </w:rPr>
        <w:t>煤层顶板砂岩裂隙含水层和</w:t>
      </w:r>
      <w:r>
        <w:rPr>
          <w:rFonts w:ascii="Times New Roman" w:hAnsi="Times New Roman"/>
          <w:sz w:val="24"/>
        </w:rPr>
        <w:t>太原组上段</w:t>
      </w:r>
      <w:r>
        <w:rPr>
          <w:rFonts w:ascii="Times New Roman" w:hAnsi="Times New Roman"/>
          <w:sz w:val="24"/>
        </w:rPr>
        <w:t>L</w:t>
      </w:r>
      <w:r>
        <w:rPr>
          <w:rFonts w:ascii="Times New Roman" w:hAnsi="Times New Roman"/>
          <w:sz w:val="24"/>
          <w:vertAlign w:val="subscript"/>
        </w:rPr>
        <w:t>7-8</w:t>
      </w:r>
      <w:r>
        <w:rPr>
          <w:rFonts w:ascii="Times New Roman" w:hAnsi="Times New Roman"/>
          <w:sz w:val="24"/>
        </w:rPr>
        <w:t>灰岩裂隙承压含水层，煤炭开采后对</w:t>
      </w:r>
      <w:r>
        <w:rPr>
          <w:rFonts w:ascii="Times New Roman" w:hAnsi="Times New Roman"/>
          <w:bCs/>
          <w:color w:val="000000"/>
          <w:sz w:val="24"/>
          <w:szCs w:val="24"/>
        </w:rPr>
        <w:t>寒武系上统灰岩岩溶裂隙含水层</w:t>
      </w:r>
      <w:r>
        <w:rPr>
          <w:rFonts w:ascii="Times New Roman" w:hAnsi="Times New Roman"/>
          <w:sz w:val="24"/>
        </w:rPr>
        <w:t>影响不大。</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煤炭开采对地下水资源的影响分析</w:t>
      </w:r>
    </w:p>
    <w:p w:rsidR="00240BCE" w:rsidRDefault="00AC0334">
      <w:pPr>
        <w:pStyle w:val="ae"/>
        <w:spacing w:line="520" w:lineRule="exact"/>
        <w:ind w:firstLineChars="200" w:firstLine="480"/>
        <w:rPr>
          <w:rFonts w:ascii="Times New Roman" w:hAnsi="Times New Roman"/>
          <w:sz w:val="24"/>
        </w:rPr>
      </w:pPr>
      <w:r>
        <w:rPr>
          <w:rFonts w:ascii="Times New Roman" w:hAnsi="Times New Roman"/>
          <w:sz w:val="24"/>
        </w:rPr>
        <w:t>隆庆煤矿的开采，势必对宝贵的地下水资源造成影响，结合实际情况主要表现在：采煤产生的冒落带和导水裂隙带使含水层破坏，使原来水平径流为主的地下水，变为沿导水裂隙带垂直渗漏的地下水，进而转化为矿坑水而被废弃。主要是对煤层直接顶板充水含水层的疏干影响和煤层底板含水层疏干影响。从本区水文地质条件分析，矿充水的主要含水层为</w:t>
      </w:r>
      <w:r>
        <w:rPr>
          <w:rFonts w:ascii="Times New Roman" w:hAnsi="Times New Roman"/>
          <w:bCs/>
          <w:color w:val="000000"/>
          <w:sz w:val="24"/>
        </w:rPr>
        <w:t>二</w:t>
      </w:r>
      <w:r>
        <w:rPr>
          <w:rFonts w:ascii="Times New Roman" w:hAnsi="Times New Roman"/>
          <w:bCs/>
          <w:color w:val="000000"/>
          <w:sz w:val="24"/>
          <w:vertAlign w:val="subscript"/>
        </w:rPr>
        <w:t>1</w:t>
      </w:r>
      <w:r>
        <w:rPr>
          <w:rFonts w:ascii="Times New Roman" w:hAnsi="Times New Roman"/>
          <w:bCs/>
          <w:color w:val="000000"/>
          <w:sz w:val="24"/>
        </w:rPr>
        <w:t>煤层顶板砂岩裂隙含水层和</w:t>
      </w:r>
      <w:r>
        <w:rPr>
          <w:rFonts w:ascii="Times New Roman" w:hAnsi="Times New Roman"/>
          <w:sz w:val="24"/>
        </w:rPr>
        <w:t>太原组上段</w:t>
      </w:r>
      <w:r>
        <w:rPr>
          <w:rFonts w:ascii="Times New Roman" w:hAnsi="Times New Roman"/>
          <w:sz w:val="24"/>
        </w:rPr>
        <w:t>L</w:t>
      </w:r>
      <w:r>
        <w:rPr>
          <w:rFonts w:ascii="Times New Roman" w:hAnsi="Times New Roman"/>
          <w:sz w:val="24"/>
          <w:vertAlign w:val="subscript"/>
        </w:rPr>
        <w:t>7-8</w:t>
      </w:r>
      <w:r>
        <w:rPr>
          <w:rFonts w:ascii="Times New Roman" w:hAnsi="Times New Roman"/>
          <w:sz w:val="24"/>
        </w:rPr>
        <w:t>灰岩裂隙承压含水层，该含水层以静储量为主，由于矿区开采多年，矿井涌水量会随着开采的进行而趋于减少。为确保不造成水资源浪费，建设单位应开展开采阶段的水文</w:t>
      </w:r>
      <w:r>
        <w:rPr>
          <w:rFonts w:ascii="Times New Roman" w:hAnsi="Times New Roman"/>
          <w:sz w:val="24"/>
        </w:rPr>
        <w:lastRenderedPageBreak/>
        <w:t>地质研究工作，并加强</w:t>
      </w:r>
      <w:r>
        <w:rPr>
          <w:rFonts w:ascii="Times New Roman" w:hAnsi="Times New Roman"/>
          <w:sz w:val="24"/>
        </w:rPr>
        <w:t>“</w:t>
      </w:r>
      <w:r>
        <w:rPr>
          <w:rFonts w:ascii="Times New Roman" w:hAnsi="Times New Roman"/>
          <w:sz w:val="24"/>
        </w:rPr>
        <w:t>三带</w:t>
      </w:r>
      <w:r>
        <w:rPr>
          <w:rFonts w:ascii="Times New Roman" w:hAnsi="Times New Roman"/>
          <w:sz w:val="24"/>
        </w:rPr>
        <w:t>”</w:t>
      </w:r>
      <w:r>
        <w:rPr>
          <w:rFonts w:ascii="Times New Roman" w:hAnsi="Times New Roman"/>
          <w:sz w:val="24"/>
        </w:rPr>
        <w:t>的观测，完善井上下水文观测网。尤其是针对断层构造带对矿井开采及坑道系统充水作用的影响，及时掌握矿井的充水水源，制定水资源的保护方案。</w:t>
      </w:r>
    </w:p>
    <w:p w:rsidR="00240BCE" w:rsidRDefault="00AC0334" w:rsidP="009C5F33">
      <w:pPr>
        <w:pStyle w:val="30"/>
        <w:adjustRightInd w:val="0"/>
        <w:snapToGrid w:val="0"/>
        <w:spacing w:beforeLines="70" w:afterLines="30" w:line="240" w:lineRule="auto"/>
        <w:jc w:val="left"/>
        <w:rPr>
          <w:rFonts w:eastAsia="楷体"/>
          <w:sz w:val="28"/>
          <w:szCs w:val="28"/>
        </w:rPr>
      </w:pPr>
      <w:bookmarkStart w:id="929" w:name="_Toc158525089"/>
      <w:bookmarkStart w:id="930" w:name="_Toc79668770"/>
      <w:bookmarkStart w:id="931" w:name="_Toc154205622"/>
      <w:r>
        <w:rPr>
          <w:rFonts w:eastAsia="楷体"/>
          <w:sz w:val="28"/>
          <w:szCs w:val="28"/>
        </w:rPr>
        <w:t xml:space="preserve">11.2.3 </w:t>
      </w:r>
      <w:bookmarkEnd w:id="929"/>
      <w:r>
        <w:rPr>
          <w:rFonts w:eastAsia="楷体"/>
          <w:sz w:val="28"/>
          <w:szCs w:val="28"/>
        </w:rPr>
        <w:t>地表水环境</w:t>
      </w:r>
      <w:bookmarkEnd w:id="930"/>
    </w:p>
    <w:p w:rsidR="005545F9" w:rsidRDefault="00AC0334" w:rsidP="005545F9">
      <w:pPr>
        <w:adjustRightInd w:val="0"/>
        <w:snapToGrid w:val="0"/>
        <w:spacing w:line="520" w:lineRule="exact"/>
        <w:ind w:firstLineChars="200" w:firstLine="488"/>
        <w:rPr>
          <w:spacing w:val="2"/>
          <w:sz w:val="24"/>
        </w:rPr>
      </w:pPr>
      <w:bookmarkStart w:id="932" w:name="_Toc158525090"/>
      <w:bookmarkStart w:id="933" w:name="_Toc166900086"/>
      <w:r>
        <w:rPr>
          <w:spacing w:val="2"/>
          <w:sz w:val="24"/>
        </w:rPr>
        <w:t>升级改造后水污染源包括矿井排水、工业场地生产、生活污水及初期雨水。矿井排水处理达标后部分</w:t>
      </w:r>
      <w:r w:rsidR="005545F9" w:rsidRPr="008A2EDB">
        <w:rPr>
          <w:spacing w:val="2"/>
          <w:sz w:val="24"/>
        </w:rPr>
        <w:t>（</w:t>
      </w:r>
      <w:r w:rsidR="00E705DD">
        <w:rPr>
          <w:rFonts w:hint="eastAsia"/>
          <w:spacing w:val="2"/>
          <w:sz w:val="24"/>
        </w:rPr>
        <w:t>472.1</w:t>
      </w:r>
      <w:r w:rsidR="005545F9" w:rsidRPr="008A2EDB">
        <w:rPr>
          <w:spacing w:val="2"/>
          <w:sz w:val="24"/>
        </w:rPr>
        <w:t>m</w:t>
      </w:r>
      <w:r w:rsidR="005545F9" w:rsidRPr="008A2EDB">
        <w:rPr>
          <w:spacing w:val="2"/>
          <w:sz w:val="24"/>
          <w:vertAlign w:val="superscript"/>
        </w:rPr>
        <w:t>3</w:t>
      </w:r>
      <w:r w:rsidR="005545F9" w:rsidRPr="008A2EDB">
        <w:rPr>
          <w:spacing w:val="2"/>
          <w:sz w:val="24"/>
        </w:rPr>
        <w:t>/d</w:t>
      </w:r>
      <w:r w:rsidR="005545F9" w:rsidRPr="008A2EDB">
        <w:rPr>
          <w:spacing w:val="2"/>
          <w:sz w:val="24"/>
        </w:rPr>
        <w:t>）回用于井下洒水、</w:t>
      </w:r>
      <w:r w:rsidR="00802A62">
        <w:rPr>
          <w:spacing w:val="2"/>
          <w:sz w:val="24"/>
        </w:rPr>
        <w:t>储煤库</w:t>
      </w:r>
      <w:r w:rsidR="005545F9" w:rsidRPr="008A2EDB">
        <w:rPr>
          <w:spacing w:val="2"/>
          <w:sz w:val="24"/>
        </w:rPr>
        <w:t>洒水、空压机补充水、车辆冲洗补充水等生产用水，剩余</w:t>
      </w:r>
      <w:r w:rsidR="005545F9" w:rsidRPr="008A2EDB">
        <w:rPr>
          <w:sz w:val="24"/>
        </w:rPr>
        <w:t>不能充分利用</w:t>
      </w:r>
      <w:r w:rsidR="005545F9" w:rsidRPr="008A2EDB">
        <w:rPr>
          <w:spacing w:val="2"/>
          <w:sz w:val="24"/>
        </w:rPr>
        <w:t>（</w:t>
      </w:r>
      <w:r w:rsidR="00E705DD" w:rsidRPr="008A2EDB">
        <w:rPr>
          <w:spacing w:val="2"/>
          <w:sz w:val="24"/>
        </w:rPr>
        <w:t>4</w:t>
      </w:r>
      <w:r w:rsidR="00E705DD">
        <w:rPr>
          <w:rFonts w:hint="eastAsia"/>
          <w:spacing w:val="2"/>
          <w:sz w:val="24"/>
        </w:rPr>
        <w:t>183.9</w:t>
      </w:r>
      <w:r w:rsidR="005545F9" w:rsidRPr="008A2EDB">
        <w:rPr>
          <w:spacing w:val="2"/>
          <w:sz w:val="24"/>
        </w:rPr>
        <w:t>m</w:t>
      </w:r>
      <w:r w:rsidR="005545F9" w:rsidRPr="008A2EDB">
        <w:rPr>
          <w:spacing w:val="2"/>
          <w:sz w:val="24"/>
          <w:vertAlign w:val="superscript"/>
        </w:rPr>
        <w:t>3</w:t>
      </w:r>
      <w:r w:rsidR="005545F9" w:rsidRPr="008A2EDB">
        <w:rPr>
          <w:spacing w:val="2"/>
          <w:sz w:val="24"/>
        </w:rPr>
        <w:t>/d</w:t>
      </w:r>
      <w:r w:rsidR="005545F9" w:rsidRPr="008A2EDB">
        <w:rPr>
          <w:spacing w:val="2"/>
          <w:sz w:val="24"/>
        </w:rPr>
        <w:t>）</w:t>
      </w:r>
      <w:r w:rsidR="005545F9" w:rsidRPr="008A2EDB">
        <w:rPr>
          <w:sz w:val="24"/>
        </w:rPr>
        <w:t>满足《煤炭工业污染物排放标准》（</w:t>
      </w:r>
      <w:r w:rsidR="005545F9" w:rsidRPr="008A2EDB">
        <w:rPr>
          <w:sz w:val="24"/>
        </w:rPr>
        <w:t>GB20426-2006</w:t>
      </w:r>
      <w:r w:rsidR="005545F9" w:rsidRPr="008A2EDB">
        <w:rPr>
          <w:sz w:val="24"/>
        </w:rPr>
        <w:t>）表</w:t>
      </w:r>
      <w:r w:rsidR="005545F9" w:rsidRPr="008A2EDB">
        <w:rPr>
          <w:sz w:val="24"/>
        </w:rPr>
        <w:t>1</w:t>
      </w:r>
      <w:r w:rsidR="005545F9" w:rsidRPr="008A2EDB">
        <w:rPr>
          <w:sz w:val="24"/>
        </w:rPr>
        <w:t>，表</w:t>
      </w:r>
      <w:r w:rsidR="005545F9" w:rsidRPr="008A2EDB">
        <w:rPr>
          <w:sz w:val="24"/>
        </w:rPr>
        <w:t>2</w:t>
      </w:r>
      <w:r w:rsidR="005545F9" w:rsidRPr="008A2EDB">
        <w:rPr>
          <w:sz w:val="24"/>
        </w:rPr>
        <w:t>采煤废水排放限值并且满足</w:t>
      </w:r>
      <w:r w:rsidR="005545F9" w:rsidRPr="008A2EDB">
        <w:rPr>
          <w:rFonts w:hAnsi="宋体"/>
          <w:snapToGrid w:val="0"/>
          <w:sz w:val="24"/>
        </w:rPr>
        <w:t>《</w:t>
      </w:r>
      <w:r w:rsidR="005545F9" w:rsidRPr="008A2EDB">
        <w:rPr>
          <w:sz w:val="24"/>
        </w:rPr>
        <w:t>地表水环境质量标准</w:t>
      </w:r>
      <w:r w:rsidR="005545F9" w:rsidRPr="008A2EDB">
        <w:rPr>
          <w:rFonts w:hAnsi="宋体"/>
          <w:snapToGrid w:val="0"/>
          <w:sz w:val="24"/>
        </w:rPr>
        <w:t>》</w:t>
      </w:r>
      <w:r w:rsidR="005545F9" w:rsidRPr="008A2EDB">
        <w:rPr>
          <w:sz w:val="24"/>
        </w:rPr>
        <w:t>（</w:t>
      </w:r>
      <w:r w:rsidR="005545F9" w:rsidRPr="008A2EDB">
        <w:rPr>
          <w:sz w:val="24"/>
        </w:rPr>
        <w:t>GB3838-2002</w:t>
      </w:r>
      <w:r w:rsidR="005545F9" w:rsidRPr="008A2EDB">
        <w:rPr>
          <w:sz w:val="24"/>
        </w:rPr>
        <w:t>）</w:t>
      </w:r>
      <w:r w:rsidR="005545F9" w:rsidRPr="008A2EDB">
        <w:rPr>
          <w:rFonts w:ascii="宋体" w:hAnsi="宋体" w:cs="宋体" w:hint="eastAsia"/>
          <w:sz w:val="24"/>
        </w:rPr>
        <w:t>Ⅲ</w:t>
      </w:r>
      <w:r w:rsidR="005545F9" w:rsidRPr="008A2EDB">
        <w:rPr>
          <w:sz w:val="24"/>
        </w:rPr>
        <w:t>类水质要求后向东北外排至赵沟河</w:t>
      </w:r>
      <w:r w:rsidR="005545F9" w:rsidRPr="008A2EDB">
        <w:rPr>
          <w:sz w:val="24"/>
        </w:rPr>
        <w:t>2.1km→</w:t>
      </w:r>
      <w:r w:rsidR="005545F9" w:rsidRPr="008A2EDB">
        <w:rPr>
          <w:sz w:val="24"/>
        </w:rPr>
        <w:t>涌泉河</w:t>
      </w:r>
      <w:r w:rsidR="005545F9" w:rsidRPr="008A2EDB">
        <w:rPr>
          <w:sz w:val="24"/>
        </w:rPr>
        <w:t>3.0km→</w:t>
      </w:r>
      <w:r w:rsidR="005545F9" w:rsidRPr="008A2EDB">
        <w:rPr>
          <w:sz w:val="24"/>
        </w:rPr>
        <w:t>纸坊水库后用于周边农田灌溉及生态补水</w:t>
      </w:r>
      <w:r w:rsidR="00E705DD">
        <w:rPr>
          <w:rFonts w:hint="eastAsia"/>
          <w:spacing w:val="2"/>
          <w:sz w:val="24"/>
        </w:rPr>
        <w:t>。</w:t>
      </w:r>
    </w:p>
    <w:p w:rsidR="005545F9" w:rsidRPr="005545F9" w:rsidRDefault="00AC0334" w:rsidP="005545F9">
      <w:pPr>
        <w:adjustRightInd w:val="0"/>
        <w:snapToGrid w:val="0"/>
        <w:spacing w:line="520" w:lineRule="exact"/>
        <w:ind w:firstLineChars="200" w:firstLine="488"/>
      </w:pPr>
      <w:r>
        <w:rPr>
          <w:spacing w:val="2"/>
          <w:sz w:val="24"/>
        </w:rPr>
        <w:t>生活污水处理达标后</w:t>
      </w:r>
      <w:r w:rsidR="005545F9">
        <w:rPr>
          <w:rFonts w:hint="eastAsia"/>
          <w:spacing w:val="2"/>
          <w:sz w:val="24"/>
        </w:rPr>
        <w:t>全部回</w:t>
      </w:r>
      <w:r>
        <w:rPr>
          <w:spacing w:val="2"/>
          <w:sz w:val="24"/>
        </w:rPr>
        <w:t>用于工业场地绿化</w:t>
      </w:r>
      <w:r w:rsidR="005545F9">
        <w:rPr>
          <w:rFonts w:hint="eastAsia"/>
          <w:spacing w:val="2"/>
          <w:sz w:val="24"/>
        </w:rPr>
        <w:t>及洒水降尘等，不外排。</w:t>
      </w:r>
    </w:p>
    <w:p w:rsidR="00240BCE" w:rsidRDefault="00AC0334" w:rsidP="009C5F33">
      <w:pPr>
        <w:pStyle w:val="30"/>
        <w:adjustRightInd w:val="0"/>
        <w:snapToGrid w:val="0"/>
        <w:spacing w:beforeLines="70" w:afterLines="30" w:line="240" w:lineRule="auto"/>
        <w:jc w:val="left"/>
        <w:rPr>
          <w:rFonts w:eastAsia="楷体"/>
          <w:sz w:val="28"/>
          <w:szCs w:val="28"/>
        </w:rPr>
      </w:pPr>
      <w:bookmarkStart w:id="934" w:name="_Toc79668771"/>
      <w:r>
        <w:rPr>
          <w:rFonts w:eastAsia="楷体"/>
          <w:sz w:val="28"/>
          <w:szCs w:val="28"/>
        </w:rPr>
        <w:t>11.2.4</w:t>
      </w:r>
      <w:bookmarkEnd w:id="931"/>
      <w:bookmarkEnd w:id="932"/>
      <w:bookmarkEnd w:id="933"/>
      <w:r>
        <w:rPr>
          <w:rFonts w:eastAsia="楷体"/>
          <w:sz w:val="28"/>
          <w:szCs w:val="28"/>
        </w:rPr>
        <w:t xml:space="preserve"> </w:t>
      </w:r>
      <w:r>
        <w:rPr>
          <w:rFonts w:eastAsia="楷体"/>
          <w:sz w:val="28"/>
          <w:szCs w:val="28"/>
        </w:rPr>
        <w:t>环境空气</w:t>
      </w:r>
      <w:bookmarkEnd w:id="934"/>
    </w:p>
    <w:p w:rsidR="00240BCE" w:rsidRDefault="00AC0334">
      <w:pPr>
        <w:pStyle w:val="08516"/>
        <w:ind w:firstLine="488"/>
        <w:rPr>
          <w:rFonts w:cs="Times New Roman"/>
        </w:rPr>
      </w:pPr>
      <w:bookmarkStart w:id="935" w:name="_Toc148157184"/>
      <w:bookmarkStart w:id="936" w:name="_Toc154205623"/>
      <w:bookmarkStart w:id="937" w:name="_Toc156386781"/>
      <w:bookmarkStart w:id="938" w:name="_Toc157574474"/>
      <w:bookmarkStart w:id="939" w:name="_Toc158525091"/>
      <w:bookmarkStart w:id="940" w:name="_Toc163749421"/>
      <w:bookmarkStart w:id="941" w:name="_Toc164246116"/>
      <w:bookmarkStart w:id="942" w:name="_Toc166900087"/>
      <w:bookmarkStart w:id="943" w:name="_Toc168978696"/>
      <w:bookmarkStart w:id="944" w:name="_Toc169520200"/>
      <w:r>
        <w:rPr>
          <w:rFonts w:cs="Times New Roman"/>
          <w:kern w:val="0"/>
          <w:szCs w:val="21"/>
        </w:rPr>
        <w:t>升级改造后本项目不设置锅炉，井筒保温采用电加热热风机组；澡堂供热、办公室楼供暖采用电供暖。</w:t>
      </w:r>
      <w:r>
        <w:rPr>
          <w:rFonts w:cs="Times New Roman"/>
        </w:rPr>
        <w:t>因此，本项目运行期的大气污染源主要是</w:t>
      </w:r>
      <w:r w:rsidR="007B52E8">
        <w:rPr>
          <w:spacing w:val="2"/>
        </w:rPr>
        <w:t>储煤库扬尘、</w:t>
      </w:r>
      <w:r w:rsidR="007B52E8">
        <w:rPr>
          <w:rFonts w:hint="eastAsia"/>
          <w:spacing w:val="2"/>
        </w:rPr>
        <w:t>食堂油烟、</w:t>
      </w:r>
      <w:r w:rsidR="007B52E8">
        <w:rPr>
          <w:spacing w:val="2"/>
        </w:rPr>
        <w:t>道路扬尘</w:t>
      </w:r>
      <w:r>
        <w:rPr>
          <w:rFonts w:cs="Times New Roman"/>
        </w:rPr>
        <w:t>。</w:t>
      </w:r>
    </w:p>
    <w:p w:rsidR="007B52E8" w:rsidRPr="009D7F5F" w:rsidRDefault="007B52E8" w:rsidP="007B52E8">
      <w:pPr>
        <w:adjustRightInd w:val="0"/>
        <w:snapToGrid w:val="0"/>
        <w:spacing w:line="520" w:lineRule="exact"/>
        <w:ind w:firstLineChars="200" w:firstLine="560"/>
        <w:jc w:val="left"/>
        <w:rPr>
          <w:spacing w:val="2"/>
          <w:sz w:val="24"/>
        </w:rPr>
      </w:pPr>
      <w:r>
        <w:rPr>
          <w:rFonts w:hint="eastAsia"/>
          <w:kern w:val="0"/>
          <w:szCs w:val="21"/>
        </w:rPr>
        <w:t>1</w:t>
      </w:r>
      <w:r>
        <w:rPr>
          <w:rFonts w:hint="eastAsia"/>
          <w:kern w:val="0"/>
          <w:szCs w:val="21"/>
        </w:rPr>
        <w:t>、</w:t>
      </w:r>
      <w:r w:rsidRPr="009D7F5F">
        <w:rPr>
          <w:spacing w:val="2"/>
          <w:sz w:val="24"/>
        </w:rPr>
        <w:t>原煤厂内运输粉尘</w:t>
      </w:r>
    </w:p>
    <w:p w:rsidR="007B52E8" w:rsidRPr="009D7F5F" w:rsidRDefault="007B52E8" w:rsidP="007B52E8">
      <w:pPr>
        <w:adjustRightInd w:val="0"/>
        <w:snapToGrid w:val="0"/>
        <w:spacing w:line="520" w:lineRule="exact"/>
        <w:ind w:firstLineChars="200" w:firstLine="480"/>
        <w:jc w:val="left"/>
        <w:rPr>
          <w:spacing w:val="2"/>
          <w:sz w:val="24"/>
        </w:rPr>
      </w:pPr>
      <w:r w:rsidRPr="009D7F5F">
        <w:rPr>
          <w:rFonts w:hint="eastAsia"/>
          <w:color w:val="000000" w:themeColor="text1"/>
          <w:sz w:val="24"/>
        </w:rPr>
        <w:t>本次工程在主井卸煤口处设置</w:t>
      </w:r>
      <w:r w:rsidRPr="009D7F5F">
        <w:rPr>
          <w:rFonts w:hint="eastAsia"/>
          <w:sz w:val="24"/>
        </w:rPr>
        <w:t>集气罩，并配套袋式除尘器处理粉尘颗粒物。集气罩收集效率为</w:t>
      </w:r>
      <w:r w:rsidRPr="009D7F5F">
        <w:rPr>
          <w:rFonts w:hint="eastAsia"/>
          <w:sz w:val="24"/>
        </w:rPr>
        <w:t>90%</w:t>
      </w:r>
      <w:r w:rsidRPr="009D7F5F">
        <w:rPr>
          <w:rFonts w:hint="eastAsia"/>
          <w:sz w:val="24"/>
        </w:rPr>
        <w:t>以上，袋式除尘器的去除效率为</w:t>
      </w:r>
      <w:r w:rsidRPr="009D7F5F">
        <w:rPr>
          <w:rFonts w:hint="eastAsia"/>
          <w:sz w:val="24"/>
        </w:rPr>
        <w:t>99.9%</w:t>
      </w:r>
      <w:r w:rsidRPr="009D7F5F">
        <w:rPr>
          <w:rFonts w:hint="eastAsia"/>
          <w:sz w:val="24"/>
        </w:rPr>
        <w:t>。粉尘颗粒物的去除效率和排放浓度均满足《煤炭工业污染物排放标准》（</w:t>
      </w:r>
      <w:r w:rsidRPr="009D7F5F">
        <w:rPr>
          <w:sz w:val="24"/>
        </w:rPr>
        <w:t>GB20426-2006</w:t>
      </w:r>
      <w:r w:rsidRPr="009D7F5F">
        <w:rPr>
          <w:rFonts w:hint="eastAsia"/>
          <w:sz w:val="24"/>
        </w:rPr>
        <w:t>）表</w:t>
      </w:r>
      <w:r w:rsidRPr="009D7F5F">
        <w:rPr>
          <w:rFonts w:hint="eastAsia"/>
          <w:sz w:val="24"/>
        </w:rPr>
        <w:t>4</w:t>
      </w:r>
      <w:r w:rsidRPr="009D7F5F">
        <w:rPr>
          <w:rFonts w:hint="eastAsia"/>
          <w:sz w:val="24"/>
        </w:rPr>
        <w:t>排放限值要求</w:t>
      </w:r>
      <w:r w:rsidRPr="009D7F5F">
        <w:rPr>
          <w:spacing w:val="2"/>
          <w:sz w:val="24"/>
        </w:rPr>
        <w:t>。</w:t>
      </w:r>
    </w:p>
    <w:p w:rsidR="00240BCE" w:rsidRDefault="007B52E8">
      <w:pPr>
        <w:pStyle w:val="08516"/>
        <w:ind w:firstLine="488"/>
        <w:rPr>
          <w:rFonts w:cs="Times New Roman"/>
          <w:kern w:val="0"/>
          <w:szCs w:val="21"/>
        </w:rPr>
      </w:pPr>
      <w:r>
        <w:rPr>
          <w:rFonts w:cs="Times New Roman" w:hint="eastAsia"/>
          <w:kern w:val="0"/>
          <w:szCs w:val="21"/>
        </w:rPr>
        <w:t>2</w:t>
      </w:r>
      <w:r w:rsidR="00AC0334">
        <w:rPr>
          <w:rFonts w:cs="Times New Roman"/>
          <w:kern w:val="0"/>
          <w:szCs w:val="21"/>
        </w:rPr>
        <w:t>、</w:t>
      </w:r>
      <w:r w:rsidR="00802A62">
        <w:rPr>
          <w:rFonts w:cs="Times New Roman"/>
          <w:kern w:val="0"/>
          <w:szCs w:val="21"/>
        </w:rPr>
        <w:t>储煤库</w:t>
      </w:r>
      <w:r w:rsidR="00AC0334">
        <w:rPr>
          <w:rFonts w:cs="Times New Roman"/>
          <w:kern w:val="0"/>
          <w:szCs w:val="21"/>
        </w:rPr>
        <w:t>、矸石临时堆场扬尘</w:t>
      </w:r>
    </w:p>
    <w:p w:rsidR="00240BCE" w:rsidRDefault="00AC0334">
      <w:pPr>
        <w:pStyle w:val="08516"/>
        <w:spacing w:line="500" w:lineRule="exact"/>
        <w:ind w:firstLine="488"/>
        <w:rPr>
          <w:rFonts w:cs="Times New Roman"/>
          <w:kern w:val="0"/>
          <w:szCs w:val="21"/>
        </w:rPr>
      </w:pPr>
      <w:r>
        <w:rPr>
          <w:rFonts w:cs="Times New Roman"/>
          <w:kern w:val="0"/>
          <w:szCs w:val="21"/>
        </w:rPr>
        <w:t>升级改造后，共设置</w:t>
      </w:r>
      <w:r>
        <w:rPr>
          <w:rFonts w:cs="Times New Roman"/>
          <w:kern w:val="0"/>
          <w:szCs w:val="21"/>
        </w:rPr>
        <w:t>1</w:t>
      </w:r>
      <w:r>
        <w:rPr>
          <w:rFonts w:cs="Times New Roman"/>
          <w:kern w:val="0"/>
          <w:szCs w:val="21"/>
        </w:rPr>
        <w:t>个</w:t>
      </w:r>
      <w:r w:rsidR="00802A62">
        <w:rPr>
          <w:rFonts w:cs="Times New Roman"/>
          <w:kern w:val="0"/>
          <w:szCs w:val="21"/>
        </w:rPr>
        <w:t>储煤库</w:t>
      </w:r>
      <w:r>
        <w:rPr>
          <w:rFonts w:cs="Times New Roman"/>
          <w:kern w:val="0"/>
          <w:szCs w:val="21"/>
        </w:rPr>
        <w:t>，用于分区暂存原煤、矸石。</w:t>
      </w:r>
      <w:r w:rsidR="00802A62">
        <w:rPr>
          <w:rFonts w:cs="Times New Roman"/>
          <w:kern w:val="0"/>
          <w:szCs w:val="21"/>
        </w:rPr>
        <w:t>储煤库</w:t>
      </w:r>
      <w:r>
        <w:rPr>
          <w:rFonts w:cs="Times New Roman"/>
          <w:kern w:val="0"/>
          <w:szCs w:val="21"/>
        </w:rPr>
        <w:t>采用全封闭式</w:t>
      </w:r>
      <w:r w:rsidR="00802A62">
        <w:rPr>
          <w:rFonts w:cs="Times New Roman"/>
          <w:kern w:val="0"/>
          <w:szCs w:val="21"/>
        </w:rPr>
        <w:t>储煤库</w:t>
      </w:r>
      <w:r>
        <w:rPr>
          <w:rFonts w:cs="Times New Roman"/>
          <w:kern w:val="0"/>
          <w:szCs w:val="21"/>
        </w:rPr>
        <w:t>，且在落煤处设置洒水喷头</w:t>
      </w:r>
      <w:r>
        <w:rPr>
          <w:rFonts w:cs="Times New Roman"/>
          <w:kern w:val="0"/>
          <w:szCs w:val="21"/>
        </w:rPr>
        <w:t>1</w:t>
      </w:r>
      <w:r>
        <w:rPr>
          <w:rFonts w:cs="Times New Roman"/>
          <w:kern w:val="0"/>
          <w:szCs w:val="21"/>
        </w:rPr>
        <w:t>个，并在</w:t>
      </w:r>
      <w:r w:rsidR="00802A62">
        <w:rPr>
          <w:rFonts w:cs="Times New Roman"/>
          <w:kern w:val="0"/>
          <w:szCs w:val="21"/>
        </w:rPr>
        <w:t>储煤库</w:t>
      </w:r>
      <w:r>
        <w:rPr>
          <w:rFonts w:cs="Times New Roman"/>
          <w:kern w:val="0"/>
          <w:szCs w:val="21"/>
        </w:rPr>
        <w:t>四周安装自动洒水喷头进行全覆盖洒水降尘。对周围环境影响不大。</w:t>
      </w:r>
    </w:p>
    <w:p w:rsidR="007B52E8" w:rsidRDefault="007B52E8">
      <w:pPr>
        <w:pStyle w:val="08516"/>
        <w:spacing w:line="500" w:lineRule="exact"/>
        <w:ind w:firstLine="488"/>
        <w:rPr>
          <w:spacing w:val="2"/>
        </w:rPr>
      </w:pPr>
      <w:r>
        <w:rPr>
          <w:rFonts w:cs="Times New Roman" w:hint="eastAsia"/>
          <w:kern w:val="0"/>
          <w:szCs w:val="21"/>
        </w:rPr>
        <w:t>3</w:t>
      </w:r>
      <w:r>
        <w:rPr>
          <w:rFonts w:cs="Times New Roman" w:hint="eastAsia"/>
          <w:kern w:val="0"/>
          <w:szCs w:val="21"/>
        </w:rPr>
        <w:t>、</w:t>
      </w:r>
      <w:r w:rsidRPr="00FE1992">
        <w:rPr>
          <w:rFonts w:hint="eastAsia"/>
          <w:spacing w:val="2"/>
        </w:rPr>
        <w:t>食堂油烟</w:t>
      </w:r>
    </w:p>
    <w:p w:rsidR="007B52E8" w:rsidRPr="007B52E8" w:rsidRDefault="007B52E8" w:rsidP="007B52E8">
      <w:pPr>
        <w:adjustRightInd w:val="0"/>
        <w:snapToGrid w:val="0"/>
        <w:spacing w:line="520" w:lineRule="exact"/>
        <w:ind w:firstLineChars="200" w:firstLine="488"/>
        <w:jc w:val="left"/>
        <w:rPr>
          <w:spacing w:val="2"/>
        </w:rPr>
      </w:pPr>
      <w:r w:rsidRPr="00EA4293">
        <w:rPr>
          <w:rFonts w:hint="eastAsia"/>
          <w:spacing w:val="2"/>
          <w:sz w:val="24"/>
        </w:rPr>
        <w:lastRenderedPageBreak/>
        <w:t>食堂油烟由集气罩收集后采用静电式油烟净化器进行处理后楼顶排放</w:t>
      </w:r>
      <w:r>
        <w:rPr>
          <w:rFonts w:hint="eastAsia"/>
          <w:spacing w:val="2"/>
          <w:sz w:val="24"/>
        </w:rPr>
        <w:t>，</w:t>
      </w:r>
      <w:r w:rsidRPr="00FE1992">
        <w:rPr>
          <w:rFonts w:hint="eastAsia"/>
          <w:spacing w:val="2"/>
          <w:sz w:val="24"/>
        </w:rPr>
        <w:t>能够满足河南省地方标准《餐饮业油烟污染物排放标准》（</w:t>
      </w:r>
      <w:r w:rsidRPr="00FE1992">
        <w:rPr>
          <w:rFonts w:hint="eastAsia"/>
          <w:spacing w:val="2"/>
          <w:sz w:val="24"/>
        </w:rPr>
        <w:t>DB41/1604-2018</w:t>
      </w:r>
      <w:r w:rsidRPr="00FE1992">
        <w:rPr>
          <w:rFonts w:hint="eastAsia"/>
          <w:spacing w:val="2"/>
          <w:sz w:val="24"/>
        </w:rPr>
        <w:t>）中表</w:t>
      </w:r>
      <w:r w:rsidRPr="00FE1992">
        <w:rPr>
          <w:rFonts w:hint="eastAsia"/>
          <w:spacing w:val="2"/>
          <w:sz w:val="24"/>
        </w:rPr>
        <w:t>1</w:t>
      </w:r>
      <w:r w:rsidRPr="00FE1992">
        <w:rPr>
          <w:rFonts w:hint="eastAsia"/>
          <w:spacing w:val="2"/>
          <w:sz w:val="24"/>
        </w:rPr>
        <w:t>大型：油烟排放浓度≤</w:t>
      </w:r>
      <w:r w:rsidRPr="00FE1992">
        <w:rPr>
          <w:rFonts w:hint="eastAsia"/>
          <w:spacing w:val="2"/>
          <w:sz w:val="24"/>
        </w:rPr>
        <w:t>1.0mg/m</w:t>
      </w:r>
      <w:r w:rsidRPr="00FE1992">
        <w:rPr>
          <w:rFonts w:hint="eastAsia"/>
          <w:spacing w:val="2"/>
          <w:sz w:val="24"/>
          <w:vertAlign w:val="superscript"/>
        </w:rPr>
        <w:t>3</w:t>
      </w:r>
      <w:r w:rsidRPr="00FE1992">
        <w:rPr>
          <w:rFonts w:hint="eastAsia"/>
          <w:spacing w:val="2"/>
          <w:sz w:val="24"/>
        </w:rPr>
        <w:t xml:space="preserve"> </w:t>
      </w:r>
      <w:r w:rsidRPr="00FE1992">
        <w:rPr>
          <w:rFonts w:hint="eastAsia"/>
          <w:spacing w:val="2"/>
          <w:sz w:val="24"/>
        </w:rPr>
        <w:t>，非甲烷总烃排放浓度≤</w:t>
      </w:r>
      <w:r w:rsidRPr="00FE1992">
        <w:rPr>
          <w:rFonts w:hint="eastAsia"/>
          <w:spacing w:val="2"/>
          <w:sz w:val="24"/>
        </w:rPr>
        <w:t>10mg/m</w:t>
      </w:r>
      <w:r w:rsidRPr="00FE1992">
        <w:rPr>
          <w:rFonts w:hint="eastAsia"/>
          <w:spacing w:val="2"/>
          <w:sz w:val="24"/>
          <w:vertAlign w:val="superscript"/>
        </w:rPr>
        <w:t>3</w:t>
      </w:r>
      <w:r w:rsidRPr="00FE1992">
        <w:rPr>
          <w:rFonts w:hint="eastAsia"/>
          <w:spacing w:val="2"/>
          <w:sz w:val="24"/>
        </w:rPr>
        <w:t xml:space="preserve"> </w:t>
      </w:r>
      <w:r w:rsidRPr="00FE1992">
        <w:rPr>
          <w:rFonts w:hint="eastAsia"/>
          <w:spacing w:val="2"/>
          <w:sz w:val="24"/>
        </w:rPr>
        <w:t>，油烟去除率≥</w:t>
      </w:r>
      <w:r w:rsidRPr="00FE1992">
        <w:rPr>
          <w:rFonts w:hint="eastAsia"/>
          <w:spacing w:val="2"/>
          <w:sz w:val="24"/>
        </w:rPr>
        <w:t>95%</w:t>
      </w:r>
      <w:r w:rsidRPr="00FE1992">
        <w:rPr>
          <w:rFonts w:hint="eastAsia"/>
          <w:spacing w:val="2"/>
          <w:sz w:val="24"/>
        </w:rPr>
        <w:t>的要求</w:t>
      </w:r>
      <w:r>
        <w:rPr>
          <w:rFonts w:hint="eastAsia"/>
          <w:spacing w:val="2"/>
          <w:sz w:val="24"/>
        </w:rPr>
        <w:t>。</w:t>
      </w:r>
    </w:p>
    <w:p w:rsidR="00240BCE" w:rsidRDefault="007B52E8">
      <w:pPr>
        <w:spacing w:line="520" w:lineRule="exact"/>
        <w:ind w:firstLineChars="200" w:firstLine="480"/>
        <w:rPr>
          <w:sz w:val="24"/>
        </w:rPr>
      </w:pPr>
      <w:r>
        <w:rPr>
          <w:rFonts w:hint="eastAsia"/>
          <w:sz w:val="24"/>
        </w:rPr>
        <w:t>4</w:t>
      </w:r>
      <w:r w:rsidR="00AC0334">
        <w:rPr>
          <w:sz w:val="24"/>
        </w:rPr>
        <w:t>、运输道路扬尘</w:t>
      </w:r>
    </w:p>
    <w:p w:rsidR="00240BCE" w:rsidRDefault="00AC0334" w:rsidP="00DB51A2">
      <w:pPr>
        <w:spacing w:line="520" w:lineRule="exact"/>
        <w:ind w:firstLineChars="192" w:firstLine="461"/>
        <w:rPr>
          <w:sz w:val="24"/>
          <w:szCs w:val="28"/>
        </w:rPr>
      </w:pPr>
      <w:r>
        <w:rPr>
          <w:sz w:val="24"/>
          <w:szCs w:val="28"/>
        </w:rPr>
        <w:t>本次评价要求在磅房处设车辆泥尘冲洗系统，冲洗泥水经收集后全部用于工业场地洒水降尘，不外排。并设专人清扫路面，并配备洒水车</w:t>
      </w:r>
      <w:r>
        <w:rPr>
          <w:sz w:val="24"/>
          <w:szCs w:val="28"/>
        </w:rPr>
        <w:t>1</w:t>
      </w:r>
      <w:r>
        <w:rPr>
          <w:sz w:val="24"/>
          <w:szCs w:val="28"/>
        </w:rPr>
        <w:t>辆，对道路定时洒水。在煤炭运输时严格运煤车辆管理，不超载，装车时煤炭压实并进行表面洒水，对运煤的车辆限速、限载，并按照国家有关规定，采用密闭式运输车，防止物料飞扬、抛洒，以此减少路面扬尘和运煤车辆对环境的影响。</w:t>
      </w:r>
    </w:p>
    <w:p w:rsidR="00240BCE" w:rsidRDefault="00AC0334" w:rsidP="00DB51A2">
      <w:pPr>
        <w:spacing w:line="520" w:lineRule="exact"/>
        <w:ind w:firstLineChars="192" w:firstLine="461"/>
        <w:rPr>
          <w:sz w:val="24"/>
        </w:rPr>
      </w:pPr>
      <w:r>
        <w:rPr>
          <w:sz w:val="24"/>
        </w:rPr>
        <w:t>根据预测结果：在采取措施的情况下，道路下风向距离</w:t>
      </w:r>
      <w:r>
        <w:rPr>
          <w:sz w:val="24"/>
        </w:rPr>
        <w:t>15m</w:t>
      </w:r>
      <w:r>
        <w:rPr>
          <w:sz w:val="24"/>
        </w:rPr>
        <w:t>处的扬尘浓度满足《环境空气质量标准》</w:t>
      </w:r>
      <w:r>
        <w:rPr>
          <w:sz w:val="24"/>
        </w:rPr>
        <w:t>GB3095</w:t>
      </w:r>
      <w:r>
        <w:rPr>
          <w:sz w:val="24"/>
        </w:rPr>
        <w:t>－</w:t>
      </w:r>
      <w:r>
        <w:rPr>
          <w:sz w:val="24"/>
        </w:rPr>
        <w:t>2012</w:t>
      </w:r>
      <w:r>
        <w:rPr>
          <w:sz w:val="24"/>
        </w:rPr>
        <w:t>二级标准的要求，因此，在采取措施的情况下，道路扬尘主要是</w:t>
      </w:r>
      <w:r>
        <w:rPr>
          <w:sz w:val="24"/>
        </w:rPr>
        <w:t>15m</w:t>
      </w:r>
      <w:r>
        <w:rPr>
          <w:sz w:val="24"/>
        </w:rPr>
        <w:t>范围内的局部沿线带状污染。</w:t>
      </w:r>
    </w:p>
    <w:p w:rsidR="00240BCE" w:rsidRDefault="00AC0334" w:rsidP="00DB51A2">
      <w:pPr>
        <w:spacing w:line="520" w:lineRule="exact"/>
        <w:ind w:firstLineChars="192" w:firstLine="461"/>
        <w:rPr>
          <w:bCs/>
          <w:sz w:val="24"/>
        </w:rPr>
      </w:pPr>
      <w:r>
        <w:rPr>
          <w:sz w:val="24"/>
        </w:rPr>
        <w:t>据现场调查可知，本项目运输道路沿线两侧主要为赵沟村，与道路中心线的距离为</w:t>
      </w:r>
      <w:r>
        <w:rPr>
          <w:sz w:val="24"/>
        </w:rPr>
        <w:t>23m</w:t>
      </w:r>
      <w:r>
        <w:rPr>
          <w:sz w:val="24"/>
        </w:rPr>
        <w:t>，</w:t>
      </w:r>
      <w:r>
        <w:rPr>
          <w:sz w:val="24"/>
          <w:szCs w:val="28"/>
        </w:rPr>
        <w:t>满足</w:t>
      </w:r>
      <w:r>
        <w:rPr>
          <w:sz w:val="24"/>
        </w:rPr>
        <w:t>《环境空气质量标准》</w:t>
      </w:r>
      <w:r>
        <w:rPr>
          <w:sz w:val="24"/>
        </w:rPr>
        <w:t>GB3095</w:t>
      </w:r>
      <w:r>
        <w:rPr>
          <w:sz w:val="24"/>
        </w:rPr>
        <w:t>－</w:t>
      </w:r>
      <w:r>
        <w:rPr>
          <w:sz w:val="24"/>
        </w:rPr>
        <w:t>2012</w:t>
      </w:r>
      <w:r>
        <w:rPr>
          <w:sz w:val="24"/>
        </w:rPr>
        <w:t>二级标准的要求。</w:t>
      </w:r>
    </w:p>
    <w:p w:rsidR="00240BCE" w:rsidRDefault="00AC0334" w:rsidP="009C5F33">
      <w:pPr>
        <w:pStyle w:val="30"/>
        <w:adjustRightInd w:val="0"/>
        <w:snapToGrid w:val="0"/>
        <w:spacing w:beforeLines="70" w:afterLines="30" w:line="240" w:lineRule="auto"/>
        <w:jc w:val="left"/>
        <w:rPr>
          <w:rFonts w:eastAsia="楷体"/>
          <w:sz w:val="28"/>
          <w:szCs w:val="28"/>
        </w:rPr>
      </w:pPr>
      <w:bookmarkStart w:id="945" w:name="_Toc154205629"/>
      <w:bookmarkStart w:id="946" w:name="_Toc158525096"/>
      <w:bookmarkStart w:id="947" w:name="_Toc79668772"/>
      <w:bookmarkEnd w:id="935"/>
      <w:bookmarkEnd w:id="936"/>
      <w:bookmarkEnd w:id="937"/>
      <w:bookmarkEnd w:id="938"/>
      <w:bookmarkEnd w:id="939"/>
      <w:bookmarkEnd w:id="940"/>
      <w:bookmarkEnd w:id="941"/>
      <w:bookmarkEnd w:id="942"/>
      <w:bookmarkEnd w:id="943"/>
      <w:bookmarkEnd w:id="944"/>
      <w:r>
        <w:rPr>
          <w:rFonts w:eastAsia="楷体"/>
          <w:sz w:val="28"/>
          <w:szCs w:val="28"/>
        </w:rPr>
        <w:t>11.2.5</w:t>
      </w:r>
      <w:bookmarkEnd w:id="945"/>
      <w:bookmarkEnd w:id="946"/>
      <w:r>
        <w:rPr>
          <w:rFonts w:eastAsia="楷体"/>
          <w:sz w:val="28"/>
          <w:szCs w:val="28"/>
        </w:rPr>
        <w:t xml:space="preserve"> </w:t>
      </w:r>
      <w:r>
        <w:rPr>
          <w:rFonts w:eastAsia="楷体"/>
          <w:sz w:val="28"/>
          <w:szCs w:val="28"/>
        </w:rPr>
        <w:t>声环境</w:t>
      </w:r>
      <w:bookmarkEnd w:id="947"/>
    </w:p>
    <w:p w:rsidR="00240BCE" w:rsidRDefault="00AC0334">
      <w:pPr>
        <w:spacing w:line="520" w:lineRule="exact"/>
        <w:ind w:firstLineChars="200" w:firstLine="480"/>
        <w:rPr>
          <w:sz w:val="24"/>
        </w:rPr>
      </w:pPr>
      <w:r>
        <w:rPr>
          <w:sz w:val="24"/>
        </w:rPr>
        <w:t>由于本项目为技术改造项目，且本次技术改造除提升能力变化，更换部分提升设备、排水设备、支护设备外，井田面积、开拓方式及地面上其余生产生活设施等均利用原有设施。因此升级改造后地面高噪声源不变，根据河南正捷检测技术有限公司于</w:t>
      </w:r>
      <w:r>
        <w:rPr>
          <w:sz w:val="24"/>
        </w:rPr>
        <w:t>2020</w:t>
      </w:r>
      <w:r>
        <w:rPr>
          <w:sz w:val="24"/>
        </w:rPr>
        <w:t>年</w:t>
      </w:r>
      <w:r>
        <w:rPr>
          <w:sz w:val="24"/>
        </w:rPr>
        <w:t>8</w:t>
      </w:r>
      <w:r>
        <w:rPr>
          <w:sz w:val="24"/>
        </w:rPr>
        <w:t>月</w:t>
      </w:r>
      <w:r>
        <w:rPr>
          <w:sz w:val="24"/>
        </w:rPr>
        <w:t>30</w:t>
      </w:r>
      <w:r>
        <w:rPr>
          <w:sz w:val="24"/>
        </w:rPr>
        <w:t>日</w:t>
      </w:r>
      <w:r>
        <w:rPr>
          <w:sz w:val="24"/>
        </w:rPr>
        <w:t>~8</w:t>
      </w:r>
      <w:r>
        <w:rPr>
          <w:sz w:val="24"/>
        </w:rPr>
        <w:t>月</w:t>
      </w:r>
      <w:r>
        <w:rPr>
          <w:sz w:val="24"/>
        </w:rPr>
        <w:t>31</w:t>
      </w:r>
      <w:r>
        <w:rPr>
          <w:sz w:val="24"/>
        </w:rPr>
        <w:t>日对工业广场各厂界监测数据（见表</w:t>
      </w:r>
      <w:r>
        <w:rPr>
          <w:sz w:val="24"/>
        </w:rPr>
        <w:t>9.1-1</w:t>
      </w:r>
      <w:r>
        <w:rPr>
          <w:sz w:val="24"/>
        </w:rPr>
        <w:t>）知，隆庆煤矿工业广场除南厂界外各厂界噪声昼夜排放等效声级均能满足</w:t>
      </w:r>
      <w:r>
        <w:rPr>
          <w:sz w:val="24"/>
        </w:rPr>
        <w:t>GB12348-2008</w:t>
      </w:r>
      <w:r>
        <w:rPr>
          <w:sz w:val="24"/>
        </w:rPr>
        <w:t>《工业企业厂界环境噪声排放标准》</w:t>
      </w:r>
      <w:r>
        <w:rPr>
          <w:sz w:val="24"/>
        </w:rPr>
        <w:t>2</w:t>
      </w:r>
      <w:r>
        <w:rPr>
          <w:sz w:val="24"/>
        </w:rPr>
        <w:t>类标准要求；工业场地附近敏感点声环境质量满足《声环境质量标准》（</w:t>
      </w:r>
      <w:r>
        <w:rPr>
          <w:sz w:val="24"/>
        </w:rPr>
        <w:t>GB3096-2008</w:t>
      </w:r>
      <w:r>
        <w:rPr>
          <w:sz w:val="24"/>
        </w:rPr>
        <w:t>）</w:t>
      </w:r>
      <w:r>
        <w:rPr>
          <w:sz w:val="24"/>
        </w:rPr>
        <w:t>2</w:t>
      </w:r>
      <w:r>
        <w:rPr>
          <w:sz w:val="24"/>
        </w:rPr>
        <w:t>类标准的要求，说明升级改造后对声环境的影响不大。</w:t>
      </w:r>
    </w:p>
    <w:p w:rsidR="00240BCE" w:rsidRDefault="00AC0334" w:rsidP="009C5F33">
      <w:pPr>
        <w:pStyle w:val="30"/>
        <w:adjustRightInd w:val="0"/>
        <w:snapToGrid w:val="0"/>
        <w:spacing w:beforeLines="70" w:afterLines="30" w:line="240" w:lineRule="auto"/>
        <w:jc w:val="left"/>
        <w:rPr>
          <w:rFonts w:eastAsia="楷体"/>
          <w:sz w:val="28"/>
          <w:szCs w:val="28"/>
        </w:rPr>
      </w:pPr>
      <w:bookmarkStart w:id="948" w:name="_Toc79668773"/>
      <w:r>
        <w:rPr>
          <w:rFonts w:eastAsia="楷体"/>
          <w:sz w:val="28"/>
          <w:szCs w:val="28"/>
        </w:rPr>
        <w:lastRenderedPageBreak/>
        <w:t xml:space="preserve">11.2.6 </w:t>
      </w:r>
      <w:r>
        <w:rPr>
          <w:rFonts w:eastAsia="楷体"/>
          <w:sz w:val="28"/>
          <w:szCs w:val="28"/>
        </w:rPr>
        <w:t>固体废弃物</w:t>
      </w:r>
      <w:bookmarkEnd w:id="948"/>
    </w:p>
    <w:p w:rsidR="00240BCE" w:rsidRDefault="00AC0334">
      <w:pPr>
        <w:spacing w:line="520" w:lineRule="exact"/>
        <w:ind w:firstLineChars="200" w:firstLine="480"/>
        <w:rPr>
          <w:sz w:val="24"/>
        </w:rPr>
      </w:pPr>
      <w:r>
        <w:rPr>
          <w:sz w:val="24"/>
        </w:rPr>
        <w:t>生产期矸石量为</w:t>
      </w:r>
      <w:r>
        <w:rPr>
          <w:sz w:val="24"/>
        </w:rPr>
        <w:t>2.4</w:t>
      </w:r>
      <w:r>
        <w:rPr>
          <w:sz w:val="24"/>
        </w:rPr>
        <w:t>万</w:t>
      </w:r>
      <w:r>
        <w:rPr>
          <w:sz w:val="24"/>
        </w:rPr>
        <w:t>t/a</w:t>
      </w:r>
      <w:r>
        <w:rPr>
          <w:sz w:val="24"/>
        </w:rPr>
        <w:t>，矸石性质为第</w:t>
      </w:r>
      <w:r>
        <w:rPr>
          <w:sz w:val="24"/>
        </w:rPr>
        <w:t>Ⅰ</w:t>
      </w:r>
      <w:r>
        <w:rPr>
          <w:sz w:val="24"/>
        </w:rPr>
        <w:t>类一般固体废弃物，在工业场地</w:t>
      </w:r>
      <w:r w:rsidR="00802A62">
        <w:rPr>
          <w:sz w:val="24"/>
        </w:rPr>
        <w:t>储煤库</w:t>
      </w:r>
      <w:r>
        <w:rPr>
          <w:sz w:val="24"/>
        </w:rPr>
        <w:t>内临时周转后，运往矸石砖厂综合利用（周转期</w:t>
      </w:r>
      <w:r>
        <w:rPr>
          <w:sz w:val="24"/>
        </w:rPr>
        <w:t>5</w:t>
      </w:r>
      <w:r>
        <w:rPr>
          <w:sz w:val="24"/>
        </w:rPr>
        <w:t>天），综合利用率为</w:t>
      </w:r>
      <w:r>
        <w:rPr>
          <w:sz w:val="24"/>
        </w:rPr>
        <w:t>100</w:t>
      </w:r>
      <w:r>
        <w:rPr>
          <w:sz w:val="24"/>
        </w:rPr>
        <w:t>﹪。生活垃圾产生量较小，由矿区环卫部门收集后送至鸠山镇垃圾中转站处置。</w:t>
      </w:r>
    </w:p>
    <w:p w:rsidR="00240BCE" w:rsidRDefault="00AC0334" w:rsidP="009C5F33">
      <w:pPr>
        <w:pStyle w:val="2"/>
        <w:keepNext w:val="0"/>
        <w:keepLines w:val="0"/>
        <w:adjustRightInd w:val="0"/>
        <w:snapToGrid w:val="0"/>
        <w:spacing w:beforeLines="100" w:afterLines="50" w:line="240" w:lineRule="auto"/>
        <w:jc w:val="left"/>
        <w:rPr>
          <w:rFonts w:ascii="Times New Roman" w:eastAsia="宋体" w:hAnsi="Times New Roman"/>
          <w:bCs/>
          <w:szCs w:val="32"/>
        </w:rPr>
      </w:pPr>
      <w:bookmarkStart w:id="949" w:name="_Toc79668774"/>
      <w:bookmarkStart w:id="950" w:name="_Toc81934422"/>
      <w:r>
        <w:rPr>
          <w:rFonts w:ascii="Times New Roman" w:eastAsia="宋体" w:hAnsi="Times New Roman"/>
          <w:bCs/>
          <w:szCs w:val="32"/>
        </w:rPr>
        <w:t>11.3</w:t>
      </w:r>
      <w:r>
        <w:rPr>
          <w:rFonts w:ascii="Times New Roman" w:eastAsia="宋体" w:hAnsi="Times New Roman"/>
          <w:bCs/>
          <w:szCs w:val="32"/>
        </w:rPr>
        <w:t>建设项目环境可行性</w:t>
      </w:r>
      <w:bookmarkEnd w:id="949"/>
      <w:bookmarkEnd w:id="950"/>
    </w:p>
    <w:p w:rsidR="00240BCE" w:rsidRDefault="00AC0334" w:rsidP="009C5F33">
      <w:pPr>
        <w:pStyle w:val="30"/>
        <w:keepNext w:val="0"/>
        <w:keepLines w:val="0"/>
        <w:adjustRightInd w:val="0"/>
        <w:snapToGrid w:val="0"/>
        <w:spacing w:beforeLines="70" w:afterLines="30" w:line="240" w:lineRule="auto"/>
        <w:jc w:val="left"/>
        <w:rPr>
          <w:rFonts w:eastAsia="楷体"/>
          <w:sz w:val="28"/>
          <w:szCs w:val="28"/>
        </w:rPr>
      </w:pPr>
      <w:bookmarkStart w:id="951" w:name="_Toc79668775"/>
      <w:bookmarkStart w:id="952" w:name="_Toc154205650"/>
      <w:bookmarkStart w:id="953" w:name="_Toc158525113"/>
      <w:r>
        <w:rPr>
          <w:rFonts w:eastAsia="楷体"/>
          <w:sz w:val="28"/>
          <w:szCs w:val="28"/>
        </w:rPr>
        <w:t xml:space="preserve">11.3.1 </w:t>
      </w:r>
      <w:r>
        <w:rPr>
          <w:rFonts w:eastAsia="楷体"/>
          <w:sz w:val="28"/>
          <w:szCs w:val="28"/>
        </w:rPr>
        <w:t>与相关政策及规划的相符性分析</w:t>
      </w:r>
      <w:bookmarkEnd w:id="951"/>
    </w:p>
    <w:p w:rsidR="00240BCE" w:rsidRDefault="00AC0334">
      <w:pPr>
        <w:autoSpaceDE w:val="0"/>
        <w:autoSpaceDN w:val="0"/>
        <w:adjustRightInd w:val="0"/>
        <w:spacing w:line="520" w:lineRule="exact"/>
        <w:ind w:firstLineChars="200" w:firstLine="480"/>
        <w:jc w:val="left"/>
        <w:rPr>
          <w:b/>
          <w:bCs/>
          <w:sz w:val="24"/>
        </w:rPr>
      </w:pPr>
      <w:r>
        <w:rPr>
          <w:kern w:val="0"/>
          <w:sz w:val="24"/>
        </w:rPr>
        <w:t>本项目属技改项目，</w:t>
      </w:r>
      <w:r>
        <w:rPr>
          <w:sz w:val="24"/>
        </w:rPr>
        <w:t>项目开采二</w:t>
      </w:r>
      <w:r>
        <w:rPr>
          <w:sz w:val="24"/>
          <w:vertAlign w:val="subscript"/>
        </w:rPr>
        <w:t>1</w:t>
      </w:r>
      <w:r>
        <w:rPr>
          <w:sz w:val="24"/>
        </w:rPr>
        <w:t>煤层，</w:t>
      </w:r>
      <w:r>
        <w:rPr>
          <w:spacing w:val="2"/>
          <w:sz w:val="24"/>
        </w:rPr>
        <w:t>原煤全硫含量</w:t>
      </w:r>
      <w:r>
        <w:rPr>
          <w:spacing w:val="2"/>
          <w:sz w:val="24"/>
        </w:rPr>
        <w:t>0.44%</w:t>
      </w:r>
      <w:r>
        <w:rPr>
          <w:spacing w:val="2"/>
          <w:sz w:val="24"/>
        </w:rPr>
        <w:t>，</w:t>
      </w:r>
      <w:r>
        <w:rPr>
          <w:sz w:val="24"/>
        </w:rPr>
        <w:t>符合国家环境保护总局环发〖</w:t>
      </w:r>
      <w:r>
        <w:rPr>
          <w:sz w:val="24"/>
        </w:rPr>
        <w:t>2002</w:t>
      </w:r>
      <w:r>
        <w:rPr>
          <w:sz w:val="24"/>
        </w:rPr>
        <w:t>〗</w:t>
      </w:r>
      <w:r>
        <w:rPr>
          <w:sz w:val="24"/>
        </w:rPr>
        <w:t>26</w:t>
      </w:r>
      <w:r>
        <w:rPr>
          <w:sz w:val="24"/>
        </w:rPr>
        <w:t>号《燃煤二氧化硫排放污染防治技术政策》中</w:t>
      </w:r>
      <w:r>
        <w:rPr>
          <w:sz w:val="24"/>
        </w:rPr>
        <w:t>“</w:t>
      </w:r>
      <w:r>
        <w:rPr>
          <w:sz w:val="24"/>
        </w:rPr>
        <w:t>各地不得新建煤层含硫硫份大于</w:t>
      </w:r>
      <w:r>
        <w:rPr>
          <w:sz w:val="24"/>
        </w:rPr>
        <w:t>3</w:t>
      </w:r>
      <w:r>
        <w:rPr>
          <w:sz w:val="24"/>
        </w:rPr>
        <w:t>﹪</w:t>
      </w:r>
      <w:r>
        <w:rPr>
          <w:sz w:val="24"/>
        </w:rPr>
        <w:t>”</w:t>
      </w:r>
      <w:r>
        <w:rPr>
          <w:sz w:val="24"/>
        </w:rPr>
        <w:t>的规定。</w:t>
      </w:r>
      <w:r>
        <w:rPr>
          <w:kern w:val="0"/>
          <w:sz w:val="24"/>
        </w:rPr>
        <w:t>矿井规模、工艺等符合《煤炭工业</w:t>
      </w:r>
      <w:r>
        <w:rPr>
          <w:kern w:val="0"/>
          <w:sz w:val="24"/>
        </w:rPr>
        <w:t>“</w:t>
      </w:r>
      <w:r>
        <w:rPr>
          <w:kern w:val="0"/>
          <w:sz w:val="24"/>
        </w:rPr>
        <w:t>十</w:t>
      </w:r>
      <w:r>
        <w:rPr>
          <w:rFonts w:hint="eastAsia"/>
          <w:kern w:val="0"/>
          <w:sz w:val="24"/>
        </w:rPr>
        <w:t>三</w:t>
      </w:r>
      <w:r>
        <w:rPr>
          <w:kern w:val="0"/>
          <w:sz w:val="24"/>
        </w:rPr>
        <w:t>五</w:t>
      </w:r>
      <w:r>
        <w:rPr>
          <w:kern w:val="0"/>
          <w:sz w:val="24"/>
        </w:rPr>
        <w:t>”</w:t>
      </w:r>
      <w:r>
        <w:rPr>
          <w:kern w:val="0"/>
          <w:sz w:val="24"/>
        </w:rPr>
        <w:t>规划》、《产业结构调整指导目录（</w:t>
      </w:r>
      <w:r>
        <w:rPr>
          <w:kern w:val="0"/>
          <w:sz w:val="24"/>
        </w:rPr>
        <w:t>201</w:t>
      </w:r>
      <w:r>
        <w:rPr>
          <w:rFonts w:hint="eastAsia"/>
          <w:kern w:val="0"/>
          <w:sz w:val="24"/>
        </w:rPr>
        <w:t>9</w:t>
      </w:r>
      <w:r>
        <w:rPr>
          <w:kern w:val="0"/>
          <w:sz w:val="24"/>
        </w:rPr>
        <w:t xml:space="preserve"> </w:t>
      </w:r>
      <w:r>
        <w:rPr>
          <w:kern w:val="0"/>
          <w:sz w:val="24"/>
        </w:rPr>
        <w:t>年本）》、《河南省矿产资源总体规划（</w:t>
      </w:r>
      <w:r>
        <w:rPr>
          <w:kern w:val="0"/>
          <w:sz w:val="24"/>
        </w:rPr>
        <w:t>2016-2020</w:t>
      </w:r>
      <w:r>
        <w:rPr>
          <w:kern w:val="0"/>
          <w:sz w:val="24"/>
        </w:rPr>
        <w:t>）》及《禹州市矿产资源规划（</w:t>
      </w:r>
      <w:r>
        <w:rPr>
          <w:kern w:val="0"/>
          <w:sz w:val="24"/>
        </w:rPr>
        <w:t>2016-2020</w:t>
      </w:r>
      <w:r>
        <w:rPr>
          <w:kern w:val="0"/>
          <w:sz w:val="24"/>
        </w:rPr>
        <w:t>）》等有关规划、政策要求。</w:t>
      </w:r>
    </w:p>
    <w:p w:rsidR="00240BCE" w:rsidRDefault="00AC0334" w:rsidP="009C5F33">
      <w:pPr>
        <w:pStyle w:val="30"/>
        <w:adjustRightInd w:val="0"/>
        <w:snapToGrid w:val="0"/>
        <w:spacing w:beforeLines="70" w:afterLines="30" w:line="240" w:lineRule="auto"/>
        <w:jc w:val="left"/>
        <w:rPr>
          <w:rFonts w:eastAsia="楷体"/>
          <w:sz w:val="28"/>
          <w:szCs w:val="28"/>
        </w:rPr>
      </w:pPr>
      <w:bookmarkStart w:id="954" w:name="_Toc79668776"/>
      <w:r>
        <w:rPr>
          <w:rFonts w:eastAsia="楷体"/>
          <w:sz w:val="28"/>
          <w:szCs w:val="28"/>
        </w:rPr>
        <w:t xml:space="preserve">11.3.2 </w:t>
      </w:r>
      <w:r>
        <w:rPr>
          <w:rFonts w:eastAsia="楷体"/>
          <w:sz w:val="28"/>
          <w:szCs w:val="28"/>
        </w:rPr>
        <w:t>清洁生产水平</w:t>
      </w:r>
      <w:bookmarkEnd w:id="952"/>
      <w:bookmarkEnd w:id="953"/>
      <w:bookmarkEnd w:id="954"/>
    </w:p>
    <w:p w:rsidR="00240BCE" w:rsidRDefault="00AC0334">
      <w:pPr>
        <w:autoSpaceDE w:val="0"/>
        <w:autoSpaceDN w:val="0"/>
        <w:adjustRightInd w:val="0"/>
        <w:spacing w:line="520" w:lineRule="exact"/>
        <w:ind w:firstLineChars="200" w:firstLine="480"/>
        <w:jc w:val="left"/>
        <w:rPr>
          <w:sz w:val="24"/>
        </w:rPr>
      </w:pPr>
      <w:r>
        <w:rPr>
          <w:kern w:val="0"/>
          <w:sz w:val="24"/>
        </w:rPr>
        <w:t>通过清洁生产评价指标的对比分析，</w:t>
      </w:r>
      <w:r>
        <w:rPr>
          <w:sz w:val="24"/>
        </w:rPr>
        <w:t>本项目符合国家产业政策和环保政策要求；开拓方式和开采工艺通用成熟，生产效率较高；各项废物均采取有效的治理措施及综合利用措施，效果较好；生态保护与恢复措施可行，效果较好。加强项目实施过程中的生产管理与设备维护，保证各项环保设施正常运行及生态保护措施的实施，采取节能措施后节约吨煤消耗电量、提供水资源利用率、提高厂区绿化率，在此前提下，本项目的清洁生产水平可以达到国内清洁生产先进水平。</w:t>
      </w:r>
    </w:p>
    <w:p w:rsidR="00240BCE" w:rsidRDefault="00AC0334" w:rsidP="009C5F33">
      <w:pPr>
        <w:pStyle w:val="30"/>
        <w:adjustRightInd w:val="0"/>
        <w:snapToGrid w:val="0"/>
        <w:spacing w:beforeLines="70" w:afterLines="30" w:line="240" w:lineRule="auto"/>
        <w:jc w:val="left"/>
        <w:rPr>
          <w:rFonts w:eastAsia="楷体"/>
          <w:sz w:val="28"/>
          <w:szCs w:val="28"/>
        </w:rPr>
      </w:pPr>
      <w:bookmarkStart w:id="955" w:name="_Toc154205651"/>
      <w:bookmarkStart w:id="956" w:name="_Toc158525114"/>
      <w:bookmarkStart w:id="957" w:name="_Toc79668777"/>
      <w:r>
        <w:rPr>
          <w:rFonts w:eastAsia="楷体"/>
          <w:sz w:val="28"/>
          <w:szCs w:val="28"/>
        </w:rPr>
        <w:t xml:space="preserve">11.3.3 </w:t>
      </w:r>
      <w:r>
        <w:rPr>
          <w:rFonts w:eastAsia="楷体"/>
          <w:sz w:val="28"/>
          <w:szCs w:val="28"/>
        </w:rPr>
        <w:t>总量控制</w:t>
      </w:r>
      <w:bookmarkEnd w:id="955"/>
      <w:bookmarkEnd w:id="956"/>
      <w:bookmarkEnd w:id="957"/>
    </w:p>
    <w:p w:rsidR="00240BCE" w:rsidRDefault="00861732" w:rsidP="00861732">
      <w:pPr>
        <w:spacing w:line="520" w:lineRule="exact"/>
        <w:ind w:firstLineChars="200" w:firstLine="480"/>
        <w:rPr>
          <w:sz w:val="24"/>
        </w:rPr>
      </w:pPr>
      <w:r w:rsidRPr="0073390E">
        <w:rPr>
          <w:rFonts w:hint="eastAsia"/>
          <w:sz w:val="24"/>
        </w:rPr>
        <w:t>总量控制指标为</w:t>
      </w:r>
      <w:r w:rsidRPr="0073390E">
        <w:rPr>
          <w:rFonts w:hint="eastAsia"/>
          <w:sz w:val="24"/>
        </w:rPr>
        <w:t>COD</w:t>
      </w:r>
      <w:r w:rsidRPr="0073390E">
        <w:rPr>
          <w:rFonts w:hint="eastAsia"/>
          <w:sz w:val="24"/>
        </w:rPr>
        <w:t>：</w:t>
      </w:r>
      <w:r>
        <w:rPr>
          <w:rFonts w:hint="eastAsia"/>
          <w:sz w:val="24"/>
        </w:rPr>
        <w:t xml:space="preserve"> 2</w:t>
      </w:r>
      <w:r w:rsidR="0093310C">
        <w:rPr>
          <w:rFonts w:hint="eastAsia"/>
          <w:sz w:val="24"/>
        </w:rPr>
        <w:t>4.603</w:t>
      </w:r>
      <w:r w:rsidRPr="0073390E">
        <w:rPr>
          <w:rFonts w:hint="eastAsia"/>
          <w:sz w:val="24"/>
        </w:rPr>
        <w:t>t/a</w:t>
      </w:r>
      <w:r w:rsidRPr="0073390E">
        <w:rPr>
          <w:rFonts w:hint="eastAsia"/>
          <w:sz w:val="24"/>
        </w:rPr>
        <w:t>、</w:t>
      </w:r>
      <w:r w:rsidRPr="0073390E">
        <w:rPr>
          <w:rFonts w:hint="eastAsia"/>
          <w:sz w:val="24"/>
        </w:rPr>
        <w:t>NH</w:t>
      </w:r>
      <w:r w:rsidRPr="0073390E">
        <w:rPr>
          <w:rFonts w:hint="eastAsia"/>
          <w:sz w:val="24"/>
          <w:vertAlign w:val="subscript"/>
        </w:rPr>
        <w:t>3</w:t>
      </w:r>
      <w:r w:rsidRPr="0073390E">
        <w:rPr>
          <w:rFonts w:hint="eastAsia"/>
          <w:sz w:val="24"/>
        </w:rPr>
        <w:t>-N</w:t>
      </w:r>
      <w:r w:rsidRPr="0073390E">
        <w:rPr>
          <w:rFonts w:hint="eastAsia"/>
          <w:sz w:val="24"/>
        </w:rPr>
        <w:t>：</w:t>
      </w:r>
      <w:r w:rsidRPr="0073390E">
        <w:rPr>
          <w:rFonts w:hint="eastAsia"/>
          <w:sz w:val="24"/>
        </w:rPr>
        <w:t>0</w:t>
      </w:r>
      <w:r w:rsidRPr="0073390E">
        <w:rPr>
          <w:sz w:val="24"/>
        </w:rPr>
        <w:t>.</w:t>
      </w:r>
      <w:r w:rsidR="0093310C">
        <w:rPr>
          <w:rFonts w:hint="eastAsia"/>
          <w:sz w:val="24"/>
        </w:rPr>
        <w:t>480</w:t>
      </w:r>
      <w:r w:rsidRPr="0073390E">
        <w:rPr>
          <w:rFonts w:hint="eastAsia"/>
          <w:sz w:val="24"/>
        </w:rPr>
        <w:t>t/a</w:t>
      </w:r>
      <w:r w:rsidRPr="0073390E">
        <w:rPr>
          <w:rFonts w:hint="eastAsia"/>
          <w:sz w:val="24"/>
        </w:rPr>
        <w:t>、</w:t>
      </w:r>
      <w:r w:rsidRPr="0073390E">
        <w:rPr>
          <w:rFonts w:hint="eastAsia"/>
          <w:sz w:val="24"/>
        </w:rPr>
        <w:t>SO</w:t>
      </w:r>
      <w:r w:rsidRPr="0073390E">
        <w:rPr>
          <w:rFonts w:hint="eastAsia"/>
          <w:sz w:val="24"/>
          <w:vertAlign w:val="subscript"/>
        </w:rPr>
        <w:t>2</w:t>
      </w:r>
      <w:r w:rsidRPr="0073390E">
        <w:rPr>
          <w:rFonts w:hint="eastAsia"/>
          <w:sz w:val="24"/>
        </w:rPr>
        <w:t>：</w:t>
      </w:r>
      <w:r w:rsidRPr="0073390E">
        <w:rPr>
          <w:rFonts w:hint="eastAsia"/>
          <w:sz w:val="24"/>
        </w:rPr>
        <w:t>0t/a</w:t>
      </w:r>
      <w:r w:rsidRPr="0073390E">
        <w:rPr>
          <w:rFonts w:hint="eastAsia"/>
          <w:sz w:val="24"/>
        </w:rPr>
        <w:t>、氮氧化物</w:t>
      </w:r>
      <w:r w:rsidRPr="0073390E">
        <w:rPr>
          <w:rFonts w:hint="eastAsia"/>
          <w:sz w:val="24"/>
        </w:rPr>
        <w:t>0t/a</w:t>
      </w:r>
      <w:r w:rsidRPr="0073390E">
        <w:rPr>
          <w:rFonts w:hint="eastAsia"/>
          <w:sz w:val="24"/>
        </w:rPr>
        <w:t>。</w:t>
      </w:r>
    </w:p>
    <w:p w:rsidR="00240BCE" w:rsidRDefault="00AC0334" w:rsidP="009C5F33">
      <w:pPr>
        <w:pStyle w:val="30"/>
        <w:adjustRightInd w:val="0"/>
        <w:snapToGrid w:val="0"/>
        <w:spacing w:beforeLines="70" w:afterLines="30" w:line="240" w:lineRule="auto"/>
        <w:jc w:val="left"/>
        <w:rPr>
          <w:rFonts w:eastAsia="楷体"/>
          <w:sz w:val="28"/>
          <w:szCs w:val="28"/>
        </w:rPr>
      </w:pPr>
      <w:bookmarkStart w:id="958" w:name="_Toc154205652"/>
      <w:bookmarkStart w:id="959" w:name="_Toc158525115"/>
      <w:bookmarkStart w:id="960" w:name="_Toc79668778"/>
      <w:r>
        <w:rPr>
          <w:rFonts w:eastAsia="楷体"/>
          <w:sz w:val="28"/>
          <w:szCs w:val="28"/>
        </w:rPr>
        <w:t xml:space="preserve">11.3.4 </w:t>
      </w:r>
      <w:r>
        <w:rPr>
          <w:rFonts w:eastAsia="楷体"/>
          <w:sz w:val="28"/>
          <w:szCs w:val="28"/>
        </w:rPr>
        <w:t>公众参与</w:t>
      </w:r>
      <w:bookmarkEnd w:id="958"/>
      <w:bookmarkEnd w:id="959"/>
      <w:bookmarkEnd w:id="960"/>
    </w:p>
    <w:p w:rsidR="00240BCE" w:rsidRDefault="00AC0334">
      <w:pPr>
        <w:spacing w:line="520" w:lineRule="exact"/>
        <w:ind w:firstLineChars="200" w:firstLine="480"/>
      </w:pPr>
      <w:r>
        <w:rPr>
          <w:color w:val="000000"/>
          <w:sz w:val="24"/>
        </w:rPr>
        <w:t>本项目环评过程中，按照相关要求，建设单位开展了一系列公众参与工作。公众参与调查结果表明，当地公众对该项目的建设无反对意见，认为该项目的建设对发展当地经济、提高居民生活质量、改善当地环境状况有积极作用。希望建设单位</w:t>
      </w:r>
      <w:r>
        <w:rPr>
          <w:color w:val="000000"/>
          <w:sz w:val="24"/>
        </w:rPr>
        <w:lastRenderedPageBreak/>
        <w:t>能够认真落实各项环保措施，加强环境管理并多提供就业机会，也希望环保行政主管部门加强工程运营过程的管理，确保环保设施连续稳定运行。</w:t>
      </w:r>
    </w:p>
    <w:p w:rsidR="00240BCE" w:rsidRDefault="00AC0334" w:rsidP="009C5F33">
      <w:pPr>
        <w:pStyle w:val="2"/>
        <w:adjustRightInd w:val="0"/>
        <w:snapToGrid w:val="0"/>
        <w:spacing w:beforeLines="100" w:afterLines="50" w:line="240" w:lineRule="auto"/>
        <w:jc w:val="left"/>
        <w:rPr>
          <w:rFonts w:ascii="Times New Roman" w:eastAsia="宋体" w:hAnsi="Times New Roman"/>
          <w:bCs/>
          <w:szCs w:val="32"/>
        </w:rPr>
      </w:pPr>
      <w:bookmarkStart w:id="961" w:name="_Toc79668779"/>
      <w:bookmarkStart w:id="962" w:name="_Toc81934423"/>
      <w:r>
        <w:rPr>
          <w:rFonts w:ascii="Times New Roman" w:eastAsia="宋体" w:hAnsi="Times New Roman"/>
          <w:bCs/>
          <w:szCs w:val="32"/>
        </w:rPr>
        <w:t xml:space="preserve">11.4 </w:t>
      </w:r>
      <w:r>
        <w:rPr>
          <w:rFonts w:ascii="Times New Roman" w:eastAsia="宋体" w:hAnsi="Times New Roman"/>
          <w:bCs/>
          <w:szCs w:val="32"/>
        </w:rPr>
        <w:t>结论及建议</w:t>
      </w:r>
      <w:bookmarkEnd w:id="961"/>
      <w:bookmarkEnd w:id="962"/>
    </w:p>
    <w:p w:rsidR="00240BCE" w:rsidRDefault="00AC0334" w:rsidP="009C5F33">
      <w:pPr>
        <w:pStyle w:val="30"/>
        <w:adjustRightInd w:val="0"/>
        <w:snapToGrid w:val="0"/>
        <w:spacing w:beforeLines="70" w:afterLines="30" w:line="240" w:lineRule="auto"/>
        <w:jc w:val="left"/>
        <w:rPr>
          <w:rFonts w:eastAsia="楷体"/>
          <w:sz w:val="28"/>
          <w:szCs w:val="28"/>
        </w:rPr>
      </w:pPr>
      <w:bookmarkStart w:id="963" w:name="_Toc79668780"/>
      <w:r>
        <w:rPr>
          <w:rFonts w:eastAsia="楷体"/>
          <w:sz w:val="28"/>
          <w:szCs w:val="28"/>
        </w:rPr>
        <w:t xml:space="preserve">11.4.1 </w:t>
      </w:r>
      <w:r>
        <w:rPr>
          <w:rFonts w:eastAsia="楷体"/>
          <w:sz w:val="28"/>
          <w:szCs w:val="28"/>
        </w:rPr>
        <w:t>总结论</w:t>
      </w:r>
      <w:bookmarkEnd w:id="963"/>
    </w:p>
    <w:p w:rsidR="00240BCE" w:rsidRDefault="00AC0334">
      <w:pPr>
        <w:spacing w:line="520" w:lineRule="exact"/>
        <w:ind w:firstLineChars="200" w:firstLine="480"/>
        <w:rPr>
          <w:sz w:val="24"/>
        </w:rPr>
      </w:pPr>
      <w:r>
        <w:rPr>
          <w:sz w:val="24"/>
        </w:rPr>
        <w:t>综上所述，本升级改造项目符合国家产业政策和有关规划要求；在严格执行本环评报告和设计所提出的各项污染防治和生态保护措施后，本矿井生产过程中对环境污染程度较轻，矿井的生产对周围环境的影响是可以接受的。因此，从环境保护的角度出发，项目的建设是可行的。</w:t>
      </w:r>
    </w:p>
    <w:p w:rsidR="00240BCE" w:rsidRDefault="00AC0334" w:rsidP="009C5F33">
      <w:pPr>
        <w:pStyle w:val="30"/>
        <w:adjustRightInd w:val="0"/>
        <w:snapToGrid w:val="0"/>
        <w:spacing w:beforeLines="70" w:afterLines="30" w:line="240" w:lineRule="auto"/>
        <w:jc w:val="left"/>
        <w:rPr>
          <w:rFonts w:eastAsia="楷体"/>
          <w:sz w:val="28"/>
          <w:szCs w:val="28"/>
        </w:rPr>
      </w:pPr>
      <w:bookmarkStart w:id="964" w:name="_Toc154205654"/>
      <w:bookmarkStart w:id="965" w:name="_Toc158525117"/>
      <w:bookmarkStart w:id="966" w:name="_Toc79668781"/>
      <w:r>
        <w:rPr>
          <w:rFonts w:eastAsia="楷体"/>
          <w:sz w:val="28"/>
          <w:szCs w:val="28"/>
        </w:rPr>
        <w:t xml:space="preserve">11.4.2 </w:t>
      </w:r>
      <w:r>
        <w:rPr>
          <w:rFonts w:eastAsia="楷体"/>
          <w:sz w:val="28"/>
          <w:szCs w:val="28"/>
        </w:rPr>
        <w:t>建议</w:t>
      </w:r>
      <w:bookmarkEnd w:id="964"/>
      <w:bookmarkEnd w:id="965"/>
      <w:bookmarkEnd w:id="966"/>
    </w:p>
    <w:p w:rsidR="00240BCE" w:rsidRDefault="00AC0334">
      <w:pPr>
        <w:spacing w:line="520" w:lineRule="exact"/>
        <w:ind w:firstLineChars="200" w:firstLine="480"/>
        <w:rPr>
          <w:sz w:val="24"/>
        </w:rPr>
      </w:pPr>
      <w:r>
        <w:rPr>
          <w:sz w:val="24"/>
        </w:rPr>
        <w:t>1</w:t>
      </w:r>
      <w:r>
        <w:rPr>
          <w:sz w:val="24"/>
        </w:rPr>
        <w:t>、矿井应配套建设地面岩移观测网络，及时总结地面沉陷规律，确保安全开采，并为今后进一步开采提供更准确的参数和经验</w:t>
      </w:r>
      <w:r>
        <w:rPr>
          <w:rFonts w:hint="eastAsia"/>
          <w:sz w:val="24"/>
        </w:rPr>
        <w:t>。</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、村庄的搬迁工作应尽量提前，避免矿井开采地表沉陷影响居民的正常</w:t>
      </w:r>
      <w:r>
        <w:rPr>
          <w:rFonts w:ascii="Times New Roman" w:hAnsi="Times New Roman" w:hint="eastAsia"/>
          <w:sz w:val="24"/>
          <w:szCs w:val="24"/>
        </w:rPr>
        <w:t>生活以及造成的</w:t>
      </w:r>
      <w:r>
        <w:rPr>
          <w:rFonts w:ascii="Times New Roman" w:hAnsi="Times New Roman"/>
          <w:sz w:val="24"/>
          <w:szCs w:val="24"/>
        </w:rPr>
        <w:t>安全隐患。</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、建议加强环境管理，</w:t>
      </w:r>
      <w:r>
        <w:rPr>
          <w:rFonts w:ascii="Times New Roman" w:hAnsi="Times New Roman"/>
          <w:bCs/>
          <w:iCs/>
          <w:sz w:val="24"/>
          <w:szCs w:val="24"/>
        </w:rPr>
        <w:t>矿方配置洒水车定时对路面进行洒水，并配以人工清扫。</w:t>
      </w:r>
      <w:r>
        <w:rPr>
          <w:rFonts w:ascii="Times New Roman" w:hAnsi="Times New Roman"/>
          <w:sz w:val="24"/>
          <w:szCs w:val="24"/>
        </w:rPr>
        <w:t>在煤炭运输时严格运煤车辆管理，不超载，装车时煤炭压实并进行表面洒水，对运煤的车辆限速、限载，并按照国家有关规定，运输车辆均应加盖蓬布，防止物料飞扬、抛洒；以此减少工业场地及路面扬尘和运煤车辆对环境的影响。</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hint="eastAsia"/>
          <w:sz w:val="24"/>
          <w:szCs w:val="24"/>
        </w:rPr>
        <w:t>4</w:t>
      </w:r>
      <w:r>
        <w:rPr>
          <w:rFonts w:ascii="Times New Roman" w:hAnsi="Times New Roman" w:hint="eastAsia"/>
          <w:sz w:val="24"/>
          <w:szCs w:val="24"/>
        </w:rPr>
        <w:t>、</w:t>
      </w:r>
      <w:r>
        <w:rPr>
          <w:rFonts w:ascii="Times New Roman" w:hAnsi="Times New Roman"/>
          <w:sz w:val="24"/>
          <w:szCs w:val="24"/>
        </w:rPr>
        <w:t>矿井涌水、生活污水</w:t>
      </w:r>
      <w:r>
        <w:rPr>
          <w:rFonts w:ascii="Times New Roman" w:hAnsi="Times New Roman" w:hint="eastAsia"/>
          <w:sz w:val="24"/>
          <w:szCs w:val="24"/>
        </w:rPr>
        <w:t>处理后应优先用于矿井的生产使用</w:t>
      </w:r>
      <w:r>
        <w:rPr>
          <w:rFonts w:ascii="Times New Roman" w:hAnsi="Times New Roman"/>
          <w:sz w:val="24"/>
          <w:szCs w:val="24"/>
        </w:rPr>
        <w:t>，</w:t>
      </w:r>
      <w:r>
        <w:rPr>
          <w:rFonts w:ascii="Times New Roman" w:hAnsi="Times New Roman" w:hint="eastAsia"/>
          <w:sz w:val="24"/>
          <w:szCs w:val="24"/>
        </w:rPr>
        <w:t>多余</w:t>
      </w:r>
      <w:r>
        <w:rPr>
          <w:rFonts w:ascii="Times New Roman" w:hAnsi="Times New Roman"/>
          <w:sz w:val="24"/>
          <w:szCs w:val="24"/>
        </w:rPr>
        <w:t>用于周边农田灌溉和河道生态补水</w:t>
      </w:r>
      <w:r>
        <w:rPr>
          <w:rFonts w:ascii="Times New Roman" w:hAnsi="Times New Roman" w:hint="eastAsia"/>
          <w:sz w:val="24"/>
          <w:szCs w:val="24"/>
        </w:rPr>
        <w:t>，</w:t>
      </w:r>
      <w:r>
        <w:rPr>
          <w:rFonts w:ascii="Times New Roman" w:hAnsi="Times New Roman"/>
          <w:sz w:val="24"/>
          <w:szCs w:val="24"/>
        </w:rPr>
        <w:t>外排的</w:t>
      </w:r>
      <w:r>
        <w:rPr>
          <w:rFonts w:ascii="Times New Roman" w:hAnsi="Times New Roman" w:hint="eastAsia"/>
          <w:sz w:val="24"/>
          <w:szCs w:val="24"/>
        </w:rPr>
        <w:t>废水应</w:t>
      </w:r>
      <w:r>
        <w:rPr>
          <w:rFonts w:ascii="Times New Roman" w:hAnsi="Times New Roman"/>
          <w:sz w:val="24"/>
          <w:szCs w:val="24"/>
        </w:rPr>
        <w:t>满足《地表水环境质量标准》（</w:t>
      </w:r>
      <w:r>
        <w:rPr>
          <w:rFonts w:ascii="Times New Roman" w:hAnsi="Times New Roman"/>
          <w:sz w:val="24"/>
          <w:szCs w:val="24"/>
        </w:rPr>
        <w:t>GB3838-2002</w:t>
      </w:r>
      <w:r>
        <w:rPr>
          <w:rFonts w:ascii="Times New Roman" w:hAnsi="Times New Roman"/>
          <w:sz w:val="24"/>
          <w:szCs w:val="24"/>
        </w:rPr>
        <w:t>）</w:t>
      </w:r>
      <w:r>
        <w:rPr>
          <w:rFonts w:ascii="Times New Roman" w:hAnsi="Times New Roman"/>
          <w:sz w:val="24"/>
          <w:szCs w:val="24"/>
        </w:rPr>
        <w:t>Ⅲ</w:t>
      </w:r>
      <w:r>
        <w:rPr>
          <w:rFonts w:ascii="Times New Roman" w:hAnsi="Times New Roman"/>
          <w:sz w:val="24"/>
          <w:szCs w:val="24"/>
        </w:rPr>
        <w:t>类水质标准，</w:t>
      </w:r>
    </w:p>
    <w:p w:rsidR="00240BCE" w:rsidRDefault="00AC0334">
      <w:pPr>
        <w:pStyle w:val="ae"/>
        <w:spacing w:line="520" w:lineRule="exact"/>
        <w:ind w:firstLineChars="200" w:firstLine="480"/>
        <w:rPr>
          <w:rFonts w:ascii="Times New Roman" w:hAnsi="Times New Roman"/>
          <w:sz w:val="24"/>
          <w:szCs w:val="24"/>
        </w:rPr>
      </w:pPr>
      <w:r>
        <w:rPr>
          <w:rFonts w:ascii="Times New Roman" w:hAnsi="Times New Roman" w:hint="eastAsia"/>
          <w:sz w:val="24"/>
          <w:szCs w:val="24"/>
        </w:rPr>
        <w:t>5</w:t>
      </w:r>
      <w:r>
        <w:rPr>
          <w:rFonts w:ascii="Times New Roman" w:hAnsi="Times New Roman" w:hint="eastAsia"/>
          <w:sz w:val="24"/>
          <w:szCs w:val="24"/>
        </w:rPr>
        <w:t>、</w:t>
      </w:r>
      <w:r>
        <w:rPr>
          <w:rFonts w:ascii="Times New Roman" w:hAnsi="Times New Roman"/>
          <w:sz w:val="24"/>
          <w:szCs w:val="24"/>
        </w:rPr>
        <w:t>在项目建设及运营期间对井田</w:t>
      </w:r>
      <w:r>
        <w:rPr>
          <w:rFonts w:ascii="Times New Roman" w:hAnsi="Times New Roman" w:hint="eastAsia"/>
          <w:sz w:val="24"/>
          <w:szCs w:val="24"/>
        </w:rPr>
        <w:t>范围及</w:t>
      </w:r>
      <w:r>
        <w:rPr>
          <w:rFonts w:ascii="Times New Roman" w:hAnsi="Times New Roman"/>
          <w:sz w:val="24"/>
          <w:szCs w:val="24"/>
        </w:rPr>
        <w:t>周边居民饮用水源进行定期监测，切实保障井田内及周边村民正常饮水。</w:t>
      </w:r>
    </w:p>
    <w:p w:rsidR="00240BCE" w:rsidRDefault="00240BCE">
      <w:pPr>
        <w:pStyle w:val="ae"/>
        <w:spacing w:line="520" w:lineRule="exact"/>
        <w:ind w:firstLineChars="200" w:firstLine="480"/>
        <w:rPr>
          <w:rFonts w:ascii="Times New Roman" w:hAnsi="Times New Roman"/>
          <w:sz w:val="24"/>
          <w:szCs w:val="24"/>
        </w:rPr>
      </w:pPr>
    </w:p>
    <w:sectPr w:rsidR="00240BCE" w:rsidSect="00CA16C7">
      <w:footerReference w:type="even" r:id="rId159"/>
      <w:footerReference w:type="default" r:id="rId160"/>
      <w:pgSz w:w="11906" w:h="16838"/>
      <w:pgMar w:top="1701" w:right="1588" w:bottom="1985" w:left="1588" w:header="851" w:footer="1134"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70E" w:rsidRDefault="0038470E">
      <w:r>
        <w:separator/>
      </w:r>
    </w:p>
  </w:endnote>
  <w:endnote w:type="continuationSeparator" w:id="0">
    <w:p w:rsidR="0038470E" w:rsidRDefault="003847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Narrow">
    <w:charset w:val="00"/>
    <w:family w:val="swiss"/>
    <w:pitch w:val="variable"/>
    <w:sig w:usb0="00000287" w:usb1="00000800" w:usb2="00000000" w:usb3="00000000" w:csb0="0000009F" w:csb1="00000000"/>
  </w:font>
  <w:font w:name="汉鼎简书宋">
    <w:altName w:val="宋体"/>
    <w:charset w:val="86"/>
    <w:family w:val="auto"/>
    <w:pitch w:val="default"/>
    <w:sig w:usb0="00000001" w:usb1="080E0000" w:usb2="00000010" w:usb3="00000000" w:csb0="00040000" w:csb1="00000000"/>
  </w:font>
  <w:font w:name="华文楷体">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华文中宋">
    <w:altName w:val="hakuyoxingshu7000"/>
    <w:charset w:val="86"/>
    <w:family w:val="auto"/>
    <w:pitch w:val="variable"/>
    <w:sig w:usb0="00000000" w:usb1="080F0000" w:usb2="00000010" w:usb3="00000000" w:csb0="0004009F" w:csb1="00000000"/>
  </w:font>
  <w:font w:name="TimesNewRoman">
    <w:altName w:val="宋体"/>
    <w:charset w:val="86"/>
    <w:family w:val="auto"/>
    <w:pitch w:val="default"/>
    <w:sig w:usb0="00000000" w:usb1="00000000" w:usb2="00000010"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华文新魏">
    <w:charset w:val="86"/>
    <w:family w:val="auto"/>
    <w:pitch w:val="variable"/>
    <w:sig w:usb0="00000001" w:usb1="080F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 w:name="幼圆">
    <w:charset w:val="86"/>
    <w:family w:val="modern"/>
    <w:pitch w:val="fixed"/>
    <w:sig w:usb0="00000001" w:usb1="080E0000" w:usb2="00000010" w:usb3="00000000" w:csb0="00040000" w:csb1="00000000"/>
  </w:font>
  <w:font w:name="等线">
    <w:altName w:val="微软雅黑"/>
    <w:charset w:val="86"/>
    <w:family w:val="auto"/>
    <w:pitch w:val="default"/>
    <w:sig w:usb0="00000000" w:usb1="38CF7CFA" w:usb2="00000016" w:usb3="00000000" w:csb0="0004000F" w:csb1="00000000"/>
  </w:font>
  <w:font w:name="TimesNewRomanPSMT">
    <w:altName w:val="Times New Roman"/>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Wingdings 2">
    <w:altName w:val="Webdings"/>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D3F" w:rsidRDefault="006D7D3F">
    <w:pPr>
      <w:pStyle w:val="af2"/>
      <w:framePr w:wrap="around" w:vAnchor="text" w:hAnchor="margin" w:xAlign="center" w:y="1"/>
      <w:rPr>
        <w:rStyle w:val="aff"/>
      </w:rPr>
    </w:pPr>
    <w:r>
      <w:fldChar w:fldCharType="begin"/>
    </w:r>
    <w:r>
      <w:rPr>
        <w:rStyle w:val="aff"/>
      </w:rPr>
      <w:instrText xml:space="preserve">PAGE  </w:instrText>
    </w:r>
    <w:r>
      <w:fldChar w:fldCharType="separate"/>
    </w:r>
    <w:r>
      <w:rPr>
        <w:rStyle w:val="aff"/>
        <w:noProof/>
      </w:rPr>
      <w:t>84</w:t>
    </w:r>
    <w:r>
      <w:fldChar w:fldCharType="end"/>
    </w:r>
  </w:p>
  <w:p w:rsidR="006D7D3F" w:rsidRDefault="006D7D3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D3F" w:rsidRDefault="006D7D3F">
    <w:pPr>
      <w:pStyle w:val="af2"/>
      <w:framePr w:wrap="around" w:vAnchor="text" w:hAnchor="margin" w:xAlign="center" w:y="1"/>
      <w:rPr>
        <w:rStyle w:val="aff"/>
      </w:rPr>
    </w:pPr>
    <w:r>
      <w:fldChar w:fldCharType="begin"/>
    </w:r>
    <w:r>
      <w:rPr>
        <w:rStyle w:val="aff"/>
      </w:rPr>
      <w:instrText xml:space="preserve">PAGE  </w:instrText>
    </w:r>
    <w:r>
      <w:fldChar w:fldCharType="separate"/>
    </w:r>
    <w:r>
      <w:rPr>
        <w:rStyle w:val="aff"/>
        <w:noProof/>
      </w:rPr>
      <w:t>81</w:t>
    </w:r>
    <w:r>
      <w:fldChar w:fldCharType="end"/>
    </w:r>
  </w:p>
  <w:p w:rsidR="006D7D3F" w:rsidRDefault="006D7D3F">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D3F" w:rsidRDefault="006D7D3F">
    <w:pPr>
      <w:pStyle w:val="af2"/>
      <w:framePr w:wrap="around" w:vAnchor="text" w:hAnchor="margin" w:xAlign="center" w:y="1"/>
      <w:jc w:val="center"/>
      <w:rPr>
        <w:rStyle w:val="aff"/>
      </w:rPr>
    </w:pPr>
    <w:r>
      <w:fldChar w:fldCharType="begin"/>
    </w:r>
    <w:r>
      <w:rPr>
        <w:rStyle w:val="aff"/>
      </w:rPr>
      <w:instrText xml:space="preserve">PAGE  </w:instrText>
    </w:r>
    <w:r>
      <w:fldChar w:fldCharType="separate"/>
    </w:r>
    <w:r>
      <w:rPr>
        <w:rStyle w:val="aff"/>
        <w:noProof/>
      </w:rPr>
      <w:t>109</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D3F" w:rsidRDefault="006D7D3F">
    <w:pPr>
      <w:pStyle w:val="af2"/>
      <w:framePr w:wrap="around" w:vAnchor="text" w:hAnchor="margin" w:xAlign="center" w:y="1"/>
      <w:rPr>
        <w:rStyle w:val="aff"/>
      </w:rPr>
    </w:pPr>
    <w:r>
      <w:fldChar w:fldCharType="begin"/>
    </w:r>
    <w:r>
      <w:rPr>
        <w:rStyle w:val="aff"/>
      </w:rPr>
      <w:instrText xml:space="preserve">PAGE  </w:instrText>
    </w:r>
    <w:r>
      <w:fldChar w:fldCharType="separate"/>
    </w:r>
    <w:r w:rsidR="00863127">
      <w:rPr>
        <w:rStyle w:val="aff"/>
        <w:noProof/>
      </w:rPr>
      <w:t>304</w:t>
    </w:r>
    <w:r>
      <w:fldChar w:fldCharType="end"/>
    </w:r>
  </w:p>
  <w:p w:rsidR="006D7D3F" w:rsidRDefault="006D7D3F">
    <w:pPr>
      <w:pStyle w:val="af2"/>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D3F" w:rsidRDefault="006D7D3F">
    <w:pPr>
      <w:pStyle w:val="af2"/>
      <w:framePr w:wrap="around" w:vAnchor="text" w:hAnchor="margin" w:xAlign="center" w:y="1"/>
      <w:rPr>
        <w:rStyle w:val="aff"/>
      </w:rPr>
    </w:pPr>
    <w:r>
      <w:fldChar w:fldCharType="begin"/>
    </w:r>
    <w:r>
      <w:rPr>
        <w:rStyle w:val="aff"/>
      </w:rPr>
      <w:instrText xml:space="preserve">PAGE  </w:instrText>
    </w:r>
    <w:r>
      <w:fldChar w:fldCharType="separate"/>
    </w:r>
    <w:r w:rsidR="00D96421">
      <w:rPr>
        <w:rStyle w:val="aff"/>
        <w:noProof/>
      </w:rPr>
      <w:t>313</w:t>
    </w:r>
    <w:r>
      <w:fldChar w:fldCharType="end"/>
    </w:r>
  </w:p>
  <w:p w:rsidR="006D7D3F" w:rsidRDefault="006D7D3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70E" w:rsidRDefault="0038470E">
      <w:r>
        <w:separator/>
      </w:r>
    </w:p>
  </w:footnote>
  <w:footnote w:type="continuationSeparator" w:id="0">
    <w:p w:rsidR="0038470E" w:rsidRDefault="003847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D3F" w:rsidRDefault="006D7D3F">
    <w:pPr>
      <w:pStyle w:val="af3"/>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B3346"/>
    <w:multiLevelType w:val="multilevel"/>
    <w:tmpl w:val="050B3346"/>
    <w:lvl w:ilvl="0">
      <w:start w:val="4"/>
      <w:numFmt w:val="decimal"/>
      <w:pStyle w:val="a"/>
      <w:lvlText w:val="%1、"/>
      <w:lvlJc w:val="left"/>
      <w:pPr>
        <w:tabs>
          <w:tab w:val="left" w:pos="0"/>
        </w:tabs>
        <w:ind w:left="0" w:hanging="360"/>
      </w:pPr>
      <w:rPr>
        <w:rFonts w:hint="default"/>
      </w:rPr>
    </w:lvl>
    <w:lvl w:ilvl="1">
      <w:start w:val="1"/>
      <w:numFmt w:val="lowerLetter"/>
      <w:lvlText w:val="%2)"/>
      <w:lvlJc w:val="left"/>
      <w:pPr>
        <w:tabs>
          <w:tab w:val="left" w:pos="480"/>
        </w:tabs>
        <w:ind w:left="480" w:hanging="420"/>
      </w:pPr>
    </w:lvl>
    <w:lvl w:ilvl="2">
      <w:start w:val="1"/>
      <w:numFmt w:val="lowerRoman"/>
      <w:lvlText w:val="%3."/>
      <w:lvlJc w:val="right"/>
      <w:pPr>
        <w:tabs>
          <w:tab w:val="left" w:pos="900"/>
        </w:tabs>
        <w:ind w:left="900" w:hanging="420"/>
      </w:pPr>
    </w:lvl>
    <w:lvl w:ilvl="3">
      <w:start w:val="1"/>
      <w:numFmt w:val="decimal"/>
      <w:lvlText w:val="%4."/>
      <w:lvlJc w:val="left"/>
      <w:pPr>
        <w:tabs>
          <w:tab w:val="left" w:pos="1320"/>
        </w:tabs>
        <w:ind w:left="1320" w:hanging="420"/>
      </w:pPr>
    </w:lvl>
    <w:lvl w:ilvl="4">
      <w:start w:val="1"/>
      <w:numFmt w:val="lowerLetter"/>
      <w:lvlText w:val="%5)"/>
      <w:lvlJc w:val="left"/>
      <w:pPr>
        <w:tabs>
          <w:tab w:val="left" w:pos="1740"/>
        </w:tabs>
        <w:ind w:left="1740" w:hanging="420"/>
      </w:pPr>
    </w:lvl>
    <w:lvl w:ilvl="5">
      <w:start w:val="1"/>
      <w:numFmt w:val="lowerRoman"/>
      <w:lvlText w:val="%6."/>
      <w:lvlJc w:val="right"/>
      <w:pPr>
        <w:tabs>
          <w:tab w:val="left" w:pos="2160"/>
        </w:tabs>
        <w:ind w:left="2160" w:hanging="420"/>
      </w:pPr>
    </w:lvl>
    <w:lvl w:ilvl="6">
      <w:start w:val="1"/>
      <w:numFmt w:val="decimal"/>
      <w:lvlText w:val="%7."/>
      <w:lvlJc w:val="left"/>
      <w:pPr>
        <w:tabs>
          <w:tab w:val="left" w:pos="2580"/>
        </w:tabs>
        <w:ind w:left="2580" w:hanging="420"/>
      </w:pPr>
    </w:lvl>
    <w:lvl w:ilvl="7">
      <w:start w:val="1"/>
      <w:numFmt w:val="lowerLetter"/>
      <w:lvlText w:val="%8)"/>
      <w:lvlJc w:val="left"/>
      <w:pPr>
        <w:tabs>
          <w:tab w:val="left" w:pos="3000"/>
        </w:tabs>
        <w:ind w:left="3000" w:hanging="420"/>
      </w:pPr>
    </w:lvl>
    <w:lvl w:ilvl="8">
      <w:start w:val="1"/>
      <w:numFmt w:val="lowerRoman"/>
      <w:lvlText w:val="%9."/>
      <w:lvlJc w:val="right"/>
      <w:pPr>
        <w:tabs>
          <w:tab w:val="left" w:pos="3420"/>
        </w:tabs>
        <w:ind w:left="3420" w:hanging="420"/>
      </w:pPr>
    </w:lvl>
  </w:abstractNum>
  <w:abstractNum w:abstractNumId="1">
    <w:nsid w:val="0C9C5C3D"/>
    <w:multiLevelType w:val="multilevel"/>
    <w:tmpl w:val="0C9C5C3D"/>
    <w:lvl w:ilvl="0">
      <w:start w:val="1"/>
      <w:numFmt w:val="decimalEnclosedParen"/>
      <w:pStyle w:val="3"/>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DF50696"/>
    <w:multiLevelType w:val="multilevel"/>
    <w:tmpl w:val="1DF50696"/>
    <w:lvl w:ilvl="0">
      <w:start w:val="1"/>
      <w:numFmt w:val="decimalEnclosedParen"/>
      <w:pStyle w:val="10"/>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C870121"/>
    <w:multiLevelType w:val="hybridMultilevel"/>
    <w:tmpl w:val="B2AAC4A2"/>
    <w:lvl w:ilvl="0" w:tplc="00180AC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4">
    <w:nsid w:val="39187DFE"/>
    <w:multiLevelType w:val="multilevel"/>
    <w:tmpl w:val="39187DFE"/>
    <w:lvl w:ilvl="0">
      <w:start w:val="1"/>
      <w:numFmt w:val="decimalEnclosedParen"/>
      <w:lvlText w:val="%1"/>
      <w:lvlJc w:val="left"/>
      <w:pPr>
        <w:ind w:left="360" w:hanging="360"/>
      </w:pPr>
      <w:rPr>
        <w:rFonts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170337B"/>
    <w:multiLevelType w:val="hybridMultilevel"/>
    <w:tmpl w:val="A52AABDC"/>
    <w:lvl w:ilvl="0" w:tplc="F36631C4">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evenAndOddHeaders/>
  <w:drawingGridHorizontalSpacing w:val="140"/>
  <w:drawingGridVerticalSpacing w:val="381"/>
  <w:displayHorizontalDrawingGridEvery w:val="0"/>
  <w:displayVerticalDrawingGridEvery w:val="2"/>
  <w:characterSpacingControl w:val="compressPunctuation"/>
  <w:hdrShapeDefaults>
    <o:shapedefaults v:ext="edit" spidmax="46082"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5610"/>
    <w:rsid w:val="000001AE"/>
    <w:rsid w:val="0000043F"/>
    <w:rsid w:val="0000049A"/>
    <w:rsid w:val="00000695"/>
    <w:rsid w:val="00000871"/>
    <w:rsid w:val="000011D9"/>
    <w:rsid w:val="00001377"/>
    <w:rsid w:val="00002078"/>
    <w:rsid w:val="000020AE"/>
    <w:rsid w:val="0000216A"/>
    <w:rsid w:val="000024EE"/>
    <w:rsid w:val="000029E8"/>
    <w:rsid w:val="00002AB8"/>
    <w:rsid w:val="00002D0B"/>
    <w:rsid w:val="00002EA9"/>
    <w:rsid w:val="00002F02"/>
    <w:rsid w:val="00002F8E"/>
    <w:rsid w:val="00003154"/>
    <w:rsid w:val="000039E1"/>
    <w:rsid w:val="00003F82"/>
    <w:rsid w:val="000041CC"/>
    <w:rsid w:val="00004AA4"/>
    <w:rsid w:val="00005023"/>
    <w:rsid w:val="0000560D"/>
    <w:rsid w:val="0000566A"/>
    <w:rsid w:val="000060DA"/>
    <w:rsid w:val="000066D8"/>
    <w:rsid w:val="00006918"/>
    <w:rsid w:val="00007355"/>
    <w:rsid w:val="000077EB"/>
    <w:rsid w:val="00007ED1"/>
    <w:rsid w:val="0001030B"/>
    <w:rsid w:val="00010D95"/>
    <w:rsid w:val="00010F42"/>
    <w:rsid w:val="0001101D"/>
    <w:rsid w:val="00011F13"/>
    <w:rsid w:val="00011F5B"/>
    <w:rsid w:val="00012133"/>
    <w:rsid w:val="00012608"/>
    <w:rsid w:val="00013173"/>
    <w:rsid w:val="0001371C"/>
    <w:rsid w:val="00013E1B"/>
    <w:rsid w:val="00014212"/>
    <w:rsid w:val="00014416"/>
    <w:rsid w:val="0001447B"/>
    <w:rsid w:val="00014BC5"/>
    <w:rsid w:val="00014E27"/>
    <w:rsid w:val="00015501"/>
    <w:rsid w:val="00015B33"/>
    <w:rsid w:val="000169B4"/>
    <w:rsid w:val="00016A7D"/>
    <w:rsid w:val="0001761E"/>
    <w:rsid w:val="00017B80"/>
    <w:rsid w:val="000200C0"/>
    <w:rsid w:val="00020987"/>
    <w:rsid w:val="00021085"/>
    <w:rsid w:val="00021ECB"/>
    <w:rsid w:val="000226AF"/>
    <w:rsid w:val="00022974"/>
    <w:rsid w:val="00023309"/>
    <w:rsid w:val="00023A94"/>
    <w:rsid w:val="00023E5A"/>
    <w:rsid w:val="0002437F"/>
    <w:rsid w:val="000243B2"/>
    <w:rsid w:val="000247E5"/>
    <w:rsid w:val="00024AB9"/>
    <w:rsid w:val="00024AFD"/>
    <w:rsid w:val="00024FE1"/>
    <w:rsid w:val="00025FE2"/>
    <w:rsid w:val="00026073"/>
    <w:rsid w:val="00026254"/>
    <w:rsid w:val="00026482"/>
    <w:rsid w:val="00026CA9"/>
    <w:rsid w:val="00027034"/>
    <w:rsid w:val="00027393"/>
    <w:rsid w:val="0003020B"/>
    <w:rsid w:val="00030BC3"/>
    <w:rsid w:val="0003131A"/>
    <w:rsid w:val="00031874"/>
    <w:rsid w:val="000318C0"/>
    <w:rsid w:val="00031EE1"/>
    <w:rsid w:val="000327E1"/>
    <w:rsid w:val="00032B1C"/>
    <w:rsid w:val="000331C7"/>
    <w:rsid w:val="00033AE1"/>
    <w:rsid w:val="000342E5"/>
    <w:rsid w:val="000353C8"/>
    <w:rsid w:val="000364E4"/>
    <w:rsid w:val="00036E1E"/>
    <w:rsid w:val="000412B3"/>
    <w:rsid w:val="000415B9"/>
    <w:rsid w:val="00041721"/>
    <w:rsid w:val="00041CCB"/>
    <w:rsid w:val="000422DD"/>
    <w:rsid w:val="000428C8"/>
    <w:rsid w:val="00042B30"/>
    <w:rsid w:val="00042DC8"/>
    <w:rsid w:val="00042F2F"/>
    <w:rsid w:val="00044136"/>
    <w:rsid w:val="0004415D"/>
    <w:rsid w:val="000450E6"/>
    <w:rsid w:val="000459F1"/>
    <w:rsid w:val="000460B8"/>
    <w:rsid w:val="0004614A"/>
    <w:rsid w:val="000474D7"/>
    <w:rsid w:val="00047D3D"/>
    <w:rsid w:val="000501F4"/>
    <w:rsid w:val="00050512"/>
    <w:rsid w:val="0005057A"/>
    <w:rsid w:val="00050974"/>
    <w:rsid w:val="00050D37"/>
    <w:rsid w:val="00051219"/>
    <w:rsid w:val="00051222"/>
    <w:rsid w:val="0005138D"/>
    <w:rsid w:val="00051662"/>
    <w:rsid w:val="000518F7"/>
    <w:rsid w:val="000520EF"/>
    <w:rsid w:val="0005240E"/>
    <w:rsid w:val="000526EB"/>
    <w:rsid w:val="00053C40"/>
    <w:rsid w:val="00054EA6"/>
    <w:rsid w:val="00056032"/>
    <w:rsid w:val="00056112"/>
    <w:rsid w:val="00057202"/>
    <w:rsid w:val="000576A0"/>
    <w:rsid w:val="00057782"/>
    <w:rsid w:val="0006066C"/>
    <w:rsid w:val="00060D8B"/>
    <w:rsid w:val="00060FCF"/>
    <w:rsid w:val="00061097"/>
    <w:rsid w:val="0006182E"/>
    <w:rsid w:val="000618E9"/>
    <w:rsid w:val="00061B1C"/>
    <w:rsid w:val="0006315D"/>
    <w:rsid w:val="00063352"/>
    <w:rsid w:val="000636F2"/>
    <w:rsid w:val="00063AF1"/>
    <w:rsid w:val="000643F3"/>
    <w:rsid w:val="000646E0"/>
    <w:rsid w:val="00064B72"/>
    <w:rsid w:val="00064C85"/>
    <w:rsid w:val="00064CD3"/>
    <w:rsid w:val="000656FF"/>
    <w:rsid w:val="00066E75"/>
    <w:rsid w:val="0006757B"/>
    <w:rsid w:val="00070CD5"/>
    <w:rsid w:val="00070E65"/>
    <w:rsid w:val="00071135"/>
    <w:rsid w:val="00071211"/>
    <w:rsid w:val="000713E4"/>
    <w:rsid w:val="00071AA1"/>
    <w:rsid w:val="000726AC"/>
    <w:rsid w:val="00073694"/>
    <w:rsid w:val="00073C6D"/>
    <w:rsid w:val="00074FAE"/>
    <w:rsid w:val="0007510E"/>
    <w:rsid w:val="0007520A"/>
    <w:rsid w:val="0007569F"/>
    <w:rsid w:val="00075AAF"/>
    <w:rsid w:val="00075F75"/>
    <w:rsid w:val="000763B7"/>
    <w:rsid w:val="0007685C"/>
    <w:rsid w:val="0007713C"/>
    <w:rsid w:val="00077366"/>
    <w:rsid w:val="000776A4"/>
    <w:rsid w:val="0007792A"/>
    <w:rsid w:val="00077C5D"/>
    <w:rsid w:val="00077E83"/>
    <w:rsid w:val="0008074A"/>
    <w:rsid w:val="00082A78"/>
    <w:rsid w:val="00083A90"/>
    <w:rsid w:val="00083A99"/>
    <w:rsid w:val="00083D84"/>
    <w:rsid w:val="00083DAF"/>
    <w:rsid w:val="00083F59"/>
    <w:rsid w:val="0008449D"/>
    <w:rsid w:val="0008455D"/>
    <w:rsid w:val="00084931"/>
    <w:rsid w:val="00085354"/>
    <w:rsid w:val="000864FA"/>
    <w:rsid w:val="000866AE"/>
    <w:rsid w:val="000866E9"/>
    <w:rsid w:val="00090E52"/>
    <w:rsid w:val="0009119E"/>
    <w:rsid w:val="00092AF2"/>
    <w:rsid w:val="000934E8"/>
    <w:rsid w:val="00093C0D"/>
    <w:rsid w:val="00093C5A"/>
    <w:rsid w:val="00093EEE"/>
    <w:rsid w:val="0009437A"/>
    <w:rsid w:val="0009446E"/>
    <w:rsid w:val="00094B95"/>
    <w:rsid w:val="00095CC0"/>
    <w:rsid w:val="00095E48"/>
    <w:rsid w:val="00097234"/>
    <w:rsid w:val="000A1158"/>
    <w:rsid w:val="000A1489"/>
    <w:rsid w:val="000A1F05"/>
    <w:rsid w:val="000A3664"/>
    <w:rsid w:val="000A3C77"/>
    <w:rsid w:val="000A3F76"/>
    <w:rsid w:val="000A5E83"/>
    <w:rsid w:val="000A60DF"/>
    <w:rsid w:val="000A632D"/>
    <w:rsid w:val="000A6523"/>
    <w:rsid w:val="000A66A7"/>
    <w:rsid w:val="000A7BFD"/>
    <w:rsid w:val="000B0948"/>
    <w:rsid w:val="000B0F3C"/>
    <w:rsid w:val="000B1142"/>
    <w:rsid w:val="000B1285"/>
    <w:rsid w:val="000B15B2"/>
    <w:rsid w:val="000B1A19"/>
    <w:rsid w:val="000B1FEF"/>
    <w:rsid w:val="000B42CB"/>
    <w:rsid w:val="000B42F9"/>
    <w:rsid w:val="000B4405"/>
    <w:rsid w:val="000B444A"/>
    <w:rsid w:val="000B5A0C"/>
    <w:rsid w:val="000B5A88"/>
    <w:rsid w:val="000B5CD5"/>
    <w:rsid w:val="000B6227"/>
    <w:rsid w:val="000B6661"/>
    <w:rsid w:val="000B69FA"/>
    <w:rsid w:val="000B6AC3"/>
    <w:rsid w:val="000B7563"/>
    <w:rsid w:val="000B7723"/>
    <w:rsid w:val="000B7886"/>
    <w:rsid w:val="000B7B82"/>
    <w:rsid w:val="000B7EE3"/>
    <w:rsid w:val="000B7FFD"/>
    <w:rsid w:val="000C0CB1"/>
    <w:rsid w:val="000C150E"/>
    <w:rsid w:val="000C1981"/>
    <w:rsid w:val="000C23A5"/>
    <w:rsid w:val="000C2C17"/>
    <w:rsid w:val="000C2C99"/>
    <w:rsid w:val="000C3304"/>
    <w:rsid w:val="000C3757"/>
    <w:rsid w:val="000C3898"/>
    <w:rsid w:val="000C4154"/>
    <w:rsid w:val="000C4180"/>
    <w:rsid w:val="000C4252"/>
    <w:rsid w:val="000C4F44"/>
    <w:rsid w:val="000C5AE8"/>
    <w:rsid w:val="000C60CA"/>
    <w:rsid w:val="000C694B"/>
    <w:rsid w:val="000C747B"/>
    <w:rsid w:val="000D0340"/>
    <w:rsid w:val="000D0C84"/>
    <w:rsid w:val="000D112D"/>
    <w:rsid w:val="000D1C10"/>
    <w:rsid w:val="000D239C"/>
    <w:rsid w:val="000D2448"/>
    <w:rsid w:val="000D2FAE"/>
    <w:rsid w:val="000D3023"/>
    <w:rsid w:val="000D3973"/>
    <w:rsid w:val="000D40B0"/>
    <w:rsid w:val="000D41A6"/>
    <w:rsid w:val="000D4CE3"/>
    <w:rsid w:val="000D5038"/>
    <w:rsid w:val="000D582A"/>
    <w:rsid w:val="000D6793"/>
    <w:rsid w:val="000D6B62"/>
    <w:rsid w:val="000D73A2"/>
    <w:rsid w:val="000D7A08"/>
    <w:rsid w:val="000E00BA"/>
    <w:rsid w:val="000E025A"/>
    <w:rsid w:val="000E0F25"/>
    <w:rsid w:val="000E2E38"/>
    <w:rsid w:val="000E437C"/>
    <w:rsid w:val="000E4658"/>
    <w:rsid w:val="000E46E2"/>
    <w:rsid w:val="000E4E8A"/>
    <w:rsid w:val="000E5882"/>
    <w:rsid w:val="000E6C6B"/>
    <w:rsid w:val="000E6FD1"/>
    <w:rsid w:val="000E71B1"/>
    <w:rsid w:val="000F01BD"/>
    <w:rsid w:val="000F0323"/>
    <w:rsid w:val="000F0D0D"/>
    <w:rsid w:val="000F1051"/>
    <w:rsid w:val="000F128B"/>
    <w:rsid w:val="000F1508"/>
    <w:rsid w:val="000F16E7"/>
    <w:rsid w:val="000F1DBA"/>
    <w:rsid w:val="000F242E"/>
    <w:rsid w:val="000F25A0"/>
    <w:rsid w:val="000F3338"/>
    <w:rsid w:val="000F365C"/>
    <w:rsid w:val="000F39AE"/>
    <w:rsid w:val="000F4444"/>
    <w:rsid w:val="000F4474"/>
    <w:rsid w:val="000F51A0"/>
    <w:rsid w:val="000F5D5C"/>
    <w:rsid w:val="000F65F3"/>
    <w:rsid w:val="000F698E"/>
    <w:rsid w:val="000F7112"/>
    <w:rsid w:val="000F74F6"/>
    <w:rsid w:val="000F78C6"/>
    <w:rsid w:val="000F7C87"/>
    <w:rsid w:val="00100529"/>
    <w:rsid w:val="00101275"/>
    <w:rsid w:val="00101969"/>
    <w:rsid w:val="001019BB"/>
    <w:rsid w:val="001024A9"/>
    <w:rsid w:val="001024B8"/>
    <w:rsid w:val="001025C9"/>
    <w:rsid w:val="00102D0F"/>
    <w:rsid w:val="00103121"/>
    <w:rsid w:val="001032C3"/>
    <w:rsid w:val="0010355B"/>
    <w:rsid w:val="00103DB9"/>
    <w:rsid w:val="00104100"/>
    <w:rsid w:val="001044CC"/>
    <w:rsid w:val="001045E3"/>
    <w:rsid w:val="00104C7E"/>
    <w:rsid w:val="00105414"/>
    <w:rsid w:val="00105459"/>
    <w:rsid w:val="001056EA"/>
    <w:rsid w:val="001057D7"/>
    <w:rsid w:val="001064A5"/>
    <w:rsid w:val="00106E56"/>
    <w:rsid w:val="00107890"/>
    <w:rsid w:val="00107B23"/>
    <w:rsid w:val="0011110C"/>
    <w:rsid w:val="001111E5"/>
    <w:rsid w:val="00111973"/>
    <w:rsid w:val="00112B02"/>
    <w:rsid w:val="0011458E"/>
    <w:rsid w:val="00114AA9"/>
    <w:rsid w:val="00114B89"/>
    <w:rsid w:val="00114FF3"/>
    <w:rsid w:val="0011546B"/>
    <w:rsid w:val="00116AEC"/>
    <w:rsid w:val="00116DB1"/>
    <w:rsid w:val="001175B9"/>
    <w:rsid w:val="00117914"/>
    <w:rsid w:val="00117B17"/>
    <w:rsid w:val="00117E68"/>
    <w:rsid w:val="00117F98"/>
    <w:rsid w:val="00120426"/>
    <w:rsid w:val="00120849"/>
    <w:rsid w:val="00120981"/>
    <w:rsid w:val="00120EA4"/>
    <w:rsid w:val="001217FC"/>
    <w:rsid w:val="00121993"/>
    <w:rsid w:val="001222C7"/>
    <w:rsid w:val="001234A9"/>
    <w:rsid w:val="00123672"/>
    <w:rsid w:val="001249B8"/>
    <w:rsid w:val="00124AA3"/>
    <w:rsid w:val="00124EE2"/>
    <w:rsid w:val="00125595"/>
    <w:rsid w:val="00125809"/>
    <w:rsid w:val="001258FA"/>
    <w:rsid w:val="001266E2"/>
    <w:rsid w:val="0012772C"/>
    <w:rsid w:val="001277A4"/>
    <w:rsid w:val="00127FA7"/>
    <w:rsid w:val="00130C33"/>
    <w:rsid w:val="00130F09"/>
    <w:rsid w:val="001315B4"/>
    <w:rsid w:val="0013276F"/>
    <w:rsid w:val="0013465C"/>
    <w:rsid w:val="001352DB"/>
    <w:rsid w:val="00135551"/>
    <w:rsid w:val="00137815"/>
    <w:rsid w:val="001378AE"/>
    <w:rsid w:val="00137E16"/>
    <w:rsid w:val="0014166A"/>
    <w:rsid w:val="00141C3B"/>
    <w:rsid w:val="00141E02"/>
    <w:rsid w:val="00141F89"/>
    <w:rsid w:val="00143B6B"/>
    <w:rsid w:val="00143BBA"/>
    <w:rsid w:val="00143ECB"/>
    <w:rsid w:val="001441B7"/>
    <w:rsid w:val="0014501F"/>
    <w:rsid w:val="00147B1B"/>
    <w:rsid w:val="00150102"/>
    <w:rsid w:val="00151C19"/>
    <w:rsid w:val="00153AD1"/>
    <w:rsid w:val="00153E14"/>
    <w:rsid w:val="001540C0"/>
    <w:rsid w:val="00154B49"/>
    <w:rsid w:val="00154DCD"/>
    <w:rsid w:val="001557D7"/>
    <w:rsid w:val="00155CD7"/>
    <w:rsid w:val="00155E91"/>
    <w:rsid w:val="0015684B"/>
    <w:rsid w:val="0015693B"/>
    <w:rsid w:val="00156BD2"/>
    <w:rsid w:val="00156D56"/>
    <w:rsid w:val="001576E7"/>
    <w:rsid w:val="00157C53"/>
    <w:rsid w:val="00157CF3"/>
    <w:rsid w:val="00157EA5"/>
    <w:rsid w:val="001603D7"/>
    <w:rsid w:val="00160FFF"/>
    <w:rsid w:val="00162B2A"/>
    <w:rsid w:val="0016325E"/>
    <w:rsid w:val="0016344D"/>
    <w:rsid w:val="0016357C"/>
    <w:rsid w:val="001645F8"/>
    <w:rsid w:val="001646A0"/>
    <w:rsid w:val="0016532B"/>
    <w:rsid w:val="00165719"/>
    <w:rsid w:val="00165E70"/>
    <w:rsid w:val="00166908"/>
    <w:rsid w:val="00167C08"/>
    <w:rsid w:val="001702DD"/>
    <w:rsid w:val="001702E5"/>
    <w:rsid w:val="00170EA7"/>
    <w:rsid w:val="0017157D"/>
    <w:rsid w:val="001715F0"/>
    <w:rsid w:val="0017267B"/>
    <w:rsid w:val="00172DAF"/>
    <w:rsid w:val="00173355"/>
    <w:rsid w:val="001735B3"/>
    <w:rsid w:val="00173C9B"/>
    <w:rsid w:val="001745E4"/>
    <w:rsid w:val="001748A8"/>
    <w:rsid w:val="0017525D"/>
    <w:rsid w:val="00176C01"/>
    <w:rsid w:val="00176D35"/>
    <w:rsid w:val="00176E28"/>
    <w:rsid w:val="00176F38"/>
    <w:rsid w:val="00176F53"/>
    <w:rsid w:val="0017727E"/>
    <w:rsid w:val="00177439"/>
    <w:rsid w:val="00177829"/>
    <w:rsid w:val="001806A1"/>
    <w:rsid w:val="00180730"/>
    <w:rsid w:val="00180A95"/>
    <w:rsid w:val="00181A52"/>
    <w:rsid w:val="00181C91"/>
    <w:rsid w:val="001826FD"/>
    <w:rsid w:val="00182A82"/>
    <w:rsid w:val="00182E79"/>
    <w:rsid w:val="00182EA0"/>
    <w:rsid w:val="00182EC6"/>
    <w:rsid w:val="00183489"/>
    <w:rsid w:val="001846C2"/>
    <w:rsid w:val="00185481"/>
    <w:rsid w:val="00185A38"/>
    <w:rsid w:val="001866DA"/>
    <w:rsid w:val="00187808"/>
    <w:rsid w:val="001900C8"/>
    <w:rsid w:val="0019059D"/>
    <w:rsid w:val="00190799"/>
    <w:rsid w:val="001908E2"/>
    <w:rsid w:val="00190A41"/>
    <w:rsid w:val="00190C99"/>
    <w:rsid w:val="00190E31"/>
    <w:rsid w:val="00192244"/>
    <w:rsid w:val="0019281A"/>
    <w:rsid w:val="00192F10"/>
    <w:rsid w:val="0019351A"/>
    <w:rsid w:val="001936E1"/>
    <w:rsid w:val="001939A4"/>
    <w:rsid w:val="00193AE1"/>
    <w:rsid w:val="00194063"/>
    <w:rsid w:val="00194D80"/>
    <w:rsid w:val="00194E31"/>
    <w:rsid w:val="00196013"/>
    <w:rsid w:val="001962FE"/>
    <w:rsid w:val="00196517"/>
    <w:rsid w:val="0019685F"/>
    <w:rsid w:val="001968D1"/>
    <w:rsid w:val="00196ADF"/>
    <w:rsid w:val="0019792A"/>
    <w:rsid w:val="0019793E"/>
    <w:rsid w:val="00197EDF"/>
    <w:rsid w:val="001A000D"/>
    <w:rsid w:val="001A07C2"/>
    <w:rsid w:val="001A1859"/>
    <w:rsid w:val="001A245E"/>
    <w:rsid w:val="001A2594"/>
    <w:rsid w:val="001A3162"/>
    <w:rsid w:val="001A3905"/>
    <w:rsid w:val="001A42DC"/>
    <w:rsid w:val="001A433F"/>
    <w:rsid w:val="001A4ABD"/>
    <w:rsid w:val="001A6A92"/>
    <w:rsid w:val="001A6DE6"/>
    <w:rsid w:val="001A6F8A"/>
    <w:rsid w:val="001A7720"/>
    <w:rsid w:val="001A7E08"/>
    <w:rsid w:val="001B039E"/>
    <w:rsid w:val="001B0754"/>
    <w:rsid w:val="001B0A26"/>
    <w:rsid w:val="001B1F4C"/>
    <w:rsid w:val="001B320C"/>
    <w:rsid w:val="001B3279"/>
    <w:rsid w:val="001B3FE6"/>
    <w:rsid w:val="001B4394"/>
    <w:rsid w:val="001B4793"/>
    <w:rsid w:val="001B4E3F"/>
    <w:rsid w:val="001B5065"/>
    <w:rsid w:val="001B522F"/>
    <w:rsid w:val="001B6977"/>
    <w:rsid w:val="001B69B0"/>
    <w:rsid w:val="001B7200"/>
    <w:rsid w:val="001B7FCA"/>
    <w:rsid w:val="001C0AAA"/>
    <w:rsid w:val="001C0B02"/>
    <w:rsid w:val="001C24F7"/>
    <w:rsid w:val="001C2879"/>
    <w:rsid w:val="001C360F"/>
    <w:rsid w:val="001C389C"/>
    <w:rsid w:val="001C4226"/>
    <w:rsid w:val="001C427A"/>
    <w:rsid w:val="001C4BF4"/>
    <w:rsid w:val="001C50AE"/>
    <w:rsid w:val="001C536E"/>
    <w:rsid w:val="001C550B"/>
    <w:rsid w:val="001C5B16"/>
    <w:rsid w:val="001C73A9"/>
    <w:rsid w:val="001C7485"/>
    <w:rsid w:val="001C761D"/>
    <w:rsid w:val="001C7655"/>
    <w:rsid w:val="001C7DE0"/>
    <w:rsid w:val="001D006E"/>
    <w:rsid w:val="001D0685"/>
    <w:rsid w:val="001D0796"/>
    <w:rsid w:val="001D0CFD"/>
    <w:rsid w:val="001D1738"/>
    <w:rsid w:val="001D1891"/>
    <w:rsid w:val="001D1E94"/>
    <w:rsid w:val="001D245B"/>
    <w:rsid w:val="001D2E49"/>
    <w:rsid w:val="001D30BC"/>
    <w:rsid w:val="001D388B"/>
    <w:rsid w:val="001D46E3"/>
    <w:rsid w:val="001D482D"/>
    <w:rsid w:val="001D590A"/>
    <w:rsid w:val="001D61D8"/>
    <w:rsid w:val="001D6995"/>
    <w:rsid w:val="001D6B13"/>
    <w:rsid w:val="001D6E56"/>
    <w:rsid w:val="001D716F"/>
    <w:rsid w:val="001D7B8C"/>
    <w:rsid w:val="001D7E59"/>
    <w:rsid w:val="001E0063"/>
    <w:rsid w:val="001E051F"/>
    <w:rsid w:val="001E08D2"/>
    <w:rsid w:val="001E0A2A"/>
    <w:rsid w:val="001E1719"/>
    <w:rsid w:val="001E23BE"/>
    <w:rsid w:val="001E25A5"/>
    <w:rsid w:val="001E264C"/>
    <w:rsid w:val="001E2717"/>
    <w:rsid w:val="001E27DE"/>
    <w:rsid w:val="001E2B01"/>
    <w:rsid w:val="001E2E02"/>
    <w:rsid w:val="001E33BC"/>
    <w:rsid w:val="001E34EC"/>
    <w:rsid w:val="001E3581"/>
    <w:rsid w:val="001E4365"/>
    <w:rsid w:val="001E44A0"/>
    <w:rsid w:val="001E4DC9"/>
    <w:rsid w:val="001E5073"/>
    <w:rsid w:val="001E52B9"/>
    <w:rsid w:val="001E54E3"/>
    <w:rsid w:val="001E69B1"/>
    <w:rsid w:val="001E6FCD"/>
    <w:rsid w:val="001E7758"/>
    <w:rsid w:val="001E7CC0"/>
    <w:rsid w:val="001E7CC6"/>
    <w:rsid w:val="001F06E5"/>
    <w:rsid w:val="001F0FFD"/>
    <w:rsid w:val="001F12ED"/>
    <w:rsid w:val="001F13B2"/>
    <w:rsid w:val="001F1516"/>
    <w:rsid w:val="001F2450"/>
    <w:rsid w:val="001F275B"/>
    <w:rsid w:val="001F2A2F"/>
    <w:rsid w:val="001F2B59"/>
    <w:rsid w:val="001F491B"/>
    <w:rsid w:val="001F5201"/>
    <w:rsid w:val="001F5A35"/>
    <w:rsid w:val="001F5EA8"/>
    <w:rsid w:val="001F6975"/>
    <w:rsid w:val="001F71BF"/>
    <w:rsid w:val="001F7A18"/>
    <w:rsid w:val="001F7B81"/>
    <w:rsid w:val="001F7F8D"/>
    <w:rsid w:val="002000EA"/>
    <w:rsid w:val="0020026F"/>
    <w:rsid w:val="00201C80"/>
    <w:rsid w:val="00202724"/>
    <w:rsid w:val="00202855"/>
    <w:rsid w:val="00202A5A"/>
    <w:rsid w:val="00202F1F"/>
    <w:rsid w:val="002034D2"/>
    <w:rsid w:val="00203D85"/>
    <w:rsid w:val="00204051"/>
    <w:rsid w:val="0020426A"/>
    <w:rsid w:val="00204332"/>
    <w:rsid w:val="00206392"/>
    <w:rsid w:val="002064A4"/>
    <w:rsid w:val="002068E8"/>
    <w:rsid w:val="00206F80"/>
    <w:rsid w:val="002070D7"/>
    <w:rsid w:val="002074FC"/>
    <w:rsid w:val="00207504"/>
    <w:rsid w:val="0020795B"/>
    <w:rsid w:val="00207976"/>
    <w:rsid w:val="00207B1B"/>
    <w:rsid w:val="00207CA8"/>
    <w:rsid w:val="002104B6"/>
    <w:rsid w:val="0021084D"/>
    <w:rsid w:val="00210959"/>
    <w:rsid w:val="00210D16"/>
    <w:rsid w:val="00211605"/>
    <w:rsid w:val="00211844"/>
    <w:rsid w:val="002121D6"/>
    <w:rsid w:val="002121FD"/>
    <w:rsid w:val="00212642"/>
    <w:rsid w:val="00212AB1"/>
    <w:rsid w:val="00212E90"/>
    <w:rsid w:val="00213222"/>
    <w:rsid w:val="00213F5B"/>
    <w:rsid w:val="00214154"/>
    <w:rsid w:val="002144FE"/>
    <w:rsid w:val="002148C0"/>
    <w:rsid w:val="002149D0"/>
    <w:rsid w:val="00214CDC"/>
    <w:rsid w:val="002154F6"/>
    <w:rsid w:val="00216D02"/>
    <w:rsid w:val="00217431"/>
    <w:rsid w:val="00217996"/>
    <w:rsid w:val="00217BC1"/>
    <w:rsid w:val="00217DF0"/>
    <w:rsid w:val="00220756"/>
    <w:rsid w:val="00220E30"/>
    <w:rsid w:val="00221473"/>
    <w:rsid w:val="002214ED"/>
    <w:rsid w:val="00221FE6"/>
    <w:rsid w:val="00222166"/>
    <w:rsid w:val="0022221D"/>
    <w:rsid w:val="002223FF"/>
    <w:rsid w:val="00222EC2"/>
    <w:rsid w:val="00223446"/>
    <w:rsid w:val="0022430B"/>
    <w:rsid w:val="002246F2"/>
    <w:rsid w:val="00225370"/>
    <w:rsid w:val="0022558D"/>
    <w:rsid w:val="002258C8"/>
    <w:rsid w:val="00225AF4"/>
    <w:rsid w:val="00225B4D"/>
    <w:rsid w:val="00225E2F"/>
    <w:rsid w:val="00225F55"/>
    <w:rsid w:val="00226244"/>
    <w:rsid w:val="00226710"/>
    <w:rsid w:val="00226AA7"/>
    <w:rsid w:val="00227736"/>
    <w:rsid w:val="002278F5"/>
    <w:rsid w:val="00227908"/>
    <w:rsid w:val="00227DCD"/>
    <w:rsid w:val="00230061"/>
    <w:rsid w:val="002301DA"/>
    <w:rsid w:val="002305F4"/>
    <w:rsid w:val="002309AD"/>
    <w:rsid w:val="00230E52"/>
    <w:rsid w:val="00231ADA"/>
    <w:rsid w:val="00231B71"/>
    <w:rsid w:val="0023225B"/>
    <w:rsid w:val="0023239D"/>
    <w:rsid w:val="002332F2"/>
    <w:rsid w:val="002339B0"/>
    <w:rsid w:val="00233BEC"/>
    <w:rsid w:val="00234F6E"/>
    <w:rsid w:val="00235572"/>
    <w:rsid w:val="0023612D"/>
    <w:rsid w:val="00236889"/>
    <w:rsid w:val="00236947"/>
    <w:rsid w:val="00237179"/>
    <w:rsid w:val="0023735B"/>
    <w:rsid w:val="0023739C"/>
    <w:rsid w:val="00237B3A"/>
    <w:rsid w:val="00237BF4"/>
    <w:rsid w:val="0024041E"/>
    <w:rsid w:val="00240BCE"/>
    <w:rsid w:val="002410BF"/>
    <w:rsid w:val="00241BD8"/>
    <w:rsid w:val="00241D21"/>
    <w:rsid w:val="0024225D"/>
    <w:rsid w:val="002423E0"/>
    <w:rsid w:val="002424DA"/>
    <w:rsid w:val="00242B5E"/>
    <w:rsid w:val="0024343F"/>
    <w:rsid w:val="002434E3"/>
    <w:rsid w:val="002436DF"/>
    <w:rsid w:val="002438C5"/>
    <w:rsid w:val="00243D14"/>
    <w:rsid w:val="0024420A"/>
    <w:rsid w:val="00244663"/>
    <w:rsid w:val="002449C5"/>
    <w:rsid w:val="00244CE0"/>
    <w:rsid w:val="00245322"/>
    <w:rsid w:val="002459E5"/>
    <w:rsid w:val="00246731"/>
    <w:rsid w:val="002468D7"/>
    <w:rsid w:val="00246B12"/>
    <w:rsid w:val="00247B5D"/>
    <w:rsid w:val="00247B64"/>
    <w:rsid w:val="0025052B"/>
    <w:rsid w:val="00250B53"/>
    <w:rsid w:val="002515E7"/>
    <w:rsid w:val="00251B6D"/>
    <w:rsid w:val="0025294D"/>
    <w:rsid w:val="002536C7"/>
    <w:rsid w:val="002538AE"/>
    <w:rsid w:val="002543D1"/>
    <w:rsid w:val="00254AA2"/>
    <w:rsid w:val="00254F26"/>
    <w:rsid w:val="002558FB"/>
    <w:rsid w:val="00255A49"/>
    <w:rsid w:val="00255E65"/>
    <w:rsid w:val="00256649"/>
    <w:rsid w:val="002570E7"/>
    <w:rsid w:val="002578C9"/>
    <w:rsid w:val="002579BE"/>
    <w:rsid w:val="00257B79"/>
    <w:rsid w:val="00260071"/>
    <w:rsid w:val="0026019B"/>
    <w:rsid w:val="002601D9"/>
    <w:rsid w:val="00260DC6"/>
    <w:rsid w:val="00260EFE"/>
    <w:rsid w:val="0026109A"/>
    <w:rsid w:val="002615B8"/>
    <w:rsid w:val="002615DD"/>
    <w:rsid w:val="002638F1"/>
    <w:rsid w:val="00263ACD"/>
    <w:rsid w:val="00264007"/>
    <w:rsid w:val="00265F34"/>
    <w:rsid w:val="00267D8B"/>
    <w:rsid w:val="002709FF"/>
    <w:rsid w:val="00270BBE"/>
    <w:rsid w:val="00270CF2"/>
    <w:rsid w:val="00270D5B"/>
    <w:rsid w:val="00270DDD"/>
    <w:rsid w:val="00272254"/>
    <w:rsid w:val="00272417"/>
    <w:rsid w:val="00272577"/>
    <w:rsid w:val="00273444"/>
    <w:rsid w:val="002737B5"/>
    <w:rsid w:val="002739A9"/>
    <w:rsid w:val="002739AB"/>
    <w:rsid w:val="00273AED"/>
    <w:rsid w:val="00273D03"/>
    <w:rsid w:val="00273DA7"/>
    <w:rsid w:val="00273ED3"/>
    <w:rsid w:val="00273F65"/>
    <w:rsid w:val="00274A1D"/>
    <w:rsid w:val="00274CD5"/>
    <w:rsid w:val="002755A6"/>
    <w:rsid w:val="002762C6"/>
    <w:rsid w:val="002777BA"/>
    <w:rsid w:val="002778F9"/>
    <w:rsid w:val="00277F30"/>
    <w:rsid w:val="0028077D"/>
    <w:rsid w:val="002814B9"/>
    <w:rsid w:val="00281A8C"/>
    <w:rsid w:val="00281C73"/>
    <w:rsid w:val="00281FF7"/>
    <w:rsid w:val="00282445"/>
    <w:rsid w:val="002829F6"/>
    <w:rsid w:val="00282E18"/>
    <w:rsid w:val="00283271"/>
    <w:rsid w:val="00283286"/>
    <w:rsid w:val="002839F9"/>
    <w:rsid w:val="00284D13"/>
    <w:rsid w:val="002851B7"/>
    <w:rsid w:val="002858B4"/>
    <w:rsid w:val="002858F6"/>
    <w:rsid w:val="002866C6"/>
    <w:rsid w:val="00286AB9"/>
    <w:rsid w:val="00286C91"/>
    <w:rsid w:val="002870EF"/>
    <w:rsid w:val="002877F7"/>
    <w:rsid w:val="002908E2"/>
    <w:rsid w:val="002911D4"/>
    <w:rsid w:val="0029143D"/>
    <w:rsid w:val="00291C24"/>
    <w:rsid w:val="00292BBE"/>
    <w:rsid w:val="00292E5B"/>
    <w:rsid w:val="00292E8F"/>
    <w:rsid w:val="00292F8F"/>
    <w:rsid w:val="002930BB"/>
    <w:rsid w:val="00293D80"/>
    <w:rsid w:val="00294A87"/>
    <w:rsid w:val="00294BB6"/>
    <w:rsid w:val="00294BF2"/>
    <w:rsid w:val="00294F46"/>
    <w:rsid w:val="00295617"/>
    <w:rsid w:val="00295D39"/>
    <w:rsid w:val="00296225"/>
    <w:rsid w:val="0029690B"/>
    <w:rsid w:val="00296AAB"/>
    <w:rsid w:val="00296FE6"/>
    <w:rsid w:val="00297409"/>
    <w:rsid w:val="0029747C"/>
    <w:rsid w:val="0029771C"/>
    <w:rsid w:val="00297A43"/>
    <w:rsid w:val="002A04F8"/>
    <w:rsid w:val="002A06F0"/>
    <w:rsid w:val="002A0BA5"/>
    <w:rsid w:val="002A0DD9"/>
    <w:rsid w:val="002A0E30"/>
    <w:rsid w:val="002A1483"/>
    <w:rsid w:val="002A206E"/>
    <w:rsid w:val="002A226E"/>
    <w:rsid w:val="002A2555"/>
    <w:rsid w:val="002A25B3"/>
    <w:rsid w:val="002A2D70"/>
    <w:rsid w:val="002A32D3"/>
    <w:rsid w:val="002A3435"/>
    <w:rsid w:val="002A3463"/>
    <w:rsid w:val="002A3A5D"/>
    <w:rsid w:val="002A3E46"/>
    <w:rsid w:val="002A3FC5"/>
    <w:rsid w:val="002A3FEC"/>
    <w:rsid w:val="002A41E8"/>
    <w:rsid w:val="002A4C84"/>
    <w:rsid w:val="002A4EDB"/>
    <w:rsid w:val="002A5D37"/>
    <w:rsid w:val="002A5DDB"/>
    <w:rsid w:val="002A5EA6"/>
    <w:rsid w:val="002A6849"/>
    <w:rsid w:val="002A725B"/>
    <w:rsid w:val="002A73FC"/>
    <w:rsid w:val="002A7D0F"/>
    <w:rsid w:val="002A7E62"/>
    <w:rsid w:val="002B0DDA"/>
    <w:rsid w:val="002B15BC"/>
    <w:rsid w:val="002B2021"/>
    <w:rsid w:val="002B221B"/>
    <w:rsid w:val="002B26BF"/>
    <w:rsid w:val="002B2A90"/>
    <w:rsid w:val="002B33C3"/>
    <w:rsid w:val="002B36F1"/>
    <w:rsid w:val="002B3CAF"/>
    <w:rsid w:val="002B4673"/>
    <w:rsid w:val="002B467D"/>
    <w:rsid w:val="002B539D"/>
    <w:rsid w:val="002B5B5A"/>
    <w:rsid w:val="002B69B5"/>
    <w:rsid w:val="002B7058"/>
    <w:rsid w:val="002B713C"/>
    <w:rsid w:val="002B777A"/>
    <w:rsid w:val="002B7854"/>
    <w:rsid w:val="002B7BA4"/>
    <w:rsid w:val="002C0143"/>
    <w:rsid w:val="002C0310"/>
    <w:rsid w:val="002C09EA"/>
    <w:rsid w:val="002C1468"/>
    <w:rsid w:val="002C1526"/>
    <w:rsid w:val="002C2326"/>
    <w:rsid w:val="002C3139"/>
    <w:rsid w:val="002C3B5B"/>
    <w:rsid w:val="002C43DE"/>
    <w:rsid w:val="002C4563"/>
    <w:rsid w:val="002C46B0"/>
    <w:rsid w:val="002C46CF"/>
    <w:rsid w:val="002C5528"/>
    <w:rsid w:val="002C5ACA"/>
    <w:rsid w:val="002C603E"/>
    <w:rsid w:val="002C61AA"/>
    <w:rsid w:val="002C684C"/>
    <w:rsid w:val="002C6E62"/>
    <w:rsid w:val="002C70AF"/>
    <w:rsid w:val="002C7D52"/>
    <w:rsid w:val="002D04B9"/>
    <w:rsid w:val="002D0E35"/>
    <w:rsid w:val="002D1343"/>
    <w:rsid w:val="002D1857"/>
    <w:rsid w:val="002D1CB1"/>
    <w:rsid w:val="002D1FFB"/>
    <w:rsid w:val="002D22C9"/>
    <w:rsid w:val="002D2D24"/>
    <w:rsid w:val="002D3B83"/>
    <w:rsid w:val="002D41CE"/>
    <w:rsid w:val="002D4360"/>
    <w:rsid w:val="002D4A22"/>
    <w:rsid w:val="002D4B62"/>
    <w:rsid w:val="002D4B68"/>
    <w:rsid w:val="002D4E72"/>
    <w:rsid w:val="002D51A8"/>
    <w:rsid w:val="002D538A"/>
    <w:rsid w:val="002D589E"/>
    <w:rsid w:val="002D673D"/>
    <w:rsid w:val="002D6FDC"/>
    <w:rsid w:val="002E1CC9"/>
    <w:rsid w:val="002E32B9"/>
    <w:rsid w:val="002E4C66"/>
    <w:rsid w:val="002E5B42"/>
    <w:rsid w:val="002E5E17"/>
    <w:rsid w:val="002E6360"/>
    <w:rsid w:val="002E7E7F"/>
    <w:rsid w:val="002F1063"/>
    <w:rsid w:val="002F1224"/>
    <w:rsid w:val="002F1597"/>
    <w:rsid w:val="002F1B23"/>
    <w:rsid w:val="002F1C99"/>
    <w:rsid w:val="002F1CFA"/>
    <w:rsid w:val="002F22CC"/>
    <w:rsid w:val="002F247C"/>
    <w:rsid w:val="002F30FA"/>
    <w:rsid w:val="002F33CF"/>
    <w:rsid w:val="002F362A"/>
    <w:rsid w:val="002F3B18"/>
    <w:rsid w:val="002F4052"/>
    <w:rsid w:val="002F45E8"/>
    <w:rsid w:val="002F4A64"/>
    <w:rsid w:val="002F5136"/>
    <w:rsid w:val="002F522C"/>
    <w:rsid w:val="002F573E"/>
    <w:rsid w:val="002F5F6D"/>
    <w:rsid w:val="002F603A"/>
    <w:rsid w:val="002F6851"/>
    <w:rsid w:val="003011EE"/>
    <w:rsid w:val="003013F5"/>
    <w:rsid w:val="003017FF"/>
    <w:rsid w:val="00301805"/>
    <w:rsid w:val="00302F3A"/>
    <w:rsid w:val="00303C8C"/>
    <w:rsid w:val="0030450E"/>
    <w:rsid w:val="0030461B"/>
    <w:rsid w:val="00304CF0"/>
    <w:rsid w:val="003050CE"/>
    <w:rsid w:val="00305523"/>
    <w:rsid w:val="003056D0"/>
    <w:rsid w:val="003068DA"/>
    <w:rsid w:val="003071A2"/>
    <w:rsid w:val="00307739"/>
    <w:rsid w:val="00307872"/>
    <w:rsid w:val="003109BE"/>
    <w:rsid w:val="00310C4B"/>
    <w:rsid w:val="00311E93"/>
    <w:rsid w:val="003126F7"/>
    <w:rsid w:val="00312B43"/>
    <w:rsid w:val="00312C19"/>
    <w:rsid w:val="003136F0"/>
    <w:rsid w:val="0031374D"/>
    <w:rsid w:val="00315712"/>
    <w:rsid w:val="00316024"/>
    <w:rsid w:val="003166DF"/>
    <w:rsid w:val="0031670C"/>
    <w:rsid w:val="003171DE"/>
    <w:rsid w:val="0031789D"/>
    <w:rsid w:val="00320522"/>
    <w:rsid w:val="00320924"/>
    <w:rsid w:val="003209FC"/>
    <w:rsid w:val="00320CCB"/>
    <w:rsid w:val="00320CD6"/>
    <w:rsid w:val="00321006"/>
    <w:rsid w:val="00321388"/>
    <w:rsid w:val="00321D72"/>
    <w:rsid w:val="00321D91"/>
    <w:rsid w:val="003223C9"/>
    <w:rsid w:val="0032259F"/>
    <w:rsid w:val="00322BFB"/>
    <w:rsid w:val="00322C10"/>
    <w:rsid w:val="00323481"/>
    <w:rsid w:val="00323BAF"/>
    <w:rsid w:val="00323D79"/>
    <w:rsid w:val="00324DAE"/>
    <w:rsid w:val="00324F67"/>
    <w:rsid w:val="003250EF"/>
    <w:rsid w:val="00325547"/>
    <w:rsid w:val="00325B8B"/>
    <w:rsid w:val="00326173"/>
    <w:rsid w:val="0032617E"/>
    <w:rsid w:val="00326DBB"/>
    <w:rsid w:val="00327A45"/>
    <w:rsid w:val="00327DBA"/>
    <w:rsid w:val="00327E62"/>
    <w:rsid w:val="003301DB"/>
    <w:rsid w:val="0033083B"/>
    <w:rsid w:val="003308F4"/>
    <w:rsid w:val="00330D93"/>
    <w:rsid w:val="00330E3D"/>
    <w:rsid w:val="0033193E"/>
    <w:rsid w:val="003325A5"/>
    <w:rsid w:val="003328D3"/>
    <w:rsid w:val="00332B14"/>
    <w:rsid w:val="00333CE6"/>
    <w:rsid w:val="00334307"/>
    <w:rsid w:val="0033487F"/>
    <w:rsid w:val="003349AF"/>
    <w:rsid w:val="003351DB"/>
    <w:rsid w:val="0033527F"/>
    <w:rsid w:val="00335A8E"/>
    <w:rsid w:val="00335F41"/>
    <w:rsid w:val="0033615E"/>
    <w:rsid w:val="00336911"/>
    <w:rsid w:val="00336DE4"/>
    <w:rsid w:val="00336F94"/>
    <w:rsid w:val="00337DA9"/>
    <w:rsid w:val="00340607"/>
    <w:rsid w:val="003408AD"/>
    <w:rsid w:val="00340FFA"/>
    <w:rsid w:val="00341364"/>
    <w:rsid w:val="00341D58"/>
    <w:rsid w:val="00341D98"/>
    <w:rsid w:val="00343099"/>
    <w:rsid w:val="0034323D"/>
    <w:rsid w:val="00343AD6"/>
    <w:rsid w:val="003441DB"/>
    <w:rsid w:val="00344633"/>
    <w:rsid w:val="003446DA"/>
    <w:rsid w:val="0034499D"/>
    <w:rsid w:val="00344C1E"/>
    <w:rsid w:val="0034500B"/>
    <w:rsid w:val="00345129"/>
    <w:rsid w:val="003455F3"/>
    <w:rsid w:val="00345C2F"/>
    <w:rsid w:val="00346691"/>
    <w:rsid w:val="00346858"/>
    <w:rsid w:val="00346F04"/>
    <w:rsid w:val="00346F46"/>
    <w:rsid w:val="00346F66"/>
    <w:rsid w:val="00347904"/>
    <w:rsid w:val="00350528"/>
    <w:rsid w:val="00350EEC"/>
    <w:rsid w:val="00351C08"/>
    <w:rsid w:val="00351FDE"/>
    <w:rsid w:val="0035216D"/>
    <w:rsid w:val="003524DB"/>
    <w:rsid w:val="00352996"/>
    <w:rsid w:val="00353847"/>
    <w:rsid w:val="00353D5D"/>
    <w:rsid w:val="00353F54"/>
    <w:rsid w:val="0035451C"/>
    <w:rsid w:val="00354C19"/>
    <w:rsid w:val="00355136"/>
    <w:rsid w:val="003557B1"/>
    <w:rsid w:val="00356F93"/>
    <w:rsid w:val="00357118"/>
    <w:rsid w:val="0035715F"/>
    <w:rsid w:val="003576BC"/>
    <w:rsid w:val="00360899"/>
    <w:rsid w:val="00361D51"/>
    <w:rsid w:val="00362048"/>
    <w:rsid w:val="003622F6"/>
    <w:rsid w:val="00362829"/>
    <w:rsid w:val="00362CB3"/>
    <w:rsid w:val="003637F9"/>
    <w:rsid w:val="003640A9"/>
    <w:rsid w:val="00365845"/>
    <w:rsid w:val="00366333"/>
    <w:rsid w:val="0036692C"/>
    <w:rsid w:val="00366C50"/>
    <w:rsid w:val="00367493"/>
    <w:rsid w:val="003702C7"/>
    <w:rsid w:val="003706EF"/>
    <w:rsid w:val="00372F80"/>
    <w:rsid w:val="00373422"/>
    <w:rsid w:val="0037348F"/>
    <w:rsid w:val="0037420C"/>
    <w:rsid w:val="003770D0"/>
    <w:rsid w:val="00377290"/>
    <w:rsid w:val="00377E63"/>
    <w:rsid w:val="00381713"/>
    <w:rsid w:val="003830CE"/>
    <w:rsid w:val="00383364"/>
    <w:rsid w:val="00383E4D"/>
    <w:rsid w:val="0038470E"/>
    <w:rsid w:val="00384977"/>
    <w:rsid w:val="00384D36"/>
    <w:rsid w:val="00384E1B"/>
    <w:rsid w:val="0038501F"/>
    <w:rsid w:val="00385152"/>
    <w:rsid w:val="00385BFD"/>
    <w:rsid w:val="00385C46"/>
    <w:rsid w:val="00386408"/>
    <w:rsid w:val="0038689F"/>
    <w:rsid w:val="003872C0"/>
    <w:rsid w:val="003876FB"/>
    <w:rsid w:val="0038782D"/>
    <w:rsid w:val="00387FD1"/>
    <w:rsid w:val="003905E3"/>
    <w:rsid w:val="0039068B"/>
    <w:rsid w:val="0039128F"/>
    <w:rsid w:val="0039189F"/>
    <w:rsid w:val="00393180"/>
    <w:rsid w:val="00393541"/>
    <w:rsid w:val="00394129"/>
    <w:rsid w:val="0039440B"/>
    <w:rsid w:val="003944DD"/>
    <w:rsid w:val="00394FCD"/>
    <w:rsid w:val="003961F7"/>
    <w:rsid w:val="003965A7"/>
    <w:rsid w:val="00396818"/>
    <w:rsid w:val="00397325"/>
    <w:rsid w:val="0039747A"/>
    <w:rsid w:val="00397E3F"/>
    <w:rsid w:val="003A00AB"/>
    <w:rsid w:val="003A0E28"/>
    <w:rsid w:val="003A1233"/>
    <w:rsid w:val="003A16AF"/>
    <w:rsid w:val="003A1BFF"/>
    <w:rsid w:val="003A28BC"/>
    <w:rsid w:val="003A30D5"/>
    <w:rsid w:val="003A3A0A"/>
    <w:rsid w:val="003A49EE"/>
    <w:rsid w:val="003A4ECA"/>
    <w:rsid w:val="003A630A"/>
    <w:rsid w:val="003A66CF"/>
    <w:rsid w:val="003A6843"/>
    <w:rsid w:val="003A69F0"/>
    <w:rsid w:val="003A6E35"/>
    <w:rsid w:val="003A7207"/>
    <w:rsid w:val="003B0035"/>
    <w:rsid w:val="003B0796"/>
    <w:rsid w:val="003B0BD1"/>
    <w:rsid w:val="003B1083"/>
    <w:rsid w:val="003B10DB"/>
    <w:rsid w:val="003B1886"/>
    <w:rsid w:val="003B191F"/>
    <w:rsid w:val="003B20BA"/>
    <w:rsid w:val="003B2286"/>
    <w:rsid w:val="003B2B03"/>
    <w:rsid w:val="003B2B7A"/>
    <w:rsid w:val="003B38F3"/>
    <w:rsid w:val="003B3B06"/>
    <w:rsid w:val="003B43C5"/>
    <w:rsid w:val="003B4F50"/>
    <w:rsid w:val="003B5185"/>
    <w:rsid w:val="003B535B"/>
    <w:rsid w:val="003B5379"/>
    <w:rsid w:val="003B53C3"/>
    <w:rsid w:val="003B53ED"/>
    <w:rsid w:val="003B53F2"/>
    <w:rsid w:val="003B5E66"/>
    <w:rsid w:val="003B6667"/>
    <w:rsid w:val="003B6751"/>
    <w:rsid w:val="003B7003"/>
    <w:rsid w:val="003B7655"/>
    <w:rsid w:val="003C18D9"/>
    <w:rsid w:val="003C1C14"/>
    <w:rsid w:val="003C2006"/>
    <w:rsid w:val="003C2D8E"/>
    <w:rsid w:val="003C36E4"/>
    <w:rsid w:val="003C3C20"/>
    <w:rsid w:val="003C414A"/>
    <w:rsid w:val="003C4668"/>
    <w:rsid w:val="003C4A99"/>
    <w:rsid w:val="003C4CAC"/>
    <w:rsid w:val="003C4DF2"/>
    <w:rsid w:val="003C54D8"/>
    <w:rsid w:val="003C610F"/>
    <w:rsid w:val="003C649D"/>
    <w:rsid w:val="003C6A78"/>
    <w:rsid w:val="003C75B5"/>
    <w:rsid w:val="003C75FA"/>
    <w:rsid w:val="003D07D6"/>
    <w:rsid w:val="003D1314"/>
    <w:rsid w:val="003D1BDB"/>
    <w:rsid w:val="003D1EF5"/>
    <w:rsid w:val="003D2EAF"/>
    <w:rsid w:val="003D34FE"/>
    <w:rsid w:val="003D4333"/>
    <w:rsid w:val="003D4838"/>
    <w:rsid w:val="003D4BCA"/>
    <w:rsid w:val="003D54BA"/>
    <w:rsid w:val="003D6326"/>
    <w:rsid w:val="003D689F"/>
    <w:rsid w:val="003D6D13"/>
    <w:rsid w:val="003D77B4"/>
    <w:rsid w:val="003E0D29"/>
    <w:rsid w:val="003E104D"/>
    <w:rsid w:val="003E15D7"/>
    <w:rsid w:val="003E1800"/>
    <w:rsid w:val="003E240E"/>
    <w:rsid w:val="003E2972"/>
    <w:rsid w:val="003E3242"/>
    <w:rsid w:val="003E3632"/>
    <w:rsid w:val="003E3D6C"/>
    <w:rsid w:val="003E42BD"/>
    <w:rsid w:val="003E460F"/>
    <w:rsid w:val="003E48D2"/>
    <w:rsid w:val="003E5FB8"/>
    <w:rsid w:val="003E6516"/>
    <w:rsid w:val="003E68CA"/>
    <w:rsid w:val="003E7146"/>
    <w:rsid w:val="003E7764"/>
    <w:rsid w:val="003E7CD9"/>
    <w:rsid w:val="003F0034"/>
    <w:rsid w:val="003F0B84"/>
    <w:rsid w:val="003F17B9"/>
    <w:rsid w:val="003F254D"/>
    <w:rsid w:val="003F2764"/>
    <w:rsid w:val="003F2E1B"/>
    <w:rsid w:val="003F4036"/>
    <w:rsid w:val="003F4848"/>
    <w:rsid w:val="003F49C6"/>
    <w:rsid w:val="003F49EE"/>
    <w:rsid w:val="003F5304"/>
    <w:rsid w:val="003F6230"/>
    <w:rsid w:val="003F66BC"/>
    <w:rsid w:val="003F67FF"/>
    <w:rsid w:val="003F7114"/>
    <w:rsid w:val="003F739B"/>
    <w:rsid w:val="003F7A3F"/>
    <w:rsid w:val="003F7FA4"/>
    <w:rsid w:val="0040096E"/>
    <w:rsid w:val="00400C99"/>
    <w:rsid w:val="00400CD1"/>
    <w:rsid w:val="00400D65"/>
    <w:rsid w:val="00401068"/>
    <w:rsid w:val="00401852"/>
    <w:rsid w:val="00402570"/>
    <w:rsid w:val="00402FC5"/>
    <w:rsid w:val="004031EC"/>
    <w:rsid w:val="004050FB"/>
    <w:rsid w:val="004054E7"/>
    <w:rsid w:val="00407178"/>
    <w:rsid w:val="004076B6"/>
    <w:rsid w:val="004108FE"/>
    <w:rsid w:val="00410ECC"/>
    <w:rsid w:val="00411D20"/>
    <w:rsid w:val="0041208A"/>
    <w:rsid w:val="00412320"/>
    <w:rsid w:val="00412F80"/>
    <w:rsid w:val="00413947"/>
    <w:rsid w:val="00413CA1"/>
    <w:rsid w:val="00413DBA"/>
    <w:rsid w:val="004154FB"/>
    <w:rsid w:val="00415BC7"/>
    <w:rsid w:val="00417305"/>
    <w:rsid w:val="0041789F"/>
    <w:rsid w:val="004201F4"/>
    <w:rsid w:val="004202FD"/>
    <w:rsid w:val="004204A4"/>
    <w:rsid w:val="00420928"/>
    <w:rsid w:val="00420A56"/>
    <w:rsid w:val="00421393"/>
    <w:rsid w:val="00422B86"/>
    <w:rsid w:val="00423015"/>
    <w:rsid w:val="00423035"/>
    <w:rsid w:val="00423D10"/>
    <w:rsid w:val="00423FA4"/>
    <w:rsid w:val="00425E2A"/>
    <w:rsid w:val="00426826"/>
    <w:rsid w:val="00426BED"/>
    <w:rsid w:val="00427018"/>
    <w:rsid w:val="004301A0"/>
    <w:rsid w:val="004303CD"/>
    <w:rsid w:val="0043145B"/>
    <w:rsid w:val="0043193A"/>
    <w:rsid w:val="00432190"/>
    <w:rsid w:val="004323D1"/>
    <w:rsid w:val="004331D6"/>
    <w:rsid w:val="00433FEA"/>
    <w:rsid w:val="004340DA"/>
    <w:rsid w:val="00434B3E"/>
    <w:rsid w:val="00435A21"/>
    <w:rsid w:val="00436EBC"/>
    <w:rsid w:val="0043724D"/>
    <w:rsid w:val="00437A6A"/>
    <w:rsid w:val="00440C9B"/>
    <w:rsid w:val="00440D07"/>
    <w:rsid w:val="00442A1D"/>
    <w:rsid w:val="00442B65"/>
    <w:rsid w:val="0044340A"/>
    <w:rsid w:val="00443C44"/>
    <w:rsid w:val="00444091"/>
    <w:rsid w:val="00444D87"/>
    <w:rsid w:val="0044514A"/>
    <w:rsid w:val="00445882"/>
    <w:rsid w:val="00445889"/>
    <w:rsid w:val="00445A52"/>
    <w:rsid w:val="00446578"/>
    <w:rsid w:val="00446AE4"/>
    <w:rsid w:val="00446EA4"/>
    <w:rsid w:val="00447042"/>
    <w:rsid w:val="004470B2"/>
    <w:rsid w:val="004474C7"/>
    <w:rsid w:val="004474CB"/>
    <w:rsid w:val="0044766F"/>
    <w:rsid w:val="00447955"/>
    <w:rsid w:val="004479AC"/>
    <w:rsid w:val="004500E5"/>
    <w:rsid w:val="004515B0"/>
    <w:rsid w:val="00451CA4"/>
    <w:rsid w:val="00452B06"/>
    <w:rsid w:val="00452DC7"/>
    <w:rsid w:val="0045318B"/>
    <w:rsid w:val="0045361D"/>
    <w:rsid w:val="004537AC"/>
    <w:rsid w:val="00453E72"/>
    <w:rsid w:val="00454531"/>
    <w:rsid w:val="004548A0"/>
    <w:rsid w:val="00454D40"/>
    <w:rsid w:val="004554C3"/>
    <w:rsid w:val="00455ABC"/>
    <w:rsid w:val="00456B20"/>
    <w:rsid w:val="00457D37"/>
    <w:rsid w:val="0046086E"/>
    <w:rsid w:val="004610BF"/>
    <w:rsid w:val="0046199E"/>
    <w:rsid w:val="00461BE0"/>
    <w:rsid w:val="004623B5"/>
    <w:rsid w:val="004639DE"/>
    <w:rsid w:val="004641FC"/>
    <w:rsid w:val="004646C0"/>
    <w:rsid w:val="00464880"/>
    <w:rsid w:val="00465D15"/>
    <w:rsid w:val="00465FB6"/>
    <w:rsid w:val="004673DD"/>
    <w:rsid w:val="00467821"/>
    <w:rsid w:val="00470224"/>
    <w:rsid w:val="00470ADC"/>
    <w:rsid w:val="0047153D"/>
    <w:rsid w:val="004716E4"/>
    <w:rsid w:val="004719E3"/>
    <w:rsid w:val="00471A28"/>
    <w:rsid w:val="004726D6"/>
    <w:rsid w:val="004727CA"/>
    <w:rsid w:val="00472CF0"/>
    <w:rsid w:val="00472DEA"/>
    <w:rsid w:val="004736B9"/>
    <w:rsid w:val="004737C6"/>
    <w:rsid w:val="0047422A"/>
    <w:rsid w:val="00474A86"/>
    <w:rsid w:val="00475C11"/>
    <w:rsid w:val="00475DC1"/>
    <w:rsid w:val="0047611B"/>
    <w:rsid w:val="00476454"/>
    <w:rsid w:val="0047688A"/>
    <w:rsid w:val="00476A1F"/>
    <w:rsid w:val="00476E99"/>
    <w:rsid w:val="00477790"/>
    <w:rsid w:val="00477B7A"/>
    <w:rsid w:val="0048187C"/>
    <w:rsid w:val="004827B4"/>
    <w:rsid w:val="0048394D"/>
    <w:rsid w:val="00483EE4"/>
    <w:rsid w:val="00484376"/>
    <w:rsid w:val="00485560"/>
    <w:rsid w:val="00485B37"/>
    <w:rsid w:val="004863C5"/>
    <w:rsid w:val="0048673D"/>
    <w:rsid w:val="00486759"/>
    <w:rsid w:val="004908B0"/>
    <w:rsid w:val="004908B1"/>
    <w:rsid w:val="0049098B"/>
    <w:rsid w:val="004910AC"/>
    <w:rsid w:val="0049186F"/>
    <w:rsid w:val="004918D1"/>
    <w:rsid w:val="00491B6E"/>
    <w:rsid w:val="00491CBC"/>
    <w:rsid w:val="00491D79"/>
    <w:rsid w:val="004924F1"/>
    <w:rsid w:val="00493BF6"/>
    <w:rsid w:val="00495089"/>
    <w:rsid w:val="004951E6"/>
    <w:rsid w:val="0049568E"/>
    <w:rsid w:val="00495707"/>
    <w:rsid w:val="00495FA5"/>
    <w:rsid w:val="0049642D"/>
    <w:rsid w:val="00496661"/>
    <w:rsid w:val="00496AB7"/>
    <w:rsid w:val="004975D8"/>
    <w:rsid w:val="004A11A4"/>
    <w:rsid w:val="004A1316"/>
    <w:rsid w:val="004A204A"/>
    <w:rsid w:val="004A2317"/>
    <w:rsid w:val="004A29F7"/>
    <w:rsid w:val="004A2C22"/>
    <w:rsid w:val="004A382B"/>
    <w:rsid w:val="004A3B22"/>
    <w:rsid w:val="004A45D8"/>
    <w:rsid w:val="004A519B"/>
    <w:rsid w:val="004A534E"/>
    <w:rsid w:val="004A55CD"/>
    <w:rsid w:val="004A5612"/>
    <w:rsid w:val="004A5648"/>
    <w:rsid w:val="004A5E35"/>
    <w:rsid w:val="004A646B"/>
    <w:rsid w:val="004A665F"/>
    <w:rsid w:val="004A696B"/>
    <w:rsid w:val="004A7AF3"/>
    <w:rsid w:val="004B0983"/>
    <w:rsid w:val="004B10A4"/>
    <w:rsid w:val="004B1189"/>
    <w:rsid w:val="004B1520"/>
    <w:rsid w:val="004B1B48"/>
    <w:rsid w:val="004B1DB1"/>
    <w:rsid w:val="004B1E61"/>
    <w:rsid w:val="004B242F"/>
    <w:rsid w:val="004B28B9"/>
    <w:rsid w:val="004B29AC"/>
    <w:rsid w:val="004B2D1A"/>
    <w:rsid w:val="004B32EB"/>
    <w:rsid w:val="004B3C7E"/>
    <w:rsid w:val="004B4318"/>
    <w:rsid w:val="004B4E33"/>
    <w:rsid w:val="004B5255"/>
    <w:rsid w:val="004B57B1"/>
    <w:rsid w:val="004B7705"/>
    <w:rsid w:val="004C0012"/>
    <w:rsid w:val="004C0933"/>
    <w:rsid w:val="004C1315"/>
    <w:rsid w:val="004C1569"/>
    <w:rsid w:val="004C15B3"/>
    <w:rsid w:val="004C164D"/>
    <w:rsid w:val="004C2086"/>
    <w:rsid w:val="004C233C"/>
    <w:rsid w:val="004C2C53"/>
    <w:rsid w:val="004C2D12"/>
    <w:rsid w:val="004C2DD8"/>
    <w:rsid w:val="004C34F2"/>
    <w:rsid w:val="004C3EE2"/>
    <w:rsid w:val="004C416A"/>
    <w:rsid w:val="004C4259"/>
    <w:rsid w:val="004C454C"/>
    <w:rsid w:val="004C486C"/>
    <w:rsid w:val="004C4F22"/>
    <w:rsid w:val="004C5140"/>
    <w:rsid w:val="004C5CA6"/>
    <w:rsid w:val="004C6ECD"/>
    <w:rsid w:val="004C7038"/>
    <w:rsid w:val="004C7F20"/>
    <w:rsid w:val="004D0B6B"/>
    <w:rsid w:val="004D0CAE"/>
    <w:rsid w:val="004D10D3"/>
    <w:rsid w:val="004D27DA"/>
    <w:rsid w:val="004D2F78"/>
    <w:rsid w:val="004D3494"/>
    <w:rsid w:val="004D5CBC"/>
    <w:rsid w:val="004D5E14"/>
    <w:rsid w:val="004D60D0"/>
    <w:rsid w:val="004D6967"/>
    <w:rsid w:val="004D7AB9"/>
    <w:rsid w:val="004D7CA8"/>
    <w:rsid w:val="004E065E"/>
    <w:rsid w:val="004E0F68"/>
    <w:rsid w:val="004E1598"/>
    <w:rsid w:val="004E1EE8"/>
    <w:rsid w:val="004E367F"/>
    <w:rsid w:val="004E3C31"/>
    <w:rsid w:val="004E3EB0"/>
    <w:rsid w:val="004E495F"/>
    <w:rsid w:val="004E5C6F"/>
    <w:rsid w:val="004F080C"/>
    <w:rsid w:val="004F09B1"/>
    <w:rsid w:val="004F0AC3"/>
    <w:rsid w:val="004F0EEA"/>
    <w:rsid w:val="004F1AFB"/>
    <w:rsid w:val="004F1EB9"/>
    <w:rsid w:val="004F2451"/>
    <w:rsid w:val="004F31F9"/>
    <w:rsid w:val="004F3650"/>
    <w:rsid w:val="004F39D7"/>
    <w:rsid w:val="004F4666"/>
    <w:rsid w:val="004F49E8"/>
    <w:rsid w:val="004F4F69"/>
    <w:rsid w:val="004F617F"/>
    <w:rsid w:val="004F6565"/>
    <w:rsid w:val="004F67E8"/>
    <w:rsid w:val="004F6828"/>
    <w:rsid w:val="004F6F10"/>
    <w:rsid w:val="004F73B4"/>
    <w:rsid w:val="004F7769"/>
    <w:rsid w:val="00500A65"/>
    <w:rsid w:val="0050127B"/>
    <w:rsid w:val="005014EB"/>
    <w:rsid w:val="005015A0"/>
    <w:rsid w:val="005016CC"/>
    <w:rsid w:val="00501BA9"/>
    <w:rsid w:val="00501BB8"/>
    <w:rsid w:val="00503807"/>
    <w:rsid w:val="005050E6"/>
    <w:rsid w:val="00505138"/>
    <w:rsid w:val="00506291"/>
    <w:rsid w:val="005063A3"/>
    <w:rsid w:val="005072A4"/>
    <w:rsid w:val="005075B6"/>
    <w:rsid w:val="005079E4"/>
    <w:rsid w:val="00510E19"/>
    <w:rsid w:val="00510E8B"/>
    <w:rsid w:val="00511026"/>
    <w:rsid w:val="0051118B"/>
    <w:rsid w:val="00511250"/>
    <w:rsid w:val="005116FA"/>
    <w:rsid w:val="00511931"/>
    <w:rsid w:val="00512AC5"/>
    <w:rsid w:val="005130BA"/>
    <w:rsid w:val="00513B9E"/>
    <w:rsid w:val="00513C73"/>
    <w:rsid w:val="00513F77"/>
    <w:rsid w:val="00514276"/>
    <w:rsid w:val="00514779"/>
    <w:rsid w:val="00514A86"/>
    <w:rsid w:val="00514CAB"/>
    <w:rsid w:val="00514E38"/>
    <w:rsid w:val="0051575C"/>
    <w:rsid w:val="00515855"/>
    <w:rsid w:val="00515B0C"/>
    <w:rsid w:val="0051692B"/>
    <w:rsid w:val="005176BF"/>
    <w:rsid w:val="005205D5"/>
    <w:rsid w:val="00520BA1"/>
    <w:rsid w:val="00521491"/>
    <w:rsid w:val="00521651"/>
    <w:rsid w:val="00521BA0"/>
    <w:rsid w:val="00521D52"/>
    <w:rsid w:val="00521E1E"/>
    <w:rsid w:val="00522344"/>
    <w:rsid w:val="00522598"/>
    <w:rsid w:val="00522994"/>
    <w:rsid w:val="00523587"/>
    <w:rsid w:val="00523D53"/>
    <w:rsid w:val="00524278"/>
    <w:rsid w:val="00524740"/>
    <w:rsid w:val="0052495E"/>
    <w:rsid w:val="00524A9E"/>
    <w:rsid w:val="00524FD6"/>
    <w:rsid w:val="005254B5"/>
    <w:rsid w:val="005261DB"/>
    <w:rsid w:val="00526367"/>
    <w:rsid w:val="00527287"/>
    <w:rsid w:val="005272D0"/>
    <w:rsid w:val="0052741C"/>
    <w:rsid w:val="005277D2"/>
    <w:rsid w:val="00527885"/>
    <w:rsid w:val="005279D3"/>
    <w:rsid w:val="00527D28"/>
    <w:rsid w:val="00530112"/>
    <w:rsid w:val="00530E21"/>
    <w:rsid w:val="005315D1"/>
    <w:rsid w:val="00531BA6"/>
    <w:rsid w:val="00531C12"/>
    <w:rsid w:val="00531F46"/>
    <w:rsid w:val="00531F7C"/>
    <w:rsid w:val="005323B4"/>
    <w:rsid w:val="005328C0"/>
    <w:rsid w:val="00532CDF"/>
    <w:rsid w:val="00532DE1"/>
    <w:rsid w:val="005331A5"/>
    <w:rsid w:val="0053398C"/>
    <w:rsid w:val="00534CDA"/>
    <w:rsid w:val="00534DC7"/>
    <w:rsid w:val="00536063"/>
    <w:rsid w:val="0053749E"/>
    <w:rsid w:val="0053760F"/>
    <w:rsid w:val="005377E1"/>
    <w:rsid w:val="00537A2F"/>
    <w:rsid w:val="00537B7D"/>
    <w:rsid w:val="00537C47"/>
    <w:rsid w:val="00540190"/>
    <w:rsid w:val="0054043C"/>
    <w:rsid w:val="00540923"/>
    <w:rsid w:val="00540BA1"/>
    <w:rsid w:val="0054193F"/>
    <w:rsid w:val="00541C4C"/>
    <w:rsid w:val="0054292F"/>
    <w:rsid w:val="00542967"/>
    <w:rsid w:val="00543623"/>
    <w:rsid w:val="00543757"/>
    <w:rsid w:val="00543872"/>
    <w:rsid w:val="00544707"/>
    <w:rsid w:val="00544C7D"/>
    <w:rsid w:val="00544C8A"/>
    <w:rsid w:val="0054528E"/>
    <w:rsid w:val="00546291"/>
    <w:rsid w:val="00546F35"/>
    <w:rsid w:val="0054760F"/>
    <w:rsid w:val="00547D07"/>
    <w:rsid w:val="00547F51"/>
    <w:rsid w:val="00550229"/>
    <w:rsid w:val="00550945"/>
    <w:rsid w:val="005527AB"/>
    <w:rsid w:val="00552990"/>
    <w:rsid w:val="00552A28"/>
    <w:rsid w:val="00552B4A"/>
    <w:rsid w:val="00552D4C"/>
    <w:rsid w:val="00553EB0"/>
    <w:rsid w:val="005541D1"/>
    <w:rsid w:val="005544A1"/>
    <w:rsid w:val="005545F9"/>
    <w:rsid w:val="00554ED3"/>
    <w:rsid w:val="00555081"/>
    <w:rsid w:val="00555992"/>
    <w:rsid w:val="00555C29"/>
    <w:rsid w:val="00555D0A"/>
    <w:rsid w:val="00556BDA"/>
    <w:rsid w:val="00557EA2"/>
    <w:rsid w:val="00557FB7"/>
    <w:rsid w:val="00561D7C"/>
    <w:rsid w:val="00562417"/>
    <w:rsid w:val="00562854"/>
    <w:rsid w:val="00562ECA"/>
    <w:rsid w:val="0056333F"/>
    <w:rsid w:val="00563DD7"/>
    <w:rsid w:val="005647DC"/>
    <w:rsid w:val="005656B8"/>
    <w:rsid w:val="00565B76"/>
    <w:rsid w:val="005662B8"/>
    <w:rsid w:val="00566382"/>
    <w:rsid w:val="00567B27"/>
    <w:rsid w:val="0057004B"/>
    <w:rsid w:val="005703EE"/>
    <w:rsid w:val="005707E0"/>
    <w:rsid w:val="00570E42"/>
    <w:rsid w:val="00570E68"/>
    <w:rsid w:val="00570EEB"/>
    <w:rsid w:val="00571808"/>
    <w:rsid w:val="00571813"/>
    <w:rsid w:val="00571E6F"/>
    <w:rsid w:val="0057238D"/>
    <w:rsid w:val="00572956"/>
    <w:rsid w:val="00572B56"/>
    <w:rsid w:val="00572E92"/>
    <w:rsid w:val="00573459"/>
    <w:rsid w:val="005737B4"/>
    <w:rsid w:val="00573C4D"/>
    <w:rsid w:val="00573D37"/>
    <w:rsid w:val="00574CDC"/>
    <w:rsid w:val="00575C76"/>
    <w:rsid w:val="00576F7F"/>
    <w:rsid w:val="005777F0"/>
    <w:rsid w:val="00577BD8"/>
    <w:rsid w:val="0058020D"/>
    <w:rsid w:val="0058049B"/>
    <w:rsid w:val="00580A5E"/>
    <w:rsid w:val="00580AA2"/>
    <w:rsid w:val="00580CAF"/>
    <w:rsid w:val="00581B8D"/>
    <w:rsid w:val="00581F59"/>
    <w:rsid w:val="005824E9"/>
    <w:rsid w:val="00582832"/>
    <w:rsid w:val="005830C5"/>
    <w:rsid w:val="0058384C"/>
    <w:rsid w:val="00583B1B"/>
    <w:rsid w:val="00583DE3"/>
    <w:rsid w:val="005840C2"/>
    <w:rsid w:val="005845E7"/>
    <w:rsid w:val="00584C06"/>
    <w:rsid w:val="005854C7"/>
    <w:rsid w:val="00585A3D"/>
    <w:rsid w:val="00585CFD"/>
    <w:rsid w:val="005865CE"/>
    <w:rsid w:val="005865D7"/>
    <w:rsid w:val="00590360"/>
    <w:rsid w:val="00590840"/>
    <w:rsid w:val="00590D8E"/>
    <w:rsid w:val="00591549"/>
    <w:rsid w:val="005918A4"/>
    <w:rsid w:val="00591CDB"/>
    <w:rsid w:val="0059206B"/>
    <w:rsid w:val="005923EE"/>
    <w:rsid w:val="005925DF"/>
    <w:rsid w:val="0059274B"/>
    <w:rsid w:val="005934E4"/>
    <w:rsid w:val="00593CEB"/>
    <w:rsid w:val="00594166"/>
    <w:rsid w:val="00594F0A"/>
    <w:rsid w:val="0059580F"/>
    <w:rsid w:val="0059689A"/>
    <w:rsid w:val="00596AA6"/>
    <w:rsid w:val="00597470"/>
    <w:rsid w:val="00597691"/>
    <w:rsid w:val="005A12C0"/>
    <w:rsid w:val="005A1718"/>
    <w:rsid w:val="005A1B36"/>
    <w:rsid w:val="005A1B75"/>
    <w:rsid w:val="005A3564"/>
    <w:rsid w:val="005A4066"/>
    <w:rsid w:val="005A40BD"/>
    <w:rsid w:val="005A4897"/>
    <w:rsid w:val="005A6A73"/>
    <w:rsid w:val="005A7680"/>
    <w:rsid w:val="005A78BC"/>
    <w:rsid w:val="005A7959"/>
    <w:rsid w:val="005A7A73"/>
    <w:rsid w:val="005A7AF2"/>
    <w:rsid w:val="005A7F74"/>
    <w:rsid w:val="005B0831"/>
    <w:rsid w:val="005B107B"/>
    <w:rsid w:val="005B19D9"/>
    <w:rsid w:val="005B231B"/>
    <w:rsid w:val="005B26BB"/>
    <w:rsid w:val="005B2A60"/>
    <w:rsid w:val="005B375B"/>
    <w:rsid w:val="005B3B77"/>
    <w:rsid w:val="005B4CD5"/>
    <w:rsid w:val="005B527D"/>
    <w:rsid w:val="005B55E9"/>
    <w:rsid w:val="005B5A8E"/>
    <w:rsid w:val="005B5D1D"/>
    <w:rsid w:val="005B64FC"/>
    <w:rsid w:val="005B6B1D"/>
    <w:rsid w:val="005B7404"/>
    <w:rsid w:val="005B7AEE"/>
    <w:rsid w:val="005B7C09"/>
    <w:rsid w:val="005B7FDC"/>
    <w:rsid w:val="005C1509"/>
    <w:rsid w:val="005C1B31"/>
    <w:rsid w:val="005C23BA"/>
    <w:rsid w:val="005C3E3C"/>
    <w:rsid w:val="005C47DD"/>
    <w:rsid w:val="005C49BC"/>
    <w:rsid w:val="005C4AE5"/>
    <w:rsid w:val="005C6796"/>
    <w:rsid w:val="005C6995"/>
    <w:rsid w:val="005C6C88"/>
    <w:rsid w:val="005C71D3"/>
    <w:rsid w:val="005C7434"/>
    <w:rsid w:val="005C76A6"/>
    <w:rsid w:val="005C7DA5"/>
    <w:rsid w:val="005D281A"/>
    <w:rsid w:val="005D2875"/>
    <w:rsid w:val="005D2A65"/>
    <w:rsid w:val="005D2AF2"/>
    <w:rsid w:val="005D3E04"/>
    <w:rsid w:val="005D43B5"/>
    <w:rsid w:val="005D55D8"/>
    <w:rsid w:val="005D5E91"/>
    <w:rsid w:val="005D68D5"/>
    <w:rsid w:val="005D70C5"/>
    <w:rsid w:val="005D77C9"/>
    <w:rsid w:val="005D7AFF"/>
    <w:rsid w:val="005E09C8"/>
    <w:rsid w:val="005E12AD"/>
    <w:rsid w:val="005E12F6"/>
    <w:rsid w:val="005E1927"/>
    <w:rsid w:val="005E205F"/>
    <w:rsid w:val="005E2220"/>
    <w:rsid w:val="005E2B64"/>
    <w:rsid w:val="005E2D17"/>
    <w:rsid w:val="005E3260"/>
    <w:rsid w:val="005E32DF"/>
    <w:rsid w:val="005E3411"/>
    <w:rsid w:val="005E3985"/>
    <w:rsid w:val="005E3D01"/>
    <w:rsid w:val="005E4398"/>
    <w:rsid w:val="005E4CB1"/>
    <w:rsid w:val="005E518E"/>
    <w:rsid w:val="005E5B99"/>
    <w:rsid w:val="005E6275"/>
    <w:rsid w:val="005E64E8"/>
    <w:rsid w:val="005E653E"/>
    <w:rsid w:val="005E6CC2"/>
    <w:rsid w:val="005E70A1"/>
    <w:rsid w:val="005E70E2"/>
    <w:rsid w:val="005E750A"/>
    <w:rsid w:val="005E779B"/>
    <w:rsid w:val="005E7C66"/>
    <w:rsid w:val="005E7F4F"/>
    <w:rsid w:val="005F0E51"/>
    <w:rsid w:val="005F115B"/>
    <w:rsid w:val="005F11AF"/>
    <w:rsid w:val="005F15C4"/>
    <w:rsid w:val="005F1862"/>
    <w:rsid w:val="005F1FE9"/>
    <w:rsid w:val="005F20DE"/>
    <w:rsid w:val="005F30EB"/>
    <w:rsid w:val="005F3186"/>
    <w:rsid w:val="005F3867"/>
    <w:rsid w:val="005F3C4B"/>
    <w:rsid w:val="005F4983"/>
    <w:rsid w:val="005F57DC"/>
    <w:rsid w:val="005F57EC"/>
    <w:rsid w:val="005F6B6C"/>
    <w:rsid w:val="005F6C74"/>
    <w:rsid w:val="005F71DD"/>
    <w:rsid w:val="005F729A"/>
    <w:rsid w:val="005F7B4D"/>
    <w:rsid w:val="006000EA"/>
    <w:rsid w:val="00601A8B"/>
    <w:rsid w:val="00601D23"/>
    <w:rsid w:val="00602438"/>
    <w:rsid w:val="0060396E"/>
    <w:rsid w:val="00606A7C"/>
    <w:rsid w:val="00606C74"/>
    <w:rsid w:val="006071A4"/>
    <w:rsid w:val="00607498"/>
    <w:rsid w:val="0060771C"/>
    <w:rsid w:val="00607744"/>
    <w:rsid w:val="006079FE"/>
    <w:rsid w:val="00607A54"/>
    <w:rsid w:val="00607C34"/>
    <w:rsid w:val="00611712"/>
    <w:rsid w:val="006119AE"/>
    <w:rsid w:val="00611E33"/>
    <w:rsid w:val="00611F86"/>
    <w:rsid w:val="00612471"/>
    <w:rsid w:val="0061354F"/>
    <w:rsid w:val="006139A1"/>
    <w:rsid w:val="006139E6"/>
    <w:rsid w:val="00613C5D"/>
    <w:rsid w:val="00613DA9"/>
    <w:rsid w:val="00613E6C"/>
    <w:rsid w:val="00614194"/>
    <w:rsid w:val="006146C8"/>
    <w:rsid w:val="006163EC"/>
    <w:rsid w:val="00616B86"/>
    <w:rsid w:val="00620200"/>
    <w:rsid w:val="00620335"/>
    <w:rsid w:val="00620BC9"/>
    <w:rsid w:val="00620EC4"/>
    <w:rsid w:val="00620F2D"/>
    <w:rsid w:val="00621E80"/>
    <w:rsid w:val="00621EA1"/>
    <w:rsid w:val="00622506"/>
    <w:rsid w:val="00622894"/>
    <w:rsid w:val="00622C31"/>
    <w:rsid w:val="00623755"/>
    <w:rsid w:val="00624051"/>
    <w:rsid w:val="00624B05"/>
    <w:rsid w:val="00624DC3"/>
    <w:rsid w:val="00624FFB"/>
    <w:rsid w:val="00625DDA"/>
    <w:rsid w:val="00626362"/>
    <w:rsid w:val="00626CBC"/>
    <w:rsid w:val="006272AA"/>
    <w:rsid w:val="00627774"/>
    <w:rsid w:val="00627A44"/>
    <w:rsid w:val="00627AA8"/>
    <w:rsid w:val="006305B6"/>
    <w:rsid w:val="006312CD"/>
    <w:rsid w:val="00631545"/>
    <w:rsid w:val="0063194E"/>
    <w:rsid w:val="00632489"/>
    <w:rsid w:val="00632A86"/>
    <w:rsid w:val="00633115"/>
    <w:rsid w:val="00633BC4"/>
    <w:rsid w:val="0063503F"/>
    <w:rsid w:val="006358EC"/>
    <w:rsid w:val="00635A5B"/>
    <w:rsid w:val="00635BDE"/>
    <w:rsid w:val="00635CDC"/>
    <w:rsid w:val="00636CC5"/>
    <w:rsid w:val="00636E2C"/>
    <w:rsid w:val="00636FA6"/>
    <w:rsid w:val="006370F3"/>
    <w:rsid w:val="00637FE8"/>
    <w:rsid w:val="00640519"/>
    <w:rsid w:val="006407AE"/>
    <w:rsid w:val="006411B5"/>
    <w:rsid w:val="006416AD"/>
    <w:rsid w:val="0064217E"/>
    <w:rsid w:val="00642F5B"/>
    <w:rsid w:val="00643132"/>
    <w:rsid w:val="006431B7"/>
    <w:rsid w:val="00643798"/>
    <w:rsid w:val="00644191"/>
    <w:rsid w:val="006441A4"/>
    <w:rsid w:val="006445DB"/>
    <w:rsid w:val="006448FB"/>
    <w:rsid w:val="0064602F"/>
    <w:rsid w:val="00646240"/>
    <w:rsid w:val="0064624C"/>
    <w:rsid w:val="00646D78"/>
    <w:rsid w:val="00647855"/>
    <w:rsid w:val="006478DD"/>
    <w:rsid w:val="006479D3"/>
    <w:rsid w:val="006502FC"/>
    <w:rsid w:val="00651E45"/>
    <w:rsid w:val="00651FE0"/>
    <w:rsid w:val="00652491"/>
    <w:rsid w:val="00652F06"/>
    <w:rsid w:val="00654B9B"/>
    <w:rsid w:val="00655B08"/>
    <w:rsid w:val="00656F21"/>
    <w:rsid w:val="00656F2C"/>
    <w:rsid w:val="00657922"/>
    <w:rsid w:val="00660165"/>
    <w:rsid w:val="006601E4"/>
    <w:rsid w:val="00660C96"/>
    <w:rsid w:val="006615B9"/>
    <w:rsid w:val="00661808"/>
    <w:rsid w:val="00662032"/>
    <w:rsid w:val="0066318C"/>
    <w:rsid w:val="006635C9"/>
    <w:rsid w:val="00664094"/>
    <w:rsid w:val="0066567A"/>
    <w:rsid w:val="00666332"/>
    <w:rsid w:val="006667AF"/>
    <w:rsid w:val="00667051"/>
    <w:rsid w:val="00667D86"/>
    <w:rsid w:val="00667EC4"/>
    <w:rsid w:val="00667F59"/>
    <w:rsid w:val="00670496"/>
    <w:rsid w:val="00670520"/>
    <w:rsid w:val="0067188E"/>
    <w:rsid w:val="006719C2"/>
    <w:rsid w:val="00671BFA"/>
    <w:rsid w:val="00671D2F"/>
    <w:rsid w:val="00671FBF"/>
    <w:rsid w:val="0067245B"/>
    <w:rsid w:val="006727FF"/>
    <w:rsid w:val="00672B64"/>
    <w:rsid w:val="0067352C"/>
    <w:rsid w:val="006737C7"/>
    <w:rsid w:val="00675949"/>
    <w:rsid w:val="00675C63"/>
    <w:rsid w:val="006761F8"/>
    <w:rsid w:val="006766B2"/>
    <w:rsid w:val="00676C4E"/>
    <w:rsid w:val="0067719C"/>
    <w:rsid w:val="0068003B"/>
    <w:rsid w:val="00680AF8"/>
    <w:rsid w:val="006812C7"/>
    <w:rsid w:val="0068303E"/>
    <w:rsid w:val="00683927"/>
    <w:rsid w:val="00683ECC"/>
    <w:rsid w:val="006840EF"/>
    <w:rsid w:val="0068455F"/>
    <w:rsid w:val="0068462D"/>
    <w:rsid w:val="0068520C"/>
    <w:rsid w:val="006855A6"/>
    <w:rsid w:val="00685F1D"/>
    <w:rsid w:val="0068656D"/>
    <w:rsid w:val="00686B29"/>
    <w:rsid w:val="00687271"/>
    <w:rsid w:val="00687308"/>
    <w:rsid w:val="006873EF"/>
    <w:rsid w:val="0069047F"/>
    <w:rsid w:val="006922FD"/>
    <w:rsid w:val="006926C9"/>
    <w:rsid w:val="0069273F"/>
    <w:rsid w:val="00692AD6"/>
    <w:rsid w:val="00693BDD"/>
    <w:rsid w:val="00694217"/>
    <w:rsid w:val="00694274"/>
    <w:rsid w:val="00694B47"/>
    <w:rsid w:val="00694BBA"/>
    <w:rsid w:val="00694F34"/>
    <w:rsid w:val="00695A46"/>
    <w:rsid w:val="006962DA"/>
    <w:rsid w:val="0069695F"/>
    <w:rsid w:val="00697052"/>
    <w:rsid w:val="006A047B"/>
    <w:rsid w:val="006A0CEF"/>
    <w:rsid w:val="006A0EEB"/>
    <w:rsid w:val="006A11C2"/>
    <w:rsid w:val="006A135E"/>
    <w:rsid w:val="006A1693"/>
    <w:rsid w:val="006A1738"/>
    <w:rsid w:val="006A2E27"/>
    <w:rsid w:val="006A3728"/>
    <w:rsid w:val="006A3763"/>
    <w:rsid w:val="006A3879"/>
    <w:rsid w:val="006A3E80"/>
    <w:rsid w:val="006A44D9"/>
    <w:rsid w:val="006A4819"/>
    <w:rsid w:val="006A4CEC"/>
    <w:rsid w:val="006A5249"/>
    <w:rsid w:val="006A52CD"/>
    <w:rsid w:val="006A53FD"/>
    <w:rsid w:val="006A5A84"/>
    <w:rsid w:val="006A5B1F"/>
    <w:rsid w:val="006A7113"/>
    <w:rsid w:val="006A76A7"/>
    <w:rsid w:val="006A7B71"/>
    <w:rsid w:val="006A7CB3"/>
    <w:rsid w:val="006B01A8"/>
    <w:rsid w:val="006B0DFF"/>
    <w:rsid w:val="006B1C71"/>
    <w:rsid w:val="006B2823"/>
    <w:rsid w:val="006B2C89"/>
    <w:rsid w:val="006B3D69"/>
    <w:rsid w:val="006B40EF"/>
    <w:rsid w:val="006B4C96"/>
    <w:rsid w:val="006B503E"/>
    <w:rsid w:val="006B568C"/>
    <w:rsid w:val="006B5AE6"/>
    <w:rsid w:val="006B7096"/>
    <w:rsid w:val="006B789A"/>
    <w:rsid w:val="006B7B3E"/>
    <w:rsid w:val="006B7E52"/>
    <w:rsid w:val="006B7F85"/>
    <w:rsid w:val="006B7FC7"/>
    <w:rsid w:val="006C18E4"/>
    <w:rsid w:val="006C1D85"/>
    <w:rsid w:val="006C1F07"/>
    <w:rsid w:val="006C2070"/>
    <w:rsid w:val="006C21B8"/>
    <w:rsid w:val="006C2722"/>
    <w:rsid w:val="006C28E3"/>
    <w:rsid w:val="006C3505"/>
    <w:rsid w:val="006C3DE1"/>
    <w:rsid w:val="006C4195"/>
    <w:rsid w:val="006C422C"/>
    <w:rsid w:val="006C4284"/>
    <w:rsid w:val="006C546B"/>
    <w:rsid w:val="006C66E6"/>
    <w:rsid w:val="006C7143"/>
    <w:rsid w:val="006C72A3"/>
    <w:rsid w:val="006C75C3"/>
    <w:rsid w:val="006C7D56"/>
    <w:rsid w:val="006D04BC"/>
    <w:rsid w:val="006D04D1"/>
    <w:rsid w:val="006D0F6C"/>
    <w:rsid w:val="006D10C0"/>
    <w:rsid w:val="006D24A7"/>
    <w:rsid w:val="006D25F4"/>
    <w:rsid w:val="006D2615"/>
    <w:rsid w:val="006D281A"/>
    <w:rsid w:val="006D3369"/>
    <w:rsid w:val="006D3427"/>
    <w:rsid w:val="006D3C38"/>
    <w:rsid w:val="006D400C"/>
    <w:rsid w:val="006D415B"/>
    <w:rsid w:val="006D4192"/>
    <w:rsid w:val="006D41A6"/>
    <w:rsid w:val="006D4201"/>
    <w:rsid w:val="006D43F0"/>
    <w:rsid w:val="006D476B"/>
    <w:rsid w:val="006D4A5E"/>
    <w:rsid w:val="006D631D"/>
    <w:rsid w:val="006D67C8"/>
    <w:rsid w:val="006D6E00"/>
    <w:rsid w:val="006D6EDB"/>
    <w:rsid w:val="006D7CCA"/>
    <w:rsid w:val="006D7D3F"/>
    <w:rsid w:val="006E07A9"/>
    <w:rsid w:val="006E1708"/>
    <w:rsid w:val="006E21B4"/>
    <w:rsid w:val="006E2C96"/>
    <w:rsid w:val="006E327C"/>
    <w:rsid w:val="006E390E"/>
    <w:rsid w:val="006E3D81"/>
    <w:rsid w:val="006E41FA"/>
    <w:rsid w:val="006E454C"/>
    <w:rsid w:val="006E45EB"/>
    <w:rsid w:val="006E514A"/>
    <w:rsid w:val="006E586C"/>
    <w:rsid w:val="006E5B79"/>
    <w:rsid w:val="006E632F"/>
    <w:rsid w:val="006E6575"/>
    <w:rsid w:val="006E6B75"/>
    <w:rsid w:val="006E6FEB"/>
    <w:rsid w:val="006E7171"/>
    <w:rsid w:val="006E71FE"/>
    <w:rsid w:val="006E77B5"/>
    <w:rsid w:val="006E7DF2"/>
    <w:rsid w:val="006F0013"/>
    <w:rsid w:val="006F0368"/>
    <w:rsid w:val="006F0BCA"/>
    <w:rsid w:val="006F0BEC"/>
    <w:rsid w:val="006F0F21"/>
    <w:rsid w:val="006F188D"/>
    <w:rsid w:val="006F24AE"/>
    <w:rsid w:val="006F324E"/>
    <w:rsid w:val="006F3BBB"/>
    <w:rsid w:val="006F4143"/>
    <w:rsid w:val="006F42B1"/>
    <w:rsid w:val="006F4458"/>
    <w:rsid w:val="006F477A"/>
    <w:rsid w:val="006F49D4"/>
    <w:rsid w:val="006F5229"/>
    <w:rsid w:val="006F524A"/>
    <w:rsid w:val="006F574C"/>
    <w:rsid w:val="006F5F51"/>
    <w:rsid w:val="006F60D3"/>
    <w:rsid w:val="006F6BF7"/>
    <w:rsid w:val="006F7728"/>
    <w:rsid w:val="006F782D"/>
    <w:rsid w:val="00700083"/>
    <w:rsid w:val="00701239"/>
    <w:rsid w:val="00701438"/>
    <w:rsid w:val="0070153D"/>
    <w:rsid w:val="00701C26"/>
    <w:rsid w:val="00703102"/>
    <w:rsid w:val="00703143"/>
    <w:rsid w:val="007031D0"/>
    <w:rsid w:val="00704362"/>
    <w:rsid w:val="0070516C"/>
    <w:rsid w:val="007054B4"/>
    <w:rsid w:val="00705679"/>
    <w:rsid w:val="00705765"/>
    <w:rsid w:val="00705836"/>
    <w:rsid w:val="007059B4"/>
    <w:rsid w:val="00705BAB"/>
    <w:rsid w:val="00705DC2"/>
    <w:rsid w:val="0070620C"/>
    <w:rsid w:val="00707311"/>
    <w:rsid w:val="00707351"/>
    <w:rsid w:val="00710150"/>
    <w:rsid w:val="00710666"/>
    <w:rsid w:val="0071092B"/>
    <w:rsid w:val="007110E0"/>
    <w:rsid w:val="0071152B"/>
    <w:rsid w:val="00712722"/>
    <w:rsid w:val="007129E2"/>
    <w:rsid w:val="007134F8"/>
    <w:rsid w:val="00713D2E"/>
    <w:rsid w:val="007149D5"/>
    <w:rsid w:val="00714B00"/>
    <w:rsid w:val="00714EC8"/>
    <w:rsid w:val="00715017"/>
    <w:rsid w:val="00715083"/>
    <w:rsid w:val="00716361"/>
    <w:rsid w:val="007178FC"/>
    <w:rsid w:val="00717957"/>
    <w:rsid w:val="0072068F"/>
    <w:rsid w:val="007208F1"/>
    <w:rsid w:val="00720B33"/>
    <w:rsid w:val="00720B7A"/>
    <w:rsid w:val="00721E4E"/>
    <w:rsid w:val="007228A0"/>
    <w:rsid w:val="007233BA"/>
    <w:rsid w:val="007234E7"/>
    <w:rsid w:val="00723705"/>
    <w:rsid w:val="00723945"/>
    <w:rsid w:val="00724209"/>
    <w:rsid w:val="0072506D"/>
    <w:rsid w:val="0072507C"/>
    <w:rsid w:val="00725184"/>
    <w:rsid w:val="0072589A"/>
    <w:rsid w:val="00725DA0"/>
    <w:rsid w:val="00730442"/>
    <w:rsid w:val="007308D7"/>
    <w:rsid w:val="00730E81"/>
    <w:rsid w:val="00731198"/>
    <w:rsid w:val="00731447"/>
    <w:rsid w:val="00731583"/>
    <w:rsid w:val="00731685"/>
    <w:rsid w:val="007319EB"/>
    <w:rsid w:val="00731A72"/>
    <w:rsid w:val="00731C87"/>
    <w:rsid w:val="0073221F"/>
    <w:rsid w:val="00732370"/>
    <w:rsid w:val="007325F2"/>
    <w:rsid w:val="00733579"/>
    <w:rsid w:val="0073390E"/>
    <w:rsid w:val="00733AA1"/>
    <w:rsid w:val="00734C1D"/>
    <w:rsid w:val="00734C9E"/>
    <w:rsid w:val="007355EE"/>
    <w:rsid w:val="00735C31"/>
    <w:rsid w:val="00736C58"/>
    <w:rsid w:val="007371A0"/>
    <w:rsid w:val="007375A1"/>
    <w:rsid w:val="007400E8"/>
    <w:rsid w:val="0074042F"/>
    <w:rsid w:val="007404AA"/>
    <w:rsid w:val="007404DE"/>
    <w:rsid w:val="00740603"/>
    <w:rsid w:val="007407FE"/>
    <w:rsid w:val="00741193"/>
    <w:rsid w:val="007417DE"/>
    <w:rsid w:val="00742161"/>
    <w:rsid w:val="00742455"/>
    <w:rsid w:val="007428FE"/>
    <w:rsid w:val="00742F89"/>
    <w:rsid w:val="00744542"/>
    <w:rsid w:val="00744AF3"/>
    <w:rsid w:val="00744D8F"/>
    <w:rsid w:val="0074529B"/>
    <w:rsid w:val="0074550F"/>
    <w:rsid w:val="00745C80"/>
    <w:rsid w:val="00745E83"/>
    <w:rsid w:val="00745F44"/>
    <w:rsid w:val="007460F6"/>
    <w:rsid w:val="0074695F"/>
    <w:rsid w:val="00746B2E"/>
    <w:rsid w:val="00746C00"/>
    <w:rsid w:val="007510D3"/>
    <w:rsid w:val="007525C8"/>
    <w:rsid w:val="007526D4"/>
    <w:rsid w:val="007526E3"/>
    <w:rsid w:val="007532A3"/>
    <w:rsid w:val="00753378"/>
    <w:rsid w:val="00753395"/>
    <w:rsid w:val="00753A00"/>
    <w:rsid w:val="00753AF1"/>
    <w:rsid w:val="00753F9F"/>
    <w:rsid w:val="00754129"/>
    <w:rsid w:val="007544C3"/>
    <w:rsid w:val="00755137"/>
    <w:rsid w:val="0075530A"/>
    <w:rsid w:val="00755E9D"/>
    <w:rsid w:val="007562BE"/>
    <w:rsid w:val="007562C4"/>
    <w:rsid w:val="007562E0"/>
    <w:rsid w:val="00756601"/>
    <w:rsid w:val="0075672E"/>
    <w:rsid w:val="007568BC"/>
    <w:rsid w:val="007569B7"/>
    <w:rsid w:val="00756BCF"/>
    <w:rsid w:val="00756F4D"/>
    <w:rsid w:val="00756F53"/>
    <w:rsid w:val="00756FC4"/>
    <w:rsid w:val="00757345"/>
    <w:rsid w:val="00757B34"/>
    <w:rsid w:val="00760215"/>
    <w:rsid w:val="007605DF"/>
    <w:rsid w:val="007606D4"/>
    <w:rsid w:val="00760AA3"/>
    <w:rsid w:val="00760D02"/>
    <w:rsid w:val="00760D29"/>
    <w:rsid w:val="00761091"/>
    <w:rsid w:val="00761316"/>
    <w:rsid w:val="00761916"/>
    <w:rsid w:val="00761DAD"/>
    <w:rsid w:val="00762C75"/>
    <w:rsid w:val="00763A1F"/>
    <w:rsid w:val="00763F57"/>
    <w:rsid w:val="00764D3C"/>
    <w:rsid w:val="00764F80"/>
    <w:rsid w:val="007653E7"/>
    <w:rsid w:val="00765663"/>
    <w:rsid w:val="007661F6"/>
    <w:rsid w:val="00766D31"/>
    <w:rsid w:val="0076741A"/>
    <w:rsid w:val="00767ED8"/>
    <w:rsid w:val="00770CE5"/>
    <w:rsid w:val="007713D3"/>
    <w:rsid w:val="00771CD8"/>
    <w:rsid w:val="00772049"/>
    <w:rsid w:val="00772224"/>
    <w:rsid w:val="00772AD2"/>
    <w:rsid w:val="00772CF7"/>
    <w:rsid w:val="00773091"/>
    <w:rsid w:val="007734EC"/>
    <w:rsid w:val="00773AB9"/>
    <w:rsid w:val="00774A26"/>
    <w:rsid w:val="00774C6E"/>
    <w:rsid w:val="00774FE2"/>
    <w:rsid w:val="0077505B"/>
    <w:rsid w:val="00775128"/>
    <w:rsid w:val="00775145"/>
    <w:rsid w:val="00775183"/>
    <w:rsid w:val="007753CB"/>
    <w:rsid w:val="00776226"/>
    <w:rsid w:val="0077735E"/>
    <w:rsid w:val="0078020B"/>
    <w:rsid w:val="00780346"/>
    <w:rsid w:val="00781253"/>
    <w:rsid w:val="0078153B"/>
    <w:rsid w:val="00781724"/>
    <w:rsid w:val="007818C3"/>
    <w:rsid w:val="00781CBB"/>
    <w:rsid w:val="00781CFB"/>
    <w:rsid w:val="007823D6"/>
    <w:rsid w:val="00782CC1"/>
    <w:rsid w:val="00782EFC"/>
    <w:rsid w:val="0078371E"/>
    <w:rsid w:val="00783E25"/>
    <w:rsid w:val="00783F3E"/>
    <w:rsid w:val="00784331"/>
    <w:rsid w:val="00784533"/>
    <w:rsid w:val="00784B52"/>
    <w:rsid w:val="00784DCF"/>
    <w:rsid w:val="00785FB9"/>
    <w:rsid w:val="00785FE5"/>
    <w:rsid w:val="0078608D"/>
    <w:rsid w:val="00786132"/>
    <w:rsid w:val="007868D0"/>
    <w:rsid w:val="00786F9D"/>
    <w:rsid w:val="00786FDC"/>
    <w:rsid w:val="00787F8A"/>
    <w:rsid w:val="00790926"/>
    <w:rsid w:val="00790AB5"/>
    <w:rsid w:val="00791632"/>
    <w:rsid w:val="00792842"/>
    <w:rsid w:val="00793A09"/>
    <w:rsid w:val="007941DB"/>
    <w:rsid w:val="00794270"/>
    <w:rsid w:val="00794458"/>
    <w:rsid w:val="00794AD4"/>
    <w:rsid w:val="00795E45"/>
    <w:rsid w:val="00796909"/>
    <w:rsid w:val="00796A0A"/>
    <w:rsid w:val="00797E70"/>
    <w:rsid w:val="007A02B8"/>
    <w:rsid w:val="007A1339"/>
    <w:rsid w:val="007A253C"/>
    <w:rsid w:val="007A2CFC"/>
    <w:rsid w:val="007A311C"/>
    <w:rsid w:val="007A3409"/>
    <w:rsid w:val="007A36CB"/>
    <w:rsid w:val="007A3D65"/>
    <w:rsid w:val="007A3E92"/>
    <w:rsid w:val="007A4B40"/>
    <w:rsid w:val="007A4DD2"/>
    <w:rsid w:val="007A5063"/>
    <w:rsid w:val="007A5566"/>
    <w:rsid w:val="007A5747"/>
    <w:rsid w:val="007A6247"/>
    <w:rsid w:val="007A7834"/>
    <w:rsid w:val="007B0E92"/>
    <w:rsid w:val="007B0F40"/>
    <w:rsid w:val="007B2442"/>
    <w:rsid w:val="007B3540"/>
    <w:rsid w:val="007B3CCE"/>
    <w:rsid w:val="007B47F6"/>
    <w:rsid w:val="007B4BFB"/>
    <w:rsid w:val="007B5143"/>
    <w:rsid w:val="007B52E8"/>
    <w:rsid w:val="007B6EAE"/>
    <w:rsid w:val="007B74FD"/>
    <w:rsid w:val="007B7D9D"/>
    <w:rsid w:val="007C0595"/>
    <w:rsid w:val="007C0EDC"/>
    <w:rsid w:val="007C1178"/>
    <w:rsid w:val="007C2958"/>
    <w:rsid w:val="007C3004"/>
    <w:rsid w:val="007C3730"/>
    <w:rsid w:val="007C37C7"/>
    <w:rsid w:val="007C3B3B"/>
    <w:rsid w:val="007C56EC"/>
    <w:rsid w:val="007C5712"/>
    <w:rsid w:val="007C5CAC"/>
    <w:rsid w:val="007C5E2C"/>
    <w:rsid w:val="007C6372"/>
    <w:rsid w:val="007C637E"/>
    <w:rsid w:val="007C6583"/>
    <w:rsid w:val="007C6755"/>
    <w:rsid w:val="007C6EDE"/>
    <w:rsid w:val="007C7314"/>
    <w:rsid w:val="007C7A03"/>
    <w:rsid w:val="007D010F"/>
    <w:rsid w:val="007D0369"/>
    <w:rsid w:val="007D043C"/>
    <w:rsid w:val="007D057A"/>
    <w:rsid w:val="007D05D4"/>
    <w:rsid w:val="007D11BC"/>
    <w:rsid w:val="007D1DD1"/>
    <w:rsid w:val="007D4741"/>
    <w:rsid w:val="007D536E"/>
    <w:rsid w:val="007D580C"/>
    <w:rsid w:val="007D5A36"/>
    <w:rsid w:val="007D63D9"/>
    <w:rsid w:val="007D6494"/>
    <w:rsid w:val="007D72BE"/>
    <w:rsid w:val="007D749A"/>
    <w:rsid w:val="007E0117"/>
    <w:rsid w:val="007E1302"/>
    <w:rsid w:val="007E1800"/>
    <w:rsid w:val="007E1886"/>
    <w:rsid w:val="007E190E"/>
    <w:rsid w:val="007E1984"/>
    <w:rsid w:val="007E1E4A"/>
    <w:rsid w:val="007E1FC1"/>
    <w:rsid w:val="007E215E"/>
    <w:rsid w:val="007E348C"/>
    <w:rsid w:val="007E5487"/>
    <w:rsid w:val="007E57D9"/>
    <w:rsid w:val="007E5C4A"/>
    <w:rsid w:val="007E6391"/>
    <w:rsid w:val="007E73BB"/>
    <w:rsid w:val="007E7FC3"/>
    <w:rsid w:val="007F03D5"/>
    <w:rsid w:val="007F04D2"/>
    <w:rsid w:val="007F08B3"/>
    <w:rsid w:val="007F1223"/>
    <w:rsid w:val="007F1B39"/>
    <w:rsid w:val="007F1DF9"/>
    <w:rsid w:val="007F2184"/>
    <w:rsid w:val="007F2701"/>
    <w:rsid w:val="007F295F"/>
    <w:rsid w:val="007F3309"/>
    <w:rsid w:val="007F3816"/>
    <w:rsid w:val="007F3DFE"/>
    <w:rsid w:val="007F466F"/>
    <w:rsid w:val="007F4B47"/>
    <w:rsid w:val="007F4E71"/>
    <w:rsid w:val="007F7530"/>
    <w:rsid w:val="007F768C"/>
    <w:rsid w:val="00802A0B"/>
    <w:rsid w:val="00802A62"/>
    <w:rsid w:val="00802FE8"/>
    <w:rsid w:val="008031DF"/>
    <w:rsid w:val="0080343A"/>
    <w:rsid w:val="00804596"/>
    <w:rsid w:val="00804BD9"/>
    <w:rsid w:val="00804D49"/>
    <w:rsid w:val="008059B1"/>
    <w:rsid w:val="0080605B"/>
    <w:rsid w:val="00806549"/>
    <w:rsid w:val="0080700F"/>
    <w:rsid w:val="008071CE"/>
    <w:rsid w:val="00807CF6"/>
    <w:rsid w:val="00807E14"/>
    <w:rsid w:val="00810494"/>
    <w:rsid w:val="00810498"/>
    <w:rsid w:val="00811AD2"/>
    <w:rsid w:val="00811D84"/>
    <w:rsid w:val="00811FDE"/>
    <w:rsid w:val="00812277"/>
    <w:rsid w:val="00812401"/>
    <w:rsid w:val="00812C1B"/>
    <w:rsid w:val="00812C3E"/>
    <w:rsid w:val="00813D2B"/>
    <w:rsid w:val="00814452"/>
    <w:rsid w:val="00814DE9"/>
    <w:rsid w:val="00815D0B"/>
    <w:rsid w:val="00816034"/>
    <w:rsid w:val="008161AE"/>
    <w:rsid w:val="00816556"/>
    <w:rsid w:val="008172E2"/>
    <w:rsid w:val="008178AE"/>
    <w:rsid w:val="00817D0B"/>
    <w:rsid w:val="00820AA1"/>
    <w:rsid w:val="00821D3D"/>
    <w:rsid w:val="00822974"/>
    <w:rsid w:val="00822C50"/>
    <w:rsid w:val="00823434"/>
    <w:rsid w:val="00823608"/>
    <w:rsid w:val="00823E91"/>
    <w:rsid w:val="008240B4"/>
    <w:rsid w:val="00824C2A"/>
    <w:rsid w:val="0082545E"/>
    <w:rsid w:val="00825909"/>
    <w:rsid w:val="00825C75"/>
    <w:rsid w:val="00825F00"/>
    <w:rsid w:val="00825F51"/>
    <w:rsid w:val="008262A7"/>
    <w:rsid w:val="00826435"/>
    <w:rsid w:val="008270EA"/>
    <w:rsid w:val="0083082F"/>
    <w:rsid w:val="0083193D"/>
    <w:rsid w:val="00832294"/>
    <w:rsid w:val="0083270A"/>
    <w:rsid w:val="00833BCA"/>
    <w:rsid w:val="00833CAA"/>
    <w:rsid w:val="00833ECF"/>
    <w:rsid w:val="00833EF9"/>
    <w:rsid w:val="00834DE2"/>
    <w:rsid w:val="00834F73"/>
    <w:rsid w:val="00835B79"/>
    <w:rsid w:val="00836CB0"/>
    <w:rsid w:val="00836CD1"/>
    <w:rsid w:val="0083751B"/>
    <w:rsid w:val="0083772E"/>
    <w:rsid w:val="008379EB"/>
    <w:rsid w:val="00840282"/>
    <w:rsid w:val="0084166A"/>
    <w:rsid w:val="00841A6D"/>
    <w:rsid w:val="00842551"/>
    <w:rsid w:val="0084270D"/>
    <w:rsid w:val="00842B1F"/>
    <w:rsid w:val="0084311C"/>
    <w:rsid w:val="00843A0F"/>
    <w:rsid w:val="008442BA"/>
    <w:rsid w:val="00844436"/>
    <w:rsid w:val="008446C1"/>
    <w:rsid w:val="00845994"/>
    <w:rsid w:val="00845B84"/>
    <w:rsid w:val="00845BD9"/>
    <w:rsid w:val="008465F5"/>
    <w:rsid w:val="008470E2"/>
    <w:rsid w:val="00847664"/>
    <w:rsid w:val="008477EE"/>
    <w:rsid w:val="00847CE3"/>
    <w:rsid w:val="008503D2"/>
    <w:rsid w:val="00850BA6"/>
    <w:rsid w:val="00850F14"/>
    <w:rsid w:val="00851463"/>
    <w:rsid w:val="00851810"/>
    <w:rsid w:val="008518D7"/>
    <w:rsid w:val="00851B35"/>
    <w:rsid w:val="00851E8F"/>
    <w:rsid w:val="00852249"/>
    <w:rsid w:val="008524D0"/>
    <w:rsid w:val="008530C5"/>
    <w:rsid w:val="008530EE"/>
    <w:rsid w:val="008531BC"/>
    <w:rsid w:val="008535DD"/>
    <w:rsid w:val="00853954"/>
    <w:rsid w:val="00853A14"/>
    <w:rsid w:val="00853AB7"/>
    <w:rsid w:val="00853E27"/>
    <w:rsid w:val="00854158"/>
    <w:rsid w:val="00854400"/>
    <w:rsid w:val="00854B5E"/>
    <w:rsid w:val="0085523C"/>
    <w:rsid w:val="00855F37"/>
    <w:rsid w:val="00856012"/>
    <w:rsid w:val="0085662A"/>
    <w:rsid w:val="0085717C"/>
    <w:rsid w:val="00857365"/>
    <w:rsid w:val="00857846"/>
    <w:rsid w:val="008579BC"/>
    <w:rsid w:val="00860089"/>
    <w:rsid w:val="00860CAC"/>
    <w:rsid w:val="00860F84"/>
    <w:rsid w:val="00861732"/>
    <w:rsid w:val="00862153"/>
    <w:rsid w:val="00863127"/>
    <w:rsid w:val="00863641"/>
    <w:rsid w:val="00863DD9"/>
    <w:rsid w:val="00864CF2"/>
    <w:rsid w:val="00865692"/>
    <w:rsid w:val="0086596E"/>
    <w:rsid w:val="008659B7"/>
    <w:rsid w:val="008659CD"/>
    <w:rsid w:val="00866EB3"/>
    <w:rsid w:val="00867ACA"/>
    <w:rsid w:val="00867C01"/>
    <w:rsid w:val="00867FFE"/>
    <w:rsid w:val="0087180C"/>
    <w:rsid w:val="008718C8"/>
    <w:rsid w:val="00872158"/>
    <w:rsid w:val="00873362"/>
    <w:rsid w:val="00873953"/>
    <w:rsid w:val="008750D6"/>
    <w:rsid w:val="008750F0"/>
    <w:rsid w:val="008751EE"/>
    <w:rsid w:val="00875298"/>
    <w:rsid w:val="00875BB3"/>
    <w:rsid w:val="008766A6"/>
    <w:rsid w:val="00876BD4"/>
    <w:rsid w:val="00877334"/>
    <w:rsid w:val="00877733"/>
    <w:rsid w:val="008778F8"/>
    <w:rsid w:val="00877D5A"/>
    <w:rsid w:val="008802CA"/>
    <w:rsid w:val="008803DD"/>
    <w:rsid w:val="008805B2"/>
    <w:rsid w:val="008809F8"/>
    <w:rsid w:val="0088112F"/>
    <w:rsid w:val="00881746"/>
    <w:rsid w:val="008818DC"/>
    <w:rsid w:val="008828E4"/>
    <w:rsid w:val="00882BEE"/>
    <w:rsid w:val="008838BE"/>
    <w:rsid w:val="00884A4F"/>
    <w:rsid w:val="00884AC0"/>
    <w:rsid w:val="00884D92"/>
    <w:rsid w:val="00885391"/>
    <w:rsid w:val="008857B1"/>
    <w:rsid w:val="00885877"/>
    <w:rsid w:val="00885FCD"/>
    <w:rsid w:val="00886092"/>
    <w:rsid w:val="0088648F"/>
    <w:rsid w:val="00886868"/>
    <w:rsid w:val="00886A75"/>
    <w:rsid w:val="00887760"/>
    <w:rsid w:val="00887E07"/>
    <w:rsid w:val="00887F5C"/>
    <w:rsid w:val="00891251"/>
    <w:rsid w:val="00891803"/>
    <w:rsid w:val="00891A46"/>
    <w:rsid w:val="00891BDB"/>
    <w:rsid w:val="008930D2"/>
    <w:rsid w:val="0089310C"/>
    <w:rsid w:val="0089316E"/>
    <w:rsid w:val="00893386"/>
    <w:rsid w:val="00893404"/>
    <w:rsid w:val="008937FB"/>
    <w:rsid w:val="00893847"/>
    <w:rsid w:val="008938E1"/>
    <w:rsid w:val="00893A1D"/>
    <w:rsid w:val="008940F3"/>
    <w:rsid w:val="008940F7"/>
    <w:rsid w:val="008941DE"/>
    <w:rsid w:val="00894351"/>
    <w:rsid w:val="008944A2"/>
    <w:rsid w:val="00894A1D"/>
    <w:rsid w:val="00895627"/>
    <w:rsid w:val="00896D56"/>
    <w:rsid w:val="008A05B6"/>
    <w:rsid w:val="008A0769"/>
    <w:rsid w:val="008A0993"/>
    <w:rsid w:val="008A13D2"/>
    <w:rsid w:val="008A1B96"/>
    <w:rsid w:val="008A265D"/>
    <w:rsid w:val="008A2EDB"/>
    <w:rsid w:val="008A3175"/>
    <w:rsid w:val="008A48E2"/>
    <w:rsid w:val="008A52E1"/>
    <w:rsid w:val="008A59F1"/>
    <w:rsid w:val="008A5B43"/>
    <w:rsid w:val="008A631D"/>
    <w:rsid w:val="008A68DC"/>
    <w:rsid w:val="008A6A6E"/>
    <w:rsid w:val="008A6C7D"/>
    <w:rsid w:val="008A6E6B"/>
    <w:rsid w:val="008A788C"/>
    <w:rsid w:val="008B054E"/>
    <w:rsid w:val="008B1294"/>
    <w:rsid w:val="008B1736"/>
    <w:rsid w:val="008B17B7"/>
    <w:rsid w:val="008B17EB"/>
    <w:rsid w:val="008B1C82"/>
    <w:rsid w:val="008B2606"/>
    <w:rsid w:val="008B289D"/>
    <w:rsid w:val="008B2F60"/>
    <w:rsid w:val="008B373A"/>
    <w:rsid w:val="008B3D8F"/>
    <w:rsid w:val="008B4299"/>
    <w:rsid w:val="008B4AF3"/>
    <w:rsid w:val="008B4E26"/>
    <w:rsid w:val="008B522F"/>
    <w:rsid w:val="008B5769"/>
    <w:rsid w:val="008B5CC4"/>
    <w:rsid w:val="008B61A5"/>
    <w:rsid w:val="008B6360"/>
    <w:rsid w:val="008B662E"/>
    <w:rsid w:val="008B674B"/>
    <w:rsid w:val="008B7C22"/>
    <w:rsid w:val="008B7E3C"/>
    <w:rsid w:val="008C0BB5"/>
    <w:rsid w:val="008C0C06"/>
    <w:rsid w:val="008C1C69"/>
    <w:rsid w:val="008C2174"/>
    <w:rsid w:val="008C22D0"/>
    <w:rsid w:val="008C2AE7"/>
    <w:rsid w:val="008C2BE2"/>
    <w:rsid w:val="008C366F"/>
    <w:rsid w:val="008C3F5A"/>
    <w:rsid w:val="008C48D9"/>
    <w:rsid w:val="008C49B2"/>
    <w:rsid w:val="008C49BA"/>
    <w:rsid w:val="008C4BF4"/>
    <w:rsid w:val="008C5059"/>
    <w:rsid w:val="008C5849"/>
    <w:rsid w:val="008C5ACA"/>
    <w:rsid w:val="008C605C"/>
    <w:rsid w:val="008C6099"/>
    <w:rsid w:val="008C6C2F"/>
    <w:rsid w:val="008C708D"/>
    <w:rsid w:val="008C799F"/>
    <w:rsid w:val="008D1904"/>
    <w:rsid w:val="008D24B5"/>
    <w:rsid w:val="008D252F"/>
    <w:rsid w:val="008D430E"/>
    <w:rsid w:val="008D518D"/>
    <w:rsid w:val="008D58D9"/>
    <w:rsid w:val="008D6603"/>
    <w:rsid w:val="008D7466"/>
    <w:rsid w:val="008D7F71"/>
    <w:rsid w:val="008E05AF"/>
    <w:rsid w:val="008E0666"/>
    <w:rsid w:val="008E10C0"/>
    <w:rsid w:val="008E13BF"/>
    <w:rsid w:val="008E2A50"/>
    <w:rsid w:val="008E3306"/>
    <w:rsid w:val="008E3376"/>
    <w:rsid w:val="008E3E5E"/>
    <w:rsid w:val="008E4480"/>
    <w:rsid w:val="008E4E93"/>
    <w:rsid w:val="008E50C4"/>
    <w:rsid w:val="008E5901"/>
    <w:rsid w:val="008E5F3A"/>
    <w:rsid w:val="008E6844"/>
    <w:rsid w:val="008E6C42"/>
    <w:rsid w:val="008E7095"/>
    <w:rsid w:val="008E70CD"/>
    <w:rsid w:val="008F0248"/>
    <w:rsid w:val="008F0257"/>
    <w:rsid w:val="008F0393"/>
    <w:rsid w:val="008F11CB"/>
    <w:rsid w:val="008F15D4"/>
    <w:rsid w:val="008F1D51"/>
    <w:rsid w:val="008F21A8"/>
    <w:rsid w:val="008F285B"/>
    <w:rsid w:val="008F28A2"/>
    <w:rsid w:val="008F4B26"/>
    <w:rsid w:val="008F53DB"/>
    <w:rsid w:val="008F56B8"/>
    <w:rsid w:val="008F5ADA"/>
    <w:rsid w:val="008F68CF"/>
    <w:rsid w:val="009010AC"/>
    <w:rsid w:val="0090161B"/>
    <w:rsid w:val="009018E4"/>
    <w:rsid w:val="00901E45"/>
    <w:rsid w:val="00902613"/>
    <w:rsid w:val="00902629"/>
    <w:rsid w:val="00902A38"/>
    <w:rsid w:val="0090341A"/>
    <w:rsid w:val="009048E1"/>
    <w:rsid w:val="00904E30"/>
    <w:rsid w:val="00904E60"/>
    <w:rsid w:val="00905081"/>
    <w:rsid w:val="00905154"/>
    <w:rsid w:val="009059A5"/>
    <w:rsid w:val="00906914"/>
    <w:rsid w:val="00906934"/>
    <w:rsid w:val="009072BF"/>
    <w:rsid w:val="00907A99"/>
    <w:rsid w:val="00907D48"/>
    <w:rsid w:val="0091022B"/>
    <w:rsid w:val="00910483"/>
    <w:rsid w:val="00911689"/>
    <w:rsid w:val="009118F4"/>
    <w:rsid w:val="00912E90"/>
    <w:rsid w:val="00916C4A"/>
    <w:rsid w:val="0091746F"/>
    <w:rsid w:val="00917760"/>
    <w:rsid w:val="00917AF9"/>
    <w:rsid w:val="00917E24"/>
    <w:rsid w:val="009201E3"/>
    <w:rsid w:val="00920475"/>
    <w:rsid w:val="00920675"/>
    <w:rsid w:val="009212D1"/>
    <w:rsid w:val="00921887"/>
    <w:rsid w:val="00921A10"/>
    <w:rsid w:val="009220BB"/>
    <w:rsid w:val="009229E7"/>
    <w:rsid w:val="0092377F"/>
    <w:rsid w:val="00923AA5"/>
    <w:rsid w:val="00923EBA"/>
    <w:rsid w:val="009249B7"/>
    <w:rsid w:val="009250CB"/>
    <w:rsid w:val="00925972"/>
    <w:rsid w:val="00925A8C"/>
    <w:rsid w:val="00926A34"/>
    <w:rsid w:val="00927D1D"/>
    <w:rsid w:val="00927E49"/>
    <w:rsid w:val="00930CDA"/>
    <w:rsid w:val="00930D1F"/>
    <w:rsid w:val="0093181E"/>
    <w:rsid w:val="00931E09"/>
    <w:rsid w:val="00931FB7"/>
    <w:rsid w:val="009325A0"/>
    <w:rsid w:val="00932F69"/>
    <w:rsid w:val="0093310C"/>
    <w:rsid w:val="00933D02"/>
    <w:rsid w:val="00933D1E"/>
    <w:rsid w:val="00933EA7"/>
    <w:rsid w:val="009340C2"/>
    <w:rsid w:val="00934750"/>
    <w:rsid w:val="00935318"/>
    <w:rsid w:val="00936456"/>
    <w:rsid w:val="00936BA9"/>
    <w:rsid w:val="0093705E"/>
    <w:rsid w:val="009374B2"/>
    <w:rsid w:val="00940415"/>
    <w:rsid w:val="00942101"/>
    <w:rsid w:val="00942A3E"/>
    <w:rsid w:val="009431B1"/>
    <w:rsid w:val="00943307"/>
    <w:rsid w:val="009441B8"/>
    <w:rsid w:val="00944545"/>
    <w:rsid w:val="00944857"/>
    <w:rsid w:val="0094492D"/>
    <w:rsid w:val="00944C69"/>
    <w:rsid w:val="00944E78"/>
    <w:rsid w:val="00945867"/>
    <w:rsid w:val="009458E2"/>
    <w:rsid w:val="00945989"/>
    <w:rsid w:val="0094628A"/>
    <w:rsid w:val="00946CB7"/>
    <w:rsid w:val="00946F75"/>
    <w:rsid w:val="0094751F"/>
    <w:rsid w:val="009476A2"/>
    <w:rsid w:val="0094786E"/>
    <w:rsid w:val="00947F08"/>
    <w:rsid w:val="00950C94"/>
    <w:rsid w:val="009513D0"/>
    <w:rsid w:val="009514A6"/>
    <w:rsid w:val="00951535"/>
    <w:rsid w:val="00951704"/>
    <w:rsid w:val="009519A5"/>
    <w:rsid w:val="00951B8A"/>
    <w:rsid w:val="00951CE3"/>
    <w:rsid w:val="009526C0"/>
    <w:rsid w:val="00952D02"/>
    <w:rsid w:val="00953508"/>
    <w:rsid w:val="00953F31"/>
    <w:rsid w:val="009542F6"/>
    <w:rsid w:val="0095473F"/>
    <w:rsid w:val="00954AF7"/>
    <w:rsid w:val="00954CE5"/>
    <w:rsid w:val="00955CB4"/>
    <w:rsid w:val="009560B1"/>
    <w:rsid w:val="00956410"/>
    <w:rsid w:val="00957594"/>
    <w:rsid w:val="0096055E"/>
    <w:rsid w:val="00960CE7"/>
    <w:rsid w:val="009614A0"/>
    <w:rsid w:val="009630E3"/>
    <w:rsid w:val="0096343C"/>
    <w:rsid w:val="00963844"/>
    <w:rsid w:val="00964555"/>
    <w:rsid w:val="00964712"/>
    <w:rsid w:val="009648E9"/>
    <w:rsid w:val="00964AC6"/>
    <w:rsid w:val="009652F9"/>
    <w:rsid w:val="009654AC"/>
    <w:rsid w:val="009655EC"/>
    <w:rsid w:val="009657F0"/>
    <w:rsid w:val="009675BA"/>
    <w:rsid w:val="00967A95"/>
    <w:rsid w:val="00967D1D"/>
    <w:rsid w:val="0097066D"/>
    <w:rsid w:val="00970AAC"/>
    <w:rsid w:val="009710FE"/>
    <w:rsid w:val="0097137B"/>
    <w:rsid w:val="009716C2"/>
    <w:rsid w:val="00971E49"/>
    <w:rsid w:val="009722F6"/>
    <w:rsid w:val="009723F4"/>
    <w:rsid w:val="00972618"/>
    <w:rsid w:val="00972684"/>
    <w:rsid w:val="00972773"/>
    <w:rsid w:val="00972A1B"/>
    <w:rsid w:val="00973BC5"/>
    <w:rsid w:val="00973C0B"/>
    <w:rsid w:val="00974537"/>
    <w:rsid w:val="009751DD"/>
    <w:rsid w:val="00975E6F"/>
    <w:rsid w:val="00977015"/>
    <w:rsid w:val="00977199"/>
    <w:rsid w:val="00977802"/>
    <w:rsid w:val="009803C9"/>
    <w:rsid w:val="0098065B"/>
    <w:rsid w:val="00980A8B"/>
    <w:rsid w:val="00981191"/>
    <w:rsid w:val="00981CC4"/>
    <w:rsid w:val="00981E21"/>
    <w:rsid w:val="00981EAD"/>
    <w:rsid w:val="00983359"/>
    <w:rsid w:val="009833A4"/>
    <w:rsid w:val="009837B9"/>
    <w:rsid w:val="0098414D"/>
    <w:rsid w:val="00984310"/>
    <w:rsid w:val="009844D1"/>
    <w:rsid w:val="009869CE"/>
    <w:rsid w:val="00986C23"/>
    <w:rsid w:val="0098717B"/>
    <w:rsid w:val="00990AA5"/>
    <w:rsid w:val="009921A8"/>
    <w:rsid w:val="00992F87"/>
    <w:rsid w:val="00993129"/>
    <w:rsid w:val="00993187"/>
    <w:rsid w:val="00993346"/>
    <w:rsid w:val="00994CE4"/>
    <w:rsid w:val="00994D77"/>
    <w:rsid w:val="00995823"/>
    <w:rsid w:val="00995D65"/>
    <w:rsid w:val="00995ED6"/>
    <w:rsid w:val="009971B5"/>
    <w:rsid w:val="009973EE"/>
    <w:rsid w:val="00997847"/>
    <w:rsid w:val="00997D74"/>
    <w:rsid w:val="009A0445"/>
    <w:rsid w:val="009A0A89"/>
    <w:rsid w:val="009A2281"/>
    <w:rsid w:val="009A3521"/>
    <w:rsid w:val="009A3E02"/>
    <w:rsid w:val="009A409E"/>
    <w:rsid w:val="009A422A"/>
    <w:rsid w:val="009A424E"/>
    <w:rsid w:val="009A4A56"/>
    <w:rsid w:val="009A63BD"/>
    <w:rsid w:val="009A6566"/>
    <w:rsid w:val="009A7FAA"/>
    <w:rsid w:val="009B0441"/>
    <w:rsid w:val="009B0D42"/>
    <w:rsid w:val="009B0F12"/>
    <w:rsid w:val="009B1AEE"/>
    <w:rsid w:val="009B26A2"/>
    <w:rsid w:val="009B3886"/>
    <w:rsid w:val="009B3C14"/>
    <w:rsid w:val="009B4232"/>
    <w:rsid w:val="009B4264"/>
    <w:rsid w:val="009B4F16"/>
    <w:rsid w:val="009B585F"/>
    <w:rsid w:val="009B6D06"/>
    <w:rsid w:val="009B6D94"/>
    <w:rsid w:val="009C0A16"/>
    <w:rsid w:val="009C1306"/>
    <w:rsid w:val="009C25F9"/>
    <w:rsid w:val="009C2649"/>
    <w:rsid w:val="009C2960"/>
    <w:rsid w:val="009C2A7E"/>
    <w:rsid w:val="009C2A9F"/>
    <w:rsid w:val="009C2DF0"/>
    <w:rsid w:val="009C338C"/>
    <w:rsid w:val="009C37A4"/>
    <w:rsid w:val="009C486C"/>
    <w:rsid w:val="009C4E99"/>
    <w:rsid w:val="009C4F4E"/>
    <w:rsid w:val="009C50EF"/>
    <w:rsid w:val="009C540B"/>
    <w:rsid w:val="009C55A3"/>
    <w:rsid w:val="009C5F33"/>
    <w:rsid w:val="009C5FCF"/>
    <w:rsid w:val="009C6545"/>
    <w:rsid w:val="009C6694"/>
    <w:rsid w:val="009C71EA"/>
    <w:rsid w:val="009C7CA8"/>
    <w:rsid w:val="009D062D"/>
    <w:rsid w:val="009D06A8"/>
    <w:rsid w:val="009D1623"/>
    <w:rsid w:val="009D237F"/>
    <w:rsid w:val="009D23B1"/>
    <w:rsid w:val="009D266B"/>
    <w:rsid w:val="009D26D3"/>
    <w:rsid w:val="009D27D6"/>
    <w:rsid w:val="009D2D23"/>
    <w:rsid w:val="009D2F18"/>
    <w:rsid w:val="009D3BB7"/>
    <w:rsid w:val="009D3E00"/>
    <w:rsid w:val="009D3E55"/>
    <w:rsid w:val="009D40F0"/>
    <w:rsid w:val="009D410E"/>
    <w:rsid w:val="009D4FF7"/>
    <w:rsid w:val="009D56E9"/>
    <w:rsid w:val="009D5BAE"/>
    <w:rsid w:val="009D5BC5"/>
    <w:rsid w:val="009D64FC"/>
    <w:rsid w:val="009D6553"/>
    <w:rsid w:val="009D6B9F"/>
    <w:rsid w:val="009D72EF"/>
    <w:rsid w:val="009D7F5F"/>
    <w:rsid w:val="009E0178"/>
    <w:rsid w:val="009E0DF8"/>
    <w:rsid w:val="009E122B"/>
    <w:rsid w:val="009E1940"/>
    <w:rsid w:val="009E1D67"/>
    <w:rsid w:val="009E1D90"/>
    <w:rsid w:val="009E5BD6"/>
    <w:rsid w:val="009E6EE2"/>
    <w:rsid w:val="009E6FA8"/>
    <w:rsid w:val="009E7F51"/>
    <w:rsid w:val="009F01C7"/>
    <w:rsid w:val="009F10D2"/>
    <w:rsid w:val="009F2435"/>
    <w:rsid w:val="009F2CEF"/>
    <w:rsid w:val="009F2D3A"/>
    <w:rsid w:val="009F3529"/>
    <w:rsid w:val="009F3764"/>
    <w:rsid w:val="009F3F7E"/>
    <w:rsid w:val="009F45E5"/>
    <w:rsid w:val="009F4946"/>
    <w:rsid w:val="009F4CB2"/>
    <w:rsid w:val="009F4E01"/>
    <w:rsid w:val="009F5D46"/>
    <w:rsid w:val="009F62DE"/>
    <w:rsid w:val="009F6643"/>
    <w:rsid w:val="009F6F40"/>
    <w:rsid w:val="009F6FCD"/>
    <w:rsid w:val="009F7426"/>
    <w:rsid w:val="009F7D5E"/>
    <w:rsid w:val="00A001F1"/>
    <w:rsid w:val="00A00388"/>
    <w:rsid w:val="00A0058B"/>
    <w:rsid w:val="00A008C1"/>
    <w:rsid w:val="00A018EB"/>
    <w:rsid w:val="00A01903"/>
    <w:rsid w:val="00A01AD3"/>
    <w:rsid w:val="00A01B1E"/>
    <w:rsid w:val="00A01DA1"/>
    <w:rsid w:val="00A01EC8"/>
    <w:rsid w:val="00A01FC9"/>
    <w:rsid w:val="00A02CD7"/>
    <w:rsid w:val="00A03397"/>
    <w:rsid w:val="00A036B7"/>
    <w:rsid w:val="00A04172"/>
    <w:rsid w:val="00A04A4A"/>
    <w:rsid w:val="00A04A8C"/>
    <w:rsid w:val="00A04CCB"/>
    <w:rsid w:val="00A0575A"/>
    <w:rsid w:val="00A05E37"/>
    <w:rsid w:val="00A0715E"/>
    <w:rsid w:val="00A07401"/>
    <w:rsid w:val="00A0785D"/>
    <w:rsid w:val="00A07ED1"/>
    <w:rsid w:val="00A10509"/>
    <w:rsid w:val="00A10988"/>
    <w:rsid w:val="00A10C18"/>
    <w:rsid w:val="00A112AC"/>
    <w:rsid w:val="00A11E34"/>
    <w:rsid w:val="00A12463"/>
    <w:rsid w:val="00A12567"/>
    <w:rsid w:val="00A12E53"/>
    <w:rsid w:val="00A134DB"/>
    <w:rsid w:val="00A1378A"/>
    <w:rsid w:val="00A13C78"/>
    <w:rsid w:val="00A141FD"/>
    <w:rsid w:val="00A15567"/>
    <w:rsid w:val="00A159A2"/>
    <w:rsid w:val="00A1616A"/>
    <w:rsid w:val="00A1631D"/>
    <w:rsid w:val="00A1685D"/>
    <w:rsid w:val="00A16E55"/>
    <w:rsid w:val="00A1731E"/>
    <w:rsid w:val="00A17EFA"/>
    <w:rsid w:val="00A17F7F"/>
    <w:rsid w:val="00A2093C"/>
    <w:rsid w:val="00A2097A"/>
    <w:rsid w:val="00A2128D"/>
    <w:rsid w:val="00A213B4"/>
    <w:rsid w:val="00A21739"/>
    <w:rsid w:val="00A21F48"/>
    <w:rsid w:val="00A222C2"/>
    <w:rsid w:val="00A2293D"/>
    <w:rsid w:val="00A22A40"/>
    <w:rsid w:val="00A22B72"/>
    <w:rsid w:val="00A23152"/>
    <w:rsid w:val="00A23451"/>
    <w:rsid w:val="00A23CFF"/>
    <w:rsid w:val="00A23D6E"/>
    <w:rsid w:val="00A24930"/>
    <w:rsid w:val="00A24934"/>
    <w:rsid w:val="00A24FBC"/>
    <w:rsid w:val="00A25A00"/>
    <w:rsid w:val="00A25DB5"/>
    <w:rsid w:val="00A271A7"/>
    <w:rsid w:val="00A277BF"/>
    <w:rsid w:val="00A277DF"/>
    <w:rsid w:val="00A27855"/>
    <w:rsid w:val="00A306AB"/>
    <w:rsid w:val="00A31061"/>
    <w:rsid w:val="00A3157A"/>
    <w:rsid w:val="00A317E6"/>
    <w:rsid w:val="00A31CA7"/>
    <w:rsid w:val="00A32BBE"/>
    <w:rsid w:val="00A32EE4"/>
    <w:rsid w:val="00A330C2"/>
    <w:rsid w:val="00A365F0"/>
    <w:rsid w:val="00A36668"/>
    <w:rsid w:val="00A36781"/>
    <w:rsid w:val="00A36B16"/>
    <w:rsid w:val="00A370BD"/>
    <w:rsid w:val="00A372FF"/>
    <w:rsid w:val="00A374A5"/>
    <w:rsid w:val="00A37633"/>
    <w:rsid w:val="00A37D1D"/>
    <w:rsid w:val="00A409ED"/>
    <w:rsid w:val="00A410FB"/>
    <w:rsid w:val="00A412DC"/>
    <w:rsid w:val="00A41A07"/>
    <w:rsid w:val="00A420DC"/>
    <w:rsid w:val="00A42426"/>
    <w:rsid w:val="00A4263F"/>
    <w:rsid w:val="00A42A5B"/>
    <w:rsid w:val="00A42CDB"/>
    <w:rsid w:val="00A43D89"/>
    <w:rsid w:val="00A445BA"/>
    <w:rsid w:val="00A447B2"/>
    <w:rsid w:val="00A44FFE"/>
    <w:rsid w:val="00A451B6"/>
    <w:rsid w:val="00A452D8"/>
    <w:rsid w:val="00A45D40"/>
    <w:rsid w:val="00A46B4F"/>
    <w:rsid w:val="00A47047"/>
    <w:rsid w:val="00A47520"/>
    <w:rsid w:val="00A47729"/>
    <w:rsid w:val="00A477D1"/>
    <w:rsid w:val="00A47C00"/>
    <w:rsid w:val="00A47E6E"/>
    <w:rsid w:val="00A513D8"/>
    <w:rsid w:val="00A51551"/>
    <w:rsid w:val="00A51855"/>
    <w:rsid w:val="00A52AC6"/>
    <w:rsid w:val="00A5359B"/>
    <w:rsid w:val="00A53646"/>
    <w:rsid w:val="00A53737"/>
    <w:rsid w:val="00A53973"/>
    <w:rsid w:val="00A53B0D"/>
    <w:rsid w:val="00A54819"/>
    <w:rsid w:val="00A54DA1"/>
    <w:rsid w:val="00A5546C"/>
    <w:rsid w:val="00A55CFF"/>
    <w:rsid w:val="00A56401"/>
    <w:rsid w:val="00A574C9"/>
    <w:rsid w:val="00A5785D"/>
    <w:rsid w:val="00A60343"/>
    <w:rsid w:val="00A61421"/>
    <w:rsid w:val="00A6203D"/>
    <w:rsid w:val="00A626A1"/>
    <w:rsid w:val="00A62775"/>
    <w:rsid w:val="00A62AED"/>
    <w:rsid w:val="00A6331C"/>
    <w:rsid w:val="00A6353E"/>
    <w:rsid w:val="00A63BA5"/>
    <w:rsid w:val="00A640C7"/>
    <w:rsid w:val="00A64A6F"/>
    <w:rsid w:val="00A64ACF"/>
    <w:rsid w:val="00A64F61"/>
    <w:rsid w:val="00A65449"/>
    <w:rsid w:val="00A66304"/>
    <w:rsid w:val="00A6704D"/>
    <w:rsid w:val="00A674D9"/>
    <w:rsid w:val="00A71A40"/>
    <w:rsid w:val="00A71C6D"/>
    <w:rsid w:val="00A71D25"/>
    <w:rsid w:val="00A71EB2"/>
    <w:rsid w:val="00A71EBA"/>
    <w:rsid w:val="00A724B8"/>
    <w:rsid w:val="00A72A08"/>
    <w:rsid w:val="00A736DF"/>
    <w:rsid w:val="00A73FF0"/>
    <w:rsid w:val="00A7513C"/>
    <w:rsid w:val="00A75665"/>
    <w:rsid w:val="00A768B9"/>
    <w:rsid w:val="00A76925"/>
    <w:rsid w:val="00A76E0E"/>
    <w:rsid w:val="00A771D5"/>
    <w:rsid w:val="00A778F8"/>
    <w:rsid w:val="00A80251"/>
    <w:rsid w:val="00A805EB"/>
    <w:rsid w:val="00A80D29"/>
    <w:rsid w:val="00A81FDC"/>
    <w:rsid w:val="00A83224"/>
    <w:rsid w:val="00A83EE4"/>
    <w:rsid w:val="00A84373"/>
    <w:rsid w:val="00A844DE"/>
    <w:rsid w:val="00A84D8C"/>
    <w:rsid w:val="00A85A9F"/>
    <w:rsid w:val="00A86926"/>
    <w:rsid w:val="00A903FB"/>
    <w:rsid w:val="00A90D31"/>
    <w:rsid w:val="00A91935"/>
    <w:rsid w:val="00A928A2"/>
    <w:rsid w:val="00A928AD"/>
    <w:rsid w:val="00A92B98"/>
    <w:rsid w:val="00A92E0E"/>
    <w:rsid w:val="00A93ACC"/>
    <w:rsid w:val="00A93ED8"/>
    <w:rsid w:val="00A94187"/>
    <w:rsid w:val="00A94F87"/>
    <w:rsid w:val="00A9539B"/>
    <w:rsid w:val="00A95B8C"/>
    <w:rsid w:val="00A96459"/>
    <w:rsid w:val="00A96D72"/>
    <w:rsid w:val="00A96DA3"/>
    <w:rsid w:val="00AA0880"/>
    <w:rsid w:val="00AA0E5A"/>
    <w:rsid w:val="00AA16A0"/>
    <w:rsid w:val="00AA1704"/>
    <w:rsid w:val="00AA1AA3"/>
    <w:rsid w:val="00AA1FDE"/>
    <w:rsid w:val="00AA302E"/>
    <w:rsid w:val="00AA3113"/>
    <w:rsid w:val="00AA355A"/>
    <w:rsid w:val="00AA3F81"/>
    <w:rsid w:val="00AA580F"/>
    <w:rsid w:val="00AA58E5"/>
    <w:rsid w:val="00AA5BDA"/>
    <w:rsid w:val="00AA6045"/>
    <w:rsid w:val="00AA6C2A"/>
    <w:rsid w:val="00AA6C96"/>
    <w:rsid w:val="00AB0164"/>
    <w:rsid w:val="00AB02F5"/>
    <w:rsid w:val="00AB2A2F"/>
    <w:rsid w:val="00AB3AE1"/>
    <w:rsid w:val="00AB3E66"/>
    <w:rsid w:val="00AB47C0"/>
    <w:rsid w:val="00AB54D7"/>
    <w:rsid w:val="00AB5C4D"/>
    <w:rsid w:val="00AB61B7"/>
    <w:rsid w:val="00AB62D5"/>
    <w:rsid w:val="00AB6B6D"/>
    <w:rsid w:val="00AB70B9"/>
    <w:rsid w:val="00AB749B"/>
    <w:rsid w:val="00AB7C44"/>
    <w:rsid w:val="00AB7E7B"/>
    <w:rsid w:val="00AC0334"/>
    <w:rsid w:val="00AC0D2A"/>
    <w:rsid w:val="00AC0E09"/>
    <w:rsid w:val="00AC113A"/>
    <w:rsid w:val="00AC1601"/>
    <w:rsid w:val="00AC20A7"/>
    <w:rsid w:val="00AC3030"/>
    <w:rsid w:val="00AC309C"/>
    <w:rsid w:val="00AC358A"/>
    <w:rsid w:val="00AC3D0F"/>
    <w:rsid w:val="00AC3F24"/>
    <w:rsid w:val="00AC439C"/>
    <w:rsid w:val="00AC5C9B"/>
    <w:rsid w:val="00AC5D13"/>
    <w:rsid w:val="00AC67D1"/>
    <w:rsid w:val="00AC7637"/>
    <w:rsid w:val="00AC7A9B"/>
    <w:rsid w:val="00AC7BAB"/>
    <w:rsid w:val="00AD0416"/>
    <w:rsid w:val="00AD0550"/>
    <w:rsid w:val="00AD10DE"/>
    <w:rsid w:val="00AD114C"/>
    <w:rsid w:val="00AD15FD"/>
    <w:rsid w:val="00AD1719"/>
    <w:rsid w:val="00AD1C29"/>
    <w:rsid w:val="00AD20C8"/>
    <w:rsid w:val="00AD2214"/>
    <w:rsid w:val="00AD2BF5"/>
    <w:rsid w:val="00AD338D"/>
    <w:rsid w:val="00AD3425"/>
    <w:rsid w:val="00AD48A2"/>
    <w:rsid w:val="00AD49A8"/>
    <w:rsid w:val="00AD4B2D"/>
    <w:rsid w:val="00AD5E3D"/>
    <w:rsid w:val="00AD6D81"/>
    <w:rsid w:val="00AE021F"/>
    <w:rsid w:val="00AE0772"/>
    <w:rsid w:val="00AE0B7E"/>
    <w:rsid w:val="00AE108E"/>
    <w:rsid w:val="00AE1907"/>
    <w:rsid w:val="00AE203B"/>
    <w:rsid w:val="00AE20A4"/>
    <w:rsid w:val="00AE24EF"/>
    <w:rsid w:val="00AE2580"/>
    <w:rsid w:val="00AE27AD"/>
    <w:rsid w:val="00AE2F8B"/>
    <w:rsid w:val="00AE3816"/>
    <w:rsid w:val="00AE4FBB"/>
    <w:rsid w:val="00AE5493"/>
    <w:rsid w:val="00AE5E20"/>
    <w:rsid w:val="00AE69A6"/>
    <w:rsid w:val="00AE751B"/>
    <w:rsid w:val="00AE7709"/>
    <w:rsid w:val="00AE7BF8"/>
    <w:rsid w:val="00AE7EBA"/>
    <w:rsid w:val="00AF01C5"/>
    <w:rsid w:val="00AF0F73"/>
    <w:rsid w:val="00AF0FBE"/>
    <w:rsid w:val="00AF1853"/>
    <w:rsid w:val="00AF1C62"/>
    <w:rsid w:val="00AF258E"/>
    <w:rsid w:val="00AF2EBF"/>
    <w:rsid w:val="00AF35F0"/>
    <w:rsid w:val="00AF38F6"/>
    <w:rsid w:val="00AF3B0B"/>
    <w:rsid w:val="00AF4805"/>
    <w:rsid w:val="00AF4DDE"/>
    <w:rsid w:val="00AF55CF"/>
    <w:rsid w:val="00AF55FC"/>
    <w:rsid w:val="00AF60BC"/>
    <w:rsid w:val="00AF69D8"/>
    <w:rsid w:val="00AF6A3F"/>
    <w:rsid w:val="00AF7163"/>
    <w:rsid w:val="00AF7DFC"/>
    <w:rsid w:val="00B0034E"/>
    <w:rsid w:val="00B0103C"/>
    <w:rsid w:val="00B01791"/>
    <w:rsid w:val="00B0216F"/>
    <w:rsid w:val="00B030AF"/>
    <w:rsid w:val="00B03AAA"/>
    <w:rsid w:val="00B04256"/>
    <w:rsid w:val="00B045B0"/>
    <w:rsid w:val="00B047E1"/>
    <w:rsid w:val="00B054FF"/>
    <w:rsid w:val="00B061DC"/>
    <w:rsid w:val="00B06297"/>
    <w:rsid w:val="00B0687A"/>
    <w:rsid w:val="00B071A7"/>
    <w:rsid w:val="00B075B9"/>
    <w:rsid w:val="00B075C5"/>
    <w:rsid w:val="00B0770B"/>
    <w:rsid w:val="00B07C5D"/>
    <w:rsid w:val="00B07DC0"/>
    <w:rsid w:val="00B102BE"/>
    <w:rsid w:val="00B1074B"/>
    <w:rsid w:val="00B1181D"/>
    <w:rsid w:val="00B11864"/>
    <w:rsid w:val="00B122A8"/>
    <w:rsid w:val="00B12C5A"/>
    <w:rsid w:val="00B133CF"/>
    <w:rsid w:val="00B13811"/>
    <w:rsid w:val="00B142FD"/>
    <w:rsid w:val="00B145B4"/>
    <w:rsid w:val="00B1485C"/>
    <w:rsid w:val="00B15621"/>
    <w:rsid w:val="00B16A79"/>
    <w:rsid w:val="00B171A8"/>
    <w:rsid w:val="00B175F1"/>
    <w:rsid w:val="00B179BF"/>
    <w:rsid w:val="00B200F5"/>
    <w:rsid w:val="00B2036D"/>
    <w:rsid w:val="00B20437"/>
    <w:rsid w:val="00B209D5"/>
    <w:rsid w:val="00B21260"/>
    <w:rsid w:val="00B213DB"/>
    <w:rsid w:val="00B215C6"/>
    <w:rsid w:val="00B21C25"/>
    <w:rsid w:val="00B21DFA"/>
    <w:rsid w:val="00B23734"/>
    <w:rsid w:val="00B23A19"/>
    <w:rsid w:val="00B24AFA"/>
    <w:rsid w:val="00B2516D"/>
    <w:rsid w:val="00B25281"/>
    <w:rsid w:val="00B25E06"/>
    <w:rsid w:val="00B266F1"/>
    <w:rsid w:val="00B26B3F"/>
    <w:rsid w:val="00B26F47"/>
    <w:rsid w:val="00B2752C"/>
    <w:rsid w:val="00B30186"/>
    <w:rsid w:val="00B3048E"/>
    <w:rsid w:val="00B30B2F"/>
    <w:rsid w:val="00B30FF8"/>
    <w:rsid w:val="00B311D0"/>
    <w:rsid w:val="00B314B9"/>
    <w:rsid w:val="00B31CE3"/>
    <w:rsid w:val="00B31DCF"/>
    <w:rsid w:val="00B33606"/>
    <w:rsid w:val="00B3416F"/>
    <w:rsid w:val="00B34A67"/>
    <w:rsid w:val="00B34D85"/>
    <w:rsid w:val="00B3523C"/>
    <w:rsid w:val="00B358D8"/>
    <w:rsid w:val="00B3600E"/>
    <w:rsid w:val="00B36599"/>
    <w:rsid w:val="00B401F3"/>
    <w:rsid w:val="00B41384"/>
    <w:rsid w:val="00B420C3"/>
    <w:rsid w:val="00B428E5"/>
    <w:rsid w:val="00B43907"/>
    <w:rsid w:val="00B43AB0"/>
    <w:rsid w:val="00B44990"/>
    <w:rsid w:val="00B44C67"/>
    <w:rsid w:val="00B457C7"/>
    <w:rsid w:val="00B45B41"/>
    <w:rsid w:val="00B4602C"/>
    <w:rsid w:val="00B4620C"/>
    <w:rsid w:val="00B47C95"/>
    <w:rsid w:val="00B508F6"/>
    <w:rsid w:val="00B50DEE"/>
    <w:rsid w:val="00B510E7"/>
    <w:rsid w:val="00B516EC"/>
    <w:rsid w:val="00B517BA"/>
    <w:rsid w:val="00B518BD"/>
    <w:rsid w:val="00B52123"/>
    <w:rsid w:val="00B529AA"/>
    <w:rsid w:val="00B53523"/>
    <w:rsid w:val="00B537B7"/>
    <w:rsid w:val="00B539CF"/>
    <w:rsid w:val="00B5468F"/>
    <w:rsid w:val="00B54BB9"/>
    <w:rsid w:val="00B55459"/>
    <w:rsid w:val="00B56224"/>
    <w:rsid w:val="00B57D71"/>
    <w:rsid w:val="00B57EC9"/>
    <w:rsid w:val="00B603E4"/>
    <w:rsid w:val="00B603FB"/>
    <w:rsid w:val="00B6079B"/>
    <w:rsid w:val="00B60C1B"/>
    <w:rsid w:val="00B61CB7"/>
    <w:rsid w:val="00B61E40"/>
    <w:rsid w:val="00B626B4"/>
    <w:rsid w:val="00B62783"/>
    <w:rsid w:val="00B628F2"/>
    <w:rsid w:val="00B6299F"/>
    <w:rsid w:val="00B63091"/>
    <w:rsid w:val="00B641DF"/>
    <w:rsid w:val="00B64461"/>
    <w:rsid w:val="00B647DC"/>
    <w:rsid w:val="00B64853"/>
    <w:rsid w:val="00B65014"/>
    <w:rsid w:val="00B655CE"/>
    <w:rsid w:val="00B65713"/>
    <w:rsid w:val="00B65910"/>
    <w:rsid w:val="00B65DD0"/>
    <w:rsid w:val="00B663D2"/>
    <w:rsid w:val="00B66CEC"/>
    <w:rsid w:val="00B67148"/>
    <w:rsid w:val="00B6790D"/>
    <w:rsid w:val="00B679C7"/>
    <w:rsid w:val="00B70346"/>
    <w:rsid w:val="00B70E06"/>
    <w:rsid w:val="00B71307"/>
    <w:rsid w:val="00B71465"/>
    <w:rsid w:val="00B72247"/>
    <w:rsid w:val="00B723C4"/>
    <w:rsid w:val="00B72759"/>
    <w:rsid w:val="00B73779"/>
    <w:rsid w:val="00B739AD"/>
    <w:rsid w:val="00B7441A"/>
    <w:rsid w:val="00B746D3"/>
    <w:rsid w:val="00B74D5A"/>
    <w:rsid w:val="00B75353"/>
    <w:rsid w:val="00B755C2"/>
    <w:rsid w:val="00B75734"/>
    <w:rsid w:val="00B757A7"/>
    <w:rsid w:val="00B75A2A"/>
    <w:rsid w:val="00B766B2"/>
    <w:rsid w:val="00B775A2"/>
    <w:rsid w:val="00B77AFE"/>
    <w:rsid w:val="00B8000E"/>
    <w:rsid w:val="00B806F5"/>
    <w:rsid w:val="00B809E1"/>
    <w:rsid w:val="00B80B78"/>
    <w:rsid w:val="00B80D5A"/>
    <w:rsid w:val="00B81341"/>
    <w:rsid w:val="00B81E9B"/>
    <w:rsid w:val="00B82050"/>
    <w:rsid w:val="00B82B0B"/>
    <w:rsid w:val="00B82BDB"/>
    <w:rsid w:val="00B82D9E"/>
    <w:rsid w:val="00B838C9"/>
    <w:rsid w:val="00B8470D"/>
    <w:rsid w:val="00B856D4"/>
    <w:rsid w:val="00B85E84"/>
    <w:rsid w:val="00B86E7D"/>
    <w:rsid w:val="00B86E96"/>
    <w:rsid w:val="00B87DCC"/>
    <w:rsid w:val="00B90AF8"/>
    <w:rsid w:val="00B919A8"/>
    <w:rsid w:val="00B92409"/>
    <w:rsid w:val="00B92815"/>
    <w:rsid w:val="00B936D2"/>
    <w:rsid w:val="00B95226"/>
    <w:rsid w:val="00B95921"/>
    <w:rsid w:val="00B95DEC"/>
    <w:rsid w:val="00B9682E"/>
    <w:rsid w:val="00B96BD3"/>
    <w:rsid w:val="00B97108"/>
    <w:rsid w:val="00BA01BE"/>
    <w:rsid w:val="00BA0B1A"/>
    <w:rsid w:val="00BA0C42"/>
    <w:rsid w:val="00BA1088"/>
    <w:rsid w:val="00BA18B1"/>
    <w:rsid w:val="00BA2589"/>
    <w:rsid w:val="00BA2CBA"/>
    <w:rsid w:val="00BA38A2"/>
    <w:rsid w:val="00BA4B94"/>
    <w:rsid w:val="00BA4C08"/>
    <w:rsid w:val="00BA4DF3"/>
    <w:rsid w:val="00BA4F36"/>
    <w:rsid w:val="00BA64CB"/>
    <w:rsid w:val="00BA670C"/>
    <w:rsid w:val="00BA7A62"/>
    <w:rsid w:val="00BB013D"/>
    <w:rsid w:val="00BB0153"/>
    <w:rsid w:val="00BB0444"/>
    <w:rsid w:val="00BB05C6"/>
    <w:rsid w:val="00BB0AF8"/>
    <w:rsid w:val="00BB1303"/>
    <w:rsid w:val="00BB190A"/>
    <w:rsid w:val="00BB1C82"/>
    <w:rsid w:val="00BB284E"/>
    <w:rsid w:val="00BB300E"/>
    <w:rsid w:val="00BB39BB"/>
    <w:rsid w:val="00BB434C"/>
    <w:rsid w:val="00BB4470"/>
    <w:rsid w:val="00BB488B"/>
    <w:rsid w:val="00BB4B5A"/>
    <w:rsid w:val="00BB5C93"/>
    <w:rsid w:val="00BB6262"/>
    <w:rsid w:val="00BB7590"/>
    <w:rsid w:val="00BB7C29"/>
    <w:rsid w:val="00BC228C"/>
    <w:rsid w:val="00BC22B7"/>
    <w:rsid w:val="00BC3BCD"/>
    <w:rsid w:val="00BC5237"/>
    <w:rsid w:val="00BC60CD"/>
    <w:rsid w:val="00BC635F"/>
    <w:rsid w:val="00BC6754"/>
    <w:rsid w:val="00BC70AB"/>
    <w:rsid w:val="00BC7141"/>
    <w:rsid w:val="00BD0205"/>
    <w:rsid w:val="00BD057C"/>
    <w:rsid w:val="00BD0868"/>
    <w:rsid w:val="00BD0D43"/>
    <w:rsid w:val="00BD0F3F"/>
    <w:rsid w:val="00BD134B"/>
    <w:rsid w:val="00BD1F11"/>
    <w:rsid w:val="00BD2A1A"/>
    <w:rsid w:val="00BD37B5"/>
    <w:rsid w:val="00BD3FD5"/>
    <w:rsid w:val="00BD4541"/>
    <w:rsid w:val="00BD45E0"/>
    <w:rsid w:val="00BD48D3"/>
    <w:rsid w:val="00BD4E95"/>
    <w:rsid w:val="00BD5185"/>
    <w:rsid w:val="00BD5320"/>
    <w:rsid w:val="00BD54EC"/>
    <w:rsid w:val="00BD5A49"/>
    <w:rsid w:val="00BE07F4"/>
    <w:rsid w:val="00BE08D2"/>
    <w:rsid w:val="00BE1EF9"/>
    <w:rsid w:val="00BE2C84"/>
    <w:rsid w:val="00BE391B"/>
    <w:rsid w:val="00BE4719"/>
    <w:rsid w:val="00BE4DFA"/>
    <w:rsid w:val="00BE50C9"/>
    <w:rsid w:val="00BE6116"/>
    <w:rsid w:val="00BE62EB"/>
    <w:rsid w:val="00BE6575"/>
    <w:rsid w:val="00BE6A6F"/>
    <w:rsid w:val="00BE7011"/>
    <w:rsid w:val="00BE74C6"/>
    <w:rsid w:val="00BF2196"/>
    <w:rsid w:val="00BF21AE"/>
    <w:rsid w:val="00BF2226"/>
    <w:rsid w:val="00BF2885"/>
    <w:rsid w:val="00BF29F7"/>
    <w:rsid w:val="00BF3804"/>
    <w:rsid w:val="00BF3EA4"/>
    <w:rsid w:val="00BF45F4"/>
    <w:rsid w:val="00BF47D2"/>
    <w:rsid w:val="00BF4ACC"/>
    <w:rsid w:val="00BF502A"/>
    <w:rsid w:val="00BF5499"/>
    <w:rsid w:val="00BF54B4"/>
    <w:rsid w:val="00BF5756"/>
    <w:rsid w:val="00BF6252"/>
    <w:rsid w:val="00BF641F"/>
    <w:rsid w:val="00BF6782"/>
    <w:rsid w:val="00BF6B60"/>
    <w:rsid w:val="00BF78B9"/>
    <w:rsid w:val="00BF7967"/>
    <w:rsid w:val="00BF79CB"/>
    <w:rsid w:val="00C00259"/>
    <w:rsid w:val="00C011C7"/>
    <w:rsid w:val="00C01A84"/>
    <w:rsid w:val="00C01B4C"/>
    <w:rsid w:val="00C022C0"/>
    <w:rsid w:val="00C02CE4"/>
    <w:rsid w:val="00C05FEE"/>
    <w:rsid w:val="00C06657"/>
    <w:rsid w:val="00C1029E"/>
    <w:rsid w:val="00C10CEC"/>
    <w:rsid w:val="00C11D9A"/>
    <w:rsid w:val="00C11FD5"/>
    <w:rsid w:val="00C12446"/>
    <w:rsid w:val="00C138CB"/>
    <w:rsid w:val="00C139D9"/>
    <w:rsid w:val="00C141EB"/>
    <w:rsid w:val="00C14DAB"/>
    <w:rsid w:val="00C15D1C"/>
    <w:rsid w:val="00C16251"/>
    <w:rsid w:val="00C16D67"/>
    <w:rsid w:val="00C170C8"/>
    <w:rsid w:val="00C17798"/>
    <w:rsid w:val="00C20D5E"/>
    <w:rsid w:val="00C20FAF"/>
    <w:rsid w:val="00C21275"/>
    <w:rsid w:val="00C212A3"/>
    <w:rsid w:val="00C214FC"/>
    <w:rsid w:val="00C21769"/>
    <w:rsid w:val="00C21A15"/>
    <w:rsid w:val="00C21EA4"/>
    <w:rsid w:val="00C221A6"/>
    <w:rsid w:val="00C223AC"/>
    <w:rsid w:val="00C2279E"/>
    <w:rsid w:val="00C2372D"/>
    <w:rsid w:val="00C23CF3"/>
    <w:rsid w:val="00C249DB"/>
    <w:rsid w:val="00C2525B"/>
    <w:rsid w:val="00C2535F"/>
    <w:rsid w:val="00C255FA"/>
    <w:rsid w:val="00C26A9E"/>
    <w:rsid w:val="00C27857"/>
    <w:rsid w:val="00C279DC"/>
    <w:rsid w:val="00C30317"/>
    <w:rsid w:val="00C3037A"/>
    <w:rsid w:val="00C30710"/>
    <w:rsid w:val="00C31729"/>
    <w:rsid w:val="00C3283A"/>
    <w:rsid w:val="00C32BB6"/>
    <w:rsid w:val="00C330A4"/>
    <w:rsid w:val="00C3327A"/>
    <w:rsid w:val="00C33A04"/>
    <w:rsid w:val="00C33B37"/>
    <w:rsid w:val="00C33F82"/>
    <w:rsid w:val="00C34603"/>
    <w:rsid w:val="00C34CD2"/>
    <w:rsid w:val="00C35005"/>
    <w:rsid w:val="00C3531F"/>
    <w:rsid w:val="00C357FB"/>
    <w:rsid w:val="00C362FB"/>
    <w:rsid w:val="00C36805"/>
    <w:rsid w:val="00C36ABC"/>
    <w:rsid w:val="00C36B2E"/>
    <w:rsid w:val="00C36FF8"/>
    <w:rsid w:val="00C3702F"/>
    <w:rsid w:val="00C37952"/>
    <w:rsid w:val="00C37CDA"/>
    <w:rsid w:val="00C37D2A"/>
    <w:rsid w:val="00C40043"/>
    <w:rsid w:val="00C4051E"/>
    <w:rsid w:val="00C40BA9"/>
    <w:rsid w:val="00C40BD5"/>
    <w:rsid w:val="00C40E3D"/>
    <w:rsid w:val="00C419A9"/>
    <w:rsid w:val="00C41CAA"/>
    <w:rsid w:val="00C42604"/>
    <w:rsid w:val="00C432EF"/>
    <w:rsid w:val="00C43833"/>
    <w:rsid w:val="00C43A07"/>
    <w:rsid w:val="00C441A6"/>
    <w:rsid w:val="00C441E0"/>
    <w:rsid w:val="00C4427B"/>
    <w:rsid w:val="00C44761"/>
    <w:rsid w:val="00C4487A"/>
    <w:rsid w:val="00C45359"/>
    <w:rsid w:val="00C46A7A"/>
    <w:rsid w:val="00C4711C"/>
    <w:rsid w:val="00C479C6"/>
    <w:rsid w:val="00C50CC6"/>
    <w:rsid w:val="00C50F4C"/>
    <w:rsid w:val="00C518E1"/>
    <w:rsid w:val="00C51D23"/>
    <w:rsid w:val="00C52373"/>
    <w:rsid w:val="00C52752"/>
    <w:rsid w:val="00C52B41"/>
    <w:rsid w:val="00C5300C"/>
    <w:rsid w:val="00C533FF"/>
    <w:rsid w:val="00C536E6"/>
    <w:rsid w:val="00C54608"/>
    <w:rsid w:val="00C54A95"/>
    <w:rsid w:val="00C54D59"/>
    <w:rsid w:val="00C55191"/>
    <w:rsid w:val="00C55272"/>
    <w:rsid w:val="00C55740"/>
    <w:rsid w:val="00C56CAE"/>
    <w:rsid w:val="00C570D2"/>
    <w:rsid w:val="00C5742D"/>
    <w:rsid w:val="00C57D22"/>
    <w:rsid w:val="00C6059E"/>
    <w:rsid w:val="00C6168E"/>
    <w:rsid w:val="00C61DF4"/>
    <w:rsid w:val="00C63D09"/>
    <w:rsid w:val="00C6468E"/>
    <w:rsid w:val="00C6474F"/>
    <w:rsid w:val="00C6483B"/>
    <w:rsid w:val="00C64E20"/>
    <w:rsid w:val="00C655B8"/>
    <w:rsid w:val="00C65675"/>
    <w:rsid w:val="00C65B9B"/>
    <w:rsid w:val="00C66E32"/>
    <w:rsid w:val="00C67390"/>
    <w:rsid w:val="00C674C0"/>
    <w:rsid w:val="00C675D4"/>
    <w:rsid w:val="00C6763B"/>
    <w:rsid w:val="00C67887"/>
    <w:rsid w:val="00C67EBB"/>
    <w:rsid w:val="00C70403"/>
    <w:rsid w:val="00C7050B"/>
    <w:rsid w:val="00C70649"/>
    <w:rsid w:val="00C70692"/>
    <w:rsid w:val="00C70AA9"/>
    <w:rsid w:val="00C70D52"/>
    <w:rsid w:val="00C711DD"/>
    <w:rsid w:val="00C716BB"/>
    <w:rsid w:val="00C7198E"/>
    <w:rsid w:val="00C725CA"/>
    <w:rsid w:val="00C72C84"/>
    <w:rsid w:val="00C73479"/>
    <w:rsid w:val="00C7386C"/>
    <w:rsid w:val="00C73AEF"/>
    <w:rsid w:val="00C73AFC"/>
    <w:rsid w:val="00C73C43"/>
    <w:rsid w:val="00C73D42"/>
    <w:rsid w:val="00C73D4B"/>
    <w:rsid w:val="00C73E50"/>
    <w:rsid w:val="00C74257"/>
    <w:rsid w:val="00C74518"/>
    <w:rsid w:val="00C7538E"/>
    <w:rsid w:val="00C7545F"/>
    <w:rsid w:val="00C75849"/>
    <w:rsid w:val="00C75AE1"/>
    <w:rsid w:val="00C7613D"/>
    <w:rsid w:val="00C77589"/>
    <w:rsid w:val="00C80074"/>
    <w:rsid w:val="00C800FD"/>
    <w:rsid w:val="00C8047A"/>
    <w:rsid w:val="00C80ED8"/>
    <w:rsid w:val="00C8160A"/>
    <w:rsid w:val="00C81712"/>
    <w:rsid w:val="00C81748"/>
    <w:rsid w:val="00C81BEB"/>
    <w:rsid w:val="00C8357B"/>
    <w:rsid w:val="00C8458A"/>
    <w:rsid w:val="00C851C1"/>
    <w:rsid w:val="00C851E4"/>
    <w:rsid w:val="00C85A62"/>
    <w:rsid w:val="00C85E52"/>
    <w:rsid w:val="00C86269"/>
    <w:rsid w:val="00C87B46"/>
    <w:rsid w:val="00C90B10"/>
    <w:rsid w:val="00C910DB"/>
    <w:rsid w:val="00C91A39"/>
    <w:rsid w:val="00C91B19"/>
    <w:rsid w:val="00C92610"/>
    <w:rsid w:val="00C92F1A"/>
    <w:rsid w:val="00C93207"/>
    <w:rsid w:val="00C9325E"/>
    <w:rsid w:val="00C933B7"/>
    <w:rsid w:val="00C9386A"/>
    <w:rsid w:val="00C93E8B"/>
    <w:rsid w:val="00C947F3"/>
    <w:rsid w:val="00C94E6B"/>
    <w:rsid w:val="00C94FE3"/>
    <w:rsid w:val="00C95377"/>
    <w:rsid w:val="00C95A5A"/>
    <w:rsid w:val="00C95E12"/>
    <w:rsid w:val="00C964B2"/>
    <w:rsid w:val="00C9697B"/>
    <w:rsid w:val="00C96A98"/>
    <w:rsid w:val="00C96C25"/>
    <w:rsid w:val="00C9718B"/>
    <w:rsid w:val="00CA0125"/>
    <w:rsid w:val="00CA13F5"/>
    <w:rsid w:val="00CA16C7"/>
    <w:rsid w:val="00CA20E5"/>
    <w:rsid w:val="00CA299A"/>
    <w:rsid w:val="00CA3782"/>
    <w:rsid w:val="00CA409C"/>
    <w:rsid w:val="00CA6329"/>
    <w:rsid w:val="00CA75C7"/>
    <w:rsid w:val="00CA76AE"/>
    <w:rsid w:val="00CA7A53"/>
    <w:rsid w:val="00CB054E"/>
    <w:rsid w:val="00CB0A23"/>
    <w:rsid w:val="00CB0A2F"/>
    <w:rsid w:val="00CB14C3"/>
    <w:rsid w:val="00CB1A8E"/>
    <w:rsid w:val="00CB1FD8"/>
    <w:rsid w:val="00CB254C"/>
    <w:rsid w:val="00CB2683"/>
    <w:rsid w:val="00CB4119"/>
    <w:rsid w:val="00CB4590"/>
    <w:rsid w:val="00CB4B6D"/>
    <w:rsid w:val="00CB4E3A"/>
    <w:rsid w:val="00CB5094"/>
    <w:rsid w:val="00CB589E"/>
    <w:rsid w:val="00CB6AC8"/>
    <w:rsid w:val="00CB6D66"/>
    <w:rsid w:val="00CB798D"/>
    <w:rsid w:val="00CB7EED"/>
    <w:rsid w:val="00CC0380"/>
    <w:rsid w:val="00CC0E97"/>
    <w:rsid w:val="00CC107B"/>
    <w:rsid w:val="00CC10A7"/>
    <w:rsid w:val="00CC147F"/>
    <w:rsid w:val="00CC2028"/>
    <w:rsid w:val="00CC2777"/>
    <w:rsid w:val="00CC2CF8"/>
    <w:rsid w:val="00CC2F1D"/>
    <w:rsid w:val="00CC3618"/>
    <w:rsid w:val="00CC4BB4"/>
    <w:rsid w:val="00CC503E"/>
    <w:rsid w:val="00CC57E2"/>
    <w:rsid w:val="00CC5955"/>
    <w:rsid w:val="00CC5B75"/>
    <w:rsid w:val="00CC61D5"/>
    <w:rsid w:val="00CC67BE"/>
    <w:rsid w:val="00CC77C3"/>
    <w:rsid w:val="00CC7E96"/>
    <w:rsid w:val="00CC7F4D"/>
    <w:rsid w:val="00CD0348"/>
    <w:rsid w:val="00CD0F71"/>
    <w:rsid w:val="00CD110A"/>
    <w:rsid w:val="00CD1FBB"/>
    <w:rsid w:val="00CD266F"/>
    <w:rsid w:val="00CD2B90"/>
    <w:rsid w:val="00CD3390"/>
    <w:rsid w:val="00CD42BF"/>
    <w:rsid w:val="00CD42E4"/>
    <w:rsid w:val="00CD440B"/>
    <w:rsid w:val="00CD4980"/>
    <w:rsid w:val="00CD49C5"/>
    <w:rsid w:val="00CD4A09"/>
    <w:rsid w:val="00CD4FFE"/>
    <w:rsid w:val="00CD502C"/>
    <w:rsid w:val="00CD5C0A"/>
    <w:rsid w:val="00CD6372"/>
    <w:rsid w:val="00CD7286"/>
    <w:rsid w:val="00CD73AD"/>
    <w:rsid w:val="00CD740D"/>
    <w:rsid w:val="00CD7993"/>
    <w:rsid w:val="00CD7DAF"/>
    <w:rsid w:val="00CE04A2"/>
    <w:rsid w:val="00CE074B"/>
    <w:rsid w:val="00CE097D"/>
    <w:rsid w:val="00CE1235"/>
    <w:rsid w:val="00CE1755"/>
    <w:rsid w:val="00CE1DC4"/>
    <w:rsid w:val="00CE2B24"/>
    <w:rsid w:val="00CE2D39"/>
    <w:rsid w:val="00CE32D3"/>
    <w:rsid w:val="00CE363F"/>
    <w:rsid w:val="00CE4487"/>
    <w:rsid w:val="00CE44B2"/>
    <w:rsid w:val="00CE4676"/>
    <w:rsid w:val="00CE49E7"/>
    <w:rsid w:val="00CE6726"/>
    <w:rsid w:val="00CE69F1"/>
    <w:rsid w:val="00CE6A55"/>
    <w:rsid w:val="00CE7483"/>
    <w:rsid w:val="00CF0A4D"/>
    <w:rsid w:val="00CF1E6F"/>
    <w:rsid w:val="00CF246E"/>
    <w:rsid w:val="00CF254C"/>
    <w:rsid w:val="00CF315B"/>
    <w:rsid w:val="00CF32F8"/>
    <w:rsid w:val="00CF40D3"/>
    <w:rsid w:val="00CF4C0D"/>
    <w:rsid w:val="00CF50D5"/>
    <w:rsid w:val="00CF5299"/>
    <w:rsid w:val="00CF5324"/>
    <w:rsid w:val="00CF5B64"/>
    <w:rsid w:val="00CF73E7"/>
    <w:rsid w:val="00CF7AEE"/>
    <w:rsid w:val="00CF7F01"/>
    <w:rsid w:val="00D00C90"/>
    <w:rsid w:val="00D0151B"/>
    <w:rsid w:val="00D01CC1"/>
    <w:rsid w:val="00D01FEA"/>
    <w:rsid w:val="00D0207F"/>
    <w:rsid w:val="00D02888"/>
    <w:rsid w:val="00D04A90"/>
    <w:rsid w:val="00D04AE2"/>
    <w:rsid w:val="00D04D13"/>
    <w:rsid w:val="00D055B8"/>
    <w:rsid w:val="00D05714"/>
    <w:rsid w:val="00D06081"/>
    <w:rsid w:val="00D060B0"/>
    <w:rsid w:val="00D0679E"/>
    <w:rsid w:val="00D07B96"/>
    <w:rsid w:val="00D102D2"/>
    <w:rsid w:val="00D1100B"/>
    <w:rsid w:val="00D12850"/>
    <w:rsid w:val="00D12B0A"/>
    <w:rsid w:val="00D12B54"/>
    <w:rsid w:val="00D1320A"/>
    <w:rsid w:val="00D13D5D"/>
    <w:rsid w:val="00D14872"/>
    <w:rsid w:val="00D15A53"/>
    <w:rsid w:val="00D15B07"/>
    <w:rsid w:val="00D16133"/>
    <w:rsid w:val="00D16656"/>
    <w:rsid w:val="00D16FC0"/>
    <w:rsid w:val="00D170AE"/>
    <w:rsid w:val="00D177C8"/>
    <w:rsid w:val="00D20579"/>
    <w:rsid w:val="00D20E0A"/>
    <w:rsid w:val="00D2125A"/>
    <w:rsid w:val="00D2185B"/>
    <w:rsid w:val="00D21A83"/>
    <w:rsid w:val="00D2232F"/>
    <w:rsid w:val="00D227D1"/>
    <w:rsid w:val="00D22B1C"/>
    <w:rsid w:val="00D22ECD"/>
    <w:rsid w:val="00D234B3"/>
    <w:rsid w:val="00D23BAF"/>
    <w:rsid w:val="00D23D8E"/>
    <w:rsid w:val="00D2567E"/>
    <w:rsid w:val="00D25A8B"/>
    <w:rsid w:val="00D261F8"/>
    <w:rsid w:val="00D26253"/>
    <w:rsid w:val="00D266F9"/>
    <w:rsid w:val="00D2685A"/>
    <w:rsid w:val="00D26D8C"/>
    <w:rsid w:val="00D30354"/>
    <w:rsid w:val="00D30B4A"/>
    <w:rsid w:val="00D30D09"/>
    <w:rsid w:val="00D318B8"/>
    <w:rsid w:val="00D3233F"/>
    <w:rsid w:val="00D333F3"/>
    <w:rsid w:val="00D33A63"/>
    <w:rsid w:val="00D34821"/>
    <w:rsid w:val="00D35411"/>
    <w:rsid w:val="00D35B81"/>
    <w:rsid w:val="00D35C5C"/>
    <w:rsid w:val="00D365FE"/>
    <w:rsid w:val="00D37558"/>
    <w:rsid w:val="00D37A4A"/>
    <w:rsid w:val="00D40239"/>
    <w:rsid w:val="00D40C0F"/>
    <w:rsid w:val="00D41192"/>
    <w:rsid w:val="00D41D84"/>
    <w:rsid w:val="00D422D1"/>
    <w:rsid w:val="00D429EA"/>
    <w:rsid w:val="00D43A00"/>
    <w:rsid w:val="00D44B18"/>
    <w:rsid w:val="00D44F17"/>
    <w:rsid w:val="00D45AD0"/>
    <w:rsid w:val="00D45D63"/>
    <w:rsid w:val="00D46883"/>
    <w:rsid w:val="00D46F04"/>
    <w:rsid w:val="00D46F9A"/>
    <w:rsid w:val="00D47261"/>
    <w:rsid w:val="00D47383"/>
    <w:rsid w:val="00D4751E"/>
    <w:rsid w:val="00D47686"/>
    <w:rsid w:val="00D47C95"/>
    <w:rsid w:val="00D5107F"/>
    <w:rsid w:val="00D510BC"/>
    <w:rsid w:val="00D51695"/>
    <w:rsid w:val="00D51B1D"/>
    <w:rsid w:val="00D5253D"/>
    <w:rsid w:val="00D52B64"/>
    <w:rsid w:val="00D5380C"/>
    <w:rsid w:val="00D53FC9"/>
    <w:rsid w:val="00D54209"/>
    <w:rsid w:val="00D54435"/>
    <w:rsid w:val="00D5454D"/>
    <w:rsid w:val="00D54ACD"/>
    <w:rsid w:val="00D56B30"/>
    <w:rsid w:val="00D56F83"/>
    <w:rsid w:val="00D5756F"/>
    <w:rsid w:val="00D605EE"/>
    <w:rsid w:val="00D60C2B"/>
    <w:rsid w:val="00D60E2C"/>
    <w:rsid w:val="00D60EC6"/>
    <w:rsid w:val="00D61BB5"/>
    <w:rsid w:val="00D620C6"/>
    <w:rsid w:val="00D62201"/>
    <w:rsid w:val="00D623FF"/>
    <w:rsid w:val="00D6324A"/>
    <w:rsid w:val="00D6343B"/>
    <w:rsid w:val="00D635A5"/>
    <w:rsid w:val="00D64852"/>
    <w:rsid w:val="00D656D7"/>
    <w:rsid w:val="00D6570B"/>
    <w:rsid w:val="00D66B62"/>
    <w:rsid w:val="00D66DE6"/>
    <w:rsid w:val="00D67740"/>
    <w:rsid w:val="00D705E2"/>
    <w:rsid w:val="00D705EB"/>
    <w:rsid w:val="00D70BEB"/>
    <w:rsid w:val="00D71A92"/>
    <w:rsid w:val="00D72C9F"/>
    <w:rsid w:val="00D72F83"/>
    <w:rsid w:val="00D73429"/>
    <w:rsid w:val="00D7395C"/>
    <w:rsid w:val="00D752B5"/>
    <w:rsid w:val="00D758D3"/>
    <w:rsid w:val="00D759A5"/>
    <w:rsid w:val="00D75C4D"/>
    <w:rsid w:val="00D75CD4"/>
    <w:rsid w:val="00D76513"/>
    <w:rsid w:val="00D76650"/>
    <w:rsid w:val="00D76A81"/>
    <w:rsid w:val="00D76B79"/>
    <w:rsid w:val="00D76C61"/>
    <w:rsid w:val="00D77396"/>
    <w:rsid w:val="00D77A0A"/>
    <w:rsid w:val="00D77B0D"/>
    <w:rsid w:val="00D77D2F"/>
    <w:rsid w:val="00D77F06"/>
    <w:rsid w:val="00D803DF"/>
    <w:rsid w:val="00D80631"/>
    <w:rsid w:val="00D80F9E"/>
    <w:rsid w:val="00D8107C"/>
    <w:rsid w:val="00D81372"/>
    <w:rsid w:val="00D81B4F"/>
    <w:rsid w:val="00D81CD3"/>
    <w:rsid w:val="00D81CD6"/>
    <w:rsid w:val="00D82279"/>
    <w:rsid w:val="00D824D1"/>
    <w:rsid w:val="00D83A92"/>
    <w:rsid w:val="00D83D27"/>
    <w:rsid w:val="00D84148"/>
    <w:rsid w:val="00D84637"/>
    <w:rsid w:val="00D84F5D"/>
    <w:rsid w:val="00D853F9"/>
    <w:rsid w:val="00D85912"/>
    <w:rsid w:val="00D85A12"/>
    <w:rsid w:val="00D85C05"/>
    <w:rsid w:val="00D85C65"/>
    <w:rsid w:val="00D85CD6"/>
    <w:rsid w:val="00D86592"/>
    <w:rsid w:val="00D87174"/>
    <w:rsid w:val="00D879CC"/>
    <w:rsid w:val="00D87B9B"/>
    <w:rsid w:val="00D90C8C"/>
    <w:rsid w:val="00D9107D"/>
    <w:rsid w:val="00D91230"/>
    <w:rsid w:val="00D913C0"/>
    <w:rsid w:val="00D915E7"/>
    <w:rsid w:val="00D91CB5"/>
    <w:rsid w:val="00D91D16"/>
    <w:rsid w:val="00D9319F"/>
    <w:rsid w:val="00D93A9A"/>
    <w:rsid w:val="00D94DC5"/>
    <w:rsid w:val="00D95092"/>
    <w:rsid w:val="00D9570D"/>
    <w:rsid w:val="00D95837"/>
    <w:rsid w:val="00D95C1C"/>
    <w:rsid w:val="00D96421"/>
    <w:rsid w:val="00D964F3"/>
    <w:rsid w:val="00D96FE5"/>
    <w:rsid w:val="00D971BE"/>
    <w:rsid w:val="00D97852"/>
    <w:rsid w:val="00DA023D"/>
    <w:rsid w:val="00DA08C5"/>
    <w:rsid w:val="00DA1250"/>
    <w:rsid w:val="00DA1E84"/>
    <w:rsid w:val="00DA246A"/>
    <w:rsid w:val="00DA3163"/>
    <w:rsid w:val="00DA3867"/>
    <w:rsid w:val="00DA3B65"/>
    <w:rsid w:val="00DA3CA6"/>
    <w:rsid w:val="00DA3E54"/>
    <w:rsid w:val="00DA44B6"/>
    <w:rsid w:val="00DA455F"/>
    <w:rsid w:val="00DA5280"/>
    <w:rsid w:val="00DA53CF"/>
    <w:rsid w:val="00DA544B"/>
    <w:rsid w:val="00DA59BD"/>
    <w:rsid w:val="00DA5ED2"/>
    <w:rsid w:val="00DA65FC"/>
    <w:rsid w:val="00DA7091"/>
    <w:rsid w:val="00DA7598"/>
    <w:rsid w:val="00DA793A"/>
    <w:rsid w:val="00DB0127"/>
    <w:rsid w:val="00DB105C"/>
    <w:rsid w:val="00DB1388"/>
    <w:rsid w:val="00DB1AB8"/>
    <w:rsid w:val="00DB1FDD"/>
    <w:rsid w:val="00DB2603"/>
    <w:rsid w:val="00DB26AA"/>
    <w:rsid w:val="00DB3138"/>
    <w:rsid w:val="00DB38E5"/>
    <w:rsid w:val="00DB3C83"/>
    <w:rsid w:val="00DB3F4C"/>
    <w:rsid w:val="00DB4097"/>
    <w:rsid w:val="00DB44BB"/>
    <w:rsid w:val="00DB4666"/>
    <w:rsid w:val="00DB4807"/>
    <w:rsid w:val="00DB4EF9"/>
    <w:rsid w:val="00DB51A2"/>
    <w:rsid w:val="00DB5EC5"/>
    <w:rsid w:val="00DB5F03"/>
    <w:rsid w:val="00DB6175"/>
    <w:rsid w:val="00DB618E"/>
    <w:rsid w:val="00DB6BF9"/>
    <w:rsid w:val="00DB70D2"/>
    <w:rsid w:val="00DB7482"/>
    <w:rsid w:val="00DC02CA"/>
    <w:rsid w:val="00DC0E56"/>
    <w:rsid w:val="00DC1512"/>
    <w:rsid w:val="00DC1A42"/>
    <w:rsid w:val="00DC38D2"/>
    <w:rsid w:val="00DC3B29"/>
    <w:rsid w:val="00DC43EB"/>
    <w:rsid w:val="00DC54C9"/>
    <w:rsid w:val="00DC5729"/>
    <w:rsid w:val="00DC58A2"/>
    <w:rsid w:val="00DC5E33"/>
    <w:rsid w:val="00DC6651"/>
    <w:rsid w:val="00DC67CB"/>
    <w:rsid w:val="00DC685D"/>
    <w:rsid w:val="00DC6A7E"/>
    <w:rsid w:val="00DC7562"/>
    <w:rsid w:val="00DC7725"/>
    <w:rsid w:val="00DD1177"/>
    <w:rsid w:val="00DD13DD"/>
    <w:rsid w:val="00DD1C78"/>
    <w:rsid w:val="00DD2460"/>
    <w:rsid w:val="00DD24C1"/>
    <w:rsid w:val="00DD258F"/>
    <w:rsid w:val="00DD286B"/>
    <w:rsid w:val="00DD339B"/>
    <w:rsid w:val="00DD3693"/>
    <w:rsid w:val="00DD3BF6"/>
    <w:rsid w:val="00DD3F72"/>
    <w:rsid w:val="00DD4BD6"/>
    <w:rsid w:val="00DD4E89"/>
    <w:rsid w:val="00DD52C3"/>
    <w:rsid w:val="00DD562C"/>
    <w:rsid w:val="00DD595F"/>
    <w:rsid w:val="00DD6039"/>
    <w:rsid w:val="00DD611E"/>
    <w:rsid w:val="00DD6158"/>
    <w:rsid w:val="00DD6C5F"/>
    <w:rsid w:val="00DD6F2C"/>
    <w:rsid w:val="00DD728D"/>
    <w:rsid w:val="00DD7297"/>
    <w:rsid w:val="00DD7A6D"/>
    <w:rsid w:val="00DE03B5"/>
    <w:rsid w:val="00DE0498"/>
    <w:rsid w:val="00DE0DAD"/>
    <w:rsid w:val="00DE0FDB"/>
    <w:rsid w:val="00DE285E"/>
    <w:rsid w:val="00DE29DA"/>
    <w:rsid w:val="00DE4A3B"/>
    <w:rsid w:val="00DE4F6B"/>
    <w:rsid w:val="00DE581B"/>
    <w:rsid w:val="00DE5847"/>
    <w:rsid w:val="00DE6BF2"/>
    <w:rsid w:val="00DE73BB"/>
    <w:rsid w:val="00DE73F0"/>
    <w:rsid w:val="00DF05DB"/>
    <w:rsid w:val="00DF05E8"/>
    <w:rsid w:val="00DF1272"/>
    <w:rsid w:val="00DF1B71"/>
    <w:rsid w:val="00DF2649"/>
    <w:rsid w:val="00DF29D8"/>
    <w:rsid w:val="00DF398A"/>
    <w:rsid w:val="00DF3D2D"/>
    <w:rsid w:val="00DF4383"/>
    <w:rsid w:val="00DF45C8"/>
    <w:rsid w:val="00DF5969"/>
    <w:rsid w:val="00DF5A8C"/>
    <w:rsid w:val="00DF5F63"/>
    <w:rsid w:val="00DF6A96"/>
    <w:rsid w:val="00DF7512"/>
    <w:rsid w:val="00DF76A5"/>
    <w:rsid w:val="00DF783A"/>
    <w:rsid w:val="00DF7C7A"/>
    <w:rsid w:val="00DF7FD7"/>
    <w:rsid w:val="00E00AE6"/>
    <w:rsid w:val="00E00B3F"/>
    <w:rsid w:val="00E00D2D"/>
    <w:rsid w:val="00E00F33"/>
    <w:rsid w:val="00E012EB"/>
    <w:rsid w:val="00E016E2"/>
    <w:rsid w:val="00E023DE"/>
    <w:rsid w:val="00E0243E"/>
    <w:rsid w:val="00E0244F"/>
    <w:rsid w:val="00E028D2"/>
    <w:rsid w:val="00E029B2"/>
    <w:rsid w:val="00E03928"/>
    <w:rsid w:val="00E039EA"/>
    <w:rsid w:val="00E047B1"/>
    <w:rsid w:val="00E04C13"/>
    <w:rsid w:val="00E04E14"/>
    <w:rsid w:val="00E06738"/>
    <w:rsid w:val="00E06745"/>
    <w:rsid w:val="00E074FD"/>
    <w:rsid w:val="00E07555"/>
    <w:rsid w:val="00E0765A"/>
    <w:rsid w:val="00E07E43"/>
    <w:rsid w:val="00E07ED8"/>
    <w:rsid w:val="00E1006F"/>
    <w:rsid w:val="00E10565"/>
    <w:rsid w:val="00E105D9"/>
    <w:rsid w:val="00E1094C"/>
    <w:rsid w:val="00E10D58"/>
    <w:rsid w:val="00E10EB3"/>
    <w:rsid w:val="00E11031"/>
    <w:rsid w:val="00E11B15"/>
    <w:rsid w:val="00E12052"/>
    <w:rsid w:val="00E125E3"/>
    <w:rsid w:val="00E126A5"/>
    <w:rsid w:val="00E129AB"/>
    <w:rsid w:val="00E12ADC"/>
    <w:rsid w:val="00E12DD2"/>
    <w:rsid w:val="00E133FA"/>
    <w:rsid w:val="00E136D3"/>
    <w:rsid w:val="00E13D28"/>
    <w:rsid w:val="00E14A01"/>
    <w:rsid w:val="00E14F64"/>
    <w:rsid w:val="00E14FA9"/>
    <w:rsid w:val="00E15264"/>
    <w:rsid w:val="00E1598D"/>
    <w:rsid w:val="00E16166"/>
    <w:rsid w:val="00E16755"/>
    <w:rsid w:val="00E20194"/>
    <w:rsid w:val="00E2078D"/>
    <w:rsid w:val="00E211B1"/>
    <w:rsid w:val="00E215DC"/>
    <w:rsid w:val="00E21C88"/>
    <w:rsid w:val="00E2279B"/>
    <w:rsid w:val="00E22D7B"/>
    <w:rsid w:val="00E23F51"/>
    <w:rsid w:val="00E23F84"/>
    <w:rsid w:val="00E23FA1"/>
    <w:rsid w:val="00E24131"/>
    <w:rsid w:val="00E2492E"/>
    <w:rsid w:val="00E255BF"/>
    <w:rsid w:val="00E255E2"/>
    <w:rsid w:val="00E25E7F"/>
    <w:rsid w:val="00E263BD"/>
    <w:rsid w:val="00E26A05"/>
    <w:rsid w:val="00E26ACD"/>
    <w:rsid w:val="00E26CC5"/>
    <w:rsid w:val="00E26FE3"/>
    <w:rsid w:val="00E275CF"/>
    <w:rsid w:val="00E30BEC"/>
    <w:rsid w:val="00E30CD9"/>
    <w:rsid w:val="00E31698"/>
    <w:rsid w:val="00E31CD1"/>
    <w:rsid w:val="00E32AF3"/>
    <w:rsid w:val="00E32F99"/>
    <w:rsid w:val="00E33465"/>
    <w:rsid w:val="00E342A6"/>
    <w:rsid w:val="00E342E6"/>
    <w:rsid w:val="00E34FAB"/>
    <w:rsid w:val="00E353A4"/>
    <w:rsid w:val="00E35B99"/>
    <w:rsid w:val="00E3737A"/>
    <w:rsid w:val="00E400E3"/>
    <w:rsid w:val="00E405AA"/>
    <w:rsid w:val="00E40B9E"/>
    <w:rsid w:val="00E4147F"/>
    <w:rsid w:val="00E41AEF"/>
    <w:rsid w:val="00E42090"/>
    <w:rsid w:val="00E42158"/>
    <w:rsid w:val="00E42555"/>
    <w:rsid w:val="00E42694"/>
    <w:rsid w:val="00E42825"/>
    <w:rsid w:val="00E42F89"/>
    <w:rsid w:val="00E43380"/>
    <w:rsid w:val="00E4391E"/>
    <w:rsid w:val="00E43CB7"/>
    <w:rsid w:val="00E449B9"/>
    <w:rsid w:val="00E451D6"/>
    <w:rsid w:val="00E46BFC"/>
    <w:rsid w:val="00E47396"/>
    <w:rsid w:val="00E477DD"/>
    <w:rsid w:val="00E47B9C"/>
    <w:rsid w:val="00E47CE4"/>
    <w:rsid w:val="00E47DCA"/>
    <w:rsid w:val="00E50422"/>
    <w:rsid w:val="00E51386"/>
    <w:rsid w:val="00E517CA"/>
    <w:rsid w:val="00E52418"/>
    <w:rsid w:val="00E52CB6"/>
    <w:rsid w:val="00E52CB7"/>
    <w:rsid w:val="00E54BD6"/>
    <w:rsid w:val="00E55CA9"/>
    <w:rsid w:val="00E565C4"/>
    <w:rsid w:val="00E56E40"/>
    <w:rsid w:val="00E56F8E"/>
    <w:rsid w:val="00E572B0"/>
    <w:rsid w:val="00E57B9B"/>
    <w:rsid w:val="00E57D77"/>
    <w:rsid w:val="00E603C6"/>
    <w:rsid w:val="00E605ED"/>
    <w:rsid w:val="00E609AE"/>
    <w:rsid w:val="00E60A91"/>
    <w:rsid w:val="00E61A2A"/>
    <w:rsid w:val="00E61A6C"/>
    <w:rsid w:val="00E6275A"/>
    <w:rsid w:val="00E62933"/>
    <w:rsid w:val="00E63F86"/>
    <w:rsid w:val="00E64004"/>
    <w:rsid w:val="00E651BB"/>
    <w:rsid w:val="00E652EC"/>
    <w:rsid w:val="00E65D26"/>
    <w:rsid w:val="00E662B9"/>
    <w:rsid w:val="00E66E6B"/>
    <w:rsid w:val="00E705DD"/>
    <w:rsid w:val="00E717CF"/>
    <w:rsid w:val="00E71AF2"/>
    <w:rsid w:val="00E7230F"/>
    <w:rsid w:val="00E7298C"/>
    <w:rsid w:val="00E72AF0"/>
    <w:rsid w:val="00E72BBB"/>
    <w:rsid w:val="00E7309C"/>
    <w:rsid w:val="00E73C4C"/>
    <w:rsid w:val="00E750EA"/>
    <w:rsid w:val="00E75242"/>
    <w:rsid w:val="00E75610"/>
    <w:rsid w:val="00E75C46"/>
    <w:rsid w:val="00E7646D"/>
    <w:rsid w:val="00E76E76"/>
    <w:rsid w:val="00E7716F"/>
    <w:rsid w:val="00E80469"/>
    <w:rsid w:val="00E804BD"/>
    <w:rsid w:val="00E80728"/>
    <w:rsid w:val="00E80C0A"/>
    <w:rsid w:val="00E81141"/>
    <w:rsid w:val="00E81D32"/>
    <w:rsid w:val="00E8357D"/>
    <w:rsid w:val="00E83C8A"/>
    <w:rsid w:val="00E8414A"/>
    <w:rsid w:val="00E845EA"/>
    <w:rsid w:val="00E84A06"/>
    <w:rsid w:val="00E854E5"/>
    <w:rsid w:val="00E8552A"/>
    <w:rsid w:val="00E85609"/>
    <w:rsid w:val="00E85918"/>
    <w:rsid w:val="00E85DAD"/>
    <w:rsid w:val="00E8633A"/>
    <w:rsid w:val="00E86A04"/>
    <w:rsid w:val="00E86C88"/>
    <w:rsid w:val="00E87136"/>
    <w:rsid w:val="00E87823"/>
    <w:rsid w:val="00E9021F"/>
    <w:rsid w:val="00E917B9"/>
    <w:rsid w:val="00E9223C"/>
    <w:rsid w:val="00E92842"/>
    <w:rsid w:val="00E9287C"/>
    <w:rsid w:val="00E92EAB"/>
    <w:rsid w:val="00E93004"/>
    <w:rsid w:val="00E9341C"/>
    <w:rsid w:val="00E940A6"/>
    <w:rsid w:val="00E970D7"/>
    <w:rsid w:val="00E971D8"/>
    <w:rsid w:val="00E972B1"/>
    <w:rsid w:val="00E97FD9"/>
    <w:rsid w:val="00EA15ED"/>
    <w:rsid w:val="00EA1A5D"/>
    <w:rsid w:val="00EA1D81"/>
    <w:rsid w:val="00EA27AD"/>
    <w:rsid w:val="00EA2DB0"/>
    <w:rsid w:val="00EA2E59"/>
    <w:rsid w:val="00EA2FA7"/>
    <w:rsid w:val="00EA32B0"/>
    <w:rsid w:val="00EA4104"/>
    <w:rsid w:val="00EA4293"/>
    <w:rsid w:val="00EA4A55"/>
    <w:rsid w:val="00EA4CE8"/>
    <w:rsid w:val="00EA4DBF"/>
    <w:rsid w:val="00EA4E3F"/>
    <w:rsid w:val="00EA5605"/>
    <w:rsid w:val="00EA5FD1"/>
    <w:rsid w:val="00EA696E"/>
    <w:rsid w:val="00EA7200"/>
    <w:rsid w:val="00EB057C"/>
    <w:rsid w:val="00EB0AAE"/>
    <w:rsid w:val="00EB2049"/>
    <w:rsid w:val="00EB24B5"/>
    <w:rsid w:val="00EB275E"/>
    <w:rsid w:val="00EB2D6C"/>
    <w:rsid w:val="00EB2EBE"/>
    <w:rsid w:val="00EB2ECA"/>
    <w:rsid w:val="00EB3291"/>
    <w:rsid w:val="00EB3DEC"/>
    <w:rsid w:val="00EB40B1"/>
    <w:rsid w:val="00EB411C"/>
    <w:rsid w:val="00EB47BE"/>
    <w:rsid w:val="00EB49A6"/>
    <w:rsid w:val="00EB4C58"/>
    <w:rsid w:val="00EB5150"/>
    <w:rsid w:val="00EB537E"/>
    <w:rsid w:val="00EB5494"/>
    <w:rsid w:val="00EB580D"/>
    <w:rsid w:val="00EB62E4"/>
    <w:rsid w:val="00EB6B16"/>
    <w:rsid w:val="00EB71B5"/>
    <w:rsid w:val="00EB76B1"/>
    <w:rsid w:val="00EB7A06"/>
    <w:rsid w:val="00EB7D5B"/>
    <w:rsid w:val="00EB7DA6"/>
    <w:rsid w:val="00EC0200"/>
    <w:rsid w:val="00EC044B"/>
    <w:rsid w:val="00EC128A"/>
    <w:rsid w:val="00EC183C"/>
    <w:rsid w:val="00EC1BC8"/>
    <w:rsid w:val="00EC1DE5"/>
    <w:rsid w:val="00EC2B58"/>
    <w:rsid w:val="00EC2FAC"/>
    <w:rsid w:val="00EC35CF"/>
    <w:rsid w:val="00EC3C7D"/>
    <w:rsid w:val="00EC4576"/>
    <w:rsid w:val="00EC4C51"/>
    <w:rsid w:val="00EC52E2"/>
    <w:rsid w:val="00EC6510"/>
    <w:rsid w:val="00EC6621"/>
    <w:rsid w:val="00EC66AD"/>
    <w:rsid w:val="00EC69B9"/>
    <w:rsid w:val="00EC793B"/>
    <w:rsid w:val="00EC7D02"/>
    <w:rsid w:val="00ED005D"/>
    <w:rsid w:val="00ED18A3"/>
    <w:rsid w:val="00ED1950"/>
    <w:rsid w:val="00ED1C3F"/>
    <w:rsid w:val="00ED24FB"/>
    <w:rsid w:val="00ED2BEA"/>
    <w:rsid w:val="00ED2F09"/>
    <w:rsid w:val="00ED3F1F"/>
    <w:rsid w:val="00ED453D"/>
    <w:rsid w:val="00ED5311"/>
    <w:rsid w:val="00ED5B06"/>
    <w:rsid w:val="00ED63A0"/>
    <w:rsid w:val="00ED64B2"/>
    <w:rsid w:val="00ED6580"/>
    <w:rsid w:val="00ED6ABE"/>
    <w:rsid w:val="00ED6BF9"/>
    <w:rsid w:val="00ED6E04"/>
    <w:rsid w:val="00ED6FCA"/>
    <w:rsid w:val="00ED7652"/>
    <w:rsid w:val="00EE06B3"/>
    <w:rsid w:val="00EE074F"/>
    <w:rsid w:val="00EE075E"/>
    <w:rsid w:val="00EE0C11"/>
    <w:rsid w:val="00EE17E1"/>
    <w:rsid w:val="00EE1877"/>
    <w:rsid w:val="00EE1E2D"/>
    <w:rsid w:val="00EE2247"/>
    <w:rsid w:val="00EE26D9"/>
    <w:rsid w:val="00EE2720"/>
    <w:rsid w:val="00EE2D3B"/>
    <w:rsid w:val="00EE2DE5"/>
    <w:rsid w:val="00EE37FF"/>
    <w:rsid w:val="00EE3B3F"/>
    <w:rsid w:val="00EE442A"/>
    <w:rsid w:val="00EE5699"/>
    <w:rsid w:val="00EE5809"/>
    <w:rsid w:val="00EE6AC8"/>
    <w:rsid w:val="00EE77DF"/>
    <w:rsid w:val="00EF04A2"/>
    <w:rsid w:val="00EF0ECA"/>
    <w:rsid w:val="00EF189A"/>
    <w:rsid w:val="00EF2262"/>
    <w:rsid w:val="00EF237D"/>
    <w:rsid w:val="00EF2859"/>
    <w:rsid w:val="00EF2AE8"/>
    <w:rsid w:val="00EF3419"/>
    <w:rsid w:val="00EF3FE0"/>
    <w:rsid w:val="00EF412B"/>
    <w:rsid w:val="00EF4199"/>
    <w:rsid w:val="00EF4B3A"/>
    <w:rsid w:val="00EF5275"/>
    <w:rsid w:val="00EF53A0"/>
    <w:rsid w:val="00EF57E1"/>
    <w:rsid w:val="00EF5AFE"/>
    <w:rsid w:val="00EF5F34"/>
    <w:rsid w:val="00EF647C"/>
    <w:rsid w:val="00F000C3"/>
    <w:rsid w:val="00F0011C"/>
    <w:rsid w:val="00F001FA"/>
    <w:rsid w:val="00F011E1"/>
    <w:rsid w:val="00F019C2"/>
    <w:rsid w:val="00F02403"/>
    <w:rsid w:val="00F025BA"/>
    <w:rsid w:val="00F0314E"/>
    <w:rsid w:val="00F03515"/>
    <w:rsid w:val="00F038A5"/>
    <w:rsid w:val="00F03D37"/>
    <w:rsid w:val="00F0442E"/>
    <w:rsid w:val="00F044F9"/>
    <w:rsid w:val="00F0588F"/>
    <w:rsid w:val="00F0688B"/>
    <w:rsid w:val="00F06CA8"/>
    <w:rsid w:val="00F077BA"/>
    <w:rsid w:val="00F07CB9"/>
    <w:rsid w:val="00F109E6"/>
    <w:rsid w:val="00F10DD4"/>
    <w:rsid w:val="00F11743"/>
    <w:rsid w:val="00F118E7"/>
    <w:rsid w:val="00F118FF"/>
    <w:rsid w:val="00F11B24"/>
    <w:rsid w:val="00F11FA4"/>
    <w:rsid w:val="00F124E8"/>
    <w:rsid w:val="00F129F9"/>
    <w:rsid w:val="00F12E4C"/>
    <w:rsid w:val="00F1395C"/>
    <w:rsid w:val="00F140B5"/>
    <w:rsid w:val="00F14766"/>
    <w:rsid w:val="00F14D9F"/>
    <w:rsid w:val="00F150A8"/>
    <w:rsid w:val="00F152D8"/>
    <w:rsid w:val="00F168AF"/>
    <w:rsid w:val="00F16D4D"/>
    <w:rsid w:val="00F16FAA"/>
    <w:rsid w:val="00F17B12"/>
    <w:rsid w:val="00F20F37"/>
    <w:rsid w:val="00F212F6"/>
    <w:rsid w:val="00F228AC"/>
    <w:rsid w:val="00F22BB2"/>
    <w:rsid w:val="00F22C23"/>
    <w:rsid w:val="00F238EA"/>
    <w:rsid w:val="00F23970"/>
    <w:rsid w:val="00F240CC"/>
    <w:rsid w:val="00F242EB"/>
    <w:rsid w:val="00F24C6E"/>
    <w:rsid w:val="00F253A5"/>
    <w:rsid w:val="00F253C1"/>
    <w:rsid w:val="00F25AC5"/>
    <w:rsid w:val="00F2628F"/>
    <w:rsid w:val="00F262AB"/>
    <w:rsid w:val="00F262E8"/>
    <w:rsid w:val="00F26AA5"/>
    <w:rsid w:val="00F2714C"/>
    <w:rsid w:val="00F3042D"/>
    <w:rsid w:val="00F30568"/>
    <w:rsid w:val="00F30BFA"/>
    <w:rsid w:val="00F30EDE"/>
    <w:rsid w:val="00F315EB"/>
    <w:rsid w:val="00F31B58"/>
    <w:rsid w:val="00F3243D"/>
    <w:rsid w:val="00F32A3F"/>
    <w:rsid w:val="00F33277"/>
    <w:rsid w:val="00F3436A"/>
    <w:rsid w:val="00F34564"/>
    <w:rsid w:val="00F35748"/>
    <w:rsid w:val="00F35D93"/>
    <w:rsid w:val="00F36BBA"/>
    <w:rsid w:val="00F370EC"/>
    <w:rsid w:val="00F37403"/>
    <w:rsid w:val="00F3772E"/>
    <w:rsid w:val="00F40437"/>
    <w:rsid w:val="00F4122C"/>
    <w:rsid w:val="00F417E9"/>
    <w:rsid w:val="00F41AC6"/>
    <w:rsid w:val="00F4245A"/>
    <w:rsid w:val="00F42DD1"/>
    <w:rsid w:val="00F42FBE"/>
    <w:rsid w:val="00F43183"/>
    <w:rsid w:val="00F435B2"/>
    <w:rsid w:val="00F43F77"/>
    <w:rsid w:val="00F45103"/>
    <w:rsid w:val="00F4573F"/>
    <w:rsid w:val="00F4589E"/>
    <w:rsid w:val="00F462C9"/>
    <w:rsid w:val="00F4632E"/>
    <w:rsid w:val="00F4682F"/>
    <w:rsid w:val="00F46CD6"/>
    <w:rsid w:val="00F475E1"/>
    <w:rsid w:val="00F47EBB"/>
    <w:rsid w:val="00F50411"/>
    <w:rsid w:val="00F50B9C"/>
    <w:rsid w:val="00F50D6D"/>
    <w:rsid w:val="00F50F38"/>
    <w:rsid w:val="00F5102A"/>
    <w:rsid w:val="00F52209"/>
    <w:rsid w:val="00F52A41"/>
    <w:rsid w:val="00F52C25"/>
    <w:rsid w:val="00F52E87"/>
    <w:rsid w:val="00F52E9C"/>
    <w:rsid w:val="00F52FCE"/>
    <w:rsid w:val="00F5347D"/>
    <w:rsid w:val="00F538C3"/>
    <w:rsid w:val="00F53CEB"/>
    <w:rsid w:val="00F54B1D"/>
    <w:rsid w:val="00F5537C"/>
    <w:rsid w:val="00F555A6"/>
    <w:rsid w:val="00F55827"/>
    <w:rsid w:val="00F55B90"/>
    <w:rsid w:val="00F56965"/>
    <w:rsid w:val="00F56E47"/>
    <w:rsid w:val="00F575F1"/>
    <w:rsid w:val="00F57AC6"/>
    <w:rsid w:val="00F57B64"/>
    <w:rsid w:val="00F57CCF"/>
    <w:rsid w:val="00F60588"/>
    <w:rsid w:val="00F60E35"/>
    <w:rsid w:val="00F60E99"/>
    <w:rsid w:val="00F626B8"/>
    <w:rsid w:val="00F628A5"/>
    <w:rsid w:val="00F62DED"/>
    <w:rsid w:val="00F638C4"/>
    <w:rsid w:val="00F63A0F"/>
    <w:rsid w:val="00F64091"/>
    <w:rsid w:val="00F64530"/>
    <w:rsid w:val="00F64619"/>
    <w:rsid w:val="00F6577F"/>
    <w:rsid w:val="00F65B3B"/>
    <w:rsid w:val="00F66254"/>
    <w:rsid w:val="00F66570"/>
    <w:rsid w:val="00F66F5E"/>
    <w:rsid w:val="00F679F6"/>
    <w:rsid w:val="00F67EA4"/>
    <w:rsid w:val="00F7014F"/>
    <w:rsid w:val="00F703AF"/>
    <w:rsid w:val="00F70AF4"/>
    <w:rsid w:val="00F70BBF"/>
    <w:rsid w:val="00F71001"/>
    <w:rsid w:val="00F71A71"/>
    <w:rsid w:val="00F73473"/>
    <w:rsid w:val="00F7407B"/>
    <w:rsid w:val="00F7492C"/>
    <w:rsid w:val="00F74A0C"/>
    <w:rsid w:val="00F74BD2"/>
    <w:rsid w:val="00F74C14"/>
    <w:rsid w:val="00F74D15"/>
    <w:rsid w:val="00F7527A"/>
    <w:rsid w:val="00F75633"/>
    <w:rsid w:val="00F75908"/>
    <w:rsid w:val="00F75B9D"/>
    <w:rsid w:val="00F763B7"/>
    <w:rsid w:val="00F76AE0"/>
    <w:rsid w:val="00F76CC4"/>
    <w:rsid w:val="00F76E27"/>
    <w:rsid w:val="00F7708D"/>
    <w:rsid w:val="00F7756B"/>
    <w:rsid w:val="00F80432"/>
    <w:rsid w:val="00F80B74"/>
    <w:rsid w:val="00F80F0C"/>
    <w:rsid w:val="00F80F1B"/>
    <w:rsid w:val="00F80F6A"/>
    <w:rsid w:val="00F8114F"/>
    <w:rsid w:val="00F81C3A"/>
    <w:rsid w:val="00F82077"/>
    <w:rsid w:val="00F82199"/>
    <w:rsid w:val="00F82344"/>
    <w:rsid w:val="00F8243C"/>
    <w:rsid w:val="00F826AD"/>
    <w:rsid w:val="00F82C95"/>
    <w:rsid w:val="00F83D49"/>
    <w:rsid w:val="00F83D50"/>
    <w:rsid w:val="00F845DF"/>
    <w:rsid w:val="00F84BD8"/>
    <w:rsid w:val="00F84F8D"/>
    <w:rsid w:val="00F86091"/>
    <w:rsid w:val="00F86182"/>
    <w:rsid w:val="00F863A3"/>
    <w:rsid w:val="00F86B32"/>
    <w:rsid w:val="00F90672"/>
    <w:rsid w:val="00F90A91"/>
    <w:rsid w:val="00F90AB7"/>
    <w:rsid w:val="00F913F8"/>
    <w:rsid w:val="00F9154D"/>
    <w:rsid w:val="00F91784"/>
    <w:rsid w:val="00F91ED7"/>
    <w:rsid w:val="00F91F45"/>
    <w:rsid w:val="00F91F69"/>
    <w:rsid w:val="00F92243"/>
    <w:rsid w:val="00F925B3"/>
    <w:rsid w:val="00F9269C"/>
    <w:rsid w:val="00F928C9"/>
    <w:rsid w:val="00F92BE9"/>
    <w:rsid w:val="00F92FB7"/>
    <w:rsid w:val="00F92FFD"/>
    <w:rsid w:val="00F9335B"/>
    <w:rsid w:val="00F93439"/>
    <w:rsid w:val="00F93A38"/>
    <w:rsid w:val="00F93B90"/>
    <w:rsid w:val="00F940D9"/>
    <w:rsid w:val="00F9479C"/>
    <w:rsid w:val="00F94E6C"/>
    <w:rsid w:val="00F9565D"/>
    <w:rsid w:val="00F95896"/>
    <w:rsid w:val="00F95C1F"/>
    <w:rsid w:val="00F95C48"/>
    <w:rsid w:val="00F963CD"/>
    <w:rsid w:val="00F96B05"/>
    <w:rsid w:val="00F96DB5"/>
    <w:rsid w:val="00F96DDB"/>
    <w:rsid w:val="00F9714B"/>
    <w:rsid w:val="00F97986"/>
    <w:rsid w:val="00F97A35"/>
    <w:rsid w:val="00F97F60"/>
    <w:rsid w:val="00FA0106"/>
    <w:rsid w:val="00FA0598"/>
    <w:rsid w:val="00FA05A2"/>
    <w:rsid w:val="00FA085D"/>
    <w:rsid w:val="00FA0D1E"/>
    <w:rsid w:val="00FA103A"/>
    <w:rsid w:val="00FA1594"/>
    <w:rsid w:val="00FA171B"/>
    <w:rsid w:val="00FA187B"/>
    <w:rsid w:val="00FA2288"/>
    <w:rsid w:val="00FA23A4"/>
    <w:rsid w:val="00FA23CF"/>
    <w:rsid w:val="00FA26C7"/>
    <w:rsid w:val="00FA2952"/>
    <w:rsid w:val="00FA3CB9"/>
    <w:rsid w:val="00FA3E64"/>
    <w:rsid w:val="00FA4160"/>
    <w:rsid w:val="00FA47F9"/>
    <w:rsid w:val="00FA4C45"/>
    <w:rsid w:val="00FA4F1E"/>
    <w:rsid w:val="00FA4F58"/>
    <w:rsid w:val="00FA50B8"/>
    <w:rsid w:val="00FA6B67"/>
    <w:rsid w:val="00FA7189"/>
    <w:rsid w:val="00FA7326"/>
    <w:rsid w:val="00FA76DD"/>
    <w:rsid w:val="00FB079C"/>
    <w:rsid w:val="00FB0CA8"/>
    <w:rsid w:val="00FB0CCE"/>
    <w:rsid w:val="00FB1313"/>
    <w:rsid w:val="00FB178B"/>
    <w:rsid w:val="00FB17E0"/>
    <w:rsid w:val="00FB17E1"/>
    <w:rsid w:val="00FB1AB0"/>
    <w:rsid w:val="00FB2470"/>
    <w:rsid w:val="00FB285C"/>
    <w:rsid w:val="00FB2C43"/>
    <w:rsid w:val="00FB2CAE"/>
    <w:rsid w:val="00FB3A47"/>
    <w:rsid w:val="00FB57A9"/>
    <w:rsid w:val="00FB5C9B"/>
    <w:rsid w:val="00FB62CA"/>
    <w:rsid w:val="00FB6485"/>
    <w:rsid w:val="00FB66CE"/>
    <w:rsid w:val="00FB6C12"/>
    <w:rsid w:val="00FB78D3"/>
    <w:rsid w:val="00FB7B6F"/>
    <w:rsid w:val="00FB7D6E"/>
    <w:rsid w:val="00FC0864"/>
    <w:rsid w:val="00FC09D8"/>
    <w:rsid w:val="00FC1A18"/>
    <w:rsid w:val="00FC1C35"/>
    <w:rsid w:val="00FC1F26"/>
    <w:rsid w:val="00FC22FF"/>
    <w:rsid w:val="00FC280A"/>
    <w:rsid w:val="00FC2B77"/>
    <w:rsid w:val="00FC2CFC"/>
    <w:rsid w:val="00FC370D"/>
    <w:rsid w:val="00FC3961"/>
    <w:rsid w:val="00FC3D8B"/>
    <w:rsid w:val="00FC3EC6"/>
    <w:rsid w:val="00FC4EA3"/>
    <w:rsid w:val="00FC530C"/>
    <w:rsid w:val="00FC53D0"/>
    <w:rsid w:val="00FC5DCC"/>
    <w:rsid w:val="00FC619F"/>
    <w:rsid w:val="00FC641B"/>
    <w:rsid w:val="00FC6B48"/>
    <w:rsid w:val="00FC7B78"/>
    <w:rsid w:val="00FC7D0F"/>
    <w:rsid w:val="00FD1404"/>
    <w:rsid w:val="00FD1768"/>
    <w:rsid w:val="00FD176E"/>
    <w:rsid w:val="00FD250D"/>
    <w:rsid w:val="00FD2782"/>
    <w:rsid w:val="00FD3166"/>
    <w:rsid w:val="00FD3CE7"/>
    <w:rsid w:val="00FD410D"/>
    <w:rsid w:val="00FD489F"/>
    <w:rsid w:val="00FD4A93"/>
    <w:rsid w:val="00FD500F"/>
    <w:rsid w:val="00FD5675"/>
    <w:rsid w:val="00FD6300"/>
    <w:rsid w:val="00FD651D"/>
    <w:rsid w:val="00FD6801"/>
    <w:rsid w:val="00FD70D8"/>
    <w:rsid w:val="00FD7658"/>
    <w:rsid w:val="00FE02FC"/>
    <w:rsid w:val="00FE137A"/>
    <w:rsid w:val="00FE152C"/>
    <w:rsid w:val="00FE195C"/>
    <w:rsid w:val="00FE1992"/>
    <w:rsid w:val="00FE1E4B"/>
    <w:rsid w:val="00FE1FEE"/>
    <w:rsid w:val="00FE2F5F"/>
    <w:rsid w:val="00FE31CF"/>
    <w:rsid w:val="00FE36CF"/>
    <w:rsid w:val="00FE3AE0"/>
    <w:rsid w:val="00FE3D05"/>
    <w:rsid w:val="00FE45DC"/>
    <w:rsid w:val="00FE5216"/>
    <w:rsid w:val="00FE589B"/>
    <w:rsid w:val="00FE5A3A"/>
    <w:rsid w:val="00FE5CF7"/>
    <w:rsid w:val="00FE6612"/>
    <w:rsid w:val="00FE75CD"/>
    <w:rsid w:val="00FF1452"/>
    <w:rsid w:val="00FF14E6"/>
    <w:rsid w:val="00FF1987"/>
    <w:rsid w:val="00FF1A82"/>
    <w:rsid w:val="00FF2E00"/>
    <w:rsid w:val="00FF3D71"/>
    <w:rsid w:val="00FF3E87"/>
    <w:rsid w:val="00FF4124"/>
    <w:rsid w:val="00FF43E0"/>
    <w:rsid w:val="00FF45EC"/>
    <w:rsid w:val="00FF4AA6"/>
    <w:rsid w:val="00FF571F"/>
    <w:rsid w:val="00FF632C"/>
    <w:rsid w:val="00FF68AC"/>
    <w:rsid w:val="00FF6E5B"/>
    <w:rsid w:val="00FF717F"/>
    <w:rsid w:val="00FF74F8"/>
    <w:rsid w:val="00FF78C3"/>
    <w:rsid w:val="00FF7929"/>
    <w:rsid w:val="00FF79C7"/>
    <w:rsid w:val="02EC199E"/>
    <w:rsid w:val="038F2C57"/>
    <w:rsid w:val="04E55483"/>
    <w:rsid w:val="071B2878"/>
    <w:rsid w:val="07481F2F"/>
    <w:rsid w:val="0767595D"/>
    <w:rsid w:val="07E24881"/>
    <w:rsid w:val="086D1511"/>
    <w:rsid w:val="0AB30965"/>
    <w:rsid w:val="0B2604DF"/>
    <w:rsid w:val="106426BE"/>
    <w:rsid w:val="11017D87"/>
    <w:rsid w:val="11165AF6"/>
    <w:rsid w:val="11BF0FF8"/>
    <w:rsid w:val="12AA4D9A"/>
    <w:rsid w:val="13ED0A80"/>
    <w:rsid w:val="14CA3B61"/>
    <w:rsid w:val="153A643A"/>
    <w:rsid w:val="15844DF3"/>
    <w:rsid w:val="15BD2BB7"/>
    <w:rsid w:val="15DD2A8D"/>
    <w:rsid w:val="162633B2"/>
    <w:rsid w:val="176F55F0"/>
    <w:rsid w:val="17CE1E25"/>
    <w:rsid w:val="1A4B7C7B"/>
    <w:rsid w:val="1C0B7FBD"/>
    <w:rsid w:val="1C63707A"/>
    <w:rsid w:val="1DBD15B8"/>
    <w:rsid w:val="1E4F285D"/>
    <w:rsid w:val="1FC6509A"/>
    <w:rsid w:val="20643D81"/>
    <w:rsid w:val="20F51832"/>
    <w:rsid w:val="21D55673"/>
    <w:rsid w:val="228B4F38"/>
    <w:rsid w:val="23771FC2"/>
    <w:rsid w:val="23CC1F49"/>
    <w:rsid w:val="23E5661F"/>
    <w:rsid w:val="24675C7C"/>
    <w:rsid w:val="248E5C18"/>
    <w:rsid w:val="265D6CFC"/>
    <w:rsid w:val="277A01B5"/>
    <w:rsid w:val="283F4C4A"/>
    <w:rsid w:val="28492893"/>
    <w:rsid w:val="294412DA"/>
    <w:rsid w:val="29F0583F"/>
    <w:rsid w:val="2AB01A59"/>
    <w:rsid w:val="2B334A97"/>
    <w:rsid w:val="2D345724"/>
    <w:rsid w:val="2D601C9A"/>
    <w:rsid w:val="2DF07328"/>
    <w:rsid w:val="30A8696A"/>
    <w:rsid w:val="30B6509E"/>
    <w:rsid w:val="31684694"/>
    <w:rsid w:val="31CE02A3"/>
    <w:rsid w:val="3393443E"/>
    <w:rsid w:val="34A318DF"/>
    <w:rsid w:val="359C4A77"/>
    <w:rsid w:val="35BA5D37"/>
    <w:rsid w:val="37502DA8"/>
    <w:rsid w:val="37CE2A67"/>
    <w:rsid w:val="37F0714D"/>
    <w:rsid w:val="387D4569"/>
    <w:rsid w:val="3A2A75B4"/>
    <w:rsid w:val="3AC3479C"/>
    <w:rsid w:val="3AD51EFD"/>
    <w:rsid w:val="3ADD671F"/>
    <w:rsid w:val="3C4F6D05"/>
    <w:rsid w:val="3C6B621E"/>
    <w:rsid w:val="3C857EAC"/>
    <w:rsid w:val="3D546DA1"/>
    <w:rsid w:val="3E7B4A95"/>
    <w:rsid w:val="3EBA5C71"/>
    <w:rsid w:val="3FE0610E"/>
    <w:rsid w:val="41BC5357"/>
    <w:rsid w:val="42261F8F"/>
    <w:rsid w:val="42983FCA"/>
    <w:rsid w:val="446847FB"/>
    <w:rsid w:val="45A83E6C"/>
    <w:rsid w:val="45C92D40"/>
    <w:rsid w:val="45E9530E"/>
    <w:rsid w:val="460F001B"/>
    <w:rsid w:val="4669677C"/>
    <w:rsid w:val="47857FEF"/>
    <w:rsid w:val="48CB7C4C"/>
    <w:rsid w:val="49270067"/>
    <w:rsid w:val="4B3B18B2"/>
    <w:rsid w:val="4BC30972"/>
    <w:rsid w:val="4C8E0BC6"/>
    <w:rsid w:val="4CB113E0"/>
    <w:rsid w:val="4D2C0F10"/>
    <w:rsid w:val="4D8B7720"/>
    <w:rsid w:val="4D912500"/>
    <w:rsid w:val="4E5B20FF"/>
    <w:rsid w:val="4E835A91"/>
    <w:rsid w:val="4EC7598F"/>
    <w:rsid w:val="4F562921"/>
    <w:rsid w:val="4FA5128F"/>
    <w:rsid w:val="50336FC4"/>
    <w:rsid w:val="53135C9D"/>
    <w:rsid w:val="54307DA0"/>
    <w:rsid w:val="549541C2"/>
    <w:rsid w:val="55C76020"/>
    <w:rsid w:val="57D60F2F"/>
    <w:rsid w:val="580271F1"/>
    <w:rsid w:val="584D1152"/>
    <w:rsid w:val="59F45DA7"/>
    <w:rsid w:val="5B205139"/>
    <w:rsid w:val="5BC34F68"/>
    <w:rsid w:val="5C102641"/>
    <w:rsid w:val="5DE50946"/>
    <w:rsid w:val="5EB734CE"/>
    <w:rsid w:val="5EE2409B"/>
    <w:rsid w:val="5EF3234B"/>
    <w:rsid w:val="5FC1348A"/>
    <w:rsid w:val="5FF4261F"/>
    <w:rsid w:val="61132E23"/>
    <w:rsid w:val="61D36F1E"/>
    <w:rsid w:val="62C53422"/>
    <w:rsid w:val="62C932FC"/>
    <w:rsid w:val="62ED1679"/>
    <w:rsid w:val="63A17777"/>
    <w:rsid w:val="66B94E70"/>
    <w:rsid w:val="66E65E39"/>
    <w:rsid w:val="67575D32"/>
    <w:rsid w:val="6A096CA8"/>
    <w:rsid w:val="6A7E221E"/>
    <w:rsid w:val="6BCE4549"/>
    <w:rsid w:val="6EF945B3"/>
    <w:rsid w:val="6F3B1B88"/>
    <w:rsid w:val="709A2AE4"/>
    <w:rsid w:val="71026FE2"/>
    <w:rsid w:val="72E809E9"/>
    <w:rsid w:val="778F7557"/>
    <w:rsid w:val="779A007E"/>
    <w:rsid w:val="781346DC"/>
    <w:rsid w:val="79AC4F40"/>
    <w:rsid w:val="7A0C02F1"/>
    <w:rsid w:val="7B5E7726"/>
    <w:rsid w:val="7CA26786"/>
    <w:rsid w:val="7DE17C8E"/>
    <w:rsid w:val="7DE61BD0"/>
    <w:rsid w:val="7E283D36"/>
    <w:rsid w:val="7ED252E9"/>
    <w:rsid w:val="7EF005EB"/>
    <w:rsid w:val="7FC476F8"/>
    <w:rsid w:val="7FFD60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6082" fill="f" stroke="f">
      <v:fill on="f"/>
      <v:stroke on="f"/>
    </o:shapedefaults>
    <o:shapelayout v:ext="edit">
      <o:idmap v:ext="edit" data="1,3"/>
      <o:rules v:ext="edit">
        <o:r id="V:Rule5" type="connector" idref="#自选图形 1439"/>
        <o:r id="V:Rule6" type="connector" idref="#_x0000_s3742"/>
        <o:r id="V:Rule7" type="connector" idref="#_x0000_s3741"/>
        <o:r id="V:Rule8" type="connector" idref="#自选图形 14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footer" w:uiPriority="99"/>
    <w:lsdException w:name="caption" w:qFormat="1"/>
    <w:lsdException w:name="Title" w:qFormat="1"/>
    <w:lsdException w:name="Default Paragraph Font" w:semiHidden="1"/>
    <w:lsdException w:name="Body Text" w:qFormat="1"/>
    <w:lsdException w:name="Subtitle" w:qFormat="1"/>
    <w:lsdException w:name="Hyperlink" w:uiPriority="99"/>
    <w:lsdException w:name="Followed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9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rsid w:val="00CA16C7"/>
    <w:pPr>
      <w:widowControl w:val="0"/>
      <w:jc w:val="both"/>
    </w:pPr>
    <w:rPr>
      <w:kern w:val="2"/>
      <w:sz w:val="28"/>
      <w:szCs w:val="24"/>
    </w:rPr>
  </w:style>
  <w:style w:type="paragraph" w:styleId="1">
    <w:name w:val="heading 1"/>
    <w:basedOn w:val="a0"/>
    <w:next w:val="a0"/>
    <w:link w:val="1Char"/>
    <w:uiPriority w:val="9"/>
    <w:qFormat/>
    <w:rsid w:val="00CA16C7"/>
    <w:pPr>
      <w:keepNext/>
      <w:keepLines/>
      <w:spacing w:before="340" w:after="330" w:line="578" w:lineRule="auto"/>
      <w:outlineLvl w:val="0"/>
    </w:pPr>
    <w:rPr>
      <w:b/>
      <w:bCs/>
      <w:kern w:val="44"/>
      <w:sz w:val="44"/>
      <w:szCs w:val="44"/>
    </w:rPr>
  </w:style>
  <w:style w:type="paragraph" w:styleId="2">
    <w:name w:val="heading 2"/>
    <w:basedOn w:val="a0"/>
    <w:next w:val="a2"/>
    <w:link w:val="2Char"/>
    <w:uiPriority w:val="99"/>
    <w:qFormat/>
    <w:rsid w:val="00CA16C7"/>
    <w:pPr>
      <w:keepNext/>
      <w:keepLines/>
      <w:spacing w:before="120" w:after="120" w:line="500" w:lineRule="exact"/>
      <w:outlineLvl w:val="1"/>
    </w:pPr>
    <w:rPr>
      <w:rFonts w:ascii="Arial" w:eastAsia="黑体" w:hAnsi="Arial"/>
      <w:b/>
      <w:sz w:val="32"/>
      <w:szCs w:val="20"/>
    </w:rPr>
  </w:style>
  <w:style w:type="paragraph" w:styleId="30">
    <w:name w:val="heading 3"/>
    <w:basedOn w:val="a0"/>
    <w:next w:val="a0"/>
    <w:link w:val="3Char"/>
    <w:uiPriority w:val="99"/>
    <w:qFormat/>
    <w:rsid w:val="00CA16C7"/>
    <w:pPr>
      <w:keepNext/>
      <w:keepLines/>
      <w:spacing w:before="260" w:after="260" w:line="416" w:lineRule="auto"/>
      <w:outlineLvl w:val="2"/>
    </w:pPr>
    <w:rPr>
      <w:b/>
      <w:bCs/>
      <w:sz w:val="32"/>
      <w:szCs w:val="32"/>
    </w:rPr>
  </w:style>
  <w:style w:type="paragraph" w:styleId="4">
    <w:name w:val="heading 4"/>
    <w:basedOn w:val="a0"/>
    <w:next w:val="a0"/>
    <w:link w:val="4Char"/>
    <w:uiPriority w:val="99"/>
    <w:qFormat/>
    <w:rsid w:val="00CA16C7"/>
    <w:pPr>
      <w:keepNext/>
      <w:keepLines/>
      <w:spacing w:before="280" w:after="290" w:line="376" w:lineRule="auto"/>
      <w:outlineLvl w:val="3"/>
    </w:pPr>
    <w:rPr>
      <w:rFonts w:ascii="Arial" w:eastAsia="黑体" w:hAnsi="Arial"/>
      <w:b/>
      <w:bCs/>
      <w:szCs w:val="28"/>
    </w:rPr>
  </w:style>
  <w:style w:type="paragraph" w:styleId="5">
    <w:name w:val="heading 5"/>
    <w:basedOn w:val="a0"/>
    <w:next w:val="a0"/>
    <w:link w:val="5Char"/>
    <w:qFormat/>
    <w:rsid w:val="00CA16C7"/>
    <w:pPr>
      <w:keepNext/>
      <w:keepLines/>
      <w:spacing w:before="280" w:after="290" w:line="376" w:lineRule="auto"/>
      <w:outlineLvl w:val="4"/>
    </w:pPr>
    <w:rPr>
      <w:b/>
      <w:bCs/>
      <w:szCs w:val="28"/>
    </w:rPr>
  </w:style>
  <w:style w:type="paragraph" w:styleId="6">
    <w:name w:val="heading 6"/>
    <w:basedOn w:val="a0"/>
    <w:next w:val="a0"/>
    <w:link w:val="6Char"/>
    <w:qFormat/>
    <w:rsid w:val="00CA16C7"/>
    <w:pPr>
      <w:keepNext/>
      <w:keepLines/>
      <w:spacing w:before="240" w:after="64" w:line="320" w:lineRule="auto"/>
      <w:outlineLvl w:val="5"/>
    </w:pPr>
    <w:rPr>
      <w:rFonts w:ascii="Arial" w:eastAsia="黑体" w:hAnsi="Arial"/>
      <w:b/>
      <w:bCs/>
      <w:sz w:val="24"/>
    </w:rPr>
  </w:style>
  <w:style w:type="paragraph" w:styleId="7">
    <w:name w:val="heading 7"/>
    <w:basedOn w:val="a0"/>
    <w:next w:val="a0"/>
    <w:link w:val="7Char"/>
    <w:qFormat/>
    <w:rsid w:val="00CA16C7"/>
    <w:pPr>
      <w:keepNext/>
      <w:keepLines/>
      <w:adjustRightInd w:val="0"/>
      <w:spacing w:before="240" w:after="64" w:line="320" w:lineRule="atLeast"/>
      <w:textAlignment w:val="baseline"/>
      <w:outlineLvl w:val="6"/>
    </w:pPr>
    <w:rPr>
      <w:b/>
      <w:kern w:val="0"/>
      <w:sz w:val="24"/>
      <w:szCs w:val="20"/>
    </w:rPr>
  </w:style>
  <w:style w:type="paragraph" w:styleId="8">
    <w:name w:val="heading 8"/>
    <w:basedOn w:val="a0"/>
    <w:next w:val="a0"/>
    <w:link w:val="8Char"/>
    <w:qFormat/>
    <w:rsid w:val="00CA16C7"/>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Char"/>
    <w:qFormat/>
    <w:rsid w:val="00CA16C7"/>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link w:val="Char"/>
    <w:qFormat/>
    <w:rsid w:val="00CA16C7"/>
    <w:pPr>
      <w:spacing w:after="120"/>
    </w:pPr>
  </w:style>
  <w:style w:type="paragraph" w:styleId="a2">
    <w:name w:val="Normal Indent"/>
    <w:basedOn w:val="a0"/>
    <w:link w:val="Char0"/>
    <w:qFormat/>
    <w:rsid w:val="00CA16C7"/>
    <w:pPr>
      <w:ind w:firstLineChars="200" w:firstLine="420"/>
    </w:pPr>
  </w:style>
  <w:style w:type="paragraph" w:styleId="31">
    <w:name w:val="List 3"/>
    <w:basedOn w:val="a0"/>
    <w:rsid w:val="00CA16C7"/>
    <w:pPr>
      <w:ind w:leftChars="400" w:left="100" w:hangingChars="200" w:hanging="200"/>
    </w:pPr>
    <w:rPr>
      <w:sz w:val="21"/>
    </w:rPr>
  </w:style>
  <w:style w:type="paragraph" w:styleId="70">
    <w:name w:val="toc 7"/>
    <w:basedOn w:val="a0"/>
    <w:next w:val="a0"/>
    <w:uiPriority w:val="39"/>
    <w:rsid w:val="00CA16C7"/>
    <w:pPr>
      <w:ind w:left="1260"/>
      <w:jc w:val="left"/>
    </w:pPr>
    <w:rPr>
      <w:sz w:val="18"/>
      <w:szCs w:val="18"/>
    </w:rPr>
  </w:style>
  <w:style w:type="paragraph" w:styleId="20">
    <w:name w:val="List Number 2"/>
    <w:basedOn w:val="a0"/>
    <w:rsid w:val="00CA16C7"/>
    <w:pPr>
      <w:tabs>
        <w:tab w:val="left" w:pos="780"/>
      </w:tabs>
      <w:ind w:leftChars="200" w:left="780" w:hangingChars="200" w:hanging="360"/>
    </w:pPr>
    <w:rPr>
      <w:sz w:val="21"/>
    </w:rPr>
  </w:style>
  <w:style w:type="paragraph" w:styleId="a6">
    <w:name w:val="Note Heading"/>
    <w:basedOn w:val="a0"/>
    <w:next w:val="a0"/>
    <w:link w:val="Char1"/>
    <w:rsid w:val="00CA16C7"/>
    <w:pPr>
      <w:jc w:val="center"/>
    </w:pPr>
    <w:rPr>
      <w:szCs w:val="20"/>
    </w:rPr>
  </w:style>
  <w:style w:type="paragraph" w:styleId="a7">
    <w:name w:val="List Number"/>
    <w:basedOn w:val="a0"/>
    <w:rsid w:val="00CA16C7"/>
    <w:pPr>
      <w:tabs>
        <w:tab w:val="left" w:pos="360"/>
      </w:tabs>
      <w:ind w:left="360" w:hangingChars="200" w:hanging="360"/>
    </w:pPr>
    <w:rPr>
      <w:sz w:val="21"/>
    </w:rPr>
  </w:style>
  <w:style w:type="paragraph" w:styleId="a8">
    <w:name w:val="caption"/>
    <w:basedOn w:val="a0"/>
    <w:next w:val="a0"/>
    <w:link w:val="Char2"/>
    <w:qFormat/>
    <w:rsid w:val="00CA16C7"/>
    <w:rPr>
      <w:rFonts w:ascii="Arial" w:eastAsia="黑体" w:hAnsi="Arial"/>
      <w:sz w:val="20"/>
      <w:szCs w:val="20"/>
    </w:rPr>
  </w:style>
  <w:style w:type="paragraph" w:styleId="a9">
    <w:name w:val="List Bullet"/>
    <w:basedOn w:val="a0"/>
    <w:rsid w:val="00CA16C7"/>
    <w:pPr>
      <w:adjustRightInd w:val="0"/>
      <w:snapToGrid w:val="0"/>
      <w:spacing w:line="540" w:lineRule="atLeast"/>
      <w:ind w:leftChars="200" w:left="100" w:hangingChars="200" w:hanging="200"/>
    </w:pPr>
    <w:rPr>
      <w:rFonts w:hint="eastAsia"/>
      <w:sz w:val="21"/>
      <w:szCs w:val="20"/>
    </w:rPr>
  </w:style>
  <w:style w:type="paragraph" w:styleId="aa">
    <w:name w:val="Document Map"/>
    <w:basedOn w:val="a0"/>
    <w:link w:val="Char3"/>
    <w:rsid w:val="00CA16C7"/>
    <w:pPr>
      <w:shd w:val="clear" w:color="auto" w:fill="000080"/>
    </w:pPr>
    <w:rPr>
      <w:sz w:val="21"/>
    </w:rPr>
  </w:style>
  <w:style w:type="paragraph" w:styleId="ab">
    <w:name w:val="annotation text"/>
    <w:basedOn w:val="a0"/>
    <w:link w:val="Char4"/>
    <w:qFormat/>
    <w:rsid w:val="00CA16C7"/>
    <w:pPr>
      <w:jc w:val="left"/>
    </w:pPr>
    <w:rPr>
      <w:sz w:val="21"/>
      <w:szCs w:val="20"/>
    </w:rPr>
  </w:style>
  <w:style w:type="paragraph" w:styleId="32">
    <w:name w:val="Body Text 3"/>
    <w:basedOn w:val="a0"/>
    <w:link w:val="3Char0"/>
    <w:rsid w:val="00CA16C7"/>
    <w:pPr>
      <w:spacing w:after="120"/>
    </w:pPr>
    <w:rPr>
      <w:sz w:val="16"/>
      <w:szCs w:val="16"/>
    </w:rPr>
  </w:style>
  <w:style w:type="paragraph" w:styleId="33">
    <w:name w:val="List Bullet 3"/>
    <w:basedOn w:val="a0"/>
    <w:rsid w:val="00CA16C7"/>
    <w:pPr>
      <w:tabs>
        <w:tab w:val="left" w:pos="1200"/>
      </w:tabs>
      <w:ind w:leftChars="400" w:left="1200" w:hangingChars="200" w:hanging="360"/>
    </w:pPr>
    <w:rPr>
      <w:sz w:val="21"/>
    </w:rPr>
  </w:style>
  <w:style w:type="paragraph" w:styleId="ac">
    <w:name w:val="Body Text Indent"/>
    <w:basedOn w:val="a0"/>
    <w:link w:val="Char5"/>
    <w:rsid w:val="00CA16C7"/>
    <w:pPr>
      <w:spacing w:line="520" w:lineRule="exact"/>
      <w:ind w:firstLine="576"/>
    </w:pPr>
    <w:rPr>
      <w:color w:val="000000"/>
      <w:spacing w:val="2"/>
    </w:rPr>
  </w:style>
  <w:style w:type="paragraph" w:styleId="3">
    <w:name w:val="List Number 3"/>
    <w:basedOn w:val="a0"/>
    <w:rsid w:val="00CA16C7"/>
    <w:pPr>
      <w:numPr>
        <w:numId w:val="1"/>
      </w:numPr>
      <w:tabs>
        <w:tab w:val="left" w:pos="720"/>
      </w:tabs>
      <w:spacing w:line="520" w:lineRule="exact"/>
      <w:ind w:firstLineChars="200" w:firstLine="200"/>
      <w:jc w:val="left"/>
    </w:pPr>
    <w:rPr>
      <w:color w:val="000000"/>
      <w:sz w:val="21"/>
      <w:lang w:val="zh-CN"/>
    </w:rPr>
  </w:style>
  <w:style w:type="paragraph" w:styleId="21">
    <w:name w:val="List 2"/>
    <w:basedOn w:val="a0"/>
    <w:rsid w:val="00CA16C7"/>
    <w:pPr>
      <w:ind w:left="840" w:hanging="420"/>
    </w:pPr>
  </w:style>
  <w:style w:type="paragraph" w:styleId="ad">
    <w:name w:val="Block Text"/>
    <w:basedOn w:val="a0"/>
    <w:rsid w:val="00CA16C7"/>
    <w:pPr>
      <w:snapToGrid w:val="0"/>
      <w:spacing w:line="408" w:lineRule="auto"/>
      <w:ind w:left="-113" w:right="-510" w:firstLine="510"/>
    </w:pPr>
    <w:rPr>
      <w:sz w:val="24"/>
      <w:szCs w:val="20"/>
    </w:rPr>
  </w:style>
  <w:style w:type="paragraph" w:styleId="22">
    <w:name w:val="List Bullet 2"/>
    <w:basedOn w:val="a0"/>
    <w:rsid w:val="00CA16C7"/>
    <w:pPr>
      <w:tabs>
        <w:tab w:val="left" w:pos="780"/>
      </w:tabs>
      <w:ind w:leftChars="200" w:left="780" w:hangingChars="200" w:hanging="360"/>
    </w:pPr>
    <w:rPr>
      <w:sz w:val="21"/>
    </w:rPr>
  </w:style>
  <w:style w:type="paragraph" w:styleId="50">
    <w:name w:val="toc 5"/>
    <w:basedOn w:val="a0"/>
    <w:next w:val="a0"/>
    <w:uiPriority w:val="39"/>
    <w:rsid w:val="00CA16C7"/>
    <w:pPr>
      <w:ind w:left="840"/>
      <w:jc w:val="left"/>
    </w:pPr>
    <w:rPr>
      <w:sz w:val="18"/>
      <w:szCs w:val="18"/>
    </w:rPr>
  </w:style>
  <w:style w:type="paragraph" w:styleId="34">
    <w:name w:val="toc 3"/>
    <w:basedOn w:val="a0"/>
    <w:next w:val="a0"/>
    <w:uiPriority w:val="39"/>
    <w:qFormat/>
    <w:rsid w:val="00CA16C7"/>
    <w:pPr>
      <w:ind w:leftChars="400" w:left="840"/>
    </w:pPr>
  </w:style>
  <w:style w:type="paragraph" w:styleId="ae">
    <w:name w:val="Plain Text"/>
    <w:aliases w:val="孙普文字,Char,Char Char,纯文本 Char Char Char Char Char,纯文本 Char Char Char Char,普通文字 Char Char,普通文字,普通文字 Char Char Char Char,普通文字 Char Char Char Char Char Char Char Char Char Char Char Char Char Char Char Char Char Char Char Char C,纯文,纯"/>
    <w:basedOn w:val="a0"/>
    <w:link w:val="Char6"/>
    <w:qFormat/>
    <w:rsid w:val="00CA16C7"/>
    <w:pPr>
      <w:spacing w:line="500" w:lineRule="exact"/>
    </w:pPr>
    <w:rPr>
      <w:rFonts w:ascii="宋体" w:hAnsi="Courier New"/>
      <w:szCs w:val="20"/>
    </w:rPr>
  </w:style>
  <w:style w:type="paragraph" w:styleId="40">
    <w:name w:val="List Number 4"/>
    <w:basedOn w:val="a0"/>
    <w:rsid w:val="00CA16C7"/>
    <w:pPr>
      <w:tabs>
        <w:tab w:val="left" w:pos="1620"/>
      </w:tabs>
      <w:ind w:leftChars="600" w:left="1620" w:hangingChars="200" w:hanging="360"/>
    </w:pPr>
    <w:rPr>
      <w:sz w:val="21"/>
    </w:rPr>
  </w:style>
  <w:style w:type="paragraph" w:styleId="80">
    <w:name w:val="toc 8"/>
    <w:basedOn w:val="a0"/>
    <w:next w:val="a0"/>
    <w:uiPriority w:val="39"/>
    <w:rsid w:val="00CA16C7"/>
    <w:pPr>
      <w:ind w:left="1470"/>
      <w:jc w:val="left"/>
    </w:pPr>
    <w:rPr>
      <w:sz w:val="18"/>
      <w:szCs w:val="18"/>
    </w:rPr>
  </w:style>
  <w:style w:type="paragraph" w:styleId="af">
    <w:name w:val="Date"/>
    <w:basedOn w:val="a0"/>
    <w:next w:val="a0"/>
    <w:link w:val="Char7"/>
    <w:rsid w:val="00CA16C7"/>
    <w:pPr>
      <w:ind w:leftChars="2500" w:left="100"/>
    </w:pPr>
  </w:style>
  <w:style w:type="paragraph" w:styleId="23">
    <w:name w:val="Body Text Indent 2"/>
    <w:basedOn w:val="a0"/>
    <w:rsid w:val="00CA16C7"/>
    <w:pPr>
      <w:spacing w:line="520" w:lineRule="exact"/>
      <w:ind w:firstLine="570"/>
    </w:pPr>
  </w:style>
  <w:style w:type="paragraph" w:styleId="af0">
    <w:name w:val="endnote text"/>
    <w:basedOn w:val="a0"/>
    <w:link w:val="Char8"/>
    <w:rsid w:val="00CA16C7"/>
    <w:pPr>
      <w:snapToGrid w:val="0"/>
      <w:spacing w:line="360" w:lineRule="auto"/>
      <w:ind w:firstLineChars="200" w:firstLine="200"/>
      <w:jc w:val="left"/>
    </w:pPr>
    <w:rPr>
      <w:sz w:val="21"/>
      <w:szCs w:val="20"/>
    </w:rPr>
  </w:style>
  <w:style w:type="paragraph" w:styleId="af1">
    <w:name w:val="Balloon Text"/>
    <w:basedOn w:val="a0"/>
    <w:link w:val="Char9"/>
    <w:rsid w:val="00CA16C7"/>
    <w:rPr>
      <w:sz w:val="18"/>
      <w:szCs w:val="18"/>
    </w:rPr>
  </w:style>
  <w:style w:type="paragraph" w:styleId="af2">
    <w:name w:val="footer"/>
    <w:basedOn w:val="a0"/>
    <w:link w:val="Chara"/>
    <w:uiPriority w:val="99"/>
    <w:rsid w:val="00CA16C7"/>
    <w:pPr>
      <w:tabs>
        <w:tab w:val="center" w:pos="4153"/>
        <w:tab w:val="right" w:pos="8306"/>
      </w:tabs>
      <w:snapToGrid w:val="0"/>
      <w:jc w:val="left"/>
    </w:pPr>
    <w:rPr>
      <w:sz w:val="18"/>
      <w:szCs w:val="18"/>
    </w:rPr>
  </w:style>
  <w:style w:type="paragraph" w:styleId="af3">
    <w:name w:val="header"/>
    <w:basedOn w:val="a0"/>
    <w:link w:val="Charb"/>
    <w:rsid w:val="00CA16C7"/>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rsid w:val="00CA16C7"/>
  </w:style>
  <w:style w:type="paragraph" w:styleId="41">
    <w:name w:val="toc 4"/>
    <w:basedOn w:val="a0"/>
    <w:next w:val="a0"/>
    <w:uiPriority w:val="39"/>
    <w:rsid w:val="00CA16C7"/>
    <w:pPr>
      <w:ind w:left="630"/>
      <w:jc w:val="left"/>
    </w:pPr>
    <w:rPr>
      <w:sz w:val="18"/>
      <w:szCs w:val="18"/>
    </w:rPr>
  </w:style>
  <w:style w:type="paragraph" w:styleId="af4">
    <w:name w:val="List"/>
    <w:basedOn w:val="a0"/>
    <w:rsid w:val="00CA16C7"/>
    <w:pPr>
      <w:ind w:left="200" w:hangingChars="200" w:hanging="200"/>
    </w:pPr>
    <w:rPr>
      <w:sz w:val="21"/>
    </w:rPr>
  </w:style>
  <w:style w:type="paragraph" w:styleId="af5">
    <w:name w:val="footnote text"/>
    <w:basedOn w:val="a0"/>
    <w:link w:val="Charc"/>
    <w:rsid w:val="00CA16C7"/>
    <w:pPr>
      <w:snapToGrid w:val="0"/>
      <w:jc w:val="left"/>
    </w:pPr>
    <w:rPr>
      <w:sz w:val="18"/>
      <w:szCs w:val="18"/>
    </w:rPr>
  </w:style>
  <w:style w:type="paragraph" w:styleId="60">
    <w:name w:val="toc 6"/>
    <w:basedOn w:val="a0"/>
    <w:next w:val="a0"/>
    <w:uiPriority w:val="39"/>
    <w:rsid w:val="00CA16C7"/>
    <w:pPr>
      <w:ind w:left="1050"/>
      <w:jc w:val="left"/>
    </w:pPr>
    <w:rPr>
      <w:sz w:val="18"/>
      <w:szCs w:val="18"/>
    </w:rPr>
  </w:style>
  <w:style w:type="paragraph" w:styleId="51">
    <w:name w:val="List 5"/>
    <w:basedOn w:val="a0"/>
    <w:rsid w:val="00CA16C7"/>
    <w:pPr>
      <w:adjustRightInd w:val="0"/>
      <w:snapToGrid w:val="0"/>
      <w:spacing w:line="360" w:lineRule="auto"/>
      <w:ind w:leftChars="800" w:left="100" w:hangingChars="200" w:hanging="200"/>
    </w:pPr>
    <w:rPr>
      <w:szCs w:val="20"/>
    </w:rPr>
  </w:style>
  <w:style w:type="paragraph" w:styleId="35">
    <w:name w:val="Body Text Indent 3"/>
    <w:basedOn w:val="a0"/>
    <w:link w:val="3Char1"/>
    <w:rsid w:val="00CA16C7"/>
    <w:pPr>
      <w:spacing w:line="520" w:lineRule="exact"/>
      <w:ind w:firstLine="560"/>
    </w:pPr>
    <w:rPr>
      <w:color w:val="000000"/>
      <w:spacing w:val="2"/>
    </w:rPr>
  </w:style>
  <w:style w:type="paragraph" w:styleId="af6">
    <w:name w:val="table of figures"/>
    <w:basedOn w:val="a0"/>
    <w:next w:val="a0"/>
    <w:rsid w:val="00CA16C7"/>
    <w:pPr>
      <w:adjustRightInd w:val="0"/>
      <w:snapToGrid w:val="0"/>
      <w:spacing w:line="360" w:lineRule="auto"/>
      <w:ind w:leftChars="200" w:left="200" w:hangingChars="200" w:hanging="200"/>
    </w:pPr>
    <w:rPr>
      <w:szCs w:val="20"/>
    </w:rPr>
  </w:style>
  <w:style w:type="paragraph" w:styleId="24">
    <w:name w:val="toc 2"/>
    <w:basedOn w:val="a0"/>
    <w:next w:val="a0"/>
    <w:uiPriority w:val="39"/>
    <w:qFormat/>
    <w:rsid w:val="00CA16C7"/>
    <w:pPr>
      <w:ind w:leftChars="200" w:left="420"/>
    </w:pPr>
  </w:style>
  <w:style w:type="paragraph" w:styleId="90">
    <w:name w:val="toc 9"/>
    <w:basedOn w:val="a0"/>
    <w:next w:val="a0"/>
    <w:uiPriority w:val="39"/>
    <w:rsid w:val="00CA16C7"/>
    <w:pPr>
      <w:ind w:left="1680"/>
      <w:jc w:val="left"/>
    </w:pPr>
    <w:rPr>
      <w:sz w:val="18"/>
      <w:szCs w:val="18"/>
    </w:rPr>
  </w:style>
  <w:style w:type="paragraph" w:styleId="25">
    <w:name w:val="Body Text 2"/>
    <w:basedOn w:val="a0"/>
    <w:link w:val="2Char0"/>
    <w:rsid w:val="00CA16C7"/>
    <w:pPr>
      <w:spacing w:line="520" w:lineRule="exact"/>
    </w:pPr>
    <w:rPr>
      <w:rFonts w:ascii="宋体" w:hAnsi="宋体"/>
      <w:color w:val="000000"/>
      <w:sz w:val="24"/>
    </w:rPr>
  </w:style>
  <w:style w:type="paragraph" w:styleId="42">
    <w:name w:val="List 4"/>
    <w:basedOn w:val="a0"/>
    <w:rsid w:val="00CA16C7"/>
    <w:pPr>
      <w:ind w:leftChars="600" w:left="100" w:hangingChars="200" w:hanging="200"/>
    </w:pPr>
    <w:rPr>
      <w:sz w:val="21"/>
    </w:rPr>
  </w:style>
  <w:style w:type="paragraph" w:styleId="26">
    <w:name w:val="List Continue 2"/>
    <w:basedOn w:val="a0"/>
    <w:rsid w:val="00CA16C7"/>
    <w:pPr>
      <w:spacing w:after="120"/>
      <w:ind w:leftChars="400" w:left="840"/>
    </w:pPr>
  </w:style>
  <w:style w:type="paragraph" w:styleId="HTML">
    <w:name w:val="HTML Preformatted"/>
    <w:basedOn w:val="a0"/>
    <w:link w:val="HTMLChar"/>
    <w:rsid w:val="00CA1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af7">
    <w:name w:val="Normal (Web)"/>
    <w:basedOn w:val="a0"/>
    <w:link w:val="Chard"/>
    <w:qFormat/>
    <w:rsid w:val="00CA16C7"/>
    <w:pPr>
      <w:widowControl/>
      <w:spacing w:before="100" w:beforeAutospacing="1" w:after="100" w:afterAutospacing="1"/>
      <w:jc w:val="left"/>
    </w:pPr>
    <w:rPr>
      <w:kern w:val="0"/>
      <w:sz w:val="24"/>
    </w:rPr>
  </w:style>
  <w:style w:type="paragraph" w:styleId="12">
    <w:name w:val="index 1"/>
    <w:basedOn w:val="a0"/>
    <w:next w:val="a0"/>
    <w:rsid w:val="00CA16C7"/>
    <w:pPr>
      <w:ind w:left="280" w:hanging="280"/>
      <w:jc w:val="left"/>
    </w:pPr>
    <w:rPr>
      <w:sz w:val="18"/>
      <w:szCs w:val="18"/>
    </w:rPr>
  </w:style>
  <w:style w:type="paragraph" w:styleId="af8">
    <w:name w:val="Title"/>
    <w:basedOn w:val="a0"/>
    <w:link w:val="Chare"/>
    <w:qFormat/>
    <w:rsid w:val="00CA16C7"/>
    <w:pPr>
      <w:spacing w:before="240" w:after="60"/>
      <w:jc w:val="center"/>
      <w:outlineLvl w:val="0"/>
    </w:pPr>
    <w:rPr>
      <w:rFonts w:ascii="Arial" w:hAnsi="Arial"/>
      <w:b/>
      <w:bCs/>
      <w:sz w:val="32"/>
      <w:szCs w:val="32"/>
    </w:rPr>
  </w:style>
  <w:style w:type="paragraph" w:styleId="af9">
    <w:name w:val="annotation subject"/>
    <w:basedOn w:val="ab"/>
    <w:next w:val="ab"/>
    <w:link w:val="Charf"/>
    <w:rsid w:val="00CA16C7"/>
    <w:rPr>
      <w:b/>
      <w:bCs/>
      <w:szCs w:val="24"/>
    </w:rPr>
  </w:style>
  <w:style w:type="paragraph" w:styleId="afa">
    <w:name w:val="Body Text First Indent"/>
    <w:basedOn w:val="a1"/>
    <w:link w:val="Charf0"/>
    <w:rsid w:val="00CA16C7"/>
    <w:pPr>
      <w:ind w:firstLineChars="100" w:firstLine="420"/>
    </w:pPr>
  </w:style>
  <w:style w:type="paragraph" w:styleId="27">
    <w:name w:val="Body Text First Indent 2"/>
    <w:basedOn w:val="ac"/>
    <w:link w:val="2Char1"/>
    <w:rsid w:val="00CA16C7"/>
    <w:pPr>
      <w:spacing w:after="120" w:line="240" w:lineRule="auto"/>
      <w:ind w:leftChars="200" w:left="420" w:firstLineChars="200" w:firstLine="420"/>
    </w:pPr>
    <w:rPr>
      <w:sz w:val="21"/>
    </w:rPr>
  </w:style>
  <w:style w:type="table" w:styleId="afb">
    <w:name w:val="Table Grid"/>
    <w:basedOn w:val="a4"/>
    <w:uiPriority w:val="99"/>
    <w:qFormat/>
    <w:rsid w:val="00CA16C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4"/>
    <w:rsid w:val="00CA16C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1">
    <w:name w:val="Table Grid 7"/>
    <w:basedOn w:val="a4"/>
    <w:rsid w:val="00CA16C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d">
    <w:name w:val="Table Professional"/>
    <w:basedOn w:val="a4"/>
    <w:rsid w:val="00CA16C7"/>
    <w:pPr>
      <w:widowControl w:val="0"/>
      <w:spacing w:line="300" w:lineRule="auto"/>
      <w:ind w:right="-45" w:firstLine="5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e">
    <w:name w:val="Strong"/>
    <w:qFormat/>
    <w:rsid w:val="00CA16C7"/>
    <w:rPr>
      <w:b/>
      <w:bCs/>
    </w:rPr>
  </w:style>
  <w:style w:type="character" w:styleId="aff">
    <w:name w:val="page number"/>
    <w:basedOn w:val="a3"/>
    <w:rsid w:val="00CA16C7"/>
  </w:style>
  <w:style w:type="character" w:styleId="aff0">
    <w:name w:val="FollowedHyperlink"/>
    <w:uiPriority w:val="99"/>
    <w:rsid w:val="00CA16C7"/>
    <w:rPr>
      <w:color w:val="800080"/>
      <w:u w:val="single"/>
    </w:rPr>
  </w:style>
  <w:style w:type="character" w:styleId="aff1">
    <w:name w:val="Emphasis"/>
    <w:qFormat/>
    <w:rsid w:val="00CA16C7"/>
    <w:rPr>
      <w:i/>
      <w:iCs/>
    </w:rPr>
  </w:style>
  <w:style w:type="character" w:styleId="aff2">
    <w:name w:val="Hyperlink"/>
    <w:uiPriority w:val="99"/>
    <w:rsid w:val="00CA16C7"/>
    <w:rPr>
      <w:color w:val="0000FF"/>
      <w:u w:val="single"/>
    </w:rPr>
  </w:style>
  <w:style w:type="character" w:styleId="aff3">
    <w:name w:val="annotation reference"/>
    <w:rsid w:val="00CA16C7"/>
    <w:rPr>
      <w:sz w:val="21"/>
      <w:szCs w:val="21"/>
    </w:rPr>
  </w:style>
  <w:style w:type="character" w:styleId="aff4">
    <w:name w:val="footnote reference"/>
    <w:rsid w:val="00CA16C7"/>
    <w:rPr>
      <w:vertAlign w:val="superscript"/>
    </w:rPr>
  </w:style>
  <w:style w:type="paragraph" w:customStyle="1" w:styleId="aff5">
    <w:name w:val="丰达四级标题"/>
    <w:basedOn w:val="a0"/>
    <w:link w:val="Charf1"/>
    <w:rsid w:val="00CA16C7"/>
    <w:pPr>
      <w:adjustRightInd w:val="0"/>
      <w:snapToGrid w:val="0"/>
      <w:spacing w:line="540" w:lineRule="exact"/>
      <w:ind w:firstLineChars="200" w:firstLine="200"/>
      <w:outlineLvl w:val="3"/>
    </w:pPr>
    <w:rPr>
      <w:b/>
      <w:sz w:val="24"/>
    </w:rPr>
  </w:style>
  <w:style w:type="paragraph" w:customStyle="1" w:styleId="-">
    <w:name w:val="四级标题-万澈"/>
    <w:basedOn w:val="a0"/>
    <w:link w:val="-Char"/>
    <w:qFormat/>
    <w:rsid w:val="00CA16C7"/>
    <w:pPr>
      <w:spacing w:before="156" w:line="360" w:lineRule="auto"/>
      <w:outlineLvl w:val="3"/>
    </w:pPr>
    <w:rPr>
      <w:rFonts w:eastAsia="黑体"/>
      <w:sz w:val="24"/>
      <w:szCs w:val="20"/>
    </w:rPr>
  </w:style>
  <w:style w:type="paragraph" w:customStyle="1" w:styleId="13">
    <w:name w:val="1表格标题"/>
    <w:basedOn w:val="a0"/>
    <w:link w:val="1Char0"/>
    <w:qFormat/>
    <w:rsid w:val="00CA16C7"/>
    <w:pPr>
      <w:spacing w:line="360" w:lineRule="auto"/>
      <w:jc w:val="center"/>
    </w:pPr>
    <w:rPr>
      <w:b/>
      <w:sz w:val="24"/>
      <w:szCs w:val="20"/>
    </w:rPr>
  </w:style>
  <w:style w:type="paragraph" w:customStyle="1" w:styleId="aff6">
    <w:name w:val="隆庆正文"/>
    <w:basedOn w:val="a0"/>
    <w:link w:val="aff7"/>
    <w:qFormat/>
    <w:rsid w:val="00CA16C7"/>
    <w:pPr>
      <w:autoSpaceDE w:val="0"/>
      <w:autoSpaceDN w:val="0"/>
      <w:adjustRightInd w:val="0"/>
      <w:snapToGrid w:val="0"/>
      <w:spacing w:line="500" w:lineRule="exact"/>
      <w:ind w:firstLineChars="200" w:firstLine="200"/>
    </w:pPr>
    <w:rPr>
      <w:sz w:val="24"/>
    </w:rPr>
  </w:style>
  <w:style w:type="paragraph" w:styleId="aff8">
    <w:name w:val="Quote"/>
    <w:basedOn w:val="a0"/>
    <w:next w:val="a0"/>
    <w:link w:val="Charf2"/>
    <w:uiPriority w:val="99"/>
    <w:qFormat/>
    <w:rsid w:val="00CA16C7"/>
    <w:pPr>
      <w:spacing w:before="200" w:after="160"/>
      <w:ind w:left="864" w:right="864"/>
      <w:jc w:val="center"/>
    </w:pPr>
    <w:rPr>
      <w:i/>
      <w:iCs/>
      <w:color w:val="404040"/>
      <w:sz w:val="21"/>
      <w:szCs w:val="21"/>
    </w:rPr>
  </w:style>
  <w:style w:type="paragraph" w:customStyle="1" w:styleId="04">
    <w:name w:val="04"/>
    <w:basedOn w:val="a0"/>
    <w:link w:val="04Char"/>
    <w:rsid w:val="00CA16C7"/>
    <w:pPr>
      <w:spacing w:line="360" w:lineRule="auto"/>
      <w:ind w:firstLineChars="200" w:firstLine="200"/>
      <w:jc w:val="left"/>
      <w:outlineLvl w:val="3"/>
    </w:pPr>
    <w:rPr>
      <w:color w:val="FF0000"/>
    </w:rPr>
  </w:style>
  <w:style w:type="paragraph" w:customStyle="1" w:styleId="28">
    <w:name w:val="样式 首行缩进:  2 字符"/>
    <w:basedOn w:val="a0"/>
    <w:link w:val="2Char2"/>
    <w:rsid w:val="00CA16C7"/>
    <w:pPr>
      <w:spacing w:line="500" w:lineRule="exact"/>
      <w:ind w:firstLineChars="200" w:firstLine="560"/>
    </w:pPr>
    <w:rPr>
      <w:szCs w:val="20"/>
    </w:rPr>
  </w:style>
  <w:style w:type="paragraph" w:customStyle="1" w:styleId="a20">
    <w:name w:val="a2"/>
    <w:basedOn w:val="a0"/>
    <w:link w:val="a2CharChar"/>
    <w:rsid w:val="00CA16C7"/>
    <w:pPr>
      <w:spacing w:beforeLines="50"/>
      <w:jc w:val="center"/>
    </w:pPr>
    <w:rPr>
      <w:rFonts w:ascii="宋体"/>
      <w:sz w:val="21"/>
    </w:rPr>
  </w:style>
  <w:style w:type="paragraph" w:customStyle="1" w:styleId="me2">
    <w:name w:val="me标题2"/>
    <w:basedOn w:val="a0"/>
    <w:link w:val="me2CharChar"/>
    <w:rsid w:val="00CA16C7"/>
    <w:pPr>
      <w:shd w:val="clear" w:color="auto" w:fill="FFFFFF"/>
      <w:spacing w:afterLines="50" w:line="540" w:lineRule="exact"/>
      <w:jc w:val="center"/>
      <w:outlineLvl w:val="1"/>
    </w:pPr>
    <w:rPr>
      <w:rFonts w:eastAsia="黑体"/>
      <w:b/>
      <w:bCs/>
      <w:sz w:val="30"/>
      <w:szCs w:val="20"/>
    </w:rPr>
  </w:style>
  <w:style w:type="paragraph" w:customStyle="1" w:styleId="aff9">
    <w:name w:val="报告表正文"/>
    <w:basedOn w:val="a0"/>
    <w:link w:val="Charf3"/>
    <w:rsid w:val="00CA16C7"/>
    <w:pPr>
      <w:adjustRightInd w:val="0"/>
      <w:spacing w:line="312" w:lineRule="auto"/>
      <w:ind w:left="113" w:right="113" w:firstLine="482"/>
      <w:textAlignment w:val="baseline"/>
    </w:pPr>
    <w:rPr>
      <w:kern w:val="0"/>
      <w:sz w:val="24"/>
      <w:szCs w:val="20"/>
    </w:rPr>
  </w:style>
  <w:style w:type="paragraph" w:customStyle="1" w:styleId="affa">
    <w:name w:val="表格内文字"/>
    <w:basedOn w:val="a0"/>
    <w:link w:val="Charf4"/>
    <w:rsid w:val="00CA16C7"/>
    <w:pPr>
      <w:tabs>
        <w:tab w:val="left" w:pos="0"/>
      </w:tabs>
      <w:adjustRightInd w:val="0"/>
      <w:snapToGrid w:val="0"/>
      <w:spacing w:line="360" w:lineRule="auto"/>
      <w:ind w:firstLineChars="200" w:firstLine="200"/>
      <w:jc w:val="center"/>
    </w:pPr>
    <w:rPr>
      <w:rFonts w:ascii="宋体" w:eastAsia="仿宋_GB2312" w:hAnsi="宋体"/>
      <w:sz w:val="24"/>
      <w:szCs w:val="28"/>
    </w:rPr>
  </w:style>
  <w:style w:type="paragraph" w:customStyle="1" w:styleId="22215">
    <w:name w:val="样式 样式 样式 首行缩进:  2 字符 + 首行缩进:  2 字符 + 首行缩进:  2 字符 行距: 1.5 倍行距"/>
    <w:basedOn w:val="a0"/>
    <w:link w:val="22215CharChar"/>
    <w:rsid w:val="00CA16C7"/>
    <w:pPr>
      <w:spacing w:line="360" w:lineRule="auto"/>
      <w:ind w:firstLineChars="200" w:firstLine="420"/>
    </w:pPr>
    <w:rPr>
      <w:sz w:val="21"/>
      <w:szCs w:val="20"/>
    </w:rPr>
  </w:style>
  <w:style w:type="paragraph" w:customStyle="1" w:styleId="111">
    <w:name w:val="1.1.1"/>
    <w:basedOn w:val="a0"/>
    <w:link w:val="111Char"/>
    <w:uiPriority w:val="99"/>
    <w:rsid w:val="00CA16C7"/>
    <w:pPr>
      <w:spacing w:beforeLines="50" w:afterLines="50" w:line="360" w:lineRule="auto"/>
      <w:jc w:val="left"/>
      <w:outlineLvl w:val="2"/>
    </w:pPr>
    <w:rPr>
      <w:rFonts w:ascii="Calibri" w:eastAsia="黑体" w:hAnsi="Calibri"/>
      <w:b/>
      <w:sz w:val="24"/>
    </w:rPr>
  </w:style>
  <w:style w:type="paragraph" w:customStyle="1" w:styleId="affb">
    <w:name w:val="表体"/>
    <w:basedOn w:val="a0"/>
    <w:link w:val="Charf5"/>
    <w:rsid w:val="00CA16C7"/>
    <w:pPr>
      <w:spacing w:before="40" w:after="40"/>
    </w:pPr>
    <w:rPr>
      <w:sz w:val="21"/>
      <w:szCs w:val="20"/>
    </w:rPr>
  </w:style>
  <w:style w:type="paragraph" w:customStyle="1" w:styleId="affc">
    <w:name w:val="表格正文"/>
    <w:basedOn w:val="a0"/>
    <w:link w:val="Charf6"/>
    <w:rsid w:val="00CA16C7"/>
    <w:pPr>
      <w:spacing w:line="360" w:lineRule="exact"/>
      <w:jc w:val="center"/>
    </w:pPr>
    <w:rPr>
      <w:sz w:val="21"/>
      <w:szCs w:val="20"/>
    </w:rPr>
  </w:style>
  <w:style w:type="paragraph" w:customStyle="1" w:styleId="bg">
    <w:name w:val="bg正文首行缩进"/>
    <w:basedOn w:val="a0"/>
    <w:link w:val="bgChar1"/>
    <w:rsid w:val="00CA16C7"/>
    <w:pPr>
      <w:spacing w:line="400" w:lineRule="exact"/>
      <w:ind w:firstLine="482"/>
    </w:pPr>
    <w:rPr>
      <w:sz w:val="24"/>
      <w:szCs w:val="20"/>
    </w:rPr>
  </w:style>
  <w:style w:type="paragraph" w:customStyle="1" w:styleId="14">
    <w:name w:val="表1"/>
    <w:basedOn w:val="a0"/>
    <w:link w:val="1Char1"/>
    <w:rsid w:val="00CA16C7"/>
    <w:pPr>
      <w:adjustRightInd w:val="0"/>
      <w:spacing w:beforeLines="50" w:afterLines="50" w:line="400" w:lineRule="exact"/>
      <w:jc w:val="center"/>
      <w:textAlignment w:val="baseline"/>
    </w:pPr>
    <w:rPr>
      <w:rFonts w:eastAsia="黑体"/>
      <w:spacing w:val="10"/>
      <w:szCs w:val="20"/>
    </w:rPr>
  </w:style>
  <w:style w:type="paragraph" w:customStyle="1" w:styleId="affd">
    <w:name w:val="正式文本"/>
    <w:basedOn w:val="a0"/>
    <w:link w:val="CharChar"/>
    <w:rsid w:val="00CA16C7"/>
    <w:pPr>
      <w:spacing w:line="500" w:lineRule="exact"/>
      <w:ind w:firstLineChars="200" w:firstLine="200"/>
    </w:pPr>
    <w:rPr>
      <w:rFonts w:ascii="Arial Narrow" w:eastAsia="汉鼎简书宋" w:hAnsi="Arial Narrow"/>
      <w:sz w:val="24"/>
    </w:rPr>
  </w:style>
  <w:style w:type="paragraph" w:customStyle="1" w:styleId="WWL">
    <w:name w:val="WWL正文"/>
    <w:basedOn w:val="me1"/>
    <w:link w:val="WWLCharChar"/>
    <w:rsid w:val="00CA16C7"/>
    <w:pPr>
      <w:spacing w:before="0" w:line="540" w:lineRule="exact"/>
      <w:ind w:firstLine="560"/>
    </w:pPr>
    <w:rPr>
      <w:rFonts w:ascii="宋体" w:hAnsi="宋体"/>
      <w:color w:val="FF0000"/>
      <w:spacing w:val="0"/>
      <w:lang w:val="zh-CN"/>
    </w:rPr>
  </w:style>
  <w:style w:type="paragraph" w:customStyle="1" w:styleId="me1">
    <w:name w:val="me正文1"/>
    <w:basedOn w:val="a0"/>
    <w:next w:val="a0"/>
    <w:link w:val="me1CharChar"/>
    <w:rsid w:val="00CA16C7"/>
    <w:pPr>
      <w:shd w:val="clear" w:color="auto" w:fill="FFFFFF"/>
      <w:spacing w:before="50" w:line="360" w:lineRule="auto"/>
      <w:ind w:firstLineChars="200" w:firstLine="528"/>
    </w:pPr>
    <w:rPr>
      <w:spacing w:val="-8"/>
      <w:szCs w:val="28"/>
    </w:rPr>
  </w:style>
  <w:style w:type="paragraph" w:customStyle="1" w:styleId="15">
    <w:name w:val="表格1"/>
    <w:basedOn w:val="a0"/>
    <w:link w:val="1Char2"/>
    <w:qFormat/>
    <w:rsid w:val="00CA16C7"/>
    <w:pPr>
      <w:adjustRightInd w:val="0"/>
      <w:spacing w:line="20" w:lineRule="atLeast"/>
      <w:jc w:val="center"/>
      <w:textAlignment w:val="center"/>
    </w:pPr>
    <w:rPr>
      <w:rFonts w:ascii="宋体"/>
      <w:kern w:val="0"/>
      <w:sz w:val="21"/>
      <w:szCs w:val="20"/>
    </w:rPr>
  </w:style>
  <w:style w:type="paragraph" w:customStyle="1" w:styleId="36">
    <w:name w:val="样式3"/>
    <w:basedOn w:val="a0"/>
    <w:link w:val="3Char2"/>
    <w:qFormat/>
    <w:rsid w:val="00CA16C7"/>
    <w:pPr>
      <w:adjustRightInd w:val="0"/>
      <w:snapToGrid w:val="0"/>
      <w:jc w:val="center"/>
    </w:pPr>
    <w:rPr>
      <w:spacing w:val="8"/>
      <w:sz w:val="24"/>
      <w:szCs w:val="28"/>
    </w:rPr>
  </w:style>
  <w:style w:type="paragraph" w:customStyle="1" w:styleId="affe">
    <w:name w:val="杨柳"/>
    <w:basedOn w:val="a0"/>
    <w:link w:val="CharChar0"/>
    <w:rsid w:val="00CA16C7"/>
    <w:pPr>
      <w:spacing w:line="540" w:lineRule="exact"/>
      <w:ind w:firstLineChars="200" w:firstLine="560"/>
    </w:pPr>
    <w:rPr>
      <w:sz w:val="24"/>
    </w:rPr>
  </w:style>
  <w:style w:type="paragraph" w:customStyle="1" w:styleId="16">
    <w:name w:val="内容1"/>
    <w:basedOn w:val="a0"/>
    <w:link w:val="1CharChar"/>
    <w:rsid w:val="00CA16C7"/>
    <w:pPr>
      <w:spacing w:line="540" w:lineRule="exact"/>
      <w:ind w:firstLineChars="200" w:firstLine="560"/>
    </w:pPr>
    <w:rPr>
      <w:rFonts w:ascii="宋体"/>
      <w:color w:val="000000"/>
      <w:szCs w:val="20"/>
    </w:rPr>
  </w:style>
  <w:style w:type="paragraph" w:customStyle="1" w:styleId="afff">
    <w:name w:val="表格字体"/>
    <w:basedOn w:val="a0"/>
    <w:link w:val="Charf7"/>
    <w:rsid w:val="00CA16C7"/>
    <w:pPr>
      <w:adjustRightInd w:val="0"/>
      <w:spacing w:line="300" w:lineRule="exact"/>
      <w:jc w:val="center"/>
    </w:pPr>
    <w:rPr>
      <w:color w:val="000000"/>
      <w:sz w:val="21"/>
    </w:rPr>
  </w:style>
  <w:style w:type="paragraph" w:customStyle="1" w:styleId="afff0">
    <w:name w:val="图题注"/>
    <w:basedOn w:val="a8"/>
    <w:link w:val="Charf8"/>
    <w:rsid w:val="00CA16C7"/>
    <w:pPr>
      <w:spacing w:line="520" w:lineRule="exact"/>
      <w:jc w:val="center"/>
    </w:pPr>
    <w:rPr>
      <w:sz w:val="24"/>
    </w:rPr>
  </w:style>
  <w:style w:type="paragraph" w:customStyle="1" w:styleId="afff1">
    <w:name w:val="段"/>
    <w:basedOn w:val="a0"/>
    <w:link w:val="Charf9"/>
    <w:rsid w:val="00CA16C7"/>
    <w:pPr>
      <w:ind w:firstLineChars="200" w:firstLine="200"/>
      <w:jc w:val="left"/>
    </w:pPr>
    <w:rPr>
      <w:rFonts w:ascii="Arial" w:eastAsia="黑体" w:hAnsi="Arial"/>
      <w:b/>
      <w:bCs/>
      <w:szCs w:val="28"/>
    </w:rPr>
  </w:style>
  <w:style w:type="paragraph" w:customStyle="1" w:styleId="afff2">
    <w:name w:val="说明书正文"/>
    <w:basedOn w:val="a0"/>
    <w:link w:val="Charfa"/>
    <w:qFormat/>
    <w:rsid w:val="00CA16C7"/>
    <w:pPr>
      <w:spacing w:line="480" w:lineRule="exact"/>
      <w:ind w:firstLineChars="200" w:firstLine="600"/>
    </w:pPr>
    <w:rPr>
      <w:rFonts w:eastAsia="仿宋_GB2312"/>
      <w:color w:val="000000"/>
      <w:sz w:val="30"/>
    </w:rPr>
  </w:style>
  <w:style w:type="paragraph" w:customStyle="1" w:styleId="me">
    <w:name w:val="me表格编号"/>
    <w:basedOn w:val="a0"/>
    <w:next w:val="a0"/>
    <w:link w:val="meCharChar"/>
    <w:rsid w:val="00CA16C7"/>
    <w:pPr>
      <w:adjustRightInd w:val="0"/>
      <w:snapToGrid w:val="0"/>
      <w:jc w:val="right"/>
    </w:pPr>
    <w:rPr>
      <w:rFonts w:ascii="宋体" w:hAnsi="宋体"/>
      <w:color w:val="0000FF"/>
      <w:sz w:val="24"/>
    </w:rPr>
  </w:style>
  <w:style w:type="paragraph" w:customStyle="1" w:styleId="afff3">
    <w:name w:val="样式 正文缩进 + (中文) 黑体 小四"/>
    <w:basedOn w:val="a2"/>
    <w:link w:val="Charfb"/>
    <w:rsid w:val="00CA16C7"/>
    <w:pPr>
      <w:spacing w:line="520" w:lineRule="exact"/>
      <w:ind w:firstLine="482"/>
    </w:pPr>
    <w:rPr>
      <w:rFonts w:eastAsia="黑体"/>
      <w:b/>
      <w:bCs/>
      <w:kern w:val="28"/>
      <w:sz w:val="24"/>
    </w:rPr>
  </w:style>
  <w:style w:type="paragraph" w:customStyle="1" w:styleId="0">
    <w:name w:val="0表格标题"/>
    <w:basedOn w:val="a0"/>
    <w:link w:val="0Char"/>
    <w:qFormat/>
    <w:rsid w:val="00CA16C7"/>
    <w:pPr>
      <w:jc w:val="center"/>
      <w:outlineLvl w:val="4"/>
    </w:pPr>
    <w:rPr>
      <w:rFonts w:eastAsia="黑体"/>
      <w:b/>
      <w:spacing w:val="2"/>
      <w:sz w:val="24"/>
    </w:rPr>
  </w:style>
  <w:style w:type="paragraph" w:customStyle="1" w:styleId="afff4">
    <w:name w:val="隆庆四级标题"/>
    <w:basedOn w:val="a0"/>
    <w:link w:val="afff5"/>
    <w:qFormat/>
    <w:rsid w:val="00CA16C7"/>
    <w:pPr>
      <w:adjustRightInd w:val="0"/>
      <w:snapToGrid w:val="0"/>
      <w:spacing w:line="540" w:lineRule="exact"/>
      <w:ind w:firstLineChars="200" w:firstLine="200"/>
      <w:outlineLvl w:val="3"/>
    </w:pPr>
    <w:rPr>
      <w:b/>
      <w:sz w:val="24"/>
    </w:rPr>
  </w:style>
  <w:style w:type="paragraph" w:customStyle="1" w:styleId="00">
    <w:name w:val="0表格内容"/>
    <w:basedOn w:val="a0"/>
    <w:link w:val="0Char0"/>
    <w:qFormat/>
    <w:rsid w:val="00CA16C7"/>
    <w:pPr>
      <w:jc w:val="center"/>
    </w:pPr>
    <w:rPr>
      <w:rFonts w:ascii="Calibri" w:hAnsi="Calibri"/>
      <w:sz w:val="21"/>
      <w:szCs w:val="22"/>
    </w:rPr>
  </w:style>
  <w:style w:type="paragraph" w:customStyle="1" w:styleId="17">
    <w:name w:val="表头1"/>
    <w:basedOn w:val="a0"/>
    <w:link w:val="1Char3"/>
    <w:rsid w:val="00CA16C7"/>
    <w:pPr>
      <w:adjustRightInd w:val="0"/>
      <w:snapToGrid w:val="0"/>
      <w:spacing w:line="360" w:lineRule="auto"/>
      <w:ind w:firstLineChars="200" w:firstLine="200"/>
      <w:jc w:val="center"/>
    </w:pPr>
    <w:rPr>
      <w:b/>
      <w:color w:val="000000"/>
    </w:rPr>
  </w:style>
  <w:style w:type="paragraph" w:customStyle="1" w:styleId="afff6">
    <w:name w:val="表格内容居中"/>
    <w:basedOn w:val="a0"/>
    <w:link w:val="Charfc"/>
    <w:rsid w:val="00CA16C7"/>
    <w:pPr>
      <w:widowControl/>
      <w:tabs>
        <w:tab w:val="left" w:pos="1260"/>
        <w:tab w:val="left" w:pos="3900"/>
      </w:tabs>
      <w:jc w:val="center"/>
    </w:pPr>
    <w:rPr>
      <w:rFonts w:ascii="宋体" w:hAnsi="宋体"/>
      <w:kern w:val="0"/>
      <w:sz w:val="20"/>
      <w:szCs w:val="21"/>
    </w:rPr>
  </w:style>
  <w:style w:type="paragraph" w:customStyle="1" w:styleId="110">
    <w:name w:val="样式11"/>
    <w:basedOn w:val="a0"/>
    <w:link w:val="11Char"/>
    <w:rsid w:val="00CA16C7"/>
    <w:rPr>
      <w:sz w:val="21"/>
      <w:szCs w:val="21"/>
    </w:rPr>
  </w:style>
  <w:style w:type="paragraph" w:customStyle="1" w:styleId="afff7">
    <w:name w:val="表格标题"/>
    <w:basedOn w:val="afff8"/>
    <w:link w:val="Charfd"/>
    <w:qFormat/>
    <w:rsid w:val="00CA16C7"/>
    <w:pPr>
      <w:spacing w:line="360" w:lineRule="auto"/>
      <w:ind w:firstLineChars="200" w:firstLine="200"/>
      <w:jc w:val="left"/>
    </w:pPr>
    <w:rPr>
      <w:b/>
      <w:sz w:val="24"/>
    </w:rPr>
  </w:style>
  <w:style w:type="paragraph" w:customStyle="1" w:styleId="afff8">
    <w:name w:val="表格内容"/>
    <w:basedOn w:val="a0"/>
    <w:link w:val="Charfe"/>
    <w:qFormat/>
    <w:rsid w:val="00CA16C7"/>
    <w:pPr>
      <w:widowControl/>
      <w:adjustRightInd w:val="0"/>
      <w:snapToGrid w:val="0"/>
      <w:spacing w:line="276" w:lineRule="auto"/>
      <w:jc w:val="center"/>
    </w:pPr>
    <w:rPr>
      <w:sz w:val="21"/>
      <w:szCs w:val="21"/>
    </w:rPr>
  </w:style>
  <w:style w:type="paragraph" w:customStyle="1" w:styleId="29">
    <w:name w:val="首行缩进2"/>
    <w:basedOn w:val="a0"/>
    <w:link w:val="2CharChar"/>
    <w:rsid w:val="00CA16C7"/>
    <w:pPr>
      <w:adjustRightInd w:val="0"/>
      <w:snapToGrid w:val="0"/>
      <w:spacing w:line="360" w:lineRule="auto"/>
      <w:ind w:leftChars="-53" w:left="-111" w:firstLine="21"/>
      <w:jc w:val="left"/>
    </w:pPr>
    <w:rPr>
      <w:sz w:val="24"/>
    </w:rPr>
  </w:style>
  <w:style w:type="paragraph" w:customStyle="1" w:styleId="afff9">
    <w:name w:val="圣达正文"/>
    <w:basedOn w:val="a0"/>
    <w:link w:val="Charff"/>
    <w:rsid w:val="00CA16C7"/>
    <w:pPr>
      <w:autoSpaceDE w:val="0"/>
      <w:autoSpaceDN w:val="0"/>
      <w:adjustRightInd w:val="0"/>
      <w:snapToGrid w:val="0"/>
      <w:spacing w:line="540" w:lineRule="exact"/>
      <w:ind w:firstLineChars="200" w:firstLine="200"/>
    </w:pPr>
    <w:rPr>
      <w:rFonts w:ascii="宋体" w:hAnsi="宋体"/>
      <w:sz w:val="24"/>
    </w:rPr>
  </w:style>
  <w:style w:type="paragraph" w:customStyle="1" w:styleId="afffa">
    <w:name w:val="铝土矿正文"/>
    <w:basedOn w:val="a0"/>
    <w:link w:val="Charff0"/>
    <w:rsid w:val="00CA16C7"/>
    <w:pPr>
      <w:spacing w:line="400" w:lineRule="exact"/>
      <w:ind w:firstLineChars="200" w:firstLine="480"/>
    </w:pPr>
    <w:rPr>
      <w:sz w:val="24"/>
    </w:rPr>
  </w:style>
  <w:style w:type="paragraph" w:customStyle="1" w:styleId="A40">
    <w:name w:val="A4（正）"/>
    <w:basedOn w:val="a0"/>
    <w:link w:val="A4CharChar"/>
    <w:rsid w:val="00CA16C7"/>
    <w:pPr>
      <w:widowControl/>
      <w:spacing w:line="480" w:lineRule="exact"/>
      <w:ind w:firstLineChars="200" w:firstLine="480"/>
      <w:jc w:val="left"/>
    </w:pPr>
    <w:rPr>
      <w:szCs w:val="20"/>
    </w:rPr>
  </w:style>
  <w:style w:type="paragraph" w:customStyle="1" w:styleId="2a">
    <w:name w:val="2级标题"/>
    <w:basedOn w:val="a0"/>
    <w:next w:val="18"/>
    <w:link w:val="2Char3"/>
    <w:qFormat/>
    <w:rsid w:val="00CA16C7"/>
    <w:pPr>
      <w:tabs>
        <w:tab w:val="left" w:pos="4905"/>
      </w:tabs>
      <w:spacing w:before="120" w:afterLines="50" w:line="360" w:lineRule="auto"/>
      <w:jc w:val="left"/>
      <w:outlineLvl w:val="1"/>
    </w:pPr>
    <w:rPr>
      <w:rFonts w:eastAsia="黑体"/>
      <w:b/>
      <w:kern w:val="0"/>
      <w:sz w:val="32"/>
    </w:rPr>
  </w:style>
  <w:style w:type="paragraph" w:customStyle="1" w:styleId="18">
    <w:name w:val="1正文段落"/>
    <w:basedOn w:val="a0"/>
    <w:link w:val="1Char4"/>
    <w:rsid w:val="00CA16C7"/>
    <w:pPr>
      <w:spacing w:line="520" w:lineRule="exact"/>
      <w:ind w:firstLineChars="200" w:firstLine="200"/>
      <w:jc w:val="left"/>
    </w:pPr>
    <w:rPr>
      <w:kern w:val="0"/>
      <w:szCs w:val="20"/>
    </w:rPr>
  </w:style>
  <w:style w:type="paragraph" w:customStyle="1" w:styleId="afffb">
    <w:name w:val="表文字"/>
    <w:link w:val="Charff1"/>
    <w:rsid w:val="00CA16C7"/>
    <w:pPr>
      <w:spacing w:line="240" w:lineRule="exact"/>
    </w:pPr>
    <w:rPr>
      <w:rFonts w:ascii="宋体" w:eastAsia="Times New Roman" w:hAnsi="宋体"/>
      <w:kern w:val="2"/>
      <w:sz w:val="21"/>
    </w:rPr>
  </w:style>
  <w:style w:type="paragraph" w:customStyle="1" w:styleId="afffc">
    <w:name w:val="正文(首行缩进)"/>
    <w:basedOn w:val="a0"/>
    <w:link w:val="Charff2"/>
    <w:rsid w:val="00CA16C7"/>
    <w:pPr>
      <w:adjustRightInd w:val="0"/>
      <w:snapToGrid w:val="0"/>
      <w:spacing w:line="360" w:lineRule="auto"/>
      <w:ind w:firstLineChars="200" w:firstLine="200"/>
    </w:pPr>
    <w:rPr>
      <w:rFonts w:ascii="宋体" w:hAnsi="宋体"/>
      <w:kern w:val="0"/>
      <w:sz w:val="24"/>
    </w:rPr>
  </w:style>
  <w:style w:type="paragraph" w:customStyle="1" w:styleId="4MB4TimesNewRoman">
    <w:name w:val="样式 标题 4MB4 + (西文) Times New Roman (中文) 宋体"/>
    <w:basedOn w:val="4"/>
    <w:link w:val="4MB4TimesNewRomanChar"/>
    <w:rsid w:val="00CA16C7"/>
    <w:pPr>
      <w:spacing w:before="0" w:after="0" w:line="520" w:lineRule="exact"/>
    </w:pPr>
    <w:rPr>
      <w:b w:val="0"/>
      <w:bCs w:val="0"/>
    </w:rPr>
  </w:style>
  <w:style w:type="paragraph" w:customStyle="1" w:styleId="hb3">
    <w:name w:val="hb3"/>
    <w:link w:val="hb3Char"/>
    <w:rsid w:val="00CA16C7"/>
    <w:pPr>
      <w:spacing w:beforeLines="100" w:afterLines="50" w:line="360" w:lineRule="auto"/>
      <w:outlineLvl w:val="2"/>
    </w:pPr>
    <w:rPr>
      <w:rFonts w:eastAsia="Times New Roman"/>
      <w:b/>
      <w:kern w:val="2"/>
      <w:sz w:val="24"/>
    </w:rPr>
  </w:style>
  <w:style w:type="paragraph" w:customStyle="1" w:styleId="afffd">
    <w:name w:val="内容"/>
    <w:basedOn w:val="a0"/>
    <w:link w:val="CharChar1"/>
    <w:rsid w:val="00CA16C7"/>
    <w:pPr>
      <w:snapToGrid w:val="0"/>
      <w:spacing w:line="560" w:lineRule="exact"/>
      <w:ind w:firstLineChars="200" w:firstLine="200"/>
    </w:pPr>
    <w:rPr>
      <w:szCs w:val="28"/>
    </w:rPr>
  </w:style>
  <w:style w:type="paragraph" w:customStyle="1" w:styleId="1BodyTextchALTZ42">
    <w:name w:val="样式 正文缩进表正文正文非缩进段1Body Text(ch)缩进ALT+Z特点四号正文不缩进标题4正文2..."/>
    <w:basedOn w:val="a2"/>
    <w:link w:val="1BodyTextchALTZ42Char"/>
    <w:qFormat/>
    <w:rsid w:val="00CA16C7"/>
    <w:pPr>
      <w:spacing w:line="480" w:lineRule="exact"/>
      <w:ind w:firstLine="480"/>
    </w:pPr>
    <w:rPr>
      <w:rFonts w:ascii="Calibri" w:hAnsi="Calibri"/>
      <w:b/>
      <w:bCs/>
      <w:kern w:val="28"/>
      <w:sz w:val="24"/>
    </w:rPr>
  </w:style>
  <w:style w:type="paragraph" w:customStyle="1" w:styleId="hst">
    <w:name w:val="hst  正文"/>
    <w:basedOn w:val="a0"/>
    <w:link w:val="hstChar"/>
    <w:qFormat/>
    <w:rsid w:val="00CA16C7"/>
    <w:pPr>
      <w:spacing w:line="500" w:lineRule="exact"/>
      <w:ind w:firstLineChars="200" w:firstLine="480"/>
    </w:pPr>
    <w:rPr>
      <w:bCs/>
      <w:kern w:val="0"/>
      <w:sz w:val="24"/>
    </w:rPr>
  </w:style>
  <w:style w:type="paragraph" w:customStyle="1" w:styleId="me0">
    <w:name w:val="me表格标题"/>
    <w:basedOn w:val="a0"/>
    <w:next w:val="a0"/>
    <w:link w:val="meCharChar0"/>
    <w:rsid w:val="00CA16C7"/>
    <w:pPr>
      <w:shd w:val="clear" w:color="auto" w:fill="FFFFFF"/>
      <w:spacing w:line="520" w:lineRule="exact"/>
      <w:jc w:val="center"/>
    </w:pPr>
    <w:rPr>
      <w:rFonts w:ascii="宋体" w:hAnsi="宋体"/>
      <w:b/>
      <w:bCs/>
      <w:szCs w:val="28"/>
    </w:rPr>
  </w:style>
  <w:style w:type="paragraph" w:customStyle="1" w:styleId="me3">
    <w:name w:val="me正文"/>
    <w:basedOn w:val="a0"/>
    <w:link w:val="meCharChar1"/>
    <w:rsid w:val="00CA16C7"/>
    <w:pPr>
      <w:spacing w:line="360" w:lineRule="auto"/>
      <w:ind w:firstLineChars="200" w:firstLine="560"/>
    </w:pPr>
    <w:rPr>
      <w:rFonts w:ascii="宋体" w:hAnsi="宋体"/>
      <w:color w:val="0000FF"/>
      <w:szCs w:val="28"/>
    </w:rPr>
  </w:style>
  <w:style w:type="paragraph" w:customStyle="1" w:styleId="2TimesNewRoman">
    <w:name w:val="样式 标题 2 + Times New Roman"/>
    <w:basedOn w:val="2"/>
    <w:link w:val="2TimesNewRomanChar"/>
    <w:rsid w:val="00CA16C7"/>
    <w:pPr>
      <w:spacing w:before="0" w:after="0"/>
    </w:pPr>
    <w:rPr>
      <w:rFonts w:ascii="Times New Roman" w:hAnsi="Times New Roman"/>
      <w:b w:val="0"/>
      <w:bCs/>
      <w:sz w:val="30"/>
      <w:szCs w:val="32"/>
    </w:rPr>
  </w:style>
  <w:style w:type="paragraph" w:customStyle="1" w:styleId="03">
    <w:name w:val="0标题3"/>
    <w:basedOn w:val="30"/>
    <w:link w:val="03Char"/>
    <w:qFormat/>
    <w:rsid w:val="00CA16C7"/>
    <w:pPr>
      <w:spacing w:beforeLines="50" w:after="100" w:afterAutospacing="1" w:line="360" w:lineRule="auto"/>
      <w:jc w:val="left"/>
    </w:pPr>
    <w:rPr>
      <w:rFonts w:ascii="Calibri" w:hAnsi="Calibri"/>
      <w:sz w:val="28"/>
      <w:szCs w:val="28"/>
    </w:rPr>
  </w:style>
  <w:style w:type="paragraph" w:customStyle="1" w:styleId="2b">
    <w:name w:val="表格2"/>
    <w:basedOn w:val="a0"/>
    <w:link w:val="2Char4"/>
    <w:qFormat/>
    <w:rsid w:val="00CA16C7"/>
    <w:pPr>
      <w:adjustRightInd w:val="0"/>
      <w:snapToGrid w:val="0"/>
      <w:jc w:val="center"/>
    </w:pPr>
    <w:rPr>
      <w:rFonts w:hAnsi="宋体"/>
      <w:sz w:val="21"/>
      <w:szCs w:val="21"/>
    </w:rPr>
  </w:style>
  <w:style w:type="paragraph" w:customStyle="1" w:styleId="01">
    <w:name w:val="0正文"/>
    <w:basedOn w:val="a0"/>
    <w:link w:val="0Char1"/>
    <w:qFormat/>
    <w:rsid w:val="00CA16C7"/>
    <w:pPr>
      <w:autoSpaceDE w:val="0"/>
      <w:autoSpaceDN w:val="0"/>
      <w:adjustRightInd w:val="0"/>
      <w:spacing w:line="360" w:lineRule="auto"/>
      <w:ind w:firstLineChars="200" w:firstLine="200"/>
      <w:jc w:val="left"/>
    </w:pPr>
    <w:rPr>
      <w:rFonts w:ascii="Calibri" w:hAnsi="Calibri"/>
      <w:sz w:val="24"/>
      <w:lang w:val="zh-CN"/>
    </w:rPr>
  </w:style>
  <w:style w:type="paragraph" w:customStyle="1" w:styleId="afffe">
    <w:name w:val="正文a"/>
    <w:basedOn w:val="a0"/>
    <w:link w:val="aChar"/>
    <w:rsid w:val="00CA16C7"/>
    <w:pPr>
      <w:autoSpaceDE w:val="0"/>
      <w:autoSpaceDN w:val="0"/>
      <w:adjustRightInd w:val="0"/>
      <w:spacing w:line="380" w:lineRule="exact"/>
      <w:ind w:firstLineChars="200" w:firstLine="200"/>
    </w:pPr>
    <w:rPr>
      <w:rFonts w:ascii="仿宋_GB2312"/>
      <w:color w:val="000000"/>
      <w:sz w:val="24"/>
      <w:szCs w:val="20"/>
      <w:lang w:val="zh-CN"/>
    </w:rPr>
  </w:style>
  <w:style w:type="paragraph" w:customStyle="1" w:styleId="3MB3h33rdlevelH3Head3level3PIM3Level3Head2">
    <w:name w:val="样式 标题 3头MB3h33rd levelH3Head 3level_3PIM 3Level 3 Head...2"/>
    <w:basedOn w:val="30"/>
    <w:link w:val="3MB3h33rdlevelH3Head3level3PIM3Level3Head2Char"/>
    <w:rsid w:val="00CA16C7"/>
    <w:pPr>
      <w:spacing w:before="48" w:after="48" w:line="520" w:lineRule="exact"/>
      <w:jc w:val="left"/>
    </w:pPr>
    <w:rPr>
      <w:rFonts w:ascii="华文楷体" w:eastAsia="华文楷体" w:hAnsi="华文楷体"/>
      <w:b w:val="0"/>
      <w:kern w:val="28"/>
      <w:sz w:val="28"/>
      <w:szCs w:val="20"/>
    </w:rPr>
  </w:style>
  <w:style w:type="paragraph" w:customStyle="1" w:styleId="CharChar2">
    <w:name w:val="首行缩进两字 Char Char"/>
    <w:basedOn w:val="a0"/>
    <w:link w:val="CharCharChar"/>
    <w:rsid w:val="00CA16C7"/>
    <w:pPr>
      <w:spacing w:line="360" w:lineRule="auto"/>
      <w:ind w:firstLineChars="200" w:firstLine="560"/>
      <w:jc w:val="left"/>
    </w:pPr>
    <w:rPr>
      <w:rFonts w:ascii="宋体" w:hAnsi="宋体"/>
    </w:rPr>
  </w:style>
  <w:style w:type="paragraph" w:customStyle="1" w:styleId="37">
    <w:name w:val="3级标题"/>
    <w:basedOn w:val="a0"/>
    <w:link w:val="3Char3"/>
    <w:rsid w:val="00CA16C7"/>
    <w:pPr>
      <w:spacing w:line="500" w:lineRule="exact"/>
      <w:outlineLvl w:val="2"/>
    </w:pPr>
    <w:rPr>
      <w:rFonts w:eastAsia="楷体_GB2312"/>
      <w:kern w:val="0"/>
      <w:szCs w:val="20"/>
    </w:rPr>
  </w:style>
  <w:style w:type="paragraph" w:customStyle="1" w:styleId="151">
    <w:name w:val="样式 行距: 1.5 倍行距1"/>
    <w:basedOn w:val="a0"/>
    <w:link w:val="151Char"/>
    <w:rsid w:val="00CA16C7"/>
    <w:pPr>
      <w:spacing w:line="360" w:lineRule="auto"/>
      <w:ind w:firstLineChars="200" w:firstLine="480"/>
    </w:pPr>
    <w:rPr>
      <w:sz w:val="24"/>
      <w:szCs w:val="20"/>
    </w:rPr>
  </w:style>
  <w:style w:type="paragraph" w:customStyle="1" w:styleId="affff">
    <w:name w:val="正文（环评报告）"/>
    <w:basedOn w:val="a0"/>
    <w:link w:val="CharChar3"/>
    <w:rsid w:val="00CA16C7"/>
    <w:pPr>
      <w:widowControl/>
      <w:spacing w:line="360" w:lineRule="auto"/>
      <w:ind w:firstLineChars="200" w:firstLine="200"/>
    </w:pPr>
    <w:rPr>
      <w:spacing w:val="6"/>
      <w:kern w:val="0"/>
      <w:sz w:val="24"/>
    </w:rPr>
  </w:style>
  <w:style w:type="paragraph" w:customStyle="1" w:styleId="affff0">
    <w:name w:val="表号"/>
    <w:link w:val="Char20"/>
    <w:rsid w:val="00CA16C7"/>
    <w:pPr>
      <w:outlineLvl w:val="4"/>
    </w:pPr>
    <w:rPr>
      <w:rFonts w:eastAsia="Times New Roman"/>
      <w:sz w:val="21"/>
    </w:rPr>
  </w:style>
  <w:style w:type="paragraph" w:customStyle="1" w:styleId="affff1">
    <w:name w:val="图标表头"/>
    <w:basedOn w:val="afff9"/>
    <w:link w:val="Charff3"/>
    <w:rsid w:val="00CA16C7"/>
    <w:pPr>
      <w:ind w:firstLine="480"/>
      <w:jc w:val="center"/>
    </w:pPr>
    <w:rPr>
      <w:b/>
    </w:rPr>
  </w:style>
  <w:style w:type="paragraph" w:customStyle="1" w:styleId="affff2">
    <w:name w:val="图标样式"/>
    <w:basedOn w:val="a0"/>
    <w:link w:val="Charff4"/>
    <w:rsid w:val="00CA16C7"/>
    <w:pPr>
      <w:jc w:val="center"/>
    </w:pPr>
    <w:rPr>
      <w:sz w:val="21"/>
      <w:szCs w:val="21"/>
    </w:rPr>
  </w:style>
  <w:style w:type="paragraph" w:customStyle="1" w:styleId="affff3">
    <w:name w:val="!表格文字"/>
    <w:basedOn w:val="a0"/>
    <w:next w:val="a0"/>
    <w:link w:val="Charff5"/>
    <w:qFormat/>
    <w:rsid w:val="00CA16C7"/>
    <w:pPr>
      <w:autoSpaceDE w:val="0"/>
      <w:autoSpaceDN w:val="0"/>
      <w:spacing w:line="520" w:lineRule="exact"/>
      <w:contextualSpacing/>
      <w:jc w:val="center"/>
      <w:textAlignment w:val="center"/>
    </w:pPr>
    <w:rPr>
      <w:kern w:val="0"/>
      <w:sz w:val="21"/>
      <w:szCs w:val="21"/>
    </w:rPr>
  </w:style>
  <w:style w:type="paragraph" w:customStyle="1" w:styleId="affff4">
    <w:name w:val="丰达三级标题"/>
    <w:basedOn w:val="a0"/>
    <w:link w:val="Charff6"/>
    <w:qFormat/>
    <w:rsid w:val="00CA16C7"/>
    <w:pPr>
      <w:spacing w:beforeLines="50" w:line="540" w:lineRule="exact"/>
      <w:ind w:firstLineChars="200" w:firstLine="200"/>
      <w:outlineLvl w:val="2"/>
    </w:pPr>
    <w:rPr>
      <w:b/>
      <w:sz w:val="24"/>
    </w:rPr>
  </w:style>
  <w:style w:type="paragraph" w:customStyle="1" w:styleId="affff5">
    <w:name w:val="表格标题（环评报告）"/>
    <w:basedOn w:val="a0"/>
    <w:next w:val="a0"/>
    <w:link w:val="Charff7"/>
    <w:rsid w:val="00CA16C7"/>
    <w:pPr>
      <w:widowControl/>
      <w:spacing w:beforeLines="50"/>
      <w:jc w:val="center"/>
    </w:pPr>
    <w:rPr>
      <w:b/>
      <w:spacing w:val="6"/>
      <w:kern w:val="0"/>
      <w:sz w:val="24"/>
    </w:rPr>
  </w:style>
  <w:style w:type="paragraph" w:customStyle="1" w:styleId="affff6">
    <w:name w:val="表名（标题）"/>
    <w:basedOn w:val="a0"/>
    <w:next w:val="af4"/>
    <w:link w:val="Char10"/>
    <w:rsid w:val="00CA16C7"/>
    <w:pPr>
      <w:adjustRightInd w:val="0"/>
      <w:snapToGrid w:val="0"/>
      <w:spacing w:beforeLines="100"/>
      <w:jc w:val="left"/>
    </w:pPr>
    <w:rPr>
      <w:szCs w:val="28"/>
    </w:rPr>
  </w:style>
  <w:style w:type="paragraph" w:customStyle="1" w:styleId="010">
    <w:name w:val="0标题1"/>
    <w:basedOn w:val="1"/>
    <w:link w:val="01Char"/>
    <w:qFormat/>
    <w:rsid w:val="00CA16C7"/>
    <w:pPr>
      <w:spacing w:before="762" w:after="571" w:line="360" w:lineRule="auto"/>
      <w:jc w:val="center"/>
    </w:pPr>
    <w:rPr>
      <w:rFonts w:eastAsia="黑体"/>
      <w:sz w:val="36"/>
      <w:szCs w:val="36"/>
    </w:rPr>
  </w:style>
  <w:style w:type="paragraph" w:customStyle="1" w:styleId="130">
    <w:name w:val="正文小四首缩1.3行距"/>
    <w:basedOn w:val="a0"/>
    <w:link w:val="13Char"/>
    <w:qFormat/>
    <w:rsid w:val="00CA16C7"/>
    <w:pPr>
      <w:spacing w:line="360" w:lineRule="auto"/>
      <w:ind w:firstLineChars="200" w:firstLine="480"/>
    </w:pPr>
    <w:rPr>
      <w:kern w:val="0"/>
      <w:sz w:val="24"/>
    </w:rPr>
  </w:style>
  <w:style w:type="paragraph" w:customStyle="1" w:styleId="affff7">
    <w:name w:val="无编号文档"/>
    <w:basedOn w:val="a0"/>
    <w:link w:val="Charff8"/>
    <w:rsid w:val="00CA16C7"/>
    <w:pPr>
      <w:snapToGrid w:val="0"/>
      <w:spacing w:line="400" w:lineRule="atLeast"/>
      <w:ind w:firstLineChars="200" w:firstLine="200"/>
    </w:pPr>
    <w:rPr>
      <w:sz w:val="24"/>
      <w:szCs w:val="21"/>
    </w:rPr>
  </w:style>
  <w:style w:type="paragraph" w:customStyle="1" w:styleId="52">
    <w:name w:val="5正文"/>
    <w:basedOn w:val="a0"/>
    <w:link w:val="5Char0"/>
    <w:rsid w:val="00CA16C7"/>
    <w:pPr>
      <w:snapToGrid w:val="0"/>
      <w:spacing w:line="360" w:lineRule="auto"/>
      <w:ind w:firstLineChars="200" w:firstLine="440"/>
      <w:jc w:val="left"/>
    </w:pPr>
    <w:rPr>
      <w:rFonts w:ascii="宋体" w:hAnsi="宋体"/>
      <w:sz w:val="24"/>
      <w:szCs w:val="28"/>
    </w:rPr>
  </w:style>
  <w:style w:type="paragraph" w:customStyle="1" w:styleId="02">
    <w:name w:val="0表图分隔符"/>
    <w:basedOn w:val="0"/>
    <w:link w:val="0Char2"/>
    <w:rsid w:val="00CA16C7"/>
    <w:pPr>
      <w:spacing w:line="120" w:lineRule="exact"/>
      <w:jc w:val="left"/>
      <w:outlineLvl w:val="9"/>
    </w:pPr>
    <w:rPr>
      <w:rFonts w:ascii="Calibri" w:hAnsi="Calibri"/>
      <w:b w:val="0"/>
      <w:sz w:val="11"/>
      <w:szCs w:val="11"/>
    </w:rPr>
  </w:style>
  <w:style w:type="paragraph" w:customStyle="1" w:styleId="43">
    <w:name w:val="样式 标题 4 + (西文) 宋体"/>
    <w:basedOn w:val="4"/>
    <w:link w:val="4Char0"/>
    <w:rsid w:val="00CA16C7"/>
    <w:pPr>
      <w:tabs>
        <w:tab w:val="left" w:pos="2130"/>
      </w:tabs>
      <w:spacing w:beforeLines="50" w:after="0" w:line="500" w:lineRule="exact"/>
    </w:pPr>
    <w:rPr>
      <w:rFonts w:ascii="Times New Roman" w:eastAsia="宋体" w:hAnsi="Times New Roman"/>
      <w:kern w:val="0"/>
      <w:sz w:val="24"/>
      <w:szCs w:val="24"/>
    </w:rPr>
  </w:style>
  <w:style w:type="paragraph" w:customStyle="1" w:styleId="affff8">
    <w:name w:val="表题"/>
    <w:basedOn w:val="a0"/>
    <w:link w:val="Charff9"/>
    <w:rsid w:val="00CA16C7"/>
    <w:pPr>
      <w:snapToGrid w:val="0"/>
      <w:spacing w:line="360" w:lineRule="auto"/>
      <w:ind w:firstLineChars="200" w:firstLine="200"/>
      <w:jc w:val="center"/>
    </w:pPr>
    <w:rPr>
      <w:rFonts w:ascii="宋体" w:eastAsia="黑体" w:hAnsi="宋体"/>
      <w:sz w:val="24"/>
      <w:szCs w:val="20"/>
    </w:rPr>
  </w:style>
  <w:style w:type="paragraph" w:customStyle="1" w:styleId="a">
    <w:name w:val="表题注"/>
    <w:basedOn w:val="9"/>
    <w:link w:val="Charffa"/>
    <w:rsid w:val="00CA16C7"/>
    <w:pPr>
      <w:keepNext w:val="0"/>
      <w:keepLines w:val="0"/>
      <w:numPr>
        <w:numId w:val="2"/>
      </w:numPr>
      <w:tabs>
        <w:tab w:val="left" w:pos="720"/>
        <w:tab w:val="left" w:pos="840"/>
        <w:tab w:val="left" w:pos="945"/>
      </w:tabs>
      <w:adjustRightInd/>
      <w:spacing w:beforeLines="50" w:afterLines="50" w:line="400" w:lineRule="atLeast"/>
      <w:ind w:left="289" w:hanging="289"/>
      <w:jc w:val="left"/>
      <w:textAlignment w:val="auto"/>
    </w:pPr>
    <w:rPr>
      <w:rFonts w:eastAsia="宋体"/>
      <w:b/>
      <w:kern w:val="2"/>
      <w:sz w:val="24"/>
    </w:rPr>
  </w:style>
  <w:style w:type="paragraph" w:customStyle="1" w:styleId="affff9">
    <w:name w:val="标准"/>
    <w:basedOn w:val="a0"/>
    <w:link w:val="Charffb"/>
    <w:rsid w:val="00CA16C7"/>
    <w:pPr>
      <w:tabs>
        <w:tab w:val="left" w:pos="720"/>
      </w:tabs>
      <w:adjustRightInd w:val="0"/>
      <w:spacing w:line="312" w:lineRule="atLeast"/>
      <w:textAlignment w:val="baseline"/>
    </w:pPr>
    <w:rPr>
      <w:kern w:val="0"/>
      <w:sz w:val="21"/>
      <w:szCs w:val="20"/>
    </w:rPr>
  </w:style>
  <w:style w:type="paragraph" w:customStyle="1" w:styleId="a10">
    <w:name w:val="a1"/>
    <w:basedOn w:val="a0"/>
    <w:link w:val="a1Char2"/>
    <w:rsid w:val="00CA16C7"/>
    <w:pPr>
      <w:spacing w:line="360" w:lineRule="auto"/>
      <w:ind w:firstLine="493"/>
    </w:pPr>
    <w:rPr>
      <w:rFonts w:ascii="宋体"/>
      <w:sz w:val="24"/>
      <w:szCs w:val="20"/>
    </w:rPr>
  </w:style>
  <w:style w:type="paragraph" w:customStyle="1" w:styleId="me-">
    <w:name w:val="me表格内容-左"/>
    <w:basedOn w:val="a0"/>
    <w:link w:val="me-Char"/>
    <w:rsid w:val="00CA16C7"/>
    <w:pPr>
      <w:shd w:val="clear" w:color="auto" w:fill="FFFFFF"/>
    </w:pPr>
    <w:rPr>
      <w:sz w:val="24"/>
      <w:szCs w:val="20"/>
    </w:rPr>
  </w:style>
  <w:style w:type="paragraph" w:customStyle="1" w:styleId="38">
    <w:name w:val="我的标题3"/>
    <w:basedOn w:val="30"/>
    <w:link w:val="3CharChar"/>
    <w:rsid w:val="00CA16C7"/>
    <w:pPr>
      <w:spacing w:before="0" w:after="0" w:line="500" w:lineRule="exact"/>
    </w:pPr>
    <w:rPr>
      <w:sz w:val="24"/>
      <w:szCs w:val="24"/>
    </w:rPr>
  </w:style>
  <w:style w:type="paragraph" w:customStyle="1" w:styleId="39">
    <w:name w:val="样式 正文文本 3 + 字距调整四号"/>
    <w:basedOn w:val="32"/>
    <w:next w:val="a0"/>
    <w:link w:val="3Char4"/>
    <w:rsid w:val="00CA16C7"/>
    <w:pPr>
      <w:spacing w:after="0" w:line="440" w:lineRule="exact"/>
      <w:jc w:val="center"/>
    </w:pPr>
    <w:rPr>
      <w:b/>
      <w:spacing w:val="-8"/>
      <w:kern w:val="28"/>
      <w:sz w:val="21"/>
    </w:rPr>
  </w:style>
  <w:style w:type="paragraph" w:customStyle="1" w:styleId="affffa">
    <w:name w:val="永和二级标题"/>
    <w:basedOn w:val="2"/>
    <w:link w:val="affffb"/>
    <w:rsid w:val="00CA16C7"/>
    <w:pPr>
      <w:adjustRightInd w:val="0"/>
      <w:snapToGrid w:val="0"/>
      <w:spacing w:before="260" w:after="0" w:line="540" w:lineRule="exact"/>
      <w:jc w:val="center"/>
    </w:pPr>
    <w:rPr>
      <w:rFonts w:ascii="黑体" w:hAnsi="Times New Roman"/>
      <w:b w:val="0"/>
      <w:bCs/>
      <w:sz w:val="30"/>
      <w:szCs w:val="28"/>
    </w:rPr>
  </w:style>
  <w:style w:type="paragraph" w:customStyle="1" w:styleId="affffc">
    <w:name w:val="表格"/>
    <w:basedOn w:val="a0"/>
    <w:link w:val="CharChar4"/>
    <w:rsid w:val="00CA16C7"/>
    <w:pPr>
      <w:spacing w:line="300" w:lineRule="exact"/>
      <w:jc w:val="center"/>
    </w:pPr>
    <w:rPr>
      <w:rFonts w:eastAsia="华文中宋"/>
      <w:color w:val="FF0000"/>
      <w:kern w:val="0"/>
      <w:sz w:val="21"/>
      <w:szCs w:val="20"/>
    </w:rPr>
  </w:style>
  <w:style w:type="paragraph" w:styleId="affffd">
    <w:name w:val="No Spacing"/>
    <w:link w:val="Charffc"/>
    <w:qFormat/>
    <w:rsid w:val="00CA16C7"/>
    <w:rPr>
      <w:rFonts w:ascii="Calibri" w:hAnsi="Calibri"/>
      <w:sz w:val="22"/>
      <w:szCs w:val="22"/>
    </w:rPr>
  </w:style>
  <w:style w:type="paragraph" w:styleId="affffe">
    <w:name w:val="Intense Quote"/>
    <w:basedOn w:val="a0"/>
    <w:next w:val="a0"/>
    <w:link w:val="Charffd"/>
    <w:qFormat/>
    <w:rsid w:val="00CA16C7"/>
    <w:pPr>
      <w:pBdr>
        <w:bottom w:val="single" w:sz="4" w:space="4" w:color="4F81BD"/>
      </w:pBdr>
      <w:spacing w:before="200" w:after="280"/>
      <w:ind w:left="936" w:right="936"/>
    </w:pPr>
    <w:rPr>
      <w:rFonts w:ascii="Calibri" w:hAnsi="Calibri"/>
      <w:b/>
      <w:bCs/>
      <w:i/>
      <w:iCs/>
      <w:color w:val="4F81BD"/>
      <w:sz w:val="21"/>
      <w:szCs w:val="22"/>
    </w:rPr>
  </w:style>
  <w:style w:type="paragraph" w:customStyle="1" w:styleId="afffff">
    <w:name w:val="表字"/>
    <w:basedOn w:val="a1"/>
    <w:link w:val="Charffe"/>
    <w:qFormat/>
    <w:rsid w:val="00CA16C7"/>
    <w:pPr>
      <w:adjustRightInd w:val="0"/>
      <w:snapToGrid w:val="0"/>
      <w:spacing w:after="0" w:line="520" w:lineRule="exact"/>
    </w:pPr>
    <w:rPr>
      <w:rFonts w:ascii="宋体" w:hAnsi="宋体"/>
      <w:sz w:val="24"/>
      <w:szCs w:val="28"/>
    </w:rPr>
  </w:style>
  <w:style w:type="paragraph" w:customStyle="1" w:styleId="afffff0">
    <w:name w:val="报告"/>
    <w:basedOn w:val="a0"/>
    <w:link w:val="Charfff"/>
    <w:rsid w:val="00CA16C7"/>
    <w:pPr>
      <w:adjustRightInd w:val="0"/>
      <w:spacing w:line="360" w:lineRule="auto"/>
      <w:ind w:firstLine="505"/>
      <w:textAlignment w:val="center"/>
    </w:pPr>
    <w:rPr>
      <w:rFonts w:ascii="TimesNewRoman" w:hAnsi="TimesNewRoman"/>
      <w:kern w:val="0"/>
      <w:sz w:val="24"/>
      <w:szCs w:val="20"/>
    </w:rPr>
  </w:style>
  <w:style w:type="paragraph" w:customStyle="1" w:styleId="TT">
    <w:name w:val="TT正文"/>
    <w:basedOn w:val="a0"/>
    <w:link w:val="TTChar"/>
    <w:rsid w:val="00CA16C7"/>
    <w:pPr>
      <w:spacing w:line="360" w:lineRule="auto"/>
      <w:ind w:firstLineChars="200" w:firstLine="560"/>
      <w:jc w:val="left"/>
    </w:pPr>
    <w:rPr>
      <w:rFonts w:ascii="宋体" w:hAnsi="宋体"/>
      <w:color w:val="000000"/>
      <w:szCs w:val="28"/>
    </w:rPr>
  </w:style>
  <w:style w:type="paragraph" w:customStyle="1" w:styleId="afffff1">
    <w:name w:val="正文易"/>
    <w:basedOn w:val="a0"/>
    <w:link w:val="Charfff0"/>
    <w:uiPriority w:val="99"/>
    <w:qFormat/>
    <w:rsid w:val="00CA16C7"/>
    <w:pPr>
      <w:ind w:firstLine="560"/>
    </w:pPr>
    <w:rPr>
      <w:rFonts w:ascii="Calibri" w:hAnsi="Calibri"/>
      <w:color w:val="000000"/>
    </w:rPr>
  </w:style>
  <w:style w:type="paragraph" w:customStyle="1" w:styleId="afffff2">
    <w:name w:val="君邦正文"/>
    <w:link w:val="Charfff1"/>
    <w:rsid w:val="00CA16C7"/>
    <w:pPr>
      <w:spacing w:after="60" w:line="360" w:lineRule="auto"/>
      <w:ind w:firstLineChars="200" w:firstLine="480"/>
      <w:jc w:val="both"/>
    </w:pPr>
    <w:rPr>
      <w:bCs/>
      <w:sz w:val="24"/>
    </w:rPr>
  </w:style>
  <w:style w:type="paragraph" w:customStyle="1" w:styleId="TimesNewRoman">
    <w:name w:val="样式 题注 + Times New Roman"/>
    <w:basedOn w:val="a8"/>
    <w:link w:val="TimesNewRomanCharChar"/>
    <w:rsid w:val="00CA16C7"/>
    <w:pPr>
      <w:spacing w:line="360" w:lineRule="auto"/>
      <w:jc w:val="center"/>
    </w:pPr>
    <w:rPr>
      <w:sz w:val="24"/>
      <w:szCs w:val="24"/>
    </w:rPr>
  </w:style>
  <w:style w:type="paragraph" w:customStyle="1" w:styleId="afffff3">
    <w:name w:val="表格标题（报告书）"/>
    <w:next w:val="a0"/>
    <w:link w:val="Charfff2"/>
    <w:rsid w:val="00CA16C7"/>
    <w:pPr>
      <w:spacing w:beforeLines="50" w:line="360" w:lineRule="auto"/>
      <w:jc w:val="center"/>
    </w:pPr>
    <w:rPr>
      <w:b/>
      <w:kern w:val="2"/>
      <w:sz w:val="24"/>
      <w:szCs w:val="24"/>
    </w:rPr>
  </w:style>
  <w:style w:type="paragraph" w:customStyle="1" w:styleId="-0">
    <w:name w:val="表格内容-居中"/>
    <w:basedOn w:val="a0"/>
    <w:link w:val="-Char0"/>
    <w:rsid w:val="00CA16C7"/>
    <w:pPr>
      <w:jc w:val="center"/>
    </w:pPr>
    <w:rPr>
      <w:kern w:val="0"/>
      <w:sz w:val="20"/>
    </w:rPr>
  </w:style>
  <w:style w:type="paragraph" w:customStyle="1" w:styleId="afffff4">
    <w:name w:val="我的表格标题"/>
    <w:basedOn w:val="a0"/>
    <w:link w:val="Charfff3"/>
    <w:qFormat/>
    <w:rsid w:val="00CA16C7"/>
    <w:pPr>
      <w:spacing w:line="540" w:lineRule="exact"/>
      <w:ind w:firstLineChars="287" w:firstLine="689"/>
    </w:pPr>
    <w:rPr>
      <w:rFonts w:eastAsia="黑体"/>
      <w:sz w:val="24"/>
      <w:szCs w:val="20"/>
    </w:rPr>
  </w:style>
  <w:style w:type="paragraph" w:customStyle="1" w:styleId="afffff5">
    <w:name w:val="永和正文"/>
    <w:basedOn w:val="a0"/>
    <w:link w:val="afffff6"/>
    <w:rsid w:val="00CA16C7"/>
    <w:pPr>
      <w:autoSpaceDE w:val="0"/>
      <w:autoSpaceDN w:val="0"/>
      <w:adjustRightInd w:val="0"/>
      <w:snapToGrid w:val="0"/>
      <w:spacing w:line="540" w:lineRule="exact"/>
      <w:ind w:firstLineChars="200" w:firstLine="200"/>
    </w:pPr>
    <w:rPr>
      <w:sz w:val="24"/>
    </w:rPr>
  </w:style>
  <w:style w:type="paragraph" w:customStyle="1" w:styleId="afffff7">
    <w:name w:val="样式 (中文) 黑体"/>
    <w:basedOn w:val="a0"/>
    <w:link w:val="Charfff4"/>
    <w:rsid w:val="00CA16C7"/>
    <w:pPr>
      <w:spacing w:line="240" w:lineRule="exact"/>
      <w:ind w:firstLineChars="200" w:firstLine="482"/>
      <w:jc w:val="left"/>
    </w:pPr>
    <w:rPr>
      <w:rFonts w:eastAsia="黑体"/>
      <w:sz w:val="24"/>
    </w:rPr>
  </w:style>
  <w:style w:type="paragraph" w:customStyle="1" w:styleId="me-0">
    <w:name w:val="me表格内容-中"/>
    <w:basedOn w:val="a0"/>
    <w:link w:val="me-Char0"/>
    <w:rsid w:val="00CA16C7"/>
    <w:pPr>
      <w:shd w:val="clear" w:color="auto" w:fill="FFFFFF"/>
      <w:spacing w:line="360" w:lineRule="auto"/>
      <w:ind w:firstLineChars="157" w:firstLine="377"/>
      <w:jc w:val="center"/>
    </w:pPr>
    <w:rPr>
      <w:sz w:val="24"/>
    </w:rPr>
  </w:style>
  <w:style w:type="paragraph" w:customStyle="1" w:styleId="3a">
    <w:name w:val="正文3"/>
    <w:basedOn w:val="a0"/>
    <w:next w:val="a0"/>
    <w:link w:val="Charfff5"/>
    <w:rsid w:val="00CA16C7"/>
    <w:pPr>
      <w:spacing w:line="529" w:lineRule="exact"/>
      <w:ind w:firstLine="420"/>
    </w:pPr>
    <w:rPr>
      <w:rFonts w:ascii="宋体" w:hAnsi="宋体"/>
      <w:sz w:val="24"/>
      <w:szCs w:val="20"/>
    </w:rPr>
  </w:style>
  <w:style w:type="paragraph" w:customStyle="1" w:styleId="123">
    <w:name w:val="123"/>
    <w:basedOn w:val="a0"/>
    <w:link w:val="123CharChar"/>
    <w:rsid w:val="00CA16C7"/>
    <w:pPr>
      <w:spacing w:before="156" w:afterLines="50" w:line="360" w:lineRule="auto"/>
      <w:ind w:firstLineChars="200" w:firstLine="200"/>
    </w:pPr>
    <w:rPr>
      <w:rFonts w:ascii="宋体" w:hAnsi="宋体"/>
      <w:sz w:val="24"/>
      <w:szCs w:val="20"/>
    </w:rPr>
  </w:style>
  <w:style w:type="paragraph" w:customStyle="1" w:styleId="020">
    <w:name w:val="0标题2"/>
    <w:basedOn w:val="2"/>
    <w:link w:val="02Char"/>
    <w:qFormat/>
    <w:rsid w:val="00CA16C7"/>
    <w:pPr>
      <w:spacing w:beforeLines="50" w:after="0" w:line="360" w:lineRule="auto"/>
      <w:jc w:val="left"/>
    </w:pPr>
    <w:rPr>
      <w:rFonts w:ascii="Times New Roman" w:eastAsia="宋体" w:hAnsi="Times New Roman"/>
      <w:bCs/>
      <w:szCs w:val="32"/>
    </w:rPr>
  </w:style>
  <w:style w:type="paragraph" w:customStyle="1" w:styleId="afffff8">
    <w:name w:val="正文格式"/>
    <w:basedOn w:val="a0"/>
    <w:link w:val="Charfff6"/>
    <w:rsid w:val="00CA16C7"/>
    <w:pPr>
      <w:spacing w:line="360" w:lineRule="auto"/>
      <w:ind w:firstLineChars="200" w:firstLine="544"/>
    </w:pPr>
    <w:rPr>
      <w:rFonts w:ascii="宋体" w:hAnsi="宋体"/>
      <w:sz w:val="24"/>
    </w:rPr>
  </w:style>
  <w:style w:type="paragraph" w:customStyle="1" w:styleId="19">
    <w:name w:val="样式 宋体 四号1"/>
    <w:basedOn w:val="a0"/>
    <w:next w:val="a0"/>
    <w:link w:val="1Char5"/>
    <w:rsid w:val="00CA16C7"/>
    <w:pPr>
      <w:spacing w:line="280" w:lineRule="exact"/>
      <w:ind w:firstLineChars="200" w:firstLine="400"/>
      <w:jc w:val="left"/>
    </w:pPr>
    <w:rPr>
      <w:rFonts w:ascii="宋体" w:hAnsi="宋体"/>
    </w:rPr>
  </w:style>
  <w:style w:type="paragraph" w:customStyle="1" w:styleId="240">
    <w:name w:val="样式 宋体 小四 行距: 固定值 24 磅"/>
    <w:basedOn w:val="a0"/>
    <w:link w:val="24CharChar"/>
    <w:rsid w:val="00CA16C7"/>
    <w:pPr>
      <w:spacing w:line="480" w:lineRule="exact"/>
      <w:ind w:firstLineChars="200" w:firstLine="496"/>
    </w:pPr>
    <w:rPr>
      <w:rFonts w:ascii="宋体" w:hAnsi="宋体"/>
      <w:bCs/>
      <w:spacing w:val="4"/>
      <w:kern w:val="0"/>
      <w:sz w:val="24"/>
    </w:rPr>
  </w:style>
  <w:style w:type="paragraph" w:customStyle="1" w:styleId="61">
    <w:name w:val="样式6"/>
    <w:basedOn w:val="a0"/>
    <w:link w:val="6Char0"/>
    <w:qFormat/>
    <w:rsid w:val="00CA16C7"/>
    <w:pPr>
      <w:jc w:val="center"/>
    </w:pPr>
    <w:rPr>
      <w:sz w:val="21"/>
    </w:rPr>
  </w:style>
  <w:style w:type="paragraph" w:customStyle="1" w:styleId="44">
    <w:name w:val="我的样式4正文"/>
    <w:basedOn w:val="a0"/>
    <w:link w:val="4Char1"/>
    <w:rsid w:val="00CA16C7"/>
    <w:pPr>
      <w:spacing w:line="520" w:lineRule="exact"/>
      <w:ind w:firstLineChars="205" w:firstLine="492"/>
    </w:pPr>
    <w:rPr>
      <w:sz w:val="24"/>
    </w:rPr>
  </w:style>
  <w:style w:type="paragraph" w:customStyle="1" w:styleId="TimesNewRoman0">
    <w:name w:val="样式 题注 + (西文) Times New Roman (中文) 宋体 小四 加粗 自动设置"/>
    <w:basedOn w:val="a8"/>
    <w:link w:val="TimesNewRomanChar"/>
    <w:rsid w:val="00CA16C7"/>
    <w:pPr>
      <w:spacing w:line="360" w:lineRule="auto"/>
    </w:pPr>
    <w:rPr>
      <w:rFonts w:eastAsia="宋体"/>
      <w:kern w:val="21"/>
      <w:sz w:val="24"/>
    </w:rPr>
  </w:style>
  <w:style w:type="paragraph" w:customStyle="1" w:styleId="afffff9">
    <w:name w:val="表格头"/>
    <w:basedOn w:val="a1"/>
    <w:link w:val="afffffa"/>
    <w:uiPriority w:val="1"/>
    <w:qFormat/>
    <w:rsid w:val="00CA16C7"/>
    <w:pPr>
      <w:tabs>
        <w:tab w:val="left" w:pos="3840"/>
      </w:tabs>
      <w:spacing w:after="0" w:line="520" w:lineRule="exact"/>
      <w:jc w:val="center"/>
    </w:pPr>
    <w:rPr>
      <w:rFonts w:eastAsia="黑体"/>
      <w:kern w:val="0"/>
      <w:sz w:val="24"/>
    </w:rPr>
  </w:style>
  <w:style w:type="paragraph" w:customStyle="1" w:styleId="afffffb">
    <w:name w:val="表标题"/>
    <w:basedOn w:val="a0"/>
    <w:next w:val="a0"/>
    <w:link w:val="Charfff7"/>
    <w:rsid w:val="00CA16C7"/>
    <w:pPr>
      <w:adjustRightInd w:val="0"/>
      <w:snapToGrid w:val="0"/>
      <w:spacing w:beforeLines="50" w:afterLines="50"/>
      <w:jc w:val="center"/>
      <w:textAlignment w:val="baseline"/>
    </w:pPr>
    <w:rPr>
      <w:rFonts w:ascii="黑体" w:hAnsi="宋体"/>
      <w:b/>
      <w:bCs/>
      <w:kern w:val="0"/>
      <w:sz w:val="24"/>
      <w:szCs w:val="20"/>
    </w:rPr>
  </w:style>
  <w:style w:type="paragraph" w:customStyle="1" w:styleId="afffffc">
    <w:name w:val="启明正文"/>
    <w:basedOn w:val="a0"/>
    <w:link w:val="Charfff8"/>
    <w:rsid w:val="00CA16C7"/>
    <w:pPr>
      <w:spacing w:line="360" w:lineRule="auto"/>
      <w:ind w:firstLineChars="200" w:firstLine="200"/>
    </w:pPr>
    <w:rPr>
      <w:rFonts w:ascii="宋体" w:hAnsi="宋体"/>
      <w:sz w:val="24"/>
      <w:szCs w:val="20"/>
    </w:rPr>
  </w:style>
  <w:style w:type="paragraph" w:customStyle="1" w:styleId="a30">
    <w:name w:val="a3"/>
    <w:basedOn w:val="a0"/>
    <w:link w:val="a3CharChar"/>
    <w:rsid w:val="00CA16C7"/>
    <w:pPr>
      <w:jc w:val="center"/>
    </w:pPr>
    <w:rPr>
      <w:szCs w:val="20"/>
    </w:rPr>
  </w:style>
  <w:style w:type="paragraph" w:customStyle="1" w:styleId="1a">
    <w:name w:val="样式 标题 1 + 三号"/>
    <w:basedOn w:val="1"/>
    <w:link w:val="1CharChar0"/>
    <w:rsid w:val="00CA16C7"/>
    <w:pPr>
      <w:widowControl/>
      <w:spacing w:beforeLines="100" w:afterLines="100" w:line="576" w:lineRule="auto"/>
      <w:ind w:firstLineChars="200" w:firstLine="480"/>
      <w:jc w:val="center"/>
    </w:pPr>
  </w:style>
  <w:style w:type="paragraph" w:customStyle="1" w:styleId="afffffd">
    <w:name w:val="表格文字"/>
    <w:basedOn w:val="a0"/>
    <w:next w:val="a0"/>
    <w:link w:val="Charfff9"/>
    <w:rsid w:val="00CA16C7"/>
    <w:pPr>
      <w:spacing w:beforeLines="30" w:afterLines="30"/>
      <w:jc w:val="center"/>
    </w:pPr>
    <w:rPr>
      <w:spacing w:val="10"/>
      <w:kern w:val="0"/>
      <w:sz w:val="21"/>
      <w:szCs w:val="21"/>
    </w:rPr>
  </w:style>
  <w:style w:type="paragraph" w:customStyle="1" w:styleId="afffffe">
    <w:name w:val="报告书正文"/>
    <w:basedOn w:val="a0"/>
    <w:link w:val="Charfffa"/>
    <w:rsid w:val="00CA16C7"/>
    <w:pPr>
      <w:spacing w:line="520" w:lineRule="exact"/>
      <w:ind w:firstLineChars="200" w:firstLine="482"/>
    </w:pPr>
    <w:rPr>
      <w:rFonts w:ascii="宋体" w:hAnsi="宋体"/>
      <w:b/>
      <w:i/>
      <w:sz w:val="24"/>
      <w:u w:val="single"/>
    </w:rPr>
  </w:style>
  <w:style w:type="paragraph" w:customStyle="1" w:styleId="affffff">
    <w:name w:val="样式 四号"/>
    <w:basedOn w:val="a0"/>
    <w:link w:val="Charfffb"/>
    <w:rsid w:val="00CA16C7"/>
    <w:pPr>
      <w:spacing w:line="520" w:lineRule="exact"/>
    </w:pPr>
    <w:rPr>
      <w:szCs w:val="20"/>
    </w:rPr>
  </w:style>
  <w:style w:type="paragraph" w:customStyle="1" w:styleId="affffff0">
    <w:name w:val="丰达正文"/>
    <w:basedOn w:val="a0"/>
    <w:link w:val="Charfffc"/>
    <w:rsid w:val="00CA16C7"/>
    <w:pPr>
      <w:autoSpaceDE w:val="0"/>
      <w:autoSpaceDN w:val="0"/>
      <w:adjustRightInd w:val="0"/>
      <w:snapToGrid w:val="0"/>
      <w:spacing w:line="540" w:lineRule="exact"/>
      <w:ind w:firstLineChars="200" w:firstLine="200"/>
    </w:pPr>
    <w:rPr>
      <w:sz w:val="24"/>
    </w:rPr>
  </w:style>
  <w:style w:type="paragraph" w:customStyle="1" w:styleId="ZW">
    <w:name w:val="ZW"/>
    <w:basedOn w:val="a0"/>
    <w:link w:val="ZWChar"/>
    <w:rsid w:val="00CA16C7"/>
    <w:pPr>
      <w:ind w:firstLineChars="200" w:firstLine="560"/>
    </w:pPr>
    <w:rPr>
      <w:rFonts w:eastAsia="仿宋_GB2312"/>
      <w:kern w:val="0"/>
      <w:szCs w:val="20"/>
    </w:rPr>
  </w:style>
  <w:style w:type="paragraph" w:customStyle="1" w:styleId="300">
    <w:name w:val="样式 标题 3头 + 首行缩进:  0 厘米"/>
    <w:basedOn w:val="30"/>
    <w:link w:val="30Char"/>
    <w:rsid w:val="00CA16C7"/>
    <w:pPr>
      <w:spacing w:before="0" w:after="0" w:line="520" w:lineRule="exact"/>
    </w:pPr>
    <w:rPr>
      <w:rFonts w:ascii="宋体" w:hAnsi="宋体"/>
      <w:b w:val="0"/>
      <w:sz w:val="24"/>
      <w:szCs w:val="24"/>
      <w:lang w:val="de-DE"/>
    </w:rPr>
  </w:style>
  <w:style w:type="paragraph" w:customStyle="1" w:styleId="Affffff1">
    <w:name w:val="A正文"/>
    <w:basedOn w:val="a0"/>
    <w:link w:val="AChar0"/>
    <w:rsid w:val="00CA16C7"/>
    <w:pPr>
      <w:adjustRightInd w:val="0"/>
      <w:snapToGrid w:val="0"/>
      <w:spacing w:line="360" w:lineRule="auto"/>
      <w:ind w:firstLineChars="200" w:firstLine="480"/>
    </w:pPr>
    <w:rPr>
      <w:rFonts w:ascii="Calibri" w:hAnsi="宋体"/>
      <w:sz w:val="24"/>
    </w:rPr>
  </w:style>
  <w:style w:type="paragraph" w:customStyle="1" w:styleId="1b">
    <w:name w:val="1表格内容"/>
    <w:basedOn w:val="a0"/>
    <w:link w:val="1Char6"/>
    <w:qFormat/>
    <w:rsid w:val="00CA16C7"/>
    <w:pPr>
      <w:jc w:val="center"/>
    </w:pPr>
    <w:rPr>
      <w:sz w:val="21"/>
      <w:szCs w:val="20"/>
    </w:rPr>
  </w:style>
  <w:style w:type="paragraph" w:customStyle="1" w:styleId="1c">
    <w:name w:val="正文1"/>
    <w:basedOn w:val="a0"/>
    <w:link w:val="1Char7"/>
    <w:rsid w:val="00CA16C7"/>
    <w:pPr>
      <w:spacing w:beforeLines="25" w:afterLines="25" w:line="360" w:lineRule="auto"/>
      <w:ind w:firstLineChars="200" w:firstLine="480"/>
    </w:pPr>
    <w:rPr>
      <w:sz w:val="24"/>
    </w:rPr>
  </w:style>
  <w:style w:type="paragraph" w:customStyle="1" w:styleId="05">
    <w:name w:val="0图表题"/>
    <w:basedOn w:val="0"/>
    <w:link w:val="0Char3"/>
    <w:rsid w:val="00CA16C7"/>
    <w:pPr>
      <w:spacing w:afterLines="100"/>
    </w:pPr>
    <w:rPr>
      <w:rFonts w:eastAsia="宋体"/>
    </w:rPr>
  </w:style>
  <w:style w:type="paragraph" w:customStyle="1" w:styleId="affffff2">
    <w:name w:val="表头"/>
    <w:basedOn w:val="a0"/>
    <w:next w:val="a0"/>
    <w:link w:val="Char11"/>
    <w:qFormat/>
    <w:rsid w:val="00CA16C7"/>
    <w:pPr>
      <w:tabs>
        <w:tab w:val="left" w:pos="7380"/>
      </w:tabs>
      <w:autoSpaceDE w:val="0"/>
      <w:autoSpaceDN w:val="0"/>
      <w:adjustRightInd w:val="0"/>
      <w:snapToGrid w:val="0"/>
      <w:spacing w:after="80" w:line="480" w:lineRule="exact"/>
    </w:pPr>
    <w:rPr>
      <w:b/>
      <w:sz w:val="24"/>
      <w:szCs w:val="20"/>
      <w:lang w:val="de-DE"/>
    </w:rPr>
  </w:style>
  <w:style w:type="paragraph" w:customStyle="1" w:styleId="YZM">
    <w:name w:val="YZM段落内容"/>
    <w:basedOn w:val="a0"/>
    <w:link w:val="YZMChar1"/>
    <w:rsid w:val="00CA16C7"/>
    <w:pPr>
      <w:overflowPunct w:val="0"/>
      <w:topLinePunct/>
      <w:adjustRightInd w:val="0"/>
      <w:spacing w:line="500" w:lineRule="exact"/>
      <w:ind w:left="480"/>
      <w:textAlignment w:val="baseline"/>
    </w:pPr>
    <w:rPr>
      <w:rFonts w:ascii="宋体" w:hAnsi="Arial"/>
      <w:kern w:val="0"/>
      <w:sz w:val="24"/>
      <w:szCs w:val="20"/>
    </w:rPr>
  </w:style>
  <w:style w:type="paragraph" w:customStyle="1" w:styleId="affffff3">
    <w:name w:val="十矿"/>
    <w:basedOn w:val="a0"/>
    <w:link w:val="CharChar5"/>
    <w:rsid w:val="00CA16C7"/>
    <w:pPr>
      <w:spacing w:line="540" w:lineRule="exact"/>
      <w:ind w:firstLineChars="200" w:firstLine="560"/>
    </w:pPr>
    <w:rPr>
      <w:szCs w:val="20"/>
    </w:rPr>
  </w:style>
  <w:style w:type="paragraph" w:customStyle="1" w:styleId="affffff4">
    <w:name w:val="圣达四级标题"/>
    <w:basedOn w:val="a0"/>
    <w:link w:val="Charfffd"/>
    <w:rsid w:val="00CA16C7"/>
    <w:pPr>
      <w:adjustRightInd w:val="0"/>
      <w:snapToGrid w:val="0"/>
      <w:spacing w:line="540" w:lineRule="exact"/>
      <w:ind w:firstLineChars="200" w:firstLine="200"/>
      <w:outlineLvl w:val="3"/>
    </w:pPr>
    <w:rPr>
      <w:rFonts w:ascii="宋体" w:hAnsi="宋体"/>
      <w:b/>
      <w:sz w:val="24"/>
    </w:rPr>
  </w:style>
  <w:style w:type="paragraph" w:customStyle="1" w:styleId="affffff5">
    <w:name w:val="报告正文"/>
    <w:basedOn w:val="a0"/>
    <w:link w:val="Charfffe"/>
    <w:rsid w:val="00CA16C7"/>
    <w:pPr>
      <w:spacing w:line="520" w:lineRule="exact"/>
      <w:ind w:firstLineChars="200" w:firstLine="200"/>
    </w:pPr>
    <w:rPr>
      <w:rFonts w:ascii="宋体" w:hAnsi="宋体"/>
      <w:color w:val="000000"/>
      <w:sz w:val="24"/>
    </w:rPr>
  </w:style>
  <w:style w:type="paragraph" w:customStyle="1" w:styleId="040">
    <w:name w:val="0标题4"/>
    <w:basedOn w:val="a0"/>
    <w:link w:val="04Char0"/>
    <w:qFormat/>
    <w:rsid w:val="00CA16C7"/>
    <w:pPr>
      <w:spacing w:line="360" w:lineRule="auto"/>
      <w:jc w:val="left"/>
      <w:outlineLvl w:val="3"/>
    </w:pPr>
    <w:rPr>
      <w:rFonts w:ascii="Calibri" w:hAnsi="Calibri"/>
      <w:b/>
      <w:bCs/>
      <w:sz w:val="24"/>
    </w:rPr>
  </w:style>
  <w:style w:type="paragraph" w:customStyle="1" w:styleId="affffff6">
    <w:name w:val="正文文本的"/>
    <w:basedOn w:val="a0"/>
    <w:link w:val="Charffff"/>
    <w:rsid w:val="00CA16C7"/>
    <w:pPr>
      <w:spacing w:line="360" w:lineRule="auto"/>
      <w:ind w:firstLineChars="200" w:firstLine="480"/>
    </w:pPr>
    <w:rPr>
      <w:rFonts w:ascii="宋体" w:hAnsi="宋体"/>
      <w:sz w:val="24"/>
      <w:szCs w:val="20"/>
    </w:rPr>
  </w:style>
  <w:style w:type="paragraph" w:customStyle="1" w:styleId="1d">
    <w:name w:val="样式1"/>
    <w:basedOn w:val="af2"/>
    <w:link w:val="1Char8"/>
    <w:qFormat/>
    <w:rsid w:val="00CA16C7"/>
    <w:pPr>
      <w:tabs>
        <w:tab w:val="left" w:pos="4620"/>
      </w:tabs>
      <w:jc w:val="center"/>
    </w:pPr>
    <w:rPr>
      <w:sz w:val="28"/>
    </w:rPr>
  </w:style>
  <w:style w:type="paragraph" w:customStyle="1" w:styleId="01262">
    <w:name w:val="样式 小四 红色 加宽量  0.1 磅 行距: 固定值 26 磅 首行缩进:  2 字符"/>
    <w:basedOn w:val="a0"/>
    <w:rsid w:val="00CA16C7"/>
    <w:pPr>
      <w:spacing w:line="360" w:lineRule="auto"/>
      <w:ind w:firstLineChars="200" w:firstLine="200"/>
    </w:pPr>
    <w:rPr>
      <w:rFonts w:cs="宋体"/>
      <w:spacing w:val="2"/>
      <w:sz w:val="24"/>
      <w:szCs w:val="20"/>
    </w:rPr>
  </w:style>
  <w:style w:type="paragraph" w:customStyle="1" w:styleId="15221">
    <w:name w:val="样式 小四 黑色 行距: 1.5 倍行距 首行缩进:  2.21 字符"/>
    <w:basedOn w:val="a0"/>
    <w:rsid w:val="00CA16C7"/>
    <w:pPr>
      <w:spacing w:line="520" w:lineRule="exact"/>
      <w:ind w:firstLineChars="221" w:firstLine="221"/>
    </w:pPr>
    <w:rPr>
      <w:rFonts w:cs="宋体"/>
      <w:color w:val="000000"/>
      <w:kern w:val="0"/>
      <w:sz w:val="24"/>
      <w:szCs w:val="20"/>
    </w:rPr>
  </w:style>
  <w:style w:type="paragraph" w:customStyle="1" w:styleId="Style19">
    <w:name w:val="Style19"/>
    <w:basedOn w:val="a0"/>
    <w:rsid w:val="00CA16C7"/>
    <w:pPr>
      <w:adjustRightInd w:val="0"/>
      <w:jc w:val="left"/>
    </w:pPr>
    <w:rPr>
      <w:rFonts w:ascii="宋体"/>
      <w:kern w:val="0"/>
      <w:sz w:val="24"/>
    </w:rPr>
  </w:style>
  <w:style w:type="paragraph" w:customStyle="1" w:styleId="09915">
    <w:name w:val="样式 小四 首行缩进:  0.99 厘米 行距: 1.5 倍行距"/>
    <w:basedOn w:val="a0"/>
    <w:rsid w:val="00CA16C7"/>
    <w:pPr>
      <w:spacing w:line="520" w:lineRule="exact"/>
      <w:ind w:firstLine="561"/>
    </w:pPr>
    <w:rPr>
      <w:rFonts w:cs="宋体"/>
      <w:sz w:val="24"/>
      <w:szCs w:val="20"/>
    </w:rPr>
  </w:style>
  <w:style w:type="paragraph" w:customStyle="1" w:styleId="08615">
    <w:name w:val="样式 小四 首行缩进:  0.86 厘米 行距: 1.5 倍行距"/>
    <w:basedOn w:val="a0"/>
    <w:rsid w:val="00CA16C7"/>
    <w:pPr>
      <w:spacing w:line="520" w:lineRule="exact"/>
      <w:ind w:firstLine="488"/>
    </w:pPr>
    <w:rPr>
      <w:rFonts w:cs="宋体"/>
      <w:sz w:val="24"/>
      <w:szCs w:val="20"/>
    </w:rPr>
  </w:style>
  <w:style w:type="paragraph" w:customStyle="1" w:styleId="012620">
    <w:name w:val="样式 小四 加宽量  0.1 磅 行距: 固定值 26 磅 首行缩进:  2 字符"/>
    <w:basedOn w:val="a0"/>
    <w:rsid w:val="00CA16C7"/>
    <w:pPr>
      <w:spacing w:line="360" w:lineRule="auto"/>
      <w:ind w:firstLineChars="200" w:firstLine="200"/>
    </w:pPr>
    <w:rPr>
      <w:rFonts w:cs="宋体"/>
      <w:spacing w:val="2"/>
      <w:sz w:val="24"/>
      <w:szCs w:val="20"/>
    </w:rPr>
  </w:style>
  <w:style w:type="paragraph" w:customStyle="1" w:styleId="me5">
    <w:name w:val="me标题5"/>
    <w:basedOn w:val="a0"/>
    <w:rsid w:val="00CA16C7"/>
    <w:pPr>
      <w:shd w:val="clear" w:color="auto" w:fill="FFFFFF"/>
      <w:ind w:firstLineChars="200" w:firstLine="480"/>
      <w:jc w:val="right"/>
    </w:pPr>
    <w:rPr>
      <w:rFonts w:ascii="宋体" w:cs="宋体"/>
      <w:bCs/>
      <w:color w:val="000000"/>
      <w:sz w:val="24"/>
      <w:lang w:val="zh-CN"/>
    </w:rPr>
  </w:style>
  <w:style w:type="paragraph" w:customStyle="1" w:styleId="1e">
    <w:name w:val="普通(网站)1"/>
    <w:basedOn w:val="a0"/>
    <w:rsid w:val="00CA16C7"/>
    <w:pPr>
      <w:widowControl/>
      <w:spacing w:before="100" w:beforeAutospacing="1" w:after="100" w:afterAutospacing="1"/>
      <w:jc w:val="left"/>
    </w:pPr>
    <w:rPr>
      <w:rFonts w:ascii="宋体" w:hAnsi="宋体" w:hint="eastAsia"/>
      <w:sz w:val="24"/>
      <w:szCs w:val="20"/>
    </w:rPr>
  </w:style>
  <w:style w:type="paragraph" w:customStyle="1" w:styleId="0850115">
    <w:name w:val="样式 小四 黑色 首行缩进:  0.85 厘米 加宽量  0.1 磅 行距: 1.5 倍行距"/>
    <w:basedOn w:val="a0"/>
    <w:rsid w:val="00CA16C7"/>
    <w:pPr>
      <w:spacing w:line="520" w:lineRule="exact"/>
      <w:ind w:firstLine="482"/>
    </w:pPr>
    <w:rPr>
      <w:rFonts w:cs="宋体"/>
      <w:color w:val="000000"/>
      <w:spacing w:val="2"/>
      <w:sz w:val="24"/>
      <w:szCs w:val="20"/>
    </w:rPr>
  </w:style>
  <w:style w:type="paragraph" w:customStyle="1" w:styleId="affffff7">
    <w:name w:val="正文文字"/>
    <w:basedOn w:val="a0"/>
    <w:rsid w:val="00CA16C7"/>
    <w:pPr>
      <w:adjustRightInd w:val="0"/>
      <w:snapToGrid w:val="0"/>
      <w:spacing w:line="360" w:lineRule="auto"/>
      <w:ind w:firstLineChars="200" w:firstLine="480"/>
    </w:pPr>
    <w:rPr>
      <w:rFonts w:cs="宋体"/>
      <w:sz w:val="24"/>
    </w:rPr>
  </w:style>
  <w:style w:type="paragraph" w:customStyle="1" w:styleId="81">
    <w:name w:val="样式8"/>
    <w:basedOn w:val="ae"/>
    <w:qFormat/>
    <w:rsid w:val="00CA16C7"/>
    <w:pPr>
      <w:snapToGrid w:val="0"/>
      <w:spacing w:line="360" w:lineRule="exact"/>
    </w:pPr>
    <w:rPr>
      <w:rFonts w:ascii="黑体" w:eastAsia="黑体"/>
      <w:sz w:val="24"/>
    </w:rPr>
  </w:style>
  <w:style w:type="paragraph" w:customStyle="1" w:styleId="ParaCharCharCharCharCharCharCharCharCharChar">
    <w:name w:val="默认段落字体 Para Char Char Char Char Char Char Char Char Char Char"/>
    <w:basedOn w:val="30"/>
    <w:rsid w:val="00CA16C7"/>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brdrw15brsp20tqctx4153t">
    <w:name w:val="brdrw15brsp20 tqctx4153t"/>
    <w:rsid w:val="00CA16C7"/>
    <w:pPr>
      <w:widowControl w:val="0"/>
      <w:pBdr>
        <w:bottom w:val="single" w:sz="6" w:space="0" w:color="auto"/>
      </w:pBdr>
      <w:adjustRightInd w:val="0"/>
      <w:spacing w:line="312" w:lineRule="atLeast"/>
      <w:jc w:val="center"/>
      <w:textAlignment w:val="baseline"/>
    </w:pPr>
    <w:rPr>
      <w:sz w:val="21"/>
    </w:rPr>
  </w:style>
  <w:style w:type="paragraph" w:customStyle="1" w:styleId="CharCharCharCharCharCharCharCharCharC10">
    <w:name w:val="样式 纯文本孙普文字 Char Char CharCharChar Char纯文本 Char Char Char C...10"/>
    <w:basedOn w:val="ae"/>
    <w:rsid w:val="00CA16C7"/>
    <w:pPr>
      <w:spacing w:line="520" w:lineRule="exact"/>
      <w:ind w:firstLine="482"/>
    </w:pPr>
    <w:rPr>
      <w:rFonts w:ascii="Times New Roman" w:hAnsi="Times New Roman" w:cs="宋体"/>
      <w:color w:val="000000"/>
      <w:sz w:val="24"/>
    </w:rPr>
  </w:style>
  <w:style w:type="paragraph" w:customStyle="1" w:styleId="affffff8">
    <w:name w:val="表样式"/>
    <w:basedOn w:val="a0"/>
    <w:rsid w:val="00CA16C7"/>
    <w:pPr>
      <w:adjustRightInd w:val="0"/>
      <w:snapToGrid w:val="0"/>
      <w:spacing w:line="540" w:lineRule="atLeast"/>
    </w:pPr>
    <w:rPr>
      <w:rFonts w:ascii="黑体" w:eastAsia="黑体"/>
    </w:rPr>
  </w:style>
  <w:style w:type="paragraph" w:customStyle="1" w:styleId="150">
    <w:name w:val="样式 四号 行距: 1.5 倍行距"/>
    <w:basedOn w:val="a0"/>
    <w:rsid w:val="00CA16C7"/>
    <w:pPr>
      <w:snapToGrid w:val="0"/>
      <w:spacing w:line="360" w:lineRule="auto"/>
      <w:ind w:firstLineChars="200" w:firstLine="200"/>
    </w:pPr>
    <w:rPr>
      <w:szCs w:val="20"/>
    </w:rPr>
  </w:style>
  <w:style w:type="paragraph" w:customStyle="1" w:styleId="1f">
    <w:name w:val="文档结构图1"/>
    <w:basedOn w:val="a0"/>
    <w:rsid w:val="00CA16C7"/>
    <w:pPr>
      <w:shd w:val="clear" w:color="auto" w:fill="000080"/>
      <w:adjustRightInd w:val="0"/>
      <w:snapToGrid w:val="0"/>
      <w:spacing w:line="540" w:lineRule="atLeast"/>
    </w:pPr>
    <w:rPr>
      <w:szCs w:val="20"/>
      <w:shd w:val="clear" w:color="auto" w:fill="000080"/>
    </w:rPr>
  </w:style>
  <w:style w:type="paragraph" w:customStyle="1" w:styleId="1f0">
    <w:name w:val="表格说明1"/>
    <w:basedOn w:val="a0"/>
    <w:rsid w:val="00CA16C7"/>
    <w:pPr>
      <w:spacing w:line="400" w:lineRule="exact"/>
      <w:ind w:firstLine="567"/>
    </w:pPr>
    <w:rPr>
      <w:kern w:val="0"/>
      <w:sz w:val="24"/>
    </w:rPr>
  </w:style>
  <w:style w:type="paragraph" w:customStyle="1" w:styleId="152">
    <w:name w:val="样式 宋体 四号 黑色 行距: 1.5 倍行距"/>
    <w:basedOn w:val="a0"/>
    <w:rsid w:val="00CA16C7"/>
    <w:pPr>
      <w:spacing w:line="360" w:lineRule="auto"/>
      <w:ind w:firstLineChars="200" w:firstLine="560"/>
    </w:pPr>
    <w:rPr>
      <w:rFonts w:cs="宋体"/>
      <w:color w:val="000000"/>
      <w:szCs w:val="20"/>
    </w:rPr>
  </w:style>
  <w:style w:type="paragraph" w:customStyle="1" w:styleId="08501150">
    <w:name w:val="样式 小四 左 首行缩进:  0.85 厘米 加宽量  0.1 磅 行距: 1.5 倍行距"/>
    <w:basedOn w:val="a0"/>
    <w:rsid w:val="00CA16C7"/>
    <w:pPr>
      <w:spacing w:line="520" w:lineRule="exact"/>
      <w:ind w:firstLine="482"/>
      <w:jc w:val="left"/>
    </w:pPr>
    <w:rPr>
      <w:rFonts w:cs="宋体"/>
      <w:spacing w:val="2"/>
      <w:sz w:val="24"/>
      <w:szCs w:val="20"/>
    </w:rPr>
  </w:style>
  <w:style w:type="paragraph" w:customStyle="1" w:styleId="2c">
    <w:name w:val="目录2"/>
    <w:basedOn w:val="a0"/>
    <w:rsid w:val="00CA16C7"/>
    <w:pPr>
      <w:widowControl/>
      <w:tabs>
        <w:tab w:val="left" w:leader="dot" w:pos="7370"/>
      </w:tabs>
      <w:spacing w:line="317" w:lineRule="atLeast"/>
      <w:ind w:firstLine="209"/>
      <w:textAlignment w:val="baseline"/>
    </w:pPr>
    <w:rPr>
      <w:color w:val="000000"/>
      <w:kern w:val="0"/>
      <w:sz w:val="21"/>
      <w:szCs w:val="20"/>
      <w:u w:color="000000"/>
    </w:rPr>
  </w:style>
  <w:style w:type="paragraph" w:customStyle="1" w:styleId="1510">
    <w:name w:val="样式 宋体 小四 行距: 1.5 倍行距1"/>
    <w:basedOn w:val="a0"/>
    <w:rsid w:val="00CA16C7"/>
    <w:pPr>
      <w:spacing w:line="360" w:lineRule="auto"/>
      <w:ind w:firstLineChars="200" w:firstLine="480"/>
    </w:pPr>
    <w:rPr>
      <w:sz w:val="24"/>
    </w:rPr>
  </w:style>
  <w:style w:type="paragraph" w:customStyle="1" w:styleId="me4">
    <w:name w:val="me公式缩进"/>
    <w:basedOn w:val="me1"/>
    <w:rsid w:val="00CA16C7"/>
    <w:pPr>
      <w:spacing w:before="0" w:line="540" w:lineRule="exact"/>
      <w:ind w:firstLineChars="450" w:firstLine="1260"/>
    </w:pPr>
    <w:rPr>
      <w:color w:val="000000"/>
      <w:spacing w:val="0"/>
      <w:szCs w:val="20"/>
      <w:lang w:val="zh-CN"/>
    </w:rPr>
  </w:style>
  <w:style w:type="paragraph" w:customStyle="1" w:styleId="10026">
    <w:name w:val="样式 标题 1 + (中文) 黑体 居中 段前: 0 磅 段后: 0 磅 行距: 固定值 26 磅"/>
    <w:basedOn w:val="1"/>
    <w:rsid w:val="00CA16C7"/>
    <w:pPr>
      <w:spacing w:before="0" w:afterLines="150" w:line="520" w:lineRule="exact"/>
      <w:jc w:val="center"/>
    </w:pPr>
    <w:rPr>
      <w:rFonts w:eastAsia="黑体" w:cs="宋体"/>
      <w:szCs w:val="20"/>
    </w:rPr>
  </w:style>
  <w:style w:type="paragraph" w:customStyle="1" w:styleId="12715">
    <w:name w:val="样式 小四 黑色 首行缩进:  1.27 厘米 行距: 1.5 倍行距"/>
    <w:basedOn w:val="a0"/>
    <w:rsid w:val="00CA16C7"/>
    <w:pPr>
      <w:spacing w:line="520" w:lineRule="exact"/>
      <w:ind w:firstLine="720"/>
    </w:pPr>
    <w:rPr>
      <w:rFonts w:cs="宋体"/>
      <w:color w:val="000000"/>
      <w:sz w:val="24"/>
      <w:szCs w:val="20"/>
    </w:rPr>
  </w:style>
  <w:style w:type="paragraph" w:customStyle="1" w:styleId="24CharChar4Char4CharC">
    <w:name w:val="样式 正文缩进正文（首行缩进两字）特点正文2标题4正文缩进 Char Char标题4 Char标题4 Char C..."/>
    <w:basedOn w:val="a2"/>
    <w:qFormat/>
    <w:rsid w:val="00CA16C7"/>
    <w:pPr>
      <w:ind w:firstLineChars="0" w:firstLine="0"/>
      <w:jc w:val="center"/>
    </w:pPr>
    <w:rPr>
      <w:rFonts w:cs="宋体"/>
      <w:color w:val="000000"/>
      <w:sz w:val="21"/>
      <w:szCs w:val="20"/>
    </w:rPr>
  </w:style>
  <w:style w:type="paragraph" w:customStyle="1" w:styleId="xl36">
    <w:name w:val="xl36"/>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1f1">
    <w:name w:val="日期1"/>
    <w:basedOn w:val="a0"/>
    <w:next w:val="a0"/>
    <w:rsid w:val="00CA16C7"/>
    <w:pPr>
      <w:adjustRightInd w:val="0"/>
      <w:spacing w:line="312" w:lineRule="atLeast"/>
      <w:jc w:val="right"/>
      <w:textAlignment w:val="baseline"/>
    </w:pPr>
    <w:rPr>
      <w:rFonts w:ascii="宋体"/>
      <w:kern w:val="0"/>
      <w:szCs w:val="20"/>
    </w:rPr>
  </w:style>
  <w:style w:type="paragraph" w:customStyle="1" w:styleId="2CharCharChars45">
    <w:name w:val="样式 正文缩进正文不缩进正文2正文（首行缩进两字）特点正文缩进 Char Char图标题正文缩进 Chars4 ...5"/>
    <w:basedOn w:val="a2"/>
    <w:rsid w:val="00CA16C7"/>
    <w:pPr>
      <w:tabs>
        <w:tab w:val="left" w:pos="7380"/>
      </w:tabs>
      <w:snapToGrid w:val="0"/>
      <w:spacing w:line="520" w:lineRule="exact"/>
      <w:ind w:firstLineChars="0" w:firstLine="505"/>
    </w:pPr>
    <w:rPr>
      <w:color w:val="000000"/>
      <w:sz w:val="24"/>
      <w:szCs w:val="20"/>
    </w:rPr>
  </w:style>
  <w:style w:type="paragraph" w:customStyle="1" w:styleId="affffff9">
    <w:name w:val="表内式样"/>
    <w:basedOn w:val="a0"/>
    <w:qFormat/>
    <w:rsid w:val="00CA16C7"/>
    <w:pPr>
      <w:spacing w:line="400" w:lineRule="exact"/>
      <w:jc w:val="center"/>
    </w:pPr>
    <w:rPr>
      <w:sz w:val="24"/>
    </w:rPr>
  </w:style>
  <w:style w:type="paragraph" w:customStyle="1" w:styleId="Char1CharCharCharCharCharCharCharCharChar">
    <w:name w:val="Char1 Char Char Char Char Char Char Char Char Char"/>
    <w:basedOn w:val="a0"/>
    <w:rsid w:val="00CA16C7"/>
    <w:rPr>
      <w:rFonts w:ascii="宋体" w:hAnsi="宋体"/>
      <w:color w:val="000000"/>
      <w:sz w:val="24"/>
    </w:rPr>
  </w:style>
  <w:style w:type="paragraph" w:customStyle="1" w:styleId="282">
    <w:name w:val="样式 行距: 固定值 28 磅 首行缩进:  2 字符"/>
    <w:basedOn w:val="a0"/>
    <w:rsid w:val="00CA16C7"/>
    <w:pPr>
      <w:spacing w:line="560" w:lineRule="exact"/>
      <w:ind w:firstLineChars="200" w:firstLine="420"/>
    </w:pPr>
    <w:rPr>
      <w:rFonts w:cs="宋体"/>
      <w:kern w:val="0"/>
      <w:sz w:val="24"/>
      <w:szCs w:val="20"/>
    </w:rPr>
  </w:style>
  <w:style w:type="paragraph" w:customStyle="1" w:styleId="affffffa">
    <w:name w:val="样式 居中"/>
    <w:basedOn w:val="a0"/>
    <w:rsid w:val="00CA16C7"/>
    <w:pPr>
      <w:jc w:val="center"/>
    </w:pPr>
    <w:rPr>
      <w:rFonts w:cs="宋体"/>
      <w:sz w:val="21"/>
      <w:szCs w:val="20"/>
    </w:rPr>
  </w:style>
  <w:style w:type="paragraph" w:customStyle="1" w:styleId="affffffb">
    <w:name w:val="样式 样式 小四 黑色 +"/>
    <w:basedOn w:val="affffffc"/>
    <w:rsid w:val="00CA16C7"/>
    <w:pPr>
      <w:autoSpaceDE w:val="0"/>
      <w:autoSpaceDN w:val="0"/>
      <w:adjustRightInd w:val="0"/>
    </w:pPr>
    <w:rPr>
      <w:kern w:val="0"/>
      <w:szCs w:val="24"/>
    </w:rPr>
  </w:style>
  <w:style w:type="paragraph" w:customStyle="1" w:styleId="affffffc">
    <w:name w:val="样式 小四 黑色"/>
    <w:basedOn w:val="a0"/>
    <w:qFormat/>
    <w:rsid w:val="00CA16C7"/>
    <w:pPr>
      <w:spacing w:line="520" w:lineRule="exact"/>
      <w:ind w:firstLineChars="200" w:firstLine="200"/>
    </w:pPr>
    <w:rPr>
      <w:color w:val="000000"/>
      <w:sz w:val="24"/>
      <w:szCs w:val="20"/>
    </w:rPr>
  </w:style>
  <w:style w:type="paragraph" w:customStyle="1" w:styleId="3MB33Char1511134151">
    <w:name w:val="样式 标题 3MB3标题 3 Char小标题四号宋体左齐行距1.5倍1.1.1标题 34号宋体左齐行距1.5倍条标...1"/>
    <w:basedOn w:val="30"/>
    <w:rsid w:val="00CA16C7"/>
    <w:pPr>
      <w:spacing w:beforeLines="50" w:after="0" w:line="520" w:lineRule="exact"/>
      <w:jc w:val="left"/>
    </w:pPr>
    <w:rPr>
      <w:rFonts w:eastAsia="楷体_GB2312" w:cs="宋体"/>
      <w:kern w:val="28"/>
      <w:sz w:val="28"/>
      <w:szCs w:val="20"/>
    </w:rPr>
  </w:style>
  <w:style w:type="paragraph" w:customStyle="1" w:styleId="j">
    <w:name w:val="表格样式j"/>
    <w:rsid w:val="00CA16C7"/>
    <w:pPr>
      <w:jc w:val="center"/>
    </w:pPr>
    <w:rPr>
      <w:kern w:val="2"/>
      <w:sz w:val="21"/>
    </w:rPr>
  </w:style>
  <w:style w:type="paragraph" w:customStyle="1" w:styleId="22CharTimesNewRoman">
    <w:name w:val="样式 标题 2标题 2 Char节 + (西文) Times New Roman (中文) 宋体 黑色 左 段前: ..."/>
    <w:basedOn w:val="2"/>
    <w:rsid w:val="00CA16C7"/>
    <w:pPr>
      <w:spacing w:line="520" w:lineRule="exact"/>
      <w:jc w:val="left"/>
    </w:pPr>
    <w:rPr>
      <w:rFonts w:ascii="Times New Roman" w:eastAsia="宋体" w:hAnsi="Times New Roman" w:cs="宋体"/>
      <w:bCs/>
      <w:color w:val="000000"/>
      <w:spacing w:val="2"/>
      <w:sz w:val="30"/>
    </w:rPr>
  </w:style>
  <w:style w:type="paragraph" w:customStyle="1" w:styleId="TimesNewRoman1">
    <w:name w:val="样式 於正文 + (西文) Times New Roman (中文) 宋体 (符号) 宋体 四号 黑色"/>
    <w:basedOn w:val="affffffd"/>
    <w:rsid w:val="00CA16C7"/>
    <w:pPr>
      <w:spacing w:line="540" w:lineRule="exact"/>
    </w:pPr>
    <w:rPr>
      <w:rFonts w:ascii="Times New Roman" w:eastAsia="宋体" w:hAnsi="Times New Roman"/>
      <w:color w:val="000000"/>
      <w:sz w:val="28"/>
    </w:rPr>
  </w:style>
  <w:style w:type="paragraph" w:customStyle="1" w:styleId="affffffd">
    <w:name w:val="於正文"/>
    <w:basedOn w:val="a0"/>
    <w:rsid w:val="00CA16C7"/>
    <w:pPr>
      <w:adjustRightInd w:val="0"/>
      <w:snapToGrid w:val="0"/>
      <w:spacing w:line="360" w:lineRule="auto"/>
      <w:ind w:firstLineChars="200" w:firstLine="200"/>
    </w:pPr>
    <w:rPr>
      <w:rFonts w:ascii="仿宋_GB2312" w:eastAsia="仿宋_GB2312" w:hAnsi="仿宋_GB2312"/>
      <w:color w:val="0000FF"/>
      <w:sz w:val="30"/>
    </w:rPr>
  </w:style>
  <w:style w:type="paragraph" w:customStyle="1" w:styleId="affffffe">
    <w:name w:val="表格内字体"/>
    <w:basedOn w:val="a0"/>
    <w:rsid w:val="00CA16C7"/>
    <w:pPr>
      <w:spacing w:line="360" w:lineRule="exact"/>
      <w:jc w:val="center"/>
    </w:pPr>
    <w:rPr>
      <w:rFonts w:cs="宋体"/>
      <w:color w:val="7030A0"/>
      <w:sz w:val="21"/>
      <w:szCs w:val="20"/>
    </w:rPr>
  </w:style>
  <w:style w:type="paragraph" w:customStyle="1" w:styleId="15237">
    <w:name w:val="样式 小四 黑色 行距: 1.5 倍行距 首行缩进:  2.37 字符"/>
    <w:basedOn w:val="a0"/>
    <w:rsid w:val="00CA16C7"/>
    <w:pPr>
      <w:spacing w:line="520" w:lineRule="exact"/>
      <w:ind w:firstLineChars="237" w:firstLine="237"/>
    </w:pPr>
    <w:rPr>
      <w:rFonts w:cs="宋体"/>
      <w:color w:val="000000"/>
      <w:sz w:val="24"/>
      <w:szCs w:val="20"/>
    </w:rPr>
  </w:style>
  <w:style w:type="paragraph" w:customStyle="1" w:styleId="afffffff">
    <w:name w:val="正文+四号+首行缩进"/>
    <w:basedOn w:val="af7"/>
    <w:rsid w:val="00CA16C7"/>
    <w:pPr>
      <w:ind w:firstLine="420"/>
    </w:pPr>
    <w:rPr>
      <w:rFonts w:ascii="宋体" w:hAnsi="宋体" w:cs="宋体"/>
      <w:sz w:val="28"/>
      <w:szCs w:val="21"/>
    </w:rPr>
  </w:style>
  <w:style w:type="paragraph" w:customStyle="1" w:styleId="210">
    <w:name w:val="列表 21"/>
    <w:basedOn w:val="a0"/>
    <w:rsid w:val="00CA16C7"/>
    <w:pPr>
      <w:adjustRightInd w:val="0"/>
      <w:snapToGrid w:val="0"/>
      <w:spacing w:line="540" w:lineRule="atLeast"/>
      <w:ind w:leftChars="200" w:left="100" w:hangingChars="200" w:hanging="200"/>
    </w:pPr>
    <w:rPr>
      <w:rFonts w:hint="eastAsia"/>
      <w:sz w:val="21"/>
      <w:szCs w:val="20"/>
    </w:rPr>
  </w:style>
  <w:style w:type="paragraph" w:customStyle="1" w:styleId="011515">
    <w:name w:val="样式 小四 加宽量  0.1 磅 行距: 1.5 倍行距 首行缩进:  1.5 字符"/>
    <w:basedOn w:val="a0"/>
    <w:rsid w:val="00CA16C7"/>
    <w:pPr>
      <w:spacing w:line="520" w:lineRule="exact"/>
      <w:ind w:firstLineChars="150" w:firstLine="150"/>
    </w:pPr>
    <w:rPr>
      <w:rFonts w:cs="宋体"/>
      <w:spacing w:val="2"/>
      <w:sz w:val="24"/>
      <w:szCs w:val="20"/>
    </w:rPr>
  </w:style>
  <w:style w:type="paragraph" w:customStyle="1" w:styleId="afffffff0">
    <w:name w:val="战略正文"/>
    <w:rsid w:val="00CA16C7"/>
    <w:pPr>
      <w:widowControl w:val="0"/>
      <w:spacing w:line="360" w:lineRule="exact"/>
      <w:ind w:firstLineChars="200" w:firstLine="480"/>
      <w:jc w:val="both"/>
    </w:pPr>
    <w:rPr>
      <w:sz w:val="24"/>
    </w:rPr>
  </w:style>
  <w:style w:type="paragraph" w:customStyle="1" w:styleId="afffffff1">
    <w:name w:val="表格标题红色"/>
    <w:basedOn w:val="a0"/>
    <w:qFormat/>
    <w:rsid w:val="00CA16C7"/>
    <w:pPr>
      <w:widowControl/>
      <w:adjustRightInd w:val="0"/>
      <w:snapToGrid w:val="0"/>
      <w:spacing w:line="520" w:lineRule="exact"/>
      <w:ind w:firstLineChars="200" w:firstLine="482"/>
      <w:jc w:val="center"/>
    </w:pPr>
    <w:rPr>
      <w:rFonts w:ascii="Calibri" w:hAnsi="Calibri"/>
      <w:kern w:val="0"/>
      <w:szCs w:val="28"/>
      <w:lang w:bidi="en-US"/>
    </w:rPr>
  </w:style>
  <w:style w:type="paragraph" w:customStyle="1" w:styleId="CharCharCharCharCharCharCharCharCharCharCharCharCharCharCharChar1">
    <w:name w:val="Char Char Char Char Char Char Char Char Char Char Char Char Char Char Char Char1"/>
    <w:basedOn w:val="a0"/>
    <w:rsid w:val="00CA16C7"/>
    <w:rPr>
      <w:rFonts w:ascii="Tahoma" w:hAnsi="Tahoma"/>
      <w:sz w:val="24"/>
      <w:szCs w:val="20"/>
    </w:rPr>
  </w:style>
  <w:style w:type="paragraph" w:customStyle="1" w:styleId="xl61">
    <w:name w:val="xl61"/>
    <w:basedOn w:val="a0"/>
    <w:rsid w:val="00CA16C7"/>
    <w:pPr>
      <w:widowControl/>
      <w:pBdr>
        <w:top w:val="single" w:sz="4" w:space="0" w:color="auto"/>
        <w:left w:val="single" w:sz="8" w:space="0" w:color="auto"/>
        <w:bottom w:val="single" w:sz="4" w:space="0" w:color="auto"/>
      </w:pBdr>
      <w:spacing w:before="100" w:beforeAutospacing="1" w:after="100" w:afterAutospacing="1"/>
      <w:jc w:val="left"/>
    </w:pPr>
    <w:rPr>
      <w:rFonts w:ascii="宋体" w:hAnsi="宋体"/>
      <w:kern w:val="0"/>
      <w:sz w:val="24"/>
    </w:rPr>
  </w:style>
  <w:style w:type="paragraph" w:customStyle="1" w:styleId="xl58">
    <w:name w:val="xl58"/>
    <w:basedOn w:val="a0"/>
    <w:rsid w:val="00CA16C7"/>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kern w:val="0"/>
      <w:sz w:val="24"/>
    </w:rPr>
  </w:style>
  <w:style w:type="paragraph" w:customStyle="1" w:styleId="xl71">
    <w:name w:val="xl71"/>
    <w:basedOn w:val="a0"/>
    <w:rsid w:val="00CA16C7"/>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011">
    <w:name w:val="样式 小四 加宽量  0.1 磅"/>
    <w:basedOn w:val="a0"/>
    <w:rsid w:val="00CA16C7"/>
    <w:pPr>
      <w:spacing w:line="520" w:lineRule="exact"/>
      <w:ind w:firstLineChars="200" w:firstLine="200"/>
    </w:pPr>
    <w:rPr>
      <w:spacing w:val="2"/>
      <w:sz w:val="24"/>
      <w:szCs w:val="20"/>
    </w:rPr>
  </w:style>
  <w:style w:type="paragraph" w:customStyle="1" w:styleId="2108515">
    <w:name w:val="样式 正文文本缩进正文文字 21 + 小四 首行缩进:  0.85 厘米 行距: 1.5 倍行距"/>
    <w:basedOn w:val="ac"/>
    <w:rsid w:val="00CA16C7"/>
    <w:pPr>
      <w:ind w:firstLine="482"/>
    </w:pPr>
    <w:rPr>
      <w:rFonts w:cs="宋体"/>
      <w:sz w:val="24"/>
      <w:szCs w:val="20"/>
    </w:rPr>
  </w:style>
  <w:style w:type="paragraph" w:customStyle="1" w:styleId="CharCharCharCharCharCharCharCharCharC13">
    <w:name w:val="样式 纯文本孙普文字 Char Char CharCharChar Char纯文本 Char Char Char C...13"/>
    <w:basedOn w:val="ae"/>
    <w:rsid w:val="00CA16C7"/>
    <w:pPr>
      <w:spacing w:line="520" w:lineRule="exact"/>
      <w:ind w:firstLine="482"/>
    </w:pPr>
    <w:rPr>
      <w:rFonts w:ascii="Times New Roman" w:hAnsi="Times New Roman" w:cs="宋体"/>
      <w:color w:val="000000"/>
      <w:sz w:val="24"/>
    </w:rPr>
  </w:style>
  <w:style w:type="paragraph" w:customStyle="1" w:styleId="CharCharCharCharCharChar1">
    <w:name w:val="Char Char Char Char Char Char1"/>
    <w:basedOn w:val="a0"/>
    <w:next w:val="a0"/>
    <w:rsid w:val="00CA16C7"/>
    <w:pPr>
      <w:spacing w:line="360" w:lineRule="auto"/>
      <w:ind w:firstLineChars="200" w:firstLine="200"/>
    </w:pPr>
    <w:rPr>
      <w:rFonts w:ascii="宋体" w:hAnsi="宋体" w:cs="宋体"/>
      <w:sz w:val="24"/>
    </w:rPr>
  </w:style>
  <w:style w:type="paragraph" w:customStyle="1" w:styleId="3b">
    <w:name w:val="样式 小四 首行缩进:  3 字符"/>
    <w:basedOn w:val="a0"/>
    <w:rsid w:val="00CA16C7"/>
    <w:pPr>
      <w:spacing w:line="520" w:lineRule="exact"/>
      <w:ind w:firstLineChars="200" w:firstLine="200"/>
    </w:pPr>
    <w:rPr>
      <w:rFonts w:ascii="Calibri" w:hAnsi="Calibri" w:cs="宋体"/>
      <w:sz w:val="24"/>
    </w:rPr>
  </w:style>
  <w:style w:type="paragraph" w:customStyle="1" w:styleId="font0">
    <w:name w:val="font0"/>
    <w:basedOn w:val="a0"/>
    <w:rsid w:val="00CA16C7"/>
    <w:pPr>
      <w:widowControl/>
      <w:spacing w:before="100" w:beforeAutospacing="1" w:after="100" w:afterAutospacing="1"/>
      <w:jc w:val="left"/>
    </w:pPr>
    <w:rPr>
      <w:rFonts w:ascii="宋体" w:hAnsi="宋体" w:hint="eastAsia"/>
      <w:kern w:val="0"/>
      <w:sz w:val="24"/>
    </w:rPr>
  </w:style>
  <w:style w:type="paragraph" w:customStyle="1" w:styleId="xl92">
    <w:name w:val="xl92"/>
    <w:basedOn w:val="a0"/>
    <w:rsid w:val="00CA16C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250">
    <w:name w:val="样式 宋体 四号 行距: 固定值 25 磅"/>
    <w:basedOn w:val="a0"/>
    <w:rsid w:val="00CA16C7"/>
    <w:pPr>
      <w:spacing w:line="500" w:lineRule="exact"/>
      <w:ind w:firstLineChars="200" w:firstLine="560"/>
    </w:pPr>
    <w:rPr>
      <w:rFonts w:ascii="宋体" w:hAnsi="宋体" w:cs="宋体"/>
      <w:sz w:val="24"/>
    </w:rPr>
  </w:style>
  <w:style w:type="paragraph" w:customStyle="1" w:styleId="301">
    <w:name w:val="样式 宋体 小三 行距: 固定值 30 磅"/>
    <w:basedOn w:val="a0"/>
    <w:rsid w:val="00CA16C7"/>
    <w:pPr>
      <w:spacing w:line="600" w:lineRule="exact"/>
      <w:ind w:firstLineChars="200" w:firstLine="616"/>
    </w:pPr>
    <w:rPr>
      <w:rFonts w:ascii="宋体" w:cs="宋体"/>
      <w:spacing w:val="4"/>
      <w:szCs w:val="20"/>
    </w:rPr>
  </w:style>
  <w:style w:type="paragraph" w:customStyle="1" w:styleId="10115">
    <w:name w:val="样式 小四 黑色 首行缩进:  1.01 厘米 行距: 1.5 倍行距"/>
    <w:basedOn w:val="a0"/>
    <w:rsid w:val="00CA16C7"/>
    <w:pPr>
      <w:spacing w:line="520" w:lineRule="exact"/>
      <w:ind w:firstLine="573"/>
    </w:pPr>
    <w:rPr>
      <w:rFonts w:cs="宋体"/>
      <w:color w:val="000000"/>
      <w:sz w:val="24"/>
      <w:szCs w:val="20"/>
    </w:rPr>
  </w:style>
  <w:style w:type="paragraph" w:customStyle="1" w:styleId="Style5">
    <w:name w:val="Style5"/>
    <w:basedOn w:val="a0"/>
    <w:rsid w:val="00CA16C7"/>
    <w:pPr>
      <w:adjustRightInd w:val="0"/>
      <w:spacing w:line="360" w:lineRule="exact"/>
      <w:jc w:val="left"/>
    </w:pPr>
    <w:rPr>
      <w:rFonts w:ascii="黑体" w:eastAsia="黑体"/>
      <w:kern w:val="0"/>
      <w:sz w:val="24"/>
    </w:rPr>
  </w:style>
  <w:style w:type="paragraph" w:customStyle="1" w:styleId="afffffff2">
    <w:name w:val="陈召"/>
    <w:basedOn w:val="a0"/>
    <w:rsid w:val="00CA16C7"/>
    <w:pPr>
      <w:spacing w:line="540" w:lineRule="exact"/>
      <w:ind w:firstLineChars="200" w:firstLine="200"/>
    </w:pPr>
  </w:style>
  <w:style w:type="paragraph" w:customStyle="1" w:styleId="1f2">
    <w:name w:val="表头样式1"/>
    <w:basedOn w:val="a0"/>
    <w:rsid w:val="00CA16C7"/>
    <w:pPr>
      <w:spacing w:after="80" w:line="480" w:lineRule="atLeast"/>
      <w:jc w:val="center"/>
    </w:pPr>
    <w:rPr>
      <w:rFonts w:ascii="Calibri" w:eastAsia="黑体" w:hAnsi="Calibri"/>
      <w:b/>
      <w:sz w:val="24"/>
      <w:szCs w:val="20"/>
    </w:rPr>
  </w:style>
  <w:style w:type="paragraph" w:customStyle="1" w:styleId="62">
    <w:name w:val="样式 题注 + 居中 段前: 6 磅"/>
    <w:basedOn w:val="a8"/>
    <w:rsid w:val="00CA16C7"/>
    <w:pPr>
      <w:spacing w:before="120"/>
      <w:jc w:val="center"/>
    </w:pPr>
    <w:rPr>
      <w:rFonts w:cs="宋体"/>
      <w:sz w:val="24"/>
    </w:rPr>
  </w:style>
  <w:style w:type="paragraph" w:customStyle="1" w:styleId="afffffff3">
    <w:name w:val="样式 正文文本 + (符号) 宋体 红色"/>
    <w:basedOn w:val="a1"/>
    <w:rsid w:val="00CA16C7"/>
    <w:pPr>
      <w:spacing w:line="360" w:lineRule="auto"/>
      <w:ind w:firstLineChars="200" w:firstLine="200"/>
    </w:pPr>
    <w:rPr>
      <w:rFonts w:ascii="Calibri" w:hAnsi="Calibri"/>
    </w:rPr>
  </w:style>
  <w:style w:type="paragraph" w:customStyle="1" w:styleId="2CharCharChars4">
    <w:name w:val="样式 正文缩进正文不缩进正文2正文（首行缩进两字）特点正文缩进 Char Char图标题正文缩进 Chars4 ..."/>
    <w:basedOn w:val="a2"/>
    <w:rsid w:val="00CA16C7"/>
    <w:pPr>
      <w:tabs>
        <w:tab w:val="left" w:pos="7380"/>
      </w:tabs>
      <w:snapToGrid w:val="0"/>
      <w:spacing w:line="520" w:lineRule="exact"/>
      <w:ind w:firstLine="200"/>
    </w:pPr>
    <w:rPr>
      <w:rFonts w:cs="宋体"/>
      <w:color w:val="000000"/>
      <w:sz w:val="24"/>
      <w:szCs w:val="20"/>
    </w:rPr>
  </w:style>
  <w:style w:type="paragraph" w:customStyle="1" w:styleId="Style13">
    <w:name w:val="Style13"/>
    <w:basedOn w:val="a0"/>
    <w:rsid w:val="00CA16C7"/>
    <w:pPr>
      <w:adjustRightInd w:val="0"/>
      <w:jc w:val="left"/>
    </w:pPr>
    <w:rPr>
      <w:rFonts w:ascii="宋体"/>
      <w:kern w:val="0"/>
      <w:sz w:val="24"/>
    </w:rPr>
  </w:style>
  <w:style w:type="paragraph" w:customStyle="1" w:styleId="Style14">
    <w:name w:val="Style14"/>
    <w:basedOn w:val="a0"/>
    <w:rsid w:val="00CA16C7"/>
    <w:pPr>
      <w:adjustRightInd w:val="0"/>
      <w:jc w:val="left"/>
    </w:pPr>
    <w:rPr>
      <w:rFonts w:ascii="宋体"/>
      <w:kern w:val="0"/>
      <w:sz w:val="24"/>
    </w:rPr>
  </w:style>
  <w:style w:type="paragraph" w:customStyle="1" w:styleId="0115150">
    <w:name w:val="样式 小四 左 加宽量  0.1 磅 行距: 1.5 倍行距 首行缩进:  1.5 字符"/>
    <w:basedOn w:val="a0"/>
    <w:rsid w:val="00CA16C7"/>
    <w:pPr>
      <w:spacing w:line="520" w:lineRule="exact"/>
      <w:ind w:firstLineChars="150" w:firstLine="150"/>
      <w:jc w:val="left"/>
    </w:pPr>
    <w:rPr>
      <w:rFonts w:cs="宋体"/>
      <w:spacing w:val="2"/>
      <w:sz w:val="24"/>
      <w:szCs w:val="20"/>
    </w:rPr>
  </w:style>
  <w:style w:type="paragraph" w:customStyle="1" w:styleId="CharCharCharCharCharCharCharChar1CharCharCharCharCharChar1CharCharCharCharCharCharCharCharCharChar">
    <w:name w:val="Char Char Char Char Char Char Char Char1 Char Char Char Char Char Char1 Char Char Char Char Char Char Char Char Char Char"/>
    <w:basedOn w:val="a0"/>
    <w:rsid w:val="00CA16C7"/>
    <w:pPr>
      <w:widowControl/>
      <w:spacing w:after="160" w:line="240" w:lineRule="exact"/>
      <w:jc w:val="left"/>
    </w:pPr>
    <w:rPr>
      <w:rFonts w:ascii="Verdana" w:eastAsia="仿宋_GB2312" w:hAnsi="Verdana"/>
      <w:kern w:val="0"/>
      <w:szCs w:val="28"/>
    </w:rPr>
  </w:style>
  <w:style w:type="paragraph" w:customStyle="1" w:styleId="01152">
    <w:name w:val="样式 (符号) 宋体 小四 黑色 左 加宽量  0.1 磅 行距: 1.5 倍行距 首行缩进:  2 字符"/>
    <w:basedOn w:val="a0"/>
    <w:rsid w:val="00CA16C7"/>
    <w:pPr>
      <w:spacing w:line="520" w:lineRule="exact"/>
      <w:ind w:firstLineChars="200" w:firstLine="200"/>
      <w:jc w:val="left"/>
    </w:pPr>
    <w:rPr>
      <w:rFonts w:hAnsi="宋体" w:cs="宋体"/>
      <w:color w:val="000000"/>
      <w:spacing w:val="2"/>
      <w:sz w:val="24"/>
      <w:szCs w:val="20"/>
    </w:rPr>
  </w:style>
  <w:style w:type="paragraph" w:customStyle="1" w:styleId="afffffff4">
    <w:name w:val="内蒙官矿正文"/>
    <w:basedOn w:val="a0"/>
    <w:rsid w:val="00CA16C7"/>
    <w:pPr>
      <w:adjustRightInd w:val="0"/>
      <w:snapToGrid w:val="0"/>
      <w:spacing w:line="540" w:lineRule="atLeast"/>
      <w:ind w:firstLineChars="200" w:firstLine="560"/>
    </w:pPr>
  </w:style>
  <w:style w:type="paragraph" w:customStyle="1" w:styleId="afffffff5">
    <w:name w:val="隆庆三级标题"/>
    <w:basedOn w:val="a0"/>
    <w:qFormat/>
    <w:rsid w:val="00CA16C7"/>
    <w:pPr>
      <w:spacing w:beforeLines="25" w:line="500" w:lineRule="exact"/>
      <w:ind w:firstLineChars="200" w:firstLine="200"/>
      <w:outlineLvl w:val="2"/>
    </w:pPr>
    <w:rPr>
      <w:b/>
      <w:sz w:val="24"/>
    </w:rPr>
  </w:style>
  <w:style w:type="paragraph" w:customStyle="1" w:styleId="xl43">
    <w:name w:val="xl43"/>
    <w:basedOn w:val="a0"/>
    <w:rsid w:val="00CA16C7"/>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20">
    <w:name w:val="样式 正文文本 2 + 非加粗2"/>
    <w:basedOn w:val="25"/>
    <w:rsid w:val="00CA16C7"/>
    <w:pPr>
      <w:adjustRightInd w:val="0"/>
      <w:snapToGrid w:val="0"/>
      <w:spacing w:line="360" w:lineRule="auto"/>
      <w:ind w:leftChars="398" w:left="1279" w:firstLineChars="200" w:firstLine="200"/>
    </w:pPr>
    <w:rPr>
      <w:rFonts w:cs="宋体"/>
      <w:b/>
      <w:bCs/>
      <w:color w:val="0000FF"/>
      <w:sz w:val="28"/>
    </w:rPr>
  </w:style>
  <w:style w:type="paragraph" w:customStyle="1" w:styleId="afffffff6">
    <w:name w:val="！正文"/>
    <w:basedOn w:val="a0"/>
    <w:qFormat/>
    <w:rsid w:val="00CA16C7"/>
    <w:pPr>
      <w:spacing w:line="520" w:lineRule="exact"/>
      <w:ind w:firstLineChars="200" w:firstLine="200"/>
    </w:pPr>
    <w:rPr>
      <w:szCs w:val="28"/>
    </w:rPr>
  </w:style>
  <w:style w:type="paragraph" w:customStyle="1" w:styleId="2d">
    <w:name w:val="正文文字缩进 2"/>
    <w:basedOn w:val="a0"/>
    <w:rsid w:val="00CA16C7"/>
    <w:pPr>
      <w:ind w:firstLine="630"/>
    </w:pPr>
    <w:rPr>
      <w:rFonts w:ascii="宋体" w:cs="宋体"/>
      <w:szCs w:val="28"/>
    </w:rPr>
  </w:style>
  <w:style w:type="paragraph" w:customStyle="1" w:styleId="CharCharCharCharCharCharCharCharCharC12">
    <w:name w:val="样式 纯文本孙普文字 Char Char CharCharChar Char纯文本 Char Char Char C...12"/>
    <w:basedOn w:val="ae"/>
    <w:rsid w:val="00CA16C7"/>
    <w:pPr>
      <w:spacing w:line="520" w:lineRule="exact"/>
      <w:ind w:leftChars="271" w:left="271" w:firstLineChars="300" w:firstLine="300"/>
    </w:pPr>
    <w:rPr>
      <w:rFonts w:ascii="Times New Roman" w:hAnsi="Times New Roman" w:cs="宋体"/>
      <w:color w:val="000000"/>
      <w:sz w:val="24"/>
    </w:rPr>
  </w:style>
  <w:style w:type="paragraph" w:customStyle="1" w:styleId="afffffff7">
    <w:name w:val="正文文字缩进"/>
    <w:basedOn w:val="a0"/>
    <w:rsid w:val="00CA16C7"/>
    <w:pPr>
      <w:adjustRightInd w:val="0"/>
      <w:ind w:firstLine="538"/>
      <w:textAlignment w:val="baseline"/>
    </w:pPr>
    <w:rPr>
      <w:szCs w:val="20"/>
    </w:rPr>
  </w:style>
  <w:style w:type="paragraph" w:customStyle="1" w:styleId="15267">
    <w:name w:val="样式 小四 黑色 行距: 1.5 倍行距 左  2.67 字符"/>
    <w:basedOn w:val="a0"/>
    <w:rsid w:val="00CA16C7"/>
    <w:pPr>
      <w:spacing w:line="520" w:lineRule="exact"/>
      <w:ind w:leftChars="267" w:left="267"/>
    </w:pPr>
    <w:rPr>
      <w:rFonts w:cs="宋体"/>
      <w:color w:val="000000"/>
      <w:sz w:val="24"/>
      <w:szCs w:val="20"/>
    </w:rPr>
  </w:style>
  <w:style w:type="paragraph" w:customStyle="1" w:styleId="120">
    <w:name w:val="样式 标题 1 + 首行缩进:  2 字符 段前: 自动 段后: 自动"/>
    <w:basedOn w:val="1"/>
    <w:rsid w:val="00CA16C7"/>
    <w:pPr>
      <w:adjustRightInd w:val="0"/>
      <w:snapToGrid w:val="0"/>
      <w:spacing w:before="0" w:after="0" w:line="360" w:lineRule="auto"/>
      <w:ind w:firstLineChars="200" w:firstLine="482"/>
    </w:pPr>
    <w:rPr>
      <w:sz w:val="30"/>
      <w:szCs w:val="32"/>
    </w:rPr>
  </w:style>
  <w:style w:type="paragraph" w:customStyle="1" w:styleId="1f3">
    <w:name w:val="正文文本缩进1"/>
    <w:basedOn w:val="a0"/>
    <w:rsid w:val="00CA16C7"/>
    <w:pPr>
      <w:ind w:firstLineChars="200" w:firstLine="560"/>
    </w:pPr>
    <w:rPr>
      <w:szCs w:val="28"/>
    </w:rPr>
  </w:style>
  <w:style w:type="paragraph" w:customStyle="1" w:styleId="afffffff8">
    <w:name w:val="正文 + 宋体"/>
    <w:basedOn w:val="a0"/>
    <w:rsid w:val="00CA16C7"/>
    <w:pPr>
      <w:adjustRightInd w:val="0"/>
      <w:spacing w:line="520" w:lineRule="exact"/>
      <w:ind w:firstLineChars="200" w:firstLine="200"/>
      <w:jc w:val="left"/>
      <w:textAlignment w:val="baseline"/>
    </w:pPr>
    <w:rPr>
      <w:rFonts w:ascii="宋体" w:hAnsi="宋体"/>
      <w:kern w:val="0"/>
      <w:sz w:val="24"/>
    </w:rPr>
  </w:style>
  <w:style w:type="paragraph" w:customStyle="1" w:styleId="100">
    <w:name w:val="样式10"/>
    <w:basedOn w:val="ae"/>
    <w:rsid w:val="00CA16C7"/>
    <w:rPr>
      <w:b/>
    </w:rPr>
  </w:style>
  <w:style w:type="paragraph" w:customStyle="1" w:styleId="Char44">
    <w:name w:val="Char44"/>
    <w:basedOn w:val="a0"/>
    <w:rsid w:val="00CA16C7"/>
    <w:pPr>
      <w:spacing w:line="360" w:lineRule="auto"/>
      <w:ind w:firstLineChars="200" w:firstLine="200"/>
    </w:pPr>
    <w:rPr>
      <w:rFonts w:ascii="宋体" w:hAnsi="宋体" w:cs="宋体"/>
      <w:sz w:val="24"/>
    </w:rPr>
  </w:style>
  <w:style w:type="paragraph" w:customStyle="1" w:styleId="afffffff9">
    <w:name w:val="正内容"/>
    <w:basedOn w:val="ae"/>
    <w:rsid w:val="00CA16C7"/>
    <w:pPr>
      <w:widowControl/>
      <w:spacing w:line="540" w:lineRule="exact"/>
      <w:ind w:firstLineChars="200" w:firstLine="560"/>
    </w:pPr>
    <w:rPr>
      <w:rFonts w:hAnsi="宋体" w:cs="宋体"/>
      <w:kern w:val="0"/>
      <w:lang w:eastAsia="en-US" w:bidi="en-US"/>
    </w:rPr>
  </w:style>
  <w:style w:type="paragraph" w:customStyle="1" w:styleId="222">
    <w:name w:val="样式 样式 正文文本 2 + 非加粗2 + 首行缩进:  2 字符"/>
    <w:basedOn w:val="220"/>
    <w:rsid w:val="00CA16C7"/>
    <w:pPr>
      <w:ind w:firstLine="480"/>
    </w:pPr>
    <w:rPr>
      <w:b w:val="0"/>
      <w:bCs w:val="0"/>
      <w:szCs w:val="20"/>
    </w:rPr>
  </w:style>
  <w:style w:type="paragraph" w:customStyle="1" w:styleId="Char416">
    <w:name w:val="Char416"/>
    <w:basedOn w:val="a0"/>
    <w:rsid w:val="00CA16C7"/>
    <w:pPr>
      <w:spacing w:line="360" w:lineRule="auto"/>
      <w:ind w:firstLineChars="200" w:firstLine="200"/>
    </w:pPr>
    <w:rPr>
      <w:rFonts w:ascii="宋体" w:hAnsi="宋体"/>
      <w:sz w:val="24"/>
    </w:rPr>
  </w:style>
  <w:style w:type="paragraph" w:customStyle="1" w:styleId="1520">
    <w:name w:val="样式 小四 加粗 黑色 行距: 1.5 倍行距 首行缩进:  2 字符"/>
    <w:basedOn w:val="a0"/>
    <w:rsid w:val="00CA16C7"/>
    <w:pPr>
      <w:spacing w:line="520" w:lineRule="exact"/>
      <w:ind w:firstLineChars="200" w:firstLine="200"/>
    </w:pPr>
    <w:rPr>
      <w:rFonts w:cs="宋体"/>
      <w:b/>
      <w:bCs/>
      <w:color w:val="000000"/>
      <w:sz w:val="24"/>
      <w:szCs w:val="20"/>
    </w:rPr>
  </w:style>
  <w:style w:type="paragraph" w:customStyle="1" w:styleId="3MB33Char151113415">
    <w:name w:val="样式 标题 3MB3标题 3 Char小标题四号宋体左齐行距1.5倍1.1.1标题 34号宋体左齐行距1.5倍条标..."/>
    <w:basedOn w:val="30"/>
    <w:rsid w:val="00CA16C7"/>
    <w:pPr>
      <w:spacing w:before="0" w:after="0" w:line="520" w:lineRule="exact"/>
    </w:pPr>
    <w:rPr>
      <w:kern w:val="28"/>
      <w:sz w:val="28"/>
    </w:rPr>
  </w:style>
  <w:style w:type="paragraph" w:customStyle="1" w:styleId="xl47">
    <w:name w:val="xl47"/>
    <w:basedOn w:val="a0"/>
    <w:rsid w:val="00CA16C7"/>
    <w:pPr>
      <w:widowControl/>
      <w:pBdr>
        <w:top w:val="single" w:sz="8"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1f4">
    <w:name w:val="我的标题1"/>
    <w:basedOn w:val="1"/>
    <w:rsid w:val="00CA16C7"/>
    <w:pPr>
      <w:keepLines w:val="0"/>
      <w:adjustRightInd w:val="0"/>
      <w:snapToGrid w:val="0"/>
      <w:spacing w:beforeLines="50" w:after="0" w:line="360" w:lineRule="auto"/>
      <w:jc w:val="center"/>
    </w:pPr>
    <w:rPr>
      <w:rFonts w:eastAsia="黑体"/>
      <w:b w:val="0"/>
      <w:bCs w:val="0"/>
      <w:kern w:val="2"/>
      <w:sz w:val="36"/>
      <w:szCs w:val="24"/>
    </w:rPr>
  </w:style>
  <w:style w:type="paragraph" w:customStyle="1" w:styleId="1f5">
    <w:name w:val="纯文本1"/>
    <w:basedOn w:val="a0"/>
    <w:rsid w:val="00CA16C7"/>
    <w:pPr>
      <w:adjustRightInd w:val="0"/>
      <w:textAlignment w:val="baseline"/>
    </w:pPr>
    <w:rPr>
      <w:rFonts w:ascii="宋体" w:hAnsi="Courier New"/>
      <w:szCs w:val="20"/>
    </w:rPr>
  </w:style>
  <w:style w:type="paragraph" w:customStyle="1" w:styleId="xl73">
    <w:name w:val="xl73"/>
    <w:basedOn w:val="a0"/>
    <w:rsid w:val="00CA16C7"/>
    <w:pPr>
      <w:widowControl/>
      <w:spacing w:before="100" w:beforeAutospacing="1" w:after="100" w:afterAutospacing="1"/>
      <w:jc w:val="left"/>
    </w:pPr>
    <w:rPr>
      <w:rFonts w:ascii="宋体" w:hAnsi="宋体"/>
      <w:kern w:val="0"/>
      <w:szCs w:val="28"/>
    </w:rPr>
  </w:style>
  <w:style w:type="paragraph" w:customStyle="1" w:styleId="08527">
    <w:name w:val="样式 小四 左 首行缩进:  0.85 厘米 行距: 固定值 27 磅"/>
    <w:basedOn w:val="a0"/>
    <w:rsid w:val="00CA16C7"/>
    <w:pPr>
      <w:spacing w:line="520" w:lineRule="exact"/>
      <w:ind w:firstLine="482"/>
      <w:jc w:val="left"/>
    </w:pPr>
    <w:rPr>
      <w:rFonts w:cs="宋体"/>
      <w:sz w:val="24"/>
      <w:szCs w:val="20"/>
    </w:rPr>
  </w:style>
  <w:style w:type="paragraph" w:customStyle="1" w:styleId="2CharCharChars43">
    <w:name w:val="样式 正文缩进正文不缩进正文2正文（首行缩进两字）特点正文缩进 Char Char图标题正文缩进 Chars4 ...3"/>
    <w:basedOn w:val="a2"/>
    <w:rsid w:val="00CA16C7"/>
    <w:pPr>
      <w:tabs>
        <w:tab w:val="left" w:pos="7380"/>
      </w:tabs>
      <w:snapToGrid w:val="0"/>
      <w:spacing w:line="520" w:lineRule="exact"/>
      <w:ind w:firstLine="200"/>
    </w:pPr>
    <w:rPr>
      <w:rFonts w:cs="宋体"/>
      <w:sz w:val="24"/>
      <w:szCs w:val="20"/>
    </w:rPr>
  </w:style>
  <w:style w:type="paragraph" w:customStyle="1" w:styleId="3000">
    <w:name w:val="样式 标题 3 + 四号 非加粗 黑色 段前: 0 磅 段后: 0 磅 行距: 单倍行距"/>
    <w:basedOn w:val="30"/>
    <w:rsid w:val="00CA16C7"/>
    <w:pPr>
      <w:spacing w:before="0" w:after="0" w:line="240" w:lineRule="auto"/>
    </w:pPr>
    <w:rPr>
      <w:rFonts w:eastAsia="黑体"/>
      <w:bCs w:val="0"/>
      <w:color w:val="000000"/>
      <w:sz w:val="28"/>
      <w:szCs w:val="20"/>
    </w:rPr>
  </w:style>
  <w:style w:type="paragraph" w:customStyle="1" w:styleId="Char40">
    <w:name w:val="Char4"/>
    <w:basedOn w:val="a0"/>
    <w:rsid w:val="00CA16C7"/>
    <w:pPr>
      <w:spacing w:line="360" w:lineRule="auto"/>
      <w:ind w:firstLineChars="200" w:firstLine="200"/>
    </w:pPr>
    <w:rPr>
      <w:rFonts w:ascii="宋体" w:hAnsi="宋体" w:cs="宋体"/>
      <w:sz w:val="24"/>
    </w:rPr>
  </w:style>
  <w:style w:type="paragraph" w:customStyle="1" w:styleId="1f6">
    <w:name w:val="页脚1"/>
    <w:basedOn w:val="1c"/>
    <w:rsid w:val="00CA16C7"/>
    <w:pPr>
      <w:tabs>
        <w:tab w:val="center" w:pos="4153"/>
        <w:tab w:val="right" w:pos="8306"/>
      </w:tabs>
      <w:adjustRightInd w:val="0"/>
      <w:spacing w:beforeLines="0" w:afterLines="0" w:line="240" w:lineRule="atLeast"/>
      <w:ind w:firstLineChars="0" w:firstLine="0"/>
      <w:jc w:val="left"/>
      <w:textAlignment w:val="baseline"/>
    </w:pPr>
    <w:rPr>
      <w:rFonts w:ascii="宋体"/>
      <w:kern w:val="0"/>
      <w:sz w:val="18"/>
      <w:szCs w:val="20"/>
    </w:rPr>
  </w:style>
  <w:style w:type="paragraph" w:customStyle="1" w:styleId="xl76">
    <w:name w:val="xl76"/>
    <w:basedOn w:val="a0"/>
    <w:rsid w:val="00CA16C7"/>
    <w:pPr>
      <w:widowControl/>
      <w:pBdr>
        <w:top w:val="single" w:sz="8" w:space="0" w:color="auto"/>
        <w:bottom w:val="single" w:sz="4" w:space="0" w:color="auto"/>
        <w:right w:val="single" w:sz="8" w:space="0" w:color="auto"/>
      </w:pBdr>
      <w:spacing w:before="100" w:beforeAutospacing="1" w:after="100" w:afterAutospacing="1"/>
      <w:jc w:val="center"/>
    </w:pPr>
    <w:rPr>
      <w:rFonts w:ascii="宋体" w:hAnsi="宋体"/>
      <w:kern w:val="0"/>
      <w:sz w:val="24"/>
    </w:rPr>
  </w:style>
  <w:style w:type="paragraph" w:customStyle="1" w:styleId="afffffffa">
    <w:name w:val="表格题头"/>
    <w:basedOn w:val="a0"/>
    <w:rsid w:val="00CA16C7"/>
    <w:pPr>
      <w:spacing w:beforeLines="50" w:line="400" w:lineRule="exact"/>
      <w:jc w:val="center"/>
    </w:pPr>
    <w:rPr>
      <w:rFonts w:ascii="黑体" w:eastAsia="黑体" w:hAnsi="宋体"/>
      <w:color w:val="000000"/>
      <w:sz w:val="24"/>
    </w:rPr>
  </w:style>
  <w:style w:type="paragraph" w:customStyle="1" w:styleId="xl48">
    <w:name w:val="xl48"/>
    <w:basedOn w:val="a0"/>
    <w:rsid w:val="00CA16C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1521">
    <w:name w:val="样式 宋体 小四 行距: 1.5 倍行距 首行缩进:  2 字符"/>
    <w:basedOn w:val="a0"/>
    <w:rsid w:val="00CA16C7"/>
    <w:pPr>
      <w:spacing w:line="520" w:lineRule="exact"/>
      <w:ind w:firstLineChars="200" w:firstLine="200"/>
    </w:pPr>
    <w:rPr>
      <w:rFonts w:ascii="宋体" w:hAnsi="宋体" w:cs="宋体"/>
      <w:sz w:val="24"/>
      <w:szCs w:val="20"/>
    </w:rPr>
  </w:style>
  <w:style w:type="paragraph" w:customStyle="1" w:styleId="afffffffb">
    <w:name w:val="样式 黑色"/>
    <w:basedOn w:val="a0"/>
    <w:rsid w:val="00CA16C7"/>
    <w:pPr>
      <w:jc w:val="center"/>
    </w:pPr>
    <w:rPr>
      <w:color w:val="000000"/>
      <w:kern w:val="0"/>
      <w:sz w:val="21"/>
      <w:szCs w:val="21"/>
    </w:rPr>
  </w:style>
  <w:style w:type="paragraph" w:customStyle="1" w:styleId="3MB3h33rdlevelH3Head3level3PIM3Level3Head">
    <w:name w:val="样式 标题 3头MB3h33rd levelH3Head 3level_3PIM 3Level 3 Head..."/>
    <w:basedOn w:val="30"/>
    <w:rsid w:val="00CA16C7"/>
    <w:pPr>
      <w:spacing w:before="120" w:after="120" w:line="520" w:lineRule="exact"/>
    </w:pPr>
    <w:rPr>
      <w:rFonts w:ascii="华文楷体" w:eastAsia="华文楷体" w:hAnsi="华文楷体" w:cs="宋体"/>
      <w:b w:val="0"/>
      <w:kern w:val="28"/>
      <w:sz w:val="28"/>
      <w:szCs w:val="20"/>
    </w:rPr>
  </w:style>
  <w:style w:type="paragraph" w:customStyle="1" w:styleId="afffffffc">
    <w:name w:val="规划正文"/>
    <w:basedOn w:val="a0"/>
    <w:rsid w:val="00CA16C7"/>
    <w:pPr>
      <w:spacing w:line="500" w:lineRule="exact"/>
      <w:ind w:firstLineChars="200" w:firstLine="200"/>
    </w:pPr>
    <w:rPr>
      <w:sz w:val="24"/>
    </w:rPr>
  </w:style>
  <w:style w:type="paragraph" w:customStyle="1" w:styleId="xl22">
    <w:name w:val="xl22"/>
    <w:basedOn w:val="a0"/>
    <w:rsid w:val="00CA16C7"/>
    <w:pPr>
      <w:widowControl/>
      <w:spacing w:before="100" w:beforeAutospacing="1" w:after="100" w:afterAutospacing="1"/>
      <w:jc w:val="center"/>
    </w:pPr>
    <w:rPr>
      <w:rFonts w:ascii="宋体" w:hAnsi="宋体"/>
      <w:kern w:val="0"/>
      <w:sz w:val="24"/>
    </w:rPr>
  </w:style>
  <w:style w:type="paragraph" w:customStyle="1" w:styleId="xl79">
    <w:name w:val="xl79"/>
    <w:basedOn w:val="a0"/>
    <w:rsid w:val="00CA16C7"/>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2e">
    <w:name w:val="正文文本缩进2"/>
    <w:basedOn w:val="a0"/>
    <w:rsid w:val="00CA16C7"/>
    <w:pPr>
      <w:ind w:firstLineChars="200" w:firstLine="560"/>
    </w:pPr>
    <w:rPr>
      <w:szCs w:val="28"/>
    </w:rPr>
  </w:style>
  <w:style w:type="paragraph" w:customStyle="1" w:styleId="2f">
    <w:name w:val="样式 正文文本缩进 2 + 小四 黑色"/>
    <w:basedOn w:val="23"/>
    <w:rsid w:val="00CA16C7"/>
    <w:pPr>
      <w:spacing w:after="120"/>
      <w:ind w:leftChars="200" w:left="200" w:firstLine="0"/>
    </w:pPr>
    <w:rPr>
      <w:color w:val="000000"/>
      <w:sz w:val="24"/>
    </w:rPr>
  </w:style>
  <w:style w:type="paragraph" w:customStyle="1" w:styleId="200">
    <w:name w:val="样式 (符号) 宋体 五号 黑色 居中 行距: 固定值 20 磅"/>
    <w:basedOn w:val="a0"/>
    <w:rsid w:val="00CA16C7"/>
    <w:pPr>
      <w:jc w:val="center"/>
    </w:pPr>
    <w:rPr>
      <w:rFonts w:hAnsi="宋体" w:cs="宋体"/>
      <w:color w:val="000000"/>
      <w:kern w:val="0"/>
      <w:sz w:val="21"/>
      <w:szCs w:val="20"/>
    </w:rPr>
  </w:style>
  <w:style w:type="paragraph" w:customStyle="1" w:styleId="CharCharChar1CharCharCharCharCharCharChar1">
    <w:name w:val="Char Char Char1 Char Char Char Char Char Char Char1"/>
    <w:basedOn w:val="a0"/>
    <w:next w:val="a0"/>
    <w:rsid w:val="00CA16C7"/>
    <w:pPr>
      <w:spacing w:line="360" w:lineRule="auto"/>
      <w:ind w:firstLineChars="200" w:firstLine="200"/>
    </w:pPr>
    <w:rPr>
      <w:rFonts w:ascii="宋体" w:hAnsi="宋体" w:cs="宋体"/>
      <w:sz w:val="24"/>
    </w:rPr>
  </w:style>
  <w:style w:type="paragraph" w:customStyle="1" w:styleId="08515">
    <w:name w:val="样式 小四 左侧:  0.85 厘米 行距: 1.5 倍行距"/>
    <w:basedOn w:val="a0"/>
    <w:rsid w:val="00CA16C7"/>
    <w:pPr>
      <w:spacing w:line="520" w:lineRule="exact"/>
      <w:ind w:left="482"/>
    </w:pPr>
    <w:rPr>
      <w:rFonts w:cs="宋体"/>
      <w:sz w:val="24"/>
      <w:szCs w:val="20"/>
    </w:rPr>
  </w:style>
  <w:style w:type="paragraph" w:customStyle="1" w:styleId="font7">
    <w:name w:val="font7"/>
    <w:basedOn w:val="a0"/>
    <w:rsid w:val="00CA16C7"/>
    <w:pPr>
      <w:widowControl/>
      <w:spacing w:before="100" w:beforeAutospacing="1" w:after="100" w:afterAutospacing="1"/>
      <w:jc w:val="left"/>
    </w:pPr>
    <w:rPr>
      <w:b/>
      <w:bCs/>
      <w:kern w:val="0"/>
      <w:szCs w:val="28"/>
    </w:rPr>
  </w:style>
  <w:style w:type="paragraph" w:customStyle="1" w:styleId="45">
    <w:name w:val="标题4"/>
    <w:basedOn w:val="af8"/>
    <w:next w:val="a0"/>
    <w:rsid w:val="00CA16C7"/>
    <w:pPr>
      <w:spacing w:before="0" w:after="0" w:line="520" w:lineRule="exact"/>
      <w:jc w:val="left"/>
      <w:outlineLvl w:val="1"/>
    </w:pPr>
    <w:rPr>
      <w:rFonts w:cs="Arial"/>
      <w:b w:val="0"/>
      <w:bCs w:val="0"/>
      <w:kern w:val="28"/>
      <w:sz w:val="24"/>
      <w:szCs w:val="24"/>
    </w:rPr>
  </w:style>
  <w:style w:type="paragraph" w:customStyle="1" w:styleId="33Char151113415111">
    <w:name w:val="样式 标题 3标题 3 Char四号宋体左齐行距1.5倍1.1.1标题 3小标题4号宋体左齐行距1.5倍条标题1.1...1"/>
    <w:basedOn w:val="30"/>
    <w:rsid w:val="00CA16C7"/>
    <w:pPr>
      <w:spacing w:before="0" w:after="0" w:line="520" w:lineRule="exact"/>
      <w:jc w:val="left"/>
    </w:pPr>
    <w:rPr>
      <w:rFonts w:cs="宋体"/>
      <w:sz w:val="28"/>
      <w:szCs w:val="20"/>
    </w:rPr>
  </w:style>
  <w:style w:type="paragraph" w:customStyle="1" w:styleId="085150">
    <w:name w:val="样式 小四 黑色 左侧:  0.85 厘米 行距: 1.5 倍行距"/>
    <w:basedOn w:val="a0"/>
    <w:rsid w:val="00CA16C7"/>
    <w:pPr>
      <w:spacing w:line="520" w:lineRule="exact"/>
      <w:ind w:left="482"/>
    </w:pPr>
    <w:rPr>
      <w:rFonts w:cs="宋体"/>
      <w:color w:val="000000"/>
      <w:sz w:val="24"/>
      <w:szCs w:val="20"/>
    </w:rPr>
  </w:style>
  <w:style w:type="paragraph" w:customStyle="1" w:styleId="CharCharCharCharCharCharCharCharCharC11">
    <w:name w:val="样式 纯文本孙普文字 Char Char CharCharChar Char纯文本 Char Char Char C...11"/>
    <w:basedOn w:val="ae"/>
    <w:rsid w:val="00CA16C7"/>
    <w:pPr>
      <w:spacing w:line="520" w:lineRule="exact"/>
      <w:ind w:firstLineChars="203" w:firstLine="203"/>
    </w:pPr>
    <w:rPr>
      <w:rFonts w:ascii="Times New Roman" w:hAnsi="Times New Roman" w:cs="宋体"/>
      <w:color w:val="000000"/>
      <w:sz w:val="24"/>
    </w:rPr>
  </w:style>
  <w:style w:type="paragraph" w:customStyle="1" w:styleId="201">
    <w:name w:val="样式 五号 黑色 居中 行距: 固定值 20 磅"/>
    <w:basedOn w:val="a0"/>
    <w:rsid w:val="00CA16C7"/>
    <w:pPr>
      <w:jc w:val="center"/>
    </w:pPr>
    <w:rPr>
      <w:rFonts w:cs="宋体"/>
      <w:color w:val="000000"/>
      <w:kern w:val="0"/>
      <w:sz w:val="21"/>
      <w:szCs w:val="20"/>
    </w:rPr>
  </w:style>
  <w:style w:type="paragraph" w:customStyle="1" w:styleId="101153">
    <w:name w:val="样式 标题 1 + 二号 黑色 居中 加宽量  0.1 磅 行距: 1.5 倍行距3"/>
    <w:basedOn w:val="1"/>
    <w:rsid w:val="00CA16C7"/>
    <w:pPr>
      <w:pageBreakBefore/>
      <w:spacing w:line="360" w:lineRule="auto"/>
      <w:jc w:val="center"/>
    </w:pPr>
    <w:rPr>
      <w:rFonts w:cs="宋体"/>
      <w:color w:val="000000"/>
      <w:spacing w:val="2"/>
      <w:szCs w:val="20"/>
    </w:rPr>
  </w:style>
  <w:style w:type="paragraph" w:customStyle="1" w:styleId="050">
    <w:name w:val="样式 行距: 多倍行距 0.5 字行"/>
    <w:basedOn w:val="a0"/>
    <w:rsid w:val="00CA16C7"/>
    <w:pPr>
      <w:spacing w:line="60" w:lineRule="auto"/>
      <w:ind w:firstLineChars="218" w:firstLine="218"/>
    </w:pPr>
    <w:rPr>
      <w:rFonts w:cs="宋体"/>
      <w:szCs w:val="20"/>
    </w:rPr>
  </w:style>
  <w:style w:type="paragraph" w:customStyle="1" w:styleId="099150">
    <w:name w:val="样式 小四 黑色 左 首行缩进:  0.99 厘米 行距: 1.5 倍行距"/>
    <w:basedOn w:val="a0"/>
    <w:rsid w:val="00CA16C7"/>
    <w:pPr>
      <w:spacing w:line="520" w:lineRule="exact"/>
      <w:ind w:firstLine="561"/>
      <w:jc w:val="left"/>
    </w:pPr>
    <w:rPr>
      <w:rFonts w:cs="宋体"/>
      <w:color w:val="000000"/>
      <w:sz w:val="24"/>
      <w:szCs w:val="20"/>
    </w:rPr>
  </w:style>
  <w:style w:type="paragraph" w:customStyle="1" w:styleId="font11">
    <w:name w:val="font11"/>
    <w:basedOn w:val="a0"/>
    <w:rsid w:val="00CA16C7"/>
    <w:pPr>
      <w:widowControl/>
      <w:spacing w:before="100" w:beforeAutospacing="1" w:after="100" w:afterAutospacing="1"/>
      <w:jc w:val="left"/>
    </w:pPr>
    <w:rPr>
      <w:rFonts w:ascii="黑体" w:eastAsia="黑体" w:hAnsi="宋体" w:hint="eastAsia"/>
      <w:b/>
      <w:bCs/>
      <w:kern w:val="0"/>
      <w:szCs w:val="28"/>
    </w:rPr>
  </w:style>
  <w:style w:type="paragraph" w:customStyle="1" w:styleId="100261">
    <w:name w:val="样式 样式 标题 1 + (中文) 黑体 居中 段前: 0 磅 段后: 0 磅 行距: 固定值 26 磅 + 宋体 段后: 1..."/>
    <w:basedOn w:val="10026"/>
    <w:rsid w:val="00CA16C7"/>
    <w:pPr>
      <w:pageBreakBefore/>
      <w:spacing w:after="150"/>
    </w:pPr>
    <w:rPr>
      <w:rFonts w:ascii="宋体" w:eastAsia="宋体" w:hAnsi="宋体"/>
    </w:rPr>
  </w:style>
  <w:style w:type="paragraph" w:customStyle="1" w:styleId="08501151">
    <w:name w:val="样式 小四 黑色 首行缩进:  0.85 厘米 加宽量  0.1 磅 行距: 1.5 倍行距1"/>
    <w:basedOn w:val="a0"/>
    <w:rsid w:val="00CA16C7"/>
    <w:pPr>
      <w:spacing w:line="520" w:lineRule="exact"/>
      <w:ind w:firstLine="482"/>
    </w:pPr>
    <w:rPr>
      <w:rFonts w:cs="宋体"/>
      <w:color w:val="000000"/>
      <w:spacing w:val="2"/>
      <w:sz w:val="24"/>
      <w:szCs w:val="20"/>
    </w:rPr>
  </w:style>
  <w:style w:type="paragraph" w:customStyle="1" w:styleId="08501152">
    <w:name w:val="样式 小四 黑色 左 首行缩进:  0.85 厘米 加宽量  0.1 磅 行距: 1.5 倍行距"/>
    <w:basedOn w:val="a0"/>
    <w:rsid w:val="00CA16C7"/>
    <w:pPr>
      <w:spacing w:line="520" w:lineRule="exact"/>
      <w:ind w:firstLine="482"/>
      <w:jc w:val="left"/>
    </w:pPr>
    <w:rPr>
      <w:rFonts w:cs="宋体"/>
      <w:color w:val="000000"/>
      <w:spacing w:val="2"/>
      <w:sz w:val="24"/>
      <w:szCs w:val="20"/>
    </w:rPr>
  </w:style>
  <w:style w:type="paragraph" w:customStyle="1" w:styleId="xl65">
    <w:name w:val="xl65"/>
    <w:basedOn w:val="a0"/>
    <w:rsid w:val="00CA16C7"/>
    <w:pPr>
      <w:widowControl/>
      <w:pBdr>
        <w:top w:val="single" w:sz="4" w:space="0" w:color="auto"/>
        <w:left w:val="single" w:sz="8" w:space="0" w:color="auto"/>
        <w:bottom w:val="single" w:sz="4" w:space="0" w:color="auto"/>
      </w:pBdr>
      <w:spacing w:before="100" w:beforeAutospacing="1" w:after="100" w:afterAutospacing="1"/>
      <w:jc w:val="left"/>
    </w:pPr>
    <w:rPr>
      <w:kern w:val="0"/>
      <w:sz w:val="24"/>
    </w:rPr>
  </w:style>
  <w:style w:type="paragraph" w:customStyle="1" w:styleId="style8">
    <w:name w:val="style8"/>
    <w:basedOn w:val="a0"/>
    <w:rsid w:val="00CA16C7"/>
    <w:pPr>
      <w:widowControl/>
      <w:adjustRightInd w:val="0"/>
      <w:snapToGrid w:val="0"/>
      <w:spacing w:before="100" w:beforeAutospacing="1" w:after="100" w:afterAutospacing="1" w:line="540" w:lineRule="atLeast"/>
      <w:jc w:val="left"/>
    </w:pPr>
    <w:rPr>
      <w:rFonts w:ascii="宋体" w:hAnsi="宋体" w:cs="宋体"/>
      <w:kern w:val="0"/>
      <w:sz w:val="24"/>
    </w:rPr>
  </w:style>
  <w:style w:type="paragraph" w:customStyle="1" w:styleId="205051">
    <w:name w:val="样式 标题 2 + 段前: 0.5 行 段后: 0.5 行1"/>
    <w:basedOn w:val="2"/>
    <w:rsid w:val="00CA16C7"/>
    <w:pPr>
      <w:tabs>
        <w:tab w:val="left" w:pos="720"/>
      </w:tabs>
      <w:spacing w:beforeLines="50" w:afterLines="50" w:line="360" w:lineRule="auto"/>
      <w:ind w:left="284" w:rightChars="100" w:right="210" w:firstLineChars="200" w:hanging="284"/>
      <w:jc w:val="left"/>
    </w:pPr>
    <w:rPr>
      <w:rFonts w:ascii="仿宋_GB2312" w:eastAsia="仿宋_GB2312" w:hAnsi="Times New Roman" w:cs="宋体"/>
      <w:color w:val="000000"/>
    </w:rPr>
  </w:style>
  <w:style w:type="paragraph" w:customStyle="1" w:styleId="21015">
    <w:name w:val="样式 正文文本缩进正文文字 21 + 小四 首行缩进:  0 厘米 行距: 1.5 倍行距"/>
    <w:basedOn w:val="ac"/>
    <w:rsid w:val="00CA16C7"/>
    <w:pPr>
      <w:ind w:firstLine="0"/>
    </w:pPr>
    <w:rPr>
      <w:rFonts w:cs="宋体"/>
      <w:sz w:val="24"/>
      <w:szCs w:val="20"/>
    </w:rPr>
  </w:style>
  <w:style w:type="paragraph" w:customStyle="1" w:styleId="012">
    <w:name w:val="样式 小四 倾斜 下划线 加宽量  0.1 磅"/>
    <w:basedOn w:val="a0"/>
    <w:rsid w:val="00CA16C7"/>
    <w:pPr>
      <w:autoSpaceDE w:val="0"/>
      <w:autoSpaceDN w:val="0"/>
      <w:adjustRightInd w:val="0"/>
      <w:spacing w:line="520" w:lineRule="exact"/>
      <w:ind w:firstLine="482"/>
    </w:pPr>
    <w:rPr>
      <w:spacing w:val="2"/>
      <w:sz w:val="24"/>
    </w:rPr>
  </w:style>
  <w:style w:type="paragraph" w:customStyle="1" w:styleId="2821">
    <w:name w:val="样式 行距: 固定值 28 磅 首行缩进:  2 字符1"/>
    <w:basedOn w:val="a0"/>
    <w:rsid w:val="00CA16C7"/>
    <w:pPr>
      <w:spacing w:line="560" w:lineRule="exact"/>
      <w:ind w:firstLineChars="200" w:firstLine="420"/>
    </w:pPr>
    <w:rPr>
      <w:rFonts w:cs="宋体"/>
      <w:sz w:val="24"/>
      <w:szCs w:val="20"/>
    </w:rPr>
  </w:style>
  <w:style w:type="paragraph" w:customStyle="1" w:styleId="afffffffd">
    <w:name w:val="三级标题"/>
    <w:basedOn w:val="a0"/>
    <w:rsid w:val="00CA16C7"/>
    <w:rPr>
      <w:rFonts w:ascii="宋体" w:hAnsi="宋体"/>
      <w:sz w:val="24"/>
    </w:rPr>
  </w:style>
  <w:style w:type="paragraph" w:customStyle="1" w:styleId="160">
    <w:name w:val="样式 五号 居中 行距: 固定值 16 磅"/>
    <w:basedOn w:val="a0"/>
    <w:rsid w:val="00CA16C7"/>
    <w:pPr>
      <w:jc w:val="center"/>
    </w:pPr>
    <w:rPr>
      <w:rFonts w:cs="宋体"/>
      <w:sz w:val="21"/>
      <w:szCs w:val="20"/>
    </w:rPr>
  </w:style>
  <w:style w:type="paragraph" w:customStyle="1" w:styleId="011520">
    <w:name w:val="样式 (符号) 宋体 小四 黑色 加宽量  0.1 磅 行距: 1.5 倍行距 首行缩进:  2 字符"/>
    <w:basedOn w:val="a0"/>
    <w:rsid w:val="00CA16C7"/>
    <w:pPr>
      <w:spacing w:line="520" w:lineRule="exact"/>
      <w:ind w:firstLineChars="200" w:firstLine="200"/>
    </w:pPr>
    <w:rPr>
      <w:rFonts w:hAnsi="宋体" w:cs="宋体"/>
      <w:color w:val="000000"/>
      <w:spacing w:val="2"/>
      <w:sz w:val="24"/>
      <w:szCs w:val="20"/>
    </w:rPr>
  </w:style>
  <w:style w:type="paragraph" w:customStyle="1" w:styleId="1515">
    <w:name w:val="样式 小四 黑色 行距: 1.5 倍行距 首行缩进:  1.5 字符"/>
    <w:basedOn w:val="a0"/>
    <w:rsid w:val="00CA16C7"/>
    <w:pPr>
      <w:spacing w:line="520" w:lineRule="exact"/>
      <w:ind w:firstLineChars="150" w:firstLine="150"/>
    </w:pPr>
    <w:rPr>
      <w:rFonts w:cs="宋体"/>
      <w:color w:val="000000"/>
      <w:sz w:val="24"/>
      <w:szCs w:val="20"/>
    </w:rPr>
  </w:style>
  <w:style w:type="paragraph" w:customStyle="1" w:styleId="xl31">
    <w:name w:val="xl31"/>
    <w:basedOn w:val="a0"/>
    <w:rsid w:val="00CA16C7"/>
    <w:pPr>
      <w:widowControl/>
      <w:pBdr>
        <w:top w:val="single" w:sz="8"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CharCharCharCharCharCharCharCharCharC5">
    <w:name w:val="样式 纯文本孙普文字 Char Char CharCharChar Char纯文本 Char Char Char C...5"/>
    <w:basedOn w:val="ae"/>
    <w:rsid w:val="00CA16C7"/>
    <w:pPr>
      <w:spacing w:line="520" w:lineRule="exact"/>
      <w:jc w:val="center"/>
    </w:pPr>
    <w:rPr>
      <w:rFonts w:ascii="Times New Roman" w:eastAsia="黑体" w:hAnsi="Times New Roman" w:cs="宋体"/>
      <w:color w:val="000000"/>
      <w:sz w:val="24"/>
    </w:rPr>
  </w:style>
  <w:style w:type="paragraph" w:customStyle="1" w:styleId="xl62">
    <w:name w:val="xl62"/>
    <w:basedOn w:val="a0"/>
    <w:rsid w:val="00CA16C7"/>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4"/>
    </w:rPr>
  </w:style>
  <w:style w:type="paragraph" w:customStyle="1" w:styleId="24CharChar4Char4CharC2">
    <w:name w:val="样式 正文缩进正文（首行缩进两字）特点正文2标题4正文缩进 Char Char标题4 Char标题4 Char C...2"/>
    <w:basedOn w:val="a2"/>
    <w:rsid w:val="00CA16C7"/>
    <w:pPr>
      <w:spacing w:line="520" w:lineRule="exact"/>
      <w:ind w:firstLineChars="0" w:firstLine="0"/>
    </w:pPr>
    <w:rPr>
      <w:rFonts w:cs="宋体"/>
      <w:color w:val="000000"/>
      <w:sz w:val="24"/>
      <w:szCs w:val="20"/>
    </w:rPr>
  </w:style>
  <w:style w:type="paragraph" w:customStyle="1" w:styleId="101">
    <w:name w:val="10"/>
    <w:basedOn w:val="a0"/>
    <w:rsid w:val="00CA16C7"/>
    <w:pPr>
      <w:widowControl/>
      <w:spacing w:before="100" w:beforeAutospacing="1" w:after="100" w:afterAutospacing="1"/>
    </w:pPr>
    <w:rPr>
      <w:rFonts w:ascii="宋体" w:hAnsi="宋体"/>
      <w:kern w:val="0"/>
      <w:sz w:val="24"/>
      <w:szCs w:val="20"/>
    </w:rPr>
  </w:style>
  <w:style w:type="paragraph" w:customStyle="1" w:styleId="xl70">
    <w:name w:val="xl70"/>
    <w:basedOn w:val="a0"/>
    <w:rsid w:val="00CA16C7"/>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1f7">
    <w:name w:val="表格样式1"/>
    <w:basedOn w:val="af6"/>
    <w:next w:val="a1"/>
    <w:rsid w:val="00CA16C7"/>
    <w:pPr>
      <w:adjustRightInd/>
      <w:snapToGrid/>
      <w:spacing w:line="520" w:lineRule="exact"/>
      <w:ind w:left="0"/>
      <w:jc w:val="left"/>
    </w:pPr>
    <w:rPr>
      <w:rFonts w:ascii="黑体" w:eastAsia="黑体"/>
      <w:sz w:val="24"/>
      <w:szCs w:val="24"/>
    </w:rPr>
  </w:style>
  <w:style w:type="paragraph" w:customStyle="1" w:styleId="xl39">
    <w:name w:val="xl39"/>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afffffffe">
    <w:name w:val="样式 小四"/>
    <w:basedOn w:val="a0"/>
    <w:rsid w:val="00CA16C7"/>
    <w:pPr>
      <w:widowControl/>
      <w:spacing w:line="520" w:lineRule="exact"/>
      <w:ind w:firstLine="420"/>
      <w:jc w:val="left"/>
    </w:pPr>
    <w:rPr>
      <w:sz w:val="24"/>
    </w:rPr>
  </w:style>
  <w:style w:type="paragraph" w:customStyle="1" w:styleId="011521">
    <w:name w:val="样式 (符号) 宋体 小四 加宽量  0.1 磅 行距: 1.5 倍行距 首行缩进:  2 字符"/>
    <w:basedOn w:val="a0"/>
    <w:rsid w:val="00CA16C7"/>
    <w:pPr>
      <w:spacing w:line="520" w:lineRule="exact"/>
      <w:ind w:firstLineChars="200" w:firstLine="200"/>
    </w:pPr>
    <w:rPr>
      <w:rFonts w:hAnsi="宋体" w:cs="宋体"/>
      <w:spacing w:val="2"/>
      <w:sz w:val="24"/>
      <w:szCs w:val="20"/>
    </w:rPr>
  </w:style>
  <w:style w:type="paragraph" w:customStyle="1" w:styleId="180">
    <w:name w:val="样式 五号 黑色 居中 行距: 固定值 18 磅"/>
    <w:basedOn w:val="a0"/>
    <w:rsid w:val="00CA16C7"/>
    <w:pPr>
      <w:jc w:val="center"/>
    </w:pPr>
    <w:rPr>
      <w:rFonts w:cs="宋体"/>
      <w:color w:val="000000"/>
      <w:sz w:val="21"/>
      <w:szCs w:val="20"/>
    </w:rPr>
  </w:style>
  <w:style w:type="paragraph" w:customStyle="1" w:styleId="TT0">
    <w:name w:val="TT表名"/>
    <w:basedOn w:val="a0"/>
    <w:next w:val="a0"/>
    <w:rsid w:val="00CA16C7"/>
    <w:pPr>
      <w:keepNext/>
      <w:topLinePunct/>
      <w:adjustRightInd w:val="0"/>
      <w:snapToGrid w:val="0"/>
      <w:spacing w:line="520" w:lineRule="exact"/>
      <w:jc w:val="center"/>
    </w:pPr>
    <w:rPr>
      <w:sz w:val="24"/>
    </w:rPr>
  </w:style>
  <w:style w:type="paragraph" w:customStyle="1" w:styleId="Char42">
    <w:name w:val="Char42"/>
    <w:basedOn w:val="a0"/>
    <w:next w:val="a0"/>
    <w:rsid w:val="00CA16C7"/>
    <w:pPr>
      <w:adjustRightInd w:val="0"/>
      <w:snapToGrid w:val="0"/>
      <w:spacing w:line="360" w:lineRule="auto"/>
      <w:ind w:firstLineChars="200" w:firstLine="200"/>
    </w:pPr>
    <w:rPr>
      <w:rFonts w:ascii="宋体" w:hAnsi="宋体" w:cs="宋体"/>
      <w:sz w:val="24"/>
    </w:rPr>
  </w:style>
  <w:style w:type="paragraph" w:customStyle="1" w:styleId="Char412">
    <w:name w:val="Char412"/>
    <w:basedOn w:val="a0"/>
    <w:rsid w:val="00CA16C7"/>
    <w:pPr>
      <w:spacing w:line="360" w:lineRule="auto"/>
      <w:ind w:firstLineChars="200" w:firstLine="200"/>
    </w:pPr>
    <w:rPr>
      <w:rFonts w:ascii="宋体" w:hAnsi="宋体" w:cs="宋体"/>
      <w:sz w:val="24"/>
    </w:rPr>
  </w:style>
  <w:style w:type="paragraph" w:customStyle="1" w:styleId="xl86">
    <w:name w:val="xl86"/>
    <w:basedOn w:val="a0"/>
    <w:rsid w:val="00CA16C7"/>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1522">
    <w:name w:val="样式 小四 左 行距: 1.5 倍行距 首行缩进:  2 字符"/>
    <w:basedOn w:val="a0"/>
    <w:rsid w:val="00CA16C7"/>
    <w:pPr>
      <w:spacing w:line="520" w:lineRule="exact"/>
      <w:ind w:firstLineChars="200" w:firstLine="200"/>
      <w:jc w:val="left"/>
    </w:pPr>
    <w:rPr>
      <w:rFonts w:cs="宋体"/>
      <w:sz w:val="24"/>
      <w:szCs w:val="20"/>
    </w:rPr>
  </w:style>
  <w:style w:type="paragraph" w:customStyle="1" w:styleId="070118">
    <w:name w:val="070118正文样式"/>
    <w:basedOn w:val="a0"/>
    <w:rsid w:val="00CA16C7"/>
    <w:pPr>
      <w:adjustRightInd w:val="0"/>
      <w:snapToGrid w:val="0"/>
      <w:spacing w:line="336" w:lineRule="auto"/>
      <w:ind w:firstLine="560"/>
    </w:pPr>
    <w:rPr>
      <w:rFonts w:ascii="宋体" w:hAnsi="Courier New"/>
      <w:szCs w:val="20"/>
    </w:rPr>
  </w:style>
  <w:style w:type="paragraph" w:customStyle="1" w:styleId="me10">
    <w:name w:val="me标题1"/>
    <w:basedOn w:val="a0"/>
    <w:rsid w:val="00CA16C7"/>
    <w:pPr>
      <w:shd w:val="clear" w:color="auto" w:fill="FFFFFF"/>
      <w:spacing w:beforeLines="50" w:afterLines="50" w:line="540" w:lineRule="exact"/>
      <w:jc w:val="center"/>
      <w:outlineLvl w:val="1"/>
    </w:pPr>
    <w:rPr>
      <w:rFonts w:eastAsia="黑体" w:cs="宋体"/>
      <w:b/>
      <w:bCs/>
      <w:snapToGrid w:val="0"/>
      <w:kern w:val="0"/>
      <w:sz w:val="30"/>
      <w:szCs w:val="30"/>
    </w:rPr>
  </w:style>
  <w:style w:type="paragraph" w:customStyle="1" w:styleId="2f0">
    <w:name w:val="样式 小四 黑色2"/>
    <w:basedOn w:val="a0"/>
    <w:rsid w:val="00CA16C7"/>
    <w:pPr>
      <w:spacing w:line="520" w:lineRule="exact"/>
      <w:ind w:firstLineChars="200" w:firstLine="200"/>
    </w:pPr>
    <w:rPr>
      <w:color w:val="000000"/>
      <w:kern w:val="0"/>
      <w:sz w:val="24"/>
      <w:szCs w:val="20"/>
    </w:rPr>
  </w:style>
  <w:style w:type="paragraph" w:customStyle="1" w:styleId="affffffff">
    <w:name w:val="说明书"/>
    <w:basedOn w:val="a0"/>
    <w:rsid w:val="00CA16C7"/>
    <w:pPr>
      <w:spacing w:line="540" w:lineRule="exact"/>
      <w:ind w:firstLineChars="200" w:firstLine="560"/>
    </w:pPr>
    <w:rPr>
      <w:rFonts w:cs="宋体"/>
      <w:szCs w:val="20"/>
    </w:rPr>
  </w:style>
  <w:style w:type="paragraph" w:customStyle="1" w:styleId="zdd">
    <w:name w:val="zdd"/>
    <w:basedOn w:val="a0"/>
    <w:rsid w:val="00CA16C7"/>
    <w:pPr>
      <w:adjustRightInd w:val="0"/>
      <w:snapToGrid w:val="0"/>
      <w:spacing w:line="540" w:lineRule="exact"/>
      <w:ind w:firstLineChars="200" w:firstLine="520"/>
    </w:pPr>
  </w:style>
  <w:style w:type="paragraph" w:customStyle="1" w:styleId="22CharTimesNewRoman0">
    <w:name w:val="样式 标题 2标题 2 Char节 + (西文) Times New Roman (中文) 宋体 字距调整四号"/>
    <w:basedOn w:val="2"/>
    <w:rsid w:val="00CA16C7"/>
    <w:pPr>
      <w:spacing w:line="520" w:lineRule="exact"/>
    </w:pPr>
    <w:rPr>
      <w:rFonts w:ascii="Times New Roman" w:eastAsia="宋体" w:hAnsi="Times New Roman"/>
      <w:bCs/>
      <w:kern w:val="28"/>
      <w:sz w:val="30"/>
    </w:rPr>
  </w:style>
  <w:style w:type="paragraph" w:customStyle="1" w:styleId="1f8">
    <w:name w:val="页眉1"/>
    <w:basedOn w:val="1c"/>
    <w:rsid w:val="00CA16C7"/>
    <w:pPr>
      <w:pBdr>
        <w:bottom w:val="single" w:sz="6" w:space="1" w:color="auto"/>
      </w:pBdr>
      <w:tabs>
        <w:tab w:val="center" w:pos="4153"/>
        <w:tab w:val="right" w:pos="8306"/>
      </w:tabs>
      <w:adjustRightInd w:val="0"/>
      <w:spacing w:beforeLines="0" w:afterLines="0" w:line="240" w:lineRule="atLeast"/>
      <w:ind w:firstLineChars="0" w:firstLine="0"/>
      <w:jc w:val="center"/>
      <w:textAlignment w:val="baseline"/>
    </w:pPr>
    <w:rPr>
      <w:rFonts w:ascii="宋体"/>
      <w:kern w:val="0"/>
      <w:sz w:val="18"/>
      <w:szCs w:val="20"/>
    </w:rPr>
  </w:style>
  <w:style w:type="paragraph" w:customStyle="1" w:styleId="xl88">
    <w:name w:val="xl88"/>
    <w:basedOn w:val="a0"/>
    <w:rsid w:val="00CA16C7"/>
    <w:pPr>
      <w:widowControl/>
      <w:spacing w:before="100" w:beforeAutospacing="1" w:after="100" w:afterAutospacing="1"/>
      <w:jc w:val="left"/>
    </w:pPr>
    <w:rPr>
      <w:rFonts w:ascii="宋体" w:hAnsi="宋体"/>
      <w:kern w:val="0"/>
      <w:szCs w:val="28"/>
    </w:rPr>
  </w:style>
  <w:style w:type="paragraph" w:customStyle="1" w:styleId="030">
    <w:name w:val="表格03"/>
    <w:basedOn w:val="a0"/>
    <w:rsid w:val="00CA16C7"/>
    <w:pPr>
      <w:spacing w:line="400" w:lineRule="exact"/>
      <w:jc w:val="center"/>
    </w:pPr>
    <w:rPr>
      <w:sz w:val="21"/>
      <w:szCs w:val="21"/>
    </w:rPr>
  </w:style>
  <w:style w:type="paragraph" w:customStyle="1" w:styleId="085151">
    <w:name w:val="样式 小四 左 首行缩进:  0.85 厘米 行距: 1.5 倍行距"/>
    <w:basedOn w:val="a0"/>
    <w:next w:val="012620"/>
    <w:rsid w:val="00CA16C7"/>
    <w:pPr>
      <w:spacing w:line="520" w:lineRule="exact"/>
      <w:ind w:firstLine="482"/>
      <w:jc w:val="left"/>
    </w:pPr>
    <w:rPr>
      <w:rFonts w:cs="宋体"/>
      <w:sz w:val="24"/>
      <w:szCs w:val="20"/>
    </w:rPr>
  </w:style>
  <w:style w:type="paragraph" w:customStyle="1" w:styleId="2f1">
    <w:name w:val="样式 样式 正文缩进 + (中文) 黑体 小四 + 小四 非加粗 首行缩进:  2 字符"/>
    <w:basedOn w:val="afff3"/>
    <w:rsid w:val="00CA16C7"/>
    <w:pPr>
      <w:spacing w:line="360" w:lineRule="auto"/>
      <w:ind w:firstLineChars="350" w:firstLine="480"/>
      <w:jc w:val="left"/>
    </w:pPr>
    <w:rPr>
      <w:rFonts w:cs="宋体"/>
      <w:b w:val="0"/>
      <w:bCs w:val="0"/>
      <w:szCs w:val="20"/>
    </w:rPr>
  </w:style>
  <w:style w:type="paragraph" w:customStyle="1" w:styleId="2f2">
    <w:name w:val="我的标题2"/>
    <w:basedOn w:val="2"/>
    <w:rsid w:val="00CA16C7"/>
    <w:pPr>
      <w:spacing w:afterLines="50"/>
    </w:pPr>
    <w:rPr>
      <w:rFonts w:ascii="Times New Roman" w:eastAsia="宋体" w:hAnsi="Times New Roman"/>
      <w:sz w:val="30"/>
      <w:szCs w:val="30"/>
    </w:rPr>
  </w:style>
  <w:style w:type="paragraph" w:customStyle="1" w:styleId="xl38">
    <w:name w:val="xl38"/>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0992">
    <w:name w:val="样式 小四 首行缩进:  0.99 厘米 行距: 2 倍行距"/>
    <w:basedOn w:val="a0"/>
    <w:rsid w:val="00CA16C7"/>
    <w:pPr>
      <w:spacing w:line="520" w:lineRule="exact"/>
      <w:ind w:firstLine="561"/>
    </w:pPr>
    <w:rPr>
      <w:rFonts w:cs="宋体"/>
      <w:sz w:val="24"/>
      <w:szCs w:val="20"/>
    </w:rPr>
  </w:style>
  <w:style w:type="paragraph" w:customStyle="1" w:styleId="xl27">
    <w:name w:val="xl27"/>
    <w:basedOn w:val="a0"/>
    <w:rsid w:val="00CA16C7"/>
    <w:pPr>
      <w:widowControl/>
      <w:pBdr>
        <w:top w:val="single" w:sz="4" w:space="1" w:color="auto"/>
      </w:pBdr>
      <w:spacing w:before="100" w:after="100"/>
      <w:jc w:val="center"/>
      <w:textAlignment w:val="center"/>
    </w:pPr>
    <w:rPr>
      <w:rFonts w:ascii="宋体" w:hAnsi="宋体"/>
      <w:kern w:val="0"/>
      <w:szCs w:val="28"/>
    </w:rPr>
  </w:style>
  <w:style w:type="paragraph" w:customStyle="1" w:styleId="153">
    <w:name w:val="样式 正文缩进 + 宋体 四号 蓝色 行距: 1.5 倍行距"/>
    <w:basedOn w:val="a2"/>
    <w:rsid w:val="00CA16C7"/>
    <w:pPr>
      <w:spacing w:line="360" w:lineRule="auto"/>
      <w:ind w:firstLine="200"/>
    </w:pPr>
    <w:rPr>
      <w:rFonts w:ascii="宋体" w:hAnsi="宋体" w:cs="宋体"/>
      <w:color w:val="FF0000"/>
      <w:szCs w:val="20"/>
    </w:rPr>
  </w:style>
  <w:style w:type="paragraph" w:customStyle="1" w:styleId="WPSPlain">
    <w:name w:val="WPS Plain"/>
    <w:rsid w:val="00CA16C7"/>
  </w:style>
  <w:style w:type="paragraph" w:customStyle="1" w:styleId="221">
    <w:name w:val="样式 样式 正文文本缩进 2 + 小四 黑色 + 左侧:  2 字符"/>
    <w:basedOn w:val="2f"/>
    <w:rsid w:val="00CA16C7"/>
    <w:pPr>
      <w:spacing w:after="0"/>
    </w:pPr>
    <w:rPr>
      <w:rFonts w:cs="宋体"/>
      <w:szCs w:val="20"/>
    </w:rPr>
  </w:style>
  <w:style w:type="paragraph" w:customStyle="1" w:styleId="xl59">
    <w:name w:val="xl59"/>
    <w:basedOn w:val="a0"/>
    <w:rsid w:val="00CA16C7"/>
    <w:pPr>
      <w:widowControl/>
      <w:pBdr>
        <w:top w:val="single" w:sz="4" w:space="0" w:color="auto"/>
        <w:left w:val="single" w:sz="8" w:space="0" w:color="auto"/>
        <w:bottom w:val="single" w:sz="4" w:space="0" w:color="auto"/>
      </w:pBdr>
      <w:spacing w:before="100" w:beforeAutospacing="1" w:after="100" w:afterAutospacing="1"/>
      <w:jc w:val="left"/>
    </w:pPr>
    <w:rPr>
      <w:rFonts w:ascii="宋体" w:hAnsi="宋体"/>
      <w:kern w:val="0"/>
      <w:sz w:val="24"/>
    </w:rPr>
  </w:style>
  <w:style w:type="paragraph" w:customStyle="1" w:styleId="Char110">
    <w:name w:val="Char11"/>
    <w:basedOn w:val="a0"/>
    <w:rsid w:val="00CA16C7"/>
    <w:rPr>
      <w:sz w:val="21"/>
    </w:rPr>
  </w:style>
  <w:style w:type="paragraph" w:customStyle="1" w:styleId="BodyText21">
    <w:name w:val="Body Text 21"/>
    <w:basedOn w:val="a0"/>
    <w:rsid w:val="00CA16C7"/>
    <w:pPr>
      <w:autoSpaceDE w:val="0"/>
      <w:autoSpaceDN w:val="0"/>
      <w:adjustRightInd w:val="0"/>
      <w:spacing w:line="500" w:lineRule="atLeast"/>
      <w:ind w:firstLine="480"/>
      <w:jc w:val="left"/>
      <w:textAlignment w:val="bottom"/>
    </w:pPr>
    <w:rPr>
      <w:szCs w:val="28"/>
    </w:rPr>
  </w:style>
  <w:style w:type="paragraph" w:customStyle="1" w:styleId="affffffff0">
    <w:name w:val="样式 样式 居中 +"/>
    <w:basedOn w:val="a0"/>
    <w:rsid w:val="00CA16C7"/>
    <w:pPr>
      <w:jc w:val="center"/>
    </w:pPr>
    <w:rPr>
      <w:rFonts w:cs="宋体"/>
      <w:kern w:val="0"/>
      <w:sz w:val="21"/>
      <w:szCs w:val="20"/>
    </w:rPr>
  </w:style>
  <w:style w:type="paragraph" w:customStyle="1" w:styleId="Char415">
    <w:name w:val="Char415"/>
    <w:basedOn w:val="a0"/>
    <w:rsid w:val="00CA16C7"/>
    <w:pPr>
      <w:spacing w:line="360" w:lineRule="auto"/>
      <w:ind w:firstLineChars="200" w:firstLine="200"/>
    </w:pPr>
    <w:rPr>
      <w:rFonts w:ascii="宋体" w:hAnsi="宋体" w:cs="宋体"/>
      <w:sz w:val="24"/>
    </w:rPr>
  </w:style>
  <w:style w:type="paragraph" w:customStyle="1" w:styleId="46">
    <w:name w:val="目录4"/>
    <w:basedOn w:val="a0"/>
    <w:rsid w:val="00CA16C7"/>
    <w:pPr>
      <w:widowControl/>
      <w:tabs>
        <w:tab w:val="left" w:leader="dot" w:pos="7370"/>
      </w:tabs>
      <w:spacing w:line="317" w:lineRule="atLeast"/>
      <w:ind w:firstLine="629"/>
      <w:textAlignment w:val="baseline"/>
    </w:pPr>
    <w:rPr>
      <w:color w:val="000000"/>
      <w:kern w:val="0"/>
      <w:sz w:val="21"/>
      <w:szCs w:val="20"/>
      <w:u w:color="000000"/>
    </w:rPr>
  </w:style>
  <w:style w:type="paragraph" w:customStyle="1" w:styleId="TableStyle12">
    <w:name w:val="TableStyle12"/>
    <w:basedOn w:val="a0"/>
    <w:qFormat/>
    <w:rsid w:val="00CA16C7"/>
    <w:pPr>
      <w:jc w:val="center"/>
    </w:pPr>
    <w:rPr>
      <w:rFonts w:ascii="Calibri" w:hAnsi="Calibri"/>
      <w:kern w:val="0"/>
      <w:sz w:val="24"/>
      <w:szCs w:val="22"/>
    </w:rPr>
  </w:style>
  <w:style w:type="paragraph" w:customStyle="1" w:styleId="affffffff1">
    <w:name w:val="样式 正文 +"/>
    <w:basedOn w:val="a0"/>
    <w:rsid w:val="00CA16C7"/>
    <w:pPr>
      <w:spacing w:line="480" w:lineRule="exact"/>
      <w:ind w:firstLineChars="200" w:firstLine="480"/>
    </w:pPr>
    <w:rPr>
      <w:rFonts w:cs="宋体"/>
      <w:bCs/>
      <w:kern w:val="0"/>
      <w:sz w:val="24"/>
    </w:rPr>
  </w:style>
  <w:style w:type="paragraph" w:customStyle="1" w:styleId="CharCharCharCharCharCharCharCharCharC1">
    <w:name w:val="样式 纯文本孙普文字 Char Char CharCharChar Char纯文本 Char Char Char C...1"/>
    <w:basedOn w:val="ae"/>
    <w:rsid w:val="00CA16C7"/>
    <w:pPr>
      <w:spacing w:line="520" w:lineRule="exact"/>
    </w:pPr>
    <w:rPr>
      <w:rFonts w:ascii="Times New Roman" w:hAnsi="Times New Roman" w:cs="宋体"/>
      <w:color w:val="000000"/>
      <w:sz w:val="24"/>
    </w:rPr>
  </w:style>
  <w:style w:type="paragraph" w:customStyle="1" w:styleId="affffffff2">
    <w:name w:val="陈光的正文"/>
    <w:basedOn w:val="a0"/>
    <w:rsid w:val="00CA16C7"/>
    <w:pPr>
      <w:adjustRightInd w:val="0"/>
      <w:snapToGrid w:val="0"/>
      <w:spacing w:beforeLines="10" w:afterLines="10" w:line="360" w:lineRule="auto"/>
      <w:ind w:firstLineChars="200" w:firstLine="560"/>
    </w:pPr>
    <w:rPr>
      <w:szCs w:val="20"/>
    </w:rPr>
  </w:style>
  <w:style w:type="paragraph" w:customStyle="1" w:styleId="3CharCharCharCharChar">
    <w:name w:val="样式3 Char Char Char Char Char"/>
    <w:basedOn w:val="a0"/>
    <w:rsid w:val="00CA16C7"/>
    <w:pPr>
      <w:spacing w:line="540" w:lineRule="exact"/>
      <w:ind w:firstLine="200"/>
      <w:jc w:val="center"/>
      <w:outlineLvl w:val="0"/>
    </w:pPr>
    <w:rPr>
      <w:rFonts w:eastAsia="黑体"/>
      <w:b/>
      <w:bCs/>
      <w:sz w:val="32"/>
      <w:szCs w:val="32"/>
    </w:rPr>
  </w:style>
  <w:style w:type="paragraph" w:customStyle="1" w:styleId="CharCharChar1CharCharCharCharCharCharChar">
    <w:name w:val="Char Char Char1 Char Char Char Char Char Char Char"/>
    <w:basedOn w:val="a0"/>
    <w:next w:val="a0"/>
    <w:rsid w:val="00CA16C7"/>
    <w:pPr>
      <w:adjustRightInd w:val="0"/>
      <w:snapToGrid w:val="0"/>
      <w:spacing w:line="360" w:lineRule="auto"/>
      <w:ind w:firstLineChars="200" w:firstLine="200"/>
    </w:pPr>
    <w:rPr>
      <w:rFonts w:ascii="宋体" w:hAnsi="宋体" w:cs="宋体"/>
      <w:sz w:val="24"/>
    </w:rPr>
  </w:style>
  <w:style w:type="paragraph" w:customStyle="1" w:styleId="xl35">
    <w:name w:val="xl35"/>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101150">
    <w:name w:val="样式 小四 黑色 左 首行缩进:  1.01 厘米 行距: 1.5 倍行距"/>
    <w:basedOn w:val="a0"/>
    <w:rsid w:val="00CA16C7"/>
    <w:pPr>
      <w:spacing w:line="520" w:lineRule="exact"/>
      <w:ind w:firstLine="573"/>
      <w:jc w:val="left"/>
    </w:pPr>
    <w:rPr>
      <w:rFonts w:cs="宋体"/>
      <w:color w:val="000000"/>
      <w:sz w:val="24"/>
      <w:szCs w:val="20"/>
    </w:rPr>
  </w:style>
  <w:style w:type="paragraph" w:customStyle="1" w:styleId="013">
    <w:name w:val="表格标题01"/>
    <w:basedOn w:val="a0"/>
    <w:rsid w:val="00CA16C7"/>
    <w:pPr>
      <w:adjustRightInd w:val="0"/>
      <w:snapToGrid w:val="0"/>
      <w:spacing w:before="120" w:after="120" w:line="480" w:lineRule="exact"/>
      <w:jc w:val="center"/>
      <w:textAlignment w:val="baseline"/>
    </w:pPr>
    <w:rPr>
      <w:snapToGrid w:val="0"/>
      <w:spacing w:val="-2"/>
      <w:kern w:val="0"/>
      <w:szCs w:val="28"/>
    </w:rPr>
  </w:style>
  <w:style w:type="paragraph" w:customStyle="1" w:styleId="421">
    <w:name w:val="样式 4 + 首行缩进:  2 字符1"/>
    <w:basedOn w:val="a0"/>
    <w:rsid w:val="00CA16C7"/>
    <w:pPr>
      <w:spacing w:line="500" w:lineRule="exact"/>
    </w:pPr>
    <w:rPr>
      <w:rFonts w:ascii="宋体" w:hAnsi="宋体" w:cs="宋体"/>
      <w:color w:val="000000"/>
      <w:sz w:val="24"/>
    </w:rPr>
  </w:style>
  <w:style w:type="paragraph" w:customStyle="1" w:styleId="affffffff3">
    <w:name w:val="文章总标题"/>
    <w:basedOn w:val="a0"/>
    <w:rsid w:val="00CA16C7"/>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Style7">
    <w:name w:val="Style7"/>
    <w:basedOn w:val="a0"/>
    <w:rsid w:val="00CA16C7"/>
    <w:pPr>
      <w:adjustRightInd w:val="0"/>
      <w:spacing w:line="264" w:lineRule="exact"/>
      <w:ind w:firstLine="475"/>
    </w:pPr>
    <w:rPr>
      <w:rFonts w:ascii="黑体" w:eastAsia="黑体"/>
      <w:kern w:val="0"/>
      <w:sz w:val="24"/>
    </w:rPr>
  </w:style>
  <w:style w:type="paragraph" w:customStyle="1" w:styleId="2f3">
    <w:name w:val="2"/>
    <w:basedOn w:val="a0"/>
    <w:next w:val="ae"/>
    <w:rsid w:val="00CA16C7"/>
    <w:rPr>
      <w:rFonts w:ascii="宋体" w:hAnsi="Courier New" w:cs="Courier New"/>
      <w:sz w:val="21"/>
      <w:szCs w:val="21"/>
    </w:rPr>
  </w:style>
  <w:style w:type="paragraph" w:customStyle="1" w:styleId="Style15">
    <w:name w:val="Style15"/>
    <w:basedOn w:val="a0"/>
    <w:rsid w:val="00CA16C7"/>
    <w:pPr>
      <w:adjustRightInd w:val="0"/>
      <w:jc w:val="left"/>
    </w:pPr>
    <w:rPr>
      <w:rFonts w:ascii="宋体"/>
      <w:kern w:val="0"/>
      <w:sz w:val="24"/>
    </w:rPr>
  </w:style>
  <w:style w:type="paragraph" w:customStyle="1" w:styleId="xl64">
    <w:name w:val="xl64"/>
    <w:basedOn w:val="a0"/>
    <w:rsid w:val="00CA16C7"/>
    <w:pPr>
      <w:widowControl/>
      <w:pBdr>
        <w:top w:val="single" w:sz="4" w:space="0" w:color="auto"/>
        <w:left w:val="single" w:sz="8" w:space="0" w:color="auto"/>
        <w:bottom w:val="single" w:sz="4" w:space="0" w:color="auto"/>
      </w:pBdr>
      <w:spacing w:before="100" w:beforeAutospacing="1" w:after="100" w:afterAutospacing="1"/>
      <w:jc w:val="center"/>
    </w:pPr>
    <w:rPr>
      <w:rFonts w:ascii="宋体" w:hAnsi="宋体"/>
      <w:kern w:val="0"/>
      <w:sz w:val="20"/>
      <w:szCs w:val="20"/>
    </w:rPr>
  </w:style>
  <w:style w:type="paragraph" w:customStyle="1" w:styleId="xl57">
    <w:name w:val="xl57"/>
    <w:basedOn w:val="a0"/>
    <w:rsid w:val="00CA16C7"/>
    <w:pPr>
      <w:widowControl/>
      <w:pBdr>
        <w:top w:val="single" w:sz="8" w:space="0" w:color="auto"/>
        <w:left w:val="single" w:sz="8" w:space="0" w:color="auto"/>
        <w:bottom w:val="single" w:sz="4" w:space="0" w:color="auto"/>
      </w:pBdr>
      <w:spacing w:before="100" w:beforeAutospacing="1" w:after="100" w:afterAutospacing="1"/>
      <w:jc w:val="left"/>
    </w:pPr>
    <w:rPr>
      <w:rFonts w:ascii="宋体" w:hAnsi="宋体"/>
      <w:kern w:val="0"/>
      <w:sz w:val="24"/>
    </w:rPr>
  </w:style>
  <w:style w:type="paragraph" w:customStyle="1" w:styleId="0860115">
    <w:name w:val="样式 (符号) 宋体 小四 黑色 左 左侧:  0.86 厘米 加宽量  0.1 磅 行距: 1.5 倍行距"/>
    <w:basedOn w:val="a0"/>
    <w:rsid w:val="00CA16C7"/>
    <w:pPr>
      <w:spacing w:line="520" w:lineRule="exact"/>
      <w:ind w:left="488"/>
      <w:jc w:val="left"/>
    </w:pPr>
    <w:rPr>
      <w:rFonts w:hAnsi="宋体" w:cs="宋体"/>
      <w:color w:val="000000"/>
      <w:spacing w:val="2"/>
      <w:sz w:val="24"/>
      <w:szCs w:val="20"/>
    </w:rPr>
  </w:style>
  <w:style w:type="paragraph" w:customStyle="1" w:styleId="0870115">
    <w:name w:val="样式 小四 黑色 首行缩进:  0.87 厘米 加宽量  0.1 磅 行距: 1.5 倍行距"/>
    <w:basedOn w:val="a0"/>
    <w:rsid w:val="00CA16C7"/>
    <w:pPr>
      <w:spacing w:line="520" w:lineRule="exact"/>
      <w:ind w:leftChars="200" w:left="200"/>
    </w:pPr>
    <w:rPr>
      <w:rFonts w:cs="宋体"/>
      <w:color w:val="000000"/>
      <w:spacing w:val="2"/>
      <w:sz w:val="24"/>
      <w:szCs w:val="20"/>
    </w:rPr>
  </w:style>
  <w:style w:type="paragraph" w:customStyle="1" w:styleId="3c">
    <w:name w:val="目录3"/>
    <w:basedOn w:val="a0"/>
    <w:rsid w:val="00CA16C7"/>
    <w:pPr>
      <w:widowControl/>
      <w:tabs>
        <w:tab w:val="left" w:leader="dot" w:pos="7370"/>
      </w:tabs>
      <w:spacing w:line="317" w:lineRule="atLeast"/>
      <w:ind w:firstLine="419"/>
      <w:textAlignment w:val="baseline"/>
    </w:pPr>
    <w:rPr>
      <w:color w:val="000000"/>
      <w:kern w:val="0"/>
      <w:sz w:val="21"/>
      <w:szCs w:val="20"/>
      <w:u w:color="000000"/>
    </w:rPr>
  </w:style>
  <w:style w:type="paragraph" w:customStyle="1" w:styleId="014">
    <w:name w:val="样式 (中文) 黑体 小四 加宽量  0.1 磅"/>
    <w:basedOn w:val="a0"/>
    <w:rsid w:val="00CA16C7"/>
    <w:pPr>
      <w:tabs>
        <w:tab w:val="left" w:pos="3468"/>
      </w:tabs>
      <w:spacing w:line="520" w:lineRule="exact"/>
      <w:ind w:firstLineChars="100" w:firstLine="100"/>
    </w:pPr>
    <w:rPr>
      <w:rFonts w:eastAsia="黑体"/>
      <w:spacing w:val="2"/>
      <w:sz w:val="24"/>
    </w:rPr>
  </w:style>
  <w:style w:type="paragraph" w:customStyle="1" w:styleId="154">
    <w:name w:val="样式 (中文) 黑体 小四 黑色 行距: 1.5 倍行距"/>
    <w:basedOn w:val="a0"/>
    <w:rsid w:val="00CA16C7"/>
    <w:pPr>
      <w:spacing w:line="520" w:lineRule="exact"/>
    </w:pPr>
    <w:rPr>
      <w:rFonts w:eastAsia="黑体" w:cs="宋体"/>
      <w:color w:val="000000"/>
      <w:sz w:val="24"/>
      <w:szCs w:val="20"/>
    </w:rPr>
  </w:style>
  <w:style w:type="paragraph" w:customStyle="1" w:styleId="font6">
    <w:name w:val="font6"/>
    <w:basedOn w:val="a0"/>
    <w:rsid w:val="00CA16C7"/>
    <w:pPr>
      <w:widowControl/>
      <w:spacing w:before="100" w:beforeAutospacing="1" w:after="100" w:afterAutospacing="1"/>
      <w:jc w:val="left"/>
    </w:pPr>
    <w:rPr>
      <w:rFonts w:ascii="宋体" w:hAnsi="宋体" w:hint="eastAsia"/>
      <w:kern w:val="0"/>
      <w:sz w:val="18"/>
      <w:szCs w:val="18"/>
    </w:rPr>
  </w:style>
  <w:style w:type="paragraph" w:customStyle="1" w:styleId="xl84">
    <w:name w:val="xl84"/>
    <w:basedOn w:val="a0"/>
    <w:rsid w:val="00CA16C7"/>
    <w:pPr>
      <w:widowControl/>
      <w:pBdr>
        <w:top w:val="single" w:sz="8"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77">
    <w:name w:val="xl77"/>
    <w:basedOn w:val="a0"/>
    <w:rsid w:val="00CA16C7"/>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1f9">
    <w:name w:val="样式 标题 1 + 两端对齐 段前: 自动"/>
    <w:basedOn w:val="1"/>
    <w:rsid w:val="00CA16C7"/>
    <w:pPr>
      <w:keepLines w:val="0"/>
      <w:widowControl/>
      <w:spacing w:beforeLines="100" w:afterLines="100" w:line="240" w:lineRule="auto"/>
      <w:ind w:firstLineChars="200" w:firstLine="480"/>
      <w:jc w:val="center"/>
    </w:pPr>
    <w:rPr>
      <w:rFonts w:ascii="宋体" w:eastAsia="黑体" w:hAnsi="宋体"/>
      <w:b w:val="0"/>
      <w:bCs w:val="0"/>
      <w:kern w:val="2"/>
      <w:sz w:val="32"/>
      <w:szCs w:val="20"/>
    </w:rPr>
  </w:style>
  <w:style w:type="paragraph" w:customStyle="1" w:styleId="affffffff4">
    <w:name w:val="表名"/>
    <w:basedOn w:val="4"/>
    <w:rsid w:val="00CA16C7"/>
    <w:pPr>
      <w:keepNext w:val="0"/>
      <w:keepLines w:val="0"/>
      <w:adjustRightInd w:val="0"/>
      <w:snapToGrid w:val="0"/>
      <w:spacing w:before="0" w:after="0" w:line="240" w:lineRule="auto"/>
      <w:jc w:val="center"/>
      <w:outlineLvl w:val="9"/>
    </w:pPr>
    <w:rPr>
      <w:rFonts w:ascii="Times New Roman" w:eastAsia="宋体" w:hAnsi="Times New Roman"/>
      <w:b w:val="0"/>
      <w:bCs w:val="0"/>
      <w:sz w:val="21"/>
      <w:szCs w:val="21"/>
    </w:rPr>
  </w:style>
  <w:style w:type="paragraph" w:customStyle="1" w:styleId="CharChar1CharChar1CharChar">
    <w:name w:val="Char Char1 Char Char1 Char Char"/>
    <w:basedOn w:val="6"/>
    <w:rsid w:val="00CA16C7"/>
    <w:pPr>
      <w:tabs>
        <w:tab w:val="left" w:pos="1440"/>
      </w:tabs>
    </w:pPr>
    <w:rPr>
      <w:rFonts w:eastAsia="宋体"/>
    </w:rPr>
  </w:style>
  <w:style w:type="paragraph" w:customStyle="1" w:styleId="235">
    <w:name w:val="样式 行距: 2 倍行距 首行缩进:  3.5 字符"/>
    <w:basedOn w:val="a0"/>
    <w:rsid w:val="00CA16C7"/>
    <w:pPr>
      <w:spacing w:line="520" w:lineRule="exact"/>
      <w:ind w:firstLineChars="350" w:firstLine="350"/>
    </w:pPr>
    <w:rPr>
      <w:rFonts w:cs="宋体"/>
      <w:sz w:val="21"/>
      <w:szCs w:val="20"/>
    </w:rPr>
  </w:style>
  <w:style w:type="paragraph" w:customStyle="1" w:styleId="xl37">
    <w:name w:val="xl37"/>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biaoge">
    <w:name w:val="!biaoge"/>
    <w:basedOn w:val="a0"/>
    <w:next w:val="a0"/>
    <w:qFormat/>
    <w:rsid w:val="00CA16C7"/>
    <w:pPr>
      <w:widowControl/>
      <w:adjustRightInd w:val="0"/>
      <w:snapToGrid w:val="0"/>
      <w:jc w:val="center"/>
    </w:pPr>
    <w:rPr>
      <w:color w:val="000000"/>
      <w:kern w:val="0"/>
      <w:sz w:val="21"/>
    </w:rPr>
  </w:style>
  <w:style w:type="paragraph" w:customStyle="1" w:styleId="xl50">
    <w:name w:val="xl50"/>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Style6">
    <w:name w:val="Style6"/>
    <w:basedOn w:val="a0"/>
    <w:rsid w:val="00CA16C7"/>
    <w:pPr>
      <w:adjustRightInd w:val="0"/>
      <w:jc w:val="left"/>
    </w:pPr>
    <w:rPr>
      <w:rFonts w:ascii="宋体"/>
      <w:kern w:val="0"/>
      <w:sz w:val="24"/>
    </w:rPr>
  </w:style>
  <w:style w:type="paragraph" w:customStyle="1" w:styleId="3MB3h33rdlevelH3Head3level3PIM3Level3Head1">
    <w:name w:val="样式 标题 3头MB3h33rd levelH3Head 3level_3PIM 3Level 3 Head...1"/>
    <w:basedOn w:val="30"/>
    <w:rsid w:val="00CA16C7"/>
    <w:pPr>
      <w:spacing w:before="120" w:after="0" w:line="520" w:lineRule="exact"/>
    </w:pPr>
    <w:rPr>
      <w:rFonts w:ascii="华文楷体" w:eastAsia="华文楷体" w:hAnsi="华文楷体"/>
      <w:kern w:val="28"/>
      <w:sz w:val="28"/>
    </w:rPr>
  </w:style>
  <w:style w:type="paragraph" w:customStyle="1" w:styleId="226">
    <w:name w:val="样式 小四 居中 首行缩进:  2 字符 行距: 固定值 26 磅"/>
    <w:basedOn w:val="a0"/>
    <w:rsid w:val="00CA16C7"/>
    <w:pPr>
      <w:adjustRightInd w:val="0"/>
      <w:snapToGrid w:val="0"/>
      <w:spacing w:line="520" w:lineRule="exact"/>
      <w:jc w:val="center"/>
    </w:pPr>
    <w:rPr>
      <w:rFonts w:ascii="宋体" w:hAnsi="宋体" w:cs="宋体"/>
      <w:kern w:val="0"/>
      <w:sz w:val="24"/>
      <w:szCs w:val="20"/>
    </w:rPr>
  </w:style>
  <w:style w:type="paragraph" w:customStyle="1" w:styleId="Char43">
    <w:name w:val="Char43"/>
    <w:basedOn w:val="a0"/>
    <w:rsid w:val="00CA16C7"/>
    <w:pPr>
      <w:spacing w:line="360" w:lineRule="auto"/>
      <w:ind w:firstLineChars="200" w:firstLine="200"/>
    </w:pPr>
    <w:rPr>
      <w:rFonts w:ascii="宋体" w:hAnsi="宋体" w:cs="宋体"/>
      <w:sz w:val="24"/>
    </w:rPr>
  </w:style>
  <w:style w:type="paragraph" w:customStyle="1" w:styleId="s">
    <w:name w:val="s"/>
    <w:basedOn w:val="a0"/>
    <w:rsid w:val="00CA16C7"/>
    <w:pPr>
      <w:adjustRightInd w:val="0"/>
      <w:snapToGrid w:val="0"/>
      <w:spacing w:line="540" w:lineRule="exact"/>
      <w:ind w:firstLineChars="200" w:firstLine="597"/>
    </w:pPr>
    <w:rPr>
      <w:rFonts w:cs="宋体"/>
      <w:szCs w:val="20"/>
    </w:rPr>
  </w:style>
  <w:style w:type="paragraph" w:customStyle="1" w:styleId="15150">
    <w:name w:val="样式 小四 行距: 1.5 倍行距 首行缩进:  1.5 字符"/>
    <w:basedOn w:val="a0"/>
    <w:rsid w:val="00CA16C7"/>
    <w:pPr>
      <w:spacing w:line="520" w:lineRule="exact"/>
      <w:ind w:firstLineChars="150" w:firstLine="150"/>
    </w:pPr>
    <w:rPr>
      <w:rFonts w:cs="宋体"/>
      <w:sz w:val="24"/>
      <w:szCs w:val="20"/>
    </w:rPr>
  </w:style>
  <w:style w:type="paragraph" w:customStyle="1" w:styleId="05051">
    <w:name w:val="样式 宋体 五号 段前: 0.5 行 段后: 0.5 行1"/>
    <w:basedOn w:val="a0"/>
    <w:rsid w:val="00CA16C7"/>
    <w:pPr>
      <w:adjustRightInd w:val="0"/>
      <w:snapToGrid w:val="0"/>
      <w:spacing w:line="240" w:lineRule="atLeast"/>
    </w:pPr>
    <w:rPr>
      <w:rFonts w:ascii="宋体" w:hAnsi="宋体" w:cs="宋体"/>
      <w:sz w:val="21"/>
      <w:szCs w:val="20"/>
    </w:rPr>
  </w:style>
  <w:style w:type="paragraph" w:customStyle="1" w:styleId="xl83">
    <w:name w:val="xl83"/>
    <w:basedOn w:val="a0"/>
    <w:rsid w:val="00CA16C7"/>
    <w:pPr>
      <w:widowControl/>
      <w:pBdr>
        <w:top w:val="single" w:sz="8" w:space="0" w:color="auto"/>
        <w:bottom w:val="single" w:sz="4" w:space="0" w:color="auto"/>
      </w:pBdr>
      <w:spacing w:before="100" w:beforeAutospacing="1" w:after="100" w:afterAutospacing="1"/>
      <w:jc w:val="center"/>
    </w:pPr>
    <w:rPr>
      <w:rFonts w:ascii="宋体" w:hAnsi="宋体"/>
      <w:kern w:val="0"/>
      <w:sz w:val="24"/>
    </w:rPr>
  </w:style>
  <w:style w:type="paragraph" w:customStyle="1" w:styleId="affffffff5">
    <w:name w:val="节标题"/>
    <w:basedOn w:val="a0"/>
    <w:next w:val="a0"/>
    <w:rsid w:val="00CA16C7"/>
    <w:pPr>
      <w:widowControl/>
      <w:spacing w:before="107" w:after="79" w:line="368" w:lineRule="atLeast"/>
      <w:ind w:firstLine="419"/>
      <w:jc w:val="left"/>
      <w:textAlignment w:val="baseline"/>
    </w:pPr>
    <w:rPr>
      <w:color w:val="000000"/>
      <w:kern w:val="0"/>
      <w:szCs w:val="20"/>
      <w:u w:color="000000"/>
    </w:rPr>
  </w:style>
  <w:style w:type="paragraph" w:customStyle="1" w:styleId="affffffff6">
    <w:name w:val="图、表头文字"/>
    <w:basedOn w:val="a0"/>
    <w:rsid w:val="00CA16C7"/>
    <w:pPr>
      <w:autoSpaceDE w:val="0"/>
      <w:autoSpaceDN w:val="0"/>
      <w:adjustRightInd w:val="0"/>
      <w:snapToGrid w:val="0"/>
      <w:spacing w:before="80" w:after="80" w:line="540" w:lineRule="atLeast"/>
      <w:jc w:val="center"/>
      <w:textAlignment w:val="baseline"/>
    </w:pPr>
    <w:rPr>
      <w:rFonts w:ascii="黑体" w:eastAsia="黑体"/>
      <w:kern w:val="0"/>
      <w:sz w:val="21"/>
      <w:szCs w:val="20"/>
    </w:rPr>
  </w:style>
  <w:style w:type="paragraph" w:customStyle="1" w:styleId="xl25">
    <w:name w:val="xl25"/>
    <w:basedOn w:val="a0"/>
    <w:rsid w:val="00CA16C7"/>
    <w:pPr>
      <w:widowControl/>
      <w:pBdr>
        <w:top w:val="single" w:sz="4" w:space="0" w:color="auto"/>
        <w:left w:val="single" w:sz="4" w:space="0" w:color="auto"/>
        <w:bottom w:val="single" w:sz="4" w:space="0" w:color="auto"/>
        <w:right w:val="single" w:sz="4" w:space="0" w:color="auto"/>
      </w:pBdr>
      <w:spacing w:before="100" w:after="100"/>
      <w:jc w:val="left"/>
    </w:pPr>
    <w:rPr>
      <w:rFonts w:ascii="宋体" w:hAnsi="宋体"/>
      <w:kern w:val="0"/>
      <w:szCs w:val="20"/>
    </w:rPr>
  </w:style>
  <w:style w:type="paragraph" w:customStyle="1" w:styleId="1523">
    <w:name w:val="样式 小四 黑色 行距: 1.5 倍行距 首行缩进:  2 字符"/>
    <w:basedOn w:val="a0"/>
    <w:rsid w:val="00CA16C7"/>
    <w:pPr>
      <w:spacing w:line="520" w:lineRule="exact"/>
      <w:ind w:firstLineChars="200" w:firstLine="200"/>
    </w:pPr>
    <w:rPr>
      <w:rFonts w:cs="宋体"/>
      <w:color w:val="000000"/>
      <w:sz w:val="24"/>
      <w:szCs w:val="20"/>
    </w:rPr>
  </w:style>
  <w:style w:type="paragraph" w:customStyle="1" w:styleId="reader-word-layerreader-word-s1-6">
    <w:name w:val="reader-word-layer reader-word-s1-6"/>
    <w:basedOn w:val="a0"/>
    <w:rsid w:val="00CA16C7"/>
    <w:pPr>
      <w:widowControl/>
      <w:spacing w:before="100" w:beforeAutospacing="1" w:after="100" w:afterAutospacing="1"/>
      <w:jc w:val="left"/>
    </w:pPr>
    <w:rPr>
      <w:rFonts w:ascii="宋体" w:hAnsi="宋体" w:cs="宋体"/>
      <w:kern w:val="0"/>
      <w:sz w:val="24"/>
    </w:rPr>
  </w:style>
  <w:style w:type="paragraph" w:customStyle="1" w:styleId="181">
    <w:name w:val="样式 五号 居中 行距: 固定值 18 磅1"/>
    <w:basedOn w:val="a0"/>
    <w:rsid w:val="00CA16C7"/>
    <w:pPr>
      <w:jc w:val="center"/>
    </w:pPr>
    <w:rPr>
      <w:rFonts w:cs="宋体"/>
      <w:kern w:val="0"/>
      <w:sz w:val="21"/>
      <w:szCs w:val="20"/>
    </w:rPr>
  </w:style>
  <w:style w:type="paragraph" w:customStyle="1" w:styleId="font5">
    <w:name w:val="font5"/>
    <w:basedOn w:val="a0"/>
    <w:rsid w:val="00CA16C7"/>
    <w:pPr>
      <w:widowControl/>
      <w:spacing w:before="100" w:beforeAutospacing="1" w:after="100" w:afterAutospacing="1"/>
      <w:jc w:val="left"/>
    </w:pPr>
    <w:rPr>
      <w:kern w:val="0"/>
      <w:sz w:val="24"/>
    </w:rPr>
  </w:style>
  <w:style w:type="paragraph" w:customStyle="1" w:styleId="CharCharCharCharCharCharCharCharCharCharCharCharChar1CharCharCharCharCharCharCharCharCharCharCharCharCharCharCharCharCharChar">
    <w:name w:val="Char Char Char Char Char Char Char Char Char Char Char Char Char1 Char Char Char Char Char Char Char Char Char Char Char Char Char Char Char Char Char Char"/>
    <w:basedOn w:val="a0"/>
    <w:rsid w:val="00CA16C7"/>
    <w:pPr>
      <w:spacing w:line="360" w:lineRule="auto"/>
      <w:ind w:firstLineChars="200" w:firstLine="200"/>
    </w:pPr>
    <w:rPr>
      <w:sz w:val="24"/>
      <w:szCs w:val="20"/>
    </w:rPr>
  </w:style>
  <w:style w:type="paragraph" w:customStyle="1" w:styleId="182">
    <w:name w:val="样式 黑色 居中 行距: 固定值 18 磅"/>
    <w:basedOn w:val="a0"/>
    <w:rsid w:val="00CA16C7"/>
    <w:pPr>
      <w:jc w:val="center"/>
    </w:pPr>
    <w:rPr>
      <w:rFonts w:cs="宋体"/>
      <w:color w:val="000000"/>
      <w:kern w:val="0"/>
      <w:sz w:val="21"/>
      <w:szCs w:val="20"/>
    </w:rPr>
  </w:style>
  <w:style w:type="paragraph" w:customStyle="1" w:styleId="121">
    <w:name w:val="样式12"/>
    <w:basedOn w:val="3MB3h33rdlevelH3Head3level3PIM3Level3Head1"/>
    <w:next w:val="a2"/>
    <w:qFormat/>
    <w:rsid w:val="00CA16C7"/>
  </w:style>
  <w:style w:type="paragraph" w:customStyle="1" w:styleId="202">
    <w:name w:val="样式 五号 居中 行距: 固定值 20 磅"/>
    <w:basedOn w:val="a0"/>
    <w:rsid w:val="00CA16C7"/>
    <w:pPr>
      <w:jc w:val="center"/>
    </w:pPr>
    <w:rPr>
      <w:rFonts w:cs="宋体"/>
      <w:kern w:val="0"/>
      <w:sz w:val="21"/>
      <w:szCs w:val="20"/>
    </w:rPr>
  </w:style>
  <w:style w:type="paragraph" w:customStyle="1" w:styleId="affffffff7">
    <w:name w:val="表、图名"/>
    <w:basedOn w:val="a0"/>
    <w:rsid w:val="00CA16C7"/>
    <w:pPr>
      <w:adjustRightInd w:val="0"/>
      <w:snapToGrid w:val="0"/>
      <w:spacing w:line="360" w:lineRule="auto"/>
      <w:ind w:left="-6"/>
      <w:jc w:val="center"/>
    </w:pPr>
    <w:rPr>
      <w:rFonts w:ascii="黑体" w:eastAsia="黑体"/>
      <w:kern w:val="0"/>
      <w:sz w:val="24"/>
    </w:rPr>
  </w:style>
  <w:style w:type="paragraph" w:customStyle="1" w:styleId="012622">
    <w:name w:val="样式 样式 小四 红色 加宽量  0.1 磅 行距: 固定值 26 磅 首行缩进:  2 字符 + 首行缩进:  2 字符"/>
    <w:basedOn w:val="01262"/>
    <w:rsid w:val="00CA16C7"/>
    <w:pPr>
      <w:spacing w:line="520" w:lineRule="exact"/>
    </w:pPr>
  </w:style>
  <w:style w:type="paragraph" w:customStyle="1" w:styleId="155">
    <w:name w:val="样式 行距: 1.5 倍行距"/>
    <w:basedOn w:val="a0"/>
    <w:qFormat/>
    <w:rsid w:val="00CA16C7"/>
    <w:pPr>
      <w:spacing w:line="360" w:lineRule="auto"/>
      <w:ind w:firstLineChars="200" w:firstLine="480"/>
    </w:pPr>
    <w:rPr>
      <w:sz w:val="24"/>
      <w:szCs w:val="20"/>
    </w:rPr>
  </w:style>
  <w:style w:type="paragraph" w:customStyle="1" w:styleId="titleoftable">
    <w:name w:val="title of table"/>
    <w:basedOn w:val="a0"/>
    <w:rsid w:val="00CA16C7"/>
    <w:pPr>
      <w:adjustRightInd w:val="0"/>
      <w:snapToGrid w:val="0"/>
      <w:spacing w:line="360" w:lineRule="auto"/>
      <w:jc w:val="center"/>
    </w:pPr>
    <w:rPr>
      <w:rFonts w:ascii="宋体" w:hAnsi="宋体"/>
      <w:b/>
      <w:bCs/>
      <w:color w:val="000000"/>
      <w:sz w:val="24"/>
      <w:szCs w:val="28"/>
    </w:rPr>
  </w:style>
  <w:style w:type="paragraph" w:customStyle="1" w:styleId="15220">
    <w:name w:val="样式 样式 小四 黑色 行距: 1.5 倍行距 首行缩进:  2 字符 + 首行缩进:  2 字符"/>
    <w:basedOn w:val="1523"/>
    <w:next w:val="012620"/>
    <w:rsid w:val="00CA16C7"/>
  </w:style>
  <w:style w:type="paragraph" w:customStyle="1" w:styleId="CharCharCharChar1">
    <w:name w:val="Char Char Char Char1"/>
    <w:basedOn w:val="a0"/>
    <w:rsid w:val="00CA16C7"/>
    <w:rPr>
      <w:sz w:val="21"/>
    </w:rPr>
  </w:style>
  <w:style w:type="paragraph" w:customStyle="1" w:styleId="reader-word-layerreader-word-s1-11">
    <w:name w:val="reader-word-layer reader-word-s1-11"/>
    <w:basedOn w:val="a0"/>
    <w:rsid w:val="00CA16C7"/>
    <w:pPr>
      <w:widowControl/>
      <w:spacing w:before="100" w:beforeAutospacing="1" w:after="100" w:afterAutospacing="1"/>
      <w:jc w:val="left"/>
    </w:pPr>
    <w:rPr>
      <w:rFonts w:ascii="宋体" w:hAnsi="宋体" w:cs="宋体"/>
      <w:kern w:val="0"/>
      <w:sz w:val="24"/>
    </w:rPr>
  </w:style>
  <w:style w:type="paragraph" w:customStyle="1" w:styleId="1fa">
    <w:name w:val="1"/>
    <w:basedOn w:val="a0"/>
    <w:next w:val="ae"/>
    <w:rsid w:val="00CA16C7"/>
    <w:pPr>
      <w:spacing w:line="500" w:lineRule="exact"/>
    </w:pPr>
    <w:rPr>
      <w:rFonts w:ascii="宋体" w:hAnsi="Courier New"/>
      <w:szCs w:val="20"/>
    </w:rPr>
  </w:style>
  <w:style w:type="paragraph" w:customStyle="1" w:styleId="xl63">
    <w:name w:val="xl63"/>
    <w:basedOn w:val="a0"/>
    <w:rsid w:val="00CA16C7"/>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4"/>
    </w:rPr>
  </w:style>
  <w:style w:type="paragraph" w:customStyle="1" w:styleId="1fb">
    <w:name w:val="样式 五号1"/>
    <w:basedOn w:val="a0"/>
    <w:rsid w:val="00CA16C7"/>
    <w:pPr>
      <w:ind w:rightChars="-50" w:right="-50"/>
      <w:jc w:val="center"/>
    </w:pPr>
    <w:rPr>
      <w:rFonts w:ascii="宋体" w:hAnsi="宋体"/>
      <w:color w:val="000000"/>
      <w:kern w:val="0"/>
      <w:sz w:val="21"/>
      <w:szCs w:val="21"/>
    </w:rPr>
  </w:style>
  <w:style w:type="paragraph" w:customStyle="1" w:styleId="affffffff8">
    <w:name w:val="振兴"/>
    <w:basedOn w:val="a0"/>
    <w:rsid w:val="00CA16C7"/>
    <w:pPr>
      <w:spacing w:line="540" w:lineRule="exact"/>
      <w:ind w:firstLineChars="200" w:firstLine="560"/>
    </w:pPr>
    <w:rPr>
      <w:rFonts w:ascii="宋体" w:hAnsi="宋体"/>
      <w:bCs/>
      <w:kern w:val="0"/>
      <w:szCs w:val="28"/>
    </w:rPr>
  </w:style>
  <w:style w:type="paragraph" w:customStyle="1" w:styleId="3d">
    <w:name w:val="样式 小四 黑色3"/>
    <w:basedOn w:val="a0"/>
    <w:rsid w:val="00CA16C7"/>
    <w:pPr>
      <w:spacing w:line="520" w:lineRule="exact"/>
      <w:ind w:firstLineChars="200" w:firstLine="200"/>
    </w:pPr>
    <w:rPr>
      <w:color w:val="000000"/>
      <w:sz w:val="24"/>
      <w:szCs w:val="20"/>
    </w:rPr>
  </w:style>
  <w:style w:type="paragraph" w:customStyle="1" w:styleId="22CharChar1122Char12CharCha">
    <w:name w:val="样式 标题 2节标题节占位标题 2 Char Char1.1标题 2标题 2 Char1标题 2 Char Cha..."/>
    <w:basedOn w:val="2"/>
    <w:qFormat/>
    <w:rsid w:val="00CA16C7"/>
    <w:pPr>
      <w:spacing w:line="520" w:lineRule="exact"/>
    </w:pPr>
    <w:rPr>
      <w:rFonts w:ascii="Cambria" w:eastAsia="宋体" w:hAnsi="Cambria"/>
      <w:bCs/>
      <w:color w:val="000000"/>
      <w:szCs w:val="32"/>
    </w:rPr>
  </w:style>
  <w:style w:type="paragraph" w:customStyle="1" w:styleId="Char4CharCharCharCharCharChar1">
    <w:name w:val="Char4 Char Char Char Char Char Char1"/>
    <w:basedOn w:val="a0"/>
    <w:rsid w:val="00CA16C7"/>
    <w:pPr>
      <w:spacing w:line="360" w:lineRule="auto"/>
      <w:ind w:firstLineChars="200" w:firstLine="200"/>
    </w:pPr>
    <w:rPr>
      <w:rFonts w:ascii="宋体" w:hAnsi="宋体" w:cs="宋体"/>
      <w:sz w:val="24"/>
    </w:rPr>
  </w:style>
  <w:style w:type="paragraph" w:customStyle="1" w:styleId="Style80">
    <w:name w:val="Style8"/>
    <w:basedOn w:val="a0"/>
    <w:rsid w:val="00CA16C7"/>
    <w:pPr>
      <w:adjustRightInd w:val="0"/>
      <w:jc w:val="left"/>
    </w:pPr>
    <w:rPr>
      <w:rFonts w:ascii="宋体"/>
      <w:kern w:val="0"/>
      <w:sz w:val="24"/>
    </w:rPr>
  </w:style>
  <w:style w:type="paragraph" w:customStyle="1" w:styleId="1820">
    <w:name w:val="样式 五号 居中 行距: 固定值 18 磅2"/>
    <w:basedOn w:val="a0"/>
    <w:rsid w:val="00CA16C7"/>
    <w:pPr>
      <w:jc w:val="center"/>
    </w:pPr>
    <w:rPr>
      <w:rFonts w:cs="宋体"/>
      <w:kern w:val="0"/>
      <w:sz w:val="21"/>
      <w:szCs w:val="20"/>
    </w:rPr>
  </w:style>
  <w:style w:type="paragraph" w:customStyle="1" w:styleId="0126220">
    <w:name w:val="样式 样式 小四 加宽量  0.1 磅 行距: 固定值 26 磅 首行缩进:  2 字符 + 首行缩进:  2 字符"/>
    <w:basedOn w:val="012620"/>
    <w:rsid w:val="00CA16C7"/>
    <w:pPr>
      <w:spacing w:line="520" w:lineRule="exact"/>
    </w:pPr>
  </w:style>
  <w:style w:type="paragraph" w:customStyle="1" w:styleId="0115">
    <w:name w:val="样式 小四 加宽量  0.1 磅 行距: 1.5 倍行距"/>
    <w:basedOn w:val="a0"/>
    <w:rsid w:val="00CA16C7"/>
    <w:pPr>
      <w:spacing w:line="520" w:lineRule="exact"/>
    </w:pPr>
    <w:rPr>
      <w:rFonts w:cs="宋体"/>
      <w:spacing w:val="2"/>
      <w:sz w:val="24"/>
      <w:szCs w:val="20"/>
    </w:rPr>
  </w:style>
  <w:style w:type="paragraph" w:customStyle="1" w:styleId="3MB33XW3h33rdlevelH3l3CTH31H32H33u3111">
    <w:name w:val="样式 标题 3MB3标题 3XW3h33rd levelH3l3CTH31H32H33u3条标题1.1...1"/>
    <w:basedOn w:val="30"/>
    <w:rsid w:val="00CA16C7"/>
    <w:pPr>
      <w:spacing w:before="0" w:after="0" w:line="520" w:lineRule="exact"/>
    </w:pPr>
    <w:rPr>
      <w:rFonts w:eastAsia="楷体_GB2312" w:cs="宋体"/>
      <w:b w:val="0"/>
      <w:bCs w:val="0"/>
      <w:color w:val="000000"/>
      <w:sz w:val="24"/>
      <w:szCs w:val="20"/>
    </w:rPr>
  </w:style>
  <w:style w:type="paragraph" w:customStyle="1" w:styleId="09901231">
    <w:name w:val="样式 小四 黑色 首行缩进:  0.99 厘米 加宽量  0.1 磅 行距: 固定值 23 磅1"/>
    <w:basedOn w:val="a0"/>
    <w:rsid w:val="00CA16C7"/>
    <w:pPr>
      <w:spacing w:line="520" w:lineRule="exact"/>
      <w:ind w:firstLine="561"/>
    </w:pPr>
    <w:rPr>
      <w:rFonts w:cs="宋体"/>
      <w:color w:val="000000"/>
      <w:spacing w:val="2"/>
      <w:sz w:val="24"/>
      <w:szCs w:val="20"/>
    </w:rPr>
  </w:style>
  <w:style w:type="paragraph" w:customStyle="1" w:styleId="Style18">
    <w:name w:val="Style18"/>
    <w:basedOn w:val="a0"/>
    <w:rsid w:val="00CA16C7"/>
    <w:pPr>
      <w:adjustRightInd w:val="0"/>
      <w:jc w:val="left"/>
    </w:pPr>
    <w:rPr>
      <w:rFonts w:ascii="宋体"/>
      <w:kern w:val="0"/>
      <w:sz w:val="24"/>
    </w:rPr>
  </w:style>
  <w:style w:type="paragraph" w:customStyle="1" w:styleId="Char417">
    <w:name w:val="Char417"/>
    <w:basedOn w:val="a0"/>
    <w:rsid w:val="00CA16C7"/>
    <w:pPr>
      <w:spacing w:line="360" w:lineRule="auto"/>
      <w:ind w:firstLineChars="200" w:firstLine="200"/>
    </w:pPr>
    <w:rPr>
      <w:rFonts w:ascii="宋体" w:hAnsi="宋体" w:cs="宋体"/>
      <w:sz w:val="24"/>
    </w:rPr>
  </w:style>
  <w:style w:type="paragraph" w:customStyle="1" w:styleId="2f4">
    <w:name w:val="正文2"/>
    <w:rsid w:val="00CA16C7"/>
    <w:pPr>
      <w:jc w:val="both"/>
    </w:pPr>
    <w:rPr>
      <w:kern w:val="2"/>
      <w:sz w:val="21"/>
      <w:szCs w:val="21"/>
    </w:rPr>
  </w:style>
  <w:style w:type="paragraph" w:customStyle="1" w:styleId="xl93">
    <w:name w:val="xl93"/>
    <w:basedOn w:val="a0"/>
    <w:rsid w:val="00CA16C7"/>
    <w:pPr>
      <w:widowControl/>
      <w:pBdr>
        <w:left w:val="single" w:sz="4" w:space="0" w:color="auto"/>
        <w:bottom w:val="single" w:sz="4" w:space="0" w:color="auto"/>
      </w:pBdr>
      <w:spacing w:before="100" w:beforeAutospacing="1" w:after="100" w:afterAutospacing="1"/>
    </w:pPr>
    <w:rPr>
      <w:rFonts w:ascii="宋体" w:hAnsi="宋体"/>
      <w:kern w:val="0"/>
      <w:sz w:val="24"/>
    </w:rPr>
  </w:style>
  <w:style w:type="paragraph" w:customStyle="1" w:styleId="xl29">
    <w:name w:val="xl29"/>
    <w:basedOn w:val="a0"/>
    <w:rsid w:val="00CA16C7"/>
    <w:pPr>
      <w:widowControl/>
      <w:pBdr>
        <w:left w:val="single" w:sz="4" w:space="0" w:color="auto"/>
        <w:bottom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font8">
    <w:name w:val="font8"/>
    <w:basedOn w:val="a0"/>
    <w:rsid w:val="00CA16C7"/>
    <w:pPr>
      <w:widowControl/>
      <w:spacing w:before="100" w:beforeAutospacing="1" w:after="100" w:afterAutospacing="1"/>
      <w:jc w:val="left"/>
    </w:pPr>
    <w:rPr>
      <w:rFonts w:ascii="宋体" w:hAnsi="宋体" w:hint="eastAsia"/>
      <w:color w:val="000000"/>
      <w:kern w:val="0"/>
      <w:sz w:val="24"/>
    </w:rPr>
  </w:style>
  <w:style w:type="paragraph" w:customStyle="1" w:styleId="CharCharCharCharCharCharCharCharChar">
    <w:name w:val="Char Char Char Char Char Char Char Char Char"/>
    <w:basedOn w:val="a0"/>
    <w:next w:val="a0"/>
    <w:rsid w:val="00CA16C7"/>
    <w:pPr>
      <w:keepNext/>
      <w:keepLines/>
      <w:widowControl/>
      <w:adjustRightInd w:val="0"/>
      <w:spacing w:before="360" w:after="480" w:line="360" w:lineRule="auto"/>
      <w:ind w:firstLineChars="200" w:firstLine="200"/>
      <w:textAlignment w:val="baseline"/>
      <w:outlineLvl w:val="1"/>
    </w:pPr>
    <w:rPr>
      <w:rFonts w:ascii="宋体" w:hAnsi="宋体"/>
      <w:b/>
      <w:kern w:val="0"/>
      <w:sz w:val="30"/>
      <w:szCs w:val="20"/>
    </w:rPr>
  </w:style>
  <w:style w:type="paragraph" w:customStyle="1" w:styleId="affffffff9">
    <w:name w:val="铭洁尾矿库 正文"/>
    <w:basedOn w:val="a0"/>
    <w:rsid w:val="00CA16C7"/>
    <w:pPr>
      <w:widowControl/>
      <w:spacing w:before="20" w:after="20" w:line="420" w:lineRule="auto"/>
      <w:ind w:firstLineChars="200" w:firstLine="200"/>
    </w:pPr>
    <w:rPr>
      <w:rFonts w:cs="宋体"/>
      <w:color w:val="3366FF"/>
      <w:w w:val="101"/>
      <w:sz w:val="25"/>
      <w:szCs w:val="25"/>
    </w:rPr>
  </w:style>
  <w:style w:type="paragraph" w:customStyle="1" w:styleId="CharCharCharCharCharCharCharCharCharC4">
    <w:name w:val="样式 纯文本孙普文字 Char Char CharCharChar Char纯文本 Char Char Char C...4"/>
    <w:basedOn w:val="ae"/>
    <w:rsid w:val="00CA16C7"/>
    <w:pPr>
      <w:spacing w:line="520" w:lineRule="exact"/>
      <w:ind w:firstLine="573"/>
    </w:pPr>
    <w:rPr>
      <w:rFonts w:ascii="Times New Roman" w:hAnsi="Times New Roman" w:cs="宋体"/>
      <w:color w:val="000000"/>
      <w:sz w:val="24"/>
    </w:rPr>
  </w:style>
  <w:style w:type="paragraph" w:customStyle="1" w:styleId="p19">
    <w:name w:val="p19"/>
    <w:basedOn w:val="a0"/>
    <w:rsid w:val="00CA16C7"/>
    <w:pPr>
      <w:widowControl/>
    </w:pPr>
    <w:rPr>
      <w:rFonts w:ascii="宋体" w:hAnsi="宋体"/>
      <w:color w:val="000000"/>
      <w:kern w:val="0"/>
      <w:sz w:val="24"/>
      <w:szCs w:val="20"/>
    </w:rPr>
  </w:style>
  <w:style w:type="paragraph" w:customStyle="1" w:styleId="CharCharCharCharCharCharCharCharCharC8">
    <w:name w:val="样式 纯文本孙普文字 Char Char CharCharChar Char纯文本 Char Char Char C...8"/>
    <w:basedOn w:val="ae"/>
    <w:rsid w:val="00CA16C7"/>
    <w:pPr>
      <w:spacing w:line="520" w:lineRule="exact"/>
      <w:ind w:firstLineChars="200" w:firstLine="200"/>
    </w:pPr>
    <w:rPr>
      <w:rFonts w:ascii="Times New Roman" w:hAnsi="Times New Roman" w:cs="宋体"/>
      <w:color w:val="000000"/>
      <w:sz w:val="24"/>
    </w:rPr>
  </w:style>
  <w:style w:type="paragraph" w:customStyle="1" w:styleId="affffffffa">
    <w:name w:val="样式 (符号) 宋体 小四 黑色"/>
    <w:basedOn w:val="a0"/>
    <w:rsid w:val="00CA16C7"/>
    <w:pPr>
      <w:spacing w:line="520" w:lineRule="exact"/>
      <w:ind w:left="482" w:firstLineChars="200" w:firstLine="200"/>
    </w:pPr>
    <w:rPr>
      <w:rFonts w:hAnsi="宋体"/>
      <w:color w:val="000000"/>
      <w:kern w:val="0"/>
      <w:sz w:val="24"/>
      <w:lang w:val="zh-CN"/>
    </w:rPr>
  </w:style>
  <w:style w:type="paragraph" w:customStyle="1" w:styleId="affffffffb">
    <w:name w:val="报告书正文格式"/>
    <w:rsid w:val="00CA16C7"/>
    <w:pPr>
      <w:wordWrap w:val="0"/>
      <w:spacing w:line="560" w:lineRule="exact"/>
      <w:ind w:firstLineChars="200" w:firstLine="560"/>
    </w:pPr>
    <w:rPr>
      <w:bCs/>
      <w:kern w:val="2"/>
      <w:sz w:val="28"/>
      <w:szCs w:val="24"/>
    </w:rPr>
  </w:style>
  <w:style w:type="paragraph" w:customStyle="1" w:styleId="2f5">
    <w:name w:val="样式 正文缩进 + 首行缩进:  2 字符"/>
    <w:basedOn w:val="a2"/>
    <w:rsid w:val="00CA16C7"/>
    <w:pPr>
      <w:spacing w:line="360" w:lineRule="auto"/>
      <w:ind w:firstLine="560"/>
    </w:pPr>
    <w:rPr>
      <w:rFonts w:ascii="宋体" w:hAnsi="宋体" w:cs="宋体"/>
      <w:kern w:val="0"/>
      <w:szCs w:val="28"/>
    </w:rPr>
  </w:style>
  <w:style w:type="paragraph" w:customStyle="1" w:styleId="021">
    <w:name w:val="样式 小四 黑色 紧缩量  0.2 磅"/>
    <w:basedOn w:val="a0"/>
    <w:rsid w:val="00CA16C7"/>
    <w:pPr>
      <w:spacing w:line="520" w:lineRule="exact"/>
      <w:ind w:firstLineChars="200" w:firstLine="200"/>
    </w:pPr>
    <w:rPr>
      <w:color w:val="000000"/>
      <w:spacing w:val="-4"/>
      <w:sz w:val="24"/>
    </w:rPr>
  </w:style>
  <w:style w:type="paragraph" w:customStyle="1" w:styleId="xl44">
    <w:name w:val="xl44"/>
    <w:basedOn w:val="a0"/>
    <w:rsid w:val="00CA16C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1111OGHeading110PartH">
    <w:name w:val="样式 标题 1章标题 111 标题 1一级标题，黑粗，三号，序号OG Heading 1. (1.0)PartH..."/>
    <w:basedOn w:val="1"/>
    <w:rsid w:val="00CA16C7"/>
    <w:pPr>
      <w:keepLines w:val="0"/>
      <w:autoSpaceDE w:val="0"/>
      <w:autoSpaceDN w:val="0"/>
      <w:adjustRightInd w:val="0"/>
      <w:spacing w:before="312" w:after="480" w:line="520" w:lineRule="exact"/>
      <w:jc w:val="center"/>
    </w:pPr>
    <w:rPr>
      <w:rFonts w:eastAsia="黑体" w:cs="宋体"/>
      <w:b w:val="0"/>
      <w:bCs w:val="0"/>
      <w:kern w:val="0"/>
      <w:sz w:val="36"/>
      <w:szCs w:val="20"/>
    </w:rPr>
  </w:style>
  <w:style w:type="paragraph" w:customStyle="1" w:styleId="47">
    <w:name w:val="标体4"/>
    <w:next w:val="a0"/>
    <w:rsid w:val="00CA16C7"/>
    <w:pPr>
      <w:adjustRightInd w:val="0"/>
      <w:snapToGrid w:val="0"/>
      <w:spacing w:beforeLines="50" w:afterLines="50" w:line="440" w:lineRule="exact"/>
    </w:pPr>
    <w:rPr>
      <w:spacing w:val="6"/>
      <w:kern w:val="2"/>
      <w:sz w:val="28"/>
      <w:szCs w:val="24"/>
    </w:rPr>
  </w:style>
  <w:style w:type="paragraph" w:customStyle="1" w:styleId="2f6">
    <w:name w:val="样式2"/>
    <w:basedOn w:val="2"/>
    <w:next w:val="2"/>
    <w:qFormat/>
    <w:rsid w:val="00CA16C7"/>
    <w:pPr>
      <w:keepNext w:val="0"/>
      <w:keepLines w:val="0"/>
      <w:spacing w:before="0" w:after="0" w:line="560" w:lineRule="exact"/>
      <w:jc w:val="center"/>
      <w:outlineLvl w:val="9"/>
    </w:pPr>
    <w:rPr>
      <w:rFonts w:ascii="宋体" w:eastAsia="宋体" w:hAnsi="宋体"/>
      <w:b w:val="0"/>
      <w:color w:val="000000"/>
      <w:spacing w:val="20"/>
      <w:sz w:val="28"/>
    </w:rPr>
  </w:style>
  <w:style w:type="paragraph" w:customStyle="1" w:styleId="xl67">
    <w:name w:val="xl67"/>
    <w:basedOn w:val="a0"/>
    <w:rsid w:val="00CA16C7"/>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22XWH2H2111112SeSeChar22h22">
    <w:name w:val="样式 标题 2标题 2XWH2H21节标题 1.11.1标题2Se节名Se Char二处标题 2标题2h2...2"/>
    <w:basedOn w:val="2"/>
    <w:rsid w:val="00CA16C7"/>
    <w:pPr>
      <w:spacing w:before="0" w:after="0" w:line="520" w:lineRule="exact"/>
    </w:pPr>
    <w:rPr>
      <w:rFonts w:ascii="Times New Roman" w:eastAsia="宋体" w:hAnsi="Times New Roman" w:cs="宋体"/>
      <w:b w:val="0"/>
      <w:color w:val="000000"/>
      <w:sz w:val="28"/>
    </w:rPr>
  </w:style>
  <w:style w:type="paragraph" w:customStyle="1" w:styleId="15210">
    <w:name w:val="样式 宋体 小四 黑色 行距: 1.5 倍行距 首行缩进:  2 字符1"/>
    <w:basedOn w:val="a0"/>
    <w:rsid w:val="00CA16C7"/>
    <w:pPr>
      <w:spacing w:line="520" w:lineRule="exact"/>
      <w:ind w:firstLineChars="200" w:firstLine="200"/>
    </w:pPr>
    <w:rPr>
      <w:rFonts w:ascii="宋体" w:hAnsi="宋体" w:cs="宋体"/>
      <w:color w:val="000000"/>
      <w:sz w:val="24"/>
      <w:szCs w:val="20"/>
    </w:rPr>
  </w:style>
  <w:style w:type="paragraph" w:customStyle="1" w:styleId="28192">
    <w:name w:val="样式 小四 行距: 固定值 28 磅 首行缩进:  1.92 字符"/>
    <w:basedOn w:val="a0"/>
    <w:rsid w:val="00CA16C7"/>
    <w:pPr>
      <w:spacing w:line="520" w:lineRule="exact"/>
      <w:ind w:firstLineChars="192" w:firstLine="192"/>
    </w:pPr>
    <w:rPr>
      <w:rFonts w:cs="宋体"/>
      <w:sz w:val="24"/>
      <w:szCs w:val="20"/>
    </w:rPr>
  </w:style>
  <w:style w:type="paragraph" w:customStyle="1" w:styleId="24CharChar4Char4CharC1">
    <w:name w:val="样式 正文缩进正文（首行缩进两字）特点正文2标题4正文缩进 Char Char标题4 Char标题4 Char C...1"/>
    <w:basedOn w:val="a2"/>
    <w:rsid w:val="00CA16C7"/>
    <w:pPr>
      <w:spacing w:line="520" w:lineRule="exact"/>
      <w:ind w:firstLine="200"/>
    </w:pPr>
    <w:rPr>
      <w:rFonts w:cs="宋体"/>
      <w:color w:val="000000"/>
      <w:sz w:val="24"/>
      <w:szCs w:val="20"/>
    </w:rPr>
  </w:style>
  <w:style w:type="paragraph" w:customStyle="1" w:styleId="3e">
    <w:name w:val="正文文本缩进3"/>
    <w:basedOn w:val="a0"/>
    <w:rsid w:val="00CA16C7"/>
    <w:pPr>
      <w:ind w:firstLineChars="200" w:firstLine="560"/>
    </w:pPr>
    <w:rPr>
      <w:szCs w:val="28"/>
    </w:rPr>
  </w:style>
  <w:style w:type="paragraph" w:customStyle="1" w:styleId="1524">
    <w:name w:val="样式 样式 宋体 四号 黑色 行距: 1.5 倍行距 + 首行缩进:  2 字符"/>
    <w:basedOn w:val="a0"/>
    <w:rsid w:val="00CA16C7"/>
    <w:pPr>
      <w:spacing w:beforeLines="50" w:line="360" w:lineRule="auto"/>
      <w:ind w:firstLineChars="200" w:firstLine="560"/>
      <w:jc w:val="left"/>
    </w:pPr>
    <w:rPr>
      <w:rFonts w:cs="宋体"/>
      <w:bCs/>
      <w:szCs w:val="28"/>
    </w:rPr>
  </w:style>
  <w:style w:type="paragraph" w:customStyle="1" w:styleId="085152">
    <w:name w:val="样式 (符号) 宋体 小四 首行缩进:  0.85 厘米 行距: 1.5 倍行距"/>
    <w:basedOn w:val="a0"/>
    <w:rsid w:val="00CA16C7"/>
    <w:pPr>
      <w:spacing w:line="520" w:lineRule="exact"/>
      <w:ind w:firstLine="482"/>
    </w:pPr>
    <w:rPr>
      <w:rFonts w:hAnsi="宋体" w:cs="宋体"/>
      <w:sz w:val="24"/>
      <w:szCs w:val="20"/>
    </w:rPr>
  </w:style>
  <w:style w:type="paragraph" w:customStyle="1" w:styleId="affffffffc">
    <w:name w:val="南郊正文"/>
    <w:basedOn w:val="a0"/>
    <w:next w:val="a0"/>
    <w:rsid w:val="00CA16C7"/>
    <w:rPr>
      <w:sz w:val="24"/>
    </w:rPr>
  </w:style>
  <w:style w:type="paragraph" w:customStyle="1" w:styleId="affffffffd">
    <w:name w:val="列表+"/>
    <w:basedOn w:val="a0"/>
    <w:next w:val="af4"/>
    <w:rsid w:val="00CA16C7"/>
    <w:pPr>
      <w:autoSpaceDE w:val="0"/>
      <w:autoSpaceDN w:val="0"/>
      <w:spacing w:beforeLines="50" w:line="400" w:lineRule="exact"/>
      <w:jc w:val="left"/>
    </w:pPr>
    <w:rPr>
      <w:sz w:val="21"/>
      <w:szCs w:val="20"/>
    </w:rPr>
  </w:style>
  <w:style w:type="paragraph" w:customStyle="1" w:styleId="GB23121015">
    <w:name w:val="样式 正文文本缩进 + 仿宋_GB2312 四号 左 首行缩进:  1 厘米 段后: 0 磅 行距: 1.5 倍行距"/>
    <w:basedOn w:val="a1"/>
    <w:next w:val="a1"/>
    <w:rsid w:val="00CA16C7"/>
    <w:pPr>
      <w:adjustRightInd w:val="0"/>
      <w:snapToGrid w:val="0"/>
      <w:spacing w:after="0" w:line="360" w:lineRule="auto"/>
      <w:ind w:firstLineChars="200" w:firstLine="567"/>
      <w:jc w:val="left"/>
    </w:pPr>
    <w:rPr>
      <w:rFonts w:ascii="仿宋_GB2312" w:eastAsia="仿宋_GB2312" w:cs="宋体"/>
      <w:szCs w:val="20"/>
    </w:rPr>
  </w:style>
  <w:style w:type="paragraph" w:customStyle="1" w:styleId="3MB33Char1511134152">
    <w:name w:val="样式 标题 3MB3标题 3 Char小标题四号宋体左齐行距1.5倍1.1.1标题 34号宋体左齐行距1.5倍条标...2"/>
    <w:basedOn w:val="30"/>
    <w:rsid w:val="00CA16C7"/>
    <w:pPr>
      <w:spacing w:before="0" w:after="0" w:line="520" w:lineRule="exact"/>
    </w:pPr>
    <w:rPr>
      <w:rFonts w:eastAsia="楷体_GB2312"/>
      <w:b w:val="0"/>
      <w:bCs w:val="0"/>
      <w:color w:val="000000"/>
      <w:sz w:val="28"/>
    </w:rPr>
  </w:style>
  <w:style w:type="paragraph" w:customStyle="1" w:styleId="2CharCharChars42">
    <w:name w:val="样式 正文缩进正文不缩进正文2正文（首行缩进两字）特点正文缩进 Char Char图标题正文缩进 Chars4 ...2"/>
    <w:basedOn w:val="a2"/>
    <w:rsid w:val="00CA16C7"/>
    <w:pPr>
      <w:tabs>
        <w:tab w:val="left" w:pos="7380"/>
      </w:tabs>
      <w:snapToGrid w:val="0"/>
      <w:spacing w:line="520" w:lineRule="exact"/>
      <w:ind w:firstLineChars="0" w:firstLine="505"/>
    </w:pPr>
    <w:rPr>
      <w:rFonts w:cs="宋体"/>
      <w:sz w:val="24"/>
      <w:szCs w:val="20"/>
    </w:rPr>
  </w:style>
  <w:style w:type="paragraph" w:customStyle="1" w:styleId="2f7">
    <w:name w:val="样式 样式 小四 黑色 + 首行缩进:  2 字符"/>
    <w:basedOn w:val="affffffc"/>
    <w:rsid w:val="00CA16C7"/>
    <w:pPr>
      <w:autoSpaceDE w:val="0"/>
      <w:autoSpaceDN w:val="0"/>
      <w:adjustRightInd w:val="0"/>
    </w:pPr>
    <w:rPr>
      <w:rFonts w:cs="宋体"/>
    </w:rPr>
  </w:style>
  <w:style w:type="paragraph" w:customStyle="1" w:styleId="tdbg">
    <w:name w:val="tdbg"/>
    <w:basedOn w:val="a0"/>
    <w:rsid w:val="00CA16C7"/>
    <w:pPr>
      <w:widowControl/>
      <w:shd w:val="clear" w:color="auto" w:fill="FFFFFF"/>
      <w:spacing w:before="100" w:beforeAutospacing="1" w:after="100" w:afterAutospacing="1" w:line="288" w:lineRule="auto"/>
      <w:jc w:val="left"/>
    </w:pPr>
    <w:rPr>
      <w:rFonts w:ascii="宋体" w:hAnsi="宋体" w:cs="宋体"/>
      <w:kern w:val="0"/>
      <w:sz w:val="24"/>
    </w:rPr>
  </w:style>
  <w:style w:type="paragraph" w:customStyle="1" w:styleId="3MB33XW3h33rdlevelH3l3CTH31H32H33u3112">
    <w:name w:val="样式 标题 3MB3标题 3XW3h33rd levelH3l3CTH31H32H33u3条标题1.1...2"/>
    <w:basedOn w:val="30"/>
    <w:rsid w:val="00CA16C7"/>
    <w:pPr>
      <w:spacing w:before="0" w:after="0" w:line="520" w:lineRule="exact"/>
    </w:pPr>
    <w:rPr>
      <w:rFonts w:eastAsia="楷体_GB2312" w:cs="宋体"/>
      <w:b w:val="0"/>
      <w:bCs w:val="0"/>
      <w:color w:val="000000"/>
      <w:sz w:val="28"/>
      <w:szCs w:val="20"/>
    </w:rPr>
  </w:style>
  <w:style w:type="paragraph" w:customStyle="1" w:styleId="01222">
    <w:name w:val="样式 样式 批注文字 + 小四 黑色 两端对齐 加宽量  0.1 磅 行距: 固定值 22 磅 首行缩进:  2 字符 + 首行..."/>
    <w:basedOn w:val="012220"/>
    <w:rsid w:val="00CA16C7"/>
    <w:pPr>
      <w:spacing w:line="520" w:lineRule="exact"/>
    </w:pPr>
  </w:style>
  <w:style w:type="paragraph" w:customStyle="1" w:styleId="012220">
    <w:name w:val="样式 批注文字 + 小四 黑色 两端对齐 加宽量  0.1 磅 行距: 固定值 22 磅 首行缩进:  2 字符"/>
    <w:basedOn w:val="ab"/>
    <w:rsid w:val="00CA16C7"/>
    <w:pPr>
      <w:spacing w:line="540" w:lineRule="exact"/>
      <w:ind w:firstLineChars="200" w:firstLine="200"/>
      <w:jc w:val="both"/>
    </w:pPr>
    <w:rPr>
      <w:rFonts w:ascii="Calibri" w:hAnsi="Calibri" w:cs="宋体"/>
      <w:color w:val="000000"/>
      <w:spacing w:val="2"/>
      <w:sz w:val="24"/>
    </w:rPr>
  </w:style>
  <w:style w:type="paragraph" w:customStyle="1" w:styleId="3MB33Char15111341511">
    <w:name w:val="样式 样式 标题 3MB3标题 3 Char小标题四号宋体左齐行距1.5倍1.1.1标题 34号宋体左齐行距1.5倍条标...1...1"/>
    <w:basedOn w:val="3MB33Char1511134151"/>
    <w:rsid w:val="00CA16C7"/>
    <w:pPr>
      <w:spacing w:beforeLines="0"/>
    </w:pPr>
    <w:rPr>
      <w:b w:val="0"/>
    </w:rPr>
  </w:style>
  <w:style w:type="paragraph" w:customStyle="1" w:styleId="p0">
    <w:name w:val="p0"/>
    <w:basedOn w:val="a0"/>
    <w:rsid w:val="00CA16C7"/>
    <w:pPr>
      <w:widowControl/>
      <w:jc w:val="left"/>
    </w:pPr>
    <w:rPr>
      <w:kern w:val="0"/>
      <w:sz w:val="20"/>
      <w:szCs w:val="20"/>
    </w:rPr>
  </w:style>
  <w:style w:type="paragraph" w:customStyle="1" w:styleId="3CharChar0">
    <w:name w:val="样式3 Char Char"/>
    <w:basedOn w:val="a0"/>
    <w:rsid w:val="00CA16C7"/>
    <w:pPr>
      <w:adjustRightInd w:val="0"/>
      <w:snapToGrid w:val="0"/>
      <w:spacing w:line="360" w:lineRule="auto"/>
      <w:ind w:firstLineChars="200" w:firstLine="560"/>
    </w:pPr>
    <w:rPr>
      <w:szCs w:val="28"/>
    </w:rPr>
  </w:style>
  <w:style w:type="paragraph" w:customStyle="1" w:styleId="affffffffe">
    <w:name w:val="样式 宋体 小四 黑色"/>
    <w:basedOn w:val="a0"/>
    <w:rsid w:val="00CA16C7"/>
    <w:pPr>
      <w:spacing w:line="520" w:lineRule="exact"/>
      <w:ind w:firstLineChars="200" w:firstLine="200"/>
    </w:pPr>
    <w:rPr>
      <w:rFonts w:ascii="宋体" w:cs="宋体"/>
      <w:color w:val="000000"/>
      <w:sz w:val="24"/>
      <w:lang w:val="zh-CN"/>
    </w:rPr>
  </w:style>
  <w:style w:type="paragraph" w:customStyle="1" w:styleId="xl53">
    <w:name w:val="xl53"/>
    <w:basedOn w:val="a0"/>
    <w:rsid w:val="00CA16C7"/>
    <w:pPr>
      <w:widowControl/>
      <w:pBdr>
        <w:top w:val="single" w:sz="8" w:space="0" w:color="auto"/>
        <w:left w:val="single" w:sz="4" w:space="0" w:color="auto"/>
      </w:pBdr>
      <w:spacing w:before="100" w:beforeAutospacing="1" w:after="100" w:afterAutospacing="1"/>
      <w:jc w:val="center"/>
    </w:pPr>
    <w:rPr>
      <w:rFonts w:ascii="宋体" w:hAnsi="宋体"/>
      <w:kern w:val="0"/>
      <w:sz w:val="24"/>
    </w:rPr>
  </w:style>
  <w:style w:type="paragraph" w:customStyle="1" w:styleId="15196">
    <w:name w:val="样式 小四 黑色 行距: 1.5 倍行距 首行缩进:  1.96 字符"/>
    <w:basedOn w:val="a0"/>
    <w:rsid w:val="00CA16C7"/>
    <w:pPr>
      <w:spacing w:line="520" w:lineRule="exact"/>
      <w:ind w:firstLineChars="196" w:firstLine="196"/>
    </w:pPr>
    <w:rPr>
      <w:rFonts w:cs="宋体"/>
      <w:color w:val="000000"/>
      <w:sz w:val="24"/>
      <w:szCs w:val="20"/>
    </w:rPr>
  </w:style>
  <w:style w:type="paragraph" w:customStyle="1" w:styleId="xl87">
    <w:name w:val="xl87"/>
    <w:basedOn w:val="a0"/>
    <w:rsid w:val="00CA16C7"/>
    <w:pPr>
      <w:widowControl/>
      <w:spacing w:before="100" w:beforeAutospacing="1" w:after="100" w:afterAutospacing="1"/>
      <w:jc w:val="center"/>
    </w:pPr>
    <w:rPr>
      <w:rFonts w:ascii="黑体" w:eastAsia="黑体" w:hAnsi="宋体" w:hint="eastAsia"/>
      <w:b/>
      <w:bCs/>
      <w:kern w:val="0"/>
      <w:szCs w:val="28"/>
    </w:rPr>
  </w:style>
  <w:style w:type="paragraph" w:customStyle="1" w:styleId="91">
    <w:name w:val="样式9"/>
    <w:basedOn w:val="a0"/>
    <w:rsid w:val="00CA16C7"/>
    <w:pPr>
      <w:adjustRightInd w:val="0"/>
      <w:snapToGrid w:val="0"/>
      <w:jc w:val="center"/>
    </w:pPr>
    <w:rPr>
      <w:sz w:val="15"/>
      <w:szCs w:val="15"/>
      <w:u w:val="single"/>
    </w:rPr>
  </w:style>
  <w:style w:type="paragraph" w:customStyle="1" w:styleId="201502">
    <w:name w:val="样式 正文文本缩进 2 + 小四 黑色 段后: 0 磅 行距: 1.5 倍行距 左  0 字符 首行缩进:  2 字符"/>
    <w:basedOn w:val="23"/>
    <w:rsid w:val="00CA16C7"/>
    <w:pPr>
      <w:ind w:firstLineChars="200" w:firstLine="200"/>
    </w:pPr>
    <w:rPr>
      <w:rFonts w:cs="宋体"/>
      <w:color w:val="000000"/>
      <w:sz w:val="24"/>
      <w:szCs w:val="20"/>
    </w:rPr>
  </w:style>
  <w:style w:type="paragraph" w:customStyle="1" w:styleId="223">
    <w:name w:val="样式 四号 首行缩进:  2 字符 + 首行缩进:  2 字符"/>
    <w:basedOn w:val="a0"/>
    <w:rsid w:val="00CA16C7"/>
    <w:pPr>
      <w:spacing w:line="530" w:lineRule="exact"/>
      <w:ind w:firstLineChars="200" w:firstLine="560"/>
    </w:pPr>
    <w:rPr>
      <w:rFonts w:cs="宋体"/>
      <w:kern w:val="0"/>
      <w:szCs w:val="28"/>
    </w:rPr>
  </w:style>
  <w:style w:type="paragraph" w:customStyle="1" w:styleId="xl46">
    <w:name w:val="xl46"/>
    <w:basedOn w:val="a0"/>
    <w:rsid w:val="00CA16C7"/>
    <w:pPr>
      <w:widowControl/>
      <w:pBdr>
        <w:top w:val="single" w:sz="4" w:space="0" w:color="auto"/>
        <w:left w:val="single" w:sz="4" w:space="0" w:color="auto"/>
        <w:bottom w:val="single" w:sz="4" w:space="0" w:color="auto"/>
      </w:pBdr>
      <w:spacing w:before="100" w:beforeAutospacing="1" w:after="100" w:afterAutospacing="1"/>
      <w:jc w:val="right"/>
    </w:pPr>
    <w:rPr>
      <w:rFonts w:ascii="宋体" w:hAnsi="宋体"/>
      <w:color w:val="FF0000"/>
      <w:kern w:val="0"/>
      <w:sz w:val="24"/>
    </w:rPr>
  </w:style>
  <w:style w:type="paragraph" w:customStyle="1" w:styleId="1fc">
    <w:name w:val="样式 宋体 小四 黑色1"/>
    <w:basedOn w:val="a0"/>
    <w:rsid w:val="00CA16C7"/>
    <w:pPr>
      <w:spacing w:line="520" w:lineRule="exact"/>
      <w:ind w:firstLineChars="200" w:firstLine="200"/>
    </w:pPr>
    <w:rPr>
      <w:rFonts w:ascii="宋体" w:hAnsi="宋体"/>
      <w:color w:val="000000"/>
      <w:sz w:val="24"/>
    </w:rPr>
  </w:style>
  <w:style w:type="paragraph" w:customStyle="1" w:styleId="CharCharCharCharCharCharCharCharCharC">
    <w:name w:val="样式 纯文本孙普文字 Char Char CharCharChar Char纯文本 Char Char Char C..."/>
    <w:basedOn w:val="ae"/>
    <w:rsid w:val="00CA16C7"/>
    <w:pPr>
      <w:spacing w:line="520" w:lineRule="exact"/>
      <w:ind w:firstLineChars="200" w:firstLine="200"/>
    </w:pPr>
    <w:rPr>
      <w:rFonts w:ascii="Times New Roman" w:hAnsi="Times New Roman" w:cs="宋体"/>
      <w:color w:val="000000"/>
      <w:sz w:val="24"/>
    </w:rPr>
  </w:style>
  <w:style w:type="paragraph" w:customStyle="1" w:styleId="2TimesNewRoman00">
    <w:name w:val="样式 标题 2节标题节 + Times New Roman 小四 非加粗 左 段前: 0 磅 段后: 0 磅"/>
    <w:basedOn w:val="2"/>
    <w:rsid w:val="00CA16C7"/>
    <w:pPr>
      <w:spacing w:before="0" w:after="0" w:line="416" w:lineRule="auto"/>
      <w:jc w:val="left"/>
    </w:pPr>
    <w:rPr>
      <w:rFonts w:ascii="Times New Roman" w:eastAsia="宋体" w:hAnsi="Times New Roman" w:cs="宋体"/>
      <w:sz w:val="30"/>
    </w:rPr>
  </w:style>
  <w:style w:type="paragraph" w:customStyle="1" w:styleId="0996">
    <w:name w:val="样式 小四 黑色 首行缩进:  0.99 厘米 段前: 6 磅"/>
    <w:basedOn w:val="a0"/>
    <w:rsid w:val="00CA16C7"/>
    <w:pPr>
      <w:spacing w:before="120" w:line="520" w:lineRule="exact"/>
      <w:ind w:firstLine="561"/>
    </w:pPr>
    <w:rPr>
      <w:rFonts w:cs="宋体"/>
      <w:color w:val="000000"/>
      <w:sz w:val="24"/>
      <w:szCs w:val="20"/>
    </w:rPr>
  </w:style>
  <w:style w:type="paragraph" w:customStyle="1" w:styleId="63">
    <w:name w:val="6"/>
    <w:basedOn w:val="a0"/>
    <w:next w:val="ac"/>
    <w:rsid w:val="00CA16C7"/>
    <w:pPr>
      <w:widowControl/>
      <w:adjustRightInd w:val="0"/>
      <w:snapToGrid w:val="0"/>
      <w:spacing w:line="360" w:lineRule="auto"/>
      <w:ind w:firstLine="454"/>
      <w:jc w:val="left"/>
    </w:pPr>
    <w:rPr>
      <w:kern w:val="0"/>
      <w:szCs w:val="20"/>
    </w:rPr>
  </w:style>
  <w:style w:type="paragraph" w:customStyle="1" w:styleId="215025">
    <w:name w:val="样式 正文文本缩进 2 + 行距: 1.5 倍行距 左  0 字符 首行缩进:  2.5 字符"/>
    <w:basedOn w:val="23"/>
    <w:rsid w:val="00CA16C7"/>
    <w:pPr>
      <w:tabs>
        <w:tab w:val="left" w:pos="7380"/>
      </w:tabs>
      <w:snapToGrid w:val="0"/>
      <w:spacing w:after="120"/>
      <w:ind w:firstLineChars="250" w:firstLine="250"/>
    </w:pPr>
    <w:rPr>
      <w:rFonts w:cs="宋体"/>
      <w:color w:val="000000"/>
      <w:kern w:val="21"/>
      <w:sz w:val="24"/>
      <w:szCs w:val="20"/>
      <w:lang w:val="de-DE"/>
    </w:rPr>
  </w:style>
  <w:style w:type="paragraph" w:customStyle="1" w:styleId="100260">
    <w:name w:val="样式 标题 1 + (中文) 黑体 小二 非加粗 居中 段前: 0 磅 段后: 0 磅 行距: 固定值 26 磅"/>
    <w:basedOn w:val="1"/>
    <w:rsid w:val="00CA16C7"/>
    <w:pPr>
      <w:spacing w:before="0" w:afterLines="300" w:line="520" w:lineRule="exact"/>
      <w:jc w:val="center"/>
    </w:pPr>
    <w:rPr>
      <w:rFonts w:eastAsia="黑体" w:cs="宋体"/>
      <w:b w:val="0"/>
      <w:bCs w:val="0"/>
      <w:sz w:val="36"/>
      <w:szCs w:val="20"/>
    </w:rPr>
  </w:style>
  <w:style w:type="paragraph" w:customStyle="1" w:styleId="3MB33XW3h33rdlevelH3l3CTH31H32H33u3114">
    <w:name w:val="样式 标题 3MB3标题 3XW3h33rd levelH3l3CTH31H32H33u3条标题1.1...4"/>
    <w:basedOn w:val="30"/>
    <w:rsid w:val="00CA16C7"/>
    <w:pPr>
      <w:spacing w:before="0" w:after="0" w:line="520" w:lineRule="exact"/>
    </w:pPr>
    <w:rPr>
      <w:rFonts w:eastAsia="楷体_GB2312"/>
      <w:b w:val="0"/>
      <w:bCs w:val="0"/>
      <w:color w:val="000000"/>
      <w:sz w:val="28"/>
    </w:rPr>
  </w:style>
  <w:style w:type="paragraph" w:customStyle="1" w:styleId="xl55">
    <w:name w:val="xl55"/>
    <w:basedOn w:val="a0"/>
    <w:rsid w:val="00CA16C7"/>
    <w:pPr>
      <w:widowControl/>
      <w:pBdr>
        <w:left w:val="single" w:sz="8" w:space="0" w:color="auto"/>
        <w:bottom w:val="single" w:sz="8" w:space="0" w:color="auto"/>
      </w:pBdr>
      <w:spacing w:before="100" w:beforeAutospacing="1" w:after="100" w:afterAutospacing="1"/>
      <w:jc w:val="left"/>
    </w:pPr>
    <w:rPr>
      <w:rFonts w:ascii="宋体" w:hAnsi="宋体"/>
      <w:kern w:val="0"/>
      <w:sz w:val="24"/>
    </w:rPr>
  </w:style>
  <w:style w:type="paragraph" w:customStyle="1" w:styleId="Char414">
    <w:name w:val="Char414"/>
    <w:basedOn w:val="a0"/>
    <w:rsid w:val="00CA16C7"/>
    <w:pPr>
      <w:spacing w:line="360" w:lineRule="auto"/>
      <w:ind w:firstLineChars="200" w:firstLine="200"/>
    </w:pPr>
    <w:rPr>
      <w:rFonts w:ascii="宋体" w:hAnsi="宋体" w:cs="宋体"/>
      <w:sz w:val="24"/>
    </w:rPr>
  </w:style>
  <w:style w:type="paragraph" w:customStyle="1" w:styleId="15187">
    <w:name w:val="样式 小四 黑色 行距: 1.5 倍行距 首行缩进:  1.87 字符"/>
    <w:basedOn w:val="a0"/>
    <w:rsid w:val="00CA16C7"/>
    <w:pPr>
      <w:spacing w:line="520" w:lineRule="exact"/>
      <w:ind w:firstLineChars="187" w:firstLine="187"/>
    </w:pPr>
    <w:rPr>
      <w:rFonts w:cs="宋体"/>
      <w:color w:val="000000"/>
      <w:sz w:val="24"/>
      <w:szCs w:val="20"/>
    </w:rPr>
  </w:style>
  <w:style w:type="paragraph" w:customStyle="1" w:styleId="jjsj-">
    <w:name w:val="jjsj-正文"/>
    <w:basedOn w:val="a0"/>
    <w:uiPriority w:val="99"/>
    <w:rsid w:val="00CA16C7"/>
    <w:pPr>
      <w:spacing w:line="480" w:lineRule="exact"/>
      <w:ind w:firstLineChars="200" w:firstLine="560"/>
    </w:pPr>
    <w:rPr>
      <w:rFonts w:ascii="Arial Narrow" w:hAnsi="Arial Narrow"/>
      <w:kern w:val="0"/>
      <w:szCs w:val="20"/>
    </w:rPr>
  </w:style>
  <w:style w:type="paragraph" w:customStyle="1" w:styleId="afffffffff">
    <w:name w:val="封面正文"/>
    <w:rsid w:val="00CA16C7"/>
    <w:pPr>
      <w:jc w:val="both"/>
    </w:pPr>
  </w:style>
  <w:style w:type="paragraph" w:customStyle="1" w:styleId="15206">
    <w:name w:val="样式 小四 行距: 1.5 倍行距 首行缩进:  2.06 字符"/>
    <w:basedOn w:val="a0"/>
    <w:rsid w:val="00CA16C7"/>
    <w:pPr>
      <w:spacing w:line="520" w:lineRule="exact"/>
      <w:ind w:firstLineChars="206" w:firstLine="206"/>
    </w:pPr>
    <w:rPr>
      <w:rFonts w:cs="宋体"/>
      <w:sz w:val="24"/>
      <w:szCs w:val="20"/>
    </w:rPr>
  </w:style>
  <w:style w:type="paragraph" w:customStyle="1" w:styleId="WPSOffice1">
    <w:name w:val="WPSOffice手动目录 1"/>
    <w:rsid w:val="00CA16C7"/>
  </w:style>
  <w:style w:type="paragraph" w:customStyle="1" w:styleId="CharChar2CharCharChar3Char21Char2C">
    <w:name w:val="样式 纯文本 Char普通文字 Char2Char Char Char3孙普文字 Char2普通文字1 Char2 C..."/>
    <w:rsid w:val="00CA16C7"/>
    <w:pPr>
      <w:spacing w:line="520" w:lineRule="exact"/>
      <w:outlineLvl w:val="3"/>
    </w:pPr>
    <w:rPr>
      <w:b/>
      <w:kern w:val="2"/>
      <w:sz w:val="24"/>
    </w:rPr>
  </w:style>
  <w:style w:type="paragraph" w:customStyle="1" w:styleId="afffffffff0">
    <w:name w:val="报告表头"/>
    <w:basedOn w:val="a0"/>
    <w:rsid w:val="00CA16C7"/>
    <w:pPr>
      <w:spacing w:line="500" w:lineRule="exact"/>
      <w:ind w:firstLineChars="200" w:firstLine="560"/>
    </w:pPr>
    <w:rPr>
      <w:rFonts w:ascii="黑体" w:eastAsia="黑体" w:hAnsi="宋体"/>
      <w:spacing w:val="20"/>
      <w:kern w:val="36"/>
      <w:sz w:val="24"/>
    </w:rPr>
  </w:style>
  <w:style w:type="paragraph" w:customStyle="1" w:styleId="TableParagraph">
    <w:name w:val="Table Paragraph"/>
    <w:basedOn w:val="a0"/>
    <w:uiPriority w:val="1"/>
    <w:qFormat/>
    <w:rsid w:val="00CA16C7"/>
    <w:pPr>
      <w:jc w:val="center"/>
    </w:pPr>
    <w:rPr>
      <w:rFonts w:ascii="宋体" w:hAnsi="宋体" w:cs="宋体"/>
      <w:lang w:val="zh-CN" w:bidi="zh-CN"/>
    </w:rPr>
  </w:style>
  <w:style w:type="paragraph" w:customStyle="1" w:styleId="xl33">
    <w:name w:val="xl33"/>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131">
    <w:name w:val="样式13"/>
    <w:basedOn w:val="a0"/>
    <w:qFormat/>
    <w:rsid w:val="00CA16C7"/>
    <w:pPr>
      <w:jc w:val="center"/>
    </w:pPr>
    <w:rPr>
      <w:rFonts w:ascii="宋体" w:hAnsi="宋体"/>
      <w:sz w:val="21"/>
    </w:rPr>
  </w:style>
  <w:style w:type="paragraph" w:customStyle="1" w:styleId="315">
    <w:name w:val="样式 正文文本缩进 3 + (符号) 宋体 小四 行距: 1.5 倍行距"/>
    <w:basedOn w:val="35"/>
    <w:rsid w:val="00CA16C7"/>
    <w:pPr>
      <w:ind w:firstLine="561"/>
    </w:pPr>
    <w:rPr>
      <w:rFonts w:hAnsi="宋体" w:cs="宋体"/>
      <w:sz w:val="24"/>
      <w:szCs w:val="20"/>
    </w:rPr>
  </w:style>
  <w:style w:type="paragraph" w:customStyle="1" w:styleId="53">
    <w:name w:val="标题5"/>
    <w:basedOn w:val="5"/>
    <w:rsid w:val="00CA16C7"/>
    <w:pPr>
      <w:numPr>
        <w:ilvl w:val="4"/>
      </w:numPr>
      <w:spacing w:before="100" w:after="100" w:line="600" w:lineRule="exact"/>
      <w:ind w:firstLineChars="200" w:firstLine="200"/>
    </w:pPr>
    <w:rPr>
      <w:rFonts w:eastAsia="楷体_GB2312"/>
      <w:sz w:val="30"/>
    </w:rPr>
  </w:style>
  <w:style w:type="paragraph" w:customStyle="1" w:styleId="015">
    <w:name w:val="样式 批注文字 + 小四 黑色 加宽量  0.1 磅"/>
    <w:basedOn w:val="ab"/>
    <w:rsid w:val="00CA16C7"/>
    <w:pPr>
      <w:spacing w:line="520" w:lineRule="exact"/>
    </w:pPr>
    <w:rPr>
      <w:rFonts w:ascii="Calibri" w:hAnsi="Calibri"/>
      <w:color w:val="000000"/>
      <w:spacing w:val="2"/>
      <w:sz w:val="24"/>
      <w:szCs w:val="22"/>
    </w:rPr>
  </w:style>
  <w:style w:type="paragraph" w:customStyle="1" w:styleId="22XWH2H2111112SeSeChar22h23">
    <w:name w:val="样式 标题 2标题 2XWH2H21节标题 1.11.1标题2Se节名Se Char二处标题 2标题2h2...3"/>
    <w:basedOn w:val="2"/>
    <w:rsid w:val="00CA16C7"/>
    <w:pPr>
      <w:spacing w:before="0" w:after="0" w:line="520" w:lineRule="exact"/>
    </w:pPr>
    <w:rPr>
      <w:rFonts w:ascii="Times New Roman" w:hAnsi="Times New Roman" w:cs="宋体"/>
      <w:b w:val="0"/>
      <w:color w:val="000000"/>
      <w:sz w:val="28"/>
    </w:rPr>
  </w:style>
  <w:style w:type="paragraph" w:customStyle="1" w:styleId="22XWH2H2111112SeSeChar22h24">
    <w:name w:val="样式 标题 2标题 2XWH2H21节标题 1.11.1标题2Se节名Se Char二处标题 2标题2h2...4"/>
    <w:basedOn w:val="2"/>
    <w:rsid w:val="00CA16C7"/>
    <w:pPr>
      <w:spacing w:beforeLines="50" w:after="0" w:line="520" w:lineRule="exact"/>
    </w:pPr>
    <w:rPr>
      <w:rFonts w:ascii="Times New Roman" w:hAnsi="Times New Roman" w:cs="宋体"/>
      <w:b w:val="0"/>
      <w:color w:val="000000"/>
    </w:rPr>
  </w:style>
  <w:style w:type="paragraph" w:customStyle="1" w:styleId="afffffffff1">
    <w:name w:val="章标题"/>
    <w:basedOn w:val="a0"/>
    <w:rsid w:val="00CA16C7"/>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1525">
    <w:name w:val="样式 小四 黑色 左 行距: 1.5 倍行距 首行缩进:  2 字符"/>
    <w:basedOn w:val="a0"/>
    <w:rsid w:val="00CA16C7"/>
    <w:pPr>
      <w:spacing w:line="520" w:lineRule="exact"/>
      <w:ind w:firstLineChars="200" w:firstLine="200"/>
      <w:jc w:val="left"/>
    </w:pPr>
    <w:rPr>
      <w:rFonts w:cs="宋体"/>
      <w:color w:val="000000"/>
      <w:sz w:val="24"/>
      <w:szCs w:val="20"/>
    </w:rPr>
  </w:style>
  <w:style w:type="paragraph" w:customStyle="1" w:styleId="3f">
    <w:name w:val="标题3"/>
    <w:basedOn w:val="af8"/>
    <w:rsid w:val="00CA16C7"/>
    <w:pPr>
      <w:spacing w:before="120" w:after="120" w:line="520" w:lineRule="exact"/>
      <w:jc w:val="left"/>
      <w:outlineLvl w:val="1"/>
    </w:pPr>
    <w:rPr>
      <w:bCs w:val="0"/>
      <w:snapToGrid w:val="0"/>
      <w:kern w:val="0"/>
      <w:sz w:val="28"/>
    </w:rPr>
  </w:style>
  <w:style w:type="paragraph" w:customStyle="1" w:styleId="2f8">
    <w:name w:val="样式 小四 首行缩进:  2 字符"/>
    <w:basedOn w:val="a0"/>
    <w:rsid w:val="00CA16C7"/>
    <w:pPr>
      <w:spacing w:line="520" w:lineRule="exact"/>
      <w:ind w:firstLineChars="200" w:firstLine="200"/>
    </w:pPr>
    <w:rPr>
      <w:rFonts w:ascii="Calibri" w:hAnsi="Calibri" w:cs="宋体"/>
      <w:sz w:val="24"/>
    </w:rPr>
  </w:style>
  <w:style w:type="paragraph" w:customStyle="1" w:styleId="011522">
    <w:name w:val="样式 样式 小四 黑色 加宽量  0.1 磅 行距: 1.5 倍行距 首行缩进:  2 字符 + 首行缩进:  2 字符"/>
    <w:basedOn w:val="a0"/>
    <w:rsid w:val="00CA16C7"/>
    <w:pPr>
      <w:spacing w:line="520" w:lineRule="exact"/>
      <w:ind w:firstLineChars="200" w:firstLine="200"/>
    </w:pPr>
    <w:rPr>
      <w:rFonts w:cs="宋体"/>
      <w:color w:val="000000"/>
      <w:spacing w:val="2"/>
      <w:sz w:val="24"/>
      <w:szCs w:val="20"/>
    </w:rPr>
  </w:style>
  <w:style w:type="paragraph" w:customStyle="1" w:styleId="xl42">
    <w:name w:val="xl42"/>
    <w:basedOn w:val="a0"/>
    <w:rsid w:val="00CA16C7"/>
    <w:pPr>
      <w:widowControl/>
      <w:pBdr>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112">
    <w:name w:val="正文11"/>
    <w:basedOn w:val="a0"/>
    <w:next w:val="a0"/>
    <w:rsid w:val="00CA16C7"/>
    <w:pPr>
      <w:spacing w:line="540" w:lineRule="exact"/>
      <w:ind w:firstLineChars="200" w:firstLine="200"/>
    </w:pPr>
    <w:rPr>
      <w:szCs w:val="28"/>
    </w:rPr>
  </w:style>
  <w:style w:type="paragraph" w:customStyle="1" w:styleId="Charffff0">
    <w:name w:val="表号 Char"/>
    <w:basedOn w:val="a0"/>
    <w:rsid w:val="00CA16C7"/>
    <w:pPr>
      <w:snapToGrid w:val="0"/>
      <w:ind w:firstLine="480"/>
    </w:pPr>
    <w:rPr>
      <w:kern w:val="32"/>
      <w:sz w:val="24"/>
      <w:szCs w:val="20"/>
    </w:rPr>
  </w:style>
  <w:style w:type="paragraph" w:customStyle="1" w:styleId="CharCharCharCharCharCharCharCharCharC6">
    <w:name w:val="样式 纯文本孙普文字 Char Char CharCharChar Char纯文本 Char Char Char C...6"/>
    <w:basedOn w:val="ae"/>
    <w:rsid w:val="00CA16C7"/>
    <w:pPr>
      <w:spacing w:line="520" w:lineRule="exact"/>
      <w:ind w:firstLine="561"/>
    </w:pPr>
    <w:rPr>
      <w:rFonts w:ascii="Times New Roman" w:hAnsi="Times New Roman" w:cs="宋体"/>
      <w:color w:val="000000"/>
      <w:sz w:val="24"/>
    </w:rPr>
  </w:style>
  <w:style w:type="paragraph" w:customStyle="1" w:styleId="21215">
    <w:name w:val="样式 正文文本缩进正文文字 21正文文字( 首段缩进两字）正文文字缩进2字符 + 小四 行距: 1.5 倍行距 首行缩..."/>
    <w:basedOn w:val="ac"/>
    <w:rsid w:val="00CA16C7"/>
    <w:pPr>
      <w:ind w:firstLineChars="200" w:firstLine="200"/>
    </w:pPr>
    <w:rPr>
      <w:rFonts w:cs="宋体"/>
      <w:spacing w:val="0"/>
      <w:sz w:val="24"/>
      <w:szCs w:val="20"/>
    </w:rPr>
  </w:style>
  <w:style w:type="paragraph" w:customStyle="1" w:styleId="15192">
    <w:name w:val="样式 小四 黑色 行距: 1.5 倍行距 首行缩进:  1.92 字符"/>
    <w:basedOn w:val="a0"/>
    <w:rsid w:val="00CA16C7"/>
    <w:pPr>
      <w:spacing w:line="520" w:lineRule="exact"/>
      <w:ind w:firstLineChars="192" w:firstLine="192"/>
    </w:pPr>
    <w:rPr>
      <w:rFonts w:cs="宋体"/>
      <w:color w:val="000000"/>
      <w:sz w:val="24"/>
      <w:szCs w:val="20"/>
    </w:rPr>
  </w:style>
  <w:style w:type="paragraph" w:customStyle="1" w:styleId="xl34">
    <w:name w:val="xl34"/>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afffffffff2">
    <w:name w:val="二级标题"/>
    <w:basedOn w:val="a0"/>
    <w:next w:val="a0"/>
    <w:rsid w:val="00CA16C7"/>
    <w:pPr>
      <w:keepNext/>
      <w:adjustRightInd w:val="0"/>
      <w:spacing w:before="240" w:after="240" w:line="312" w:lineRule="atLeast"/>
      <w:jc w:val="center"/>
      <w:textAlignment w:val="baseline"/>
    </w:pPr>
    <w:rPr>
      <w:kern w:val="0"/>
      <w:szCs w:val="20"/>
    </w:rPr>
  </w:style>
  <w:style w:type="paragraph" w:customStyle="1" w:styleId="1505715">
    <w:name w:val="样式 小四 行距: 1.5 倍行距 左  0.57 字符 首行缩进:  1.5 字符"/>
    <w:basedOn w:val="a0"/>
    <w:rsid w:val="00CA16C7"/>
    <w:pPr>
      <w:spacing w:line="520" w:lineRule="exact"/>
      <w:ind w:leftChars="57" w:left="57" w:firstLineChars="150" w:firstLine="150"/>
    </w:pPr>
    <w:rPr>
      <w:rFonts w:cs="宋体"/>
      <w:sz w:val="24"/>
      <w:szCs w:val="20"/>
    </w:rPr>
  </w:style>
  <w:style w:type="paragraph" w:customStyle="1" w:styleId="1fd">
    <w:name w:val="列表1"/>
    <w:basedOn w:val="a0"/>
    <w:rsid w:val="00CA16C7"/>
    <w:pPr>
      <w:adjustRightInd w:val="0"/>
      <w:snapToGrid w:val="0"/>
      <w:spacing w:line="540" w:lineRule="atLeast"/>
      <w:ind w:left="200" w:hangingChars="200" w:hanging="200"/>
    </w:pPr>
    <w:rPr>
      <w:rFonts w:hint="eastAsia"/>
      <w:szCs w:val="20"/>
    </w:rPr>
  </w:style>
  <w:style w:type="paragraph" w:customStyle="1" w:styleId="xl52">
    <w:name w:val="xl52"/>
    <w:basedOn w:val="a0"/>
    <w:rsid w:val="00CA16C7"/>
    <w:pPr>
      <w:widowControl/>
      <w:pBdr>
        <w:top w:val="single" w:sz="8" w:space="0" w:color="auto"/>
        <w:left w:val="single" w:sz="8" w:space="0" w:color="auto"/>
      </w:pBdr>
      <w:spacing w:before="100" w:beforeAutospacing="1" w:after="100" w:afterAutospacing="1"/>
      <w:jc w:val="left"/>
    </w:pPr>
    <w:rPr>
      <w:rFonts w:ascii="宋体" w:hAnsi="宋体"/>
      <w:kern w:val="0"/>
      <w:sz w:val="24"/>
    </w:rPr>
  </w:style>
  <w:style w:type="paragraph" w:customStyle="1" w:styleId="101152">
    <w:name w:val="样式 标题 1 + 二号 黑色 居中 加宽量  0.1 磅 行距: 1.5 倍行距2"/>
    <w:basedOn w:val="1"/>
    <w:rsid w:val="00CA16C7"/>
    <w:pPr>
      <w:pageBreakBefore/>
      <w:spacing w:line="360" w:lineRule="auto"/>
      <w:jc w:val="center"/>
    </w:pPr>
    <w:rPr>
      <w:rFonts w:cs="宋体"/>
      <w:color w:val="000000"/>
      <w:spacing w:val="2"/>
      <w:szCs w:val="20"/>
    </w:rPr>
  </w:style>
  <w:style w:type="paragraph" w:customStyle="1" w:styleId="xl80">
    <w:name w:val="xl80"/>
    <w:basedOn w:val="a0"/>
    <w:rsid w:val="00CA16C7"/>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kern w:val="0"/>
      <w:sz w:val="24"/>
    </w:rPr>
  </w:style>
  <w:style w:type="paragraph" w:customStyle="1" w:styleId="64">
    <w:name w:val="河石管道 表格文字小五6"/>
    <w:rsid w:val="00CA16C7"/>
    <w:pPr>
      <w:widowControl w:val="0"/>
      <w:tabs>
        <w:tab w:val="left" w:pos="0"/>
        <w:tab w:val="left" w:pos="1659"/>
        <w:tab w:val="left" w:pos="2517"/>
      </w:tabs>
      <w:adjustRightInd w:val="0"/>
      <w:spacing w:line="0" w:lineRule="atLeast"/>
      <w:ind w:firstLineChars="17" w:firstLine="31"/>
      <w:jc w:val="both"/>
      <w:textAlignment w:val="baseline"/>
    </w:pPr>
    <w:rPr>
      <w:color w:val="FF0000"/>
      <w:sz w:val="18"/>
      <w:szCs w:val="18"/>
    </w:rPr>
  </w:style>
  <w:style w:type="paragraph" w:customStyle="1" w:styleId="CharCharCharCharCharCharCharChar1CharCharCharCharCharChar1CharCharCharCharCharCharCharCharCharChar0">
    <w:name w:val="Char Char Char Char Char Char Char Char1 Char Char Char Char Char Char1 Char Char Char Char Char Char Char Char Char Char"/>
    <w:basedOn w:val="a0"/>
    <w:rsid w:val="00CA16C7"/>
    <w:pPr>
      <w:widowControl/>
      <w:spacing w:after="160" w:line="240" w:lineRule="exact"/>
      <w:jc w:val="left"/>
    </w:pPr>
    <w:rPr>
      <w:rFonts w:ascii="Verdana" w:eastAsia="仿宋_GB2312" w:hAnsi="Verdana"/>
      <w:kern w:val="0"/>
      <w:szCs w:val="28"/>
    </w:rPr>
  </w:style>
  <w:style w:type="paragraph" w:customStyle="1" w:styleId="xl72">
    <w:name w:val="xl72"/>
    <w:basedOn w:val="a0"/>
    <w:rsid w:val="00CA16C7"/>
    <w:pPr>
      <w:widowControl/>
      <w:spacing w:before="100" w:beforeAutospacing="1" w:after="100" w:afterAutospacing="1"/>
      <w:jc w:val="center"/>
    </w:pPr>
    <w:rPr>
      <w:rFonts w:ascii="黑体" w:eastAsia="黑体" w:hAnsi="宋体" w:hint="eastAsia"/>
      <w:b/>
      <w:bCs/>
      <w:kern w:val="0"/>
      <w:szCs w:val="28"/>
    </w:rPr>
  </w:style>
  <w:style w:type="paragraph" w:customStyle="1" w:styleId="272">
    <w:name w:val="样式 宋体 四号 行距: 固定值 27 磅 首行缩进:  2 字符"/>
    <w:basedOn w:val="a0"/>
    <w:rsid w:val="00CA16C7"/>
    <w:pPr>
      <w:spacing w:line="540" w:lineRule="exact"/>
      <w:ind w:firstLineChars="200" w:firstLine="588"/>
    </w:pPr>
    <w:rPr>
      <w:rFonts w:ascii="宋体" w:hAnsi="宋体"/>
      <w:szCs w:val="20"/>
    </w:rPr>
  </w:style>
  <w:style w:type="paragraph" w:customStyle="1" w:styleId="2010">
    <w:name w:val="样式 正文文本缩进 2 + 五号 加宽量  0.1 磅"/>
    <w:basedOn w:val="23"/>
    <w:rsid w:val="00CA16C7"/>
    <w:pPr>
      <w:tabs>
        <w:tab w:val="left" w:pos="7380"/>
      </w:tabs>
      <w:snapToGrid w:val="0"/>
      <w:spacing w:after="120" w:line="240" w:lineRule="auto"/>
      <w:ind w:leftChars="200" w:left="200" w:firstLine="425"/>
    </w:pPr>
    <w:rPr>
      <w:color w:val="000000"/>
      <w:spacing w:val="2"/>
      <w:sz w:val="21"/>
      <w:szCs w:val="20"/>
      <w:lang w:val="de-DE"/>
    </w:rPr>
  </w:style>
  <w:style w:type="paragraph" w:customStyle="1" w:styleId="011523">
    <w:name w:val="样式 小四 黑色 加宽量  0.1 磅 行距: 1.5 倍行距 首行缩进:  2 字符"/>
    <w:basedOn w:val="a0"/>
    <w:rsid w:val="00CA16C7"/>
    <w:pPr>
      <w:spacing w:line="520" w:lineRule="exact"/>
      <w:ind w:firstLineChars="200" w:firstLine="200"/>
    </w:pPr>
    <w:rPr>
      <w:rFonts w:cs="宋体"/>
      <w:color w:val="000000"/>
      <w:spacing w:val="2"/>
      <w:sz w:val="24"/>
      <w:szCs w:val="20"/>
    </w:rPr>
  </w:style>
  <w:style w:type="paragraph" w:customStyle="1" w:styleId="afffffffff3">
    <w:name w:val="表中文本"/>
    <w:basedOn w:val="21"/>
    <w:rsid w:val="00CA16C7"/>
    <w:pPr>
      <w:spacing w:line="400" w:lineRule="exact"/>
      <w:ind w:left="0" w:firstLine="0"/>
      <w:jc w:val="center"/>
    </w:pPr>
    <w:rPr>
      <w:rFonts w:cs="宋体"/>
      <w:sz w:val="21"/>
      <w:szCs w:val="21"/>
    </w:rPr>
  </w:style>
  <w:style w:type="paragraph" w:customStyle="1" w:styleId="1810">
    <w:name w:val="样式 五号 黑色 居中 行距: 固定值 18 磅1"/>
    <w:basedOn w:val="a0"/>
    <w:rsid w:val="00CA16C7"/>
    <w:pPr>
      <w:jc w:val="center"/>
    </w:pPr>
    <w:rPr>
      <w:rFonts w:cs="宋体"/>
      <w:color w:val="000000"/>
      <w:sz w:val="21"/>
      <w:szCs w:val="20"/>
    </w:rPr>
  </w:style>
  <w:style w:type="paragraph" w:customStyle="1" w:styleId="xl32">
    <w:name w:val="xl32"/>
    <w:basedOn w:val="a0"/>
    <w:rsid w:val="00CA16C7"/>
    <w:pPr>
      <w:widowControl/>
      <w:pBdr>
        <w:top w:val="single" w:sz="8"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xl130">
    <w:name w:val="xl130"/>
    <w:basedOn w:val="a0"/>
    <w:rsid w:val="00CA16C7"/>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011525">
    <w:name w:val="样式 小四 加宽量  0.1 磅 行距: 1.5 倍行距 首行缩进:  2.5 字符"/>
    <w:basedOn w:val="a0"/>
    <w:rsid w:val="00CA16C7"/>
    <w:pPr>
      <w:spacing w:line="520" w:lineRule="exact"/>
      <w:ind w:firstLineChars="250" w:firstLine="250"/>
    </w:pPr>
    <w:rPr>
      <w:rFonts w:cs="宋体"/>
      <w:spacing w:val="2"/>
      <w:sz w:val="24"/>
      <w:szCs w:val="20"/>
    </w:rPr>
  </w:style>
  <w:style w:type="paragraph" w:customStyle="1" w:styleId="72">
    <w:name w:val="样式7"/>
    <w:basedOn w:val="a0"/>
    <w:rsid w:val="00CA16C7"/>
    <w:pPr>
      <w:spacing w:beforeLines="50" w:afterLines="50"/>
    </w:pPr>
    <w:rPr>
      <w:sz w:val="24"/>
    </w:rPr>
  </w:style>
  <w:style w:type="paragraph" w:customStyle="1" w:styleId="22XWH2H2111112SeSeChar22h240">
    <w:name w:val="样式 样式 标题 2标题 2XWH2H21节标题 1.11.1标题2Se节名Se Char二处标题 2标题2h2...4 + +..."/>
    <w:basedOn w:val="22XWH2H2111112SeSeChar22h24"/>
    <w:rsid w:val="00CA16C7"/>
    <w:pPr>
      <w:spacing w:before="156"/>
    </w:pPr>
    <w:rPr>
      <w:rFonts w:ascii="宋体" w:eastAsia="宋体" w:hAnsi="宋体"/>
      <w:b/>
      <w:color w:val="auto"/>
    </w:rPr>
  </w:style>
  <w:style w:type="paragraph" w:customStyle="1" w:styleId="xl26">
    <w:name w:val="xl26"/>
    <w:basedOn w:val="a0"/>
    <w:rsid w:val="00CA16C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2CharCharChars44">
    <w:name w:val="样式 正文缩进正文不缩进正文2正文（首行缩进两字）特点正文缩进 Char Char图标题正文缩进 Chars4 ...4"/>
    <w:basedOn w:val="a2"/>
    <w:rsid w:val="00CA16C7"/>
    <w:pPr>
      <w:tabs>
        <w:tab w:val="left" w:pos="7380"/>
      </w:tabs>
      <w:snapToGrid w:val="0"/>
      <w:spacing w:line="520" w:lineRule="exact"/>
      <w:ind w:firstLine="200"/>
    </w:pPr>
    <w:rPr>
      <w:rFonts w:cs="宋体"/>
      <w:color w:val="000000"/>
      <w:spacing w:val="-4"/>
      <w:kern w:val="21"/>
      <w:sz w:val="24"/>
      <w:szCs w:val="20"/>
    </w:rPr>
  </w:style>
  <w:style w:type="paragraph" w:customStyle="1" w:styleId="1030128">
    <w:name w:val="样式 小四 首行缩进:  1.03 厘米 加宽量  0.1 磅 行距: 固定值 28 磅"/>
    <w:basedOn w:val="a0"/>
    <w:rsid w:val="00CA16C7"/>
    <w:pPr>
      <w:spacing w:line="520" w:lineRule="exact"/>
      <w:ind w:firstLine="584"/>
    </w:pPr>
    <w:rPr>
      <w:rFonts w:cs="宋体"/>
      <w:spacing w:val="2"/>
      <w:sz w:val="24"/>
      <w:szCs w:val="20"/>
    </w:rPr>
  </w:style>
  <w:style w:type="paragraph" w:customStyle="1" w:styleId="016">
    <w:name w:val="样式 黑体 小四 加宽量  0.1 磅"/>
    <w:basedOn w:val="a0"/>
    <w:rsid w:val="00CA16C7"/>
    <w:pPr>
      <w:spacing w:line="520" w:lineRule="exact"/>
      <w:ind w:firstLine="488"/>
      <w:jc w:val="left"/>
    </w:pPr>
    <w:rPr>
      <w:rFonts w:ascii="黑体" w:eastAsia="黑体" w:hAnsi="黑体"/>
      <w:spacing w:val="2"/>
      <w:sz w:val="24"/>
      <w:szCs w:val="20"/>
    </w:rPr>
  </w:style>
  <w:style w:type="paragraph" w:customStyle="1" w:styleId="xl41">
    <w:name w:val="xl41"/>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CharCharCharCharCharCharCharCharCharC15">
    <w:name w:val="样式 纯文本孙普文字 Char Char CharCharChar Char纯文本 Char Char Char C...15"/>
    <w:basedOn w:val="ae"/>
    <w:rsid w:val="00CA16C7"/>
    <w:pPr>
      <w:spacing w:line="520" w:lineRule="exact"/>
      <w:ind w:firstLineChars="200" w:firstLine="200"/>
    </w:pPr>
    <w:rPr>
      <w:rFonts w:cs="宋体"/>
      <w:sz w:val="24"/>
    </w:rPr>
  </w:style>
  <w:style w:type="paragraph" w:customStyle="1" w:styleId="310">
    <w:name w:val="样式 标题 3 + 四号1"/>
    <w:basedOn w:val="30"/>
    <w:rsid w:val="00CA16C7"/>
    <w:pPr>
      <w:spacing w:before="120" w:after="0" w:line="360" w:lineRule="auto"/>
      <w:ind w:firstLineChars="163" w:firstLine="163"/>
    </w:pPr>
    <w:rPr>
      <w:bCs w:val="0"/>
      <w:sz w:val="28"/>
      <w:szCs w:val="20"/>
    </w:rPr>
  </w:style>
  <w:style w:type="paragraph" w:customStyle="1" w:styleId="me6">
    <w:name w:val="me正文缩进"/>
    <w:basedOn w:val="a0"/>
    <w:rsid w:val="00CA16C7"/>
    <w:pPr>
      <w:spacing w:line="360" w:lineRule="auto"/>
      <w:ind w:firstLineChars="200" w:firstLine="560"/>
      <w:jc w:val="left"/>
    </w:pPr>
    <w:rPr>
      <w:rFonts w:ascii="宋体" w:hAnsi="宋体"/>
      <w:color w:val="0000FF"/>
      <w:szCs w:val="28"/>
    </w:rPr>
  </w:style>
  <w:style w:type="paragraph" w:customStyle="1" w:styleId="2230">
    <w:name w:val="样式 标题 2 + 行距: 固定值 23 磅"/>
    <w:basedOn w:val="2"/>
    <w:rsid w:val="00CA16C7"/>
    <w:pPr>
      <w:keepNext w:val="0"/>
      <w:keepLines w:val="0"/>
      <w:spacing w:line="520" w:lineRule="exact"/>
    </w:pPr>
    <w:rPr>
      <w:rFonts w:ascii="Times New Roman" w:hAnsi="Times New Roman" w:cs="宋体"/>
      <w:bCs/>
      <w:sz w:val="28"/>
      <w:szCs w:val="28"/>
    </w:rPr>
  </w:style>
  <w:style w:type="paragraph" w:customStyle="1" w:styleId="CharCharCharChar1CharChar">
    <w:name w:val="Char Char Char Char1 Char Char"/>
    <w:basedOn w:val="a0"/>
    <w:rsid w:val="00CA16C7"/>
    <w:rPr>
      <w:sz w:val="21"/>
    </w:rPr>
  </w:style>
  <w:style w:type="paragraph" w:customStyle="1" w:styleId="08601150">
    <w:name w:val="样式 小四 左 首行缩进:  0.86 厘米 加宽量  0.1 磅 行距: 1.5 倍行距"/>
    <w:basedOn w:val="a0"/>
    <w:rsid w:val="00CA16C7"/>
    <w:pPr>
      <w:spacing w:line="520" w:lineRule="exact"/>
      <w:ind w:firstLine="488"/>
      <w:jc w:val="left"/>
    </w:pPr>
    <w:rPr>
      <w:rFonts w:cs="宋体"/>
      <w:spacing w:val="2"/>
      <w:sz w:val="24"/>
      <w:szCs w:val="20"/>
    </w:rPr>
  </w:style>
  <w:style w:type="paragraph" w:customStyle="1" w:styleId="041">
    <w:name w:val="表格04"/>
    <w:basedOn w:val="203"/>
    <w:rsid w:val="00CA16C7"/>
    <w:pPr>
      <w:spacing w:line="360" w:lineRule="exact"/>
    </w:pPr>
    <w:rPr>
      <w:snapToGrid w:val="0"/>
    </w:rPr>
  </w:style>
  <w:style w:type="paragraph" w:customStyle="1" w:styleId="203">
    <w:name w:val="样式 小五 居中 行距: 固定值 20 磅"/>
    <w:basedOn w:val="a0"/>
    <w:rsid w:val="00CA16C7"/>
    <w:pPr>
      <w:adjustRightInd w:val="0"/>
      <w:spacing w:line="320" w:lineRule="exact"/>
      <w:jc w:val="center"/>
      <w:textAlignment w:val="baseline"/>
    </w:pPr>
    <w:rPr>
      <w:spacing w:val="-2"/>
      <w:kern w:val="0"/>
      <w:sz w:val="18"/>
      <w:szCs w:val="18"/>
    </w:rPr>
  </w:style>
  <w:style w:type="paragraph" w:customStyle="1" w:styleId="afffffffff4">
    <w:name w:val="表头易"/>
    <w:basedOn w:val="a0"/>
    <w:qFormat/>
    <w:rsid w:val="00CA16C7"/>
    <w:pPr>
      <w:jc w:val="center"/>
    </w:pPr>
    <w:rPr>
      <w:rFonts w:ascii="Calibri" w:hAnsi="Calibri"/>
      <w:b/>
      <w:color w:val="000000"/>
      <w:sz w:val="24"/>
    </w:rPr>
  </w:style>
  <w:style w:type="paragraph" w:customStyle="1" w:styleId="06">
    <w:name w:val="0"/>
    <w:basedOn w:val="a0"/>
    <w:rsid w:val="00CA16C7"/>
    <w:pPr>
      <w:widowControl/>
      <w:snapToGrid w:val="0"/>
      <w:spacing w:line="365" w:lineRule="atLeast"/>
      <w:ind w:left="1"/>
      <w:textAlignment w:val="bottom"/>
    </w:pPr>
    <w:rPr>
      <w:kern w:val="0"/>
      <w:sz w:val="20"/>
      <w:szCs w:val="20"/>
    </w:rPr>
  </w:style>
  <w:style w:type="paragraph" w:customStyle="1" w:styleId="xl215">
    <w:name w:val="xl215"/>
    <w:basedOn w:val="a0"/>
    <w:rsid w:val="00CA16C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4"/>
    </w:rPr>
  </w:style>
  <w:style w:type="paragraph" w:customStyle="1" w:styleId="afffffffff5">
    <w:name w:val="小节标题"/>
    <w:basedOn w:val="a0"/>
    <w:next w:val="a0"/>
    <w:rsid w:val="00CA16C7"/>
    <w:pPr>
      <w:widowControl/>
      <w:spacing w:before="107" w:after="79" w:line="368" w:lineRule="atLeast"/>
      <w:ind w:firstLine="419"/>
      <w:jc w:val="left"/>
      <w:textAlignment w:val="baseline"/>
    </w:pPr>
    <w:rPr>
      <w:color w:val="000000"/>
      <w:kern w:val="0"/>
      <w:szCs w:val="20"/>
      <w:u w:color="000000"/>
    </w:rPr>
  </w:style>
  <w:style w:type="paragraph" w:customStyle="1" w:styleId="085153">
    <w:name w:val="样式 小四 首行缩进:  0.85 厘米 行距: 1.5 倍行距"/>
    <w:basedOn w:val="a0"/>
    <w:rsid w:val="00CA16C7"/>
    <w:pPr>
      <w:spacing w:line="520" w:lineRule="exact"/>
      <w:ind w:firstLine="482"/>
    </w:pPr>
    <w:rPr>
      <w:rFonts w:cs="宋体"/>
      <w:sz w:val="24"/>
      <w:szCs w:val="20"/>
    </w:rPr>
  </w:style>
  <w:style w:type="paragraph" w:customStyle="1" w:styleId="afffffffff6">
    <w:name w:val="煤炭正文"/>
    <w:basedOn w:val="a0"/>
    <w:rsid w:val="00CA16C7"/>
    <w:pPr>
      <w:spacing w:line="360" w:lineRule="exact"/>
      <w:ind w:firstLineChars="200" w:firstLine="200"/>
    </w:pPr>
    <w:rPr>
      <w:rFonts w:ascii="Calibri" w:hAnsi="Calibri"/>
      <w:sz w:val="24"/>
    </w:rPr>
  </w:style>
  <w:style w:type="paragraph" w:customStyle="1" w:styleId="22CharTimesNewRoman00">
    <w:name w:val="样式 标题 2标题 2 Char节 + (西文) Times New Roman (中文) 宋体 四号 段前: 0 磅..."/>
    <w:basedOn w:val="2"/>
    <w:rsid w:val="00CA16C7"/>
    <w:pPr>
      <w:spacing w:beforeLines="50" w:afterLines="50" w:line="520" w:lineRule="exact"/>
    </w:pPr>
    <w:rPr>
      <w:rFonts w:ascii="Times New Roman" w:eastAsia="宋体" w:hAnsi="Times New Roman" w:cs="宋体"/>
      <w:bCs/>
      <w:sz w:val="28"/>
    </w:rPr>
  </w:style>
  <w:style w:type="paragraph" w:customStyle="1" w:styleId="afffffffff7">
    <w:name w:val="文字"/>
    <w:basedOn w:val="a0"/>
    <w:rsid w:val="00CA16C7"/>
    <w:pPr>
      <w:ind w:firstLineChars="200" w:firstLine="200"/>
      <w:jc w:val="left"/>
    </w:pPr>
    <w:rPr>
      <w:rFonts w:ascii="楷体_GB2312" w:eastAsia="楷体_GB2312" w:hAnsi="Calibri"/>
      <w:kern w:val="0"/>
      <w:sz w:val="30"/>
    </w:rPr>
  </w:style>
  <w:style w:type="paragraph" w:customStyle="1" w:styleId="CharCharCharCharCharCharCharCharCharC16">
    <w:name w:val="样式 纯文本孙普文字 Char Char CharCharChar Char纯文本 Char Char Char C...16"/>
    <w:basedOn w:val="ae"/>
    <w:rsid w:val="00CA16C7"/>
    <w:pPr>
      <w:spacing w:line="520" w:lineRule="exact"/>
      <w:ind w:firstLineChars="200" w:firstLine="200"/>
    </w:pPr>
    <w:rPr>
      <w:rFonts w:ascii="Times New Roman" w:hAnsi="Times New Roman" w:cs="宋体"/>
      <w:sz w:val="24"/>
    </w:rPr>
  </w:style>
  <w:style w:type="paragraph" w:customStyle="1" w:styleId="afffffffff8">
    <w:name w:val="样式 纯文本 + 黑体 四号 加粗"/>
    <w:basedOn w:val="a0"/>
    <w:rsid w:val="00CA16C7"/>
    <w:rPr>
      <w:rFonts w:ascii="黑体" w:eastAsia="黑体" w:hAnsi="黑体"/>
      <w:b/>
      <w:bCs/>
      <w:szCs w:val="28"/>
    </w:rPr>
  </w:style>
  <w:style w:type="paragraph" w:customStyle="1" w:styleId="TT1">
    <w:name w:val="TT表格（中）"/>
    <w:basedOn w:val="a0"/>
    <w:next w:val="TT"/>
    <w:rsid w:val="00CA16C7"/>
    <w:pPr>
      <w:topLinePunct/>
      <w:adjustRightInd w:val="0"/>
      <w:snapToGrid w:val="0"/>
      <w:jc w:val="center"/>
    </w:pPr>
    <w:rPr>
      <w:sz w:val="21"/>
      <w:szCs w:val="21"/>
    </w:rPr>
  </w:style>
  <w:style w:type="paragraph" w:customStyle="1" w:styleId="07715">
    <w:name w:val="样式 小四 首行缩进:  0.77 厘米 行距: 1.5 倍行距"/>
    <w:basedOn w:val="a0"/>
    <w:rsid w:val="00CA16C7"/>
    <w:pPr>
      <w:spacing w:line="520" w:lineRule="exact"/>
      <w:ind w:firstLine="437"/>
    </w:pPr>
    <w:rPr>
      <w:rFonts w:cs="宋体"/>
      <w:sz w:val="24"/>
      <w:szCs w:val="20"/>
    </w:rPr>
  </w:style>
  <w:style w:type="paragraph" w:customStyle="1" w:styleId="afffffffff9">
    <w:name w:val="简单回函地址"/>
    <w:basedOn w:val="a0"/>
    <w:rsid w:val="00CA16C7"/>
    <w:pPr>
      <w:spacing w:line="360" w:lineRule="auto"/>
    </w:pPr>
    <w:rPr>
      <w:sz w:val="24"/>
    </w:rPr>
  </w:style>
  <w:style w:type="paragraph" w:customStyle="1" w:styleId="xl68">
    <w:name w:val="xl68"/>
    <w:basedOn w:val="a0"/>
    <w:rsid w:val="00CA16C7"/>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afffffffffa">
    <w:name w:val="封面"/>
    <w:basedOn w:val="a0"/>
    <w:rsid w:val="00CA16C7"/>
    <w:pPr>
      <w:widowControl/>
      <w:snapToGrid w:val="0"/>
      <w:ind w:firstLineChars="200" w:firstLine="200"/>
      <w:jc w:val="center"/>
    </w:pPr>
    <w:rPr>
      <w:rFonts w:ascii="Calibri" w:eastAsia="黑体" w:hAnsi="Calibri"/>
      <w:b/>
      <w:sz w:val="48"/>
    </w:rPr>
  </w:style>
  <w:style w:type="paragraph" w:customStyle="1" w:styleId="CharChar1CharCharCharCharChar1">
    <w:name w:val="样式 纯文本普通文字Char Char孙普文字普通文字1 Char Char Char纯文本 Char Char ...1"/>
    <w:basedOn w:val="ae"/>
    <w:rsid w:val="00CA16C7"/>
    <w:pPr>
      <w:spacing w:line="520" w:lineRule="exact"/>
      <w:ind w:firstLineChars="200" w:firstLine="200"/>
    </w:pPr>
    <w:rPr>
      <w:rFonts w:ascii="Times New Roman" w:hAnsi="Times New Roman" w:cs="宋体"/>
      <w:kern w:val="21"/>
      <w:sz w:val="24"/>
      <w:lang w:val="de-DE"/>
    </w:rPr>
  </w:style>
  <w:style w:type="paragraph" w:customStyle="1" w:styleId="Char1CharCharChar3">
    <w:name w:val="Char1 Char Char Char3"/>
    <w:basedOn w:val="aa"/>
    <w:rsid w:val="00CA16C7"/>
    <w:pPr>
      <w:adjustRightInd w:val="0"/>
      <w:spacing w:line="436" w:lineRule="exact"/>
      <w:ind w:left="357"/>
      <w:jc w:val="left"/>
      <w:outlineLvl w:val="3"/>
    </w:pPr>
    <w:rPr>
      <w:rFonts w:ascii="Tahoma" w:hAnsi="Tahoma"/>
      <w:b/>
      <w:sz w:val="24"/>
    </w:rPr>
  </w:style>
  <w:style w:type="paragraph" w:customStyle="1" w:styleId="48">
    <w:name w:val="样式 标题 4 + 字距调整四号"/>
    <w:basedOn w:val="4"/>
    <w:rsid w:val="00CA16C7"/>
    <w:pPr>
      <w:spacing w:before="0" w:after="0" w:line="520" w:lineRule="exact"/>
    </w:pPr>
    <w:rPr>
      <w:rFonts w:ascii="Times New Roman" w:eastAsia="宋体" w:hAnsi="Times New Roman"/>
      <w:b w:val="0"/>
      <w:kern w:val="28"/>
      <w:sz w:val="24"/>
    </w:rPr>
  </w:style>
  <w:style w:type="paragraph" w:customStyle="1" w:styleId="15225">
    <w:name w:val="样式 小四 行距: 1.5 倍行距 首行缩进:  2.25 字符"/>
    <w:basedOn w:val="a0"/>
    <w:rsid w:val="00CA16C7"/>
    <w:pPr>
      <w:spacing w:line="520" w:lineRule="exact"/>
      <w:ind w:firstLineChars="225" w:firstLine="225"/>
    </w:pPr>
    <w:rPr>
      <w:rFonts w:cs="宋体"/>
      <w:sz w:val="24"/>
      <w:szCs w:val="20"/>
    </w:rPr>
  </w:style>
  <w:style w:type="paragraph" w:customStyle="1" w:styleId="Char48">
    <w:name w:val="Char48"/>
    <w:basedOn w:val="a0"/>
    <w:rsid w:val="00CA16C7"/>
    <w:pPr>
      <w:spacing w:line="360" w:lineRule="auto"/>
      <w:ind w:firstLineChars="200" w:firstLine="200"/>
    </w:pPr>
    <w:rPr>
      <w:rFonts w:ascii="宋体" w:hAnsi="宋体" w:cs="宋体"/>
      <w:sz w:val="24"/>
    </w:rPr>
  </w:style>
  <w:style w:type="paragraph" w:customStyle="1" w:styleId="xl51">
    <w:name w:val="xl51"/>
    <w:basedOn w:val="a0"/>
    <w:rsid w:val="00CA16C7"/>
    <w:pPr>
      <w:widowControl/>
      <w:pBdr>
        <w:top w:val="single" w:sz="8"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20152">
    <w:name w:val="样式 正文文本 2 + 小四 黑色 左 段后: 0 磅 行距: 1.5 倍行距 首行缩进:  2 字符"/>
    <w:basedOn w:val="25"/>
    <w:rsid w:val="00CA16C7"/>
    <w:pPr>
      <w:ind w:firstLineChars="200" w:firstLine="200"/>
      <w:jc w:val="left"/>
    </w:pPr>
    <w:rPr>
      <w:rFonts w:ascii="Times New Roman" w:hAnsi="Times New Roman" w:cs="宋体"/>
      <w:szCs w:val="20"/>
    </w:rPr>
  </w:style>
  <w:style w:type="paragraph" w:customStyle="1" w:styleId="afffffffffb">
    <w:name w:val="表格名称"/>
    <w:basedOn w:val="a0"/>
    <w:qFormat/>
    <w:rsid w:val="00CA16C7"/>
    <w:pPr>
      <w:snapToGrid w:val="0"/>
      <w:jc w:val="center"/>
    </w:pPr>
    <w:rPr>
      <w:rFonts w:ascii="仿宋_GB2312" w:eastAsia="黑体" w:hAnsi="Arial Black"/>
      <w:kern w:val="44"/>
      <w:sz w:val="24"/>
      <w:szCs w:val="20"/>
    </w:rPr>
  </w:style>
  <w:style w:type="paragraph" w:customStyle="1" w:styleId="3MB33XW3h33rdlevelH3l3CTH31H32H33u3113">
    <w:name w:val="样式 标题 3MB3标题 3XW3h33rd levelH3l3CTH31H32H33u3条标题1.1...3"/>
    <w:basedOn w:val="30"/>
    <w:rsid w:val="00CA16C7"/>
    <w:pPr>
      <w:spacing w:before="0" w:after="0" w:line="520" w:lineRule="exact"/>
    </w:pPr>
    <w:rPr>
      <w:rFonts w:eastAsia="楷体_GB2312" w:cs="宋体"/>
      <w:b w:val="0"/>
      <w:bCs w:val="0"/>
      <w:sz w:val="28"/>
      <w:szCs w:val="20"/>
    </w:rPr>
  </w:style>
  <w:style w:type="paragraph" w:customStyle="1" w:styleId="afffffffffc">
    <w:name w:val="单倍行距"/>
    <w:basedOn w:val="a0"/>
    <w:rsid w:val="00CA16C7"/>
    <w:pPr>
      <w:ind w:firstLineChars="200" w:firstLine="560"/>
    </w:pPr>
    <w:rPr>
      <w:rFonts w:ascii="宋体" w:hAnsi="宋体" w:cs="宋体"/>
      <w:szCs w:val="20"/>
    </w:rPr>
  </w:style>
  <w:style w:type="paragraph" w:customStyle="1" w:styleId="0860126">
    <w:name w:val="样式 首行缩进:  0.86 厘米 加宽量  0.1 磅 行距: 固定值 26 磅"/>
    <w:basedOn w:val="a0"/>
    <w:rsid w:val="00CA16C7"/>
    <w:pPr>
      <w:spacing w:line="520" w:lineRule="exact"/>
      <w:ind w:firstLine="488"/>
    </w:pPr>
    <w:rPr>
      <w:rFonts w:cs="宋体"/>
      <w:spacing w:val="2"/>
      <w:sz w:val="24"/>
      <w:szCs w:val="20"/>
    </w:rPr>
  </w:style>
  <w:style w:type="paragraph" w:customStyle="1" w:styleId="49">
    <w:name w:val="样式4"/>
    <w:basedOn w:val="a0"/>
    <w:qFormat/>
    <w:rsid w:val="00CA16C7"/>
    <w:pPr>
      <w:spacing w:line="360" w:lineRule="exact"/>
      <w:jc w:val="center"/>
    </w:pPr>
    <w:rPr>
      <w:sz w:val="21"/>
      <w:szCs w:val="21"/>
    </w:rPr>
  </w:style>
  <w:style w:type="paragraph" w:customStyle="1" w:styleId="0851530">
    <w:name w:val="样式 小四 黑色 首行缩进:  0.85 厘米 行距: 1.5 倍行距3"/>
    <w:basedOn w:val="a0"/>
    <w:rsid w:val="00CA16C7"/>
    <w:pPr>
      <w:spacing w:line="520" w:lineRule="exact"/>
      <w:ind w:firstLine="482"/>
    </w:pPr>
    <w:rPr>
      <w:rFonts w:cs="宋体"/>
      <w:color w:val="000000"/>
      <w:sz w:val="24"/>
      <w:szCs w:val="20"/>
    </w:rPr>
  </w:style>
  <w:style w:type="paragraph" w:customStyle="1" w:styleId="156">
    <w:name w:val="样式 小四 黑色 左 行距: 1.5 倍行距"/>
    <w:basedOn w:val="a0"/>
    <w:rsid w:val="00CA16C7"/>
    <w:pPr>
      <w:spacing w:line="520" w:lineRule="exact"/>
      <w:jc w:val="left"/>
    </w:pPr>
    <w:rPr>
      <w:rFonts w:cs="宋体"/>
      <w:color w:val="000000"/>
      <w:kern w:val="0"/>
      <w:sz w:val="24"/>
      <w:szCs w:val="20"/>
    </w:rPr>
  </w:style>
  <w:style w:type="paragraph" w:customStyle="1" w:styleId="TT3">
    <w:name w:val="TT3级标题"/>
    <w:basedOn w:val="a0"/>
    <w:rsid w:val="00CA16C7"/>
    <w:pPr>
      <w:widowControl/>
      <w:topLinePunct/>
      <w:adjustRightInd w:val="0"/>
      <w:snapToGrid w:val="0"/>
      <w:spacing w:line="520" w:lineRule="exact"/>
      <w:jc w:val="left"/>
      <w:outlineLvl w:val="2"/>
    </w:pPr>
    <w:rPr>
      <w:rFonts w:eastAsia="黑体"/>
      <w:b/>
      <w:bCs/>
      <w:szCs w:val="28"/>
    </w:rPr>
  </w:style>
  <w:style w:type="paragraph" w:customStyle="1" w:styleId="157">
    <w:name w:val="样式 样式 四号 行距: 1.5 倍行距 + 小四"/>
    <w:basedOn w:val="150"/>
    <w:rsid w:val="00CA16C7"/>
    <w:pPr>
      <w:spacing w:line="520" w:lineRule="exact"/>
    </w:pPr>
    <w:rPr>
      <w:sz w:val="24"/>
    </w:rPr>
  </w:style>
  <w:style w:type="paragraph" w:customStyle="1" w:styleId="2CharCharChars41">
    <w:name w:val="样式 正文缩进正文不缩进正文2正文（首行缩进两字）特点正文缩进 Char Char图标题正文缩进 Chars4 ...1"/>
    <w:basedOn w:val="a2"/>
    <w:rsid w:val="00CA16C7"/>
    <w:pPr>
      <w:tabs>
        <w:tab w:val="left" w:pos="7380"/>
      </w:tabs>
      <w:snapToGrid w:val="0"/>
      <w:spacing w:line="520" w:lineRule="exact"/>
      <w:ind w:firstLineChars="210" w:firstLine="210"/>
    </w:pPr>
    <w:rPr>
      <w:rFonts w:cs="宋体"/>
      <w:color w:val="000000"/>
      <w:sz w:val="24"/>
      <w:szCs w:val="20"/>
    </w:rPr>
  </w:style>
  <w:style w:type="paragraph" w:customStyle="1" w:styleId="122">
    <w:name w:val="样式 五号 居中 行距: 固定值 12 磅"/>
    <w:basedOn w:val="a0"/>
    <w:rsid w:val="00CA16C7"/>
    <w:pPr>
      <w:adjustRightInd w:val="0"/>
      <w:snapToGrid w:val="0"/>
      <w:spacing w:line="240" w:lineRule="exact"/>
      <w:jc w:val="center"/>
    </w:pPr>
    <w:rPr>
      <w:rFonts w:cs="宋体"/>
      <w:sz w:val="21"/>
      <w:szCs w:val="20"/>
    </w:rPr>
  </w:style>
  <w:style w:type="paragraph" w:customStyle="1" w:styleId="afffffffffd">
    <w:name w:val="样式 小四 加粗 黑色 下划线"/>
    <w:basedOn w:val="a0"/>
    <w:rsid w:val="00CA16C7"/>
    <w:pPr>
      <w:tabs>
        <w:tab w:val="left" w:pos="2325"/>
      </w:tabs>
      <w:adjustRightInd w:val="0"/>
      <w:snapToGrid w:val="0"/>
      <w:spacing w:line="520" w:lineRule="exact"/>
      <w:ind w:firstLineChars="200" w:firstLine="200"/>
    </w:pPr>
    <w:rPr>
      <w:b/>
      <w:color w:val="000000"/>
      <w:sz w:val="24"/>
      <w:u w:val="single"/>
    </w:rPr>
  </w:style>
  <w:style w:type="paragraph" w:customStyle="1" w:styleId="CharChar1CharCharCharCharChar3">
    <w:name w:val="样式 纯文本普通文字Char Char孙普文字普通文字1 Char Char Char纯文本 Char Char ...3"/>
    <w:basedOn w:val="ae"/>
    <w:rsid w:val="00CA16C7"/>
    <w:pPr>
      <w:spacing w:line="520" w:lineRule="exact"/>
      <w:ind w:left="720"/>
    </w:pPr>
    <w:rPr>
      <w:rFonts w:ascii="Times New Roman" w:hAnsi="Times New Roman" w:cs="宋体"/>
      <w:kern w:val="21"/>
      <w:sz w:val="24"/>
      <w:lang w:val="de-DE"/>
    </w:rPr>
  </w:style>
  <w:style w:type="paragraph" w:customStyle="1" w:styleId="003">
    <w:name w:val="003"/>
    <w:basedOn w:val="a0"/>
    <w:rsid w:val="00CA16C7"/>
    <w:pPr>
      <w:spacing w:line="500" w:lineRule="exact"/>
      <w:ind w:firstLineChars="200" w:firstLine="200"/>
    </w:pPr>
    <w:rPr>
      <w:rFonts w:ascii="宋体" w:hAnsi="宋体" w:cs="宋体"/>
      <w:color w:val="000000"/>
      <w:sz w:val="24"/>
      <w:szCs w:val="20"/>
    </w:rPr>
  </w:style>
  <w:style w:type="paragraph" w:customStyle="1" w:styleId="zww">
    <w:name w:val="zww"/>
    <w:basedOn w:val="a0"/>
    <w:rsid w:val="00CA16C7"/>
    <w:pPr>
      <w:topLinePunct/>
      <w:spacing w:line="360" w:lineRule="auto"/>
      <w:ind w:firstLineChars="200" w:firstLine="480"/>
    </w:pPr>
    <w:rPr>
      <w:rFonts w:cs="宋体"/>
      <w:color w:val="FF6600"/>
      <w:kern w:val="0"/>
      <w:sz w:val="24"/>
    </w:rPr>
  </w:style>
  <w:style w:type="paragraph" w:customStyle="1" w:styleId="54">
    <w:name w:val="5"/>
    <w:rsid w:val="00CA16C7"/>
    <w:pPr>
      <w:widowControl w:val="0"/>
      <w:jc w:val="both"/>
    </w:pPr>
    <w:rPr>
      <w:kern w:val="2"/>
      <w:sz w:val="28"/>
    </w:rPr>
  </w:style>
  <w:style w:type="paragraph" w:customStyle="1" w:styleId="022">
    <w:name w:val="表格02"/>
    <w:basedOn w:val="a0"/>
    <w:rsid w:val="00CA16C7"/>
    <w:pPr>
      <w:adjustRightInd w:val="0"/>
      <w:snapToGrid w:val="0"/>
      <w:spacing w:line="360" w:lineRule="exact"/>
      <w:jc w:val="center"/>
    </w:pPr>
    <w:rPr>
      <w:snapToGrid w:val="0"/>
      <w:kern w:val="0"/>
      <w:sz w:val="24"/>
    </w:rPr>
  </w:style>
  <w:style w:type="paragraph" w:customStyle="1" w:styleId="xl24">
    <w:name w:val="xl24"/>
    <w:basedOn w:val="a0"/>
    <w:rsid w:val="00CA16C7"/>
    <w:pPr>
      <w:widowControl/>
      <w:pBdr>
        <w:bottom w:val="single" w:sz="4" w:space="0" w:color="auto"/>
        <w:right w:val="single" w:sz="4" w:space="0" w:color="auto"/>
      </w:pBdr>
      <w:spacing w:before="100" w:beforeAutospacing="1" w:after="100" w:afterAutospacing="1"/>
      <w:jc w:val="center"/>
      <w:textAlignment w:val="top"/>
    </w:pPr>
    <w:rPr>
      <w:rFonts w:eastAsia="Arial Unicode MS"/>
      <w:kern w:val="0"/>
      <w:sz w:val="21"/>
      <w:szCs w:val="21"/>
    </w:rPr>
  </w:style>
  <w:style w:type="paragraph" w:customStyle="1" w:styleId="3MB33XW3h33rdlevelH3l3CTH31H32H33u311">
    <w:name w:val="样式 标题 3MB3标题 3XW3h33rd levelH3l3CTH31H32H33u3条标题1.1..."/>
    <w:basedOn w:val="30"/>
    <w:rsid w:val="00CA16C7"/>
    <w:pPr>
      <w:spacing w:before="0" w:after="0" w:line="520" w:lineRule="exact"/>
    </w:pPr>
    <w:rPr>
      <w:rFonts w:eastAsia="楷体_GB2312" w:cs="宋体"/>
      <w:b w:val="0"/>
      <w:bCs w:val="0"/>
      <w:color w:val="000000"/>
      <w:sz w:val="28"/>
      <w:szCs w:val="20"/>
    </w:rPr>
  </w:style>
  <w:style w:type="paragraph" w:customStyle="1" w:styleId="2f9">
    <w:name w:val="样式 标题 2 + 两端对齐"/>
    <w:basedOn w:val="2"/>
    <w:rsid w:val="00CA16C7"/>
    <w:pPr>
      <w:widowControl/>
      <w:spacing w:before="240" w:after="240" w:line="240" w:lineRule="auto"/>
      <w:ind w:firstLineChars="945" w:firstLine="945"/>
      <w:jc w:val="center"/>
    </w:pPr>
    <w:rPr>
      <w:rFonts w:ascii="宋体" w:hAnsi="宋体"/>
      <w:kern w:val="0"/>
      <w:sz w:val="30"/>
    </w:rPr>
  </w:style>
  <w:style w:type="paragraph" w:customStyle="1" w:styleId="CharCharCharCharCharCharCharCharCharC17">
    <w:name w:val="样式 纯文本孙普文字 Char Char CharCharChar Char纯文本 Char Char Char C...17"/>
    <w:basedOn w:val="ae"/>
    <w:rsid w:val="00CA16C7"/>
    <w:pPr>
      <w:spacing w:line="520" w:lineRule="exact"/>
      <w:ind w:firstLineChars="200" w:firstLine="200"/>
      <w:jc w:val="left"/>
    </w:pPr>
    <w:rPr>
      <w:rFonts w:cs="宋体"/>
      <w:sz w:val="24"/>
    </w:rPr>
  </w:style>
  <w:style w:type="paragraph" w:customStyle="1" w:styleId="311">
    <w:name w:val="正文文本缩进 31"/>
    <w:basedOn w:val="a0"/>
    <w:rsid w:val="00CA16C7"/>
    <w:pPr>
      <w:adjustRightInd w:val="0"/>
      <w:snapToGrid w:val="0"/>
      <w:spacing w:line="540" w:lineRule="atLeast"/>
      <w:ind w:firstLine="560"/>
    </w:pPr>
    <w:rPr>
      <w:szCs w:val="20"/>
    </w:rPr>
  </w:style>
  <w:style w:type="paragraph" w:customStyle="1" w:styleId="afffffffffe">
    <w:name w:val="样式 段落 + 小四"/>
    <w:basedOn w:val="affffffffff"/>
    <w:rsid w:val="00CA16C7"/>
    <w:pPr>
      <w:adjustRightInd/>
      <w:snapToGrid/>
      <w:spacing w:line="520" w:lineRule="exact"/>
      <w:ind w:firstLine="578"/>
    </w:pPr>
    <w:rPr>
      <w:rFonts w:ascii="Times New Roman" w:hAnsi="Times New Roman"/>
      <w:snapToGrid/>
      <w:kern w:val="0"/>
      <w:sz w:val="24"/>
      <w:szCs w:val="28"/>
    </w:rPr>
  </w:style>
  <w:style w:type="paragraph" w:customStyle="1" w:styleId="affffffffff">
    <w:name w:val="段落"/>
    <w:basedOn w:val="a0"/>
    <w:rsid w:val="00CA16C7"/>
    <w:pPr>
      <w:adjustRightInd w:val="0"/>
      <w:snapToGrid w:val="0"/>
      <w:spacing w:line="300" w:lineRule="auto"/>
      <w:ind w:firstLine="539"/>
    </w:pPr>
    <w:rPr>
      <w:rFonts w:ascii="宋体" w:hAnsi="宋体"/>
      <w:snapToGrid w:val="0"/>
      <w:szCs w:val="20"/>
    </w:rPr>
  </w:style>
  <w:style w:type="paragraph" w:customStyle="1" w:styleId="3151">
    <w:name w:val="样式 3级标题 + 楷体 加粗 黑色 行距: 1.5 倍行距1"/>
    <w:basedOn w:val="a0"/>
    <w:rsid w:val="00CA16C7"/>
    <w:pPr>
      <w:spacing w:line="520" w:lineRule="exact"/>
      <w:outlineLvl w:val="2"/>
    </w:pPr>
    <w:rPr>
      <w:rFonts w:ascii="楷体" w:eastAsia="楷体_GB2312" w:hAnsi="楷体" w:cs="宋体"/>
      <w:b/>
      <w:bCs/>
      <w:color w:val="000000"/>
      <w:kern w:val="0"/>
      <w:szCs w:val="20"/>
    </w:rPr>
  </w:style>
  <w:style w:type="paragraph" w:customStyle="1" w:styleId="Char410">
    <w:name w:val="Char410"/>
    <w:basedOn w:val="a0"/>
    <w:rsid w:val="00CA16C7"/>
    <w:pPr>
      <w:spacing w:line="360" w:lineRule="auto"/>
      <w:ind w:firstLineChars="200" w:firstLine="200"/>
    </w:pPr>
    <w:rPr>
      <w:rFonts w:ascii="宋体" w:hAnsi="宋体" w:cs="宋体"/>
      <w:sz w:val="24"/>
    </w:rPr>
  </w:style>
  <w:style w:type="paragraph" w:customStyle="1" w:styleId="TT2">
    <w:name w:val="TT2级标题"/>
    <w:basedOn w:val="a0"/>
    <w:next w:val="TT"/>
    <w:rsid w:val="00CA16C7"/>
    <w:pPr>
      <w:widowControl/>
      <w:topLinePunct/>
      <w:adjustRightInd w:val="0"/>
      <w:snapToGrid w:val="0"/>
      <w:spacing w:line="520" w:lineRule="exact"/>
      <w:jc w:val="left"/>
      <w:outlineLvl w:val="1"/>
    </w:pPr>
    <w:rPr>
      <w:rFonts w:eastAsia="黑体"/>
      <w:b/>
      <w:bCs/>
      <w:szCs w:val="28"/>
    </w:rPr>
  </w:style>
  <w:style w:type="paragraph" w:customStyle="1" w:styleId="65">
    <w:name w:val="样式 小四 首行缩进:  6.5 字符"/>
    <w:basedOn w:val="a0"/>
    <w:rsid w:val="00CA16C7"/>
    <w:pPr>
      <w:spacing w:line="520" w:lineRule="exact"/>
      <w:ind w:firstLineChars="200" w:firstLine="200"/>
    </w:pPr>
    <w:rPr>
      <w:rFonts w:ascii="Calibri" w:hAnsi="Calibri" w:cs="宋体"/>
      <w:sz w:val="24"/>
      <w:szCs w:val="20"/>
    </w:rPr>
  </w:style>
  <w:style w:type="paragraph" w:customStyle="1" w:styleId="Style10">
    <w:name w:val="Style10"/>
    <w:basedOn w:val="a0"/>
    <w:rsid w:val="00CA16C7"/>
    <w:pPr>
      <w:adjustRightInd w:val="0"/>
      <w:jc w:val="left"/>
    </w:pPr>
    <w:rPr>
      <w:rFonts w:ascii="宋体"/>
      <w:kern w:val="0"/>
      <w:sz w:val="24"/>
    </w:rPr>
  </w:style>
  <w:style w:type="paragraph" w:customStyle="1" w:styleId="affffffffff0">
    <w:name w:val="样式 说明书正文 + +中文正文 小四 自动设置 字距调整四号"/>
    <w:basedOn w:val="afff2"/>
    <w:rsid w:val="00CA16C7"/>
    <w:pPr>
      <w:spacing w:line="520" w:lineRule="exact"/>
      <w:ind w:firstLine="200"/>
    </w:pPr>
    <w:rPr>
      <w:rFonts w:ascii="宋体" w:eastAsia="宋体" w:hAnsi="宋体"/>
      <w:color w:val="auto"/>
      <w:kern w:val="28"/>
      <w:sz w:val="24"/>
    </w:rPr>
  </w:style>
  <w:style w:type="paragraph" w:customStyle="1" w:styleId="1511">
    <w:name w:val="样式 (中文) 黑体 小四 行距: 1.5 倍行距 首行缩进:  11 字符"/>
    <w:basedOn w:val="a0"/>
    <w:rsid w:val="00CA16C7"/>
    <w:pPr>
      <w:spacing w:line="520" w:lineRule="exact"/>
      <w:ind w:firstLineChars="1100" w:firstLine="1100"/>
    </w:pPr>
    <w:rPr>
      <w:rFonts w:eastAsia="黑体" w:cs="宋体"/>
      <w:sz w:val="24"/>
      <w:szCs w:val="20"/>
    </w:rPr>
  </w:style>
  <w:style w:type="paragraph" w:customStyle="1" w:styleId="0120">
    <w:name w:val="样式 小四 加宽量  0.1 磅 首行缩进:  2 字符"/>
    <w:basedOn w:val="a0"/>
    <w:rsid w:val="00CA16C7"/>
    <w:pPr>
      <w:spacing w:line="520" w:lineRule="exact"/>
      <w:ind w:firstLineChars="200" w:firstLine="200"/>
    </w:pPr>
    <w:rPr>
      <w:rFonts w:cs="宋体"/>
      <w:spacing w:val="2"/>
      <w:sz w:val="24"/>
      <w:szCs w:val="20"/>
    </w:rPr>
  </w:style>
  <w:style w:type="paragraph" w:customStyle="1" w:styleId="0115220">
    <w:name w:val="样式 样式 小四 左 加宽量  0.1 磅 行距: 1.5 倍行距 首行缩进:  2 字符 + 首行缩进:  2 字符"/>
    <w:basedOn w:val="011524"/>
    <w:rsid w:val="00CA16C7"/>
  </w:style>
  <w:style w:type="paragraph" w:customStyle="1" w:styleId="011524">
    <w:name w:val="样式 小四 左 加宽量  0.1 磅 行距: 1.5 倍行距 首行缩进:  2 字符"/>
    <w:basedOn w:val="a0"/>
    <w:rsid w:val="00CA16C7"/>
    <w:pPr>
      <w:spacing w:line="520" w:lineRule="exact"/>
      <w:ind w:firstLineChars="200" w:firstLine="200"/>
      <w:jc w:val="left"/>
    </w:pPr>
    <w:rPr>
      <w:rFonts w:cs="宋体"/>
      <w:spacing w:val="2"/>
      <w:sz w:val="24"/>
      <w:szCs w:val="20"/>
    </w:rPr>
  </w:style>
  <w:style w:type="paragraph" w:customStyle="1" w:styleId="CharChar1CharCharCharChar">
    <w:name w:val="Char Char1 Char Char Char Char"/>
    <w:basedOn w:val="a0"/>
    <w:rsid w:val="00CA16C7"/>
    <w:pPr>
      <w:spacing w:line="360" w:lineRule="auto"/>
      <w:ind w:firstLineChars="200" w:firstLine="200"/>
    </w:pPr>
    <w:rPr>
      <w:rFonts w:eastAsia="黑体"/>
      <w:szCs w:val="28"/>
    </w:rPr>
  </w:style>
  <w:style w:type="paragraph" w:customStyle="1" w:styleId="xl78">
    <w:name w:val="xl78"/>
    <w:basedOn w:val="a0"/>
    <w:rsid w:val="00CA16C7"/>
    <w:pPr>
      <w:widowControl/>
      <w:pBdr>
        <w:top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07">
    <w:name w:val="正文 0 字符"/>
    <w:basedOn w:val="a0"/>
    <w:rsid w:val="00CA16C7"/>
    <w:pPr>
      <w:spacing w:line="520" w:lineRule="exact"/>
    </w:pPr>
    <w:rPr>
      <w:rFonts w:ascii="宋体" w:hAnsi="宋体" w:cs="宋体"/>
      <w:szCs w:val="20"/>
    </w:rPr>
  </w:style>
  <w:style w:type="paragraph" w:customStyle="1" w:styleId="font1">
    <w:name w:val="font1"/>
    <w:basedOn w:val="a0"/>
    <w:rsid w:val="00CA16C7"/>
    <w:pPr>
      <w:widowControl/>
      <w:spacing w:before="100" w:beforeAutospacing="1" w:after="100" w:afterAutospacing="1"/>
      <w:jc w:val="left"/>
    </w:pPr>
    <w:rPr>
      <w:rFonts w:ascii="宋体" w:hAnsi="宋体" w:cs="Arial Unicode MS" w:hint="eastAsia"/>
      <w:kern w:val="0"/>
      <w:sz w:val="24"/>
    </w:rPr>
  </w:style>
  <w:style w:type="paragraph" w:customStyle="1" w:styleId="1fe">
    <w:name w:val="普通(网站)1"/>
    <w:basedOn w:val="a0"/>
    <w:rsid w:val="00CA16C7"/>
    <w:pPr>
      <w:widowControl/>
      <w:adjustRightInd w:val="0"/>
      <w:snapToGrid w:val="0"/>
      <w:spacing w:before="100" w:beforeAutospacing="1" w:after="100" w:afterAutospacing="1" w:line="540" w:lineRule="atLeast"/>
      <w:jc w:val="left"/>
    </w:pPr>
    <w:rPr>
      <w:rFonts w:ascii="宋体" w:hAnsi="宋体"/>
      <w:kern w:val="0"/>
      <w:sz w:val="24"/>
    </w:rPr>
  </w:style>
  <w:style w:type="paragraph" w:customStyle="1" w:styleId="211">
    <w:name w:val="样式 正文文本缩进正文文字 21 + 小四"/>
    <w:basedOn w:val="ac"/>
    <w:rsid w:val="00CA16C7"/>
    <w:pPr>
      <w:ind w:firstLine="578"/>
    </w:pPr>
    <w:rPr>
      <w:sz w:val="24"/>
    </w:rPr>
  </w:style>
  <w:style w:type="paragraph" w:customStyle="1" w:styleId="affffffffff1">
    <w:name w:val="居中"/>
    <w:basedOn w:val="a0"/>
    <w:qFormat/>
    <w:rsid w:val="00CA16C7"/>
    <w:pPr>
      <w:jc w:val="center"/>
    </w:pPr>
    <w:rPr>
      <w:rFonts w:ascii="宋体" w:hAnsi="宋体"/>
    </w:rPr>
  </w:style>
  <w:style w:type="paragraph" w:customStyle="1" w:styleId="011505715">
    <w:name w:val="样式 小四 加宽量  0.1 磅 行距: 1.5 倍行距 左  0.57 字符 首行缩进:  1.5 字符"/>
    <w:basedOn w:val="a0"/>
    <w:rsid w:val="00CA16C7"/>
    <w:pPr>
      <w:spacing w:line="520" w:lineRule="exact"/>
      <w:ind w:leftChars="57" w:left="57" w:firstLineChars="150" w:firstLine="150"/>
    </w:pPr>
    <w:rPr>
      <w:rFonts w:cs="宋体"/>
      <w:spacing w:val="2"/>
      <w:sz w:val="24"/>
      <w:szCs w:val="20"/>
    </w:rPr>
  </w:style>
  <w:style w:type="paragraph" w:customStyle="1" w:styleId="cs10additiveDefaultP">
    <w:name w:val="*cs10 additive Default P"/>
    <w:rsid w:val="00CA16C7"/>
    <w:pPr>
      <w:widowControl w:val="0"/>
      <w:adjustRightInd w:val="0"/>
      <w:textAlignment w:val="baseline"/>
    </w:pPr>
    <w:rPr>
      <w:rFonts w:ascii="宋体"/>
      <w:sz w:val="21"/>
    </w:rPr>
  </w:style>
  <w:style w:type="paragraph" w:customStyle="1" w:styleId="262">
    <w:name w:val="样式 (符号) 宋体 小四 行距: 固定值 26 磅 首行缩进:  2 字符"/>
    <w:basedOn w:val="a0"/>
    <w:rsid w:val="00CA16C7"/>
    <w:pPr>
      <w:spacing w:line="520" w:lineRule="exact"/>
      <w:ind w:firstLineChars="200" w:firstLine="200"/>
    </w:pPr>
    <w:rPr>
      <w:rFonts w:hAnsi="宋体" w:cs="宋体"/>
      <w:sz w:val="24"/>
      <w:szCs w:val="20"/>
    </w:rPr>
  </w:style>
  <w:style w:type="paragraph" w:customStyle="1" w:styleId="2015021">
    <w:name w:val="样式 正文文本缩进 2 + 小四 黑色 段后: 0 磅 行距: 1.5 倍行距 左  0 字符 首行缩进:  2 字符1"/>
    <w:basedOn w:val="23"/>
    <w:rsid w:val="00CA16C7"/>
    <w:pPr>
      <w:ind w:firstLineChars="200" w:firstLine="200"/>
    </w:pPr>
    <w:rPr>
      <w:rFonts w:cs="宋体"/>
      <w:color w:val="000000"/>
      <w:sz w:val="24"/>
      <w:szCs w:val="20"/>
    </w:rPr>
  </w:style>
  <w:style w:type="paragraph" w:customStyle="1" w:styleId="151515">
    <w:name w:val="样式 样式 小四 行距: 1.5 倍行距 首行缩进:  1.5 字符 + 首行缩进:  1.5 字符"/>
    <w:basedOn w:val="15150"/>
    <w:rsid w:val="00CA16C7"/>
  </w:style>
  <w:style w:type="paragraph" w:customStyle="1" w:styleId="affffffffff2">
    <w:name w:val="环龙公司文本正文"/>
    <w:rsid w:val="00CA16C7"/>
    <w:pPr>
      <w:widowControl w:val="0"/>
      <w:spacing w:line="360" w:lineRule="auto"/>
      <w:ind w:firstLineChars="200" w:firstLine="200"/>
      <w:jc w:val="both"/>
    </w:pPr>
    <w:rPr>
      <w:kern w:val="2"/>
      <w:sz w:val="24"/>
    </w:rPr>
  </w:style>
  <w:style w:type="paragraph" w:customStyle="1" w:styleId="011526">
    <w:name w:val="样式 小四 加宽量  0.1 磅 行距: 1.5 倍行距 首行缩进:  2 字符"/>
    <w:basedOn w:val="a0"/>
    <w:rsid w:val="00CA16C7"/>
    <w:pPr>
      <w:spacing w:line="520" w:lineRule="exact"/>
      <w:ind w:firstLineChars="200" w:firstLine="200"/>
    </w:pPr>
    <w:rPr>
      <w:rFonts w:cs="宋体"/>
      <w:spacing w:val="2"/>
      <w:sz w:val="24"/>
      <w:szCs w:val="20"/>
    </w:rPr>
  </w:style>
  <w:style w:type="paragraph" w:customStyle="1" w:styleId="2fa">
    <w:name w:val="样式 首行缩进:  2 字符 字距调整八号"/>
    <w:basedOn w:val="a0"/>
    <w:rsid w:val="00CA16C7"/>
    <w:pPr>
      <w:spacing w:line="520" w:lineRule="exact"/>
      <w:ind w:firstLineChars="200" w:firstLine="560"/>
      <w:jc w:val="left"/>
    </w:pPr>
    <w:rPr>
      <w:rFonts w:ascii="Calibri" w:hAnsi="Calibri"/>
      <w:sz w:val="24"/>
    </w:rPr>
  </w:style>
  <w:style w:type="paragraph" w:customStyle="1" w:styleId="241">
    <w:name w:val="样式 首行缩进:  2 字符4"/>
    <w:basedOn w:val="a0"/>
    <w:rsid w:val="00CA16C7"/>
    <w:pPr>
      <w:widowControl/>
      <w:spacing w:line="360" w:lineRule="auto"/>
      <w:ind w:firstLineChars="200" w:firstLine="560"/>
      <w:textAlignment w:val="baseline"/>
    </w:pPr>
    <w:rPr>
      <w:rFonts w:cs="宋体"/>
      <w:kern w:val="0"/>
      <w:szCs w:val="20"/>
      <w:u w:color="000000"/>
    </w:rPr>
  </w:style>
  <w:style w:type="paragraph" w:customStyle="1" w:styleId="099151">
    <w:name w:val="样式 小四 黑色 首行缩进:  0.99 厘米 行距: 1.5 倍行距"/>
    <w:basedOn w:val="a0"/>
    <w:rsid w:val="00CA16C7"/>
    <w:pPr>
      <w:spacing w:line="520" w:lineRule="exact"/>
      <w:ind w:firstLine="561"/>
    </w:pPr>
    <w:rPr>
      <w:rFonts w:cs="宋体"/>
      <w:color w:val="000000"/>
      <w:sz w:val="24"/>
      <w:szCs w:val="20"/>
    </w:rPr>
  </w:style>
  <w:style w:type="paragraph" w:customStyle="1" w:styleId="230">
    <w:name w:val="正文文本缩进 23"/>
    <w:basedOn w:val="a0"/>
    <w:rsid w:val="00CA16C7"/>
    <w:pPr>
      <w:adjustRightInd w:val="0"/>
      <w:ind w:firstLine="560"/>
      <w:textAlignment w:val="baseline"/>
    </w:pPr>
    <w:rPr>
      <w:szCs w:val="20"/>
    </w:rPr>
  </w:style>
  <w:style w:type="paragraph" w:customStyle="1" w:styleId="3150">
    <w:name w:val="样式 标题 3 + 宋体 黑色 行距: 1.5 倍行距"/>
    <w:basedOn w:val="30"/>
    <w:rsid w:val="00CA16C7"/>
    <w:pPr>
      <w:spacing w:before="0" w:after="0" w:line="560" w:lineRule="exact"/>
      <w:ind w:firstLineChars="200" w:firstLine="562"/>
    </w:pPr>
    <w:rPr>
      <w:rFonts w:ascii="宋体"/>
      <w:sz w:val="28"/>
      <w:szCs w:val="24"/>
    </w:rPr>
  </w:style>
  <w:style w:type="paragraph" w:customStyle="1" w:styleId="08601151">
    <w:name w:val="样式 小四 首行缩进:  0.86 厘米 加宽量  0.1 磅 行距: 1.5 倍行距"/>
    <w:basedOn w:val="a0"/>
    <w:rsid w:val="00CA16C7"/>
    <w:pPr>
      <w:spacing w:line="520" w:lineRule="exact"/>
      <w:ind w:firstLine="488"/>
    </w:pPr>
    <w:rPr>
      <w:rFonts w:cs="宋体"/>
      <w:spacing w:val="2"/>
      <w:sz w:val="24"/>
      <w:szCs w:val="20"/>
    </w:rPr>
  </w:style>
  <w:style w:type="paragraph" w:customStyle="1" w:styleId="a50">
    <w:name w:val="a5"/>
    <w:basedOn w:val="a0"/>
    <w:rsid w:val="00CA16C7"/>
    <w:pPr>
      <w:widowControl/>
      <w:spacing w:before="100" w:beforeAutospacing="1" w:after="100" w:afterAutospacing="1" w:line="520" w:lineRule="exact"/>
      <w:jc w:val="left"/>
    </w:pPr>
    <w:rPr>
      <w:rFonts w:ascii="宋体" w:hAnsi="宋体"/>
      <w:kern w:val="0"/>
      <w:sz w:val="24"/>
      <w:szCs w:val="20"/>
    </w:rPr>
  </w:style>
  <w:style w:type="paragraph" w:customStyle="1" w:styleId="228">
    <w:name w:val="样式 我的标题2 + 行距: 固定值 28 磅"/>
    <w:basedOn w:val="2f2"/>
    <w:rsid w:val="00CA16C7"/>
    <w:pPr>
      <w:spacing w:afterLines="0" w:line="560" w:lineRule="exact"/>
    </w:pPr>
    <w:rPr>
      <w:rFonts w:cs="宋体"/>
      <w:bCs/>
      <w:szCs w:val="20"/>
    </w:rPr>
  </w:style>
  <w:style w:type="paragraph" w:customStyle="1" w:styleId="xl82">
    <w:name w:val="xl82"/>
    <w:basedOn w:val="a0"/>
    <w:rsid w:val="00CA16C7"/>
    <w:pPr>
      <w:widowControl/>
      <w:pBdr>
        <w:top w:val="single" w:sz="8"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2TimesNewRomanGB23120">
    <w:name w:val="样式 标题 2 + (西文) Times New Roman (中文) 仿宋_GB2312 小四 黑色 段前: 0 磅..."/>
    <w:basedOn w:val="afffffff6"/>
    <w:rsid w:val="00CA16C7"/>
    <w:pPr>
      <w:spacing w:line="360" w:lineRule="auto"/>
    </w:pPr>
    <w:rPr>
      <w:rFonts w:eastAsia="仿宋_GB2312" w:cs="宋体"/>
      <w:bCs/>
      <w:color w:val="000000"/>
      <w:sz w:val="24"/>
    </w:rPr>
  </w:style>
  <w:style w:type="paragraph" w:customStyle="1" w:styleId="1ff">
    <w:name w:val="样式 标题 1 + (中文) 黑体 小二 非加粗"/>
    <w:basedOn w:val="1"/>
    <w:rsid w:val="00CA16C7"/>
    <w:pPr>
      <w:keepNext w:val="0"/>
      <w:keepLines w:val="0"/>
      <w:pageBreakBefore/>
      <w:spacing w:after="0" w:line="360" w:lineRule="auto"/>
      <w:jc w:val="center"/>
    </w:pPr>
    <w:rPr>
      <w:rFonts w:eastAsia="黑体"/>
      <w:b w:val="0"/>
      <w:bCs w:val="0"/>
      <w:sz w:val="36"/>
    </w:rPr>
  </w:style>
  <w:style w:type="paragraph" w:customStyle="1" w:styleId="Normal">
    <w:name w:val="正文Normal"/>
    <w:basedOn w:val="a0"/>
    <w:rsid w:val="00CA16C7"/>
    <w:pPr>
      <w:adjustRightInd w:val="0"/>
      <w:snapToGrid w:val="0"/>
      <w:spacing w:line="450" w:lineRule="atLeast"/>
    </w:pPr>
    <w:rPr>
      <w:rFonts w:ascii="宋体"/>
      <w:snapToGrid w:val="0"/>
      <w:spacing w:val="10"/>
      <w:kern w:val="0"/>
      <w:szCs w:val="20"/>
    </w:rPr>
  </w:style>
  <w:style w:type="paragraph" w:customStyle="1" w:styleId="3f0">
    <w:name w:val="样式3（代正文）"/>
    <w:rsid w:val="00CA16C7"/>
    <w:pPr>
      <w:widowControl w:val="0"/>
      <w:adjustRightInd w:val="0"/>
      <w:snapToGrid w:val="0"/>
      <w:spacing w:line="600" w:lineRule="exact"/>
      <w:ind w:firstLineChars="200" w:firstLine="560"/>
    </w:pPr>
    <w:rPr>
      <w:snapToGrid w:val="0"/>
      <w:color w:val="FF00FF"/>
      <w:sz w:val="28"/>
    </w:rPr>
  </w:style>
  <w:style w:type="paragraph" w:customStyle="1" w:styleId="124">
    <w:name w:val="标题 12"/>
    <w:basedOn w:val="1c"/>
    <w:next w:val="1c"/>
    <w:rsid w:val="00CA16C7"/>
    <w:pPr>
      <w:adjustRightInd w:val="0"/>
      <w:spacing w:beforeLines="0" w:afterLines="0" w:line="315" w:lineRule="atLeast"/>
      <w:ind w:firstLineChars="0" w:firstLine="0"/>
      <w:jc w:val="left"/>
      <w:textAlignment w:val="baseline"/>
    </w:pPr>
    <w:rPr>
      <w:rFonts w:ascii="宋体"/>
      <w:b/>
      <w:kern w:val="0"/>
      <w:sz w:val="60"/>
      <w:szCs w:val="20"/>
    </w:rPr>
  </w:style>
  <w:style w:type="paragraph" w:customStyle="1" w:styleId="CharCharCharCharCharCharCharCharCharC2">
    <w:name w:val="样式 纯文本孙普文字 Char Char CharCharChar Char纯文本 Char Char Char C...2"/>
    <w:basedOn w:val="ae"/>
    <w:rsid w:val="00CA16C7"/>
    <w:pPr>
      <w:spacing w:line="520" w:lineRule="exact"/>
    </w:pPr>
    <w:rPr>
      <w:rFonts w:ascii="Times New Roman" w:hAnsi="Times New Roman"/>
      <w:color w:val="000000"/>
      <w:sz w:val="24"/>
    </w:rPr>
  </w:style>
  <w:style w:type="paragraph" w:customStyle="1" w:styleId="affffffffff3">
    <w:name w:val="表格（报告书）"/>
    <w:next w:val="a0"/>
    <w:rsid w:val="00CA16C7"/>
    <w:pPr>
      <w:jc w:val="center"/>
    </w:pPr>
    <w:rPr>
      <w:kern w:val="2"/>
      <w:sz w:val="21"/>
      <w:szCs w:val="21"/>
    </w:rPr>
  </w:style>
  <w:style w:type="paragraph" w:customStyle="1" w:styleId="44CharChar4">
    <w:name w:val="样式 标题 4标题 4 Char Char常用标题 4 +"/>
    <w:basedOn w:val="4"/>
    <w:rsid w:val="00CA16C7"/>
    <w:pPr>
      <w:spacing w:before="0" w:after="0" w:line="520" w:lineRule="exact"/>
    </w:pPr>
    <w:rPr>
      <w:rFonts w:eastAsia="宋体"/>
      <w:b w:val="0"/>
      <w:kern w:val="0"/>
      <w:sz w:val="24"/>
    </w:rPr>
  </w:style>
  <w:style w:type="paragraph" w:customStyle="1" w:styleId="CharCharCharCharCharCharCharCharCharC7">
    <w:name w:val="样式 纯文本孙普文字 Char Char CharCharChar Char纯文本 Char Char Char C...7"/>
    <w:basedOn w:val="ae"/>
    <w:rsid w:val="00CA16C7"/>
    <w:pPr>
      <w:spacing w:line="520" w:lineRule="exact"/>
      <w:ind w:firstLine="573"/>
    </w:pPr>
    <w:rPr>
      <w:rFonts w:ascii="Times New Roman" w:hAnsi="Times New Roman" w:cs="宋体"/>
      <w:color w:val="000000"/>
      <w:sz w:val="24"/>
    </w:rPr>
  </w:style>
  <w:style w:type="paragraph" w:customStyle="1" w:styleId="xl49">
    <w:name w:val="xl49"/>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1ff0">
    <w:name w:val="表中文字1"/>
    <w:rsid w:val="00CA16C7"/>
    <w:pPr>
      <w:widowControl w:val="0"/>
      <w:jc w:val="center"/>
    </w:pPr>
    <w:rPr>
      <w:rFonts w:ascii="宋体" w:hAnsi="宋体"/>
      <w:bCs/>
      <w:kern w:val="2"/>
      <w:sz w:val="21"/>
    </w:rPr>
  </w:style>
  <w:style w:type="paragraph" w:customStyle="1" w:styleId="affffffffff4">
    <w:name w:val="样式 宋体 小四"/>
    <w:basedOn w:val="a0"/>
    <w:rsid w:val="00CA16C7"/>
    <w:pPr>
      <w:spacing w:line="520" w:lineRule="exact"/>
      <w:jc w:val="center"/>
    </w:pPr>
    <w:rPr>
      <w:rFonts w:ascii="宋体" w:hAnsi="宋体"/>
      <w:sz w:val="24"/>
      <w:szCs w:val="20"/>
    </w:rPr>
  </w:style>
  <w:style w:type="paragraph" w:customStyle="1" w:styleId="161">
    <w:name w:val="16"/>
    <w:basedOn w:val="a0"/>
    <w:rsid w:val="00CA16C7"/>
    <w:pPr>
      <w:widowControl/>
      <w:snapToGrid w:val="0"/>
      <w:spacing w:before="156" w:after="100" w:afterAutospacing="1" w:line="540" w:lineRule="atLeast"/>
      <w:ind w:hanging="1"/>
    </w:pPr>
    <w:rPr>
      <w:kern w:val="0"/>
      <w:szCs w:val="28"/>
    </w:rPr>
  </w:style>
  <w:style w:type="paragraph" w:customStyle="1" w:styleId="4TimesNewRoman1">
    <w:name w:val="样式 样式4 + Times New Roman 小四1"/>
    <w:basedOn w:val="49"/>
    <w:rsid w:val="00CA16C7"/>
    <w:pPr>
      <w:keepNext/>
      <w:keepLines/>
      <w:spacing w:line="520" w:lineRule="exact"/>
      <w:jc w:val="both"/>
      <w:outlineLvl w:val="2"/>
    </w:pPr>
    <w:rPr>
      <w:kern w:val="0"/>
      <w:sz w:val="24"/>
      <w:szCs w:val="20"/>
    </w:rPr>
  </w:style>
  <w:style w:type="paragraph" w:customStyle="1" w:styleId="CharChar40">
    <w:name w:val="Char Char4"/>
    <w:basedOn w:val="a0"/>
    <w:rsid w:val="00CA16C7"/>
    <w:pPr>
      <w:spacing w:beforeLines="100" w:afterLines="50" w:line="600" w:lineRule="exact"/>
      <w:ind w:firstLineChars="200" w:firstLine="200"/>
    </w:pPr>
    <w:rPr>
      <w:rFonts w:eastAsia="黑体"/>
    </w:rPr>
  </w:style>
  <w:style w:type="paragraph" w:customStyle="1" w:styleId="242">
    <w:name w:val="样式 (符号) 宋体 小四 行距: 固定值 24 磅 首行缩进:  2 字符"/>
    <w:basedOn w:val="a0"/>
    <w:rsid w:val="00CA16C7"/>
    <w:pPr>
      <w:spacing w:line="520" w:lineRule="exact"/>
      <w:ind w:firstLineChars="200" w:firstLine="200"/>
    </w:pPr>
    <w:rPr>
      <w:rFonts w:hAnsi="宋体" w:cs="宋体"/>
      <w:sz w:val="24"/>
      <w:szCs w:val="20"/>
    </w:rPr>
  </w:style>
  <w:style w:type="paragraph" w:customStyle="1" w:styleId="086150">
    <w:name w:val="样式 小四 左 首行缩进:  0.86 厘米 行距: 1.5 倍行距"/>
    <w:basedOn w:val="a0"/>
    <w:rsid w:val="00CA16C7"/>
    <w:pPr>
      <w:spacing w:line="520" w:lineRule="exact"/>
      <w:ind w:firstLine="488"/>
      <w:jc w:val="left"/>
    </w:pPr>
    <w:rPr>
      <w:rFonts w:cs="宋体"/>
      <w:sz w:val="24"/>
      <w:szCs w:val="20"/>
    </w:rPr>
  </w:style>
  <w:style w:type="paragraph" w:customStyle="1" w:styleId="2fb">
    <w:name w:val="样式 正文文本 2 + 黑体 小四"/>
    <w:basedOn w:val="25"/>
    <w:rsid w:val="00CA16C7"/>
    <w:pPr>
      <w:spacing w:line="240" w:lineRule="auto"/>
    </w:pPr>
    <w:rPr>
      <w:rFonts w:ascii="黑体" w:eastAsia="黑体" w:hAnsi="黑体"/>
      <w:color w:val="auto"/>
      <w:sz w:val="21"/>
    </w:rPr>
  </w:style>
  <w:style w:type="paragraph" w:customStyle="1" w:styleId="3MB3h33rdlevelH3Head3level3PIM3Level3Head3">
    <w:name w:val="样式 标题 3头MB3h33rd levelH3Head 3level_3PIM 3Level 3 Head...3"/>
    <w:basedOn w:val="30"/>
    <w:rsid w:val="00CA16C7"/>
    <w:pPr>
      <w:spacing w:before="120" w:after="120" w:line="520" w:lineRule="exact"/>
    </w:pPr>
    <w:rPr>
      <w:kern w:val="28"/>
      <w:sz w:val="28"/>
    </w:rPr>
  </w:style>
  <w:style w:type="paragraph" w:customStyle="1" w:styleId="101151">
    <w:name w:val="样式 标题 1 + 居中 加宽量  0.1 磅 行距: 1.5 倍行距"/>
    <w:basedOn w:val="1"/>
    <w:rsid w:val="00CA16C7"/>
    <w:pPr>
      <w:pageBreakBefore/>
      <w:spacing w:line="360" w:lineRule="auto"/>
      <w:jc w:val="center"/>
    </w:pPr>
    <w:rPr>
      <w:rFonts w:cs="宋体"/>
      <w:spacing w:val="2"/>
      <w:szCs w:val="20"/>
    </w:rPr>
  </w:style>
  <w:style w:type="paragraph" w:customStyle="1" w:styleId="Default">
    <w:name w:val="Default"/>
    <w:qFormat/>
    <w:rsid w:val="00CA16C7"/>
    <w:pPr>
      <w:widowControl w:val="0"/>
      <w:autoSpaceDE w:val="0"/>
      <w:autoSpaceDN w:val="0"/>
      <w:adjustRightInd w:val="0"/>
    </w:pPr>
    <w:rPr>
      <w:color w:val="000000"/>
      <w:sz w:val="24"/>
      <w:szCs w:val="24"/>
    </w:rPr>
  </w:style>
  <w:style w:type="paragraph" w:customStyle="1" w:styleId="10129">
    <w:name w:val="样式 宋体 四号 蓝色 首行缩进:  1.01 厘米 行距: 固定值 29 磅"/>
    <w:basedOn w:val="a0"/>
    <w:rsid w:val="00CA16C7"/>
    <w:pPr>
      <w:spacing w:beforeLines="50" w:afterLines="50" w:line="240" w:lineRule="atLeast"/>
    </w:pPr>
    <w:rPr>
      <w:rFonts w:ascii="宋体" w:hAnsi="宋体" w:cs="宋体"/>
      <w:sz w:val="21"/>
      <w:szCs w:val="21"/>
    </w:rPr>
  </w:style>
  <w:style w:type="paragraph" w:customStyle="1" w:styleId="085154">
    <w:name w:val="样式 小四 加粗 黑色 下划线 首行缩进:  0.85 厘米 行距: 1.5 倍行距"/>
    <w:basedOn w:val="a0"/>
    <w:rsid w:val="00CA16C7"/>
    <w:pPr>
      <w:spacing w:line="520" w:lineRule="exact"/>
      <w:ind w:firstLine="482"/>
    </w:pPr>
    <w:rPr>
      <w:rFonts w:cs="宋体"/>
      <w:b/>
      <w:bCs/>
      <w:color w:val="000000"/>
      <w:sz w:val="24"/>
      <w:szCs w:val="20"/>
      <w:u w:val="single"/>
    </w:rPr>
  </w:style>
  <w:style w:type="paragraph" w:customStyle="1" w:styleId="xl56">
    <w:name w:val="xl56"/>
    <w:basedOn w:val="a0"/>
    <w:rsid w:val="00CA16C7"/>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kern w:val="0"/>
      <w:sz w:val="24"/>
    </w:rPr>
  </w:style>
  <w:style w:type="paragraph" w:customStyle="1" w:styleId="xl23">
    <w:name w:val="xl23"/>
    <w:basedOn w:val="a0"/>
    <w:rsid w:val="00CA16C7"/>
    <w:pPr>
      <w:widowControl/>
      <w:pBdr>
        <w:bottom w:val="single" w:sz="4" w:space="0" w:color="auto"/>
        <w:right w:val="single" w:sz="4" w:space="0" w:color="auto"/>
      </w:pBdr>
      <w:spacing w:before="100" w:beforeAutospacing="1" w:after="100" w:afterAutospacing="1"/>
      <w:jc w:val="center"/>
    </w:pPr>
    <w:rPr>
      <w:rFonts w:eastAsia="Arial Unicode MS"/>
      <w:color w:val="000000"/>
      <w:kern w:val="0"/>
      <w:sz w:val="18"/>
      <w:szCs w:val="18"/>
    </w:rPr>
  </w:style>
  <w:style w:type="paragraph" w:customStyle="1" w:styleId="font10">
    <w:name w:val="font10"/>
    <w:basedOn w:val="a0"/>
    <w:rsid w:val="00CA16C7"/>
    <w:pPr>
      <w:widowControl/>
      <w:spacing w:before="100" w:beforeAutospacing="1" w:after="100" w:afterAutospacing="1"/>
      <w:jc w:val="left"/>
    </w:pPr>
    <w:rPr>
      <w:rFonts w:ascii="黑体" w:eastAsia="黑体" w:hAnsi="宋体" w:hint="eastAsia"/>
      <w:b/>
      <w:bCs/>
      <w:kern w:val="0"/>
      <w:szCs w:val="28"/>
    </w:rPr>
  </w:style>
  <w:style w:type="paragraph" w:customStyle="1" w:styleId="2220">
    <w:name w:val="样式 小四 字距调整四号 行距: 固定值 22 磅 首行缩进:  2 字符"/>
    <w:basedOn w:val="a0"/>
    <w:qFormat/>
    <w:rsid w:val="00CA16C7"/>
    <w:pPr>
      <w:spacing w:line="520" w:lineRule="exact"/>
      <w:ind w:firstLineChars="200" w:firstLine="200"/>
    </w:pPr>
    <w:rPr>
      <w:rFonts w:ascii="Calibri" w:hAnsi="Calibri" w:cs="宋体"/>
      <w:kern w:val="28"/>
      <w:sz w:val="24"/>
    </w:rPr>
  </w:style>
  <w:style w:type="paragraph" w:customStyle="1" w:styleId="Style2">
    <w:name w:val="Style2"/>
    <w:basedOn w:val="a0"/>
    <w:rsid w:val="00CA16C7"/>
    <w:pPr>
      <w:adjustRightInd w:val="0"/>
      <w:jc w:val="left"/>
    </w:pPr>
    <w:rPr>
      <w:rFonts w:ascii="黑体" w:eastAsia="黑体"/>
      <w:kern w:val="0"/>
      <w:sz w:val="24"/>
    </w:rPr>
  </w:style>
  <w:style w:type="paragraph" w:customStyle="1" w:styleId="011527">
    <w:name w:val="样式 (中文) 黑体 小四 居中 加宽量  0.1 磅 行距: 1.5 倍行距 首行缩进:  2 字符"/>
    <w:basedOn w:val="a0"/>
    <w:rsid w:val="00CA16C7"/>
    <w:pPr>
      <w:spacing w:beforeLines="50" w:line="360" w:lineRule="auto"/>
      <w:ind w:firstLineChars="200" w:firstLine="200"/>
      <w:jc w:val="center"/>
    </w:pPr>
    <w:rPr>
      <w:rFonts w:eastAsia="黑体" w:cs="宋体"/>
      <w:spacing w:val="2"/>
      <w:sz w:val="24"/>
      <w:szCs w:val="20"/>
    </w:rPr>
  </w:style>
  <w:style w:type="paragraph" w:customStyle="1" w:styleId="xl60">
    <w:name w:val="xl60"/>
    <w:basedOn w:val="a0"/>
    <w:rsid w:val="00CA16C7"/>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4"/>
    </w:rPr>
  </w:style>
  <w:style w:type="paragraph" w:customStyle="1" w:styleId="TimesNewRoman09715">
    <w:name w:val="样式 正文文字缩进 + Times New Roman 小四 首行缩进:  0.97 厘米 行距: 1.5 倍行距"/>
    <w:basedOn w:val="afffffff7"/>
    <w:rsid w:val="00CA16C7"/>
    <w:pPr>
      <w:widowControl/>
      <w:adjustRightInd/>
      <w:spacing w:line="520" w:lineRule="exact"/>
      <w:ind w:firstLine="550"/>
    </w:pPr>
    <w:rPr>
      <w:rFonts w:cs="宋体"/>
      <w:color w:val="000000"/>
      <w:spacing w:val="2"/>
      <w:kern w:val="0"/>
      <w:sz w:val="24"/>
      <w:u w:color="000000"/>
    </w:rPr>
  </w:style>
  <w:style w:type="paragraph" w:customStyle="1" w:styleId="affffffffff5">
    <w:name w:val="样式 五号 黑色 居中"/>
    <w:basedOn w:val="a0"/>
    <w:rsid w:val="00CA16C7"/>
    <w:pPr>
      <w:jc w:val="center"/>
    </w:pPr>
    <w:rPr>
      <w:rFonts w:cs="宋体"/>
      <w:color w:val="000000"/>
      <w:sz w:val="21"/>
      <w:szCs w:val="20"/>
    </w:rPr>
  </w:style>
  <w:style w:type="paragraph" w:customStyle="1" w:styleId="22XWH2H2111112SeSeChar22h2">
    <w:name w:val="样式 标题 2标题 2XWH2H21节标题 1.11.1标题2Se节名Se Char二处标题 2标题2h2..."/>
    <w:basedOn w:val="2"/>
    <w:rsid w:val="00CA16C7"/>
    <w:pPr>
      <w:spacing w:line="520" w:lineRule="exact"/>
    </w:pPr>
    <w:rPr>
      <w:rFonts w:ascii="Times New Roman" w:hAnsi="Times New Roman"/>
      <w:b w:val="0"/>
      <w:color w:val="000000"/>
      <w:sz w:val="28"/>
    </w:rPr>
  </w:style>
  <w:style w:type="paragraph" w:customStyle="1" w:styleId="305052805">
    <w:name w:val="样式 样式 标题 3 + (中文) 黑体 段前: 0.5 行 段后: 0.5 行 行距: 固定值 28 磅 + 段前: 0.5 ..."/>
    <w:basedOn w:val="a0"/>
    <w:rsid w:val="00CA16C7"/>
    <w:pPr>
      <w:keepNext/>
      <w:keepLines/>
      <w:spacing w:line="520" w:lineRule="exact"/>
      <w:jc w:val="left"/>
      <w:outlineLvl w:val="2"/>
    </w:pPr>
    <w:rPr>
      <w:rFonts w:eastAsia="楷体_GB2312"/>
      <w:b/>
      <w:bCs/>
      <w:color w:val="000000"/>
      <w:szCs w:val="28"/>
    </w:rPr>
  </w:style>
  <w:style w:type="paragraph" w:customStyle="1" w:styleId="3f1">
    <w:name w:val="样式 样式 正文文本 3 + 字距调整四号 +"/>
    <w:basedOn w:val="a0"/>
    <w:rsid w:val="00CA16C7"/>
    <w:pPr>
      <w:spacing w:line="360" w:lineRule="exact"/>
      <w:jc w:val="center"/>
    </w:pPr>
    <w:rPr>
      <w:b/>
      <w:bCs/>
      <w:color w:val="0000FF"/>
      <w:kern w:val="28"/>
      <w:sz w:val="21"/>
      <w:szCs w:val="16"/>
    </w:rPr>
  </w:style>
  <w:style w:type="paragraph" w:customStyle="1" w:styleId="Char47">
    <w:name w:val="Char47"/>
    <w:basedOn w:val="a0"/>
    <w:next w:val="18"/>
    <w:rsid w:val="00CA16C7"/>
    <w:pPr>
      <w:spacing w:line="360" w:lineRule="auto"/>
      <w:ind w:firstLineChars="200" w:firstLine="200"/>
    </w:pPr>
    <w:rPr>
      <w:rFonts w:ascii="宋体" w:hAnsi="宋体" w:cs="宋体"/>
      <w:sz w:val="24"/>
    </w:rPr>
  </w:style>
  <w:style w:type="paragraph" w:customStyle="1" w:styleId="li-chushe">
    <w:name w:val="li-正文(chushe)"/>
    <w:basedOn w:val="a0"/>
    <w:rsid w:val="00CA16C7"/>
    <w:pPr>
      <w:spacing w:line="540" w:lineRule="exact"/>
    </w:pPr>
  </w:style>
  <w:style w:type="paragraph" w:customStyle="1" w:styleId="xl66">
    <w:name w:val="xl66"/>
    <w:basedOn w:val="a0"/>
    <w:rsid w:val="00CA16C7"/>
    <w:pPr>
      <w:widowControl/>
      <w:pBdr>
        <w:top w:val="single" w:sz="4" w:space="0" w:color="auto"/>
        <w:left w:val="single" w:sz="8" w:space="0" w:color="auto"/>
        <w:bottom w:val="single" w:sz="8" w:space="0" w:color="auto"/>
      </w:pBdr>
      <w:spacing w:before="100" w:beforeAutospacing="1" w:after="100" w:afterAutospacing="1"/>
      <w:jc w:val="left"/>
    </w:pPr>
    <w:rPr>
      <w:rFonts w:ascii="宋体" w:hAnsi="宋体"/>
      <w:kern w:val="0"/>
      <w:sz w:val="24"/>
    </w:rPr>
  </w:style>
  <w:style w:type="paragraph" w:customStyle="1" w:styleId="affffffffff6">
    <w:name w:val="文章附标题"/>
    <w:basedOn w:val="a0"/>
    <w:rsid w:val="00CA16C7"/>
    <w:pPr>
      <w:widowControl/>
      <w:spacing w:before="187" w:after="175" w:line="374" w:lineRule="atLeast"/>
      <w:jc w:val="center"/>
      <w:textAlignment w:val="baseline"/>
    </w:pPr>
    <w:rPr>
      <w:color w:val="000000"/>
      <w:kern w:val="0"/>
      <w:sz w:val="36"/>
      <w:szCs w:val="20"/>
      <w:u w:color="000000"/>
    </w:rPr>
  </w:style>
  <w:style w:type="paragraph" w:customStyle="1" w:styleId="3MB3h33rdlevelH3Head3level3PIM3Level3Head0">
    <w:name w:val="样式 样式 标题 3头MB3h33rd levelH3Head 3level_3PIM 3Level 3 Head... + 段..."/>
    <w:basedOn w:val="3MB3h33rdlevelH3Head3level3PIM3Level3Head"/>
    <w:rsid w:val="00CA16C7"/>
    <w:pPr>
      <w:spacing w:before="0" w:after="0"/>
    </w:pPr>
    <w:rPr>
      <w:b/>
    </w:rPr>
  </w:style>
  <w:style w:type="paragraph" w:customStyle="1" w:styleId="gsf25">
    <w:name w:val="样式 gsf样式 汉鼎简书宋 小四 行距: 固定值 25 磅 + 两端对齐"/>
    <w:basedOn w:val="a0"/>
    <w:rsid w:val="00CA16C7"/>
    <w:pPr>
      <w:adjustRightInd w:val="0"/>
      <w:snapToGrid w:val="0"/>
      <w:spacing w:line="540" w:lineRule="atLeast"/>
    </w:pPr>
    <w:rPr>
      <w:rFonts w:ascii="宋体" w:eastAsia="汉鼎简书宋" w:hAnsi="宋体" w:cs="宋体"/>
      <w:sz w:val="24"/>
      <w:szCs w:val="20"/>
    </w:rPr>
  </w:style>
  <w:style w:type="paragraph" w:customStyle="1" w:styleId="CharChar6">
    <w:name w:val="样式 题注 + 居中 Char Char"/>
    <w:basedOn w:val="a8"/>
    <w:next w:val="a0"/>
    <w:rsid w:val="00CA16C7"/>
    <w:pPr>
      <w:spacing w:before="120" w:after="120"/>
    </w:pPr>
    <w:rPr>
      <w:rFonts w:ascii="Times New Roman" w:eastAsia="宋体" w:hAnsi="Times New Roman"/>
      <w:b/>
      <w:sz w:val="24"/>
    </w:rPr>
  </w:style>
  <w:style w:type="paragraph" w:customStyle="1" w:styleId="086151">
    <w:name w:val="样式 小四 黑色 首行缩进:  0.86 厘米 行距: 1.5 倍行距"/>
    <w:basedOn w:val="a0"/>
    <w:rsid w:val="00CA16C7"/>
    <w:pPr>
      <w:spacing w:line="520" w:lineRule="exact"/>
      <w:ind w:firstLine="488"/>
    </w:pPr>
    <w:rPr>
      <w:rFonts w:cs="宋体"/>
      <w:color w:val="000000"/>
      <w:sz w:val="24"/>
      <w:szCs w:val="20"/>
    </w:rPr>
  </w:style>
  <w:style w:type="paragraph" w:customStyle="1" w:styleId="024">
    <w:name w:val="样式 文本正文 + 宋体 四号 两端对齐 段后: 0 磅 行距: 固定值 24 磅"/>
    <w:basedOn w:val="a0"/>
    <w:rsid w:val="00CA16C7"/>
    <w:pPr>
      <w:widowControl/>
      <w:spacing w:line="480" w:lineRule="exact"/>
      <w:ind w:firstLineChars="200" w:firstLine="560"/>
    </w:pPr>
    <w:rPr>
      <w:rFonts w:ascii="宋体" w:eastAsia="仿宋_GB2312" w:hAnsi="宋体" w:cs="宋体"/>
      <w:color w:val="000000"/>
      <w:kern w:val="0"/>
      <w:szCs w:val="20"/>
      <w:lang w:eastAsia="en-US" w:bidi="en-US"/>
    </w:rPr>
  </w:style>
  <w:style w:type="paragraph" w:customStyle="1" w:styleId="1ff1">
    <w:name w:val="批注主题1"/>
    <w:basedOn w:val="ab"/>
    <w:next w:val="ab"/>
    <w:rsid w:val="00CA16C7"/>
    <w:pPr>
      <w:adjustRightInd w:val="0"/>
      <w:snapToGrid w:val="0"/>
      <w:spacing w:line="540" w:lineRule="atLeast"/>
    </w:pPr>
    <w:rPr>
      <w:b/>
      <w:bCs/>
      <w:sz w:val="28"/>
    </w:rPr>
  </w:style>
  <w:style w:type="paragraph" w:customStyle="1" w:styleId="2221">
    <w:name w:val="样式 小四 行距: 固定值 22 磅 首行缩进:  2 字符"/>
    <w:basedOn w:val="a0"/>
    <w:qFormat/>
    <w:rsid w:val="00CA16C7"/>
    <w:pPr>
      <w:spacing w:line="520" w:lineRule="exact"/>
      <w:ind w:firstLineChars="200" w:firstLine="200"/>
    </w:pPr>
    <w:rPr>
      <w:rFonts w:ascii="Calibri" w:hAnsi="Calibri" w:cs="宋体"/>
      <w:sz w:val="24"/>
      <w:szCs w:val="20"/>
    </w:rPr>
  </w:style>
  <w:style w:type="paragraph" w:customStyle="1" w:styleId="15057150">
    <w:name w:val="样式 小四 黑色 行距: 1.5 倍行距 左  0.57 字符 首行缩进:  1.5 字符"/>
    <w:basedOn w:val="a0"/>
    <w:rsid w:val="00CA16C7"/>
    <w:pPr>
      <w:spacing w:line="520" w:lineRule="exact"/>
      <w:ind w:leftChars="57" w:left="57" w:firstLineChars="150" w:firstLine="150"/>
    </w:pPr>
    <w:rPr>
      <w:rFonts w:cs="宋体"/>
      <w:color w:val="000000"/>
      <w:sz w:val="24"/>
      <w:szCs w:val="20"/>
    </w:rPr>
  </w:style>
  <w:style w:type="paragraph" w:customStyle="1" w:styleId="1526">
    <w:name w:val="样式 (中文) 黑体 小四 黑色 行距: 1.5 倍行距 首行缩进:  2 字符"/>
    <w:basedOn w:val="a0"/>
    <w:rsid w:val="00CA16C7"/>
    <w:pPr>
      <w:spacing w:line="520" w:lineRule="exact"/>
      <w:ind w:firstLineChars="200" w:firstLine="200"/>
    </w:pPr>
    <w:rPr>
      <w:rFonts w:eastAsia="黑体" w:cs="宋体"/>
      <w:color w:val="000000"/>
      <w:sz w:val="24"/>
      <w:szCs w:val="20"/>
    </w:rPr>
  </w:style>
  <w:style w:type="paragraph" w:customStyle="1" w:styleId="reader-word-layerreader-word-s1-6reader-word-s1-10">
    <w:name w:val="reader-word-layer reader-word-s1-6 reader-word-s1-10"/>
    <w:basedOn w:val="a0"/>
    <w:rsid w:val="00CA16C7"/>
    <w:pPr>
      <w:widowControl/>
      <w:spacing w:before="100" w:beforeAutospacing="1" w:after="100" w:afterAutospacing="1"/>
      <w:jc w:val="left"/>
    </w:pPr>
    <w:rPr>
      <w:rFonts w:ascii="宋体" w:hAnsi="宋体" w:cs="宋体"/>
      <w:kern w:val="0"/>
      <w:sz w:val="24"/>
    </w:rPr>
  </w:style>
  <w:style w:type="paragraph" w:customStyle="1" w:styleId="CharCharCharCharCharChar1CharCharChar1CharCharCharCharCharCharChar">
    <w:name w:val="Char Char Char Char Char Char1 Char Char Char1 Char Char Char Char Char Char Char"/>
    <w:basedOn w:val="a0"/>
    <w:rsid w:val="00CA16C7"/>
    <w:pPr>
      <w:spacing w:line="360" w:lineRule="auto"/>
      <w:ind w:firstLineChars="200" w:firstLine="200"/>
    </w:pPr>
    <w:rPr>
      <w:rFonts w:ascii="宋体" w:hAnsi="宋体" w:cs="宋体"/>
      <w:b/>
      <w:bCs/>
      <w:kern w:val="44"/>
      <w:sz w:val="32"/>
      <w:szCs w:val="32"/>
    </w:rPr>
  </w:style>
  <w:style w:type="paragraph" w:customStyle="1" w:styleId="xl45">
    <w:name w:val="xl45"/>
    <w:basedOn w:val="a0"/>
    <w:rsid w:val="00CA16C7"/>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CharChar41">
    <w:name w:val="Char Char41"/>
    <w:basedOn w:val="a0"/>
    <w:rsid w:val="00CA16C7"/>
    <w:pPr>
      <w:spacing w:beforeLines="100" w:afterLines="50" w:line="600" w:lineRule="exact"/>
      <w:ind w:firstLineChars="200" w:firstLine="200"/>
    </w:pPr>
    <w:rPr>
      <w:rFonts w:eastAsia="黑体"/>
    </w:rPr>
  </w:style>
  <w:style w:type="paragraph" w:customStyle="1" w:styleId="Char1CharCharChar1">
    <w:name w:val="Char1 Char Char Char1"/>
    <w:basedOn w:val="aa"/>
    <w:rsid w:val="00CA16C7"/>
    <w:pPr>
      <w:adjustRightInd w:val="0"/>
      <w:spacing w:line="436" w:lineRule="exact"/>
      <w:ind w:left="357"/>
      <w:jc w:val="left"/>
      <w:outlineLvl w:val="3"/>
    </w:pPr>
    <w:rPr>
      <w:rFonts w:ascii="Tahoma" w:hAnsi="Tahoma"/>
      <w:b/>
      <w:sz w:val="24"/>
    </w:rPr>
  </w:style>
  <w:style w:type="paragraph" w:customStyle="1" w:styleId="affffffffff7">
    <w:name w:val="图头"/>
    <w:basedOn w:val="a0"/>
    <w:rsid w:val="00CA16C7"/>
    <w:pPr>
      <w:adjustRightInd w:val="0"/>
      <w:snapToGrid w:val="0"/>
      <w:spacing w:beforeLines="30" w:afterLines="30" w:line="540" w:lineRule="atLeast"/>
      <w:jc w:val="center"/>
    </w:pPr>
    <w:rPr>
      <w:rFonts w:eastAsia="仿宋_GB2312"/>
      <w:sz w:val="21"/>
      <w:szCs w:val="21"/>
    </w:rPr>
  </w:style>
  <w:style w:type="paragraph" w:customStyle="1" w:styleId="Char1CharCharChar2">
    <w:name w:val="Char1 Char Char Char2"/>
    <w:basedOn w:val="aa"/>
    <w:rsid w:val="00CA16C7"/>
    <w:pPr>
      <w:adjustRightInd w:val="0"/>
      <w:spacing w:line="436" w:lineRule="exact"/>
      <w:ind w:left="357"/>
      <w:jc w:val="left"/>
      <w:outlineLvl w:val="3"/>
    </w:pPr>
    <w:rPr>
      <w:rFonts w:ascii="Tahoma" w:hAnsi="Tahoma"/>
      <w:b/>
      <w:sz w:val="24"/>
    </w:rPr>
  </w:style>
  <w:style w:type="paragraph" w:customStyle="1" w:styleId="2fc">
    <w:name w:val="标题2"/>
    <w:basedOn w:val="af8"/>
    <w:rsid w:val="00CA16C7"/>
    <w:pPr>
      <w:spacing w:line="312" w:lineRule="auto"/>
      <w:outlineLvl w:val="1"/>
    </w:pPr>
    <w:rPr>
      <w:rFonts w:eastAsia="华文新魏"/>
      <w:bCs w:val="0"/>
      <w:snapToGrid w:val="0"/>
      <w:kern w:val="28"/>
      <w:sz w:val="44"/>
    </w:rPr>
  </w:style>
  <w:style w:type="paragraph" w:customStyle="1" w:styleId="1215">
    <w:name w:val="样式 1正文段落 + 小四 黑色 两端对齐 首行缩进:  2 字符 行距: 1.5 倍行距"/>
    <w:basedOn w:val="18"/>
    <w:rsid w:val="00CA16C7"/>
    <w:pPr>
      <w:jc w:val="both"/>
    </w:pPr>
    <w:rPr>
      <w:rFonts w:cs="宋体"/>
      <w:color w:val="000000"/>
      <w:sz w:val="24"/>
    </w:rPr>
  </w:style>
  <w:style w:type="paragraph" w:customStyle="1" w:styleId="Style17">
    <w:name w:val="Style17"/>
    <w:basedOn w:val="a0"/>
    <w:rsid w:val="00CA16C7"/>
    <w:pPr>
      <w:adjustRightInd w:val="0"/>
      <w:jc w:val="left"/>
    </w:pPr>
    <w:rPr>
      <w:rFonts w:ascii="宋体"/>
      <w:kern w:val="0"/>
      <w:sz w:val="24"/>
    </w:rPr>
  </w:style>
  <w:style w:type="paragraph" w:customStyle="1" w:styleId="affffffffff8">
    <w:name w:val="表中样式"/>
    <w:basedOn w:val="a0"/>
    <w:rsid w:val="00CA16C7"/>
    <w:pPr>
      <w:widowControl/>
      <w:spacing w:line="240" w:lineRule="exact"/>
      <w:ind w:leftChars="-25" w:left="-52" w:rightChars="-31" w:right="-65"/>
      <w:jc w:val="center"/>
    </w:pPr>
    <w:rPr>
      <w:rFonts w:ascii="宋体" w:hAnsi="宋体" w:cs="宋体"/>
      <w:kern w:val="0"/>
      <w:sz w:val="21"/>
      <w:szCs w:val="21"/>
    </w:rPr>
  </w:style>
  <w:style w:type="paragraph" w:customStyle="1" w:styleId="3152">
    <w:name w:val="样式 标题 3 + (中文) 宋体 小四 黑色 行距: 1.5 倍行距"/>
    <w:basedOn w:val="30"/>
    <w:rsid w:val="00CA16C7"/>
    <w:pPr>
      <w:spacing w:before="0" w:after="0" w:line="520" w:lineRule="exact"/>
    </w:pPr>
    <w:rPr>
      <w:rFonts w:eastAsia="楷体_GB2312" w:cs="宋体"/>
      <w:b w:val="0"/>
      <w:bCs w:val="0"/>
      <w:color w:val="000000"/>
      <w:sz w:val="28"/>
      <w:szCs w:val="20"/>
    </w:rPr>
  </w:style>
  <w:style w:type="paragraph" w:customStyle="1" w:styleId="01150">
    <w:name w:val="样式 小四 黑色 加宽量  0.1 磅 行距: 1.5 倍行距"/>
    <w:basedOn w:val="a0"/>
    <w:rsid w:val="00CA16C7"/>
    <w:pPr>
      <w:spacing w:line="520" w:lineRule="exact"/>
    </w:pPr>
    <w:rPr>
      <w:rFonts w:cs="宋体"/>
      <w:color w:val="000000"/>
      <w:spacing w:val="2"/>
      <w:kern w:val="0"/>
      <w:sz w:val="24"/>
      <w:szCs w:val="20"/>
    </w:rPr>
  </w:style>
  <w:style w:type="paragraph" w:customStyle="1" w:styleId="affffffffff9">
    <w:name w:val="图名"/>
    <w:basedOn w:val="af6"/>
    <w:rsid w:val="00CA16C7"/>
    <w:pPr>
      <w:adjustRightInd/>
      <w:snapToGrid/>
      <w:spacing w:line="240" w:lineRule="exact"/>
      <w:ind w:leftChars="0" w:left="0" w:firstLineChars="0" w:firstLine="0"/>
      <w:jc w:val="center"/>
    </w:pPr>
    <w:rPr>
      <w:rFonts w:ascii="仿宋_GB2312" w:eastAsia="仿宋_GB2312"/>
      <w:sz w:val="21"/>
      <w:szCs w:val="24"/>
    </w:rPr>
  </w:style>
  <w:style w:type="paragraph" w:customStyle="1" w:styleId="p18">
    <w:name w:val="p18"/>
    <w:basedOn w:val="a0"/>
    <w:rsid w:val="00CA16C7"/>
    <w:pPr>
      <w:widowControl/>
      <w:ind w:firstLine="420"/>
    </w:pPr>
    <w:rPr>
      <w:kern w:val="0"/>
      <w:szCs w:val="28"/>
    </w:rPr>
  </w:style>
  <w:style w:type="paragraph" w:customStyle="1" w:styleId="0990115">
    <w:name w:val="样式 小四 黑色 首行缩进:  0.99 厘米 加宽量  0.1 磅 行距: 1.5 倍行距"/>
    <w:basedOn w:val="a0"/>
    <w:rsid w:val="00CA16C7"/>
    <w:pPr>
      <w:spacing w:line="520" w:lineRule="exact"/>
      <w:ind w:firstLine="561"/>
    </w:pPr>
    <w:rPr>
      <w:rFonts w:cs="宋体"/>
      <w:color w:val="000000"/>
      <w:spacing w:val="2"/>
      <w:sz w:val="24"/>
      <w:szCs w:val="20"/>
    </w:rPr>
  </w:style>
  <w:style w:type="paragraph" w:customStyle="1" w:styleId="affffffffffa">
    <w:name w:val="表中正文居中"/>
    <w:rsid w:val="00CA16C7"/>
    <w:pPr>
      <w:spacing w:before="120" w:after="120" w:line="240" w:lineRule="atLeast"/>
      <w:jc w:val="center"/>
    </w:pPr>
    <w:rPr>
      <w:rFonts w:ascii="宋体"/>
      <w:kern w:val="2"/>
      <w:sz w:val="21"/>
    </w:rPr>
  </w:style>
  <w:style w:type="paragraph" w:customStyle="1" w:styleId="08601152">
    <w:name w:val="样式 黑体 小四 左 首行缩进:  0.86 厘米 加宽量  0.1 磅 行距: 1.5 倍行距"/>
    <w:basedOn w:val="a0"/>
    <w:rsid w:val="00CA16C7"/>
    <w:pPr>
      <w:spacing w:line="520" w:lineRule="exact"/>
      <w:ind w:firstLine="488"/>
      <w:jc w:val="left"/>
    </w:pPr>
    <w:rPr>
      <w:rFonts w:ascii="黑体" w:eastAsia="黑体" w:hAnsi="黑体" w:cs="宋体"/>
      <w:spacing w:val="2"/>
      <w:sz w:val="24"/>
      <w:szCs w:val="20"/>
    </w:rPr>
  </w:style>
  <w:style w:type="paragraph" w:customStyle="1" w:styleId="085155">
    <w:name w:val="样式 小四 红色 首行缩进:  0.85 厘米 行距: 1.5 倍行距"/>
    <w:basedOn w:val="a0"/>
    <w:rsid w:val="00CA16C7"/>
    <w:pPr>
      <w:spacing w:line="520" w:lineRule="exact"/>
      <w:ind w:firstLine="482"/>
    </w:pPr>
    <w:rPr>
      <w:rFonts w:cs="宋体"/>
      <w:color w:val="FF0000"/>
      <w:sz w:val="24"/>
      <w:szCs w:val="20"/>
    </w:rPr>
  </w:style>
  <w:style w:type="paragraph" w:customStyle="1" w:styleId="0790115">
    <w:name w:val="样式 小四 首行缩进:  0.79 厘米 加宽量  0.1 磅 行距: 1.5 倍行距"/>
    <w:basedOn w:val="a0"/>
    <w:rsid w:val="00CA16C7"/>
    <w:pPr>
      <w:spacing w:line="520" w:lineRule="exact"/>
      <w:ind w:firstLine="448"/>
    </w:pPr>
    <w:rPr>
      <w:rFonts w:cs="宋体"/>
      <w:spacing w:val="2"/>
      <w:sz w:val="24"/>
      <w:szCs w:val="20"/>
    </w:rPr>
  </w:style>
  <w:style w:type="paragraph" w:customStyle="1" w:styleId="Char411">
    <w:name w:val="Char411"/>
    <w:basedOn w:val="a0"/>
    <w:rsid w:val="00CA16C7"/>
    <w:pPr>
      <w:spacing w:line="360" w:lineRule="auto"/>
      <w:ind w:firstLineChars="200" w:firstLine="200"/>
    </w:pPr>
    <w:rPr>
      <w:rFonts w:ascii="宋体" w:hAnsi="宋体" w:cs="宋体"/>
      <w:sz w:val="24"/>
    </w:rPr>
  </w:style>
  <w:style w:type="paragraph" w:customStyle="1" w:styleId="1527">
    <w:name w:val="样式 宋体 小四 黑色 行距: 1.5 倍行距 首行缩进:  2 字符"/>
    <w:basedOn w:val="a0"/>
    <w:rsid w:val="00CA16C7"/>
    <w:pPr>
      <w:spacing w:line="520" w:lineRule="exact"/>
      <w:ind w:firstLineChars="200" w:firstLine="200"/>
    </w:pPr>
    <w:rPr>
      <w:rFonts w:ascii="宋体" w:hAnsi="宋体" w:cs="宋体"/>
      <w:color w:val="000000"/>
      <w:sz w:val="24"/>
      <w:szCs w:val="20"/>
    </w:rPr>
  </w:style>
  <w:style w:type="paragraph" w:customStyle="1" w:styleId="1ff2">
    <w:name w:val="段落1"/>
    <w:basedOn w:val="a0"/>
    <w:rsid w:val="00CA16C7"/>
    <w:pPr>
      <w:adjustRightInd w:val="0"/>
      <w:spacing w:line="440" w:lineRule="exact"/>
      <w:ind w:firstLineChars="200" w:firstLine="504"/>
      <w:textAlignment w:val="baseline"/>
    </w:pPr>
    <w:rPr>
      <w:bCs/>
      <w:spacing w:val="6"/>
      <w:sz w:val="24"/>
    </w:rPr>
  </w:style>
  <w:style w:type="paragraph" w:customStyle="1" w:styleId="xl85">
    <w:name w:val="xl85"/>
    <w:basedOn w:val="a0"/>
    <w:rsid w:val="00CA16C7"/>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CharChar42">
    <w:name w:val="Char Char4"/>
    <w:basedOn w:val="a0"/>
    <w:rsid w:val="00CA16C7"/>
    <w:pPr>
      <w:spacing w:beforeLines="100" w:afterLines="50" w:line="600" w:lineRule="exact"/>
      <w:ind w:firstLineChars="200" w:firstLine="200"/>
    </w:pPr>
    <w:rPr>
      <w:rFonts w:eastAsia="黑体"/>
    </w:rPr>
  </w:style>
  <w:style w:type="paragraph" w:customStyle="1" w:styleId="1ff3">
    <w:name w:val="标题1"/>
    <w:basedOn w:val="1"/>
    <w:rsid w:val="00CA16C7"/>
    <w:pPr>
      <w:spacing w:before="0" w:after="0" w:line="520" w:lineRule="exact"/>
      <w:jc w:val="left"/>
    </w:pPr>
    <w:rPr>
      <w:rFonts w:ascii="Arial" w:eastAsia="黑体" w:hAnsi="Arial" w:cs="宋体"/>
      <w:bCs w:val="0"/>
      <w:color w:val="000000"/>
      <w:kern w:val="0"/>
      <w:szCs w:val="20"/>
    </w:rPr>
  </w:style>
  <w:style w:type="paragraph" w:customStyle="1" w:styleId="Style3">
    <w:name w:val="Style3"/>
    <w:basedOn w:val="a0"/>
    <w:rsid w:val="00CA16C7"/>
    <w:pPr>
      <w:adjustRightInd w:val="0"/>
      <w:jc w:val="left"/>
    </w:pPr>
    <w:rPr>
      <w:rFonts w:ascii="宋体"/>
      <w:kern w:val="0"/>
      <w:sz w:val="24"/>
    </w:rPr>
  </w:style>
  <w:style w:type="paragraph" w:customStyle="1" w:styleId="1528">
    <w:name w:val="样式 (符号) 宋体 小四 行距: 1.5 倍行距 首行缩进:  2 字符"/>
    <w:basedOn w:val="a0"/>
    <w:rsid w:val="00CA16C7"/>
    <w:pPr>
      <w:spacing w:line="520" w:lineRule="exact"/>
      <w:ind w:firstLineChars="200" w:firstLine="200"/>
    </w:pPr>
    <w:rPr>
      <w:rFonts w:hAnsi="宋体" w:cs="宋体"/>
      <w:kern w:val="0"/>
      <w:sz w:val="24"/>
      <w:szCs w:val="20"/>
    </w:rPr>
  </w:style>
  <w:style w:type="paragraph" w:customStyle="1" w:styleId="011528">
    <w:name w:val="样式 小四 红色 加宽量  0.1 磅 行距: 1.5 倍行距 首行缩进:  2 字符"/>
    <w:basedOn w:val="a0"/>
    <w:rsid w:val="00CA16C7"/>
    <w:pPr>
      <w:spacing w:line="520" w:lineRule="exact"/>
      <w:ind w:firstLineChars="200" w:firstLine="200"/>
    </w:pPr>
    <w:rPr>
      <w:rFonts w:cs="宋体"/>
      <w:color w:val="FF0000"/>
      <w:spacing w:val="2"/>
      <w:sz w:val="24"/>
      <w:szCs w:val="20"/>
    </w:rPr>
  </w:style>
  <w:style w:type="paragraph" w:customStyle="1" w:styleId="204">
    <w:name w:val="样式 标题 2节 + 首行缩进:  0 厘米"/>
    <w:basedOn w:val="2"/>
    <w:rsid w:val="00CA16C7"/>
    <w:pPr>
      <w:spacing w:beforeLines="100" w:afterLines="100" w:line="360" w:lineRule="auto"/>
    </w:pPr>
    <w:rPr>
      <w:rFonts w:ascii="Times New Roman" w:eastAsia="宋体" w:hAnsi="Times New Roman"/>
      <w:color w:val="000000"/>
      <w:kern w:val="28"/>
      <w:sz w:val="30"/>
      <w:lang w:val="de-DE"/>
    </w:rPr>
  </w:style>
  <w:style w:type="paragraph" w:customStyle="1" w:styleId="4a">
    <w:name w:val="样式 小四 黑色4"/>
    <w:basedOn w:val="a0"/>
    <w:rsid w:val="00CA16C7"/>
    <w:pPr>
      <w:spacing w:line="520" w:lineRule="exact"/>
      <w:ind w:firstLineChars="200" w:firstLine="200"/>
    </w:pPr>
    <w:rPr>
      <w:color w:val="000000"/>
      <w:sz w:val="24"/>
      <w:szCs w:val="20"/>
    </w:rPr>
  </w:style>
  <w:style w:type="paragraph" w:customStyle="1" w:styleId="2115">
    <w:name w:val="样式 正文文本缩进正文文字 21 + 小四 行距: 1.5 倍行距"/>
    <w:basedOn w:val="ac"/>
    <w:rsid w:val="00CA16C7"/>
    <w:pPr>
      <w:ind w:firstLine="578"/>
    </w:pPr>
    <w:rPr>
      <w:rFonts w:cs="宋体"/>
      <w:sz w:val="24"/>
      <w:szCs w:val="20"/>
    </w:rPr>
  </w:style>
  <w:style w:type="paragraph" w:customStyle="1" w:styleId="1ff4">
    <w:name w:val="正文首行缩进1"/>
    <w:basedOn w:val="a1"/>
    <w:rsid w:val="00CA16C7"/>
    <w:pPr>
      <w:spacing w:line="360" w:lineRule="auto"/>
      <w:ind w:firstLineChars="100" w:firstLine="420"/>
    </w:pPr>
    <w:rPr>
      <w:rFonts w:ascii="Calibri" w:hAnsi="Calibri"/>
      <w:sz w:val="21"/>
      <w:szCs w:val="22"/>
    </w:rPr>
  </w:style>
  <w:style w:type="paragraph" w:customStyle="1" w:styleId="s25qjfi540sl-620slmult0n">
    <w:name w:val="s25qjfi540sl-620slmult0n"/>
    <w:rsid w:val="00CA16C7"/>
    <w:pPr>
      <w:widowControl w:val="0"/>
      <w:autoSpaceDE w:val="0"/>
      <w:autoSpaceDN w:val="0"/>
      <w:adjustRightInd w:val="0"/>
    </w:pPr>
  </w:style>
  <w:style w:type="paragraph" w:customStyle="1" w:styleId="017">
    <w:name w:val="样式 加宽量  0.1 磅"/>
    <w:basedOn w:val="a0"/>
    <w:rsid w:val="00CA16C7"/>
    <w:pPr>
      <w:jc w:val="center"/>
    </w:pPr>
    <w:rPr>
      <w:spacing w:val="2"/>
      <w:sz w:val="21"/>
      <w:szCs w:val="21"/>
    </w:rPr>
  </w:style>
  <w:style w:type="paragraph" w:customStyle="1" w:styleId="1529">
    <w:name w:val="样式 (符号) 宋体 小四 黑色 行距: 1.5 倍行距 首行缩进:  2 字符"/>
    <w:basedOn w:val="a0"/>
    <w:rsid w:val="00CA16C7"/>
    <w:pPr>
      <w:spacing w:line="520" w:lineRule="exact"/>
      <w:ind w:firstLineChars="200" w:firstLine="200"/>
    </w:pPr>
    <w:rPr>
      <w:rFonts w:ascii="Calibri" w:hAnsi="宋体" w:cs="宋体"/>
      <w:color w:val="000000"/>
      <w:sz w:val="24"/>
      <w:szCs w:val="20"/>
    </w:rPr>
  </w:style>
  <w:style w:type="paragraph" w:customStyle="1" w:styleId="xl69">
    <w:name w:val="xl69"/>
    <w:basedOn w:val="a0"/>
    <w:rsid w:val="00CA16C7"/>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Style11">
    <w:name w:val="Style11"/>
    <w:basedOn w:val="a0"/>
    <w:rsid w:val="00CA16C7"/>
    <w:pPr>
      <w:adjustRightInd w:val="0"/>
      <w:jc w:val="left"/>
    </w:pPr>
    <w:rPr>
      <w:rFonts w:ascii="黑体" w:eastAsia="黑体"/>
      <w:kern w:val="0"/>
      <w:sz w:val="24"/>
    </w:rPr>
  </w:style>
  <w:style w:type="paragraph" w:customStyle="1" w:styleId="meS">
    <w:name w:val="me正文S"/>
    <w:basedOn w:val="s"/>
    <w:rsid w:val="00CA16C7"/>
    <w:pPr>
      <w:ind w:firstLine="200"/>
    </w:pPr>
  </w:style>
  <w:style w:type="paragraph" w:customStyle="1" w:styleId="158">
    <w:name w:val="样式 小四 黑色 行距: 1.5 倍行距"/>
    <w:basedOn w:val="a0"/>
    <w:rsid w:val="00CA16C7"/>
    <w:pPr>
      <w:spacing w:line="520" w:lineRule="exact"/>
    </w:pPr>
    <w:rPr>
      <w:rFonts w:cs="宋体"/>
      <w:color w:val="000000"/>
      <w:sz w:val="24"/>
      <w:szCs w:val="20"/>
    </w:rPr>
  </w:style>
  <w:style w:type="paragraph" w:customStyle="1" w:styleId="Style4">
    <w:name w:val="Style4"/>
    <w:basedOn w:val="a0"/>
    <w:rsid w:val="00CA16C7"/>
    <w:pPr>
      <w:adjustRightInd w:val="0"/>
      <w:jc w:val="left"/>
    </w:pPr>
    <w:rPr>
      <w:rFonts w:ascii="宋体"/>
      <w:kern w:val="0"/>
      <w:sz w:val="24"/>
    </w:rPr>
  </w:style>
  <w:style w:type="paragraph" w:customStyle="1" w:styleId="2122">
    <w:name w:val="样式 正文文本缩进正文文字 21正文文字( 首段缩进两字）正文文字缩进2字符 + 小四 首行缩进:  2 字符"/>
    <w:basedOn w:val="ac"/>
    <w:rsid w:val="00CA16C7"/>
    <w:pPr>
      <w:ind w:firstLineChars="200" w:firstLine="200"/>
      <w:jc w:val="left"/>
    </w:pPr>
    <w:rPr>
      <w:rFonts w:cs="宋体"/>
      <w:spacing w:val="0"/>
      <w:sz w:val="24"/>
      <w:szCs w:val="20"/>
    </w:rPr>
  </w:style>
  <w:style w:type="paragraph" w:customStyle="1" w:styleId="xl54">
    <w:name w:val="xl54"/>
    <w:basedOn w:val="a0"/>
    <w:rsid w:val="00CA16C7"/>
    <w:pPr>
      <w:widowControl/>
      <w:pBdr>
        <w:left w:val="single" w:sz="8" w:space="0" w:color="auto"/>
      </w:pBdr>
      <w:spacing w:before="100" w:beforeAutospacing="1" w:after="100" w:afterAutospacing="1"/>
      <w:jc w:val="left"/>
    </w:pPr>
    <w:rPr>
      <w:rFonts w:ascii="宋体" w:hAnsi="宋体"/>
      <w:kern w:val="0"/>
      <w:sz w:val="24"/>
    </w:rPr>
  </w:style>
  <w:style w:type="paragraph" w:customStyle="1" w:styleId="2fd">
    <w:name w:val="封面2"/>
    <w:basedOn w:val="a0"/>
    <w:rsid w:val="00CA16C7"/>
    <w:pPr>
      <w:spacing w:line="800" w:lineRule="exact"/>
      <w:jc w:val="center"/>
    </w:pPr>
    <w:rPr>
      <w:snapToGrid w:val="0"/>
      <w:kern w:val="0"/>
      <w:sz w:val="44"/>
      <w:szCs w:val="44"/>
    </w:rPr>
  </w:style>
  <w:style w:type="paragraph" w:customStyle="1" w:styleId="183">
    <w:name w:val="样式 五号 居中 行距: 固定值 18 磅"/>
    <w:basedOn w:val="a0"/>
    <w:rsid w:val="00CA16C7"/>
    <w:pPr>
      <w:jc w:val="center"/>
    </w:pPr>
    <w:rPr>
      <w:rFonts w:cs="宋体"/>
      <w:sz w:val="21"/>
      <w:szCs w:val="20"/>
    </w:rPr>
  </w:style>
  <w:style w:type="paragraph" w:customStyle="1" w:styleId="2222">
    <w:name w:val="样式 批注文字 + (符号) 宋体 小四 两端对齐 行距: 固定值 22 磅 首行缩进:  2 字符"/>
    <w:basedOn w:val="ab"/>
    <w:rsid w:val="00CA16C7"/>
    <w:pPr>
      <w:spacing w:line="520" w:lineRule="exact"/>
      <w:ind w:firstLineChars="200" w:firstLine="200"/>
      <w:jc w:val="both"/>
    </w:pPr>
    <w:rPr>
      <w:rFonts w:ascii="Calibri" w:hAnsi="宋体" w:cs="宋体"/>
      <w:sz w:val="24"/>
    </w:rPr>
  </w:style>
  <w:style w:type="paragraph" w:customStyle="1" w:styleId="WPSOffice2">
    <w:name w:val="WPSOffice手动目录 2"/>
    <w:rsid w:val="00CA16C7"/>
    <w:pPr>
      <w:ind w:leftChars="200" w:left="200"/>
    </w:pPr>
  </w:style>
  <w:style w:type="paragraph" w:customStyle="1" w:styleId="affffffffffb">
    <w:name w:val="图标"/>
    <w:basedOn w:val="a0"/>
    <w:rsid w:val="00CA16C7"/>
    <w:pPr>
      <w:spacing w:line="500" w:lineRule="exact"/>
      <w:jc w:val="center"/>
    </w:pPr>
    <w:rPr>
      <w:rFonts w:ascii="黑体" w:eastAsia="黑体"/>
    </w:rPr>
  </w:style>
  <w:style w:type="paragraph" w:customStyle="1" w:styleId="10">
    <w:name w:val="标题10"/>
    <w:basedOn w:val="6"/>
    <w:rsid w:val="00CA16C7"/>
    <w:pPr>
      <w:keepNext w:val="0"/>
      <w:keepLines w:val="0"/>
      <w:widowControl/>
      <w:numPr>
        <w:numId w:val="3"/>
      </w:numPr>
      <w:tabs>
        <w:tab w:val="left" w:pos="500"/>
        <w:tab w:val="left" w:pos="927"/>
      </w:tabs>
      <w:spacing w:before="0" w:after="0" w:line="240" w:lineRule="atLeast"/>
      <w:jc w:val="left"/>
      <w:outlineLvl w:val="8"/>
    </w:pPr>
    <w:rPr>
      <w:rFonts w:ascii="Times New Roman" w:eastAsia="宋体" w:hAnsi="Times New Roman"/>
      <w:b w:val="0"/>
      <w:bCs w:val="0"/>
      <w:kern w:val="0"/>
      <w:sz w:val="15"/>
      <w:szCs w:val="20"/>
    </w:rPr>
  </w:style>
  <w:style w:type="paragraph" w:customStyle="1" w:styleId="Style9">
    <w:name w:val="Style9"/>
    <w:basedOn w:val="a0"/>
    <w:rsid w:val="00CA16C7"/>
    <w:pPr>
      <w:adjustRightInd w:val="0"/>
      <w:spacing w:line="283" w:lineRule="exact"/>
      <w:jc w:val="center"/>
    </w:pPr>
    <w:rPr>
      <w:rFonts w:ascii="黑体" w:eastAsia="黑体"/>
      <w:kern w:val="0"/>
      <w:sz w:val="24"/>
    </w:rPr>
  </w:style>
  <w:style w:type="paragraph" w:customStyle="1" w:styleId="1000505">
    <w:name w:val="样式 标题 1 + 左侧:  0 厘米 首行缩进:  0 厘米 段前: 0.5 行 段后: 0.5 行"/>
    <w:basedOn w:val="1"/>
    <w:rsid w:val="00CA16C7"/>
    <w:pPr>
      <w:keepLines w:val="0"/>
      <w:tabs>
        <w:tab w:val="left" w:pos="360"/>
      </w:tabs>
      <w:adjustRightInd w:val="0"/>
      <w:snapToGrid w:val="0"/>
      <w:spacing w:beforeLines="50" w:afterLines="50" w:line="324" w:lineRule="auto"/>
      <w:ind w:left="360" w:hanging="360"/>
    </w:pPr>
    <w:rPr>
      <w:rFonts w:eastAsia="黑体"/>
      <w:spacing w:val="8"/>
      <w:kern w:val="2"/>
      <w:sz w:val="32"/>
      <w:szCs w:val="20"/>
    </w:rPr>
  </w:style>
  <w:style w:type="paragraph" w:customStyle="1" w:styleId="Style12">
    <w:name w:val="Style12"/>
    <w:basedOn w:val="a0"/>
    <w:rsid w:val="00CA16C7"/>
    <w:pPr>
      <w:adjustRightInd w:val="0"/>
      <w:jc w:val="left"/>
    </w:pPr>
    <w:rPr>
      <w:rFonts w:ascii="宋体"/>
      <w:kern w:val="0"/>
      <w:sz w:val="24"/>
    </w:rPr>
  </w:style>
  <w:style w:type="paragraph" w:customStyle="1" w:styleId="1ff5">
    <w:name w:val="正文缩进1"/>
    <w:basedOn w:val="a0"/>
    <w:rsid w:val="00CA16C7"/>
    <w:pPr>
      <w:snapToGrid w:val="0"/>
      <w:spacing w:line="480" w:lineRule="exact"/>
      <w:ind w:firstLine="420"/>
    </w:pPr>
    <w:rPr>
      <w:rFonts w:ascii="宋体"/>
      <w:color w:val="000000"/>
      <w:kern w:val="48"/>
      <w:sz w:val="24"/>
      <w:szCs w:val="20"/>
    </w:rPr>
  </w:style>
  <w:style w:type="paragraph" w:customStyle="1" w:styleId="CharCharCharCharCharCharChar">
    <w:name w:val="Char Char Char Char Char Char Char"/>
    <w:basedOn w:val="a0"/>
    <w:rsid w:val="00CA16C7"/>
    <w:pPr>
      <w:snapToGrid w:val="0"/>
      <w:spacing w:line="360" w:lineRule="auto"/>
      <w:ind w:firstLineChars="200" w:firstLine="200"/>
    </w:pPr>
    <w:rPr>
      <w:rFonts w:eastAsia="仿宋_GB2312"/>
      <w:sz w:val="24"/>
    </w:rPr>
  </w:style>
  <w:style w:type="paragraph" w:customStyle="1" w:styleId="22CharTimesNewRoman1">
    <w:name w:val="样式 标题 2标题 2 Char节 + (西文) Times New Roman (中文) 宋体 黑色 左 段前: ...1"/>
    <w:basedOn w:val="2"/>
    <w:rsid w:val="00CA16C7"/>
    <w:pPr>
      <w:spacing w:line="520" w:lineRule="exact"/>
      <w:jc w:val="left"/>
    </w:pPr>
    <w:rPr>
      <w:rFonts w:ascii="Times New Roman" w:eastAsia="宋体" w:hAnsi="Times New Roman" w:cs="宋体"/>
      <w:bCs/>
      <w:color w:val="000000"/>
      <w:kern w:val="28"/>
      <w:sz w:val="30"/>
    </w:rPr>
  </w:style>
  <w:style w:type="paragraph" w:customStyle="1" w:styleId="4b">
    <w:name w:val="4级标题"/>
    <w:basedOn w:val="a0"/>
    <w:qFormat/>
    <w:rsid w:val="00CA16C7"/>
    <w:pPr>
      <w:spacing w:line="500" w:lineRule="exact"/>
      <w:outlineLvl w:val="3"/>
    </w:pPr>
    <w:rPr>
      <w:szCs w:val="20"/>
    </w:rPr>
  </w:style>
  <w:style w:type="paragraph" w:customStyle="1" w:styleId="Char1CharCharChar4">
    <w:name w:val="Char1 Char Char Char4"/>
    <w:basedOn w:val="aa"/>
    <w:rsid w:val="00CA16C7"/>
    <w:pPr>
      <w:adjustRightInd w:val="0"/>
      <w:spacing w:line="436" w:lineRule="exact"/>
      <w:ind w:left="357"/>
      <w:jc w:val="left"/>
      <w:outlineLvl w:val="3"/>
    </w:pPr>
    <w:rPr>
      <w:rFonts w:ascii="Tahoma" w:hAnsi="Tahoma"/>
      <w:b/>
      <w:sz w:val="24"/>
    </w:rPr>
  </w:style>
  <w:style w:type="paragraph" w:customStyle="1" w:styleId="151687">
    <w:name w:val="样式 小四 黑色 行距: 1.5 倍行距 首行缩进:  16.87 字符"/>
    <w:basedOn w:val="a0"/>
    <w:rsid w:val="00CA16C7"/>
    <w:pPr>
      <w:spacing w:line="520" w:lineRule="exact"/>
      <w:ind w:firstLineChars="1687" w:firstLine="1687"/>
    </w:pPr>
    <w:rPr>
      <w:rFonts w:cs="宋体"/>
      <w:color w:val="000000"/>
      <w:sz w:val="24"/>
      <w:szCs w:val="20"/>
    </w:rPr>
  </w:style>
  <w:style w:type="paragraph" w:customStyle="1" w:styleId="1011510">
    <w:name w:val="样式 小四 黑色 首行缩进:  1.01 厘米 行距: 1.5 倍行距1"/>
    <w:basedOn w:val="a0"/>
    <w:rsid w:val="00CA16C7"/>
    <w:pPr>
      <w:spacing w:line="520" w:lineRule="exact"/>
      <w:ind w:firstLine="573"/>
    </w:pPr>
    <w:rPr>
      <w:rFonts w:cs="宋体"/>
      <w:color w:val="000000"/>
      <w:sz w:val="24"/>
      <w:szCs w:val="20"/>
    </w:rPr>
  </w:style>
  <w:style w:type="paragraph" w:customStyle="1" w:styleId="018">
    <w:name w:val="样式 小四 黑色 加宽量  0.1 磅"/>
    <w:basedOn w:val="a0"/>
    <w:rsid w:val="00CA16C7"/>
    <w:pPr>
      <w:spacing w:line="520" w:lineRule="exact"/>
      <w:ind w:firstLineChars="200" w:firstLine="200"/>
    </w:pPr>
    <w:rPr>
      <w:color w:val="000000"/>
      <w:spacing w:val="2"/>
      <w:sz w:val="24"/>
    </w:rPr>
  </w:style>
  <w:style w:type="paragraph" w:customStyle="1" w:styleId="085156">
    <w:name w:val="样式 小四 黑色 首行缩进:  0.85 厘米 行距: 1.5 倍行距"/>
    <w:basedOn w:val="a0"/>
    <w:rsid w:val="00CA16C7"/>
    <w:pPr>
      <w:spacing w:line="520" w:lineRule="exact"/>
      <w:ind w:firstLine="482"/>
    </w:pPr>
    <w:rPr>
      <w:rFonts w:cs="宋体"/>
      <w:color w:val="000000"/>
      <w:sz w:val="24"/>
      <w:szCs w:val="20"/>
    </w:rPr>
  </w:style>
  <w:style w:type="paragraph" w:customStyle="1" w:styleId="affffffffffc">
    <w:name w:val="图片"/>
    <w:basedOn w:val="a0"/>
    <w:rsid w:val="00CA16C7"/>
    <w:pPr>
      <w:adjustRightInd w:val="0"/>
      <w:spacing w:line="480" w:lineRule="exact"/>
      <w:jc w:val="center"/>
      <w:textAlignment w:val="baseline"/>
    </w:pPr>
    <w:rPr>
      <w:spacing w:val="-2"/>
      <w:kern w:val="0"/>
      <w:szCs w:val="28"/>
    </w:rPr>
  </w:style>
  <w:style w:type="paragraph" w:customStyle="1" w:styleId="159">
    <w:name w:val="样式 (中文) 黑体 小四 行距: 1.5 倍行距"/>
    <w:basedOn w:val="a0"/>
    <w:rsid w:val="00CA16C7"/>
    <w:pPr>
      <w:spacing w:line="520" w:lineRule="exact"/>
    </w:pPr>
    <w:rPr>
      <w:rFonts w:eastAsia="黑体" w:cs="宋体"/>
      <w:sz w:val="24"/>
      <w:szCs w:val="20"/>
    </w:rPr>
  </w:style>
  <w:style w:type="paragraph" w:customStyle="1" w:styleId="4c">
    <w:name w:val="4"/>
    <w:basedOn w:val="a0"/>
    <w:qFormat/>
    <w:rsid w:val="00CA16C7"/>
    <w:pPr>
      <w:adjustRightInd w:val="0"/>
      <w:snapToGrid w:val="0"/>
      <w:spacing w:line="520" w:lineRule="exact"/>
      <w:ind w:firstLineChars="200" w:firstLine="200"/>
      <w:jc w:val="left"/>
    </w:pPr>
    <w:rPr>
      <w:sz w:val="24"/>
    </w:rPr>
  </w:style>
  <w:style w:type="paragraph" w:customStyle="1" w:styleId="1ff6">
    <w:name w:val="样式 段落 + 小四1"/>
    <w:basedOn w:val="affffffffff"/>
    <w:rsid w:val="00CA16C7"/>
    <w:pPr>
      <w:adjustRightInd/>
      <w:snapToGrid/>
      <w:spacing w:line="520" w:lineRule="exact"/>
      <w:ind w:firstLine="578"/>
    </w:pPr>
    <w:rPr>
      <w:rFonts w:ascii="Times New Roman" w:hAnsi="Times New Roman"/>
      <w:snapToGrid/>
      <w:sz w:val="24"/>
      <w:szCs w:val="24"/>
    </w:rPr>
  </w:style>
  <w:style w:type="paragraph" w:customStyle="1" w:styleId="212">
    <w:name w:val="样式 正文文本 2 + 黑体 小四1"/>
    <w:basedOn w:val="25"/>
    <w:rsid w:val="00CA16C7"/>
    <w:rPr>
      <w:rFonts w:ascii="黑体" w:eastAsia="黑体" w:hAnsi="黑体"/>
      <w:color w:val="auto"/>
    </w:rPr>
  </w:style>
  <w:style w:type="paragraph" w:customStyle="1" w:styleId="p17">
    <w:name w:val="p17"/>
    <w:basedOn w:val="a0"/>
    <w:rsid w:val="00CA16C7"/>
    <w:pPr>
      <w:widowControl/>
      <w:spacing w:before="156" w:line="360" w:lineRule="auto"/>
    </w:pPr>
    <w:rPr>
      <w:b/>
      <w:bCs/>
      <w:kern w:val="0"/>
      <w:szCs w:val="28"/>
    </w:rPr>
  </w:style>
  <w:style w:type="paragraph" w:customStyle="1" w:styleId="10615">
    <w:name w:val="样式 小四 黑色 首行缩进:  1.06 厘米 行距: 1.5 倍行距"/>
    <w:basedOn w:val="a0"/>
    <w:rsid w:val="00CA16C7"/>
    <w:pPr>
      <w:spacing w:line="520" w:lineRule="exact"/>
      <w:ind w:firstLine="601"/>
    </w:pPr>
    <w:rPr>
      <w:rFonts w:cs="宋体"/>
      <w:color w:val="000000"/>
      <w:sz w:val="24"/>
      <w:szCs w:val="20"/>
    </w:rPr>
  </w:style>
  <w:style w:type="paragraph" w:customStyle="1" w:styleId="787826">
    <w:name w:val="样式 (中文) 华文楷体 四号 加粗 黑色 段前: 7.8 磅 段后: 7.8 磅 行距: 固定值 26 磅"/>
    <w:basedOn w:val="a0"/>
    <w:rsid w:val="00CA16C7"/>
    <w:pPr>
      <w:spacing w:before="120" w:after="120" w:line="520" w:lineRule="exact"/>
    </w:pPr>
    <w:rPr>
      <w:rFonts w:ascii="Calibri" w:eastAsia="华文楷体" w:hAnsi="Calibri" w:cs="宋体"/>
      <w:b/>
      <w:bCs/>
      <w:color w:val="000000"/>
      <w:szCs w:val="20"/>
    </w:rPr>
  </w:style>
  <w:style w:type="paragraph" w:customStyle="1" w:styleId="3f2">
    <w:name w:val="样式 标题 3头 +"/>
    <w:basedOn w:val="30"/>
    <w:rsid w:val="00CA16C7"/>
    <w:pPr>
      <w:spacing w:before="0" w:after="0" w:line="360" w:lineRule="auto"/>
    </w:pPr>
    <w:rPr>
      <w:b w:val="0"/>
      <w:bCs w:val="0"/>
      <w:kern w:val="0"/>
      <w:sz w:val="28"/>
      <w:szCs w:val="20"/>
      <w:lang w:val="de-DE"/>
    </w:rPr>
  </w:style>
  <w:style w:type="paragraph" w:customStyle="1" w:styleId="1ff7">
    <w:name w:val="样式 小四 黑色1"/>
    <w:basedOn w:val="a0"/>
    <w:rsid w:val="00CA16C7"/>
    <w:pPr>
      <w:spacing w:line="520" w:lineRule="exact"/>
      <w:ind w:firstLineChars="150" w:firstLine="150"/>
    </w:pPr>
    <w:rPr>
      <w:color w:val="000000"/>
      <w:sz w:val="24"/>
      <w:szCs w:val="20"/>
      <w:lang w:val="zh-CN"/>
    </w:rPr>
  </w:style>
  <w:style w:type="paragraph" w:customStyle="1" w:styleId="ParaCharCharCharChar">
    <w:name w:val="默认段落字体 Para Char Char Char Char"/>
    <w:basedOn w:val="a0"/>
    <w:rsid w:val="00CA16C7"/>
    <w:pPr>
      <w:spacing w:beforeLines="100" w:afterLines="50" w:line="600" w:lineRule="exact"/>
      <w:ind w:firstLineChars="200" w:firstLine="200"/>
    </w:pPr>
    <w:rPr>
      <w:rFonts w:eastAsia="黑体"/>
    </w:rPr>
  </w:style>
  <w:style w:type="paragraph" w:customStyle="1" w:styleId="xl90">
    <w:name w:val="xl90"/>
    <w:basedOn w:val="a0"/>
    <w:rsid w:val="00CA16C7"/>
    <w:pPr>
      <w:widowControl/>
      <w:pBdr>
        <w:top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affffffffffd">
    <w:name w:val="样式 (中文) 新宋体 小四 黑色"/>
    <w:basedOn w:val="a0"/>
    <w:rsid w:val="00CA16C7"/>
    <w:pPr>
      <w:spacing w:line="520" w:lineRule="exact"/>
      <w:ind w:firstLineChars="200" w:firstLine="200"/>
    </w:pPr>
    <w:rPr>
      <w:rFonts w:eastAsia="新宋体"/>
      <w:color w:val="000000"/>
      <w:kern w:val="0"/>
      <w:sz w:val="24"/>
      <w:lang w:val="zh-CN"/>
    </w:rPr>
  </w:style>
  <w:style w:type="paragraph" w:customStyle="1" w:styleId="CharCharCharCharCharCharCharCharCharC21">
    <w:name w:val="样式 纯文本孙普文字 Char Char CharCharChar Char纯文本 Char Char Char C...21"/>
    <w:basedOn w:val="ae"/>
    <w:rsid w:val="00CA16C7"/>
    <w:pPr>
      <w:spacing w:line="240" w:lineRule="auto"/>
      <w:jc w:val="center"/>
    </w:pPr>
    <w:rPr>
      <w:rFonts w:ascii="Times New Roman" w:hAnsi="Times New Roman" w:cs="宋体"/>
      <w:sz w:val="21"/>
    </w:rPr>
  </w:style>
  <w:style w:type="paragraph" w:customStyle="1" w:styleId="affffffffffe">
    <w:name w:val="标题一"/>
    <w:basedOn w:val="a0"/>
    <w:next w:val="a0"/>
    <w:rsid w:val="00CA16C7"/>
    <w:pPr>
      <w:spacing w:line="540" w:lineRule="exact"/>
      <w:ind w:firstLineChars="200" w:firstLine="200"/>
    </w:pPr>
    <w:rPr>
      <w:rFonts w:ascii="黑体" w:eastAsia="黑体" w:hAnsi="Arial Narrow"/>
      <w:b/>
    </w:rPr>
  </w:style>
  <w:style w:type="paragraph" w:customStyle="1" w:styleId="08516">
    <w:name w:val="样式 小四 首行缩进:  0.85 厘米 行距: 多倍行距 1.6 字行"/>
    <w:basedOn w:val="a0"/>
    <w:rsid w:val="00CA16C7"/>
    <w:pPr>
      <w:spacing w:line="520" w:lineRule="exact"/>
      <w:ind w:firstLine="482"/>
    </w:pPr>
    <w:rPr>
      <w:rFonts w:cs="宋体"/>
      <w:sz w:val="24"/>
      <w:szCs w:val="20"/>
    </w:rPr>
  </w:style>
  <w:style w:type="paragraph" w:customStyle="1" w:styleId="15230">
    <w:name w:val="样式 小四 黑色 行距: 1.5 倍行距 首行缩进:  2 字符3"/>
    <w:basedOn w:val="a0"/>
    <w:rsid w:val="00CA16C7"/>
    <w:pPr>
      <w:spacing w:line="520" w:lineRule="exact"/>
      <w:ind w:firstLineChars="200" w:firstLine="200"/>
    </w:pPr>
    <w:rPr>
      <w:rFonts w:ascii="Calibri" w:hAnsi="Calibri" w:cs="宋体"/>
      <w:color w:val="000000"/>
      <w:sz w:val="24"/>
      <w:szCs w:val="20"/>
    </w:rPr>
  </w:style>
  <w:style w:type="paragraph" w:customStyle="1" w:styleId="1b1XWH1H11H121H12Char1Char1">
    <w:name w:val="样式 标题 1式样b标题 1XWH1H11H12章节标题章标题 1章标题H12 Char标题 1 Char ...1"/>
    <w:basedOn w:val="1"/>
    <w:rsid w:val="00CA16C7"/>
    <w:pPr>
      <w:keepLines w:val="0"/>
      <w:pageBreakBefore/>
      <w:autoSpaceDE w:val="0"/>
      <w:autoSpaceDN w:val="0"/>
      <w:adjustRightInd w:val="0"/>
      <w:spacing w:beforeLines="100" w:afterLines="300" w:line="600" w:lineRule="auto"/>
      <w:jc w:val="center"/>
    </w:pPr>
    <w:rPr>
      <w:rFonts w:eastAsia="黑体"/>
      <w:color w:val="000000"/>
      <w:szCs w:val="20"/>
    </w:rPr>
  </w:style>
  <w:style w:type="paragraph" w:customStyle="1" w:styleId="15a">
    <w:name w:val="样式 宋体 小四 黑色 行距: 1.5 倍行距"/>
    <w:basedOn w:val="a0"/>
    <w:rsid w:val="00CA16C7"/>
    <w:pPr>
      <w:spacing w:line="520" w:lineRule="exact"/>
    </w:pPr>
    <w:rPr>
      <w:rFonts w:ascii="宋体" w:hAnsi="宋体" w:cs="宋体"/>
      <w:color w:val="000000"/>
      <w:sz w:val="24"/>
      <w:szCs w:val="20"/>
    </w:rPr>
  </w:style>
  <w:style w:type="paragraph" w:customStyle="1" w:styleId="afffffffffff">
    <w:name w:val="四级标题"/>
    <w:basedOn w:val="a0"/>
    <w:qFormat/>
    <w:rsid w:val="00CA16C7"/>
    <w:pPr>
      <w:spacing w:line="520" w:lineRule="exact"/>
      <w:outlineLvl w:val="2"/>
    </w:pPr>
    <w:rPr>
      <w:sz w:val="24"/>
      <w:szCs w:val="28"/>
    </w:rPr>
  </w:style>
  <w:style w:type="paragraph" w:customStyle="1" w:styleId="102550128">
    <w:name w:val="样式 小四 首行缩进:  1.02 厘米 段前: 5 磅 段后: 5 磅 加宽量  0.1 磅 行距: 固定值 28 磅"/>
    <w:basedOn w:val="a0"/>
    <w:rsid w:val="00CA16C7"/>
    <w:pPr>
      <w:spacing w:before="100" w:after="100" w:line="520" w:lineRule="exact"/>
      <w:ind w:firstLine="578"/>
    </w:pPr>
    <w:rPr>
      <w:rFonts w:cs="宋体"/>
      <w:spacing w:val="2"/>
      <w:sz w:val="24"/>
      <w:szCs w:val="20"/>
    </w:rPr>
  </w:style>
  <w:style w:type="paragraph" w:customStyle="1" w:styleId="15b">
    <w:name w:val="样式 小四 行距: 1.5 倍行距"/>
    <w:basedOn w:val="a0"/>
    <w:rsid w:val="00CA16C7"/>
    <w:pPr>
      <w:spacing w:line="520" w:lineRule="exact"/>
    </w:pPr>
    <w:rPr>
      <w:rFonts w:cs="宋体"/>
      <w:sz w:val="24"/>
      <w:szCs w:val="20"/>
    </w:rPr>
  </w:style>
  <w:style w:type="paragraph" w:customStyle="1" w:styleId="Char1CharCharChar">
    <w:name w:val="Char1 Char Char Char"/>
    <w:basedOn w:val="aa"/>
    <w:rsid w:val="00CA16C7"/>
    <w:pPr>
      <w:adjustRightInd w:val="0"/>
      <w:spacing w:line="436" w:lineRule="exact"/>
      <w:ind w:left="357"/>
      <w:jc w:val="left"/>
      <w:outlineLvl w:val="3"/>
    </w:pPr>
    <w:rPr>
      <w:rFonts w:ascii="Tahoma" w:hAnsi="Tahoma"/>
      <w:b/>
      <w:sz w:val="24"/>
    </w:rPr>
  </w:style>
  <w:style w:type="paragraph" w:customStyle="1" w:styleId="086623">
    <w:name w:val="样式 小四 黑色 首行缩进:  0.86 厘米 段前: 6 磅 行距: 固定值 23 磅"/>
    <w:basedOn w:val="a0"/>
    <w:rsid w:val="00CA16C7"/>
    <w:pPr>
      <w:spacing w:before="120" w:line="520" w:lineRule="exact"/>
      <w:ind w:firstLine="488"/>
    </w:pPr>
    <w:rPr>
      <w:rFonts w:cs="宋体"/>
      <w:color w:val="000000"/>
      <w:sz w:val="24"/>
      <w:szCs w:val="20"/>
    </w:rPr>
  </w:style>
  <w:style w:type="paragraph" w:customStyle="1" w:styleId="224">
    <w:name w:val="正文文本缩进 22"/>
    <w:basedOn w:val="a0"/>
    <w:rsid w:val="00CA16C7"/>
    <w:pPr>
      <w:adjustRightInd w:val="0"/>
      <w:snapToGrid w:val="0"/>
      <w:spacing w:line="540" w:lineRule="atLeast"/>
      <w:ind w:firstLine="630"/>
    </w:pPr>
    <w:rPr>
      <w:rFonts w:ascii="宋体"/>
      <w:szCs w:val="20"/>
    </w:rPr>
  </w:style>
  <w:style w:type="paragraph" w:customStyle="1" w:styleId="ParaChar">
    <w:name w:val="默认段落字体 Para Char"/>
    <w:basedOn w:val="a0"/>
    <w:next w:val="a0"/>
    <w:rsid w:val="00CA16C7"/>
    <w:pPr>
      <w:keepNext/>
      <w:keepLines/>
      <w:widowControl/>
      <w:adjustRightInd w:val="0"/>
      <w:spacing w:before="360" w:after="480" w:line="360" w:lineRule="auto"/>
      <w:ind w:firstLineChars="200" w:firstLine="200"/>
      <w:jc w:val="left"/>
      <w:textAlignment w:val="baseline"/>
      <w:outlineLvl w:val="1"/>
    </w:pPr>
    <w:rPr>
      <w:rFonts w:ascii="宋体" w:hAnsi="宋体" w:cs="宋体"/>
      <w:b/>
      <w:bCs/>
      <w:kern w:val="0"/>
      <w:sz w:val="30"/>
      <w:szCs w:val="28"/>
    </w:rPr>
  </w:style>
  <w:style w:type="paragraph" w:customStyle="1" w:styleId="0110">
    <w:name w:val="样式 小四 加宽量  0.1 磅1"/>
    <w:basedOn w:val="a0"/>
    <w:rsid w:val="00CA16C7"/>
    <w:pPr>
      <w:spacing w:line="520" w:lineRule="exact"/>
      <w:ind w:firstLineChars="200" w:firstLine="200"/>
    </w:pPr>
    <w:rPr>
      <w:spacing w:val="2"/>
      <w:sz w:val="24"/>
    </w:rPr>
  </w:style>
  <w:style w:type="paragraph" w:customStyle="1" w:styleId="15211">
    <w:name w:val="样式 小四 黑色 行距: 1.5 倍行距 首行缩进:  2 字符1"/>
    <w:basedOn w:val="a0"/>
    <w:qFormat/>
    <w:rsid w:val="00CA16C7"/>
    <w:pPr>
      <w:spacing w:line="520" w:lineRule="exact"/>
      <w:ind w:firstLineChars="200" w:firstLine="200"/>
    </w:pPr>
    <w:rPr>
      <w:rFonts w:cs="宋体"/>
      <w:color w:val="000000"/>
      <w:sz w:val="24"/>
      <w:szCs w:val="20"/>
    </w:rPr>
  </w:style>
  <w:style w:type="paragraph" w:customStyle="1" w:styleId="afffffffffff0">
    <w:name w:val="样式 小四 字距调整四号"/>
    <w:basedOn w:val="a0"/>
    <w:qFormat/>
    <w:rsid w:val="00CA16C7"/>
    <w:pPr>
      <w:snapToGrid w:val="0"/>
      <w:spacing w:line="520" w:lineRule="exact"/>
      <w:ind w:firstLineChars="200" w:firstLine="200"/>
    </w:pPr>
    <w:rPr>
      <w:rFonts w:ascii="Calibri" w:hAnsi="Calibri" w:cs="宋体"/>
      <w:kern w:val="28"/>
      <w:sz w:val="24"/>
    </w:rPr>
  </w:style>
  <w:style w:type="paragraph" w:customStyle="1" w:styleId="2012">
    <w:name w:val="样式 样式 正文文本缩进 2 + 五号 加宽量  0.1 磅 + 左侧:  2 字符"/>
    <w:basedOn w:val="2010"/>
    <w:rsid w:val="00CA16C7"/>
    <w:pPr>
      <w:ind w:firstLine="0"/>
    </w:pPr>
    <w:rPr>
      <w:rFonts w:cs="宋体"/>
    </w:rPr>
  </w:style>
  <w:style w:type="paragraph" w:customStyle="1" w:styleId="Style140">
    <w:name w:val="_Style 14"/>
    <w:basedOn w:val="a0"/>
    <w:next w:val="ac"/>
    <w:rsid w:val="00CA16C7"/>
    <w:pPr>
      <w:widowControl/>
      <w:spacing w:line="360" w:lineRule="auto"/>
      <w:ind w:firstLine="454"/>
      <w:jc w:val="left"/>
    </w:pPr>
    <w:rPr>
      <w:kern w:val="0"/>
      <w:szCs w:val="20"/>
    </w:rPr>
  </w:style>
  <w:style w:type="paragraph" w:customStyle="1" w:styleId="1ff8">
    <w:name w:val="目录1"/>
    <w:basedOn w:val="a0"/>
    <w:rsid w:val="00CA16C7"/>
    <w:pPr>
      <w:widowControl/>
      <w:tabs>
        <w:tab w:val="left" w:leader="dot" w:pos="8503"/>
      </w:tabs>
      <w:spacing w:after="136" w:line="289" w:lineRule="atLeast"/>
      <w:jc w:val="left"/>
      <w:textAlignment w:val="baseline"/>
    </w:pPr>
    <w:rPr>
      <w:rFonts w:ascii="Arial" w:eastAsia="黑体"/>
      <w:color w:val="000000"/>
      <w:kern w:val="0"/>
      <w:szCs w:val="20"/>
      <w:u w:color="000000"/>
    </w:rPr>
  </w:style>
  <w:style w:type="paragraph" w:customStyle="1" w:styleId="3099">
    <w:name w:val="样式 标题 3 + 首行缩进:  0.99 厘米"/>
    <w:basedOn w:val="30"/>
    <w:rsid w:val="00CA16C7"/>
    <w:pPr>
      <w:spacing w:before="0" w:after="0" w:line="520" w:lineRule="exact"/>
      <w:jc w:val="left"/>
    </w:pPr>
    <w:rPr>
      <w:rFonts w:ascii="Arial" w:hAnsi="Arial" w:cs="宋体"/>
      <w:color w:val="000000"/>
      <w:kern w:val="0"/>
      <w:sz w:val="28"/>
      <w:szCs w:val="20"/>
    </w:rPr>
  </w:style>
  <w:style w:type="paragraph" w:customStyle="1" w:styleId="141">
    <w:name w:val="样式 宋体 四号 左 行距: 固定值 14 磅1"/>
    <w:basedOn w:val="a0"/>
    <w:next w:val="a0"/>
    <w:rsid w:val="00CA16C7"/>
    <w:pPr>
      <w:spacing w:line="280" w:lineRule="exact"/>
      <w:ind w:firstLineChars="200" w:firstLine="560"/>
      <w:jc w:val="left"/>
    </w:pPr>
    <w:rPr>
      <w:rFonts w:ascii="宋体" w:cs="宋体"/>
      <w:szCs w:val="20"/>
    </w:rPr>
  </w:style>
  <w:style w:type="paragraph" w:customStyle="1" w:styleId="afffffffffff1">
    <w:name w:val="方案正文"/>
    <w:basedOn w:val="a0"/>
    <w:uiPriority w:val="99"/>
    <w:rsid w:val="00CA16C7"/>
    <w:pPr>
      <w:spacing w:line="360" w:lineRule="auto"/>
      <w:ind w:firstLineChars="200" w:firstLine="200"/>
      <w:jc w:val="left"/>
    </w:pPr>
    <w:rPr>
      <w:rFonts w:ascii="Calibri" w:hAnsi="Calibri"/>
    </w:rPr>
  </w:style>
  <w:style w:type="paragraph" w:customStyle="1" w:styleId="1ff9">
    <w:name w:val="无间隔1"/>
    <w:uiPriority w:val="1"/>
    <w:qFormat/>
    <w:rsid w:val="00CA16C7"/>
    <w:pPr>
      <w:adjustRightInd w:val="0"/>
      <w:snapToGrid w:val="0"/>
    </w:pPr>
    <w:rPr>
      <w:rFonts w:ascii="Tahoma" w:eastAsia="微软雅黑" w:hAnsi="Tahoma"/>
      <w:sz w:val="22"/>
      <w:szCs w:val="22"/>
    </w:rPr>
  </w:style>
  <w:style w:type="paragraph" w:customStyle="1" w:styleId="CharCharChar1Char">
    <w:name w:val="Char Char Char1 Char"/>
    <w:basedOn w:val="a0"/>
    <w:semiHidden/>
    <w:rsid w:val="00CA16C7"/>
    <w:rPr>
      <w:sz w:val="21"/>
    </w:rPr>
  </w:style>
  <w:style w:type="paragraph" w:customStyle="1" w:styleId="455157">
    <w:name w:val="样式 标题 4 + 黑体 段前: 5 磅 段后: 5 磅 行距: 多倍行距 1.57 字行"/>
    <w:basedOn w:val="4"/>
    <w:rsid w:val="00CA16C7"/>
    <w:pPr>
      <w:spacing w:before="100" w:after="100" w:line="377" w:lineRule="auto"/>
      <w:jc w:val="center"/>
    </w:pPr>
    <w:rPr>
      <w:rFonts w:ascii="黑体" w:cs="宋体"/>
      <w:szCs w:val="20"/>
    </w:rPr>
  </w:style>
  <w:style w:type="paragraph" w:customStyle="1" w:styleId="hst0">
    <w:name w:val="hst 表格正文"/>
    <w:basedOn w:val="a0"/>
    <w:qFormat/>
    <w:rsid w:val="00CA16C7"/>
    <w:pPr>
      <w:spacing w:line="240" w:lineRule="exact"/>
      <w:jc w:val="center"/>
    </w:pPr>
    <w:rPr>
      <w:kern w:val="0"/>
      <w:sz w:val="20"/>
      <w:szCs w:val="21"/>
    </w:rPr>
  </w:style>
  <w:style w:type="paragraph" w:customStyle="1" w:styleId="15c">
    <w:name w:val="样式 小四 左 行距: 1.5 倍行距"/>
    <w:basedOn w:val="a0"/>
    <w:rsid w:val="00CA16C7"/>
    <w:pPr>
      <w:spacing w:line="520" w:lineRule="exact"/>
      <w:jc w:val="left"/>
    </w:pPr>
    <w:rPr>
      <w:rFonts w:cs="宋体"/>
      <w:sz w:val="24"/>
      <w:szCs w:val="20"/>
    </w:rPr>
  </w:style>
  <w:style w:type="paragraph" w:customStyle="1" w:styleId="1ffa">
    <w:name w:val="样式 标题 1 + 段前: 自动"/>
    <w:basedOn w:val="1"/>
    <w:rsid w:val="00CA16C7"/>
    <w:pPr>
      <w:keepLines w:val="0"/>
      <w:widowControl/>
      <w:spacing w:beforeLines="100" w:afterLines="100" w:line="240" w:lineRule="auto"/>
      <w:ind w:firstLineChars="200" w:firstLine="480"/>
      <w:jc w:val="center"/>
    </w:pPr>
    <w:rPr>
      <w:rFonts w:ascii="宋体" w:eastAsia="黑体" w:hAnsi="宋体"/>
      <w:bCs w:val="0"/>
      <w:kern w:val="2"/>
      <w:sz w:val="32"/>
      <w:szCs w:val="20"/>
    </w:rPr>
  </w:style>
  <w:style w:type="paragraph" w:customStyle="1" w:styleId="1535">
    <w:name w:val="样式 小四 黑色 行距: 1.5 倍行距 首行缩进:  3.5 字符"/>
    <w:basedOn w:val="a0"/>
    <w:rsid w:val="00CA16C7"/>
    <w:pPr>
      <w:spacing w:line="520" w:lineRule="exact"/>
      <w:ind w:firstLineChars="350" w:firstLine="350"/>
    </w:pPr>
    <w:rPr>
      <w:rFonts w:cs="宋体"/>
      <w:color w:val="000000"/>
      <w:sz w:val="24"/>
      <w:szCs w:val="20"/>
    </w:rPr>
  </w:style>
  <w:style w:type="paragraph" w:customStyle="1" w:styleId="xl81">
    <w:name w:val="xl81"/>
    <w:basedOn w:val="a0"/>
    <w:rsid w:val="00CA16C7"/>
    <w:pPr>
      <w:widowControl/>
      <w:pBdr>
        <w:top w:val="single" w:sz="8"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1011511">
    <w:name w:val="样式 标题 1 + 二号 黑色 居中 加宽量  0.1 磅 行距: 1.5 倍行距1"/>
    <w:basedOn w:val="1"/>
    <w:rsid w:val="00CA16C7"/>
    <w:pPr>
      <w:keepNext w:val="0"/>
      <w:pageBreakBefore/>
      <w:spacing w:line="360" w:lineRule="auto"/>
      <w:jc w:val="center"/>
    </w:pPr>
    <w:rPr>
      <w:rFonts w:cs="宋体"/>
      <w:color w:val="000000"/>
      <w:spacing w:val="2"/>
      <w:szCs w:val="20"/>
    </w:rPr>
  </w:style>
  <w:style w:type="paragraph" w:customStyle="1" w:styleId="2CharCharChars40">
    <w:name w:val="样式 样式 样式 正文缩进正文不缩进正文2正文（首行缩进两字）特点正文缩进 Char Char图标题正文缩进 Chars4 ....."/>
    <w:basedOn w:val="2CharCharChars410"/>
    <w:rsid w:val="00CA16C7"/>
  </w:style>
  <w:style w:type="paragraph" w:customStyle="1" w:styleId="2CharCharChars410">
    <w:name w:val="样式 样式 正文缩进正文不缩进正文2正文（首行缩进两字）特点正文缩进 Char Char图标题正文缩进 Chars4 ...1 ..."/>
    <w:basedOn w:val="2CharCharChars41"/>
    <w:rsid w:val="00CA16C7"/>
  </w:style>
  <w:style w:type="paragraph" w:customStyle="1" w:styleId="Char41">
    <w:name w:val="Char41"/>
    <w:basedOn w:val="a0"/>
    <w:next w:val="18"/>
    <w:rsid w:val="00CA16C7"/>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rsid w:val="00CA16C7"/>
    <w:pPr>
      <w:spacing w:line="360" w:lineRule="auto"/>
      <w:ind w:firstLineChars="200" w:firstLine="200"/>
    </w:pPr>
    <w:rPr>
      <w:rFonts w:ascii="宋体" w:hAnsi="宋体" w:cs="宋体"/>
      <w:sz w:val="24"/>
    </w:rPr>
  </w:style>
  <w:style w:type="paragraph" w:customStyle="1" w:styleId="GB231215">
    <w:name w:val="样式 (中文) 楷体_GB2312 黑色 行距: 1.5 倍行距"/>
    <w:basedOn w:val="a0"/>
    <w:rsid w:val="00CA16C7"/>
    <w:pPr>
      <w:spacing w:line="520" w:lineRule="exact"/>
    </w:pPr>
    <w:rPr>
      <w:rFonts w:eastAsia="楷体_GB2312" w:cs="宋体"/>
      <w:color w:val="000000"/>
      <w:szCs w:val="20"/>
    </w:rPr>
  </w:style>
  <w:style w:type="paragraph" w:customStyle="1" w:styleId="260">
    <w:name w:val="样式 四号 加粗 黑色 行距: 固定值 26 磅"/>
    <w:basedOn w:val="a0"/>
    <w:rsid w:val="00CA16C7"/>
    <w:pPr>
      <w:spacing w:beforeLines="50" w:afterLines="50"/>
      <w:ind w:firstLineChars="200" w:firstLine="480"/>
    </w:pPr>
    <w:rPr>
      <w:rFonts w:cs="宋体"/>
      <w:bCs/>
      <w:color w:val="000000"/>
      <w:sz w:val="24"/>
    </w:rPr>
  </w:style>
  <w:style w:type="paragraph" w:customStyle="1" w:styleId="xl181">
    <w:name w:val="xl181"/>
    <w:basedOn w:val="a0"/>
    <w:rsid w:val="00CA16C7"/>
    <w:pPr>
      <w:widowControl/>
      <w:spacing w:before="100" w:beforeAutospacing="1" w:after="100" w:afterAutospacing="1"/>
      <w:jc w:val="center"/>
      <w:textAlignment w:val="center"/>
    </w:pPr>
    <w:rPr>
      <w:rFonts w:ascii="宋体" w:hAnsi="宋体"/>
      <w:b/>
      <w:bCs/>
      <w:kern w:val="0"/>
      <w:sz w:val="32"/>
      <w:szCs w:val="32"/>
    </w:rPr>
  </w:style>
  <w:style w:type="paragraph" w:customStyle="1" w:styleId="101154">
    <w:name w:val="样式 标题 1 + 二号 黑色 居中 加宽量  0.1 磅 行距: 1.5 倍行距"/>
    <w:basedOn w:val="1"/>
    <w:rsid w:val="00CA16C7"/>
    <w:pPr>
      <w:pageBreakBefore/>
      <w:spacing w:line="360" w:lineRule="auto"/>
      <w:jc w:val="center"/>
    </w:pPr>
    <w:rPr>
      <w:rFonts w:cs="宋体"/>
      <w:color w:val="000000"/>
      <w:spacing w:val="2"/>
      <w:szCs w:val="20"/>
    </w:rPr>
  </w:style>
  <w:style w:type="paragraph" w:customStyle="1" w:styleId="afffffffffff2">
    <w:name w:val="样式 宋体 四号"/>
    <w:basedOn w:val="a0"/>
    <w:rsid w:val="00CA16C7"/>
    <w:pPr>
      <w:spacing w:line="360" w:lineRule="auto"/>
      <w:ind w:firstLineChars="200" w:firstLine="480"/>
    </w:pPr>
    <w:rPr>
      <w:rFonts w:ascii="宋体" w:hAnsi="宋体" w:cs="宋体"/>
      <w:sz w:val="24"/>
    </w:rPr>
  </w:style>
  <w:style w:type="paragraph" w:customStyle="1" w:styleId="15d">
    <w:name w:val="样式 五号 居中 行距: 1.5 倍行距"/>
    <w:basedOn w:val="a0"/>
    <w:rsid w:val="00CA16C7"/>
    <w:pPr>
      <w:jc w:val="center"/>
    </w:pPr>
    <w:rPr>
      <w:rFonts w:cs="宋体"/>
      <w:sz w:val="21"/>
      <w:szCs w:val="20"/>
    </w:rPr>
  </w:style>
  <w:style w:type="paragraph" w:customStyle="1" w:styleId="CharCharCharCharCharChar">
    <w:name w:val="Char Char Char Char Char Char"/>
    <w:basedOn w:val="a0"/>
    <w:next w:val="a0"/>
    <w:rsid w:val="00CA16C7"/>
    <w:pPr>
      <w:adjustRightInd w:val="0"/>
      <w:snapToGrid w:val="0"/>
      <w:spacing w:line="360" w:lineRule="auto"/>
      <w:ind w:firstLineChars="200" w:firstLine="200"/>
    </w:pPr>
    <w:rPr>
      <w:rFonts w:ascii="宋体" w:hAnsi="宋体" w:cs="宋体"/>
      <w:sz w:val="24"/>
    </w:rPr>
  </w:style>
  <w:style w:type="paragraph" w:customStyle="1" w:styleId="07723">
    <w:name w:val="样式 小四 首行缩进:  0.77 厘米 行距: 固定值 23 磅"/>
    <w:basedOn w:val="a0"/>
    <w:rsid w:val="00CA16C7"/>
    <w:pPr>
      <w:spacing w:line="520" w:lineRule="exact"/>
      <w:ind w:firstLine="437"/>
    </w:pPr>
    <w:rPr>
      <w:rFonts w:cs="宋体"/>
      <w:sz w:val="24"/>
      <w:szCs w:val="20"/>
    </w:rPr>
  </w:style>
  <w:style w:type="paragraph" w:customStyle="1" w:styleId="xl40">
    <w:name w:val="xl40"/>
    <w:basedOn w:val="a0"/>
    <w:rsid w:val="00CA16C7"/>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afffffffffff3">
    <w:name w:val="样式 (符号) 宋体 小四"/>
    <w:basedOn w:val="a0"/>
    <w:rsid w:val="00CA16C7"/>
    <w:pPr>
      <w:spacing w:line="520" w:lineRule="exact"/>
      <w:ind w:firstLineChars="200" w:firstLine="200"/>
    </w:pPr>
    <w:rPr>
      <w:rFonts w:hAnsi="宋体"/>
      <w:sz w:val="24"/>
    </w:rPr>
  </w:style>
  <w:style w:type="paragraph" w:customStyle="1" w:styleId="Char46">
    <w:name w:val="Char46"/>
    <w:basedOn w:val="a0"/>
    <w:rsid w:val="00CA16C7"/>
    <w:pPr>
      <w:spacing w:line="360" w:lineRule="auto"/>
      <w:ind w:firstLineChars="200" w:firstLine="200"/>
    </w:pPr>
    <w:rPr>
      <w:rFonts w:ascii="宋体" w:hAnsi="宋体" w:cs="宋体"/>
      <w:sz w:val="24"/>
    </w:rPr>
  </w:style>
  <w:style w:type="paragraph" w:customStyle="1" w:styleId="601152">
    <w:name w:val="样式 小四 段前: 6 磅 加宽量  0.1 磅 行距: 1.5 倍行距 首行缩进:  2 字符"/>
    <w:basedOn w:val="a0"/>
    <w:rsid w:val="00CA16C7"/>
    <w:pPr>
      <w:spacing w:before="120" w:line="520" w:lineRule="exact"/>
      <w:ind w:firstLineChars="200" w:firstLine="200"/>
    </w:pPr>
    <w:rPr>
      <w:rFonts w:cs="宋体"/>
      <w:spacing w:val="2"/>
      <w:sz w:val="24"/>
      <w:szCs w:val="20"/>
    </w:rPr>
  </w:style>
  <w:style w:type="paragraph" w:customStyle="1" w:styleId="1821">
    <w:name w:val="样式 黑色 居中 行距: 固定值 18 磅2"/>
    <w:basedOn w:val="a0"/>
    <w:rsid w:val="00CA16C7"/>
    <w:pPr>
      <w:jc w:val="center"/>
    </w:pPr>
    <w:rPr>
      <w:rFonts w:cs="宋体"/>
      <w:color w:val="000000"/>
      <w:kern w:val="0"/>
      <w:sz w:val="21"/>
      <w:szCs w:val="20"/>
    </w:rPr>
  </w:style>
  <w:style w:type="paragraph" w:customStyle="1" w:styleId="261">
    <w:name w:val="样式 (符号) 宋体 小四 行距: 固定值 26 磅"/>
    <w:basedOn w:val="a0"/>
    <w:rsid w:val="00CA16C7"/>
    <w:pPr>
      <w:spacing w:line="520" w:lineRule="exact"/>
    </w:pPr>
    <w:rPr>
      <w:rFonts w:ascii="Calibri" w:hAnsi="宋体" w:cs="宋体"/>
      <w:sz w:val="24"/>
      <w:szCs w:val="20"/>
    </w:rPr>
  </w:style>
  <w:style w:type="paragraph" w:customStyle="1" w:styleId="Char45">
    <w:name w:val="Char4"/>
    <w:basedOn w:val="a0"/>
    <w:rsid w:val="00CA16C7"/>
    <w:pPr>
      <w:spacing w:line="360" w:lineRule="auto"/>
      <w:ind w:firstLineChars="200" w:firstLine="200"/>
    </w:pPr>
    <w:rPr>
      <w:rFonts w:ascii="宋体" w:hAnsi="宋体" w:cs="宋体"/>
      <w:sz w:val="24"/>
    </w:rPr>
  </w:style>
  <w:style w:type="paragraph" w:customStyle="1" w:styleId="PlainText1">
    <w:name w:val="Plain Text1"/>
    <w:basedOn w:val="a0"/>
    <w:rsid w:val="00CA16C7"/>
    <w:pPr>
      <w:widowControl/>
      <w:autoSpaceDE w:val="0"/>
      <w:autoSpaceDN w:val="0"/>
      <w:adjustRightInd w:val="0"/>
      <w:spacing w:line="500" w:lineRule="exact"/>
      <w:ind w:firstLineChars="200" w:firstLine="480"/>
      <w:jc w:val="left"/>
      <w:textAlignment w:val="baseline"/>
    </w:pPr>
    <w:rPr>
      <w:rFonts w:ascii="宋体" w:hAnsi="宋体"/>
      <w:kern w:val="0"/>
      <w:szCs w:val="20"/>
    </w:rPr>
  </w:style>
  <w:style w:type="paragraph" w:customStyle="1" w:styleId="afffffffffff4">
    <w:name w:val="封面日期"/>
    <w:basedOn w:val="a0"/>
    <w:rsid w:val="00CA16C7"/>
    <w:pPr>
      <w:spacing w:line="560" w:lineRule="exact"/>
      <w:ind w:firstLineChars="200" w:firstLine="200"/>
      <w:jc w:val="center"/>
    </w:pPr>
    <w:rPr>
      <w:rFonts w:ascii="Calibri" w:hAnsi="Calibri"/>
      <w:sz w:val="32"/>
    </w:rPr>
  </w:style>
  <w:style w:type="paragraph" w:customStyle="1" w:styleId="07915">
    <w:name w:val="样式 小四 黑色 首行缩进:  0.79 厘米 行距: 1.5 倍行距"/>
    <w:basedOn w:val="a0"/>
    <w:rsid w:val="00CA16C7"/>
    <w:pPr>
      <w:spacing w:line="520" w:lineRule="exact"/>
      <w:ind w:firstLine="448"/>
    </w:pPr>
    <w:rPr>
      <w:rFonts w:cs="宋体"/>
      <w:color w:val="000000"/>
      <w:sz w:val="24"/>
      <w:szCs w:val="20"/>
    </w:rPr>
  </w:style>
  <w:style w:type="paragraph" w:customStyle="1" w:styleId="xl89">
    <w:name w:val="xl89"/>
    <w:basedOn w:val="a0"/>
    <w:rsid w:val="00CA16C7"/>
    <w:pPr>
      <w:widowControl/>
      <w:pBdr>
        <w:top w:val="single" w:sz="8" w:space="0" w:color="auto"/>
        <w:bottom w:val="single" w:sz="4" w:space="0" w:color="auto"/>
        <w:right w:val="single" w:sz="8" w:space="0" w:color="auto"/>
      </w:pBdr>
      <w:spacing w:before="100" w:beforeAutospacing="1" w:after="100" w:afterAutospacing="1"/>
      <w:jc w:val="center"/>
    </w:pPr>
    <w:rPr>
      <w:rFonts w:ascii="宋体" w:hAnsi="宋体"/>
      <w:kern w:val="0"/>
      <w:sz w:val="24"/>
    </w:rPr>
  </w:style>
  <w:style w:type="paragraph" w:customStyle="1" w:styleId="afffffffffff5">
    <w:name w:val="图表标题"/>
    <w:basedOn w:val="afffff0"/>
    <w:next w:val="a0"/>
    <w:rsid w:val="00CA16C7"/>
    <w:pPr>
      <w:snapToGrid w:val="0"/>
      <w:spacing w:line="240" w:lineRule="auto"/>
      <w:ind w:firstLineChars="200" w:firstLine="480"/>
      <w:textAlignment w:val="baseline"/>
    </w:pPr>
    <w:rPr>
      <w:rFonts w:ascii="黑体" w:eastAsia="黑体" w:hAnsi="Times New Roman"/>
      <w:kern w:val="2"/>
      <w:szCs w:val="24"/>
    </w:rPr>
  </w:style>
  <w:style w:type="paragraph" w:customStyle="1" w:styleId="227">
    <w:name w:val="样式 正文文本缩进 2 + (符号) 宋体 行距: 固定值 27 磅"/>
    <w:basedOn w:val="23"/>
    <w:rsid w:val="00CA16C7"/>
    <w:pPr>
      <w:adjustRightInd w:val="0"/>
      <w:snapToGrid w:val="0"/>
      <w:spacing w:line="540" w:lineRule="exact"/>
      <w:ind w:firstLineChars="200" w:firstLine="588"/>
    </w:pPr>
    <w:rPr>
      <w:rFonts w:ascii="宋体" w:hAnsi="宋体"/>
      <w:szCs w:val="20"/>
    </w:rPr>
  </w:style>
  <w:style w:type="paragraph" w:customStyle="1" w:styleId="Char49">
    <w:name w:val="Char49"/>
    <w:basedOn w:val="a0"/>
    <w:rsid w:val="00CA16C7"/>
    <w:pPr>
      <w:spacing w:line="360" w:lineRule="auto"/>
      <w:ind w:firstLineChars="200" w:firstLine="200"/>
    </w:pPr>
    <w:rPr>
      <w:rFonts w:ascii="宋体" w:hAnsi="宋体" w:cs="宋体"/>
      <w:sz w:val="24"/>
    </w:rPr>
  </w:style>
  <w:style w:type="paragraph" w:customStyle="1" w:styleId="CharCharCharCharCharCharCharCharCharCharCharCharCharCharCharChar">
    <w:name w:val="Char Char Char Char Char Char Char Char Char Char Char Char Char Char Char Char"/>
    <w:basedOn w:val="a0"/>
    <w:rsid w:val="00CA16C7"/>
    <w:pPr>
      <w:adjustRightInd w:val="0"/>
      <w:snapToGrid w:val="0"/>
      <w:spacing w:line="540" w:lineRule="atLeast"/>
    </w:pPr>
    <w:rPr>
      <w:rFonts w:ascii="Tahoma" w:hAnsi="Tahoma"/>
      <w:sz w:val="24"/>
      <w:szCs w:val="20"/>
    </w:rPr>
  </w:style>
  <w:style w:type="paragraph" w:customStyle="1" w:styleId="1010">
    <w:name w:val="样式 标题 1 + 二号 加宽量  0.1 磅"/>
    <w:basedOn w:val="1"/>
    <w:rsid w:val="00CA16C7"/>
    <w:pPr>
      <w:pageBreakBefore/>
      <w:spacing w:line="576" w:lineRule="auto"/>
    </w:pPr>
    <w:rPr>
      <w:spacing w:val="2"/>
      <w:szCs w:val="20"/>
    </w:rPr>
  </w:style>
  <w:style w:type="paragraph" w:customStyle="1" w:styleId="115">
    <w:name w:val="样式 小四 首行缩进:  1 厘米 行距: 1.5 倍行距"/>
    <w:basedOn w:val="a0"/>
    <w:rsid w:val="00CA16C7"/>
    <w:pPr>
      <w:spacing w:line="520" w:lineRule="exact"/>
      <w:ind w:firstLine="567"/>
    </w:pPr>
    <w:rPr>
      <w:rFonts w:cs="宋体"/>
      <w:sz w:val="24"/>
      <w:szCs w:val="20"/>
    </w:rPr>
  </w:style>
  <w:style w:type="paragraph" w:customStyle="1" w:styleId="afffffffffff6">
    <w:name w:val="样式 (中文) 黑体 小四 黑色"/>
    <w:basedOn w:val="a0"/>
    <w:rsid w:val="00CA16C7"/>
    <w:pPr>
      <w:spacing w:line="520" w:lineRule="exact"/>
      <w:ind w:firstLine="437"/>
    </w:pPr>
    <w:rPr>
      <w:bCs/>
      <w:spacing w:val="2"/>
      <w:kern w:val="28"/>
      <w:sz w:val="24"/>
      <w:szCs w:val="28"/>
      <w:lang w:val="de-DE"/>
    </w:rPr>
  </w:style>
  <w:style w:type="paragraph" w:customStyle="1" w:styleId="xl91">
    <w:name w:val="xl91"/>
    <w:basedOn w:val="a0"/>
    <w:rsid w:val="00CA16C7"/>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kern w:val="0"/>
      <w:sz w:val="24"/>
    </w:rPr>
  </w:style>
  <w:style w:type="paragraph" w:customStyle="1" w:styleId="312">
    <w:name w:val="正文文本 31"/>
    <w:basedOn w:val="a0"/>
    <w:rsid w:val="00CA16C7"/>
    <w:pPr>
      <w:adjustRightInd w:val="0"/>
      <w:snapToGrid w:val="0"/>
      <w:spacing w:line="240" w:lineRule="exact"/>
      <w:jc w:val="right"/>
    </w:pPr>
    <w:rPr>
      <w:sz w:val="24"/>
      <w:szCs w:val="20"/>
    </w:rPr>
  </w:style>
  <w:style w:type="paragraph" w:customStyle="1" w:styleId="15175">
    <w:name w:val="样式 (符号) 宋体 小四 行距: 1.5 倍行距 首行缩进:  1.75 字符"/>
    <w:basedOn w:val="a0"/>
    <w:rsid w:val="00CA16C7"/>
    <w:pPr>
      <w:spacing w:line="520" w:lineRule="exact"/>
      <w:ind w:firstLineChars="175" w:firstLine="175"/>
    </w:pPr>
    <w:rPr>
      <w:rFonts w:hAnsi="宋体" w:cs="宋体"/>
      <w:sz w:val="24"/>
      <w:szCs w:val="20"/>
    </w:rPr>
  </w:style>
  <w:style w:type="paragraph" w:customStyle="1" w:styleId="xl74">
    <w:name w:val="xl74"/>
    <w:basedOn w:val="a0"/>
    <w:rsid w:val="00CA16C7"/>
    <w:pPr>
      <w:widowControl/>
      <w:pBdr>
        <w:top w:val="single" w:sz="8"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15212">
    <w:name w:val="样式 小四 行距: 1.5 倍行距 首行缩进:  2 字符1"/>
    <w:basedOn w:val="a0"/>
    <w:rsid w:val="00CA16C7"/>
    <w:pPr>
      <w:spacing w:line="520" w:lineRule="exact"/>
      <w:ind w:firstLineChars="200" w:firstLine="200"/>
    </w:pPr>
    <w:rPr>
      <w:rFonts w:cs="宋体"/>
      <w:sz w:val="24"/>
      <w:szCs w:val="20"/>
    </w:rPr>
  </w:style>
  <w:style w:type="paragraph" w:customStyle="1" w:styleId="2TimesNewRoman113">
    <w:name w:val="样式 标题 2 + (西文) Times New Roman (中文) 宋体 黑色 首行缩进:  1.13 厘米"/>
    <w:basedOn w:val="2"/>
    <w:rsid w:val="00CA16C7"/>
    <w:pPr>
      <w:spacing w:beforeLines="50" w:line="560" w:lineRule="exact"/>
      <w:ind w:firstLine="641"/>
    </w:pPr>
    <w:rPr>
      <w:rFonts w:ascii="Times New Roman" w:eastAsia="宋体" w:hAnsi="Times New Roman"/>
      <w:b w:val="0"/>
      <w:color w:val="000000"/>
      <w:sz w:val="28"/>
    </w:rPr>
  </w:style>
  <w:style w:type="paragraph" w:customStyle="1" w:styleId="22XWH2H2111112SeSeChar22h21">
    <w:name w:val="样式 标题 2标题 2XWH2H21节标题 1.11.1标题2Se节名Se Char二处标题 2标题2h2...1"/>
    <w:basedOn w:val="2"/>
    <w:rsid w:val="00CA16C7"/>
    <w:pPr>
      <w:spacing w:before="0" w:after="0" w:line="520" w:lineRule="exact"/>
    </w:pPr>
    <w:rPr>
      <w:rFonts w:ascii="Times New Roman" w:hAnsi="Times New Roman" w:cs="宋体"/>
      <w:b w:val="0"/>
      <w:color w:val="000000"/>
      <w:sz w:val="28"/>
    </w:rPr>
  </w:style>
  <w:style w:type="paragraph" w:customStyle="1" w:styleId="0991510">
    <w:name w:val="样式 小四 黑色 首行缩进:  0.99 厘米 行距: 1.5 倍行距1"/>
    <w:basedOn w:val="a0"/>
    <w:rsid w:val="00CA16C7"/>
    <w:pPr>
      <w:spacing w:line="520" w:lineRule="exact"/>
      <w:ind w:firstLine="561"/>
    </w:pPr>
    <w:rPr>
      <w:rFonts w:cs="宋体"/>
      <w:color w:val="000000"/>
      <w:sz w:val="24"/>
      <w:szCs w:val="20"/>
    </w:rPr>
  </w:style>
  <w:style w:type="paragraph" w:customStyle="1" w:styleId="xl30">
    <w:name w:val="xl30"/>
    <w:basedOn w:val="a0"/>
    <w:rsid w:val="00CA16C7"/>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4"/>
    </w:rPr>
  </w:style>
  <w:style w:type="paragraph" w:customStyle="1" w:styleId="1552">
    <w:name w:val="样式 小四 黑色 行距: 多倍行距 1.55 字行 首行缩进:  2 字符"/>
    <w:basedOn w:val="a0"/>
    <w:qFormat/>
    <w:rsid w:val="00CA16C7"/>
    <w:pPr>
      <w:spacing w:line="520" w:lineRule="exact"/>
      <w:ind w:firstLineChars="200" w:firstLine="200"/>
    </w:pPr>
    <w:rPr>
      <w:rFonts w:cs="宋体"/>
      <w:color w:val="000000"/>
      <w:sz w:val="24"/>
      <w:szCs w:val="20"/>
    </w:rPr>
  </w:style>
  <w:style w:type="paragraph" w:customStyle="1" w:styleId="16615">
    <w:name w:val="样式 标题 1 + 居中 段前: 6 磅 段后: 6 磅 行距: 1.5 倍行距"/>
    <w:basedOn w:val="1"/>
    <w:rsid w:val="00CA16C7"/>
    <w:pPr>
      <w:pageBreakBefore/>
      <w:spacing w:before="0" w:after="360" w:line="360" w:lineRule="auto"/>
      <w:jc w:val="center"/>
    </w:pPr>
    <w:rPr>
      <w:rFonts w:cs="宋体"/>
      <w:szCs w:val="20"/>
    </w:rPr>
  </w:style>
  <w:style w:type="paragraph" w:customStyle="1" w:styleId="3f3">
    <w:name w:val="我的样式3"/>
    <w:basedOn w:val="a0"/>
    <w:rsid w:val="00CA16C7"/>
    <w:pPr>
      <w:spacing w:beforeLines="50" w:after="100" w:afterAutospacing="1" w:line="520" w:lineRule="exact"/>
      <w:outlineLvl w:val="2"/>
    </w:pPr>
    <w:rPr>
      <w:rFonts w:eastAsia="楷体_GB2312"/>
      <w:szCs w:val="28"/>
    </w:rPr>
  </w:style>
  <w:style w:type="paragraph" w:customStyle="1" w:styleId="18-">
    <w:name w:val="样式18-方庄金矿表格"/>
    <w:qFormat/>
    <w:rsid w:val="00CA16C7"/>
    <w:pPr>
      <w:jc w:val="center"/>
    </w:pPr>
    <w:rPr>
      <w:rFonts w:hAnsi="宋体"/>
      <w:spacing w:val="2"/>
      <w:sz w:val="21"/>
      <w:szCs w:val="21"/>
    </w:rPr>
  </w:style>
  <w:style w:type="paragraph" w:customStyle="1" w:styleId="2fe">
    <w:name w:val="正文文字缩进2"/>
    <w:basedOn w:val="23"/>
    <w:rsid w:val="00CA16C7"/>
    <w:pPr>
      <w:spacing w:line="360" w:lineRule="auto"/>
      <w:ind w:firstLineChars="200" w:firstLine="560"/>
    </w:pPr>
    <w:rPr>
      <w:rFonts w:ascii="仿宋_GB2312" w:eastAsia="仿宋_GB2312"/>
    </w:rPr>
  </w:style>
  <w:style w:type="paragraph" w:customStyle="1" w:styleId="0990123">
    <w:name w:val="样式 小四 黑色 首行缩进:  0.99 厘米 加宽量  0.1 磅 行距: 固定值 23 磅"/>
    <w:basedOn w:val="a0"/>
    <w:rsid w:val="00CA16C7"/>
    <w:pPr>
      <w:spacing w:line="520" w:lineRule="exact"/>
      <w:ind w:firstLine="561"/>
    </w:pPr>
    <w:rPr>
      <w:rFonts w:cs="宋体"/>
      <w:color w:val="000000"/>
      <w:spacing w:val="2"/>
      <w:sz w:val="24"/>
      <w:szCs w:val="20"/>
    </w:rPr>
  </w:style>
  <w:style w:type="paragraph" w:customStyle="1" w:styleId="CharChar1CharCharCharCharChar">
    <w:name w:val="样式 纯文本普通文字Char Char孙普文字普通文字1 Char Char Char纯文本 Char Char ..."/>
    <w:basedOn w:val="ae"/>
    <w:rsid w:val="00CA16C7"/>
    <w:pPr>
      <w:spacing w:line="520" w:lineRule="exact"/>
    </w:pPr>
    <w:rPr>
      <w:rFonts w:ascii="Times New Roman" w:hAnsi="Times New Roman"/>
      <w:kern w:val="21"/>
      <w:sz w:val="24"/>
      <w:lang w:val="de-DE"/>
    </w:rPr>
  </w:style>
  <w:style w:type="paragraph" w:customStyle="1" w:styleId="08601153">
    <w:name w:val="样式 (中文) 黑体 小四 首行缩进:  0.86 厘米 加宽量  0.1 磅 行距: 1.5 倍行距"/>
    <w:basedOn w:val="a0"/>
    <w:rsid w:val="00CA16C7"/>
    <w:pPr>
      <w:spacing w:line="520" w:lineRule="exact"/>
      <w:ind w:firstLine="488"/>
    </w:pPr>
    <w:rPr>
      <w:rFonts w:eastAsia="黑体" w:cs="宋体"/>
      <w:spacing w:val="2"/>
      <w:sz w:val="24"/>
      <w:szCs w:val="20"/>
    </w:rPr>
  </w:style>
  <w:style w:type="paragraph" w:customStyle="1" w:styleId="08501153">
    <w:name w:val="样式 小四 首行缩进:  0.85 厘米 加宽量  0.1 磅 行距: 1.5 倍行距"/>
    <w:basedOn w:val="a0"/>
    <w:rsid w:val="00CA16C7"/>
    <w:pPr>
      <w:spacing w:line="520" w:lineRule="exact"/>
      <w:ind w:firstLine="482"/>
    </w:pPr>
    <w:rPr>
      <w:rFonts w:cs="宋体"/>
      <w:spacing w:val="2"/>
      <w:sz w:val="24"/>
      <w:szCs w:val="20"/>
    </w:rPr>
  </w:style>
  <w:style w:type="paragraph" w:customStyle="1" w:styleId="0851520">
    <w:name w:val="样式 小四 黑色 首行缩进:  0.85 厘米 行距: 1.5 倍行距2"/>
    <w:basedOn w:val="a0"/>
    <w:rsid w:val="00CA16C7"/>
    <w:pPr>
      <w:spacing w:line="520" w:lineRule="exact"/>
      <w:ind w:firstLine="482"/>
    </w:pPr>
    <w:rPr>
      <w:rFonts w:cs="宋体"/>
      <w:color w:val="000000"/>
      <w:sz w:val="24"/>
      <w:szCs w:val="20"/>
    </w:rPr>
  </w:style>
  <w:style w:type="paragraph" w:customStyle="1" w:styleId="pic-info">
    <w:name w:val="pic-info"/>
    <w:basedOn w:val="a0"/>
    <w:rsid w:val="00CA16C7"/>
    <w:pPr>
      <w:widowControl/>
      <w:spacing w:before="100" w:beforeAutospacing="1" w:after="100" w:afterAutospacing="1"/>
      <w:jc w:val="left"/>
    </w:pPr>
    <w:rPr>
      <w:rFonts w:ascii="宋体" w:hAnsi="宋体" w:cs="宋体"/>
      <w:kern w:val="0"/>
      <w:sz w:val="24"/>
    </w:rPr>
  </w:style>
  <w:style w:type="paragraph" w:customStyle="1" w:styleId="151750">
    <w:name w:val="样式 宋体 小四 黑色 行距: 1.5 倍行距 首行缩进:  1.75 字符"/>
    <w:basedOn w:val="a0"/>
    <w:rsid w:val="00CA16C7"/>
    <w:pPr>
      <w:spacing w:line="520" w:lineRule="exact"/>
      <w:ind w:firstLineChars="175" w:firstLine="175"/>
    </w:pPr>
    <w:rPr>
      <w:rFonts w:ascii="宋体" w:hAnsi="宋体" w:cs="宋体"/>
      <w:color w:val="000000"/>
      <w:sz w:val="24"/>
      <w:szCs w:val="20"/>
    </w:rPr>
  </w:style>
  <w:style w:type="paragraph" w:customStyle="1" w:styleId="xl28">
    <w:name w:val="xl28"/>
    <w:basedOn w:val="a0"/>
    <w:rsid w:val="00CA16C7"/>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175">
    <w:name w:val="样式 五号 居中 行距: 固定值 17.5 磅"/>
    <w:basedOn w:val="a0"/>
    <w:rsid w:val="00CA16C7"/>
    <w:pPr>
      <w:jc w:val="center"/>
    </w:pPr>
    <w:rPr>
      <w:rFonts w:cs="宋体"/>
      <w:sz w:val="21"/>
      <w:szCs w:val="20"/>
    </w:rPr>
  </w:style>
  <w:style w:type="paragraph" w:customStyle="1" w:styleId="184">
    <w:name w:val="样式 (符号) +中文正文 黑色 居中 行距: 固定值 18 磅"/>
    <w:basedOn w:val="a0"/>
    <w:rsid w:val="00CA16C7"/>
    <w:pPr>
      <w:jc w:val="center"/>
    </w:pPr>
    <w:rPr>
      <w:rFonts w:hAnsi="宋体" w:cs="宋体"/>
      <w:color w:val="000000"/>
      <w:kern w:val="0"/>
      <w:sz w:val="21"/>
      <w:szCs w:val="20"/>
    </w:rPr>
  </w:style>
  <w:style w:type="paragraph" w:customStyle="1" w:styleId="232">
    <w:name w:val="样式 小四 黑色 行距: 固定值 23 磅 首行缩进:  2 字符"/>
    <w:basedOn w:val="a0"/>
    <w:rsid w:val="00CA16C7"/>
    <w:pPr>
      <w:spacing w:line="520" w:lineRule="exact"/>
      <w:ind w:firstLineChars="200" w:firstLine="200"/>
    </w:pPr>
    <w:rPr>
      <w:rFonts w:cs="宋体"/>
      <w:color w:val="000000"/>
      <w:sz w:val="24"/>
      <w:szCs w:val="20"/>
    </w:rPr>
  </w:style>
  <w:style w:type="paragraph" w:customStyle="1" w:styleId="33Char15111341511">
    <w:name w:val="样式 标题 3标题 3 Char小标题四号宋体左齐行距1.5倍1.1.1标题 34号宋体左齐行距1.5倍条标题1.1..."/>
    <w:basedOn w:val="30"/>
    <w:rsid w:val="00CA16C7"/>
    <w:pPr>
      <w:spacing w:before="0" w:after="0" w:line="520" w:lineRule="exact"/>
    </w:pPr>
    <w:rPr>
      <w:rFonts w:eastAsia="华文楷体" w:cs="宋体"/>
      <w:sz w:val="28"/>
      <w:szCs w:val="20"/>
    </w:rPr>
  </w:style>
  <w:style w:type="paragraph" w:customStyle="1" w:styleId="1020123">
    <w:name w:val="样式 (符号) 宋体 小四 黑色 首行缩进:  1.02 厘米 加宽量  0.1 磅 行距: 固定值 23 磅"/>
    <w:basedOn w:val="a0"/>
    <w:rsid w:val="00CA16C7"/>
    <w:pPr>
      <w:spacing w:line="520" w:lineRule="exact"/>
      <w:ind w:firstLine="578"/>
    </w:pPr>
    <w:rPr>
      <w:rFonts w:hAnsi="宋体" w:cs="宋体"/>
      <w:color w:val="000000"/>
      <w:spacing w:val="2"/>
      <w:sz w:val="24"/>
      <w:szCs w:val="20"/>
    </w:rPr>
  </w:style>
  <w:style w:type="paragraph" w:customStyle="1" w:styleId="1ffb">
    <w:name w:val="1. 表格内容"/>
    <w:basedOn w:val="a0"/>
    <w:qFormat/>
    <w:rsid w:val="00CA16C7"/>
    <w:pPr>
      <w:widowControl/>
      <w:snapToGrid w:val="0"/>
      <w:jc w:val="center"/>
      <w:textAlignment w:val="baseline"/>
    </w:pPr>
    <w:rPr>
      <w:kern w:val="0"/>
      <w:sz w:val="21"/>
      <w:szCs w:val="21"/>
    </w:rPr>
  </w:style>
  <w:style w:type="paragraph" w:customStyle="1" w:styleId="2ff">
    <w:name w:val="表号2"/>
    <w:basedOn w:val="a0"/>
    <w:next w:val="51"/>
    <w:rsid w:val="00CA16C7"/>
    <w:pPr>
      <w:adjustRightInd w:val="0"/>
      <w:snapToGrid w:val="0"/>
      <w:spacing w:line="360" w:lineRule="auto"/>
      <w:ind w:firstLineChars="200" w:firstLine="200"/>
      <w:jc w:val="right"/>
    </w:pPr>
    <w:rPr>
      <w:kern w:val="0"/>
      <w:sz w:val="24"/>
    </w:rPr>
  </w:style>
  <w:style w:type="paragraph" w:customStyle="1" w:styleId="22CharTimesNewRoman000">
    <w:name w:val="样式 标题 2标题 2 Char + Times New Roman 非加粗 段前: 0 磅 段后: 0 磅 行距: ..."/>
    <w:basedOn w:val="2"/>
    <w:rsid w:val="00CA16C7"/>
    <w:pPr>
      <w:spacing w:beforeLines="50" w:afterLines="50" w:line="560" w:lineRule="exact"/>
    </w:pPr>
    <w:rPr>
      <w:rFonts w:ascii="Times New Roman" w:hAnsi="Times New Roman" w:cs="宋体"/>
      <w:b w:val="0"/>
    </w:rPr>
  </w:style>
  <w:style w:type="paragraph" w:customStyle="1" w:styleId="afffffffffff7">
    <w:name w:val="样式 加粗 居中"/>
    <w:basedOn w:val="a0"/>
    <w:rsid w:val="00CA16C7"/>
    <w:pPr>
      <w:spacing w:line="500" w:lineRule="exact"/>
      <w:jc w:val="center"/>
    </w:pPr>
    <w:rPr>
      <w:rFonts w:cs="宋体"/>
      <w:b/>
      <w:bCs/>
      <w:sz w:val="21"/>
      <w:szCs w:val="20"/>
    </w:rPr>
  </w:style>
  <w:style w:type="paragraph" w:customStyle="1" w:styleId="afffffffffff8">
    <w:name w:val="图表表头"/>
    <w:basedOn w:val="a0"/>
    <w:rsid w:val="00CA16C7"/>
    <w:pPr>
      <w:autoSpaceDE w:val="0"/>
      <w:autoSpaceDN w:val="0"/>
      <w:adjustRightInd w:val="0"/>
      <w:snapToGrid w:val="0"/>
      <w:spacing w:line="540" w:lineRule="exact"/>
      <w:ind w:firstLineChars="200" w:firstLine="510"/>
      <w:jc w:val="center"/>
    </w:pPr>
    <w:rPr>
      <w:b/>
      <w:sz w:val="24"/>
    </w:rPr>
  </w:style>
  <w:style w:type="paragraph" w:customStyle="1" w:styleId="ppGB2312">
    <w:name w:val="样式pp仿宋_GB2312 四号"/>
    <w:basedOn w:val="a0"/>
    <w:qFormat/>
    <w:rsid w:val="00CA16C7"/>
    <w:pPr>
      <w:spacing w:line="500" w:lineRule="exact"/>
      <w:ind w:firstLineChars="200" w:firstLine="480"/>
    </w:pPr>
    <w:rPr>
      <w:rFonts w:hAnsi="宋体"/>
      <w:sz w:val="24"/>
      <w:szCs w:val="36"/>
    </w:rPr>
  </w:style>
  <w:style w:type="paragraph" w:customStyle="1" w:styleId="font9">
    <w:name w:val="font9"/>
    <w:basedOn w:val="a0"/>
    <w:rsid w:val="00CA16C7"/>
    <w:pPr>
      <w:widowControl/>
      <w:spacing w:before="100" w:beforeAutospacing="1" w:after="100" w:afterAutospacing="1"/>
      <w:jc w:val="left"/>
    </w:pPr>
    <w:rPr>
      <w:color w:val="000000"/>
      <w:kern w:val="0"/>
      <w:sz w:val="24"/>
    </w:rPr>
  </w:style>
  <w:style w:type="paragraph" w:customStyle="1" w:styleId="225">
    <w:name w:val="样式 小四 加粗 字距调整四号 行距: 固定值 22 磅"/>
    <w:basedOn w:val="a0"/>
    <w:rsid w:val="00CA16C7"/>
    <w:pPr>
      <w:spacing w:line="520" w:lineRule="exact"/>
    </w:pPr>
    <w:rPr>
      <w:rFonts w:ascii="Calibri" w:hAnsi="Calibri" w:cs="宋体"/>
      <w:b/>
      <w:bCs/>
      <w:kern w:val="28"/>
      <w:sz w:val="24"/>
      <w:szCs w:val="20"/>
    </w:rPr>
  </w:style>
  <w:style w:type="paragraph" w:customStyle="1" w:styleId="afffffffffff9">
    <w:name w:val="表体（富士康）"/>
    <w:basedOn w:val="a0"/>
    <w:rsid w:val="00CA16C7"/>
    <w:pPr>
      <w:widowControl/>
      <w:adjustRightInd w:val="0"/>
      <w:snapToGrid w:val="0"/>
      <w:jc w:val="center"/>
    </w:pPr>
    <w:rPr>
      <w:rFonts w:cs="宋体"/>
      <w:sz w:val="24"/>
    </w:rPr>
  </w:style>
  <w:style w:type="paragraph" w:styleId="afffffffffffa">
    <w:name w:val="List Paragraph"/>
    <w:basedOn w:val="a0"/>
    <w:uiPriority w:val="1"/>
    <w:qFormat/>
    <w:rsid w:val="00CA16C7"/>
    <w:pPr>
      <w:ind w:firstLineChars="200" w:firstLine="420"/>
    </w:pPr>
    <w:rPr>
      <w:sz w:val="21"/>
      <w:szCs w:val="20"/>
    </w:rPr>
  </w:style>
  <w:style w:type="paragraph" w:customStyle="1" w:styleId="22Char15">
    <w:name w:val="样式 标题 2标题 2 Char + 宋体 小三 行距: 1.5 倍行距"/>
    <w:basedOn w:val="2"/>
    <w:rsid w:val="00CA16C7"/>
    <w:pPr>
      <w:tabs>
        <w:tab w:val="left" w:pos="2620"/>
      </w:tabs>
      <w:spacing w:before="0" w:after="0" w:line="520" w:lineRule="exact"/>
    </w:pPr>
    <w:rPr>
      <w:rFonts w:ascii="Times New Roman" w:eastAsia="宋体" w:hAnsi="Times New Roman"/>
      <w:bCs/>
      <w:sz w:val="28"/>
    </w:rPr>
  </w:style>
  <w:style w:type="paragraph" w:customStyle="1" w:styleId="CharCharCharCharCharCharCharCharCharC3">
    <w:name w:val="样式 纯文本孙普文字 Char Char CharCharChar Char纯文本 Char Char Char C...3"/>
    <w:basedOn w:val="ae"/>
    <w:rsid w:val="00CA16C7"/>
    <w:pPr>
      <w:spacing w:line="520" w:lineRule="exact"/>
      <w:ind w:firstLine="561"/>
    </w:pPr>
    <w:rPr>
      <w:rFonts w:ascii="Times New Roman" w:hAnsi="Times New Roman" w:cs="宋体"/>
      <w:color w:val="000000"/>
      <w:sz w:val="24"/>
    </w:rPr>
  </w:style>
  <w:style w:type="paragraph" w:customStyle="1" w:styleId="019">
    <w:name w:val="样式 (符号) 宋体 小四 黑色 加宽量  0.1 磅"/>
    <w:basedOn w:val="a0"/>
    <w:rsid w:val="00CA16C7"/>
    <w:pPr>
      <w:spacing w:line="520" w:lineRule="exact"/>
      <w:ind w:left="482"/>
    </w:pPr>
    <w:rPr>
      <w:rFonts w:hAnsi="宋体"/>
      <w:color w:val="000000"/>
      <w:spacing w:val="2"/>
      <w:sz w:val="24"/>
    </w:rPr>
  </w:style>
  <w:style w:type="paragraph" w:customStyle="1" w:styleId="afffffffffffb">
    <w:name w:val="表格易"/>
    <w:basedOn w:val="a0"/>
    <w:qFormat/>
    <w:rsid w:val="00CA16C7"/>
    <w:pPr>
      <w:adjustRightInd w:val="0"/>
      <w:snapToGrid w:val="0"/>
      <w:jc w:val="center"/>
    </w:pPr>
    <w:rPr>
      <w:rFonts w:hAnsi="宋体"/>
      <w:color w:val="000000"/>
      <w:sz w:val="21"/>
      <w:szCs w:val="21"/>
    </w:rPr>
  </w:style>
  <w:style w:type="paragraph" w:customStyle="1" w:styleId="102-00715">
    <w:name w:val="样式 小四 黑色 首行缩进:  1.02 厘米 右侧:  -0.07 厘米 行距: 1.5 倍行距"/>
    <w:basedOn w:val="a0"/>
    <w:rsid w:val="00CA16C7"/>
    <w:pPr>
      <w:spacing w:line="520" w:lineRule="exact"/>
      <w:ind w:right="-40" w:firstLine="578"/>
    </w:pPr>
    <w:rPr>
      <w:rFonts w:cs="宋体"/>
      <w:color w:val="000000"/>
      <w:sz w:val="24"/>
      <w:szCs w:val="20"/>
    </w:rPr>
  </w:style>
  <w:style w:type="paragraph" w:customStyle="1" w:styleId="GB23122">
    <w:name w:val="样式 规划正文 + 仿宋_GB2312 三号 首行缩进:  2 字符 行距: 单倍行距"/>
    <w:basedOn w:val="a0"/>
    <w:rsid w:val="00CA16C7"/>
    <w:pPr>
      <w:ind w:firstLineChars="200" w:firstLine="560"/>
    </w:pPr>
    <w:rPr>
      <w:rFonts w:ascii="仿宋_GB2312" w:eastAsia="仿宋_GB2312" w:cs="宋体"/>
      <w:szCs w:val="28"/>
    </w:rPr>
  </w:style>
  <w:style w:type="paragraph" w:customStyle="1" w:styleId="Char1CharCharCharCharCharChar">
    <w:name w:val="Char1 Char Char Char Char Char Char"/>
    <w:basedOn w:val="a0"/>
    <w:rsid w:val="00CA16C7"/>
    <w:pPr>
      <w:spacing w:beforeLines="100" w:afterLines="50" w:line="600" w:lineRule="exact"/>
      <w:ind w:firstLineChars="200" w:firstLine="200"/>
    </w:pPr>
    <w:rPr>
      <w:rFonts w:eastAsia="黑体"/>
    </w:rPr>
  </w:style>
  <w:style w:type="paragraph" w:customStyle="1" w:styleId="0851510">
    <w:name w:val="样式 小四 首行缩进:  0.85 厘米 行距: 1.5 倍行距1"/>
    <w:basedOn w:val="a0"/>
    <w:rsid w:val="00CA16C7"/>
    <w:pPr>
      <w:spacing w:line="520" w:lineRule="exact"/>
      <w:ind w:firstLine="482"/>
    </w:pPr>
    <w:rPr>
      <w:rFonts w:cs="宋体"/>
      <w:sz w:val="24"/>
      <w:szCs w:val="20"/>
    </w:rPr>
  </w:style>
  <w:style w:type="paragraph" w:customStyle="1" w:styleId="CharChar4CharChar">
    <w:name w:val="Char Char4 Char Char"/>
    <w:basedOn w:val="a0"/>
    <w:rsid w:val="00CA16C7"/>
    <w:pPr>
      <w:spacing w:line="360" w:lineRule="auto"/>
      <w:ind w:firstLineChars="200" w:firstLine="200"/>
    </w:pPr>
    <w:rPr>
      <w:rFonts w:ascii="宋体" w:hAnsi="宋体" w:cs="宋体"/>
      <w:sz w:val="24"/>
    </w:rPr>
  </w:style>
  <w:style w:type="paragraph" w:customStyle="1" w:styleId="2ff0">
    <w:name w:val="样式 小四 黑色 首行缩进:  2 字符"/>
    <w:basedOn w:val="a0"/>
    <w:rsid w:val="00CA16C7"/>
    <w:pPr>
      <w:spacing w:line="520" w:lineRule="exact"/>
      <w:ind w:firstLineChars="200" w:firstLine="200"/>
    </w:pPr>
    <w:rPr>
      <w:rFonts w:cs="宋体"/>
      <w:color w:val="000000"/>
      <w:sz w:val="24"/>
      <w:szCs w:val="20"/>
    </w:rPr>
  </w:style>
  <w:style w:type="paragraph" w:customStyle="1" w:styleId="afffffffffffc">
    <w:name w:val="表头样式"/>
    <w:basedOn w:val="a0"/>
    <w:rsid w:val="00CA16C7"/>
    <w:pPr>
      <w:adjustRightInd w:val="0"/>
      <w:snapToGrid w:val="0"/>
      <w:spacing w:line="360" w:lineRule="auto"/>
      <w:ind w:firstLineChars="200" w:firstLine="480"/>
    </w:pPr>
    <w:rPr>
      <w:rFonts w:ascii="黑体" w:eastAsia="黑体"/>
      <w:sz w:val="24"/>
    </w:rPr>
  </w:style>
  <w:style w:type="paragraph" w:customStyle="1" w:styleId="1ffc">
    <w:name w:val="样式 小四1"/>
    <w:basedOn w:val="a0"/>
    <w:rsid w:val="00CA16C7"/>
    <w:pPr>
      <w:spacing w:line="520" w:lineRule="exact"/>
      <w:ind w:firstLineChars="200" w:firstLine="200"/>
    </w:pPr>
    <w:rPr>
      <w:sz w:val="24"/>
      <w:szCs w:val="20"/>
    </w:rPr>
  </w:style>
  <w:style w:type="paragraph" w:customStyle="1" w:styleId="afffffffffffd">
    <w:name w:val="黔金三级标题"/>
    <w:basedOn w:val="a0"/>
    <w:qFormat/>
    <w:rsid w:val="00CA16C7"/>
    <w:pPr>
      <w:ind w:firstLineChars="200" w:firstLine="480"/>
      <w:outlineLvl w:val="2"/>
    </w:pPr>
    <w:rPr>
      <w:rFonts w:eastAsia="黑体"/>
      <w:b/>
      <w:sz w:val="24"/>
      <w:szCs w:val="21"/>
    </w:rPr>
  </w:style>
  <w:style w:type="paragraph" w:customStyle="1" w:styleId="xl75">
    <w:name w:val="xl75"/>
    <w:basedOn w:val="a0"/>
    <w:rsid w:val="00CA16C7"/>
    <w:pPr>
      <w:widowControl/>
      <w:pBdr>
        <w:top w:val="single" w:sz="8" w:space="0" w:color="auto"/>
        <w:bottom w:val="single" w:sz="4" w:space="0" w:color="auto"/>
      </w:pBdr>
      <w:spacing w:before="100" w:beforeAutospacing="1" w:after="100" w:afterAutospacing="1"/>
      <w:jc w:val="center"/>
    </w:pPr>
    <w:rPr>
      <w:rFonts w:ascii="宋体" w:hAnsi="宋体"/>
      <w:kern w:val="0"/>
      <w:sz w:val="24"/>
    </w:rPr>
  </w:style>
  <w:style w:type="paragraph" w:customStyle="1" w:styleId="27878">
    <w:name w:val="样式 表格名 + 加粗 首行缩进:  2 字符 段前: 7.8 磅 段后: 7.8 磅"/>
    <w:basedOn w:val="a0"/>
    <w:rsid w:val="00CA16C7"/>
    <w:pPr>
      <w:spacing w:before="156" w:after="156"/>
      <w:ind w:firstLineChars="200" w:firstLine="482"/>
    </w:pPr>
    <w:rPr>
      <w:rFonts w:eastAsia="黑体" w:cs="宋体"/>
      <w:bCs/>
      <w:sz w:val="24"/>
      <w:szCs w:val="20"/>
    </w:rPr>
  </w:style>
  <w:style w:type="paragraph" w:customStyle="1" w:styleId="0851511">
    <w:name w:val="样式 小四 黑色 首行缩进:  0.85 厘米 行距: 1.5 倍行距1"/>
    <w:basedOn w:val="a0"/>
    <w:rsid w:val="00CA16C7"/>
    <w:pPr>
      <w:spacing w:line="520" w:lineRule="exact"/>
      <w:ind w:firstLine="482"/>
    </w:pPr>
    <w:rPr>
      <w:rFonts w:cs="宋体"/>
      <w:color w:val="000000"/>
      <w:sz w:val="24"/>
      <w:szCs w:val="20"/>
    </w:rPr>
  </w:style>
  <w:style w:type="paragraph" w:customStyle="1" w:styleId="042">
    <w:name w:val="表格04左"/>
    <w:basedOn w:val="041"/>
    <w:rsid w:val="00CA16C7"/>
    <w:pPr>
      <w:snapToGrid w:val="0"/>
      <w:jc w:val="left"/>
    </w:pPr>
    <w:rPr>
      <w:spacing w:val="0"/>
    </w:rPr>
  </w:style>
  <w:style w:type="paragraph" w:customStyle="1" w:styleId="me30">
    <w:name w:val="me 标题3"/>
    <w:basedOn w:val="a0"/>
    <w:rsid w:val="00CA16C7"/>
    <w:pPr>
      <w:keepNext/>
      <w:keepLines/>
      <w:spacing w:beforeLines="50" w:line="540" w:lineRule="exact"/>
      <w:ind w:firstLineChars="200" w:firstLine="562"/>
      <w:outlineLvl w:val="2"/>
    </w:pPr>
    <w:rPr>
      <w:rFonts w:ascii="黑体" w:eastAsia="黑体" w:hAnsi="宋体"/>
      <w:b/>
      <w:szCs w:val="20"/>
    </w:rPr>
  </w:style>
  <w:style w:type="paragraph" w:customStyle="1" w:styleId="a21">
    <w:name w:val="a首行缩进:  2 字符"/>
    <w:basedOn w:val="a0"/>
    <w:qFormat/>
    <w:rsid w:val="00CA16C7"/>
    <w:pPr>
      <w:widowControl/>
      <w:adjustRightInd w:val="0"/>
      <w:snapToGrid w:val="0"/>
      <w:spacing w:line="360" w:lineRule="auto"/>
      <w:ind w:firstLineChars="200" w:firstLine="200"/>
      <w:jc w:val="left"/>
    </w:pPr>
    <w:rPr>
      <w:rFonts w:ascii="Calibri" w:eastAsia="仿宋_GB2312" w:hAnsi="Calibri" w:cs="宋体"/>
      <w:kern w:val="0"/>
      <w:sz w:val="24"/>
      <w:szCs w:val="20"/>
      <w:lang w:val="vi-VN"/>
    </w:rPr>
  </w:style>
  <w:style w:type="paragraph" w:customStyle="1" w:styleId="afffffffffffe">
    <w:basedOn w:val="1"/>
    <w:next w:val="a0"/>
    <w:qFormat/>
    <w:rsid w:val="00CA16C7"/>
    <w:pPr>
      <w:widowControl/>
      <w:spacing w:before="480" w:after="0" w:line="276" w:lineRule="auto"/>
      <w:jc w:val="left"/>
      <w:outlineLvl w:val="9"/>
    </w:pPr>
    <w:rPr>
      <w:rFonts w:ascii="Cambria" w:hAnsi="Cambria"/>
      <w:color w:val="365F91"/>
      <w:kern w:val="0"/>
      <w:sz w:val="28"/>
      <w:szCs w:val="28"/>
    </w:rPr>
  </w:style>
  <w:style w:type="paragraph" w:customStyle="1" w:styleId="1ffd">
    <w:name w:val="列出段落1"/>
    <w:basedOn w:val="a0"/>
    <w:uiPriority w:val="34"/>
    <w:qFormat/>
    <w:rsid w:val="00CA16C7"/>
    <w:pPr>
      <w:spacing w:line="520" w:lineRule="exact"/>
      <w:ind w:firstLineChars="200" w:firstLine="420"/>
      <w:jc w:val="left"/>
    </w:pPr>
    <w:rPr>
      <w:rFonts w:ascii="Calibri" w:hAnsi="Calibri"/>
      <w:sz w:val="24"/>
    </w:rPr>
  </w:style>
  <w:style w:type="paragraph" w:customStyle="1" w:styleId="2240">
    <w:name w:val="样式 标题 2 + 小四 非加粗 自动设置 行距: 最小值 24 磅"/>
    <w:basedOn w:val="2"/>
    <w:rsid w:val="00CA16C7"/>
    <w:pPr>
      <w:keepLines w:val="0"/>
      <w:widowControl/>
      <w:spacing w:before="0" w:after="0" w:line="480" w:lineRule="atLeast"/>
      <w:ind w:leftChars="200" w:left="560" w:firstLineChars="200" w:firstLine="480"/>
      <w:jc w:val="left"/>
    </w:pPr>
    <w:rPr>
      <w:rFonts w:ascii="宋体" w:hAnsi="宋体"/>
      <w:kern w:val="0"/>
      <w:sz w:val="28"/>
    </w:rPr>
  </w:style>
  <w:style w:type="paragraph" w:customStyle="1" w:styleId="017118">
    <w:name w:val="样式 (符号) +中文正文 黑色 居中 左侧:  0 厘米 悬挂缩进: 1.71 字符 行距: 固定值 18 磅"/>
    <w:basedOn w:val="a0"/>
    <w:rsid w:val="00CA16C7"/>
    <w:pPr>
      <w:jc w:val="center"/>
    </w:pPr>
    <w:rPr>
      <w:rFonts w:hAnsi="宋体" w:cs="宋体"/>
      <w:color w:val="000000"/>
      <w:kern w:val="0"/>
      <w:sz w:val="21"/>
      <w:szCs w:val="20"/>
    </w:rPr>
  </w:style>
  <w:style w:type="paragraph" w:customStyle="1" w:styleId="4TimesNewRoman">
    <w:name w:val="样式 样式4 + Times New Roman 小四"/>
    <w:basedOn w:val="49"/>
    <w:rsid w:val="00CA16C7"/>
    <w:pPr>
      <w:keepNext/>
      <w:keepLines/>
      <w:spacing w:line="520" w:lineRule="exact"/>
      <w:jc w:val="both"/>
      <w:outlineLvl w:val="2"/>
    </w:pPr>
    <w:rPr>
      <w:kern w:val="0"/>
      <w:sz w:val="24"/>
      <w:szCs w:val="20"/>
    </w:rPr>
  </w:style>
  <w:style w:type="paragraph" w:customStyle="1" w:styleId="3MB33Char15111341510">
    <w:name w:val="样式 样式 标题 3MB3标题 3 Char小标题四号宋体左齐行距1.5倍1.1.1标题 34号宋体左齐行距1.5倍条标...1..."/>
    <w:basedOn w:val="3MB33Char1511134151"/>
    <w:rsid w:val="00CA16C7"/>
    <w:pPr>
      <w:spacing w:before="120"/>
    </w:pPr>
    <w:rPr>
      <w:b w:val="0"/>
    </w:rPr>
  </w:style>
  <w:style w:type="paragraph" w:customStyle="1" w:styleId="CharChar4CharChar0">
    <w:name w:val="Char Char4 Char Char"/>
    <w:basedOn w:val="a0"/>
    <w:rsid w:val="00CA16C7"/>
    <w:pPr>
      <w:spacing w:line="360" w:lineRule="auto"/>
      <w:ind w:firstLineChars="200" w:firstLine="200"/>
    </w:pPr>
    <w:rPr>
      <w:rFonts w:ascii="宋体" w:hAnsi="宋体" w:cs="宋体"/>
      <w:sz w:val="24"/>
    </w:rPr>
  </w:style>
  <w:style w:type="paragraph" w:customStyle="1" w:styleId="113">
    <w:name w:val="索引 11"/>
    <w:basedOn w:val="a0"/>
    <w:next w:val="a0"/>
    <w:rsid w:val="00CA16C7"/>
    <w:pPr>
      <w:tabs>
        <w:tab w:val="left" w:pos="720"/>
        <w:tab w:val="left" w:pos="2895"/>
      </w:tabs>
      <w:adjustRightInd w:val="0"/>
      <w:snapToGrid w:val="0"/>
      <w:spacing w:line="360" w:lineRule="auto"/>
      <w:ind w:left="2895" w:firstLine="200"/>
      <w:jc w:val="left"/>
    </w:pPr>
    <w:rPr>
      <w:rFonts w:hint="eastAsia"/>
      <w:sz w:val="21"/>
      <w:szCs w:val="20"/>
    </w:rPr>
  </w:style>
  <w:style w:type="paragraph" w:customStyle="1" w:styleId="152a">
    <w:name w:val="样式 小四 行距: 1.5 倍行距 首行缩进:  2 字符"/>
    <w:basedOn w:val="a0"/>
    <w:rsid w:val="00CA16C7"/>
    <w:pPr>
      <w:spacing w:line="520" w:lineRule="exact"/>
      <w:ind w:firstLineChars="200" w:firstLine="200"/>
    </w:pPr>
    <w:rPr>
      <w:rFonts w:cs="宋体"/>
      <w:sz w:val="24"/>
      <w:szCs w:val="20"/>
    </w:rPr>
  </w:style>
  <w:style w:type="paragraph" w:customStyle="1" w:styleId="01Char0">
    <w:name w:val="表格01 Char"/>
    <w:basedOn w:val="a0"/>
    <w:rsid w:val="00CA16C7"/>
    <w:pPr>
      <w:adjustRightInd w:val="0"/>
      <w:snapToGrid w:val="0"/>
      <w:spacing w:before="120" w:line="480" w:lineRule="exact"/>
      <w:jc w:val="center"/>
      <w:textAlignment w:val="baseline"/>
    </w:pPr>
    <w:rPr>
      <w:snapToGrid w:val="0"/>
      <w:spacing w:val="-2"/>
      <w:kern w:val="0"/>
      <w:szCs w:val="28"/>
    </w:rPr>
  </w:style>
  <w:style w:type="paragraph" w:customStyle="1" w:styleId="Char413">
    <w:name w:val="Char413"/>
    <w:basedOn w:val="a0"/>
    <w:rsid w:val="00CA16C7"/>
    <w:pPr>
      <w:spacing w:line="360" w:lineRule="auto"/>
      <w:ind w:firstLineChars="200" w:firstLine="200"/>
    </w:pPr>
    <w:rPr>
      <w:rFonts w:ascii="宋体" w:hAnsi="宋体" w:cs="宋体"/>
      <w:sz w:val="24"/>
    </w:rPr>
  </w:style>
  <w:style w:type="paragraph" w:customStyle="1" w:styleId="01Char1">
    <w:name w:val="表格标题01 Char"/>
    <w:basedOn w:val="a0"/>
    <w:rsid w:val="00CA16C7"/>
    <w:pPr>
      <w:adjustRightInd w:val="0"/>
      <w:spacing w:line="480" w:lineRule="exact"/>
      <w:jc w:val="center"/>
      <w:textAlignment w:val="baseline"/>
    </w:pPr>
    <w:rPr>
      <w:snapToGrid w:val="0"/>
      <w:spacing w:val="-2"/>
      <w:kern w:val="0"/>
      <w:szCs w:val="28"/>
    </w:rPr>
  </w:style>
  <w:style w:type="paragraph" w:customStyle="1" w:styleId="09715">
    <w:name w:val="样式 小四 黑色 首行缩进:  0.97 厘米 行距: 1.5 倍行距"/>
    <w:basedOn w:val="a0"/>
    <w:rsid w:val="00CA16C7"/>
    <w:pPr>
      <w:spacing w:line="520" w:lineRule="exact"/>
      <w:ind w:firstLine="550"/>
    </w:pPr>
    <w:rPr>
      <w:rFonts w:cs="宋体"/>
      <w:color w:val="000000"/>
      <w:sz w:val="24"/>
      <w:szCs w:val="20"/>
    </w:rPr>
  </w:style>
  <w:style w:type="paragraph" w:customStyle="1" w:styleId="4MB4h4H42124TimesNew">
    <w:name w:val="样式 标题 4MB4[三级节名]h4H4条 2[三级节名]1[三级节名]2常用标题 4 + Times New ..."/>
    <w:basedOn w:val="4"/>
    <w:rsid w:val="00CA16C7"/>
    <w:pPr>
      <w:spacing w:before="0" w:after="0" w:line="520" w:lineRule="exact"/>
    </w:pPr>
    <w:rPr>
      <w:rFonts w:ascii="Times New Roman" w:hAnsi="Times New Roman" w:cs="宋体"/>
      <w:sz w:val="24"/>
      <w:szCs w:val="20"/>
    </w:rPr>
  </w:style>
  <w:style w:type="paragraph" w:customStyle="1" w:styleId="affffffffffff">
    <w:name w:val="样式 样式 字距调整四号 + 字距调整四号"/>
    <w:basedOn w:val="affffffffffff0"/>
    <w:rsid w:val="00CA16C7"/>
    <w:rPr>
      <w:b/>
      <w:kern w:val="28"/>
    </w:rPr>
  </w:style>
  <w:style w:type="paragraph" w:customStyle="1" w:styleId="affffffffffff0">
    <w:name w:val="样式 字距调整四号"/>
    <w:basedOn w:val="a0"/>
    <w:rsid w:val="00CA16C7"/>
    <w:pPr>
      <w:spacing w:line="320" w:lineRule="exact"/>
      <w:jc w:val="center"/>
    </w:pPr>
    <w:rPr>
      <w:rFonts w:eastAsia="黑体"/>
      <w:sz w:val="24"/>
    </w:rPr>
  </w:style>
  <w:style w:type="paragraph" w:customStyle="1" w:styleId="33Char">
    <w:name w:val="样式 标题 3标题 3 Char + 小四 行距: 单倍行距"/>
    <w:basedOn w:val="30"/>
    <w:rsid w:val="00CA16C7"/>
    <w:pPr>
      <w:spacing w:before="0" w:after="0" w:line="520" w:lineRule="exact"/>
    </w:pPr>
    <w:rPr>
      <w:rFonts w:ascii="宋体" w:eastAsia="楷体_GB2312" w:hAnsi="宋体" w:cs="宋体"/>
      <w:b w:val="0"/>
      <w:bCs w:val="0"/>
      <w:spacing w:val="2"/>
      <w:sz w:val="24"/>
      <w:szCs w:val="20"/>
    </w:rPr>
  </w:style>
  <w:style w:type="paragraph" w:customStyle="1" w:styleId="wm">
    <w:name w:val="wm"/>
    <w:basedOn w:val="a0"/>
    <w:rsid w:val="00CA16C7"/>
    <w:pPr>
      <w:adjustRightInd w:val="0"/>
      <w:snapToGrid w:val="0"/>
      <w:spacing w:line="440" w:lineRule="atLeast"/>
      <w:ind w:firstLineChars="200" w:firstLine="567"/>
    </w:pPr>
    <w:rPr>
      <w:szCs w:val="20"/>
    </w:rPr>
  </w:style>
  <w:style w:type="paragraph" w:customStyle="1" w:styleId="775">
    <w:name w:val="样式 居中 行距: 固定值 7.75 磅"/>
    <w:basedOn w:val="a0"/>
    <w:rsid w:val="00CA16C7"/>
    <w:pPr>
      <w:jc w:val="center"/>
    </w:pPr>
    <w:rPr>
      <w:rFonts w:cs="宋体"/>
      <w:sz w:val="21"/>
      <w:szCs w:val="20"/>
    </w:rPr>
  </w:style>
  <w:style w:type="paragraph" w:customStyle="1" w:styleId="TableStyle105">
    <w:name w:val="TableStyle10.5"/>
    <w:basedOn w:val="a0"/>
    <w:qFormat/>
    <w:rsid w:val="00CA16C7"/>
    <w:pPr>
      <w:widowControl/>
      <w:jc w:val="center"/>
    </w:pPr>
    <w:rPr>
      <w:rFonts w:ascii="Calibri" w:hAnsi="Calibri"/>
      <w:color w:val="000000"/>
      <w:kern w:val="0"/>
      <w:szCs w:val="22"/>
    </w:rPr>
  </w:style>
  <w:style w:type="paragraph" w:customStyle="1" w:styleId="affffffffffff1">
    <w:name w:val="表的格式（小四）"/>
    <w:basedOn w:val="a0"/>
    <w:rsid w:val="00CA16C7"/>
    <w:pPr>
      <w:adjustRightInd w:val="0"/>
      <w:spacing w:line="360" w:lineRule="atLeast"/>
      <w:jc w:val="center"/>
    </w:pPr>
    <w:rPr>
      <w:kern w:val="0"/>
      <w:sz w:val="24"/>
      <w:szCs w:val="20"/>
    </w:rPr>
  </w:style>
  <w:style w:type="paragraph" w:customStyle="1" w:styleId="2320">
    <w:name w:val="样式 (中文) 新宋体 小四 黑色 行距: 固定值 23 磅 首行缩进:  2 字符"/>
    <w:basedOn w:val="a0"/>
    <w:rsid w:val="00CA16C7"/>
    <w:pPr>
      <w:spacing w:line="520" w:lineRule="exact"/>
      <w:ind w:firstLineChars="200" w:firstLine="200"/>
    </w:pPr>
    <w:rPr>
      <w:rFonts w:eastAsia="新宋体" w:cs="宋体"/>
      <w:color w:val="000000"/>
      <w:kern w:val="0"/>
      <w:sz w:val="24"/>
      <w:szCs w:val="20"/>
    </w:rPr>
  </w:style>
  <w:style w:type="paragraph" w:customStyle="1" w:styleId="---">
    <w:name w:val="图表---"/>
    <w:basedOn w:val="a0"/>
    <w:rsid w:val="00CA16C7"/>
    <w:pPr>
      <w:snapToGrid w:val="0"/>
      <w:jc w:val="center"/>
    </w:pPr>
    <w:rPr>
      <w:rFonts w:cs="宋体"/>
      <w:b/>
      <w:bCs/>
      <w:kern w:val="0"/>
      <w:sz w:val="21"/>
      <w:szCs w:val="20"/>
    </w:rPr>
  </w:style>
  <w:style w:type="paragraph" w:customStyle="1" w:styleId="22015">
    <w:name w:val="样式 正文文本缩进 2 + 小四 黑色 左侧:  2 字符 段后: 0 磅 行距: 1.5 倍行距"/>
    <w:basedOn w:val="23"/>
    <w:rsid w:val="00CA16C7"/>
    <w:pPr>
      <w:ind w:leftChars="200" w:left="200" w:firstLine="0"/>
    </w:pPr>
    <w:rPr>
      <w:rFonts w:cs="宋体"/>
      <w:color w:val="000000"/>
      <w:sz w:val="24"/>
      <w:szCs w:val="20"/>
    </w:rPr>
  </w:style>
  <w:style w:type="paragraph" w:customStyle="1" w:styleId="affffffffffff2">
    <w:name w:val="标题三"/>
    <w:basedOn w:val="30"/>
    <w:rsid w:val="00CA16C7"/>
    <w:pPr>
      <w:keepNext w:val="0"/>
      <w:spacing w:before="48" w:after="48" w:line="520" w:lineRule="exact"/>
    </w:pPr>
    <w:rPr>
      <w:rFonts w:eastAsia="楷体_GB2312"/>
      <w:b w:val="0"/>
      <w:bCs w:val="0"/>
      <w:color w:val="000000"/>
      <w:sz w:val="28"/>
      <w:szCs w:val="28"/>
    </w:rPr>
  </w:style>
  <w:style w:type="paragraph" w:customStyle="1" w:styleId="affffffffffff3">
    <w:name w:val="目录标题"/>
    <w:basedOn w:val="a0"/>
    <w:rsid w:val="00CA16C7"/>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Char1CharCharChar0">
    <w:name w:val="Char1 Char Char Char"/>
    <w:basedOn w:val="aa"/>
    <w:rsid w:val="00CA16C7"/>
    <w:pPr>
      <w:adjustRightInd w:val="0"/>
      <w:spacing w:line="436" w:lineRule="exact"/>
      <w:ind w:left="357"/>
      <w:jc w:val="left"/>
      <w:outlineLvl w:val="3"/>
    </w:pPr>
    <w:rPr>
      <w:rFonts w:ascii="Tahoma" w:hAnsi="Tahoma"/>
      <w:b/>
      <w:sz w:val="24"/>
    </w:rPr>
  </w:style>
  <w:style w:type="paragraph" w:customStyle="1" w:styleId="22CharTimesNewRoman12">
    <w:name w:val="样式 标题 2标题 2 Char + (西文) Times New Roman (中文) 宋体 小三 左 段前: 12..."/>
    <w:basedOn w:val="2"/>
    <w:rsid w:val="00CA16C7"/>
    <w:pPr>
      <w:spacing w:beforeLines="50" w:afterLines="50" w:line="520" w:lineRule="exact"/>
      <w:jc w:val="left"/>
    </w:pPr>
    <w:rPr>
      <w:rFonts w:ascii="Times New Roman" w:eastAsia="宋体" w:hAnsi="Times New Roman" w:cs="宋体"/>
      <w:bCs/>
      <w:spacing w:val="2"/>
      <w:sz w:val="30"/>
    </w:rPr>
  </w:style>
  <w:style w:type="paragraph" w:customStyle="1" w:styleId="213">
    <w:name w:val="正文文本 21"/>
    <w:basedOn w:val="a0"/>
    <w:rsid w:val="00CA16C7"/>
    <w:pPr>
      <w:adjustRightInd w:val="0"/>
      <w:snapToGrid w:val="0"/>
      <w:spacing w:line="240" w:lineRule="exact"/>
      <w:jc w:val="center"/>
    </w:pPr>
    <w:rPr>
      <w:spacing w:val="8"/>
      <w:sz w:val="24"/>
      <w:szCs w:val="20"/>
    </w:rPr>
  </w:style>
  <w:style w:type="paragraph" w:customStyle="1" w:styleId="55">
    <w:name w:val="标题 5 + 居中"/>
    <w:basedOn w:val="30"/>
    <w:rsid w:val="00CA16C7"/>
    <w:pPr>
      <w:keepNext w:val="0"/>
      <w:keepLines w:val="0"/>
      <w:tabs>
        <w:tab w:val="left" w:pos="5410"/>
      </w:tabs>
      <w:snapToGrid w:val="0"/>
      <w:spacing w:before="0" w:after="0" w:line="288" w:lineRule="auto"/>
      <w:ind w:rightChars="-100" w:right="-210" w:firstLineChars="200" w:firstLine="561"/>
      <w:jc w:val="center"/>
    </w:pPr>
    <w:rPr>
      <w:bCs w:val="0"/>
      <w:szCs w:val="28"/>
    </w:rPr>
  </w:style>
  <w:style w:type="paragraph" w:customStyle="1" w:styleId="affffffffffff4">
    <w:name w:val="款"/>
    <w:basedOn w:val="a0"/>
    <w:rsid w:val="00CA16C7"/>
    <w:pPr>
      <w:spacing w:beforeLines="50"/>
      <w:ind w:firstLineChars="200" w:firstLine="200"/>
      <w:jc w:val="left"/>
      <w:outlineLvl w:val="2"/>
    </w:pPr>
    <w:rPr>
      <w:rFonts w:ascii="楷体_GB2312" w:eastAsia="楷体_GB2312" w:hAnsi="Calibri"/>
      <w:b/>
      <w:color w:val="000000"/>
      <w:kern w:val="0"/>
      <w:sz w:val="32"/>
    </w:rPr>
  </w:style>
  <w:style w:type="paragraph" w:customStyle="1" w:styleId="Char12">
    <w:name w:val="Char1"/>
    <w:basedOn w:val="a0"/>
    <w:rsid w:val="00CA16C7"/>
    <w:pPr>
      <w:snapToGrid w:val="0"/>
      <w:spacing w:line="360" w:lineRule="auto"/>
      <w:ind w:firstLineChars="200" w:firstLine="200"/>
    </w:pPr>
    <w:rPr>
      <w:rFonts w:eastAsia="仿宋_GB2312"/>
      <w:sz w:val="24"/>
    </w:rPr>
  </w:style>
  <w:style w:type="paragraph" w:customStyle="1" w:styleId="22CharTimesNewRoman6">
    <w:name w:val="样式 标题 2标题 2 Char节 + (西文) Times New Roman (中文) 宋体 左 段前: 6 磅..."/>
    <w:basedOn w:val="2"/>
    <w:rsid w:val="00CA16C7"/>
    <w:pPr>
      <w:spacing w:line="520" w:lineRule="exact"/>
      <w:jc w:val="left"/>
    </w:pPr>
    <w:rPr>
      <w:rFonts w:ascii="Times New Roman" w:eastAsia="宋体" w:hAnsi="Times New Roman" w:cs="宋体"/>
      <w:bCs/>
      <w:spacing w:val="2"/>
      <w:sz w:val="30"/>
    </w:rPr>
  </w:style>
  <w:style w:type="paragraph" w:customStyle="1" w:styleId="6152">
    <w:name w:val="样式 小四 左 段前: 6 磅 行距: 1.5 倍行距 首行缩进:  2 字符"/>
    <w:basedOn w:val="a0"/>
    <w:rsid w:val="00CA16C7"/>
    <w:pPr>
      <w:spacing w:before="120" w:line="520" w:lineRule="exact"/>
      <w:ind w:firstLineChars="200" w:firstLine="200"/>
      <w:jc w:val="left"/>
    </w:pPr>
    <w:rPr>
      <w:rFonts w:cs="宋体"/>
      <w:sz w:val="24"/>
      <w:szCs w:val="20"/>
    </w:rPr>
  </w:style>
  <w:style w:type="paragraph" w:customStyle="1" w:styleId="ParaCharCharCharCharCharCharChar">
    <w:name w:val="默认段落字体 Para Char Char Char Char Char Char Char"/>
    <w:basedOn w:val="a0"/>
    <w:rsid w:val="00CA16C7"/>
    <w:rPr>
      <w:rFonts w:ascii="Arial" w:hAnsi="Arial" w:cs="Arial"/>
      <w:sz w:val="20"/>
      <w:szCs w:val="20"/>
    </w:rPr>
  </w:style>
  <w:style w:type="paragraph" w:customStyle="1" w:styleId="me7">
    <w:name w:val="me内部标题"/>
    <w:basedOn w:val="a0"/>
    <w:next w:val="a0"/>
    <w:rsid w:val="00CA16C7"/>
    <w:pPr>
      <w:shd w:val="clear" w:color="auto" w:fill="00FFFF"/>
      <w:spacing w:before="120" w:line="540" w:lineRule="exact"/>
      <w:ind w:firstLineChars="200" w:firstLine="562"/>
    </w:pPr>
    <w:rPr>
      <w:rFonts w:ascii="黑体" w:eastAsia="黑体" w:hAnsi="宋体"/>
      <w:b/>
      <w:szCs w:val="20"/>
    </w:rPr>
  </w:style>
  <w:style w:type="paragraph" w:customStyle="1" w:styleId="affffffffffff5">
    <w:name w:val="主焦"/>
    <w:basedOn w:val="s"/>
    <w:rsid w:val="00CA16C7"/>
    <w:pPr>
      <w:ind w:firstLine="200"/>
    </w:pPr>
  </w:style>
  <w:style w:type="paragraph" w:customStyle="1" w:styleId="0115151">
    <w:name w:val="样式 小四 红色 左 加宽量  0.1 磅 行距: 1.5 倍行距 首行缩进:  1.5 字符"/>
    <w:basedOn w:val="a0"/>
    <w:rsid w:val="00CA16C7"/>
    <w:pPr>
      <w:spacing w:line="520" w:lineRule="exact"/>
      <w:ind w:firstLineChars="150" w:firstLine="150"/>
      <w:jc w:val="left"/>
    </w:pPr>
    <w:rPr>
      <w:rFonts w:cs="宋体"/>
      <w:color w:val="FF0000"/>
      <w:spacing w:val="2"/>
      <w:sz w:val="24"/>
      <w:szCs w:val="20"/>
    </w:rPr>
  </w:style>
  <w:style w:type="paragraph" w:customStyle="1" w:styleId="1ffe">
    <w:name w:val="样式 小四 字距调整四号1"/>
    <w:basedOn w:val="a0"/>
    <w:rsid w:val="00CA16C7"/>
    <w:pPr>
      <w:snapToGrid w:val="0"/>
      <w:spacing w:line="520" w:lineRule="exact"/>
      <w:ind w:firstLineChars="200" w:firstLine="200"/>
    </w:pPr>
    <w:rPr>
      <w:rFonts w:ascii="Calibri" w:hAnsi="Calibri"/>
      <w:snapToGrid w:val="0"/>
      <w:kern w:val="28"/>
      <w:sz w:val="24"/>
      <w:szCs w:val="22"/>
    </w:rPr>
  </w:style>
  <w:style w:type="paragraph" w:customStyle="1" w:styleId="15233">
    <w:name w:val="样式 宋体 小四 黑色 行距: 1.5 倍行距 首行缩进:  2.33 字符"/>
    <w:basedOn w:val="a0"/>
    <w:rsid w:val="00CA16C7"/>
    <w:pPr>
      <w:spacing w:line="520" w:lineRule="exact"/>
      <w:ind w:firstLineChars="233" w:firstLine="233"/>
    </w:pPr>
    <w:rPr>
      <w:rFonts w:ascii="宋体" w:hAnsi="宋体" w:cs="宋体"/>
      <w:color w:val="000000"/>
      <w:sz w:val="24"/>
      <w:szCs w:val="20"/>
    </w:rPr>
  </w:style>
  <w:style w:type="paragraph" w:customStyle="1" w:styleId="CharCharCharCharCharCharCharCharCharC14">
    <w:name w:val="样式 纯文本孙普文字 Char Char CharCharChar Char纯文本 Char Char Char C...14"/>
    <w:basedOn w:val="ae"/>
    <w:rsid w:val="00CA16C7"/>
    <w:pPr>
      <w:spacing w:line="520" w:lineRule="exact"/>
      <w:ind w:left="482"/>
    </w:pPr>
    <w:rPr>
      <w:rFonts w:ascii="Times New Roman" w:hAnsi="Times New Roman" w:cs="宋体"/>
      <w:color w:val="000000"/>
      <w:sz w:val="24"/>
    </w:rPr>
  </w:style>
  <w:style w:type="paragraph" w:customStyle="1" w:styleId="21152">
    <w:name w:val="样式 正文文本缩进正文文字 21 + 小四 行距: 1.5 倍行距 首行缩进:  2 字符"/>
    <w:basedOn w:val="ac"/>
    <w:rsid w:val="00CA16C7"/>
    <w:pPr>
      <w:ind w:firstLineChars="200" w:firstLine="200"/>
    </w:pPr>
    <w:rPr>
      <w:rFonts w:cs="宋体"/>
      <w:sz w:val="24"/>
      <w:szCs w:val="20"/>
    </w:rPr>
  </w:style>
  <w:style w:type="paragraph" w:customStyle="1" w:styleId="affffffffffff6">
    <w:name w:val="二级无标题条"/>
    <w:basedOn w:val="a0"/>
    <w:rsid w:val="00CA16C7"/>
    <w:rPr>
      <w:sz w:val="21"/>
    </w:rPr>
  </w:style>
  <w:style w:type="paragraph" w:customStyle="1" w:styleId="15182">
    <w:name w:val="样式 小四 行距: 1.5 倍行距 首行缩进:  1.82 字符"/>
    <w:basedOn w:val="a0"/>
    <w:rsid w:val="00CA16C7"/>
    <w:pPr>
      <w:spacing w:line="520" w:lineRule="exact"/>
      <w:ind w:firstLineChars="182" w:firstLine="182"/>
    </w:pPr>
    <w:rPr>
      <w:rFonts w:cs="宋体"/>
      <w:sz w:val="24"/>
      <w:szCs w:val="20"/>
    </w:rPr>
  </w:style>
  <w:style w:type="paragraph" w:customStyle="1" w:styleId="15e">
    <w:name w:val="样式 小四 加粗 黑色 行距: 1.5 倍行距"/>
    <w:basedOn w:val="a0"/>
    <w:rsid w:val="00CA16C7"/>
    <w:pPr>
      <w:spacing w:line="520" w:lineRule="exact"/>
    </w:pPr>
    <w:rPr>
      <w:rFonts w:ascii="Calibri" w:hAnsi="Calibri" w:cs="宋体"/>
      <w:b/>
      <w:bCs/>
      <w:color w:val="000000"/>
      <w:sz w:val="24"/>
      <w:szCs w:val="20"/>
    </w:rPr>
  </w:style>
  <w:style w:type="paragraph" w:customStyle="1" w:styleId="56">
    <w:name w:val="样式5"/>
    <w:basedOn w:val="30"/>
    <w:qFormat/>
    <w:rsid w:val="00CA16C7"/>
    <w:pPr>
      <w:snapToGrid w:val="0"/>
      <w:spacing w:before="0" w:after="0" w:line="360" w:lineRule="auto"/>
      <w:ind w:firstLineChars="200" w:firstLine="562"/>
    </w:pPr>
    <w:rPr>
      <w:sz w:val="28"/>
    </w:rPr>
  </w:style>
  <w:style w:type="paragraph" w:customStyle="1" w:styleId="affffffffffff7">
    <w:name w:val="朱吉茂之正文"/>
    <w:basedOn w:val="a0"/>
    <w:rsid w:val="00CA16C7"/>
    <w:pPr>
      <w:adjustRightInd w:val="0"/>
      <w:snapToGrid w:val="0"/>
      <w:spacing w:line="540" w:lineRule="exact"/>
      <w:ind w:firstLineChars="200" w:firstLine="560"/>
    </w:pPr>
    <w:rPr>
      <w:rFonts w:ascii="黑体" w:eastAsia="黑体" w:hAnsi="宋体"/>
      <w:bCs/>
      <w:szCs w:val="28"/>
    </w:rPr>
  </w:style>
  <w:style w:type="paragraph" w:customStyle="1" w:styleId="table">
    <w:name w:val="table"/>
    <w:basedOn w:val="a0"/>
    <w:rsid w:val="00CA16C7"/>
    <w:pPr>
      <w:tabs>
        <w:tab w:val="left" w:pos="0"/>
      </w:tabs>
      <w:adjustRightInd w:val="0"/>
      <w:snapToGrid w:val="0"/>
      <w:jc w:val="center"/>
    </w:pPr>
    <w:rPr>
      <w:sz w:val="21"/>
      <w:szCs w:val="21"/>
    </w:rPr>
  </w:style>
  <w:style w:type="paragraph" w:customStyle="1" w:styleId="TOCBase">
    <w:name w:val="TOC Base"/>
    <w:basedOn w:val="a0"/>
    <w:rsid w:val="00CA16C7"/>
    <w:pPr>
      <w:widowControl/>
      <w:tabs>
        <w:tab w:val="right" w:leader="dot" w:pos="6480"/>
      </w:tabs>
      <w:adjustRightInd w:val="0"/>
      <w:snapToGrid w:val="0"/>
      <w:spacing w:after="240" w:line="240" w:lineRule="atLeast"/>
      <w:jc w:val="left"/>
    </w:pPr>
    <w:rPr>
      <w:rFonts w:ascii="Arial" w:hAnsi="Arial"/>
      <w:bCs/>
      <w:spacing w:val="-5"/>
      <w:kern w:val="0"/>
      <w:sz w:val="30"/>
      <w:szCs w:val="20"/>
    </w:rPr>
  </w:style>
  <w:style w:type="paragraph" w:customStyle="1" w:styleId="CharChar1CharCharCharCharChar2">
    <w:name w:val="样式 纯文本普通文字Char Char孙普文字普通文字1 Char Char Char纯文本 Char Char ...2"/>
    <w:basedOn w:val="ae"/>
    <w:rsid w:val="00CA16C7"/>
    <w:pPr>
      <w:spacing w:line="520" w:lineRule="exact"/>
      <w:ind w:firstLine="567"/>
    </w:pPr>
    <w:rPr>
      <w:rFonts w:ascii="Times New Roman" w:hAnsi="Times New Roman" w:cs="宋体"/>
      <w:kern w:val="21"/>
      <w:sz w:val="24"/>
      <w:lang w:val="de-DE"/>
    </w:rPr>
  </w:style>
  <w:style w:type="paragraph" w:customStyle="1" w:styleId="21BodyText2">
    <w:name w:val="样式 正文文本缩进正文文字 21Body Text 2 + (符号) 宋体 小四"/>
    <w:basedOn w:val="ac"/>
    <w:rsid w:val="00CA16C7"/>
    <w:pPr>
      <w:ind w:firstLine="578"/>
    </w:pPr>
    <w:rPr>
      <w:sz w:val="24"/>
    </w:rPr>
  </w:style>
  <w:style w:type="paragraph" w:customStyle="1" w:styleId="1811">
    <w:name w:val="样式 黑色 居中 行距: 固定值 18 磅1"/>
    <w:basedOn w:val="a0"/>
    <w:rsid w:val="00CA16C7"/>
    <w:pPr>
      <w:jc w:val="center"/>
    </w:pPr>
    <w:rPr>
      <w:rFonts w:cs="宋体"/>
      <w:color w:val="000000"/>
      <w:kern w:val="0"/>
      <w:sz w:val="21"/>
      <w:szCs w:val="20"/>
    </w:rPr>
  </w:style>
  <w:style w:type="paragraph" w:customStyle="1" w:styleId="2720">
    <w:name w:val="样式 (符号) 宋体 小四 行距: 固定值 27 磅 首行缩进:  2 字符"/>
    <w:basedOn w:val="a0"/>
    <w:rsid w:val="00CA16C7"/>
    <w:pPr>
      <w:spacing w:line="520" w:lineRule="exact"/>
      <w:ind w:firstLineChars="200" w:firstLine="200"/>
    </w:pPr>
    <w:rPr>
      <w:rFonts w:hAnsi="宋体" w:cs="宋体"/>
      <w:sz w:val="24"/>
      <w:szCs w:val="20"/>
    </w:rPr>
  </w:style>
  <w:style w:type="paragraph" w:customStyle="1" w:styleId="f24f24f24">
    <w:name w:val="f24 f24 f24"/>
    <w:basedOn w:val="a0"/>
    <w:rsid w:val="00CA16C7"/>
    <w:pPr>
      <w:widowControl/>
      <w:spacing w:before="100" w:beforeAutospacing="1" w:after="100" w:afterAutospacing="1"/>
      <w:jc w:val="left"/>
    </w:pPr>
    <w:rPr>
      <w:rFonts w:ascii="宋体" w:hAnsi="宋体" w:cs="宋体"/>
      <w:kern w:val="0"/>
      <w:sz w:val="24"/>
    </w:rPr>
  </w:style>
  <w:style w:type="paragraph" w:customStyle="1" w:styleId="affffffffffff8">
    <w:name w:val="表格小四"/>
    <w:basedOn w:val="a0"/>
    <w:rsid w:val="00CA16C7"/>
    <w:pPr>
      <w:adjustRightInd w:val="0"/>
      <w:snapToGrid w:val="0"/>
      <w:spacing w:beforeLines="30"/>
    </w:pPr>
    <w:rPr>
      <w:sz w:val="24"/>
    </w:rPr>
  </w:style>
  <w:style w:type="paragraph" w:customStyle="1" w:styleId="affffffffffff9">
    <w:name w:val="正文文本格式"/>
    <w:basedOn w:val="a0"/>
    <w:rsid w:val="00CA16C7"/>
    <w:pPr>
      <w:adjustRightInd w:val="0"/>
      <w:snapToGrid w:val="0"/>
      <w:spacing w:line="480" w:lineRule="exact"/>
      <w:ind w:firstLine="567"/>
    </w:pPr>
    <w:rPr>
      <w:snapToGrid w:val="0"/>
      <w:kern w:val="0"/>
      <w:szCs w:val="28"/>
    </w:rPr>
  </w:style>
  <w:style w:type="paragraph" w:customStyle="1" w:styleId="xl102">
    <w:name w:val="xl102"/>
    <w:basedOn w:val="a0"/>
    <w:rsid w:val="00CA16C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05-5">
    <w:name w:val="样式 小四 右 左侧:  0 厘米 悬挂缩进: 5 字符 首行缩进:  -5 字符"/>
    <w:basedOn w:val="a0"/>
    <w:rsid w:val="00CA16C7"/>
    <w:pPr>
      <w:spacing w:line="520" w:lineRule="exact"/>
      <w:ind w:left="500" w:hangingChars="500" w:hanging="500"/>
      <w:jc w:val="right"/>
    </w:pPr>
    <w:rPr>
      <w:rFonts w:cs="宋体"/>
      <w:sz w:val="24"/>
      <w:szCs w:val="20"/>
    </w:rPr>
  </w:style>
  <w:style w:type="paragraph" w:customStyle="1" w:styleId="0115057150">
    <w:name w:val="样式 样式 小四 加宽量  0.1 磅 行距: 1.5 倍行距 左  0.57 字符 首行缩进:  1.5 字符 + 左侧:  ..."/>
    <w:basedOn w:val="011505715"/>
    <w:rsid w:val="00CA16C7"/>
  </w:style>
  <w:style w:type="paragraph" w:customStyle="1" w:styleId="151820">
    <w:name w:val="样式 小四 黑色 行距: 1.5 倍行距 首行缩进:  1.82 字符"/>
    <w:basedOn w:val="a0"/>
    <w:rsid w:val="00CA16C7"/>
    <w:pPr>
      <w:spacing w:line="520" w:lineRule="atLeast"/>
      <w:ind w:firstLineChars="182" w:firstLine="182"/>
    </w:pPr>
    <w:rPr>
      <w:rFonts w:cs="宋体"/>
      <w:color w:val="000000"/>
      <w:sz w:val="24"/>
      <w:szCs w:val="20"/>
    </w:rPr>
  </w:style>
  <w:style w:type="paragraph" w:customStyle="1" w:styleId="CharCharChar1CharCharCharChar">
    <w:name w:val="Char Char Char1 Char Char Char Char"/>
    <w:basedOn w:val="a0"/>
    <w:rsid w:val="00CA16C7"/>
    <w:pPr>
      <w:snapToGrid w:val="0"/>
      <w:spacing w:line="360" w:lineRule="auto"/>
      <w:ind w:firstLineChars="200" w:firstLine="200"/>
    </w:pPr>
    <w:rPr>
      <w:rFonts w:eastAsia="黑体"/>
      <w:snapToGrid w:val="0"/>
      <w:sz w:val="32"/>
    </w:rPr>
  </w:style>
  <w:style w:type="paragraph" w:customStyle="1" w:styleId="085157">
    <w:name w:val="样式 小四 黑色 左 首行缩进:  0.85 厘米 行距: 1.5 倍行距"/>
    <w:basedOn w:val="a0"/>
    <w:rsid w:val="00CA16C7"/>
    <w:pPr>
      <w:spacing w:line="520" w:lineRule="exact"/>
      <w:ind w:firstLine="482"/>
      <w:jc w:val="left"/>
    </w:pPr>
    <w:rPr>
      <w:rFonts w:cs="宋体"/>
      <w:color w:val="000000"/>
      <w:kern w:val="0"/>
      <w:sz w:val="24"/>
      <w:szCs w:val="20"/>
    </w:rPr>
  </w:style>
  <w:style w:type="paragraph" w:customStyle="1" w:styleId="Style16">
    <w:name w:val="Style16"/>
    <w:basedOn w:val="a0"/>
    <w:rsid w:val="00CA16C7"/>
    <w:pPr>
      <w:adjustRightInd w:val="0"/>
      <w:jc w:val="left"/>
    </w:pPr>
    <w:rPr>
      <w:rFonts w:ascii="宋体"/>
      <w:kern w:val="0"/>
      <w:sz w:val="24"/>
    </w:rPr>
  </w:style>
  <w:style w:type="paragraph" w:customStyle="1" w:styleId="affffffffffffa">
    <w:name w:val="报告表格"/>
    <w:basedOn w:val="a0"/>
    <w:rsid w:val="00CA16C7"/>
    <w:pPr>
      <w:autoSpaceDE w:val="0"/>
      <w:autoSpaceDN w:val="0"/>
      <w:adjustRightInd w:val="0"/>
      <w:spacing w:before="40" w:after="40"/>
      <w:jc w:val="center"/>
      <w:textAlignment w:val="bottom"/>
    </w:pPr>
    <w:rPr>
      <w:kern w:val="0"/>
      <w:sz w:val="21"/>
      <w:szCs w:val="20"/>
    </w:rPr>
  </w:style>
  <w:style w:type="paragraph" w:customStyle="1" w:styleId="me40">
    <w:name w:val="me 标题4"/>
    <w:basedOn w:val="a0"/>
    <w:rsid w:val="00CA16C7"/>
    <w:pPr>
      <w:shd w:val="clear" w:color="auto" w:fill="FFFFFF"/>
      <w:spacing w:line="540" w:lineRule="exact"/>
      <w:ind w:firstLineChars="200" w:firstLine="560"/>
    </w:pPr>
    <w:rPr>
      <w:rFonts w:ascii="宋体" w:hAnsi="宋体" w:cs="宋体"/>
      <w:kern w:val="96"/>
      <w:szCs w:val="28"/>
    </w:rPr>
  </w:style>
  <w:style w:type="paragraph" w:customStyle="1" w:styleId="21502525">
    <w:name w:val="样式 样式 正文文本缩进 2 + 行距: 1.5 倍行距 左  0 字符 首行缩进:  2.5 字符 + 首行缩进:  2.5 ..."/>
    <w:basedOn w:val="215025"/>
    <w:rsid w:val="00CA16C7"/>
    <w:pPr>
      <w:spacing w:after="0"/>
    </w:pPr>
  </w:style>
  <w:style w:type="paragraph" w:customStyle="1" w:styleId="15250">
    <w:name w:val="样式 小四 黑色 行距: 1.5 倍行距 首行缩进:  2.5 字符"/>
    <w:basedOn w:val="a0"/>
    <w:rsid w:val="00CA16C7"/>
    <w:pPr>
      <w:spacing w:line="520" w:lineRule="exact"/>
      <w:ind w:firstLineChars="250" w:firstLine="250"/>
    </w:pPr>
    <w:rPr>
      <w:rFonts w:cs="宋体"/>
      <w:color w:val="000000"/>
      <w:sz w:val="24"/>
      <w:szCs w:val="20"/>
    </w:rPr>
  </w:style>
  <w:style w:type="paragraph" w:customStyle="1" w:styleId="CharCharCharCharCharCharCharCharCharC9">
    <w:name w:val="样式 纯文本孙普文字 Char Char CharCharChar Char纯文本 Char Char Char C...9"/>
    <w:basedOn w:val="ae"/>
    <w:rsid w:val="00CA16C7"/>
    <w:pPr>
      <w:spacing w:line="520" w:lineRule="exact"/>
      <w:ind w:firstLineChars="250" w:firstLine="250"/>
    </w:pPr>
    <w:rPr>
      <w:rFonts w:ascii="Times New Roman" w:hAnsi="Times New Roman" w:cs="宋体"/>
      <w:color w:val="000000"/>
      <w:sz w:val="24"/>
    </w:rPr>
  </w:style>
  <w:style w:type="paragraph" w:customStyle="1" w:styleId="Char450">
    <w:name w:val="Char45"/>
    <w:basedOn w:val="a0"/>
    <w:rsid w:val="00CA16C7"/>
    <w:pPr>
      <w:spacing w:line="360" w:lineRule="auto"/>
      <w:ind w:firstLineChars="200" w:firstLine="200"/>
    </w:pPr>
    <w:rPr>
      <w:rFonts w:ascii="宋体" w:hAnsi="宋体" w:cs="宋体"/>
      <w:sz w:val="24"/>
    </w:rPr>
  </w:style>
  <w:style w:type="paragraph" w:customStyle="1" w:styleId="15171">
    <w:name w:val="样式 小四 行距: 1.5 倍行距 左  1.71 字符"/>
    <w:basedOn w:val="a0"/>
    <w:rsid w:val="00CA16C7"/>
    <w:pPr>
      <w:spacing w:line="520" w:lineRule="exact"/>
      <w:ind w:leftChars="171" w:left="171"/>
    </w:pPr>
    <w:rPr>
      <w:rFonts w:cs="宋体"/>
      <w:sz w:val="24"/>
      <w:szCs w:val="20"/>
    </w:rPr>
  </w:style>
  <w:style w:type="paragraph" w:customStyle="1" w:styleId="445">
    <w:name w:val="样式 样式4 + 首行缩进:  4.5 字符"/>
    <w:basedOn w:val="49"/>
    <w:rsid w:val="00CA16C7"/>
    <w:pPr>
      <w:keepNext/>
      <w:keepLines/>
      <w:spacing w:line="360" w:lineRule="auto"/>
      <w:ind w:firstLineChars="150" w:firstLine="360"/>
      <w:jc w:val="both"/>
      <w:outlineLvl w:val="2"/>
    </w:pPr>
    <w:rPr>
      <w:rFonts w:ascii="宋体" w:hAnsi="宋体" w:cs="宋体"/>
      <w:kern w:val="0"/>
      <w:sz w:val="24"/>
      <w:szCs w:val="20"/>
    </w:rPr>
  </w:style>
  <w:style w:type="paragraph" w:customStyle="1" w:styleId="affffffffffffb">
    <w:name w:val="页码（序号）"/>
    <w:basedOn w:val="30"/>
    <w:rsid w:val="00CA16C7"/>
    <w:pPr>
      <w:spacing w:before="0" w:after="0" w:line="240" w:lineRule="auto"/>
      <w:textAlignment w:val="baseline"/>
    </w:pPr>
    <w:rPr>
      <w:rFonts w:ascii="黑体" w:eastAsia="黑体" w:hAnsi="黑体"/>
      <w:b w:val="0"/>
      <w:bCs w:val="0"/>
      <w:snapToGrid w:val="0"/>
      <w:position w:val="8"/>
      <w:sz w:val="24"/>
      <w:szCs w:val="24"/>
    </w:rPr>
  </w:style>
  <w:style w:type="paragraph" w:customStyle="1" w:styleId="22210">
    <w:name w:val="样式 小四 字距调整四号 行距: 固定值 22 磅 首行缩进:  2 字符1"/>
    <w:basedOn w:val="a0"/>
    <w:rsid w:val="00CA16C7"/>
    <w:pPr>
      <w:spacing w:line="520" w:lineRule="exact"/>
      <w:ind w:firstLineChars="200" w:firstLine="200"/>
    </w:pPr>
    <w:rPr>
      <w:rFonts w:ascii="Calibri" w:hAnsi="Calibri" w:cs="宋体"/>
      <w:kern w:val="28"/>
      <w:sz w:val="24"/>
      <w:szCs w:val="20"/>
    </w:rPr>
  </w:style>
  <w:style w:type="paragraph" w:customStyle="1" w:styleId="1150">
    <w:name w:val="样式 小四 左 首行缩进:  1 厘米 行距: 1.5 倍行距"/>
    <w:basedOn w:val="a0"/>
    <w:rsid w:val="00CA16C7"/>
    <w:pPr>
      <w:spacing w:line="520" w:lineRule="exact"/>
      <w:ind w:firstLine="567"/>
      <w:jc w:val="left"/>
    </w:pPr>
    <w:rPr>
      <w:rFonts w:cs="宋体"/>
      <w:sz w:val="24"/>
      <w:szCs w:val="20"/>
    </w:rPr>
  </w:style>
  <w:style w:type="paragraph" w:customStyle="1" w:styleId="2223">
    <w:name w:val="样式 批注文字 + 小四 两端对齐 行距: 固定值 22 磅 首行缩进:  2 字符"/>
    <w:basedOn w:val="ab"/>
    <w:rsid w:val="00CA16C7"/>
    <w:pPr>
      <w:spacing w:line="520" w:lineRule="exact"/>
      <w:ind w:firstLineChars="200" w:firstLine="200"/>
      <w:jc w:val="both"/>
    </w:pPr>
    <w:rPr>
      <w:rFonts w:ascii="Calibri" w:hAnsi="Calibri" w:cs="宋体"/>
      <w:sz w:val="24"/>
    </w:rPr>
  </w:style>
  <w:style w:type="paragraph" w:customStyle="1" w:styleId="229">
    <w:name w:val="样式 批注文字 + 小四 两端对齐 行距: 固定值 22 磅"/>
    <w:basedOn w:val="ab"/>
    <w:rsid w:val="00CA16C7"/>
    <w:pPr>
      <w:spacing w:line="520" w:lineRule="exact"/>
      <w:jc w:val="both"/>
    </w:pPr>
    <w:rPr>
      <w:rFonts w:ascii="Calibri" w:hAnsi="Calibri" w:cs="宋体"/>
      <w:sz w:val="24"/>
    </w:rPr>
  </w:style>
  <w:style w:type="paragraph" w:customStyle="1" w:styleId="01a">
    <w:name w:val="样式 样式 小四 黑色 + (符号) 宋体 加宽量  0.1 磅"/>
    <w:basedOn w:val="affffffc"/>
    <w:qFormat/>
    <w:rsid w:val="00CA16C7"/>
    <w:pPr>
      <w:autoSpaceDE w:val="0"/>
      <w:autoSpaceDN w:val="0"/>
      <w:adjustRightInd w:val="0"/>
    </w:pPr>
    <w:rPr>
      <w:spacing w:val="2"/>
      <w:szCs w:val="24"/>
    </w:rPr>
  </w:style>
  <w:style w:type="paragraph" w:customStyle="1" w:styleId="15222">
    <w:name w:val="样式 小四 黑色 行距: 1.5 倍行距 首行缩进:  2 字符2"/>
    <w:basedOn w:val="a0"/>
    <w:qFormat/>
    <w:rsid w:val="00CA16C7"/>
    <w:pPr>
      <w:spacing w:line="520" w:lineRule="exact"/>
      <w:ind w:firstLineChars="200" w:firstLine="200"/>
    </w:pPr>
    <w:rPr>
      <w:rFonts w:cs="宋体"/>
      <w:color w:val="000000"/>
      <w:sz w:val="24"/>
      <w:szCs w:val="20"/>
    </w:rPr>
  </w:style>
  <w:style w:type="paragraph" w:customStyle="1" w:styleId="02152">
    <w:name w:val="样式 小四 黑色 紧缩量  0.2 磅 行距: 1.5 倍行距 首行缩进:  2 字符"/>
    <w:basedOn w:val="a0"/>
    <w:rsid w:val="00CA16C7"/>
    <w:pPr>
      <w:spacing w:line="520" w:lineRule="exact"/>
      <w:ind w:firstLineChars="200" w:firstLine="200"/>
    </w:pPr>
    <w:rPr>
      <w:rFonts w:cs="宋体"/>
      <w:color w:val="000000"/>
      <w:spacing w:val="-4"/>
      <w:sz w:val="24"/>
      <w:szCs w:val="20"/>
    </w:rPr>
  </w:style>
  <w:style w:type="paragraph" w:customStyle="1" w:styleId="CharCharCharCharCharCharChar1">
    <w:name w:val="Char Char Char Char Char Char Char1"/>
    <w:basedOn w:val="a0"/>
    <w:rsid w:val="00CA16C7"/>
    <w:pPr>
      <w:spacing w:line="360" w:lineRule="auto"/>
      <w:ind w:firstLineChars="200" w:firstLine="200"/>
    </w:pPr>
    <w:rPr>
      <w:sz w:val="21"/>
      <w:szCs w:val="20"/>
    </w:rPr>
  </w:style>
  <w:style w:type="paragraph" w:customStyle="1" w:styleId="WPSOffice3">
    <w:name w:val="WPSOffice手动目录 3"/>
    <w:rsid w:val="00CA16C7"/>
    <w:pPr>
      <w:ind w:leftChars="400" w:left="400"/>
    </w:pPr>
  </w:style>
  <w:style w:type="character" w:customStyle="1" w:styleId="Char">
    <w:name w:val="正文文本 Char"/>
    <w:link w:val="a1"/>
    <w:rsid w:val="00CA16C7"/>
    <w:rPr>
      <w:kern w:val="2"/>
      <w:sz w:val="28"/>
      <w:szCs w:val="24"/>
    </w:rPr>
  </w:style>
  <w:style w:type="character" w:customStyle="1" w:styleId="1Char">
    <w:name w:val="标题 1 Char"/>
    <w:link w:val="1"/>
    <w:uiPriority w:val="9"/>
    <w:rsid w:val="00CA16C7"/>
    <w:rPr>
      <w:rFonts w:eastAsia="宋体"/>
      <w:b/>
      <w:bCs/>
      <w:kern w:val="44"/>
      <w:sz w:val="44"/>
      <w:szCs w:val="44"/>
      <w:lang w:val="en-US" w:eastAsia="zh-CN" w:bidi="ar-SA"/>
    </w:rPr>
  </w:style>
  <w:style w:type="character" w:customStyle="1" w:styleId="2Char">
    <w:name w:val="标题 2 Char"/>
    <w:link w:val="2"/>
    <w:uiPriority w:val="99"/>
    <w:rsid w:val="00CA16C7"/>
    <w:rPr>
      <w:rFonts w:ascii="Arial" w:eastAsia="黑体" w:hAnsi="Arial"/>
      <w:b/>
      <w:kern w:val="2"/>
      <w:sz w:val="32"/>
    </w:rPr>
  </w:style>
  <w:style w:type="character" w:customStyle="1" w:styleId="Char0">
    <w:name w:val="正文缩进 Char"/>
    <w:link w:val="a2"/>
    <w:rsid w:val="00CA16C7"/>
    <w:rPr>
      <w:rFonts w:eastAsia="宋体"/>
      <w:kern w:val="2"/>
      <w:sz w:val="28"/>
      <w:szCs w:val="24"/>
      <w:lang w:val="en-US" w:eastAsia="zh-CN" w:bidi="ar-SA"/>
    </w:rPr>
  </w:style>
  <w:style w:type="character" w:customStyle="1" w:styleId="3Char">
    <w:name w:val="标题 3 Char"/>
    <w:link w:val="30"/>
    <w:uiPriority w:val="99"/>
    <w:rsid w:val="00CA16C7"/>
    <w:rPr>
      <w:rFonts w:eastAsia="宋体"/>
      <w:b/>
      <w:bCs/>
      <w:kern w:val="2"/>
      <w:sz w:val="32"/>
      <w:szCs w:val="32"/>
      <w:lang w:val="en-US" w:eastAsia="zh-CN" w:bidi="ar-SA"/>
    </w:rPr>
  </w:style>
  <w:style w:type="character" w:customStyle="1" w:styleId="4Char">
    <w:name w:val="标题 4 Char"/>
    <w:link w:val="4"/>
    <w:uiPriority w:val="99"/>
    <w:rsid w:val="00CA16C7"/>
    <w:rPr>
      <w:rFonts w:ascii="Arial" w:eastAsia="黑体" w:hAnsi="Arial"/>
      <w:b/>
      <w:bCs/>
      <w:kern w:val="2"/>
      <w:sz w:val="28"/>
      <w:szCs w:val="28"/>
    </w:rPr>
  </w:style>
  <w:style w:type="character" w:customStyle="1" w:styleId="5Char">
    <w:name w:val="标题 5 Char"/>
    <w:link w:val="5"/>
    <w:rsid w:val="00CA16C7"/>
    <w:rPr>
      <w:b/>
      <w:bCs/>
      <w:kern w:val="2"/>
      <w:sz w:val="28"/>
      <w:szCs w:val="28"/>
    </w:rPr>
  </w:style>
  <w:style w:type="character" w:customStyle="1" w:styleId="6Char">
    <w:name w:val="标题 6 Char"/>
    <w:link w:val="6"/>
    <w:rsid w:val="00CA16C7"/>
    <w:rPr>
      <w:rFonts w:ascii="Arial" w:eastAsia="黑体" w:hAnsi="Arial"/>
      <w:b/>
      <w:bCs/>
      <w:kern w:val="2"/>
      <w:sz w:val="24"/>
      <w:szCs w:val="24"/>
    </w:rPr>
  </w:style>
  <w:style w:type="character" w:customStyle="1" w:styleId="7Char">
    <w:name w:val="标题 7 Char"/>
    <w:link w:val="7"/>
    <w:rsid w:val="00CA16C7"/>
    <w:rPr>
      <w:b/>
      <w:sz w:val="24"/>
    </w:rPr>
  </w:style>
  <w:style w:type="character" w:customStyle="1" w:styleId="8Char">
    <w:name w:val="标题 8 Char"/>
    <w:link w:val="8"/>
    <w:rsid w:val="00CA16C7"/>
    <w:rPr>
      <w:rFonts w:ascii="Arial" w:eastAsia="黑体" w:hAnsi="Arial"/>
      <w:sz w:val="24"/>
    </w:rPr>
  </w:style>
  <w:style w:type="character" w:customStyle="1" w:styleId="9Char">
    <w:name w:val="标题 9 Char"/>
    <w:link w:val="9"/>
    <w:rsid w:val="00CA16C7"/>
    <w:rPr>
      <w:rFonts w:ascii="Arial" w:eastAsia="黑体" w:hAnsi="Arial"/>
      <w:sz w:val="28"/>
    </w:rPr>
  </w:style>
  <w:style w:type="character" w:customStyle="1" w:styleId="Char1">
    <w:name w:val="注释标题 Char"/>
    <w:link w:val="a6"/>
    <w:rsid w:val="00CA16C7"/>
    <w:rPr>
      <w:kern w:val="2"/>
      <w:sz w:val="28"/>
    </w:rPr>
  </w:style>
  <w:style w:type="character" w:customStyle="1" w:styleId="Char2">
    <w:name w:val="题注 Char"/>
    <w:link w:val="a8"/>
    <w:rsid w:val="00CA16C7"/>
    <w:rPr>
      <w:rFonts w:ascii="Arial" w:eastAsia="黑体" w:hAnsi="Arial" w:cs="Arial"/>
      <w:kern w:val="2"/>
    </w:rPr>
  </w:style>
  <w:style w:type="character" w:customStyle="1" w:styleId="Char3">
    <w:name w:val="文档结构图 Char"/>
    <w:link w:val="aa"/>
    <w:rsid w:val="00CA16C7"/>
    <w:rPr>
      <w:kern w:val="2"/>
      <w:sz w:val="21"/>
      <w:szCs w:val="24"/>
      <w:shd w:val="clear" w:color="auto" w:fill="000080"/>
    </w:rPr>
  </w:style>
  <w:style w:type="character" w:customStyle="1" w:styleId="Char4">
    <w:name w:val="批注文字 Char"/>
    <w:link w:val="ab"/>
    <w:qFormat/>
    <w:rsid w:val="00CA16C7"/>
    <w:rPr>
      <w:kern w:val="2"/>
      <w:sz w:val="21"/>
    </w:rPr>
  </w:style>
  <w:style w:type="character" w:customStyle="1" w:styleId="3Char0">
    <w:name w:val="正文文本 3 Char"/>
    <w:link w:val="32"/>
    <w:rsid w:val="00CA16C7"/>
    <w:rPr>
      <w:kern w:val="2"/>
      <w:sz w:val="16"/>
      <w:szCs w:val="16"/>
    </w:rPr>
  </w:style>
  <w:style w:type="character" w:customStyle="1" w:styleId="Char5">
    <w:name w:val="正文文本缩进 Char"/>
    <w:link w:val="ac"/>
    <w:rsid w:val="00CA16C7"/>
    <w:rPr>
      <w:rFonts w:eastAsia="宋体"/>
      <w:color w:val="000000"/>
      <w:spacing w:val="2"/>
      <w:kern w:val="2"/>
      <w:sz w:val="28"/>
      <w:szCs w:val="24"/>
      <w:lang w:val="en-US" w:eastAsia="zh-CN" w:bidi="ar-SA"/>
    </w:rPr>
  </w:style>
  <w:style w:type="character" w:customStyle="1" w:styleId="Char6">
    <w:name w:val="纯文本 Char"/>
    <w:aliases w:val="孙普文字 Char,Char Char1,Char Char Char,纯文本 Char Char Char Char Char Char,纯文本 Char Char Char Char Char1,普通文字 Char Char Char,普通文字 Char,普通文字 Char Char Char Char Char1,纯文 Char,纯 Char"/>
    <w:link w:val="ae"/>
    <w:qFormat/>
    <w:rsid w:val="00CA16C7"/>
    <w:rPr>
      <w:rFonts w:ascii="宋体" w:eastAsia="宋体" w:hAnsi="Courier New"/>
      <w:kern w:val="2"/>
      <w:sz w:val="28"/>
      <w:lang w:val="en-US" w:eastAsia="zh-CN" w:bidi="ar-SA"/>
    </w:rPr>
  </w:style>
  <w:style w:type="character" w:customStyle="1" w:styleId="Char7">
    <w:name w:val="日期 Char"/>
    <w:link w:val="af"/>
    <w:locked/>
    <w:rsid w:val="00CA16C7"/>
    <w:rPr>
      <w:kern w:val="2"/>
      <w:sz w:val="28"/>
      <w:szCs w:val="24"/>
    </w:rPr>
  </w:style>
  <w:style w:type="character" w:customStyle="1" w:styleId="Char8">
    <w:name w:val="尾注文本 Char"/>
    <w:link w:val="af0"/>
    <w:rsid w:val="00CA16C7"/>
    <w:rPr>
      <w:kern w:val="2"/>
      <w:sz w:val="21"/>
    </w:rPr>
  </w:style>
  <w:style w:type="character" w:customStyle="1" w:styleId="Char9">
    <w:name w:val="批注框文本 Char"/>
    <w:link w:val="af1"/>
    <w:rsid w:val="00CA16C7"/>
    <w:rPr>
      <w:kern w:val="2"/>
      <w:sz w:val="18"/>
      <w:szCs w:val="18"/>
    </w:rPr>
  </w:style>
  <w:style w:type="character" w:customStyle="1" w:styleId="Chara">
    <w:name w:val="页脚 Char"/>
    <w:link w:val="af2"/>
    <w:uiPriority w:val="99"/>
    <w:rsid w:val="00CA16C7"/>
    <w:rPr>
      <w:kern w:val="2"/>
      <w:sz w:val="18"/>
      <w:szCs w:val="18"/>
    </w:rPr>
  </w:style>
  <w:style w:type="character" w:customStyle="1" w:styleId="Charb">
    <w:name w:val="页眉 Char"/>
    <w:link w:val="af3"/>
    <w:rsid w:val="00CA16C7"/>
    <w:rPr>
      <w:kern w:val="2"/>
      <w:sz w:val="18"/>
      <w:szCs w:val="18"/>
    </w:rPr>
  </w:style>
  <w:style w:type="character" w:customStyle="1" w:styleId="Charc">
    <w:name w:val="脚注文本 Char"/>
    <w:link w:val="af5"/>
    <w:rsid w:val="00CA16C7"/>
    <w:rPr>
      <w:kern w:val="2"/>
      <w:sz w:val="18"/>
      <w:szCs w:val="18"/>
    </w:rPr>
  </w:style>
  <w:style w:type="character" w:customStyle="1" w:styleId="3Char1">
    <w:name w:val="正文文本缩进 3 Char"/>
    <w:link w:val="35"/>
    <w:rsid w:val="00CA16C7"/>
    <w:rPr>
      <w:color w:val="000000"/>
      <w:spacing w:val="2"/>
      <w:kern w:val="2"/>
      <w:sz w:val="28"/>
      <w:szCs w:val="24"/>
    </w:rPr>
  </w:style>
  <w:style w:type="character" w:customStyle="1" w:styleId="2Char0">
    <w:name w:val="正文文本 2 Char"/>
    <w:link w:val="25"/>
    <w:rsid w:val="00CA16C7"/>
    <w:rPr>
      <w:rFonts w:ascii="宋体" w:hAnsi="宋体"/>
      <w:color w:val="000000"/>
      <w:kern w:val="2"/>
      <w:sz w:val="24"/>
      <w:szCs w:val="24"/>
    </w:rPr>
  </w:style>
  <w:style w:type="character" w:customStyle="1" w:styleId="HTMLChar">
    <w:name w:val="HTML 预设格式 Char"/>
    <w:link w:val="HTML"/>
    <w:rsid w:val="00CA16C7"/>
    <w:rPr>
      <w:rFonts w:ascii="宋体" w:hAnsi="宋体"/>
      <w:sz w:val="24"/>
    </w:rPr>
  </w:style>
  <w:style w:type="character" w:customStyle="1" w:styleId="Chard">
    <w:name w:val="普通(网站) Char"/>
    <w:link w:val="af7"/>
    <w:locked/>
    <w:rsid w:val="00CA16C7"/>
    <w:rPr>
      <w:sz w:val="24"/>
      <w:szCs w:val="24"/>
    </w:rPr>
  </w:style>
  <w:style w:type="character" w:customStyle="1" w:styleId="Chare">
    <w:name w:val="标题 Char"/>
    <w:link w:val="af8"/>
    <w:rsid w:val="00CA16C7"/>
    <w:rPr>
      <w:rFonts w:ascii="Arial" w:hAnsi="Arial"/>
      <w:b/>
      <w:bCs/>
      <w:kern w:val="2"/>
      <w:sz w:val="32"/>
      <w:szCs w:val="32"/>
    </w:rPr>
  </w:style>
  <w:style w:type="character" w:customStyle="1" w:styleId="Charf">
    <w:name w:val="批注主题 Char"/>
    <w:link w:val="af9"/>
    <w:rsid w:val="00CA16C7"/>
    <w:rPr>
      <w:b/>
      <w:bCs/>
      <w:kern w:val="2"/>
      <w:sz w:val="21"/>
      <w:szCs w:val="24"/>
    </w:rPr>
  </w:style>
  <w:style w:type="character" w:customStyle="1" w:styleId="Charf0">
    <w:name w:val="正文首行缩进 Char"/>
    <w:link w:val="afa"/>
    <w:rsid w:val="00CA16C7"/>
    <w:rPr>
      <w:kern w:val="2"/>
      <w:sz w:val="28"/>
      <w:szCs w:val="24"/>
    </w:rPr>
  </w:style>
  <w:style w:type="character" w:customStyle="1" w:styleId="2Char1">
    <w:name w:val="正文首行缩进 2 Char"/>
    <w:link w:val="27"/>
    <w:rsid w:val="00CA16C7"/>
    <w:rPr>
      <w:rFonts w:eastAsia="宋体"/>
      <w:color w:val="000000"/>
      <w:spacing w:val="2"/>
      <w:kern w:val="2"/>
      <w:sz w:val="21"/>
      <w:szCs w:val="24"/>
      <w:lang w:val="en-US" w:eastAsia="zh-CN" w:bidi="ar-SA"/>
    </w:rPr>
  </w:style>
  <w:style w:type="character" w:customStyle="1" w:styleId="Charf1">
    <w:name w:val="丰达四级标题 Char"/>
    <w:link w:val="aff5"/>
    <w:locked/>
    <w:rsid w:val="00CA16C7"/>
    <w:rPr>
      <w:b/>
      <w:kern w:val="2"/>
      <w:sz w:val="24"/>
      <w:szCs w:val="24"/>
    </w:rPr>
  </w:style>
  <w:style w:type="character" w:customStyle="1" w:styleId="CharChar30">
    <w:name w:val="Char Char3"/>
    <w:locked/>
    <w:rsid w:val="00CA16C7"/>
    <w:rPr>
      <w:rFonts w:ascii="宋体" w:eastAsia="宋体" w:hAnsi="宋体" w:cs="宋体"/>
      <w:kern w:val="2"/>
      <w:sz w:val="21"/>
      <w:szCs w:val="24"/>
      <w:lang w:val="en-US" w:eastAsia="zh-CN" w:bidi="ar-SA"/>
    </w:rPr>
  </w:style>
  <w:style w:type="character" w:customStyle="1" w:styleId="1Char10">
    <w:name w:val="标题 1 Char1"/>
    <w:rsid w:val="00CA16C7"/>
    <w:rPr>
      <w:rFonts w:eastAsia="宋体"/>
      <w:b/>
      <w:kern w:val="44"/>
      <w:sz w:val="36"/>
      <w:lang w:val="en-US" w:eastAsia="zh-CN" w:bidi="ar-SA"/>
    </w:rPr>
  </w:style>
  <w:style w:type="character" w:customStyle="1" w:styleId="-Char">
    <w:name w:val="四级标题-万澈 Char"/>
    <w:link w:val="-"/>
    <w:rsid w:val="00CA16C7"/>
    <w:rPr>
      <w:rFonts w:eastAsia="黑体"/>
      <w:kern w:val="2"/>
      <w:sz w:val="24"/>
    </w:rPr>
  </w:style>
  <w:style w:type="character" w:customStyle="1" w:styleId="CharChar15">
    <w:name w:val="Char Char15"/>
    <w:locked/>
    <w:rsid w:val="00CA16C7"/>
    <w:rPr>
      <w:rFonts w:ascii="宋体" w:eastAsia="宋体" w:hAnsi="Courier New"/>
      <w:kern w:val="2"/>
      <w:sz w:val="21"/>
      <w:lang w:val="en-US" w:eastAsia="zh-CN" w:bidi="ar-SA"/>
    </w:rPr>
  </w:style>
  <w:style w:type="character" w:customStyle="1" w:styleId="1Char0">
    <w:name w:val="1表格标题 Char"/>
    <w:link w:val="13"/>
    <w:rsid w:val="00CA16C7"/>
    <w:rPr>
      <w:b/>
      <w:kern w:val="2"/>
      <w:sz w:val="24"/>
    </w:rPr>
  </w:style>
  <w:style w:type="character" w:customStyle="1" w:styleId="6CharChar">
    <w:name w:val="标题 6 Char Char"/>
    <w:rsid w:val="00CA16C7"/>
    <w:rPr>
      <w:kern w:val="2"/>
      <w:sz w:val="28"/>
      <w:szCs w:val="24"/>
    </w:rPr>
  </w:style>
  <w:style w:type="character" w:customStyle="1" w:styleId="Char13">
    <w:name w:val="正文文本 Char1"/>
    <w:rsid w:val="00CA16C7"/>
    <w:rPr>
      <w:rFonts w:ascii="宋体" w:eastAsia="宋体" w:hAnsi="宋体"/>
      <w:kern w:val="2"/>
      <w:sz w:val="24"/>
      <w:lang w:val="en-US" w:eastAsia="zh-CN" w:bidi="ar-SA"/>
    </w:rPr>
  </w:style>
  <w:style w:type="character" w:customStyle="1" w:styleId="1CharChar1">
    <w:name w:val="标题 1 Char Char"/>
    <w:rsid w:val="00CA16C7"/>
    <w:rPr>
      <w:b/>
      <w:bCs/>
      <w:kern w:val="44"/>
      <w:sz w:val="44"/>
      <w:szCs w:val="44"/>
    </w:rPr>
  </w:style>
  <w:style w:type="character" w:customStyle="1" w:styleId="aff7">
    <w:name w:val="隆庆正文 字符"/>
    <w:link w:val="aff6"/>
    <w:rsid w:val="00CA16C7"/>
    <w:rPr>
      <w:kern w:val="2"/>
      <w:sz w:val="24"/>
      <w:szCs w:val="24"/>
    </w:rPr>
  </w:style>
  <w:style w:type="character" w:customStyle="1" w:styleId="hangju">
    <w:name w:val="hangju"/>
    <w:rsid w:val="00CA16C7"/>
    <w:rPr>
      <w:rFonts w:eastAsia="宋体"/>
      <w:kern w:val="2"/>
      <w:sz w:val="28"/>
      <w:lang w:val="en-US" w:eastAsia="zh-CN" w:bidi="ar-SA"/>
    </w:rPr>
  </w:style>
  <w:style w:type="character" w:customStyle="1" w:styleId="htmlelm1">
    <w:name w:val="html_elm1"/>
    <w:rsid w:val="00CA16C7"/>
    <w:rPr>
      <w:rFonts w:ascii="宋体" w:hAnsi="宋体" w:cs="宋体"/>
      <w:color w:val="800000"/>
      <w:sz w:val="24"/>
    </w:rPr>
  </w:style>
  <w:style w:type="character" w:customStyle="1" w:styleId="Charf2">
    <w:name w:val="引用 Char"/>
    <w:link w:val="aff8"/>
    <w:uiPriority w:val="99"/>
    <w:rsid w:val="00CA16C7"/>
    <w:rPr>
      <w:i/>
      <w:iCs/>
      <w:color w:val="404040"/>
      <w:kern w:val="2"/>
      <w:sz w:val="21"/>
      <w:szCs w:val="21"/>
    </w:rPr>
  </w:style>
  <w:style w:type="character" w:customStyle="1" w:styleId="04Char">
    <w:name w:val="04 Char"/>
    <w:link w:val="04"/>
    <w:rsid w:val="00CA16C7"/>
    <w:rPr>
      <w:color w:val="FF0000"/>
      <w:kern w:val="2"/>
      <w:sz w:val="28"/>
      <w:szCs w:val="24"/>
    </w:rPr>
  </w:style>
  <w:style w:type="character" w:customStyle="1" w:styleId="1char9">
    <w:name w:val="1char"/>
    <w:rsid w:val="00CA16C7"/>
  </w:style>
  <w:style w:type="character" w:customStyle="1" w:styleId="CharChar7">
    <w:name w:val="启明正文 Char Char"/>
    <w:locked/>
    <w:rsid w:val="00CA16C7"/>
    <w:rPr>
      <w:rFonts w:ascii="宋体" w:eastAsia="宋体" w:hAnsi="宋体" w:cs="宋体"/>
      <w:kern w:val="2"/>
      <w:sz w:val="24"/>
      <w:lang w:val="en-US" w:eastAsia="zh-CN" w:bidi="ar-SA"/>
    </w:rPr>
  </w:style>
  <w:style w:type="character" w:customStyle="1" w:styleId="CharChar8">
    <w:name w:val="批注框文本 Char Char"/>
    <w:rsid w:val="00CA16C7"/>
    <w:rPr>
      <w:kern w:val="2"/>
      <w:sz w:val="18"/>
      <w:szCs w:val="18"/>
    </w:rPr>
  </w:style>
  <w:style w:type="character" w:customStyle="1" w:styleId="2Char2">
    <w:name w:val="样式 首行缩进:  2 字符 Char"/>
    <w:link w:val="28"/>
    <w:rsid w:val="00CA16C7"/>
    <w:rPr>
      <w:rFonts w:cs="宋体"/>
      <w:kern w:val="2"/>
      <w:sz w:val="28"/>
    </w:rPr>
  </w:style>
  <w:style w:type="character" w:customStyle="1" w:styleId="a2CharChar">
    <w:name w:val="a2 Char Char"/>
    <w:link w:val="a20"/>
    <w:rsid w:val="00CA16C7"/>
    <w:rPr>
      <w:rFonts w:ascii="宋体"/>
      <w:kern w:val="2"/>
      <w:sz w:val="21"/>
      <w:szCs w:val="24"/>
    </w:rPr>
  </w:style>
  <w:style w:type="character" w:customStyle="1" w:styleId="FontStyle36">
    <w:name w:val="Font Style36"/>
    <w:rsid w:val="00CA16C7"/>
    <w:rPr>
      <w:rFonts w:ascii="Sylfaen" w:hAnsi="Sylfaen" w:cs="Sylfaen"/>
      <w:b/>
      <w:bCs/>
      <w:sz w:val="20"/>
      <w:szCs w:val="20"/>
    </w:rPr>
  </w:style>
  <w:style w:type="character" w:customStyle="1" w:styleId="66">
    <w:name w:val="标题6"/>
    <w:rsid w:val="00CA16C7"/>
  </w:style>
  <w:style w:type="character" w:customStyle="1" w:styleId="FontStyle13">
    <w:name w:val="Font Style13"/>
    <w:rsid w:val="00CA16C7"/>
    <w:rPr>
      <w:rFonts w:ascii="黑体" w:eastAsia="黑体" w:cs="黑体"/>
      <w:b/>
      <w:bCs/>
      <w:sz w:val="22"/>
      <w:szCs w:val="22"/>
    </w:rPr>
  </w:style>
  <w:style w:type="character" w:customStyle="1" w:styleId="Charffff1">
    <w:name w:val="内容 Char"/>
    <w:locked/>
    <w:rsid w:val="00CA16C7"/>
    <w:rPr>
      <w:kern w:val="2"/>
      <w:sz w:val="28"/>
      <w:szCs w:val="24"/>
    </w:rPr>
  </w:style>
  <w:style w:type="character" w:customStyle="1" w:styleId="me2CharChar">
    <w:name w:val="me标题2 Char Char"/>
    <w:link w:val="me2"/>
    <w:rsid w:val="00CA16C7"/>
    <w:rPr>
      <w:rFonts w:eastAsia="黑体" w:cs="宋体"/>
      <w:b/>
      <w:bCs/>
      <w:kern w:val="2"/>
      <w:sz w:val="30"/>
      <w:shd w:val="clear" w:color="auto" w:fill="FFFFFF"/>
    </w:rPr>
  </w:style>
  <w:style w:type="character" w:customStyle="1" w:styleId="10CharChar">
    <w:name w:val="10 Char Char"/>
    <w:rsid w:val="00CA16C7"/>
    <w:rPr>
      <w:rFonts w:eastAsia="宋体"/>
      <w:kern w:val="2"/>
      <w:sz w:val="21"/>
      <w:szCs w:val="24"/>
      <w:lang w:val="en-US" w:eastAsia="zh-CN" w:bidi="ar-SA"/>
    </w:rPr>
  </w:style>
  <w:style w:type="character" w:customStyle="1" w:styleId="Charf3">
    <w:name w:val="报告表正文 Char"/>
    <w:link w:val="aff9"/>
    <w:rsid w:val="00CA16C7"/>
    <w:rPr>
      <w:sz w:val="24"/>
    </w:rPr>
  </w:style>
  <w:style w:type="character" w:customStyle="1" w:styleId="Charf4">
    <w:name w:val="表格内文字 Char"/>
    <w:link w:val="affa"/>
    <w:rsid w:val="00CA16C7"/>
    <w:rPr>
      <w:rFonts w:ascii="宋体" w:eastAsia="仿宋_GB2312" w:hAnsi="宋体" w:cs="宋体"/>
      <w:kern w:val="2"/>
      <w:sz w:val="24"/>
      <w:szCs w:val="28"/>
    </w:rPr>
  </w:style>
  <w:style w:type="character" w:customStyle="1" w:styleId="73">
    <w:name w:val="标题7"/>
    <w:qFormat/>
    <w:rsid w:val="00CA16C7"/>
  </w:style>
  <w:style w:type="character" w:customStyle="1" w:styleId="font51">
    <w:name w:val="font51"/>
    <w:rsid w:val="00CA16C7"/>
    <w:rPr>
      <w:rFonts w:ascii="宋体" w:eastAsia="宋体" w:hAnsi="宋体" w:hint="eastAsia"/>
      <w:color w:val="0000FF"/>
      <w:sz w:val="24"/>
    </w:rPr>
  </w:style>
  <w:style w:type="character" w:customStyle="1" w:styleId="style51">
    <w:name w:val="style51"/>
    <w:rsid w:val="00CA16C7"/>
    <w:rPr>
      <w:rFonts w:ascii="宋体" w:eastAsia="宋体" w:hAnsi="宋体" w:hint="eastAsia"/>
      <w:sz w:val="24"/>
      <w:szCs w:val="24"/>
    </w:rPr>
  </w:style>
  <w:style w:type="character" w:customStyle="1" w:styleId="FontStyle16">
    <w:name w:val="Font Style16"/>
    <w:rsid w:val="00CA16C7"/>
    <w:rPr>
      <w:rFonts w:ascii="Times New Roman" w:hAnsi="Times New Roman" w:cs="Times New Roman"/>
      <w:b/>
      <w:bCs/>
      <w:sz w:val="20"/>
      <w:szCs w:val="20"/>
    </w:rPr>
  </w:style>
  <w:style w:type="character" w:customStyle="1" w:styleId="22215CharChar">
    <w:name w:val="样式 样式 样式 首行缩进:  2 字符 + 首行缩进:  2 字符 + 首行缩进:  2 字符 行距: 1.5 倍行距 Char Char"/>
    <w:link w:val="22215"/>
    <w:rsid w:val="00CA16C7"/>
    <w:rPr>
      <w:rFonts w:cs="宋体"/>
      <w:kern w:val="2"/>
      <w:sz w:val="21"/>
    </w:rPr>
  </w:style>
  <w:style w:type="character" w:customStyle="1" w:styleId="111Char">
    <w:name w:val="1.1.1 Char"/>
    <w:link w:val="111"/>
    <w:uiPriority w:val="99"/>
    <w:locked/>
    <w:rsid w:val="00CA16C7"/>
    <w:rPr>
      <w:rFonts w:ascii="Calibri" w:eastAsia="黑体" w:hAnsi="Calibri" w:cs="Calibri"/>
      <w:b/>
      <w:kern w:val="2"/>
      <w:sz w:val="24"/>
      <w:szCs w:val="24"/>
    </w:rPr>
  </w:style>
  <w:style w:type="character" w:customStyle="1" w:styleId="CharChar20">
    <w:name w:val="Char Char2"/>
    <w:aliases w:val="普通文字 Char1,Char Char Char2"/>
    <w:rsid w:val="00CA16C7"/>
    <w:rPr>
      <w:rFonts w:ascii="Arial" w:eastAsia="黑体" w:hAnsi="Arial"/>
      <w:b/>
      <w:bCs/>
      <w:kern w:val="2"/>
      <w:sz w:val="32"/>
      <w:szCs w:val="32"/>
      <w:lang w:val="en-US" w:eastAsia="zh-CN" w:bidi="ar-SA"/>
    </w:rPr>
  </w:style>
  <w:style w:type="character" w:customStyle="1" w:styleId="pt10-21">
    <w:name w:val="pt10-21"/>
    <w:rsid w:val="00CA16C7"/>
    <w:rPr>
      <w:rFonts w:ascii="ˎ̥" w:hAnsi="ˎ̥" w:hint="default"/>
      <w:sz w:val="20"/>
      <w:szCs w:val="20"/>
    </w:rPr>
  </w:style>
  <w:style w:type="character" w:customStyle="1" w:styleId="Charf5">
    <w:name w:val="表体 Char"/>
    <w:link w:val="affb"/>
    <w:rsid w:val="00CA16C7"/>
    <w:rPr>
      <w:kern w:val="2"/>
      <w:sz w:val="21"/>
    </w:rPr>
  </w:style>
  <w:style w:type="character" w:customStyle="1" w:styleId="Charf6">
    <w:name w:val="表格正文 Char"/>
    <w:link w:val="affc"/>
    <w:rsid w:val="00CA16C7"/>
    <w:rPr>
      <w:kern w:val="2"/>
      <w:sz w:val="21"/>
    </w:rPr>
  </w:style>
  <w:style w:type="character" w:customStyle="1" w:styleId="CharChar13">
    <w:name w:val="Char Char13"/>
    <w:rsid w:val="00CA16C7"/>
    <w:rPr>
      <w:rFonts w:ascii="Arial" w:eastAsia="黑体" w:hAnsi="Arial"/>
      <w:b/>
      <w:bCs/>
      <w:kern w:val="2"/>
      <w:sz w:val="28"/>
      <w:szCs w:val="28"/>
      <w:lang w:val="en-US" w:eastAsia="zh-CN" w:bidi="ar-SA"/>
    </w:rPr>
  </w:style>
  <w:style w:type="character" w:customStyle="1" w:styleId="bgChar1">
    <w:name w:val="bg正文首行缩进 Char1"/>
    <w:link w:val="bg"/>
    <w:rsid w:val="00CA16C7"/>
    <w:rPr>
      <w:kern w:val="2"/>
      <w:sz w:val="24"/>
    </w:rPr>
  </w:style>
  <w:style w:type="character" w:customStyle="1" w:styleId="1Char1">
    <w:name w:val="表1 Char"/>
    <w:link w:val="14"/>
    <w:rsid w:val="00CA16C7"/>
    <w:rPr>
      <w:rFonts w:eastAsia="黑体"/>
      <w:spacing w:val="10"/>
      <w:kern w:val="2"/>
      <w:sz w:val="28"/>
    </w:rPr>
  </w:style>
  <w:style w:type="character" w:customStyle="1" w:styleId="style61">
    <w:name w:val="style61"/>
    <w:rsid w:val="00CA16C7"/>
    <w:rPr>
      <w:sz w:val="20"/>
      <w:szCs w:val="20"/>
    </w:rPr>
  </w:style>
  <w:style w:type="character" w:customStyle="1" w:styleId="CharChar">
    <w:name w:val="正式文本 Char Char"/>
    <w:link w:val="affd"/>
    <w:rsid w:val="00CA16C7"/>
    <w:rPr>
      <w:rFonts w:ascii="Arial Narrow" w:eastAsia="汉鼎简书宋" w:hAnsi="Arial Narrow"/>
      <w:kern w:val="2"/>
      <w:sz w:val="24"/>
      <w:szCs w:val="24"/>
    </w:rPr>
  </w:style>
  <w:style w:type="character" w:customStyle="1" w:styleId="2Char10">
    <w:name w:val="正文首行缩进 2 Char1"/>
    <w:uiPriority w:val="99"/>
    <w:rsid w:val="00CA16C7"/>
    <w:rPr>
      <w:color w:val="000000"/>
      <w:spacing w:val="2"/>
      <w:kern w:val="2"/>
      <w:sz w:val="28"/>
      <w:szCs w:val="24"/>
    </w:rPr>
  </w:style>
  <w:style w:type="character" w:customStyle="1" w:styleId="hei141">
    <w:name w:val="hei141"/>
    <w:rsid w:val="00CA16C7"/>
    <w:rPr>
      <w:rFonts w:ascii="宋体" w:hAnsi="宋体" w:cs="宋体"/>
      <w:color w:val="000000"/>
      <w:sz w:val="21"/>
      <w:szCs w:val="21"/>
    </w:rPr>
  </w:style>
  <w:style w:type="character" w:customStyle="1" w:styleId="CharChar21">
    <w:name w:val="Char Char21"/>
    <w:aliases w:val="孙普文字 Char1, Char Char Char2, Char Char Char Char1,Char Char Char Char,Char Char Char1,普通文字1 Char1,普通文字 Char Char2,普通文字 Char Char Char Char1,普通文字 Char Char Char Char Char Char Char Char Char1,普通文字 Char Char Char Char Char Char Char Char2"/>
    <w:rsid w:val="00CA16C7"/>
    <w:rPr>
      <w:rFonts w:ascii="Arial" w:eastAsia="黑体" w:hAnsi="Arial"/>
      <w:b/>
      <w:bCs/>
      <w:kern w:val="2"/>
      <w:sz w:val="32"/>
      <w:szCs w:val="32"/>
      <w:lang w:val="en-US" w:eastAsia="zh-CN" w:bidi="ar-SA"/>
    </w:rPr>
  </w:style>
  <w:style w:type="character" w:customStyle="1" w:styleId="1fff">
    <w:name w:val="页码1"/>
    <w:rsid w:val="00CA16C7"/>
  </w:style>
  <w:style w:type="character" w:customStyle="1" w:styleId="WWLCharChar">
    <w:name w:val="WWL正文 Char Char"/>
    <w:link w:val="WWL"/>
    <w:rsid w:val="00CA16C7"/>
    <w:rPr>
      <w:rFonts w:ascii="宋体" w:hAnsi="宋体" w:cs="宋体"/>
      <w:color w:val="FF0000"/>
      <w:kern w:val="2"/>
      <w:sz w:val="28"/>
      <w:szCs w:val="28"/>
      <w:shd w:val="clear" w:color="auto" w:fill="FFFFFF"/>
      <w:lang w:val="zh-CN"/>
    </w:rPr>
  </w:style>
  <w:style w:type="character" w:customStyle="1" w:styleId="me1CharChar">
    <w:name w:val="me正文1 Char Char"/>
    <w:link w:val="me1"/>
    <w:rsid w:val="00CA16C7"/>
    <w:rPr>
      <w:rFonts w:cs="宋体"/>
      <w:spacing w:val="-8"/>
      <w:kern w:val="2"/>
      <w:sz w:val="28"/>
      <w:szCs w:val="28"/>
      <w:shd w:val="clear" w:color="auto" w:fill="FFFFFF"/>
    </w:rPr>
  </w:style>
  <w:style w:type="character" w:customStyle="1" w:styleId="1Char2">
    <w:name w:val="表格1 Char"/>
    <w:link w:val="15"/>
    <w:rsid w:val="00CA16C7"/>
    <w:rPr>
      <w:rFonts w:ascii="宋体"/>
      <w:sz w:val="21"/>
    </w:rPr>
  </w:style>
  <w:style w:type="character" w:customStyle="1" w:styleId="p11">
    <w:name w:val="p11"/>
    <w:rsid w:val="00CA16C7"/>
    <w:rPr>
      <w:rFonts w:ascii="ˎ̥" w:eastAsia="宋体" w:hAnsi="ˎ̥" w:hint="default"/>
      <w:color w:val="000000"/>
      <w:kern w:val="2"/>
      <w:sz w:val="29"/>
      <w:szCs w:val="29"/>
      <w:u w:val="none"/>
      <w:lang w:val="en-US" w:eastAsia="zh-CN" w:bidi="ar-SA"/>
    </w:rPr>
  </w:style>
  <w:style w:type="character" w:customStyle="1" w:styleId="3Char2">
    <w:name w:val="样式3 Char"/>
    <w:link w:val="36"/>
    <w:rsid w:val="00CA16C7"/>
    <w:rPr>
      <w:spacing w:val="8"/>
      <w:kern w:val="2"/>
      <w:sz w:val="24"/>
      <w:szCs w:val="28"/>
    </w:rPr>
  </w:style>
  <w:style w:type="character" w:customStyle="1" w:styleId="CharChar9">
    <w:name w:val="正文格式 Char Char"/>
    <w:locked/>
    <w:rsid w:val="00CA16C7"/>
    <w:rPr>
      <w:rFonts w:ascii="宋体" w:eastAsia="宋体" w:hAnsi="宋体" w:cs="宋体"/>
      <w:kern w:val="2"/>
      <w:sz w:val="24"/>
      <w:szCs w:val="24"/>
      <w:lang w:val="en-US" w:eastAsia="zh-CN" w:bidi="ar-SA"/>
    </w:rPr>
  </w:style>
  <w:style w:type="character" w:customStyle="1" w:styleId="FontStyle32">
    <w:name w:val="Font Style32"/>
    <w:rsid w:val="00CA16C7"/>
    <w:rPr>
      <w:rFonts w:ascii="Arial" w:hAnsi="Arial" w:cs="Arial"/>
      <w:b/>
      <w:bCs/>
      <w:sz w:val="16"/>
      <w:szCs w:val="16"/>
    </w:rPr>
  </w:style>
  <w:style w:type="character" w:customStyle="1" w:styleId="2Char5">
    <w:name w:val="正文文本缩进 2 Char"/>
    <w:aliases w:val="文本框 Char"/>
    <w:rsid w:val="00CA16C7"/>
    <w:rPr>
      <w:rFonts w:ascii="宋体"/>
      <w:kern w:val="2"/>
      <w:sz w:val="28"/>
    </w:rPr>
  </w:style>
  <w:style w:type="character" w:customStyle="1" w:styleId="CharChar0">
    <w:name w:val="杨柳 Char Char"/>
    <w:link w:val="affe"/>
    <w:rsid w:val="00CA16C7"/>
    <w:rPr>
      <w:rFonts w:cs="宋体"/>
      <w:kern w:val="2"/>
      <w:sz w:val="24"/>
      <w:szCs w:val="24"/>
    </w:rPr>
  </w:style>
  <w:style w:type="character" w:customStyle="1" w:styleId="1CharChar">
    <w:name w:val="内容1 Char Char"/>
    <w:link w:val="16"/>
    <w:rsid w:val="00CA16C7"/>
    <w:rPr>
      <w:rFonts w:ascii="宋体" w:cs="宋体"/>
      <w:color w:val="000000"/>
      <w:kern w:val="2"/>
      <w:sz w:val="28"/>
    </w:rPr>
  </w:style>
  <w:style w:type="character" w:customStyle="1" w:styleId="4CharChar">
    <w:name w:val="标题 4 Char Char"/>
    <w:rsid w:val="00CA16C7"/>
    <w:rPr>
      <w:rFonts w:ascii="宋体" w:eastAsia="宋体" w:hAnsi="宋体"/>
      <w:b/>
      <w:kern w:val="2"/>
      <w:sz w:val="28"/>
      <w:lang w:val="en-US" w:eastAsia="zh-CN"/>
    </w:rPr>
  </w:style>
  <w:style w:type="character" w:customStyle="1" w:styleId="CharChara">
    <w:name w:val="文档结构图 Char Char"/>
    <w:rsid w:val="00CA16C7"/>
    <w:rPr>
      <w:kern w:val="2"/>
      <w:sz w:val="28"/>
      <w:shd w:val="clear" w:color="auto" w:fill="000080"/>
    </w:rPr>
  </w:style>
  <w:style w:type="character" w:customStyle="1" w:styleId="Charf7">
    <w:name w:val="表格字体 Char"/>
    <w:link w:val="afff"/>
    <w:rsid w:val="00CA16C7"/>
    <w:rPr>
      <w:color w:val="000000"/>
      <w:kern w:val="2"/>
      <w:sz w:val="21"/>
      <w:szCs w:val="24"/>
    </w:rPr>
  </w:style>
  <w:style w:type="character" w:customStyle="1" w:styleId="5CharChar">
    <w:name w:val="标题 5 Char Char"/>
    <w:rsid w:val="00CA16C7"/>
    <w:rPr>
      <w:rFonts w:ascii="宋体" w:eastAsia="宋体" w:hAnsi="宋体"/>
      <w:b/>
      <w:bCs/>
      <w:iCs/>
      <w:color w:val="000000"/>
      <w:kern w:val="2"/>
      <w:sz w:val="28"/>
      <w:szCs w:val="28"/>
      <w:lang w:val="en-US" w:eastAsia="zh-CN" w:bidi="ar-SA"/>
    </w:rPr>
  </w:style>
  <w:style w:type="character" w:customStyle="1" w:styleId="3CharCharCharCharCharCharCharCharCharCharCharCharChar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Char Char Char Char Char Char Char Char Char Char Char Char Char"/>
    <w:rsid w:val="00CA16C7"/>
    <w:rPr>
      <w:rFonts w:eastAsia="宋体"/>
      <w:b/>
      <w:bCs/>
      <w:kern w:val="2"/>
      <w:sz w:val="32"/>
      <w:szCs w:val="32"/>
      <w:lang w:val="en-US" w:eastAsia="zh-CN" w:bidi="ar-SA"/>
    </w:rPr>
  </w:style>
  <w:style w:type="character" w:customStyle="1" w:styleId="GB23121015CharChar">
    <w:name w:val="样式 正文文本缩进 + 仿宋_GB2312 四号 左 首行缩进:  1 厘米 段后: 0 磅 行距: 1.5 倍行距 Char Char"/>
    <w:rsid w:val="00CA16C7"/>
    <w:rPr>
      <w:rFonts w:ascii="仿宋_GB2312" w:eastAsia="仿宋_GB2312" w:cs="宋体"/>
      <w:kern w:val="2"/>
      <w:sz w:val="28"/>
    </w:rPr>
  </w:style>
  <w:style w:type="character" w:customStyle="1" w:styleId="Charf8">
    <w:name w:val="图题注 Char"/>
    <w:link w:val="afff0"/>
    <w:rsid w:val="00CA16C7"/>
    <w:rPr>
      <w:rFonts w:ascii="Arial" w:eastAsia="黑体" w:hAnsi="Arial" w:cs="Arial"/>
      <w:kern w:val="2"/>
      <w:sz w:val="24"/>
    </w:rPr>
  </w:style>
  <w:style w:type="character" w:customStyle="1" w:styleId="me1CharCharChar">
    <w:name w:val="me正文1 Char Char Char"/>
    <w:rsid w:val="00CA16C7"/>
    <w:rPr>
      <w:rFonts w:ascii="宋体" w:eastAsia="宋体" w:hAnsi="宋体" w:cs="宋体"/>
      <w:color w:val="FF0000"/>
      <w:kern w:val="2"/>
      <w:sz w:val="28"/>
      <w:szCs w:val="28"/>
      <w:lang w:val="zh-CN" w:eastAsia="zh-CN" w:bidi="ar-SA"/>
    </w:rPr>
  </w:style>
  <w:style w:type="character" w:customStyle="1" w:styleId="CharChar10">
    <w:name w:val="Char Char10"/>
    <w:rsid w:val="00CA16C7"/>
    <w:rPr>
      <w:rFonts w:eastAsia="宋体"/>
      <w:b/>
      <w:kern w:val="21"/>
      <w:sz w:val="24"/>
      <w:lang w:val="en-US" w:eastAsia="zh-CN" w:bidi="ar-SA"/>
    </w:rPr>
  </w:style>
  <w:style w:type="character" w:customStyle="1" w:styleId="Charf9">
    <w:name w:val="[三级节名] Char"/>
    <w:aliases w:val="h4 Char,H4 Char,条 2 Char,[三级节名]1 Char,[三级节名]2 Char Char,段 Char,h4 sub sub heading Char"/>
    <w:link w:val="afff1"/>
    <w:rsid w:val="00CA16C7"/>
    <w:rPr>
      <w:rFonts w:ascii="Arial" w:eastAsia="黑体" w:hAnsi="Arial"/>
      <w:b/>
      <w:bCs/>
      <w:kern w:val="2"/>
      <w:sz w:val="28"/>
      <w:szCs w:val="28"/>
      <w:lang w:val="en-US" w:eastAsia="zh-CN" w:bidi="ar-SA"/>
    </w:rPr>
  </w:style>
  <w:style w:type="character" w:customStyle="1" w:styleId="Char21">
    <w:name w:val="尾注文本 Char2"/>
    <w:rsid w:val="00CA16C7"/>
    <w:rPr>
      <w:kern w:val="2"/>
      <w:sz w:val="28"/>
      <w:szCs w:val="24"/>
    </w:rPr>
  </w:style>
  <w:style w:type="character" w:customStyle="1" w:styleId="xl24CharChar">
    <w:name w:val="xl24 Char Char"/>
    <w:rsid w:val="00CA16C7"/>
    <w:rPr>
      <w:rFonts w:eastAsia="宋体"/>
      <w:sz w:val="15"/>
      <w:szCs w:val="15"/>
      <w:lang w:val="en-US" w:eastAsia="zh-CN" w:bidi="ar-SA"/>
    </w:rPr>
  </w:style>
  <w:style w:type="character" w:customStyle="1" w:styleId="FontStyle26">
    <w:name w:val="Font Style26"/>
    <w:rsid w:val="00CA16C7"/>
    <w:rPr>
      <w:rFonts w:ascii="宋体" w:eastAsia="宋体" w:cs="宋体"/>
      <w:b/>
      <w:bCs/>
      <w:spacing w:val="-10"/>
      <w:sz w:val="14"/>
      <w:szCs w:val="14"/>
    </w:rPr>
  </w:style>
  <w:style w:type="character" w:customStyle="1" w:styleId="Charfa">
    <w:name w:val="说明书正文 Char"/>
    <w:link w:val="afff2"/>
    <w:qFormat/>
    <w:rsid w:val="00CA16C7"/>
    <w:rPr>
      <w:rFonts w:eastAsia="仿宋_GB2312"/>
      <w:color w:val="000000"/>
      <w:kern w:val="2"/>
      <w:sz w:val="30"/>
      <w:szCs w:val="24"/>
    </w:rPr>
  </w:style>
  <w:style w:type="character" w:customStyle="1" w:styleId="meCharChar">
    <w:name w:val="me表格编号 Char Char"/>
    <w:link w:val="me"/>
    <w:rsid w:val="00CA16C7"/>
    <w:rPr>
      <w:rFonts w:ascii="宋体" w:hAnsi="宋体"/>
      <w:color w:val="0000FF"/>
      <w:kern w:val="2"/>
      <w:sz w:val="24"/>
      <w:szCs w:val="24"/>
    </w:rPr>
  </w:style>
  <w:style w:type="character" w:customStyle="1" w:styleId="Charffff2">
    <w:name w:val="节标题 Char"/>
    <w:aliases w:val="节 Char,节标题 1.1 Char1,1.1标题2 Char1,b2 Char,H2 Char,h2 Char,Underrubrik1 Char,prop2 Char,UNDERRUBRIK 1-2 Char,2nd level Char,Header 2 Char,l2 Char,PIM2 Char,Heading 2 Hidden Char,Titre2 Char,Head 2 Char,第一章 标题 2 Char,Heading 2 CCBS Char,H21 Char"/>
    <w:rsid w:val="00CA16C7"/>
    <w:rPr>
      <w:rFonts w:ascii="Arial" w:eastAsia="黑体" w:hAnsi="Arial"/>
      <w:b/>
      <w:bCs/>
      <w:kern w:val="2"/>
      <w:sz w:val="28"/>
      <w:szCs w:val="32"/>
      <w:lang w:val="en-US" w:eastAsia="zh-CN" w:bidi="ar-SA"/>
    </w:rPr>
  </w:style>
  <w:style w:type="character" w:customStyle="1" w:styleId="font41">
    <w:name w:val="font41"/>
    <w:rsid w:val="00CA16C7"/>
    <w:rPr>
      <w:rFonts w:ascii="Times New Roman" w:hAnsi="Times New Roman" w:cs="Times New Roman" w:hint="default"/>
      <w:color w:val="000000"/>
      <w:sz w:val="20"/>
      <w:szCs w:val="20"/>
      <w:u w:val="none"/>
    </w:rPr>
  </w:style>
  <w:style w:type="character" w:customStyle="1" w:styleId="CharCharb">
    <w:name w:val="表文字 Char Char"/>
    <w:rsid w:val="00CA16C7"/>
    <w:rPr>
      <w:rFonts w:ascii="宋体" w:hAnsi="宋体"/>
      <w:kern w:val="2"/>
      <w:sz w:val="21"/>
    </w:rPr>
  </w:style>
  <w:style w:type="character" w:customStyle="1" w:styleId="Charfb">
    <w:name w:val="样式 正文缩进 + (中文) 黑体 小四 Char"/>
    <w:link w:val="afff3"/>
    <w:rsid w:val="00CA16C7"/>
    <w:rPr>
      <w:rFonts w:eastAsia="黑体"/>
      <w:b/>
      <w:bCs/>
      <w:kern w:val="28"/>
      <w:sz w:val="24"/>
      <w:szCs w:val="24"/>
    </w:rPr>
  </w:style>
  <w:style w:type="character" w:customStyle="1" w:styleId="FontStyle33">
    <w:name w:val="Font Style33"/>
    <w:rsid w:val="00CA16C7"/>
    <w:rPr>
      <w:rFonts w:ascii="Times New Roman" w:hAnsi="Times New Roman" w:cs="Times New Roman"/>
      <w:b/>
      <w:bCs/>
      <w:sz w:val="26"/>
      <w:szCs w:val="26"/>
    </w:rPr>
  </w:style>
  <w:style w:type="character" w:customStyle="1" w:styleId="0Char">
    <w:name w:val="0表格标题 Char"/>
    <w:link w:val="0"/>
    <w:rsid w:val="00CA16C7"/>
    <w:rPr>
      <w:rFonts w:eastAsia="黑体"/>
      <w:b/>
      <w:spacing w:val="2"/>
      <w:kern w:val="2"/>
      <w:sz w:val="24"/>
      <w:szCs w:val="24"/>
    </w:rPr>
  </w:style>
  <w:style w:type="character" w:customStyle="1" w:styleId="afff5">
    <w:name w:val="隆庆四级标题 字符"/>
    <w:link w:val="afff4"/>
    <w:rsid w:val="00CA16C7"/>
    <w:rPr>
      <w:b/>
      <w:kern w:val="2"/>
      <w:sz w:val="24"/>
      <w:szCs w:val="24"/>
    </w:rPr>
  </w:style>
  <w:style w:type="character" w:customStyle="1" w:styleId="0Char0">
    <w:name w:val="0表格内容 Char"/>
    <w:link w:val="00"/>
    <w:rsid w:val="00CA16C7"/>
    <w:rPr>
      <w:rFonts w:ascii="Calibri" w:hAnsi="Calibri"/>
      <w:kern w:val="2"/>
      <w:sz w:val="21"/>
      <w:szCs w:val="22"/>
    </w:rPr>
  </w:style>
  <w:style w:type="character" w:customStyle="1" w:styleId="1Char3">
    <w:name w:val="表头1 Char"/>
    <w:link w:val="17"/>
    <w:rsid w:val="00CA16C7"/>
    <w:rPr>
      <w:b/>
      <w:color w:val="000000"/>
      <w:kern w:val="2"/>
      <w:sz w:val="28"/>
      <w:szCs w:val="24"/>
    </w:rPr>
  </w:style>
  <w:style w:type="character" w:customStyle="1" w:styleId="CharCharc">
    <w:name w:val="表格内文字 Char Char"/>
    <w:locked/>
    <w:rsid w:val="00CA16C7"/>
    <w:rPr>
      <w:rFonts w:ascii="仿宋_GB2312" w:eastAsia="仿宋_GB2312" w:hAnsi="宋体" w:cs="宋体"/>
      <w:kern w:val="2"/>
      <w:sz w:val="24"/>
      <w:szCs w:val="28"/>
      <w:lang w:val="en-US" w:eastAsia="zh-CN" w:bidi="ar-SA"/>
    </w:rPr>
  </w:style>
  <w:style w:type="character" w:customStyle="1" w:styleId="Charfc">
    <w:name w:val="表格内容居中 Char"/>
    <w:link w:val="afff6"/>
    <w:rsid w:val="00CA16C7"/>
    <w:rPr>
      <w:rFonts w:ascii="宋体" w:hAnsi="宋体"/>
      <w:szCs w:val="21"/>
    </w:rPr>
  </w:style>
  <w:style w:type="character" w:customStyle="1" w:styleId="CharChard">
    <w:name w:val="正文(首行缩进) Char Char"/>
    <w:locked/>
    <w:rsid w:val="00CA16C7"/>
    <w:rPr>
      <w:rFonts w:ascii="宋体" w:eastAsia="宋体" w:hAnsi="宋体" w:cs="宋体"/>
      <w:snapToGrid/>
      <w:sz w:val="24"/>
      <w:szCs w:val="24"/>
      <w:lang w:val="en-US" w:eastAsia="zh-CN" w:bidi="ar-SA"/>
    </w:rPr>
  </w:style>
  <w:style w:type="character" w:customStyle="1" w:styleId="Charffff3">
    <w:name w:val="表头 Char"/>
    <w:rsid w:val="00CA16C7"/>
    <w:rPr>
      <w:kern w:val="2"/>
      <w:sz w:val="24"/>
      <w:szCs w:val="28"/>
    </w:rPr>
  </w:style>
  <w:style w:type="character" w:customStyle="1" w:styleId="11Char">
    <w:name w:val="样式11 Char"/>
    <w:link w:val="110"/>
    <w:rsid w:val="00CA16C7"/>
    <w:rPr>
      <w:kern w:val="2"/>
      <w:sz w:val="21"/>
      <w:szCs w:val="21"/>
    </w:rPr>
  </w:style>
  <w:style w:type="character" w:customStyle="1" w:styleId="Charffff4">
    <w:name w:val="杨柳 Char"/>
    <w:rsid w:val="00CA16C7"/>
    <w:rPr>
      <w:rFonts w:eastAsia="宋体" w:cs="宋体"/>
      <w:kern w:val="2"/>
      <w:sz w:val="28"/>
      <w:lang w:val="en-US" w:eastAsia="zh-CN" w:bidi="ar-SA"/>
    </w:rPr>
  </w:style>
  <w:style w:type="character" w:customStyle="1" w:styleId="Charfd">
    <w:name w:val="表格标题 Char"/>
    <w:link w:val="afff7"/>
    <w:locked/>
    <w:rsid w:val="00CA16C7"/>
    <w:rPr>
      <w:b/>
      <w:kern w:val="2"/>
      <w:sz w:val="24"/>
      <w:szCs w:val="21"/>
    </w:rPr>
  </w:style>
  <w:style w:type="character" w:customStyle="1" w:styleId="Charfe">
    <w:name w:val="表格内容 Char"/>
    <w:aliases w:val="纯文本 Char1,纯文本 Char Char,普通文字1 Char,普通文字 Char Char Char Char Char Char Char Char Char,纯文本1 Char1,孙普文字 Char2,纯文本 Char Char Char Char Char Char2,纯文本 Char Char Char Char Char3,普通文字 Char Char Char1"/>
    <w:link w:val="afff8"/>
    <w:rsid w:val="00CA16C7"/>
    <w:rPr>
      <w:kern w:val="2"/>
      <w:sz w:val="21"/>
      <w:szCs w:val="21"/>
    </w:rPr>
  </w:style>
  <w:style w:type="character" w:customStyle="1" w:styleId="2CharChar">
    <w:name w:val="首行缩进2 Char Char"/>
    <w:link w:val="29"/>
    <w:rsid w:val="00CA16C7"/>
    <w:rPr>
      <w:kern w:val="2"/>
      <w:sz w:val="24"/>
      <w:szCs w:val="24"/>
    </w:rPr>
  </w:style>
  <w:style w:type="character" w:customStyle="1" w:styleId="Charff">
    <w:name w:val="圣达正文 Char"/>
    <w:link w:val="afff9"/>
    <w:locked/>
    <w:rsid w:val="00CA16C7"/>
    <w:rPr>
      <w:rFonts w:ascii="宋体" w:hAnsi="宋体"/>
      <w:kern w:val="2"/>
      <w:sz w:val="24"/>
      <w:szCs w:val="24"/>
    </w:rPr>
  </w:style>
  <w:style w:type="character" w:customStyle="1" w:styleId="keyword1">
    <w:name w:val="keyword1"/>
    <w:rsid w:val="00CA16C7"/>
    <w:rPr>
      <w:rFonts w:ascii="宋体" w:hAnsi="宋体" w:cs="宋体"/>
      <w:color w:val="FF0000"/>
      <w:sz w:val="24"/>
    </w:rPr>
  </w:style>
  <w:style w:type="character" w:customStyle="1" w:styleId="Char22">
    <w:name w:val="标题 Char2"/>
    <w:uiPriority w:val="10"/>
    <w:rsid w:val="00CA16C7"/>
    <w:rPr>
      <w:rFonts w:ascii="Cambria" w:hAnsi="Cambria" w:cs="Times New Roman"/>
      <w:b/>
      <w:bCs/>
      <w:kern w:val="2"/>
      <w:sz w:val="32"/>
      <w:szCs w:val="32"/>
    </w:rPr>
  </w:style>
  <w:style w:type="character" w:customStyle="1" w:styleId="3CharChar1">
    <w:name w:val="正文文本 3 Char Char"/>
    <w:rsid w:val="00CA16C7"/>
    <w:rPr>
      <w:kern w:val="2"/>
      <w:sz w:val="24"/>
    </w:rPr>
  </w:style>
  <w:style w:type="character" w:customStyle="1" w:styleId="1fff0">
    <w:name w:val="样式 四号1"/>
    <w:rsid w:val="00CA16C7"/>
    <w:rPr>
      <w:rFonts w:eastAsia="仿宋_GB2312"/>
      <w:sz w:val="28"/>
    </w:rPr>
  </w:style>
  <w:style w:type="character" w:customStyle="1" w:styleId="24CharCharChar">
    <w:name w:val="样式 宋体 小四 行距: 固定值 24 磅 Char Char Char"/>
    <w:rsid w:val="00CA16C7"/>
    <w:rPr>
      <w:rFonts w:ascii="宋体" w:eastAsia="宋体" w:hAnsi="宋体" w:cs="宋体"/>
      <w:bCs/>
      <w:spacing w:val="4"/>
      <w:sz w:val="24"/>
      <w:szCs w:val="24"/>
      <w:lang w:val="en-US" w:eastAsia="zh-CN" w:bidi="ar-SA"/>
    </w:rPr>
  </w:style>
  <w:style w:type="character" w:customStyle="1" w:styleId="font13h">
    <w:name w:val="font13h"/>
    <w:rsid w:val="00CA16C7"/>
  </w:style>
  <w:style w:type="character" w:customStyle="1" w:styleId="CharChar90">
    <w:name w:val="Char Char9"/>
    <w:rsid w:val="00CA16C7"/>
    <w:rPr>
      <w:rFonts w:eastAsia="宋体"/>
      <w:b/>
      <w:bCs/>
      <w:kern w:val="2"/>
      <w:sz w:val="32"/>
      <w:szCs w:val="32"/>
      <w:lang w:val="en-US" w:eastAsia="zh-CN" w:bidi="ar-SA"/>
    </w:rPr>
  </w:style>
  <w:style w:type="character" w:customStyle="1" w:styleId="FontStyle28">
    <w:name w:val="Font Style28"/>
    <w:rsid w:val="00CA16C7"/>
    <w:rPr>
      <w:rFonts w:ascii="MingLiU" w:eastAsia="MingLiU" w:cs="MingLiU"/>
      <w:b/>
      <w:bCs/>
      <w:i/>
      <w:iCs/>
      <w:sz w:val="22"/>
      <w:szCs w:val="22"/>
    </w:rPr>
  </w:style>
  <w:style w:type="character" w:customStyle="1" w:styleId="FontStyle35">
    <w:name w:val="Font Style35"/>
    <w:rsid w:val="00CA16C7"/>
    <w:rPr>
      <w:rFonts w:ascii="Sylfaen" w:hAnsi="Sylfaen" w:cs="Sylfaen"/>
      <w:b/>
      <w:bCs/>
      <w:sz w:val="12"/>
      <w:szCs w:val="12"/>
    </w:rPr>
  </w:style>
  <w:style w:type="character" w:customStyle="1" w:styleId="Charff0">
    <w:name w:val="铝土矿正文 Char"/>
    <w:link w:val="afffa"/>
    <w:locked/>
    <w:rsid w:val="00CA16C7"/>
    <w:rPr>
      <w:kern w:val="2"/>
      <w:sz w:val="24"/>
      <w:szCs w:val="24"/>
    </w:rPr>
  </w:style>
  <w:style w:type="character" w:customStyle="1" w:styleId="A4CharChar">
    <w:name w:val="A4（正） Char Char"/>
    <w:link w:val="A40"/>
    <w:rsid w:val="00CA16C7"/>
    <w:rPr>
      <w:kern w:val="2"/>
      <w:sz w:val="28"/>
    </w:rPr>
  </w:style>
  <w:style w:type="character" w:customStyle="1" w:styleId="4CharCharCharChar">
    <w:name w:val="标题 4 Char Char Char Char"/>
    <w:rsid w:val="00CA16C7"/>
    <w:rPr>
      <w:rFonts w:eastAsia="宋体"/>
      <w:spacing w:val="-2"/>
      <w:sz w:val="28"/>
      <w:szCs w:val="28"/>
      <w:lang w:val="en-US" w:eastAsia="zh-CN" w:bidi="ar-SA"/>
    </w:rPr>
  </w:style>
  <w:style w:type="character" w:customStyle="1" w:styleId="affffffffffffc">
    <w:name w:val="样式 小四 红色"/>
    <w:rsid w:val="00CA16C7"/>
    <w:rPr>
      <w:color w:val="FF0000"/>
      <w:kern w:val="0"/>
      <w:sz w:val="24"/>
    </w:rPr>
  </w:style>
  <w:style w:type="character" w:customStyle="1" w:styleId="2Char3">
    <w:name w:val="2级标题 Char"/>
    <w:link w:val="2a"/>
    <w:rsid w:val="00CA16C7"/>
    <w:rPr>
      <w:rFonts w:eastAsia="黑体"/>
      <w:b/>
      <w:sz w:val="32"/>
      <w:szCs w:val="24"/>
    </w:rPr>
  </w:style>
  <w:style w:type="character" w:customStyle="1" w:styleId="1Char4">
    <w:name w:val="1正文段落 Char"/>
    <w:link w:val="18"/>
    <w:rsid w:val="00CA16C7"/>
    <w:rPr>
      <w:snapToGrid/>
      <w:sz w:val="28"/>
    </w:rPr>
  </w:style>
  <w:style w:type="character" w:customStyle="1" w:styleId="apple-converted-space">
    <w:name w:val="apple-converted-space"/>
    <w:rsid w:val="00CA16C7"/>
  </w:style>
  <w:style w:type="character" w:customStyle="1" w:styleId="CharChar50">
    <w:name w:val="Char Char5"/>
    <w:rsid w:val="00CA16C7"/>
    <w:rPr>
      <w:rFonts w:eastAsia="楷体_GB2312"/>
      <w:b/>
      <w:bCs/>
      <w:kern w:val="2"/>
      <w:sz w:val="28"/>
      <w:szCs w:val="32"/>
      <w:lang w:val="en-US" w:eastAsia="zh-CN" w:bidi="ar-SA"/>
    </w:rPr>
  </w:style>
  <w:style w:type="character" w:customStyle="1" w:styleId="Charff1">
    <w:name w:val="表文字 Char"/>
    <w:link w:val="afffb"/>
    <w:rsid w:val="00CA16C7"/>
    <w:rPr>
      <w:rFonts w:ascii="宋体" w:eastAsia="Times New Roman" w:hAnsi="宋体"/>
      <w:kern w:val="2"/>
      <w:sz w:val="21"/>
      <w:lang w:val="en-US" w:eastAsia="zh-CN" w:bidi="ar-SA"/>
    </w:rPr>
  </w:style>
  <w:style w:type="character" w:customStyle="1" w:styleId="hangju1">
    <w:name w:val="hangju1"/>
    <w:rsid w:val="00CA16C7"/>
  </w:style>
  <w:style w:type="character" w:customStyle="1" w:styleId="style31">
    <w:name w:val="style31"/>
    <w:rsid w:val="00CA16C7"/>
    <w:rPr>
      <w:sz w:val="26"/>
      <w:szCs w:val="26"/>
    </w:rPr>
  </w:style>
  <w:style w:type="character" w:customStyle="1" w:styleId="3Char10">
    <w:name w:val="标题 3 Char1"/>
    <w:aliases w:val="标题 3 Char Char"/>
    <w:rsid w:val="00CA16C7"/>
    <w:rPr>
      <w:rFonts w:eastAsia="宋体"/>
      <w:b/>
      <w:bCs/>
      <w:color w:val="FF00FF"/>
      <w:kern w:val="2"/>
      <w:sz w:val="28"/>
      <w:szCs w:val="32"/>
      <w:lang w:val="en-US" w:eastAsia="zh-CN" w:bidi="ar-SA"/>
    </w:rPr>
  </w:style>
  <w:style w:type="character" w:customStyle="1" w:styleId="styler1">
    <w:name w:val="styler1"/>
    <w:rsid w:val="00CA16C7"/>
    <w:rPr>
      <w:color w:val="FFFFFF"/>
      <w:sz w:val="2"/>
      <w:szCs w:val="2"/>
    </w:rPr>
  </w:style>
  <w:style w:type="character" w:customStyle="1" w:styleId="Charff2">
    <w:name w:val="正文(首行缩进) Char"/>
    <w:link w:val="afffc"/>
    <w:rsid w:val="00CA16C7"/>
    <w:rPr>
      <w:rFonts w:ascii="宋体" w:hAnsi="宋体" w:cs="宋体"/>
      <w:sz w:val="24"/>
      <w:szCs w:val="24"/>
    </w:rPr>
  </w:style>
  <w:style w:type="character" w:customStyle="1" w:styleId="1CharChar2">
    <w:name w:val="1正文段落 Char Char"/>
    <w:locked/>
    <w:rsid w:val="00CA16C7"/>
    <w:rPr>
      <w:rFonts w:ascii="宋体" w:eastAsia="宋体" w:hAnsi="宋体" w:cs="宋体"/>
      <w:snapToGrid/>
      <w:sz w:val="24"/>
      <w:szCs w:val="24"/>
      <w:lang w:val="en-US" w:eastAsia="zh-CN" w:bidi="ar-SA"/>
    </w:rPr>
  </w:style>
  <w:style w:type="character" w:customStyle="1" w:styleId="Char14">
    <w:name w:val="正文首行缩进 Char1"/>
    <w:rsid w:val="00CA16C7"/>
  </w:style>
  <w:style w:type="character" w:customStyle="1" w:styleId="1CharChar3">
    <w:name w:val="表1 Char Char"/>
    <w:locked/>
    <w:rsid w:val="00CA16C7"/>
    <w:rPr>
      <w:rFonts w:ascii="宋体" w:hAnsi="宋体" w:cs="宋体"/>
      <w:sz w:val="21"/>
      <w:lang w:val="en-US" w:eastAsia="zh-CN" w:bidi="ar-SA"/>
    </w:rPr>
  </w:style>
  <w:style w:type="character" w:customStyle="1" w:styleId="headline-content2">
    <w:name w:val="headline-content2"/>
    <w:basedOn w:val="a3"/>
    <w:rsid w:val="00CA16C7"/>
  </w:style>
  <w:style w:type="character" w:customStyle="1" w:styleId="1230">
    <w:name w:val="样式123 宋体 小四"/>
    <w:rsid w:val="00CA16C7"/>
    <w:rPr>
      <w:rFonts w:ascii="Times New Roman" w:eastAsia="宋体" w:hAnsi="Times New Roman"/>
      <w:sz w:val="24"/>
      <w:szCs w:val="24"/>
    </w:rPr>
  </w:style>
  <w:style w:type="character" w:customStyle="1" w:styleId="4MB4TimesNewRomanChar">
    <w:name w:val="样式 标题 4MB4 + (西文) Times New Roman (中文) 宋体 Char"/>
    <w:link w:val="4MB4TimesNewRoman"/>
    <w:rsid w:val="00CA16C7"/>
    <w:rPr>
      <w:rFonts w:ascii="Arial" w:eastAsia="黑体" w:hAnsi="Arial"/>
      <w:kern w:val="2"/>
      <w:sz w:val="28"/>
      <w:szCs w:val="28"/>
    </w:rPr>
  </w:style>
  <w:style w:type="character" w:customStyle="1" w:styleId="a31">
    <w:name w:val="a31"/>
    <w:rsid w:val="00CA16C7"/>
    <w:rPr>
      <w:color w:val="0000CC"/>
      <w:sz w:val="27"/>
      <w:szCs w:val="27"/>
    </w:rPr>
  </w:style>
  <w:style w:type="character" w:customStyle="1" w:styleId="CharChare">
    <w:name w:val="主焦 Char Char"/>
    <w:rsid w:val="00CA16C7"/>
    <w:rPr>
      <w:rFonts w:cs="宋体"/>
      <w:kern w:val="2"/>
      <w:sz w:val="28"/>
    </w:rPr>
  </w:style>
  <w:style w:type="character" w:customStyle="1" w:styleId="7CharChar">
    <w:name w:val="标题 7 Char Char"/>
    <w:rsid w:val="00CA16C7"/>
    <w:rPr>
      <w:b/>
      <w:bCs/>
      <w:kern w:val="2"/>
      <w:sz w:val="24"/>
      <w:szCs w:val="24"/>
    </w:rPr>
  </w:style>
  <w:style w:type="character" w:customStyle="1" w:styleId="CharCharf">
    <w:name w:val="日期 Char Char"/>
    <w:rsid w:val="00CA16C7"/>
    <w:rPr>
      <w:b/>
      <w:kern w:val="2"/>
      <w:sz w:val="32"/>
    </w:rPr>
  </w:style>
  <w:style w:type="character" w:customStyle="1" w:styleId="hb3Char">
    <w:name w:val="hb3 Char"/>
    <w:link w:val="hb3"/>
    <w:rsid w:val="00CA16C7"/>
    <w:rPr>
      <w:rFonts w:eastAsia="Times New Roman"/>
      <w:b/>
      <w:kern w:val="2"/>
      <w:sz w:val="24"/>
      <w:lang w:val="en-US" w:eastAsia="zh-CN" w:bidi="ar-SA"/>
    </w:rPr>
  </w:style>
  <w:style w:type="character" w:customStyle="1" w:styleId="CharChar1">
    <w:name w:val="内容 Char Char"/>
    <w:link w:val="afffd"/>
    <w:rsid w:val="00CA16C7"/>
    <w:rPr>
      <w:rFonts w:cs="宋体"/>
      <w:kern w:val="2"/>
      <w:sz w:val="28"/>
      <w:szCs w:val="28"/>
    </w:rPr>
  </w:style>
  <w:style w:type="character" w:customStyle="1" w:styleId="1BodyTextchALTZ42Char">
    <w:name w:val="样式 正文缩进表正文正文非缩进段1Body Text(ch)缩进ALT+Z特点四号正文不缩进标题4正文2... Char"/>
    <w:link w:val="1BodyTextchALTZ42"/>
    <w:rsid w:val="00CA16C7"/>
    <w:rPr>
      <w:rFonts w:ascii="Calibri" w:hAnsi="Calibri"/>
      <w:b/>
      <w:bCs/>
      <w:kern w:val="28"/>
      <w:sz w:val="24"/>
      <w:szCs w:val="24"/>
    </w:rPr>
  </w:style>
  <w:style w:type="character" w:customStyle="1" w:styleId="CharChar12">
    <w:name w:val="Char Char12"/>
    <w:locked/>
    <w:rsid w:val="00CA16C7"/>
    <w:rPr>
      <w:rFonts w:ascii="宋体" w:eastAsia="宋体" w:hAnsi="宋体"/>
      <w:kern w:val="2"/>
      <w:sz w:val="24"/>
      <w:szCs w:val="24"/>
      <w:lang w:val="en-US" w:eastAsia="zh-CN" w:bidi="ar-SA"/>
    </w:rPr>
  </w:style>
  <w:style w:type="character" w:customStyle="1" w:styleId="Charffff5">
    <w:name w:val="表格 Char"/>
    <w:locked/>
    <w:rsid w:val="00CA16C7"/>
    <w:rPr>
      <w:kern w:val="2"/>
      <w:sz w:val="21"/>
      <w:szCs w:val="24"/>
      <w:lang w:bidi="ar-SA"/>
    </w:rPr>
  </w:style>
  <w:style w:type="character" w:customStyle="1" w:styleId="hstChar">
    <w:name w:val="hst  正文 Char"/>
    <w:link w:val="hst"/>
    <w:rsid w:val="00CA16C7"/>
    <w:rPr>
      <w:bCs/>
      <w:sz w:val="24"/>
      <w:szCs w:val="24"/>
    </w:rPr>
  </w:style>
  <w:style w:type="character" w:customStyle="1" w:styleId="2CharChar0">
    <w:name w:val="正文首行缩进 2 Char Char"/>
    <w:rsid w:val="00CA16C7"/>
    <w:rPr>
      <w:rFonts w:eastAsia="宋体"/>
      <w:kern w:val="2"/>
      <w:sz w:val="21"/>
      <w:szCs w:val="24"/>
      <w:lang w:val="en-US" w:eastAsia="zh-CN" w:bidi="ar-SA"/>
    </w:rPr>
  </w:style>
  <w:style w:type="character" w:customStyle="1" w:styleId="1CharCharChar">
    <w:name w:val="样式 标题 1 + 三号 Char Char Char"/>
    <w:rsid w:val="00CA16C7"/>
    <w:rPr>
      <w:rFonts w:ascii="Arial" w:eastAsia="宋体" w:hAnsi="Arial"/>
      <w:b/>
      <w:kern w:val="44"/>
      <w:sz w:val="44"/>
      <w:szCs w:val="44"/>
      <w:lang w:val="en-US" w:eastAsia="zh-CN" w:bidi="ar-SA"/>
    </w:rPr>
  </w:style>
  <w:style w:type="character" w:customStyle="1" w:styleId="CharChar14">
    <w:name w:val="Char Char14"/>
    <w:rsid w:val="00CA16C7"/>
    <w:rPr>
      <w:rFonts w:eastAsia="宋体"/>
      <w:b/>
      <w:bCs/>
      <w:kern w:val="2"/>
      <w:sz w:val="32"/>
      <w:szCs w:val="32"/>
      <w:lang w:val="en-US" w:eastAsia="zh-CN" w:bidi="ar-SA"/>
    </w:rPr>
  </w:style>
  <w:style w:type="character" w:customStyle="1" w:styleId="meCharChar0">
    <w:name w:val="me表格标题 Char Char"/>
    <w:link w:val="me0"/>
    <w:rsid w:val="00CA16C7"/>
    <w:rPr>
      <w:rFonts w:ascii="宋体" w:hAnsi="宋体" w:cs="宋体"/>
      <w:b/>
      <w:bCs/>
      <w:kern w:val="2"/>
      <w:sz w:val="28"/>
      <w:szCs w:val="28"/>
      <w:shd w:val="clear" w:color="auto" w:fill="FFFFFF"/>
    </w:rPr>
  </w:style>
  <w:style w:type="character" w:customStyle="1" w:styleId="meCharChar1">
    <w:name w:val="me正文 Char Char"/>
    <w:link w:val="me3"/>
    <w:rsid w:val="00CA16C7"/>
    <w:rPr>
      <w:rFonts w:ascii="宋体" w:hAnsi="宋体" w:cs="宋体"/>
      <w:color w:val="0000FF"/>
      <w:kern w:val="2"/>
      <w:sz w:val="28"/>
      <w:szCs w:val="28"/>
    </w:rPr>
  </w:style>
  <w:style w:type="character" w:customStyle="1" w:styleId="2TimesNewRomanChar">
    <w:name w:val="样式 标题 2 + Times New Roman Char"/>
    <w:link w:val="2TimesNewRoman"/>
    <w:rsid w:val="00CA16C7"/>
    <w:rPr>
      <w:rFonts w:eastAsia="黑体"/>
      <w:bCs/>
      <w:kern w:val="2"/>
      <w:sz w:val="30"/>
      <w:szCs w:val="32"/>
    </w:rPr>
  </w:style>
  <w:style w:type="character" w:customStyle="1" w:styleId="NormalChar">
    <w:name w:val="Normal Char"/>
    <w:rsid w:val="00CA16C7"/>
    <w:rPr>
      <w:rFonts w:ascii="宋体"/>
      <w:sz w:val="24"/>
    </w:rPr>
  </w:style>
  <w:style w:type="character" w:customStyle="1" w:styleId="FontStyle15">
    <w:name w:val="Font Style15"/>
    <w:rsid w:val="00CA16C7"/>
    <w:rPr>
      <w:rFonts w:ascii="MingLiU" w:eastAsia="MingLiU" w:cs="MingLiU"/>
      <w:i/>
      <w:iCs/>
      <w:sz w:val="46"/>
      <w:szCs w:val="46"/>
    </w:rPr>
  </w:style>
  <w:style w:type="character" w:customStyle="1" w:styleId="Char15">
    <w:name w:val="引用 Char1"/>
    <w:uiPriority w:val="99"/>
    <w:rsid w:val="00CA16C7"/>
    <w:rPr>
      <w:i/>
      <w:iCs/>
      <w:color w:val="000000"/>
      <w:kern w:val="2"/>
      <w:sz w:val="28"/>
      <w:szCs w:val="24"/>
    </w:rPr>
  </w:style>
  <w:style w:type="character" w:customStyle="1" w:styleId="03Char">
    <w:name w:val="0标题3 Char"/>
    <w:link w:val="03"/>
    <w:rsid w:val="00CA16C7"/>
    <w:rPr>
      <w:rFonts w:ascii="Calibri" w:hAnsi="Calibri" w:cs="宋体"/>
      <w:b/>
      <w:bCs/>
      <w:kern w:val="2"/>
      <w:sz w:val="28"/>
      <w:szCs w:val="28"/>
    </w:rPr>
  </w:style>
  <w:style w:type="character" w:customStyle="1" w:styleId="2Char4">
    <w:name w:val="表格2 Char"/>
    <w:link w:val="2b"/>
    <w:rsid w:val="00CA16C7"/>
    <w:rPr>
      <w:rFonts w:hAnsi="宋体"/>
      <w:kern w:val="2"/>
      <w:sz w:val="21"/>
      <w:szCs w:val="21"/>
    </w:rPr>
  </w:style>
  <w:style w:type="character" w:customStyle="1" w:styleId="FontStyle30">
    <w:name w:val="Font Style30"/>
    <w:rsid w:val="00CA16C7"/>
    <w:rPr>
      <w:rFonts w:ascii="Georgia" w:hAnsi="Georgia" w:cs="Georgia"/>
      <w:b/>
      <w:bCs/>
      <w:spacing w:val="-10"/>
      <w:sz w:val="16"/>
      <w:szCs w:val="16"/>
    </w:rPr>
  </w:style>
  <w:style w:type="character" w:customStyle="1" w:styleId="Char16">
    <w:name w:val="注释标题 Char1"/>
    <w:rsid w:val="00CA16C7"/>
    <w:rPr>
      <w:kern w:val="2"/>
      <w:sz w:val="28"/>
      <w:szCs w:val="24"/>
    </w:rPr>
  </w:style>
  <w:style w:type="character" w:customStyle="1" w:styleId="0Char1">
    <w:name w:val="0正文 Char"/>
    <w:link w:val="01"/>
    <w:rsid w:val="00CA16C7"/>
    <w:rPr>
      <w:rFonts w:ascii="Calibri" w:hAnsi="Calibri"/>
      <w:kern w:val="2"/>
      <w:sz w:val="24"/>
      <w:szCs w:val="24"/>
      <w:lang w:val="zh-CN"/>
    </w:rPr>
  </w:style>
  <w:style w:type="character" w:customStyle="1" w:styleId="CharChar18">
    <w:name w:val="Char Char18"/>
    <w:rsid w:val="00CA16C7"/>
    <w:rPr>
      <w:rFonts w:ascii="Arial" w:eastAsia="黑体" w:hAnsi="Arial" w:cs="Times New Roman"/>
      <w:b/>
      <w:bCs/>
      <w:sz w:val="32"/>
      <w:szCs w:val="32"/>
    </w:rPr>
  </w:style>
  <w:style w:type="character" w:customStyle="1" w:styleId="font21">
    <w:name w:val="font21"/>
    <w:rsid w:val="00CA16C7"/>
    <w:rPr>
      <w:rFonts w:ascii="Times New Roman" w:hint="default"/>
      <w:color w:val="000000"/>
      <w:sz w:val="24"/>
    </w:rPr>
  </w:style>
  <w:style w:type="character" w:customStyle="1" w:styleId="2Char11">
    <w:name w:val="标题 2 Char1"/>
    <w:aliases w:val="标题 2 Char Char,标题 2XW Char,Se Char1,节名 Char,Se Char Char,二处标题 2 Char,标题2 Char,BSH-2 Char,1.1 标题 2 Char,标题 2 1.1 Char,标题节 Char Char1,1.1 Char"/>
    <w:rsid w:val="00CA16C7"/>
    <w:rPr>
      <w:rFonts w:ascii="Arial" w:eastAsia="黑体" w:hAnsi="Arial"/>
      <w:b/>
      <w:kern w:val="2"/>
      <w:sz w:val="32"/>
      <w:lang w:val="en-US" w:eastAsia="zh-CN" w:bidi="ar-SA"/>
    </w:rPr>
  </w:style>
  <w:style w:type="character" w:customStyle="1" w:styleId="CharChar70">
    <w:name w:val="Char Char7"/>
    <w:rsid w:val="00CA16C7"/>
    <w:rPr>
      <w:rFonts w:eastAsia="宋体"/>
      <w:kern w:val="2"/>
      <w:sz w:val="21"/>
      <w:szCs w:val="24"/>
      <w:lang w:val="en-US" w:eastAsia="zh-CN" w:bidi="ar-SA"/>
    </w:rPr>
  </w:style>
  <w:style w:type="character" w:customStyle="1" w:styleId="CharCharf0">
    <w:name w:val="说明书正文 Char Char"/>
    <w:rsid w:val="00CA16C7"/>
    <w:rPr>
      <w:rFonts w:eastAsia="仿宋_GB2312"/>
      <w:color w:val="000000"/>
      <w:kern w:val="2"/>
      <w:sz w:val="30"/>
      <w:szCs w:val="24"/>
      <w:lang w:val="en-US" w:eastAsia="zh-CN" w:bidi="ar-SA"/>
    </w:rPr>
  </w:style>
  <w:style w:type="character" w:customStyle="1" w:styleId="aChar">
    <w:name w:val="正文a Char"/>
    <w:link w:val="afffe"/>
    <w:rsid w:val="00CA16C7"/>
    <w:rPr>
      <w:rFonts w:ascii="仿宋_GB2312"/>
      <w:color w:val="000000"/>
      <w:kern w:val="2"/>
      <w:sz w:val="24"/>
      <w:lang w:val="zh-CN"/>
    </w:rPr>
  </w:style>
  <w:style w:type="character" w:customStyle="1" w:styleId="apple-style-span">
    <w:name w:val="apple-style-span"/>
    <w:rsid w:val="00CA16C7"/>
  </w:style>
  <w:style w:type="character" w:customStyle="1" w:styleId="3MB3h33rdlevelH3Head3level3PIM3Level3Head2Char">
    <w:name w:val="样式 标题 3头MB3h33rd levelH3Head 3level_3PIM 3Level 3 Head...2 Char"/>
    <w:link w:val="3MB3h33rdlevelH3Head3level3PIM3Level3Head2"/>
    <w:rsid w:val="00CA16C7"/>
    <w:rPr>
      <w:rFonts w:ascii="华文楷体" w:eastAsia="华文楷体" w:hAnsi="华文楷体"/>
      <w:bCs/>
      <w:kern w:val="28"/>
      <w:sz w:val="28"/>
    </w:rPr>
  </w:style>
  <w:style w:type="character" w:customStyle="1" w:styleId="CharCharChar">
    <w:name w:val="首行缩进两字 Char Char Char"/>
    <w:link w:val="CharChar2"/>
    <w:rsid w:val="00CA16C7"/>
    <w:rPr>
      <w:rFonts w:ascii="宋体" w:hAnsi="宋体" w:cs="宋体"/>
      <w:kern w:val="2"/>
      <w:sz w:val="28"/>
      <w:szCs w:val="24"/>
    </w:rPr>
  </w:style>
  <w:style w:type="character" w:customStyle="1" w:styleId="a210">
    <w:name w:val="a21"/>
    <w:rsid w:val="00CA16C7"/>
    <w:rPr>
      <w:color w:val="330099"/>
      <w:sz w:val="18"/>
      <w:szCs w:val="18"/>
    </w:rPr>
  </w:style>
  <w:style w:type="character" w:customStyle="1" w:styleId="3Char11">
    <w:name w:val="正文文本 3 Char1"/>
    <w:uiPriority w:val="99"/>
    <w:rsid w:val="00CA16C7"/>
    <w:rPr>
      <w:rFonts w:ascii="Calibri" w:hAnsi="Calibri"/>
      <w:kern w:val="2"/>
      <w:sz w:val="16"/>
      <w:szCs w:val="16"/>
    </w:rPr>
  </w:style>
  <w:style w:type="character" w:customStyle="1" w:styleId="FontStyle14">
    <w:name w:val="Font Style14"/>
    <w:rsid w:val="00CA16C7"/>
    <w:rPr>
      <w:rFonts w:ascii="宋体" w:eastAsia="宋体" w:cs="宋体"/>
      <w:b/>
      <w:bCs/>
      <w:spacing w:val="-20"/>
      <w:sz w:val="24"/>
      <w:szCs w:val="24"/>
    </w:rPr>
  </w:style>
  <w:style w:type="character" w:customStyle="1" w:styleId="style101">
    <w:name w:val="style101"/>
    <w:rsid w:val="00CA16C7"/>
    <w:rPr>
      <w:sz w:val="21"/>
      <w:szCs w:val="21"/>
    </w:rPr>
  </w:style>
  <w:style w:type="character" w:customStyle="1" w:styleId="CharCharf1">
    <w:name w:val="正文文本的 Char Char"/>
    <w:locked/>
    <w:rsid w:val="00CA16C7"/>
    <w:rPr>
      <w:rFonts w:ascii="宋体" w:eastAsia="宋体" w:hAnsi="宋体" w:cs="宋体"/>
      <w:kern w:val="2"/>
      <w:sz w:val="24"/>
      <w:lang w:val="en-US" w:eastAsia="zh-CN" w:bidi="ar-SA"/>
    </w:rPr>
  </w:style>
  <w:style w:type="character" w:customStyle="1" w:styleId="FontStyle22">
    <w:name w:val="Font Style22"/>
    <w:rsid w:val="00CA16C7"/>
    <w:rPr>
      <w:rFonts w:ascii="宋体" w:eastAsia="宋体" w:cs="宋体"/>
      <w:b/>
      <w:bCs/>
      <w:spacing w:val="-10"/>
      <w:sz w:val="18"/>
      <w:szCs w:val="18"/>
    </w:rPr>
  </w:style>
  <w:style w:type="character" w:customStyle="1" w:styleId="FontStyle29">
    <w:name w:val="Font Style29"/>
    <w:rsid w:val="00CA16C7"/>
    <w:rPr>
      <w:rFonts w:ascii="宋体" w:eastAsia="宋体" w:cs="宋体"/>
      <w:b/>
      <w:bCs/>
      <w:sz w:val="26"/>
      <w:szCs w:val="26"/>
    </w:rPr>
  </w:style>
  <w:style w:type="character" w:customStyle="1" w:styleId="15f">
    <w:name w:val="15"/>
    <w:rsid w:val="00CA16C7"/>
    <w:rPr>
      <w:rFonts w:ascii="Times New Roman" w:hAnsi="Times New Roman" w:cs="Times New Roman" w:hint="default"/>
      <w:color w:val="0000FF"/>
      <w:u w:val="single"/>
    </w:rPr>
  </w:style>
  <w:style w:type="character" w:customStyle="1" w:styleId="3Char3">
    <w:name w:val="3级标题 Char"/>
    <w:link w:val="37"/>
    <w:rsid w:val="00CA16C7"/>
    <w:rPr>
      <w:rFonts w:eastAsia="楷体_GB2312"/>
      <w:sz w:val="28"/>
    </w:rPr>
  </w:style>
  <w:style w:type="character" w:customStyle="1" w:styleId="CharCharf2">
    <w:name w:val="表头 Char Char"/>
    <w:locked/>
    <w:rsid w:val="00CA16C7"/>
    <w:rPr>
      <w:rFonts w:ascii="黑体" w:eastAsia="黑体" w:hAnsi="宋体" w:cs="宋体"/>
      <w:spacing w:val="-10"/>
      <w:sz w:val="21"/>
      <w:lang w:val="en-US" w:eastAsia="zh-CN" w:bidi="ar-SA"/>
    </w:rPr>
  </w:style>
  <w:style w:type="character" w:customStyle="1" w:styleId="151Char">
    <w:name w:val="样式 行距: 1.5 倍行距1 Char"/>
    <w:link w:val="151"/>
    <w:rsid w:val="00CA16C7"/>
    <w:rPr>
      <w:kern w:val="2"/>
      <w:sz w:val="24"/>
    </w:rPr>
  </w:style>
  <w:style w:type="character" w:customStyle="1" w:styleId="affffffffffffd">
    <w:name w:val="样式 五号"/>
    <w:rsid w:val="00CA16C7"/>
    <w:rPr>
      <w:sz w:val="21"/>
    </w:rPr>
  </w:style>
  <w:style w:type="character" w:customStyle="1" w:styleId="4CharCharChar">
    <w:name w:val="样式4 Char Char Char"/>
    <w:qFormat/>
    <w:rsid w:val="00CA16C7"/>
    <w:rPr>
      <w:rFonts w:ascii="宋体" w:eastAsia="宋体" w:hAnsi="宋体"/>
      <w:kern w:val="2"/>
      <w:sz w:val="24"/>
      <w:szCs w:val="24"/>
      <w:lang w:val="en-US" w:eastAsia="zh-CN" w:bidi="ar-SA"/>
    </w:rPr>
  </w:style>
  <w:style w:type="character" w:customStyle="1" w:styleId="font01">
    <w:name w:val="font01"/>
    <w:rsid w:val="00CA16C7"/>
    <w:rPr>
      <w:rFonts w:ascii="宋体" w:eastAsia="宋体" w:hAnsi="宋体" w:hint="eastAsia"/>
      <w:color w:val="000000"/>
      <w:sz w:val="24"/>
    </w:rPr>
  </w:style>
  <w:style w:type="character" w:customStyle="1" w:styleId="MTEquationSection">
    <w:name w:val="MTEquationSection"/>
    <w:rsid w:val="00CA16C7"/>
    <w:rPr>
      <w:rFonts w:ascii="宋体" w:hAnsi="宋体"/>
      <w:vanish/>
      <w:color w:val="FF0000"/>
    </w:rPr>
  </w:style>
  <w:style w:type="character" w:customStyle="1" w:styleId="CharChar3">
    <w:name w:val="正文（环评报告） Char Char"/>
    <w:link w:val="affff"/>
    <w:rsid w:val="00CA16C7"/>
    <w:rPr>
      <w:spacing w:val="6"/>
      <w:sz w:val="24"/>
      <w:szCs w:val="24"/>
    </w:rPr>
  </w:style>
  <w:style w:type="character" w:customStyle="1" w:styleId="CharChar22">
    <w:name w:val="Char Char22"/>
    <w:rsid w:val="00CA16C7"/>
    <w:rPr>
      <w:rFonts w:ascii="Arial" w:eastAsia="黑体" w:hAnsi="Arial"/>
      <w:b/>
      <w:bCs/>
      <w:kern w:val="2"/>
      <w:sz w:val="32"/>
      <w:szCs w:val="32"/>
      <w:lang w:val="en-US" w:eastAsia="zh-CN" w:bidi="ar-SA"/>
    </w:rPr>
  </w:style>
  <w:style w:type="character" w:customStyle="1" w:styleId="Char20">
    <w:name w:val="表号 Char2"/>
    <w:link w:val="affff0"/>
    <w:rsid w:val="00CA16C7"/>
    <w:rPr>
      <w:rFonts w:eastAsia="Times New Roman"/>
      <w:sz w:val="21"/>
      <w:lang w:val="en-US" w:eastAsia="zh-CN" w:bidi="ar-SA"/>
    </w:rPr>
  </w:style>
  <w:style w:type="character" w:customStyle="1" w:styleId="Charff3">
    <w:name w:val="图标表头 Char"/>
    <w:link w:val="affff1"/>
    <w:locked/>
    <w:rsid w:val="00CA16C7"/>
    <w:rPr>
      <w:rFonts w:ascii="宋体" w:hAnsi="宋体"/>
      <w:b/>
      <w:kern w:val="2"/>
      <w:sz w:val="24"/>
      <w:szCs w:val="24"/>
    </w:rPr>
  </w:style>
  <w:style w:type="character" w:customStyle="1" w:styleId="FontStyle23">
    <w:name w:val="Font Style23"/>
    <w:rsid w:val="00CA16C7"/>
    <w:rPr>
      <w:rFonts w:ascii="宋体" w:eastAsia="宋体" w:cs="宋体"/>
      <w:b/>
      <w:bCs/>
      <w:spacing w:val="-10"/>
      <w:sz w:val="18"/>
      <w:szCs w:val="18"/>
    </w:rPr>
  </w:style>
  <w:style w:type="character" w:customStyle="1" w:styleId="affffffffffffe">
    <w:name w:val="目"/>
    <w:rsid w:val="00CA16C7"/>
    <w:rPr>
      <w:rFonts w:eastAsia="楷体_GB2312"/>
      <w:sz w:val="28"/>
    </w:rPr>
  </w:style>
  <w:style w:type="character" w:customStyle="1" w:styleId="1fff1">
    <w:name w:val="批注引用1"/>
    <w:rsid w:val="00CA16C7"/>
    <w:rPr>
      <w:sz w:val="21"/>
    </w:rPr>
  </w:style>
  <w:style w:type="character" w:customStyle="1" w:styleId="Charff4">
    <w:name w:val="图标样式 Char"/>
    <w:link w:val="affff2"/>
    <w:locked/>
    <w:rsid w:val="00CA16C7"/>
    <w:rPr>
      <w:kern w:val="2"/>
      <w:sz w:val="21"/>
      <w:szCs w:val="21"/>
    </w:rPr>
  </w:style>
  <w:style w:type="character" w:customStyle="1" w:styleId="Charff5">
    <w:name w:val="!表格文字 Char"/>
    <w:link w:val="affff3"/>
    <w:rsid w:val="00CA16C7"/>
    <w:rPr>
      <w:sz w:val="21"/>
      <w:szCs w:val="21"/>
    </w:rPr>
  </w:style>
  <w:style w:type="character" w:customStyle="1" w:styleId="afffffffffffff">
    <w:name w:val="链接"/>
    <w:rsid w:val="00CA16C7"/>
    <w:rPr>
      <w:rFonts w:ascii="Times New Roman" w:eastAsia="宋体"/>
      <w:color w:val="0000FF"/>
      <w:sz w:val="21"/>
      <w:u w:val="single" w:color="0000FF"/>
      <w:vertAlign w:val="baseline"/>
      <w:lang w:val="en-US" w:eastAsia="zh-CN"/>
    </w:rPr>
  </w:style>
  <w:style w:type="character" w:customStyle="1" w:styleId="Charff6">
    <w:name w:val="丰达三级标题 Char"/>
    <w:link w:val="affff4"/>
    <w:rsid w:val="00CA16C7"/>
    <w:rPr>
      <w:b/>
      <w:kern w:val="2"/>
      <w:sz w:val="24"/>
      <w:szCs w:val="24"/>
    </w:rPr>
  </w:style>
  <w:style w:type="character" w:customStyle="1" w:styleId="p141">
    <w:name w:val="p141"/>
    <w:rsid w:val="00CA16C7"/>
    <w:rPr>
      <w:rFonts w:ascii="宋体" w:eastAsia="宋体" w:hAnsi="宋体" w:hint="eastAsia"/>
      <w:sz w:val="21"/>
      <w:szCs w:val="21"/>
    </w:rPr>
  </w:style>
  <w:style w:type="character" w:customStyle="1" w:styleId="Charff7">
    <w:name w:val="表格标题（环评报告） Char"/>
    <w:link w:val="affff5"/>
    <w:rsid w:val="00CA16C7"/>
    <w:rPr>
      <w:b/>
      <w:spacing w:val="6"/>
      <w:sz w:val="24"/>
      <w:szCs w:val="24"/>
    </w:rPr>
  </w:style>
  <w:style w:type="character" w:customStyle="1" w:styleId="Char10">
    <w:name w:val="表名（标题） Char1"/>
    <w:link w:val="affff6"/>
    <w:rsid w:val="00CA16C7"/>
    <w:rPr>
      <w:kern w:val="2"/>
      <w:sz w:val="28"/>
      <w:szCs w:val="28"/>
    </w:rPr>
  </w:style>
  <w:style w:type="character" w:customStyle="1" w:styleId="Char23">
    <w:name w:val="纯文本 Char2"/>
    <w:aliases w:val="标题 3 Char1 Char Char,标题 3 Char Char1 Char Char,标题 3 Char1 Char1,标题 3 Char Char1 Char1, Char Char Char1,Char Char8,Char Char Char4,纯文本 Char Char Char Char Char Char1,纯文本 Char Char Char Char Char2,普通文字 Char Char Char2,普通文 Char"/>
    <w:rsid w:val="00CA16C7"/>
    <w:rPr>
      <w:rFonts w:ascii="宋体" w:eastAsia="宋体" w:hAnsi="Courier New" w:hint="eastAsia"/>
      <w:kern w:val="2"/>
      <w:sz w:val="21"/>
    </w:rPr>
  </w:style>
  <w:style w:type="character" w:customStyle="1" w:styleId="01Char">
    <w:name w:val="0标题1 Char"/>
    <w:link w:val="010"/>
    <w:rsid w:val="00CA16C7"/>
    <w:rPr>
      <w:rFonts w:eastAsia="黑体"/>
      <w:b/>
      <w:bCs/>
      <w:kern w:val="44"/>
      <w:sz w:val="36"/>
      <w:szCs w:val="36"/>
    </w:rPr>
  </w:style>
  <w:style w:type="character" w:customStyle="1" w:styleId="CharCharf3">
    <w:name w:val="君邦正文 Char Char"/>
    <w:locked/>
    <w:rsid w:val="00CA16C7"/>
    <w:rPr>
      <w:rFonts w:ascii="宋体" w:eastAsia="宋体" w:hAnsi="宋体" w:cs="宋体"/>
      <w:kern w:val="2"/>
      <w:sz w:val="24"/>
      <w:lang w:val="en-US" w:eastAsia="zh-CN" w:bidi="ar-SA"/>
    </w:rPr>
  </w:style>
  <w:style w:type="character" w:customStyle="1" w:styleId="CharCharCharCharCharChar0">
    <w:name w:val="首行缩进两字 Char Char Char Char Char Char"/>
    <w:locked/>
    <w:rsid w:val="00CA16C7"/>
    <w:rPr>
      <w:rFonts w:ascii="宋体" w:eastAsia="宋体" w:hAnsi="宋体" w:cs="宋体"/>
      <w:kern w:val="2"/>
      <w:sz w:val="28"/>
      <w:szCs w:val="24"/>
      <w:lang w:val="en-US" w:eastAsia="zh-CN" w:bidi="ar-SA"/>
    </w:rPr>
  </w:style>
  <w:style w:type="character" w:customStyle="1" w:styleId="line11">
    <w:name w:val="line_11"/>
    <w:rsid w:val="00CA16C7"/>
    <w:rPr>
      <w:rFonts w:ascii="宋体" w:hAnsi="宋体" w:cs="宋体"/>
      <w:sz w:val="18"/>
      <w:szCs w:val="18"/>
    </w:rPr>
  </w:style>
  <w:style w:type="character" w:customStyle="1" w:styleId="13Char">
    <w:name w:val="正文小四首缩1.3行距 Char"/>
    <w:link w:val="130"/>
    <w:rsid w:val="00CA16C7"/>
    <w:rPr>
      <w:sz w:val="24"/>
      <w:szCs w:val="24"/>
    </w:rPr>
  </w:style>
  <w:style w:type="character" w:customStyle="1" w:styleId="grame">
    <w:name w:val="grame"/>
    <w:rsid w:val="00CA16C7"/>
  </w:style>
  <w:style w:type="character" w:customStyle="1" w:styleId="Charff8">
    <w:name w:val="无编号文档 Char"/>
    <w:link w:val="affff7"/>
    <w:rsid w:val="00CA16C7"/>
    <w:rPr>
      <w:kern w:val="2"/>
      <w:sz w:val="24"/>
      <w:szCs w:val="21"/>
    </w:rPr>
  </w:style>
  <w:style w:type="character" w:customStyle="1" w:styleId="CharCharf4">
    <w:name w:val="样式 小四号 Char Char"/>
    <w:rsid w:val="00CA16C7"/>
    <w:rPr>
      <w:rFonts w:eastAsia="宋体"/>
      <w:kern w:val="10"/>
      <w:sz w:val="24"/>
      <w:lang w:val="en-US" w:eastAsia="zh-CN"/>
    </w:rPr>
  </w:style>
  <w:style w:type="character" w:customStyle="1" w:styleId="5Char0">
    <w:name w:val="5正文 Char"/>
    <w:link w:val="52"/>
    <w:locked/>
    <w:rsid w:val="00CA16C7"/>
    <w:rPr>
      <w:rFonts w:ascii="宋体" w:hAnsi="宋体"/>
      <w:kern w:val="2"/>
      <w:sz w:val="24"/>
      <w:szCs w:val="28"/>
    </w:rPr>
  </w:style>
  <w:style w:type="character" w:customStyle="1" w:styleId="style251">
    <w:name w:val="style251"/>
    <w:rsid w:val="00CA16C7"/>
    <w:rPr>
      <w:rFonts w:ascii="宋体" w:hAnsi="宋体" w:cs="宋体"/>
      <w:color w:val="0033FF"/>
      <w:sz w:val="24"/>
    </w:rPr>
  </w:style>
  <w:style w:type="character" w:customStyle="1" w:styleId="px14">
    <w:name w:val="px14"/>
    <w:rsid w:val="00CA16C7"/>
    <w:rPr>
      <w:rFonts w:eastAsia="宋体"/>
      <w:kern w:val="2"/>
      <w:sz w:val="28"/>
      <w:lang w:val="en-US" w:eastAsia="zh-CN" w:bidi="ar-SA"/>
    </w:rPr>
  </w:style>
  <w:style w:type="character" w:customStyle="1" w:styleId="3CharChar2">
    <w:name w:val="正文文本缩进 3 Char Char"/>
    <w:rsid w:val="00CA16C7"/>
    <w:rPr>
      <w:kern w:val="2"/>
      <w:sz w:val="28"/>
    </w:rPr>
  </w:style>
  <w:style w:type="character" w:customStyle="1" w:styleId="30CharChar">
    <w:name w:val="样式 标题 3头 + 首行缩进:  0 厘米 Char Char"/>
    <w:rsid w:val="00CA16C7"/>
    <w:rPr>
      <w:rFonts w:eastAsia="宋体"/>
      <w:b/>
      <w:color w:val="000000"/>
      <w:kern w:val="21"/>
      <w:sz w:val="28"/>
      <w:lang w:val="de-DE" w:eastAsia="zh-CN"/>
    </w:rPr>
  </w:style>
  <w:style w:type="character" w:customStyle="1" w:styleId="5TimesNewRomanChar">
    <w:name w:val="样式 标题 5 + (西文) Times New Roman Char"/>
    <w:rsid w:val="00CA16C7"/>
    <w:rPr>
      <w:rFonts w:ascii="Arial" w:eastAsia="宋体" w:hAnsi="Arial"/>
      <w:b/>
      <w:bCs/>
      <w:kern w:val="2"/>
      <w:sz w:val="28"/>
      <w:szCs w:val="28"/>
      <w:lang w:val="en-US" w:eastAsia="zh-CN" w:bidi="ar-SA"/>
    </w:rPr>
  </w:style>
  <w:style w:type="character" w:customStyle="1" w:styleId="0Char2">
    <w:name w:val="0表图分隔符 Char"/>
    <w:link w:val="02"/>
    <w:rsid w:val="00CA16C7"/>
    <w:rPr>
      <w:rFonts w:ascii="Calibri" w:eastAsia="黑体" w:hAnsi="Calibri" w:cs="宋体"/>
      <w:spacing w:val="2"/>
      <w:kern w:val="2"/>
      <w:sz w:val="11"/>
      <w:szCs w:val="11"/>
    </w:rPr>
  </w:style>
  <w:style w:type="character" w:customStyle="1" w:styleId="3CharChar20">
    <w:name w:val="标题 3 Char Char2"/>
    <w:aliases w:val="条标题1.1.1 Char1"/>
    <w:rsid w:val="00CA16C7"/>
    <w:rPr>
      <w:rFonts w:ascii="黑体" w:eastAsia="黑体"/>
      <w:b/>
      <w:spacing w:val="10"/>
      <w:sz w:val="30"/>
      <w:lang w:val="en-US" w:eastAsia="zh-CN" w:bidi="ar-SA"/>
    </w:rPr>
  </w:style>
  <w:style w:type="character" w:customStyle="1" w:styleId="Char17">
    <w:name w:val="批注主题 Char1"/>
    <w:rsid w:val="00CA16C7"/>
    <w:rPr>
      <w:b/>
      <w:bCs/>
      <w:kern w:val="2"/>
      <w:sz w:val="28"/>
      <w:szCs w:val="24"/>
    </w:rPr>
  </w:style>
  <w:style w:type="character" w:customStyle="1" w:styleId="CharCharf5">
    <w:name w:val="批注文字 Char Char"/>
    <w:rsid w:val="00CA16C7"/>
    <w:rPr>
      <w:kern w:val="2"/>
      <w:sz w:val="28"/>
    </w:rPr>
  </w:style>
  <w:style w:type="character" w:customStyle="1" w:styleId="FontStyle34">
    <w:name w:val="Font Style34"/>
    <w:rsid w:val="00CA16C7"/>
    <w:rPr>
      <w:rFonts w:ascii="Times New Roman" w:hAnsi="Times New Roman" w:cs="Times New Roman"/>
      <w:b/>
      <w:bCs/>
      <w:sz w:val="24"/>
      <w:szCs w:val="24"/>
    </w:rPr>
  </w:style>
  <w:style w:type="character" w:customStyle="1" w:styleId="2CharCharChar">
    <w:name w:val="首行缩进2 Char Char Char"/>
    <w:rsid w:val="00CA16C7"/>
    <w:rPr>
      <w:rFonts w:eastAsia="宋体"/>
      <w:kern w:val="2"/>
      <w:sz w:val="24"/>
      <w:szCs w:val="24"/>
      <w:lang w:val="en-US" w:eastAsia="zh-CN" w:bidi="ar-SA"/>
    </w:rPr>
  </w:style>
  <w:style w:type="character" w:customStyle="1" w:styleId="meCharCharChar">
    <w:name w:val="me表格编号 Char Char Char"/>
    <w:rsid w:val="00CA16C7"/>
    <w:rPr>
      <w:rFonts w:ascii="宋体" w:eastAsia="宋体" w:hAnsi="宋体"/>
      <w:kern w:val="2"/>
      <w:sz w:val="21"/>
      <w:szCs w:val="21"/>
      <w:lang w:val="en-US" w:eastAsia="zh-CN" w:bidi="ar-SA"/>
    </w:rPr>
  </w:style>
  <w:style w:type="character" w:customStyle="1" w:styleId="FontStyle17">
    <w:name w:val="Font Style17"/>
    <w:rsid w:val="00CA16C7"/>
    <w:rPr>
      <w:rFonts w:ascii="宋体" w:eastAsia="宋体" w:cs="宋体"/>
      <w:b/>
      <w:bCs/>
      <w:sz w:val="20"/>
      <w:szCs w:val="20"/>
    </w:rPr>
  </w:style>
  <w:style w:type="character" w:customStyle="1" w:styleId="PlainTextChar">
    <w:name w:val="Plain Text Char"/>
    <w:locked/>
    <w:rsid w:val="00CA16C7"/>
    <w:rPr>
      <w:rFonts w:ascii="宋体" w:eastAsia="宋体" w:hAnsi="Courier New" w:cs="Courier New"/>
      <w:sz w:val="21"/>
      <w:szCs w:val="21"/>
    </w:rPr>
  </w:style>
  <w:style w:type="character" w:customStyle="1" w:styleId="Charffff6">
    <w:name w:val="正文文字缩进 Char"/>
    <w:aliases w:val="特点标题 Char Char"/>
    <w:locked/>
    <w:rsid w:val="00CA16C7"/>
    <w:rPr>
      <w:rFonts w:ascii="宋体" w:eastAsia="宋体" w:hAnsi="宋体" w:cs="宋体"/>
      <w:kern w:val="2"/>
      <w:sz w:val="21"/>
      <w:szCs w:val="24"/>
      <w:lang w:val="en-US" w:eastAsia="zh-CN" w:bidi="ar-SA"/>
    </w:rPr>
  </w:style>
  <w:style w:type="character" w:customStyle="1" w:styleId="4Char0">
    <w:name w:val="样式 标题 4 + (西文) 宋体 Char"/>
    <w:link w:val="43"/>
    <w:rsid w:val="00CA16C7"/>
    <w:rPr>
      <w:b/>
      <w:bCs/>
      <w:snapToGrid/>
      <w:sz w:val="24"/>
      <w:szCs w:val="24"/>
    </w:rPr>
  </w:style>
  <w:style w:type="character" w:customStyle="1" w:styleId="pt111">
    <w:name w:val="pt111"/>
    <w:rsid w:val="00CA16C7"/>
    <w:rPr>
      <w:rFonts w:ascii="ˎ̥" w:hAnsi="ˎ̥" w:hint="default"/>
      <w:sz w:val="22"/>
      <w:szCs w:val="22"/>
    </w:rPr>
  </w:style>
  <w:style w:type="character" w:customStyle="1" w:styleId="214">
    <w:name w:val="正文文本缩进 21"/>
    <w:aliases w:val="正文文本缩进 2 Char1,文本框 Char Char1,文本框 Char Char2,文本框 Char Char Char Char Char Char Char Char Char Char1,文本框 Char Char Char Char Char Char Char Char Char Char2,文本框 Char Char Char Char Char Char Char Char Char Char Char Char Char Char Char"/>
    <w:rsid w:val="00CA16C7"/>
    <w:rPr>
      <w:rFonts w:eastAsia="宋体"/>
      <w:kern w:val="2"/>
      <w:sz w:val="28"/>
      <w:lang w:val="en-US" w:eastAsia="zh-CN" w:bidi="ar-SA"/>
    </w:rPr>
  </w:style>
  <w:style w:type="character" w:customStyle="1" w:styleId="Charff9">
    <w:name w:val="表题 Char"/>
    <w:link w:val="affff8"/>
    <w:rsid w:val="00CA16C7"/>
    <w:rPr>
      <w:rFonts w:ascii="宋体" w:eastAsia="黑体" w:hAnsi="宋体" w:cs="宋体"/>
      <w:kern w:val="2"/>
      <w:sz w:val="24"/>
    </w:rPr>
  </w:style>
  <w:style w:type="character" w:customStyle="1" w:styleId="me1Char">
    <w:name w:val="me正文1 Char"/>
    <w:rsid w:val="00CA16C7"/>
    <w:rPr>
      <w:rFonts w:ascii="宋体" w:eastAsia="宋体" w:hAnsi="宋体" w:cs="宋体"/>
      <w:kern w:val="96"/>
      <w:sz w:val="28"/>
      <w:szCs w:val="28"/>
      <w:lang w:val="en-US" w:eastAsia="zh-CN" w:bidi="ar-SA"/>
    </w:rPr>
  </w:style>
  <w:style w:type="character" w:customStyle="1" w:styleId="FontStyle18">
    <w:name w:val="Font Style18"/>
    <w:rsid w:val="00CA16C7"/>
    <w:rPr>
      <w:rFonts w:ascii="宋体" w:eastAsia="宋体" w:cs="宋体"/>
      <w:i/>
      <w:iCs/>
      <w:sz w:val="20"/>
      <w:szCs w:val="20"/>
    </w:rPr>
  </w:style>
  <w:style w:type="character" w:customStyle="1" w:styleId="CharCharChar0">
    <w:name w:val="正式文本 Char Char Char"/>
    <w:rsid w:val="00CA16C7"/>
    <w:rPr>
      <w:rFonts w:ascii="宋体" w:eastAsia="宋体" w:hAnsi="Arial Narrow"/>
      <w:kern w:val="2"/>
      <w:sz w:val="28"/>
      <w:szCs w:val="24"/>
      <w:lang w:val="en-US" w:eastAsia="zh-CN" w:bidi="ar-SA"/>
    </w:rPr>
  </w:style>
  <w:style w:type="character" w:customStyle="1" w:styleId="Charffa">
    <w:name w:val="表题注 Char"/>
    <w:link w:val="a"/>
    <w:rsid w:val="00CA16C7"/>
    <w:rPr>
      <w:rFonts w:ascii="Arial" w:hAnsi="Arial"/>
      <w:b/>
      <w:kern w:val="2"/>
      <w:sz w:val="24"/>
    </w:rPr>
  </w:style>
  <w:style w:type="character" w:customStyle="1" w:styleId="FontStyle31">
    <w:name w:val="Font Style31"/>
    <w:rsid w:val="00CA16C7"/>
    <w:rPr>
      <w:rFonts w:ascii="Bookman Old Style" w:hAnsi="Bookman Old Style" w:cs="Bookman Old Style"/>
      <w:b/>
      <w:bCs/>
      <w:spacing w:val="-10"/>
      <w:sz w:val="10"/>
      <w:szCs w:val="10"/>
    </w:rPr>
  </w:style>
  <w:style w:type="character" w:customStyle="1" w:styleId="11Char0">
    <w:name w:val="节标题 1.1 Char"/>
    <w:aliases w:val="1.1标题2 Char,b2 Char Char"/>
    <w:rsid w:val="00CA16C7"/>
    <w:rPr>
      <w:rFonts w:ascii="Arial" w:eastAsia="黑体" w:hAnsi="Arial"/>
      <w:b/>
      <w:bCs/>
      <w:kern w:val="2"/>
      <w:sz w:val="32"/>
      <w:szCs w:val="32"/>
      <w:lang w:val="en-US" w:eastAsia="zh-CN" w:bidi="ar-SA"/>
    </w:rPr>
  </w:style>
  <w:style w:type="character" w:customStyle="1" w:styleId="oblogtext">
    <w:name w:val="oblog_text"/>
    <w:rsid w:val="00CA16C7"/>
    <w:rPr>
      <w:rFonts w:ascii="宋体" w:hAnsi="宋体" w:cs="宋体"/>
      <w:sz w:val="24"/>
    </w:rPr>
  </w:style>
  <w:style w:type="character" w:customStyle="1" w:styleId="5CharCharChar">
    <w:name w:val="标题 5 Char Char Char"/>
    <w:rsid w:val="00CA16C7"/>
    <w:rPr>
      <w:rFonts w:eastAsia="黑体"/>
      <w:b/>
      <w:bCs/>
      <w:spacing w:val="8"/>
      <w:kern w:val="2"/>
      <w:sz w:val="28"/>
      <w:szCs w:val="28"/>
      <w:lang w:val="en-US" w:eastAsia="zh-CN" w:bidi="ar-SA"/>
    </w:rPr>
  </w:style>
  <w:style w:type="character" w:customStyle="1" w:styleId="Char18">
    <w:name w:val="批注框文本 Char1"/>
    <w:rsid w:val="00CA16C7"/>
    <w:rPr>
      <w:kern w:val="2"/>
      <w:sz w:val="18"/>
      <w:szCs w:val="18"/>
    </w:rPr>
  </w:style>
  <w:style w:type="character" w:customStyle="1" w:styleId="font3">
    <w:name w:val="font3"/>
    <w:rsid w:val="00CA16C7"/>
  </w:style>
  <w:style w:type="character" w:customStyle="1" w:styleId="2TimesNewRoman113Char">
    <w:name w:val="样式 样式 标题 2 + (西文) Times New Roman (中文) 宋体 黑色 首行缩进:  1.13 厘米 + (符... Char"/>
    <w:rsid w:val="00CA16C7"/>
    <w:rPr>
      <w:rFonts w:eastAsia="宋体" w:cs="宋体"/>
      <w:b/>
      <w:bCs/>
      <w:color w:val="000000"/>
      <w:kern w:val="2"/>
      <w:sz w:val="28"/>
      <w:szCs w:val="32"/>
      <w:lang w:val="en-US" w:eastAsia="zh-CN" w:bidi="ar-SA"/>
    </w:rPr>
  </w:style>
  <w:style w:type="character" w:customStyle="1" w:styleId="01CharChar">
    <w:name w:val="表格标题01 Char Char"/>
    <w:rsid w:val="00CA16C7"/>
    <w:rPr>
      <w:rFonts w:eastAsia="宋体"/>
      <w:snapToGrid w:val="0"/>
      <w:sz w:val="28"/>
      <w:szCs w:val="28"/>
      <w:lang w:val="en-US" w:eastAsia="zh-CN" w:bidi="ar-SA"/>
    </w:rPr>
  </w:style>
  <w:style w:type="character" w:customStyle="1" w:styleId="Charffb">
    <w:name w:val="标准 Char"/>
    <w:link w:val="affff9"/>
    <w:rsid w:val="00CA16C7"/>
    <w:rPr>
      <w:sz w:val="21"/>
    </w:rPr>
  </w:style>
  <w:style w:type="character" w:customStyle="1" w:styleId="CharCharChar1">
    <w:name w:val="杨柳 Char Char Char"/>
    <w:rsid w:val="00CA16C7"/>
    <w:rPr>
      <w:rFonts w:eastAsia="宋体" w:cs="宋体"/>
      <w:kern w:val="2"/>
      <w:sz w:val="28"/>
      <w:lang w:val="en-US" w:eastAsia="zh-CN" w:bidi="ar-SA"/>
    </w:rPr>
  </w:style>
  <w:style w:type="character" w:customStyle="1" w:styleId="FontStyle24">
    <w:name w:val="Font Style24"/>
    <w:rsid w:val="00CA16C7"/>
    <w:rPr>
      <w:rFonts w:ascii="宋体" w:eastAsia="宋体" w:cs="宋体"/>
      <w:b/>
      <w:bCs/>
      <w:sz w:val="12"/>
      <w:szCs w:val="12"/>
    </w:rPr>
  </w:style>
  <w:style w:type="character" w:customStyle="1" w:styleId="Char19">
    <w:name w:val="明显引用 Char1"/>
    <w:uiPriority w:val="99"/>
    <w:rsid w:val="00CA16C7"/>
    <w:rPr>
      <w:b/>
      <w:bCs/>
      <w:i/>
      <w:iCs/>
      <w:color w:val="4F81BD"/>
      <w:kern w:val="2"/>
      <w:sz w:val="28"/>
      <w:szCs w:val="24"/>
    </w:rPr>
  </w:style>
  <w:style w:type="character" w:customStyle="1" w:styleId="a1Char2">
    <w:name w:val="a1 Char2"/>
    <w:link w:val="a10"/>
    <w:rsid w:val="00CA16C7"/>
    <w:rPr>
      <w:rFonts w:ascii="宋体"/>
      <w:kern w:val="2"/>
      <w:sz w:val="24"/>
    </w:rPr>
  </w:style>
  <w:style w:type="character" w:customStyle="1" w:styleId="CharChar101">
    <w:name w:val="Char Char101"/>
    <w:rsid w:val="00CA16C7"/>
    <w:rPr>
      <w:rFonts w:ascii="Arial" w:eastAsia="黑体" w:hAnsi="Arial"/>
      <w:b/>
      <w:kern w:val="2"/>
      <w:sz w:val="32"/>
      <w:lang w:val="en-US" w:eastAsia="zh-CN" w:bidi="ar-SA"/>
    </w:rPr>
  </w:style>
  <w:style w:type="character" w:customStyle="1" w:styleId="me-Char">
    <w:name w:val="me表格内容-左 Char"/>
    <w:link w:val="me-"/>
    <w:rsid w:val="00CA16C7"/>
    <w:rPr>
      <w:kern w:val="2"/>
      <w:sz w:val="24"/>
      <w:shd w:val="clear" w:color="auto" w:fill="FFFFFF"/>
    </w:rPr>
  </w:style>
  <w:style w:type="character" w:customStyle="1" w:styleId="CharCharf6">
    <w:name w:val="正文文本缩进 Char Char"/>
    <w:rsid w:val="00CA16C7"/>
    <w:rPr>
      <w:rFonts w:ascii="宋体"/>
      <w:kern w:val="2"/>
      <w:sz w:val="28"/>
    </w:rPr>
  </w:style>
  <w:style w:type="character" w:customStyle="1" w:styleId="3CharChar">
    <w:name w:val="我的标题3 Char Char"/>
    <w:link w:val="38"/>
    <w:rsid w:val="00CA16C7"/>
    <w:rPr>
      <w:b/>
      <w:bCs/>
      <w:kern w:val="2"/>
      <w:sz w:val="24"/>
      <w:szCs w:val="24"/>
    </w:rPr>
  </w:style>
  <w:style w:type="character" w:customStyle="1" w:styleId="afffffffffffff0">
    <w:name w:val="样式 (符号) 宋体 黑色"/>
    <w:rsid w:val="00CA16C7"/>
    <w:rPr>
      <w:rFonts w:eastAsia="宋体"/>
      <w:b/>
      <w:color w:val="000000"/>
      <w:sz w:val="28"/>
    </w:rPr>
  </w:style>
  <w:style w:type="character" w:customStyle="1" w:styleId="3Char4">
    <w:name w:val="样式 正文文本 3 + 字距调整四号 Char"/>
    <w:link w:val="39"/>
    <w:rsid w:val="00CA16C7"/>
    <w:rPr>
      <w:b/>
      <w:spacing w:val="-8"/>
      <w:kern w:val="28"/>
      <w:sz w:val="21"/>
      <w:szCs w:val="16"/>
    </w:rPr>
  </w:style>
  <w:style w:type="character" w:customStyle="1" w:styleId="3Char12">
    <w:name w:val="正文文本缩进 3 Char1"/>
    <w:rsid w:val="00CA16C7"/>
    <w:rPr>
      <w:rFonts w:ascii="宋体" w:hAnsi="宋体" w:cs="宋体"/>
      <w:kern w:val="2"/>
      <w:sz w:val="16"/>
      <w:szCs w:val="16"/>
    </w:rPr>
  </w:style>
  <w:style w:type="character" w:customStyle="1" w:styleId="affffb">
    <w:name w:val="永和二级标题 字符"/>
    <w:link w:val="affffa"/>
    <w:rsid w:val="00CA16C7"/>
    <w:rPr>
      <w:rFonts w:ascii="黑体" w:eastAsia="黑体"/>
      <w:bCs/>
      <w:kern w:val="2"/>
      <w:sz w:val="30"/>
      <w:szCs w:val="28"/>
    </w:rPr>
  </w:style>
  <w:style w:type="character" w:customStyle="1" w:styleId="CharCharf7">
    <w:name w:val="图头 Char Char"/>
    <w:rsid w:val="00CA16C7"/>
    <w:rPr>
      <w:rFonts w:eastAsia="仿宋_GB2312"/>
      <w:kern w:val="2"/>
      <w:sz w:val="21"/>
      <w:szCs w:val="21"/>
    </w:rPr>
  </w:style>
  <w:style w:type="character" w:customStyle="1" w:styleId="CharChar4">
    <w:name w:val="表格 Char Char"/>
    <w:link w:val="affffc"/>
    <w:rsid w:val="00CA16C7"/>
    <w:rPr>
      <w:rFonts w:eastAsia="华文中宋"/>
      <w:color w:val="FF0000"/>
      <w:sz w:val="21"/>
    </w:rPr>
  </w:style>
  <w:style w:type="character" w:customStyle="1" w:styleId="170">
    <w:name w:val="17"/>
    <w:rsid w:val="00CA16C7"/>
    <w:rPr>
      <w:rFonts w:ascii="Times New Roman" w:hAnsi="Times New Roman" w:cs="Times New Roman" w:hint="default"/>
      <w:color w:val="000000"/>
      <w:sz w:val="21"/>
      <w:szCs w:val="21"/>
    </w:rPr>
  </w:style>
  <w:style w:type="character" w:customStyle="1" w:styleId="A4CharCharChar">
    <w:name w:val="A4（正） Char Char Char"/>
    <w:rsid w:val="00CA16C7"/>
    <w:rPr>
      <w:rFonts w:eastAsia="宋体"/>
      <w:kern w:val="2"/>
      <w:sz w:val="28"/>
      <w:lang w:val="en-US" w:eastAsia="zh-CN" w:bidi="ar-SA"/>
    </w:rPr>
  </w:style>
  <w:style w:type="character" w:customStyle="1" w:styleId="Charffc">
    <w:name w:val="无间隔 Char"/>
    <w:link w:val="affffd"/>
    <w:rsid w:val="00CA16C7"/>
    <w:rPr>
      <w:rFonts w:ascii="Calibri" w:hAnsi="Calibri"/>
      <w:sz w:val="22"/>
      <w:szCs w:val="22"/>
      <w:lang w:val="en-US" w:eastAsia="zh-CN" w:bidi="ar-SA"/>
    </w:rPr>
  </w:style>
  <w:style w:type="character" w:customStyle="1" w:styleId="2CharChar1">
    <w:name w:val="样式2 Char Char"/>
    <w:rsid w:val="00CA16C7"/>
    <w:rPr>
      <w:rFonts w:eastAsia="宋体"/>
      <w:kern w:val="2"/>
      <w:sz w:val="21"/>
      <w:szCs w:val="24"/>
      <w:lang w:val="en-US" w:eastAsia="zh-CN" w:bidi="ar-SA"/>
    </w:rPr>
  </w:style>
  <w:style w:type="character" w:customStyle="1" w:styleId="Charffff7">
    <w:name w:val="头 Char"/>
    <w:rsid w:val="00CA16C7"/>
    <w:rPr>
      <w:rFonts w:eastAsia="宋体"/>
      <w:b/>
      <w:bCs/>
      <w:kern w:val="2"/>
      <w:sz w:val="32"/>
      <w:szCs w:val="32"/>
      <w:lang w:val="en-US" w:eastAsia="zh-CN" w:bidi="ar-SA"/>
    </w:rPr>
  </w:style>
  <w:style w:type="character" w:customStyle="1" w:styleId="1CharChar4">
    <w:name w:val="表头1 Char Char"/>
    <w:locked/>
    <w:rsid w:val="00CA16C7"/>
    <w:rPr>
      <w:rFonts w:ascii="黑体" w:eastAsia="黑体" w:hAnsi="宋体" w:cs="宋体"/>
      <w:sz w:val="21"/>
      <w:szCs w:val="28"/>
      <w:lang w:bidi="ar-SA"/>
    </w:rPr>
  </w:style>
  <w:style w:type="character" w:customStyle="1" w:styleId="Charffd">
    <w:name w:val="明显引用 Char"/>
    <w:link w:val="affffe"/>
    <w:rsid w:val="00CA16C7"/>
    <w:rPr>
      <w:rFonts w:ascii="Calibri" w:hAnsi="Calibri"/>
      <w:b/>
      <w:bCs/>
      <w:i/>
      <w:iCs/>
      <w:color w:val="4F81BD"/>
      <w:kern w:val="2"/>
      <w:sz w:val="21"/>
      <w:szCs w:val="22"/>
    </w:rPr>
  </w:style>
  <w:style w:type="character" w:customStyle="1" w:styleId="zi1">
    <w:name w:val="zi1"/>
    <w:rsid w:val="00CA16C7"/>
    <w:rPr>
      <w:color w:val="000000"/>
      <w:sz w:val="20"/>
      <w:szCs w:val="20"/>
      <w:u w:val="none"/>
    </w:rPr>
  </w:style>
  <w:style w:type="character" w:customStyle="1" w:styleId="Charffe">
    <w:name w:val="表字 Char"/>
    <w:link w:val="afffff"/>
    <w:rsid w:val="00CA16C7"/>
    <w:rPr>
      <w:rFonts w:ascii="宋体" w:hAnsi="宋体"/>
      <w:kern w:val="2"/>
      <w:sz w:val="24"/>
      <w:szCs w:val="28"/>
    </w:rPr>
  </w:style>
  <w:style w:type="character" w:customStyle="1" w:styleId="Char1Char">
    <w:name w:val="纯文本 Char1 Char"/>
    <w:aliases w:val="纯文本 Char Char Char,纯文本 Char1 Char Char Char,普通文字 Char Char Char Char Char,纯文本 Char Char Char Char Char Char Char Char Char Char Char Char Char Char Char Char Char Char Char Char Char Char"/>
    <w:rsid w:val="00CA16C7"/>
    <w:rPr>
      <w:rFonts w:ascii="宋体" w:eastAsia="宋体" w:hAnsi="Courier New"/>
      <w:kern w:val="2"/>
      <w:sz w:val="21"/>
      <w:lang w:val="en-US" w:eastAsia="zh-CN" w:bidi="ar-SA"/>
    </w:rPr>
  </w:style>
  <w:style w:type="character" w:customStyle="1" w:styleId="Charfff">
    <w:name w:val="报告 Char"/>
    <w:link w:val="afffff0"/>
    <w:rsid w:val="00CA16C7"/>
    <w:rPr>
      <w:rFonts w:ascii="TimesNewRoman" w:hAnsi="TimesNewRoman"/>
      <w:sz w:val="24"/>
    </w:rPr>
  </w:style>
  <w:style w:type="character" w:customStyle="1" w:styleId="f241">
    <w:name w:val="f241"/>
    <w:rsid w:val="00CA16C7"/>
    <w:rPr>
      <w:sz w:val="36"/>
      <w:szCs w:val="36"/>
    </w:rPr>
  </w:style>
  <w:style w:type="character" w:customStyle="1" w:styleId="CharCharf8">
    <w:name w:val="表题 Char Char"/>
    <w:locked/>
    <w:rsid w:val="00CA16C7"/>
    <w:rPr>
      <w:rFonts w:ascii="黑体" w:eastAsia="黑体" w:hAnsi="宋体" w:cs="宋体"/>
      <w:kern w:val="2"/>
      <w:sz w:val="24"/>
      <w:lang w:val="en-US" w:eastAsia="zh-CN" w:bidi="ar-SA"/>
    </w:rPr>
  </w:style>
  <w:style w:type="character" w:customStyle="1" w:styleId="CharChar91">
    <w:name w:val="Char Char91"/>
    <w:rsid w:val="00CA16C7"/>
    <w:rPr>
      <w:rFonts w:ascii="Cambria" w:eastAsia="宋体" w:hAnsi="Cambria"/>
      <w:b/>
      <w:sz w:val="24"/>
    </w:rPr>
  </w:style>
  <w:style w:type="character" w:customStyle="1" w:styleId="TTChar">
    <w:name w:val="TT正文 Char"/>
    <w:link w:val="TT"/>
    <w:rsid w:val="00CA16C7"/>
    <w:rPr>
      <w:rFonts w:ascii="宋体" w:hAnsi="宋体"/>
      <w:color w:val="000000"/>
      <w:kern w:val="2"/>
      <w:sz w:val="28"/>
      <w:szCs w:val="28"/>
    </w:rPr>
  </w:style>
  <w:style w:type="character" w:customStyle="1" w:styleId="Charfff0">
    <w:name w:val="正文易 Char"/>
    <w:link w:val="afffff1"/>
    <w:uiPriority w:val="99"/>
    <w:rsid w:val="00CA16C7"/>
    <w:rPr>
      <w:rFonts w:ascii="Calibri" w:hAnsi="Calibri"/>
      <w:color w:val="000000"/>
      <w:kern w:val="2"/>
      <w:sz w:val="28"/>
      <w:szCs w:val="24"/>
    </w:rPr>
  </w:style>
  <w:style w:type="character" w:customStyle="1" w:styleId="4CharCharCharChar1">
    <w:name w:val="标题 4 Char Char Char Char1"/>
    <w:rsid w:val="00CA16C7"/>
    <w:rPr>
      <w:rFonts w:eastAsia="宋体"/>
      <w:spacing w:val="-2"/>
      <w:sz w:val="24"/>
      <w:szCs w:val="28"/>
      <w:lang w:val="en-US" w:eastAsia="zh-CN" w:bidi="ar-SA"/>
    </w:rPr>
  </w:style>
  <w:style w:type="character" w:customStyle="1" w:styleId="CharChar51">
    <w:name w:val="Char Char5"/>
    <w:rsid w:val="00CA16C7"/>
    <w:rPr>
      <w:rFonts w:eastAsia="宋体"/>
      <w:kern w:val="2"/>
      <w:sz w:val="18"/>
      <w:szCs w:val="18"/>
      <w:lang w:val="en-US" w:eastAsia="zh-CN" w:bidi="ar-SA"/>
    </w:rPr>
  </w:style>
  <w:style w:type="character" w:customStyle="1" w:styleId="content2">
    <w:name w:val="content2"/>
    <w:rsid w:val="00CA16C7"/>
  </w:style>
  <w:style w:type="character" w:customStyle="1" w:styleId="Charfff1">
    <w:name w:val="君邦正文 Char"/>
    <w:link w:val="afffff2"/>
    <w:rsid w:val="00CA16C7"/>
    <w:rPr>
      <w:bCs/>
      <w:sz w:val="24"/>
      <w:lang w:val="en-US" w:eastAsia="zh-CN" w:bidi="ar-SA"/>
    </w:rPr>
  </w:style>
  <w:style w:type="character" w:customStyle="1" w:styleId="CharChar11">
    <w:name w:val="Char Char11"/>
    <w:rsid w:val="00CA16C7"/>
    <w:rPr>
      <w:b/>
      <w:bCs/>
      <w:sz w:val="28"/>
      <w:szCs w:val="32"/>
    </w:rPr>
  </w:style>
  <w:style w:type="character" w:customStyle="1" w:styleId="TimesNewRomanCharChar">
    <w:name w:val="样式 题注 + Times New Roman Char Char"/>
    <w:link w:val="TimesNewRoman"/>
    <w:rsid w:val="00CA16C7"/>
    <w:rPr>
      <w:rFonts w:ascii="Arial" w:eastAsia="黑体" w:hAnsi="Arial" w:cs="Arial"/>
      <w:snapToGrid/>
      <w:kern w:val="2"/>
      <w:sz w:val="24"/>
      <w:szCs w:val="24"/>
    </w:rPr>
  </w:style>
  <w:style w:type="character" w:customStyle="1" w:styleId="3Char5">
    <w:name w:val="我的标题3 Char"/>
    <w:rsid w:val="00CA16C7"/>
    <w:rPr>
      <w:rFonts w:eastAsia="宋体"/>
      <w:b/>
      <w:bCs/>
      <w:kern w:val="2"/>
      <w:sz w:val="24"/>
      <w:szCs w:val="24"/>
      <w:lang w:val="en-US" w:eastAsia="zh-CN" w:bidi="ar-SA"/>
    </w:rPr>
  </w:style>
  <w:style w:type="character" w:customStyle="1" w:styleId="Charfff2">
    <w:name w:val="表格标题（报告书） Char"/>
    <w:link w:val="afffff3"/>
    <w:rsid w:val="00CA16C7"/>
    <w:rPr>
      <w:b/>
      <w:kern w:val="2"/>
      <w:sz w:val="24"/>
      <w:szCs w:val="24"/>
      <w:lang w:val="en-US" w:eastAsia="zh-CN" w:bidi="ar-SA"/>
    </w:rPr>
  </w:style>
  <w:style w:type="character" w:customStyle="1" w:styleId="01CharChar0">
    <w:name w:val="表格01 Char Char"/>
    <w:rsid w:val="00CA16C7"/>
    <w:rPr>
      <w:rFonts w:eastAsia="宋体" w:cs="宋体"/>
      <w:snapToGrid w:val="0"/>
      <w:kern w:val="2"/>
      <w:sz w:val="28"/>
      <w:szCs w:val="28"/>
      <w:lang w:val="en-US" w:eastAsia="zh-CN" w:bidi="ar-SA"/>
    </w:rPr>
  </w:style>
  <w:style w:type="character" w:customStyle="1" w:styleId="Char1a">
    <w:name w:val="标题 Char1"/>
    <w:uiPriority w:val="10"/>
    <w:rsid w:val="00CA16C7"/>
    <w:rPr>
      <w:rFonts w:ascii="Cambria" w:hAnsi="Cambria" w:cs="Times New Roman"/>
      <w:b/>
      <w:bCs/>
      <w:kern w:val="2"/>
      <w:sz w:val="32"/>
      <w:szCs w:val="32"/>
    </w:rPr>
  </w:style>
  <w:style w:type="character" w:customStyle="1" w:styleId="-Char0">
    <w:name w:val="表格内容-居中 Char"/>
    <w:link w:val="-0"/>
    <w:rsid w:val="00CA16C7"/>
    <w:rPr>
      <w:szCs w:val="24"/>
    </w:rPr>
  </w:style>
  <w:style w:type="character" w:customStyle="1" w:styleId="CharCharf9">
    <w:name w:val="表号 Char Char"/>
    <w:rsid w:val="00CA16C7"/>
    <w:rPr>
      <w:rFonts w:eastAsia="宋体"/>
      <w:kern w:val="2"/>
      <w:sz w:val="24"/>
      <w:szCs w:val="24"/>
      <w:lang w:val="en-US" w:eastAsia="zh-CN" w:bidi="ar-SA"/>
    </w:rPr>
  </w:style>
  <w:style w:type="character" w:customStyle="1" w:styleId="Charfff3">
    <w:name w:val="我的表格标题 Char"/>
    <w:link w:val="afffff4"/>
    <w:rsid w:val="00CA16C7"/>
    <w:rPr>
      <w:rFonts w:eastAsia="黑体"/>
      <w:kern w:val="2"/>
      <w:sz w:val="24"/>
    </w:rPr>
  </w:style>
  <w:style w:type="character" w:customStyle="1" w:styleId="afffff6">
    <w:name w:val="永和正文 字符"/>
    <w:link w:val="afffff5"/>
    <w:locked/>
    <w:rsid w:val="00CA16C7"/>
    <w:rPr>
      <w:kern w:val="2"/>
      <w:sz w:val="24"/>
      <w:szCs w:val="24"/>
    </w:rPr>
  </w:style>
  <w:style w:type="character" w:customStyle="1" w:styleId="Charfff4">
    <w:name w:val="样式 (中文) 黑体 Char"/>
    <w:link w:val="afffff7"/>
    <w:rsid w:val="00CA16C7"/>
    <w:rPr>
      <w:rFonts w:eastAsia="黑体"/>
      <w:kern w:val="2"/>
      <w:sz w:val="24"/>
      <w:szCs w:val="24"/>
    </w:rPr>
  </w:style>
  <w:style w:type="character" w:customStyle="1" w:styleId="FontStyle27">
    <w:name w:val="Font Style27"/>
    <w:rsid w:val="00CA16C7"/>
    <w:rPr>
      <w:rFonts w:ascii="宋体" w:eastAsia="宋体" w:cs="宋体"/>
      <w:b/>
      <w:bCs/>
      <w:spacing w:val="-20"/>
      <w:sz w:val="18"/>
      <w:szCs w:val="18"/>
    </w:rPr>
  </w:style>
  <w:style w:type="character" w:customStyle="1" w:styleId="CharCharfa">
    <w:name w:val="报告正文 Char Char"/>
    <w:locked/>
    <w:rsid w:val="00CA16C7"/>
    <w:rPr>
      <w:rFonts w:ascii="宋体" w:eastAsia="宋体" w:hAnsi="宋体" w:cs="宋体"/>
      <w:kern w:val="2"/>
      <w:sz w:val="21"/>
      <w:szCs w:val="24"/>
      <w:lang w:val="en-US" w:eastAsia="zh-CN" w:bidi="ar-SA"/>
    </w:rPr>
  </w:style>
  <w:style w:type="character" w:customStyle="1" w:styleId="me-Char0">
    <w:name w:val="me表格内容-中 Char"/>
    <w:link w:val="me-0"/>
    <w:rsid w:val="00CA16C7"/>
    <w:rPr>
      <w:rFonts w:cs="宋体"/>
      <w:kern w:val="2"/>
      <w:sz w:val="24"/>
      <w:szCs w:val="24"/>
      <w:shd w:val="clear" w:color="auto" w:fill="FFFFFF"/>
    </w:rPr>
  </w:style>
  <w:style w:type="character" w:customStyle="1" w:styleId="Charfff5">
    <w:name w:val="正文 Char"/>
    <w:link w:val="3a"/>
    <w:rsid w:val="00CA16C7"/>
    <w:rPr>
      <w:rFonts w:ascii="宋体" w:hAnsi="宋体"/>
      <w:kern w:val="2"/>
      <w:sz w:val="24"/>
    </w:rPr>
  </w:style>
  <w:style w:type="character" w:customStyle="1" w:styleId="afffffffffffff1">
    <w:name w:val="超级链接"/>
    <w:rsid w:val="00CA16C7"/>
    <w:rPr>
      <w:rFonts w:ascii="Times New Roman" w:eastAsia="宋体"/>
      <w:color w:val="0000FF"/>
      <w:sz w:val="21"/>
      <w:u w:val="single" w:color="0000FF"/>
      <w:vertAlign w:val="baseline"/>
      <w:lang w:val="en-US" w:eastAsia="zh-CN"/>
    </w:rPr>
  </w:style>
  <w:style w:type="character" w:customStyle="1" w:styleId="CharCharfb">
    <w:name w:val="报告书正文 Char Char"/>
    <w:locked/>
    <w:rsid w:val="00CA16C7"/>
    <w:rPr>
      <w:rFonts w:ascii="宋体" w:hAnsi="宋体" w:cs="宋体"/>
      <w:kern w:val="2"/>
      <w:sz w:val="24"/>
      <w:szCs w:val="24"/>
      <w:lang w:bidi="ar-SA"/>
    </w:rPr>
  </w:style>
  <w:style w:type="character" w:customStyle="1" w:styleId="tone1">
    <w:name w:val="tone1"/>
    <w:basedOn w:val="a3"/>
    <w:rsid w:val="00CA16C7"/>
  </w:style>
  <w:style w:type="character" w:customStyle="1" w:styleId="123CharChar">
    <w:name w:val="123 Char Char"/>
    <w:link w:val="123"/>
    <w:rsid w:val="00CA16C7"/>
    <w:rPr>
      <w:rFonts w:ascii="宋体" w:hAnsi="宋体"/>
      <w:kern w:val="2"/>
      <w:sz w:val="24"/>
    </w:rPr>
  </w:style>
  <w:style w:type="character" w:customStyle="1" w:styleId="style81">
    <w:name w:val="style81"/>
    <w:rsid w:val="00CA16C7"/>
    <w:rPr>
      <w:rFonts w:ascii="宋体" w:hAnsi="宋体" w:cs="宋体"/>
      <w:color w:val="FFFFFF"/>
      <w:sz w:val="24"/>
    </w:rPr>
  </w:style>
  <w:style w:type="character" w:customStyle="1" w:styleId="meSCharChar">
    <w:name w:val="me正文S Char Char"/>
    <w:rsid w:val="00CA16C7"/>
    <w:rPr>
      <w:rFonts w:cs="宋体"/>
      <w:kern w:val="2"/>
      <w:sz w:val="28"/>
    </w:rPr>
  </w:style>
  <w:style w:type="character" w:customStyle="1" w:styleId="02Char">
    <w:name w:val="0标题2 Char"/>
    <w:link w:val="020"/>
    <w:rsid w:val="00CA16C7"/>
    <w:rPr>
      <w:rFonts w:cs="Arial"/>
      <w:b/>
      <w:bCs/>
      <w:kern w:val="2"/>
      <w:sz w:val="32"/>
      <w:szCs w:val="32"/>
    </w:rPr>
  </w:style>
  <w:style w:type="character" w:customStyle="1" w:styleId="content1">
    <w:name w:val="content1"/>
    <w:rsid w:val="00CA16C7"/>
    <w:rPr>
      <w:rFonts w:ascii="宋体" w:hAnsi="宋体" w:cs="宋体"/>
      <w:spacing w:val="270"/>
      <w:sz w:val="21"/>
      <w:szCs w:val="21"/>
    </w:rPr>
  </w:style>
  <w:style w:type="character" w:customStyle="1" w:styleId="Char1b">
    <w:name w:val="正文文本缩进 Char1"/>
    <w:rsid w:val="00CA16C7"/>
    <w:rPr>
      <w:rFonts w:ascii="Calibri" w:eastAsia="宋体" w:hAnsi="Calibri"/>
      <w:color w:val="000000"/>
      <w:spacing w:val="2"/>
      <w:kern w:val="2"/>
      <w:sz w:val="28"/>
      <w:szCs w:val="24"/>
    </w:rPr>
  </w:style>
  <w:style w:type="character" w:customStyle="1" w:styleId="Charfff6">
    <w:name w:val="正文格式 Char"/>
    <w:link w:val="afffff8"/>
    <w:rsid w:val="00CA16C7"/>
    <w:rPr>
      <w:rFonts w:ascii="宋体" w:hAnsi="宋体" w:cs="宋体"/>
      <w:kern w:val="2"/>
      <w:sz w:val="24"/>
      <w:szCs w:val="24"/>
    </w:rPr>
  </w:style>
  <w:style w:type="character" w:customStyle="1" w:styleId="linet1">
    <w:name w:val="linet1"/>
    <w:rsid w:val="00CA16C7"/>
    <w:rPr>
      <w:rFonts w:ascii="ˎ̥" w:hAnsi="ˎ̥" w:hint="default"/>
      <w:sz w:val="20"/>
      <w:szCs w:val="20"/>
    </w:rPr>
  </w:style>
  <w:style w:type="character" w:customStyle="1" w:styleId="txt1">
    <w:name w:val="txt1"/>
    <w:rsid w:val="00CA16C7"/>
    <w:rPr>
      <w:color w:val="000000"/>
      <w:sz w:val="21"/>
      <w:szCs w:val="21"/>
      <w:u w:val="none"/>
    </w:rPr>
  </w:style>
  <w:style w:type="character" w:customStyle="1" w:styleId="fs">
    <w:name w:val="fs"/>
    <w:rsid w:val="00CA16C7"/>
  </w:style>
  <w:style w:type="character" w:customStyle="1" w:styleId="FontStyle21">
    <w:name w:val="Font Style21"/>
    <w:rsid w:val="00CA16C7"/>
    <w:rPr>
      <w:rFonts w:ascii="宋体" w:eastAsia="宋体" w:cs="宋体"/>
      <w:b/>
      <w:bCs/>
      <w:spacing w:val="-60"/>
      <w:sz w:val="60"/>
      <w:szCs w:val="60"/>
    </w:rPr>
  </w:style>
  <w:style w:type="character" w:customStyle="1" w:styleId="Char1c">
    <w:name w:val="批注文字 Char1"/>
    <w:rsid w:val="00CA16C7"/>
    <w:rPr>
      <w:kern w:val="2"/>
      <w:sz w:val="28"/>
      <w:szCs w:val="24"/>
    </w:rPr>
  </w:style>
  <w:style w:type="character" w:customStyle="1" w:styleId="htmltxt1">
    <w:name w:val="html_txt1"/>
    <w:rsid w:val="00CA16C7"/>
    <w:rPr>
      <w:rFonts w:ascii="宋体" w:hAnsi="宋体" w:cs="宋体"/>
      <w:color w:val="000000"/>
      <w:sz w:val="24"/>
    </w:rPr>
  </w:style>
  <w:style w:type="character" w:customStyle="1" w:styleId="2Char1Char">
    <w:name w:val="标题 2 Char1 Char"/>
    <w:aliases w:val="标题 2 Char Char Char1,标题 2 Char Char1,标题 2 Char Char Char Char Char"/>
    <w:rsid w:val="00CA16C7"/>
    <w:rPr>
      <w:rFonts w:eastAsia="黑体"/>
      <w:bCs/>
      <w:spacing w:val="-2"/>
      <w:sz w:val="28"/>
      <w:szCs w:val="28"/>
      <w:lang w:val="en-US" w:eastAsia="zh-CN" w:bidi="ar-SA"/>
    </w:rPr>
  </w:style>
  <w:style w:type="character" w:customStyle="1" w:styleId="CharCharfc">
    <w:name w:val="页眉 Char Char"/>
    <w:rsid w:val="00CA16C7"/>
    <w:rPr>
      <w:kern w:val="2"/>
      <w:sz w:val="18"/>
    </w:rPr>
  </w:style>
  <w:style w:type="character" w:customStyle="1" w:styleId="1Char5">
    <w:name w:val="样式 宋体 四号1 Char"/>
    <w:link w:val="19"/>
    <w:locked/>
    <w:rsid w:val="00CA16C7"/>
    <w:rPr>
      <w:rFonts w:ascii="宋体" w:hAnsi="宋体"/>
      <w:kern w:val="2"/>
      <w:sz w:val="28"/>
      <w:szCs w:val="24"/>
    </w:rPr>
  </w:style>
  <w:style w:type="character" w:customStyle="1" w:styleId="24CharChar">
    <w:name w:val="样式 宋体 小四 行距: 固定值 24 磅 Char Char"/>
    <w:link w:val="240"/>
    <w:rsid w:val="00CA16C7"/>
    <w:rPr>
      <w:rFonts w:ascii="宋体" w:hAnsi="宋体" w:cs="宋体"/>
      <w:bCs/>
      <w:spacing w:val="4"/>
      <w:sz w:val="24"/>
      <w:szCs w:val="24"/>
    </w:rPr>
  </w:style>
  <w:style w:type="character" w:customStyle="1" w:styleId="txt">
    <w:name w:val="txt"/>
    <w:basedOn w:val="a3"/>
    <w:rsid w:val="00CA16C7"/>
  </w:style>
  <w:style w:type="character" w:customStyle="1" w:styleId="6Char0">
    <w:name w:val="样式6 Char"/>
    <w:link w:val="61"/>
    <w:rsid w:val="00CA16C7"/>
    <w:rPr>
      <w:kern w:val="2"/>
      <w:sz w:val="21"/>
      <w:szCs w:val="24"/>
    </w:rPr>
  </w:style>
  <w:style w:type="character" w:customStyle="1" w:styleId="4Char1">
    <w:name w:val="我的样式4正文 Char"/>
    <w:link w:val="44"/>
    <w:rsid w:val="00CA16C7"/>
    <w:rPr>
      <w:rFonts w:eastAsia="宋体"/>
      <w:kern w:val="2"/>
      <w:sz w:val="24"/>
      <w:szCs w:val="24"/>
      <w:lang w:val="en-US" w:eastAsia="zh-CN" w:bidi="ar-SA"/>
    </w:rPr>
  </w:style>
  <w:style w:type="character" w:customStyle="1" w:styleId="2CharChar2">
    <w:name w:val="正文文本 2 Char Char"/>
    <w:rsid w:val="00CA16C7"/>
    <w:rPr>
      <w:rFonts w:eastAsia="宋体"/>
      <w:kern w:val="2"/>
      <w:sz w:val="21"/>
      <w:szCs w:val="24"/>
      <w:lang w:val="en-US" w:eastAsia="zh-CN" w:bidi="ar-SA"/>
    </w:rPr>
  </w:style>
  <w:style w:type="character" w:customStyle="1" w:styleId="TimesNewRomanChar">
    <w:name w:val="样式 题注 + (西文) Times New Roman (中文) 宋体 小四 加粗 自动设置 Char"/>
    <w:link w:val="TimesNewRoman0"/>
    <w:rsid w:val="00CA16C7"/>
    <w:rPr>
      <w:rFonts w:ascii="Arial" w:hAnsi="Arial"/>
      <w:kern w:val="21"/>
      <w:sz w:val="24"/>
    </w:rPr>
  </w:style>
  <w:style w:type="character" w:customStyle="1" w:styleId="CharCharfd">
    <w:name w:val="表格内容 Char Char"/>
    <w:rsid w:val="00CA16C7"/>
    <w:rPr>
      <w:rFonts w:eastAsia="宋体"/>
      <w:kern w:val="2"/>
      <w:sz w:val="21"/>
      <w:szCs w:val="21"/>
      <w:lang w:val="en-US" w:eastAsia="zh-CN" w:bidi="ar-SA"/>
    </w:rPr>
  </w:style>
  <w:style w:type="character" w:customStyle="1" w:styleId="afffffa">
    <w:name w:val="表格头 字符"/>
    <w:link w:val="afffff9"/>
    <w:uiPriority w:val="1"/>
    <w:rsid w:val="00CA16C7"/>
    <w:rPr>
      <w:rFonts w:eastAsia="黑体" w:cs="黑体"/>
      <w:sz w:val="24"/>
      <w:szCs w:val="24"/>
    </w:rPr>
  </w:style>
  <w:style w:type="character" w:customStyle="1" w:styleId="Charfff7">
    <w:name w:val="表标题 Char"/>
    <w:link w:val="afffffb"/>
    <w:rsid w:val="00CA16C7"/>
    <w:rPr>
      <w:rFonts w:ascii="黑体" w:hAnsi="宋体"/>
      <w:b/>
      <w:bCs/>
      <w:sz w:val="24"/>
    </w:rPr>
  </w:style>
  <w:style w:type="character" w:customStyle="1" w:styleId="afffffffffffff2">
    <w:name w:val="样式 (中文) 仿宋体 小五"/>
    <w:rsid w:val="00CA16C7"/>
    <w:rPr>
      <w:rFonts w:eastAsia="宋体"/>
      <w:spacing w:val="0"/>
      <w:kern w:val="2"/>
      <w:sz w:val="18"/>
    </w:rPr>
  </w:style>
  <w:style w:type="character" w:customStyle="1" w:styleId="Charfff8">
    <w:name w:val="启明正文 Char"/>
    <w:link w:val="afffffc"/>
    <w:rsid w:val="00CA16C7"/>
    <w:rPr>
      <w:rFonts w:ascii="宋体" w:hAnsi="宋体" w:cs="宋体"/>
      <w:kern w:val="2"/>
      <w:sz w:val="24"/>
    </w:rPr>
  </w:style>
  <w:style w:type="character" w:customStyle="1" w:styleId="a3CharChar">
    <w:name w:val="a3 Char Char"/>
    <w:link w:val="a30"/>
    <w:rsid w:val="00CA16C7"/>
    <w:rPr>
      <w:kern w:val="2"/>
      <w:sz w:val="28"/>
    </w:rPr>
  </w:style>
  <w:style w:type="character" w:customStyle="1" w:styleId="1CharChar0">
    <w:name w:val="样式 标题 1 + 三号 Char Char"/>
    <w:link w:val="1a"/>
    <w:rsid w:val="00CA16C7"/>
    <w:rPr>
      <w:b/>
      <w:bCs/>
      <w:kern w:val="44"/>
      <w:sz w:val="44"/>
      <w:szCs w:val="44"/>
    </w:rPr>
  </w:style>
  <w:style w:type="character" w:customStyle="1" w:styleId="afffffffffffff3">
    <w:name w:val="样式 +中文正文 小四 黑色 字距调整四号"/>
    <w:rsid w:val="00CA16C7"/>
    <w:rPr>
      <w:rFonts w:ascii="宋体" w:eastAsia="宋体" w:hAnsi="宋体"/>
      <w:color w:val="000000"/>
      <w:kern w:val="28"/>
      <w:sz w:val="24"/>
    </w:rPr>
  </w:style>
  <w:style w:type="character" w:customStyle="1" w:styleId="Charfff9">
    <w:name w:val="表格文字 Char"/>
    <w:link w:val="afffffd"/>
    <w:rsid w:val="00CA16C7"/>
    <w:rPr>
      <w:rFonts w:eastAsia="宋体"/>
      <w:spacing w:val="10"/>
      <w:sz w:val="21"/>
      <w:szCs w:val="21"/>
      <w:lang w:val="en-US" w:eastAsia="zh-CN" w:bidi="ar-SA"/>
    </w:rPr>
  </w:style>
  <w:style w:type="character" w:customStyle="1" w:styleId="CharChar17">
    <w:name w:val="Char Char17"/>
    <w:rsid w:val="00CA16C7"/>
    <w:rPr>
      <w:rFonts w:eastAsia="宋体"/>
      <w:b/>
      <w:bCs/>
      <w:kern w:val="2"/>
      <w:sz w:val="32"/>
      <w:szCs w:val="32"/>
      <w:lang w:val="en-US" w:eastAsia="zh-CN" w:bidi="ar-SA"/>
    </w:rPr>
  </w:style>
  <w:style w:type="character" w:customStyle="1" w:styleId="-03Char">
    <w:name w:val="样式 表格内容-两端对齐 + 紧缩量  0.3 磅 Char"/>
    <w:rsid w:val="00CA16C7"/>
    <w:rPr>
      <w:rFonts w:eastAsia="仿宋_GB2312"/>
      <w:color w:val="000000"/>
      <w:spacing w:val="-6"/>
      <w:kern w:val="2"/>
      <w:sz w:val="21"/>
      <w:lang w:val="zh-CN" w:eastAsia="zh-CN"/>
    </w:rPr>
  </w:style>
  <w:style w:type="character" w:customStyle="1" w:styleId="Char30">
    <w:name w:val="纯文本 Char3"/>
    <w:uiPriority w:val="99"/>
    <w:semiHidden/>
    <w:rsid w:val="00CA16C7"/>
    <w:rPr>
      <w:rFonts w:ascii="宋体" w:hAnsi="Courier New" w:cs="Courier New"/>
      <w:kern w:val="2"/>
      <w:sz w:val="21"/>
      <w:szCs w:val="21"/>
    </w:rPr>
  </w:style>
  <w:style w:type="character" w:customStyle="1" w:styleId="FontStyle20">
    <w:name w:val="Font Style20"/>
    <w:rsid w:val="00CA16C7"/>
    <w:rPr>
      <w:rFonts w:ascii="宋体" w:eastAsia="宋体" w:cs="宋体"/>
      <w:b/>
      <w:bCs/>
      <w:sz w:val="20"/>
      <w:szCs w:val="20"/>
    </w:rPr>
  </w:style>
  <w:style w:type="character" w:customStyle="1" w:styleId="CharCharfe">
    <w:name w:val="批注主题 Char Char"/>
    <w:rsid w:val="00CA16C7"/>
    <w:rPr>
      <w:b/>
      <w:bCs/>
      <w:kern w:val="2"/>
      <w:sz w:val="28"/>
    </w:rPr>
  </w:style>
  <w:style w:type="character" w:customStyle="1" w:styleId="Charfffa">
    <w:name w:val="报告书正文 Char"/>
    <w:link w:val="afffffe"/>
    <w:rsid w:val="00CA16C7"/>
    <w:rPr>
      <w:rFonts w:ascii="宋体" w:hAnsi="宋体"/>
      <w:b/>
      <w:i/>
      <w:kern w:val="2"/>
      <w:sz w:val="24"/>
      <w:szCs w:val="24"/>
      <w:u w:val="single"/>
    </w:rPr>
  </w:style>
  <w:style w:type="character" w:customStyle="1" w:styleId="Charfffb">
    <w:name w:val="样式 四号 Char"/>
    <w:link w:val="affffff"/>
    <w:locked/>
    <w:rsid w:val="00CA16C7"/>
    <w:rPr>
      <w:kern w:val="2"/>
      <w:sz w:val="28"/>
    </w:rPr>
  </w:style>
  <w:style w:type="character" w:customStyle="1" w:styleId="Char1d">
    <w:name w:val="正文缩进 Char1"/>
    <w:aliases w:val="正文（首行缩进两字） Char Char1,正文（首行缩进两字） Char Char Char Char Char Char Char Char,表正文 Char,正文非缩进 Char,段1 Char,Body Text(ch) Char,缩进 Char,ALT+Z Char,特点 Char,四号 Char,正文不缩进 Char,标题4 Char,正文2 Char,正文（首行缩进两字） Char Char Char Char,正文（首行缩进两字） Char Char Char1"/>
    <w:rsid w:val="00CA16C7"/>
    <w:rPr>
      <w:rFonts w:eastAsia="宋体"/>
      <w:kern w:val="2"/>
      <w:sz w:val="28"/>
      <w:szCs w:val="24"/>
      <w:lang w:val="en-US" w:eastAsia="zh-CN" w:bidi="ar-SA"/>
    </w:rPr>
  </w:style>
  <w:style w:type="character" w:customStyle="1" w:styleId="Char1e">
    <w:name w:val="日期 Char1"/>
    <w:uiPriority w:val="99"/>
    <w:semiHidden/>
    <w:rsid w:val="00CA16C7"/>
    <w:rPr>
      <w:rFonts w:ascii="Times New Roman" w:hAnsi="Times New Roman"/>
      <w:kern w:val="2"/>
      <w:sz w:val="28"/>
    </w:rPr>
  </w:style>
  <w:style w:type="character" w:customStyle="1" w:styleId="FontStyle19">
    <w:name w:val="Font Style19"/>
    <w:rsid w:val="00CA16C7"/>
    <w:rPr>
      <w:rFonts w:ascii="宋体" w:eastAsia="宋体" w:cs="宋体"/>
      <w:b/>
      <w:bCs/>
      <w:sz w:val="22"/>
      <w:szCs w:val="22"/>
    </w:rPr>
  </w:style>
  <w:style w:type="character" w:customStyle="1" w:styleId="Charfffc">
    <w:name w:val="丰达正文 Char"/>
    <w:link w:val="affffff0"/>
    <w:locked/>
    <w:rsid w:val="00CA16C7"/>
    <w:rPr>
      <w:kern w:val="2"/>
      <w:sz w:val="24"/>
      <w:szCs w:val="24"/>
    </w:rPr>
  </w:style>
  <w:style w:type="character" w:customStyle="1" w:styleId="CharChar60">
    <w:name w:val="Char Char6"/>
    <w:locked/>
    <w:rsid w:val="00CA16C7"/>
    <w:rPr>
      <w:rFonts w:ascii="宋体" w:eastAsia="宋体" w:hAnsi="宋体" w:cs="宋体"/>
      <w:kern w:val="2"/>
      <w:sz w:val="16"/>
      <w:szCs w:val="16"/>
      <w:lang w:val="en-US" w:eastAsia="zh-CN" w:bidi="ar-SA"/>
    </w:rPr>
  </w:style>
  <w:style w:type="character" w:customStyle="1" w:styleId="headline-content">
    <w:name w:val="headline-content"/>
    <w:rsid w:val="00CA16C7"/>
    <w:rPr>
      <w:rFonts w:ascii="宋体" w:hAnsi="宋体" w:cs="宋体"/>
      <w:b/>
      <w:bCs/>
      <w:kern w:val="44"/>
      <w:sz w:val="32"/>
      <w:szCs w:val="32"/>
    </w:rPr>
  </w:style>
  <w:style w:type="character" w:customStyle="1" w:styleId="ZWChar">
    <w:name w:val="ZW Char"/>
    <w:link w:val="ZW"/>
    <w:rsid w:val="00CA16C7"/>
    <w:rPr>
      <w:rFonts w:eastAsia="仿宋_GB2312"/>
      <w:sz w:val="28"/>
    </w:rPr>
  </w:style>
  <w:style w:type="character" w:customStyle="1" w:styleId="30Char">
    <w:name w:val="样式 标题 3头 + 首行缩进:  0 厘米 Char"/>
    <w:link w:val="300"/>
    <w:rsid w:val="00CA16C7"/>
    <w:rPr>
      <w:rFonts w:ascii="宋体" w:hAnsi="宋体"/>
      <w:bCs/>
      <w:kern w:val="2"/>
      <w:sz w:val="24"/>
      <w:szCs w:val="24"/>
      <w:lang w:val="de-DE"/>
    </w:rPr>
  </w:style>
  <w:style w:type="character" w:customStyle="1" w:styleId="AChar0">
    <w:name w:val="A正文 Char"/>
    <w:link w:val="Affffff1"/>
    <w:rsid w:val="00CA16C7"/>
    <w:rPr>
      <w:rFonts w:ascii="Calibri" w:hAnsi="宋体" w:cs="宋体"/>
      <w:kern w:val="2"/>
      <w:sz w:val="24"/>
      <w:szCs w:val="24"/>
    </w:rPr>
  </w:style>
  <w:style w:type="character" w:customStyle="1" w:styleId="style110">
    <w:name w:val="style11"/>
    <w:rsid w:val="00CA16C7"/>
    <w:rPr>
      <w:color w:val="FFFF00"/>
    </w:rPr>
  </w:style>
  <w:style w:type="character" w:customStyle="1" w:styleId="1Char6">
    <w:name w:val="1表格内容 Char"/>
    <w:link w:val="1b"/>
    <w:rsid w:val="00CA16C7"/>
    <w:rPr>
      <w:kern w:val="2"/>
      <w:sz w:val="21"/>
    </w:rPr>
  </w:style>
  <w:style w:type="character" w:customStyle="1" w:styleId="CharCharff">
    <w:name w:val="於正文 Char Char"/>
    <w:rsid w:val="00CA16C7"/>
    <w:rPr>
      <w:rFonts w:ascii="仿宋_GB2312" w:eastAsia="仿宋_GB2312" w:hAnsi="仿宋_GB2312"/>
      <w:color w:val="0000FF"/>
      <w:kern w:val="2"/>
      <w:sz w:val="30"/>
      <w:szCs w:val="24"/>
    </w:rPr>
  </w:style>
  <w:style w:type="character" w:customStyle="1" w:styleId="CharCharCharCharChar">
    <w:name w:val="Char Char Char Char Char"/>
    <w:locked/>
    <w:rsid w:val="00CA16C7"/>
    <w:rPr>
      <w:rFonts w:ascii="宋体" w:hAnsi="宋体" w:cs="宋体"/>
      <w:kern w:val="2"/>
      <w:sz w:val="21"/>
      <w:szCs w:val="24"/>
      <w:lang w:bidi="ar-SA"/>
    </w:rPr>
  </w:style>
  <w:style w:type="character" w:customStyle="1" w:styleId="1Char7">
    <w:name w:val="正文1 Char"/>
    <w:link w:val="1c"/>
    <w:rsid w:val="00CA16C7"/>
    <w:rPr>
      <w:kern w:val="2"/>
      <w:sz w:val="24"/>
      <w:szCs w:val="24"/>
    </w:rPr>
  </w:style>
  <w:style w:type="character" w:customStyle="1" w:styleId="CharCharff0">
    <w:name w:val="表格文字 Char Char"/>
    <w:locked/>
    <w:rsid w:val="00CA16C7"/>
    <w:rPr>
      <w:snapToGrid/>
      <w:sz w:val="24"/>
      <w:szCs w:val="24"/>
    </w:rPr>
  </w:style>
  <w:style w:type="character" w:customStyle="1" w:styleId="0Char3">
    <w:name w:val="0图表题 Char"/>
    <w:link w:val="05"/>
    <w:rsid w:val="00CA16C7"/>
    <w:rPr>
      <w:b/>
      <w:spacing w:val="2"/>
      <w:kern w:val="2"/>
      <w:sz w:val="24"/>
      <w:szCs w:val="24"/>
    </w:rPr>
  </w:style>
  <w:style w:type="character" w:customStyle="1" w:styleId="3CharCharChar">
    <w:name w:val="标题 3 Char Char Char"/>
    <w:aliases w:val="MB3 Char1,标题 3XW Char2,3 Char1,h3 Char1,3rd level Char1,H3 Char1,l3 Char1,CT Char1,H31 Char1,H32 Char1,H33 Char1,u3 Char1,标题 3 Char Char Char Char Char2,标题 3 Char Char Char Char Char Char Char Char1,段 Char1"/>
    <w:qFormat/>
    <w:rsid w:val="00CA16C7"/>
    <w:rPr>
      <w:rFonts w:eastAsia="幼圆"/>
      <w:b/>
      <w:kern w:val="2"/>
      <w:sz w:val="28"/>
      <w:lang w:val="en-US" w:eastAsia="zh-CN" w:bidi="ar-SA"/>
    </w:rPr>
  </w:style>
  <w:style w:type="character" w:customStyle="1" w:styleId="1fff2">
    <w:name w:val="已访问的超链接1"/>
    <w:rsid w:val="00CA16C7"/>
    <w:rPr>
      <w:rFonts w:ascii="Times New Roman" w:eastAsia="宋体" w:hint="default"/>
      <w:color w:val="800080"/>
      <w:kern w:val="2"/>
      <w:sz w:val="28"/>
      <w:u w:val="single"/>
      <w:lang w:val="en-US" w:eastAsia="zh-CN"/>
    </w:rPr>
  </w:style>
  <w:style w:type="character" w:customStyle="1" w:styleId="font31">
    <w:name w:val="font31"/>
    <w:rsid w:val="00CA16C7"/>
    <w:rPr>
      <w:rFonts w:ascii="宋体" w:eastAsia="宋体" w:hAnsi="宋体" w:cs="宋体" w:hint="eastAsia"/>
      <w:b/>
      <w:color w:val="000000"/>
      <w:sz w:val="24"/>
      <w:szCs w:val="24"/>
      <w:u w:val="none"/>
    </w:rPr>
  </w:style>
  <w:style w:type="character" w:customStyle="1" w:styleId="afffffffffffff4">
    <w:name w:val="样式 宋体 四号 黑色"/>
    <w:rsid w:val="00CA16C7"/>
    <w:rPr>
      <w:rFonts w:ascii="Times New Roman" w:eastAsia="宋体" w:hAnsi="Times New Roman"/>
      <w:color w:val="000000"/>
      <w:sz w:val="28"/>
    </w:rPr>
  </w:style>
  <w:style w:type="character" w:customStyle="1" w:styleId="Char11">
    <w:name w:val="表头 Char1"/>
    <w:link w:val="affffff2"/>
    <w:rsid w:val="00CA16C7"/>
    <w:rPr>
      <w:b/>
      <w:kern w:val="2"/>
      <w:sz w:val="24"/>
      <w:lang w:val="de-DE"/>
    </w:rPr>
  </w:style>
  <w:style w:type="character" w:customStyle="1" w:styleId="CharCharff1">
    <w:name w:val="表格标题 Char Char"/>
    <w:locked/>
    <w:rsid w:val="00CA16C7"/>
    <w:rPr>
      <w:rFonts w:ascii="宋体" w:eastAsia="宋体" w:hAnsi="宋体"/>
      <w:kern w:val="2"/>
      <w:sz w:val="24"/>
      <w:lang w:val="en-US" w:eastAsia="zh-CN" w:bidi="ar-SA"/>
    </w:rPr>
  </w:style>
  <w:style w:type="character" w:customStyle="1" w:styleId="CharCharff2">
    <w:name w:val="页脚 Char Char"/>
    <w:rsid w:val="00CA16C7"/>
    <w:rPr>
      <w:kern w:val="2"/>
      <w:sz w:val="18"/>
    </w:rPr>
  </w:style>
  <w:style w:type="character" w:customStyle="1" w:styleId="CharCharff3">
    <w:name w:val="正文文本 Char Char"/>
    <w:rsid w:val="00CA16C7"/>
    <w:rPr>
      <w:rFonts w:eastAsia="宋体"/>
      <w:kern w:val="2"/>
      <w:sz w:val="24"/>
      <w:szCs w:val="24"/>
      <w:lang w:val="en-US" w:eastAsia="zh-CN" w:bidi="ar-SA"/>
    </w:rPr>
  </w:style>
  <w:style w:type="character" w:customStyle="1" w:styleId="CharCharff4">
    <w:name w:val="我的表格标题 Char Char"/>
    <w:rsid w:val="00CA16C7"/>
    <w:rPr>
      <w:rFonts w:eastAsia="黑体"/>
      <w:kern w:val="2"/>
      <w:sz w:val="24"/>
      <w:szCs w:val="24"/>
      <w:lang w:val="en-US" w:eastAsia="zh-CN" w:bidi="ar-SA"/>
    </w:rPr>
  </w:style>
  <w:style w:type="character" w:customStyle="1" w:styleId="YZMChar1">
    <w:name w:val="YZM段落内容 Char1"/>
    <w:link w:val="YZM"/>
    <w:rsid w:val="00CA16C7"/>
    <w:rPr>
      <w:rFonts w:ascii="宋体" w:hAnsi="Arial"/>
      <w:sz w:val="24"/>
    </w:rPr>
  </w:style>
  <w:style w:type="character" w:customStyle="1" w:styleId="CharChar5">
    <w:name w:val="十矿 Char Char"/>
    <w:link w:val="affffff3"/>
    <w:rsid w:val="00CA16C7"/>
    <w:rPr>
      <w:rFonts w:cs="宋体"/>
      <w:kern w:val="2"/>
      <w:sz w:val="28"/>
    </w:rPr>
  </w:style>
  <w:style w:type="character" w:customStyle="1" w:styleId="Charfffd">
    <w:name w:val="圣达四级标题 Char"/>
    <w:link w:val="affffff4"/>
    <w:locked/>
    <w:rsid w:val="00CA16C7"/>
    <w:rPr>
      <w:rFonts w:ascii="宋体" w:hAnsi="宋体"/>
      <w:b/>
      <w:kern w:val="2"/>
      <w:sz w:val="24"/>
      <w:szCs w:val="24"/>
    </w:rPr>
  </w:style>
  <w:style w:type="character" w:customStyle="1" w:styleId="Charfffe">
    <w:name w:val="报告正文 Char"/>
    <w:link w:val="affffff5"/>
    <w:locked/>
    <w:rsid w:val="00CA16C7"/>
    <w:rPr>
      <w:rFonts w:ascii="宋体" w:hAnsi="宋体"/>
      <w:color w:val="000000"/>
      <w:kern w:val="2"/>
      <w:sz w:val="24"/>
      <w:szCs w:val="24"/>
    </w:rPr>
  </w:style>
  <w:style w:type="character" w:customStyle="1" w:styleId="04Char0">
    <w:name w:val="0标题4 Char"/>
    <w:link w:val="040"/>
    <w:rsid w:val="00CA16C7"/>
    <w:rPr>
      <w:rFonts w:ascii="Calibri" w:hAnsi="Calibri" w:cs="宋体"/>
      <w:b/>
      <w:bCs/>
      <w:kern w:val="2"/>
      <w:sz w:val="24"/>
      <w:szCs w:val="24"/>
    </w:rPr>
  </w:style>
  <w:style w:type="character" w:customStyle="1" w:styleId="FontStyle25">
    <w:name w:val="Font Style25"/>
    <w:rsid w:val="00CA16C7"/>
    <w:rPr>
      <w:rFonts w:ascii="宋体" w:eastAsia="宋体" w:cs="宋体"/>
      <w:sz w:val="20"/>
      <w:szCs w:val="20"/>
    </w:rPr>
  </w:style>
  <w:style w:type="character" w:customStyle="1" w:styleId="FontStyle37">
    <w:name w:val="Font Style37"/>
    <w:rsid w:val="00CA16C7"/>
    <w:rPr>
      <w:rFonts w:ascii="Sylfaen" w:hAnsi="Sylfaen" w:cs="Sylfaen"/>
      <w:b/>
      <w:bCs/>
      <w:sz w:val="24"/>
      <w:szCs w:val="24"/>
    </w:rPr>
  </w:style>
  <w:style w:type="character" w:customStyle="1" w:styleId="Charffff">
    <w:name w:val="正文文本的 Char"/>
    <w:link w:val="affffff6"/>
    <w:rsid w:val="00CA16C7"/>
    <w:rPr>
      <w:rFonts w:ascii="宋体" w:hAnsi="宋体" w:cs="宋体"/>
      <w:kern w:val="2"/>
      <w:sz w:val="24"/>
    </w:rPr>
  </w:style>
  <w:style w:type="character" w:customStyle="1" w:styleId="product04">
    <w:name w:val="product_04"/>
    <w:rsid w:val="00CA16C7"/>
    <w:rPr>
      <w:rFonts w:ascii="宋体" w:hAnsi="宋体" w:cs="宋体"/>
      <w:sz w:val="24"/>
    </w:rPr>
  </w:style>
  <w:style w:type="character" w:customStyle="1" w:styleId="Char1f">
    <w:name w:val="尾注文本 Char1"/>
    <w:uiPriority w:val="99"/>
    <w:rsid w:val="00CA16C7"/>
    <w:rPr>
      <w:rFonts w:ascii="Calibri" w:hAnsi="Calibri"/>
      <w:kern w:val="2"/>
      <w:sz w:val="28"/>
      <w:szCs w:val="24"/>
    </w:rPr>
  </w:style>
  <w:style w:type="character" w:customStyle="1" w:styleId="htmltag1">
    <w:name w:val="html_tag1"/>
    <w:rsid w:val="00CA16C7"/>
    <w:rPr>
      <w:rFonts w:ascii="宋体" w:hAnsi="宋体" w:cs="宋体"/>
      <w:color w:val="0000FF"/>
      <w:sz w:val="24"/>
    </w:rPr>
  </w:style>
  <w:style w:type="character" w:customStyle="1" w:styleId="1Char8">
    <w:name w:val="样式1 Char"/>
    <w:link w:val="1d"/>
    <w:rsid w:val="00CA16C7"/>
    <w:rPr>
      <w:kern w:val="2"/>
      <w:sz w:val="28"/>
      <w:szCs w:val="18"/>
    </w:rPr>
  </w:style>
  <w:style w:type="character" w:customStyle="1" w:styleId="Char1f0">
    <w:name w:val="表正文 Char1"/>
    <w:aliases w:val="正文非缩进 Char1,段1 Char1,Body Text(ch) Char1,缩进 Char1,ALT+Z Char1,特点 Char1,四号 Char1,正文不缩进 Char1,标题4 Char1,正文2 Char1,正文（首行缩进两字） Char Char Char Char1,正文（首行缩进两字） Char Char2,正文缩进1 Char1,首行缩进 Char1,正文（首行缩进两字） Char Char Char2,d Char1,标题四 Char1"/>
    <w:rsid w:val="00CA16C7"/>
    <w:rPr>
      <w:rFonts w:eastAsia="宋体"/>
      <w:b/>
      <w:kern w:val="2"/>
      <w:sz w:val="28"/>
      <w:szCs w:val="24"/>
      <w:lang w:val="en-US" w:eastAsia="zh-CN" w:bidi="ar-SA"/>
    </w:rPr>
  </w:style>
  <w:style w:type="table" w:customStyle="1" w:styleId="1fff3">
    <w:name w:val="表格主题1"/>
    <w:basedOn w:val="a4"/>
    <w:rsid w:val="00CA16C7"/>
    <w:pPr>
      <w:widowControl w:val="0"/>
      <w:jc w:val="both"/>
    </w:pPr>
    <w:rPr>
      <w:sz w:val="21"/>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rsid w:val="00CA16C7"/>
    <w:pPr>
      <w:widowControl w:val="0"/>
    </w:pPr>
    <w:rPr>
      <w:rFonts w:ascii="Calibri" w:hAnsi="Calibri"/>
      <w:bCs/>
      <w:sz w:val="22"/>
      <w:szCs w:val="22"/>
      <w:lang w:eastAsia="en-US"/>
    </w:rPr>
    <w:tblPr>
      <w:tblCellMar>
        <w:top w:w="0" w:type="dxa"/>
        <w:left w:w="0" w:type="dxa"/>
        <w:bottom w:w="0" w:type="dxa"/>
        <w:right w:w="0" w:type="dxa"/>
      </w:tblCellMar>
    </w:tblPr>
  </w:style>
  <w:style w:type="table" w:customStyle="1" w:styleId="710">
    <w:name w:val="网格型 71"/>
    <w:basedOn w:val="a4"/>
    <w:rsid w:val="00CA16C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11">
    <w:name w:val="Table Normal11"/>
    <w:uiPriority w:val="2"/>
    <w:unhideWhenUsed/>
    <w:qFormat/>
    <w:rsid w:val="00CA16C7"/>
    <w:pPr>
      <w:widowControl w:val="0"/>
    </w:pPr>
    <w:rPr>
      <w:rFonts w:ascii="Calibri" w:hAnsi="Calibri"/>
      <w:bCs/>
      <w:sz w:val="22"/>
      <w:szCs w:val="22"/>
      <w:lang w:eastAsia="en-US"/>
    </w:rPr>
    <w:tblPr>
      <w:tblCellMar>
        <w:top w:w="0" w:type="dxa"/>
        <w:left w:w="0" w:type="dxa"/>
        <w:bottom w:w="0" w:type="dxa"/>
        <w:right w:w="0" w:type="dxa"/>
      </w:tblCellMar>
    </w:tblPr>
  </w:style>
  <w:style w:type="table" w:customStyle="1" w:styleId="2ff1">
    <w:name w:val="网格型2"/>
    <w:basedOn w:val="a4"/>
    <w:rsid w:val="00CA16C7"/>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表格主题11"/>
    <w:basedOn w:val="a4"/>
    <w:rsid w:val="00CA16C7"/>
    <w:pPr>
      <w:widowControl w:val="0"/>
      <w:jc w:val="both"/>
    </w:pPr>
    <w:rPr>
      <w:rFonts w:ascii="宋体"/>
      <w:bCs/>
      <w:sz w:val="21"/>
      <w:szCs w:val="22"/>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CA16C7"/>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4">
    <w:name w:val="(环评报告表）1"/>
    <w:basedOn w:val="a4"/>
    <w:qFormat/>
    <w:rsid w:val="00CA16C7"/>
    <w:pPr>
      <w:widowControl w:val="0"/>
      <w:jc w:val="both"/>
    </w:pPr>
    <w:rPr>
      <w:rFonts w:ascii="宋体"/>
      <w:bCs/>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网格型3"/>
    <w:basedOn w:val="a4"/>
    <w:rsid w:val="00CA16C7"/>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5">
    <w:name w:val="网格型1"/>
    <w:basedOn w:val="a4"/>
    <w:rsid w:val="00CA16C7"/>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CA16C7"/>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6">
    <w:name w:val="专业型1"/>
    <w:basedOn w:val="a4"/>
    <w:rsid w:val="00CA16C7"/>
    <w:pPr>
      <w:widowControl w:val="0"/>
      <w:spacing w:line="300" w:lineRule="auto"/>
      <w:ind w:right="-45" w:firstLine="540"/>
    </w:pPr>
    <w:rPr>
      <w:rFonts w:ascii="宋体"/>
      <w:bCs/>
      <w:sz w:val="24"/>
      <w:szCs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215">
    <w:name w:val="样式 首行缩进:  2 字符1"/>
    <w:basedOn w:val="a0"/>
    <w:qFormat/>
    <w:rsid w:val="00483EE4"/>
    <w:pPr>
      <w:topLinePunct/>
      <w:spacing w:line="529" w:lineRule="exact"/>
      <w:ind w:firstLineChars="200" w:firstLine="480"/>
    </w:pPr>
    <w:rPr>
      <w:rFonts w:cs="宋体"/>
      <w:color w:val="000000"/>
      <w:sz w:val="24"/>
    </w:rPr>
  </w:style>
  <w:style w:type="character" w:customStyle="1" w:styleId="markedcontent">
    <w:name w:val="markedcontent"/>
    <w:basedOn w:val="a3"/>
    <w:rsid w:val="000318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footer" w:uiPriority="99"/>
    <w:lsdException w:name="caption" w:qFormat="1"/>
    <w:lsdException w:name="Title" w:qFormat="1"/>
    <w:lsdException w:name="Default Paragraph Font" w:semiHidden="1"/>
    <w:lsdException w:name="Body Text" w:qFormat="1"/>
    <w:lsdException w:name="Subtitle" w:qFormat="1"/>
    <w:lsdException w:name="Followed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9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kern w:val="2"/>
      <w:sz w:val="28"/>
      <w:szCs w:val="24"/>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2"/>
    <w:link w:val="2Char"/>
    <w:uiPriority w:val="99"/>
    <w:qFormat/>
    <w:pPr>
      <w:keepNext/>
      <w:keepLines/>
      <w:spacing w:before="120" w:after="120" w:line="500" w:lineRule="exact"/>
      <w:outlineLvl w:val="1"/>
    </w:pPr>
    <w:rPr>
      <w:rFonts w:ascii="Arial" w:eastAsia="黑体" w:hAnsi="Arial"/>
      <w:b/>
      <w:sz w:val="32"/>
      <w:szCs w:val="20"/>
    </w:rPr>
  </w:style>
  <w:style w:type="paragraph" w:styleId="30">
    <w:name w:val="heading 3"/>
    <w:basedOn w:val="a0"/>
    <w:next w:val="a0"/>
    <w:link w:val="3Char"/>
    <w:uiPriority w:val="99"/>
    <w:qFormat/>
    <w:pPr>
      <w:keepNext/>
      <w:keepLines/>
      <w:spacing w:before="260" w:after="260" w:line="416" w:lineRule="auto"/>
      <w:outlineLvl w:val="2"/>
    </w:pPr>
    <w:rPr>
      <w:b/>
      <w:bCs/>
      <w:sz w:val="32"/>
      <w:szCs w:val="32"/>
    </w:rPr>
  </w:style>
  <w:style w:type="paragraph" w:styleId="4">
    <w:name w:val="heading 4"/>
    <w:basedOn w:val="a0"/>
    <w:next w:val="a0"/>
    <w:link w:val="4Char"/>
    <w:uiPriority w:val="99"/>
    <w:qFormat/>
    <w:pPr>
      <w:keepNext/>
      <w:keepLines/>
      <w:spacing w:before="280" w:after="290" w:line="376" w:lineRule="auto"/>
      <w:outlineLvl w:val="3"/>
    </w:pPr>
    <w:rPr>
      <w:rFonts w:ascii="Arial" w:eastAsia="黑体" w:hAnsi="Arial"/>
      <w:b/>
      <w:bCs/>
      <w:szCs w:val="28"/>
    </w:rPr>
  </w:style>
  <w:style w:type="paragraph" w:styleId="5">
    <w:name w:val="heading 5"/>
    <w:basedOn w:val="a0"/>
    <w:next w:val="a0"/>
    <w:link w:val="5Char"/>
    <w:qFormat/>
    <w:pPr>
      <w:keepNext/>
      <w:keepLines/>
      <w:spacing w:before="280" w:after="290" w:line="376" w:lineRule="auto"/>
      <w:outlineLvl w:val="4"/>
    </w:pPr>
    <w:rPr>
      <w:b/>
      <w:bCs/>
      <w:szCs w:val="28"/>
    </w:rPr>
  </w:style>
  <w:style w:type="paragraph" w:styleId="6">
    <w:name w:val="heading 6"/>
    <w:basedOn w:val="a0"/>
    <w:next w:val="a0"/>
    <w:link w:val="6Char"/>
    <w:qFormat/>
    <w:pPr>
      <w:keepNext/>
      <w:keepLines/>
      <w:spacing w:before="240" w:after="64" w:line="320" w:lineRule="auto"/>
      <w:outlineLvl w:val="5"/>
    </w:pPr>
    <w:rPr>
      <w:rFonts w:ascii="Arial" w:eastAsia="黑体" w:hAnsi="Arial"/>
      <w:b/>
      <w:bCs/>
      <w:sz w:val="24"/>
    </w:rPr>
  </w:style>
  <w:style w:type="paragraph" w:styleId="7">
    <w:name w:val="heading 7"/>
    <w:basedOn w:val="a0"/>
    <w:next w:val="a0"/>
    <w:link w:val="7Char"/>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0"/>
    <w:next w:val="a0"/>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Char"/>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link w:val="Char"/>
    <w:qFormat/>
    <w:pPr>
      <w:spacing w:after="120"/>
    </w:pPr>
  </w:style>
  <w:style w:type="paragraph" w:styleId="a2">
    <w:name w:val="Normal Indent"/>
    <w:basedOn w:val="a0"/>
    <w:link w:val="Char0"/>
    <w:qFormat/>
    <w:pPr>
      <w:ind w:firstLineChars="200" w:firstLine="420"/>
    </w:pPr>
  </w:style>
  <w:style w:type="paragraph" w:styleId="31">
    <w:name w:val="List 3"/>
    <w:basedOn w:val="a0"/>
    <w:pPr>
      <w:ind w:leftChars="400" w:left="100" w:hangingChars="200" w:hanging="200"/>
    </w:pPr>
    <w:rPr>
      <w:sz w:val="21"/>
    </w:rPr>
  </w:style>
  <w:style w:type="paragraph" w:styleId="70">
    <w:name w:val="toc 7"/>
    <w:basedOn w:val="a0"/>
    <w:next w:val="a0"/>
    <w:uiPriority w:val="39"/>
    <w:pPr>
      <w:ind w:left="1260"/>
      <w:jc w:val="left"/>
    </w:pPr>
    <w:rPr>
      <w:sz w:val="18"/>
      <w:szCs w:val="18"/>
    </w:rPr>
  </w:style>
  <w:style w:type="paragraph" w:styleId="20">
    <w:name w:val="List Number 2"/>
    <w:basedOn w:val="a0"/>
    <w:pPr>
      <w:tabs>
        <w:tab w:val="left" w:pos="780"/>
      </w:tabs>
      <w:ind w:leftChars="200" w:left="780" w:hangingChars="200" w:hanging="360"/>
    </w:pPr>
    <w:rPr>
      <w:sz w:val="21"/>
    </w:rPr>
  </w:style>
  <w:style w:type="paragraph" w:styleId="a6">
    <w:name w:val="Note Heading"/>
    <w:basedOn w:val="a0"/>
    <w:next w:val="a0"/>
    <w:link w:val="Char1"/>
    <w:pPr>
      <w:jc w:val="center"/>
    </w:pPr>
    <w:rPr>
      <w:szCs w:val="20"/>
    </w:rPr>
  </w:style>
  <w:style w:type="paragraph" w:styleId="a7">
    <w:name w:val="List Number"/>
    <w:basedOn w:val="a0"/>
    <w:pPr>
      <w:tabs>
        <w:tab w:val="left" w:pos="360"/>
      </w:tabs>
      <w:ind w:left="360" w:hangingChars="200" w:hanging="360"/>
    </w:pPr>
    <w:rPr>
      <w:sz w:val="21"/>
    </w:rPr>
  </w:style>
  <w:style w:type="paragraph" w:styleId="a8">
    <w:name w:val="caption"/>
    <w:basedOn w:val="a0"/>
    <w:next w:val="a0"/>
    <w:link w:val="Char2"/>
    <w:qFormat/>
    <w:rPr>
      <w:rFonts w:ascii="Arial" w:eastAsia="黑体" w:hAnsi="Arial"/>
      <w:sz w:val="20"/>
      <w:szCs w:val="20"/>
    </w:rPr>
  </w:style>
  <w:style w:type="paragraph" w:styleId="a9">
    <w:name w:val="List Bullet"/>
    <w:basedOn w:val="a0"/>
    <w:pPr>
      <w:adjustRightInd w:val="0"/>
      <w:snapToGrid w:val="0"/>
      <w:spacing w:line="540" w:lineRule="atLeast"/>
      <w:ind w:leftChars="200" w:left="100" w:hangingChars="200" w:hanging="200"/>
    </w:pPr>
    <w:rPr>
      <w:rFonts w:hint="eastAsia"/>
      <w:sz w:val="21"/>
      <w:szCs w:val="20"/>
    </w:rPr>
  </w:style>
  <w:style w:type="paragraph" w:styleId="aa">
    <w:name w:val="Document Map"/>
    <w:basedOn w:val="a0"/>
    <w:link w:val="Char3"/>
    <w:pPr>
      <w:shd w:val="clear" w:color="auto" w:fill="000080"/>
    </w:pPr>
    <w:rPr>
      <w:sz w:val="21"/>
    </w:rPr>
  </w:style>
  <w:style w:type="paragraph" w:styleId="ab">
    <w:name w:val="annotation text"/>
    <w:basedOn w:val="a0"/>
    <w:link w:val="Char4"/>
    <w:qFormat/>
    <w:pPr>
      <w:jc w:val="left"/>
    </w:pPr>
    <w:rPr>
      <w:sz w:val="21"/>
      <w:szCs w:val="20"/>
    </w:rPr>
  </w:style>
  <w:style w:type="paragraph" w:styleId="32">
    <w:name w:val="Body Text 3"/>
    <w:basedOn w:val="a0"/>
    <w:link w:val="3Char0"/>
    <w:pPr>
      <w:spacing w:after="120"/>
    </w:pPr>
    <w:rPr>
      <w:sz w:val="16"/>
      <w:szCs w:val="16"/>
    </w:rPr>
  </w:style>
  <w:style w:type="paragraph" w:styleId="33">
    <w:name w:val="List Bullet 3"/>
    <w:basedOn w:val="a0"/>
    <w:pPr>
      <w:tabs>
        <w:tab w:val="left" w:pos="1200"/>
      </w:tabs>
      <w:ind w:leftChars="400" w:left="1200" w:hangingChars="200" w:hanging="360"/>
    </w:pPr>
    <w:rPr>
      <w:sz w:val="21"/>
    </w:rPr>
  </w:style>
  <w:style w:type="paragraph" w:styleId="ac">
    <w:name w:val="Body Text Indent"/>
    <w:basedOn w:val="a0"/>
    <w:link w:val="Char5"/>
    <w:pPr>
      <w:spacing w:line="520" w:lineRule="exact"/>
      <w:ind w:firstLine="576"/>
    </w:pPr>
    <w:rPr>
      <w:color w:val="000000"/>
      <w:spacing w:val="2"/>
    </w:rPr>
  </w:style>
  <w:style w:type="paragraph" w:styleId="3">
    <w:name w:val="List Number 3"/>
    <w:basedOn w:val="a0"/>
    <w:pPr>
      <w:numPr>
        <w:numId w:val="1"/>
      </w:numPr>
      <w:tabs>
        <w:tab w:val="left" w:pos="720"/>
      </w:tabs>
      <w:spacing w:line="520" w:lineRule="exact"/>
      <w:ind w:firstLineChars="200" w:firstLine="200"/>
      <w:jc w:val="left"/>
    </w:pPr>
    <w:rPr>
      <w:color w:val="000000"/>
      <w:sz w:val="21"/>
      <w:lang w:val="zh-CN"/>
    </w:rPr>
  </w:style>
  <w:style w:type="paragraph" w:styleId="21">
    <w:name w:val="List 2"/>
    <w:basedOn w:val="a0"/>
    <w:pPr>
      <w:ind w:left="840" w:hanging="420"/>
    </w:pPr>
  </w:style>
  <w:style w:type="paragraph" w:styleId="ad">
    <w:name w:val="Block Text"/>
    <w:basedOn w:val="a0"/>
    <w:pPr>
      <w:snapToGrid w:val="0"/>
      <w:spacing w:line="408" w:lineRule="auto"/>
      <w:ind w:left="-113" w:right="-510" w:firstLine="510"/>
    </w:pPr>
    <w:rPr>
      <w:sz w:val="24"/>
      <w:szCs w:val="20"/>
    </w:rPr>
  </w:style>
  <w:style w:type="paragraph" w:styleId="22">
    <w:name w:val="List Bullet 2"/>
    <w:basedOn w:val="a0"/>
    <w:pPr>
      <w:tabs>
        <w:tab w:val="left" w:pos="780"/>
      </w:tabs>
      <w:ind w:leftChars="200" w:left="780" w:hangingChars="200" w:hanging="360"/>
    </w:pPr>
    <w:rPr>
      <w:sz w:val="21"/>
    </w:rPr>
  </w:style>
  <w:style w:type="paragraph" w:styleId="50">
    <w:name w:val="toc 5"/>
    <w:basedOn w:val="a0"/>
    <w:next w:val="a0"/>
    <w:uiPriority w:val="39"/>
    <w:pPr>
      <w:ind w:left="840"/>
      <w:jc w:val="left"/>
    </w:pPr>
    <w:rPr>
      <w:sz w:val="18"/>
      <w:szCs w:val="18"/>
    </w:rPr>
  </w:style>
  <w:style w:type="paragraph" w:styleId="34">
    <w:name w:val="toc 3"/>
    <w:basedOn w:val="a0"/>
    <w:next w:val="a0"/>
    <w:uiPriority w:val="39"/>
    <w:qFormat/>
    <w:pPr>
      <w:ind w:leftChars="400" w:left="840"/>
    </w:pPr>
  </w:style>
  <w:style w:type="paragraph" w:styleId="ae">
    <w:name w:val="Plain Text"/>
    <w:basedOn w:val="a0"/>
    <w:link w:val="Char6"/>
    <w:qFormat/>
    <w:pPr>
      <w:spacing w:line="500" w:lineRule="exact"/>
    </w:pPr>
    <w:rPr>
      <w:rFonts w:ascii="宋体" w:hAnsi="Courier New"/>
      <w:szCs w:val="20"/>
    </w:rPr>
  </w:style>
  <w:style w:type="paragraph" w:styleId="40">
    <w:name w:val="List Number 4"/>
    <w:basedOn w:val="a0"/>
    <w:pPr>
      <w:tabs>
        <w:tab w:val="left" w:pos="1620"/>
      </w:tabs>
      <w:ind w:leftChars="600" w:left="1620" w:hangingChars="200" w:hanging="360"/>
    </w:pPr>
    <w:rPr>
      <w:sz w:val="21"/>
    </w:rPr>
  </w:style>
  <w:style w:type="paragraph" w:styleId="80">
    <w:name w:val="toc 8"/>
    <w:basedOn w:val="a0"/>
    <w:next w:val="a0"/>
    <w:uiPriority w:val="39"/>
    <w:pPr>
      <w:ind w:left="1470"/>
      <w:jc w:val="left"/>
    </w:pPr>
    <w:rPr>
      <w:sz w:val="18"/>
      <w:szCs w:val="18"/>
    </w:rPr>
  </w:style>
  <w:style w:type="paragraph" w:styleId="af">
    <w:name w:val="Date"/>
    <w:basedOn w:val="a0"/>
    <w:next w:val="a0"/>
    <w:link w:val="Char7"/>
    <w:pPr>
      <w:ind w:leftChars="2500" w:left="100"/>
    </w:pPr>
  </w:style>
  <w:style w:type="paragraph" w:styleId="23">
    <w:name w:val="Body Text Indent 2"/>
    <w:basedOn w:val="a0"/>
    <w:pPr>
      <w:spacing w:line="520" w:lineRule="exact"/>
      <w:ind w:firstLine="570"/>
    </w:pPr>
  </w:style>
  <w:style w:type="paragraph" w:styleId="af0">
    <w:name w:val="endnote text"/>
    <w:basedOn w:val="a0"/>
    <w:link w:val="Char8"/>
    <w:pPr>
      <w:snapToGrid w:val="0"/>
      <w:spacing w:line="360" w:lineRule="auto"/>
      <w:ind w:firstLineChars="200" w:firstLine="200"/>
      <w:jc w:val="left"/>
    </w:pPr>
    <w:rPr>
      <w:sz w:val="21"/>
      <w:szCs w:val="20"/>
    </w:rPr>
  </w:style>
  <w:style w:type="paragraph" w:styleId="af1">
    <w:name w:val="Balloon Text"/>
    <w:basedOn w:val="a0"/>
    <w:link w:val="Char9"/>
    <w:rPr>
      <w:sz w:val="18"/>
      <w:szCs w:val="18"/>
    </w:rPr>
  </w:style>
  <w:style w:type="paragraph" w:styleId="af2">
    <w:name w:val="footer"/>
    <w:basedOn w:val="a0"/>
    <w:link w:val="Chara"/>
    <w:uiPriority w:val="99"/>
    <w:pPr>
      <w:tabs>
        <w:tab w:val="center" w:pos="4153"/>
        <w:tab w:val="right" w:pos="8306"/>
      </w:tabs>
      <w:snapToGrid w:val="0"/>
      <w:jc w:val="left"/>
    </w:pPr>
    <w:rPr>
      <w:sz w:val="18"/>
      <w:szCs w:val="18"/>
    </w:rPr>
  </w:style>
  <w:style w:type="paragraph" w:styleId="af3">
    <w:name w:val="header"/>
    <w:basedOn w:val="a0"/>
    <w:link w:val="Charb"/>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style>
  <w:style w:type="paragraph" w:styleId="41">
    <w:name w:val="toc 4"/>
    <w:basedOn w:val="a0"/>
    <w:next w:val="a0"/>
    <w:uiPriority w:val="39"/>
    <w:pPr>
      <w:ind w:left="630"/>
      <w:jc w:val="left"/>
    </w:pPr>
    <w:rPr>
      <w:sz w:val="18"/>
      <w:szCs w:val="18"/>
    </w:rPr>
  </w:style>
  <w:style w:type="paragraph" w:styleId="af4">
    <w:name w:val="List"/>
    <w:basedOn w:val="a0"/>
    <w:pPr>
      <w:ind w:left="200" w:hangingChars="200" w:hanging="200"/>
    </w:pPr>
    <w:rPr>
      <w:sz w:val="21"/>
    </w:rPr>
  </w:style>
  <w:style w:type="paragraph" w:styleId="af5">
    <w:name w:val="footnote text"/>
    <w:basedOn w:val="a0"/>
    <w:link w:val="Charc"/>
    <w:pPr>
      <w:snapToGrid w:val="0"/>
      <w:jc w:val="left"/>
    </w:pPr>
    <w:rPr>
      <w:sz w:val="18"/>
      <w:szCs w:val="18"/>
    </w:rPr>
  </w:style>
  <w:style w:type="paragraph" w:styleId="60">
    <w:name w:val="toc 6"/>
    <w:basedOn w:val="a0"/>
    <w:next w:val="a0"/>
    <w:uiPriority w:val="39"/>
    <w:pPr>
      <w:ind w:left="1050"/>
      <w:jc w:val="left"/>
    </w:pPr>
    <w:rPr>
      <w:sz w:val="18"/>
      <w:szCs w:val="18"/>
    </w:rPr>
  </w:style>
  <w:style w:type="paragraph" w:styleId="51">
    <w:name w:val="List 5"/>
    <w:basedOn w:val="a0"/>
    <w:pPr>
      <w:adjustRightInd w:val="0"/>
      <w:snapToGrid w:val="0"/>
      <w:spacing w:line="360" w:lineRule="auto"/>
      <w:ind w:leftChars="800" w:left="100" w:hangingChars="200" w:hanging="200"/>
    </w:pPr>
    <w:rPr>
      <w:szCs w:val="20"/>
    </w:rPr>
  </w:style>
  <w:style w:type="paragraph" w:styleId="35">
    <w:name w:val="Body Text Indent 3"/>
    <w:basedOn w:val="a0"/>
    <w:link w:val="3Char1"/>
    <w:pPr>
      <w:spacing w:line="520" w:lineRule="exact"/>
      <w:ind w:firstLine="560"/>
    </w:pPr>
    <w:rPr>
      <w:color w:val="000000"/>
      <w:spacing w:val="2"/>
    </w:rPr>
  </w:style>
  <w:style w:type="paragraph" w:styleId="af6">
    <w:name w:val="table of figures"/>
    <w:basedOn w:val="a0"/>
    <w:next w:val="a0"/>
    <w:pPr>
      <w:adjustRightInd w:val="0"/>
      <w:snapToGrid w:val="0"/>
      <w:spacing w:line="360" w:lineRule="auto"/>
      <w:ind w:leftChars="200" w:left="200" w:hangingChars="200" w:hanging="200"/>
    </w:pPr>
    <w:rPr>
      <w:szCs w:val="20"/>
    </w:rPr>
  </w:style>
  <w:style w:type="paragraph" w:styleId="24">
    <w:name w:val="toc 2"/>
    <w:basedOn w:val="a0"/>
    <w:next w:val="a0"/>
    <w:uiPriority w:val="39"/>
    <w:qFormat/>
    <w:pPr>
      <w:ind w:leftChars="200" w:left="420"/>
    </w:pPr>
  </w:style>
  <w:style w:type="paragraph" w:styleId="90">
    <w:name w:val="toc 9"/>
    <w:basedOn w:val="a0"/>
    <w:next w:val="a0"/>
    <w:uiPriority w:val="39"/>
    <w:pPr>
      <w:ind w:left="1680"/>
      <w:jc w:val="left"/>
    </w:pPr>
    <w:rPr>
      <w:sz w:val="18"/>
      <w:szCs w:val="18"/>
    </w:rPr>
  </w:style>
  <w:style w:type="paragraph" w:styleId="25">
    <w:name w:val="Body Text 2"/>
    <w:basedOn w:val="a0"/>
    <w:link w:val="2Char0"/>
    <w:pPr>
      <w:spacing w:line="520" w:lineRule="exact"/>
    </w:pPr>
    <w:rPr>
      <w:rFonts w:ascii="宋体" w:hAnsi="宋体"/>
      <w:color w:val="000000"/>
      <w:sz w:val="24"/>
    </w:rPr>
  </w:style>
  <w:style w:type="paragraph" w:styleId="42">
    <w:name w:val="List 4"/>
    <w:basedOn w:val="a0"/>
    <w:pPr>
      <w:ind w:leftChars="600" w:left="100" w:hangingChars="200" w:hanging="200"/>
    </w:pPr>
    <w:rPr>
      <w:sz w:val="21"/>
    </w:rPr>
  </w:style>
  <w:style w:type="paragraph" w:styleId="26">
    <w:name w:val="List Continue 2"/>
    <w:basedOn w:val="a0"/>
    <w:pPr>
      <w:spacing w:after="120"/>
      <w:ind w:leftChars="400" w:left="840"/>
    </w:pPr>
  </w:style>
  <w:style w:type="paragraph" w:styleId="HTML">
    <w:name w:val="HTML Preformatted"/>
    <w:basedOn w:val="a0"/>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af7">
    <w:name w:val="Normal (Web)"/>
    <w:basedOn w:val="a0"/>
    <w:link w:val="Chard"/>
    <w:qFormat/>
    <w:pPr>
      <w:widowControl/>
      <w:spacing w:before="100" w:beforeAutospacing="1" w:after="100" w:afterAutospacing="1"/>
      <w:jc w:val="left"/>
    </w:pPr>
    <w:rPr>
      <w:kern w:val="0"/>
      <w:sz w:val="24"/>
    </w:rPr>
  </w:style>
  <w:style w:type="paragraph" w:styleId="12">
    <w:name w:val="index 1"/>
    <w:basedOn w:val="a0"/>
    <w:next w:val="a0"/>
    <w:pPr>
      <w:ind w:left="280" w:hanging="280"/>
      <w:jc w:val="left"/>
    </w:pPr>
    <w:rPr>
      <w:sz w:val="18"/>
      <w:szCs w:val="18"/>
    </w:rPr>
  </w:style>
  <w:style w:type="paragraph" w:styleId="af8">
    <w:name w:val="Title"/>
    <w:basedOn w:val="a0"/>
    <w:link w:val="Chare"/>
    <w:qFormat/>
    <w:pPr>
      <w:spacing w:before="240" w:after="60"/>
      <w:jc w:val="center"/>
      <w:outlineLvl w:val="0"/>
    </w:pPr>
    <w:rPr>
      <w:rFonts w:ascii="Arial" w:hAnsi="Arial"/>
      <w:b/>
      <w:bCs/>
      <w:sz w:val="32"/>
      <w:szCs w:val="32"/>
    </w:rPr>
  </w:style>
  <w:style w:type="paragraph" w:styleId="af9">
    <w:name w:val="annotation subject"/>
    <w:basedOn w:val="ab"/>
    <w:next w:val="ab"/>
    <w:link w:val="Charf"/>
    <w:rPr>
      <w:b/>
      <w:bCs/>
      <w:szCs w:val="24"/>
    </w:rPr>
  </w:style>
  <w:style w:type="paragraph" w:styleId="afa">
    <w:name w:val="Body Text First Indent"/>
    <w:basedOn w:val="a1"/>
    <w:link w:val="Charf0"/>
    <w:pPr>
      <w:ind w:firstLineChars="100" w:firstLine="420"/>
    </w:pPr>
  </w:style>
  <w:style w:type="paragraph" w:styleId="27">
    <w:name w:val="Body Text First Indent 2"/>
    <w:basedOn w:val="ac"/>
    <w:link w:val="2Char1"/>
    <w:pPr>
      <w:spacing w:after="120" w:line="240" w:lineRule="auto"/>
      <w:ind w:leftChars="200" w:left="420" w:firstLineChars="200" w:firstLine="420"/>
    </w:pPr>
    <w:rPr>
      <w:sz w:val="21"/>
    </w:rPr>
  </w:style>
  <w:style w:type="table" w:styleId="afb">
    <w:name w:val="Table Grid"/>
    <w:basedOn w:val="a4"/>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Theme"/>
    <w:basedOn w:val="a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1">
    <w:name w:val="Table Grid 7"/>
    <w:basedOn w:val="a4"/>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d">
    <w:name w:val="Table Professional"/>
    <w:basedOn w:val="a4"/>
    <w:pPr>
      <w:widowControl w:val="0"/>
      <w:spacing w:line="300" w:lineRule="auto"/>
      <w:ind w:right="-45" w:firstLine="5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e">
    <w:name w:val="Strong"/>
    <w:qFormat/>
    <w:rPr>
      <w:b/>
      <w:bCs/>
    </w:rPr>
  </w:style>
  <w:style w:type="character" w:styleId="aff">
    <w:name w:val="page number"/>
    <w:basedOn w:val="a3"/>
  </w:style>
  <w:style w:type="character" w:styleId="aff0">
    <w:name w:val="FollowedHyperlink"/>
    <w:uiPriority w:val="99"/>
    <w:rPr>
      <w:color w:val="800080"/>
      <w:u w:val="single"/>
    </w:rPr>
  </w:style>
  <w:style w:type="character" w:styleId="aff1">
    <w:name w:val="Emphasis"/>
    <w:qFormat/>
    <w:rPr>
      <w:i/>
      <w:iCs/>
    </w:rPr>
  </w:style>
  <w:style w:type="character" w:styleId="aff2">
    <w:name w:val="Hyperlink"/>
    <w:rPr>
      <w:color w:val="0000FF"/>
      <w:u w:val="single"/>
    </w:rPr>
  </w:style>
  <w:style w:type="character" w:styleId="aff3">
    <w:name w:val="annotation reference"/>
    <w:rPr>
      <w:sz w:val="21"/>
      <w:szCs w:val="21"/>
    </w:rPr>
  </w:style>
  <w:style w:type="character" w:styleId="aff4">
    <w:name w:val="footnote reference"/>
    <w:rPr>
      <w:vertAlign w:val="superscript"/>
    </w:rPr>
  </w:style>
  <w:style w:type="paragraph" w:customStyle="1" w:styleId="aff5">
    <w:name w:val="丰达四级标题"/>
    <w:basedOn w:val="a0"/>
    <w:link w:val="Charf1"/>
    <w:pPr>
      <w:adjustRightInd w:val="0"/>
      <w:snapToGrid w:val="0"/>
      <w:spacing w:line="540" w:lineRule="exact"/>
      <w:ind w:firstLineChars="200" w:firstLine="200"/>
      <w:outlineLvl w:val="3"/>
    </w:pPr>
    <w:rPr>
      <w:b/>
      <w:sz w:val="24"/>
    </w:rPr>
  </w:style>
  <w:style w:type="paragraph" w:customStyle="1" w:styleId="-">
    <w:name w:val="四级标题-万澈"/>
    <w:basedOn w:val="a0"/>
    <w:link w:val="-Char"/>
    <w:qFormat/>
    <w:pPr>
      <w:spacing w:before="156" w:line="360" w:lineRule="auto"/>
      <w:outlineLvl w:val="3"/>
    </w:pPr>
    <w:rPr>
      <w:rFonts w:eastAsia="黑体"/>
      <w:sz w:val="24"/>
      <w:szCs w:val="20"/>
    </w:rPr>
  </w:style>
  <w:style w:type="paragraph" w:customStyle="1" w:styleId="13">
    <w:name w:val="1表格标题"/>
    <w:basedOn w:val="a0"/>
    <w:link w:val="1Char0"/>
    <w:qFormat/>
    <w:pPr>
      <w:spacing w:line="360" w:lineRule="auto"/>
      <w:jc w:val="center"/>
    </w:pPr>
    <w:rPr>
      <w:b/>
      <w:sz w:val="24"/>
      <w:szCs w:val="20"/>
    </w:rPr>
  </w:style>
  <w:style w:type="paragraph" w:customStyle="1" w:styleId="aff6">
    <w:name w:val="隆庆正文"/>
    <w:basedOn w:val="a0"/>
    <w:link w:val="aff7"/>
    <w:qFormat/>
    <w:pPr>
      <w:autoSpaceDE w:val="0"/>
      <w:autoSpaceDN w:val="0"/>
      <w:adjustRightInd w:val="0"/>
      <w:snapToGrid w:val="0"/>
      <w:spacing w:line="500" w:lineRule="exact"/>
      <w:ind w:firstLineChars="200" w:firstLine="200"/>
    </w:pPr>
    <w:rPr>
      <w:sz w:val="24"/>
    </w:rPr>
  </w:style>
  <w:style w:type="paragraph" w:styleId="aff8">
    <w:name w:val="Quote"/>
    <w:basedOn w:val="a0"/>
    <w:next w:val="a0"/>
    <w:link w:val="Charf2"/>
    <w:uiPriority w:val="99"/>
    <w:qFormat/>
    <w:pPr>
      <w:spacing w:before="200" w:after="160"/>
      <w:ind w:left="864" w:right="864"/>
      <w:jc w:val="center"/>
    </w:pPr>
    <w:rPr>
      <w:i/>
      <w:iCs/>
      <w:color w:val="404040"/>
      <w:sz w:val="21"/>
      <w:szCs w:val="21"/>
    </w:rPr>
  </w:style>
  <w:style w:type="paragraph" w:customStyle="1" w:styleId="04">
    <w:name w:val="04"/>
    <w:basedOn w:val="a0"/>
    <w:link w:val="04Char"/>
    <w:pPr>
      <w:spacing w:line="360" w:lineRule="auto"/>
      <w:ind w:firstLineChars="200" w:firstLine="200"/>
      <w:jc w:val="left"/>
      <w:outlineLvl w:val="3"/>
    </w:pPr>
    <w:rPr>
      <w:color w:val="FF0000"/>
    </w:rPr>
  </w:style>
  <w:style w:type="paragraph" w:customStyle="1" w:styleId="28">
    <w:name w:val="样式 首行缩进:  2 字符"/>
    <w:basedOn w:val="a0"/>
    <w:link w:val="2Char2"/>
    <w:pPr>
      <w:spacing w:line="500" w:lineRule="exact"/>
      <w:ind w:firstLineChars="200" w:firstLine="560"/>
    </w:pPr>
    <w:rPr>
      <w:szCs w:val="20"/>
    </w:rPr>
  </w:style>
  <w:style w:type="paragraph" w:customStyle="1" w:styleId="a20">
    <w:name w:val="a2"/>
    <w:basedOn w:val="a0"/>
    <w:link w:val="a2CharChar"/>
    <w:pPr>
      <w:spacing w:beforeLines="50"/>
      <w:jc w:val="center"/>
    </w:pPr>
    <w:rPr>
      <w:rFonts w:ascii="宋体"/>
      <w:sz w:val="21"/>
    </w:rPr>
  </w:style>
  <w:style w:type="paragraph" w:customStyle="1" w:styleId="me2">
    <w:name w:val="me标题2"/>
    <w:basedOn w:val="a0"/>
    <w:link w:val="me2CharChar"/>
    <w:pPr>
      <w:shd w:val="clear" w:color="auto" w:fill="FFFFFF"/>
      <w:spacing w:afterLines="50" w:line="540" w:lineRule="exact"/>
      <w:jc w:val="center"/>
      <w:outlineLvl w:val="1"/>
    </w:pPr>
    <w:rPr>
      <w:rFonts w:eastAsia="黑体"/>
      <w:b/>
      <w:bCs/>
      <w:sz w:val="30"/>
      <w:szCs w:val="20"/>
    </w:rPr>
  </w:style>
  <w:style w:type="paragraph" w:customStyle="1" w:styleId="aff9">
    <w:name w:val="报告表正文"/>
    <w:basedOn w:val="a0"/>
    <w:link w:val="Charf3"/>
    <w:pPr>
      <w:adjustRightInd w:val="0"/>
      <w:spacing w:line="312" w:lineRule="auto"/>
      <w:ind w:left="113" w:right="113" w:firstLine="482"/>
      <w:textAlignment w:val="baseline"/>
    </w:pPr>
    <w:rPr>
      <w:kern w:val="0"/>
      <w:sz w:val="24"/>
      <w:szCs w:val="20"/>
    </w:rPr>
  </w:style>
  <w:style w:type="paragraph" w:customStyle="1" w:styleId="affa">
    <w:name w:val="表格内文字"/>
    <w:basedOn w:val="a0"/>
    <w:link w:val="Charf4"/>
    <w:pPr>
      <w:tabs>
        <w:tab w:val="left" w:pos="0"/>
      </w:tabs>
      <w:adjustRightInd w:val="0"/>
      <w:snapToGrid w:val="0"/>
      <w:spacing w:line="360" w:lineRule="auto"/>
      <w:ind w:firstLineChars="200" w:firstLine="200"/>
      <w:jc w:val="center"/>
    </w:pPr>
    <w:rPr>
      <w:rFonts w:ascii="宋体" w:eastAsia="仿宋_GB2312" w:hAnsi="宋体"/>
      <w:sz w:val="24"/>
      <w:szCs w:val="28"/>
    </w:rPr>
  </w:style>
  <w:style w:type="paragraph" w:customStyle="1" w:styleId="22215">
    <w:name w:val="样式 样式 样式 首行缩进:  2 字符 + 首行缩进:  2 字符 + 首行缩进:  2 字符 行距: 1.5 倍行距"/>
    <w:basedOn w:val="a0"/>
    <w:link w:val="22215CharChar"/>
    <w:pPr>
      <w:spacing w:line="360" w:lineRule="auto"/>
      <w:ind w:firstLineChars="200" w:firstLine="420"/>
    </w:pPr>
    <w:rPr>
      <w:sz w:val="21"/>
      <w:szCs w:val="20"/>
    </w:rPr>
  </w:style>
  <w:style w:type="paragraph" w:customStyle="1" w:styleId="111">
    <w:name w:val="1.1.1"/>
    <w:basedOn w:val="a0"/>
    <w:link w:val="111Char"/>
    <w:uiPriority w:val="99"/>
    <w:pPr>
      <w:spacing w:beforeLines="50" w:before="50" w:afterLines="50" w:after="50" w:line="360" w:lineRule="auto"/>
      <w:jc w:val="left"/>
      <w:outlineLvl w:val="2"/>
    </w:pPr>
    <w:rPr>
      <w:rFonts w:ascii="Calibri" w:eastAsia="黑体" w:hAnsi="Calibri"/>
      <w:b/>
      <w:sz w:val="24"/>
    </w:rPr>
  </w:style>
  <w:style w:type="paragraph" w:customStyle="1" w:styleId="affb">
    <w:name w:val="表体"/>
    <w:basedOn w:val="a0"/>
    <w:link w:val="Charf5"/>
    <w:pPr>
      <w:spacing w:before="40" w:after="40"/>
    </w:pPr>
    <w:rPr>
      <w:sz w:val="21"/>
      <w:szCs w:val="20"/>
    </w:rPr>
  </w:style>
  <w:style w:type="paragraph" w:customStyle="1" w:styleId="affc">
    <w:name w:val="表格正文"/>
    <w:basedOn w:val="a0"/>
    <w:link w:val="Charf6"/>
    <w:pPr>
      <w:spacing w:line="360" w:lineRule="exact"/>
      <w:jc w:val="center"/>
    </w:pPr>
    <w:rPr>
      <w:sz w:val="21"/>
      <w:szCs w:val="20"/>
    </w:rPr>
  </w:style>
  <w:style w:type="paragraph" w:customStyle="1" w:styleId="bg">
    <w:name w:val="bg正文首行缩进"/>
    <w:basedOn w:val="a0"/>
    <w:link w:val="bgChar1"/>
    <w:pPr>
      <w:spacing w:line="400" w:lineRule="exact"/>
      <w:ind w:firstLine="482"/>
    </w:pPr>
    <w:rPr>
      <w:sz w:val="24"/>
      <w:szCs w:val="20"/>
    </w:rPr>
  </w:style>
  <w:style w:type="paragraph" w:customStyle="1" w:styleId="14">
    <w:name w:val="表1"/>
    <w:basedOn w:val="a0"/>
    <w:link w:val="1Char1"/>
    <w:pPr>
      <w:adjustRightInd w:val="0"/>
      <w:spacing w:beforeLines="50" w:afterLines="50" w:line="400" w:lineRule="exact"/>
      <w:jc w:val="center"/>
      <w:textAlignment w:val="baseline"/>
    </w:pPr>
    <w:rPr>
      <w:rFonts w:eastAsia="黑体"/>
      <w:spacing w:val="10"/>
      <w:szCs w:val="20"/>
    </w:rPr>
  </w:style>
  <w:style w:type="paragraph" w:customStyle="1" w:styleId="affd">
    <w:name w:val="正式文本"/>
    <w:basedOn w:val="a0"/>
    <w:link w:val="CharChar"/>
    <w:pPr>
      <w:spacing w:line="500" w:lineRule="exact"/>
      <w:ind w:firstLineChars="200" w:firstLine="200"/>
    </w:pPr>
    <w:rPr>
      <w:rFonts w:ascii="Arial Narrow" w:eastAsia="汉鼎简书宋" w:hAnsi="Arial Narrow"/>
      <w:sz w:val="24"/>
    </w:rPr>
  </w:style>
  <w:style w:type="paragraph" w:customStyle="1" w:styleId="WWL">
    <w:name w:val="WWL正文"/>
    <w:basedOn w:val="me1"/>
    <w:link w:val="WWLCharChar"/>
    <w:pPr>
      <w:spacing w:before="0" w:line="540" w:lineRule="exact"/>
      <w:ind w:firstLine="560"/>
    </w:pPr>
    <w:rPr>
      <w:rFonts w:ascii="宋体" w:hAnsi="宋体"/>
      <w:color w:val="FF0000"/>
      <w:spacing w:val="0"/>
      <w:lang w:val="zh-CN"/>
    </w:rPr>
  </w:style>
  <w:style w:type="paragraph" w:customStyle="1" w:styleId="me1">
    <w:name w:val="me正文1"/>
    <w:basedOn w:val="a0"/>
    <w:next w:val="a0"/>
    <w:link w:val="me1CharChar"/>
    <w:pPr>
      <w:shd w:val="clear" w:color="auto" w:fill="FFFFFF"/>
      <w:spacing w:before="50" w:line="360" w:lineRule="auto"/>
      <w:ind w:firstLineChars="200" w:firstLine="528"/>
    </w:pPr>
    <w:rPr>
      <w:spacing w:val="-8"/>
      <w:szCs w:val="28"/>
    </w:rPr>
  </w:style>
  <w:style w:type="paragraph" w:customStyle="1" w:styleId="15">
    <w:name w:val="表格1"/>
    <w:basedOn w:val="a0"/>
    <w:link w:val="1Char2"/>
    <w:qFormat/>
    <w:pPr>
      <w:adjustRightInd w:val="0"/>
      <w:spacing w:line="20" w:lineRule="atLeast"/>
      <w:jc w:val="center"/>
      <w:textAlignment w:val="center"/>
    </w:pPr>
    <w:rPr>
      <w:rFonts w:ascii="宋体"/>
      <w:kern w:val="0"/>
      <w:sz w:val="21"/>
      <w:szCs w:val="20"/>
    </w:rPr>
  </w:style>
  <w:style w:type="paragraph" w:customStyle="1" w:styleId="36">
    <w:name w:val="样式3"/>
    <w:basedOn w:val="a0"/>
    <w:link w:val="3Char2"/>
    <w:qFormat/>
    <w:pPr>
      <w:adjustRightInd w:val="0"/>
      <w:snapToGrid w:val="0"/>
      <w:jc w:val="center"/>
    </w:pPr>
    <w:rPr>
      <w:spacing w:val="8"/>
      <w:sz w:val="24"/>
      <w:szCs w:val="28"/>
    </w:rPr>
  </w:style>
  <w:style w:type="paragraph" w:customStyle="1" w:styleId="affe">
    <w:name w:val="杨柳"/>
    <w:basedOn w:val="a0"/>
    <w:link w:val="CharChar0"/>
    <w:pPr>
      <w:spacing w:line="540" w:lineRule="exact"/>
      <w:ind w:firstLineChars="200" w:firstLine="560"/>
    </w:pPr>
    <w:rPr>
      <w:sz w:val="24"/>
    </w:rPr>
  </w:style>
  <w:style w:type="paragraph" w:customStyle="1" w:styleId="16">
    <w:name w:val="内容1"/>
    <w:basedOn w:val="a0"/>
    <w:link w:val="1CharChar"/>
    <w:pPr>
      <w:spacing w:line="540" w:lineRule="exact"/>
      <w:ind w:firstLineChars="200" w:firstLine="560"/>
    </w:pPr>
    <w:rPr>
      <w:rFonts w:ascii="宋体"/>
      <w:color w:val="000000"/>
      <w:szCs w:val="20"/>
    </w:rPr>
  </w:style>
  <w:style w:type="paragraph" w:customStyle="1" w:styleId="afff">
    <w:name w:val="表格字体"/>
    <w:basedOn w:val="a0"/>
    <w:link w:val="Charf7"/>
    <w:pPr>
      <w:adjustRightInd w:val="0"/>
      <w:spacing w:line="300" w:lineRule="exact"/>
      <w:jc w:val="center"/>
    </w:pPr>
    <w:rPr>
      <w:color w:val="000000"/>
      <w:sz w:val="21"/>
    </w:rPr>
  </w:style>
  <w:style w:type="paragraph" w:customStyle="1" w:styleId="afff0">
    <w:name w:val="图题注"/>
    <w:basedOn w:val="a8"/>
    <w:link w:val="Charf8"/>
    <w:pPr>
      <w:spacing w:line="520" w:lineRule="exact"/>
      <w:jc w:val="center"/>
    </w:pPr>
    <w:rPr>
      <w:sz w:val="24"/>
    </w:rPr>
  </w:style>
  <w:style w:type="paragraph" w:customStyle="1" w:styleId="afff1">
    <w:name w:val="段"/>
    <w:basedOn w:val="a0"/>
    <w:link w:val="Charf9"/>
    <w:pPr>
      <w:ind w:firstLineChars="200" w:firstLine="200"/>
      <w:jc w:val="left"/>
    </w:pPr>
    <w:rPr>
      <w:rFonts w:ascii="Arial" w:eastAsia="黑体" w:hAnsi="Arial"/>
      <w:b/>
      <w:bCs/>
      <w:szCs w:val="28"/>
    </w:rPr>
  </w:style>
  <w:style w:type="paragraph" w:customStyle="1" w:styleId="afff2">
    <w:name w:val="说明书正文"/>
    <w:basedOn w:val="a0"/>
    <w:link w:val="Charfa"/>
    <w:qFormat/>
    <w:pPr>
      <w:spacing w:line="480" w:lineRule="exact"/>
      <w:ind w:firstLineChars="200" w:firstLine="600"/>
    </w:pPr>
    <w:rPr>
      <w:rFonts w:eastAsia="仿宋_GB2312"/>
      <w:color w:val="000000"/>
      <w:sz w:val="30"/>
    </w:rPr>
  </w:style>
  <w:style w:type="paragraph" w:customStyle="1" w:styleId="me">
    <w:name w:val="me表格编号"/>
    <w:basedOn w:val="a0"/>
    <w:next w:val="a0"/>
    <w:link w:val="meCharChar"/>
    <w:pPr>
      <w:adjustRightInd w:val="0"/>
      <w:snapToGrid w:val="0"/>
      <w:jc w:val="right"/>
    </w:pPr>
    <w:rPr>
      <w:rFonts w:ascii="宋体" w:hAnsi="宋体"/>
      <w:color w:val="0000FF"/>
      <w:sz w:val="24"/>
    </w:rPr>
  </w:style>
  <w:style w:type="paragraph" w:customStyle="1" w:styleId="afff3">
    <w:name w:val="样式 正文缩进 + (中文) 黑体 小四"/>
    <w:basedOn w:val="a2"/>
    <w:link w:val="Charfb"/>
    <w:pPr>
      <w:spacing w:line="520" w:lineRule="exact"/>
      <w:ind w:firstLine="482"/>
    </w:pPr>
    <w:rPr>
      <w:rFonts w:eastAsia="黑体"/>
      <w:b/>
      <w:bCs/>
      <w:kern w:val="28"/>
      <w:sz w:val="24"/>
    </w:rPr>
  </w:style>
  <w:style w:type="paragraph" w:customStyle="1" w:styleId="0">
    <w:name w:val="0表格标题"/>
    <w:basedOn w:val="a0"/>
    <w:link w:val="0Char"/>
    <w:qFormat/>
    <w:pPr>
      <w:jc w:val="center"/>
      <w:outlineLvl w:val="4"/>
    </w:pPr>
    <w:rPr>
      <w:rFonts w:eastAsia="黑体"/>
      <w:b/>
      <w:spacing w:val="2"/>
      <w:sz w:val="24"/>
    </w:rPr>
  </w:style>
  <w:style w:type="paragraph" w:customStyle="1" w:styleId="afff4">
    <w:name w:val="隆庆四级标题"/>
    <w:basedOn w:val="a0"/>
    <w:link w:val="afff5"/>
    <w:qFormat/>
    <w:pPr>
      <w:adjustRightInd w:val="0"/>
      <w:snapToGrid w:val="0"/>
      <w:spacing w:line="540" w:lineRule="exact"/>
      <w:ind w:firstLineChars="200" w:firstLine="200"/>
      <w:outlineLvl w:val="3"/>
    </w:pPr>
    <w:rPr>
      <w:b/>
      <w:sz w:val="24"/>
    </w:rPr>
  </w:style>
  <w:style w:type="paragraph" w:customStyle="1" w:styleId="00">
    <w:name w:val="0表格内容"/>
    <w:basedOn w:val="a0"/>
    <w:link w:val="0Char0"/>
    <w:qFormat/>
    <w:pPr>
      <w:jc w:val="center"/>
    </w:pPr>
    <w:rPr>
      <w:rFonts w:ascii="Calibri" w:hAnsi="Calibri"/>
      <w:sz w:val="21"/>
      <w:szCs w:val="22"/>
    </w:rPr>
  </w:style>
  <w:style w:type="paragraph" w:customStyle="1" w:styleId="17">
    <w:name w:val="表头1"/>
    <w:basedOn w:val="a0"/>
    <w:link w:val="1Char3"/>
    <w:pPr>
      <w:adjustRightInd w:val="0"/>
      <w:snapToGrid w:val="0"/>
      <w:spacing w:line="360" w:lineRule="auto"/>
      <w:ind w:firstLineChars="200" w:firstLine="200"/>
      <w:jc w:val="center"/>
    </w:pPr>
    <w:rPr>
      <w:b/>
      <w:color w:val="000000"/>
    </w:rPr>
  </w:style>
  <w:style w:type="paragraph" w:customStyle="1" w:styleId="afff6">
    <w:name w:val="表格内容居中"/>
    <w:basedOn w:val="a0"/>
    <w:link w:val="Charfc"/>
    <w:pPr>
      <w:widowControl/>
      <w:tabs>
        <w:tab w:val="left" w:pos="1260"/>
        <w:tab w:val="left" w:pos="3900"/>
      </w:tabs>
      <w:jc w:val="center"/>
    </w:pPr>
    <w:rPr>
      <w:rFonts w:ascii="宋体" w:hAnsi="宋体"/>
      <w:kern w:val="0"/>
      <w:sz w:val="20"/>
      <w:szCs w:val="21"/>
    </w:rPr>
  </w:style>
  <w:style w:type="paragraph" w:customStyle="1" w:styleId="110">
    <w:name w:val="样式11"/>
    <w:basedOn w:val="a0"/>
    <w:link w:val="11Char"/>
    <w:rPr>
      <w:sz w:val="21"/>
      <w:szCs w:val="21"/>
    </w:rPr>
  </w:style>
  <w:style w:type="paragraph" w:customStyle="1" w:styleId="afff7">
    <w:name w:val="表格标题"/>
    <w:basedOn w:val="afff8"/>
    <w:link w:val="Charfd"/>
    <w:qFormat/>
    <w:pPr>
      <w:spacing w:line="360" w:lineRule="auto"/>
      <w:ind w:firstLineChars="200" w:firstLine="200"/>
      <w:jc w:val="left"/>
    </w:pPr>
    <w:rPr>
      <w:b/>
      <w:sz w:val="24"/>
    </w:rPr>
  </w:style>
  <w:style w:type="paragraph" w:customStyle="1" w:styleId="afff8">
    <w:name w:val="表格内容"/>
    <w:basedOn w:val="a0"/>
    <w:link w:val="Charfe"/>
    <w:qFormat/>
    <w:pPr>
      <w:widowControl/>
      <w:adjustRightInd w:val="0"/>
      <w:snapToGrid w:val="0"/>
      <w:spacing w:line="276" w:lineRule="auto"/>
      <w:jc w:val="center"/>
    </w:pPr>
    <w:rPr>
      <w:sz w:val="21"/>
      <w:szCs w:val="21"/>
    </w:rPr>
  </w:style>
  <w:style w:type="paragraph" w:customStyle="1" w:styleId="29">
    <w:name w:val="首行缩进2"/>
    <w:basedOn w:val="a0"/>
    <w:link w:val="2CharChar"/>
    <w:pPr>
      <w:adjustRightInd w:val="0"/>
      <w:snapToGrid w:val="0"/>
      <w:spacing w:line="360" w:lineRule="auto"/>
      <w:ind w:leftChars="-53" w:left="-111" w:firstLine="21"/>
      <w:jc w:val="left"/>
    </w:pPr>
    <w:rPr>
      <w:sz w:val="24"/>
    </w:rPr>
  </w:style>
  <w:style w:type="paragraph" w:customStyle="1" w:styleId="afff9">
    <w:name w:val="圣达正文"/>
    <w:basedOn w:val="a0"/>
    <w:link w:val="Charff"/>
    <w:pPr>
      <w:autoSpaceDE w:val="0"/>
      <w:autoSpaceDN w:val="0"/>
      <w:adjustRightInd w:val="0"/>
      <w:snapToGrid w:val="0"/>
      <w:spacing w:line="540" w:lineRule="exact"/>
      <w:ind w:firstLineChars="200" w:firstLine="200"/>
    </w:pPr>
    <w:rPr>
      <w:rFonts w:ascii="宋体" w:hAnsi="宋体"/>
      <w:sz w:val="24"/>
    </w:rPr>
  </w:style>
  <w:style w:type="paragraph" w:customStyle="1" w:styleId="afffa">
    <w:name w:val="铝土矿正文"/>
    <w:basedOn w:val="a0"/>
    <w:link w:val="Charff0"/>
    <w:pPr>
      <w:spacing w:line="400" w:lineRule="exact"/>
      <w:ind w:firstLineChars="200" w:firstLine="480"/>
    </w:pPr>
    <w:rPr>
      <w:sz w:val="24"/>
    </w:rPr>
  </w:style>
  <w:style w:type="paragraph" w:customStyle="1" w:styleId="A40">
    <w:name w:val="A4（正）"/>
    <w:basedOn w:val="a0"/>
    <w:link w:val="A4CharChar"/>
    <w:pPr>
      <w:widowControl/>
      <w:spacing w:line="480" w:lineRule="exact"/>
      <w:ind w:firstLineChars="200" w:firstLine="480"/>
      <w:jc w:val="left"/>
    </w:pPr>
    <w:rPr>
      <w:szCs w:val="20"/>
    </w:rPr>
  </w:style>
  <w:style w:type="paragraph" w:customStyle="1" w:styleId="2a">
    <w:name w:val="2级标题"/>
    <w:basedOn w:val="a0"/>
    <w:next w:val="18"/>
    <w:link w:val="2Char3"/>
    <w:qFormat/>
    <w:pPr>
      <w:tabs>
        <w:tab w:val="left" w:pos="4905"/>
      </w:tabs>
      <w:spacing w:before="120" w:afterLines="50" w:line="360" w:lineRule="auto"/>
      <w:jc w:val="left"/>
      <w:outlineLvl w:val="1"/>
    </w:pPr>
    <w:rPr>
      <w:rFonts w:eastAsia="黑体"/>
      <w:b/>
      <w:kern w:val="0"/>
      <w:sz w:val="32"/>
    </w:rPr>
  </w:style>
  <w:style w:type="paragraph" w:customStyle="1" w:styleId="18">
    <w:name w:val="1正文段落"/>
    <w:basedOn w:val="a0"/>
    <w:link w:val="1Char4"/>
    <w:pPr>
      <w:spacing w:line="520" w:lineRule="exact"/>
      <w:ind w:firstLineChars="200" w:firstLine="200"/>
      <w:jc w:val="left"/>
    </w:pPr>
    <w:rPr>
      <w:kern w:val="0"/>
      <w:szCs w:val="20"/>
    </w:rPr>
  </w:style>
  <w:style w:type="paragraph" w:customStyle="1" w:styleId="afffb">
    <w:name w:val="表文字"/>
    <w:link w:val="Charff1"/>
    <w:pPr>
      <w:spacing w:line="240" w:lineRule="exact"/>
    </w:pPr>
    <w:rPr>
      <w:rFonts w:ascii="宋体" w:eastAsia="Times New Roman" w:hAnsi="宋体"/>
      <w:kern w:val="2"/>
      <w:sz w:val="21"/>
    </w:rPr>
  </w:style>
  <w:style w:type="paragraph" w:customStyle="1" w:styleId="afffc">
    <w:name w:val="正文(首行缩进)"/>
    <w:basedOn w:val="a0"/>
    <w:link w:val="Charff2"/>
    <w:pPr>
      <w:adjustRightInd w:val="0"/>
      <w:snapToGrid w:val="0"/>
      <w:spacing w:line="360" w:lineRule="auto"/>
      <w:ind w:firstLineChars="200" w:firstLine="200"/>
    </w:pPr>
    <w:rPr>
      <w:rFonts w:ascii="宋体" w:hAnsi="宋体"/>
      <w:kern w:val="0"/>
      <w:sz w:val="24"/>
    </w:rPr>
  </w:style>
  <w:style w:type="paragraph" w:customStyle="1" w:styleId="4MB4TimesNewRoman">
    <w:name w:val="样式 标题 4MB4 + (西文) Times New Roman (中文) 宋体"/>
    <w:basedOn w:val="4"/>
    <w:link w:val="4MB4TimesNewRomanChar"/>
    <w:pPr>
      <w:spacing w:before="0" w:after="0" w:line="520" w:lineRule="exact"/>
    </w:pPr>
    <w:rPr>
      <w:b w:val="0"/>
      <w:bCs w:val="0"/>
    </w:rPr>
  </w:style>
  <w:style w:type="paragraph" w:customStyle="1" w:styleId="hb3">
    <w:name w:val="hb3"/>
    <w:link w:val="hb3Char"/>
    <w:pPr>
      <w:spacing w:beforeLines="100" w:before="312" w:afterLines="50" w:after="156" w:line="360" w:lineRule="auto"/>
      <w:outlineLvl w:val="2"/>
    </w:pPr>
    <w:rPr>
      <w:rFonts w:eastAsia="Times New Roman"/>
      <w:b/>
      <w:kern w:val="2"/>
      <w:sz w:val="24"/>
    </w:rPr>
  </w:style>
  <w:style w:type="paragraph" w:customStyle="1" w:styleId="afffd">
    <w:name w:val="内容"/>
    <w:basedOn w:val="a0"/>
    <w:link w:val="CharChar1"/>
    <w:pPr>
      <w:snapToGrid w:val="0"/>
      <w:spacing w:line="560" w:lineRule="exact"/>
      <w:ind w:firstLineChars="200" w:firstLine="200"/>
    </w:pPr>
    <w:rPr>
      <w:szCs w:val="28"/>
    </w:rPr>
  </w:style>
  <w:style w:type="paragraph" w:customStyle="1" w:styleId="1BodyTextchALTZ42">
    <w:name w:val="样式 正文缩进表正文正文非缩进段1Body Text(ch)缩进ALT+Z特点四号正文不缩进标题4正文2..."/>
    <w:basedOn w:val="a2"/>
    <w:link w:val="1BodyTextchALTZ42Char"/>
    <w:qFormat/>
    <w:pPr>
      <w:spacing w:line="480" w:lineRule="exact"/>
      <w:ind w:firstLine="480"/>
    </w:pPr>
    <w:rPr>
      <w:rFonts w:ascii="Calibri" w:hAnsi="Calibri"/>
      <w:b/>
      <w:bCs/>
      <w:kern w:val="28"/>
      <w:sz w:val="24"/>
    </w:rPr>
  </w:style>
  <w:style w:type="paragraph" w:customStyle="1" w:styleId="hst">
    <w:name w:val="hst  正文"/>
    <w:basedOn w:val="a0"/>
    <w:link w:val="hstChar"/>
    <w:qFormat/>
    <w:pPr>
      <w:spacing w:line="500" w:lineRule="exact"/>
      <w:ind w:firstLineChars="200" w:firstLine="480"/>
    </w:pPr>
    <w:rPr>
      <w:bCs/>
      <w:kern w:val="0"/>
      <w:sz w:val="24"/>
    </w:rPr>
  </w:style>
  <w:style w:type="paragraph" w:customStyle="1" w:styleId="me0">
    <w:name w:val="me表格标题"/>
    <w:basedOn w:val="a0"/>
    <w:next w:val="a0"/>
    <w:link w:val="meCharChar0"/>
    <w:pPr>
      <w:shd w:val="clear" w:color="auto" w:fill="FFFFFF"/>
      <w:spacing w:line="520" w:lineRule="exact"/>
      <w:jc w:val="center"/>
    </w:pPr>
    <w:rPr>
      <w:rFonts w:ascii="宋体" w:hAnsi="宋体"/>
      <w:b/>
      <w:bCs/>
      <w:szCs w:val="28"/>
    </w:rPr>
  </w:style>
  <w:style w:type="paragraph" w:customStyle="1" w:styleId="me3">
    <w:name w:val="me正文"/>
    <w:basedOn w:val="a0"/>
    <w:link w:val="meCharChar1"/>
    <w:pPr>
      <w:spacing w:line="360" w:lineRule="auto"/>
      <w:ind w:firstLineChars="200" w:firstLine="560"/>
    </w:pPr>
    <w:rPr>
      <w:rFonts w:ascii="宋体" w:hAnsi="宋体"/>
      <w:color w:val="0000FF"/>
      <w:szCs w:val="28"/>
    </w:rPr>
  </w:style>
  <w:style w:type="paragraph" w:customStyle="1" w:styleId="2TimesNewRoman">
    <w:name w:val="样式 标题 2 + Times New Roman"/>
    <w:basedOn w:val="2"/>
    <w:link w:val="2TimesNewRomanChar"/>
    <w:pPr>
      <w:spacing w:before="0" w:after="0"/>
    </w:pPr>
    <w:rPr>
      <w:rFonts w:ascii="Times New Roman" w:hAnsi="Times New Roman"/>
      <w:b w:val="0"/>
      <w:bCs/>
      <w:sz w:val="30"/>
      <w:szCs w:val="32"/>
    </w:rPr>
  </w:style>
  <w:style w:type="paragraph" w:customStyle="1" w:styleId="03">
    <w:name w:val="0标题3"/>
    <w:basedOn w:val="30"/>
    <w:link w:val="03Char"/>
    <w:qFormat/>
    <w:pPr>
      <w:spacing w:beforeLines="50" w:before="0" w:after="100" w:afterAutospacing="1" w:line="360" w:lineRule="auto"/>
      <w:jc w:val="left"/>
    </w:pPr>
    <w:rPr>
      <w:rFonts w:ascii="Calibri" w:hAnsi="Calibri"/>
      <w:sz w:val="28"/>
      <w:szCs w:val="28"/>
    </w:rPr>
  </w:style>
  <w:style w:type="paragraph" w:customStyle="1" w:styleId="2b">
    <w:name w:val="表格2"/>
    <w:basedOn w:val="a0"/>
    <w:link w:val="2Char4"/>
    <w:qFormat/>
    <w:pPr>
      <w:adjustRightInd w:val="0"/>
      <w:snapToGrid w:val="0"/>
      <w:jc w:val="center"/>
    </w:pPr>
    <w:rPr>
      <w:rFonts w:hAnsi="宋体"/>
      <w:sz w:val="21"/>
      <w:szCs w:val="21"/>
    </w:rPr>
  </w:style>
  <w:style w:type="paragraph" w:customStyle="1" w:styleId="01">
    <w:name w:val="0正文"/>
    <w:basedOn w:val="a0"/>
    <w:link w:val="0Char1"/>
    <w:qFormat/>
    <w:pPr>
      <w:autoSpaceDE w:val="0"/>
      <w:autoSpaceDN w:val="0"/>
      <w:adjustRightInd w:val="0"/>
      <w:spacing w:line="360" w:lineRule="auto"/>
      <w:ind w:firstLineChars="200" w:firstLine="200"/>
      <w:jc w:val="left"/>
    </w:pPr>
    <w:rPr>
      <w:rFonts w:ascii="Calibri" w:hAnsi="Calibri"/>
      <w:sz w:val="24"/>
      <w:lang w:val="zh-CN"/>
    </w:rPr>
  </w:style>
  <w:style w:type="paragraph" w:customStyle="1" w:styleId="afffe">
    <w:name w:val="正文a"/>
    <w:basedOn w:val="a0"/>
    <w:link w:val="aChar"/>
    <w:pPr>
      <w:autoSpaceDE w:val="0"/>
      <w:autoSpaceDN w:val="0"/>
      <w:adjustRightInd w:val="0"/>
      <w:spacing w:line="380" w:lineRule="exact"/>
      <w:ind w:firstLineChars="200" w:firstLine="200"/>
    </w:pPr>
    <w:rPr>
      <w:rFonts w:ascii="仿宋_GB2312"/>
      <w:color w:val="000000"/>
      <w:sz w:val="24"/>
      <w:szCs w:val="20"/>
      <w:lang w:val="zh-CN"/>
    </w:rPr>
  </w:style>
  <w:style w:type="paragraph" w:customStyle="1" w:styleId="3MB3h33rdlevelH3Head3level3PIM3Level3Head2">
    <w:name w:val="样式 标题 3头MB3h33rd levelH3Head 3level_3PIM 3Level 3 Head...2"/>
    <w:basedOn w:val="30"/>
    <w:link w:val="3MB3h33rdlevelH3Head3level3PIM3Level3Head2Char"/>
    <w:pPr>
      <w:spacing w:before="48" w:after="48" w:line="520" w:lineRule="exact"/>
      <w:jc w:val="left"/>
    </w:pPr>
    <w:rPr>
      <w:rFonts w:ascii="华文楷体" w:eastAsia="华文楷体" w:hAnsi="华文楷体"/>
      <w:b w:val="0"/>
      <w:kern w:val="28"/>
      <w:sz w:val="28"/>
      <w:szCs w:val="20"/>
    </w:rPr>
  </w:style>
  <w:style w:type="paragraph" w:customStyle="1" w:styleId="CharChar2">
    <w:name w:val="首行缩进两字 Char Char"/>
    <w:basedOn w:val="a0"/>
    <w:link w:val="CharCharChar"/>
    <w:pPr>
      <w:spacing w:line="360" w:lineRule="auto"/>
      <w:ind w:firstLineChars="200" w:firstLine="560"/>
      <w:jc w:val="left"/>
    </w:pPr>
    <w:rPr>
      <w:rFonts w:ascii="宋体" w:hAnsi="宋体"/>
    </w:rPr>
  </w:style>
  <w:style w:type="paragraph" w:customStyle="1" w:styleId="37">
    <w:name w:val="3级标题"/>
    <w:basedOn w:val="a0"/>
    <w:link w:val="3Char3"/>
    <w:pPr>
      <w:spacing w:line="500" w:lineRule="exact"/>
      <w:outlineLvl w:val="2"/>
    </w:pPr>
    <w:rPr>
      <w:rFonts w:eastAsia="楷体_GB2312"/>
      <w:kern w:val="0"/>
      <w:szCs w:val="20"/>
    </w:rPr>
  </w:style>
  <w:style w:type="paragraph" w:customStyle="1" w:styleId="151">
    <w:name w:val="样式 行距: 1.5 倍行距1"/>
    <w:basedOn w:val="a0"/>
    <w:link w:val="151Char"/>
    <w:pPr>
      <w:spacing w:line="360" w:lineRule="auto"/>
      <w:ind w:firstLineChars="200" w:firstLine="480"/>
    </w:pPr>
    <w:rPr>
      <w:sz w:val="24"/>
      <w:szCs w:val="20"/>
    </w:rPr>
  </w:style>
  <w:style w:type="paragraph" w:customStyle="1" w:styleId="affff">
    <w:name w:val="正文（环评报告）"/>
    <w:basedOn w:val="a0"/>
    <w:link w:val="CharChar3"/>
    <w:pPr>
      <w:widowControl/>
      <w:spacing w:line="360" w:lineRule="auto"/>
      <w:ind w:firstLineChars="200" w:firstLine="200"/>
    </w:pPr>
    <w:rPr>
      <w:spacing w:val="6"/>
      <w:kern w:val="0"/>
      <w:sz w:val="24"/>
    </w:rPr>
  </w:style>
  <w:style w:type="paragraph" w:customStyle="1" w:styleId="affff0">
    <w:name w:val="表号"/>
    <w:link w:val="Char20"/>
    <w:pPr>
      <w:outlineLvl w:val="4"/>
    </w:pPr>
    <w:rPr>
      <w:rFonts w:eastAsia="Times New Roman"/>
      <w:sz w:val="21"/>
    </w:rPr>
  </w:style>
  <w:style w:type="paragraph" w:customStyle="1" w:styleId="affff1">
    <w:name w:val="图标表头"/>
    <w:basedOn w:val="afff9"/>
    <w:link w:val="Charff3"/>
    <w:pPr>
      <w:ind w:firstLine="480"/>
      <w:jc w:val="center"/>
    </w:pPr>
    <w:rPr>
      <w:b/>
    </w:rPr>
  </w:style>
  <w:style w:type="paragraph" w:customStyle="1" w:styleId="affff2">
    <w:name w:val="图标样式"/>
    <w:basedOn w:val="a0"/>
    <w:link w:val="Charff4"/>
    <w:pPr>
      <w:jc w:val="center"/>
    </w:pPr>
    <w:rPr>
      <w:sz w:val="21"/>
      <w:szCs w:val="21"/>
    </w:rPr>
  </w:style>
  <w:style w:type="paragraph" w:customStyle="1" w:styleId="affff3">
    <w:name w:val="!表格文字"/>
    <w:basedOn w:val="a0"/>
    <w:next w:val="a0"/>
    <w:link w:val="Charff5"/>
    <w:qFormat/>
    <w:pPr>
      <w:autoSpaceDE w:val="0"/>
      <w:autoSpaceDN w:val="0"/>
      <w:spacing w:line="520" w:lineRule="exact"/>
      <w:contextualSpacing/>
      <w:jc w:val="center"/>
      <w:textAlignment w:val="center"/>
    </w:pPr>
    <w:rPr>
      <w:kern w:val="0"/>
      <w:sz w:val="21"/>
      <w:szCs w:val="21"/>
    </w:rPr>
  </w:style>
  <w:style w:type="paragraph" w:customStyle="1" w:styleId="affff4">
    <w:name w:val="丰达三级标题"/>
    <w:basedOn w:val="a0"/>
    <w:link w:val="Charff6"/>
    <w:qFormat/>
    <w:pPr>
      <w:spacing w:beforeLines="50" w:before="156" w:line="540" w:lineRule="exact"/>
      <w:ind w:firstLineChars="200" w:firstLine="200"/>
      <w:outlineLvl w:val="2"/>
    </w:pPr>
    <w:rPr>
      <w:b/>
      <w:sz w:val="24"/>
    </w:rPr>
  </w:style>
  <w:style w:type="paragraph" w:customStyle="1" w:styleId="affff5">
    <w:name w:val="表格标题（环评报告）"/>
    <w:basedOn w:val="a0"/>
    <w:next w:val="a0"/>
    <w:link w:val="Charff7"/>
    <w:pPr>
      <w:widowControl/>
      <w:spacing w:beforeLines="50"/>
      <w:jc w:val="center"/>
    </w:pPr>
    <w:rPr>
      <w:b/>
      <w:spacing w:val="6"/>
      <w:kern w:val="0"/>
      <w:sz w:val="24"/>
    </w:rPr>
  </w:style>
  <w:style w:type="paragraph" w:customStyle="1" w:styleId="affff6">
    <w:name w:val="表名（标题）"/>
    <w:basedOn w:val="a0"/>
    <w:next w:val="af4"/>
    <w:link w:val="Char10"/>
    <w:pPr>
      <w:adjustRightInd w:val="0"/>
      <w:snapToGrid w:val="0"/>
      <w:spacing w:beforeLines="100"/>
      <w:jc w:val="left"/>
    </w:pPr>
    <w:rPr>
      <w:szCs w:val="28"/>
    </w:rPr>
  </w:style>
  <w:style w:type="paragraph" w:customStyle="1" w:styleId="010">
    <w:name w:val="0标题1"/>
    <w:basedOn w:val="1"/>
    <w:link w:val="01Char"/>
    <w:qFormat/>
    <w:pPr>
      <w:spacing w:before="762" w:after="571" w:line="360" w:lineRule="auto"/>
      <w:jc w:val="center"/>
    </w:pPr>
    <w:rPr>
      <w:rFonts w:eastAsia="黑体"/>
      <w:sz w:val="36"/>
      <w:szCs w:val="36"/>
    </w:rPr>
  </w:style>
  <w:style w:type="paragraph" w:customStyle="1" w:styleId="130">
    <w:name w:val="正文小四首缩1.3行距"/>
    <w:basedOn w:val="a0"/>
    <w:link w:val="13Char"/>
    <w:qFormat/>
    <w:pPr>
      <w:spacing w:line="360" w:lineRule="auto"/>
      <w:ind w:firstLineChars="200" w:firstLine="480"/>
    </w:pPr>
    <w:rPr>
      <w:kern w:val="0"/>
      <w:sz w:val="24"/>
    </w:rPr>
  </w:style>
  <w:style w:type="paragraph" w:customStyle="1" w:styleId="affff7">
    <w:name w:val="无编号文档"/>
    <w:basedOn w:val="a0"/>
    <w:link w:val="Charff8"/>
    <w:pPr>
      <w:snapToGrid w:val="0"/>
      <w:spacing w:line="400" w:lineRule="atLeast"/>
      <w:ind w:firstLineChars="200" w:firstLine="200"/>
    </w:pPr>
    <w:rPr>
      <w:sz w:val="24"/>
      <w:szCs w:val="21"/>
    </w:rPr>
  </w:style>
  <w:style w:type="paragraph" w:customStyle="1" w:styleId="52">
    <w:name w:val="5正文"/>
    <w:basedOn w:val="a0"/>
    <w:link w:val="5Char0"/>
    <w:pPr>
      <w:snapToGrid w:val="0"/>
      <w:spacing w:line="360" w:lineRule="auto"/>
      <w:ind w:firstLineChars="200" w:firstLine="440"/>
      <w:jc w:val="left"/>
    </w:pPr>
    <w:rPr>
      <w:rFonts w:ascii="宋体" w:hAnsi="宋体"/>
      <w:sz w:val="24"/>
      <w:szCs w:val="28"/>
    </w:rPr>
  </w:style>
  <w:style w:type="paragraph" w:customStyle="1" w:styleId="02">
    <w:name w:val="0表图分隔符"/>
    <w:basedOn w:val="0"/>
    <w:link w:val="0Char2"/>
    <w:pPr>
      <w:spacing w:line="120" w:lineRule="exact"/>
      <w:jc w:val="left"/>
      <w:outlineLvl w:val="9"/>
    </w:pPr>
    <w:rPr>
      <w:rFonts w:ascii="Calibri" w:hAnsi="Calibri"/>
      <w:b w:val="0"/>
      <w:sz w:val="11"/>
      <w:szCs w:val="11"/>
    </w:rPr>
  </w:style>
  <w:style w:type="paragraph" w:customStyle="1" w:styleId="43">
    <w:name w:val="样式 标题 4 + (西文) 宋体"/>
    <w:basedOn w:val="4"/>
    <w:link w:val="4Char0"/>
    <w:pPr>
      <w:tabs>
        <w:tab w:val="left" w:pos="2130"/>
      </w:tabs>
      <w:spacing w:beforeLines="50" w:after="0" w:line="500" w:lineRule="exact"/>
    </w:pPr>
    <w:rPr>
      <w:rFonts w:ascii="Times New Roman" w:eastAsia="宋体" w:hAnsi="Times New Roman"/>
      <w:kern w:val="0"/>
      <w:sz w:val="24"/>
      <w:szCs w:val="24"/>
    </w:rPr>
  </w:style>
  <w:style w:type="paragraph" w:customStyle="1" w:styleId="affff8">
    <w:name w:val="表题"/>
    <w:basedOn w:val="a0"/>
    <w:link w:val="Charff9"/>
    <w:pPr>
      <w:snapToGrid w:val="0"/>
      <w:spacing w:line="360" w:lineRule="auto"/>
      <w:ind w:firstLineChars="200" w:firstLine="200"/>
      <w:jc w:val="center"/>
    </w:pPr>
    <w:rPr>
      <w:rFonts w:ascii="宋体" w:eastAsia="黑体" w:hAnsi="宋体"/>
      <w:sz w:val="24"/>
      <w:szCs w:val="20"/>
    </w:rPr>
  </w:style>
  <w:style w:type="paragraph" w:customStyle="1" w:styleId="a">
    <w:name w:val="表题注"/>
    <w:basedOn w:val="9"/>
    <w:link w:val="Charffa"/>
    <w:pPr>
      <w:keepNext w:val="0"/>
      <w:keepLines w:val="0"/>
      <w:numPr>
        <w:numId w:val="2"/>
      </w:numPr>
      <w:tabs>
        <w:tab w:val="left" w:pos="720"/>
        <w:tab w:val="left" w:pos="840"/>
        <w:tab w:val="left" w:pos="945"/>
      </w:tabs>
      <w:adjustRightInd/>
      <w:spacing w:beforeLines="50" w:afterLines="50" w:line="400" w:lineRule="atLeast"/>
      <w:ind w:left="289" w:hanging="289"/>
      <w:jc w:val="left"/>
      <w:textAlignment w:val="auto"/>
    </w:pPr>
    <w:rPr>
      <w:rFonts w:eastAsia="宋体"/>
      <w:b/>
      <w:kern w:val="2"/>
      <w:sz w:val="24"/>
    </w:rPr>
  </w:style>
  <w:style w:type="paragraph" w:customStyle="1" w:styleId="affff9">
    <w:name w:val="标准"/>
    <w:basedOn w:val="a0"/>
    <w:link w:val="Charffb"/>
    <w:pPr>
      <w:tabs>
        <w:tab w:val="left" w:pos="720"/>
      </w:tabs>
      <w:adjustRightInd w:val="0"/>
      <w:spacing w:line="312" w:lineRule="atLeast"/>
      <w:textAlignment w:val="baseline"/>
    </w:pPr>
    <w:rPr>
      <w:kern w:val="0"/>
      <w:sz w:val="21"/>
      <w:szCs w:val="20"/>
    </w:rPr>
  </w:style>
  <w:style w:type="paragraph" w:customStyle="1" w:styleId="a10">
    <w:name w:val="a1"/>
    <w:basedOn w:val="a0"/>
    <w:link w:val="a1Char2"/>
    <w:pPr>
      <w:spacing w:line="360" w:lineRule="auto"/>
      <w:ind w:firstLine="493"/>
    </w:pPr>
    <w:rPr>
      <w:rFonts w:ascii="宋体"/>
      <w:sz w:val="24"/>
      <w:szCs w:val="20"/>
    </w:rPr>
  </w:style>
  <w:style w:type="paragraph" w:customStyle="1" w:styleId="me-">
    <w:name w:val="me表格内容-左"/>
    <w:basedOn w:val="a0"/>
    <w:link w:val="me-Char"/>
    <w:pPr>
      <w:shd w:val="clear" w:color="auto" w:fill="FFFFFF"/>
    </w:pPr>
    <w:rPr>
      <w:sz w:val="24"/>
      <w:szCs w:val="20"/>
    </w:rPr>
  </w:style>
  <w:style w:type="paragraph" w:customStyle="1" w:styleId="38">
    <w:name w:val="我的标题3"/>
    <w:basedOn w:val="30"/>
    <w:link w:val="3CharChar"/>
    <w:pPr>
      <w:spacing w:before="0" w:after="0" w:line="500" w:lineRule="exact"/>
    </w:pPr>
    <w:rPr>
      <w:sz w:val="24"/>
      <w:szCs w:val="24"/>
    </w:rPr>
  </w:style>
  <w:style w:type="paragraph" w:customStyle="1" w:styleId="39">
    <w:name w:val="样式 正文文本 3 + 字距调整四号"/>
    <w:basedOn w:val="32"/>
    <w:next w:val="a0"/>
    <w:link w:val="3Char4"/>
    <w:pPr>
      <w:spacing w:after="0" w:line="440" w:lineRule="exact"/>
      <w:jc w:val="center"/>
    </w:pPr>
    <w:rPr>
      <w:b/>
      <w:spacing w:val="-8"/>
      <w:kern w:val="28"/>
      <w:sz w:val="21"/>
    </w:rPr>
  </w:style>
  <w:style w:type="paragraph" w:customStyle="1" w:styleId="affffa">
    <w:name w:val="永和二级标题"/>
    <w:basedOn w:val="2"/>
    <w:link w:val="affffb"/>
    <w:pPr>
      <w:adjustRightInd w:val="0"/>
      <w:snapToGrid w:val="0"/>
      <w:spacing w:before="260" w:after="0" w:line="540" w:lineRule="exact"/>
      <w:jc w:val="center"/>
    </w:pPr>
    <w:rPr>
      <w:rFonts w:ascii="黑体" w:hAnsi="Times New Roman"/>
      <w:b w:val="0"/>
      <w:bCs/>
      <w:sz w:val="30"/>
      <w:szCs w:val="28"/>
    </w:rPr>
  </w:style>
  <w:style w:type="paragraph" w:customStyle="1" w:styleId="affffc">
    <w:name w:val="表格"/>
    <w:basedOn w:val="a0"/>
    <w:link w:val="CharChar4"/>
    <w:pPr>
      <w:spacing w:line="300" w:lineRule="exact"/>
      <w:jc w:val="center"/>
    </w:pPr>
    <w:rPr>
      <w:rFonts w:eastAsia="华文中宋"/>
      <w:color w:val="FF0000"/>
      <w:kern w:val="0"/>
      <w:sz w:val="21"/>
      <w:szCs w:val="20"/>
    </w:rPr>
  </w:style>
  <w:style w:type="paragraph" w:styleId="affffd">
    <w:name w:val="No Spacing"/>
    <w:link w:val="Charffc"/>
    <w:qFormat/>
    <w:rPr>
      <w:rFonts w:ascii="Calibri" w:hAnsi="Calibri"/>
      <w:sz w:val="22"/>
      <w:szCs w:val="22"/>
    </w:rPr>
  </w:style>
  <w:style w:type="paragraph" w:styleId="affffe">
    <w:name w:val="Intense Quote"/>
    <w:basedOn w:val="a0"/>
    <w:next w:val="a0"/>
    <w:link w:val="Charffd"/>
    <w:qFormat/>
    <w:pPr>
      <w:pBdr>
        <w:bottom w:val="single" w:sz="4" w:space="4" w:color="4F81BD"/>
      </w:pBdr>
      <w:spacing w:before="200" w:after="280"/>
      <w:ind w:left="936" w:right="936"/>
    </w:pPr>
    <w:rPr>
      <w:rFonts w:ascii="Calibri" w:hAnsi="Calibri"/>
      <w:b/>
      <w:bCs/>
      <w:i/>
      <w:iCs/>
      <w:color w:val="4F81BD"/>
      <w:sz w:val="21"/>
      <w:szCs w:val="22"/>
    </w:rPr>
  </w:style>
  <w:style w:type="paragraph" w:customStyle="1" w:styleId="afffff">
    <w:name w:val="表字"/>
    <w:basedOn w:val="a1"/>
    <w:link w:val="Charffe"/>
    <w:qFormat/>
    <w:pPr>
      <w:adjustRightInd w:val="0"/>
      <w:snapToGrid w:val="0"/>
      <w:spacing w:after="0" w:line="520" w:lineRule="exact"/>
    </w:pPr>
    <w:rPr>
      <w:rFonts w:ascii="宋体" w:hAnsi="宋体"/>
      <w:sz w:val="24"/>
      <w:szCs w:val="28"/>
    </w:rPr>
  </w:style>
  <w:style w:type="paragraph" w:customStyle="1" w:styleId="afffff0">
    <w:name w:val="报告"/>
    <w:basedOn w:val="a0"/>
    <w:link w:val="Charfff"/>
    <w:pPr>
      <w:adjustRightInd w:val="0"/>
      <w:spacing w:line="360" w:lineRule="auto"/>
      <w:ind w:firstLine="505"/>
      <w:textAlignment w:val="center"/>
    </w:pPr>
    <w:rPr>
      <w:rFonts w:ascii="TimesNewRoman" w:hAnsi="TimesNewRoman"/>
      <w:kern w:val="0"/>
      <w:sz w:val="24"/>
      <w:szCs w:val="20"/>
    </w:rPr>
  </w:style>
  <w:style w:type="paragraph" w:customStyle="1" w:styleId="TT">
    <w:name w:val="TT正文"/>
    <w:basedOn w:val="a0"/>
    <w:link w:val="TTChar"/>
    <w:pPr>
      <w:spacing w:line="360" w:lineRule="auto"/>
      <w:ind w:firstLineChars="200" w:firstLine="560"/>
      <w:jc w:val="left"/>
    </w:pPr>
    <w:rPr>
      <w:rFonts w:ascii="宋体" w:hAnsi="宋体"/>
      <w:color w:val="000000"/>
      <w:szCs w:val="28"/>
    </w:rPr>
  </w:style>
  <w:style w:type="paragraph" w:customStyle="1" w:styleId="afffff1">
    <w:name w:val="正文易"/>
    <w:basedOn w:val="a0"/>
    <w:link w:val="Charfff0"/>
    <w:uiPriority w:val="99"/>
    <w:qFormat/>
    <w:pPr>
      <w:ind w:firstLine="560"/>
    </w:pPr>
    <w:rPr>
      <w:rFonts w:ascii="Calibri" w:hAnsi="Calibri"/>
      <w:color w:val="000000"/>
    </w:rPr>
  </w:style>
  <w:style w:type="paragraph" w:customStyle="1" w:styleId="afffff2">
    <w:name w:val="君邦正文"/>
    <w:link w:val="Charfff1"/>
    <w:pPr>
      <w:spacing w:after="60" w:line="360" w:lineRule="auto"/>
      <w:ind w:firstLineChars="200" w:firstLine="480"/>
      <w:jc w:val="both"/>
    </w:pPr>
    <w:rPr>
      <w:bCs/>
      <w:sz w:val="24"/>
    </w:rPr>
  </w:style>
  <w:style w:type="paragraph" w:customStyle="1" w:styleId="TimesNewRoman">
    <w:name w:val="样式 题注 + Times New Roman"/>
    <w:basedOn w:val="a8"/>
    <w:link w:val="TimesNewRomanCharChar"/>
    <w:pPr>
      <w:spacing w:line="360" w:lineRule="auto"/>
      <w:jc w:val="center"/>
    </w:pPr>
    <w:rPr>
      <w:sz w:val="24"/>
      <w:szCs w:val="24"/>
    </w:rPr>
  </w:style>
  <w:style w:type="paragraph" w:customStyle="1" w:styleId="afffff3">
    <w:name w:val="表格标题（报告书）"/>
    <w:next w:val="a0"/>
    <w:link w:val="Charfff2"/>
    <w:pPr>
      <w:spacing w:beforeLines="50" w:line="360" w:lineRule="auto"/>
      <w:jc w:val="center"/>
    </w:pPr>
    <w:rPr>
      <w:b/>
      <w:kern w:val="2"/>
      <w:sz w:val="24"/>
      <w:szCs w:val="24"/>
    </w:rPr>
  </w:style>
  <w:style w:type="paragraph" w:customStyle="1" w:styleId="-0">
    <w:name w:val="表格内容-居中"/>
    <w:basedOn w:val="a0"/>
    <w:link w:val="-Char0"/>
    <w:pPr>
      <w:jc w:val="center"/>
    </w:pPr>
    <w:rPr>
      <w:kern w:val="0"/>
      <w:sz w:val="20"/>
    </w:rPr>
  </w:style>
  <w:style w:type="paragraph" w:customStyle="1" w:styleId="afffff4">
    <w:name w:val="我的表格标题"/>
    <w:basedOn w:val="a0"/>
    <w:link w:val="Charfff3"/>
    <w:qFormat/>
    <w:pPr>
      <w:spacing w:line="540" w:lineRule="exact"/>
      <w:ind w:firstLineChars="287" w:firstLine="689"/>
    </w:pPr>
    <w:rPr>
      <w:rFonts w:eastAsia="黑体"/>
      <w:sz w:val="24"/>
      <w:szCs w:val="20"/>
    </w:rPr>
  </w:style>
  <w:style w:type="paragraph" w:customStyle="1" w:styleId="afffff5">
    <w:name w:val="永和正文"/>
    <w:basedOn w:val="a0"/>
    <w:link w:val="afffff6"/>
    <w:pPr>
      <w:autoSpaceDE w:val="0"/>
      <w:autoSpaceDN w:val="0"/>
      <w:adjustRightInd w:val="0"/>
      <w:snapToGrid w:val="0"/>
      <w:spacing w:line="540" w:lineRule="exact"/>
      <w:ind w:firstLineChars="200" w:firstLine="200"/>
    </w:pPr>
    <w:rPr>
      <w:sz w:val="24"/>
    </w:rPr>
  </w:style>
  <w:style w:type="paragraph" w:customStyle="1" w:styleId="afffff7">
    <w:name w:val="样式 (中文) 黑体"/>
    <w:basedOn w:val="a0"/>
    <w:link w:val="Charfff4"/>
    <w:pPr>
      <w:spacing w:line="240" w:lineRule="exact"/>
      <w:ind w:firstLineChars="200" w:firstLine="482"/>
      <w:jc w:val="left"/>
    </w:pPr>
    <w:rPr>
      <w:rFonts w:eastAsia="黑体"/>
      <w:sz w:val="24"/>
    </w:rPr>
  </w:style>
  <w:style w:type="paragraph" w:customStyle="1" w:styleId="me-0">
    <w:name w:val="me表格内容-中"/>
    <w:basedOn w:val="a0"/>
    <w:link w:val="me-Char0"/>
    <w:pPr>
      <w:shd w:val="clear" w:color="auto" w:fill="FFFFFF"/>
      <w:spacing w:line="360" w:lineRule="auto"/>
      <w:ind w:firstLineChars="157" w:firstLine="377"/>
      <w:jc w:val="center"/>
    </w:pPr>
    <w:rPr>
      <w:sz w:val="24"/>
    </w:rPr>
  </w:style>
  <w:style w:type="paragraph" w:customStyle="1" w:styleId="3a">
    <w:name w:val="正文3"/>
    <w:basedOn w:val="a0"/>
    <w:next w:val="a0"/>
    <w:link w:val="Charfff5"/>
    <w:pPr>
      <w:spacing w:line="529" w:lineRule="exact"/>
      <w:ind w:firstLine="420"/>
    </w:pPr>
    <w:rPr>
      <w:rFonts w:ascii="宋体" w:hAnsi="宋体"/>
      <w:sz w:val="24"/>
      <w:szCs w:val="20"/>
    </w:rPr>
  </w:style>
  <w:style w:type="paragraph" w:customStyle="1" w:styleId="123">
    <w:name w:val="123"/>
    <w:basedOn w:val="a0"/>
    <w:link w:val="123CharChar"/>
    <w:pPr>
      <w:spacing w:before="156" w:afterLines="50" w:line="360" w:lineRule="auto"/>
      <w:ind w:firstLineChars="200" w:firstLine="200"/>
    </w:pPr>
    <w:rPr>
      <w:rFonts w:ascii="宋体" w:hAnsi="宋体"/>
      <w:sz w:val="24"/>
      <w:szCs w:val="20"/>
    </w:rPr>
  </w:style>
  <w:style w:type="paragraph" w:customStyle="1" w:styleId="020">
    <w:name w:val="0标题2"/>
    <w:basedOn w:val="2"/>
    <w:link w:val="02Char"/>
    <w:qFormat/>
    <w:pPr>
      <w:spacing w:beforeLines="50" w:before="0" w:after="0" w:line="360" w:lineRule="auto"/>
      <w:jc w:val="left"/>
    </w:pPr>
    <w:rPr>
      <w:rFonts w:ascii="Times New Roman" w:eastAsia="宋体" w:hAnsi="Times New Roman"/>
      <w:bCs/>
      <w:szCs w:val="32"/>
    </w:rPr>
  </w:style>
  <w:style w:type="paragraph" w:customStyle="1" w:styleId="afffff8">
    <w:name w:val="正文格式"/>
    <w:basedOn w:val="a0"/>
    <w:link w:val="Charfff6"/>
    <w:pPr>
      <w:spacing w:line="360" w:lineRule="auto"/>
      <w:ind w:firstLineChars="200" w:firstLine="544"/>
    </w:pPr>
    <w:rPr>
      <w:rFonts w:ascii="宋体" w:hAnsi="宋体"/>
      <w:sz w:val="24"/>
    </w:rPr>
  </w:style>
  <w:style w:type="paragraph" w:customStyle="1" w:styleId="19">
    <w:name w:val="样式 宋体 四号1"/>
    <w:basedOn w:val="a0"/>
    <w:next w:val="a0"/>
    <w:link w:val="1Char5"/>
    <w:pPr>
      <w:spacing w:line="280" w:lineRule="exact"/>
      <w:ind w:firstLineChars="200" w:firstLine="400"/>
      <w:jc w:val="left"/>
    </w:pPr>
    <w:rPr>
      <w:rFonts w:ascii="宋体" w:hAnsi="宋体"/>
    </w:rPr>
  </w:style>
  <w:style w:type="paragraph" w:customStyle="1" w:styleId="240">
    <w:name w:val="样式 宋体 小四 行距: 固定值 24 磅"/>
    <w:basedOn w:val="a0"/>
    <w:link w:val="24CharChar"/>
    <w:pPr>
      <w:spacing w:line="480" w:lineRule="exact"/>
      <w:ind w:firstLineChars="200" w:firstLine="496"/>
    </w:pPr>
    <w:rPr>
      <w:rFonts w:ascii="宋体" w:hAnsi="宋体"/>
      <w:bCs/>
      <w:spacing w:val="4"/>
      <w:kern w:val="0"/>
      <w:sz w:val="24"/>
    </w:rPr>
  </w:style>
  <w:style w:type="paragraph" w:customStyle="1" w:styleId="61">
    <w:name w:val="样式6"/>
    <w:basedOn w:val="a0"/>
    <w:link w:val="6Char0"/>
    <w:qFormat/>
    <w:pPr>
      <w:jc w:val="center"/>
    </w:pPr>
    <w:rPr>
      <w:sz w:val="21"/>
    </w:rPr>
  </w:style>
  <w:style w:type="paragraph" w:customStyle="1" w:styleId="44">
    <w:name w:val="我的样式4正文"/>
    <w:basedOn w:val="a0"/>
    <w:link w:val="4Char1"/>
    <w:pPr>
      <w:spacing w:line="520" w:lineRule="exact"/>
      <w:ind w:firstLineChars="205" w:firstLine="492"/>
    </w:pPr>
    <w:rPr>
      <w:sz w:val="24"/>
    </w:rPr>
  </w:style>
  <w:style w:type="paragraph" w:customStyle="1" w:styleId="TimesNewRoman0">
    <w:name w:val="样式 题注 + (西文) Times New Roman (中文) 宋体 小四 加粗 自动设置"/>
    <w:basedOn w:val="a8"/>
    <w:link w:val="TimesNewRomanChar"/>
    <w:pPr>
      <w:spacing w:line="360" w:lineRule="auto"/>
    </w:pPr>
    <w:rPr>
      <w:rFonts w:eastAsia="宋体"/>
      <w:kern w:val="21"/>
      <w:sz w:val="24"/>
    </w:rPr>
  </w:style>
  <w:style w:type="paragraph" w:customStyle="1" w:styleId="afffff9">
    <w:name w:val="表格头"/>
    <w:basedOn w:val="a1"/>
    <w:link w:val="afffffa"/>
    <w:uiPriority w:val="1"/>
    <w:qFormat/>
    <w:pPr>
      <w:tabs>
        <w:tab w:val="left" w:pos="3840"/>
      </w:tabs>
      <w:spacing w:after="0" w:line="520" w:lineRule="exact"/>
      <w:jc w:val="center"/>
    </w:pPr>
    <w:rPr>
      <w:rFonts w:eastAsia="黑体"/>
      <w:kern w:val="0"/>
      <w:sz w:val="24"/>
    </w:rPr>
  </w:style>
  <w:style w:type="paragraph" w:customStyle="1" w:styleId="afffffb">
    <w:name w:val="表标题"/>
    <w:basedOn w:val="a0"/>
    <w:next w:val="a0"/>
    <w:link w:val="Charfff7"/>
    <w:pPr>
      <w:adjustRightInd w:val="0"/>
      <w:snapToGrid w:val="0"/>
      <w:spacing w:beforeLines="50" w:afterLines="50"/>
      <w:jc w:val="center"/>
      <w:textAlignment w:val="baseline"/>
    </w:pPr>
    <w:rPr>
      <w:rFonts w:ascii="黑体" w:hAnsi="宋体"/>
      <w:b/>
      <w:bCs/>
      <w:kern w:val="0"/>
      <w:sz w:val="24"/>
      <w:szCs w:val="20"/>
    </w:rPr>
  </w:style>
  <w:style w:type="paragraph" w:customStyle="1" w:styleId="afffffc">
    <w:name w:val="启明正文"/>
    <w:basedOn w:val="a0"/>
    <w:link w:val="Charfff8"/>
    <w:pPr>
      <w:spacing w:line="360" w:lineRule="auto"/>
      <w:ind w:firstLineChars="200" w:firstLine="200"/>
    </w:pPr>
    <w:rPr>
      <w:rFonts w:ascii="宋体" w:hAnsi="宋体"/>
      <w:sz w:val="24"/>
      <w:szCs w:val="20"/>
    </w:rPr>
  </w:style>
  <w:style w:type="paragraph" w:customStyle="1" w:styleId="a30">
    <w:name w:val="a3"/>
    <w:basedOn w:val="a0"/>
    <w:link w:val="a3CharChar"/>
    <w:pPr>
      <w:jc w:val="center"/>
    </w:pPr>
    <w:rPr>
      <w:szCs w:val="20"/>
    </w:rPr>
  </w:style>
  <w:style w:type="paragraph" w:customStyle="1" w:styleId="1a">
    <w:name w:val="样式 标题 1 + 三号"/>
    <w:basedOn w:val="1"/>
    <w:link w:val="1CharChar0"/>
    <w:pPr>
      <w:widowControl/>
      <w:spacing w:beforeLines="100" w:afterLines="100" w:line="576" w:lineRule="auto"/>
      <w:ind w:firstLineChars="200" w:firstLine="480"/>
      <w:jc w:val="center"/>
    </w:pPr>
  </w:style>
  <w:style w:type="paragraph" w:customStyle="1" w:styleId="afffffd">
    <w:name w:val="表格文字"/>
    <w:basedOn w:val="a0"/>
    <w:next w:val="a0"/>
    <w:link w:val="Charfff9"/>
    <w:pPr>
      <w:spacing w:beforeLines="30" w:before="30" w:afterLines="30" w:after="30"/>
      <w:jc w:val="center"/>
    </w:pPr>
    <w:rPr>
      <w:spacing w:val="10"/>
      <w:kern w:val="0"/>
      <w:sz w:val="21"/>
      <w:szCs w:val="21"/>
    </w:rPr>
  </w:style>
  <w:style w:type="paragraph" w:customStyle="1" w:styleId="afffffe">
    <w:name w:val="报告书正文"/>
    <w:basedOn w:val="a0"/>
    <w:link w:val="Charfffa"/>
    <w:pPr>
      <w:spacing w:line="520" w:lineRule="exact"/>
      <w:ind w:firstLineChars="200" w:firstLine="482"/>
    </w:pPr>
    <w:rPr>
      <w:rFonts w:ascii="宋体" w:hAnsi="宋体"/>
      <w:b/>
      <w:i/>
      <w:sz w:val="24"/>
      <w:u w:val="single"/>
    </w:rPr>
  </w:style>
  <w:style w:type="paragraph" w:customStyle="1" w:styleId="affffff">
    <w:name w:val="样式 四号"/>
    <w:basedOn w:val="a0"/>
    <w:link w:val="Charfffb"/>
    <w:pPr>
      <w:spacing w:line="520" w:lineRule="exact"/>
    </w:pPr>
    <w:rPr>
      <w:szCs w:val="20"/>
    </w:rPr>
  </w:style>
  <w:style w:type="paragraph" w:customStyle="1" w:styleId="affffff0">
    <w:name w:val="丰达正文"/>
    <w:basedOn w:val="a0"/>
    <w:link w:val="Charfffc"/>
    <w:pPr>
      <w:autoSpaceDE w:val="0"/>
      <w:autoSpaceDN w:val="0"/>
      <w:adjustRightInd w:val="0"/>
      <w:snapToGrid w:val="0"/>
      <w:spacing w:line="540" w:lineRule="exact"/>
      <w:ind w:firstLineChars="200" w:firstLine="200"/>
    </w:pPr>
    <w:rPr>
      <w:sz w:val="24"/>
    </w:rPr>
  </w:style>
  <w:style w:type="paragraph" w:customStyle="1" w:styleId="ZW">
    <w:name w:val="ZW"/>
    <w:basedOn w:val="a0"/>
    <w:link w:val="ZWChar"/>
    <w:pPr>
      <w:ind w:firstLineChars="200" w:firstLine="560"/>
    </w:pPr>
    <w:rPr>
      <w:rFonts w:eastAsia="仿宋_GB2312"/>
      <w:kern w:val="0"/>
      <w:szCs w:val="20"/>
    </w:rPr>
  </w:style>
  <w:style w:type="paragraph" w:customStyle="1" w:styleId="300">
    <w:name w:val="样式 标题 3头 + 首行缩进:  0 厘米"/>
    <w:basedOn w:val="30"/>
    <w:link w:val="30Char"/>
    <w:pPr>
      <w:spacing w:before="0" w:after="0" w:line="520" w:lineRule="exact"/>
    </w:pPr>
    <w:rPr>
      <w:rFonts w:ascii="宋体" w:hAnsi="宋体"/>
      <w:b w:val="0"/>
      <w:sz w:val="24"/>
      <w:szCs w:val="24"/>
      <w:lang w:val="de-DE"/>
    </w:rPr>
  </w:style>
  <w:style w:type="paragraph" w:customStyle="1" w:styleId="Affffff1">
    <w:name w:val="A正文"/>
    <w:basedOn w:val="a0"/>
    <w:link w:val="AChar0"/>
    <w:pPr>
      <w:adjustRightInd w:val="0"/>
      <w:snapToGrid w:val="0"/>
      <w:spacing w:line="360" w:lineRule="auto"/>
      <w:ind w:firstLineChars="200" w:firstLine="480"/>
    </w:pPr>
    <w:rPr>
      <w:rFonts w:ascii="Calibri" w:hAnsi="宋体"/>
      <w:sz w:val="24"/>
    </w:rPr>
  </w:style>
  <w:style w:type="paragraph" w:customStyle="1" w:styleId="1b">
    <w:name w:val="1表格内容"/>
    <w:basedOn w:val="a0"/>
    <w:link w:val="1Char6"/>
    <w:qFormat/>
    <w:pPr>
      <w:jc w:val="center"/>
    </w:pPr>
    <w:rPr>
      <w:sz w:val="21"/>
      <w:szCs w:val="20"/>
    </w:rPr>
  </w:style>
  <w:style w:type="paragraph" w:customStyle="1" w:styleId="1c">
    <w:name w:val="正文1"/>
    <w:basedOn w:val="a0"/>
    <w:link w:val="1Char7"/>
    <w:pPr>
      <w:spacing w:beforeLines="25" w:afterLines="25" w:line="360" w:lineRule="auto"/>
      <w:ind w:firstLineChars="200" w:firstLine="480"/>
    </w:pPr>
    <w:rPr>
      <w:sz w:val="24"/>
    </w:rPr>
  </w:style>
  <w:style w:type="paragraph" w:customStyle="1" w:styleId="05">
    <w:name w:val="0图表题"/>
    <w:basedOn w:val="0"/>
    <w:link w:val="0Char3"/>
    <w:pPr>
      <w:spacing w:afterLines="100" w:after="312"/>
    </w:pPr>
    <w:rPr>
      <w:rFonts w:eastAsia="宋体"/>
    </w:rPr>
  </w:style>
  <w:style w:type="paragraph" w:customStyle="1" w:styleId="affffff2">
    <w:name w:val="表头"/>
    <w:basedOn w:val="a0"/>
    <w:next w:val="a0"/>
    <w:link w:val="Char11"/>
    <w:qFormat/>
    <w:pPr>
      <w:tabs>
        <w:tab w:val="left" w:pos="7380"/>
      </w:tabs>
      <w:autoSpaceDE w:val="0"/>
      <w:autoSpaceDN w:val="0"/>
      <w:adjustRightInd w:val="0"/>
      <w:snapToGrid w:val="0"/>
      <w:spacing w:after="80" w:line="480" w:lineRule="exact"/>
    </w:pPr>
    <w:rPr>
      <w:b/>
      <w:sz w:val="24"/>
      <w:szCs w:val="20"/>
      <w:lang w:val="de-DE"/>
    </w:rPr>
  </w:style>
  <w:style w:type="paragraph" w:customStyle="1" w:styleId="YZM">
    <w:name w:val="YZM段落内容"/>
    <w:basedOn w:val="a0"/>
    <w:link w:val="YZMChar1"/>
    <w:pPr>
      <w:overflowPunct w:val="0"/>
      <w:topLinePunct/>
      <w:adjustRightInd w:val="0"/>
      <w:spacing w:line="500" w:lineRule="exact"/>
      <w:ind w:left="480"/>
      <w:textAlignment w:val="baseline"/>
    </w:pPr>
    <w:rPr>
      <w:rFonts w:ascii="宋体" w:hAnsi="Arial"/>
      <w:kern w:val="0"/>
      <w:sz w:val="24"/>
      <w:szCs w:val="20"/>
    </w:rPr>
  </w:style>
  <w:style w:type="paragraph" w:customStyle="1" w:styleId="affffff3">
    <w:name w:val="十矿"/>
    <w:basedOn w:val="a0"/>
    <w:link w:val="CharChar5"/>
    <w:pPr>
      <w:spacing w:line="540" w:lineRule="exact"/>
      <w:ind w:firstLineChars="200" w:firstLine="560"/>
    </w:pPr>
    <w:rPr>
      <w:szCs w:val="20"/>
    </w:rPr>
  </w:style>
  <w:style w:type="paragraph" w:customStyle="1" w:styleId="affffff4">
    <w:name w:val="圣达四级标题"/>
    <w:basedOn w:val="a0"/>
    <w:link w:val="Charfffd"/>
    <w:pPr>
      <w:adjustRightInd w:val="0"/>
      <w:snapToGrid w:val="0"/>
      <w:spacing w:line="540" w:lineRule="exact"/>
      <w:ind w:firstLineChars="200" w:firstLine="200"/>
      <w:outlineLvl w:val="3"/>
    </w:pPr>
    <w:rPr>
      <w:rFonts w:ascii="宋体" w:hAnsi="宋体"/>
      <w:b/>
      <w:sz w:val="24"/>
    </w:rPr>
  </w:style>
  <w:style w:type="paragraph" w:customStyle="1" w:styleId="affffff5">
    <w:name w:val="报告正文"/>
    <w:basedOn w:val="a0"/>
    <w:link w:val="Charfffe"/>
    <w:pPr>
      <w:spacing w:line="520" w:lineRule="exact"/>
      <w:ind w:firstLineChars="200" w:firstLine="200"/>
    </w:pPr>
    <w:rPr>
      <w:rFonts w:ascii="宋体" w:hAnsi="宋体"/>
      <w:color w:val="000000"/>
      <w:sz w:val="24"/>
    </w:rPr>
  </w:style>
  <w:style w:type="paragraph" w:customStyle="1" w:styleId="040">
    <w:name w:val="0标题4"/>
    <w:basedOn w:val="a0"/>
    <w:link w:val="04Char0"/>
    <w:qFormat/>
    <w:pPr>
      <w:spacing w:line="360" w:lineRule="auto"/>
      <w:jc w:val="left"/>
      <w:outlineLvl w:val="3"/>
    </w:pPr>
    <w:rPr>
      <w:rFonts w:ascii="Calibri" w:hAnsi="Calibri"/>
      <w:b/>
      <w:bCs/>
      <w:sz w:val="24"/>
    </w:rPr>
  </w:style>
  <w:style w:type="paragraph" w:customStyle="1" w:styleId="affffff6">
    <w:name w:val="正文文本的"/>
    <w:basedOn w:val="a0"/>
    <w:link w:val="Charffff"/>
    <w:pPr>
      <w:spacing w:line="360" w:lineRule="auto"/>
      <w:ind w:firstLineChars="200" w:firstLine="480"/>
    </w:pPr>
    <w:rPr>
      <w:rFonts w:ascii="宋体" w:hAnsi="宋体"/>
      <w:sz w:val="24"/>
      <w:szCs w:val="20"/>
    </w:rPr>
  </w:style>
  <w:style w:type="paragraph" w:customStyle="1" w:styleId="1d">
    <w:name w:val="样式1"/>
    <w:basedOn w:val="af2"/>
    <w:link w:val="1Char8"/>
    <w:qFormat/>
    <w:pPr>
      <w:tabs>
        <w:tab w:val="left" w:pos="4620"/>
      </w:tabs>
      <w:jc w:val="center"/>
    </w:pPr>
    <w:rPr>
      <w:sz w:val="28"/>
    </w:rPr>
  </w:style>
  <w:style w:type="paragraph" w:customStyle="1" w:styleId="01262">
    <w:name w:val="样式 小四 红色 加宽量  0.1 磅 行距: 固定值 26 磅 首行缩进:  2 字符"/>
    <w:basedOn w:val="a0"/>
    <w:pPr>
      <w:spacing w:line="360" w:lineRule="auto"/>
      <w:ind w:firstLineChars="200" w:firstLine="200"/>
    </w:pPr>
    <w:rPr>
      <w:rFonts w:cs="宋体"/>
      <w:spacing w:val="2"/>
      <w:sz w:val="24"/>
      <w:szCs w:val="20"/>
    </w:rPr>
  </w:style>
  <w:style w:type="paragraph" w:customStyle="1" w:styleId="15221">
    <w:name w:val="样式 小四 黑色 行距: 1.5 倍行距 首行缩进:  2.21 字符"/>
    <w:basedOn w:val="a0"/>
    <w:pPr>
      <w:spacing w:line="520" w:lineRule="exact"/>
      <w:ind w:firstLineChars="221" w:firstLine="221"/>
    </w:pPr>
    <w:rPr>
      <w:rFonts w:cs="宋体"/>
      <w:color w:val="000000"/>
      <w:kern w:val="0"/>
      <w:sz w:val="24"/>
      <w:szCs w:val="20"/>
    </w:rPr>
  </w:style>
  <w:style w:type="paragraph" w:customStyle="1" w:styleId="Style19">
    <w:name w:val="Style19"/>
    <w:basedOn w:val="a0"/>
    <w:pPr>
      <w:adjustRightInd w:val="0"/>
      <w:jc w:val="left"/>
    </w:pPr>
    <w:rPr>
      <w:rFonts w:ascii="宋体"/>
      <w:kern w:val="0"/>
      <w:sz w:val="24"/>
    </w:rPr>
  </w:style>
  <w:style w:type="paragraph" w:customStyle="1" w:styleId="09915">
    <w:name w:val="样式 小四 首行缩进:  0.99 厘米 行距: 1.5 倍行距"/>
    <w:basedOn w:val="a0"/>
    <w:pPr>
      <w:spacing w:line="520" w:lineRule="exact"/>
      <w:ind w:firstLine="561"/>
    </w:pPr>
    <w:rPr>
      <w:rFonts w:cs="宋体"/>
      <w:sz w:val="24"/>
      <w:szCs w:val="20"/>
    </w:rPr>
  </w:style>
  <w:style w:type="paragraph" w:customStyle="1" w:styleId="08615">
    <w:name w:val="样式 小四 首行缩进:  0.86 厘米 行距: 1.5 倍行距"/>
    <w:basedOn w:val="a0"/>
    <w:pPr>
      <w:spacing w:line="520" w:lineRule="exact"/>
      <w:ind w:firstLine="488"/>
    </w:pPr>
    <w:rPr>
      <w:rFonts w:cs="宋体"/>
      <w:sz w:val="24"/>
      <w:szCs w:val="20"/>
    </w:rPr>
  </w:style>
  <w:style w:type="paragraph" w:customStyle="1" w:styleId="012620">
    <w:name w:val="样式 小四 加宽量  0.1 磅 行距: 固定值 26 磅 首行缩进:  2 字符"/>
    <w:basedOn w:val="a0"/>
    <w:pPr>
      <w:spacing w:line="360" w:lineRule="auto"/>
      <w:ind w:firstLineChars="200" w:firstLine="200"/>
    </w:pPr>
    <w:rPr>
      <w:rFonts w:cs="宋体"/>
      <w:spacing w:val="2"/>
      <w:sz w:val="24"/>
      <w:szCs w:val="20"/>
    </w:rPr>
  </w:style>
  <w:style w:type="paragraph" w:customStyle="1" w:styleId="me5">
    <w:name w:val="me标题5"/>
    <w:basedOn w:val="a0"/>
    <w:pPr>
      <w:shd w:val="clear" w:color="auto" w:fill="FFFFFF"/>
      <w:ind w:firstLineChars="200" w:firstLine="480"/>
      <w:jc w:val="right"/>
    </w:pPr>
    <w:rPr>
      <w:rFonts w:ascii="宋体" w:cs="宋体"/>
      <w:bCs/>
      <w:color w:val="000000"/>
      <w:sz w:val="24"/>
      <w:lang w:val="zh-CN"/>
    </w:rPr>
  </w:style>
  <w:style w:type="paragraph" w:customStyle="1" w:styleId="1e">
    <w:name w:val="普通(网站)1"/>
    <w:basedOn w:val="a0"/>
    <w:pPr>
      <w:widowControl/>
      <w:spacing w:before="100" w:beforeAutospacing="1" w:after="100" w:afterAutospacing="1"/>
      <w:jc w:val="left"/>
    </w:pPr>
    <w:rPr>
      <w:rFonts w:ascii="宋体" w:hAnsi="宋体" w:hint="eastAsia"/>
      <w:sz w:val="24"/>
      <w:szCs w:val="20"/>
    </w:rPr>
  </w:style>
  <w:style w:type="paragraph" w:customStyle="1" w:styleId="0850115">
    <w:name w:val="样式 小四 黑色 首行缩进:  0.85 厘米 加宽量  0.1 磅 行距: 1.5 倍行距"/>
    <w:basedOn w:val="a0"/>
    <w:pPr>
      <w:spacing w:line="520" w:lineRule="exact"/>
      <w:ind w:firstLine="482"/>
    </w:pPr>
    <w:rPr>
      <w:rFonts w:cs="宋体"/>
      <w:color w:val="000000"/>
      <w:spacing w:val="2"/>
      <w:sz w:val="24"/>
      <w:szCs w:val="20"/>
    </w:rPr>
  </w:style>
  <w:style w:type="paragraph" w:customStyle="1" w:styleId="affffff7">
    <w:name w:val="正文文字"/>
    <w:basedOn w:val="a0"/>
    <w:pPr>
      <w:adjustRightInd w:val="0"/>
      <w:snapToGrid w:val="0"/>
      <w:spacing w:line="360" w:lineRule="auto"/>
      <w:ind w:firstLineChars="200" w:firstLine="480"/>
    </w:pPr>
    <w:rPr>
      <w:rFonts w:cs="宋体"/>
      <w:sz w:val="24"/>
    </w:rPr>
  </w:style>
  <w:style w:type="paragraph" w:customStyle="1" w:styleId="81">
    <w:name w:val="样式8"/>
    <w:basedOn w:val="ae"/>
    <w:qFormat/>
    <w:pPr>
      <w:snapToGrid w:val="0"/>
      <w:spacing w:line="360" w:lineRule="exact"/>
    </w:pPr>
    <w:rPr>
      <w:rFonts w:ascii="黑体" w:eastAsia="黑体"/>
      <w:sz w:val="24"/>
    </w:rPr>
  </w:style>
  <w:style w:type="paragraph" w:customStyle="1" w:styleId="ParaCharCharCharCharCharCharCharCharCharChar">
    <w:name w:val="默认段落字体 Para Char Char Char Char Char Char Char Char Char Char"/>
    <w:basedOn w:val="30"/>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brdrw15brsp20tqctx4153t">
    <w:name w:val="brdrw15brsp20 tqctx4153t"/>
    <w:pPr>
      <w:widowControl w:val="0"/>
      <w:pBdr>
        <w:bottom w:val="single" w:sz="6" w:space="0" w:color="auto"/>
      </w:pBdr>
      <w:adjustRightInd w:val="0"/>
      <w:spacing w:line="312" w:lineRule="atLeast"/>
      <w:jc w:val="center"/>
      <w:textAlignment w:val="baseline"/>
    </w:pPr>
    <w:rPr>
      <w:sz w:val="21"/>
    </w:rPr>
  </w:style>
  <w:style w:type="paragraph" w:customStyle="1" w:styleId="CharCharCharCharCharCharCharCharCharC10">
    <w:name w:val="样式 纯文本孙普文字 Char Char CharCharChar Char纯文本 Char Char Char C...10"/>
    <w:basedOn w:val="ae"/>
    <w:pPr>
      <w:spacing w:line="520" w:lineRule="exact"/>
      <w:ind w:firstLine="482"/>
    </w:pPr>
    <w:rPr>
      <w:rFonts w:ascii="Times New Roman" w:hAnsi="Times New Roman" w:cs="宋体"/>
      <w:color w:val="000000"/>
      <w:sz w:val="24"/>
    </w:rPr>
  </w:style>
  <w:style w:type="paragraph" w:customStyle="1" w:styleId="affffff8">
    <w:name w:val="表样式"/>
    <w:basedOn w:val="a0"/>
    <w:pPr>
      <w:adjustRightInd w:val="0"/>
      <w:snapToGrid w:val="0"/>
      <w:spacing w:line="540" w:lineRule="atLeast"/>
    </w:pPr>
    <w:rPr>
      <w:rFonts w:ascii="黑体" w:eastAsia="黑体"/>
    </w:rPr>
  </w:style>
  <w:style w:type="paragraph" w:customStyle="1" w:styleId="150">
    <w:name w:val="样式 四号 行距: 1.5 倍行距"/>
    <w:basedOn w:val="a0"/>
    <w:pPr>
      <w:snapToGrid w:val="0"/>
      <w:spacing w:line="360" w:lineRule="auto"/>
      <w:ind w:firstLineChars="200" w:firstLine="200"/>
    </w:pPr>
    <w:rPr>
      <w:szCs w:val="20"/>
    </w:rPr>
  </w:style>
  <w:style w:type="paragraph" w:customStyle="1" w:styleId="1f">
    <w:name w:val="文档结构图1"/>
    <w:basedOn w:val="a0"/>
    <w:pPr>
      <w:shd w:val="clear" w:color="auto" w:fill="000080"/>
      <w:adjustRightInd w:val="0"/>
      <w:snapToGrid w:val="0"/>
      <w:spacing w:line="540" w:lineRule="atLeast"/>
    </w:pPr>
    <w:rPr>
      <w:szCs w:val="20"/>
      <w:shd w:val="clear" w:color="auto" w:fill="000080"/>
    </w:rPr>
  </w:style>
  <w:style w:type="paragraph" w:customStyle="1" w:styleId="1f0">
    <w:name w:val="表格说明1"/>
    <w:basedOn w:val="a0"/>
    <w:pPr>
      <w:spacing w:line="400" w:lineRule="exact"/>
      <w:ind w:firstLine="567"/>
    </w:pPr>
    <w:rPr>
      <w:kern w:val="0"/>
      <w:sz w:val="24"/>
    </w:rPr>
  </w:style>
  <w:style w:type="paragraph" w:customStyle="1" w:styleId="152">
    <w:name w:val="样式 宋体 四号 黑色 行距: 1.5 倍行距"/>
    <w:basedOn w:val="a0"/>
    <w:pPr>
      <w:spacing w:line="360" w:lineRule="auto"/>
      <w:ind w:firstLineChars="200" w:firstLine="560"/>
    </w:pPr>
    <w:rPr>
      <w:rFonts w:cs="宋体"/>
      <w:color w:val="000000"/>
      <w:szCs w:val="20"/>
    </w:rPr>
  </w:style>
  <w:style w:type="paragraph" w:customStyle="1" w:styleId="08501150">
    <w:name w:val="样式 小四 左 首行缩进:  0.85 厘米 加宽量  0.1 磅 行距: 1.5 倍行距"/>
    <w:basedOn w:val="a0"/>
    <w:pPr>
      <w:spacing w:line="520" w:lineRule="exact"/>
      <w:ind w:firstLine="482"/>
      <w:jc w:val="left"/>
    </w:pPr>
    <w:rPr>
      <w:rFonts w:cs="宋体"/>
      <w:spacing w:val="2"/>
      <w:sz w:val="24"/>
      <w:szCs w:val="20"/>
    </w:rPr>
  </w:style>
  <w:style w:type="paragraph" w:customStyle="1" w:styleId="2c">
    <w:name w:val="目录2"/>
    <w:basedOn w:val="a0"/>
    <w:pPr>
      <w:widowControl/>
      <w:tabs>
        <w:tab w:val="left" w:leader="dot" w:pos="7370"/>
      </w:tabs>
      <w:spacing w:line="317" w:lineRule="atLeast"/>
      <w:ind w:firstLine="209"/>
      <w:textAlignment w:val="baseline"/>
    </w:pPr>
    <w:rPr>
      <w:color w:val="000000"/>
      <w:kern w:val="0"/>
      <w:sz w:val="21"/>
      <w:szCs w:val="20"/>
      <w:u w:color="000000"/>
    </w:rPr>
  </w:style>
  <w:style w:type="paragraph" w:customStyle="1" w:styleId="1510">
    <w:name w:val="样式 宋体 小四 行距: 1.5 倍行距1"/>
    <w:basedOn w:val="a0"/>
    <w:pPr>
      <w:spacing w:line="360" w:lineRule="auto"/>
      <w:ind w:firstLineChars="200" w:firstLine="480"/>
    </w:pPr>
    <w:rPr>
      <w:sz w:val="24"/>
    </w:rPr>
  </w:style>
  <w:style w:type="paragraph" w:customStyle="1" w:styleId="me4">
    <w:name w:val="me公式缩进"/>
    <w:basedOn w:val="me1"/>
    <w:pPr>
      <w:spacing w:before="0" w:line="540" w:lineRule="exact"/>
      <w:ind w:firstLineChars="450" w:firstLine="1260"/>
    </w:pPr>
    <w:rPr>
      <w:color w:val="000000"/>
      <w:spacing w:val="0"/>
      <w:szCs w:val="20"/>
      <w:lang w:val="zh-CN"/>
    </w:rPr>
  </w:style>
  <w:style w:type="paragraph" w:customStyle="1" w:styleId="10026">
    <w:name w:val="样式 标题 1 + (中文) 黑体 居中 段前: 0 磅 段后: 0 磅 行距: 固定值 26 磅"/>
    <w:basedOn w:val="1"/>
    <w:pPr>
      <w:spacing w:before="0" w:afterLines="150" w:line="520" w:lineRule="exact"/>
      <w:jc w:val="center"/>
    </w:pPr>
    <w:rPr>
      <w:rFonts w:eastAsia="黑体" w:cs="宋体"/>
      <w:szCs w:val="20"/>
    </w:rPr>
  </w:style>
  <w:style w:type="paragraph" w:customStyle="1" w:styleId="12715">
    <w:name w:val="样式 小四 黑色 首行缩进:  1.27 厘米 行距: 1.5 倍行距"/>
    <w:basedOn w:val="a0"/>
    <w:pPr>
      <w:spacing w:line="520" w:lineRule="exact"/>
      <w:ind w:firstLine="720"/>
    </w:pPr>
    <w:rPr>
      <w:rFonts w:cs="宋体"/>
      <w:color w:val="000000"/>
      <w:sz w:val="24"/>
      <w:szCs w:val="20"/>
    </w:rPr>
  </w:style>
  <w:style w:type="paragraph" w:customStyle="1" w:styleId="24CharChar4Char4CharC">
    <w:name w:val="样式 正文缩进正文（首行缩进两字）特点正文2标题4正文缩进 Char Char标题4 Char标题4 Char C..."/>
    <w:basedOn w:val="a2"/>
    <w:qFormat/>
    <w:pPr>
      <w:ind w:firstLineChars="0" w:firstLine="0"/>
      <w:jc w:val="center"/>
    </w:pPr>
    <w:rPr>
      <w:rFonts w:cs="宋体"/>
      <w:color w:val="000000"/>
      <w:sz w:val="21"/>
      <w:szCs w:val="20"/>
    </w:rPr>
  </w:style>
  <w:style w:type="paragraph" w:customStyle="1" w:styleId="xl36">
    <w:name w:val="xl36"/>
    <w:basedOn w:val="a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1f1">
    <w:name w:val="日期1"/>
    <w:basedOn w:val="a0"/>
    <w:next w:val="a0"/>
    <w:pPr>
      <w:adjustRightInd w:val="0"/>
      <w:spacing w:line="312" w:lineRule="atLeast"/>
      <w:jc w:val="right"/>
      <w:textAlignment w:val="baseline"/>
    </w:pPr>
    <w:rPr>
      <w:rFonts w:ascii="宋体"/>
      <w:kern w:val="0"/>
      <w:szCs w:val="20"/>
    </w:rPr>
  </w:style>
  <w:style w:type="paragraph" w:customStyle="1" w:styleId="2CharCharChars45">
    <w:name w:val="样式 正文缩进正文不缩进正文2正文（首行缩进两字）特点正文缩进 Char Char图标题正文缩进 Chars4 ...5"/>
    <w:basedOn w:val="a2"/>
    <w:pPr>
      <w:tabs>
        <w:tab w:val="left" w:pos="7380"/>
      </w:tabs>
      <w:snapToGrid w:val="0"/>
      <w:spacing w:line="520" w:lineRule="exact"/>
      <w:ind w:firstLineChars="0" w:firstLine="505"/>
    </w:pPr>
    <w:rPr>
      <w:color w:val="000000"/>
      <w:sz w:val="24"/>
      <w:szCs w:val="20"/>
    </w:rPr>
  </w:style>
  <w:style w:type="paragraph" w:customStyle="1" w:styleId="affffff9">
    <w:name w:val="表内式样"/>
    <w:basedOn w:val="a0"/>
    <w:qFormat/>
    <w:pPr>
      <w:spacing w:line="400" w:lineRule="exact"/>
      <w:jc w:val="center"/>
    </w:pPr>
    <w:rPr>
      <w:sz w:val="24"/>
    </w:rPr>
  </w:style>
  <w:style w:type="paragraph" w:customStyle="1" w:styleId="Char1CharCharCharCharCharCharCharCharChar">
    <w:name w:val="Char1 Char Char Char Char Char Char Char Char Char"/>
    <w:basedOn w:val="a0"/>
    <w:rPr>
      <w:rFonts w:ascii="宋体" w:hAnsi="宋体"/>
      <w:color w:val="000000"/>
      <w:sz w:val="24"/>
    </w:rPr>
  </w:style>
  <w:style w:type="paragraph" w:customStyle="1" w:styleId="282">
    <w:name w:val="样式 行距: 固定值 28 磅 首行缩进:  2 字符"/>
    <w:basedOn w:val="a0"/>
    <w:pPr>
      <w:spacing w:line="560" w:lineRule="exact"/>
      <w:ind w:firstLineChars="200" w:firstLine="420"/>
    </w:pPr>
    <w:rPr>
      <w:rFonts w:cs="宋体"/>
      <w:kern w:val="0"/>
      <w:sz w:val="24"/>
      <w:szCs w:val="20"/>
    </w:rPr>
  </w:style>
  <w:style w:type="paragraph" w:customStyle="1" w:styleId="affffffa">
    <w:name w:val="样式 居中"/>
    <w:basedOn w:val="a0"/>
    <w:pPr>
      <w:jc w:val="center"/>
    </w:pPr>
    <w:rPr>
      <w:rFonts w:cs="宋体"/>
      <w:sz w:val="21"/>
      <w:szCs w:val="20"/>
    </w:rPr>
  </w:style>
  <w:style w:type="paragraph" w:customStyle="1" w:styleId="affffffb">
    <w:name w:val="样式 样式 小四 黑色 +"/>
    <w:basedOn w:val="affffffc"/>
    <w:pPr>
      <w:autoSpaceDE w:val="0"/>
      <w:autoSpaceDN w:val="0"/>
      <w:adjustRightInd w:val="0"/>
    </w:pPr>
    <w:rPr>
      <w:kern w:val="0"/>
      <w:szCs w:val="24"/>
    </w:rPr>
  </w:style>
  <w:style w:type="paragraph" w:customStyle="1" w:styleId="affffffc">
    <w:name w:val="样式 小四 黑色"/>
    <w:basedOn w:val="a0"/>
    <w:qFormat/>
    <w:pPr>
      <w:spacing w:line="520" w:lineRule="exact"/>
      <w:ind w:firstLineChars="200" w:firstLine="200"/>
    </w:pPr>
    <w:rPr>
      <w:color w:val="000000"/>
      <w:sz w:val="24"/>
      <w:szCs w:val="20"/>
    </w:rPr>
  </w:style>
  <w:style w:type="paragraph" w:customStyle="1" w:styleId="3MB33Char1511134151">
    <w:name w:val="样式 标题 3MB3标题 3 Char小标题四号宋体左齐行距1.5倍1.1.1标题 34号宋体左齐行距1.5倍条标...1"/>
    <w:basedOn w:val="30"/>
    <w:pPr>
      <w:spacing w:beforeLines="50" w:before="0" w:after="0" w:line="520" w:lineRule="exact"/>
      <w:jc w:val="left"/>
    </w:pPr>
    <w:rPr>
      <w:rFonts w:eastAsia="楷体_GB2312" w:cs="宋体"/>
      <w:kern w:val="28"/>
      <w:sz w:val="28"/>
      <w:szCs w:val="20"/>
    </w:rPr>
  </w:style>
  <w:style w:type="paragraph" w:customStyle="1" w:styleId="j">
    <w:name w:val="表格样式j"/>
    <w:pPr>
      <w:jc w:val="center"/>
    </w:pPr>
    <w:rPr>
      <w:kern w:val="2"/>
      <w:sz w:val="21"/>
    </w:rPr>
  </w:style>
  <w:style w:type="paragraph" w:customStyle="1" w:styleId="22CharTimesNewRoman">
    <w:name w:val="样式 标题 2标题 2 Char节 + (西文) Times New Roman (中文) 宋体 黑色 左 段前: ..."/>
    <w:basedOn w:val="2"/>
    <w:pPr>
      <w:spacing w:line="520" w:lineRule="exact"/>
      <w:jc w:val="left"/>
    </w:pPr>
    <w:rPr>
      <w:rFonts w:ascii="Times New Roman" w:eastAsia="宋体" w:hAnsi="Times New Roman" w:cs="宋体"/>
      <w:bCs/>
      <w:color w:val="000000"/>
      <w:spacing w:val="2"/>
      <w:sz w:val="30"/>
    </w:rPr>
  </w:style>
  <w:style w:type="paragraph" w:customStyle="1" w:styleId="TimesNewRoman1">
    <w:name w:val="样式 於正文 + (西文) Times New Roman (中文) 宋体 (符号) 宋体 四号 黑色"/>
    <w:basedOn w:val="affffffd"/>
    <w:pPr>
      <w:spacing w:line="540" w:lineRule="exact"/>
    </w:pPr>
    <w:rPr>
      <w:rFonts w:ascii="Times New Roman" w:eastAsia="宋体" w:hAnsi="Times New Roman"/>
      <w:color w:val="000000"/>
      <w:sz w:val="28"/>
    </w:rPr>
  </w:style>
  <w:style w:type="paragraph" w:customStyle="1" w:styleId="affffffd">
    <w:name w:val="於正文"/>
    <w:basedOn w:val="a0"/>
    <w:pPr>
      <w:adjustRightInd w:val="0"/>
      <w:snapToGrid w:val="0"/>
      <w:spacing w:line="360" w:lineRule="auto"/>
      <w:ind w:firstLineChars="200" w:firstLine="200"/>
    </w:pPr>
    <w:rPr>
      <w:rFonts w:ascii="仿宋_GB2312" w:eastAsia="仿宋_GB2312" w:hAnsi="仿宋_GB2312"/>
      <w:color w:val="0000FF"/>
      <w:sz w:val="30"/>
    </w:rPr>
  </w:style>
  <w:style w:type="paragraph" w:customStyle="1" w:styleId="affffffe">
    <w:name w:val="表格内字体"/>
    <w:basedOn w:val="a0"/>
    <w:pPr>
      <w:spacing w:line="360" w:lineRule="exact"/>
      <w:jc w:val="center"/>
    </w:pPr>
    <w:rPr>
      <w:rFonts w:cs="宋体"/>
      <w:color w:val="7030A0"/>
      <w:sz w:val="21"/>
      <w:szCs w:val="20"/>
    </w:rPr>
  </w:style>
  <w:style w:type="paragraph" w:customStyle="1" w:styleId="15237">
    <w:name w:val="样式 小四 黑色 行距: 1.5 倍行距 首行缩进:  2.37 字符"/>
    <w:basedOn w:val="a0"/>
    <w:pPr>
      <w:spacing w:line="520" w:lineRule="exact"/>
      <w:ind w:firstLineChars="237" w:firstLine="237"/>
    </w:pPr>
    <w:rPr>
      <w:rFonts w:cs="宋体"/>
      <w:color w:val="000000"/>
      <w:sz w:val="24"/>
      <w:szCs w:val="20"/>
    </w:rPr>
  </w:style>
  <w:style w:type="paragraph" w:customStyle="1" w:styleId="afffffff">
    <w:name w:val="正文+四号+首行缩进"/>
    <w:basedOn w:val="af7"/>
    <w:pPr>
      <w:ind w:firstLine="420"/>
    </w:pPr>
    <w:rPr>
      <w:rFonts w:ascii="宋体" w:hAnsi="宋体" w:cs="宋体"/>
      <w:sz w:val="28"/>
      <w:szCs w:val="21"/>
    </w:rPr>
  </w:style>
  <w:style w:type="paragraph" w:customStyle="1" w:styleId="210">
    <w:name w:val="列表 21"/>
    <w:basedOn w:val="a0"/>
    <w:pPr>
      <w:adjustRightInd w:val="0"/>
      <w:snapToGrid w:val="0"/>
      <w:spacing w:line="540" w:lineRule="atLeast"/>
      <w:ind w:leftChars="200" w:left="100" w:hangingChars="200" w:hanging="200"/>
    </w:pPr>
    <w:rPr>
      <w:rFonts w:hint="eastAsia"/>
      <w:sz w:val="21"/>
      <w:szCs w:val="20"/>
    </w:rPr>
  </w:style>
  <w:style w:type="paragraph" w:customStyle="1" w:styleId="011515">
    <w:name w:val="样式 小四 加宽量  0.1 磅 行距: 1.5 倍行距 首行缩进:  1.5 字符"/>
    <w:basedOn w:val="a0"/>
    <w:pPr>
      <w:spacing w:line="520" w:lineRule="exact"/>
      <w:ind w:firstLineChars="150" w:firstLine="150"/>
    </w:pPr>
    <w:rPr>
      <w:rFonts w:cs="宋体"/>
      <w:spacing w:val="2"/>
      <w:sz w:val="24"/>
      <w:szCs w:val="20"/>
    </w:rPr>
  </w:style>
  <w:style w:type="paragraph" w:customStyle="1" w:styleId="afffffff0">
    <w:name w:val="战略正文"/>
    <w:pPr>
      <w:widowControl w:val="0"/>
      <w:spacing w:line="360" w:lineRule="exact"/>
      <w:ind w:firstLineChars="200" w:firstLine="480"/>
      <w:jc w:val="both"/>
    </w:pPr>
    <w:rPr>
      <w:sz w:val="24"/>
    </w:rPr>
  </w:style>
  <w:style w:type="paragraph" w:customStyle="1" w:styleId="afffffff1">
    <w:name w:val="表格标题红色"/>
    <w:basedOn w:val="a0"/>
    <w:qFormat/>
    <w:pPr>
      <w:widowControl/>
      <w:adjustRightInd w:val="0"/>
      <w:snapToGrid w:val="0"/>
      <w:spacing w:line="520" w:lineRule="exact"/>
      <w:ind w:firstLineChars="200" w:firstLine="482"/>
      <w:jc w:val="center"/>
    </w:pPr>
    <w:rPr>
      <w:rFonts w:ascii="Calibri" w:hAnsi="Calibri"/>
      <w:kern w:val="0"/>
      <w:szCs w:val="28"/>
      <w:lang w:bidi="en-US"/>
    </w:rPr>
  </w:style>
  <w:style w:type="paragraph" w:customStyle="1" w:styleId="CharCharCharCharCharCharCharCharCharCharCharCharCharCharCharChar1">
    <w:name w:val="Char Char Char Char Char Char Char Char Char Char Char Char Char Char Char Char1"/>
    <w:basedOn w:val="a0"/>
    <w:rPr>
      <w:rFonts w:ascii="Tahoma" w:hAnsi="Tahoma"/>
      <w:sz w:val="24"/>
      <w:szCs w:val="20"/>
    </w:rPr>
  </w:style>
  <w:style w:type="paragraph" w:customStyle="1" w:styleId="xl61">
    <w:name w:val="xl61"/>
    <w:basedOn w:val="a0"/>
    <w:pPr>
      <w:widowControl/>
      <w:pBdr>
        <w:top w:val="single" w:sz="4" w:space="0" w:color="auto"/>
        <w:left w:val="single" w:sz="8" w:space="0" w:color="auto"/>
        <w:bottom w:val="single" w:sz="4" w:space="0" w:color="auto"/>
      </w:pBdr>
      <w:spacing w:before="100" w:beforeAutospacing="1" w:after="100" w:afterAutospacing="1"/>
      <w:jc w:val="left"/>
    </w:pPr>
    <w:rPr>
      <w:rFonts w:ascii="宋体" w:hAnsi="宋体"/>
      <w:kern w:val="0"/>
      <w:sz w:val="24"/>
    </w:rPr>
  </w:style>
  <w:style w:type="paragraph" w:customStyle="1" w:styleId="xl58">
    <w:name w:val="xl58"/>
    <w:basedOn w:val="a0"/>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kern w:val="0"/>
      <w:sz w:val="24"/>
    </w:rPr>
  </w:style>
  <w:style w:type="paragraph" w:customStyle="1" w:styleId="xl71">
    <w:name w:val="xl71"/>
    <w:basedOn w:val="a0"/>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011">
    <w:name w:val="样式 小四 加宽量  0.1 磅"/>
    <w:basedOn w:val="a0"/>
    <w:pPr>
      <w:spacing w:line="520" w:lineRule="exact"/>
      <w:ind w:firstLineChars="200" w:firstLine="200"/>
    </w:pPr>
    <w:rPr>
      <w:spacing w:val="2"/>
      <w:sz w:val="24"/>
      <w:szCs w:val="20"/>
    </w:rPr>
  </w:style>
  <w:style w:type="paragraph" w:customStyle="1" w:styleId="2108515">
    <w:name w:val="样式 正文文本缩进正文文字 21 + 小四 首行缩进:  0.85 厘米 行距: 1.5 倍行距"/>
    <w:basedOn w:val="ac"/>
    <w:pPr>
      <w:ind w:firstLine="482"/>
    </w:pPr>
    <w:rPr>
      <w:rFonts w:cs="宋体"/>
      <w:sz w:val="24"/>
      <w:szCs w:val="20"/>
    </w:rPr>
  </w:style>
  <w:style w:type="paragraph" w:customStyle="1" w:styleId="CharCharCharCharCharCharCharCharCharC13">
    <w:name w:val="样式 纯文本孙普文字 Char Char CharCharChar Char纯文本 Char Char Char C...13"/>
    <w:basedOn w:val="ae"/>
    <w:pPr>
      <w:spacing w:line="520" w:lineRule="exact"/>
      <w:ind w:firstLine="482"/>
    </w:pPr>
    <w:rPr>
      <w:rFonts w:ascii="Times New Roman" w:hAnsi="Times New Roman" w:cs="宋体"/>
      <w:color w:val="000000"/>
      <w:sz w:val="24"/>
    </w:rPr>
  </w:style>
  <w:style w:type="paragraph" w:customStyle="1" w:styleId="CharCharCharCharCharChar1">
    <w:name w:val="Char Char Char Char Char Char1"/>
    <w:basedOn w:val="a0"/>
    <w:next w:val="a0"/>
    <w:pPr>
      <w:spacing w:line="360" w:lineRule="auto"/>
      <w:ind w:firstLineChars="200" w:firstLine="200"/>
    </w:pPr>
    <w:rPr>
      <w:rFonts w:ascii="宋体" w:hAnsi="宋体" w:cs="宋体"/>
      <w:sz w:val="24"/>
    </w:rPr>
  </w:style>
  <w:style w:type="paragraph" w:customStyle="1" w:styleId="3b">
    <w:name w:val="样式 小四 首行缩进:  3 字符"/>
    <w:basedOn w:val="a0"/>
    <w:pPr>
      <w:spacing w:line="520" w:lineRule="exact"/>
      <w:ind w:firstLineChars="200" w:firstLine="200"/>
    </w:pPr>
    <w:rPr>
      <w:rFonts w:ascii="Calibri" w:hAnsi="Calibri" w:cs="宋体"/>
      <w:sz w:val="24"/>
    </w:rPr>
  </w:style>
  <w:style w:type="paragraph" w:customStyle="1" w:styleId="font0">
    <w:name w:val="font0"/>
    <w:basedOn w:val="a0"/>
    <w:pPr>
      <w:widowControl/>
      <w:spacing w:before="100" w:beforeAutospacing="1" w:after="100" w:afterAutospacing="1"/>
      <w:jc w:val="left"/>
    </w:pPr>
    <w:rPr>
      <w:rFonts w:ascii="宋体" w:hAnsi="宋体" w:hint="eastAsia"/>
      <w:kern w:val="0"/>
      <w:sz w:val="24"/>
    </w:rPr>
  </w:style>
  <w:style w:type="paragraph" w:customStyle="1" w:styleId="xl92">
    <w:name w:val="xl92"/>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250">
    <w:name w:val="样式 宋体 四号 行距: 固定值 25 磅"/>
    <w:basedOn w:val="a0"/>
    <w:pPr>
      <w:spacing w:line="500" w:lineRule="exact"/>
      <w:ind w:firstLineChars="200" w:firstLine="560"/>
    </w:pPr>
    <w:rPr>
      <w:rFonts w:ascii="宋体" w:hAnsi="宋体" w:cs="宋体"/>
      <w:sz w:val="24"/>
    </w:rPr>
  </w:style>
  <w:style w:type="paragraph" w:customStyle="1" w:styleId="301">
    <w:name w:val="样式 宋体 小三 行距: 固定值 30 磅"/>
    <w:basedOn w:val="a0"/>
    <w:pPr>
      <w:spacing w:line="600" w:lineRule="exact"/>
      <w:ind w:firstLineChars="200" w:firstLine="616"/>
    </w:pPr>
    <w:rPr>
      <w:rFonts w:ascii="宋体" w:cs="宋体"/>
      <w:spacing w:val="4"/>
      <w:szCs w:val="20"/>
    </w:rPr>
  </w:style>
  <w:style w:type="paragraph" w:customStyle="1" w:styleId="10115">
    <w:name w:val="样式 小四 黑色 首行缩进:  1.01 厘米 行距: 1.5 倍行距"/>
    <w:basedOn w:val="a0"/>
    <w:pPr>
      <w:spacing w:line="520" w:lineRule="exact"/>
      <w:ind w:firstLine="573"/>
    </w:pPr>
    <w:rPr>
      <w:rFonts w:cs="宋体"/>
      <w:color w:val="000000"/>
      <w:sz w:val="24"/>
      <w:szCs w:val="20"/>
    </w:rPr>
  </w:style>
  <w:style w:type="paragraph" w:customStyle="1" w:styleId="Style5">
    <w:name w:val="Style5"/>
    <w:basedOn w:val="a0"/>
    <w:pPr>
      <w:adjustRightInd w:val="0"/>
      <w:spacing w:line="360" w:lineRule="exact"/>
      <w:jc w:val="left"/>
    </w:pPr>
    <w:rPr>
      <w:rFonts w:ascii="黑体" w:eastAsia="黑体"/>
      <w:kern w:val="0"/>
      <w:sz w:val="24"/>
    </w:rPr>
  </w:style>
  <w:style w:type="paragraph" w:customStyle="1" w:styleId="afffffff2">
    <w:name w:val="陈召"/>
    <w:basedOn w:val="a0"/>
    <w:pPr>
      <w:spacing w:line="540" w:lineRule="exact"/>
      <w:ind w:firstLineChars="200" w:firstLine="200"/>
    </w:pPr>
  </w:style>
  <w:style w:type="paragraph" w:customStyle="1" w:styleId="1f2">
    <w:name w:val="表头样式1"/>
    <w:basedOn w:val="a0"/>
    <w:pPr>
      <w:spacing w:after="80" w:line="480" w:lineRule="atLeast"/>
      <w:jc w:val="center"/>
    </w:pPr>
    <w:rPr>
      <w:rFonts w:ascii="Calibri" w:eastAsia="黑体" w:hAnsi="Calibri"/>
      <w:b/>
      <w:sz w:val="24"/>
      <w:szCs w:val="20"/>
    </w:rPr>
  </w:style>
  <w:style w:type="paragraph" w:customStyle="1" w:styleId="62">
    <w:name w:val="样式 题注 + 居中 段前: 6 磅"/>
    <w:basedOn w:val="a8"/>
    <w:pPr>
      <w:spacing w:before="120"/>
      <w:jc w:val="center"/>
    </w:pPr>
    <w:rPr>
      <w:rFonts w:cs="宋体"/>
      <w:sz w:val="24"/>
    </w:rPr>
  </w:style>
  <w:style w:type="paragraph" w:customStyle="1" w:styleId="afffffff3">
    <w:name w:val="样式 正文文本 + (符号) 宋体 红色"/>
    <w:basedOn w:val="a1"/>
    <w:pPr>
      <w:spacing w:line="360" w:lineRule="auto"/>
      <w:ind w:firstLineChars="200" w:firstLine="200"/>
    </w:pPr>
    <w:rPr>
      <w:rFonts w:ascii="Calibri" w:hAnsi="Calibri"/>
    </w:rPr>
  </w:style>
  <w:style w:type="paragraph" w:customStyle="1" w:styleId="2CharCharChars4">
    <w:name w:val="样式 正文缩进正文不缩进正文2正文（首行缩进两字）特点正文缩进 Char Char图标题正文缩进 Chars4 ..."/>
    <w:basedOn w:val="a2"/>
    <w:pPr>
      <w:tabs>
        <w:tab w:val="left" w:pos="7380"/>
      </w:tabs>
      <w:snapToGrid w:val="0"/>
      <w:spacing w:line="520" w:lineRule="exact"/>
      <w:ind w:firstLine="200"/>
    </w:pPr>
    <w:rPr>
      <w:rFonts w:cs="宋体"/>
      <w:color w:val="000000"/>
      <w:sz w:val="24"/>
      <w:szCs w:val="20"/>
    </w:rPr>
  </w:style>
  <w:style w:type="paragraph" w:customStyle="1" w:styleId="Style13">
    <w:name w:val="Style13"/>
    <w:basedOn w:val="a0"/>
    <w:pPr>
      <w:adjustRightInd w:val="0"/>
      <w:jc w:val="left"/>
    </w:pPr>
    <w:rPr>
      <w:rFonts w:ascii="宋体"/>
      <w:kern w:val="0"/>
      <w:sz w:val="24"/>
    </w:rPr>
  </w:style>
  <w:style w:type="paragraph" w:customStyle="1" w:styleId="Style14">
    <w:name w:val="Style14"/>
    <w:basedOn w:val="a0"/>
    <w:pPr>
      <w:adjustRightInd w:val="0"/>
      <w:jc w:val="left"/>
    </w:pPr>
    <w:rPr>
      <w:rFonts w:ascii="宋体"/>
      <w:kern w:val="0"/>
      <w:sz w:val="24"/>
    </w:rPr>
  </w:style>
  <w:style w:type="paragraph" w:customStyle="1" w:styleId="0115150">
    <w:name w:val="样式 小四 左 加宽量  0.1 磅 行距: 1.5 倍行距 首行缩进:  1.5 字符"/>
    <w:basedOn w:val="a0"/>
    <w:pPr>
      <w:spacing w:line="520" w:lineRule="exact"/>
      <w:ind w:firstLineChars="150" w:firstLine="150"/>
      <w:jc w:val="left"/>
    </w:pPr>
    <w:rPr>
      <w:rFonts w:cs="宋体"/>
      <w:spacing w:val="2"/>
      <w:sz w:val="24"/>
      <w:szCs w:val="20"/>
    </w:rPr>
  </w:style>
  <w:style w:type="paragraph" w:customStyle="1" w:styleId="CharCharCharCharCharCharCharChar1CharCharCharCharCharChar1CharCharCharCharCharCharCharCharCharChar">
    <w:name w:val="Char Char Char Char Char Char Char Char1 Char Char Char Char Char Char1 Char Char Char Char Char Char Char Char Char Char"/>
    <w:basedOn w:val="a0"/>
    <w:pPr>
      <w:widowControl/>
      <w:spacing w:after="160" w:line="240" w:lineRule="exact"/>
      <w:jc w:val="left"/>
    </w:pPr>
    <w:rPr>
      <w:rFonts w:ascii="Verdana" w:eastAsia="仿宋_GB2312" w:hAnsi="Verdana"/>
      <w:kern w:val="0"/>
      <w:szCs w:val="28"/>
    </w:rPr>
  </w:style>
  <w:style w:type="paragraph" w:customStyle="1" w:styleId="01152">
    <w:name w:val="样式 (符号) 宋体 小四 黑色 左 加宽量  0.1 磅 行距: 1.5 倍行距 首行缩进:  2 字符"/>
    <w:basedOn w:val="a0"/>
    <w:pPr>
      <w:spacing w:line="520" w:lineRule="exact"/>
      <w:ind w:firstLineChars="200" w:firstLine="200"/>
      <w:jc w:val="left"/>
    </w:pPr>
    <w:rPr>
      <w:rFonts w:hAnsi="宋体" w:cs="宋体"/>
      <w:color w:val="000000"/>
      <w:spacing w:val="2"/>
      <w:sz w:val="24"/>
      <w:szCs w:val="20"/>
    </w:rPr>
  </w:style>
  <w:style w:type="paragraph" w:customStyle="1" w:styleId="afffffff4">
    <w:name w:val="内蒙官矿正文"/>
    <w:basedOn w:val="a0"/>
    <w:pPr>
      <w:adjustRightInd w:val="0"/>
      <w:snapToGrid w:val="0"/>
      <w:spacing w:line="540" w:lineRule="atLeast"/>
      <w:ind w:firstLineChars="200" w:firstLine="560"/>
    </w:pPr>
  </w:style>
  <w:style w:type="paragraph" w:customStyle="1" w:styleId="afffffff5">
    <w:name w:val="隆庆三级标题"/>
    <w:basedOn w:val="a0"/>
    <w:qFormat/>
    <w:pPr>
      <w:spacing w:beforeLines="25" w:before="25" w:line="500" w:lineRule="exact"/>
      <w:ind w:firstLineChars="200" w:firstLine="200"/>
      <w:outlineLvl w:val="2"/>
    </w:pPr>
    <w:rPr>
      <w:b/>
      <w:sz w:val="24"/>
    </w:rPr>
  </w:style>
  <w:style w:type="paragraph" w:customStyle="1" w:styleId="xl43">
    <w:name w:val="xl43"/>
    <w:basedOn w:val="a0"/>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20">
    <w:name w:val="样式 正文文本 2 + 非加粗2"/>
    <w:basedOn w:val="25"/>
    <w:pPr>
      <w:adjustRightInd w:val="0"/>
      <w:snapToGrid w:val="0"/>
      <w:spacing w:line="360" w:lineRule="auto"/>
      <w:ind w:leftChars="398" w:left="1279" w:firstLineChars="200" w:firstLine="200"/>
    </w:pPr>
    <w:rPr>
      <w:rFonts w:cs="宋体"/>
      <w:b/>
      <w:bCs/>
      <w:color w:val="0000FF"/>
      <w:sz w:val="28"/>
    </w:rPr>
  </w:style>
  <w:style w:type="paragraph" w:customStyle="1" w:styleId="afffffff6">
    <w:name w:val="！正文"/>
    <w:basedOn w:val="a0"/>
    <w:qFormat/>
    <w:pPr>
      <w:spacing w:line="520" w:lineRule="exact"/>
      <w:ind w:firstLineChars="200" w:firstLine="200"/>
    </w:pPr>
    <w:rPr>
      <w:szCs w:val="28"/>
    </w:rPr>
  </w:style>
  <w:style w:type="paragraph" w:customStyle="1" w:styleId="2d">
    <w:name w:val="正文文字缩进 2"/>
    <w:basedOn w:val="a0"/>
    <w:pPr>
      <w:ind w:firstLine="630"/>
    </w:pPr>
    <w:rPr>
      <w:rFonts w:ascii="宋体" w:cs="宋体"/>
      <w:szCs w:val="28"/>
    </w:rPr>
  </w:style>
  <w:style w:type="paragraph" w:customStyle="1" w:styleId="CharCharCharCharCharCharCharCharCharC12">
    <w:name w:val="样式 纯文本孙普文字 Char Char CharCharChar Char纯文本 Char Char Char C...12"/>
    <w:basedOn w:val="ae"/>
    <w:pPr>
      <w:spacing w:line="520" w:lineRule="exact"/>
      <w:ind w:leftChars="271" w:left="271" w:firstLineChars="300" w:firstLine="300"/>
    </w:pPr>
    <w:rPr>
      <w:rFonts w:ascii="Times New Roman" w:hAnsi="Times New Roman" w:cs="宋体"/>
      <w:color w:val="000000"/>
      <w:sz w:val="24"/>
    </w:rPr>
  </w:style>
  <w:style w:type="paragraph" w:customStyle="1" w:styleId="afffffff7">
    <w:name w:val="正文文字缩进"/>
    <w:basedOn w:val="a0"/>
    <w:pPr>
      <w:adjustRightInd w:val="0"/>
      <w:ind w:firstLine="538"/>
      <w:textAlignment w:val="baseline"/>
    </w:pPr>
    <w:rPr>
      <w:szCs w:val="20"/>
    </w:rPr>
  </w:style>
  <w:style w:type="paragraph" w:customStyle="1" w:styleId="15267">
    <w:name w:val="样式 小四 黑色 行距: 1.5 倍行距 左  2.67 字符"/>
    <w:basedOn w:val="a0"/>
    <w:pPr>
      <w:spacing w:line="520" w:lineRule="exact"/>
      <w:ind w:leftChars="267" w:left="267"/>
    </w:pPr>
    <w:rPr>
      <w:rFonts w:cs="宋体"/>
      <w:color w:val="000000"/>
      <w:sz w:val="24"/>
      <w:szCs w:val="20"/>
    </w:rPr>
  </w:style>
  <w:style w:type="paragraph" w:customStyle="1" w:styleId="120">
    <w:name w:val="样式 标题 1 + 首行缩进:  2 字符 段前: 自动 段后: 自动"/>
    <w:basedOn w:val="1"/>
    <w:pPr>
      <w:adjustRightInd w:val="0"/>
      <w:snapToGrid w:val="0"/>
      <w:spacing w:before="0" w:after="0" w:line="360" w:lineRule="auto"/>
      <w:ind w:firstLineChars="200" w:firstLine="482"/>
    </w:pPr>
    <w:rPr>
      <w:sz w:val="30"/>
      <w:szCs w:val="32"/>
    </w:rPr>
  </w:style>
  <w:style w:type="paragraph" w:customStyle="1" w:styleId="1f3">
    <w:name w:val="正文文本缩进1"/>
    <w:basedOn w:val="a0"/>
    <w:pPr>
      <w:ind w:firstLineChars="200" w:firstLine="560"/>
    </w:pPr>
    <w:rPr>
      <w:szCs w:val="28"/>
    </w:rPr>
  </w:style>
  <w:style w:type="paragraph" w:customStyle="1" w:styleId="afffffff8">
    <w:name w:val="正文 + 宋体"/>
    <w:basedOn w:val="a0"/>
    <w:pPr>
      <w:adjustRightInd w:val="0"/>
      <w:spacing w:line="520" w:lineRule="exact"/>
      <w:ind w:firstLineChars="200" w:firstLine="200"/>
      <w:jc w:val="left"/>
      <w:textAlignment w:val="baseline"/>
    </w:pPr>
    <w:rPr>
      <w:rFonts w:ascii="宋体" w:hAnsi="宋体"/>
      <w:kern w:val="0"/>
      <w:sz w:val="24"/>
    </w:rPr>
  </w:style>
  <w:style w:type="paragraph" w:customStyle="1" w:styleId="100">
    <w:name w:val="样式10"/>
    <w:basedOn w:val="ae"/>
    <w:rPr>
      <w:b/>
    </w:rPr>
  </w:style>
  <w:style w:type="paragraph" w:customStyle="1" w:styleId="Char44">
    <w:name w:val="Char44"/>
    <w:basedOn w:val="a0"/>
    <w:pPr>
      <w:spacing w:line="360" w:lineRule="auto"/>
      <w:ind w:firstLineChars="200" w:firstLine="200"/>
    </w:pPr>
    <w:rPr>
      <w:rFonts w:ascii="宋体" w:hAnsi="宋体" w:cs="宋体"/>
      <w:sz w:val="24"/>
    </w:rPr>
  </w:style>
  <w:style w:type="paragraph" w:customStyle="1" w:styleId="afffffff9">
    <w:name w:val="正内容"/>
    <w:basedOn w:val="ae"/>
    <w:pPr>
      <w:widowControl/>
      <w:spacing w:line="540" w:lineRule="exact"/>
      <w:ind w:firstLineChars="200" w:firstLine="560"/>
    </w:pPr>
    <w:rPr>
      <w:rFonts w:hAnsi="宋体" w:cs="宋体"/>
      <w:kern w:val="0"/>
      <w:lang w:eastAsia="en-US" w:bidi="en-US"/>
    </w:rPr>
  </w:style>
  <w:style w:type="paragraph" w:customStyle="1" w:styleId="222">
    <w:name w:val="样式 样式 正文文本 2 + 非加粗2 + 首行缩进:  2 字符"/>
    <w:basedOn w:val="220"/>
    <w:pPr>
      <w:ind w:firstLine="480"/>
    </w:pPr>
    <w:rPr>
      <w:b w:val="0"/>
      <w:bCs w:val="0"/>
      <w:szCs w:val="20"/>
    </w:rPr>
  </w:style>
  <w:style w:type="paragraph" w:customStyle="1" w:styleId="Char416">
    <w:name w:val="Char416"/>
    <w:basedOn w:val="a0"/>
    <w:pPr>
      <w:spacing w:line="360" w:lineRule="auto"/>
      <w:ind w:firstLineChars="200" w:firstLine="200"/>
    </w:pPr>
    <w:rPr>
      <w:rFonts w:ascii="宋体" w:hAnsi="宋体"/>
      <w:sz w:val="24"/>
    </w:rPr>
  </w:style>
  <w:style w:type="paragraph" w:customStyle="1" w:styleId="1520">
    <w:name w:val="样式 小四 加粗 黑色 行距: 1.5 倍行距 首行缩进:  2 字符"/>
    <w:basedOn w:val="a0"/>
    <w:pPr>
      <w:spacing w:line="520" w:lineRule="exact"/>
      <w:ind w:firstLineChars="200" w:firstLine="200"/>
    </w:pPr>
    <w:rPr>
      <w:rFonts w:cs="宋体"/>
      <w:b/>
      <w:bCs/>
      <w:color w:val="000000"/>
      <w:sz w:val="24"/>
      <w:szCs w:val="20"/>
    </w:rPr>
  </w:style>
  <w:style w:type="paragraph" w:customStyle="1" w:styleId="3MB33Char151113415">
    <w:name w:val="样式 标题 3MB3标题 3 Char小标题四号宋体左齐行距1.5倍1.1.1标题 34号宋体左齐行距1.5倍条标..."/>
    <w:basedOn w:val="30"/>
    <w:pPr>
      <w:spacing w:before="0" w:after="0" w:line="520" w:lineRule="exact"/>
    </w:pPr>
    <w:rPr>
      <w:kern w:val="28"/>
      <w:sz w:val="28"/>
    </w:rPr>
  </w:style>
  <w:style w:type="paragraph" w:customStyle="1" w:styleId="xl47">
    <w:name w:val="xl47"/>
    <w:basedOn w:val="a0"/>
    <w:pPr>
      <w:widowControl/>
      <w:pBdr>
        <w:top w:val="single" w:sz="8"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1f4">
    <w:name w:val="我的标题1"/>
    <w:basedOn w:val="1"/>
    <w:pPr>
      <w:keepLines w:val="0"/>
      <w:adjustRightInd w:val="0"/>
      <w:snapToGrid w:val="0"/>
      <w:spacing w:beforeLines="50" w:after="0" w:line="360" w:lineRule="auto"/>
      <w:jc w:val="center"/>
    </w:pPr>
    <w:rPr>
      <w:rFonts w:eastAsia="黑体"/>
      <w:b w:val="0"/>
      <w:bCs w:val="0"/>
      <w:kern w:val="2"/>
      <w:sz w:val="36"/>
      <w:szCs w:val="24"/>
    </w:rPr>
  </w:style>
  <w:style w:type="paragraph" w:customStyle="1" w:styleId="1f5">
    <w:name w:val="纯文本1"/>
    <w:basedOn w:val="a0"/>
    <w:pPr>
      <w:adjustRightInd w:val="0"/>
      <w:textAlignment w:val="baseline"/>
    </w:pPr>
    <w:rPr>
      <w:rFonts w:ascii="宋体" w:hAnsi="Courier New"/>
      <w:szCs w:val="20"/>
    </w:rPr>
  </w:style>
  <w:style w:type="paragraph" w:customStyle="1" w:styleId="xl73">
    <w:name w:val="xl73"/>
    <w:basedOn w:val="a0"/>
    <w:pPr>
      <w:widowControl/>
      <w:spacing w:before="100" w:beforeAutospacing="1" w:after="100" w:afterAutospacing="1"/>
      <w:jc w:val="left"/>
    </w:pPr>
    <w:rPr>
      <w:rFonts w:ascii="宋体" w:hAnsi="宋体"/>
      <w:kern w:val="0"/>
      <w:szCs w:val="28"/>
    </w:rPr>
  </w:style>
  <w:style w:type="paragraph" w:customStyle="1" w:styleId="08527">
    <w:name w:val="样式 小四 左 首行缩进:  0.85 厘米 行距: 固定值 27 磅"/>
    <w:basedOn w:val="a0"/>
    <w:pPr>
      <w:spacing w:line="520" w:lineRule="exact"/>
      <w:ind w:firstLine="482"/>
      <w:jc w:val="left"/>
    </w:pPr>
    <w:rPr>
      <w:rFonts w:cs="宋体"/>
      <w:sz w:val="24"/>
      <w:szCs w:val="20"/>
    </w:rPr>
  </w:style>
  <w:style w:type="paragraph" w:customStyle="1" w:styleId="2CharCharChars43">
    <w:name w:val="样式 正文缩进正文不缩进正文2正文（首行缩进两字）特点正文缩进 Char Char图标题正文缩进 Chars4 ...3"/>
    <w:basedOn w:val="a2"/>
    <w:pPr>
      <w:tabs>
        <w:tab w:val="left" w:pos="7380"/>
      </w:tabs>
      <w:snapToGrid w:val="0"/>
      <w:spacing w:line="520" w:lineRule="exact"/>
      <w:ind w:firstLine="200"/>
    </w:pPr>
    <w:rPr>
      <w:rFonts w:cs="宋体"/>
      <w:sz w:val="24"/>
      <w:szCs w:val="20"/>
    </w:rPr>
  </w:style>
  <w:style w:type="paragraph" w:customStyle="1" w:styleId="3000">
    <w:name w:val="样式 标题 3 + 四号 非加粗 黑色 段前: 0 磅 段后: 0 磅 行距: 单倍行距"/>
    <w:basedOn w:val="30"/>
    <w:pPr>
      <w:spacing w:before="0" w:after="0" w:line="240" w:lineRule="auto"/>
    </w:pPr>
    <w:rPr>
      <w:rFonts w:eastAsia="黑体"/>
      <w:bCs w:val="0"/>
      <w:color w:val="000000"/>
      <w:sz w:val="28"/>
      <w:szCs w:val="20"/>
    </w:rPr>
  </w:style>
  <w:style w:type="paragraph" w:customStyle="1" w:styleId="Char40">
    <w:name w:val="Char4"/>
    <w:basedOn w:val="a0"/>
    <w:pPr>
      <w:spacing w:line="360" w:lineRule="auto"/>
      <w:ind w:firstLineChars="200" w:firstLine="200"/>
    </w:pPr>
    <w:rPr>
      <w:rFonts w:ascii="宋体" w:hAnsi="宋体" w:cs="宋体"/>
      <w:sz w:val="24"/>
    </w:rPr>
  </w:style>
  <w:style w:type="paragraph" w:customStyle="1" w:styleId="1f6">
    <w:name w:val="页脚1"/>
    <w:basedOn w:val="1c"/>
    <w:pPr>
      <w:tabs>
        <w:tab w:val="center" w:pos="4153"/>
        <w:tab w:val="right" w:pos="8306"/>
      </w:tabs>
      <w:adjustRightInd w:val="0"/>
      <w:spacing w:beforeLines="0" w:afterLines="0" w:line="240" w:lineRule="atLeast"/>
      <w:ind w:firstLineChars="0" w:firstLine="0"/>
      <w:jc w:val="left"/>
      <w:textAlignment w:val="baseline"/>
    </w:pPr>
    <w:rPr>
      <w:rFonts w:ascii="宋体"/>
      <w:kern w:val="0"/>
      <w:sz w:val="18"/>
      <w:szCs w:val="20"/>
    </w:rPr>
  </w:style>
  <w:style w:type="paragraph" w:customStyle="1" w:styleId="xl76">
    <w:name w:val="xl76"/>
    <w:basedOn w:val="a0"/>
    <w:pPr>
      <w:widowControl/>
      <w:pBdr>
        <w:top w:val="single" w:sz="8" w:space="0" w:color="auto"/>
        <w:bottom w:val="single" w:sz="4" w:space="0" w:color="auto"/>
        <w:right w:val="single" w:sz="8" w:space="0" w:color="auto"/>
      </w:pBdr>
      <w:spacing w:before="100" w:beforeAutospacing="1" w:after="100" w:afterAutospacing="1"/>
      <w:jc w:val="center"/>
    </w:pPr>
    <w:rPr>
      <w:rFonts w:ascii="宋体" w:hAnsi="宋体"/>
      <w:kern w:val="0"/>
      <w:sz w:val="24"/>
    </w:rPr>
  </w:style>
  <w:style w:type="paragraph" w:customStyle="1" w:styleId="afffffffa">
    <w:name w:val="表格题头"/>
    <w:basedOn w:val="a0"/>
    <w:pPr>
      <w:spacing w:beforeLines="50" w:line="400" w:lineRule="exact"/>
      <w:jc w:val="center"/>
    </w:pPr>
    <w:rPr>
      <w:rFonts w:ascii="黑体" w:eastAsia="黑体" w:hAnsi="宋体"/>
      <w:color w:val="000000"/>
      <w:sz w:val="24"/>
    </w:rPr>
  </w:style>
  <w:style w:type="paragraph" w:customStyle="1" w:styleId="xl48">
    <w:name w:val="xl48"/>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1521">
    <w:name w:val="样式 宋体 小四 行距: 1.5 倍行距 首行缩进:  2 字符"/>
    <w:basedOn w:val="a0"/>
    <w:pPr>
      <w:spacing w:line="520" w:lineRule="exact"/>
      <w:ind w:firstLineChars="200" w:firstLine="200"/>
    </w:pPr>
    <w:rPr>
      <w:rFonts w:ascii="宋体" w:hAnsi="宋体" w:cs="宋体"/>
      <w:sz w:val="24"/>
      <w:szCs w:val="20"/>
    </w:rPr>
  </w:style>
  <w:style w:type="paragraph" w:customStyle="1" w:styleId="afffffffb">
    <w:name w:val="样式 黑色"/>
    <w:basedOn w:val="a0"/>
    <w:pPr>
      <w:jc w:val="center"/>
    </w:pPr>
    <w:rPr>
      <w:color w:val="000000"/>
      <w:kern w:val="0"/>
      <w:sz w:val="21"/>
      <w:szCs w:val="21"/>
    </w:rPr>
  </w:style>
  <w:style w:type="paragraph" w:customStyle="1" w:styleId="3MB3h33rdlevelH3Head3level3PIM3Level3Head">
    <w:name w:val="样式 标题 3头MB3h33rd levelH3Head 3level_3PIM 3Level 3 Head..."/>
    <w:basedOn w:val="30"/>
    <w:pPr>
      <w:spacing w:before="120" w:after="120" w:line="520" w:lineRule="exact"/>
    </w:pPr>
    <w:rPr>
      <w:rFonts w:ascii="华文楷体" w:eastAsia="华文楷体" w:hAnsi="华文楷体" w:cs="宋体"/>
      <w:b w:val="0"/>
      <w:kern w:val="28"/>
      <w:sz w:val="28"/>
      <w:szCs w:val="20"/>
    </w:rPr>
  </w:style>
  <w:style w:type="paragraph" w:customStyle="1" w:styleId="afffffffc">
    <w:name w:val="规划正文"/>
    <w:basedOn w:val="a0"/>
    <w:pPr>
      <w:spacing w:line="500" w:lineRule="exact"/>
      <w:ind w:firstLineChars="200" w:firstLine="200"/>
    </w:pPr>
    <w:rPr>
      <w:sz w:val="24"/>
    </w:rPr>
  </w:style>
  <w:style w:type="paragraph" w:customStyle="1" w:styleId="xl22">
    <w:name w:val="xl22"/>
    <w:basedOn w:val="a0"/>
    <w:pPr>
      <w:widowControl/>
      <w:spacing w:before="100" w:beforeAutospacing="1" w:after="100" w:afterAutospacing="1"/>
      <w:jc w:val="center"/>
    </w:pPr>
    <w:rPr>
      <w:rFonts w:ascii="宋体" w:hAnsi="宋体"/>
      <w:kern w:val="0"/>
      <w:sz w:val="24"/>
    </w:rPr>
  </w:style>
  <w:style w:type="paragraph" w:customStyle="1" w:styleId="xl79">
    <w:name w:val="xl79"/>
    <w:basedOn w:val="a0"/>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2e">
    <w:name w:val="正文文本缩进2"/>
    <w:basedOn w:val="a0"/>
    <w:pPr>
      <w:ind w:firstLineChars="200" w:firstLine="560"/>
    </w:pPr>
    <w:rPr>
      <w:szCs w:val="28"/>
    </w:rPr>
  </w:style>
  <w:style w:type="paragraph" w:customStyle="1" w:styleId="2f">
    <w:name w:val="样式 正文文本缩进 2 + 小四 黑色"/>
    <w:basedOn w:val="23"/>
    <w:pPr>
      <w:spacing w:after="120"/>
      <w:ind w:leftChars="200" w:left="200" w:firstLine="0"/>
    </w:pPr>
    <w:rPr>
      <w:color w:val="000000"/>
      <w:sz w:val="24"/>
    </w:rPr>
  </w:style>
  <w:style w:type="paragraph" w:customStyle="1" w:styleId="200">
    <w:name w:val="样式 (符号) 宋体 五号 黑色 居中 行距: 固定值 20 磅"/>
    <w:basedOn w:val="a0"/>
    <w:pPr>
      <w:jc w:val="center"/>
    </w:pPr>
    <w:rPr>
      <w:rFonts w:hAnsi="宋体" w:cs="宋体"/>
      <w:color w:val="000000"/>
      <w:kern w:val="0"/>
      <w:sz w:val="21"/>
      <w:szCs w:val="20"/>
    </w:rPr>
  </w:style>
  <w:style w:type="paragraph" w:customStyle="1" w:styleId="CharCharChar1CharCharCharCharCharCharChar1">
    <w:name w:val="Char Char Char1 Char Char Char Char Char Char Char1"/>
    <w:basedOn w:val="a0"/>
    <w:next w:val="a0"/>
    <w:pPr>
      <w:spacing w:line="360" w:lineRule="auto"/>
      <w:ind w:firstLineChars="200" w:firstLine="200"/>
    </w:pPr>
    <w:rPr>
      <w:rFonts w:ascii="宋体" w:hAnsi="宋体" w:cs="宋体"/>
      <w:sz w:val="24"/>
    </w:rPr>
  </w:style>
  <w:style w:type="paragraph" w:customStyle="1" w:styleId="08515">
    <w:name w:val="样式 小四 左侧:  0.85 厘米 行距: 1.5 倍行距"/>
    <w:basedOn w:val="a0"/>
    <w:pPr>
      <w:spacing w:line="520" w:lineRule="exact"/>
      <w:ind w:left="482"/>
    </w:pPr>
    <w:rPr>
      <w:rFonts w:cs="宋体"/>
      <w:sz w:val="24"/>
      <w:szCs w:val="20"/>
    </w:rPr>
  </w:style>
  <w:style w:type="paragraph" w:customStyle="1" w:styleId="font7">
    <w:name w:val="font7"/>
    <w:basedOn w:val="a0"/>
    <w:pPr>
      <w:widowControl/>
      <w:spacing w:before="100" w:beforeAutospacing="1" w:after="100" w:afterAutospacing="1"/>
      <w:jc w:val="left"/>
    </w:pPr>
    <w:rPr>
      <w:b/>
      <w:bCs/>
      <w:kern w:val="0"/>
      <w:szCs w:val="28"/>
    </w:rPr>
  </w:style>
  <w:style w:type="paragraph" w:customStyle="1" w:styleId="45">
    <w:name w:val="标题4"/>
    <w:basedOn w:val="af8"/>
    <w:next w:val="a0"/>
    <w:pPr>
      <w:spacing w:before="0" w:after="0" w:line="520" w:lineRule="exact"/>
      <w:jc w:val="left"/>
      <w:outlineLvl w:val="1"/>
    </w:pPr>
    <w:rPr>
      <w:rFonts w:cs="Arial"/>
      <w:b w:val="0"/>
      <w:bCs w:val="0"/>
      <w:kern w:val="28"/>
      <w:sz w:val="24"/>
      <w:szCs w:val="24"/>
    </w:rPr>
  </w:style>
  <w:style w:type="paragraph" w:customStyle="1" w:styleId="33Char151113415111">
    <w:name w:val="样式 标题 3标题 3 Char四号宋体左齐行距1.5倍1.1.1标题 3小标题4号宋体左齐行距1.5倍条标题1.1...1"/>
    <w:basedOn w:val="30"/>
    <w:pPr>
      <w:spacing w:before="0" w:after="0" w:line="520" w:lineRule="exact"/>
      <w:jc w:val="left"/>
    </w:pPr>
    <w:rPr>
      <w:rFonts w:cs="宋体"/>
      <w:sz w:val="28"/>
      <w:szCs w:val="20"/>
    </w:rPr>
  </w:style>
  <w:style w:type="paragraph" w:customStyle="1" w:styleId="085150">
    <w:name w:val="样式 小四 黑色 左侧:  0.85 厘米 行距: 1.5 倍行距"/>
    <w:basedOn w:val="a0"/>
    <w:pPr>
      <w:spacing w:line="520" w:lineRule="exact"/>
      <w:ind w:left="482"/>
    </w:pPr>
    <w:rPr>
      <w:rFonts w:cs="宋体"/>
      <w:color w:val="000000"/>
      <w:sz w:val="24"/>
      <w:szCs w:val="20"/>
    </w:rPr>
  </w:style>
  <w:style w:type="paragraph" w:customStyle="1" w:styleId="CharCharCharCharCharCharCharCharCharC11">
    <w:name w:val="样式 纯文本孙普文字 Char Char CharCharChar Char纯文本 Char Char Char C...11"/>
    <w:basedOn w:val="ae"/>
    <w:pPr>
      <w:spacing w:line="520" w:lineRule="exact"/>
      <w:ind w:firstLineChars="203" w:firstLine="203"/>
    </w:pPr>
    <w:rPr>
      <w:rFonts w:ascii="Times New Roman" w:hAnsi="Times New Roman" w:cs="宋体"/>
      <w:color w:val="000000"/>
      <w:sz w:val="24"/>
    </w:rPr>
  </w:style>
  <w:style w:type="paragraph" w:customStyle="1" w:styleId="201">
    <w:name w:val="样式 五号 黑色 居中 行距: 固定值 20 磅"/>
    <w:basedOn w:val="a0"/>
    <w:pPr>
      <w:jc w:val="center"/>
    </w:pPr>
    <w:rPr>
      <w:rFonts w:cs="宋体"/>
      <w:color w:val="000000"/>
      <w:kern w:val="0"/>
      <w:sz w:val="21"/>
      <w:szCs w:val="20"/>
    </w:rPr>
  </w:style>
  <w:style w:type="paragraph" w:customStyle="1" w:styleId="101153">
    <w:name w:val="样式 标题 1 + 二号 黑色 居中 加宽量  0.1 磅 行距: 1.5 倍行距3"/>
    <w:basedOn w:val="1"/>
    <w:pPr>
      <w:pageBreakBefore/>
      <w:spacing w:line="360" w:lineRule="auto"/>
      <w:jc w:val="center"/>
    </w:pPr>
    <w:rPr>
      <w:rFonts w:cs="宋体"/>
      <w:color w:val="000000"/>
      <w:spacing w:val="2"/>
      <w:szCs w:val="20"/>
    </w:rPr>
  </w:style>
  <w:style w:type="paragraph" w:customStyle="1" w:styleId="050">
    <w:name w:val="样式 行距: 多倍行距 0.5 字行"/>
    <w:basedOn w:val="a0"/>
    <w:pPr>
      <w:spacing w:line="60" w:lineRule="auto"/>
      <w:ind w:firstLineChars="218" w:firstLine="218"/>
    </w:pPr>
    <w:rPr>
      <w:rFonts w:cs="宋体"/>
      <w:szCs w:val="20"/>
    </w:rPr>
  </w:style>
  <w:style w:type="paragraph" w:customStyle="1" w:styleId="099150">
    <w:name w:val="样式 小四 黑色 左 首行缩进:  0.99 厘米 行距: 1.5 倍行距"/>
    <w:basedOn w:val="a0"/>
    <w:pPr>
      <w:spacing w:line="520" w:lineRule="exact"/>
      <w:ind w:firstLine="561"/>
      <w:jc w:val="left"/>
    </w:pPr>
    <w:rPr>
      <w:rFonts w:cs="宋体"/>
      <w:color w:val="000000"/>
      <w:sz w:val="24"/>
      <w:szCs w:val="20"/>
    </w:rPr>
  </w:style>
  <w:style w:type="paragraph" w:customStyle="1" w:styleId="font11">
    <w:name w:val="font11"/>
    <w:basedOn w:val="a0"/>
    <w:pPr>
      <w:widowControl/>
      <w:spacing w:before="100" w:beforeAutospacing="1" w:after="100" w:afterAutospacing="1"/>
      <w:jc w:val="left"/>
    </w:pPr>
    <w:rPr>
      <w:rFonts w:ascii="黑体" w:eastAsia="黑体" w:hAnsi="宋体" w:hint="eastAsia"/>
      <w:b/>
      <w:bCs/>
      <w:kern w:val="0"/>
      <w:szCs w:val="28"/>
    </w:rPr>
  </w:style>
  <w:style w:type="paragraph" w:customStyle="1" w:styleId="100261">
    <w:name w:val="样式 样式 标题 1 + (中文) 黑体 居中 段前: 0 磅 段后: 0 磅 行距: 固定值 26 磅 + 宋体 段后: 1..."/>
    <w:basedOn w:val="10026"/>
    <w:pPr>
      <w:pageBreakBefore/>
      <w:spacing w:after="150"/>
    </w:pPr>
    <w:rPr>
      <w:rFonts w:ascii="宋体" w:eastAsia="宋体" w:hAnsi="宋体"/>
    </w:rPr>
  </w:style>
  <w:style w:type="paragraph" w:customStyle="1" w:styleId="08501151">
    <w:name w:val="样式 小四 黑色 首行缩进:  0.85 厘米 加宽量  0.1 磅 行距: 1.5 倍行距1"/>
    <w:basedOn w:val="a0"/>
    <w:pPr>
      <w:spacing w:line="520" w:lineRule="exact"/>
      <w:ind w:firstLine="482"/>
    </w:pPr>
    <w:rPr>
      <w:rFonts w:cs="宋体"/>
      <w:color w:val="000000"/>
      <w:spacing w:val="2"/>
      <w:sz w:val="24"/>
      <w:szCs w:val="20"/>
    </w:rPr>
  </w:style>
  <w:style w:type="paragraph" w:customStyle="1" w:styleId="08501152">
    <w:name w:val="样式 小四 黑色 左 首行缩进:  0.85 厘米 加宽量  0.1 磅 行距: 1.5 倍行距"/>
    <w:basedOn w:val="a0"/>
    <w:pPr>
      <w:spacing w:line="520" w:lineRule="exact"/>
      <w:ind w:firstLine="482"/>
      <w:jc w:val="left"/>
    </w:pPr>
    <w:rPr>
      <w:rFonts w:cs="宋体"/>
      <w:color w:val="000000"/>
      <w:spacing w:val="2"/>
      <w:sz w:val="24"/>
      <w:szCs w:val="20"/>
    </w:rPr>
  </w:style>
  <w:style w:type="paragraph" w:customStyle="1" w:styleId="xl65">
    <w:name w:val="xl65"/>
    <w:basedOn w:val="a0"/>
    <w:pPr>
      <w:widowControl/>
      <w:pBdr>
        <w:top w:val="single" w:sz="4" w:space="0" w:color="auto"/>
        <w:left w:val="single" w:sz="8" w:space="0" w:color="auto"/>
        <w:bottom w:val="single" w:sz="4" w:space="0" w:color="auto"/>
      </w:pBdr>
      <w:spacing w:before="100" w:beforeAutospacing="1" w:after="100" w:afterAutospacing="1"/>
      <w:jc w:val="left"/>
    </w:pPr>
    <w:rPr>
      <w:kern w:val="0"/>
      <w:sz w:val="24"/>
    </w:rPr>
  </w:style>
  <w:style w:type="paragraph" w:customStyle="1" w:styleId="style8">
    <w:name w:val="style8"/>
    <w:basedOn w:val="a0"/>
    <w:pPr>
      <w:widowControl/>
      <w:adjustRightInd w:val="0"/>
      <w:snapToGrid w:val="0"/>
      <w:spacing w:before="100" w:beforeAutospacing="1" w:after="100" w:afterAutospacing="1" w:line="540" w:lineRule="atLeast"/>
      <w:jc w:val="left"/>
    </w:pPr>
    <w:rPr>
      <w:rFonts w:ascii="宋体" w:hAnsi="宋体" w:cs="宋体"/>
      <w:kern w:val="0"/>
      <w:sz w:val="24"/>
    </w:rPr>
  </w:style>
  <w:style w:type="paragraph" w:customStyle="1" w:styleId="205051">
    <w:name w:val="样式 标题 2 + 段前: 0.5 行 段后: 0.5 行1"/>
    <w:basedOn w:val="2"/>
    <w:pPr>
      <w:tabs>
        <w:tab w:val="left" w:pos="720"/>
      </w:tabs>
      <w:spacing w:beforeLines="50" w:afterLines="50" w:line="360" w:lineRule="auto"/>
      <w:ind w:left="284" w:rightChars="100" w:right="210" w:firstLineChars="200" w:hanging="284"/>
      <w:jc w:val="left"/>
    </w:pPr>
    <w:rPr>
      <w:rFonts w:ascii="仿宋_GB2312" w:eastAsia="仿宋_GB2312" w:hAnsi="Times New Roman" w:cs="宋体"/>
      <w:color w:val="000000"/>
    </w:rPr>
  </w:style>
  <w:style w:type="paragraph" w:customStyle="1" w:styleId="21015">
    <w:name w:val="样式 正文文本缩进正文文字 21 + 小四 首行缩进:  0 厘米 行距: 1.5 倍行距"/>
    <w:basedOn w:val="ac"/>
    <w:pPr>
      <w:ind w:firstLine="0"/>
    </w:pPr>
    <w:rPr>
      <w:rFonts w:cs="宋体"/>
      <w:sz w:val="24"/>
      <w:szCs w:val="20"/>
    </w:rPr>
  </w:style>
  <w:style w:type="paragraph" w:customStyle="1" w:styleId="012">
    <w:name w:val="样式 小四 倾斜 下划线 加宽量  0.1 磅"/>
    <w:basedOn w:val="a0"/>
    <w:pPr>
      <w:autoSpaceDE w:val="0"/>
      <w:autoSpaceDN w:val="0"/>
      <w:adjustRightInd w:val="0"/>
      <w:spacing w:line="520" w:lineRule="exact"/>
      <w:ind w:firstLine="482"/>
    </w:pPr>
    <w:rPr>
      <w:spacing w:val="2"/>
      <w:sz w:val="24"/>
    </w:rPr>
  </w:style>
  <w:style w:type="paragraph" w:customStyle="1" w:styleId="2821">
    <w:name w:val="样式 行距: 固定值 28 磅 首行缩进:  2 字符1"/>
    <w:basedOn w:val="a0"/>
    <w:pPr>
      <w:spacing w:line="560" w:lineRule="exact"/>
      <w:ind w:firstLineChars="200" w:firstLine="420"/>
    </w:pPr>
    <w:rPr>
      <w:rFonts w:cs="宋体"/>
      <w:sz w:val="24"/>
      <w:szCs w:val="20"/>
    </w:rPr>
  </w:style>
  <w:style w:type="paragraph" w:customStyle="1" w:styleId="afffffffd">
    <w:name w:val="三级标题"/>
    <w:basedOn w:val="a0"/>
    <w:rPr>
      <w:rFonts w:ascii="宋体" w:hAnsi="宋体"/>
      <w:sz w:val="24"/>
    </w:rPr>
  </w:style>
  <w:style w:type="paragraph" w:customStyle="1" w:styleId="160">
    <w:name w:val="样式 五号 居中 行距: 固定值 16 磅"/>
    <w:basedOn w:val="a0"/>
    <w:pPr>
      <w:jc w:val="center"/>
    </w:pPr>
    <w:rPr>
      <w:rFonts w:cs="宋体"/>
      <w:sz w:val="21"/>
      <w:szCs w:val="20"/>
    </w:rPr>
  </w:style>
  <w:style w:type="paragraph" w:customStyle="1" w:styleId="011520">
    <w:name w:val="样式 (符号) 宋体 小四 黑色 加宽量  0.1 磅 行距: 1.5 倍行距 首行缩进:  2 字符"/>
    <w:basedOn w:val="a0"/>
    <w:pPr>
      <w:spacing w:line="520" w:lineRule="exact"/>
      <w:ind w:firstLineChars="200" w:firstLine="200"/>
    </w:pPr>
    <w:rPr>
      <w:rFonts w:hAnsi="宋体" w:cs="宋体"/>
      <w:color w:val="000000"/>
      <w:spacing w:val="2"/>
      <w:sz w:val="24"/>
      <w:szCs w:val="20"/>
    </w:rPr>
  </w:style>
  <w:style w:type="paragraph" w:customStyle="1" w:styleId="1515">
    <w:name w:val="样式 小四 黑色 行距: 1.5 倍行距 首行缩进:  1.5 字符"/>
    <w:basedOn w:val="a0"/>
    <w:pPr>
      <w:spacing w:line="520" w:lineRule="exact"/>
      <w:ind w:firstLineChars="150" w:firstLine="150"/>
    </w:pPr>
    <w:rPr>
      <w:rFonts w:cs="宋体"/>
      <w:color w:val="000000"/>
      <w:sz w:val="24"/>
      <w:szCs w:val="20"/>
    </w:rPr>
  </w:style>
  <w:style w:type="paragraph" w:customStyle="1" w:styleId="xl31">
    <w:name w:val="xl31"/>
    <w:basedOn w:val="a0"/>
    <w:pPr>
      <w:widowControl/>
      <w:pBdr>
        <w:top w:val="single" w:sz="8"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CharCharCharCharCharCharCharCharCharC5">
    <w:name w:val="样式 纯文本孙普文字 Char Char CharCharChar Char纯文本 Char Char Char C...5"/>
    <w:basedOn w:val="ae"/>
    <w:pPr>
      <w:spacing w:line="520" w:lineRule="exact"/>
      <w:jc w:val="center"/>
    </w:pPr>
    <w:rPr>
      <w:rFonts w:ascii="Times New Roman" w:eastAsia="黑体" w:hAnsi="Times New Roman" w:cs="宋体"/>
      <w:color w:val="000000"/>
      <w:sz w:val="24"/>
    </w:rPr>
  </w:style>
  <w:style w:type="paragraph" w:customStyle="1" w:styleId="xl62">
    <w:name w:val="xl62"/>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4"/>
    </w:rPr>
  </w:style>
  <w:style w:type="paragraph" w:customStyle="1" w:styleId="24CharChar4Char4CharC2">
    <w:name w:val="样式 正文缩进正文（首行缩进两字）特点正文2标题4正文缩进 Char Char标题4 Char标题4 Char C...2"/>
    <w:basedOn w:val="a2"/>
    <w:pPr>
      <w:spacing w:line="520" w:lineRule="exact"/>
      <w:ind w:firstLineChars="0" w:firstLine="0"/>
    </w:pPr>
    <w:rPr>
      <w:rFonts w:cs="宋体"/>
      <w:color w:val="000000"/>
      <w:sz w:val="24"/>
      <w:szCs w:val="20"/>
    </w:rPr>
  </w:style>
  <w:style w:type="paragraph" w:customStyle="1" w:styleId="101">
    <w:name w:val="10"/>
    <w:basedOn w:val="a0"/>
    <w:pPr>
      <w:widowControl/>
      <w:spacing w:before="100" w:beforeAutospacing="1" w:after="100" w:afterAutospacing="1"/>
    </w:pPr>
    <w:rPr>
      <w:rFonts w:ascii="宋体" w:hAnsi="宋体"/>
      <w:kern w:val="0"/>
      <w:sz w:val="24"/>
      <w:szCs w:val="20"/>
    </w:rPr>
  </w:style>
  <w:style w:type="paragraph" w:customStyle="1" w:styleId="xl70">
    <w:name w:val="xl70"/>
    <w:basedOn w:val="a0"/>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1f7">
    <w:name w:val="表格样式1"/>
    <w:basedOn w:val="af6"/>
    <w:next w:val="a1"/>
    <w:pPr>
      <w:adjustRightInd/>
      <w:snapToGrid/>
      <w:spacing w:line="520" w:lineRule="exact"/>
      <w:ind w:left="0"/>
      <w:jc w:val="left"/>
    </w:pPr>
    <w:rPr>
      <w:rFonts w:ascii="黑体" w:eastAsia="黑体"/>
      <w:sz w:val="24"/>
      <w:szCs w:val="24"/>
    </w:rPr>
  </w:style>
  <w:style w:type="paragraph" w:customStyle="1" w:styleId="xl39">
    <w:name w:val="xl39"/>
    <w:basedOn w:val="a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afffffffe">
    <w:name w:val="样式 小四"/>
    <w:basedOn w:val="a0"/>
    <w:pPr>
      <w:widowControl/>
      <w:spacing w:line="520" w:lineRule="exact"/>
      <w:ind w:firstLine="420"/>
      <w:jc w:val="left"/>
    </w:pPr>
    <w:rPr>
      <w:sz w:val="24"/>
    </w:rPr>
  </w:style>
  <w:style w:type="paragraph" w:customStyle="1" w:styleId="011521">
    <w:name w:val="样式 (符号) 宋体 小四 加宽量  0.1 磅 行距: 1.5 倍行距 首行缩进:  2 字符"/>
    <w:basedOn w:val="a0"/>
    <w:pPr>
      <w:spacing w:line="520" w:lineRule="exact"/>
      <w:ind w:firstLineChars="200" w:firstLine="200"/>
    </w:pPr>
    <w:rPr>
      <w:rFonts w:hAnsi="宋体" w:cs="宋体"/>
      <w:spacing w:val="2"/>
      <w:sz w:val="24"/>
      <w:szCs w:val="20"/>
    </w:rPr>
  </w:style>
  <w:style w:type="paragraph" w:customStyle="1" w:styleId="180">
    <w:name w:val="样式 五号 黑色 居中 行距: 固定值 18 磅"/>
    <w:basedOn w:val="a0"/>
    <w:pPr>
      <w:jc w:val="center"/>
    </w:pPr>
    <w:rPr>
      <w:rFonts w:cs="宋体"/>
      <w:color w:val="000000"/>
      <w:sz w:val="21"/>
      <w:szCs w:val="20"/>
    </w:rPr>
  </w:style>
  <w:style w:type="paragraph" w:customStyle="1" w:styleId="TT0">
    <w:name w:val="TT表名"/>
    <w:basedOn w:val="a0"/>
    <w:next w:val="a0"/>
    <w:pPr>
      <w:keepNext/>
      <w:topLinePunct/>
      <w:adjustRightInd w:val="0"/>
      <w:snapToGrid w:val="0"/>
      <w:spacing w:line="520" w:lineRule="exact"/>
      <w:jc w:val="center"/>
    </w:pPr>
    <w:rPr>
      <w:sz w:val="24"/>
    </w:rPr>
  </w:style>
  <w:style w:type="paragraph" w:customStyle="1" w:styleId="Char42">
    <w:name w:val="Char42"/>
    <w:basedOn w:val="a0"/>
    <w:next w:val="a0"/>
    <w:pPr>
      <w:adjustRightInd w:val="0"/>
      <w:snapToGrid w:val="0"/>
      <w:spacing w:line="360" w:lineRule="auto"/>
      <w:ind w:firstLineChars="200" w:firstLine="200"/>
    </w:pPr>
    <w:rPr>
      <w:rFonts w:ascii="宋体" w:hAnsi="宋体" w:cs="宋体"/>
      <w:sz w:val="24"/>
    </w:rPr>
  </w:style>
  <w:style w:type="paragraph" w:customStyle="1" w:styleId="Char412">
    <w:name w:val="Char412"/>
    <w:basedOn w:val="a0"/>
    <w:pPr>
      <w:spacing w:line="360" w:lineRule="auto"/>
      <w:ind w:firstLineChars="200" w:firstLine="200"/>
    </w:pPr>
    <w:rPr>
      <w:rFonts w:ascii="宋体" w:hAnsi="宋体" w:cs="宋体"/>
      <w:sz w:val="24"/>
    </w:rPr>
  </w:style>
  <w:style w:type="paragraph" w:customStyle="1" w:styleId="xl86">
    <w:name w:val="xl86"/>
    <w:basedOn w:val="a0"/>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1522">
    <w:name w:val="样式 小四 左 行距: 1.5 倍行距 首行缩进:  2 字符"/>
    <w:basedOn w:val="a0"/>
    <w:pPr>
      <w:spacing w:line="520" w:lineRule="exact"/>
      <w:ind w:firstLineChars="200" w:firstLine="200"/>
      <w:jc w:val="left"/>
    </w:pPr>
    <w:rPr>
      <w:rFonts w:cs="宋体"/>
      <w:sz w:val="24"/>
      <w:szCs w:val="20"/>
    </w:rPr>
  </w:style>
  <w:style w:type="paragraph" w:customStyle="1" w:styleId="070118">
    <w:name w:val="070118正文样式"/>
    <w:basedOn w:val="a0"/>
    <w:pPr>
      <w:adjustRightInd w:val="0"/>
      <w:snapToGrid w:val="0"/>
      <w:spacing w:line="336" w:lineRule="auto"/>
      <w:ind w:firstLine="560"/>
    </w:pPr>
    <w:rPr>
      <w:rFonts w:ascii="宋体" w:hAnsi="Courier New"/>
      <w:szCs w:val="20"/>
    </w:rPr>
  </w:style>
  <w:style w:type="paragraph" w:customStyle="1" w:styleId="me10">
    <w:name w:val="me标题1"/>
    <w:basedOn w:val="a0"/>
    <w:pPr>
      <w:shd w:val="clear" w:color="auto" w:fill="FFFFFF"/>
      <w:spacing w:beforeLines="50" w:afterLines="50" w:line="540" w:lineRule="exact"/>
      <w:jc w:val="center"/>
      <w:outlineLvl w:val="1"/>
    </w:pPr>
    <w:rPr>
      <w:rFonts w:eastAsia="黑体" w:cs="宋体"/>
      <w:b/>
      <w:bCs/>
      <w:snapToGrid w:val="0"/>
      <w:kern w:val="0"/>
      <w:sz w:val="30"/>
      <w:szCs w:val="30"/>
    </w:rPr>
  </w:style>
  <w:style w:type="paragraph" w:customStyle="1" w:styleId="2f0">
    <w:name w:val="样式 小四 黑色2"/>
    <w:basedOn w:val="a0"/>
    <w:pPr>
      <w:spacing w:line="520" w:lineRule="exact"/>
      <w:ind w:firstLineChars="200" w:firstLine="200"/>
    </w:pPr>
    <w:rPr>
      <w:color w:val="000000"/>
      <w:kern w:val="0"/>
      <w:sz w:val="24"/>
      <w:szCs w:val="20"/>
    </w:rPr>
  </w:style>
  <w:style w:type="paragraph" w:customStyle="1" w:styleId="affffffff">
    <w:name w:val="说明书"/>
    <w:basedOn w:val="a0"/>
    <w:pPr>
      <w:spacing w:line="540" w:lineRule="exact"/>
      <w:ind w:firstLineChars="200" w:firstLine="560"/>
    </w:pPr>
    <w:rPr>
      <w:rFonts w:cs="宋体"/>
      <w:szCs w:val="20"/>
    </w:rPr>
  </w:style>
  <w:style w:type="paragraph" w:customStyle="1" w:styleId="zdd">
    <w:name w:val="zdd"/>
    <w:basedOn w:val="a0"/>
    <w:pPr>
      <w:adjustRightInd w:val="0"/>
      <w:snapToGrid w:val="0"/>
      <w:spacing w:line="540" w:lineRule="exact"/>
      <w:ind w:firstLineChars="200" w:firstLine="520"/>
    </w:pPr>
  </w:style>
  <w:style w:type="paragraph" w:customStyle="1" w:styleId="22CharTimesNewRoman0">
    <w:name w:val="样式 标题 2标题 2 Char节 + (西文) Times New Roman (中文) 宋体 字距调整四号"/>
    <w:basedOn w:val="2"/>
    <w:pPr>
      <w:spacing w:line="520" w:lineRule="exact"/>
    </w:pPr>
    <w:rPr>
      <w:rFonts w:ascii="Times New Roman" w:eastAsia="宋体" w:hAnsi="Times New Roman"/>
      <w:bCs/>
      <w:kern w:val="28"/>
      <w:sz w:val="30"/>
    </w:rPr>
  </w:style>
  <w:style w:type="paragraph" w:customStyle="1" w:styleId="1f8">
    <w:name w:val="页眉1"/>
    <w:basedOn w:val="1c"/>
    <w:pPr>
      <w:pBdr>
        <w:bottom w:val="single" w:sz="6" w:space="1" w:color="auto"/>
      </w:pBdr>
      <w:tabs>
        <w:tab w:val="center" w:pos="4153"/>
        <w:tab w:val="right" w:pos="8306"/>
      </w:tabs>
      <w:adjustRightInd w:val="0"/>
      <w:spacing w:beforeLines="0" w:afterLines="0" w:line="240" w:lineRule="atLeast"/>
      <w:ind w:firstLineChars="0" w:firstLine="0"/>
      <w:jc w:val="center"/>
      <w:textAlignment w:val="baseline"/>
    </w:pPr>
    <w:rPr>
      <w:rFonts w:ascii="宋体"/>
      <w:kern w:val="0"/>
      <w:sz w:val="18"/>
      <w:szCs w:val="20"/>
    </w:rPr>
  </w:style>
  <w:style w:type="paragraph" w:customStyle="1" w:styleId="xl88">
    <w:name w:val="xl88"/>
    <w:basedOn w:val="a0"/>
    <w:pPr>
      <w:widowControl/>
      <w:spacing w:before="100" w:beforeAutospacing="1" w:after="100" w:afterAutospacing="1"/>
      <w:jc w:val="left"/>
    </w:pPr>
    <w:rPr>
      <w:rFonts w:ascii="宋体" w:hAnsi="宋体"/>
      <w:kern w:val="0"/>
      <w:szCs w:val="28"/>
    </w:rPr>
  </w:style>
  <w:style w:type="paragraph" w:customStyle="1" w:styleId="030">
    <w:name w:val="表格03"/>
    <w:basedOn w:val="a0"/>
    <w:pPr>
      <w:spacing w:line="400" w:lineRule="exact"/>
      <w:jc w:val="center"/>
    </w:pPr>
    <w:rPr>
      <w:sz w:val="21"/>
      <w:szCs w:val="21"/>
    </w:rPr>
  </w:style>
  <w:style w:type="paragraph" w:customStyle="1" w:styleId="085151">
    <w:name w:val="样式 小四 左 首行缩进:  0.85 厘米 行距: 1.5 倍行距"/>
    <w:basedOn w:val="a0"/>
    <w:next w:val="012620"/>
    <w:pPr>
      <w:spacing w:line="520" w:lineRule="exact"/>
      <w:ind w:firstLine="482"/>
      <w:jc w:val="left"/>
    </w:pPr>
    <w:rPr>
      <w:rFonts w:cs="宋体"/>
      <w:sz w:val="24"/>
      <w:szCs w:val="20"/>
    </w:rPr>
  </w:style>
  <w:style w:type="paragraph" w:customStyle="1" w:styleId="2f1">
    <w:name w:val="样式 样式 正文缩进 + (中文) 黑体 小四 + 小四 非加粗 首行缩进:  2 字符"/>
    <w:basedOn w:val="afff3"/>
    <w:pPr>
      <w:spacing w:line="360" w:lineRule="auto"/>
      <w:ind w:firstLineChars="350" w:firstLine="480"/>
      <w:jc w:val="left"/>
    </w:pPr>
    <w:rPr>
      <w:rFonts w:cs="宋体"/>
      <w:b w:val="0"/>
      <w:bCs w:val="0"/>
      <w:szCs w:val="20"/>
    </w:rPr>
  </w:style>
  <w:style w:type="paragraph" w:customStyle="1" w:styleId="2f2">
    <w:name w:val="我的标题2"/>
    <w:basedOn w:val="2"/>
    <w:pPr>
      <w:spacing w:afterLines="50"/>
    </w:pPr>
    <w:rPr>
      <w:rFonts w:ascii="Times New Roman" w:eastAsia="宋体" w:hAnsi="Times New Roman"/>
      <w:sz w:val="30"/>
      <w:szCs w:val="30"/>
    </w:rPr>
  </w:style>
  <w:style w:type="paragraph" w:customStyle="1" w:styleId="xl38">
    <w:name w:val="xl38"/>
    <w:basedOn w:val="a0"/>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0992">
    <w:name w:val="样式 小四 首行缩进:  0.99 厘米 行距: 2 倍行距"/>
    <w:basedOn w:val="a0"/>
    <w:pPr>
      <w:spacing w:line="520" w:lineRule="exact"/>
      <w:ind w:firstLine="561"/>
    </w:pPr>
    <w:rPr>
      <w:rFonts w:cs="宋体"/>
      <w:sz w:val="24"/>
      <w:szCs w:val="20"/>
    </w:rPr>
  </w:style>
  <w:style w:type="paragraph" w:customStyle="1" w:styleId="xl27">
    <w:name w:val="xl27"/>
    <w:basedOn w:val="a0"/>
    <w:pPr>
      <w:widowControl/>
      <w:pBdr>
        <w:top w:val="single" w:sz="4" w:space="1" w:color="auto"/>
      </w:pBdr>
      <w:spacing w:before="100" w:after="100"/>
      <w:jc w:val="center"/>
      <w:textAlignment w:val="center"/>
    </w:pPr>
    <w:rPr>
      <w:rFonts w:ascii="宋体" w:hAnsi="宋体"/>
      <w:kern w:val="0"/>
      <w:szCs w:val="28"/>
    </w:rPr>
  </w:style>
  <w:style w:type="paragraph" w:customStyle="1" w:styleId="153">
    <w:name w:val="样式 正文缩进 + 宋体 四号 蓝色 行距: 1.5 倍行距"/>
    <w:basedOn w:val="a2"/>
    <w:pPr>
      <w:spacing w:line="360" w:lineRule="auto"/>
      <w:ind w:firstLine="200"/>
    </w:pPr>
    <w:rPr>
      <w:rFonts w:ascii="宋体" w:hAnsi="宋体" w:cs="宋体"/>
      <w:color w:val="FF0000"/>
      <w:szCs w:val="20"/>
    </w:rPr>
  </w:style>
  <w:style w:type="paragraph" w:customStyle="1" w:styleId="WPSPlain">
    <w:name w:val="WPS Plain"/>
  </w:style>
  <w:style w:type="paragraph" w:customStyle="1" w:styleId="221">
    <w:name w:val="样式 样式 正文文本缩进 2 + 小四 黑色 + 左侧:  2 字符"/>
    <w:basedOn w:val="2f"/>
    <w:pPr>
      <w:spacing w:after="0"/>
    </w:pPr>
    <w:rPr>
      <w:rFonts w:cs="宋体"/>
      <w:szCs w:val="20"/>
    </w:rPr>
  </w:style>
  <w:style w:type="paragraph" w:customStyle="1" w:styleId="xl59">
    <w:name w:val="xl59"/>
    <w:basedOn w:val="a0"/>
    <w:pPr>
      <w:widowControl/>
      <w:pBdr>
        <w:top w:val="single" w:sz="4" w:space="0" w:color="auto"/>
        <w:left w:val="single" w:sz="8" w:space="0" w:color="auto"/>
        <w:bottom w:val="single" w:sz="4" w:space="0" w:color="auto"/>
      </w:pBdr>
      <w:spacing w:before="100" w:beforeAutospacing="1" w:after="100" w:afterAutospacing="1"/>
      <w:jc w:val="left"/>
    </w:pPr>
    <w:rPr>
      <w:rFonts w:ascii="宋体" w:hAnsi="宋体"/>
      <w:kern w:val="0"/>
      <w:sz w:val="24"/>
    </w:rPr>
  </w:style>
  <w:style w:type="paragraph" w:customStyle="1" w:styleId="Char110">
    <w:name w:val="Char11"/>
    <w:basedOn w:val="a0"/>
    <w:rPr>
      <w:sz w:val="21"/>
    </w:rPr>
  </w:style>
  <w:style w:type="paragraph" w:customStyle="1" w:styleId="BodyText21">
    <w:name w:val="Body Text 21"/>
    <w:basedOn w:val="a0"/>
    <w:pPr>
      <w:autoSpaceDE w:val="0"/>
      <w:autoSpaceDN w:val="0"/>
      <w:adjustRightInd w:val="0"/>
      <w:spacing w:line="500" w:lineRule="atLeast"/>
      <w:ind w:firstLine="480"/>
      <w:jc w:val="left"/>
      <w:textAlignment w:val="bottom"/>
    </w:pPr>
    <w:rPr>
      <w:szCs w:val="28"/>
    </w:rPr>
  </w:style>
  <w:style w:type="paragraph" w:customStyle="1" w:styleId="affffffff0">
    <w:name w:val="样式 样式 居中 +"/>
    <w:basedOn w:val="a0"/>
    <w:pPr>
      <w:jc w:val="center"/>
    </w:pPr>
    <w:rPr>
      <w:rFonts w:cs="宋体"/>
      <w:kern w:val="0"/>
      <w:sz w:val="21"/>
      <w:szCs w:val="20"/>
    </w:rPr>
  </w:style>
  <w:style w:type="paragraph" w:customStyle="1" w:styleId="Char415">
    <w:name w:val="Char415"/>
    <w:basedOn w:val="a0"/>
    <w:pPr>
      <w:spacing w:line="360" w:lineRule="auto"/>
      <w:ind w:firstLineChars="200" w:firstLine="200"/>
    </w:pPr>
    <w:rPr>
      <w:rFonts w:ascii="宋体" w:hAnsi="宋体" w:cs="宋体"/>
      <w:sz w:val="24"/>
    </w:rPr>
  </w:style>
  <w:style w:type="paragraph" w:customStyle="1" w:styleId="46">
    <w:name w:val="目录4"/>
    <w:basedOn w:val="a0"/>
    <w:pPr>
      <w:widowControl/>
      <w:tabs>
        <w:tab w:val="left" w:leader="dot" w:pos="7370"/>
      </w:tabs>
      <w:spacing w:line="317" w:lineRule="atLeast"/>
      <w:ind w:firstLine="629"/>
      <w:textAlignment w:val="baseline"/>
    </w:pPr>
    <w:rPr>
      <w:color w:val="000000"/>
      <w:kern w:val="0"/>
      <w:sz w:val="21"/>
      <w:szCs w:val="20"/>
      <w:u w:color="000000"/>
    </w:rPr>
  </w:style>
  <w:style w:type="paragraph" w:customStyle="1" w:styleId="TableStyle12">
    <w:name w:val="TableStyle12"/>
    <w:basedOn w:val="a0"/>
    <w:qFormat/>
    <w:pPr>
      <w:jc w:val="center"/>
    </w:pPr>
    <w:rPr>
      <w:rFonts w:ascii="Calibri" w:hAnsi="Calibri"/>
      <w:kern w:val="0"/>
      <w:sz w:val="24"/>
      <w:szCs w:val="22"/>
    </w:rPr>
  </w:style>
  <w:style w:type="paragraph" w:customStyle="1" w:styleId="affffffff1">
    <w:name w:val="样式 正文 +"/>
    <w:basedOn w:val="a0"/>
    <w:pPr>
      <w:spacing w:line="480" w:lineRule="exact"/>
      <w:ind w:firstLineChars="200" w:firstLine="480"/>
    </w:pPr>
    <w:rPr>
      <w:rFonts w:cs="宋体"/>
      <w:bCs/>
      <w:kern w:val="0"/>
      <w:sz w:val="24"/>
    </w:rPr>
  </w:style>
  <w:style w:type="paragraph" w:customStyle="1" w:styleId="CharCharCharCharCharCharCharCharCharC1">
    <w:name w:val="样式 纯文本孙普文字 Char Char CharCharChar Char纯文本 Char Char Char C...1"/>
    <w:basedOn w:val="ae"/>
    <w:pPr>
      <w:spacing w:line="520" w:lineRule="exact"/>
    </w:pPr>
    <w:rPr>
      <w:rFonts w:ascii="Times New Roman" w:hAnsi="Times New Roman" w:cs="宋体"/>
      <w:color w:val="000000"/>
      <w:sz w:val="24"/>
    </w:rPr>
  </w:style>
  <w:style w:type="paragraph" w:customStyle="1" w:styleId="affffffff2">
    <w:name w:val="陈光的正文"/>
    <w:basedOn w:val="a0"/>
    <w:pPr>
      <w:adjustRightInd w:val="0"/>
      <w:snapToGrid w:val="0"/>
      <w:spacing w:beforeLines="10" w:afterLines="10" w:line="360" w:lineRule="auto"/>
      <w:ind w:firstLineChars="200" w:firstLine="560"/>
    </w:pPr>
    <w:rPr>
      <w:szCs w:val="20"/>
    </w:rPr>
  </w:style>
  <w:style w:type="paragraph" w:customStyle="1" w:styleId="3CharCharCharCharChar">
    <w:name w:val="样式3 Char Char Char Char Char"/>
    <w:basedOn w:val="a0"/>
    <w:pPr>
      <w:spacing w:line="540" w:lineRule="exact"/>
      <w:ind w:firstLine="200"/>
      <w:jc w:val="center"/>
      <w:outlineLvl w:val="0"/>
    </w:pPr>
    <w:rPr>
      <w:rFonts w:eastAsia="黑体"/>
      <w:b/>
      <w:bCs/>
      <w:sz w:val="32"/>
      <w:szCs w:val="32"/>
    </w:rPr>
  </w:style>
  <w:style w:type="paragraph" w:customStyle="1" w:styleId="CharCharChar1CharCharCharCharCharCharChar">
    <w:name w:val="Char Char Char1 Char Char Char Char Char Char Char"/>
    <w:basedOn w:val="a0"/>
    <w:next w:val="a0"/>
    <w:pPr>
      <w:adjustRightInd w:val="0"/>
      <w:snapToGrid w:val="0"/>
      <w:spacing w:line="360" w:lineRule="auto"/>
      <w:ind w:firstLineChars="200" w:firstLine="200"/>
    </w:pPr>
    <w:rPr>
      <w:rFonts w:ascii="宋体" w:hAnsi="宋体" w:cs="宋体"/>
      <w:sz w:val="24"/>
    </w:rPr>
  </w:style>
  <w:style w:type="paragraph" w:customStyle="1" w:styleId="xl35">
    <w:name w:val="xl35"/>
    <w:basedOn w:val="a0"/>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101150">
    <w:name w:val="样式 小四 黑色 左 首行缩进:  1.01 厘米 行距: 1.5 倍行距"/>
    <w:basedOn w:val="a0"/>
    <w:pPr>
      <w:spacing w:line="520" w:lineRule="exact"/>
      <w:ind w:firstLine="573"/>
      <w:jc w:val="left"/>
    </w:pPr>
    <w:rPr>
      <w:rFonts w:cs="宋体"/>
      <w:color w:val="000000"/>
      <w:sz w:val="24"/>
      <w:szCs w:val="20"/>
    </w:rPr>
  </w:style>
  <w:style w:type="paragraph" w:customStyle="1" w:styleId="013">
    <w:name w:val="表格标题01"/>
    <w:basedOn w:val="a0"/>
    <w:pPr>
      <w:adjustRightInd w:val="0"/>
      <w:snapToGrid w:val="0"/>
      <w:spacing w:before="120" w:after="120" w:line="480" w:lineRule="exact"/>
      <w:jc w:val="center"/>
      <w:textAlignment w:val="baseline"/>
    </w:pPr>
    <w:rPr>
      <w:snapToGrid w:val="0"/>
      <w:spacing w:val="-2"/>
      <w:kern w:val="0"/>
      <w:szCs w:val="28"/>
    </w:rPr>
  </w:style>
  <w:style w:type="paragraph" w:customStyle="1" w:styleId="421">
    <w:name w:val="样式 4 + 首行缩进:  2 字符1"/>
    <w:basedOn w:val="a0"/>
    <w:pPr>
      <w:spacing w:line="500" w:lineRule="exact"/>
    </w:pPr>
    <w:rPr>
      <w:rFonts w:ascii="宋体" w:hAnsi="宋体" w:cs="宋体"/>
      <w:color w:val="000000"/>
      <w:sz w:val="24"/>
    </w:rPr>
  </w:style>
  <w:style w:type="paragraph" w:customStyle="1" w:styleId="affffffff3">
    <w:name w:val="文章总标题"/>
    <w:basedOn w:val="a0"/>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Style7">
    <w:name w:val="Style7"/>
    <w:basedOn w:val="a0"/>
    <w:pPr>
      <w:adjustRightInd w:val="0"/>
      <w:spacing w:line="264" w:lineRule="exact"/>
      <w:ind w:firstLine="475"/>
    </w:pPr>
    <w:rPr>
      <w:rFonts w:ascii="黑体" w:eastAsia="黑体"/>
      <w:kern w:val="0"/>
      <w:sz w:val="24"/>
    </w:rPr>
  </w:style>
  <w:style w:type="paragraph" w:customStyle="1" w:styleId="2f3">
    <w:name w:val="2"/>
    <w:basedOn w:val="a0"/>
    <w:next w:val="ae"/>
    <w:rPr>
      <w:rFonts w:ascii="宋体" w:hAnsi="Courier New" w:cs="Courier New"/>
      <w:sz w:val="21"/>
      <w:szCs w:val="21"/>
    </w:rPr>
  </w:style>
  <w:style w:type="paragraph" w:customStyle="1" w:styleId="Style15">
    <w:name w:val="Style15"/>
    <w:basedOn w:val="a0"/>
    <w:pPr>
      <w:adjustRightInd w:val="0"/>
      <w:jc w:val="left"/>
    </w:pPr>
    <w:rPr>
      <w:rFonts w:ascii="宋体"/>
      <w:kern w:val="0"/>
      <w:sz w:val="24"/>
    </w:rPr>
  </w:style>
  <w:style w:type="paragraph" w:customStyle="1" w:styleId="xl64">
    <w:name w:val="xl64"/>
    <w:basedOn w:val="a0"/>
    <w:pPr>
      <w:widowControl/>
      <w:pBdr>
        <w:top w:val="single" w:sz="4" w:space="0" w:color="auto"/>
        <w:left w:val="single" w:sz="8" w:space="0" w:color="auto"/>
        <w:bottom w:val="single" w:sz="4" w:space="0" w:color="auto"/>
      </w:pBdr>
      <w:spacing w:before="100" w:beforeAutospacing="1" w:after="100" w:afterAutospacing="1"/>
      <w:jc w:val="center"/>
    </w:pPr>
    <w:rPr>
      <w:rFonts w:ascii="宋体" w:hAnsi="宋体"/>
      <w:kern w:val="0"/>
      <w:sz w:val="20"/>
      <w:szCs w:val="20"/>
    </w:rPr>
  </w:style>
  <w:style w:type="paragraph" w:customStyle="1" w:styleId="xl57">
    <w:name w:val="xl57"/>
    <w:basedOn w:val="a0"/>
    <w:pPr>
      <w:widowControl/>
      <w:pBdr>
        <w:top w:val="single" w:sz="8" w:space="0" w:color="auto"/>
        <w:left w:val="single" w:sz="8" w:space="0" w:color="auto"/>
        <w:bottom w:val="single" w:sz="4" w:space="0" w:color="auto"/>
      </w:pBdr>
      <w:spacing w:before="100" w:beforeAutospacing="1" w:after="100" w:afterAutospacing="1"/>
      <w:jc w:val="left"/>
    </w:pPr>
    <w:rPr>
      <w:rFonts w:ascii="宋体" w:hAnsi="宋体"/>
      <w:kern w:val="0"/>
      <w:sz w:val="24"/>
    </w:rPr>
  </w:style>
  <w:style w:type="paragraph" w:customStyle="1" w:styleId="0860115">
    <w:name w:val="样式 (符号) 宋体 小四 黑色 左 左侧:  0.86 厘米 加宽量  0.1 磅 行距: 1.5 倍行距"/>
    <w:basedOn w:val="a0"/>
    <w:pPr>
      <w:spacing w:line="520" w:lineRule="exact"/>
      <w:ind w:left="488"/>
      <w:jc w:val="left"/>
    </w:pPr>
    <w:rPr>
      <w:rFonts w:hAnsi="宋体" w:cs="宋体"/>
      <w:color w:val="000000"/>
      <w:spacing w:val="2"/>
      <w:sz w:val="24"/>
      <w:szCs w:val="20"/>
    </w:rPr>
  </w:style>
  <w:style w:type="paragraph" w:customStyle="1" w:styleId="0870115">
    <w:name w:val="样式 小四 黑色 首行缩进:  0.87 厘米 加宽量  0.1 磅 行距: 1.5 倍行距"/>
    <w:basedOn w:val="a0"/>
    <w:pPr>
      <w:spacing w:line="520" w:lineRule="exact"/>
      <w:ind w:leftChars="200" w:left="200"/>
    </w:pPr>
    <w:rPr>
      <w:rFonts w:cs="宋体"/>
      <w:color w:val="000000"/>
      <w:spacing w:val="2"/>
      <w:sz w:val="24"/>
      <w:szCs w:val="20"/>
    </w:rPr>
  </w:style>
  <w:style w:type="paragraph" w:customStyle="1" w:styleId="3c">
    <w:name w:val="目录3"/>
    <w:basedOn w:val="a0"/>
    <w:pPr>
      <w:widowControl/>
      <w:tabs>
        <w:tab w:val="left" w:leader="dot" w:pos="7370"/>
      </w:tabs>
      <w:spacing w:line="317" w:lineRule="atLeast"/>
      <w:ind w:firstLine="419"/>
      <w:textAlignment w:val="baseline"/>
    </w:pPr>
    <w:rPr>
      <w:color w:val="000000"/>
      <w:kern w:val="0"/>
      <w:sz w:val="21"/>
      <w:szCs w:val="20"/>
      <w:u w:color="000000"/>
    </w:rPr>
  </w:style>
  <w:style w:type="paragraph" w:customStyle="1" w:styleId="014">
    <w:name w:val="样式 (中文) 黑体 小四 加宽量  0.1 磅"/>
    <w:basedOn w:val="a0"/>
    <w:pPr>
      <w:tabs>
        <w:tab w:val="left" w:pos="3468"/>
      </w:tabs>
      <w:spacing w:line="520" w:lineRule="exact"/>
      <w:ind w:firstLineChars="100" w:firstLine="100"/>
    </w:pPr>
    <w:rPr>
      <w:rFonts w:eastAsia="黑体"/>
      <w:spacing w:val="2"/>
      <w:sz w:val="24"/>
    </w:rPr>
  </w:style>
  <w:style w:type="paragraph" w:customStyle="1" w:styleId="154">
    <w:name w:val="样式 (中文) 黑体 小四 黑色 行距: 1.5 倍行距"/>
    <w:basedOn w:val="a0"/>
    <w:pPr>
      <w:spacing w:line="520" w:lineRule="exact"/>
    </w:pPr>
    <w:rPr>
      <w:rFonts w:eastAsia="黑体" w:cs="宋体"/>
      <w:color w:val="000000"/>
      <w:sz w:val="24"/>
      <w:szCs w:val="20"/>
    </w:rPr>
  </w:style>
  <w:style w:type="paragraph" w:customStyle="1" w:styleId="font6">
    <w:name w:val="font6"/>
    <w:basedOn w:val="a0"/>
    <w:pPr>
      <w:widowControl/>
      <w:spacing w:before="100" w:beforeAutospacing="1" w:after="100" w:afterAutospacing="1"/>
      <w:jc w:val="left"/>
    </w:pPr>
    <w:rPr>
      <w:rFonts w:ascii="宋体" w:hAnsi="宋体" w:hint="eastAsia"/>
      <w:kern w:val="0"/>
      <w:sz w:val="18"/>
      <w:szCs w:val="18"/>
    </w:rPr>
  </w:style>
  <w:style w:type="paragraph" w:customStyle="1" w:styleId="xl84">
    <w:name w:val="xl84"/>
    <w:basedOn w:val="a0"/>
    <w:pPr>
      <w:widowControl/>
      <w:pBdr>
        <w:top w:val="single" w:sz="8"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77">
    <w:name w:val="xl77"/>
    <w:basedOn w:val="a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1f9">
    <w:name w:val="样式 标题 1 + 两端对齐 段前: 自动"/>
    <w:basedOn w:val="1"/>
    <w:pPr>
      <w:keepLines w:val="0"/>
      <w:widowControl/>
      <w:spacing w:beforeLines="100" w:afterLines="100" w:line="240" w:lineRule="auto"/>
      <w:ind w:firstLineChars="200" w:firstLine="480"/>
      <w:jc w:val="center"/>
    </w:pPr>
    <w:rPr>
      <w:rFonts w:ascii="宋体" w:eastAsia="黑体" w:hAnsi="宋体"/>
      <w:b w:val="0"/>
      <w:bCs w:val="0"/>
      <w:kern w:val="2"/>
      <w:sz w:val="32"/>
      <w:szCs w:val="20"/>
    </w:rPr>
  </w:style>
  <w:style w:type="paragraph" w:customStyle="1" w:styleId="affffffff4">
    <w:name w:val="表名"/>
    <w:basedOn w:val="4"/>
    <w:pPr>
      <w:keepNext w:val="0"/>
      <w:keepLines w:val="0"/>
      <w:adjustRightInd w:val="0"/>
      <w:snapToGrid w:val="0"/>
      <w:spacing w:before="0" w:after="0" w:line="240" w:lineRule="auto"/>
      <w:jc w:val="center"/>
      <w:outlineLvl w:val="9"/>
    </w:pPr>
    <w:rPr>
      <w:rFonts w:ascii="Times New Roman" w:eastAsia="宋体" w:hAnsi="Times New Roman"/>
      <w:b w:val="0"/>
      <w:bCs w:val="0"/>
      <w:sz w:val="21"/>
      <w:szCs w:val="21"/>
    </w:rPr>
  </w:style>
  <w:style w:type="paragraph" w:customStyle="1" w:styleId="CharChar1CharChar1CharChar">
    <w:name w:val="Char Char1 Char Char1 Char Char"/>
    <w:basedOn w:val="6"/>
    <w:pPr>
      <w:tabs>
        <w:tab w:val="left" w:pos="1440"/>
      </w:tabs>
    </w:pPr>
    <w:rPr>
      <w:rFonts w:eastAsia="宋体"/>
    </w:rPr>
  </w:style>
  <w:style w:type="paragraph" w:customStyle="1" w:styleId="235">
    <w:name w:val="样式 行距: 2 倍行距 首行缩进:  3.5 字符"/>
    <w:basedOn w:val="a0"/>
    <w:pPr>
      <w:spacing w:line="520" w:lineRule="exact"/>
      <w:ind w:firstLineChars="350" w:firstLine="350"/>
    </w:pPr>
    <w:rPr>
      <w:rFonts w:cs="宋体"/>
      <w:sz w:val="21"/>
      <w:szCs w:val="20"/>
    </w:rPr>
  </w:style>
  <w:style w:type="paragraph" w:customStyle="1" w:styleId="xl37">
    <w:name w:val="xl37"/>
    <w:basedOn w:val="a0"/>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biaoge">
    <w:name w:val="!biaoge"/>
    <w:basedOn w:val="a0"/>
    <w:next w:val="a0"/>
    <w:qFormat/>
    <w:pPr>
      <w:widowControl/>
      <w:adjustRightInd w:val="0"/>
      <w:snapToGrid w:val="0"/>
      <w:jc w:val="center"/>
    </w:pPr>
    <w:rPr>
      <w:color w:val="000000"/>
      <w:kern w:val="0"/>
      <w:sz w:val="21"/>
    </w:rPr>
  </w:style>
  <w:style w:type="paragraph" w:customStyle="1" w:styleId="xl50">
    <w:name w:val="xl50"/>
    <w:basedOn w:val="a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Style6">
    <w:name w:val="Style6"/>
    <w:basedOn w:val="a0"/>
    <w:pPr>
      <w:adjustRightInd w:val="0"/>
      <w:jc w:val="left"/>
    </w:pPr>
    <w:rPr>
      <w:rFonts w:ascii="宋体"/>
      <w:kern w:val="0"/>
      <w:sz w:val="24"/>
    </w:rPr>
  </w:style>
  <w:style w:type="paragraph" w:customStyle="1" w:styleId="3MB3h33rdlevelH3Head3level3PIM3Level3Head1">
    <w:name w:val="样式 标题 3头MB3h33rd levelH3Head 3level_3PIM 3Level 3 Head...1"/>
    <w:basedOn w:val="30"/>
    <w:pPr>
      <w:spacing w:before="120" w:after="0" w:line="520" w:lineRule="exact"/>
    </w:pPr>
    <w:rPr>
      <w:rFonts w:ascii="华文楷体" w:eastAsia="华文楷体" w:hAnsi="华文楷体"/>
      <w:kern w:val="28"/>
      <w:sz w:val="28"/>
    </w:rPr>
  </w:style>
  <w:style w:type="paragraph" w:customStyle="1" w:styleId="226">
    <w:name w:val="样式 小四 居中 首行缩进:  2 字符 行距: 固定值 26 磅"/>
    <w:basedOn w:val="a0"/>
    <w:pPr>
      <w:adjustRightInd w:val="0"/>
      <w:snapToGrid w:val="0"/>
      <w:spacing w:line="520" w:lineRule="exact"/>
      <w:jc w:val="center"/>
    </w:pPr>
    <w:rPr>
      <w:rFonts w:ascii="宋体" w:hAnsi="宋体" w:cs="宋体"/>
      <w:kern w:val="0"/>
      <w:sz w:val="24"/>
      <w:szCs w:val="20"/>
    </w:rPr>
  </w:style>
  <w:style w:type="paragraph" w:customStyle="1" w:styleId="Char43">
    <w:name w:val="Char43"/>
    <w:basedOn w:val="a0"/>
    <w:pPr>
      <w:spacing w:line="360" w:lineRule="auto"/>
      <w:ind w:firstLineChars="200" w:firstLine="200"/>
    </w:pPr>
    <w:rPr>
      <w:rFonts w:ascii="宋体" w:hAnsi="宋体" w:cs="宋体"/>
      <w:sz w:val="24"/>
    </w:rPr>
  </w:style>
  <w:style w:type="paragraph" w:customStyle="1" w:styleId="s">
    <w:name w:val="s"/>
    <w:basedOn w:val="a0"/>
    <w:pPr>
      <w:adjustRightInd w:val="0"/>
      <w:snapToGrid w:val="0"/>
      <w:spacing w:line="540" w:lineRule="exact"/>
      <w:ind w:firstLineChars="200" w:firstLine="597"/>
    </w:pPr>
    <w:rPr>
      <w:rFonts w:cs="宋体"/>
      <w:szCs w:val="20"/>
    </w:rPr>
  </w:style>
  <w:style w:type="paragraph" w:customStyle="1" w:styleId="15150">
    <w:name w:val="样式 小四 行距: 1.5 倍行距 首行缩进:  1.5 字符"/>
    <w:basedOn w:val="a0"/>
    <w:pPr>
      <w:spacing w:line="520" w:lineRule="exact"/>
      <w:ind w:firstLineChars="150" w:firstLine="150"/>
    </w:pPr>
    <w:rPr>
      <w:rFonts w:cs="宋体"/>
      <w:sz w:val="24"/>
      <w:szCs w:val="20"/>
    </w:rPr>
  </w:style>
  <w:style w:type="paragraph" w:customStyle="1" w:styleId="05051">
    <w:name w:val="样式 宋体 五号 段前: 0.5 行 段后: 0.5 行1"/>
    <w:basedOn w:val="a0"/>
    <w:pPr>
      <w:adjustRightInd w:val="0"/>
      <w:snapToGrid w:val="0"/>
      <w:spacing w:line="240" w:lineRule="atLeast"/>
    </w:pPr>
    <w:rPr>
      <w:rFonts w:ascii="宋体" w:hAnsi="宋体" w:cs="宋体"/>
      <w:sz w:val="21"/>
      <w:szCs w:val="20"/>
    </w:rPr>
  </w:style>
  <w:style w:type="paragraph" w:customStyle="1" w:styleId="xl83">
    <w:name w:val="xl83"/>
    <w:basedOn w:val="a0"/>
    <w:pPr>
      <w:widowControl/>
      <w:pBdr>
        <w:top w:val="single" w:sz="8" w:space="0" w:color="auto"/>
        <w:bottom w:val="single" w:sz="4" w:space="0" w:color="auto"/>
      </w:pBdr>
      <w:spacing w:before="100" w:beforeAutospacing="1" w:after="100" w:afterAutospacing="1"/>
      <w:jc w:val="center"/>
    </w:pPr>
    <w:rPr>
      <w:rFonts w:ascii="宋体" w:hAnsi="宋体"/>
      <w:kern w:val="0"/>
      <w:sz w:val="24"/>
    </w:rPr>
  </w:style>
  <w:style w:type="paragraph" w:customStyle="1" w:styleId="affffffff5">
    <w:name w:val="节标题"/>
    <w:basedOn w:val="a0"/>
    <w:next w:val="a0"/>
    <w:pPr>
      <w:widowControl/>
      <w:spacing w:before="107" w:after="79" w:line="368" w:lineRule="atLeast"/>
      <w:ind w:firstLine="419"/>
      <w:jc w:val="left"/>
      <w:textAlignment w:val="baseline"/>
    </w:pPr>
    <w:rPr>
      <w:color w:val="000000"/>
      <w:kern w:val="0"/>
      <w:szCs w:val="20"/>
      <w:u w:color="000000"/>
    </w:rPr>
  </w:style>
  <w:style w:type="paragraph" w:customStyle="1" w:styleId="affffffff6">
    <w:name w:val="图、表头文字"/>
    <w:basedOn w:val="a0"/>
    <w:pPr>
      <w:autoSpaceDE w:val="0"/>
      <w:autoSpaceDN w:val="0"/>
      <w:adjustRightInd w:val="0"/>
      <w:snapToGrid w:val="0"/>
      <w:spacing w:before="80" w:after="80" w:line="540" w:lineRule="atLeast"/>
      <w:jc w:val="center"/>
      <w:textAlignment w:val="baseline"/>
    </w:pPr>
    <w:rPr>
      <w:rFonts w:ascii="黑体" w:eastAsia="黑体"/>
      <w:kern w:val="0"/>
      <w:sz w:val="21"/>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after="100"/>
      <w:jc w:val="left"/>
    </w:pPr>
    <w:rPr>
      <w:rFonts w:ascii="宋体" w:hAnsi="宋体"/>
      <w:kern w:val="0"/>
      <w:szCs w:val="20"/>
    </w:rPr>
  </w:style>
  <w:style w:type="paragraph" w:customStyle="1" w:styleId="1523">
    <w:name w:val="样式 小四 黑色 行距: 1.5 倍行距 首行缩进:  2 字符"/>
    <w:basedOn w:val="a0"/>
    <w:pPr>
      <w:spacing w:line="520" w:lineRule="exact"/>
      <w:ind w:firstLineChars="200" w:firstLine="200"/>
    </w:pPr>
    <w:rPr>
      <w:rFonts w:cs="宋体"/>
      <w:color w:val="000000"/>
      <w:sz w:val="24"/>
      <w:szCs w:val="20"/>
    </w:rPr>
  </w:style>
  <w:style w:type="paragraph" w:customStyle="1" w:styleId="reader-word-layerreader-word-s1-6">
    <w:name w:val="reader-word-layer reader-word-s1-6"/>
    <w:basedOn w:val="a0"/>
    <w:pPr>
      <w:widowControl/>
      <w:spacing w:before="100" w:beforeAutospacing="1" w:after="100" w:afterAutospacing="1"/>
      <w:jc w:val="left"/>
    </w:pPr>
    <w:rPr>
      <w:rFonts w:ascii="宋体" w:hAnsi="宋体" w:cs="宋体"/>
      <w:kern w:val="0"/>
      <w:sz w:val="24"/>
    </w:rPr>
  </w:style>
  <w:style w:type="paragraph" w:customStyle="1" w:styleId="181">
    <w:name w:val="样式 五号 居中 行距: 固定值 18 磅1"/>
    <w:basedOn w:val="a0"/>
    <w:pPr>
      <w:jc w:val="center"/>
    </w:pPr>
    <w:rPr>
      <w:rFonts w:cs="宋体"/>
      <w:kern w:val="0"/>
      <w:sz w:val="21"/>
      <w:szCs w:val="20"/>
    </w:rPr>
  </w:style>
  <w:style w:type="paragraph" w:customStyle="1" w:styleId="font5">
    <w:name w:val="font5"/>
    <w:basedOn w:val="a0"/>
    <w:pPr>
      <w:widowControl/>
      <w:spacing w:before="100" w:beforeAutospacing="1" w:after="100" w:afterAutospacing="1"/>
      <w:jc w:val="left"/>
    </w:pPr>
    <w:rPr>
      <w:kern w:val="0"/>
      <w:sz w:val="24"/>
    </w:rPr>
  </w:style>
  <w:style w:type="paragraph" w:customStyle="1" w:styleId="CharCharCharCharCharCharCharCharCharCharCharCharChar1CharCharCharCharCharCharCharCharCharCharCharCharCharCharCharCharCharChar">
    <w:name w:val="Char Char Char Char Char Char Char Char Char Char Char Char Char1 Char Char Char Char Char Char Char Char Char Char Char Char Char Char Char Char Char Char"/>
    <w:basedOn w:val="a0"/>
    <w:pPr>
      <w:spacing w:line="360" w:lineRule="auto"/>
      <w:ind w:firstLineChars="200" w:firstLine="200"/>
    </w:pPr>
    <w:rPr>
      <w:sz w:val="24"/>
      <w:szCs w:val="20"/>
    </w:rPr>
  </w:style>
  <w:style w:type="paragraph" w:customStyle="1" w:styleId="182">
    <w:name w:val="样式 黑色 居中 行距: 固定值 18 磅"/>
    <w:basedOn w:val="a0"/>
    <w:pPr>
      <w:jc w:val="center"/>
    </w:pPr>
    <w:rPr>
      <w:rFonts w:cs="宋体"/>
      <w:color w:val="000000"/>
      <w:kern w:val="0"/>
      <w:sz w:val="21"/>
      <w:szCs w:val="20"/>
    </w:rPr>
  </w:style>
  <w:style w:type="paragraph" w:customStyle="1" w:styleId="121">
    <w:name w:val="样式12"/>
    <w:basedOn w:val="3MB3h33rdlevelH3Head3level3PIM3Level3Head1"/>
    <w:next w:val="a2"/>
    <w:qFormat/>
  </w:style>
  <w:style w:type="paragraph" w:customStyle="1" w:styleId="202">
    <w:name w:val="样式 五号 居中 行距: 固定值 20 磅"/>
    <w:basedOn w:val="a0"/>
    <w:pPr>
      <w:jc w:val="center"/>
    </w:pPr>
    <w:rPr>
      <w:rFonts w:cs="宋体"/>
      <w:kern w:val="0"/>
      <w:sz w:val="21"/>
      <w:szCs w:val="20"/>
    </w:rPr>
  </w:style>
  <w:style w:type="paragraph" w:customStyle="1" w:styleId="affffffff7">
    <w:name w:val="表、图名"/>
    <w:basedOn w:val="a0"/>
    <w:pPr>
      <w:adjustRightInd w:val="0"/>
      <w:snapToGrid w:val="0"/>
      <w:spacing w:line="360" w:lineRule="auto"/>
      <w:ind w:left="-6"/>
      <w:jc w:val="center"/>
    </w:pPr>
    <w:rPr>
      <w:rFonts w:ascii="黑体" w:eastAsia="黑体"/>
      <w:kern w:val="0"/>
      <w:sz w:val="24"/>
    </w:rPr>
  </w:style>
  <w:style w:type="paragraph" w:customStyle="1" w:styleId="012622">
    <w:name w:val="样式 样式 小四 红色 加宽量  0.1 磅 行距: 固定值 26 磅 首行缩进:  2 字符 + 首行缩进:  2 字符"/>
    <w:basedOn w:val="01262"/>
    <w:pPr>
      <w:spacing w:line="520" w:lineRule="exact"/>
    </w:pPr>
  </w:style>
  <w:style w:type="paragraph" w:customStyle="1" w:styleId="155">
    <w:name w:val="样式 行距: 1.5 倍行距"/>
    <w:basedOn w:val="a0"/>
    <w:qFormat/>
    <w:pPr>
      <w:spacing w:line="360" w:lineRule="auto"/>
      <w:ind w:firstLineChars="200" w:firstLine="480"/>
    </w:pPr>
    <w:rPr>
      <w:sz w:val="24"/>
      <w:szCs w:val="20"/>
    </w:rPr>
  </w:style>
  <w:style w:type="paragraph" w:customStyle="1" w:styleId="titleoftable">
    <w:name w:val="title of table"/>
    <w:basedOn w:val="a0"/>
    <w:pPr>
      <w:adjustRightInd w:val="0"/>
      <w:snapToGrid w:val="0"/>
      <w:spacing w:line="360" w:lineRule="auto"/>
      <w:jc w:val="center"/>
    </w:pPr>
    <w:rPr>
      <w:rFonts w:ascii="宋体" w:hAnsi="宋体"/>
      <w:b/>
      <w:bCs/>
      <w:color w:val="000000"/>
      <w:sz w:val="24"/>
      <w:szCs w:val="28"/>
    </w:rPr>
  </w:style>
  <w:style w:type="paragraph" w:customStyle="1" w:styleId="15220">
    <w:name w:val="样式 样式 小四 黑色 行距: 1.5 倍行距 首行缩进:  2 字符 + 首行缩进:  2 字符"/>
    <w:basedOn w:val="1523"/>
    <w:next w:val="012620"/>
  </w:style>
  <w:style w:type="paragraph" w:customStyle="1" w:styleId="CharCharCharChar1">
    <w:name w:val="Char Char Char Char1"/>
    <w:basedOn w:val="a0"/>
    <w:rPr>
      <w:sz w:val="21"/>
    </w:rPr>
  </w:style>
  <w:style w:type="paragraph" w:customStyle="1" w:styleId="reader-word-layerreader-word-s1-11">
    <w:name w:val="reader-word-layer reader-word-s1-11"/>
    <w:basedOn w:val="a0"/>
    <w:pPr>
      <w:widowControl/>
      <w:spacing w:before="100" w:beforeAutospacing="1" w:after="100" w:afterAutospacing="1"/>
      <w:jc w:val="left"/>
    </w:pPr>
    <w:rPr>
      <w:rFonts w:ascii="宋体" w:hAnsi="宋体" w:cs="宋体"/>
      <w:kern w:val="0"/>
      <w:sz w:val="24"/>
    </w:rPr>
  </w:style>
  <w:style w:type="paragraph" w:customStyle="1" w:styleId="1fa">
    <w:name w:val="1"/>
    <w:basedOn w:val="a0"/>
    <w:next w:val="ae"/>
    <w:pPr>
      <w:spacing w:line="500" w:lineRule="exact"/>
    </w:pPr>
    <w:rPr>
      <w:rFonts w:ascii="宋体" w:hAnsi="Courier New"/>
      <w:szCs w:val="20"/>
    </w:rPr>
  </w:style>
  <w:style w:type="paragraph" w:customStyle="1" w:styleId="xl63">
    <w:name w:val="xl63"/>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kern w:val="0"/>
      <w:sz w:val="24"/>
    </w:rPr>
  </w:style>
  <w:style w:type="paragraph" w:customStyle="1" w:styleId="1fb">
    <w:name w:val="样式 五号1"/>
    <w:basedOn w:val="a0"/>
    <w:pPr>
      <w:ind w:rightChars="-50" w:right="-50"/>
      <w:jc w:val="center"/>
    </w:pPr>
    <w:rPr>
      <w:rFonts w:ascii="宋体" w:hAnsi="宋体"/>
      <w:color w:val="000000"/>
      <w:kern w:val="0"/>
      <w:sz w:val="21"/>
      <w:szCs w:val="21"/>
    </w:rPr>
  </w:style>
  <w:style w:type="paragraph" w:customStyle="1" w:styleId="affffffff8">
    <w:name w:val="振兴"/>
    <w:basedOn w:val="a0"/>
    <w:pPr>
      <w:spacing w:line="540" w:lineRule="exact"/>
      <w:ind w:firstLineChars="200" w:firstLine="560"/>
    </w:pPr>
    <w:rPr>
      <w:rFonts w:ascii="宋体" w:hAnsi="宋体"/>
      <w:bCs/>
      <w:kern w:val="0"/>
      <w:szCs w:val="28"/>
    </w:rPr>
  </w:style>
  <w:style w:type="paragraph" w:customStyle="1" w:styleId="3d">
    <w:name w:val="样式 小四 黑色3"/>
    <w:basedOn w:val="a0"/>
    <w:pPr>
      <w:spacing w:line="520" w:lineRule="exact"/>
      <w:ind w:firstLineChars="200" w:firstLine="200"/>
    </w:pPr>
    <w:rPr>
      <w:color w:val="000000"/>
      <w:sz w:val="24"/>
      <w:szCs w:val="20"/>
    </w:rPr>
  </w:style>
  <w:style w:type="paragraph" w:customStyle="1" w:styleId="22CharChar1122Char12CharCha">
    <w:name w:val="样式 标题 2节标题节占位标题 2 Char Char1.1标题 2标题 2 Char1标题 2 Char Cha..."/>
    <w:basedOn w:val="2"/>
    <w:qFormat/>
    <w:pPr>
      <w:spacing w:line="520" w:lineRule="exact"/>
    </w:pPr>
    <w:rPr>
      <w:rFonts w:ascii="Cambria" w:eastAsia="宋体" w:hAnsi="Cambria"/>
      <w:bCs/>
      <w:color w:val="000000"/>
      <w:szCs w:val="32"/>
    </w:rPr>
  </w:style>
  <w:style w:type="paragraph" w:customStyle="1" w:styleId="Char4CharCharCharCharCharChar1">
    <w:name w:val="Char4 Char Char Char Char Char Char1"/>
    <w:basedOn w:val="a0"/>
    <w:pPr>
      <w:spacing w:line="360" w:lineRule="auto"/>
      <w:ind w:firstLineChars="200" w:firstLine="200"/>
    </w:pPr>
    <w:rPr>
      <w:rFonts w:ascii="宋体" w:hAnsi="宋体" w:cs="宋体"/>
      <w:sz w:val="24"/>
    </w:rPr>
  </w:style>
  <w:style w:type="paragraph" w:customStyle="1" w:styleId="Style80">
    <w:name w:val="Style8"/>
    <w:basedOn w:val="a0"/>
    <w:pPr>
      <w:adjustRightInd w:val="0"/>
      <w:jc w:val="left"/>
    </w:pPr>
    <w:rPr>
      <w:rFonts w:ascii="宋体"/>
      <w:kern w:val="0"/>
      <w:sz w:val="24"/>
    </w:rPr>
  </w:style>
  <w:style w:type="paragraph" w:customStyle="1" w:styleId="1820">
    <w:name w:val="样式 五号 居中 行距: 固定值 18 磅2"/>
    <w:basedOn w:val="a0"/>
    <w:pPr>
      <w:jc w:val="center"/>
    </w:pPr>
    <w:rPr>
      <w:rFonts w:cs="宋体"/>
      <w:kern w:val="0"/>
      <w:sz w:val="21"/>
      <w:szCs w:val="20"/>
    </w:rPr>
  </w:style>
  <w:style w:type="paragraph" w:customStyle="1" w:styleId="0126220">
    <w:name w:val="样式 样式 小四 加宽量  0.1 磅 行距: 固定值 26 磅 首行缩进:  2 字符 + 首行缩进:  2 字符"/>
    <w:basedOn w:val="012620"/>
    <w:pPr>
      <w:spacing w:line="520" w:lineRule="exact"/>
    </w:pPr>
  </w:style>
  <w:style w:type="paragraph" w:customStyle="1" w:styleId="0115">
    <w:name w:val="样式 小四 加宽量  0.1 磅 行距: 1.5 倍行距"/>
    <w:basedOn w:val="a0"/>
    <w:pPr>
      <w:spacing w:line="520" w:lineRule="exact"/>
    </w:pPr>
    <w:rPr>
      <w:rFonts w:cs="宋体"/>
      <w:spacing w:val="2"/>
      <w:sz w:val="24"/>
      <w:szCs w:val="20"/>
    </w:rPr>
  </w:style>
  <w:style w:type="paragraph" w:customStyle="1" w:styleId="3MB33XW3h33rdlevelH3l3CTH31H32H33u3111">
    <w:name w:val="样式 标题 3MB3标题 3XW3h33rd levelH3l3CTH31H32H33u3条标题1.1...1"/>
    <w:basedOn w:val="30"/>
    <w:pPr>
      <w:spacing w:before="0" w:after="0" w:line="520" w:lineRule="exact"/>
    </w:pPr>
    <w:rPr>
      <w:rFonts w:eastAsia="楷体_GB2312" w:cs="宋体"/>
      <w:b w:val="0"/>
      <w:bCs w:val="0"/>
      <w:color w:val="000000"/>
      <w:sz w:val="24"/>
      <w:szCs w:val="20"/>
    </w:rPr>
  </w:style>
  <w:style w:type="paragraph" w:customStyle="1" w:styleId="09901231">
    <w:name w:val="样式 小四 黑色 首行缩进:  0.99 厘米 加宽量  0.1 磅 行距: 固定值 23 磅1"/>
    <w:basedOn w:val="a0"/>
    <w:pPr>
      <w:spacing w:line="520" w:lineRule="exact"/>
      <w:ind w:firstLine="561"/>
    </w:pPr>
    <w:rPr>
      <w:rFonts w:cs="宋体"/>
      <w:color w:val="000000"/>
      <w:spacing w:val="2"/>
      <w:sz w:val="24"/>
      <w:szCs w:val="20"/>
    </w:rPr>
  </w:style>
  <w:style w:type="paragraph" w:customStyle="1" w:styleId="Style18">
    <w:name w:val="Style18"/>
    <w:basedOn w:val="a0"/>
    <w:pPr>
      <w:adjustRightInd w:val="0"/>
      <w:jc w:val="left"/>
    </w:pPr>
    <w:rPr>
      <w:rFonts w:ascii="宋体"/>
      <w:kern w:val="0"/>
      <w:sz w:val="24"/>
    </w:rPr>
  </w:style>
  <w:style w:type="paragraph" w:customStyle="1" w:styleId="Char417">
    <w:name w:val="Char417"/>
    <w:basedOn w:val="a0"/>
    <w:pPr>
      <w:spacing w:line="360" w:lineRule="auto"/>
      <w:ind w:firstLineChars="200" w:firstLine="200"/>
    </w:pPr>
    <w:rPr>
      <w:rFonts w:ascii="宋体" w:hAnsi="宋体" w:cs="宋体"/>
      <w:sz w:val="24"/>
    </w:rPr>
  </w:style>
  <w:style w:type="paragraph" w:customStyle="1" w:styleId="2f4">
    <w:name w:val="正文2"/>
    <w:pPr>
      <w:jc w:val="both"/>
    </w:pPr>
    <w:rPr>
      <w:kern w:val="2"/>
      <w:sz w:val="21"/>
      <w:szCs w:val="21"/>
    </w:rPr>
  </w:style>
  <w:style w:type="paragraph" w:customStyle="1" w:styleId="xl93">
    <w:name w:val="xl93"/>
    <w:basedOn w:val="a0"/>
    <w:pPr>
      <w:widowControl/>
      <w:pBdr>
        <w:left w:val="single" w:sz="4" w:space="0" w:color="auto"/>
        <w:bottom w:val="single" w:sz="4" w:space="0" w:color="auto"/>
      </w:pBdr>
      <w:spacing w:before="100" w:beforeAutospacing="1" w:after="100" w:afterAutospacing="1"/>
    </w:pPr>
    <w:rPr>
      <w:rFonts w:ascii="宋体" w:hAnsi="宋体"/>
      <w:kern w:val="0"/>
      <w:sz w:val="24"/>
    </w:rPr>
  </w:style>
  <w:style w:type="paragraph" w:customStyle="1" w:styleId="xl29">
    <w:name w:val="xl29"/>
    <w:basedOn w:val="a0"/>
    <w:pPr>
      <w:widowControl/>
      <w:pBdr>
        <w:left w:val="single" w:sz="4" w:space="0" w:color="auto"/>
        <w:bottom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font8">
    <w:name w:val="font8"/>
    <w:basedOn w:val="a0"/>
    <w:pPr>
      <w:widowControl/>
      <w:spacing w:before="100" w:beforeAutospacing="1" w:after="100" w:afterAutospacing="1"/>
      <w:jc w:val="left"/>
    </w:pPr>
    <w:rPr>
      <w:rFonts w:ascii="宋体" w:hAnsi="宋体" w:hint="eastAsia"/>
      <w:color w:val="000000"/>
      <w:kern w:val="0"/>
      <w:sz w:val="24"/>
    </w:rPr>
  </w:style>
  <w:style w:type="paragraph" w:customStyle="1" w:styleId="CharCharCharCharCharCharCharCharChar">
    <w:name w:val="Char Char Char Char Char Char Char Char Char"/>
    <w:basedOn w:val="a0"/>
    <w:next w:val="a0"/>
    <w:pPr>
      <w:keepNext/>
      <w:keepLines/>
      <w:widowControl/>
      <w:adjustRightInd w:val="0"/>
      <w:spacing w:before="360" w:after="480" w:line="360" w:lineRule="auto"/>
      <w:ind w:firstLineChars="200" w:firstLine="200"/>
      <w:textAlignment w:val="baseline"/>
      <w:outlineLvl w:val="1"/>
    </w:pPr>
    <w:rPr>
      <w:rFonts w:ascii="宋体" w:hAnsi="宋体"/>
      <w:b/>
      <w:kern w:val="0"/>
      <w:sz w:val="30"/>
      <w:szCs w:val="20"/>
    </w:rPr>
  </w:style>
  <w:style w:type="paragraph" w:customStyle="1" w:styleId="affffffff9">
    <w:name w:val="铭洁尾矿库 正文"/>
    <w:basedOn w:val="a0"/>
    <w:pPr>
      <w:widowControl/>
      <w:spacing w:before="20" w:after="20" w:line="420" w:lineRule="auto"/>
      <w:ind w:firstLineChars="200" w:firstLine="200"/>
    </w:pPr>
    <w:rPr>
      <w:rFonts w:cs="宋体"/>
      <w:color w:val="3366FF"/>
      <w:w w:val="101"/>
      <w:sz w:val="25"/>
      <w:szCs w:val="25"/>
    </w:rPr>
  </w:style>
  <w:style w:type="paragraph" w:customStyle="1" w:styleId="CharCharCharCharCharCharCharCharCharC4">
    <w:name w:val="样式 纯文本孙普文字 Char Char CharCharChar Char纯文本 Char Char Char C...4"/>
    <w:basedOn w:val="ae"/>
    <w:pPr>
      <w:spacing w:line="520" w:lineRule="exact"/>
      <w:ind w:firstLine="573"/>
    </w:pPr>
    <w:rPr>
      <w:rFonts w:ascii="Times New Roman" w:hAnsi="Times New Roman" w:cs="宋体"/>
      <w:color w:val="000000"/>
      <w:sz w:val="24"/>
    </w:rPr>
  </w:style>
  <w:style w:type="paragraph" w:customStyle="1" w:styleId="p19">
    <w:name w:val="p19"/>
    <w:basedOn w:val="a0"/>
    <w:pPr>
      <w:widowControl/>
    </w:pPr>
    <w:rPr>
      <w:rFonts w:ascii="宋体" w:hAnsi="宋体"/>
      <w:color w:val="000000"/>
      <w:kern w:val="0"/>
      <w:sz w:val="24"/>
      <w:szCs w:val="20"/>
    </w:rPr>
  </w:style>
  <w:style w:type="paragraph" w:customStyle="1" w:styleId="CharCharCharCharCharCharCharCharCharC8">
    <w:name w:val="样式 纯文本孙普文字 Char Char CharCharChar Char纯文本 Char Char Char C...8"/>
    <w:basedOn w:val="ae"/>
    <w:pPr>
      <w:spacing w:line="520" w:lineRule="exact"/>
      <w:ind w:firstLineChars="200" w:firstLine="200"/>
    </w:pPr>
    <w:rPr>
      <w:rFonts w:ascii="Times New Roman" w:hAnsi="Times New Roman" w:cs="宋体"/>
      <w:color w:val="000000"/>
      <w:sz w:val="24"/>
    </w:rPr>
  </w:style>
  <w:style w:type="paragraph" w:customStyle="1" w:styleId="affffffffa">
    <w:name w:val="样式 (符号) 宋体 小四 黑色"/>
    <w:basedOn w:val="a0"/>
    <w:pPr>
      <w:spacing w:line="520" w:lineRule="exact"/>
      <w:ind w:left="482" w:firstLineChars="200" w:firstLine="200"/>
    </w:pPr>
    <w:rPr>
      <w:rFonts w:hAnsi="宋体"/>
      <w:color w:val="000000"/>
      <w:kern w:val="0"/>
      <w:sz w:val="24"/>
      <w:lang w:val="zh-CN"/>
    </w:rPr>
  </w:style>
  <w:style w:type="paragraph" w:customStyle="1" w:styleId="affffffffb">
    <w:name w:val="报告书正文格式"/>
    <w:pPr>
      <w:wordWrap w:val="0"/>
      <w:spacing w:line="560" w:lineRule="exact"/>
      <w:ind w:firstLineChars="200" w:firstLine="560"/>
    </w:pPr>
    <w:rPr>
      <w:bCs/>
      <w:kern w:val="2"/>
      <w:sz w:val="28"/>
      <w:szCs w:val="24"/>
    </w:rPr>
  </w:style>
  <w:style w:type="paragraph" w:customStyle="1" w:styleId="2f5">
    <w:name w:val="样式 正文缩进 + 首行缩进:  2 字符"/>
    <w:basedOn w:val="a2"/>
    <w:pPr>
      <w:spacing w:line="360" w:lineRule="auto"/>
      <w:ind w:firstLine="560"/>
    </w:pPr>
    <w:rPr>
      <w:rFonts w:ascii="宋体" w:hAnsi="宋体" w:cs="宋体"/>
      <w:kern w:val="0"/>
      <w:szCs w:val="28"/>
    </w:rPr>
  </w:style>
  <w:style w:type="paragraph" w:customStyle="1" w:styleId="021">
    <w:name w:val="样式 小四 黑色 紧缩量  0.2 磅"/>
    <w:basedOn w:val="a0"/>
    <w:pPr>
      <w:spacing w:line="520" w:lineRule="exact"/>
      <w:ind w:firstLineChars="200" w:firstLine="200"/>
    </w:pPr>
    <w:rPr>
      <w:color w:val="000000"/>
      <w:spacing w:val="-4"/>
      <w:sz w:val="24"/>
    </w:rPr>
  </w:style>
  <w:style w:type="paragraph" w:customStyle="1" w:styleId="xl44">
    <w:name w:val="xl44"/>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1111OGHeading110PartH">
    <w:name w:val="样式 标题 1章标题 111 标题 1一级标题，黑粗，三号，序号OG Heading 1. (1.0)PartH..."/>
    <w:basedOn w:val="1"/>
    <w:pPr>
      <w:keepLines w:val="0"/>
      <w:autoSpaceDE w:val="0"/>
      <w:autoSpaceDN w:val="0"/>
      <w:adjustRightInd w:val="0"/>
      <w:spacing w:before="312" w:after="480" w:line="520" w:lineRule="exact"/>
      <w:jc w:val="center"/>
    </w:pPr>
    <w:rPr>
      <w:rFonts w:eastAsia="黑体" w:cs="宋体"/>
      <w:b w:val="0"/>
      <w:bCs w:val="0"/>
      <w:kern w:val="0"/>
      <w:sz w:val="36"/>
      <w:szCs w:val="20"/>
    </w:rPr>
  </w:style>
  <w:style w:type="paragraph" w:customStyle="1" w:styleId="47">
    <w:name w:val="标体4"/>
    <w:next w:val="a0"/>
    <w:pPr>
      <w:adjustRightInd w:val="0"/>
      <w:snapToGrid w:val="0"/>
      <w:spacing w:beforeLines="50" w:afterLines="50" w:line="440" w:lineRule="exact"/>
    </w:pPr>
    <w:rPr>
      <w:spacing w:val="6"/>
      <w:kern w:val="2"/>
      <w:sz w:val="28"/>
      <w:szCs w:val="24"/>
    </w:rPr>
  </w:style>
  <w:style w:type="paragraph" w:customStyle="1" w:styleId="2f6">
    <w:name w:val="样式2"/>
    <w:basedOn w:val="2"/>
    <w:next w:val="2"/>
    <w:qFormat/>
    <w:pPr>
      <w:keepNext w:val="0"/>
      <w:keepLines w:val="0"/>
      <w:spacing w:before="0" w:after="0" w:line="560" w:lineRule="exact"/>
      <w:jc w:val="center"/>
      <w:outlineLvl w:val="9"/>
    </w:pPr>
    <w:rPr>
      <w:rFonts w:ascii="宋体" w:eastAsia="宋体" w:hAnsi="宋体"/>
      <w:b w:val="0"/>
      <w:color w:val="000000"/>
      <w:spacing w:val="20"/>
      <w:sz w:val="28"/>
    </w:rPr>
  </w:style>
  <w:style w:type="paragraph" w:customStyle="1" w:styleId="xl67">
    <w:name w:val="xl67"/>
    <w:basedOn w:val="a0"/>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22XWH2H2111112SeSeChar22h22">
    <w:name w:val="样式 标题 2标题 2XWH2H21节标题 1.11.1标题2Se节名Se Char二处标题 2标题2h2...2"/>
    <w:basedOn w:val="2"/>
    <w:pPr>
      <w:spacing w:before="0" w:after="0" w:line="520" w:lineRule="exact"/>
    </w:pPr>
    <w:rPr>
      <w:rFonts w:ascii="Times New Roman" w:eastAsia="宋体" w:hAnsi="Times New Roman" w:cs="宋体"/>
      <w:b w:val="0"/>
      <w:color w:val="000000"/>
      <w:sz w:val="28"/>
    </w:rPr>
  </w:style>
  <w:style w:type="paragraph" w:customStyle="1" w:styleId="15210">
    <w:name w:val="样式 宋体 小四 黑色 行距: 1.5 倍行距 首行缩进:  2 字符1"/>
    <w:basedOn w:val="a0"/>
    <w:pPr>
      <w:spacing w:line="520" w:lineRule="exact"/>
      <w:ind w:firstLineChars="200" w:firstLine="200"/>
    </w:pPr>
    <w:rPr>
      <w:rFonts w:ascii="宋体" w:hAnsi="宋体" w:cs="宋体"/>
      <w:color w:val="000000"/>
      <w:sz w:val="24"/>
      <w:szCs w:val="20"/>
    </w:rPr>
  </w:style>
  <w:style w:type="paragraph" w:customStyle="1" w:styleId="28192">
    <w:name w:val="样式 小四 行距: 固定值 28 磅 首行缩进:  1.92 字符"/>
    <w:basedOn w:val="a0"/>
    <w:pPr>
      <w:spacing w:line="520" w:lineRule="exact"/>
      <w:ind w:firstLineChars="192" w:firstLine="192"/>
    </w:pPr>
    <w:rPr>
      <w:rFonts w:cs="宋体"/>
      <w:sz w:val="24"/>
      <w:szCs w:val="20"/>
    </w:rPr>
  </w:style>
  <w:style w:type="paragraph" w:customStyle="1" w:styleId="24CharChar4Char4CharC1">
    <w:name w:val="样式 正文缩进正文（首行缩进两字）特点正文2标题4正文缩进 Char Char标题4 Char标题4 Char C...1"/>
    <w:basedOn w:val="a2"/>
    <w:pPr>
      <w:spacing w:line="520" w:lineRule="exact"/>
      <w:ind w:firstLine="200"/>
    </w:pPr>
    <w:rPr>
      <w:rFonts w:cs="宋体"/>
      <w:color w:val="000000"/>
      <w:sz w:val="24"/>
      <w:szCs w:val="20"/>
    </w:rPr>
  </w:style>
  <w:style w:type="paragraph" w:customStyle="1" w:styleId="3e">
    <w:name w:val="正文文本缩进3"/>
    <w:basedOn w:val="a0"/>
    <w:pPr>
      <w:ind w:firstLineChars="200" w:firstLine="560"/>
    </w:pPr>
    <w:rPr>
      <w:szCs w:val="28"/>
    </w:rPr>
  </w:style>
  <w:style w:type="paragraph" w:customStyle="1" w:styleId="1524">
    <w:name w:val="样式 样式 宋体 四号 黑色 行距: 1.5 倍行距 + 首行缩进:  2 字符"/>
    <w:basedOn w:val="a0"/>
    <w:pPr>
      <w:spacing w:beforeLines="50" w:line="360" w:lineRule="auto"/>
      <w:ind w:firstLineChars="200" w:firstLine="560"/>
      <w:jc w:val="left"/>
    </w:pPr>
    <w:rPr>
      <w:rFonts w:cs="宋体"/>
      <w:bCs/>
      <w:szCs w:val="28"/>
    </w:rPr>
  </w:style>
  <w:style w:type="paragraph" w:customStyle="1" w:styleId="085152">
    <w:name w:val="样式 (符号) 宋体 小四 首行缩进:  0.85 厘米 行距: 1.5 倍行距"/>
    <w:basedOn w:val="a0"/>
    <w:pPr>
      <w:spacing w:line="520" w:lineRule="exact"/>
      <w:ind w:firstLine="482"/>
    </w:pPr>
    <w:rPr>
      <w:rFonts w:hAnsi="宋体" w:cs="宋体"/>
      <w:sz w:val="24"/>
      <w:szCs w:val="20"/>
    </w:rPr>
  </w:style>
  <w:style w:type="paragraph" w:customStyle="1" w:styleId="affffffffc">
    <w:name w:val="南郊正文"/>
    <w:basedOn w:val="a0"/>
    <w:next w:val="a0"/>
    <w:rPr>
      <w:sz w:val="24"/>
    </w:rPr>
  </w:style>
  <w:style w:type="paragraph" w:customStyle="1" w:styleId="affffffffd">
    <w:name w:val="列表+"/>
    <w:basedOn w:val="a0"/>
    <w:next w:val="af4"/>
    <w:pPr>
      <w:autoSpaceDE w:val="0"/>
      <w:autoSpaceDN w:val="0"/>
      <w:spacing w:beforeLines="50" w:line="400" w:lineRule="exact"/>
      <w:jc w:val="left"/>
    </w:pPr>
    <w:rPr>
      <w:sz w:val="21"/>
      <w:szCs w:val="20"/>
    </w:rPr>
  </w:style>
  <w:style w:type="paragraph" w:customStyle="1" w:styleId="GB23121015">
    <w:name w:val="样式 正文文本缩进 + 仿宋_GB2312 四号 左 首行缩进:  1 厘米 段后: 0 磅 行距: 1.5 倍行距"/>
    <w:basedOn w:val="a1"/>
    <w:next w:val="a1"/>
    <w:pPr>
      <w:adjustRightInd w:val="0"/>
      <w:snapToGrid w:val="0"/>
      <w:spacing w:after="0" w:line="360" w:lineRule="auto"/>
      <w:ind w:firstLineChars="200" w:firstLine="567"/>
      <w:jc w:val="left"/>
    </w:pPr>
    <w:rPr>
      <w:rFonts w:ascii="仿宋_GB2312" w:eastAsia="仿宋_GB2312" w:cs="宋体"/>
      <w:szCs w:val="20"/>
    </w:rPr>
  </w:style>
  <w:style w:type="paragraph" w:customStyle="1" w:styleId="3MB33Char1511134152">
    <w:name w:val="样式 标题 3MB3标题 3 Char小标题四号宋体左齐行距1.5倍1.1.1标题 34号宋体左齐行距1.5倍条标...2"/>
    <w:basedOn w:val="30"/>
    <w:pPr>
      <w:spacing w:before="0" w:after="0" w:line="520" w:lineRule="exact"/>
    </w:pPr>
    <w:rPr>
      <w:rFonts w:eastAsia="楷体_GB2312"/>
      <w:b w:val="0"/>
      <w:bCs w:val="0"/>
      <w:color w:val="000000"/>
      <w:sz w:val="28"/>
    </w:rPr>
  </w:style>
  <w:style w:type="paragraph" w:customStyle="1" w:styleId="2CharCharChars42">
    <w:name w:val="样式 正文缩进正文不缩进正文2正文（首行缩进两字）特点正文缩进 Char Char图标题正文缩进 Chars4 ...2"/>
    <w:basedOn w:val="a2"/>
    <w:pPr>
      <w:tabs>
        <w:tab w:val="left" w:pos="7380"/>
      </w:tabs>
      <w:snapToGrid w:val="0"/>
      <w:spacing w:line="520" w:lineRule="exact"/>
      <w:ind w:firstLineChars="0" w:firstLine="505"/>
    </w:pPr>
    <w:rPr>
      <w:rFonts w:cs="宋体"/>
      <w:sz w:val="24"/>
      <w:szCs w:val="20"/>
    </w:rPr>
  </w:style>
  <w:style w:type="paragraph" w:customStyle="1" w:styleId="2f7">
    <w:name w:val="样式 样式 小四 黑色 + 首行缩进:  2 字符"/>
    <w:basedOn w:val="affffffc"/>
    <w:pPr>
      <w:autoSpaceDE w:val="0"/>
      <w:autoSpaceDN w:val="0"/>
      <w:adjustRightInd w:val="0"/>
    </w:pPr>
    <w:rPr>
      <w:rFonts w:cs="宋体"/>
    </w:rPr>
  </w:style>
  <w:style w:type="paragraph" w:customStyle="1" w:styleId="tdbg">
    <w:name w:val="tdbg"/>
    <w:basedOn w:val="a0"/>
    <w:pPr>
      <w:widowControl/>
      <w:shd w:val="clear" w:color="auto" w:fill="FFFFFF"/>
      <w:spacing w:before="100" w:beforeAutospacing="1" w:after="100" w:afterAutospacing="1" w:line="288" w:lineRule="auto"/>
      <w:jc w:val="left"/>
    </w:pPr>
    <w:rPr>
      <w:rFonts w:ascii="宋体" w:hAnsi="宋体" w:cs="宋体"/>
      <w:kern w:val="0"/>
      <w:sz w:val="24"/>
    </w:rPr>
  </w:style>
  <w:style w:type="paragraph" w:customStyle="1" w:styleId="3MB33XW3h33rdlevelH3l3CTH31H32H33u3112">
    <w:name w:val="样式 标题 3MB3标题 3XW3h33rd levelH3l3CTH31H32H33u3条标题1.1...2"/>
    <w:basedOn w:val="30"/>
    <w:pPr>
      <w:spacing w:before="0" w:after="0" w:line="520" w:lineRule="exact"/>
    </w:pPr>
    <w:rPr>
      <w:rFonts w:eastAsia="楷体_GB2312" w:cs="宋体"/>
      <w:b w:val="0"/>
      <w:bCs w:val="0"/>
      <w:color w:val="000000"/>
      <w:sz w:val="28"/>
      <w:szCs w:val="20"/>
    </w:rPr>
  </w:style>
  <w:style w:type="paragraph" w:customStyle="1" w:styleId="01222">
    <w:name w:val="样式 样式 批注文字 + 小四 黑色 两端对齐 加宽量  0.1 磅 行距: 固定值 22 磅 首行缩进:  2 字符 + 首行..."/>
    <w:basedOn w:val="012220"/>
    <w:pPr>
      <w:spacing w:line="520" w:lineRule="exact"/>
    </w:pPr>
  </w:style>
  <w:style w:type="paragraph" w:customStyle="1" w:styleId="012220">
    <w:name w:val="样式 批注文字 + 小四 黑色 两端对齐 加宽量  0.1 磅 行距: 固定值 22 磅 首行缩进:  2 字符"/>
    <w:basedOn w:val="ab"/>
    <w:pPr>
      <w:spacing w:line="540" w:lineRule="exact"/>
      <w:ind w:firstLineChars="200" w:firstLine="200"/>
      <w:jc w:val="both"/>
    </w:pPr>
    <w:rPr>
      <w:rFonts w:ascii="Calibri" w:hAnsi="Calibri" w:cs="宋体"/>
      <w:color w:val="000000"/>
      <w:spacing w:val="2"/>
      <w:sz w:val="24"/>
    </w:rPr>
  </w:style>
  <w:style w:type="paragraph" w:customStyle="1" w:styleId="3MB33Char15111341511">
    <w:name w:val="样式 样式 标题 3MB3标题 3 Char小标题四号宋体左齐行距1.5倍1.1.1标题 34号宋体左齐行距1.5倍条标...1...1"/>
    <w:basedOn w:val="3MB33Char1511134151"/>
    <w:pPr>
      <w:spacing w:beforeLines="0"/>
    </w:pPr>
    <w:rPr>
      <w:b w:val="0"/>
    </w:rPr>
  </w:style>
  <w:style w:type="paragraph" w:customStyle="1" w:styleId="p0">
    <w:name w:val="p0"/>
    <w:basedOn w:val="a0"/>
    <w:pPr>
      <w:widowControl/>
      <w:jc w:val="left"/>
    </w:pPr>
    <w:rPr>
      <w:kern w:val="0"/>
      <w:sz w:val="20"/>
      <w:szCs w:val="20"/>
    </w:rPr>
  </w:style>
  <w:style w:type="paragraph" w:customStyle="1" w:styleId="3CharChar0">
    <w:name w:val="样式3 Char Char"/>
    <w:basedOn w:val="a0"/>
    <w:pPr>
      <w:adjustRightInd w:val="0"/>
      <w:snapToGrid w:val="0"/>
      <w:spacing w:line="360" w:lineRule="auto"/>
      <w:ind w:firstLineChars="200" w:firstLine="560"/>
    </w:pPr>
    <w:rPr>
      <w:szCs w:val="28"/>
    </w:rPr>
  </w:style>
  <w:style w:type="paragraph" w:customStyle="1" w:styleId="affffffffe">
    <w:name w:val="样式 宋体 小四 黑色"/>
    <w:basedOn w:val="a0"/>
    <w:pPr>
      <w:spacing w:line="520" w:lineRule="exact"/>
      <w:ind w:firstLineChars="200" w:firstLine="200"/>
    </w:pPr>
    <w:rPr>
      <w:rFonts w:ascii="宋体" w:cs="宋体"/>
      <w:color w:val="000000"/>
      <w:sz w:val="24"/>
      <w:lang w:val="zh-CN"/>
    </w:rPr>
  </w:style>
  <w:style w:type="paragraph" w:customStyle="1" w:styleId="xl53">
    <w:name w:val="xl53"/>
    <w:basedOn w:val="a0"/>
    <w:pPr>
      <w:widowControl/>
      <w:pBdr>
        <w:top w:val="single" w:sz="8" w:space="0" w:color="auto"/>
        <w:left w:val="single" w:sz="4" w:space="0" w:color="auto"/>
      </w:pBdr>
      <w:spacing w:before="100" w:beforeAutospacing="1" w:after="100" w:afterAutospacing="1"/>
      <w:jc w:val="center"/>
    </w:pPr>
    <w:rPr>
      <w:rFonts w:ascii="宋体" w:hAnsi="宋体"/>
      <w:kern w:val="0"/>
      <w:sz w:val="24"/>
    </w:rPr>
  </w:style>
  <w:style w:type="paragraph" w:customStyle="1" w:styleId="15196">
    <w:name w:val="样式 小四 黑色 行距: 1.5 倍行距 首行缩进:  1.96 字符"/>
    <w:basedOn w:val="a0"/>
    <w:pPr>
      <w:spacing w:line="520" w:lineRule="exact"/>
      <w:ind w:firstLineChars="196" w:firstLine="196"/>
    </w:pPr>
    <w:rPr>
      <w:rFonts w:cs="宋体"/>
      <w:color w:val="000000"/>
      <w:sz w:val="24"/>
      <w:szCs w:val="20"/>
    </w:rPr>
  </w:style>
  <w:style w:type="paragraph" w:customStyle="1" w:styleId="xl87">
    <w:name w:val="xl87"/>
    <w:basedOn w:val="a0"/>
    <w:pPr>
      <w:widowControl/>
      <w:spacing w:before="100" w:beforeAutospacing="1" w:after="100" w:afterAutospacing="1"/>
      <w:jc w:val="center"/>
    </w:pPr>
    <w:rPr>
      <w:rFonts w:ascii="黑体" w:eastAsia="黑体" w:hAnsi="宋体" w:hint="eastAsia"/>
      <w:b/>
      <w:bCs/>
      <w:kern w:val="0"/>
      <w:szCs w:val="28"/>
    </w:rPr>
  </w:style>
  <w:style w:type="paragraph" w:customStyle="1" w:styleId="91">
    <w:name w:val="样式9"/>
    <w:basedOn w:val="a0"/>
    <w:pPr>
      <w:adjustRightInd w:val="0"/>
      <w:snapToGrid w:val="0"/>
      <w:jc w:val="center"/>
    </w:pPr>
    <w:rPr>
      <w:sz w:val="15"/>
      <w:szCs w:val="15"/>
      <w:u w:val="single"/>
    </w:rPr>
  </w:style>
  <w:style w:type="paragraph" w:customStyle="1" w:styleId="201502">
    <w:name w:val="样式 正文文本缩进 2 + 小四 黑色 段后: 0 磅 行距: 1.5 倍行距 左  0 字符 首行缩进:  2 字符"/>
    <w:basedOn w:val="23"/>
    <w:pPr>
      <w:ind w:firstLineChars="200" w:firstLine="200"/>
    </w:pPr>
    <w:rPr>
      <w:rFonts w:cs="宋体"/>
      <w:color w:val="000000"/>
      <w:sz w:val="24"/>
      <w:szCs w:val="20"/>
    </w:rPr>
  </w:style>
  <w:style w:type="paragraph" w:customStyle="1" w:styleId="223">
    <w:name w:val="样式 四号 首行缩进:  2 字符 + 首行缩进:  2 字符"/>
    <w:basedOn w:val="a0"/>
    <w:pPr>
      <w:spacing w:line="530" w:lineRule="exact"/>
      <w:ind w:firstLineChars="200" w:firstLine="560"/>
    </w:pPr>
    <w:rPr>
      <w:rFonts w:cs="宋体"/>
      <w:kern w:val="0"/>
      <w:szCs w:val="28"/>
    </w:rPr>
  </w:style>
  <w:style w:type="paragraph" w:customStyle="1" w:styleId="xl46">
    <w:name w:val="xl46"/>
    <w:basedOn w:val="a0"/>
    <w:pPr>
      <w:widowControl/>
      <w:pBdr>
        <w:top w:val="single" w:sz="4" w:space="0" w:color="auto"/>
        <w:left w:val="single" w:sz="4" w:space="0" w:color="auto"/>
        <w:bottom w:val="single" w:sz="4" w:space="0" w:color="auto"/>
      </w:pBdr>
      <w:spacing w:before="100" w:beforeAutospacing="1" w:after="100" w:afterAutospacing="1"/>
      <w:jc w:val="right"/>
    </w:pPr>
    <w:rPr>
      <w:rFonts w:ascii="宋体" w:hAnsi="宋体"/>
      <w:color w:val="FF0000"/>
      <w:kern w:val="0"/>
      <w:sz w:val="24"/>
    </w:rPr>
  </w:style>
  <w:style w:type="paragraph" w:customStyle="1" w:styleId="1fc">
    <w:name w:val="样式 宋体 小四 黑色1"/>
    <w:basedOn w:val="a0"/>
    <w:pPr>
      <w:spacing w:line="520" w:lineRule="exact"/>
      <w:ind w:firstLineChars="200" w:firstLine="200"/>
    </w:pPr>
    <w:rPr>
      <w:rFonts w:ascii="宋体" w:hAnsi="宋体"/>
      <w:color w:val="000000"/>
      <w:sz w:val="24"/>
    </w:rPr>
  </w:style>
  <w:style w:type="paragraph" w:customStyle="1" w:styleId="CharCharCharCharCharCharCharCharCharC">
    <w:name w:val="样式 纯文本孙普文字 Char Char CharCharChar Char纯文本 Char Char Char C..."/>
    <w:basedOn w:val="ae"/>
    <w:pPr>
      <w:spacing w:line="520" w:lineRule="exact"/>
      <w:ind w:firstLineChars="200" w:firstLine="200"/>
    </w:pPr>
    <w:rPr>
      <w:rFonts w:ascii="Times New Roman" w:hAnsi="Times New Roman" w:cs="宋体"/>
      <w:color w:val="000000"/>
      <w:sz w:val="24"/>
    </w:rPr>
  </w:style>
  <w:style w:type="paragraph" w:customStyle="1" w:styleId="2TimesNewRoman00">
    <w:name w:val="样式 标题 2节标题节 + Times New Roman 小四 非加粗 左 段前: 0 磅 段后: 0 磅"/>
    <w:basedOn w:val="2"/>
    <w:pPr>
      <w:spacing w:before="0" w:after="0" w:line="416" w:lineRule="auto"/>
      <w:jc w:val="left"/>
    </w:pPr>
    <w:rPr>
      <w:rFonts w:ascii="Times New Roman" w:eastAsia="宋体" w:hAnsi="Times New Roman" w:cs="宋体"/>
      <w:sz w:val="30"/>
    </w:rPr>
  </w:style>
  <w:style w:type="paragraph" w:customStyle="1" w:styleId="0996">
    <w:name w:val="样式 小四 黑色 首行缩进:  0.99 厘米 段前: 6 磅"/>
    <w:basedOn w:val="a0"/>
    <w:pPr>
      <w:spacing w:before="120" w:line="520" w:lineRule="exact"/>
      <w:ind w:firstLine="561"/>
    </w:pPr>
    <w:rPr>
      <w:rFonts w:cs="宋体"/>
      <w:color w:val="000000"/>
      <w:sz w:val="24"/>
      <w:szCs w:val="20"/>
    </w:rPr>
  </w:style>
  <w:style w:type="paragraph" w:customStyle="1" w:styleId="63">
    <w:name w:val="6"/>
    <w:basedOn w:val="a0"/>
    <w:next w:val="ac"/>
    <w:pPr>
      <w:widowControl/>
      <w:adjustRightInd w:val="0"/>
      <w:snapToGrid w:val="0"/>
      <w:spacing w:line="360" w:lineRule="auto"/>
      <w:ind w:firstLine="454"/>
      <w:jc w:val="left"/>
    </w:pPr>
    <w:rPr>
      <w:kern w:val="0"/>
      <w:szCs w:val="20"/>
    </w:rPr>
  </w:style>
  <w:style w:type="paragraph" w:customStyle="1" w:styleId="215025">
    <w:name w:val="样式 正文文本缩进 2 + 行距: 1.5 倍行距 左  0 字符 首行缩进:  2.5 字符"/>
    <w:basedOn w:val="23"/>
    <w:pPr>
      <w:tabs>
        <w:tab w:val="left" w:pos="7380"/>
      </w:tabs>
      <w:snapToGrid w:val="0"/>
      <w:spacing w:after="120"/>
      <w:ind w:firstLineChars="250" w:firstLine="250"/>
    </w:pPr>
    <w:rPr>
      <w:rFonts w:cs="宋体"/>
      <w:color w:val="000000"/>
      <w:kern w:val="21"/>
      <w:sz w:val="24"/>
      <w:szCs w:val="20"/>
      <w:lang w:val="de-DE"/>
    </w:rPr>
  </w:style>
  <w:style w:type="paragraph" w:customStyle="1" w:styleId="100260">
    <w:name w:val="样式 标题 1 + (中文) 黑体 小二 非加粗 居中 段前: 0 磅 段后: 0 磅 行距: 固定值 26 磅"/>
    <w:basedOn w:val="1"/>
    <w:pPr>
      <w:spacing w:before="0" w:afterLines="300" w:line="520" w:lineRule="exact"/>
      <w:jc w:val="center"/>
    </w:pPr>
    <w:rPr>
      <w:rFonts w:eastAsia="黑体" w:cs="宋体"/>
      <w:b w:val="0"/>
      <w:bCs w:val="0"/>
      <w:sz w:val="36"/>
      <w:szCs w:val="20"/>
    </w:rPr>
  </w:style>
  <w:style w:type="paragraph" w:customStyle="1" w:styleId="3MB33XW3h33rdlevelH3l3CTH31H32H33u3114">
    <w:name w:val="样式 标题 3MB3标题 3XW3h33rd levelH3l3CTH31H32H33u3条标题1.1...4"/>
    <w:basedOn w:val="30"/>
    <w:pPr>
      <w:spacing w:before="0" w:after="0" w:line="520" w:lineRule="exact"/>
    </w:pPr>
    <w:rPr>
      <w:rFonts w:eastAsia="楷体_GB2312"/>
      <w:b w:val="0"/>
      <w:bCs w:val="0"/>
      <w:color w:val="000000"/>
      <w:sz w:val="28"/>
    </w:rPr>
  </w:style>
  <w:style w:type="paragraph" w:customStyle="1" w:styleId="xl55">
    <w:name w:val="xl55"/>
    <w:basedOn w:val="a0"/>
    <w:pPr>
      <w:widowControl/>
      <w:pBdr>
        <w:left w:val="single" w:sz="8" w:space="0" w:color="auto"/>
        <w:bottom w:val="single" w:sz="8" w:space="0" w:color="auto"/>
      </w:pBdr>
      <w:spacing w:before="100" w:beforeAutospacing="1" w:after="100" w:afterAutospacing="1"/>
      <w:jc w:val="left"/>
    </w:pPr>
    <w:rPr>
      <w:rFonts w:ascii="宋体" w:hAnsi="宋体"/>
      <w:kern w:val="0"/>
      <w:sz w:val="24"/>
    </w:rPr>
  </w:style>
  <w:style w:type="paragraph" w:customStyle="1" w:styleId="Char414">
    <w:name w:val="Char414"/>
    <w:basedOn w:val="a0"/>
    <w:pPr>
      <w:spacing w:line="360" w:lineRule="auto"/>
      <w:ind w:firstLineChars="200" w:firstLine="200"/>
    </w:pPr>
    <w:rPr>
      <w:rFonts w:ascii="宋体" w:hAnsi="宋体" w:cs="宋体"/>
      <w:sz w:val="24"/>
    </w:rPr>
  </w:style>
  <w:style w:type="paragraph" w:customStyle="1" w:styleId="15187">
    <w:name w:val="样式 小四 黑色 行距: 1.5 倍行距 首行缩进:  1.87 字符"/>
    <w:basedOn w:val="a0"/>
    <w:pPr>
      <w:spacing w:line="520" w:lineRule="exact"/>
      <w:ind w:firstLineChars="187" w:firstLine="187"/>
    </w:pPr>
    <w:rPr>
      <w:rFonts w:cs="宋体"/>
      <w:color w:val="000000"/>
      <w:sz w:val="24"/>
      <w:szCs w:val="20"/>
    </w:rPr>
  </w:style>
  <w:style w:type="paragraph" w:customStyle="1" w:styleId="jjsj-">
    <w:name w:val="jjsj-正文"/>
    <w:basedOn w:val="a0"/>
    <w:uiPriority w:val="99"/>
    <w:pPr>
      <w:spacing w:line="480" w:lineRule="exact"/>
      <w:ind w:firstLineChars="200" w:firstLine="560"/>
    </w:pPr>
    <w:rPr>
      <w:rFonts w:ascii="Arial Narrow" w:hAnsi="Arial Narrow"/>
      <w:kern w:val="0"/>
      <w:szCs w:val="20"/>
    </w:rPr>
  </w:style>
  <w:style w:type="paragraph" w:customStyle="1" w:styleId="afffffffff">
    <w:name w:val="封面正文"/>
    <w:pPr>
      <w:jc w:val="both"/>
    </w:pPr>
  </w:style>
  <w:style w:type="paragraph" w:customStyle="1" w:styleId="15206">
    <w:name w:val="样式 小四 行距: 1.5 倍行距 首行缩进:  2.06 字符"/>
    <w:basedOn w:val="a0"/>
    <w:pPr>
      <w:spacing w:line="520" w:lineRule="exact"/>
      <w:ind w:firstLineChars="206" w:firstLine="206"/>
    </w:pPr>
    <w:rPr>
      <w:rFonts w:cs="宋体"/>
      <w:sz w:val="24"/>
      <w:szCs w:val="20"/>
    </w:rPr>
  </w:style>
  <w:style w:type="paragraph" w:customStyle="1" w:styleId="WPSOffice1">
    <w:name w:val="WPSOffice手动目录 1"/>
  </w:style>
  <w:style w:type="paragraph" w:customStyle="1" w:styleId="CharChar2CharCharChar3Char21Char2C">
    <w:name w:val="样式 纯文本 Char普通文字 Char2Char Char Char3孙普文字 Char2普通文字1 Char2 C..."/>
    <w:pPr>
      <w:spacing w:line="520" w:lineRule="exact"/>
      <w:outlineLvl w:val="3"/>
    </w:pPr>
    <w:rPr>
      <w:b/>
      <w:kern w:val="2"/>
      <w:sz w:val="24"/>
    </w:rPr>
  </w:style>
  <w:style w:type="paragraph" w:customStyle="1" w:styleId="afffffffff0">
    <w:name w:val="报告表头"/>
    <w:basedOn w:val="a0"/>
    <w:pPr>
      <w:spacing w:line="500" w:lineRule="exact"/>
      <w:ind w:firstLineChars="200" w:firstLine="560"/>
    </w:pPr>
    <w:rPr>
      <w:rFonts w:ascii="黑体" w:eastAsia="黑体" w:hAnsi="宋体"/>
      <w:spacing w:val="20"/>
      <w:kern w:val="36"/>
      <w:sz w:val="24"/>
    </w:rPr>
  </w:style>
  <w:style w:type="paragraph" w:customStyle="1" w:styleId="TableParagraph">
    <w:name w:val="Table Paragraph"/>
    <w:basedOn w:val="a0"/>
    <w:uiPriority w:val="1"/>
    <w:qFormat/>
    <w:pPr>
      <w:jc w:val="center"/>
    </w:pPr>
    <w:rPr>
      <w:rFonts w:ascii="宋体" w:hAnsi="宋体" w:cs="宋体"/>
      <w:lang w:val="zh-CN" w:bidi="zh-CN"/>
    </w:rPr>
  </w:style>
  <w:style w:type="paragraph" w:customStyle="1" w:styleId="xl33">
    <w:name w:val="xl33"/>
    <w:basedOn w:val="a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131">
    <w:name w:val="样式13"/>
    <w:basedOn w:val="a0"/>
    <w:qFormat/>
    <w:pPr>
      <w:jc w:val="center"/>
    </w:pPr>
    <w:rPr>
      <w:rFonts w:ascii="宋体" w:hAnsi="宋体"/>
      <w:sz w:val="21"/>
    </w:rPr>
  </w:style>
  <w:style w:type="paragraph" w:customStyle="1" w:styleId="315">
    <w:name w:val="样式 正文文本缩进 3 + (符号) 宋体 小四 行距: 1.5 倍行距"/>
    <w:basedOn w:val="35"/>
    <w:pPr>
      <w:ind w:firstLine="561"/>
    </w:pPr>
    <w:rPr>
      <w:rFonts w:hAnsi="宋体" w:cs="宋体"/>
      <w:sz w:val="24"/>
      <w:szCs w:val="20"/>
    </w:rPr>
  </w:style>
  <w:style w:type="paragraph" w:customStyle="1" w:styleId="53">
    <w:name w:val="标题5"/>
    <w:basedOn w:val="5"/>
    <w:pPr>
      <w:numPr>
        <w:ilvl w:val="4"/>
      </w:numPr>
      <w:spacing w:before="100" w:after="100" w:line="600" w:lineRule="exact"/>
      <w:ind w:firstLineChars="200" w:firstLine="200"/>
    </w:pPr>
    <w:rPr>
      <w:rFonts w:eastAsia="楷体_GB2312"/>
      <w:sz w:val="30"/>
    </w:rPr>
  </w:style>
  <w:style w:type="paragraph" w:customStyle="1" w:styleId="015">
    <w:name w:val="样式 批注文字 + 小四 黑色 加宽量  0.1 磅"/>
    <w:basedOn w:val="ab"/>
    <w:pPr>
      <w:spacing w:line="520" w:lineRule="exact"/>
    </w:pPr>
    <w:rPr>
      <w:rFonts w:ascii="Calibri" w:hAnsi="Calibri"/>
      <w:color w:val="000000"/>
      <w:spacing w:val="2"/>
      <w:sz w:val="24"/>
      <w:szCs w:val="22"/>
    </w:rPr>
  </w:style>
  <w:style w:type="paragraph" w:customStyle="1" w:styleId="22XWH2H2111112SeSeChar22h23">
    <w:name w:val="样式 标题 2标题 2XWH2H21节标题 1.11.1标题2Se节名Se Char二处标题 2标题2h2...3"/>
    <w:basedOn w:val="2"/>
    <w:pPr>
      <w:spacing w:before="0" w:after="0" w:line="520" w:lineRule="exact"/>
    </w:pPr>
    <w:rPr>
      <w:rFonts w:ascii="Times New Roman" w:hAnsi="Times New Roman" w:cs="宋体"/>
      <w:b w:val="0"/>
      <w:color w:val="000000"/>
      <w:sz w:val="28"/>
    </w:rPr>
  </w:style>
  <w:style w:type="paragraph" w:customStyle="1" w:styleId="22XWH2H2111112SeSeChar22h24">
    <w:name w:val="样式 标题 2标题 2XWH2H21节标题 1.11.1标题2Se节名Se Char二处标题 2标题2h2...4"/>
    <w:basedOn w:val="2"/>
    <w:pPr>
      <w:spacing w:beforeLines="50" w:after="0" w:line="520" w:lineRule="exact"/>
    </w:pPr>
    <w:rPr>
      <w:rFonts w:ascii="Times New Roman" w:hAnsi="Times New Roman" w:cs="宋体"/>
      <w:b w:val="0"/>
      <w:color w:val="000000"/>
    </w:rPr>
  </w:style>
  <w:style w:type="paragraph" w:customStyle="1" w:styleId="afffffffff1">
    <w:name w:val="章标题"/>
    <w:basedOn w:val="a0"/>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1525">
    <w:name w:val="样式 小四 黑色 左 行距: 1.5 倍行距 首行缩进:  2 字符"/>
    <w:basedOn w:val="a0"/>
    <w:pPr>
      <w:spacing w:line="520" w:lineRule="exact"/>
      <w:ind w:firstLineChars="200" w:firstLine="200"/>
      <w:jc w:val="left"/>
    </w:pPr>
    <w:rPr>
      <w:rFonts w:cs="宋体"/>
      <w:color w:val="000000"/>
      <w:sz w:val="24"/>
      <w:szCs w:val="20"/>
    </w:rPr>
  </w:style>
  <w:style w:type="paragraph" w:customStyle="1" w:styleId="3f">
    <w:name w:val="标题3"/>
    <w:basedOn w:val="af8"/>
    <w:pPr>
      <w:spacing w:before="120" w:after="120" w:line="520" w:lineRule="exact"/>
      <w:jc w:val="left"/>
      <w:outlineLvl w:val="1"/>
    </w:pPr>
    <w:rPr>
      <w:bCs w:val="0"/>
      <w:snapToGrid w:val="0"/>
      <w:kern w:val="0"/>
      <w:sz w:val="28"/>
    </w:rPr>
  </w:style>
  <w:style w:type="paragraph" w:customStyle="1" w:styleId="2f8">
    <w:name w:val="样式 小四 首行缩进:  2 字符"/>
    <w:basedOn w:val="a0"/>
    <w:pPr>
      <w:spacing w:line="520" w:lineRule="exact"/>
      <w:ind w:firstLineChars="200" w:firstLine="200"/>
    </w:pPr>
    <w:rPr>
      <w:rFonts w:ascii="Calibri" w:hAnsi="Calibri" w:cs="宋体"/>
      <w:sz w:val="24"/>
    </w:rPr>
  </w:style>
  <w:style w:type="paragraph" w:customStyle="1" w:styleId="011522">
    <w:name w:val="样式 样式 小四 黑色 加宽量  0.1 磅 行距: 1.5 倍行距 首行缩进:  2 字符 + 首行缩进:  2 字符"/>
    <w:basedOn w:val="a0"/>
    <w:pPr>
      <w:spacing w:line="520" w:lineRule="exact"/>
      <w:ind w:firstLineChars="200" w:firstLine="200"/>
    </w:pPr>
    <w:rPr>
      <w:rFonts w:cs="宋体"/>
      <w:color w:val="000000"/>
      <w:spacing w:val="2"/>
      <w:sz w:val="24"/>
      <w:szCs w:val="20"/>
    </w:rPr>
  </w:style>
  <w:style w:type="paragraph" w:customStyle="1" w:styleId="xl42">
    <w:name w:val="xl42"/>
    <w:basedOn w:val="a0"/>
    <w:pPr>
      <w:widowControl/>
      <w:pBdr>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112">
    <w:name w:val="正文11"/>
    <w:basedOn w:val="a0"/>
    <w:next w:val="a0"/>
    <w:pPr>
      <w:spacing w:line="540" w:lineRule="exact"/>
      <w:ind w:firstLineChars="200" w:firstLine="200"/>
    </w:pPr>
    <w:rPr>
      <w:szCs w:val="28"/>
    </w:rPr>
  </w:style>
  <w:style w:type="paragraph" w:customStyle="1" w:styleId="Charffff0">
    <w:name w:val="表号 Char"/>
    <w:basedOn w:val="a0"/>
    <w:pPr>
      <w:snapToGrid w:val="0"/>
      <w:ind w:firstLine="480"/>
    </w:pPr>
    <w:rPr>
      <w:kern w:val="32"/>
      <w:sz w:val="24"/>
      <w:szCs w:val="20"/>
    </w:rPr>
  </w:style>
  <w:style w:type="paragraph" w:customStyle="1" w:styleId="CharCharCharCharCharCharCharCharCharC6">
    <w:name w:val="样式 纯文本孙普文字 Char Char CharCharChar Char纯文本 Char Char Char C...6"/>
    <w:basedOn w:val="ae"/>
    <w:pPr>
      <w:spacing w:line="520" w:lineRule="exact"/>
      <w:ind w:firstLine="561"/>
    </w:pPr>
    <w:rPr>
      <w:rFonts w:ascii="Times New Roman" w:hAnsi="Times New Roman" w:cs="宋体"/>
      <w:color w:val="000000"/>
      <w:sz w:val="24"/>
    </w:rPr>
  </w:style>
  <w:style w:type="paragraph" w:customStyle="1" w:styleId="21215">
    <w:name w:val="样式 正文文本缩进正文文字 21正文文字( 首段缩进两字）正文文字缩进2字符 + 小四 行距: 1.5 倍行距 首行缩..."/>
    <w:basedOn w:val="ac"/>
    <w:pPr>
      <w:ind w:firstLineChars="200" w:firstLine="200"/>
    </w:pPr>
    <w:rPr>
      <w:rFonts w:cs="宋体"/>
      <w:spacing w:val="0"/>
      <w:sz w:val="24"/>
      <w:szCs w:val="20"/>
    </w:rPr>
  </w:style>
  <w:style w:type="paragraph" w:customStyle="1" w:styleId="15192">
    <w:name w:val="样式 小四 黑色 行距: 1.5 倍行距 首行缩进:  1.92 字符"/>
    <w:basedOn w:val="a0"/>
    <w:pPr>
      <w:spacing w:line="520" w:lineRule="exact"/>
      <w:ind w:firstLineChars="192" w:firstLine="192"/>
    </w:pPr>
    <w:rPr>
      <w:rFonts w:cs="宋体"/>
      <w:color w:val="000000"/>
      <w:sz w:val="24"/>
      <w:szCs w:val="20"/>
    </w:rPr>
  </w:style>
  <w:style w:type="paragraph" w:customStyle="1" w:styleId="xl34">
    <w:name w:val="xl34"/>
    <w:basedOn w:val="a0"/>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afffffffff2">
    <w:name w:val="二级标题"/>
    <w:basedOn w:val="a0"/>
    <w:next w:val="a0"/>
    <w:pPr>
      <w:keepNext/>
      <w:adjustRightInd w:val="0"/>
      <w:spacing w:before="240" w:after="240" w:line="312" w:lineRule="atLeast"/>
      <w:jc w:val="center"/>
      <w:textAlignment w:val="baseline"/>
    </w:pPr>
    <w:rPr>
      <w:kern w:val="0"/>
      <w:szCs w:val="20"/>
    </w:rPr>
  </w:style>
  <w:style w:type="paragraph" w:customStyle="1" w:styleId="1505715">
    <w:name w:val="样式 小四 行距: 1.5 倍行距 左  0.57 字符 首行缩进:  1.5 字符"/>
    <w:basedOn w:val="a0"/>
    <w:pPr>
      <w:spacing w:line="520" w:lineRule="exact"/>
      <w:ind w:leftChars="57" w:left="57" w:firstLineChars="150" w:firstLine="150"/>
    </w:pPr>
    <w:rPr>
      <w:rFonts w:cs="宋体"/>
      <w:sz w:val="24"/>
      <w:szCs w:val="20"/>
    </w:rPr>
  </w:style>
  <w:style w:type="paragraph" w:customStyle="1" w:styleId="1fd">
    <w:name w:val="列表1"/>
    <w:basedOn w:val="a0"/>
    <w:pPr>
      <w:adjustRightInd w:val="0"/>
      <w:snapToGrid w:val="0"/>
      <w:spacing w:line="540" w:lineRule="atLeast"/>
      <w:ind w:left="200" w:hangingChars="200" w:hanging="200"/>
    </w:pPr>
    <w:rPr>
      <w:rFonts w:hint="eastAsia"/>
      <w:szCs w:val="20"/>
    </w:rPr>
  </w:style>
  <w:style w:type="paragraph" w:customStyle="1" w:styleId="xl52">
    <w:name w:val="xl52"/>
    <w:basedOn w:val="a0"/>
    <w:pPr>
      <w:widowControl/>
      <w:pBdr>
        <w:top w:val="single" w:sz="8" w:space="0" w:color="auto"/>
        <w:left w:val="single" w:sz="8" w:space="0" w:color="auto"/>
      </w:pBdr>
      <w:spacing w:before="100" w:beforeAutospacing="1" w:after="100" w:afterAutospacing="1"/>
      <w:jc w:val="left"/>
    </w:pPr>
    <w:rPr>
      <w:rFonts w:ascii="宋体" w:hAnsi="宋体"/>
      <w:kern w:val="0"/>
      <w:sz w:val="24"/>
    </w:rPr>
  </w:style>
  <w:style w:type="paragraph" w:customStyle="1" w:styleId="101152">
    <w:name w:val="样式 标题 1 + 二号 黑色 居中 加宽量  0.1 磅 行距: 1.5 倍行距2"/>
    <w:basedOn w:val="1"/>
    <w:pPr>
      <w:pageBreakBefore/>
      <w:spacing w:line="360" w:lineRule="auto"/>
      <w:jc w:val="center"/>
    </w:pPr>
    <w:rPr>
      <w:rFonts w:cs="宋体"/>
      <w:color w:val="000000"/>
      <w:spacing w:val="2"/>
      <w:szCs w:val="20"/>
    </w:rPr>
  </w:style>
  <w:style w:type="paragraph" w:customStyle="1" w:styleId="xl80">
    <w:name w:val="xl80"/>
    <w:basedOn w:val="a0"/>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kern w:val="0"/>
      <w:sz w:val="24"/>
    </w:rPr>
  </w:style>
  <w:style w:type="paragraph" w:customStyle="1" w:styleId="64">
    <w:name w:val="河石管道 表格文字小五6"/>
    <w:pPr>
      <w:widowControl w:val="0"/>
      <w:tabs>
        <w:tab w:val="left" w:pos="0"/>
        <w:tab w:val="left" w:pos="1659"/>
        <w:tab w:val="left" w:pos="2517"/>
      </w:tabs>
      <w:adjustRightInd w:val="0"/>
      <w:spacing w:line="0" w:lineRule="atLeast"/>
      <w:ind w:firstLineChars="17" w:firstLine="31"/>
      <w:jc w:val="both"/>
      <w:textAlignment w:val="baseline"/>
    </w:pPr>
    <w:rPr>
      <w:color w:val="FF0000"/>
      <w:sz w:val="18"/>
      <w:szCs w:val="18"/>
    </w:rPr>
  </w:style>
  <w:style w:type="paragraph" w:customStyle="1" w:styleId="CharCharCharCharCharCharCharChar1CharCharCharCharCharChar1CharCharCharCharCharCharCharCharCharChar0">
    <w:name w:val="Char Char Char Char Char Char Char Char1 Char Char Char Char Char Char1 Char Char Char Char Char Char Char Char Char Char"/>
    <w:basedOn w:val="a0"/>
    <w:pPr>
      <w:widowControl/>
      <w:spacing w:after="160" w:line="240" w:lineRule="exact"/>
      <w:jc w:val="left"/>
    </w:pPr>
    <w:rPr>
      <w:rFonts w:ascii="Verdana" w:eastAsia="仿宋_GB2312" w:hAnsi="Verdana"/>
      <w:kern w:val="0"/>
      <w:szCs w:val="28"/>
    </w:rPr>
  </w:style>
  <w:style w:type="paragraph" w:customStyle="1" w:styleId="xl72">
    <w:name w:val="xl72"/>
    <w:basedOn w:val="a0"/>
    <w:pPr>
      <w:widowControl/>
      <w:spacing w:before="100" w:beforeAutospacing="1" w:after="100" w:afterAutospacing="1"/>
      <w:jc w:val="center"/>
    </w:pPr>
    <w:rPr>
      <w:rFonts w:ascii="黑体" w:eastAsia="黑体" w:hAnsi="宋体" w:hint="eastAsia"/>
      <w:b/>
      <w:bCs/>
      <w:kern w:val="0"/>
      <w:szCs w:val="28"/>
    </w:rPr>
  </w:style>
  <w:style w:type="paragraph" w:customStyle="1" w:styleId="272">
    <w:name w:val="样式 宋体 四号 行距: 固定值 27 磅 首行缩进:  2 字符"/>
    <w:basedOn w:val="a0"/>
    <w:pPr>
      <w:spacing w:line="540" w:lineRule="exact"/>
      <w:ind w:firstLineChars="200" w:firstLine="588"/>
    </w:pPr>
    <w:rPr>
      <w:rFonts w:ascii="宋体" w:hAnsi="宋体"/>
      <w:szCs w:val="20"/>
    </w:rPr>
  </w:style>
  <w:style w:type="paragraph" w:customStyle="1" w:styleId="2010">
    <w:name w:val="样式 正文文本缩进 2 + 五号 加宽量  0.1 磅"/>
    <w:basedOn w:val="23"/>
    <w:pPr>
      <w:tabs>
        <w:tab w:val="left" w:pos="7380"/>
      </w:tabs>
      <w:snapToGrid w:val="0"/>
      <w:spacing w:after="120" w:line="240" w:lineRule="auto"/>
      <w:ind w:leftChars="200" w:left="200" w:firstLine="425"/>
    </w:pPr>
    <w:rPr>
      <w:color w:val="000000"/>
      <w:spacing w:val="2"/>
      <w:sz w:val="21"/>
      <w:szCs w:val="20"/>
      <w:lang w:val="de-DE"/>
    </w:rPr>
  </w:style>
  <w:style w:type="paragraph" w:customStyle="1" w:styleId="011523">
    <w:name w:val="样式 小四 黑色 加宽量  0.1 磅 行距: 1.5 倍行距 首行缩进:  2 字符"/>
    <w:basedOn w:val="a0"/>
    <w:pPr>
      <w:spacing w:line="520" w:lineRule="exact"/>
      <w:ind w:firstLineChars="200" w:firstLine="200"/>
    </w:pPr>
    <w:rPr>
      <w:rFonts w:cs="宋体"/>
      <w:color w:val="000000"/>
      <w:spacing w:val="2"/>
      <w:sz w:val="24"/>
      <w:szCs w:val="20"/>
    </w:rPr>
  </w:style>
  <w:style w:type="paragraph" w:customStyle="1" w:styleId="afffffffff3">
    <w:name w:val="表中文本"/>
    <w:basedOn w:val="21"/>
    <w:pPr>
      <w:spacing w:line="400" w:lineRule="exact"/>
      <w:ind w:left="0" w:firstLine="0"/>
      <w:jc w:val="center"/>
    </w:pPr>
    <w:rPr>
      <w:rFonts w:cs="宋体"/>
      <w:sz w:val="21"/>
      <w:szCs w:val="21"/>
    </w:rPr>
  </w:style>
  <w:style w:type="paragraph" w:customStyle="1" w:styleId="1810">
    <w:name w:val="样式 五号 黑色 居中 行距: 固定值 18 磅1"/>
    <w:basedOn w:val="a0"/>
    <w:pPr>
      <w:jc w:val="center"/>
    </w:pPr>
    <w:rPr>
      <w:rFonts w:cs="宋体"/>
      <w:color w:val="000000"/>
      <w:sz w:val="21"/>
      <w:szCs w:val="20"/>
    </w:rPr>
  </w:style>
  <w:style w:type="paragraph" w:customStyle="1" w:styleId="xl32">
    <w:name w:val="xl32"/>
    <w:basedOn w:val="a0"/>
    <w:pPr>
      <w:widowControl/>
      <w:pBdr>
        <w:top w:val="single" w:sz="8"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xl130">
    <w:name w:val="xl130"/>
    <w:basedOn w:val="a0"/>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011525">
    <w:name w:val="样式 小四 加宽量  0.1 磅 行距: 1.5 倍行距 首行缩进:  2.5 字符"/>
    <w:basedOn w:val="a0"/>
    <w:pPr>
      <w:spacing w:line="520" w:lineRule="exact"/>
      <w:ind w:firstLineChars="250" w:firstLine="250"/>
    </w:pPr>
    <w:rPr>
      <w:rFonts w:cs="宋体"/>
      <w:spacing w:val="2"/>
      <w:sz w:val="24"/>
      <w:szCs w:val="20"/>
    </w:rPr>
  </w:style>
  <w:style w:type="paragraph" w:customStyle="1" w:styleId="72">
    <w:name w:val="样式7"/>
    <w:basedOn w:val="a0"/>
    <w:pPr>
      <w:spacing w:beforeLines="50" w:afterLines="50"/>
    </w:pPr>
    <w:rPr>
      <w:sz w:val="24"/>
    </w:rPr>
  </w:style>
  <w:style w:type="paragraph" w:customStyle="1" w:styleId="22XWH2H2111112SeSeChar22h240">
    <w:name w:val="样式 样式 标题 2标题 2XWH2H21节标题 1.11.1标题2Se节名Se Char二处标题 2标题2h2...4 + +..."/>
    <w:basedOn w:val="22XWH2H2111112SeSeChar22h24"/>
    <w:pPr>
      <w:spacing w:before="156"/>
    </w:pPr>
    <w:rPr>
      <w:rFonts w:ascii="宋体" w:eastAsia="宋体" w:hAnsi="宋体"/>
      <w:b/>
      <w:color w:val="auto"/>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2CharCharChars44">
    <w:name w:val="样式 正文缩进正文不缩进正文2正文（首行缩进两字）特点正文缩进 Char Char图标题正文缩进 Chars4 ...4"/>
    <w:basedOn w:val="a2"/>
    <w:pPr>
      <w:tabs>
        <w:tab w:val="left" w:pos="7380"/>
      </w:tabs>
      <w:snapToGrid w:val="0"/>
      <w:spacing w:line="520" w:lineRule="exact"/>
      <w:ind w:firstLine="200"/>
    </w:pPr>
    <w:rPr>
      <w:rFonts w:cs="宋体"/>
      <w:color w:val="000000"/>
      <w:spacing w:val="-4"/>
      <w:kern w:val="21"/>
      <w:sz w:val="24"/>
      <w:szCs w:val="20"/>
    </w:rPr>
  </w:style>
  <w:style w:type="paragraph" w:customStyle="1" w:styleId="1030128">
    <w:name w:val="样式 小四 首行缩进:  1.03 厘米 加宽量  0.1 磅 行距: 固定值 28 磅"/>
    <w:basedOn w:val="a0"/>
    <w:pPr>
      <w:spacing w:line="520" w:lineRule="exact"/>
      <w:ind w:firstLine="584"/>
    </w:pPr>
    <w:rPr>
      <w:rFonts w:cs="宋体"/>
      <w:spacing w:val="2"/>
      <w:sz w:val="24"/>
      <w:szCs w:val="20"/>
    </w:rPr>
  </w:style>
  <w:style w:type="paragraph" w:customStyle="1" w:styleId="016">
    <w:name w:val="样式 黑体 小四 加宽量  0.1 磅"/>
    <w:basedOn w:val="a0"/>
    <w:pPr>
      <w:spacing w:line="520" w:lineRule="exact"/>
      <w:ind w:firstLine="488"/>
      <w:jc w:val="left"/>
    </w:pPr>
    <w:rPr>
      <w:rFonts w:ascii="黑体" w:eastAsia="黑体" w:hAnsi="黑体"/>
      <w:spacing w:val="2"/>
      <w:sz w:val="24"/>
      <w:szCs w:val="20"/>
    </w:rPr>
  </w:style>
  <w:style w:type="paragraph" w:customStyle="1" w:styleId="xl41">
    <w:name w:val="xl41"/>
    <w:basedOn w:val="a0"/>
    <w:pPr>
      <w:widowControl/>
      <w:pBdr>
        <w:top w:val="single" w:sz="4" w:space="0" w:color="auto"/>
        <w:left w:val="single" w:sz="4" w:space="0" w:color="auto"/>
        <w:bottom w:val="single" w:sz="4" w:space="0" w:color="auto"/>
      </w:pBdr>
      <w:spacing w:before="100" w:beforeAutospacing="1" w:after="100" w:afterAutospacing="1"/>
      <w:jc w:val="left"/>
    </w:pPr>
    <w:rPr>
      <w:kern w:val="0"/>
      <w:sz w:val="24"/>
    </w:rPr>
  </w:style>
  <w:style w:type="paragraph" w:customStyle="1" w:styleId="CharCharCharCharCharCharCharCharCharC15">
    <w:name w:val="样式 纯文本孙普文字 Char Char CharCharChar Char纯文本 Char Char Char C...15"/>
    <w:basedOn w:val="ae"/>
    <w:pPr>
      <w:spacing w:line="520" w:lineRule="exact"/>
      <w:ind w:firstLineChars="200" w:firstLine="200"/>
    </w:pPr>
    <w:rPr>
      <w:rFonts w:cs="宋体"/>
      <w:sz w:val="24"/>
    </w:rPr>
  </w:style>
  <w:style w:type="paragraph" w:customStyle="1" w:styleId="310">
    <w:name w:val="样式 标题 3 + 四号1"/>
    <w:basedOn w:val="30"/>
    <w:pPr>
      <w:spacing w:before="120" w:after="0" w:line="360" w:lineRule="auto"/>
      <w:ind w:firstLineChars="163" w:firstLine="163"/>
    </w:pPr>
    <w:rPr>
      <w:bCs w:val="0"/>
      <w:sz w:val="28"/>
      <w:szCs w:val="20"/>
    </w:rPr>
  </w:style>
  <w:style w:type="paragraph" w:customStyle="1" w:styleId="me6">
    <w:name w:val="me正文缩进"/>
    <w:basedOn w:val="a0"/>
    <w:pPr>
      <w:spacing w:line="360" w:lineRule="auto"/>
      <w:ind w:firstLineChars="200" w:firstLine="560"/>
      <w:jc w:val="left"/>
    </w:pPr>
    <w:rPr>
      <w:rFonts w:ascii="宋体" w:hAnsi="宋体"/>
      <w:color w:val="0000FF"/>
      <w:szCs w:val="28"/>
    </w:rPr>
  </w:style>
  <w:style w:type="paragraph" w:customStyle="1" w:styleId="2230">
    <w:name w:val="样式 标题 2 + 行距: 固定值 23 磅"/>
    <w:basedOn w:val="2"/>
    <w:pPr>
      <w:keepNext w:val="0"/>
      <w:keepLines w:val="0"/>
      <w:spacing w:line="520" w:lineRule="exact"/>
    </w:pPr>
    <w:rPr>
      <w:rFonts w:ascii="Times New Roman" w:hAnsi="Times New Roman" w:cs="宋体"/>
      <w:bCs/>
      <w:sz w:val="28"/>
      <w:szCs w:val="28"/>
    </w:rPr>
  </w:style>
  <w:style w:type="paragraph" w:customStyle="1" w:styleId="CharCharCharChar1CharChar">
    <w:name w:val="Char Char Char Char1 Char Char"/>
    <w:basedOn w:val="a0"/>
    <w:rPr>
      <w:sz w:val="21"/>
    </w:rPr>
  </w:style>
  <w:style w:type="paragraph" w:customStyle="1" w:styleId="08601150">
    <w:name w:val="样式 小四 左 首行缩进:  0.86 厘米 加宽量  0.1 磅 行距: 1.5 倍行距"/>
    <w:basedOn w:val="a0"/>
    <w:pPr>
      <w:spacing w:line="520" w:lineRule="exact"/>
      <w:ind w:firstLine="488"/>
      <w:jc w:val="left"/>
    </w:pPr>
    <w:rPr>
      <w:rFonts w:cs="宋体"/>
      <w:spacing w:val="2"/>
      <w:sz w:val="24"/>
      <w:szCs w:val="20"/>
    </w:rPr>
  </w:style>
  <w:style w:type="paragraph" w:customStyle="1" w:styleId="041">
    <w:name w:val="表格04"/>
    <w:basedOn w:val="203"/>
    <w:pPr>
      <w:spacing w:line="360" w:lineRule="exact"/>
    </w:pPr>
    <w:rPr>
      <w:snapToGrid w:val="0"/>
    </w:rPr>
  </w:style>
  <w:style w:type="paragraph" w:customStyle="1" w:styleId="203">
    <w:name w:val="样式 小五 居中 行距: 固定值 20 磅"/>
    <w:basedOn w:val="a0"/>
    <w:pPr>
      <w:adjustRightInd w:val="0"/>
      <w:spacing w:line="320" w:lineRule="exact"/>
      <w:jc w:val="center"/>
      <w:textAlignment w:val="baseline"/>
    </w:pPr>
    <w:rPr>
      <w:spacing w:val="-2"/>
      <w:kern w:val="0"/>
      <w:sz w:val="18"/>
      <w:szCs w:val="18"/>
    </w:rPr>
  </w:style>
  <w:style w:type="paragraph" w:customStyle="1" w:styleId="afffffffff4">
    <w:name w:val="表头易"/>
    <w:basedOn w:val="a0"/>
    <w:qFormat/>
    <w:pPr>
      <w:jc w:val="center"/>
    </w:pPr>
    <w:rPr>
      <w:rFonts w:ascii="Calibri" w:hAnsi="Calibri"/>
      <w:b/>
      <w:color w:val="000000"/>
      <w:sz w:val="24"/>
    </w:rPr>
  </w:style>
  <w:style w:type="paragraph" w:customStyle="1" w:styleId="06">
    <w:name w:val="0"/>
    <w:basedOn w:val="a0"/>
    <w:pPr>
      <w:widowControl/>
      <w:snapToGrid w:val="0"/>
      <w:spacing w:line="365" w:lineRule="atLeast"/>
      <w:ind w:left="1"/>
      <w:textAlignment w:val="bottom"/>
    </w:pPr>
    <w:rPr>
      <w:kern w:val="0"/>
      <w:sz w:val="20"/>
      <w:szCs w:val="20"/>
    </w:rPr>
  </w:style>
  <w:style w:type="paragraph" w:customStyle="1" w:styleId="xl215">
    <w:name w:val="xl215"/>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4"/>
    </w:rPr>
  </w:style>
  <w:style w:type="paragraph" w:customStyle="1" w:styleId="afffffffff5">
    <w:name w:val="小节标题"/>
    <w:basedOn w:val="a0"/>
    <w:next w:val="a0"/>
    <w:pPr>
      <w:widowControl/>
      <w:spacing w:before="107" w:after="79" w:line="368" w:lineRule="atLeast"/>
      <w:ind w:firstLine="419"/>
      <w:jc w:val="left"/>
      <w:textAlignment w:val="baseline"/>
    </w:pPr>
    <w:rPr>
      <w:color w:val="000000"/>
      <w:kern w:val="0"/>
      <w:szCs w:val="20"/>
      <w:u w:color="000000"/>
    </w:rPr>
  </w:style>
  <w:style w:type="paragraph" w:customStyle="1" w:styleId="085153">
    <w:name w:val="样式 小四 首行缩进:  0.85 厘米 行距: 1.5 倍行距"/>
    <w:basedOn w:val="a0"/>
    <w:pPr>
      <w:spacing w:line="520" w:lineRule="exact"/>
      <w:ind w:firstLine="482"/>
    </w:pPr>
    <w:rPr>
      <w:rFonts w:cs="宋体"/>
      <w:sz w:val="24"/>
      <w:szCs w:val="20"/>
    </w:rPr>
  </w:style>
  <w:style w:type="paragraph" w:customStyle="1" w:styleId="afffffffff6">
    <w:name w:val="煤炭正文"/>
    <w:basedOn w:val="a0"/>
    <w:pPr>
      <w:spacing w:line="360" w:lineRule="exact"/>
      <w:ind w:firstLineChars="200" w:firstLine="200"/>
    </w:pPr>
    <w:rPr>
      <w:rFonts w:ascii="Calibri" w:hAnsi="Calibri"/>
      <w:sz w:val="24"/>
    </w:rPr>
  </w:style>
  <w:style w:type="paragraph" w:customStyle="1" w:styleId="22CharTimesNewRoman00">
    <w:name w:val="样式 标题 2标题 2 Char节 + (西文) Times New Roman (中文) 宋体 四号 段前: 0 磅..."/>
    <w:basedOn w:val="2"/>
    <w:pPr>
      <w:spacing w:beforeLines="50" w:afterLines="50" w:line="520" w:lineRule="exact"/>
    </w:pPr>
    <w:rPr>
      <w:rFonts w:ascii="Times New Roman" w:eastAsia="宋体" w:hAnsi="Times New Roman" w:cs="宋体"/>
      <w:bCs/>
      <w:sz w:val="28"/>
    </w:rPr>
  </w:style>
  <w:style w:type="paragraph" w:customStyle="1" w:styleId="afffffffff7">
    <w:name w:val="文字"/>
    <w:basedOn w:val="a0"/>
    <w:pPr>
      <w:ind w:firstLineChars="200" w:firstLine="200"/>
      <w:jc w:val="left"/>
    </w:pPr>
    <w:rPr>
      <w:rFonts w:ascii="楷体_GB2312" w:eastAsia="楷体_GB2312" w:hAnsi="Calibri"/>
      <w:kern w:val="0"/>
      <w:sz w:val="30"/>
    </w:rPr>
  </w:style>
  <w:style w:type="paragraph" w:customStyle="1" w:styleId="CharCharCharCharCharCharCharCharCharC16">
    <w:name w:val="样式 纯文本孙普文字 Char Char CharCharChar Char纯文本 Char Char Char C...16"/>
    <w:basedOn w:val="ae"/>
    <w:pPr>
      <w:spacing w:line="520" w:lineRule="exact"/>
      <w:ind w:firstLineChars="200" w:firstLine="200"/>
    </w:pPr>
    <w:rPr>
      <w:rFonts w:ascii="Times New Roman" w:hAnsi="Times New Roman" w:cs="宋体"/>
      <w:sz w:val="24"/>
    </w:rPr>
  </w:style>
  <w:style w:type="paragraph" w:customStyle="1" w:styleId="afffffffff8">
    <w:name w:val="样式 纯文本 + 黑体 四号 加粗"/>
    <w:basedOn w:val="a0"/>
    <w:rPr>
      <w:rFonts w:ascii="黑体" w:eastAsia="黑体" w:hAnsi="黑体"/>
      <w:b/>
      <w:bCs/>
      <w:szCs w:val="28"/>
    </w:rPr>
  </w:style>
  <w:style w:type="paragraph" w:customStyle="1" w:styleId="TT1">
    <w:name w:val="TT表格（中）"/>
    <w:basedOn w:val="a0"/>
    <w:next w:val="TT"/>
    <w:pPr>
      <w:topLinePunct/>
      <w:adjustRightInd w:val="0"/>
      <w:snapToGrid w:val="0"/>
      <w:jc w:val="center"/>
    </w:pPr>
    <w:rPr>
      <w:sz w:val="21"/>
      <w:szCs w:val="21"/>
    </w:rPr>
  </w:style>
  <w:style w:type="paragraph" w:customStyle="1" w:styleId="07715">
    <w:name w:val="样式 小四 首行缩进:  0.77 厘米 行距: 1.5 倍行距"/>
    <w:basedOn w:val="a0"/>
    <w:pPr>
      <w:spacing w:line="520" w:lineRule="exact"/>
      <w:ind w:firstLine="437"/>
    </w:pPr>
    <w:rPr>
      <w:rFonts w:cs="宋体"/>
      <w:sz w:val="24"/>
      <w:szCs w:val="20"/>
    </w:rPr>
  </w:style>
  <w:style w:type="paragraph" w:customStyle="1" w:styleId="afffffffff9">
    <w:name w:val="简单回函地址"/>
    <w:basedOn w:val="a0"/>
    <w:pPr>
      <w:spacing w:line="360" w:lineRule="auto"/>
    </w:pPr>
    <w:rPr>
      <w:sz w:val="24"/>
    </w:rPr>
  </w:style>
  <w:style w:type="paragraph" w:customStyle="1" w:styleId="xl68">
    <w:name w:val="xl68"/>
    <w:basedOn w:val="a0"/>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afffffffffa">
    <w:name w:val="封面"/>
    <w:basedOn w:val="a0"/>
    <w:pPr>
      <w:widowControl/>
      <w:snapToGrid w:val="0"/>
      <w:ind w:firstLineChars="200" w:firstLine="200"/>
      <w:jc w:val="center"/>
    </w:pPr>
    <w:rPr>
      <w:rFonts w:ascii="Calibri" w:eastAsia="黑体" w:hAnsi="Calibri"/>
      <w:b/>
      <w:sz w:val="48"/>
    </w:rPr>
  </w:style>
  <w:style w:type="paragraph" w:customStyle="1" w:styleId="CharChar1CharCharCharCharChar1">
    <w:name w:val="样式 纯文本普通文字Char Char孙普文字普通文字1 Char Char Char纯文本 Char Char ...1"/>
    <w:basedOn w:val="ae"/>
    <w:pPr>
      <w:spacing w:line="520" w:lineRule="exact"/>
      <w:ind w:firstLineChars="200" w:firstLine="200"/>
    </w:pPr>
    <w:rPr>
      <w:rFonts w:ascii="Times New Roman" w:hAnsi="Times New Roman" w:cs="宋体"/>
      <w:kern w:val="21"/>
      <w:sz w:val="24"/>
      <w:lang w:val="de-DE"/>
    </w:rPr>
  </w:style>
  <w:style w:type="paragraph" w:customStyle="1" w:styleId="Char1CharCharChar3">
    <w:name w:val="Char1 Char Char Char3"/>
    <w:basedOn w:val="aa"/>
    <w:pPr>
      <w:adjustRightInd w:val="0"/>
      <w:spacing w:line="436" w:lineRule="exact"/>
      <w:ind w:left="357"/>
      <w:jc w:val="left"/>
      <w:outlineLvl w:val="3"/>
    </w:pPr>
    <w:rPr>
      <w:rFonts w:ascii="Tahoma" w:hAnsi="Tahoma"/>
      <w:b/>
      <w:sz w:val="24"/>
    </w:rPr>
  </w:style>
  <w:style w:type="paragraph" w:customStyle="1" w:styleId="48">
    <w:name w:val="样式 标题 4 + 字距调整四号"/>
    <w:basedOn w:val="4"/>
    <w:pPr>
      <w:spacing w:before="0" w:after="0" w:line="520" w:lineRule="exact"/>
    </w:pPr>
    <w:rPr>
      <w:rFonts w:ascii="Times New Roman" w:eastAsia="宋体" w:hAnsi="Times New Roman"/>
      <w:b w:val="0"/>
      <w:kern w:val="28"/>
      <w:sz w:val="24"/>
    </w:rPr>
  </w:style>
  <w:style w:type="paragraph" w:customStyle="1" w:styleId="15225">
    <w:name w:val="样式 小四 行距: 1.5 倍行距 首行缩进:  2.25 字符"/>
    <w:basedOn w:val="a0"/>
    <w:pPr>
      <w:spacing w:line="520" w:lineRule="exact"/>
      <w:ind w:firstLineChars="225" w:firstLine="225"/>
    </w:pPr>
    <w:rPr>
      <w:rFonts w:cs="宋体"/>
      <w:sz w:val="24"/>
      <w:szCs w:val="20"/>
    </w:rPr>
  </w:style>
  <w:style w:type="paragraph" w:customStyle="1" w:styleId="Char48">
    <w:name w:val="Char48"/>
    <w:basedOn w:val="a0"/>
    <w:pPr>
      <w:spacing w:line="360" w:lineRule="auto"/>
      <w:ind w:firstLineChars="200" w:firstLine="200"/>
    </w:pPr>
    <w:rPr>
      <w:rFonts w:ascii="宋体" w:hAnsi="宋体" w:cs="宋体"/>
      <w:sz w:val="24"/>
    </w:rPr>
  </w:style>
  <w:style w:type="paragraph" w:customStyle="1" w:styleId="xl51">
    <w:name w:val="xl51"/>
    <w:basedOn w:val="a0"/>
    <w:pPr>
      <w:widowControl/>
      <w:pBdr>
        <w:top w:val="single" w:sz="8"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20152">
    <w:name w:val="样式 正文文本 2 + 小四 黑色 左 段后: 0 磅 行距: 1.5 倍行距 首行缩进:  2 字符"/>
    <w:basedOn w:val="25"/>
    <w:pPr>
      <w:ind w:firstLineChars="200" w:firstLine="200"/>
      <w:jc w:val="left"/>
    </w:pPr>
    <w:rPr>
      <w:rFonts w:ascii="Times New Roman" w:hAnsi="Times New Roman" w:cs="宋体"/>
      <w:szCs w:val="20"/>
    </w:rPr>
  </w:style>
  <w:style w:type="paragraph" w:customStyle="1" w:styleId="afffffffffb">
    <w:name w:val="表格名称"/>
    <w:basedOn w:val="a0"/>
    <w:qFormat/>
    <w:pPr>
      <w:snapToGrid w:val="0"/>
      <w:jc w:val="center"/>
    </w:pPr>
    <w:rPr>
      <w:rFonts w:ascii="仿宋_GB2312" w:eastAsia="黑体" w:hAnsi="Arial Black"/>
      <w:kern w:val="44"/>
      <w:sz w:val="24"/>
      <w:szCs w:val="20"/>
    </w:rPr>
  </w:style>
  <w:style w:type="paragraph" w:customStyle="1" w:styleId="3MB33XW3h33rdlevelH3l3CTH31H32H33u3113">
    <w:name w:val="样式 标题 3MB3标题 3XW3h33rd levelH3l3CTH31H32H33u3条标题1.1...3"/>
    <w:basedOn w:val="30"/>
    <w:pPr>
      <w:spacing w:before="0" w:after="0" w:line="520" w:lineRule="exact"/>
    </w:pPr>
    <w:rPr>
      <w:rFonts w:eastAsia="楷体_GB2312" w:cs="宋体"/>
      <w:b w:val="0"/>
      <w:bCs w:val="0"/>
      <w:sz w:val="28"/>
      <w:szCs w:val="20"/>
    </w:rPr>
  </w:style>
  <w:style w:type="paragraph" w:customStyle="1" w:styleId="afffffffffc">
    <w:name w:val="单倍行距"/>
    <w:basedOn w:val="a0"/>
    <w:pPr>
      <w:ind w:firstLineChars="200" w:firstLine="560"/>
    </w:pPr>
    <w:rPr>
      <w:rFonts w:ascii="宋体" w:hAnsi="宋体" w:cs="宋体"/>
      <w:szCs w:val="20"/>
    </w:rPr>
  </w:style>
  <w:style w:type="paragraph" w:customStyle="1" w:styleId="0860126">
    <w:name w:val="样式 首行缩进:  0.86 厘米 加宽量  0.1 磅 行距: 固定值 26 磅"/>
    <w:basedOn w:val="a0"/>
    <w:pPr>
      <w:spacing w:line="520" w:lineRule="exact"/>
      <w:ind w:firstLine="488"/>
    </w:pPr>
    <w:rPr>
      <w:rFonts w:cs="宋体"/>
      <w:spacing w:val="2"/>
      <w:sz w:val="24"/>
      <w:szCs w:val="20"/>
    </w:rPr>
  </w:style>
  <w:style w:type="paragraph" w:customStyle="1" w:styleId="49">
    <w:name w:val="样式4"/>
    <w:basedOn w:val="a0"/>
    <w:qFormat/>
    <w:pPr>
      <w:spacing w:line="360" w:lineRule="exact"/>
      <w:jc w:val="center"/>
    </w:pPr>
    <w:rPr>
      <w:sz w:val="21"/>
      <w:szCs w:val="21"/>
    </w:rPr>
  </w:style>
  <w:style w:type="paragraph" w:customStyle="1" w:styleId="0851530">
    <w:name w:val="样式 小四 黑色 首行缩进:  0.85 厘米 行距: 1.5 倍行距3"/>
    <w:basedOn w:val="a0"/>
    <w:pPr>
      <w:spacing w:line="520" w:lineRule="exact"/>
      <w:ind w:firstLine="482"/>
    </w:pPr>
    <w:rPr>
      <w:rFonts w:cs="宋体"/>
      <w:color w:val="000000"/>
      <w:sz w:val="24"/>
      <w:szCs w:val="20"/>
    </w:rPr>
  </w:style>
  <w:style w:type="paragraph" w:customStyle="1" w:styleId="156">
    <w:name w:val="样式 小四 黑色 左 行距: 1.5 倍行距"/>
    <w:basedOn w:val="a0"/>
    <w:pPr>
      <w:spacing w:line="520" w:lineRule="exact"/>
      <w:jc w:val="left"/>
    </w:pPr>
    <w:rPr>
      <w:rFonts w:cs="宋体"/>
      <w:color w:val="000000"/>
      <w:kern w:val="0"/>
      <w:sz w:val="24"/>
      <w:szCs w:val="20"/>
    </w:rPr>
  </w:style>
  <w:style w:type="paragraph" w:customStyle="1" w:styleId="TT3">
    <w:name w:val="TT3级标题"/>
    <w:basedOn w:val="a0"/>
    <w:pPr>
      <w:widowControl/>
      <w:topLinePunct/>
      <w:adjustRightInd w:val="0"/>
      <w:snapToGrid w:val="0"/>
      <w:spacing w:line="520" w:lineRule="exact"/>
      <w:jc w:val="left"/>
      <w:outlineLvl w:val="2"/>
    </w:pPr>
    <w:rPr>
      <w:rFonts w:eastAsia="黑体"/>
      <w:b/>
      <w:bCs/>
      <w:szCs w:val="28"/>
    </w:rPr>
  </w:style>
  <w:style w:type="paragraph" w:customStyle="1" w:styleId="157">
    <w:name w:val="样式 样式 四号 行距: 1.5 倍行距 + 小四"/>
    <w:basedOn w:val="150"/>
    <w:pPr>
      <w:spacing w:line="520" w:lineRule="exact"/>
    </w:pPr>
    <w:rPr>
      <w:sz w:val="24"/>
    </w:rPr>
  </w:style>
  <w:style w:type="paragraph" w:customStyle="1" w:styleId="2CharCharChars41">
    <w:name w:val="样式 正文缩进正文不缩进正文2正文（首行缩进两字）特点正文缩进 Char Char图标题正文缩进 Chars4 ...1"/>
    <w:basedOn w:val="a2"/>
    <w:pPr>
      <w:tabs>
        <w:tab w:val="left" w:pos="7380"/>
      </w:tabs>
      <w:snapToGrid w:val="0"/>
      <w:spacing w:line="520" w:lineRule="exact"/>
      <w:ind w:firstLineChars="210" w:firstLine="210"/>
    </w:pPr>
    <w:rPr>
      <w:rFonts w:cs="宋体"/>
      <w:color w:val="000000"/>
      <w:sz w:val="24"/>
      <w:szCs w:val="20"/>
    </w:rPr>
  </w:style>
  <w:style w:type="paragraph" w:customStyle="1" w:styleId="122">
    <w:name w:val="样式 五号 居中 行距: 固定值 12 磅"/>
    <w:basedOn w:val="a0"/>
    <w:pPr>
      <w:adjustRightInd w:val="0"/>
      <w:snapToGrid w:val="0"/>
      <w:spacing w:line="240" w:lineRule="exact"/>
      <w:jc w:val="center"/>
    </w:pPr>
    <w:rPr>
      <w:rFonts w:cs="宋体"/>
      <w:sz w:val="21"/>
      <w:szCs w:val="20"/>
    </w:rPr>
  </w:style>
  <w:style w:type="paragraph" w:customStyle="1" w:styleId="afffffffffd">
    <w:name w:val="样式 小四 加粗 黑色 下划线"/>
    <w:basedOn w:val="a0"/>
    <w:pPr>
      <w:tabs>
        <w:tab w:val="left" w:pos="2325"/>
      </w:tabs>
      <w:adjustRightInd w:val="0"/>
      <w:snapToGrid w:val="0"/>
      <w:spacing w:line="520" w:lineRule="exact"/>
      <w:ind w:firstLineChars="200" w:firstLine="200"/>
    </w:pPr>
    <w:rPr>
      <w:b/>
      <w:color w:val="000000"/>
      <w:sz w:val="24"/>
      <w:u w:val="single"/>
    </w:rPr>
  </w:style>
  <w:style w:type="paragraph" w:customStyle="1" w:styleId="CharChar1CharCharCharCharChar3">
    <w:name w:val="样式 纯文本普通文字Char Char孙普文字普通文字1 Char Char Char纯文本 Char Char ...3"/>
    <w:basedOn w:val="ae"/>
    <w:pPr>
      <w:spacing w:line="520" w:lineRule="exact"/>
      <w:ind w:left="720"/>
    </w:pPr>
    <w:rPr>
      <w:rFonts w:ascii="Times New Roman" w:hAnsi="Times New Roman" w:cs="宋体"/>
      <w:kern w:val="21"/>
      <w:sz w:val="24"/>
      <w:lang w:val="de-DE"/>
    </w:rPr>
  </w:style>
  <w:style w:type="paragraph" w:customStyle="1" w:styleId="003">
    <w:name w:val="003"/>
    <w:basedOn w:val="a0"/>
    <w:pPr>
      <w:spacing w:line="500" w:lineRule="exact"/>
      <w:ind w:firstLineChars="200" w:firstLine="200"/>
    </w:pPr>
    <w:rPr>
      <w:rFonts w:ascii="宋体" w:hAnsi="宋体" w:cs="宋体"/>
      <w:color w:val="000000"/>
      <w:sz w:val="24"/>
      <w:szCs w:val="20"/>
    </w:rPr>
  </w:style>
  <w:style w:type="paragraph" w:customStyle="1" w:styleId="zww">
    <w:name w:val="zww"/>
    <w:basedOn w:val="a0"/>
    <w:pPr>
      <w:topLinePunct/>
      <w:spacing w:line="360" w:lineRule="auto"/>
      <w:ind w:firstLineChars="200" w:firstLine="480"/>
    </w:pPr>
    <w:rPr>
      <w:rFonts w:cs="宋体"/>
      <w:color w:val="FF6600"/>
      <w:kern w:val="0"/>
      <w:sz w:val="24"/>
    </w:rPr>
  </w:style>
  <w:style w:type="paragraph" w:customStyle="1" w:styleId="54">
    <w:name w:val="5"/>
    <w:pPr>
      <w:widowControl w:val="0"/>
      <w:jc w:val="both"/>
    </w:pPr>
    <w:rPr>
      <w:kern w:val="2"/>
      <w:sz w:val="28"/>
    </w:rPr>
  </w:style>
  <w:style w:type="paragraph" w:customStyle="1" w:styleId="022">
    <w:name w:val="表格02"/>
    <w:basedOn w:val="a0"/>
    <w:pPr>
      <w:adjustRightInd w:val="0"/>
      <w:snapToGrid w:val="0"/>
      <w:spacing w:line="360" w:lineRule="exact"/>
      <w:jc w:val="center"/>
    </w:pPr>
    <w:rPr>
      <w:snapToGrid w:val="0"/>
      <w:kern w:val="0"/>
      <w:sz w:val="24"/>
    </w:rPr>
  </w:style>
  <w:style w:type="paragraph" w:customStyle="1" w:styleId="xl24">
    <w:name w:val="xl24"/>
    <w:basedOn w:val="a0"/>
    <w:pPr>
      <w:widowControl/>
      <w:pBdr>
        <w:bottom w:val="single" w:sz="4" w:space="0" w:color="auto"/>
        <w:right w:val="single" w:sz="4" w:space="0" w:color="auto"/>
      </w:pBdr>
      <w:spacing w:before="100" w:beforeAutospacing="1" w:after="100" w:afterAutospacing="1"/>
      <w:jc w:val="center"/>
      <w:textAlignment w:val="top"/>
    </w:pPr>
    <w:rPr>
      <w:rFonts w:eastAsia="Arial Unicode MS"/>
      <w:kern w:val="0"/>
      <w:sz w:val="21"/>
      <w:szCs w:val="21"/>
    </w:rPr>
  </w:style>
  <w:style w:type="paragraph" w:customStyle="1" w:styleId="3MB33XW3h33rdlevelH3l3CTH31H32H33u311">
    <w:name w:val="样式 标题 3MB3标题 3XW3h33rd levelH3l3CTH31H32H33u3条标题1.1..."/>
    <w:basedOn w:val="30"/>
    <w:pPr>
      <w:spacing w:before="0" w:after="0" w:line="520" w:lineRule="exact"/>
    </w:pPr>
    <w:rPr>
      <w:rFonts w:eastAsia="楷体_GB2312" w:cs="宋体"/>
      <w:b w:val="0"/>
      <w:bCs w:val="0"/>
      <w:color w:val="000000"/>
      <w:sz w:val="28"/>
      <w:szCs w:val="20"/>
    </w:rPr>
  </w:style>
  <w:style w:type="paragraph" w:customStyle="1" w:styleId="2f9">
    <w:name w:val="样式 标题 2 + 两端对齐"/>
    <w:basedOn w:val="2"/>
    <w:pPr>
      <w:widowControl/>
      <w:spacing w:before="240" w:after="240" w:line="240" w:lineRule="auto"/>
      <w:ind w:firstLineChars="945" w:firstLine="945"/>
      <w:jc w:val="center"/>
    </w:pPr>
    <w:rPr>
      <w:rFonts w:ascii="宋体" w:hAnsi="宋体"/>
      <w:kern w:val="0"/>
      <w:sz w:val="30"/>
    </w:rPr>
  </w:style>
  <w:style w:type="paragraph" w:customStyle="1" w:styleId="CharCharCharCharCharCharCharCharCharC17">
    <w:name w:val="样式 纯文本孙普文字 Char Char CharCharChar Char纯文本 Char Char Char C...17"/>
    <w:basedOn w:val="ae"/>
    <w:pPr>
      <w:spacing w:line="520" w:lineRule="exact"/>
      <w:ind w:firstLineChars="200" w:firstLine="200"/>
      <w:jc w:val="left"/>
    </w:pPr>
    <w:rPr>
      <w:rFonts w:cs="宋体"/>
      <w:sz w:val="24"/>
    </w:rPr>
  </w:style>
  <w:style w:type="paragraph" w:customStyle="1" w:styleId="311">
    <w:name w:val="正文文本缩进 31"/>
    <w:basedOn w:val="a0"/>
    <w:pPr>
      <w:adjustRightInd w:val="0"/>
      <w:snapToGrid w:val="0"/>
      <w:spacing w:line="540" w:lineRule="atLeast"/>
      <w:ind w:firstLine="560"/>
    </w:pPr>
    <w:rPr>
      <w:szCs w:val="20"/>
    </w:rPr>
  </w:style>
  <w:style w:type="paragraph" w:customStyle="1" w:styleId="afffffffffe">
    <w:name w:val="样式 段落 + 小四"/>
    <w:basedOn w:val="affffffffff"/>
    <w:pPr>
      <w:adjustRightInd/>
      <w:snapToGrid/>
      <w:spacing w:line="520" w:lineRule="exact"/>
      <w:ind w:firstLine="578"/>
    </w:pPr>
    <w:rPr>
      <w:rFonts w:ascii="Times New Roman" w:hAnsi="Times New Roman"/>
      <w:snapToGrid/>
      <w:kern w:val="0"/>
      <w:sz w:val="24"/>
      <w:szCs w:val="28"/>
    </w:rPr>
  </w:style>
  <w:style w:type="paragraph" w:customStyle="1" w:styleId="affffffffff">
    <w:name w:val="段落"/>
    <w:basedOn w:val="a0"/>
    <w:pPr>
      <w:adjustRightInd w:val="0"/>
      <w:snapToGrid w:val="0"/>
      <w:spacing w:line="300" w:lineRule="auto"/>
      <w:ind w:firstLine="539"/>
    </w:pPr>
    <w:rPr>
      <w:rFonts w:ascii="宋体" w:hAnsi="宋体"/>
      <w:snapToGrid w:val="0"/>
      <w:szCs w:val="20"/>
    </w:rPr>
  </w:style>
  <w:style w:type="paragraph" w:customStyle="1" w:styleId="3151">
    <w:name w:val="样式 3级标题 + 楷体 加粗 黑色 行距: 1.5 倍行距1"/>
    <w:basedOn w:val="a0"/>
    <w:pPr>
      <w:spacing w:line="520" w:lineRule="exact"/>
      <w:outlineLvl w:val="2"/>
    </w:pPr>
    <w:rPr>
      <w:rFonts w:ascii="楷体" w:eastAsia="楷体_GB2312" w:hAnsi="楷体" w:cs="宋体"/>
      <w:b/>
      <w:bCs/>
      <w:color w:val="000000"/>
      <w:kern w:val="0"/>
      <w:szCs w:val="20"/>
    </w:rPr>
  </w:style>
  <w:style w:type="paragraph" w:customStyle="1" w:styleId="Char410">
    <w:name w:val="Char410"/>
    <w:basedOn w:val="a0"/>
    <w:pPr>
      <w:spacing w:line="360" w:lineRule="auto"/>
      <w:ind w:firstLineChars="200" w:firstLine="200"/>
    </w:pPr>
    <w:rPr>
      <w:rFonts w:ascii="宋体" w:hAnsi="宋体" w:cs="宋体"/>
      <w:sz w:val="24"/>
    </w:rPr>
  </w:style>
  <w:style w:type="paragraph" w:customStyle="1" w:styleId="TT2">
    <w:name w:val="TT2级标题"/>
    <w:basedOn w:val="a0"/>
    <w:next w:val="TT"/>
    <w:pPr>
      <w:widowControl/>
      <w:topLinePunct/>
      <w:adjustRightInd w:val="0"/>
      <w:snapToGrid w:val="0"/>
      <w:spacing w:line="520" w:lineRule="exact"/>
      <w:jc w:val="left"/>
      <w:outlineLvl w:val="1"/>
    </w:pPr>
    <w:rPr>
      <w:rFonts w:eastAsia="黑体"/>
      <w:b/>
      <w:bCs/>
      <w:szCs w:val="28"/>
    </w:rPr>
  </w:style>
  <w:style w:type="paragraph" w:customStyle="1" w:styleId="65">
    <w:name w:val="样式 小四 首行缩进:  6.5 字符"/>
    <w:basedOn w:val="a0"/>
    <w:pPr>
      <w:spacing w:line="520" w:lineRule="exact"/>
      <w:ind w:firstLineChars="200" w:firstLine="200"/>
    </w:pPr>
    <w:rPr>
      <w:rFonts w:ascii="Calibri" w:hAnsi="Calibri" w:cs="宋体"/>
      <w:sz w:val="24"/>
      <w:szCs w:val="20"/>
    </w:rPr>
  </w:style>
  <w:style w:type="paragraph" w:customStyle="1" w:styleId="Style10">
    <w:name w:val="Style10"/>
    <w:basedOn w:val="a0"/>
    <w:pPr>
      <w:adjustRightInd w:val="0"/>
      <w:jc w:val="left"/>
    </w:pPr>
    <w:rPr>
      <w:rFonts w:ascii="宋体"/>
      <w:kern w:val="0"/>
      <w:sz w:val="24"/>
    </w:rPr>
  </w:style>
  <w:style w:type="paragraph" w:customStyle="1" w:styleId="affffffffff0">
    <w:name w:val="样式 说明书正文 + +中文正文 小四 自动设置 字距调整四号"/>
    <w:basedOn w:val="afff2"/>
    <w:pPr>
      <w:spacing w:line="520" w:lineRule="exact"/>
      <w:ind w:firstLine="200"/>
    </w:pPr>
    <w:rPr>
      <w:rFonts w:ascii="宋体" w:eastAsia="宋体" w:hAnsi="宋体"/>
      <w:color w:val="auto"/>
      <w:kern w:val="28"/>
      <w:sz w:val="24"/>
    </w:rPr>
  </w:style>
  <w:style w:type="paragraph" w:customStyle="1" w:styleId="1511">
    <w:name w:val="样式 (中文) 黑体 小四 行距: 1.5 倍行距 首行缩进:  11 字符"/>
    <w:basedOn w:val="a0"/>
    <w:pPr>
      <w:spacing w:line="520" w:lineRule="exact"/>
      <w:ind w:firstLineChars="1100" w:firstLine="1100"/>
    </w:pPr>
    <w:rPr>
      <w:rFonts w:eastAsia="黑体" w:cs="宋体"/>
      <w:sz w:val="24"/>
      <w:szCs w:val="20"/>
    </w:rPr>
  </w:style>
  <w:style w:type="paragraph" w:customStyle="1" w:styleId="0120">
    <w:name w:val="样式 小四 加宽量  0.1 磅 首行缩进:  2 字符"/>
    <w:basedOn w:val="a0"/>
    <w:pPr>
      <w:spacing w:line="520" w:lineRule="exact"/>
      <w:ind w:firstLineChars="200" w:firstLine="200"/>
    </w:pPr>
    <w:rPr>
      <w:rFonts w:cs="宋体"/>
      <w:spacing w:val="2"/>
      <w:sz w:val="24"/>
      <w:szCs w:val="20"/>
    </w:rPr>
  </w:style>
  <w:style w:type="paragraph" w:customStyle="1" w:styleId="0115220">
    <w:name w:val="样式 样式 小四 左 加宽量  0.1 磅 行距: 1.5 倍行距 首行缩进:  2 字符 + 首行缩进:  2 字符"/>
    <w:basedOn w:val="011524"/>
  </w:style>
  <w:style w:type="paragraph" w:customStyle="1" w:styleId="011524">
    <w:name w:val="样式 小四 左 加宽量  0.1 磅 行距: 1.5 倍行距 首行缩进:  2 字符"/>
    <w:basedOn w:val="a0"/>
    <w:pPr>
      <w:spacing w:line="520" w:lineRule="exact"/>
      <w:ind w:firstLineChars="200" w:firstLine="200"/>
      <w:jc w:val="left"/>
    </w:pPr>
    <w:rPr>
      <w:rFonts w:cs="宋体"/>
      <w:spacing w:val="2"/>
      <w:sz w:val="24"/>
      <w:szCs w:val="20"/>
    </w:rPr>
  </w:style>
  <w:style w:type="paragraph" w:customStyle="1" w:styleId="CharChar1CharCharCharChar">
    <w:name w:val="Char Char1 Char Char Char Char"/>
    <w:basedOn w:val="a0"/>
    <w:pPr>
      <w:spacing w:line="360" w:lineRule="auto"/>
      <w:ind w:firstLineChars="200" w:firstLine="200"/>
    </w:pPr>
    <w:rPr>
      <w:rFonts w:eastAsia="黑体"/>
      <w:szCs w:val="28"/>
    </w:rPr>
  </w:style>
  <w:style w:type="paragraph" w:customStyle="1" w:styleId="xl78">
    <w:name w:val="xl78"/>
    <w:basedOn w:val="a0"/>
    <w:pPr>
      <w:widowControl/>
      <w:pBdr>
        <w:top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07">
    <w:name w:val="正文 0 字符"/>
    <w:basedOn w:val="a0"/>
    <w:pPr>
      <w:spacing w:line="520" w:lineRule="exact"/>
    </w:pPr>
    <w:rPr>
      <w:rFonts w:ascii="宋体" w:hAnsi="宋体" w:cs="宋体"/>
      <w:szCs w:val="20"/>
    </w:rPr>
  </w:style>
  <w:style w:type="paragraph" w:customStyle="1" w:styleId="font1">
    <w:name w:val="font1"/>
    <w:basedOn w:val="a0"/>
    <w:pPr>
      <w:widowControl/>
      <w:spacing w:before="100" w:beforeAutospacing="1" w:after="100" w:afterAutospacing="1"/>
      <w:jc w:val="left"/>
    </w:pPr>
    <w:rPr>
      <w:rFonts w:ascii="宋体" w:hAnsi="宋体" w:cs="Arial Unicode MS" w:hint="eastAsia"/>
      <w:kern w:val="0"/>
      <w:sz w:val="24"/>
    </w:rPr>
  </w:style>
  <w:style w:type="paragraph" w:customStyle="1" w:styleId="1fe">
    <w:name w:val="普通(网站)1"/>
    <w:basedOn w:val="a0"/>
    <w:pPr>
      <w:widowControl/>
      <w:adjustRightInd w:val="0"/>
      <w:snapToGrid w:val="0"/>
      <w:spacing w:before="100" w:beforeAutospacing="1" w:after="100" w:afterAutospacing="1" w:line="540" w:lineRule="atLeast"/>
      <w:jc w:val="left"/>
    </w:pPr>
    <w:rPr>
      <w:rFonts w:ascii="宋体" w:hAnsi="宋体"/>
      <w:kern w:val="0"/>
      <w:sz w:val="24"/>
    </w:rPr>
  </w:style>
  <w:style w:type="paragraph" w:customStyle="1" w:styleId="211">
    <w:name w:val="样式 正文文本缩进正文文字 21 + 小四"/>
    <w:basedOn w:val="ac"/>
    <w:pPr>
      <w:ind w:firstLine="578"/>
    </w:pPr>
    <w:rPr>
      <w:sz w:val="24"/>
    </w:rPr>
  </w:style>
  <w:style w:type="paragraph" w:customStyle="1" w:styleId="affffffffff1">
    <w:name w:val="居中"/>
    <w:basedOn w:val="a0"/>
    <w:qFormat/>
    <w:pPr>
      <w:jc w:val="center"/>
    </w:pPr>
    <w:rPr>
      <w:rFonts w:ascii="宋体" w:hAnsi="宋体"/>
    </w:rPr>
  </w:style>
  <w:style w:type="paragraph" w:customStyle="1" w:styleId="011505715">
    <w:name w:val="样式 小四 加宽量  0.1 磅 行距: 1.5 倍行距 左  0.57 字符 首行缩进:  1.5 字符"/>
    <w:basedOn w:val="a0"/>
    <w:pPr>
      <w:spacing w:line="520" w:lineRule="exact"/>
      <w:ind w:leftChars="57" w:left="57" w:firstLineChars="150" w:firstLine="150"/>
    </w:pPr>
    <w:rPr>
      <w:rFonts w:cs="宋体"/>
      <w:spacing w:val="2"/>
      <w:sz w:val="24"/>
      <w:szCs w:val="20"/>
    </w:rPr>
  </w:style>
  <w:style w:type="paragraph" w:customStyle="1" w:styleId="cs10additiveDefaultP">
    <w:name w:val="*cs10 additive Default P"/>
    <w:pPr>
      <w:widowControl w:val="0"/>
      <w:adjustRightInd w:val="0"/>
      <w:textAlignment w:val="baseline"/>
    </w:pPr>
    <w:rPr>
      <w:rFonts w:ascii="宋体"/>
      <w:sz w:val="21"/>
    </w:rPr>
  </w:style>
  <w:style w:type="paragraph" w:customStyle="1" w:styleId="262">
    <w:name w:val="样式 (符号) 宋体 小四 行距: 固定值 26 磅 首行缩进:  2 字符"/>
    <w:basedOn w:val="a0"/>
    <w:pPr>
      <w:spacing w:line="520" w:lineRule="exact"/>
      <w:ind w:firstLineChars="200" w:firstLine="200"/>
    </w:pPr>
    <w:rPr>
      <w:rFonts w:hAnsi="宋体" w:cs="宋体"/>
      <w:sz w:val="24"/>
      <w:szCs w:val="20"/>
    </w:rPr>
  </w:style>
  <w:style w:type="paragraph" w:customStyle="1" w:styleId="2015021">
    <w:name w:val="样式 正文文本缩进 2 + 小四 黑色 段后: 0 磅 行距: 1.5 倍行距 左  0 字符 首行缩进:  2 字符1"/>
    <w:basedOn w:val="23"/>
    <w:pPr>
      <w:ind w:firstLineChars="200" w:firstLine="200"/>
    </w:pPr>
    <w:rPr>
      <w:rFonts w:cs="宋体"/>
      <w:color w:val="000000"/>
      <w:sz w:val="24"/>
      <w:szCs w:val="20"/>
    </w:rPr>
  </w:style>
  <w:style w:type="paragraph" w:customStyle="1" w:styleId="151515">
    <w:name w:val="样式 样式 小四 行距: 1.5 倍行距 首行缩进:  1.5 字符 + 首行缩进:  1.5 字符"/>
    <w:basedOn w:val="15150"/>
  </w:style>
  <w:style w:type="paragraph" w:customStyle="1" w:styleId="affffffffff2">
    <w:name w:val="环龙公司文本正文"/>
    <w:pPr>
      <w:widowControl w:val="0"/>
      <w:spacing w:line="360" w:lineRule="auto"/>
      <w:ind w:firstLineChars="200" w:firstLine="200"/>
      <w:jc w:val="both"/>
    </w:pPr>
    <w:rPr>
      <w:kern w:val="2"/>
      <w:sz w:val="24"/>
    </w:rPr>
  </w:style>
  <w:style w:type="paragraph" w:customStyle="1" w:styleId="011526">
    <w:name w:val="样式 小四 加宽量  0.1 磅 行距: 1.5 倍行距 首行缩进:  2 字符"/>
    <w:basedOn w:val="a0"/>
    <w:pPr>
      <w:spacing w:line="520" w:lineRule="exact"/>
      <w:ind w:firstLineChars="200" w:firstLine="200"/>
    </w:pPr>
    <w:rPr>
      <w:rFonts w:cs="宋体"/>
      <w:spacing w:val="2"/>
      <w:sz w:val="24"/>
      <w:szCs w:val="20"/>
    </w:rPr>
  </w:style>
  <w:style w:type="paragraph" w:customStyle="1" w:styleId="2fa">
    <w:name w:val="样式 首行缩进:  2 字符 字距调整八号"/>
    <w:basedOn w:val="a0"/>
    <w:pPr>
      <w:spacing w:line="520" w:lineRule="exact"/>
      <w:ind w:firstLineChars="200" w:firstLine="560"/>
      <w:jc w:val="left"/>
    </w:pPr>
    <w:rPr>
      <w:rFonts w:ascii="Calibri" w:hAnsi="Calibri"/>
      <w:sz w:val="24"/>
    </w:rPr>
  </w:style>
  <w:style w:type="paragraph" w:customStyle="1" w:styleId="241">
    <w:name w:val="样式 首行缩进:  2 字符4"/>
    <w:basedOn w:val="a0"/>
    <w:pPr>
      <w:widowControl/>
      <w:spacing w:line="360" w:lineRule="auto"/>
      <w:ind w:firstLineChars="200" w:firstLine="560"/>
      <w:textAlignment w:val="baseline"/>
    </w:pPr>
    <w:rPr>
      <w:rFonts w:cs="宋体"/>
      <w:kern w:val="0"/>
      <w:szCs w:val="20"/>
      <w:u w:color="000000"/>
    </w:rPr>
  </w:style>
  <w:style w:type="paragraph" w:customStyle="1" w:styleId="099151">
    <w:name w:val="样式 小四 黑色 首行缩进:  0.99 厘米 行距: 1.5 倍行距"/>
    <w:basedOn w:val="a0"/>
    <w:pPr>
      <w:spacing w:line="520" w:lineRule="exact"/>
      <w:ind w:firstLine="561"/>
    </w:pPr>
    <w:rPr>
      <w:rFonts w:cs="宋体"/>
      <w:color w:val="000000"/>
      <w:sz w:val="24"/>
      <w:szCs w:val="20"/>
    </w:rPr>
  </w:style>
  <w:style w:type="paragraph" w:customStyle="1" w:styleId="230">
    <w:name w:val="正文文本缩进 23"/>
    <w:basedOn w:val="a0"/>
    <w:pPr>
      <w:adjustRightInd w:val="0"/>
      <w:ind w:firstLine="560"/>
      <w:textAlignment w:val="baseline"/>
    </w:pPr>
    <w:rPr>
      <w:szCs w:val="20"/>
    </w:rPr>
  </w:style>
  <w:style w:type="paragraph" w:customStyle="1" w:styleId="3150">
    <w:name w:val="样式 标题 3 + 宋体 黑色 行距: 1.5 倍行距"/>
    <w:basedOn w:val="30"/>
    <w:pPr>
      <w:spacing w:before="0" w:after="0" w:line="560" w:lineRule="exact"/>
      <w:ind w:firstLineChars="200" w:firstLine="562"/>
    </w:pPr>
    <w:rPr>
      <w:rFonts w:ascii="宋体"/>
      <w:sz w:val="28"/>
      <w:szCs w:val="24"/>
    </w:rPr>
  </w:style>
  <w:style w:type="paragraph" w:customStyle="1" w:styleId="08601151">
    <w:name w:val="样式 小四 首行缩进:  0.86 厘米 加宽量  0.1 磅 行距: 1.5 倍行距"/>
    <w:basedOn w:val="a0"/>
    <w:pPr>
      <w:spacing w:line="520" w:lineRule="exact"/>
      <w:ind w:firstLine="488"/>
    </w:pPr>
    <w:rPr>
      <w:rFonts w:cs="宋体"/>
      <w:spacing w:val="2"/>
      <w:sz w:val="24"/>
      <w:szCs w:val="20"/>
    </w:rPr>
  </w:style>
  <w:style w:type="paragraph" w:customStyle="1" w:styleId="a50">
    <w:name w:val="a5"/>
    <w:basedOn w:val="a0"/>
    <w:pPr>
      <w:widowControl/>
      <w:spacing w:before="100" w:beforeAutospacing="1" w:after="100" w:afterAutospacing="1" w:line="520" w:lineRule="exact"/>
      <w:jc w:val="left"/>
    </w:pPr>
    <w:rPr>
      <w:rFonts w:ascii="宋体" w:hAnsi="宋体"/>
      <w:kern w:val="0"/>
      <w:sz w:val="24"/>
      <w:szCs w:val="20"/>
    </w:rPr>
  </w:style>
  <w:style w:type="paragraph" w:customStyle="1" w:styleId="228">
    <w:name w:val="样式 我的标题2 + 行距: 固定值 28 磅"/>
    <w:basedOn w:val="2f2"/>
    <w:pPr>
      <w:spacing w:afterLines="0" w:line="560" w:lineRule="exact"/>
    </w:pPr>
    <w:rPr>
      <w:rFonts w:cs="宋体"/>
      <w:bCs/>
      <w:szCs w:val="20"/>
    </w:rPr>
  </w:style>
  <w:style w:type="paragraph" w:customStyle="1" w:styleId="xl82">
    <w:name w:val="xl82"/>
    <w:basedOn w:val="a0"/>
    <w:pPr>
      <w:widowControl/>
      <w:pBdr>
        <w:top w:val="single" w:sz="8"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2TimesNewRomanGB23120">
    <w:name w:val="样式 标题 2 + (西文) Times New Roman (中文) 仿宋_GB2312 小四 黑色 段前: 0 磅..."/>
    <w:basedOn w:val="afffffff6"/>
    <w:pPr>
      <w:spacing w:line="360" w:lineRule="auto"/>
    </w:pPr>
    <w:rPr>
      <w:rFonts w:eastAsia="仿宋_GB2312" w:cs="宋体"/>
      <w:bCs/>
      <w:color w:val="000000"/>
      <w:sz w:val="24"/>
    </w:rPr>
  </w:style>
  <w:style w:type="paragraph" w:customStyle="1" w:styleId="1ff">
    <w:name w:val="样式 标题 1 + (中文) 黑体 小二 非加粗"/>
    <w:basedOn w:val="1"/>
    <w:pPr>
      <w:keepNext w:val="0"/>
      <w:keepLines w:val="0"/>
      <w:pageBreakBefore/>
      <w:spacing w:after="0" w:line="360" w:lineRule="auto"/>
      <w:jc w:val="center"/>
    </w:pPr>
    <w:rPr>
      <w:rFonts w:eastAsia="黑体"/>
      <w:b w:val="0"/>
      <w:bCs w:val="0"/>
      <w:sz w:val="36"/>
    </w:rPr>
  </w:style>
  <w:style w:type="paragraph" w:customStyle="1" w:styleId="Normal">
    <w:name w:val="正文Normal"/>
    <w:basedOn w:val="a0"/>
    <w:pPr>
      <w:adjustRightInd w:val="0"/>
      <w:snapToGrid w:val="0"/>
      <w:spacing w:line="450" w:lineRule="atLeast"/>
    </w:pPr>
    <w:rPr>
      <w:rFonts w:ascii="宋体"/>
      <w:snapToGrid w:val="0"/>
      <w:spacing w:val="10"/>
      <w:kern w:val="0"/>
      <w:szCs w:val="20"/>
    </w:rPr>
  </w:style>
  <w:style w:type="paragraph" w:customStyle="1" w:styleId="3f0">
    <w:name w:val="样式3（代正文）"/>
    <w:pPr>
      <w:widowControl w:val="0"/>
      <w:adjustRightInd w:val="0"/>
      <w:snapToGrid w:val="0"/>
      <w:spacing w:line="600" w:lineRule="exact"/>
      <w:ind w:firstLineChars="200" w:firstLine="560"/>
    </w:pPr>
    <w:rPr>
      <w:snapToGrid w:val="0"/>
      <w:color w:val="FF00FF"/>
      <w:sz w:val="28"/>
    </w:rPr>
  </w:style>
  <w:style w:type="paragraph" w:customStyle="1" w:styleId="124">
    <w:name w:val="标题 12"/>
    <w:basedOn w:val="1c"/>
    <w:next w:val="1c"/>
    <w:pPr>
      <w:adjustRightInd w:val="0"/>
      <w:spacing w:beforeLines="0" w:before="360" w:afterLines="0" w:after="360" w:line="315" w:lineRule="atLeast"/>
      <w:ind w:firstLineChars="0" w:firstLine="0"/>
      <w:jc w:val="left"/>
      <w:textAlignment w:val="baseline"/>
    </w:pPr>
    <w:rPr>
      <w:rFonts w:ascii="宋体"/>
      <w:b/>
      <w:kern w:val="0"/>
      <w:sz w:val="60"/>
      <w:szCs w:val="20"/>
    </w:rPr>
  </w:style>
  <w:style w:type="paragraph" w:customStyle="1" w:styleId="CharCharCharCharCharCharCharCharCharC2">
    <w:name w:val="样式 纯文本孙普文字 Char Char CharCharChar Char纯文本 Char Char Char C...2"/>
    <w:basedOn w:val="ae"/>
    <w:pPr>
      <w:spacing w:line="520" w:lineRule="exact"/>
    </w:pPr>
    <w:rPr>
      <w:rFonts w:ascii="Times New Roman" w:hAnsi="Times New Roman"/>
      <w:color w:val="000000"/>
      <w:sz w:val="24"/>
    </w:rPr>
  </w:style>
  <w:style w:type="paragraph" w:customStyle="1" w:styleId="affffffffff3">
    <w:name w:val="表格（报告书）"/>
    <w:next w:val="a0"/>
    <w:pPr>
      <w:jc w:val="center"/>
    </w:pPr>
    <w:rPr>
      <w:kern w:val="2"/>
      <w:sz w:val="21"/>
      <w:szCs w:val="21"/>
    </w:rPr>
  </w:style>
  <w:style w:type="paragraph" w:customStyle="1" w:styleId="44CharChar4">
    <w:name w:val="样式 标题 4标题 4 Char Char常用标题 4 +"/>
    <w:basedOn w:val="4"/>
    <w:pPr>
      <w:spacing w:before="0" w:after="0" w:line="520" w:lineRule="exact"/>
    </w:pPr>
    <w:rPr>
      <w:rFonts w:eastAsia="宋体"/>
      <w:b w:val="0"/>
      <w:kern w:val="0"/>
      <w:sz w:val="24"/>
    </w:rPr>
  </w:style>
  <w:style w:type="paragraph" w:customStyle="1" w:styleId="CharCharCharCharCharCharCharCharCharC7">
    <w:name w:val="样式 纯文本孙普文字 Char Char CharCharChar Char纯文本 Char Char Char C...7"/>
    <w:basedOn w:val="ae"/>
    <w:pPr>
      <w:spacing w:line="520" w:lineRule="exact"/>
      <w:ind w:firstLine="573"/>
    </w:pPr>
    <w:rPr>
      <w:rFonts w:ascii="Times New Roman" w:hAnsi="Times New Roman" w:cs="宋体"/>
      <w:color w:val="000000"/>
      <w:sz w:val="24"/>
    </w:rPr>
  </w:style>
  <w:style w:type="paragraph" w:customStyle="1" w:styleId="xl49">
    <w:name w:val="xl49"/>
    <w:basedOn w:val="a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1ff0">
    <w:name w:val="表中文字1"/>
    <w:pPr>
      <w:widowControl w:val="0"/>
      <w:jc w:val="center"/>
    </w:pPr>
    <w:rPr>
      <w:rFonts w:ascii="宋体" w:hAnsi="宋体"/>
      <w:bCs/>
      <w:kern w:val="2"/>
      <w:sz w:val="21"/>
    </w:rPr>
  </w:style>
  <w:style w:type="paragraph" w:customStyle="1" w:styleId="affffffffff4">
    <w:name w:val="样式 宋体 小四"/>
    <w:basedOn w:val="a0"/>
    <w:pPr>
      <w:spacing w:line="520" w:lineRule="exact"/>
      <w:jc w:val="center"/>
    </w:pPr>
    <w:rPr>
      <w:rFonts w:ascii="宋体" w:hAnsi="宋体"/>
      <w:sz w:val="24"/>
      <w:szCs w:val="20"/>
    </w:rPr>
  </w:style>
  <w:style w:type="paragraph" w:customStyle="1" w:styleId="161">
    <w:name w:val="16"/>
    <w:basedOn w:val="a0"/>
    <w:pPr>
      <w:widowControl/>
      <w:snapToGrid w:val="0"/>
      <w:spacing w:before="156" w:after="100" w:afterAutospacing="1" w:line="540" w:lineRule="atLeast"/>
      <w:ind w:hanging="1"/>
    </w:pPr>
    <w:rPr>
      <w:kern w:val="0"/>
      <w:szCs w:val="28"/>
    </w:rPr>
  </w:style>
  <w:style w:type="paragraph" w:customStyle="1" w:styleId="4TimesNewRoman1">
    <w:name w:val="样式 样式4 + Times New Roman 小四1"/>
    <w:basedOn w:val="49"/>
    <w:pPr>
      <w:keepNext/>
      <w:keepLines/>
      <w:spacing w:line="520" w:lineRule="exact"/>
      <w:jc w:val="both"/>
      <w:outlineLvl w:val="2"/>
    </w:pPr>
    <w:rPr>
      <w:kern w:val="0"/>
      <w:sz w:val="24"/>
      <w:szCs w:val="20"/>
    </w:rPr>
  </w:style>
  <w:style w:type="paragraph" w:customStyle="1" w:styleId="CharChar40">
    <w:name w:val="Char Char4"/>
    <w:basedOn w:val="a0"/>
    <w:pPr>
      <w:spacing w:beforeLines="100" w:afterLines="50" w:line="600" w:lineRule="exact"/>
      <w:ind w:firstLineChars="200" w:firstLine="200"/>
    </w:pPr>
    <w:rPr>
      <w:rFonts w:eastAsia="黑体"/>
    </w:rPr>
  </w:style>
  <w:style w:type="paragraph" w:customStyle="1" w:styleId="242">
    <w:name w:val="样式 (符号) 宋体 小四 行距: 固定值 24 磅 首行缩进:  2 字符"/>
    <w:basedOn w:val="a0"/>
    <w:pPr>
      <w:spacing w:line="520" w:lineRule="exact"/>
      <w:ind w:firstLineChars="200" w:firstLine="200"/>
    </w:pPr>
    <w:rPr>
      <w:rFonts w:hAnsi="宋体" w:cs="宋体"/>
      <w:sz w:val="24"/>
      <w:szCs w:val="20"/>
    </w:rPr>
  </w:style>
  <w:style w:type="paragraph" w:customStyle="1" w:styleId="086150">
    <w:name w:val="样式 小四 左 首行缩进:  0.86 厘米 行距: 1.5 倍行距"/>
    <w:basedOn w:val="a0"/>
    <w:pPr>
      <w:spacing w:line="520" w:lineRule="exact"/>
      <w:ind w:firstLine="488"/>
      <w:jc w:val="left"/>
    </w:pPr>
    <w:rPr>
      <w:rFonts w:cs="宋体"/>
      <w:sz w:val="24"/>
      <w:szCs w:val="20"/>
    </w:rPr>
  </w:style>
  <w:style w:type="paragraph" w:customStyle="1" w:styleId="2fb">
    <w:name w:val="样式 正文文本 2 + 黑体 小四"/>
    <w:basedOn w:val="25"/>
    <w:pPr>
      <w:spacing w:line="240" w:lineRule="auto"/>
    </w:pPr>
    <w:rPr>
      <w:rFonts w:ascii="黑体" w:eastAsia="黑体" w:hAnsi="黑体"/>
      <w:color w:val="auto"/>
      <w:sz w:val="21"/>
    </w:rPr>
  </w:style>
  <w:style w:type="paragraph" w:customStyle="1" w:styleId="3MB3h33rdlevelH3Head3level3PIM3Level3Head3">
    <w:name w:val="样式 标题 3头MB3h33rd levelH3Head 3level_3PIM 3Level 3 Head...3"/>
    <w:basedOn w:val="30"/>
    <w:pPr>
      <w:spacing w:before="120" w:after="120" w:line="520" w:lineRule="exact"/>
    </w:pPr>
    <w:rPr>
      <w:kern w:val="28"/>
      <w:sz w:val="28"/>
    </w:rPr>
  </w:style>
  <w:style w:type="paragraph" w:customStyle="1" w:styleId="101151">
    <w:name w:val="样式 标题 1 + 居中 加宽量  0.1 磅 行距: 1.5 倍行距"/>
    <w:basedOn w:val="1"/>
    <w:pPr>
      <w:pageBreakBefore/>
      <w:spacing w:line="360" w:lineRule="auto"/>
      <w:jc w:val="center"/>
    </w:pPr>
    <w:rPr>
      <w:rFonts w:cs="宋体"/>
      <w:spacing w:val="2"/>
      <w:szCs w:val="20"/>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10129">
    <w:name w:val="样式 宋体 四号 蓝色 首行缩进:  1.01 厘米 行距: 固定值 29 磅"/>
    <w:basedOn w:val="a0"/>
    <w:pPr>
      <w:spacing w:beforeLines="50" w:afterLines="50" w:line="240" w:lineRule="atLeast"/>
    </w:pPr>
    <w:rPr>
      <w:rFonts w:ascii="宋体" w:hAnsi="宋体" w:cs="宋体"/>
      <w:sz w:val="21"/>
      <w:szCs w:val="21"/>
    </w:rPr>
  </w:style>
  <w:style w:type="paragraph" w:customStyle="1" w:styleId="085154">
    <w:name w:val="样式 小四 加粗 黑色 下划线 首行缩进:  0.85 厘米 行距: 1.5 倍行距"/>
    <w:basedOn w:val="a0"/>
    <w:pPr>
      <w:spacing w:line="520" w:lineRule="exact"/>
      <w:ind w:firstLine="482"/>
    </w:pPr>
    <w:rPr>
      <w:rFonts w:cs="宋体"/>
      <w:b/>
      <w:bCs/>
      <w:color w:val="000000"/>
      <w:sz w:val="24"/>
      <w:szCs w:val="20"/>
      <w:u w:val="single"/>
    </w:rPr>
  </w:style>
  <w:style w:type="paragraph" w:customStyle="1" w:styleId="xl56">
    <w:name w:val="xl56"/>
    <w:basedOn w:val="a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kern w:val="0"/>
      <w:sz w:val="24"/>
    </w:rPr>
  </w:style>
  <w:style w:type="paragraph" w:customStyle="1" w:styleId="xl23">
    <w:name w:val="xl23"/>
    <w:basedOn w:val="a0"/>
    <w:pPr>
      <w:widowControl/>
      <w:pBdr>
        <w:bottom w:val="single" w:sz="4" w:space="0" w:color="auto"/>
        <w:right w:val="single" w:sz="4" w:space="0" w:color="auto"/>
      </w:pBdr>
      <w:spacing w:before="100" w:beforeAutospacing="1" w:after="100" w:afterAutospacing="1"/>
      <w:jc w:val="center"/>
    </w:pPr>
    <w:rPr>
      <w:rFonts w:eastAsia="Arial Unicode MS"/>
      <w:color w:val="000000"/>
      <w:kern w:val="0"/>
      <w:sz w:val="18"/>
      <w:szCs w:val="18"/>
    </w:rPr>
  </w:style>
  <w:style w:type="paragraph" w:customStyle="1" w:styleId="font10">
    <w:name w:val="font10"/>
    <w:basedOn w:val="a0"/>
    <w:pPr>
      <w:widowControl/>
      <w:spacing w:before="100" w:beforeAutospacing="1" w:after="100" w:afterAutospacing="1"/>
      <w:jc w:val="left"/>
    </w:pPr>
    <w:rPr>
      <w:rFonts w:ascii="黑体" w:eastAsia="黑体" w:hAnsi="宋体" w:hint="eastAsia"/>
      <w:b/>
      <w:bCs/>
      <w:kern w:val="0"/>
      <w:szCs w:val="28"/>
    </w:rPr>
  </w:style>
  <w:style w:type="paragraph" w:customStyle="1" w:styleId="2220">
    <w:name w:val="样式 小四 字距调整四号 行距: 固定值 22 磅 首行缩进:  2 字符"/>
    <w:basedOn w:val="a0"/>
    <w:qFormat/>
    <w:pPr>
      <w:spacing w:line="520" w:lineRule="exact"/>
      <w:ind w:firstLineChars="200" w:firstLine="200"/>
    </w:pPr>
    <w:rPr>
      <w:rFonts w:ascii="Calibri" w:hAnsi="Calibri" w:cs="宋体"/>
      <w:kern w:val="28"/>
      <w:sz w:val="24"/>
    </w:rPr>
  </w:style>
  <w:style w:type="paragraph" w:customStyle="1" w:styleId="Style2">
    <w:name w:val="Style2"/>
    <w:basedOn w:val="a0"/>
    <w:pPr>
      <w:adjustRightInd w:val="0"/>
      <w:jc w:val="left"/>
    </w:pPr>
    <w:rPr>
      <w:rFonts w:ascii="黑体" w:eastAsia="黑体"/>
      <w:kern w:val="0"/>
      <w:sz w:val="24"/>
    </w:rPr>
  </w:style>
  <w:style w:type="paragraph" w:customStyle="1" w:styleId="011527">
    <w:name w:val="样式 (中文) 黑体 小四 居中 加宽量  0.1 磅 行距: 1.5 倍行距 首行缩进:  2 字符"/>
    <w:basedOn w:val="a0"/>
    <w:pPr>
      <w:spacing w:beforeLines="50" w:line="360" w:lineRule="auto"/>
      <w:ind w:firstLineChars="200" w:firstLine="200"/>
      <w:jc w:val="center"/>
    </w:pPr>
    <w:rPr>
      <w:rFonts w:eastAsia="黑体" w:cs="宋体"/>
      <w:spacing w:val="2"/>
      <w:sz w:val="24"/>
      <w:szCs w:val="20"/>
    </w:rPr>
  </w:style>
  <w:style w:type="paragraph" w:customStyle="1" w:styleId="xl60">
    <w:name w:val="xl60"/>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4"/>
    </w:rPr>
  </w:style>
  <w:style w:type="paragraph" w:customStyle="1" w:styleId="TimesNewRoman09715">
    <w:name w:val="样式 正文文字缩进 + Times New Roman 小四 首行缩进:  0.97 厘米 行距: 1.5 倍行距"/>
    <w:basedOn w:val="afffffff7"/>
    <w:pPr>
      <w:widowControl/>
      <w:adjustRightInd/>
      <w:spacing w:line="520" w:lineRule="exact"/>
      <w:ind w:firstLine="550"/>
    </w:pPr>
    <w:rPr>
      <w:rFonts w:cs="宋体"/>
      <w:color w:val="000000"/>
      <w:spacing w:val="2"/>
      <w:kern w:val="0"/>
      <w:sz w:val="24"/>
      <w:u w:color="000000"/>
    </w:rPr>
  </w:style>
  <w:style w:type="paragraph" w:customStyle="1" w:styleId="affffffffff5">
    <w:name w:val="样式 五号 黑色 居中"/>
    <w:basedOn w:val="a0"/>
    <w:pPr>
      <w:jc w:val="center"/>
    </w:pPr>
    <w:rPr>
      <w:rFonts w:cs="宋体"/>
      <w:color w:val="000000"/>
      <w:sz w:val="21"/>
      <w:szCs w:val="20"/>
    </w:rPr>
  </w:style>
  <w:style w:type="paragraph" w:customStyle="1" w:styleId="22XWH2H2111112SeSeChar22h2">
    <w:name w:val="样式 标题 2标题 2XWH2H21节标题 1.11.1标题2Se节名Se Char二处标题 2标题2h2..."/>
    <w:basedOn w:val="2"/>
    <w:pPr>
      <w:spacing w:line="520" w:lineRule="exact"/>
    </w:pPr>
    <w:rPr>
      <w:rFonts w:ascii="Times New Roman" w:hAnsi="Times New Roman"/>
      <w:b w:val="0"/>
      <w:color w:val="000000"/>
      <w:sz w:val="28"/>
    </w:rPr>
  </w:style>
  <w:style w:type="paragraph" w:customStyle="1" w:styleId="305052805">
    <w:name w:val="样式 样式 标题 3 + (中文) 黑体 段前: 0.5 行 段后: 0.5 行 行距: 固定值 28 磅 + 段前: 0.5 ..."/>
    <w:basedOn w:val="a0"/>
    <w:pPr>
      <w:keepNext/>
      <w:keepLines/>
      <w:spacing w:line="520" w:lineRule="exact"/>
      <w:jc w:val="left"/>
      <w:outlineLvl w:val="2"/>
    </w:pPr>
    <w:rPr>
      <w:rFonts w:eastAsia="楷体_GB2312"/>
      <w:b/>
      <w:bCs/>
      <w:color w:val="000000"/>
      <w:szCs w:val="28"/>
    </w:rPr>
  </w:style>
  <w:style w:type="paragraph" w:customStyle="1" w:styleId="3f1">
    <w:name w:val="样式 样式 正文文本 3 + 字距调整四号 +"/>
    <w:basedOn w:val="a0"/>
    <w:pPr>
      <w:spacing w:line="360" w:lineRule="exact"/>
      <w:jc w:val="center"/>
    </w:pPr>
    <w:rPr>
      <w:b/>
      <w:bCs/>
      <w:color w:val="0000FF"/>
      <w:kern w:val="28"/>
      <w:sz w:val="21"/>
      <w:szCs w:val="16"/>
    </w:rPr>
  </w:style>
  <w:style w:type="paragraph" w:customStyle="1" w:styleId="Char47">
    <w:name w:val="Char47"/>
    <w:basedOn w:val="a0"/>
    <w:next w:val="18"/>
    <w:pPr>
      <w:spacing w:line="360" w:lineRule="auto"/>
      <w:ind w:firstLineChars="200" w:firstLine="200"/>
    </w:pPr>
    <w:rPr>
      <w:rFonts w:ascii="宋体" w:hAnsi="宋体" w:cs="宋体"/>
      <w:sz w:val="24"/>
    </w:rPr>
  </w:style>
  <w:style w:type="paragraph" w:customStyle="1" w:styleId="li-chushe">
    <w:name w:val="li-正文(chushe)"/>
    <w:basedOn w:val="a0"/>
    <w:pPr>
      <w:spacing w:line="540" w:lineRule="exact"/>
    </w:pPr>
  </w:style>
  <w:style w:type="paragraph" w:customStyle="1" w:styleId="xl66">
    <w:name w:val="xl66"/>
    <w:basedOn w:val="a0"/>
    <w:pPr>
      <w:widowControl/>
      <w:pBdr>
        <w:top w:val="single" w:sz="4" w:space="0" w:color="auto"/>
        <w:left w:val="single" w:sz="8" w:space="0" w:color="auto"/>
        <w:bottom w:val="single" w:sz="8" w:space="0" w:color="auto"/>
      </w:pBdr>
      <w:spacing w:before="100" w:beforeAutospacing="1" w:after="100" w:afterAutospacing="1"/>
      <w:jc w:val="left"/>
    </w:pPr>
    <w:rPr>
      <w:rFonts w:ascii="宋体" w:hAnsi="宋体"/>
      <w:kern w:val="0"/>
      <w:sz w:val="24"/>
    </w:rPr>
  </w:style>
  <w:style w:type="paragraph" w:customStyle="1" w:styleId="affffffffff6">
    <w:name w:val="文章附标题"/>
    <w:basedOn w:val="a0"/>
    <w:pPr>
      <w:widowControl/>
      <w:spacing w:before="187" w:after="175" w:line="374" w:lineRule="atLeast"/>
      <w:jc w:val="center"/>
      <w:textAlignment w:val="baseline"/>
    </w:pPr>
    <w:rPr>
      <w:color w:val="000000"/>
      <w:kern w:val="0"/>
      <w:sz w:val="36"/>
      <w:szCs w:val="20"/>
      <w:u w:color="000000"/>
    </w:rPr>
  </w:style>
  <w:style w:type="paragraph" w:customStyle="1" w:styleId="3MB3h33rdlevelH3Head3level3PIM3Level3Head0">
    <w:name w:val="样式 样式 标题 3头MB3h33rd levelH3Head 3level_3PIM 3Level 3 Head... + 段..."/>
    <w:basedOn w:val="3MB3h33rdlevelH3Head3level3PIM3Level3Head"/>
    <w:pPr>
      <w:spacing w:before="0" w:after="0"/>
    </w:pPr>
    <w:rPr>
      <w:b/>
    </w:rPr>
  </w:style>
  <w:style w:type="paragraph" w:customStyle="1" w:styleId="gsf25">
    <w:name w:val="样式 gsf样式 汉鼎简书宋 小四 行距: 固定值 25 磅 + 两端对齐"/>
    <w:basedOn w:val="a0"/>
    <w:pPr>
      <w:adjustRightInd w:val="0"/>
      <w:snapToGrid w:val="0"/>
      <w:spacing w:line="540" w:lineRule="atLeast"/>
    </w:pPr>
    <w:rPr>
      <w:rFonts w:ascii="宋体" w:eastAsia="汉鼎简书宋" w:hAnsi="宋体" w:cs="宋体"/>
      <w:sz w:val="24"/>
      <w:szCs w:val="20"/>
    </w:rPr>
  </w:style>
  <w:style w:type="paragraph" w:customStyle="1" w:styleId="CharChar6">
    <w:name w:val="样式 题注 + 居中 Char Char"/>
    <w:basedOn w:val="a8"/>
    <w:next w:val="a0"/>
    <w:pPr>
      <w:spacing w:before="120" w:after="120"/>
    </w:pPr>
    <w:rPr>
      <w:rFonts w:ascii="Times New Roman" w:eastAsia="宋体" w:hAnsi="Times New Roman"/>
      <w:b/>
      <w:sz w:val="24"/>
    </w:rPr>
  </w:style>
  <w:style w:type="paragraph" w:customStyle="1" w:styleId="086151">
    <w:name w:val="样式 小四 黑色 首行缩进:  0.86 厘米 行距: 1.5 倍行距"/>
    <w:basedOn w:val="a0"/>
    <w:pPr>
      <w:spacing w:line="520" w:lineRule="exact"/>
      <w:ind w:firstLine="488"/>
    </w:pPr>
    <w:rPr>
      <w:rFonts w:cs="宋体"/>
      <w:color w:val="000000"/>
      <w:sz w:val="24"/>
      <w:szCs w:val="20"/>
    </w:rPr>
  </w:style>
  <w:style w:type="paragraph" w:customStyle="1" w:styleId="024">
    <w:name w:val="样式 文本正文 + 宋体 四号 两端对齐 段后: 0 磅 行距: 固定值 24 磅"/>
    <w:basedOn w:val="a0"/>
    <w:pPr>
      <w:widowControl/>
      <w:spacing w:line="480" w:lineRule="exact"/>
      <w:ind w:firstLineChars="200" w:firstLine="560"/>
    </w:pPr>
    <w:rPr>
      <w:rFonts w:ascii="宋体" w:eastAsia="仿宋_GB2312" w:hAnsi="宋体" w:cs="宋体"/>
      <w:color w:val="000000"/>
      <w:kern w:val="0"/>
      <w:szCs w:val="20"/>
      <w:lang w:eastAsia="en-US" w:bidi="en-US"/>
    </w:rPr>
  </w:style>
  <w:style w:type="paragraph" w:customStyle="1" w:styleId="1ff1">
    <w:name w:val="批注主题1"/>
    <w:basedOn w:val="ab"/>
    <w:next w:val="ab"/>
    <w:pPr>
      <w:adjustRightInd w:val="0"/>
      <w:snapToGrid w:val="0"/>
      <w:spacing w:line="540" w:lineRule="atLeast"/>
    </w:pPr>
    <w:rPr>
      <w:b/>
      <w:bCs/>
      <w:sz w:val="28"/>
    </w:rPr>
  </w:style>
  <w:style w:type="paragraph" w:customStyle="1" w:styleId="2221">
    <w:name w:val="样式 小四 行距: 固定值 22 磅 首行缩进:  2 字符"/>
    <w:basedOn w:val="a0"/>
    <w:qFormat/>
    <w:pPr>
      <w:spacing w:line="520" w:lineRule="exact"/>
      <w:ind w:firstLineChars="200" w:firstLine="200"/>
    </w:pPr>
    <w:rPr>
      <w:rFonts w:ascii="Calibri" w:hAnsi="Calibri" w:cs="宋体"/>
      <w:sz w:val="24"/>
      <w:szCs w:val="20"/>
    </w:rPr>
  </w:style>
  <w:style w:type="paragraph" w:customStyle="1" w:styleId="15057150">
    <w:name w:val="样式 小四 黑色 行距: 1.5 倍行距 左  0.57 字符 首行缩进:  1.5 字符"/>
    <w:basedOn w:val="a0"/>
    <w:pPr>
      <w:spacing w:line="520" w:lineRule="exact"/>
      <w:ind w:leftChars="57" w:left="57" w:firstLineChars="150" w:firstLine="150"/>
    </w:pPr>
    <w:rPr>
      <w:rFonts w:cs="宋体"/>
      <w:color w:val="000000"/>
      <w:sz w:val="24"/>
      <w:szCs w:val="20"/>
    </w:rPr>
  </w:style>
  <w:style w:type="paragraph" w:customStyle="1" w:styleId="1526">
    <w:name w:val="样式 (中文) 黑体 小四 黑色 行距: 1.5 倍行距 首行缩进:  2 字符"/>
    <w:basedOn w:val="a0"/>
    <w:pPr>
      <w:spacing w:line="520" w:lineRule="exact"/>
      <w:ind w:firstLineChars="200" w:firstLine="200"/>
    </w:pPr>
    <w:rPr>
      <w:rFonts w:eastAsia="黑体" w:cs="宋体"/>
      <w:color w:val="000000"/>
      <w:sz w:val="24"/>
      <w:szCs w:val="20"/>
    </w:rPr>
  </w:style>
  <w:style w:type="paragraph" w:customStyle="1" w:styleId="reader-word-layerreader-word-s1-6reader-word-s1-10">
    <w:name w:val="reader-word-layer reader-word-s1-6 reader-word-s1-10"/>
    <w:basedOn w:val="a0"/>
    <w:pPr>
      <w:widowControl/>
      <w:spacing w:before="100" w:beforeAutospacing="1" w:after="100" w:afterAutospacing="1"/>
      <w:jc w:val="left"/>
    </w:pPr>
    <w:rPr>
      <w:rFonts w:ascii="宋体" w:hAnsi="宋体" w:cs="宋体"/>
      <w:kern w:val="0"/>
      <w:sz w:val="24"/>
    </w:rPr>
  </w:style>
  <w:style w:type="paragraph" w:customStyle="1" w:styleId="CharCharCharCharCharChar1CharCharChar1CharCharCharCharCharCharChar">
    <w:name w:val="Char Char Char Char Char Char1 Char Char Char1 Char Char Char Char Char Char Char"/>
    <w:basedOn w:val="a0"/>
    <w:pPr>
      <w:spacing w:line="360" w:lineRule="auto"/>
      <w:ind w:firstLineChars="200" w:firstLine="200"/>
    </w:pPr>
    <w:rPr>
      <w:rFonts w:ascii="宋体" w:hAnsi="宋体" w:cs="宋体"/>
      <w:b/>
      <w:bCs/>
      <w:kern w:val="44"/>
      <w:sz w:val="32"/>
      <w:szCs w:val="32"/>
    </w:rPr>
  </w:style>
  <w:style w:type="paragraph" w:customStyle="1" w:styleId="xl45">
    <w:name w:val="xl45"/>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CharChar41">
    <w:name w:val="Char Char41"/>
    <w:basedOn w:val="a0"/>
    <w:pPr>
      <w:spacing w:beforeLines="100" w:afterLines="50" w:line="600" w:lineRule="exact"/>
      <w:ind w:firstLineChars="200" w:firstLine="200"/>
    </w:pPr>
    <w:rPr>
      <w:rFonts w:eastAsia="黑体"/>
    </w:rPr>
  </w:style>
  <w:style w:type="paragraph" w:customStyle="1" w:styleId="Char1CharCharChar1">
    <w:name w:val="Char1 Char Char Char1"/>
    <w:basedOn w:val="aa"/>
    <w:pPr>
      <w:adjustRightInd w:val="0"/>
      <w:spacing w:line="436" w:lineRule="exact"/>
      <w:ind w:left="357"/>
      <w:jc w:val="left"/>
      <w:outlineLvl w:val="3"/>
    </w:pPr>
    <w:rPr>
      <w:rFonts w:ascii="Tahoma" w:hAnsi="Tahoma"/>
      <w:b/>
      <w:sz w:val="24"/>
    </w:rPr>
  </w:style>
  <w:style w:type="paragraph" w:customStyle="1" w:styleId="affffffffff7">
    <w:name w:val="图头"/>
    <w:basedOn w:val="a0"/>
    <w:pPr>
      <w:adjustRightInd w:val="0"/>
      <w:snapToGrid w:val="0"/>
      <w:spacing w:beforeLines="30" w:afterLines="30" w:line="540" w:lineRule="atLeast"/>
      <w:jc w:val="center"/>
    </w:pPr>
    <w:rPr>
      <w:rFonts w:eastAsia="仿宋_GB2312"/>
      <w:sz w:val="21"/>
      <w:szCs w:val="21"/>
    </w:rPr>
  </w:style>
  <w:style w:type="paragraph" w:customStyle="1" w:styleId="Char1CharCharChar2">
    <w:name w:val="Char1 Char Char Char2"/>
    <w:basedOn w:val="aa"/>
    <w:pPr>
      <w:adjustRightInd w:val="0"/>
      <w:spacing w:line="436" w:lineRule="exact"/>
      <w:ind w:left="357"/>
      <w:jc w:val="left"/>
      <w:outlineLvl w:val="3"/>
    </w:pPr>
    <w:rPr>
      <w:rFonts w:ascii="Tahoma" w:hAnsi="Tahoma"/>
      <w:b/>
      <w:sz w:val="24"/>
    </w:rPr>
  </w:style>
  <w:style w:type="paragraph" w:customStyle="1" w:styleId="2fc">
    <w:name w:val="标题2"/>
    <w:basedOn w:val="af8"/>
    <w:pPr>
      <w:spacing w:line="312" w:lineRule="auto"/>
      <w:outlineLvl w:val="1"/>
    </w:pPr>
    <w:rPr>
      <w:rFonts w:eastAsia="华文新魏"/>
      <w:bCs w:val="0"/>
      <w:snapToGrid w:val="0"/>
      <w:kern w:val="28"/>
      <w:sz w:val="44"/>
    </w:rPr>
  </w:style>
  <w:style w:type="paragraph" w:customStyle="1" w:styleId="1215">
    <w:name w:val="样式 1正文段落 + 小四 黑色 两端对齐 首行缩进:  2 字符 行距: 1.5 倍行距"/>
    <w:basedOn w:val="18"/>
    <w:pPr>
      <w:jc w:val="both"/>
    </w:pPr>
    <w:rPr>
      <w:rFonts w:cs="宋体"/>
      <w:color w:val="000000"/>
      <w:sz w:val="24"/>
    </w:rPr>
  </w:style>
  <w:style w:type="paragraph" w:customStyle="1" w:styleId="Style17">
    <w:name w:val="Style17"/>
    <w:basedOn w:val="a0"/>
    <w:pPr>
      <w:adjustRightInd w:val="0"/>
      <w:jc w:val="left"/>
    </w:pPr>
    <w:rPr>
      <w:rFonts w:ascii="宋体"/>
      <w:kern w:val="0"/>
      <w:sz w:val="24"/>
    </w:rPr>
  </w:style>
  <w:style w:type="paragraph" w:customStyle="1" w:styleId="affffffffff8">
    <w:name w:val="表中样式"/>
    <w:basedOn w:val="a0"/>
    <w:pPr>
      <w:widowControl/>
      <w:spacing w:line="240" w:lineRule="exact"/>
      <w:ind w:leftChars="-25" w:left="-52" w:rightChars="-31" w:right="-65"/>
      <w:jc w:val="center"/>
    </w:pPr>
    <w:rPr>
      <w:rFonts w:ascii="宋体" w:hAnsi="宋体" w:cs="宋体"/>
      <w:kern w:val="0"/>
      <w:sz w:val="21"/>
      <w:szCs w:val="21"/>
    </w:rPr>
  </w:style>
  <w:style w:type="paragraph" w:customStyle="1" w:styleId="3152">
    <w:name w:val="样式 标题 3 + (中文) 宋体 小四 黑色 行距: 1.5 倍行距"/>
    <w:basedOn w:val="30"/>
    <w:pPr>
      <w:spacing w:before="0" w:after="0" w:line="520" w:lineRule="exact"/>
    </w:pPr>
    <w:rPr>
      <w:rFonts w:eastAsia="楷体_GB2312" w:cs="宋体"/>
      <w:b w:val="0"/>
      <w:bCs w:val="0"/>
      <w:color w:val="000000"/>
      <w:sz w:val="28"/>
      <w:szCs w:val="20"/>
    </w:rPr>
  </w:style>
  <w:style w:type="paragraph" w:customStyle="1" w:styleId="01150">
    <w:name w:val="样式 小四 黑色 加宽量  0.1 磅 行距: 1.5 倍行距"/>
    <w:basedOn w:val="a0"/>
    <w:pPr>
      <w:spacing w:line="520" w:lineRule="exact"/>
    </w:pPr>
    <w:rPr>
      <w:rFonts w:cs="宋体"/>
      <w:color w:val="000000"/>
      <w:spacing w:val="2"/>
      <w:kern w:val="0"/>
      <w:sz w:val="24"/>
      <w:szCs w:val="20"/>
    </w:rPr>
  </w:style>
  <w:style w:type="paragraph" w:customStyle="1" w:styleId="affffffffff9">
    <w:name w:val="图名"/>
    <w:basedOn w:val="af6"/>
    <w:pPr>
      <w:adjustRightInd/>
      <w:snapToGrid/>
      <w:spacing w:line="240" w:lineRule="exact"/>
      <w:ind w:leftChars="0" w:left="0" w:firstLineChars="0" w:firstLine="0"/>
      <w:jc w:val="center"/>
    </w:pPr>
    <w:rPr>
      <w:rFonts w:ascii="仿宋_GB2312" w:eastAsia="仿宋_GB2312"/>
      <w:sz w:val="21"/>
      <w:szCs w:val="24"/>
    </w:rPr>
  </w:style>
  <w:style w:type="paragraph" w:customStyle="1" w:styleId="p18">
    <w:name w:val="p18"/>
    <w:basedOn w:val="a0"/>
    <w:pPr>
      <w:widowControl/>
      <w:ind w:firstLine="420"/>
    </w:pPr>
    <w:rPr>
      <w:kern w:val="0"/>
      <w:szCs w:val="28"/>
    </w:rPr>
  </w:style>
  <w:style w:type="paragraph" w:customStyle="1" w:styleId="0990115">
    <w:name w:val="样式 小四 黑色 首行缩进:  0.99 厘米 加宽量  0.1 磅 行距: 1.5 倍行距"/>
    <w:basedOn w:val="a0"/>
    <w:pPr>
      <w:spacing w:line="520" w:lineRule="exact"/>
      <w:ind w:firstLine="561"/>
    </w:pPr>
    <w:rPr>
      <w:rFonts w:cs="宋体"/>
      <w:color w:val="000000"/>
      <w:spacing w:val="2"/>
      <w:sz w:val="24"/>
      <w:szCs w:val="20"/>
    </w:rPr>
  </w:style>
  <w:style w:type="paragraph" w:customStyle="1" w:styleId="affffffffffa">
    <w:name w:val="表中正文居中"/>
    <w:pPr>
      <w:spacing w:before="120" w:after="120" w:line="240" w:lineRule="atLeast"/>
      <w:jc w:val="center"/>
    </w:pPr>
    <w:rPr>
      <w:rFonts w:ascii="宋体"/>
      <w:kern w:val="2"/>
      <w:sz w:val="21"/>
    </w:rPr>
  </w:style>
  <w:style w:type="paragraph" w:customStyle="1" w:styleId="08601152">
    <w:name w:val="样式 黑体 小四 左 首行缩进:  0.86 厘米 加宽量  0.1 磅 行距: 1.5 倍行距"/>
    <w:basedOn w:val="a0"/>
    <w:pPr>
      <w:spacing w:line="520" w:lineRule="exact"/>
      <w:ind w:firstLine="488"/>
      <w:jc w:val="left"/>
    </w:pPr>
    <w:rPr>
      <w:rFonts w:ascii="黑体" w:eastAsia="黑体" w:hAnsi="黑体" w:cs="宋体"/>
      <w:spacing w:val="2"/>
      <w:sz w:val="24"/>
      <w:szCs w:val="20"/>
    </w:rPr>
  </w:style>
  <w:style w:type="paragraph" w:customStyle="1" w:styleId="085155">
    <w:name w:val="样式 小四 红色 首行缩进:  0.85 厘米 行距: 1.5 倍行距"/>
    <w:basedOn w:val="a0"/>
    <w:pPr>
      <w:spacing w:line="520" w:lineRule="exact"/>
      <w:ind w:firstLine="482"/>
    </w:pPr>
    <w:rPr>
      <w:rFonts w:cs="宋体"/>
      <w:color w:val="FF0000"/>
      <w:sz w:val="24"/>
      <w:szCs w:val="20"/>
    </w:rPr>
  </w:style>
  <w:style w:type="paragraph" w:customStyle="1" w:styleId="0790115">
    <w:name w:val="样式 小四 首行缩进:  0.79 厘米 加宽量  0.1 磅 行距: 1.5 倍行距"/>
    <w:basedOn w:val="a0"/>
    <w:pPr>
      <w:spacing w:line="520" w:lineRule="exact"/>
      <w:ind w:firstLine="448"/>
    </w:pPr>
    <w:rPr>
      <w:rFonts w:cs="宋体"/>
      <w:spacing w:val="2"/>
      <w:sz w:val="24"/>
      <w:szCs w:val="20"/>
    </w:rPr>
  </w:style>
  <w:style w:type="paragraph" w:customStyle="1" w:styleId="Char411">
    <w:name w:val="Char411"/>
    <w:basedOn w:val="a0"/>
    <w:pPr>
      <w:spacing w:line="360" w:lineRule="auto"/>
      <w:ind w:firstLineChars="200" w:firstLine="200"/>
    </w:pPr>
    <w:rPr>
      <w:rFonts w:ascii="宋体" w:hAnsi="宋体" w:cs="宋体"/>
      <w:sz w:val="24"/>
    </w:rPr>
  </w:style>
  <w:style w:type="paragraph" w:customStyle="1" w:styleId="1527">
    <w:name w:val="样式 宋体 小四 黑色 行距: 1.5 倍行距 首行缩进:  2 字符"/>
    <w:basedOn w:val="a0"/>
    <w:pPr>
      <w:spacing w:line="520" w:lineRule="exact"/>
      <w:ind w:firstLineChars="200" w:firstLine="200"/>
    </w:pPr>
    <w:rPr>
      <w:rFonts w:ascii="宋体" w:hAnsi="宋体" w:cs="宋体"/>
      <w:color w:val="000000"/>
      <w:sz w:val="24"/>
      <w:szCs w:val="20"/>
    </w:rPr>
  </w:style>
  <w:style w:type="paragraph" w:customStyle="1" w:styleId="1ff2">
    <w:name w:val="段落1"/>
    <w:basedOn w:val="a0"/>
    <w:pPr>
      <w:adjustRightInd w:val="0"/>
      <w:spacing w:line="440" w:lineRule="exact"/>
      <w:ind w:firstLineChars="200" w:firstLine="504"/>
      <w:textAlignment w:val="baseline"/>
    </w:pPr>
    <w:rPr>
      <w:bCs/>
      <w:spacing w:val="6"/>
      <w:sz w:val="24"/>
    </w:rPr>
  </w:style>
  <w:style w:type="paragraph" w:customStyle="1" w:styleId="xl85">
    <w:name w:val="xl85"/>
    <w:basedOn w:val="a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CharChar42">
    <w:name w:val="Char Char4"/>
    <w:basedOn w:val="a0"/>
    <w:pPr>
      <w:spacing w:beforeLines="100" w:before="100" w:afterLines="50" w:after="50" w:line="600" w:lineRule="exact"/>
      <w:ind w:firstLineChars="200" w:firstLine="200"/>
    </w:pPr>
    <w:rPr>
      <w:rFonts w:eastAsia="黑体"/>
    </w:rPr>
  </w:style>
  <w:style w:type="paragraph" w:customStyle="1" w:styleId="1ff3">
    <w:name w:val="标题1"/>
    <w:basedOn w:val="1"/>
    <w:pPr>
      <w:spacing w:before="0" w:after="0" w:line="520" w:lineRule="exact"/>
      <w:jc w:val="left"/>
    </w:pPr>
    <w:rPr>
      <w:rFonts w:ascii="Arial" w:eastAsia="黑体" w:hAnsi="Arial" w:cs="宋体"/>
      <w:bCs w:val="0"/>
      <w:color w:val="000000"/>
      <w:kern w:val="0"/>
      <w:szCs w:val="20"/>
    </w:rPr>
  </w:style>
  <w:style w:type="paragraph" w:customStyle="1" w:styleId="Style3">
    <w:name w:val="Style3"/>
    <w:basedOn w:val="a0"/>
    <w:pPr>
      <w:adjustRightInd w:val="0"/>
      <w:jc w:val="left"/>
    </w:pPr>
    <w:rPr>
      <w:rFonts w:ascii="宋体"/>
      <w:kern w:val="0"/>
      <w:sz w:val="24"/>
    </w:rPr>
  </w:style>
  <w:style w:type="paragraph" w:customStyle="1" w:styleId="1528">
    <w:name w:val="样式 (符号) 宋体 小四 行距: 1.5 倍行距 首行缩进:  2 字符"/>
    <w:basedOn w:val="a0"/>
    <w:pPr>
      <w:spacing w:line="520" w:lineRule="exact"/>
      <w:ind w:firstLineChars="200" w:firstLine="200"/>
    </w:pPr>
    <w:rPr>
      <w:rFonts w:hAnsi="宋体" w:cs="宋体"/>
      <w:kern w:val="0"/>
      <w:sz w:val="24"/>
      <w:szCs w:val="20"/>
    </w:rPr>
  </w:style>
  <w:style w:type="paragraph" w:customStyle="1" w:styleId="011528">
    <w:name w:val="样式 小四 红色 加宽量  0.1 磅 行距: 1.5 倍行距 首行缩进:  2 字符"/>
    <w:basedOn w:val="a0"/>
    <w:pPr>
      <w:spacing w:line="520" w:lineRule="exact"/>
      <w:ind w:firstLineChars="200" w:firstLine="200"/>
    </w:pPr>
    <w:rPr>
      <w:rFonts w:cs="宋体"/>
      <w:color w:val="FF0000"/>
      <w:spacing w:val="2"/>
      <w:sz w:val="24"/>
      <w:szCs w:val="20"/>
    </w:rPr>
  </w:style>
  <w:style w:type="paragraph" w:customStyle="1" w:styleId="204">
    <w:name w:val="样式 标题 2节 + 首行缩进:  0 厘米"/>
    <w:basedOn w:val="2"/>
    <w:pPr>
      <w:spacing w:beforeLines="100" w:afterLines="100" w:line="360" w:lineRule="auto"/>
    </w:pPr>
    <w:rPr>
      <w:rFonts w:ascii="Times New Roman" w:eastAsia="宋体" w:hAnsi="Times New Roman"/>
      <w:color w:val="000000"/>
      <w:kern w:val="28"/>
      <w:sz w:val="30"/>
      <w:lang w:val="de-DE"/>
    </w:rPr>
  </w:style>
  <w:style w:type="paragraph" w:customStyle="1" w:styleId="4a">
    <w:name w:val="样式 小四 黑色4"/>
    <w:basedOn w:val="a0"/>
    <w:pPr>
      <w:spacing w:line="520" w:lineRule="exact"/>
      <w:ind w:firstLineChars="200" w:firstLine="200"/>
    </w:pPr>
    <w:rPr>
      <w:color w:val="000000"/>
      <w:sz w:val="24"/>
      <w:szCs w:val="20"/>
    </w:rPr>
  </w:style>
  <w:style w:type="paragraph" w:customStyle="1" w:styleId="2115">
    <w:name w:val="样式 正文文本缩进正文文字 21 + 小四 行距: 1.5 倍行距"/>
    <w:basedOn w:val="ac"/>
    <w:pPr>
      <w:ind w:firstLine="578"/>
    </w:pPr>
    <w:rPr>
      <w:rFonts w:cs="宋体"/>
      <w:sz w:val="24"/>
      <w:szCs w:val="20"/>
    </w:rPr>
  </w:style>
  <w:style w:type="paragraph" w:customStyle="1" w:styleId="1ff4">
    <w:name w:val="正文首行缩进1"/>
    <w:basedOn w:val="a1"/>
    <w:pPr>
      <w:spacing w:line="360" w:lineRule="auto"/>
      <w:ind w:firstLineChars="100" w:firstLine="420"/>
    </w:pPr>
    <w:rPr>
      <w:rFonts w:ascii="Calibri" w:hAnsi="Calibri"/>
      <w:sz w:val="21"/>
      <w:szCs w:val="22"/>
    </w:rPr>
  </w:style>
  <w:style w:type="paragraph" w:customStyle="1" w:styleId="s25qjfi540sl-620slmult0n">
    <w:name w:val="s25qjfi540sl-620slmult0n"/>
    <w:pPr>
      <w:widowControl w:val="0"/>
      <w:autoSpaceDE w:val="0"/>
      <w:autoSpaceDN w:val="0"/>
      <w:adjustRightInd w:val="0"/>
    </w:pPr>
  </w:style>
  <w:style w:type="paragraph" w:customStyle="1" w:styleId="017">
    <w:name w:val="样式 加宽量  0.1 磅"/>
    <w:basedOn w:val="a0"/>
    <w:pPr>
      <w:jc w:val="center"/>
    </w:pPr>
    <w:rPr>
      <w:spacing w:val="2"/>
      <w:sz w:val="21"/>
      <w:szCs w:val="21"/>
    </w:rPr>
  </w:style>
  <w:style w:type="paragraph" w:customStyle="1" w:styleId="1529">
    <w:name w:val="样式 (符号) 宋体 小四 黑色 行距: 1.5 倍行距 首行缩进:  2 字符"/>
    <w:basedOn w:val="a0"/>
    <w:pPr>
      <w:spacing w:line="520" w:lineRule="exact"/>
      <w:ind w:firstLineChars="200" w:firstLine="200"/>
    </w:pPr>
    <w:rPr>
      <w:rFonts w:ascii="Calibri" w:hAnsi="宋体" w:cs="宋体"/>
      <w:color w:val="000000"/>
      <w:sz w:val="24"/>
      <w:szCs w:val="20"/>
    </w:rPr>
  </w:style>
  <w:style w:type="paragraph" w:customStyle="1" w:styleId="xl69">
    <w:name w:val="xl69"/>
    <w:basedOn w:val="a0"/>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kern w:val="0"/>
      <w:sz w:val="24"/>
    </w:rPr>
  </w:style>
  <w:style w:type="paragraph" w:customStyle="1" w:styleId="Style11">
    <w:name w:val="Style11"/>
    <w:basedOn w:val="a0"/>
    <w:pPr>
      <w:adjustRightInd w:val="0"/>
      <w:jc w:val="left"/>
    </w:pPr>
    <w:rPr>
      <w:rFonts w:ascii="黑体" w:eastAsia="黑体"/>
      <w:kern w:val="0"/>
      <w:sz w:val="24"/>
    </w:rPr>
  </w:style>
  <w:style w:type="paragraph" w:customStyle="1" w:styleId="meS">
    <w:name w:val="me正文S"/>
    <w:basedOn w:val="s"/>
    <w:pPr>
      <w:ind w:firstLine="200"/>
    </w:pPr>
  </w:style>
  <w:style w:type="paragraph" w:customStyle="1" w:styleId="158">
    <w:name w:val="样式 小四 黑色 行距: 1.5 倍行距"/>
    <w:basedOn w:val="a0"/>
    <w:pPr>
      <w:spacing w:line="520" w:lineRule="exact"/>
    </w:pPr>
    <w:rPr>
      <w:rFonts w:cs="宋体"/>
      <w:color w:val="000000"/>
      <w:sz w:val="24"/>
      <w:szCs w:val="20"/>
    </w:rPr>
  </w:style>
  <w:style w:type="paragraph" w:customStyle="1" w:styleId="Style4">
    <w:name w:val="Style4"/>
    <w:basedOn w:val="a0"/>
    <w:pPr>
      <w:adjustRightInd w:val="0"/>
      <w:jc w:val="left"/>
    </w:pPr>
    <w:rPr>
      <w:rFonts w:ascii="宋体"/>
      <w:kern w:val="0"/>
      <w:sz w:val="24"/>
    </w:rPr>
  </w:style>
  <w:style w:type="paragraph" w:customStyle="1" w:styleId="2122">
    <w:name w:val="样式 正文文本缩进正文文字 21正文文字( 首段缩进两字）正文文字缩进2字符 + 小四 首行缩进:  2 字符"/>
    <w:basedOn w:val="ac"/>
    <w:pPr>
      <w:ind w:firstLineChars="200" w:firstLine="200"/>
      <w:jc w:val="left"/>
    </w:pPr>
    <w:rPr>
      <w:rFonts w:cs="宋体"/>
      <w:spacing w:val="0"/>
      <w:sz w:val="24"/>
      <w:szCs w:val="20"/>
    </w:rPr>
  </w:style>
  <w:style w:type="paragraph" w:customStyle="1" w:styleId="xl54">
    <w:name w:val="xl54"/>
    <w:basedOn w:val="a0"/>
    <w:pPr>
      <w:widowControl/>
      <w:pBdr>
        <w:left w:val="single" w:sz="8" w:space="0" w:color="auto"/>
      </w:pBdr>
      <w:spacing w:before="100" w:beforeAutospacing="1" w:after="100" w:afterAutospacing="1"/>
      <w:jc w:val="left"/>
    </w:pPr>
    <w:rPr>
      <w:rFonts w:ascii="宋体" w:hAnsi="宋体"/>
      <w:kern w:val="0"/>
      <w:sz w:val="24"/>
    </w:rPr>
  </w:style>
  <w:style w:type="paragraph" w:customStyle="1" w:styleId="2fd">
    <w:name w:val="封面2"/>
    <w:basedOn w:val="a0"/>
    <w:pPr>
      <w:spacing w:line="800" w:lineRule="exact"/>
      <w:jc w:val="center"/>
    </w:pPr>
    <w:rPr>
      <w:snapToGrid w:val="0"/>
      <w:kern w:val="0"/>
      <w:sz w:val="44"/>
      <w:szCs w:val="44"/>
    </w:rPr>
  </w:style>
  <w:style w:type="paragraph" w:customStyle="1" w:styleId="183">
    <w:name w:val="样式 五号 居中 行距: 固定值 18 磅"/>
    <w:basedOn w:val="a0"/>
    <w:pPr>
      <w:jc w:val="center"/>
    </w:pPr>
    <w:rPr>
      <w:rFonts w:cs="宋体"/>
      <w:sz w:val="21"/>
      <w:szCs w:val="20"/>
    </w:rPr>
  </w:style>
  <w:style w:type="paragraph" w:customStyle="1" w:styleId="2222">
    <w:name w:val="样式 批注文字 + (符号) 宋体 小四 两端对齐 行距: 固定值 22 磅 首行缩进:  2 字符"/>
    <w:basedOn w:val="ab"/>
    <w:pPr>
      <w:spacing w:line="520" w:lineRule="exact"/>
      <w:ind w:firstLineChars="200" w:firstLine="200"/>
      <w:jc w:val="both"/>
    </w:pPr>
    <w:rPr>
      <w:rFonts w:ascii="Calibri" w:hAnsi="宋体" w:cs="宋体"/>
      <w:sz w:val="24"/>
    </w:rPr>
  </w:style>
  <w:style w:type="paragraph" w:customStyle="1" w:styleId="WPSOffice2">
    <w:name w:val="WPSOffice手动目录 2"/>
    <w:pPr>
      <w:ind w:leftChars="200" w:left="200"/>
    </w:pPr>
  </w:style>
  <w:style w:type="paragraph" w:customStyle="1" w:styleId="affffffffffb">
    <w:name w:val="图标"/>
    <w:basedOn w:val="a0"/>
    <w:pPr>
      <w:spacing w:line="500" w:lineRule="exact"/>
      <w:jc w:val="center"/>
    </w:pPr>
    <w:rPr>
      <w:rFonts w:ascii="黑体" w:eastAsia="黑体"/>
    </w:rPr>
  </w:style>
  <w:style w:type="paragraph" w:customStyle="1" w:styleId="10">
    <w:name w:val="标题10"/>
    <w:basedOn w:val="6"/>
    <w:pPr>
      <w:keepNext w:val="0"/>
      <w:keepLines w:val="0"/>
      <w:widowControl/>
      <w:numPr>
        <w:numId w:val="3"/>
      </w:numPr>
      <w:tabs>
        <w:tab w:val="left" w:pos="500"/>
        <w:tab w:val="left" w:pos="927"/>
      </w:tabs>
      <w:spacing w:before="0" w:after="0" w:line="240" w:lineRule="atLeast"/>
      <w:jc w:val="left"/>
      <w:outlineLvl w:val="8"/>
    </w:pPr>
    <w:rPr>
      <w:rFonts w:ascii="Times New Roman" w:eastAsia="宋体" w:hAnsi="Times New Roman"/>
      <w:b w:val="0"/>
      <w:bCs w:val="0"/>
      <w:kern w:val="0"/>
      <w:sz w:val="15"/>
      <w:szCs w:val="20"/>
    </w:rPr>
  </w:style>
  <w:style w:type="paragraph" w:customStyle="1" w:styleId="Style9">
    <w:name w:val="Style9"/>
    <w:basedOn w:val="a0"/>
    <w:pPr>
      <w:adjustRightInd w:val="0"/>
      <w:spacing w:line="283" w:lineRule="exact"/>
      <w:jc w:val="center"/>
    </w:pPr>
    <w:rPr>
      <w:rFonts w:ascii="黑体" w:eastAsia="黑体"/>
      <w:kern w:val="0"/>
      <w:sz w:val="24"/>
    </w:rPr>
  </w:style>
  <w:style w:type="paragraph" w:customStyle="1" w:styleId="1000505">
    <w:name w:val="样式 标题 1 + 左侧:  0 厘米 首行缩进:  0 厘米 段前: 0.5 行 段后: 0.5 行"/>
    <w:basedOn w:val="1"/>
    <w:pPr>
      <w:keepLines w:val="0"/>
      <w:tabs>
        <w:tab w:val="left" w:pos="360"/>
      </w:tabs>
      <w:adjustRightInd w:val="0"/>
      <w:snapToGrid w:val="0"/>
      <w:spacing w:beforeLines="50" w:afterLines="50" w:line="324" w:lineRule="auto"/>
      <w:ind w:left="360" w:hanging="360"/>
    </w:pPr>
    <w:rPr>
      <w:rFonts w:eastAsia="黑体"/>
      <w:spacing w:val="8"/>
      <w:kern w:val="2"/>
      <w:sz w:val="32"/>
      <w:szCs w:val="20"/>
    </w:rPr>
  </w:style>
  <w:style w:type="paragraph" w:customStyle="1" w:styleId="Style12">
    <w:name w:val="Style12"/>
    <w:basedOn w:val="a0"/>
    <w:pPr>
      <w:adjustRightInd w:val="0"/>
      <w:jc w:val="left"/>
    </w:pPr>
    <w:rPr>
      <w:rFonts w:ascii="宋体"/>
      <w:kern w:val="0"/>
      <w:sz w:val="24"/>
    </w:rPr>
  </w:style>
  <w:style w:type="paragraph" w:customStyle="1" w:styleId="1ff5">
    <w:name w:val="正文缩进1"/>
    <w:basedOn w:val="a0"/>
    <w:pPr>
      <w:snapToGrid w:val="0"/>
      <w:spacing w:line="480" w:lineRule="exact"/>
      <w:ind w:firstLine="420"/>
    </w:pPr>
    <w:rPr>
      <w:rFonts w:ascii="宋体"/>
      <w:color w:val="000000"/>
      <w:kern w:val="48"/>
      <w:sz w:val="24"/>
      <w:szCs w:val="20"/>
    </w:rPr>
  </w:style>
  <w:style w:type="paragraph" w:customStyle="1" w:styleId="CharCharCharCharCharCharChar">
    <w:name w:val="Char Char Char Char Char Char Char"/>
    <w:basedOn w:val="a0"/>
    <w:pPr>
      <w:snapToGrid w:val="0"/>
      <w:spacing w:line="360" w:lineRule="auto"/>
      <w:ind w:firstLineChars="200" w:firstLine="200"/>
    </w:pPr>
    <w:rPr>
      <w:rFonts w:eastAsia="仿宋_GB2312"/>
      <w:sz w:val="24"/>
    </w:rPr>
  </w:style>
  <w:style w:type="paragraph" w:customStyle="1" w:styleId="22CharTimesNewRoman1">
    <w:name w:val="样式 标题 2标题 2 Char节 + (西文) Times New Roman (中文) 宋体 黑色 左 段前: ...1"/>
    <w:basedOn w:val="2"/>
    <w:pPr>
      <w:spacing w:line="520" w:lineRule="exact"/>
      <w:jc w:val="left"/>
    </w:pPr>
    <w:rPr>
      <w:rFonts w:ascii="Times New Roman" w:eastAsia="宋体" w:hAnsi="Times New Roman" w:cs="宋体"/>
      <w:bCs/>
      <w:color w:val="000000"/>
      <w:kern w:val="28"/>
      <w:sz w:val="30"/>
    </w:rPr>
  </w:style>
  <w:style w:type="paragraph" w:customStyle="1" w:styleId="4b">
    <w:name w:val="4级标题"/>
    <w:basedOn w:val="a0"/>
    <w:qFormat/>
    <w:pPr>
      <w:spacing w:line="500" w:lineRule="exact"/>
      <w:outlineLvl w:val="3"/>
    </w:pPr>
    <w:rPr>
      <w:szCs w:val="20"/>
    </w:rPr>
  </w:style>
  <w:style w:type="paragraph" w:customStyle="1" w:styleId="Char1CharCharChar4">
    <w:name w:val="Char1 Char Char Char4"/>
    <w:basedOn w:val="aa"/>
    <w:pPr>
      <w:adjustRightInd w:val="0"/>
      <w:spacing w:line="436" w:lineRule="exact"/>
      <w:ind w:left="357"/>
      <w:jc w:val="left"/>
      <w:outlineLvl w:val="3"/>
    </w:pPr>
    <w:rPr>
      <w:rFonts w:ascii="Tahoma" w:hAnsi="Tahoma"/>
      <w:b/>
      <w:sz w:val="24"/>
    </w:rPr>
  </w:style>
  <w:style w:type="paragraph" w:customStyle="1" w:styleId="151687">
    <w:name w:val="样式 小四 黑色 行距: 1.5 倍行距 首行缩进:  16.87 字符"/>
    <w:basedOn w:val="a0"/>
    <w:pPr>
      <w:spacing w:line="520" w:lineRule="exact"/>
      <w:ind w:firstLineChars="1687" w:firstLine="1687"/>
    </w:pPr>
    <w:rPr>
      <w:rFonts w:cs="宋体"/>
      <w:color w:val="000000"/>
      <w:sz w:val="24"/>
      <w:szCs w:val="20"/>
    </w:rPr>
  </w:style>
  <w:style w:type="paragraph" w:customStyle="1" w:styleId="1011510">
    <w:name w:val="样式 小四 黑色 首行缩进:  1.01 厘米 行距: 1.5 倍行距1"/>
    <w:basedOn w:val="a0"/>
    <w:pPr>
      <w:spacing w:line="520" w:lineRule="exact"/>
      <w:ind w:firstLine="573"/>
    </w:pPr>
    <w:rPr>
      <w:rFonts w:cs="宋体"/>
      <w:color w:val="000000"/>
      <w:sz w:val="24"/>
      <w:szCs w:val="20"/>
    </w:rPr>
  </w:style>
  <w:style w:type="paragraph" w:customStyle="1" w:styleId="018">
    <w:name w:val="样式 小四 黑色 加宽量  0.1 磅"/>
    <w:basedOn w:val="a0"/>
    <w:pPr>
      <w:spacing w:line="520" w:lineRule="exact"/>
      <w:ind w:firstLineChars="200" w:firstLine="200"/>
    </w:pPr>
    <w:rPr>
      <w:color w:val="000000"/>
      <w:spacing w:val="2"/>
      <w:sz w:val="24"/>
    </w:rPr>
  </w:style>
  <w:style w:type="paragraph" w:customStyle="1" w:styleId="085156">
    <w:name w:val="样式 小四 黑色 首行缩进:  0.85 厘米 行距: 1.5 倍行距"/>
    <w:basedOn w:val="a0"/>
    <w:pPr>
      <w:spacing w:line="520" w:lineRule="exact"/>
      <w:ind w:firstLine="482"/>
    </w:pPr>
    <w:rPr>
      <w:rFonts w:cs="宋体"/>
      <w:color w:val="000000"/>
      <w:sz w:val="24"/>
      <w:szCs w:val="20"/>
    </w:rPr>
  </w:style>
  <w:style w:type="paragraph" w:customStyle="1" w:styleId="affffffffffc">
    <w:name w:val="图片"/>
    <w:basedOn w:val="a0"/>
    <w:pPr>
      <w:adjustRightInd w:val="0"/>
      <w:spacing w:line="480" w:lineRule="exact"/>
      <w:jc w:val="center"/>
      <w:textAlignment w:val="baseline"/>
    </w:pPr>
    <w:rPr>
      <w:spacing w:val="-2"/>
      <w:kern w:val="0"/>
      <w:szCs w:val="28"/>
    </w:rPr>
  </w:style>
  <w:style w:type="paragraph" w:customStyle="1" w:styleId="159">
    <w:name w:val="样式 (中文) 黑体 小四 行距: 1.5 倍行距"/>
    <w:basedOn w:val="a0"/>
    <w:pPr>
      <w:spacing w:line="520" w:lineRule="exact"/>
    </w:pPr>
    <w:rPr>
      <w:rFonts w:eastAsia="黑体" w:cs="宋体"/>
      <w:sz w:val="24"/>
      <w:szCs w:val="20"/>
    </w:rPr>
  </w:style>
  <w:style w:type="paragraph" w:customStyle="1" w:styleId="4c">
    <w:name w:val="4"/>
    <w:basedOn w:val="a0"/>
    <w:qFormat/>
    <w:pPr>
      <w:adjustRightInd w:val="0"/>
      <w:snapToGrid w:val="0"/>
      <w:spacing w:line="520" w:lineRule="exact"/>
      <w:ind w:firstLineChars="200" w:firstLine="200"/>
      <w:jc w:val="left"/>
    </w:pPr>
    <w:rPr>
      <w:sz w:val="24"/>
    </w:rPr>
  </w:style>
  <w:style w:type="paragraph" w:customStyle="1" w:styleId="1ff6">
    <w:name w:val="样式 段落 + 小四1"/>
    <w:basedOn w:val="affffffffff"/>
    <w:pPr>
      <w:adjustRightInd/>
      <w:snapToGrid/>
      <w:spacing w:line="520" w:lineRule="exact"/>
      <w:ind w:firstLine="578"/>
    </w:pPr>
    <w:rPr>
      <w:rFonts w:ascii="Times New Roman" w:hAnsi="Times New Roman"/>
      <w:snapToGrid/>
      <w:sz w:val="24"/>
      <w:szCs w:val="24"/>
    </w:rPr>
  </w:style>
  <w:style w:type="paragraph" w:customStyle="1" w:styleId="212">
    <w:name w:val="样式 正文文本 2 + 黑体 小四1"/>
    <w:basedOn w:val="25"/>
    <w:rPr>
      <w:rFonts w:ascii="黑体" w:eastAsia="黑体" w:hAnsi="黑体"/>
      <w:color w:val="auto"/>
    </w:rPr>
  </w:style>
  <w:style w:type="paragraph" w:customStyle="1" w:styleId="p17">
    <w:name w:val="p17"/>
    <w:basedOn w:val="a0"/>
    <w:pPr>
      <w:widowControl/>
      <w:spacing w:before="156" w:line="360" w:lineRule="auto"/>
    </w:pPr>
    <w:rPr>
      <w:b/>
      <w:bCs/>
      <w:kern w:val="0"/>
      <w:szCs w:val="28"/>
    </w:rPr>
  </w:style>
  <w:style w:type="paragraph" w:customStyle="1" w:styleId="10615">
    <w:name w:val="样式 小四 黑色 首行缩进:  1.06 厘米 行距: 1.5 倍行距"/>
    <w:basedOn w:val="a0"/>
    <w:pPr>
      <w:spacing w:line="520" w:lineRule="exact"/>
      <w:ind w:firstLine="601"/>
    </w:pPr>
    <w:rPr>
      <w:rFonts w:cs="宋体"/>
      <w:color w:val="000000"/>
      <w:sz w:val="24"/>
      <w:szCs w:val="20"/>
    </w:rPr>
  </w:style>
  <w:style w:type="paragraph" w:customStyle="1" w:styleId="787826">
    <w:name w:val="样式 (中文) 华文楷体 四号 加粗 黑色 段前: 7.8 磅 段后: 7.8 磅 行距: 固定值 26 磅"/>
    <w:basedOn w:val="a0"/>
    <w:pPr>
      <w:spacing w:before="120" w:after="120" w:line="520" w:lineRule="exact"/>
    </w:pPr>
    <w:rPr>
      <w:rFonts w:ascii="Calibri" w:eastAsia="华文楷体" w:hAnsi="Calibri" w:cs="宋体"/>
      <w:b/>
      <w:bCs/>
      <w:color w:val="000000"/>
      <w:szCs w:val="20"/>
    </w:rPr>
  </w:style>
  <w:style w:type="paragraph" w:customStyle="1" w:styleId="3f2">
    <w:name w:val="样式 标题 3头 +"/>
    <w:basedOn w:val="30"/>
    <w:pPr>
      <w:spacing w:before="0" w:after="0" w:line="360" w:lineRule="auto"/>
    </w:pPr>
    <w:rPr>
      <w:b w:val="0"/>
      <w:bCs w:val="0"/>
      <w:kern w:val="0"/>
      <w:sz w:val="28"/>
      <w:szCs w:val="20"/>
      <w:lang w:val="de-DE"/>
    </w:rPr>
  </w:style>
  <w:style w:type="paragraph" w:customStyle="1" w:styleId="1ff7">
    <w:name w:val="样式 小四 黑色1"/>
    <w:basedOn w:val="a0"/>
    <w:pPr>
      <w:spacing w:line="520" w:lineRule="exact"/>
      <w:ind w:firstLineChars="150" w:firstLine="150"/>
    </w:pPr>
    <w:rPr>
      <w:color w:val="000000"/>
      <w:sz w:val="24"/>
      <w:szCs w:val="20"/>
      <w:lang w:val="zh-CN"/>
    </w:rPr>
  </w:style>
  <w:style w:type="paragraph" w:customStyle="1" w:styleId="ParaCharCharCharChar">
    <w:name w:val="默认段落字体 Para Char Char Char Char"/>
    <w:basedOn w:val="a0"/>
    <w:pPr>
      <w:spacing w:beforeLines="100" w:afterLines="50" w:line="600" w:lineRule="exact"/>
      <w:ind w:firstLineChars="200" w:firstLine="200"/>
    </w:pPr>
    <w:rPr>
      <w:rFonts w:eastAsia="黑体"/>
    </w:rPr>
  </w:style>
  <w:style w:type="paragraph" w:customStyle="1" w:styleId="xl90">
    <w:name w:val="xl90"/>
    <w:basedOn w:val="a0"/>
    <w:pPr>
      <w:widowControl/>
      <w:pBdr>
        <w:top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affffffffffd">
    <w:name w:val="样式 (中文) 新宋体 小四 黑色"/>
    <w:basedOn w:val="a0"/>
    <w:pPr>
      <w:spacing w:line="520" w:lineRule="exact"/>
      <w:ind w:firstLineChars="200" w:firstLine="200"/>
    </w:pPr>
    <w:rPr>
      <w:rFonts w:eastAsia="新宋体"/>
      <w:color w:val="000000"/>
      <w:kern w:val="0"/>
      <w:sz w:val="24"/>
      <w:lang w:val="zh-CN"/>
    </w:rPr>
  </w:style>
  <w:style w:type="paragraph" w:customStyle="1" w:styleId="CharCharCharCharCharCharCharCharCharC21">
    <w:name w:val="样式 纯文本孙普文字 Char Char CharCharChar Char纯文本 Char Char Char C...21"/>
    <w:basedOn w:val="ae"/>
    <w:pPr>
      <w:spacing w:line="240" w:lineRule="auto"/>
      <w:jc w:val="center"/>
    </w:pPr>
    <w:rPr>
      <w:rFonts w:ascii="Times New Roman" w:hAnsi="Times New Roman" w:cs="宋体"/>
      <w:sz w:val="21"/>
    </w:rPr>
  </w:style>
  <w:style w:type="paragraph" w:customStyle="1" w:styleId="affffffffffe">
    <w:name w:val="标题一"/>
    <w:basedOn w:val="a0"/>
    <w:next w:val="a0"/>
    <w:pPr>
      <w:spacing w:line="540" w:lineRule="exact"/>
      <w:ind w:firstLineChars="200" w:firstLine="200"/>
    </w:pPr>
    <w:rPr>
      <w:rFonts w:ascii="黑体" w:eastAsia="黑体" w:hAnsi="Arial Narrow"/>
      <w:b/>
    </w:rPr>
  </w:style>
  <w:style w:type="paragraph" w:customStyle="1" w:styleId="08516">
    <w:name w:val="样式 小四 首行缩进:  0.85 厘米 行距: 多倍行距 1.6 字行"/>
    <w:basedOn w:val="a0"/>
    <w:pPr>
      <w:spacing w:line="520" w:lineRule="exact"/>
      <w:ind w:firstLine="482"/>
    </w:pPr>
    <w:rPr>
      <w:rFonts w:cs="宋体"/>
      <w:sz w:val="24"/>
      <w:szCs w:val="20"/>
    </w:rPr>
  </w:style>
  <w:style w:type="paragraph" w:customStyle="1" w:styleId="15230">
    <w:name w:val="样式 小四 黑色 行距: 1.5 倍行距 首行缩进:  2 字符3"/>
    <w:basedOn w:val="a0"/>
    <w:pPr>
      <w:spacing w:line="520" w:lineRule="exact"/>
      <w:ind w:firstLineChars="200" w:firstLine="200"/>
    </w:pPr>
    <w:rPr>
      <w:rFonts w:ascii="Calibri" w:hAnsi="Calibri" w:cs="宋体"/>
      <w:color w:val="000000"/>
      <w:sz w:val="24"/>
      <w:szCs w:val="20"/>
    </w:rPr>
  </w:style>
  <w:style w:type="paragraph" w:customStyle="1" w:styleId="1b1XWH1H11H121H12Char1Char1">
    <w:name w:val="样式 标题 1式样b标题 1XWH1H11H12章节标题章标题 1章标题H12 Char标题 1 Char ...1"/>
    <w:basedOn w:val="1"/>
    <w:pPr>
      <w:keepLines w:val="0"/>
      <w:pageBreakBefore/>
      <w:autoSpaceDE w:val="0"/>
      <w:autoSpaceDN w:val="0"/>
      <w:adjustRightInd w:val="0"/>
      <w:spacing w:beforeLines="100" w:before="0" w:afterLines="300" w:after="0" w:line="600" w:lineRule="auto"/>
      <w:jc w:val="center"/>
    </w:pPr>
    <w:rPr>
      <w:rFonts w:eastAsia="黑体"/>
      <w:color w:val="000000"/>
      <w:szCs w:val="20"/>
    </w:rPr>
  </w:style>
  <w:style w:type="paragraph" w:customStyle="1" w:styleId="15a">
    <w:name w:val="样式 宋体 小四 黑色 行距: 1.5 倍行距"/>
    <w:basedOn w:val="a0"/>
    <w:pPr>
      <w:spacing w:line="520" w:lineRule="exact"/>
    </w:pPr>
    <w:rPr>
      <w:rFonts w:ascii="宋体" w:hAnsi="宋体" w:cs="宋体"/>
      <w:color w:val="000000"/>
      <w:sz w:val="24"/>
      <w:szCs w:val="20"/>
    </w:rPr>
  </w:style>
  <w:style w:type="paragraph" w:customStyle="1" w:styleId="afffffffffff">
    <w:name w:val="四级标题"/>
    <w:basedOn w:val="a0"/>
    <w:qFormat/>
    <w:pPr>
      <w:spacing w:line="520" w:lineRule="exact"/>
      <w:outlineLvl w:val="2"/>
    </w:pPr>
    <w:rPr>
      <w:sz w:val="24"/>
      <w:szCs w:val="28"/>
    </w:rPr>
  </w:style>
  <w:style w:type="paragraph" w:customStyle="1" w:styleId="102550128">
    <w:name w:val="样式 小四 首行缩进:  1.02 厘米 段前: 5 磅 段后: 5 磅 加宽量  0.1 磅 行距: 固定值 28 磅"/>
    <w:basedOn w:val="a0"/>
    <w:pPr>
      <w:spacing w:before="100" w:after="100" w:line="520" w:lineRule="exact"/>
      <w:ind w:firstLine="578"/>
    </w:pPr>
    <w:rPr>
      <w:rFonts w:cs="宋体"/>
      <w:spacing w:val="2"/>
      <w:sz w:val="24"/>
      <w:szCs w:val="20"/>
    </w:rPr>
  </w:style>
  <w:style w:type="paragraph" w:customStyle="1" w:styleId="15b">
    <w:name w:val="样式 小四 行距: 1.5 倍行距"/>
    <w:basedOn w:val="a0"/>
    <w:pPr>
      <w:spacing w:line="520" w:lineRule="exact"/>
    </w:pPr>
    <w:rPr>
      <w:rFonts w:cs="宋体"/>
      <w:sz w:val="24"/>
      <w:szCs w:val="20"/>
    </w:rPr>
  </w:style>
  <w:style w:type="paragraph" w:customStyle="1" w:styleId="Char1CharCharChar">
    <w:name w:val="Char1 Char Char Char"/>
    <w:basedOn w:val="aa"/>
    <w:pPr>
      <w:adjustRightInd w:val="0"/>
      <w:spacing w:line="436" w:lineRule="exact"/>
      <w:ind w:left="357"/>
      <w:jc w:val="left"/>
      <w:outlineLvl w:val="3"/>
    </w:pPr>
    <w:rPr>
      <w:rFonts w:ascii="Tahoma" w:hAnsi="Tahoma"/>
      <w:b/>
      <w:sz w:val="24"/>
    </w:rPr>
  </w:style>
  <w:style w:type="paragraph" w:customStyle="1" w:styleId="086623">
    <w:name w:val="样式 小四 黑色 首行缩进:  0.86 厘米 段前: 6 磅 行距: 固定值 23 磅"/>
    <w:basedOn w:val="a0"/>
    <w:pPr>
      <w:spacing w:before="120" w:line="520" w:lineRule="exact"/>
      <w:ind w:firstLine="488"/>
    </w:pPr>
    <w:rPr>
      <w:rFonts w:cs="宋体"/>
      <w:color w:val="000000"/>
      <w:sz w:val="24"/>
      <w:szCs w:val="20"/>
    </w:rPr>
  </w:style>
  <w:style w:type="paragraph" w:customStyle="1" w:styleId="224">
    <w:name w:val="正文文本缩进 22"/>
    <w:basedOn w:val="a0"/>
    <w:pPr>
      <w:adjustRightInd w:val="0"/>
      <w:snapToGrid w:val="0"/>
      <w:spacing w:line="540" w:lineRule="atLeast"/>
      <w:ind w:firstLine="630"/>
    </w:pPr>
    <w:rPr>
      <w:rFonts w:ascii="宋体"/>
      <w:szCs w:val="20"/>
    </w:rPr>
  </w:style>
  <w:style w:type="paragraph" w:customStyle="1" w:styleId="ParaChar">
    <w:name w:val="默认段落字体 Para Char"/>
    <w:basedOn w:val="a0"/>
    <w:next w:val="a0"/>
    <w:pPr>
      <w:keepNext/>
      <w:keepLines/>
      <w:widowControl/>
      <w:adjustRightInd w:val="0"/>
      <w:spacing w:before="360" w:after="480" w:line="360" w:lineRule="auto"/>
      <w:ind w:firstLineChars="200" w:firstLine="200"/>
      <w:jc w:val="left"/>
      <w:textAlignment w:val="baseline"/>
      <w:outlineLvl w:val="1"/>
    </w:pPr>
    <w:rPr>
      <w:rFonts w:ascii="宋体" w:hAnsi="宋体" w:cs="宋体"/>
      <w:b/>
      <w:bCs/>
      <w:kern w:val="0"/>
      <w:sz w:val="30"/>
      <w:szCs w:val="28"/>
    </w:rPr>
  </w:style>
  <w:style w:type="paragraph" w:customStyle="1" w:styleId="0110">
    <w:name w:val="样式 小四 加宽量  0.1 磅1"/>
    <w:basedOn w:val="a0"/>
    <w:pPr>
      <w:spacing w:line="520" w:lineRule="exact"/>
      <w:ind w:firstLineChars="200" w:firstLine="200"/>
    </w:pPr>
    <w:rPr>
      <w:spacing w:val="2"/>
      <w:sz w:val="24"/>
    </w:rPr>
  </w:style>
  <w:style w:type="paragraph" w:customStyle="1" w:styleId="15211">
    <w:name w:val="样式 小四 黑色 行距: 1.5 倍行距 首行缩进:  2 字符1"/>
    <w:basedOn w:val="a0"/>
    <w:qFormat/>
    <w:pPr>
      <w:spacing w:line="520" w:lineRule="exact"/>
      <w:ind w:firstLineChars="200" w:firstLine="200"/>
    </w:pPr>
    <w:rPr>
      <w:rFonts w:cs="宋体"/>
      <w:color w:val="000000"/>
      <w:sz w:val="24"/>
      <w:szCs w:val="20"/>
    </w:rPr>
  </w:style>
  <w:style w:type="paragraph" w:customStyle="1" w:styleId="afffffffffff0">
    <w:name w:val="样式 小四 字距调整四号"/>
    <w:basedOn w:val="a0"/>
    <w:qFormat/>
    <w:pPr>
      <w:snapToGrid w:val="0"/>
      <w:spacing w:line="520" w:lineRule="exact"/>
      <w:ind w:firstLineChars="200" w:firstLine="200"/>
    </w:pPr>
    <w:rPr>
      <w:rFonts w:ascii="Calibri" w:hAnsi="Calibri" w:cs="宋体"/>
      <w:kern w:val="28"/>
      <w:sz w:val="24"/>
    </w:rPr>
  </w:style>
  <w:style w:type="paragraph" w:customStyle="1" w:styleId="2012">
    <w:name w:val="样式 样式 正文文本缩进 2 + 五号 加宽量  0.1 磅 + 左侧:  2 字符"/>
    <w:basedOn w:val="2010"/>
    <w:pPr>
      <w:ind w:firstLine="0"/>
    </w:pPr>
    <w:rPr>
      <w:rFonts w:cs="宋体"/>
    </w:rPr>
  </w:style>
  <w:style w:type="paragraph" w:customStyle="1" w:styleId="Style140">
    <w:name w:val="_Style 14"/>
    <w:basedOn w:val="a0"/>
    <w:next w:val="ac"/>
    <w:pPr>
      <w:widowControl/>
      <w:spacing w:line="360" w:lineRule="auto"/>
      <w:ind w:firstLine="454"/>
      <w:jc w:val="left"/>
    </w:pPr>
    <w:rPr>
      <w:kern w:val="0"/>
      <w:szCs w:val="20"/>
    </w:rPr>
  </w:style>
  <w:style w:type="paragraph" w:customStyle="1" w:styleId="1ff8">
    <w:name w:val="目录1"/>
    <w:basedOn w:val="a0"/>
    <w:pPr>
      <w:widowControl/>
      <w:tabs>
        <w:tab w:val="left" w:leader="dot" w:pos="8503"/>
      </w:tabs>
      <w:spacing w:after="136" w:line="289" w:lineRule="atLeast"/>
      <w:jc w:val="left"/>
      <w:textAlignment w:val="baseline"/>
    </w:pPr>
    <w:rPr>
      <w:rFonts w:ascii="Arial" w:eastAsia="黑体"/>
      <w:color w:val="000000"/>
      <w:kern w:val="0"/>
      <w:szCs w:val="20"/>
      <w:u w:color="000000"/>
    </w:rPr>
  </w:style>
  <w:style w:type="paragraph" w:customStyle="1" w:styleId="3099">
    <w:name w:val="样式 标题 3 + 首行缩进:  0.99 厘米"/>
    <w:basedOn w:val="30"/>
    <w:pPr>
      <w:spacing w:before="0" w:after="0" w:line="520" w:lineRule="exact"/>
      <w:jc w:val="left"/>
    </w:pPr>
    <w:rPr>
      <w:rFonts w:ascii="Arial" w:hAnsi="Arial" w:cs="宋体"/>
      <w:color w:val="000000"/>
      <w:kern w:val="0"/>
      <w:sz w:val="28"/>
      <w:szCs w:val="20"/>
    </w:rPr>
  </w:style>
  <w:style w:type="paragraph" w:customStyle="1" w:styleId="141">
    <w:name w:val="样式 宋体 四号 左 行距: 固定值 14 磅1"/>
    <w:basedOn w:val="a0"/>
    <w:next w:val="a0"/>
    <w:pPr>
      <w:spacing w:line="280" w:lineRule="exact"/>
      <w:ind w:firstLineChars="200" w:firstLine="560"/>
      <w:jc w:val="left"/>
    </w:pPr>
    <w:rPr>
      <w:rFonts w:ascii="宋体" w:cs="宋体"/>
      <w:szCs w:val="20"/>
    </w:rPr>
  </w:style>
  <w:style w:type="paragraph" w:customStyle="1" w:styleId="afffffffffff1">
    <w:name w:val="方案正文"/>
    <w:basedOn w:val="a0"/>
    <w:uiPriority w:val="99"/>
    <w:pPr>
      <w:spacing w:line="360" w:lineRule="auto"/>
      <w:ind w:firstLineChars="200" w:firstLine="200"/>
      <w:jc w:val="left"/>
    </w:pPr>
    <w:rPr>
      <w:rFonts w:ascii="Calibri" w:hAnsi="Calibri"/>
    </w:rPr>
  </w:style>
  <w:style w:type="paragraph" w:customStyle="1" w:styleId="1ff9">
    <w:name w:val="无间隔1"/>
    <w:uiPriority w:val="1"/>
    <w:qFormat/>
    <w:pPr>
      <w:adjustRightInd w:val="0"/>
      <w:snapToGrid w:val="0"/>
    </w:pPr>
    <w:rPr>
      <w:rFonts w:ascii="Tahoma" w:eastAsia="微软雅黑" w:hAnsi="Tahoma"/>
      <w:sz w:val="22"/>
      <w:szCs w:val="22"/>
    </w:rPr>
  </w:style>
  <w:style w:type="paragraph" w:customStyle="1" w:styleId="CharCharChar1Char">
    <w:name w:val="Char Char Char1 Char"/>
    <w:basedOn w:val="a0"/>
    <w:semiHidden/>
    <w:rPr>
      <w:sz w:val="21"/>
    </w:rPr>
  </w:style>
  <w:style w:type="paragraph" w:customStyle="1" w:styleId="455157">
    <w:name w:val="样式 标题 4 + 黑体 段前: 5 磅 段后: 5 磅 行距: 多倍行距 1.57 字行"/>
    <w:basedOn w:val="4"/>
    <w:pPr>
      <w:spacing w:before="100" w:after="100" w:line="377" w:lineRule="auto"/>
      <w:jc w:val="center"/>
    </w:pPr>
    <w:rPr>
      <w:rFonts w:ascii="黑体" w:cs="宋体"/>
      <w:szCs w:val="20"/>
    </w:rPr>
  </w:style>
  <w:style w:type="paragraph" w:customStyle="1" w:styleId="hst0">
    <w:name w:val="hst 表格正文"/>
    <w:basedOn w:val="a0"/>
    <w:qFormat/>
    <w:pPr>
      <w:spacing w:line="240" w:lineRule="exact"/>
      <w:jc w:val="center"/>
    </w:pPr>
    <w:rPr>
      <w:kern w:val="0"/>
      <w:sz w:val="20"/>
      <w:szCs w:val="21"/>
    </w:rPr>
  </w:style>
  <w:style w:type="paragraph" w:customStyle="1" w:styleId="15c">
    <w:name w:val="样式 小四 左 行距: 1.5 倍行距"/>
    <w:basedOn w:val="a0"/>
    <w:pPr>
      <w:spacing w:line="520" w:lineRule="exact"/>
      <w:jc w:val="left"/>
    </w:pPr>
    <w:rPr>
      <w:rFonts w:cs="宋体"/>
      <w:sz w:val="24"/>
      <w:szCs w:val="20"/>
    </w:rPr>
  </w:style>
  <w:style w:type="paragraph" w:customStyle="1" w:styleId="1ffa">
    <w:name w:val="样式 标题 1 + 段前: 自动"/>
    <w:basedOn w:val="1"/>
    <w:pPr>
      <w:keepLines w:val="0"/>
      <w:widowControl/>
      <w:spacing w:beforeLines="100" w:afterLines="100" w:line="240" w:lineRule="auto"/>
      <w:ind w:firstLineChars="200" w:firstLine="480"/>
      <w:jc w:val="center"/>
    </w:pPr>
    <w:rPr>
      <w:rFonts w:ascii="宋体" w:eastAsia="黑体" w:hAnsi="宋体"/>
      <w:bCs w:val="0"/>
      <w:kern w:val="2"/>
      <w:sz w:val="32"/>
      <w:szCs w:val="20"/>
    </w:rPr>
  </w:style>
  <w:style w:type="paragraph" w:customStyle="1" w:styleId="1535">
    <w:name w:val="样式 小四 黑色 行距: 1.5 倍行距 首行缩进:  3.5 字符"/>
    <w:basedOn w:val="a0"/>
    <w:pPr>
      <w:spacing w:line="520" w:lineRule="exact"/>
      <w:ind w:firstLineChars="350" w:firstLine="350"/>
    </w:pPr>
    <w:rPr>
      <w:rFonts w:cs="宋体"/>
      <w:color w:val="000000"/>
      <w:sz w:val="24"/>
      <w:szCs w:val="20"/>
    </w:rPr>
  </w:style>
  <w:style w:type="paragraph" w:customStyle="1" w:styleId="xl81">
    <w:name w:val="xl81"/>
    <w:basedOn w:val="a0"/>
    <w:pPr>
      <w:widowControl/>
      <w:pBdr>
        <w:top w:val="single" w:sz="8"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1011511">
    <w:name w:val="样式 标题 1 + 二号 黑色 居中 加宽量  0.1 磅 行距: 1.5 倍行距1"/>
    <w:basedOn w:val="1"/>
    <w:pPr>
      <w:keepNext w:val="0"/>
      <w:pageBreakBefore/>
      <w:spacing w:line="360" w:lineRule="auto"/>
      <w:jc w:val="center"/>
    </w:pPr>
    <w:rPr>
      <w:rFonts w:cs="宋体"/>
      <w:color w:val="000000"/>
      <w:spacing w:val="2"/>
      <w:szCs w:val="20"/>
    </w:rPr>
  </w:style>
  <w:style w:type="paragraph" w:customStyle="1" w:styleId="2CharCharChars40">
    <w:name w:val="样式 样式 样式 正文缩进正文不缩进正文2正文（首行缩进两字）特点正文缩进 Char Char图标题正文缩进 Chars4 ....."/>
    <w:basedOn w:val="2CharCharChars410"/>
  </w:style>
  <w:style w:type="paragraph" w:customStyle="1" w:styleId="2CharCharChars410">
    <w:name w:val="样式 样式 正文缩进正文不缩进正文2正文（首行缩进两字）特点正文缩进 Char Char图标题正文缩进 Chars4 ...1 ..."/>
    <w:basedOn w:val="2CharCharChars41"/>
  </w:style>
  <w:style w:type="paragraph" w:customStyle="1" w:styleId="Char41">
    <w:name w:val="Char41"/>
    <w:basedOn w:val="a0"/>
    <w:next w:val="18"/>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pPr>
      <w:spacing w:line="360" w:lineRule="auto"/>
      <w:ind w:firstLineChars="200" w:firstLine="200"/>
    </w:pPr>
    <w:rPr>
      <w:rFonts w:ascii="宋体" w:hAnsi="宋体" w:cs="宋体"/>
      <w:sz w:val="24"/>
    </w:rPr>
  </w:style>
  <w:style w:type="paragraph" w:customStyle="1" w:styleId="GB231215">
    <w:name w:val="样式 (中文) 楷体_GB2312 黑色 行距: 1.5 倍行距"/>
    <w:basedOn w:val="a0"/>
    <w:pPr>
      <w:spacing w:line="520" w:lineRule="exact"/>
    </w:pPr>
    <w:rPr>
      <w:rFonts w:eastAsia="楷体_GB2312" w:cs="宋体"/>
      <w:color w:val="000000"/>
      <w:szCs w:val="20"/>
    </w:rPr>
  </w:style>
  <w:style w:type="paragraph" w:customStyle="1" w:styleId="260">
    <w:name w:val="样式 四号 加粗 黑色 行距: 固定值 26 磅"/>
    <w:basedOn w:val="a0"/>
    <w:pPr>
      <w:spacing w:beforeLines="50" w:afterLines="50"/>
      <w:ind w:firstLineChars="200" w:firstLine="480"/>
    </w:pPr>
    <w:rPr>
      <w:rFonts w:cs="宋体"/>
      <w:bCs/>
      <w:color w:val="000000"/>
      <w:sz w:val="24"/>
    </w:rPr>
  </w:style>
  <w:style w:type="paragraph" w:customStyle="1" w:styleId="xl181">
    <w:name w:val="xl181"/>
    <w:basedOn w:val="a0"/>
    <w:pPr>
      <w:widowControl/>
      <w:spacing w:before="100" w:beforeAutospacing="1" w:after="100" w:afterAutospacing="1"/>
      <w:jc w:val="center"/>
      <w:textAlignment w:val="center"/>
    </w:pPr>
    <w:rPr>
      <w:rFonts w:ascii="宋体" w:hAnsi="宋体"/>
      <w:b/>
      <w:bCs/>
      <w:kern w:val="0"/>
      <w:sz w:val="32"/>
      <w:szCs w:val="32"/>
    </w:rPr>
  </w:style>
  <w:style w:type="paragraph" w:customStyle="1" w:styleId="101154">
    <w:name w:val="样式 标题 1 + 二号 黑色 居中 加宽量  0.1 磅 行距: 1.5 倍行距"/>
    <w:basedOn w:val="1"/>
    <w:pPr>
      <w:pageBreakBefore/>
      <w:spacing w:line="360" w:lineRule="auto"/>
      <w:jc w:val="center"/>
    </w:pPr>
    <w:rPr>
      <w:rFonts w:cs="宋体"/>
      <w:color w:val="000000"/>
      <w:spacing w:val="2"/>
      <w:szCs w:val="20"/>
    </w:rPr>
  </w:style>
  <w:style w:type="paragraph" w:customStyle="1" w:styleId="afffffffffff2">
    <w:name w:val="样式 宋体 四号"/>
    <w:basedOn w:val="a0"/>
    <w:pPr>
      <w:spacing w:line="360" w:lineRule="auto"/>
      <w:ind w:firstLineChars="200" w:firstLine="480"/>
    </w:pPr>
    <w:rPr>
      <w:rFonts w:ascii="宋体" w:hAnsi="宋体" w:cs="宋体"/>
      <w:sz w:val="24"/>
    </w:rPr>
  </w:style>
  <w:style w:type="paragraph" w:customStyle="1" w:styleId="15d">
    <w:name w:val="样式 五号 居中 行距: 1.5 倍行距"/>
    <w:basedOn w:val="a0"/>
    <w:pPr>
      <w:jc w:val="center"/>
    </w:pPr>
    <w:rPr>
      <w:rFonts w:cs="宋体"/>
      <w:sz w:val="21"/>
      <w:szCs w:val="20"/>
    </w:rPr>
  </w:style>
  <w:style w:type="paragraph" w:customStyle="1" w:styleId="CharCharCharCharCharChar">
    <w:name w:val="Char Char Char Char Char Char"/>
    <w:basedOn w:val="a0"/>
    <w:next w:val="a0"/>
    <w:pPr>
      <w:adjustRightInd w:val="0"/>
      <w:snapToGrid w:val="0"/>
      <w:spacing w:line="360" w:lineRule="auto"/>
      <w:ind w:firstLineChars="200" w:firstLine="200"/>
    </w:pPr>
    <w:rPr>
      <w:rFonts w:ascii="宋体" w:hAnsi="宋体" w:cs="宋体"/>
      <w:sz w:val="24"/>
    </w:rPr>
  </w:style>
  <w:style w:type="paragraph" w:customStyle="1" w:styleId="07723">
    <w:name w:val="样式 小四 首行缩进:  0.77 厘米 行距: 固定值 23 磅"/>
    <w:basedOn w:val="a0"/>
    <w:pPr>
      <w:spacing w:line="520" w:lineRule="exact"/>
      <w:ind w:firstLine="437"/>
    </w:pPr>
    <w:rPr>
      <w:rFonts w:cs="宋体"/>
      <w:sz w:val="24"/>
      <w:szCs w:val="20"/>
    </w:rPr>
  </w:style>
  <w:style w:type="paragraph" w:customStyle="1" w:styleId="xl40">
    <w:name w:val="xl40"/>
    <w:basedOn w:val="a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afffffffffff3">
    <w:name w:val="样式 (符号) 宋体 小四"/>
    <w:basedOn w:val="a0"/>
    <w:pPr>
      <w:spacing w:line="520" w:lineRule="exact"/>
      <w:ind w:firstLineChars="200" w:firstLine="200"/>
    </w:pPr>
    <w:rPr>
      <w:rFonts w:hAnsi="宋体"/>
      <w:sz w:val="24"/>
    </w:rPr>
  </w:style>
  <w:style w:type="paragraph" w:customStyle="1" w:styleId="Char46">
    <w:name w:val="Char46"/>
    <w:basedOn w:val="a0"/>
    <w:pPr>
      <w:spacing w:line="360" w:lineRule="auto"/>
      <w:ind w:firstLineChars="200" w:firstLine="200"/>
    </w:pPr>
    <w:rPr>
      <w:rFonts w:ascii="宋体" w:hAnsi="宋体" w:cs="宋体"/>
      <w:sz w:val="24"/>
    </w:rPr>
  </w:style>
  <w:style w:type="paragraph" w:customStyle="1" w:styleId="601152">
    <w:name w:val="样式 小四 段前: 6 磅 加宽量  0.1 磅 行距: 1.5 倍行距 首行缩进:  2 字符"/>
    <w:basedOn w:val="a0"/>
    <w:pPr>
      <w:spacing w:before="120" w:line="520" w:lineRule="exact"/>
      <w:ind w:firstLineChars="200" w:firstLine="200"/>
    </w:pPr>
    <w:rPr>
      <w:rFonts w:cs="宋体"/>
      <w:spacing w:val="2"/>
      <w:sz w:val="24"/>
      <w:szCs w:val="20"/>
    </w:rPr>
  </w:style>
  <w:style w:type="paragraph" w:customStyle="1" w:styleId="1821">
    <w:name w:val="样式 黑色 居中 行距: 固定值 18 磅2"/>
    <w:basedOn w:val="a0"/>
    <w:pPr>
      <w:jc w:val="center"/>
    </w:pPr>
    <w:rPr>
      <w:rFonts w:cs="宋体"/>
      <w:color w:val="000000"/>
      <w:kern w:val="0"/>
      <w:sz w:val="21"/>
      <w:szCs w:val="20"/>
    </w:rPr>
  </w:style>
  <w:style w:type="paragraph" w:customStyle="1" w:styleId="261">
    <w:name w:val="样式 (符号) 宋体 小四 行距: 固定值 26 磅"/>
    <w:basedOn w:val="a0"/>
    <w:pPr>
      <w:spacing w:line="520" w:lineRule="exact"/>
    </w:pPr>
    <w:rPr>
      <w:rFonts w:ascii="Calibri" w:hAnsi="宋体" w:cs="宋体"/>
      <w:sz w:val="24"/>
      <w:szCs w:val="20"/>
    </w:rPr>
  </w:style>
  <w:style w:type="paragraph" w:customStyle="1" w:styleId="Char45">
    <w:name w:val="Char4"/>
    <w:basedOn w:val="a0"/>
    <w:pPr>
      <w:spacing w:line="360" w:lineRule="auto"/>
      <w:ind w:firstLineChars="200" w:firstLine="200"/>
    </w:pPr>
    <w:rPr>
      <w:rFonts w:ascii="宋体" w:hAnsi="宋体" w:cs="宋体"/>
      <w:sz w:val="24"/>
    </w:rPr>
  </w:style>
  <w:style w:type="paragraph" w:customStyle="1" w:styleId="PlainText1">
    <w:name w:val="Plain Text1"/>
    <w:basedOn w:val="a0"/>
    <w:pPr>
      <w:widowControl/>
      <w:autoSpaceDE w:val="0"/>
      <w:autoSpaceDN w:val="0"/>
      <w:adjustRightInd w:val="0"/>
      <w:spacing w:line="500" w:lineRule="exact"/>
      <w:ind w:firstLineChars="200" w:firstLine="480"/>
      <w:jc w:val="left"/>
      <w:textAlignment w:val="baseline"/>
    </w:pPr>
    <w:rPr>
      <w:rFonts w:ascii="宋体" w:hAnsi="宋体"/>
      <w:kern w:val="0"/>
      <w:szCs w:val="20"/>
    </w:rPr>
  </w:style>
  <w:style w:type="paragraph" w:customStyle="1" w:styleId="afffffffffff4">
    <w:name w:val="封面日期"/>
    <w:basedOn w:val="a0"/>
    <w:pPr>
      <w:spacing w:line="560" w:lineRule="exact"/>
      <w:ind w:firstLineChars="200" w:firstLine="200"/>
      <w:jc w:val="center"/>
    </w:pPr>
    <w:rPr>
      <w:rFonts w:ascii="Calibri" w:hAnsi="Calibri"/>
      <w:sz w:val="32"/>
    </w:rPr>
  </w:style>
  <w:style w:type="paragraph" w:customStyle="1" w:styleId="07915">
    <w:name w:val="样式 小四 黑色 首行缩进:  0.79 厘米 行距: 1.5 倍行距"/>
    <w:basedOn w:val="a0"/>
    <w:pPr>
      <w:spacing w:line="520" w:lineRule="exact"/>
      <w:ind w:firstLine="448"/>
    </w:pPr>
    <w:rPr>
      <w:rFonts w:cs="宋体"/>
      <w:color w:val="000000"/>
      <w:sz w:val="24"/>
      <w:szCs w:val="20"/>
    </w:rPr>
  </w:style>
  <w:style w:type="paragraph" w:customStyle="1" w:styleId="xl89">
    <w:name w:val="xl89"/>
    <w:basedOn w:val="a0"/>
    <w:pPr>
      <w:widowControl/>
      <w:pBdr>
        <w:top w:val="single" w:sz="8" w:space="0" w:color="auto"/>
        <w:bottom w:val="single" w:sz="4" w:space="0" w:color="auto"/>
        <w:right w:val="single" w:sz="8" w:space="0" w:color="auto"/>
      </w:pBdr>
      <w:spacing w:before="100" w:beforeAutospacing="1" w:after="100" w:afterAutospacing="1"/>
      <w:jc w:val="center"/>
    </w:pPr>
    <w:rPr>
      <w:rFonts w:ascii="宋体" w:hAnsi="宋体"/>
      <w:kern w:val="0"/>
      <w:sz w:val="24"/>
    </w:rPr>
  </w:style>
  <w:style w:type="paragraph" w:customStyle="1" w:styleId="afffffffffff5">
    <w:name w:val="图表标题"/>
    <w:basedOn w:val="afffff0"/>
    <w:next w:val="a0"/>
    <w:pPr>
      <w:snapToGrid w:val="0"/>
      <w:spacing w:line="240" w:lineRule="auto"/>
      <w:ind w:firstLineChars="200" w:firstLine="480"/>
      <w:textAlignment w:val="baseline"/>
    </w:pPr>
    <w:rPr>
      <w:rFonts w:ascii="黑体" w:eastAsia="黑体" w:hAnsi="Times New Roman"/>
      <w:kern w:val="2"/>
      <w:szCs w:val="24"/>
    </w:rPr>
  </w:style>
  <w:style w:type="paragraph" w:customStyle="1" w:styleId="227">
    <w:name w:val="样式 正文文本缩进 2 + (符号) 宋体 行距: 固定值 27 磅"/>
    <w:basedOn w:val="23"/>
    <w:pPr>
      <w:adjustRightInd w:val="0"/>
      <w:snapToGrid w:val="0"/>
      <w:spacing w:line="540" w:lineRule="exact"/>
      <w:ind w:firstLineChars="200" w:firstLine="588"/>
    </w:pPr>
    <w:rPr>
      <w:rFonts w:ascii="宋体" w:hAnsi="宋体"/>
      <w:szCs w:val="20"/>
    </w:rPr>
  </w:style>
  <w:style w:type="paragraph" w:customStyle="1" w:styleId="Char49">
    <w:name w:val="Char49"/>
    <w:basedOn w:val="a0"/>
    <w:pPr>
      <w:spacing w:line="360" w:lineRule="auto"/>
      <w:ind w:firstLineChars="200" w:firstLine="200"/>
    </w:pPr>
    <w:rPr>
      <w:rFonts w:ascii="宋体" w:hAnsi="宋体" w:cs="宋体"/>
      <w:sz w:val="24"/>
    </w:rPr>
  </w:style>
  <w:style w:type="paragraph" w:customStyle="1" w:styleId="CharCharCharCharCharCharCharCharCharCharCharCharCharCharCharChar">
    <w:name w:val="Char Char Char Char Char Char Char Char Char Char Char Char Char Char Char Char"/>
    <w:basedOn w:val="a0"/>
    <w:pPr>
      <w:adjustRightInd w:val="0"/>
      <w:snapToGrid w:val="0"/>
      <w:spacing w:line="540" w:lineRule="atLeast"/>
    </w:pPr>
    <w:rPr>
      <w:rFonts w:ascii="Tahoma" w:hAnsi="Tahoma"/>
      <w:sz w:val="24"/>
      <w:szCs w:val="20"/>
    </w:rPr>
  </w:style>
  <w:style w:type="paragraph" w:customStyle="1" w:styleId="1010">
    <w:name w:val="样式 标题 1 + 二号 加宽量  0.1 磅"/>
    <w:basedOn w:val="1"/>
    <w:pPr>
      <w:pageBreakBefore/>
      <w:spacing w:line="576" w:lineRule="auto"/>
    </w:pPr>
    <w:rPr>
      <w:spacing w:val="2"/>
      <w:szCs w:val="20"/>
    </w:rPr>
  </w:style>
  <w:style w:type="paragraph" w:customStyle="1" w:styleId="115">
    <w:name w:val="样式 小四 首行缩进:  1 厘米 行距: 1.5 倍行距"/>
    <w:basedOn w:val="a0"/>
    <w:pPr>
      <w:spacing w:line="520" w:lineRule="exact"/>
      <w:ind w:firstLine="567"/>
    </w:pPr>
    <w:rPr>
      <w:rFonts w:cs="宋体"/>
      <w:sz w:val="24"/>
      <w:szCs w:val="20"/>
    </w:rPr>
  </w:style>
  <w:style w:type="paragraph" w:customStyle="1" w:styleId="afffffffffff6">
    <w:name w:val="样式 (中文) 黑体 小四 黑色"/>
    <w:basedOn w:val="a0"/>
    <w:pPr>
      <w:spacing w:line="520" w:lineRule="exact"/>
      <w:ind w:firstLine="437"/>
    </w:pPr>
    <w:rPr>
      <w:bCs/>
      <w:spacing w:val="2"/>
      <w:kern w:val="28"/>
      <w:sz w:val="24"/>
      <w:szCs w:val="28"/>
      <w:lang w:val="de-DE"/>
    </w:rPr>
  </w:style>
  <w:style w:type="paragraph" w:customStyle="1" w:styleId="xl91">
    <w:name w:val="xl91"/>
    <w:basedOn w:val="a0"/>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kern w:val="0"/>
      <w:sz w:val="24"/>
    </w:rPr>
  </w:style>
  <w:style w:type="paragraph" w:customStyle="1" w:styleId="312">
    <w:name w:val="正文文本 31"/>
    <w:basedOn w:val="a0"/>
    <w:pPr>
      <w:adjustRightInd w:val="0"/>
      <w:snapToGrid w:val="0"/>
      <w:spacing w:line="240" w:lineRule="exact"/>
      <w:jc w:val="right"/>
    </w:pPr>
    <w:rPr>
      <w:sz w:val="24"/>
      <w:szCs w:val="20"/>
    </w:rPr>
  </w:style>
  <w:style w:type="paragraph" w:customStyle="1" w:styleId="15175">
    <w:name w:val="样式 (符号) 宋体 小四 行距: 1.5 倍行距 首行缩进:  1.75 字符"/>
    <w:basedOn w:val="a0"/>
    <w:pPr>
      <w:spacing w:line="520" w:lineRule="exact"/>
      <w:ind w:firstLineChars="175" w:firstLine="175"/>
    </w:pPr>
    <w:rPr>
      <w:rFonts w:hAnsi="宋体" w:cs="宋体"/>
      <w:sz w:val="24"/>
      <w:szCs w:val="20"/>
    </w:rPr>
  </w:style>
  <w:style w:type="paragraph" w:customStyle="1" w:styleId="xl74">
    <w:name w:val="xl74"/>
    <w:basedOn w:val="a0"/>
    <w:pPr>
      <w:widowControl/>
      <w:pBdr>
        <w:top w:val="single" w:sz="8"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15212">
    <w:name w:val="样式 小四 行距: 1.5 倍行距 首行缩进:  2 字符1"/>
    <w:basedOn w:val="a0"/>
    <w:pPr>
      <w:spacing w:line="520" w:lineRule="exact"/>
      <w:ind w:firstLineChars="200" w:firstLine="200"/>
    </w:pPr>
    <w:rPr>
      <w:rFonts w:cs="宋体"/>
      <w:sz w:val="24"/>
      <w:szCs w:val="20"/>
    </w:rPr>
  </w:style>
  <w:style w:type="paragraph" w:customStyle="1" w:styleId="2TimesNewRoman113">
    <w:name w:val="样式 标题 2 + (西文) Times New Roman (中文) 宋体 黑色 首行缩进:  1.13 厘米"/>
    <w:basedOn w:val="2"/>
    <w:pPr>
      <w:spacing w:beforeLines="50" w:line="560" w:lineRule="exact"/>
      <w:ind w:firstLine="641"/>
    </w:pPr>
    <w:rPr>
      <w:rFonts w:ascii="Times New Roman" w:eastAsia="宋体" w:hAnsi="Times New Roman"/>
      <w:b w:val="0"/>
      <w:color w:val="000000"/>
      <w:sz w:val="28"/>
    </w:rPr>
  </w:style>
  <w:style w:type="paragraph" w:customStyle="1" w:styleId="22XWH2H2111112SeSeChar22h21">
    <w:name w:val="样式 标题 2标题 2XWH2H21节标题 1.11.1标题2Se节名Se Char二处标题 2标题2h2...1"/>
    <w:basedOn w:val="2"/>
    <w:pPr>
      <w:spacing w:before="0" w:after="0" w:line="520" w:lineRule="exact"/>
    </w:pPr>
    <w:rPr>
      <w:rFonts w:ascii="Times New Roman" w:hAnsi="Times New Roman" w:cs="宋体"/>
      <w:b w:val="0"/>
      <w:color w:val="000000"/>
      <w:sz w:val="28"/>
    </w:rPr>
  </w:style>
  <w:style w:type="paragraph" w:customStyle="1" w:styleId="0991510">
    <w:name w:val="样式 小四 黑色 首行缩进:  0.99 厘米 行距: 1.5 倍行距1"/>
    <w:basedOn w:val="a0"/>
    <w:pPr>
      <w:spacing w:line="520" w:lineRule="exact"/>
      <w:ind w:firstLine="561"/>
    </w:pPr>
    <w:rPr>
      <w:rFonts w:cs="宋体"/>
      <w:color w:val="000000"/>
      <w:sz w:val="24"/>
      <w:szCs w:val="20"/>
    </w:rPr>
  </w:style>
  <w:style w:type="paragraph" w:customStyle="1" w:styleId="xl30">
    <w:name w:val="xl30"/>
    <w:basedOn w:val="a0"/>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4"/>
    </w:rPr>
  </w:style>
  <w:style w:type="paragraph" w:customStyle="1" w:styleId="1552">
    <w:name w:val="样式 小四 黑色 行距: 多倍行距 1.55 字行 首行缩进:  2 字符"/>
    <w:basedOn w:val="a0"/>
    <w:qFormat/>
    <w:pPr>
      <w:spacing w:line="520" w:lineRule="exact"/>
      <w:ind w:firstLineChars="200" w:firstLine="200"/>
    </w:pPr>
    <w:rPr>
      <w:rFonts w:cs="宋体"/>
      <w:color w:val="000000"/>
      <w:sz w:val="24"/>
      <w:szCs w:val="20"/>
    </w:rPr>
  </w:style>
  <w:style w:type="paragraph" w:customStyle="1" w:styleId="16615">
    <w:name w:val="样式 标题 1 + 居中 段前: 6 磅 段后: 6 磅 行距: 1.5 倍行距"/>
    <w:basedOn w:val="1"/>
    <w:pPr>
      <w:pageBreakBefore/>
      <w:spacing w:before="0" w:after="360" w:line="360" w:lineRule="auto"/>
      <w:jc w:val="center"/>
    </w:pPr>
    <w:rPr>
      <w:rFonts w:cs="宋体"/>
      <w:szCs w:val="20"/>
    </w:rPr>
  </w:style>
  <w:style w:type="paragraph" w:customStyle="1" w:styleId="3f3">
    <w:name w:val="我的样式3"/>
    <w:basedOn w:val="a0"/>
    <w:pPr>
      <w:spacing w:beforeLines="50" w:after="100" w:afterAutospacing="1" w:line="520" w:lineRule="exact"/>
      <w:outlineLvl w:val="2"/>
    </w:pPr>
    <w:rPr>
      <w:rFonts w:eastAsia="楷体_GB2312"/>
      <w:szCs w:val="28"/>
    </w:rPr>
  </w:style>
  <w:style w:type="paragraph" w:customStyle="1" w:styleId="18-">
    <w:name w:val="样式18-方庄金矿表格"/>
    <w:qFormat/>
    <w:pPr>
      <w:jc w:val="center"/>
    </w:pPr>
    <w:rPr>
      <w:rFonts w:hAnsi="宋体"/>
      <w:spacing w:val="2"/>
      <w:sz w:val="21"/>
      <w:szCs w:val="21"/>
    </w:rPr>
  </w:style>
  <w:style w:type="paragraph" w:customStyle="1" w:styleId="2fe">
    <w:name w:val="正文文字缩进2"/>
    <w:basedOn w:val="23"/>
    <w:pPr>
      <w:spacing w:line="360" w:lineRule="auto"/>
      <w:ind w:firstLineChars="200" w:firstLine="560"/>
    </w:pPr>
    <w:rPr>
      <w:rFonts w:ascii="仿宋_GB2312" w:eastAsia="仿宋_GB2312"/>
    </w:rPr>
  </w:style>
  <w:style w:type="paragraph" w:customStyle="1" w:styleId="0990123">
    <w:name w:val="样式 小四 黑色 首行缩进:  0.99 厘米 加宽量  0.1 磅 行距: 固定值 23 磅"/>
    <w:basedOn w:val="a0"/>
    <w:pPr>
      <w:spacing w:line="520" w:lineRule="exact"/>
      <w:ind w:firstLine="561"/>
    </w:pPr>
    <w:rPr>
      <w:rFonts w:cs="宋体"/>
      <w:color w:val="000000"/>
      <w:spacing w:val="2"/>
      <w:sz w:val="24"/>
      <w:szCs w:val="20"/>
    </w:rPr>
  </w:style>
  <w:style w:type="paragraph" w:customStyle="1" w:styleId="CharChar1CharCharCharCharChar">
    <w:name w:val="样式 纯文本普通文字Char Char孙普文字普通文字1 Char Char Char纯文本 Char Char ..."/>
    <w:basedOn w:val="ae"/>
    <w:pPr>
      <w:spacing w:line="520" w:lineRule="exact"/>
    </w:pPr>
    <w:rPr>
      <w:rFonts w:ascii="Times New Roman" w:hAnsi="Times New Roman"/>
      <w:kern w:val="21"/>
      <w:sz w:val="24"/>
      <w:lang w:val="de-DE"/>
    </w:rPr>
  </w:style>
  <w:style w:type="paragraph" w:customStyle="1" w:styleId="08601153">
    <w:name w:val="样式 (中文) 黑体 小四 首行缩进:  0.86 厘米 加宽量  0.1 磅 行距: 1.5 倍行距"/>
    <w:basedOn w:val="a0"/>
    <w:pPr>
      <w:spacing w:line="520" w:lineRule="exact"/>
      <w:ind w:firstLine="488"/>
    </w:pPr>
    <w:rPr>
      <w:rFonts w:eastAsia="黑体" w:cs="宋体"/>
      <w:spacing w:val="2"/>
      <w:sz w:val="24"/>
      <w:szCs w:val="20"/>
    </w:rPr>
  </w:style>
  <w:style w:type="paragraph" w:customStyle="1" w:styleId="08501153">
    <w:name w:val="样式 小四 首行缩进:  0.85 厘米 加宽量  0.1 磅 行距: 1.5 倍行距"/>
    <w:basedOn w:val="a0"/>
    <w:pPr>
      <w:spacing w:line="520" w:lineRule="exact"/>
      <w:ind w:firstLine="482"/>
    </w:pPr>
    <w:rPr>
      <w:rFonts w:cs="宋体"/>
      <w:spacing w:val="2"/>
      <w:sz w:val="24"/>
      <w:szCs w:val="20"/>
    </w:rPr>
  </w:style>
  <w:style w:type="paragraph" w:customStyle="1" w:styleId="0851520">
    <w:name w:val="样式 小四 黑色 首行缩进:  0.85 厘米 行距: 1.5 倍行距2"/>
    <w:basedOn w:val="a0"/>
    <w:pPr>
      <w:spacing w:line="520" w:lineRule="exact"/>
      <w:ind w:firstLine="482"/>
    </w:pPr>
    <w:rPr>
      <w:rFonts w:cs="宋体"/>
      <w:color w:val="000000"/>
      <w:sz w:val="24"/>
      <w:szCs w:val="20"/>
    </w:rPr>
  </w:style>
  <w:style w:type="paragraph" w:customStyle="1" w:styleId="pic-info">
    <w:name w:val="pic-info"/>
    <w:basedOn w:val="a0"/>
    <w:pPr>
      <w:widowControl/>
      <w:spacing w:before="100" w:beforeAutospacing="1" w:after="100" w:afterAutospacing="1"/>
      <w:jc w:val="left"/>
    </w:pPr>
    <w:rPr>
      <w:rFonts w:ascii="宋体" w:hAnsi="宋体" w:cs="宋体"/>
      <w:kern w:val="0"/>
      <w:sz w:val="24"/>
    </w:rPr>
  </w:style>
  <w:style w:type="paragraph" w:customStyle="1" w:styleId="151750">
    <w:name w:val="样式 宋体 小四 黑色 行距: 1.5 倍行距 首行缩进:  1.75 字符"/>
    <w:basedOn w:val="a0"/>
    <w:pPr>
      <w:spacing w:line="520" w:lineRule="exact"/>
      <w:ind w:firstLineChars="175" w:firstLine="175"/>
    </w:pPr>
    <w:rPr>
      <w:rFonts w:ascii="宋体" w:hAnsi="宋体" w:cs="宋体"/>
      <w:color w:val="000000"/>
      <w:sz w:val="24"/>
      <w:szCs w:val="20"/>
    </w:rPr>
  </w:style>
  <w:style w:type="paragraph" w:customStyle="1" w:styleId="xl28">
    <w:name w:val="xl28"/>
    <w:basedOn w:val="a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175">
    <w:name w:val="样式 五号 居中 行距: 固定值 17.5 磅"/>
    <w:basedOn w:val="a0"/>
    <w:pPr>
      <w:jc w:val="center"/>
    </w:pPr>
    <w:rPr>
      <w:rFonts w:cs="宋体"/>
      <w:sz w:val="21"/>
      <w:szCs w:val="20"/>
    </w:rPr>
  </w:style>
  <w:style w:type="paragraph" w:customStyle="1" w:styleId="184">
    <w:name w:val="样式 (符号) +中文正文 黑色 居中 行距: 固定值 18 磅"/>
    <w:basedOn w:val="a0"/>
    <w:pPr>
      <w:jc w:val="center"/>
    </w:pPr>
    <w:rPr>
      <w:rFonts w:hAnsi="宋体" w:cs="宋体"/>
      <w:color w:val="000000"/>
      <w:kern w:val="0"/>
      <w:sz w:val="21"/>
      <w:szCs w:val="20"/>
    </w:rPr>
  </w:style>
  <w:style w:type="paragraph" w:customStyle="1" w:styleId="232">
    <w:name w:val="样式 小四 黑色 行距: 固定值 23 磅 首行缩进:  2 字符"/>
    <w:basedOn w:val="a0"/>
    <w:pPr>
      <w:spacing w:line="520" w:lineRule="exact"/>
      <w:ind w:firstLineChars="200" w:firstLine="200"/>
    </w:pPr>
    <w:rPr>
      <w:rFonts w:cs="宋体"/>
      <w:color w:val="000000"/>
      <w:sz w:val="24"/>
      <w:szCs w:val="20"/>
    </w:rPr>
  </w:style>
  <w:style w:type="paragraph" w:customStyle="1" w:styleId="33Char15111341511">
    <w:name w:val="样式 标题 3标题 3 Char小标题四号宋体左齐行距1.5倍1.1.1标题 34号宋体左齐行距1.5倍条标题1.1..."/>
    <w:basedOn w:val="30"/>
    <w:pPr>
      <w:spacing w:before="0" w:after="0" w:line="520" w:lineRule="exact"/>
    </w:pPr>
    <w:rPr>
      <w:rFonts w:eastAsia="华文楷体" w:cs="宋体"/>
      <w:sz w:val="28"/>
      <w:szCs w:val="20"/>
    </w:rPr>
  </w:style>
  <w:style w:type="paragraph" w:customStyle="1" w:styleId="1020123">
    <w:name w:val="样式 (符号) 宋体 小四 黑色 首行缩进:  1.02 厘米 加宽量  0.1 磅 行距: 固定值 23 磅"/>
    <w:basedOn w:val="a0"/>
    <w:pPr>
      <w:spacing w:line="520" w:lineRule="exact"/>
      <w:ind w:firstLine="578"/>
    </w:pPr>
    <w:rPr>
      <w:rFonts w:hAnsi="宋体" w:cs="宋体"/>
      <w:color w:val="000000"/>
      <w:spacing w:val="2"/>
      <w:sz w:val="24"/>
      <w:szCs w:val="20"/>
    </w:rPr>
  </w:style>
  <w:style w:type="paragraph" w:customStyle="1" w:styleId="1ffb">
    <w:name w:val="1. 表格内容"/>
    <w:basedOn w:val="a0"/>
    <w:qFormat/>
    <w:pPr>
      <w:widowControl/>
      <w:snapToGrid w:val="0"/>
      <w:jc w:val="center"/>
      <w:textAlignment w:val="baseline"/>
    </w:pPr>
    <w:rPr>
      <w:kern w:val="0"/>
      <w:sz w:val="21"/>
      <w:szCs w:val="21"/>
    </w:rPr>
  </w:style>
  <w:style w:type="paragraph" w:customStyle="1" w:styleId="2ff">
    <w:name w:val="表号2"/>
    <w:basedOn w:val="a0"/>
    <w:next w:val="51"/>
    <w:pPr>
      <w:adjustRightInd w:val="0"/>
      <w:snapToGrid w:val="0"/>
      <w:spacing w:line="360" w:lineRule="auto"/>
      <w:ind w:firstLineChars="200" w:firstLine="200"/>
      <w:jc w:val="right"/>
    </w:pPr>
    <w:rPr>
      <w:kern w:val="0"/>
      <w:sz w:val="24"/>
    </w:rPr>
  </w:style>
  <w:style w:type="paragraph" w:customStyle="1" w:styleId="22CharTimesNewRoman000">
    <w:name w:val="样式 标题 2标题 2 Char + Times New Roman 非加粗 段前: 0 磅 段后: 0 磅 行距: ..."/>
    <w:basedOn w:val="2"/>
    <w:pPr>
      <w:spacing w:beforeLines="50" w:afterLines="50" w:line="560" w:lineRule="exact"/>
    </w:pPr>
    <w:rPr>
      <w:rFonts w:ascii="Times New Roman" w:hAnsi="Times New Roman" w:cs="宋体"/>
      <w:b w:val="0"/>
    </w:rPr>
  </w:style>
  <w:style w:type="paragraph" w:customStyle="1" w:styleId="afffffffffff7">
    <w:name w:val="样式 加粗 居中"/>
    <w:basedOn w:val="a0"/>
    <w:pPr>
      <w:spacing w:line="500" w:lineRule="exact"/>
      <w:jc w:val="center"/>
    </w:pPr>
    <w:rPr>
      <w:rFonts w:cs="宋体"/>
      <w:b/>
      <w:bCs/>
      <w:sz w:val="21"/>
      <w:szCs w:val="20"/>
    </w:rPr>
  </w:style>
  <w:style w:type="paragraph" w:customStyle="1" w:styleId="afffffffffff8">
    <w:name w:val="图表表头"/>
    <w:basedOn w:val="a0"/>
    <w:pPr>
      <w:autoSpaceDE w:val="0"/>
      <w:autoSpaceDN w:val="0"/>
      <w:adjustRightInd w:val="0"/>
      <w:snapToGrid w:val="0"/>
      <w:spacing w:line="540" w:lineRule="exact"/>
      <w:ind w:firstLineChars="200" w:firstLine="510"/>
      <w:jc w:val="center"/>
    </w:pPr>
    <w:rPr>
      <w:b/>
      <w:sz w:val="24"/>
    </w:rPr>
  </w:style>
  <w:style w:type="paragraph" w:customStyle="1" w:styleId="ppGB2312">
    <w:name w:val="样式pp仿宋_GB2312 四号"/>
    <w:basedOn w:val="a0"/>
    <w:qFormat/>
    <w:pPr>
      <w:spacing w:line="500" w:lineRule="exact"/>
      <w:ind w:firstLineChars="200" w:firstLine="480"/>
    </w:pPr>
    <w:rPr>
      <w:rFonts w:hAnsi="宋体"/>
      <w:sz w:val="24"/>
      <w:szCs w:val="36"/>
    </w:rPr>
  </w:style>
  <w:style w:type="paragraph" w:customStyle="1" w:styleId="font9">
    <w:name w:val="font9"/>
    <w:basedOn w:val="a0"/>
    <w:pPr>
      <w:widowControl/>
      <w:spacing w:before="100" w:beforeAutospacing="1" w:after="100" w:afterAutospacing="1"/>
      <w:jc w:val="left"/>
    </w:pPr>
    <w:rPr>
      <w:color w:val="000000"/>
      <w:kern w:val="0"/>
      <w:sz w:val="24"/>
    </w:rPr>
  </w:style>
  <w:style w:type="paragraph" w:customStyle="1" w:styleId="225">
    <w:name w:val="样式 小四 加粗 字距调整四号 行距: 固定值 22 磅"/>
    <w:basedOn w:val="a0"/>
    <w:pPr>
      <w:spacing w:line="520" w:lineRule="exact"/>
    </w:pPr>
    <w:rPr>
      <w:rFonts w:ascii="Calibri" w:hAnsi="Calibri" w:cs="宋体"/>
      <w:b/>
      <w:bCs/>
      <w:kern w:val="28"/>
      <w:sz w:val="24"/>
      <w:szCs w:val="20"/>
    </w:rPr>
  </w:style>
  <w:style w:type="paragraph" w:customStyle="1" w:styleId="afffffffffff9">
    <w:name w:val="表体（富士康）"/>
    <w:basedOn w:val="a0"/>
    <w:pPr>
      <w:widowControl/>
      <w:adjustRightInd w:val="0"/>
      <w:snapToGrid w:val="0"/>
      <w:jc w:val="center"/>
    </w:pPr>
    <w:rPr>
      <w:rFonts w:cs="宋体"/>
      <w:sz w:val="24"/>
    </w:rPr>
  </w:style>
  <w:style w:type="paragraph" w:styleId="afffffffffffa">
    <w:name w:val="List Paragraph"/>
    <w:basedOn w:val="a0"/>
    <w:uiPriority w:val="1"/>
    <w:qFormat/>
    <w:pPr>
      <w:ind w:firstLineChars="200" w:firstLine="420"/>
    </w:pPr>
    <w:rPr>
      <w:sz w:val="21"/>
      <w:szCs w:val="20"/>
    </w:rPr>
  </w:style>
  <w:style w:type="paragraph" w:customStyle="1" w:styleId="22Char15">
    <w:name w:val="样式 标题 2标题 2 Char + 宋体 小三 行距: 1.5 倍行距"/>
    <w:basedOn w:val="2"/>
    <w:pPr>
      <w:tabs>
        <w:tab w:val="left" w:pos="2620"/>
      </w:tabs>
      <w:spacing w:before="0" w:after="0" w:line="520" w:lineRule="exact"/>
    </w:pPr>
    <w:rPr>
      <w:rFonts w:ascii="Times New Roman" w:eastAsia="宋体" w:hAnsi="Times New Roman"/>
      <w:bCs/>
      <w:sz w:val="28"/>
    </w:rPr>
  </w:style>
  <w:style w:type="paragraph" w:customStyle="1" w:styleId="CharCharCharCharCharCharCharCharCharC3">
    <w:name w:val="样式 纯文本孙普文字 Char Char CharCharChar Char纯文本 Char Char Char C...3"/>
    <w:basedOn w:val="ae"/>
    <w:pPr>
      <w:spacing w:line="520" w:lineRule="exact"/>
      <w:ind w:firstLine="561"/>
    </w:pPr>
    <w:rPr>
      <w:rFonts w:ascii="Times New Roman" w:hAnsi="Times New Roman" w:cs="宋体"/>
      <w:color w:val="000000"/>
      <w:sz w:val="24"/>
    </w:rPr>
  </w:style>
  <w:style w:type="paragraph" w:customStyle="1" w:styleId="019">
    <w:name w:val="样式 (符号) 宋体 小四 黑色 加宽量  0.1 磅"/>
    <w:basedOn w:val="a0"/>
    <w:pPr>
      <w:spacing w:line="520" w:lineRule="exact"/>
      <w:ind w:left="482"/>
    </w:pPr>
    <w:rPr>
      <w:rFonts w:hAnsi="宋体"/>
      <w:color w:val="000000"/>
      <w:spacing w:val="2"/>
      <w:sz w:val="24"/>
    </w:rPr>
  </w:style>
  <w:style w:type="paragraph" w:customStyle="1" w:styleId="afffffffffffb">
    <w:name w:val="表格易"/>
    <w:basedOn w:val="a0"/>
    <w:qFormat/>
    <w:pPr>
      <w:adjustRightInd w:val="0"/>
      <w:snapToGrid w:val="0"/>
      <w:jc w:val="center"/>
    </w:pPr>
    <w:rPr>
      <w:rFonts w:hAnsi="宋体"/>
      <w:color w:val="000000"/>
      <w:sz w:val="21"/>
      <w:szCs w:val="21"/>
    </w:rPr>
  </w:style>
  <w:style w:type="paragraph" w:customStyle="1" w:styleId="102-00715">
    <w:name w:val="样式 小四 黑色 首行缩进:  1.02 厘米 右侧:  -0.07 厘米 行距: 1.5 倍行距"/>
    <w:basedOn w:val="a0"/>
    <w:pPr>
      <w:spacing w:line="520" w:lineRule="exact"/>
      <w:ind w:right="-40" w:firstLine="578"/>
    </w:pPr>
    <w:rPr>
      <w:rFonts w:cs="宋体"/>
      <w:color w:val="000000"/>
      <w:sz w:val="24"/>
      <w:szCs w:val="20"/>
    </w:rPr>
  </w:style>
  <w:style w:type="paragraph" w:customStyle="1" w:styleId="GB23122">
    <w:name w:val="样式 规划正文 + 仿宋_GB2312 三号 首行缩进:  2 字符 行距: 单倍行距"/>
    <w:basedOn w:val="a0"/>
    <w:pPr>
      <w:ind w:firstLineChars="200" w:firstLine="560"/>
    </w:pPr>
    <w:rPr>
      <w:rFonts w:ascii="仿宋_GB2312" w:eastAsia="仿宋_GB2312" w:cs="宋体"/>
      <w:szCs w:val="28"/>
    </w:rPr>
  </w:style>
  <w:style w:type="paragraph" w:customStyle="1" w:styleId="Char1CharCharCharCharCharChar">
    <w:name w:val="Char1 Char Char Char Char Char Char"/>
    <w:basedOn w:val="a0"/>
    <w:pPr>
      <w:spacing w:beforeLines="100" w:afterLines="50" w:line="600" w:lineRule="exact"/>
      <w:ind w:firstLineChars="200" w:firstLine="200"/>
    </w:pPr>
    <w:rPr>
      <w:rFonts w:eastAsia="黑体"/>
    </w:rPr>
  </w:style>
  <w:style w:type="paragraph" w:customStyle="1" w:styleId="0851510">
    <w:name w:val="样式 小四 首行缩进:  0.85 厘米 行距: 1.5 倍行距1"/>
    <w:basedOn w:val="a0"/>
    <w:pPr>
      <w:spacing w:line="520" w:lineRule="exact"/>
      <w:ind w:firstLine="482"/>
    </w:pPr>
    <w:rPr>
      <w:rFonts w:cs="宋体"/>
      <w:sz w:val="24"/>
      <w:szCs w:val="20"/>
    </w:rPr>
  </w:style>
  <w:style w:type="paragraph" w:customStyle="1" w:styleId="CharChar4CharChar">
    <w:name w:val="Char Char4 Char Char"/>
    <w:basedOn w:val="a0"/>
    <w:pPr>
      <w:spacing w:line="360" w:lineRule="auto"/>
      <w:ind w:firstLineChars="200" w:firstLine="200"/>
    </w:pPr>
    <w:rPr>
      <w:rFonts w:ascii="宋体" w:hAnsi="宋体" w:cs="宋体"/>
      <w:sz w:val="24"/>
    </w:rPr>
  </w:style>
  <w:style w:type="paragraph" w:customStyle="1" w:styleId="2ff0">
    <w:name w:val="样式 小四 黑色 首行缩进:  2 字符"/>
    <w:basedOn w:val="a0"/>
    <w:pPr>
      <w:spacing w:line="520" w:lineRule="exact"/>
      <w:ind w:firstLineChars="200" w:firstLine="200"/>
    </w:pPr>
    <w:rPr>
      <w:rFonts w:cs="宋体"/>
      <w:color w:val="000000"/>
      <w:sz w:val="24"/>
      <w:szCs w:val="20"/>
    </w:rPr>
  </w:style>
  <w:style w:type="paragraph" w:customStyle="1" w:styleId="afffffffffffc">
    <w:name w:val="表头样式"/>
    <w:basedOn w:val="a0"/>
    <w:pPr>
      <w:adjustRightInd w:val="0"/>
      <w:snapToGrid w:val="0"/>
      <w:spacing w:line="360" w:lineRule="auto"/>
      <w:ind w:firstLineChars="200" w:firstLine="480"/>
    </w:pPr>
    <w:rPr>
      <w:rFonts w:ascii="黑体" w:eastAsia="黑体"/>
      <w:sz w:val="24"/>
    </w:rPr>
  </w:style>
  <w:style w:type="paragraph" w:customStyle="1" w:styleId="1ffc">
    <w:name w:val="样式 小四1"/>
    <w:basedOn w:val="a0"/>
    <w:pPr>
      <w:spacing w:line="520" w:lineRule="exact"/>
      <w:ind w:firstLineChars="200" w:firstLine="200"/>
    </w:pPr>
    <w:rPr>
      <w:sz w:val="24"/>
      <w:szCs w:val="20"/>
    </w:rPr>
  </w:style>
  <w:style w:type="paragraph" w:customStyle="1" w:styleId="afffffffffffd">
    <w:name w:val="黔金三级标题"/>
    <w:basedOn w:val="a0"/>
    <w:qFormat/>
    <w:pPr>
      <w:ind w:firstLineChars="200" w:firstLine="480"/>
      <w:outlineLvl w:val="2"/>
    </w:pPr>
    <w:rPr>
      <w:rFonts w:eastAsia="黑体"/>
      <w:b/>
      <w:sz w:val="24"/>
      <w:szCs w:val="21"/>
    </w:rPr>
  </w:style>
  <w:style w:type="paragraph" w:customStyle="1" w:styleId="xl75">
    <w:name w:val="xl75"/>
    <w:basedOn w:val="a0"/>
    <w:pPr>
      <w:widowControl/>
      <w:pBdr>
        <w:top w:val="single" w:sz="8" w:space="0" w:color="auto"/>
        <w:bottom w:val="single" w:sz="4" w:space="0" w:color="auto"/>
      </w:pBdr>
      <w:spacing w:before="100" w:beforeAutospacing="1" w:after="100" w:afterAutospacing="1"/>
      <w:jc w:val="center"/>
    </w:pPr>
    <w:rPr>
      <w:rFonts w:ascii="宋体" w:hAnsi="宋体"/>
      <w:kern w:val="0"/>
      <w:sz w:val="24"/>
    </w:rPr>
  </w:style>
  <w:style w:type="paragraph" w:customStyle="1" w:styleId="27878">
    <w:name w:val="样式 表格名 + 加粗 首行缩进:  2 字符 段前: 7.8 磅 段后: 7.8 磅"/>
    <w:basedOn w:val="a0"/>
    <w:pPr>
      <w:spacing w:before="156" w:after="156"/>
      <w:ind w:firstLineChars="200" w:firstLine="482"/>
    </w:pPr>
    <w:rPr>
      <w:rFonts w:eastAsia="黑体" w:cs="宋体"/>
      <w:bCs/>
      <w:sz w:val="24"/>
      <w:szCs w:val="20"/>
    </w:rPr>
  </w:style>
  <w:style w:type="paragraph" w:customStyle="1" w:styleId="0851511">
    <w:name w:val="样式 小四 黑色 首行缩进:  0.85 厘米 行距: 1.5 倍行距1"/>
    <w:basedOn w:val="a0"/>
    <w:pPr>
      <w:spacing w:line="520" w:lineRule="exact"/>
      <w:ind w:firstLine="482"/>
    </w:pPr>
    <w:rPr>
      <w:rFonts w:cs="宋体"/>
      <w:color w:val="000000"/>
      <w:sz w:val="24"/>
      <w:szCs w:val="20"/>
    </w:rPr>
  </w:style>
  <w:style w:type="paragraph" w:customStyle="1" w:styleId="042">
    <w:name w:val="表格04左"/>
    <w:basedOn w:val="041"/>
    <w:pPr>
      <w:snapToGrid w:val="0"/>
      <w:jc w:val="left"/>
    </w:pPr>
    <w:rPr>
      <w:spacing w:val="0"/>
    </w:rPr>
  </w:style>
  <w:style w:type="paragraph" w:customStyle="1" w:styleId="me30">
    <w:name w:val="me 标题3"/>
    <w:basedOn w:val="a0"/>
    <w:pPr>
      <w:keepNext/>
      <w:keepLines/>
      <w:spacing w:beforeLines="50" w:line="540" w:lineRule="exact"/>
      <w:ind w:firstLineChars="200" w:firstLine="562"/>
      <w:outlineLvl w:val="2"/>
    </w:pPr>
    <w:rPr>
      <w:rFonts w:ascii="黑体" w:eastAsia="黑体" w:hAnsi="宋体"/>
      <w:b/>
      <w:szCs w:val="20"/>
    </w:rPr>
  </w:style>
  <w:style w:type="paragraph" w:customStyle="1" w:styleId="a21">
    <w:name w:val="a首行缩进:  2 字符"/>
    <w:basedOn w:val="a0"/>
    <w:qFormat/>
    <w:pPr>
      <w:widowControl/>
      <w:adjustRightInd w:val="0"/>
      <w:snapToGrid w:val="0"/>
      <w:spacing w:line="360" w:lineRule="auto"/>
      <w:ind w:firstLineChars="200" w:firstLine="200"/>
      <w:jc w:val="left"/>
    </w:pPr>
    <w:rPr>
      <w:rFonts w:ascii="Calibri" w:eastAsia="仿宋_GB2312" w:hAnsi="Calibri" w:cs="宋体"/>
      <w:kern w:val="0"/>
      <w:sz w:val="24"/>
      <w:szCs w:val="20"/>
      <w:lang w:val="vi-VN"/>
    </w:rPr>
  </w:style>
  <w:style w:type="paragraph" w:customStyle="1" w:styleId="afffffffffffe">
    <w:basedOn w:val="1"/>
    <w:next w:val="a0"/>
    <w:qFormat/>
    <w:pPr>
      <w:widowControl/>
      <w:spacing w:before="480" w:after="0" w:line="276" w:lineRule="auto"/>
      <w:jc w:val="left"/>
      <w:outlineLvl w:val="9"/>
    </w:pPr>
    <w:rPr>
      <w:rFonts w:ascii="Cambria" w:hAnsi="Cambria"/>
      <w:color w:val="365F91"/>
      <w:kern w:val="0"/>
      <w:sz w:val="28"/>
      <w:szCs w:val="28"/>
    </w:rPr>
  </w:style>
  <w:style w:type="paragraph" w:customStyle="1" w:styleId="1ffd">
    <w:name w:val="列出段落1"/>
    <w:basedOn w:val="a0"/>
    <w:uiPriority w:val="34"/>
    <w:qFormat/>
    <w:pPr>
      <w:spacing w:line="520" w:lineRule="exact"/>
      <w:ind w:firstLineChars="200" w:firstLine="420"/>
      <w:jc w:val="left"/>
    </w:pPr>
    <w:rPr>
      <w:rFonts w:ascii="Calibri" w:hAnsi="Calibri"/>
      <w:sz w:val="24"/>
    </w:rPr>
  </w:style>
  <w:style w:type="paragraph" w:customStyle="1" w:styleId="2240">
    <w:name w:val="样式 标题 2 + 小四 非加粗 自动设置 行距: 最小值 24 磅"/>
    <w:basedOn w:val="2"/>
    <w:pPr>
      <w:keepLines w:val="0"/>
      <w:widowControl/>
      <w:spacing w:before="0" w:after="0" w:line="480" w:lineRule="atLeast"/>
      <w:ind w:leftChars="200" w:left="560" w:firstLineChars="200" w:firstLine="480"/>
      <w:jc w:val="left"/>
    </w:pPr>
    <w:rPr>
      <w:rFonts w:ascii="宋体" w:hAnsi="宋体"/>
      <w:kern w:val="0"/>
      <w:sz w:val="28"/>
    </w:rPr>
  </w:style>
  <w:style w:type="paragraph" w:customStyle="1" w:styleId="017118">
    <w:name w:val="样式 (符号) +中文正文 黑色 居中 左侧:  0 厘米 悬挂缩进: 1.71 字符 行距: 固定值 18 磅"/>
    <w:basedOn w:val="a0"/>
    <w:pPr>
      <w:jc w:val="center"/>
    </w:pPr>
    <w:rPr>
      <w:rFonts w:hAnsi="宋体" w:cs="宋体"/>
      <w:color w:val="000000"/>
      <w:kern w:val="0"/>
      <w:sz w:val="21"/>
      <w:szCs w:val="20"/>
    </w:rPr>
  </w:style>
  <w:style w:type="paragraph" w:customStyle="1" w:styleId="4TimesNewRoman">
    <w:name w:val="样式 样式4 + Times New Roman 小四"/>
    <w:basedOn w:val="49"/>
    <w:pPr>
      <w:keepNext/>
      <w:keepLines/>
      <w:spacing w:line="520" w:lineRule="exact"/>
      <w:jc w:val="both"/>
      <w:outlineLvl w:val="2"/>
    </w:pPr>
    <w:rPr>
      <w:kern w:val="0"/>
      <w:sz w:val="24"/>
      <w:szCs w:val="20"/>
    </w:rPr>
  </w:style>
  <w:style w:type="paragraph" w:customStyle="1" w:styleId="3MB33Char15111341510">
    <w:name w:val="样式 样式 标题 3MB3标题 3 Char小标题四号宋体左齐行距1.5倍1.1.1标题 34号宋体左齐行距1.5倍条标...1..."/>
    <w:basedOn w:val="3MB33Char1511134151"/>
    <w:pPr>
      <w:spacing w:before="120"/>
    </w:pPr>
    <w:rPr>
      <w:b w:val="0"/>
    </w:rPr>
  </w:style>
  <w:style w:type="paragraph" w:customStyle="1" w:styleId="CharChar4CharChar0">
    <w:name w:val="Char Char4 Char Char"/>
    <w:basedOn w:val="a0"/>
    <w:pPr>
      <w:spacing w:line="360" w:lineRule="auto"/>
      <w:ind w:firstLineChars="200" w:firstLine="200"/>
    </w:pPr>
    <w:rPr>
      <w:rFonts w:ascii="宋体" w:hAnsi="宋体" w:cs="宋体"/>
      <w:sz w:val="24"/>
    </w:rPr>
  </w:style>
  <w:style w:type="paragraph" w:customStyle="1" w:styleId="113">
    <w:name w:val="索引 11"/>
    <w:basedOn w:val="a0"/>
    <w:next w:val="a0"/>
    <w:pPr>
      <w:tabs>
        <w:tab w:val="left" w:pos="720"/>
        <w:tab w:val="left" w:pos="2895"/>
      </w:tabs>
      <w:adjustRightInd w:val="0"/>
      <w:snapToGrid w:val="0"/>
      <w:spacing w:line="360" w:lineRule="auto"/>
      <w:ind w:left="2895" w:firstLine="200"/>
      <w:jc w:val="left"/>
    </w:pPr>
    <w:rPr>
      <w:rFonts w:hint="eastAsia"/>
      <w:sz w:val="21"/>
      <w:szCs w:val="20"/>
    </w:rPr>
  </w:style>
  <w:style w:type="paragraph" w:customStyle="1" w:styleId="152a">
    <w:name w:val="样式 小四 行距: 1.5 倍行距 首行缩进:  2 字符"/>
    <w:basedOn w:val="a0"/>
    <w:pPr>
      <w:spacing w:line="520" w:lineRule="exact"/>
      <w:ind w:firstLineChars="200" w:firstLine="200"/>
    </w:pPr>
    <w:rPr>
      <w:rFonts w:cs="宋体"/>
      <w:sz w:val="24"/>
      <w:szCs w:val="20"/>
    </w:rPr>
  </w:style>
  <w:style w:type="paragraph" w:customStyle="1" w:styleId="01Char0">
    <w:name w:val="表格01 Char"/>
    <w:basedOn w:val="a0"/>
    <w:pPr>
      <w:adjustRightInd w:val="0"/>
      <w:snapToGrid w:val="0"/>
      <w:spacing w:before="120" w:line="480" w:lineRule="exact"/>
      <w:jc w:val="center"/>
      <w:textAlignment w:val="baseline"/>
    </w:pPr>
    <w:rPr>
      <w:snapToGrid w:val="0"/>
      <w:spacing w:val="-2"/>
      <w:kern w:val="0"/>
      <w:szCs w:val="28"/>
    </w:rPr>
  </w:style>
  <w:style w:type="paragraph" w:customStyle="1" w:styleId="Char413">
    <w:name w:val="Char413"/>
    <w:basedOn w:val="a0"/>
    <w:pPr>
      <w:spacing w:line="360" w:lineRule="auto"/>
      <w:ind w:firstLineChars="200" w:firstLine="200"/>
    </w:pPr>
    <w:rPr>
      <w:rFonts w:ascii="宋体" w:hAnsi="宋体" w:cs="宋体"/>
      <w:sz w:val="24"/>
    </w:rPr>
  </w:style>
  <w:style w:type="paragraph" w:customStyle="1" w:styleId="01Char1">
    <w:name w:val="表格标题01 Char"/>
    <w:basedOn w:val="a0"/>
    <w:pPr>
      <w:adjustRightInd w:val="0"/>
      <w:spacing w:line="480" w:lineRule="exact"/>
      <w:jc w:val="center"/>
      <w:textAlignment w:val="baseline"/>
    </w:pPr>
    <w:rPr>
      <w:snapToGrid w:val="0"/>
      <w:spacing w:val="-2"/>
      <w:kern w:val="0"/>
      <w:szCs w:val="28"/>
    </w:rPr>
  </w:style>
  <w:style w:type="paragraph" w:customStyle="1" w:styleId="09715">
    <w:name w:val="样式 小四 黑色 首行缩进:  0.97 厘米 行距: 1.5 倍行距"/>
    <w:basedOn w:val="a0"/>
    <w:pPr>
      <w:spacing w:line="520" w:lineRule="exact"/>
      <w:ind w:firstLine="550"/>
    </w:pPr>
    <w:rPr>
      <w:rFonts w:cs="宋体"/>
      <w:color w:val="000000"/>
      <w:sz w:val="24"/>
      <w:szCs w:val="20"/>
    </w:rPr>
  </w:style>
  <w:style w:type="paragraph" w:customStyle="1" w:styleId="4MB4h4H42124TimesNew">
    <w:name w:val="样式 标题 4MB4[三级节名]h4H4条 2[三级节名]1[三级节名]2常用标题 4 + Times New ..."/>
    <w:basedOn w:val="4"/>
    <w:pPr>
      <w:spacing w:before="0" w:after="0" w:line="520" w:lineRule="exact"/>
    </w:pPr>
    <w:rPr>
      <w:rFonts w:ascii="Times New Roman" w:hAnsi="Times New Roman" w:cs="宋体"/>
      <w:sz w:val="24"/>
      <w:szCs w:val="20"/>
    </w:rPr>
  </w:style>
  <w:style w:type="paragraph" w:customStyle="1" w:styleId="affffffffffff">
    <w:name w:val="样式 样式 字距调整四号 + 字距调整四号"/>
    <w:basedOn w:val="affffffffffff0"/>
    <w:rPr>
      <w:b/>
      <w:kern w:val="28"/>
    </w:rPr>
  </w:style>
  <w:style w:type="paragraph" w:customStyle="1" w:styleId="affffffffffff0">
    <w:name w:val="样式 字距调整四号"/>
    <w:basedOn w:val="a0"/>
    <w:pPr>
      <w:spacing w:line="320" w:lineRule="exact"/>
      <w:jc w:val="center"/>
    </w:pPr>
    <w:rPr>
      <w:rFonts w:eastAsia="黑体"/>
      <w:sz w:val="24"/>
    </w:rPr>
  </w:style>
  <w:style w:type="paragraph" w:customStyle="1" w:styleId="33Char">
    <w:name w:val="样式 标题 3标题 3 Char + 小四 行距: 单倍行距"/>
    <w:basedOn w:val="30"/>
    <w:pPr>
      <w:spacing w:before="0" w:after="0" w:line="520" w:lineRule="exact"/>
    </w:pPr>
    <w:rPr>
      <w:rFonts w:ascii="宋体" w:eastAsia="楷体_GB2312" w:hAnsi="宋体" w:cs="宋体"/>
      <w:b w:val="0"/>
      <w:bCs w:val="0"/>
      <w:spacing w:val="2"/>
      <w:sz w:val="24"/>
      <w:szCs w:val="20"/>
    </w:rPr>
  </w:style>
  <w:style w:type="paragraph" w:customStyle="1" w:styleId="wm">
    <w:name w:val="wm"/>
    <w:basedOn w:val="a0"/>
    <w:pPr>
      <w:adjustRightInd w:val="0"/>
      <w:snapToGrid w:val="0"/>
      <w:spacing w:line="440" w:lineRule="atLeast"/>
      <w:ind w:firstLineChars="200" w:firstLine="567"/>
    </w:pPr>
    <w:rPr>
      <w:szCs w:val="20"/>
    </w:rPr>
  </w:style>
  <w:style w:type="paragraph" w:customStyle="1" w:styleId="775">
    <w:name w:val="样式 居中 行距: 固定值 7.75 磅"/>
    <w:basedOn w:val="a0"/>
    <w:pPr>
      <w:jc w:val="center"/>
    </w:pPr>
    <w:rPr>
      <w:rFonts w:cs="宋体"/>
      <w:sz w:val="21"/>
      <w:szCs w:val="20"/>
    </w:rPr>
  </w:style>
  <w:style w:type="paragraph" w:customStyle="1" w:styleId="TableStyle105">
    <w:name w:val="TableStyle10.5"/>
    <w:basedOn w:val="a0"/>
    <w:qFormat/>
    <w:pPr>
      <w:widowControl/>
      <w:jc w:val="center"/>
    </w:pPr>
    <w:rPr>
      <w:rFonts w:ascii="Calibri" w:hAnsi="Calibri"/>
      <w:color w:val="000000"/>
      <w:kern w:val="0"/>
      <w:szCs w:val="22"/>
    </w:rPr>
  </w:style>
  <w:style w:type="paragraph" w:customStyle="1" w:styleId="affffffffffff1">
    <w:name w:val="表的格式（小四）"/>
    <w:basedOn w:val="a0"/>
    <w:pPr>
      <w:adjustRightInd w:val="0"/>
      <w:spacing w:line="360" w:lineRule="atLeast"/>
      <w:jc w:val="center"/>
    </w:pPr>
    <w:rPr>
      <w:kern w:val="0"/>
      <w:sz w:val="24"/>
      <w:szCs w:val="20"/>
    </w:rPr>
  </w:style>
  <w:style w:type="paragraph" w:customStyle="1" w:styleId="2320">
    <w:name w:val="样式 (中文) 新宋体 小四 黑色 行距: 固定值 23 磅 首行缩进:  2 字符"/>
    <w:basedOn w:val="a0"/>
    <w:pPr>
      <w:spacing w:line="520" w:lineRule="exact"/>
      <w:ind w:firstLineChars="200" w:firstLine="200"/>
    </w:pPr>
    <w:rPr>
      <w:rFonts w:eastAsia="新宋体" w:cs="宋体"/>
      <w:color w:val="000000"/>
      <w:kern w:val="0"/>
      <w:sz w:val="24"/>
      <w:szCs w:val="20"/>
    </w:rPr>
  </w:style>
  <w:style w:type="paragraph" w:customStyle="1" w:styleId="---">
    <w:name w:val="图表---"/>
    <w:basedOn w:val="a0"/>
    <w:pPr>
      <w:snapToGrid w:val="0"/>
      <w:jc w:val="center"/>
    </w:pPr>
    <w:rPr>
      <w:rFonts w:cs="宋体"/>
      <w:b/>
      <w:bCs/>
      <w:kern w:val="0"/>
      <w:sz w:val="21"/>
      <w:szCs w:val="20"/>
    </w:rPr>
  </w:style>
  <w:style w:type="paragraph" w:customStyle="1" w:styleId="22015">
    <w:name w:val="样式 正文文本缩进 2 + 小四 黑色 左侧:  2 字符 段后: 0 磅 行距: 1.5 倍行距"/>
    <w:basedOn w:val="23"/>
    <w:pPr>
      <w:ind w:leftChars="200" w:left="200" w:firstLine="0"/>
    </w:pPr>
    <w:rPr>
      <w:rFonts w:cs="宋体"/>
      <w:color w:val="000000"/>
      <w:sz w:val="24"/>
      <w:szCs w:val="20"/>
    </w:rPr>
  </w:style>
  <w:style w:type="paragraph" w:customStyle="1" w:styleId="affffffffffff2">
    <w:name w:val="标题三"/>
    <w:basedOn w:val="30"/>
    <w:pPr>
      <w:keepNext w:val="0"/>
      <w:spacing w:before="48" w:after="48" w:line="520" w:lineRule="exact"/>
    </w:pPr>
    <w:rPr>
      <w:rFonts w:eastAsia="楷体_GB2312"/>
      <w:b w:val="0"/>
      <w:bCs w:val="0"/>
      <w:color w:val="000000"/>
      <w:sz w:val="28"/>
      <w:szCs w:val="28"/>
    </w:rPr>
  </w:style>
  <w:style w:type="paragraph" w:customStyle="1" w:styleId="affffffffffff3">
    <w:name w:val="目录标题"/>
    <w:basedOn w:val="a0"/>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Char1CharCharChar0">
    <w:name w:val="Char1 Char Char Char"/>
    <w:basedOn w:val="aa"/>
    <w:pPr>
      <w:adjustRightInd w:val="0"/>
      <w:spacing w:line="436" w:lineRule="exact"/>
      <w:ind w:left="357"/>
      <w:jc w:val="left"/>
      <w:outlineLvl w:val="3"/>
    </w:pPr>
    <w:rPr>
      <w:rFonts w:ascii="Tahoma" w:hAnsi="Tahoma"/>
      <w:b/>
      <w:sz w:val="24"/>
    </w:rPr>
  </w:style>
  <w:style w:type="paragraph" w:customStyle="1" w:styleId="22CharTimesNewRoman12">
    <w:name w:val="样式 标题 2标题 2 Char + (西文) Times New Roman (中文) 宋体 小三 左 段前: 12..."/>
    <w:basedOn w:val="2"/>
    <w:pPr>
      <w:spacing w:beforeLines="50" w:afterLines="50" w:line="520" w:lineRule="exact"/>
      <w:jc w:val="left"/>
    </w:pPr>
    <w:rPr>
      <w:rFonts w:ascii="Times New Roman" w:eastAsia="宋体" w:hAnsi="Times New Roman" w:cs="宋体"/>
      <w:bCs/>
      <w:spacing w:val="2"/>
      <w:sz w:val="30"/>
    </w:rPr>
  </w:style>
  <w:style w:type="paragraph" w:customStyle="1" w:styleId="213">
    <w:name w:val="正文文本 21"/>
    <w:basedOn w:val="a0"/>
    <w:pPr>
      <w:adjustRightInd w:val="0"/>
      <w:snapToGrid w:val="0"/>
      <w:spacing w:line="240" w:lineRule="exact"/>
      <w:jc w:val="center"/>
    </w:pPr>
    <w:rPr>
      <w:spacing w:val="8"/>
      <w:sz w:val="24"/>
      <w:szCs w:val="20"/>
    </w:rPr>
  </w:style>
  <w:style w:type="paragraph" w:customStyle="1" w:styleId="55">
    <w:name w:val="标题 5 + 居中"/>
    <w:basedOn w:val="30"/>
    <w:pPr>
      <w:keepNext w:val="0"/>
      <w:keepLines w:val="0"/>
      <w:tabs>
        <w:tab w:val="left" w:pos="5410"/>
      </w:tabs>
      <w:snapToGrid w:val="0"/>
      <w:spacing w:before="0" w:after="0" w:line="288" w:lineRule="auto"/>
      <w:ind w:rightChars="-100" w:right="-210" w:firstLineChars="200" w:firstLine="561"/>
      <w:jc w:val="center"/>
    </w:pPr>
    <w:rPr>
      <w:bCs w:val="0"/>
      <w:szCs w:val="28"/>
    </w:rPr>
  </w:style>
  <w:style w:type="paragraph" w:customStyle="1" w:styleId="affffffffffff4">
    <w:name w:val="款"/>
    <w:basedOn w:val="a0"/>
    <w:pPr>
      <w:spacing w:beforeLines="50" w:before="156"/>
      <w:ind w:firstLineChars="200" w:firstLine="200"/>
      <w:jc w:val="left"/>
      <w:outlineLvl w:val="2"/>
    </w:pPr>
    <w:rPr>
      <w:rFonts w:ascii="楷体_GB2312" w:eastAsia="楷体_GB2312" w:hAnsi="Calibri"/>
      <w:b/>
      <w:color w:val="000000"/>
      <w:kern w:val="0"/>
      <w:sz w:val="32"/>
    </w:rPr>
  </w:style>
  <w:style w:type="paragraph" w:customStyle="1" w:styleId="Char12">
    <w:name w:val="Char1"/>
    <w:basedOn w:val="a0"/>
    <w:pPr>
      <w:snapToGrid w:val="0"/>
      <w:spacing w:line="360" w:lineRule="auto"/>
      <w:ind w:firstLineChars="200" w:firstLine="200"/>
    </w:pPr>
    <w:rPr>
      <w:rFonts w:eastAsia="仿宋_GB2312"/>
      <w:sz w:val="24"/>
    </w:rPr>
  </w:style>
  <w:style w:type="paragraph" w:customStyle="1" w:styleId="22CharTimesNewRoman6">
    <w:name w:val="样式 标题 2标题 2 Char节 + (西文) Times New Roman (中文) 宋体 左 段前: 6 磅..."/>
    <w:basedOn w:val="2"/>
    <w:pPr>
      <w:spacing w:line="520" w:lineRule="exact"/>
      <w:jc w:val="left"/>
    </w:pPr>
    <w:rPr>
      <w:rFonts w:ascii="Times New Roman" w:eastAsia="宋体" w:hAnsi="Times New Roman" w:cs="宋体"/>
      <w:bCs/>
      <w:spacing w:val="2"/>
      <w:sz w:val="30"/>
    </w:rPr>
  </w:style>
  <w:style w:type="paragraph" w:customStyle="1" w:styleId="6152">
    <w:name w:val="样式 小四 左 段前: 6 磅 行距: 1.5 倍行距 首行缩进:  2 字符"/>
    <w:basedOn w:val="a0"/>
    <w:pPr>
      <w:spacing w:before="120" w:line="520" w:lineRule="exact"/>
      <w:ind w:firstLineChars="200" w:firstLine="200"/>
      <w:jc w:val="left"/>
    </w:pPr>
    <w:rPr>
      <w:rFonts w:cs="宋体"/>
      <w:sz w:val="24"/>
      <w:szCs w:val="20"/>
    </w:rPr>
  </w:style>
  <w:style w:type="paragraph" w:customStyle="1" w:styleId="ParaCharCharCharCharCharCharChar">
    <w:name w:val="默认段落字体 Para Char Char Char Char Char Char Char"/>
    <w:basedOn w:val="a0"/>
    <w:rPr>
      <w:rFonts w:ascii="Arial" w:hAnsi="Arial" w:cs="Arial"/>
      <w:sz w:val="20"/>
      <w:szCs w:val="20"/>
    </w:rPr>
  </w:style>
  <w:style w:type="paragraph" w:customStyle="1" w:styleId="me7">
    <w:name w:val="me内部标题"/>
    <w:basedOn w:val="a0"/>
    <w:next w:val="a0"/>
    <w:pPr>
      <w:shd w:val="clear" w:color="auto" w:fill="00FFFF"/>
      <w:spacing w:before="120" w:line="540" w:lineRule="exact"/>
      <w:ind w:firstLineChars="200" w:firstLine="562"/>
    </w:pPr>
    <w:rPr>
      <w:rFonts w:ascii="黑体" w:eastAsia="黑体" w:hAnsi="宋体"/>
      <w:b/>
      <w:szCs w:val="20"/>
    </w:rPr>
  </w:style>
  <w:style w:type="paragraph" w:customStyle="1" w:styleId="affffffffffff5">
    <w:name w:val="主焦"/>
    <w:basedOn w:val="s"/>
    <w:pPr>
      <w:ind w:firstLine="200"/>
    </w:pPr>
  </w:style>
  <w:style w:type="paragraph" w:customStyle="1" w:styleId="0115151">
    <w:name w:val="样式 小四 红色 左 加宽量  0.1 磅 行距: 1.5 倍行距 首行缩进:  1.5 字符"/>
    <w:basedOn w:val="a0"/>
    <w:pPr>
      <w:spacing w:line="520" w:lineRule="exact"/>
      <w:ind w:firstLineChars="150" w:firstLine="150"/>
      <w:jc w:val="left"/>
    </w:pPr>
    <w:rPr>
      <w:rFonts w:cs="宋体"/>
      <w:color w:val="FF0000"/>
      <w:spacing w:val="2"/>
      <w:sz w:val="24"/>
      <w:szCs w:val="20"/>
    </w:rPr>
  </w:style>
  <w:style w:type="paragraph" w:customStyle="1" w:styleId="1ffe">
    <w:name w:val="样式 小四 字距调整四号1"/>
    <w:basedOn w:val="a0"/>
    <w:pPr>
      <w:snapToGrid w:val="0"/>
      <w:spacing w:line="520" w:lineRule="exact"/>
      <w:ind w:firstLineChars="200" w:firstLine="200"/>
    </w:pPr>
    <w:rPr>
      <w:rFonts w:ascii="Calibri" w:hAnsi="Calibri"/>
      <w:snapToGrid w:val="0"/>
      <w:kern w:val="28"/>
      <w:sz w:val="24"/>
      <w:szCs w:val="22"/>
    </w:rPr>
  </w:style>
  <w:style w:type="paragraph" w:customStyle="1" w:styleId="15233">
    <w:name w:val="样式 宋体 小四 黑色 行距: 1.5 倍行距 首行缩进:  2.33 字符"/>
    <w:basedOn w:val="a0"/>
    <w:pPr>
      <w:spacing w:line="520" w:lineRule="exact"/>
      <w:ind w:firstLineChars="233" w:firstLine="233"/>
    </w:pPr>
    <w:rPr>
      <w:rFonts w:ascii="宋体" w:hAnsi="宋体" w:cs="宋体"/>
      <w:color w:val="000000"/>
      <w:sz w:val="24"/>
      <w:szCs w:val="20"/>
    </w:rPr>
  </w:style>
  <w:style w:type="paragraph" w:customStyle="1" w:styleId="CharCharCharCharCharCharCharCharCharC14">
    <w:name w:val="样式 纯文本孙普文字 Char Char CharCharChar Char纯文本 Char Char Char C...14"/>
    <w:basedOn w:val="ae"/>
    <w:pPr>
      <w:spacing w:line="520" w:lineRule="exact"/>
      <w:ind w:left="482"/>
    </w:pPr>
    <w:rPr>
      <w:rFonts w:ascii="Times New Roman" w:hAnsi="Times New Roman" w:cs="宋体"/>
      <w:color w:val="000000"/>
      <w:sz w:val="24"/>
    </w:rPr>
  </w:style>
  <w:style w:type="paragraph" w:customStyle="1" w:styleId="21152">
    <w:name w:val="样式 正文文本缩进正文文字 21 + 小四 行距: 1.5 倍行距 首行缩进:  2 字符"/>
    <w:basedOn w:val="ac"/>
    <w:pPr>
      <w:ind w:firstLineChars="200" w:firstLine="200"/>
    </w:pPr>
    <w:rPr>
      <w:rFonts w:cs="宋体"/>
      <w:sz w:val="24"/>
      <w:szCs w:val="20"/>
    </w:rPr>
  </w:style>
  <w:style w:type="paragraph" w:customStyle="1" w:styleId="affffffffffff6">
    <w:name w:val="二级无标题条"/>
    <w:basedOn w:val="a0"/>
    <w:rPr>
      <w:sz w:val="21"/>
    </w:rPr>
  </w:style>
  <w:style w:type="paragraph" w:customStyle="1" w:styleId="15182">
    <w:name w:val="样式 小四 行距: 1.5 倍行距 首行缩进:  1.82 字符"/>
    <w:basedOn w:val="a0"/>
    <w:pPr>
      <w:spacing w:line="520" w:lineRule="exact"/>
      <w:ind w:firstLineChars="182" w:firstLine="182"/>
    </w:pPr>
    <w:rPr>
      <w:rFonts w:cs="宋体"/>
      <w:sz w:val="24"/>
      <w:szCs w:val="20"/>
    </w:rPr>
  </w:style>
  <w:style w:type="paragraph" w:customStyle="1" w:styleId="15e">
    <w:name w:val="样式 小四 加粗 黑色 行距: 1.5 倍行距"/>
    <w:basedOn w:val="a0"/>
    <w:pPr>
      <w:spacing w:line="520" w:lineRule="exact"/>
    </w:pPr>
    <w:rPr>
      <w:rFonts w:ascii="Calibri" w:hAnsi="Calibri" w:cs="宋体"/>
      <w:b/>
      <w:bCs/>
      <w:color w:val="000000"/>
      <w:sz w:val="24"/>
      <w:szCs w:val="20"/>
    </w:rPr>
  </w:style>
  <w:style w:type="paragraph" w:customStyle="1" w:styleId="56">
    <w:name w:val="样式5"/>
    <w:basedOn w:val="30"/>
    <w:qFormat/>
    <w:pPr>
      <w:snapToGrid w:val="0"/>
      <w:spacing w:before="0" w:after="0" w:line="360" w:lineRule="auto"/>
      <w:ind w:firstLineChars="200" w:firstLine="562"/>
    </w:pPr>
    <w:rPr>
      <w:sz w:val="28"/>
    </w:rPr>
  </w:style>
  <w:style w:type="paragraph" w:customStyle="1" w:styleId="affffffffffff7">
    <w:name w:val="朱吉茂之正文"/>
    <w:basedOn w:val="a0"/>
    <w:pPr>
      <w:adjustRightInd w:val="0"/>
      <w:snapToGrid w:val="0"/>
      <w:spacing w:line="540" w:lineRule="exact"/>
      <w:ind w:firstLineChars="200" w:firstLine="560"/>
    </w:pPr>
    <w:rPr>
      <w:rFonts w:ascii="黑体" w:eastAsia="黑体" w:hAnsi="宋体"/>
      <w:bCs/>
      <w:szCs w:val="28"/>
    </w:rPr>
  </w:style>
  <w:style w:type="paragraph" w:customStyle="1" w:styleId="table">
    <w:name w:val="table"/>
    <w:basedOn w:val="a0"/>
    <w:pPr>
      <w:tabs>
        <w:tab w:val="left" w:pos="0"/>
      </w:tabs>
      <w:adjustRightInd w:val="0"/>
      <w:snapToGrid w:val="0"/>
      <w:jc w:val="center"/>
    </w:pPr>
    <w:rPr>
      <w:sz w:val="21"/>
      <w:szCs w:val="21"/>
    </w:rPr>
  </w:style>
  <w:style w:type="paragraph" w:customStyle="1" w:styleId="TOCBase">
    <w:name w:val="TOC Base"/>
    <w:basedOn w:val="a0"/>
    <w:pPr>
      <w:widowControl/>
      <w:tabs>
        <w:tab w:val="right" w:leader="dot" w:pos="6480"/>
      </w:tabs>
      <w:adjustRightInd w:val="0"/>
      <w:snapToGrid w:val="0"/>
      <w:spacing w:after="240" w:line="240" w:lineRule="atLeast"/>
      <w:jc w:val="left"/>
    </w:pPr>
    <w:rPr>
      <w:rFonts w:ascii="Arial" w:hAnsi="Arial"/>
      <w:bCs/>
      <w:spacing w:val="-5"/>
      <w:kern w:val="0"/>
      <w:sz w:val="30"/>
      <w:szCs w:val="20"/>
    </w:rPr>
  </w:style>
  <w:style w:type="paragraph" w:customStyle="1" w:styleId="CharChar1CharCharCharCharChar2">
    <w:name w:val="样式 纯文本普通文字Char Char孙普文字普通文字1 Char Char Char纯文本 Char Char ...2"/>
    <w:basedOn w:val="ae"/>
    <w:pPr>
      <w:spacing w:line="520" w:lineRule="exact"/>
      <w:ind w:firstLine="567"/>
    </w:pPr>
    <w:rPr>
      <w:rFonts w:ascii="Times New Roman" w:hAnsi="Times New Roman" w:cs="宋体"/>
      <w:kern w:val="21"/>
      <w:sz w:val="24"/>
      <w:lang w:val="de-DE"/>
    </w:rPr>
  </w:style>
  <w:style w:type="paragraph" w:customStyle="1" w:styleId="21BodyText2">
    <w:name w:val="样式 正文文本缩进正文文字 21Body Text 2 + (符号) 宋体 小四"/>
    <w:basedOn w:val="ac"/>
    <w:pPr>
      <w:ind w:firstLine="578"/>
    </w:pPr>
    <w:rPr>
      <w:sz w:val="24"/>
    </w:rPr>
  </w:style>
  <w:style w:type="paragraph" w:customStyle="1" w:styleId="1811">
    <w:name w:val="样式 黑色 居中 行距: 固定值 18 磅1"/>
    <w:basedOn w:val="a0"/>
    <w:pPr>
      <w:jc w:val="center"/>
    </w:pPr>
    <w:rPr>
      <w:rFonts w:cs="宋体"/>
      <w:color w:val="000000"/>
      <w:kern w:val="0"/>
      <w:sz w:val="21"/>
      <w:szCs w:val="20"/>
    </w:rPr>
  </w:style>
  <w:style w:type="paragraph" w:customStyle="1" w:styleId="2720">
    <w:name w:val="样式 (符号) 宋体 小四 行距: 固定值 27 磅 首行缩进:  2 字符"/>
    <w:basedOn w:val="a0"/>
    <w:pPr>
      <w:spacing w:line="520" w:lineRule="exact"/>
      <w:ind w:firstLineChars="200" w:firstLine="200"/>
    </w:pPr>
    <w:rPr>
      <w:rFonts w:hAnsi="宋体" w:cs="宋体"/>
      <w:sz w:val="24"/>
      <w:szCs w:val="20"/>
    </w:rPr>
  </w:style>
  <w:style w:type="paragraph" w:customStyle="1" w:styleId="f24f24f24">
    <w:name w:val="f24 f24 f24"/>
    <w:basedOn w:val="a0"/>
    <w:pPr>
      <w:widowControl/>
      <w:spacing w:before="100" w:beforeAutospacing="1" w:after="100" w:afterAutospacing="1"/>
      <w:jc w:val="left"/>
    </w:pPr>
    <w:rPr>
      <w:rFonts w:ascii="宋体" w:hAnsi="宋体" w:cs="宋体"/>
      <w:kern w:val="0"/>
      <w:sz w:val="24"/>
    </w:rPr>
  </w:style>
  <w:style w:type="paragraph" w:customStyle="1" w:styleId="affffffffffff8">
    <w:name w:val="表格小四"/>
    <w:basedOn w:val="a0"/>
    <w:pPr>
      <w:adjustRightInd w:val="0"/>
      <w:snapToGrid w:val="0"/>
      <w:spacing w:beforeLines="30"/>
    </w:pPr>
    <w:rPr>
      <w:sz w:val="24"/>
    </w:rPr>
  </w:style>
  <w:style w:type="paragraph" w:customStyle="1" w:styleId="affffffffffff9">
    <w:name w:val="正文文本格式"/>
    <w:basedOn w:val="a0"/>
    <w:pPr>
      <w:adjustRightInd w:val="0"/>
      <w:snapToGrid w:val="0"/>
      <w:spacing w:line="480" w:lineRule="exact"/>
      <w:ind w:firstLine="567"/>
    </w:pPr>
    <w:rPr>
      <w:snapToGrid w:val="0"/>
      <w:kern w:val="0"/>
      <w:szCs w:val="28"/>
    </w:rPr>
  </w:style>
  <w:style w:type="paragraph" w:customStyle="1" w:styleId="xl102">
    <w:name w:val="xl10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0"/>
      <w:szCs w:val="20"/>
    </w:rPr>
  </w:style>
  <w:style w:type="paragraph" w:customStyle="1" w:styleId="05-5">
    <w:name w:val="样式 小四 右 左侧:  0 厘米 悬挂缩进: 5 字符 首行缩进:  -5 字符"/>
    <w:basedOn w:val="a0"/>
    <w:pPr>
      <w:spacing w:line="520" w:lineRule="exact"/>
      <w:ind w:left="500" w:hangingChars="500" w:hanging="500"/>
      <w:jc w:val="right"/>
    </w:pPr>
    <w:rPr>
      <w:rFonts w:cs="宋体"/>
      <w:sz w:val="24"/>
      <w:szCs w:val="20"/>
    </w:rPr>
  </w:style>
  <w:style w:type="paragraph" w:customStyle="1" w:styleId="0115057150">
    <w:name w:val="样式 样式 小四 加宽量  0.1 磅 行距: 1.5 倍行距 左  0.57 字符 首行缩进:  1.5 字符 + 左侧:  ..."/>
    <w:basedOn w:val="011505715"/>
  </w:style>
  <w:style w:type="paragraph" w:customStyle="1" w:styleId="151820">
    <w:name w:val="样式 小四 黑色 行距: 1.5 倍行距 首行缩进:  1.82 字符"/>
    <w:basedOn w:val="a0"/>
    <w:pPr>
      <w:spacing w:line="520" w:lineRule="atLeast"/>
      <w:ind w:firstLineChars="182" w:firstLine="182"/>
    </w:pPr>
    <w:rPr>
      <w:rFonts w:cs="宋体"/>
      <w:color w:val="000000"/>
      <w:sz w:val="24"/>
      <w:szCs w:val="20"/>
    </w:rPr>
  </w:style>
  <w:style w:type="paragraph" w:customStyle="1" w:styleId="CharCharChar1CharCharCharChar">
    <w:name w:val="Char Char Char1 Char Char Char Char"/>
    <w:basedOn w:val="a0"/>
    <w:pPr>
      <w:snapToGrid w:val="0"/>
      <w:spacing w:line="360" w:lineRule="auto"/>
      <w:ind w:firstLineChars="200" w:firstLine="200"/>
    </w:pPr>
    <w:rPr>
      <w:rFonts w:eastAsia="黑体"/>
      <w:snapToGrid w:val="0"/>
      <w:sz w:val="32"/>
    </w:rPr>
  </w:style>
  <w:style w:type="paragraph" w:customStyle="1" w:styleId="085157">
    <w:name w:val="样式 小四 黑色 左 首行缩进:  0.85 厘米 行距: 1.5 倍行距"/>
    <w:basedOn w:val="a0"/>
    <w:pPr>
      <w:spacing w:line="520" w:lineRule="exact"/>
      <w:ind w:firstLine="482"/>
      <w:jc w:val="left"/>
    </w:pPr>
    <w:rPr>
      <w:rFonts w:cs="宋体"/>
      <w:color w:val="000000"/>
      <w:kern w:val="0"/>
      <w:sz w:val="24"/>
      <w:szCs w:val="20"/>
    </w:rPr>
  </w:style>
  <w:style w:type="paragraph" w:customStyle="1" w:styleId="Style16">
    <w:name w:val="Style16"/>
    <w:basedOn w:val="a0"/>
    <w:pPr>
      <w:adjustRightInd w:val="0"/>
      <w:jc w:val="left"/>
    </w:pPr>
    <w:rPr>
      <w:rFonts w:ascii="宋体"/>
      <w:kern w:val="0"/>
      <w:sz w:val="24"/>
    </w:rPr>
  </w:style>
  <w:style w:type="paragraph" w:customStyle="1" w:styleId="affffffffffffa">
    <w:name w:val="报告表格"/>
    <w:basedOn w:val="a0"/>
    <w:pPr>
      <w:autoSpaceDE w:val="0"/>
      <w:autoSpaceDN w:val="0"/>
      <w:adjustRightInd w:val="0"/>
      <w:spacing w:before="40" w:after="40"/>
      <w:jc w:val="center"/>
      <w:textAlignment w:val="bottom"/>
    </w:pPr>
    <w:rPr>
      <w:kern w:val="0"/>
      <w:sz w:val="21"/>
      <w:szCs w:val="20"/>
    </w:rPr>
  </w:style>
  <w:style w:type="paragraph" w:customStyle="1" w:styleId="me40">
    <w:name w:val="me 标题4"/>
    <w:basedOn w:val="a0"/>
    <w:pPr>
      <w:shd w:val="clear" w:color="auto" w:fill="FFFFFF"/>
      <w:spacing w:line="540" w:lineRule="exact"/>
      <w:ind w:firstLineChars="200" w:firstLine="560"/>
    </w:pPr>
    <w:rPr>
      <w:rFonts w:ascii="宋体" w:hAnsi="宋体" w:cs="宋体"/>
      <w:kern w:val="96"/>
      <w:szCs w:val="28"/>
    </w:rPr>
  </w:style>
  <w:style w:type="paragraph" w:customStyle="1" w:styleId="21502525">
    <w:name w:val="样式 样式 正文文本缩进 2 + 行距: 1.5 倍行距 左  0 字符 首行缩进:  2.5 字符 + 首行缩进:  2.5 ..."/>
    <w:basedOn w:val="215025"/>
    <w:pPr>
      <w:spacing w:after="0"/>
    </w:pPr>
  </w:style>
  <w:style w:type="paragraph" w:customStyle="1" w:styleId="15250">
    <w:name w:val="样式 小四 黑色 行距: 1.5 倍行距 首行缩进:  2.5 字符"/>
    <w:basedOn w:val="a0"/>
    <w:pPr>
      <w:spacing w:line="520" w:lineRule="exact"/>
      <w:ind w:firstLineChars="250" w:firstLine="250"/>
    </w:pPr>
    <w:rPr>
      <w:rFonts w:cs="宋体"/>
      <w:color w:val="000000"/>
      <w:sz w:val="24"/>
      <w:szCs w:val="20"/>
    </w:rPr>
  </w:style>
  <w:style w:type="paragraph" w:customStyle="1" w:styleId="CharCharCharCharCharCharCharCharCharC9">
    <w:name w:val="样式 纯文本孙普文字 Char Char CharCharChar Char纯文本 Char Char Char C...9"/>
    <w:basedOn w:val="ae"/>
    <w:pPr>
      <w:spacing w:line="520" w:lineRule="exact"/>
      <w:ind w:firstLineChars="250" w:firstLine="250"/>
    </w:pPr>
    <w:rPr>
      <w:rFonts w:ascii="Times New Roman" w:hAnsi="Times New Roman" w:cs="宋体"/>
      <w:color w:val="000000"/>
      <w:sz w:val="24"/>
    </w:rPr>
  </w:style>
  <w:style w:type="paragraph" w:customStyle="1" w:styleId="Char450">
    <w:name w:val="Char45"/>
    <w:basedOn w:val="a0"/>
    <w:pPr>
      <w:spacing w:line="360" w:lineRule="auto"/>
      <w:ind w:firstLineChars="200" w:firstLine="200"/>
    </w:pPr>
    <w:rPr>
      <w:rFonts w:ascii="宋体" w:hAnsi="宋体" w:cs="宋体"/>
      <w:sz w:val="24"/>
    </w:rPr>
  </w:style>
  <w:style w:type="paragraph" w:customStyle="1" w:styleId="15171">
    <w:name w:val="样式 小四 行距: 1.5 倍行距 左  1.71 字符"/>
    <w:basedOn w:val="a0"/>
    <w:pPr>
      <w:spacing w:line="520" w:lineRule="exact"/>
      <w:ind w:leftChars="171" w:left="171"/>
    </w:pPr>
    <w:rPr>
      <w:rFonts w:cs="宋体"/>
      <w:sz w:val="24"/>
      <w:szCs w:val="20"/>
    </w:rPr>
  </w:style>
  <w:style w:type="paragraph" w:customStyle="1" w:styleId="445">
    <w:name w:val="样式 样式4 + 首行缩进:  4.5 字符"/>
    <w:basedOn w:val="49"/>
    <w:pPr>
      <w:keepNext/>
      <w:keepLines/>
      <w:spacing w:line="360" w:lineRule="auto"/>
      <w:ind w:firstLineChars="150" w:firstLine="360"/>
      <w:jc w:val="both"/>
      <w:outlineLvl w:val="2"/>
    </w:pPr>
    <w:rPr>
      <w:rFonts w:ascii="宋体" w:hAnsi="宋体" w:cs="宋体"/>
      <w:kern w:val="0"/>
      <w:sz w:val="24"/>
      <w:szCs w:val="20"/>
    </w:rPr>
  </w:style>
  <w:style w:type="paragraph" w:customStyle="1" w:styleId="affffffffffffb">
    <w:name w:val="页码（序号）"/>
    <w:basedOn w:val="30"/>
    <w:pPr>
      <w:spacing w:before="0" w:after="0" w:line="240" w:lineRule="auto"/>
      <w:textAlignment w:val="baseline"/>
    </w:pPr>
    <w:rPr>
      <w:rFonts w:ascii="黑体" w:eastAsia="黑体" w:hAnsi="黑体"/>
      <w:b w:val="0"/>
      <w:bCs w:val="0"/>
      <w:snapToGrid w:val="0"/>
      <w:position w:val="8"/>
      <w:sz w:val="24"/>
      <w:szCs w:val="24"/>
    </w:rPr>
  </w:style>
  <w:style w:type="paragraph" w:customStyle="1" w:styleId="22210">
    <w:name w:val="样式 小四 字距调整四号 行距: 固定值 22 磅 首行缩进:  2 字符1"/>
    <w:basedOn w:val="a0"/>
    <w:pPr>
      <w:spacing w:line="520" w:lineRule="exact"/>
      <w:ind w:firstLineChars="200" w:firstLine="200"/>
    </w:pPr>
    <w:rPr>
      <w:rFonts w:ascii="Calibri" w:hAnsi="Calibri" w:cs="宋体"/>
      <w:kern w:val="28"/>
      <w:sz w:val="24"/>
      <w:szCs w:val="20"/>
    </w:rPr>
  </w:style>
  <w:style w:type="paragraph" w:customStyle="1" w:styleId="1150">
    <w:name w:val="样式 小四 左 首行缩进:  1 厘米 行距: 1.5 倍行距"/>
    <w:basedOn w:val="a0"/>
    <w:pPr>
      <w:spacing w:line="520" w:lineRule="exact"/>
      <w:ind w:firstLine="567"/>
      <w:jc w:val="left"/>
    </w:pPr>
    <w:rPr>
      <w:rFonts w:cs="宋体"/>
      <w:sz w:val="24"/>
      <w:szCs w:val="20"/>
    </w:rPr>
  </w:style>
  <w:style w:type="paragraph" w:customStyle="1" w:styleId="2223">
    <w:name w:val="样式 批注文字 + 小四 两端对齐 行距: 固定值 22 磅 首行缩进:  2 字符"/>
    <w:basedOn w:val="ab"/>
    <w:pPr>
      <w:spacing w:line="520" w:lineRule="exact"/>
      <w:ind w:firstLineChars="200" w:firstLine="200"/>
      <w:jc w:val="both"/>
    </w:pPr>
    <w:rPr>
      <w:rFonts w:ascii="Calibri" w:hAnsi="Calibri" w:cs="宋体"/>
      <w:sz w:val="24"/>
    </w:rPr>
  </w:style>
  <w:style w:type="paragraph" w:customStyle="1" w:styleId="229">
    <w:name w:val="样式 批注文字 + 小四 两端对齐 行距: 固定值 22 磅"/>
    <w:basedOn w:val="ab"/>
    <w:pPr>
      <w:spacing w:line="520" w:lineRule="exact"/>
      <w:jc w:val="both"/>
    </w:pPr>
    <w:rPr>
      <w:rFonts w:ascii="Calibri" w:hAnsi="Calibri" w:cs="宋体"/>
      <w:sz w:val="24"/>
    </w:rPr>
  </w:style>
  <w:style w:type="paragraph" w:customStyle="1" w:styleId="01a">
    <w:name w:val="样式 样式 小四 黑色 + (符号) 宋体 加宽量  0.1 磅"/>
    <w:basedOn w:val="affffffc"/>
    <w:qFormat/>
    <w:pPr>
      <w:autoSpaceDE w:val="0"/>
      <w:autoSpaceDN w:val="0"/>
      <w:adjustRightInd w:val="0"/>
    </w:pPr>
    <w:rPr>
      <w:spacing w:val="2"/>
      <w:szCs w:val="24"/>
    </w:rPr>
  </w:style>
  <w:style w:type="paragraph" w:customStyle="1" w:styleId="15222">
    <w:name w:val="样式 小四 黑色 行距: 1.5 倍行距 首行缩进:  2 字符2"/>
    <w:basedOn w:val="a0"/>
    <w:qFormat/>
    <w:pPr>
      <w:spacing w:line="520" w:lineRule="exact"/>
      <w:ind w:firstLineChars="200" w:firstLine="200"/>
    </w:pPr>
    <w:rPr>
      <w:rFonts w:cs="宋体"/>
      <w:color w:val="000000"/>
      <w:sz w:val="24"/>
      <w:szCs w:val="20"/>
    </w:rPr>
  </w:style>
  <w:style w:type="paragraph" w:customStyle="1" w:styleId="02152">
    <w:name w:val="样式 小四 黑色 紧缩量  0.2 磅 行距: 1.5 倍行距 首行缩进:  2 字符"/>
    <w:basedOn w:val="a0"/>
    <w:pPr>
      <w:spacing w:line="520" w:lineRule="exact"/>
      <w:ind w:firstLineChars="200" w:firstLine="200"/>
    </w:pPr>
    <w:rPr>
      <w:rFonts w:cs="宋体"/>
      <w:color w:val="000000"/>
      <w:spacing w:val="-4"/>
      <w:sz w:val="24"/>
      <w:szCs w:val="20"/>
    </w:rPr>
  </w:style>
  <w:style w:type="paragraph" w:customStyle="1" w:styleId="CharCharCharCharCharCharChar1">
    <w:name w:val="Char Char Char Char Char Char Char1"/>
    <w:basedOn w:val="a0"/>
    <w:pPr>
      <w:spacing w:line="360" w:lineRule="auto"/>
      <w:ind w:firstLineChars="200" w:firstLine="200"/>
    </w:pPr>
    <w:rPr>
      <w:sz w:val="21"/>
      <w:szCs w:val="20"/>
    </w:rPr>
  </w:style>
  <w:style w:type="paragraph" w:customStyle="1" w:styleId="WPSOffice3">
    <w:name w:val="WPSOffice手动目录 3"/>
    <w:pPr>
      <w:ind w:leftChars="400" w:left="400"/>
    </w:pPr>
  </w:style>
  <w:style w:type="character" w:customStyle="1" w:styleId="Char">
    <w:name w:val="正文文本 Char"/>
    <w:link w:val="a1"/>
    <w:rPr>
      <w:kern w:val="2"/>
      <w:sz w:val="28"/>
      <w:szCs w:val="24"/>
    </w:rPr>
  </w:style>
  <w:style w:type="character" w:customStyle="1" w:styleId="1Char">
    <w:name w:val="标题 1 Char"/>
    <w:link w:val="1"/>
    <w:uiPriority w:val="9"/>
    <w:rPr>
      <w:rFonts w:eastAsia="宋体"/>
      <w:b/>
      <w:bCs/>
      <w:kern w:val="44"/>
      <w:sz w:val="44"/>
      <w:szCs w:val="44"/>
      <w:lang w:val="en-US" w:eastAsia="zh-CN" w:bidi="ar-SA"/>
    </w:rPr>
  </w:style>
  <w:style w:type="character" w:customStyle="1" w:styleId="2Char">
    <w:name w:val="标题 2 Char"/>
    <w:link w:val="2"/>
    <w:uiPriority w:val="99"/>
    <w:rPr>
      <w:rFonts w:ascii="Arial" w:eastAsia="黑体" w:hAnsi="Arial"/>
      <w:b/>
      <w:kern w:val="2"/>
      <w:sz w:val="32"/>
    </w:rPr>
  </w:style>
  <w:style w:type="character" w:customStyle="1" w:styleId="Char0">
    <w:name w:val="正文缩进 Char"/>
    <w:link w:val="a2"/>
    <w:rPr>
      <w:rFonts w:eastAsia="宋体"/>
      <w:kern w:val="2"/>
      <w:sz w:val="28"/>
      <w:szCs w:val="24"/>
      <w:lang w:val="en-US" w:eastAsia="zh-CN" w:bidi="ar-SA"/>
    </w:rPr>
  </w:style>
  <w:style w:type="character" w:customStyle="1" w:styleId="3Char">
    <w:name w:val="标题 3 Char"/>
    <w:link w:val="30"/>
    <w:uiPriority w:val="99"/>
    <w:rPr>
      <w:rFonts w:eastAsia="宋体"/>
      <w:b/>
      <w:bCs/>
      <w:kern w:val="2"/>
      <w:sz w:val="32"/>
      <w:szCs w:val="32"/>
      <w:lang w:val="en-US" w:eastAsia="zh-CN" w:bidi="ar-SA"/>
    </w:rPr>
  </w:style>
  <w:style w:type="character" w:customStyle="1" w:styleId="4Char">
    <w:name w:val="标题 4 Char"/>
    <w:link w:val="4"/>
    <w:uiPriority w:val="99"/>
    <w:rPr>
      <w:rFonts w:ascii="Arial" w:eastAsia="黑体" w:hAnsi="Arial"/>
      <w:b/>
      <w:bCs/>
      <w:kern w:val="2"/>
      <w:sz w:val="28"/>
      <w:szCs w:val="28"/>
    </w:rPr>
  </w:style>
  <w:style w:type="character" w:customStyle="1" w:styleId="5Char">
    <w:name w:val="标题 5 Char"/>
    <w:link w:val="5"/>
    <w:rPr>
      <w:b/>
      <w:bCs/>
      <w:kern w:val="2"/>
      <w:sz w:val="28"/>
      <w:szCs w:val="28"/>
    </w:rPr>
  </w:style>
  <w:style w:type="character" w:customStyle="1" w:styleId="6Char">
    <w:name w:val="标题 6 Char"/>
    <w:link w:val="6"/>
    <w:rPr>
      <w:rFonts w:ascii="Arial" w:eastAsia="黑体" w:hAnsi="Arial"/>
      <w:b/>
      <w:bCs/>
      <w:kern w:val="2"/>
      <w:sz w:val="24"/>
      <w:szCs w:val="24"/>
    </w:rPr>
  </w:style>
  <w:style w:type="character" w:customStyle="1" w:styleId="7Char">
    <w:name w:val="标题 7 Char"/>
    <w:link w:val="7"/>
    <w:rPr>
      <w:b/>
      <w:sz w:val="24"/>
    </w:rPr>
  </w:style>
  <w:style w:type="character" w:customStyle="1" w:styleId="8Char">
    <w:name w:val="标题 8 Char"/>
    <w:link w:val="8"/>
    <w:rPr>
      <w:rFonts w:ascii="Arial" w:eastAsia="黑体" w:hAnsi="Arial"/>
      <w:sz w:val="24"/>
    </w:rPr>
  </w:style>
  <w:style w:type="character" w:customStyle="1" w:styleId="9Char">
    <w:name w:val="标题 9 Char"/>
    <w:link w:val="9"/>
    <w:rPr>
      <w:rFonts w:ascii="Arial" w:eastAsia="黑体" w:hAnsi="Arial"/>
      <w:sz w:val="28"/>
    </w:rPr>
  </w:style>
  <w:style w:type="character" w:customStyle="1" w:styleId="Char1">
    <w:name w:val="注释标题 Char"/>
    <w:link w:val="a6"/>
    <w:rPr>
      <w:kern w:val="2"/>
      <w:sz w:val="28"/>
    </w:rPr>
  </w:style>
  <w:style w:type="character" w:customStyle="1" w:styleId="Char2">
    <w:name w:val="题注 Char"/>
    <w:link w:val="a8"/>
    <w:rPr>
      <w:rFonts w:ascii="Arial" w:eastAsia="黑体" w:hAnsi="Arial" w:cs="Arial"/>
      <w:kern w:val="2"/>
    </w:rPr>
  </w:style>
  <w:style w:type="character" w:customStyle="1" w:styleId="Char3">
    <w:name w:val="文档结构图 Char"/>
    <w:link w:val="aa"/>
    <w:rPr>
      <w:kern w:val="2"/>
      <w:sz w:val="21"/>
      <w:szCs w:val="24"/>
      <w:shd w:val="clear" w:color="auto" w:fill="000080"/>
    </w:rPr>
  </w:style>
  <w:style w:type="character" w:customStyle="1" w:styleId="Char4">
    <w:name w:val="批注文字 Char"/>
    <w:link w:val="ab"/>
    <w:qFormat/>
    <w:rPr>
      <w:kern w:val="2"/>
      <w:sz w:val="21"/>
    </w:rPr>
  </w:style>
  <w:style w:type="character" w:customStyle="1" w:styleId="3Char0">
    <w:name w:val="正文文本 3 Char"/>
    <w:link w:val="32"/>
    <w:rPr>
      <w:kern w:val="2"/>
      <w:sz w:val="16"/>
      <w:szCs w:val="16"/>
    </w:rPr>
  </w:style>
  <w:style w:type="character" w:customStyle="1" w:styleId="Char5">
    <w:name w:val="正文文本缩进 Char"/>
    <w:link w:val="ac"/>
    <w:rPr>
      <w:rFonts w:eastAsia="宋体"/>
      <w:color w:val="000000"/>
      <w:spacing w:val="2"/>
      <w:kern w:val="2"/>
      <w:sz w:val="28"/>
      <w:szCs w:val="24"/>
      <w:lang w:val="en-US" w:eastAsia="zh-CN" w:bidi="ar-SA"/>
    </w:rPr>
  </w:style>
  <w:style w:type="character" w:customStyle="1" w:styleId="Char6">
    <w:name w:val="纯文本 Char"/>
    <w:link w:val="ae"/>
    <w:qFormat/>
    <w:rPr>
      <w:rFonts w:ascii="宋体" w:eastAsia="宋体" w:hAnsi="Courier New"/>
      <w:kern w:val="2"/>
      <w:sz w:val="28"/>
      <w:lang w:val="en-US" w:eastAsia="zh-CN" w:bidi="ar-SA"/>
    </w:rPr>
  </w:style>
  <w:style w:type="character" w:customStyle="1" w:styleId="Char7">
    <w:name w:val="日期 Char"/>
    <w:link w:val="af"/>
    <w:locked/>
    <w:rPr>
      <w:kern w:val="2"/>
      <w:sz w:val="28"/>
      <w:szCs w:val="24"/>
    </w:rPr>
  </w:style>
  <w:style w:type="character" w:customStyle="1" w:styleId="Char8">
    <w:name w:val="尾注文本 Char"/>
    <w:link w:val="af0"/>
    <w:rPr>
      <w:kern w:val="2"/>
      <w:sz w:val="21"/>
    </w:rPr>
  </w:style>
  <w:style w:type="character" w:customStyle="1" w:styleId="Char9">
    <w:name w:val="批注框文本 Char"/>
    <w:link w:val="af1"/>
    <w:rPr>
      <w:kern w:val="2"/>
      <w:sz w:val="18"/>
      <w:szCs w:val="18"/>
    </w:rPr>
  </w:style>
  <w:style w:type="character" w:customStyle="1" w:styleId="Chara">
    <w:name w:val="页脚 Char"/>
    <w:link w:val="af2"/>
    <w:uiPriority w:val="99"/>
    <w:rPr>
      <w:kern w:val="2"/>
      <w:sz w:val="18"/>
      <w:szCs w:val="18"/>
    </w:rPr>
  </w:style>
  <w:style w:type="character" w:customStyle="1" w:styleId="Charb">
    <w:name w:val="页眉 Char"/>
    <w:link w:val="af3"/>
    <w:rPr>
      <w:kern w:val="2"/>
      <w:sz w:val="18"/>
      <w:szCs w:val="18"/>
    </w:rPr>
  </w:style>
  <w:style w:type="character" w:customStyle="1" w:styleId="Charc">
    <w:name w:val="脚注文本 Char"/>
    <w:link w:val="af5"/>
    <w:rPr>
      <w:kern w:val="2"/>
      <w:sz w:val="18"/>
      <w:szCs w:val="18"/>
    </w:rPr>
  </w:style>
  <w:style w:type="character" w:customStyle="1" w:styleId="3Char1">
    <w:name w:val="正文文本缩进 3 Char"/>
    <w:link w:val="35"/>
    <w:rPr>
      <w:color w:val="000000"/>
      <w:spacing w:val="2"/>
      <w:kern w:val="2"/>
      <w:sz w:val="28"/>
      <w:szCs w:val="24"/>
    </w:rPr>
  </w:style>
  <w:style w:type="character" w:customStyle="1" w:styleId="2Char0">
    <w:name w:val="正文文本 2 Char"/>
    <w:link w:val="25"/>
    <w:rPr>
      <w:rFonts w:ascii="宋体" w:hAnsi="宋体"/>
      <w:color w:val="000000"/>
      <w:kern w:val="2"/>
      <w:sz w:val="24"/>
      <w:szCs w:val="24"/>
    </w:rPr>
  </w:style>
  <w:style w:type="character" w:customStyle="1" w:styleId="HTMLChar">
    <w:name w:val="HTML 预设格式 Char"/>
    <w:link w:val="HTML"/>
    <w:rPr>
      <w:rFonts w:ascii="宋体" w:hAnsi="宋体"/>
      <w:sz w:val="24"/>
    </w:rPr>
  </w:style>
  <w:style w:type="character" w:customStyle="1" w:styleId="Chard">
    <w:name w:val="普通(网站) Char"/>
    <w:link w:val="af7"/>
    <w:locked/>
    <w:rPr>
      <w:sz w:val="24"/>
      <w:szCs w:val="24"/>
    </w:rPr>
  </w:style>
  <w:style w:type="character" w:customStyle="1" w:styleId="Chare">
    <w:name w:val="标题 Char"/>
    <w:link w:val="af8"/>
    <w:rPr>
      <w:rFonts w:ascii="Arial" w:hAnsi="Arial"/>
      <w:b/>
      <w:bCs/>
      <w:kern w:val="2"/>
      <w:sz w:val="32"/>
      <w:szCs w:val="32"/>
    </w:rPr>
  </w:style>
  <w:style w:type="character" w:customStyle="1" w:styleId="Charf">
    <w:name w:val="批注主题 Char"/>
    <w:link w:val="af9"/>
    <w:rPr>
      <w:b/>
      <w:bCs/>
      <w:kern w:val="2"/>
      <w:sz w:val="21"/>
      <w:szCs w:val="24"/>
    </w:rPr>
  </w:style>
  <w:style w:type="character" w:customStyle="1" w:styleId="Charf0">
    <w:name w:val="正文首行缩进 Char"/>
    <w:link w:val="afa"/>
    <w:rPr>
      <w:kern w:val="2"/>
      <w:sz w:val="28"/>
      <w:szCs w:val="24"/>
    </w:rPr>
  </w:style>
  <w:style w:type="character" w:customStyle="1" w:styleId="2Char1">
    <w:name w:val="正文首行缩进 2 Char"/>
    <w:link w:val="27"/>
    <w:rPr>
      <w:rFonts w:eastAsia="宋体"/>
      <w:color w:val="000000"/>
      <w:spacing w:val="2"/>
      <w:kern w:val="2"/>
      <w:sz w:val="21"/>
      <w:szCs w:val="24"/>
      <w:lang w:val="en-US" w:eastAsia="zh-CN" w:bidi="ar-SA"/>
    </w:rPr>
  </w:style>
  <w:style w:type="character" w:customStyle="1" w:styleId="Charf1">
    <w:name w:val="丰达四级标题 Char"/>
    <w:link w:val="aff5"/>
    <w:locked/>
    <w:rPr>
      <w:b/>
      <w:kern w:val="2"/>
      <w:sz w:val="24"/>
      <w:szCs w:val="24"/>
    </w:rPr>
  </w:style>
  <w:style w:type="character" w:customStyle="1" w:styleId="CharChar30">
    <w:name w:val="Char Char3"/>
    <w:locked/>
    <w:rPr>
      <w:rFonts w:ascii="宋体" w:eastAsia="宋体" w:hAnsi="宋体" w:cs="宋体"/>
      <w:kern w:val="2"/>
      <w:sz w:val="21"/>
      <w:szCs w:val="24"/>
      <w:lang w:val="en-US" w:eastAsia="zh-CN" w:bidi="ar-SA"/>
    </w:rPr>
  </w:style>
  <w:style w:type="character" w:customStyle="1" w:styleId="1Char10">
    <w:name w:val="标题 1 Char1"/>
    <w:rPr>
      <w:rFonts w:eastAsia="宋体"/>
      <w:b/>
      <w:kern w:val="44"/>
      <w:sz w:val="36"/>
      <w:lang w:val="en-US" w:eastAsia="zh-CN" w:bidi="ar-SA"/>
    </w:rPr>
  </w:style>
  <w:style w:type="character" w:customStyle="1" w:styleId="-Char">
    <w:name w:val="四级标题-万澈 Char"/>
    <w:link w:val="-"/>
    <w:rPr>
      <w:rFonts w:eastAsia="黑体"/>
      <w:kern w:val="2"/>
      <w:sz w:val="24"/>
    </w:rPr>
  </w:style>
  <w:style w:type="character" w:customStyle="1" w:styleId="CharChar15">
    <w:name w:val="Char Char15"/>
    <w:locked/>
    <w:rPr>
      <w:rFonts w:ascii="宋体" w:eastAsia="宋体" w:hAnsi="Courier New"/>
      <w:kern w:val="2"/>
      <w:sz w:val="21"/>
      <w:lang w:val="en-US" w:eastAsia="zh-CN" w:bidi="ar-SA"/>
    </w:rPr>
  </w:style>
  <w:style w:type="character" w:customStyle="1" w:styleId="1Char0">
    <w:name w:val="1表格标题 Char"/>
    <w:link w:val="13"/>
    <w:rPr>
      <w:b/>
      <w:kern w:val="2"/>
      <w:sz w:val="24"/>
    </w:rPr>
  </w:style>
  <w:style w:type="character" w:customStyle="1" w:styleId="6CharChar">
    <w:name w:val="标题 6 Char Char"/>
    <w:rPr>
      <w:kern w:val="2"/>
      <w:sz w:val="28"/>
      <w:szCs w:val="24"/>
    </w:rPr>
  </w:style>
  <w:style w:type="character" w:customStyle="1" w:styleId="Char13">
    <w:name w:val="正文文本 Char1"/>
    <w:rPr>
      <w:rFonts w:ascii="宋体" w:eastAsia="宋体" w:hAnsi="宋体"/>
      <w:kern w:val="2"/>
      <w:sz w:val="24"/>
      <w:lang w:val="en-US" w:eastAsia="zh-CN" w:bidi="ar-SA"/>
    </w:rPr>
  </w:style>
  <w:style w:type="character" w:customStyle="1" w:styleId="1CharChar1">
    <w:name w:val="标题 1 Char Char"/>
    <w:rPr>
      <w:b/>
      <w:bCs/>
      <w:kern w:val="44"/>
      <w:sz w:val="44"/>
      <w:szCs w:val="44"/>
    </w:rPr>
  </w:style>
  <w:style w:type="character" w:customStyle="1" w:styleId="aff7">
    <w:name w:val="隆庆正文 字符"/>
    <w:link w:val="aff6"/>
    <w:rPr>
      <w:kern w:val="2"/>
      <w:sz w:val="24"/>
      <w:szCs w:val="24"/>
    </w:rPr>
  </w:style>
  <w:style w:type="character" w:customStyle="1" w:styleId="hangju">
    <w:name w:val="hangju"/>
    <w:rPr>
      <w:rFonts w:eastAsia="宋体"/>
      <w:kern w:val="2"/>
      <w:sz w:val="28"/>
      <w:lang w:val="en-US" w:eastAsia="zh-CN" w:bidi="ar-SA"/>
    </w:rPr>
  </w:style>
  <w:style w:type="character" w:customStyle="1" w:styleId="htmlelm1">
    <w:name w:val="html_elm1"/>
    <w:rPr>
      <w:rFonts w:ascii="宋体" w:hAnsi="宋体" w:cs="宋体"/>
      <w:color w:val="800000"/>
      <w:sz w:val="24"/>
    </w:rPr>
  </w:style>
  <w:style w:type="character" w:customStyle="1" w:styleId="Charf2">
    <w:name w:val="引用 Char"/>
    <w:link w:val="aff8"/>
    <w:uiPriority w:val="99"/>
    <w:rPr>
      <w:i/>
      <w:iCs/>
      <w:color w:val="404040"/>
      <w:kern w:val="2"/>
      <w:sz w:val="21"/>
      <w:szCs w:val="21"/>
    </w:rPr>
  </w:style>
  <w:style w:type="character" w:customStyle="1" w:styleId="04Char">
    <w:name w:val="04 Char"/>
    <w:link w:val="04"/>
    <w:rPr>
      <w:color w:val="FF0000"/>
      <w:kern w:val="2"/>
      <w:sz w:val="28"/>
      <w:szCs w:val="24"/>
    </w:rPr>
  </w:style>
  <w:style w:type="character" w:customStyle="1" w:styleId="1char9">
    <w:name w:val="1char"/>
  </w:style>
  <w:style w:type="character" w:customStyle="1" w:styleId="CharChar7">
    <w:name w:val="启明正文 Char Char"/>
    <w:locked/>
    <w:rPr>
      <w:rFonts w:ascii="宋体" w:eastAsia="宋体" w:hAnsi="宋体" w:cs="宋体"/>
      <w:kern w:val="2"/>
      <w:sz w:val="24"/>
      <w:lang w:val="en-US" w:eastAsia="zh-CN" w:bidi="ar-SA"/>
    </w:rPr>
  </w:style>
  <w:style w:type="character" w:customStyle="1" w:styleId="CharChar8">
    <w:name w:val="批注框文本 Char Char"/>
    <w:rPr>
      <w:kern w:val="2"/>
      <w:sz w:val="18"/>
      <w:szCs w:val="18"/>
    </w:rPr>
  </w:style>
  <w:style w:type="character" w:customStyle="1" w:styleId="2Char2">
    <w:name w:val="样式 首行缩进:  2 字符 Char"/>
    <w:link w:val="28"/>
    <w:rPr>
      <w:rFonts w:cs="宋体"/>
      <w:kern w:val="2"/>
      <w:sz w:val="28"/>
    </w:rPr>
  </w:style>
  <w:style w:type="character" w:customStyle="1" w:styleId="a2CharChar">
    <w:name w:val="a2 Char Char"/>
    <w:link w:val="a20"/>
    <w:rPr>
      <w:rFonts w:ascii="宋体"/>
      <w:kern w:val="2"/>
      <w:sz w:val="21"/>
      <w:szCs w:val="24"/>
    </w:rPr>
  </w:style>
  <w:style w:type="character" w:customStyle="1" w:styleId="FontStyle36">
    <w:name w:val="Font Style36"/>
    <w:rPr>
      <w:rFonts w:ascii="Sylfaen" w:hAnsi="Sylfaen" w:cs="Sylfaen"/>
      <w:b/>
      <w:bCs/>
      <w:sz w:val="20"/>
      <w:szCs w:val="20"/>
    </w:rPr>
  </w:style>
  <w:style w:type="character" w:customStyle="1" w:styleId="66">
    <w:name w:val="标题6"/>
  </w:style>
  <w:style w:type="character" w:customStyle="1" w:styleId="FontStyle13">
    <w:name w:val="Font Style13"/>
    <w:rPr>
      <w:rFonts w:ascii="黑体" w:eastAsia="黑体" w:cs="黑体"/>
      <w:b/>
      <w:bCs/>
      <w:sz w:val="22"/>
      <w:szCs w:val="22"/>
    </w:rPr>
  </w:style>
  <w:style w:type="character" w:customStyle="1" w:styleId="Charffff1">
    <w:name w:val="内容 Char"/>
    <w:locked/>
    <w:rPr>
      <w:kern w:val="2"/>
      <w:sz w:val="28"/>
      <w:szCs w:val="24"/>
    </w:rPr>
  </w:style>
  <w:style w:type="character" w:customStyle="1" w:styleId="me2CharChar">
    <w:name w:val="me标题2 Char Char"/>
    <w:link w:val="me2"/>
    <w:rPr>
      <w:rFonts w:eastAsia="黑体" w:cs="宋体"/>
      <w:b/>
      <w:bCs/>
      <w:kern w:val="2"/>
      <w:sz w:val="30"/>
      <w:shd w:val="clear" w:color="auto" w:fill="FFFFFF"/>
    </w:rPr>
  </w:style>
  <w:style w:type="character" w:customStyle="1" w:styleId="10CharChar">
    <w:name w:val="10 Char Char"/>
    <w:rPr>
      <w:rFonts w:eastAsia="宋体"/>
      <w:kern w:val="2"/>
      <w:sz w:val="21"/>
      <w:szCs w:val="24"/>
      <w:lang w:val="en-US" w:eastAsia="zh-CN" w:bidi="ar-SA"/>
    </w:rPr>
  </w:style>
  <w:style w:type="character" w:customStyle="1" w:styleId="Charf3">
    <w:name w:val="报告表正文 Char"/>
    <w:link w:val="aff9"/>
    <w:rPr>
      <w:sz w:val="24"/>
    </w:rPr>
  </w:style>
  <w:style w:type="character" w:customStyle="1" w:styleId="Charf4">
    <w:name w:val="表格内文字 Char"/>
    <w:link w:val="affa"/>
    <w:rPr>
      <w:rFonts w:ascii="宋体" w:eastAsia="仿宋_GB2312" w:hAnsi="宋体" w:cs="宋体"/>
      <w:kern w:val="2"/>
      <w:sz w:val="24"/>
      <w:szCs w:val="28"/>
    </w:rPr>
  </w:style>
  <w:style w:type="character" w:customStyle="1" w:styleId="73">
    <w:name w:val="标题7"/>
    <w:qFormat/>
  </w:style>
  <w:style w:type="character" w:customStyle="1" w:styleId="font51">
    <w:name w:val="font51"/>
    <w:rPr>
      <w:rFonts w:ascii="宋体" w:eastAsia="宋体" w:hAnsi="宋体" w:hint="eastAsia"/>
      <w:color w:val="0000FF"/>
      <w:sz w:val="24"/>
    </w:rPr>
  </w:style>
  <w:style w:type="character" w:customStyle="1" w:styleId="style51">
    <w:name w:val="style51"/>
    <w:rPr>
      <w:rFonts w:ascii="宋体" w:eastAsia="宋体" w:hAnsi="宋体" w:hint="eastAsia"/>
      <w:sz w:val="24"/>
      <w:szCs w:val="24"/>
    </w:rPr>
  </w:style>
  <w:style w:type="character" w:customStyle="1" w:styleId="FontStyle16">
    <w:name w:val="Font Style16"/>
    <w:rPr>
      <w:rFonts w:ascii="Times New Roman" w:hAnsi="Times New Roman" w:cs="Times New Roman"/>
      <w:b/>
      <w:bCs/>
      <w:sz w:val="20"/>
      <w:szCs w:val="20"/>
    </w:rPr>
  </w:style>
  <w:style w:type="character" w:customStyle="1" w:styleId="22215CharChar">
    <w:name w:val="样式 样式 样式 首行缩进:  2 字符 + 首行缩进:  2 字符 + 首行缩进:  2 字符 行距: 1.5 倍行距 Char Char"/>
    <w:link w:val="22215"/>
    <w:rPr>
      <w:rFonts w:cs="宋体"/>
      <w:kern w:val="2"/>
      <w:sz w:val="21"/>
    </w:rPr>
  </w:style>
  <w:style w:type="character" w:customStyle="1" w:styleId="111Char">
    <w:name w:val="1.1.1 Char"/>
    <w:link w:val="111"/>
    <w:uiPriority w:val="99"/>
    <w:locked/>
    <w:rPr>
      <w:rFonts w:ascii="Calibri" w:eastAsia="黑体" w:hAnsi="Calibri" w:cs="Calibri"/>
      <w:b/>
      <w:kern w:val="2"/>
      <w:sz w:val="24"/>
      <w:szCs w:val="24"/>
    </w:rPr>
  </w:style>
  <w:style w:type="character" w:customStyle="1" w:styleId="CharChar20">
    <w:name w:val="Char Char2"/>
    <w:aliases w:val="普通文字 Char1,Char Char Char2"/>
    <w:rPr>
      <w:rFonts w:ascii="Arial" w:eastAsia="黑体" w:hAnsi="Arial"/>
      <w:b/>
      <w:bCs/>
      <w:kern w:val="2"/>
      <w:sz w:val="32"/>
      <w:szCs w:val="32"/>
      <w:lang w:val="en-US" w:eastAsia="zh-CN" w:bidi="ar-SA"/>
    </w:rPr>
  </w:style>
  <w:style w:type="character" w:customStyle="1" w:styleId="pt10-21">
    <w:name w:val="pt10-21"/>
    <w:rPr>
      <w:rFonts w:ascii="ˎ̥" w:hAnsi="ˎ̥" w:hint="default"/>
      <w:sz w:val="20"/>
      <w:szCs w:val="20"/>
    </w:rPr>
  </w:style>
  <w:style w:type="character" w:customStyle="1" w:styleId="Charf5">
    <w:name w:val="表体 Char"/>
    <w:link w:val="affb"/>
    <w:rPr>
      <w:kern w:val="2"/>
      <w:sz w:val="21"/>
    </w:rPr>
  </w:style>
  <w:style w:type="character" w:customStyle="1" w:styleId="Charf6">
    <w:name w:val="表格正文 Char"/>
    <w:link w:val="affc"/>
    <w:rPr>
      <w:kern w:val="2"/>
      <w:sz w:val="21"/>
    </w:rPr>
  </w:style>
  <w:style w:type="character" w:customStyle="1" w:styleId="CharChar13">
    <w:name w:val="Char Char13"/>
    <w:rPr>
      <w:rFonts w:ascii="Arial" w:eastAsia="黑体" w:hAnsi="Arial"/>
      <w:b/>
      <w:bCs/>
      <w:kern w:val="2"/>
      <w:sz w:val="28"/>
      <w:szCs w:val="28"/>
      <w:lang w:val="en-US" w:eastAsia="zh-CN" w:bidi="ar-SA"/>
    </w:rPr>
  </w:style>
  <w:style w:type="character" w:customStyle="1" w:styleId="bgChar1">
    <w:name w:val="bg正文首行缩进 Char1"/>
    <w:link w:val="bg"/>
    <w:rPr>
      <w:kern w:val="2"/>
      <w:sz w:val="24"/>
    </w:rPr>
  </w:style>
  <w:style w:type="character" w:customStyle="1" w:styleId="1Char1">
    <w:name w:val="表1 Char"/>
    <w:link w:val="14"/>
    <w:rPr>
      <w:rFonts w:eastAsia="黑体"/>
      <w:spacing w:val="10"/>
      <w:kern w:val="2"/>
      <w:sz w:val="28"/>
    </w:rPr>
  </w:style>
  <w:style w:type="character" w:customStyle="1" w:styleId="style61">
    <w:name w:val="style61"/>
    <w:rPr>
      <w:sz w:val="20"/>
      <w:szCs w:val="20"/>
    </w:rPr>
  </w:style>
  <w:style w:type="character" w:customStyle="1" w:styleId="CharChar">
    <w:name w:val="正式文本 Char Char"/>
    <w:link w:val="affd"/>
    <w:rPr>
      <w:rFonts w:ascii="Arial Narrow" w:eastAsia="汉鼎简书宋" w:hAnsi="Arial Narrow"/>
      <w:kern w:val="2"/>
      <w:sz w:val="24"/>
      <w:szCs w:val="24"/>
    </w:rPr>
  </w:style>
  <w:style w:type="character" w:customStyle="1" w:styleId="2Char10">
    <w:name w:val="正文首行缩进 2 Char1"/>
    <w:uiPriority w:val="99"/>
    <w:rPr>
      <w:color w:val="000000"/>
      <w:spacing w:val="2"/>
      <w:kern w:val="2"/>
      <w:sz w:val="28"/>
      <w:szCs w:val="24"/>
    </w:rPr>
  </w:style>
  <w:style w:type="character" w:customStyle="1" w:styleId="hei141">
    <w:name w:val="hei141"/>
    <w:rPr>
      <w:rFonts w:ascii="宋体" w:hAnsi="宋体" w:cs="宋体"/>
      <w:color w:val="000000"/>
      <w:sz w:val="21"/>
      <w:szCs w:val="21"/>
    </w:rPr>
  </w:style>
  <w:style w:type="character" w:customStyle="1" w:styleId="CharChar21">
    <w:name w:val="Char Char21"/>
    <w:aliases w:val="孙普文字 Char1, Char Char Char2, Char Char Char Char1,Char Char Char Char,Char Char Char1,普通文字1 Char1,普通文字 Char Char2,普通文字 Char Char Char Char1,普通文字 Char Char Char Char Char Char Char Char Char1,普通文字 Char Char Char Char Char Char Char Char2"/>
    <w:rPr>
      <w:rFonts w:ascii="Arial" w:eastAsia="黑体" w:hAnsi="Arial"/>
      <w:b/>
      <w:bCs/>
      <w:kern w:val="2"/>
      <w:sz w:val="32"/>
      <w:szCs w:val="32"/>
      <w:lang w:val="en-US" w:eastAsia="zh-CN" w:bidi="ar-SA"/>
    </w:rPr>
  </w:style>
  <w:style w:type="character" w:customStyle="1" w:styleId="1fff">
    <w:name w:val="页码1"/>
  </w:style>
  <w:style w:type="character" w:customStyle="1" w:styleId="WWLCharChar">
    <w:name w:val="WWL正文 Char Char"/>
    <w:link w:val="WWL"/>
    <w:rPr>
      <w:rFonts w:ascii="宋体" w:hAnsi="宋体" w:cs="宋体"/>
      <w:color w:val="FF0000"/>
      <w:kern w:val="2"/>
      <w:sz w:val="28"/>
      <w:szCs w:val="28"/>
      <w:shd w:val="clear" w:color="auto" w:fill="FFFFFF"/>
      <w:lang w:val="zh-CN"/>
    </w:rPr>
  </w:style>
  <w:style w:type="character" w:customStyle="1" w:styleId="me1CharChar">
    <w:name w:val="me正文1 Char Char"/>
    <w:link w:val="me1"/>
    <w:rPr>
      <w:rFonts w:cs="宋体"/>
      <w:spacing w:val="-8"/>
      <w:kern w:val="2"/>
      <w:sz w:val="28"/>
      <w:szCs w:val="28"/>
      <w:shd w:val="clear" w:color="auto" w:fill="FFFFFF"/>
    </w:rPr>
  </w:style>
  <w:style w:type="character" w:customStyle="1" w:styleId="1Char2">
    <w:name w:val="表格1 Char"/>
    <w:link w:val="15"/>
    <w:rPr>
      <w:rFonts w:ascii="宋体"/>
      <w:sz w:val="21"/>
    </w:rPr>
  </w:style>
  <w:style w:type="character" w:customStyle="1" w:styleId="p11">
    <w:name w:val="p11"/>
    <w:rPr>
      <w:rFonts w:ascii="ˎ̥" w:eastAsia="宋体" w:hAnsi="ˎ̥" w:hint="default"/>
      <w:color w:val="000000"/>
      <w:kern w:val="2"/>
      <w:sz w:val="29"/>
      <w:szCs w:val="29"/>
      <w:u w:val="none"/>
      <w:lang w:val="en-US" w:eastAsia="zh-CN" w:bidi="ar-SA"/>
    </w:rPr>
  </w:style>
  <w:style w:type="character" w:customStyle="1" w:styleId="3Char2">
    <w:name w:val="样式3 Char"/>
    <w:link w:val="36"/>
    <w:rPr>
      <w:spacing w:val="8"/>
      <w:kern w:val="2"/>
      <w:sz w:val="24"/>
      <w:szCs w:val="28"/>
    </w:rPr>
  </w:style>
  <w:style w:type="character" w:customStyle="1" w:styleId="CharChar9">
    <w:name w:val="正文格式 Char Char"/>
    <w:locked/>
    <w:rPr>
      <w:rFonts w:ascii="宋体" w:eastAsia="宋体" w:hAnsi="宋体" w:cs="宋体"/>
      <w:kern w:val="2"/>
      <w:sz w:val="24"/>
      <w:szCs w:val="24"/>
      <w:lang w:val="en-US" w:eastAsia="zh-CN" w:bidi="ar-SA"/>
    </w:rPr>
  </w:style>
  <w:style w:type="character" w:customStyle="1" w:styleId="FontStyle32">
    <w:name w:val="Font Style32"/>
    <w:rPr>
      <w:rFonts w:ascii="Arial" w:hAnsi="Arial" w:cs="Arial"/>
      <w:b/>
      <w:bCs/>
      <w:sz w:val="16"/>
      <w:szCs w:val="16"/>
    </w:rPr>
  </w:style>
  <w:style w:type="character" w:customStyle="1" w:styleId="2Char5">
    <w:name w:val="正文文本缩进 2 Char"/>
    <w:aliases w:val="文本框 Char"/>
    <w:rPr>
      <w:rFonts w:ascii="宋体"/>
      <w:kern w:val="2"/>
      <w:sz w:val="28"/>
    </w:rPr>
  </w:style>
  <w:style w:type="character" w:customStyle="1" w:styleId="CharChar0">
    <w:name w:val="杨柳 Char Char"/>
    <w:link w:val="affe"/>
    <w:rPr>
      <w:rFonts w:cs="宋体"/>
      <w:kern w:val="2"/>
      <w:sz w:val="24"/>
      <w:szCs w:val="24"/>
    </w:rPr>
  </w:style>
  <w:style w:type="character" w:customStyle="1" w:styleId="1CharChar">
    <w:name w:val="内容1 Char Char"/>
    <w:link w:val="16"/>
    <w:rPr>
      <w:rFonts w:ascii="宋体" w:cs="宋体"/>
      <w:color w:val="000000"/>
      <w:kern w:val="2"/>
      <w:sz w:val="28"/>
    </w:rPr>
  </w:style>
  <w:style w:type="character" w:customStyle="1" w:styleId="4CharChar">
    <w:name w:val="标题 4 Char Char"/>
    <w:rPr>
      <w:rFonts w:ascii="宋体" w:eastAsia="宋体" w:hAnsi="宋体"/>
      <w:b/>
      <w:kern w:val="2"/>
      <w:sz w:val="28"/>
      <w:lang w:val="en-US" w:eastAsia="zh-CN"/>
    </w:rPr>
  </w:style>
  <w:style w:type="character" w:customStyle="1" w:styleId="CharChara">
    <w:name w:val="文档结构图 Char Char"/>
    <w:rPr>
      <w:kern w:val="2"/>
      <w:sz w:val="28"/>
      <w:shd w:val="clear" w:color="auto" w:fill="000080"/>
    </w:rPr>
  </w:style>
  <w:style w:type="character" w:customStyle="1" w:styleId="Charf7">
    <w:name w:val="表格字体 Char"/>
    <w:link w:val="afff"/>
    <w:rPr>
      <w:color w:val="000000"/>
      <w:kern w:val="2"/>
      <w:sz w:val="21"/>
      <w:szCs w:val="24"/>
    </w:rPr>
  </w:style>
  <w:style w:type="character" w:customStyle="1" w:styleId="5CharChar">
    <w:name w:val="标题 5 Char Char"/>
    <w:rPr>
      <w:rFonts w:ascii="宋体" w:eastAsia="宋体" w:hAnsi="宋体"/>
      <w:b/>
      <w:bCs/>
      <w:iCs/>
      <w:color w:val="000000"/>
      <w:kern w:val="2"/>
      <w:sz w:val="28"/>
      <w:szCs w:val="28"/>
      <w:lang w:val="en-US" w:eastAsia="zh-CN" w:bidi="ar-SA"/>
    </w:rPr>
  </w:style>
  <w:style w:type="character" w:customStyle="1" w:styleId="3CharCharCharCharCharCharCharCharCharCharCharCharCharCharCharCharCharCharCharCharCharCharCharCharCharCharCharCharCharCharCharCharCharCharCharCharCharCharCharCharCharCharCharCharCharCharCharCharChar">
    <w:name w:val="标题 3 Char Char Char Char Char Char Char Char Char Char Char Char Char Char Char Char Char Char Char Char Char Char Char Char Char Char Char Char Char Char Char Char Char Char Char Char Char Char Char Char Char Char Char Char Char Char Char Char Char"/>
    <w:rPr>
      <w:rFonts w:eastAsia="宋体"/>
      <w:b/>
      <w:bCs/>
      <w:kern w:val="2"/>
      <w:sz w:val="32"/>
      <w:szCs w:val="32"/>
      <w:lang w:val="en-US" w:eastAsia="zh-CN" w:bidi="ar-SA"/>
    </w:rPr>
  </w:style>
  <w:style w:type="character" w:customStyle="1" w:styleId="GB23121015CharChar">
    <w:name w:val="样式 正文文本缩进 + 仿宋_GB2312 四号 左 首行缩进:  1 厘米 段后: 0 磅 行距: 1.5 倍行距 Char Char"/>
    <w:rPr>
      <w:rFonts w:ascii="仿宋_GB2312" w:eastAsia="仿宋_GB2312" w:cs="宋体"/>
      <w:kern w:val="2"/>
      <w:sz w:val="28"/>
    </w:rPr>
  </w:style>
  <w:style w:type="character" w:customStyle="1" w:styleId="Charf8">
    <w:name w:val="图题注 Char"/>
    <w:link w:val="afff0"/>
    <w:rPr>
      <w:rFonts w:ascii="Arial" w:eastAsia="黑体" w:hAnsi="Arial" w:cs="Arial"/>
      <w:kern w:val="2"/>
      <w:sz w:val="24"/>
    </w:rPr>
  </w:style>
  <w:style w:type="character" w:customStyle="1" w:styleId="me1CharCharChar">
    <w:name w:val="me正文1 Char Char Char"/>
    <w:rPr>
      <w:rFonts w:ascii="宋体" w:eastAsia="宋体" w:hAnsi="宋体" w:cs="宋体"/>
      <w:color w:val="FF0000"/>
      <w:kern w:val="2"/>
      <w:sz w:val="28"/>
      <w:szCs w:val="28"/>
      <w:lang w:val="zh-CN" w:eastAsia="zh-CN" w:bidi="ar-SA"/>
    </w:rPr>
  </w:style>
  <w:style w:type="character" w:customStyle="1" w:styleId="CharChar10">
    <w:name w:val="Char Char10"/>
    <w:rPr>
      <w:rFonts w:eastAsia="宋体"/>
      <w:b/>
      <w:kern w:val="21"/>
      <w:sz w:val="24"/>
      <w:lang w:val="en-US" w:eastAsia="zh-CN" w:bidi="ar-SA"/>
    </w:rPr>
  </w:style>
  <w:style w:type="character" w:customStyle="1" w:styleId="Charf9">
    <w:name w:val="[三级节名] Char"/>
    <w:aliases w:val="h4 Char,H4 Char,条 2 Char,[三级节名]1 Char,[三级节名]2 Char Char,段 Char,h4 sub sub heading Char"/>
    <w:link w:val="afff1"/>
    <w:rPr>
      <w:rFonts w:ascii="Arial" w:eastAsia="黑体" w:hAnsi="Arial"/>
      <w:b/>
      <w:bCs/>
      <w:kern w:val="2"/>
      <w:sz w:val="28"/>
      <w:szCs w:val="28"/>
      <w:lang w:val="en-US" w:eastAsia="zh-CN" w:bidi="ar-SA"/>
    </w:rPr>
  </w:style>
  <w:style w:type="character" w:customStyle="1" w:styleId="Char21">
    <w:name w:val="尾注文本 Char2"/>
    <w:rPr>
      <w:kern w:val="2"/>
      <w:sz w:val="28"/>
      <w:szCs w:val="24"/>
    </w:rPr>
  </w:style>
  <w:style w:type="character" w:customStyle="1" w:styleId="xl24CharChar">
    <w:name w:val="xl24 Char Char"/>
    <w:rPr>
      <w:rFonts w:eastAsia="宋体"/>
      <w:sz w:val="15"/>
      <w:szCs w:val="15"/>
      <w:lang w:val="en-US" w:eastAsia="zh-CN" w:bidi="ar-SA"/>
    </w:rPr>
  </w:style>
  <w:style w:type="character" w:customStyle="1" w:styleId="FontStyle26">
    <w:name w:val="Font Style26"/>
    <w:rPr>
      <w:rFonts w:ascii="宋体" w:eastAsia="宋体" w:cs="宋体"/>
      <w:b/>
      <w:bCs/>
      <w:spacing w:val="-10"/>
      <w:sz w:val="14"/>
      <w:szCs w:val="14"/>
    </w:rPr>
  </w:style>
  <w:style w:type="character" w:customStyle="1" w:styleId="Charfa">
    <w:name w:val="说明书正文 Char"/>
    <w:link w:val="afff2"/>
    <w:qFormat/>
    <w:rPr>
      <w:rFonts w:eastAsia="仿宋_GB2312"/>
      <w:color w:val="000000"/>
      <w:kern w:val="2"/>
      <w:sz w:val="30"/>
      <w:szCs w:val="24"/>
    </w:rPr>
  </w:style>
  <w:style w:type="character" w:customStyle="1" w:styleId="meCharChar">
    <w:name w:val="me表格编号 Char Char"/>
    <w:link w:val="me"/>
    <w:rPr>
      <w:rFonts w:ascii="宋体" w:hAnsi="宋体"/>
      <w:color w:val="0000FF"/>
      <w:kern w:val="2"/>
      <w:sz w:val="24"/>
      <w:szCs w:val="24"/>
    </w:rPr>
  </w:style>
  <w:style w:type="character" w:customStyle="1" w:styleId="Charffff2">
    <w:name w:val="节标题 Char"/>
    <w:aliases w:val="节 Char,节标题 1.1 Char1,1.1标题2 Char1,b2 Char,H2 Char,h2 Char,Underrubrik1 Char,prop2 Char,UNDERRUBRIK 1-2 Char,2nd level Char,Header 2 Char,l2 Char,PIM2 Char,Heading 2 Hidden Char,Titre2 Char,Head 2 Char,第一章 标题 2 Char,Heading 2 CCBS Char,H21 Char"/>
    <w:rPr>
      <w:rFonts w:ascii="Arial" w:eastAsia="黑体" w:hAnsi="Arial"/>
      <w:b/>
      <w:bCs/>
      <w:kern w:val="2"/>
      <w:sz w:val="28"/>
      <w:szCs w:val="32"/>
      <w:lang w:val="en-US" w:eastAsia="zh-CN" w:bidi="ar-SA"/>
    </w:rPr>
  </w:style>
  <w:style w:type="character" w:customStyle="1" w:styleId="font41">
    <w:name w:val="font41"/>
    <w:rPr>
      <w:rFonts w:ascii="Times New Roman" w:hAnsi="Times New Roman" w:cs="Times New Roman" w:hint="default"/>
      <w:color w:val="000000"/>
      <w:sz w:val="20"/>
      <w:szCs w:val="20"/>
      <w:u w:val="none"/>
    </w:rPr>
  </w:style>
  <w:style w:type="character" w:customStyle="1" w:styleId="CharCharb">
    <w:name w:val="表文字 Char Char"/>
    <w:rPr>
      <w:rFonts w:ascii="宋体" w:hAnsi="宋体"/>
      <w:kern w:val="2"/>
      <w:sz w:val="21"/>
    </w:rPr>
  </w:style>
  <w:style w:type="character" w:customStyle="1" w:styleId="Charfb">
    <w:name w:val="样式 正文缩进 + (中文) 黑体 小四 Char"/>
    <w:link w:val="afff3"/>
    <w:rPr>
      <w:rFonts w:eastAsia="黑体"/>
      <w:b/>
      <w:bCs/>
      <w:kern w:val="28"/>
      <w:sz w:val="24"/>
      <w:szCs w:val="24"/>
    </w:rPr>
  </w:style>
  <w:style w:type="character" w:customStyle="1" w:styleId="FontStyle33">
    <w:name w:val="Font Style33"/>
    <w:rPr>
      <w:rFonts w:ascii="Times New Roman" w:hAnsi="Times New Roman" w:cs="Times New Roman"/>
      <w:b/>
      <w:bCs/>
      <w:sz w:val="26"/>
      <w:szCs w:val="26"/>
    </w:rPr>
  </w:style>
  <w:style w:type="character" w:customStyle="1" w:styleId="0Char">
    <w:name w:val="0表格标题 Char"/>
    <w:link w:val="0"/>
    <w:rPr>
      <w:rFonts w:eastAsia="黑体"/>
      <w:b/>
      <w:spacing w:val="2"/>
      <w:kern w:val="2"/>
      <w:sz w:val="24"/>
      <w:szCs w:val="24"/>
    </w:rPr>
  </w:style>
  <w:style w:type="character" w:customStyle="1" w:styleId="afff5">
    <w:name w:val="隆庆四级标题 字符"/>
    <w:link w:val="afff4"/>
    <w:rPr>
      <w:b/>
      <w:kern w:val="2"/>
      <w:sz w:val="24"/>
      <w:szCs w:val="24"/>
    </w:rPr>
  </w:style>
  <w:style w:type="character" w:customStyle="1" w:styleId="0Char0">
    <w:name w:val="0表格内容 Char"/>
    <w:link w:val="00"/>
    <w:rPr>
      <w:rFonts w:ascii="Calibri" w:hAnsi="Calibri"/>
      <w:kern w:val="2"/>
      <w:sz w:val="21"/>
      <w:szCs w:val="22"/>
    </w:rPr>
  </w:style>
  <w:style w:type="character" w:customStyle="1" w:styleId="1Char3">
    <w:name w:val="表头1 Char"/>
    <w:link w:val="17"/>
    <w:rPr>
      <w:b/>
      <w:color w:val="000000"/>
      <w:kern w:val="2"/>
      <w:sz w:val="28"/>
      <w:szCs w:val="24"/>
    </w:rPr>
  </w:style>
  <w:style w:type="character" w:customStyle="1" w:styleId="CharCharc">
    <w:name w:val="表格内文字 Char Char"/>
    <w:locked/>
    <w:rPr>
      <w:rFonts w:ascii="仿宋_GB2312" w:eastAsia="仿宋_GB2312" w:hAnsi="宋体" w:cs="宋体"/>
      <w:kern w:val="2"/>
      <w:sz w:val="24"/>
      <w:szCs w:val="28"/>
      <w:lang w:val="en-US" w:eastAsia="zh-CN" w:bidi="ar-SA"/>
    </w:rPr>
  </w:style>
  <w:style w:type="character" w:customStyle="1" w:styleId="Charfc">
    <w:name w:val="表格内容居中 Char"/>
    <w:link w:val="afff6"/>
    <w:rPr>
      <w:rFonts w:ascii="宋体" w:hAnsi="宋体"/>
      <w:szCs w:val="21"/>
    </w:rPr>
  </w:style>
  <w:style w:type="character" w:customStyle="1" w:styleId="CharChard">
    <w:name w:val="正文(首行缩进) Char Char"/>
    <w:locked/>
    <w:rPr>
      <w:rFonts w:ascii="宋体" w:eastAsia="宋体" w:hAnsi="宋体" w:cs="宋体"/>
      <w:snapToGrid/>
      <w:sz w:val="24"/>
      <w:szCs w:val="24"/>
      <w:lang w:val="en-US" w:eastAsia="zh-CN" w:bidi="ar-SA"/>
    </w:rPr>
  </w:style>
  <w:style w:type="character" w:customStyle="1" w:styleId="Charffff3">
    <w:name w:val="表头 Char"/>
    <w:rPr>
      <w:kern w:val="2"/>
      <w:sz w:val="24"/>
      <w:szCs w:val="28"/>
    </w:rPr>
  </w:style>
  <w:style w:type="character" w:customStyle="1" w:styleId="11Char">
    <w:name w:val="样式11 Char"/>
    <w:link w:val="110"/>
    <w:rPr>
      <w:kern w:val="2"/>
      <w:sz w:val="21"/>
      <w:szCs w:val="21"/>
    </w:rPr>
  </w:style>
  <w:style w:type="character" w:customStyle="1" w:styleId="Charffff4">
    <w:name w:val="杨柳 Char"/>
    <w:rPr>
      <w:rFonts w:eastAsia="宋体" w:cs="宋体"/>
      <w:kern w:val="2"/>
      <w:sz w:val="28"/>
      <w:lang w:val="en-US" w:eastAsia="zh-CN" w:bidi="ar-SA"/>
    </w:rPr>
  </w:style>
  <w:style w:type="character" w:customStyle="1" w:styleId="Charfd">
    <w:name w:val="表格标题 Char"/>
    <w:link w:val="afff7"/>
    <w:locked/>
    <w:rPr>
      <w:b/>
      <w:kern w:val="2"/>
      <w:sz w:val="24"/>
      <w:szCs w:val="21"/>
    </w:rPr>
  </w:style>
  <w:style w:type="character" w:customStyle="1" w:styleId="Charfe">
    <w:name w:val="表格内容 Char"/>
    <w:aliases w:val="纯文本 Char1,纯文本 Char Char,普通文字1 Char,普通文字 Char Char Char Char Char Char Char Char Char,纯文本1 Char1,孙普文字 Char2,纯文本 Char Char Char Char Char Char2,纯文本 Char Char Char Char Char3,普通文字 Char Char Char1"/>
    <w:link w:val="afff8"/>
    <w:rPr>
      <w:kern w:val="2"/>
      <w:sz w:val="21"/>
      <w:szCs w:val="21"/>
    </w:rPr>
  </w:style>
  <w:style w:type="character" w:customStyle="1" w:styleId="2CharChar">
    <w:name w:val="首行缩进2 Char Char"/>
    <w:link w:val="29"/>
    <w:rPr>
      <w:kern w:val="2"/>
      <w:sz w:val="24"/>
      <w:szCs w:val="24"/>
    </w:rPr>
  </w:style>
  <w:style w:type="character" w:customStyle="1" w:styleId="Charff">
    <w:name w:val="圣达正文 Char"/>
    <w:link w:val="afff9"/>
    <w:locked/>
    <w:rPr>
      <w:rFonts w:ascii="宋体" w:hAnsi="宋体"/>
      <w:kern w:val="2"/>
      <w:sz w:val="24"/>
      <w:szCs w:val="24"/>
    </w:rPr>
  </w:style>
  <w:style w:type="character" w:customStyle="1" w:styleId="keyword1">
    <w:name w:val="keyword1"/>
    <w:rPr>
      <w:rFonts w:ascii="宋体" w:hAnsi="宋体" w:cs="宋体"/>
      <w:color w:val="FF0000"/>
      <w:sz w:val="24"/>
    </w:rPr>
  </w:style>
  <w:style w:type="character" w:customStyle="1" w:styleId="Char22">
    <w:name w:val="标题 Char2"/>
    <w:uiPriority w:val="10"/>
    <w:rPr>
      <w:rFonts w:ascii="Cambria" w:hAnsi="Cambria" w:cs="Times New Roman"/>
      <w:b/>
      <w:bCs/>
      <w:kern w:val="2"/>
      <w:sz w:val="32"/>
      <w:szCs w:val="32"/>
    </w:rPr>
  </w:style>
  <w:style w:type="character" w:customStyle="1" w:styleId="3CharChar1">
    <w:name w:val="正文文本 3 Char Char"/>
    <w:rPr>
      <w:kern w:val="2"/>
      <w:sz w:val="24"/>
    </w:rPr>
  </w:style>
  <w:style w:type="character" w:customStyle="1" w:styleId="1fff0">
    <w:name w:val="样式 四号1"/>
    <w:rPr>
      <w:rFonts w:eastAsia="仿宋_GB2312"/>
      <w:sz w:val="28"/>
    </w:rPr>
  </w:style>
  <w:style w:type="character" w:customStyle="1" w:styleId="24CharCharChar">
    <w:name w:val="样式 宋体 小四 行距: 固定值 24 磅 Char Char Char"/>
    <w:rPr>
      <w:rFonts w:ascii="宋体" w:eastAsia="宋体" w:hAnsi="宋体" w:cs="宋体"/>
      <w:bCs/>
      <w:spacing w:val="4"/>
      <w:sz w:val="24"/>
      <w:szCs w:val="24"/>
      <w:lang w:val="en-US" w:eastAsia="zh-CN" w:bidi="ar-SA"/>
    </w:rPr>
  </w:style>
  <w:style w:type="character" w:customStyle="1" w:styleId="font13h">
    <w:name w:val="font13h"/>
  </w:style>
  <w:style w:type="character" w:customStyle="1" w:styleId="CharChar90">
    <w:name w:val="Char Char9"/>
    <w:rPr>
      <w:rFonts w:eastAsia="宋体"/>
      <w:b/>
      <w:bCs/>
      <w:kern w:val="2"/>
      <w:sz w:val="32"/>
      <w:szCs w:val="32"/>
      <w:lang w:val="en-US" w:eastAsia="zh-CN" w:bidi="ar-SA"/>
    </w:rPr>
  </w:style>
  <w:style w:type="character" w:customStyle="1" w:styleId="FontStyle28">
    <w:name w:val="Font Style28"/>
    <w:rPr>
      <w:rFonts w:ascii="MingLiU" w:eastAsia="MingLiU" w:cs="MingLiU"/>
      <w:b/>
      <w:bCs/>
      <w:i/>
      <w:iCs/>
      <w:sz w:val="22"/>
      <w:szCs w:val="22"/>
    </w:rPr>
  </w:style>
  <w:style w:type="character" w:customStyle="1" w:styleId="FontStyle35">
    <w:name w:val="Font Style35"/>
    <w:rPr>
      <w:rFonts w:ascii="Sylfaen" w:hAnsi="Sylfaen" w:cs="Sylfaen"/>
      <w:b/>
      <w:bCs/>
      <w:sz w:val="12"/>
      <w:szCs w:val="12"/>
    </w:rPr>
  </w:style>
  <w:style w:type="character" w:customStyle="1" w:styleId="Charff0">
    <w:name w:val="铝土矿正文 Char"/>
    <w:link w:val="afffa"/>
    <w:locked/>
    <w:rPr>
      <w:kern w:val="2"/>
      <w:sz w:val="24"/>
      <w:szCs w:val="24"/>
    </w:rPr>
  </w:style>
  <w:style w:type="character" w:customStyle="1" w:styleId="A4CharChar">
    <w:name w:val="A4（正） Char Char"/>
    <w:link w:val="A40"/>
    <w:rPr>
      <w:kern w:val="2"/>
      <w:sz w:val="28"/>
    </w:rPr>
  </w:style>
  <w:style w:type="character" w:customStyle="1" w:styleId="4CharCharCharChar">
    <w:name w:val="标题 4 Char Char Char Char"/>
    <w:rPr>
      <w:rFonts w:eastAsia="宋体"/>
      <w:spacing w:val="-2"/>
      <w:sz w:val="28"/>
      <w:szCs w:val="28"/>
      <w:lang w:val="en-US" w:eastAsia="zh-CN" w:bidi="ar-SA"/>
    </w:rPr>
  </w:style>
  <w:style w:type="character" w:customStyle="1" w:styleId="affffffffffffc">
    <w:name w:val="样式 小四 红色"/>
    <w:rPr>
      <w:color w:val="FF0000"/>
      <w:kern w:val="0"/>
      <w:sz w:val="24"/>
    </w:rPr>
  </w:style>
  <w:style w:type="character" w:customStyle="1" w:styleId="2Char3">
    <w:name w:val="2级标题 Char"/>
    <w:link w:val="2a"/>
    <w:rPr>
      <w:rFonts w:eastAsia="黑体"/>
      <w:b/>
      <w:sz w:val="32"/>
      <w:szCs w:val="24"/>
    </w:rPr>
  </w:style>
  <w:style w:type="character" w:customStyle="1" w:styleId="1Char4">
    <w:name w:val="1正文段落 Char"/>
    <w:link w:val="18"/>
    <w:rPr>
      <w:snapToGrid/>
      <w:sz w:val="28"/>
    </w:rPr>
  </w:style>
  <w:style w:type="character" w:customStyle="1" w:styleId="apple-converted-space">
    <w:name w:val="apple-converted-space"/>
  </w:style>
  <w:style w:type="character" w:customStyle="1" w:styleId="CharChar50">
    <w:name w:val="Char Char5"/>
    <w:rPr>
      <w:rFonts w:eastAsia="楷体_GB2312"/>
      <w:b/>
      <w:bCs/>
      <w:kern w:val="2"/>
      <w:sz w:val="28"/>
      <w:szCs w:val="32"/>
      <w:lang w:val="en-US" w:eastAsia="zh-CN" w:bidi="ar-SA"/>
    </w:rPr>
  </w:style>
  <w:style w:type="character" w:customStyle="1" w:styleId="Charff1">
    <w:name w:val="表文字 Char"/>
    <w:link w:val="afffb"/>
    <w:rPr>
      <w:rFonts w:ascii="宋体" w:eastAsia="Times New Roman" w:hAnsi="宋体"/>
      <w:kern w:val="2"/>
      <w:sz w:val="21"/>
      <w:lang w:val="en-US" w:eastAsia="zh-CN" w:bidi="ar-SA"/>
    </w:rPr>
  </w:style>
  <w:style w:type="character" w:customStyle="1" w:styleId="hangju1">
    <w:name w:val="hangju1"/>
  </w:style>
  <w:style w:type="character" w:customStyle="1" w:styleId="style31">
    <w:name w:val="style31"/>
    <w:rPr>
      <w:sz w:val="26"/>
      <w:szCs w:val="26"/>
    </w:rPr>
  </w:style>
  <w:style w:type="character" w:customStyle="1" w:styleId="3Char10">
    <w:name w:val="标题 3 Char1"/>
    <w:aliases w:val="标题 3 Char Char"/>
    <w:rPr>
      <w:rFonts w:eastAsia="宋体"/>
      <w:b/>
      <w:bCs/>
      <w:color w:val="FF00FF"/>
      <w:kern w:val="2"/>
      <w:sz w:val="28"/>
      <w:szCs w:val="32"/>
      <w:lang w:val="en-US" w:eastAsia="zh-CN" w:bidi="ar-SA"/>
    </w:rPr>
  </w:style>
  <w:style w:type="character" w:customStyle="1" w:styleId="styler1">
    <w:name w:val="styler1"/>
    <w:rPr>
      <w:color w:val="FFFFFF"/>
      <w:sz w:val="2"/>
      <w:szCs w:val="2"/>
    </w:rPr>
  </w:style>
  <w:style w:type="character" w:customStyle="1" w:styleId="Charff2">
    <w:name w:val="正文(首行缩进) Char"/>
    <w:link w:val="afffc"/>
    <w:rPr>
      <w:rFonts w:ascii="宋体" w:hAnsi="宋体" w:cs="宋体"/>
      <w:sz w:val="24"/>
      <w:szCs w:val="24"/>
    </w:rPr>
  </w:style>
  <w:style w:type="character" w:customStyle="1" w:styleId="1CharChar2">
    <w:name w:val="1正文段落 Char Char"/>
    <w:locked/>
    <w:rPr>
      <w:rFonts w:ascii="宋体" w:eastAsia="宋体" w:hAnsi="宋体" w:cs="宋体"/>
      <w:snapToGrid/>
      <w:sz w:val="24"/>
      <w:szCs w:val="24"/>
      <w:lang w:val="en-US" w:eastAsia="zh-CN" w:bidi="ar-SA"/>
    </w:rPr>
  </w:style>
  <w:style w:type="character" w:customStyle="1" w:styleId="Char14">
    <w:name w:val="正文首行缩进 Char1"/>
  </w:style>
  <w:style w:type="character" w:customStyle="1" w:styleId="1CharChar3">
    <w:name w:val="表1 Char Char"/>
    <w:locked/>
    <w:rPr>
      <w:rFonts w:ascii="宋体" w:hAnsi="宋体" w:cs="宋体"/>
      <w:sz w:val="21"/>
      <w:lang w:val="en-US" w:eastAsia="zh-CN" w:bidi="ar-SA"/>
    </w:rPr>
  </w:style>
  <w:style w:type="character" w:customStyle="1" w:styleId="headline-content2">
    <w:name w:val="headline-content2"/>
    <w:basedOn w:val="a3"/>
  </w:style>
  <w:style w:type="character" w:customStyle="1" w:styleId="1230">
    <w:name w:val="样式123 宋体 小四"/>
    <w:rPr>
      <w:rFonts w:ascii="Times New Roman" w:eastAsia="宋体" w:hAnsi="Times New Roman"/>
      <w:sz w:val="24"/>
      <w:szCs w:val="24"/>
    </w:rPr>
  </w:style>
  <w:style w:type="character" w:customStyle="1" w:styleId="4MB4TimesNewRomanChar">
    <w:name w:val="样式 标题 4MB4 + (西文) Times New Roman (中文) 宋体 Char"/>
    <w:link w:val="4MB4TimesNewRoman"/>
    <w:rPr>
      <w:rFonts w:ascii="Arial" w:eastAsia="黑体" w:hAnsi="Arial"/>
      <w:kern w:val="2"/>
      <w:sz w:val="28"/>
      <w:szCs w:val="28"/>
    </w:rPr>
  </w:style>
  <w:style w:type="character" w:customStyle="1" w:styleId="a31">
    <w:name w:val="a31"/>
    <w:rPr>
      <w:color w:val="0000CC"/>
      <w:sz w:val="27"/>
      <w:szCs w:val="27"/>
    </w:rPr>
  </w:style>
  <w:style w:type="character" w:customStyle="1" w:styleId="CharChare">
    <w:name w:val="主焦 Char Char"/>
    <w:rPr>
      <w:rFonts w:cs="宋体"/>
      <w:kern w:val="2"/>
      <w:sz w:val="28"/>
    </w:rPr>
  </w:style>
  <w:style w:type="character" w:customStyle="1" w:styleId="7CharChar">
    <w:name w:val="标题 7 Char Char"/>
    <w:rPr>
      <w:b/>
      <w:bCs/>
      <w:kern w:val="2"/>
      <w:sz w:val="24"/>
      <w:szCs w:val="24"/>
    </w:rPr>
  </w:style>
  <w:style w:type="character" w:customStyle="1" w:styleId="CharCharf">
    <w:name w:val="日期 Char Char"/>
    <w:rPr>
      <w:b/>
      <w:kern w:val="2"/>
      <w:sz w:val="32"/>
    </w:rPr>
  </w:style>
  <w:style w:type="character" w:customStyle="1" w:styleId="hb3Char">
    <w:name w:val="hb3 Char"/>
    <w:link w:val="hb3"/>
    <w:rPr>
      <w:rFonts w:eastAsia="Times New Roman"/>
      <w:b/>
      <w:kern w:val="2"/>
      <w:sz w:val="24"/>
      <w:lang w:val="en-US" w:eastAsia="zh-CN" w:bidi="ar-SA"/>
    </w:rPr>
  </w:style>
  <w:style w:type="character" w:customStyle="1" w:styleId="CharChar1">
    <w:name w:val="内容 Char Char"/>
    <w:link w:val="afffd"/>
    <w:rPr>
      <w:rFonts w:cs="宋体"/>
      <w:kern w:val="2"/>
      <w:sz w:val="28"/>
      <w:szCs w:val="28"/>
    </w:rPr>
  </w:style>
  <w:style w:type="character" w:customStyle="1" w:styleId="1BodyTextchALTZ42Char">
    <w:name w:val="样式 正文缩进表正文正文非缩进段1Body Text(ch)缩进ALT+Z特点四号正文不缩进标题4正文2... Char"/>
    <w:link w:val="1BodyTextchALTZ42"/>
    <w:rPr>
      <w:rFonts w:ascii="Calibri" w:hAnsi="Calibri"/>
      <w:b/>
      <w:bCs/>
      <w:kern w:val="28"/>
      <w:sz w:val="24"/>
      <w:szCs w:val="24"/>
    </w:rPr>
  </w:style>
  <w:style w:type="character" w:customStyle="1" w:styleId="CharChar12">
    <w:name w:val="Char Char12"/>
    <w:locked/>
    <w:rPr>
      <w:rFonts w:ascii="宋体" w:eastAsia="宋体" w:hAnsi="宋体"/>
      <w:kern w:val="2"/>
      <w:sz w:val="24"/>
      <w:szCs w:val="24"/>
      <w:lang w:val="en-US" w:eastAsia="zh-CN" w:bidi="ar-SA"/>
    </w:rPr>
  </w:style>
  <w:style w:type="character" w:customStyle="1" w:styleId="Charffff5">
    <w:name w:val="表格 Char"/>
    <w:locked/>
    <w:rPr>
      <w:kern w:val="2"/>
      <w:sz w:val="21"/>
      <w:szCs w:val="24"/>
      <w:lang w:bidi="ar-SA"/>
    </w:rPr>
  </w:style>
  <w:style w:type="character" w:customStyle="1" w:styleId="hstChar">
    <w:name w:val="hst  正文 Char"/>
    <w:link w:val="hst"/>
    <w:rPr>
      <w:bCs/>
      <w:sz w:val="24"/>
      <w:szCs w:val="24"/>
    </w:rPr>
  </w:style>
  <w:style w:type="character" w:customStyle="1" w:styleId="2CharChar0">
    <w:name w:val="正文首行缩进 2 Char Char"/>
    <w:rPr>
      <w:rFonts w:eastAsia="宋体"/>
      <w:kern w:val="2"/>
      <w:sz w:val="21"/>
      <w:szCs w:val="24"/>
      <w:lang w:val="en-US" w:eastAsia="zh-CN" w:bidi="ar-SA"/>
    </w:rPr>
  </w:style>
  <w:style w:type="character" w:customStyle="1" w:styleId="1CharCharChar">
    <w:name w:val="样式 标题 1 + 三号 Char Char Char"/>
    <w:rPr>
      <w:rFonts w:ascii="Arial" w:eastAsia="宋体" w:hAnsi="Arial"/>
      <w:b/>
      <w:kern w:val="44"/>
      <w:sz w:val="44"/>
      <w:szCs w:val="44"/>
      <w:lang w:val="en-US" w:eastAsia="zh-CN" w:bidi="ar-SA"/>
    </w:rPr>
  </w:style>
  <w:style w:type="character" w:customStyle="1" w:styleId="CharChar14">
    <w:name w:val="Char Char14"/>
    <w:rPr>
      <w:rFonts w:eastAsia="宋体"/>
      <w:b/>
      <w:bCs/>
      <w:kern w:val="2"/>
      <w:sz w:val="32"/>
      <w:szCs w:val="32"/>
      <w:lang w:val="en-US" w:eastAsia="zh-CN" w:bidi="ar-SA"/>
    </w:rPr>
  </w:style>
  <w:style w:type="character" w:customStyle="1" w:styleId="meCharChar0">
    <w:name w:val="me表格标题 Char Char"/>
    <w:link w:val="me0"/>
    <w:rPr>
      <w:rFonts w:ascii="宋体" w:hAnsi="宋体" w:cs="宋体"/>
      <w:b/>
      <w:bCs/>
      <w:kern w:val="2"/>
      <w:sz w:val="28"/>
      <w:szCs w:val="28"/>
      <w:shd w:val="clear" w:color="auto" w:fill="FFFFFF"/>
    </w:rPr>
  </w:style>
  <w:style w:type="character" w:customStyle="1" w:styleId="meCharChar1">
    <w:name w:val="me正文 Char Char"/>
    <w:link w:val="me3"/>
    <w:rPr>
      <w:rFonts w:ascii="宋体" w:hAnsi="宋体" w:cs="宋体"/>
      <w:color w:val="0000FF"/>
      <w:kern w:val="2"/>
      <w:sz w:val="28"/>
      <w:szCs w:val="28"/>
    </w:rPr>
  </w:style>
  <w:style w:type="character" w:customStyle="1" w:styleId="2TimesNewRomanChar">
    <w:name w:val="样式 标题 2 + Times New Roman Char"/>
    <w:link w:val="2TimesNewRoman"/>
    <w:rPr>
      <w:rFonts w:eastAsia="黑体"/>
      <w:bCs/>
      <w:kern w:val="2"/>
      <w:sz w:val="30"/>
      <w:szCs w:val="32"/>
    </w:rPr>
  </w:style>
  <w:style w:type="character" w:customStyle="1" w:styleId="NormalChar">
    <w:name w:val="Normal Char"/>
    <w:rPr>
      <w:rFonts w:ascii="宋体"/>
      <w:sz w:val="24"/>
    </w:rPr>
  </w:style>
  <w:style w:type="character" w:customStyle="1" w:styleId="FontStyle15">
    <w:name w:val="Font Style15"/>
    <w:rPr>
      <w:rFonts w:ascii="MingLiU" w:eastAsia="MingLiU" w:cs="MingLiU"/>
      <w:i/>
      <w:iCs/>
      <w:sz w:val="46"/>
      <w:szCs w:val="46"/>
    </w:rPr>
  </w:style>
  <w:style w:type="character" w:customStyle="1" w:styleId="Char15">
    <w:name w:val="引用 Char1"/>
    <w:uiPriority w:val="99"/>
    <w:rPr>
      <w:i/>
      <w:iCs/>
      <w:color w:val="000000"/>
      <w:kern w:val="2"/>
      <w:sz w:val="28"/>
      <w:szCs w:val="24"/>
    </w:rPr>
  </w:style>
  <w:style w:type="character" w:customStyle="1" w:styleId="03Char">
    <w:name w:val="0标题3 Char"/>
    <w:link w:val="03"/>
    <w:rPr>
      <w:rFonts w:ascii="Calibri" w:hAnsi="Calibri" w:cs="宋体"/>
      <w:b/>
      <w:bCs/>
      <w:kern w:val="2"/>
      <w:sz w:val="28"/>
      <w:szCs w:val="28"/>
    </w:rPr>
  </w:style>
  <w:style w:type="character" w:customStyle="1" w:styleId="2Char4">
    <w:name w:val="表格2 Char"/>
    <w:link w:val="2b"/>
    <w:rPr>
      <w:rFonts w:hAnsi="宋体"/>
      <w:kern w:val="2"/>
      <w:sz w:val="21"/>
      <w:szCs w:val="21"/>
    </w:rPr>
  </w:style>
  <w:style w:type="character" w:customStyle="1" w:styleId="FontStyle30">
    <w:name w:val="Font Style30"/>
    <w:rPr>
      <w:rFonts w:ascii="Georgia" w:hAnsi="Georgia" w:cs="Georgia"/>
      <w:b/>
      <w:bCs/>
      <w:spacing w:val="-10"/>
      <w:sz w:val="16"/>
      <w:szCs w:val="16"/>
    </w:rPr>
  </w:style>
  <w:style w:type="character" w:customStyle="1" w:styleId="Char16">
    <w:name w:val="注释标题 Char1"/>
    <w:rPr>
      <w:kern w:val="2"/>
      <w:sz w:val="28"/>
      <w:szCs w:val="24"/>
    </w:rPr>
  </w:style>
  <w:style w:type="character" w:customStyle="1" w:styleId="0Char1">
    <w:name w:val="0正文 Char"/>
    <w:link w:val="01"/>
    <w:rPr>
      <w:rFonts w:ascii="Calibri" w:hAnsi="Calibri"/>
      <w:kern w:val="2"/>
      <w:sz w:val="24"/>
      <w:szCs w:val="24"/>
      <w:lang w:val="zh-CN"/>
    </w:rPr>
  </w:style>
  <w:style w:type="character" w:customStyle="1" w:styleId="CharChar18">
    <w:name w:val="Char Char18"/>
    <w:rPr>
      <w:rFonts w:ascii="Arial" w:eastAsia="黑体" w:hAnsi="Arial" w:cs="Times New Roman"/>
      <w:b/>
      <w:bCs/>
      <w:sz w:val="32"/>
      <w:szCs w:val="32"/>
    </w:rPr>
  </w:style>
  <w:style w:type="character" w:customStyle="1" w:styleId="font21">
    <w:name w:val="font21"/>
    <w:rPr>
      <w:rFonts w:ascii="Times New Roman" w:hint="default"/>
      <w:color w:val="000000"/>
      <w:sz w:val="24"/>
    </w:rPr>
  </w:style>
  <w:style w:type="character" w:customStyle="1" w:styleId="2Char11">
    <w:name w:val="标题 2 Char1"/>
    <w:aliases w:val="标题 2 Char Char,标题 2XW Char,Se Char1,节名 Char,Se Char Char,二处标题 2 Char,标题2 Char,BSH-2 Char,1.1 标题 2 Char,标题 2 1.1 Char,标题节 Char Char1,1.1 Char"/>
    <w:rPr>
      <w:rFonts w:ascii="Arial" w:eastAsia="黑体" w:hAnsi="Arial"/>
      <w:b/>
      <w:kern w:val="2"/>
      <w:sz w:val="32"/>
      <w:lang w:val="en-US" w:eastAsia="zh-CN" w:bidi="ar-SA"/>
    </w:rPr>
  </w:style>
  <w:style w:type="character" w:customStyle="1" w:styleId="CharChar70">
    <w:name w:val="Char Char7"/>
    <w:rPr>
      <w:rFonts w:eastAsia="宋体"/>
      <w:kern w:val="2"/>
      <w:sz w:val="21"/>
      <w:szCs w:val="24"/>
      <w:lang w:val="en-US" w:eastAsia="zh-CN" w:bidi="ar-SA"/>
    </w:rPr>
  </w:style>
  <w:style w:type="character" w:customStyle="1" w:styleId="CharCharf0">
    <w:name w:val="说明书正文 Char Char"/>
    <w:rPr>
      <w:rFonts w:eastAsia="仿宋_GB2312"/>
      <w:color w:val="000000"/>
      <w:kern w:val="2"/>
      <w:sz w:val="30"/>
      <w:szCs w:val="24"/>
      <w:lang w:val="en-US" w:eastAsia="zh-CN" w:bidi="ar-SA"/>
    </w:rPr>
  </w:style>
  <w:style w:type="character" w:customStyle="1" w:styleId="aChar">
    <w:name w:val="正文a Char"/>
    <w:link w:val="afffe"/>
    <w:rPr>
      <w:rFonts w:ascii="仿宋_GB2312"/>
      <w:color w:val="000000"/>
      <w:kern w:val="2"/>
      <w:sz w:val="24"/>
      <w:lang w:val="zh-CN"/>
    </w:rPr>
  </w:style>
  <w:style w:type="character" w:customStyle="1" w:styleId="apple-style-span">
    <w:name w:val="apple-style-span"/>
  </w:style>
  <w:style w:type="character" w:customStyle="1" w:styleId="3MB3h33rdlevelH3Head3level3PIM3Level3Head2Char">
    <w:name w:val="样式 标题 3头MB3h33rd levelH3Head 3level_3PIM 3Level 3 Head...2 Char"/>
    <w:link w:val="3MB3h33rdlevelH3Head3level3PIM3Level3Head2"/>
    <w:rPr>
      <w:rFonts w:ascii="华文楷体" w:eastAsia="华文楷体" w:hAnsi="华文楷体"/>
      <w:bCs/>
      <w:kern w:val="28"/>
      <w:sz w:val="28"/>
    </w:rPr>
  </w:style>
  <w:style w:type="character" w:customStyle="1" w:styleId="CharCharChar">
    <w:name w:val="首行缩进两字 Char Char Char"/>
    <w:link w:val="CharChar2"/>
    <w:rPr>
      <w:rFonts w:ascii="宋体" w:hAnsi="宋体" w:cs="宋体"/>
      <w:kern w:val="2"/>
      <w:sz w:val="28"/>
      <w:szCs w:val="24"/>
    </w:rPr>
  </w:style>
  <w:style w:type="character" w:customStyle="1" w:styleId="a210">
    <w:name w:val="a21"/>
    <w:rPr>
      <w:color w:val="330099"/>
      <w:sz w:val="18"/>
      <w:szCs w:val="18"/>
    </w:rPr>
  </w:style>
  <w:style w:type="character" w:customStyle="1" w:styleId="3Char11">
    <w:name w:val="正文文本 3 Char1"/>
    <w:uiPriority w:val="99"/>
    <w:rPr>
      <w:rFonts w:ascii="Calibri" w:hAnsi="Calibri"/>
      <w:kern w:val="2"/>
      <w:sz w:val="16"/>
      <w:szCs w:val="16"/>
    </w:rPr>
  </w:style>
  <w:style w:type="character" w:customStyle="1" w:styleId="FontStyle14">
    <w:name w:val="Font Style14"/>
    <w:rPr>
      <w:rFonts w:ascii="宋体" w:eastAsia="宋体" w:cs="宋体"/>
      <w:b/>
      <w:bCs/>
      <w:spacing w:val="-20"/>
      <w:sz w:val="24"/>
      <w:szCs w:val="24"/>
    </w:rPr>
  </w:style>
  <w:style w:type="character" w:customStyle="1" w:styleId="style101">
    <w:name w:val="style101"/>
    <w:rPr>
      <w:sz w:val="21"/>
      <w:szCs w:val="21"/>
    </w:rPr>
  </w:style>
  <w:style w:type="character" w:customStyle="1" w:styleId="CharCharf1">
    <w:name w:val="正文文本的 Char Char"/>
    <w:locked/>
    <w:rPr>
      <w:rFonts w:ascii="宋体" w:eastAsia="宋体" w:hAnsi="宋体" w:cs="宋体"/>
      <w:kern w:val="2"/>
      <w:sz w:val="24"/>
      <w:lang w:val="en-US" w:eastAsia="zh-CN" w:bidi="ar-SA"/>
    </w:rPr>
  </w:style>
  <w:style w:type="character" w:customStyle="1" w:styleId="FontStyle22">
    <w:name w:val="Font Style22"/>
    <w:rPr>
      <w:rFonts w:ascii="宋体" w:eastAsia="宋体" w:cs="宋体"/>
      <w:b/>
      <w:bCs/>
      <w:spacing w:val="-10"/>
      <w:sz w:val="18"/>
      <w:szCs w:val="18"/>
    </w:rPr>
  </w:style>
  <w:style w:type="character" w:customStyle="1" w:styleId="FontStyle29">
    <w:name w:val="Font Style29"/>
    <w:rPr>
      <w:rFonts w:ascii="宋体" w:eastAsia="宋体" w:cs="宋体"/>
      <w:b/>
      <w:bCs/>
      <w:sz w:val="26"/>
      <w:szCs w:val="26"/>
    </w:rPr>
  </w:style>
  <w:style w:type="character" w:customStyle="1" w:styleId="15f">
    <w:name w:val="15"/>
    <w:rPr>
      <w:rFonts w:ascii="Times New Roman" w:hAnsi="Times New Roman" w:cs="Times New Roman" w:hint="default"/>
      <w:color w:val="0000FF"/>
      <w:u w:val="single"/>
    </w:rPr>
  </w:style>
  <w:style w:type="character" w:customStyle="1" w:styleId="3Char3">
    <w:name w:val="3级标题 Char"/>
    <w:link w:val="37"/>
    <w:rPr>
      <w:rFonts w:eastAsia="楷体_GB2312"/>
      <w:sz w:val="28"/>
    </w:rPr>
  </w:style>
  <w:style w:type="character" w:customStyle="1" w:styleId="CharCharf2">
    <w:name w:val="表头 Char Char"/>
    <w:locked/>
    <w:rPr>
      <w:rFonts w:ascii="黑体" w:eastAsia="黑体" w:hAnsi="宋体" w:cs="宋体"/>
      <w:spacing w:val="-10"/>
      <w:sz w:val="21"/>
      <w:lang w:val="en-US" w:eastAsia="zh-CN" w:bidi="ar-SA"/>
    </w:rPr>
  </w:style>
  <w:style w:type="character" w:customStyle="1" w:styleId="151Char">
    <w:name w:val="样式 行距: 1.5 倍行距1 Char"/>
    <w:link w:val="151"/>
    <w:rPr>
      <w:kern w:val="2"/>
      <w:sz w:val="24"/>
    </w:rPr>
  </w:style>
  <w:style w:type="character" w:customStyle="1" w:styleId="affffffffffffd">
    <w:name w:val="样式 五号"/>
    <w:rPr>
      <w:sz w:val="21"/>
    </w:rPr>
  </w:style>
  <w:style w:type="character" w:customStyle="1" w:styleId="4CharCharChar">
    <w:name w:val="样式4 Char Char Char"/>
    <w:qFormat/>
    <w:rPr>
      <w:rFonts w:ascii="宋体" w:eastAsia="宋体" w:hAnsi="宋体"/>
      <w:kern w:val="2"/>
      <w:sz w:val="24"/>
      <w:szCs w:val="24"/>
      <w:lang w:val="en-US" w:eastAsia="zh-CN" w:bidi="ar-SA"/>
    </w:rPr>
  </w:style>
  <w:style w:type="character" w:customStyle="1" w:styleId="font01">
    <w:name w:val="font01"/>
    <w:rPr>
      <w:rFonts w:ascii="宋体" w:eastAsia="宋体" w:hAnsi="宋体" w:hint="eastAsia"/>
      <w:color w:val="000000"/>
      <w:sz w:val="24"/>
    </w:rPr>
  </w:style>
  <w:style w:type="character" w:customStyle="1" w:styleId="MTEquationSection">
    <w:name w:val="MTEquationSection"/>
    <w:rPr>
      <w:rFonts w:ascii="宋体" w:hAnsi="宋体"/>
      <w:vanish/>
      <w:color w:val="FF0000"/>
    </w:rPr>
  </w:style>
  <w:style w:type="character" w:customStyle="1" w:styleId="CharChar3">
    <w:name w:val="正文（环评报告） Char Char"/>
    <w:link w:val="affff"/>
    <w:rPr>
      <w:spacing w:val="6"/>
      <w:sz w:val="24"/>
      <w:szCs w:val="24"/>
    </w:rPr>
  </w:style>
  <w:style w:type="character" w:customStyle="1" w:styleId="CharChar22">
    <w:name w:val="Char Char22"/>
    <w:rPr>
      <w:rFonts w:ascii="Arial" w:eastAsia="黑体" w:hAnsi="Arial"/>
      <w:b/>
      <w:bCs/>
      <w:kern w:val="2"/>
      <w:sz w:val="32"/>
      <w:szCs w:val="32"/>
      <w:lang w:val="en-US" w:eastAsia="zh-CN" w:bidi="ar-SA"/>
    </w:rPr>
  </w:style>
  <w:style w:type="character" w:customStyle="1" w:styleId="Char20">
    <w:name w:val="表号 Char2"/>
    <w:link w:val="affff0"/>
    <w:rPr>
      <w:rFonts w:eastAsia="Times New Roman"/>
      <w:sz w:val="21"/>
      <w:lang w:val="en-US" w:eastAsia="zh-CN" w:bidi="ar-SA"/>
    </w:rPr>
  </w:style>
  <w:style w:type="character" w:customStyle="1" w:styleId="Charff3">
    <w:name w:val="图标表头 Char"/>
    <w:link w:val="affff1"/>
    <w:locked/>
    <w:rPr>
      <w:rFonts w:ascii="宋体" w:hAnsi="宋体"/>
      <w:b/>
      <w:kern w:val="2"/>
      <w:sz w:val="24"/>
      <w:szCs w:val="24"/>
    </w:rPr>
  </w:style>
  <w:style w:type="character" w:customStyle="1" w:styleId="FontStyle23">
    <w:name w:val="Font Style23"/>
    <w:rPr>
      <w:rFonts w:ascii="宋体" w:eastAsia="宋体" w:cs="宋体"/>
      <w:b/>
      <w:bCs/>
      <w:spacing w:val="-10"/>
      <w:sz w:val="18"/>
      <w:szCs w:val="18"/>
    </w:rPr>
  </w:style>
  <w:style w:type="character" w:customStyle="1" w:styleId="affffffffffffe">
    <w:name w:val="目"/>
    <w:rPr>
      <w:rFonts w:eastAsia="楷体_GB2312"/>
      <w:sz w:val="28"/>
    </w:rPr>
  </w:style>
  <w:style w:type="character" w:customStyle="1" w:styleId="1fff1">
    <w:name w:val="批注引用1"/>
    <w:rPr>
      <w:sz w:val="21"/>
    </w:rPr>
  </w:style>
  <w:style w:type="character" w:customStyle="1" w:styleId="Charff4">
    <w:name w:val="图标样式 Char"/>
    <w:link w:val="affff2"/>
    <w:locked/>
    <w:rPr>
      <w:kern w:val="2"/>
      <w:sz w:val="21"/>
      <w:szCs w:val="21"/>
    </w:rPr>
  </w:style>
  <w:style w:type="character" w:customStyle="1" w:styleId="Charff5">
    <w:name w:val="!表格文字 Char"/>
    <w:link w:val="affff3"/>
    <w:rPr>
      <w:sz w:val="21"/>
      <w:szCs w:val="21"/>
    </w:rPr>
  </w:style>
  <w:style w:type="character" w:customStyle="1" w:styleId="afffffffffffff">
    <w:name w:val="链接"/>
    <w:rPr>
      <w:rFonts w:ascii="Times New Roman" w:eastAsia="宋体"/>
      <w:color w:val="0000FF"/>
      <w:sz w:val="21"/>
      <w:u w:val="single" w:color="0000FF"/>
      <w:vertAlign w:val="baseline"/>
      <w:lang w:val="en-US" w:eastAsia="zh-CN"/>
    </w:rPr>
  </w:style>
  <w:style w:type="character" w:customStyle="1" w:styleId="Charff6">
    <w:name w:val="丰达三级标题 Char"/>
    <w:link w:val="affff4"/>
    <w:rPr>
      <w:b/>
      <w:kern w:val="2"/>
      <w:sz w:val="24"/>
      <w:szCs w:val="24"/>
    </w:rPr>
  </w:style>
  <w:style w:type="character" w:customStyle="1" w:styleId="p141">
    <w:name w:val="p141"/>
    <w:rPr>
      <w:rFonts w:ascii="宋体" w:eastAsia="宋体" w:hAnsi="宋体" w:hint="eastAsia"/>
      <w:sz w:val="21"/>
      <w:szCs w:val="21"/>
    </w:rPr>
  </w:style>
  <w:style w:type="character" w:customStyle="1" w:styleId="Charff7">
    <w:name w:val="表格标题（环评报告） Char"/>
    <w:link w:val="affff5"/>
    <w:rPr>
      <w:b/>
      <w:spacing w:val="6"/>
      <w:sz w:val="24"/>
      <w:szCs w:val="24"/>
    </w:rPr>
  </w:style>
  <w:style w:type="character" w:customStyle="1" w:styleId="Char10">
    <w:name w:val="表名（标题） Char1"/>
    <w:link w:val="affff6"/>
    <w:rPr>
      <w:kern w:val="2"/>
      <w:sz w:val="28"/>
      <w:szCs w:val="28"/>
    </w:rPr>
  </w:style>
  <w:style w:type="character" w:customStyle="1" w:styleId="Char23">
    <w:name w:val="纯文本 Char2"/>
    <w:aliases w:val="标题 3 Char1 Char Char,标题 3 Char Char1 Char Char,标题 3 Char1 Char1,标题 3 Char Char1 Char1, Char Char Char1,Char Char8,Char Char Char4,纯文本 Char Char Char Char Char Char1,纯文本 Char Char Char Char Char2,普通文字 Char Char Char2,普通文 Char"/>
    <w:rPr>
      <w:rFonts w:ascii="宋体" w:eastAsia="宋体" w:hAnsi="Courier New" w:hint="eastAsia"/>
      <w:kern w:val="2"/>
      <w:sz w:val="21"/>
    </w:rPr>
  </w:style>
  <w:style w:type="character" w:customStyle="1" w:styleId="01Char">
    <w:name w:val="0标题1 Char"/>
    <w:link w:val="010"/>
    <w:rPr>
      <w:rFonts w:eastAsia="黑体"/>
      <w:b/>
      <w:bCs/>
      <w:kern w:val="44"/>
      <w:sz w:val="36"/>
      <w:szCs w:val="36"/>
    </w:rPr>
  </w:style>
  <w:style w:type="character" w:customStyle="1" w:styleId="CharCharf3">
    <w:name w:val="君邦正文 Char Char"/>
    <w:locked/>
    <w:rPr>
      <w:rFonts w:ascii="宋体" w:eastAsia="宋体" w:hAnsi="宋体" w:cs="宋体"/>
      <w:kern w:val="2"/>
      <w:sz w:val="24"/>
      <w:lang w:val="en-US" w:eastAsia="zh-CN" w:bidi="ar-SA"/>
    </w:rPr>
  </w:style>
  <w:style w:type="character" w:customStyle="1" w:styleId="CharCharCharCharCharChar0">
    <w:name w:val="首行缩进两字 Char Char Char Char Char Char"/>
    <w:locked/>
    <w:rPr>
      <w:rFonts w:ascii="宋体" w:eastAsia="宋体" w:hAnsi="宋体" w:cs="宋体"/>
      <w:kern w:val="2"/>
      <w:sz w:val="28"/>
      <w:szCs w:val="24"/>
      <w:lang w:val="en-US" w:eastAsia="zh-CN" w:bidi="ar-SA"/>
    </w:rPr>
  </w:style>
  <w:style w:type="character" w:customStyle="1" w:styleId="line11">
    <w:name w:val="line_11"/>
    <w:rPr>
      <w:rFonts w:ascii="宋体" w:hAnsi="宋体" w:cs="宋体"/>
      <w:sz w:val="18"/>
      <w:szCs w:val="18"/>
    </w:rPr>
  </w:style>
  <w:style w:type="character" w:customStyle="1" w:styleId="13Char">
    <w:name w:val="正文小四首缩1.3行距 Char"/>
    <w:link w:val="130"/>
    <w:rPr>
      <w:sz w:val="24"/>
      <w:szCs w:val="24"/>
    </w:rPr>
  </w:style>
  <w:style w:type="character" w:customStyle="1" w:styleId="grame">
    <w:name w:val="grame"/>
  </w:style>
  <w:style w:type="character" w:customStyle="1" w:styleId="Charff8">
    <w:name w:val="无编号文档 Char"/>
    <w:link w:val="affff7"/>
    <w:rPr>
      <w:kern w:val="2"/>
      <w:sz w:val="24"/>
      <w:szCs w:val="21"/>
    </w:rPr>
  </w:style>
  <w:style w:type="character" w:customStyle="1" w:styleId="CharCharf4">
    <w:name w:val="样式 小四号 Char Char"/>
    <w:rPr>
      <w:rFonts w:eastAsia="宋体"/>
      <w:kern w:val="10"/>
      <w:sz w:val="24"/>
      <w:lang w:val="en-US" w:eastAsia="zh-CN"/>
    </w:rPr>
  </w:style>
  <w:style w:type="character" w:customStyle="1" w:styleId="5Char0">
    <w:name w:val="5正文 Char"/>
    <w:link w:val="52"/>
    <w:locked/>
    <w:rPr>
      <w:rFonts w:ascii="宋体" w:hAnsi="宋体"/>
      <w:kern w:val="2"/>
      <w:sz w:val="24"/>
      <w:szCs w:val="28"/>
    </w:rPr>
  </w:style>
  <w:style w:type="character" w:customStyle="1" w:styleId="style251">
    <w:name w:val="style251"/>
    <w:rPr>
      <w:rFonts w:ascii="宋体" w:hAnsi="宋体" w:cs="宋体"/>
      <w:color w:val="0033FF"/>
      <w:sz w:val="24"/>
    </w:rPr>
  </w:style>
  <w:style w:type="character" w:customStyle="1" w:styleId="px14">
    <w:name w:val="px14"/>
    <w:rPr>
      <w:rFonts w:eastAsia="宋体"/>
      <w:kern w:val="2"/>
      <w:sz w:val="28"/>
      <w:lang w:val="en-US" w:eastAsia="zh-CN" w:bidi="ar-SA"/>
    </w:rPr>
  </w:style>
  <w:style w:type="character" w:customStyle="1" w:styleId="3CharChar2">
    <w:name w:val="正文文本缩进 3 Char Char"/>
    <w:rPr>
      <w:kern w:val="2"/>
      <w:sz w:val="28"/>
    </w:rPr>
  </w:style>
  <w:style w:type="character" w:customStyle="1" w:styleId="30CharChar">
    <w:name w:val="样式 标题 3头 + 首行缩进:  0 厘米 Char Char"/>
    <w:rPr>
      <w:rFonts w:eastAsia="宋体"/>
      <w:b/>
      <w:color w:val="000000"/>
      <w:kern w:val="21"/>
      <w:sz w:val="28"/>
      <w:lang w:val="de-DE" w:eastAsia="zh-CN"/>
    </w:rPr>
  </w:style>
  <w:style w:type="character" w:customStyle="1" w:styleId="5TimesNewRomanChar">
    <w:name w:val="样式 标题 5 + (西文) Times New Roman Char"/>
    <w:rPr>
      <w:rFonts w:ascii="Arial" w:eastAsia="宋体" w:hAnsi="Arial"/>
      <w:b/>
      <w:bCs/>
      <w:kern w:val="2"/>
      <w:sz w:val="28"/>
      <w:szCs w:val="28"/>
      <w:lang w:val="en-US" w:eastAsia="zh-CN" w:bidi="ar-SA"/>
    </w:rPr>
  </w:style>
  <w:style w:type="character" w:customStyle="1" w:styleId="0Char2">
    <w:name w:val="0表图分隔符 Char"/>
    <w:link w:val="02"/>
    <w:rPr>
      <w:rFonts w:ascii="Calibri" w:eastAsia="黑体" w:hAnsi="Calibri" w:cs="宋体"/>
      <w:spacing w:val="2"/>
      <w:kern w:val="2"/>
      <w:sz w:val="11"/>
      <w:szCs w:val="11"/>
    </w:rPr>
  </w:style>
  <w:style w:type="character" w:customStyle="1" w:styleId="3CharChar20">
    <w:name w:val="标题 3 Char Char2"/>
    <w:aliases w:val="条标题1.1.1 Char1"/>
    <w:rPr>
      <w:rFonts w:ascii="黑体" w:eastAsia="黑体"/>
      <w:b/>
      <w:spacing w:val="10"/>
      <w:sz w:val="30"/>
      <w:lang w:val="en-US" w:eastAsia="zh-CN" w:bidi="ar-SA"/>
    </w:rPr>
  </w:style>
  <w:style w:type="character" w:customStyle="1" w:styleId="Char17">
    <w:name w:val="批注主题 Char1"/>
    <w:rPr>
      <w:b/>
      <w:bCs/>
      <w:kern w:val="2"/>
      <w:sz w:val="28"/>
      <w:szCs w:val="24"/>
    </w:rPr>
  </w:style>
  <w:style w:type="character" w:customStyle="1" w:styleId="CharCharf5">
    <w:name w:val="批注文字 Char Char"/>
    <w:rPr>
      <w:kern w:val="2"/>
      <w:sz w:val="28"/>
    </w:rPr>
  </w:style>
  <w:style w:type="character" w:customStyle="1" w:styleId="FontStyle34">
    <w:name w:val="Font Style34"/>
    <w:rPr>
      <w:rFonts w:ascii="Times New Roman" w:hAnsi="Times New Roman" w:cs="Times New Roman"/>
      <w:b/>
      <w:bCs/>
      <w:sz w:val="24"/>
      <w:szCs w:val="24"/>
    </w:rPr>
  </w:style>
  <w:style w:type="character" w:customStyle="1" w:styleId="2CharCharChar">
    <w:name w:val="首行缩进2 Char Char Char"/>
    <w:rPr>
      <w:rFonts w:eastAsia="宋体"/>
      <w:kern w:val="2"/>
      <w:sz w:val="24"/>
      <w:szCs w:val="24"/>
      <w:lang w:val="en-US" w:eastAsia="zh-CN" w:bidi="ar-SA"/>
    </w:rPr>
  </w:style>
  <w:style w:type="character" w:customStyle="1" w:styleId="meCharCharChar">
    <w:name w:val="me表格编号 Char Char Char"/>
    <w:rPr>
      <w:rFonts w:ascii="宋体" w:eastAsia="宋体" w:hAnsi="宋体"/>
      <w:kern w:val="2"/>
      <w:sz w:val="21"/>
      <w:szCs w:val="21"/>
      <w:lang w:val="en-US" w:eastAsia="zh-CN" w:bidi="ar-SA"/>
    </w:rPr>
  </w:style>
  <w:style w:type="character" w:customStyle="1" w:styleId="FontStyle17">
    <w:name w:val="Font Style17"/>
    <w:rPr>
      <w:rFonts w:ascii="宋体" w:eastAsia="宋体" w:cs="宋体"/>
      <w:b/>
      <w:bCs/>
      <w:sz w:val="20"/>
      <w:szCs w:val="20"/>
    </w:rPr>
  </w:style>
  <w:style w:type="character" w:customStyle="1" w:styleId="PlainTextChar">
    <w:name w:val="Plain Text Char"/>
    <w:locked/>
    <w:rPr>
      <w:rFonts w:ascii="宋体" w:eastAsia="宋体" w:hAnsi="Courier New" w:cs="Courier New"/>
      <w:sz w:val="21"/>
      <w:szCs w:val="21"/>
    </w:rPr>
  </w:style>
  <w:style w:type="character" w:customStyle="1" w:styleId="Charffff6">
    <w:name w:val="正文文字缩进 Char"/>
    <w:aliases w:val="特点标题 Char Char"/>
    <w:locked/>
    <w:rPr>
      <w:rFonts w:ascii="宋体" w:eastAsia="宋体" w:hAnsi="宋体" w:cs="宋体"/>
      <w:kern w:val="2"/>
      <w:sz w:val="21"/>
      <w:szCs w:val="24"/>
      <w:lang w:val="en-US" w:eastAsia="zh-CN" w:bidi="ar-SA"/>
    </w:rPr>
  </w:style>
  <w:style w:type="character" w:customStyle="1" w:styleId="4Char0">
    <w:name w:val="样式 标题 4 + (西文) 宋体 Char"/>
    <w:link w:val="43"/>
    <w:rPr>
      <w:b/>
      <w:bCs/>
      <w:snapToGrid/>
      <w:sz w:val="24"/>
      <w:szCs w:val="24"/>
    </w:rPr>
  </w:style>
  <w:style w:type="character" w:customStyle="1" w:styleId="pt111">
    <w:name w:val="pt111"/>
    <w:rPr>
      <w:rFonts w:ascii="ˎ̥" w:hAnsi="ˎ̥" w:hint="default"/>
      <w:sz w:val="22"/>
      <w:szCs w:val="22"/>
    </w:rPr>
  </w:style>
  <w:style w:type="character" w:customStyle="1" w:styleId="214">
    <w:name w:val="正文文本缩进 21"/>
    <w:aliases w:val="正文文本缩进 2 Char1,文本框 Char Char1,文本框 Char Char2,文本框 Char Char Char Char Char Char Char Char Char Char1,文本框 Char Char Char Char Char Char Char Char Char Char2,文本框 Char Char Char Char Char Char Char Char Char Char Char Char Char Char Char"/>
    <w:rPr>
      <w:rFonts w:eastAsia="宋体"/>
      <w:kern w:val="2"/>
      <w:sz w:val="28"/>
      <w:lang w:val="en-US" w:eastAsia="zh-CN" w:bidi="ar-SA"/>
    </w:rPr>
  </w:style>
  <w:style w:type="character" w:customStyle="1" w:styleId="Charff9">
    <w:name w:val="表题 Char"/>
    <w:link w:val="affff8"/>
    <w:rPr>
      <w:rFonts w:ascii="宋体" w:eastAsia="黑体" w:hAnsi="宋体" w:cs="宋体"/>
      <w:kern w:val="2"/>
      <w:sz w:val="24"/>
    </w:rPr>
  </w:style>
  <w:style w:type="character" w:customStyle="1" w:styleId="me1Char">
    <w:name w:val="me正文1 Char"/>
    <w:rPr>
      <w:rFonts w:ascii="宋体" w:eastAsia="宋体" w:hAnsi="宋体" w:cs="宋体"/>
      <w:kern w:val="96"/>
      <w:sz w:val="28"/>
      <w:szCs w:val="28"/>
      <w:lang w:val="en-US" w:eastAsia="zh-CN" w:bidi="ar-SA"/>
    </w:rPr>
  </w:style>
  <w:style w:type="character" w:customStyle="1" w:styleId="FontStyle18">
    <w:name w:val="Font Style18"/>
    <w:rPr>
      <w:rFonts w:ascii="宋体" w:eastAsia="宋体" w:cs="宋体"/>
      <w:i/>
      <w:iCs/>
      <w:sz w:val="20"/>
      <w:szCs w:val="20"/>
    </w:rPr>
  </w:style>
  <w:style w:type="character" w:customStyle="1" w:styleId="CharCharChar0">
    <w:name w:val="正式文本 Char Char Char"/>
    <w:rPr>
      <w:rFonts w:ascii="宋体" w:eastAsia="宋体" w:hAnsi="Arial Narrow"/>
      <w:kern w:val="2"/>
      <w:sz w:val="28"/>
      <w:szCs w:val="24"/>
      <w:lang w:val="en-US" w:eastAsia="zh-CN" w:bidi="ar-SA"/>
    </w:rPr>
  </w:style>
  <w:style w:type="character" w:customStyle="1" w:styleId="Charffa">
    <w:name w:val="表题注 Char"/>
    <w:link w:val="a"/>
    <w:rPr>
      <w:rFonts w:ascii="Arial" w:hAnsi="Arial"/>
      <w:b/>
      <w:kern w:val="2"/>
      <w:sz w:val="24"/>
    </w:rPr>
  </w:style>
  <w:style w:type="character" w:customStyle="1" w:styleId="FontStyle31">
    <w:name w:val="Font Style31"/>
    <w:rPr>
      <w:rFonts w:ascii="Bookman Old Style" w:hAnsi="Bookman Old Style" w:cs="Bookman Old Style"/>
      <w:b/>
      <w:bCs/>
      <w:spacing w:val="-10"/>
      <w:sz w:val="10"/>
      <w:szCs w:val="10"/>
    </w:rPr>
  </w:style>
  <w:style w:type="character" w:customStyle="1" w:styleId="11Char0">
    <w:name w:val="节标题 1.1 Char"/>
    <w:aliases w:val="1.1标题2 Char,b2 Char Char"/>
    <w:rPr>
      <w:rFonts w:ascii="Arial" w:eastAsia="黑体" w:hAnsi="Arial"/>
      <w:b/>
      <w:bCs/>
      <w:kern w:val="2"/>
      <w:sz w:val="32"/>
      <w:szCs w:val="32"/>
      <w:lang w:val="en-US" w:eastAsia="zh-CN" w:bidi="ar-SA"/>
    </w:rPr>
  </w:style>
  <w:style w:type="character" w:customStyle="1" w:styleId="oblogtext">
    <w:name w:val="oblog_text"/>
    <w:rPr>
      <w:rFonts w:ascii="宋体" w:hAnsi="宋体" w:cs="宋体"/>
      <w:sz w:val="24"/>
    </w:rPr>
  </w:style>
  <w:style w:type="character" w:customStyle="1" w:styleId="5CharCharChar">
    <w:name w:val="标题 5 Char Char Char"/>
    <w:rPr>
      <w:rFonts w:eastAsia="黑体"/>
      <w:b/>
      <w:bCs/>
      <w:spacing w:val="8"/>
      <w:kern w:val="2"/>
      <w:sz w:val="28"/>
      <w:szCs w:val="28"/>
      <w:lang w:val="en-US" w:eastAsia="zh-CN" w:bidi="ar-SA"/>
    </w:rPr>
  </w:style>
  <w:style w:type="character" w:customStyle="1" w:styleId="Char18">
    <w:name w:val="批注框文本 Char1"/>
    <w:rPr>
      <w:kern w:val="2"/>
      <w:sz w:val="18"/>
      <w:szCs w:val="18"/>
    </w:rPr>
  </w:style>
  <w:style w:type="character" w:customStyle="1" w:styleId="font3">
    <w:name w:val="font3"/>
  </w:style>
  <w:style w:type="character" w:customStyle="1" w:styleId="2TimesNewRoman113Char">
    <w:name w:val="样式 样式 标题 2 + (西文) Times New Roman (中文) 宋体 黑色 首行缩进:  1.13 厘米 + (符... Char"/>
    <w:rPr>
      <w:rFonts w:eastAsia="宋体" w:cs="宋体"/>
      <w:b/>
      <w:bCs/>
      <w:color w:val="000000"/>
      <w:kern w:val="2"/>
      <w:sz w:val="28"/>
      <w:szCs w:val="32"/>
      <w:lang w:val="en-US" w:eastAsia="zh-CN" w:bidi="ar-SA"/>
    </w:rPr>
  </w:style>
  <w:style w:type="character" w:customStyle="1" w:styleId="01CharChar">
    <w:name w:val="表格标题01 Char Char"/>
    <w:rPr>
      <w:rFonts w:eastAsia="宋体"/>
      <w:snapToGrid w:val="0"/>
      <w:sz w:val="28"/>
      <w:szCs w:val="28"/>
      <w:lang w:val="en-US" w:eastAsia="zh-CN" w:bidi="ar-SA"/>
    </w:rPr>
  </w:style>
  <w:style w:type="character" w:customStyle="1" w:styleId="Charffb">
    <w:name w:val="标准 Char"/>
    <w:link w:val="affff9"/>
    <w:rPr>
      <w:sz w:val="21"/>
    </w:rPr>
  </w:style>
  <w:style w:type="character" w:customStyle="1" w:styleId="CharCharChar1">
    <w:name w:val="杨柳 Char Char Char"/>
    <w:rPr>
      <w:rFonts w:eastAsia="宋体" w:cs="宋体"/>
      <w:kern w:val="2"/>
      <w:sz w:val="28"/>
      <w:lang w:val="en-US" w:eastAsia="zh-CN" w:bidi="ar-SA"/>
    </w:rPr>
  </w:style>
  <w:style w:type="character" w:customStyle="1" w:styleId="FontStyle24">
    <w:name w:val="Font Style24"/>
    <w:rPr>
      <w:rFonts w:ascii="宋体" w:eastAsia="宋体" w:cs="宋体"/>
      <w:b/>
      <w:bCs/>
      <w:sz w:val="12"/>
      <w:szCs w:val="12"/>
    </w:rPr>
  </w:style>
  <w:style w:type="character" w:customStyle="1" w:styleId="Char19">
    <w:name w:val="明显引用 Char1"/>
    <w:uiPriority w:val="99"/>
    <w:rPr>
      <w:b/>
      <w:bCs/>
      <w:i/>
      <w:iCs/>
      <w:color w:val="4F81BD"/>
      <w:kern w:val="2"/>
      <w:sz w:val="28"/>
      <w:szCs w:val="24"/>
    </w:rPr>
  </w:style>
  <w:style w:type="character" w:customStyle="1" w:styleId="a1Char2">
    <w:name w:val="a1 Char2"/>
    <w:link w:val="a10"/>
    <w:rPr>
      <w:rFonts w:ascii="宋体"/>
      <w:kern w:val="2"/>
      <w:sz w:val="24"/>
    </w:rPr>
  </w:style>
  <w:style w:type="character" w:customStyle="1" w:styleId="CharChar101">
    <w:name w:val="Char Char101"/>
    <w:rPr>
      <w:rFonts w:ascii="Arial" w:eastAsia="黑体" w:hAnsi="Arial"/>
      <w:b/>
      <w:kern w:val="2"/>
      <w:sz w:val="32"/>
      <w:lang w:val="en-US" w:eastAsia="zh-CN" w:bidi="ar-SA"/>
    </w:rPr>
  </w:style>
  <w:style w:type="character" w:customStyle="1" w:styleId="me-Char">
    <w:name w:val="me表格内容-左 Char"/>
    <w:link w:val="me-"/>
    <w:rPr>
      <w:kern w:val="2"/>
      <w:sz w:val="24"/>
      <w:shd w:val="clear" w:color="auto" w:fill="FFFFFF"/>
    </w:rPr>
  </w:style>
  <w:style w:type="character" w:customStyle="1" w:styleId="CharCharf6">
    <w:name w:val="正文文本缩进 Char Char"/>
    <w:rPr>
      <w:rFonts w:ascii="宋体"/>
      <w:kern w:val="2"/>
      <w:sz w:val="28"/>
    </w:rPr>
  </w:style>
  <w:style w:type="character" w:customStyle="1" w:styleId="3CharChar">
    <w:name w:val="我的标题3 Char Char"/>
    <w:link w:val="38"/>
    <w:rPr>
      <w:b/>
      <w:bCs/>
      <w:kern w:val="2"/>
      <w:sz w:val="24"/>
      <w:szCs w:val="24"/>
    </w:rPr>
  </w:style>
  <w:style w:type="character" w:customStyle="1" w:styleId="afffffffffffff0">
    <w:name w:val="样式 (符号) 宋体 黑色"/>
    <w:rPr>
      <w:rFonts w:eastAsia="宋体"/>
      <w:b/>
      <w:color w:val="000000"/>
      <w:sz w:val="28"/>
    </w:rPr>
  </w:style>
  <w:style w:type="character" w:customStyle="1" w:styleId="3Char4">
    <w:name w:val="样式 正文文本 3 + 字距调整四号 Char"/>
    <w:link w:val="39"/>
    <w:rPr>
      <w:b/>
      <w:spacing w:val="-8"/>
      <w:kern w:val="28"/>
      <w:sz w:val="21"/>
      <w:szCs w:val="16"/>
    </w:rPr>
  </w:style>
  <w:style w:type="character" w:customStyle="1" w:styleId="3Char12">
    <w:name w:val="正文文本缩进 3 Char1"/>
    <w:rPr>
      <w:rFonts w:ascii="宋体" w:hAnsi="宋体" w:cs="宋体"/>
      <w:kern w:val="2"/>
      <w:sz w:val="16"/>
      <w:szCs w:val="16"/>
    </w:rPr>
  </w:style>
  <w:style w:type="character" w:customStyle="1" w:styleId="affffb">
    <w:name w:val="永和二级标题 字符"/>
    <w:link w:val="affffa"/>
    <w:rPr>
      <w:rFonts w:ascii="黑体" w:eastAsia="黑体"/>
      <w:bCs/>
      <w:kern w:val="2"/>
      <w:sz w:val="30"/>
      <w:szCs w:val="28"/>
    </w:rPr>
  </w:style>
  <w:style w:type="character" w:customStyle="1" w:styleId="CharCharf7">
    <w:name w:val="图头 Char Char"/>
    <w:rPr>
      <w:rFonts w:eastAsia="仿宋_GB2312"/>
      <w:kern w:val="2"/>
      <w:sz w:val="21"/>
      <w:szCs w:val="21"/>
    </w:rPr>
  </w:style>
  <w:style w:type="character" w:customStyle="1" w:styleId="CharChar4">
    <w:name w:val="表格 Char Char"/>
    <w:link w:val="affffc"/>
    <w:rPr>
      <w:rFonts w:eastAsia="华文中宋"/>
      <w:color w:val="FF0000"/>
      <w:sz w:val="21"/>
    </w:rPr>
  </w:style>
  <w:style w:type="character" w:customStyle="1" w:styleId="170">
    <w:name w:val="17"/>
    <w:rPr>
      <w:rFonts w:ascii="Times New Roman" w:hAnsi="Times New Roman" w:cs="Times New Roman" w:hint="default"/>
      <w:color w:val="000000"/>
      <w:sz w:val="21"/>
      <w:szCs w:val="21"/>
    </w:rPr>
  </w:style>
  <w:style w:type="character" w:customStyle="1" w:styleId="A4CharCharChar">
    <w:name w:val="A4（正） Char Char Char"/>
    <w:rPr>
      <w:rFonts w:eastAsia="宋体"/>
      <w:kern w:val="2"/>
      <w:sz w:val="28"/>
      <w:lang w:val="en-US" w:eastAsia="zh-CN" w:bidi="ar-SA"/>
    </w:rPr>
  </w:style>
  <w:style w:type="character" w:customStyle="1" w:styleId="Charffc">
    <w:name w:val="无间隔 Char"/>
    <w:link w:val="affffd"/>
    <w:rPr>
      <w:rFonts w:ascii="Calibri" w:hAnsi="Calibri"/>
      <w:sz w:val="22"/>
      <w:szCs w:val="22"/>
      <w:lang w:val="en-US" w:eastAsia="zh-CN" w:bidi="ar-SA"/>
    </w:rPr>
  </w:style>
  <w:style w:type="character" w:customStyle="1" w:styleId="2CharChar1">
    <w:name w:val="样式2 Char Char"/>
    <w:rPr>
      <w:rFonts w:eastAsia="宋体"/>
      <w:kern w:val="2"/>
      <w:sz w:val="21"/>
      <w:szCs w:val="24"/>
      <w:lang w:val="en-US" w:eastAsia="zh-CN" w:bidi="ar-SA"/>
    </w:rPr>
  </w:style>
  <w:style w:type="character" w:customStyle="1" w:styleId="Charffff7">
    <w:name w:val="头 Char"/>
    <w:rPr>
      <w:rFonts w:eastAsia="宋体"/>
      <w:b/>
      <w:bCs/>
      <w:kern w:val="2"/>
      <w:sz w:val="32"/>
      <w:szCs w:val="32"/>
      <w:lang w:val="en-US" w:eastAsia="zh-CN" w:bidi="ar-SA"/>
    </w:rPr>
  </w:style>
  <w:style w:type="character" w:customStyle="1" w:styleId="1CharChar4">
    <w:name w:val="表头1 Char Char"/>
    <w:locked/>
    <w:rPr>
      <w:rFonts w:ascii="黑体" w:eastAsia="黑体" w:hAnsi="宋体" w:cs="宋体"/>
      <w:sz w:val="21"/>
      <w:szCs w:val="28"/>
      <w:lang w:bidi="ar-SA"/>
    </w:rPr>
  </w:style>
  <w:style w:type="character" w:customStyle="1" w:styleId="Charffd">
    <w:name w:val="明显引用 Char"/>
    <w:link w:val="affffe"/>
    <w:rPr>
      <w:rFonts w:ascii="Calibri" w:hAnsi="Calibri"/>
      <w:b/>
      <w:bCs/>
      <w:i/>
      <w:iCs/>
      <w:color w:val="4F81BD"/>
      <w:kern w:val="2"/>
      <w:sz w:val="21"/>
      <w:szCs w:val="22"/>
    </w:rPr>
  </w:style>
  <w:style w:type="character" w:customStyle="1" w:styleId="zi1">
    <w:name w:val="zi1"/>
    <w:rPr>
      <w:color w:val="000000"/>
      <w:sz w:val="20"/>
      <w:szCs w:val="20"/>
      <w:u w:val="none"/>
    </w:rPr>
  </w:style>
  <w:style w:type="character" w:customStyle="1" w:styleId="Charffe">
    <w:name w:val="表字 Char"/>
    <w:link w:val="afffff"/>
    <w:rPr>
      <w:rFonts w:ascii="宋体" w:hAnsi="宋体"/>
      <w:kern w:val="2"/>
      <w:sz w:val="24"/>
      <w:szCs w:val="28"/>
    </w:rPr>
  </w:style>
  <w:style w:type="character" w:customStyle="1" w:styleId="Char1Char">
    <w:name w:val="纯文本 Char1 Char"/>
    <w:aliases w:val="纯文本 Char Char Char,纯文本 Char1 Char Char Char,普通文字 Char Char Char Char Char,纯文本 Char Char Char Char Char Char Char Char Char Char Char Char Char Char Char Char Char Char Char Char Char Char"/>
    <w:rPr>
      <w:rFonts w:ascii="宋体" w:eastAsia="宋体" w:hAnsi="Courier New"/>
      <w:kern w:val="2"/>
      <w:sz w:val="21"/>
      <w:lang w:val="en-US" w:eastAsia="zh-CN" w:bidi="ar-SA"/>
    </w:rPr>
  </w:style>
  <w:style w:type="character" w:customStyle="1" w:styleId="Charfff">
    <w:name w:val="报告 Char"/>
    <w:link w:val="afffff0"/>
    <w:rPr>
      <w:rFonts w:ascii="TimesNewRoman" w:hAnsi="TimesNewRoman"/>
      <w:sz w:val="24"/>
    </w:rPr>
  </w:style>
  <w:style w:type="character" w:customStyle="1" w:styleId="f241">
    <w:name w:val="f241"/>
    <w:rPr>
      <w:sz w:val="36"/>
      <w:szCs w:val="36"/>
    </w:rPr>
  </w:style>
  <w:style w:type="character" w:customStyle="1" w:styleId="CharCharf8">
    <w:name w:val="表题 Char Char"/>
    <w:locked/>
    <w:rPr>
      <w:rFonts w:ascii="黑体" w:eastAsia="黑体" w:hAnsi="宋体" w:cs="宋体"/>
      <w:kern w:val="2"/>
      <w:sz w:val="24"/>
      <w:lang w:val="en-US" w:eastAsia="zh-CN" w:bidi="ar-SA"/>
    </w:rPr>
  </w:style>
  <w:style w:type="character" w:customStyle="1" w:styleId="CharChar91">
    <w:name w:val="Char Char91"/>
    <w:rPr>
      <w:rFonts w:ascii="Cambria" w:eastAsia="宋体" w:hAnsi="Cambria"/>
      <w:b/>
      <w:sz w:val="24"/>
    </w:rPr>
  </w:style>
  <w:style w:type="character" w:customStyle="1" w:styleId="TTChar">
    <w:name w:val="TT正文 Char"/>
    <w:link w:val="TT"/>
    <w:rPr>
      <w:rFonts w:ascii="宋体" w:hAnsi="宋体"/>
      <w:color w:val="000000"/>
      <w:kern w:val="2"/>
      <w:sz w:val="28"/>
      <w:szCs w:val="28"/>
    </w:rPr>
  </w:style>
  <w:style w:type="character" w:customStyle="1" w:styleId="Charfff0">
    <w:name w:val="正文易 Char"/>
    <w:link w:val="afffff1"/>
    <w:uiPriority w:val="99"/>
    <w:rPr>
      <w:rFonts w:ascii="Calibri" w:hAnsi="Calibri"/>
      <w:color w:val="000000"/>
      <w:kern w:val="2"/>
      <w:sz w:val="28"/>
      <w:szCs w:val="24"/>
    </w:rPr>
  </w:style>
  <w:style w:type="character" w:customStyle="1" w:styleId="4CharCharCharChar1">
    <w:name w:val="标题 4 Char Char Char Char1"/>
    <w:rPr>
      <w:rFonts w:eastAsia="宋体"/>
      <w:spacing w:val="-2"/>
      <w:sz w:val="24"/>
      <w:szCs w:val="28"/>
      <w:lang w:val="en-US" w:eastAsia="zh-CN" w:bidi="ar-SA"/>
    </w:rPr>
  </w:style>
  <w:style w:type="character" w:customStyle="1" w:styleId="CharChar51">
    <w:name w:val="Char Char5"/>
    <w:rPr>
      <w:rFonts w:eastAsia="宋体"/>
      <w:kern w:val="2"/>
      <w:sz w:val="18"/>
      <w:szCs w:val="18"/>
      <w:lang w:val="en-US" w:eastAsia="zh-CN" w:bidi="ar-SA"/>
    </w:rPr>
  </w:style>
  <w:style w:type="character" w:customStyle="1" w:styleId="content2">
    <w:name w:val="content2"/>
  </w:style>
  <w:style w:type="character" w:customStyle="1" w:styleId="Charfff1">
    <w:name w:val="君邦正文 Char"/>
    <w:link w:val="afffff2"/>
    <w:rPr>
      <w:bCs/>
      <w:sz w:val="24"/>
      <w:lang w:val="en-US" w:eastAsia="zh-CN" w:bidi="ar-SA"/>
    </w:rPr>
  </w:style>
  <w:style w:type="character" w:customStyle="1" w:styleId="CharChar11">
    <w:name w:val="Char Char11"/>
    <w:rPr>
      <w:b/>
      <w:bCs/>
      <w:sz w:val="28"/>
      <w:szCs w:val="32"/>
    </w:rPr>
  </w:style>
  <w:style w:type="character" w:customStyle="1" w:styleId="TimesNewRomanCharChar">
    <w:name w:val="样式 题注 + Times New Roman Char Char"/>
    <w:link w:val="TimesNewRoman"/>
    <w:rPr>
      <w:rFonts w:ascii="Arial" w:eastAsia="黑体" w:hAnsi="Arial" w:cs="Arial"/>
      <w:snapToGrid/>
      <w:kern w:val="2"/>
      <w:sz w:val="24"/>
      <w:szCs w:val="24"/>
    </w:rPr>
  </w:style>
  <w:style w:type="character" w:customStyle="1" w:styleId="3Char5">
    <w:name w:val="我的标题3 Char"/>
    <w:rPr>
      <w:rFonts w:eastAsia="宋体"/>
      <w:b/>
      <w:bCs/>
      <w:kern w:val="2"/>
      <w:sz w:val="24"/>
      <w:szCs w:val="24"/>
      <w:lang w:val="en-US" w:eastAsia="zh-CN" w:bidi="ar-SA"/>
    </w:rPr>
  </w:style>
  <w:style w:type="character" w:customStyle="1" w:styleId="Charfff2">
    <w:name w:val="表格标题（报告书） Char"/>
    <w:link w:val="afffff3"/>
    <w:rPr>
      <w:b/>
      <w:kern w:val="2"/>
      <w:sz w:val="24"/>
      <w:szCs w:val="24"/>
      <w:lang w:val="en-US" w:eastAsia="zh-CN" w:bidi="ar-SA"/>
    </w:rPr>
  </w:style>
  <w:style w:type="character" w:customStyle="1" w:styleId="01CharChar0">
    <w:name w:val="表格01 Char Char"/>
    <w:rPr>
      <w:rFonts w:eastAsia="宋体" w:cs="宋体"/>
      <w:snapToGrid w:val="0"/>
      <w:kern w:val="2"/>
      <w:sz w:val="28"/>
      <w:szCs w:val="28"/>
      <w:lang w:val="en-US" w:eastAsia="zh-CN" w:bidi="ar-SA"/>
    </w:rPr>
  </w:style>
  <w:style w:type="character" w:customStyle="1" w:styleId="Char1a">
    <w:name w:val="标题 Char1"/>
    <w:uiPriority w:val="10"/>
    <w:rPr>
      <w:rFonts w:ascii="Cambria" w:hAnsi="Cambria" w:cs="Times New Roman"/>
      <w:b/>
      <w:bCs/>
      <w:kern w:val="2"/>
      <w:sz w:val="32"/>
      <w:szCs w:val="32"/>
    </w:rPr>
  </w:style>
  <w:style w:type="character" w:customStyle="1" w:styleId="-Char0">
    <w:name w:val="表格内容-居中 Char"/>
    <w:link w:val="-0"/>
    <w:rPr>
      <w:szCs w:val="24"/>
    </w:rPr>
  </w:style>
  <w:style w:type="character" w:customStyle="1" w:styleId="CharCharf9">
    <w:name w:val="表号 Char Char"/>
    <w:rPr>
      <w:rFonts w:eastAsia="宋体"/>
      <w:kern w:val="2"/>
      <w:sz w:val="24"/>
      <w:szCs w:val="24"/>
      <w:lang w:val="en-US" w:eastAsia="zh-CN" w:bidi="ar-SA"/>
    </w:rPr>
  </w:style>
  <w:style w:type="character" w:customStyle="1" w:styleId="Charfff3">
    <w:name w:val="我的表格标题 Char"/>
    <w:link w:val="afffff4"/>
    <w:rPr>
      <w:rFonts w:eastAsia="黑体"/>
      <w:kern w:val="2"/>
      <w:sz w:val="24"/>
    </w:rPr>
  </w:style>
  <w:style w:type="character" w:customStyle="1" w:styleId="afffff6">
    <w:name w:val="永和正文 字符"/>
    <w:link w:val="afffff5"/>
    <w:locked/>
    <w:rPr>
      <w:kern w:val="2"/>
      <w:sz w:val="24"/>
      <w:szCs w:val="24"/>
    </w:rPr>
  </w:style>
  <w:style w:type="character" w:customStyle="1" w:styleId="Charfff4">
    <w:name w:val="样式 (中文) 黑体 Char"/>
    <w:link w:val="afffff7"/>
    <w:rPr>
      <w:rFonts w:eastAsia="黑体"/>
      <w:kern w:val="2"/>
      <w:sz w:val="24"/>
      <w:szCs w:val="24"/>
    </w:rPr>
  </w:style>
  <w:style w:type="character" w:customStyle="1" w:styleId="FontStyle27">
    <w:name w:val="Font Style27"/>
    <w:rPr>
      <w:rFonts w:ascii="宋体" w:eastAsia="宋体" w:cs="宋体"/>
      <w:b/>
      <w:bCs/>
      <w:spacing w:val="-20"/>
      <w:sz w:val="18"/>
      <w:szCs w:val="18"/>
    </w:rPr>
  </w:style>
  <w:style w:type="character" w:customStyle="1" w:styleId="CharCharfa">
    <w:name w:val="报告正文 Char Char"/>
    <w:locked/>
    <w:rPr>
      <w:rFonts w:ascii="宋体" w:eastAsia="宋体" w:hAnsi="宋体" w:cs="宋体"/>
      <w:kern w:val="2"/>
      <w:sz w:val="21"/>
      <w:szCs w:val="24"/>
      <w:lang w:val="en-US" w:eastAsia="zh-CN" w:bidi="ar-SA"/>
    </w:rPr>
  </w:style>
  <w:style w:type="character" w:customStyle="1" w:styleId="me-Char0">
    <w:name w:val="me表格内容-中 Char"/>
    <w:link w:val="me-0"/>
    <w:rPr>
      <w:rFonts w:cs="宋体"/>
      <w:kern w:val="2"/>
      <w:sz w:val="24"/>
      <w:szCs w:val="24"/>
      <w:shd w:val="clear" w:color="auto" w:fill="FFFFFF"/>
    </w:rPr>
  </w:style>
  <w:style w:type="character" w:customStyle="1" w:styleId="Charfff5">
    <w:name w:val="正文 Char"/>
    <w:link w:val="3a"/>
    <w:rPr>
      <w:rFonts w:ascii="宋体" w:hAnsi="宋体"/>
      <w:kern w:val="2"/>
      <w:sz w:val="24"/>
    </w:rPr>
  </w:style>
  <w:style w:type="character" w:customStyle="1" w:styleId="afffffffffffff1">
    <w:name w:val="超级链接"/>
    <w:rPr>
      <w:rFonts w:ascii="Times New Roman" w:eastAsia="宋体"/>
      <w:color w:val="0000FF"/>
      <w:sz w:val="21"/>
      <w:u w:val="single" w:color="0000FF"/>
      <w:vertAlign w:val="baseline"/>
      <w:lang w:val="en-US" w:eastAsia="zh-CN"/>
    </w:rPr>
  </w:style>
  <w:style w:type="character" w:customStyle="1" w:styleId="CharCharfb">
    <w:name w:val="报告书正文 Char Char"/>
    <w:locked/>
    <w:rPr>
      <w:rFonts w:ascii="宋体" w:hAnsi="宋体" w:cs="宋体"/>
      <w:kern w:val="2"/>
      <w:sz w:val="24"/>
      <w:szCs w:val="24"/>
      <w:lang w:bidi="ar-SA"/>
    </w:rPr>
  </w:style>
  <w:style w:type="character" w:customStyle="1" w:styleId="tone1">
    <w:name w:val="tone1"/>
    <w:basedOn w:val="a3"/>
  </w:style>
  <w:style w:type="character" w:customStyle="1" w:styleId="123CharChar">
    <w:name w:val="123 Char Char"/>
    <w:link w:val="123"/>
    <w:rPr>
      <w:rFonts w:ascii="宋体" w:hAnsi="宋体"/>
      <w:kern w:val="2"/>
      <w:sz w:val="24"/>
    </w:rPr>
  </w:style>
  <w:style w:type="character" w:customStyle="1" w:styleId="style81">
    <w:name w:val="style81"/>
    <w:rPr>
      <w:rFonts w:ascii="宋体" w:hAnsi="宋体" w:cs="宋体"/>
      <w:color w:val="FFFFFF"/>
      <w:sz w:val="24"/>
    </w:rPr>
  </w:style>
  <w:style w:type="character" w:customStyle="1" w:styleId="meSCharChar">
    <w:name w:val="me正文S Char Char"/>
    <w:rPr>
      <w:rFonts w:cs="宋体"/>
      <w:kern w:val="2"/>
      <w:sz w:val="28"/>
    </w:rPr>
  </w:style>
  <w:style w:type="character" w:customStyle="1" w:styleId="02Char">
    <w:name w:val="0标题2 Char"/>
    <w:link w:val="020"/>
    <w:rPr>
      <w:rFonts w:cs="Arial"/>
      <w:b/>
      <w:bCs/>
      <w:kern w:val="2"/>
      <w:sz w:val="32"/>
      <w:szCs w:val="32"/>
    </w:rPr>
  </w:style>
  <w:style w:type="character" w:customStyle="1" w:styleId="content1">
    <w:name w:val="content1"/>
    <w:rPr>
      <w:rFonts w:ascii="宋体" w:hAnsi="宋体" w:cs="宋体"/>
      <w:spacing w:val="270"/>
      <w:sz w:val="21"/>
      <w:szCs w:val="21"/>
    </w:rPr>
  </w:style>
  <w:style w:type="character" w:customStyle="1" w:styleId="Char1b">
    <w:name w:val="正文文本缩进 Char1"/>
    <w:rPr>
      <w:rFonts w:ascii="Calibri" w:eastAsia="宋体" w:hAnsi="Calibri"/>
      <w:color w:val="000000"/>
      <w:spacing w:val="2"/>
      <w:kern w:val="2"/>
      <w:sz w:val="28"/>
      <w:szCs w:val="24"/>
    </w:rPr>
  </w:style>
  <w:style w:type="character" w:customStyle="1" w:styleId="Charfff6">
    <w:name w:val="正文格式 Char"/>
    <w:link w:val="afffff8"/>
    <w:rPr>
      <w:rFonts w:ascii="宋体" w:hAnsi="宋体" w:cs="宋体"/>
      <w:kern w:val="2"/>
      <w:sz w:val="24"/>
      <w:szCs w:val="24"/>
    </w:rPr>
  </w:style>
  <w:style w:type="character" w:customStyle="1" w:styleId="linet1">
    <w:name w:val="linet1"/>
    <w:rPr>
      <w:rFonts w:ascii="ˎ̥" w:hAnsi="ˎ̥" w:hint="default"/>
      <w:sz w:val="20"/>
      <w:szCs w:val="20"/>
    </w:rPr>
  </w:style>
  <w:style w:type="character" w:customStyle="1" w:styleId="txt1">
    <w:name w:val="txt1"/>
    <w:rPr>
      <w:color w:val="000000"/>
      <w:sz w:val="21"/>
      <w:szCs w:val="21"/>
      <w:u w:val="none"/>
    </w:rPr>
  </w:style>
  <w:style w:type="character" w:customStyle="1" w:styleId="fs">
    <w:name w:val="fs"/>
  </w:style>
  <w:style w:type="character" w:customStyle="1" w:styleId="FontStyle21">
    <w:name w:val="Font Style21"/>
    <w:rPr>
      <w:rFonts w:ascii="宋体" w:eastAsia="宋体" w:cs="宋体"/>
      <w:b/>
      <w:bCs/>
      <w:spacing w:val="-60"/>
      <w:sz w:val="60"/>
      <w:szCs w:val="60"/>
    </w:rPr>
  </w:style>
  <w:style w:type="character" w:customStyle="1" w:styleId="Char1c">
    <w:name w:val="批注文字 Char1"/>
    <w:rPr>
      <w:kern w:val="2"/>
      <w:sz w:val="28"/>
      <w:szCs w:val="24"/>
    </w:rPr>
  </w:style>
  <w:style w:type="character" w:customStyle="1" w:styleId="htmltxt1">
    <w:name w:val="html_txt1"/>
    <w:rPr>
      <w:rFonts w:ascii="宋体" w:hAnsi="宋体" w:cs="宋体"/>
      <w:color w:val="000000"/>
      <w:sz w:val="24"/>
    </w:rPr>
  </w:style>
  <w:style w:type="character" w:customStyle="1" w:styleId="2Char1Char">
    <w:name w:val="标题 2 Char1 Char"/>
    <w:aliases w:val="标题 2 Char Char Char1,标题 2 Char Char1,标题 2 Char Char Char Char Char"/>
    <w:rPr>
      <w:rFonts w:eastAsia="黑体"/>
      <w:bCs/>
      <w:spacing w:val="-2"/>
      <w:sz w:val="28"/>
      <w:szCs w:val="28"/>
      <w:lang w:val="en-US" w:eastAsia="zh-CN" w:bidi="ar-SA"/>
    </w:rPr>
  </w:style>
  <w:style w:type="character" w:customStyle="1" w:styleId="CharCharfc">
    <w:name w:val="页眉 Char Char"/>
    <w:rPr>
      <w:kern w:val="2"/>
      <w:sz w:val="18"/>
    </w:rPr>
  </w:style>
  <w:style w:type="character" w:customStyle="1" w:styleId="1Char5">
    <w:name w:val="样式 宋体 四号1 Char"/>
    <w:link w:val="19"/>
    <w:locked/>
    <w:rPr>
      <w:rFonts w:ascii="宋体" w:hAnsi="宋体"/>
      <w:kern w:val="2"/>
      <w:sz w:val="28"/>
      <w:szCs w:val="24"/>
    </w:rPr>
  </w:style>
  <w:style w:type="character" w:customStyle="1" w:styleId="24CharChar">
    <w:name w:val="样式 宋体 小四 行距: 固定值 24 磅 Char Char"/>
    <w:link w:val="240"/>
    <w:rPr>
      <w:rFonts w:ascii="宋体" w:hAnsi="宋体" w:cs="宋体"/>
      <w:bCs/>
      <w:spacing w:val="4"/>
      <w:sz w:val="24"/>
      <w:szCs w:val="24"/>
    </w:rPr>
  </w:style>
  <w:style w:type="character" w:customStyle="1" w:styleId="txt">
    <w:name w:val="txt"/>
    <w:basedOn w:val="a3"/>
  </w:style>
  <w:style w:type="character" w:customStyle="1" w:styleId="6Char0">
    <w:name w:val="样式6 Char"/>
    <w:link w:val="61"/>
    <w:rPr>
      <w:kern w:val="2"/>
      <w:sz w:val="21"/>
      <w:szCs w:val="24"/>
    </w:rPr>
  </w:style>
  <w:style w:type="character" w:customStyle="1" w:styleId="4Char1">
    <w:name w:val="我的样式4正文 Char"/>
    <w:link w:val="44"/>
    <w:rPr>
      <w:rFonts w:eastAsia="宋体"/>
      <w:kern w:val="2"/>
      <w:sz w:val="24"/>
      <w:szCs w:val="24"/>
      <w:lang w:val="en-US" w:eastAsia="zh-CN" w:bidi="ar-SA"/>
    </w:rPr>
  </w:style>
  <w:style w:type="character" w:customStyle="1" w:styleId="2CharChar2">
    <w:name w:val="正文文本 2 Char Char"/>
    <w:rPr>
      <w:rFonts w:eastAsia="宋体"/>
      <w:kern w:val="2"/>
      <w:sz w:val="21"/>
      <w:szCs w:val="24"/>
      <w:lang w:val="en-US" w:eastAsia="zh-CN" w:bidi="ar-SA"/>
    </w:rPr>
  </w:style>
  <w:style w:type="character" w:customStyle="1" w:styleId="TimesNewRomanChar">
    <w:name w:val="样式 题注 + (西文) Times New Roman (中文) 宋体 小四 加粗 自动设置 Char"/>
    <w:link w:val="TimesNewRoman0"/>
    <w:rPr>
      <w:rFonts w:ascii="Arial" w:hAnsi="Arial"/>
      <w:kern w:val="21"/>
      <w:sz w:val="24"/>
    </w:rPr>
  </w:style>
  <w:style w:type="character" w:customStyle="1" w:styleId="CharCharfd">
    <w:name w:val="表格内容 Char Char"/>
    <w:rPr>
      <w:rFonts w:eastAsia="宋体"/>
      <w:kern w:val="2"/>
      <w:sz w:val="21"/>
      <w:szCs w:val="21"/>
      <w:lang w:val="en-US" w:eastAsia="zh-CN" w:bidi="ar-SA"/>
    </w:rPr>
  </w:style>
  <w:style w:type="character" w:customStyle="1" w:styleId="afffffa">
    <w:name w:val="表格头 字符"/>
    <w:link w:val="afffff9"/>
    <w:uiPriority w:val="1"/>
    <w:rPr>
      <w:rFonts w:eastAsia="黑体" w:cs="黑体"/>
      <w:sz w:val="24"/>
      <w:szCs w:val="24"/>
    </w:rPr>
  </w:style>
  <w:style w:type="character" w:customStyle="1" w:styleId="Charfff7">
    <w:name w:val="表标题 Char"/>
    <w:link w:val="afffffb"/>
    <w:rPr>
      <w:rFonts w:ascii="黑体" w:hAnsi="宋体"/>
      <w:b/>
      <w:bCs/>
      <w:sz w:val="24"/>
    </w:rPr>
  </w:style>
  <w:style w:type="character" w:customStyle="1" w:styleId="afffffffffffff2">
    <w:name w:val="样式 (中文) 仿宋体 小五"/>
    <w:rPr>
      <w:rFonts w:eastAsia="宋体"/>
      <w:spacing w:val="0"/>
      <w:kern w:val="2"/>
      <w:sz w:val="18"/>
    </w:rPr>
  </w:style>
  <w:style w:type="character" w:customStyle="1" w:styleId="Charfff8">
    <w:name w:val="启明正文 Char"/>
    <w:link w:val="afffffc"/>
    <w:rPr>
      <w:rFonts w:ascii="宋体" w:hAnsi="宋体" w:cs="宋体"/>
      <w:kern w:val="2"/>
      <w:sz w:val="24"/>
    </w:rPr>
  </w:style>
  <w:style w:type="character" w:customStyle="1" w:styleId="a3CharChar">
    <w:name w:val="a3 Char Char"/>
    <w:link w:val="a30"/>
    <w:rPr>
      <w:kern w:val="2"/>
      <w:sz w:val="28"/>
    </w:rPr>
  </w:style>
  <w:style w:type="character" w:customStyle="1" w:styleId="1CharChar0">
    <w:name w:val="样式 标题 1 + 三号 Char Char"/>
    <w:link w:val="1a"/>
    <w:rPr>
      <w:b/>
      <w:bCs/>
      <w:kern w:val="44"/>
      <w:sz w:val="44"/>
      <w:szCs w:val="44"/>
    </w:rPr>
  </w:style>
  <w:style w:type="character" w:customStyle="1" w:styleId="afffffffffffff3">
    <w:name w:val="样式 +中文正文 小四 黑色 字距调整四号"/>
    <w:rPr>
      <w:rFonts w:ascii="宋体" w:eastAsia="宋体" w:hAnsi="宋体"/>
      <w:color w:val="000000"/>
      <w:kern w:val="28"/>
      <w:sz w:val="24"/>
    </w:rPr>
  </w:style>
  <w:style w:type="character" w:customStyle="1" w:styleId="Charfff9">
    <w:name w:val="表格文字 Char"/>
    <w:link w:val="afffffd"/>
    <w:rPr>
      <w:rFonts w:eastAsia="宋体"/>
      <w:spacing w:val="10"/>
      <w:sz w:val="21"/>
      <w:szCs w:val="21"/>
      <w:lang w:val="en-US" w:eastAsia="zh-CN" w:bidi="ar-SA"/>
    </w:rPr>
  </w:style>
  <w:style w:type="character" w:customStyle="1" w:styleId="CharChar17">
    <w:name w:val="Char Char17"/>
    <w:rPr>
      <w:rFonts w:eastAsia="宋体"/>
      <w:b/>
      <w:bCs/>
      <w:kern w:val="2"/>
      <w:sz w:val="32"/>
      <w:szCs w:val="32"/>
      <w:lang w:val="en-US" w:eastAsia="zh-CN" w:bidi="ar-SA"/>
    </w:rPr>
  </w:style>
  <w:style w:type="character" w:customStyle="1" w:styleId="-03Char">
    <w:name w:val="样式 表格内容-两端对齐 + 紧缩量  0.3 磅 Char"/>
    <w:rPr>
      <w:rFonts w:eastAsia="仿宋_GB2312"/>
      <w:color w:val="000000"/>
      <w:spacing w:val="-6"/>
      <w:kern w:val="2"/>
      <w:sz w:val="21"/>
      <w:lang w:val="zh-CN" w:eastAsia="zh-CN"/>
    </w:rPr>
  </w:style>
  <w:style w:type="character" w:customStyle="1" w:styleId="Char30">
    <w:name w:val="纯文本 Char3"/>
    <w:uiPriority w:val="99"/>
    <w:semiHidden/>
    <w:rPr>
      <w:rFonts w:ascii="宋体" w:hAnsi="Courier New" w:cs="Courier New"/>
      <w:kern w:val="2"/>
      <w:sz w:val="21"/>
      <w:szCs w:val="21"/>
    </w:rPr>
  </w:style>
  <w:style w:type="character" w:customStyle="1" w:styleId="FontStyle20">
    <w:name w:val="Font Style20"/>
    <w:rPr>
      <w:rFonts w:ascii="宋体" w:eastAsia="宋体" w:cs="宋体"/>
      <w:b/>
      <w:bCs/>
      <w:sz w:val="20"/>
      <w:szCs w:val="20"/>
    </w:rPr>
  </w:style>
  <w:style w:type="character" w:customStyle="1" w:styleId="CharCharfe">
    <w:name w:val="批注主题 Char Char"/>
    <w:rPr>
      <w:b/>
      <w:bCs/>
      <w:kern w:val="2"/>
      <w:sz w:val="28"/>
    </w:rPr>
  </w:style>
  <w:style w:type="character" w:customStyle="1" w:styleId="Charfffa">
    <w:name w:val="报告书正文 Char"/>
    <w:link w:val="afffffe"/>
    <w:rPr>
      <w:rFonts w:ascii="宋体" w:hAnsi="宋体"/>
      <w:b/>
      <w:i/>
      <w:kern w:val="2"/>
      <w:sz w:val="24"/>
      <w:szCs w:val="24"/>
      <w:u w:val="single"/>
    </w:rPr>
  </w:style>
  <w:style w:type="character" w:customStyle="1" w:styleId="Charfffb">
    <w:name w:val="样式 四号 Char"/>
    <w:link w:val="affffff"/>
    <w:locked/>
    <w:rPr>
      <w:kern w:val="2"/>
      <w:sz w:val="28"/>
    </w:rPr>
  </w:style>
  <w:style w:type="character" w:customStyle="1" w:styleId="Char1d">
    <w:name w:val="正文缩进 Char1"/>
    <w:aliases w:val="正文（首行缩进两字） Char Char1,正文（首行缩进两字） Char Char Char Char Char Char Char Char,表正文 Char,正文非缩进 Char,段1 Char,Body Text(ch) Char,缩进 Char,ALT+Z Char,特点 Char,四号 Char,正文不缩进 Char,标题4 Char,正文2 Char,正文（首行缩进两字） Char Char Char Char,正文（首行缩进两字） Char Char Char1"/>
    <w:rPr>
      <w:rFonts w:eastAsia="宋体"/>
      <w:kern w:val="2"/>
      <w:sz w:val="28"/>
      <w:szCs w:val="24"/>
      <w:lang w:val="en-US" w:eastAsia="zh-CN" w:bidi="ar-SA"/>
    </w:rPr>
  </w:style>
  <w:style w:type="character" w:customStyle="1" w:styleId="Char1e">
    <w:name w:val="日期 Char1"/>
    <w:uiPriority w:val="99"/>
    <w:semiHidden/>
    <w:rPr>
      <w:rFonts w:ascii="Times New Roman" w:hAnsi="Times New Roman"/>
      <w:kern w:val="2"/>
      <w:sz w:val="28"/>
    </w:rPr>
  </w:style>
  <w:style w:type="character" w:customStyle="1" w:styleId="FontStyle19">
    <w:name w:val="Font Style19"/>
    <w:rPr>
      <w:rFonts w:ascii="宋体" w:eastAsia="宋体" w:cs="宋体"/>
      <w:b/>
      <w:bCs/>
      <w:sz w:val="22"/>
      <w:szCs w:val="22"/>
    </w:rPr>
  </w:style>
  <w:style w:type="character" w:customStyle="1" w:styleId="Charfffc">
    <w:name w:val="丰达正文 Char"/>
    <w:link w:val="affffff0"/>
    <w:locked/>
    <w:rPr>
      <w:kern w:val="2"/>
      <w:sz w:val="24"/>
      <w:szCs w:val="24"/>
    </w:rPr>
  </w:style>
  <w:style w:type="character" w:customStyle="1" w:styleId="CharChar60">
    <w:name w:val="Char Char6"/>
    <w:locked/>
    <w:rPr>
      <w:rFonts w:ascii="宋体" w:eastAsia="宋体" w:hAnsi="宋体" w:cs="宋体"/>
      <w:kern w:val="2"/>
      <w:sz w:val="16"/>
      <w:szCs w:val="16"/>
      <w:lang w:val="en-US" w:eastAsia="zh-CN" w:bidi="ar-SA"/>
    </w:rPr>
  </w:style>
  <w:style w:type="character" w:customStyle="1" w:styleId="headline-content">
    <w:name w:val="headline-content"/>
    <w:rPr>
      <w:rFonts w:ascii="宋体" w:hAnsi="宋体" w:cs="宋体"/>
      <w:b/>
      <w:bCs/>
      <w:kern w:val="44"/>
      <w:sz w:val="32"/>
      <w:szCs w:val="32"/>
    </w:rPr>
  </w:style>
  <w:style w:type="character" w:customStyle="1" w:styleId="ZWChar">
    <w:name w:val="ZW Char"/>
    <w:link w:val="ZW"/>
    <w:rPr>
      <w:rFonts w:eastAsia="仿宋_GB2312"/>
      <w:sz w:val="28"/>
    </w:rPr>
  </w:style>
  <w:style w:type="character" w:customStyle="1" w:styleId="30Char">
    <w:name w:val="样式 标题 3头 + 首行缩进:  0 厘米 Char"/>
    <w:link w:val="300"/>
    <w:rPr>
      <w:rFonts w:ascii="宋体" w:hAnsi="宋体"/>
      <w:bCs/>
      <w:kern w:val="2"/>
      <w:sz w:val="24"/>
      <w:szCs w:val="24"/>
      <w:lang w:val="de-DE"/>
    </w:rPr>
  </w:style>
  <w:style w:type="character" w:customStyle="1" w:styleId="AChar0">
    <w:name w:val="A正文 Char"/>
    <w:link w:val="Affffff1"/>
    <w:rPr>
      <w:rFonts w:ascii="Calibri" w:hAnsi="宋体" w:cs="宋体"/>
      <w:kern w:val="2"/>
      <w:sz w:val="24"/>
      <w:szCs w:val="24"/>
    </w:rPr>
  </w:style>
  <w:style w:type="character" w:customStyle="1" w:styleId="style110">
    <w:name w:val="style11"/>
    <w:rPr>
      <w:color w:val="FFFF00"/>
    </w:rPr>
  </w:style>
  <w:style w:type="character" w:customStyle="1" w:styleId="1Char6">
    <w:name w:val="1表格内容 Char"/>
    <w:link w:val="1b"/>
    <w:rPr>
      <w:kern w:val="2"/>
      <w:sz w:val="21"/>
    </w:rPr>
  </w:style>
  <w:style w:type="character" w:customStyle="1" w:styleId="CharCharff">
    <w:name w:val="於正文 Char Char"/>
    <w:rPr>
      <w:rFonts w:ascii="仿宋_GB2312" w:eastAsia="仿宋_GB2312" w:hAnsi="仿宋_GB2312"/>
      <w:color w:val="0000FF"/>
      <w:kern w:val="2"/>
      <w:sz w:val="30"/>
      <w:szCs w:val="24"/>
    </w:rPr>
  </w:style>
  <w:style w:type="character" w:customStyle="1" w:styleId="CharCharCharCharChar">
    <w:name w:val="Char Char Char Char Char"/>
    <w:locked/>
    <w:rPr>
      <w:rFonts w:ascii="宋体" w:hAnsi="宋体" w:cs="宋体"/>
      <w:kern w:val="2"/>
      <w:sz w:val="21"/>
      <w:szCs w:val="24"/>
      <w:lang w:bidi="ar-SA"/>
    </w:rPr>
  </w:style>
  <w:style w:type="character" w:customStyle="1" w:styleId="1Char7">
    <w:name w:val="正文1 Char"/>
    <w:link w:val="1c"/>
    <w:rPr>
      <w:kern w:val="2"/>
      <w:sz w:val="24"/>
      <w:szCs w:val="24"/>
    </w:rPr>
  </w:style>
  <w:style w:type="character" w:customStyle="1" w:styleId="CharCharff0">
    <w:name w:val="表格文字 Char Char"/>
    <w:locked/>
    <w:rPr>
      <w:snapToGrid/>
      <w:sz w:val="24"/>
      <w:szCs w:val="24"/>
    </w:rPr>
  </w:style>
  <w:style w:type="character" w:customStyle="1" w:styleId="0Char3">
    <w:name w:val="0图表题 Char"/>
    <w:link w:val="05"/>
    <w:rPr>
      <w:b/>
      <w:spacing w:val="2"/>
      <w:kern w:val="2"/>
      <w:sz w:val="24"/>
      <w:szCs w:val="24"/>
    </w:rPr>
  </w:style>
  <w:style w:type="character" w:customStyle="1" w:styleId="3CharCharChar">
    <w:name w:val="标题 3 Char Char Char"/>
    <w:aliases w:val="MB3 Char1,标题 3XW Char2,3 Char1,h3 Char1,3rd level Char1,H3 Char1,l3 Char1,CT Char1,H31 Char1,H32 Char1,H33 Char1,u3 Char1,标题 3 Char Char Char Char Char2,标题 3 Char Char Char Char Char Char Char Char1,段 Char1"/>
    <w:qFormat/>
    <w:rPr>
      <w:rFonts w:eastAsia="幼圆"/>
      <w:b/>
      <w:kern w:val="2"/>
      <w:sz w:val="28"/>
      <w:lang w:val="en-US" w:eastAsia="zh-CN" w:bidi="ar-SA"/>
    </w:rPr>
  </w:style>
  <w:style w:type="character" w:customStyle="1" w:styleId="1fff2">
    <w:name w:val="已访问的超链接1"/>
    <w:rPr>
      <w:rFonts w:ascii="Times New Roman" w:eastAsia="宋体" w:hint="default"/>
      <w:color w:val="800080"/>
      <w:kern w:val="2"/>
      <w:sz w:val="28"/>
      <w:u w:val="single"/>
      <w:lang w:val="en-US" w:eastAsia="zh-CN"/>
    </w:rPr>
  </w:style>
  <w:style w:type="character" w:customStyle="1" w:styleId="font31">
    <w:name w:val="font31"/>
    <w:rPr>
      <w:rFonts w:ascii="宋体" w:eastAsia="宋体" w:hAnsi="宋体" w:cs="宋体" w:hint="eastAsia"/>
      <w:b/>
      <w:color w:val="000000"/>
      <w:sz w:val="24"/>
      <w:szCs w:val="24"/>
      <w:u w:val="none"/>
    </w:rPr>
  </w:style>
  <w:style w:type="character" w:customStyle="1" w:styleId="afffffffffffff4">
    <w:name w:val="样式 宋体 四号 黑色"/>
    <w:rPr>
      <w:rFonts w:ascii="Times New Roman" w:eastAsia="宋体" w:hAnsi="Times New Roman"/>
      <w:color w:val="000000"/>
      <w:sz w:val="28"/>
    </w:rPr>
  </w:style>
  <w:style w:type="character" w:customStyle="1" w:styleId="Char11">
    <w:name w:val="表头 Char1"/>
    <w:link w:val="affffff2"/>
    <w:rPr>
      <w:b/>
      <w:kern w:val="2"/>
      <w:sz w:val="24"/>
      <w:lang w:val="de-DE"/>
    </w:rPr>
  </w:style>
  <w:style w:type="character" w:customStyle="1" w:styleId="CharCharff1">
    <w:name w:val="表格标题 Char Char"/>
    <w:locked/>
    <w:rPr>
      <w:rFonts w:ascii="宋体" w:eastAsia="宋体" w:hAnsi="宋体"/>
      <w:kern w:val="2"/>
      <w:sz w:val="24"/>
      <w:lang w:val="en-US" w:eastAsia="zh-CN" w:bidi="ar-SA"/>
    </w:rPr>
  </w:style>
  <w:style w:type="character" w:customStyle="1" w:styleId="CharCharff2">
    <w:name w:val="页脚 Char Char"/>
    <w:rPr>
      <w:kern w:val="2"/>
      <w:sz w:val="18"/>
    </w:rPr>
  </w:style>
  <w:style w:type="character" w:customStyle="1" w:styleId="CharCharff3">
    <w:name w:val="正文文本 Char Char"/>
    <w:rPr>
      <w:rFonts w:eastAsia="宋体"/>
      <w:kern w:val="2"/>
      <w:sz w:val="24"/>
      <w:szCs w:val="24"/>
      <w:lang w:val="en-US" w:eastAsia="zh-CN" w:bidi="ar-SA"/>
    </w:rPr>
  </w:style>
  <w:style w:type="character" w:customStyle="1" w:styleId="CharCharff4">
    <w:name w:val="我的表格标题 Char Char"/>
    <w:rPr>
      <w:rFonts w:eastAsia="黑体"/>
      <w:kern w:val="2"/>
      <w:sz w:val="24"/>
      <w:szCs w:val="24"/>
      <w:lang w:val="en-US" w:eastAsia="zh-CN" w:bidi="ar-SA"/>
    </w:rPr>
  </w:style>
  <w:style w:type="character" w:customStyle="1" w:styleId="YZMChar1">
    <w:name w:val="YZM段落内容 Char1"/>
    <w:link w:val="YZM"/>
    <w:rPr>
      <w:rFonts w:ascii="宋体" w:hAnsi="Arial"/>
      <w:sz w:val="24"/>
    </w:rPr>
  </w:style>
  <w:style w:type="character" w:customStyle="1" w:styleId="CharChar5">
    <w:name w:val="十矿 Char Char"/>
    <w:link w:val="affffff3"/>
    <w:rPr>
      <w:rFonts w:cs="宋体"/>
      <w:kern w:val="2"/>
      <w:sz w:val="28"/>
    </w:rPr>
  </w:style>
  <w:style w:type="character" w:customStyle="1" w:styleId="Charfffd">
    <w:name w:val="圣达四级标题 Char"/>
    <w:link w:val="affffff4"/>
    <w:locked/>
    <w:rPr>
      <w:rFonts w:ascii="宋体" w:hAnsi="宋体"/>
      <w:b/>
      <w:kern w:val="2"/>
      <w:sz w:val="24"/>
      <w:szCs w:val="24"/>
    </w:rPr>
  </w:style>
  <w:style w:type="character" w:customStyle="1" w:styleId="Charfffe">
    <w:name w:val="报告正文 Char"/>
    <w:link w:val="affffff5"/>
    <w:locked/>
    <w:rPr>
      <w:rFonts w:ascii="宋体" w:hAnsi="宋体"/>
      <w:color w:val="000000"/>
      <w:kern w:val="2"/>
      <w:sz w:val="24"/>
      <w:szCs w:val="24"/>
    </w:rPr>
  </w:style>
  <w:style w:type="character" w:customStyle="1" w:styleId="04Char0">
    <w:name w:val="0标题4 Char"/>
    <w:link w:val="040"/>
    <w:rPr>
      <w:rFonts w:ascii="Calibri" w:hAnsi="Calibri" w:cs="宋体"/>
      <w:b/>
      <w:bCs/>
      <w:kern w:val="2"/>
      <w:sz w:val="24"/>
      <w:szCs w:val="24"/>
    </w:rPr>
  </w:style>
  <w:style w:type="character" w:customStyle="1" w:styleId="FontStyle25">
    <w:name w:val="Font Style25"/>
    <w:rPr>
      <w:rFonts w:ascii="宋体" w:eastAsia="宋体" w:cs="宋体"/>
      <w:sz w:val="20"/>
      <w:szCs w:val="20"/>
    </w:rPr>
  </w:style>
  <w:style w:type="character" w:customStyle="1" w:styleId="FontStyle37">
    <w:name w:val="Font Style37"/>
    <w:rPr>
      <w:rFonts w:ascii="Sylfaen" w:hAnsi="Sylfaen" w:cs="Sylfaen"/>
      <w:b/>
      <w:bCs/>
      <w:sz w:val="24"/>
      <w:szCs w:val="24"/>
    </w:rPr>
  </w:style>
  <w:style w:type="character" w:customStyle="1" w:styleId="Charffff">
    <w:name w:val="正文文本的 Char"/>
    <w:link w:val="affffff6"/>
    <w:rPr>
      <w:rFonts w:ascii="宋体" w:hAnsi="宋体" w:cs="宋体"/>
      <w:kern w:val="2"/>
      <w:sz w:val="24"/>
    </w:rPr>
  </w:style>
  <w:style w:type="character" w:customStyle="1" w:styleId="product04">
    <w:name w:val="product_04"/>
    <w:rPr>
      <w:rFonts w:ascii="宋体" w:hAnsi="宋体" w:cs="宋体"/>
      <w:sz w:val="24"/>
    </w:rPr>
  </w:style>
  <w:style w:type="character" w:customStyle="1" w:styleId="Char1f">
    <w:name w:val="尾注文本 Char1"/>
    <w:uiPriority w:val="99"/>
    <w:rPr>
      <w:rFonts w:ascii="Calibri" w:hAnsi="Calibri"/>
      <w:kern w:val="2"/>
      <w:sz w:val="28"/>
      <w:szCs w:val="24"/>
    </w:rPr>
  </w:style>
  <w:style w:type="character" w:customStyle="1" w:styleId="htmltag1">
    <w:name w:val="html_tag1"/>
    <w:rPr>
      <w:rFonts w:ascii="宋体" w:hAnsi="宋体" w:cs="宋体"/>
      <w:color w:val="0000FF"/>
      <w:sz w:val="24"/>
    </w:rPr>
  </w:style>
  <w:style w:type="character" w:customStyle="1" w:styleId="1Char8">
    <w:name w:val="样式1 Char"/>
    <w:link w:val="1d"/>
    <w:rPr>
      <w:kern w:val="2"/>
      <w:sz w:val="28"/>
      <w:szCs w:val="18"/>
    </w:rPr>
  </w:style>
  <w:style w:type="character" w:customStyle="1" w:styleId="Char1f0">
    <w:name w:val="表正文 Char1"/>
    <w:aliases w:val="正文非缩进 Char1,段1 Char1,Body Text(ch) Char1,缩进 Char1,ALT+Z Char1,特点 Char1,四号 Char1,正文不缩进 Char1,标题4 Char1,正文2 Char1,正文（首行缩进两字） Char Char Char Char1,正文（首行缩进两字） Char Char2,正文缩进1 Char1,首行缩进 Char1,正文（首行缩进两字） Char Char Char2,d Char1,标题四 Char1"/>
    <w:rPr>
      <w:rFonts w:eastAsia="宋体"/>
      <w:b/>
      <w:kern w:val="2"/>
      <w:sz w:val="28"/>
      <w:szCs w:val="24"/>
      <w:lang w:val="en-US" w:eastAsia="zh-CN" w:bidi="ar-SA"/>
    </w:rPr>
  </w:style>
  <w:style w:type="table" w:customStyle="1" w:styleId="1fff3">
    <w:name w:val="表格主题1"/>
    <w:basedOn w:val="a4"/>
    <w:pPr>
      <w:widowControl w:val="0"/>
      <w:jc w:val="both"/>
    </w:pPr>
    <w:rPr>
      <w:sz w:val="21"/>
    </w:rPr>
    <w:tblPr>
      <w:tblBorders>
        <w:top w:val="single" w:sz="4" w:space="0" w:color="auto"/>
        <w:bottom w:val="single" w:sz="4" w:space="0" w:color="auto"/>
        <w:insideH w:val="single" w:sz="4" w:space="0" w:color="auto"/>
        <w:insideV w:val="single" w:sz="4" w:space="0" w:color="auto"/>
      </w:tblBorders>
    </w:tblPr>
  </w:style>
  <w:style w:type="table" w:customStyle="1" w:styleId="TableNormal2">
    <w:name w:val="Table Normal2"/>
    <w:uiPriority w:val="2"/>
    <w:unhideWhenUsed/>
    <w:qFormat/>
    <w:pPr>
      <w:widowControl w:val="0"/>
    </w:pPr>
    <w:rPr>
      <w:rFonts w:ascii="Calibri" w:hAnsi="Calibri"/>
      <w:bCs/>
      <w:sz w:val="22"/>
      <w:szCs w:val="22"/>
      <w:lang w:eastAsia="en-US"/>
    </w:rPr>
    <w:tblPr>
      <w:tblCellMar>
        <w:top w:w="0" w:type="dxa"/>
        <w:left w:w="0" w:type="dxa"/>
        <w:bottom w:w="0" w:type="dxa"/>
        <w:right w:w="0" w:type="dxa"/>
      </w:tblCellMar>
    </w:tblPr>
  </w:style>
  <w:style w:type="table" w:customStyle="1" w:styleId="710">
    <w:name w:val="网格型 71"/>
    <w:basedOn w:val="a4"/>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11">
    <w:name w:val="Table Normal11"/>
    <w:uiPriority w:val="2"/>
    <w:unhideWhenUsed/>
    <w:qFormat/>
    <w:pPr>
      <w:widowControl w:val="0"/>
    </w:pPr>
    <w:rPr>
      <w:rFonts w:ascii="Calibri" w:hAnsi="Calibri"/>
      <w:bCs/>
      <w:sz w:val="22"/>
      <w:szCs w:val="22"/>
      <w:lang w:eastAsia="en-US"/>
    </w:rPr>
    <w:tblPr>
      <w:tblCellMar>
        <w:top w:w="0" w:type="dxa"/>
        <w:left w:w="0" w:type="dxa"/>
        <w:bottom w:w="0" w:type="dxa"/>
        <w:right w:w="0" w:type="dxa"/>
      </w:tblCellMar>
    </w:tblPr>
  </w:style>
  <w:style w:type="table" w:customStyle="1" w:styleId="2ff1">
    <w:name w:val="网格型2"/>
    <w:basedOn w:val="a4"/>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表格主题11"/>
    <w:basedOn w:val="a4"/>
    <w:pPr>
      <w:widowControl w:val="0"/>
      <w:jc w:val="both"/>
    </w:pPr>
    <w:rPr>
      <w:rFonts w:ascii="宋体"/>
      <w:bCs/>
      <w:sz w:val="21"/>
      <w:szCs w:val="22"/>
    </w:rPr>
    <w:tblPr>
      <w:tblBorders>
        <w:top w:val="single" w:sz="4" w:space="0" w:color="auto"/>
        <w:bottom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4">
    <w:name w:val="(环评报告表）1"/>
    <w:basedOn w:val="a4"/>
    <w:qFormat/>
    <w:pPr>
      <w:widowControl w:val="0"/>
      <w:jc w:val="both"/>
    </w:pPr>
    <w:rPr>
      <w:rFonts w:ascii="宋体"/>
      <w:bCs/>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4"/>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5">
    <w:name w:val="网格型1"/>
    <w:basedOn w:val="a4"/>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6">
    <w:name w:val="专业型1"/>
    <w:basedOn w:val="a4"/>
    <w:pPr>
      <w:widowControl w:val="0"/>
      <w:spacing w:line="300" w:lineRule="auto"/>
      <w:ind w:right="-45" w:firstLine="540"/>
    </w:pPr>
    <w:rPr>
      <w:rFonts w:ascii="宋体"/>
      <w:bCs/>
      <w:sz w:val="24"/>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215">
    <w:name w:val="样式 首行缩进:  2 字符1"/>
    <w:basedOn w:val="a0"/>
    <w:qFormat/>
    <w:rsid w:val="00483EE4"/>
    <w:pPr>
      <w:topLinePunct/>
      <w:spacing w:line="529" w:lineRule="exact"/>
      <w:ind w:firstLineChars="200" w:firstLine="480"/>
    </w:pPr>
    <w:rPr>
      <w:rFonts w:cs="宋体"/>
      <w:color w:val="000000"/>
      <w:sz w:val="24"/>
    </w:rPr>
  </w:style>
</w:styles>
</file>

<file path=word/webSettings.xml><?xml version="1.0" encoding="utf-8"?>
<w:webSettings xmlns:r="http://schemas.openxmlformats.org/officeDocument/2006/relationships" xmlns:w="http://schemas.openxmlformats.org/wordprocessingml/2006/main">
  <w:divs>
    <w:div w:id="697895639">
      <w:bodyDiv w:val="1"/>
      <w:marLeft w:val="0"/>
      <w:marRight w:val="0"/>
      <w:marTop w:val="0"/>
      <w:marBottom w:val="0"/>
      <w:divBdr>
        <w:top w:val="none" w:sz="0" w:space="0" w:color="auto"/>
        <w:left w:val="none" w:sz="0" w:space="0" w:color="auto"/>
        <w:bottom w:val="none" w:sz="0" w:space="0" w:color="auto"/>
        <w:right w:val="none" w:sz="0" w:space="0" w:color="auto"/>
      </w:divBdr>
    </w:div>
    <w:div w:id="1446388367">
      <w:bodyDiv w:val="1"/>
      <w:marLeft w:val="0"/>
      <w:marRight w:val="0"/>
      <w:marTop w:val="0"/>
      <w:marBottom w:val="0"/>
      <w:divBdr>
        <w:top w:val="none" w:sz="0" w:space="0" w:color="auto"/>
        <w:left w:val="none" w:sz="0" w:space="0" w:color="auto"/>
        <w:bottom w:val="none" w:sz="0" w:space="0" w:color="auto"/>
        <w:right w:val="none" w:sz="0" w:space="0" w:color="auto"/>
      </w:divBdr>
    </w:div>
    <w:div w:id="1613246321">
      <w:bodyDiv w:val="1"/>
      <w:marLeft w:val="0"/>
      <w:marRight w:val="0"/>
      <w:marTop w:val="0"/>
      <w:marBottom w:val="0"/>
      <w:divBdr>
        <w:top w:val="none" w:sz="0" w:space="0" w:color="auto"/>
        <w:left w:val="none" w:sz="0" w:space="0" w:color="auto"/>
        <w:bottom w:val="none" w:sz="0" w:space="0" w:color="auto"/>
        <w:right w:val="none" w:sz="0" w:space="0" w:color="auto"/>
      </w:divBdr>
    </w:div>
    <w:div w:id="1902279483">
      <w:bodyDiv w:val="1"/>
      <w:marLeft w:val="0"/>
      <w:marRight w:val="0"/>
      <w:marTop w:val="0"/>
      <w:marBottom w:val="0"/>
      <w:divBdr>
        <w:top w:val="none" w:sz="0" w:space="0" w:color="auto"/>
        <w:left w:val="none" w:sz="0" w:space="0" w:color="auto"/>
        <w:bottom w:val="none" w:sz="0" w:space="0" w:color="auto"/>
        <w:right w:val="none" w:sz="0" w:space="0" w:color="auto"/>
      </w:divBdr>
    </w:div>
    <w:div w:id="2015721493">
      <w:bodyDiv w:val="1"/>
      <w:marLeft w:val="0"/>
      <w:marRight w:val="0"/>
      <w:marTop w:val="0"/>
      <w:marBottom w:val="0"/>
      <w:divBdr>
        <w:top w:val="none" w:sz="0" w:space="0" w:color="auto"/>
        <w:left w:val="none" w:sz="0" w:space="0" w:color="auto"/>
        <w:bottom w:val="none" w:sz="0" w:space="0" w:color="auto"/>
        <w:right w:val="none" w:sz="0" w:space="0" w:color="auto"/>
      </w:divBdr>
    </w:div>
    <w:div w:id="2021152692">
      <w:bodyDiv w:val="1"/>
      <w:marLeft w:val="0"/>
      <w:marRight w:val="0"/>
      <w:marTop w:val="0"/>
      <w:marBottom w:val="0"/>
      <w:divBdr>
        <w:top w:val="none" w:sz="0" w:space="0" w:color="auto"/>
        <w:left w:val="none" w:sz="0" w:space="0" w:color="auto"/>
        <w:bottom w:val="none" w:sz="0" w:space="0" w:color="auto"/>
        <w:right w:val="none" w:sz="0" w:space="0" w:color="auto"/>
      </w:divBdr>
    </w:div>
    <w:div w:id="2107144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43.wmf"/><Relationship Id="rId21" Type="http://schemas.openxmlformats.org/officeDocument/2006/relationships/hyperlink" Target="https://baike.baidu.com/item/%E6%B2%B3%E6%B5%81/24881" TargetMode="External"/><Relationship Id="rId42" Type="http://schemas.openxmlformats.org/officeDocument/2006/relationships/oleObject" Target="embeddings/oleObject7.bin"/><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oleObject" Target="embeddings/oleObject20.bin"/><Relationship Id="rId84" Type="http://schemas.openxmlformats.org/officeDocument/2006/relationships/image" Target="media/image32.wmf"/><Relationship Id="rId89" Type="http://schemas.openxmlformats.org/officeDocument/2006/relationships/oleObject" Target="embeddings/oleObject30.bin"/><Relationship Id="rId112" Type="http://schemas.openxmlformats.org/officeDocument/2006/relationships/oleObject" Target="embeddings/oleObject46.bin"/><Relationship Id="rId133" Type="http://schemas.openxmlformats.org/officeDocument/2006/relationships/image" Target="media/image48.wmf"/><Relationship Id="rId138" Type="http://schemas.openxmlformats.org/officeDocument/2006/relationships/image" Target="media/image51.wmf"/><Relationship Id="rId154" Type="http://schemas.openxmlformats.org/officeDocument/2006/relationships/image" Target="media/image59.png"/><Relationship Id="rId159" Type="http://schemas.openxmlformats.org/officeDocument/2006/relationships/footer" Target="footer4.xml"/><Relationship Id="rId16" Type="http://schemas.openxmlformats.org/officeDocument/2006/relationships/image" Target="media/image1.wmf"/><Relationship Id="rId107" Type="http://schemas.openxmlformats.org/officeDocument/2006/relationships/oleObject" Target="embeddings/oleObject43.bin"/><Relationship Id="rId11" Type="http://schemas.openxmlformats.org/officeDocument/2006/relationships/footer" Target="footer1.xml"/><Relationship Id="rId32" Type="http://schemas.openxmlformats.org/officeDocument/2006/relationships/image" Target="media/image6.wmf"/><Relationship Id="rId37" Type="http://schemas.openxmlformats.org/officeDocument/2006/relationships/image" Target="media/image8.wmf"/><Relationship Id="rId53" Type="http://schemas.openxmlformats.org/officeDocument/2006/relationships/image" Target="media/image16.wmf"/><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29.wmf"/><Relationship Id="rId102" Type="http://schemas.openxmlformats.org/officeDocument/2006/relationships/oleObject" Target="embeddings/oleObject39.bin"/><Relationship Id="rId123" Type="http://schemas.openxmlformats.org/officeDocument/2006/relationships/chart" Target="charts/chart1.xml"/><Relationship Id="rId128" Type="http://schemas.openxmlformats.org/officeDocument/2006/relationships/chart" Target="charts/chart6.xml"/><Relationship Id="rId144" Type="http://schemas.openxmlformats.org/officeDocument/2006/relationships/oleObject" Target="embeddings/oleObject58.bin"/><Relationship Id="rId149" Type="http://schemas.openxmlformats.org/officeDocument/2006/relationships/hyperlink" Target="http://www.mee.gov.cn/ywgz/fgbz/bz/bzwb/other/hjbhgc/201212/W020121231388626474080.pdf" TargetMode="External"/><Relationship Id="rId5" Type="http://schemas.openxmlformats.org/officeDocument/2006/relationships/settings" Target="settings.xml"/><Relationship Id="rId90" Type="http://schemas.openxmlformats.org/officeDocument/2006/relationships/image" Target="media/image35.wmf"/><Relationship Id="rId95" Type="http://schemas.openxmlformats.org/officeDocument/2006/relationships/oleObject" Target="embeddings/oleObject33.bin"/><Relationship Id="rId160" Type="http://schemas.openxmlformats.org/officeDocument/2006/relationships/footer" Target="footer5.xml"/><Relationship Id="rId22" Type="http://schemas.openxmlformats.org/officeDocument/2006/relationships/hyperlink" Target="https://baike.baidu.com/item/%E9%B8%A0%E5%B1%B1%E9%95%87/3190973" TargetMode="External"/><Relationship Id="rId27" Type="http://schemas.openxmlformats.org/officeDocument/2006/relationships/hyperlink" Target="http://kjs.mep.gov.cn/hjbhbz/bzwb/jcffbz/201712/t20171207_427560.shtml" TargetMode="External"/><Relationship Id="rId43" Type="http://schemas.openxmlformats.org/officeDocument/2006/relationships/image" Target="media/image11.wmf"/><Relationship Id="rId48" Type="http://schemas.openxmlformats.org/officeDocument/2006/relationships/oleObject" Target="embeddings/oleObject10.bin"/><Relationship Id="rId64" Type="http://schemas.openxmlformats.org/officeDocument/2006/relationships/oleObject" Target="embeddings/oleObject18.bin"/><Relationship Id="rId69" Type="http://schemas.openxmlformats.org/officeDocument/2006/relationships/image" Target="media/image24.wmf"/><Relationship Id="rId113" Type="http://schemas.openxmlformats.org/officeDocument/2006/relationships/oleObject" Target="embeddings/oleObject47.bin"/><Relationship Id="rId118" Type="http://schemas.openxmlformats.org/officeDocument/2006/relationships/oleObject" Target="embeddings/oleObject50.bin"/><Relationship Id="rId134" Type="http://schemas.openxmlformats.org/officeDocument/2006/relationships/oleObject" Target="embeddings/oleObject53.bin"/><Relationship Id="rId139" Type="http://schemas.openxmlformats.org/officeDocument/2006/relationships/oleObject" Target="embeddings/oleObject55.bin"/><Relationship Id="rId80" Type="http://schemas.openxmlformats.org/officeDocument/2006/relationships/oleObject" Target="embeddings/oleObject26.bin"/><Relationship Id="rId85" Type="http://schemas.openxmlformats.org/officeDocument/2006/relationships/oleObject" Target="embeddings/oleObject28.bin"/><Relationship Id="rId150" Type="http://schemas.openxmlformats.org/officeDocument/2006/relationships/hyperlink" Target="http://www.mee.gov.cn/ywgz/fgbz/bz/bzwb/other/hjbhgc/201212/W020121231388626474080.pdf" TargetMode="External"/><Relationship Id="rId155" Type="http://schemas.openxmlformats.org/officeDocument/2006/relationships/image" Target="media/image60.jpeg"/><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oleObject" Target="embeddings/oleObject2.bin"/><Relationship Id="rId38" Type="http://schemas.openxmlformats.org/officeDocument/2006/relationships/oleObject" Target="embeddings/oleObject5.bin"/><Relationship Id="rId59" Type="http://schemas.openxmlformats.org/officeDocument/2006/relationships/image" Target="media/image19.wmf"/><Relationship Id="rId103" Type="http://schemas.openxmlformats.org/officeDocument/2006/relationships/oleObject" Target="embeddings/oleObject40.bin"/><Relationship Id="rId108" Type="http://schemas.openxmlformats.org/officeDocument/2006/relationships/oleObject" Target="embeddings/oleObject44.bin"/><Relationship Id="rId124" Type="http://schemas.openxmlformats.org/officeDocument/2006/relationships/chart" Target="charts/chart2.xml"/><Relationship Id="rId129" Type="http://schemas.openxmlformats.org/officeDocument/2006/relationships/chart" Target="charts/chart7.xml"/><Relationship Id="rId54" Type="http://schemas.openxmlformats.org/officeDocument/2006/relationships/oleObject" Target="embeddings/oleObject13.bin"/><Relationship Id="rId70" Type="http://schemas.openxmlformats.org/officeDocument/2006/relationships/oleObject" Target="embeddings/oleObject21.bin"/><Relationship Id="rId75" Type="http://schemas.openxmlformats.org/officeDocument/2006/relationships/image" Target="media/image27.wmf"/><Relationship Id="rId91" Type="http://schemas.openxmlformats.org/officeDocument/2006/relationships/oleObject" Target="embeddings/oleObject31.bin"/><Relationship Id="rId96" Type="http://schemas.openxmlformats.org/officeDocument/2006/relationships/oleObject" Target="embeddings/oleObject34.bin"/><Relationship Id="rId140" Type="http://schemas.openxmlformats.org/officeDocument/2006/relationships/image" Target="media/image52.wmf"/><Relationship Id="rId145" Type="http://schemas.openxmlformats.org/officeDocument/2006/relationships/image" Target="media/image54.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ee.gov.cn/ywgz/fgbz/bz/bzwb/other/hjbhgc/201212/W020121231388626474080.pdf" TargetMode="External"/><Relationship Id="rId23" Type="http://schemas.openxmlformats.org/officeDocument/2006/relationships/hyperlink" Target="https://baike.baidu.com/item/%E5%A4%A7%E9%B8%BF%E5%AF%A8/2413282" TargetMode="External"/><Relationship Id="rId28" Type="http://schemas.openxmlformats.org/officeDocument/2006/relationships/header" Target="header1.xml"/><Relationship Id="rId36" Type="http://schemas.openxmlformats.org/officeDocument/2006/relationships/oleObject" Target="embeddings/oleObject4.bin"/><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oleObject" Target="embeddings/oleObject42.bin"/><Relationship Id="rId114" Type="http://schemas.openxmlformats.org/officeDocument/2006/relationships/image" Target="media/image42.wmf"/><Relationship Id="rId119" Type="http://schemas.openxmlformats.org/officeDocument/2006/relationships/image" Target="media/image44.wmf"/><Relationship Id="rId127" Type="http://schemas.openxmlformats.org/officeDocument/2006/relationships/chart" Target="charts/chart5.xml"/><Relationship Id="rId10" Type="http://schemas.openxmlformats.org/officeDocument/2006/relationships/hyperlink" Target="https://daqi.bjx.com.cn/zt.asp?topic=%bb%b7%be%b3%d3%b0%cf%ec%c6%c0%bc%db" TargetMode="External"/><Relationship Id="rId31" Type="http://schemas.openxmlformats.org/officeDocument/2006/relationships/oleObject" Target="embeddings/oleObject1.bin"/><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oleObject" Target="embeddings/oleObject25.bin"/><Relationship Id="rId81" Type="http://schemas.openxmlformats.org/officeDocument/2006/relationships/image" Target="media/image30.wmf"/><Relationship Id="rId86" Type="http://schemas.openxmlformats.org/officeDocument/2006/relationships/image" Target="media/image33.wmf"/><Relationship Id="rId94" Type="http://schemas.openxmlformats.org/officeDocument/2006/relationships/image" Target="media/image37.wmf"/><Relationship Id="rId99" Type="http://schemas.openxmlformats.org/officeDocument/2006/relationships/image" Target="media/image38.wmf"/><Relationship Id="rId101" Type="http://schemas.openxmlformats.org/officeDocument/2006/relationships/oleObject" Target="embeddings/oleObject38.bin"/><Relationship Id="rId122" Type="http://schemas.openxmlformats.org/officeDocument/2006/relationships/image" Target="media/image46.png"/><Relationship Id="rId130" Type="http://schemas.openxmlformats.org/officeDocument/2006/relationships/chart" Target="charts/chart8.xml"/><Relationship Id="rId135" Type="http://schemas.openxmlformats.org/officeDocument/2006/relationships/image" Target="media/image49.wmf"/><Relationship Id="rId143" Type="http://schemas.openxmlformats.org/officeDocument/2006/relationships/image" Target="media/image53.wmf"/><Relationship Id="rId148" Type="http://schemas.openxmlformats.org/officeDocument/2006/relationships/oleObject" Target="embeddings/oleObject60.bin"/><Relationship Id="rId151" Type="http://schemas.openxmlformats.org/officeDocument/2006/relationships/image" Target="media/image56.jpeg"/><Relationship Id="rId156" Type="http://schemas.openxmlformats.org/officeDocument/2006/relationships/image" Target="media/image61.png"/><Relationship Id="rId4" Type="http://schemas.openxmlformats.org/officeDocument/2006/relationships/styles" Target="styles.xml"/><Relationship Id="rId9" Type="http://schemas.openxmlformats.org/officeDocument/2006/relationships/hyperlink" Target="https://daqi.bjx.com.cn/zt.asp?topic=%c3%ba%cc%bf%d7%ca%d4%b4%bf%aa%b7%a2" TargetMode="External"/><Relationship Id="rId13" Type="http://schemas.openxmlformats.org/officeDocument/2006/relationships/hyperlink" Target="javascript:gotoAct(344553,%200)" TargetMode="External"/><Relationship Id="rId18" Type="http://schemas.openxmlformats.org/officeDocument/2006/relationships/hyperlink" Target="http://www.mee.gov.cn/ywgz/fgbz/bz/bzwb/other/hjbhgc/201212/W020121231388626474080.pdf" TargetMode="External"/><Relationship Id="rId39" Type="http://schemas.openxmlformats.org/officeDocument/2006/relationships/image" Target="media/image9.wmf"/><Relationship Id="rId109" Type="http://schemas.openxmlformats.org/officeDocument/2006/relationships/image" Target="media/image40.wmf"/><Relationship Id="rId34" Type="http://schemas.openxmlformats.org/officeDocument/2006/relationships/image" Target="media/image7.wmf"/><Relationship Id="rId50" Type="http://schemas.openxmlformats.org/officeDocument/2006/relationships/oleObject" Target="embeddings/oleObject11.bin"/><Relationship Id="rId55" Type="http://schemas.openxmlformats.org/officeDocument/2006/relationships/image" Target="media/image17.wmf"/><Relationship Id="rId76" Type="http://schemas.openxmlformats.org/officeDocument/2006/relationships/oleObject" Target="embeddings/oleObject24.bin"/><Relationship Id="rId97" Type="http://schemas.openxmlformats.org/officeDocument/2006/relationships/oleObject" Target="embeddings/oleObject35.bin"/><Relationship Id="rId104" Type="http://schemas.openxmlformats.org/officeDocument/2006/relationships/image" Target="media/image39.wmf"/><Relationship Id="rId120" Type="http://schemas.openxmlformats.org/officeDocument/2006/relationships/oleObject" Target="embeddings/oleObject51.bin"/><Relationship Id="rId125" Type="http://schemas.openxmlformats.org/officeDocument/2006/relationships/chart" Target="charts/chart3.xml"/><Relationship Id="rId141" Type="http://schemas.openxmlformats.org/officeDocument/2006/relationships/oleObject" Target="embeddings/oleObject56.bin"/><Relationship Id="rId146" Type="http://schemas.openxmlformats.org/officeDocument/2006/relationships/oleObject" Target="embeddings/oleObject59.bin"/><Relationship Id="rId7" Type="http://schemas.openxmlformats.org/officeDocument/2006/relationships/footnotes" Target="footnotes.xml"/><Relationship Id="rId71" Type="http://schemas.openxmlformats.org/officeDocument/2006/relationships/image" Target="media/image25.wmf"/><Relationship Id="rId92" Type="http://schemas.openxmlformats.org/officeDocument/2006/relationships/image" Target="media/image36.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baike.baidu.com/item/%E8%A1%8C%E6%94%BF%E6%9D%91/2125109" TargetMode="External"/><Relationship Id="rId40" Type="http://schemas.openxmlformats.org/officeDocument/2006/relationships/oleObject" Target="embeddings/oleObject6.bin"/><Relationship Id="rId45" Type="http://schemas.openxmlformats.org/officeDocument/2006/relationships/image" Target="media/image12.wmf"/><Relationship Id="rId66" Type="http://schemas.openxmlformats.org/officeDocument/2006/relationships/oleObject" Target="embeddings/oleObject19.bin"/><Relationship Id="rId87" Type="http://schemas.openxmlformats.org/officeDocument/2006/relationships/oleObject" Target="embeddings/oleObject29.bin"/><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image" Target="media/image47.wmf"/><Relationship Id="rId136" Type="http://schemas.openxmlformats.org/officeDocument/2006/relationships/oleObject" Target="embeddings/oleObject54.bin"/><Relationship Id="rId157" Type="http://schemas.openxmlformats.org/officeDocument/2006/relationships/image" Target="media/image62.jpeg"/><Relationship Id="rId61" Type="http://schemas.openxmlformats.org/officeDocument/2006/relationships/image" Target="media/image20.wmf"/><Relationship Id="rId82" Type="http://schemas.openxmlformats.org/officeDocument/2006/relationships/oleObject" Target="embeddings/oleObject27.bin"/><Relationship Id="rId152" Type="http://schemas.openxmlformats.org/officeDocument/2006/relationships/image" Target="media/image57.png"/><Relationship Id="rId19" Type="http://schemas.openxmlformats.org/officeDocument/2006/relationships/hyperlink" Target="https://baike.baidu.com/item/%E8%8C%83%E5%9D%A1%E9%95%87/3197446" TargetMode="External"/><Relationship Id="rId14" Type="http://schemas.openxmlformats.org/officeDocument/2006/relationships/hyperlink" Target="http://www.mee.gov.cn/ywgz/fgbz/bz/bzwb/wrfzjszc/201803/t20180329_433310.shtml" TargetMode="External"/><Relationship Id="rId30" Type="http://schemas.openxmlformats.org/officeDocument/2006/relationships/image" Target="media/image5.wmf"/><Relationship Id="rId35" Type="http://schemas.openxmlformats.org/officeDocument/2006/relationships/oleObject" Target="embeddings/oleObject3.bin"/><Relationship Id="rId56" Type="http://schemas.openxmlformats.org/officeDocument/2006/relationships/oleObject" Target="embeddings/oleObject14.bin"/><Relationship Id="rId77" Type="http://schemas.openxmlformats.org/officeDocument/2006/relationships/image" Target="media/image28.wmf"/><Relationship Id="rId100" Type="http://schemas.openxmlformats.org/officeDocument/2006/relationships/oleObject" Target="embeddings/oleObject37.bin"/><Relationship Id="rId105" Type="http://schemas.openxmlformats.org/officeDocument/2006/relationships/oleObject" Target="embeddings/oleObject41.bin"/><Relationship Id="rId126" Type="http://schemas.openxmlformats.org/officeDocument/2006/relationships/chart" Target="charts/chart4.xml"/><Relationship Id="rId147" Type="http://schemas.openxmlformats.org/officeDocument/2006/relationships/image" Target="media/image55.wmf"/><Relationship Id="rId8" Type="http://schemas.openxmlformats.org/officeDocument/2006/relationships/endnotes" Target="endnotes.xml"/><Relationship Id="rId51" Type="http://schemas.openxmlformats.org/officeDocument/2006/relationships/image" Target="media/image15.wmf"/><Relationship Id="rId72" Type="http://schemas.openxmlformats.org/officeDocument/2006/relationships/oleObject" Target="embeddings/oleObject22.bin"/><Relationship Id="rId93" Type="http://schemas.openxmlformats.org/officeDocument/2006/relationships/oleObject" Target="embeddings/oleObject32.bin"/><Relationship Id="rId98" Type="http://schemas.openxmlformats.org/officeDocument/2006/relationships/oleObject" Target="embeddings/oleObject36.bin"/><Relationship Id="rId121" Type="http://schemas.openxmlformats.org/officeDocument/2006/relationships/image" Target="media/image45.emf"/><Relationship Id="rId142" Type="http://schemas.openxmlformats.org/officeDocument/2006/relationships/oleObject" Target="embeddings/oleObject57.bin"/><Relationship Id="rId163" Type="http://schemas.microsoft.com/office/2007/relationships/stylesWithEffects" Target="stylesWithEffects.xml"/><Relationship Id="rId3" Type="http://schemas.openxmlformats.org/officeDocument/2006/relationships/numbering" Target="numbering.xml"/><Relationship Id="rId25" Type="http://schemas.openxmlformats.org/officeDocument/2006/relationships/image" Target="media/image3.jpeg"/><Relationship Id="rId46" Type="http://schemas.openxmlformats.org/officeDocument/2006/relationships/oleObject" Target="embeddings/oleObject9.bin"/><Relationship Id="rId67" Type="http://schemas.openxmlformats.org/officeDocument/2006/relationships/image" Target="media/image23.wmf"/><Relationship Id="rId116" Type="http://schemas.openxmlformats.org/officeDocument/2006/relationships/oleObject" Target="embeddings/oleObject49.bin"/><Relationship Id="rId137" Type="http://schemas.openxmlformats.org/officeDocument/2006/relationships/image" Target="media/image50.jpeg"/><Relationship Id="rId158" Type="http://schemas.openxmlformats.org/officeDocument/2006/relationships/image" Target="media/image63.png"/><Relationship Id="rId20" Type="http://schemas.openxmlformats.org/officeDocument/2006/relationships/hyperlink" Target="https://baike.baidu.com/item/%E7%A6%B9%E5%B7%9E" TargetMode="External"/><Relationship Id="rId41" Type="http://schemas.openxmlformats.org/officeDocument/2006/relationships/image" Target="media/image10.wmf"/><Relationship Id="rId62" Type="http://schemas.openxmlformats.org/officeDocument/2006/relationships/oleObject" Target="embeddings/oleObject17.bin"/><Relationship Id="rId83" Type="http://schemas.openxmlformats.org/officeDocument/2006/relationships/image" Target="media/image31.wmf"/><Relationship Id="rId88" Type="http://schemas.openxmlformats.org/officeDocument/2006/relationships/image" Target="media/image34.wmf"/><Relationship Id="rId111" Type="http://schemas.openxmlformats.org/officeDocument/2006/relationships/image" Target="media/image41.wmf"/><Relationship Id="rId132" Type="http://schemas.openxmlformats.org/officeDocument/2006/relationships/oleObject" Target="embeddings/oleObject52.bin"/><Relationship Id="rId153" Type="http://schemas.openxmlformats.org/officeDocument/2006/relationships/image" Target="media/image58.png"/></Relationships>
</file>

<file path=word/charts/_rels/chart1.xml.rels><?xml version="1.0" encoding="UTF-8" standalone="yes"?>
<Relationships xmlns="http://schemas.openxmlformats.org/package/2006/relationships"><Relationship Id="rId2" Type="http://schemas.openxmlformats.org/officeDocument/2006/relationships/oleObject" Target="file:///E:\&#29615;&#35780;&#24037;&#20855;\&#20108;&#32423;&#35780;&#20215;&#35299;&#26512;&#27861;2.xlsm"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29615;&#35780;&#24037;&#20855;\&#20108;&#32423;&#35780;&#20215;&#35299;&#26512;&#27861;2.xlsm"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2015&#24180;&#24037;&#20316;&#25991;&#20214;&#22841;\86&#12289;&#23433;&#38451;&#22825;&#20803;&#25253;&#24223;&#26426;&#21160;&#36710;&#22238;&#25910;&#25286;&#35299;&#26519;&#24030;&#20844;&#21496;\&#31161;&#24030;&#31070;&#28779;&#38534;&#24198;&#29028;&#30719;&#29615;&#35780;&#25253;&#21578;&#20070;\&#20108;&#20215;&#35299;&#26512;&#27861;&#65288;&#38534;&#24198;&#29028;&#30719;&#22320;&#19979;&#27700;&#39044;&#27979;&#65289;.xlsm"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2015&#24180;&#24037;&#20316;&#25991;&#20214;&#22841;\86&#12289;&#23433;&#38451;&#22825;&#20803;&#25253;&#24223;&#26426;&#21160;&#36710;&#22238;&#25910;&#25286;&#35299;&#26519;&#24030;&#20844;&#21496;\&#31161;&#24030;&#31070;&#28779;&#38534;&#24198;&#29028;&#30719;&#29615;&#35780;&#25253;&#21578;&#20070;\&#20108;&#20215;&#35299;&#26512;&#27861;&#65288;&#38534;&#24198;&#29028;&#30719;&#22320;&#19979;&#27700;&#39044;&#27979;&#65289;.xlsm"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2015&#24180;&#24037;&#20316;&#25991;&#20214;&#22841;\86&#12289;&#23433;&#38451;&#22825;&#20803;&#25253;&#24223;&#26426;&#21160;&#36710;&#22238;&#25910;&#25286;&#35299;&#26519;&#24030;&#20844;&#21496;\&#31161;&#24030;&#31070;&#28779;&#38534;&#24198;&#29028;&#30719;&#29615;&#35780;&#25253;&#21578;&#20070;\&#20108;&#20215;&#35299;&#26512;&#27861;&#65288;&#38534;&#24198;&#29028;&#30719;&#22320;&#19979;&#27700;&#39044;&#27979;&#65289;.xlsm"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2015&#24180;&#24037;&#20316;&#25991;&#20214;&#22841;\86&#12289;&#23433;&#38451;&#22825;&#20803;&#25253;&#24223;&#26426;&#21160;&#36710;&#22238;&#25910;&#25286;&#35299;&#26519;&#24030;&#20844;&#21496;\&#31161;&#24030;&#31070;&#28779;&#38534;&#24198;&#29028;&#30719;&#29615;&#35780;&#25253;&#21578;&#20070;\&#20108;&#20215;&#35299;&#26512;&#27861;&#65288;&#38534;&#24198;&#29028;&#30719;&#22320;&#19979;&#27700;&#39044;&#27979;&#65289;.xlsm"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2015&#24180;&#24037;&#20316;&#25991;&#20214;&#22841;\86&#12289;&#23433;&#38451;&#22825;&#20803;&#25253;&#24223;&#26426;&#21160;&#36710;&#22238;&#25910;&#25286;&#35299;&#26519;&#24030;&#20844;&#21496;\&#31161;&#24030;&#31070;&#28779;&#38534;&#24198;&#29028;&#30719;&#29615;&#35780;&#25253;&#21578;&#20070;\&#20108;&#20215;&#35299;&#26512;&#27861;&#65288;&#38534;&#24198;&#29028;&#30719;&#22320;&#19979;&#27700;&#39044;&#27979;&#65289;.xlsm"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2015&#24180;&#24037;&#20316;&#25991;&#20214;&#22841;\86&#12289;&#23433;&#38451;&#22825;&#20803;&#25253;&#24223;&#26426;&#21160;&#36710;&#22238;&#25910;&#25286;&#35299;&#26519;&#24030;&#20844;&#21496;\&#31161;&#24030;&#31070;&#28779;&#38534;&#24198;&#29028;&#30719;&#29615;&#35780;&#25253;&#21578;&#20070;\&#20108;&#20215;&#35299;&#26512;&#27861;&#65288;&#38534;&#24198;&#29028;&#30719;&#22320;&#19979;&#27700;&#39044;&#27979;&#65289;.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45467004485688"/>
          <c:y val="6.6971080669710789E-2"/>
          <c:w val="0.80601803387293258"/>
          <c:h val="0.70812785388127963"/>
        </c:manualLayout>
      </c:layout>
      <c:scatterChart>
        <c:scatterStyle val="smoothMarker"/>
        <c:ser>
          <c:idx val="1"/>
          <c:order val="0"/>
          <c:spPr>
            <a:ln w="19050" cap="rnd" cmpd="sng" algn="ctr">
              <a:solidFill>
                <a:prstClr val="black"/>
              </a:solidFill>
              <a:prstDash val="solid"/>
              <a:round/>
            </a:ln>
          </c:spPr>
          <c:marker>
            <c:symbol val="none"/>
          </c:marker>
          <c:xVal>
            <c:numRef>
              <c:f>Sheet2!$E$2:$E$100</c:f>
              <c:numCache>
                <c:formatCode>General</c:formatCode>
                <c:ptCount val="99"/>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c:v>
                </c:pt>
                <c:pt idx="81">
                  <c:v>163</c:v>
                </c:pt>
                <c:pt idx="82">
                  <c:v>165</c:v>
                </c:pt>
                <c:pt idx="83">
                  <c:v>167</c:v>
                </c:pt>
                <c:pt idx="84">
                  <c:v>169</c:v>
                </c:pt>
                <c:pt idx="85">
                  <c:v>171</c:v>
                </c:pt>
                <c:pt idx="86">
                  <c:v>173</c:v>
                </c:pt>
                <c:pt idx="87">
                  <c:v>175</c:v>
                </c:pt>
                <c:pt idx="88">
                  <c:v>177</c:v>
                </c:pt>
                <c:pt idx="89">
                  <c:v>179</c:v>
                </c:pt>
                <c:pt idx="90">
                  <c:v>181</c:v>
                </c:pt>
                <c:pt idx="91">
                  <c:v>183</c:v>
                </c:pt>
                <c:pt idx="92">
                  <c:v>185</c:v>
                </c:pt>
                <c:pt idx="93">
                  <c:v>187</c:v>
                </c:pt>
                <c:pt idx="94">
                  <c:v>189</c:v>
                </c:pt>
                <c:pt idx="95">
                  <c:v>191</c:v>
                </c:pt>
                <c:pt idx="96">
                  <c:v>193</c:v>
                </c:pt>
                <c:pt idx="97">
                  <c:v>195</c:v>
                </c:pt>
                <c:pt idx="98">
                  <c:v>197</c:v>
                </c:pt>
              </c:numCache>
            </c:numRef>
          </c:xVal>
          <c:yVal>
            <c:numRef>
              <c:f>Sheet2!$F$2:$F$100</c:f>
              <c:numCache>
                <c:formatCode>General</c:formatCode>
                <c:ptCount val="99"/>
                <c:pt idx="0">
                  <c:v>8.7314514538194805E-5</c:v>
                </c:pt>
                <c:pt idx="1">
                  <c:v>2.8690449509416612E-4</c:v>
                </c:pt>
                <c:pt idx="2">
                  <c:v>5.1905809208496701E-4</c:v>
                </c:pt>
                <c:pt idx="3">
                  <c:v>7.817611466200971E-4</c:v>
                </c:pt>
                <c:pt idx="4">
                  <c:v>1.0716398618357422E-3</c:v>
                </c:pt>
                <c:pt idx="5">
                  <c:v>1.3839792703544958E-3</c:v>
                </c:pt>
                <c:pt idx="6">
                  <c:v>1.7128173823306421E-3</c:v>
                </c:pt>
                <c:pt idx="7">
                  <c:v>2.0511152276284192E-3</c:v>
                </c:pt>
                <c:pt idx="8">
                  <c:v>2.3909974760413892E-3</c:v>
                </c:pt>
                <c:pt idx="9">
                  <c:v>2.7240528449858992E-3</c:v>
                </c:pt>
                <c:pt idx="10">
                  <c:v>3.0416785847192677E-3</c:v>
                </c:pt>
                <c:pt idx="11">
                  <c:v>3.3354494399405327E-3</c:v>
                </c:pt>
                <c:pt idx="12">
                  <c:v>3.5974890174497692E-3</c:v>
                </c:pt>
                <c:pt idx="13">
                  <c:v>3.8208207112462853E-3</c:v>
                </c:pt>
                <c:pt idx="14">
                  <c:v>3.9996763602161405E-3</c:v>
                </c:pt>
                <c:pt idx="15">
                  <c:v>4.1297435773499603E-3</c:v>
                </c:pt>
                <c:pt idx="16">
                  <c:v>4.2083369621742734E-3</c:v>
                </c:pt>
                <c:pt idx="17">
                  <c:v>4.2344838130985414E-3</c:v>
                </c:pt>
                <c:pt idx="18">
                  <c:v>4.2089210115134404E-3</c:v>
                </c:pt>
                <c:pt idx="19">
                  <c:v>4.1340059186067285E-3</c:v>
                </c:pt>
                <c:pt idx="20">
                  <c:v>4.0135498757730833E-3</c:v>
                </c:pt>
                <c:pt idx="21">
                  <c:v>3.8525877546675296E-3</c:v>
                </c:pt>
                <c:pt idx="22">
                  <c:v>3.6571005922534233E-3</c:v>
                </c:pt>
                <c:pt idx="23">
                  <c:v>3.4337104356843401E-3</c:v>
                </c:pt>
                <c:pt idx="24">
                  <c:v>3.1893670309016643E-3</c:v>
                </c:pt>
                <c:pt idx="25">
                  <c:v>2.9310449883545799E-3</c:v>
                </c:pt>
                <c:pt idx="26">
                  <c:v>2.6654677534812812E-3</c:v>
                </c:pt>
                <c:pt idx="27">
                  <c:v>2.3988714048489798E-3</c:v>
                </c:pt>
                <c:pt idx="28">
                  <c:v>2.1368173678540602E-3</c:v>
                </c:pt>
                <c:pt idx="29">
                  <c:v>1.8840589551040858E-3</c:v>
                </c:pt>
                <c:pt idx="30">
                  <c:v>1.6444625939074219E-3</c:v>
                </c:pt>
                <c:pt idx="31">
                  <c:v>1.4209809901188401E-3</c:v>
                </c:pt>
                <c:pt idx="32">
                  <c:v>1.2156725409838821E-3</c:v>
                </c:pt>
                <c:pt idx="33">
                  <c:v>1.0297591915235521E-3</c:v>
                </c:pt>
                <c:pt idx="34">
                  <c:v>8.6371368080881514E-4</c:v>
                </c:pt>
                <c:pt idx="35">
                  <c:v>7.1736671350697322E-4</c:v>
                </c:pt>
                <c:pt idx="36">
                  <c:v>5.9002491753127576E-4</c:v>
                </c:pt>
                <c:pt idx="37">
                  <c:v>4.80591362056543E-4</c:v>
                </c:pt>
                <c:pt idx="38">
                  <c:v>3.8768173758850402E-4</c:v>
                </c:pt>
                <c:pt idx="39">
                  <c:v>3.0973086254070778E-4</c:v>
                </c:pt>
                <c:pt idx="40">
                  <c:v>2.4508581320899101E-4</c:v>
                </c:pt>
                <c:pt idx="41">
                  <c:v>1.9208353647607199E-4</c:v>
                </c:pt>
                <c:pt idx="42">
                  <c:v>1.4911219126128799E-4</c:v>
                </c:pt>
                <c:pt idx="43">
                  <c:v>1.1465660666269388E-4</c:v>
                </c:pt>
                <c:pt idx="44">
                  <c:v>8.732910830802042E-5</c:v>
                </c:pt>
                <c:pt idx="45">
                  <c:v>6.5887546775281913E-5</c:v>
                </c:pt>
                <c:pt idx="46">
                  <c:v>4.9242684287080247E-5</c:v>
                </c:pt>
                <c:pt idx="47">
                  <c:v>3.6457196025971497E-5</c:v>
                </c:pt>
                <c:pt idx="48">
                  <c:v>2.6738467355294852E-5</c:v>
                </c:pt>
                <c:pt idx="49">
                  <c:v>1.9427167661801572E-5</c:v>
                </c:pt>
                <c:pt idx="50">
                  <c:v>1.3983302730862437E-5</c:v>
                </c:pt>
                <c:pt idx="51">
                  <c:v>9.9711317703368768E-6</c:v>
                </c:pt>
                <c:pt idx="52">
                  <c:v>7.0440155783993898E-6</c:v>
                </c:pt>
                <c:pt idx="53">
                  <c:v>4.9299632501985789E-6</c:v>
                </c:pt>
                <c:pt idx="54">
                  <c:v>3.4183820810847345E-6</c:v>
                </c:pt>
                <c:pt idx="55">
                  <c:v>2.3483173253424195E-6</c:v>
                </c:pt>
                <c:pt idx="56">
                  <c:v>1.5982975614832799E-6</c:v>
                </c:pt>
                <c:pt idx="57">
                  <c:v>1.0777755165468313E-6</c:v>
                </c:pt>
                <c:pt idx="58">
                  <c:v>7.2006832398743127E-7</c:v>
                </c:pt>
                <c:pt idx="59">
                  <c:v>4.7664876755789994E-7</c:v>
                </c:pt>
                <c:pt idx="60">
                  <c:v>3.1261301609651244E-7</c:v>
                </c:pt>
                <c:pt idx="61">
                  <c:v>2.031438540275515E-7</c:v>
                </c:pt>
                <c:pt idx="62">
                  <c:v>1.3079538209482514E-7</c:v>
                </c:pt>
                <c:pt idx="63">
                  <c:v>8.3440537082924063E-8</c:v>
                </c:pt>
                <c:pt idx="64">
                  <c:v>5.2742586543507682E-8</c:v>
                </c:pt>
                <c:pt idx="65">
                  <c:v>3.3033070975826905E-8</c:v>
                </c:pt>
                <c:pt idx="66">
                  <c:v>2.0499490262943225E-8</c:v>
                </c:pt>
                <c:pt idx="67">
                  <c:v>1.2605120821529303E-8</c:v>
                </c:pt>
                <c:pt idx="68">
                  <c:v>7.6800478580853244E-9</c:v>
                </c:pt>
                <c:pt idx="69">
                  <c:v>4.6365698206198911E-9</c:v>
                </c:pt>
                <c:pt idx="70">
                  <c:v>2.7736300385399007E-9</c:v>
                </c:pt>
                <c:pt idx="71">
                  <c:v>1.6440759937837269E-9</c:v>
                </c:pt>
                <c:pt idx="72">
                  <c:v>9.6564955972091358E-10</c:v>
                </c:pt>
                <c:pt idx="73">
                  <c:v>5.6201005692123931E-10</c:v>
                </c:pt>
                <c:pt idx="74">
                  <c:v>3.2411415340645189E-10</c:v>
                </c:pt>
                <c:pt idx="75">
                  <c:v>1.8521820668833904E-10</c:v>
                </c:pt>
                <c:pt idx="76">
                  <c:v>1.0488259953398563E-10</c:v>
                </c:pt>
                <c:pt idx="77">
                  <c:v>5.8851771773505719E-11</c:v>
                </c:pt>
                <c:pt idx="78">
                  <c:v>3.2723077563047461E-11</c:v>
                </c:pt>
                <c:pt idx="79">
                  <c:v>1.8029734919035488E-11</c:v>
                </c:pt>
                <c:pt idx="80">
                  <c:v>9.8438996018558854E-12</c:v>
                </c:pt>
                <c:pt idx="81">
                  <c:v>5.3258584022853348E-12</c:v>
                </c:pt>
                <c:pt idx="82">
                  <c:v>2.8553448978709529E-12</c:v>
                </c:pt>
                <c:pt idx="83">
                  <c:v>1.5169662117633922E-12</c:v>
                </c:pt>
                <c:pt idx="84">
                  <c:v>7.9862595135282177E-13</c:v>
                </c:pt>
                <c:pt idx="85">
                  <c:v>4.1664181924637548E-13</c:v>
                </c:pt>
                <c:pt idx="86">
                  <c:v>2.1539515604161509E-13</c:v>
                </c:pt>
                <c:pt idx="87">
                  <c:v>1.1034795684690328E-13</c:v>
                </c:pt>
                <c:pt idx="88">
                  <c:v>5.6020833290552749E-14</c:v>
                </c:pt>
                <c:pt idx="89">
                  <c:v>2.8183395067179764E-14</c:v>
                </c:pt>
                <c:pt idx="90">
                  <c:v>1.405067085016027E-14</c:v>
                </c:pt>
                <c:pt idx="91">
                  <c:v>6.9416436150132149E-15</c:v>
                </c:pt>
                <c:pt idx="92">
                  <c:v>3.3985254373985652E-15</c:v>
                </c:pt>
                <c:pt idx="93">
                  <c:v>1.6488574768725495E-15</c:v>
                </c:pt>
                <c:pt idx="94">
                  <c:v>7.9275954857346473E-16</c:v>
                </c:pt>
                <c:pt idx="95">
                  <c:v>3.7771738453430931E-16</c:v>
                </c:pt>
                <c:pt idx="96">
                  <c:v>1.7834499316297346E-16</c:v>
                </c:pt>
                <c:pt idx="97">
                  <c:v>8.3449669883813771E-17</c:v>
                </c:pt>
                <c:pt idx="98">
                  <c:v>3.8695400731004584E-17</c:v>
                </c:pt>
              </c:numCache>
            </c:numRef>
          </c:yVal>
          <c:smooth val="1"/>
        </c:ser>
        <c:axId val="96626944"/>
        <c:axId val="97682944"/>
      </c:scatterChart>
      <c:valAx>
        <c:axId val="96626944"/>
        <c:scaling>
          <c:orientation val="minMax"/>
        </c:scaling>
        <c:axPos val="b"/>
        <c:title>
          <c:tx>
            <c:rich>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r>
                  <a:rPr lang="zh-CN"/>
                  <a:t>距离（</a:t>
                </a:r>
                <a:r>
                  <a:rPr lang="en-US"/>
                  <a:t>m</a:t>
                </a:r>
                <a:r>
                  <a:rPr lang="zh-CN"/>
                  <a:t>）</a:t>
                </a:r>
              </a:p>
            </c:rich>
          </c:tx>
        </c:title>
        <c:numFmt formatCode="General" sourceLinked="1"/>
        <c:majorTickMark val="in"/>
        <c:tickLblPos val="nextTo"/>
        <c:spPr>
          <a:ln w="9525" cap="flat" cmpd="sng" algn="ctr">
            <a:solidFill>
              <a:prstClr val="black"/>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97682944"/>
        <c:crosses val="autoZero"/>
        <c:crossBetween val="midCat"/>
      </c:valAx>
      <c:valAx>
        <c:axId val="97682944"/>
        <c:scaling>
          <c:orientation val="minMax"/>
          <c:min val="0"/>
        </c:scaling>
        <c:axPos val="l"/>
        <c:title>
          <c:tx>
            <c:rich>
              <a:bodyPr rot="-54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r>
                  <a:rPr lang="zh-CN" altLang="en-US"/>
                  <a:t>锌</a:t>
                </a:r>
                <a:r>
                  <a:rPr lang="zh-CN"/>
                  <a:t>浓度（</a:t>
                </a:r>
                <a:r>
                  <a:rPr lang="en-US"/>
                  <a:t>mg/L</a:t>
                </a:r>
                <a:r>
                  <a:rPr lang="zh-CN"/>
                  <a:t>）</a:t>
                </a:r>
              </a:p>
            </c:rich>
          </c:tx>
        </c:title>
        <c:numFmt formatCode="General" sourceLinked="1"/>
        <c:majorTickMark val="in"/>
        <c:tickLblPos val="nextTo"/>
        <c:spPr>
          <a:ln w="9525" cap="flat" cmpd="sng" algn="ctr">
            <a:solidFill>
              <a:prstClr val="black"/>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96626944"/>
        <c:crosses val="autoZero"/>
        <c:crossBetween val="midCat"/>
      </c:valAx>
      <c:spPr>
        <a:ln>
          <a:solidFill>
            <a:prstClr val="black"/>
          </a:solidFill>
        </a:ln>
      </c:spPr>
    </c:plotArea>
    <c:plotVisOnly val="1"/>
    <c:dispBlanksAs val="gap"/>
  </c:chart>
  <c:spPr>
    <a:ln w="9525" cap="flat" cmpd="sng" algn="ctr">
      <a:noFill/>
      <a:prstDash val="solid"/>
      <a:round/>
    </a:ln>
  </c:spPr>
  <c:txPr>
    <a:bodyPr/>
    <a:lstStyle/>
    <a:p>
      <a:pPr>
        <a:defRPr lang="zh-CN" b="0">
          <a:latin typeface="Times New Roman" panose="02020603050405020304" charset="0"/>
          <a:cs typeface="Times New Roman" panose="02020603050405020304" charset="0"/>
        </a:defRPr>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45467004485688"/>
          <c:y val="6.6971080669710789E-2"/>
          <c:w val="0.77930689381690399"/>
          <c:h val="0.70812785388127963"/>
        </c:manualLayout>
      </c:layout>
      <c:scatterChart>
        <c:scatterStyle val="smoothMarker"/>
        <c:ser>
          <c:idx val="1"/>
          <c:order val="0"/>
          <c:spPr>
            <a:ln w="19050" cap="rnd" cmpd="sng" algn="ctr">
              <a:solidFill>
                <a:prstClr val="black"/>
              </a:solidFill>
              <a:prstDash val="solid"/>
              <a:round/>
            </a:ln>
          </c:spPr>
          <c:marker>
            <c:symbol val="none"/>
          </c:marker>
          <c:xVal>
            <c:numRef>
              <c:f>Sheet2!$I$2:$I$260</c:f>
              <c:numCache>
                <c:formatCode>General</c:formatCode>
                <c:ptCount val="259"/>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c:v>
                </c:pt>
                <c:pt idx="81">
                  <c:v>163</c:v>
                </c:pt>
                <c:pt idx="82">
                  <c:v>165</c:v>
                </c:pt>
                <c:pt idx="83">
                  <c:v>167</c:v>
                </c:pt>
                <c:pt idx="84">
                  <c:v>169</c:v>
                </c:pt>
                <c:pt idx="85">
                  <c:v>171</c:v>
                </c:pt>
                <c:pt idx="86">
                  <c:v>173</c:v>
                </c:pt>
                <c:pt idx="87">
                  <c:v>175</c:v>
                </c:pt>
                <c:pt idx="88">
                  <c:v>177</c:v>
                </c:pt>
                <c:pt idx="89">
                  <c:v>179</c:v>
                </c:pt>
                <c:pt idx="90">
                  <c:v>181</c:v>
                </c:pt>
                <c:pt idx="91">
                  <c:v>183</c:v>
                </c:pt>
                <c:pt idx="92">
                  <c:v>185</c:v>
                </c:pt>
                <c:pt idx="93">
                  <c:v>187</c:v>
                </c:pt>
                <c:pt idx="94">
                  <c:v>189</c:v>
                </c:pt>
                <c:pt idx="95">
                  <c:v>191</c:v>
                </c:pt>
                <c:pt idx="96">
                  <c:v>193</c:v>
                </c:pt>
                <c:pt idx="97">
                  <c:v>195</c:v>
                </c:pt>
                <c:pt idx="98">
                  <c:v>197</c:v>
                </c:pt>
                <c:pt idx="99">
                  <c:v>199</c:v>
                </c:pt>
                <c:pt idx="100">
                  <c:v>201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323</c:v>
                </c:pt>
                <c:pt idx="162">
                  <c:v>325</c:v>
                </c:pt>
                <c:pt idx="163">
                  <c:v>327</c:v>
                </c:pt>
                <c:pt idx="164">
                  <c:v>329</c:v>
                </c:pt>
                <c:pt idx="165">
                  <c:v>331</c:v>
                </c:pt>
                <c:pt idx="166">
                  <c:v>333</c:v>
                </c:pt>
                <c:pt idx="167">
                  <c:v>335</c:v>
                </c:pt>
                <c:pt idx="168">
                  <c:v>337</c:v>
                </c:pt>
                <c:pt idx="169">
                  <c:v>339</c:v>
                </c:pt>
                <c:pt idx="170">
                  <c:v>341</c:v>
                </c:pt>
                <c:pt idx="171">
                  <c:v>343</c:v>
                </c:pt>
                <c:pt idx="172">
                  <c:v>345</c:v>
                </c:pt>
                <c:pt idx="173">
                  <c:v>347</c:v>
                </c:pt>
                <c:pt idx="174">
                  <c:v>349</c:v>
                </c:pt>
                <c:pt idx="175">
                  <c:v>351</c:v>
                </c:pt>
                <c:pt idx="176">
                  <c:v>353</c:v>
                </c:pt>
                <c:pt idx="177">
                  <c:v>355</c:v>
                </c:pt>
                <c:pt idx="178">
                  <c:v>357</c:v>
                </c:pt>
                <c:pt idx="179">
                  <c:v>359</c:v>
                </c:pt>
                <c:pt idx="180">
                  <c:v>361</c:v>
                </c:pt>
                <c:pt idx="181">
                  <c:v>363</c:v>
                </c:pt>
                <c:pt idx="182">
                  <c:v>365</c:v>
                </c:pt>
                <c:pt idx="183">
                  <c:v>367</c:v>
                </c:pt>
                <c:pt idx="184">
                  <c:v>369</c:v>
                </c:pt>
                <c:pt idx="185">
                  <c:v>371</c:v>
                </c:pt>
                <c:pt idx="186">
                  <c:v>373</c:v>
                </c:pt>
                <c:pt idx="187">
                  <c:v>375</c:v>
                </c:pt>
                <c:pt idx="188">
                  <c:v>377</c:v>
                </c:pt>
                <c:pt idx="189">
                  <c:v>379</c:v>
                </c:pt>
                <c:pt idx="190">
                  <c:v>381</c:v>
                </c:pt>
                <c:pt idx="191">
                  <c:v>383</c:v>
                </c:pt>
                <c:pt idx="192">
                  <c:v>385</c:v>
                </c:pt>
                <c:pt idx="193">
                  <c:v>387</c:v>
                </c:pt>
                <c:pt idx="194">
                  <c:v>389</c:v>
                </c:pt>
                <c:pt idx="195">
                  <c:v>391</c:v>
                </c:pt>
                <c:pt idx="196">
                  <c:v>393</c:v>
                </c:pt>
                <c:pt idx="197">
                  <c:v>395</c:v>
                </c:pt>
                <c:pt idx="198">
                  <c:v>397</c:v>
                </c:pt>
                <c:pt idx="199">
                  <c:v>399</c:v>
                </c:pt>
                <c:pt idx="200">
                  <c:v>401</c:v>
                </c:pt>
                <c:pt idx="201">
                  <c:v>403</c:v>
                </c:pt>
                <c:pt idx="202">
                  <c:v>405</c:v>
                </c:pt>
                <c:pt idx="203">
                  <c:v>407</c:v>
                </c:pt>
                <c:pt idx="204">
                  <c:v>409</c:v>
                </c:pt>
                <c:pt idx="205">
                  <c:v>411</c:v>
                </c:pt>
                <c:pt idx="206">
                  <c:v>413</c:v>
                </c:pt>
                <c:pt idx="207">
                  <c:v>415</c:v>
                </c:pt>
                <c:pt idx="208">
                  <c:v>417</c:v>
                </c:pt>
                <c:pt idx="209">
                  <c:v>419</c:v>
                </c:pt>
                <c:pt idx="210">
                  <c:v>421</c:v>
                </c:pt>
                <c:pt idx="211">
                  <c:v>423</c:v>
                </c:pt>
                <c:pt idx="212">
                  <c:v>425</c:v>
                </c:pt>
                <c:pt idx="213">
                  <c:v>427</c:v>
                </c:pt>
                <c:pt idx="214">
                  <c:v>429</c:v>
                </c:pt>
                <c:pt idx="215">
                  <c:v>431</c:v>
                </c:pt>
                <c:pt idx="216">
                  <c:v>433</c:v>
                </c:pt>
                <c:pt idx="217">
                  <c:v>435</c:v>
                </c:pt>
                <c:pt idx="218">
                  <c:v>437</c:v>
                </c:pt>
                <c:pt idx="219">
                  <c:v>439</c:v>
                </c:pt>
                <c:pt idx="220">
                  <c:v>441</c:v>
                </c:pt>
                <c:pt idx="221">
                  <c:v>443</c:v>
                </c:pt>
                <c:pt idx="222">
                  <c:v>445</c:v>
                </c:pt>
                <c:pt idx="223">
                  <c:v>447</c:v>
                </c:pt>
                <c:pt idx="224">
                  <c:v>449</c:v>
                </c:pt>
                <c:pt idx="225">
                  <c:v>451</c:v>
                </c:pt>
                <c:pt idx="226">
                  <c:v>453</c:v>
                </c:pt>
                <c:pt idx="227">
                  <c:v>455</c:v>
                </c:pt>
                <c:pt idx="228">
                  <c:v>457</c:v>
                </c:pt>
                <c:pt idx="229">
                  <c:v>459</c:v>
                </c:pt>
                <c:pt idx="230">
                  <c:v>461</c:v>
                </c:pt>
                <c:pt idx="231">
                  <c:v>463</c:v>
                </c:pt>
                <c:pt idx="232">
                  <c:v>465</c:v>
                </c:pt>
                <c:pt idx="233">
                  <c:v>467</c:v>
                </c:pt>
                <c:pt idx="234">
                  <c:v>469</c:v>
                </c:pt>
                <c:pt idx="235">
                  <c:v>471</c:v>
                </c:pt>
                <c:pt idx="236">
                  <c:v>473</c:v>
                </c:pt>
                <c:pt idx="237">
                  <c:v>475</c:v>
                </c:pt>
                <c:pt idx="238">
                  <c:v>477</c:v>
                </c:pt>
                <c:pt idx="239">
                  <c:v>479</c:v>
                </c:pt>
                <c:pt idx="240">
                  <c:v>481</c:v>
                </c:pt>
                <c:pt idx="241">
                  <c:v>483</c:v>
                </c:pt>
                <c:pt idx="242">
                  <c:v>485</c:v>
                </c:pt>
                <c:pt idx="243">
                  <c:v>487</c:v>
                </c:pt>
                <c:pt idx="244">
                  <c:v>489</c:v>
                </c:pt>
                <c:pt idx="245">
                  <c:v>491</c:v>
                </c:pt>
                <c:pt idx="246">
                  <c:v>493</c:v>
                </c:pt>
                <c:pt idx="247">
                  <c:v>495</c:v>
                </c:pt>
                <c:pt idx="248">
                  <c:v>497</c:v>
                </c:pt>
                <c:pt idx="249">
                  <c:v>499</c:v>
                </c:pt>
                <c:pt idx="250">
                  <c:v>501</c:v>
                </c:pt>
                <c:pt idx="251">
                  <c:v>503</c:v>
                </c:pt>
                <c:pt idx="252">
                  <c:v>505</c:v>
                </c:pt>
                <c:pt idx="253">
                  <c:v>507</c:v>
                </c:pt>
                <c:pt idx="254">
                  <c:v>509</c:v>
                </c:pt>
                <c:pt idx="255">
                  <c:v>511</c:v>
                </c:pt>
                <c:pt idx="256">
                  <c:v>513</c:v>
                </c:pt>
                <c:pt idx="257">
                  <c:v>515</c:v>
                </c:pt>
                <c:pt idx="258">
                  <c:v>517</c:v>
                </c:pt>
              </c:numCache>
            </c:numRef>
          </c:xVal>
          <c:yVal>
            <c:numRef>
              <c:f>Sheet2!$J$2:$J$260</c:f>
              <c:numCache>
                <c:formatCode>General</c:formatCode>
                <c:ptCount val="259"/>
                <c:pt idx="0">
                  <c:v>8.1391697670518692E-7</c:v>
                </c:pt>
                <c:pt idx="1">
                  <c:v>2.6937493220469605E-6</c:v>
                </c:pt>
                <c:pt idx="2">
                  <c:v>4.9441098598501933E-6</c:v>
                </c:pt>
                <c:pt idx="3">
                  <c:v>7.6089494832066974E-6</c:v>
                </c:pt>
                <c:pt idx="4">
                  <c:v>1.0735050483823303E-5</c:v>
                </c:pt>
                <c:pt idx="5">
                  <c:v>1.4371945314062475E-5</c:v>
                </c:pt>
                <c:pt idx="6">
                  <c:v>1.8571794975386161E-5</c:v>
                </c:pt>
                <c:pt idx="7">
                  <c:v>2.33892239943079E-5</c:v>
                </c:pt>
                <c:pt idx="8">
                  <c:v>2.888110925408663E-5</c:v>
                </c:pt>
                <c:pt idx="9">
                  <c:v>3.5106320342703812E-5</c:v>
                </c:pt>
                <c:pt idx="10">
                  <c:v>4.2125409536186824E-5</c:v>
                </c:pt>
                <c:pt idx="11">
                  <c:v>5.0000250096216735E-5</c:v>
                </c:pt>
                <c:pt idx="12">
                  <c:v>5.8793622173814758E-5</c:v>
                </c:pt>
                <c:pt idx="13">
                  <c:v>6.8568746320329902E-5</c:v>
                </c:pt>
                <c:pt idx="14">
                  <c:v>7.9388765368782518E-5</c:v>
                </c:pt>
                <c:pt idx="15">
                  <c:v>9.1316176279055024E-5</c:v>
                </c:pt>
                <c:pt idx="16">
                  <c:v>1.0441221442203556E-4</c:v>
                </c:pt>
                <c:pt idx="17">
                  <c:v>1.1873619369301536E-4</c:v>
                </c:pt>
                <c:pt idx="18">
                  <c:v>1.3434480679569557E-4</c:v>
                </c:pt>
                <c:pt idx="19">
                  <c:v>1.5129139099196072E-4</c:v>
                </c:pt>
                <c:pt idx="20">
                  <c:v>1.6962516556601328E-4</c:v>
                </c:pt>
                <c:pt idx="21">
                  <c:v>1.8939044818422446E-4</c:v>
                </c:pt>
                <c:pt idx="22">
                  <c:v>2.1062585821468601E-4</c:v>
                </c:pt>
                <c:pt idx="23">
                  <c:v>2.3336351590447197E-4</c:v>
                </c:pt>
                <c:pt idx="24">
                  <c:v>2.5762824705388677E-4</c:v>
                </c:pt>
                <c:pt idx="25">
                  <c:v>2.8343680347903106E-4</c:v>
                </c:pt>
                <c:pt idx="26">
                  <c:v>3.1079711007742485E-4</c:v>
                </c:pt>
                <c:pt idx="27">
                  <c:v>3.3970754970491502E-4</c:v>
                </c:pt>
                <c:pt idx="28">
                  <c:v>3.7015629730880015E-4</c:v>
                </c:pt>
                <c:pt idx="29">
                  <c:v>4.0212071483014522E-4</c:v>
                </c:pt>
                <c:pt idx="30">
                  <c:v>4.3556681827884163E-4</c:v>
                </c:pt>
                <c:pt idx="31">
                  <c:v>4.7044882808094902E-4</c:v>
                </c:pt>
                <c:pt idx="32">
                  <c:v>5.0670881330555596E-4</c:v>
                </c:pt>
                <c:pt idx="33">
                  <c:v>5.4427643967637008E-4</c:v>
                </c:pt>
                <c:pt idx="34">
                  <c:v>5.8306883038506644E-4</c:v>
                </c:pt>
                <c:pt idx="35">
                  <c:v>6.2299054763525997E-4</c:v>
                </c:pt>
                <c:pt idx="36">
                  <c:v>6.63933701573202E-4</c:v>
                </c:pt>
                <c:pt idx="37">
                  <c:v>7.0577819182615598E-4</c:v>
                </c:pt>
                <c:pt idx="38">
                  <c:v>7.4839208526750504E-4</c:v>
                </c:pt>
                <c:pt idx="39">
                  <c:v>7.9163213190648293E-4</c:v>
                </c:pt>
                <c:pt idx="40">
                  <c:v>8.3534441896123172E-4</c:v>
                </c:pt>
                <c:pt idx="41">
                  <c:v>8.7936516125675243E-4</c:v>
                </c:pt>
                <c:pt idx="42">
                  <c:v>9.2352162412357027E-4</c:v>
                </c:pt>
                <c:pt idx="43">
                  <c:v>9.6763317298848028E-4</c:v>
                </c:pt>
                <c:pt idx="44">
                  <c:v>1.0115124418759221E-3</c:v>
                </c:pt>
                <c:pt idx="45">
                  <c:v>1.0549666111258598E-3</c:v>
                </c:pt>
                <c:pt idx="46">
                  <c:v>1.0977987827999198E-3</c:v>
                </c:pt>
                <c:pt idx="47">
                  <c:v>1.1398094405369321E-3</c:v>
                </c:pt>
                <c:pt idx="48">
                  <c:v>1.1807979790694029E-3</c:v>
                </c:pt>
                <c:pt idx="49">
                  <c:v>1.2205642872374256E-3</c:v>
                </c:pt>
                <c:pt idx="50">
                  <c:v>1.2589103671875601E-3</c:v>
                </c:pt>
                <c:pt idx="51">
                  <c:v>1.2956419715313813E-3</c:v>
                </c:pt>
                <c:pt idx="52">
                  <c:v>1.3305702395854141E-3</c:v>
                </c:pt>
                <c:pt idx="53">
                  <c:v>1.3635133134437907E-3</c:v>
                </c:pt>
                <c:pt idx="54">
                  <c:v>1.3942979145526088E-3</c:v>
                </c:pt>
                <c:pt idx="55">
                  <c:v>1.4227608616694501E-3</c:v>
                </c:pt>
                <c:pt idx="56">
                  <c:v>1.4487505116072932E-3</c:v>
                </c:pt>
                <c:pt idx="57">
                  <c:v>1.472128104960044E-3</c:v>
                </c:pt>
                <c:pt idx="58">
                  <c:v>1.49276900010592E-3</c:v>
                </c:pt>
                <c:pt idx="59">
                  <c:v>1.5105637801308999E-3</c:v>
                </c:pt>
                <c:pt idx="60">
                  <c:v>1.5254192189180201E-3</c:v>
                </c:pt>
                <c:pt idx="61">
                  <c:v>1.5372590944692061E-3</c:v>
                </c:pt>
                <c:pt idx="62">
                  <c:v>1.5460248395320641E-3</c:v>
                </c:pt>
                <c:pt idx="63">
                  <c:v>1.5516760217748901E-3</c:v>
                </c:pt>
                <c:pt idx="64">
                  <c:v>1.5541906480294198E-3</c:v>
                </c:pt>
                <c:pt idx="65">
                  <c:v>1.5535652894900799E-3</c:v>
                </c:pt>
                <c:pt idx="66">
                  <c:v>1.5498150271588225E-3</c:v>
                </c:pt>
                <c:pt idx="67">
                  <c:v>1.5429732192257521E-3</c:v>
                </c:pt>
                <c:pt idx="68">
                  <c:v>1.5330910944337521E-3</c:v>
                </c:pt>
                <c:pt idx="69">
                  <c:v>1.520237177753143E-3</c:v>
                </c:pt>
                <c:pt idx="70">
                  <c:v>1.5044965568479021E-3</c:v>
                </c:pt>
                <c:pt idx="71">
                  <c:v>1.4859699998162241E-3</c:v>
                </c:pt>
                <c:pt idx="72">
                  <c:v>1.4647729365051914E-3</c:v>
                </c:pt>
                <c:pt idx="73">
                  <c:v>1.4410343172994449E-3</c:v>
                </c:pt>
                <c:pt idx="74">
                  <c:v>1.4148953646475541E-3</c:v>
                </c:pt>
                <c:pt idx="75">
                  <c:v>1.3865082336974701E-3</c:v>
                </c:pt>
                <c:pt idx="76">
                  <c:v>1.3560345992526541E-3</c:v>
                </c:pt>
                <c:pt idx="77">
                  <c:v>1.3236441868201599E-3</c:v>
                </c:pt>
                <c:pt idx="78">
                  <c:v>1.2895132658063441E-3</c:v>
                </c:pt>
                <c:pt idx="79">
                  <c:v>1.2538231229199299E-3</c:v>
                </c:pt>
                <c:pt idx="80">
                  <c:v>1.2167585335758947E-3</c:v>
                </c:pt>
                <c:pt idx="81">
                  <c:v>1.1785062485791501E-3</c:v>
                </c:pt>
                <c:pt idx="82">
                  <c:v>1.1392535125953301E-3</c:v>
                </c:pt>
                <c:pt idx="83">
                  <c:v>1.0991866299453236E-3</c:v>
                </c:pt>
                <c:pt idx="84">
                  <c:v>1.058489592077E-3</c:v>
                </c:pt>
                <c:pt idx="85">
                  <c:v>1.0173427797259501E-3</c:v>
                </c:pt>
                <c:pt idx="86">
                  <c:v>9.7592175129059737E-4</c:v>
                </c:pt>
                <c:pt idx="87">
                  <c:v>9.3439612735300042E-4</c:v>
                </c:pt>
                <c:pt idx="88">
                  <c:v>8.9292857960227912E-4</c:v>
                </c:pt>
                <c:pt idx="89">
                  <c:v>8.5167393069937385E-4</c:v>
                </c:pt>
                <c:pt idx="90">
                  <c:v>8.1077836987813632E-4</c:v>
                </c:pt>
                <c:pt idx="91">
                  <c:v>7.7037878736039124E-4</c:v>
                </c:pt>
                <c:pt idx="92">
                  <c:v>7.3060222896826374E-4</c:v>
                </c:pt>
                <c:pt idx="93">
                  <c:v>6.9156547070570434E-4</c:v>
                </c:pt>
                <c:pt idx="94">
                  <c:v>6.533747115445651E-4</c:v>
                </c:pt>
                <c:pt idx="95">
                  <c:v>6.1612538123424038E-4</c:v>
                </c:pt>
                <c:pt idx="96">
                  <c:v>5.7990205865626038E-4</c:v>
                </c:pt>
                <c:pt idx="97">
                  <c:v>5.44778495093851E-4</c:v>
                </c:pt>
                <c:pt idx="98">
                  <c:v>5.1081773578160296E-4</c:v>
                </c:pt>
                <c:pt idx="99">
                  <c:v>4.7807233225736747E-4</c:v>
                </c:pt>
                <c:pt idx="100">
                  <c:v>4.4658463735495823E-4</c:v>
                </c:pt>
                <c:pt idx="101">
                  <c:v>4.1638717415738523E-4</c:v>
                </c:pt>
                <c:pt idx="102">
                  <c:v>3.8750306986990812E-4</c:v>
                </c:pt>
                <c:pt idx="103">
                  <c:v>3.5994654537033698E-4</c:v>
                </c:pt>
                <c:pt idx="104">
                  <c:v>3.337234511361604E-4</c:v>
                </c:pt>
                <c:pt idx="105">
                  <c:v>3.0883184033302102E-4</c:v>
                </c:pt>
                <c:pt idx="106">
                  <c:v>2.8526257005664202E-4</c:v>
                </c:pt>
                <c:pt idx="107">
                  <c:v>2.6299992204604318E-4</c:v>
                </c:pt>
                <c:pt idx="108">
                  <c:v>2.4202223460889654E-4</c:v>
                </c:pt>
                <c:pt idx="109">
                  <c:v>2.2230253801002532E-4</c:v>
                </c:pt>
                <c:pt idx="110">
                  <c:v>2.0380918615446221E-4</c:v>
                </c:pt>
                <c:pt idx="111">
                  <c:v>1.8650647803207401E-4</c:v>
                </c:pt>
                <c:pt idx="112">
                  <c:v>1.7035526306787694E-4</c:v>
                </c:pt>
                <c:pt idx="113">
                  <c:v>1.5531352522420299E-4</c:v>
                </c:pt>
                <c:pt idx="114">
                  <c:v>1.41336941418078E-4</c:v>
                </c:pt>
                <c:pt idx="115">
                  <c:v>1.28379410531606E-4</c:v>
                </c:pt>
                <c:pt idx="116">
                  <c:v>1.16393549999509E-4</c:v>
                </c:pt>
                <c:pt idx="117">
                  <c:v>1.0533115763986245E-4</c:v>
                </c:pt>
                <c:pt idx="118">
                  <c:v>9.5143637048183513E-5</c:v>
                </c:pt>
                <c:pt idx="119">
                  <c:v>8.5782385488743546E-5</c:v>
                </c:pt>
                <c:pt idx="120">
                  <c:v>7.71991437886028E-5</c:v>
                </c:pt>
                <c:pt idx="121">
                  <c:v>6.9346308261012104E-5</c:v>
                </c:pt>
                <c:pt idx="122">
                  <c:v>6.2177205154443968E-5</c:v>
                </c:pt>
                <c:pt idx="123">
                  <c:v>5.5646328538310423E-5</c:v>
                </c:pt>
                <c:pt idx="124">
                  <c:v>4.9709542895470524E-5</c:v>
                </c:pt>
                <c:pt idx="125">
                  <c:v>4.432425199553138E-5</c:v>
                </c:pt>
                <c:pt idx="126">
                  <c:v>3.9449535872008877E-5</c:v>
                </c:pt>
                <c:pt idx="127">
                  <c:v>3.504625792323697E-5</c:v>
                </c:pt>
                <c:pt idx="128">
                  <c:v>3.1077144303630501E-5</c:v>
                </c:pt>
                <c:pt idx="129">
                  <c:v>2.7506837871783989E-5</c:v>
                </c:pt>
                <c:pt idx="130">
                  <c:v>2.4301929018968216E-5</c:v>
                </c:pt>
                <c:pt idx="131">
                  <c:v>2.1430965719155275E-5</c:v>
                </c:pt>
                <c:pt idx="132">
                  <c:v>1.8864445124814149E-5</c:v>
                </c:pt>
                <c:pt idx="133">
                  <c:v>1.6574788984923961E-5</c:v>
                </c:pt>
                <c:pt idx="134">
                  <c:v>1.4536305087988736E-5</c:v>
                </c:pt>
                <c:pt idx="135">
                  <c:v>1.2725136837065387E-5</c:v>
                </c:pt>
                <c:pt idx="136">
                  <c:v>1.1119202950490896E-5</c:v>
                </c:pt>
                <c:pt idx="137">
                  <c:v>9.698129154784289E-6</c:v>
                </c:pt>
                <c:pt idx="138">
                  <c:v>8.4431735990254766E-6</c:v>
                </c:pt>
                <c:pt idx="139">
                  <c:v>7.3371475761177404E-6</c:v>
                </c:pt>
                <c:pt idx="140">
                  <c:v>6.3643329889457834E-6</c:v>
                </c:pt>
                <c:pt idx="141">
                  <c:v>5.5103978512228854E-6</c:v>
                </c:pt>
                <c:pt idx="142">
                  <c:v>4.7623109662324304E-6</c:v>
                </c:pt>
                <c:pt idx="143">
                  <c:v>4.108256783757824E-6</c:v>
                </c:pt>
                <c:pt idx="144">
                  <c:v>3.5375512979956246E-6</c:v>
                </c:pt>
                <c:pt idx="145">
                  <c:v>3.040559718554153E-6</c:v>
                </c:pt>
                <c:pt idx="146">
                  <c:v>2.6086165238591055E-6</c:v>
                </c:pt>
                <c:pt idx="147">
                  <c:v>2.2339483921941451E-6</c:v>
                </c:pt>
                <c:pt idx="148">
                  <c:v>1.9096004007906083E-6</c:v>
                </c:pt>
                <c:pt idx="149">
                  <c:v>1.6293657880935705E-6</c:v>
                </c:pt>
                <c:pt idx="150">
                  <c:v>1.3877194887382049E-6</c:v>
                </c:pt>
                <c:pt idx="151">
                  <c:v>1.1797555747258034E-6</c:v>
                </c:pt>
                <c:pt idx="152">
                  <c:v>1.0011286696192621E-6</c:v>
                </c:pt>
                <c:pt idx="153">
                  <c:v>8.4799934488335248E-7</c:v>
                </c:pt>
                <c:pt idx="154">
                  <c:v>7.1698345834499652E-7</c:v>
                </c:pt>
                <c:pt idx="155">
                  <c:v>6.0510535359469122E-7</c:v>
                </c:pt>
                <c:pt idx="156">
                  <c:v>5.0975480541152178E-7</c:v>
                </c:pt>
                <c:pt idx="157">
                  <c:v>4.2864756933899125E-7</c:v>
                </c:pt>
                <c:pt idx="158">
                  <c:v>3.5978937273200621E-7</c:v>
                </c:pt>
                <c:pt idx="159">
                  <c:v>3.0144316928109364E-7</c:v>
                </c:pt>
                <c:pt idx="160">
                  <c:v>2.5209946856936556E-7</c:v>
                </c:pt>
                <c:pt idx="161">
                  <c:v>2.1044954600331023E-7</c:v>
                </c:pt>
                <c:pt idx="162">
                  <c:v>1.753613358991305E-7</c:v>
                </c:pt>
                <c:pt idx="163">
                  <c:v>1.458578110356808E-7</c:v>
                </c:pt>
                <c:pt idx="164">
                  <c:v>1.2109765509545141E-7</c:v>
                </c:pt>
                <c:pt idx="165">
                  <c:v>1.0035803962253601E-7</c:v>
                </c:pt>
                <c:pt idx="166">
                  <c:v>8.3019324007137372E-8</c:v>
                </c:pt>
                <c:pt idx="167">
                  <c:v>6.8551505167311012E-8</c:v>
                </c:pt>
                <c:pt idx="168">
                  <c:v>5.6502252702197566E-8</c:v>
                </c:pt>
                <c:pt idx="169">
                  <c:v>4.6486375034208406E-8</c:v>
                </c:pt>
                <c:pt idx="170">
                  <c:v>3.8176572183818022E-8</c:v>
                </c:pt>
                <c:pt idx="171">
                  <c:v>3.1295341108738863E-8</c:v>
                </c:pt>
                <c:pt idx="172">
                  <c:v>2.5607909806113564E-8</c:v>
                </c:pt>
                <c:pt idx="173">
                  <c:v>2.0916086470489451E-8</c:v>
                </c:pt>
                <c:pt idx="174">
                  <c:v>1.7052919800986504E-8</c:v>
                </c:pt>
                <c:pt idx="175">
                  <c:v>1.3878075963624623E-8</c:v>
                </c:pt>
                <c:pt idx="176">
                  <c:v>1.1273846668853905E-8</c:v>
                </c:pt>
                <c:pt idx="177">
                  <c:v>9.1417112693680104E-9</c:v>
                </c:pt>
                <c:pt idx="178">
                  <c:v>7.3993836873486866E-9</c:v>
                </c:pt>
                <c:pt idx="179">
                  <c:v>5.9782823256411503E-9</c:v>
                </c:pt>
                <c:pt idx="180">
                  <c:v>4.8213678994378692E-9</c:v>
                </c:pt>
                <c:pt idx="181">
                  <c:v>3.8813003491437481E-9</c:v>
                </c:pt>
                <c:pt idx="182">
                  <c:v>3.1188716749122909E-9</c:v>
                </c:pt>
                <c:pt idx="183">
                  <c:v>2.5016766889692617E-9</c:v>
                </c:pt>
                <c:pt idx="184">
                  <c:v>2.0029883380322647E-9</c:v>
                </c:pt>
                <c:pt idx="185">
                  <c:v>1.6008084332734064E-9</c:v>
                </c:pt>
                <c:pt idx="186">
                  <c:v>1.2770683697394888E-9</c:v>
                </c:pt>
                <c:pt idx="187">
                  <c:v>1.0169577527736701E-9</c:v>
                </c:pt>
                <c:pt idx="188">
                  <c:v>8.0836180786240957E-10</c:v>
                </c:pt>
                <c:pt idx="189">
                  <c:v>6.413910644127673E-10</c:v>
                </c:pt>
                <c:pt idx="190">
                  <c:v>5.0798910436405968E-10</c:v>
                </c:pt>
                <c:pt idx="191">
                  <c:v>4.0160618321658607E-10</c:v>
                </c:pt>
                <c:pt idx="192">
                  <c:v>3.1692829249877629E-10</c:v>
                </c:pt>
                <c:pt idx="193">
                  <c:v>2.4965276567807306E-10</c:v>
                </c:pt>
                <c:pt idx="194">
                  <c:v>1.9630285902028613E-10</c:v>
                </c:pt>
                <c:pt idx="195">
                  <c:v>1.5407488799608733E-10</c:v>
                </c:pt>
                <c:pt idx="196">
                  <c:v>1.2071248968860188E-10</c:v>
                </c:pt>
                <c:pt idx="197">
                  <c:v>9.4403431558860801E-11</c:v>
                </c:pt>
                <c:pt idx="198">
                  <c:v>7.3695114327599814E-11</c:v>
                </c:pt>
                <c:pt idx="199">
                  <c:v>5.7425537338315854E-11</c:v>
                </c:pt>
                <c:pt idx="200">
                  <c:v>4.4667022621176179E-11</c:v>
                </c:pt>
                <c:pt idx="201">
                  <c:v>3.4680441485574496E-11</c:v>
                </c:pt>
                <c:pt idx="202">
                  <c:v>2.6878065894714216E-11</c:v>
                </c:pt>
                <c:pt idx="203">
                  <c:v>2.0793485874645615E-11</c:v>
                </c:pt>
                <c:pt idx="204">
                  <c:v>1.6057302334033749E-11</c:v>
                </c:pt>
                <c:pt idx="205">
                  <c:v>1.2377529391456175E-11</c:v>
                </c:pt>
                <c:pt idx="206">
                  <c:v>9.523828118468495E-12</c:v>
                </c:pt>
                <c:pt idx="207">
                  <c:v>7.3148501347530614E-12</c:v>
                </c:pt>
                <c:pt idx="208">
                  <c:v>5.6080995881185462E-12</c:v>
                </c:pt>
                <c:pt idx="209">
                  <c:v>4.2918298863810086E-12</c:v>
                </c:pt>
                <c:pt idx="210">
                  <c:v>3.2785806891562397E-12</c:v>
                </c:pt>
                <c:pt idx="211">
                  <c:v>2.5000341598082769E-12</c:v>
                </c:pt>
                <c:pt idx="212">
                  <c:v>1.9029299085628014E-12</c:v>
                </c:pt>
                <c:pt idx="213">
                  <c:v>1.4458276188328156E-12</c:v>
                </c:pt>
                <c:pt idx="214">
                  <c:v>1.0965468900114173E-12</c:v>
                </c:pt>
                <c:pt idx="215">
                  <c:v>8.3014690795056801E-13</c:v>
                </c:pt>
                <c:pt idx="216">
                  <c:v>6.2733547429399018E-13</c:v>
                </c:pt>
                <c:pt idx="217">
                  <c:v>4.7321877894597411E-13</c:v>
                </c:pt>
                <c:pt idx="218">
                  <c:v>3.5632099549311987E-13</c:v>
                </c:pt>
                <c:pt idx="219">
                  <c:v>2.6781707274729183E-13</c:v>
                </c:pt>
                <c:pt idx="220">
                  <c:v>2.0093361237361262E-13</c:v>
                </c:pt>
                <c:pt idx="221">
                  <c:v>1.504819794457899E-13</c:v>
                </c:pt>
                <c:pt idx="222">
                  <c:v>1.1249521508108526E-13</c:v>
                </c:pt>
                <c:pt idx="223">
                  <c:v>8.3946257250883336E-14</c:v>
                </c:pt>
                <c:pt idx="224">
                  <c:v>6.2529713282432229E-14</c:v>
                </c:pt>
                <c:pt idx="225">
                  <c:v>4.6493198795003012E-14</c:v>
                </c:pt>
                <c:pt idx="226">
                  <c:v>3.4507252774927115E-14</c:v>
                </c:pt>
                <c:pt idx="227">
                  <c:v>2.5565211360410008E-14</c:v>
                </c:pt>
                <c:pt idx="228">
                  <c:v>1.8906298482370545E-14</c:v>
                </c:pt>
                <c:pt idx="229">
                  <c:v>1.3956670548508109E-14</c:v>
                </c:pt>
                <c:pt idx="230">
                  <c:v>1.028431598957675E-14</c:v>
                </c:pt>
                <c:pt idx="231">
                  <c:v>7.5646238543871067E-15</c:v>
                </c:pt>
                <c:pt idx="232">
                  <c:v>5.5541509184148593E-15</c:v>
                </c:pt>
                <c:pt idx="233">
                  <c:v>4.0706756382286587E-15</c:v>
                </c:pt>
                <c:pt idx="234">
                  <c:v>2.9780629470726796E-15</c:v>
                </c:pt>
                <c:pt idx="235">
                  <c:v>2.1748027358071227E-15</c:v>
                </c:pt>
                <c:pt idx="236">
                  <c:v>1.585347816404006E-15</c:v>
                </c:pt>
                <c:pt idx="237">
                  <c:v>1.1535807622826579E-15</c:v>
                </c:pt>
                <c:pt idx="238">
                  <c:v>8.378963057127267E-16</c:v>
                </c:pt>
                <c:pt idx="239">
                  <c:v>6.0750721007589088E-16</c:v>
                </c:pt>
                <c:pt idx="240">
                  <c:v>4.3967477793187303E-16</c:v>
                </c:pt>
                <c:pt idx="241">
                  <c:v>3.1763670965541098E-16</c:v>
                </c:pt>
                <c:pt idx="242">
                  <c:v>2.2905981575828954E-16</c:v>
                </c:pt>
                <c:pt idx="243">
                  <c:v>1.6488694477614932E-16</c:v>
                </c:pt>
                <c:pt idx="244">
                  <c:v>1.1847939889424321E-16</c:v>
                </c:pt>
                <c:pt idx="245">
                  <c:v>8.4980382536734351E-17</c:v>
                </c:pt>
                <c:pt idx="246">
                  <c:v>6.0843452566988861E-17</c:v>
                </c:pt>
                <c:pt idx="247">
                  <c:v>4.3483891870834674E-17</c:v>
                </c:pt>
                <c:pt idx="248">
                  <c:v>3.1021472712552657E-17</c:v>
                </c:pt>
                <c:pt idx="249">
                  <c:v>2.2091027791661757E-17</c:v>
                </c:pt>
                <c:pt idx="250">
                  <c:v>1.5703230151053439E-17</c:v>
                </c:pt>
                <c:pt idx="251">
                  <c:v>1.1142475560465781E-17</c:v>
                </c:pt>
                <c:pt idx="252">
                  <c:v>7.8921269268151895E-18</c:v>
                </c:pt>
                <c:pt idx="253">
                  <c:v>5.5798967746564288E-18</c:v>
                </c:pt>
                <c:pt idx="254">
                  <c:v>3.9380212539428179E-18</c:v>
                </c:pt>
                <c:pt idx="255">
                  <c:v>2.7742767903253597E-18</c:v>
                </c:pt>
                <c:pt idx="256">
                  <c:v>1.9509287871351237E-18</c:v>
                </c:pt>
                <c:pt idx="257">
                  <c:v>1.3694714866271787E-18</c:v>
                </c:pt>
                <c:pt idx="258">
                  <c:v>9.5958748025635789E-19</c:v>
                </c:pt>
              </c:numCache>
            </c:numRef>
          </c:yVal>
          <c:smooth val="1"/>
        </c:ser>
        <c:axId val="156157440"/>
        <c:axId val="156159360"/>
      </c:scatterChart>
      <c:valAx>
        <c:axId val="156157440"/>
        <c:scaling>
          <c:orientation val="minMax"/>
        </c:scaling>
        <c:axPos val="b"/>
        <c:title>
          <c:tx>
            <c:rich>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r>
                  <a:rPr lang="zh-CN"/>
                  <a:t>距离（</a:t>
                </a:r>
                <a:r>
                  <a:rPr lang="en-US"/>
                  <a:t>m</a:t>
                </a:r>
                <a:r>
                  <a:rPr lang="zh-CN"/>
                  <a:t>）</a:t>
                </a:r>
              </a:p>
            </c:rich>
          </c:tx>
        </c:title>
        <c:numFmt formatCode="General" sourceLinked="1"/>
        <c:majorTickMark val="in"/>
        <c:tickLblPos val="nextTo"/>
        <c:spPr>
          <a:ln w="9525" cap="flat" cmpd="sng" algn="ctr">
            <a:solidFill>
              <a:prstClr val="black"/>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56159360"/>
        <c:crosses val="autoZero"/>
        <c:crossBetween val="midCat"/>
      </c:valAx>
      <c:valAx>
        <c:axId val="156159360"/>
        <c:scaling>
          <c:orientation val="minMax"/>
          <c:min val="0"/>
        </c:scaling>
        <c:axPos val="l"/>
        <c:title>
          <c:tx>
            <c:rich>
              <a:bodyPr rot="-54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r>
                  <a:rPr lang="zh-CN" altLang="en-US"/>
                  <a:t>锌</a:t>
                </a:r>
                <a:r>
                  <a:rPr lang="zh-CN"/>
                  <a:t>浓度（</a:t>
                </a:r>
                <a:r>
                  <a:rPr lang="en-US"/>
                  <a:t>mg/L</a:t>
                </a:r>
                <a:r>
                  <a:rPr lang="zh-CN"/>
                  <a:t>）</a:t>
                </a:r>
              </a:p>
            </c:rich>
          </c:tx>
        </c:title>
        <c:numFmt formatCode="General" sourceLinked="1"/>
        <c:majorTickMark val="in"/>
        <c:tickLblPos val="nextTo"/>
        <c:spPr>
          <a:ln w="9525" cap="flat" cmpd="sng" algn="ctr">
            <a:solidFill>
              <a:prstClr val="black"/>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56157440"/>
        <c:crosses val="autoZero"/>
        <c:crossBetween val="midCat"/>
      </c:valAx>
      <c:spPr>
        <a:ln>
          <a:solidFill>
            <a:prstClr val="black"/>
          </a:solidFill>
        </a:ln>
      </c:spPr>
    </c:plotArea>
    <c:plotVisOnly val="1"/>
    <c:dispBlanksAs val="gap"/>
  </c:chart>
  <c:spPr>
    <a:ln w="9525" cap="flat" cmpd="sng" algn="ctr">
      <a:noFill/>
      <a:prstDash val="solid"/>
      <a:round/>
    </a:ln>
  </c:spPr>
  <c:txPr>
    <a:bodyPr/>
    <a:lstStyle/>
    <a:p>
      <a:pPr>
        <a:defRPr lang="zh-CN" b="0">
          <a:latin typeface="Times New Roman" panose="02020603050405020304" charset="0"/>
          <a:cs typeface="Times New Roman" panose="02020603050405020304" charset="0"/>
        </a:defRPr>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7638482349883863"/>
          <c:y val="2.768863642338968E-2"/>
          <c:w val="0.78888002752869901"/>
          <c:h val="0.70812785388127863"/>
        </c:manualLayout>
      </c:layout>
      <c:scatterChart>
        <c:scatterStyle val="smoothMarker"/>
        <c:ser>
          <c:idx val="3"/>
          <c:order val="0"/>
          <c:marker>
            <c:symbol val="none"/>
          </c:marker>
          <c:xVal>
            <c:numRef>
              <c:f>Calculate!$I$23:$I$203</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xVal>
          <c:yVal>
            <c:numRef>
              <c:f>Calculate!$J$23:$J$203</c:f>
              <c:numCache>
                <c:formatCode>General</c:formatCode>
                <c:ptCount val="181"/>
                <c:pt idx="0">
                  <c:v>0</c:v>
                </c:pt>
                <c:pt idx="1">
                  <c:v>7.5280508404773924E-6</c:v>
                </c:pt>
                <c:pt idx="2">
                  <c:v>1.6595208276015927E-5</c:v>
                </c:pt>
                <c:pt idx="3">
                  <c:v>2.7388691315799486E-5</c:v>
                </c:pt>
                <c:pt idx="4">
                  <c:v>4.0108320769061116E-5</c:v>
                </c:pt>
                <c:pt idx="5">
                  <c:v>5.4966249005695304E-5</c:v>
                </c:pt>
                <c:pt idx="6">
                  <c:v>7.218651940332874E-5</c:v>
                </c:pt>
                <c:pt idx="7">
                  <c:v>9.2004441530237294E-5</c:v>
                </c:pt>
                <c:pt idx="8">
                  <c:v>1.1466576927166186E-4</c:v>
                </c:pt>
                <c:pt idx="9">
                  <c:v>1.404256706631928E-4</c:v>
                </c:pt>
                <c:pt idx="10">
                  <c:v>1.6954748003694681E-4</c:v>
                </c:pt>
                <c:pt idx="11">
                  <c:v>2.0230122531339733E-4</c:v>
                </c:pt>
                <c:pt idx="12">
                  <c:v>2.3896192585981765E-4</c:v>
                </c:pt>
                <c:pt idx="13">
                  <c:v>2.798076592256441E-4</c:v>
                </c:pt>
                <c:pt idx="14">
                  <c:v>3.2511739829033494E-4</c:v>
                </c:pt>
                <c:pt idx="15">
                  <c:v>3.7516862388465211E-4</c:v>
                </c:pt>
                <c:pt idx="16">
                  <c:v>4.3023472166359156E-4</c:v>
                </c:pt>
                <c:pt idx="17">
                  <c:v>4.9058217602038982E-4</c:v>
                </c:pt>
                <c:pt idx="18">
                  <c:v>5.5646757789151735E-4</c:v>
                </c:pt>
                <c:pt idx="19">
                  <c:v>6.2813446752053002E-4</c:v>
                </c:pt>
                <c:pt idx="20">
                  <c:v>7.0581003746372783E-4</c:v>
                </c:pt>
                <c:pt idx="21">
                  <c:v>7.8970172525760773E-4</c:v>
                </c:pt>
                <c:pt idx="22">
                  <c:v>8.7999372919967268E-4</c:v>
                </c:pt>
                <c:pt idx="23">
                  <c:v>9.7684348447969554E-4</c:v>
                </c:pt>
                <c:pt idx="24">
                  <c:v>1.0803781403945281E-3</c:v>
                </c:pt>
                <c:pt idx="25">
                  <c:v>1.1906910824581729E-3</c:v>
                </c:pt>
                <c:pt idx="26">
                  <c:v>1.307838545852924E-3</c:v>
                </c:pt>
                <c:pt idx="27">
                  <c:v>1.4318363686967061E-3</c:v>
                </c:pt>
                <c:pt idx="28">
                  <c:v>1.5626569350368959E-3</c:v>
                </c:pt>
                <c:pt idx="29">
                  <c:v>1.7002263581846738E-3</c:v>
                </c:pt>
                <c:pt idx="30">
                  <c:v>1.8444219549303015E-3</c:v>
                </c:pt>
                <c:pt idx="31">
                  <c:v>1.9950700603530653E-3</c:v>
                </c:pt>
                <c:pt idx="32">
                  <c:v>2.1519442311643852E-3</c:v>
                </c:pt>
                <c:pt idx="33">
                  <c:v>2.3147638829828002E-3</c:v>
                </c:pt>
                <c:pt idx="34">
                  <c:v>2.4831934034468292E-3</c:v>
                </c:pt>
                <c:pt idx="35">
                  <c:v>2.6568417787840052E-3</c:v>
                </c:pt>
                <c:pt idx="36">
                  <c:v>2.8352627662249219E-3</c:v>
                </c:pt>
                <c:pt idx="37">
                  <c:v>3.0179556388181261E-3</c:v>
                </c:pt>
                <c:pt idx="38">
                  <c:v>3.2043665224406443E-3</c:v>
                </c:pt>
                <c:pt idx="39">
                  <c:v>3.3938903375698715E-3</c:v>
                </c:pt>
                <c:pt idx="40">
                  <c:v>3.5858733505209962E-3</c:v>
                </c:pt>
                <c:pt idx="41">
                  <c:v>3.7796163306120802E-3</c:v>
                </c:pt>
                <c:pt idx="42">
                  <c:v>3.9743783011489996E-3</c:v>
                </c:pt>
                <c:pt idx="43">
                  <c:v>4.1693808634390966E-3</c:v>
                </c:pt>
                <c:pt idx="44">
                  <c:v>4.3638130643088874E-3</c:v>
                </c:pt>
                <c:pt idx="45">
                  <c:v>4.5568367690038804E-3</c:v>
                </c:pt>
                <c:pt idx="46">
                  <c:v>4.7475924931097944E-3</c:v>
                </c:pt>
                <c:pt idx="47">
                  <c:v>4.9352056392413819E-3</c:v>
                </c:pt>
                <c:pt idx="48">
                  <c:v>5.1187930770653089E-3</c:v>
                </c:pt>
                <c:pt idx="49">
                  <c:v>5.2974699987272033E-3</c:v>
                </c:pt>
                <c:pt idx="50">
                  <c:v>5.4703569760956583E-3</c:v>
                </c:pt>
                <c:pt idx="51">
                  <c:v>5.6365871416956814E-3</c:v>
                </c:pt>
                <c:pt idx="52">
                  <c:v>5.7953134116531429E-3</c:v>
                </c:pt>
                <c:pt idx="53">
                  <c:v>5.9457156666642419E-3</c:v>
                </c:pt>
                <c:pt idx="54">
                  <c:v>6.0870078059163113E-3</c:v>
                </c:pt>
                <c:pt idx="55">
                  <c:v>6.2184445891549124E-3</c:v>
                </c:pt>
                <c:pt idx="56">
                  <c:v>6.3393281835478826E-3</c:v>
                </c:pt>
                <c:pt idx="57">
                  <c:v>6.449014334951212E-3</c:v>
                </c:pt>
                <c:pt idx="58">
                  <c:v>6.5469180871311934E-3</c:v>
                </c:pt>
                <c:pt idx="59">
                  <c:v>6.6325189779867745E-3</c:v>
                </c:pt>
                <c:pt idx="60">
                  <c:v>6.7053656481242379E-3</c:v>
                </c:pt>
                <c:pt idx="61">
                  <c:v>6.7650798047289573E-3</c:v>
                </c:pt>
                <c:pt idx="62">
                  <c:v>6.8113594920219279E-3</c:v>
                </c:pt>
                <c:pt idx="63">
                  <c:v>6.8439816287402264E-3</c:v>
                </c:pt>
                <c:pt idx="64">
                  <c:v>6.8628037829199717E-3</c:v>
                </c:pt>
                <c:pt idx="65">
                  <c:v>6.8677651644104554E-3</c:v>
                </c:pt>
                <c:pt idx="66">
                  <c:v>6.8588868261076855E-3</c:v>
                </c:pt>
                <c:pt idx="67">
                  <c:v>6.8362710754449217E-3</c:v>
                </c:pt>
                <c:pt idx="68">
                  <c:v>6.8001001081960943E-3</c:v>
                </c:pt>
                <c:pt idx="69">
                  <c:v>6.7506338869074423E-3</c:v>
                </c:pt>
                <c:pt idx="70">
                  <c:v>6.6882072960166034E-3</c:v>
                </c:pt>
                <c:pt idx="71">
                  <c:v>6.6132266150176842E-3</c:v>
                </c:pt>
                <c:pt idx="72">
                  <c:v>6.5261653593953195E-3</c:v>
                </c:pt>
                <c:pt idx="73">
                  <c:v>6.4275595467135896E-3</c:v>
                </c:pt>
                <c:pt idx="74">
                  <c:v>6.3180024518074704E-3</c:v>
                </c:pt>
                <c:pt idx="75">
                  <c:v>6.1981389205583159E-3</c:v>
                </c:pt>
                <c:pt idx="76">
                  <c:v>6.0686593160734804E-3</c:v>
                </c:pt>
                <c:pt idx="77">
                  <c:v>5.9302931742874808E-3</c:v>
                </c:pt>
                <c:pt idx="78">
                  <c:v>5.7838026479002424E-3</c:v>
                </c:pt>
                <c:pt idx="79">
                  <c:v>5.6299758183215856E-3</c:v>
                </c:pt>
                <c:pt idx="80">
                  <c:v>5.4696199547134543E-3</c:v>
                </c:pt>
                <c:pt idx="81">
                  <c:v>5.303554797676302E-3</c:v>
                </c:pt>
                <c:pt idx="82">
                  <c:v>5.13260594224468E-3</c:v>
                </c:pt>
                <c:pt idx="83">
                  <c:v>4.9575983911496826E-3</c:v>
                </c:pt>
                <c:pt idx="84">
                  <c:v>4.7793503445882598E-3</c:v>
                </c:pt>
                <c:pt idx="85">
                  <c:v>4.5986672872084834E-3</c:v>
                </c:pt>
                <c:pt idx="86">
                  <c:v>4.4163364268424163E-3</c:v>
                </c:pt>
                <c:pt idx="87">
                  <c:v>4.2331215327500414E-3</c:v>
                </c:pt>
                <c:pt idx="88">
                  <c:v>4.0497582139408838E-3</c:v>
                </c:pt>
                <c:pt idx="89">
                  <c:v>3.8669496707017248E-3</c:v>
                </c:pt>
                <c:pt idx="90">
                  <c:v>3.6853629448028468E-3</c:v>
                </c:pt>
                <c:pt idx="91">
                  <c:v>3.5056256862409652E-3</c:v>
                </c:pt>
                <c:pt idx="92">
                  <c:v>3.3283234468257398E-3</c:v>
                </c:pt>
                <c:pt idx="93">
                  <c:v>3.1539975036398212E-3</c:v>
                </c:pt>
                <c:pt idx="94">
                  <c:v>2.9831432083910914E-3</c:v>
                </c:pt>
                <c:pt idx="95">
                  <c:v>2.8162088521894732E-3</c:v>
                </c:pt>
                <c:pt idx="96">
                  <c:v>2.6535950291986811E-3</c:v>
                </c:pt>
                <c:pt idx="97">
                  <c:v>2.4956544772424816E-3</c:v>
                </c:pt>
                <c:pt idx="98">
                  <c:v>2.3426923685739842E-3</c:v>
                </c:pt>
                <c:pt idx="99">
                  <c:v>2.1949670199628052E-3</c:v>
                </c:pt>
                <c:pt idx="100">
                  <c:v>2.0526909877917054E-3</c:v>
                </c:pt>
                <c:pt idx="101">
                  <c:v>1.9160325111842696E-3</c:v>
                </c:pt>
                <c:pt idx="102">
                  <c:v>1.7851172641869721E-3</c:v>
                </c:pt>
                <c:pt idx="103">
                  <c:v>1.660030376748685E-3</c:v>
                </c:pt>
                <c:pt idx="104">
                  <c:v>1.5408186836134161E-3</c:v>
                </c:pt>
                <c:pt idx="105">
                  <c:v>1.4274931602787301E-3</c:v>
                </c:pt>
                <c:pt idx="106">
                  <c:v>1.3200315057555743E-3</c:v>
                </c:pt>
                <c:pt idx="107">
                  <c:v>1.2183808330307358E-3</c:v>
                </c:pt>
                <c:pt idx="108">
                  <c:v>1.1224604297309789E-3</c:v>
                </c:pt>
                <c:pt idx="109">
                  <c:v>1.0321645535369141E-3</c:v>
                </c:pt>
                <c:pt idx="110">
                  <c:v>9.473652292648837E-4</c:v>
                </c:pt>
                <c:pt idx="111">
                  <c:v>8.679150172082752E-4</c:v>
                </c:pt>
                <c:pt idx="112">
                  <c:v>7.9364972520261519E-4</c:v>
                </c:pt>
                <c:pt idx="113">
                  <c:v>7.2439103992128677E-4</c:v>
                </c:pt>
                <c:pt idx="114">
                  <c:v>6.599490560205909E-4</c:v>
                </c:pt>
                <c:pt idx="115">
                  <c:v>6.0012468492509445E-4</c:v>
                </c:pt>
                <c:pt idx="116">
                  <c:v>5.4471192816367821E-4</c:v>
                </c:pt>
                <c:pt idx="117">
                  <c:v>4.9350000324882126E-4</c:v>
                </c:pt>
                <c:pt idx="118">
                  <c:v>4.4627531303574022E-4</c:v>
                </c:pt>
                <c:pt idx="119">
                  <c:v>4.0282325231191514E-4</c:v>
                </c:pt>
                <c:pt idx="120">
                  <c:v>3.6292984799222012E-4</c:v>
                </c:pt>
                <c:pt idx="121">
                  <c:v>3.2638323172091326E-4</c:v>
                </c:pt>
                <c:pt idx="122">
                  <c:v>2.9297494588127195E-4</c:v>
                </c:pt>
                <c:pt idx="123">
                  <c:v>2.6250108598445854E-4</c:v>
                </c:pt>
                <c:pt idx="124">
                  <c:v>2.3476328412889256E-4</c:v>
                </c:pt>
                <c:pt idx="125">
                  <c:v>2.0956953970551959E-4</c:v>
                </c:pt>
                <c:pt idx="126">
                  <c:v>1.8673490475780901E-4</c:v>
                </c:pt>
                <c:pt idx="127">
                  <c:v>1.6608203240795294E-4</c:v>
                </c:pt>
                <c:pt idx="128">
                  <c:v>1.4744159753307388E-4</c:v>
                </c:pt>
                <c:pt idx="129">
                  <c:v>1.30652599435312E-4</c:v>
                </c:pt>
                <c:pt idx="130">
                  <c:v>1.1556255660950614E-4</c:v>
                </c:pt>
                <c:pt idx="131">
                  <c:v>1.0202760389009681E-4</c:v>
                </c:pt>
                <c:pt idx="132">
                  <c:v>8.9912502271580747E-5</c:v>
                </c:pt>
                <c:pt idx="133">
                  <c:v>7.9090571565140462E-5</c:v>
                </c:pt>
                <c:pt idx="134">
                  <c:v>6.9443555794380333E-5</c:v>
                </c:pt>
                <c:pt idx="135">
                  <c:v>6.0861430867523462E-5</c:v>
                </c:pt>
                <c:pt idx="136">
                  <c:v>5.3242163608006493E-5</c:v>
                </c:pt>
                <c:pt idx="137">
                  <c:v>4.6491430700067034E-5</c:v>
                </c:pt>
                <c:pt idx="138">
                  <c:v>4.0522305526150897E-5</c:v>
                </c:pt>
                <c:pt idx="139">
                  <c:v>3.5254920256001656E-5</c:v>
                </c:pt>
                <c:pt idx="140">
                  <c:v>3.0616109905668415E-5</c:v>
                </c:pt>
                <c:pt idx="141">
                  <c:v>2.6539044433895089E-5</c:v>
                </c:pt>
                <c:pt idx="142">
                  <c:v>2.2962854292158229E-5</c:v>
                </c:pt>
                <c:pt idx="143">
                  <c:v>1.9832254205605648E-5</c:v>
                </c:pt>
                <c:pt idx="144">
                  <c:v>1.7097169341614007E-5</c:v>
                </c:pt>
                <c:pt idx="145">
                  <c:v>1.4712367429251689E-5</c:v>
                </c:pt>
                <c:pt idx="146">
                  <c:v>1.2637099831228161E-5</c:v>
                </c:pt>
                <c:pt idx="147">
                  <c:v>1.0834754044533954E-5</c:v>
                </c:pt>
                <c:pt idx="148">
                  <c:v>9.2725196201486604E-6</c:v>
                </c:pt>
                <c:pt idx="149">
                  <c:v>7.9210690475925431E-6</c:v>
                </c:pt>
                <c:pt idx="150">
                  <c:v>6.7542547478244935E-6</c:v>
                </c:pt>
                <c:pt idx="151">
                  <c:v>5.748822958226741E-6</c:v>
                </c:pt>
                <c:pt idx="152">
                  <c:v>4.8841449754075784E-6</c:v>
                </c:pt>
                <c:pt idx="153">
                  <c:v>4.1419659440852162E-6</c:v>
                </c:pt>
                <c:pt idx="154">
                  <c:v>3.5061711417210383E-6</c:v>
                </c:pt>
                <c:pt idx="155">
                  <c:v>2.9625695065009687E-6</c:v>
                </c:pt>
                <c:pt idx="156">
                  <c:v>2.4986939885177198E-6</c:v>
                </c:pt>
                <c:pt idx="157">
                  <c:v>2.103618167648009E-6</c:v>
                </c:pt>
                <c:pt idx="158">
                  <c:v>1.7677884741093998E-6</c:v>
                </c:pt>
                <c:pt idx="159">
                  <c:v>1.4828712659952888E-6</c:v>
                </c:pt>
                <c:pt idx="160">
                  <c:v>1.2416139595072175E-6</c:v>
                </c:pt>
                <c:pt idx="161">
                  <c:v>1.0377193692729821E-6</c:v>
                </c:pt>
                <c:pt idx="162">
                  <c:v>8.6573239546180248E-7</c:v>
                </c:pt>
                <c:pt idx="163">
                  <c:v>7.2093818875845859E-7</c:v>
                </c:pt>
                <c:pt idx="164">
                  <c:v>5.9927093133778015E-7</c:v>
                </c:pt>
                <c:pt idx="165">
                  <c:v>4.9723238952146625E-7</c:v>
                </c:pt>
                <c:pt idx="166">
                  <c:v>4.1181941982754214E-7</c:v>
                </c:pt>
                <c:pt idx="167">
                  <c:v>3.4045964280192097E-7</c:v>
                </c:pt>
                <c:pt idx="168">
                  <c:v>2.8095453673005111E-7</c:v>
                </c:pt>
                <c:pt idx="169">
                  <c:v>2.3142924463688001E-7</c:v>
                </c:pt>
                <c:pt idx="170">
                  <c:v>1.9028843164561888E-7</c:v>
                </c:pt>
                <c:pt idx="171">
                  <c:v>1.5617757471249161E-7</c:v>
                </c:pt>
                <c:pt idx="172">
                  <c:v>1.2794911208411142E-7</c:v>
                </c:pt>
                <c:pt idx="173">
                  <c:v>1.0463292478024591E-7</c:v>
                </c:pt>
                <c:pt idx="174">
                  <c:v>8.5410666383942541E-8</c:v>
                </c:pt>
                <c:pt idx="175">
                  <c:v>6.9593499931236681E-8</c:v>
                </c:pt>
                <c:pt idx="176">
                  <c:v>5.6602841366337527E-8</c:v>
                </c:pt>
                <c:pt idx="177">
                  <c:v>4.5953747587546447E-8</c:v>
                </c:pt>
                <c:pt idx="178">
                  <c:v>3.7240623367714504E-8</c:v>
                </c:pt>
                <c:pt idx="179">
                  <c:v>3.0124955273590387E-8</c:v>
                </c:pt>
                <c:pt idx="180">
                  <c:v>2.4324812078754927E-8</c:v>
                </c:pt>
              </c:numCache>
            </c:numRef>
          </c:yVal>
          <c:smooth val="1"/>
        </c:ser>
        <c:axId val="161620352"/>
        <c:axId val="161623424"/>
      </c:scatterChart>
      <c:valAx>
        <c:axId val="161620352"/>
        <c:scaling>
          <c:orientation val="minMax"/>
        </c:scaling>
        <c:axPos val="b"/>
        <c:title>
          <c:tx>
            <c:rich>
              <a:bodyPr/>
              <a:lstStyle/>
              <a:p>
                <a:pPr>
                  <a:defRPr/>
                </a:pPr>
                <a:r>
                  <a:rPr lang="zh-CN" altLang="en-US"/>
                  <a:t>距离</a:t>
                </a:r>
                <a:r>
                  <a:rPr lang="zh-CN"/>
                  <a:t>（</a:t>
                </a:r>
                <a:r>
                  <a:rPr lang="en-US" altLang="zh-CN"/>
                  <a:t>m</a:t>
                </a:r>
                <a:r>
                  <a:rPr lang="zh-CN"/>
                  <a:t>）</a:t>
                </a:r>
              </a:p>
            </c:rich>
          </c:tx>
        </c:title>
        <c:numFmt formatCode="General" sourceLinked="1"/>
        <c:majorTickMark val="in"/>
        <c:tickLblPos val="nextTo"/>
        <c:spPr>
          <a:ln>
            <a:solidFill>
              <a:prstClr val="black"/>
            </a:solidFill>
          </a:ln>
        </c:spPr>
        <c:crossAx val="161623424"/>
        <c:crosses val="autoZero"/>
        <c:crossBetween val="midCat"/>
      </c:valAx>
      <c:valAx>
        <c:axId val="161623424"/>
        <c:scaling>
          <c:orientation val="minMax"/>
          <c:min val="0"/>
        </c:scaling>
        <c:axPos val="l"/>
        <c:title>
          <c:tx>
            <c:rich>
              <a:bodyPr/>
              <a:lstStyle/>
              <a:p>
                <a:pPr>
                  <a:defRPr/>
                </a:pPr>
                <a:r>
                  <a:rPr lang="zh-CN"/>
                  <a:t>浓度（</a:t>
                </a:r>
                <a:r>
                  <a:rPr lang="en-US"/>
                  <a:t>mg/L</a:t>
                </a:r>
                <a:r>
                  <a:rPr lang="zh-CN"/>
                  <a:t>）</a:t>
                </a:r>
              </a:p>
            </c:rich>
          </c:tx>
        </c:title>
        <c:numFmt formatCode="General" sourceLinked="1"/>
        <c:majorTickMark val="in"/>
        <c:tickLblPos val="nextTo"/>
        <c:spPr>
          <a:ln>
            <a:solidFill>
              <a:prstClr val="black"/>
            </a:solidFill>
          </a:ln>
        </c:spPr>
        <c:crossAx val="161620352"/>
        <c:crosses val="autoZero"/>
        <c:crossBetween val="midCat"/>
      </c:valAx>
      <c:spPr>
        <a:ln>
          <a:solidFill>
            <a:prstClr val="black"/>
          </a:solidFill>
        </a:ln>
      </c:spPr>
    </c:plotArea>
    <c:plotVisOnly val="1"/>
    <c:dispBlanksAs val="gap"/>
  </c:chart>
  <c:spPr>
    <a:ln>
      <a:noFill/>
    </a:ln>
  </c:spPr>
  <c:txPr>
    <a:bodyPr/>
    <a:lstStyle/>
    <a:p>
      <a:pPr>
        <a:defRPr b="0">
          <a:latin typeface="Times New Roman" pitchFamily="18" charset="0"/>
          <a:cs typeface="Times New Roman" pitchFamily="18" charset="0"/>
        </a:defRPr>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7638482349883863"/>
          <c:y val="2.768863642338968E-2"/>
          <c:w val="0.78888002752869901"/>
          <c:h val="0.70812785388127863"/>
        </c:manualLayout>
      </c:layout>
      <c:scatterChart>
        <c:scatterStyle val="smoothMarker"/>
        <c:ser>
          <c:idx val="3"/>
          <c:order val="0"/>
          <c:marker>
            <c:symbol val="none"/>
          </c:marker>
          <c:xVal>
            <c:numRef>
              <c:f>Calculate!$I$23:$I$203</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xVal>
          <c:yVal>
            <c:numRef>
              <c:f>Calculate!$J$23:$J$203</c:f>
              <c:numCache>
                <c:formatCode>General</c:formatCode>
                <c:ptCount val="181"/>
                <c:pt idx="0">
                  <c:v>0</c:v>
                </c:pt>
                <c:pt idx="1">
                  <c:v>7.5280508404773924E-6</c:v>
                </c:pt>
                <c:pt idx="2">
                  <c:v>1.6595208276015927E-5</c:v>
                </c:pt>
                <c:pt idx="3">
                  <c:v>2.7388691315799486E-5</c:v>
                </c:pt>
                <c:pt idx="4">
                  <c:v>4.0108320769061116E-5</c:v>
                </c:pt>
                <c:pt idx="5">
                  <c:v>5.4966249005695304E-5</c:v>
                </c:pt>
                <c:pt idx="6">
                  <c:v>7.218651940332874E-5</c:v>
                </c:pt>
                <c:pt idx="7">
                  <c:v>9.2004441530237294E-5</c:v>
                </c:pt>
                <c:pt idx="8">
                  <c:v>1.1466576927166186E-4</c:v>
                </c:pt>
                <c:pt idx="9">
                  <c:v>1.404256706631928E-4</c:v>
                </c:pt>
                <c:pt idx="10">
                  <c:v>1.6954748003694681E-4</c:v>
                </c:pt>
                <c:pt idx="11">
                  <c:v>2.0230122531339733E-4</c:v>
                </c:pt>
                <c:pt idx="12">
                  <c:v>2.3896192585981765E-4</c:v>
                </c:pt>
                <c:pt idx="13">
                  <c:v>2.798076592256441E-4</c:v>
                </c:pt>
                <c:pt idx="14">
                  <c:v>3.2511739829033494E-4</c:v>
                </c:pt>
                <c:pt idx="15">
                  <c:v>3.7516862388465211E-4</c:v>
                </c:pt>
                <c:pt idx="16">
                  <c:v>4.3023472166359156E-4</c:v>
                </c:pt>
                <c:pt idx="17">
                  <c:v>4.9058217602038982E-4</c:v>
                </c:pt>
                <c:pt idx="18">
                  <c:v>5.5646757789151735E-4</c:v>
                </c:pt>
                <c:pt idx="19">
                  <c:v>6.2813446752053002E-4</c:v>
                </c:pt>
                <c:pt idx="20">
                  <c:v>7.0581003746372783E-4</c:v>
                </c:pt>
                <c:pt idx="21">
                  <c:v>7.8970172525760773E-4</c:v>
                </c:pt>
                <c:pt idx="22">
                  <c:v>8.7999372919967268E-4</c:v>
                </c:pt>
                <c:pt idx="23">
                  <c:v>9.7684348447969554E-4</c:v>
                </c:pt>
                <c:pt idx="24">
                  <c:v>1.0803781403945281E-3</c:v>
                </c:pt>
                <c:pt idx="25">
                  <c:v>1.1906910824581729E-3</c:v>
                </c:pt>
                <c:pt idx="26">
                  <c:v>1.307838545852924E-3</c:v>
                </c:pt>
                <c:pt idx="27">
                  <c:v>1.4318363686967061E-3</c:v>
                </c:pt>
                <c:pt idx="28">
                  <c:v>1.5626569350368959E-3</c:v>
                </c:pt>
                <c:pt idx="29">
                  <c:v>1.7002263581846738E-3</c:v>
                </c:pt>
                <c:pt idx="30">
                  <c:v>1.8444219549303015E-3</c:v>
                </c:pt>
                <c:pt idx="31">
                  <c:v>1.9950700603530653E-3</c:v>
                </c:pt>
                <c:pt idx="32">
                  <c:v>2.1519442311643852E-3</c:v>
                </c:pt>
                <c:pt idx="33">
                  <c:v>2.3147638829828002E-3</c:v>
                </c:pt>
                <c:pt idx="34">
                  <c:v>2.4831934034468292E-3</c:v>
                </c:pt>
                <c:pt idx="35">
                  <c:v>2.6568417787840052E-3</c:v>
                </c:pt>
                <c:pt idx="36">
                  <c:v>2.8352627662249219E-3</c:v>
                </c:pt>
                <c:pt idx="37">
                  <c:v>3.0179556388181261E-3</c:v>
                </c:pt>
                <c:pt idx="38">
                  <c:v>3.2043665224406443E-3</c:v>
                </c:pt>
                <c:pt idx="39">
                  <c:v>3.3938903375698715E-3</c:v>
                </c:pt>
                <c:pt idx="40">
                  <c:v>3.5858733505209962E-3</c:v>
                </c:pt>
                <c:pt idx="41">
                  <c:v>3.7796163306120802E-3</c:v>
                </c:pt>
                <c:pt idx="42">
                  <c:v>3.9743783011489996E-3</c:v>
                </c:pt>
                <c:pt idx="43">
                  <c:v>4.1693808634390966E-3</c:v>
                </c:pt>
                <c:pt idx="44">
                  <c:v>4.3638130643088874E-3</c:v>
                </c:pt>
                <c:pt idx="45">
                  <c:v>4.5568367690038804E-3</c:v>
                </c:pt>
                <c:pt idx="46">
                  <c:v>4.7475924931097944E-3</c:v>
                </c:pt>
                <c:pt idx="47">
                  <c:v>4.9352056392413819E-3</c:v>
                </c:pt>
                <c:pt idx="48">
                  <c:v>5.1187930770653089E-3</c:v>
                </c:pt>
                <c:pt idx="49">
                  <c:v>5.2974699987272033E-3</c:v>
                </c:pt>
                <c:pt idx="50">
                  <c:v>5.4703569760956583E-3</c:v>
                </c:pt>
                <c:pt idx="51">
                  <c:v>5.6365871416956814E-3</c:v>
                </c:pt>
                <c:pt idx="52">
                  <c:v>5.7953134116531429E-3</c:v>
                </c:pt>
                <c:pt idx="53">
                  <c:v>5.9457156666642419E-3</c:v>
                </c:pt>
                <c:pt idx="54">
                  <c:v>6.0870078059163113E-3</c:v>
                </c:pt>
                <c:pt idx="55">
                  <c:v>6.2184445891549124E-3</c:v>
                </c:pt>
                <c:pt idx="56">
                  <c:v>6.3393281835478826E-3</c:v>
                </c:pt>
                <c:pt idx="57">
                  <c:v>6.449014334951212E-3</c:v>
                </c:pt>
                <c:pt idx="58">
                  <c:v>6.5469180871311934E-3</c:v>
                </c:pt>
                <c:pt idx="59">
                  <c:v>6.6325189779867745E-3</c:v>
                </c:pt>
                <c:pt idx="60">
                  <c:v>6.7053656481242379E-3</c:v>
                </c:pt>
                <c:pt idx="61">
                  <c:v>6.7650798047289573E-3</c:v>
                </c:pt>
                <c:pt idx="62">
                  <c:v>6.8113594920219279E-3</c:v>
                </c:pt>
                <c:pt idx="63">
                  <c:v>6.8439816287402264E-3</c:v>
                </c:pt>
                <c:pt idx="64">
                  <c:v>6.8628037829199717E-3</c:v>
                </c:pt>
                <c:pt idx="65">
                  <c:v>6.8677651644104554E-3</c:v>
                </c:pt>
                <c:pt idx="66">
                  <c:v>6.8588868261076855E-3</c:v>
                </c:pt>
                <c:pt idx="67">
                  <c:v>6.8362710754449217E-3</c:v>
                </c:pt>
                <c:pt idx="68">
                  <c:v>6.8001001081960943E-3</c:v>
                </c:pt>
                <c:pt idx="69">
                  <c:v>6.7506338869074423E-3</c:v>
                </c:pt>
                <c:pt idx="70">
                  <c:v>6.6882072960166034E-3</c:v>
                </c:pt>
                <c:pt idx="71">
                  <c:v>6.6132266150176842E-3</c:v>
                </c:pt>
                <c:pt idx="72">
                  <c:v>6.5261653593953195E-3</c:v>
                </c:pt>
                <c:pt idx="73">
                  <c:v>6.4275595467135896E-3</c:v>
                </c:pt>
                <c:pt idx="74">
                  <c:v>6.3180024518074704E-3</c:v>
                </c:pt>
                <c:pt idx="75">
                  <c:v>6.1981389205583159E-3</c:v>
                </c:pt>
                <c:pt idx="76">
                  <c:v>6.0686593160734804E-3</c:v>
                </c:pt>
                <c:pt idx="77">
                  <c:v>5.9302931742874808E-3</c:v>
                </c:pt>
                <c:pt idx="78">
                  <c:v>5.7838026479002424E-3</c:v>
                </c:pt>
                <c:pt idx="79">
                  <c:v>5.6299758183215856E-3</c:v>
                </c:pt>
                <c:pt idx="80">
                  <c:v>5.4696199547134543E-3</c:v>
                </c:pt>
                <c:pt idx="81">
                  <c:v>5.303554797676302E-3</c:v>
                </c:pt>
                <c:pt idx="82">
                  <c:v>5.13260594224468E-3</c:v>
                </c:pt>
                <c:pt idx="83">
                  <c:v>4.9575983911496826E-3</c:v>
                </c:pt>
                <c:pt idx="84">
                  <c:v>4.7793503445882598E-3</c:v>
                </c:pt>
                <c:pt idx="85">
                  <c:v>4.5986672872084834E-3</c:v>
                </c:pt>
                <c:pt idx="86">
                  <c:v>4.4163364268424163E-3</c:v>
                </c:pt>
                <c:pt idx="87">
                  <c:v>4.2331215327500414E-3</c:v>
                </c:pt>
                <c:pt idx="88">
                  <c:v>4.0497582139408838E-3</c:v>
                </c:pt>
                <c:pt idx="89">
                  <c:v>3.8669496707017248E-3</c:v>
                </c:pt>
                <c:pt idx="90">
                  <c:v>3.6853629448028468E-3</c:v>
                </c:pt>
                <c:pt idx="91">
                  <c:v>3.5056256862409652E-3</c:v>
                </c:pt>
                <c:pt idx="92">
                  <c:v>3.3283234468257398E-3</c:v>
                </c:pt>
                <c:pt idx="93">
                  <c:v>3.1539975036398212E-3</c:v>
                </c:pt>
                <c:pt idx="94">
                  <c:v>2.9831432083910914E-3</c:v>
                </c:pt>
                <c:pt idx="95">
                  <c:v>2.8162088521894732E-3</c:v>
                </c:pt>
                <c:pt idx="96">
                  <c:v>2.6535950291986811E-3</c:v>
                </c:pt>
                <c:pt idx="97">
                  <c:v>2.4956544772424816E-3</c:v>
                </c:pt>
                <c:pt idx="98">
                  <c:v>2.3426923685739842E-3</c:v>
                </c:pt>
                <c:pt idx="99">
                  <c:v>2.1949670199628052E-3</c:v>
                </c:pt>
                <c:pt idx="100">
                  <c:v>2.0526909877917054E-3</c:v>
                </c:pt>
                <c:pt idx="101">
                  <c:v>1.9160325111842696E-3</c:v>
                </c:pt>
                <c:pt idx="102">
                  <c:v>1.7851172641869721E-3</c:v>
                </c:pt>
                <c:pt idx="103">
                  <c:v>1.660030376748685E-3</c:v>
                </c:pt>
                <c:pt idx="104">
                  <c:v>1.5408186836134161E-3</c:v>
                </c:pt>
                <c:pt idx="105">
                  <c:v>1.4274931602787301E-3</c:v>
                </c:pt>
                <c:pt idx="106">
                  <c:v>1.3200315057555743E-3</c:v>
                </c:pt>
                <c:pt idx="107">
                  <c:v>1.2183808330307358E-3</c:v>
                </c:pt>
                <c:pt idx="108">
                  <c:v>1.1224604297309789E-3</c:v>
                </c:pt>
                <c:pt idx="109">
                  <c:v>1.0321645535369141E-3</c:v>
                </c:pt>
                <c:pt idx="110">
                  <c:v>9.473652292648837E-4</c:v>
                </c:pt>
                <c:pt idx="111">
                  <c:v>8.679150172082752E-4</c:v>
                </c:pt>
                <c:pt idx="112">
                  <c:v>7.9364972520261519E-4</c:v>
                </c:pt>
                <c:pt idx="113">
                  <c:v>7.2439103992128677E-4</c:v>
                </c:pt>
                <c:pt idx="114">
                  <c:v>6.599490560205909E-4</c:v>
                </c:pt>
                <c:pt idx="115">
                  <c:v>6.0012468492509445E-4</c:v>
                </c:pt>
                <c:pt idx="116">
                  <c:v>5.4471192816367821E-4</c:v>
                </c:pt>
                <c:pt idx="117">
                  <c:v>4.9350000324882126E-4</c:v>
                </c:pt>
                <c:pt idx="118">
                  <c:v>4.4627531303574022E-4</c:v>
                </c:pt>
                <c:pt idx="119">
                  <c:v>4.0282325231191514E-4</c:v>
                </c:pt>
                <c:pt idx="120">
                  <c:v>3.6292984799222012E-4</c:v>
                </c:pt>
                <c:pt idx="121">
                  <c:v>3.2638323172091326E-4</c:v>
                </c:pt>
                <c:pt idx="122">
                  <c:v>2.9297494588127195E-4</c:v>
                </c:pt>
                <c:pt idx="123">
                  <c:v>2.6250108598445854E-4</c:v>
                </c:pt>
                <c:pt idx="124">
                  <c:v>2.3476328412889256E-4</c:v>
                </c:pt>
                <c:pt idx="125">
                  <c:v>2.0956953970551959E-4</c:v>
                </c:pt>
                <c:pt idx="126">
                  <c:v>1.8673490475780901E-4</c:v>
                </c:pt>
                <c:pt idx="127">
                  <c:v>1.6608203240795294E-4</c:v>
                </c:pt>
                <c:pt idx="128">
                  <c:v>1.4744159753307388E-4</c:v>
                </c:pt>
                <c:pt idx="129">
                  <c:v>1.30652599435312E-4</c:v>
                </c:pt>
                <c:pt idx="130">
                  <c:v>1.1556255660950614E-4</c:v>
                </c:pt>
                <c:pt idx="131">
                  <c:v>1.0202760389009681E-4</c:v>
                </c:pt>
                <c:pt idx="132">
                  <c:v>8.9912502271580747E-5</c:v>
                </c:pt>
                <c:pt idx="133">
                  <c:v>7.9090571565140462E-5</c:v>
                </c:pt>
                <c:pt idx="134">
                  <c:v>6.9443555794380333E-5</c:v>
                </c:pt>
                <c:pt idx="135">
                  <c:v>6.0861430867523462E-5</c:v>
                </c:pt>
                <c:pt idx="136">
                  <c:v>5.3242163608006493E-5</c:v>
                </c:pt>
                <c:pt idx="137">
                  <c:v>4.6491430700067034E-5</c:v>
                </c:pt>
                <c:pt idx="138">
                  <c:v>4.0522305526150897E-5</c:v>
                </c:pt>
                <c:pt idx="139">
                  <c:v>3.5254920256001656E-5</c:v>
                </c:pt>
                <c:pt idx="140">
                  <c:v>3.0616109905668415E-5</c:v>
                </c:pt>
                <c:pt idx="141">
                  <c:v>2.6539044433895089E-5</c:v>
                </c:pt>
                <c:pt idx="142">
                  <c:v>2.2962854292158229E-5</c:v>
                </c:pt>
                <c:pt idx="143">
                  <c:v>1.9832254205605648E-5</c:v>
                </c:pt>
                <c:pt idx="144">
                  <c:v>1.7097169341614007E-5</c:v>
                </c:pt>
                <c:pt idx="145">
                  <c:v>1.4712367429251689E-5</c:v>
                </c:pt>
                <c:pt idx="146">
                  <c:v>1.2637099831228161E-5</c:v>
                </c:pt>
                <c:pt idx="147">
                  <c:v>1.0834754044533954E-5</c:v>
                </c:pt>
                <c:pt idx="148">
                  <c:v>9.2725196201486604E-6</c:v>
                </c:pt>
                <c:pt idx="149">
                  <c:v>7.9210690475925431E-6</c:v>
                </c:pt>
                <c:pt idx="150">
                  <c:v>6.7542547478244935E-6</c:v>
                </c:pt>
                <c:pt idx="151">
                  <c:v>5.748822958226741E-6</c:v>
                </c:pt>
                <c:pt idx="152">
                  <c:v>4.8841449754075784E-6</c:v>
                </c:pt>
                <c:pt idx="153">
                  <c:v>4.1419659440852162E-6</c:v>
                </c:pt>
                <c:pt idx="154">
                  <c:v>3.5061711417210383E-6</c:v>
                </c:pt>
                <c:pt idx="155">
                  <c:v>2.9625695065009687E-6</c:v>
                </c:pt>
                <c:pt idx="156">
                  <c:v>2.4986939885177198E-6</c:v>
                </c:pt>
                <c:pt idx="157">
                  <c:v>2.103618167648009E-6</c:v>
                </c:pt>
                <c:pt idx="158">
                  <c:v>1.7677884741093998E-6</c:v>
                </c:pt>
                <c:pt idx="159">
                  <c:v>1.4828712659952888E-6</c:v>
                </c:pt>
                <c:pt idx="160">
                  <c:v>1.2416139595072175E-6</c:v>
                </c:pt>
                <c:pt idx="161">
                  <c:v>1.0377193692729821E-6</c:v>
                </c:pt>
                <c:pt idx="162">
                  <c:v>8.6573239546180248E-7</c:v>
                </c:pt>
                <c:pt idx="163">
                  <c:v>7.2093818875845859E-7</c:v>
                </c:pt>
                <c:pt idx="164">
                  <c:v>5.9927093133778015E-7</c:v>
                </c:pt>
                <c:pt idx="165">
                  <c:v>4.9723238952146625E-7</c:v>
                </c:pt>
                <c:pt idx="166">
                  <c:v>4.1181941982754214E-7</c:v>
                </c:pt>
                <c:pt idx="167">
                  <c:v>3.4045964280192097E-7</c:v>
                </c:pt>
                <c:pt idx="168">
                  <c:v>2.8095453673005111E-7</c:v>
                </c:pt>
                <c:pt idx="169">
                  <c:v>2.3142924463688001E-7</c:v>
                </c:pt>
                <c:pt idx="170">
                  <c:v>1.9028843164561888E-7</c:v>
                </c:pt>
                <c:pt idx="171">
                  <c:v>1.5617757471249161E-7</c:v>
                </c:pt>
                <c:pt idx="172">
                  <c:v>1.2794911208411142E-7</c:v>
                </c:pt>
                <c:pt idx="173">
                  <c:v>1.0463292478024591E-7</c:v>
                </c:pt>
                <c:pt idx="174">
                  <c:v>8.5410666383942541E-8</c:v>
                </c:pt>
                <c:pt idx="175">
                  <c:v>6.9593499931236681E-8</c:v>
                </c:pt>
                <c:pt idx="176">
                  <c:v>5.6602841366337527E-8</c:v>
                </c:pt>
                <c:pt idx="177">
                  <c:v>4.5953747587546447E-8</c:v>
                </c:pt>
                <c:pt idx="178">
                  <c:v>3.7240623367714504E-8</c:v>
                </c:pt>
                <c:pt idx="179">
                  <c:v>3.0124955273590387E-8</c:v>
                </c:pt>
                <c:pt idx="180">
                  <c:v>2.4324812078754927E-8</c:v>
                </c:pt>
              </c:numCache>
            </c:numRef>
          </c:yVal>
          <c:smooth val="1"/>
        </c:ser>
        <c:axId val="135695360"/>
        <c:axId val="135701632"/>
      </c:scatterChart>
      <c:valAx>
        <c:axId val="135695360"/>
        <c:scaling>
          <c:orientation val="minMax"/>
        </c:scaling>
        <c:axPos val="b"/>
        <c:title>
          <c:tx>
            <c:rich>
              <a:bodyPr/>
              <a:lstStyle/>
              <a:p>
                <a:pPr>
                  <a:defRPr/>
                </a:pPr>
                <a:r>
                  <a:rPr lang="zh-CN" altLang="en-US"/>
                  <a:t>距离</a:t>
                </a:r>
                <a:r>
                  <a:rPr lang="zh-CN"/>
                  <a:t>（</a:t>
                </a:r>
                <a:r>
                  <a:rPr lang="en-US" altLang="zh-CN"/>
                  <a:t>m</a:t>
                </a:r>
                <a:r>
                  <a:rPr lang="zh-CN"/>
                  <a:t>）</a:t>
                </a:r>
              </a:p>
            </c:rich>
          </c:tx>
        </c:title>
        <c:numFmt formatCode="General" sourceLinked="1"/>
        <c:majorTickMark val="in"/>
        <c:tickLblPos val="nextTo"/>
        <c:spPr>
          <a:ln>
            <a:solidFill>
              <a:prstClr val="black"/>
            </a:solidFill>
          </a:ln>
        </c:spPr>
        <c:crossAx val="135701632"/>
        <c:crosses val="autoZero"/>
        <c:crossBetween val="midCat"/>
      </c:valAx>
      <c:valAx>
        <c:axId val="135701632"/>
        <c:scaling>
          <c:orientation val="minMax"/>
          <c:min val="0"/>
        </c:scaling>
        <c:axPos val="l"/>
        <c:title>
          <c:tx>
            <c:rich>
              <a:bodyPr/>
              <a:lstStyle/>
              <a:p>
                <a:pPr>
                  <a:defRPr/>
                </a:pPr>
                <a:r>
                  <a:rPr lang="zh-CN"/>
                  <a:t>浓度（</a:t>
                </a:r>
                <a:r>
                  <a:rPr lang="en-US"/>
                  <a:t>mg/L</a:t>
                </a:r>
                <a:r>
                  <a:rPr lang="zh-CN"/>
                  <a:t>）</a:t>
                </a:r>
              </a:p>
            </c:rich>
          </c:tx>
        </c:title>
        <c:numFmt formatCode="General" sourceLinked="1"/>
        <c:majorTickMark val="in"/>
        <c:tickLblPos val="nextTo"/>
        <c:spPr>
          <a:ln>
            <a:solidFill>
              <a:prstClr val="black"/>
            </a:solidFill>
          </a:ln>
        </c:spPr>
        <c:crossAx val="135695360"/>
        <c:crosses val="autoZero"/>
        <c:crossBetween val="midCat"/>
      </c:valAx>
      <c:spPr>
        <a:ln>
          <a:solidFill>
            <a:prstClr val="black"/>
          </a:solidFill>
        </a:ln>
      </c:spPr>
    </c:plotArea>
    <c:plotVisOnly val="1"/>
    <c:dispBlanksAs val="gap"/>
  </c:chart>
  <c:spPr>
    <a:ln>
      <a:noFill/>
    </a:ln>
  </c:spPr>
  <c:txPr>
    <a:bodyPr/>
    <a:lstStyle/>
    <a:p>
      <a:pPr>
        <a:defRPr b="0">
          <a:latin typeface="Times New Roman" pitchFamily="18" charset="0"/>
          <a:cs typeface="Times New Roman" pitchFamily="18" charset="0"/>
        </a:defRPr>
      </a:pPr>
      <a:endParaRPr lang="zh-CN"/>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7638482349883863"/>
          <c:y val="2.768863642338968E-2"/>
          <c:w val="0.78888002752869901"/>
          <c:h val="0.70812785388127863"/>
        </c:manualLayout>
      </c:layout>
      <c:scatterChart>
        <c:scatterStyle val="smoothMarker"/>
        <c:ser>
          <c:idx val="3"/>
          <c:order val="0"/>
          <c:marker>
            <c:symbol val="none"/>
          </c:marker>
          <c:xVal>
            <c:numRef>
              <c:f>Calculate!$I$23:$I$203</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xVal>
          <c:yVal>
            <c:numRef>
              <c:f>Calculate!$J$23:$J$203</c:f>
              <c:numCache>
                <c:formatCode>General</c:formatCode>
                <c:ptCount val="181"/>
                <c:pt idx="0">
                  <c:v>0</c:v>
                </c:pt>
                <c:pt idx="1">
                  <c:v>7.5280508404773924E-6</c:v>
                </c:pt>
                <c:pt idx="2">
                  <c:v>1.6595208276015927E-5</c:v>
                </c:pt>
                <c:pt idx="3">
                  <c:v>2.7388691315799486E-5</c:v>
                </c:pt>
                <c:pt idx="4">
                  <c:v>4.0108320769061116E-5</c:v>
                </c:pt>
                <c:pt idx="5">
                  <c:v>5.4966249005695304E-5</c:v>
                </c:pt>
                <c:pt idx="6">
                  <c:v>7.218651940332874E-5</c:v>
                </c:pt>
                <c:pt idx="7">
                  <c:v>9.2004441530237294E-5</c:v>
                </c:pt>
                <c:pt idx="8">
                  <c:v>1.1466576927166186E-4</c:v>
                </c:pt>
                <c:pt idx="9">
                  <c:v>1.404256706631928E-4</c:v>
                </c:pt>
                <c:pt idx="10">
                  <c:v>1.6954748003694681E-4</c:v>
                </c:pt>
                <c:pt idx="11">
                  <c:v>2.0230122531339733E-4</c:v>
                </c:pt>
                <c:pt idx="12">
                  <c:v>2.3896192585981765E-4</c:v>
                </c:pt>
                <c:pt idx="13">
                  <c:v>2.798076592256441E-4</c:v>
                </c:pt>
                <c:pt idx="14">
                  <c:v>3.2511739829033494E-4</c:v>
                </c:pt>
                <c:pt idx="15">
                  <c:v>3.7516862388465211E-4</c:v>
                </c:pt>
                <c:pt idx="16">
                  <c:v>4.3023472166359156E-4</c:v>
                </c:pt>
                <c:pt idx="17">
                  <c:v>4.9058217602038982E-4</c:v>
                </c:pt>
                <c:pt idx="18">
                  <c:v>5.5646757789151735E-4</c:v>
                </c:pt>
                <c:pt idx="19">
                  <c:v>6.2813446752053002E-4</c:v>
                </c:pt>
                <c:pt idx="20">
                  <c:v>7.0581003746372783E-4</c:v>
                </c:pt>
                <c:pt idx="21">
                  <c:v>7.8970172525760773E-4</c:v>
                </c:pt>
                <c:pt idx="22">
                  <c:v>8.7999372919967268E-4</c:v>
                </c:pt>
                <c:pt idx="23">
                  <c:v>9.7684348447969554E-4</c:v>
                </c:pt>
                <c:pt idx="24">
                  <c:v>1.0803781403945281E-3</c:v>
                </c:pt>
                <c:pt idx="25">
                  <c:v>1.1906910824581729E-3</c:v>
                </c:pt>
                <c:pt idx="26">
                  <c:v>1.307838545852924E-3</c:v>
                </c:pt>
                <c:pt idx="27">
                  <c:v>1.4318363686967061E-3</c:v>
                </c:pt>
                <c:pt idx="28">
                  <c:v>1.5626569350368959E-3</c:v>
                </c:pt>
                <c:pt idx="29">
                  <c:v>1.7002263581846738E-3</c:v>
                </c:pt>
                <c:pt idx="30">
                  <c:v>1.8444219549303015E-3</c:v>
                </c:pt>
                <c:pt idx="31">
                  <c:v>1.9950700603530653E-3</c:v>
                </c:pt>
                <c:pt idx="32">
                  <c:v>2.1519442311643852E-3</c:v>
                </c:pt>
                <c:pt idx="33">
                  <c:v>2.3147638829828002E-3</c:v>
                </c:pt>
                <c:pt idx="34">
                  <c:v>2.4831934034468292E-3</c:v>
                </c:pt>
                <c:pt idx="35">
                  <c:v>2.6568417787840052E-3</c:v>
                </c:pt>
                <c:pt idx="36">
                  <c:v>2.8352627662249219E-3</c:v>
                </c:pt>
                <c:pt idx="37">
                  <c:v>3.0179556388181261E-3</c:v>
                </c:pt>
                <c:pt idx="38">
                  <c:v>3.2043665224406443E-3</c:v>
                </c:pt>
                <c:pt idx="39">
                  <c:v>3.3938903375698715E-3</c:v>
                </c:pt>
                <c:pt idx="40">
                  <c:v>3.5858733505209962E-3</c:v>
                </c:pt>
                <c:pt idx="41">
                  <c:v>3.7796163306120802E-3</c:v>
                </c:pt>
                <c:pt idx="42">
                  <c:v>3.9743783011489996E-3</c:v>
                </c:pt>
                <c:pt idx="43">
                  <c:v>4.1693808634390966E-3</c:v>
                </c:pt>
                <c:pt idx="44">
                  <c:v>4.3638130643088874E-3</c:v>
                </c:pt>
                <c:pt idx="45">
                  <c:v>4.5568367690038804E-3</c:v>
                </c:pt>
                <c:pt idx="46">
                  <c:v>4.7475924931097944E-3</c:v>
                </c:pt>
                <c:pt idx="47">
                  <c:v>4.9352056392413819E-3</c:v>
                </c:pt>
                <c:pt idx="48">
                  <c:v>5.1187930770653089E-3</c:v>
                </c:pt>
                <c:pt idx="49">
                  <c:v>5.2974699987272033E-3</c:v>
                </c:pt>
                <c:pt idx="50">
                  <c:v>5.4703569760956583E-3</c:v>
                </c:pt>
                <c:pt idx="51">
                  <c:v>5.6365871416956814E-3</c:v>
                </c:pt>
                <c:pt idx="52">
                  <c:v>5.7953134116531429E-3</c:v>
                </c:pt>
                <c:pt idx="53">
                  <c:v>5.9457156666642419E-3</c:v>
                </c:pt>
                <c:pt idx="54">
                  <c:v>6.0870078059163113E-3</c:v>
                </c:pt>
                <c:pt idx="55">
                  <c:v>6.2184445891549124E-3</c:v>
                </c:pt>
                <c:pt idx="56">
                  <c:v>6.3393281835478826E-3</c:v>
                </c:pt>
                <c:pt idx="57">
                  <c:v>6.449014334951212E-3</c:v>
                </c:pt>
                <c:pt idx="58">
                  <c:v>6.5469180871311934E-3</c:v>
                </c:pt>
                <c:pt idx="59">
                  <c:v>6.6325189779867745E-3</c:v>
                </c:pt>
                <c:pt idx="60">
                  <c:v>6.7053656481242379E-3</c:v>
                </c:pt>
                <c:pt idx="61">
                  <c:v>6.7650798047289573E-3</c:v>
                </c:pt>
                <c:pt idx="62">
                  <c:v>6.8113594920219279E-3</c:v>
                </c:pt>
                <c:pt idx="63">
                  <c:v>6.8439816287402264E-3</c:v>
                </c:pt>
                <c:pt idx="64">
                  <c:v>6.8628037829199717E-3</c:v>
                </c:pt>
                <c:pt idx="65">
                  <c:v>6.8677651644104554E-3</c:v>
                </c:pt>
                <c:pt idx="66">
                  <c:v>6.8588868261076855E-3</c:v>
                </c:pt>
                <c:pt idx="67">
                  <c:v>6.8362710754449217E-3</c:v>
                </c:pt>
                <c:pt idx="68">
                  <c:v>6.8001001081960943E-3</c:v>
                </c:pt>
                <c:pt idx="69">
                  <c:v>6.7506338869074423E-3</c:v>
                </c:pt>
                <c:pt idx="70">
                  <c:v>6.6882072960166034E-3</c:v>
                </c:pt>
                <c:pt idx="71">
                  <c:v>6.6132266150176842E-3</c:v>
                </c:pt>
                <c:pt idx="72">
                  <c:v>6.5261653593953195E-3</c:v>
                </c:pt>
                <c:pt idx="73">
                  <c:v>6.4275595467135896E-3</c:v>
                </c:pt>
                <c:pt idx="74">
                  <c:v>6.3180024518074704E-3</c:v>
                </c:pt>
                <c:pt idx="75">
                  <c:v>6.1981389205583159E-3</c:v>
                </c:pt>
                <c:pt idx="76">
                  <c:v>6.0686593160734804E-3</c:v>
                </c:pt>
                <c:pt idx="77">
                  <c:v>5.9302931742874808E-3</c:v>
                </c:pt>
                <c:pt idx="78">
                  <c:v>5.7838026479002424E-3</c:v>
                </c:pt>
                <c:pt idx="79">
                  <c:v>5.6299758183215856E-3</c:v>
                </c:pt>
                <c:pt idx="80">
                  <c:v>5.4696199547134543E-3</c:v>
                </c:pt>
                <c:pt idx="81">
                  <c:v>5.303554797676302E-3</c:v>
                </c:pt>
                <c:pt idx="82">
                  <c:v>5.13260594224468E-3</c:v>
                </c:pt>
                <c:pt idx="83">
                  <c:v>4.9575983911496826E-3</c:v>
                </c:pt>
                <c:pt idx="84">
                  <c:v>4.7793503445882598E-3</c:v>
                </c:pt>
                <c:pt idx="85">
                  <c:v>4.5986672872084834E-3</c:v>
                </c:pt>
                <c:pt idx="86">
                  <c:v>4.4163364268424163E-3</c:v>
                </c:pt>
                <c:pt idx="87">
                  <c:v>4.2331215327500414E-3</c:v>
                </c:pt>
                <c:pt idx="88">
                  <c:v>4.0497582139408838E-3</c:v>
                </c:pt>
                <c:pt idx="89">
                  <c:v>3.8669496707017248E-3</c:v>
                </c:pt>
                <c:pt idx="90">
                  <c:v>3.6853629448028468E-3</c:v>
                </c:pt>
                <c:pt idx="91">
                  <c:v>3.5056256862409652E-3</c:v>
                </c:pt>
                <c:pt idx="92">
                  <c:v>3.3283234468257398E-3</c:v>
                </c:pt>
                <c:pt idx="93">
                  <c:v>3.1539975036398212E-3</c:v>
                </c:pt>
                <c:pt idx="94">
                  <c:v>2.9831432083910914E-3</c:v>
                </c:pt>
                <c:pt idx="95">
                  <c:v>2.8162088521894732E-3</c:v>
                </c:pt>
                <c:pt idx="96">
                  <c:v>2.6535950291986811E-3</c:v>
                </c:pt>
                <c:pt idx="97">
                  <c:v>2.4956544772424816E-3</c:v>
                </c:pt>
                <c:pt idx="98">
                  <c:v>2.3426923685739842E-3</c:v>
                </c:pt>
                <c:pt idx="99">
                  <c:v>2.1949670199628052E-3</c:v>
                </c:pt>
                <c:pt idx="100">
                  <c:v>2.0526909877917054E-3</c:v>
                </c:pt>
                <c:pt idx="101">
                  <c:v>1.9160325111842696E-3</c:v>
                </c:pt>
                <c:pt idx="102">
                  <c:v>1.7851172641869721E-3</c:v>
                </c:pt>
                <c:pt idx="103">
                  <c:v>1.660030376748685E-3</c:v>
                </c:pt>
                <c:pt idx="104">
                  <c:v>1.5408186836134161E-3</c:v>
                </c:pt>
                <c:pt idx="105">
                  <c:v>1.4274931602787301E-3</c:v>
                </c:pt>
                <c:pt idx="106">
                  <c:v>1.3200315057555743E-3</c:v>
                </c:pt>
                <c:pt idx="107">
                  <c:v>1.2183808330307358E-3</c:v>
                </c:pt>
                <c:pt idx="108">
                  <c:v>1.1224604297309789E-3</c:v>
                </c:pt>
                <c:pt idx="109">
                  <c:v>1.0321645535369141E-3</c:v>
                </c:pt>
                <c:pt idx="110">
                  <c:v>9.473652292648837E-4</c:v>
                </c:pt>
                <c:pt idx="111">
                  <c:v>8.679150172082752E-4</c:v>
                </c:pt>
                <c:pt idx="112">
                  <c:v>7.9364972520261519E-4</c:v>
                </c:pt>
                <c:pt idx="113">
                  <c:v>7.2439103992128677E-4</c:v>
                </c:pt>
                <c:pt idx="114">
                  <c:v>6.599490560205909E-4</c:v>
                </c:pt>
                <c:pt idx="115">
                  <c:v>6.0012468492509445E-4</c:v>
                </c:pt>
                <c:pt idx="116">
                  <c:v>5.4471192816367821E-4</c:v>
                </c:pt>
                <c:pt idx="117">
                  <c:v>4.9350000324882126E-4</c:v>
                </c:pt>
                <c:pt idx="118">
                  <c:v>4.4627531303574022E-4</c:v>
                </c:pt>
                <c:pt idx="119">
                  <c:v>4.0282325231191514E-4</c:v>
                </c:pt>
                <c:pt idx="120">
                  <c:v>3.6292984799222012E-4</c:v>
                </c:pt>
                <c:pt idx="121">
                  <c:v>3.2638323172091326E-4</c:v>
                </c:pt>
                <c:pt idx="122">
                  <c:v>2.9297494588127195E-4</c:v>
                </c:pt>
                <c:pt idx="123">
                  <c:v>2.6250108598445854E-4</c:v>
                </c:pt>
                <c:pt idx="124">
                  <c:v>2.3476328412889256E-4</c:v>
                </c:pt>
                <c:pt idx="125">
                  <c:v>2.0956953970551959E-4</c:v>
                </c:pt>
                <c:pt idx="126">
                  <c:v>1.8673490475780901E-4</c:v>
                </c:pt>
                <c:pt idx="127">
                  <c:v>1.6608203240795294E-4</c:v>
                </c:pt>
                <c:pt idx="128">
                  <c:v>1.4744159753307388E-4</c:v>
                </c:pt>
                <c:pt idx="129">
                  <c:v>1.30652599435312E-4</c:v>
                </c:pt>
                <c:pt idx="130">
                  <c:v>1.1556255660950614E-4</c:v>
                </c:pt>
                <c:pt idx="131">
                  <c:v>1.0202760389009681E-4</c:v>
                </c:pt>
                <c:pt idx="132">
                  <c:v>8.9912502271580747E-5</c:v>
                </c:pt>
                <c:pt idx="133">
                  <c:v>7.9090571565140462E-5</c:v>
                </c:pt>
                <c:pt idx="134">
                  <c:v>6.9443555794380333E-5</c:v>
                </c:pt>
                <c:pt idx="135">
                  <c:v>6.0861430867523462E-5</c:v>
                </c:pt>
                <c:pt idx="136">
                  <c:v>5.3242163608006493E-5</c:v>
                </c:pt>
                <c:pt idx="137">
                  <c:v>4.6491430700067034E-5</c:v>
                </c:pt>
                <c:pt idx="138">
                  <c:v>4.0522305526150897E-5</c:v>
                </c:pt>
                <c:pt idx="139">
                  <c:v>3.5254920256001656E-5</c:v>
                </c:pt>
                <c:pt idx="140">
                  <c:v>3.0616109905668415E-5</c:v>
                </c:pt>
                <c:pt idx="141">
                  <c:v>2.6539044433895089E-5</c:v>
                </c:pt>
                <c:pt idx="142">
                  <c:v>2.2962854292158229E-5</c:v>
                </c:pt>
                <c:pt idx="143">
                  <c:v>1.9832254205605648E-5</c:v>
                </c:pt>
                <c:pt idx="144">
                  <c:v>1.7097169341614007E-5</c:v>
                </c:pt>
                <c:pt idx="145">
                  <c:v>1.4712367429251689E-5</c:v>
                </c:pt>
                <c:pt idx="146">
                  <c:v>1.2637099831228161E-5</c:v>
                </c:pt>
                <c:pt idx="147">
                  <c:v>1.0834754044533954E-5</c:v>
                </c:pt>
                <c:pt idx="148">
                  <c:v>9.2725196201486604E-6</c:v>
                </c:pt>
                <c:pt idx="149">
                  <c:v>7.9210690475925431E-6</c:v>
                </c:pt>
                <c:pt idx="150">
                  <c:v>6.7542547478244935E-6</c:v>
                </c:pt>
                <c:pt idx="151">
                  <c:v>5.748822958226741E-6</c:v>
                </c:pt>
                <c:pt idx="152">
                  <c:v>4.8841449754075784E-6</c:v>
                </c:pt>
                <c:pt idx="153">
                  <c:v>4.1419659440852162E-6</c:v>
                </c:pt>
                <c:pt idx="154">
                  <c:v>3.5061711417210383E-6</c:v>
                </c:pt>
                <c:pt idx="155">
                  <c:v>2.9625695065009687E-6</c:v>
                </c:pt>
                <c:pt idx="156">
                  <c:v>2.4986939885177198E-6</c:v>
                </c:pt>
                <c:pt idx="157">
                  <c:v>2.103618167648009E-6</c:v>
                </c:pt>
                <c:pt idx="158">
                  <c:v>1.7677884741093998E-6</c:v>
                </c:pt>
                <c:pt idx="159">
                  <c:v>1.4828712659952888E-6</c:v>
                </c:pt>
                <c:pt idx="160">
                  <c:v>1.2416139595072175E-6</c:v>
                </c:pt>
                <c:pt idx="161">
                  <c:v>1.0377193692729821E-6</c:v>
                </c:pt>
                <c:pt idx="162">
                  <c:v>8.6573239546180248E-7</c:v>
                </c:pt>
                <c:pt idx="163">
                  <c:v>7.2093818875845859E-7</c:v>
                </c:pt>
                <c:pt idx="164">
                  <c:v>5.9927093133778015E-7</c:v>
                </c:pt>
                <c:pt idx="165">
                  <c:v>4.9723238952146625E-7</c:v>
                </c:pt>
                <c:pt idx="166">
                  <c:v>4.1181941982754214E-7</c:v>
                </c:pt>
                <c:pt idx="167">
                  <c:v>3.4045964280192097E-7</c:v>
                </c:pt>
                <c:pt idx="168">
                  <c:v>2.8095453673005111E-7</c:v>
                </c:pt>
                <c:pt idx="169">
                  <c:v>2.3142924463688001E-7</c:v>
                </c:pt>
                <c:pt idx="170">
                  <c:v>1.9028843164561888E-7</c:v>
                </c:pt>
                <c:pt idx="171">
                  <c:v>1.5617757471249161E-7</c:v>
                </c:pt>
                <c:pt idx="172">
                  <c:v>1.2794911208411142E-7</c:v>
                </c:pt>
                <c:pt idx="173">
                  <c:v>1.0463292478024591E-7</c:v>
                </c:pt>
                <c:pt idx="174">
                  <c:v>8.5410666383942541E-8</c:v>
                </c:pt>
                <c:pt idx="175">
                  <c:v>6.9593499931236681E-8</c:v>
                </c:pt>
                <c:pt idx="176">
                  <c:v>5.6602841366337527E-8</c:v>
                </c:pt>
                <c:pt idx="177">
                  <c:v>4.5953747587546447E-8</c:v>
                </c:pt>
                <c:pt idx="178">
                  <c:v>3.7240623367714504E-8</c:v>
                </c:pt>
                <c:pt idx="179">
                  <c:v>3.0124955273590387E-8</c:v>
                </c:pt>
                <c:pt idx="180">
                  <c:v>2.4324812078754927E-8</c:v>
                </c:pt>
              </c:numCache>
            </c:numRef>
          </c:yVal>
          <c:smooth val="1"/>
        </c:ser>
        <c:axId val="147440000"/>
        <c:axId val="147441920"/>
      </c:scatterChart>
      <c:valAx>
        <c:axId val="147440000"/>
        <c:scaling>
          <c:orientation val="minMax"/>
        </c:scaling>
        <c:axPos val="b"/>
        <c:title>
          <c:tx>
            <c:rich>
              <a:bodyPr/>
              <a:lstStyle/>
              <a:p>
                <a:pPr>
                  <a:defRPr/>
                </a:pPr>
                <a:r>
                  <a:rPr lang="zh-CN" altLang="en-US"/>
                  <a:t>距离</a:t>
                </a:r>
                <a:r>
                  <a:rPr lang="zh-CN"/>
                  <a:t>（</a:t>
                </a:r>
                <a:r>
                  <a:rPr lang="en-US" altLang="zh-CN"/>
                  <a:t>m</a:t>
                </a:r>
                <a:r>
                  <a:rPr lang="zh-CN"/>
                  <a:t>）</a:t>
                </a:r>
              </a:p>
            </c:rich>
          </c:tx>
        </c:title>
        <c:numFmt formatCode="General" sourceLinked="1"/>
        <c:majorTickMark val="in"/>
        <c:tickLblPos val="nextTo"/>
        <c:spPr>
          <a:ln>
            <a:solidFill>
              <a:prstClr val="black"/>
            </a:solidFill>
          </a:ln>
        </c:spPr>
        <c:crossAx val="147441920"/>
        <c:crosses val="autoZero"/>
        <c:crossBetween val="midCat"/>
      </c:valAx>
      <c:valAx>
        <c:axId val="147441920"/>
        <c:scaling>
          <c:orientation val="minMax"/>
          <c:min val="0"/>
        </c:scaling>
        <c:axPos val="l"/>
        <c:title>
          <c:tx>
            <c:rich>
              <a:bodyPr/>
              <a:lstStyle/>
              <a:p>
                <a:pPr>
                  <a:defRPr/>
                </a:pPr>
                <a:r>
                  <a:rPr lang="zh-CN"/>
                  <a:t>浓度（</a:t>
                </a:r>
                <a:r>
                  <a:rPr lang="en-US"/>
                  <a:t>mg/L</a:t>
                </a:r>
                <a:r>
                  <a:rPr lang="zh-CN"/>
                  <a:t>）</a:t>
                </a:r>
              </a:p>
            </c:rich>
          </c:tx>
        </c:title>
        <c:numFmt formatCode="General" sourceLinked="1"/>
        <c:majorTickMark val="in"/>
        <c:tickLblPos val="nextTo"/>
        <c:spPr>
          <a:ln>
            <a:solidFill>
              <a:prstClr val="black"/>
            </a:solidFill>
          </a:ln>
        </c:spPr>
        <c:crossAx val="147440000"/>
        <c:crosses val="autoZero"/>
        <c:crossBetween val="midCat"/>
      </c:valAx>
      <c:spPr>
        <a:ln>
          <a:solidFill>
            <a:prstClr val="black"/>
          </a:solidFill>
        </a:ln>
      </c:spPr>
    </c:plotArea>
    <c:plotVisOnly val="1"/>
    <c:dispBlanksAs val="gap"/>
  </c:chart>
  <c:spPr>
    <a:ln>
      <a:noFill/>
    </a:ln>
  </c:spPr>
  <c:txPr>
    <a:bodyPr/>
    <a:lstStyle/>
    <a:p>
      <a:pPr>
        <a:defRPr b="0">
          <a:latin typeface="Times New Roman" pitchFamily="18" charset="0"/>
          <a:cs typeface="Times New Roman" pitchFamily="18" charset="0"/>
        </a:defRPr>
      </a:pPr>
      <a:endParaRPr lang="zh-CN"/>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7638482349883863"/>
          <c:y val="2.768863642338968E-2"/>
          <c:w val="0.78888002752869901"/>
          <c:h val="0.70812785388127863"/>
        </c:manualLayout>
      </c:layout>
      <c:scatterChart>
        <c:scatterStyle val="smoothMarker"/>
        <c:ser>
          <c:idx val="3"/>
          <c:order val="0"/>
          <c:marker>
            <c:symbol val="none"/>
          </c:marker>
          <c:xVal>
            <c:numRef>
              <c:f>Calculate!$I$23:$I$203</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Calculate!$J$23:$J$203</c:f>
              <c:numCache>
                <c:formatCode>General</c:formatCode>
                <c:ptCount val="181"/>
                <c:pt idx="0">
                  <c:v>0</c:v>
                </c:pt>
                <c:pt idx="1">
                  <c:v>2.1294084222426981E-2</c:v>
                </c:pt>
                <c:pt idx="2">
                  <c:v>4.3224469859378903E-2</c:v>
                </c:pt>
                <c:pt idx="3">
                  <c:v>6.4280622742925814E-2</c:v>
                </c:pt>
                <c:pt idx="4">
                  <c:v>8.3003811718632067E-2</c:v>
                </c:pt>
                <c:pt idx="5">
                  <c:v>9.8154377716300381E-2</c:v>
                </c:pt>
                <c:pt idx="6">
                  <c:v>0.10884736560457203</c:v>
                </c:pt>
                <c:pt idx="7">
                  <c:v>0.11463592279929259</c:v>
                </c:pt>
                <c:pt idx="8">
                  <c:v>0.11553192615194242</c:v>
                </c:pt>
                <c:pt idx="9">
                  <c:v>0.11196496470346061</c:v>
                </c:pt>
                <c:pt idx="10">
                  <c:v>0.10469143239092002</c:v>
                </c:pt>
                <c:pt idx="11">
                  <c:v>9.4672860036150747E-2</c:v>
                </c:pt>
                <c:pt idx="12">
                  <c:v>8.2945498658391625E-2</c:v>
                </c:pt>
                <c:pt idx="13">
                  <c:v>7.0501501394726634E-2</c:v>
                </c:pt>
                <c:pt idx="14">
                  <c:v>5.8196837435536088E-2</c:v>
                </c:pt>
                <c:pt idx="15">
                  <c:v>4.6693960240027324E-2</c:v>
                </c:pt>
                <c:pt idx="16">
                  <c:v>3.6440036441293892E-2</c:v>
                </c:pt>
                <c:pt idx="17">
                  <c:v>2.767569340157363E-2</c:v>
                </c:pt>
                <c:pt idx="18">
                  <c:v>2.0465625046189689E-2</c:v>
                </c:pt>
                <c:pt idx="19">
                  <c:v>1.4741189676130339E-2</c:v>
                </c:pt>
                <c:pt idx="20">
                  <c:v>1.0345960447073759E-2</c:v>
                </c:pt>
                <c:pt idx="21">
                  <c:v>7.0773388526838617E-3</c:v>
                </c:pt>
                <c:pt idx="22">
                  <c:v>4.7200254430114904E-3</c:v>
                </c:pt>
                <c:pt idx="23">
                  <c:v>3.0696947045967446E-3</c:v>
                </c:pt>
                <c:pt idx="24">
                  <c:v>1.9472116816986985E-3</c:v>
                </c:pt>
                <c:pt idx="25">
                  <c:v>1.2049805846816944E-3</c:v>
                </c:pt>
                <c:pt idx="26">
                  <c:v>7.2756226774407784E-4</c:v>
                </c:pt>
                <c:pt idx="27">
                  <c:v>4.2869812669124547E-4</c:v>
                </c:pt>
                <c:pt idx="28">
                  <c:v>2.4653979949714497E-4</c:v>
                </c:pt>
                <c:pt idx="29">
                  <c:v>1.3839955731133292E-4</c:v>
                </c:pt>
                <c:pt idx="30">
                  <c:v>7.5848817663962738E-5</c:v>
                </c:pt>
                <c:pt idx="31">
                  <c:v>4.0586369585486483E-5</c:v>
                </c:pt>
                <c:pt idx="32">
                  <c:v>2.1206876242628616E-5</c:v>
                </c:pt>
                <c:pt idx="33">
                  <c:v>1.08214009148693E-5</c:v>
                </c:pt>
                <c:pt idx="34">
                  <c:v>5.3931609929019743E-6</c:v>
                </c:pt>
                <c:pt idx="35">
                  <c:v>2.6254097408068523E-6</c:v>
                </c:pt>
                <c:pt idx="36">
                  <c:v>1.2484851293860977E-6</c:v>
                </c:pt>
                <c:pt idx="37">
                  <c:v>5.8001498837063325E-7</c:v>
                </c:pt>
                <c:pt idx="38">
                  <c:v>2.6326914063790846E-7</c:v>
                </c:pt>
                <c:pt idx="39">
                  <c:v>1.1676142272088064E-7</c:v>
                </c:pt>
                <c:pt idx="40">
                  <c:v>5.060224685472552E-8</c:v>
                </c:pt>
                <c:pt idx="41">
                  <c:v>2.1430985201157818E-8</c:v>
                </c:pt>
                <c:pt idx="42">
                  <c:v>8.870455905967242E-9</c:v>
                </c:pt>
                <c:pt idx="43">
                  <c:v>3.5884711234181313E-9</c:v>
                </c:pt>
                <c:pt idx="44">
                  <c:v>1.4189256254528841E-9</c:v>
                </c:pt>
                <c:pt idx="45">
                  <c:v>5.4843120557209396E-10</c:v>
                </c:pt>
                <c:pt idx="46">
                  <c:v>2.0721513600785888E-10</c:v>
                </c:pt>
                <c:pt idx="47">
                  <c:v>7.6538649173060288E-11</c:v>
                </c:pt>
                <c:pt idx="48">
                  <c:v>2.7638985770565421E-11</c:v>
                </c:pt>
                <c:pt idx="49">
                  <c:v>9.7581207224290698E-12</c:v>
                </c:pt>
                <c:pt idx="50">
                  <c:v>3.3684696308131489E-12</c:v>
                </c:pt>
                <c:pt idx="51">
                  <c:v>1.1369460600922173E-12</c:v>
                </c:pt>
                <c:pt idx="52">
                  <c:v>3.7523652671500359E-13</c:v>
                </c:pt>
                <c:pt idx="53">
                  <c:v>1.2110009293152587E-13</c:v>
                </c:pt>
                <c:pt idx="54">
                  <c:v>3.821843910510903E-14</c:v>
                </c:pt>
                <c:pt idx="55">
                  <c:v>1.1795175167472136E-14</c:v>
                </c:pt>
                <c:pt idx="56">
                  <c:v>3.5600133957432397E-15</c:v>
                </c:pt>
                <c:pt idx="57">
                  <c:v>1.0508153970525907E-15</c:v>
                </c:pt>
                <c:pt idx="58">
                  <c:v>3.03346890346554E-16</c:v>
                </c:pt>
                <c:pt idx="59">
                  <c:v>8.564475882576658E-17</c:v>
                </c:pt>
                <c:pt idx="60">
                  <c:v>2.3649340376101077E-17</c:v>
                </c:pt>
                <c:pt idx="61">
                  <c:v>6.3870786209641841E-18</c:v>
                </c:pt>
                <c:pt idx="62">
                  <c:v>1.6871652982073696E-18</c:v>
                </c:pt>
                <c:pt idx="63">
                  <c:v>4.3590465796164647E-19</c:v>
                </c:pt>
                <c:pt idx="64">
                  <c:v>1.1015634209514981E-19</c:v>
                </c:pt>
                <c:pt idx="65">
                  <c:v>2.7228050294852443E-20</c:v>
                </c:pt>
                <c:pt idx="66">
                  <c:v>6.5828945306005563E-21</c:v>
                </c:pt>
                <c:pt idx="67">
                  <c:v>1.5567333791194243E-21</c:v>
                </c:pt>
                <c:pt idx="68">
                  <c:v>3.6009051823294114E-22</c:v>
                </c:pt>
                <c:pt idx="69">
                  <c:v>8.1472652363288625E-23</c:v>
                </c:pt>
                <c:pt idx="70">
                  <c:v>1.8030878901965878E-23</c:v>
                </c:pt>
                <c:pt idx="71">
                  <c:v>3.9032695414911103E-24</c:v>
                </c:pt>
                <c:pt idx="72">
                  <c:v>8.2651006728204317E-25</c:v>
                </c:pt>
                <c:pt idx="73">
                  <c:v>1.7118934414844061E-25</c:v>
                </c:pt>
                <c:pt idx="74">
                  <c:v>3.4682867552381892E-26</c:v>
                </c:pt>
                <c:pt idx="75">
                  <c:v>6.8732699688955083E-27</c:v>
                </c:pt>
                <c:pt idx="76">
                  <c:v>1.332361745118744E-27</c:v>
                </c:pt>
                <c:pt idx="77">
                  <c:v>2.5263368664695882E-28</c:v>
                </c:pt>
                <c:pt idx="78">
                  <c:v>4.685657546997176E-29</c:v>
                </c:pt>
                <c:pt idx="79">
                  <c:v>8.5007977548283678E-30</c:v>
                </c:pt>
                <c:pt idx="80">
                  <c:v>1.5085448257954858E-30</c:v>
                </c:pt>
                <c:pt idx="81">
                  <c:v>2.6185784188533741E-31</c:v>
                </c:pt>
                <c:pt idx="82">
                  <c:v>4.4461193648072087E-32</c:v>
                </c:pt>
                <c:pt idx="83">
                  <c:v>7.3842107764851167E-33</c:v>
                </c:pt>
                <c:pt idx="84">
                  <c:v>1.1995923491653635E-33</c:v>
                </c:pt>
                <c:pt idx="85">
                  <c:v>1.9062026947919819E-34</c:v>
                </c:pt>
                <c:pt idx="86">
                  <c:v>2.9628480343351696E-35</c:v>
                </c:pt>
                <c:pt idx="87">
                  <c:v>4.5045734097941466E-36</c:v>
                </c:pt>
                <c:pt idx="88">
                  <c:v>6.6988618906170818E-37</c:v>
                </c:pt>
                <c:pt idx="89">
                  <c:v>9.7442967041541817E-38</c:v>
                </c:pt>
                <c:pt idx="90">
                  <c:v>1.3864402094372443E-38</c:v>
                </c:pt>
                <c:pt idx="91">
                  <c:v>1.9295321168791634E-39</c:v>
                </c:pt>
                <c:pt idx="92">
                  <c:v>2.6266496676502898E-40</c:v>
                </c:pt>
                <c:pt idx="93">
                  <c:v>3.4974428516757406E-41</c:v>
                </c:pt>
                <c:pt idx="94">
                  <c:v>4.555085218888341E-42</c:v>
                </c:pt>
                <c:pt idx="95">
                  <c:v>5.8028169882045766E-43</c:v>
                </c:pt>
                <c:pt idx="96">
                  <c:v>7.2306414509411604E-44</c:v>
                </c:pt>
                <c:pt idx="97">
                  <c:v>8.8127099755421721E-45</c:v>
                </c:pt>
                <c:pt idx="98">
                  <c:v>1.0505965203938987E-45</c:v>
                </c:pt>
                <c:pt idx="99">
                  <c:v>1.2250545156917798E-46</c:v>
                </c:pt>
                <c:pt idx="100">
                  <c:v>1.397227152589129E-47</c:v>
                </c:pt>
                <c:pt idx="101">
                  <c:v>1.5587266019851379E-48</c:v>
                </c:pt>
                <c:pt idx="102">
                  <c:v>1.7008398070063222E-49</c:v>
                </c:pt>
                <c:pt idx="103">
                  <c:v>1.8152925829678029E-50</c:v>
                </c:pt>
                <c:pt idx="104">
                  <c:v>1.8950420636257762E-51</c:v>
                </c:pt>
                <c:pt idx="105">
                  <c:v>1.9349927232299118E-52</c:v>
                </c:pt>
                <c:pt idx="106">
                  <c:v>1.9325349563439372E-53</c:v>
                </c:pt>
                <c:pt idx="107">
                  <c:v>1.8878271108374405E-54</c:v>
                </c:pt>
                <c:pt idx="108">
                  <c:v>1.803778610511403E-55</c:v>
                </c:pt>
                <c:pt idx="109">
                  <c:v>1.6857366672305728E-56</c:v>
                </c:pt>
                <c:pt idx="110">
                  <c:v>1.5409234732564622E-57</c:v>
                </c:pt>
                <c:pt idx="111">
                  <c:v>1.3777061961541621E-58</c:v>
                </c:pt>
                <c:pt idx="112">
                  <c:v>1.2048021619525141E-59</c:v>
                </c:pt>
                <c:pt idx="113">
                  <c:v>1.0305233789508439E-60</c:v>
                </c:pt>
                <c:pt idx="114">
                  <c:v>8.6214905614114144E-62</c:v>
                </c:pt>
                <c:pt idx="115">
                  <c:v>7.0548647314819805E-63</c:v>
                </c:pt>
                <c:pt idx="116">
                  <c:v>5.6464604873332134E-64</c:v>
                </c:pt>
                <c:pt idx="117">
                  <c:v>4.4202274813274076E-65</c:v>
                </c:pt>
                <c:pt idx="118">
                  <c:v>3.3844892712038332E-66</c:v>
                </c:pt>
                <c:pt idx="119">
                  <c:v>2.5346695085715469E-67</c:v>
                </c:pt>
                <c:pt idx="120">
                  <c:v>1.8566443137910539E-68</c:v>
                </c:pt>
                <c:pt idx="121">
                  <c:v>1.330193323549847E-69</c:v>
                </c:pt>
                <c:pt idx="122">
                  <c:v>9.321354299038453E-71</c:v>
                </c:pt>
                <c:pt idx="123">
                  <c:v>6.3888250901787622E-72</c:v>
                </c:pt>
                <c:pt idx="124">
                  <c:v>4.2829228804542068E-73</c:v>
                </c:pt>
                <c:pt idx="125">
                  <c:v>2.8082536793852967E-74</c:v>
                </c:pt>
                <c:pt idx="126">
                  <c:v>1.8009796609843013E-75</c:v>
                </c:pt>
                <c:pt idx="127">
                  <c:v>1.1296846897619545E-76</c:v>
                </c:pt>
                <c:pt idx="128">
                  <c:v>6.9307658066657179E-78</c:v>
                </c:pt>
                <c:pt idx="129">
                  <c:v>4.1589178757015168E-79</c:v>
                </c:pt>
                <c:pt idx="130">
                  <c:v>2.4409237140346099E-80</c:v>
                </c:pt>
                <c:pt idx="131">
                  <c:v>1.4012073971499171E-81</c:v>
                </c:pt>
                <c:pt idx="132">
                  <c:v>7.8672800243336516E-83</c:v>
                </c:pt>
                <c:pt idx="133">
                  <c:v>4.3203645757520458E-84</c:v>
                </c:pt>
                <c:pt idx="134">
                  <c:v>2.3205419385755301E-85</c:v>
                </c:pt>
                <c:pt idx="135">
                  <c:v>1.219077536368068E-86</c:v>
                </c:pt>
                <c:pt idx="136">
                  <c:v>6.2639137571827604E-88</c:v>
                </c:pt>
                <c:pt idx="137">
                  <c:v>3.1479831873407995E-89</c:v>
                </c:pt>
                <c:pt idx="138">
                  <c:v>1.5473583380366764E-90</c:v>
                </c:pt>
                <c:pt idx="139">
                  <c:v>7.4391091260780898E-92</c:v>
                </c:pt>
                <c:pt idx="140">
                  <c:v>3.4980190907375814E-93</c:v>
                </c:pt>
                <c:pt idx="141">
                  <c:v>1.6087713544045294E-94</c:v>
                </c:pt>
                <c:pt idx="142">
                  <c:v>7.2366417212998291E-96</c:v>
                </c:pt>
                <c:pt idx="143">
                  <c:v>3.1838318061286811E-97</c:v>
                </c:pt>
                <c:pt idx="144">
                  <c:v>1.3700397481670182E-98</c:v>
                </c:pt>
                <c:pt idx="145">
                  <c:v>5.7661499919548283E-100</c:v>
                </c:pt>
                <c:pt idx="146">
                  <c:v>2.3736033134561189E-101</c:v>
                </c:pt>
                <c:pt idx="147">
                  <c:v>9.5565140879029984E-103</c:v>
                </c:pt>
                <c:pt idx="148">
                  <c:v>3.7632213106945362E-104</c:v>
                </c:pt>
                <c:pt idx="149">
                  <c:v>1.4494012779705323E-105</c:v>
                </c:pt>
                <c:pt idx="150">
                  <c:v>5.4599150570183966E-107</c:v>
                </c:pt>
                <c:pt idx="151">
                  <c:v>2.0116445444237204E-108</c:v>
                </c:pt>
                <c:pt idx="152">
                  <c:v>7.2491062138432989E-110</c:v>
                </c:pt>
                <c:pt idx="153">
                  <c:v>2.5549670252156201E-111</c:v>
                </c:pt>
                <c:pt idx="154">
                  <c:v>8.8075174612629491E-113</c:v>
                </c:pt>
                <c:pt idx="155">
                  <c:v>2.9695378688583678E-114</c:v>
                </c:pt>
                <c:pt idx="156">
                  <c:v>9.7924448391215511E-116</c:v>
                </c:pt>
                <c:pt idx="157">
                  <c:v>3.1583487510822836E-117</c:v>
                </c:pt>
                <c:pt idx="158">
                  <c:v>9.9631230946624404E-119</c:v>
                </c:pt>
                <c:pt idx="159">
                  <c:v>3.073952497959581E-120</c:v>
                </c:pt>
                <c:pt idx="160">
                  <c:v>9.2760875245409544E-122</c:v>
                </c:pt>
                <c:pt idx="161">
                  <c:v>2.7377787179339729E-123</c:v>
                </c:pt>
                <c:pt idx="162">
                  <c:v>7.9030997235488845E-125</c:v>
                </c:pt>
                <c:pt idx="163">
                  <c:v>2.2313206864639021E-126</c:v>
                </c:pt>
                <c:pt idx="164">
                  <c:v>6.1615749212811682E-128</c:v>
                </c:pt>
                <c:pt idx="165">
                  <c:v>1.6641270971856611E-129</c:v>
                </c:pt>
                <c:pt idx="166">
                  <c:v>4.395882507397407E-131</c:v>
                </c:pt>
                <c:pt idx="167">
                  <c:v>1.1357174449668793E-132</c:v>
                </c:pt>
                <c:pt idx="168">
                  <c:v>2.8698484886834397E-134</c:v>
                </c:pt>
                <c:pt idx="169">
                  <c:v>7.0927052371162055E-136</c:v>
                </c:pt>
                <c:pt idx="170">
                  <c:v>1.7144662706456413E-137</c:v>
                </c:pt>
                <c:pt idx="171">
                  <c:v>4.0533107030172987E-139</c:v>
                </c:pt>
                <c:pt idx="172">
                  <c:v>9.3724814409226434E-141</c:v>
                </c:pt>
                <c:pt idx="173">
                  <c:v>2.1196436624646624E-142</c:v>
                </c:pt>
                <c:pt idx="174">
                  <c:v>4.688506607946529E-144</c:v>
                </c:pt>
                <c:pt idx="175">
                  <c:v>1.0143070681625274E-145</c:v>
                </c:pt>
                <c:pt idx="176">
                  <c:v>2.1461864780361199E-147</c:v>
                </c:pt>
                <c:pt idx="177">
                  <c:v>4.4414868587136516E-149</c:v>
                </c:pt>
                <c:pt idx="178">
                  <c:v>8.9898423919741464E-151</c:v>
                </c:pt>
                <c:pt idx="179">
                  <c:v>1.7796655366799065E-152</c:v>
                </c:pt>
                <c:pt idx="180">
                  <c:v>3.4457770064682132E-154</c:v>
                </c:pt>
              </c:numCache>
            </c:numRef>
          </c:yVal>
          <c:smooth val="1"/>
        </c:ser>
        <c:axId val="152651264"/>
        <c:axId val="152653184"/>
      </c:scatterChart>
      <c:valAx>
        <c:axId val="152651264"/>
        <c:scaling>
          <c:orientation val="minMax"/>
        </c:scaling>
        <c:axPos val="b"/>
        <c:title>
          <c:tx>
            <c:rich>
              <a:bodyPr/>
              <a:lstStyle/>
              <a:p>
                <a:pPr>
                  <a:defRPr/>
                </a:pPr>
                <a:r>
                  <a:rPr lang="zh-CN" altLang="en-US"/>
                  <a:t>距离</a:t>
                </a:r>
                <a:r>
                  <a:rPr lang="zh-CN"/>
                  <a:t>（</a:t>
                </a:r>
                <a:r>
                  <a:rPr lang="en-US" altLang="zh-CN"/>
                  <a:t>m</a:t>
                </a:r>
                <a:r>
                  <a:rPr lang="zh-CN"/>
                  <a:t>）</a:t>
                </a:r>
              </a:p>
            </c:rich>
          </c:tx>
        </c:title>
        <c:numFmt formatCode="General" sourceLinked="1"/>
        <c:majorTickMark val="in"/>
        <c:tickLblPos val="nextTo"/>
        <c:spPr>
          <a:ln>
            <a:solidFill>
              <a:prstClr val="black"/>
            </a:solidFill>
          </a:ln>
        </c:spPr>
        <c:crossAx val="152653184"/>
        <c:crosses val="autoZero"/>
        <c:crossBetween val="midCat"/>
      </c:valAx>
      <c:valAx>
        <c:axId val="152653184"/>
        <c:scaling>
          <c:orientation val="minMax"/>
          <c:min val="0"/>
        </c:scaling>
        <c:axPos val="l"/>
        <c:title>
          <c:tx>
            <c:rich>
              <a:bodyPr/>
              <a:lstStyle/>
              <a:p>
                <a:pPr>
                  <a:defRPr/>
                </a:pPr>
                <a:r>
                  <a:rPr lang="zh-CN"/>
                  <a:t>浓度（</a:t>
                </a:r>
                <a:r>
                  <a:rPr lang="en-US"/>
                  <a:t>mg/L</a:t>
                </a:r>
                <a:r>
                  <a:rPr lang="zh-CN"/>
                  <a:t>）</a:t>
                </a:r>
              </a:p>
            </c:rich>
          </c:tx>
        </c:title>
        <c:numFmt formatCode="General" sourceLinked="1"/>
        <c:majorTickMark val="in"/>
        <c:tickLblPos val="nextTo"/>
        <c:spPr>
          <a:ln>
            <a:solidFill>
              <a:prstClr val="black"/>
            </a:solidFill>
          </a:ln>
        </c:spPr>
        <c:crossAx val="152651264"/>
        <c:crosses val="autoZero"/>
        <c:crossBetween val="midCat"/>
      </c:valAx>
      <c:spPr>
        <a:ln>
          <a:solidFill>
            <a:prstClr val="black"/>
          </a:solidFill>
        </a:ln>
      </c:spPr>
    </c:plotArea>
    <c:plotVisOnly val="1"/>
    <c:dispBlanksAs val="gap"/>
  </c:chart>
  <c:spPr>
    <a:ln>
      <a:noFill/>
    </a:ln>
  </c:spPr>
  <c:txPr>
    <a:bodyPr/>
    <a:lstStyle/>
    <a:p>
      <a:pPr>
        <a:defRPr b="0">
          <a:latin typeface="Times New Roman" pitchFamily="18" charset="0"/>
          <a:cs typeface="Times New Roman" pitchFamily="18" charset="0"/>
        </a:defRPr>
      </a:pPr>
      <a:endParaRPr lang="zh-CN"/>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7638482349883863"/>
          <c:y val="2.768863642338968E-2"/>
          <c:w val="0.78888002752869901"/>
          <c:h val="0.70812785388127863"/>
        </c:manualLayout>
      </c:layout>
      <c:scatterChart>
        <c:scatterStyle val="smoothMarker"/>
        <c:ser>
          <c:idx val="3"/>
          <c:order val="0"/>
          <c:marker>
            <c:symbol val="none"/>
          </c:marker>
          <c:xVal>
            <c:numRef>
              <c:f>Calculate!$I$23:$I$203</c:f>
              <c:numCache>
                <c:formatCode>General</c:formatCode>
                <c:ptCount val="18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Calculate!$J$23:$J$203</c:f>
              <c:numCache>
                <c:formatCode>General</c:formatCode>
                <c:ptCount val="181"/>
                <c:pt idx="0">
                  <c:v>0</c:v>
                </c:pt>
                <c:pt idx="1">
                  <c:v>3.8201419910732792E-4</c:v>
                </c:pt>
                <c:pt idx="2">
                  <c:v>8.0051461448028501E-4</c:v>
                </c:pt>
                <c:pt idx="3">
                  <c:v>1.255308051348436E-3</c:v>
                </c:pt>
                <c:pt idx="4">
                  <c:v>1.745857801506845E-3</c:v>
                </c:pt>
                <c:pt idx="5">
                  <c:v>2.2712697919597992E-3</c:v>
                </c:pt>
                <c:pt idx="6">
                  <c:v>2.8302828632651433E-3</c:v>
                </c:pt>
                <c:pt idx="7">
                  <c:v>3.4212635451722692E-3</c:v>
                </c:pt>
                <c:pt idx="8">
                  <c:v>4.0422056333637834E-3</c:v>
                </c:pt>
                <c:pt idx="9">
                  <c:v>4.690734798260987E-3</c:v>
                </c:pt>
                <c:pt idx="10">
                  <c:v>5.3641183758514855E-3</c:v>
                </c:pt>
                <c:pt idx="11">
                  <c:v>6.0592804032043252E-3</c:v>
                </c:pt>
                <c:pt idx="12">
                  <c:v>6.7728218691276432E-3</c:v>
                </c:pt>
                <c:pt idx="13">
                  <c:v>7.5010460554532938E-3</c:v>
                </c:pt>
                <c:pt idx="14">
                  <c:v>8.2399887485795631E-3</c:v>
                </c:pt>
                <c:pt idx="15">
                  <c:v>8.9854530063690607E-3</c:v>
                </c:pt>
                <c:pt idx="16">
                  <c:v>9.7330480744579704E-3</c:v>
                </c:pt>
                <c:pt idx="17">
                  <c:v>1.047823196053032E-2</c:v>
                </c:pt>
                <c:pt idx="18">
                  <c:v>1.1216357097385226E-2</c:v>
                </c:pt>
                <c:pt idx="19">
                  <c:v>1.1942718457392242E-2</c:v>
                </c:pt>
                <c:pt idx="20">
                  <c:v>1.2652603424097908E-2</c:v>
                </c:pt>
                <c:pt idx="21">
                  <c:v>1.3341342682682281E-2</c:v>
                </c:pt>
                <c:pt idx="22">
                  <c:v>1.4004361360949957E-2</c:v>
                </c:pt>
                <c:pt idx="23">
                  <c:v>1.463722963741053E-2</c:v>
                </c:pt>
                <c:pt idx="24">
                  <c:v>1.5235712033264459E-2</c:v>
                </c:pt>
                <c:pt idx="25">
                  <c:v>1.5795814620984231E-2</c:v>
                </c:pt>
                <c:pt idx="26">
                  <c:v>1.6313829413365816E-2</c:v>
                </c:pt>
                <c:pt idx="27">
                  <c:v>1.6786375242884111E-2</c:v>
                </c:pt>
                <c:pt idx="28">
                  <c:v>1.7210434500912315E-2</c:v>
                </c:pt>
                <c:pt idx="29">
                  <c:v>1.7583385178580282E-2</c:v>
                </c:pt>
                <c:pt idx="30">
                  <c:v>1.7903027734173411E-2</c:v>
                </c:pt>
                <c:pt idx="31">
                  <c:v>1.8167606404126069E-2</c:v>
                </c:pt>
                <c:pt idx="32">
                  <c:v>1.8375824673759325E-2</c:v>
                </c:pt>
                <c:pt idx="33">
                  <c:v>1.8526854727787492E-2</c:v>
                </c:pt>
                <c:pt idx="34">
                  <c:v>1.8620340806910787E-2</c:v>
                </c:pt>
                <c:pt idx="35">
                  <c:v>1.865639650316675E-2</c:v>
                </c:pt>
                <c:pt idx="36">
                  <c:v>1.8635596130876397E-2</c:v>
                </c:pt>
                <c:pt idx="37">
                  <c:v>1.8558960409684081E-2</c:v>
                </c:pt>
                <c:pt idx="38">
                  <c:v>1.8427936789352509E-2</c:v>
                </c:pt>
                <c:pt idx="39">
                  <c:v>1.8244374830671109E-2</c:v>
                </c:pt>
                <c:pt idx="40">
                  <c:v>1.8010497131534575E-2</c:v>
                </c:pt>
                <c:pt idx="41">
                  <c:v>1.7728866350471995E-2</c:v>
                </c:pt>
                <c:pt idx="42">
                  <c:v>1.740234893070991E-2</c:v>
                </c:pt>
                <c:pt idx="43">
                  <c:v>1.7034076165452942E-2</c:v>
                </c:pt>
                <c:pt idx="44">
                  <c:v>1.6627403269094961E-2</c:v>
                </c:pt>
                <c:pt idx="45">
                  <c:v>1.6185867129462943E-2</c:v>
                </c:pt>
                <c:pt idx="46">
                  <c:v>1.5713143413253361E-2</c:v>
                </c:pt>
                <c:pt idx="47">
                  <c:v>1.5213003681100791E-2</c:v>
                </c:pt>
                <c:pt idx="48">
                  <c:v>1.4689273141040959E-2</c:v>
                </c:pt>
                <c:pt idx="49">
                  <c:v>1.4145789630677268E-2</c:v>
                </c:pt>
                <c:pt idx="50">
                  <c:v>1.3586364370357601E-2</c:v>
                </c:pt>
                <c:pt idx="51">
                  <c:v>1.3014744973646826E-2</c:v>
                </c:pt>
                <c:pt idx="52">
                  <c:v>1.243458113887686E-2</c:v>
                </c:pt>
                <c:pt idx="53">
                  <c:v>1.1849393378249197E-2</c:v>
                </c:pt>
                <c:pt idx="54">
                  <c:v>1.1262545070589203E-2</c:v>
                </c:pt>
                <c:pt idx="55">
                  <c:v>1.0677218051934218E-2</c:v>
                </c:pt>
                <c:pt idx="56">
                  <c:v>1.0096391886451218E-2</c:v>
                </c:pt>
                <c:pt idx="57">
                  <c:v>9.5228268900944268E-3</c:v>
                </c:pt>
                <c:pt idx="58">
                  <c:v>8.9590509123658544E-3</c:v>
                </c:pt>
                <c:pt idx="59">
                  <c:v>8.4073498187457827E-3</c:v>
                </c:pt>
                <c:pt idx="60">
                  <c:v>7.8697615588281394E-3</c:v>
                </c:pt>
                <c:pt idx="61">
                  <c:v>7.3480736537983636E-3</c:v>
                </c:pt>
                <c:pt idx="62">
                  <c:v>6.8438238922657914E-3</c:v>
                </c:pt>
                <c:pt idx="63">
                  <c:v>6.3583039860489474E-3</c:v>
                </c:pt>
                <c:pt idx="64">
                  <c:v>5.8925659075530906E-3</c:v>
                </c:pt>
                <c:pt idx="65">
                  <c:v>5.4474306079352764E-3</c:v>
                </c:pt>
                <c:pt idx="66">
                  <c:v>5.0234988001974373E-3</c:v>
                </c:pt>
                <c:pt idx="67">
                  <c:v>4.621163483389752E-3</c:v>
                </c:pt>
                <c:pt idx="68">
                  <c:v>4.2406238828319202E-3</c:v>
                </c:pt>
                <c:pt idx="69">
                  <c:v>3.8819004861357811E-3</c:v>
                </c:pt>
                <c:pt idx="70">
                  <c:v>3.5448508651727403E-3</c:v>
                </c:pt>
                <c:pt idx="71">
                  <c:v>3.2291859893109546E-3</c:v>
                </c:pt>
                <c:pt idx="72">
                  <c:v>2.9344867544704692E-3</c:v>
                </c:pt>
                <c:pt idx="73">
                  <c:v>2.6602204750436832E-3</c:v>
                </c:pt>
                <c:pt idx="74">
                  <c:v>2.4057571107371951E-3</c:v>
                </c:pt>
                <c:pt idx="75">
                  <c:v>2.1703850271372212E-3</c:v>
                </c:pt>
                <c:pt idx="76">
                  <c:v>1.9533261165772383E-3</c:v>
                </c:pt>
                <c:pt idx="77">
                  <c:v>1.7537501340079114E-3</c:v>
                </c:pt>
                <c:pt idx="78">
                  <c:v>1.5707881304328293E-3</c:v>
                </c:pt>
                <c:pt idx="79">
                  <c:v>1.4035448935293398E-3</c:v>
                </c:pt>
                <c:pt idx="80">
                  <c:v>1.2511103308638074E-3</c:v>
                </c:pt>
                <c:pt idx="81">
                  <c:v>1.1125697552397777E-3</c:v>
                </c:pt>
                <c:pt idx="82">
                  <c:v>9.8701305388398984E-4</c:v>
                </c:pt>
                <c:pt idx="83">
                  <c:v>8.7354274314920541E-4</c:v>
                </c:pt>
                <c:pt idx="84">
                  <c:v>7.7128092804090232E-4</c:v>
                </c:pt>
                <c:pt idx="85">
                  <c:v>6.7937520107364034E-4</c:v>
                </c:pt>
                <c:pt idx="86">
                  <c:v>5.9700352771793492E-4</c:v>
                </c:pt>
                <c:pt idx="87">
                  <c:v>5.2337817604077832E-4</c:v>
                </c:pt>
                <c:pt idx="88">
                  <c:v>4.5774875616960264E-4</c:v>
                </c:pt>
                <c:pt idx="89">
                  <c:v>3.9940444103910011E-4</c:v>
                </c:pt>
                <c:pt idx="90">
                  <c:v>3.476754436821735E-4</c:v>
                </c:pt>
                <c:pt idx="91">
                  <c:v>3.0193382828032616E-4</c:v>
                </c:pt>
                <c:pt idx="92">
                  <c:v>2.6159373250046286E-4</c:v>
                </c:pt>
                <c:pt idx="93">
                  <c:v>2.261110775250604E-4</c:v>
                </c:pt>
                <c:pt idx="94">
                  <c:v>1.9498283984683583E-4</c:v>
                </c:pt>
                <c:pt idx="95">
                  <c:v>1.677459555607763E-4</c:v>
                </c:pt>
                <c:pt idx="96">
                  <c:v>1.4397592375021406E-4</c:v>
                </c:pt>
                <c:pt idx="97">
                  <c:v>1.2328517082595402E-4</c:v>
                </c:pt>
                <c:pt idx="98">
                  <c:v>1.0532123251652466E-4</c:v>
                </c:pt>
                <c:pt idx="99">
                  <c:v>8.9764804789129005E-5</c:v>
                </c:pt>
                <c:pt idx="100">
                  <c:v>7.6327709448472235E-5</c:v>
                </c:pt>
                <c:pt idx="101">
                  <c:v>6.4750814642316971E-5</c:v>
                </c:pt>
                <c:pt idx="102">
                  <c:v>5.4801945104774917E-5</c:v>
                </c:pt>
                <c:pt idx="103">
                  <c:v>4.6273811779968105E-5</c:v>
                </c:pt>
                <c:pt idx="104">
                  <c:v>3.8981985559654339E-5</c:v>
                </c:pt>
                <c:pt idx="105">
                  <c:v>3.2762935292483878E-5</c:v>
                </c:pt>
                <c:pt idx="106">
                  <c:v>2.7472146016964467E-5</c:v>
                </c:pt>
                <c:pt idx="107">
                  <c:v>2.2982329558893943E-5</c:v>
                </c:pt>
                <c:pt idx="108">
                  <c:v>1.9181736228049714E-5</c:v>
                </c:pt>
                <c:pt idx="109">
                  <c:v>1.5972573348996175E-5</c:v>
                </c:pt>
                <c:pt idx="110">
                  <c:v>1.3269533758630369E-5</c:v>
                </c:pt>
                <c:pt idx="111">
                  <c:v>1.099843518303804E-5</c:v>
                </c:pt>
                <c:pt idx="112">
                  <c:v>9.0949695471682901E-6</c:v>
                </c:pt>
                <c:pt idx="113">
                  <c:v>7.5035597473690754E-6</c:v>
                </c:pt>
                <c:pt idx="114">
                  <c:v>6.1763202007028951E-6</c:v>
                </c:pt>
                <c:pt idx="115">
                  <c:v>5.0721165461796724E-6</c:v>
                </c:pt>
                <c:pt idx="116">
                  <c:v>4.1557191809784124E-6</c:v>
                </c:pt>
                <c:pt idx="117">
                  <c:v>3.3970448387606077E-6</c:v>
                </c:pt>
                <c:pt idx="118">
                  <c:v>2.7704801276917701E-6</c:v>
                </c:pt>
                <c:pt idx="119">
                  <c:v>2.2542808143992691E-6</c:v>
                </c:pt>
                <c:pt idx="120">
                  <c:v>1.8300406403175106E-6</c:v>
                </c:pt>
                <c:pt idx="121">
                  <c:v>1.4822235642634259E-6</c:v>
                </c:pt>
                <c:pt idx="122">
                  <c:v>1.1977535174825844E-6</c:v>
                </c:pt>
                <c:pt idx="123">
                  <c:v>9.6565601501284412E-7</c:v>
                </c:pt>
                <c:pt idx="124">
                  <c:v>7.7674627260744983E-7</c:v>
                </c:pt>
                <c:pt idx="125">
                  <c:v>6.2335881655534904E-7</c:v>
                </c:pt>
                <c:pt idx="126">
                  <c:v>4.9911393167169124E-7</c:v>
                </c:pt>
                <c:pt idx="127">
                  <c:v>3.9871665974540029E-7</c:v>
                </c:pt>
                <c:pt idx="128">
                  <c:v>3.177844279923514E-7</c:v>
                </c:pt>
                <c:pt idx="129">
                  <c:v>2.5269974749935161E-7</c:v>
                </c:pt>
                <c:pt idx="130">
                  <c:v>2.0048476974658211E-7</c:v>
                </c:pt>
                <c:pt idx="131">
                  <c:v>1.5869482093631796E-7</c:v>
                </c:pt>
                <c:pt idx="132">
                  <c:v>1.253283460956742E-7</c:v>
                </c:pt>
                <c:pt idx="133">
                  <c:v>9.875098584050904E-8</c:v>
                </c:pt>
                <c:pt idx="134">
                  <c:v>7.7631777211523187E-8</c:v>
                </c:pt>
                <c:pt idx="135">
                  <c:v>6.088971574722193E-8</c:v>
                </c:pt>
                <c:pt idx="136">
                  <c:v>4.7649139121048837E-8</c:v>
                </c:pt>
                <c:pt idx="137">
                  <c:v>3.7202593858290563E-8</c:v>
                </c:pt>
                <c:pt idx="138">
                  <c:v>2.8980026805482802E-8</c:v>
                </c:pt>
                <c:pt idx="139">
                  <c:v>2.2523303329331552E-8</c:v>
                </c:pt>
                <c:pt idx="140">
                  <c:v>1.7465196009063217E-8</c:v>
                </c:pt>
                <c:pt idx="141">
                  <c:v>1.3512112282406232E-8</c:v>
                </c:pt>
                <c:pt idx="142">
                  <c:v>1.0429938577223281E-8</c:v>
                </c:pt>
                <c:pt idx="143">
                  <c:v>8.0324733706493976E-9</c:v>
                </c:pt>
                <c:pt idx="144">
                  <c:v>6.1720037922434068E-9</c:v>
                </c:pt>
                <c:pt idx="145">
                  <c:v>4.7316511936847484E-9</c:v>
                </c:pt>
                <c:pt idx="146">
                  <c:v>3.6191718339020249E-9</c:v>
                </c:pt>
                <c:pt idx="147">
                  <c:v>2.7619506752791356E-9</c:v>
                </c:pt>
                <c:pt idx="148">
                  <c:v>2.1029703581749126E-9</c:v>
                </c:pt>
                <c:pt idx="149">
                  <c:v>1.5975747236761334E-9</c:v>
                </c:pt>
                <c:pt idx="150">
                  <c:v>1.2108776965579217E-9</c:v>
                </c:pt>
                <c:pt idx="151">
                  <c:v>9.1569473494118153E-10</c:v>
                </c:pt>
                <c:pt idx="152">
                  <c:v>6.9089612235213641E-10</c:v>
                </c:pt>
                <c:pt idx="153">
                  <c:v>5.2009975873312684E-10</c:v>
                </c:pt>
                <c:pt idx="154">
                  <c:v>3.9063635738403446E-10</c:v>
                </c:pt>
                <c:pt idx="155">
                  <c:v>2.9273256051312067E-10</c:v>
                </c:pt>
                <c:pt idx="156">
                  <c:v>2.1886786727296046E-10</c:v>
                </c:pt>
                <c:pt idx="157">
                  <c:v>1.632697863949975E-10</c:v>
                </c:pt>
                <c:pt idx="158">
                  <c:v>1.2151859015805241E-10</c:v>
                </c:pt>
                <c:pt idx="159">
                  <c:v>9.0238720742987883E-11</c:v>
                </c:pt>
                <c:pt idx="160">
                  <c:v>6.6858507027419318E-11</c:v>
                </c:pt>
                <c:pt idx="161">
                  <c:v>4.94235774962544E-11</c:v>
                </c:pt>
                <c:pt idx="162">
                  <c:v>3.6452360827682213E-11</c:v>
                </c:pt>
                <c:pt idx="163">
                  <c:v>2.6824481490765559E-11</c:v>
                </c:pt>
                <c:pt idx="164">
                  <c:v>1.9694792783455024E-11</c:v>
                </c:pt>
                <c:pt idx="165">
                  <c:v>1.442733471883505E-11</c:v>
                </c:pt>
                <c:pt idx="166">
                  <c:v>1.0544733681881703E-11</c:v>
                </c:pt>
                <c:pt idx="167">
                  <c:v>7.6895361024724155E-12</c:v>
                </c:pt>
                <c:pt idx="168">
                  <c:v>5.59473961454493E-12</c:v>
                </c:pt>
                <c:pt idx="169">
                  <c:v>4.0613930847954321E-12</c:v>
                </c:pt>
                <c:pt idx="170">
                  <c:v>2.9416145817571478E-12</c:v>
                </c:pt>
                <c:pt idx="171">
                  <c:v>2.1257505509968058E-12</c:v>
                </c:pt>
                <c:pt idx="172">
                  <c:v>1.5326916851901888E-12</c:v>
                </c:pt>
                <c:pt idx="173">
                  <c:v>1.1025884894560081E-12</c:v>
                </c:pt>
                <c:pt idx="174">
                  <c:v>7.9138613591467606E-13</c:v>
                </c:pt>
                <c:pt idx="175">
                  <c:v>5.6673486024359258E-13</c:v>
                </c:pt>
                <c:pt idx="176">
                  <c:v>4.0493759178085714E-13</c:v>
                </c:pt>
                <c:pt idx="177">
                  <c:v>2.8867761821163939E-13</c:v>
                </c:pt>
                <c:pt idx="178">
                  <c:v>2.0533129574271478E-13</c:v>
                </c:pt>
                <c:pt idx="179">
                  <c:v>1.4571838983301512E-13</c:v>
                </c:pt>
                <c:pt idx="180">
                  <c:v>1.0317890713807937E-13</c:v>
                </c:pt>
              </c:numCache>
            </c:numRef>
          </c:yVal>
          <c:smooth val="1"/>
        </c:ser>
        <c:axId val="152664704"/>
        <c:axId val="152670976"/>
      </c:scatterChart>
      <c:valAx>
        <c:axId val="152664704"/>
        <c:scaling>
          <c:orientation val="minMax"/>
        </c:scaling>
        <c:axPos val="b"/>
        <c:title>
          <c:tx>
            <c:rich>
              <a:bodyPr/>
              <a:lstStyle/>
              <a:p>
                <a:pPr>
                  <a:defRPr/>
                </a:pPr>
                <a:r>
                  <a:rPr lang="zh-CN" altLang="en-US"/>
                  <a:t>距离</a:t>
                </a:r>
                <a:r>
                  <a:rPr lang="zh-CN"/>
                  <a:t>（</a:t>
                </a:r>
                <a:r>
                  <a:rPr lang="en-US" altLang="zh-CN"/>
                  <a:t>m</a:t>
                </a:r>
                <a:r>
                  <a:rPr lang="zh-CN"/>
                  <a:t>）</a:t>
                </a:r>
              </a:p>
            </c:rich>
          </c:tx>
        </c:title>
        <c:numFmt formatCode="General" sourceLinked="1"/>
        <c:majorTickMark val="in"/>
        <c:tickLblPos val="nextTo"/>
        <c:spPr>
          <a:ln>
            <a:solidFill>
              <a:prstClr val="black"/>
            </a:solidFill>
          </a:ln>
        </c:spPr>
        <c:crossAx val="152670976"/>
        <c:crosses val="autoZero"/>
        <c:crossBetween val="midCat"/>
      </c:valAx>
      <c:valAx>
        <c:axId val="152670976"/>
        <c:scaling>
          <c:orientation val="minMax"/>
          <c:min val="0"/>
        </c:scaling>
        <c:axPos val="l"/>
        <c:title>
          <c:tx>
            <c:rich>
              <a:bodyPr/>
              <a:lstStyle/>
              <a:p>
                <a:pPr>
                  <a:defRPr/>
                </a:pPr>
                <a:r>
                  <a:rPr lang="zh-CN"/>
                  <a:t>浓度（</a:t>
                </a:r>
                <a:r>
                  <a:rPr lang="en-US"/>
                  <a:t>mg/L</a:t>
                </a:r>
                <a:r>
                  <a:rPr lang="zh-CN"/>
                  <a:t>）</a:t>
                </a:r>
              </a:p>
            </c:rich>
          </c:tx>
        </c:title>
        <c:numFmt formatCode="General" sourceLinked="1"/>
        <c:majorTickMark val="in"/>
        <c:tickLblPos val="nextTo"/>
        <c:spPr>
          <a:ln>
            <a:solidFill>
              <a:prstClr val="black"/>
            </a:solidFill>
          </a:ln>
        </c:spPr>
        <c:crossAx val="152664704"/>
        <c:crosses val="autoZero"/>
        <c:crossBetween val="midCat"/>
      </c:valAx>
      <c:spPr>
        <a:ln>
          <a:solidFill>
            <a:prstClr val="black"/>
          </a:solidFill>
        </a:ln>
      </c:spPr>
    </c:plotArea>
    <c:plotVisOnly val="1"/>
    <c:dispBlanksAs val="gap"/>
  </c:chart>
  <c:spPr>
    <a:ln>
      <a:noFill/>
    </a:ln>
  </c:spPr>
  <c:txPr>
    <a:bodyPr/>
    <a:lstStyle/>
    <a:p>
      <a:pPr>
        <a:defRPr b="0">
          <a:latin typeface="Times New Roman" pitchFamily="18" charset="0"/>
          <a:cs typeface="Times New Roman" pitchFamily="18" charset="0"/>
        </a:defRPr>
      </a:pPr>
      <a:endParaRPr lang="zh-CN"/>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7638482349883863"/>
          <c:y val="2.768863642338968E-2"/>
          <c:w val="0.78888002752869901"/>
          <c:h val="0.70812785388127863"/>
        </c:manualLayout>
      </c:layout>
      <c:scatterChart>
        <c:scatterStyle val="smoothMarker"/>
        <c:ser>
          <c:idx val="3"/>
          <c:order val="0"/>
          <c:marker>
            <c:symbol val="none"/>
          </c:marker>
          <c:xVal>
            <c:numRef>
              <c:f>Calculate!$I$23:$I$203</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xVal>
          <c:yVal>
            <c:numRef>
              <c:f>Calculate!$J$23:$J$203</c:f>
              <c:numCache>
                <c:formatCode>General</c:formatCode>
                <c:ptCount val="181"/>
                <c:pt idx="0">
                  <c:v>0</c:v>
                </c:pt>
                <c:pt idx="1">
                  <c:v>7.5280508404773924E-6</c:v>
                </c:pt>
                <c:pt idx="2">
                  <c:v>1.6595208276015927E-5</c:v>
                </c:pt>
                <c:pt idx="3">
                  <c:v>2.7388691315799486E-5</c:v>
                </c:pt>
                <c:pt idx="4">
                  <c:v>4.0108320769061116E-5</c:v>
                </c:pt>
                <c:pt idx="5">
                  <c:v>5.4966249005695304E-5</c:v>
                </c:pt>
                <c:pt idx="6">
                  <c:v>7.218651940332874E-5</c:v>
                </c:pt>
                <c:pt idx="7">
                  <c:v>9.2004441530237294E-5</c:v>
                </c:pt>
                <c:pt idx="8">
                  <c:v>1.1466576927166186E-4</c:v>
                </c:pt>
                <c:pt idx="9">
                  <c:v>1.404256706631928E-4</c:v>
                </c:pt>
                <c:pt idx="10">
                  <c:v>1.6954748003694681E-4</c:v>
                </c:pt>
                <c:pt idx="11">
                  <c:v>2.0230122531339733E-4</c:v>
                </c:pt>
                <c:pt idx="12">
                  <c:v>2.3896192585981765E-4</c:v>
                </c:pt>
                <c:pt idx="13">
                  <c:v>2.798076592256441E-4</c:v>
                </c:pt>
                <c:pt idx="14">
                  <c:v>3.2511739829033494E-4</c:v>
                </c:pt>
                <c:pt idx="15">
                  <c:v>3.7516862388465211E-4</c:v>
                </c:pt>
                <c:pt idx="16">
                  <c:v>4.3023472166359156E-4</c:v>
                </c:pt>
                <c:pt idx="17">
                  <c:v>4.9058217602038982E-4</c:v>
                </c:pt>
                <c:pt idx="18">
                  <c:v>5.5646757789151735E-4</c:v>
                </c:pt>
                <c:pt idx="19">
                  <c:v>6.2813446752053002E-4</c:v>
                </c:pt>
                <c:pt idx="20">
                  <c:v>7.0581003746372783E-4</c:v>
                </c:pt>
                <c:pt idx="21">
                  <c:v>7.8970172525760773E-4</c:v>
                </c:pt>
                <c:pt idx="22">
                  <c:v>8.7999372919967268E-4</c:v>
                </c:pt>
                <c:pt idx="23">
                  <c:v>9.7684348447969554E-4</c:v>
                </c:pt>
                <c:pt idx="24">
                  <c:v>1.0803781403945281E-3</c:v>
                </c:pt>
                <c:pt idx="25">
                  <c:v>1.1906910824581729E-3</c:v>
                </c:pt>
                <c:pt idx="26">
                  <c:v>1.307838545852924E-3</c:v>
                </c:pt>
                <c:pt idx="27">
                  <c:v>1.4318363686967061E-3</c:v>
                </c:pt>
                <c:pt idx="28">
                  <c:v>1.5626569350368959E-3</c:v>
                </c:pt>
                <c:pt idx="29">
                  <c:v>1.7002263581846738E-3</c:v>
                </c:pt>
                <c:pt idx="30">
                  <c:v>1.8444219549303015E-3</c:v>
                </c:pt>
                <c:pt idx="31">
                  <c:v>1.9950700603530653E-3</c:v>
                </c:pt>
                <c:pt idx="32">
                  <c:v>2.1519442311643852E-3</c:v>
                </c:pt>
                <c:pt idx="33">
                  <c:v>2.3147638829828002E-3</c:v>
                </c:pt>
                <c:pt idx="34">
                  <c:v>2.4831934034468292E-3</c:v>
                </c:pt>
                <c:pt idx="35">
                  <c:v>2.6568417787840052E-3</c:v>
                </c:pt>
                <c:pt idx="36">
                  <c:v>2.8352627662249219E-3</c:v>
                </c:pt>
                <c:pt idx="37">
                  <c:v>3.0179556388181261E-3</c:v>
                </c:pt>
                <c:pt idx="38">
                  <c:v>3.2043665224406443E-3</c:v>
                </c:pt>
                <c:pt idx="39">
                  <c:v>3.3938903375698715E-3</c:v>
                </c:pt>
                <c:pt idx="40">
                  <c:v>3.5858733505209962E-3</c:v>
                </c:pt>
                <c:pt idx="41">
                  <c:v>3.7796163306120802E-3</c:v>
                </c:pt>
                <c:pt idx="42">
                  <c:v>3.9743783011489996E-3</c:v>
                </c:pt>
                <c:pt idx="43">
                  <c:v>4.1693808634390966E-3</c:v>
                </c:pt>
                <c:pt idx="44">
                  <c:v>4.3638130643088874E-3</c:v>
                </c:pt>
                <c:pt idx="45">
                  <c:v>4.5568367690038804E-3</c:v>
                </c:pt>
                <c:pt idx="46">
                  <c:v>4.7475924931097944E-3</c:v>
                </c:pt>
                <c:pt idx="47">
                  <c:v>4.9352056392413819E-3</c:v>
                </c:pt>
                <c:pt idx="48">
                  <c:v>5.1187930770653089E-3</c:v>
                </c:pt>
                <c:pt idx="49">
                  <c:v>5.2974699987272033E-3</c:v>
                </c:pt>
                <c:pt idx="50">
                  <c:v>5.4703569760956583E-3</c:v>
                </c:pt>
                <c:pt idx="51">
                  <c:v>5.6365871416956814E-3</c:v>
                </c:pt>
                <c:pt idx="52">
                  <c:v>5.7953134116531429E-3</c:v>
                </c:pt>
                <c:pt idx="53">
                  <c:v>5.9457156666642419E-3</c:v>
                </c:pt>
                <c:pt idx="54">
                  <c:v>6.0870078059163113E-3</c:v>
                </c:pt>
                <c:pt idx="55">
                  <c:v>6.2184445891549124E-3</c:v>
                </c:pt>
                <c:pt idx="56">
                  <c:v>6.3393281835478826E-3</c:v>
                </c:pt>
                <c:pt idx="57">
                  <c:v>6.449014334951212E-3</c:v>
                </c:pt>
                <c:pt idx="58">
                  <c:v>6.5469180871311934E-3</c:v>
                </c:pt>
                <c:pt idx="59">
                  <c:v>6.6325189779867745E-3</c:v>
                </c:pt>
                <c:pt idx="60">
                  <c:v>6.7053656481242379E-3</c:v>
                </c:pt>
                <c:pt idx="61">
                  <c:v>6.7650798047289573E-3</c:v>
                </c:pt>
                <c:pt idx="62">
                  <c:v>6.8113594920219279E-3</c:v>
                </c:pt>
                <c:pt idx="63">
                  <c:v>6.8439816287402264E-3</c:v>
                </c:pt>
                <c:pt idx="64">
                  <c:v>6.8628037829199717E-3</c:v>
                </c:pt>
                <c:pt idx="65">
                  <c:v>6.8677651644104554E-3</c:v>
                </c:pt>
                <c:pt idx="66">
                  <c:v>6.8588868261076855E-3</c:v>
                </c:pt>
                <c:pt idx="67">
                  <c:v>6.8362710754449217E-3</c:v>
                </c:pt>
                <c:pt idx="68">
                  <c:v>6.8001001081960943E-3</c:v>
                </c:pt>
                <c:pt idx="69">
                  <c:v>6.7506338869074423E-3</c:v>
                </c:pt>
                <c:pt idx="70">
                  <c:v>6.6882072960166034E-3</c:v>
                </c:pt>
                <c:pt idx="71">
                  <c:v>6.6132266150176842E-3</c:v>
                </c:pt>
                <c:pt idx="72">
                  <c:v>6.5261653593953195E-3</c:v>
                </c:pt>
                <c:pt idx="73">
                  <c:v>6.4275595467135896E-3</c:v>
                </c:pt>
                <c:pt idx="74">
                  <c:v>6.3180024518074704E-3</c:v>
                </c:pt>
                <c:pt idx="75">
                  <c:v>6.1981389205583159E-3</c:v>
                </c:pt>
                <c:pt idx="76">
                  <c:v>6.0686593160734804E-3</c:v>
                </c:pt>
                <c:pt idx="77">
                  <c:v>5.9302931742874808E-3</c:v>
                </c:pt>
                <c:pt idx="78">
                  <c:v>5.7838026479002424E-3</c:v>
                </c:pt>
                <c:pt idx="79">
                  <c:v>5.6299758183215856E-3</c:v>
                </c:pt>
                <c:pt idx="80">
                  <c:v>5.4696199547134543E-3</c:v>
                </c:pt>
                <c:pt idx="81">
                  <c:v>5.303554797676302E-3</c:v>
                </c:pt>
                <c:pt idx="82">
                  <c:v>5.13260594224468E-3</c:v>
                </c:pt>
                <c:pt idx="83">
                  <c:v>4.9575983911496826E-3</c:v>
                </c:pt>
                <c:pt idx="84">
                  <c:v>4.7793503445882598E-3</c:v>
                </c:pt>
                <c:pt idx="85">
                  <c:v>4.5986672872084834E-3</c:v>
                </c:pt>
                <c:pt idx="86">
                  <c:v>4.4163364268424163E-3</c:v>
                </c:pt>
                <c:pt idx="87">
                  <c:v>4.2331215327500414E-3</c:v>
                </c:pt>
                <c:pt idx="88">
                  <c:v>4.0497582139408838E-3</c:v>
                </c:pt>
                <c:pt idx="89">
                  <c:v>3.8669496707017248E-3</c:v>
                </c:pt>
                <c:pt idx="90">
                  <c:v>3.6853629448028468E-3</c:v>
                </c:pt>
                <c:pt idx="91">
                  <c:v>3.5056256862409652E-3</c:v>
                </c:pt>
                <c:pt idx="92">
                  <c:v>3.3283234468257398E-3</c:v>
                </c:pt>
                <c:pt idx="93">
                  <c:v>3.1539975036398212E-3</c:v>
                </c:pt>
                <c:pt idx="94">
                  <c:v>2.9831432083910914E-3</c:v>
                </c:pt>
                <c:pt idx="95">
                  <c:v>2.8162088521894732E-3</c:v>
                </c:pt>
                <c:pt idx="96">
                  <c:v>2.6535950291986811E-3</c:v>
                </c:pt>
                <c:pt idx="97">
                  <c:v>2.4956544772424816E-3</c:v>
                </c:pt>
                <c:pt idx="98">
                  <c:v>2.3426923685739842E-3</c:v>
                </c:pt>
                <c:pt idx="99">
                  <c:v>2.1949670199628052E-3</c:v>
                </c:pt>
                <c:pt idx="100">
                  <c:v>2.0526909877917054E-3</c:v>
                </c:pt>
                <c:pt idx="101">
                  <c:v>1.9160325111842696E-3</c:v>
                </c:pt>
                <c:pt idx="102">
                  <c:v>1.7851172641869721E-3</c:v>
                </c:pt>
                <c:pt idx="103">
                  <c:v>1.660030376748685E-3</c:v>
                </c:pt>
                <c:pt idx="104">
                  <c:v>1.5408186836134161E-3</c:v>
                </c:pt>
                <c:pt idx="105">
                  <c:v>1.4274931602787301E-3</c:v>
                </c:pt>
                <c:pt idx="106">
                  <c:v>1.3200315057555743E-3</c:v>
                </c:pt>
                <c:pt idx="107">
                  <c:v>1.2183808330307358E-3</c:v>
                </c:pt>
                <c:pt idx="108">
                  <c:v>1.1224604297309789E-3</c:v>
                </c:pt>
                <c:pt idx="109">
                  <c:v>1.0321645535369141E-3</c:v>
                </c:pt>
                <c:pt idx="110">
                  <c:v>9.473652292648837E-4</c:v>
                </c:pt>
                <c:pt idx="111">
                  <c:v>8.679150172082752E-4</c:v>
                </c:pt>
                <c:pt idx="112">
                  <c:v>7.9364972520261519E-4</c:v>
                </c:pt>
                <c:pt idx="113">
                  <c:v>7.2439103992128677E-4</c:v>
                </c:pt>
                <c:pt idx="114">
                  <c:v>6.599490560205909E-4</c:v>
                </c:pt>
                <c:pt idx="115">
                  <c:v>6.0012468492509445E-4</c:v>
                </c:pt>
                <c:pt idx="116">
                  <c:v>5.4471192816367821E-4</c:v>
                </c:pt>
                <c:pt idx="117">
                  <c:v>4.9350000324882126E-4</c:v>
                </c:pt>
                <c:pt idx="118">
                  <c:v>4.4627531303574022E-4</c:v>
                </c:pt>
                <c:pt idx="119">
                  <c:v>4.0282325231191514E-4</c:v>
                </c:pt>
                <c:pt idx="120">
                  <c:v>3.6292984799222012E-4</c:v>
                </c:pt>
                <c:pt idx="121">
                  <c:v>3.2638323172091326E-4</c:v>
                </c:pt>
                <c:pt idx="122">
                  <c:v>2.9297494588127195E-4</c:v>
                </c:pt>
                <c:pt idx="123">
                  <c:v>2.6250108598445854E-4</c:v>
                </c:pt>
                <c:pt idx="124">
                  <c:v>2.3476328412889256E-4</c:v>
                </c:pt>
                <c:pt idx="125">
                  <c:v>2.0956953970551959E-4</c:v>
                </c:pt>
                <c:pt idx="126">
                  <c:v>1.8673490475780901E-4</c:v>
                </c:pt>
                <c:pt idx="127">
                  <c:v>1.6608203240795294E-4</c:v>
                </c:pt>
                <c:pt idx="128">
                  <c:v>1.4744159753307388E-4</c:v>
                </c:pt>
                <c:pt idx="129">
                  <c:v>1.30652599435312E-4</c:v>
                </c:pt>
                <c:pt idx="130">
                  <c:v>1.1556255660950614E-4</c:v>
                </c:pt>
                <c:pt idx="131">
                  <c:v>1.0202760389009681E-4</c:v>
                </c:pt>
                <c:pt idx="132">
                  <c:v>8.9912502271580747E-5</c:v>
                </c:pt>
                <c:pt idx="133">
                  <c:v>7.9090571565140462E-5</c:v>
                </c:pt>
                <c:pt idx="134">
                  <c:v>6.9443555794380333E-5</c:v>
                </c:pt>
                <c:pt idx="135">
                  <c:v>6.0861430867523462E-5</c:v>
                </c:pt>
                <c:pt idx="136">
                  <c:v>5.3242163608006493E-5</c:v>
                </c:pt>
                <c:pt idx="137">
                  <c:v>4.6491430700067034E-5</c:v>
                </c:pt>
                <c:pt idx="138">
                  <c:v>4.0522305526150897E-5</c:v>
                </c:pt>
                <c:pt idx="139">
                  <c:v>3.5254920256001656E-5</c:v>
                </c:pt>
                <c:pt idx="140">
                  <c:v>3.0616109905668415E-5</c:v>
                </c:pt>
                <c:pt idx="141">
                  <c:v>2.6539044433895089E-5</c:v>
                </c:pt>
                <c:pt idx="142">
                  <c:v>2.2962854292158229E-5</c:v>
                </c:pt>
                <c:pt idx="143">
                  <c:v>1.9832254205605648E-5</c:v>
                </c:pt>
                <c:pt idx="144">
                  <c:v>1.7097169341614007E-5</c:v>
                </c:pt>
                <c:pt idx="145">
                  <c:v>1.4712367429251689E-5</c:v>
                </c:pt>
                <c:pt idx="146">
                  <c:v>1.2637099831228161E-5</c:v>
                </c:pt>
                <c:pt idx="147">
                  <c:v>1.0834754044533954E-5</c:v>
                </c:pt>
                <c:pt idx="148">
                  <c:v>9.2725196201486604E-6</c:v>
                </c:pt>
                <c:pt idx="149">
                  <c:v>7.9210690475925431E-6</c:v>
                </c:pt>
                <c:pt idx="150">
                  <c:v>6.7542547478244935E-6</c:v>
                </c:pt>
                <c:pt idx="151">
                  <c:v>5.748822958226741E-6</c:v>
                </c:pt>
                <c:pt idx="152">
                  <c:v>4.8841449754075784E-6</c:v>
                </c:pt>
                <c:pt idx="153">
                  <c:v>4.1419659440852162E-6</c:v>
                </c:pt>
                <c:pt idx="154">
                  <c:v>3.5061711417210383E-6</c:v>
                </c:pt>
                <c:pt idx="155">
                  <c:v>2.9625695065009687E-6</c:v>
                </c:pt>
                <c:pt idx="156">
                  <c:v>2.4986939885177198E-6</c:v>
                </c:pt>
                <c:pt idx="157">
                  <c:v>2.103618167648009E-6</c:v>
                </c:pt>
                <c:pt idx="158">
                  <c:v>1.7677884741093998E-6</c:v>
                </c:pt>
                <c:pt idx="159">
                  <c:v>1.4828712659952888E-6</c:v>
                </c:pt>
                <c:pt idx="160">
                  <c:v>1.2416139595072175E-6</c:v>
                </c:pt>
                <c:pt idx="161">
                  <c:v>1.0377193692729821E-6</c:v>
                </c:pt>
                <c:pt idx="162">
                  <c:v>8.6573239546180248E-7</c:v>
                </c:pt>
                <c:pt idx="163">
                  <c:v>7.2093818875845859E-7</c:v>
                </c:pt>
                <c:pt idx="164">
                  <c:v>5.9927093133778015E-7</c:v>
                </c:pt>
                <c:pt idx="165">
                  <c:v>4.9723238952146625E-7</c:v>
                </c:pt>
                <c:pt idx="166">
                  <c:v>4.1181941982754214E-7</c:v>
                </c:pt>
                <c:pt idx="167">
                  <c:v>3.4045964280192097E-7</c:v>
                </c:pt>
                <c:pt idx="168">
                  <c:v>2.8095453673005111E-7</c:v>
                </c:pt>
                <c:pt idx="169">
                  <c:v>2.3142924463688001E-7</c:v>
                </c:pt>
                <c:pt idx="170">
                  <c:v>1.9028843164561888E-7</c:v>
                </c:pt>
                <c:pt idx="171">
                  <c:v>1.5617757471249161E-7</c:v>
                </c:pt>
                <c:pt idx="172">
                  <c:v>1.2794911208411142E-7</c:v>
                </c:pt>
                <c:pt idx="173">
                  <c:v>1.0463292478024591E-7</c:v>
                </c:pt>
                <c:pt idx="174">
                  <c:v>8.5410666383942541E-8</c:v>
                </c:pt>
                <c:pt idx="175">
                  <c:v>6.9593499931236681E-8</c:v>
                </c:pt>
                <c:pt idx="176">
                  <c:v>5.6602841366337527E-8</c:v>
                </c:pt>
                <c:pt idx="177">
                  <c:v>4.5953747587546447E-8</c:v>
                </c:pt>
                <c:pt idx="178">
                  <c:v>3.7240623367714504E-8</c:v>
                </c:pt>
                <c:pt idx="179">
                  <c:v>3.0124955273590387E-8</c:v>
                </c:pt>
                <c:pt idx="180">
                  <c:v>2.4324812078754927E-8</c:v>
                </c:pt>
              </c:numCache>
            </c:numRef>
          </c:yVal>
          <c:smooth val="1"/>
        </c:ser>
        <c:axId val="152690688"/>
        <c:axId val="152692608"/>
      </c:scatterChart>
      <c:valAx>
        <c:axId val="152690688"/>
        <c:scaling>
          <c:orientation val="minMax"/>
        </c:scaling>
        <c:axPos val="b"/>
        <c:title>
          <c:tx>
            <c:rich>
              <a:bodyPr/>
              <a:lstStyle/>
              <a:p>
                <a:pPr>
                  <a:defRPr/>
                </a:pPr>
                <a:r>
                  <a:rPr lang="zh-CN" altLang="en-US"/>
                  <a:t>距离</a:t>
                </a:r>
                <a:r>
                  <a:rPr lang="zh-CN"/>
                  <a:t>（</a:t>
                </a:r>
                <a:r>
                  <a:rPr lang="en-US" altLang="zh-CN"/>
                  <a:t>m</a:t>
                </a:r>
                <a:r>
                  <a:rPr lang="zh-CN"/>
                  <a:t>）</a:t>
                </a:r>
              </a:p>
            </c:rich>
          </c:tx>
        </c:title>
        <c:numFmt formatCode="General" sourceLinked="1"/>
        <c:majorTickMark val="in"/>
        <c:tickLblPos val="nextTo"/>
        <c:spPr>
          <a:ln>
            <a:solidFill>
              <a:prstClr val="black"/>
            </a:solidFill>
          </a:ln>
        </c:spPr>
        <c:crossAx val="152692608"/>
        <c:crosses val="autoZero"/>
        <c:crossBetween val="midCat"/>
      </c:valAx>
      <c:valAx>
        <c:axId val="152692608"/>
        <c:scaling>
          <c:orientation val="minMax"/>
          <c:min val="0"/>
        </c:scaling>
        <c:axPos val="l"/>
        <c:title>
          <c:tx>
            <c:rich>
              <a:bodyPr/>
              <a:lstStyle/>
              <a:p>
                <a:pPr>
                  <a:defRPr/>
                </a:pPr>
                <a:r>
                  <a:rPr lang="zh-CN"/>
                  <a:t>浓度（</a:t>
                </a:r>
                <a:r>
                  <a:rPr lang="en-US"/>
                  <a:t>mg/L</a:t>
                </a:r>
                <a:r>
                  <a:rPr lang="zh-CN"/>
                  <a:t>）</a:t>
                </a:r>
              </a:p>
            </c:rich>
          </c:tx>
        </c:title>
        <c:numFmt formatCode="General" sourceLinked="1"/>
        <c:majorTickMark val="in"/>
        <c:tickLblPos val="nextTo"/>
        <c:spPr>
          <a:ln>
            <a:solidFill>
              <a:prstClr val="black"/>
            </a:solidFill>
          </a:ln>
        </c:spPr>
        <c:crossAx val="152690688"/>
        <c:crosses val="autoZero"/>
        <c:crossBetween val="midCat"/>
      </c:valAx>
      <c:spPr>
        <a:ln>
          <a:solidFill>
            <a:prstClr val="black"/>
          </a:solidFill>
        </a:ln>
      </c:spPr>
    </c:plotArea>
    <c:plotVisOnly val="1"/>
    <c:dispBlanksAs val="gap"/>
  </c:chart>
  <c:spPr>
    <a:ln>
      <a:noFill/>
    </a:ln>
  </c:spPr>
  <c:txPr>
    <a:bodyPr/>
    <a:lstStyle/>
    <a:p>
      <a:pPr>
        <a:defRPr b="0">
          <a:latin typeface="Times New Roman" pitchFamily="18" charset="0"/>
          <a:cs typeface="Times New Roman" pitchFamily="18" charset="0"/>
        </a:defRPr>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0.16113</cdr:x>
      <cdr:y>0.34278</cdr:y>
    </cdr:from>
    <cdr:to>
      <cdr:x>0.1968</cdr:x>
      <cdr:y>0.5949</cdr:y>
    </cdr:to>
    <cdr:sp macro="" textlink="">
      <cdr:nvSpPr>
        <cdr:cNvPr id="2" name="TextBox 1"/>
        <cdr:cNvSpPr txBox="1"/>
      </cdr:nvSpPr>
      <cdr:spPr>
        <a:xfrm xmlns:a="http://schemas.openxmlformats.org/drawingml/2006/main">
          <a:off x="959826" y="886557"/>
          <a:ext cx="212481" cy="65209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0.16113</cdr:x>
      <cdr:y>0.34278</cdr:y>
    </cdr:from>
    <cdr:to>
      <cdr:x>0.1968</cdr:x>
      <cdr:y>0.5949</cdr:y>
    </cdr:to>
    <cdr:sp macro="" textlink="">
      <cdr:nvSpPr>
        <cdr:cNvPr id="2" name="TextBox 1"/>
        <cdr:cNvSpPr txBox="1"/>
      </cdr:nvSpPr>
      <cdr:spPr>
        <a:xfrm xmlns:a="http://schemas.openxmlformats.org/drawingml/2006/main">
          <a:off x="959826" y="886557"/>
          <a:ext cx="212481" cy="65209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CN"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0.16113</cdr:x>
      <cdr:y>0.34278</cdr:y>
    </cdr:from>
    <cdr:to>
      <cdr:x>0.1968</cdr:x>
      <cdr:y>0.5949</cdr:y>
    </cdr:to>
    <cdr:sp macro="" textlink="">
      <cdr:nvSpPr>
        <cdr:cNvPr id="2" name="TextBox 1"/>
        <cdr:cNvSpPr txBox="1"/>
      </cdr:nvSpPr>
      <cdr:spPr>
        <a:xfrm xmlns:a="http://schemas.openxmlformats.org/drawingml/2006/main">
          <a:off x="959826" y="886557"/>
          <a:ext cx="212481" cy="65209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CN" alt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0.16113</cdr:x>
      <cdr:y>0.34278</cdr:y>
    </cdr:from>
    <cdr:to>
      <cdr:x>0.1968</cdr:x>
      <cdr:y>0.5949</cdr:y>
    </cdr:to>
    <cdr:sp macro="" textlink="">
      <cdr:nvSpPr>
        <cdr:cNvPr id="2" name="TextBox 1"/>
        <cdr:cNvSpPr txBox="1"/>
      </cdr:nvSpPr>
      <cdr:spPr>
        <a:xfrm xmlns:a="http://schemas.openxmlformats.org/drawingml/2006/main">
          <a:off x="959826" y="886557"/>
          <a:ext cx="212481" cy="65209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CN" alt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0.16113</cdr:x>
      <cdr:y>0.34278</cdr:y>
    </cdr:from>
    <cdr:to>
      <cdr:x>0.1968</cdr:x>
      <cdr:y>0.5949</cdr:y>
    </cdr:to>
    <cdr:sp macro="" textlink="">
      <cdr:nvSpPr>
        <cdr:cNvPr id="2" name="TextBox 1"/>
        <cdr:cNvSpPr txBox="1"/>
      </cdr:nvSpPr>
      <cdr:spPr>
        <a:xfrm xmlns:a="http://schemas.openxmlformats.org/drawingml/2006/main">
          <a:off x="959826" y="886557"/>
          <a:ext cx="212481" cy="65209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CN" alt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0.16113</cdr:x>
      <cdr:y>0.34278</cdr:y>
    </cdr:from>
    <cdr:to>
      <cdr:x>0.1968</cdr:x>
      <cdr:y>0.5949</cdr:y>
    </cdr:to>
    <cdr:sp macro="" textlink="">
      <cdr:nvSpPr>
        <cdr:cNvPr id="2" name="TextBox 1"/>
        <cdr:cNvSpPr txBox="1"/>
      </cdr:nvSpPr>
      <cdr:spPr>
        <a:xfrm xmlns:a="http://schemas.openxmlformats.org/drawingml/2006/main">
          <a:off x="959826" y="886557"/>
          <a:ext cx="212481" cy="65209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CN" altLang="en-US" sz="1100"/>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3485"/>
    <customShpInfo spid="_x0000_s204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B53FA6-59AF-4CE5-BC10-5F5D114C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322</Pages>
  <Words>39110</Words>
  <Characters>222931</Characters>
  <Application>Microsoft Office Word</Application>
  <DocSecurity>0</DocSecurity>
  <Lines>1857</Lines>
  <Paragraphs>523</Paragraphs>
  <ScaleCrop>false</ScaleCrop>
  <Company>Microsoft</Company>
  <LinksUpToDate>false</LinksUpToDate>
  <CharactersWithSpaces>261518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  言</dc:title>
  <dc:creator>USER</dc:creator>
  <cp:lastModifiedBy>F</cp:lastModifiedBy>
  <cp:revision>115</cp:revision>
  <cp:lastPrinted>2021-09-23T06:25:00Z</cp:lastPrinted>
  <dcterms:created xsi:type="dcterms:W3CDTF">2021-09-08T11:55:00Z</dcterms:created>
  <dcterms:modified xsi:type="dcterms:W3CDTF">2021-10-14T11:57:00Z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D6C9B4D76AD144FBABAA223905ED1149</vt:lpwstr>
  </property>
</Properties>
</file>